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AC96D" w14:textId="16A9887E" w:rsidR="00011D97" w:rsidRPr="00A11F92" w:rsidRDefault="00011D97" w:rsidP="00011D97">
      <w:pPr>
        <w:spacing w:line="276" w:lineRule="auto"/>
        <w:jc w:val="both"/>
        <w:rPr>
          <w:b/>
          <w:bCs/>
        </w:rPr>
      </w:pPr>
      <w:r w:rsidRPr="00A11F92">
        <w:rPr>
          <w:b/>
          <w:bCs/>
        </w:rPr>
        <w:t xml:space="preserve">Netieša nodoma pazīmes attiecībā </w:t>
      </w:r>
      <w:r w:rsidR="007D1FB0">
        <w:rPr>
          <w:b/>
          <w:bCs/>
        </w:rPr>
        <w:t>uz</w:t>
      </w:r>
      <w:r w:rsidRPr="00A11F92">
        <w:rPr>
          <w:b/>
          <w:bCs/>
        </w:rPr>
        <w:t xml:space="preserve"> darbību</w:t>
      </w:r>
    </w:p>
    <w:p w14:paraId="3EFE461F" w14:textId="77777777" w:rsidR="00011D97" w:rsidRPr="00A11F92" w:rsidRDefault="00011D97" w:rsidP="00011D97">
      <w:pPr>
        <w:spacing w:line="276" w:lineRule="auto"/>
        <w:jc w:val="both"/>
      </w:pPr>
      <w:r w:rsidRPr="00A11F92">
        <w:t>Netiešs nodoms pret darbību pastāv tad, ja persona droši nezina, taču uzskata par iespējamu, ka pastāv apstāklis, kas atbilst noziedzīga nodarījuma sastāva pazīmei (nodoma zināšanas jeb intelektuālais elements), tomēr veic attiecīgo darbību, apzināti pieļaujot jeb samierinoties ar to, ka attiecīgais apstāklis varētu pastāvēt (nodoma gribas elements).</w:t>
      </w:r>
    </w:p>
    <w:p w14:paraId="3BD4DFEA" w14:textId="7869FC12" w:rsidR="00011D97" w:rsidRDefault="00011D97" w:rsidP="00011D97">
      <w:pPr>
        <w:spacing w:line="276" w:lineRule="auto"/>
        <w:jc w:val="both"/>
      </w:pPr>
      <w:r w:rsidRPr="00A11F92">
        <w:t xml:space="preserve">Šādas psihiskās attieksmes būtiskākais kritērijs ir šāds: jo ar lielāku varbūtību apsūdzētais apzinājies iespēju, ka pastāv attiecīgais apstāklis (piemēram, noteikts cietušā vecums, sievietes grūtniecība u.c.), jo drīzāk viņš šo iespēju apzināti pieļāvis jeb samierinājies </w:t>
      </w:r>
      <w:r w:rsidR="007D1FB0">
        <w:t xml:space="preserve">ar to </w:t>
      </w:r>
      <w:r w:rsidRPr="00A11F92">
        <w:t>un tādējādi rīkojies ar netiešu nodomu, un otrādi – jo ar mazāku varbūtību apsūdzētais to apzinājies, jo drīzāk netieša nodoma nav.</w:t>
      </w:r>
    </w:p>
    <w:p w14:paraId="7E01678B" w14:textId="77777777" w:rsidR="00011D97" w:rsidRDefault="00011D97" w:rsidP="00011D97">
      <w:pPr>
        <w:spacing w:line="276" w:lineRule="auto"/>
        <w:jc w:val="both"/>
      </w:pPr>
    </w:p>
    <w:p w14:paraId="628BC862" w14:textId="77777777" w:rsidR="00011D97" w:rsidRPr="00A11F92" w:rsidRDefault="00011D97" w:rsidP="00011D97">
      <w:pPr>
        <w:spacing w:line="276" w:lineRule="auto"/>
        <w:jc w:val="both"/>
        <w:rPr>
          <w:b/>
          <w:bCs/>
        </w:rPr>
      </w:pPr>
      <w:r w:rsidRPr="00A11F92">
        <w:rPr>
          <w:b/>
          <w:bCs/>
        </w:rPr>
        <w:t>Krimināllikuma 114.</w:t>
      </w:r>
      <w:r>
        <w:rPr>
          <w:b/>
          <w:bCs/>
        </w:rPr>
        <w:t> </w:t>
      </w:r>
      <w:r w:rsidRPr="00A11F92">
        <w:rPr>
          <w:b/>
          <w:bCs/>
        </w:rPr>
        <w:t>pantā paredzētā nozieguma subjektīvā puse</w:t>
      </w:r>
    </w:p>
    <w:p w14:paraId="279341C7" w14:textId="77777777" w:rsidR="00011D97" w:rsidRPr="00A11F92" w:rsidRDefault="00011D97" w:rsidP="00011D97">
      <w:pPr>
        <w:spacing w:line="276" w:lineRule="auto"/>
        <w:jc w:val="both"/>
      </w:pPr>
      <w:r w:rsidRPr="00A11F92">
        <w:t>Attiecībā uz darbību, kas veido Krimināllikuma 114.</w:t>
      </w:r>
      <w:r>
        <w:t> </w:t>
      </w:r>
      <w:r w:rsidRPr="00A11F92">
        <w:t>pantā paredzētā nozieguma sastāva objektīvo pusi, ir nepieciešams konstatēt tiešu vai netiešu nodomu, pret kaitīgajām sekām ir pietiekams gan nodoms, gan neuzmanība abos to veidos.</w:t>
      </w:r>
    </w:p>
    <w:p w14:paraId="574F3187" w14:textId="5E8CA520" w:rsidR="00011D97" w:rsidRPr="00A11F92" w:rsidRDefault="00011D97" w:rsidP="00011D97">
      <w:pPr>
        <w:spacing w:line="276" w:lineRule="auto"/>
        <w:jc w:val="both"/>
      </w:pPr>
      <w:r w:rsidRPr="00A11F92">
        <w:t xml:space="preserve">Lai konstatētu netiešu nodomu pret darbību – rīkojumu nozāģēt dižkoku –, jābūt konstatētiem apstākļiem, kas apsūdzētajam radīja pamatu nopietni pieļaut to, ka kādam no kokiem ir īpašs aizsardzības režīms (nodoma zināšanas jeb intelektuālais elements), un, neraugoties uz to, viņš, apzināti pieļaujot jeb samierinoties ar šādu varbūtību (nodoma gribas elements), deva rīkojumu koku nocirst. Šādas psihiskās attieksmes būtiskākais kritērijs ir šāds: jo ar lielāku varbūtību apsūdzētais apzinājies iespēju, ka nocērtamais koks ir dižkoks, jo drīzāk viņš šo iespēju apzināti pieļāvis jeb samierinājies </w:t>
      </w:r>
      <w:r w:rsidR="007D1FB0">
        <w:t xml:space="preserve">ar to </w:t>
      </w:r>
      <w:r w:rsidRPr="00A11F92">
        <w:t xml:space="preserve">un tādējādi rīkojies ar netiešu nodomu. Un otrādi – jo ar mazāku varbūtību apsūdzētais to apzinājies, jo drīzāk netieša nodoma nav. </w:t>
      </w:r>
    </w:p>
    <w:p w14:paraId="142BF7C4" w14:textId="6D4A94B2" w:rsidR="00011D97" w:rsidRPr="00A11F92" w:rsidRDefault="00011D97" w:rsidP="00011D97">
      <w:pPr>
        <w:spacing w:line="276" w:lineRule="auto"/>
        <w:jc w:val="both"/>
      </w:pPr>
      <w:r w:rsidRPr="00A11F92">
        <w:t>Pārbaudot netiešu nodomu, nozīme ir piešķirama apsūdzētā priekšzināšanām un pieredzei, rīcības motīviem un mērķiem, kā arī viņa rīcības blakus apstākļiem, piemēram, steidzīgai, maskētai rīcībai vai</w:t>
      </w:r>
      <w:r w:rsidR="001A0392">
        <w:t xml:space="preserve"> </w:t>
      </w:r>
      <w:r w:rsidRPr="00A11F92">
        <w:t>mēģinājum</w:t>
      </w:r>
      <w:r w:rsidR="001A0392">
        <w:t>a</w:t>
      </w:r>
      <w:r w:rsidRPr="00A11F92">
        <w:t xml:space="preserve">m </w:t>
      </w:r>
      <w:r w:rsidR="001A0392">
        <w:t xml:space="preserve">izvairīties </w:t>
      </w:r>
      <w:r w:rsidRPr="00A11F92">
        <w:t>no iespējamā pārkāpuma atklāšanas, kas var kalpot par netieša nodoma pazīmi. Minēto apstākļu uzskaitījums nav izsmeļošs.</w:t>
      </w:r>
    </w:p>
    <w:p w14:paraId="210E6B4A" w14:textId="77777777" w:rsidR="003902C7" w:rsidRDefault="003902C7" w:rsidP="00011D97">
      <w:pPr>
        <w:spacing w:line="276" w:lineRule="auto"/>
        <w:contextualSpacing/>
        <w:rPr>
          <w:lang w:eastAsia="lv-LV"/>
        </w:rPr>
      </w:pPr>
    </w:p>
    <w:p w14:paraId="30EF74F0" w14:textId="769D0F33" w:rsidR="00447EE6" w:rsidRPr="00011D97" w:rsidRDefault="00447EE6" w:rsidP="00011D97">
      <w:pPr>
        <w:spacing w:line="276" w:lineRule="auto"/>
        <w:jc w:val="center"/>
        <w:rPr>
          <w:b/>
        </w:rPr>
      </w:pPr>
      <w:r w:rsidRPr="00011D97">
        <w:rPr>
          <w:b/>
        </w:rPr>
        <w:t>Latvijas Republikas Senāt</w:t>
      </w:r>
      <w:r w:rsidR="00011D97" w:rsidRPr="00011D97">
        <w:rPr>
          <w:b/>
        </w:rPr>
        <w:t>a</w:t>
      </w:r>
    </w:p>
    <w:p w14:paraId="78B55040" w14:textId="7C5CEADD" w:rsidR="00011D97" w:rsidRPr="00011D97" w:rsidRDefault="00011D97" w:rsidP="00011D97">
      <w:pPr>
        <w:spacing w:line="276" w:lineRule="auto"/>
        <w:contextualSpacing/>
        <w:jc w:val="center"/>
        <w:rPr>
          <w:b/>
          <w:lang w:eastAsia="lv-LV"/>
        </w:rPr>
      </w:pPr>
      <w:r w:rsidRPr="00011D97">
        <w:rPr>
          <w:b/>
          <w:lang w:eastAsia="lv-LV"/>
        </w:rPr>
        <w:t>Krimināllietu departamenta</w:t>
      </w:r>
    </w:p>
    <w:p w14:paraId="47A39B45" w14:textId="264995C0" w:rsidR="00011D97" w:rsidRPr="00011D97" w:rsidRDefault="00011D97" w:rsidP="00011D97">
      <w:pPr>
        <w:spacing w:line="276" w:lineRule="auto"/>
        <w:jc w:val="center"/>
        <w:rPr>
          <w:b/>
        </w:rPr>
      </w:pPr>
      <w:r w:rsidRPr="00011D97">
        <w:rPr>
          <w:b/>
        </w:rPr>
        <w:t>2025. gada 16. septembra</w:t>
      </w:r>
    </w:p>
    <w:p w14:paraId="6D65DEB2" w14:textId="3840C2B6" w:rsidR="00447EE6" w:rsidRPr="00011D97" w:rsidRDefault="0084599C" w:rsidP="00011D97">
      <w:pPr>
        <w:spacing w:line="276" w:lineRule="auto"/>
        <w:jc w:val="center"/>
        <w:rPr>
          <w:b/>
        </w:rPr>
      </w:pPr>
      <w:r w:rsidRPr="00011D97">
        <w:rPr>
          <w:b/>
        </w:rPr>
        <w:t>LĒMUMS</w:t>
      </w:r>
    </w:p>
    <w:p w14:paraId="23D8339D" w14:textId="77777777" w:rsidR="00011D97" w:rsidRPr="00011D97" w:rsidRDefault="00011D97" w:rsidP="00011D97">
      <w:pPr>
        <w:spacing w:line="276" w:lineRule="auto"/>
        <w:contextualSpacing/>
        <w:jc w:val="center"/>
        <w:rPr>
          <w:b/>
          <w:lang w:eastAsia="lv-LV"/>
        </w:rPr>
      </w:pPr>
      <w:r w:rsidRPr="00011D97">
        <w:rPr>
          <w:b/>
          <w:lang w:eastAsia="lv-LV"/>
        </w:rPr>
        <w:t>Lieta Nr. 11370038219, SKK-196/2025</w:t>
      </w:r>
    </w:p>
    <w:p w14:paraId="41798563" w14:textId="3CC9B7DF" w:rsidR="00011D97" w:rsidRDefault="00011D97" w:rsidP="00011D97">
      <w:pPr>
        <w:spacing w:line="276" w:lineRule="auto"/>
        <w:jc w:val="center"/>
      </w:pPr>
      <w:hyperlink r:id="rId8" w:history="1">
        <w:r w:rsidRPr="00011D97">
          <w:rPr>
            <w:rStyle w:val="Hyperlink"/>
          </w:rPr>
          <w:t>ECLI:LV:AT:2025:0916.11370038219.9.L</w:t>
        </w:r>
      </w:hyperlink>
    </w:p>
    <w:p w14:paraId="1454F163" w14:textId="663E9091" w:rsidR="00E73356" w:rsidRDefault="00447EE6" w:rsidP="00E73356">
      <w:pPr>
        <w:spacing w:before="360" w:line="276" w:lineRule="auto"/>
        <w:ind w:firstLine="720"/>
        <w:jc w:val="both"/>
      </w:pPr>
      <w:r>
        <w:t xml:space="preserve">Senāts </w:t>
      </w:r>
      <w:r w:rsidRPr="00011547">
        <w:t>šādā sastāvā</w:t>
      </w:r>
      <w:r>
        <w:t>:</w:t>
      </w:r>
      <w:r w:rsidR="0084599C">
        <w:t xml:space="preserve"> senators referents Māris Leja, </w:t>
      </w:r>
      <w:r w:rsidR="0084599C" w:rsidRPr="00EB21E6">
        <w:t>senatores</w:t>
      </w:r>
      <w:r w:rsidR="000D5328" w:rsidRPr="00EB21E6">
        <w:t xml:space="preserve"> </w:t>
      </w:r>
      <w:r w:rsidR="007501BB">
        <w:t>Sandra Kaija</w:t>
      </w:r>
      <w:r w:rsidR="00EB21E6">
        <w:t xml:space="preserve"> un</w:t>
      </w:r>
      <w:r w:rsidR="00EB21E6" w:rsidRPr="00EB21E6">
        <w:t xml:space="preserve"> </w:t>
      </w:r>
      <w:r w:rsidR="007501BB">
        <w:t>Inguna Radzeviča</w:t>
      </w:r>
      <w:r w:rsidR="00E73356">
        <w:t>,</w:t>
      </w:r>
    </w:p>
    <w:p w14:paraId="4187FCEC" w14:textId="1D03936C" w:rsidR="0084599C" w:rsidRPr="00E73356" w:rsidRDefault="0084599C" w:rsidP="00E73356">
      <w:pPr>
        <w:spacing w:before="360" w:line="276" w:lineRule="auto"/>
        <w:ind w:firstLine="720"/>
        <w:jc w:val="both"/>
      </w:pPr>
      <w:r w:rsidRPr="00E73356">
        <w:t xml:space="preserve">rakstveida procesā izskatīja krimināllietu sakarā ar </w:t>
      </w:r>
      <w:r w:rsidR="00E73356" w:rsidRPr="00E73356">
        <w:t xml:space="preserve">apsūdzētā </w:t>
      </w:r>
      <w:r w:rsidR="00064DC9">
        <w:t>[pers. A]</w:t>
      </w:r>
      <w:r w:rsidR="00E73356" w:rsidRPr="00E73356">
        <w:t xml:space="preserve"> aizstāvja zvērināta advokāta Gata </w:t>
      </w:r>
      <w:proofErr w:type="spellStart"/>
      <w:r w:rsidR="00E73356" w:rsidRPr="00E73356">
        <w:t>Štauera</w:t>
      </w:r>
      <w:proofErr w:type="spellEnd"/>
      <w:r w:rsidR="00E73356">
        <w:t xml:space="preserve"> kasācijas sūdzību</w:t>
      </w:r>
      <w:r w:rsidR="00EB21E6">
        <w:t xml:space="preserve"> un tās papildinājumiem (turpmāk –</w:t>
      </w:r>
      <w:r w:rsidR="00A87F66">
        <w:t xml:space="preserve"> </w:t>
      </w:r>
      <w:r w:rsidR="00EB21E6">
        <w:t>kasācijas sūdzība)</w:t>
      </w:r>
      <w:r w:rsidR="00E73356">
        <w:t xml:space="preserve"> par Zemgales apgabaltiesas 2024.</w:t>
      </w:r>
      <w:r w:rsidR="00320E89">
        <w:t> </w:t>
      </w:r>
      <w:r w:rsidR="00E73356">
        <w:t>gada 12.</w:t>
      </w:r>
      <w:r w:rsidR="003A55CF">
        <w:t> </w:t>
      </w:r>
      <w:r w:rsidR="00E73356">
        <w:t>novembra</w:t>
      </w:r>
      <w:r w:rsidR="00E73356" w:rsidRPr="00E654AB">
        <w:t xml:space="preserve"> spriedumu</w:t>
      </w:r>
      <w:r w:rsidR="00E73356">
        <w:t>.</w:t>
      </w:r>
    </w:p>
    <w:p w14:paraId="12882064" w14:textId="77777777" w:rsidR="00447EE6" w:rsidRPr="00011547" w:rsidRDefault="00447EE6" w:rsidP="00177A7F">
      <w:pPr>
        <w:spacing w:before="360" w:after="360" w:line="276" w:lineRule="auto"/>
        <w:jc w:val="center"/>
        <w:rPr>
          <w:shd w:val="clear" w:color="auto" w:fill="FFFFFF"/>
        </w:rPr>
      </w:pPr>
      <w:r w:rsidRPr="00011547">
        <w:rPr>
          <w:b/>
          <w:shd w:val="clear" w:color="auto" w:fill="FFFFFF"/>
        </w:rPr>
        <w:lastRenderedPageBreak/>
        <w:t>Aprakstošā daļa</w:t>
      </w:r>
    </w:p>
    <w:p w14:paraId="1115ED73" w14:textId="792D9E29" w:rsidR="00F30AA3" w:rsidRDefault="00447EE6" w:rsidP="007310DE">
      <w:pPr>
        <w:pStyle w:val="NormalWeb"/>
        <w:shd w:val="clear" w:color="auto" w:fill="FFFFFF"/>
        <w:spacing w:before="0" w:beforeAutospacing="0" w:after="0" w:afterAutospacing="0" w:line="276" w:lineRule="auto"/>
        <w:ind w:firstLine="720"/>
        <w:jc w:val="both"/>
        <w:rPr>
          <w:shd w:val="clear" w:color="auto" w:fill="FFFFFF"/>
        </w:rPr>
      </w:pPr>
      <w:r w:rsidRPr="00B66CF3">
        <w:rPr>
          <w:shd w:val="clear" w:color="auto" w:fill="FFFFFF"/>
        </w:rPr>
        <w:t>[1]</w:t>
      </w:r>
      <w:r w:rsidR="00E73356">
        <w:rPr>
          <w:shd w:val="clear" w:color="auto" w:fill="FFFFFF"/>
        </w:rPr>
        <w:t xml:space="preserve"> </w:t>
      </w:r>
      <w:r w:rsidR="00E73356" w:rsidRPr="00E73356">
        <w:rPr>
          <w:shd w:val="clear" w:color="auto" w:fill="FFFFFF"/>
        </w:rPr>
        <w:t>Ar Zemgales rajona tiesas (Aizkraukl</w:t>
      </w:r>
      <w:r w:rsidR="00E73356" w:rsidRPr="00E73356">
        <w:rPr>
          <w:rFonts w:hint="eastAsia"/>
          <w:shd w:val="clear" w:color="auto" w:fill="FFFFFF"/>
        </w:rPr>
        <w:t>ē</w:t>
      </w:r>
      <w:r w:rsidR="00E73356" w:rsidRPr="00E73356">
        <w:rPr>
          <w:shd w:val="clear" w:color="auto" w:fill="FFFFFF"/>
        </w:rPr>
        <w:t>) 2021.</w:t>
      </w:r>
      <w:r w:rsidR="007F357F">
        <w:rPr>
          <w:shd w:val="clear" w:color="auto" w:fill="FFFFFF"/>
        </w:rPr>
        <w:t> </w:t>
      </w:r>
      <w:r w:rsidR="00E73356" w:rsidRPr="00E73356">
        <w:rPr>
          <w:shd w:val="clear" w:color="auto" w:fill="FFFFFF"/>
        </w:rPr>
        <w:t>gada 15.</w:t>
      </w:r>
      <w:r w:rsidR="00E73356">
        <w:rPr>
          <w:shd w:val="clear" w:color="auto" w:fill="FFFFFF"/>
        </w:rPr>
        <w:t> </w:t>
      </w:r>
      <w:r w:rsidR="00E73356" w:rsidRPr="00E73356">
        <w:rPr>
          <w:shd w:val="clear" w:color="auto" w:fill="FFFFFF"/>
        </w:rPr>
        <w:t>novembra spriedumu</w:t>
      </w:r>
    </w:p>
    <w:p w14:paraId="42DABAF5" w14:textId="60DD94C3" w:rsidR="00F30AA3" w:rsidRDefault="00064DC9" w:rsidP="00F30AA3">
      <w:pPr>
        <w:pStyle w:val="NormalWeb"/>
        <w:shd w:val="clear" w:color="auto" w:fill="FFFFFF"/>
        <w:spacing w:before="0" w:beforeAutospacing="0" w:after="0" w:afterAutospacing="0" w:line="276" w:lineRule="auto"/>
        <w:ind w:firstLine="720"/>
        <w:jc w:val="both"/>
        <w:rPr>
          <w:shd w:val="clear" w:color="auto" w:fill="FFFFFF"/>
        </w:rPr>
      </w:pPr>
      <w:r>
        <w:t>[pers. A]</w:t>
      </w:r>
      <w:r w:rsidR="00E73356" w:rsidRPr="00E73356">
        <w:rPr>
          <w:shd w:val="clear" w:color="auto" w:fill="FFFFFF"/>
        </w:rPr>
        <w:t xml:space="preserve">, personas kods </w:t>
      </w:r>
      <w:r>
        <w:rPr>
          <w:shd w:val="clear" w:color="auto" w:fill="FFFFFF"/>
        </w:rPr>
        <w:t>[..]</w:t>
      </w:r>
      <w:r w:rsidR="00E73356" w:rsidRPr="00E73356">
        <w:rPr>
          <w:shd w:val="clear" w:color="auto" w:fill="FFFFFF"/>
        </w:rPr>
        <w:t>,</w:t>
      </w:r>
    </w:p>
    <w:p w14:paraId="068B4E57" w14:textId="3A40D282" w:rsidR="00F30AA3" w:rsidRDefault="00B22C3E" w:rsidP="00F30AA3">
      <w:pPr>
        <w:pStyle w:val="NormalWeb"/>
        <w:shd w:val="clear" w:color="auto" w:fill="FFFFFF"/>
        <w:spacing w:before="0" w:beforeAutospacing="0" w:after="0" w:afterAutospacing="0" w:line="276" w:lineRule="auto"/>
        <w:ind w:firstLine="720"/>
        <w:jc w:val="both"/>
        <w:rPr>
          <w:shd w:val="clear" w:color="auto" w:fill="FFFFFF"/>
        </w:rPr>
      </w:pPr>
      <w:r w:rsidRPr="00ED6FB0">
        <w:rPr>
          <w:shd w:val="clear" w:color="auto" w:fill="FFFFFF"/>
        </w:rPr>
        <w:t>atzīts par nevainīgu pret viņu celtajā apsūdzībā pēc Krimināllikuma 114.</w:t>
      </w:r>
      <w:r w:rsidR="007F357F">
        <w:rPr>
          <w:shd w:val="clear" w:color="auto" w:fill="FFFFFF"/>
        </w:rPr>
        <w:t> </w:t>
      </w:r>
      <w:r w:rsidRPr="00ED6FB0">
        <w:rPr>
          <w:shd w:val="clear" w:color="auto" w:fill="FFFFFF"/>
        </w:rPr>
        <w:t>panta par īpaši aizsargājamas teritorijas iznīcināšanu, radot būtisku kaitējumu, un attaisnots.</w:t>
      </w:r>
    </w:p>
    <w:p w14:paraId="73EB8A10" w14:textId="77777777" w:rsidR="00F30AA3" w:rsidRDefault="00F30AA3" w:rsidP="00F30AA3">
      <w:pPr>
        <w:pStyle w:val="NormalWeb"/>
        <w:shd w:val="clear" w:color="auto" w:fill="FFFFFF"/>
        <w:spacing w:before="0" w:beforeAutospacing="0" w:after="0" w:afterAutospacing="0" w:line="276" w:lineRule="auto"/>
        <w:ind w:firstLine="720"/>
        <w:jc w:val="both"/>
        <w:rPr>
          <w:shd w:val="clear" w:color="auto" w:fill="FFFFFF"/>
        </w:rPr>
      </w:pPr>
    </w:p>
    <w:p w14:paraId="28A77429" w14:textId="53761409" w:rsidR="00E73356" w:rsidRDefault="00E73356" w:rsidP="007310DE">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w:t>
      </w:r>
      <w:r w:rsidR="00B22C3E">
        <w:rPr>
          <w:shd w:val="clear" w:color="auto" w:fill="FFFFFF"/>
        </w:rPr>
        <w:t>2</w:t>
      </w:r>
      <w:r>
        <w:rPr>
          <w:shd w:val="clear" w:color="auto" w:fill="FFFFFF"/>
        </w:rPr>
        <w:t xml:space="preserve">] </w:t>
      </w:r>
      <w:r w:rsidRPr="00E73356">
        <w:rPr>
          <w:shd w:val="clear" w:color="auto" w:fill="FFFFFF"/>
        </w:rPr>
        <w:t>Ar Zemgales apgabaltiesas 2022.</w:t>
      </w:r>
      <w:r w:rsidR="00B13C87">
        <w:rPr>
          <w:shd w:val="clear" w:color="auto" w:fill="FFFFFF"/>
        </w:rPr>
        <w:t> </w:t>
      </w:r>
      <w:r w:rsidRPr="00E73356">
        <w:rPr>
          <w:shd w:val="clear" w:color="auto" w:fill="FFFFFF"/>
        </w:rPr>
        <w:t>gada 11.</w:t>
      </w:r>
      <w:r>
        <w:rPr>
          <w:shd w:val="clear" w:color="auto" w:fill="FFFFFF"/>
        </w:rPr>
        <w:t> </w:t>
      </w:r>
      <w:r w:rsidRPr="00E73356">
        <w:rPr>
          <w:shd w:val="clear" w:color="auto" w:fill="FFFFFF"/>
        </w:rPr>
        <w:t>apr</w:t>
      </w:r>
      <w:r w:rsidRPr="00E73356">
        <w:rPr>
          <w:rFonts w:hint="eastAsia"/>
          <w:shd w:val="clear" w:color="auto" w:fill="FFFFFF"/>
        </w:rPr>
        <w:t>īļ</w:t>
      </w:r>
      <w:r w:rsidRPr="00E73356">
        <w:rPr>
          <w:shd w:val="clear" w:color="auto" w:fill="FFFFFF"/>
        </w:rPr>
        <w:t>a l</w:t>
      </w:r>
      <w:r w:rsidRPr="00E73356">
        <w:rPr>
          <w:rFonts w:hint="eastAsia"/>
          <w:shd w:val="clear" w:color="auto" w:fill="FFFFFF"/>
        </w:rPr>
        <w:t>ē</w:t>
      </w:r>
      <w:r w:rsidRPr="00E73356">
        <w:rPr>
          <w:shd w:val="clear" w:color="auto" w:fill="FFFFFF"/>
        </w:rPr>
        <w:t>mumu, izties</w:t>
      </w:r>
      <w:r w:rsidRPr="00E73356">
        <w:rPr>
          <w:rFonts w:hint="eastAsia"/>
          <w:shd w:val="clear" w:color="auto" w:fill="FFFFFF"/>
        </w:rPr>
        <w:t>ā</w:t>
      </w:r>
      <w:r w:rsidRPr="00E73356">
        <w:rPr>
          <w:shd w:val="clear" w:color="auto" w:fill="FFFFFF"/>
        </w:rPr>
        <w:t>jot lietu sakar</w:t>
      </w:r>
      <w:r w:rsidRPr="00E73356">
        <w:rPr>
          <w:rFonts w:hint="eastAsia"/>
          <w:shd w:val="clear" w:color="auto" w:fill="FFFFFF"/>
        </w:rPr>
        <w:t>ā</w:t>
      </w:r>
      <w:r w:rsidRPr="00E73356">
        <w:rPr>
          <w:shd w:val="clear" w:color="auto" w:fill="FFFFFF"/>
        </w:rPr>
        <w:t xml:space="preserve"> ar</w:t>
      </w:r>
      <w:r>
        <w:rPr>
          <w:shd w:val="clear" w:color="auto" w:fill="FFFFFF"/>
        </w:rPr>
        <w:t xml:space="preserve"> </w:t>
      </w:r>
      <w:r w:rsidRPr="00E73356">
        <w:rPr>
          <w:shd w:val="clear" w:color="auto" w:fill="FFFFFF"/>
        </w:rPr>
        <w:t>Austrumzemgales prokurat</w:t>
      </w:r>
      <w:r w:rsidRPr="00E73356">
        <w:rPr>
          <w:rFonts w:hint="eastAsia"/>
          <w:shd w:val="clear" w:color="auto" w:fill="FFFFFF"/>
        </w:rPr>
        <w:t>ū</w:t>
      </w:r>
      <w:r w:rsidRPr="00E73356">
        <w:rPr>
          <w:shd w:val="clear" w:color="auto" w:fill="FFFFFF"/>
        </w:rPr>
        <w:t>ras prokurora A</w:t>
      </w:r>
      <w:r w:rsidR="00A64B55">
        <w:rPr>
          <w:shd w:val="clear" w:color="auto" w:fill="FFFFFF"/>
        </w:rPr>
        <w:t>ndra</w:t>
      </w:r>
      <w:r w:rsidR="00B13C87">
        <w:rPr>
          <w:shd w:val="clear" w:color="auto" w:fill="FFFFFF"/>
        </w:rPr>
        <w:t xml:space="preserve"> </w:t>
      </w:r>
      <w:r w:rsidRPr="00E73356">
        <w:rPr>
          <w:shd w:val="clear" w:color="auto" w:fill="FFFFFF"/>
        </w:rPr>
        <w:t>Preisa apel</w:t>
      </w:r>
      <w:r w:rsidRPr="00E73356">
        <w:rPr>
          <w:rFonts w:hint="eastAsia"/>
          <w:shd w:val="clear" w:color="auto" w:fill="FFFFFF"/>
        </w:rPr>
        <w:t>ā</w:t>
      </w:r>
      <w:r w:rsidRPr="00E73356">
        <w:rPr>
          <w:shd w:val="clear" w:color="auto" w:fill="FFFFFF"/>
        </w:rPr>
        <w:t>cijas protestu un Dabas aizsardz</w:t>
      </w:r>
      <w:r w:rsidRPr="00E73356">
        <w:rPr>
          <w:rFonts w:hint="eastAsia"/>
          <w:shd w:val="clear" w:color="auto" w:fill="FFFFFF"/>
        </w:rPr>
        <w:t>ī</w:t>
      </w:r>
      <w:r w:rsidRPr="00E73356">
        <w:rPr>
          <w:shd w:val="clear" w:color="auto" w:fill="FFFFFF"/>
        </w:rPr>
        <w:t>bas</w:t>
      </w:r>
      <w:r>
        <w:rPr>
          <w:shd w:val="clear" w:color="auto" w:fill="FFFFFF"/>
        </w:rPr>
        <w:t xml:space="preserve"> </w:t>
      </w:r>
      <w:r w:rsidRPr="00E73356">
        <w:rPr>
          <w:shd w:val="clear" w:color="auto" w:fill="FFFFFF"/>
        </w:rPr>
        <w:t>p</w:t>
      </w:r>
      <w:r w:rsidRPr="00E73356">
        <w:rPr>
          <w:rFonts w:hint="eastAsia"/>
          <w:shd w:val="clear" w:color="auto" w:fill="FFFFFF"/>
        </w:rPr>
        <w:t>ā</w:t>
      </w:r>
      <w:r w:rsidRPr="00E73356">
        <w:rPr>
          <w:shd w:val="clear" w:color="auto" w:fill="FFFFFF"/>
        </w:rPr>
        <w:t>rvaldes apel</w:t>
      </w:r>
      <w:r w:rsidRPr="00E73356">
        <w:rPr>
          <w:rFonts w:hint="eastAsia"/>
          <w:shd w:val="clear" w:color="auto" w:fill="FFFFFF"/>
        </w:rPr>
        <w:t>ā</w:t>
      </w:r>
      <w:r w:rsidRPr="00E73356">
        <w:rPr>
          <w:shd w:val="clear" w:color="auto" w:fill="FFFFFF"/>
        </w:rPr>
        <w:t>cijas s</w:t>
      </w:r>
      <w:r w:rsidRPr="00E73356">
        <w:rPr>
          <w:rFonts w:hint="eastAsia"/>
          <w:shd w:val="clear" w:color="auto" w:fill="FFFFFF"/>
        </w:rPr>
        <w:t>ū</w:t>
      </w:r>
      <w:r w:rsidRPr="00E73356">
        <w:rPr>
          <w:shd w:val="clear" w:color="auto" w:fill="FFFFFF"/>
        </w:rPr>
        <w:t>dz</w:t>
      </w:r>
      <w:r w:rsidRPr="00E73356">
        <w:rPr>
          <w:rFonts w:hint="eastAsia"/>
          <w:shd w:val="clear" w:color="auto" w:fill="FFFFFF"/>
        </w:rPr>
        <w:t>ī</w:t>
      </w:r>
      <w:r w:rsidRPr="00E73356">
        <w:rPr>
          <w:shd w:val="clear" w:color="auto" w:fill="FFFFFF"/>
        </w:rPr>
        <w:t>bu, Zemgales rajona tiesas 2021.</w:t>
      </w:r>
      <w:r>
        <w:rPr>
          <w:shd w:val="clear" w:color="auto" w:fill="FFFFFF"/>
        </w:rPr>
        <w:t> </w:t>
      </w:r>
      <w:r w:rsidRPr="00E73356">
        <w:rPr>
          <w:shd w:val="clear" w:color="auto" w:fill="FFFFFF"/>
        </w:rPr>
        <w:t>gada 15.</w:t>
      </w:r>
      <w:r>
        <w:rPr>
          <w:shd w:val="clear" w:color="auto" w:fill="FFFFFF"/>
        </w:rPr>
        <w:t> </w:t>
      </w:r>
      <w:r w:rsidRPr="00E73356">
        <w:rPr>
          <w:shd w:val="clear" w:color="auto" w:fill="FFFFFF"/>
        </w:rPr>
        <w:t>novembra spriedums atst</w:t>
      </w:r>
      <w:r w:rsidRPr="00E73356">
        <w:rPr>
          <w:rFonts w:hint="eastAsia"/>
          <w:shd w:val="clear" w:color="auto" w:fill="FFFFFF"/>
        </w:rPr>
        <w:t>ā</w:t>
      </w:r>
      <w:r w:rsidRPr="00E73356">
        <w:rPr>
          <w:shd w:val="clear" w:color="auto" w:fill="FFFFFF"/>
        </w:rPr>
        <w:t>ts</w:t>
      </w:r>
      <w:r>
        <w:rPr>
          <w:shd w:val="clear" w:color="auto" w:fill="FFFFFF"/>
        </w:rPr>
        <w:t xml:space="preserve"> </w:t>
      </w:r>
      <w:r w:rsidRPr="00E73356">
        <w:rPr>
          <w:shd w:val="clear" w:color="auto" w:fill="FFFFFF"/>
        </w:rPr>
        <w:t>negroz</w:t>
      </w:r>
      <w:r w:rsidRPr="00E73356">
        <w:rPr>
          <w:rFonts w:hint="eastAsia"/>
          <w:shd w:val="clear" w:color="auto" w:fill="FFFFFF"/>
        </w:rPr>
        <w:t>ī</w:t>
      </w:r>
      <w:r w:rsidRPr="00E73356">
        <w:rPr>
          <w:shd w:val="clear" w:color="auto" w:fill="FFFFFF"/>
        </w:rPr>
        <w:t>ts.</w:t>
      </w:r>
    </w:p>
    <w:p w14:paraId="6E5D9AF6" w14:textId="06F35A4E" w:rsidR="00E73356" w:rsidRDefault="00E73356" w:rsidP="00E73356">
      <w:pPr>
        <w:pStyle w:val="NormalWeb"/>
        <w:shd w:val="clear" w:color="auto" w:fill="FFFFFF"/>
        <w:spacing w:line="276" w:lineRule="auto"/>
        <w:ind w:firstLine="720"/>
        <w:jc w:val="both"/>
        <w:rPr>
          <w:shd w:val="clear" w:color="auto" w:fill="FFFFFF"/>
        </w:rPr>
      </w:pPr>
      <w:r>
        <w:rPr>
          <w:shd w:val="clear" w:color="auto" w:fill="FFFFFF"/>
        </w:rPr>
        <w:t>[</w:t>
      </w:r>
      <w:r w:rsidR="00B22C3E">
        <w:rPr>
          <w:shd w:val="clear" w:color="auto" w:fill="FFFFFF"/>
        </w:rPr>
        <w:t>3</w:t>
      </w:r>
      <w:r>
        <w:rPr>
          <w:shd w:val="clear" w:color="auto" w:fill="FFFFFF"/>
        </w:rPr>
        <w:t>] Ar Senāta 2023.</w:t>
      </w:r>
      <w:r w:rsidR="00FE3B3B">
        <w:rPr>
          <w:shd w:val="clear" w:color="auto" w:fill="FFFFFF"/>
        </w:rPr>
        <w:t> </w:t>
      </w:r>
      <w:r>
        <w:rPr>
          <w:shd w:val="clear" w:color="auto" w:fill="FFFFFF"/>
        </w:rPr>
        <w:t>gada 13.</w:t>
      </w:r>
      <w:r w:rsidR="00FE3B3B">
        <w:rPr>
          <w:shd w:val="clear" w:color="auto" w:fill="FFFFFF"/>
        </w:rPr>
        <w:t> </w:t>
      </w:r>
      <w:r>
        <w:rPr>
          <w:shd w:val="clear" w:color="auto" w:fill="FFFFFF"/>
        </w:rPr>
        <w:t xml:space="preserve">aprīļa lēmumu, </w:t>
      </w:r>
      <w:r w:rsidRPr="00E73356">
        <w:rPr>
          <w:shd w:val="clear" w:color="auto" w:fill="FFFFFF"/>
        </w:rPr>
        <w:t>izskat</w:t>
      </w:r>
      <w:r>
        <w:rPr>
          <w:shd w:val="clear" w:color="auto" w:fill="FFFFFF"/>
        </w:rPr>
        <w:t>ot</w:t>
      </w:r>
      <w:r w:rsidRPr="00E73356">
        <w:rPr>
          <w:shd w:val="clear" w:color="auto" w:fill="FFFFFF"/>
        </w:rPr>
        <w:t xml:space="preserve"> krimin</w:t>
      </w:r>
      <w:r w:rsidRPr="00E73356">
        <w:rPr>
          <w:rFonts w:hint="eastAsia"/>
          <w:shd w:val="clear" w:color="auto" w:fill="FFFFFF"/>
        </w:rPr>
        <w:t>ā</w:t>
      </w:r>
      <w:r w:rsidRPr="00E73356">
        <w:rPr>
          <w:shd w:val="clear" w:color="auto" w:fill="FFFFFF"/>
        </w:rPr>
        <w:t>llietu sakar</w:t>
      </w:r>
      <w:r w:rsidRPr="00E73356">
        <w:rPr>
          <w:rFonts w:hint="eastAsia"/>
          <w:shd w:val="clear" w:color="auto" w:fill="FFFFFF"/>
        </w:rPr>
        <w:t>ā</w:t>
      </w:r>
      <w:r w:rsidRPr="00E73356">
        <w:rPr>
          <w:shd w:val="clear" w:color="auto" w:fill="FFFFFF"/>
        </w:rPr>
        <w:t xml:space="preserve"> ar Austrumzemgales prokurat</w:t>
      </w:r>
      <w:r w:rsidRPr="00E73356">
        <w:rPr>
          <w:rFonts w:hint="eastAsia"/>
          <w:shd w:val="clear" w:color="auto" w:fill="FFFFFF"/>
        </w:rPr>
        <w:t>ū</w:t>
      </w:r>
      <w:r w:rsidRPr="00E73356">
        <w:rPr>
          <w:shd w:val="clear" w:color="auto" w:fill="FFFFFF"/>
        </w:rPr>
        <w:t>ras</w:t>
      </w:r>
      <w:r>
        <w:rPr>
          <w:shd w:val="clear" w:color="auto" w:fill="FFFFFF"/>
        </w:rPr>
        <w:t xml:space="preserve"> </w:t>
      </w:r>
      <w:r w:rsidRPr="00E73356">
        <w:rPr>
          <w:shd w:val="clear" w:color="auto" w:fill="FFFFFF"/>
        </w:rPr>
        <w:t>prokurora A</w:t>
      </w:r>
      <w:r>
        <w:rPr>
          <w:shd w:val="clear" w:color="auto" w:fill="FFFFFF"/>
        </w:rPr>
        <w:t>. </w:t>
      </w:r>
      <w:r w:rsidRPr="00E73356">
        <w:rPr>
          <w:shd w:val="clear" w:color="auto" w:fill="FFFFFF"/>
        </w:rPr>
        <w:t>Preisa kas</w:t>
      </w:r>
      <w:r w:rsidRPr="00E73356">
        <w:rPr>
          <w:rFonts w:hint="eastAsia"/>
          <w:shd w:val="clear" w:color="auto" w:fill="FFFFFF"/>
        </w:rPr>
        <w:t>ā</w:t>
      </w:r>
      <w:r w:rsidRPr="00E73356">
        <w:rPr>
          <w:shd w:val="clear" w:color="auto" w:fill="FFFFFF"/>
        </w:rPr>
        <w:t>cijas protestu un Dabas aizsardz</w:t>
      </w:r>
      <w:r w:rsidRPr="00E73356">
        <w:rPr>
          <w:rFonts w:hint="eastAsia"/>
          <w:shd w:val="clear" w:color="auto" w:fill="FFFFFF"/>
        </w:rPr>
        <w:t>ī</w:t>
      </w:r>
      <w:r w:rsidRPr="00E73356">
        <w:rPr>
          <w:shd w:val="clear" w:color="auto" w:fill="FFFFFF"/>
        </w:rPr>
        <w:t>bas p</w:t>
      </w:r>
      <w:r w:rsidRPr="00E73356">
        <w:rPr>
          <w:rFonts w:hint="eastAsia"/>
          <w:shd w:val="clear" w:color="auto" w:fill="FFFFFF"/>
        </w:rPr>
        <w:t>ā</w:t>
      </w:r>
      <w:r w:rsidRPr="00E73356">
        <w:rPr>
          <w:shd w:val="clear" w:color="auto" w:fill="FFFFFF"/>
        </w:rPr>
        <w:t>rvaldes kas</w:t>
      </w:r>
      <w:r w:rsidRPr="00E73356">
        <w:rPr>
          <w:rFonts w:hint="eastAsia"/>
          <w:shd w:val="clear" w:color="auto" w:fill="FFFFFF"/>
        </w:rPr>
        <w:t>ā</w:t>
      </w:r>
      <w:r w:rsidRPr="00E73356">
        <w:rPr>
          <w:shd w:val="clear" w:color="auto" w:fill="FFFFFF"/>
        </w:rPr>
        <w:t>cijas s</w:t>
      </w:r>
      <w:r w:rsidRPr="00E73356">
        <w:rPr>
          <w:rFonts w:hint="eastAsia"/>
          <w:shd w:val="clear" w:color="auto" w:fill="FFFFFF"/>
        </w:rPr>
        <w:t>ū</w:t>
      </w:r>
      <w:r w:rsidRPr="00E73356">
        <w:rPr>
          <w:shd w:val="clear" w:color="auto" w:fill="FFFFFF"/>
        </w:rPr>
        <w:t>dz</w:t>
      </w:r>
      <w:r w:rsidRPr="00E73356">
        <w:rPr>
          <w:rFonts w:hint="eastAsia"/>
          <w:shd w:val="clear" w:color="auto" w:fill="FFFFFF"/>
        </w:rPr>
        <w:t>ī</w:t>
      </w:r>
      <w:r w:rsidRPr="00E73356">
        <w:rPr>
          <w:shd w:val="clear" w:color="auto" w:fill="FFFFFF"/>
        </w:rPr>
        <w:t>bu</w:t>
      </w:r>
      <w:r>
        <w:rPr>
          <w:shd w:val="clear" w:color="auto" w:fill="FFFFFF"/>
        </w:rPr>
        <w:t>,</w:t>
      </w:r>
      <w:r w:rsidR="00FE3B3B">
        <w:rPr>
          <w:shd w:val="clear" w:color="auto" w:fill="FFFFFF"/>
        </w:rPr>
        <w:t xml:space="preserve"> </w:t>
      </w:r>
      <w:r w:rsidR="00FE3B3B" w:rsidRPr="00E73356">
        <w:rPr>
          <w:shd w:val="clear" w:color="auto" w:fill="FFFFFF"/>
        </w:rPr>
        <w:t>Zemgales apgabaltiesas 2022.</w:t>
      </w:r>
      <w:r w:rsidR="00B13C87">
        <w:rPr>
          <w:shd w:val="clear" w:color="auto" w:fill="FFFFFF"/>
        </w:rPr>
        <w:t> </w:t>
      </w:r>
      <w:r w:rsidR="00FE3B3B" w:rsidRPr="00E73356">
        <w:rPr>
          <w:shd w:val="clear" w:color="auto" w:fill="FFFFFF"/>
        </w:rPr>
        <w:t>gada 11.</w:t>
      </w:r>
      <w:r w:rsidR="00FE3B3B">
        <w:rPr>
          <w:shd w:val="clear" w:color="auto" w:fill="FFFFFF"/>
        </w:rPr>
        <w:t> </w:t>
      </w:r>
      <w:r w:rsidR="00FE3B3B" w:rsidRPr="00E73356">
        <w:rPr>
          <w:shd w:val="clear" w:color="auto" w:fill="FFFFFF"/>
        </w:rPr>
        <w:t>apr</w:t>
      </w:r>
      <w:r w:rsidR="00FE3B3B" w:rsidRPr="00E73356">
        <w:rPr>
          <w:rFonts w:hint="eastAsia"/>
          <w:shd w:val="clear" w:color="auto" w:fill="FFFFFF"/>
        </w:rPr>
        <w:t>īļ</w:t>
      </w:r>
      <w:r w:rsidR="00FE3B3B" w:rsidRPr="00E73356">
        <w:rPr>
          <w:shd w:val="clear" w:color="auto" w:fill="FFFFFF"/>
        </w:rPr>
        <w:t>a l</w:t>
      </w:r>
      <w:r w:rsidR="00FE3B3B" w:rsidRPr="00E73356">
        <w:rPr>
          <w:rFonts w:hint="eastAsia"/>
          <w:shd w:val="clear" w:color="auto" w:fill="FFFFFF"/>
        </w:rPr>
        <w:t>ē</w:t>
      </w:r>
      <w:r w:rsidR="00FE3B3B" w:rsidRPr="00E73356">
        <w:rPr>
          <w:shd w:val="clear" w:color="auto" w:fill="FFFFFF"/>
        </w:rPr>
        <w:t>mum</w:t>
      </w:r>
      <w:r w:rsidR="00FE3B3B">
        <w:rPr>
          <w:shd w:val="clear" w:color="auto" w:fill="FFFFFF"/>
        </w:rPr>
        <w:t>s</w:t>
      </w:r>
      <w:r>
        <w:rPr>
          <w:shd w:val="clear" w:color="auto" w:fill="FFFFFF"/>
        </w:rPr>
        <w:t xml:space="preserve"> atcelts</w:t>
      </w:r>
      <w:r w:rsidRPr="00E73356">
        <w:rPr>
          <w:shd w:val="clear" w:color="auto" w:fill="FFFFFF"/>
        </w:rPr>
        <w:t xml:space="preserve"> piln</w:t>
      </w:r>
      <w:r w:rsidRPr="00E73356">
        <w:rPr>
          <w:rFonts w:hint="eastAsia"/>
          <w:shd w:val="clear" w:color="auto" w:fill="FFFFFF"/>
        </w:rPr>
        <w:t>ī</w:t>
      </w:r>
      <w:r w:rsidRPr="00E73356">
        <w:rPr>
          <w:shd w:val="clear" w:color="auto" w:fill="FFFFFF"/>
        </w:rPr>
        <w:t>b</w:t>
      </w:r>
      <w:r w:rsidRPr="00E73356">
        <w:rPr>
          <w:rFonts w:hint="eastAsia"/>
          <w:shd w:val="clear" w:color="auto" w:fill="FFFFFF"/>
        </w:rPr>
        <w:t>ā</w:t>
      </w:r>
      <w:r w:rsidRPr="00E73356">
        <w:rPr>
          <w:shd w:val="clear" w:color="auto" w:fill="FFFFFF"/>
        </w:rPr>
        <w:t xml:space="preserve"> un liet</w:t>
      </w:r>
      <w:r>
        <w:rPr>
          <w:shd w:val="clear" w:color="auto" w:fill="FFFFFF"/>
        </w:rPr>
        <w:t>a</w:t>
      </w:r>
      <w:r w:rsidRPr="00E73356">
        <w:rPr>
          <w:shd w:val="clear" w:color="auto" w:fill="FFFFFF"/>
        </w:rPr>
        <w:t xml:space="preserve"> </w:t>
      </w:r>
      <w:r>
        <w:rPr>
          <w:shd w:val="clear" w:color="auto" w:fill="FFFFFF"/>
        </w:rPr>
        <w:t xml:space="preserve">nosūtīta </w:t>
      </w:r>
      <w:r w:rsidRPr="00E73356">
        <w:rPr>
          <w:shd w:val="clear" w:color="auto" w:fill="FFFFFF"/>
        </w:rPr>
        <w:t>jaunai</w:t>
      </w:r>
      <w:r>
        <w:rPr>
          <w:shd w:val="clear" w:color="auto" w:fill="FFFFFF"/>
        </w:rPr>
        <w:t xml:space="preserve"> izskatīšanai</w:t>
      </w:r>
      <w:r w:rsidR="003427BE">
        <w:rPr>
          <w:shd w:val="clear" w:color="auto" w:fill="FFFFFF"/>
        </w:rPr>
        <w:t xml:space="preserve"> Zemgales apgabaltiesā</w:t>
      </w:r>
      <w:r>
        <w:rPr>
          <w:shd w:val="clear" w:color="auto" w:fill="FFFFFF"/>
        </w:rPr>
        <w:t>.</w:t>
      </w:r>
    </w:p>
    <w:p w14:paraId="1383CC39" w14:textId="518968A9" w:rsidR="00A64B55" w:rsidRDefault="00E73356" w:rsidP="00FE3B3B">
      <w:pPr>
        <w:pStyle w:val="NormalWeb"/>
        <w:shd w:val="clear" w:color="auto" w:fill="FFFFFF"/>
        <w:spacing w:line="276" w:lineRule="auto"/>
        <w:ind w:firstLine="720"/>
        <w:contextualSpacing/>
        <w:jc w:val="both"/>
        <w:rPr>
          <w:shd w:val="clear" w:color="auto" w:fill="FFFFFF"/>
        </w:rPr>
      </w:pPr>
      <w:r>
        <w:rPr>
          <w:shd w:val="clear" w:color="auto" w:fill="FFFFFF"/>
        </w:rPr>
        <w:t>[</w:t>
      </w:r>
      <w:r w:rsidR="00B22C3E">
        <w:rPr>
          <w:shd w:val="clear" w:color="auto" w:fill="FFFFFF"/>
        </w:rPr>
        <w:t>4</w:t>
      </w:r>
      <w:r>
        <w:rPr>
          <w:shd w:val="clear" w:color="auto" w:fill="FFFFFF"/>
        </w:rPr>
        <w:t xml:space="preserve">] </w:t>
      </w:r>
      <w:r w:rsidR="00FE3B3B">
        <w:rPr>
          <w:shd w:val="clear" w:color="auto" w:fill="FFFFFF"/>
        </w:rPr>
        <w:t>Ar</w:t>
      </w:r>
      <w:r w:rsidR="00FE3B3B" w:rsidRPr="00E73356">
        <w:rPr>
          <w:shd w:val="clear" w:color="auto" w:fill="FFFFFF"/>
        </w:rPr>
        <w:t xml:space="preserve"> Zemgales apgabaltiesas</w:t>
      </w:r>
      <w:r w:rsidR="00FE3B3B">
        <w:rPr>
          <w:shd w:val="clear" w:color="auto" w:fill="FFFFFF"/>
        </w:rPr>
        <w:t xml:space="preserve"> 2024. gada 12. novembra spriedumu,</w:t>
      </w:r>
      <w:r w:rsidR="003427BE">
        <w:rPr>
          <w:shd w:val="clear" w:color="auto" w:fill="FFFFFF"/>
        </w:rPr>
        <w:t xml:space="preserve"> atkārtoti iztiesājot lietu apelācijas kārtībā,</w:t>
      </w:r>
      <w:r w:rsidR="00FE3B3B">
        <w:rPr>
          <w:shd w:val="clear" w:color="auto" w:fill="FFFFFF"/>
        </w:rPr>
        <w:t xml:space="preserve"> </w:t>
      </w:r>
      <w:r w:rsidR="00FE3B3B" w:rsidRPr="00FE3B3B">
        <w:rPr>
          <w:shd w:val="clear" w:color="auto" w:fill="FFFFFF"/>
        </w:rPr>
        <w:t>Zemgales rajona tiesas 2021.</w:t>
      </w:r>
      <w:r w:rsidR="00FE3B3B">
        <w:rPr>
          <w:shd w:val="clear" w:color="auto" w:fill="FFFFFF"/>
        </w:rPr>
        <w:t> </w:t>
      </w:r>
      <w:r w:rsidR="00FE3B3B" w:rsidRPr="00FE3B3B">
        <w:rPr>
          <w:shd w:val="clear" w:color="auto" w:fill="FFFFFF"/>
        </w:rPr>
        <w:t>gada 15.</w:t>
      </w:r>
      <w:r w:rsidR="00FE3B3B">
        <w:rPr>
          <w:shd w:val="clear" w:color="auto" w:fill="FFFFFF"/>
        </w:rPr>
        <w:t xml:space="preserve"> </w:t>
      </w:r>
      <w:r w:rsidR="00FE3B3B" w:rsidRPr="00FE3B3B">
        <w:rPr>
          <w:shd w:val="clear" w:color="auto" w:fill="FFFFFF"/>
        </w:rPr>
        <w:t>novembra spriedum</w:t>
      </w:r>
      <w:r w:rsidR="00FE3B3B">
        <w:rPr>
          <w:shd w:val="clear" w:color="auto" w:fill="FFFFFF"/>
        </w:rPr>
        <w:t>s atcelts</w:t>
      </w:r>
      <w:r w:rsidR="00A64B55">
        <w:rPr>
          <w:shd w:val="clear" w:color="auto" w:fill="FFFFFF"/>
        </w:rPr>
        <w:t>.</w:t>
      </w:r>
    </w:p>
    <w:p w14:paraId="1A1C8297" w14:textId="2B7E71B7" w:rsidR="003427BE" w:rsidRDefault="00064DC9" w:rsidP="00FE3B3B">
      <w:pPr>
        <w:pStyle w:val="NormalWeb"/>
        <w:shd w:val="clear" w:color="auto" w:fill="FFFFFF"/>
        <w:spacing w:line="276" w:lineRule="auto"/>
        <w:ind w:firstLine="720"/>
        <w:contextualSpacing/>
        <w:jc w:val="both"/>
        <w:rPr>
          <w:shd w:val="clear" w:color="auto" w:fill="FFFFFF"/>
        </w:rPr>
      </w:pPr>
      <w:r>
        <w:t>[Pers. A]</w:t>
      </w:r>
      <w:r w:rsidR="00FE3B3B">
        <w:rPr>
          <w:shd w:val="clear" w:color="auto" w:fill="FFFFFF"/>
        </w:rPr>
        <w:t xml:space="preserve"> atzīts par vainīgu</w:t>
      </w:r>
      <w:r w:rsidR="003427BE">
        <w:rPr>
          <w:shd w:val="clear" w:color="auto" w:fill="FFFFFF"/>
        </w:rPr>
        <w:t xml:space="preserve"> Krimināllikuma 114. pantā paredzētajā noziedzīgajā nodarījumā</w:t>
      </w:r>
      <w:r w:rsidR="00FE3B3B" w:rsidRPr="00FE3B3B">
        <w:rPr>
          <w:shd w:val="clear" w:color="auto" w:fill="FFFFFF"/>
        </w:rPr>
        <w:t xml:space="preserve"> un sodīt</w:t>
      </w:r>
      <w:r w:rsidR="00FE3B3B">
        <w:rPr>
          <w:shd w:val="clear" w:color="auto" w:fill="FFFFFF"/>
        </w:rPr>
        <w:t>s</w:t>
      </w:r>
      <w:r w:rsidR="00FE3B3B" w:rsidRPr="00FE3B3B">
        <w:rPr>
          <w:shd w:val="clear" w:color="auto" w:fill="FFFFFF"/>
        </w:rPr>
        <w:t xml:space="preserve"> ar sabiedrisko darbu uz 200 stundām.</w:t>
      </w:r>
    </w:p>
    <w:p w14:paraId="0F9CF90F" w14:textId="4D8CFF51" w:rsidR="00E73356" w:rsidRDefault="003427BE" w:rsidP="00FE3B3B">
      <w:pPr>
        <w:pStyle w:val="NormalWeb"/>
        <w:shd w:val="clear" w:color="auto" w:fill="FFFFFF"/>
        <w:spacing w:line="276" w:lineRule="auto"/>
        <w:ind w:firstLine="720"/>
        <w:contextualSpacing/>
        <w:jc w:val="both"/>
        <w:rPr>
          <w:shd w:val="clear" w:color="auto" w:fill="FFFFFF"/>
        </w:rPr>
      </w:pPr>
      <w:r>
        <w:rPr>
          <w:shd w:val="clear" w:color="auto" w:fill="FFFFFF"/>
        </w:rPr>
        <w:t xml:space="preserve">No </w:t>
      </w:r>
      <w:r w:rsidR="00064DC9">
        <w:t>[pers. A]</w:t>
      </w:r>
      <w:r>
        <w:rPr>
          <w:shd w:val="clear" w:color="auto" w:fill="FFFFFF"/>
        </w:rPr>
        <w:t xml:space="preserve"> valsts labā piedzīta materiālā kaitējuma kompensācija 23 650 </w:t>
      </w:r>
      <w:proofErr w:type="spellStart"/>
      <w:r w:rsidRPr="00900890">
        <w:rPr>
          <w:i/>
          <w:iCs/>
          <w:shd w:val="clear" w:color="auto" w:fill="FFFFFF"/>
        </w:rPr>
        <w:t>euro</w:t>
      </w:r>
      <w:proofErr w:type="spellEnd"/>
      <w:r>
        <w:rPr>
          <w:i/>
          <w:iCs/>
          <w:shd w:val="clear" w:color="auto" w:fill="FFFFFF"/>
        </w:rPr>
        <w:t>.</w:t>
      </w:r>
    </w:p>
    <w:p w14:paraId="17642785" w14:textId="77777777" w:rsidR="007310DE" w:rsidRDefault="007310DE" w:rsidP="00F30AA3">
      <w:pPr>
        <w:pStyle w:val="NormalWeb"/>
        <w:shd w:val="clear" w:color="auto" w:fill="FFFFFF"/>
        <w:spacing w:line="276" w:lineRule="auto"/>
        <w:ind w:firstLine="720"/>
        <w:contextualSpacing/>
        <w:jc w:val="both"/>
        <w:rPr>
          <w:shd w:val="clear" w:color="auto" w:fill="FFFFFF"/>
        </w:rPr>
      </w:pPr>
    </w:p>
    <w:p w14:paraId="7D6E475C" w14:textId="4E6DE832" w:rsidR="007310DE" w:rsidRDefault="00F175C5" w:rsidP="00F30AA3">
      <w:pPr>
        <w:pStyle w:val="NormalWeb"/>
        <w:shd w:val="clear" w:color="auto" w:fill="FFFFFF"/>
        <w:spacing w:line="276" w:lineRule="auto"/>
        <w:ind w:firstLine="720"/>
        <w:contextualSpacing/>
        <w:jc w:val="both"/>
        <w:rPr>
          <w:rFonts w:eastAsia="Calibri"/>
          <w:szCs w:val="22"/>
        </w:rPr>
      </w:pPr>
      <w:r>
        <w:rPr>
          <w:shd w:val="clear" w:color="auto" w:fill="FFFFFF"/>
        </w:rPr>
        <w:t>[</w:t>
      </w:r>
      <w:r w:rsidR="00B22C3E">
        <w:rPr>
          <w:shd w:val="clear" w:color="auto" w:fill="FFFFFF"/>
        </w:rPr>
        <w:t>5</w:t>
      </w:r>
      <w:r>
        <w:rPr>
          <w:shd w:val="clear" w:color="auto" w:fill="FFFFFF"/>
        </w:rPr>
        <w:t xml:space="preserve">] </w:t>
      </w:r>
      <w:r>
        <w:rPr>
          <w:rFonts w:eastAsia="Calibri"/>
          <w:szCs w:val="22"/>
        </w:rPr>
        <w:t xml:space="preserve">Apelācijas instances tiesa konstatēja, ka </w:t>
      </w:r>
      <w:r w:rsidR="00064DC9">
        <w:t>[pers. A]</w:t>
      </w:r>
      <w:r w:rsidRPr="00BC566A">
        <w:rPr>
          <w:rFonts w:eastAsia="Calibri"/>
          <w:szCs w:val="22"/>
        </w:rPr>
        <w:t xml:space="preserve"> i</w:t>
      </w:r>
      <w:r w:rsidR="00B22C3E">
        <w:rPr>
          <w:rFonts w:eastAsia="Calibri"/>
          <w:szCs w:val="22"/>
        </w:rPr>
        <w:t>znīcināja</w:t>
      </w:r>
      <w:r w:rsidRPr="00BC566A">
        <w:rPr>
          <w:rFonts w:eastAsia="Calibri"/>
          <w:szCs w:val="22"/>
        </w:rPr>
        <w:t xml:space="preserve"> īpaši aizsargājam</w:t>
      </w:r>
      <w:r w:rsidR="007310DE">
        <w:rPr>
          <w:rFonts w:eastAsia="Calibri"/>
          <w:szCs w:val="22"/>
        </w:rPr>
        <w:t>u</w:t>
      </w:r>
      <w:r w:rsidR="00F30AA3">
        <w:rPr>
          <w:rFonts w:eastAsia="Calibri"/>
          <w:szCs w:val="22"/>
        </w:rPr>
        <w:t xml:space="preserve"> dabas </w:t>
      </w:r>
      <w:r w:rsidRPr="00BC566A">
        <w:rPr>
          <w:rFonts w:eastAsia="Calibri"/>
          <w:szCs w:val="22"/>
        </w:rPr>
        <w:t>teritorij</w:t>
      </w:r>
      <w:r w:rsidR="00B22C3E">
        <w:rPr>
          <w:rFonts w:eastAsia="Calibri"/>
          <w:szCs w:val="22"/>
        </w:rPr>
        <w:t>u</w:t>
      </w:r>
      <w:r w:rsidRPr="00BC566A">
        <w:rPr>
          <w:rFonts w:eastAsia="Calibri"/>
          <w:szCs w:val="22"/>
        </w:rPr>
        <w:t>, ar to radot būtisku kaitējumu</w:t>
      </w:r>
      <w:r>
        <w:rPr>
          <w:rFonts w:eastAsia="Calibri"/>
          <w:szCs w:val="22"/>
        </w:rPr>
        <w:t xml:space="preserve">, jo laika </w:t>
      </w:r>
      <w:r w:rsidR="00B62346">
        <w:rPr>
          <w:rFonts w:eastAsia="Calibri"/>
          <w:szCs w:val="22"/>
        </w:rPr>
        <w:t>periodā</w:t>
      </w:r>
      <w:r>
        <w:rPr>
          <w:rFonts w:eastAsia="Calibri"/>
          <w:szCs w:val="22"/>
        </w:rPr>
        <w:t xml:space="preserve"> no 2017.</w:t>
      </w:r>
      <w:r w:rsidR="00B13C87">
        <w:rPr>
          <w:rFonts w:eastAsia="Calibri"/>
          <w:szCs w:val="22"/>
        </w:rPr>
        <w:t> </w:t>
      </w:r>
      <w:r>
        <w:rPr>
          <w:rFonts w:eastAsia="Calibri"/>
          <w:szCs w:val="22"/>
        </w:rPr>
        <w:t>gada 26. janvāra līdz 2019. gada 24. </w:t>
      </w:r>
      <w:r w:rsidRPr="00BC566A">
        <w:rPr>
          <w:rFonts w:eastAsia="Calibri"/>
          <w:szCs w:val="22"/>
        </w:rPr>
        <w:t xml:space="preserve">aprīlim </w:t>
      </w:r>
      <w:r w:rsidR="00064DC9">
        <w:rPr>
          <w:rFonts w:eastAsia="Calibri"/>
          <w:szCs w:val="22"/>
        </w:rPr>
        <w:t>[adrese]</w:t>
      </w:r>
      <w:r w:rsidRPr="00BC566A">
        <w:rPr>
          <w:rFonts w:eastAsia="Calibri"/>
          <w:szCs w:val="22"/>
        </w:rPr>
        <w:t xml:space="preserve"> īpašumā </w:t>
      </w:r>
      <w:r w:rsidR="003427BE">
        <w:rPr>
          <w:rFonts w:eastAsia="Calibri"/>
          <w:szCs w:val="22"/>
        </w:rPr>
        <w:t>„</w:t>
      </w:r>
      <w:r w:rsidR="00064DC9">
        <w:rPr>
          <w:rFonts w:eastAsia="Calibri"/>
          <w:szCs w:val="22"/>
        </w:rPr>
        <w:t>[Nosaukums]</w:t>
      </w:r>
      <w:r w:rsidRPr="00BC566A">
        <w:rPr>
          <w:rFonts w:eastAsia="Calibri"/>
          <w:szCs w:val="22"/>
        </w:rPr>
        <w:t xml:space="preserve">” </w:t>
      </w:r>
      <w:r w:rsidR="002C5D8A">
        <w:rPr>
          <w:rFonts w:eastAsia="Calibri"/>
          <w:szCs w:val="22"/>
        </w:rPr>
        <w:t xml:space="preserve">nolīgtajiem darbiniekiem </w:t>
      </w:r>
      <w:r w:rsidR="00B22C3E">
        <w:rPr>
          <w:rFonts w:eastAsia="Calibri"/>
          <w:szCs w:val="22"/>
        </w:rPr>
        <w:t>uzdeva</w:t>
      </w:r>
      <w:r w:rsidRPr="00BC566A">
        <w:rPr>
          <w:rFonts w:eastAsia="Calibri"/>
          <w:szCs w:val="22"/>
        </w:rPr>
        <w:t xml:space="preserve"> nozāģēt tur augošo valsts nozīmes daba</w:t>
      </w:r>
      <w:r>
        <w:rPr>
          <w:rFonts w:eastAsia="Calibri"/>
          <w:szCs w:val="22"/>
        </w:rPr>
        <w:t>s pieminekli</w:t>
      </w:r>
      <w:r w:rsidR="00B002AA">
        <w:rPr>
          <w:rFonts w:eastAsia="Calibri"/>
          <w:szCs w:val="22"/>
        </w:rPr>
        <w:t xml:space="preserve"> –</w:t>
      </w:r>
      <w:r>
        <w:rPr>
          <w:rFonts w:eastAsia="Calibri"/>
          <w:szCs w:val="22"/>
        </w:rPr>
        <w:t xml:space="preserve"> aizsargājamu dižkoku Rietumu tūju</w:t>
      </w:r>
      <w:r w:rsidRPr="00BC566A">
        <w:rPr>
          <w:rFonts w:eastAsia="Calibri"/>
          <w:szCs w:val="22"/>
        </w:rPr>
        <w:t xml:space="preserve"> </w:t>
      </w:r>
      <w:r>
        <w:rPr>
          <w:rFonts w:eastAsia="Calibri"/>
          <w:szCs w:val="22"/>
        </w:rPr>
        <w:t xml:space="preserve">– </w:t>
      </w:r>
      <w:r w:rsidRPr="00BC566A">
        <w:rPr>
          <w:rFonts w:eastAsia="Calibri"/>
          <w:szCs w:val="22"/>
        </w:rPr>
        <w:t xml:space="preserve">bez Dabas aizsardzības pārvaldes un </w:t>
      </w:r>
      <w:r w:rsidR="00870F32">
        <w:rPr>
          <w:rFonts w:eastAsia="Calibri"/>
          <w:szCs w:val="22"/>
        </w:rPr>
        <w:t>[Nosaukums]</w:t>
      </w:r>
      <w:r w:rsidRPr="00BC566A">
        <w:rPr>
          <w:rFonts w:eastAsia="Calibri"/>
          <w:szCs w:val="22"/>
        </w:rPr>
        <w:t xml:space="preserve"> novada pašvaldības atļaujas.</w:t>
      </w:r>
    </w:p>
    <w:p w14:paraId="693D0796" w14:textId="050018B6" w:rsidR="002C5D8A" w:rsidRDefault="00F175C5" w:rsidP="00F30AA3">
      <w:pPr>
        <w:pStyle w:val="NormalWeb"/>
        <w:shd w:val="clear" w:color="auto" w:fill="FFFFFF"/>
        <w:spacing w:line="276" w:lineRule="auto"/>
        <w:ind w:firstLine="720"/>
        <w:contextualSpacing/>
        <w:jc w:val="both"/>
        <w:rPr>
          <w:rFonts w:eastAsia="Calibri"/>
          <w:szCs w:val="22"/>
        </w:rPr>
      </w:pPr>
      <w:r w:rsidRPr="00BC566A">
        <w:rPr>
          <w:rFonts w:eastAsia="Calibri"/>
          <w:szCs w:val="22"/>
        </w:rPr>
        <w:t xml:space="preserve">Izpildot </w:t>
      </w:r>
      <w:r w:rsidR="00064DC9">
        <w:t>[pers. A]</w:t>
      </w:r>
      <w:r w:rsidRPr="00BC566A">
        <w:rPr>
          <w:rFonts w:eastAsia="Calibri"/>
          <w:szCs w:val="22"/>
        </w:rPr>
        <w:t xml:space="preserve"> rīkojumu, viņa da</w:t>
      </w:r>
      <w:r>
        <w:rPr>
          <w:rFonts w:eastAsia="Calibri"/>
          <w:szCs w:val="22"/>
        </w:rPr>
        <w:t>rbinieki minētajā laika p</w:t>
      </w:r>
      <w:r w:rsidR="00B62346">
        <w:rPr>
          <w:rFonts w:eastAsia="Calibri"/>
          <w:szCs w:val="22"/>
        </w:rPr>
        <w:t>eriodā</w:t>
      </w:r>
      <w:r>
        <w:rPr>
          <w:rFonts w:eastAsia="Calibri"/>
          <w:szCs w:val="22"/>
        </w:rPr>
        <w:t xml:space="preserve"> šo aizsargājamo koku nozāģēja</w:t>
      </w:r>
      <w:r w:rsidRPr="00BC566A">
        <w:rPr>
          <w:rFonts w:eastAsia="Calibri"/>
          <w:szCs w:val="22"/>
        </w:rPr>
        <w:t>.</w:t>
      </w:r>
    </w:p>
    <w:p w14:paraId="2E573A67" w14:textId="0C455302" w:rsidR="00F175C5" w:rsidRDefault="00064DC9" w:rsidP="00F30AA3">
      <w:pPr>
        <w:pStyle w:val="NormalWeb"/>
        <w:shd w:val="clear" w:color="auto" w:fill="FFFFFF"/>
        <w:spacing w:line="276" w:lineRule="auto"/>
        <w:ind w:firstLine="720"/>
        <w:contextualSpacing/>
        <w:jc w:val="both"/>
        <w:rPr>
          <w:rFonts w:eastAsia="Calibri"/>
          <w:szCs w:val="22"/>
        </w:rPr>
      </w:pPr>
      <w:r>
        <w:t>[Pers. A]</w:t>
      </w:r>
      <w:r w:rsidR="00F175C5" w:rsidRPr="00BC566A">
        <w:rPr>
          <w:rFonts w:eastAsia="Calibri"/>
          <w:szCs w:val="22"/>
        </w:rPr>
        <w:t xml:space="preserve"> darbīb</w:t>
      </w:r>
      <w:r w:rsidR="00F175C5">
        <w:rPr>
          <w:rFonts w:eastAsia="Calibri"/>
          <w:szCs w:val="22"/>
        </w:rPr>
        <w:t>u</w:t>
      </w:r>
      <w:r w:rsidR="00F175C5" w:rsidRPr="00BC566A">
        <w:rPr>
          <w:rFonts w:eastAsia="Calibri"/>
          <w:szCs w:val="22"/>
        </w:rPr>
        <w:t xml:space="preserve"> rezultātā radīts būtisks kaitējums</w:t>
      </w:r>
      <w:r w:rsidR="00F175C5">
        <w:rPr>
          <w:rFonts w:eastAsia="Calibri"/>
          <w:szCs w:val="22"/>
        </w:rPr>
        <w:t xml:space="preserve"> – </w:t>
      </w:r>
      <w:r w:rsidR="00F175C5" w:rsidRPr="00BC566A">
        <w:rPr>
          <w:rFonts w:eastAsia="Calibri"/>
          <w:szCs w:val="22"/>
        </w:rPr>
        <w:t>mantisks zaudējums 23</w:t>
      </w:r>
      <w:r w:rsidR="00B62346">
        <w:rPr>
          <w:rFonts w:eastAsia="Calibri"/>
          <w:szCs w:val="22"/>
        </w:rPr>
        <w:t> </w:t>
      </w:r>
      <w:r w:rsidR="00F175C5" w:rsidRPr="00BC566A">
        <w:rPr>
          <w:rFonts w:eastAsia="Calibri"/>
          <w:szCs w:val="22"/>
        </w:rPr>
        <w:t>650 </w:t>
      </w:r>
      <w:proofErr w:type="spellStart"/>
      <w:r w:rsidR="00F175C5" w:rsidRPr="00366F5B">
        <w:rPr>
          <w:rFonts w:eastAsia="Calibri"/>
          <w:i/>
          <w:iCs/>
          <w:szCs w:val="22"/>
        </w:rPr>
        <w:t>euro</w:t>
      </w:r>
      <w:proofErr w:type="spellEnd"/>
      <w:r w:rsidR="00F175C5" w:rsidRPr="00BC566A">
        <w:rPr>
          <w:rFonts w:eastAsia="Calibri"/>
          <w:szCs w:val="22"/>
        </w:rPr>
        <w:t>.</w:t>
      </w:r>
    </w:p>
    <w:p w14:paraId="0CA65B90" w14:textId="77777777" w:rsidR="00F175C5" w:rsidRDefault="00F175C5" w:rsidP="007038FB">
      <w:pPr>
        <w:pStyle w:val="NormalWeb"/>
        <w:shd w:val="clear" w:color="auto" w:fill="FFFFFF"/>
        <w:spacing w:line="276" w:lineRule="auto"/>
        <w:ind w:firstLine="720"/>
        <w:contextualSpacing/>
        <w:jc w:val="both"/>
        <w:rPr>
          <w:shd w:val="clear" w:color="auto" w:fill="FFFFFF"/>
        </w:rPr>
      </w:pPr>
    </w:p>
    <w:p w14:paraId="67BC82F1" w14:textId="19DC0F11" w:rsidR="00B22C3E" w:rsidRPr="00ED6FB0" w:rsidRDefault="00FE3B3B" w:rsidP="00107DE8">
      <w:pPr>
        <w:pStyle w:val="NormalWeb"/>
        <w:shd w:val="clear" w:color="auto" w:fill="FFFFFF"/>
        <w:spacing w:line="276" w:lineRule="auto"/>
        <w:ind w:firstLine="720"/>
        <w:contextualSpacing/>
        <w:jc w:val="both"/>
      </w:pPr>
      <w:r>
        <w:rPr>
          <w:shd w:val="clear" w:color="auto" w:fill="FFFFFF"/>
        </w:rPr>
        <w:t>[</w:t>
      </w:r>
      <w:r w:rsidR="00B22C3E">
        <w:rPr>
          <w:shd w:val="clear" w:color="auto" w:fill="FFFFFF"/>
        </w:rPr>
        <w:t>6</w:t>
      </w:r>
      <w:r>
        <w:rPr>
          <w:shd w:val="clear" w:color="auto" w:fill="FFFFFF"/>
        </w:rPr>
        <w:t>]</w:t>
      </w:r>
      <w:r w:rsidR="007E0288">
        <w:rPr>
          <w:shd w:val="clear" w:color="auto" w:fill="FFFFFF"/>
        </w:rPr>
        <w:t xml:space="preserve"> </w:t>
      </w:r>
      <w:r w:rsidR="00B22C3E" w:rsidRPr="00ED6FB0">
        <w:t xml:space="preserve">Par </w:t>
      </w:r>
      <w:r w:rsidR="00ED6FB0" w:rsidRPr="00ED6FB0">
        <w:rPr>
          <w:shd w:val="clear" w:color="auto" w:fill="FFFFFF"/>
        </w:rPr>
        <w:t>Zemgales apgabaltiesas 2024. gada 12. novembra</w:t>
      </w:r>
      <w:r w:rsidR="00B22C3E" w:rsidRPr="00ED6FB0">
        <w:t xml:space="preserve"> spriedumu apsūdzētā </w:t>
      </w:r>
      <w:r w:rsidR="00064DC9">
        <w:t>[pers. A]</w:t>
      </w:r>
      <w:r w:rsidR="00ED6FB0" w:rsidRPr="00ED6FB0">
        <w:t xml:space="preserve"> </w:t>
      </w:r>
      <w:r w:rsidR="00B22C3E" w:rsidRPr="00ED6FB0">
        <w:t xml:space="preserve">aizstāvis </w:t>
      </w:r>
      <w:r w:rsidR="00ED6FB0" w:rsidRPr="00ED6FB0">
        <w:t>G. </w:t>
      </w:r>
      <w:proofErr w:type="spellStart"/>
      <w:r w:rsidR="00ED6FB0" w:rsidRPr="00ED6FB0">
        <w:t>Štauers</w:t>
      </w:r>
      <w:proofErr w:type="spellEnd"/>
      <w:r w:rsidR="00ED6FB0" w:rsidRPr="00ED6FB0">
        <w:t xml:space="preserve"> </w:t>
      </w:r>
      <w:r w:rsidR="00B22C3E" w:rsidRPr="00ED6FB0">
        <w:t xml:space="preserve">iesniedzis kasācijas sūdzību, </w:t>
      </w:r>
      <w:r w:rsidR="00107DE8">
        <w:t>kurā</w:t>
      </w:r>
      <w:r w:rsidR="00B22C3E" w:rsidRPr="00ED6FB0">
        <w:t xml:space="preserve"> lūdz atcelt tiesas spriedumu un nosūtīt lietu jaunai izskatīšanai.</w:t>
      </w:r>
    </w:p>
    <w:p w14:paraId="5129C05E" w14:textId="53C8EAE0" w:rsidR="00050E22" w:rsidRDefault="00E36B2F" w:rsidP="007E0288">
      <w:pPr>
        <w:pStyle w:val="NormalWeb"/>
        <w:shd w:val="clear" w:color="auto" w:fill="FFFFFF"/>
        <w:spacing w:line="276" w:lineRule="auto"/>
        <w:ind w:firstLine="720"/>
        <w:contextualSpacing/>
        <w:jc w:val="both"/>
      </w:pPr>
      <w:r>
        <w:t xml:space="preserve">Kasācijas sūdzību </w:t>
      </w:r>
      <w:r w:rsidR="00FE3B3B">
        <w:t>apsūdzēt</w:t>
      </w:r>
      <w:r w:rsidR="003427BE">
        <w:t>ā</w:t>
      </w:r>
      <w:r w:rsidR="00FE3B3B">
        <w:t xml:space="preserve"> aizstāvis pamatojis ar šādiem argumentiem.</w:t>
      </w:r>
    </w:p>
    <w:p w14:paraId="1C5B72F5" w14:textId="0E2BB5C3" w:rsidR="00050E22" w:rsidRDefault="00366F5B" w:rsidP="007E0288">
      <w:pPr>
        <w:pStyle w:val="NormalWeb"/>
        <w:shd w:val="clear" w:color="auto" w:fill="FFFFFF"/>
        <w:spacing w:line="276" w:lineRule="auto"/>
        <w:ind w:firstLine="720"/>
        <w:contextualSpacing/>
        <w:jc w:val="both"/>
      </w:pPr>
      <w:r>
        <w:rPr>
          <w:rFonts w:eastAsia="Calibri"/>
          <w:szCs w:val="22"/>
        </w:rPr>
        <w:t>Apelācijas instances tiesa, atzīstot apsūdzēto par vainīgu</w:t>
      </w:r>
      <w:r w:rsidR="00626416">
        <w:rPr>
          <w:rFonts w:eastAsia="Calibri"/>
          <w:szCs w:val="22"/>
        </w:rPr>
        <w:t xml:space="preserve"> Krimināllikuma 114. pantā paredzētajā noziedzīgajā nodarījumā</w:t>
      </w:r>
      <w:r w:rsidR="00B62346">
        <w:rPr>
          <w:rFonts w:eastAsia="Calibri"/>
          <w:szCs w:val="22"/>
        </w:rPr>
        <w:t>,</w:t>
      </w:r>
      <w:r w:rsidR="00BA6240">
        <w:rPr>
          <w:rFonts w:eastAsia="Calibri"/>
          <w:szCs w:val="22"/>
        </w:rPr>
        <w:t xml:space="preserve"> </w:t>
      </w:r>
      <w:r>
        <w:rPr>
          <w:rFonts w:eastAsia="Calibri"/>
          <w:szCs w:val="22"/>
        </w:rPr>
        <w:t xml:space="preserve">norādījusi, ka </w:t>
      </w:r>
      <w:r w:rsidRPr="00366F5B">
        <w:rPr>
          <w:iCs/>
        </w:rPr>
        <w:t>pirmās instances tiesa n</w:t>
      </w:r>
      <w:r w:rsidR="00E36B2F">
        <w:rPr>
          <w:iCs/>
        </w:rPr>
        <w:t>av</w:t>
      </w:r>
      <w:r w:rsidRPr="00366F5B">
        <w:rPr>
          <w:iCs/>
        </w:rPr>
        <w:t xml:space="preserve"> vērtējusi</w:t>
      </w:r>
      <w:r>
        <w:rPr>
          <w:rFonts w:eastAsia="Calibri"/>
          <w:szCs w:val="22"/>
        </w:rPr>
        <w:t xml:space="preserve"> </w:t>
      </w:r>
      <w:r w:rsidRPr="00366F5B">
        <w:rPr>
          <w:iCs/>
        </w:rPr>
        <w:t xml:space="preserve">dižkoka nociršanu </w:t>
      </w:r>
      <w:r w:rsidR="00626416">
        <w:rPr>
          <w:iCs/>
        </w:rPr>
        <w:t>„</w:t>
      </w:r>
      <w:r w:rsidRPr="00366F5B">
        <w:rPr>
          <w:iCs/>
        </w:rPr>
        <w:t>aiz noziedzīgas nevērības, proti</w:t>
      </w:r>
      <w:r w:rsidR="00F668F2">
        <w:rPr>
          <w:iCs/>
        </w:rPr>
        <w:t>,</w:t>
      </w:r>
      <w:r w:rsidRPr="00366F5B">
        <w:rPr>
          <w:iCs/>
        </w:rPr>
        <w:t xml:space="preserve"> netieša nodoma esamību”</w:t>
      </w:r>
      <w:r w:rsidR="00F175C5">
        <w:rPr>
          <w:iCs/>
        </w:rPr>
        <w:t>.</w:t>
      </w:r>
      <w:r w:rsidR="007E0288">
        <w:rPr>
          <w:iCs/>
        </w:rPr>
        <w:t xml:space="preserve"> </w:t>
      </w:r>
      <w:r w:rsidR="007310DE">
        <w:t>Līdz ar to</w:t>
      </w:r>
      <w:r w:rsidR="00F175C5">
        <w:t xml:space="preserve"> tiesa noziedzīgu nevērību pielīdzinājusi netiešam nodomam un </w:t>
      </w:r>
      <w:r w:rsidR="00AD6A6D">
        <w:t xml:space="preserve">faktiski </w:t>
      </w:r>
      <w:r w:rsidR="00BA6240">
        <w:t xml:space="preserve">atzinusi, ka </w:t>
      </w:r>
      <w:r w:rsidR="00064DC9">
        <w:t>[pers. A]</w:t>
      </w:r>
      <w:r w:rsidR="00BA6240">
        <w:t xml:space="preserve"> </w:t>
      </w:r>
      <w:r w:rsidR="007038FB" w:rsidRPr="007038FB">
        <w:lastRenderedPageBreak/>
        <w:t xml:space="preserve">rīkojies ar noziedzīgu nevērību, </w:t>
      </w:r>
      <w:r w:rsidR="007E0288">
        <w:t xml:space="preserve">un </w:t>
      </w:r>
      <w:r w:rsidR="007038FB" w:rsidRPr="007038FB">
        <w:t>tādējā</w:t>
      </w:r>
      <w:r w:rsidR="00B62346">
        <w:t>di nepareizi piemēroj</w:t>
      </w:r>
      <w:r w:rsidR="007E0288">
        <w:t>usi</w:t>
      </w:r>
      <w:r w:rsidR="007038FB" w:rsidRPr="007038FB">
        <w:t xml:space="preserve"> Krimināllikum</w:t>
      </w:r>
      <w:r w:rsidR="007310DE">
        <w:t>a 9. un 10. pantu</w:t>
      </w:r>
      <w:r w:rsidR="007E0288">
        <w:t>.</w:t>
      </w:r>
    </w:p>
    <w:p w14:paraId="2292A880" w14:textId="107C865E" w:rsidR="007E0288" w:rsidRDefault="007E0288" w:rsidP="007E0288">
      <w:pPr>
        <w:pStyle w:val="NormalWeb"/>
        <w:shd w:val="clear" w:color="auto" w:fill="FFFFFF"/>
        <w:spacing w:line="276" w:lineRule="auto"/>
        <w:ind w:firstLine="720"/>
        <w:contextualSpacing/>
        <w:jc w:val="both"/>
      </w:pPr>
      <w:r>
        <w:t xml:space="preserve">Turklāt tiesa </w:t>
      </w:r>
      <w:r w:rsidRPr="00A24622">
        <w:t>nav izvērtē</w:t>
      </w:r>
      <w:r>
        <w:t>jusi</w:t>
      </w:r>
      <w:r w:rsidRPr="00A24622">
        <w:t>, vai rīkojum</w:t>
      </w:r>
      <w:r>
        <w:t>s</w:t>
      </w:r>
      <w:r w:rsidRPr="00A24622">
        <w:t xml:space="preserve"> nozāģēt apaugumu, nenorādot konkrēti, kuri koki jāzāģē, ir vērtējama kā darbība, k</w:t>
      </w:r>
      <w:r>
        <w:t>as</w:t>
      </w:r>
      <w:r w:rsidRPr="00A24622">
        <w:t xml:space="preserve"> izdarīta aiz nozied</w:t>
      </w:r>
      <w:r>
        <w:t>zī</w:t>
      </w:r>
      <w:r w:rsidRPr="00A24622">
        <w:t>gas nevērības</w:t>
      </w:r>
      <w:r>
        <w:t>.</w:t>
      </w:r>
    </w:p>
    <w:p w14:paraId="359EFFBC" w14:textId="6239B1FE" w:rsidR="007310DE" w:rsidRDefault="007E0288" w:rsidP="00050E22">
      <w:pPr>
        <w:pStyle w:val="NormalWeb"/>
        <w:shd w:val="clear" w:color="auto" w:fill="FFFFFF"/>
        <w:spacing w:line="276" w:lineRule="auto"/>
        <w:ind w:firstLine="720"/>
        <w:contextualSpacing/>
        <w:jc w:val="both"/>
        <w:rPr>
          <w:u w:val="single"/>
        </w:rPr>
      </w:pPr>
      <w:r>
        <w:t xml:space="preserve">Šādu tiesas spriedumu nevar atzīt </w:t>
      </w:r>
      <w:r w:rsidR="007310DE" w:rsidRPr="00050E22">
        <w:t>par tiesisku un pamatotu Kriminālprocesa likuma 511.</w:t>
      </w:r>
      <w:r w:rsidRPr="00050E22">
        <w:t> </w:t>
      </w:r>
      <w:r w:rsidR="007310DE" w:rsidRPr="00050E22">
        <w:t>panta izpratnē</w:t>
      </w:r>
      <w:r w:rsidRPr="00050E22">
        <w:t xml:space="preserve">. Minētais pārkāpums ir </w:t>
      </w:r>
      <w:r w:rsidRPr="007E0288">
        <w:t xml:space="preserve">atzīstams par Kriminālprocesa likuma </w:t>
      </w:r>
      <w:r w:rsidR="00A87F66">
        <w:t xml:space="preserve">būtisku </w:t>
      </w:r>
      <w:r w:rsidRPr="007E0288">
        <w:t xml:space="preserve">pārkāpumu </w:t>
      </w:r>
      <w:r w:rsidR="009A35FE">
        <w:t xml:space="preserve">šā </w:t>
      </w:r>
      <w:r w:rsidRPr="007E0288">
        <w:t>likuma 575. panta trešās daļas izpratnē.</w:t>
      </w:r>
    </w:p>
    <w:p w14:paraId="7DAF7841" w14:textId="77777777" w:rsidR="00447EE6" w:rsidRPr="00011547" w:rsidRDefault="00447EE6" w:rsidP="00177A7F">
      <w:pPr>
        <w:shd w:val="clear" w:color="auto" w:fill="FFFFFF"/>
        <w:spacing w:before="360" w:after="360" w:line="276" w:lineRule="auto"/>
        <w:jc w:val="center"/>
      </w:pPr>
      <w:r w:rsidRPr="00011547">
        <w:rPr>
          <w:b/>
        </w:rPr>
        <w:t>Motīvu daļa</w:t>
      </w:r>
    </w:p>
    <w:p w14:paraId="45973147" w14:textId="08981BCC" w:rsidR="00DF3682" w:rsidRPr="005B1C78" w:rsidRDefault="006772AA" w:rsidP="00284853">
      <w:pPr>
        <w:shd w:val="clear" w:color="auto" w:fill="FFFFFF"/>
        <w:spacing w:line="276" w:lineRule="auto"/>
        <w:ind w:firstLine="720"/>
        <w:jc w:val="both"/>
        <w:rPr>
          <w:shd w:val="clear" w:color="auto" w:fill="FFFFFF"/>
        </w:rPr>
      </w:pPr>
      <w:r w:rsidRPr="005B1C78">
        <w:rPr>
          <w:shd w:val="clear" w:color="auto" w:fill="FFFFFF"/>
        </w:rPr>
        <w:t>[</w:t>
      </w:r>
      <w:r w:rsidR="003D5EF3" w:rsidRPr="005B1C78">
        <w:rPr>
          <w:shd w:val="clear" w:color="auto" w:fill="FFFFFF"/>
        </w:rPr>
        <w:t>7</w:t>
      </w:r>
      <w:r w:rsidRPr="005B1C78">
        <w:rPr>
          <w:shd w:val="clear" w:color="auto" w:fill="FFFFFF"/>
        </w:rPr>
        <w:t xml:space="preserve">] </w:t>
      </w:r>
      <w:r w:rsidR="007038FB" w:rsidRPr="005B1C78">
        <w:rPr>
          <w:shd w:val="clear" w:color="auto" w:fill="FFFFFF"/>
        </w:rPr>
        <w:t xml:space="preserve">Senāts </w:t>
      </w:r>
      <w:r w:rsidR="009F1ED6">
        <w:rPr>
          <w:shd w:val="clear" w:color="auto" w:fill="FFFFFF"/>
        </w:rPr>
        <w:t>norāda, ka izskatāmajā lietā ir konstatēta Krimināllikuma 114. pantā paredzētā noziedzīgā nodarījuma objektīvā puse.</w:t>
      </w:r>
    </w:p>
    <w:p w14:paraId="16873735" w14:textId="2231E2A3" w:rsidR="00DF3682" w:rsidRPr="005B1C78" w:rsidRDefault="00DF3682" w:rsidP="009A35FE">
      <w:pPr>
        <w:shd w:val="clear" w:color="auto" w:fill="FFFFFF"/>
        <w:spacing w:line="276" w:lineRule="auto"/>
        <w:ind w:firstLine="720"/>
        <w:jc w:val="both"/>
        <w:rPr>
          <w:shd w:val="clear" w:color="auto" w:fill="FFFFFF"/>
        </w:rPr>
      </w:pPr>
      <w:r w:rsidRPr="005B1C78">
        <w:rPr>
          <w:shd w:val="clear" w:color="auto" w:fill="FFFFFF"/>
        </w:rPr>
        <w:t>Lietā konstatēts, ka nozāģētās tūjas apkārtmērs 1,3 metru augstumā</w:t>
      </w:r>
      <w:r w:rsidR="00D40473" w:rsidRPr="005B1C78">
        <w:rPr>
          <w:shd w:val="clear" w:color="auto" w:fill="FFFFFF"/>
        </w:rPr>
        <w:t xml:space="preserve"> no zemes</w:t>
      </w:r>
      <w:r w:rsidRPr="005B1C78">
        <w:rPr>
          <w:shd w:val="clear" w:color="auto" w:fill="FFFFFF"/>
        </w:rPr>
        <w:t xml:space="preserve"> bija 1,74 metri, tātad tas pārsniedza 1,5 metru robežu, līdz ar to kokam atbilstoši normatīvajam regulējumam bija dižkoka statuss</w:t>
      </w:r>
      <w:r w:rsidR="009A35FE" w:rsidRPr="005B1C78">
        <w:rPr>
          <w:shd w:val="clear" w:color="auto" w:fill="FFFFFF"/>
        </w:rPr>
        <w:t xml:space="preserve"> neatkarīgi no tā, ka pie tā nebija izvietota informatīvā zīme</w:t>
      </w:r>
      <w:r w:rsidR="009A35FE" w:rsidRPr="005B1C78" w:rsidDel="009A35FE">
        <w:rPr>
          <w:shd w:val="clear" w:color="auto" w:fill="FFFFFF"/>
        </w:rPr>
        <w:t xml:space="preserve"> </w:t>
      </w:r>
      <w:r w:rsidRPr="005B1C78">
        <w:rPr>
          <w:shd w:val="clear" w:color="auto" w:fill="FFFFFF"/>
        </w:rPr>
        <w:t>(</w:t>
      </w:r>
      <w:r w:rsidR="000C7771" w:rsidRPr="005B1C78">
        <w:rPr>
          <w:i/>
          <w:iCs/>
        </w:rPr>
        <w:t>sk.</w:t>
      </w:r>
      <w:r w:rsidR="00EF5289" w:rsidRPr="005B1C78">
        <w:rPr>
          <w:i/>
          <w:iCs/>
        </w:rPr>
        <w:t xml:space="preserve"> </w:t>
      </w:r>
      <w:r w:rsidR="00421A09" w:rsidRPr="005B1C78">
        <w:rPr>
          <w:i/>
          <w:iCs/>
        </w:rPr>
        <w:t>arī</w:t>
      </w:r>
      <w:r w:rsidR="00E36B2F" w:rsidRPr="005B1C78">
        <w:rPr>
          <w:i/>
          <w:iCs/>
        </w:rPr>
        <w:t xml:space="preserve"> </w:t>
      </w:r>
      <w:r w:rsidR="000C7771" w:rsidRPr="005B1C78">
        <w:rPr>
          <w:i/>
          <w:iCs/>
        </w:rPr>
        <w:t>Senāta 2024. gada 27. marta lēmumu lietā Nr.</w:t>
      </w:r>
      <w:r w:rsidRPr="005B1C78">
        <w:t> </w:t>
      </w:r>
      <w:r w:rsidR="000C7771" w:rsidRPr="005B1C78">
        <w:rPr>
          <w:i/>
          <w:iCs/>
        </w:rPr>
        <w:t>SKK-205/2024, ECLI:LV:AT:2024:0327.11250041020.4.L</w:t>
      </w:r>
      <w:r w:rsidRPr="005B1C78">
        <w:t>,</w:t>
      </w:r>
      <w:r w:rsidRPr="005B1C78">
        <w:rPr>
          <w:i/>
          <w:iCs/>
        </w:rPr>
        <w:t xml:space="preserve"> 2020.</w:t>
      </w:r>
      <w:r w:rsidR="00AC196D" w:rsidRPr="005B1C78">
        <w:rPr>
          <w:i/>
          <w:iCs/>
        </w:rPr>
        <w:t> </w:t>
      </w:r>
      <w:r w:rsidRPr="005B1C78">
        <w:rPr>
          <w:i/>
          <w:iCs/>
        </w:rPr>
        <w:t>gada</w:t>
      </w:r>
      <w:r w:rsidR="00AC196D" w:rsidRPr="005B1C78">
        <w:rPr>
          <w:i/>
          <w:iCs/>
        </w:rPr>
        <w:t xml:space="preserve"> </w:t>
      </w:r>
      <w:r w:rsidRPr="005B1C78">
        <w:rPr>
          <w:i/>
          <w:iCs/>
        </w:rPr>
        <w:t>10.</w:t>
      </w:r>
      <w:r w:rsidR="00AC196D" w:rsidRPr="005B1C78">
        <w:rPr>
          <w:i/>
          <w:iCs/>
        </w:rPr>
        <w:t> </w:t>
      </w:r>
      <w:r w:rsidRPr="005B1C78">
        <w:rPr>
          <w:i/>
          <w:iCs/>
        </w:rPr>
        <w:t>jūlija sprieduma lietā Nr. SKA-</w:t>
      </w:r>
      <w:r w:rsidR="00C711AF">
        <w:rPr>
          <w:i/>
          <w:iCs/>
        </w:rPr>
        <w:t> </w:t>
      </w:r>
      <w:r w:rsidRPr="005B1C78">
        <w:rPr>
          <w:i/>
          <w:iCs/>
        </w:rPr>
        <w:t>507/2020, ECLI:LV:AT:2020:0710.A420319417.10.S, 9.</w:t>
      </w:r>
      <w:r w:rsidR="00EF5289" w:rsidRPr="005B1C78">
        <w:rPr>
          <w:i/>
          <w:iCs/>
        </w:rPr>
        <w:t> </w:t>
      </w:r>
      <w:r w:rsidRPr="005B1C78">
        <w:rPr>
          <w:i/>
          <w:iCs/>
        </w:rPr>
        <w:t>punktu</w:t>
      </w:r>
      <w:r w:rsidRPr="005B1C78">
        <w:t>).</w:t>
      </w:r>
      <w:r w:rsidR="00FA4601" w:rsidRPr="005B1C78">
        <w:t xml:space="preserve"> </w:t>
      </w:r>
    </w:p>
    <w:p w14:paraId="0D169610" w14:textId="23A42462" w:rsidR="00165910" w:rsidRPr="005B1C78" w:rsidRDefault="009A35FE" w:rsidP="009C0AFF">
      <w:pPr>
        <w:shd w:val="clear" w:color="auto" w:fill="FFFFFF"/>
        <w:spacing w:line="276" w:lineRule="auto"/>
        <w:ind w:firstLine="720"/>
        <w:jc w:val="both"/>
        <w:rPr>
          <w:color w:val="000000" w:themeColor="text1"/>
        </w:rPr>
      </w:pPr>
      <w:bookmarkStart w:id="0" w:name="_Hlk208745676"/>
      <w:bookmarkStart w:id="1" w:name="_Hlk208499431"/>
      <w:r w:rsidRPr="005B1C78">
        <w:rPr>
          <w:color w:val="000000" w:themeColor="text1"/>
        </w:rPr>
        <w:t>Ievērojot minēto, Senātam ir jāatbild uz jautājumu, vai apelācijas instances tiesas konstatētie faktiskie apstākļi dod pamatu kvalificēt apsūdzētā darbību kā izdarītu ar netiešu nodomu.</w:t>
      </w:r>
      <w:bookmarkEnd w:id="0"/>
    </w:p>
    <w:p w14:paraId="3A368F81" w14:textId="2E8E47FC" w:rsidR="00442B26" w:rsidRDefault="006772AA" w:rsidP="009C0AFF">
      <w:pPr>
        <w:shd w:val="clear" w:color="auto" w:fill="FFFFFF"/>
        <w:spacing w:line="276" w:lineRule="auto"/>
        <w:ind w:firstLine="720"/>
        <w:jc w:val="both"/>
        <w:rPr>
          <w:shd w:val="clear" w:color="auto" w:fill="FFFFFF"/>
        </w:rPr>
      </w:pPr>
      <w:r>
        <w:rPr>
          <w:shd w:val="clear" w:color="auto" w:fill="FFFFFF"/>
        </w:rPr>
        <w:t>[</w:t>
      </w:r>
      <w:r w:rsidR="003D5EF3">
        <w:rPr>
          <w:shd w:val="clear" w:color="auto" w:fill="FFFFFF"/>
        </w:rPr>
        <w:t>7</w:t>
      </w:r>
      <w:r w:rsidR="009C0AFF">
        <w:rPr>
          <w:shd w:val="clear" w:color="auto" w:fill="FFFFFF"/>
        </w:rPr>
        <w:t>.1</w:t>
      </w:r>
      <w:r>
        <w:rPr>
          <w:shd w:val="clear" w:color="auto" w:fill="FFFFFF"/>
        </w:rPr>
        <w:t xml:space="preserve">] </w:t>
      </w:r>
      <w:r w:rsidR="007600F1" w:rsidRPr="007600F1">
        <w:rPr>
          <w:shd w:val="clear" w:color="auto" w:fill="FFFFFF"/>
        </w:rPr>
        <w:t>Izskatot lietu kasācijas kārtībā pirmo reizi, Senāts 2023.</w:t>
      </w:r>
      <w:r w:rsidR="007600F1">
        <w:rPr>
          <w:shd w:val="clear" w:color="auto" w:fill="FFFFFF"/>
        </w:rPr>
        <w:t> </w:t>
      </w:r>
      <w:r w:rsidR="007600F1" w:rsidRPr="007600F1">
        <w:rPr>
          <w:shd w:val="clear" w:color="auto" w:fill="FFFFFF"/>
        </w:rPr>
        <w:t>gada 13.</w:t>
      </w:r>
      <w:r w:rsidR="007600F1">
        <w:rPr>
          <w:shd w:val="clear" w:color="auto" w:fill="FFFFFF"/>
        </w:rPr>
        <w:t> </w:t>
      </w:r>
      <w:r w:rsidR="007600F1" w:rsidRPr="007600F1">
        <w:rPr>
          <w:shd w:val="clear" w:color="auto" w:fill="FFFFFF"/>
        </w:rPr>
        <w:t>aprīļa lēmumā</w:t>
      </w:r>
      <w:r w:rsidR="00562DD0">
        <w:rPr>
          <w:shd w:val="clear" w:color="auto" w:fill="FFFFFF"/>
        </w:rPr>
        <w:t xml:space="preserve"> </w:t>
      </w:r>
      <w:r w:rsidR="009C0AFF">
        <w:rPr>
          <w:shd w:val="clear" w:color="auto" w:fill="FFFFFF"/>
        </w:rPr>
        <w:t>norādīja</w:t>
      </w:r>
      <w:r w:rsidR="00442B26" w:rsidRPr="00442B26">
        <w:rPr>
          <w:shd w:val="clear" w:color="auto" w:fill="FFFFFF"/>
        </w:rPr>
        <w:t>, ka pret darbību</w:t>
      </w:r>
      <w:r w:rsidR="00442B26">
        <w:rPr>
          <w:shd w:val="clear" w:color="auto" w:fill="FFFFFF"/>
        </w:rPr>
        <w:t>, kas veido šī nozieguma objektīvo pusi,</w:t>
      </w:r>
      <w:r w:rsidR="00442B26" w:rsidRPr="00442B26">
        <w:rPr>
          <w:shd w:val="clear" w:color="auto" w:fill="FFFFFF"/>
        </w:rPr>
        <w:t xml:space="preserve"> ir nepieciešams konstatēt tiešu vai netiešu nodomu, savukārt pret kaitīgajām sekām ir pietiekams gan nodoms, gan neuzmanība</w:t>
      </w:r>
      <w:r w:rsidR="00442B26">
        <w:rPr>
          <w:shd w:val="clear" w:color="auto" w:fill="FFFFFF"/>
        </w:rPr>
        <w:t xml:space="preserve"> abos to veidos</w:t>
      </w:r>
      <w:r w:rsidR="00442B26" w:rsidRPr="00442B26">
        <w:rPr>
          <w:shd w:val="clear" w:color="auto" w:fill="FFFFFF"/>
        </w:rPr>
        <w:t>.</w:t>
      </w:r>
    </w:p>
    <w:p w14:paraId="7B3D26E1" w14:textId="1B083A70" w:rsidR="00D2012A" w:rsidRDefault="00D2012A" w:rsidP="0096336C">
      <w:pPr>
        <w:shd w:val="clear" w:color="auto" w:fill="FFFFFF"/>
        <w:spacing w:line="276" w:lineRule="auto"/>
        <w:ind w:firstLine="720"/>
        <w:jc w:val="both"/>
        <w:rPr>
          <w:shd w:val="clear" w:color="auto" w:fill="FFFFFF"/>
        </w:rPr>
      </w:pPr>
      <w:r>
        <w:rPr>
          <w:shd w:val="clear" w:color="auto" w:fill="FFFFFF"/>
        </w:rPr>
        <w:t xml:space="preserve">Minētais </w:t>
      </w:r>
      <w:r w:rsidR="0096336C">
        <w:rPr>
          <w:shd w:val="clear" w:color="auto" w:fill="FFFFFF"/>
        </w:rPr>
        <w:t>atbilst Krimināllikuma 8. panta otrajā daļā noteiktajam, ka, n</w:t>
      </w:r>
      <w:r w:rsidR="0096336C" w:rsidRPr="0096336C">
        <w:rPr>
          <w:shd w:val="clear" w:color="auto" w:fill="FFFFFF"/>
        </w:rPr>
        <w:t>osakot noziedzīgo nodarījumu izdarījušās personas vainas formu, jākonstatē šīs personas psihiskā attieksme pret noziedzīgā nodarījuma objektīvajām pazīmēm</w:t>
      </w:r>
      <w:r>
        <w:rPr>
          <w:shd w:val="clear" w:color="auto" w:fill="FFFFFF"/>
        </w:rPr>
        <w:t>.</w:t>
      </w:r>
    </w:p>
    <w:p w14:paraId="381338EA" w14:textId="781368CA" w:rsidR="00A2073C" w:rsidRDefault="00D2012A" w:rsidP="0096336C">
      <w:pPr>
        <w:shd w:val="clear" w:color="auto" w:fill="FFFFFF"/>
        <w:spacing w:line="276" w:lineRule="auto"/>
        <w:ind w:firstLine="720"/>
        <w:jc w:val="both"/>
        <w:rPr>
          <w:shd w:val="clear" w:color="auto" w:fill="FFFFFF"/>
        </w:rPr>
      </w:pPr>
      <w:r>
        <w:rPr>
          <w:shd w:val="clear" w:color="auto" w:fill="FFFFFF"/>
        </w:rPr>
        <w:t xml:space="preserve">Ievērojot minēto, </w:t>
      </w:r>
      <w:r w:rsidR="00A2073C" w:rsidRPr="00A2073C">
        <w:rPr>
          <w:shd w:val="clear" w:color="auto" w:fill="FFFFFF"/>
        </w:rPr>
        <w:t xml:space="preserve">apelācijas instances tiesai bija pienākums analizēt apsūdzētā subjektīvo attieksmi gan pret darbību, gan pret tās sekām un noteikt vainas formu attiecībā uz katru no </w:t>
      </w:r>
      <w:r w:rsidR="00A2073C">
        <w:rPr>
          <w:shd w:val="clear" w:color="auto" w:fill="FFFFFF"/>
        </w:rPr>
        <w:t>šīm divām nozieguma</w:t>
      </w:r>
      <w:r w:rsidR="0096336C">
        <w:rPr>
          <w:shd w:val="clear" w:color="auto" w:fill="FFFFFF"/>
        </w:rPr>
        <w:t xml:space="preserve"> objektīvās</w:t>
      </w:r>
      <w:r w:rsidR="00A2073C" w:rsidRPr="00A2073C">
        <w:rPr>
          <w:shd w:val="clear" w:color="auto" w:fill="FFFFFF"/>
        </w:rPr>
        <w:t xml:space="preserve"> puses pazīmēm</w:t>
      </w:r>
      <w:r w:rsidR="00A2073C">
        <w:rPr>
          <w:shd w:val="clear" w:color="auto" w:fill="FFFFFF"/>
        </w:rPr>
        <w:t>, un</w:t>
      </w:r>
      <w:r w:rsidR="00A2073C" w:rsidRPr="00A2073C">
        <w:rPr>
          <w:shd w:val="clear" w:color="auto" w:fill="FFFFFF"/>
        </w:rPr>
        <w:t xml:space="preserve"> </w:t>
      </w:r>
      <w:r w:rsidR="000B66B0">
        <w:rPr>
          <w:shd w:val="clear" w:color="auto" w:fill="FFFFFF"/>
        </w:rPr>
        <w:t xml:space="preserve">taisīt </w:t>
      </w:r>
      <w:r w:rsidR="00A2073C">
        <w:rPr>
          <w:shd w:val="clear" w:color="auto" w:fill="FFFFFF"/>
        </w:rPr>
        <w:t>n</w:t>
      </w:r>
      <w:r w:rsidR="00A2073C" w:rsidRPr="00A2073C">
        <w:rPr>
          <w:shd w:val="clear" w:color="auto" w:fill="FFFFFF"/>
        </w:rPr>
        <w:t>otiesājoš</w:t>
      </w:r>
      <w:r w:rsidR="000B66B0">
        <w:rPr>
          <w:shd w:val="clear" w:color="auto" w:fill="FFFFFF"/>
        </w:rPr>
        <w:t>u</w:t>
      </w:r>
      <w:r w:rsidR="00A2073C" w:rsidRPr="00A2073C">
        <w:rPr>
          <w:shd w:val="clear" w:color="auto" w:fill="FFFFFF"/>
        </w:rPr>
        <w:t xml:space="preserve"> spriedum</w:t>
      </w:r>
      <w:r w:rsidR="000B66B0">
        <w:rPr>
          <w:shd w:val="clear" w:color="auto" w:fill="FFFFFF"/>
        </w:rPr>
        <w:t>u</w:t>
      </w:r>
      <w:r w:rsidR="00A2073C" w:rsidRPr="00A2073C">
        <w:rPr>
          <w:shd w:val="clear" w:color="auto" w:fill="FFFFFF"/>
        </w:rPr>
        <w:t xml:space="preserve"> vienīgi tad, ja konstatētā vainas forma atbilst Senāta norādītajai</w:t>
      </w:r>
      <w:r w:rsidR="00A2073C">
        <w:rPr>
          <w:shd w:val="clear" w:color="auto" w:fill="FFFFFF"/>
        </w:rPr>
        <w:t>.</w:t>
      </w:r>
    </w:p>
    <w:p w14:paraId="34CDB04E" w14:textId="0E4BCA9A" w:rsidR="0096336C" w:rsidRDefault="00320E89" w:rsidP="00B7044E">
      <w:pPr>
        <w:shd w:val="clear" w:color="auto" w:fill="FFFFFF"/>
        <w:spacing w:line="276" w:lineRule="auto"/>
        <w:ind w:firstLine="720"/>
        <w:jc w:val="both"/>
      </w:pPr>
      <w:bookmarkStart w:id="2" w:name="_Hlk204955903"/>
      <w:r w:rsidRPr="005266B0">
        <w:t>[</w:t>
      </w:r>
      <w:r w:rsidR="00D07C7A">
        <w:t>7</w:t>
      </w:r>
      <w:r w:rsidR="00562DD0" w:rsidRPr="005266B0">
        <w:t>.2</w:t>
      </w:r>
      <w:r w:rsidRPr="005266B0">
        <w:t xml:space="preserve">] </w:t>
      </w:r>
      <w:r w:rsidR="0096336C">
        <w:t>Atzinumu par to, ka apsūdzētais viņam inkriminēto darbību ir veicis ar netiešu nodomu, apelācijas instances tiesa ir pamatojusi ar šādiem apsvērumiem.</w:t>
      </w:r>
    </w:p>
    <w:p w14:paraId="73839C76" w14:textId="53F6AD9D" w:rsidR="00B7044E" w:rsidRPr="00BB492E" w:rsidRDefault="007940D4" w:rsidP="00B7044E">
      <w:pPr>
        <w:shd w:val="clear" w:color="auto" w:fill="FFFFFF"/>
        <w:spacing w:line="276" w:lineRule="auto"/>
        <w:ind w:firstLine="720"/>
        <w:jc w:val="both"/>
      </w:pPr>
      <w:r>
        <w:t>P</w:t>
      </w:r>
      <w:r w:rsidR="00B7044E" w:rsidRPr="00BB492E">
        <w:t>irmās instances tiesa konstatēja, ka nav pierādījumu par apsūdzētā nodomu iznīcināt dižkoku, jo viņš pieaicināj</w:t>
      </w:r>
      <w:r w:rsidR="00897871" w:rsidRPr="00BB492E">
        <w:t>a</w:t>
      </w:r>
      <w:r w:rsidR="00B7044E" w:rsidRPr="00BB492E">
        <w:t xml:space="preserve"> speciālistus, kas izvērtēja cērtamos kokus, un interesēj</w:t>
      </w:r>
      <w:r w:rsidR="00897871" w:rsidRPr="00BB492E">
        <w:t>ās</w:t>
      </w:r>
      <w:r w:rsidR="00B7044E" w:rsidRPr="00BB492E">
        <w:t xml:space="preserve"> pašvaldībā par ciršanas atļauju, tomēr tiesa n</w:t>
      </w:r>
      <w:r w:rsidR="00897871" w:rsidRPr="00BB492E">
        <w:t>eizvērtēja</w:t>
      </w:r>
      <w:r w:rsidR="00B7044E" w:rsidRPr="00BB492E">
        <w:t xml:space="preserve"> dižkoka nociršanu „aiz noziedzīgas nevērības, proti, netieša nodoma esamību.”</w:t>
      </w:r>
    </w:p>
    <w:p w14:paraId="2BA43C9E" w14:textId="7AE14BB2" w:rsidR="00B7044E" w:rsidRPr="00BB492E" w:rsidRDefault="00DA63DE" w:rsidP="00B7044E">
      <w:pPr>
        <w:shd w:val="clear" w:color="auto" w:fill="FFFFFF"/>
        <w:spacing w:line="276" w:lineRule="auto"/>
        <w:ind w:firstLine="720"/>
        <w:jc w:val="both"/>
      </w:pPr>
      <w:r>
        <w:t>T</w:t>
      </w:r>
      <w:r w:rsidR="00B7044E" w:rsidRPr="00BB492E">
        <w:t>urpmāk</w:t>
      </w:r>
      <w:r>
        <w:t xml:space="preserve"> tiesa spriedumā</w:t>
      </w:r>
      <w:r w:rsidR="00B7044E" w:rsidRPr="00BB492E">
        <w:t xml:space="preserve"> konstatējusi, ka apsūdzētais nav vērsies pašvaldībā, lai saņemtu ārpus meža augoša koka ciršanas atļauju (</w:t>
      </w:r>
      <w:r w:rsidR="00B7044E" w:rsidRPr="00BB492E">
        <w:rPr>
          <w:i/>
          <w:iCs/>
        </w:rPr>
        <w:t>sprieduma 11.5. punkts</w:t>
      </w:r>
      <w:r w:rsidR="00B7044E" w:rsidRPr="00BB492E">
        <w:t xml:space="preserve">), un devis rīkojumu </w:t>
      </w:r>
      <w:r w:rsidR="00897871" w:rsidRPr="00BB492E">
        <w:t xml:space="preserve">nozāģēt kokus </w:t>
      </w:r>
      <w:r w:rsidR="00B7044E" w:rsidRPr="00BB492E">
        <w:t>konkrētajā teritorijā (</w:t>
      </w:r>
      <w:r w:rsidR="00B7044E" w:rsidRPr="00BB492E">
        <w:rPr>
          <w:i/>
          <w:iCs/>
        </w:rPr>
        <w:t>sprieduma 11.6. punkts</w:t>
      </w:r>
      <w:r w:rsidR="00B7044E" w:rsidRPr="00BB492E">
        <w:t xml:space="preserve">). Savukārt, analizējot normatīvo regulējumu, tiesa secinājusi, ka aizsargājama koka ciršanai nepieciešama Dabas </w:t>
      </w:r>
      <w:r w:rsidR="00B7044E" w:rsidRPr="00BB492E">
        <w:lastRenderedPageBreak/>
        <w:t>aizsardzības pārvaldes atļauja neatkarīgi no tā, vai koks ir marķēts ar informatīvu zīmi vai iekļauts publiski pieejamā datu bāzē (</w:t>
      </w:r>
      <w:r w:rsidR="00B7044E" w:rsidRPr="00BB492E">
        <w:rPr>
          <w:i/>
          <w:iCs/>
        </w:rPr>
        <w:t>sprieduma 11.7. punkts</w:t>
      </w:r>
      <w:r w:rsidR="00B7044E" w:rsidRPr="00BB492E">
        <w:t>).</w:t>
      </w:r>
    </w:p>
    <w:p w14:paraId="56B638B6" w14:textId="77777777" w:rsidR="00B7044E" w:rsidRPr="00BB492E" w:rsidRDefault="00B7044E" w:rsidP="00B7044E">
      <w:pPr>
        <w:shd w:val="clear" w:color="auto" w:fill="FFFFFF"/>
        <w:spacing w:line="276" w:lineRule="auto"/>
        <w:ind w:firstLine="720"/>
        <w:jc w:val="both"/>
      </w:pPr>
      <w:r w:rsidRPr="00BB492E">
        <w:t>Savu vērtējumu apelācijas instances tiesa noslēgusi ar šādiem secinājumiem.</w:t>
      </w:r>
    </w:p>
    <w:p w14:paraId="22B8B32A" w14:textId="77777777" w:rsidR="00DE2F0A" w:rsidRDefault="00B7044E" w:rsidP="00E36B2F">
      <w:pPr>
        <w:shd w:val="clear" w:color="auto" w:fill="FFFFFF"/>
        <w:spacing w:line="276" w:lineRule="auto"/>
        <w:ind w:firstLine="720"/>
        <w:jc w:val="both"/>
      </w:pPr>
      <w:r w:rsidRPr="00BB492E">
        <w:t xml:space="preserve">Nav izšķirošas nozīmes apstāklim, ka pie Rietumu tūjas nebija izvietota informatīvā zīme un dižkoka statuss nebija reģistrēts vides informācijas sistēmā. Nenoliedzami, ka dižkoka statusa reģistrēšana vides informācijas sistēmā varētu ievērojami atvieglot apsūdzētā iespējas orientēties savos pienākumos, tomēr reģistrācijas </w:t>
      </w:r>
      <w:proofErr w:type="spellStart"/>
      <w:r w:rsidRPr="00BB492E">
        <w:t>neesība</w:t>
      </w:r>
      <w:proofErr w:type="spellEnd"/>
      <w:r w:rsidRPr="00BB492E">
        <w:t xml:space="preserve"> nenozīmē, ka koks šādam statusam neatbilst. Apsūdzētais nav izpildījis normatīvajos aktos uzlikto pienākumu saņemt attiecīgo ciršanas atļauju, bet paļāvies uz citu personu viedokli, kuru kompetencē neietilpst ciršanas atļauju izsniegšana (</w:t>
      </w:r>
      <w:r w:rsidRPr="00BB492E">
        <w:rPr>
          <w:i/>
          <w:iCs/>
        </w:rPr>
        <w:t>sprieduma 11.7. punkts</w:t>
      </w:r>
      <w:r w:rsidRPr="00BB492E">
        <w:t>).</w:t>
      </w:r>
    </w:p>
    <w:p w14:paraId="7ABE1CCA" w14:textId="685EA895" w:rsidR="001275E0" w:rsidRDefault="00562DD0" w:rsidP="00BA6AC6">
      <w:pPr>
        <w:shd w:val="clear" w:color="auto" w:fill="FFFFFF"/>
        <w:spacing w:line="276" w:lineRule="auto"/>
        <w:ind w:firstLine="720"/>
        <w:jc w:val="both"/>
      </w:pPr>
      <w:r w:rsidRPr="00DE2F0A">
        <w:t>[</w:t>
      </w:r>
      <w:r w:rsidR="00F668F2">
        <w:t>7</w:t>
      </w:r>
      <w:r w:rsidRPr="00DE2F0A">
        <w:t>.3]</w:t>
      </w:r>
      <w:r w:rsidR="007F357F">
        <w:t xml:space="preserve"> </w:t>
      </w:r>
      <w:r w:rsidRPr="00B86BDD">
        <w:t xml:space="preserve">Senāts </w:t>
      </w:r>
      <w:r>
        <w:t>konstatē, ka</w:t>
      </w:r>
      <w:r w:rsidR="00107DE8">
        <w:t>,</w:t>
      </w:r>
      <w:r>
        <w:t xml:space="preserve"> l</w:t>
      </w:r>
      <w:r w:rsidR="00170FFC" w:rsidRPr="00170FFC">
        <w:t xml:space="preserve">ai </w:t>
      </w:r>
      <w:r w:rsidR="005A6310">
        <w:t>gan</w:t>
      </w:r>
      <w:r w:rsidR="00170FFC" w:rsidRPr="00170FFC">
        <w:t xml:space="preserve"> </w:t>
      </w:r>
      <w:r w:rsidR="00202ED9">
        <w:t xml:space="preserve">apelācijas instances </w:t>
      </w:r>
      <w:r w:rsidR="00170FFC" w:rsidRPr="00170FFC">
        <w:t>tiesa spriedumā</w:t>
      </w:r>
      <w:r w:rsidR="006B6DA2">
        <w:t xml:space="preserve"> </w:t>
      </w:r>
      <w:r w:rsidR="00170FFC" w:rsidRPr="00170FFC">
        <w:t>atsaukusies uz Senāta</w:t>
      </w:r>
      <w:r w:rsidR="009A535B" w:rsidRPr="007600F1">
        <w:rPr>
          <w:shd w:val="clear" w:color="auto" w:fill="FFFFFF"/>
        </w:rPr>
        <w:t xml:space="preserve"> 2023.</w:t>
      </w:r>
      <w:r w:rsidR="009A535B">
        <w:rPr>
          <w:shd w:val="clear" w:color="auto" w:fill="FFFFFF"/>
        </w:rPr>
        <w:t> </w:t>
      </w:r>
      <w:r w:rsidR="009A535B" w:rsidRPr="007600F1">
        <w:rPr>
          <w:shd w:val="clear" w:color="auto" w:fill="FFFFFF"/>
        </w:rPr>
        <w:t>gada 13.</w:t>
      </w:r>
      <w:r w:rsidR="009A535B">
        <w:rPr>
          <w:shd w:val="clear" w:color="auto" w:fill="FFFFFF"/>
        </w:rPr>
        <w:t> </w:t>
      </w:r>
      <w:r w:rsidR="009A535B" w:rsidRPr="007600F1">
        <w:rPr>
          <w:shd w:val="clear" w:color="auto" w:fill="FFFFFF"/>
        </w:rPr>
        <w:t>aprīļa lēmumā</w:t>
      </w:r>
      <w:r w:rsidR="009A535B">
        <w:rPr>
          <w:shd w:val="clear" w:color="auto" w:fill="FFFFFF"/>
        </w:rPr>
        <w:t xml:space="preserve"> </w:t>
      </w:r>
      <w:r w:rsidR="00170FFC" w:rsidRPr="00170FFC">
        <w:t xml:space="preserve">sniegto likuma </w:t>
      </w:r>
      <w:r w:rsidR="006B6DA2">
        <w:t>tulkojumu</w:t>
      </w:r>
      <w:r w:rsidR="00170FFC" w:rsidRPr="00170FFC">
        <w:t xml:space="preserve">, </w:t>
      </w:r>
      <w:r w:rsidR="00170FFC">
        <w:t>tomēr</w:t>
      </w:r>
      <w:r w:rsidR="006B6DA2">
        <w:t xml:space="preserve">, vērtējot faktiskos apstākļus, </w:t>
      </w:r>
      <w:r w:rsidR="005A6310">
        <w:t>t</w:t>
      </w:r>
      <w:r w:rsidR="00AC428E">
        <w:t>ā</w:t>
      </w:r>
      <w:r w:rsidR="005A6310">
        <w:t xml:space="preserve"> </w:t>
      </w:r>
      <w:r w:rsidR="006B6DA2">
        <w:t xml:space="preserve">nav ņēmusi </w:t>
      </w:r>
      <w:r w:rsidR="001275E0">
        <w:t xml:space="preserve">to </w:t>
      </w:r>
      <w:r w:rsidR="006B6DA2">
        <w:t>vērā</w:t>
      </w:r>
      <w:r w:rsidR="00917E08">
        <w:t>, jo faktiski</w:t>
      </w:r>
      <w:r w:rsidR="00917E08" w:rsidRPr="00654F1C">
        <w:t xml:space="preserve"> atz</w:t>
      </w:r>
      <w:r w:rsidR="00917E08">
        <w:t>inusi</w:t>
      </w:r>
      <w:r w:rsidR="00917E08" w:rsidRPr="00654F1C">
        <w:t xml:space="preserve">, ka </w:t>
      </w:r>
      <w:r w:rsidR="00917E08">
        <w:t>pret</w:t>
      </w:r>
      <w:r w:rsidR="00917E08" w:rsidRPr="00654F1C">
        <w:t xml:space="preserve"> apsūdzētā </w:t>
      </w:r>
      <w:r w:rsidR="00917E08">
        <w:t>darbību –</w:t>
      </w:r>
      <w:r w:rsidR="00917E08" w:rsidRPr="00C66982">
        <w:t xml:space="preserve"> rīkojum</w:t>
      </w:r>
      <w:r w:rsidR="00F220A7">
        <w:t>u</w:t>
      </w:r>
      <w:r w:rsidR="00917E08">
        <w:t xml:space="preserve"> </w:t>
      </w:r>
      <w:r w:rsidR="00917E08" w:rsidRPr="00C66982">
        <w:t>nozāģēt</w:t>
      </w:r>
      <w:r w:rsidR="00917E08">
        <w:t xml:space="preserve"> </w:t>
      </w:r>
      <w:r w:rsidR="00917E08" w:rsidRPr="00C66982">
        <w:t>dižkoku</w:t>
      </w:r>
      <w:r w:rsidR="00917E08">
        <w:t xml:space="preserve"> –</w:t>
      </w:r>
      <w:r w:rsidR="00917E08" w:rsidRPr="00654F1C">
        <w:t xml:space="preserve"> pietiek</w:t>
      </w:r>
      <w:r w:rsidR="00917E08">
        <w:t>oši konstatēt</w:t>
      </w:r>
      <w:r w:rsidR="00917E08" w:rsidRPr="00654F1C">
        <w:t xml:space="preserve"> </w:t>
      </w:r>
      <w:r w:rsidR="00917E08">
        <w:t>noziedzīgu nevērību</w:t>
      </w:r>
      <w:r w:rsidR="00AC428E">
        <w:t>.</w:t>
      </w:r>
    </w:p>
    <w:p w14:paraId="4A1BA145" w14:textId="27A9427B" w:rsidR="0096336C" w:rsidRDefault="0096336C" w:rsidP="0096336C">
      <w:pPr>
        <w:shd w:val="clear" w:color="auto" w:fill="FFFFFF"/>
        <w:spacing w:line="276" w:lineRule="auto"/>
        <w:ind w:firstLine="720"/>
        <w:jc w:val="both"/>
      </w:pPr>
      <w:r w:rsidRPr="0096336C">
        <w:t>Minētais secinājums izriet ne vien no apelācijas instances tiesas norādes, kurā noziedzīgas nevērības un netieša nodoma jēdzieni lietoti kā sinonīmi, bet arī no tās veiktā pierādījumu vērtējuma, kas liecina, ka attiecībā uz apsūdzētajam inkriminēto darbību tiesa faktiski konstatējusi neuzmanību.</w:t>
      </w:r>
    </w:p>
    <w:p w14:paraId="7091909F" w14:textId="7DE46D81" w:rsidR="00D31E9F" w:rsidRPr="00BB492E" w:rsidRDefault="00D31E9F" w:rsidP="00BB492E">
      <w:pPr>
        <w:shd w:val="clear" w:color="auto" w:fill="FFFFFF"/>
        <w:spacing w:line="276" w:lineRule="auto"/>
        <w:ind w:firstLine="720"/>
        <w:jc w:val="both"/>
      </w:pPr>
      <w:r w:rsidRPr="00BB492E">
        <w:t>No apelācijas instances tiesas sprieduma izriet, ka tiesa nav atzinusi tieša nodoma esību</w:t>
      </w:r>
      <w:r w:rsidR="00217524" w:rsidRPr="00BB492E">
        <w:t xml:space="preserve"> attiecībā </w:t>
      </w:r>
      <w:r w:rsidR="004B0757" w:rsidRPr="00BB492E">
        <w:t>uz</w:t>
      </w:r>
      <w:r w:rsidR="00217524" w:rsidRPr="00BB492E">
        <w:t xml:space="preserve"> apsūdzētajam inkriminēto darbību – rīkojum</w:t>
      </w:r>
      <w:r w:rsidR="00190EEB" w:rsidRPr="00BB492E">
        <w:t>u</w:t>
      </w:r>
      <w:r w:rsidR="00217524" w:rsidRPr="00BB492E">
        <w:t xml:space="preserve"> nozāģēt dižkoku.</w:t>
      </w:r>
      <w:r w:rsidRPr="00BB492E">
        <w:t xml:space="preserve"> </w:t>
      </w:r>
      <w:r w:rsidR="00217524" w:rsidRPr="00BB492E">
        <w:t>T</w:t>
      </w:r>
      <w:r w:rsidRPr="00BB492E">
        <w:t>as būtu konstatējams tad, ja apsūdzētais būtu zinājis koka aizsargājamo statusu un devis rīkojumu to no</w:t>
      </w:r>
      <w:r w:rsidR="00B13C87" w:rsidRPr="00BB492E">
        <w:t>zāģē</w:t>
      </w:r>
      <w:r w:rsidRPr="00BB492E">
        <w:t>t.</w:t>
      </w:r>
      <w:r w:rsidR="00217524" w:rsidRPr="00BB492E">
        <w:t xml:space="preserve"> No tiesas konstatētajiem apstākļiem</w:t>
      </w:r>
      <w:r w:rsidR="00CD47E2" w:rsidRPr="00BB492E">
        <w:t xml:space="preserve"> izriet, ka</w:t>
      </w:r>
      <w:r w:rsidR="00217524" w:rsidRPr="00BB492E">
        <w:t xml:space="preserve"> šāda iespēja ir izslēgta.</w:t>
      </w:r>
    </w:p>
    <w:p w14:paraId="49346B7A" w14:textId="1276451B" w:rsidR="001A46FF" w:rsidRDefault="00900890" w:rsidP="001A46FF">
      <w:pPr>
        <w:shd w:val="clear" w:color="auto" w:fill="FFFFFF"/>
        <w:spacing w:line="276" w:lineRule="auto"/>
        <w:ind w:firstLine="720"/>
        <w:jc w:val="both"/>
      </w:pPr>
      <w:r w:rsidRPr="00BB492E">
        <w:t xml:space="preserve">Atzīstot, ka </w:t>
      </w:r>
      <w:r w:rsidR="00E75080">
        <w:t>apsūdzētais</w:t>
      </w:r>
      <w:r w:rsidRPr="00BB492E">
        <w:t xml:space="preserve"> viņam inkriminēto darbību ir veicis ar netiešu nodomu, tiesa nav ņēmusi vērā, ka šis nodom</w:t>
      </w:r>
      <w:r w:rsidR="00E75080">
        <w:t>a</w:t>
      </w:r>
      <w:r w:rsidRPr="00BB492E">
        <w:t xml:space="preserve"> veids būtu konstatējams tad, ja</w:t>
      </w:r>
      <w:r w:rsidR="00320E89" w:rsidRPr="00BB492E">
        <w:t xml:space="preserve"> </w:t>
      </w:r>
      <w:r w:rsidR="00C81557" w:rsidRPr="00BB492E">
        <w:t xml:space="preserve">būtu pierādīts, ka apsūdzētais uzskatījis par iespējamu, ka, dodot rīkojumu cirst kokus, var tikt nocirsts </w:t>
      </w:r>
      <w:r w:rsidR="00CD47E2" w:rsidRPr="00BB492E">
        <w:t xml:space="preserve">arī </w:t>
      </w:r>
      <w:r w:rsidR="00C81557" w:rsidRPr="00BB492E">
        <w:t xml:space="preserve">dižkoks (nodoma </w:t>
      </w:r>
      <w:r w:rsidR="00E75080">
        <w:t>zināšanas</w:t>
      </w:r>
      <w:r w:rsidR="00674BC9">
        <w:t xml:space="preserve"> jeb intelektuālais</w:t>
      </w:r>
      <w:r w:rsidR="00C81557" w:rsidRPr="00BB492E">
        <w:t xml:space="preserve"> elements), un apzināti pieļāvis jeb samierinājies ar to (nodoma gribas elements).</w:t>
      </w:r>
    </w:p>
    <w:p w14:paraId="6303511F" w14:textId="5E45E2A4" w:rsidR="00C81557" w:rsidRPr="00BB492E" w:rsidRDefault="00E75080" w:rsidP="00E36B2F">
      <w:pPr>
        <w:shd w:val="clear" w:color="auto" w:fill="FFFFFF"/>
        <w:spacing w:line="276" w:lineRule="auto"/>
        <w:ind w:firstLine="720"/>
        <w:jc w:val="both"/>
      </w:pPr>
      <w:r>
        <w:t>No pārsūdzētā sprieduma izriet, ka tiesa</w:t>
      </w:r>
      <w:r w:rsidR="001F1B9F" w:rsidRPr="00BB492E">
        <w:t xml:space="preserve"> konstatējusi vienīgi to, ka situācijā, kad pie koka nebija izvietota informatīvā zīme un tas nebija reģistrēts vides informācijas sistēmā, apsūdzētais nebija</w:t>
      </w:r>
      <w:r w:rsidR="0091421D" w:rsidRPr="00BB492E">
        <w:t xml:space="preserve"> izdarījis visu viņam objektīvi iespējamo</w:t>
      </w:r>
      <w:r w:rsidR="001F1B9F" w:rsidRPr="00BB492E">
        <w:t xml:space="preserve">, lai noskaidrotu koka </w:t>
      </w:r>
      <w:r w:rsidR="00CD47E2" w:rsidRPr="00BB492E">
        <w:t xml:space="preserve">juridisko </w:t>
      </w:r>
      <w:r w:rsidR="001F1B9F" w:rsidRPr="00BB492E">
        <w:t>statusu kompetentajā iestādē, bet paļāvies uz trešo personu viedokli.</w:t>
      </w:r>
      <w:r w:rsidR="00D31E9F" w:rsidRPr="00BB492E">
        <w:t xml:space="preserve"> </w:t>
      </w:r>
      <w:r w:rsidR="0091421D" w:rsidRPr="00BB492E">
        <w:t xml:space="preserve">Šādi apstākļi var </w:t>
      </w:r>
      <w:r w:rsidR="006F4B5A" w:rsidRPr="00BB492E">
        <w:t>tikt atzīti par</w:t>
      </w:r>
      <w:r w:rsidR="0091421D" w:rsidRPr="00BB492E">
        <w:t xml:space="preserve"> pietiekami</w:t>
      </w:r>
      <w:r w:rsidR="006F4B5A" w:rsidRPr="00BB492E">
        <w:t>em</w:t>
      </w:r>
      <w:r w:rsidR="0091421D" w:rsidRPr="00BB492E">
        <w:t xml:space="preserve">, lai konstatētu neuzmanību, taču tie nav </w:t>
      </w:r>
      <w:r w:rsidR="006F4B5A" w:rsidRPr="00BB492E">
        <w:t xml:space="preserve">pietiekami </w:t>
      </w:r>
      <w:r w:rsidR="0091421D" w:rsidRPr="00BB492E">
        <w:t>netieša nodoma atzīšanai.</w:t>
      </w:r>
    </w:p>
    <w:p w14:paraId="2C615198" w14:textId="3A149282" w:rsidR="005231C5" w:rsidRDefault="001F1B9F" w:rsidP="00E75080">
      <w:pPr>
        <w:shd w:val="clear" w:color="auto" w:fill="FFFFFF"/>
        <w:tabs>
          <w:tab w:val="num" w:pos="720"/>
        </w:tabs>
        <w:spacing w:line="276" w:lineRule="auto"/>
        <w:ind w:firstLine="720"/>
        <w:jc w:val="both"/>
      </w:pPr>
      <w:r w:rsidRPr="00BB492E">
        <w:t xml:space="preserve">Apzināta rīcība ar netiešu nodomu nav izsecināma tikai no tā vien, ka koka </w:t>
      </w:r>
      <w:r w:rsidR="00CD47E2" w:rsidRPr="00BB492E">
        <w:t>aizsargājamo</w:t>
      </w:r>
      <w:r w:rsidRPr="00BB492E">
        <w:t xml:space="preserve"> statusu teorētiski bija iespējams noskaidrot.</w:t>
      </w:r>
    </w:p>
    <w:p w14:paraId="53AD212F" w14:textId="77777777" w:rsidR="00063D2E" w:rsidRDefault="00370E77" w:rsidP="00674BC9">
      <w:pPr>
        <w:shd w:val="clear" w:color="auto" w:fill="FFFFFF"/>
        <w:tabs>
          <w:tab w:val="num" w:pos="720"/>
        </w:tabs>
        <w:spacing w:line="276" w:lineRule="auto"/>
        <w:ind w:firstLine="720"/>
        <w:jc w:val="both"/>
      </w:pPr>
      <w:r w:rsidRPr="00BB492E">
        <w:t>Lai gan</w:t>
      </w:r>
      <w:r w:rsidR="00E75080">
        <w:t xml:space="preserve"> apelācijas instances tiesa ir</w:t>
      </w:r>
      <w:r w:rsidRPr="00BB492E">
        <w:t xml:space="preserve"> vērtējusi</w:t>
      </w:r>
      <w:r w:rsidR="00674BC9">
        <w:t xml:space="preserve"> arī</w:t>
      </w:r>
      <w:r w:rsidRPr="00BB492E">
        <w:t xml:space="preserve"> apstākļus, uz kuriem Senāts bija norādījis 2023. gada 13. aprīļa lēmumā, atceļot pirmo apelācijas instances tiesas nolēmumu šajā lietā, </w:t>
      </w:r>
      <w:r w:rsidR="00900890" w:rsidRPr="00BB492E">
        <w:t xml:space="preserve">tomēr </w:t>
      </w:r>
      <w:r w:rsidR="00E111FD">
        <w:t>tie</w:t>
      </w:r>
      <w:r w:rsidR="00900890" w:rsidRPr="00BB492E">
        <w:t xml:space="preserve"> bija jāvērtē </w:t>
      </w:r>
      <w:r w:rsidRPr="00BB492E">
        <w:t xml:space="preserve">kopsakarā ar pārējiem lietā esošajiem pierādījumiem, </w:t>
      </w:r>
      <w:r w:rsidR="00592504" w:rsidRPr="00BB492E">
        <w:t xml:space="preserve">arī </w:t>
      </w:r>
      <w:r w:rsidRPr="00BB492E">
        <w:t>apsūdzētā un liecinieku liecībām</w:t>
      </w:r>
      <w:r w:rsidR="00BA6AC6">
        <w:t>.</w:t>
      </w:r>
      <w:r w:rsidR="00233B13">
        <w:t xml:space="preserve"> </w:t>
      </w:r>
      <w:r w:rsidR="00E75080" w:rsidRPr="00E75080">
        <w:t>Šādu vispusīgu vērtējumu tiesa nav veikusi</w:t>
      </w:r>
      <w:r w:rsidR="00E75080">
        <w:t>.</w:t>
      </w:r>
    </w:p>
    <w:p w14:paraId="576B3078" w14:textId="230AE59A" w:rsidR="0091421D" w:rsidRDefault="0091421D" w:rsidP="00674BC9">
      <w:pPr>
        <w:shd w:val="clear" w:color="auto" w:fill="FFFFFF"/>
        <w:tabs>
          <w:tab w:val="num" w:pos="720"/>
        </w:tabs>
        <w:spacing w:line="276" w:lineRule="auto"/>
        <w:ind w:firstLine="720"/>
        <w:jc w:val="both"/>
      </w:pPr>
      <w:r w:rsidRPr="00BB492E">
        <w:t>[</w:t>
      </w:r>
      <w:r w:rsidR="00063D2E">
        <w:t>7</w:t>
      </w:r>
      <w:r w:rsidRPr="00BB492E">
        <w:t>.</w:t>
      </w:r>
      <w:r w:rsidR="00B13C87" w:rsidRPr="00BB492E">
        <w:t>4</w:t>
      </w:r>
      <w:r w:rsidRPr="00BB492E">
        <w:t>]</w:t>
      </w:r>
      <w:r w:rsidR="005101CE">
        <w:t xml:space="preserve"> </w:t>
      </w:r>
      <w:r w:rsidR="00674BC9" w:rsidRPr="00674BC9">
        <w:t>Ievērojot minēto, Senāts secina, ka apelācijas instances tiesa, vērtējot lietas faktiskos apstākļus, ir vadījusies pēc kļūdainiem</w:t>
      </w:r>
      <w:r w:rsidR="00674BC9">
        <w:t xml:space="preserve"> juridiskiem</w:t>
      </w:r>
      <w:r w:rsidR="00674BC9" w:rsidRPr="00674BC9">
        <w:t xml:space="preserve"> kritērijiem. Tādējādi tās spriedums nav atzīstams par likumīgu un pamatotu un ir atceļams</w:t>
      </w:r>
      <w:r w:rsidR="00674BC9">
        <w:t>.</w:t>
      </w:r>
    </w:p>
    <w:bookmarkEnd w:id="1"/>
    <w:p w14:paraId="37B978E8" w14:textId="77777777" w:rsidR="0091421D" w:rsidRDefault="0091421D" w:rsidP="0091421D">
      <w:pPr>
        <w:shd w:val="clear" w:color="auto" w:fill="FFFFFF"/>
        <w:tabs>
          <w:tab w:val="num" w:pos="720"/>
        </w:tabs>
        <w:spacing w:line="276" w:lineRule="auto"/>
        <w:ind w:firstLine="720"/>
        <w:jc w:val="both"/>
      </w:pPr>
    </w:p>
    <w:p w14:paraId="518EB5E9" w14:textId="6FDA4253" w:rsidR="00F40125" w:rsidRPr="00351211" w:rsidRDefault="006F4B5A" w:rsidP="00A85919">
      <w:pPr>
        <w:shd w:val="clear" w:color="auto" w:fill="FFFFFF"/>
        <w:tabs>
          <w:tab w:val="num" w:pos="720"/>
        </w:tabs>
        <w:spacing w:line="276" w:lineRule="auto"/>
        <w:ind w:firstLine="720"/>
        <w:jc w:val="both"/>
      </w:pPr>
      <w:r w:rsidRPr="00351211">
        <w:t>[</w:t>
      </w:r>
      <w:r w:rsidR="00063D2E">
        <w:t>8</w:t>
      </w:r>
      <w:r w:rsidR="0091421D" w:rsidRPr="00351211">
        <w:t xml:space="preserve">] </w:t>
      </w:r>
      <w:r w:rsidR="00CD47E2" w:rsidRPr="00351211">
        <w:t>Atceļot apelācijas instances tiesas spriedumu pilnībā un nosūtot lietu jaunai izskatīšanai, Senāts atzīst par nepieciešamu sīkāk izskaidrot netieša nodoma pazīmes.</w:t>
      </w:r>
    </w:p>
    <w:p w14:paraId="26C22DBF" w14:textId="371A3C06" w:rsidR="00A72619" w:rsidRPr="00C13276" w:rsidRDefault="007D7B4F" w:rsidP="00A72619">
      <w:pPr>
        <w:spacing w:line="276" w:lineRule="auto"/>
        <w:ind w:firstLine="720"/>
        <w:jc w:val="both"/>
      </w:pPr>
      <w:r w:rsidRPr="00D56E3E">
        <w:t>[</w:t>
      </w:r>
      <w:r w:rsidR="00A13461">
        <w:t>8</w:t>
      </w:r>
      <w:r w:rsidR="00F40125" w:rsidRPr="00D56E3E">
        <w:t>.1</w:t>
      </w:r>
      <w:r w:rsidR="005101CE" w:rsidRPr="00D56E3E">
        <w:t>]</w:t>
      </w:r>
      <w:r w:rsidR="000D795A" w:rsidRPr="00D56E3E">
        <w:t xml:space="preserve"> </w:t>
      </w:r>
      <w:r w:rsidR="00823362" w:rsidRPr="00D56E3E">
        <w:t xml:space="preserve">Senāts norāda, ka </w:t>
      </w:r>
      <w:bookmarkStart w:id="3" w:name="_Hlk208500616"/>
      <w:r w:rsidR="005E5C64" w:rsidRPr="00C13276">
        <w:t>netiešs nodoms pret darbību pastāv tad, ja persona droši nezina, taču</w:t>
      </w:r>
      <w:r w:rsidR="006C2AAF">
        <w:t xml:space="preserve"> </w:t>
      </w:r>
      <w:r w:rsidR="00A51C83">
        <w:t>uzskata par iespējamu</w:t>
      </w:r>
      <w:r w:rsidR="005E5C64" w:rsidRPr="00C13276">
        <w:t xml:space="preserve">, ka pastāv apstāklis, kas atbilst noziedzīga nodarījuma sastāva </w:t>
      </w:r>
      <w:r w:rsidR="00A72330">
        <w:t>pazīmei</w:t>
      </w:r>
      <w:r w:rsidR="005E5C64" w:rsidRPr="00C13276">
        <w:t xml:space="preserve"> (</w:t>
      </w:r>
      <w:r w:rsidR="00D56E3E" w:rsidRPr="00C13276">
        <w:t>zināšanas</w:t>
      </w:r>
      <w:r w:rsidR="005E5C64" w:rsidRPr="00C13276">
        <w:t xml:space="preserve"> </w:t>
      </w:r>
      <w:r w:rsidR="00A47343">
        <w:t xml:space="preserve">jeb intelektuālais </w:t>
      </w:r>
      <w:r w:rsidR="005E5C64" w:rsidRPr="00C13276">
        <w:t>elements),</w:t>
      </w:r>
      <w:r w:rsidR="00A72619">
        <w:t xml:space="preserve"> tomēr</w:t>
      </w:r>
      <w:r w:rsidR="00DE2F0A">
        <w:t xml:space="preserve"> </w:t>
      </w:r>
      <w:r w:rsidR="005E5C64" w:rsidRPr="00C13276">
        <w:t>veic attiecīgo darbību, apzināti pieļaujot jeb samierinoties ar to, ka attiecīgais apstāklis varētu pastāvēt (gribas elements).</w:t>
      </w:r>
    </w:p>
    <w:p w14:paraId="266E3E46" w14:textId="787716B3" w:rsidR="00C81557" w:rsidRPr="00D56E3E" w:rsidRDefault="00A85919" w:rsidP="00A72619">
      <w:pPr>
        <w:spacing w:line="276" w:lineRule="auto"/>
        <w:ind w:firstLine="720"/>
        <w:jc w:val="both"/>
      </w:pPr>
      <w:r w:rsidRPr="00C13276">
        <w:t xml:space="preserve">Piemērojot minēto atziņu konkrētajiem apstākļiem, </w:t>
      </w:r>
      <w:r w:rsidR="00A72619">
        <w:t xml:space="preserve">ir </w:t>
      </w:r>
      <w:r w:rsidRPr="00C13276">
        <w:t>secināms</w:t>
      </w:r>
      <w:r w:rsidR="00E05492">
        <w:t>:</w:t>
      </w:r>
      <w:r w:rsidR="0019091D">
        <w:t xml:space="preserve"> </w:t>
      </w:r>
      <w:r w:rsidRPr="00D56E3E">
        <w:t xml:space="preserve">lai </w:t>
      </w:r>
      <w:r w:rsidR="00CD47E2" w:rsidRPr="00D56E3E">
        <w:t>konstatētu netiešu nodomu pret darbību – rīkojum</w:t>
      </w:r>
      <w:r w:rsidR="00190EEB" w:rsidRPr="00D56E3E">
        <w:t>u</w:t>
      </w:r>
      <w:r w:rsidR="00CD47E2" w:rsidRPr="00D56E3E">
        <w:t xml:space="preserve"> nozāģēt dižkoku –, jābūt</w:t>
      </w:r>
      <w:r w:rsidR="00AF1204" w:rsidRPr="00D56E3E">
        <w:t xml:space="preserve"> konstatētiem</w:t>
      </w:r>
      <w:r w:rsidR="00CD47E2" w:rsidRPr="00D56E3E">
        <w:t xml:space="preserve"> apstākļiem, kas apsūdzētajam radīja pamatu </w:t>
      </w:r>
      <w:r w:rsidR="00B841B0" w:rsidRPr="00D56E3E">
        <w:t>nopietni pieļaut</w:t>
      </w:r>
      <w:r w:rsidR="00CD47E2" w:rsidRPr="00D56E3E">
        <w:t xml:space="preserve"> to, ka kādam no kokiem varētu būt īpašs aizsardzības režīms (</w:t>
      </w:r>
      <w:r w:rsidR="006538CD">
        <w:t>zināšanas</w:t>
      </w:r>
      <w:r w:rsidR="00CD47E2" w:rsidRPr="00D56E3E">
        <w:t xml:space="preserve"> elements), </w:t>
      </w:r>
      <w:r w:rsidR="00B841B0" w:rsidRPr="00D56E3E">
        <w:t>bet</w:t>
      </w:r>
      <w:r w:rsidR="00A72619">
        <w:t xml:space="preserve"> apsūdzētais, </w:t>
      </w:r>
      <w:r w:rsidR="00A72619" w:rsidRPr="00A72619">
        <w:t>apzināti pieļaujot jeb samierinoties ar šādu varbūtību (gribas elements), deva rīkojumu koku nocirst</w:t>
      </w:r>
      <w:r w:rsidR="00DE2F0A">
        <w:t>.</w:t>
      </w:r>
    </w:p>
    <w:bookmarkEnd w:id="3"/>
    <w:p w14:paraId="459E2B66" w14:textId="1029C020" w:rsidR="00E05492" w:rsidRDefault="00A0056C" w:rsidP="00E05492">
      <w:pPr>
        <w:spacing w:line="276" w:lineRule="auto"/>
        <w:ind w:firstLine="720"/>
        <w:jc w:val="both"/>
      </w:pPr>
      <w:r w:rsidRPr="00C13276">
        <w:t xml:space="preserve">Šādas psihiskās attieksmes būtiskākais kritērijs ir šāds: jo </w:t>
      </w:r>
      <w:r w:rsidR="00D56E3E" w:rsidRPr="00C13276">
        <w:t xml:space="preserve">ar </w:t>
      </w:r>
      <w:r w:rsidRPr="00C13276">
        <w:t>lielāk</w:t>
      </w:r>
      <w:r w:rsidR="00D56E3E" w:rsidRPr="00C13276">
        <w:t>u</w:t>
      </w:r>
      <w:r w:rsidRPr="00C13276">
        <w:t xml:space="preserve"> varbūtīb</w:t>
      </w:r>
      <w:r w:rsidR="00D56E3E" w:rsidRPr="00C13276">
        <w:t xml:space="preserve">u </w:t>
      </w:r>
      <w:r w:rsidRPr="00C13276">
        <w:t>apsūdzētais apzinājies iespēju, ka nocērtamais koks varētu būt dižkoks, jo drīzāk viņš šo iespēju apzināti pieļāvis jeb samierinājies un</w:t>
      </w:r>
      <w:r w:rsidR="00D56E3E" w:rsidRPr="00C13276">
        <w:t xml:space="preserve"> tādējādi</w:t>
      </w:r>
      <w:r w:rsidRPr="00C13276">
        <w:t xml:space="preserve"> rīkojies ar netiešu nodomu.</w:t>
      </w:r>
      <w:r w:rsidR="00D56E3E" w:rsidRPr="00C13276">
        <w:t xml:space="preserve"> Un otrādi</w:t>
      </w:r>
      <w:r w:rsidR="00A13461">
        <w:t> </w:t>
      </w:r>
      <w:r w:rsidR="00D56E3E" w:rsidRPr="00C13276">
        <w:t>– jo ar</w:t>
      </w:r>
      <w:r w:rsidRPr="00C13276">
        <w:t xml:space="preserve"> mazāk</w:t>
      </w:r>
      <w:r w:rsidR="00D56E3E" w:rsidRPr="00C13276">
        <w:t>u</w:t>
      </w:r>
      <w:r w:rsidRPr="00C13276">
        <w:t xml:space="preserve"> varbūtīb</w:t>
      </w:r>
      <w:r w:rsidR="00D56E3E" w:rsidRPr="00C13276">
        <w:t xml:space="preserve">u </w:t>
      </w:r>
      <w:r w:rsidRPr="00C13276">
        <w:t>apsūdzētais to apzinājies, jo drīzāk netieša nodoma nav.</w:t>
      </w:r>
      <w:r w:rsidR="00D56E3E" w:rsidRPr="00C13276">
        <w:t xml:space="preserve"> </w:t>
      </w:r>
      <w:r w:rsidR="00E05492" w:rsidRPr="00E05492">
        <w:t xml:space="preserve">Tas skaidrojams ar to, ka no </w:t>
      </w:r>
      <w:r w:rsidR="007952E1">
        <w:t xml:space="preserve">nodoma </w:t>
      </w:r>
      <w:r w:rsidR="00E05492">
        <w:t>zināšanas</w:t>
      </w:r>
      <w:r w:rsidR="00E05492" w:rsidRPr="00E05492">
        <w:t xml:space="preserve"> elementa intensitātes pakāpes iespējams izdarīt secinājumu arī par gribas elementa pastāvēšanu</w:t>
      </w:r>
      <w:r w:rsidR="00E05492">
        <w:t>.</w:t>
      </w:r>
    </w:p>
    <w:p w14:paraId="6190C9BA" w14:textId="0C8C358F" w:rsidR="009D2FD8" w:rsidRPr="0064753B" w:rsidRDefault="009D2FD8" w:rsidP="00A85919">
      <w:pPr>
        <w:shd w:val="clear" w:color="auto" w:fill="FFFFFF"/>
        <w:tabs>
          <w:tab w:val="num" w:pos="720"/>
        </w:tabs>
        <w:spacing w:line="276" w:lineRule="auto"/>
        <w:ind w:firstLine="720"/>
        <w:jc w:val="both"/>
      </w:pPr>
      <w:r w:rsidRPr="0064753B">
        <w:t>Minētais atbilst pieejai, kas</w:t>
      </w:r>
      <w:r w:rsidR="005231C5">
        <w:t xml:space="preserve"> tiek</w:t>
      </w:r>
      <w:r w:rsidRPr="0064753B">
        <w:t xml:space="preserve"> piemērota arī citos noziedzīgos nodarījumos</w:t>
      </w:r>
      <w:r w:rsidR="00BE0F34">
        <w:t>.</w:t>
      </w:r>
      <w:r w:rsidRPr="0064753B">
        <w:t xml:space="preserve"> </w:t>
      </w:r>
      <w:r w:rsidR="00BE0F34">
        <w:t>P</w:t>
      </w:r>
      <w:r w:rsidRPr="0064753B">
        <w:t xml:space="preserve">iemēram, netiešs nodoms ir </w:t>
      </w:r>
      <w:r w:rsidR="005231C5">
        <w:t>iespējams</w:t>
      </w:r>
      <w:r w:rsidRPr="0064753B">
        <w:t xml:space="preserve"> attiecībā </w:t>
      </w:r>
      <w:r w:rsidR="005231C5">
        <w:t>uz</w:t>
      </w:r>
      <w:r w:rsidRPr="0064753B">
        <w:t xml:space="preserve"> cietušā vecumu, izdarot </w:t>
      </w:r>
      <w:r w:rsidR="005231C5">
        <w:t>noziedzīgu nodarījumu pret tikumību un dzimumneaizskaramību</w:t>
      </w:r>
      <w:r w:rsidRPr="0064753B">
        <w:t xml:space="preserve"> (</w:t>
      </w:r>
      <w:r w:rsidRPr="0064753B">
        <w:rPr>
          <w:i/>
          <w:iCs/>
        </w:rPr>
        <w:t xml:space="preserve">Krastiņš U., </w:t>
      </w:r>
      <w:proofErr w:type="spellStart"/>
      <w:r w:rsidRPr="0064753B">
        <w:rPr>
          <w:i/>
          <w:iCs/>
        </w:rPr>
        <w:t>Liholaja</w:t>
      </w:r>
      <w:proofErr w:type="spellEnd"/>
      <w:r w:rsidRPr="0064753B">
        <w:rPr>
          <w:i/>
          <w:iCs/>
        </w:rPr>
        <w:t xml:space="preserve"> V., Niedre A. Krimināllikuma zinātniski praktiskais komentārs. 2. daļa. Sevišķā daļa. Rīga: AFS, 2007, 348. lpp</w:t>
      </w:r>
      <w:r w:rsidRPr="005231C5">
        <w:rPr>
          <w:i/>
          <w:iCs/>
        </w:rPr>
        <w:t>.</w:t>
      </w:r>
      <w:r w:rsidR="005231C5" w:rsidRPr="00BE0F34">
        <w:t>)</w:t>
      </w:r>
      <w:r w:rsidR="005231C5">
        <w:rPr>
          <w:i/>
          <w:iCs/>
        </w:rPr>
        <w:t xml:space="preserve"> </w:t>
      </w:r>
      <w:r w:rsidR="002B6BD8">
        <w:t>un</w:t>
      </w:r>
      <w:r w:rsidR="005231C5" w:rsidRPr="00BE0F34">
        <w:t xml:space="preserve"> attiecībā uz sievietes grūtniecību</w:t>
      </w:r>
      <w:r w:rsidR="00BE0F34" w:rsidRPr="00BE0F34">
        <w:t>, izdarot slepkavību</w:t>
      </w:r>
      <w:r w:rsidR="00BE0F34">
        <w:t xml:space="preserve"> </w:t>
      </w:r>
      <w:r w:rsidR="00BE0F34" w:rsidRPr="00165910">
        <w:t>(</w:t>
      </w:r>
      <w:r w:rsidR="005231C5" w:rsidRPr="005231C5">
        <w:rPr>
          <w:i/>
          <w:iCs/>
        </w:rPr>
        <w:t>Krastiņš U. Noziedzīga nodarījuma sastāvs un nodarījuma kvalifikācija. Teorētiskie aspekti. Rīga: Tiesu namu aģentūra, 2014, 151.–152. lpp</w:t>
      </w:r>
      <w:r w:rsidR="005231C5" w:rsidRPr="00E558A3">
        <w:t>.</w:t>
      </w:r>
      <w:r w:rsidRPr="0064753B">
        <w:t>).</w:t>
      </w:r>
    </w:p>
    <w:p w14:paraId="21EF6C8A" w14:textId="0BAED6B4" w:rsidR="00370E77" w:rsidRDefault="00F40125" w:rsidP="00A85919">
      <w:pPr>
        <w:shd w:val="clear" w:color="auto" w:fill="FFFFFF"/>
        <w:tabs>
          <w:tab w:val="num" w:pos="720"/>
        </w:tabs>
        <w:spacing w:line="276" w:lineRule="auto"/>
        <w:ind w:firstLine="720"/>
        <w:jc w:val="both"/>
      </w:pPr>
      <w:r>
        <w:t>[</w:t>
      </w:r>
      <w:r w:rsidR="00A13461">
        <w:t>8</w:t>
      </w:r>
      <w:r>
        <w:t xml:space="preserve">.2] </w:t>
      </w:r>
      <w:r w:rsidR="00C81557" w:rsidRPr="00C81557">
        <w:t xml:space="preserve">Pārbaudot </w:t>
      </w:r>
      <w:r w:rsidR="0041086E">
        <w:t>netieš</w:t>
      </w:r>
      <w:r w:rsidR="00E05492">
        <w:t>u</w:t>
      </w:r>
      <w:r w:rsidR="0041086E">
        <w:t xml:space="preserve"> nodomu</w:t>
      </w:r>
      <w:r w:rsidR="00823362">
        <w:t>, n</w:t>
      </w:r>
      <w:r w:rsidR="00194643" w:rsidRPr="00194643">
        <w:t>ozīme ir piešķirama apsūdzētā priekšzināšanām un pieredzei, rīcības motīviem un mērķiem, kā arī viņa rīcības blakus apstākļiem</w:t>
      </w:r>
      <w:r w:rsidR="00194643">
        <w:t>,</w:t>
      </w:r>
      <w:r w:rsidR="00194643" w:rsidRPr="00194643">
        <w:t xml:space="preserve"> piemēram, steidzīgai, maskētai rīcībai vai izvairīšanās mēģinājumiem no iespējamā pārkāpuma atklāšanas, kas var kalpot par netieša nodoma pazīmi. Tāpat nozīmīgi ir koka vizuālie parametri: jo vairāk tie pārsniedz noteikto robežvērtību, no kuras koks uzskatāms par dižkoku, jo mazāk ticama ir apsūdzētā nezināšana par tā aizsargājamo statusu.</w:t>
      </w:r>
    </w:p>
    <w:p w14:paraId="7E315DD2" w14:textId="4EDF0CC0" w:rsidR="007358F9" w:rsidRDefault="007358F9" w:rsidP="007358F9">
      <w:pPr>
        <w:shd w:val="clear" w:color="auto" w:fill="FFFFFF"/>
        <w:tabs>
          <w:tab w:val="num" w:pos="720"/>
        </w:tabs>
        <w:spacing w:line="276" w:lineRule="auto"/>
        <w:ind w:firstLine="720"/>
        <w:jc w:val="both"/>
      </w:pPr>
      <w:r w:rsidRPr="002B6BD8">
        <w:t xml:space="preserve">Būtiski </w:t>
      </w:r>
      <w:r>
        <w:t xml:space="preserve">arī </w:t>
      </w:r>
      <w:r w:rsidRPr="002B6BD8">
        <w:t>izvērtēt gan apsūdzētā veiktos, gan neveiktos pasākumus koka tiesiskā statusa noskaidrošanai, t</w:t>
      </w:r>
      <w:r>
        <w:t>ajā skaitā</w:t>
      </w:r>
      <w:r w:rsidRPr="002B6BD8">
        <w:t xml:space="preserve"> to, vai ticama</w:t>
      </w:r>
      <w:r w:rsidR="007952E1">
        <w:t xml:space="preserve"> ir</w:t>
      </w:r>
      <w:r w:rsidRPr="002B6BD8">
        <w:t xml:space="preserve"> apsūdzētā liecība, ka viņš vērsies pašvaldībā un saņēmis</w:t>
      </w:r>
      <w:r>
        <w:t xml:space="preserve"> </w:t>
      </w:r>
      <w:r w:rsidRPr="002B6BD8">
        <w:t>atbildi, ka atļauja kok</w:t>
      </w:r>
      <w:r>
        <w:t>u</w:t>
      </w:r>
      <w:r w:rsidRPr="002B6BD8">
        <w:t xml:space="preserve"> ciršanai nav nepieciešama.</w:t>
      </w:r>
    </w:p>
    <w:p w14:paraId="4DBC7474" w14:textId="2854D287" w:rsidR="002D21F6" w:rsidRDefault="002D21F6" w:rsidP="002D21F6">
      <w:pPr>
        <w:shd w:val="clear" w:color="auto" w:fill="FFFFFF"/>
        <w:tabs>
          <w:tab w:val="num" w:pos="720"/>
        </w:tabs>
        <w:spacing w:line="276" w:lineRule="auto"/>
        <w:ind w:firstLine="720"/>
        <w:jc w:val="both"/>
      </w:pPr>
      <w:r w:rsidRPr="002D21F6">
        <w:t xml:space="preserve">Šo apstākļu nozīme vērtējama kopsakarā, neaprobežojoties tikai ar viena atsevišķa apstākļa </w:t>
      </w:r>
      <w:proofErr w:type="spellStart"/>
      <w:r w:rsidRPr="002D21F6">
        <w:t>izvērtējumu</w:t>
      </w:r>
      <w:proofErr w:type="spellEnd"/>
      <w:r w:rsidRPr="002D21F6">
        <w:t>. Turklāt norādītais uzskaitījums nav uzskatāms par izsmeļošu</w:t>
      </w:r>
      <w:r w:rsidR="00A13461">
        <w:t>.</w:t>
      </w:r>
    </w:p>
    <w:p w14:paraId="565D06ED" w14:textId="3F57577A" w:rsidR="00E23880" w:rsidRDefault="005101CE" w:rsidP="00A85919">
      <w:pPr>
        <w:shd w:val="clear" w:color="auto" w:fill="FFFFFF"/>
        <w:tabs>
          <w:tab w:val="num" w:pos="720"/>
        </w:tabs>
        <w:spacing w:line="276" w:lineRule="auto"/>
        <w:ind w:firstLine="720"/>
        <w:jc w:val="both"/>
      </w:pPr>
      <w:r>
        <w:t>[</w:t>
      </w:r>
      <w:r w:rsidR="00A13461">
        <w:t>8</w:t>
      </w:r>
      <w:r w:rsidR="00226A2A">
        <w:t>.3]</w:t>
      </w:r>
      <w:r>
        <w:t xml:space="preserve"> </w:t>
      </w:r>
      <w:r w:rsidR="008E3689">
        <w:t>Senāts atzīst, ka a</w:t>
      </w:r>
      <w:r w:rsidR="00DF2DA2" w:rsidRPr="00DF2DA2">
        <w:t xml:space="preserve">pelācijas instances tiesa nav vērtējusi </w:t>
      </w:r>
      <w:r w:rsidR="003E2D22">
        <w:t xml:space="preserve">arī </w:t>
      </w:r>
      <w:r w:rsidR="00DF2DA2" w:rsidRPr="00DF2DA2">
        <w:t xml:space="preserve">apsūdzētā subjektīvo attieksmi pret </w:t>
      </w:r>
      <w:r w:rsidR="00D54251">
        <w:t xml:space="preserve">Krimināllikuma 114. pantā paredzētā noziedzīgā nodarījuma </w:t>
      </w:r>
      <w:r w:rsidR="00DF2DA2" w:rsidRPr="00DF2DA2">
        <w:t>sekām</w:t>
      </w:r>
      <w:r w:rsidR="00E23880">
        <w:t>.</w:t>
      </w:r>
      <w:r w:rsidR="00364E6C">
        <w:t xml:space="preserve"> Tādēļ, ja, izskatot lietu no jauna apelācijas kārtībā, tiesa konstatēs, ka attiecībā </w:t>
      </w:r>
      <w:r w:rsidR="003734F9">
        <w:t>uz</w:t>
      </w:r>
      <w:r w:rsidR="00364E6C">
        <w:t xml:space="preserve"> apsūdzībā inkriminēto darbību</w:t>
      </w:r>
      <w:r w:rsidR="00A90A3F">
        <w:t xml:space="preserve"> – </w:t>
      </w:r>
      <w:r w:rsidR="001C4858" w:rsidRPr="00CD47E2">
        <w:t>rīkojum</w:t>
      </w:r>
      <w:r w:rsidR="002E39A3">
        <w:t>u</w:t>
      </w:r>
      <w:r w:rsidR="001C4858" w:rsidRPr="00CD47E2">
        <w:t xml:space="preserve"> nozāģēt dižkoku </w:t>
      </w:r>
      <w:r w:rsidR="001C4858">
        <w:t xml:space="preserve">– </w:t>
      </w:r>
      <w:r w:rsidR="00364E6C">
        <w:t xml:space="preserve">apsūdzētais rīkojies ar netiešu nodomu, tai </w:t>
      </w:r>
      <w:r w:rsidR="002E39A3">
        <w:t>ir</w:t>
      </w:r>
      <w:r w:rsidR="00364E6C">
        <w:t xml:space="preserve"> jāizvērtē arī šis jautājums.</w:t>
      </w:r>
    </w:p>
    <w:p w14:paraId="687400A8" w14:textId="10CD745C" w:rsidR="000C6E70" w:rsidRDefault="008E3689" w:rsidP="00A85919">
      <w:pPr>
        <w:shd w:val="clear" w:color="auto" w:fill="FFFFFF"/>
        <w:tabs>
          <w:tab w:val="num" w:pos="720"/>
        </w:tabs>
        <w:spacing w:line="276" w:lineRule="auto"/>
        <w:ind w:firstLine="720"/>
        <w:jc w:val="both"/>
      </w:pPr>
      <w:r>
        <w:lastRenderedPageBreak/>
        <w:t>Senāts vērš uzmanību, ka, n</w:t>
      </w:r>
      <w:r w:rsidR="00F21252">
        <w:t>osakot</w:t>
      </w:r>
      <w:r w:rsidR="00E23880">
        <w:t xml:space="preserve">, kas ir </w:t>
      </w:r>
      <w:r w:rsidR="00F21252">
        <w:t xml:space="preserve">uzskatāms par noziedzīga </w:t>
      </w:r>
      <w:r w:rsidR="00E23880">
        <w:t>nodarījuma sek</w:t>
      </w:r>
      <w:r w:rsidR="00F21252">
        <w:t>ām</w:t>
      </w:r>
      <w:r w:rsidR="001C4858">
        <w:t xml:space="preserve"> </w:t>
      </w:r>
      <w:r w:rsidR="009F5316">
        <w:t>izskatāmajā lietā</w:t>
      </w:r>
      <w:r w:rsidR="00E23880">
        <w:t>, ir jāņem vērā,</w:t>
      </w:r>
      <w:r w:rsidR="00AB2F41">
        <w:t xml:space="preserve"> </w:t>
      </w:r>
      <w:r w:rsidR="00E23880">
        <w:t xml:space="preserve">ka </w:t>
      </w:r>
      <w:r w:rsidR="00E23880" w:rsidRPr="0090203D">
        <w:t>apsūdzētajam</w:t>
      </w:r>
      <w:r w:rsidR="00E23880">
        <w:t xml:space="preserve"> </w:t>
      </w:r>
      <w:r w:rsidR="00E23880" w:rsidRPr="0090203D">
        <w:t>inkriminēta noziedzīga nodarījuma izdarīšana netiešā</w:t>
      </w:r>
      <w:r w:rsidR="00AB2F41">
        <w:t>s</w:t>
      </w:r>
      <w:r w:rsidR="00E23880" w:rsidRPr="0090203D">
        <w:t xml:space="preserve"> jeb pastarpinātā</w:t>
      </w:r>
      <w:r w:rsidR="00AB2F41">
        <w:t>s izdarīšanas</w:t>
      </w:r>
      <w:r w:rsidR="00E23880" w:rsidRPr="0090203D">
        <w:t xml:space="preserve"> formā, </w:t>
      </w:r>
      <w:r w:rsidR="00D54251">
        <w:t>proti,</w:t>
      </w:r>
      <w:r w:rsidR="00F21252">
        <w:t xml:space="preserve"> </w:t>
      </w:r>
      <w:r w:rsidR="00E23880" w:rsidRPr="0090203D">
        <w:t xml:space="preserve">dižkoka nociršanai </w:t>
      </w:r>
      <w:r w:rsidR="00AB2F41">
        <w:t>apsūdzētais</w:t>
      </w:r>
      <w:r w:rsidR="00E23880" w:rsidRPr="0090203D">
        <w:t xml:space="preserve"> izmantojis trešo personu, kura pie kriminālatbildības netiek saukta. </w:t>
      </w:r>
      <w:r w:rsidR="000C6E70" w:rsidRPr="000C6E70">
        <w:t xml:space="preserve">Šādā gadījumā </w:t>
      </w:r>
      <w:r w:rsidR="000C6E70">
        <w:t>apsūdzētais ir atbildīgs par trešās personas darbībām</w:t>
      </w:r>
      <w:r w:rsidR="000C6E70" w:rsidRPr="000C6E70">
        <w:t xml:space="preserve">, un </w:t>
      </w:r>
      <w:r w:rsidR="000C6E70">
        <w:t xml:space="preserve">tādēļ </w:t>
      </w:r>
      <w:r w:rsidR="000C6E70" w:rsidRPr="000C6E70">
        <w:t>dižkoka nociršana kvalificējama kā viņa paša darbība</w:t>
      </w:r>
      <w:r w:rsidR="000C6E70">
        <w:t>.</w:t>
      </w:r>
    </w:p>
    <w:p w14:paraId="2238C6F7" w14:textId="65FAFACA" w:rsidR="00E23880" w:rsidRDefault="00AE17B5" w:rsidP="00A85919">
      <w:pPr>
        <w:shd w:val="clear" w:color="auto" w:fill="FFFFFF"/>
        <w:tabs>
          <w:tab w:val="num" w:pos="720"/>
        </w:tabs>
        <w:spacing w:line="276" w:lineRule="auto"/>
        <w:ind w:firstLine="720"/>
        <w:jc w:val="both"/>
      </w:pPr>
      <w:r>
        <w:t>No minētā izriet, ka</w:t>
      </w:r>
      <w:r w:rsidR="00E23880">
        <w:t xml:space="preserve"> par </w:t>
      </w:r>
      <w:r w:rsidR="00F21252">
        <w:t xml:space="preserve">noziedzīga </w:t>
      </w:r>
      <w:r w:rsidR="00E23880">
        <w:t>nodarījuma sekām</w:t>
      </w:r>
      <w:r w:rsidR="00F21252">
        <w:t xml:space="preserve"> </w:t>
      </w:r>
      <w:r w:rsidR="00E23880">
        <w:t>ir atzīstams apsūdzībā norādītais mantiskais kaitējums.</w:t>
      </w:r>
    </w:p>
    <w:p w14:paraId="61DFD54C" w14:textId="5C20999B" w:rsidR="00364E6C" w:rsidRDefault="00364E6C" w:rsidP="00A85919">
      <w:pPr>
        <w:shd w:val="clear" w:color="auto" w:fill="FFFFFF"/>
        <w:tabs>
          <w:tab w:val="num" w:pos="720"/>
        </w:tabs>
        <w:spacing w:line="276" w:lineRule="auto"/>
        <w:ind w:firstLine="720"/>
        <w:jc w:val="both"/>
        <w:rPr>
          <w:shd w:val="clear" w:color="auto" w:fill="FFFFFF"/>
        </w:rPr>
      </w:pPr>
      <w:r>
        <w:t>[</w:t>
      </w:r>
      <w:r w:rsidR="00A13461">
        <w:t>8</w:t>
      </w:r>
      <w:r w:rsidR="00D1011A">
        <w:t>.4</w:t>
      </w:r>
      <w:r>
        <w:t xml:space="preserve">] </w:t>
      </w:r>
      <w:r w:rsidR="00E23880">
        <w:t>Rezumējot minēto</w:t>
      </w:r>
      <w:r w:rsidR="00DF2DA2" w:rsidRPr="00DF2DA2">
        <w:t>,</w:t>
      </w:r>
      <w:r>
        <w:t xml:space="preserve"> Senāts </w:t>
      </w:r>
      <w:r w:rsidR="009F5316">
        <w:t>atzīst</w:t>
      </w:r>
      <w:r>
        <w:t>, ka apelācijas instances tiesa</w:t>
      </w:r>
      <w:r w:rsidR="006538CD">
        <w:t>, noziedzīgu nevērību pielīdzinot netiešam nodomam,</w:t>
      </w:r>
      <w:r>
        <w:t xml:space="preserve"> </w:t>
      </w:r>
      <w:r w:rsidR="00C9510A">
        <w:rPr>
          <w:shd w:val="clear" w:color="auto" w:fill="FFFFFF"/>
        </w:rPr>
        <w:t>nepareizi piemērojusi</w:t>
      </w:r>
      <w:r>
        <w:rPr>
          <w:shd w:val="clear" w:color="auto" w:fill="FFFFFF"/>
        </w:rPr>
        <w:t xml:space="preserve"> Krimināllikuma</w:t>
      </w:r>
      <w:r w:rsidR="00EF5289">
        <w:rPr>
          <w:shd w:val="clear" w:color="auto" w:fill="FFFFFF"/>
        </w:rPr>
        <w:t xml:space="preserve"> </w:t>
      </w:r>
      <w:r>
        <w:rPr>
          <w:shd w:val="clear" w:color="auto" w:fill="FFFFFF"/>
        </w:rPr>
        <w:t>9. </w:t>
      </w:r>
      <w:r w:rsidR="00F40125">
        <w:rPr>
          <w:shd w:val="clear" w:color="auto" w:fill="FFFFFF"/>
        </w:rPr>
        <w:t>pantu</w:t>
      </w:r>
      <w:r w:rsidR="0057133F">
        <w:rPr>
          <w:shd w:val="clear" w:color="auto" w:fill="FFFFFF"/>
        </w:rPr>
        <w:t>,</w:t>
      </w:r>
      <w:r w:rsidR="00E86473">
        <w:rPr>
          <w:shd w:val="clear" w:color="auto" w:fill="FFFFFF"/>
        </w:rPr>
        <w:t xml:space="preserve"> tādē</w:t>
      </w:r>
      <w:r w:rsidR="00EF5289">
        <w:rPr>
          <w:shd w:val="clear" w:color="auto" w:fill="FFFFFF"/>
        </w:rPr>
        <w:t>jādi</w:t>
      </w:r>
      <w:r w:rsidR="00A0056C">
        <w:rPr>
          <w:shd w:val="clear" w:color="auto" w:fill="FFFFFF"/>
        </w:rPr>
        <w:t xml:space="preserve"> </w:t>
      </w:r>
      <w:r w:rsidR="00E86473">
        <w:rPr>
          <w:shd w:val="clear" w:color="auto" w:fill="FFFFFF"/>
        </w:rPr>
        <w:t>pieļaujot Kriminālprocesa likuma 574. panta 1. punkt</w:t>
      </w:r>
      <w:r w:rsidR="00A13461">
        <w:rPr>
          <w:shd w:val="clear" w:color="auto" w:fill="FFFFFF"/>
        </w:rPr>
        <w:t>ā norādīto</w:t>
      </w:r>
      <w:r w:rsidR="00E86473">
        <w:rPr>
          <w:shd w:val="clear" w:color="auto" w:fill="FFFFFF"/>
        </w:rPr>
        <w:t xml:space="preserve"> Krimināllikuma pārkāpumu</w:t>
      </w:r>
      <w:r w:rsidR="00A13461">
        <w:rPr>
          <w:shd w:val="clear" w:color="auto" w:fill="FFFFFF"/>
        </w:rPr>
        <w:t>,</w:t>
      </w:r>
      <w:r w:rsidR="00E86473">
        <w:rPr>
          <w:shd w:val="clear" w:color="auto" w:fill="FFFFFF"/>
        </w:rPr>
        <w:t xml:space="preserve"> </w:t>
      </w:r>
      <w:r w:rsidR="00A85919">
        <w:rPr>
          <w:shd w:val="clear" w:color="auto" w:fill="FFFFFF"/>
        </w:rPr>
        <w:t>t</w:t>
      </w:r>
      <w:r>
        <w:rPr>
          <w:shd w:val="clear" w:color="auto" w:fill="FFFFFF"/>
        </w:rPr>
        <w:t>ādēļ tās nolēmums ir atceļams pilnībā un lieta nosūtāma</w:t>
      </w:r>
      <w:r w:rsidR="006F4B2F">
        <w:rPr>
          <w:shd w:val="clear" w:color="auto" w:fill="FFFFFF"/>
        </w:rPr>
        <w:t xml:space="preserve"> jaunai</w:t>
      </w:r>
      <w:r>
        <w:rPr>
          <w:shd w:val="clear" w:color="auto" w:fill="FFFFFF"/>
        </w:rPr>
        <w:t xml:space="preserve"> izskatīšanas apelācijas instances ties</w:t>
      </w:r>
      <w:r w:rsidR="00774B35">
        <w:rPr>
          <w:shd w:val="clear" w:color="auto" w:fill="FFFFFF"/>
        </w:rPr>
        <w:t>ā</w:t>
      </w:r>
      <w:r>
        <w:rPr>
          <w:shd w:val="clear" w:color="auto" w:fill="FFFFFF"/>
        </w:rPr>
        <w:t>.</w:t>
      </w:r>
    </w:p>
    <w:p w14:paraId="270413F2" w14:textId="77777777" w:rsidR="00A90A3F" w:rsidRDefault="00A90A3F" w:rsidP="00DF2DA2">
      <w:pPr>
        <w:shd w:val="clear" w:color="auto" w:fill="FFFFFF"/>
        <w:tabs>
          <w:tab w:val="num" w:pos="720"/>
        </w:tabs>
        <w:spacing w:line="276" w:lineRule="auto"/>
        <w:ind w:firstLine="720"/>
        <w:jc w:val="both"/>
        <w:rPr>
          <w:shd w:val="clear" w:color="auto" w:fill="FFFFFF"/>
        </w:rPr>
      </w:pPr>
    </w:p>
    <w:p w14:paraId="1000C3F5" w14:textId="4C2E384F" w:rsidR="00A90A3F" w:rsidRPr="006F4B2F" w:rsidRDefault="00A90A3F" w:rsidP="006F4B2F">
      <w:pPr>
        <w:shd w:val="clear" w:color="auto" w:fill="FFFFFF"/>
        <w:spacing w:line="276" w:lineRule="auto"/>
        <w:ind w:firstLine="720"/>
        <w:jc w:val="both"/>
        <w:rPr>
          <w:rFonts w:asciiTheme="majorBidi" w:hAnsiTheme="majorBidi" w:cstheme="majorBidi"/>
          <w:shd w:val="clear" w:color="auto" w:fill="FFFFFF"/>
          <w:lang w:eastAsia="lv-LV"/>
        </w:rPr>
      </w:pPr>
      <w:r>
        <w:rPr>
          <w:shd w:val="clear" w:color="auto" w:fill="FFFFFF"/>
        </w:rPr>
        <w:t>[</w:t>
      </w:r>
      <w:r w:rsidR="009F5316">
        <w:rPr>
          <w:shd w:val="clear" w:color="auto" w:fill="FFFFFF"/>
        </w:rPr>
        <w:t>9</w:t>
      </w:r>
      <w:r>
        <w:rPr>
          <w:shd w:val="clear" w:color="auto" w:fill="FFFFFF"/>
        </w:rPr>
        <w:t xml:space="preserve">] Apsūdzētajam </w:t>
      </w:r>
      <w:r w:rsidR="00064DC9">
        <w:t>[pers. A]</w:t>
      </w:r>
      <w:r>
        <w:rPr>
          <w:shd w:val="clear" w:color="auto" w:fill="FFFFFF"/>
        </w:rPr>
        <w:t xml:space="preserve"> drošības līdzeklis nav piemērots.</w:t>
      </w:r>
    </w:p>
    <w:p w14:paraId="3BAF45C0" w14:textId="370F5F5E" w:rsidR="00A90A3F" w:rsidRDefault="00A90A3F" w:rsidP="00DF2DA2">
      <w:pPr>
        <w:shd w:val="clear" w:color="auto" w:fill="FFFFFF"/>
        <w:tabs>
          <w:tab w:val="num" w:pos="720"/>
        </w:tabs>
        <w:spacing w:line="276" w:lineRule="auto"/>
        <w:ind w:firstLine="720"/>
        <w:jc w:val="both"/>
        <w:rPr>
          <w:shd w:val="clear" w:color="auto" w:fill="FFFFFF"/>
        </w:rPr>
      </w:pPr>
      <w:r>
        <w:rPr>
          <w:shd w:val="clear" w:color="auto" w:fill="FFFFFF"/>
        </w:rPr>
        <w:t>Senāts atzīst, ka drošības līdzekļa piemērošanai apsūdzētajam šajā kriminālprocesa stadijā nav tiesiska pamata.</w:t>
      </w:r>
    </w:p>
    <w:p w14:paraId="68B4E53B" w14:textId="77777777" w:rsidR="00124C4D" w:rsidRDefault="00124C4D" w:rsidP="00124C4D">
      <w:pPr>
        <w:shd w:val="clear" w:color="auto" w:fill="FFFFFF"/>
        <w:spacing w:before="360" w:after="360" w:line="276" w:lineRule="auto"/>
        <w:jc w:val="center"/>
        <w:rPr>
          <w:b/>
        </w:rPr>
      </w:pPr>
      <w:r w:rsidRPr="00847F44">
        <w:rPr>
          <w:b/>
        </w:rPr>
        <w:t xml:space="preserve">Rezolutīvā daļa </w:t>
      </w:r>
    </w:p>
    <w:p w14:paraId="0D89D95F" w14:textId="77777777" w:rsidR="00EB21E6" w:rsidRPr="00EB21E6" w:rsidRDefault="00EB21E6" w:rsidP="00EB21E6">
      <w:pPr>
        <w:jc w:val="center"/>
      </w:pPr>
    </w:p>
    <w:p w14:paraId="7ECAF3F4" w14:textId="0CDD3980" w:rsidR="00124C4D" w:rsidRDefault="00124C4D" w:rsidP="00124C4D">
      <w:pPr>
        <w:spacing w:line="276" w:lineRule="auto"/>
        <w:ind w:firstLine="720"/>
        <w:jc w:val="both"/>
      </w:pPr>
      <w:r w:rsidRPr="00F765F8">
        <w:t xml:space="preserve">Pamatojoties uz Kriminālprocesa likuma 585. pantu un 587. panta pirmās daļas </w:t>
      </w:r>
      <w:r w:rsidR="00774B35">
        <w:t>2</w:t>
      </w:r>
      <w:r w:rsidRPr="00F765F8">
        <w:t>. punktu, Senāts</w:t>
      </w:r>
    </w:p>
    <w:p w14:paraId="0551822F" w14:textId="77777777" w:rsidR="00124C4D" w:rsidRDefault="00124C4D" w:rsidP="00124C4D">
      <w:pPr>
        <w:shd w:val="clear" w:color="auto" w:fill="FFFFFF"/>
        <w:spacing w:line="276" w:lineRule="auto"/>
        <w:jc w:val="center"/>
        <w:rPr>
          <w:b/>
        </w:rPr>
      </w:pPr>
    </w:p>
    <w:p w14:paraId="22FC0690" w14:textId="77777777" w:rsidR="00124C4D" w:rsidRDefault="00124C4D" w:rsidP="00124C4D">
      <w:pPr>
        <w:shd w:val="clear" w:color="auto" w:fill="FFFFFF"/>
        <w:spacing w:line="276" w:lineRule="auto"/>
        <w:jc w:val="center"/>
        <w:rPr>
          <w:b/>
        </w:rPr>
      </w:pPr>
      <w:r w:rsidRPr="00A53E41">
        <w:rPr>
          <w:b/>
        </w:rPr>
        <w:t>no</w:t>
      </w:r>
      <w:r>
        <w:rPr>
          <w:b/>
        </w:rPr>
        <w:t>lēma</w:t>
      </w:r>
    </w:p>
    <w:p w14:paraId="399492B6" w14:textId="77777777" w:rsidR="00124C4D" w:rsidRPr="00A53E41" w:rsidRDefault="00124C4D" w:rsidP="00124C4D">
      <w:pPr>
        <w:shd w:val="clear" w:color="auto" w:fill="FFFFFF"/>
        <w:spacing w:line="276" w:lineRule="auto"/>
        <w:jc w:val="center"/>
        <w:rPr>
          <w:b/>
        </w:rPr>
      </w:pPr>
    </w:p>
    <w:p w14:paraId="13CD2623" w14:textId="6E78B464" w:rsidR="00124C4D" w:rsidRDefault="00124C4D" w:rsidP="00E54316">
      <w:pPr>
        <w:spacing w:line="276" w:lineRule="auto"/>
        <w:ind w:firstLine="709"/>
        <w:jc w:val="both"/>
      </w:pPr>
      <w:r w:rsidRPr="00124C4D">
        <w:t xml:space="preserve">atcelt Zemgales apgabaltiesas </w:t>
      </w:r>
      <w:r>
        <w:rPr>
          <w:shd w:val="clear" w:color="auto" w:fill="FFFFFF"/>
        </w:rPr>
        <w:t xml:space="preserve">2024. gada 12. novembra </w:t>
      </w:r>
      <w:r w:rsidR="00E54316">
        <w:t>spriedumu</w:t>
      </w:r>
      <w:r w:rsidRPr="00124C4D">
        <w:t xml:space="preserve"> pilnībā un nosūtīt lietu jaunai</w:t>
      </w:r>
      <w:r>
        <w:t xml:space="preserve"> </w:t>
      </w:r>
      <w:r w:rsidRPr="00124C4D">
        <w:t>izskatīšanai Zemgales apgabaltiesā.</w:t>
      </w:r>
    </w:p>
    <w:p w14:paraId="7CE6A745" w14:textId="77777777" w:rsidR="00124C4D" w:rsidRDefault="00124C4D" w:rsidP="00124C4D">
      <w:pPr>
        <w:spacing w:line="276" w:lineRule="auto"/>
        <w:ind w:firstLine="720"/>
        <w:jc w:val="both"/>
      </w:pPr>
    </w:p>
    <w:p w14:paraId="403CD446" w14:textId="0DE748F5" w:rsidR="00124C4D" w:rsidRDefault="00124C4D" w:rsidP="00124C4D">
      <w:pPr>
        <w:spacing w:line="276" w:lineRule="auto"/>
        <w:ind w:firstLine="720"/>
        <w:jc w:val="both"/>
      </w:pPr>
      <w:r w:rsidRPr="00F765F8">
        <w:t>Lēmums nav pārsūdzams.</w:t>
      </w:r>
    </w:p>
    <w:p w14:paraId="78A846CF" w14:textId="77777777" w:rsidR="00124C4D" w:rsidRDefault="00124C4D" w:rsidP="00124C4D">
      <w:pPr>
        <w:spacing w:line="276" w:lineRule="auto"/>
        <w:ind w:firstLine="709"/>
      </w:pPr>
    </w:p>
    <w:p w14:paraId="6AB17B0B" w14:textId="77777777" w:rsidR="00124C4D" w:rsidRDefault="00124C4D" w:rsidP="00124C4D">
      <w:pPr>
        <w:spacing w:line="276" w:lineRule="auto"/>
        <w:ind w:firstLine="709"/>
      </w:pPr>
    </w:p>
    <w:p w14:paraId="456E55E1" w14:textId="77777777" w:rsidR="006F4B2F" w:rsidRDefault="006F4B2F" w:rsidP="00124C4D">
      <w:pPr>
        <w:spacing w:line="276" w:lineRule="auto"/>
        <w:ind w:firstLine="709"/>
      </w:pPr>
    </w:p>
    <w:p w14:paraId="35CA3AF9" w14:textId="77777777" w:rsidR="00124C4D" w:rsidRPr="007B28BC" w:rsidRDefault="00124C4D" w:rsidP="00124C4D">
      <w:pPr>
        <w:spacing w:line="276" w:lineRule="auto"/>
        <w:ind w:firstLine="709"/>
      </w:pPr>
    </w:p>
    <w:bookmarkEnd w:id="2"/>
    <w:p w14:paraId="6625CD0B" w14:textId="77777777" w:rsidR="005101CE" w:rsidRDefault="005101CE" w:rsidP="006F4B2F">
      <w:pPr>
        <w:shd w:val="clear" w:color="auto" w:fill="FFFFFF"/>
        <w:tabs>
          <w:tab w:val="num" w:pos="720"/>
        </w:tabs>
        <w:spacing w:line="276" w:lineRule="auto"/>
        <w:jc w:val="both"/>
      </w:pPr>
    </w:p>
    <w:sectPr w:rsidR="005101CE" w:rsidSect="00E044C5">
      <w:footerReference w:type="default" r:id="rId9"/>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8183C" w14:textId="77777777" w:rsidR="0069265F" w:rsidRDefault="0069265F" w:rsidP="00592504">
      <w:r>
        <w:separator/>
      </w:r>
    </w:p>
  </w:endnote>
  <w:endnote w:type="continuationSeparator" w:id="0">
    <w:p w14:paraId="60294EF8" w14:textId="77777777" w:rsidR="0069265F" w:rsidRDefault="0069265F" w:rsidP="00592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2508639"/>
      <w:docPartObj>
        <w:docPartGallery w:val="Page Numbers (Bottom of Page)"/>
        <w:docPartUnique/>
      </w:docPartObj>
    </w:sdtPr>
    <w:sdtEndPr/>
    <w:sdtContent>
      <w:sdt>
        <w:sdtPr>
          <w:id w:val="1728636285"/>
          <w:docPartObj>
            <w:docPartGallery w:val="Page Numbers (Top of Page)"/>
            <w:docPartUnique/>
          </w:docPartObj>
        </w:sdtPr>
        <w:sdtEndPr/>
        <w:sdtContent>
          <w:p w14:paraId="60D31468" w14:textId="7014D5C0" w:rsidR="00EB21E6" w:rsidRDefault="00EB21E6">
            <w:pPr>
              <w:pStyle w:val="Footer"/>
              <w:jc w:val="center"/>
            </w:pPr>
            <w:r w:rsidRPr="00EB21E6">
              <w:fldChar w:fldCharType="begin"/>
            </w:r>
            <w:r w:rsidRPr="00EB21E6">
              <w:instrText xml:space="preserve"> PAGE </w:instrText>
            </w:r>
            <w:r w:rsidRPr="00EB21E6">
              <w:fldChar w:fldCharType="separate"/>
            </w:r>
            <w:r w:rsidRPr="00EB21E6">
              <w:rPr>
                <w:noProof/>
              </w:rPr>
              <w:t>2</w:t>
            </w:r>
            <w:r w:rsidRPr="00EB21E6">
              <w:fldChar w:fldCharType="end"/>
            </w:r>
            <w:r w:rsidRPr="00EB21E6">
              <w:t xml:space="preserve"> no </w:t>
            </w:r>
            <w:r w:rsidRPr="00EB21E6">
              <w:fldChar w:fldCharType="begin"/>
            </w:r>
            <w:r w:rsidRPr="00EB21E6">
              <w:instrText xml:space="preserve"> NUMPAGES  </w:instrText>
            </w:r>
            <w:r w:rsidRPr="00EB21E6">
              <w:fldChar w:fldCharType="separate"/>
            </w:r>
            <w:r w:rsidRPr="00EB21E6">
              <w:rPr>
                <w:noProof/>
              </w:rPr>
              <w:t>2</w:t>
            </w:r>
            <w:r w:rsidRPr="00EB21E6">
              <w:fldChar w:fldCharType="end"/>
            </w:r>
          </w:p>
        </w:sdtContent>
      </w:sdt>
    </w:sdtContent>
  </w:sdt>
  <w:p w14:paraId="0EA5F7A9" w14:textId="77777777" w:rsidR="00592504" w:rsidRDefault="005925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F5EE0" w14:textId="77777777" w:rsidR="0069265F" w:rsidRDefault="0069265F" w:rsidP="00592504">
      <w:r>
        <w:separator/>
      </w:r>
    </w:p>
  </w:footnote>
  <w:footnote w:type="continuationSeparator" w:id="0">
    <w:p w14:paraId="678387C6" w14:textId="77777777" w:rsidR="0069265F" w:rsidRDefault="0069265F" w:rsidP="005925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abstractNum w:abstractNumId="1" w15:restartNumberingAfterBreak="0">
    <w:nsid w:val="57936B12"/>
    <w:multiLevelType w:val="hybridMultilevel"/>
    <w:tmpl w:val="C5804288"/>
    <w:lvl w:ilvl="0" w:tplc="85E651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E06385"/>
    <w:multiLevelType w:val="hybridMultilevel"/>
    <w:tmpl w:val="773011EC"/>
    <w:lvl w:ilvl="0" w:tplc="BC1033E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7B6E92"/>
    <w:multiLevelType w:val="multilevel"/>
    <w:tmpl w:val="34BEC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4C466A"/>
    <w:multiLevelType w:val="hybridMultilevel"/>
    <w:tmpl w:val="7FBE0DC0"/>
    <w:lvl w:ilvl="0" w:tplc="85E651A2">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800880893">
    <w:abstractNumId w:val="0"/>
  </w:num>
  <w:num w:numId="2" w16cid:durableId="1127507806">
    <w:abstractNumId w:val="2"/>
  </w:num>
  <w:num w:numId="3" w16cid:durableId="169835570">
    <w:abstractNumId w:val="4"/>
  </w:num>
  <w:num w:numId="4" w16cid:durableId="1577547965">
    <w:abstractNumId w:val="3"/>
  </w:num>
  <w:num w:numId="5" w16cid:durableId="13817798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04925"/>
    <w:rsid w:val="00006F08"/>
    <w:rsid w:val="00007DDE"/>
    <w:rsid w:val="00011D97"/>
    <w:rsid w:val="0001228C"/>
    <w:rsid w:val="00030EC3"/>
    <w:rsid w:val="00032E60"/>
    <w:rsid w:val="00050E22"/>
    <w:rsid w:val="00063D2E"/>
    <w:rsid w:val="00064DC9"/>
    <w:rsid w:val="00077372"/>
    <w:rsid w:val="00091AA3"/>
    <w:rsid w:val="000B66B0"/>
    <w:rsid w:val="000C6E70"/>
    <w:rsid w:val="000C7771"/>
    <w:rsid w:val="000D5328"/>
    <w:rsid w:val="000D656E"/>
    <w:rsid w:val="000D6F40"/>
    <w:rsid w:val="000D795A"/>
    <w:rsid w:val="000E0645"/>
    <w:rsid w:val="000E3DF2"/>
    <w:rsid w:val="00107DE8"/>
    <w:rsid w:val="001138D5"/>
    <w:rsid w:val="00124C4D"/>
    <w:rsid w:val="001275E0"/>
    <w:rsid w:val="0013491B"/>
    <w:rsid w:val="001519E5"/>
    <w:rsid w:val="001546DD"/>
    <w:rsid w:val="00162592"/>
    <w:rsid w:val="00163CBC"/>
    <w:rsid w:val="00165910"/>
    <w:rsid w:val="00170FFC"/>
    <w:rsid w:val="00177A7F"/>
    <w:rsid w:val="0019091D"/>
    <w:rsid w:val="00190EEB"/>
    <w:rsid w:val="00194643"/>
    <w:rsid w:val="00197D13"/>
    <w:rsid w:val="00197FCC"/>
    <w:rsid w:val="001A0392"/>
    <w:rsid w:val="001A46FF"/>
    <w:rsid w:val="001B4218"/>
    <w:rsid w:val="001C4858"/>
    <w:rsid w:val="001C5B28"/>
    <w:rsid w:val="001C6B7C"/>
    <w:rsid w:val="001D15EA"/>
    <w:rsid w:val="001F1B9F"/>
    <w:rsid w:val="00202ED9"/>
    <w:rsid w:val="00204163"/>
    <w:rsid w:val="00212883"/>
    <w:rsid w:val="00212B55"/>
    <w:rsid w:val="00217524"/>
    <w:rsid w:val="00217A12"/>
    <w:rsid w:val="00225470"/>
    <w:rsid w:val="002259A8"/>
    <w:rsid w:val="00226A2A"/>
    <w:rsid w:val="00233B13"/>
    <w:rsid w:val="00245303"/>
    <w:rsid w:val="0025245B"/>
    <w:rsid w:val="002639B9"/>
    <w:rsid w:val="00267555"/>
    <w:rsid w:val="00275A32"/>
    <w:rsid w:val="00282C23"/>
    <w:rsid w:val="00284853"/>
    <w:rsid w:val="00285D23"/>
    <w:rsid w:val="002866E2"/>
    <w:rsid w:val="002B6BD8"/>
    <w:rsid w:val="002C5D8A"/>
    <w:rsid w:val="002D21F6"/>
    <w:rsid w:val="002D4236"/>
    <w:rsid w:val="002E39A3"/>
    <w:rsid w:val="0030103E"/>
    <w:rsid w:val="0031403C"/>
    <w:rsid w:val="00315A51"/>
    <w:rsid w:val="00320E89"/>
    <w:rsid w:val="003216FA"/>
    <w:rsid w:val="00327FC3"/>
    <w:rsid w:val="003361A6"/>
    <w:rsid w:val="003427BE"/>
    <w:rsid w:val="00351211"/>
    <w:rsid w:val="00364E6C"/>
    <w:rsid w:val="00366F5B"/>
    <w:rsid w:val="00370E77"/>
    <w:rsid w:val="003734F9"/>
    <w:rsid w:val="00381120"/>
    <w:rsid w:val="003902C7"/>
    <w:rsid w:val="00392E1C"/>
    <w:rsid w:val="00396FB0"/>
    <w:rsid w:val="003A55CF"/>
    <w:rsid w:val="003C6A39"/>
    <w:rsid w:val="003D5EF3"/>
    <w:rsid w:val="003D675D"/>
    <w:rsid w:val="003E2797"/>
    <w:rsid w:val="003E2D22"/>
    <w:rsid w:val="003F740B"/>
    <w:rsid w:val="00405580"/>
    <w:rsid w:val="004074BD"/>
    <w:rsid w:val="0041086E"/>
    <w:rsid w:val="00421A09"/>
    <w:rsid w:val="0042712A"/>
    <w:rsid w:val="0043581A"/>
    <w:rsid w:val="00442B26"/>
    <w:rsid w:val="00447EE6"/>
    <w:rsid w:val="004524C7"/>
    <w:rsid w:val="00456F2F"/>
    <w:rsid w:val="00492BA9"/>
    <w:rsid w:val="004B0757"/>
    <w:rsid w:val="004B2A94"/>
    <w:rsid w:val="004D1B26"/>
    <w:rsid w:val="004D6143"/>
    <w:rsid w:val="004E01E0"/>
    <w:rsid w:val="004F798C"/>
    <w:rsid w:val="005101CE"/>
    <w:rsid w:val="005142D0"/>
    <w:rsid w:val="005231C5"/>
    <w:rsid w:val="005266B0"/>
    <w:rsid w:val="00534AF6"/>
    <w:rsid w:val="00547C02"/>
    <w:rsid w:val="00550A09"/>
    <w:rsid w:val="005510CB"/>
    <w:rsid w:val="005606B7"/>
    <w:rsid w:val="00562DD0"/>
    <w:rsid w:val="00567624"/>
    <w:rsid w:val="0057133F"/>
    <w:rsid w:val="00586F0C"/>
    <w:rsid w:val="005918B3"/>
    <w:rsid w:val="00592504"/>
    <w:rsid w:val="00595D75"/>
    <w:rsid w:val="005A56A0"/>
    <w:rsid w:val="005A6310"/>
    <w:rsid w:val="005A712F"/>
    <w:rsid w:val="005A7DAA"/>
    <w:rsid w:val="005B1C78"/>
    <w:rsid w:val="005B35E0"/>
    <w:rsid w:val="005B3C3B"/>
    <w:rsid w:val="005C7419"/>
    <w:rsid w:val="005D0F97"/>
    <w:rsid w:val="005D15FE"/>
    <w:rsid w:val="005E04B3"/>
    <w:rsid w:val="005E3071"/>
    <w:rsid w:val="005E5C64"/>
    <w:rsid w:val="005F09AE"/>
    <w:rsid w:val="00624E04"/>
    <w:rsid w:val="00626416"/>
    <w:rsid w:val="006266C1"/>
    <w:rsid w:val="00631352"/>
    <w:rsid w:val="0064753B"/>
    <w:rsid w:val="006508B1"/>
    <w:rsid w:val="006511E3"/>
    <w:rsid w:val="006538CD"/>
    <w:rsid w:val="00654F1C"/>
    <w:rsid w:val="0066212B"/>
    <w:rsid w:val="00665578"/>
    <w:rsid w:val="00674BC9"/>
    <w:rsid w:val="006772AA"/>
    <w:rsid w:val="00685B00"/>
    <w:rsid w:val="0069265F"/>
    <w:rsid w:val="00694E21"/>
    <w:rsid w:val="006B6DA2"/>
    <w:rsid w:val="006C2AAF"/>
    <w:rsid w:val="006C50EB"/>
    <w:rsid w:val="006C6C1D"/>
    <w:rsid w:val="006E5B90"/>
    <w:rsid w:val="006F1112"/>
    <w:rsid w:val="006F4B2F"/>
    <w:rsid w:val="006F4B5A"/>
    <w:rsid w:val="006F4F08"/>
    <w:rsid w:val="007038FB"/>
    <w:rsid w:val="00712AB4"/>
    <w:rsid w:val="00714AFC"/>
    <w:rsid w:val="007310DE"/>
    <w:rsid w:val="007358F9"/>
    <w:rsid w:val="007501BB"/>
    <w:rsid w:val="007557C3"/>
    <w:rsid w:val="007600F1"/>
    <w:rsid w:val="00774B35"/>
    <w:rsid w:val="007940D4"/>
    <w:rsid w:val="00794BB1"/>
    <w:rsid w:val="007952E1"/>
    <w:rsid w:val="007A04FA"/>
    <w:rsid w:val="007A6F3A"/>
    <w:rsid w:val="007D1FB0"/>
    <w:rsid w:val="007D7B4F"/>
    <w:rsid w:val="007E0288"/>
    <w:rsid w:val="007E4E83"/>
    <w:rsid w:val="007E5DA6"/>
    <w:rsid w:val="007F1324"/>
    <w:rsid w:val="007F357F"/>
    <w:rsid w:val="007F5BE7"/>
    <w:rsid w:val="0080167F"/>
    <w:rsid w:val="00803BD2"/>
    <w:rsid w:val="0082027A"/>
    <w:rsid w:val="008210A1"/>
    <w:rsid w:val="00823362"/>
    <w:rsid w:val="00834882"/>
    <w:rsid w:val="008363FA"/>
    <w:rsid w:val="0084599C"/>
    <w:rsid w:val="008536B0"/>
    <w:rsid w:val="0086171C"/>
    <w:rsid w:val="00865F01"/>
    <w:rsid w:val="00870F32"/>
    <w:rsid w:val="00873690"/>
    <w:rsid w:val="008945EF"/>
    <w:rsid w:val="00897871"/>
    <w:rsid w:val="008A7720"/>
    <w:rsid w:val="008D4E52"/>
    <w:rsid w:val="008E3689"/>
    <w:rsid w:val="008E432C"/>
    <w:rsid w:val="008F0317"/>
    <w:rsid w:val="008F5BF9"/>
    <w:rsid w:val="00900890"/>
    <w:rsid w:val="0090203D"/>
    <w:rsid w:val="00902E89"/>
    <w:rsid w:val="0091421D"/>
    <w:rsid w:val="009146CB"/>
    <w:rsid w:val="00917E08"/>
    <w:rsid w:val="00923B49"/>
    <w:rsid w:val="0092622C"/>
    <w:rsid w:val="00943B40"/>
    <w:rsid w:val="0096336C"/>
    <w:rsid w:val="009643B4"/>
    <w:rsid w:val="00964AE8"/>
    <w:rsid w:val="00971DD9"/>
    <w:rsid w:val="00976DC8"/>
    <w:rsid w:val="009A0FC2"/>
    <w:rsid w:val="009A35FE"/>
    <w:rsid w:val="009A4AD5"/>
    <w:rsid w:val="009A535B"/>
    <w:rsid w:val="009A60F0"/>
    <w:rsid w:val="009C0AFF"/>
    <w:rsid w:val="009C6F56"/>
    <w:rsid w:val="009C7DB8"/>
    <w:rsid w:val="009D2FD8"/>
    <w:rsid w:val="009F034D"/>
    <w:rsid w:val="009F16D0"/>
    <w:rsid w:val="009F1ED6"/>
    <w:rsid w:val="009F3206"/>
    <w:rsid w:val="009F5316"/>
    <w:rsid w:val="009F54C3"/>
    <w:rsid w:val="00A0056C"/>
    <w:rsid w:val="00A0314D"/>
    <w:rsid w:val="00A13461"/>
    <w:rsid w:val="00A2073C"/>
    <w:rsid w:val="00A269AC"/>
    <w:rsid w:val="00A47343"/>
    <w:rsid w:val="00A51C83"/>
    <w:rsid w:val="00A558C8"/>
    <w:rsid w:val="00A64B55"/>
    <w:rsid w:val="00A66F29"/>
    <w:rsid w:val="00A72330"/>
    <w:rsid w:val="00A72619"/>
    <w:rsid w:val="00A7557B"/>
    <w:rsid w:val="00A76D07"/>
    <w:rsid w:val="00A85919"/>
    <w:rsid w:val="00A87F66"/>
    <w:rsid w:val="00A90A3F"/>
    <w:rsid w:val="00A91565"/>
    <w:rsid w:val="00AB2F41"/>
    <w:rsid w:val="00AB5073"/>
    <w:rsid w:val="00AC196D"/>
    <w:rsid w:val="00AC428E"/>
    <w:rsid w:val="00AC78FA"/>
    <w:rsid w:val="00AD2435"/>
    <w:rsid w:val="00AD6A6D"/>
    <w:rsid w:val="00AD6AC8"/>
    <w:rsid w:val="00AE17B5"/>
    <w:rsid w:val="00AF1204"/>
    <w:rsid w:val="00AF423F"/>
    <w:rsid w:val="00B002AA"/>
    <w:rsid w:val="00B02132"/>
    <w:rsid w:val="00B13C87"/>
    <w:rsid w:val="00B17F43"/>
    <w:rsid w:val="00B22C3E"/>
    <w:rsid w:val="00B22D9F"/>
    <w:rsid w:val="00B2710A"/>
    <w:rsid w:val="00B54F4B"/>
    <w:rsid w:val="00B615CF"/>
    <w:rsid w:val="00B62346"/>
    <w:rsid w:val="00B638AB"/>
    <w:rsid w:val="00B7044E"/>
    <w:rsid w:val="00B811DD"/>
    <w:rsid w:val="00B841B0"/>
    <w:rsid w:val="00B86BDD"/>
    <w:rsid w:val="00B9424E"/>
    <w:rsid w:val="00BA5B07"/>
    <w:rsid w:val="00BA6240"/>
    <w:rsid w:val="00BA6306"/>
    <w:rsid w:val="00BA6AC6"/>
    <w:rsid w:val="00BB0C7E"/>
    <w:rsid w:val="00BB3C00"/>
    <w:rsid w:val="00BB492E"/>
    <w:rsid w:val="00BD4CEA"/>
    <w:rsid w:val="00BE0F34"/>
    <w:rsid w:val="00BE22A3"/>
    <w:rsid w:val="00BF12F0"/>
    <w:rsid w:val="00BF4AAD"/>
    <w:rsid w:val="00C13276"/>
    <w:rsid w:val="00C33A11"/>
    <w:rsid w:val="00C3630B"/>
    <w:rsid w:val="00C4774E"/>
    <w:rsid w:val="00C5023B"/>
    <w:rsid w:val="00C60316"/>
    <w:rsid w:val="00C607B6"/>
    <w:rsid w:val="00C66982"/>
    <w:rsid w:val="00C711AF"/>
    <w:rsid w:val="00C81557"/>
    <w:rsid w:val="00C91B81"/>
    <w:rsid w:val="00C9510A"/>
    <w:rsid w:val="00C96DDF"/>
    <w:rsid w:val="00CB5416"/>
    <w:rsid w:val="00CD2658"/>
    <w:rsid w:val="00CD47E2"/>
    <w:rsid w:val="00CD4E04"/>
    <w:rsid w:val="00D07C7A"/>
    <w:rsid w:val="00D1011A"/>
    <w:rsid w:val="00D2012A"/>
    <w:rsid w:val="00D31E9F"/>
    <w:rsid w:val="00D31FF8"/>
    <w:rsid w:val="00D40473"/>
    <w:rsid w:val="00D47071"/>
    <w:rsid w:val="00D54251"/>
    <w:rsid w:val="00D56E3E"/>
    <w:rsid w:val="00D65691"/>
    <w:rsid w:val="00D657FA"/>
    <w:rsid w:val="00D70488"/>
    <w:rsid w:val="00D87FED"/>
    <w:rsid w:val="00D95888"/>
    <w:rsid w:val="00DA63DE"/>
    <w:rsid w:val="00DB6060"/>
    <w:rsid w:val="00DC5546"/>
    <w:rsid w:val="00DD594A"/>
    <w:rsid w:val="00DE2F0A"/>
    <w:rsid w:val="00DF2DA2"/>
    <w:rsid w:val="00DF3682"/>
    <w:rsid w:val="00E044C5"/>
    <w:rsid w:val="00E05492"/>
    <w:rsid w:val="00E074E6"/>
    <w:rsid w:val="00E111FD"/>
    <w:rsid w:val="00E15BF0"/>
    <w:rsid w:val="00E23880"/>
    <w:rsid w:val="00E36B2F"/>
    <w:rsid w:val="00E50784"/>
    <w:rsid w:val="00E54316"/>
    <w:rsid w:val="00E559BF"/>
    <w:rsid w:val="00E64566"/>
    <w:rsid w:val="00E66FF1"/>
    <w:rsid w:val="00E73356"/>
    <w:rsid w:val="00E75080"/>
    <w:rsid w:val="00E86473"/>
    <w:rsid w:val="00EB21E6"/>
    <w:rsid w:val="00EB4F82"/>
    <w:rsid w:val="00ED0D90"/>
    <w:rsid w:val="00ED6FB0"/>
    <w:rsid w:val="00EF5289"/>
    <w:rsid w:val="00F175C5"/>
    <w:rsid w:val="00F21252"/>
    <w:rsid w:val="00F220A7"/>
    <w:rsid w:val="00F307B7"/>
    <w:rsid w:val="00F30AA3"/>
    <w:rsid w:val="00F35379"/>
    <w:rsid w:val="00F36BA4"/>
    <w:rsid w:val="00F36E82"/>
    <w:rsid w:val="00F376C9"/>
    <w:rsid w:val="00F40125"/>
    <w:rsid w:val="00F424FE"/>
    <w:rsid w:val="00F668F2"/>
    <w:rsid w:val="00F724AF"/>
    <w:rsid w:val="00F80355"/>
    <w:rsid w:val="00FA4601"/>
    <w:rsid w:val="00FB20F8"/>
    <w:rsid w:val="00FB2701"/>
    <w:rsid w:val="00FD18EA"/>
    <w:rsid w:val="00FD48F5"/>
    <w:rsid w:val="00FE1C38"/>
    <w:rsid w:val="00FE3B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46DF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customStyle="1" w:styleId="Char">
    <w:name w:val="Char"/>
    <w:basedOn w:val="Normal"/>
    <w:rsid w:val="00E73356"/>
    <w:pPr>
      <w:spacing w:after="160" w:line="240" w:lineRule="exact"/>
    </w:pPr>
    <w:rPr>
      <w:rFonts w:ascii="Tahoma" w:hAnsi="Tahoma"/>
      <w:sz w:val="20"/>
      <w:szCs w:val="20"/>
      <w:lang w:val="en-US" w:eastAsia="en-US"/>
    </w:rPr>
  </w:style>
  <w:style w:type="paragraph" w:customStyle="1" w:styleId="Char0">
    <w:name w:val="Char"/>
    <w:basedOn w:val="Normal"/>
    <w:rsid w:val="00327FC3"/>
    <w:pPr>
      <w:spacing w:after="160" w:line="240" w:lineRule="exact"/>
    </w:pPr>
    <w:rPr>
      <w:rFonts w:ascii="Tahoma" w:hAnsi="Tahoma"/>
      <w:sz w:val="20"/>
      <w:szCs w:val="20"/>
      <w:lang w:val="en-US" w:eastAsia="en-US"/>
    </w:rPr>
  </w:style>
  <w:style w:type="character" w:styleId="Hyperlink">
    <w:name w:val="Hyperlink"/>
    <w:uiPriority w:val="99"/>
    <w:qFormat/>
    <w:rsid w:val="006772AA"/>
    <w:rPr>
      <w:color w:val="0000FF"/>
      <w:u w:val="single"/>
    </w:rPr>
  </w:style>
  <w:style w:type="paragraph" w:styleId="ListParagraph">
    <w:name w:val="List Paragraph"/>
    <w:basedOn w:val="Normal"/>
    <w:uiPriority w:val="34"/>
    <w:qFormat/>
    <w:rsid w:val="00275A32"/>
    <w:pPr>
      <w:ind w:left="720"/>
      <w:contextualSpacing/>
    </w:pPr>
  </w:style>
  <w:style w:type="character" w:styleId="UnresolvedMention">
    <w:name w:val="Unresolved Mention"/>
    <w:basedOn w:val="DefaultParagraphFont"/>
    <w:uiPriority w:val="99"/>
    <w:semiHidden/>
    <w:unhideWhenUsed/>
    <w:rsid w:val="0092622C"/>
    <w:rPr>
      <w:color w:val="605E5C"/>
      <w:shd w:val="clear" w:color="auto" w:fill="E1DFDD"/>
    </w:rPr>
  </w:style>
  <w:style w:type="character" w:styleId="CommentReference">
    <w:name w:val="annotation reference"/>
    <w:basedOn w:val="DefaultParagraphFont"/>
    <w:uiPriority w:val="99"/>
    <w:semiHidden/>
    <w:unhideWhenUsed/>
    <w:rsid w:val="00F724AF"/>
    <w:rPr>
      <w:sz w:val="16"/>
      <w:szCs w:val="16"/>
    </w:rPr>
  </w:style>
  <w:style w:type="paragraph" w:styleId="CommentText">
    <w:name w:val="annotation text"/>
    <w:basedOn w:val="Normal"/>
    <w:link w:val="CommentTextChar"/>
    <w:uiPriority w:val="99"/>
    <w:unhideWhenUsed/>
    <w:rsid w:val="00F724AF"/>
    <w:rPr>
      <w:sz w:val="20"/>
      <w:szCs w:val="20"/>
    </w:rPr>
  </w:style>
  <w:style w:type="character" w:customStyle="1" w:styleId="CommentTextChar">
    <w:name w:val="Comment Text Char"/>
    <w:basedOn w:val="DefaultParagraphFont"/>
    <w:link w:val="CommentText"/>
    <w:uiPriority w:val="99"/>
    <w:rsid w:val="00F724AF"/>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F724AF"/>
    <w:rPr>
      <w:b/>
      <w:bCs/>
    </w:rPr>
  </w:style>
  <w:style w:type="character" w:customStyle="1" w:styleId="CommentSubjectChar">
    <w:name w:val="Comment Subject Char"/>
    <w:basedOn w:val="CommentTextChar"/>
    <w:link w:val="CommentSubject"/>
    <w:uiPriority w:val="99"/>
    <w:semiHidden/>
    <w:rsid w:val="00F724AF"/>
    <w:rPr>
      <w:rFonts w:eastAsia="Times New Roman" w:cs="Times New Roman"/>
      <w:b/>
      <w:bCs/>
      <w:sz w:val="20"/>
      <w:szCs w:val="20"/>
      <w:lang w:val="lv-LV" w:eastAsia="ru-RU"/>
    </w:rPr>
  </w:style>
  <w:style w:type="paragraph" w:styleId="Revision">
    <w:name w:val="Revision"/>
    <w:hidden/>
    <w:uiPriority w:val="99"/>
    <w:semiHidden/>
    <w:rsid w:val="003A55CF"/>
    <w:pPr>
      <w:spacing w:after="0" w:line="240" w:lineRule="auto"/>
    </w:pPr>
    <w:rPr>
      <w:rFonts w:eastAsia="Times New Roman" w:cs="Times New Roman"/>
      <w:szCs w:val="24"/>
      <w:lang w:val="lv-LV" w:eastAsia="ru-RU"/>
    </w:rPr>
  </w:style>
  <w:style w:type="paragraph" w:styleId="Header">
    <w:name w:val="header"/>
    <w:basedOn w:val="Normal"/>
    <w:link w:val="HeaderChar"/>
    <w:uiPriority w:val="99"/>
    <w:unhideWhenUsed/>
    <w:rsid w:val="00592504"/>
    <w:pPr>
      <w:tabs>
        <w:tab w:val="center" w:pos="4320"/>
        <w:tab w:val="right" w:pos="8640"/>
      </w:tabs>
    </w:pPr>
  </w:style>
  <w:style w:type="character" w:customStyle="1" w:styleId="HeaderChar">
    <w:name w:val="Header Char"/>
    <w:basedOn w:val="DefaultParagraphFont"/>
    <w:link w:val="Header"/>
    <w:uiPriority w:val="99"/>
    <w:rsid w:val="00592504"/>
    <w:rPr>
      <w:rFonts w:eastAsia="Times New Roman" w:cs="Times New Roman"/>
      <w:szCs w:val="24"/>
      <w:lang w:val="lv-LV" w:eastAsia="ru-RU"/>
    </w:rPr>
  </w:style>
  <w:style w:type="paragraph" w:styleId="Footer">
    <w:name w:val="footer"/>
    <w:basedOn w:val="Normal"/>
    <w:link w:val="FooterChar"/>
    <w:uiPriority w:val="99"/>
    <w:unhideWhenUsed/>
    <w:rsid w:val="00592504"/>
    <w:pPr>
      <w:tabs>
        <w:tab w:val="center" w:pos="4320"/>
        <w:tab w:val="right" w:pos="8640"/>
      </w:tabs>
    </w:pPr>
  </w:style>
  <w:style w:type="character" w:customStyle="1" w:styleId="FooterChar">
    <w:name w:val="Footer Char"/>
    <w:basedOn w:val="DefaultParagraphFont"/>
    <w:link w:val="Footer"/>
    <w:uiPriority w:val="99"/>
    <w:rsid w:val="00592504"/>
    <w:rPr>
      <w:rFonts w:eastAsia="Times New Roman" w:cs="Times New Roman"/>
      <w:szCs w:val="24"/>
      <w:lang w:val="lv-LV" w:eastAsia="ru-RU"/>
    </w:rPr>
  </w:style>
  <w:style w:type="paragraph" w:customStyle="1" w:styleId="Char1">
    <w:name w:val="Char"/>
    <w:basedOn w:val="Normal"/>
    <w:rsid w:val="007310DE"/>
    <w:pPr>
      <w:spacing w:after="160" w:line="240" w:lineRule="exact"/>
    </w:pPr>
    <w:rPr>
      <w:rFonts w:ascii="Tahoma" w:hAnsi="Tahoma"/>
      <w:sz w:val="20"/>
      <w:szCs w:val="20"/>
      <w:lang w:val="en-US" w:eastAsia="en-US"/>
    </w:rPr>
  </w:style>
  <w:style w:type="character" w:styleId="FootnoteReference">
    <w:name w:val="footnote reference"/>
    <w:aliases w:val="Footnote Reference Number,Footnote symbol,Footnote Reference times"/>
    <w:uiPriority w:val="99"/>
    <w:rsid w:val="00E75080"/>
    <w:rPr>
      <w:rFonts w:ascii="Times New Roman" w:hAnsi="Times New Roman"/>
      <w:sz w:val="24"/>
      <w:vertAlign w:val="superscript"/>
    </w:rPr>
  </w:style>
  <w:style w:type="paragraph" w:styleId="FootnoteText">
    <w:name w:val="footnote text"/>
    <w:aliases w:val="Fußnote"/>
    <w:basedOn w:val="Normal"/>
    <w:link w:val="FootnoteTextChar"/>
    <w:uiPriority w:val="99"/>
    <w:rsid w:val="00E75080"/>
    <w:pPr>
      <w:suppressAutoHyphens/>
    </w:pPr>
    <w:rPr>
      <w:rFonts w:eastAsia="Calibri" w:cstheme="minorBidi"/>
      <w:sz w:val="18"/>
      <w:szCs w:val="20"/>
      <w:lang w:val="en-US" w:eastAsia="zh-CN"/>
    </w:rPr>
  </w:style>
  <w:style w:type="character" w:customStyle="1" w:styleId="FootnoteTextChar">
    <w:name w:val="Footnote Text Char"/>
    <w:aliases w:val="Fußnote Char"/>
    <w:basedOn w:val="DefaultParagraphFont"/>
    <w:link w:val="FootnoteText"/>
    <w:uiPriority w:val="99"/>
    <w:rsid w:val="00E75080"/>
    <w:rPr>
      <w:rFonts w:eastAsia="Calibri"/>
      <w:sz w:val="18"/>
      <w:szCs w:val="20"/>
      <w:lang w:eastAsia="zh-CN"/>
    </w:rPr>
  </w:style>
  <w:style w:type="character" w:styleId="FollowedHyperlink">
    <w:name w:val="FollowedHyperlink"/>
    <w:basedOn w:val="DefaultParagraphFont"/>
    <w:uiPriority w:val="99"/>
    <w:semiHidden/>
    <w:unhideWhenUsed/>
    <w:rsid w:val="00011D9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269">
      <w:bodyDiv w:val="1"/>
      <w:marLeft w:val="0"/>
      <w:marRight w:val="0"/>
      <w:marTop w:val="0"/>
      <w:marBottom w:val="0"/>
      <w:divBdr>
        <w:top w:val="none" w:sz="0" w:space="0" w:color="auto"/>
        <w:left w:val="none" w:sz="0" w:space="0" w:color="auto"/>
        <w:bottom w:val="none" w:sz="0" w:space="0" w:color="auto"/>
        <w:right w:val="none" w:sz="0" w:space="0" w:color="auto"/>
      </w:divBdr>
    </w:div>
    <w:div w:id="4597668">
      <w:bodyDiv w:val="1"/>
      <w:marLeft w:val="0"/>
      <w:marRight w:val="0"/>
      <w:marTop w:val="0"/>
      <w:marBottom w:val="0"/>
      <w:divBdr>
        <w:top w:val="none" w:sz="0" w:space="0" w:color="auto"/>
        <w:left w:val="none" w:sz="0" w:space="0" w:color="auto"/>
        <w:bottom w:val="none" w:sz="0" w:space="0" w:color="auto"/>
        <w:right w:val="none" w:sz="0" w:space="0" w:color="auto"/>
      </w:divBdr>
    </w:div>
    <w:div w:id="87889536">
      <w:bodyDiv w:val="1"/>
      <w:marLeft w:val="0"/>
      <w:marRight w:val="0"/>
      <w:marTop w:val="0"/>
      <w:marBottom w:val="0"/>
      <w:divBdr>
        <w:top w:val="none" w:sz="0" w:space="0" w:color="auto"/>
        <w:left w:val="none" w:sz="0" w:space="0" w:color="auto"/>
        <w:bottom w:val="none" w:sz="0" w:space="0" w:color="auto"/>
        <w:right w:val="none" w:sz="0" w:space="0" w:color="auto"/>
      </w:divBdr>
    </w:div>
    <w:div w:id="88359941">
      <w:bodyDiv w:val="1"/>
      <w:marLeft w:val="0"/>
      <w:marRight w:val="0"/>
      <w:marTop w:val="0"/>
      <w:marBottom w:val="0"/>
      <w:divBdr>
        <w:top w:val="none" w:sz="0" w:space="0" w:color="auto"/>
        <w:left w:val="none" w:sz="0" w:space="0" w:color="auto"/>
        <w:bottom w:val="none" w:sz="0" w:space="0" w:color="auto"/>
        <w:right w:val="none" w:sz="0" w:space="0" w:color="auto"/>
      </w:divBdr>
    </w:div>
    <w:div w:id="99419515">
      <w:bodyDiv w:val="1"/>
      <w:marLeft w:val="0"/>
      <w:marRight w:val="0"/>
      <w:marTop w:val="0"/>
      <w:marBottom w:val="0"/>
      <w:divBdr>
        <w:top w:val="none" w:sz="0" w:space="0" w:color="auto"/>
        <w:left w:val="none" w:sz="0" w:space="0" w:color="auto"/>
        <w:bottom w:val="none" w:sz="0" w:space="0" w:color="auto"/>
        <w:right w:val="none" w:sz="0" w:space="0" w:color="auto"/>
      </w:divBdr>
    </w:div>
    <w:div w:id="277876074">
      <w:bodyDiv w:val="1"/>
      <w:marLeft w:val="0"/>
      <w:marRight w:val="0"/>
      <w:marTop w:val="0"/>
      <w:marBottom w:val="0"/>
      <w:divBdr>
        <w:top w:val="none" w:sz="0" w:space="0" w:color="auto"/>
        <w:left w:val="none" w:sz="0" w:space="0" w:color="auto"/>
        <w:bottom w:val="none" w:sz="0" w:space="0" w:color="auto"/>
        <w:right w:val="none" w:sz="0" w:space="0" w:color="auto"/>
      </w:divBdr>
    </w:div>
    <w:div w:id="329522301">
      <w:bodyDiv w:val="1"/>
      <w:marLeft w:val="0"/>
      <w:marRight w:val="0"/>
      <w:marTop w:val="0"/>
      <w:marBottom w:val="0"/>
      <w:divBdr>
        <w:top w:val="none" w:sz="0" w:space="0" w:color="auto"/>
        <w:left w:val="none" w:sz="0" w:space="0" w:color="auto"/>
        <w:bottom w:val="none" w:sz="0" w:space="0" w:color="auto"/>
        <w:right w:val="none" w:sz="0" w:space="0" w:color="auto"/>
      </w:divBdr>
    </w:div>
    <w:div w:id="514541802">
      <w:bodyDiv w:val="1"/>
      <w:marLeft w:val="0"/>
      <w:marRight w:val="0"/>
      <w:marTop w:val="0"/>
      <w:marBottom w:val="0"/>
      <w:divBdr>
        <w:top w:val="none" w:sz="0" w:space="0" w:color="auto"/>
        <w:left w:val="none" w:sz="0" w:space="0" w:color="auto"/>
        <w:bottom w:val="none" w:sz="0" w:space="0" w:color="auto"/>
        <w:right w:val="none" w:sz="0" w:space="0" w:color="auto"/>
      </w:divBdr>
    </w:div>
    <w:div w:id="826091154">
      <w:bodyDiv w:val="1"/>
      <w:marLeft w:val="0"/>
      <w:marRight w:val="0"/>
      <w:marTop w:val="0"/>
      <w:marBottom w:val="0"/>
      <w:divBdr>
        <w:top w:val="none" w:sz="0" w:space="0" w:color="auto"/>
        <w:left w:val="none" w:sz="0" w:space="0" w:color="auto"/>
        <w:bottom w:val="none" w:sz="0" w:space="0" w:color="auto"/>
        <w:right w:val="none" w:sz="0" w:space="0" w:color="auto"/>
      </w:divBdr>
    </w:div>
    <w:div w:id="956566172">
      <w:bodyDiv w:val="1"/>
      <w:marLeft w:val="0"/>
      <w:marRight w:val="0"/>
      <w:marTop w:val="0"/>
      <w:marBottom w:val="0"/>
      <w:divBdr>
        <w:top w:val="none" w:sz="0" w:space="0" w:color="auto"/>
        <w:left w:val="none" w:sz="0" w:space="0" w:color="auto"/>
        <w:bottom w:val="none" w:sz="0" w:space="0" w:color="auto"/>
        <w:right w:val="none" w:sz="0" w:space="0" w:color="auto"/>
      </w:divBdr>
    </w:div>
    <w:div w:id="1090810020">
      <w:bodyDiv w:val="1"/>
      <w:marLeft w:val="0"/>
      <w:marRight w:val="0"/>
      <w:marTop w:val="0"/>
      <w:marBottom w:val="0"/>
      <w:divBdr>
        <w:top w:val="none" w:sz="0" w:space="0" w:color="auto"/>
        <w:left w:val="none" w:sz="0" w:space="0" w:color="auto"/>
        <w:bottom w:val="none" w:sz="0" w:space="0" w:color="auto"/>
        <w:right w:val="none" w:sz="0" w:space="0" w:color="auto"/>
      </w:divBdr>
    </w:div>
    <w:div w:id="1104572071">
      <w:bodyDiv w:val="1"/>
      <w:marLeft w:val="0"/>
      <w:marRight w:val="0"/>
      <w:marTop w:val="0"/>
      <w:marBottom w:val="0"/>
      <w:divBdr>
        <w:top w:val="none" w:sz="0" w:space="0" w:color="auto"/>
        <w:left w:val="none" w:sz="0" w:space="0" w:color="auto"/>
        <w:bottom w:val="none" w:sz="0" w:space="0" w:color="auto"/>
        <w:right w:val="none" w:sz="0" w:space="0" w:color="auto"/>
      </w:divBdr>
    </w:div>
    <w:div w:id="1225486438">
      <w:bodyDiv w:val="1"/>
      <w:marLeft w:val="0"/>
      <w:marRight w:val="0"/>
      <w:marTop w:val="0"/>
      <w:marBottom w:val="0"/>
      <w:divBdr>
        <w:top w:val="none" w:sz="0" w:space="0" w:color="auto"/>
        <w:left w:val="none" w:sz="0" w:space="0" w:color="auto"/>
        <w:bottom w:val="none" w:sz="0" w:space="0" w:color="auto"/>
        <w:right w:val="none" w:sz="0" w:space="0" w:color="auto"/>
      </w:divBdr>
    </w:div>
    <w:div w:id="1277908089">
      <w:bodyDiv w:val="1"/>
      <w:marLeft w:val="0"/>
      <w:marRight w:val="0"/>
      <w:marTop w:val="0"/>
      <w:marBottom w:val="0"/>
      <w:divBdr>
        <w:top w:val="none" w:sz="0" w:space="0" w:color="auto"/>
        <w:left w:val="none" w:sz="0" w:space="0" w:color="auto"/>
        <w:bottom w:val="none" w:sz="0" w:space="0" w:color="auto"/>
        <w:right w:val="none" w:sz="0" w:space="0" w:color="auto"/>
      </w:divBdr>
    </w:div>
    <w:div w:id="1329601634">
      <w:bodyDiv w:val="1"/>
      <w:marLeft w:val="0"/>
      <w:marRight w:val="0"/>
      <w:marTop w:val="0"/>
      <w:marBottom w:val="0"/>
      <w:divBdr>
        <w:top w:val="none" w:sz="0" w:space="0" w:color="auto"/>
        <w:left w:val="none" w:sz="0" w:space="0" w:color="auto"/>
        <w:bottom w:val="none" w:sz="0" w:space="0" w:color="auto"/>
        <w:right w:val="none" w:sz="0" w:space="0" w:color="auto"/>
      </w:divBdr>
    </w:div>
    <w:div w:id="1439905066">
      <w:bodyDiv w:val="1"/>
      <w:marLeft w:val="0"/>
      <w:marRight w:val="0"/>
      <w:marTop w:val="0"/>
      <w:marBottom w:val="0"/>
      <w:divBdr>
        <w:top w:val="none" w:sz="0" w:space="0" w:color="auto"/>
        <w:left w:val="none" w:sz="0" w:space="0" w:color="auto"/>
        <w:bottom w:val="none" w:sz="0" w:space="0" w:color="auto"/>
        <w:right w:val="none" w:sz="0" w:space="0" w:color="auto"/>
      </w:divBdr>
    </w:div>
    <w:div w:id="1744255368">
      <w:bodyDiv w:val="1"/>
      <w:marLeft w:val="0"/>
      <w:marRight w:val="0"/>
      <w:marTop w:val="0"/>
      <w:marBottom w:val="0"/>
      <w:divBdr>
        <w:top w:val="none" w:sz="0" w:space="0" w:color="auto"/>
        <w:left w:val="none" w:sz="0" w:space="0" w:color="auto"/>
        <w:bottom w:val="none" w:sz="0" w:space="0" w:color="auto"/>
        <w:right w:val="none" w:sz="0" w:space="0" w:color="auto"/>
      </w:divBdr>
    </w:div>
    <w:div w:id="1756853588">
      <w:bodyDiv w:val="1"/>
      <w:marLeft w:val="0"/>
      <w:marRight w:val="0"/>
      <w:marTop w:val="0"/>
      <w:marBottom w:val="0"/>
      <w:divBdr>
        <w:top w:val="none" w:sz="0" w:space="0" w:color="auto"/>
        <w:left w:val="none" w:sz="0" w:space="0" w:color="auto"/>
        <w:bottom w:val="none" w:sz="0" w:space="0" w:color="auto"/>
        <w:right w:val="none" w:sz="0" w:space="0" w:color="auto"/>
      </w:divBdr>
    </w:div>
    <w:div w:id="1842045250">
      <w:bodyDiv w:val="1"/>
      <w:marLeft w:val="0"/>
      <w:marRight w:val="0"/>
      <w:marTop w:val="0"/>
      <w:marBottom w:val="0"/>
      <w:divBdr>
        <w:top w:val="none" w:sz="0" w:space="0" w:color="auto"/>
        <w:left w:val="none" w:sz="0" w:space="0" w:color="auto"/>
        <w:bottom w:val="none" w:sz="0" w:space="0" w:color="auto"/>
        <w:right w:val="none" w:sz="0" w:space="0" w:color="auto"/>
      </w:divBdr>
    </w:div>
    <w:div w:id="1967656461">
      <w:bodyDiv w:val="1"/>
      <w:marLeft w:val="0"/>
      <w:marRight w:val="0"/>
      <w:marTop w:val="0"/>
      <w:marBottom w:val="0"/>
      <w:divBdr>
        <w:top w:val="none" w:sz="0" w:space="0" w:color="auto"/>
        <w:left w:val="none" w:sz="0" w:space="0" w:color="auto"/>
        <w:bottom w:val="none" w:sz="0" w:space="0" w:color="auto"/>
        <w:right w:val="none" w:sz="0" w:space="0" w:color="auto"/>
      </w:divBdr>
    </w:div>
    <w:div w:id="214303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f164ad47-7386-4aad-b17f-d7752b7d2fd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6ECA0-0AB1-4BB1-B248-AAEF86DAF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10435</Words>
  <Characters>5949</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2025-10-07T08:00:00Z</dcterms:created>
  <dcterms:modified xsi:type="dcterms:W3CDTF">2025-10-09T11:57:00Z</dcterms:modified>
</cp:coreProperties>
</file>