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9E101" w14:textId="77777777" w:rsidR="004F7E80" w:rsidRDefault="004F7E80" w:rsidP="004F7E80">
      <w:pPr>
        <w:spacing w:after="160" w:line="276" w:lineRule="auto"/>
        <w:contextualSpacing/>
        <w:jc w:val="both"/>
        <w:rPr>
          <w:b/>
          <w:bCs/>
          <w14:ligatures w14:val="standardContextual"/>
        </w:rPr>
      </w:pPr>
      <w:r>
        <w:rPr>
          <w:b/>
          <w:bCs/>
          <w14:ligatures w14:val="standardContextual"/>
        </w:rPr>
        <w:t xml:space="preserve">Mobilo sakaru pakalpojumu publiskā iepirkuma sakaru pakalpojumu kvalitātes vērtēšanas kritēriji: bāzes staciju skaits, </w:t>
      </w:r>
      <w:proofErr w:type="spellStart"/>
      <w:r>
        <w:rPr>
          <w:b/>
          <w:bCs/>
          <w14:ligatures w14:val="standardContextual"/>
        </w:rPr>
        <w:t>viesabonēšanas</w:t>
      </w:r>
      <w:proofErr w:type="spellEnd"/>
      <w:r>
        <w:rPr>
          <w:b/>
          <w:bCs/>
          <w14:ligatures w14:val="standardContextual"/>
        </w:rPr>
        <w:t xml:space="preserve"> valstu un operatoru skaits, Sabiedrisko pakalpojumu regulēšanas komisijas izmantotie mērījumi, datu pārraide 5G tīklā Latvijā </w:t>
      </w:r>
    </w:p>
    <w:p w14:paraId="2C32E75C" w14:textId="77777777" w:rsidR="004F7E80" w:rsidRDefault="004F7E80" w:rsidP="004F7E80">
      <w:pPr>
        <w:spacing w:after="160" w:line="276" w:lineRule="auto"/>
        <w:contextualSpacing/>
        <w:jc w:val="both"/>
        <w:rPr>
          <w:b/>
          <w:bCs/>
          <w14:ligatures w14:val="standardContextual"/>
        </w:rPr>
      </w:pPr>
    </w:p>
    <w:p w14:paraId="6FD4E5CB" w14:textId="77777777" w:rsidR="004F7E80" w:rsidRDefault="004F7E80" w:rsidP="004F7E80">
      <w:pPr>
        <w:spacing w:after="160" w:line="276" w:lineRule="auto"/>
        <w:contextualSpacing/>
        <w:jc w:val="both"/>
        <w:rPr>
          <w:b/>
          <w:bCs/>
        </w:rPr>
      </w:pPr>
      <w:r>
        <w:rPr>
          <w:b/>
          <w:bCs/>
        </w:rPr>
        <w:t xml:space="preserve">Pasūtītāja rīcības brīvība izvēlēties sev nepieciešamos pakalpojumus un noteikt piedāvājuma vērtēšanas kritērijus </w:t>
      </w:r>
    </w:p>
    <w:p w14:paraId="58795475" w14:textId="77777777" w:rsidR="004F7E80" w:rsidRDefault="004F7E80" w:rsidP="004F7E80">
      <w:pPr>
        <w:spacing w:after="160" w:line="276" w:lineRule="auto"/>
        <w:contextualSpacing/>
        <w:jc w:val="both"/>
      </w:pPr>
      <w:r>
        <w:t xml:space="preserve">Publisko iepirkumu likuma 51.pantā ir ietverti zināmi noteikumi saimnieciski izdevīgākā piedāvājuma izvērtēšanai, taču </w:t>
      </w:r>
      <w:proofErr w:type="spellStart"/>
      <w:r>
        <w:t>visupirms</w:t>
      </w:r>
      <w:proofErr w:type="spellEnd"/>
      <w:r>
        <w:t xml:space="preserve"> tas piešķir pasūtītājam rīcības brīvību šādus kritērijus izvirzīt, lai atrastu sev piemērotāko pakalpojumu vai preci. Turklāt šāda pasūtītāja rīcības brīvība nozīmē arī to, ka tam nav pienākuma noteikt tādus piedāvājumu vērtēšanas kritērijus, lai visi tirgus dalībnieki, neskatoties uz to piedāvāto preču vai pakalpojumu kvalitāti, ar līdzīgām izredzēm varētu pretendēt uz uzvaru iepirkumā. </w:t>
      </w:r>
    </w:p>
    <w:p w14:paraId="0E365C36" w14:textId="3D5A9E57" w:rsidR="004F7E80" w:rsidRPr="004F7E80" w:rsidRDefault="004F7E80" w:rsidP="004F7E80">
      <w:pPr>
        <w:spacing w:after="160" w:line="276" w:lineRule="auto"/>
        <w:contextualSpacing/>
        <w:jc w:val="both"/>
        <w:rPr>
          <w:b/>
          <w:bCs/>
          <w14:ligatures w14:val="standardContextual"/>
        </w:rPr>
      </w:pPr>
      <w:r>
        <w:t>Publiskajos iepirkumos pasūtītājam nav pienākuma ignorēt savas vajadzības un nolaist prasību latiņu līdz visu tirgus dalībnieku vienlīdzīgu iespēju līmenim, kāds tas ir konkrētajā brīdī. Pat ja tas ļautu konkrētajā iepirkumā līdzīgi uz uzvaru pretendēt visiem tirgus dalībniekiem, tas pašos pamatos būtu pretrunā konkurencei jeb patiesai sacensībai ar kvalitāti un cenu. Iespēja uzvarēt konkrētā iepirkumā ikvienam tirgus dalībniekam neatkarīgi no tā piedāvātā produkta kvalitātes līmeņa neveicina konkurēšanu ar kvalitāti.</w:t>
      </w:r>
    </w:p>
    <w:p w14:paraId="2A0F46E7" w14:textId="77777777" w:rsidR="004F7E80" w:rsidRDefault="004F7E80" w:rsidP="004F7E80">
      <w:pPr>
        <w:spacing w:line="276" w:lineRule="auto"/>
        <w:contextualSpacing/>
        <w:jc w:val="both"/>
        <w:rPr>
          <w:b/>
          <w:bCs/>
          <w14:ligatures w14:val="standardContextual"/>
        </w:rPr>
      </w:pPr>
    </w:p>
    <w:p w14:paraId="271FE6A8" w14:textId="77777777" w:rsidR="004F7E80" w:rsidRDefault="004F7E80" w:rsidP="004F7E80">
      <w:pPr>
        <w:spacing w:line="276" w:lineRule="auto"/>
        <w:contextualSpacing/>
        <w:jc w:val="both"/>
        <w:rPr>
          <w:b/>
          <w:bCs/>
          <w14:ligatures w14:val="standardContextual"/>
        </w:rPr>
      </w:pPr>
      <w:r>
        <w:rPr>
          <w:b/>
          <w:bCs/>
          <w14:ligatures w14:val="standardContextual"/>
        </w:rPr>
        <w:t>Procesa veida kasācijas instancē noteikšana</w:t>
      </w:r>
    </w:p>
    <w:p w14:paraId="0DE0939A" w14:textId="77777777" w:rsidR="004F7E80" w:rsidRDefault="004F7E80" w:rsidP="004F7E80">
      <w:pPr>
        <w:spacing w:line="276" w:lineRule="auto"/>
        <w:contextualSpacing/>
        <w:jc w:val="both"/>
        <w:rPr>
          <w14:ligatures w14:val="standardContextual"/>
        </w:rPr>
      </w:pPr>
      <w:r>
        <w:rPr>
          <w14:ligatures w14:val="standardContextual"/>
        </w:rPr>
        <w:t xml:space="preserve">Kasācijas instancē nav paredzēts noteikt mutvārdu procesu pēc procesa dalībnieka lūguma. </w:t>
      </w:r>
    </w:p>
    <w:p w14:paraId="75A02836" w14:textId="21ED898E" w:rsidR="00522062" w:rsidRDefault="004F7E80" w:rsidP="004F7E80">
      <w:pPr>
        <w:spacing w:line="276" w:lineRule="auto"/>
        <w:contextualSpacing/>
        <w:jc w:val="both"/>
        <w:rPr>
          <w14:ligatures w14:val="standardContextual"/>
        </w:rPr>
      </w:pPr>
      <w:r>
        <w:rPr>
          <w14:ligatures w14:val="standardContextual"/>
        </w:rPr>
        <w:t xml:space="preserve">Procesuālo tiesību godprātīga izmantošana prasa, lai lietas dalībnieks lūgumu par lietas izskatīšanu tiesas sēdē mutvārdu procesā izteiktu kasācijas sūdzībā vai laikā līdz nolēmuma sastādīšanas datuma paziņošanai. </w:t>
      </w:r>
    </w:p>
    <w:p w14:paraId="3F651CE6" w14:textId="77777777" w:rsidR="004F7E80" w:rsidRPr="004F7E80" w:rsidRDefault="004F7E80" w:rsidP="004F7E80">
      <w:pPr>
        <w:spacing w:line="276" w:lineRule="auto"/>
        <w:contextualSpacing/>
        <w:jc w:val="both"/>
        <w:rPr>
          <w14:ligatures w14:val="standardContextual"/>
        </w:rPr>
      </w:pPr>
    </w:p>
    <w:p w14:paraId="1C33A79D" w14:textId="11C0E295" w:rsidR="00522062" w:rsidRPr="00D45AED" w:rsidRDefault="00522062" w:rsidP="004F7E80">
      <w:pPr>
        <w:spacing w:before="120" w:line="276" w:lineRule="auto"/>
        <w:jc w:val="center"/>
        <w:rPr>
          <w:b/>
          <w:lang w:eastAsia="ru-RU"/>
        </w:rPr>
      </w:pPr>
      <w:r w:rsidRPr="00D45AED">
        <w:rPr>
          <w:b/>
          <w:lang w:eastAsia="ru-RU"/>
        </w:rPr>
        <w:t>Latvijas Republikas Senāt</w:t>
      </w:r>
      <w:r w:rsidR="004F7E80">
        <w:rPr>
          <w:b/>
          <w:lang w:eastAsia="ru-RU"/>
        </w:rPr>
        <w:t>a</w:t>
      </w:r>
      <w:r w:rsidR="004F7E80">
        <w:rPr>
          <w:b/>
          <w:lang w:eastAsia="ru-RU"/>
        </w:rPr>
        <w:br/>
        <w:t>Administratīvo lietu departamenta</w:t>
      </w:r>
      <w:r w:rsidR="004F7E80">
        <w:rPr>
          <w:b/>
          <w:lang w:eastAsia="ru-RU"/>
        </w:rPr>
        <w:br/>
        <w:t>2025.gada 1.augusta</w:t>
      </w:r>
    </w:p>
    <w:p w14:paraId="04B1FF97" w14:textId="77777777" w:rsidR="00522062" w:rsidRDefault="00522062" w:rsidP="004F7E80">
      <w:pPr>
        <w:spacing w:line="276" w:lineRule="auto"/>
        <w:jc w:val="center"/>
        <w:rPr>
          <w:b/>
          <w:lang w:eastAsia="ru-RU"/>
        </w:rPr>
      </w:pPr>
      <w:r w:rsidRPr="00D45AED">
        <w:rPr>
          <w:b/>
          <w:lang w:eastAsia="ru-RU"/>
        </w:rPr>
        <w:t>SPRIEDUMS</w:t>
      </w:r>
    </w:p>
    <w:p w14:paraId="7E762B12" w14:textId="795E3B08" w:rsidR="004F7E80" w:rsidRPr="004F7E80" w:rsidRDefault="004F7E80" w:rsidP="004F7E80">
      <w:pPr>
        <w:spacing w:line="276" w:lineRule="auto"/>
        <w:jc w:val="center"/>
        <w:rPr>
          <w:b/>
          <w:bCs/>
        </w:rPr>
      </w:pPr>
      <w:r w:rsidRPr="004F7E80">
        <w:rPr>
          <w:b/>
          <w:bCs/>
        </w:rPr>
        <w:t>Lieta Nr. </w:t>
      </w:r>
      <w:r w:rsidRPr="004F7E80">
        <w:rPr>
          <w:rFonts w:cs="Arial"/>
          <w:b/>
          <w:bCs/>
          <w:iCs/>
          <w:szCs w:val="20"/>
        </w:rPr>
        <w:t>A420203122</w:t>
      </w:r>
      <w:r w:rsidRPr="004F7E80">
        <w:rPr>
          <w:b/>
          <w:bCs/>
        </w:rPr>
        <w:t>, SKA</w:t>
      </w:r>
      <w:bookmarkStart w:id="0" w:name="_Hlk129772518"/>
      <w:r w:rsidRPr="004F7E80">
        <w:rPr>
          <w:b/>
          <w:bCs/>
        </w:rPr>
        <w:noBreakHyphen/>
      </w:r>
      <w:bookmarkEnd w:id="0"/>
      <w:r w:rsidRPr="004F7E80">
        <w:rPr>
          <w:b/>
          <w:bCs/>
        </w:rPr>
        <w:t>54/2025</w:t>
      </w:r>
    </w:p>
    <w:p w14:paraId="534167C4" w14:textId="5DE8E69A" w:rsidR="004F7E80" w:rsidRPr="004F7E80" w:rsidRDefault="004F7E80" w:rsidP="004F7E80">
      <w:pPr>
        <w:spacing w:line="276" w:lineRule="auto"/>
        <w:jc w:val="center"/>
        <w:rPr>
          <w:lang w:eastAsia="ru-RU"/>
        </w:rPr>
      </w:pPr>
      <w:hyperlink r:id="rId8" w:history="1">
        <w:r w:rsidRPr="004F7E80">
          <w:rPr>
            <w:rStyle w:val="Hyperlink"/>
            <w:rFonts w:eastAsiaTheme="minorHAnsi"/>
            <w:lang w:eastAsia="en-US"/>
            <w14:ligatures w14:val="standardContextual"/>
          </w:rPr>
          <w:t xml:space="preserve"> ECLI:LV:AT:2025:0801.A420203122.9.S</w:t>
        </w:r>
      </w:hyperlink>
    </w:p>
    <w:p w14:paraId="0F6869AF" w14:textId="77777777" w:rsidR="00522062" w:rsidRDefault="00522062" w:rsidP="004F7E80">
      <w:pPr>
        <w:spacing w:line="276" w:lineRule="auto"/>
        <w:ind w:firstLine="720"/>
        <w:jc w:val="both"/>
      </w:pPr>
    </w:p>
    <w:p w14:paraId="33AB15B9" w14:textId="38A29017" w:rsidR="00522062" w:rsidRDefault="00522062" w:rsidP="004F7E80">
      <w:pPr>
        <w:spacing w:line="276" w:lineRule="auto"/>
        <w:ind w:firstLine="720"/>
        <w:jc w:val="both"/>
      </w:pPr>
      <w:r>
        <w:t xml:space="preserve">Senāts šādā sastāvā: senatore referente Rudīte Vīduša, </w:t>
      </w:r>
      <w:r w:rsidRPr="009650AC">
        <w:t>senator</w:t>
      </w:r>
      <w:r w:rsidR="00F649D0">
        <w:t>i</w:t>
      </w:r>
      <w:r w:rsidRPr="009650AC">
        <w:t xml:space="preserve"> </w:t>
      </w:r>
      <w:r w:rsidR="00F649D0">
        <w:t xml:space="preserve">Dzintra Amerika </w:t>
      </w:r>
      <w:r w:rsidRPr="009650AC">
        <w:t xml:space="preserve">un </w:t>
      </w:r>
      <w:r w:rsidR="00F649D0">
        <w:t>Ermīns Darapoļskis</w:t>
      </w:r>
    </w:p>
    <w:p w14:paraId="456D280F" w14:textId="77777777" w:rsidR="00522062" w:rsidRDefault="00522062" w:rsidP="004F7E80">
      <w:pPr>
        <w:spacing w:line="276" w:lineRule="auto"/>
        <w:ind w:firstLine="720"/>
        <w:jc w:val="both"/>
      </w:pPr>
    </w:p>
    <w:p w14:paraId="07A696BA" w14:textId="5ACD57D0" w:rsidR="00522062" w:rsidRDefault="00522062" w:rsidP="004F7E80">
      <w:pPr>
        <w:spacing w:line="276" w:lineRule="auto"/>
        <w:ind w:firstLine="720"/>
        <w:jc w:val="both"/>
      </w:pPr>
      <w:r>
        <w:rPr>
          <w:lang w:eastAsia="en-US"/>
        </w:rPr>
        <w:t xml:space="preserve">rakstveida procesā izskatīja administratīvo lietu, </w:t>
      </w:r>
      <w:r>
        <w:t>kas ierosināta, pamatojoties uz</w:t>
      </w:r>
      <w:r w:rsidR="00A8304B">
        <w:t xml:space="preserve"> sabiedrības ar ierobežotu atbildību</w:t>
      </w:r>
      <w:r w:rsidR="00A8304B" w:rsidRPr="00A8304B">
        <w:rPr>
          <w:color w:val="000000"/>
          <w:shd w:val="clear" w:color="auto" w:fill="FFFFFF"/>
        </w:rPr>
        <w:t xml:space="preserve"> „Tele2” pieteikum</w:t>
      </w:r>
      <w:r w:rsidR="00A8304B">
        <w:rPr>
          <w:color w:val="000000"/>
          <w:shd w:val="clear" w:color="auto" w:fill="FFFFFF"/>
        </w:rPr>
        <w:t>u</w:t>
      </w:r>
      <w:r w:rsidR="00A8304B" w:rsidRPr="00A8304B">
        <w:rPr>
          <w:color w:val="000000"/>
          <w:shd w:val="clear" w:color="auto" w:fill="FFFFFF"/>
        </w:rPr>
        <w:t xml:space="preserve"> par</w:t>
      </w:r>
      <w:r w:rsidR="00A8304B">
        <w:rPr>
          <w:color w:val="000000"/>
          <w:shd w:val="clear" w:color="auto" w:fill="FFFFFF"/>
        </w:rPr>
        <w:t xml:space="preserve"> </w:t>
      </w:r>
      <w:r w:rsidR="00A8304B" w:rsidRPr="00A8304B">
        <w:rPr>
          <w:color w:val="000000"/>
          <w:shd w:val="clear" w:color="auto" w:fill="FFFFFF"/>
        </w:rPr>
        <w:t>Iepirkumu uzraudzības biroja 2022.gada 22.aprīļa lēmuma Nr.</w:t>
      </w:r>
      <w:r w:rsidR="00A8304B">
        <w:rPr>
          <w:color w:val="000000"/>
          <w:shd w:val="clear" w:color="auto" w:fill="FFFFFF"/>
        </w:rPr>
        <w:t> </w:t>
      </w:r>
      <w:r w:rsidR="00A8304B" w:rsidRPr="00A8304B">
        <w:rPr>
          <w:color w:val="000000"/>
          <w:shd w:val="clear" w:color="auto" w:fill="FFFFFF"/>
        </w:rPr>
        <w:t>4-1.2/22-54 atzīšanu par</w:t>
      </w:r>
      <w:r w:rsidR="00A8304B">
        <w:rPr>
          <w:color w:val="000000"/>
          <w:shd w:val="clear" w:color="auto" w:fill="FFFFFF"/>
        </w:rPr>
        <w:t xml:space="preserve"> </w:t>
      </w:r>
      <w:r w:rsidR="00A8304B" w:rsidRPr="00A8304B">
        <w:rPr>
          <w:color w:val="000000"/>
          <w:shd w:val="clear" w:color="auto" w:fill="FFFFFF"/>
        </w:rPr>
        <w:t>prettiesisku</w:t>
      </w:r>
      <w:r>
        <w:rPr>
          <w:lang w:eastAsia="en-US"/>
        </w:rPr>
        <w:t xml:space="preserve">, sakarā ar </w:t>
      </w:r>
      <w:r w:rsidR="00A8304B">
        <w:rPr>
          <w:color w:val="000000"/>
          <w:shd w:val="clear" w:color="auto" w:fill="FFFFFF"/>
        </w:rPr>
        <w:t>sabiedrības ar ierobežotu atbildību „Tele2”</w:t>
      </w:r>
      <w:r>
        <w:t xml:space="preserve"> kasācijas sūdzību par Administratīvās </w:t>
      </w:r>
      <w:r w:rsidR="00A8304B">
        <w:t xml:space="preserve">rajona </w:t>
      </w:r>
      <w:r>
        <w:t>tiesas 202</w:t>
      </w:r>
      <w:r w:rsidR="0059737A">
        <w:t>3</w:t>
      </w:r>
      <w:r>
        <w:t xml:space="preserve">.gada </w:t>
      </w:r>
      <w:r w:rsidR="00A8304B">
        <w:t>7.marta</w:t>
      </w:r>
      <w:r>
        <w:t xml:space="preserve"> spriedumu.</w:t>
      </w:r>
    </w:p>
    <w:p w14:paraId="1CF117CB" w14:textId="77777777" w:rsidR="00522062" w:rsidRDefault="00522062" w:rsidP="004F7E80">
      <w:pPr>
        <w:autoSpaceDE w:val="0"/>
        <w:autoSpaceDN w:val="0"/>
        <w:adjustRightInd w:val="0"/>
        <w:spacing w:line="276" w:lineRule="auto"/>
        <w:ind w:firstLine="720"/>
        <w:jc w:val="both"/>
      </w:pPr>
    </w:p>
    <w:p w14:paraId="682A7F64" w14:textId="77777777" w:rsidR="00522062" w:rsidRDefault="00522062" w:rsidP="004F7E80">
      <w:pPr>
        <w:spacing w:line="276" w:lineRule="auto"/>
        <w:jc w:val="center"/>
        <w:rPr>
          <w:b/>
        </w:rPr>
      </w:pPr>
      <w:r w:rsidRPr="0083065B">
        <w:rPr>
          <w:b/>
        </w:rPr>
        <w:t>Aprakstošā daļa</w:t>
      </w:r>
    </w:p>
    <w:p w14:paraId="23FF7A2B" w14:textId="77777777" w:rsidR="0059737A" w:rsidRDefault="0059737A" w:rsidP="004F7E80">
      <w:pPr>
        <w:spacing w:line="276" w:lineRule="auto"/>
        <w:jc w:val="center"/>
        <w:rPr>
          <w:b/>
        </w:rPr>
      </w:pPr>
    </w:p>
    <w:p w14:paraId="429F299A" w14:textId="626E6E0A" w:rsidR="00971223" w:rsidRPr="00971223" w:rsidRDefault="00971223" w:rsidP="004F7E80">
      <w:pPr>
        <w:autoSpaceDE w:val="0"/>
        <w:autoSpaceDN w:val="0"/>
        <w:adjustRightInd w:val="0"/>
        <w:spacing w:line="276" w:lineRule="auto"/>
        <w:ind w:firstLine="720"/>
        <w:jc w:val="both"/>
        <w:rPr>
          <w:bCs/>
        </w:rPr>
      </w:pPr>
      <w:r w:rsidRPr="00971223">
        <w:rPr>
          <w:bCs/>
        </w:rPr>
        <w:lastRenderedPageBreak/>
        <w:t>[1]</w:t>
      </w:r>
      <w:r w:rsidR="00910661">
        <w:rPr>
          <w:bCs/>
        </w:rPr>
        <w:t> </w:t>
      </w:r>
      <w:r w:rsidRPr="00971223">
        <w:rPr>
          <w:bCs/>
        </w:rPr>
        <w:t>Pasūtītāja Finanšu ministrija izsludināja atklātu konkursu „Mobilo sakaru pakalpojumi Finanšu ministrijai, tās padotības iestādēm un Fiskālās disciplīnas padomei” (id. Nr.</w:t>
      </w:r>
      <w:r w:rsidR="00071C95">
        <w:rPr>
          <w:bCs/>
        </w:rPr>
        <w:t> </w:t>
      </w:r>
      <w:r w:rsidRPr="00971223">
        <w:rPr>
          <w:bCs/>
        </w:rPr>
        <w:t>FM 2022/7 (CI)).</w:t>
      </w:r>
    </w:p>
    <w:p w14:paraId="6F0BDEB2" w14:textId="2104B733" w:rsidR="00971223" w:rsidRPr="00971223" w:rsidRDefault="00971223" w:rsidP="004F7E80">
      <w:pPr>
        <w:autoSpaceDE w:val="0"/>
        <w:autoSpaceDN w:val="0"/>
        <w:adjustRightInd w:val="0"/>
        <w:spacing w:line="276" w:lineRule="auto"/>
        <w:ind w:firstLine="720"/>
        <w:jc w:val="both"/>
        <w:rPr>
          <w:bCs/>
        </w:rPr>
      </w:pPr>
      <w:r w:rsidRPr="00971223">
        <w:rPr>
          <w:bCs/>
        </w:rPr>
        <w:t xml:space="preserve">Nepiekrītot vairākām iepirkuma nolikuma prasībām, pieteicēja </w:t>
      </w:r>
      <w:r>
        <w:rPr>
          <w:bCs/>
        </w:rPr>
        <w:t>sabiedrība ar ierobežotu atbildību</w:t>
      </w:r>
      <w:r w:rsidR="00071C95">
        <w:rPr>
          <w:bCs/>
        </w:rPr>
        <w:t xml:space="preserve"> </w:t>
      </w:r>
      <w:r w:rsidRPr="00971223">
        <w:rPr>
          <w:bCs/>
        </w:rPr>
        <w:t>„Tele2” vērsās Iepirkumu uzraudzības birojā ar apstrīdēšanas iesniegumu.</w:t>
      </w:r>
    </w:p>
    <w:p w14:paraId="356B4621" w14:textId="4DBD6F47" w:rsidR="00971223" w:rsidRPr="00971223" w:rsidRDefault="00971223" w:rsidP="004F7E80">
      <w:pPr>
        <w:autoSpaceDE w:val="0"/>
        <w:autoSpaceDN w:val="0"/>
        <w:adjustRightInd w:val="0"/>
        <w:spacing w:line="276" w:lineRule="auto"/>
        <w:ind w:firstLine="720"/>
        <w:jc w:val="both"/>
        <w:rPr>
          <w:bCs/>
        </w:rPr>
      </w:pPr>
      <w:r w:rsidRPr="00971223">
        <w:rPr>
          <w:bCs/>
        </w:rPr>
        <w:t>Iepirkumu uzraudzības birojs ar 2022.gada 22.aprīļa lēmumu Nr.</w:t>
      </w:r>
      <w:r w:rsidR="00071C95">
        <w:rPr>
          <w:bCs/>
        </w:rPr>
        <w:t> </w:t>
      </w:r>
      <w:r w:rsidRPr="00971223">
        <w:rPr>
          <w:bCs/>
        </w:rPr>
        <w:t>4-1.2/22-54 atstāja spēkā apstrīdētās iepirkuma nolikuma prasības un atļāva pasūtītājai turpināt iepirkuma procedūru un slēgt iepirkuma līgumu konkursā.</w:t>
      </w:r>
    </w:p>
    <w:p w14:paraId="0808204E" w14:textId="3B05DB88" w:rsidR="00971223" w:rsidRPr="00971223" w:rsidRDefault="00971223" w:rsidP="004F7E80">
      <w:pPr>
        <w:autoSpaceDE w:val="0"/>
        <w:autoSpaceDN w:val="0"/>
        <w:adjustRightInd w:val="0"/>
        <w:spacing w:line="276" w:lineRule="auto"/>
        <w:ind w:firstLine="720"/>
        <w:jc w:val="both"/>
        <w:rPr>
          <w:bCs/>
        </w:rPr>
      </w:pPr>
      <w:r w:rsidRPr="00971223">
        <w:rPr>
          <w:bCs/>
        </w:rPr>
        <w:t>Pieteicēja iesniedza tiesā pieteikumu par Iepirkumu uzraudzības biroja 2022.gada 22.aprīļa lēmuma Nr.</w:t>
      </w:r>
      <w:r w:rsidR="00071C95">
        <w:rPr>
          <w:bCs/>
        </w:rPr>
        <w:t> </w:t>
      </w:r>
      <w:r w:rsidRPr="00971223">
        <w:rPr>
          <w:bCs/>
        </w:rPr>
        <w:t>4-1.2/22-54 atcelšanu, pienākuma uzlikšanu Finanšu ministrijai grozīt iepirkuma nolikumu, izslēdzot no tā vairākus vērtēšanas kritērijus.</w:t>
      </w:r>
      <w:r>
        <w:rPr>
          <w:bCs/>
        </w:rPr>
        <w:t xml:space="preserve"> Pēc tam, kad tika noslēgts iepirkuma līgums, pieteicēja grozīja pieteikuma priekšmetu, lūdzot </w:t>
      </w:r>
      <w:r w:rsidR="00986207">
        <w:rPr>
          <w:bCs/>
        </w:rPr>
        <w:t xml:space="preserve">Iepirkumu uzraudzības biroja </w:t>
      </w:r>
      <w:r>
        <w:rPr>
          <w:bCs/>
        </w:rPr>
        <w:t>lēmumu atzīt par prettiesisku.</w:t>
      </w:r>
    </w:p>
    <w:p w14:paraId="41675221" w14:textId="77777777" w:rsidR="00971223" w:rsidRDefault="00971223" w:rsidP="004F7E80">
      <w:pPr>
        <w:autoSpaceDE w:val="0"/>
        <w:autoSpaceDN w:val="0"/>
        <w:adjustRightInd w:val="0"/>
        <w:spacing w:line="276" w:lineRule="auto"/>
        <w:ind w:firstLine="720"/>
        <w:jc w:val="both"/>
        <w:rPr>
          <w:rFonts w:asciiTheme="majorBidi" w:hAnsiTheme="majorBidi" w:cstheme="majorBidi"/>
        </w:rPr>
      </w:pPr>
    </w:p>
    <w:p w14:paraId="5B82337B" w14:textId="75EAFECB" w:rsidR="005066FE" w:rsidRDefault="00522062" w:rsidP="004F7E80">
      <w:pPr>
        <w:autoSpaceDE w:val="0"/>
        <w:autoSpaceDN w:val="0"/>
        <w:adjustRightInd w:val="0"/>
        <w:spacing w:line="276" w:lineRule="auto"/>
        <w:ind w:firstLine="720"/>
        <w:jc w:val="both"/>
        <w:rPr>
          <w:rFonts w:asciiTheme="majorBidi" w:hAnsiTheme="majorBidi" w:cstheme="majorBidi"/>
        </w:rPr>
      </w:pPr>
      <w:r w:rsidRPr="002355CB">
        <w:rPr>
          <w:rFonts w:asciiTheme="majorBidi" w:hAnsiTheme="majorBidi" w:cstheme="majorBidi"/>
        </w:rPr>
        <w:t>[2]</w:t>
      </w:r>
      <w:r w:rsidR="00910661">
        <w:rPr>
          <w:rFonts w:asciiTheme="majorBidi" w:hAnsiTheme="majorBidi" w:cstheme="majorBidi"/>
        </w:rPr>
        <w:t> </w:t>
      </w:r>
      <w:r w:rsidRPr="002355CB">
        <w:rPr>
          <w:rFonts w:asciiTheme="majorBidi" w:hAnsiTheme="majorBidi" w:cstheme="majorBidi"/>
        </w:rPr>
        <w:t xml:space="preserve">Ar Administratīvās </w:t>
      </w:r>
      <w:r w:rsidR="005066FE">
        <w:rPr>
          <w:rFonts w:asciiTheme="majorBidi" w:hAnsiTheme="majorBidi" w:cstheme="majorBidi"/>
        </w:rPr>
        <w:t xml:space="preserve">rajona </w:t>
      </w:r>
      <w:r w:rsidRPr="002355CB">
        <w:rPr>
          <w:rFonts w:asciiTheme="majorBidi" w:hAnsiTheme="majorBidi" w:cstheme="majorBidi"/>
        </w:rPr>
        <w:t>tiesas 202</w:t>
      </w:r>
      <w:r w:rsidR="005066FE">
        <w:rPr>
          <w:rFonts w:asciiTheme="majorBidi" w:hAnsiTheme="majorBidi" w:cstheme="majorBidi"/>
        </w:rPr>
        <w:t>3</w:t>
      </w:r>
      <w:r w:rsidRPr="002355CB">
        <w:rPr>
          <w:rFonts w:asciiTheme="majorBidi" w:hAnsiTheme="majorBidi" w:cstheme="majorBidi"/>
        </w:rPr>
        <w:t xml:space="preserve">.gada </w:t>
      </w:r>
      <w:r w:rsidR="005066FE">
        <w:rPr>
          <w:rFonts w:asciiTheme="majorBidi" w:hAnsiTheme="majorBidi" w:cstheme="majorBidi"/>
        </w:rPr>
        <w:t>7.marta</w:t>
      </w:r>
      <w:r w:rsidRPr="002355CB">
        <w:rPr>
          <w:rFonts w:asciiTheme="majorBidi" w:hAnsiTheme="majorBidi" w:cstheme="majorBidi"/>
        </w:rPr>
        <w:t xml:space="preserve"> spriedumu pieteikums noraidīts</w:t>
      </w:r>
      <w:r w:rsidR="00995A25">
        <w:rPr>
          <w:rFonts w:asciiTheme="majorBidi" w:hAnsiTheme="majorBidi" w:cstheme="majorBidi"/>
        </w:rPr>
        <w:t xml:space="preserve">, </w:t>
      </w:r>
      <w:r w:rsidR="00E24BFE">
        <w:rPr>
          <w:rFonts w:asciiTheme="majorBidi" w:hAnsiTheme="majorBidi" w:cstheme="majorBidi"/>
        </w:rPr>
        <w:t xml:space="preserve">atzīstot, ka </w:t>
      </w:r>
      <w:r w:rsidR="00986207">
        <w:rPr>
          <w:rFonts w:asciiTheme="majorBidi" w:hAnsiTheme="majorBidi" w:cstheme="majorBidi"/>
        </w:rPr>
        <w:t>pieteicējas iebildumi pret vairākiem piedāvājumu vērtēšanas kritērijiem kā pret tādiem, kas ir pretēji brīvas piegādātāju konkurences un taisnīgas attieksmes principiem, ir nepamatoti.</w:t>
      </w:r>
    </w:p>
    <w:p w14:paraId="6D226D7C" w14:textId="77777777" w:rsidR="00986207" w:rsidRDefault="00986207" w:rsidP="004F7E80">
      <w:pPr>
        <w:autoSpaceDE w:val="0"/>
        <w:autoSpaceDN w:val="0"/>
        <w:adjustRightInd w:val="0"/>
        <w:spacing w:line="276" w:lineRule="auto"/>
        <w:ind w:firstLine="720"/>
        <w:jc w:val="both"/>
        <w:rPr>
          <w:rFonts w:asciiTheme="majorBidi" w:hAnsiTheme="majorBidi" w:cstheme="majorBidi"/>
        </w:rPr>
      </w:pPr>
    </w:p>
    <w:p w14:paraId="10AD1BC4" w14:textId="0050CF7F" w:rsidR="00986207" w:rsidRDefault="00986207"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[3]</w:t>
      </w:r>
      <w:r w:rsidR="00910661">
        <w:rPr>
          <w:rFonts w:asciiTheme="majorBidi" w:hAnsiTheme="majorBidi" w:cstheme="majorBidi"/>
        </w:rPr>
        <w:t> </w:t>
      </w:r>
      <w:r>
        <w:rPr>
          <w:rFonts w:asciiTheme="majorBidi" w:hAnsiTheme="majorBidi" w:cstheme="majorBidi"/>
        </w:rPr>
        <w:t>Pieteicēja iesniedza kasācijas sūdzību, kurā izvirzīti turpmāk minētie pamati Administratīvās rajona tiesas sprieduma atcelšanai.</w:t>
      </w:r>
    </w:p>
    <w:p w14:paraId="0F291FCF" w14:textId="020F4D1B" w:rsidR="00986207" w:rsidRDefault="00986207"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[3.1]</w:t>
      </w:r>
      <w:r w:rsidR="00910661">
        <w:rPr>
          <w:rFonts w:asciiTheme="majorBidi" w:hAnsiTheme="majorBidi" w:cstheme="majorBidi"/>
        </w:rPr>
        <w:t> </w:t>
      </w:r>
      <w:r>
        <w:rPr>
          <w:rFonts w:asciiTheme="majorBidi" w:hAnsiTheme="majorBidi" w:cstheme="majorBidi"/>
        </w:rPr>
        <w:t xml:space="preserve">Attiecībā uz piedāvājumu vērtēšanas kritēriju – bāzes staciju skaits </w:t>
      </w:r>
      <w:r w:rsidR="003C61DA">
        <w:rPr>
          <w:rFonts w:asciiTheme="majorBidi" w:hAnsiTheme="majorBidi" w:cstheme="majorBidi"/>
        </w:rPr>
        <w:t xml:space="preserve">(nolikuma 1.1.1.punkts) </w:t>
      </w:r>
      <w:r>
        <w:rPr>
          <w:rFonts w:asciiTheme="majorBidi" w:hAnsiTheme="majorBidi" w:cstheme="majorBidi"/>
        </w:rPr>
        <w:t xml:space="preserve">– tiesa kļūdaini interpretēja Sabiedrisko pakalpojumu regulēšanas komisijas (turpmāk – Regulators) 2022.gada 19.janvāra viedokli </w:t>
      </w:r>
      <w:r w:rsidR="00500E3C">
        <w:rPr>
          <w:rFonts w:asciiTheme="majorBidi" w:hAnsiTheme="majorBidi" w:cstheme="majorBidi"/>
        </w:rPr>
        <w:t xml:space="preserve">un nepamatoti secināja, ka </w:t>
      </w:r>
      <w:r>
        <w:rPr>
          <w:rFonts w:asciiTheme="majorBidi" w:hAnsiTheme="majorBidi" w:cstheme="majorBidi"/>
        </w:rPr>
        <w:t xml:space="preserve">šādu kritēriju var izmantot kā pamata kritēriju. </w:t>
      </w:r>
      <w:r w:rsidR="00500E3C">
        <w:rPr>
          <w:rFonts w:asciiTheme="majorBidi" w:hAnsiTheme="majorBidi" w:cstheme="majorBidi"/>
        </w:rPr>
        <w:t xml:space="preserve">No viedokļa izriet, ka Regulators nepiešķir bāzes staciju skaitam tādu nozīmi, ka to vispār varētu vērtēt kā kritēriju, bet, ja ir nepieciešamība vērtēt pārklājumu visā Latvijas teritorijā, var ņemt vērā pretendentu deklarētos pārklājumus, par kuriem informācija </w:t>
      </w:r>
      <w:r w:rsidR="000B7534">
        <w:rPr>
          <w:rFonts w:asciiTheme="majorBidi" w:hAnsiTheme="majorBidi" w:cstheme="majorBidi"/>
        </w:rPr>
        <w:t xml:space="preserve">ir </w:t>
      </w:r>
      <w:r w:rsidR="00500E3C">
        <w:rPr>
          <w:rFonts w:asciiTheme="majorBidi" w:hAnsiTheme="majorBidi" w:cstheme="majorBidi"/>
        </w:rPr>
        <w:t>katra mobilo sakaru operatora tīmekļa vietnē.</w:t>
      </w:r>
    </w:p>
    <w:p w14:paraId="78070203" w14:textId="59CF1ECA" w:rsidR="00500E3C" w:rsidRDefault="00500E3C"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Šī kritērija prettiesiskuma dēļ nav nozīmes, kādā veidā iegūst informāciju par aktīvām bāzes stacijām. Taču pretendenta deklarētās ziņas par to nav pārbaudāmas un tāpēc nav objektīvi vērtējams rādītājs. Savukārt tiesas pieļautā vērtēšana pēc valsts akciju sabiedrības „Elektroniskie sakari” izsniegto radiofrekvenču atļauju skaita pati par sevi neraksturo pakalpojuma kvalitāti.</w:t>
      </w:r>
    </w:p>
    <w:p w14:paraId="1841534C" w14:textId="2D5D041F" w:rsidR="00ED31F8" w:rsidRDefault="00ED31F8"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Arī Konkurences padome norādījusi, ka bāzes staciju skaits kā kritērijs nav ieteicams, jo tas nespēj nodrošināt labāko pakalpojuma kvalitāti.</w:t>
      </w:r>
    </w:p>
    <w:p w14:paraId="1871BE35" w14:textId="5FABF015" w:rsidR="003C61DA" w:rsidRDefault="003C61DA"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Kritērija vērtējumā iegūstamo punktu skaits ir paredzams, nodrošina priekšrocības konkrētam operatoram, ietekmējot kopvērtējumu un tādējādi samazinot konkurences iespējas.</w:t>
      </w:r>
    </w:p>
    <w:p w14:paraId="7130DB25" w14:textId="4721D430" w:rsidR="003C61DA" w:rsidRDefault="003C61DA"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[3.2]</w:t>
      </w:r>
      <w:r w:rsidR="00910661">
        <w:rPr>
          <w:rFonts w:asciiTheme="majorBidi" w:hAnsiTheme="majorBidi" w:cstheme="majorBidi"/>
        </w:rPr>
        <w:t> </w:t>
      </w:r>
      <w:r>
        <w:rPr>
          <w:rFonts w:asciiTheme="majorBidi" w:hAnsiTheme="majorBidi" w:cstheme="majorBidi"/>
        </w:rPr>
        <w:t xml:space="preserve">Kritērijos, kas paredz vērtēt pakalpojumu pieejamību viesabonēšanā – valstu skaits un operatoru skaits </w:t>
      </w:r>
      <w:r w:rsidRPr="003C61DA">
        <w:rPr>
          <w:rFonts w:asciiTheme="majorBidi" w:hAnsiTheme="majorBidi" w:cstheme="majorBidi"/>
        </w:rPr>
        <w:t xml:space="preserve">(nolikuma 1.1.3.–1.1.4.punkts) </w:t>
      </w:r>
      <w:r>
        <w:rPr>
          <w:rFonts w:asciiTheme="majorBidi" w:hAnsiTheme="majorBidi" w:cstheme="majorBidi"/>
        </w:rPr>
        <w:t>– būtiska ir to ietekme uz kopvērtējumu un tas, ka tie samazina tiešas konkurences iespējas.</w:t>
      </w:r>
    </w:p>
    <w:p w14:paraId="2EEDD02E" w14:textId="134C0274" w:rsidR="003C61DA" w:rsidRDefault="003C61DA"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Valstu skaita kritērijam, kurā vērtējums ir paredzami vienāds visiem operatoriem</w:t>
      </w:r>
      <w:r w:rsidR="000B7534">
        <w:rPr>
          <w:rFonts w:asciiTheme="majorBidi" w:hAnsiTheme="majorBidi" w:cstheme="majorBidi"/>
        </w:rPr>
        <w:t>,</w:t>
      </w:r>
      <w:r>
        <w:rPr>
          <w:rFonts w:asciiTheme="majorBidi" w:hAnsiTheme="majorBidi" w:cstheme="majorBidi"/>
        </w:rPr>
        <w:t xml:space="preserve"> nav viennozīmīgas saiknes ar pasūtītāja faktiskajām vajadzībām, nav saskatāms saimnieciskais izdevīgums pasūtītājam.</w:t>
      </w:r>
    </w:p>
    <w:p w14:paraId="374571AF" w14:textId="2EDAD319" w:rsidR="003C61DA" w:rsidRDefault="003C61DA" w:rsidP="004F7E80">
      <w:pPr>
        <w:autoSpaceDE w:val="0"/>
        <w:autoSpaceDN w:val="0"/>
        <w:adjustRightInd w:val="0"/>
        <w:spacing w:line="276" w:lineRule="auto"/>
        <w:ind w:firstLine="720"/>
        <w:jc w:val="both"/>
        <w:rPr>
          <w:rFonts w:asciiTheme="majorBidi" w:hAnsiTheme="majorBidi" w:cstheme="majorBidi"/>
        </w:rPr>
      </w:pPr>
      <w:r w:rsidRPr="003C61DA">
        <w:rPr>
          <w:rFonts w:asciiTheme="majorBidi" w:hAnsiTheme="majorBidi" w:cstheme="majorBidi"/>
        </w:rPr>
        <w:lastRenderedPageBreak/>
        <w:t>Operatoru skaita kritērijs pats par sevi nevar sniegt objektīvu informāciju</w:t>
      </w:r>
      <w:r>
        <w:rPr>
          <w:rFonts w:asciiTheme="majorBidi" w:hAnsiTheme="majorBidi" w:cstheme="majorBidi"/>
        </w:rPr>
        <w:t>, t</w:t>
      </w:r>
      <w:r w:rsidRPr="003C61DA">
        <w:rPr>
          <w:rFonts w:asciiTheme="majorBidi" w:hAnsiTheme="majorBidi" w:cstheme="majorBidi"/>
        </w:rPr>
        <w:t>as nesniedz nedz priekšstatu par pakalpojumu</w:t>
      </w:r>
      <w:r w:rsidR="000B7534">
        <w:rPr>
          <w:rFonts w:asciiTheme="majorBidi" w:hAnsiTheme="majorBidi" w:cstheme="majorBidi"/>
        </w:rPr>
        <w:t xml:space="preserve"> un</w:t>
      </w:r>
      <w:r w:rsidRPr="003C61DA">
        <w:rPr>
          <w:rFonts w:asciiTheme="majorBidi" w:hAnsiTheme="majorBidi" w:cstheme="majorBidi"/>
        </w:rPr>
        <w:t xml:space="preserve"> </w:t>
      </w:r>
      <w:r w:rsidR="000B7534">
        <w:rPr>
          <w:rFonts w:asciiTheme="majorBidi" w:hAnsiTheme="majorBidi" w:cstheme="majorBidi"/>
        </w:rPr>
        <w:t>ne</w:t>
      </w:r>
      <w:r w:rsidRPr="003C61DA">
        <w:rPr>
          <w:rFonts w:asciiTheme="majorBidi" w:hAnsiTheme="majorBidi" w:cstheme="majorBidi"/>
        </w:rPr>
        <w:t>garantē operatoram ar lielāku sadarbības līgumu skaitu labāku pakalpojumu kvalitāti (lielāku pārklājumu) iepretim citiem operatoriem, kas ar mazāku sadarbības līgumu skaitu var nodrošināt pakalpojumu līdzvērtīgi vai efektīvāk.</w:t>
      </w:r>
    </w:p>
    <w:p w14:paraId="05D66DB0" w14:textId="6B1D5C91" w:rsidR="003C61DA" w:rsidRDefault="003C61DA"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[3.3]</w:t>
      </w:r>
      <w:r w:rsidR="00910661">
        <w:rPr>
          <w:rFonts w:asciiTheme="majorBidi" w:hAnsiTheme="majorBidi" w:cstheme="majorBidi"/>
        </w:rPr>
        <w:t> </w:t>
      </w:r>
      <w:r>
        <w:rPr>
          <w:rFonts w:asciiTheme="majorBidi" w:hAnsiTheme="majorBidi" w:cstheme="majorBidi"/>
        </w:rPr>
        <w:t>Kritēriji, kuros mērījumus veic regulators (nolikuma 1.1.5.–1.1.13.punkts)</w:t>
      </w:r>
      <w:r w:rsidR="00192602">
        <w:rPr>
          <w:rFonts w:asciiTheme="majorBidi" w:hAnsiTheme="majorBidi" w:cstheme="majorBidi"/>
        </w:rPr>
        <w:t>,</w:t>
      </w:r>
      <w:r>
        <w:rPr>
          <w:rFonts w:asciiTheme="majorBidi" w:hAnsiTheme="majorBidi" w:cstheme="majorBidi"/>
        </w:rPr>
        <w:t xml:space="preserve"> </w:t>
      </w:r>
      <w:r w:rsidRPr="003C61DA">
        <w:rPr>
          <w:rFonts w:asciiTheme="majorBidi" w:hAnsiTheme="majorBidi" w:cstheme="majorBidi"/>
        </w:rPr>
        <w:t xml:space="preserve">atstāj būtisku ietekmi uz kopvērtējumu, </w:t>
      </w:r>
      <w:r>
        <w:rPr>
          <w:rFonts w:asciiTheme="majorBidi" w:hAnsiTheme="majorBidi" w:cstheme="majorBidi"/>
        </w:rPr>
        <w:t>jo</w:t>
      </w:r>
      <w:r w:rsidRPr="003C61DA">
        <w:rPr>
          <w:rFonts w:asciiTheme="majorBidi" w:hAnsiTheme="majorBidi" w:cstheme="majorBidi"/>
        </w:rPr>
        <w:t xml:space="preserve"> samazina tiešas konkurences iespējas operatoriem.</w:t>
      </w:r>
      <w:r>
        <w:rPr>
          <w:rFonts w:asciiTheme="majorBidi" w:hAnsiTheme="majorBidi" w:cstheme="majorBidi"/>
        </w:rPr>
        <w:t xml:space="preserve"> </w:t>
      </w:r>
    </w:p>
    <w:p w14:paraId="70F39814" w14:textId="2A166127" w:rsidR="00986207" w:rsidRDefault="003C61DA" w:rsidP="004F7E80">
      <w:pPr>
        <w:autoSpaceDE w:val="0"/>
        <w:autoSpaceDN w:val="0"/>
        <w:adjustRightInd w:val="0"/>
        <w:spacing w:line="276" w:lineRule="auto"/>
        <w:ind w:firstLine="720"/>
        <w:jc w:val="both"/>
        <w:rPr>
          <w:rFonts w:asciiTheme="majorBidi" w:hAnsiTheme="majorBidi" w:cstheme="majorBidi"/>
        </w:rPr>
      </w:pPr>
      <w:r w:rsidRPr="003C61DA">
        <w:rPr>
          <w:rFonts w:asciiTheme="majorBidi" w:hAnsiTheme="majorBidi" w:cstheme="majorBidi"/>
        </w:rPr>
        <w:t xml:space="preserve">Šie kritēriji izvēlēti selektīvi, vērtējot tos, kuros kopvērtējumā priekšrocības gūst par </w:t>
      </w:r>
      <w:r>
        <w:rPr>
          <w:rFonts w:asciiTheme="majorBidi" w:hAnsiTheme="majorBidi" w:cstheme="majorBidi"/>
        </w:rPr>
        <w:t>p</w:t>
      </w:r>
      <w:r w:rsidRPr="003C61DA">
        <w:rPr>
          <w:rFonts w:asciiTheme="majorBidi" w:hAnsiTheme="majorBidi" w:cstheme="majorBidi"/>
        </w:rPr>
        <w:t xml:space="preserve">asūtītāja favorītu uzskatāmais piegādātājs „Latvijas Mobilais </w:t>
      </w:r>
      <w:r w:rsidR="000B7534">
        <w:rPr>
          <w:rFonts w:asciiTheme="majorBidi" w:hAnsiTheme="majorBidi" w:cstheme="majorBidi"/>
        </w:rPr>
        <w:t>T</w:t>
      </w:r>
      <w:r w:rsidRPr="003C61DA">
        <w:rPr>
          <w:rFonts w:asciiTheme="majorBidi" w:hAnsiTheme="majorBidi" w:cstheme="majorBidi"/>
        </w:rPr>
        <w:t>elefons”</w:t>
      </w:r>
      <w:r>
        <w:rPr>
          <w:rFonts w:asciiTheme="majorBidi" w:hAnsiTheme="majorBidi" w:cstheme="majorBidi"/>
        </w:rPr>
        <w:t xml:space="preserve"> SIA, bet ne</w:t>
      </w:r>
      <w:r w:rsidRPr="003C61DA">
        <w:rPr>
          <w:rFonts w:asciiTheme="majorBidi" w:hAnsiTheme="majorBidi" w:cstheme="majorBidi"/>
        </w:rPr>
        <w:t>vērtē</w:t>
      </w:r>
      <w:r>
        <w:rPr>
          <w:rFonts w:asciiTheme="majorBidi" w:hAnsiTheme="majorBidi" w:cstheme="majorBidi"/>
        </w:rPr>
        <w:t>jot</w:t>
      </w:r>
      <w:r w:rsidRPr="003C61DA">
        <w:rPr>
          <w:rFonts w:asciiTheme="majorBidi" w:hAnsiTheme="majorBidi" w:cstheme="majorBidi"/>
        </w:rPr>
        <w:t xml:space="preserve"> parametr</w:t>
      </w:r>
      <w:r>
        <w:rPr>
          <w:rFonts w:asciiTheme="majorBidi" w:hAnsiTheme="majorBidi" w:cstheme="majorBidi"/>
        </w:rPr>
        <w:t>us</w:t>
      </w:r>
      <w:r w:rsidRPr="003C61DA">
        <w:rPr>
          <w:rFonts w:asciiTheme="majorBidi" w:hAnsiTheme="majorBidi" w:cstheme="majorBidi"/>
        </w:rPr>
        <w:t xml:space="preserve">, kuros Regulators veica mērījumus un kas saistīti ar </w:t>
      </w:r>
      <w:r>
        <w:rPr>
          <w:rFonts w:asciiTheme="majorBidi" w:hAnsiTheme="majorBidi" w:cstheme="majorBidi"/>
        </w:rPr>
        <w:t>p</w:t>
      </w:r>
      <w:r w:rsidRPr="003C61DA">
        <w:rPr>
          <w:rFonts w:asciiTheme="majorBidi" w:hAnsiTheme="majorBidi" w:cstheme="majorBidi"/>
        </w:rPr>
        <w:t xml:space="preserve">asūtītāja darbības specifiku, bet kuros rādītāji ir augstāki citiem operatoriem (piemēram, „Lejupielādes ātrums zemāks par 6 un 10 Mbiti/s procentuālā sadalījumā” un „Lejupielādes ātruma mērījumu sadalījums pa ātruma diapazoniem”). </w:t>
      </w:r>
    </w:p>
    <w:p w14:paraId="11B625FE" w14:textId="23D18A4E" w:rsidR="00457D80" w:rsidRDefault="008722E6" w:rsidP="004F7E80">
      <w:pPr>
        <w:autoSpaceDE w:val="0"/>
        <w:autoSpaceDN w:val="0"/>
        <w:adjustRightInd w:val="0"/>
        <w:spacing w:line="276" w:lineRule="auto"/>
        <w:ind w:firstLine="720"/>
        <w:jc w:val="both"/>
        <w:rPr>
          <w:rFonts w:asciiTheme="majorBidi" w:hAnsiTheme="majorBidi" w:cstheme="majorBidi"/>
        </w:rPr>
      </w:pPr>
      <w:r w:rsidRPr="008722E6">
        <w:rPr>
          <w:rFonts w:asciiTheme="majorBidi" w:hAnsiTheme="majorBidi" w:cstheme="majorBidi"/>
        </w:rPr>
        <w:t>Daļa no kritērijiem (datu pārraidē) nav aktuāli, jo Regulators mērījumus tajos pārtrauca (dati nav pieejami kopš 2020.gada), vairs neveic un neplāno atsākt.</w:t>
      </w:r>
      <w:r w:rsidRPr="008722E6">
        <w:t xml:space="preserve"> </w:t>
      </w:r>
      <w:r w:rsidRPr="008722E6">
        <w:rPr>
          <w:rFonts w:asciiTheme="majorBidi" w:hAnsiTheme="majorBidi" w:cstheme="majorBidi"/>
        </w:rPr>
        <w:t>Līdz ar to datu pārraides kritērijos (</w:t>
      </w:r>
      <w:r>
        <w:rPr>
          <w:rFonts w:asciiTheme="majorBidi" w:hAnsiTheme="majorBidi" w:cstheme="majorBidi"/>
        </w:rPr>
        <w:t xml:space="preserve">nolikuma </w:t>
      </w:r>
      <w:r w:rsidRPr="008722E6">
        <w:rPr>
          <w:rFonts w:asciiTheme="majorBidi" w:hAnsiTheme="majorBidi" w:cstheme="majorBidi"/>
        </w:rPr>
        <w:t>1.1.5</w:t>
      </w:r>
      <w:r>
        <w:rPr>
          <w:rFonts w:asciiTheme="majorBidi" w:hAnsiTheme="majorBidi" w:cstheme="majorBidi"/>
        </w:rPr>
        <w:t>.–</w:t>
      </w:r>
      <w:r w:rsidRPr="008722E6">
        <w:rPr>
          <w:rFonts w:asciiTheme="majorBidi" w:hAnsiTheme="majorBidi" w:cstheme="majorBidi"/>
        </w:rPr>
        <w:t>1.1.9.</w:t>
      </w:r>
      <w:r>
        <w:rPr>
          <w:rFonts w:asciiTheme="majorBidi" w:hAnsiTheme="majorBidi" w:cstheme="majorBidi"/>
        </w:rPr>
        <w:t>punkts</w:t>
      </w:r>
      <w:r w:rsidRPr="008722E6">
        <w:rPr>
          <w:rFonts w:asciiTheme="majorBidi" w:hAnsiTheme="majorBidi" w:cstheme="majorBidi"/>
        </w:rPr>
        <w:t>) nav iespējams veikt kontroli līguma izpildes laikā. Tiesas secinājumi par šādas kontroles iespējām ir nepamatoti, jo Regulators vairs neveic mērījumus. Tādējādi šiem kritērijiem nav praktiskās piemērojamības.</w:t>
      </w:r>
      <w:r w:rsidR="000B7534">
        <w:rPr>
          <w:rFonts w:asciiTheme="majorBidi" w:hAnsiTheme="majorBidi" w:cstheme="majorBidi"/>
        </w:rPr>
        <w:t xml:space="preserve"> </w:t>
      </w:r>
      <w:r w:rsidR="00457D80">
        <w:rPr>
          <w:rFonts w:asciiTheme="majorBidi" w:hAnsiTheme="majorBidi" w:cstheme="majorBidi"/>
        </w:rPr>
        <w:t>Tiesa nav vērtējusi pieteicējas 2023.gada 3.februāra papildu paskaidrojumos norādītās alternatīvas.</w:t>
      </w:r>
    </w:p>
    <w:p w14:paraId="36027082" w14:textId="118657F2" w:rsidR="00457D80" w:rsidRDefault="00457D80"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Kvalitātes līmeņa kritēriji bija tikai formāli, nevis praktiski piemērojami, jo pasūtītājs nespēs kontrolēt </w:t>
      </w:r>
      <w:r w:rsidR="000B7534">
        <w:rPr>
          <w:rFonts w:asciiTheme="majorBidi" w:hAnsiTheme="majorBidi" w:cstheme="majorBidi"/>
        </w:rPr>
        <w:t xml:space="preserve">ievērošanu </w:t>
      </w:r>
      <w:r>
        <w:rPr>
          <w:rFonts w:asciiTheme="majorBidi" w:hAnsiTheme="majorBidi" w:cstheme="majorBidi"/>
        </w:rPr>
        <w:t>un, kā konstatējams, to neievērošana arī nenoved pie sankcijām.</w:t>
      </w:r>
    </w:p>
    <w:p w14:paraId="259BB41D" w14:textId="04429276" w:rsidR="00457D80" w:rsidRDefault="00457D80"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[3.4]</w:t>
      </w:r>
      <w:r w:rsidR="00910661">
        <w:rPr>
          <w:rFonts w:asciiTheme="majorBidi" w:hAnsiTheme="majorBidi" w:cstheme="majorBidi"/>
        </w:rPr>
        <w:t> </w:t>
      </w:r>
      <w:r>
        <w:rPr>
          <w:rFonts w:asciiTheme="majorBidi" w:hAnsiTheme="majorBidi" w:cstheme="majorBidi"/>
        </w:rPr>
        <w:t>Kritērijs – datu pārraide 5G tīklā Latvijā (nolikuma 1.1.15.punkts) – atstāj ietekmi uz kopvērtējumu un samazina tiešas konkurences iespējas.</w:t>
      </w:r>
    </w:p>
    <w:p w14:paraId="40F8DA47" w14:textId="135220EC" w:rsidR="00457D80" w:rsidRDefault="00457D80"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Šajā kritērijā ir iepriekš paredzama vairāk punktu piešķiršana „Latvijas </w:t>
      </w:r>
      <w:r w:rsidR="000B7534">
        <w:rPr>
          <w:rFonts w:asciiTheme="majorBidi" w:hAnsiTheme="majorBidi" w:cstheme="majorBidi"/>
        </w:rPr>
        <w:t>M</w:t>
      </w:r>
      <w:r>
        <w:rPr>
          <w:rFonts w:asciiTheme="majorBidi" w:hAnsiTheme="majorBidi" w:cstheme="majorBidi"/>
        </w:rPr>
        <w:t xml:space="preserve">obilais </w:t>
      </w:r>
      <w:r w:rsidR="000B7534">
        <w:rPr>
          <w:rFonts w:asciiTheme="majorBidi" w:hAnsiTheme="majorBidi" w:cstheme="majorBidi"/>
        </w:rPr>
        <w:t>T</w:t>
      </w:r>
      <w:r>
        <w:rPr>
          <w:rFonts w:asciiTheme="majorBidi" w:hAnsiTheme="majorBidi" w:cstheme="majorBidi"/>
        </w:rPr>
        <w:t>elefons” SIA.</w:t>
      </w:r>
    </w:p>
    <w:p w14:paraId="451DD048" w14:textId="64A1536C" w:rsidR="00457D80" w:rsidRDefault="00457D80"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[3.5]</w:t>
      </w:r>
      <w:r w:rsidR="00910661">
        <w:rPr>
          <w:rFonts w:asciiTheme="majorBidi" w:hAnsiTheme="majorBidi" w:cstheme="majorBidi"/>
        </w:rPr>
        <w:t> </w:t>
      </w:r>
      <w:r w:rsidR="00B85EFC">
        <w:rPr>
          <w:rFonts w:asciiTheme="majorBidi" w:hAnsiTheme="majorBidi" w:cstheme="majorBidi"/>
        </w:rPr>
        <w:t xml:space="preserve">Analizējot kvalitātes kritērijus, secināms, ka </w:t>
      </w:r>
      <w:r w:rsidR="00B85EFC" w:rsidRPr="00B85EFC">
        <w:rPr>
          <w:rFonts w:asciiTheme="majorBidi" w:hAnsiTheme="majorBidi" w:cstheme="majorBidi"/>
        </w:rPr>
        <w:t>gandrīz visos kvalitātes kritērijos vērtējumu nosaka, balstoties uz publiski pieejamu vai citādi pasūtītājam iepriekš zināmu informāciju. Tas vien, ka vērtējamā informācija par katru no pretendentiem ir iepriekš zināma, liek apšaubīt šo kritēriju objektivitāti. Š</w:t>
      </w:r>
      <w:r w:rsidR="00B85EFC">
        <w:rPr>
          <w:rFonts w:asciiTheme="majorBidi" w:hAnsiTheme="majorBidi" w:cstheme="majorBidi"/>
        </w:rPr>
        <w:t>ādu</w:t>
      </w:r>
      <w:r w:rsidR="00B85EFC" w:rsidRPr="00B85EFC">
        <w:rPr>
          <w:rFonts w:asciiTheme="majorBidi" w:hAnsiTheme="majorBidi" w:cstheme="majorBidi"/>
        </w:rPr>
        <w:t xml:space="preserve"> kritēriju kopējais īpatsvars ir 82</w:t>
      </w:r>
      <w:r w:rsidR="00B85EFC">
        <w:rPr>
          <w:rFonts w:asciiTheme="majorBidi" w:hAnsiTheme="majorBidi" w:cstheme="majorBidi"/>
        </w:rPr>
        <w:t> </w:t>
      </w:r>
      <w:r w:rsidR="00B85EFC" w:rsidRPr="00B85EFC">
        <w:rPr>
          <w:rFonts w:asciiTheme="majorBidi" w:hAnsiTheme="majorBidi" w:cstheme="majorBidi"/>
        </w:rPr>
        <w:t xml:space="preserve">% no kopvērtējuma kvalitātes kritērijā. Tikai divos kritērijos </w:t>
      </w:r>
      <w:r w:rsidR="00B85EFC">
        <w:rPr>
          <w:rFonts w:asciiTheme="majorBidi" w:hAnsiTheme="majorBidi" w:cstheme="majorBidi"/>
        </w:rPr>
        <w:t xml:space="preserve">– </w:t>
      </w:r>
      <w:r w:rsidR="00B85EFC" w:rsidRPr="00B85EFC">
        <w:rPr>
          <w:rFonts w:asciiTheme="majorBidi" w:hAnsiTheme="majorBidi" w:cstheme="majorBidi"/>
        </w:rPr>
        <w:t>viesabonēšanas operatoru skaits (</w:t>
      </w:r>
      <w:r w:rsidR="00B85EFC">
        <w:rPr>
          <w:rFonts w:asciiTheme="majorBidi" w:hAnsiTheme="majorBidi" w:cstheme="majorBidi"/>
        </w:rPr>
        <w:t xml:space="preserve">nolikuma </w:t>
      </w:r>
      <w:r w:rsidR="00B85EFC" w:rsidRPr="00B85EFC">
        <w:rPr>
          <w:rFonts w:asciiTheme="majorBidi" w:hAnsiTheme="majorBidi" w:cstheme="majorBidi"/>
        </w:rPr>
        <w:t>1.1.3.</w:t>
      </w:r>
      <w:r w:rsidR="00B85EFC">
        <w:rPr>
          <w:rFonts w:asciiTheme="majorBidi" w:hAnsiTheme="majorBidi" w:cstheme="majorBidi"/>
        </w:rPr>
        <w:t>punkts</w:t>
      </w:r>
      <w:r w:rsidR="00B85EFC" w:rsidRPr="00B85EFC">
        <w:rPr>
          <w:rFonts w:asciiTheme="majorBidi" w:hAnsiTheme="majorBidi" w:cstheme="majorBidi"/>
        </w:rPr>
        <w:t xml:space="preserve">) un </w:t>
      </w:r>
      <w:r w:rsidR="00B85EFC">
        <w:rPr>
          <w:rFonts w:asciiTheme="majorBidi" w:hAnsiTheme="majorBidi" w:cstheme="majorBidi"/>
        </w:rPr>
        <w:t>p</w:t>
      </w:r>
      <w:r w:rsidR="00B85EFC" w:rsidRPr="00B85EFC">
        <w:rPr>
          <w:rFonts w:asciiTheme="majorBidi" w:hAnsiTheme="majorBidi" w:cstheme="majorBidi"/>
        </w:rPr>
        <w:t xml:space="preserve">retendenta piedāvātās </w:t>
      </w:r>
      <w:r w:rsidR="00B85EFC">
        <w:rPr>
          <w:rFonts w:asciiTheme="majorBidi" w:hAnsiTheme="majorBidi" w:cstheme="majorBidi"/>
        </w:rPr>
        <w:t>p</w:t>
      </w:r>
      <w:r w:rsidR="00B85EFC" w:rsidRPr="00B85EFC">
        <w:rPr>
          <w:rFonts w:asciiTheme="majorBidi" w:hAnsiTheme="majorBidi" w:cstheme="majorBidi"/>
        </w:rPr>
        <w:t>akalpojuma iespējas (</w:t>
      </w:r>
      <w:r w:rsidR="00B85EFC">
        <w:rPr>
          <w:rFonts w:asciiTheme="majorBidi" w:hAnsiTheme="majorBidi" w:cstheme="majorBidi"/>
        </w:rPr>
        <w:t xml:space="preserve">nolikuma </w:t>
      </w:r>
      <w:r w:rsidR="00B85EFC" w:rsidRPr="00B85EFC">
        <w:rPr>
          <w:rFonts w:asciiTheme="majorBidi" w:hAnsiTheme="majorBidi" w:cstheme="majorBidi"/>
        </w:rPr>
        <w:t>1.2.</w:t>
      </w:r>
      <w:r w:rsidR="00B85EFC">
        <w:rPr>
          <w:rFonts w:asciiTheme="majorBidi" w:hAnsiTheme="majorBidi" w:cstheme="majorBidi"/>
        </w:rPr>
        <w:t>punkts</w:t>
      </w:r>
      <w:r w:rsidR="00B85EFC" w:rsidRPr="00B85EFC">
        <w:rPr>
          <w:rFonts w:asciiTheme="majorBidi" w:hAnsiTheme="majorBidi" w:cstheme="majorBidi"/>
        </w:rPr>
        <w:t xml:space="preserve">) </w:t>
      </w:r>
      <w:r w:rsidR="00B85EFC">
        <w:rPr>
          <w:rFonts w:asciiTheme="majorBidi" w:hAnsiTheme="majorBidi" w:cstheme="majorBidi"/>
        </w:rPr>
        <w:t xml:space="preserve">– </w:t>
      </w:r>
      <w:r w:rsidR="00B85EFC" w:rsidRPr="00B85EFC">
        <w:rPr>
          <w:rFonts w:asciiTheme="majorBidi" w:hAnsiTheme="majorBidi" w:cstheme="majorBidi"/>
        </w:rPr>
        <w:t>pretendents ar savu piedāvājumu var ietekmēt vērtējumu.</w:t>
      </w:r>
      <w:r w:rsidR="00B85EFC">
        <w:rPr>
          <w:rFonts w:asciiTheme="majorBidi" w:hAnsiTheme="majorBidi" w:cstheme="majorBidi"/>
        </w:rPr>
        <w:t xml:space="preserve"> Šis pārsvars nav atgūstams, konkurējot ar finanšu piedāvājumu.</w:t>
      </w:r>
    </w:p>
    <w:p w14:paraId="2C449F18" w14:textId="792DB93A" w:rsidR="00B85EFC" w:rsidRDefault="00B85EFC" w:rsidP="004F7E80">
      <w:pPr>
        <w:autoSpaceDE w:val="0"/>
        <w:autoSpaceDN w:val="0"/>
        <w:adjustRightInd w:val="0"/>
        <w:spacing w:line="276" w:lineRule="auto"/>
        <w:ind w:firstLine="720"/>
        <w:jc w:val="both"/>
        <w:rPr>
          <w:rFonts w:asciiTheme="majorBidi" w:hAnsiTheme="majorBidi" w:cstheme="majorBidi"/>
        </w:rPr>
      </w:pPr>
      <w:r w:rsidRPr="00B85EFC">
        <w:rPr>
          <w:rFonts w:asciiTheme="majorBidi" w:hAnsiTheme="majorBidi" w:cstheme="majorBidi"/>
        </w:rPr>
        <w:t>Kvalitātes kritēriju izvēl</w:t>
      </w:r>
      <w:r>
        <w:rPr>
          <w:rFonts w:asciiTheme="majorBidi" w:hAnsiTheme="majorBidi" w:cstheme="majorBidi"/>
        </w:rPr>
        <w:t xml:space="preserve">e un piešķiramo punktu skaits </w:t>
      </w:r>
      <w:r w:rsidRPr="00B85EFC">
        <w:rPr>
          <w:rFonts w:asciiTheme="majorBidi" w:hAnsiTheme="majorBidi" w:cstheme="majorBidi"/>
        </w:rPr>
        <w:t>bija apzināta un mērķtiecīga</w:t>
      </w:r>
      <w:r>
        <w:rPr>
          <w:rFonts w:asciiTheme="majorBidi" w:hAnsiTheme="majorBidi" w:cstheme="majorBidi"/>
        </w:rPr>
        <w:t xml:space="preserve"> p</w:t>
      </w:r>
      <w:r w:rsidRPr="00B85EFC">
        <w:rPr>
          <w:rFonts w:asciiTheme="majorBidi" w:hAnsiTheme="majorBidi" w:cstheme="majorBidi"/>
        </w:rPr>
        <w:t xml:space="preserve">asūtītāja izvēle. </w:t>
      </w:r>
      <w:r>
        <w:rPr>
          <w:rFonts w:asciiTheme="majorBidi" w:hAnsiTheme="majorBidi" w:cstheme="majorBidi"/>
        </w:rPr>
        <w:t xml:space="preserve">To </w:t>
      </w:r>
      <w:r w:rsidRPr="00B85EFC">
        <w:rPr>
          <w:rFonts w:asciiTheme="majorBidi" w:hAnsiTheme="majorBidi" w:cstheme="majorBidi"/>
        </w:rPr>
        <w:t xml:space="preserve">neraksturo saistība ar saimniecisko izdevīgumu un pasūtītāja specifikā balstītajām vajadzībām. </w:t>
      </w:r>
      <w:r>
        <w:rPr>
          <w:rFonts w:asciiTheme="majorBidi" w:hAnsiTheme="majorBidi" w:cstheme="majorBidi"/>
        </w:rPr>
        <w:t>Kritēriji un to īpatsvars ir strukturēti tā, lai augstāku vērtējumu iegūtu pasūtītāja favorīts, jo k</w:t>
      </w:r>
      <w:r w:rsidRPr="00B85EFC">
        <w:rPr>
          <w:rFonts w:asciiTheme="majorBidi" w:hAnsiTheme="majorBidi" w:cstheme="majorBidi"/>
        </w:rPr>
        <w:t>ritēriji, kuros radītāji ir augstāki citiem operatoriem, ir noteikti ar zemāku punktu īpatsvaru vai vispār nav noteikti.</w:t>
      </w:r>
    </w:p>
    <w:p w14:paraId="1496049C" w14:textId="50C5D956" w:rsidR="00447E3B" w:rsidRDefault="00D005CE"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[3.6]</w:t>
      </w:r>
      <w:r w:rsidR="00910661">
        <w:rPr>
          <w:rFonts w:asciiTheme="majorBidi" w:hAnsiTheme="majorBidi" w:cstheme="majorBidi"/>
        </w:rPr>
        <w:t> </w:t>
      </w:r>
      <w:r w:rsidR="00447E3B">
        <w:rPr>
          <w:rFonts w:asciiTheme="majorBidi" w:hAnsiTheme="majorBidi" w:cstheme="majorBidi"/>
        </w:rPr>
        <w:t>N</w:t>
      </w:r>
      <w:r w:rsidR="00447E3B" w:rsidRPr="00447E3B">
        <w:rPr>
          <w:rFonts w:asciiTheme="majorBidi" w:hAnsiTheme="majorBidi" w:cstheme="majorBidi"/>
        </w:rPr>
        <w:t xml:space="preserve">epareizs ir </w:t>
      </w:r>
      <w:r w:rsidR="00447E3B">
        <w:rPr>
          <w:rFonts w:asciiTheme="majorBidi" w:hAnsiTheme="majorBidi" w:cstheme="majorBidi"/>
        </w:rPr>
        <w:t>t</w:t>
      </w:r>
      <w:r w:rsidR="00447E3B" w:rsidRPr="00447E3B">
        <w:rPr>
          <w:rFonts w:asciiTheme="majorBidi" w:hAnsiTheme="majorBidi" w:cstheme="majorBidi"/>
        </w:rPr>
        <w:t>iesas secinājums, ka iepirkumā pastāv paties</w:t>
      </w:r>
      <w:r w:rsidR="005D26ED">
        <w:rPr>
          <w:rFonts w:asciiTheme="majorBidi" w:hAnsiTheme="majorBidi" w:cstheme="majorBidi"/>
        </w:rPr>
        <w:t>a</w:t>
      </w:r>
      <w:r w:rsidR="00447E3B" w:rsidRPr="00447E3B">
        <w:rPr>
          <w:rFonts w:asciiTheme="majorBidi" w:hAnsiTheme="majorBidi" w:cstheme="majorBidi"/>
        </w:rPr>
        <w:t>s konkurences iespējas</w:t>
      </w:r>
      <w:r w:rsidR="00447E3B">
        <w:rPr>
          <w:rFonts w:asciiTheme="majorBidi" w:hAnsiTheme="majorBidi" w:cstheme="majorBidi"/>
        </w:rPr>
        <w:t xml:space="preserve">. </w:t>
      </w:r>
    </w:p>
    <w:p w14:paraId="7B0270D8" w14:textId="2B025C27" w:rsidR="00D005CE" w:rsidRDefault="00447E3B"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Cenas kritērijā 35 % no kopvērtējuma ir kritērijiem, kuros visiem operatoriem izmaksas ir 0 un kuros tie nekonkurē. Atlikušo 65 % kritēriju īpatsvars nevar ietekmēt </w:t>
      </w:r>
      <w:r>
        <w:rPr>
          <w:rFonts w:asciiTheme="majorBidi" w:hAnsiTheme="majorBidi" w:cstheme="majorBidi"/>
        </w:rPr>
        <w:lastRenderedPageBreak/>
        <w:t>kopvērtējumu. Turklāt, cenšoties konkurēt ar cenu, ir risks, ka piedāvājums tiks atzīts par nepamatoti lētu.</w:t>
      </w:r>
    </w:p>
    <w:p w14:paraId="191B6D59" w14:textId="4B76BA72" w:rsidR="00B85EFC" w:rsidRDefault="00447E3B"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Savukārt visu </w:t>
      </w:r>
      <w:r w:rsidRPr="00447E3B">
        <w:rPr>
          <w:rFonts w:asciiTheme="majorBidi" w:hAnsiTheme="majorBidi" w:cstheme="majorBidi"/>
        </w:rPr>
        <w:t xml:space="preserve">to </w:t>
      </w:r>
      <w:r>
        <w:rPr>
          <w:rFonts w:asciiTheme="majorBidi" w:hAnsiTheme="majorBidi" w:cstheme="majorBidi"/>
        </w:rPr>
        <w:t xml:space="preserve">kvalitātes un cenas </w:t>
      </w:r>
      <w:r w:rsidRPr="00447E3B">
        <w:rPr>
          <w:rFonts w:asciiTheme="majorBidi" w:hAnsiTheme="majorBidi" w:cstheme="majorBidi"/>
        </w:rPr>
        <w:t>kritēriju īpatsvars, kuros iespējama efektīva konkurence</w:t>
      </w:r>
      <w:r>
        <w:rPr>
          <w:rFonts w:asciiTheme="majorBidi" w:hAnsiTheme="majorBidi" w:cstheme="majorBidi"/>
        </w:rPr>
        <w:t xml:space="preserve"> (kopā 47 % no kopvērtējuma)</w:t>
      </w:r>
      <w:r w:rsidRPr="00447E3B">
        <w:rPr>
          <w:rFonts w:asciiTheme="majorBidi" w:hAnsiTheme="majorBidi" w:cstheme="majorBidi"/>
        </w:rPr>
        <w:t xml:space="preserve">, ir būtiski mazs, kas, ņemot vērā </w:t>
      </w:r>
      <w:r>
        <w:rPr>
          <w:rFonts w:asciiTheme="majorBidi" w:hAnsiTheme="majorBidi" w:cstheme="majorBidi"/>
        </w:rPr>
        <w:t>p</w:t>
      </w:r>
      <w:r w:rsidRPr="00447E3B">
        <w:rPr>
          <w:rFonts w:asciiTheme="majorBidi" w:hAnsiTheme="majorBidi" w:cstheme="majorBidi"/>
        </w:rPr>
        <w:t>asūtītāja favorīta paredzami iegūstamās priekšrocības, nevar ietekmēt kopvērtējumu.</w:t>
      </w:r>
    </w:p>
    <w:p w14:paraId="6A58BABD" w14:textId="2B348815" w:rsidR="00BE030F" w:rsidRDefault="00BE030F"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[3.7]</w:t>
      </w:r>
      <w:r w:rsidR="00910661">
        <w:rPr>
          <w:rFonts w:asciiTheme="majorBidi" w:hAnsiTheme="majorBidi" w:cstheme="majorBidi"/>
        </w:rPr>
        <w:t> </w:t>
      </w:r>
      <w:r w:rsidR="005D26ED">
        <w:rPr>
          <w:rFonts w:asciiTheme="majorBidi" w:hAnsiTheme="majorBidi" w:cstheme="majorBidi"/>
        </w:rPr>
        <w:t>Gan p</w:t>
      </w:r>
      <w:r>
        <w:rPr>
          <w:rFonts w:asciiTheme="majorBidi" w:hAnsiTheme="majorBidi" w:cstheme="majorBidi"/>
        </w:rPr>
        <w:t>asūtītājs, gan tiesa pārkāpa publisko iepirkumu pamatprincipus. Ar selektīvi izvēlētiem kritērijiem radītas priekšrocības vienam operatoram tirgū, kurā visiem operatoriem būtībā ir līdzvērtīga kvalitāte ar minimālām atšķirībām.</w:t>
      </w:r>
    </w:p>
    <w:p w14:paraId="4393AAEF" w14:textId="3889BEDB" w:rsidR="00BE030F" w:rsidRDefault="00BE030F"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Jāņem vērā </w:t>
      </w:r>
      <w:r w:rsidRPr="00BE030F">
        <w:rPr>
          <w:rFonts w:asciiTheme="majorBidi" w:hAnsiTheme="majorBidi" w:cstheme="majorBidi"/>
        </w:rPr>
        <w:t xml:space="preserve">Eiropas Parlamenta un Padomes </w:t>
      </w:r>
      <w:r>
        <w:rPr>
          <w:rFonts w:asciiTheme="majorBidi" w:hAnsiTheme="majorBidi" w:cstheme="majorBidi"/>
        </w:rPr>
        <w:t xml:space="preserve">2014.gada 26.februāra </w:t>
      </w:r>
      <w:r w:rsidRPr="00BE030F">
        <w:rPr>
          <w:rFonts w:asciiTheme="majorBidi" w:hAnsiTheme="majorBidi" w:cstheme="majorBidi"/>
        </w:rPr>
        <w:t>direktīv</w:t>
      </w:r>
      <w:r>
        <w:rPr>
          <w:rFonts w:asciiTheme="majorBidi" w:hAnsiTheme="majorBidi" w:cstheme="majorBidi"/>
        </w:rPr>
        <w:t>ā</w:t>
      </w:r>
      <w:r w:rsidRPr="00BE030F">
        <w:rPr>
          <w:rFonts w:asciiTheme="majorBidi" w:hAnsiTheme="majorBidi" w:cstheme="majorBidi"/>
        </w:rPr>
        <w:t xml:space="preserve"> 2014/24/ES par publisko iepirkumu un ar ko atceļ direktīvu 2004/18/EK</w:t>
      </w:r>
      <w:r>
        <w:rPr>
          <w:rFonts w:asciiTheme="majorBidi" w:hAnsiTheme="majorBidi" w:cstheme="majorBidi"/>
        </w:rPr>
        <w:t xml:space="preserve"> (turpmāk – Publisko iepirkumu direktīva) ietvert</w:t>
      </w:r>
      <w:r w:rsidR="0044779B">
        <w:rPr>
          <w:rFonts w:asciiTheme="majorBidi" w:hAnsiTheme="majorBidi" w:cstheme="majorBidi"/>
        </w:rPr>
        <w:t>os</w:t>
      </w:r>
      <w:r>
        <w:rPr>
          <w:rFonts w:asciiTheme="majorBidi" w:hAnsiTheme="majorBidi" w:cstheme="majorBidi"/>
        </w:rPr>
        <w:t xml:space="preserve"> publisko iepirkumu princip</w:t>
      </w:r>
      <w:r w:rsidR="0044779B">
        <w:rPr>
          <w:rFonts w:asciiTheme="majorBidi" w:hAnsiTheme="majorBidi" w:cstheme="majorBidi"/>
        </w:rPr>
        <w:t>us</w:t>
      </w:r>
      <w:r>
        <w:rPr>
          <w:rFonts w:asciiTheme="majorBidi" w:hAnsiTheme="majorBidi" w:cstheme="majorBidi"/>
        </w:rPr>
        <w:t>, kuri ir plašāki nekā Publisko iepirkumu likumā formulētie.</w:t>
      </w:r>
    </w:p>
    <w:p w14:paraId="57231FC7" w14:textId="3201AE14" w:rsidR="00BE030F" w:rsidRDefault="00BE030F"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Tā Publisko iepirkumu direktīvas 18.panta 1.punktā noteiktais nediskriminējošas attieksmes princips ir ar daudz plašāku saturu nekā Publisko iepirkumu likuma 2.pantā noteiktais taisnīgas attieksmes princips. Vērtēšanas kritēriji, kas nodrošina uzvaru konkrētam piegādātājam, norāda uz pasūtītāja favorītismu un tādējādi uz diskriminējošu attieksmi.</w:t>
      </w:r>
    </w:p>
    <w:p w14:paraId="0C0675F7" w14:textId="3AC3E7BE" w:rsidR="00BE030F" w:rsidRDefault="00BE030F"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Pasūtītājs nav rīkojies samērīgi Publisko iepirkumu direktīvas 18.panta 1.punkta izpratnē. Samērīgums Publisko iepirkumu likumā minēts tikai atsevišķos šauros gadījumos. Vērtēšanas kritēriji nav samēroti ar līguma mērķi un iepirkuma priekšmetu.</w:t>
      </w:r>
    </w:p>
    <w:p w14:paraId="393C7E85" w14:textId="59E0DA10" w:rsidR="00BE030F" w:rsidRDefault="00BE030F"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Direktīvas 18.panta 1.punkta otrajā daļā minētais aizliegums izstrādāt iepirkumu ar nolūku mākslīgi sašaurināt konkurenci. Šis princips ir ar daudz plašāku saturu nekā Publisko iepirkumu likuma 20.panta pirmās daļas otrais teikums, kas to attiecina tikai uz tehniskajām specifikācijām.</w:t>
      </w:r>
      <w:r w:rsidR="00704F4C">
        <w:rPr>
          <w:rFonts w:asciiTheme="majorBidi" w:hAnsiTheme="majorBidi" w:cstheme="majorBidi"/>
        </w:rPr>
        <w:t xml:space="preserve"> Vērtēšanas kritēriju izvēle izskatāmajā gadījumā nebija vērsta uz konkurences veicināšanu, pasūtītājs nevērtēja direktīvā skaidroto par mākslīgi sašaurinātu konkurenci. Vērtēšanas kritēriji gan atsevišķi, gan kopsakarā mākslīgi rada izdevīgākus apstākļus favorīta uzvarai konkursā.</w:t>
      </w:r>
      <w:r w:rsidR="00704F4C" w:rsidRPr="00704F4C">
        <w:rPr>
          <w:rFonts w:asciiTheme="majorBidi" w:hAnsiTheme="majorBidi" w:cstheme="majorBidi"/>
        </w:rPr>
        <w:t xml:space="preserve"> </w:t>
      </w:r>
      <w:r w:rsidR="00704F4C">
        <w:rPr>
          <w:rFonts w:asciiTheme="majorBidi" w:hAnsiTheme="majorBidi" w:cstheme="majorBidi"/>
        </w:rPr>
        <w:t>Tiesa nevērtēja, vai nolikumā ietvertie vērtēšanas kritēriji nepamatoti nesašaurina konkurenci, nevērtēja iepirkuma nolūku.</w:t>
      </w:r>
    </w:p>
    <w:p w14:paraId="29AFFD25" w14:textId="7CAB958C" w:rsidR="00E16D47" w:rsidRDefault="00E16D47"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[3.8]</w:t>
      </w:r>
      <w:r w:rsidR="00910661">
        <w:rPr>
          <w:rFonts w:asciiTheme="majorBidi" w:hAnsiTheme="majorBidi" w:cstheme="majorBidi"/>
        </w:rPr>
        <w:t> </w:t>
      </w:r>
      <w:r>
        <w:rPr>
          <w:rFonts w:asciiTheme="majorBidi" w:hAnsiTheme="majorBidi" w:cstheme="majorBidi"/>
        </w:rPr>
        <w:t xml:space="preserve">Statistikas dati apliecina, ka mobilo sakaru iepirkumos nepastāv efektīva konkurence – iepirkumi ar vienu pretendentu veido 30 % no visiem mobilo sakaru iepirkumiem virs Eiropas Savienības līgumcenu sliekšņa, tajos uzvar vienīgi „Latvijas </w:t>
      </w:r>
      <w:r w:rsidR="00002040">
        <w:rPr>
          <w:rFonts w:asciiTheme="majorBidi" w:hAnsiTheme="majorBidi" w:cstheme="majorBidi"/>
        </w:rPr>
        <w:t>M</w:t>
      </w:r>
      <w:r>
        <w:rPr>
          <w:rFonts w:asciiTheme="majorBidi" w:hAnsiTheme="majorBidi" w:cstheme="majorBidi"/>
        </w:rPr>
        <w:t xml:space="preserve">obilais </w:t>
      </w:r>
      <w:r w:rsidR="00002040">
        <w:rPr>
          <w:rFonts w:asciiTheme="majorBidi" w:hAnsiTheme="majorBidi" w:cstheme="majorBidi"/>
        </w:rPr>
        <w:t>T</w:t>
      </w:r>
      <w:r>
        <w:rPr>
          <w:rFonts w:asciiTheme="majorBidi" w:hAnsiTheme="majorBidi" w:cstheme="majorBidi"/>
        </w:rPr>
        <w:t xml:space="preserve">elefons” SIA. Zemsliekšņa iepirkumos konkurences apstākļi ir vēl sliktāki. </w:t>
      </w:r>
    </w:p>
    <w:p w14:paraId="6B32C7C0" w14:textId="3AD8955A" w:rsidR="00E16D47" w:rsidRDefault="00E16D47"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[3.9]</w:t>
      </w:r>
      <w:r w:rsidR="00910661">
        <w:rPr>
          <w:rFonts w:asciiTheme="majorBidi" w:hAnsiTheme="majorBidi" w:cstheme="majorBidi"/>
        </w:rPr>
        <w:t> </w:t>
      </w:r>
      <w:r>
        <w:rPr>
          <w:rFonts w:asciiTheme="majorBidi" w:hAnsiTheme="majorBidi" w:cstheme="majorBidi"/>
        </w:rPr>
        <w:t>Tā kā šobrīd iepirkuma rezultātā ir noslēgti ilgtermiņa līgumi un pieteicējai nav iespēju tos apstrīdēt, pieteicēja, lai mazinātu konkurences deformācijas sekas, lūdz pieņemt blakus lēmumu par noslēgto iepirkuma līgumu turpmāko darbību.</w:t>
      </w:r>
    </w:p>
    <w:p w14:paraId="7790C2F7" w14:textId="77777777" w:rsidR="005066FE" w:rsidRDefault="005066FE" w:rsidP="004F7E80">
      <w:pPr>
        <w:autoSpaceDE w:val="0"/>
        <w:autoSpaceDN w:val="0"/>
        <w:adjustRightInd w:val="0"/>
        <w:spacing w:line="276" w:lineRule="auto"/>
        <w:ind w:firstLine="720"/>
        <w:jc w:val="both"/>
        <w:rPr>
          <w:rFonts w:asciiTheme="majorBidi" w:hAnsiTheme="majorBidi" w:cstheme="majorBidi"/>
        </w:rPr>
      </w:pPr>
    </w:p>
    <w:p w14:paraId="55178975" w14:textId="21E92FEB" w:rsidR="00522062" w:rsidRDefault="00522062" w:rsidP="004F7E80">
      <w:pPr>
        <w:pStyle w:val="NoSpacing"/>
        <w:spacing w:line="276" w:lineRule="auto"/>
        <w:ind w:firstLine="720"/>
        <w:jc w:val="both"/>
        <w:rPr>
          <w:rFonts w:asciiTheme="majorBidi" w:hAnsiTheme="majorBidi" w:cstheme="majorBidi"/>
        </w:rPr>
      </w:pPr>
      <w:bookmarkStart w:id="1" w:name="_Hlk98934771"/>
      <w:r w:rsidRPr="002355CB">
        <w:rPr>
          <w:rFonts w:asciiTheme="majorBidi" w:hAnsiTheme="majorBidi" w:cstheme="majorBidi"/>
        </w:rPr>
        <w:t>[4]</w:t>
      </w:r>
      <w:bookmarkEnd w:id="1"/>
      <w:r w:rsidR="00910661">
        <w:rPr>
          <w:rFonts w:asciiTheme="majorBidi" w:hAnsiTheme="majorBidi" w:cstheme="majorBidi"/>
        </w:rPr>
        <w:t> </w:t>
      </w:r>
      <w:r w:rsidR="00FF1462">
        <w:rPr>
          <w:rFonts w:asciiTheme="majorBidi" w:hAnsiTheme="majorBidi" w:cstheme="majorBidi"/>
        </w:rPr>
        <w:t>Finanšu ministrija</w:t>
      </w:r>
      <w:r w:rsidRPr="002355CB">
        <w:rPr>
          <w:rFonts w:asciiTheme="majorBidi" w:hAnsiTheme="majorBidi" w:cstheme="majorBidi"/>
        </w:rPr>
        <w:t xml:space="preserve"> paskaidrojumos kasācija</w:t>
      </w:r>
      <w:r w:rsidR="007A6368">
        <w:rPr>
          <w:rFonts w:asciiTheme="majorBidi" w:hAnsiTheme="majorBidi" w:cstheme="majorBidi"/>
        </w:rPr>
        <w:t>s</w:t>
      </w:r>
      <w:r w:rsidRPr="002355CB">
        <w:rPr>
          <w:rFonts w:asciiTheme="majorBidi" w:hAnsiTheme="majorBidi" w:cstheme="majorBidi"/>
        </w:rPr>
        <w:t xml:space="preserve"> sūdzību </w:t>
      </w:r>
      <w:r w:rsidR="00FF1462">
        <w:rPr>
          <w:rFonts w:asciiTheme="majorBidi" w:hAnsiTheme="majorBidi" w:cstheme="majorBidi"/>
        </w:rPr>
        <w:t xml:space="preserve">neatzīst un </w:t>
      </w:r>
      <w:r w:rsidR="009066A1">
        <w:rPr>
          <w:rFonts w:asciiTheme="majorBidi" w:hAnsiTheme="majorBidi" w:cstheme="majorBidi"/>
        </w:rPr>
        <w:t>sniedz pamatojumu izvēlētajiem piedāvājumu vērtēšanas kritērijiem</w:t>
      </w:r>
      <w:r w:rsidR="0054208A">
        <w:rPr>
          <w:rFonts w:asciiTheme="majorBidi" w:hAnsiTheme="majorBidi" w:cstheme="majorBidi"/>
        </w:rPr>
        <w:t>, proti, ka tie ir saistīti ar līguma priekšmetu</w:t>
      </w:r>
      <w:r w:rsidR="0033392F">
        <w:rPr>
          <w:rFonts w:asciiTheme="majorBidi" w:hAnsiTheme="majorBidi" w:cstheme="majorBidi"/>
        </w:rPr>
        <w:t>,</w:t>
      </w:r>
      <w:r w:rsidR="0054208A">
        <w:rPr>
          <w:rFonts w:asciiTheme="majorBidi" w:hAnsiTheme="majorBidi" w:cstheme="majorBidi"/>
        </w:rPr>
        <w:t xml:space="preserve"> atbilst Publisko iepirkumu likuma 51.panta otrās daļas 2.punktam</w:t>
      </w:r>
      <w:r w:rsidR="00083586">
        <w:rPr>
          <w:rFonts w:asciiTheme="majorBidi" w:hAnsiTheme="majorBidi" w:cstheme="majorBidi"/>
        </w:rPr>
        <w:t xml:space="preserve"> un ir vērsti uz pēc iespējas kvalitatīvāku mobilo sakaru pakalpojumu saņemšanu gan visā Latvijas teritorijā, gan ārvalstīs.</w:t>
      </w:r>
      <w:r w:rsidR="00851A7A">
        <w:rPr>
          <w:rFonts w:asciiTheme="majorBidi" w:hAnsiTheme="majorBidi" w:cstheme="majorBidi"/>
        </w:rPr>
        <w:t xml:space="preserve"> Finanšu ministrija nepiekrīt, ka nebūtu ievēroti publisko iepirkumu principi, jo iepirkuma mērķis ir iepirkt pasūtītājam nepieciešamu pakalpojumu, un konkurences nodrošināšana ir tam pakārtota, nevis pašmērķis.</w:t>
      </w:r>
    </w:p>
    <w:p w14:paraId="6C7B57E8" w14:textId="77777777" w:rsidR="00851A7A" w:rsidRDefault="00851A7A" w:rsidP="004F7E80">
      <w:pPr>
        <w:pStyle w:val="NoSpacing"/>
        <w:spacing w:line="276" w:lineRule="auto"/>
        <w:ind w:firstLine="720"/>
        <w:jc w:val="both"/>
        <w:rPr>
          <w:rFonts w:asciiTheme="majorBidi" w:hAnsiTheme="majorBidi" w:cstheme="majorBidi"/>
        </w:rPr>
      </w:pPr>
    </w:p>
    <w:p w14:paraId="33BB96CD" w14:textId="726A905F" w:rsidR="00851A7A" w:rsidRDefault="00851A7A" w:rsidP="004F7E80">
      <w:pPr>
        <w:pStyle w:val="NoSpacing"/>
        <w:spacing w:line="276" w:lineRule="auto"/>
        <w:ind w:firstLine="720"/>
        <w:jc w:val="both"/>
        <w:rPr>
          <w:rFonts w:asciiTheme="majorBidi" w:hAnsiTheme="majorBidi" w:cstheme="majorBidi"/>
        </w:rPr>
      </w:pPr>
      <w:r>
        <w:rPr>
          <w:rFonts w:asciiTheme="majorBidi" w:hAnsiTheme="majorBidi" w:cstheme="majorBidi"/>
        </w:rPr>
        <w:t>[5]</w:t>
      </w:r>
      <w:r w:rsidR="00910661">
        <w:rPr>
          <w:rFonts w:asciiTheme="majorBidi" w:hAnsiTheme="majorBidi" w:cstheme="majorBidi"/>
        </w:rPr>
        <w:t> </w:t>
      </w:r>
      <w:r w:rsidR="00EC1394">
        <w:rPr>
          <w:rFonts w:asciiTheme="majorBidi" w:hAnsiTheme="majorBidi" w:cstheme="majorBidi"/>
        </w:rPr>
        <w:t xml:space="preserve">Arī </w:t>
      </w:r>
      <w:r>
        <w:rPr>
          <w:rFonts w:asciiTheme="majorBidi" w:hAnsiTheme="majorBidi" w:cstheme="majorBidi"/>
        </w:rPr>
        <w:t>Iepirkumu uzraudzības birojs paskaidrojumos kasācijas sūdzību neatzīst</w:t>
      </w:r>
      <w:r w:rsidR="00EC1394">
        <w:rPr>
          <w:rFonts w:asciiTheme="majorBidi" w:hAnsiTheme="majorBidi" w:cstheme="majorBidi"/>
        </w:rPr>
        <w:t>, kā arī izklāsta pamatojumu katra apstrīdētā kritērija pieļaujamībai.</w:t>
      </w:r>
    </w:p>
    <w:p w14:paraId="6DE454D7" w14:textId="77777777" w:rsidR="00036F1B" w:rsidRDefault="00036F1B" w:rsidP="004F7E80">
      <w:pPr>
        <w:pStyle w:val="NoSpacing"/>
        <w:spacing w:line="276" w:lineRule="auto"/>
        <w:ind w:firstLine="720"/>
        <w:jc w:val="both"/>
        <w:rPr>
          <w:rFonts w:asciiTheme="majorBidi" w:hAnsiTheme="majorBidi" w:cstheme="majorBidi"/>
        </w:rPr>
      </w:pPr>
    </w:p>
    <w:p w14:paraId="32434C85" w14:textId="6D9A60B6" w:rsidR="00036F1B" w:rsidRDefault="00036F1B" w:rsidP="004F7E80">
      <w:pPr>
        <w:pStyle w:val="NoSpacing"/>
        <w:spacing w:line="276" w:lineRule="auto"/>
        <w:ind w:firstLine="720"/>
        <w:jc w:val="both"/>
        <w:rPr>
          <w:rFonts w:asciiTheme="majorBidi" w:hAnsiTheme="majorBidi" w:cstheme="majorBidi"/>
        </w:rPr>
      </w:pPr>
      <w:r>
        <w:rPr>
          <w:rFonts w:asciiTheme="majorBidi" w:hAnsiTheme="majorBidi" w:cstheme="majorBidi"/>
        </w:rPr>
        <w:t>[6]</w:t>
      </w:r>
      <w:r w:rsidR="00910661">
        <w:rPr>
          <w:rFonts w:asciiTheme="majorBidi" w:hAnsiTheme="majorBidi" w:cstheme="majorBidi"/>
        </w:rPr>
        <w:t> </w:t>
      </w:r>
      <w:r>
        <w:rPr>
          <w:rFonts w:asciiTheme="majorBidi" w:hAnsiTheme="majorBidi" w:cstheme="majorBidi"/>
        </w:rPr>
        <w:t>Pieteicēja par Finanšu ministrijas un Iepirkumu uzraudzības biroja paskaidrojumiem iesniegusi atsauksmi, kuros plašāk argumentē iebildumus pret piedāvājuma vērtēšanas kritērijiem.</w:t>
      </w:r>
      <w:r w:rsidR="007B3384">
        <w:rPr>
          <w:rFonts w:asciiTheme="majorBidi" w:hAnsiTheme="majorBidi" w:cstheme="majorBidi"/>
        </w:rPr>
        <w:t xml:space="preserve"> </w:t>
      </w:r>
    </w:p>
    <w:p w14:paraId="6F6BFE23" w14:textId="77777777" w:rsidR="00522062" w:rsidRPr="002355CB" w:rsidRDefault="00522062" w:rsidP="004F7E80">
      <w:pPr>
        <w:spacing w:line="276" w:lineRule="auto"/>
        <w:ind w:firstLine="720"/>
        <w:jc w:val="both"/>
        <w:rPr>
          <w:rFonts w:asciiTheme="majorBidi" w:hAnsiTheme="majorBidi" w:cstheme="majorBidi"/>
        </w:rPr>
      </w:pPr>
    </w:p>
    <w:p w14:paraId="1D018080" w14:textId="77777777" w:rsidR="00522062" w:rsidRPr="002355CB" w:rsidRDefault="00522062" w:rsidP="004F7E80">
      <w:pPr>
        <w:spacing w:line="276" w:lineRule="auto"/>
        <w:jc w:val="center"/>
        <w:rPr>
          <w:rFonts w:asciiTheme="majorBidi" w:hAnsiTheme="majorBidi" w:cstheme="majorBidi"/>
          <w:b/>
        </w:rPr>
      </w:pPr>
      <w:r w:rsidRPr="002355CB">
        <w:rPr>
          <w:rFonts w:asciiTheme="majorBidi" w:hAnsiTheme="majorBidi" w:cstheme="majorBidi"/>
          <w:b/>
        </w:rPr>
        <w:t>Motīvu daļa</w:t>
      </w:r>
    </w:p>
    <w:p w14:paraId="5DAB64AC" w14:textId="77777777" w:rsidR="00522062" w:rsidRPr="002355CB" w:rsidRDefault="00522062" w:rsidP="004F7E80">
      <w:pPr>
        <w:spacing w:line="276" w:lineRule="auto"/>
        <w:jc w:val="center"/>
        <w:rPr>
          <w:rFonts w:asciiTheme="majorBidi" w:hAnsiTheme="majorBidi" w:cstheme="majorBidi"/>
          <w:bCs/>
        </w:rPr>
      </w:pPr>
    </w:p>
    <w:p w14:paraId="1EB53E8E" w14:textId="4F2EA8E4" w:rsidR="00E64704" w:rsidRDefault="00E64704" w:rsidP="004F7E80">
      <w:pPr>
        <w:autoSpaceDE w:val="0"/>
        <w:autoSpaceDN w:val="0"/>
        <w:adjustRightInd w:val="0"/>
        <w:spacing w:line="276" w:lineRule="auto"/>
        <w:ind w:firstLine="720"/>
        <w:jc w:val="both"/>
        <w:rPr>
          <w:rFonts w:asciiTheme="majorBidi" w:hAnsiTheme="majorBidi" w:cstheme="majorBidi"/>
          <w:i/>
          <w:iCs/>
        </w:rPr>
      </w:pPr>
      <w:r w:rsidRPr="00E64704">
        <w:rPr>
          <w:rFonts w:asciiTheme="majorBidi" w:hAnsiTheme="majorBidi" w:cstheme="majorBidi"/>
          <w:i/>
          <w:iCs/>
        </w:rPr>
        <w:t>Procesuāli jautājumi</w:t>
      </w:r>
    </w:p>
    <w:p w14:paraId="618E9486" w14:textId="77777777" w:rsidR="007A6368" w:rsidRPr="00E64704" w:rsidRDefault="007A6368" w:rsidP="004F7E80">
      <w:pPr>
        <w:autoSpaceDE w:val="0"/>
        <w:autoSpaceDN w:val="0"/>
        <w:adjustRightInd w:val="0"/>
        <w:spacing w:line="276" w:lineRule="auto"/>
        <w:ind w:firstLine="720"/>
        <w:jc w:val="both"/>
        <w:rPr>
          <w:rFonts w:asciiTheme="majorBidi" w:hAnsiTheme="majorBidi" w:cstheme="majorBidi"/>
          <w:i/>
          <w:iCs/>
        </w:rPr>
      </w:pPr>
    </w:p>
    <w:p w14:paraId="4930484C" w14:textId="15EF9AAF" w:rsidR="00036F1B" w:rsidRDefault="00036F1B"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w:t>
      </w:r>
      <w:r w:rsidR="007A6368">
        <w:rPr>
          <w:rFonts w:asciiTheme="majorBidi" w:hAnsiTheme="majorBidi" w:cstheme="majorBidi"/>
        </w:rPr>
        <w:t>7</w:t>
      </w:r>
      <w:r>
        <w:rPr>
          <w:rFonts w:asciiTheme="majorBidi" w:hAnsiTheme="majorBidi" w:cstheme="majorBidi"/>
        </w:rPr>
        <w:t>]</w:t>
      </w:r>
      <w:r w:rsidR="00910661">
        <w:rPr>
          <w:rFonts w:asciiTheme="majorBidi" w:hAnsiTheme="majorBidi" w:cstheme="majorBidi"/>
        </w:rPr>
        <w:t> </w:t>
      </w:r>
      <w:r w:rsidR="00BF6008">
        <w:rPr>
          <w:rFonts w:asciiTheme="majorBidi" w:hAnsiTheme="majorBidi" w:cstheme="majorBidi"/>
        </w:rPr>
        <w:t xml:space="preserve">Pēc nolēmuma sastādīšanas datuma paziņošanas pieteicēja iesniedza lūgumu izskatīt lietu tiesas sēdē mutvārdu procesā, lai Regulators un Konkurences padome, uz kuru viedokļiem pieteicēja atsaucas, varētu plašāk </w:t>
      </w:r>
      <w:r w:rsidR="007B3384">
        <w:rPr>
          <w:rFonts w:asciiTheme="majorBidi" w:hAnsiTheme="majorBidi" w:cstheme="majorBidi"/>
        </w:rPr>
        <w:t>savus viedokļus izskaidrot Senātam.</w:t>
      </w:r>
    </w:p>
    <w:p w14:paraId="5F3CDB5B" w14:textId="14F53BD2" w:rsidR="007B3384" w:rsidRDefault="007B3384"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Atbilstoši Administratīvā procesa likuma 339.panta pirmajai daļai l</w:t>
      </w:r>
      <w:r w:rsidRPr="007B3384">
        <w:rPr>
          <w:rFonts w:asciiTheme="majorBidi" w:hAnsiTheme="majorBidi" w:cstheme="majorBidi"/>
        </w:rPr>
        <w:t>ietu kasācijas instancē izskata rakstveida procesā.</w:t>
      </w:r>
      <w:r>
        <w:rPr>
          <w:rFonts w:asciiTheme="majorBidi" w:hAnsiTheme="majorBidi" w:cstheme="majorBidi"/>
        </w:rPr>
        <w:t xml:space="preserve"> Līdz ar to nav </w:t>
      </w:r>
      <w:r w:rsidR="00002040">
        <w:rPr>
          <w:rFonts w:asciiTheme="majorBidi" w:hAnsiTheme="majorBidi" w:cstheme="majorBidi"/>
        </w:rPr>
        <w:t>paredzēts noteikt</w:t>
      </w:r>
      <w:r>
        <w:rPr>
          <w:rFonts w:asciiTheme="majorBidi" w:hAnsiTheme="majorBidi" w:cstheme="majorBidi"/>
        </w:rPr>
        <w:t xml:space="preserve"> mutvārdu proces</w:t>
      </w:r>
      <w:r w:rsidR="00002040">
        <w:rPr>
          <w:rFonts w:asciiTheme="majorBidi" w:hAnsiTheme="majorBidi" w:cstheme="majorBidi"/>
        </w:rPr>
        <w:t>u</w:t>
      </w:r>
      <w:r>
        <w:rPr>
          <w:rFonts w:asciiTheme="majorBidi" w:hAnsiTheme="majorBidi" w:cstheme="majorBidi"/>
        </w:rPr>
        <w:t xml:space="preserve"> pēc procesa dalībnieka lūguma.</w:t>
      </w:r>
      <w:r w:rsidR="00002040">
        <w:rPr>
          <w:rFonts w:asciiTheme="majorBidi" w:hAnsiTheme="majorBidi" w:cstheme="majorBidi"/>
        </w:rPr>
        <w:t xml:space="preserve"> </w:t>
      </w:r>
      <w:r>
        <w:rPr>
          <w:rFonts w:asciiTheme="majorBidi" w:hAnsiTheme="majorBidi" w:cstheme="majorBidi"/>
        </w:rPr>
        <w:t>Senāts arī pēc savas iniciatīvas nesaskata nepieciešamību kasācijas sūdzību izskatīt tiesas sēdē. Lietā sniegtie iestāžu viedokļi ir saprotami un novērtējami arī bez plašākiem paskaidrojumiem.</w:t>
      </w:r>
    </w:p>
    <w:p w14:paraId="27689C92" w14:textId="687BD93B" w:rsidR="007B3384" w:rsidRDefault="007B3384"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Senāts arī vērš pieteicējas uzmanību, ka tai bija iespēja šādu lūgumu izteikt laikus – gan iesniedzot kasācijas sūdzību, gan laikā līdz nolēmuma sastādīšanas datuma paziņošanai. Procesuālās tiesības izmantojamas godprātīgi.</w:t>
      </w:r>
    </w:p>
    <w:p w14:paraId="670AC4E2" w14:textId="77777777" w:rsidR="00E64704" w:rsidRDefault="00E64704" w:rsidP="004F7E80">
      <w:pPr>
        <w:autoSpaceDE w:val="0"/>
        <w:autoSpaceDN w:val="0"/>
        <w:adjustRightInd w:val="0"/>
        <w:spacing w:line="276" w:lineRule="auto"/>
        <w:ind w:firstLine="720"/>
        <w:jc w:val="both"/>
        <w:rPr>
          <w:rFonts w:asciiTheme="majorBidi" w:hAnsiTheme="majorBidi" w:cstheme="majorBidi"/>
        </w:rPr>
      </w:pPr>
    </w:p>
    <w:p w14:paraId="607AD967" w14:textId="4324680B" w:rsidR="00036F1B" w:rsidRDefault="00E64704"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w:t>
      </w:r>
      <w:r w:rsidR="007A6368">
        <w:rPr>
          <w:rFonts w:asciiTheme="majorBidi" w:hAnsiTheme="majorBidi" w:cstheme="majorBidi"/>
        </w:rPr>
        <w:t>8</w:t>
      </w:r>
      <w:r>
        <w:rPr>
          <w:rFonts w:asciiTheme="majorBidi" w:hAnsiTheme="majorBidi" w:cstheme="majorBidi"/>
        </w:rPr>
        <w:t>]</w:t>
      </w:r>
      <w:r w:rsidR="00910661">
        <w:rPr>
          <w:rFonts w:asciiTheme="majorBidi" w:hAnsiTheme="majorBidi" w:cstheme="majorBidi"/>
        </w:rPr>
        <w:t> </w:t>
      </w:r>
      <w:r>
        <w:rPr>
          <w:rFonts w:asciiTheme="majorBidi" w:hAnsiTheme="majorBidi" w:cstheme="majorBidi"/>
        </w:rPr>
        <w:t xml:space="preserve">Pieteicējas iesniegtajā </w:t>
      </w:r>
      <w:r w:rsidRPr="00E64704">
        <w:rPr>
          <w:rFonts w:asciiTheme="majorBidi" w:hAnsiTheme="majorBidi" w:cstheme="majorBidi"/>
        </w:rPr>
        <w:t xml:space="preserve">atsauksmē </w:t>
      </w:r>
      <w:r>
        <w:rPr>
          <w:rFonts w:asciiTheme="majorBidi" w:hAnsiTheme="majorBidi" w:cstheme="majorBidi"/>
        </w:rPr>
        <w:t xml:space="preserve">par atbildētājas pusē pieaicināto iestāžu paskaidrojumiem ir </w:t>
      </w:r>
      <w:r w:rsidRPr="00E64704">
        <w:rPr>
          <w:rFonts w:asciiTheme="majorBidi" w:hAnsiTheme="majorBidi" w:cstheme="majorBidi"/>
        </w:rPr>
        <w:t>ietverti argumenti</w:t>
      </w:r>
      <w:r>
        <w:rPr>
          <w:rFonts w:asciiTheme="majorBidi" w:hAnsiTheme="majorBidi" w:cstheme="majorBidi"/>
        </w:rPr>
        <w:t>, kas tiecas paplašināt kasācijas sūdzības saturu. Šie argumenti</w:t>
      </w:r>
      <w:r w:rsidRPr="00E64704">
        <w:rPr>
          <w:rFonts w:asciiTheme="majorBidi" w:hAnsiTheme="majorBidi" w:cstheme="majorBidi"/>
        </w:rPr>
        <w:t xml:space="preserve"> tiek ņemti vērā, ciktāl tie būtībā saskan ar kasācijas sūdzību, jo kasācijas sūdzības argumentācijas papildināšana pēc tās iesniegšanas termiņa nav pieļaujama.</w:t>
      </w:r>
    </w:p>
    <w:p w14:paraId="19F61D73" w14:textId="77777777" w:rsidR="00002040" w:rsidRDefault="00002040" w:rsidP="004F7E80">
      <w:pPr>
        <w:autoSpaceDE w:val="0"/>
        <w:autoSpaceDN w:val="0"/>
        <w:adjustRightInd w:val="0"/>
        <w:spacing w:line="276" w:lineRule="auto"/>
        <w:ind w:firstLine="720"/>
        <w:jc w:val="both"/>
        <w:rPr>
          <w:rFonts w:asciiTheme="majorBidi" w:hAnsiTheme="majorBidi" w:cstheme="majorBidi"/>
        </w:rPr>
      </w:pPr>
    </w:p>
    <w:p w14:paraId="0669C5B1" w14:textId="43EE2DD7" w:rsidR="00002040" w:rsidRPr="00002040" w:rsidRDefault="00002040" w:rsidP="004F7E80">
      <w:pPr>
        <w:autoSpaceDE w:val="0"/>
        <w:autoSpaceDN w:val="0"/>
        <w:adjustRightInd w:val="0"/>
        <w:spacing w:line="276" w:lineRule="auto"/>
        <w:ind w:firstLine="720"/>
        <w:jc w:val="both"/>
        <w:rPr>
          <w:rFonts w:asciiTheme="majorBidi" w:hAnsiTheme="majorBidi" w:cstheme="majorBidi"/>
        </w:rPr>
      </w:pPr>
      <w:r w:rsidRPr="00002040">
        <w:rPr>
          <w:rFonts w:asciiTheme="majorBidi" w:hAnsiTheme="majorBidi" w:cstheme="majorBidi"/>
        </w:rPr>
        <w:t>[</w:t>
      </w:r>
      <w:r w:rsidR="007A6368">
        <w:rPr>
          <w:rFonts w:asciiTheme="majorBidi" w:hAnsiTheme="majorBidi" w:cstheme="majorBidi"/>
        </w:rPr>
        <w:t>9</w:t>
      </w:r>
      <w:r w:rsidRPr="00002040">
        <w:rPr>
          <w:rFonts w:asciiTheme="majorBidi" w:hAnsiTheme="majorBidi" w:cstheme="majorBidi"/>
        </w:rPr>
        <w:t>]</w:t>
      </w:r>
      <w:r w:rsidR="00910661">
        <w:rPr>
          <w:rFonts w:asciiTheme="majorBidi" w:hAnsiTheme="majorBidi" w:cstheme="majorBidi"/>
        </w:rPr>
        <w:t> </w:t>
      </w:r>
      <w:r w:rsidRPr="00002040">
        <w:rPr>
          <w:rFonts w:asciiTheme="majorBidi" w:hAnsiTheme="majorBidi" w:cstheme="majorBidi"/>
        </w:rPr>
        <w:t>Pieteicēja, argumentējot ar to, ka ir jau noslēgti iepirkumu līgumi un pieteicējai nav iespējams tos apstrīdēt, lūdz Senātu pieņemt blakus lēmumu par iepirkuma līguma turpmāko darbību.</w:t>
      </w:r>
    </w:p>
    <w:p w14:paraId="21BC88C4" w14:textId="22D1BDB4" w:rsidR="00002040" w:rsidRDefault="00002040" w:rsidP="004F7E80">
      <w:pPr>
        <w:autoSpaceDE w:val="0"/>
        <w:autoSpaceDN w:val="0"/>
        <w:adjustRightInd w:val="0"/>
        <w:spacing w:line="276" w:lineRule="auto"/>
        <w:ind w:firstLine="720"/>
        <w:jc w:val="both"/>
        <w:rPr>
          <w:rFonts w:asciiTheme="majorBidi" w:hAnsiTheme="majorBidi" w:cstheme="majorBidi"/>
        </w:rPr>
      </w:pPr>
      <w:r w:rsidRPr="00002040">
        <w:rPr>
          <w:rFonts w:asciiTheme="majorBidi" w:hAnsiTheme="majorBidi" w:cstheme="majorBidi"/>
        </w:rPr>
        <w:t>Senāts norāda, ka konkrētu tiesisko attiecību noregulējums tiesas procesā ir pieļaujams tikai ar spriedumu atbilstoši pieteiktajiem prasījumiem, kas atbilst Administratīvā procesa likuma 184.pantā uzskaitītajiem pieteikuma priekšmetu veidiem. Blakus lēmums atbilstoši Administratīvā procesa likuma 288.pantam ir instruments, ar ko vērst uzmanību vai uzdot kādai iestādei rīkoties gadījumos, kad lietas izskatīšanas laikā ir saskatāms kāds tiesību normu pārkāpums šīs iestādes kompetences jomā. Ar blakus lēmumu nevar galīgi izšķirt jeb noregulēt tiesiskās attiecības ar tiesas sprieduma spēku.</w:t>
      </w:r>
    </w:p>
    <w:p w14:paraId="4AF3A062" w14:textId="77777777" w:rsidR="00E64704" w:rsidRDefault="00E64704" w:rsidP="004F7E80">
      <w:pPr>
        <w:autoSpaceDE w:val="0"/>
        <w:autoSpaceDN w:val="0"/>
        <w:adjustRightInd w:val="0"/>
        <w:spacing w:line="276" w:lineRule="auto"/>
        <w:ind w:firstLine="720"/>
        <w:jc w:val="both"/>
        <w:rPr>
          <w:rFonts w:asciiTheme="majorBidi" w:hAnsiTheme="majorBidi" w:cstheme="majorBidi"/>
        </w:rPr>
      </w:pPr>
    </w:p>
    <w:p w14:paraId="67770B1C" w14:textId="6FB6632B" w:rsidR="00E64704" w:rsidRDefault="00E64704" w:rsidP="004F7E80">
      <w:pPr>
        <w:autoSpaceDE w:val="0"/>
        <w:autoSpaceDN w:val="0"/>
        <w:adjustRightInd w:val="0"/>
        <w:spacing w:line="276" w:lineRule="auto"/>
        <w:ind w:firstLine="720"/>
        <w:jc w:val="both"/>
        <w:rPr>
          <w:rFonts w:asciiTheme="majorBidi" w:hAnsiTheme="majorBidi" w:cstheme="majorBidi"/>
          <w:i/>
          <w:iCs/>
        </w:rPr>
      </w:pPr>
      <w:r w:rsidRPr="00F649D0">
        <w:rPr>
          <w:rFonts w:asciiTheme="majorBidi" w:hAnsiTheme="majorBidi" w:cstheme="majorBidi"/>
          <w:i/>
          <w:iCs/>
        </w:rPr>
        <w:t>Ievada apsvērumi</w:t>
      </w:r>
      <w:r w:rsidR="001E1EEE">
        <w:rPr>
          <w:rFonts w:asciiTheme="majorBidi" w:hAnsiTheme="majorBidi" w:cstheme="majorBidi"/>
          <w:i/>
          <w:iCs/>
        </w:rPr>
        <w:t xml:space="preserve"> par lietas būtību</w:t>
      </w:r>
    </w:p>
    <w:p w14:paraId="11BB8034" w14:textId="77777777" w:rsidR="00002040" w:rsidRPr="00F649D0" w:rsidRDefault="00002040" w:rsidP="004F7E80">
      <w:pPr>
        <w:autoSpaceDE w:val="0"/>
        <w:autoSpaceDN w:val="0"/>
        <w:adjustRightInd w:val="0"/>
        <w:spacing w:line="276" w:lineRule="auto"/>
        <w:ind w:firstLine="720"/>
        <w:jc w:val="both"/>
        <w:rPr>
          <w:rFonts w:asciiTheme="majorBidi" w:hAnsiTheme="majorBidi" w:cstheme="majorBidi"/>
          <w:i/>
          <w:iCs/>
        </w:rPr>
      </w:pPr>
    </w:p>
    <w:p w14:paraId="3BF62254" w14:textId="6BD7B181" w:rsidR="005501AC" w:rsidRDefault="00522062" w:rsidP="004F7E80">
      <w:pPr>
        <w:autoSpaceDE w:val="0"/>
        <w:autoSpaceDN w:val="0"/>
        <w:adjustRightInd w:val="0"/>
        <w:spacing w:line="276" w:lineRule="auto"/>
        <w:ind w:firstLine="720"/>
        <w:jc w:val="both"/>
        <w:rPr>
          <w:rFonts w:asciiTheme="majorBidi" w:hAnsiTheme="majorBidi" w:cstheme="majorBidi"/>
        </w:rPr>
      </w:pPr>
      <w:r w:rsidRPr="00FE6A32">
        <w:rPr>
          <w:rFonts w:asciiTheme="majorBidi" w:hAnsiTheme="majorBidi" w:cstheme="majorBidi"/>
        </w:rPr>
        <w:t>[</w:t>
      </w:r>
      <w:r w:rsidR="007A6368">
        <w:rPr>
          <w:rFonts w:asciiTheme="majorBidi" w:hAnsiTheme="majorBidi" w:cstheme="majorBidi"/>
        </w:rPr>
        <w:t>10</w:t>
      </w:r>
      <w:r w:rsidRPr="00FE6A32">
        <w:rPr>
          <w:rFonts w:asciiTheme="majorBidi" w:hAnsiTheme="majorBidi" w:cstheme="majorBidi"/>
        </w:rPr>
        <w:t>]</w:t>
      </w:r>
      <w:r w:rsidR="00910661">
        <w:rPr>
          <w:rFonts w:asciiTheme="majorBidi" w:hAnsiTheme="majorBidi" w:cstheme="majorBidi"/>
        </w:rPr>
        <w:t> </w:t>
      </w:r>
      <w:r w:rsidR="0033392F">
        <w:rPr>
          <w:rFonts w:asciiTheme="majorBidi" w:hAnsiTheme="majorBidi" w:cstheme="majorBidi"/>
        </w:rPr>
        <w:t xml:space="preserve">Pieteikums šajā lietā pamatots galvenokārt ar apsvērumu, ka pasūtītājas – Finanšu ministrijas – organizētais mobilo sakaru pakalpojumu iepirkums ir tāds, kurā vērojams favorītisms par labu vienam no pretendentiem, proti, </w:t>
      </w:r>
      <w:r w:rsidR="0033392F" w:rsidRPr="0033392F">
        <w:rPr>
          <w:rFonts w:asciiTheme="majorBidi" w:hAnsiTheme="majorBidi" w:cstheme="majorBidi"/>
        </w:rPr>
        <w:t xml:space="preserve">„Latvijas Mobilais </w:t>
      </w:r>
      <w:r w:rsidR="00002040">
        <w:rPr>
          <w:rFonts w:asciiTheme="majorBidi" w:hAnsiTheme="majorBidi" w:cstheme="majorBidi"/>
        </w:rPr>
        <w:t>T</w:t>
      </w:r>
      <w:r w:rsidR="0033392F" w:rsidRPr="0033392F">
        <w:rPr>
          <w:rFonts w:asciiTheme="majorBidi" w:hAnsiTheme="majorBidi" w:cstheme="majorBidi"/>
        </w:rPr>
        <w:t>elefons” SIA</w:t>
      </w:r>
      <w:r w:rsidR="0033392F">
        <w:rPr>
          <w:rFonts w:asciiTheme="majorBidi" w:hAnsiTheme="majorBidi" w:cstheme="majorBidi"/>
        </w:rPr>
        <w:t>, un tas ir pretrunā publisko iepirkumu principiem</w:t>
      </w:r>
      <w:r w:rsidR="00C96F34">
        <w:rPr>
          <w:rFonts w:asciiTheme="majorBidi" w:hAnsiTheme="majorBidi" w:cstheme="majorBidi"/>
        </w:rPr>
        <w:t xml:space="preserve"> –</w:t>
      </w:r>
      <w:r w:rsidR="00C96F34" w:rsidRPr="00C96F34">
        <w:t xml:space="preserve"> </w:t>
      </w:r>
      <w:r w:rsidR="00C96F34" w:rsidRPr="00C96F34">
        <w:rPr>
          <w:rFonts w:asciiTheme="majorBidi" w:hAnsiTheme="majorBidi" w:cstheme="majorBidi"/>
        </w:rPr>
        <w:t>brīva</w:t>
      </w:r>
      <w:r w:rsidR="00C96F34">
        <w:rPr>
          <w:rFonts w:asciiTheme="majorBidi" w:hAnsiTheme="majorBidi" w:cstheme="majorBidi"/>
        </w:rPr>
        <w:t>i</w:t>
      </w:r>
      <w:r w:rsidR="00C96F34" w:rsidRPr="00C96F34">
        <w:rPr>
          <w:rFonts w:asciiTheme="majorBidi" w:hAnsiTheme="majorBidi" w:cstheme="majorBidi"/>
        </w:rPr>
        <w:t xml:space="preserve"> piegādātāju konkurence</w:t>
      </w:r>
      <w:r w:rsidR="00C96F34">
        <w:rPr>
          <w:rFonts w:asciiTheme="majorBidi" w:hAnsiTheme="majorBidi" w:cstheme="majorBidi"/>
        </w:rPr>
        <w:t>i</w:t>
      </w:r>
      <w:r w:rsidR="00C96F34" w:rsidRPr="00C96F34">
        <w:rPr>
          <w:rFonts w:asciiTheme="majorBidi" w:hAnsiTheme="majorBidi" w:cstheme="majorBidi"/>
        </w:rPr>
        <w:t xml:space="preserve"> un taisnīga</w:t>
      </w:r>
      <w:r w:rsidR="00C96F34">
        <w:rPr>
          <w:rFonts w:asciiTheme="majorBidi" w:hAnsiTheme="majorBidi" w:cstheme="majorBidi"/>
        </w:rPr>
        <w:t>i</w:t>
      </w:r>
      <w:r w:rsidR="00C96F34" w:rsidRPr="00C96F34">
        <w:rPr>
          <w:rFonts w:asciiTheme="majorBidi" w:hAnsiTheme="majorBidi" w:cstheme="majorBidi"/>
        </w:rPr>
        <w:t xml:space="preserve"> attieksme</w:t>
      </w:r>
      <w:r w:rsidR="00C96F34">
        <w:rPr>
          <w:rFonts w:asciiTheme="majorBidi" w:hAnsiTheme="majorBidi" w:cstheme="majorBidi"/>
        </w:rPr>
        <w:t>i</w:t>
      </w:r>
      <w:r w:rsidR="00C96F34" w:rsidRPr="00C96F34">
        <w:rPr>
          <w:rFonts w:asciiTheme="majorBidi" w:hAnsiTheme="majorBidi" w:cstheme="majorBidi"/>
        </w:rPr>
        <w:t xml:space="preserve"> pret tiem</w:t>
      </w:r>
      <w:r w:rsidR="0033392F">
        <w:rPr>
          <w:rFonts w:asciiTheme="majorBidi" w:hAnsiTheme="majorBidi" w:cstheme="majorBidi"/>
        </w:rPr>
        <w:t>.</w:t>
      </w:r>
      <w:r w:rsidR="005501AC">
        <w:rPr>
          <w:rFonts w:asciiTheme="majorBidi" w:hAnsiTheme="majorBidi" w:cstheme="majorBidi"/>
        </w:rPr>
        <w:t xml:space="preserve"> Pieteicēja tādēļ iebilst pret vairākiem nolikumā paredzētajiem kritērijiem piedāvājuma vērtēšanai.</w:t>
      </w:r>
    </w:p>
    <w:p w14:paraId="2ECE89C4" w14:textId="77777777" w:rsidR="009F24BC" w:rsidRDefault="009F24BC" w:rsidP="004F7E80">
      <w:pPr>
        <w:autoSpaceDE w:val="0"/>
        <w:autoSpaceDN w:val="0"/>
        <w:adjustRightInd w:val="0"/>
        <w:spacing w:line="276" w:lineRule="auto"/>
        <w:ind w:firstLine="720"/>
        <w:jc w:val="both"/>
        <w:rPr>
          <w:rFonts w:asciiTheme="majorBidi" w:hAnsiTheme="majorBidi" w:cstheme="majorBidi"/>
        </w:rPr>
      </w:pPr>
    </w:p>
    <w:p w14:paraId="0A8B44A3" w14:textId="3B1A1BDB" w:rsidR="005501AC" w:rsidRDefault="005501AC"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w:t>
      </w:r>
      <w:r w:rsidR="007A6368">
        <w:rPr>
          <w:rFonts w:asciiTheme="majorBidi" w:hAnsiTheme="majorBidi" w:cstheme="majorBidi"/>
        </w:rPr>
        <w:t>11</w:t>
      </w:r>
      <w:r>
        <w:rPr>
          <w:rFonts w:asciiTheme="majorBidi" w:hAnsiTheme="majorBidi" w:cstheme="majorBidi"/>
        </w:rPr>
        <w:t>]</w:t>
      </w:r>
      <w:r w:rsidR="00910661">
        <w:rPr>
          <w:rFonts w:asciiTheme="majorBidi" w:hAnsiTheme="majorBidi" w:cstheme="majorBidi"/>
        </w:rPr>
        <w:t> </w:t>
      </w:r>
      <w:r>
        <w:rPr>
          <w:rFonts w:asciiTheme="majorBidi" w:hAnsiTheme="majorBidi" w:cstheme="majorBidi"/>
        </w:rPr>
        <w:t xml:space="preserve">Pieteicēja ar vairākām salīdzinošām norādēm uz Publisko iepirkumu direktīvu un Publisko iepirkumu likumu argumentē, ka </w:t>
      </w:r>
      <w:r w:rsidR="00002040">
        <w:rPr>
          <w:rFonts w:asciiTheme="majorBidi" w:hAnsiTheme="majorBidi" w:cstheme="majorBidi"/>
        </w:rPr>
        <w:t xml:space="preserve">rajona </w:t>
      </w:r>
      <w:r>
        <w:rPr>
          <w:rFonts w:asciiTheme="majorBidi" w:hAnsiTheme="majorBidi" w:cstheme="majorBidi"/>
        </w:rPr>
        <w:t xml:space="preserve">tiesai bija jāņem vērā direktīvas plašāks tvērums attiecībā uz </w:t>
      </w:r>
      <w:r w:rsidR="009B1A50">
        <w:rPr>
          <w:rFonts w:asciiTheme="majorBidi" w:hAnsiTheme="majorBidi" w:cstheme="majorBidi"/>
        </w:rPr>
        <w:t xml:space="preserve">publisko iepirkumu principiem un </w:t>
      </w:r>
      <w:r>
        <w:rPr>
          <w:rFonts w:asciiTheme="majorBidi" w:hAnsiTheme="majorBidi" w:cstheme="majorBidi"/>
        </w:rPr>
        <w:t>favorītisma izslēgšanu.</w:t>
      </w:r>
    </w:p>
    <w:p w14:paraId="22C5678C" w14:textId="057C54DA" w:rsidR="005501AC" w:rsidRDefault="005501AC"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Senāts nesaskata, ka šiem apsvērumiem būtu nozīme lietā. Pat ja atšķiras veids, kādā Latvijas likumdevējs ir konkrētās normās tieši atsaucies uz publisko iepirkumu principiem vai netieši tos iemiesojis regulējumā, tas acīmredzami nav ietekmējis rajona tiesas pieeju lietas apstākļu noskaidrošanā un tiesiskajā novērtēšanā. Proti, tiesa nav nekādā ziņā mēģinājusi atkāpties no pienākuma pārbaudīt, vai nolikuma prasības nav tādas, kas liecina par favorītismu vai citādi ir pretējas publisko iepirkumu principiem. Viss spriedums atspoguļo tiesas vērtējumu par pieteicējas apšaubītajiem piedāvājum</w:t>
      </w:r>
      <w:r w:rsidR="0049737D">
        <w:rPr>
          <w:rFonts w:asciiTheme="majorBidi" w:hAnsiTheme="majorBidi" w:cstheme="majorBidi"/>
        </w:rPr>
        <w:t>u</w:t>
      </w:r>
      <w:r>
        <w:rPr>
          <w:rFonts w:asciiTheme="majorBidi" w:hAnsiTheme="majorBidi" w:cstheme="majorBidi"/>
        </w:rPr>
        <w:t xml:space="preserve"> vērtēšanas kritērijiem šādā rakursā. Taču tiesa, novērtējot </w:t>
      </w:r>
      <w:r w:rsidR="009B1A50">
        <w:rPr>
          <w:rFonts w:asciiTheme="majorBidi" w:hAnsiTheme="majorBidi" w:cstheme="majorBidi"/>
        </w:rPr>
        <w:t xml:space="preserve">konkrētās </w:t>
      </w:r>
      <w:r>
        <w:rPr>
          <w:rFonts w:asciiTheme="majorBidi" w:hAnsiTheme="majorBidi" w:cstheme="majorBidi"/>
        </w:rPr>
        <w:t>nolikuma prasības, nav piekritusi pieteicējas apgalvojumiem</w:t>
      </w:r>
      <w:r w:rsidR="009B1A50">
        <w:rPr>
          <w:rFonts w:asciiTheme="majorBidi" w:hAnsiTheme="majorBidi" w:cstheme="majorBidi"/>
        </w:rPr>
        <w:t>, ka tās liecina</w:t>
      </w:r>
      <w:r>
        <w:rPr>
          <w:rFonts w:asciiTheme="majorBidi" w:hAnsiTheme="majorBidi" w:cstheme="majorBidi"/>
        </w:rPr>
        <w:t xml:space="preserve"> par favorītismu un publisko iepirkumu principu neievērošanu. Tātad atšķiras nevis izpratne par to, kādiem principiem būtu jābūt ievērotiem nolikumā, bet gan par to, vai</w:t>
      </w:r>
      <w:r w:rsidR="00765113">
        <w:rPr>
          <w:rFonts w:asciiTheme="majorBidi" w:hAnsiTheme="majorBidi" w:cstheme="majorBidi"/>
        </w:rPr>
        <w:t xml:space="preserve"> izskatāmajā gadījumā</w:t>
      </w:r>
      <w:r>
        <w:rPr>
          <w:rFonts w:asciiTheme="majorBidi" w:hAnsiTheme="majorBidi" w:cstheme="majorBidi"/>
        </w:rPr>
        <w:t xml:space="preserve"> tiešām </w:t>
      </w:r>
      <w:r w:rsidR="00765113">
        <w:rPr>
          <w:rFonts w:asciiTheme="majorBidi" w:hAnsiTheme="majorBidi" w:cstheme="majorBidi"/>
        </w:rPr>
        <w:t>ir konstatējams šo principu pārkāpums.</w:t>
      </w:r>
    </w:p>
    <w:p w14:paraId="094FD568" w14:textId="77777777" w:rsidR="008008E5" w:rsidRDefault="008008E5" w:rsidP="004F7E80">
      <w:pPr>
        <w:autoSpaceDE w:val="0"/>
        <w:autoSpaceDN w:val="0"/>
        <w:adjustRightInd w:val="0"/>
        <w:spacing w:line="276" w:lineRule="auto"/>
        <w:ind w:firstLine="720"/>
        <w:jc w:val="both"/>
        <w:rPr>
          <w:rFonts w:asciiTheme="majorBidi" w:hAnsiTheme="majorBidi" w:cstheme="majorBidi"/>
        </w:rPr>
      </w:pPr>
    </w:p>
    <w:p w14:paraId="51F479B8" w14:textId="1657F7A6" w:rsidR="008008E5" w:rsidRDefault="008008E5"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w:t>
      </w:r>
      <w:r w:rsidR="00F112E0">
        <w:rPr>
          <w:rFonts w:asciiTheme="majorBidi" w:hAnsiTheme="majorBidi" w:cstheme="majorBidi"/>
        </w:rPr>
        <w:t>1</w:t>
      </w:r>
      <w:r w:rsidR="007A6368">
        <w:rPr>
          <w:rFonts w:asciiTheme="majorBidi" w:hAnsiTheme="majorBidi" w:cstheme="majorBidi"/>
        </w:rPr>
        <w:t>2</w:t>
      </w:r>
      <w:r>
        <w:rPr>
          <w:rFonts w:asciiTheme="majorBidi" w:hAnsiTheme="majorBidi" w:cstheme="majorBidi"/>
        </w:rPr>
        <w:t>]</w:t>
      </w:r>
      <w:r w:rsidR="00910661">
        <w:rPr>
          <w:rFonts w:asciiTheme="majorBidi" w:hAnsiTheme="majorBidi" w:cstheme="majorBidi"/>
        </w:rPr>
        <w:t> </w:t>
      </w:r>
      <w:r>
        <w:rPr>
          <w:rFonts w:asciiTheme="majorBidi" w:hAnsiTheme="majorBidi" w:cstheme="majorBidi"/>
        </w:rPr>
        <w:t xml:space="preserve">Senāts atzīst par pamatotu </w:t>
      </w:r>
      <w:r w:rsidR="002A7F31">
        <w:rPr>
          <w:rFonts w:asciiTheme="majorBidi" w:hAnsiTheme="majorBidi" w:cstheme="majorBidi"/>
        </w:rPr>
        <w:t xml:space="preserve">un pievienojas </w:t>
      </w:r>
      <w:r>
        <w:rPr>
          <w:rFonts w:asciiTheme="majorBidi" w:hAnsiTheme="majorBidi" w:cstheme="majorBidi"/>
        </w:rPr>
        <w:t>rajona tiesas argumentācij</w:t>
      </w:r>
      <w:r w:rsidR="002A7F31">
        <w:rPr>
          <w:rFonts w:asciiTheme="majorBidi" w:hAnsiTheme="majorBidi" w:cstheme="majorBidi"/>
        </w:rPr>
        <w:t>ai (</w:t>
      </w:r>
      <w:r w:rsidR="002A7F31" w:rsidRPr="0044223D">
        <w:rPr>
          <w:rFonts w:asciiTheme="majorBidi" w:hAnsiTheme="majorBidi" w:cstheme="majorBidi"/>
          <w:i/>
          <w:iCs/>
        </w:rPr>
        <w:t>rajona tiesas sprieduma 6.punkts</w:t>
      </w:r>
      <w:r w:rsidR="002A7F31">
        <w:rPr>
          <w:rFonts w:asciiTheme="majorBidi" w:hAnsiTheme="majorBidi" w:cstheme="majorBidi"/>
        </w:rPr>
        <w:t>)</w:t>
      </w:r>
      <w:r>
        <w:rPr>
          <w:rFonts w:asciiTheme="majorBidi" w:hAnsiTheme="majorBidi" w:cstheme="majorBidi"/>
        </w:rPr>
        <w:t xml:space="preserve"> par pasūtītāja rīcības brīvību izvēlēties sev nepieciešamās preces un pakalpojumus un atbilstoši tam, kādas ir </w:t>
      </w:r>
      <w:r w:rsidR="002A7F31">
        <w:rPr>
          <w:rFonts w:asciiTheme="majorBidi" w:hAnsiTheme="majorBidi" w:cstheme="majorBidi"/>
        </w:rPr>
        <w:t xml:space="preserve">pasūtītāja </w:t>
      </w:r>
      <w:r>
        <w:rPr>
          <w:rFonts w:asciiTheme="majorBidi" w:hAnsiTheme="majorBidi" w:cstheme="majorBidi"/>
        </w:rPr>
        <w:t xml:space="preserve">prioritārās vajadzības, noteikt arī piedāvājumu vērtēšanas kritērijus, tostarp noteiktu īpatsvaru katram kritērijam saimnieciski izdevīgākā piedāvājuma identificēšanā. </w:t>
      </w:r>
      <w:r w:rsidR="006E7C94">
        <w:rPr>
          <w:rFonts w:asciiTheme="majorBidi" w:hAnsiTheme="majorBidi" w:cstheme="majorBidi"/>
        </w:rPr>
        <w:t>Publisko iepirkumu likuma 51.pantā ir ietverti zināmi noteikumi saimnieciski izdevīgākā piedāvājuma izvērtēšana</w:t>
      </w:r>
      <w:r w:rsidR="00D75BFF">
        <w:rPr>
          <w:rFonts w:asciiTheme="majorBidi" w:hAnsiTheme="majorBidi" w:cstheme="majorBidi"/>
        </w:rPr>
        <w:t>i</w:t>
      </w:r>
      <w:r w:rsidR="006E7C94">
        <w:rPr>
          <w:rFonts w:asciiTheme="majorBidi" w:hAnsiTheme="majorBidi" w:cstheme="majorBidi"/>
        </w:rPr>
        <w:t>, taču visupirms tas piešķir pasūtītājam rīcības brīvību šādus kritērijus izvirzīt, lai atrastu sev piemērotāko pakalpojumu vai preci.</w:t>
      </w:r>
    </w:p>
    <w:p w14:paraId="3C0E2A13" w14:textId="7126FA17" w:rsidR="00EA1B0D" w:rsidRDefault="002A7F31"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Turklāt šāda pasūtītāja rīcības brīvība nozīmē arī to, ka tam nav pienākuma noteikt tādus piedāvājumu vērtēšanas kritērijus, lai visi tirgus dalībnieki</w:t>
      </w:r>
      <w:r w:rsidR="00D83474">
        <w:rPr>
          <w:rFonts w:asciiTheme="majorBidi" w:hAnsiTheme="majorBidi" w:cstheme="majorBidi"/>
        </w:rPr>
        <w:t>, neskatoties uz to piedāvāto preču vai pakalpojumu kvalitāti,</w:t>
      </w:r>
      <w:r>
        <w:rPr>
          <w:rFonts w:asciiTheme="majorBidi" w:hAnsiTheme="majorBidi" w:cstheme="majorBidi"/>
        </w:rPr>
        <w:t xml:space="preserve"> ar līdzīgām izredzēm varētu pretendēt uz uzvaru iepirkumā. </w:t>
      </w:r>
      <w:r w:rsidR="006E7C94">
        <w:rPr>
          <w:rFonts w:asciiTheme="majorBidi" w:hAnsiTheme="majorBidi" w:cstheme="majorBidi"/>
        </w:rPr>
        <w:t xml:space="preserve">Konkurences likuma 1.panta 6.punktā skaidrots, ka konkurence ir </w:t>
      </w:r>
      <w:r w:rsidR="006E7C94" w:rsidRPr="006E7C94">
        <w:rPr>
          <w:rFonts w:asciiTheme="majorBidi" w:hAnsiTheme="majorBidi" w:cstheme="majorBidi"/>
        </w:rPr>
        <w:t xml:space="preserve">pastāvoša vai potenciāla </w:t>
      </w:r>
      <w:r w:rsidR="006E7C94" w:rsidRPr="00D83474">
        <w:rPr>
          <w:rFonts w:asciiTheme="majorBidi" w:hAnsiTheme="majorBidi" w:cstheme="majorBidi"/>
          <w:i/>
          <w:iCs/>
        </w:rPr>
        <w:t>ekonomiskā (saimnieciskā)</w:t>
      </w:r>
      <w:r w:rsidR="006E7C94" w:rsidRPr="006E7C94">
        <w:rPr>
          <w:rFonts w:asciiTheme="majorBidi" w:hAnsiTheme="majorBidi" w:cstheme="majorBidi"/>
        </w:rPr>
        <w:t xml:space="preserve"> </w:t>
      </w:r>
      <w:r w:rsidR="006E7C94" w:rsidRPr="006E7C94">
        <w:rPr>
          <w:rFonts w:asciiTheme="majorBidi" w:hAnsiTheme="majorBidi" w:cstheme="majorBidi"/>
          <w:i/>
          <w:iCs/>
        </w:rPr>
        <w:t>sāncensība</w:t>
      </w:r>
      <w:r w:rsidR="006E7C94" w:rsidRPr="006E7C94">
        <w:rPr>
          <w:rFonts w:asciiTheme="majorBidi" w:hAnsiTheme="majorBidi" w:cstheme="majorBidi"/>
        </w:rPr>
        <w:t xml:space="preserve"> starp diviem vai vairākiem tirgus dalībniekiem konkrētajā tirgū</w:t>
      </w:r>
      <w:r w:rsidR="006E7C94">
        <w:rPr>
          <w:rFonts w:asciiTheme="majorBidi" w:hAnsiTheme="majorBidi" w:cstheme="majorBidi"/>
        </w:rPr>
        <w:t xml:space="preserve">. No </w:t>
      </w:r>
      <w:r w:rsidR="00D83474">
        <w:rPr>
          <w:rFonts w:asciiTheme="majorBidi" w:hAnsiTheme="majorBidi" w:cstheme="majorBidi"/>
        </w:rPr>
        <w:t xml:space="preserve">tā </w:t>
      </w:r>
      <w:r w:rsidR="006E7C94">
        <w:rPr>
          <w:rFonts w:asciiTheme="majorBidi" w:hAnsiTheme="majorBidi" w:cstheme="majorBidi"/>
        </w:rPr>
        <w:t>var secināt, ka k</w:t>
      </w:r>
      <w:r>
        <w:rPr>
          <w:rFonts w:asciiTheme="majorBidi" w:hAnsiTheme="majorBidi" w:cstheme="majorBidi"/>
        </w:rPr>
        <w:t>onkurence nozīmē, ka tirgus dalībniekam, kas</w:t>
      </w:r>
      <w:r w:rsidR="006E7C94">
        <w:rPr>
          <w:rFonts w:asciiTheme="majorBidi" w:hAnsiTheme="majorBidi" w:cstheme="majorBidi"/>
        </w:rPr>
        <w:t>, sacenšoties ar citiem tirgus dalībniekiem,</w:t>
      </w:r>
      <w:r>
        <w:rPr>
          <w:rFonts w:asciiTheme="majorBidi" w:hAnsiTheme="majorBidi" w:cstheme="majorBidi"/>
        </w:rPr>
        <w:t xml:space="preserve"> spēj piedāvāt </w:t>
      </w:r>
      <w:r w:rsidR="00D83474">
        <w:rPr>
          <w:rFonts w:asciiTheme="majorBidi" w:hAnsiTheme="majorBidi" w:cstheme="majorBidi"/>
        </w:rPr>
        <w:t>daudzveidīgākus</w:t>
      </w:r>
      <w:r>
        <w:rPr>
          <w:rFonts w:asciiTheme="majorBidi" w:hAnsiTheme="majorBidi" w:cstheme="majorBidi"/>
        </w:rPr>
        <w:t xml:space="preserve">, kvalitatīvākus un pircēja vajadzībām piemērotākus pakalpojumus vai preces, arī var būt lielākas izredzes pārdot šos pakalpojumus un preces, ja vien arī cena pircējam ir </w:t>
      </w:r>
      <w:r w:rsidR="0044223D">
        <w:rPr>
          <w:rFonts w:asciiTheme="majorBidi" w:hAnsiTheme="majorBidi" w:cstheme="majorBidi"/>
        </w:rPr>
        <w:t>izdevīga</w:t>
      </w:r>
      <w:r>
        <w:rPr>
          <w:rFonts w:asciiTheme="majorBidi" w:hAnsiTheme="majorBidi" w:cstheme="majorBidi"/>
        </w:rPr>
        <w:t xml:space="preserve">. Arī publiskajos iepirkumos pasūtītājam nav pienākuma </w:t>
      </w:r>
      <w:r w:rsidR="009F24BC">
        <w:rPr>
          <w:rFonts w:asciiTheme="majorBidi" w:hAnsiTheme="majorBidi" w:cstheme="majorBidi"/>
        </w:rPr>
        <w:t xml:space="preserve">ignorēt savas </w:t>
      </w:r>
      <w:r>
        <w:rPr>
          <w:rFonts w:asciiTheme="majorBidi" w:hAnsiTheme="majorBidi" w:cstheme="majorBidi"/>
        </w:rPr>
        <w:t>vajadzīb</w:t>
      </w:r>
      <w:r w:rsidR="009F24BC">
        <w:rPr>
          <w:rFonts w:asciiTheme="majorBidi" w:hAnsiTheme="majorBidi" w:cstheme="majorBidi"/>
        </w:rPr>
        <w:t xml:space="preserve">as un nolaist </w:t>
      </w:r>
      <w:r>
        <w:rPr>
          <w:rFonts w:asciiTheme="majorBidi" w:hAnsiTheme="majorBidi" w:cstheme="majorBidi"/>
        </w:rPr>
        <w:t>prasību latiņu līdz visu tirgus dalībnieku vienlīdzīgu</w:t>
      </w:r>
      <w:r w:rsidR="00EA1B0D">
        <w:rPr>
          <w:rFonts w:asciiTheme="majorBidi" w:hAnsiTheme="majorBidi" w:cstheme="majorBidi"/>
        </w:rPr>
        <w:t xml:space="preserve"> </w:t>
      </w:r>
      <w:r>
        <w:rPr>
          <w:rFonts w:asciiTheme="majorBidi" w:hAnsiTheme="majorBidi" w:cstheme="majorBidi"/>
        </w:rPr>
        <w:t>iespēju līmenim</w:t>
      </w:r>
      <w:r w:rsidR="00EA1B0D">
        <w:rPr>
          <w:rFonts w:asciiTheme="majorBidi" w:hAnsiTheme="majorBidi" w:cstheme="majorBidi"/>
        </w:rPr>
        <w:t>, kāds tas ir konkrētajā brīdī</w:t>
      </w:r>
      <w:r>
        <w:rPr>
          <w:rFonts w:asciiTheme="majorBidi" w:hAnsiTheme="majorBidi" w:cstheme="majorBidi"/>
        </w:rPr>
        <w:t xml:space="preserve">. Pat ja tas ļautu </w:t>
      </w:r>
      <w:r w:rsidR="00EA1B0D">
        <w:rPr>
          <w:rFonts w:asciiTheme="majorBidi" w:hAnsiTheme="majorBidi" w:cstheme="majorBidi"/>
        </w:rPr>
        <w:t xml:space="preserve">konkrētajā </w:t>
      </w:r>
      <w:r>
        <w:rPr>
          <w:rFonts w:asciiTheme="majorBidi" w:hAnsiTheme="majorBidi" w:cstheme="majorBidi"/>
        </w:rPr>
        <w:t xml:space="preserve">iepirkumā līdzīgi </w:t>
      </w:r>
      <w:r w:rsidR="00EA1B0D">
        <w:rPr>
          <w:rFonts w:asciiTheme="majorBidi" w:hAnsiTheme="majorBidi" w:cstheme="majorBidi"/>
        </w:rPr>
        <w:t>uz uzvaru pretendēt</w:t>
      </w:r>
      <w:r>
        <w:rPr>
          <w:rFonts w:asciiTheme="majorBidi" w:hAnsiTheme="majorBidi" w:cstheme="majorBidi"/>
        </w:rPr>
        <w:t xml:space="preserve"> visiem tirgus dalībniekiem</w:t>
      </w:r>
      <w:r w:rsidR="00B5235D">
        <w:rPr>
          <w:rFonts w:asciiTheme="majorBidi" w:hAnsiTheme="majorBidi" w:cstheme="majorBidi"/>
        </w:rPr>
        <w:t xml:space="preserve"> (it kā palielināt iespējas konkurēt konkrētajā iepirkumā)</w:t>
      </w:r>
      <w:r>
        <w:rPr>
          <w:rFonts w:asciiTheme="majorBidi" w:hAnsiTheme="majorBidi" w:cstheme="majorBidi"/>
        </w:rPr>
        <w:t>, tas pašos pamatos būtu pretrunā konkurencei</w:t>
      </w:r>
      <w:r w:rsidR="006E7C94">
        <w:rPr>
          <w:rFonts w:asciiTheme="majorBidi" w:hAnsiTheme="majorBidi" w:cstheme="majorBidi"/>
        </w:rPr>
        <w:t xml:space="preserve"> jeb patiesai sacensībai ar kvalitāti un cenu</w:t>
      </w:r>
      <w:r>
        <w:rPr>
          <w:rFonts w:asciiTheme="majorBidi" w:hAnsiTheme="majorBidi" w:cstheme="majorBidi"/>
        </w:rPr>
        <w:t xml:space="preserve">. </w:t>
      </w:r>
      <w:r w:rsidR="00B5235D">
        <w:rPr>
          <w:rFonts w:asciiTheme="majorBidi" w:hAnsiTheme="majorBidi" w:cstheme="majorBidi"/>
        </w:rPr>
        <w:t xml:space="preserve">Iespēja uzvarēt konkrētā iepirkumā ikvienam tirgus dalībniekam neatkarīgi no tā piedāvātā produkta kvalitātes līmeņa neveicina konkurēšanu ar kvalitāti, tieši otrādi. </w:t>
      </w:r>
    </w:p>
    <w:p w14:paraId="0CF9D3DD" w14:textId="3C5FA372" w:rsidR="002A7F31" w:rsidRDefault="002A7F31"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Plašāku konkurenci publiskajos iepirkumos var veicināt, ļaujot tirgus dalībniekiem sadarboties (mazo un vidējo uzņēmumu plašākas iesaistīšanas nolūkos)</w:t>
      </w:r>
      <w:r w:rsidR="00B5235D">
        <w:rPr>
          <w:rFonts w:asciiTheme="majorBidi" w:hAnsiTheme="majorBidi" w:cstheme="majorBidi"/>
        </w:rPr>
        <w:t>, lai spētu sniegt pasūtītājam nepieciešamo pakalpojumu vai preces, kā arī</w:t>
      </w:r>
      <w:r>
        <w:rPr>
          <w:rFonts w:asciiTheme="majorBidi" w:hAnsiTheme="majorBidi" w:cstheme="majorBidi"/>
        </w:rPr>
        <w:t xml:space="preserve"> izvairoties no </w:t>
      </w:r>
      <w:r>
        <w:rPr>
          <w:rFonts w:asciiTheme="majorBidi" w:hAnsiTheme="majorBidi" w:cstheme="majorBidi"/>
        </w:rPr>
        <w:lastRenderedPageBreak/>
        <w:t xml:space="preserve">tādām </w:t>
      </w:r>
      <w:r w:rsidR="009F24BC">
        <w:rPr>
          <w:rFonts w:asciiTheme="majorBidi" w:hAnsiTheme="majorBidi" w:cstheme="majorBidi"/>
        </w:rPr>
        <w:t xml:space="preserve">prasībām attiecībā uz pretendentiem vai piedāvājumiem, </w:t>
      </w:r>
      <w:r>
        <w:rPr>
          <w:rFonts w:asciiTheme="majorBidi" w:hAnsiTheme="majorBidi" w:cstheme="majorBidi"/>
        </w:rPr>
        <w:t xml:space="preserve">kas ir neadekvātas, </w:t>
      </w:r>
      <w:r w:rsidR="009F24BC">
        <w:rPr>
          <w:rFonts w:asciiTheme="majorBidi" w:hAnsiTheme="majorBidi" w:cstheme="majorBidi"/>
        </w:rPr>
        <w:t xml:space="preserve">nesamērīgas, </w:t>
      </w:r>
      <w:r>
        <w:rPr>
          <w:rFonts w:asciiTheme="majorBidi" w:hAnsiTheme="majorBidi" w:cstheme="majorBidi"/>
        </w:rPr>
        <w:t xml:space="preserve">nelietderīgas un nemaz nesasniedz pasūtītāja mērķi iegādāties noteiktas kvalitātes un rakstura preces vai pakalpojumus, vienīgi izslēdz daļu potenciālo pretendentu. </w:t>
      </w:r>
      <w:r w:rsidR="00EA1B0D">
        <w:rPr>
          <w:rFonts w:asciiTheme="majorBidi" w:hAnsiTheme="majorBidi" w:cstheme="majorBidi"/>
        </w:rPr>
        <w:t>Savukārt tirgus dalībniekiem ilgtermiņā ir iespēja attīstīt sniegto pakalpojumu kvalitāti un ar to konkurēt, tai skaitā publiskajos iepirkumos.</w:t>
      </w:r>
    </w:p>
    <w:p w14:paraId="407C38B1" w14:textId="77777777" w:rsidR="009F24BC" w:rsidRDefault="009F24BC" w:rsidP="004F7E80">
      <w:pPr>
        <w:autoSpaceDE w:val="0"/>
        <w:autoSpaceDN w:val="0"/>
        <w:adjustRightInd w:val="0"/>
        <w:spacing w:line="276" w:lineRule="auto"/>
        <w:ind w:firstLine="720"/>
        <w:jc w:val="both"/>
        <w:rPr>
          <w:rFonts w:asciiTheme="majorBidi" w:hAnsiTheme="majorBidi" w:cstheme="majorBidi"/>
        </w:rPr>
      </w:pPr>
    </w:p>
    <w:p w14:paraId="062050E1" w14:textId="53D24083" w:rsidR="00A17213" w:rsidRDefault="009F24BC"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w:t>
      </w:r>
      <w:r w:rsidR="00F112E0">
        <w:rPr>
          <w:rFonts w:asciiTheme="majorBidi" w:hAnsiTheme="majorBidi" w:cstheme="majorBidi"/>
        </w:rPr>
        <w:t>1</w:t>
      </w:r>
      <w:r w:rsidR="007A6368">
        <w:rPr>
          <w:rFonts w:asciiTheme="majorBidi" w:hAnsiTheme="majorBidi" w:cstheme="majorBidi"/>
        </w:rPr>
        <w:t>3</w:t>
      </w:r>
      <w:r>
        <w:rPr>
          <w:rFonts w:asciiTheme="majorBidi" w:hAnsiTheme="majorBidi" w:cstheme="majorBidi"/>
        </w:rPr>
        <w:t>]</w:t>
      </w:r>
      <w:r w:rsidR="00910661">
        <w:rPr>
          <w:rFonts w:asciiTheme="majorBidi" w:hAnsiTheme="majorBidi" w:cstheme="majorBidi"/>
        </w:rPr>
        <w:t> </w:t>
      </w:r>
      <w:r w:rsidR="00E07371">
        <w:rPr>
          <w:rFonts w:asciiTheme="majorBidi" w:hAnsiTheme="majorBidi" w:cstheme="majorBidi"/>
        </w:rPr>
        <w:t>Mobilo sakaru</w:t>
      </w:r>
      <w:r>
        <w:rPr>
          <w:rFonts w:asciiTheme="majorBidi" w:hAnsiTheme="majorBidi" w:cstheme="majorBidi"/>
        </w:rPr>
        <w:t xml:space="preserve"> tirgū Latvijā </w:t>
      </w:r>
      <w:r w:rsidR="00AD7824">
        <w:rPr>
          <w:rFonts w:asciiTheme="majorBidi" w:hAnsiTheme="majorBidi" w:cstheme="majorBidi"/>
        </w:rPr>
        <w:t xml:space="preserve">ir </w:t>
      </w:r>
      <w:r>
        <w:rPr>
          <w:rFonts w:asciiTheme="majorBidi" w:hAnsiTheme="majorBidi" w:cstheme="majorBidi"/>
        </w:rPr>
        <w:t xml:space="preserve">tikai daži dalībnieki, turklāt to darbība </w:t>
      </w:r>
      <w:r w:rsidR="00AD7824">
        <w:rPr>
          <w:rFonts w:asciiTheme="majorBidi" w:hAnsiTheme="majorBidi" w:cstheme="majorBidi"/>
        </w:rPr>
        <w:t xml:space="preserve">– </w:t>
      </w:r>
      <w:r w:rsidR="004C0429">
        <w:rPr>
          <w:rFonts w:asciiTheme="majorBidi" w:hAnsiTheme="majorBidi" w:cstheme="majorBidi"/>
        </w:rPr>
        <w:t>gan cenas, gan</w:t>
      </w:r>
      <w:r w:rsidR="00AD7824">
        <w:rPr>
          <w:rFonts w:asciiTheme="majorBidi" w:hAnsiTheme="majorBidi" w:cstheme="majorBidi"/>
        </w:rPr>
        <w:t xml:space="preserve"> pakalpojumu kvalitāte – </w:t>
      </w:r>
      <w:r>
        <w:rPr>
          <w:rFonts w:asciiTheme="majorBidi" w:hAnsiTheme="majorBidi" w:cstheme="majorBidi"/>
        </w:rPr>
        <w:t xml:space="preserve">ir ļoti caurredzama, jo </w:t>
      </w:r>
      <w:r w:rsidR="00D83474">
        <w:rPr>
          <w:rFonts w:asciiTheme="majorBidi" w:hAnsiTheme="majorBidi" w:cstheme="majorBidi"/>
        </w:rPr>
        <w:t>normatīvie akti paredz</w:t>
      </w:r>
      <w:r>
        <w:rPr>
          <w:rFonts w:asciiTheme="majorBidi" w:hAnsiTheme="majorBidi" w:cstheme="majorBidi"/>
        </w:rPr>
        <w:t xml:space="preserve"> publiskot </w:t>
      </w:r>
      <w:r w:rsidR="003A4D77">
        <w:rPr>
          <w:rFonts w:asciiTheme="majorBidi" w:hAnsiTheme="majorBidi" w:cstheme="majorBidi"/>
        </w:rPr>
        <w:t xml:space="preserve">daudz </w:t>
      </w:r>
      <w:r w:rsidR="00D83474">
        <w:rPr>
          <w:rFonts w:asciiTheme="majorBidi" w:hAnsiTheme="majorBidi" w:cstheme="majorBidi"/>
        </w:rPr>
        <w:t xml:space="preserve">tirgus </w:t>
      </w:r>
      <w:r w:rsidR="003A4D77">
        <w:rPr>
          <w:rFonts w:asciiTheme="majorBidi" w:hAnsiTheme="majorBidi" w:cstheme="majorBidi"/>
        </w:rPr>
        <w:t>informācijas</w:t>
      </w:r>
      <w:r>
        <w:rPr>
          <w:rFonts w:asciiTheme="majorBidi" w:hAnsiTheme="majorBidi" w:cstheme="majorBidi"/>
        </w:rPr>
        <w:t xml:space="preserve">. </w:t>
      </w:r>
    </w:p>
    <w:p w14:paraId="7E71CCA3" w14:textId="6EC491F5" w:rsidR="00A17213" w:rsidRDefault="00F649D0"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Tā Elektronisko sakaru likuma, kas bija spēkā šī publiskā iepirkuma izsludināšanas laikā, 8.panta pirmās daļas 7.punkts paredzēja </w:t>
      </w:r>
      <w:r w:rsidR="00E07371">
        <w:rPr>
          <w:rFonts w:asciiTheme="majorBidi" w:hAnsiTheme="majorBidi" w:cstheme="majorBidi"/>
        </w:rPr>
        <w:t xml:space="preserve">Regulatoram pienākumu </w:t>
      </w:r>
      <w:r w:rsidR="00E07371" w:rsidRPr="00E07371">
        <w:rPr>
          <w:rFonts w:asciiTheme="majorBidi" w:hAnsiTheme="majorBidi" w:cstheme="majorBidi"/>
        </w:rPr>
        <w:t>apkopo</w:t>
      </w:r>
      <w:r w:rsidR="00E07371">
        <w:rPr>
          <w:rFonts w:asciiTheme="majorBidi" w:hAnsiTheme="majorBidi" w:cstheme="majorBidi"/>
        </w:rPr>
        <w:t>t</w:t>
      </w:r>
      <w:r w:rsidR="00E07371" w:rsidRPr="00E07371">
        <w:rPr>
          <w:rFonts w:asciiTheme="majorBidi" w:hAnsiTheme="majorBidi" w:cstheme="majorBidi"/>
        </w:rPr>
        <w:t xml:space="preserve"> un publisko</w:t>
      </w:r>
      <w:r w:rsidR="00E07371">
        <w:rPr>
          <w:rFonts w:asciiTheme="majorBidi" w:hAnsiTheme="majorBidi" w:cstheme="majorBidi"/>
        </w:rPr>
        <w:t>t</w:t>
      </w:r>
      <w:r w:rsidR="00E07371" w:rsidRPr="00E07371">
        <w:rPr>
          <w:rFonts w:asciiTheme="majorBidi" w:hAnsiTheme="majorBidi" w:cstheme="majorBidi"/>
        </w:rPr>
        <w:t xml:space="preserve"> informāciju par elektronisko sakaru nozari</w:t>
      </w:r>
      <w:r w:rsidR="005661F5">
        <w:rPr>
          <w:rFonts w:asciiTheme="majorBidi" w:hAnsiTheme="majorBidi" w:cstheme="majorBidi"/>
        </w:rPr>
        <w:t>;</w:t>
      </w:r>
      <w:r w:rsidR="00E07371">
        <w:rPr>
          <w:rFonts w:asciiTheme="majorBidi" w:hAnsiTheme="majorBidi" w:cstheme="majorBidi"/>
        </w:rPr>
        <w:t xml:space="preserve"> </w:t>
      </w:r>
      <w:r w:rsidR="004C0429">
        <w:rPr>
          <w:rFonts w:asciiTheme="majorBidi" w:hAnsiTheme="majorBidi" w:cstheme="majorBidi"/>
        </w:rPr>
        <w:t xml:space="preserve">9.panta pirmās daļas 9.punkts paredzēja Regulatoram tiesības </w:t>
      </w:r>
      <w:r w:rsidR="004C0429" w:rsidRPr="004C0429">
        <w:rPr>
          <w:rFonts w:asciiTheme="majorBidi" w:hAnsiTheme="majorBidi" w:cstheme="majorBidi"/>
        </w:rPr>
        <w:t>uzlikt elektronisko sakaru komersantam pienākumu publiskot pārskatāmu, salīdzināmu, atbilstīgu un atjauninātu informāciju skaidrā, vispusīgā, viegli pieejamā un viegli izlasāmā veidā par tarifiem un soda sankcijām</w:t>
      </w:r>
      <w:r w:rsidR="004C0429">
        <w:rPr>
          <w:rFonts w:asciiTheme="majorBidi" w:hAnsiTheme="majorBidi" w:cstheme="majorBidi"/>
        </w:rPr>
        <w:t xml:space="preserve">; </w:t>
      </w:r>
      <w:r w:rsidR="005661F5">
        <w:rPr>
          <w:rFonts w:asciiTheme="majorBidi" w:hAnsiTheme="majorBidi" w:cstheme="majorBidi"/>
        </w:rPr>
        <w:t xml:space="preserve">59.pants konkrētāk paredzēja Regulatoram tiesības un pienākumus attiecībā uz kvalitātes mērījumiem un kvalitātes pārskatu publiskošanu. </w:t>
      </w:r>
    </w:p>
    <w:p w14:paraId="045505FB" w14:textId="66579A4B" w:rsidR="00A17213" w:rsidRDefault="003B5BF4"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Detalizētāks </w:t>
      </w:r>
      <w:r w:rsidR="00A17213">
        <w:rPr>
          <w:rFonts w:asciiTheme="majorBidi" w:hAnsiTheme="majorBidi" w:cstheme="majorBidi"/>
        </w:rPr>
        <w:t>regulējums bija ietverts Regulatora 2017.gada 30.novembra lēmumā Nr. 1/31 „</w:t>
      </w:r>
      <w:r w:rsidR="00A17213" w:rsidRPr="00A17213">
        <w:rPr>
          <w:rFonts w:asciiTheme="majorBidi" w:hAnsiTheme="majorBidi" w:cstheme="majorBidi"/>
        </w:rPr>
        <w:t>Elektronisko sakaru pakalpojumu kvalitātes prasību, kvalitātes pārskatu iesniegšanas un publiskošanas noteikumi</w:t>
      </w:r>
      <w:r w:rsidR="00A17213">
        <w:rPr>
          <w:rFonts w:asciiTheme="majorBidi" w:hAnsiTheme="majorBidi" w:cstheme="majorBidi"/>
        </w:rPr>
        <w:t xml:space="preserve">”. </w:t>
      </w:r>
      <w:r w:rsidR="00E2615B">
        <w:rPr>
          <w:rFonts w:asciiTheme="majorBidi" w:hAnsiTheme="majorBidi" w:cstheme="majorBidi"/>
        </w:rPr>
        <w:t xml:space="preserve">Kā piemēru ņemot interneta pakalpojumu kvalitātes mērīšanu, redzams, ka </w:t>
      </w:r>
      <w:r w:rsidR="00B007BB">
        <w:rPr>
          <w:rFonts w:asciiTheme="majorBidi" w:hAnsiTheme="majorBidi" w:cstheme="majorBidi"/>
        </w:rPr>
        <w:t xml:space="preserve">šo noteikumu 20.punktā bija uzskaitīti interneta pakalpojuma kvalitātes parametri, kuros vispār tiek veikti mērījumi: </w:t>
      </w:r>
    </w:p>
    <w:p w14:paraId="6E17C042" w14:textId="77777777" w:rsidR="00B007BB" w:rsidRPr="00B007BB" w:rsidRDefault="00B007BB" w:rsidP="004F7E80">
      <w:pPr>
        <w:autoSpaceDE w:val="0"/>
        <w:autoSpaceDN w:val="0"/>
        <w:adjustRightInd w:val="0"/>
        <w:spacing w:line="276" w:lineRule="auto"/>
        <w:ind w:firstLine="720"/>
        <w:rPr>
          <w:rFonts w:asciiTheme="majorBidi" w:hAnsiTheme="majorBidi" w:cstheme="majorBidi"/>
        </w:rPr>
      </w:pPr>
      <w:r w:rsidRPr="00B007BB">
        <w:rPr>
          <w:rFonts w:asciiTheme="majorBidi" w:hAnsiTheme="majorBidi" w:cstheme="majorBidi"/>
        </w:rPr>
        <w:t>20.1. ierīkošanas laiks dienās;</w:t>
      </w:r>
    </w:p>
    <w:p w14:paraId="0EE4EA04" w14:textId="77777777" w:rsidR="00B007BB" w:rsidRPr="00B007BB" w:rsidRDefault="00B007BB" w:rsidP="004F7E80">
      <w:pPr>
        <w:autoSpaceDE w:val="0"/>
        <w:autoSpaceDN w:val="0"/>
        <w:adjustRightInd w:val="0"/>
        <w:spacing w:line="276" w:lineRule="auto"/>
        <w:ind w:firstLine="720"/>
        <w:rPr>
          <w:rFonts w:asciiTheme="majorBidi" w:hAnsiTheme="majorBidi" w:cstheme="majorBidi"/>
        </w:rPr>
      </w:pPr>
      <w:r w:rsidRPr="00B007BB">
        <w:rPr>
          <w:rFonts w:asciiTheme="majorBidi" w:hAnsiTheme="majorBidi" w:cstheme="majorBidi"/>
        </w:rPr>
        <w:t>20.2. bojājumu skaits;</w:t>
      </w:r>
    </w:p>
    <w:p w14:paraId="32FB58EA" w14:textId="77777777" w:rsidR="00B007BB" w:rsidRPr="00B007BB" w:rsidRDefault="00B007BB" w:rsidP="004F7E80">
      <w:pPr>
        <w:autoSpaceDE w:val="0"/>
        <w:autoSpaceDN w:val="0"/>
        <w:adjustRightInd w:val="0"/>
        <w:spacing w:line="276" w:lineRule="auto"/>
        <w:ind w:firstLine="720"/>
        <w:rPr>
          <w:rFonts w:asciiTheme="majorBidi" w:hAnsiTheme="majorBidi" w:cstheme="majorBidi"/>
        </w:rPr>
      </w:pPr>
      <w:r w:rsidRPr="00B007BB">
        <w:rPr>
          <w:rFonts w:asciiTheme="majorBidi" w:hAnsiTheme="majorBidi" w:cstheme="majorBidi"/>
        </w:rPr>
        <w:t>20.3. bojājumu novēršanas laiks stundās;</w:t>
      </w:r>
    </w:p>
    <w:p w14:paraId="57E0ADA8" w14:textId="77777777" w:rsidR="00B007BB" w:rsidRPr="00B007BB" w:rsidRDefault="00B007BB" w:rsidP="004F7E80">
      <w:pPr>
        <w:autoSpaceDE w:val="0"/>
        <w:autoSpaceDN w:val="0"/>
        <w:adjustRightInd w:val="0"/>
        <w:spacing w:line="276" w:lineRule="auto"/>
        <w:ind w:firstLine="720"/>
        <w:rPr>
          <w:rFonts w:asciiTheme="majorBidi" w:hAnsiTheme="majorBidi" w:cstheme="majorBidi"/>
        </w:rPr>
      </w:pPr>
      <w:r w:rsidRPr="00B007BB">
        <w:rPr>
          <w:rFonts w:asciiTheme="majorBidi" w:hAnsiTheme="majorBidi" w:cstheme="majorBidi"/>
        </w:rPr>
        <w:t>20.4. augšupielādes un lejupielādes ātrums megabiti sekundē;</w:t>
      </w:r>
    </w:p>
    <w:p w14:paraId="129B164D" w14:textId="77777777" w:rsidR="00B007BB" w:rsidRPr="00B007BB" w:rsidRDefault="00B007BB" w:rsidP="004F7E80">
      <w:pPr>
        <w:autoSpaceDE w:val="0"/>
        <w:autoSpaceDN w:val="0"/>
        <w:adjustRightInd w:val="0"/>
        <w:spacing w:line="276" w:lineRule="auto"/>
        <w:ind w:firstLine="720"/>
        <w:rPr>
          <w:rFonts w:asciiTheme="majorBidi" w:hAnsiTheme="majorBidi" w:cstheme="majorBidi"/>
        </w:rPr>
      </w:pPr>
      <w:r w:rsidRPr="00B007BB">
        <w:rPr>
          <w:rFonts w:asciiTheme="majorBidi" w:hAnsiTheme="majorBidi" w:cstheme="majorBidi"/>
        </w:rPr>
        <w:t>20.5. latentums milisekundēs;</w:t>
      </w:r>
    </w:p>
    <w:p w14:paraId="148313D8" w14:textId="77777777" w:rsidR="00B007BB" w:rsidRPr="00B007BB" w:rsidRDefault="00B007BB" w:rsidP="004F7E80">
      <w:pPr>
        <w:autoSpaceDE w:val="0"/>
        <w:autoSpaceDN w:val="0"/>
        <w:adjustRightInd w:val="0"/>
        <w:spacing w:line="276" w:lineRule="auto"/>
        <w:ind w:firstLine="720"/>
        <w:rPr>
          <w:rFonts w:asciiTheme="majorBidi" w:hAnsiTheme="majorBidi" w:cstheme="majorBidi"/>
        </w:rPr>
      </w:pPr>
      <w:r w:rsidRPr="00B007BB">
        <w:rPr>
          <w:rFonts w:asciiTheme="majorBidi" w:hAnsiTheme="majorBidi" w:cstheme="majorBidi"/>
        </w:rPr>
        <w:t>20.6. trīce milisekundēs;</w:t>
      </w:r>
    </w:p>
    <w:p w14:paraId="39829C84" w14:textId="77777777" w:rsidR="00B007BB" w:rsidRPr="00B007BB" w:rsidRDefault="00B007BB" w:rsidP="004F7E80">
      <w:pPr>
        <w:autoSpaceDE w:val="0"/>
        <w:autoSpaceDN w:val="0"/>
        <w:adjustRightInd w:val="0"/>
        <w:spacing w:line="276" w:lineRule="auto"/>
        <w:ind w:firstLine="720"/>
        <w:rPr>
          <w:rFonts w:asciiTheme="majorBidi" w:hAnsiTheme="majorBidi" w:cstheme="majorBidi"/>
        </w:rPr>
      </w:pPr>
      <w:r w:rsidRPr="00B007BB">
        <w:rPr>
          <w:rFonts w:asciiTheme="majorBidi" w:hAnsiTheme="majorBidi" w:cstheme="majorBidi"/>
        </w:rPr>
        <w:t>20.7. pakešu zuduma koeficients procentos;</w:t>
      </w:r>
    </w:p>
    <w:p w14:paraId="2A37102D" w14:textId="458A8318" w:rsidR="00B007BB" w:rsidRDefault="00B007BB" w:rsidP="004F7E80">
      <w:pPr>
        <w:autoSpaceDE w:val="0"/>
        <w:autoSpaceDN w:val="0"/>
        <w:adjustRightInd w:val="0"/>
        <w:spacing w:line="276" w:lineRule="auto"/>
        <w:ind w:firstLine="720"/>
        <w:jc w:val="both"/>
        <w:rPr>
          <w:rFonts w:asciiTheme="majorBidi" w:hAnsiTheme="majorBidi" w:cstheme="majorBidi"/>
        </w:rPr>
      </w:pPr>
      <w:r w:rsidRPr="00B007BB">
        <w:rPr>
          <w:rFonts w:asciiTheme="majorBidi" w:hAnsiTheme="majorBidi" w:cstheme="majorBidi"/>
        </w:rPr>
        <w:t>20.8. pakalpojuma pieejamība procentos.</w:t>
      </w:r>
    </w:p>
    <w:p w14:paraId="77B6A4B1" w14:textId="7BD55FA1" w:rsidR="00B007BB" w:rsidRDefault="00B007BB"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Turklāt 20.4.–20.7.apakšpunktā minētos mērījumus lielākajiem pakalpojumu sniedzējiem (ar noteiktu klientu skaitu) bija jāveic pašam Regulatoram.</w:t>
      </w:r>
      <w:r w:rsidR="00254874">
        <w:rPr>
          <w:rFonts w:asciiTheme="majorBidi" w:hAnsiTheme="majorBidi" w:cstheme="majorBidi"/>
        </w:rPr>
        <w:t xml:space="preserve"> Senāts no šo mērījumu uzskaitījuma kopsakarā ar noteikumu 2.punktā sniegto aprakstu par parametru būtību, </w:t>
      </w:r>
      <w:r w:rsidR="0044223D">
        <w:rPr>
          <w:rFonts w:asciiTheme="majorBidi" w:hAnsiTheme="majorBidi" w:cstheme="majorBidi"/>
        </w:rPr>
        <w:t>kā arī</w:t>
      </w:r>
      <w:r w:rsidR="00254874">
        <w:rPr>
          <w:rFonts w:asciiTheme="majorBidi" w:hAnsiTheme="majorBidi" w:cstheme="majorBidi"/>
        </w:rPr>
        <w:t xml:space="preserve"> </w:t>
      </w:r>
      <w:r w:rsidR="00B6708D">
        <w:rPr>
          <w:rFonts w:asciiTheme="majorBidi" w:hAnsiTheme="majorBidi" w:cstheme="majorBidi"/>
        </w:rPr>
        <w:t xml:space="preserve">no </w:t>
      </w:r>
      <w:r w:rsidR="00254874">
        <w:rPr>
          <w:rFonts w:asciiTheme="majorBidi" w:hAnsiTheme="majorBidi" w:cstheme="majorBidi"/>
        </w:rPr>
        <w:t>vispār</w:t>
      </w:r>
      <w:r w:rsidR="0044223D">
        <w:rPr>
          <w:rFonts w:asciiTheme="majorBidi" w:hAnsiTheme="majorBidi" w:cstheme="majorBidi"/>
        </w:rPr>
        <w:t>pieejamas informācijas</w:t>
      </w:r>
      <w:r w:rsidR="00254874">
        <w:rPr>
          <w:rFonts w:asciiTheme="majorBidi" w:hAnsiTheme="majorBidi" w:cstheme="majorBidi"/>
        </w:rPr>
        <w:t xml:space="preserve"> par interneta pakalpojuma kvalitāti, secina, ka tie arī ir interneta pakalpojuma tehnisko kvalitāti būtiskāk raksturojošie parametri.</w:t>
      </w:r>
    </w:p>
    <w:p w14:paraId="251A3976" w14:textId="7574CE7C" w:rsidR="00E2615B" w:rsidRDefault="00E2615B"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Tas nozīmē, ka ir dabiski sagaidīt, ka arī publiskajos iepirkumos pasūtītāji </w:t>
      </w:r>
      <w:r w:rsidR="00A54F58">
        <w:rPr>
          <w:rFonts w:asciiTheme="majorBidi" w:hAnsiTheme="majorBidi" w:cstheme="majorBidi"/>
        </w:rPr>
        <w:t>šo</w:t>
      </w:r>
      <w:r w:rsidR="003B5BF4">
        <w:rPr>
          <w:rFonts w:asciiTheme="majorBidi" w:hAnsiTheme="majorBidi" w:cstheme="majorBidi"/>
        </w:rPr>
        <w:t>s</w:t>
      </w:r>
      <w:r w:rsidR="00A54F58">
        <w:rPr>
          <w:rFonts w:asciiTheme="majorBidi" w:hAnsiTheme="majorBidi" w:cstheme="majorBidi"/>
        </w:rPr>
        <w:t xml:space="preserve"> kvalitātes parametru</w:t>
      </w:r>
      <w:r w:rsidR="003B5BF4">
        <w:rPr>
          <w:rFonts w:asciiTheme="majorBidi" w:hAnsiTheme="majorBidi" w:cstheme="majorBidi"/>
        </w:rPr>
        <w:t>s</w:t>
      </w:r>
      <w:r>
        <w:rPr>
          <w:rFonts w:asciiTheme="majorBidi" w:hAnsiTheme="majorBidi" w:cstheme="majorBidi"/>
        </w:rPr>
        <w:t xml:space="preserve"> varētu izvēlēties kā kritērijus, pēc kuriem izvēlēties kvalitatīvāko interneta pakalpojumu. Senāts neredz pamatu izslēgt būtiskākos – un tieši tādēļ uzraudzītos un publiski zināmos – pakalpojuma kvalitāti raksturojošos parametrus no vērtēšanas tikai tādēļ, lai izslēgtu iespēju, ka pasūtītājam iepriekš ir informācija par mērījumiem. Tas novestu pie tā, ka pasūtītājs tiek spiests izvēlēties pakalpojumu pēc nebūtiskiem kvalitātes parametriem, vai arī vispār izslēgt vērtēšanu pēc pakalpojuma kvalitātes, un </w:t>
      </w:r>
      <w:r w:rsidR="00EA5F7D">
        <w:rPr>
          <w:rFonts w:asciiTheme="majorBidi" w:hAnsiTheme="majorBidi" w:cstheme="majorBidi"/>
        </w:rPr>
        <w:t xml:space="preserve">tas </w:t>
      </w:r>
      <w:r>
        <w:rPr>
          <w:rFonts w:asciiTheme="majorBidi" w:hAnsiTheme="majorBidi" w:cstheme="majorBidi"/>
        </w:rPr>
        <w:t xml:space="preserve">rezultātā kropļotu konkurenci tirgū. Pircējs </w:t>
      </w:r>
      <w:r w:rsidR="00EA5F7D">
        <w:rPr>
          <w:rFonts w:asciiTheme="majorBidi" w:hAnsiTheme="majorBidi" w:cstheme="majorBidi"/>
        </w:rPr>
        <w:t>– un ta</w:t>
      </w:r>
      <w:r w:rsidR="0081057F">
        <w:rPr>
          <w:rFonts w:asciiTheme="majorBidi" w:hAnsiTheme="majorBidi" w:cstheme="majorBidi"/>
        </w:rPr>
        <w:t>m būtu jā</w:t>
      </w:r>
      <w:r w:rsidR="00EA5F7D">
        <w:rPr>
          <w:rFonts w:asciiTheme="majorBidi" w:hAnsiTheme="majorBidi" w:cstheme="majorBidi"/>
        </w:rPr>
        <w:t xml:space="preserve">attiecas arī uz publiskajiem iepircējiem – </w:t>
      </w:r>
      <w:r>
        <w:rPr>
          <w:rFonts w:asciiTheme="majorBidi" w:hAnsiTheme="majorBidi" w:cstheme="majorBidi"/>
        </w:rPr>
        <w:t xml:space="preserve">pakalpojumus </w:t>
      </w:r>
      <w:r w:rsidR="00B6708D">
        <w:rPr>
          <w:rFonts w:asciiTheme="majorBidi" w:hAnsiTheme="majorBidi" w:cstheme="majorBidi"/>
        </w:rPr>
        <w:t xml:space="preserve">dabiski </w:t>
      </w:r>
      <w:r>
        <w:rPr>
          <w:rFonts w:asciiTheme="majorBidi" w:hAnsiTheme="majorBidi" w:cstheme="majorBidi"/>
        </w:rPr>
        <w:t xml:space="preserve">izvēlas tieši pēc būtiskākajiem kvalitātes parametriem </w:t>
      </w:r>
      <w:r w:rsidR="0044223D">
        <w:rPr>
          <w:rFonts w:asciiTheme="majorBidi" w:hAnsiTheme="majorBidi" w:cstheme="majorBidi"/>
        </w:rPr>
        <w:t>sasaistē ar</w:t>
      </w:r>
      <w:r>
        <w:rPr>
          <w:rFonts w:asciiTheme="majorBidi" w:hAnsiTheme="majorBidi" w:cstheme="majorBidi"/>
        </w:rPr>
        <w:t xml:space="preserve"> cen</w:t>
      </w:r>
      <w:r w:rsidR="0044223D">
        <w:rPr>
          <w:rFonts w:asciiTheme="majorBidi" w:hAnsiTheme="majorBidi" w:cstheme="majorBidi"/>
        </w:rPr>
        <w:t>u</w:t>
      </w:r>
      <w:r w:rsidR="00EA5F7D">
        <w:rPr>
          <w:rFonts w:asciiTheme="majorBidi" w:hAnsiTheme="majorBidi" w:cstheme="majorBidi"/>
        </w:rPr>
        <w:t>,</w:t>
      </w:r>
      <w:r>
        <w:rPr>
          <w:rFonts w:asciiTheme="majorBidi" w:hAnsiTheme="majorBidi" w:cstheme="majorBidi"/>
        </w:rPr>
        <w:t xml:space="preserve"> un tādēļ arī konkurences spiediena rezultātā tirgus dalībnieki cenšas tos uzlabot.</w:t>
      </w:r>
      <w:r w:rsidR="00B5235D">
        <w:rPr>
          <w:rFonts w:asciiTheme="majorBidi" w:hAnsiTheme="majorBidi" w:cstheme="majorBidi"/>
        </w:rPr>
        <w:t xml:space="preserve"> </w:t>
      </w:r>
      <w:r w:rsidR="00833A76">
        <w:rPr>
          <w:rFonts w:asciiTheme="majorBidi" w:hAnsiTheme="majorBidi" w:cstheme="majorBidi"/>
        </w:rPr>
        <w:t xml:space="preserve">Līdz ar to Senāts nepiešķir nozīmi pieteicējas </w:t>
      </w:r>
      <w:r w:rsidR="00833A76">
        <w:rPr>
          <w:rFonts w:asciiTheme="majorBidi" w:hAnsiTheme="majorBidi" w:cstheme="majorBidi"/>
        </w:rPr>
        <w:lastRenderedPageBreak/>
        <w:t xml:space="preserve">iesniegtajam </w:t>
      </w:r>
      <w:r w:rsidR="00833A76" w:rsidRPr="00833A76">
        <w:rPr>
          <w:rFonts w:asciiTheme="majorBidi" w:hAnsiTheme="majorBidi" w:cstheme="majorBidi"/>
        </w:rPr>
        <w:t>AS</w:t>
      </w:r>
      <w:r w:rsidR="00833A76">
        <w:rPr>
          <w:rFonts w:asciiTheme="majorBidi" w:hAnsiTheme="majorBidi" w:cstheme="majorBidi"/>
        </w:rPr>
        <w:t> </w:t>
      </w:r>
      <w:r w:rsidR="00833A76" w:rsidRPr="00833A76">
        <w:rPr>
          <w:rFonts w:asciiTheme="majorBidi" w:hAnsiTheme="majorBidi" w:cstheme="majorBidi"/>
        </w:rPr>
        <w:t>„KPMG</w:t>
      </w:r>
      <w:r w:rsidR="00833A76">
        <w:rPr>
          <w:rFonts w:asciiTheme="majorBidi" w:hAnsiTheme="majorBidi" w:cstheme="majorBidi"/>
        </w:rPr>
        <w:t> </w:t>
      </w:r>
      <w:r w:rsidR="00833A76" w:rsidRPr="00833A76">
        <w:rPr>
          <w:rFonts w:asciiTheme="majorBidi" w:hAnsiTheme="majorBidi" w:cstheme="majorBidi"/>
        </w:rPr>
        <w:t>Baltics” 2020.gada 11.marta „Pētījum</w:t>
      </w:r>
      <w:r w:rsidR="00833A76">
        <w:rPr>
          <w:rFonts w:asciiTheme="majorBidi" w:hAnsiTheme="majorBidi" w:cstheme="majorBidi"/>
        </w:rPr>
        <w:t>am</w:t>
      </w:r>
      <w:r w:rsidR="00833A76" w:rsidRPr="00833A76">
        <w:rPr>
          <w:rFonts w:asciiTheme="majorBidi" w:hAnsiTheme="majorBidi" w:cstheme="majorBidi"/>
        </w:rPr>
        <w:t xml:space="preserve"> par publiskajiem iepirkumiem elektronisko sakaru pakalpojumu nodrošināšanai valsts pārvaldes sektorā”</w:t>
      </w:r>
      <w:r w:rsidR="00833A76">
        <w:rPr>
          <w:rFonts w:asciiTheme="majorBidi" w:hAnsiTheme="majorBidi" w:cstheme="majorBidi"/>
        </w:rPr>
        <w:t xml:space="preserve">, no kura pieteicēja uzsver secinājumu, ka </w:t>
      </w:r>
      <w:r w:rsidR="00833A76" w:rsidRPr="00833A76">
        <w:rPr>
          <w:rFonts w:asciiTheme="majorBidi" w:hAnsiTheme="majorBidi" w:cstheme="majorBidi"/>
        </w:rPr>
        <w:t>iepirkumā konkurence var pastāvēt tad, ja lielāko daļu no vērtējuma veido kritēriji, par kuriem nav pieejama informācija.</w:t>
      </w:r>
    </w:p>
    <w:p w14:paraId="2D31A9A8" w14:textId="77777777" w:rsidR="00833A76" w:rsidRDefault="00833A76" w:rsidP="004F7E80">
      <w:pPr>
        <w:autoSpaceDE w:val="0"/>
        <w:autoSpaceDN w:val="0"/>
        <w:adjustRightInd w:val="0"/>
        <w:spacing w:line="276" w:lineRule="auto"/>
        <w:ind w:firstLine="720"/>
        <w:jc w:val="both"/>
        <w:rPr>
          <w:rFonts w:asciiTheme="majorBidi" w:hAnsiTheme="majorBidi" w:cstheme="majorBidi"/>
        </w:rPr>
      </w:pPr>
    </w:p>
    <w:p w14:paraId="7CA05989" w14:textId="14BC1764" w:rsidR="00E2615B" w:rsidRDefault="00E208AA"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w:t>
      </w:r>
      <w:r w:rsidR="00F112E0">
        <w:rPr>
          <w:rFonts w:asciiTheme="majorBidi" w:hAnsiTheme="majorBidi" w:cstheme="majorBidi"/>
        </w:rPr>
        <w:t>1</w:t>
      </w:r>
      <w:r w:rsidR="007A6368">
        <w:rPr>
          <w:rFonts w:asciiTheme="majorBidi" w:hAnsiTheme="majorBidi" w:cstheme="majorBidi"/>
        </w:rPr>
        <w:t>4</w:t>
      </w:r>
      <w:r>
        <w:rPr>
          <w:rFonts w:asciiTheme="majorBidi" w:hAnsiTheme="majorBidi" w:cstheme="majorBidi"/>
        </w:rPr>
        <w:t>]</w:t>
      </w:r>
      <w:r w:rsidR="00910661">
        <w:rPr>
          <w:rFonts w:asciiTheme="majorBidi" w:hAnsiTheme="majorBidi" w:cstheme="majorBidi"/>
        </w:rPr>
        <w:t> </w:t>
      </w:r>
      <w:r>
        <w:rPr>
          <w:rFonts w:asciiTheme="majorBidi" w:hAnsiTheme="majorBidi" w:cstheme="majorBidi"/>
        </w:rPr>
        <w:t xml:space="preserve">Līdz ar to par </w:t>
      </w:r>
      <w:r w:rsidR="00833A76" w:rsidRPr="00833A76">
        <w:rPr>
          <w:rFonts w:asciiTheme="majorBidi" w:hAnsiTheme="majorBidi" w:cstheme="majorBidi"/>
          <w:i/>
          <w:iCs/>
        </w:rPr>
        <w:t>a priori</w:t>
      </w:r>
      <w:r w:rsidR="00833A76">
        <w:rPr>
          <w:rFonts w:asciiTheme="majorBidi" w:hAnsiTheme="majorBidi" w:cstheme="majorBidi"/>
        </w:rPr>
        <w:t xml:space="preserve"> </w:t>
      </w:r>
      <w:r>
        <w:rPr>
          <w:rFonts w:asciiTheme="majorBidi" w:hAnsiTheme="majorBidi" w:cstheme="majorBidi"/>
        </w:rPr>
        <w:t xml:space="preserve">favorītismu nevar uzskatīt kādu kvalitātes kritēriju noteikšanu piedāvājuma vērtēšanai tikai tāpēc, ka ne visi tirgus dalībnieki var piedāvāt vienlīdzīgu kvalitāti šajos kritērijos, vai tikai tāpēc, ka informācijas pieejamības dēļ pasūtītājs varētu paredzēt, ka kādam konkrētam konkurentam būs augstāks novērtējums. </w:t>
      </w:r>
    </w:p>
    <w:p w14:paraId="4C183A47" w14:textId="77777777" w:rsidR="00E2615B" w:rsidRDefault="00E2615B" w:rsidP="004F7E80">
      <w:pPr>
        <w:autoSpaceDE w:val="0"/>
        <w:autoSpaceDN w:val="0"/>
        <w:adjustRightInd w:val="0"/>
        <w:spacing w:line="276" w:lineRule="auto"/>
        <w:ind w:firstLine="720"/>
        <w:jc w:val="both"/>
        <w:rPr>
          <w:rFonts w:asciiTheme="majorBidi" w:hAnsiTheme="majorBidi" w:cstheme="majorBidi"/>
        </w:rPr>
      </w:pPr>
    </w:p>
    <w:p w14:paraId="5C555223" w14:textId="4CD604E7" w:rsidR="00E208AA" w:rsidRDefault="00E208AA" w:rsidP="004F7E80">
      <w:pPr>
        <w:autoSpaceDE w:val="0"/>
        <w:autoSpaceDN w:val="0"/>
        <w:adjustRightInd w:val="0"/>
        <w:spacing w:line="276" w:lineRule="auto"/>
        <w:ind w:firstLine="720"/>
        <w:jc w:val="both"/>
        <w:rPr>
          <w:rFonts w:asciiTheme="majorBidi" w:hAnsiTheme="majorBidi" w:cstheme="majorBidi"/>
          <w:i/>
          <w:iCs/>
        </w:rPr>
      </w:pPr>
      <w:r w:rsidRPr="00833A76">
        <w:rPr>
          <w:rFonts w:asciiTheme="majorBidi" w:hAnsiTheme="majorBidi" w:cstheme="majorBidi"/>
          <w:i/>
          <w:iCs/>
        </w:rPr>
        <w:t>Par bāzes staciju skaitu</w:t>
      </w:r>
      <w:r w:rsidR="00A9497C" w:rsidRPr="00833A76">
        <w:rPr>
          <w:rFonts w:asciiTheme="majorBidi" w:hAnsiTheme="majorBidi" w:cstheme="majorBidi"/>
          <w:i/>
          <w:iCs/>
        </w:rPr>
        <w:t xml:space="preserve"> kā kvalitātes vērtēšanas kritēriju</w:t>
      </w:r>
    </w:p>
    <w:p w14:paraId="6EC539DE" w14:textId="77777777" w:rsidR="00833A76" w:rsidRPr="00833A76" w:rsidRDefault="00833A76" w:rsidP="004F7E80">
      <w:pPr>
        <w:autoSpaceDE w:val="0"/>
        <w:autoSpaceDN w:val="0"/>
        <w:adjustRightInd w:val="0"/>
        <w:spacing w:line="276" w:lineRule="auto"/>
        <w:ind w:firstLine="720"/>
        <w:jc w:val="both"/>
        <w:rPr>
          <w:rFonts w:asciiTheme="majorBidi" w:hAnsiTheme="majorBidi" w:cstheme="majorBidi"/>
          <w:i/>
          <w:iCs/>
        </w:rPr>
      </w:pPr>
    </w:p>
    <w:p w14:paraId="767655CC" w14:textId="397E6DF7" w:rsidR="00A9497C" w:rsidRDefault="00A9497C"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w:t>
      </w:r>
      <w:r w:rsidR="00F112E0">
        <w:rPr>
          <w:rFonts w:asciiTheme="majorBidi" w:hAnsiTheme="majorBidi" w:cstheme="majorBidi"/>
        </w:rPr>
        <w:t>1</w:t>
      </w:r>
      <w:r w:rsidR="007A6368">
        <w:rPr>
          <w:rFonts w:asciiTheme="majorBidi" w:hAnsiTheme="majorBidi" w:cstheme="majorBidi"/>
        </w:rPr>
        <w:t>5</w:t>
      </w:r>
      <w:r>
        <w:rPr>
          <w:rFonts w:asciiTheme="majorBidi" w:hAnsiTheme="majorBidi" w:cstheme="majorBidi"/>
        </w:rPr>
        <w:t>]</w:t>
      </w:r>
      <w:r w:rsidR="00910661">
        <w:rPr>
          <w:rFonts w:asciiTheme="majorBidi" w:hAnsiTheme="majorBidi" w:cstheme="majorBidi"/>
        </w:rPr>
        <w:t> </w:t>
      </w:r>
      <w:r w:rsidR="008F30B5">
        <w:rPr>
          <w:rFonts w:asciiTheme="majorBidi" w:hAnsiTheme="majorBidi" w:cstheme="majorBidi"/>
        </w:rPr>
        <w:t>Senāts jau iepriekš ir pievērsies bāzes staciju skaitam kā mobilo sakaru kvalitāti raksturojošam kritērijam un atzinis, ka nav pamata to vispār izslēgt no pieļaujamo kritēriju loka</w:t>
      </w:r>
      <w:r w:rsidR="003308DC">
        <w:rPr>
          <w:rFonts w:asciiTheme="majorBidi" w:hAnsiTheme="majorBidi" w:cstheme="majorBidi"/>
        </w:rPr>
        <w:t xml:space="preserve"> (</w:t>
      </w:r>
      <w:r w:rsidR="003308DC" w:rsidRPr="003308DC">
        <w:rPr>
          <w:rFonts w:asciiTheme="majorBidi" w:hAnsiTheme="majorBidi" w:cstheme="majorBidi"/>
          <w:i/>
          <w:iCs/>
        </w:rPr>
        <w:t>Senāta 2021.gada 31.marta sprieduma lietā Nr. SKA</w:t>
      </w:r>
      <w:r w:rsidR="00221AF4">
        <w:rPr>
          <w:rFonts w:asciiTheme="majorBidi" w:hAnsiTheme="majorBidi" w:cstheme="majorBidi"/>
          <w:i/>
          <w:iCs/>
        </w:rPr>
        <w:noBreakHyphen/>
      </w:r>
      <w:r w:rsidR="003308DC" w:rsidRPr="003308DC">
        <w:rPr>
          <w:rFonts w:asciiTheme="majorBidi" w:hAnsiTheme="majorBidi" w:cstheme="majorBidi"/>
          <w:i/>
          <w:iCs/>
        </w:rPr>
        <w:t>322/2021,</w:t>
      </w:r>
      <w:r w:rsidR="003308DC" w:rsidRPr="003308DC">
        <w:rPr>
          <w:i/>
          <w:iCs/>
        </w:rPr>
        <w:t xml:space="preserve"> </w:t>
      </w:r>
      <w:hyperlink r:id="rId9" w:history="1">
        <w:r w:rsidR="003308DC" w:rsidRPr="00C76DDF">
          <w:rPr>
            <w:rStyle w:val="Hyperlink"/>
            <w:rFonts w:asciiTheme="majorBidi" w:hAnsiTheme="majorBidi" w:cstheme="majorBidi"/>
            <w:i/>
            <w:iCs/>
          </w:rPr>
          <w:t>ECLI:LV:AT:2021:0331.A420296418.5.S</w:t>
        </w:r>
      </w:hyperlink>
      <w:r w:rsidR="003308DC" w:rsidRPr="003308DC">
        <w:rPr>
          <w:rFonts w:asciiTheme="majorBidi" w:hAnsiTheme="majorBidi" w:cstheme="majorBidi"/>
          <w:i/>
          <w:iCs/>
        </w:rPr>
        <w:t>, 10.–14.punkts</w:t>
      </w:r>
      <w:r w:rsidR="003308DC">
        <w:rPr>
          <w:rFonts w:asciiTheme="majorBidi" w:hAnsiTheme="majorBidi" w:cstheme="majorBidi"/>
        </w:rPr>
        <w:t>), bet tam nevajadzētu piešķirt izšķirošu nozīmi, ņemot vērā, ka nav viennozīmīgas korelācijas starp bāzes stacijas skaitu un mobilo sakaru pakalpojumu kvalitāti.</w:t>
      </w:r>
    </w:p>
    <w:p w14:paraId="1EB9C889" w14:textId="00666366" w:rsidR="003F3833" w:rsidRDefault="003308DC"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Pieteicēja izskatāmajā lietā</w:t>
      </w:r>
      <w:r w:rsidR="003F3833">
        <w:rPr>
          <w:rFonts w:asciiTheme="majorBidi" w:hAnsiTheme="majorBidi" w:cstheme="majorBidi"/>
        </w:rPr>
        <w:t xml:space="preserve"> gan kasācijas sūdzībā, gan atsauksmē par atbildētājas pusē pieaicināto iestāžu paskaidrojumiem</w:t>
      </w:r>
      <w:r>
        <w:rPr>
          <w:rFonts w:asciiTheme="majorBidi" w:hAnsiTheme="majorBidi" w:cstheme="majorBidi"/>
        </w:rPr>
        <w:t xml:space="preserve"> turpina uzsvērt tos lietā sniegtos </w:t>
      </w:r>
      <w:r w:rsidR="008B78A0">
        <w:rPr>
          <w:rFonts w:asciiTheme="majorBidi" w:hAnsiTheme="majorBidi" w:cstheme="majorBidi"/>
        </w:rPr>
        <w:t xml:space="preserve">viedokļus (viena no </w:t>
      </w:r>
      <w:r w:rsidR="00036F1B">
        <w:rPr>
          <w:rFonts w:asciiTheme="majorBidi" w:hAnsiTheme="majorBidi" w:cstheme="majorBidi"/>
        </w:rPr>
        <w:t xml:space="preserve">elektronisko sakaru </w:t>
      </w:r>
      <w:r w:rsidR="008B78A0">
        <w:rPr>
          <w:rFonts w:asciiTheme="majorBidi" w:hAnsiTheme="majorBidi" w:cstheme="majorBidi"/>
        </w:rPr>
        <w:t xml:space="preserve">nozares </w:t>
      </w:r>
      <w:r w:rsidR="00156FD2">
        <w:rPr>
          <w:rFonts w:asciiTheme="majorBidi" w:hAnsiTheme="majorBidi" w:cstheme="majorBidi"/>
        </w:rPr>
        <w:t>biedrīb</w:t>
      </w:r>
      <w:r w:rsidR="008B78A0">
        <w:rPr>
          <w:rFonts w:asciiTheme="majorBidi" w:hAnsiTheme="majorBidi" w:cstheme="majorBidi"/>
        </w:rPr>
        <w:t>ām, Regulators, Konkurences padome)</w:t>
      </w:r>
      <w:r>
        <w:rPr>
          <w:rFonts w:asciiTheme="majorBidi" w:hAnsiTheme="majorBidi" w:cstheme="majorBidi"/>
        </w:rPr>
        <w:t xml:space="preserve"> par bāzes staciju skaitu, kuros vērsta uzmanība uz to, ka bāzes staciju skaits pats par sevi neliecina par sakaru pieejamību. </w:t>
      </w:r>
      <w:r w:rsidR="003F3833">
        <w:rPr>
          <w:rFonts w:asciiTheme="majorBidi" w:hAnsiTheme="majorBidi" w:cstheme="majorBidi"/>
        </w:rPr>
        <w:t xml:space="preserve">Pieteicēja apgalvo, ka </w:t>
      </w:r>
      <w:r w:rsidR="003F3833" w:rsidRPr="003F3833">
        <w:rPr>
          <w:rFonts w:asciiTheme="majorBidi" w:hAnsiTheme="majorBidi" w:cstheme="majorBidi"/>
        </w:rPr>
        <w:t xml:space="preserve">kritērijs nav objektīvi sasaistāms ar pakalpojuma kvalitāti (līguma priekšmetu) un secīgi </w:t>
      </w:r>
      <w:r w:rsidR="003F3833">
        <w:rPr>
          <w:rFonts w:asciiTheme="majorBidi" w:hAnsiTheme="majorBidi" w:cstheme="majorBidi"/>
        </w:rPr>
        <w:t xml:space="preserve">ir </w:t>
      </w:r>
      <w:r w:rsidR="003F3833" w:rsidRPr="003F3833">
        <w:rPr>
          <w:rFonts w:asciiTheme="majorBidi" w:hAnsiTheme="majorBidi" w:cstheme="majorBidi"/>
        </w:rPr>
        <w:t>nederīgs vērtēšanai</w:t>
      </w:r>
      <w:r w:rsidR="003F3833">
        <w:rPr>
          <w:rFonts w:asciiTheme="majorBidi" w:hAnsiTheme="majorBidi" w:cstheme="majorBidi"/>
        </w:rPr>
        <w:t>.</w:t>
      </w:r>
    </w:p>
    <w:p w14:paraId="23136812" w14:textId="1C06FA26" w:rsidR="00003323" w:rsidRDefault="003308DC"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Rajona tiesa ir izvērtējusi šos viedokļus un sniegusi patstāvīgu novērtējumu, atzīstot, ka, lai arī </w:t>
      </w:r>
      <w:r w:rsidRPr="003308DC">
        <w:rPr>
          <w:rFonts w:asciiTheme="majorBidi" w:hAnsiTheme="majorBidi" w:cstheme="majorBidi"/>
        </w:rPr>
        <w:t>pastāv virkne vēl citu mobilo sakaru pakalpojumu</w:t>
      </w:r>
      <w:r>
        <w:rPr>
          <w:rFonts w:asciiTheme="majorBidi" w:hAnsiTheme="majorBidi" w:cstheme="majorBidi"/>
        </w:rPr>
        <w:t xml:space="preserve"> </w:t>
      </w:r>
      <w:r w:rsidRPr="003308DC">
        <w:rPr>
          <w:rFonts w:asciiTheme="majorBidi" w:hAnsiTheme="majorBidi" w:cstheme="majorBidi"/>
        </w:rPr>
        <w:t>pieejamību raksturojoši rādītāji, bāzes staciju skaits ir viens no kritērijiem, kam ir tieša saistība ar</w:t>
      </w:r>
      <w:r>
        <w:rPr>
          <w:rFonts w:asciiTheme="majorBidi" w:hAnsiTheme="majorBidi" w:cstheme="majorBidi"/>
        </w:rPr>
        <w:t xml:space="preserve"> </w:t>
      </w:r>
      <w:r w:rsidRPr="003308DC">
        <w:rPr>
          <w:rFonts w:asciiTheme="majorBidi" w:hAnsiTheme="majorBidi" w:cstheme="majorBidi"/>
        </w:rPr>
        <w:t>pakalpojumu pieejamību konkrētā ģeogrāfiskā vietā</w:t>
      </w:r>
      <w:r w:rsidR="00341E67">
        <w:rPr>
          <w:rFonts w:asciiTheme="majorBidi" w:hAnsiTheme="majorBidi" w:cstheme="majorBidi"/>
        </w:rPr>
        <w:t xml:space="preserve"> (</w:t>
      </w:r>
      <w:r w:rsidR="00341E67" w:rsidRPr="00341E67">
        <w:rPr>
          <w:rFonts w:asciiTheme="majorBidi" w:hAnsiTheme="majorBidi" w:cstheme="majorBidi"/>
          <w:i/>
          <w:iCs/>
        </w:rPr>
        <w:t>sprieduma 10.–11.punkts</w:t>
      </w:r>
      <w:r w:rsidR="00341E67">
        <w:rPr>
          <w:rFonts w:asciiTheme="majorBidi" w:hAnsiTheme="majorBidi" w:cstheme="majorBidi"/>
        </w:rPr>
        <w:t>)</w:t>
      </w:r>
      <w:r>
        <w:rPr>
          <w:rFonts w:asciiTheme="majorBidi" w:hAnsiTheme="majorBidi" w:cstheme="majorBidi"/>
        </w:rPr>
        <w:t xml:space="preserve">. Senāts, iepazinies ar </w:t>
      </w:r>
      <w:r w:rsidR="00156FD2">
        <w:rPr>
          <w:rFonts w:asciiTheme="majorBidi" w:hAnsiTheme="majorBidi" w:cstheme="majorBidi"/>
        </w:rPr>
        <w:t xml:space="preserve">lietā vērtētajiem profesionālo biedrību </w:t>
      </w:r>
      <w:r w:rsidR="00341E67">
        <w:rPr>
          <w:rFonts w:asciiTheme="majorBidi" w:hAnsiTheme="majorBidi" w:cstheme="majorBidi"/>
        </w:rPr>
        <w:t xml:space="preserve">un valsts pārvaldes iestāžu </w:t>
      </w:r>
      <w:r w:rsidR="00156FD2">
        <w:rPr>
          <w:rFonts w:asciiTheme="majorBidi" w:hAnsiTheme="majorBidi" w:cstheme="majorBidi"/>
        </w:rPr>
        <w:t xml:space="preserve">viedokļiem, nesaskata, ka rajona tiesas vērtējums būtu kļūdains. </w:t>
      </w:r>
      <w:r w:rsidR="007601CB">
        <w:rPr>
          <w:rFonts w:asciiTheme="majorBidi" w:hAnsiTheme="majorBidi" w:cstheme="majorBidi"/>
        </w:rPr>
        <w:t xml:space="preserve">Rajona tiesas sprieduma argumentācija liecina, ka tiesa ir noskaidrojusi un izpratusi, kādi faktori var ietekmēt mobilo sakaru pieejamību un kvalitāti, un tādēļ spējusi patstāvīgi novērtēt dažādos viedokļus un ieteikumus pēc būtības. </w:t>
      </w:r>
    </w:p>
    <w:p w14:paraId="1E4C3B48" w14:textId="6D30AF4A" w:rsidR="00003323" w:rsidRDefault="00B6708D"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Arī Senātam n</w:t>
      </w:r>
      <w:r w:rsidR="00156FD2">
        <w:rPr>
          <w:rFonts w:asciiTheme="majorBidi" w:hAnsiTheme="majorBidi" w:cstheme="majorBidi"/>
        </w:rPr>
        <w:t>av šaubu, ka mobilo sakaru pārraides kvalitāti var ietekmēt dažādi ar vidi konkrētā vietā saistīti apstākļi</w:t>
      </w:r>
      <w:r w:rsidR="00003323">
        <w:rPr>
          <w:rFonts w:asciiTheme="majorBidi" w:hAnsiTheme="majorBidi" w:cstheme="majorBidi"/>
        </w:rPr>
        <w:t xml:space="preserve"> vai pašas bāzes stacijas tehnoloģiskie risinājumi</w:t>
      </w:r>
      <w:r w:rsidR="00156FD2">
        <w:rPr>
          <w:rFonts w:asciiTheme="majorBidi" w:hAnsiTheme="majorBidi" w:cstheme="majorBidi"/>
        </w:rPr>
        <w:t>, kas, neskatoties uz vispārīgām datu pārraides iespējām</w:t>
      </w:r>
      <w:r w:rsidR="00003323">
        <w:rPr>
          <w:rFonts w:asciiTheme="majorBidi" w:hAnsiTheme="majorBidi" w:cstheme="majorBidi"/>
        </w:rPr>
        <w:t>,</w:t>
      </w:r>
      <w:r w:rsidR="00156FD2">
        <w:rPr>
          <w:rFonts w:asciiTheme="majorBidi" w:hAnsiTheme="majorBidi" w:cstheme="majorBidi"/>
        </w:rPr>
        <w:t xml:space="preserve"> </w:t>
      </w:r>
      <w:r w:rsidR="00003323">
        <w:rPr>
          <w:rFonts w:asciiTheme="majorBidi" w:hAnsiTheme="majorBidi" w:cstheme="majorBidi"/>
        </w:rPr>
        <w:t xml:space="preserve">konkrētā vietā </w:t>
      </w:r>
      <w:r w:rsidR="00156FD2">
        <w:rPr>
          <w:rFonts w:asciiTheme="majorBidi" w:hAnsiTheme="majorBidi" w:cstheme="majorBidi"/>
        </w:rPr>
        <w:t xml:space="preserve">var pārraidi </w:t>
      </w:r>
      <w:r w:rsidR="00003323">
        <w:rPr>
          <w:rFonts w:asciiTheme="majorBidi" w:hAnsiTheme="majorBidi" w:cstheme="majorBidi"/>
        </w:rPr>
        <w:t>nodrošināt labākā vai sliktākā kvalitātē</w:t>
      </w:r>
      <w:r w:rsidR="00156FD2">
        <w:rPr>
          <w:rFonts w:asciiTheme="majorBidi" w:hAnsiTheme="majorBidi" w:cstheme="majorBidi"/>
        </w:rPr>
        <w:t>. Taču nekādi nav noliedzams tas, ka mobilie sakari var pastāvēt tikai tur, kur ir bāzes stacijas un</w:t>
      </w:r>
      <w:r w:rsidR="008B78A0">
        <w:rPr>
          <w:rFonts w:asciiTheme="majorBidi" w:hAnsiTheme="majorBidi" w:cstheme="majorBidi"/>
        </w:rPr>
        <w:t>,</w:t>
      </w:r>
      <w:r w:rsidR="00156FD2">
        <w:rPr>
          <w:rFonts w:asciiTheme="majorBidi" w:hAnsiTheme="majorBidi" w:cstheme="majorBidi"/>
        </w:rPr>
        <w:t xml:space="preserve"> ja bāze staciju nav, tad sakari vispār nav iespējami.</w:t>
      </w:r>
      <w:r w:rsidR="00003323">
        <w:rPr>
          <w:rFonts w:asciiTheme="majorBidi" w:hAnsiTheme="majorBidi" w:cstheme="majorBidi"/>
        </w:rPr>
        <w:t xml:space="preserve"> </w:t>
      </w:r>
      <w:r w:rsidR="00036F1B">
        <w:rPr>
          <w:rFonts w:asciiTheme="majorBidi" w:hAnsiTheme="majorBidi" w:cstheme="majorBidi"/>
        </w:rPr>
        <w:t xml:space="preserve">Turklāt rajona tiesa ņēmusi vērā noskaidroto, ka </w:t>
      </w:r>
      <w:r w:rsidR="00036F1B" w:rsidRPr="00036F1B">
        <w:rPr>
          <w:rFonts w:asciiTheme="majorBidi" w:hAnsiTheme="majorBidi" w:cstheme="majorBidi"/>
        </w:rPr>
        <w:t>bāzes staciju skaits, to radiofrekvences un citi bāzes stacijas parametri</w:t>
      </w:r>
      <w:r w:rsidR="00036F1B">
        <w:rPr>
          <w:rFonts w:asciiTheme="majorBidi" w:hAnsiTheme="majorBidi" w:cstheme="majorBidi"/>
        </w:rPr>
        <w:t xml:space="preserve"> </w:t>
      </w:r>
      <w:r w:rsidR="00036F1B" w:rsidRPr="00036F1B">
        <w:rPr>
          <w:rFonts w:asciiTheme="majorBidi" w:hAnsiTheme="majorBidi" w:cstheme="majorBidi"/>
        </w:rPr>
        <w:t>ietekmē tīkla pieejamību noteiktā reģionā elektroniskā sakaru tīkla kritisko pārtraukumu gadījumā</w:t>
      </w:r>
      <w:r w:rsidR="00036F1B">
        <w:rPr>
          <w:rFonts w:asciiTheme="majorBidi" w:hAnsiTheme="majorBidi" w:cstheme="majorBidi"/>
        </w:rPr>
        <w:t>.</w:t>
      </w:r>
      <w:r w:rsidR="00AA4A9B">
        <w:rPr>
          <w:rFonts w:asciiTheme="majorBidi" w:hAnsiTheme="majorBidi" w:cstheme="majorBidi"/>
        </w:rPr>
        <w:t xml:space="preserve"> Pieteicējas apgalvojums, ka šis kritērijs nav objektīvi saistāms ar pakalpojuma kvalitāti, acīmredzami neatbilst dzīves realitātei un fizikas likumiem, uz kuru pamata vispār notiek datu pārraide.</w:t>
      </w:r>
    </w:p>
    <w:p w14:paraId="568FB20A" w14:textId="3713FFBC" w:rsidR="003B4033" w:rsidRDefault="003B4033"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Pieteicēja uzsver, ka rajona tiesa nepareizi sapratusi Regulatora </w:t>
      </w:r>
      <w:r w:rsidRPr="003B4033">
        <w:rPr>
          <w:rFonts w:asciiTheme="majorBidi" w:hAnsiTheme="majorBidi" w:cstheme="majorBidi"/>
        </w:rPr>
        <w:t>2022.gada 19.janvāra viedokli</w:t>
      </w:r>
      <w:r>
        <w:rPr>
          <w:rFonts w:asciiTheme="majorBidi" w:hAnsiTheme="majorBidi" w:cstheme="majorBidi"/>
        </w:rPr>
        <w:t xml:space="preserve">, proti, nav ņēmusi vērā Regulatora norādīto, ka jāvērtē mobilo sakaru pārklājums, par kuru dati pieejami operatoriem. </w:t>
      </w:r>
      <w:r w:rsidR="00B77EA1">
        <w:rPr>
          <w:rFonts w:asciiTheme="majorBidi" w:hAnsiTheme="majorBidi" w:cstheme="majorBidi"/>
        </w:rPr>
        <w:t xml:space="preserve">Senāts norāda, ka tiesai, kas izskata lietu </w:t>
      </w:r>
      <w:r w:rsidR="00B77EA1">
        <w:rPr>
          <w:rFonts w:asciiTheme="majorBidi" w:hAnsiTheme="majorBidi" w:cstheme="majorBidi"/>
        </w:rPr>
        <w:lastRenderedPageBreak/>
        <w:t xml:space="preserve">pēc būtības, pašai ir jānovērtē lietas faktiskie un tiesiskie apstākļi, un valsts pārvaldes iestāžu viedokļi, kam nav normatīvā akta spēks, var kalpot tikai kā informācija par kompetentās iestādes viedokli </w:t>
      </w:r>
      <w:r w:rsidR="007D5A6C">
        <w:rPr>
          <w:rFonts w:asciiTheme="majorBidi" w:hAnsiTheme="majorBidi" w:cstheme="majorBidi"/>
        </w:rPr>
        <w:t>un palīdzēt izprast kādus nozares jautājumus</w:t>
      </w:r>
      <w:r w:rsidR="00B77EA1">
        <w:rPr>
          <w:rFonts w:asciiTheme="majorBidi" w:hAnsiTheme="majorBidi" w:cstheme="majorBidi"/>
        </w:rPr>
        <w:t xml:space="preserve">. Līdz ar to Senāts nepiešķir nozīmi šim iebildumam. Turklāt pieteicēja, uzsverot iespēju </w:t>
      </w:r>
      <w:r w:rsidR="00004059">
        <w:rPr>
          <w:rFonts w:asciiTheme="majorBidi" w:hAnsiTheme="majorBidi" w:cstheme="majorBidi"/>
        </w:rPr>
        <w:t xml:space="preserve">mobilo sakaru pieejamību un kvalitāti </w:t>
      </w:r>
      <w:r w:rsidR="00B77EA1">
        <w:rPr>
          <w:rFonts w:asciiTheme="majorBidi" w:hAnsiTheme="majorBidi" w:cstheme="majorBidi"/>
        </w:rPr>
        <w:t xml:space="preserve">vērtēt pēc operatoru tīmekļa vietnē norādītā pārklājuma, nonāk pretrunā ar savu tālāko argumentāciju, proti, bāzes staciju skaitu kā nepieļaujamu pieteicēja norāda arī tā iemesla dēļ, ka pretendenta deklarētās ziņas nav pārbaudāmas. Jāpiebilst, ka šāda pieeja caurvij </w:t>
      </w:r>
      <w:r w:rsidR="00004059">
        <w:rPr>
          <w:rFonts w:asciiTheme="majorBidi" w:hAnsiTheme="majorBidi" w:cstheme="majorBidi"/>
        </w:rPr>
        <w:t xml:space="preserve">visu </w:t>
      </w:r>
      <w:r w:rsidR="00B77EA1">
        <w:rPr>
          <w:rFonts w:asciiTheme="majorBidi" w:hAnsiTheme="majorBidi" w:cstheme="majorBidi"/>
        </w:rPr>
        <w:t xml:space="preserve">pieteicējas kasācijas sūdzību: tie kritēriji, kuros rādītājus pārbauda Regulators, pieteicējas ieskatā, nav pieļaujami tādēļ, ka attiecīgi </w:t>
      </w:r>
      <w:r w:rsidR="00833A76">
        <w:rPr>
          <w:rFonts w:asciiTheme="majorBidi" w:hAnsiTheme="majorBidi" w:cstheme="majorBidi"/>
        </w:rPr>
        <w:t>rādītāji</w:t>
      </w:r>
      <w:r w:rsidR="00B77EA1">
        <w:rPr>
          <w:rFonts w:asciiTheme="majorBidi" w:hAnsiTheme="majorBidi" w:cstheme="majorBidi"/>
        </w:rPr>
        <w:t xml:space="preserve"> ir zināmi</w:t>
      </w:r>
      <w:r w:rsidR="00004059">
        <w:rPr>
          <w:rFonts w:asciiTheme="majorBidi" w:hAnsiTheme="majorBidi" w:cstheme="majorBidi"/>
        </w:rPr>
        <w:t>;</w:t>
      </w:r>
      <w:r w:rsidR="00B77EA1">
        <w:rPr>
          <w:rFonts w:asciiTheme="majorBidi" w:hAnsiTheme="majorBidi" w:cstheme="majorBidi"/>
        </w:rPr>
        <w:t xml:space="preserve"> savukārt tie kritēriji, kuros rādītājus deklarē paši operatori, nav pieļaujami tādēļ, ka tos deklarē tikai paši operatori. Līdz ar to šāda argumentācija nav pārliecinoša.</w:t>
      </w:r>
    </w:p>
    <w:p w14:paraId="5662DB16" w14:textId="1516F7D3" w:rsidR="003308DC" w:rsidRDefault="00003323"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Turklāt Senāts nepiekrīt pieteicējai, ka bāzes staciju skaits ir </w:t>
      </w:r>
      <w:r w:rsidR="00BA32E7">
        <w:rPr>
          <w:rFonts w:asciiTheme="majorBidi" w:hAnsiTheme="majorBidi" w:cstheme="majorBidi"/>
        </w:rPr>
        <w:t xml:space="preserve">tikai </w:t>
      </w:r>
      <w:r>
        <w:rPr>
          <w:rFonts w:asciiTheme="majorBidi" w:hAnsiTheme="majorBidi" w:cstheme="majorBidi"/>
        </w:rPr>
        <w:t>infrastruktūru, nevis funkcionalitāti raksturojošs rādītājs: bāzes staciju kā infrastruktūras pastāvēšanas mērķis ir tieši funkcionalitātes nodrošināšana, līdz ar to šis rādītājs netieši, bet loģiski liecina par mobilo sakaru funkcionalitāti.</w:t>
      </w:r>
      <w:r w:rsidR="00BA32E7">
        <w:rPr>
          <w:rFonts w:asciiTheme="majorBidi" w:hAnsiTheme="majorBidi" w:cstheme="majorBidi"/>
        </w:rPr>
        <w:t xml:space="preserve"> Ja funkcionalitātes faktiska pārbaude nepieciešamajā apjomā un precizitātē jebkurā gadījumā ir neiespējama vai nesamērīga, tad funkcionalitāti nodrošinošas infrastruktūras novērtējums arī var tikt izmantots kā kvalitātes vērtēšanas kritērijs.</w:t>
      </w:r>
    </w:p>
    <w:p w14:paraId="41D30898" w14:textId="3840B118" w:rsidR="00BF68D2" w:rsidRDefault="003F3833"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Tāpat Senāts nepiekrīt, ka mobilo sakaru pārklājumu un tā kvalitāti pasūtītājam, ja reiz tas </w:t>
      </w:r>
      <w:r w:rsidR="00BA32E7">
        <w:rPr>
          <w:rFonts w:asciiTheme="majorBidi" w:hAnsiTheme="majorBidi" w:cstheme="majorBidi"/>
        </w:rPr>
        <w:t>ir</w:t>
      </w:r>
      <w:r>
        <w:rPr>
          <w:rFonts w:asciiTheme="majorBidi" w:hAnsiTheme="majorBidi" w:cstheme="majorBidi"/>
        </w:rPr>
        <w:t xml:space="preserve"> svarīgs, būtu bijis jātestē</w:t>
      </w:r>
      <w:r w:rsidRPr="003F3833">
        <w:rPr>
          <w:rFonts w:asciiTheme="majorBidi" w:hAnsiTheme="majorBidi" w:cstheme="majorBidi"/>
        </w:rPr>
        <w:t xml:space="preserve"> izlases veidā visā valsts teritorijā</w:t>
      </w:r>
      <w:r>
        <w:rPr>
          <w:rFonts w:asciiTheme="majorBidi" w:hAnsiTheme="majorBidi" w:cstheme="majorBidi"/>
        </w:rPr>
        <w:t xml:space="preserve">. Pieteicēja nav norādījusi faktus, pēc kā varētu spriest par šāda procesa lietderību un samērīgumu. </w:t>
      </w:r>
      <w:r w:rsidR="00BA32E7">
        <w:rPr>
          <w:rFonts w:asciiTheme="majorBidi" w:hAnsiTheme="majorBidi" w:cstheme="majorBidi"/>
        </w:rPr>
        <w:t xml:space="preserve">Pirmšķietami tas varētu sadārdzināt un paildzināt iepirkuma procedūru. </w:t>
      </w:r>
      <w:r>
        <w:rPr>
          <w:rFonts w:asciiTheme="majorBidi" w:hAnsiTheme="majorBidi" w:cstheme="majorBidi"/>
        </w:rPr>
        <w:t>Tādēļ Senāts</w:t>
      </w:r>
      <w:r w:rsidR="00BA32E7">
        <w:rPr>
          <w:rFonts w:asciiTheme="majorBidi" w:hAnsiTheme="majorBidi" w:cstheme="majorBidi"/>
        </w:rPr>
        <w:t>, ievērojot pasūtītāja rīcības brīvību,</w:t>
      </w:r>
      <w:r>
        <w:rPr>
          <w:rFonts w:asciiTheme="majorBidi" w:hAnsiTheme="majorBidi" w:cstheme="majorBidi"/>
        </w:rPr>
        <w:t xml:space="preserve"> </w:t>
      </w:r>
      <w:r w:rsidR="00BF68D2">
        <w:rPr>
          <w:rFonts w:asciiTheme="majorBidi" w:hAnsiTheme="majorBidi" w:cstheme="majorBidi"/>
        </w:rPr>
        <w:t>ne</w:t>
      </w:r>
      <w:r w:rsidR="00BA32E7">
        <w:rPr>
          <w:rFonts w:asciiTheme="majorBidi" w:hAnsiTheme="majorBidi" w:cstheme="majorBidi"/>
        </w:rPr>
        <w:t>piekrīt</w:t>
      </w:r>
      <w:r w:rsidR="00BF68D2">
        <w:rPr>
          <w:rFonts w:asciiTheme="majorBidi" w:hAnsiTheme="majorBidi" w:cstheme="majorBidi"/>
        </w:rPr>
        <w:t>, ka favorītisma risk</w:t>
      </w:r>
      <w:r w:rsidR="00BA32E7">
        <w:rPr>
          <w:rFonts w:asciiTheme="majorBidi" w:hAnsiTheme="majorBidi" w:cstheme="majorBidi"/>
        </w:rPr>
        <w:t>s</w:t>
      </w:r>
      <w:r w:rsidR="00BF68D2">
        <w:rPr>
          <w:rFonts w:asciiTheme="majorBidi" w:hAnsiTheme="majorBidi" w:cstheme="majorBidi"/>
        </w:rPr>
        <w:t xml:space="preserve"> noteikti būtu jānovērš šādā </w:t>
      </w:r>
      <w:r w:rsidR="00BA32E7">
        <w:rPr>
          <w:rFonts w:asciiTheme="majorBidi" w:hAnsiTheme="majorBidi" w:cstheme="majorBidi"/>
        </w:rPr>
        <w:t>veidā</w:t>
      </w:r>
      <w:r w:rsidR="00BF68D2">
        <w:rPr>
          <w:rFonts w:asciiTheme="majorBidi" w:hAnsiTheme="majorBidi" w:cstheme="majorBidi"/>
        </w:rPr>
        <w:t xml:space="preserve">. Turklāt no publiski pieejamām ziņām konstatējams, ka citā </w:t>
      </w:r>
      <w:r w:rsidR="00BA32E7">
        <w:rPr>
          <w:rFonts w:asciiTheme="majorBidi" w:hAnsiTheme="majorBidi" w:cstheme="majorBidi"/>
        </w:rPr>
        <w:t xml:space="preserve">publiskajā </w:t>
      </w:r>
      <w:r w:rsidR="00BF68D2">
        <w:rPr>
          <w:rFonts w:asciiTheme="majorBidi" w:hAnsiTheme="majorBidi" w:cstheme="majorBidi"/>
        </w:rPr>
        <w:t>iepirkumā (2025.gada 28.martā izsludinātajā AS „Latvijas valsts meži” mobilo sakaru pakalpojum iepirkumā ar id. Nr. </w:t>
      </w:r>
      <w:r w:rsidR="00BF68D2" w:rsidRPr="00BF68D2">
        <w:rPr>
          <w:rFonts w:asciiTheme="majorBidi" w:hAnsiTheme="majorBidi" w:cstheme="majorBidi"/>
        </w:rPr>
        <w:t>AS</w:t>
      </w:r>
      <w:r w:rsidR="00627203">
        <w:rPr>
          <w:rFonts w:asciiTheme="majorBidi" w:hAnsiTheme="majorBidi" w:cstheme="majorBidi"/>
        </w:rPr>
        <w:t> </w:t>
      </w:r>
      <w:r w:rsidR="00BF68D2" w:rsidRPr="00BF68D2">
        <w:rPr>
          <w:rFonts w:asciiTheme="majorBidi" w:hAnsiTheme="majorBidi" w:cstheme="majorBidi"/>
        </w:rPr>
        <w:t>LVM</w:t>
      </w:r>
      <w:r w:rsidR="00627203">
        <w:rPr>
          <w:rFonts w:asciiTheme="majorBidi" w:hAnsiTheme="majorBidi" w:cstheme="majorBidi"/>
        </w:rPr>
        <w:t> </w:t>
      </w:r>
      <w:r w:rsidR="00BF68D2" w:rsidRPr="00BF68D2">
        <w:rPr>
          <w:rFonts w:asciiTheme="majorBidi" w:hAnsiTheme="majorBidi" w:cstheme="majorBidi"/>
        </w:rPr>
        <w:t>SP_2024_257_Ak</w:t>
      </w:r>
      <w:r w:rsidR="00BF68D2">
        <w:rPr>
          <w:rFonts w:asciiTheme="majorBidi" w:hAnsiTheme="majorBidi" w:cstheme="majorBidi"/>
        </w:rPr>
        <w:t>)</w:t>
      </w:r>
      <w:r w:rsidR="00BF68D2" w:rsidRPr="00BF68D2">
        <w:rPr>
          <w:rFonts w:asciiTheme="majorBidi" w:hAnsiTheme="majorBidi" w:cstheme="majorBidi"/>
        </w:rPr>
        <w:t xml:space="preserve"> </w:t>
      </w:r>
      <w:r w:rsidR="00BF68D2">
        <w:rPr>
          <w:rFonts w:asciiTheme="majorBidi" w:hAnsiTheme="majorBidi" w:cstheme="majorBidi"/>
        </w:rPr>
        <w:t>detalizēti regulētā procedūrā, nosakot mērījuma vietas izlozes procedūrā, tika paredzēts vērtēt datu pārraides kvalitāti ārpus Rīgas</w:t>
      </w:r>
      <w:r w:rsidR="00B91023">
        <w:rPr>
          <w:rFonts w:asciiTheme="majorBidi" w:hAnsiTheme="majorBidi" w:cstheme="majorBidi"/>
        </w:rPr>
        <w:t xml:space="preserve">, kas atbilstoši pasūtītājas argumentācijai </w:t>
      </w:r>
      <w:r w:rsidR="00E1110F">
        <w:rPr>
          <w:rFonts w:asciiTheme="majorBidi" w:hAnsiTheme="majorBidi" w:cstheme="majorBidi"/>
        </w:rPr>
        <w:t xml:space="preserve">par tās vajadzībām </w:t>
      </w:r>
      <w:r w:rsidR="00B91023">
        <w:rPr>
          <w:rFonts w:asciiTheme="majorBidi" w:hAnsiTheme="majorBidi" w:cstheme="majorBidi"/>
        </w:rPr>
        <w:t>būtu aktuāli arī izskatāmajā lietā</w:t>
      </w:r>
      <w:r w:rsidR="00BF68D2">
        <w:rPr>
          <w:rFonts w:asciiTheme="majorBidi" w:hAnsiTheme="majorBidi" w:cstheme="majorBidi"/>
        </w:rPr>
        <w:t xml:space="preserve">. Rezultāti liecina, ka „Latvijas Mobilais </w:t>
      </w:r>
      <w:r w:rsidR="00B6708D">
        <w:rPr>
          <w:rFonts w:asciiTheme="majorBidi" w:hAnsiTheme="majorBidi" w:cstheme="majorBidi"/>
        </w:rPr>
        <w:t>T</w:t>
      </w:r>
      <w:r w:rsidR="00BF68D2">
        <w:rPr>
          <w:rFonts w:asciiTheme="majorBidi" w:hAnsiTheme="majorBidi" w:cstheme="majorBidi"/>
        </w:rPr>
        <w:t>elefons” SIA arī faktiskās testēšanas rezultātā šajā ziņā uzrād</w:t>
      </w:r>
      <w:r w:rsidR="0084523E">
        <w:rPr>
          <w:rFonts w:asciiTheme="majorBidi" w:hAnsiTheme="majorBidi" w:cstheme="majorBidi"/>
        </w:rPr>
        <w:t>īj</w:t>
      </w:r>
      <w:r w:rsidR="00BF68D2">
        <w:rPr>
          <w:rFonts w:asciiTheme="majorBidi" w:hAnsiTheme="majorBidi" w:cstheme="majorBidi"/>
        </w:rPr>
        <w:t xml:space="preserve">a </w:t>
      </w:r>
      <w:r w:rsidR="00980680">
        <w:rPr>
          <w:rFonts w:asciiTheme="majorBidi" w:hAnsiTheme="majorBidi" w:cstheme="majorBidi"/>
        </w:rPr>
        <w:t>ievērojami labākus</w:t>
      </w:r>
      <w:r w:rsidR="00BF68D2">
        <w:rPr>
          <w:rFonts w:asciiTheme="majorBidi" w:hAnsiTheme="majorBidi" w:cstheme="majorBidi"/>
        </w:rPr>
        <w:t xml:space="preserve"> rezultātus</w:t>
      </w:r>
      <w:r w:rsidR="00BA32E7">
        <w:rPr>
          <w:rFonts w:asciiTheme="majorBidi" w:hAnsiTheme="majorBidi" w:cstheme="majorBidi"/>
        </w:rPr>
        <w:t>, salīdzinot ar otru konkursā piedalījušos pretendentu</w:t>
      </w:r>
      <w:r w:rsidR="00BF68D2">
        <w:rPr>
          <w:rFonts w:asciiTheme="majorBidi" w:hAnsiTheme="majorBidi" w:cstheme="majorBidi"/>
        </w:rPr>
        <w:t>.</w:t>
      </w:r>
      <w:r w:rsidR="00980680">
        <w:rPr>
          <w:rFonts w:asciiTheme="majorBidi" w:hAnsiTheme="majorBidi" w:cstheme="majorBidi"/>
        </w:rPr>
        <w:t xml:space="preserve"> Pieteicēja šajā lietā rajona tiesai sniegtajos 2023.gada 3.februāra papildu paskaidrojumos bija norādījusi uz agrāku iepirkumu, kur</w:t>
      </w:r>
      <w:r w:rsidR="006B2C01">
        <w:rPr>
          <w:rFonts w:asciiTheme="majorBidi" w:hAnsiTheme="majorBidi" w:cstheme="majorBidi"/>
        </w:rPr>
        <w:t>ā</w:t>
      </w:r>
      <w:r w:rsidR="00980680">
        <w:rPr>
          <w:rFonts w:asciiTheme="majorBidi" w:hAnsiTheme="majorBidi" w:cstheme="majorBidi"/>
        </w:rPr>
        <w:t xml:space="preserve"> veikta kvalitātes faktiskā testēšana, proti, </w:t>
      </w:r>
      <w:r w:rsidR="00B91023">
        <w:rPr>
          <w:rFonts w:asciiTheme="majorBidi" w:hAnsiTheme="majorBidi" w:cstheme="majorBidi"/>
        </w:rPr>
        <w:t>2019.gada 20.decembrī izsludināto AS „Latvijas valsts meži” mobilo sakaru iepi</w:t>
      </w:r>
      <w:r w:rsidR="006B2C01">
        <w:rPr>
          <w:rFonts w:asciiTheme="majorBidi" w:hAnsiTheme="majorBidi" w:cstheme="majorBidi"/>
        </w:rPr>
        <w:t>r</w:t>
      </w:r>
      <w:r w:rsidR="00B91023">
        <w:rPr>
          <w:rFonts w:asciiTheme="majorBidi" w:hAnsiTheme="majorBidi" w:cstheme="majorBidi"/>
        </w:rPr>
        <w:t>kumu ar id. Nr. </w:t>
      </w:r>
      <w:r w:rsidR="00B91023" w:rsidRPr="00B91023">
        <w:rPr>
          <w:rFonts w:asciiTheme="majorBidi" w:hAnsiTheme="majorBidi" w:cstheme="majorBidi"/>
        </w:rPr>
        <w:t>AS</w:t>
      </w:r>
      <w:r w:rsidR="00B6708D">
        <w:rPr>
          <w:rFonts w:asciiTheme="majorBidi" w:hAnsiTheme="majorBidi" w:cstheme="majorBidi"/>
        </w:rPr>
        <w:t> </w:t>
      </w:r>
      <w:r w:rsidR="00B91023" w:rsidRPr="00B91023">
        <w:rPr>
          <w:rFonts w:asciiTheme="majorBidi" w:hAnsiTheme="majorBidi" w:cstheme="majorBidi"/>
        </w:rPr>
        <w:t>LVM</w:t>
      </w:r>
      <w:r w:rsidR="00B6708D">
        <w:rPr>
          <w:rFonts w:asciiTheme="majorBidi" w:hAnsiTheme="majorBidi" w:cstheme="majorBidi"/>
        </w:rPr>
        <w:t> </w:t>
      </w:r>
      <w:r w:rsidR="00B91023" w:rsidRPr="00B91023">
        <w:rPr>
          <w:rFonts w:asciiTheme="majorBidi" w:hAnsiTheme="majorBidi" w:cstheme="majorBidi"/>
        </w:rPr>
        <w:t>SP_2019_409_Ak</w:t>
      </w:r>
      <w:r w:rsidR="003B5BF4">
        <w:rPr>
          <w:rFonts w:asciiTheme="majorBidi" w:hAnsiTheme="majorBidi" w:cstheme="majorBidi"/>
        </w:rPr>
        <w:t>.</w:t>
      </w:r>
      <w:r w:rsidR="00B91023">
        <w:rPr>
          <w:rFonts w:asciiTheme="majorBidi" w:hAnsiTheme="majorBidi" w:cstheme="majorBidi"/>
        </w:rPr>
        <w:t xml:space="preserve"> </w:t>
      </w:r>
      <w:r w:rsidR="00B6708D">
        <w:rPr>
          <w:rFonts w:asciiTheme="majorBidi" w:hAnsiTheme="majorBidi" w:cstheme="majorBidi"/>
        </w:rPr>
        <w:t xml:space="preserve">Senāts konstatē, ka </w:t>
      </w:r>
      <w:r w:rsidR="00B91023">
        <w:rPr>
          <w:rFonts w:asciiTheme="majorBidi" w:hAnsiTheme="majorBidi" w:cstheme="majorBidi"/>
        </w:rPr>
        <w:t xml:space="preserve">šā iepirkuma uzvarētājs „Latvijas </w:t>
      </w:r>
      <w:r w:rsidR="00B6708D">
        <w:rPr>
          <w:rFonts w:asciiTheme="majorBidi" w:hAnsiTheme="majorBidi" w:cstheme="majorBidi"/>
        </w:rPr>
        <w:t>M</w:t>
      </w:r>
      <w:r w:rsidR="00B91023">
        <w:rPr>
          <w:rFonts w:asciiTheme="majorBidi" w:hAnsiTheme="majorBidi" w:cstheme="majorBidi"/>
        </w:rPr>
        <w:t>obilais</w:t>
      </w:r>
      <w:r w:rsidR="00B6708D">
        <w:rPr>
          <w:rFonts w:asciiTheme="majorBidi" w:hAnsiTheme="majorBidi" w:cstheme="majorBidi"/>
        </w:rPr>
        <w:t xml:space="preserve"> T</w:t>
      </w:r>
      <w:r w:rsidR="00B91023">
        <w:rPr>
          <w:rFonts w:asciiTheme="majorBidi" w:hAnsiTheme="majorBidi" w:cstheme="majorBidi"/>
        </w:rPr>
        <w:t xml:space="preserve">elefons” SIA saņēma maksimālo iespējamo punktu skaitu par datu pārraides kvalitāti gan vispār, gan ārpus Rīgas. </w:t>
      </w:r>
      <w:r w:rsidR="00B6708D">
        <w:rPr>
          <w:rFonts w:asciiTheme="majorBidi" w:hAnsiTheme="majorBidi" w:cstheme="majorBidi"/>
        </w:rPr>
        <w:t>Līdz ar to pieteicējas ieteiktais veids pakalpojuma kvalitātes vērtēšanai Senātam neliek domāt, ka šāda veida vērtēšana varētu novest pie principiāli cita rezultāta un ka attiecīgi pieteicējas apgalvojums par favorītismu varētu izrādīties ticamāks.</w:t>
      </w:r>
    </w:p>
    <w:p w14:paraId="4ADC648E" w14:textId="77777777" w:rsidR="00003323" w:rsidRDefault="00003323" w:rsidP="004F7E80">
      <w:pPr>
        <w:autoSpaceDE w:val="0"/>
        <w:autoSpaceDN w:val="0"/>
        <w:adjustRightInd w:val="0"/>
        <w:spacing w:line="276" w:lineRule="auto"/>
        <w:ind w:firstLine="720"/>
        <w:jc w:val="both"/>
        <w:rPr>
          <w:rFonts w:asciiTheme="majorBidi" w:hAnsiTheme="majorBidi" w:cstheme="majorBidi"/>
        </w:rPr>
      </w:pPr>
    </w:p>
    <w:p w14:paraId="683B1231" w14:textId="21E34465" w:rsidR="003308DC" w:rsidRDefault="00365292" w:rsidP="004F7E80">
      <w:pPr>
        <w:autoSpaceDE w:val="0"/>
        <w:autoSpaceDN w:val="0"/>
        <w:adjustRightInd w:val="0"/>
        <w:spacing w:line="276" w:lineRule="auto"/>
        <w:ind w:firstLine="720"/>
        <w:jc w:val="both"/>
        <w:rPr>
          <w:rFonts w:asciiTheme="majorBidi" w:hAnsiTheme="majorBidi" w:cstheme="majorBidi"/>
          <w:i/>
          <w:iCs/>
        </w:rPr>
      </w:pPr>
      <w:r w:rsidRPr="00BF6008">
        <w:rPr>
          <w:rFonts w:asciiTheme="majorBidi" w:hAnsiTheme="majorBidi" w:cstheme="majorBidi"/>
          <w:i/>
          <w:iCs/>
        </w:rPr>
        <w:t>Par viesabonēšanas valstu skaitu un operatoru skaitu</w:t>
      </w:r>
      <w:r w:rsidR="00FB2325">
        <w:rPr>
          <w:rFonts w:asciiTheme="majorBidi" w:hAnsiTheme="majorBidi" w:cstheme="majorBidi"/>
          <w:i/>
          <w:iCs/>
        </w:rPr>
        <w:t xml:space="preserve"> kā kvalitātes vērtēšanas kritēriju</w:t>
      </w:r>
    </w:p>
    <w:p w14:paraId="49A6DAE3" w14:textId="77777777" w:rsidR="00B6708D" w:rsidRPr="00BF6008" w:rsidRDefault="00B6708D" w:rsidP="004F7E80">
      <w:pPr>
        <w:autoSpaceDE w:val="0"/>
        <w:autoSpaceDN w:val="0"/>
        <w:adjustRightInd w:val="0"/>
        <w:spacing w:line="276" w:lineRule="auto"/>
        <w:ind w:firstLine="720"/>
        <w:jc w:val="both"/>
        <w:rPr>
          <w:rFonts w:asciiTheme="majorBidi" w:hAnsiTheme="majorBidi" w:cstheme="majorBidi"/>
          <w:i/>
          <w:iCs/>
        </w:rPr>
      </w:pPr>
    </w:p>
    <w:p w14:paraId="30F67FAD" w14:textId="5E6A86E5" w:rsidR="00A9497C" w:rsidRDefault="00365292"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lastRenderedPageBreak/>
        <w:t>[</w:t>
      </w:r>
      <w:r w:rsidR="00F112E0">
        <w:rPr>
          <w:rFonts w:asciiTheme="majorBidi" w:hAnsiTheme="majorBidi" w:cstheme="majorBidi"/>
        </w:rPr>
        <w:t>1</w:t>
      </w:r>
      <w:r w:rsidR="007A6368">
        <w:rPr>
          <w:rFonts w:asciiTheme="majorBidi" w:hAnsiTheme="majorBidi" w:cstheme="majorBidi"/>
        </w:rPr>
        <w:t>6</w:t>
      </w:r>
      <w:r>
        <w:rPr>
          <w:rFonts w:asciiTheme="majorBidi" w:hAnsiTheme="majorBidi" w:cstheme="majorBidi"/>
        </w:rPr>
        <w:t>]</w:t>
      </w:r>
      <w:r w:rsidR="00910661">
        <w:rPr>
          <w:rFonts w:asciiTheme="majorBidi" w:hAnsiTheme="majorBidi" w:cstheme="majorBidi"/>
        </w:rPr>
        <w:t> </w:t>
      </w:r>
      <w:r w:rsidRPr="00365292">
        <w:rPr>
          <w:rFonts w:asciiTheme="majorBidi" w:hAnsiTheme="majorBidi" w:cstheme="majorBidi"/>
        </w:rPr>
        <w:t>Kritērij</w:t>
      </w:r>
      <w:r>
        <w:rPr>
          <w:rFonts w:asciiTheme="majorBidi" w:hAnsiTheme="majorBidi" w:cstheme="majorBidi"/>
        </w:rPr>
        <w:t>u</w:t>
      </w:r>
      <w:r w:rsidRPr="00365292">
        <w:rPr>
          <w:rFonts w:asciiTheme="majorBidi" w:hAnsiTheme="majorBidi" w:cstheme="majorBidi"/>
        </w:rPr>
        <w:t>s, kas paredz vērtēt pakalpojumu pieejamību viesabonēšanā – valstu skaits un operatoru skaits</w:t>
      </w:r>
      <w:r>
        <w:rPr>
          <w:rFonts w:asciiTheme="majorBidi" w:hAnsiTheme="majorBidi" w:cstheme="majorBidi"/>
        </w:rPr>
        <w:t xml:space="preserve"> – pieteicēja uzskata par nepieļaujamiem tāpēc, ka tie nav saistāmi ar pasūtītājas saimnieciskajām vajadzībām un neliecina par pakalpojuma kvalitāti. </w:t>
      </w:r>
    </w:p>
    <w:p w14:paraId="1FEADF4C" w14:textId="7889B6C5" w:rsidR="00365292" w:rsidRDefault="00365292"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Senāts konstatē, ka rajona tiesa spriedumā ir izvērtējusi gan šo kritēriju būtību (tostarp saistību ar mobilo sakaru kvalitāti ārvalstīs un nekvalitatīvu sakaru riska mazināšanu), gan to, kā Finanšu ministrija ir izskaidrojusi mobilo sakaru nepieciešamību ārvalstīs.</w:t>
      </w:r>
    </w:p>
    <w:p w14:paraId="5F0FD9F8" w14:textId="43339030" w:rsidR="00365292" w:rsidRDefault="00365292"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Pieteicēja kasācijas sūdzībā tam nepiekrīt, taču tas nesniedzas tālāk par vienkārši sava viedokļa paušanu</w:t>
      </w:r>
      <w:r w:rsidR="00F112E0">
        <w:rPr>
          <w:rFonts w:asciiTheme="majorBidi" w:hAnsiTheme="majorBidi" w:cstheme="majorBidi"/>
        </w:rPr>
        <w:t xml:space="preserve"> un vispārīgiem apgalvojumiem</w:t>
      </w:r>
      <w:r>
        <w:rPr>
          <w:rFonts w:asciiTheme="majorBidi" w:hAnsiTheme="majorBidi" w:cstheme="majorBidi"/>
        </w:rPr>
        <w:t>. Kasācijas sūdzībā nav argumentu, kas liktu šaubīties par rajona tiesas sprieduma pamatojumu.</w:t>
      </w:r>
    </w:p>
    <w:p w14:paraId="0735588C" w14:textId="77777777" w:rsidR="00365292" w:rsidRDefault="00365292" w:rsidP="004F7E80">
      <w:pPr>
        <w:autoSpaceDE w:val="0"/>
        <w:autoSpaceDN w:val="0"/>
        <w:adjustRightInd w:val="0"/>
        <w:spacing w:line="276" w:lineRule="auto"/>
        <w:ind w:firstLine="720"/>
        <w:jc w:val="both"/>
        <w:rPr>
          <w:rFonts w:asciiTheme="majorBidi" w:hAnsiTheme="majorBidi" w:cstheme="majorBidi"/>
        </w:rPr>
      </w:pPr>
    </w:p>
    <w:p w14:paraId="265221F4" w14:textId="1BF193F1" w:rsidR="00365292" w:rsidRDefault="00365292" w:rsidP="004F7E80">
      <w:pPr>
        <w:autoSpaceDE w:val="0"/>
        <w:autoSpaceDN w:val="0"/>
        <w:adjustRightInd w:val="0"/>
        <w:spacing w:line="276" w:lineRule="auto"/>
        <w:ind w:firstLine="720"/>
        <w:jc w:val="both"/>
        <w:rPr>
          <w:rFonts w:asciiTheme="majorBidi" w:hAnsiTheme="majorBidi" w:cstheme="majorBidi"/>
          <w:i/>
          <w:iCs/>
        </w:rPr>
      </w:pPr>
      <w:r w:rsidRPr="00E1110F">
        <w:rPr>
          <w:rFonts w:asciiTheme="majorBidi" w:hAnsiTheme="majorBidi" w:cstheme="majorBidi"/>
          <w:i/>
          <w:iCs/>
        </w:rPr>
        <w:t xml:space="preserve">Par </w:t>
      </w:r>
      <w:r w:rsidR="00FB2325" w:rsidRPr="00E1110F">
        <w:rPr>
          <w:rFonts w:asciiTheme="majorBidi" w:hAnsiTheme="majorBidi" w:cstheme="majorBidi"/>
          <w:i/>
          <w:iCs/>
        </w:rPr>
        <w:t xml:space="preserve">Regulatora mērītajiem kvalitātes </w:t>
      </w:r>
      <w:r w:rsidR="0032279F" w:rsidRPr="00E1110F">
        <w:rPr>
          <w:rFonts w:asciiTheme="majorBidi" w:hAnsiTheme="majorBidi" w:cstheme="majorBidi"/>
          <w:i/>
          <w:iCs/>
        </w:rPr>
        <w:t xml:space="preserve">vērtēšanas </w:t>
      </w:r>
      <w:r w:rsidR="00FB2325" w:rsidRPr="00E1110F">
        <w:rPr>
          <w:rFonts w:asciiTheme="majorBidi" w:hAnsiTheme="majorBidi" w:cstheme="majorBidi"/>
          <w:i/>
          <w:iCs/>
        </w:rPr>
        <w:t>kritērijiem</w:t>
      </w:r>
    </w:p>
    <w:p w14:paraId="63411528" w14:textId="77777777" w:rsidR="00E1110F" w:rsidRPr="00E1110F" w:rsidRDefault="00E1110F" w:rsidP="004F7E80">
      <w:pPr>
        <w:autoSpaceDE w:val="0"/>
        <w:autoSpaceDN w:val="0"/>
        <w:adjustRightInd w:val="0"/>
        <w:spacing w:line="276" w:lineRule="auto"/>
        <w:ind w:firstLine="720"/>
        <w:jc w:val="both"/>
        <w:rPr>
          <w:rFonts w:asciiTheme="majorBidi" w:hAnsiTheme="majorBidi" w:cstheme="majorBidi"/>
          <w:i/>
          <w:iCs/>
        </w:rPr>
      </w:pPr>
    </w:p>
    <w:p w14:paraId="75361B07" w14:textId="3D8E0949" w:rsidR="00FB2325" w:rsidRDefault="00FB2325"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w:t>
      </w:r>
      <w:r w:rsidR="00F112E0">
        <w:rPr>
          <w:rFonts w:asciiTheme="majorBidi" w:hAnsiTheme="majorBidi" w:cstheme="majorBidi"/>
        </w:rPr>
        <w:t>1</w:t>
      </w:r>
      <w:r w:rsidR="007A6368">
        <w:rPr>
          <w:rFonts w:asciiTheme="majorBidi" w:hAnsiTheme="majorBidi" w:cstheme="majorBidi"/>
        </w:rPr>
        <w:t>7</w:t>
      </w:r>
      <w:r>
        <w:rPr>
          <w:rFonts w:asciiTheme="majorBidi" w:hAnsiTheme="majorBidi" w:cstheme="majorBidi"/>
        </w:rPr>
        <w:t>]</w:t>
      </w:r>
      <w:r w:rsidR="00910661">
        <w:rPr>
          <w:rFonts w:asciiTheme="majorBidi" w:hAnsiTheme="majorBidi" w:cstheme="majorBidi"/>
        </w:rPr>
        <w:t> </w:t>
      </w:r>
      <w:r>
        <w:rPr>
          <w:rFonts w:asciiTheme="majorBidi" w:hAnsiTheme="majorBidi" w:cstheme="majorBidi"/>
        </w:rPr>
        <w:t xml:space="preserve">Pieteicēja uzskata, ka </w:t>
      </w:r>
      <w:r w:rsidR="0032279F">
        <w:rPr>
          <w:rFonts w:asciiTheme="majorBidi" w:hAnsiTheme="majorBidi" w:cstheme="majorBidi"/>
        </w:rPr>
        <w:t xml:space="preserve">pakalpojumu </w:t>
      </w:r>
      <w:r>
        <w:rPr>
          <w:rFonts w:asciiTheme="majorBidi" w:hAnsiTheme="majorBidi" w:cstheme="majorBidi"/>
        </w:rPr>
        <w:t xml:space="preserve">kvalitātes </w:t>
      </w:r>
      <w:r w:rsidR="0032279F">
        <w:rPr>
          <w:rFonts w:asciiTheme="majorBidi" w:hAnsiTheme="majorBidi" w:cstheme="majorBidi"/>
        </w:rPr>
        <w:t>parametri</w:t>
      </w:r>
      <w:r>
        <w:rPr>
          <w:rFonts w:asciiTheme="majorBidi" w:hAnsiTheme="majorBidi" w:cstheme="majorBidi"/>
        </w:rPr>
        <w:t>, kuros mērījumus veic Regulators (</w:t>
      </w:r>
      <w:r w:rsidR="0032279F">
        <w:rPr>
          <w:rFonts w:asciiTheme="majorBidi" w:hAnsiTheme="majorBidi" w:cstheme="majorBidi"/>
        </w:rPr>
        <w:t>vidējais lejupielādes ātrums, vidējais augšupielādes ātrums, lejupielādes ātrums bez rezultāta, vidējais latentums, vidējā trīce</w:t>
      </w:r>
      <w:r>
        <w:rPr>
          <w:rFonts w:asciiTheme="majorBidi" w:hAnsiTheme="majorBidi" w:cstheme="majorBidi"/>
        </w:rPr>
        <w:t xml:space="preserve">, </w:t>
      </w:r>
      <w:r w:rsidR="0032279F">
        <w:rPr>
          <w:rFonts w:asciiTheme="majorBidi" w:hAnsiTheme="majorBidi" w:cstheme="majorBidi"/>
        </w:rPr>
        <w:t>runas pārraides kvalitāte, vidējais balss zvana savienošanas laiks, nesekmīgo balss zvanu savienojumu īpatsvars)</w:t>
      </w:r>
      <w:r w:rsidR="00F112E0">
        <w:rPr>
          <w:rFonts w:asciiTheme="majorBidi" w:hAnsiTheme="majorBidi" w:cstheme="majorBidi"/>
        </w:rPr>
        <w:t>,</w:t>
      </w:r>
      <w:r w:rsidR="0032279F">
        <w:rPr>
          <w:rFonts w:asciiTheme="majorBidi" w:hAnsiTheme="majorBidi" w:cstheme="majorBidi"/>
        </w:rPr>
        <w:t xml:space="preserve"> </w:t>
      </w:r>
      <w:r>
        <w:rPr>
          <w:rFonts w:asciiTheme="majorBidi" w:hAnsiTheme="majorBidi" w:cstheme="majorBidi"/>
        </w:rPr>
        <w:t xml:space="preserve">ir izvēlēti </w:t>
      </w:r>
      <w:r w:rsidR="0032279F">
        <w:rPr>
          <w:rFonts w:asciiTheme="majorBidi" w:hAnsiTheme="majorBidi" w:cstheme="majorBidi"/>
        </w:rPr>
        <w:t xml:space="preserve">diskriminējoši un </w:t>
      </w:r>
      <w:r>
        <w:rPr>
          <w:rFonts w:asciiTheme="majorBidi" w:hAnsiTheme="majorBidi" w:cstheme="majorBidi"/>
        </w:rPr>
        <w:t>selektīvi par labu favorītam</w:t>
      </w:r>
      <w:r w:rsidR="0032279F">
        <w:rPr>
          <w:rFonts w:asciiTheme="majorBidi" w:hAnsiTheme="majorBidi" w:cstheme="majorBidi"/>
        </w:rPr>
        <w:t>; netiek vērtēti kvalitātes parametri, kuros Regulators arī veic mērījumus un kas saistīti ar pasūtītājas darbības specifiku, bet kuros rādītāji ir augstāki citiem operatoriem (piemēram, lejupielādes ātrums zemāks par 6 un 10 Mbiti/s procentuālā sadalījumā, lejupielādes ātruma mērījumu sadalījums pa ātruma diapazoniem).</w:t>
      </w:r>
    </w:p>
    <w:p w14:paraId="5A57378B" w14:textId="6C3B2DF4" w:rsidR="006720EB" w:rsidRDefault="006720EB"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Senāts šādam apgalvojumam par favorītismu neredz pietiekamu pamatu. Kā redzams, iepirkuma nolikumā paredzētie kritēriji pakalpojuma kvalitātes vērtēšanai praktiski aptver galvenos kvalitātes parametrus, kas minēti </w:t>
      </w:r>
      <w:r w:rsidRPr="006720EB">
        <w:rPr>
          <w:rFonts w:asciiTheme="majorBidi" w:hAnsiTheme="majorBidi" w:cstheme="majorBidi"/>
        </w:rPr>
        <w:t>Regulatora 2017.gada 30.novembra lēmumā Nr.</w:t>
      </w:r>
      <w:r w:rsidR="00F112E0">
        <w:rPr>
          <w:rFonts w:asciiTheme="majorBidi" w:hAnsiTheme="majorBidi" w:cstheme="majorBidi"/>
        </w:rPr>
        <w:t> </w:t>
      </w:r>
      <w:r w:rsidRPr="006720EB">
        <w:rPr>
          <w:rFonts w:asciiTheme="majorBidi" w:hAnsiTheme="majorBidi" w:cstheme="majorBidi"/>
        </w:rPr>
        <w:t>1/31 „Elektronisko sakaru pakalpojumu kvalitātes prasību, kvalitātes pārskatu iesniegšanas un publiskošanas noteikumi”</w:t>
      </w:r>
      <w:r>
        <w:rPr>
          <w:rFonts w:asciiTheme="majorBidi" w:hAnsiTheme="majorBidi" w:cstheme="majorBidi"/>
        </w:rPr>
        <w:t xml:space="preserve">. Kā Senāts jau iepriekš norādīja, tos arī ir pamats uzskatīt par būtiskākajiem kritērijiem mobilo sakaru kvalitātes vērtēšanai. Turpretim pieteicēja nav norādījusi, kādēļ tās piemērveidīgi minētie kvalitātes kritēriji, kuriem ir specifiskāks raksturs, būtu vispārīgi piemērotāki kvalitātes salīdzināšanai, bet norāda tikai uz to, ka tas būtu izdevīgi citiem pretendentiem. Kā jau Senāts iepriekš norādīja, </w:t>
      </w:r>
      <w:r w:rsidR="00463161">
        <w:rPr>
          <w:rFonts w:asciiTheme="majorBidi" w:hAnsiTheme="majorBidi" w:cstheme="majorBidi"/>
        </w:rPr>
        <w:t>pasūtītājam nav pienākuma ignorēt savas vajadzības un noteikt tādus kvalitātes vērtēšanas kritērijus, kas visus tirgus dalībniekus nostādītu vienād</w:t>
      </w:r>
      <w:r w:rsidR="00F112E0">
        <w:rPr>
          <w:rFonts w:asciiTheme="majorBidi" w:hAnsiTheme="majorBidi" w:cstheme="majorBidi"/>
        </w:rPr>
        <w:t>u izredžu</w:t>
      </w:r>
      <w:r w:rsidR="00463161">
        <w:rPr>
          <w:rFonts w:asciiTheme="majorBidi" w:hAnsiTheme="majorBidi" w:cstheme="majorBidi"/>
        </w:rPr>
        <w:t xml:space="preserve"> pozīcijās konkrētā iepirkumā.</w:t>
      </w:r>
    </w:p>
    <w:p w14:paraId="150CBB09" w14:textId="77777777" w:rsidR="00463161" w:rsidRDefault="00463161" w:rsidP="004F7E80">
      <w:pPr>
        <w:autoSpaceDE w:val="0"/>
        <w:autoSpaceDN w:val="0"/>
        <w:adjustRightInd w:val="0"/>
        <w:spacing w:line="276" w:lineRule="auto"/>
        <w:ind w:firstLine="720"/>
        <w:jc w:val="both"/>
        <w:rPr>
          <w:rFonts w:asciiTheme="majorBidi" w:hAnsiTheme="majorBidi" w:cstheme="majorBidi"/>
        </w:rPr>
      </w:pPr>
    </w:p>
    <w:p w14:paraId="75CF0EEE" w14:textId="5FC0324E" w:rsidR="00463161" w:rsidRDefault="00463161"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w:t>
      </w:r>
      <w:r w:rsidR="0013406E">
        <w:rPr>
          <w:rFonts w:asciiTheme="majorBidi" w:hAnsiTheme="majorBidi" w:cstheme="majorBidi"/>
        </w:rPr>
        <w:t>1</w:t>
      </w:r>
      <w:r w:rsidR="007A6368">
        <w:rPr>
          <w:rFonts w:asciiTheme="majorBidi" w:hAnsiTheme="majorBidi" w:cstheme="majorBidi"/>
        </w:rPr>
        <w:t>8</w:t>
      </w:r>
      <w:r>
        <w:rPr>
          <w:rFonts w:asciiTheme="majorBidi" w:hAnsiTheme="majorBidi" w:cstheme="majorBidi"/>
        </w:rPr>
        <w:t>]</w:t>
      </w:r>
      <w:r w:rsidR="00910661">
        <w:rPr>
          <w:rFonts w:asciiTheme="majorBidi" w:hAnsiTheme="majorBidi" w:cstheme="majorBidi"/>
        </w:rPr>
        <w:t> </w:t>
      </w:r>
      <w:r>
        <w:rPr>
          <w:rFonts w:asciiTheme="majorBidi" w:hAnsiTheme="majorBidi" w:cstheme="majorBidi"/>
        </w:rPr>
        <w:t xml:space="preserve">Pieteicēja norāda, ka </w:t>
      </w:r>
      <w:r w:rsidR="009A1C90">
        <w:rPr>
          <w:rFonts w:asciiTheme="majorBidi" w:hAnsiTheme="majorBidi" w:cstheme="majorBidi"/>
        </w:rPr>
        <w:t xml:space="preserve">daļu no </w:t>
      </w:r>
      <w:r>
        <w:rPr>
          <w:rFonts w:asciiTheme="majorBidi" w:hAnsiTheme="majorBidi" w:cstheme="majorBidi"/>
        </w:rPr>
        <w:t>kvalitātes parametr</w:t>
      </w:r>
      <w:r w:rsidR="009A1C90">
        <w:rPr>
          <w:rFonts w:asciiTheme="majorBidi" w:hAnsiTheme="majorBidi" w:cstheme="majorBidi"/>
        </w:rPr>
        <w:t>iem</w:t>
      </w:r>
      <w:r>
        <w:rPr>
          <w:rFonts w:asciiTheme="majorBidi" w:hAnsiTheme="majorBidi" w:cstheme="majorBidi"/>
        </w:rPr>
        <w:t xml:space="preserve"> Regulators vairs </w:t>
      </w:r>
      <w:r w:rsidR="009A1C90">
        <w:rPr>
          <w:rFonts w:asciiTheme="majorBidi" w:hAnsiTheme="majorBidi" w:cstheme="majorBidi"/>
        </w:rPr>
        <w:t>nemēra</w:t>
      </w:r>
      <w:r>
        <w:rPr>
          <w:rFonts w:asciiTheme="majorBidi" w:hAnsiTheme="majorBidi" w:cstheme="majorBidi"/>
        </w:rPr>
        <w:t xml:space="preserve">, tādēļ to kontrole nav iespējama un, balstoties uz novērojumiem, arī netiks </w:t>
      </w:r>
      <w:r w:rsidR="009A1C90">
        <w:rPr>
          <w:rFonts w:asciiTheme="majorBidi" w:hAnsiTheme="majorBidi" w:cstheme="majorBidi"/>
        </w:rPr>
        <w:t>veikta</w:t>
      </w:r>
      <w:r>
        <w:rPr>
          <w:rFonts w:asciiTheme="majorBidi" w:hAnsiTheme="majorBidi" w:cstheme="majorBidi"/>
        </w:rPr>
        <w:t>.</w:t>
      </w:r>
    </w:p>
    <w:p w14:paraId="069B3340" w14:textId="4AD98721" w:rsidR="00E1110F" w:rsidRDefault="00840F47"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Pieteicēja </w:t>
      </w:r>
      <w:r w:rsidR="00E1110F">
        <w:rPr>
          <w:rFonts w:asciiTheme="majorBidi" w:hAnsiTheme="majorBidi" w:cstheme="majorBidi"/>
        </w:rPr>
        <w:t xml:space="preserve">kasācijas sūdzībā </w:t>
      </w:r>
      <w:r>
        <w:rPr>
          <w:rFonts w:asciiTheme="majorBidi" w:hAnsiTheme="majorBidi" w:cstheme="majorBidi"/>
        </w:rPr>
        <w:t xml:space="preserve">neprecizē, par kuriem kritērijiem ir runa. </w:t>
      </w:r>
    </w:p>
    <w:p w14:paraId="12CB1DBA" w14:textId="23087617" w:rsidR="00E1110F" w:rsidRDefault="00283E1C"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No rajona </w:t>
      </w:r>
      <w:r w:rsidR="00E1110F">
        <w:rPr>
          <w:rFonts w:asciiTheme="majorBidi" w:hAnsiTheme="majorBidi" w:cstheme="majorBidi"/>
        </w:rPr>
        <w:t>tiesa</w:t>
      </w:r>
      <w:r>
        <w:rPr>
          <w:rFonts w:asciiTheme="majorBidi" w:hAnsiTheme="majorBidi" w:cstheme="majorBidi"/>
        </w:rPr>
        <w:t xml:space="preserve">s sprieduma izriet, </w:t>
      </w:r>
      <w:r w:rsidR="00E1110F">
        <w:rPr>
          <w:rFonts w:asciiTheme="majorBidi" w:hAnsiTheme="majorBidi" w:cstheme="majorBidi"/>
        </w:rPr>
        <w:t xml:space="preserve">ka iepirkuma nolikumā ir paredzēts, ka pieteicējas </w:t>
      </w:r>
      <w:r w:rsidR="00387A27">
        <w:rPr>
          <w:rFonts w:asciiTheme="majorBidi" w:hAnsiTheme="majorBidi" w:cstheme="majorBidi"/>
        </w:rPr>
        <w:t xml:space="preserve">minētajos </w:t>
      </w:r>
      <w:r w:rsidR="00E1110F">
        <w:rPr>
          <w:rFonts w:asciiTheme="majorBidi" w:hAnsiTheme="majorBidi" w:cstheme="majorBidi"/>
        </w:rPr>
        <w:t>kritērijos</w:t>
      </w:r>
      <w:r w:rsidR="006A37DB">
        <w:rPr>
          <w:rFonts w:asciiTheme="majorBidi" w:hAnsiTheme="majorBidi" w:cstheme="majorBidi"/>
        </w:rPr>
        <w:t xml:space="preserve"> </w:t>
      </w:r>
      <w:r w:rsidR="006A37DB" w:rsidRPr="00387A27">
        <w:rPr>
          <w:rFonts w:asciiTheme="majorBidi" w:hAnsiTheme="majorBidi" w:cstheme="majorBidi"/>
        </w:rPr>
        <w:t>norādītās</w:t>
      </w:r>
      <w:r w:rsidR="006A37DB">
        <w:rPr>
          <w:rFonts w:asciiTheme="majorBidi" w:hAnsiTheme="majorBidi" w:cstheme="majorBidi"/>
        </w:rPr>
        <w:t xml:space="preserve"> ziņas tiks salīdzinātas ar ziņām, kas publiski pieejamas Regulatora publiskotajā pārskatā par 2020. un 2021.gadu, ja tāds būs pieejams. </w:t>
      </w:r>
      <w:r w:rsidR="00430AA0">
        <w:rPr>
          <w:rFonts w:asciiTheme="majorBidi" w:hAnsiTheme="majorBidi" w:cstheme="majorBidi"/>
        </w:rPr>
        <w:t xml:space="preserve">Tiesa </w:t>
      </w:r>
      <w:r w:rsidR="009A1C90">
        <w:rPr>
          <w:rFonts w:asciiTheme="majorBidi" w:hAnsiTheme="majorBidi" w:cstheme="majorBidi"/>
        </w:rPr>
        <w:t xml:space="preserve">to ņēma vērā un </w:t>
      </w:r>
      <w:r w:rsidR="00430AA0">
        <w:rPr>
          <w:rFonts w:asciiTheme="majorBidi" w:hAnsiTheme="majorBidi" w:cstheme="majorBidi"/>
        </w:rPr>
        <w:t xml:space="preserve">uzsvēra, ka Regulatora mērījumu izmantošana paredzēta tikai pretendentu norādīto ziņu pārbaudei un </w:t>
      </w:r>
      <w:r w:rsidR="00F112E0">
        <w:rPr>
          <w:rFonts w:asciiTheme="majorBidi" w:hAnsiTheme="majorBidi" w:cstheme="majorBidi"/>
        </w:rPr>
        <w:t xml:space="preserve">pretendentu sniegto ziņu </w:t>
      </w:r>
      <w:r w:rsidR="00430AA0">
        <w:rPr>
          <w:rFonts w:asciiTheme="majorBidi" w:hAnsiTheme="majorBidi" w:cstheme="majorBidi"/>
        </w:rPr>
        <w:t>iespējamā atšķirība laika ziņā no pēdējiem pieejamiem Regulatora mērījumiem pat</w:t>
      </w:r>
      <w:r w:rsidR="009A1C90">
        <w:rPr>
          <w:rFonts w:asciiTheme="majorBidi" w:hAnsiTheme="majorBidi" w:cstheme="majorBidi"/>
        </w:rPr>
        <w:t>i</w:t>
      </w:r>
      <w:r w:rsidR="00430AA0">
        <w:rPr>
          <w:rFonts w:asciiTheme="majorBidi" w:hAnsiTheme="majorBidi" w:cstheme="majorBidi"/>
        </w:rPr>
        <w:t xml:space="preserve"> par sevi nav iemesls, lai izslēgtu visādi citādi kvalitātes vērtēšanai </w:t>
      </w:r>
      <w:r>
        <w:rPr>
          <w:rFonts w:asciiTheme="majorBidi" w:hAnsiTheme="majorBidi" w:cstheme="majorBidi"/>
        </w:rPr>
        <w:t>piemērotus</w:t>
      </w:r>
      <w:r w:rsidR="00430AA0">
        <w:rPr>
          <w:rFonts w:asciiTheme="majorBidi" w:hAnsiTheme="majorBidi" w:cstheme="majorBidi"/>
        </w:rPr>
        <w:t xml:space="preserve"> parametrus. </w:t>
      </w:r>
      <w:r>
        <w:rPr>
          <w:rFonts w:asciiTheme="majorBidi" w:hAnsiTheme="majorBidi" w:cstheme="majorBidi"/>
        </w:rPr>
        <w:t>Attiecībā uz pieteicēj</w:t>
      </w:r>
      <w:r w:rsidR="009A1C90">
        <w:rPr>
          <w:rFonts w:asciiTheme="majorBidi" w:hAnsiTheme="majorBidi" w:cstheme="majorBidi"/>
        </w:rPr>
        <w:t>a</w:t>
      </w:r>
      <w:r>
        <w:rPr>
          <w:rFonts w:asciiTheme="majorBidi" w:hAnsiTheme="majorBidi" w:cstheme="majorBidi"/>
        </w:rPr>
        <w:t xml:space="preserve">s </w:t>
      </w:r>
      <w:r>
        <w:rPr>
          <w:rFonts w:asciiTheme="majorBidi" w:hAnsiTheme="majorBidi" w:cstheme="majorBidi"/>
        </w:rPr>
        <w:lastRenderedPageBreak/>
        <w:t xml:space="preserve">ieteikto faktisko testēšanu </w:t>
      </w:r>
      <w:r w:rsidR="00C95259">
        <w:rPr>
          <w:rFonts w:asciiTheme="majorBidi" w:hAnsiTheme="majorBidi" w:cstheme="majorBidi"/>
        </w:rPr>
        <w:t xml:space="preserve">pasūtītājai nepieciešamajās lokācijās </w:t>
      </w:r>
      <w:r>
        <w:rPr>
          <w:rFonts w:asciiTheme="majorBidi" w:hAnsiTheme="majorBidi" w:cstheme="majorBidi"/>
        </w:rPr>
        <w:t>tiesa norādījusi, ka no pasūtītājas nav prasāma nesamērīgi sarežģītu mērījumu veikšana, ja attiecīgo ziņu pārbaude ir iespējama, izmantojot jau esošos datus.</w:t>
      </w:r>
    </w:p>
    <w:p w14:paraId="69B34B78" w14:textId="1F8DCD3D" w:rsidR="009A1C90" w:rsidRDefault="009A1C90"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Pieteicējas kasācijas sūdzībā arī šajā daļā ir vienīgi nepiekrišana tiesas vērtējumam, nesniedzot konkrētākus faktus un apsvērumus, kas iebildumu pamatotu. </w:t>
      </w:r>
      <w:r w:rsidR="00C95259">
        <w:rPr>
          <w:rFonts w:asciiTheme="majorBidi" w:hAnsiTheme="majorBidi" w:cstheme="majorBidi"/>
        </w:rPr>
        <w:t xml:space="preserve">Pieteicēja vienkārši apgalvo, ka faktiskā testēšana </w:t>
      </w:r>
      <w:r w:rsidR="00F112E0">
        <w:rPr>
          <w:rFonts w:asciiTheme="majorBidi" w:hAnsiTheme="majorBidi" w:cstheme="majorBidi"/>
        </w:rPr>
        <w:t xml:space="preserve">pasūtītājai nepieciešamās vietās </w:t>
      </w:r>
      <w:r w:rsidR="00C95259">
        <w:rPr>
          <w:rFonts w:asciiTheme="majorBidi" w:hAnsiTheme="majorBidi" w:cstheme="majorBidi"/>
        </w:rPr>
        <w:t xml:space="preserve">ir vienkāršs un lēts veids, nesaistot to ar pasūtītājas argumentāciju par mobilo sakaru nepieciešamību visā valsts teritorijā. </w:t>
      </w:r>
      <w:r>
        <w:rPr>
          <w:rFonts w:asciiTheme="majorBidi" w:hAnsiTheme="majorBidi" w:cstheme="majorBidi"/>
        </w:rPr>
        <w:t>Senāts nesaskata pamatu atzīt, ka rajona tiesas vērtējums būtu kļūdains.</w:t>
      </w:r>
    </w:p>
    <w:p w14:paraId="362B6B9F" w14:textId="203BF1F8" w:rsidR="00B91023" w:rsidRDefault="009A1C90"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Senāts arī piekrīt rajona tiesai, ka t</w:t>
      </w:r>
      <w:r w:rsidR="00B91023">
        <w:rPr>
          <w:rFonts w:asciiTheme="majorBidi" w:hAnsiTheme="majorBidi" w:cstheme="majorBidi"/>
        </w:rPr>
        <w:t>as, ka</w:t>
      </w:r>
      <w:r w:rsidR="00E1110F">
        <w:rPr>
          <w:rFonts w:asciiTheme="majorBidi" w:hAnsiTheme="majorBidi" w:cstheme="majorBidi"/>
        </w:rPr>
        <w:t xml:space="preserve"> pasūtītāja līguma laikā nekontrolēs pakalpojuma kvalitāti</w:t>
      </w:r>
      <w:r w:rsidR="00B91023">
        <w:rPr>
          <w:rFonts w:asciiTheme="majorBidi" w:hAnsiTheme="majorBidi" w:cstheme="majorBidi"/>
        </w:rPr>
        <w:t xml:space="preserve">, ir pieņēmums, </w:t>
      </w:r>
      <w:r w:rsidR="00AB7DB9">
        <w:rPr>
          <w:rFonts w:asciiTheme="majorBidi" w:hAnsiTheme="majorBidi" w:cstheme="majorBidi"/>
        </w:rPr>
        <w:t>un pats par sevi neliek uzskatīt par nepieļaujamiem vispārīgi pieņemtus pakalpojuma kvalitātes parametrus kā piedāvājuma vērtēšanas kritērijus</w:t>
      </w:r>
      <w:r w:rsidR="00B91023">
        <w:rPr>
          <w:rFonts w:asciiTheme="majorBidi" w:hAnsiTheme="majorBidi" w:cstheme="majorBidi"/>
        </w:rPr>
        <w:t>.</w:t>
      </w:r>
    </w:p>
    <w:p w14:paraId="47588E1E" w14:textId="77777777" w:rsidR="00AB7DB9" w:rsidRDefault="00AB7DB9" w:rsidP="004F7E80">
      <w:pPr>
        <w:autoSpaceDE w:val="0"/>
        <w:autoSpaceDN w:val="0"/>
        <w:adjustRightInd w:val="0"/>
        <w:spacing w:line="276" w:lineRule="auto"/>
        <w:ind w:firstLine="720"/>
        <w:jc w:val="both"/>
        <w:rPr>
          <w:rFonts w:asciiTheme="majorBidi" w:hAnsiTheme="majorBidi" w:cstheme="majorBidi"/>
        </w:rPr>
      </w:pPr>
    </w:p>
    <w:p w14:paraId="5DCC18D6" w14:textId="4FF40DDA" w:rsidR="00AB7DB9" w:rsidRPr="00C95259" w:rsidRDefault="00E1110F" w:rsidP="004F7E80">
      <w:pPr>
        <w:autoSpaceDE w:val="0"/>
        <w:autoSpaceDN w:val="0"/>
        <w:adjustRightInd w:val="0"/>
        <w:spacing w:line="276" w:lineRule="auto"/>
        <w:ind w:firstLine="720"/>
        <w:jc w:val="both"/>
        <w:rPr>
          <w:rFonts w:asciiTheme="majorBidi" w:hAnsiTheme="majorBidi" w:cstheme="majorBidi"/>
          <w:i/>
          <w:iCs/>
        </w:rPr>
      </w:pPr>
      <w:r w:rsidRPr="00C95259">
        <w:rPr>
          <w:rFonts w:asciiTheme="majorBidi" w:hAnsiTheme="majorBidi" w:cstheme="majorBidi"/>
          <w:i/>
          <w:iCs/>
        </w:rPr>
        <w:t>Par datu pārraidi 5G tīklā Latvijā kā kvalitātes vērtēšanas kritēriju</w:t>
      </w:r>
    </w:p>
    <w:p w14:paraId="4A803770" w14:textId="77777777" w:rsidR="00C95259" w:rsidRDefault="00C95259" w:rsidP="004F7E80">
      <w:pPr>
        <w:autoSpaceDE w:val="0"/>
        <w:autoSpaceDN w:val="0"/>
        <w:adjustRightInd w:val="0"/>
        <w:spacing w:line="276" w:lineRule="auto"/>
        <w:ind w:firstLine="720"/>
        <w:jc w:val="both"/>
        <w:rPr>
          <w:rFonts w:asciiTheme="majorBidi" w:hAnsiTheme="majorBidi" w:cstheme="majorBidi"/>
        </w:rPr>
      </w:pPr>
    </w:p>
    <w:p w14:paraId="66C5ABD3" w14:textId="78ACAF9F" w:rsidR="00E1110F" w:rsidRDefault="00E1110F"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w:t>
      </w:r>
      <w:r w:rsidR="0013406E">
        <w:rPr>
          <w:rFonts w:asciiTheme="majorBidi" w:hAnsiTheme="majorBidi" w:cstheme="majorBidi"/>
        </w:rPr>
        <w:t>1</w:t>
      </w:r>
      <w:r w:rsidR="007A6368">
        <w:rPr>
          <w:rFonts w:asciiTheme="majorBidi" w:hAnsiTheme="majorBidi" w:cstheme="majorBidi"/>
        </w:rPr>
        <w:t>9</w:t>
      </w:r>
      <w:r>
        <w:rPr>
          <w:rFonts w:asciiTheme="majorBidi" w:hAnsiTheme="majorBidi" w:cstheme="majorBidi"/>
        </w:rPr>
        <w:t>]</w:t>
      </w:r>
      <w:r w:rsidR="00910661">
        <w:rPr>
          <w:rFonts w:asciiTheme="majorBidi" w:hAnsiTheme="majorBidi" w:cstheme="majorBidi"/>
        </w:rPr>
        <w:t> </w:t>
      </w:r>
      <w:r>
        <w:rPr>
          <w:rFonts w:asciiTheme="majorBidi" w:hAnsiTheme="majorBidi" w:cstheme="majorBidi"/>
        </w:rPr>
        <w:t>Pieteicēja iebilst, ka datu pārraide 5G tīklā Latvijā kā piedāvājum</w:t>
      </w:r>
      <w:r w:rsidR="00F112E0">
        <w:rPr>
          <w:rFonts w:asciiTheme="majorBidi" w:hAnsiTheme="majorBidi" w:cstheme="majorBidi"/>
        </w:rPr>
        <w:t>u kvalitātes</w:t>
      </w:r>
      <w:r>
        <w:rPr>
          <w:rFonts w:asciiTheme="majorBidi" w:hAnsiTheme="majorBidi" w:cstheme="majorBidi"/>
        </w:rPr>
        <w:t xml:space="preserve"> vērtēšanas kritērijs ir nepieļaujama tādēļ, ka tajā jau iepriekš ir paredzama punktu piešķiršana „Latvijas </w:t>
      </w:r>
      <w:r w:rsidR="00F112E0">
        <w:rPr>
          <w:rFonts w:asciiTheme="majorBidi" w:hAnsiTheme="majorBidi" w:cstheme="majorBidi"/>
        </w:rPr>
        <w:t>M</w:t>
      </w:r>
      <w:r>
        <w:rPr>
          <w:rFonts w:asciiTheme="majorBidi" w:hAnsiTheme="majorBidi" w:cstheme="majorBidi"/>
        </w:rPr>
        <w:t xml:space="preserve">obilais </w:t>
      </w:r>
      <w:r w:rsidR="00F112E0">
        <w:rPr>
          <w:rFonts w:asciiTheme="majorBidi" w:hAnsiTheme="majorBidi" w:cstheme="majorBidi"/>
        </w:rPr>
        <w:t>T</w:t>
      </w:r>
      <w:r>
        <w:rPr>
          <w:rFonts w:asciiTheme="majorBidi" w:hAnsiTheme="majorBidi" w:cstheme="majorBidi"/>
        </w:rPr>
        <w:t>elefons” SIA.</w:t>
      </w:r>
    </w:p>
    <w:p w14:paraId="052672BE" w14:textId="6EC54CE6" w:rsidR="00E1110F" w:rsidRDefault="00E1110F"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Arī par šo kritēriju Senāts norāda, ka iespēja jau iepriekš paredzēt rezultātu neizslēdz iespēju šo kritēriju izmantot</w:t>
      </w:r>
      <w:r w:rsidR="009A1C90">
        <w:rPr>
          <w:rFonts w:asciiTheme="majorBidi" w:hAnsiTheme="majorBidi" w:cstheme="majorBidi"/>
        </w:rPr>
        <w:t>, un konkrētajā tirgū ar šādu caurredzamību ir jārēķinās</w:t>
      </w:r>
      <w:r>
        <w:rPr>
          <w:rFonts w:asciiTheme="majorBidi" w:hAnsiTheme="majorBidi" w:cstheme="majorBidi"/>
        </w:rPr>
        <w:t>. Pieteicēja nav norādījusi, kādēļ šis kritērijs pats par sevi būtu neadekvāts, nelietderīgs, nesamērīgs vai citādi liecinātu par favorītismu vienam pretendentam.</w:t>
      </w:r>
    </w:p>
    <w:p w14:paraId="3755BF33" w14:textId="77777777" w:rsidR="00E1110F" w:rsidRDefault="00E1110F" w:rsidP="004F7E80">
      <w:pPr>
        <w:autoSpaceDE w:val="0"/>
        <w:autoSpaceDN w:val="0"/>
        <w:adjustRightInd w:val="0"/>
        <w:spacing w:line="276" w:lineRule="auto"/>
        <w:ind w:firstLine="720"/>
        <w:jc w:val="both"/>
        <w:rPr>
          <w:rFonts w:asciiTheme="majorBidi" w:hAnsiTheme="majorBidi" w:cstheme="majorBidi"/>
        </w:rPr>
      </w:pPr>
    </w:p>
    <w:p w14:paraId="2E88D9DE" w14:textId="7ACB7C32" w:rsidR="00463161" w:rsidRPr="00EF109D" w:rsidRDefault="009A1C90" w:rsidP="004F7E80">
      <w:pPr>
        <w:autoSpaceDE w:val="0"/>
        <w:autoSpaceDN w:val="0"/>
        <w:adjustRightInd w:val="0"/>
        <w:spacing w:line="276" w:lineRule="auto"/>
        <w:ind w:firstLine="720"/>
        <w:jc w:val="both"/>
        <w:rPr>
          <w:rFonts w:asciiTheme="majorBidi" w:hAnsiTheme="majorBidi" w:cstheme="majorBidi"/>
          <w:i/>
          <w:iCs/>
        </w:rPr>
      </w:pPr>
      <w:r w:rsidRPr="00EF109D">
        <w:rPr>
          <w:rFonts w:asciiTheme="majorBidi" w:hAnsiTheme="majorBidi" w:cstheme="majorBidi"/>
          <w:i/>
          <w:iCs/>
        </w:rPr>
        <w:t xml:space="preserve">Par </w:t>
      </w:r>
      <w:r w:rsidR="00C95259" w:rsidRPr="00EF109D">
        <w:rPr>
          <w:rFonts w:asciiTheme="majorBidi" w:hAnsiTheme="majorBidi" w:cstheme="majorBidi"/>
          <w:i/>
          <w:iCs/>
        </w:rPr>
        <w:t>kritēriju ietekmi uz kopvērtējumu</w:t>
      </w:r>
    </w:p>
    <w:p w14:paraId="201D4203" w14:textId="77777777" w:rsidR="00C95259" w:rsidRDefault="00C95259" w:rsidP="004F7E80">
      <w:pPr>
        <w:autoSpaceDE w:val="0"/>
        <w:autoSpaceDN w:val="0"/>
        <w:adjustRightInd w:val="0"/>
        <w:spacing w:line="276" w:lineRule="auto"/>
        <w:ind w:firstLine="720"/>
        <w:jc w:val="both"/>
        <w:rPr>
          <w:rFonts w:asciiTheme="majorBidi" w:hAnsiTheme="majorBidi" w:cstheme="majorBidi"/>
        </w:rPr>
      </w:pPr>
    </w:p>
    <w:p w14:paraId="2D765185" w14:textId="38DB8F73" w:rsidR="00C95259" w:rsidRDefault="00C95259"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w:t>
      </w:r>
      <w:r w:rsidR="007A6368">
        <w:rPr>
          <w:rFonts w:asciiTheme="majorBidi" w:hAnsiTheme="majorBidi" w:cstheme="majorBidi"/>
        </w:rPr>
        <w:t>20</w:t>
      </w:r>
      <w:r>
        <w:rPr>
          <w:rFonts w:asciiTheme="majorBidi" w:hAnsiTheme="majorBidi" w:cstheme="majorBidi"/>
        </w:rPr>
        <w:t>]</w:t>
      </w:r>
      <w:r w:rsidR="00910661">
        <w:rPr>
          <w:rFonts w:asciiTheme="majorBidi" w:hAnsiTheme="majorBidi" w:cstheme="majorBidi"/>
        </w:rPr>
        <w:t> </w:t>
      </w:r>
      <w:r>
        <w:rPr>
          <w:rFonts w:asciiTheme="majorBidi" w:hAnsiTheme="majorBidi" w:cstheme="majorBidi"/>
        </w:rPr>
        <w:t>No pieteicējas kasācijas sūdzības izriet tās viedoklis, ka favorītisms izpaužas dažādo iepriekš</w:t>
      </w:r>
      <w:r w:rsidR="00724124">
        <w:rPr>
          <w:rFonts w:asciiTheme="majorBidi" w:hAnsiTheme="majorBidi" w:cstheme="majorBidi"/>
        </w:rPr>
        <w:t xml:space="preserve"> </w:t>
      </w:r>
      <w:r>
        <w:rPr>
          <w:rFonts w:asciiTheme="majorBidi" w:hAnsiTheme="majorBidi" w:cstheme="majorBidi"/>
        </w:rPr>
        <w:t xml:space="preserve">paredzamo piedāvājumu vērtēšanas kritēriju izvēlē kopsakarā ar tiem piešķirto īpatsvaru. Pieteicēja norāda, ka iespēja konkurēt ar </w:t>
      </w:r>
      <w:r w:rsidR="00F112E0">
        <w:rPr>
          <w:rFonts w:asciiTheme="majorBidi" w:hAnsiTheme="majorBidi" w:cstheme="majorBidi"/>
        </w:rPr>
        <w:t xml:space="preserve">finanšu piedāvājumu, respektīvi, </w:t>
      </w:r>
      <w:r>
        <w:rPr>
          <w:rFonts w:asciiTheme="majorBidi" w:hAnsiTheme="majorBidi" w:cstheme="majorBidi"/>
        </w:rPr>
        <w:t xml:space="preserve">cenu iepretim kvalitātes kritērijiem nav reāla, un to pierāda arī </w:t>
      </w:r>
      <w:r w:rsidR="00724124">
        <w:rPr>
          <w:rFonts w:asciiTheme="majorBidi" w:hAnsiTheme="majorBidi" w:cstheme="majorBidi"/>
        </w:rPr>
        <w:t>iepirkumu prakse.</w:t>
      </w:r>
    </w:p>
    <w:p w14:paraId="55C7ABF1" w14:textId="66F29AA6" w:rsidR="00724124" w:rsidRDefault="00724124"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Rajona tiesa nav konstatējusi, ka bāzes staciju skaitam</w:t>
      </w:r>
      <w:r w:rsidR="00F112E0">
        <w:rPr>
          <w:rFonts w:asciiTheme="majorBidi" w:hAnsiTheme="majorBidi" w:cstheme="majorBidi"/>
        </w:rPr>
        <w:t xml:space="preserve"> kā vērtēšanas kritērijam</w:t>
      </w:r>
      <w:r>
        <w:rPr>
          <w:rFonts w:asciiTheme="majorBidi" w:hAnsiTheme="majorBidi" w:cstheme="majorBidi"/>
        </w:rPr>
        <w:t>, par ko pieteicējai bija vislielākie iebildumi, būtu piešķirts tāds īpatsvars, kas</w:t>
      </w:r>
      <w:r w:rsidR="00D31F69">
        <w:rPr>
          <w:rFonts w:asciiTheme="majorBidi" w:hAnsiTheme="majorBidi" w:cstheme="majorBidi"/>
        </w:rPr>
        <w:t xml:space="preserve"> nesamērīgi un</w:t>
      </w:r>
      <w:r>
        <w:rPr>
          <w:rFonts w:asciiTheme="majorBidi" w:hAnsiTheme="majorBidi" w:cstheme="majorBidi"/>
        </w:rPr>
        <w:t xml:space="preserve"> izšķiroši ietekmētu iepirkuma rezultātu. Pieteicēja attiecīgi argumentē, ka visi kritēriji ir jāvērtē kopsakarā, un ka nozīme ir tam, ka virkne kritēriju ir tādi, par kuriem jau iepriekš paredzami rezultāti.</w:t>
      </w:r>
    </w:p>
    <w:p w14:paraId="1D944AC4" w14:textId="095EAF6E" w:rsidR="00724124" w:rsidRDefault="00724124"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Senāts izprot pieteicējas argumentāciju, ka kvalitātes vērtēšanas kritēriju kombinācija kopā arī var novest pie iepriekš paredzama rezultāta, ja tirgū ir zināmi mērījumi vai citi kvalitātes parametri. Taču, arī skatot visus vērtēšanas kritērijus kopsakarā, pasūtītājam nav jāatsakās no rīcības brīvības iepirkt sev vajadzīgos pakalpojumus (un atbilstoši noteikt konkrētu vērtēšanas kritēriju īpatsvaru atbilstoši savām vajadzībām) tikai tādēļ, ka konkrētajā tirgū par tiem ir pieejamas ziņas un paredzama ietekme uz rezultātu. Ir saprotams, ka ikviens kvalitātes kritērijs kādā kombinācijā var izšķiroši ietekmēt iznākumu, ja tam vispār ir piešķirts kaut kāds īpatsvars piedāvājuma vērtēšanā. Ja vēlētos izslēgt to, ka </w:t>
      </w:r>
      <w:r w:rsidR="00F112E0">
        <w:rPr>
          <w:rFonts w:asciiTheme="majorBidi" w:hAnsiTheme="majorBidi" w:cstheme="majorBidi"/>
        </w:rPr>
        <w:t xml:space="preserve">kāds </w:t>
      </w:r>
      <w:r>
        <w:rPr>
          <w:rFonts w:asciiTheme="majorBidi" w:hAnsiTheme="majorBidi" w:cstheme="majorBidi"/>
        </w:rPr>
        <w:t>kritērijs jebkad izšķiroši ietekmē iznākum</w:t>
      </w:r>
      <w:r w:rsidR="00F112E0">
        <w:rPr>
          <w:rFonts w:asciiTheme="majorBidi" w:hAnsiTheme="majorBidi" w:cstheme="majorBidi"/>
        </w:rPr>
        <w:t>u</w:t>
      </w:r>
      <w:r>
        <w:rPr>
          <w:rFonts w:asciiTheme="majorBidi" w:hAnsiTheme="majorBidi" w:cstheme="majorBidi"/>
        </w:rPr>
        <w:t xml:space="preserve">, būtu vispār šādi kritēriji jāizslēdz. Tā kā konkrētajā gadījumā tas prasītu izslēgt </w:t>
      </w:r>
      <w:r>
        <w:rPr>
          <w:rFonts w:asciiTheme="majorBidi" w:hAnsiTheme="majorBidi" w:cstheme="majorBidi"/>
        </w:rPr>
        <w:lastRenderedPageBreak/>
        <w:t>kvalitātes vērtēšanai pēc būtības piemērotus kritērijus, Senāts šādai pozīcijai nevar piekrist, kā arī nesaskata favorītismu tikai tā iemesla dēļ, ka pasūtītāja nav no šādas kvalitātes vērtēšanas iespējas atteikusies.</w:t>
      </w:r>
    </w:p>
    <w:p w14:paraId="433E0463" w14:textId="45919247" w:rsidR="00724124" w:rsidRDefault="00724124"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Pieteicējas iebildumi, kas liecina tieši par favorītismu, nevis vēlmi iepirkt nepieciešamos pakalpojumus pēc iespējas atbilstošā kvalitātē, ir vienkārši apgalvojumi, kam rajona tiesa nav atradusi pamatu</w:t>
      </w:r>
      <w:r w:rsidR="00EE48F8">
        <w:rPr>
          <w:rFonts w:asciiTheme="majorBidi" w:hAnsiTheme="majorBidi" w:cstheme="majorBidi"/>
        </w:rPr>
        <w:t>, un arī Senāts nesaskata kļūdas tiesas secinājumos.</w:t>
      </w:r>
    </w:p>
    <w:p w14:paraId="766AD6D9" w14:textId="355F6D7B" w:rsidR="00EE48F8" w:rsidRDefault="00EE48F8"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Arī tas, ka </w:t>
      </w:r>
      <w:r w:rsidR="00EF109D">
        <w:rPr>
          <w:rFonts w:asciiTheme="majorBidi" w:hAnsiTheme="majorBidi" w:cstheme="majorBidi"/>
        </w:rPr>
        <w:t xml:space="preserve">zemāku </w:t>
      </w:r>
      <w:r>
        <w:rPr>
          <w:rFonts w:asciiTheme="majorBidi" w:hAnsiTheme="majorBidi" w:cstheme="majorBidi"/>
        </w:rPr>
        <w:t xml:space="preserve">kvalitātes kritēriju novērtējumu nav iespējams atsvērt ar cenu, pats par sevi neliecina par favorītismu. Kvalitātes un cenas kritērija </w:t>
      </w:r>
      <w:r w:rsidR="00F112E0">
        <w:rPr>
          <w:rFonts w:asciiTheme="majorBidi" w:hAnsiTheme="majorBidi" w:cstheme="majorBidi"/>
        </w:rPr>
        <w:t xml:space="preserve">līdzsvarošana </w:t>
      </w:r>
      <w:r>
        <w:rPr>
          <w:rFonts w:asciiTheme="majorBidi" w:hAnsiTheme="majorBidi" w:cstheme="majorBidi"/>
        </w:rPr>
        <w:t xml:space="preserve">kā piedāvājuma saimnieciskā izdevīguma </w:t>
      </w:r>
      <w:r w:rsidR="00F112E0">
        <w:rPr>
          <w:rFonts w:asciiTheme="majorBidi" w:hAnsiTheme="majorBidi" w:cstheme="majorBidi"/>
        </w:rPr>
        <w:t xml:space="preserve">noskaidrošanas instruments </w:t>
      </w:r>
      <w:r>
        <w:rPr>
          <w:rFonts w:asciiTheme="majorBidi" w:hAnsiTheme="majorBidi" w:cstheme="majorBidi"/>
        </w:rPr>
        <w:t xml:space="preserve">ir ikviena publiskā iepircēja rīcības brīvība, kā jau Senāts to </w:t>
      </w:r>
      <w:r w:rsidR="00D31F69">
        <w:rPr>
          <w:rFonts w:asciiTheme="majorBidi" w:hAnsiTheme="majorBidi" w:cstheme="majorBidi"/>
        </w:rPr>
        <w:t xml:space="preserve">iepriekš </w:t>
      </w:r>
      <w:r>
        <w:rPr>
          <w:rFonts w:asciiTheme="majorBidi" w:hAnsiTheme="majorBidi" w:cstheme="majorBidi"/>
        </w:rPr>
        <w:t>norādīja</w:t>
      </w:r>
      <w:r w:rsidR="00D31F69">
        <w:rPr>
          <w:rFonts w:asciiTheme="majorBidi" w:hAnsiTheme="majorBidi" w:cstheme="majorBidi"/>
        </w:rPr>
        <w:t xml:space="preserve"> ar atsauci uz </w:t>
      </w:r>
      <w:r>
        <w:rPr>
          <w:rFonts w:asciiTheme="majorBidi" w:hAnsiTheme="majorBidi" w:cstheme="majorBidi"/>
        </w:rPr>
        <w:t>Publisko iepirkumu likuma 51.pantu.</w:t>
      </w:r>
      <w:r w:rsidR="00D31F69">
        <w:rPr>
          <w:rFonts w:asciiTheme="majorBidi" w:hAnsiTheme="majorBidi" w:cstheme="majorBidi"/>
        </w:rPr>
        <w:t xml:space="preserve"> No pieteicējas iebildumiem būtībā izriet, ka pasūtītājam būtu jānosaka tāds kritēriju veids un īpatsvars, kas ļautu uzvarēt arī citiem pretendentiem, ne tikai tam, kas konkurē ar kvalitatīvāko piedāvājumu. Senāts neatrod tam pamatu Publisko iepirkumu likumā vai Publisko iepirkumu direktīvā. Kā jau iepriekš norādīts, konkurence izpaužas, tirgus dalībniekiem konkurējot reizē ar kvalitāti un cenu.</w:t>
      </w:r>
    </w:p>
    <w:p w14:paraId="3CC54ECB" w14:textId="24D6B5AB" w:rsidR="00F602C8" w:rsidRDefault="00EF109D"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Pieteicēja argumentē arī attiecībā uz to, ka, tā kā daļā cenas komponenšu tirgus dalībnieki nekonkurē (visi tajās piedāvā 0), </w:t>
      </w:r>
      <w:r w:rsidRPr="00EF109D">
        <w:rPr>
          <w:rFonts w:asciiTheme="majorBidi" w:hAnsiTheme="majorBidi" w:cstheme="majorBidi"/>
        </w:rPr>
        <w:t>visu to kvalitātes un cenas kritēriju īpatsvars, kuros iespējama efektīva konkurence (kopā 47 % no kopvērtējuma), ir būtiski mazs</w:t>
      </w:r>
      <w:r>
        <w:rPr>
          <w:rFonts w:asciiTheme="majorBidi" w:hAnsiTheme="majorBidi" w:cstheme="majorBidi"/>
        </w:rPr>
        <w:t xml:space="preserve"> un</w:t>
      </w:r>
      <w:r w:rsidRPr="00EF109D">
        <w:rPr>
          <w:rFonts w:asciiTheme="majorBidi" w:hAnsiTheme="majorBidi" w:cstheme="majorBidi"/>
        </w:rPr>
        <w:t xml:space="preserve"> nevar ietekmēt kopvērtējumu.</w:t>
      </w:r>
      <w:r>
        <w:rPr>
          <w:rFonts w:asciiTheme="majorBidi" w:hAnsiTheme="majorBidi" w:cstheme="majorBidi"/>
        </w:rPr>
        <w:t xml:space="preserve"> Senāta ieskatā, 47 % no kopvērtējuma cenai pats par sevi nav tāds īpatsvars, kas liktu domāt, ka </w:t>
      </w:r>
      <w:r w:rsidR="00F602C8">
        <w:rPr>
          <w:rFonts w:asciiTheme="majorBidi" w:hAnsiTheme="majorBidi" w:cstheme="majorBidi"/>
        </w:rPr>
        <w:t>pasūtītājas apsvērumi par to, kas tai ir saimnieciski izdevīgi, būtu neadekvāti, nesaimnieciski un favorītiski.</w:t>
      </w:r>
    </w:p>
    <w:p w14:paraId="7420F132" w14:textId="77777777" w:rsidR="00724124" w:rsidRDefault="00724124" w:rsidP="004F7E80">
      <w:pPr>
        <w:autoSpaceDE w:val="0"/>
        <w:autoSpaceDN w:val="0"/>
        <w:adjustRightInd w:val="0"/>
        <w:spacing w:line="276" w:lineRule="auto"/>
        <w:ind w:firstLine="720"/>
        <w:jc w:val="both"/>
        <w:rPr>
          <w:rFonts w:asciiTheme="majorBidi" w:hAnsiTheme="majorBidi" w:cstheme="majorBidi"/>
        </w:rPr>
      </w:pPr>
    </w:p>
    <w:p w14:paraId="69E5B9B0" w14:textId="6601F87D" w:rsidR="00F602C8" w:rsidRDefault="00F602C8" w:rsidP="004F7E80">
      <w:pPr>
        <w:autoSpaceDE w:val="0"/>
        <w:autoSpaceDN w:val="0"/>
        <w:adjustRightInd w:val="0"/>
        <w:spacing w:line="276" w:lineRule="auto"/>
        <w:ind w:firstLine="720"/>
        <w:jc w:val="both"/>
        <w:rPr>
          <w:rFonts w:asciiTheme="majorBidi" w:hAnsiTheme="majorBidi" w:cstheme="majorBidi"/>
          <w:i/>
          <w:iCs/>
        </w:rPr>
      </w:pPr>
      <w:r w:rsidRPr="00D726B5">
        <w:rPr>
          <w:rFonts w:asciiTheme="majorBidi" w:hAnsiTheme="majorBidi" w:cstheme="majorBidi"/>
          <w:i/>
          <w:iCs/>
        </w:rPr>
        <w:t>Par Iepirkumu uzraudzības biroja atrašanos pasūtītājas pārraudzībā</w:t>
      </w:r>
    </w:p>
    <w:p w14:paraId="447D526D" w14:textId="77777777" w:rsidR="00F112E0" w:rsidRPr="00D726B5" w:rsidRDefault="00F112E0" w:rsidP="004F7E80">
      <w:pPr>
        <w:autoSpaceDE w:val="0"/>
        <w:autoSpaceDN w:val="0"/>
        <w:adjustRightInd w:val="0"/>
        <w:spacing w:line="276" w:lineRule="auto"/>
        <w:ind w:firstLine="720"/>
        <w:jc w:val="both"/>
        <w:rPr>
          <w:rFonts w:asciiTheme="majorBidi" w:hAnsiTheme="majorBidi" w:cstheme="majorBidi"/>
          <w:i/>
          <w:iCs/>
        </w:rPr>
      </w:pPr>
    </w:p>
    <w:p w14:paraId="2606B916" w14:textId="58631B60" w:rsidR="00C95259" w:rsidRDefault="00EF109D"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w:t>
      </w:r>
      <w:r w:rsidR="007A6368">
        <w:rPr>
          <w:rFonts w:asciiTheme="majorBidi" w:hAnsiTheme="majorBidi" w:cstheme="majorBidi"/>
        </w:rPr>
        <w:t>21</w:t>
      </w:r>
      <w:r>
        <w:rPr>
          <w:rFonts w:asciiTheme="majorBidi" w:hAnsiTheme="majorBidi" w:cstheme="majorBidi"/>
        </w:rPr>
        <w:t>]</w:t>
      </w:r>
      <w:r w:rsidR="00910661">
        <w:rPr>
          <w:rFonts w:asciiTheme="majorBidi" w:hAnsiTheme="majorBidi" w:cstheme="majorBidi"/>
        </w:rPr>
        <w:t> </w:t>
      </w:r>
      <w:r w:rsidR="00F602C8">
        <w:rPr>
          <w:rFonts w:asciiTheme="majorBidi" w:hAnsiTheme="majorBidi" w:cstheme="majorBidi"/>
        </w:rPr>
        <w:t xml:space="preserve">Pieteicēja norāda, ka Iepirkumu uzraudzības </w:t>
      </w:r>
      <w:r w:rsidR="00611056">
        <w:rPr>
          <w:rFonts w:asciiTheme="majorBidi" w:hAnsiTheme="majorBidi" w:cstheme="majorBidi"/>
        </w:rPr>
        <w:t xml:space="preserve">biroja </w:t>
      </w:r>
      <w:r w:rsidR="00F602C8">
        <w:rPr>
          <w:rFonts w:asciiTheme="majorBidi" w:hAnsiTheme="majorBidi" w:cstheme="majorBidi"/>
        </w:rPr>
        <w:t>atrašanās pasūtītājas Finanšu ministrijas pārraudzībā nenodrošina efektīvu pārskatīšanas mehānismu.</w:t>
      </w:r>
    </w:p>
    <w:p w14:paraId="1D1C09C8" w14:textId="77777777" w:rsidR="00611056" w:rsidRDefault="00F602C8" w:rsidP="004F7E80">
      <w:pPr>
        <w:autoSpaceDE w:val="0"/>
        <w:autoSpaceDN w:val="0"/>
        <w:adjustRightInd w:val="0"/>
        <w:spacing w:line="276" w:lineRule="auto"/>
        <w:ind w:firstLine="720"/>
        <w:jc w:val="both"/>
        <w:rPr>
          <w:rFonts w:asciiTheme="majorBidi" w:hAnsiTheme="majorBidi" w:cstheme="majorBidi"/>
        </w:rPr>
      </w:pPr>
      <w:r w:rsidRPr="00D726B5">
        <w:rPr>
          <w:rFonts w:asciiTheme="majorBidi" w:hAnsiTheme="majorBidi" w:cstheme="majorBidi"/>
        </w:rPr>
        <w:t>Senāts norāda, ka, ievērojot valsts pārvald</w:t>
      </w:r>
      <w:r w:rsidR="00D726B5" w:rsidRPr="00D726B5">
        <w:rPr>
          <w:rFonts w:asciiTheme="majorBidi" w:hAnsiTheme="majorBidi" w:cstheme="majorBidi"/>
        </w:rPr>
        <w:t xml:space="preserve">ē vispārīgi pastāvošo padotību, </w:t>
      </w:r>
      <w:r w:rsidR="00611056">
        <w:rPr>
          <w:rFonts w:asciiTheme="majorBidi" w:hAnsiTheme="majorBidi" w:cstheme="majorBidi"/>
        </w:rPr>
        <w:t xml:space="preserve">arī </w:t>
      </w:r>
      <w:r w:rsidR="00D726B5" w:rsidRPr="00D726B5">
        <w:rPr>
          <w:rFonts w:asciiTheme="majorBidi" w:hAnsiTheme="majorBidi" w:cstheme="majorBidi"/>
        </w:rPr>
        <w:t xml:space="preserve">Iepirkumu uzraudzības birojs </w:t>
      </w:r>
      <w:r w:rsidR="00611056">
        <w:rPr>
          <w:rFonts w:asciiTheme="majorBidi" w:hAnsiTheme="majorBidi" w:cstheme="majorBidi"/>
        </w:rPr>
        <w:t xml:space="preserve">ir padotības ķēdē, proti, tas </w:t>
      </w:r>
      <w:r w:rsidR="00D726B5" w:rsidRPr="00D726B5">
        <w:rPr>
          <w:rFonts w:asciiTheme="majorBidi" w:hAnsiTheme="majorBidi" w:cstheme="majorBidi"/>
        </w:rPr>
        <w:t xml:space="preserve">atrodas Finanšu ministrijas pārraudzībā atbilstoši Ministru kabineta 2004.gada 26.oktobra noteikumu Nr. 893 „Iepirkumu uzraudzības biroja nolikums” 1.punktam. </w:t>
      </w:r>
    </w:p>
    <w:p w14:paraId="29D5638F" w14:textId="34D27884" w:rsidR="00C95259" w:rsidRDefault="00D726B5" w:rsidP="004F7E80">
      <w:pPr>
        <w:autoSpaceDE w:val="0"/>
        <w:autoSpaceDN w:val="0"/>
        <w:adjustRightInd w:val="0"/>
        <w:spacing w:line="276" w:lineRule="auto"/>
        <w:ind w:firstLine="720"/>
        <w:jc w:val="both"/>
        <w:rPr>
          <w:rFonts w:asciiTheme="majorBidi" w:hAnsiTheme="majorBidi" w:cstheme="majorBidi"/>
        </w:rPr>
      </w:pPr>
      <w:r w:rsidRPr="00D726B5">
        <w:rPr>
          <w:rFonts w:asciiTheme="majorBidi" w:hAnsiTheme="majorBidi" w:cstheme="majorBidi"/>
        </w:rPr>
        <w:t xml:space="preserve">Atbilstoši Valsts pārvaldes iekārtas likuma 7.panta piektajai daļai pārraudzība </w:t>
      </w:r>
      <w:r>
        <w:rPr>
          <w:rFonts w:asciiTheme="majorBidi" w:hAnsiTheme="majorBidi" w:cstheme="majorBidi"/>
        </w:rPr>
        <w:t xml:space="preserve">ir brīvākā padotības forma, proti, tā </w:t>
      </w:r>
      <w:r w:rsidRPr="00D726B5">
        <w:rPr>
          <w:rFonts w:asciiTheme="majorBidi" w:hAnsiTheme="majorBidi" w:cstheme="majorBidi"/>
        </w:rPr>
        <w:t>nozīmē augstākas iestādes vai amatpersonas tiesības pārbaudīt zemākas iestādes vai amatpersonas lēmuma tiesiskumu un atcelt prettiesisku lēmumu, kā arī prettiesiskas bezdarbības gadījumā dot rīkojumu pieņemt lēmumu</w:t>
      </w:r>
      <w:r w:rsidR="00611056">
        <w:rPr>
          <w:rFonts w:asciiTheme="majorBidi" w:hAnsiTheme="majorBidi" w:cstheme="majorBidi"/>
        </w:rPr>
        <w:t>. Tā</w:t>
      </w:r>
      <w:r>
        <w:rPr>
          <w:rFonts w:asciiTheme="majorBidi" w:hAnsiTheme="majorBidi" w:cstheme="majorBidi"/>
        </w:rPr>
        <w:t xml:space="preserve"> neparedz lēmumu lietderības kontroli.</w:t>
      </w:r>
      <w:r w:rsidR="00611056">
        <w:rPr>
          <w:rFonts w:asciiTheme="majorBidi" w:hAnsiTheme="majorBidi" w:cstheme="majorBidi"/>
        </w:rPr>
        <w:t xml:space="preserve"> Līdz ar to, ievērojot valsts pārvaldē pastāvošo padotību, pārskatīšanas procedūrā ir nodrošināta pēc iespējas lielāka Iepirkumu uzraudzības biroja patstāvība.</w:t>
      </w:r>
    </w:p>
    <w:p w14:paraId="2A87EBAD" w14:textId="7F4E0900" w:rsidR="00D726B5" w:rsidRDefault="00611056"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Bet izšķiroši ir tas, ka </w:t>
      </w:r>
      <w:r w:rsidR="00D726B5">
        <w:rPr>
          <w:rFonts w:asciiTheme="majorBidi" w:hAnsiTheme="majorBidi" w:cstheme="majorBidi"/>
        </w:rPr>
        <w:t xml:space="preserve">Iepirkumu uzraudzības biroja lēmumu ir iespējams pārbaudīt neatkarīgā tiesā, kas </w:t>
      </w:r>
      <w:r w:rsidR="003B5BF4">
        <w:rPr>
          <w:rFonts w:asciiTheme="majorBidi" w:hAnsiTheme="majorBidi" w:cstheme="majorBidi"/>
        </w:rPr>
        <w:t>kontrolē biroja lēmumu saistībā ar</w:t>
      </w:r>
      <w:r w:rsidR="00D726B5">
        <w:rPr>
          <w:rFonts w:asciiTheme="majorBidi" w:hAnsiTheme="majorBidi" w:cstheme="majorBidi"/>
        </w:rPr>
        <w:t xml:space="preserve"> hipotētisko risku, ka padotības situācija varētu būtu ietekmējusi biroja lēmumu. </w:t>
      </w:r>
      <w:r>
        <w:rPr>
          <w:rFonts w:asciiTheme="majorBidi" w:hAnsiTheme="majorBidi" w:cstheme="majorBidi"/>
        </w:rPr>
        <w:t>Pieteicēja šīs tiesības ir izmantojusi. Kasācijas sūdzībā nav izskaidrots, kā Iepirkumu uzraudzības biroja atrašanās Finanšu ministrijas pārraudzībā būtu varējusi ietekmēt lietas izskatīšanas rezultātu.</w:t>
      </w:r>
    </w:p>
    <w:p w14:paraId="22455320" w14:textId="77777777" w:rsidR="00611056" w:rsidRDefault="00611056" w:rsidP="004F7E80">
      <w:pPr>
        <w:autoSpaceDE w:val="0"/>
        <w:autoSpaceDN w:val="0"/>
        <w:adjustRightInd w:val="0"/>
        <w:spacing w:line="276" w:lineRule="auto"/>
        <w:ind w:firstLine="720"/>
        <w:jc w:val="both"/>
        <w:rPr>
          <w:rFonts w:asciiTheme="majorBidi" w:hAnsiTheme="majorBidi" w:cstheme="majorBidi"/>
        </w:rPr>
      </w:pPr>
    </w:p>
    <w:p w14:paraId="5F02E76C" w14:textId="158B5C89" w:rsidR="00611056" w:rsidRDefault="00611056" w:rsidP="004F7E80">
      <w:pPr>
        <w:autoSpaceDE w:val="0"/>
        <w:autoSpaceDN w:val="0"/>
        <w:adjustRightInd w:val="0"/>
        <w:spacing w:line="276" w:lineRule="auto"/>
        <w:ind w:firstLine="720"/>
        <w:jc w:val="both"/>
        <w:rPr>
          <w:rFonts w:asciiTheme="majorBidi" w:hAnsiTheme="majorBidi" w:cstheme="majorBidi"/>
          <w:i/>
          <w:iCs/>
        </w:rPr>
      </w:pPr>
      <w:r w:rsidRPr="000416F0">
        <w:rPr>
          <w:rFonts w:asciiTheme="majorBidi" w:hAnsiTheme="majorBidi" w:cstheme="majorBidi"/>
          <w:i/>
          <w:iCs/>
        </w:rPr>
        <w:t>Kopsavilkums</w:t>
      </w:r>
    </w:p>
    <w:p w14:paraId="283139D9" w14:textId="77777777" w:rsidR="000416F0" w:rsidRPr="000416F0" w:rsidRDefault="000416F0" w:rsidP="004F7E80">
      <w:pPr>
        <w:autoSpaceDE w:val="0"/>
        <w:autoSpaceDN w:val="0"/>
        <w:adjustRightInd w:val="0"/>
        <w:spacing w:line="276" w:lineRule="auto"/>
        <w:ind w:firstLine="720"/>
        <w:jc w:val="both"/>
        <w:rPr>
          <w:rFonts w:asciiTheme="majorBidi" w:hAnsiTheme="majorBidi" w:cstheme="majorBidi"/>
          <w:i/>
          <w:iCs/>
        </w:rPr>
      </w:pPr>
    </w:p>
    <w:p w14:paraId="6F286096" w14:textId="33DCA6DA" w:rsidR="000416F0" w:rsidRPr="00D726B5" w:rsidRDefault="00611056" w:rsidP="004F7E80">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lastRenderedPageBreak/>
        <w:t>[</w:t>
      </w:r>
      <w:r w:rsidR="0013406E">
        <w:rPr>
          <w:rFonts w:asciiTheme="majorBidi" w:hAnsiTheme="majorBidi" w:cstheme="majorBidi"/>
        </w:rPr>
        <w:t>2</w:t>
      </w:r>
      <w:r w:rsidR="007A6368">
        <w:rPr>
          <w:rFonts w:asciiTheme="majorBidi" w:hAnsiTheme="majorBidi" w:cstheme="majorBidi"/>
        </w:rPr>
        <w:t>2</w:t>
      </w:r>
      <w:r>
        <w:rPr>
          <w:rFonts w:asciiTheme="majorBidi" w:hAnsiTheme="majorBidi" w:cstheme="majorBidi"/>
        </w:rPr>
        <w:t>]</w:t>
      </w:r>
      <w:r w:rsidR="00910661">
        <w:rPr>
          <w:rFonts w:asciiTheme="majorBidi" w:hAnsiTheme="majorBidi" w:cstheme="majorBidi"/>
        </w:rPr>
        <w:t> </w:t>
      </w:r>
      <w:r>
        <w:rPr>
          <w:rFonts w:asciiTheme="majorBidi" w:hAnsiTheme="majorBidi" w:cstheme="majorBidi"/>
        </w:rPr>
        <w:t>Rezumējot Senāts secina, ka pieteicējas iebildumi par favorītism</w:t>
      </w:r>
      <w:r w:rsidR="000416F0">
        <w:rPr>
          <w:rFonts w:asciiTheme="majorBidi" w:hAnsiTheme="majorBidi" w:cstheme="majorBidi"/>
        </w:rPr>
        <w:t>a pastāvēšanu neliek apšaubīt rajona tiesas secinājumus, ka konkrēti piedāvājuma vērtēšanas kritēriji iepirkuma nolikumā ir ietverti pasūtītājas rīcības brīvība</w:t>
      </w:r>
      <w:r w:rsidR="005C1987">
        <w:rPr>
          <w:rFonts w:asciiTheme="majorBidi" w:hAnsiTheme="majorBidi" w:cstheme="majorBidi"/>
        </w:rPr>
        <w:t>s</w:t>
      </w:r>
      <w:r w:rsidR="000416F0">
        <w:rPr>
          <w:rFonts w:asciiTheme="majorBidi" w:hAnsiTheme="majorBidi" w:cstheme="majorBidi"/>
        </w:rPr>
        <w:t xml:space="preserve"> ietvaros, ir piemēroti piedāvājuma vērtēšanai atbilstoši pasūtītājas vajadzībām un neliecina par pasūtītājas mērķi slēgt līgumu ar tās iepriekš īpaši izvēlētu pretendentu.</w:t>
      </w:r>
      <w:r w:rsidR="00F112E0">
        <w:rPr>
          <w:rFonts w:asciiTheme="majorBidi" w:hAnsiTheme="majorBidi" w:cstheme="majorBidi"/>
        </w:rPr>
        <w:t xml:space="preserve"> Līdz ar to nav pamata rajona tiesas sprieduma atcelšanai.</w:t>
      </w:r>
    </w:p>
    <w:p w14:paraId="779E8ED3" w14:textId="5B38A979" w:rsidR="00522062" w:rsidRPr="007A6368" w:rsidRDefault="00522062" w:rsidP="004F7E80">
      <w:pPr>
        <w:spacing w:line="276" w:lineRule="auto"/>
        <w:ind w:firstLine="720"/>
        <w:jc w:val="both"/>
        <w:rPr>
          <w:rFonts w:asciiTheme="majorBidi" w:hAnsiTheme="majorBidi" w:cstheme="majorBidi"/>
          <w:color w:val="000000"/>
        </w:rPr>
      </w:pPr>
    </w:p>
    <w:p w14:paraId="04759AF8" w14:textId="77777777" w:rsidR="00522062" w:rsidRPr="007A6368" w:rsidRDefault="00522062" w:rsidP="004F7E80">
      <w:pPr>
        <w:spacing w:line="276" w:lineRule="auto"/>
        <w:jc w:val="center"/>
        <w:rPr>
          <w:b/>
        </w:rPr>
      </w:pPr>
      <w:r w:rsidRPr="007A6368">
        <w:rPr>
          <w:b/>
        </w:rPr>
        <w:t>Rezolutīvā daļa</w:t>
      </w:r>
    </w:p>
    <w:p w14:paraId="2EC6BC50" w14:textId="77777777" w:rsidR="00522062" w:rsidRPr="00387A27" w:rsidRDefault="00522062" w:rsidP="004F7E80">
      <w:pPr>
        <w:spacing w:line="276" w:lineRule="auto"/>
        <w:ind w:firstLine="720"/>
        <w:jc w:val="both"/>
      </w:pPr>
    </w:p>
    <w:p w14:paraId="193326F3" w14:textId="6DF1AA9F" w:rsidR="00522062" w:rsidRPr="007A6368" w:rsidRDefault="00522062" w:rsidP="004F7E80">
      <w:pPr>
        <w:spacing w:line="276" w:lineRule="auto"/>
        <w:ind w:firstLine="720"/>
        <w:jc w:val="both"/>
      </w:pPr>
      <w:r w:rsidRPr="007A6368">
        <w:t xml:space="preserve">Pamatojoties uz </w:t>
      </w:r>
      <w:r w:rsidRPr="007A6368">
        <w:rPr>
          <w:rFonts w:eastAsia="Calibri"/>
          <w:lang w:eastAsia="en-US"/>
        </w:rPr>
        <w:t xml:space="preserve">Administratīvā procesa likuma 348.panta pirmās daļas </w:t>
      </w:r>
      <w:r w:rsidR="000416F0" w:rsidRPr="007A6368">
        <w:rPr>
          <w:rFonts w:eastAsia="Calibri"/>
          <w:lang w:eastAsia="en-US"/>
        </w:rPr>
        <w:t>1</w:t>
      </w:r>
      <w:r w:rsidRPr="007A6368">
        <w:rPr>
          <w:rFonts w:eastAsia="Calibri"/>
          <w:lang w:eastAsia="en-US"/>
        </w:rPr>
        <w:t>.punktu un 351.pantu</w:t>
      </w:r>
      <w:r w:rsidRPr="007A6368">
        <w:t>, Senāts</w:t>
      </w:r>
    </w:p>
    <w:p w14:paraId="5A6A029B" w14:textId="77777777" w:rsidR="00522062" w:rsidRPr="00387A27" w:rsidRDefault="00522062" w:rsidP="004F7E80">
      <w:pPr>
        <w:spacing w:line="276" w:lineRule="auto"/>
        <w:ind w:firstLine="720"/>
        <w:jc w:val="both"/>
        <w:rPr>
          <w:strike/>
        </w:rPr>
      </w:pPr>
    </w:p>
    <w:p w14:paraId="2FF2D558" w14:textId="77777777" w:rsidR="00522062" w:rsidRPr="007A6368" w:rsidRDefault="00522062" w:rsidP="004F7E80">
      <w:pPr>
        <w:keepNext/>
        <w:spacing w:line="276" w:lineRule="auto"/>
        <w:jc w:val="center"/>
        <w:rPr>
          <w:b/>
        </w:rPr>
      </w:pPr>
      <w:r w:rsidRPr="007A6368">
        <w:rPr>
          <w:b/>
        </w:rPr>
        <w:t>nosprieda</w:t>
      </w:r>
    </w:p>
    <w:p w14:paraId="11EF4D10" w14:textId="77777777" w:rsidR="00522062" w:rsidRPr="00387A27" w:rsidRDefault="00522062" w:rsidP="004F7E80">
      <w:pPr>
        <w:keepNext/>
        <w:spacing w:line="276" w:lineRule="auto"/>
        <w:ind w:firstLine="720"/>
        <w:jc w:val="center"/>
        <w:rPr>
          <w:b/>
        </w:rPr>
      </w:pPr>
    </w:p>
    <w:p w14:paraId="0ABD4769" w14:textId="5C4BF53B" w:rsidR="00DE289C" w:rsidRPr="007A6368" w:rsidRDefault="006965E7" w:rsidP="004F7E80">
      <w:pPr>
        <w:keepNext/>
        <w:spacing w:line="276" w:lineRule="auto"/>
        <w:ind w:firstLine="720"/>
        <w:jc w:val="both"/>
      </w:pPr>
      <w:r w:rsidRPr="007A6368">
        <w:t>a</w:t>
      </w:r>
      <w:r w:rsidR="00DE289C" w:rsidRPr="007A6368">
        <w:t>t</w:t>
      </w:r>
      <w:r w:rsidR="000416F0" w:rsidRPr="007A6368">
        <w:t xml:space="preserve">stāt negrozītu </w:t>
      </w:r>
      <w:r w:rsidR="00522062" w:rsidRPr="007A6368">
        <w:t xml:space="preserve">Administratīvās </w:t>
      </w:r>
      <w:r w:rsidR="000416F0" w:rsidRPr="007A6368">
        <w:t>rajona t</w:t>
      </w:r>
      <w:r w:rsidR="00522062" w:rsidRPr="007A6368">
        <w:t>iesas 202</w:t>
      </w:r>
      <w:r w:rsidR="009F649F" w:rsidRPr="007A6368">
        <w:t>3</w:t>
      </w:r>
      <w:r w:rsidR="00522062" w:rsidRPr="007A6368">
        <w:t xml:space="preserve">.gada </w:t>
      </w:r>
      <w:r w:rsidR="000416F0" w:rsidRPr="007A6368">
        <w:t>7.marta</w:t>
      </w:r>
      <w:r w:rsidR="00522062" w:rsidRPr="007A6368">
        <w:t xml:space="preserve"> spriedumu</w:t>
      </w:r>
      <w:r w:rsidR="000416F0" w:rsidRPr="007A6368">
        <w:t xml:space="preserve">, bet </w:t>
      </w:r>
      <w:r w:rsidR="00CA5689" w:rsidRPr="007A6368">
        <w:t>sabiedrības ar ierobežotu atbildību</w:t>
      </w:r>
      <w:r w:rsidR="007A6368">
        <w:t xml:space="preserve"> </w:t>
      </w:r>
      <w:r w:rsidR="000416F0" w:rsidRPr="007A6368">
        <w:t>„Tele2” kasācijas sūdzību noraidīt.</w:t>
      </w:r>
    </w:p>
    <w:p w14:paraId="546A7B5E" w14:textId="77777777" w:rsidR="00DE289C" w:rsidRPr="00387A27" w:rsidRDefault="00DE289C" w:rsidP="004F7E80">
      <w:pPr>
        <w:keepNext/>
        <w:spacing w:line="276" w:lineRule="auto"/>
        <w:ind w:firstLine="720"/>
        <w:jc w:val="both"/>
      </w:pPr>
    </w:p>
    <w:p w14:paraId="5A90A925" w14:textId="77777777" w:rsidR="00522062" w:rsidRDefault="00522062" w:rsidP="004F7E80">
      <w:pPr>
        <w:keepNext/>
        <w:spacing w:line="276" w:lineRule="auto"/>
        <w:ind w:firstLine="720"/>
        <w:jc w:val="both"/>
      </w:pPr>
      <w:r>
        <w:t>Spriedums nav pārsūdzams.</w:t>
      </w:r>
    </w:p>
    <w:p w14:paraId="2B8E18C9" w14:textId="77777777" w:rsidR="00522062" w:rsidRDefault="00522062" w:rsidP="008869C5">
      <w:pPr>
        <w:keepNext/>
        <w:spacing w:line="276" w:lineRule="auto"/>
        <w:jc w:val="both"/>
        <w:rPr>
          <w:bCs/>
          <w:color w:val="FFFFFF"/>
        </w:rPr>
      </w:pPr>
    </w:p>
    <w:p w14:paraId="62BDBAA4" w14:textId="77777777" w:rsidR="00756E34" w:rsidRDefault="00756E34" w:rsidP="008869C5">
      <w:pPr>
        <w:keepNext/>
        <w:spacing w:line="276" w:lineRule="auto"/>
        <w:jc w:val="both"/>
        <w:rPr>
          <w:bCs/>
          <w:color w:val="FFFFFF"/>
        </w:rPr>
      </w:pPr>
    </w:p>
    <w:p w14:paraId="0559A938" w14:textId="77777777" w:rsidR="00522062" w:rsidRPr="0083065B" w:rsidRDefault="00522062" w:rsidP="008869C5">
      <w:pPr>
        <w:keepNext/>
        <w:spacing w:line="276" w:lineRule="auto"/>
        <w:jc w:val="both"/>
        <w:rPr>
          <w:bCs/>
          <w:color w:val="FFFFFF"/>
        </w:rPr>
      </w:pPr>
    </w:p>
    <w:p w14:paraId="5BBD86C9" w14:textId="77777777" w:rsidR="00522062" w:rsidRPr="0083065B" w:rsidRDefault="00522062" w:rsidP="008869C5">
      <w:pPr>
        <w:keepNext/>
        <w:spacing w:line="276" w:lineRule="auto"/>
        <w:jc w:val="both"/>
        <w:rPr>
          <w:bCs/>
          <w:color w:val="FFFFFF"/>
        </w:rPr>
      </w:pPr>
    </w:p>
    <w:p w14:paraId="4F07CE33" w14:textId="77777777" w:rsidR="002718AC" w:rsidRPr="00756E34" w:rsidRDefault="002718AC" w:rsidP="008869C5">
      <w:pPr>
        <w:keepNext/>
        <w:spacing w:line="276" w:lineRule="auto"/>
        <w:rPr>
          <w:sz w:val="2"/>
          <w:szCs w:val="2"/>
        </w:rPr>
      </w:pPr>
    </w:p>
    <w:sectPr w:rsidR="002718AC" w:rsidRPr="00756E34" w:rsidSect="008869C5">
      <w:footerReference w:type="even" r:id="rId10"/>
      <w:footerReference w:type="default" r:id="rId11"/>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D34D2" w14:textId="77777777" w:rsidR="004204BE" w:rsidRDefault="004204BE">
      <w:r>
        <w:separator/>
      </w:r>
    </w:p>
  </w:endnote>
  <w:endnote w:type="continuationSeparator" w:id="0">
    <w:p w14:paraId="093081BD" w14:textId="77777777" w:rsidR="004204BE" w:rsidRDefault="00420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Noto Serif">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0ED08" w14:textId="77777777" w:rsidR="003F47F3" w:rsidRDefault="00A830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722D2A" w14:textId="77777777" w:rsidR="003F47F3" w:rsidRDefault="003F4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2604" w14:textId="77777777" w:rsidR="003F47F3" w:rsidRDefault="00A8304B">
    <w:pPr>
      <w:pStyle w:val="Footer"/>
      <w:jc w:val="center"/>
      <w:rPr>
        <w:sz w:val="20"/>
        <w:szCs w:val="20"/>
      </w:rPr>
    </w:pPr>
    <w:r w:rsidRPr="00EA27D5">
      <w:rPr>
        <w:sz w:val="20"/>
        <w:szCs w:val="20"/>
      </w:rPr>
      <w:fldChar w:fldCharType="begin"/>
    </w:r>
    <w:r w:rsidRPr="00EA27D5">
      <w:rPr>
        <w:sz w:val="20"/>
        <w:szCs w:val="20"/>
      </w:rPr>
      <w:instrText>PAGE</w:instrText>
    </w:r>
    <w:r w:rsidRPr="00EA27D5">
      <w:rPr>
        <w:sz w:val="20"/>
        <w:szCs w:val="20"/>
      </w:rPr>
      <w:fldChar w:fldCharType="separate"/>
    </w:r>
    <w:r w:rsidRPr="00EA27D5">
      <w:rPr>
        <w:sz w:val="20"/>
        <w:szCs w:val="20"/>
      </w:rPr>
      <w:t>2</w:t>
    </w:r>
    <w:r w:rsidRPr="00EA27D5">
      <w:rPr>
        <w:sz w:val="20"/>
        <w:szCs w:val="20"/>
      </w:rPr>
      <w:fldChar w:fldCharType="end"/>
    </w:r>
    <w:r w:rsidRPr="00EA27D5">
      <w:rPr>
        <w:sz w:val="20"/>
        <w:szCs w:val="20"/>
      </w:rPr>
      <w:t xml:space="preserve"> no </w:t>
    </w:r>
    <w:r w:rsidRPr="00EA27D5">
      <w:rPr>
        <w:sz w:val="20"/>
        <w:szCs w:val="20"/>
      </w:rPr>
      <w:fldChar w:fldCharType="begin"/>
    </w:r>
    <w:r w:rsidRPr="00EA27D5">
      <w:rPr>
        <w:sz w:val="20"/>
        <w:szCs w:val="20"/>
      </w:rPr>
      <w:instrText>NUMPAGES</w:instrText>
    </w:r>
    <w:r w:rsidRPr="00EA27D5">
      <w:rPr>
        <w:sz w:val="20"/>
        <w:szCs w:val="20"/>
      </w:rPr>
      <w:fldChar w:fldCharType="separate"/>
    </w:r>
    <w:r w:rsidRPr="00EA27D5">
      <w:rPr>
        <w:sz w:val="20"/>
        <w:szCs w:val="20"/>
      </w:rPr>
      <w:t>2</w:t>
    </w:r>
    <w:r w:rsidRPr="00EA27D5">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0F272" w14:textId="77777777" w:rsidR="004204BE" w:rsidRDefault="004204BE">
      <w:r>
        <w:separator/>
      </w:r>
    </w:p>
  </w:footnote>
  <w:footnote w:type="continuationSeparator" w:id="0">
    <w:p w14:paraId="41E4156E" w14:textId="77777777" w:rsidR="004204BE" w:rsidRDefault="00420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D29D5"/>
    <w:multiLevelType w:val="hybridMultilevel"/>
    <w:tmpl w:val="947CE4E0"/>
    <w:lvl w:ilvl="0" w:tplc="AD288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BD8759B"/>
    <w:multiLevelType w:val="hybridMultilevel"/>
    <w:tmpl w:val="93522986"/>
    <w:lvl w:ilvl="0" w:tplc="7C5C3EB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56486044"/>
    <w:multiLevelType w:val="hybridMultilevel"/>
    <w:tmpl w:val="06983960"/>
    <w:lvl w:ilvl="0" w:tplc="7B1EB3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24669331">
    <w:abstractNumId w:val="0"/>
  </w:num>
  <w:num w:numId="2" w16cid:durableId="1270622845">
    <w:abstractNumId w:val="2"/>
  </w:num>
  <w:num w:numId="3" w16cid:durableId="1539705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062"/>
    <w:rsid w:val="00001FF2"/>
    <w:rsid w:val="00002040"/>
    <w:rsid w:val="00003323"/>
    <w:rsid w:val="0000396F"/>
    <w:rsid w:val="00004059"/>
    <w:rsid w:val="00004990"/>
    <w:rsid w:val="00013564"/>
    <w:rsid w:val="00036F1B"/>
    <w:rsid w:val="000416F0"/>
    <w:rsid w:val="000440DC"/>
    <w:rsid w:val="00044CE0"/>
    <w:rsid w:val="00056E10"/>
    <w:rsid w:val="0006322B"/>
    <w:rsid w:val="00066A0D"/>
    <w:rsid w:val="00071C95"/>
    <w:rsid w:val="000720A0"/>
    <w:rsid w:val="00073744"/>
    <w:rsid w:val="00073EF2"/>
    <w:rsid w:val="00077651"/>
    <w:rsid w:val="000777DE"/>
    <w:rsid w:val="000829CA"/>
    <w:rsid w:val="00083586"/>
    <w:rsid w:val="000A217D"/>
    <w:rsid w:val="000A44E7"/>
    <w:rsid w:val="000B4407"/>
    <w:rsid w:val="000B6174"/>
    <w:rsid w:val="000B7534"/>
    <w:rsid w:val="000C4D3D"/>
    <w:rsid w:val="000C56C1"/>
    <w:rsid w:val="000C7684"/>
    <w:rsid w:val="000D7177"/>
    <w:rsid w:val="000F5CEC"/>
    <w:rsid w:val="00107170"/>
    <w:rsid w:val="0011152C"/>
    <w:rsid w:val="00112A9A"/>
    <w:rsid w:val="0013406E"/>
    <w:rsid w:val="001507BD"/>
    <w:rsid w:val="00156FD2"/>
    <w:rsid w:val="001776A8"/>
    <w:rsid w:val="0018268D"/>
    <w:rsid w:val="001904E9"/>
    <w:rsid w:val="00192602"/>
    <w:rsid w:val="00193F27"/>
    <w:rsid w:val="001A20F1"/>
    <w:rsid w:val="001A60AB"/>
    <w:rsid w:val="001B1153"/>
    <w:rsid w:val="001E1EEE"/>
    <w:rsid w:val="001E51C6"/>
    <w:rsid w:val="001E6ECD"/>
    <w:rsid w:val="001F3010"/>
    <w:rsid w:val="001F62DA"/>
    <w:rsid w:val="00210EA5"/>
    <w:rsid w:val="00221AF4"/>
    <w:rsid w:val="0022279B"/>
    <w:rsid w:val="002402B6"/>
    <w:rsid w:val="002411A9"/>
    <w:rsid w:val="002416AC"/>
    <w:rsid w:val="00253562"/>
    <w:rsid w:val="0025364C"/>
    <w:rsid w:val="00254874"/>
    <w:rsid w:val="002618E0"/>
    <w:rsid w:val="00270381"/>
    <w:rsid w:val="00270F47"/>
    <w:rsid w:val="002718AC"/>
    <w:rsid w:val="0027313F"/>
    <w:rsid w:val="00283E1C"/>
    <w:rsid w:val="00295B54"/>
    <w:rsid w:val="002A7F31"/>
    <w:rsid w:val="002B53C5"/>
    <w:rsid w:val="002C2610"/>
    <w:rsid w:val="002C4902"/>
    <w:rsid w:val="002D051F"/>
    <w:rsid w:val="002D06D8"/>
    <w:rsid w:val="002D5291"/>
    <w:rsid w:val="002E2599"/>
    <w:rsid w:val="00301E19"/>
    <w:rsid w:val="00304C15"/>
    <w:rsid w:val="0032279F"/>
    <w:rsid w:val="00324557"/>
    <w:rsid w:val="00324C58"/>
    <w:rsid w:val="003265CE"/>
    <w:rsid w:val="00326604"/>
    <w:rsid w:val="00327C34"/>
    <w:rsid w:val="003308DC"/>
    <w:rsid w:val="0033392F"/>
    <w:rsid w:val="00341E67"/>
    <w:rsid w:val="00346E11"/>
    <w:rsid w:val="00356222"/>
    <w:rsid w:val="003635A7"/>
    <w:rsid w:val="00365292"/>
    <w:rsid w:val="0036698D"/>
    <w:rsid w:val="00382307"/>
    <w:rsid w:val="00387A27"/>
    <w:rsid w:val="003A4D77"/>
    <w:rsid w:val="003B4033"/>
    <w:rsid w:val="003B5BF4"/>
    <w:rsid w:val="003C59B6"/>
    <w:rsid w:val="003C61DA"/>
    <w:rsid w:val="003C7CD2"/>
    <w:rsid w:val="003D6859"/>
    <w:rsid w:val="003E1AEF"/>
    <w:rsid w:val="003F3833"/>
    <w:rsid w:val="003F47F3"/>
    <w:rsid w:val="00417473"/>
    <w:rsid w:val="004204BE"/>
    <w:rsid w:val="00421719"/>
    <w:rsid w:val="00422016"/>
    <w:rsid w:val="00430AA0"/>
    <w:rsid w:val="00430EF0"/>
    <w:rsid w:val="00432EB6"/>
    <w:rsid w:val="0044223D"/>
    <w:rsid w:val="00447397"/>
    <w:rsid w:val="0044779B"/>
    <w:rsid w:val="00447E3B"/>
    <w:rsid w:val="0045406C"/>
    <w:rsid w:val="00457D80"/>
    <w:rsid w:val="00463161"/>
    <w:rsid w:val="00470F5C"/>
    <w:rsid w:val="00492E42"/>
    <w:rsid w:val="0049737D"/>
    <w:rsid w:val="004C0429"/>
    <w:rsid w:val="004C0658"/>
    <w:rsid w:val="004C3B37"/>
    <w:rsid w:val="004C6100"/>
    <w:rsid w:val="004D08EA"/>
    <w:rsid w:val="004E1156"/>
    <w:rsid w:val="004E441C"/>
    <w:rsid w:val="004E465E"/>
    <w:rsid w:val="004F793D"/>
    <w:rsid w:val="004F7E80"/>
    <w:rsid w:val="00500E3C"/>
    <w:rsid w:val="005066FE"/>
    <w:rsid w:val="00522062"/>
    <w:rsid w:val="0054208A"/>
    <w:rsid w:val="005471AF"/>
    <w:rsid w:val="005501AC"/>
    <w:rsid w:val="005566C5"/>
    <w:rsid w:val="00561077"/>
    <w:rsid w:val="005661F5"/>
    <w:rsid w:val="00573C7B"/>
    <w:rsid w:val="00587169"/>
    <w:rsid w:val="00590033"/>
    <w:rsid w:val="00590F34"/>
    <w:rsid w:val="0059737A"/>
    <w:rsid w:val="005A02AF"/>
    <w:rsid w:val="005A726B"/>
    <w:rsid w:val="005C1987"/>
    <w:rsid w:val="005C50D0"/>
    <w:rsid w:val="005C782B"/>
    <w:rsid w:val="005D26ED"/>
    <w:rsid w:val="005D32DD"/>
    <w:rsid w:val="005E3299"/>
    <w:rsid w:val="005E47E3"/>
    <w:rsid w:val="005F1CC1"/>
    <w:rsid w:val="005F66E4"/>
    <w:rsid w:val="00611056"/>
    <w:rsid w:val="006271A8"/>
    <w:rsid w:val="00627203"/>
    <w:rsid w:val="006448C9"/>
    <w:rsid w:val="00667CF0"/>
    <w:rsid w:val="0067019C"/>
    <w:rsid w:val="006720EB"/>
    <w:rsid w:val="0067225F"/>
    <w:rsid w:val="00677DB4"/>
    <w:rsid w:val="00693346"/>
    <w:rsid w:val="006965E7"/>
    <w:rsid w:val="006A37DB"/>
    <w:rsid w:val="006A58D4"/>
    <w:rsid w:val="006A5F4D"/>
    <w:rsid w:val="006B100F"/>
    <w:rsid w:val="006B2C01"/>
    <w:rsid w:val="006C5BBB"/>
    <w:rsid w:val="006D76F7"/>
    <w:rsid w:val="006E7C94"/>
    <w:rsid w:val="006F2CDD"/>
    <w:rsid w:val="00704F4C"/>
    <w:rsid w:val="00706190"/>
    <w:rsid w:val="00724124"/>
    <w:rsid w:val="00730682"/>
    <w:rsid w:val="0073143C"/>
    <w:rsid w:val="00733A09"/>
    <w:rsid w:val="00743F6F"/>
    <w:rsid w:val="007445DA"/>
    <w:rsid w:val="007472E6"/>
    <w:rsid w:val="00756E34"/>
    <w:rsid w:val="007601CB"/>
    <w:rsid w:val="00760BA0"/>
    <w:rsid w:val="00765113"/>
    <w:rsid w:val="00772B78"/>
    <w:rsid w:val="00774CF5"/>
    <w:rsid w:val="007A6368"/>
    <w:rsid w:val="007B3384"/>
    <w:rsid w:val="007C00E8"/>
    <w:rsid w:val="007C1020"/>
    <w:rsid w:val="007C45CF"/>
    <w:rsid w:val="007C74A5"/>
    <w:rsid w:val="007D25C8"/>
    <w:rsid w:val="007D5A6C"/>
    <w:rsid w:val="007E37A8"/>
    <w:rsid w:val="007F6C61"/>
    <w:rsid w:val="008008E5"/>
    <w:rsid w:val="0081057F"/>
    <w:rsid w:val="00812F7B"/>
    <w:rsid w:val="008160AC"/>
    <w:rsid w:val="00824B5F"/>
    <w:rsid w:val="008278AC"/>
    <w:rsid w:val="00833A76"/>
    <w:rsid w:val="00840F47"/>
    <w:rsid w:val="0084523E"/>
    <w:rsid w:val="00851A7A"/>
    <w:rsid w:val="00863A3E"/>
    <w:rsid w:val="0086699D"/>
    <w:rsid w:val="00871465"/>
    <w:rsid w:val="008722E6"/>
    <w:rsid w:val="00873595"/>
    <w:rsid w:val="00873DEC"/>
    <w:rsid w:val="00876015"/>
    <w:rsid w:val="00876C64"/>
    <w:rsid w:val="00876FB5"/>
    <w:rsid w:val="00880830"/>
    <w:rsid w:val="00881FBD"/>
    <w:rsid w:val="008869C5"/>
    <w:rsid w:val="008A1540"/>
    <w:rsid w:val="008A3AC3"/>
    <w:rsid w:val="008A47E8"/>
    <w:rsid w:val="008A61EB"/>
    <w:rsid w:val="008B78A0"/>
    <w:rsid w:val="008D220A"/>
    <w:rsid w:val="008D3DCC"/>
    <w:rsid w:val="008D47F7"/>
    <w:rsid w:val="008E5344"/>
    <w:rsid w:val="008E5879"/>
    <w:rsid w:val="008F30B5"/>
    <w:rsid w:val="008F48AE"/>
    <w:rsid w:val="009066A1"/>
    <w:rsid w:val="00910661"/>
    <w:rsid w:val="00916CA3"/>
    <w:rsid w:val="00924434"/>
    <w:rsid w:val="00927299"/>
    <w:rsid w:val="00934BC1"/>
    <w:rsid w:val="00937B68"/>
    <w:rsid w:val="00971223"/>
    <w:rsid w:val="00976428"/>
    <w:rsid w:val="00980680"/>
    <w:rsid w:val="00982EBD"/>
    <w:rsid w:val="00983928"/>
    <w:rsid w:val="00985EED"/>
    <w:rsid w:val="00986207"/>
    <w:rsid w:val="009908D0"/>
    <w:rsid w:val="00991CDB"/>
    <w:rsid w:val="00995A25"/>
    <w:rsid w:val="009A1C90"/>
    <w:rsid w:val="009A5EAF"/>
    <w:rsid w:val="009A7753"/>
    <w:rsid w:val="009B03DE"/>
    <w:rsid w:val="009B1A50"/>
    <w:rsid w:val="009B3312"/>
    <w:rsid w:val="009B37A6"/>
    <w:rsid w:val="009B3B31"/>
    <w:rsid w:val="009C4F0A"/>
    <w:rsid w:val="009C7960"/>
    <w:rsid w:val="009D42F9"/>
    <w:rsid w:val="009D525F"/>
    <w:rsid w:val="009F24BC"/>
    <w:rsid w:val="009F649F"/>
    <w:rsid w:val="00A01877"/>
    <w:rsid w:val="00A03388"/>
    <w:rsid w:val="00A05638"/>
    <w:rsid w:val="00A1160C"/>
    <w:rsid w:val="00A1614F"/>
    <w:rsid w:val="00A17213"/>
    <w:rsid w:val="00A22F35"/>
    <w:rsid w:val="00A3124E"/>
    <w:rsid w:val="00A35B2C"/>
    <w:rsid w:val="00A373E2"/>
    <w:rsid w:val="00A41052"/>
    <w:rsid w:val="00A443F5"/>
    <w:rsid w:val="00A45C7D"/>
    <w:rsid w:val="00A5081F"/>
    <w:rsid w:val="00A538C9"/>
    <w:rsid w:val="00A54F58"/>
    <w:rsid w:val="00A62A9D"/>
    <w:rsid w:val="00A677CE"/>
    <w:rsid w:val="00A8304B"/>
    <w:rsid w:val="00A9497C"/>
    <w:rsid w:val="00AA0779"/>
    <w:rsid w:val="00AA2F2D"/>
    <w:rsid w:val="00AA4A9B"/>
    <w:rsid w:val="00AB24CD"/>
    <w:rsid w:val="00AB29B4"/>
    <w:rsid w:val="00AB7DB9"/>
    <w:rsid w:val="00AC133C"/>
    <w:rsid w:val="00AC2A42"/>
    <w:rsid w:val="00AC44B5"/>
    <w:rsid w:val="00AD7824"/>
    <w:rsid w:val="00AE564D"/>
    <w:rsid w:val="00AE5AA2"/>
    <w:rsid w:val="00AF788A"/>
    <w:rsid w:val="00B007BB"/>
    <w:rsid w:val="00B122A1"/>
    <w:rsid w:val="00B16231"/>
    <w:rsid w:val="00B25D2F"/>
    <w:rsid w:val="00B31E9B"/>
    <w:rsid w:val="00B33800"/>
    <w:rsid w:val="00B37BDE"/>
    <w:rsid w:val="00B5162F"/>
    <w:rsid w:val="00B5235D"/>
    <w:rsid w:val="00B63008"/>
    <w:rsid w:val="00B6708D"/>
    <w:rsid w:val="00B75824"/>
    <w:rsid w:val="00B77A41"/>
    <w:rsid w:val="00B77EA1"/>
    <w:rsid w:val="00B830A1"/>
    <w:rsid w:val="00B84180"/>
    <w:rsid w:val="00B85EFC"/>
    <w:rsid w:val="00B9068A"/>
    <w:rsid w:val="00B91023"/>
    <w:rsid w:val="00BA32E7"/>
    <w:rsid w:val="00BB57F7"/>
    <w:rsid w:val="00BC19BF"/>
    <w:rsid w:val="00BD70E1"/>
    <w:rsid w:val="00BE030F"/>
    <w:rsid w:val="00BF2F3F"/>
    <w:rsid w:val="00BF6008"/>
    <w:rsid w:val="00BF68D2"/>
    <w:rsid w:val="00C13F0E"/>
    <w:rsid w:val="00C3303F"/>
    <w:rsid w:val="00C3796C"/>
    <w:rsid w:val="00C56BCE"/>
    <w:rsid w:val="00C705B3"/>
    <w:rsid w:val="00C76DDF"/>
    <w:rsid w:val="00C86FB5"/>
    <w:rsid w:val="00C95259"/>
    <w:rsid w:val="00C96F34"/>
    <w:rsid w:val="00CA5689"/>
    <w:rsid w:val="00CB2EC9"/>
    <w:rsid w:val="00CB3C37"/>
    <w:rsid w:val="00CB5677"/>
    <w:rsid w:val="00CC36D5"/>
    <w:rsid w:val="00CC5160"/>
    <w:rsid w:val="00CE4C7F"/>
    <w:rsid w:val="00CF29BE"/>
    <w:rsid w:val="00CF4027"/>
    <w:rsid w:val="00D005CE"/>
    <w:rsid w:val="00D03E63"/>
    <w:rsid w:val="00D15134"/>
    <w:rsid w:val="00D31F69"/>
    <w:rsid w:val="00D3581A"/>
    <w:rsid w:val="00D361AB"/>
    <w:rsid w:val="00D41E08"/>
    <w:rsid w:val="00D45838"/>
    <w:rsid w:val="00D57E17"/>
    <w:rsid w:val="00D61C70"/>
    <w:rsid w:val="00D62CC7"/>
    <w:rsid w:val="00D7091C"/>
    <w:rsid w:val="00D726B5"/>
    <w:rsid w:val="00D746F2"/>
    <w:rsid w:val="00D75BFF"/>
    <w:rsid w:val="00D83442"/>
    <w:rsid w:val="00D83474"/>
    <w:rsid w:val="00DA08F3"/>
    <w:rsid w:val="00DA146A"/>
    <w:rsid w:val="00DC0D0A"/>
    <w:rsid w:val="00DC362C"/>
    <w:rsid w:val="00DE0CB7"/>
    <w:rsid w:val="00DE289C"/>
    <w:rsid w:val="00DF52D5"/>
    <w:rsid w:val="00DF7231"/>
    <w:rsid w:val="00E0665C"/>
    <w:rsid w:val="00E07371"/>
    <w:rsid w:val="00E1110F"/>
    <w:rsid w:val="00E12EA7"/>
    <w:rsid w:val="00E16D47"/>
    <w:rsid w:val="00E208AA"/>
    <w:rsid w:val="00E24BFE"/>
    <w:rsid w:val="00E2615B"/>
    <w:rsid w:val="00E277E1"/>
    <w:rsid w:val="00E44A5A"/>
    <w:rsid w:val="00E60C87"/>
    <w:rsid w:val="00E64704"/>
    <w:rsid w:val="00E7408A"/>
    <w:rsid w:val="00EA1B0D"/>
    <w:rsid w:val="00EA5CBB"/>
    <w:rsid w:val="00EA5F7D"/>
    <w:rsid w:val="00EA7758"/>
    <w:rsid w:val="00EB2E20"/>
    <w:rsid w:val="00EC1394"/>
    <w:rsid w:val="00EC6521"/>
    <w:rsid w:val="00EC74C0"/>
    <w:rsid w:val="00ED31F8"/>
    <w:rsid w:val="00EE48F8"/>
    <w:rsid w:val="00EE6405"/>
    <w:rsid w:val="00EE717A"/>
    <w:rsid w:val="00EF109D"/>
    <w:rsid w:val="00F112E0"/>
    <w:rsid w:val="00F14C2A"/>
    <w:rsid w:val="00F274DF"/>
    <w:rsid w:val="00F433AE"/>
    <w:rsid w:val="00F443F1"/>
    <w:rsid w:val="00F46480"/>
    <w:rsid w:val="00F57406"/>
    <w:rsid w:val="00F602C8"/>
    <w:rsid w:val="00F649D0"/>
    <w:rsid w:val="00F64A3E"/>
    <w:rsid w:val="00F85B58"/>
    <w:rsid w:val="00F87F24"/>
    <w:rsid w:val="00FA37AE"/>
    <w:rsid w:val="00FB2325"/>
    <w:rsid w:val="00FB28CC"/>
    <w:rsid w:val="00FB7AFA"/>
    <w:rsid w:val="00FC2679"/>
    <w:rsid w:val="00FC5868"/>
    <w:rsid w:val="00FD361D"/>
    <w:rsid w:val="00FD4C65"/>
    <w:rsid w:val="00FD69B5"/>
    <w:rsid w:val="00FE0B4E"/>
    <w:rsid w:val="00FE428F"/>
    <w:rsid w:val="00FF1462"/>
    <w:rsid w:val="00FF1C83"/>
    <w:rsid w:val="00FF1E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3BC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062"/>
    <w:pPr>
      <w:spacing w:after="0" w:line="240" w:lineRule="auto"/>
    </w:pPr>
    <w:rPr>
      <w:rFonts w:eastAsia="Times New Roman" w:cs="Times New Roman"/>
      <w:kern w:val="0"/>
      <w:szCs w:val="24"/>
      <w:lang w:val="lv-LV" w:eastAsia="lv-LV"/>
      <w14:ligatures w14:val="none"/>
    </w:rPr>
  </w:style>
  <w:style w:type="paragraph" w:styleId="Heading3">
    <w:name w:val="heading 3"/>
    <w:basedOn w:val="Normal"/>
    <w:next w:val="Normal"/>
    <w:link w:val="Heading3Char"/>
    <w:uiPriority w:val="9"/>
    <w:semiHidden/>
    <w:unhideWhenUsed/>
    <w:qFormat/>
    <w:rsid w:val="0052206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52206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22062"/>
    <w:rPr>
      <w:rFonts w:asciiTheme="majorHAnsi" w:eastAsiaTheme="majorEastAsia" w:hAnsiTheme="majorHAnsi" w:cstheme="majorBidi"/>
      <w:color w:val="1F3763" w:themeColor="accent1" w:themeShade="7F"/>
      <w:kern w:val="0"/>
      <w:szCs w:val="24"/>
      <w:lang w:val="lv-LV" w:eastAsia="lv-LV"/>
      <w14:ligatures w14:val="none"/>
    </w:rPr>
  </w:style>
  <w:style w:type="character" w:customStyle="1" w:styleId="Heading4Char">
    <w:name w:val="Heading 4 Char"/>
    <w:basedOn w:val="DefaultParagraphFont"/>
    <w:link w:val="Heading4"/>
    <w:uiPriority w:val="9"/>
    <w:semiHidden/>
    <w:rsid w:val="00522062"/>
    <w:rPr>
      <w:rFonts w:asciiTheme="majorHAnsi" w:eastAsiaTheme="majorEastAsia" w:hAnsiTheme="majorHAnsi" w:cstheme="majorBidi"/>
      <w:i/>
      <w:iCs/>
      <w:color w:val="2F5496" w:themeColor="accent1" w:themeShade="BF"/>
      <w:kern w:val="0"/>
      <w:szCs w:val="24"/>
      <w:lang w:val="lv-LV" w:eastAsia="lv-LV"/>
      <w14:ligatures w14:val="none"/>
    </w:rPr>
  </w:style>
  <w:style w:type="character" w:customStyle="1" w:styleId="FooterChar">
    <w:name w:val="Footer Char"/>
    <w:basedOn w:val="DefaultParagraphFont"/>
    <w:link w:val="Footer"/>
    <w:uiPriority w:val="99"/>
    <w:rsid w:val="00522062"/>
    <w:rPr>
      <w:rFonts w:eastAsia="Times New Roman" w:cs="Times New Roman"/>
      <w:kern w:val="0"/>
      <w:szCs w:val="24"/>
      <w:lang w:val="lv-LV" w:eastAsia="lv-LV"/>
      <w14:ligatures w14:val="none"/>
    </w:rPr>
  </w:style>
  <w:style w:type="paragraph" w:styleId="Footer">
    <w:name w:val="footer"/>
    <w:basedOn w:val="Normal"/>
    <w:link w:val="FooterChar"/>
    <w:uiPriority w:val="99"/>
    <w:rsid w:val="00522062"/>
    <w:pPr>
      <w:tabs>
        <w:tab w:val="center" w:pos="4153"/>
        <w:tab w:val="right" w:pos="8306"/>
      </w:tabs>
    </w:pPr>
  </w:style>
  <w:style w:type="character" w:customStyle="1" w:styleId="HeaderChar">
    <w:name w:val="Header Char"/>
    <w:basedOn w:val="DefaultParagraphFont"/>
    <w:link w:val="Header"/>
    <w:rsid w:val="00522062"/>
    <w:rPr>
      <w:rFonts w:eastAsia="Times New Roman" w:cs="Times New Roman"/>
      <w:kern w:val="0"/>
      <w:szCs w:val="24"/>
      <w:lang w:val="lv-LV" w:eastAsia="lv-LV"/>
      <w14:ligatures w14:val="none"/>
    </w:rPr>
  </w:style>
  <w:style w:type="paragraph" w:styleId="Header">
    <w:name w:val="header"/>
    <w:basedOn w:val="Normal"/>
    <w:link w:val="HeaderChar"/>
    <w:rsid w:val="00522062"/>
    <w:pPr>
      <w:tabs>
        <w:tab w:val="center" w:pos="4153"/>
        <w:tab w:val="right" w:pos="8306"/>
      </w:tabs>
    </w:pPr>
  </w:style>
  <w:style w:type="character" w:customStyle="1" w:styleId="CommentTextChar">
    <w:name w:val="Comment Text Char"/>
    <w:basedOn w:val="DefaultParagraphFont"/>
    <w:link w:val="CommentText"/>
    <w:uiPriority w:val="99"/>
    <w:rsid w:val="00522062"/>
    <w:rPr>
      <w:rFonts w:eastAsia="Times New Roman" w:cs="Times New Roman"/>
      <w:kern w:val="0"/>
      <w:sz w:val="20"/>
      <w:szCs w:val="20"/>
      <w:lang w:val="lv-LV" w:eastAsia="lv-LV"/>
      <w14:ligatures w14:val="none"/>
    </w:rPr>
  </w:style>
  <w:style w:type="paragraph" w:styleId="CommentText">
    <w:name w:val="annotation text"/>
    <w:basedOn w:val="Normal"/>
    <w:link w:val="CommentTextChar"/>
    <w:uiPriority w:val="99"/>
    <w:unhideWhenUsed/>
    <w:rsid w:val="00522062"/>
    <w:rPr>
      <w:sz w:val="20"/>
      <w:szCs w:val="20"/>
    </w:rPr>
  </w:style>
  <w:style w:type="character" w:customStyle="1" w:styleId="CommentSubjectChar">
    <w:name w:val="Comment Subject Char"/>
    <w:basedOn w:val="CommentTextChar"/>
    <w:link w:val="CommentSubject"/>
    <w:uiPriority w:val="99"/>
    <w:semiHidden/>
    <w:rsid w:val="00522062"/>
    <w:rPr>
      <w:rFonts w:eastAsia="Times New Roman" w:cs="Times New Roman"/>
      <w:b/>
      <w:bCs/>
      <w:kern w:val="0"/>
      <w:sz w:val="20"/>
      <w:szCs w:val="20"/>
      <w:lang w:val="lv-LV" w:eastAsia="lv-LV"/>
      <w14:ligatures w14:val="none"/>
    </w:rPr>
  </w:style>
  <w:style w:type="paragraph" w:styleId="CommentSubject">
    <w:name w:val="annotation subject"/>
    <w:basedOn w:val="CommentText"/>
    <w:next w:val="CommentText"/>
    <w:link w:val="CommentSubjectChar"/>
    <w:uiPriority w:val="99"/>
    <w:semiHidden/>
    <w:unhideWhenUsed/>
    <w:rsid w:val="00522062"/>
    <w:rPr>
      <w:b/>
      <w:bCs/>
    </w:rPr>
  </w:style>
  <w:style w:type="character" w:customStyle="1" w:styleId="BodyTextChar">
    <w:name w:val="Body Text Char"/>
    <w:basedOn w:val="DefaultParagraphFont"/>
    <w:link w:val="BodyText"/>
    <w:uiPriority w:val="99"/>
    <w:semiHidden/>
    <w:rsid w:val="00522062"/>
    <w:rPr>
      <w:rFonts w:eastAsia="Times New Roman" w:cs="Times New Roman"/>
      <w:kern w:val="0"/>
      <w:szCs w:val="24"/>
      <w:lang w:val="lv-LV" w:eastAsia="lv-LV"/>
      <w14:ligatures w14:val="none"/>
    </w:rPr>
  </w:style>
  <w:style w:type="paragraph" w:styleId="BodyText">
    <w:name w:val="Body Text"/>
    <w:basedOn w:val="Normal"/>
    <w:link w:val="BodyTextChar"/>
    <w:uiPriority w:val="99"/>
    <w:semiHidden/>
    <w:unhideWhenUsed/>
    <w:rsid w:val="00522062"/>
    <w:pPr>
      <w:spacing w:after="120"/>
    </w:pPr>
  </w:style>
  <w:style w:type="paragraph" w:styleId="NoSpacing">
    <w:name w:val="No Spacing"/>
    <w:uiPriority w:val="1"/>
    <w:qFormat/>
    <w:rsid w:val="00522062"/>
    <w:pPr>
      <w:spacing w:after="0" w:line="240" w:lineRule="auto"/>
    </w:pPr>
    <w:rPr>
      <w:rFonts w:eastAsia="Times New Roman" w:cs="Times New Roman"/>
      <w:kern w:val="0"/>
      <w:szCs w:val="24"/>
      <w:lang w:val="lv-LV" w:eastAsia="lv-LV"/>
      <w14:ligatures w14:val="none"/>
    </w:rPr>
  </w:style>
  <w:style w:type="character" w:styleId="PageNumber">
    <w:name w:val="page number"/>
    <w:basedOn w:val="DefaultParagraphFont"/>
    <w:rsid w:val="00522062"/>
  </w:style>
  <w:style w:type="paragraph" w:customStyle="1" w:styleId="tv213">
    <w:name w:val="tv213"/>
    <w:basedOn w:val="Normal"/>
    <w:rsid w:val="006D76F7"/>
    <w:pPr>
      <w:spacing w:before="100" w:beforeAutospacing="1" w:after="100" w:afterAutospacing="1"/>
    </w:pPr>
  </w:style>
  <w:style w:type="character" w:styleId="Hyperlink">
    <w:name w:val="Hyperlink"/>
    <w:basedOn w:val="DefaultParagraphFont"/>
    <w:uiPriority w:val="99"/>
    <w:unhideWhenUsed/>
    <w:rsid w:val="004C0658"/>
    <w:rPr>
      <w:color w:val="0563C1" w:themeColor="hyperlink"/>
      <w:u w:val="single"/>
    </w:rPr>
  </w:style>
  <w:style w:type="character" w:styleId="UnresolvedMention">
    <w:name w:val="Unresolved Mention"/>
    <w:basedOn w:val="DefaultParagraphFont"/>
    <w:uiPriority w:val="99"/>
    <w:semiHidden/>
    <w:unhideWhenUsed/>
    <w:rsid w:val="00013564"/>
    <w:rPr>
      <w:color w:val="605E5C"/>
      <w:shd w:val="clear" w:color="auto" w:fill="E1DFDD"/>
    </w:rPr>
  </w:style>
  <w:style w:type="character" w:styleId="FollowedHyperlink">
    <w:name w:val="FollowedHyperlink"/>
    <w:basedOn w:val="DefaultParagraphFont"/>
    <w:uiPriority w:val="99"/>
    <w:semiHidden/>
    <w:unhideWhenUsed/>
    <w:rsid w:val="00863A3E"/>
    <w:rPr>
      <w:color w:val="954F72" w:themeColor="followedHyperlink"/>
      <w:u w:val="single"/>
    </w:rPr>
  </w:style>
  <w:style w:type="paragraph" w:styleId="ListParagraph">
    <w:name w:val="List Paragraph"/>
    <w:basedOn w:val="Normal"/>
    <w:uiPriority w:val="34"/>
    <w:qFormat/>
    <w:rsid w:val="00880830"/>
    <w:pPr>
      <w:ind w:left="720"/>
      <w:contextualSpacing/>
    </w:pPr>
  </w:style>
  <w:style w:type="paragraph" w:styleId="Revision">
    <w:name w:val="Revision"/>
    <w:hidden/>
    <w:uiPriority w:val="99"/>
    <w:semiHidden/>
    <w:rsid w:val="00071C95"/>
    <w:pPr>
      <w:spacing w:after="0" w:line="240" w:lineRule="auto"/>
    </w:pPr>
    <w:rPr>
      <w:rFonts w:eastAsia="Times New Roman" w:cs="Times New Roman"/>
      <w:kern w:val="0"/>
      <w:szCs w:val="24"/>
      <w:lang w:val="lv-LV" w:eastAsia="lv-LV"/>
      <w14:ligatures w14:val="none"/>
    </w:rPr>
  </w:style>
  <w:style w:type="character" w:styleId="CommentReference">
    <w:name w:val="annotation reference"/>
    <w:basedOn w:val="DefaultParagraphFont"/>
    <w:uiPriority w:val="99"/>
    <w:semiHidden/>
    <w:unhideWhenUsed/>
    <w:rsid w:val="004F793D"/>
    <w:rPr>
      <w:sz w:val="16"/>
      <w:szCs w:val="16"/>
    </w:rPr>
  </w:style>
  <w:style w:type="paragraph" w:customStyle="1" w:styleId="Default">
    <w:name w:val="Default"/>
    <w:basedOn w:val="Normal"/>
    <w:rsid w:val="004F7E80"/>
    <w:pPr>
      <w:autoSpaceDE w:val="0"/>
      <w:autoSpaceDN w:val="0"/>
    </w:pPr>
    <w:rPr>
      <w:rFonts w:ascii="Noto Serif" w:eastAsiaTheme="minorHAnsi" w:hAnsi="Noto Serif" w:cs="Noto Serif"/>
      <w:color w:val="00000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0c84c995-47a9-4010-92dd-7146d14f59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nas.tiesas.lv/eTiesasMvc/eclinolemumi/ECLI:LV:AT:2021:0331.A420296418.5.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FDBBE-DEE1-4935-AA63-820E92299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25228</Words>
  <Characters>14380</Characters>
  <Application>Microsoft Office Word</Application>
  <DocSecurity>0</DocSecurity>
  <Lines>119</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2025-10-28T11:23:00Z</dcterms:created>
  <dcterms:modified xsi:type="dcterms:W3CDTF">2025-10-28T11:25:00Z</dcterms:modified>
</cp:coreProperties>
</file>