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7D8C" w14:textId="77777777" w:rsidR="00CF16D0" w:rsidRDefault="00CF16D0" w:rsidP="00644D21">
      <w:pPr>
        <w:autoSpaceDE w:val="0"/>
        <w:autoSpaceDN w:val="0"/>
        <w:spacing w:line="276" w:lineRule="auto"/>
        <w:jc w:val="both"/>
        <w:rPr>
          <w:b/>
          <w:bCs/>
          <w14:ligatures w14:val="standardContextual"/>
        </w:rPr>
      </w:pPr>
      <w:r>
        <w:rPr>
          <w:b/>
          <w:bCs/>
          <w14:ligatures w14:val="standardContextual"/>
        </w:rPr>
        <w:t xml:space="preserve">Tiesības uz eksperta atzinuma pārbaudi tiesas sēdē </w:t>
      </w:r>
    </w:p>
    <w:p w14:paraId="137B2CD8" w14:textId="77777777" w:rsidR="00CF16D0" w:rsidRDefault="00CF16D0" w:rsidP="00644D21">
      <w:pPr>
        <w:autoSpaceDE w:val="0"/>
        <w:autoSpaceDN w:val="0"/>
        <w:spacing w:line="276" w:lineRule="auto"/>
        <w:jc w:val="both"/>
        <w:rPr>
          <w14:ligatures w14:val="standardContextual"/>
        </w:rPr>
      </w:pPr>
      <w:r>
        <w:rPr>
          <w:color w:val="000000"/>
          <w14:ligatures w14:val="standardContextual"/>
        </w:rPr>
        <w:t>Administratīvā procesa likuma 233.panta pirmajā daļā paredzētā iespēja tiesas sēdē pārbaudīt eksperta atzinumu pastāv, lai novērstu lietas dalībniekam pastāvošās šaubas par eksperta atzinumu vai identificētu tajā trūkumus. Šāda</w:t>
      </w:r>
      <w:r>
        <w:rPr>
          <w14:ligatures w14:val="standardContextual"/>
        </w:rPr>
        <w:t>s</w:t>
      </w:r>
      <w:r>
        <w:rPr>
          <w:color w:val="000000"/>
          <w14:ligatures w14:val="standardContextual"/>
        </w:rPr>
        <w:t xml:space="preserve"> tiesība</w:t>
      </w:r>
      <w:r>
        <w:rPr>
          <w14:ligatures w14:val="standardContextual"/>
        </w:rPr>
        <w:t>s ietilpst</w:t>
      </w:r>
      <w:r>
        <w:rPr>
          <w:color w:val="000000"/>
          <w14:ligatures w14:val="standardContextual"/>
        </w:rPr>
        <w:t xml:space="preserve"> tiesībā</w:t>
      </w:r>
      <w:r>
        <w:rPr>
          <w14:ligatures w14:val="standardContextual"/>
        </w:rPr>
        <w:t>s</w:t>
      </w:r>
      <w:r>
        <w:rPr>
          <w:color w:val="000000"/>
          <w14:ligatures w14:val="standardContextual"/>
        </w:rPr>
        <w:t xml:space="preserve"> uz taisnīgu tiesu. Iespēja lietas dalībniekam </w:t>
      </w:r>
      <w:r>
        <w:rPr>
          <w14:ligatures w14:val="standardContextual"/>
        </w:rPr>
        <w:t xml:space="preserve">izjautāt ekspertu un </w:t>
      </w:r>
      <w:r>
        <w:rPr>
          <w:color w:val="000000"/>
          <w14:ligatures w14:val="standardContextual"/>
        </w:rPr>
        <w:t>izteikties par eksperta atzinumu īpaši būtiska ir gadījumos, kad ekspertīze veikta ārstniecības jautājumos</w:t>
      </w:r>
      <w:r>
        <w:rPr>
          <w14:ligatures w14:val="standardContextual"/>
        </w:rPr>
        <w:t>, jo:</w:t>
      </w:r>
    </w:p>
    <w:p w14:paraId="77740ACB" w14:textId="77777777" w:rsidR="00CF16D0" w:rsidRDefault="00CF16D0" w:rsidP="00644D21">
      <w:pPr>
        <w:pStyle w:val="ListParagraph"/>
        <w:numPr>
          <w:ilvl w:val="0"/>
          <w:numId w:val="5"/>
        </w:numPr>
        <w:autoSpaceDE w:val="0"/>
        <w:autoSpaceDN w:val="0"/>
        <w:spacing w:line="276" w:lineRule="auto"/>
        <w:contextualSpacing w:val="0"/>
        <w:jc w:val="both"/>
        <w:rPr>
          <w14:ligatures w14:val="standardContextual"/>
        </w:rPr>
      </w:pPr>
      <w:r>
        <w:rPr>
          <w:color w:val="000000"/>
          <w14:ligatures w14:val="standardContextual"/>
        </w:rPr>
        <w:t xml:space="preserve">eksperta atzinums var būtiski ietekmēt tiesnešu veikto faktu </w:t>
      </w:r>
      <w:proofErr w:type="spellStart"/>
      <w:r>
        <w:rPr>
          <w:color w:val="000000"/>
          <w14:ligatures w14:val="standardContextual"/>
        </w:rPr>
        <w:t>izvērtējumu</w:t>
      </w:r>
      <w:proofErr w:type="spellEnd"/>
      <w:r>
        <w:rPr>
          <w14:ligatures w14:val="standardContextual"/>
        </w:rPr>
        <w:t>;</w:t>
      </w:r>
    </w:p>
    <w:p w14:paraId="39CF1405" w14:textId="77777777" w:rsidR="00CF16D0" w:rsidRDefault="00CF16D0" w:rsidP="00644D21">
      <w:pPr>
        <w:pStyle w:val="ListParagraph"/>
        <w:numPr>
          <w:ilvl w:val="0"/>
          <w:numId w:val="5"/>
        </w:numPr>
        <w:autoSpaceDE w:val="0"/>
        <w:autoSpaceDN w:val="0"/>
        <w:spacing w:line="276" w:lineRule="auto"/>
        <w:contextualSpacing w:val="0"/>
        <w:jc w:val="both"/>
        <w:rPr>
          <w14:ligatures w14:val="standardContextual"/>
        </w:rPr>
      </w:pPr>
      <w:r>
        <w:rPr>
          <w:color w:val="000000"/>
          <w14:ligatures w14:val="standardContextual"/>
        </w:rPr>
        <w:t xml:space="preserve">daļa no eksperta atzinuma secinājumiem </w:t>
      </w:r>
      <w:r>
        <w:rPr>
          <w14:ligatures w14:val="standardContextual"/>
        </w:rPr>
        <w:t>var būt</w:t>
      </w:r>
      <w:r>
        <w:rPr>
          <w:color w:val="000000"/>
          <w14:ligatures w14:val="standardContextual"/>
        </w:rPr>
        <w:t xml:space="preserve"> balstīti tieši ekspertu profesionālajā pieredzē un zināšanās</w:t>
      </w:r>
      <w:r>
        <w:rPr>
          <w14:ligatures w14:val="standardContextual"/>
        </w:rPr>
        <w:t xml:space="preserve"> bez</w:t>
      </w:r>
      <w:r>
        <w:rPr>
          <w:color w:val="000000"/>
          <w14:ligatures w14:val="standardContextual"/>
        </w:rPr>
        <w:t xml:space="preserve"> tieš</w:t>
      </w:r>
      <w:r>
        <w:rPr>
          <w14:ligatures w14:val="standardContextual"/>
        </w:rPr>
        <w:t>ām</w:t>
      </w:r>
      <w:r>
        <w:rPr>
          <w:color w:val="000000"/>
          <w14:ligatures w14:val="standardContextual"/>
        </w:rPr>
        <w:t xml:space="preserve"> atsauc</w:t>
      </w:r>
      <w:r>
        <w:rPr>
          <w14:ligatures w14:val="standardContextual"/>
        </w:rPr>
        <w:t>ēm</w:t>
      </w:r>
      <w:r>
        <w:rPr>
          <w:color w:val="000000"/>
          <w14:ligatures w14:val="standardContextual"/>
        </w:rPr>
        <w:t xml:space="preserve"> uz zinātnisko literatūru. </w:t>
      </w:r>
    </w:p>
    <w:p w14:paraId="75A02836" w14:textId="43AB1103" w:rsidR="00522062" w:rsidRPr="00CF16D0" w:rsidRDefault="00CF16D0" w:rsidP="00644D21">
      <w:pPr>
        <w:autoSpaceDE w:val="0"/>
        <w:autoSpaceDN w:val="0"/>
        <w:spacing w:line="276" w:lineRule="auto"/>
        <w:jc w:val="both"/>
        <w:rPr>
          <w:rFonts w:eastAsiaTheme="minorHAnsi"/>
          <w:color w:val="000000"/>
          <w14:ligatures w14:val="standardContextual"/>
        </w:rPr>
      </w:pPr>
      <w:r>
        <w:rPr>
          <w14:ligatures w14:val="standardContextual"/>
        </w:rPr>
        <w:t xml:space="preserve">Tādējādi, ja procesa dalībnieks </w:t>
      </w:r>
      <w:r>
        <w:rPr>
          <w:color w:val="000000"/>
          <w14:ligatures w14:val="standardContextual"/>
        </w:rPr>
        <w:t xml:space="preserve">norāda uz objektīvām neskaidrībām eksperta atzinumā, tad tas ir pietiekams pamats eksperta atzinuma pārbaudei tiesas sēdē. Ja eksperta atzinuma pārbaude tiesas sēdē netiek veikta, tad šāds procesuālo tiesību pārkāpums ir pamats tiesas sprieduma atcelšanai. </w:t>
      </w:r>
    </w:p>
    <w:p w14:paraId="1C33A79D" w14:textId="35C889D5" w:rsidR="00522062" w:rsidRPr="00D45AED" w:rsidRDefault="00522062" w:rsidP="00644D21">
      <w:pPr>
        <w:spacing w:before="120" w:line="276" w:lineRule="auto"/>
        <w:jc w:val="center"/>
        <w:rPr>
          <w:b/>
          <w:lang w:eastAsia="ru-RU"/>
        </w:rPr>
      </w:pPr>
      <w:r w:rsidRPr="00D45AED">
        <w:rPr>
          <w:b/>
          <w:lang w:eastAsia="ru-RU"/>
        </w:rPr>
        <w:t>Latvijas Republikas Senāt</w:t>
      </w:r>
      <w:r w:rsidR="00CF16D0">
        <w:rPr>
          <w:b/>
          <w:lang w:eastAsia="ru-RU"/>
        </w:rPr>
        <w:t>a</w:t>
      </w:r>
      <w:r w:rsidR="00CF16D0">
        <w:rPr>
          <w:b/>
          <w:lang w:eastAsia="ru-RU"/>
        </w:rPr>
        <w:br/>
        <w:t>Administratīvo lietu departamenta</w:t>
      </w:r>
      <w:r w:rsidR="00CF16D0">
        <w:rPr>
          <w:b/>
          <w:lang w:eastAsia="ru-RU"/>
        </w:rPr>
        <w:br/>
        <w:t>2025.gada 30.septembra</w:t>
      </w:r>
    </w:p>
    <w:p w14:paraId="04B1FF97" w14:textId="77777777" w:rsidR="00522062" w:rsidRPr="00D45AED" w:rsidRDefault="00522062" w:rsidP="00644D21">
      <w:pPr>
        <w:spacing w:line="276" w:lineRule="auto"/>
        <w:jc w:val="center"/>
        <w:rPr>
          <w:lang w:eastAsia="ru-RU"/>
        </w:rPr>
      </w:pPr>
      <w:r w:rsidRPr="00D45AED">
        <w:rPr>
          <w:b/>
          <w:lang w:eastAsia="ru-RU"/>
        </w:rPr>
        <w:t>SPRIEDUMS</w:t>
      </w:r>
    </w:p>
    <w:p w14:paraId="155822A6" w14:textId="54278501" w:rsidR="00CF16D0" w:rsidRPr="00CF16D0" w:rsidRDefault="00CF16D0" w:rsidP="00644D21">
      <w:pPr>
        <w:spacing w:line="276" w:lineRule="auto"/>
        <w:jc w:val="center"/>
        <w:rPr>
          <w:b/>
          <w:bCs/>
        </w:rPr>
      </w:pPr>
      <w:r w:rsidRPr="00CF16D0">
        <w:rPr>
          <w:b/>
          <w:bCs/>
        </w:rPr>
        <w:t>Lieta Nr. </w:t>
      </w:r>
      <w:r w:rsidRPr="00CF16D0">
        <w:rPr>
          <w:rFonts w:cs="Arial"/>
          <w:b/>
          <w:bCs/>
          <w:iCs/>
          <w:szCs w:val="20"/>
        </w:rPr>
        <w:t>A420172018</w:t>
      </w:r>
      <w:r w:rsidRPr="00CF16D0">
        <w:rPr>
          <w:b/>
          <w:bCs/>
        </w:rPr>
        <w:t>, SKA</w:t>
      </w:r>
      <w:bookmarkStart w:id="0" w:name="_Hlk129772518"/>
      <w:r w:rsidRPr="00CF16D0">
        <w:rPr>
          <w:b/>
          <w:bCs/>
        </w:rPr>
        <w:noBreakHyphen/>
      </w:r>
      <w:bookmarkEnd w:id="0"/>
      <w:r w:rsidRPr="00CF16D0">
        <w:rPr>
          <w:b/>
          <w:bCs/>
        </w:rPr>
        <w:t>778/2025</w:t>
      </w:r>
    </w:p>
    <w:p w14:paraId="3BA6F742" w14:textId="7CC30BB8" w:rsidR="00522062" w:rsidRPr="00CF16D0" w:rsidRDefault="00CF16D0" w:rsidP="00644D21">
      <w:pPr>
        <w:spacing w:line="276" w:lineRule="auto"/>
        <w:jc w:val="center"/>
        <w:rPr>
          <w:noProof/>
          <w:lang w:eastAsia="ru-RU"/>
        </w:rPr>
      </w:pPr>
      <w:r>
        <w:t xml:space="preserve"> </w:t>
      </w:r>
      <w:hyperlink r:id="rId8" w:history="1">
        <w:r w:rsidRPr="00CF16D0">
          <w:rPr>
            <w:rStyle w:val="Hyperlink"/>
          </w:rPr>
          <w:t>ECLI:LV:AT:2025:0930.A420172018.37.S</w:t>
        </w:r>
      </w:hyperlink>
    </w:p>
    <w:p w14:paraId="0F6869AF" w14:textId="77777777" w:rsidR="00522062" w:rsidRDefault="00522062" w:rsidP="00644D21">
      <w:pPr>
        <w:spacing w:line="276" w:lineRule="auto"/>
        <w:jc w:val="both"/>
      </w:pPr>
    </w:p>
    <w:p w14:paraId="33AB15B9" w14:textId="782FDFFA" w:rsidR="00522062" w:rsidRDefault="00522062" w:rsidP="00644D21">
      <w:pPr>
        <w:spacing w:line="276" w:lineRule="auto"/>
        <w:ind w:firstLine="720"/>
        <w:jc w:val="both"/>
      </w:pPr>
      <w:r>
        <w:t xml:space="preserve">Senāts šādā sastāvā: senatore referente Rudīte Vīduša, </w:t>
      </w:r>
      <w:r w:rsidRPr="009650AC">
        <w:t>senator</w:t>
      </w:r>
      <w:r w:rsidR="00395668">
        <w:t xml:space="preserve">i </w:t>
      </w:r>
      <w:r w:rsidR="00395668">
        <w:rPr>
          <w:noProof/>
          <w:lang w:eastAsia="ru-RU"/>
        </w:rPr>
        <w:t>Ermīns</w:t>
      </w:r>
      <w:r w:rsidR="0063369F">
        <w:rPr>
          <w:noProof/>
          <w:lang w:eastAsia="ru-RU"/>
        </w:rPr>
        <w:t> </w:t>
      </w:r>
      <w:r w:rsidR="00395668">
        <w:rPr>
          <w:noProof/>
          <w:lang w:eastAsia="ru-RU"/>
        </w:rPr>
        <w:t>Darapoļskis</w:t>
      </w:r>
      <w:r w:rsidRPr="009650AC">
        <w:t xml:space="preserve"> un </w:t>
      </w:r>
      <w:r w:rsidR="008714E5">
        <w:rPr>
          <w:noProof/>
          <w:lang w:eastAsia="ru-RU"/>
        </w:rPr>
        <w:t>Indra Meldere</w:t>
      </w:r>
    </w:p>
    <w:p w14:paraId="456D280F" w14:textId="77777777" w:rsidR="00522062" w:rsidRDefault="00522062" w:rsidP="00644D21">
      <w:pPr>
        <w:spacing w:line="276" w:lineRule="auto"/>
        <w:ind w:firstLine="720"/>
        <w:jc w:val="both"/>
      </w:pPr>
    </w:p>
    <w:p w14:paraId="1CF117CB" w14:textId="07623655" w:rsidR="00522062" w:rsidRDefault="00522062" w:rsidP="00644D21">
      <w:pPr>
        <w:spacing w:line="276" w:lineRule="auto"/>
        <w:ind w:firstLine="720"/>
        <w:jc w:val="both"/>
        <w:rPr>
          <w:color w:val="000000"/>
          <w:shd w:val="clear" w:color="auto" w:fill="FFFFFF"/>
        </w:rPr>
      </w:pPr>
      <w:r>
        <w:rPr>
          <w:lang w:eastAsia="en-US"/>
        </w:rPr>
        <w:t xml:space="preserve">rakstveida procesā izskatīja administratīvo lietu, </w:t>
      </w:r>
      <w:r>
        <w:t xml:space="preserve">kas ierosināta, </w:t>
      </w:r>
      <w:r w:rsidR="00395668" w:rsidRPr="00395668">
        <w:t xml:space="preserve">pamatojoties uz </w:t>
      </w:r>
      <w:r w:rsidR="00CF16D0">
        <w:t xml:space="preserve">[pers. A] </w:t>
      </w:r>
      <w:r w:rsidR="00395668" w:rsidRPr="00395668">
        <w:t xml:space="preserve">pieteikumu par labvēlīgāka administratīvā akta izdošanu, ar kuru </w:t>
      </w:r>
      <w:r w:rsidR="00CF16D0">
        <w:t xml:space="preserve">[pers. A] </w:t>
      </w:r>
      <w:r w:rsidR="00395668" w:rsidRPr="00395668">
        <w:t>tiktu izmaksāta atlīdzība no Ārstniecības riska fonda par veselībai nodarīto kaitējumu un atlīdzināt</w:t>
      </w:r>
      <w:r w:rsidR="00EC7EED">
        <w:t>i</w:t>
      </w:r>
      <w:r w:rsidR="00395668" w:rsidRPr="00395668">
        <w:t xml:space="preserve"> ārstniecības izdevumi, sakarā ar </w:t>
      </w:r>
      <w:r w:rsidR="00CF16D0">
        <w:t xml:space="preserve">[pers. A] </w:t>
      </w:r>
      <w:r w:rsidR="00107D6D">
        <w:t>kasācijas</w:t>
      </w:r>
      <w:r w:rsidR="00395668" w:rsidRPr="00395668">
        <w:t xml:space="preserve"> sūdzību par Administratīvās</w:t>
      </w:r>
      <w:r w:rsidR="00107D6D">
        <w:t xml:space="preserve"> </w:t>
      </w:r>
      <w:r w:rsidR="00107D6D" w:rsidRPr="00107D6D">
        <w:t>apgabal</w:t>
      </w:r>
      <w:r w:rsidR="00395668" w:rsidRPr="00107D6D">
        <w:t>tiesas 20</w:t>
      </w:r>
      <w:r w:rsidR="00107D6D" w:rsidRPr="00107D6D">
        <w:t>25</w:t>
      </w:r>
      <w:r w:rsidR="00395668" w:rsidRPr="00107D6D">
        <w:t xml:space="preserve">.gada </w:t>
      </w:r>
      <w:r w:rsidR="00107D6D" w:rsidRPr="00107D6D">
        <w:t>1</w:t>
      </w:r>
      <w:r w:rsidR="00395668" w:rsidRPr="00107D6D">
        <w:t>3.</w:t>
      </w:r>
      <w:r w:rsidR="00107D6D" w:rsidRPr="00107D6D">
        <w:t>jūnij</w:t>
      </w:r>
      <w:r w:rsidR="00107D6D">
        <w:t>a</w:t>
      </w:r>
      <w:r w:rsidR="00395668" w:rsidRPr="00107D6D">
        <w:t xml:space="preserve"> spriedumu.</w:t>
      </w:r>
    </w:p>
    <w:p w14:paraId="5EE6A2C5" w14:textId="77777777" w:rsidR="00395668" w:rsidRPr="00395668" w:rsidRDefault="00395668" w:rsidP="00644D21">
      <w:pPr>
        <w:spacing w:line="276" w:lineRule="auto"/>
        <w:ind w:firstLine="720"/>
        <w:jc w:val="both"/>
        <w:rPr>
          <w:color w:val="000000"/>
          <w:shd w:val="clear" w:color="auto" w:fill="FFFFFF"/>
        </w:rPr>
      </w:pPr>
    </w:p>
    <w:p w14:paraId="682A7F64" w14:textId="77777777" w:rsidR="00522062" w:rsidRDefault="00522062" w:rsidP="00644D21">
      <w:pPr>
        <w:spacing w:line="276" w:lineRule="auto"/>
        <w:jc w:val="center"/>
        <w:rPr>
          <w:b/>
        </w:rPr>
      </w:pPr>
      <w:r w:rsidRPr="0083065B">
        <w:rPr>
          <w:b/>
        </w:rPr>
        <w:t>Aprakstošā daļa</w:t>
      </w:r>
    </w:p>
    <w:p w14:paraId="23FF7A2B" w14:textId="77777777" w:rsidR="0059737A" w:rsidRDefault="0059737A" w:rsidP="00644D21">
      <w:pPr>
        <w:spacing w:line="276" w:lineRule="auto"/>
        <w:jc w:val="center"/>
        <w:rPr>
          <w:b/>
        </w:rPr>
      </w:pPr>
    </w:p>
    <w:p w14:paraId="41914CC7" w14:textId="2A9D4B92" w:rsidR="00E9159C" w:rsidRPr="00E9159C" w:rsidRDefault="00E9159C" w:rsidP="00644D21">
      <w:pPr>
        <w:spacing w:line="276" w:lineRule="auto"/>
        <w:ind w:firstLine="720"/>
        <w:jc w:val="both"/>
        <w:rPr>
          <w:i/>
          <w:iCs/>
        </w:rPr>
      </w:pPr>
      <w:r w:rsidRPr="00C2686E">
        <w:rPr>
          <w:i/>
          <w:iCs/>
        </w:rPr>
        <w:t>Lietas apstākļi</w:t>
      </w:r>
    </w:p>
    <w:p w14:paraId="01C278F0" w14:textId="1B8CDE4B" w:rsidR="006440CC" w:rsidRDefault="0059737A" w:rsidP="00644D21">
      <w:pPr>
        <w:autoSpaceDE w:val="0"/>
        <w:autoSpaceDN w:val="0"/>
        <w:adjustRightInd w:val="0"/>
        <w:spacing w:line="276" w:lineRule="auto"/>
        <w:ind w:firstLine="720"/>
        <w:jc w:val="both"/>
        <w:rPr>
          <w:rFonts w:asciiTheme="majorBidi" w:hAnsiTheme="majorBidi" w:cstheme="majorBidi"/>
        </w:rPr>
      </w:pPr>
      <w:r>
        <w:rPr>
          <w:bCs/>
        </w:rPr>
        <w:t>[1]</w:t>
      </w:r>
      <w:r w:rsidR="006440CC">
        <w:rPr>
          <w:bCs/>
        </w:rPr>
        <w:t> </w:t>
      </w:r>
      <w:r w:rsidR="006440CC" w:rsidRPr="006440CC">
        <w:rPr>
          <w:rFonts w:asciiTheme="majorBidi" w:hAnsiTheme="majorBidi" w:cstheme="majorBidi"/>
        </w:rPr>
        <w:t>Ar Nacionālā veselības dienest</w:t>
      </w:r>
      <w:r w:rsidR="00E93860">
        <w:rPr>
          <w:rFonts w:asciiTheme="majorBidi" w:hAnsiTheme="majorBidi" w:cstheme="majorBidi"/>
        </w:rPr>
        <w:t xml:space="preserve">a </w:t>
      </w:r>
      <w:r w:rsidR="006440CC" w:rsidRPr="006440CC">
        <w:rPr>
          <w:rFonts w:asciiTheme="majorBidi" w:hAnsiTheme="majorBidi" w:cstheme="majorBidi"/>
        </w:rPr>
        <w:t xml:space="preserve">2017.gada 13.jūlija lēmumu nolemts izmaksāt pieteicējai </w:t>
      </w:r>
      <w:r w:rsidR="00CF16D0">
        <w:t xml:space="preserve">[pers. A] </w:t>
      </w:r>
      <w:r w:rsidR="00EC7EED" w:rsidRPr="006440CC">
        <w:rPr>
          <w:rFonts w:asciiTheme="majorBidi" w:hAnsiTheme="majorBidi" w:cstheme="majorBidi"/>
        </w:rPr>
        <w:t xml:space="preserve">14 229 </w:t>
      </w:r>
      <w:proofErr w:type="spellStart"/>
      <w:r w:rsidR="00EC7EED" w:rsidRPr="00494021">
        <w:rPr>
          <w:rFonts w:asciiTheme="majorBidi" w:hAnsiTheme="majorBidi" w:cstheme="majorBidi"/>
          <w:i/>
          <w:iCs/>
        </w:rPr>
        <w:t>euro</w:t>
      </w:r>
      <w:proofErr w:type="spellEnd"/>
      <w:r w:rsidR="00EC7EED" w:rsidRPr="006440CC">
        <w:rPr>
          <w:rFonts w:asciiTheme="majorBidi" w:hAnsiTheme="majorBidi" w:cstheme="majorBidi"/>
        </w:rPr>
        <w:t xml:space="preserve"> </w:t>
      </w:r>
      <w:r w:rsidR="006440CC" w:rsidRPr="006440CC">
        <w:rPr>
          <w:rFonts w:asciiTheme="majorBidi" w:hAnsiTheme="majorBidi" w:cstheme="majorBidi"/>
        </w:rPr>
        <w:t>atlīdzību par veselībai nodarīto kaitējumu</w:t>
      </w:r>
      <w:r w:rsidR="00E93860">
        <w:rPr>
          <w:rFonts w:asciiTheme="majorBidi" w:hAnsiTheme="majorBidi" w:cstheme="majorBidi"/>
        </w:rPr>
        <w:t>,</w:t>
      </w:r>
      <w:r w:rsidR="00E93860" w:rsidRPr="00E93860">
        <w:rPr>
          <w:rFonts w:asciiTheme="majorBidi" w:hAnsiTheme="majorBidi" w:cstheme="majorBidi"/>
        </w:rPr>
        <w:t xml:space="preserve"> </w:t>
      </w:r>
      <w:r w:rsidR="00E93860" w:rsidRPr="006440CC">
        <w:rPr>
          <w:rFonts w:asciiTheme="majorBidi" w:hAnsiTheme="majorBidi" w:cstheme="majorBidi"/>
        </w:rPr>
        <w:t>kas radies no 2016.gada 19.janvāra līdz 2016.gada 1.februārim ārstniecības iestādē akciju sabiedrībā „</w:t>
      </w:r>
      <w:r w:rsidR="00CF16D0">
        <w:rPr>
          <w:rFonts w:asciiTheme="majorBidi" w:hAnsiTheme="majorBidi" w:cstheme="majorBidi"/>
        </w:rPr>
        <w:t>[Nosaukums]</w:t>
      </w:r>
      <w:r w:rsidR="00E93860" w:rsidRPr="006440CC">
        <w:rPr>
          <w:rFonts w:asciiTheme="majorBidi" w:hAnsiTheme="majorBidi" w:cstheme="majorBidi"/>
        </w:rPr>
        <w:t>”” (turpmāk – slimnīca „</w:t>
      </w:r>
      <w:r w:rsidR="00CF16D0">
        <w:rPr>
          <w:rFonts w:asciiTheme="majorBidi" w:hAnsiTheme="majorBidi" w:cstheme="majorBidi"/>
        </w:rPr>
        <w:t>[Nosaukums]</w:t>
      </w:r>
      <w:r w:rsidR="00E93860" w:rsidRPr="006440CC">
        <w:rPr>
          <w:rFonts w:asciiTheme="majorBidi" w:hAnsiTheme="majorBidi" w:cstheme="majorBidi"/>
        </w:rPr>
        <w:t>”), kur pieteicējai 2016.gada 19.janvārī veikta kuņģi reducējoša (samazinoša) operācija un holicistektomija (žultspūšļa izņemšana).</w:t>
      </w:r>
      <w:r w:rsidR="00E93860">
        <w:rPr>
          <w:rFonts w:asciiTheme="majorBidi" w:hAnsiTheme="majorBidi" w:cstheme="majorBidi"/>
        </w:rPr>
        <w:t xml:space="preserve"> </w:t>
      </w:r>
      <w:r w:rsidR="006440CC" w:rsidRPr="006440CC">
        <w:rPr>
          <w:rFonts w:asciiTheme="majorBidi" w:hAnsiTheme="majorBidi" w:cstheme="majorBidi"/>
        </w:rPr>
        <w:t xml:space="preserve">Ar dienesta 2017.gada 28.augusta lēmumu </w:t>
      </w:r>
      <w:r w:rsidR="00EC7EED" w:rsidRPr="006440CC">
        <w:rPr>
          <w:rFonts w:asciiTheme="majorBidi" w:hAnsiTheme="majorBidi" w:cstheme="majorBidi"/>
        </w:rPr>
        <w:t xml:space="preserve">pieteicējai </w:t>
      </w:r>
      <w:r w:rsidR="006440CC" w:rsidRPr="006440CC">
        <w:rPr>
          <w:rFonts w:asciiTheme="majorBidi" w:hAnsiTheme="majorBidi" w:cstheme="majorBidi"/>
        </w:rPr>
        <w:t xml:space="preserve">atteikts izmaksāt atlīdzību par ārstniecības izdevumiem 1501,81 </w:t>
      </w:r>
      <w:r w:rsidR="006440CC" w:rsidRPr="001D10B3">
        <w:rPr>
          <w:rFonts w:asciiTheme="majorBidi" w:hAnsiTheme="majorBidi" w:cstheme="majorBidi"/>
          <w:i/>
          <w:iCs/>
        </w:rPr>
        <w:t>euro</w:t>
      </w:r>
      <w:r w:rsidR="006440CC" w:rsidRPr="006440CC">
        <w:rPr>
          <w:rFonts w:asciiTheme="majorBidi" w:hAnsiTheme="majorBidi" w:cstheme="majorBidi"/>
        </w:rPr>
        <w:t xml:space="preserve">, kas radušies saistībā ar konstatētā abscesa novēršanu. </w:t>
      </w:r>
      <w:r w:rsidR="00E93860">
        <w:rPr>
          <w:rFonts w:asciiTheme="majorBidi" w:hAnsiTheme="majorBidi" w:cstheme="majorBidi"/>
        </w:rPr>
        <w:t xml:space="preserve">Ar </w:t>
      </w:r>
      <w:r w:rsidR="00E93860" w:rsidRPr="006440CC">
        <w:rPr>
          <w:rFonts w:asciiTheme="majorBidi" w:hAnsiTheme="majorBidi" w:cstheme="majorBidi"/>
        </w:rPr>
        <w:t>Veselības ministrij</w:t>
      </w:r>
      <w:r w:rsidR="00E93860">
        <w:rPr>
          <w:rFonts w:asciiTheme="majorBidi" w:hAnsiTheme="majorBidi" w:cstheme="majorBidi"/>
        </w:rPr>
        <w:t xml:space="preserve">as </w:t>
      </w:r>
      <w:r w:rsidR="00E93860" w:rsidRPr="00E93860">
        <w:rPr>
          <w:rFonts w:asciiTheme="majorBidi" w:hAnsiTheme="majorBidi" w:cstheme="majorBidi"/>
        </w:rPr>
        <w:t xml:space="preserve">2018.gada 28.janvāra lēmumu pieteicējas apstrīdētie dienesta lēmumi atstāti negrozīti un noraidīts pieteicējas prasījums par morālā kaitējuma kompensāciju 200 </w:t>
      </w:r>
      <w:r w:rsidR="00E93860" w:rsidRPr="001D10B3">
        <w:rPr>
          <w:rFonts w:asciiTheme="majorBidi" w:hAnsiTheme="majorBidi" w:cstheme="majorBidi"/>
          <w:i/>
          <w:iCs/>
        </w:rPr>
        <w:t>euro</w:t>
      </w:r>
      <w:r w:rsidR="00E93860" w:rsidRPr="00E93860">
        <w:rPr>
          <w:rFonts w:asciiTheme="majorBidi" w:hAnsiTheme="majorBidi" w:cstheme="majorBidi"/>
        </w:rPr>
        <w:t xml:space="preserve"> apmērā.</w:t>
      </w:r>
    </w:p>
    <w:p w14:paraId="27257200" w14:textId="7C00AF3F" w:rsidR="005B214A" w:rsidRDefault="00EC7EED" w:rsidP="00644D21">
      <w:pPr>
        <w:autoSpaceDE w:val="0"/>
        <w:autoSpaceDN w:val="0"/>
        <w:adjustRightInd w:val="0"/>
        <w:spacing w:line="276" w:lineRule="auto"/>
        <w:ind w:firstLine="720"/>
        <w:jc w:val="both"/>
        <w:rPr>
          <w:shd w:val="clear" w:color="auto" w:fill="FFFFFF"/>
          <w:lang w:eastAsia="ru-RU"/>
        </w:rPr>
      </w:pPr>
      <w:r w:rsidRPr="00CB5EA5">
        <w:rPr>
          <w:shd w:val="clear" w:color="auto" w:fill="FFFFFF"/>
          <w:lang w:eastAsia="ru-RU"/>
        </w:rPr>
        <w:t xml:space="preserve">Ministrijas lēmumu pieteicēja pārsūdzēja </w:t>
      </w:r>
      <w:r>
        <w:rPr>
          <w:shd w:val="clear" w:color="auto" w:fill="FFFFFF"/>
          <w:lang w:eastAsia="ru-RU"/>
        </w:rPr>
        <w:t>a</w:t>
      </w:r>
      <w:r w:rsidRPr="00CB5EA5">
        <w:rPr>
          <w:shd w:val="clear" w:color="auto" w:fill="FFFFFF"/>
          <w:lang w:eastAsia="ru-RU"/>
        </w:rPr>
        <w:t>dministratīvajā tiesā, iesniedzot pieteikumu par labvēlīgāka administratīvā akta izdošanu.</w:t>
      </w:r>
    </w:p>
    <w:p w14:paraId="5D8B3BE5" w14:textId="77777777" w:rsidR="00EC7EED" w:rsidRDefault="00EC7EED" w:rsidP="00644D21">
      <w:pPr>
        <w:autoSpaceDE w:val="0"/>
        <w:autoSpaceDN w:val="0"/>
        <w:adjustRightInd w:val="0"/>
        <w:spacing w:line="276" w:lineRule="auto"/>
        <w:ind w:firstLine="720"/>
        <w:jc w:val="both"/>
        <w:rPr>
          <w:bCs/>
        </w:rPr>
      </w:pPr>
    </w:p>
    <w:p w14:paraId="60D7CCAA" w14:textId="77777777" w:rsidR="00E9797D" w:rsidRPr="00D16E61" w:rsidRDefault="00E9797D" w:rsidP="00644D21">
      <w:pPr>
        <w:shd w:val="clear" w:color="auto" w:fill="FFFFFF"/>
        <w:spacing w:line="276" w:lineRule="auto"/>
        <w:ind w:firstLine="720"/>
        <w:rPr>
          <w:i/>
          <w:iCs/>
          <w:shd w:val="clear" w:color="auto" w:fill="FFFFFF"/>
        </w:rPr>
      </w:pPr>
      <w:r w:rsidRPr="00D16E61">
        <w:rPr>
          <w:i/>
          <w:iCs/>
          <w:shd w:val="clear" w:color="auto" w:fill="FFFFFF"/>
        </w:rPr>
        <w:lastRenderedPageBreak/>
        <w:t>Apelācijas instances tiesas spriedums</w:t>
      </w:r>
    </w:p>
    <w:p w14:paraId="51D370A5" w14:textId="54B11ABC" w:rsidR="00E9797D" w:rsidRDefault="00E9797D" w:rsidP="00644D21">
      <w:pPr>
        <w:pStyle w:val="NormalWeb"/>
        <w:shd w:val="clear" w:color="auto" w:fill="FFFFFF"/>
        <w:spacing w:before="0" w:beforeAutospacing="0" w:after="0" w:afterAutospacing="0"/>
        <w:ind w:firstLine="720"/>
        <w:rPr>
          <w:shd w:val="clear" w:color="auto" w:fill="FFFFFF"/>
        </w:rPr>
      </w:pPr>
      <w:r>
        <w:rPr>
          <w:shd w:val="clear" w:color="auto" w:fill="FFFFFF"/>
        </w:rPr>
        <w:t>[</w:t>
      </w:r>
      <w:r w:rsidR="00122CB2">
        <w:rPr>
          <w:shd w:val="clear" w:color="auto" w:fill="FFFFFF"/>
        </w:rPr>
        <w:t>2</w:t>
      </w:r>
      <w:r>
        <w:rPr>
          <w:shd w:val="clear" w:color="auto" w:fill="FFFFFF"/>
        </w:rPr>
        <w:t xml:space="preserve">] Izskatījusi lietu </w:t>
      </w:r>
      <w:r w:rsidR="00122CB2">
        <w:rPr>
          <w:shd w:val="clear" w:color="auto" w:fill="FFFFFF"/>
        </w:rPr>
        <w:t>atkārtoti apelācijas kārtībā</w:t>
      </w:r>
      <w:r>
        <w:rPr>
          <w:shd w:val="clear" w:color="auto" w:fill="FFFFFF"/>
        </w:rPr>
        <w:t xml:space="preserve">, </w:t>
      </w:r>
      <w:r w:rsidR="00122CB2">
        <w:rPr>
          <w:shd w:val="clear" w:color="auto" w:fill="FFFFFF"/>
        </w:rPr>
        <w:t xml:space="preserve">Administratīvā </w:t>
      </w:r>
      <w:r>
        <w:rPr>
          <w:shd w:val="clear" w:color="auto" w:fill="FFFFFF"/>
        </w:rPr>
        <w:t xml:space="preserve">apgabaltiesa ar 2025.gada 13.jūnija spriedumu pieteikumu par </w:t>
      </w:r>
      <w:r w:rsidRPr="00D16E61">
        <w:rPr>
          <w:shd w:val="clear" w:color="auto" w:fill="FFFFFF"/>
        </w:rPr>
        <w:t>labvēlīgāka administratīvā akta izdošanu</w:t>
      </w:r>
      <w:r>
        <w:rPr>
          <w:shd w:val="clear" w:color="auto" w:fill="FFFFFF"/>
        </w:rPr>
        <w:t xml:space="preserve"> noraidīja. </w:t>
      </w:r>
      <w:r w:rsidR="009A1A54">
        <w:rPr>
          <w:shd w:val="clear" w:color="auto" w:fill="FFFFFF"/>
        </w:rPr>
        <w:t>S</w:t>
      </w:r>
      <w:r>
        <w:rPr>
          <w:shd w:val="clear" w:color="auto" w:fill="FFFFFF"/>
        </w:rPr>
        <w:t>priedums pamatots ar turpmāk minētajiem apsvērumiem.</w:t>
      </w:r>
    </w:p>
    <w:p w14:paraId="3C14DD77" w14:textId="444459EA" w:rsidR="00F1002B" w:rsidRDefault="00E9797D" w:rsidP="00644D21">
      <w:pPr>
        <w:pStyle w:val="NormalWeb"/>
        <w:shd w:val="clear" w:color="auto" w:fill="FFFFFF"/>
        <w:spacing w:before="0" w:beforeAutospacing="0" w:after="0" w:afterAutospacing="0"/>
        <w:ind w:firstLine="720"/>
        <w:rPr>
          <w:shd w:val="clear" w:color="auto" w:fill="FFFFFF"/>
        </w:rPr>
      </w:pPr>
      <w:r>
        <w:rPr>
          <w:shd w:val="clear" w:color="auto" w:fill="FFFFFF"/>
        </w:rPr>
        <w:t>[</w:t>
      </w:r>
      <w:r w:rsidR="00122CB2">
        <w:rPr>
          <w:shd w:val="clear" w:color="auto" w:fill="FFFFFF"/>
        </w:rPr>
        <w:t>2</w:t>
      </w:r>
      <w:r>
        <w:rPr>
          <w:shd w:val="clear" w:color="auto" w:fill="FFFFFF"/>
        </w:rPr>
        <w:t>.1]</w:t>
      </w:r>
      <w:r w:rsidR="00EF66BD">
        <w:rPr>
          <w:shd w:val="clear" w:color="auto" w:fill="FFFFFF"/>
        </w:rPr>
        <w:t> </w:t>
      </w:r>
      <w:r w:rsidR="00F1002B">
        <w:rPr>
          <w:shd w:val="clear" w:color="auto" w:fill="FFFFFF"/>
        </w:rPr>
        <w:t>Vērtējot, vai attiecīgā operācija pareizas ārstniecības gadījumā vispār būtu veikta un tātad vai būt iestājušās arī profesionāli veiktas operācijas gadījumā iespējamās sekas, apgabaltiesa ieguva jaunu pierādījumu – eksperta atzinumu. Eksperta atzinumā secināts, ka operācija bija pieļaujama un nepieciešama, par ko liecina pieteicējas ķermeņa masas indekss (turpmāk – ĶMI), kas ir lielāks par 35</w:t>
      </w:r>
      <w:r w:rsidR="008659BA">
        <w:rPr>
          <w:shd w:val="clear" w:color="auto" w:fill="FFFFFF"/>
        </w:rPr>
        <w:t> </w:t>
      </w:r>
      <w:r w:rsidR="00F1002B">
        <w:rPr>
          <w:shd w:val="clear" w:color="auto" w:fill="FFFFFF"/>
        </w:rPr>
        <w:t>kg/m</w:t>
      </w:r>
      <w:r w:rsidR="00F1002B">
        <w:rPr>
          <w:shd w:val="clear" w:color="auto" w:fill="FFFFFF"/>
          <w:vertAlign w:val="superscript"/>
        </w:rPr>
        <w:t>2</w:t>
      </w:r>
      <w:r w:rsidR="00F1002B">
        <w:rPr>
          <w:shd w:val="clear" w:color="auto" w:fill="FFFFFF"/>
        </w:rPr>
        <w:t>. Atbilstoši aktuālajām rekomendācijām kuņģa samazināšanas operācija ir rekomendējama personām ar ĶMI ≥</w:t>
      </w:r>
      <w:r w:rsidR="00E754E7">
        <w:rPr>
          <w:shd w:val="clear" w:color="auto" w:fill="FFFFFF"/>
        </w:rPr>
        <w:t> </w:t>
      </w:r>
      <w:r w:rsidR="00F1002B">
        <w:rPr>
          <w:shd w:val="clear" w:color="auto" w:fill="FFFFFF"/>
        </w:rPr>
        <w:t>35</w:t>
      </w:r>
      <w:r w:rsidR="008659BA">
        <w:rPr>
          <w:shd w:val="clear" w:color="auto" w:fill="FFFFFF"/>
        </w:rPr>
        <w:t> </w:t>
      </w:r>
      <w:r w:rsidR="00F1002B">
        <w:rPr>
          <w:shd w:val="clear" w:color="auto" w:fill="FFFFFF"/>
        </w:rPr>
        <w:t>kg/m</w:t>
      </w:r>
      <w:r w:rsidR="00F1002B">
        <w:rPr>
          <w:shd w:val="clear" w:color="auto" w:fill="FFFFFF"/>
          <w:vertAlign w:val="superscript"/>
        </w:rPr>
        <w:t>2</w:t>
      </w:r>
      <w:r w:rsidR="00EF66BD">
        <w:rPr>
          <w:shd w:val="clear" w:color="auto" w:fill="FFFFFF"/>
        </w:rPr>
        <w:t>. Apgabaltiesai nav objektīva pamata apšaubīt eksperta atzinuma secinājumu, kas balstīts pieteicējas medicīn</w:t>
      </w:r>
      <w:r w:rsidR="00F4707F">
        <w:rPr>
          <w:shd w:val="clear" w:color="auto" w:fill="FFFFFF"/>
        </w:rPr>
        <w:t xml:space="preserve">iskajos </w:t>
      </w:r>
      <w:r w:rsidR="00EF66BD">
        <w:rPr>
          <w:shd w:val="clear" w:color="auto" w:fill="FFFFFF"/>
        </w:rPr>
        <w:t>dokumentos nor</w:t>
      </w:r>
      <w:r w:rsidR="00DB1BA0">
        <w:rPr>
          <w:shd w:val="clear" w:color="auto" w:fill="FFFFFF"/>
        </w:rPr>
        <w:t>ā</w:t>
      </w:r>
      <w:r w:rsidR="00EF66BD">
        <w:rPr>
          <w:shd w:val="clear" w:color="auto" w:fill="FFFFFF"/>
        </w:rPr>
        <w:t>dītajos faktos. Pieteicējas arguments par ĶMI zemāku par 35</w:t>
      </w:r>
      <w:r w:rsidR="008659BA">
        <w:rPr>
          <w:shd w:val="clear" w:color="auto" w:fill="FFFFFF"/>
        </w:rPr>
        <w:t> </w:t>
      </w:r>
      <w:r w:rsidR="00EF66BD">
        <w:rPr>
          <w:shd w:val="clear" w:color="auto" w:fill="FFFFFF"/>
        </w:rPr>
        <w:t>kg/m</w:t>
      </w:r>
      <w:r w:rsidR="00EF66BD">
        <w:rPr>
          <w:shd w:val="clear" w:color="auto" w:fill="FFFFFF"/>
          <w:vertAlign w:val="superscript"/>
        </w:rPr>
        <w:t>2</w:t>
      </w:r>
      <w:r w:rsidR="00EF66BD">
        <w:rPr>
          <w:shd w:val="clear" w:color="auto" w:fill="FFFFFF"/>
        </w:rPr>
        <w:t xml:space="preserve"> neapstiprinās ar medicīn</w:t>
      </w:r>
      <w:r w:rsidR="00F4707F">
        <w:rPr>
          <w:shd w:val="clear" w:color="auto" w:fill="FFFFFF"/>
        </w:rPr>
        <w:t>iskajos</w:t>
      </w:r>
      <w:r w:rsidR="00EF66BD">
        <w:rPr>
          <w:shd w:val="clear" w:color="auto" w:fill="FFFFFF"/>
        </w:rPr>
        <w:t xml:space="preserve"> dokumentos norādītajām ziņām.</w:t>
      </w:r>
    </w:p>
    <w:p w14:paraId="2EF7A5E2" w14:textId="4C5DBE6E" w:rsidR="00EE1FF5" w:rsidRDefault="00EE1FF5" w:rsidP="00644D21">
      <w:pPr>
        <w:pStyle w:val="NormalWeb"/>
        <w:shd w:val="clear" w:color="auto" w:fill="FFFFFF"/>
        <w:spacing w:before="0" w:beforeAutospacing="0" w:after="0" w:afterAutospacing="0"/>
        <w:ind w:firstLine="720"/>
        <w:rPr>
          <w:shd w:val="clear" w:color="auto" w:fill="FFFFFF"/>
        </w:rPr>
      </w:pPr>
      <w:r w:rsidRPr="00EE1FF5">
        <w:rPr>
          <w:shd w:val="clear" w:color="auto" w:fill="FFFFFF"/>
        </w:rPr>
        <w:t>Pieteicēja</w:t>
      </w:r>
      <w:r>
        <w:rPr>
          <w:shd w:val="clear" w:color="auto" w:fill="FFFFFF"/>
        </w:rPr>
        <w:t>s</w:t>
      </w:r>
      <w:r w:rsidRPr="00EE1FF5">
        <w:rPr>
          <w:shd w:val="clear" w:color="auto" w:fill="FFFFFF"/>
        </w:rPr>
        <w:t xml:space="preserve"> vēl</w:t>
      </w:r>
      <w:r>
        <w:rPr>
          <w:shd w:val="clear" w:color="auto" w:fill="FFFFFF"/>
        </w:rPr>
        <w:t>me</w:t>
      </w:r>
      <w:r w:rsidRPr="00EE1FF5">
        <w:rPr>
          <w:shd w:val="clear" w:color="auto" w:fill="FFFFFF"/>
        </w:rPr>
        <w:t xml:space="preserve"> tiesas sēdē uzklausīt ekspertus</w:t>
      </w:r>
      <w:r>
        <w:rPr>
          <w:shd w:val="clear" w:color="auto" w:fill="FFFFFF"/>
        </w:rPr>
        <w:t xml:space="preserve"> tika noraidīta, ievērojot, </w:t>
      </w:r>
      <w:r w:rsidRPr="00EE1FF5">
        <w:rPr>
          <w:shd w:val="clear" w:color="auto" w:fill="FFFFFF"/>
        </w:rPr>
        <w:t xml:space="preserve">ka pieteicēja nav norādījusi, ka kāds no </w:t>
      </w:r>
      <w:r w:rsidR="00A4048F">
        <w:rPr>
          <w:shd w:val="clear" w:color="auto" w:fill="FFFFFF"/>
        </w:rPr>
        <w:t xml:space="preserve">eksperta </w:t>
      </w:r>
      <w:r w:rsidRPr="00EE1FF5">
        <w:rPr>
          <w:shd w:val="clear" w:color="auto" w:fill="FFFFFF"/>
        </w:rPr>
        <w:t xml:space="preserve">atzinuma secinājumiem nebūtu saturiski saprotams un ka ekspertiem kāda atbilde būtu papildus jāizskaidro. </w:t>
      </w:r>
      <w:r>
        <w:rPr>
          <w:shd w:val="clear" w:color="auto" w:fill="FFFFFF"/>
        </w:rPr>
        <w:t xml:space="preserve">Eksperta atzinums ir pietiekami pamatots – </w:t>
      </w:r>
      <w:r w:rsidRPr="00EE1FF5">
        <w:rPr>
          <w:shd w:val="clear" w:color="auto" w:fill="FFFFFF"/>
        </w:rPr>
        <w:t>pārbaudīti un izvērtēti pieteicējas medicīn</w:t>
      </w:r>
      <w:r w:rsidR="00F4707F">
        <w:rPr>
          <w:shd w:val="clear" w:color="auto" w:fill="FFFFFF"/>
        </w:rPr>
        <w:t>iskie</w:t>
      </w:r>
      <w:r w:rsidRPr="00EE1FF5">
        <w:rPr>
          <w:shd w:val="clear" w:color="auto" w:fill="FFFFFF"/>
        </w:rPr>
        <w:t xml:space="preserve"> dokumenti, izdarot atbilstošus secinājumus sakarā ar uzdotajiem jautājumiem</w:t>
      </w:r>
      <w:r w:rsidR="008659BA">
        <w:rPr>
          <w:shd w:val="clear" w:color="auto" w:fill="FFFFFF"/>
        </w:rPr>
        <w:t>.</w:t>
      </w:r>
    </w:p>
    <w:p w14:paraId="675123C0" w14:textId="20A848E6" w:rsidR="00E728D8" w:rsidRDefault="00E728D8" w:rsidP="00644D21">
      <w:pPr>
        <w:pStyle w:val="NormalWeb"/>
        <w:shd w:val="clear" w:color="auto" w:fill="FFFFFF"/>
        <w:spacing w:before="0" w:beforeAutospacing="0" w:after="0" w:afterAutospacing="0"/>
        <w:ind w:firstLine="720"/>
        <w:rPr>
          <w:shd w:val="clear" w:color="auto" w:fill="FFFFFF"/>
        </w:rPr>
      </w:pPr>
      <w:r>
        <w:rPr>
          <w:shd w:val="clear" w:color="auto" w:fill="FFFFFF"/>
        </w:rPr>
        <w:t>[</w:t>
      </w:r>
      <w:r w:rsidR="00122CB2">
        <w:rPr>
          <w:shd w:val="clear" w:color="auto" w:fill="FFFFFF"/>
        </w:rPr>
        <w:t>2</w:t>
      </w:r>
      <w:r>
        <w:rPr>
          <w:shd w:val="clear" w:color="auto" w:fill="FFFFFF"/>
        </w:rPr>
        <w:t>.2] N</w:t>
      </w:r>
      <w:r w:rsidRPr="00E728D8">
        <w:rPr>
          <w:shd w:val="clear" w:color="auto" w:fill="FFFFFF"/>
        </w:rPr>
        <w:t>av objektīva pamata uzskatīt, ka kuņģa samazināšanas operācijas veikšanai būtu tikušas konstatētas faktiskas kontrindikācijas un tādējādi būtu bijis jānosaka alternatīvas ārstniecības metodes</w:t>
      </w:r>
      <w:r w:rsidR="003F6656">
        <w:rPr>
          <w:shd w:val="clear" w:color="auto" w:fill="FFFFFF"/>
        </w:rPr>
        <w:t>.</w:t>
      </w:r>
      <w:r w:rsidRPr="00E728D8">
        <w:rPr>
          <w:shd w:val="clear" w:color="auto" w:fill="FFFFFF"/>
        </w:rPr>
        <w:t xml:space="preserve"> </w:t>
      </w:r>
      <w:r>
        <w:rPr>
          <w:shd w:val="clear" w:color="auto" w:fill="FFFFFF"/>
        </w:rPr>
        <w:t>A</w:t>
      </w:r>
      <w:r w:rsidRPr="00E728D8">
        <w:rPr>
          <w:shd w:val="clear" w:color="auto" w:fill="FFFFFF"/>
        </w:rPr>
        <w:t xml:space="preserve">bas vienlaikus </w:t>
      </w:r>
      <w:r w:rsidR="00122CB2">
        <w:rPr>
          <w:shd w:val="clear" w:color="auto" w:fill="FFFFFF"/>
        </w:rPr>
        <w:t xml:space="preserve">pieteicējai </w:t>
      </w:r>
      <w:r w:rsidRPr="00E728D8">
        <w:rPr>
          <w:shd w:val="clear" w:color="auto" w:fill="FFFFFF"/>
        </w:rPr>
        <w:t>veiktās operācijas bija saistītas ar viņas slimībām – patoloģisku aptaukošanos un žultsakmeņu slimību</w:t>
      </w:r>
      <w:r w:rsidR="00122CB2">
        <w:rPr>
          <w:shd w:val="clear" w:color="auto" w:fill="FFFFFF"/>
        </w:rPr>
        <w:t xml:space="preserve"> –</w:t>
      </w:r>
      <w:r w:rsidRPr="00E728D8">
        <w:rPr>
          <w:shd w:val="clear" w:color="auto" w:fill="FFFFFF"/>
        </w:rPr>
        <w:t>, kuras bija pareizi diagnosticētas.</w:t>
      </w:r>
      <w:r>
        <w:rPr>
          <w:shd w:val="clear" w:color="auto" w:fill="FFFFFF"/>
        </w:rPr>
        <w:t xml:space="preserve"> Ž</w:t>
      </w:r>
      <w:r w:rsidRPr="00E728D8">
        <w:rPr>
          <w:shd w:val="clear" w:color="auto" w:fill="FFFFFF"/>
        </w:rPr>
        <w:t>ultsakmeņu un žultspūšļa izņemšanas operācijas nepieciešamību un tās kvalitāti pieteicēja nav apšaubījusi.</w:t>
      </w:r>
    </w:p>
    <w:p w14:paraId="4720D398" w14:textId="2E701004" w:rsidR="00E728D8" w:rsidRDefault="00E728D8" w:rsidP="00644D21">
      <w:pPr>
        <w:pStyle w:val="NormalWeb"/>
        <w:shd w:val="clear" w:color="auto" w:fill="FFFFFF"/>
        <w:spacing w:before="0" w:beforeAutospacing="0" w:after="0" w:afterAutospacing="0"/>
        <w:ind w:firstLine="720"/>
        <w:rPr>
          <w:shd w:val="clear" w:color="auto" w:fill="FFFFFF"/>
        </w:rPr>
      </w:pPr>
      <w:r>
        <w:rPr>
          <w:shd w:val="clear" w:color="auto" w:fill="FFFFFF"/>
        </w:rPr>
        <w:t>[</w:t>
      </w:r>
      <w:r w:rsidR="00122CB2">
        <w:rPr>
          <w:shd w:val="clear" w:color="auto" w:fill="FFFFFF"/>
        </w:rPr>
        <w:t>2</w:t>
      </w:r>
      <w:r>
        <w:rPr>
          <w:shd w:val="clear" w:color="auto" w:fill="FFFFFF"/>
        </w:rPr>
        <w:t>.3] Lietā nav pamata</w:t>
      </w:r>
      <w:r w:rsidRPr="00E728D8">
        <w:rPr>
          <w:shd w:val="clear" w:color="auto" w:fill="FFFFFF"/>
        </w:rPr>
        <w:t xml:space="preserve"> konstatētajai ārsta neprofesionālai rīcībai (pirms operācijas nenosakot speciālistu konsultācijas) pierēķināt operācijas sekas, kuras bija iespējamas un sagaidāmas pienācīgi veiktas operācijas gadījumā, saņemot informētu piekrišanu. Ievērojot, ka kuņģa samazināšanas operācija atbilstoši pieteicējas veselības stāvoklim bija </w:t>
      </w:r>
      <w:r w:rsidR="00E87FA0">
        <w:rPr>
          <w:shd w:val="clear" w:color="auto" w:fill="FFFFFF"/>
        </w:rPr>
        <w:t xml:space="preserve">pieļaujama un </w:t>
      </w:r>
      <w:r w:rsidRPr="00E728D8">
        <w:rPr>
          <w:shd w:val="clear" w:color="auto" w:fill="FFFFFF"/>
        </w:rPr>
        <w:t xml:space="preserve">nepieciešama, tās neveikšanas gadījumā </w:t>
      </w:r>
      <w:r w:rsidR="00FC4DDC">
        <w:rPr>
          <w:shd w:val="clear" w:color="auto" w:fill="FFFFFF"/>
        </w:rPr>
        <w:t xml:space="preserve">pieteicējas </w:t>
      </w:r>
      <w:r w:rsidRPr="00E728D8">
        <w:rPr>
          <w:shd w:val="clear" w:color="auto" w:fill="FFFFFF"/>
        </w:rPr>
        <w:t xml:space="preserve">veselībai ar vislielāko iespējamību turpinātos vai rastos būtiskas sekas noteiktās diagnozes – aptaukošanās – dēļ. </w:t>
      </w:r>
      <w:r w:rsidR="003F6656">
        <w:rPr>
          <w:shd w:val="clear" w:color="auto" w:fill="FFFFFF"/>
        </w:rPr>
        <w:t>Līdz a</w:t>
      </w:r>
      <w:r>
        <w:rPr>
          <w:shd w:val="clear" w:color="auto" w:fill="FFFFFF"/>
        </w:rPr>
        <w:t>r</w:t>
      </w:r>
      <w:r w:rsidR="003F6656">
        <w:rPr>
          <w:shd w:val="clear" w:color="auto" w:fill="FFFFFF"/>
        </w:rPr>
        <w:t xml:space="preserve"> to ar</w:t>
      </w:r>
      <w:r>
        <w:rPr>
          <w:shd w:val="clear" w:color="auto" w:fill="FFFFFF"/>
        </w:rPr>
        <w:t xml:space="preserve"> </w:t>
      </w:r>
      <w:r w:rsidRPr="00E728D8">
        <w:rPr>
          <w:shd w:val="clear" w:color="auto" w:fill="FFFFFF"/>
        </w:rPr>
        <w:t>vislielāko ticamību pieņem</w:t>
      </w:r>
      <w:r>
        <w:rPr>
          <w:shd w:val="clear" w:color="auto" w:fill="FFFFFF"/>
        </w:rPr>
        <w:t>ams</w:t>
      </w:r>
      <w:r w:rsidRPr="00E728D8">
        <w:rPr>
          <w:shd w:val="clear" w:color="auto" w:fill="FFFFFF"/>
        </w:rPr>
        <w:t xml:space="preserve">, ka arī pēc </w:t>
      </w:r>
      <w:r w:rsidR="000B6552">
        <w:rPr>
          <w:shd w:val="clear" w:color="auto" w:fill="FFFFFF"/>
        </w:rPr>
        <w:t>vispusīgas</w:t>
      </w:r>
      <w:r w:rsidR="00406AED">
        <w:rPr>
          <w:shd w:val="clear" w:color="auto" w:fill="FFFFFF"/>
        </w:rPr>
        <w:t xml:space="preserve"> informācijas saņemšanas</w:t>
      </w:r>
      <w:r w:rsidRPr="00E728D8">
        <w:rPr>
          <w:shd w:val="clear" w:color="auto" w:fill="FFFFFF"/>
        </w:rPr>
        <w:t xml:space="preserve"> pieteicēja izvēlētos kuņģa samazināšanas operāciju veikt, </w:t>
      </w:r>
      <w:r w:rsidR="003F6656">
        <w:rPr>
          <w:shd w:val="clear" w:color="auto" w:fill="FFFFFF"/>
        </w:rPr>
        <w:t>it īpaši</w:t>
      </w:r>
      <w:r w:rsidRPr="00E728D8">
        <w:rPr>
          <w:shd w:val="clear" w:color="auto" w:fill="FFFFFF"/>
        </w:rPr>
        <w:t xml:space="preserve"> ņemot vērā apstākli, ka </w:t>
      </w:r>
      <w:r w:rsidR="003F6656">
        <w:rPr>
          <w:shd w:val="clear" w:color="auto" w:fill="FFFFFF"/>
        </w:rPr>
        <w:t>pieteicējai</w:t>
      </w:r>
      <w:r w:rsidRPr="00E728D8">
        <w:rPr>
          <w:shd w:val="clear" w:color="auto" w:fill="FFFFFF"/>
        </w:rPr>
        <w:t xml:space="preserve"> bija jāveic arī operācija sakarā ar žultsakmeņu slimību un abas operācijas varēja veikt vienlaicīgi.</w:t>
      </w:r>
    </w:p>
    <w:p w14:paraId="1B3253BC" w14:textId="77777777" w:rsidR="002402B6" w:rsidRDefault="002402B6" w:rsidP="00644D21">
      <w:pPr>
        <w:autoSpaceDE w:val="0"/>
        <w:autoSpaceDN w:val="0"/>
        <w:adjustRightInd w:val="0"/>
        <w:spacing w:line="276" w:lineRule="auto"/>
        <w:jc w:val="both"/>
        <w:rPr>
          <w:rFonts w:asciiTheme="majorBidi" w:eastAsiaTheme="minorHAnsi" w:hAnsiTheme="majorBidi" w:cstheme="majorBidi"/>
          <w:lang w:eastAsia="en-US"/>
          <w14:ligatures w14:val="standardContextual"/>
        </w:rPr>
      </w:pPr>
    </w:p>
    <w:p w14:paraId="0FC5F78E" w14:textId="00868E21" w:rsidR="00E9159C" w:rsidRPr="00E9159C" w:rsidRDefault="00E9159C" w:rsidP="00644D21">
      <w:pPr>
        <w:autoSpaceDE w:val="0"/>
        <w:autoSpaceDN w:val="0"/>
        <w:adjustRightInd w:val="0"/>
        <w:spacing w:line="276" w:lineRule="auto"/>
        <w:ind w:firstLine="720"/>
        <w:jc w:val="both"/>
        <w:rPr>
          <w:rFonts w:eastAsiaTheme="minorHAnsi"/>
          <w:i/>
          <w:iCs/>
          <w:lang w:eastAsia="en-US"/>
        </w:rPr>
      </w:pPr>
      <w:r w:rsidRPr="00E834AA">
        <w:rPr>
          <w:i/>
        </w:rPr>
        <w:t>Pieteicēj</w:t>
      </w:r>
      <w:r w:rsidR="00CB5EA5" w:rsidRPr="00E834AA">
        <w:rPr>
          <w:i/>
        </w:rPr>
        <w:t>as</w:t>
      </w:r>
      <w:r w:rsidRPr="00E834AA">
        <w:rPr>
          <w:i/>
        </w:rPr>
        <w:t xml:space="preserve"> </w:t>
      </w:r>
      <w:r w:rsidRPr="00E834AA">
        <w:rPr>
          <w:rFonts w:eastAsiaTheme="minorHAnsi"/>
          <w:i/>
          <w:iCs/>
          <w:lang w:eastAsia="en-US"/>
        </w:rPr>
        <w:t>kasācijas sūdzības argumenti</w:t>
      </w:r>
    </w:p>
    <w:p w14:paraId="30C79DE4" w14:textId="0B2ABBDA" w:rsidR="00132B6B" w:rsidRPr="002355CB" w:rsidRDefault="00522062" w:rsidP="00644D21">
      <w:pPr>
        <w:autoSpaceDE w:val="0"/>
        <w:autoSpaceDN w:val="0"/>
        <w:adjustRightInd w:val="0"/>
        <w:spacing w:line="276" w:lineRule="auto"/>
        <w:ind w:firstLine="720"/>
        <w:jc w:val="both"/>
        <w:rPr>
          <w:rFonts w:asciiTheme="majorBidi" w:eastAsia="Calibri" w:hAnsiTheme="majorBidi" w:cstheme="majorBidi"/>
          <w:lang w:eastAsia="en-US"/>
        </w:rPr>
      </w:pPr>
      <w:r w:rsidRPr="002355CB">
        <w:rPr>
          <w:rFonts w:asciiTheme="majorBidi" w:hAnsiTheme="majorBidi" w:cstheme="majorBidi"/>
        </w:rPr>
        <w:t>[</w:t>
      </w:r>
      <w:r w:rsidR="00122CB2">
        <w:rPr>
          <w:rFonts w:asciiTheme="majorBidi" w:hAnsiTheme="majorBidi" w:cstheme="majorBidi"/>
        </w:rPr>
        <w:t>3</w:t>
      </w:r>
      <w:r w:rsidRPr="002355CB">
        <w:rPr>
          <w:rFonts w:asciiTheme="majorBidi" w:hAnsiTheme="majorBidi" w:cstheme="majorBidi"/>
        </w:rPr>
        <w:t>]</w:t>
      </w:r>
      <w:r w:rsidR="001B1153">
        <w:rPr>
          <w:rFonts w:asciiTheme="majorBidi" w:hAnsiTheme="majorBidi" w:cstheme="majorBidi"/>
        </w:rPr>
        <w:t> </w:t>
      </w:r>
      <w:r w:rsidRPr="002355CB">
        <w:rPr>
          <w:rFonts w:asciiTheme="majorBidi" w:hAnsiTheme="majorBidi" w:cstheme="majorBidi"/>
        </w:rPr>
        <w:t>Pieteicēj</w:t>
      </w:r>
      <w:r w:rsidR="00E834AA">
        <w:rPr>
          <w:rFonts w:asciiTheme="majorBidi" w:hAnsiTheme="majorBidi" w:cstheme="majorBidi"/>
        </w:rPr>
        <w:t>a</w:t>
      </w:r>
      <w:r w:rsidRPr="002355CB">
        <w:rPr>
          <w:rFonts w:asciiTheme="majorBidi" w:hAnsiTheme="majorBidi" w:cstheme="majorBidi"/>
        </w:rPr>
        <w:t xml:space="preserve"> par apgabaltiesas spriedumu iesniedza kasācijas sūdzību</w:t>
      </w:r>
      <w:r w:rsidR="00A3124E">
        <w:rPr>
          <w:rFonts w:asciiTheme="majorBidi" w:hAnsiTheme="majorBidi" w:cstheme="majorBidi"/>
        </w:rPr>
        <w:t>, kurā i</w:t>
      </w:r>
      <w:r w:rsidR="00EE6405" w:rsidRPr="002355CB">
        <w:rPr>
          <w:rFonts w:asciiTheme="majorBidi" w:eastAsia="Calibri" w:hAnsiTheme="majorBidi" w:cstheme="majorBidi"/>
          <w:lang w:eastAsia="en-US"/>
        </w:rPr>
        <w:t>zvirz</w:t>
      </w:r>
      <w:r w:rsidR="00E834AA">
        <w:rPr>
          <w:rFonts w:asciiTheme="majorBidi" w:eastAsia="Calibri" w:hAnsiTheme="majorBidi" w:cstheme="majorBidi"/>
          <w:lang w:eastAsia="en-US"/>
        </w:rPr>
        <w:t>a</w:t>
      </w:r>
      <w:r w:rsidR="00EE6405" w:rsidRPr="002355CB">
        <w:rPr>
          <w:rFonts w:asciiTheme="majorBidi" w:eastAsia="Calibri" w:hAnsiTheme="majorBidi" w:cstheme="majorBidi"/>
          <w:lang w:eastAsia="en-US"/>
        </w:rPr>
        <w:t xml:space="preserve"> </w:t>
      </w:r>
      <w:r w:rsidR="00A3124E">
        <w:rPr>
          <w:rFonts w:asciiTheme="majorBidi" w:eastAsia="Calibri" w:hAnsiTheme="majorBidi" w:cstheme="majorBidi"/>
          <w:lang w:eastAsia="en-US"/>
        </w:rPr>
        <w:t>turpmāk minētos</w:t>
      </w:r>
      <w:r w:rsidR="00EE6405" w:rsidRPr="002355CB">
        <w:rPr>
          <w:rFonts w:asciiTheme="majorBidi" w:eastAsia="Calibri" w:hAnsiTheme="majorBidi" w:cstheme="majorBidi"/>
          <w:lang w:eastAsia="en-US"/>
        </w:rPr>
        <w:t xml:space="preserve"> pamatus sprieduma atcelšanai.</w:t>
      </w:r>
    </w:p>
    <w:p w14:paraId="05149A3C" w14:textId="0AF27F84" w:rsidR="00B5162F" w:rsidRDefault="00522062" w:rsidP="00644D21">
      <w:pPr>
        <w:spacing w:line="276" w:lineRule="auto"/>
        <w:ind w:firstLine="720"/>
        <w:jc w:val="both"/>
        <w:rPr>
          <w:rFonts w:asciiTheme="majorBidi" w:hAnsiTheme="majorBidi" w:cstheme="majorBidi"/>
        </w:rPr>
      </w:pPr>
      <w:bookmarkStart w:id="1" w:name="_Hlk98934771"/>
      <w:r w:rsidRPr="002355CB">
        <w:rPr>
          <w:rFonts w:asciiTheme="majorBidi" w:hAnsiTheme="majorBidi" w:cstheme="majorBidi"/>
        </w:rPr>
        <w:t>[</w:t>
      </w:r>
      <w:r w:rsidR="00122CB2">
        <w:rPr>
          <w:rFonts w:asciiTheme="majorBidi" w:hAnsiTheme="majorBidi" w:cstheme="majorBidi"/>
        </w:rPr>
        <w:t>3</w:t>
      </w:r>
      <w:r w:rsidRPr="002355CB">
        <w:rPr>
          <w:rFonts w:asciiTheme="majorBidi" w:hAnsiTheme="majorBidi" w:cstheme="majorBidi"/>
        </w:rPr>
        <w:t>.1]</w:t>
      </w:r>
      <w:r w:rsidR="001B1153">
        <w:rPr>
          <w:rFonts w:asciiTheme="majorBidi" w:hAnsiTheme="majorBidi" w:cstheme="majorBidi"/>
        </w:rPr>
        <w:t> </w:t>
      </w:r>
      <w:r w:rsidR="00132B6B">
        <w:rPr>
          <w:rFonts w:asciiTheme="majorBidi" w:hAnsiTheme="majorBidi" w:cstheme="majorBidi"/>
        </w:rPr>
        <w:t xml:space="preserve">Apgabaltiesa </w:t>
      </w:r>
      <w:r w:rsidR="00E834AA">
        <w:rPr>
          <w:rFonts w:asciiTheme="majorBidi" w:hAnsiTheme="majorBidi" w:cstheme="majorBidi"/>
        </w:rPr>
        <w:t>ir pārkāpusi Administratīvā procesa likuma 233.panta pirmo daļu, nenodrošinot pieteicējai iespēju tiesas sēdē pārbaudīt eksperta atzinumu, uzdodot jautājumus ekspertiem</w:t>
      </w:r>
      <w:r w:rsidR="0092061C">
        <w:rPr>
          <w:rFonts w:asciiTheme="majorBidi" w:hAnsiTheme="majorBidi" w:cstheme="majorBidi"/>
        </w:rPr>
        <w:t xml:space="preserve"> par neskaidrajiem eksperta atzinuma secinājumiem. Turklāt pieteicēja </w:t>
      </w:r>
      <w:r w:rsidR="009A1A54">
        <w:rPr>
          <w:rFonts w:asciiTheme="majorBidi" w:hAnsiTheme="majorBidi" w:cstheme="majorBidi"/>
        </w:rPr>
        <w:t>apgabal</w:t>
      </w:r>
      <w:r w:rsidR="0092061C">
        <w:rPr>
          <w:rFonts w:asciiTheme="majorBidi" w:hAnsiTheme="majorBidi" w:cstheme="majorBidi"/>
        </w:rPr>
        <w:t xml:space="preserve">tiesai īpaši norādīja, ka ir radušies jautājumi par eksperta atzinumā ietvertajiem </w:t>
      </w:r>
      <w:r w:rsidR="00312B36">
        <w:rPr>
          <w:rFonts w:asciiTheme="majorBidi" w:hAnsiTheme="majorBidi" w:cstheme="majorBidi"/>
        </w:rPr>
        <w:t>slēdzieniem</w:t>
      </w:r>
      <w:r w:rsidR="0092061C">
        <w:rPr>
          <w:rFonts w:asciiTheme="majorBidi" w:hAnsiTheme="majorBidi" w:cstheme="majorBidi"/>
        </w:rPr>
        <w:t>.</w:t>
      </w:r>
    </w:p>
    <w:p w14:paraId="67F9E01C" w14:textId="4A6B6F25" w:rsidR="004D4F37" w:rsidRDefault="00FC4DDC" w:rsidP="00644D21">
      <w:pPr>
        <w:spacing w:line="276" w:lineRule="auto"/>
        <w:ind w:firstLine="720"/>
        <w:jc w:val="both"/>
      </w:pPr>
      <w:r>
        <w:t>E</w:t>
      </w:r>
      <w:r w:rsidR="004D4F37">
        <w:t xml:space="preserve">ksperta atzinuma kvalitāte ir neatbilstoša Administratīvā procesa likuma 181.panta pirmās daļas prasībām. Eksperta atzinums sastāv no vispārīgi atreferētiem </w:t>
      </w:r>
      <w:r w:rsidR="004D4F37" w:rsidRPr="008448D3">
        <w:lastRenderedPageBreak/>
        <w:t>dokument</w:t>
      </w:r>
      <w:r w:rsidR="004D4F37">
        <w:t>iem un</w:t>
      </w:r>
      <w:r w:rsidR="004D4F37" w:rsidRPr="0091074E">
        <w:t xml:space="preserve"> </w:t>
      </w:r>
      <w:r w:rsidR="004D4F37">
        <w:t>tikai divi no vienpadsmit slēdzien</w:t>
      </w:r>
      <w:r w:rsidR="00122CB2">
        <w:t>a</w:t>
      </w:r>
      <w:r w:rsidR="004D4F37">
        <w:t xml:space="preserve"> daļas secinājumiem satur atsauces uz zinātnisko literatūru, kas pamato secinājumos izteiktās atziņas. Secinājumu nepamatošana ar zinātniskām atsaucēm</w:t>
      </w:r>
      <w:r w:rsidR="004D4F37" w:rsidRPr="0091074E">
        <w:t xml:space="preserve"> liedz pārliecināties par eksperta atzinuma patiesumu un ticamību.</w:t>
      </w:r>
    </w:p>
    <w:p w14:paraId="5AEA422F" w14:textId="08CE2151" w:rsidR="004D4F37" w:rsidRPr="0068078F" w:rsidRDefault="004D4F37" w:rsidP="00644D21">
      <w:pPr>
        <w:spacing w:line="276" w:lineRule="auto"/>
        <w:ind w:firstLine="720"/>
        <w:jc w:val="both"/>
      </w:pPr>
      <w:r w:rsidRPr="0068078F">
        <w:t>Pastāvot eksperta atzinuma pamatojuma trūkumam, pieteicēja mēģināja papildu skaidrību gūt, lūdzot tiesu izprasīt no Tiesu ekspertu padomes eksperta atzinumā minēto ekspertīzes metodi, tomēr šo lūgumu apgabaltiesa noraidīja, norādot, ka to nav nepieciešams pārbaudīt</w:t>
      </w:r>
      <w:r w:rsidR="00122CB2">
        <w:t xml:space="preserve"> un </w:t>
      </w:r>
      <w:r w:rsidRPr="0068078F">
        <w:t>ka pieteicēja pati var ar ekspertīzes metodi iepazīties iestādē.</w:t>
      </w:r>
    </w:p>
    <w:p w14:paraId="364732CF" w14:textId="38F6CBFD" w:rsidR="008A23DF" w:rsidRDefault="009A7753" w:rsidP="00644D21">
      <w:pPr>
        <w:spacing w:line="276" w:lineRule="auto"/>
        <w:ind w:firstLine="720"/>
        <w:jc w:val="both"/>
      </w:pPr>
      <w:r w:rsidRPr="0068078F">
        <w:rPr>
          <w:rFonts w:asciiTheme="majorBidi" w:hAnsiTheme="majorBidi" w:cstheme="majorBidi"/>
        </w:rPr>
        <w:t>[</w:t>
      </w:r>
      <w:r w:rsidR="00122CB2">
        <w:rPr>
          <w:rFonts w:asciiTheme="majorBidi" w:hAnsiTheme="majorBidi" w:cstheme="majorBidi"/>
        </w:rPr>
        <w:t>3</w:t>
      </w:r>
      <w:r w:rsidRPr="0068078F">
        <w:rPr>
          <w:rFonts w:asciiTheme="majorBidi" w:hAnsiTheme="majorBidi" w:cstheme="majorBidi"/>
        </w:rPr>
        <w:t>.2]</w:t>
      </w:r>
      <w:r w:rsidR="00547AB2" w:rsidRPr="0068078F">
        <w:rPr>
          <w:rFonts w:asciiTheme="majorBidi" w:hAnsiTheme="majorBidi" w:cstheme="majorBidi"/>
        </w:rPr>
        <w:t> Pārsūdzētajā spriedumā</w:t>
      </w:r>
      <w:r w:rsidR="00547AB2">
        <w:rPr>
          <w:rFonts w:asciiTheme="majorBidi" w:hAnsiTheme="majorBidi" w:cstheme="majorBidi"/>
        </w:rPr>
        <w:t xml:space="preserve"> apgabaltiesa secinājumu par operācijas pieļaujamību un nepieciešamību balstījusi uz eksperta atzinumu, neņemot vērā pastāvošās šaubas par </w:t>
      </w:r>
      <w:r w:rsidR="00F22D09">
        <w:rPr>
          <w:rFonts w:asciiTheme="majorBidi" w:hAnsiTheme="majorBidi" w:cstheme="majorBidi"/>
        </w:rPr>
        <w:t>piemērot</w:t>
      </w:r>
      <w:r w:rsidR="00406AED">
        <w:rPr>
          <w:rFonts w:asciiTheme="majorBidi" w:hAnsiTheme="majorBidi" w:cstheme="majorBidi"/>
        </w:rPr>
        <w:t>ā</w:t>
      </w:r>
      <w:r w:rsidR="00F22D09">
        <w:rPr>
          <w:rFonts w:asciiTheme="majorBidi" w:hAnsiTheme="majorBidi" w:cstheme="majorBidi"/>
        </w:rPr>
        <w:t xml:space="preserve"> </w:t>
      </w:r>
      <w:r w:rsidR="00547AB2">
        <w:rPr>
          <w:rFonts w:asciiTheme="majorBidi" w:hAnsiTheme="majorBidi" w:cstheme="majorBidi"/>
        </w:rPr>
        <w:t>ĶMI</w:t>
      </w:r>
      <w:r w:rsidR="00F22D09">
        <w:rPr>
          <w:rFonts w:asciiTheme="majorBidi" w:hAnsiTheme="majorBidi" w:cstheme="majorBidi"/>
        </w:rPr>
        <w:t xml:space="preserve"> mērījum</w:t>
      </w:r>
      <w:r w:rsidR="00406AED">
        <w:rPr>
          <w:rFonts w:asciiTheme="majorBidi" w:hAnsiTheme="majorBidi" w:cstheme="majorBidi"/>
        </w:rPr>
        <w:t>a</w:t>
      </w:r>
      <w:r w:rsidR="00EE331F">
        <w:rPr>
          <w:rFonts w:asciiTheme="majorBidi" w:hAnsiTheme="majorBidi" w:cstheme="majorBidi"/>
        </w:rPr>
        <w:t xml:space="preserve"> </w:t>
      </w:r>
      <w:r w:rsidR="00FC4DDC">
        <w:rPr>
          <w:rFonts w:asciiTheme="majorBidi" w:hAnsiTheme="majorBidi" w:cstheme="majorBidi"/>
        </w:rPr>
        <w:t>ticamību</w:t>
      </w:r>
      <w:r w:rsidR="00F22D09">
        <w:rPr>
          <w:rFonts w:asciiTheme="majorBidi" w:hAnsiTheme="majorBidi" w:cstheme="majorBidi"/>
        </w:rPr>
        <w:t>.</w:t>
      </w:r>
      <w:r w:rsidR="00F22D09" w:rsidRPr="00F22D09">
        <w:t xml:space="preserve"> </w:t>
      </w:r>
      <w:r w:rsidR="00F22D09">
        <w:t>I</w:t>
      </w:r>
      <w:r w:rsidR="00F22D09" w:rsidRPr="00F22D09">
        <w:t>nformāciju, ka pacientes ĶMI bijis lielāks par 35</w:t>
      </w:r>
      <w:r w:rsidR="00EE331F">
        <w:t> </w:t>
      </w:r>
      <w:r w:rsidR="00F22D09" w:rsidRPr="00F22D09">
        <w:t>kg/m</w:t>
      </w:r>
      <w:r w:rsidR="00F22D09" w:rsidRPr="00F22D09">
        <w:rPr>
          <w:vertAlign w:val="superscript"/>
        </w:rPr>
        <w:t>2</w:t>
      </w:r>
      <w:r w:rsidR="00F22D09" w:rsidRPr="00F22D09">
        <w:t>, ekspertu komisija ieguv</w:t>
      </w:r>
      <w:r w:rsidR="00F22D09">
        <w:t>a</w:t>
      </w:r>
      <w:r w:rsidR="00F22D09" w:rsidRPr="00F22D09">
        <w:t xml:space="preserve"> no Veselības inspekcijas</w:t>
      </w:r>
      <w:r w:rsidR="00EE331F">
        <w:t xml:space="preserve"> </w:t>
      </w:r>
      <w:r w:rsidR="00ED7C0D" w:rsidRPr="00ED7C0D">
        <w:t>2017.gada 26.jūnija atzinum</w:t>
      </w:r>
      <w:r w:rsidR="00ED7C0D">
        <w:t>ā</w:t>
      </w:r>
      <w:r w:rsidR="00ED7C0D" w:rsidRPr="00ED7C0D">
        <w:t xml:space="preserve"> </w:t>
      </w:r>
      <w:r w:rsidR="00FC4DDC">
        <w:t>pārrakstīt</w:t>
      </w:r>
      <w:r w:rsidR="00DB1BA0">
        <w:t>ajiem</w:t>
      </w:r>
      <w:r w:rsidR="00F22D09" w:rsidRPr="00F22D09">
        <w:t xml:space="preserve"> </w:t>
      </w:r>
      <w:r w:rsidR="00DB1BA0">
        <w:t>2015.gada 9.oktobra</w:t>
      </w:r>
      <w:r w:rsidR="00DB1BA0" w:rsidRPr="00EE331F">
        <w:t xml:space="preserve"> </w:t>
      </w:r>
      <w:r w:rsidR="00F22D09" w:rsidRPr="00EE331F">
        <w:t xml:space="preserve">ambulatorā apmeklējuma </w:t>
      </w:r>
      <w:r w:rsidR="00DB1BA0">
        <w:t>datiem</w:t>
      </w:r>
      <w:r w:rsidR="00406AED">
        <w:t>. Ā</w:t>
      </w:r>
      <w:r w:rsidR="00F22D09" w:rsidRPr="00F22D09">
        <w:t>rsts</w:t>
      </w:r>
      <w:r w:rsidR="00406AED">
        <w:t xml:space="preserve"> </w:t>
      </w:r>
      <w:r w:rsidR="00644D21">
        <w:t xml:space="preserve">[pers. B] </w:t>
      </w:r>
      <w:r w:rsidR="00F22D09" w:rsidRPr="00F22D09">
        <w:t>bija norādījis, ka ĶMI aprēķin</w:t>
      </w:r>
      <w:r w:rsidR="00F22D09">
        <w:t>s</w:t>
      </w:r>
      <w:r w:rsidR="00F22D09" w:rsidRPr="00F22D09">
        <w:t xml:space="preserve"> </w:t>
      </w:r>
      <w:r w:rsidR="00F22D09">
        <w:t>veikts</w:t>
      </w:r>
      <w:r w:rsidR="00F22D09" w:rsidRPr="00F22D09">
        <w:t xml:space="preserve">, ņemot vērā, ka pacientes svars </w:t>
      </w:r>
      <w:r w:rsidR="00EE331F">
        <w:t>ir</w:t>
      </w:r>
      <w:r w:rsidR="00F22D09" w:rsidRPr="00F22D09">
        <w:t xml:space="preserve"> 38</w:t>
      </w:r>
      <w:r w:rsidR="00EE331F">
        <w:t> </w:t>
      </w:r>
      <w:r w:rsidR="00F22D09" w:rsidRPr="00F22D09">
        <w:t xml:space="preserve">kg, kas liecina par acīmredzami kļūdainu aprēķinu. </w:t>
      </w:r>
    </w:p>
    <w:p w14:paraId="28B365EE" w14:textId="350FD60C" w:rsidR="0091074E" w:rsidRPr="00D97BBB" w:rsidRDefault="008A23DF" w:rsidP="00644D21">
      <w:pPr>
        <w:spacing w:line="276" w:lineRule="auto"/>
        <w:ind w:firstLine="720"/>
        <w:jc w:val="both"/>
      </w:pPr>
      <w:r w:rsidRPr="008807EE">
        <w:t>Pieteicējas</w:t>
      </w:r>
      <w:r w:rsidRPr="008A23DF">
        <w:t xml:space="preserve"> rīcībā </w:t>
      </w:r>
      <w:r>
        <w:t>ir</w:t>
      </w:r>
      <w:r w:rsidRPr="008A23DF">
        <w:t xml:space="preserve"> </w:t>
      </w:r>
      <w:r w:rsidR="00494021" w:rsidRPr="006440CC">
        <w:rPr>
          <w:rFonts w:asciiTheme="majorBidi" w:hAnsiTheme="majorBidi" w:cstheme="majorBidi"/>
        </w:rPr>
        <w:t>slimnīca</w:t>
      </w:r>
      <w:r w:rsidR="00494021">
        <w:rPr>
          <w:rFonts w:asciiTheme="majorBidi" w:hAnsiTheme="majorBidi" w:cstheme="majorBidi"/>
        </w:rPr>
        <w:t>s</w:t>
      </w:r>
      <w:r w:rsidR="00494021" w:rsidRPr="006440CC">
        <w:rPr>
          <w:rFonts w:asciiTheme="majorBidi" w:hAnsiTheme="majorBidi" w:cstheme="majorBidi"/>
        </w:rPr>
        <w:t xml:space="preserve"> „</w:t>
      </w:r>
      <w:r w:rsidR="00644D21">
        <w:rPr>
          <w:rFonts w:asciiTheme="majorBidi" w:hAnsiTheme="majorBidi" w:cstheme="majorBidi"/>
        </w:rPr>
        <w:t>[Nosaukums]</w:t>
      </w:r>
      <w:r w:rsidR="00494021" w:rsidRPr="006440CC">
        <w:rPr>
          <w:rFonts w:asciiTheme="majorBidi" w:hAnsiTheme="majorBidi" w:cstheme="majorBidi"/>
        </w:rPr>
        <w:t>”</w:t>
      </w:r>
      <w:r w:rsidRPr="008A23DF">
        <w:t xml:space="preserve"> ambulatorā</w:t>
      </w:r>
      <w:r w:rsidR="00494021">
        <w:t>s</w:t>
      </w:r>
      <w:r w:rsidRPr="008A23DF">
        <w:t xml:space="preserve"> pacienta medicīniskā</w:t>
      </w:r>
      <w:r w:rsidR="00494021">
        <w:t>s</w:t>
      </w:r>
      <w:r w:rsidRPr="008A23DF">
        <w:t xml:space="preserve"> karte</w:t>
      </w:r>
      <w:r w:rsidR="00494021">
        <w:t>s</w:t>
      </w:r>
      <w:r w:rsidRPr="008A23DF">
        <w:t xml:space="preserve"> un stacionārā</w:t>
      </w:r>
      <w:r w:rsidR="00494021">
        <w:t>s</w:t>
      </w:r>
      <w:r w:rsidRPr="008A23DF">
        <w:t xml:space="preserve"> pacienta medicīniskā</w:t>
      </w:r>
      <w:r w:rsidR="00494021">
        <w:t>s</w:t>
      </w:r>
      <w:r w:rsidRPr="008A23DF">
        <w:t xml:space="preserve"> karte</w:t>
      </w:r>
      <w:r>
        <w:t>s</w:t>
      </w:r>
      <w:r w:rsidRPr="008A23DF">
        <w:t xml:space="preserve"> apliecinātas kopijas, kuras pēc </w:t>
      </w:r>
      <w:r w:rsidR="009A1A54">
        <w:t>apgabal</w:t>
      </w:r>
      <w:r w:rsidRPr="008A23DF">
        <w:t>tiesas pieprasījum</w:t>
      </w:r>
      <w:r w:rsidR="008807EE">
        <w:t>a</w:t>
      </w:r>
      <w:r w:rsidRPr="008A23DF">
        <w:t xml:space="preserve"> </w:t>
      </w:r>
      <w:r w:rsidR="008807EE">
        <w:t xml:space="preserve">pieteicēja </w:t>
      </w:r>
      <w:r w:rsidRPr="008A23DF">
        <w:t>būtu iesnieg</w:t>
      </w:r>
      <w:r w:rsidR="008807EE">
        <w:t>usi tiesai</w:t>
      </w:r>
      <w:r w:rsidRPr="008A23DF">
        <w:t xml:space="preserve">. </w:t>
      </w:r>
      <w:r>
        <w:t>S</w:t>
      </w:r>
      <w:r w:rsidRPr="008A23DF">
        <w:t>tacionārā</w:t>
      </w:r>
      <w:r w:rsidR="008807EE">
        <w:t>s</w:t>
      </w:r>
      <w:r w:rsidRPr="008A23DF">
        <w:t xml:space="preserve"> pacienta medicīniskā</w:t>
      </w:r>
      <w:r>
        <w:t>s</w:t>
      </w:r>
      <w:r w:rsidRPr="008A23DF">
        <w:t xml:space="preserve"> kartes titullapā </w:t>
      </w:r>
      <w:r>
        <w:t>ir</w:t>
      </w:r>
      <w:r w:rsidRPr="008A23DF">
        <w:t xml:space="preserve"> norādīts, ka tieši pirms kuņģa samazināšanas operācijas </w:t>
      </w:r>
      <w:r w:rsidR="008807EE">
        <w:t xml:space="preserve">2016.gada 19.janvārī </w:t>
      </w:r>
      <w:r w:rsidRPr="008A23DF">
        <w:t>plkst. 9</w:t>
      </w:r>
      <w:r w:rsidR="008807EE">
        <w:t>.</w:t>
      </w:r>
      <w:r w:rsidRPr="008A23DF">
        <w:t xml:space="preserve">00 ārsts </w:t>
      </w:r>
      <w:r w:rsidR="00644D21">
        <w:t xml:space="preserve">[pers. B] </w:t>
      </w:r>
      <w:r w:rsidRPr="008A23DF">
        <w:t xml:space="preserve">konstatējis, ka pacientes svars </w:t>
      </w:r>
      <w:r>
        <w:t xml:space="preserve">ir </w:t>
      </w:r>
      <w:r w:rsidRPr="008A23DF">
        <w:t>96,4</w:t>
      </w:r>
      <w:r w:rsidR="008807EE">
        <w:t> </w:t>
      </w:r>
      <w:r w:rsidRPr="008A23DF">
        <w:t>kg, augums 170</w:t>
      </w:r>
      <w:r w:rsidR="008807EE">
        <w:t> </w:t>
      </w:r>
      <w:r w:rsidRPr="008A23DF">
        <w:t>cm, bet ĶMI 33,22</w:t>
      </w:r>
      <w:r w:rsidR="008807EE">
        <w:t> </w:t>
      </w:r>
      <w:r w:rsidRPr="008A23DF">
        <w:t>kg/m</w:t>
      </w:r>
      <w:r w:rsidRPr="008A23DF">
        <w:rPr>
          <w:vertAlign w:val="superscript"/>
        </w:rPr>
        <w:t>2</w:t>
      </w:r>
      <w:r w:rsidRPr="008A23DF">
        <w:t>.</w:t>
      </w:r>
      <w:r>
        <w:t xml:space="preserve"> </w:t>
      </w:r>
      <w:r w:rsidRPr="008A23DF">
        <w:t>Uz pretrunām ĶMI noteikšanā uzmanību vērsa arī inspekcija</w:t>
      </w:r>
      <w:r w:rsidR="0091074E">
        <w:t xml:space="preserve"> </w:t>
      </w:r>
      <w:r w:rsidRPr="008A23DF">
        <w:t>atzinuma secinājumu 2.punktā.</w:t>
      </w:r>
      <w:r w:rsidR="0091074E">
        <w:t xml:space="preserve"> Apgabaltiesa bez padziļinātas analīzes un pretrunu novēršanas </w:t>
      </w:r>
      <w:r w:rsidR="008807EE">
        <w:t xml:space="preserve">savus </w:t>
      </w:r>
      <w:r w:rsidR="0091074E">
        <w:t>secinājumus pamatoja, atsaucoties uz eksperta atzinumu</w:t>
      </w:r>
      <w:r w:rsidR="00E56EF1">
        <w:t>, tādējādi pārkāpjot Administratīvā procesa likuma 154.</w:t>
      </w:r>
      <w:r w:rsidR="00D97BBB">
        <w:t xml:space="preserve"> un 182.</w:t>
      </w:r>
      <w:r w:rsidR="00E56EF1">
        <w:t>pantu</w:t>
      </w:r>
      <w:r w:rsidR="0091074E">
        <w:t>.</w:t>
      </w:r>
    </w:p>
    <w:p w14:paraId="50877735" w14:textId="6CF8F467" w:rsidR="00E8500B" w:rsidRPr="00485718" w:rsidRDefault="00581030" w:rsidP="00644D21">
      <w:pPr>
        <w:spacing w:line="276" w:lineRule="auto"/>
        <w:ind w:firstLine="720"/>
        <w:jc w:val="both"/>
      </w:pPr>
      <w:r>
        <w:t>[</w:t>
      </w:r>
      <w:r w:rsidR="00122CB2">
        <w:t>3</w:t>
      </w:r>
      <w:r>
        <w:t>.</w:t>
      </w:r>
      <w:r w:rsidR="004D4F37">
        <w:t>3</w:t>
      </w:r>
      <w:r>
        <w:t>]</w:t>
      </w:r>
      <w:r w:rsidR="00485718">
        <w:t> A</w:t>
      </w:r>
      <w:r w:rsidR="00485718" w:rsidRPr="00485718">
        <w:t xml:space="preserve">pgabaltiesa atzinusi </w:t>
      </w:r>
      <w:r w:rsidR="00122CB2">
        <w:t>par</w:t>
      </w:r>
      <w:r w:rsidR="00122CB2" w:rsidRPr="00485718">
        <w:t xml:space="preserve"> neprofesionālu </w:t>
      </w:r>
      <w:r w:rsidR="00485718" w:rsidRPr="00485718">
        <w:t>ārsta rīcību, ārstniecību veicot bez pacientes informētās piekrišanas.</w:t>
      </w:r>
      <w:r w:rsidR="00485718">
        <w:t xml:space="preserve"> Tomēr </w:t>
      </w:r>
      <w:r w:rsidR="009A1A54">
        <w:t>apgabal</w:t>
      </w:r>
      <w:r w:rsidR="00485718">
        <w:t xml:space="preserve">tiesa </w:t>
      </w:r>
      <w:r w:rsidR="00122CB2">
        <w:t>izdarījusi</w:t>
      </w:r>
      <w:r w:rsidR="00485718">
        <w:t xml:space="preserve"> pretrunīgu secinājumu, ka ir pamats </w:t>
      </w:r>
      <w:r w:rsidR="00485718" w:rsidRPr="00485718">
        <w:t>ar vislielāko ticamību pieņemt, ka pieteicēja izvēlētos kuņģa samazināšanas operāciju veikt</w:t>
      </w:r>
      <w:r w:rsidR="00230C02">
        <w:rPr>
          <w:shd w:val="clear" w:color="auto" w:fill="FFFFFF"/>
        </w:rPr>
        <w:t>.</w:t>
      </w:r>
      <w:r w:rsidR="00485718" w:rsidRPr="00485718">
        <w:t xml:space="preserve"> Šāds secinājums ir pretrunā ar </w:t>
      </w:r>
      <w:r w:rsidR="00122CB2">
        <w:t xml:space="preserve">šajā lietā iepriekš izdarītajiem </w:t>
      </w:r>
      <w:r w:rsidR="00485718" w:rsidRPr="00485718">
        <w:t xml:space="preserve">Senāta </w:t>
      </w:r>
      <w:r w:rsidR="00140CDA">
        <w:t>secinājum</w:t>
      </w:r>
      <w:r w:rsidR="00122CB2">
        <w:t>iem</w:t>
      </w:r>
      <w:r w:rsidR="00140CDA">
        <w:t>.</w:t>
      </w:r>
    </w:p>
    <w:p w14:paraId="12EBA973" w14:textId="6CB2185B" w:rsidR="00522062" w:rsidRDefault="00B122A1" w:rsidP="00644D21">
      <w:pPr>
        <w:spacing w:line="276" w:lineRule="auto"/>
        <w:ind w:firstLine="720"/>
        <w:jc w:val="both"/>
        <w:rPr>
          <w:rFonts w:asciiTheme="majorBidi" w:hAnsiTheme="majorBidi" w:cstheme="majorBidi"/>
        </w:rPr>
      </w:pPr>
      <w:r>
        <w:rPr>
          <w:rFonts w:asciiTheme="majorBidi" w:hAnsiTheme="majorBidi" w:cstheme="majorBidi"/>
        </w:rPr>
        <w:t>[</w:t>
      </w:r>
      <w:r w:rsidR="00387A44">
        <w:rPr>
          <w:rFonts w:asciiTheme="majorBidi" w:hAnsiTheme="majorBidi" w:cstheme="majorBidi"/>
        </w:rPr>
        <w:t>3</w:t>
      </w:r>
      <w:r w:rsidR="009A7753">
        <w:rPr>
          <w:rFonts w:asciiTheme="majorBidi" w:hAnsiTheme="majorBidi" w:cstheme="majorBidi"/>
        </w:rPr>
        <w:t>.</w:t>
      </w:r>
      <w:r w:rsidR="004D4F37">
        <w:rPr>
          <w:rFonts w:asciiTheme="majorBidi" w:hAnsiTheme="majorBidi" w:cstheme="majorBidi"/>
        </w:rPr>
        <w:t>4</w:t>
      </w:r>
      <w:r>
        <w:rPr>
          <w:rFonts w:asciiTheme="majorBidi" w:hAnsiTheme="majorBidi" w:cstheme="majorBidi"/>
        </w:rPr>
        <w:t>]</w:t>
      </w:r>
      <w:r w:rsidR="00230C02">
        <w:rPr>
          <w:rFonts w:asciiTheme="majorBidi" w:hAnsiTheme="majorBidi" w:cstheme="majorBidi"/>
        </w:rPr>
        <w:t> </w:t>
      </w:r>
      <w:r w:rsidR="00230C02" w:rsidRPr="00230C02">
        <w:rPr>
          <w:rFonts w:asciiTheme="majorBidi" w:hAnsiTheme="majorBidi" w:cstheme="majorBidi"/>
        </w:rPr>
        <w:t>Pretrunīg</w:t>
      </w:r>
      <w:r w:rsidR="00230C02">
        <w:rPr>
          <w:rFonts w:asciiTheme="majorBidi" w:hAnsiTheme="majorBidi" w:cstheme="majorBidi"/>
        </w:rPr>
        <w:t>s</w:t>
      </w:r>
      <w:r w:rsidR="00230C02" w:rsidRPr="00230C02">
        <w:rPr>
          <w:rFonts w:asciiTheme="majorBidi" w:hAnsiTheme="majorBidi" w:cstheme="majorBidi"/>
        </w:rPr>
        <w:t xml:space="preserve"> ir arī apgabaltiesas secinājum</w:t>
      </w:r>
      <w:r w:rsidR="00230C02">
        <w:rPr>
          <w:rFonts w:asciiTheme="majorBidi" w:hAnsiTheme="majorBidi" w:cstheme="majorBidi"/>
        </w:rPr>
        <w:t>s, ka</w:t>
      </w:r>
      <w:r w:rsidR="00140CDA">
        <w:rPr>
          <w:rFonts w:asciiTheme="majorBidi" w:hAnsiTheme="majorBidi" w:cstheme="majorBidi"/>
        </w:rPr>
        <w:t xml:space="preserve"> tas, ka</w:t>
      </w:r>
      <w:r w:rsidR="00230C02">
        <w:rPr>
          <w:rFonts w:asciiTheme="majorBidi" w:hAnsiTheme="majorBidi" w:cstheme="majorBidi"/>
        </w:rPr>
        <w:t xml:space="preserve"> </w:t>
      </w:r>
      <w:r w:rsidR="00230C02" w:rsidRPr="00230C02">
        <w:rPr>
          <w:rFonts w:asciiTheme="majorBidi" w:hAnsiTheme="majorBidi" w:cstheme="majorBidi"/>
        </w:rPr>
        <w:t>ķirurg</w:t>
      </w:r>
      <w:r w:rsidR="00140CDA">
        <w:rPr>
          <w:rFonts w:asciiTheme="majorBidi" w:hAnsiTheme="majorBidi" w:cstheme="majorBidi"/>
        </w:rPr>
        <w:t>s</w:t>
      </w:r>
      <w:r w:rsidR="00230C02" w:rsidRPr="00230C02">
        <w:rPr>
          <w:rFonts w:asciiTheme="majorBidi" w:hAnsiTheme="majorBidi" w:cstheme="majorBidi"/>
        </w:rPr>
        <w:t xml:space="preserve"> pirms operācijas</w:t>
      </w:r>
      <w:r w:rsidR="00140CDA">
        <w:rPr>
          <w:rFonts w:asciiTheme="majorBidi" w:hAnsiTheme="majorBidi" w:cstheme="majorBidi"/>
        </w:rPr>
        <w:t xml:space="preserve"> </w:t>
      </w:r>
      <w:r w:rsidR="00230C02" w:rsidRPr="00230C02">
        <w:rPr>
          <w:rFonts w:asciiTheme="majorBidi" w:hAnsiTheme="majorBidi" w:cstheme="majorBidi"/>
        </w:rPr>
        <w:t>nepārlieci</w:t>
      </w:r>
      <w:r w:rsidR="00140CDA">
        <w:rPr>
          <w:rFonts w:asciiTheme="majorBidi" w:hAnsiTheme="majorBidi" w:cstheme="majorBidi"/>
        </w:rPr>
        <w:t>nājās</w:t>
      </w:r>
      <w:r w:rsidR="00230C02" w:rsidRPr="00230C02">
        <w:rPr>
          <w:rFonts w:asciiTheme="majorBidi" w:hAnsiTheme="majorBidi" w:cstheme="majorBidi"/>
        </w:rPr>
        <w:t xml:space="preserve"> </w:t>
      </w:r>
      <w:r w:rsidR="00406AED">
        <w:rPr>
          <w:rFonts w:asciiTheme="majorBidi" w:hAnsiTheme="majorBidi" w:cstheme="majorBidi"/>
        </w:rPr>
        <w:t>par</w:t>
      </w:r>
      <w:r w:rsidR="00230C02" w:rsidRPr="00230C02">
        <w:rPr>
          <w:rFonts w:asciiTheme="majorBidi" w:hAnsiTheme="majorBidi" w:cstheme="majorBidi"/>
        </w:rPr>
        <w:t xml:space="preserve"> kontrindikācij</w:t>
      </w:r>
      <w:r w:rsidR="00406AED">
        <w:rPr>
          <w:rFonts w:asciiTheme="majorBidi" w:hAnsiTheme="majorBidi" w:cstheme="majorBidi"/>
        </w:rPr>
        <w:t>ām</w:t>
      </w:r>
      <w:r w:rsidR="00230C02" w:rsidRPr="00230C02">
        <w:rPr>
          <w:rFonts w:asciiTheme="majorBidi" w:hAnsiTheme="majorBidi" w:cstheme="majorBidi"/>
        </w:rPr>
        <w:t xml:space="preserve"> kuņģa operācijai, vēl nenozīmē, ka kontrindikācijas bija</w:t>
      </w:r>
      <w:r w:rsidR="00387A44">
        <w:rPr>
          <w:rFonts w:asciiTheme="majorBidi" w:hAnsiTheme="majorBidi" w:cstheme="majorBidi"/>
        </w:rPr>
        <w:t>,</w:t>
      </w:r>
      <w:r w:rsidR="00230C02" w:rsidRPr="00230C02">
        <w:rPr>
          <w:rFonts w:asciiTheme="majorBidi" w:hAnsiTheme="majorBidi" w:cstheme="majorBidi"/>
        </w:rPr>
        <w:t xml:space="preserve"> </w:t>
      </w:r>
      <w:r w:rsidR="00387A44">
        <w:rPr>
          <w:rFonts w:asciiTheme="majorBidi" w:hAnsiTheme="majorBidi" w:cstheme="majorBidi"/>
        </w:rPr>
        <w:t>bet gadījumā, ja tās bija, tad</w:t>
      </w:r>
      <w:r w:rsidR="00230C02" w:rsidRPr="00230C02">
        <w:rPr>
          <w:rFonts w:asciiTheme="majorBidi" w:hAnsiTheme="majorBidi" w:cstheme="majorBidi"/>
        </w:rPr>
        <w:t xml:space="preserve"> tās </w:t>
      </w:r>
      <w:r w:rsidR="00387A44">
        <w:rPr>
          <w:rFonts w:asciiTheme="majorBidi" w:hAnsiTheme="majorBidi" w:cstheme="majorBidi"/>
        </w:rPr>
        <w:t xml:space="preserve">tāpat </w:t>
      </w:r>
      <w:r w:rsidR="00230C02" w:rsidRPr="00230C02">
        <w:rPr>
          <w:rFonts w:asciiTheme="majorBidi" w:hAnsiTheme="majorBidi" w:cstheme="majorBidi"/>
        </w:rPr>
        <w:t>netiktu konstatētas arī speciālistu konsultācijās.</w:t>
      </w:r>
      <w:r w:rsidR="00387A44">
        <w:rPr>
          <w:rFonts w:asciiTheme="majorBidi" w:hAnsiTheme="majorBidi" w:cstheme="majorBidi"/>
        </w:rPr>
        <w:t xml:space="preserve"> Ievērojot</w:t>
      </w:r>
      <w:r w:rsidR="00140CDA">
        <w:rPr>
          <w:rFonts w:asciiTheme="majorBidi" w:hAnsiTheme="majorBidi" w:cstheme="majorBidi"/>
        </w:rPr>
        <w:t xml:space="preserve"> </w:t>
      </w:r>
      <w:r w:rsidR="00230C02" w:rsidRPr="00230C02">
        <w:rPr>
          <w:rFonts w:asciiTheme="majorBidi" w:hAnsiTheme="majorBidi" w:cstheme="majorBidi"/>
        </w:rPr>
        <w:t>Administratīvā procesa likuma 247.panta otr</w:t>
      </w:r>
      <w:r w:rsidR="00387A44">
        <w:rPr>
          <w:rFonts w:asciiTheme="majorBidi" w:hAnsiTheme="majorBidi" w:cstheme="majorBidi"/>
        </w:rPr>
        <w:t>o</w:t>
      </w:r>
      <w:r w:rsidR="00230C02" w:rsidRPr="00230C02">
        <w:rPr>
          <w:rFonts w:asciiTheme="majorBidi" w:hAnsiTheme="majorBidi" w:cstheme="majorBidi"/>
        </w:rPr>
        <w:t xml:space="preserve"> daļ</w:t>
      </w:r>
      <w:r w:rsidR="00387A44">
        <w:rPr>
          <w:rFonts w:asciiTheme="majorBidi" w:hAnsiTheme="majorBidi" w:cstheme="majorBidi"/>
        </w:rPr>
        <w:t>u, a</w:t>
      </w:r>
      <w:r w:rsidR="009A1A54">
        <w:rPr>
          <w:rFonts w:asciiTheme="majorBidi" w:hAnsiTheme="majorBidi" w:cstheme="majorBidi"/>
        </w:rPr>
        <w:t>pgabal</w:t>
      </w:r>
      <w:r w:rsidR="00230C02" w:rsidRPr="00230C02">
        <w:rPr>
          <w:rFonts w:asciiTheme="majorBidi" w:hAnsiTheme="majorBidi" w:cstheme="majorBidi"/>
        </w:rPr>
        <w:t>tiesa secinājumus par to, vai</w:t>
      </w:r>
      <w:r w:rsidR="00140CDA">
        <w:rPr>
          <w:rFonts w:asciiTheme="majorBidi" w:hAnsiTheme="majorBidi" w:cstheme="majorBidi"/>
        </w:rPr>
        <w:t xml:space="preserve"> </w:t>
      </w:r>
      <w:r w:rsidR="00230C02" w:rsidRPr="00230C02">
        <w:rPr>
          <w:rFonts w:asciiTheme="majorBidi" w:hAnsiTheme="majorBidi" w:cstheme="majorBidi"/>
        </w:rPr>
        <w:t>inspekcijas norādītie speciālisti būtu konstatējuši kontrindikācijas operācijas izdarīšanai, varēja izdarīt tikai tad, ja šādas pārbaudes pirms operācijas būtu notikušas.</w:t>
      </w:r>
    </w:p>
    <w:p w14:paraId="78BADABB" w14:textId="1677A610" w:rsidR="00D75288" w:rsidRDefault="00D75288" w:rsidP="00644D21">
      <w:pPr>
        <w:spacing w:line="276" w:lineRule="auto"/>
        <w:ind w:firstLine="720"/>
        <w:jc w:val="both"/>
        <w:rPr>
          <w:rFonts w:asciiTheme="majorBidi" w:eastAsiaTheme="minorHAnsi" w:hAnsiTheme="majorBidi" w:cstheme="majorBidi"/>
          <w:lang w:eastAsia="en-US"/>
          <w14:ligatures w14:val="standardContextual"/>
        </w:rPr>
      </w:pPr>
      <w:r w:rsidRPr="00D75288">
        <w:rPr>
          <w:rFonts w:asciiTheme="majorBidi" w:eastAsiaTheme="minorHAnsi" w:hAnsiTheme="majorBidi" w:cstheme="majorBidi"/>
          <w:lang w:eastAsia="en-US"/>
          <w14:ligatures w14:val="standardContextual"/>
        </w:rPr>
        <w:t>T</w:t>
      </w:r>
      <w:r>
        <w:rPr>
          <w:rFonts w:asciiTheme="majorBidi" w:eastAsiaTheme="minorHAnsi" w:hAnsiTheme="majorBidi" w:cstheme="majorBidi"/>
          <w:lang w:eastAsia="en-US"/>
          <w14:ligatures w14:val="standardContextual"/>
        </w:rPr>
        <w:t xml:space="preserve">urklāt </w:t>
      </w:r>
      <w:r w:rsidRPr="00D75288">
        <w:rPr>
          <w:rFonts w:asciiTheme="majorBidi" w:eastAsiaTheme="minorHAnsi" w:hAnsiTheme="majorBidi" w:cstheme="majorBidi"/>
          <w:lang w:eastAsia="en-US"/>
          <w14:ligatures w14:val="standardContextual"/>
        </w:rPr>
        <w:t xml:space="preserve">apgabaltiesa </w:t>
      </w:r>
      <w:r w:rsidR="006C3568">
        <w:rPr>
          <w:rFonts w:asciiTheme="majorBidi" w:eastAsiaTheme="minorHAnsi" w:hAnsiTheme="majorBidi" w:cstheme="majorBidi"/>
          <w:lang w:eastAsia="en-US"/>
          <w14:ligatures w14:val="standardContextual"/>
        </w:rPr>
        <w:t>nepamatoti norādīja</w:t>
      </w:r>
      <w:r w:rsidRPr="00D75288">
        <w:rPr>
          <w:rFonts w:asciiTheme="majorBidi" w:eastAsiaTheme="minorHAnsi" w:hAnsiTheme="majorBidi" w:cstheme="majorBidi"/>
          <w:lang w:eastAsia="en-US"/>
          <w14:ligatures w14:val="standardContextual"/>
        </w:rPr>
        <w:t>, ka</w:t>
      </w:r>
      <w:r w:rsidR="006C3568">
        <w:rPr>
          <w:rFonts w:asciiTheme="majorBidi" w:eastAsiaTheme="minorHAnsi" w:hAnsiTheme="majorBidi" w:cstheme="majorBidi"/>
          <w:lang w:eastAsia="en-US"/>
          <w14:ligatures w14:val="standardContextual"/>
        </w:rPr>
        <w:t xml:space="preserve"> </w:t>
      </w:r>
      <w:r w:rsidRPr="00D75288">
        <w:rPr>
          <w:rFonts w:asciiTheme="majorBidi" w:eastAsiaTheme="minorHAnsi" w:hAnsiTheme="majorBidi" w:cstheme="majorBidi"/>
          <w:lang w:eastAsia="en-US"/>
          <w14:ligatures w14:val="standardContextual"/>
        </w:rPr>
        <w:t>ginekoloģiskā anamnēze inspekcijas atzinumā kā kontrindikācija minēta tikai pieļāvuma formā.</w:t>
      </w:r>
      <w:r w:rsidR="006C3568">
        <w:rPr>
          <w:rFonts w:asciiTheme="majorBidi" w:eastAsiaTheme="minorHAnsi" w:hAnsiTheme="majorBidi" w:cstheme="majorBidi"/>
          <w:lang w:eastAsia="en-US"/>
          <w14:ligatures w14:val="standardContextual"/>
        </w:rPr>
        <w:t xml:space="preserve"> </w:t>
      </w:r>
      <w:r w:rsidR="00644AB4">
        <w:rPr>
          <w:rFonts w:asciiTheme="majorBidi" w:eastAsiaTheme="minorHAnsi" w:hAnsiTheme="majorBidi" w:cstheme="majorBidi"/>
          <w:lang w:eastAsia="en-US"/>
          <w14:ligatures w14:val="standardContextual"/>
        </w:rPr>
        <w:t>Nepamatots ir a</w:t>
      </w:r>
      <w:r w:rsidRPr="00D75288">
        <w:rPr>
          <w:rFonts w:asciiTheme="majorBidi" w:eastAsiaTheme="minorHAnsi" w:hAnsiTheme="majorBidi" w:cstheme="majorBidi"/>
          <w:lang w:eastAsia="en-US"/>
          <w14:ligatures w14:val="standardContextual"/>
        </w:rPr>
        <w:t xml:space="preserve">rī </w:t>
      </w:r>
      <w:r w:rsidR="009A1A54">
        <w:rPr>
          <w:rFonts w:asciiTheme="majorBidi" w:eastAsiaTheme="minorHAnsi" w:hAnsiTheme="majorBidi" w:cstheme="majorBidi"/>
          <w:lang w:eastAsia="en-US"/>
          <w14:ligatures w14:val="standardContextual"/>
        </w:rPr>
        <w:t>apgabal</w:t>
      </w:r>
      <w:r w:rsidRPr="00D75288">
        <w:rPr>
          <w:rFonts w:asciiTheme="majorBidi" w:eastAsiaTheme="minorHAnsi" w:hAnsiTheme="majorBidi" w:cstheme="majorBidi"/>
          <w:lang w:eastAsia="en-US"/>
          <w14:ligatures w14:val="standardContextual"/>
        </w:rPr>
        <w:t>tiesas apgalvojums</w:t>
      </w:r>
      <w:r w:rsidR="00644AB4">
        <w:rPr>
          <w:rFonts w:asciiTheme="majorBidi" w:eastAsiaTheme="minorHAnsi" w:hAnsiTheme="majorBidi" w:cstheme="majorBidi"/>
          <w:lang w:eastAsia="en-US"/>
          <w14:ligatures w14:val="standardContextual"/>
        </w:rPr>
        <w:t xml:space="preserve">, ka atbilstoši vadlīnijām vai tehnoloģijas metodei grūtniecības (kontrindikācijas) noteikšanai nebūtu jānoskaidro </w:t>
      </w:r>
      <w:r w:rsidRPr="00D75288">
        <w:rPr>
          <w:rFonts w:asciiTheme="majorBidi" w:eastAsiaTheme="minorHAnsi" w:hAnsiTheme="majorBidi" w:cstheme="majorBidi"/>
          <w:lang w:eastAsia="en-US"/>
          <w14:ligatures w14:val="standardContextual"/>
        </w:rPr>
        <w:t>horiongonadotropīna</w:t>
      </w:r>
      <w:r w:rsidR="006078BE">
        <w:rPr>
          <w:rFonts w:asciiTheme="majorBidi" w:eastAsiaTheme="minorHAnsi" w:hAnsiTheme="majorBidi" w:cstheme="majorBidi"/>
          <w:lang w:eastAsia="en-US"/>
          <w14:ligatures w14:val="standardContextual"/>
        </w:rPr>
        <w:t xml:space="preserve"> </w:t>
      </w:r>
      <w:r w:rsidRPr="00D75288">
        <w:rPr>
          <w:rFonts w:asciiTheme="majorBidi" w:eastAsiaTheme="minorHAnsi" w:hAnsiTheme="majorBidi" w:cstheme="majorBidi"/>
          <w:lang w:eastAsia="en-US"/>
          <w14:ligatures w14:val="standardContextual"/>
        </w:rPr>
        <w:t>līme</w:t>
      </w:r>
      <w:r w:rsidR="00644AB4">
        <w:rPr>
          <w:rFonts w:asciiTheme="majorBidi" w:eastAsiaTheme="minorHAnsi" w:hAnsiTheme="majorBidi" w:cstheme="majorBidi"/>
          <w:lang w:eastAsia="en-US"/>
          <w14:ligatures w14:val="standardContextual"/>
        </w:rPr>
        <w:t>nis,</w:t>
      </w:r>
      <w:r w:rsidRPr="00D75288">
        <w:rPr>
          <w:rFonts w:asciiTheme="majorBidi" w:eastAsiaTheme="minorHAnsi" w:hAnsiTheme="majorBidi" w:cstheme="majorBidi"/>
          <w:lang w:eastAsia="en-US"/>
          <w14:ligatures w14:val="standardContextual"/>
        </w:rPr>
        <w:t xml:space="preserve"> </w:t>
      </w:r>
      <w:r w:rsidR="006C3568">
        <w:rPr>
          <w:rFonts w:asciiTheme="majorBidi" w:eastAsiaTheme="minorHAnsi" w:hAnsiTheme="majorBidi" w:cstheme="majorBidi"/>
          <w:lang w:eastAsia="en-US"/>
          <w14:ligatures w14:val="standardContextual"/>
        </w:rPr>
        <w:t xml:space="preserve">jo grūtniecības </w:t>
      </w:r>
      <w:r w:rsidRPr="00D75288">
        <w:rPr>
          <w:rFonts w:asciiTheme="majorBidi" w:eastAsiaTheme="minorHAnsi" w:hAnsiTheme="majorBidi" w:cstheme="majorBidi"/>
          <w:lang w:eastAsia="en-US"/>
          <w14:ligatures w14:val="standardContextual"/>
        </w:rPr>
        <w:t>no</w:t>
      </w:r>
      <w:r w:rsidR="006C3568">
        <w:rPr>
          <w:rFonts w:asciiTheme="majorBidi" w:eastAsiaTheme="minorHAnsi" w:hAnsiTheme="majorBidi" w:cstheme="majorBidi"/>
          <w:lang w:eastAsia="en-US"/>
          <w14:ligatures w14:val="standardContextual"/>
        </w:rPr>
        <w:t>teikšana</w:t>
      </w:r>
      <w:r w:rsidRPr="00D75288">
        <w:rPr>
          <w:rFonts w:asciiTheme="majorBidi" w:eastAsiaTheme="minorHAnsi" w:hAnsiTheme="majorBidi" w:cstheme="majorBidi"/>
          <w:lang w:eastAsia="en-US"/>
          <w14:ligatures w14:val="standardContextual"/>
        </w:rPr>
        <w:t xml:space="preserve"> ir ginekologa kompetences jautājums.</w:t>
      </w:r>
    </w:p>
    <w:bookmarkEnd w:id="1"/>
    <w:p w14:paraId="520E92DC" w14:textId="77777777" w:rsidR="00E728D8" w:rsidRDefault="00E728D8" w:rsidP="00644D21">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6F6BFE23" w14:textId="00E61244" w:rsidR="00522062" w:rsidRDefault="00E728D8" w:rsidP="00644D21">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w:t>
      </w:r>
      <w:r w:rsidR="00644AB4">
        <w:rPr>
          <w:rFonts w:asciiTheme="majorBidi" w:eastAsiaTheme="minorHAnsi" w:hAnsiTheme="majorBidi" w:cstheme="majorBidi"/>
          <w:lang w:eastAsia="en-US"/>
          <w14:ligatures w14:val="standardContextual"/>
        </w:rPr>
        <w:t>4</w:t>
      </w:r>
      <w:r>
        <w:rPr>
          <w:rFonts w:asciiTheme="majorBidi" w:eastAsiaTheme="minorHAnsi" w:hAnsiTheme="majorBidi" w:cstheme="majorBidi"/>
          <w:lang w:eastAsia="en-US"/>
          <w14:ligatures w14:val="standardContextual"/>
        </w:rPr>
        <w:t>]</w:t>
      </w:r>
      <w:r w:rsidR="00494021">
        <w:rPr>
          <w:rFonts w:asciiTheme="majorBidi" w:eastAsiaTheme="minorHAnsi" w:hAnsiTheme="majorBidi" w:cstheme="majorBidi"/>
          <w:lang w:eastAsia="en-US"/>
          <w14:ligatures w14:val="standardContextual"/>
        </w:rPr>
        <w:t> </w:t>
      </w:r>
      <w:r w:rsidR="007C3D20">
        <w:rPr>
          <w:rFonts w:asciiTheme="majorBidi" w:eastAsiaTheme="minorHAnsi" w:hAnsiTheme="majorBidi" w:cstheme="majorBidi"/>
          <w:lang w:eastAsia="en-US"/>
          <w14:ligatures w14:val="standardContextual"/>
        </w:rPr>
        <w:t>Paskaidrojumos par kasācijas sūdzību inspekcija norāda, ka pieteicēja nav pamatojusi tādu apgabaltiesas pieļaut</w:t>
      </w:r>
      <w:r w:rsidR="00EB0CC2">
        <w:rPr>
          <w:rFonts w:asciiTheme="majorBidi" w:eastAsiaTheme="minorHAnsi" w:hAnsiTheme="majorBidi" w:cstheme="majorBidi"/>
          <w:lang w:eastAsia="en-US"/>
          <w14:ligatures w14:val="standardContextual"/>
        </w:rPr>
        <w:t>u</w:t>
      </w:r>
      <w:r w:rsidR="007C3D20">
        <w:rPr>
          <w:rFonts w:asciiTheme="majorBidi" w:eastAsiaTheme="minorHAnsi" w:hAnsiTheme="majorBidi" w:cstheme="majorBidi"/>
          <w:lang w:eastAsia="en-US"/>
          <w14:ligatures w14:val="standardContextual"/>
        </w:rPr>
        <w:t xml:space="preserve"> materiālo vai procesuālo tiesību normu pārkāpumu, kas būtu pamats pārsūdzētā sprieduma atcelšanai.</w:t>
      </w:r>
    </w:p>
    <w:p w14:paraId="651B18FE" w14:textId="77777777" w:rsidR="00E728D8" w:rsidRPr="00E728D8" w:rsidRDefault="00E728D8" w:rsidP="00644D21">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1D018080" w14:textId="77777777" w:rsidR="00522062" w:rsidRPr="002355CB" w:rsidRDefault="00522062" w:rsidP="00644D21">
      <w:pPr>
        <w:spacing w:line="276" w:lineRule="auto"/>
        <w:jc w:val="center"/>
        <w:rPr>
          <w:rFonts w:asciiTheme="majorBidi" w:hAnsiTheme="majorBidi" w:cstheme="majorBidi"/>
          <w:b/>
        </w:rPr>
      </w:pPr>
      <w:r w:rsidRPr="00CE44AE">
        <w:rPr>
          <w:rFonts w:asciiTheme="majorBidi" w:hAnsiTheme="majorBidi" w:cstheme="majorBidi"/>
          <w:b/>
        </w:rPr>
        <w:t>Motīvu daļa</w:t>
      </w:r>
    </w:p>
    <w:p w14:paraId="5DAB64AC" w14:textId="77777777" w:rsidR="00522062" w:rsidRPr="002355CB" w:rsidRDefault="00522062" w:rsidP="00644D21">
      <w:pPr>
        <w:spacing w:line="276" w:lineRule="auto"/>
        <w:jc w:val="center"/>
        <w:rPr>
          <w:rFonts w:asciiTheme="majorBidi" w:hAnsiTheme="majorBidi" w:cstheme="majorBidi"/>
          <w:bCs/>
        </w:rPr>
      </w:pPr>
    </w:p>
    <w:p w14:paraId="0FB83001" w14:textId="4CD897A9" w:rsidR="00815B38" w:rsidRDefault="00522062" w:rsidP="00644D21">
      <w:pPr>
        <w:autoSpaceDE w:val="0"/>
        <w:autoSpaceDN w:val="0"/>
        <w:adjustRightInd w:val="0"/>
        <w:spacing w:line="276" w:lineRule="auto"/>
        <w:ind w:firstLine="720"/>
        <w:jc w:val="both"/>
        <w:rPr>
          <w:rFonts w:asciiTheme="majorBidi" w:hAnsiTheme="majorBidi" w:cstheme="majorBidi"/>
        </w:rPr>
      </w:pPr>
      <w:r w:rsidRPr="00FE6A32">
        <w:rPr>
          <w:rFonts w:asciiTheme="majorBidi" w:hAnsiTheme="majorBidi" w:cstheme="majorBidi"/>
        </w:rPr>
        <w:t>[</w:t>
      </w:r>
      <w:r w:rsidR="00554997">
        <w:rPr>
          <w:rFonts w:asciiTheme="majorBidi" w:hAnsiTheme="majorBidi" w:cstheme="majorBidi"/>
        </w:rPr>
        <w:t>5</w:t>
      </w:r>
      <w:r w:rsidRPr="00FE6A32">
        <w:rPr>
          <w:rFonts w:asciiTheme="majorBidi" w:hAnsiTheme="majorBidi" w:cstheme="majorBidi"/>
        </w:rPr>
        <w:t>]</w:t>
      </w:r>
      <w:r w:rsidR="00EB34E9">
        <w:rPr>
          <w:rFonts w:asciiTheme="majorBidi" w:hAnsiTheme="majorBidi" w:cstheme="majorBidi"/>
        </w:rPr>
        <w:t xml:space="preserve"> Senāts turpmāk minēto iemeslu dēļ uzskata, ka daļa kasācijas sūdzības argumentu ir pamatoti un </w:t>
      </w:r>
      <w:r w:rsidR="00554997">
        <w:rPr>
          <w:rFonts w:asciiTheme="majorBidi" w:hAnsiTheme="majorBidi" w:cstheme="majorBidi"/>
        </w:rPr>
        <w:t>procesuālu pārkāpumu dēļ</w:t>
      </w:r>
      <w:r w:rsidR="00EB34E9">
        <w:rPr>
          <w:rFonts w:asciiTheme="majorBidi" w:hAnsiTheme="majorBidi" w:cstheme="majorBidi"/>
        </w:rPr>
        <w:t xml:space="preserve"> ir pamats atcelt pārsūdzēto apgabaltiesas spriedumu.</w:t>
      </w:r>
    </w:p>
    <w:p w14:paraId="1034D18C" w14:textId="77777777" w:rsidR="006A751B" w:rsidRDefault="006A751B" w:rsidP="00644D21">
      <w:pPr>
        <w:keepNext/>
        <w:spacing w:line="276" w:lineRule="auto"/>
        <w:ind w:firstLine="720"/>
        <w:jc w:val="both"/>
      </w:pPr>
    </w:p>
    <w:p w14:paraId="16CD578D" w14:textId="7DFB5579" w:rsidR="006A751B" w:rsidRPr="00971C7D" w:rsidRDefault="006A751B" w:rsidP="00644D21">
      <w:pPr>
        <w:keepNext/>
        <w:spacing w:line="276" w:lineRule="auto"/>
        <w:ind w:firstLine="720"/>
        <w:jc w:val="both"/>
        <w:rPr>
          <w:highlight w:val="red"/>
        </w:rPr>
      </w:pPr>
      <w:r>
        <w:rPr>
          <w:rFonts w:asciiTheme="majorBidi" w:hAnsiTheme="majorBidi" w:cstheme="majorBidi"/>
        </w:rPr>
        <w:t>[</w:t>
      </w:r>
      <w:r w:rsidR="00554997">
        <w:rPr>
          <w:rFonts w:asciiTheme="majorBidi" w:hAnsiTheme="majorBidi" w:cstheme="majorBidi"/>
        </w:rPr>
        <w:t>6</w:t>
      </w:r>
      <w:r>
        <w:rPr>
          <w:rFonts w:asciiTheme="majorBidi" w:hAnsiTheme="majorBidi" w:cstheme="majorBidi"/>
        </w:rPr>
        <w:t>]</w:t>
      </w:r>
      <w:r w:rsidR="00634248">
        <w:rPr>
          <w:rFonts w:asciiTheme="majorBidi" w:hAnsiTheme="majorBidi" w:cstheme="majorBidi"/>
        </w:rPr>
        <w:t> </w:t>
      </w:r>
      <w:r w:rsidR="008614B0">
        <w:rPr>
          <w:rFonts w:asciiTheme="majorBidi" w:hAnsiTheme="majorBidi" w:cstheme="majorBidi"/>
        </w:rPr>
        <w:t xml:space="preserve">Pieteicēja kasācijas sūdzībā norāda, ka apgabaltiesa ir pārkāpusi Administratīvā procesa likuma 233.panta pirmo daļu, jo </w:t>
      </w:r>
      <w:r w:rsidR="00D66AF3">
        <w:rPr>
          <w:rFonts w:asciiTheme="majorBidi" w:hAnsiTheme="majorBidi" w:cstheme="majorBidi"/>
        </w:rPr>
        <w:t xml:space="preserve">nav nodrošinājusi pieteicējai iespēju tiesas sēdē uzdot jautājumus ekspertiem par eksperta atzinumā </w:t>
      </w:r>
      <w:r w:rsidR="00AC18CB">
        <w:rPr>
          <w:rFonts w:asciiTheme="majorBidi" w:hAnsiTheme="majorBidi" w:cstheme="majorBidi"/>
        </w:rPr>
        <w:t>izdarītajiem</w:t>
      </w:r>
      <w:r w:rsidR="00D66AF3">
        <w:rPr>
          <w:rFonts w:asciiTheme="majorBidi" w:hAnsiTheme="majorBidi" w:cstheme="majorBidi"/>
        </w:rPr>
        <w:t xml:space="preserve"> secinājumiem</w:t>
      </w:r>
      <w:r w:rsidR="00D66AF3" w:rsidRPr="00971C7D">
        <w:rPr>
          <w:rFonts w:asciiTheme="majorBidi" w:hAnsiTheme="majorBidi" w:cstheme="majorBidi"/>
        </w:rPr>
        <w:t>.</w:t>
      </w:r>
      <w:r w:rsidR="00971C7D">
        <w:rPr>
          <w:rFonts w:asciiTheme="majorBidi" w:hAnsiTheme="majorBidi" w:cstheme="majorBidi"/>
        </w:rPr>
        <w:t xml:space="preserve"> </w:t>
      </w:r>
      <w:r w:rsidR="00971C7D" w:rsidRPr="00971C7D">
        <w:t>Pieteicēja kritizē arī eksperta atzinuma kvalitāti, vēršot uzmanību, ka eksperta atzinums sastāv no vispārīgiem faktu atreferējumiem un lielākā daļa secinājumu ne</w:t>
      </w:r>
      <w:r w:rsidR="00AC18CB">
        <w:t>ietver</w:t>
      </w:r>
      <w:r w:rsidR="00971C7D" w:rsidRPr="00971C7D">
        <w:t xml:space="preserve"> atsauces uz zinātnisko literatūru, kas pamatotu ekspertu veiktos slēdzienus.</w:t>
      </w:r>
    </w:p>
    <w:p w14:paraId="57F29E15" w14:textId="5AFEDA8B" w:rsidR="008E7F54" w:rsidRDefault="00D66AF3" w:rsidP="00644D21">
      <w:pPr>
        <w:spacing w:line="276" w:lineRule="auto"/>
        <w:ind w:firstLine="720"/>
        <w:jc w:val="both"/>
        <w:rPr>
          <w:rFonts w:asciiTheme="majorBidi" w:hAnsiTheme="majorBidi" w:cstheme="majorBidi"/>
        </w:rPr>
      </w:pPr>
      <w:r>
        <w:rPr>
          <w:rFonts w:asciiTheme="majorBidi" w:hAnsiTheme="majorBidi" w:cstheme="majorBidi"/>
        </w:rPr>
        <w:t xml:space="preserve">Senāts, izvērtējot lietas materiālus, konstatē, ka pieteicējas arguments ir pamatots. </w:t>
      </w:r>
      <w:r w:rsidR="008424DF">
        <w:rPr>
          <w:rFonts w:asciiTheme="majorBidi" w:hAnsiTheme="majorBidi" w:cstheme="majorBidi"/>
        </w:rPr>
        <w:t>A</w:t>
      </w:r>
      <w:r w:rsidR="008E7F54">
        <w:rPr>
          <w:rFonts w:asciiTheme="majorBidi" w:hAnsiTheme="majorBidi" w:cstheme="majorBidi"/>
        </w:rPr>
        <w:t xml:space="preserve">pgabaltiesa </w:t>
      </w:r>
      <w:r w:rsidR="008424DF">
        <w:rPr>
          <w:rFonts w:asciiTheme="majorBidi" w:hAnsiTheme="majorBidi" w:cstheme="majorBidi"/>
        </w:rPr>
        <w:t xml:space="preserve">ar </w:t>
      </w:r>
      <w:r w:rsidR="008E7F54">
        <w:rPr>
          <w:rFonts w:asciiTheme="majorBidi" w:hAnsiTheme="majorBidi" w:cstheme="majorBidi"/>
        </w:rPr>
        <w:t>2024.gada 3.decembra lēmum</w:t>
      </w:r>
      <w:r w:rsidR="008424DF">
        <w:rPr>
          <w:rFonts w:asciiTheme="majorBidi" w:hAnsiTheme="majorBidi" w:cstheme="majorBidi"/>
        </w:rPr>
        <w:t xml:space="preserve">u </w:t>
      </w:r>
      <w:r w:rsidR="00445FCC">
        <w:rPr>
          <w:rFonts w:asciiTheme="majorBidi" w:hAnsiTheme="majorBidi" w:cstheme="majorBidi"/>
        </w:rPr>
        <w:t xml:space="preserve">pēc eksperta atzinuma saņemšanas </w:t>
      </w:r>
      <w:r w:rsidR="008424DF">
        <w:rPr>
          <w:rFonts w:asciiTheme="majorBidi" w:hAnsiTheme="majorBidi" w:cstheme="majorBidi"/>
        </w:rPr>
        <w:t xml:space="preserve">atjaunoja tiesvedību un </w:t>
      </w:r>
      <w:r w:rsidR="00445FCC">
        <w:rPr>
          <w:rFonts w:asciiTheme="majorBidi" w:hAnsiTheme="majorBidi" w:cstheme="majorBidi"/>
        </w:rPr>
        <w:t xml:space="preserve">lietas dalībniekiem lūdza paust </w:t>
      </w:r>
      <w:r w:rsidR="008424DF">
        <w:rPr>
          <w:rFonts w:asciiTheme="majorBidi" w:hAnsiTheme="majorBidi" w:cstheme="majorBidi"/>
        </w:rPr>
        <w:t xml:space="preserve">viedokli par neskaidrībām eksperta atzinumā un nepieciešamību organizēt eksperta atzinuma pārbaudi tiesas sēdē. Pieteicēja, atsaucoties uz </w:t>
      </w:r>
      <w:r w:rsidR="009A1A54">
        <w:rPr>
          <w:rFonts w:asciiTheme="majorBidi" w:hAnsiTheme="majorBidi" w:cstheme="majorBidi"/>
        </w:rPr>
        <w:t>apgabal</w:t>
      </w:r>
      <w:r w:rsidR="008424DF">
        <w:rPr>
          <w:rFonts w:asciiTheme="majorBidi" w:hAnsiTheme="majorBidi" w:cstheme="majorBidi"/>
        </w:rPr>
        <w:t xml:space="preserve">tiesas lūgumu, </w:t>
      </w:r>
      <w:r w:rsidR="006E7EB6">
        <w:rPr>
          <w:rFonts w:asciiTheme="majorBidi" w:hAnsiTheme="majorBidi" w:cstheme="majorBidi"/>
        </w:rPr>
        <w:t>informēja tiesu par nepieciešamību organizēt tiesas sēdi un uzklausīt ekspertus, lai saņemtu skaidrojumu par eksperta atzinuma slēdzienu daļā veikto secinājumu pamatotību. Pieteicēja uzsvēra, ka nav izprotams, kā eksperti nonā</w:t>
      </w:r>
      <w:r w:rsidR="008424DF">
        <w:rPr>
          <w:rFonts w:asciiTheme="majorBidi" w:hAnsiTheme="majorBidi" w:cstheme="majorBidi"/>
        </w:rPr>
        <w:t>ca</w:t>
      </w:r>
      <w:r w:rsidR="006E7EB6">
        <w:rPr>
          <w:rFonts w:asciiTheme="majorBidi" w:hAnsiTheme="majorBidi" w:cstheme="majorBidi"/>
        </w:rPr>
        <w:t xml:space="preserve"> pie secinājumiem, ievērojot, ka daļa no secinājumiem vispār ne</w:t>
      </w:r>
      <w:r w:rsidR="00A74A03">
        <w:rPr>
          <w:rFonts w:asciiTheme="majorBidi" w:hAnsiTheme="majorBidi" w:cstheme="majorBidi"/>
        </w:rPr>
        <w:t>ietver</w:t>
      </w:r>
      <w:r w:rsidR="006E7EB6">
        <w:rPr>
          <w:rFonts w:asciiTheme="majorBidi" w:hAnsiTheme="majorBidi" w:cstheme="majorBidi"/>
        </w:rPr>
        <w:t xml:space="preserve"> atsauces uz zinātnisko literatūru</w:t>
      </w:r>
      <w:r w:rsidR="006E7EB6" w:rsidRPr="00152E1C">
        <w:rPr>
          <w:rFonts w:asciiTheme="majorBidi" w:hAnsiTheme="majorBidi" w:cstheme="majorBidi"/>
        </w:rPr>
        <w:t>.</w:t>
      </w:r>
      <w:r w:rsidR="008424DF" w:rsidRPr="00152E1C">
        <w:rPr>
          <w:rFonts w:asciiTheme="majorBidi" w:hAnsiTheme="majorBidi" w:cstheme="majorBidi"/>
        </w:rPr>
        <w:t xml:space="preserve"> </w:t>
      </w:r>
      <w:r w:rsidR="00707C04">
        <w:rPr>
          <w:rFonts w:asciiTheme="majorBidi" w:hAnsiTheme="majorBidi" w:cstheme="majorBidi"/>
        </w:rPr>
        <w:t>Apgabalt</w:t>
      </w:r>
      <w:r w:rsidR="00835FED">
        <w:rPr>
          <w:rFonts w:asciiTheme="majorBidi" w:hAnsiTheme="majorBidi" w:cstheme="majorBidi"/>
        </w:rPr>
        <w:t>iesa noraidīja lūgumu organizēt tiesas sēdi eksperta atzinuma pārbaudei, norādot, ka pieteicēja nav sniegusi konkrētus iebildumus vai jautājumus par secinājumiem, līdz ar to tiesas sēde nav lietderīga.</w:t>
      </w:r>
    </w:p>
    <w:p w14:paraId="5665A006" w14:textId="4582C3CF" w:rsidR="006801DA" w:rsidRDefault="008424DF" w:rsidP="00644D21">
      <w:pPr>
        <w:spacing w:line="276" w:lineRule="auto"/>
        <w:ind w:firstLine="720"/>
        <w:jc w:val="both"/>
        <w:rPr>
          <w:rFonts w:asciiTheme="majorBidi" w:hAnsiTheme="majorBidi" w:cstheme="majorBidi"/>
        </w:rPr>
      </w:pPr>
      <w:r>
        <w:rPr>
          <w:rFonts w:asciiTheme="majorBidi" w:hAnsiTheme="majorBidi" w:cstheme="majorBidi"/>
        </w:rPr>
        <w:t xml:space="preserve">Senāts piekrīt pieteicējai, ka </w:t>
      </w:r>
      <w:r w:rsidR="00707C04">
        <w:rPr>
          <w:rFonts w:asciiTheme="majorBidi" w:hAnsiTheme="majorBidi" w:cstheme="majorBidi"/>
        </w:rPr>
        <w:t>apgabal</w:t>
      </w:r>
      <w:r>
        <w:rPr>
          <w:rFonts w:asciiTheme="majorBidi" w:hAnsiTheme="majorBidi" w:cstheme="majorBidi"/>
        </w:rPr>
        <w:t xml:space="preserve">tiesai ietvertajā lūgumā organizēt tiesas sēdi eksperta atzinuma pārbaudei, </w:t>
      </w:r>
      <w:r w:rsidR="006801DA">
        <w:rPr>
          <w:rFonts w:asciiTheme="majorBidi" w:hAnsiTheme="majorBidi" w:cstheme="majorBidi"/>
        </w:rPr>
        <w:t xml:space="preserve">pieteicēja </w:t>
      </w:r>
      <w:r>
        <w:rPr>
          <w:rFonts w:asciiTheme="majorBidi" w:hAnsiTheme="majorBidi" w:cstheme="majorBidi"/>
        </w:rPr>
        <w:t>pietiekami skaidri ir norādī</w:t>
      </w:r>
      <w:r w:rsidR="006801DA">
        <w:rPr>
          <w:rFonts w:asciiTheme="majorBidi" w:hAnsiTheme="majorBidi" w:cstheme="majorBidi"/>
        </w:rPr>
        <w:t>jusi</w:t>
      </w:r>
      <w:r>
        <w:rPr>
          <w:rFonts w:asciiTheme="majorBidi" w:hAnsiTheme="majorBidi" w:cstheme="majorBidi"/>
        </w:rPr>
        <w:t xml:space="preserve"> uz </w:t>
      </w:r>
      <w:r w:rsidR="006801DA">
        <w:rPr>
          <w:rFonts w:asciiTheme="majorBidi" w:hAnsiTheme="majorBidi" w:cstheme="majorBidi"/>
        </w:rPr>
        <w:t xml:space="preserve">vēlmi uzdot ekspertiem jautājumus par eksperta atzinumā </w:t>
      </w:r>
      <w:r w:rsidR="00A74A03">
        <w:rPr>
          <w:rFonts w:asciiTheme="majorBidi" w:hAnsiTheme="majorBidi" w:cstheme="majorBidi"/>
        </w:rPr>
        <w:t>izdarītajiem</w:t>
      </w:r>
      <w:r w:rsidR="006801DA">
        <w:rPr>
          <w:rFonts w:asciiTheme="majorBidi" w:hAnsiTheme="majorBidi" w:cstheme="majorBidi"/>
        </w:rPr>
        <w:t xml:space="preserve"> secinājumiem.</w:t>
      </w:r>
      <w:r w:rsidR="00152E1C">
        <w:rPr>
          <w:rFonts w:asciiTheme="majorBidi" w:hAnsiTheme="majorBidi" w:cstheme="majorBidi"/>
        </w:rPr>
        <w:t xml:space="preserve"> </w:t>
      </w:r>
      <w:r w:rsidR="002C36EE">
        <w:rPr>
          <w:rFonts w:asciiTheme="majorBidi" w:hAnsiTheme="majorBidi" w:cstheme="majorBidi"/>
        </w:rPr>
        <w:t>A</w:t>
      </w:r>
      <w:r w:rsidR="007A2B21">
        <w:rPr>
          <w:rFonts w:asciiTheme="majorBidi" w:hAnsiTheme="majorBidi" w:cstheme="majorBidi"/>
        </w:rPr>
        <w:t xml:space="preserve">dministratīvā procesa likuma 233.panta pirmajā daļā paredzētā iespēja </w:t>
      </w:r>
      <w:r w:rsidR="00FB278F">
        <w:rPr>
          <w:rFonts w:asciiTheme="majorBidi" w:hAnsiTheme="majorBidi" w:cstheme="majorBidi"/>
        </w:rPr>
        <w:t xml:space="preserve">tiesas sēdē pārbaudīt eksperta atzinumu </w:t>
      </w:r>
      <w:r w:rsidR="00A74A03">
        <w:rPr>
          <w:rFonts w:asciiTheme="majorBidi" w:hAnsiTheme="majorBidi" w:cstheme="majorBidi"/>
        </w:rPr>
        <w:t xml:space="preserve">pastāv, lai </w:t>
      </w:r>
      <w:r w:rsidR="002C36EE">
        <w:rPr>
          <w:rFonts w:asciiTheme="majorBidi" w:hAnsiTheme="majorBidi" w:cstheme="majorBidi"/>
        </w:rPr>
        <w:t>novērst</w:t>
      </w:r>
      <w:r w:rsidR="00A74A03">
        <w:rPr>
          <w:rFonts w:asciiTheme="majorBidi" w:hAnsiTheme="majorBidi" w:cstheme="majorBidi"/>
        </w:rPr>
        <w:t>u</w:t>
      </w:r>
      <w:r w:rsidR="00FB278F">
        <w:rPr>
          <w:rFonts w:asciiTheme="majorBidi" w:hAnsiTheme="majorBidi" w:cstheme="majorBidi"/>
        </w:rPr>
        <w:t xml:space="preserve"> lietas dalībniekam pastāvošās šaubas par eksperta atzinumu</w:t>
      </w:r>
      <w:r w:rsidR="00A74A03">
        <w:rPr>
          <w:rFonts w:asciiTheme="majorBidi" w:hAnsiTheme="majorBidi" w:cstheme="majorBidi"/>
        </w:rPr>
        <w:t xml:space="preserve"> un vai identificētu tajā trūkumus</w:t>
      </w:r>
      <w:r w:rsidR="00FB278F">
        <w:rPr>
          <w:rFonts w:asciiTheme="majorBidi" w:hAnsiTheme="majorBidi" w:cstheme="majorBidi"/>
        </w:rPr>
        <w:t>. Šāda tiesība ir daļa no tiesībām uz taisnīgu tiesu satura (</w:t>
      </w:r>
      <w:r w:rsidR="007A3EB4" w:rsidRPr="00EE526F">
        <w:rPr>
          <w:rFonts w:asciiTheme="majorBidi" w:hAnsiTheme="majorBidi" w:cstheme="majorBidi"/>
          <w:i/>
          <w:iCs/>
        </w:rPr>
        <w:t xml:space="preserve">Eiropas Cilvēktiesību tiesas </w:t>
      </w:r>
      <w:r w:rsidR="00EE526F" w:rsidRPr="00EE526F">
        <w:rPr>
          <w:rFonts w:asciiTheme="majorBidi" w:hAnsiTheme="majorBidi" w:cstheme="majorBidi"/>
          <w:i/>
          <w:iCs/>
        </w:rPr>
        <w:t>1997</w:t>
      </w:r>
      <w:r w:rsidR="007A3EB4" w:rsidRPr="00EE526F">
        <w:rPr>
          <w:rFonts w:asciiTheme="majorBidi" w:hAnsiTheme="majorBidi" w:cstheme="majorBidi"/>
          <w:i/>
          <w:iCs/>
        </w:rPr>
        <w:t xml:space="preserve">.gada </w:t>
      </w:r>
      <w:r w:rsidR="00EE526F" w:rsidRPr="00EE526F">
        <w:rPr>
          <w:rFonts w:asciiTheme="majorBidi" w:hAnsiTheme="majorBidi" w:cstheme="majorBidi"/>
          <w:i/>
          <w:iCs/>
        </w:rPr>
        <w:t>18</w:t>
      </w:r>
      <w:r w:rsidR="007A3EB4" w:rsidRPr="00EE526F">
        <w:rPr>
          <w:rFonts w:asciiTheme="majorBidi" w:hAnsiTheme="majorBidi" w:cstheme="majorBidi"/>
          <w:i/>
          <w:iCs/>
        </w:rPr>
        <w:t>.</w:t>
      </w:r>
      <w:r w:rsidR="00EE526F" w:rsidRPr="00EE526F">
        <w:rPr>
          <w:rFonts w:asciiTheme="majorBidi" w:hAnsiTheme="majorBidi" w:cstheme="majorBidi"/>
          <w:i/>
          <w:iCs/>
        </w:rPr>
        <w:t>marta</w:t>
      </w:r>
      <w:r w:rsidR="007A3EB4" w:rsidRPr="00EE526F">
        <w:rPr>
          <w:rFonts w:asciiTheme="majorBidi" w:hAnsiTheme="majorBidi" w:cstheme="majorBidi"/>
          <w:i/>
          <w:iCs/>
        </w:rPr>
        <w:t xml:space="preserve"> sprieduma lietā „</w:t>
      </w:r>
      <w:r w:rsidR="00EE526F" w:rsidRPr="00EE526F">
        <w:rPr>
          <w:rFonts w:asciiTheme="majorBidi" w:hAnsiTheme="majorBidi" w:cstheme="majorBidi"/>
          <w:i/>
          <w:iCs/>
        </w:rPr>
        <w:t xml:space="preserve">Mantovanelli </w:t>
      </w:r>
      <w:r w:rsidR="00003983">
        <w:rPr>
          <w:rFonts w:asciiTheme="majorBidi" w:hAnsiTheme="majorBidi" w:cstheme="majorBidi"/>
          <w:i/>
          <w:iCs/>
        </w:rPr>
        <w:t>pret</w:t>
      </w:r>
      <w:r w:rsidR="00EE526F" w:rsidRPr="00EE526F">
        <w:rPr>
          <w:rFonts w:asciiTheme="majorBidi" w:hAnsiTheme="majorBidi" w:cstheme="majorBidi"/>
          <w:i/>
          <w:iCs/>
        </w:rPr>
        <w:t xml:space="preserve"> Fra</w:t>
      </w:r>
      <w:r w:rsidR="00003983">
        <w:rPr>
          <w:rFonts w:asciiTheme="majorBidi" w:hAnsiTheme="majorBidi" w:cstheme="majorBidi"/>
          <w:i/>
          <w:iCs/>
        </w:rPr>
        <w:t>nciju</w:t>
      </w:r>
      <w:r w:rsidR="007A3EB4" w:rsidRPr="00EE526F">
        <w:rPr>
          <w:rFonts w:asciiTheme="majorBidi" w:hAnsiTheme="majorBidi" w:cstheme="majorBidi"/>
          <w:i/>
          <w:iCs/>
        </w:rPr>
        <w:t>”, iesnieguma Nr.</w:t>
      </w:r>
      <w:r w:rsidR="00EE526F" w:rsidRPr="00EE526F">
        <w:rPr>
          <w:rFonts w:asciiTheme="majorBidi" w:hAnsiTheme="majorBidi" w:cstheme="majorBidi"/>
          <w:i/>
          <w:iCs/>
        </w:rPr>
        <w:t> </w:t>
      </w:r>
      <w:hyperlink r:id="rId9" w:history="1">
        <w:r w:rsidR="00EE526F" w:rsidRPr="00EE526F">
          <w:rPr>
            <w:rStyle w:val="Hyperlink"/>
            <w:rFonts w:asciiTheme="majorBidi" w:hAnsiTheme="majorBidi" w:cstheme="majorBidi"/>
            <w:i/>
            <w:iCs/>
          </w:rPr>
          <w:t>21497/93</w:t>
        </w:r>
      </w:hyperlink>
      <w:r w:rsidR="007A3EB4" w:rsidRPr="00EE526F">
        <w:rPr>
          <w:rFonts w:asciiTheme="majorBidi" w:hAnsiTheme="majorBidi" w:cstheme="majorBidi"/>
          <w:i/>
          <w:iCs/>
        </w:rPr>
        <w:t>, 3</w:t>
      </w:r>
      <w:r w:rsidR="00EE526F">
        <w:rPr>
          <w:rFonts w:asciiTheme="majorBidi" w:hAnsiTheme="majorBidi" w:cstheme="majorBidi"/>
          <w:i/>
          <w:iCs/>
        </w:rPr>
        <w:t>3</w:t>
      </w:r>
      <w:r w:rsidR="007A3EB4" w:rsidRPr="00EE526F">
        <w:rPr>
          <w:rFonts w:asciiTheme="majorBidi" w:hAnsiTheme="majorBidi" w:cstheme="majorBidi"/>
          <w:i/>
          <w:iCs/>
        </w:rPr>
        <w:t>.punkt</w:t>
      </w:r>
      <w:r w:rsidR="00A74A03">
        <w:rPr>
          <w:rFonts w:asciiTheme="majorBidi" w:hAnsiTheme="majorBidi" w:cstheme="majorBidi"/>
          <w:i/>
          <w:iCs/>
        </w:rPr>
        <w:t>s</w:t>
      </w:r>
      <w:r w:rsidR="00FB278F">
        <w:rPr>
          <w:rFonts w:asciiTheme="majorBidi" w:hAnsiTheme="majorBidi" w:cstheme="majorBidi"/>
        </w:rPr>
        <w:t xml:space="preserve">). Iespēja </w:t>
      </w:r>
      <w:r w:rsidR="00A74A03">
        <w:rPr>
          <w:rFonts w:asciiTheme="majorBidi" w:hAnsiTheme="majorBidi" w:cstheme="majorBidi"/>
        </w:rPr>
        <w:t xml:space="preserve">lietas dalībniekam </w:t>
      </w:r>
      <w:r w:rsidR="00FB278F">
        <w:rPr>
          <w:rFonts w:asciiTheme="majorBidi" w:hAnsiTheme="majorBidi" w:cstheme="majorBidi"/>
        </w:rPr>
        <w:t xml:space="preserve">izteikties </w:t>
      </w:r>
      <w:r w:rsidR="007A3EB4">
        <w:rPr>
          <w:rFonts w:asciiTheme="majorBidi" w:hAnsiTheme="majorBidi" w:cstheme="majorBidi"/>
        </w:rPr>
        <w:t>par eksperta atzinumu īpaši būtiska ir gadījumos, kad ekspertīze veikta ārstniecības jautājumos, kur eksperta atzinums var būtiski ietekmēt tiesnešu veikto faktu izvērtējumu attiecīgās jomas un tiesnešu kompetences specifikas dēļ (</w:t>
      </w:r>
      <w:r w:rsidR="00EE526F">
        <w:rPr>
          <w:rFonts w:asciiTheme="majorBidi" w:hAnsiTheme="majorBidi" w:cstheme="majorBidi"/>
          <w:i/>
          <w:iCs/>
        </w:rPr>
        <w:t>t</w:t>
      </w:r>
      <w:r w:rsidR="007A3EB4" w:rsidRPr="007A3EB4">
        <w:rPr>
          <w:rFonts w:asciiTheme="majorBidi" w:hAnsiTheme="majorBidi" w:cstheme="majorBidi"/>
          <w:i/>
          <w:iCs/>
        </w:rPr>
        <w:t>urpat</w:t>
      </w:r>
      <w:r w:rsidR="007A3EB4">
        <w:rPr>
          <w:rFonts w:asciiTheme="majorBidi" w:hAnsiTheme="majorBidi" w:cstheme="majorBidi"/>
          <w:i/>
          <w:iCs/>
        </w:rPr>
        <w:t>, 36.punkts</w:t>
      </w:r>
      <w:r w:rsidR="007A3EB4">
        <w:rPr>
          <w:rFonts w:asciiTheme="majorBidi" w:hAnsiTheme="majorBidi" w:cstheme="majorBidi"/>
        </w:rPr>
        <w:t>).</w:t>
      </w:r>
    </w:p>
    <w:p w14:paraId="38A28EE3" w14:textId="380A949A" w:rsidR="00971C7D" w:rsidRPr="00971C7D" w:rsidRDefault="00971C7D" w:rsidP="00644D21">
      <w:pPr>
        <w:keepNext/>
        <w:spacing w:line="276" w:lineRule="auto"/>
        <w:ind w:firstLine="720"/>
        <w:jc w:val="both"/>
      </w:pPr>
      <w:r>
        <w:t>Senāts uzsver, ka nereti daļa no eksperta atzinuma</w:t>
      </w:r>
      <w:r w:rsidR="006E0BEB">
        <w:t xml:space="preserve"> secinājumiem</w:t>
      </w:r>
      <w:r>
        <w:t xml:space="preserve"> ir balstīt</w:t>
      </w:r>
      <w:r w:rsidR="006E0BEB">
        <w:t>i</w:t>
      </w:r>
      <w:r>
        <w:t xml:space="preserve"> tieši ekspertu profesionālajā pieredzē un zināšanās. Tādēļ eksperta atzinuma slēdzienu daļā var būt secinājumi, kas ne</w:t>
      </w:r>
      <w:r w:rsidR="00A74A03">
        <w:t>ietver</w:t>
      </w:r>
      <w:r>
        <w:t xml:space="preserve"> tiešas atsauces uz zinātnisko literatūru. Šī iemesla dēļ eksperta atzinuma pārbaude tiesas sēdē ir īpaši būtiska, lai uzdotu jautājumus ekspertiem un novērstu neskaidrības, kas saistītas ar eksperta atzinumu. Ja </w:t>
      </w:r>
      <w:r w:rsidR="00707C04">
        <w:t>apgabal</w:t>
      </w:r>
      <w:r>
        <w:t>tiesa būtu rīkojusi tiesas sēdi eksperta atzinuma pārbaudei, pieteicējas paustās neskaidrības un šaubas par secinājumu zinātnisko pamatotību būtu bijis iespējams izskaidrot un novērst.</w:t>
      </w:r>
    </w:p>
    <w:p w14:paraId="08DF4C80" w14:textId="08F3A99F" w:rsidR="008424DF" w:rsidRDefault="00707C04" w:rsidP="00644D21">
      <w:pPr>
        <w:spacing w:line="276" w:lineRule="auto"/>
        <w:ind w:firstLine="720"/>
        <w:jc w:val="both"/>
        <w:rPr>
          <w:rFonts w:asciiTheme="majorBidi" w:hAnsiTheme="majorBidi" w:cstheme="majorBidi"/>
        </w:rPr>
      </w:pPr>
      <w:r>
        <w:rPr>
          <w:rFonts w:asciiTheme="majorBidi" w:hAnsiTheme="majorBidi" w:cstheme="majorBidi"/>
        </w:rPr>
        <w:t>Apgabalt</w:t>
      </w:r>
      <w:r w:rsidR="006801DA">
        <w:rPr>
          <w:rFonts w:asciiTheme="majorBidi" w:hAnsiTheme="majorBidi" w:cstheme="majorBidi"/>
        </w:rPr>
        <w:t xml:space="preserve">iesas sniegtais pamatojums tiesas sēdes </w:t>
      </w:r>
      <w:r w:rsidR="00141F7C">
        <w:rPr>
          <w:rFonts w:asciiTheme="majorBidi" w:hAnsiTheme="majorBidi" w:cstheme="majorBidi"/>
        </w:rPr>
        <w:t xml:space="preserve">organizēšanas </w:t>
      </w:r>
      <w:r w:rsidR="006801DA">
        <w:rPr>
          <w:rFonts w:asciiTheme="majorBidi" w:hAnsiTheme="majorBidi" w:cstheme="majorBidi"/>
        </w:rPr>
        <w:t>lūguma noraidīšanai ir nepietiekams.</w:t>
      </w:r>
      <w:r w:rsidR="007326C9">
        <w:rPr>
          <w:rFonts w:asciiTheme="majorBidi" w:hAnsiTheme="majorBidi" w:cstheme="majorBidi"/>
        </w:rPr>
        <w:t xml:space="preserve"> </w:t>
      </w:r>
      <w:r>
        <w:rPr>
          <w:rFonts w:asciiTheme="majorBidi" w:hAnsiTheme="majorBidi" w:cstheme="majorBidi"/>
        </w:rPr>
        <w:t>Apgabalt</w:t>
      </w:r>
      <w:r w:rsidR="007326C9">
        <w:rPr>
          <w:rFonts w:asciiTheme="majorBidi" w:hAnsiTheme="majorBidi" w:cstheme="majorBidi"/>
        </w:rPr>
        <w:t xml:space="preserve">iesa būtībā lūgumu noraidījusi, pamatojoties uz to, ka pieteicēja nav izteikusi konkrētus iebildumus vai jautājumus par eksperta atzinuma secinājumiem. Šāds pamatojums būtu pietiekams, ja </w:t>
      </w:r>
      <w:r>
        <w:rPr>
          <w:rFonts w:asciiTheme="majorBidi" w:hAnsiTheme="majorBidi" w:cstheme="majorBidi"/>
        </w:rPr>
        <w:t>apgabal</w:t>
      </w:r>
      <w:r w:rsidR="007326C9">
        <w:rPr>
          <w:rFonts w:asciiTheme="majorBidi" w:hAnsiTheme="majorBidi" w:cstheme="majorBidi"/>
        </w:rPr>
        <w:t>tiesa</w:t>
      </w:r>
      <w:r w:rsidR="00152E1C">
        <w:rPr>
          <w:rFonts w:asciiTheme="majorBidi" w:hAnsiTheme="majorBidi" w:cstheme="majorBidi"/>
        </w:rPr>
        <w:t xml:space="preserve"> kādu īpašu iemeslu dēļ</w:t>
      </w:r>
      <w:r w:rsidR="007326C9">
        <w:rPr>
          <w:rFonts w:asciiTheme="majorBidi" w:hAnsiTheme="majorBidi" w:cstheme="majorBidi"/>
        </w:rPr>
        <w:t xml:space="preserve"> būtu </w:t>
      </w:r>
      <w:r w:rsidR="00152E1C">
        <w:rPr>
          <w:rFonts w:asciiTheme="majorBidi" w:hAnsiTheme="majorBidi" w:cstheme="majorBidi"/>
        </w:rPr>
        <w:t xml:space="preserve">lēmusi, </w:t>
      </w:r>
      <w:r w:rsidR="007326C9">
        <w:rPr>
          <w:rFonts w:asciiTheme="majorBidi" w:hAnsiTheme="majorBidi" w:cstheme="majorBidi"/>
        </w:rPr>
        <w:t>ka jautājumu rakstveida uzdošana aizstās izjautāšanu tiesas sēdē</w:t>
      </w:r>
      <w:r w:rsidR="00152E1C">
        <w:rPr>
          <w:rFonts w:asciiTheme="majorBidi" w:hAnsiTheme="majorBidi" w:cstheme="majorBidi"/>
        </w:rPr>
        <w:t xml:space="preserve"> un par to skaidri </w:t>
      </w:r>
      <w:r w:rsidR="002C36EE">
        <w:rPr>
          <w:rFonts w:asciiTheme="majorBidi" w:hAnsiTheme="majorBidi" w:cstheme="majorBidi"/>
        </w:rPr>
        <w:t xml:space="preserve">būtu </w:t>
      </w:r>
      <w:r w:rsidR="00152E1C">
        <w:rPr>
          <w:rFonts w:asciiTheme="majorBidi" w:hAnsiTheme="majorBidi" w:cstheme="majorBidi"/>
        </w:rPr>
        <w:t>informējusi arī lietas dalībniekus</w:t>
      </w:r>
      <w:r w:rsidR="00141F7C">
        <w:rPr>
          <w:rFonts w:asciiTheme="majorBidi" w:hAnsiTheme="majorBidi" w:cstheme="majorBidi"/>
        </w:rPr>
        <w:t>. T</w:t>
      </w:r>
      <w:r w:rsidR="007326C9">
        <w:rPr>
          <w:rFonts w:asciiTheme="majorBidi" w:hAnsiTheme="majorBidi" w:cstheme="majorBidi"/>
        </w:rPr>
        <w:t>omēr no</w:t>
      </w:r>
      <w:r w:rsidR="006801DA">
        <w:rPr>
          <w:rFonts w:asciiTheme="majorBidi" w:hAnsiTheme="majorBidi" w:cstheme="majorBidi"/>
        </w:rPr>
        <w:t xml:space="preserve"> </w:t>
      </w:r>
      <w:r>
        <w:rPr>
          <w:rFonts w:asciiTheme="majorBidi" w:hAnsiTheme="majorBidi" w:cstheme="majorBidi"/>
        </w:rPr>
        <w:t>apgabal</w:t>
      </w:r>
      <w:r w:rsidR="006801DA">
        <w:rPr>
          <w:rFonts w:asciiTheme="majorBidi" w:hAnsiTheme="majorBidi" w:cstheme="majorBidi"/>
        </w:rPr>
        <w:t xml:space="preserve">tiesas lūguma lietas </w:t>
      </w:r>
      <w:r w:rsidR="006801DA">
        <w:rPr>
          <w:rFonts w:asciiTheme="majorBidi" w:hAnsiTheme="majorBidi" w:cstheme="majorBidi"/>
        </w:rPr>
        <w:lastRenderedPageBreak/>
        <w:t xml:space="preserve">dalībniekiem izteikties par tiesas sēdes nepieciešamību nav konstatējams, ka </w:t>
      </w:r>
      <w:r>
        <w:rPr>
          <w:rFonts w:asciiTheme="majorBidi" w:hAnsiTheme="majorBidi" w:cstheme="majorBidi"/>
        </w:rPr>
        <w:t>apgabal</w:t>
      </w:r>
      <w:r w:rsidR="006801DA">
        <w:rPr>
          <w:rFonts w:asciiTheme="majorBidi" w:hAnsiTheme="majorBidi" w:cstheme="majorBidi"/>
        </w:rPr>
        <w:t>tiesa būtu</w:t>
      </w:r>
      <w:r w:rsidR="007326C9">
        <w:rPr>
          <w:rFonts w:asciiTheme="majorBidi" w:hAnsiTheme="majorBidi" w:cstheme="majorBidi"/>
        </w:rPr>
        <w:t xml:space="preserve"> </w:t>
      </w:r>
      <w:r w:rsidR="00141F7C">
        <w:rPr>
          <w:rFonts w:asciiTheme="majorBidi" w:hAnsiTheme="majorBidi" w:cstheme="majorBidi"/>
        </w:rPr>
        <w:t>skaidri norādījusi uz šādu rakstveida jautājumu uzdošanu, kur konkrētu iebildumu un jautājumu uzdošana būtu priekšnoteikums paskaidrojumu pieprasīšanai no ekspertiem. Tieši pretēj</w:t>
      </w:r>
      <w:r w:rsidR="00152E1C">
        <w:rPr>
          <w:rFonts w:asciiTheme="majorBidi" w:hAnsiTheme="majorBidi" w:cstheme="majorBidi"/>
        </w:rPr>
        <w:t xml:space="preserve">i – </w:t>
      </w:r>
      <w:r>
        <w:rPr>
          <w:rFonts w:asciiTheme="majorBidi" w:hAnsiTheme="majorBidi" w:cstheme="majorBidi"/>
        </w:rPr>
        <w:t>apgabal</w:t>
      </w:r>
      <w:r w:rsidR="00141F7C">
        <w:rPr>
          <w:rFonts w:asciiTheme="majorBidi" w:hAnsiTheme="majorBidi" w:cstheme="majorBidi"/>
        </w:rPr>
        <w:t xml:space="preserve">tiesa, izsakot lūgumu sniegt viedokli par eksperta atzinumu, norādīja, ka </w:t>
      </w:r>
      <w:r w:rsidR="00152E1C">
        <w:rPr>
          <w:rFonts w:asciiTheme="majorBidi" w:hAnsiTheme="majorBidi" w:cstheme="majorBidi"/>
        </w:rPr>
        <w:t xml:space="preserve">tādā veidā </w:t>
      </w:r>
      <w:r>
        <w:rPr>
          <w:rFonts w:asciiTheme="majorBidi" w:hAnsiTheme="majorBidi" w:cstheme="majorBidi"/>
        </w:rPr>
        <w:t>apgabal</w:t>
      </w:r>
      <w:r w:rsidR="00152E1C">
        <w:rPr>
          <w:rFonts w:asciiTheme="majorBidi" w:hAnsiTheme="majorBidi" w:cstheme="majorBidi"/>
        </w:rPr>
        <w:t>tiesa noskaidros, vai ir nepieciešama eksperta atzinuma pārbaude tieši tiesas sēdē.</w:t>
      </w:r>
    </w:p>
    <w:p w14:paraId="3DDBCFD1" w14:textId="24CE9B2D" w:rsidR="002D32E7" w:rsidRDefault="002C36EE" w:rsidP="00644D21">
      <w:pPr>
        <w:spacing w:line="276" w:lineRule="auto"/>
        <w:ind w:firstLine="720"/>
        <w:jc w:val="both"/>
        <w:rPr>
          <w:rFonts w:asciiTheme="majorBidi" w:hAnsiTheme="majorBidi" w:cstheme="majorBidi"/>
        </w:rPr>
      </w:pPr>
      <w:r>
        <w:rPr>
          <w:rFonts w:asciiTheme="majorBidi" w:hAnsiTheme="majorBidi" w:cstheme="majorBidi"/>
        </w:rPr>
        <w:t xml:space="preserve">Apkopojot minēto, </w:t>
      </w:r>
      <w:r w:rsidR="00152E1C">
        <w:rPr>
          <w:rFonts w:asciiTheme="majorBidi" w:hAnsiTheme="majorBidi" w:cstheme="majorBidi"/>
        </w:rPr>
        <w:t xml:space="preserve">Senāts atzīst, ka pieteicējas </w:t>
      </w:r>
      <w:r w:rsidR="00707C04">
        <w:rPr>
          <w:rFonts w:asciiTheme="majorBidi" w:hAnsiTheme="majorBidi" w:cstheme="majorBidi"/>
        </w:rPr>
        <w:t>apgabal</w:t>
      </w:r>
      <w:r w:rsidR="00152E1C">
        <w:rPr>
          <w:rFonts w:asciiTheme="majorBidi" w:hAnsiTheme="majorBidi" w:cstheme="majorBidi"/>
        </w:rPr>
        <w:t xml:space="preserve">tiesai norādītās neskaidrības par eksperta atzinuma secinājumiem </w:t>
      </w:r>
      <w:r>
        <w:rPr>
          <w:rFonts w:asciiTheme="majorBidi" w:hAnsiTheme="majorBidi" w:cstheme="majorBidi"/>
        </w:rPr>
        <w:t>bija</w:t>
      </w:r>
      <w:r w:rsidR="00152E1C">
        <w:rPr>
          <w:rFonts w:asciiTheme="majorBidi" w:hAnsiTheme="majorBidi" w:cstheme="majorBidi"/>
        </w:rPr>
        <w:t xml:space="preserve"> pietiekams pamats eksperta atzinuma pārbaudei tiesas sēdē</w:t>
      </w:r>
      <w:r>
        <w:rPr>
          <w:rFonts w:asciiTheme="majorBidi" w:hAnsiTheme="majorBidi" w:cstheme="majorBidi"/>
        </w:rPr>
        <w:t>.</w:t>
      </w:r>
      <w:r w:rsidR="00351629">
        <w:rPr>
          <w:rFonts w:asciiTheme="majorBidi" w:hAnsiTheme="majorBidi" w:cstheme="majorBidi"/>
        </w:rPr>
        <w:t xml:space="preserve"> Organizējot eksperta atzinuma pārbaudi tiesas sēdē, pieteicējai būtu bijusi iespēja saņemt skaidrojumu par </w:t>
      </w:r>
      <w:r w:rsidR="00C535AF">
        <w:rPr>
          <w:rFonts w:asciiTheme="majorBidi" w:hAnsiTheme="majorBidi" w:cstheme="majorBidi"/>
        </w:rPr>
        <w:t xml:space="preserve">secinājumu pamatojumu, tādējādi novēršot pieteicējas </w:t>
      </w:r>
      <w:r w:rsidR="00707C04">
        <w:rPr>
          <w:rFonts w:asciiTheme="majorBidi" w:hAnsiTheme="majorBidi" w:cstheme="majorBidi"/>
        </w:rPr>
        <w:t>apgabal</w:t>
      </w:r>
      <w:r w:rsidR="00C535AF">
        <w:rPr>
          <w:rFonts w:asciiTheme="majorBidi" w:hAnsiTheme="majorBidi" w:cstheme="majorBidi"/>
        </w:rPr>
        <w:t>tiesai norādīt</w:t>
      </w:r>
      <w:r w:rsidR="00DB1BA0">
        <w:rPr>
          <w:rFonts w:asciiTheme="majorBidi" w:hAnsiTheme="majorBidi" w:cstheme="majorBidi"/>
        </w:rPr>
        <w:t>ā</w:t>
      </w:r>
      <w:r w:rsidR="00C535AF">
        <w:rPr>
          <w:rFonts w:asciiTheme="majorBidi" w:hAnsiTheme="majorBidi" w:cstheme="majorBidi"/>
        </w:rPr>
        <w:t>s neskaidrības saistībā ar eksperta atzinumu</w:t>
      </w:r>
      <w:r w:rsidR="00A70A43">
        <w:rPr>
          <w:rFonts w:asciiTheme="majorBidi" w:hAnsiTheme="majorBidi" w:cstheme="majorBidi"/>
        </w:rPr>
        <w:t xml:space="preserve"> un tā pamatotību</w:t>
      </w:r>
      <w:r w:rsidR="00C535AF">
        <w:rPr>
          <w:rFonts w:asciiTheme="majorBidi" w:hAnsiTheme="majorBidi" w:cstheme="majorBidi"/>
        </w:rPr>
        <w:t>, kuras pieteicēja atkārtoti uzsvērusi arī kasācijas sūdzībā.</w:t>
      </w:r>
      <w:r w:rsidR="006F3C73">
        <w:rPr>
          <w:rFonts w:asciiTheme="majorBidi" w:hAnsiTheme="majorBidi" w:cstheme="majorBidi"/>
        </w:rPr>
        <w:t xml:space="preserve"> </w:t>
      </w:r>
    </w:p>
    <w:p w14:paraId="05326709" w14:textId="2653A83C" w:rsidR="00C535AF" w:rsidRDefault="00BE5AA9" w:rsidP="00644D21">
      <w:pPr>
        <w:spacing w:line="276" w:lineRule="auto"/>
        <w:ind w:firstLine="720"/>
        <w:jc w:val="both"/>
        <w:rPr>
          <w:rFonts w:asciiTheme="majorBidi" w:hAnsiTheme="majorBidi" w:cstheme="majorBidi"/>
        </w:rPr>
      </w:pPr>
      <w:r>
        <w:rPr>
          <w:rFonts w:asciiTheme="majorBidi" w:hAnsiTheme="majorBidi" w:cstheme="majorBidi"/>
        </w:rPr>
        <w:t xml:space="preserve">Konstatētais procesuālo tiesību normu pārkāpums ir </w:t>
      </w:r>
      <w:r w:rsidR="00C535AF">
        <w:rPr>
          <w:rFonts w:asciiTheme="majorBidi" w:hAnsiTheme="majorBidi" w:cstheme="majorBidi"/>
        </w:rPr>
        <w:t>pamats pārsūdzētā sprieduma atcelšanai.</w:t>
      </w:r>
    </w:p>
    <w:p w14:paraId="4442E6AD" w14:textId="77777777" w:rsidR="006A751B" w:rsidRDefault="006A751B" w:rsidP="00644D21">
      <w:pPr>
        <w:autoSpaceDE w:val="0"/>
        <w:autoSpaceDN w:val="0"/>
        <w:adjustRightInd w:val="0"/>
        <w:spacing w:line="276" w:lineRule="auto"/>
        <w:ind w:firstLine="720"/>
        <w:jc w:val="both"/>
        <w:rPr>
          <w:rFonts w:asciiTheme="majorBidi" w:hAnsiTheme="majorBidi" w:cstheme="majorBidi"/>
        </w:rPr>
      </w:pPr>
    </w:p>
    <w:p w14:paraId="11839242" w14:textId="743DB367" w:rsidR="002D188A" w:rsidRDefault="00EF5A36" w:rsidP="00644D21">
      <w:pPr>
        <w:keepNext/>
        <w:spacing w:line="276" w:lineRule="auto"/>
        <w:ind w:firstLine="720"/>
        <w:jc w:val="both"/>
      </w:pPr>
      <w:r w:rsidRPr="00434A52">
        <w:t>[</w:t>
      </w:r>
      <w:r w:rsidR="00AC18CB">
        <w:t>7</w:t>
      </w:r>
      <w:r w:rsidRPr="00434A52">
        <w:t>]</w:t>
      </w:r>
      <w:r w:rsidR="00B011AD">
        <w:t> </w:t>
      </w:r>
      <w:r w:rsidR="00160042">
        <w:t>Kasācijas sūdzībā uzsvērts, ka apgabaltiesa spriedumā secinājumus par operācija</w:t>
      </w:r>
      <w:r w:rsidR="002D188A">
        <w:t>s</w:t>
      </w:r>
      <w:r w:rsidR="00160042">
        <w:t xml:space="preserve"> pieļaujamību un nepieciešamību</w:t>
      </w:r>
      <w:r w:rsidR="002D188A">
        <w:t xml:space="preserve"> veikusi uz ekspert</w:t>
      </w:r>
      <w:r w:rsidR="00434A52">
        <w:t>a</w:t>
      </w:r>
      <w:r w:rsidR="002D188A">
        <w:t xml:space="preserve"> atzinumā sniegto secinājumu pamata, kas balstīti ĶMI mērījumā,</w:t>
      </w:r>
      <w:r w:rsidR="00434A52">
        <w:t xml:space="preserve"> kura </w:t>
      </w:r>
      <w:r w:rsidR="000B076D">
        <w:t>ticamība</w:t>
      </w:r>
      <w:r w:rsidR="00434A52">
        <w:t xml:space="preserve"> ir apšaubām</w:t>
      </w:r>
      <w:r w:rsidR="000B076D">
        <w:t>a</w:t>
      </w:r>
      <w:r w:rsidR="00434A52">
        <w:t xml:space="preserve">. </w:t>
      </w:r>
      <w:r w:rsidR="00707C04">
        <w:t>Apgabalt</w:t>
      </w:r>
      <w:r w:rsidR="00434A52">
        <w:t>iesa šaubas par piemēroto ĶMI nav novērsusi.</w:t>
      </w:r>
    </w:p>
    <w:p w14:paraId="6B56BEAA" w14:textId="332B7DAC" w:rsidR="00433593" w:rsidRDefault="000A4BDE" w:rsidP="00644D21">
      <w:pPr>
        <w:keepNext/>
        <w:spacing w:line="276" w:lineRule="auto"/>
        <w:ind w:firstLine="720"/>
        <w:jc w:val="both"/>
        <w:rPr>
          <w:shd w:val="clear" w:color="auto" w:fill="FFFFFF"/>
        </w:rPr>
      </w:pPr>
      <w:r>
        <w:t xml:space="preserve">No pārsūdzētā sprieduma izriet, ka </w:t>
      </w:r>
      <w:r w:rsidR="00707C04">
        <w:t>apgabal</w:t>
      </w:r>
      <w:r>
        <w:t xml:space="preserve">tiesa </w:t>
      </w:r>
      <w:r w:rsidR="000B076D">
        <w:t>sprieduma secinājumus</w:t>
      </w:r>
      <w:r>
        <w:t xml:space="preserve"> balsta uz ĶMI mērījumu, kas </w:t>
      </w:r>
      <w:r w:rsidR="00433593">
        <w:t>pārrakstīts inspekcijas atzinumā no pieteicējas ambulatorā apmeklējuma 2015.gada 9.oktobrī</w:t>
      </w:r>
      <w:r w:rsidR="000B076D">
        <w:rPr>
          <w:shd w:val="clear" w:color="auto" w:fill="FFFFFF"/>
        </w:rPr>
        <w:t xml:space="preserve">. </w:t>
      </w:r>
      <w:r w:rsidR="00433593">
        <w:rPr>
          <w:shd w:val="clear" w:color="auto" w:fill="FFFFFF"/>
        </w:rPr>
        <w:t xml:space="preserve">Senāts, pārbaudot lietas materiālus, </w:t>
      </w:r>
      <w:r w:rsidR="000B076D">
        <w:rPr>
          <w:shd w:val="clear" w:color="auto" w:fill="FFFFFF"/>
        </w:rPr>
        <w:t xml:space="preserve">pieteicējas norādi par </w:t>
      </w:r>
      <w:r w:rsidR="00433593">
        <w:rPr>
          <w:shd w:val="clear" w:color="auto" w:fill="FFFFFF"/>
        </w:rPr>
        <w:t xml:space="preserve">būtiskiem trūkumiem, kas rada </w:t>
      </w:r>
      <w:r w:rsidR="000B076D">
        <w:rPr>
          <w:shd w:val="clear" w:color="auto" w:fill="FFFFFF"/>
        </w:rPr>
        <w:t>acīmredzam</w:t>
      </w:r>
      <w:r w:rsidR="00433593">
        <w:rPr>
          <w:shd w:val="clear" w:color="auto" w:fill="FFFFFF"/>
        </w:rPr>
        <w:t>as</w:t>
      </w:r>
      <w:r w:rsidR="000B076D">
        <w:rPr>
          <w:shd w:val="clear" w:color="auto" w:fill="FFFFFF"/>
        </w:rPr>
        <w:t xml:space="preserve"> šaub</w:t>
      </w:r>
      <w:r w:rsidR="005B3ADE">
        <w:rPr>
          <w:shd w:val="clear" w:color="auto" w:fill="FFFFFF"/>
        </w:rPr>
        <w:t>as</w:t>
      </w:r>
      <w:r w:rsidR="000B076D">
        <w:rPr>
          <w:shd w:val="clear" w:color="auto" w:fill="FFFFFF"/>
        </w:rPr>
        <w:t xml:space="preserve"> par izmantoto mērījumu ticamību</w:t>
      </w:r>
      <w:r w:rsidR="005B3ADE">
        <w:rPr>
          <w:shd w:val="clear" w:color="auto" w:fill="FFFFFF"/>
        </w:rPr>
        <w:t>,</w:t>
      </w:r>
      <w:r w:rsidR="000B076D">
        <w:rPr>
          <w:shd w:val="clear" w:color="auto" w:fill="FFFFFF"/>
        </w:rPr>
        <w:t xml:space="preserve"> atzīst par pamatotu.</w:t>
      </w:r>
    </w:p>
    <w:p w14:paraId="754033D8" w14:textId="6C996EB2" w:rsidR="003F3345" w:rsidRPr="00A63988" w:rsidRDefault="003F3345" w:rsidP="00644D21">
      <w:pPr>
        <w:keepNext/>
        <w:spacing w:line="276" w:lineRule="auto"/>
        <w:ind w:firstLine="720"/>
        <w:jc w:val="both"/>
        <w:rPr>
          <w:shd w:val="clear" w:color="auto" w:fill="FFFFFF"/>
        </w:rPr>
      </w:pPr>
      <w:r>
        <w:rPr>
          <w:shd w:val="clear" w:color="auto" w:fill="FFFFFF"/>
        </w:rPr>
        <w:t>ĶMI aprēķins tiek veikts, ņemot vērā divus mainīgos lielumus – pacienta augum</w:t>
      </w:r>
      <w:r w:rsidR="00D03C8C">
        <w:rPr>
          <w:shd w:val="clear" w:color="auto" w:fill="FFFFFF"/>
        </w:rPr>
        <w:t>u</w:t>
      </w:r>
      <w:r>
        <w:rPr>
          <w:shd w:val="clear" w:color="auto" w:fill="FFFFFF"/>
        </w:rPr>
        <w:t xml:space="preserve"> un svaru. Pieteicēja pamatoti norāda, ka apgabaltiesa, lai gan ir konstatējusi</w:t>
      </w:r>
      <w:r w:rsidR="003A5368">
        <w:rPr>
          <w:shd w:val="clear" w:color="auto" w:fill="FFFFFF"/>
        </w:rPr>
        <w:t xml:space="preserve"> faktus, ka</w:t>
      </w:r>
      <w:r w:rsidR="00773A45">
        <w:rPr>
          <w:shd w:val="clear" w:color="auto" w:fill="FFFFFF"/>
        </w:rPr>
        <w:t>s</w:t>
      </w:r>
      <w:r w:rsidR="003A5368">
        <w:rPr>
          <w:shd w:val="clear" w:color="auto" w:fill="FFFFFF"/>
        </w:rPr>
        <w:t xml:space="preserve"> rada šaubas par mērījuma ticamību, spriedumā nav pievērsusies šo šaubu novēršanai. Proti, apgabaltiesa konstatēja, </w:t>
      </w:r>
      <w:r>
        <w:rPr>
          <w:shd w:val="clear" w:color="auto" w:fill="FFFFFF"/>
        </w:rPr>
        <w:t xml:space="preserve">ka eksperta atzinumā piemērotais </w:t>
      </w:r>
      <w:r>
        <w:t xml:space="preserve">ambulatorā apmeklējuma laikā iegūtais </w:t>
      </w:r>
      <w:r>
        <w:rPr>
          <w:shd w:val="clear" w:color="auto" w:fill="FFFFFF"/>
        </w:rPr>
        <w:t>ĶMI mērījums aprēķināts, ņemot vērā pieteicējas</w:t>
      </w:r>
      <w:r w:rsidR="00A63988">
        <w:rPr>
          <w:shd w:val="clear" w:color="auto" w:fill="FFFFFF"/>
        </w:rPr>
        <w:t xml:space="preserve"> </w:t>
      </w:r>
      <w:r>
        <w:rPr>
          <w:shd w:val="clear" w:color="auto" w:fill="FFFFFF"/>
        </w:rPr>
        <w:t xml:space="preserve">svaru 98 kg, kas iegūts no ārsta </w:t>
      </w:r>
      <w:r w:rsidR="00644D21">
        <w:t xml:space="preserve">[pers. B] </w:t>
      </w:r>
      <w:r w:rsidR="0084715C">
        <w:t>2017.gada 30.marta</w:t>
      </w:r>
      <w:r w:rsidR="003A5368">
        <w:t xml:space="preserve"> paskaidrojuma inspekcijai, </w:t>
      </w:r>
      <w:r w:rsidR="00773A45">
        <w:t>kurā ārsts skaidro</w:t>
      </w:r>
      <w:r w:rsidR="003A5368">
        <w:t xml:space="preserve"> pārrakstīšanās kļūdu, kur sākotnēji </w:t>
      </w:r>
      <w:r w:rsidR="00773A45">
        <w:t xml:space="preserve">kā </w:t>
      </w:r>
      <w:r w:rsidR="003A5368">
        <w:t>pieteicējas svar</w:t>
      </w:r>
      <w:r w:rsidR="00773A45">
        <w:t>u</w:t>
      </w:r>
      <w:r w:rsidR="003A5368">
        <w:t xml:space="preserve"> </w:t>
      </w:r>
      <w:r w:rsidR="00773A45">
        <w:t>ārsts bija norādījis</w:t>
      </w:r>
      <w:r w:rsidR="003A5368">
        <w:t xml:space="preserve"> 38 kg.</w:t>
      </w:r>
      <w:r w:rsidR="00773A45">
        <w:t xml:space="preserve"> Apgabaltiesai, konstatējot šādu faktu ĶMI mērījuma pamatā, bija pienākums kopsakarā ar citiem ārstniecības datiem</w:t>
      </w:r>
      <w:r w:rsidR="00A00EC8">
        <w:t xml:space="preserve"> un pierādījumiem </w:t>
      </w:r>
      <w:r w:rsidR="002D32E7">
        <w:t xml:space="preserve">pārbaudīt </w:t>
      </w:r>
      <w:r w:rsidR="00A00EC8">
        <w:t>piemērotā ĶMI aprēķina pamatā pielietotos datus</w:t>
      </w:r>
      <w:r w:rsidR="002D32E7">
        <w:t>, jo ĶMI izrādījās noteicošais šīs lietas iznākumam</w:t>
      </w:r>
      <w:r w:rsidR="00A00EC8">
        <w:t>.</w:t>
      </w:r>
    </w:p>
    <w:p w14:paraId="589951F2" w14:textId="4CEA91BA" w:rsidR="00A00EC8" w:rsidRPr="00E754E7" w:rsidRDefault="00A00EC8" w:rsidP="00644D21">
      <w:pPr>
        <w:keepNext/>
        <w:spacing w:line="276" w:lineRule="auto"/>
        <w:ind w:firstLine="720"/>
        <w:jc w:val="both"/>
        <w:rPr>
          <w:smallCaps/>
          <w:shd w:val="clear" w:color="auto" w:fill="FFFFFF"/>
        </w:rPr>
      </w:pPr>
      <w:r>
        <w:t xml:space="preserve">Senāts uzsver, ka </w:t>
      </w:r>
      <w:r w:rsidR="002D32E7">
        <w:t>uz ĶMI un tā aprēķina pamatā esošo datu pārbaud</w:t>
      </w:r>
      <w:r w:rsidR="00DB1BA0">
        <w:t>es nepieciešamību</w:t>
      </w:r>
      <w:r w:rsidR="002D32E7">
        <w:t xml:space="preserve"> </w:t>
      </w:r>
      <w:r>
        <w:t>vēl j</w:t>
      </w:r>
      <w:r w:rsidR="002D32E7">
        <w:t>o</w:t>
      </w:r>
      <w:r>
        <w:t xml:space="preserve"> vairāk </w:t>
      </w:r>
      <w:r w:rsidR="002D32E7">
        <w:t xml:space="preserve">norāda arī </w:t>
      </w:r>
      <w:r>
        <w:t>lietas materiālos esoš</w:t>
      </w:r>
      <w:r w:rsidR="00D03C8C">
        <w:t>o</w:t>
      </w:r>
      <w:r>
        <w:t xml:space="preserve"> datu savstarpējās neatbilstības. </w:t>
      </w:r>
      <w:r w:rsidR="002D32E7">
        <w:t>Tā</w:t>
      </w:r>
      <w:r>
        <w:t xml:space="preserve">, </w:t>
      </w:r>
      <w:r w:rsidR="00A63988">
        <w:t xml:space="preserve">ja ambulatorā apmeklējuma laikā pacientes svars bija 98 kg (atbilstoši ārsta paskaidrojumam) un auguma garums 161 cm, tad spriedumā piemērotais ĶMI, atbilstoši publiski pieejamajam ĶMI </w:t>
      </w:r>
      <w:hyperlink r:id="rId10" w:history="1">
        <w:r w:rsidR="00A63988" w:rsidRPr="0068078F">
          <w:rPr>
            <w:rStyle w:val="Hyperlink"/>
          </w:rPr>
          <w:t>kalkulatoram</w:t>
        </w:r>
      </w:hyperlink>
      <w:r w:rsidR="00A63988">
        <w:t>, ir nevis 35,1</w:t>
      </w:r>
      <w:r w:rsidR="00E754E7">
        <w:t> </w:t>
      </w:r>
      <w:r w:rsidR="00E754E7">
        <w:rPr>
          <w:shd w:val="clear" w:color="auto" w:fill="FFFFFF"/>
        </w:rPr>
        <w:t>kg/m</w:t>
      </w:r>
      <w:r w:rsidR="00E754E7">
        <w:rPr>
          <w:shd w:val="clear" w:color="auto" w:fill="FFFFFF"/>
          <w:vertAlign w:val="superscript"/>
        </w:rPr>
        <w:t>2</w:t>
      </w:r>
      <w:r w:rsidR="00A63988">
        <w:t>,</w:t>
      </w:r>
      <w:r w:rsidR="00E754E7">
        <w:t xml:space="preserve"> uz kā pamata balstīts</w:t>
      </w:r>
      <w:r w:rsidR="00707C04">
        <w:t xml:space="preserve"> pārsūdzētais</w:t>
      </w:r>
      <w:r w:rsidR="00E754E7">
        <w:t xml:space="preserve"> spriedums,</w:t>
      </w:r>
      <w:r w:rsidR="00A63988">
        <w:t xml:space="preserve"> bet 37,81</w:t>
      </w:r>
      <w:r w:rsidR="00E754E7">
        <w:t> </w:t>
      </w:r>
      <w:r w:rsidR="00E754E7">
        <w:rPr>
          <w:shd w:val="clear" w:color="auto" w:fill="FFFFFF"/>
        </w:rPr>
        <w:t>kg/m</w:t>
      </w:r>
      <w:r w:rsidR="00E754E7">
        <w:rPr>
          <w:shd w:val="clear" w:color="auto" w:fill="FFFFFF"/>
          <w:vertAlign w:val="superscript"/>
        </w:rPr>
        <w:t>2</w:t>
      </w:r>
      <w:r w:rsidR="00A63988">
        <w:t>.</w:t>
      </w:r>
      <w:r w:rsidR="00E754E7">
        <w:t xml:space="preserve"> Lai gan pārsūdzētā sprieduma secinājumus šī neprecizitāte neietekmē</w:t>
      </w:r>
      <w:r w:rsidR="002D32E7">
        <w:t>tu</w:t>
      </w:r>
      <w:r w:rsidR="00E754E7">
        <w:t xml:space="preserve">, jo ĶMI tāpat ir </w:t>
      </w:r>
      <w:r w:rsidR="00D03C8C">
        <w:rPr>
          <w:shd w:val="clear" w:color="auto" w:fill="FFFFFF"/>
        </w:rPr>
        <w:t>lielāks par</w:t>
      </w:r>
      <w:r w:rsidR="00E754E7">
        <w:rPr>
          <w:shd w:val="clear" w:color="auto" w:fill="FFFFFF"/>
        </w:rPr>
        <w:t> 35 kg/m</w:t>
      </w:r>
      <w:r w:rsidR="00E754E7">
        <w:rPr>
          <w:shd w:val="clear" w:color="auto" w:fill="FFFFFF"/>
          <w:vertAlign w:val="superscript"/>
        </w:rPr>
        <w:t>2</w:t>
      </w:r>
      <w:r w:rsidR="00E754E7">
        <w:rPr>
          <w:shd w:val="clear" w:color="auto" w:fill="FFFFFF"/>
        </w:rPr>
        <w:t xml:space="preserve">, tomēr tas rada </w:t>
      </w:r>
      <w:r w:rsidR="002D32E7">
        <w:rPr>
          <w:shd w:val="clear" w:color="auto" w:fill="FFFFFF"/>
        </w:rPr>
        <w:t xml:space="preserve">vispārīgas </w:t>
      </w:r>
      <w:r w:rsidR="00E754E7">
        <w:rPr>
          <w:shd w:val="clear" w:color="auto" w:fill="FFFFFF"/>
        </w:rPr>
        <w:t xml:space="preserve">šaubas par </w:t>
      </w:r>
      <w:r w:rsidR="002D32E7">
        <w:rPr>
          <w:shd w:val="clear" w:color="auto" w:fill="FFFFFF"/>
        </w:rPr>
        <w:t xml:space="preserve">datiem, uz kuriem balstīts </w:t>
      </w:r>
      <w:r w:rsidR="00E754E7">
        <w:rPr>
          <w:shd w:val="clear" w:color="auto" w:fill="FFFFFF"/>
        </w:rPr>
        <w:t>eksperta atzinum</w:t>
      </w:r>
      <w:r w:rsidR="002D32E7">
        <w:rPr>
          <w:shd w:val="clear" w:color="auto" w:fill="FFFFFF"/>
        </w:rPr>
        <w:t>s</w:t>
      </w:r>
      <w:r w:rsidR="00E754E7">
        <w:rPr>
          <w:shd w:val="clear" w:color="auto" w:fill="FFFFFF"/>
        </w:rPr>
        <w:t xml:space="preserve"> un </w:t>
      </w:r>
      <w:r w:rsidR="00707C04">
        <w:rPr>
          <w:shd w:val="clear" w:color="auto" w:fill="FFFFFF"/>
        </w:rPr>
        <w:t>pārsūdzēt</w:t>
      </w:r>
      <w:r w:rsidR="002D32E7">
        <w:rPr>
          <w:shd w:val="clear" w:color="auto" w:fill="FFFFFF"/>
        </w:rPr>
        <w:t>ais</w:t>
      </w:r>
      <w:r w:rsidR="00E754E7">
        <w:rPr>
          <w:shd w:val="clear" w:color="auto" w:fill="FFFFFF"/>
        </w:rPr>
        <w:t xml:space="preserve"> spriedums.</w:t>
      </w:r>
      <w:r w:rsidR="00A339A2">
        <w:rPr>
          <w:shd w:val="clear" w:color="auto" w:fill="FFFFFF"/>
        </w:rPr>
        <w:t xml:space="preserve"> </w:t>
      </w:r>
      <w:r w:rsidR="00D03C8C">
        <w:rPr>
          <w:shd w:val="clear" w:color="auto" w:fill="FFFFFF"/>
        </w:rPr>
        <w:t>Papildus norādāms</w:t>
      </w:r>
      <w:r w:rsidR="00A339A2">
        <w:rPr>
          <w:shd w:val="clear" w:color="auto" w:fill="FFFFFF"/>
        </w:rPr>
        <w:t>, ka inspekcijas atzinum</w:t>
      </w:r>
      <w:r w:rsidR="002D32E7">
        <w:rPr>
          <w:shd w:val="clear" w:color="auto" w:fill="FFFFFF"/>
        </w:rPr>
        <w:t xml:space="preserve">ā un attiecīgi arī eksperta atzinumā minētais </w:t>
      </w:r>
      <w:r w:rsidR="00A339A2">
        <w:rPr>
          <w:shd w:val="clear" w:color="auto" w:fill="FFFFFF"/>
        </w:rPr>
        <w:t>pieteicējas auguma garum</w:t>
      </w:r>
      <w:r w:rsidR="002D32E7">
        <w:rPr>
          <w:shd w:val="clear" w:color="auto" w:fill="FFFFFF"/>
        </w:rPr>
        <w:t>s</w:t>
      </w:r>
      <w:r w:rsidR="00A339A2">
        <w:rPr>
          <w:shd w:val="clear" w:color="auto" w:fill="FFFFFF"/>
        </w:rPr>
        <w:t xml:space="preserve"> 161 cm</w:t>
      </w:r>
      <w:r w:rsidR="002D32E7">
        <w:rPr>
          <w:shd w:val="clear" w:color="auto" w:fill="FFFFFF"/>
        </w:rPr>
        <w:t xml:space="preserve"> neatbilst tam, kas norādīts</w:t>
      </w:r>
      <w:r w:rsidR="00A339A2">
        <w:rPr>
          <w:shd w:val="clear" w:color="auto" w:fill="FFFFFF"/>
        </w:rPr>
        <w:t xml:space="preserve"> pieteicējas apmeklējumos pie ģimenes ārsta </w:t>
      </w:r>
      <w:r w:rsidR="0084715C">
        <w:rPr>
          <w:shd w:val="clear" w:color="auto" w:fill="FFFFFF"/>
        </w:rPr>
        <w:t>2016.gada 6.jūnijā un 2017.gada 27.martā</w:t>
      </w:r>
      <w:r w:rsidR="002D32E7">
        <w:rPr>
          <w:shd w:val="clear" w:color="auto" w:fill="FFFFFF"/>
        </w:rPr>
        <w:t xml:space="preserve"> – </w:t>
      </w:r>
      <w:r w:rsidR="00A339A2">
        <w:rPr>
          <w:shd w:val="clear" w:color="auto" w:fill="FFFFFF"/>
        </w:rPr>
        <w:t>168 cm.</w:t>
      </w:r>
      <w:r w:rsidR="006348F2">
        <w:rPr>
          <w:shd w:val="clear" w:color="auto" w:fill="FFFFFF"/>
        </w:rPr>
        <w:t xml:space="preserve"> </w:t>
      </w:r>
      <w:r w:rsidR="006348F2">
        <w:rPr>
          <w:shd w:val="clear" w:color="auto" w:fill="FFFFFF"/>
        </w:rPr>
        <w:lastRenderedPageBreak/>
        <w:t>Šāda datu atšķirība pieteicējas auguma garumā nav izskaidrojama un ir uzskatām</w:t>
      </w:r>
      <w:r w:rsidR="00B21A0E">
        <w:rPr>
          <w:shd w:val="clear" w:color="auto" w:fill="FFFFFF"/>
        </w:rPr>
        <w:t>a</w:t>
      </w:r>
      <w:r w:rsidR="006348F2">
        <w:rPr>
          <w:shd w:val="clear" w:color="auto" w:fill="FFFFFF"/>
        </w:rPr>
        <w:t xml:space="preserve"> par vēl vienu apstākli, kas rada šaubas par pārsūdzētā sprieduma pamatotību.</w:t>
      </w:r>
    </w:p>
    <w:p w14:paraId="7F02E8B7" w14:textId="1BAE7A7E" w:rsidR="006348F2" w:rsidRDefault="00494422" w:rsidP="00644D21">
      <w:pPr>
        <w:keepNext/>
        <w:spacing w:line="276" w:lineRule="auto"/>
        <w:ind w:firstLine="720"/>
        <w:jc w:val="both"/>
        <w:rPr>
          <w:shd w:val="clear" w:color="auto" w:fill="FFFFFF"/>
        </w:rPr>
      </w:pPr>
      <w:r>
        <w:rPr>
          <w:shd w:val="clear" w:color="auto" w:fill="FFFFFF"/>
        </w:rPr>
        <w:t>Vērā ņemams</w:t>
      </w:r>
      <w:r w:rsidR="006348F2">
        <w:rPr>
          <w:shd w:val="clear" w:color="auto" w:fill="FFFFFF"/>
        </w:rPr>
        <w:t xml:space="preserve"> arī pieteicējas </w:t>
      </w:r>
      <w:r w:rsidR="006E3E83">
        <w:rPr>
          <w:shd w:val="clear" w:color="auto" w:fill="FFFFFF"/>
        </w:rPr>
        <w:t>kasācijas sūdzībā</w:t>
      </w:r>
      <w:r>
        <w:rPr>
          <w:shd w:val="clear" w:color="auto" w:fill="FFFFFF"/>
        </w:rPr>
        <w:t xml:space="preserve"> norādītais</w:t>
      </w:r>
      <w:r w:rsidR="006348F2">
        <w:rPr>
          <w:shd w:val="clear" w:color="auto" w:fill="FFFFFF"/>
        </w:rPr>
        <w:t>, ka pieteicēja</w:t>
      </w:r>
      <w:r w:rsidR="002D32E7">
        <w:rPr>
          <w:shd w:val="clear" w:color="auto" w:fill="FFFFFF"/>
        </w:rPr>
        <w:t>s rīcībā</w:t>
      </w:r>
      <w:r w:rsidR="006348F2">
        <w:rPr>
          <w:shd w:val="clear" w:color="auto" w:fill="FFFFFF"/>
        </w:rPr>
        <w:t xml:space="preserve"> esot </w:t>
      </w:r>
      <w:r w:rsidR="006E3E83">
        <w:rPr>
          <w:shd w:val="clear" w:color="auto" w:fill="FFFFFF"/>
        </w:rPr>
        <w:t xml:space="preserve">apliecināta kopija ar </w:t>
      </w:r>
      <w:r w:rsidR="006348F2">
        <w:rPr>
          <w:shd w:val="clear" w:color="auto" w:fill="FFFFFF"/>
        </w:rPr>
        <w:t>stacionārā pacienta medicīnisk</w:t>
      </w:r>
      <w:r w:rsidR="006E3E83">
        <w:rPr>
          <w:shd w:val="clear" w:color="auto" w:fill="FFFFFF"/>
        </w:rPr>
        <w:t xml:space="preserve">o karti, kurā ietverta informācija par pieteicējas ĶMI, kas </w:t>
      </w:r>
      <w:r w:rsidR="00827F0D">
        <w:rPr>
          <w:shd w:val="clear" w:color="auto" w:fill="FFFFFF"/>
        </w:rPr>
        <w:t>ne</w:t>
      </w:r>
      <w:r w:rsidR="006E3E83">
        <w:rPr>
          <w:shd w:val="clear" w:color="auto" w:fill="FFFFFF"/>
        </w:rPr>
        <w:t>pārsniedz 35 kg/m</w:t>
      </w:r>
      <w:r w:rsidR="006E3E83">
        <w:rPr>
          <w:shd w:val="clear" w:color="auto" w:fill="FFFFFF"/>
          <w:vertAlign w:val="superscript"/>
        </w:rPr>
        <w:t>2</w:t>
      </w:r>
      <w:r w:rsidR="006E3E83">
        <w:rPr>
          <w:shd w:val="clear" w:color="auto" w:fill="FFFFFF"/>
        </w:rPr>
        <w:t xml:space="preserve"> un pierāda, ka kuņģa samazināšanas operācija nebija pieļaujama un nepieciešama. </w:t>
      </w:r>
      <w:r w:rsidR="0069405D">
        <w:rPr>
          <w:shd w:val="clear" w:color="auto" w:fill="FFFFFF"/>
        </w:rPr>
        <w:t>P</w:t>
      </w:r>
      <w:r w:rsidR="006E3E83">
        <w:rPr>
          <w:shd w:val="clear" w:color="auto" w:fill="FFFFFF"/>
        </w:rPr>
        <w:t>ieteicēja norāda</w:t>
      </w:r>
      <w:r w:rsidR="0069405D">
        <w:rPr>
          <w:shd w:val="clear" w:color="auto" w:fill="FFFFFF"/>
        </w:rPr>
        <w:t xml:space="preserve">, ka minētais ĶMI noteikts, vadoties no </w:t>
      </w:r>
      <w:r w:rsidR="006E3E83">
        <w:rPr>
          <w:shd w:val="clear" w:color="auto" w:fill="FFFFFF"/>
        </w:rPr>
        <w:t>pieteicējas auguma 170 cm.</w:t>
      </w:r>
      <w:r w:rsidR="0069405D">
        <w:rPr>
          <w:shd w:val="clear" w:color="auto" w:fill="FFFFFF"/>
        </w:rPr>
        <w:t xml:space="preserve"> Šī informācija liecina ne tikai par ziņām, kas</w:t>
      </w:r>
      <w:r w:rsidR="006E0BEB">
        <w:rPr>
          <w:shd w:val="clear" w:color="auto" w:fill="FFFFFF"/>
        </w:rPr>
        <w:t>,</w:t>
      </w:r>
      <w:r w:rsidR="0069405D">
        <w:rPr>
          <w:shd w:val="clear" w:color="auto" w:fill="FFFFFF"/>
        </w:rPr>
        <w:t xml:space="preserve"> iespējams</w:t>
      </w:r>
      <w:r w:rsidR="006E0BEB">
        <w:rPr>
          <w:shd w:val="clear" w:color="auto" w:fill="FFFFFF"/>
        </w:rPr>
        <w:t>,</w:t>
      </w:r>
      <w:r w:rsidR="0069405D">
        <w:rPr>
          <w:shd w:val="clear" w:color="auto" w:fill="FFFFFF"/>
        </w:rPr>
        <w:t xml:space="preserve"> var ietekmēt lietas iznākumu, bet par vēl vienu auguma garuma mērījumu, kas atšķiras no datiem, kas ietverti lietā esošajos materiālos. Apgabaltiesai, izskatot lietu atkārtoti, šīs ziņas ir jāpārbauda, jāizvērtē un jānovērš </w:t>
      </w:r>
      <w:r w:rsidR="00827F0D">
        <w:rPr>
          <w:shd w:val="clear" w:color="auto" w:fill="FFFFFF"/>
        </w:rPr>
        <w:t>konstatētās pretrunas.</w:t>
      </w:r>
    </w:p>
    <w:p w14:paraId="35BF41DA" w14:textId="37533DEF" w:rsidR="0063369F" w:rsidRDefault="006604B3" w:rsidP="00644D21">
      <w:pPr>
        <w:keepNext/>
        <w:spacing w:line="276" w:lineRule="auto"/>
        <w:ind w:firstLine="720"/>
        <w:jc w:val="both"/>
        <w:rPr>
          <w:shd w:val="clear" w:color="auto" w:fill="FFFFFF"/>
        </w:rPr>
      </w:pPr>
      <w:r>
        <w:rPr>
          <w:shd w:val="clear" w:color="auto" w:fill="FFFFFF"/>
        </w:rPr>
        <w:t>Senāta ieskatā</w:t>
      </w:r>
      <w:r w:rsidR="002D32E7">
        <w:rPr>
          <w:shd w:val="clear" w:color="auto" w:fill="FFFFFF"/>
        </w:rPr>
        <w:t>,</w:t>
      </w:r>
      <w:r w:rsidR="00EF1D08">
        <w:rPr>
          <w:shd w:val="clear" w:color="auto" w:fill="FFFFFF"/>
        </w:rPr>
        <w:t xml:space="preserve"> </w:t>
      </w:r>
      <w:r w:rsidR="002D32E7">
        <w:rPr>
          <w:shd w:val="clear" w:color="auto" w:fill="FFFFFF"/>
        </w:rPr>
        <w:t xml:space="preserve">arī šie pretrunīgie </w:t>
      </w:r>
      <w:r>
        <w:rPr>
          <w:shd w:val="clear" w:color="auto" w:fill="FFFFFF"/>
        </w:rPr>
        <w:t>dat</w:t>
      </w:r>
      <w:r w:rsidR="002D32E7">
        <w:rPr>
          <w:shd w:val="clear" w:color="auto" w:fill="FFFFFF"/>
        </w:rPr>
        <w:t xml:space="preserve">i, kuri liek šaubīties par ekspertu un tiesas izdarīto secinājumu pareizību, jo īpaši uzrāda, </w:t>
      </w:r>
      <w:r>
        <w:rPr>
          <w:shd w:val="clear" w:color="auto" w:fill="FFFFFF"/>
        </w:rPr>
        <w:t>kādēļ būtiski</w:t>
      </w:r>
      <w:r w:rsidR="00EF1D08">
        <w:rPr>
          <w:shd w:val="clear" w:color="auto" w:fill="FFFFFF"/>
        </w:rPr>
        <w:t xml:space="preserve"> ir</w:t>
      </w:r>
      <w:r>
        <w:rPr>
          <w:shd w:val="clear" w:color="auto" w:fill="FFFFFF"/>
        </w:rPr>
        <w:t xml:space="preserve"> nodrošināt eksperta atzinuma pārbaudi tiesas sēdē</w:t>
      </w:r>
      <w:r w:rsidR="0092247E">
        <w:rPr>
          <w:shd w:val="clear" w:color="auto" w:fill="FFFFFF"/>
        </w:rPr>
        <w:t>. Uzklausot pieteicējas jautājumus un šaubas, apgabaltiesai būtu bijusi iespēja</w:t>
      </w:r>
      <w:r w:rsidR="00EF797B">
        <w:rPr>
          <w:shd w:val="clear" w:color="auto" w:fill="FFFFFF"/>
        </w:rPr>
        <w:t xml:space="preserve"> pienācīgi noskaidrot lietas faktiskos apstākļus</w:t>
      </w:r>
      <w:r w:rsidR="0092247E">
        <w:rPr>
          <w:shd w:val="clear" w:color="auto" w:fill="FFFFFF"/>
        </w:rPr>
        <w:t>.</w:t>
      </w:r>
    </w:p>
    <w:p w14:paraId="650790AF" w14:textId="2F452E7E" w:rsidR="0092247E" w:rsidRPr="006E3E83" w:rsidRDefault="0092247E" w:rsidP="00644D21">
      <w:pPr>
        <w:keepNext/>
        <w:spacing w:line="276" w:lineRule="auto"/>
        <w:ind w:firstLine="720"/>
        <w:jc w:val="both"/>
        <w:rPr>
          <w:shd w:val="clear" w:color="auto" w:fill="FFFFFF"/>
        </w:rPr>
      </w:pPr>
      <w:r>
        <w:rPr>
          <w:shd w:val="clear" w:color="auto" w:fill="FFFFFF"/>
        </w:rPr>
        <w:t>Apkopojot minēto, secināms, ka pārsūdzētais spriedums ir balstīts ĶMI mērījumā, par kura ticamību ir pamatotas šaubas. Apgabaltiesa</w:t>
      </w:r>
      <w:r w:rsidR="00EF797B">
        <w:rPr>
          <w:shd w:val="clear" w:color="auto" w:fill="FFFFFF"/>
        </w:rPr>
        <w:t>, pienācīgi nepārbaudot eksperta atzinumu,</w:t>
      </w:r>
      <w:r>
        <w:rPr>
          <w:shd w:val="clear" w:color="auto" w:fill="FFFFFF"/>
        </w:rPr>
        <w:t xml:space="preserve"> nav novērsusi </w:t>
      </w:r>
      <w:r w:rsidR="00EF1D08">
        <w:rPr>
          <w:shd w:val="clear" w:color="auto" w:fill="FFFFFF"/>
        </w:rPr>
        <w:t xml:space="preserve">šos trūkumus </w:t>
      </w:r>
      <w:r>
        <w:rPr>
          <w:shd w:val="clear" w:color="auto" w:fill="FFFFFF"/>
        </w:rPr>
        <w:t xml:space="preserve">un lietas materiālos konstatējamās datu nesakritības. Tas rada </w:t>
      </w:r>
      <w:r w:rsidR="002E3563">
        <w:rPr>
          <w:shd w:val="clear" w:color="auto" w:fill="FFFFFF"/>
        </w:rPr>
        <w:t>šaubas</w:t>
      </w:r>
      <w:r>
        <w:rPr>
          <w:shd w:val="clear" w:color="auto" w:fill="FFFFFF"/>
        </w:rPr>
        <w:t xml:space="preserve"> par spieduma tiesiskumu un ir pamats sprieduma atcelšanai.</w:t>
      </w:r>
    </w:p>
    <w:p w14:paraId="6A08664C" w14:textId="77777777" w:rsidR="00855491" w:rsidRDefault="00855491" w:rsidP="00644D21">
      <w:pPr>
        <w:spacing w:line="276" w:lineRule="auto"/>
        <w:jc w:val="both"/>
        <w:rPr>
          <w:rFonts w:asciiTheme="majorBidi" w:eastAsiaTheme="minorHAnsi" w:hAnsiTheme="majorBidi" w:cstheme="majorBidi"/>
          <w:lang w:eastAsia="en-US"/>
          <w14:ligatures w14:val="standardContextual"/>
        </w:rPr>
      </w:pPr>
    </w:p>
    <w:p w14:paraId="5712D7D8" w14:textId="6C45B62E" w:rsidR="002C08D6" w:rsidRDefault="00855491" w:rsidP="00644D2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w:t>
      </w:r>
      <w:r w:rsidR="00AC18CB">
        <w:rPr>
          <w:rFonts w:asciiTheme="majorBidi" w:eastAsiaTheme="minorHAnsi" w:hAnsiTheme="majorBidi" w:cstheme="majorBidi"/>
          <w:lang w:eastAsia="en-US"/>
          <w14:ligatures w14:val="standardContextual"/>
        </w:rPr>
        <w:t>8</w:t>
      </w:r>
      <w:r>
        <w:rPr>
          <w:rFonts w:asciiTheme="majorBidi" w:eastAsiaTheme="minorHAnsi" w:hAnsiTheme="majorBidi" w:cstheme="majorBidi"/>
          <w:lang w:eastAsia="en-US"/>
          <w14:ligatures w14:val="standardContextual"/>
        </w:rPr>
        <w:t>]</w:t>
      </w:r>
      <w:r w:rsidR="006F4CA6">
        <w:rPr>
          <w:rFonts w:asciiTheme="majorBidi" w:eastAsiaTheme="minorHAnsi" w:hAnsiTheme="majorBidi" w:cstheme="majorBidi"/>
          <w:lang w:eastAsia="en-US"/>
          <w14:ligatures w14:val="standardContextual"/>
        </w:rPr>
        <w:t xml:space="preserve"> Kasācijas sūdzībā argumentēts, ka apgabaltiesa </w:t>
      </w:r>
      <w:r w:rsidR="000657C9">
        <w:rPr>
          <w:rFonts w:asciiTheme="majorBidi" w:eastAsiaTheme="minorHAnsi" w:hAnsiTheme="majorBidi" w:cstheme="majorBidi"/>
          <w:lang w:eastAsia="en-US"/>
          <w14:ligatures w14:val="standardContextual"/>
        </w:rPr>
        <w:t>izdarījusi</w:t>
      </w:r>
      <w:r w:rsidR="006F4CA6">
        <w:rPr>
          <w:rFonts w:asciiTheme="majorBidi" w:eastAsiaTheme="minorHAnsi" w:hAnsiTheme="majorBidi" w:cstheme="majorBidi"/>
          <w:lang w:eastAsia="en-US"/>
          <w14:ligatures w14:val="standardContextual"/>
        </w:rPr>
        <w:t xml:space="preserve"> pretrunīgu secinājumu, norādot, ka ar vislielāko ticamību pieņemams, ka </w:t>
      </w:r>
      <w:r w:rsidR="00994E37">
        <w:rPr>
          <w:rFonts w:asciiTheme="majorBidi" w:eastAsiaTheme="minorHAnsi" w:hAnsiTheme="majorBidi" w:cstheme="majorBidi"/>
          <w:lang w:eastAsia="en-US"/>
          <w14:ligatures w14:val="standardContextual"/>
        </w:rPr>
        <w:t xml:space="preserve">arī pēc </w:t>
      </w:r>
      <w:r w:rsidR="00585930">
        <w:rPr>
          <w:rFonts w:asciiTheme="majorBidi" w:eastAsiaTheme="minorHAnsi" w:hAnsiTheme="majorBidi" w:cstheme="majorBidi"/>
          <w:lang w:eastAsia="en-US"/>
          <w14:ligatures w14:val="standardContextual"/>
        </w:rPr>
        <w:t>vispusīgas informācijas saņemšanas,</w:t>
      </w:r>
      <w:r w:rsidR="00994E37">
        <w:rPr>
          <w:rFonts w:asciiTheme="majorBidi" w:eastAsiaTheme="minorHAnsi" w:hAnsiTheme="majorBidi" w:cstheme="majorBidi"/>
          <w:lang w:eastAsia="en-US"/>
          <w14:ligatures w14:val="standardContextual"/>
        </w:rPr>
        <w:t xml:space="preserve"> pieteicēja izvēlētos veikt kuņģa samazināšanas operāciju.</w:t>
      </w:r>
      <w:r w:rsidR="004D4F37">
        <w:rPr>
          <w:rFonts w:asciiTheme="majorBidi" w:eastAsiaTheme="minorHAnsi" w:hAnsiTheme="majorBidi" w:cstheme="majorBidi"/>
          <w:lang w:eastAsia="en-US"/>
          <w14:ligatures w14:val="standardContextual"/>
        </w:rPr>
        <w:t xml:space="preserve"> Pieteicēja norāda, ka šāds secinājums ir pretrunā ar Senāta paustajām atziņām, </w:t>
      </w:r>
      <w:r w:rsidR="008B4D3F">
        <w:rPr>
          <w:rFonts w:asciiTheme="majorBidi" w:eastAsiaTheme="minorHAnsi" w:hAnsiTheme="majorBidi" w:cstheme="majorBidi"/>
          <w:lang w:eastAsia="en-US"/>
          <w14:ligatures w14:val="standardContextual"/>
        </w:rPr>
        <w:t xml:space="preserve">jau iepriekš </w:t>
      </w:r>
      <w:r w:rsidR="004D4F37">
        <w:rPr>
          <w:rFonts w:asciiTheme="majorBidi" w:eastAsiaTheme="minorHAnsi" w:hAnsiTheme="majorBidi" w:cstheme="majorBidi"/>
          <w:lang w:eastAsia="en-US"/>
          <w14:ligatures w14:val="standardContextual"/>
        </w:rPr>
        <w:t>izskatot lietu kasācijas kārtībā.</w:t>
      </w:r>
    </w:p>
    <w:p w14:paraId="74207043" w14:textId="0EC82904" w:rsidR="000B52D0" w:rsidRDefault="00585930" w:rsidP="00644D2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Senāts konstatē, ka a</w:t>
      </w:r>
      <w:r w:rsidR="008B4D3F">
        <w:rPr>
          <w:rFonts w:asciiTheme="majorBidi" w:eastAsiaTheme="minorHAnsi" w:hAnsiTheme="majorBidi" w:cstheme="majorBidi"/>
          <w:lang w:eastAsia="en-US"/>
          <w14:ligatures w14:val="standardContextual"/>
        </w:rPr>
        <w:t>pgabaltiesas secinājums nav balstīts pamatotā lietas apstākļu izvērtējumā. Apgabaltiesa</w:t>
      </w:r>
      <w:r>
        <w:rPr>
          <w:rFonts w:asciiTheme="majorBidi" w:eastAsiaTheme="minorHAnsi" w:hAnsiTheme="majorBidi" w:cstheme="majorBidi"/>
          <w:lang w:eastAsia="en-US"/>
          <w14:ligatures w14:val="standardContextual"/>
        </w:rPr>
        <w:t>s</w:t>
      </w:r>
      <w:r w:rsidR="008B4D3F">
        <w:rPr>
          <w:rFonts w:asciiTheme="majorBidi" w:eastAsiaTheme="minorHAnsi" w:hAnsiTheme="majorBidi" w:cstheme="majorBidi"/>
          <w:lang w:eastAsia="en-US"/>
          <w14:ligatures w14:val="standardContextual"/>
        </w:rPr>
        <w:t xml:space="preserve"> secinājumu nevar pamatot ar faktu, ka pieteicējai bija nepieciešams veikt arī operāciju saistībā ar žultsakmeņiem.</w:t>
      </w:r>
      <w:r w:rsidR="00212783">
        <w:rPr>
          <w:rFonts w:asciiTheme="majorBidi" w:eastAsiaTheme="minorHAnsi" w:hAnsiTheme="majorBidi" w:cstheme="majorBidi"/>
          <w:lang w:eastAsia="en-US"/>
          <w14:ligatures w14:val="standardContextual"/>
        </w:rPr>
        <w:t xml:space="preserve"> Pieteicēja pēc</w:t>
      </w:r>
      <w:r w:rsidR="00F45419">
        <w:rPr>
          <w:rFonts w:asciiTheme="majorBidi" w:eastAsiaTheme="minorHAnsi" w:hAnsiTheme="majorBidi" w:cstheme="majorBidi"/>
          <w:lang w:eastAsia="en-US"/>
          <w14:ligatures w14:val="standardContextual"/>
        </w:rPr>
        <w:t xml:space="preserve"> </w:t>
      </w:r>
      <w:r w:rsidR="00B23221">
        <w:rPr>
          <w:rFonts w:asciiTheme="majorBidi" w:eastAsiaTheme="minorHAnsi" w:hAnsiTheme="majorBidi" w:cstheme="majorBidi"/>
          <w:lang w:eastAsia="en-US"/>
          <w14:ligatures w14:val="standardContextual"/>
        </w:rPr>
        <w:t>vispusīgas</w:t>
      </w:r>
      <w:r w:rsidR="00212783">
        <w:rPr>
          <w:rFonts w:asciiTheme="majorBidi" w:eastAsiaTheme="minorHAnsi" w:hAnsiTheme="majorBidi" w:cstheme="majorBidi"/>
          <w:lang w:eastAsia="en-US"/>
          <w14:ligatures w14:val="standardContextual"/>
        </w:rPr>
        <w:t xml:space="preserve"> inform</w:t>
      </w:r>
      <w:r w:rsidR="00F45419">
        <w:rPr>
          <w:rFonts w:asciiTheme="majorBidi" w:eastAsiaTheme="minorHAnsi" w:hAnsiTheme="majorBidi" w:cstheme="majorBidi"/>
          <w:lang w:eastAsia="en-US"/>
          <w14:ligatures w14:val="standardContextual"/>
        </w:rPr>
        <w:t>ācijas saņemšanas</w:t>
      </w:r>
      <w:r w:rsidR="00212783">
        <w:rPr>
          <w:rFonts w:asciiTheme="majorBidi" w:eastAsiaTheme="minorHAnsi" w:hAnsiTheme="majorBidi" w:cstheme="majorBidi"/>
          <w:lang w:eastAsia="en-US"/>
          <w14:ligatures w14:val="standardContextual"/>
        </w:rPr>
        <w:t xml:space="preserve"> </w:t>
      </w:r>
      <w:r w:rsidR="00B23221">
        <w:rPr>
          <w:rFonts w:asciiTheme="majorBidi" w:eastAsiaTheme="minorHAnsi" w:hAnsiTheme="majorBidi" w:cstheme="majorBidi"/>
          <w:lang w:eastAsia="en-US"/>
          <w14:ligatures w14:val="standardContextual"/>
        </w:rPr>
        <w:t>būtu varējusi</w:t>
      </w:r>
      <w:r w:rsidR="00212783">
        <w:rPr>
          <w:rFonts w:asciiTheme="majorBidi" w:eastAsiaTheme="minorHAnsi" w:hAnsiTheme="majorBidi" w:cstheme="majorBidi"/>
          <w:lang w:eastAsia="en-US"/>
          <w14:ligatures w14:val="standardContextual"/>
        </w:rPr>
        <w:t xml:space="preserve"> </w:t>
      </w:r>
      <w:r w:rsidR="000657C9">
        <w:rPr>
          <w:rFonts w:asciiTheme="majorBidi" w:eastAsiaTheme="minorHAnsi" w:hAnsiTheme="majorBidi" w:cstheme="majorBidi"/>
          <w:lang w:eastAsia="en-US"/>
          <w14:ligatures w14:val="standardContextual"/>
        </w:rPr>
        <w:t>arī iz</w:t>
      </w:r>
      <w:r w:rsidR="00212783">
        <w:rPr>
          <w:rFonts w:asciiTheme="majorBidi" w:eastAsiaTheme="minorHAnsi" w:hAnsiTheme="majorBidi" w:cstheme="majorBidi"/>
          <w:lang w:eastAsia="en-US"/>
          <w14:ligatures w14:val="standardContextual"/>
        </w:rPr>
        <w:t xml:space="preserve">lemt veikt tikai </w:t>
      </w:r>
      <w:r w:rsidR="00A10F3C">
        <w:rPr>
          <w:rFonts w:asciiTheme="majorBidi" w:eastAsiaTheme="minorHAnsi" w:hAnsiTheme="majorBidi" w:cstheme="majorBidi"/>
          <w:lang w:eastAsia="en-US"/>
          <w14:ligatures w14:val="standardContextual"/>
        </w:rPr>
        <w:t xml:space="preserve">ar </w:t>
      </w:r>
      <w:r w:rsidR="00212783">
        <w:rPr>
          <w:rFonts w:asciiTheme="majorBidi" w:eastAsiaTheme="minorHAnsi" w:hAnsiTheme="majorBidi" w:cstheme="majorBidi"/>
          <w:lang w:eastAsia="en-US"/>
          <w14:ligatures w14:val="standardContextual"/>
        </w:rPr>
        <w:t>žultsakmeņ</w:t>
      </w:r>
      <w:r w:rsidR="00A10F3C">
        <w:rPr>
          <w:rFonts w:asciiTheme="majorBidi" w:eastAsiaTheme="minorHAnsi" w:hAnsiTheme="majorBidi" w:cstheme="majorBidi"/>
          <w:lang w:eastAsia="en-US"/>
          <w14:ligatures w14:val="standardContextual"/>
        </w:rPr>
        <w:t>iem saistīto</w:t>
      </w:r>
      <w:r w:rsidR="00212783">
        <w:rPr>
          <w:rFonts w:asciiTheme="majorBidi" w:eastAsiaTheme="minorHAnsi" w:hAnsiTheme="majorBidi" w:cstheme="majorBidi"/>
          <w:lang w:eastAsia="en-US"/>
          <w14:ligatures w14:val="standardContextual"/>
        </w:rPr>
        <w:t xml:space="preserve"> operāciju, nea</w:t>
      </w:r>
      <w:r w:rsidR="00C81177">
        <w:rPr>
          <w:rFonts w:asciiTheme="majorBidi" w:eastAsiaTheme="minorHAnsi" w:hAnsiTheme="majorBidi" w:cstheme="majorBidi"/>
          <w:lang w:eastAsia="en-US"/>
          <w14:ligatures w14:val="standardContextual"/>
        </w:rPr>
        <w:t>p</w:t>
      </w:r>
      <w:r w:rsidR="00212783">
        <w:rPr>
          <w:rFonts w:asciiTheme="majorBidi" w:eastAsiaTheme="minorHAnsi" w:hAnsiTheme="majorBidi" w:cstheme="majorBidi"/>
          <w:lang w:eastAsia="en-US"/>
          <w14:ligatures w14:val="standardContextual"/>
        </w:rPr>
        <w:t>vienojot to ar kuņģa samazināšan</w:t>
      </w:r>
      <w:r w:rsidR="00A10F3C">
        <w:rPr>
          <w:rFonts w:asciiTheme="majorBidi" w:eastAsiaTheme="minorHAnsi" w:hAnsiTheme="majorBidi" w:cstheme="majorBidi"/>
          <w:lang w:eastAsia="en-US"/>
          <w14:ligatures w14:val="standardContextual"/>
        </w:rPr>
        <w:t>u</w:t>
      </w:r>
      <w:r w:rsidR="00212783">
        <w:rPr>
          <w:rFonts w:asciiTheme="majorBidi" w:eastAsiaTheme="minorHAnsi" w:hAnsiTheme="majorBidi" w:cstheme="majorBidi"/>
          <w:lang w:eastAsia="en-US"/>
          <w14:ligatures w14:val="standardContextual"/>
        </w:rPr>
        <w:t xml:space="preserve">. </w:t>
      </w:r>
    </w:p>
    <w:p w14:paraId="058010FB" w14:textId="48AF9812" w:rsidR="002C08D6" w:rsidRDefault="00212783" w:rsidP="00644D2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Savukārt apgabaltiesas arguments par vislielāko ticamību pieteicējas izvēlei par labu kuņģa samazināšanas operācijai</w:t>
      </w:r>
      <w:r w:rsidR="000B52D0">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sakarā ar to, ka operācija bija pieļaujama un nepieciešama, jo pretējā gadījumā rastos būtiskas sekas veselībai sakarā ar aptaukošanos, ir nepārliecinošs</w:t>
      </w:r>
      <w:r w:rsidR="000B52D0">
        <w:rPr>
          <w:rFonts w:asciiTheme="majorBidi" w:eastAsiaTheme="minorHAnsi" w:hAnsiTheme="majorBidi" w:cstheme="majorBidi"/>
          <w:lang w:eastAsia="en-US"/>
          <w14:ligatures w14:val="standardContextual"/>
        </w:rPr>
        <w:t>.</w:t>
      </w:r>
      <w:r w:rsidR="006F70BC">
        <w:rPr>
          <w:rFonts w:asciiTheme="majorBidi" w:eastAsiaTheme="minorHAnsi" w:hAnsiTheme="majorBidi" w:cstheme="majorBidi"/>
          <w:lang w:eastAsia="en-US"/>
          <w14:ligatures w14:val="standardContextual"/>
        </w:rPr>
        <w:t xml:space="preserve"> K</w:t>
      </w:r>
      <w:r w:rsidR="00A10F3C">
        <w:rPr>
          <w:rFonts w:asciiTheme="majorBidi" w:eastAsiaTheme="minorHAnsi" w:hAnsiTheme="majorBidi" w:cstheme="majorBidi"/>
          <w:lang w:eastAsia="en-US"/>
          <w14:ligatures w14:val="standardContextual"/>
        </w:rPr>
        <w:t>ā jau</w:t>
      </w:r>
      <w:r w:rsidR="006F70BC">
        <w:rPr>
          <w:rFonts w:asciiTheme="majorBidi" w:eastAsiaTheme="minorHAnsi" w:hAnsiTheme="majorBidi" w:cstheme="majorBidi"/>
          <w:lang w:eastAsia="en-US"/>
          <w14:ligatures w14:val="standardContextual"/>
        </w:rPr>
        <w:t xml:space="preserve"> iepriekš Senāts atzina šajā spriedumā, pastāv pamatotas šaubas par piemērotā ĶMI mērījum</w:t>
      </w:r>
      <w:r w:rsidR="00A10F3C">
        <w:rPr>
          <w:rFonts w:asciiTheme="majorBidi" w:eastAsiaTheme="minorHAnsi" w:hAnsiTheme="majorBidi" w:cstheme="majorBidi"/>
          <w:lang w:eastAsia="en-US"/>
          <w14:ligatures w14:val="standardContextual"/>
        </w:rPr>
        <w:t>a ticamību</w:t>
      </w:r>
      <w:r w:rsidR="006F70BC">
        <w:rPr>
          <w:rFonts w:asciiTheme="majorBidi" w:eastAsiaTheme="minorHAnsi" w:hAnsiTheme="majorBidi" w:cstheme="majorBidi"/>
          <w:lang w:eastAsia="en-US"/>
          <w14:ligatures w14:val="standardContextual"/>
        </w:rPr>
        <w:t>, līdz ar to arī secinājumu par operācijas pieļaujamību un nepieciešamību. Turklāt p</w:t>
      </w:r>
      <w:r w:rsidR="000B52D0">
        <w:rPr>
          <w:rFonts w:asciiTheme="majorBidi" w:eastAsiaTheme="minorHAnsi" w:hAnsiTheme="majorBidi" w:cstheme="majorBidi"/>
          <w:lang w:eastAsia="en-US"/>
          <w14:ligatures w14:val="standardContextual"/>
        </w:rPr>
        <w:t>ārsūdzētajā spriedumā apgabaltiesa pati ir uzsvērusi, ka ārsts neizvērtēja alternatīvus ārstniecības veidus</w:t>
      </w:r>
      <w:r w:rsidR="00A10F3C">
        <w:rPr>
          <w:rFonts w:asciiTheme="majorBidi" w:eastAsiaTheme="minorHAnsi" w:hAnsiTheme="majorBidi" w:cstheme="majorBidi"/>
          <w:lang w:eastAsia="en-US"/>
          <w14:ligatures w14:val="standardContextual"/>
        </w:rPr>
        <w:t>.</w:t>
      </w:r>
      <w:r>
        <w:rPr>
          <w:rFonts w:asciiTheme="majorBidi" w:eastAsiaTheme="minorHAnsi" w:hAnsiTheme="majorBidi" w:cstheme="majorBidi"/>
          <w:lang w:eastAsia="en-US"/>
          <w14:ligatures w14:val="standardContextual"/>
        </w:rPr>
        <w:t xml:space="preserve"> </w:t>
      </w:r>
      <w:r w:rsidR="00A10F3C">
        <w:rPr>
          <w:rFonts w:asciiTheme="majorBidi" w:eastAsiaTheme="minorHAnsi" w:hAnsiTheme="majorBidi" w:cstheme="majorBidi"/>
          <w:lang w:eastAsia="en-US"/>
          <w14:ligatures w14:val="standardContextual"/>
        </w:rPr>
        <w:t>L</w:t>
      </w:r>
      <w:r w:rsidR="006F70BC">
        <w:rPr>
          <w:rFonts w:asciiTheme="majorBidi" w:eastAsiaTheme="minorHAnsi" w:hAnsiTheme="majorBidi" w:cstheme="majorBidi"/>
          <w:lang w:eastAsia="en-US"/>
          <w14:ligatures w14:val="standardContextual"/>
        </w:rPr>
        <w:t xml:space="preserve">īdz ar to </w:t>
      </w:r>
      <w:r w:rsidR="00A10F3C">
        <w:rPr>
          <w:rFonts w:asciiTheme="majorBidi" w:eastAsiaTheme="minorHAnsi" w:hAnsiTheme="majorBidi" w:cstheme="majorBidi"/>
          <w:lang w:eastAsia="en-US"/>
          <w14:ligatures w14:val="standardContextual"/>
        </w:rPr>
        <w:t>arī tad</w:t>
      </w:r>
      <w:r w:rsidR="006F70BC">
        <w:rPr>
          <w:rFonts w:asciiTheme="majorBidi" w:eastAsiaTheme="minorHAnsi" w:hAnsiTheme="majorBidi" w:cstheme="majorBidi"/>
          <w:lang w:eastAsia="en-US"/>
          <w14:ligatures w14:val="standardContextual"/>
        </w:rPr>
        <w:t>, ja operācija bija pieļaujama un nepieciešama, iespējams</w:t>
      </w:r>
      <w:r w:rsidR="003276A1">
        <w:rPr>
          <w:rFonts w:asciiTheme="majorBidi" w:eastAsiaTheme="minorHAnsi" w:hAnsiTheme="majorBidi" w:cstheme="majorBidi"/>
          <w:lang w:eastAsia="en-US"/>
          <w14:ligatures w14:val="standardContextual"/>
        </w:rPr>
        <w:t>,</w:t>
      </w:r>
      <w:r w:rsidR="006F70BC">
        <w:rPr>
          <w:rFonts w:asciiTheme="majorBidi" w:eastAsiaTheme="minorHAnsi" w:hAnsiTheme="majorBidi" w:cstheme="majorBidi"/>
          <w:lang w:eastAsia="en-US"/>
          <w14:ligatures w14:val="standardContextual"/>
        </w:rPr>
        <w:t xml:space="preserve"> pieteicēja, uzklausot alternatīvus ārstniecības veidus, būtu lēmusi atšķirīgi. </w:t>
      </w:r>
    </w:p>
    <w:p w14:paraId="77C22C48" w14:textId="704F5D96" w:rsidR="00F45419" w:rsidRPr="00A10F3C" w:rsidRDefault="00F45419" w:rsidP="00644D21">
      <w:pPr>
        <w:spacing w:line="276" w:lineRule="auto"/>
        <w:jc w:val="both"/>
        <w:rPr>
          <w:rFonts w:asciiTheme="majorBidi" w:hAnsiTheme="majorBidi" w:cstheme="majorBidi"/>
        </w:rPr>
      </w:pPr>
      <w:r>
        <w:rPr>
          <w:rFonts w:asciiTheme="majorBidi" w:hAnsiTheme="majorBidi" w:cstheme="majorBidi"/>
        </w:rPr>
        <w:tab/>
        <w:t xml:space="preserve">Ievērojot, ka apgabaltiesas </w:t>
      </w:r>
      <w:r w:rsidR="0065785C">
        <w:rPr>
          <w:rFonts w:asciiTheme="majorBidi" w:hAnsiTheme="majorBidi" w:cstheme="majorBidi"/>
        </w:rPr>
        <w:t>secinājums veikts bez pietiekama un loģiska pamatojuma, minētais ir pamats pārsūdzētā sprieduma atcelšanai.</w:t>
      </w:r>
    </w:p>
    <w:p w14:paraId="40A31B33" w14:textId="77777777" w:rsidR="00480072" w:rsidRDefault="00480072" w:rsidP="00644D21">
      <w:pPr>
        <w:spacing w:line="276" w:lineRule="auto"/>
        <w:ind w:firstLine="720"/>
        <w:jc w:val="both"/>
        <w:rPr>
          <w:rFonts w:asciiTheme="majorBidi" w:eastAsiaTheme="minorHAnsi" w:hAnsiTheme="majorBidi" w:cstheme="majorBidi"/>
          <w:lang w:eastAsia="en-US"/>
          <w14:ligatures w14:val="standardContextual"/>
        </w:rPr>
      </w:pPr>
    </w:p>
    <w:p w14:paraId="46D5868A" w14:textId="012D76C3" w:rsidR="00352B25" w:rsidRDefault="00480072" w:rsidP="00644D21">
      <w:pPr>
        <w:spacing w:line="276" w:lineRule="auto"/>
        <w:ind w:firstLine="720"/>
        <w:jc w:val="both"/>
        <w:rPr>
          <w:rFonts w:eastAsiaTheme="minorHAnsi"/>
        </w:rPr>
      </w:pPr>
      <w:r>
        <w:rPr>
          <w:rFonts w:asciiTheme="majorBidi" w:eastAsiaTheme="minorHAnsi" w:hAnsiTheme="majorBidi" w:cstheme="majorBidi"/>
          <w:lang w:eastAsia="en-US"/>
          <w14:ligatures w14:val="standardContextual"/>
        </w:rPr>
        <w:t>[</w:t>
      </w:r>
      <w:r w:rsidR="00AC18CB">
        <w:rPr>
          <w:rFonts w:asciiTheme="majorBidi" w:eastAsiaTheme="minorHAnsi" w:hAnsiTheme="majorBidi" w:cstheme="majorBidi"/>
          <w:lang w:eastAsia="en-US"/>
          <w14:ligatures w14:val="standardContextual"/>
        </w:rPr>
        <w:t>9</w:t>
      </w:r>
      <w:r>
        <w:rPr>
          <w:rFonts w:asciiTheme="majorBidi" w:eastAsiaTheme="minorHAnsi" w:hAnsiTheme="majorBidi" w:cstheme="majorBidi"/>
          <w:lang w:eastAsia="en-US"/>
          <w14:ligatures w14:val="standardContextual"/>
        </w:rPr>
        <w:t>]</w:t>
      </w:r>
      <w:r w:rsidR="00014E4D">
        <w:rPr>
          <w:rFonts w:eastAsiaTheme="minorHAnsi"/>
        </w:rPr>
        <w:t> </w:t>
      </w:r>
      <w:r w:rsidR="005C71CC">
        <w:rPr>
          <w:rFonts w:eastAsiaTheme="minorHAnsi"/>
        </w:rPr>
        <w:t>Apgabaltiesa spriedumā secinājusi,</w:t>
      </w:r>
      <w:r w:rsidR="004A0392">
        <w:rPr>
          <w:rFonts w:eastAsiaTheme="minorHAnsi"/>
        </w:rPr>
        <w:t xml:space="preserve"> ka tas vien, ka netika pārbaudīts, vai nepastāv kontrindikācijas kuņģa operācijai, vēl nenozīmē, ka kontrindikācijas bija</w:t>
      </w:r>
      <w:r w:rsidR="005C71CC">
        <w:rPr>
          <w:rFonts w:eastAsiaTheme="minorHAnsi"/>
        </w:rPr>
        <w:t>,</w:t>
      </w:r>
      <w:r w:rsidR="004A0392">
        <w:rPr>
          <w:rFonts w:eastAsiaTheme="minorHAnsi"/>
        </w:rPr>
        <w:t xml:space="preserve"> vai </w:t>
      </w:r>
      <w:r w:rsidR="005C71CC">
        <w:rPr>
          <w:rFonts w:eastAsiaTheme="minorHAnsi"/>
        </w:rPr>
        <w:t xml:space="preserve">ja </w:t>
      </w:r>
      <w:r w:rsidR="004A0392">
        <w:rPr>
          <w:rFonts w:eastAsiaTheme="minorHAnsi"/>
        </w:rPr>
        <w:t xml:space="preserve">arī tās bija, </w:t>
      </w:r>
      <w:r w:rsidR="005C71CC">
        <w:rPr>
          <w:rFonts w:eastAsiaTheme="minorHAnsi"/>
        </w:rPr>
        <w:t>tad</w:t>
      </w:r>
      <w:r w:rsidR="004A0392">
        <w:rPr>
          <w:rFonts w:eastAsiaTheme="minorHAnsi"/>
        </w:rPr>
        <w:t xml:space="preserve"> ar vislielāko iespējamību netik</w:t>
      </w:r>
      <w:r w:rsidR="005C71CC">
        <w:rPr>
          <w:rFonts w:eastAsiaTheme="minorHAnsi"/>
        </w:rPr>
        <w:t>t</w:t>
      </w:r>
      <w:r w:rsidR="004A0392">
        <w:rPr>
          <w:rFonts w:eastAsiaTheme="minorHAnsi"/>
        </w:rPr>
        <w:t xml:space="preserve">u konstatētas arī speciālistu konsultācijās. Pieteicēja </w:t>
      </w:r>
      <w:r w:rsidR="005C71CC">
        <w:rPr>
          <w:rFonts w:eastAsiaTheme="minorHAnsi"/>
        </w:rPr>
        <w:t xml:space="preserve">uzskata, ka šis secinājums ir pretrunīgs, kā arī </w:t>
      </w:r>
      <w:r w:rsidR="004A0392">
        <w:rPr>
          <w:rFonts w:eastAsiaTheme="minorHAnsi"/>
        </w:rPr>
        <w:t>norāda u</w:t>
      </w:r>
      <w:r w:rsidR="00DF45AA">
        <w:rPr>
          <w:rFonts w:eastAsiaTheme="minorHAnsi"/>
        </w:rPr>
        <w:t xml:space="preserve">z inspekcijas atzinumu, kurā pretēji </w:t>
      </w:r>
      <w:r w:rsidR="00707C04">
        <w:rPr>
          <w:rFonts w:eastAsiaTheme="minorHAnsi"/>
        </w:rPr>
        <w:t>apgabal</w:t>
      </w:r>
      <w:r w:rsidR="00DF45AA">
        <w:rPr>
          <w:rFonts w:eastAsiaTheme="minorHAnsi"/>
        </w:rPr>
        <w:t>tiesas secinātajam ginekoloģisk</w:t>
      </w:r>
      <w:r w:rsidR="00EF03D6">
        <w:rPr>
          <w:rFonts w:eastAsiaTheme="minorHAnsi"/>
        </w:rPr>
        <w:t xml:space="preserve">ā </w:t>
      </w:r>
      <w:r w:rsidR="00DF45AA">
        <w:rPr>
          <w:rFonts w:eastAsiaTheme="minorHAnsi"/>
        </w:rPr>
        <w:t xml:space="preserve">anamnēze kā kontrindikācija minēta </w:t>
      </w:r>
      <w:r w:rsidR="00DF45AA">
        <w:rPr>
          <w:rFonts w:eastAsiaTheme="minorHAnsi"/>
        </w:rPr>
        <w:lastRenderedPageBreak/>
        <w:t>apgalvojuma formā.</w:t>
      </w:r>
      <w:r w:rsidR="00780659">
        <w:rPr>
          <w:rFonts w:eastAsiaTheme="minorHAnsi"/>
        </w:rPr>
        <w:t xml:space="preserve"> </w:t>
      </w:r>
      <w:r w:rsidR="005A1330">
        <w:rPr>
          <w:rFonts w:eastAsiaTheme="minorHAnsi"/>
        </w:rPr>
        <w:t>Pieteicēja šajā aspektā norāda arī uz pirms operācijas nekonstatēto ārpusdzemdes grūtniecību.</w:t>
      </w:r>
    </w:p>
    <w:p w14:paraId="0804ABA9" w14:textId="65A63A56" w:rsidR="00EF03D6" w:rsidRDefault="00D4747D" w:rsidP="00644D21">
      <w:pPr>
        <w:spacing w:line="276" w:lineRule="auto"/>
        <w:ind w:firstLine="720"/>
        <w:jc w:val="both"/>
        <w:rPr>
          <w:rFonts w:eastAsiaTheme="minorHAnsi"/>
        </w:rPr>
      </w:pPr>
      <w:r>
        <w:rPr>
          <w:rFonts w:eastAsiaTheme="minorHAnsi"/>
        </w:rPr>
        <w:t xml:space="preserve">Senāts pieteicējas </w:t>
      </w:r>
      <w:r w:rsidR="005C71CC">
        <w:rPr>
          <w:rFonts w:eastAsiaTheme="minorHAnsi"/>
        </w:rPr>
        <w:t>iebildumu</w:t>
      </w:r>
      <w:r>
        <w:rPr>
          <w:rFonts w:eastAsiaTheme="minorHAnsi"/>
        </w:rPr>
        <w:t xml:space="preserve"> atzīst par nepamatotu.</w:t>
      </w:r>
      <w:r w:rsidR="00780659">
        <w:rPr>
          <w:rFonts w:eastAsiaTheme="minorHAnsi"/>
        </w:rPr>
        <w:t xml:space="preserve"> No tā, ka ārsts nepārbaudīja kontrindikāciju pastāvēšanu, neizriet likumsakarīgs secinājums, ka šādas kontrindikācijas ir bijušas. Apgabaltiesa, pārbaudot lietas materiālus</w:t>
      </w:r>
      <w:r w:rsidR="00EF03D6">
        <w:rPr>
          <w:rFonts w:eastAsiaTheme="minorHAnsi"/>
        </w:rPr>
        <w:t>,</w:t>
      </w:r>
      <w:r w:rsidR="00780659">
        <w:rPr>
          <w:rFonts w:eastAsiaTheme="minorHAnsi"/>
        </w:rPr>
        <w:t xml:space="preserve"> nav konstatējusi, ka no tiem būtu secināma kontrindikāciju pastāvēšana vai ka par kontrindikāciju pastāvēšanu pirms operācijas liecinātu pēcoperācijas periods.</w:t>
      </w:r>
    </w:p>
    <w:p w14:paraId="52612267" w14:textId="13B0E67A" w:rsidR="00780659" w:rsidRPr="00014E4D" w:rsidRDefault="00780659" w:rsidP="00644D21">
      <w:pPr>
        <w:spacing w:line="276" w:lineRule="auto"/>
        <w:ind w:firstLine="720"/>
        <w:jc w:val="both"/>
        <w:rPr>
          <w:rFonts w:eastAsiaTheme="minorHAnsi"/>
        </w:rPr>
      </w:pPr>
      <w:r>
        <w:rPr>
          <w:rFonts w:eastAsiaTheme="minorHAnsi"/>
        </w:rPr>
        <w:t>Pārbaudot inspekcijas atzinumu, nea</w:t>
      </w:r>
      <w:r w:rsidR="000657C9">
        <w:rPr>
          <w:rFonts w:eastAsiaTheme="minorHAnsi"/>
        </w:rPr>
        <w:t>p</w:t>
      </w:r>
      <w:r>
        <w:rPr>
          <w:rFonts w:eastAsiaTheme="minorHAnsi"/>
        </w:rPr>
        <w:t xml:space="preserve">stiprinās pieteicējas apgalvojums par ginekoloģisko anamnēzi kā kontrindikāciju apgalvojuma formā. </w:t>
      </w:r>
      <w:r w:rsidR="00EF03D6">
        <w:rPr>
          <w:rFonts w:eastAsiaTheme="minorHAnsi"/>
        </w:rPr>
        <w:t>A</w:t>
      </w:r>
      <w:r>
        <w:rPr>
          <w:rFonts w:eastAsiaTheme="minorHAnsi"/>
        </w:rPr>
        <w:t xml:space="preserve">ttiecībā </w:t>
      </w:r>
      <w:r w:rsidR="00607B13">
        <w:rPr>
          <w:rFonts w:eastAsiaTheme="minorHAnsi"/>
        </w:rPr>
        <w:t>uz</w:t>
      </w:r>
      <w:r>
        <w:rPr>
          <w:rFonts w:eastAsiaTheme="minorHAnsi"/>
        </w:rPr>
        <w:t xml:space="preserve"> ārpusdzemdes grūtniecības nekonstatēšanu apgabaltiesa</w:t>
      </w:r>
      <w:r w:rsidR="005A1330">
        <w:rPr>
          <w:rFonts w:eastAsiaTheme="minorHAnsi"/>
        </w:rPr>
        <w:t xml:space="preserve"> sniegusi lietas apstākļu izvērtējumam atbilstošu secinājumu, ka ārpusdzemdes grūtniecības nekonstatēšana pirms operācijas </w:t>
      </w:r>
      <w:r w:rsidR="00EF03D6">
        <w:rPr>
          <w:rFonts w:eastAsiaTheme="minorHAnsi"/>
        </w:rPr>
        <w:t>nav</w:t>
      </w:r>
      <w:r w:rsidR="005A1330">
        <w:rPr>
          <w:rFonts w:eastAsiaTheme="minorHAnsi"/>
        </w:rPr>
        <w:t xml:space="preserve"> radījusi sekas, kas būtu pierēķināmas vai kas būtu cēloņsakarībā ar kuņģa samazināšanas operācijas sekām. </w:t>
      </w:r>
      <w:r>
        <w:rPr>
          <w:rFonts w:eastAsiaTheme="minorHAnsi"/>
        </w:rPr>
        <w:t>Senāts nesaskata argumentus, kas radītu šaubas par minēto apgabaltiesas secinājumu pamatotību.</w:t>
      </w:r>
    </w:p>
    <w:p w14:paraId="18DA2978" w14:textId="77777777" w:rsidR="00522062" w:rsidRPr="00903935" w:rsidRDefault="00522062" w:rsidP="00644D21">
      <w:pPr>
        <w:spacing w:line="276" w:lineRule="auto"/>
        <w:jc w:val="both"/>
        <w:rPr>
          <w:b/>
        </w:rPr>
      </w:pPr>
    </w:p>
    <w:p w14:paraId="04759AF8" w14:textId="77777777" w:rsidR="00522062" w:rsidRPr="00095955" w:rsidRDefault="00522062" w:rsidP="00644D21">
      <w:pPr>
        <w:keepNext/>
        <w:spacing w:line="276" w:lineRule="auto"/>
        <w:jc w:val="center"/>
        <w:rPr>
          <w:b/>
        </w:rPr>
      </w:pPr>
      <w:r w:rsidRPr="00095955">
        <w:rPr>
          <w:b/>
        </w:rPr>
        <w:t>Rezolutīvā daļa</w:t>
      </w:r>
    </w:p>
    <w:p w14:paraId="2EC6BC50" w14:textId="77777777" w:rsidR="00522062" w:rsidRPr="00903935" w:rsidRDefault="00522062" w:rsidP="00644D21">
      <w:pPr>
        <w:keepNext/>
        <w:spacing w:line="276" w:lineRule="auto"/>
        <w:ind w:firstLine="720"/>
        <w:jc w:val="both"/>
        <w:rPr>
          <w:highlight w:val="yellow"/>
        </w:rPr>
      </w:pPr>
    </w:p>
    <w:p w14:paraId="5A6A029B" w14:textId="2621BA03" w:rsidR="00522062" w:rsidRDefault="0080346F" w:rsidP="00644D21">
      <w:pPr>
        <w:keepNext/>
        <w:spacing w:line="276" w:lineRule="auto"/>
        <w:ind w:firstLine="720"/>
        <w:jc w:val="both"/>
      </w:pPr>
      <w:r w:rsidRPr="00F57F7A">
        <w:t>Pamatojoties uz Administratīvā procesa likuma 129.</w:t>
      </w:r>
      <w:r w:rsidRPr="00F57F7A">
        <w:rPr>
          <w:vertAlign w:val="superscript"/>
        </w:rPr>
        <w:t>1</w:t>
      </w:r>
      <w:r w:rsidRPr="00F57F7A">
        <w:t xml:space="preserve"> panta pirmās daļas 1.punktu, 348.panta pirmās daļas 2.punktu un 351.pantu, Senāts</w:t>
      </w:r>
    </w:p>
    <w:p w14:paraId="03B2D24D" w14:textId="77777777" w:rsidR="0080346F" w:rsidRPr="0080346F" w:rsidRDefault="0080346F" w:rsidP="00644D21">
      <w:pPr>
        <w:spacing w:line="276" w:lineRule="auto"/>
        <w:ind w:firstLine="720"/>
        <w:jc w:val="both"/>
      </w:pPr>
    </w:p>
    <w:p w14:paraId="2FF2D558" w14:textId="77777777" w:rsidR="00522062" w:rsidRPr="00786697" w:rsidRDefault="00522062" w:rsidP="00644D21">
      <w:pPr>
        <w:spacing w:line="276" w:lineRule="auto"/>
        <w:jc w:val="center"/>
        <w:rPr>
          <w:b/>
        </w:rPr>
      </w:pPr>
      <w:r w:rsidRPr="00786697">
        <w:rPr>
          <w:b/>
        </w:rPr>
        <w:t>nosprieda</w:t>
      </w:r>
    </w:p>
    <w:p w14:paraId="11EF4D10" w14:textId="77777777" w:rsidR="00522062" w:rsidRPr="006F3C73" w:rsidRDefault="00522062" w:rsidP="00644D21">
      <w:pPr>
        <w:spacing w:line="276" w:lineRule="auto"/>
        <w:ind w:firstLine="720"/>
        <w:jc w:val="center"/>
        <w:rPr>
          <w:bCs/>
          <w:highlight w:val="yellow"/>
        </w:rPr>
      </w:pPr>
    </w:p>
    <w:p w14:paraId="50B7C43D" w14:textId="748F8A27" w:rsidR="0080346F" w:rsidRPr="00EF216C" w:rsidRDefault="0080346F" w:rsidP="00644D21">
      <w:pPr>
        <w:spacing w:line="276" w:lineRule="auto"/>
        <w:ind w:firstLine="720"/>
        <w:jc w:val="both"/>
      </w:pPr>
      <w:r w:rsidRPr="00EF216C">
        <w:t xml:space="preserve">atcelt Administratīvās apgabaltiesas </w:t>
      </w:r>
      <w:r w:rsidR="006F3C73" w:rsidRPr="00107D6D">
        <w:t>2025.gada 13.jūnij</w:t>
      </w:r>
      <w:r w:rsidR="006F3C73">
        <w:t>a</w:t>
      </w:r>
      <w:r w:rsidR="006F3C73" w:rsidRPr="00107D6D">
        <w:t xml:space="preserve"> </w:t>
      </w:r>
      <w:r w:rsidRPr="00EF216C">
        <w:t xml:space="preserve">spriedumu un nosūtīt lietu jaunai izskatīšanai Administratīvajai apgabaltiesai; </w:t>
      </w:r>
    </w:p>
    <w:p w14:paraId="52CCB04C" w14:textId="639B4BEE" w:rsidR="00671DCF" w:rsidRPr="005B274D" w:rsidRDefault="00671DCF" w:rsidP="00644D21">
      <w:pPr>
        <w:spacing w:line="276" w:lineRule="auto"/>
        <w:ind w:firstLine="720"/>
        <w:jc w:val="both"/>
      </w:pPr>
      <w:r w:rsidRPr="005B274D">
        <w:t xml:space="preserve">atmaksāt </w:t>
      </w:r>
      <w:r>
        <w:t>s</w:t>
      </w:r>
      <w:r w:rsidRPr="00671DCF">
        <w:t>abiedrība</w:t>
      </w:r>
      <w:r>
        <w:t>i</w:t>
      </w:r>
      <w:r w:rsidRPr="00671DCF">
        <w:t xml:space="preserve"> ar ierobežotu atbildību </w:t>
      </w:r>
      <w:r>
        <w:t>„</w:t>
      </w:r>
      <w:r w:rsidRPr="00671DCF">
        <w:t>ZAB Medicīnas tiesību birojs</w:t>
      </w:r>
      <w:r>
        <w:t>”</w:t>
      </w:r>
      <w:r w:rsidRPr="005B274D">
        <w:t xml:space="preserve"> par </w:t>
      </w:r>
      <w:r w:rsidR="00CF16D0">
        <w:t xml:space="preserve">[pers. A] </w:t>
      </w:r>
      <w:r w:rsidRPr="005B274D">
        <w:t xml:space="preserve">kasācijas sūdzību samaksāto drošības naudu 70 </w:t>
      </w:r>
      <w:r w:rsidRPr="005B274D">
        <w:rPr>
          <w:i/>
          <w:iCs/>
        </w:rPr>
        <w:t>euro.</w:t>
      </w:r>
    </w:p>
    <w:p w14:paraId="546A7B5E" w14:textId="41B3E5D7" w:rsidR="00DE289C" w:rsidRDefault="00DE289C" w:rsidP="00644D21">
      <w:pPr>
        <w:spacing w:line="276" w:lineRule="auto"/>
        <w:ind w:firstLine="720"/>
        <w:jc w:val="both"/>
        <w:rPr>
          <w:sz w:val="14"/>
          <w:szCs w:val="14"/>
          <w:highlight w:val="yellow"/>
        </w:rPr>
      </w:pPr>
    </w:p>
    <w:p w14:paraId="3B26991D" w14:textId="77777777" w:rsidR="00671DCF" w:rsidRPr="007D38DF" w:rsidRDefault="00671DCF" w:rsidP="00644D21">
      <w:pPr>
        <w:spacing w:line="276" w:lineRule="auto"/>
        <w:ind w:firstLine="720"/>
        <w:jc w:val="both"/>
        <w:rPr>
          <w:sz w:val="14"/>
          <w:szCs w:val="14"/>
          <w:highlight w:val="yellow"/>
        </w:rPr>
      </w:pPr>
    </w:p>
    <w:p w14:paraId="5A90A925" w14:textId="77777777" w:rsidR="00522062" w:rsidRPr="00786697" w:rsidRDefault="00522062" w:rsidP="00644D21">
      <w:pPr>
        <w:spacing w:line="276" w:lineRule="auto"/>
        <w:ind w:firstLine="720"/>
        <w:jc w:val="both"/>
      </w:pPr>
      <w:r w:rsidRPr="00786697">
        <w:t>Spriedums nav pārsūdzams.</w:t>
      </w:r>
    </w:p>
    <w:p w14:paraId="2B8E18C9" w14:textId="77777777" w:rsidR="00522062" w:rsidRPr="007D38DF" w:rsidRDefault="00522062" w:rsidP="00644D21">
      <w:pPr>
        <w:spacing w:line="276" w:lineRule="auto"/>
        <w:jc w:val="both"/>
        <w:rPr>
          <w:bCs/>
          <w:color w:val="FFFFFF"/>
          <w:highlight w:val="yellow"/>
        </w:rPr>
      </w:pPr>
    </w:p>
    <w:p w14:paraId="62BDBAA4" w14:textId="77777777" w:rsidR="00756E34" w:rsidRDefault="00756E34" w:rsidP="00756E34">
      <w:pPr>
        <w:spacing w:line="276" w:lineRule="auto"/>
        <w:jc w:val="both"/>
        <w:rPr>
          <w:bCs/>
          <w:color w:val="FFFFFF"/>
          <w:highlight w:val="yellow"/>
        </w:rPr>
      </w:pPr>
    </w:p>
    <w:p w14:paraId="755668F0" w14:textId="77777777" w:rsidR="00AB0C3A" w:rsidRDefault="00AB0C3A" w:rsidP="00756E34">
      <w:pPr>
        <w:spacing w:line="276" w:lineRule="auto"/>
        <w:jc w:val="both"/>
        <w:rPr>
          <w:bCs/>
          <w:color w:val="FFFFFF"/>
          <w:highlight w:val="yellow"/>
        </w:rPr>
      </w:pPr>
    </w:p>
    <w:p w14:paraId="402CFF52" w14:textId="77777777" w:rsidR="00AB0C3A" w:rsidRPr="007D38DF" w:rsidRDefault="00AB0C3A" w:rsidP="00756E34">
      <w:pPr>
        <w:spacing w:line="276" w:lineRule="auto"/>
        <w:jc w:val="both"/>
        <w:rPr>
          <w:bCs/>
          <w:color w:val="FFFFFF"/>
          <w:highlight w:val="yellow"/>
        </w:rPr>
      </w:pPr>
    </w:p>
    <w:p w14:paraId="4F07CE33" w14:textId="77777777" w:rsidR="002718AC" w:rsidRPr="00AB0C3A" w:rsidRDefault="002718AC" w:rsidP="007445DA">
      <w:pPr>
        <w:spacing w:line="276" w:lineRule="auto"/>
        <w:rPr>
          <w:szCs w:val="144"/>
        </w:rPr>
      </w:pPr>
    </w:p>
    <w:sectPr w:rsidR="002718AC" w:rsidRPr="00AB0C3A" w:rsidSect="00145DD7">
      <w:footerReference w:type="even" r:id="rId11"/>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07F5" w14:textId="77777777" w:rsidR="007C7E56" w:rsidRDefault="007C7E56">
      <w:r>
        <w:separator/>
      </w:r>
    </w:p>
  </w:endnote>
  <w:endnote w:type="continuationSeparator" w:id="0">
    <w:p w14:paraId="7B3BE00B" w14:textId="77777777" w:rsidR="007C7E56" w:rsidRDefault="007C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ED08" w14:textId="77777777" w:rsidR="003F47F3" w:rsidRDefault="006068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22D2A" w14:textId="77777777" w:rsidR="003F47F3" w:rsidRDefault="003F4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2604" w14:textId="77777777" w:rsidR="003F47F3" w:rsidRDefault="0060683E">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F333" w14:textId="77777777" w:rsidR="007C7E56" w:rsidRDefault="007C7E56">
      <w:r>
        <w:separator/>
      </w:r>
    </w:p>
  </w:footnote>
  <w:footnote w:type="continuationSeparator" w:id="0">
    <w:p w14:paraId="42755148" w14:textId="77777777" w:rsidR="007C7E56" w:rsidRDefault="007C7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F3C"/>
    <w:multiLevelType w:val="hybridMultilevel"/>
    <w:tmpl w:val="FC0043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ED29D5"/>
    <w:multiLevelType w:val="hybridMultilevel"/>
    <w:tmpl w:val="947CE4E0"/>
    <w:lvl w:ilvl="0" w:tplc="AD288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D8759B"/>
    <w:multiLevelType w:val="hybridMultilevel"/>
    <w:tmpl w:val="93522986"/>
    <w:lvl w:ilvl="0" w:tplc="7C5C3E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6486044"/>
    <w:multiLevelType w:val="hybridMultilevel"/>
    <w:tmpl w:val="06983960"/>
    <w:lvl w:ilvl="0" w:tplc="7B1EB3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01009F0"/>
    <w:multiLevelType w:val="hybridMultilevel"/>
    <w:tmpl w:val="0EF092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24669331">
    <w:abstractNumId w:val="1"/>
  </w:num>
  <w:num w:numId="2" w16cid:durableId="1270622845">
    <w:abstractNumId w:val="3"/>
  </w:num>
  <w:num w:numId="3" w16cid:durableId="1539705273">
    <w:abstractNumId w:val="2"/>
  </w:num>
  <w:num w:numId="4" w16cid:durableId="534386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4835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2"/>
    <w:rsid w:val="0000396F"/>
    <w:rsid w:val="00003983"/>
    <w:rsid w:val="00004247"/>
    <w:rsid w:val="00004990"/>
    <w:rsid w:val="00013564"/>
    <w:rsid w:val="0001449E"/>
    <w:rsid w:val="00014E4D"/>
    <w:rsid w:val="000215E1"/>
    <w:rsid w:val="000256AB"/>
    <w:rsid w:val="00026D45"/>
    <w:rsid w:val="00032C84"/>
    <w:rsid w:val="0004136B"/>
    <w:rsid w:val="000416D0"/>
    <w:rsid w:val="00041967"/>
    <w:rsid w:val="000440DC"/>
    <w:rsid w:val="00044CE0"/>
    <w:rsid w:val="00045CD5"/>
    <w:rsid w:val="0004616F"/>
    <w:rsid w:val="00047A7A"/>
    <w:rsid w:val="00056E10"/>
    <w:rsid w:val="00061E66"/>
    <w:rsid w:val="0006322B"/>
    <w:rsid w:val="000641F1"/>
    <w:rsid w:val="000657C9"/>
    <w:rsid w:val="000664EE"/>
    <w:rsid w:val="00066A0D"/>
    <w:rsid w:val="000720A0"/>
    <w:rsid w:val="00073744"/>
    <w:rsid w:val="00073EF2"/>
    <w:rsid w:val="00075D60"/>
    <w:rsid w:val="00077651"/>
    <w:rsid w:val="00077776"/>
    <w:rsid w:val="000777DE"/>
    <w:rsid w:val="00080A16"/>
    <w:rsid w:val="00084383"/>
    <w:rsid w:val="00094542"/>
    <w:rsid w:val="00095955"/>
    <w:rsid w:val="00096D4D"/>
    <w:rsid w:val="00097E38"/>
    <w:rsid w:val="000A217D"/>
    <w:rsid w:val="000A46B3"/>
    <w:rsid w:val="000A4BDE"/>
    <w:rsid w:val="000A6765"/>
    <w:rsid w:val="000B076D"/>
    <w:rsid w:val="000B0978"/>
    <w:rsid w:val="000B3230"/>
    <w:rsid w:val="000B4407"/>
    <w:rsid w:val="000B52D0"/>
    <w:rsid w:val="000B6174"/>
    <w:rsid w:val="000B6552"/>
    <w:rsid w:val="000C1D1A"/>
    <w:rsid w:val="000C56C1"/>
    <w:rsid w:val="000C7684"/>
    <w:rsid w:val="000D7177"/>
    <w:rsid w:val="000F5CEC"/>
    <w:rsid w:val="000F62F6"/>
    <w:rsid w:val="00105CFA"/>
    <w:rsid w:val="00107D6D"/>
    <w:rsid w:val="00110FC9"/>
    <w:rsid w:val="0011152C"/>
    <w:rsid w:val="00112A9A"/>
    <w:rsid w:val="0011542F"/>
    <w:rsid w:val="00115DFD"/>
    <w:rsid w:val="00122CB2"/>
    <w:rsid w:val="001300C5"/>
    <w:rsid w:val="00132B6B"/>
    <w:rsid w:val="0013713F"/>
    <w:rsid w:val="00140CDA"/>
    <w:rsid w:val="00141F7C"/>
    <w:rsid w:val="00145DD7"/>
    <w:rsid w:val="001507BD"/>
    <w:rsid w:val="0015249F"/>
    <w:rsid w:val="00152E1C"/>
    <w:rsid w:val="00160042"/>
    <w:rsid w:val="00160784"/>
    <w:rsid w:val="00161A42"/>
    <w:rsid w:val="001776A8"/>
    <w:rsid w:val="001815D6"/>
    <w:rsid w:val="0018268D"/>
    <w:rsid w:val="00187042"/>
    <w:rsid w:val="00193F27"/>
    <w:rsid w:val="00196013"/>
    <w:rsid w:val="001A20F1"/>
    <w:rsid w:val="001A3C2A"/>
    <w:rsid w:val="001A60AB"/>
    <w:rsid w:val="001A6650"/>
    <w:rsid w:val="001B1153"/>
    <w:rsid w:val="001B598C"/>
    <w:rsid w:val="001B7865"/>
    <w:rsid w:val="001D10B3"/>
    <w:rsid w:val="001E6ECD"/>
    <w:rsid w:val="001E7970"/>
    <w:rsid w:val="001F62DA"/>
    <w:rsid w:val="002002AE"/>
    <w:rsid w:val="00202E24"/>
    <w:rsid w:val="00210EA5"/>
    <w:rsid w:val="0021106D"/>
    <w:rsid w:val="00212032"/>
    <w:rsid w:val="00212783"/>
    <w:rsid w:val="0022279B"/>
    <w:rsid w:val="00224707"/>
    <w:rsid w:val="00224714"/>
    <w:rsid w:val="00230C02"/>
    <w:rsid w:val="0023136D"/>
    <w:rsid w:val="00231F59"/>
    <w:rsid w:val="0023250C"/>
    <w:rsid w:val="002402B6"/>
    <w:rsid w:val="002411A9"/>
    <w:rsid w:val="002416AC"/>
    <w:rsid w:val="00250C26"/>
    <w:rsid w:val="00253562"/>
    <w:rsid w:val="0025364C"/>
    <w:rsid w:val="0026000A"/>
    <w:rsid w:val="002618E0"/>
    <w:rsid w:val="002653E9"/>
    <w:rsid w:val="00270381"/>
    <w:rsid w:val="00270F47"/>
    <w:rsid w:val="002718AC"/>
    <w:rsid w:val="00272CE9"/>
    <w:rsid w:val="0027313F"/>
    <w:rsid w:val="002809B4"/>
    <w:rsid w:val="00280BF4"/>
    <w:rsid w:val="00295B54"/>
    <w:rsid w:val="002A48B8"/>
    <w:rsid w:val="002B53C5"/>
    <w:rsid w:val="002C08D6"/>
    <w:rsid w:val="002C2610"/>
    <w:rsid w:val="002C36EE"/>
    <w:rsid w:val="002C4E5D"/>
    <w:rsid w:val="002C705B"/>
    <w:rsid w:val="002D06D8"/>
    <w:rsid w:val="002D180C"/>
    <w:rsid w:val="002D188A"/>
    <w:rsid w:val="002D32E7"/>
    <w:rsid w:val="002D4FCA"/>
    <w:rsid w:val="002D5291"/>
    <w:rsid w:val="002D7C04"/>
    <w:rsid w:val="002E2599"/>
    <w:rsid w:val="002E2659"/>
    <w:rsid w:val="002E344E"/>
    <w:rsid w:val="002E3563"/>
    <w:rsid w:val="002F3600"/>
    <w:rsid w:val="002F65D3"/>
    <w:rsid w:val="002F779F"/>
    <w:rsid w:val="00301E19"/>
    <w:rsid w:val="00302AFE"/>
    <w:rsid w:val="00304C15"/>
    <w:rsid w:val="00307460"/>
    <w:rsid w:val="00312B36"/>
    <w:rsid w:val="00317ACF"/>
    <w:rsid w:val="0032293E"/>
    <w:rsid w:val="00324C58"/>
    <w:rsid w:val="003265CE"/>
    <w:rsid w:val="00326604"/>
    <w:rsid w:val="003276A1"/>
    <w:rsid w:val="00327C34"/>
    <w:rsid w:val="003431DB"/>
    <w:rsid w:val="003443F5"/>
    <w:rsid w:val="003456AF"/>
    <w:rsid w:val="00347318"/>
    <w:rsid w:val="00351629"/>
    <w:rsid w:val="00352B25"/>
    <w:rsid w:val="00352F9F"/>
    <w:rsid w:val="00355170"/>
    <w:rsid w:val="00356222"/>
    <w:rsid w:val="003635A7"/>
    <w:rsid w:val="00364E48"/>
    <w:rsid w:val="0037070B"/>
    <w:rsid w:val="00382307"/>
    <w:rsid w:val="00387A44"/>
    <w:rsid w:val="00395668"/>
    <w:rsid w:val="00397D7E"/>
    <w:rsid w:val="003A1CD4"/>
    <w:rsid w:val="003A375E"/>
    <w:rsid w:val="003A5368"/>
    <w:rsid w:val="003B05F3"/>
    <w:rsid w:val="003B2AB3"/>
    <w:rsid w:val="003B2EA2"/>
    <w:rsid w:val="003C0450"/>
    <w:rsid w:val="003C1C56"/>
    <w:rsid w:val="003C30D7"/>
    <w:rsid w:val="003C45C5"/>
    <w:rsid w:val="003C59B6"/>
    <w:rsid w:val="003C5C7C"/>
    <w:rsid w:val="003D263A"/>
    <w:rsid w:val="003D4656"/>
    <w:rsid w:val="003D654A"/>
    <w:rsid w:val="003D6859"/>
    <w:rsid w:val="003D77F1"/>
    <w:rsid w:val="003E1AEF"/>
    <w:rsid w:val="003E2C0E"/>
    <w:rsid w:val="003F0F94"/>
    <w:rsid w:val="003F3345"/>
    <w:rsid w:val="003F47F3"/>
    <w:rsid w:val="003F6656"/>
    <w:rsid w:val="00406AED"/>
    <w:rsid w:val="00412DB5"/>
    <w:rsid w:val="00414086"/>
    <w:rsid w:val="00417473"/>
    <w:rsid w:val="00421186"/>
    <w:rsid w:val="00421719"/>
    <w:rsid w:val="00422016"/>
    <w:rsid w:val="00430EF0"/>
    <w:rsid w:val="0043190B"/>
    <w:rsid w:val="00432EB6"/>
    <w:rsid w:val="00433593"/>
    <w:rsid w:val="00434A52"/>
    <w:rsid w:val="00437514"/>
    <w:rsid w:val="00444FE3"/>
    <w:rsid w:val="00445FCC"/>
    <w:rsid w:val="00447397"/>
    <w:rsid w:val="00447844"/>
    <w:rsid w:val="00452DE1"/>
    <w:rsid w:val="0045406C"/>
    <w:rsid w:val="004548EF"/>
    <w:rsid w:val="00456B29"/>
    <w:rsid w:val="004601AC"/>
    <w:rsid w:val="004671FE"/>
    <w:rsid w:val="00470F5C"/>
    <w:rsid w:val="00480072"/>
    <w:rsid w:val="004811C5"/>
    <w:rsid w:val="0048346E"/>
    <w:rsid w:val="00485718"/>
    <w:rsid w:val="00492E42"/>
    <w:rsid w:val="00494021"/>
    <w:rsid w:val="00494422"/>
    <w:rsid w:val="004A0392"/>
    <w:rsid w:val="004A35F6"/>
    <w:rsid w:val="004A58D6"/>
    <w:rsid w:val="004B6AAE"/>
    <w:rsid w:val="004C0658"/>
    <w:rsid w:val="004C13BC"/>
    <w:rsid w:val="004C3B37"/>
    <w:rsid w:val="004C59FE"/>
    <w:rsid w:val="004C6100"/>
    <w:rsid w:val="004C76D3"/>
    <w:rsid w:val="004D08EA"/>
    <w:rsid w:val="004D203D"/>
    <w:rsid w:val="004D4F37"/>
    <w:rsid w:val="004E1156"/>
    <w:rsid w:val="004E465E"/>
    <w:rsid w:val="004F0AF1"/>
    <w:rsid w:val="004F48AB"/>
    <w:rsid w:val="004F74EB"/>
    <w:rsid w:val="00502C67"/>
    <w:rsid w:val="005128FC"/>
    <w:rsid w:val="00515A11"/>
    <w:rsid w:val="005172C5"/>
    <w:rsid w:val="0052060F"/>
    <w:rsid w:val="00522062"/>
    <w:rsid w:val="00535B31"/>
    <w:rsid w:val="0054545A"/>
    <w:rsid w:val="00546F5E"/>
    <w:rsid w:val="00547147"/>
    <w:rsid w:val="005471AF"/>
    <w:rsid w:val="00547AB2"/>
    <w:rsid w:val="00554997"/>
    <w:rsid w:val="00561077"/>
    <w:rsid w:val="0056174B"/>
    <w:rsid w:val="00570B19"/>
    <w:rsid w:val="00581030"/>
    <w:rsid w:val="00585713"/>
    <w:rsid w:val="00585930"/>
    <w:rsid w:val="00590033"/>
    <w:rsid w:val="00590F34"/>
    <w:rsid w:val="0059737A"/>
    <w:rsid w:val="005A02AF"/>
    <w:rsid w:val="005A1330"/>
    <w:rsid w:val="005A3D63"/>
    <w:rsid w:val="005B03B9"/>
    <w:rsid w:val="005B214A"/>
    <w:rsid w:val="005B3ADE"/>
    <w:rsid w:val="005B6809"/>
    <w:rsid w:val="005C2296"/>
    <w:rsid w:val="005C50D0"/>
    <w:rsid w:val="005C71CC"/>
    <w:rsid w:val="005C782B"/>
    <w:rsid w:val="005D32DD"/>
    <w:rsid w:val="005D45E0"/>
    <w:rsid w:val="005E3299"/>
    <w:rsid w:val="005F1CC1"/>
    <w:rsid w:val="005F66E4"/>
    <w:rsid w:val="0060683E"/>
    <w:rsid w:val="006078BE"/>
    <w:rsid w:val="00607B13"/>
    <w:rsid w:val="00623257"/>
    <w:rsid w:val="006271A8"/>
    <w:rsid w:val="0063369F"/>
    <w:rsid w:val="00634248"/>
    <w:rsid w:val="006348F2"/>
    <w:rsid w:val="006440CC"/>
    <w:rsid w:val="006448C9"/>
    <w:rsid w:val="00644AB4"/>
    <w:rsid w:val="00644D21"/>
    <w:rsid w:val="00647D9B"/>
    <w:rsid w:val="006534A5"/>
    <w:rsid w:val="00656C40"/>
    <w:rsid w:val="0065785C"/>
    <w:rsid w:val="006604B3"/>
    <w:rsid w:val="006626E9"/>
    <w:rsid w:val="00667CF0"/>
    <w:rsid w:val="0067019C"/>
    <w:rsid w:val="00671DCF"/>
    <w:rsid w:val="0067225F"/>
    <w:rsid w:val="006801DA"/>
    <w:rsid w:val="0068078F"/>
    <w:rsid w:val="006814B8"/>
    <w:rsid w:val="00684C0B"/>
    <w:rsid w:val="0068514D"/>
    <w:rsid w:val="00685414"/>
    <w:rsid w:val="00685D45"/>
    <w:rsid w:val="00686E4A"/>
    <w:rsid w:val="00687B84"/>
    <w:rsid w:val="00687E8A"/>
    <w:rsid w:val="0069405D"/>
    <w:rsid w:val="006965E7"/>
    <w:rsid w:val="006A1FF1"/>
    <w:rsid w:val="006A21AD"/>
    <w:rsid w:val="006A4E71"/>
    <w:rsid w:val="006A58D4"/>
    <w:rsid w:val="006A5F4D"/>
    <w:rsid w:val="006A751B"/>
    <w:rsid w:val="006A7D9A"/>
    <w:rsid w:val="006B100F"/>
    <w:rsid w:val="006B724E"/>
    <w:rsid w:val="006C3568"/>
    <w:rsid w:val="006C58E8"/>
    <w:rsid w:val="006C5BBB"/>
    <w:rsid w:val="006D76F7"/>
    <w:rsid w:val="006E0BEB"/>
    <w:rsid w:val="006E3E83"/>
    <w:rsid w:val="006E41D7"/>
    <w:rsid w:val="006E7EB6"/>
    <w:rsid w:val="006F2CDD"/>
    <w:rsid w:val="006F3C73"/>
    <w:rsid w:val="006F4CA6"/>
    <w:rsid w:val="006F70BC"/>
    <w:rsid w:val="006F7973"/>
    <w:rsid w:val="007051CF"/>
    <w:rsid w:val="007051F5"/>
    <w:rsid w:val="00706190"/>
    <w:rsid w:val="00707C04"/>
    <w:rsid w:val="00714F77"/>
    <w:rsid w:val="007220E8"/>
    <w:rsid w:val="00730682"/>
    <w:rsid w:val="0073143C"/>
    <w:rsid w:val="007326C9"/>
    <w:rsid w:val="00733A09"/>
    <w:rsid w:val="007353EC"/>
    <w:rsid w:val="007424A5"/>
    <w:rsid w:val="00743F6F"/>
    <w:rsid w:val="007445DA"/>
    <w:rsid w:val="007472E6"/>
    <w:rsid w:val="0075361D"/>
    <w:rsid w:val="00756E34"/>
    <w:rsid w:val="00760BA0"/>
    <w:rsid w:val="00760FEF"/>
    <w:rsid w:val="00772B78"/>
    <w:rsid w:val="00773A45"/>
    <w:rsid w:val="007753AF"/>
    <w:rsid w:val="00780659"/>
    <w:rsid w:val="007818E1"/>
    <w:rsid w:val="00782E0A"/>
    <w:rsid w:val="00786697"/>
    <w:rsid w:val="00790571"/>
    <w:rsid w:val="0079565C"/>
    <w:rsid w:val="00795DF7"/>
    <w:rsid w:val="007A07D0"/>
    <w:rsid w:val="007A0D71"/>
    <w:rsid w:val="007A2B21"/>
    <w:rsid w:val="007A3EB4"/>
    <w:rsid w:val="007A7336"/>
    <w:rsid w:val="007B55E1"/>
    <w:rsid w:val="007C00E8"/>
    <w:rsid w:val="007C1020"/>
    <w:rsid w:val="007C3D20"/>
    <w:rsid w:val="007C45CF"/>
    <w:rsid w:val="007C6F04"/>
    <w:rsid w:val="007C74A5"/>
    <w:rsid w:val="007C767D"/>
    <w:rsid w:val="007C7E56"/>
    <w:rsid w:val="007D25C8"/>
    <w:rsid w:val="007D38DF"/>
    <w:rsid w:val="007D58FD"/>
    <w:rsid w:val="007E37A8"/>
    <w:rsid w:val="007E3FCA"/>
    <w:rsid w:val="007F4E23"/>
    <w:rsid w:val="007F6C61"/>
    <w:rsid w:val="0080346F"/>
    <w:rsid w:val="008050F9"/>
    <w:rsid w:val="00806E32"/>
    <w:rsid w:val="00812F7B"/>
    <w:rsid w:val="00815B38"/>
    <w:rsid w:val="008160AC"/>
    <w:rsid w:val="00824B5F"/>
    <w:rsid w:val="008278AC"/>
    <w:rsid w:val="00827F0D"/>
    <w:rsid w:val="008354CC"/>
    <w:rsid w:val="00835C48"/>
    <w:rsid w:val="00835FED"/>
    <w:rsid w:val="008424DF"/>
    <w:rsid w:val="008448D3"/>
    <w:rsid w:val="0084715C"/>
    <w:rsid w:val="00855491"/>
    <w:rsid w:val="00861332"/>
    <w:rsid w:val="008614B0"/>
    <w:rsid w:val="00863029"/>
    <w:rsid w:val="00863A3E"/>
    <w:rsid w:val="008659BA"/>
    <w:rsid w:val="0086699D"/>
    <w:rsid w:val="008677D8"/>
    <w:rsid w:val="0087002D"/>
    <w:rsid w:val="00871465"/>
    <w:rsid w:val="008714E5"/>
    <w:rsid w:val="00873595"/>
    <w:rsid w:val="00876015"/>
    <w:rsid w:val="00876C64"/>
    <w:rsid w:val="00876E91"/>
    <w:rsid w:val="0088028A"/>
    <w:rsid w:val="008807EE"/>
    <w:rsid w:val="00880830"/>
    <w:rsid w:val="00881FBD"/>
    <w:rsid w:val="00884836"/>
    <w:rsid w:val="008866E4"/>
    <w:rsid w:val="00895500"/>
    <w:rsid w:val="00895C27"/>
    <w:rsid w:val="008966CE"/>
    <w:rsid w:val="008A1540"/>
    <w:rsid w:val="008A23DF"/>
    <w:rsid w:val="008A3AC3"/>
    <w:rsid w:val="008A47E8"/>
    <w:rsid w:val="008A5911"/>
    <w:rsid w:val="008A61EB"/>
    <w:rsid w:val="008B2B99"/>
    <w:rsid w:val="008B4D3F"/>
    <w:rsid w:val="008C1F3B"/>
    <w:rsid w:val="008C1FB5"/>
    <w:rsid w:val="008C660A"/>
    <w:rsid w:val="008D3DCC"/>
    <w:rsid w:val="008D47F7"/>
    <w:rsid w:val="008D763B"/>
    <w:rsid w:val="008E5344"/>
    <w:rsid w:val="008E5879"/>
    <w:rsid w:val="008E74B5"/>
    <w:rsid w:val="008E7F1B"/>
    <w:rsid w:val="008E7F54"/>
    <w:rsid w:val="008F48AE"/>
    <w:rsid w:val="0090233E"/>
    <w:rsid w:val="00903935"/>
    <w:rsid w:val="009065B9"/>
    <w:rsid w:val="009075ED"/>
    <w:rsid w:val="0091074E"/>
    <w:rsid w:val="00911E79"/>
    <w:rsid w:val="009140AA"/>
    <w:rsid w:val="00916CA3"/>
    <w:rsid w:val="0092061C"/>
    <w:rsid w:val="00921510"/>
    <w:rsid w:val="0092247E"/>
    <w:rsid w:val="00922F39"/>
    <w:rsid w:val="00924434"/>
    <w:rsid w:val="00927299"/>
    <w:rsid w:val="00927465"/>
    <w:rsid w:val="0093190C"/>
    <w:rsid w:val="00934BC1"/>
    <w:rsid w:val="0093587B"/>
    <w:rsid w:val="00937B68"/>
    <w:rsid w:val="00940845"/>
    <w:rsid w:val="00943F43"/>
    <w:rsid w:val="00944CFE"/>
    <w:rsid w:val="00946417"/>
    <w:rsid w:val="00953942"/>
    <w:rsid w:val="009626E7"/>
    <w:rsid w:val="00970C89"/>
    <w:rsid w:val="00971C7D"/>
    <w:rsid w:val="00976DEE"/>
    <w:rsid w:val="00982EBD"/>
    <w:rsid w:val="00985C47"/>
    <w:rsid w:val="00985EED"/>
    <w:rsid w:val="00991CDB"/>
    <w:rsid w:val="00992F79"/>
    <w:rsid w:val="009940CE"/>
    <w:rsid w:val="00994E37"/>
    <w:rsid w:val="00995A25"/>
    <w:rsid w:val="00995C4B"/>
    <w:rsid w:val="009A1A54"/>
    <w:rsid w:val="009A526A"/>
    <w:rsid w:val="009A5EAF"/>
    <w:rsid w:val="009A7753"/>
    <w:rsid w:val="009B03DE"/>
    <w:rsid w:val="009B3312"/>
    <w:rsid w:val="009B37A6"/>
    <w:rsid w:val="009B3B31"/>
    <w:rsid w:val="009B5C2E"/>
    <w:rsid w:val="009C4361"/>
    <w:rsid w:val="009C4F0A"/>
    <w:rsid w:val="009D05D1"/>
    <w:rsid w:val="009D3A40"/>
    <w:rsid w:val="009D42F9"/>
    <w:rsid w:val="009D50AC"/>
    <w:rsid w:val="009D688A"/>
    <w:rsid w:val="009D74EA"/>
    <w:rsid w:val="009D7DDF"/>
    <w:rsid w:val="009F0A11"/>
    <w:rsid w:val="009F37EA"/>
    <w:rsid w:val="009F649F"/>
    <w:rsid w:val="00A00EC8"/>
    <w:rsid w:val="00A01038"/>
    <w:rsid w:val="00A01877"/>
    <w:rsid w:val="00A03388"/>
    <w:rsid w:val="00A05638"/>
    <w:rsid w:val="00A10F3C"/>
    <w:rsid w:val="00A1160C"/>
    <w:rsid w:val="00A14060"/>
    <w:rsid w:val="00A206DB"/>
    <w:rsid w:val="00A20F28"/>
    <w:rsid w:val="00A22F35"/>
    <w:rsid w:val="00A2630F"/>
    <w:rsid w:val="00A30100"/>
    <w:rsid w:val="00A3124E"/>
    <w:rsid w:val="00A339A2"/>
    <w:rsid w:val="00A35B2C"/>
    <w:rsid w:val="00A373E2"/>
    <w:rsid w:val="00A4048F"/>
    <w:rsid w:val="00A41052"/>
    <w:rsid w:val="00A443F5"/>
    <w:rsid w:val="00A45C34"/>
    <w:rsid w:val="00A45C7D"/>
    <w:rsid w:val="00A47E4F"/>
    <w:rsid w:val="00A5081F"/>
    <w:rsid w:val="00A538C9"/>
    <w:rsid w:val="00A54652"/>
    <w:rsid w:val="00A5676B"/>
    <w:rsid w:val="00A63988"/>
    <w:rsid w:val="00A664B5"/>
    <w:rsid w:val="00A677CE"/>
    <w:rsid w:val="00A70A43"/>
    <w:rsid w:val="00A71DBB"/>
    <w:rsid w:val="00A74A03"/>
    <w:rsid w:val="00A83C88"/>
    <w:rsid w:val="00A920D3"/>
    <w:rsid w:val="00AA0779"/>
    <w:rsid w:val="00AA08CE"/>
    <w:rsid w:val="00AA27B7"/>
    <w:rsid w:val="00AA2D0D"/>
    <w:rsid w:val="00AA2F2D"/>
    <w:rsid w:val="00AB0C3A"/>
    <w:rsid w:val="00AB24CD"/>
    <w:rsid w:val="00AB29B4"/>
    <w:rsid w:val="00AB41C7"/>
    <w:rsid w:val="00AB653E"/>
    <w:rsid w:val="00AC133C"/>
    <w:rsid w:val="00AC18CB"/>
    <w:rsid w:val="00AC2A42"/>
    <w:rsid w:val="00AC3198"/>
    <w:rsid w:val="00AC348A"/>
    <w:rsid w:val="00AC44B5"/>
    <w:rsid w:val="00AD3BFF"/>
    <w:rsid w:val="00AD794B"/>
    <w:rsid w:val="00AE424C"/>
    <w:rsid w:val="00AE564D"/>
    <w:rsid w:val="00AE5AA2"/>
    <w:rsid w:val="00AF0F3D"/>
    <w:rsid w:val="00AF39E1"/>
    <w:rsid w:val="00AF43CC"/>
    <w:rsid w:val="00AF68F8"/>
    <w:rsid w:val="00AF788A"/>
    <w:rsid w:val="00B00666"/>
    <w:rsid w:val="00B011AD"/>
    <w:rsid w:val="00B112D1"/>
    <w:rsid w:val="00B11961"/>
    <w:rsid w:val="00B122A1"/>
    <w:rsid w:val="00B16231"/>
    <w:rsid w:val="00B21A0E"/>
    <w:rsid w:val="00B23221"/>
    <w:rsid w:val="00B24EF2"/>
    <w:rsid w:val="00B25D2F"/>
    <w:rsid w:val="00B268D0"/>
    <w:rsid w:val="00B2733B"/>
    <w:rsid w:val="00B31E9B"/>
    <w:rsid w:val="00B33800"/>
    <w:rsid w:val="00B34BEA"/>
    <w:rsid w:val="00B37BDE"/>
    <w:rsid w:val="00B4077D"/>
    <w:rsid w:val="00B45CCD"/>
    <w:rsid w:val="00B47615"/>
    <w:rsid w:val="00B5162F"/>
    <w:rsid w:val="00B63008"/>
    <w:rsid w:val="00B66155"/>
    <w:rsid w:val="00B711C0"/>
    <w:rsid w:val="00B75824"/>
    <w:rsid w:val="00B7626A"/>
    <w:rsid w:val="00B77A41"/>
    <w:rsid w:val="00B82552"/>
    <w:rsid w:val="00B830A1"/>
    <w:rsid w:val="00B83A31"/>
    <w:rsid w:val="00B84180"/>
    <w:rsid w:val="00B84E53"/>
    <w:rsid w:val="00B9068A"/>
    <w:rsid w:val="00B934C1"/>
    <w:rsid w:val="00B96EA9"/>
    <w:rsid w:val="00BA3FA6"/>
    <w:rsid w:val="00BB32C0"/>
    <w:rsid w:val="00BB480B"/>
    <w:rsid w:val="00BB57F7"/>
    <w:rsid w:val="00BB69CA"/>
    <w:rsid w:val="00BC48E3"/>
    <w:rsid w:val="00BD3D42"/>
    <w:rsid w:val="00BD42F0"/>
    <w:rsid w:val="00BD5F51"/>
    <w:rsid w:val="00BD70E1"/>
    <w:rsid w:val="00BD7165"/>
    <w:rsid w:val="00BE271F"/>
    <w:rsid w:val="00BE5AA9"/>
    <w:rsid w:val="00BF5009"/>
    <w:rsid w:val="00C01889"/>
    <w:rsid w:val="00C12C90"/>
    <w:rsid w:val="00C13F0E"/>
    <w:rsid w:val="00C15E27"/>
    <w:rsid w:val="00C32FB5"/>
    <w:rsid w:val="00C3303F"/>
    <w:rsid w:val="00C33D6B"/>
    <w:rsid w:val="00C3539C"/>
    <w:rsid w:val="00C3796C"/>
    <w:rsid w:val="00C4148E"/>
    <w:rsid w:val="00C4189B"/>
    <w:rsid w:val="00C435B0"/>
    <w:rsid w:val="00C442F8"/>
    <w:rsid w:val="00C535AF"/>
    <w:rsid w:val="00C5626D"/>
    <w:rsid w:val="00C56BCE"/>
    <w:rsid w:val="00C56DA5"/>
    <w:rsid w:val="00C626AD"/>
    <w:rsid w:val="00C705B3"/>
    <w:rsid w:val="00C80154"/>
    <w:rsid w:val="00C81177"/>
    <w:rsid w:val="00C85292"/>
    <w:rsid w:val="00C86FB5"/>
    <w:rsid w:val="00C87EAB"/>
    <w:rsid w:val="00C9078A"/>
    <w:rsid w:val="00C95A29"/>
    <w:rsid w:val="00C9744F"/>
    <w:rsid w:val="00CB3C37"/>
    <w:rsid w:val="00CB5098"/>
    <w:rsid w:val="00CB5677"/>
    <w:rsid w:val="00CB5EA5"/>
    <w:rsid w:val="00CC0DAA"/>
    <w:rsid w:val="00CC1DE6"/>
    <w:rsid w:val="00CC2C42"/>
    <w:rsid w:val="00CC41C1"/>
    <w:rsid w:val="00CC5160"/>
    <w:rsid w:val="00CC5ABB"/>
    <w:rsid w:val="00CD556D"/>
    <w:rsid w:val="00CE090B"/>
    <w:rsid w:val="00CE0B3E"/>
    <w:rsid w:val="00CE44AE"/>
    <w:rsid w:val="00CE4B63"/>
    <w:rsid w:val="00CE4C7F"/>
    <w:rsid w:val="00CF0D83"/>
    <w:rsid w:val="00CF16D0"/>
    <w:rsid w:val="00CF29BE"/>
    <w:rsid w:val="00CF4833"/>
    <w:rsid w:val="00D02850"/>
    <w:rsid w:val="00D03C8C"/>
    <w:rsid w:val="00D04DF2"/>
    <w:rsid w:val="00D124F7"/>
    <w:rsid w:val="00D14E2D"/>
    <w:rsid w:val="00D15134"/>
    <w:rsid w:val="00D157F7"/>
    <w:rsid w:val="00D15A3E"/>
    <w:rsid w:val="00D15DF5"/>
    <w:rsid w:val="00D15E96"/>
    <w:rsid w:val="00D30F7E"/>
    <w:rsid w:val="00D318C3"/>
    <w:rsid w:val="00D3581A"/>
    <w:rsid w:val="00D361AB"/>
    <w:rsid w:val="00D41E08"/>
    <w:rsid w:val="00D4747D"/>
    <w:rsid w:val="00D51FDE"/>
    <w:rsid w:val="00D5281B"/>
    <w:rsid w:val="00D57E17"/>
    <w:rsid w:val="00D61C70"/>
    <w:rsid w:val="00D62CC7"/>
    <w:rsid w:val="00D64C7B"/>
    <w:rsid w:val="00D66987"/>
    <w:rsid w:val="00D66AF3"/>
    <w:rsid w:val="00D67E42"/>
    <w:rsid w:val="00D7091C"/>
    <w:rsid w:val="00D746F2"/>
    <w:rsid w:val="00D75288"/>
    <w:rsid w:val="00D75D8B"/>
    <w:rsid w:val="00D90368"/>
    <w:rsid w:val="00D91521"/>
    <w:rsid w:val="00D92357"/>
    <w:rsid w:val="00D97BBB"/>
    <w:rsid w:val="00DA08F3"/>
    <w:rsid w:val="00DA146A"/>
    <w:rsid w:val="00DA51E7"/>
    <w:rsid w:val="00DB01E1"/>
    <w:rsid w:val="00DB1BA0"/>
    <w:rsid w:val="00DB4121"/>
    <w:rsid w:val="00DC0D0A"/>
    <w:rsid w:val="00DC362C"/>
    <w:rsid w:val="00DC6EFF"/>
    <w:rsid w:val="00DD6E61"/>
    <w:rsid w:val="00DE0CB7"/>
    <w:rsid w:val="00DE289C"/>
    <w:rsid w:val="00DF1DAA"/>
    <w:rsid w:val="00DF45AA"/>
    <w:rsid w:val="00DF52D5"/>
    <w:rsid w:val="00DF7231"/>
    <w:rsid w:val="00E00BC9"/>
    <w:rsid w:val="00E0665C"/>
    <w:rsid w:val="00E10CAF"/>
    <w:rsid w:val="00E12EA7"/>
    <w:rsid w:val="00E16FBC"/>
    <w:rsid w:val="00E17DB3"/>
    <w:rsid w:val="00E21AE5"/>
    <w:rsid w:val="00E23283"/>
    <w:rsid w:val="00E24BFE"/>
    <w:rsid w:val="00E270FE"/>
    <w:rsid w:val="00E277E1"/>
    <w:rsid w:val="00E32AF5"/>
    <w:rsid w:val="00E341EA"/>
    <w:rsid w:val="00E417CA"/>
    <w:rsid w:val="00E420D0"/>
    <w:rsid w:val="00E450D0"/>
    <w:rsid w:val="00E4554E"/>
    <w:rsid w:val="00E56EF1"/>
    <w:rsid w:val="00E600C6"/>
    <w:rsid w:val="00E60C87"/>
    <w:rsid w:val="00E705EA"/>
    <w:rsid w:val="00E728D8"/>
    <w:rsid w:val="00E7408A"/>
    <w:rsid w:val="00E754E7"/>
    <w:rsid w:val="00E75B9B"/>
    <w:rsid w:val="00E819D0"/>
    <w:rsid w:val="00E834AA"/>
    <w:rsid w:val="00E84AE2"/>
    <w:rsid w:val="00E8500B"/>
    <w:rsid w:val="00E858CF"/>
    <w:rsid w:val="00E87FA0"/>
    <w:rsid w:val="00E9159C"/>
    <w:rsid w:val="00E93860"/>
    <w:rsid w:val="00E9797D"/>
    <w:rsid w:val="00EA1B09"/>
    <w:rsid w:val="00EA7758"/>
    <w:rsid w:val="00EB0CC2"/>
    <w:rsid w:val="00EB2E20"/>
    <w:rsid w:val="00EB34E9"/>
    <w:rsid w:val="00EB381B"/>
    <w:rsid w:val="00EB5F32"/>
    <w:rsid w:val="00EC6521"/>
    <w:rsid w:val="00EC7EED"/>
    <w:rsid w:val="00ED0710"/>
    <w:rsid w:val="00ED483A"/>
    <w:rsid w:val="00ED7C0D"/>
    <w:rsid w:val="00EE1FF5"/>
    <w:rsid w:val="00EE331F"/>
    <w:rsid w:val="00EE526F"/>
    <w:rsid w:val="00EE6405"/>
    <w:rsid w:val="00EE717A"/>
    <w:rsid w:val="00EF03D6"/>
    <w:rsid w:val="00EF0B67"/>
    <w:rsid w:val="00EF1D08"/>
    <w:rsid w:val="00EF216C"/>
    <w:rsid w:val="00EF5A36"/>
    <w:rsid w:val="00EF66BD"/>
    <w:rsid w:val="00EF797B"/>
    <w:rsid w:val="00F01A96"/>
    <w:rsid w:val="00F01D75"/>
    <w:rsid w:val="00F02721"/>
    <w:rsid w:val="00F02EC6"/>
    <w:rsid w:val="00F05EFF"/>
    <w:rsid w:val="00F1002B"/>
    <w:rsid w:val="00F14C2A"/>
    <w:rsid w:val="00F22D09"/>
    <w:rsid w:val="00F2676F"/>
    <w:rsid w:val="00F274DF"/>
    <w:rsid w:val="00F3420A"/>
    <w:rsid w:val="00F4246D"/>
    <w:rsid w:val="00F433AE"/>
    <w:rsid w:val="00F443F1"/>
    <w:rsid w:val="00F453E7"/>
    <w:rsid w:val="00F45419"/>
    <w:rsid w:val="00F4707F"/>
    <w:rsid w:val="00F477A4"/>
    <w:rsid w:val="00F51E73"/>
    <w:rsid w:val="00F57406"/>
    <w:rsid w:val="00F61C4B"/>
    <w:rsid w:val="00F6513C"/>
    <w:rsid w:val="00F6639F"/>
    <w:rsid w:val="00F87F24"/>
    <w:rsid w:val="00FA21AF"/>
    <w:rsid w:val="00FA25B3"/>
    <w:rsid w:val="00FA37AE"/>
    <w:rsid w:val="00FA646E"/>
    <w:rsid w:val="00FA64AA"/>
    <w:rsid w:val="00FB278F"/>
    <w:rsid w:val="00FB28CC"/>
    <w:rsid w:val="00FB30BA"/>
    <w:rsid w:val="00FB7AFA"/>
    <w:rsid w:val="00FC0964"/>
    <w:rsid w:val="00FC4DDC"/>
    <w:rsid w:val="00FC5868"/>
    <w:rsid w:val="00FD039C"/>
    <w:rsid w:val="00FD06D3"/>
    <w:rsid w:val="00FD29F5"/>
    <w:rsid w:val="00FD361D"/>
    <w:rsid w:val="00FD4C65"/>
    <w:rsid w:val="00FD4D4B"/>
    <w:rsid w:val="00FD69B5"/>
    <w:rsid w:val="00FE0B4E"/>
    <w:rsid w:val="00FE428F"/>
    <w:rsid w:val="00FE6122"/>
    <w:rsid w:val="00FF1C83"/>
    <w:rsid w:val="00FF72E2"/>
    <w:rsid w:val="00FF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3B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1B"/>
    <w:pPr>
      <w:spacing w:after="0" w:line="240" w:lineRule="auto"/>
    </w:pPr>
    <w:rPr>
      <w:rFonts w:eastAsia="Times New Roman" w:cs="Times New Roman"/>
      <w:kern w:val="0"/>
      <w:szCs w:val="24"/>
      <w:lang w:val="lv-LV" w:eastAsia="lv-LV"/>
      <w14:ligatures w14:val="none"/>
    </w:rPr>
  </w:style>
  <w:style w:type="paragraph" w:styleId="Heading3">
    <w:name w:val="heading 3"/>
    <w:basedOn w:val="Normal"/>
    <w:next w:val="Normal"/>
    <w:link w:val="Heading3Char"/>
    <w:uiPriority w:val="9"/>
    <w:semiHidden/>
    <w:unhideWhenUsed/>
    <w:qFormat/>
    <w:rsid w:val="0052206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220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22062"/>
    <w:rPr>
      <w:rFonts w:asciiTheme="majorHAnsi" w:eastAsiaTheme="majorEastAsia" w:hAnsiTheme="majorHAnsi" w:cstheme="majorBidi"/>
      <w:color w:val="1F3763" w:themeColor="accent1" w:themeShade="7F"/>
      <w:kern w:val="0"/>
      <w:szCs w:val="24"/>
      <w:lang w:val="lv-LV" w:eastAsia="lv-LV"/>
      <w14:ligatures w14:val="none"/>
    </w:rPr>
  </w:style>
  <w:style w:type="character" w:customStyle="1" w:styleId="Heading4Char">
    <w:name w:val="Heading 4 Char"/>
    <w:basedOn w:val="DefaultParagraphFont"/>
    <w:link w:val="Heading4"/>
    <w:uiPriority w:val="9"/>
    <w:semiHidden/>
    <w:rsid w:val="00522062"/>
    <w:rPr>
      <w:rFonts w:asciiTheme="majorHAnsi" w:eastAsiaTheme="majorEastAsia" w:hAnsiTheme="majorHAnsi" w:cstheme="majorBidi"/>
      <w:i/>
      <w:iCs/>
      <w:color w:val="2F5496" w:themeColor="accent1" w:themeShade="BF"/>
      <w:kern w:val="0"/>
      <w:szCs w:val="24"/>
      <w:lang w:val="lv-LV" w:eastAsia="lv-LV"/>
      <w14:ligatures w14:val="none"/>
    </w:rPr>
  </w:style>
  <w:style w:type="character" w:customStyle="1" w:styleId="FooterChar">
    <w:name w:val="Footer Char"/>
    <w:basedOn w:val="DefaultParagraphFont"/>
    <w:link w:val="Footer"/>
    <w:uiPriority w:val="99"/>
    <w:rsid w:val="00522062"/>
    <w:rPr>
      <w:rFonts w:eastAsia="Times New Roman" w:cs="Times New Roman"/>
      <w:kern w:val="0"/>
      <w:szCs w:val="24"/>
      <w:lang w:val="lv-LV" w:eastAsia="lv-LV"/>
      <w14:ligatures w14:val="none"/>
    </w:rPr>
  </w:style>
  <w:style w:type="paragraph" w:styleId="Footer">
    <w:name w:val="footer"/>
    <w:basedOn w:val="Normal"/>
    <w:link w:val="FooterChar"/>
    <w:uiPriority w:val="99"/>
    <w:rsid w:val="00522062"/>
    <w:pPr>
      <w:tabs>
        <w:tab w:val="center" w:pos="4153"/>
        <w:tab w:val="right" w:pos="8306"/>
      </w:tabs>
    </w:pPr>
  </w:style>
  <w:style w:type="character" w:customStyle="1" w:styleId="HeaderChar">
    <w:name w:val="Header Char"/>
    <w:basedOn w:val="DefaultParagraphFont"/>
    <w:link w:val="Header"/>
    <w:rsid w:val="00522062"/>
    <w:rPr>
      <w:rFonts w:eastAsia="Times New Roman" w:cs="Times New Roman"/>
      <w:kern w:val="0"/>
      <w:szCs w:val="24"/>
      <w:lang w:val="lv-LV" w:eastAsia="lv-LV"/>
      <w14:ligatures w14:val="none"/>
    </w:rPr>
  </w:style>
  <w:style w:type="paragraph" w:styleId="Header">
    <w:name w:val="header"/>
    <w:basedOn w:val="Normal"/>
    <w:link w:val="HeaderChar"/>
    <w:rsid w:val="00522062"/>
    <w:pPr>
      <w:tabs>
        <w:tab w:val="center" w:pos="4153"/>
        <w:tab w:val="right" w:pos="8306"/>
      </w:tabs>
    </w:pPr>
  </w:style>
  <w:style w:type="character" w:customStyle="1" w:styleId="CommentTextChar">
    <w:name w:val="Comment Text Char"/>
    <w:basedOn w:val="DefaultParagraphFont"/>
    <w:link w:val="CommentText"/>
    <w:uiPriority w:val="99"/>
    <w:rsid w:val="00522062"/>
    <w:rPr>
      <w:rFonts w:eastAsia="Times New Roman" w:cs="Times New Roman"/>
      <w:kern w:val="0"/>
      <w:sz w:val="20"/>
      <w:szCs w:val="20"/>
      <w:lang w:val="lv-LV" w:eastAsia="lv-LV"/>
      <w14:ligatures w14:val="none"/>
    </w:rPr>
  </w:style>
  <w:style w:type="paragraph" w:styleId="CommentText">
    <w:name w:val="annotation text"/>
    <w:basedOn w:val="Normal"/>
    <w:link w:val="CommentTextChar"/>
    <w:uiPriority w:val="99"/>
    <w:unhideWhenUsed/>
    <w:rsid w:val="00522062"/>
    <w:rPr>
      <w:sz w:val="20"/>
      <w:szCs w:val="20"/>
    </w:rPr>
  </w:style>
  <w:style w:type="character" w:customStyle="1" w:styleId="CommentSubjectChar">
    <w:name w:val="Comment Subject Char"/>
    <w:basedOn w:val="CommentTextChar"/>
    <w:link w:val="CommentSubject"/>
    <w:uiPriority w:val="99"/>
    <w:semiHidden/>
    <w:rsid w:val="00522062"/>
    <w:rPr>
      <w:rFonts w:eastAsia="Times New Roman" w:cs="Times New Roman"/>
      <w:b/>
      <w:bCs/>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522062"/>
    <w:rPr>
      <w:b/>
      <w:bCs/>
    </w:rPr>
  </w:style>
  <w:style w:type="character" w:customStyle="1" w:styleId="BodyTextChar">
    <w:name w:val="Body Text Char"/>
    <w:basedOn w:val="DefaultParagraphFont"/>
    <w:link w:val="BodyText"/>
    <w:uiPriority w:val="99"/>
    <w:semiHidden/>
    <w:rsid w:val="00522062"/>
    <w:rPr>
      <w:rFonts w:eastAsia="Times New Roman" w:cs="Times New Roman"/>
      <w:kern w:val="0"/>
      <w:szCs w:val="24"/>
      <w:lang w:val="lv-LV" w:eastAsia="lv-LV"/>
      <w14:ligatures w14:val="none"/>
    </w:rPr>
  </w:style>
  <w:style w:type="paragraph" w:styleId="BodyText">
    <w:name w:val="Body Text"/>
    <w:basedOn w:val="Normal"/>
    <w:link w:val="BodyTextChar"/>
    <w:uiPriority w:val="99"/>
    <w:semiHidden/>
    <w:unhideWhenUsed/>
    <w:rsid w:val="00522062"/>
    <w:pPr>
      <w:spacing w:after="120"/>
    </w:pPr>
  </w:style>
  <w:style w:type="paragraph" w:styleId="NoSpacing">
    <w:name w:val="No Spacing"/>
    <w:uiPriority w:val="1"/>
    <w:qFormat/>
    <w:rsid w:val="00522062"/>
    <w:pPr>
      <w:spacing w:after="0" w:line="240" w:lineRule="auto"/>
    </w:pPr>
    <w:rPr>
      <w:rFonts w:eastAsia="Times New Roman" w:cs="Times New Roman"/>
      <w:kern w:val="0"/>
      <w:szCs w:val="24"/>
      <w:lang w:val="lv-LV" w:eastAsia="lv-LV"/>
      <w14:ligatures w14:val="none"/>
    </w:rPr>
  </w:style>
  <w:style w:type="character" w:styleId="PageNumber">
    <w:name w:val="page number"/>
    <w:basedOn w:val="DefaultParagraphFont"/>
    <w:rsid w:val="00522062"/>
  </w:style>
  <w:style w:type="paragraph" w:customStyle="1" w:styleId="tv213">
    <w:name w:val="tv213"/>
    <w:basedOn w:val="Normal"/>
    <w:rsid w:val="006D76F7"/>
    <w:pPr>
      <w:spacing w:before="100" w:beforeAutospacing="1" w:after="100" w:afterAutospacing="1"/>
    </w:pPr>
  </w:style>
  <w:style w:type="character" w:styleId="Hyperlink">
    <w:name w:val="Hyperlink"/>
    <w:basedOn w:val="DefaultParagraphFont"/>
    <w:uiPriority w:val="99"/>
    <w:unhideWhenUsed/>
    <w:rsid w:val="004C0658"/>
    <w:rPr>
      <w:color w:val="0563C1" w:themeColor="hyperlink"/>
      <w:u w:val="single"/>
    </w:rPr>
  </w:style>
  <w:style w:type="character" w:styleId="UnresolvedMention">
    <w:name w:val="Unresolved Mention"/>
    <w:basedOn w:val="DefaultParagraphFont"/>
    <w:uiPriority w:val="99"/>
    <w:semiHidden/>
    <w:unhideWhenUsed/>
    <w:rsid w:val="00013564"/>
    <w:rPr>
      <w:color w:val="605E5C"/>
      <w:shd w:val="clear" w:color="auto" w:fill="E1DFDD"/>
    </w:rPr>
  </w:style>
  <w:style w:type="character" w:styleId="FollowedHyperlink">
    <w:name w:val="FollowedHyperlink"/>
    <w:basedOn w:val="DefaultParagraphFont"/>
    <w:uiPriority w:val="99"/>
    <w:semiHidden/>
    <w:unhideWhenUsed/>
    <w:rsid w:val="00863A3E"/>
    <w:rPr>
      <w:color w:val="954F72" w:themeColor="followedHyperlink"/>
      <w:u w:val="single"/>
    </w:rPr>
  </w:style>
  <w:style w:type="paragraph" w:styleId="ListParagraph">
    <w:name w:val="List Paragraph"/>
    <w:basedOn w:val="Normal"/>
    <w:uiPriority w:val="34"/>
    <w:qFormat/>
    <w:rsid w:val="00880830"/>
    <w:pPr>
      <w:ind w:left="720"/>
      <w:contextualSpacing/>
    </w:pPr>
  </w:style>
  <w:style w:type="character" w:styleId="CommentReference">
    <w:name w:val="annotation reference"/>
    <w:basedOn w:val="DefaultParagraphFont"/>
    <w:uiPriority w:val="99"/>
    <w:semiHidden/>
    <w:unhideWhenUsed/>
    <w:rsid w:val="009D74EA"/>
    <w:rPr>
      <w:sz w:val="16"/>
      <w:szCs w:val="16"/>
    </w:rPr>
  </w:style>
  <w:style w:type="paragraph" w:styleId="NormalWeb">
    <w:name w:val="Normal (Web)"/>
    <w:basedOn w:val="Normal"/>
    <w:uiPriority w:val="99"/>
    <w:rsid w:val="00E9797D"/>
    <w:pPr>
      <w:spacing w:before="100" w:beforeAutospacing="1" w:after="100" w:afterAutospacing="1" w:line="276" w:lineRule="auto"/>
      <w:jc w:val="both"/>
    </w:pPr>
  </w:style>
  <w:style w:type="table" w:styleId="TableGrid">
    <w:name w:val="Table Grid"/>
    <w:basedOn w:val="TableNormal"/>
    <w:rsid w:val="00AB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6D0"/>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3785e9ed-152a-447f-8a56-4eff3d0c837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veseliba.gov.lv/sakums/informativie-raksti/veselibas-veicinasana/%C4%B7erme%C5%86a-masas-indekss" TargetMode="External"/><Relationship Id="rId4" Type="http://schemas.openxmlformats.org/officeDocument/2006/relationships/settings" Target="settings.xml"/><Relationship Id="rId9" Type="http://schemas.openxmlformats.org/officeDocument/2006/relationships/hyperlink" Target="https://hudoc.echr.coe.int/eng?i=001-580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A1EF1-A3BB-436C-A2A4-FFE73979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13982</Words>
  <Characters>7970</Characters>
  <Application>Microsoft Office Word</Application>
  <DocSecurity>0</DocSecurity>
  <Lines>66</Lines>
  <Paragraphs>43</Paragraphs>
  <ScaleCrop>false</ScaleCrop>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2025-10-28T12:50:00Z</dcterms:created>
  <dcterms:modified xsi:type="dcterms:W3CDTF">2025-10-28T12:50:00Z</dcterms:modified>
</cp:coreProperties>
</file>