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291718" w14:textId="1738DE5A" w:rsidR="00FF1A1F" w:rsidRPr="00FF1A1F" w:rsidRDefault="00FF1A1F" w:rsidP="00FF1A1F">
      <w:pPr>
        <w:autoSpaceDE w:val="0"/>
        <w:autoSpaceDN w:val="0"/>
        <w:spacing w:line="276" w:lineRule="auto"/>
        <w:jc w:val="both"/>
        <w:rPr>
          <w:b/>
          <w:bCs/>
          <w:color w:val="000000"/>
          <w14:ligatures w14:val="standardContextual"/>
        </w:rPr>
      </w:pPr>
      <w:r w:rsidRPr="00FF1A1F">
        <w:rPr>
          <w:b/>
          <w:bCs/>
        </w:rPr>
        <w:t>Konkrēta komersanta, rīka vai metodes norādīšanas tehniskajā specifikācijā pieļaujamības pārbaude</w:t>
      </w:r>
    </w:p>
    <w:p w14:paraId="7FEC8AE6" w14:textId="200B14C9" w:rsidR="00FF1A1F" w:rsidRDefault="00FF1A1F" w:rsidP="00FF1A1F">
      <w:pPr>
        <w:autoSpaceDE w:val="0"/>
        <w:autoSpaceDN w:val="0"/>
        <w:spacing w:line="276" w:lineRule="auto"/>
        <w:jc w:val="both"/>
        <w:rPr>
          <w:color w:val="000000"/>
          <w:lang w:eastAsia="lv-LV"/>
          <w14:ligatures w14:val="standardContextual"/>
        </w:rPr>
      </w:pPr>
      <w:r>
        <w:rPr>
          <w:color w:val="000000"/>
          <w14:ligatures w14:val="standardContextual"/>
        </w:rPr>
        <w:t xml:space="preserve">Vērtējot, vai pasūtītājs iepirkuma nolikumā paredzējis tādas prasības, kas nepamatoti ierobežo konkurenci un rada priekšrocības konkrētiem pretendentiem, tiesai jāvērtē, vai iepirkuma nolikumā, tostarp tehniskajā specifikācijā ir ievērots noteikums, ka tajā nevar iekļaut atsauci uz „konkrētu ražotāju”, nepievienojot norādi ,,vai ekvivalents”, ja vien konkrēta ražotāja iekārtu vai pārlūkprogrammas izmantošana nenovēršami izriet no līguma priekšmeta un nav iespējama nekāda uz citu tehnisko risinājumu balstīta alternatīva. Šī situācija ir atzīstama par izņēmuma gadījumu, kas interpretējama šauri un  tikai tādā veidā, kas nepamatoti neierobežo konkurenci publiskajā iepirkumā. </w:t>
      </w:r>
    </w:p>
    <w:p w14:paraId="285D5B9C" w14:textId="39EED8E1" w:rsidR="00B553F9" w:rsidRPr="004D4E75" w:rsidRDefault="00B553F9" w:rsidP="00FF1A1F">
      <w:pPr>
        <w:spacing w:line="276" w:lineRule="auto"/>
      </w:pPr>
    </w:p>
    <w:p w14:paraId="20903655" w14:textId="0DCDE99B" w:rsidR="00B553F9" w:rsidRPr="004D4E75" w:rsidRDefault="00B553F9" w:rsidP="00FF1A1F">
      <w:pPr>
        <w:spacing w:line="276" w:lineRule="auto"/>
        <w:jc w:val="center"/>
        <w:rPr>
          <w:b/>
        </w:rPr>
      </w:pPr>
      <w:r w:rsidRPr="004D4E75">
        <w:rPr>
          <w:b/>
        </w:rPr>
        <w:t>Latvijas Republikas Senāt</w:t>
      </w:r>
      <w:r w:rsidR="00FF1A1F">
        <w:rPr>
          <w:b/>
        </w:rPr>
        <w:t>a</w:t>
      </w:r>
      <w:r w:rsidR="00FF1A1F">
        <w:rPr>
          <w:b/>
        </w:rPr>
        <w:br/>
        <w:t>Administratīvo lietu departamenta</w:t>
      </w:r>
      <w:r w:rsidR="00FF1A1F">
        <w:rPr>
          <w:b/>
        </w:rPr>
        <w:br/>
        <w:t>2025.gada 22.septembra</w:t>
      </w:r>
    </w:p>
    <w:p w14:paraId="5781195E" w14:textId="77777777" w:rsidR="00B553F9" w:rsidRDefault="00B553F9" w:rsidP="00FF1A1F">
      <w:pPr>
        <w:spacing w:line="276" w:lineRule="auto"/>
        <w:jc w:val="center"/>
        <w:rPr>
          <w:b/>
        </w:rPr>
      </w:pPr>
      <w:r w:rsidRPr="004D4E75">
        <w:rPr>
          <w:b/>
        </w:rPr>
        <w:t>SPRIEDUMS</w:t>
      </w:r>
    </w:p>
    <w:p w14:paraId="7AE79680" w14:textId="016002D6" w:rsidR="00FF1A1F" w:rsidRPr="00FF1A1F" w:rsidRDefault="00FF1A1F" w:rsidP="00FF1A1F">
      <w:pPr>
        <w:spacing w:line="276" w:lineRule="auto"/>
        <w:jc w:val="center"/>
        <w:rPr>
          <w:rFonts w:eastAsiaTheme="minorEastAsia"/>
          <w:b/>
          <w:bCs/>
          <w:lang w:eastAsia="en-US"/>
        </w:rPr>
      </w:pPr>
      <w:r w:rsidRPr="00FF1A1F">
        <w:rPr>
          <w:rFonts w:eastAsiaTheme="minorEastAsia"/>
          <w:b/>
          <w:bCs/>
          <w:lang w:eastAsia="en-US"/>
        </w:rPr>
        <w:t>Lieta Nr. </w:t>
      </w:r>
      <w:r w:rsidRPr="00FF1A1F">
        <w:rPr>
          <w:b/>
          <w:bCs/>
        </w:rPr>
        <w:t>A420192221</w:t>
      </w:r>
      <w:r w:rsidRPr="00FF1A1F">
        <w:rPr>
          <w:rFonts w:eastAsiaTheme="minorEastAsia"/>
          <w:b/>
          <w:bCs/>
          <w:lang w:eastAsia="en-US"/>
        </w:rPr>
        <w:t>, SKA</w:t>
      </w:r>
      <w:r w:rsidRPr="00FF1A1F">
        <w:rPr>
          <w:rFonts w:eastAsiaTheme="minorEastAsia"/>
          <w:b/>
          <w:bCs/>
          <w:lang w:eastAsia="en-US"/>
        </w:rPr>
        <w:noBreakHyphen/>
        <w:t>75/2025</w:t>
      </w:r>
    </w:p>
    <w:p w14:paraId="37C9B6A2" w14:textId="11E47B08" w:rsidR="00FF1A1F" w:rsidRPr="00FF1A1F" w:rsidRDefault="00FF1A1F" w:rsidP="00FF1A1F">
      <w:pPr>
        <w:spacing w:line="276" w:lineRule="auto"/>
        <w:jc w:val="center"/>
      </w:pPr>
      <w:r w:rsidRPr="00FF1A1F">
        <w:t xml:space="preserve"> </w:t>
      </w:r>
      <w:hyperlink r:id="rId7" w:history="1">
        <w:r w:rsidRPr="00FF1A1F">
          <w:rPr>
            <w:rStyle w:val="Hyperlink"/>
          </w:rPr>
          <w:t>ECLI:LV:AT:2025:0922.A420192221.6.S</w:t>
        </w:r>
      </w:hyperlink>
    </w:p>
    <w:p w14:paraId="2115CF41" w14:textId="77777777" w:rsidR="00B553F9" w:rsidRPr="004D4E75" w:rsidRDefault="00B553F9" w:rsidP="00FF1A1F">
      <w:pPr>
        <w:spacing w:line="276" w:lineRule="auto"/>
        <w:ind w:firstLine="720"/>
        <w:jc w:val="both"/>
      </w:pPr>
    </w:p>
    <w:p w14:paraId="5CBCA92F" w14:textId="6FDF41F4" w:rsidR="00B553F9" w:rsidRDefault="00B553F9" w:rsidP="00FF1A1F">
      <w:pPr>
        <w:spacing w:line="276" w:lineRule="auto"/>
        <w:ind w:firstLine="720"/>
        <w:jc w:val="both"/>
      </w:pPr>
      <w:r w:rsidRPr="004D4E75">
        <w:t>Senāts šādā sastāvā: senatore referente Vēsma Kakste, senator</w:t>
      </w:r>
      <w:r w:rsidR="00AE631C">
        <w:t>i</w:t>
      </w:r>
      <w:r w:rsidR="00E55B24">
        <w:t xml:space="preserve"> </w:t>
      </w:r>
      <w:r w:rsidR="00A10726">
        <w:t>Jānis Pleps un Līvija Slica</w:t>
      </w:r>
    </w:p>
    <w:p w14:paraId="2191FC97" w14:textId="77777777" w:rsidR="00AE631C" w:rsidRPr="004D4E75" w:rsidRDefault="00AE631C" w:rsidP="00FF1A1F">
      <w:pPr>
        <w:spacing w:line="276" w:lineRule="auto"/>
        <w:ind w:firstLine="720"/>
        <w:jc w:val="both"/>
      </w:pPr>
    </w:p>
    <w:p w14:paraId="3948B5D7" w14:textId="19F8EE13" w:rsidR="00B553F9" w:rsidRPr="002C2AAC" w:rsidRDefault="00B553F9" w:rsidP="00FF1A1F">
      <w:pPr>
        <w:spacing w:line="276" w:lineRule="auto"/>
        <w:ind w:firstLine="720"/>
        <w:jc w:val="both"/>
      </w:pPr>
      <w:r w:rsidRPr="004D4E75">
        <w:t xml:space="preserve">rakstveida procesā izskatīja administratīvo lietu, kas ierosināta, pamatojoties uz </w:t>
      </w:r>
      <w:r w:rsidR="002C2AAC">
        <w:rPr>
          <w:color w:val="000000"/>
        </w:rPr>
        <w:t>sabiedrības ar ierobežotu atbildību „</w:t>
      </w:r>
      <w:r w:rsidR="00B96FC2">
        <w:rPr>
          <w:color w:val="000000"/>
        </w:rPr>
        <w:t>KEMEK ENGINEERING</w:t>
      </w:r>
      <w:r w:rsidR="002C2AAC">
        <w:rPr>
          <w:color w:val="000000"/>
        </w:rPr>
        <w:t xml:space="preserve">” </w:t>
      </w:r>
      <w:r w:rsidRPr="004D4E75">
        <w:t xml:space="preserve">pieteikumu par </w:t>
      </w:r>
      <w:r w:rsidR="00B96FC2" w:rsidRPr="00B96FC2">
        <w:t>Iepirkumu uzraudzības biroja 2021.gada 19.maija lēmuma Nr.</w:t>
      </w:r>
      <w:r w:rsidR="00B96FC2">
        <w:t> </w:t>
      </w:r>
      <w:r w:rsidR="00B96FC2" w:rsidRPr="00B96FC2">
        <w:t>4</w:t>
      </w:r>
      <w:r w:rsidR="00B96FC2">
        <w:t>-</w:t>
      </w:r>
      <w:r w:rsidR="00B96FC2" w:rsidRPr="00B96FC2">
        <w:t>1.2/21</w:t>
      </w:r>
      <w:r w:rsidR="00B96FC2">
        <w:t>-</w:t>
      </w:r>
      <w:r w:rsidR="00B96FC2" w:rsidRPr="00B96FC2">
        <w:t>89/2 atzīšanu par prettiesisku</w:t>
      </w:r>
      <w:r w:rsidRPr="004D4E75">
        <w:t xml:space="preserve">, </w:t>
      </w:r>
      <w:r w:rsidR="0020254F">
        <w:rPr>
          <w:color w:val="000000"/>
        </w:rPr>
        <w:t xml:space="preserve">sakarā ar </w:t>
      </w:r>
      <w:r w:rsidR="00B96FC2">
        <w:rPr>
          <w:color w:val="000000"/>
        </w:rPr>
        <w:t>Iepirkumu uzraudzības biroja un Rīgas domes Satiksmes departamenta</w:t>
      </w:r>
      <w:r w:rsidR="0020254F">
        <w:rPr>
          <w:color w:val="000000"/>
        </w:rPr>
        <w:t xml:space="preserve"> kasācijas sūdzīb</w:t>
      </w:r>
      <w:r w:rsidR="00B96FC2">
        <w:rPr>
          <w:color w:val="000000"/>
        </w:rPr>
        <w:t>ām</w:t>
      </w:r>
      <w:r w:rsidR="0020254F">
        <w:rPr>
          <w:color w:val="000000"/>
        </w:rPr>
        <w:t xml:space="preserve"> par Administratīvās </w:t>
      </w:r>
      <w:r w:rsidR="00B96FC2">
        <w:rPr>
          <w:color w:val="000000"/>
        </w:rPr>
        <w:t>rajona tiesas</w:t>
      </w:r>
      <w:r w:rsidR="0020254F">
        <w:rPr>
          <w:color w:val="000000"/>
        </w:rPr>
        <w:t xml:space="preserve"> 2023.gada </w:t>
      </w:r>
      <w:r w:rsidR="00B96FC2">
        <w:rPr>
          <w:color w:val="000000"/>
        </w:rPr>
        <w:t>3</w:t>
      </w:r>
      <w:r w:rsidR="0020254F">
        <w:rPr>
          <w:color w:val="000000"/>
        </w:rPr>
        <w:t>.</w:t>
      </w:r>
      <w:r w:rsidR="00B96FC2">
        <w:rPr>
          <w:color w:val="000000"/>
        </w:rPr>
        <w:t>maija</w:t>
      </w:r>
      <w:r w:rsidR="0020254F">
        <w:rPr>
          <w:color w:val="000000"/>
        </w:rPr>
        <w:t xml:space="preserve"> spriedumu</w:t>
      </w:r>
      <w:r w:rsidR="002C2AAC">
        <w:rPr>
          <w:color w:val="000000"/>
        </w:rPr>
        <w:t>.</w:t>
      </w:r>
    </w:p>
    <w:p w14:paraId="1F880B0B" w14:textId="77777777" w:rsidR="002C2AAC" w:rsidRPr="004D4E75" w:rsidRDefault="002C2AAC" w:rsidP="00FF1A1F">
      <w:pPr>
        <w:spacing w:line="276" w:lineRule="auto"/>
        <w:ind w:firstLine="720"/>
        <w:jc w:val="both"/>
      </w:pPr>
    </w:p>
    <w:p w14:paraId="3574BB91" w14:textId="77777777" w:rsidR="00B553F9" w:rsidRDefault="00B553F9" w:rsidP="00FF1A1F">
      <w:pPr>
        <w:pStyle w:val="ATvirsraksts"/>
      </w:pPr>
      <w:r w:rsidRPr="004D4E75">
        <w:t>Aprakstošā daļa</w:t>
      </w:r>
    </w:p>
    <w:p w14:paraId="5206B1CF" w14:textId="77777777" w:rsidR="00896313" w:rsidRPr="004D4E75" w:rsidRDefault="00896313" w:rsidP="00FF1A1F">
      <w:pPr>
        <w:pStyle w:val="ATvirsraksts"/>
        <w:ind w:firstLine="720"/>
      </w:pPr>
    </w:p>
    <w:p w14:paraId="3860FEE9" w14:textId="12EDE595" w:rsidR="005D1F21" w:rsidRDefault="00E53717" w:rsidP="00FF1A1F">
      <w:pPr>
        <w:spacing w:line="276" w:lineRule="auto"/>
        <w:ind w:firstLine="720"/>
        <w:jc w:val="both"/>
      </w:pPr>
      <w:r w:rsidRPr="004D4E75">
        <w:t>[1] </w:t>
      </w:r>
      <w:r w:rsidR="005D1F21" w:rsidRPr="005D1F21">
        <w:t>Pasūtītājs Rīgas domes Satiksmes departaments 2021.gada 19.martā izsludināja atklātu konkursu ,,Jaunu ceļu meteoroloģisko staciju uzstādīšana un esošo remonts” (identifikācijas Nr.</w:t>
      </w:r>
      <w:r w:rsidR="005D1F21">
        <w:t> </w:t>
      </w:r>
      <w:r w:rsidR="005D1F21" w:rsidRPr="005D1F21">
        <w:t>RDSD 2021/10) (turpmāk – iepirkums). Iepirkuma priekšmets – jaunu ceļu meteoroloģisko staciju uzstādīšana un esošo staciju remonts sešos objektos Rīgā.</w:t>
      </w:r>
    </w:p>
    <w:p w14:paraId="59D6B241" w14:textId="2CEF5713" w:rsidR="001F4DF4" w:rsidRDefault="00A43821" w:rsidP="00FF1A1F">
      <w:pPr>
        <w:spacing w:line="276" w:lineRule="auto"/>
        <w:ind w:firstLine="720"/>
        <w:jc w:val="both"/>
      </w:pPr>
      <w:r w:rsidRPr="00A43821">
        <w:t xml:space="preserve">Pieteicēja </w:t>
      </w:r>
      <w:r>
        <w:rPr>
          <w:color w:val="000000"/>
        </w:rPr>
        <w:t>sabiedrība ar ierobežotu atbildību </w:t>
      </w:r>
      <w:r w:rsidRPr="00A43821">
        <w:t xml:space="preserve">,,KEMEK ENGINEERING” </w:t>
      </w:r>
      <w:r>
        <w:t xml:space="preserve">apstrīdēja iepirkuma prasības, </w:t>
      </w:r>
      <w:r w:rsidRPr="00A43821">
        <w:t>vēr</w:t>
      </w:r>
      <w:r>
        <w:t>šoties</w:t>
      </w:r>
      <w:r w:rsidRPr="00A43821">
        <w:t xml:space="preserve"> Iepirkumu uzraudzības birojā</w:t>
      </w:r>
      <w:r w:rsidR="0034517F">
        <w:t xml:space="preserve"> (turpmāk – birojs)</w:t>
      </w:r>
      <w:r>
        <w:t xml:space="preserve">. </w:t>
      </w:r>
      <w:r w:rsidR="001F4DF4">
        <w:t xml:space="preserve">Pieteicēja </w:t>
      </w:r>
      <w:r w:rsidR="00727BB6">
        <w:t>citstarp</w:t>
      </w:r>
      <w:r w:rsidR="001F4DF4">
        <w:t xml:space="preserve"> argumentēja, ka </w:t>
      </w:r>
      <w:r w:rsidR="001F4DF4" w:rsidRPr="001F4DF4">
        <w:t xml:space="preserve">pasūtītājs </w:t>
      </w:r>
      <w:r w:rsidR="001F4DF4">
        <w:t xml:space="preserve">iepirkuma nolikumā paredzējis tādas prasības, kas nepamatoti ierobežo konkurenci un </w:t>
      </w:r>
      <w:r w:rsidR="001F4DF4" w:rsidRPr="001F4DF4">
        <w:t>rad</w:t>
      </w:r>
      <w:r w:rsidR="001F4DF4">
        <w:t>a</w:t>
      </w:r>
      <w:r w:rsidR="001F4DF4" w:rsidRPr="001F4DF4">
        <w:t xml:space="preserve"> priekšrocības </w:t>
      </w:r>
      <w:r w:rsidR="001F4DF4">
        <w:t>konkrēt</w:t>
      </w:r>
      <w:r w:rsidR="00612862">
        <w:t>iem</w:t>
      </w:r>
      <w:r w:rsidR="001F4DF4" w:rsidRPr="001F4DF4">
        <w:t xml:space="preserve"> pretendent</w:t>
      </w:r>
      <w:r w:rsidR="00612862">
        <w:t>iem</w:t>
      </w:r>
      <w:r w:rsidR="001F4DF4">
        <w:t>.</w:t>
      </w:r>
    </w:p>
    <w:p w14:paraId="63AF5FCC" w14:textId="268FCFE7" w:rsidR="00A43821" w:rsidRDefault="0034517F" w:rsidP="00FF1A1F">
      <w:pPr>
        <w:spacing w:line="276" w:lineRule="auto"/>
        <w:ind w:firstLine="720"/>
        <w:jc w:val="both"/>
      </w:pPr>
      <w:r>
        <w:t>B</w:t>
      </w:r>
      <w:r w:rsidR="002E3B5A">
        <w:t xml:space="preserve">irojs </w:t>
      </w:r>
      <w:r w:rsidR="00A43821" w:rsidRPr="00A43821">
        <w:t>ar 2021.gada 19.maija lēmumu Nr.</w:t>
      </w:r>
      <w:r w:rsidR="00A43821">
        <w:t> </w:t>
      </w:r>
      <w:r w:rsidR="00A43821" w:rsidRPr="00A43821">
        <w:t>4</w:t>
      </w:r>
      <w:r w:rsidR="00A43821">
        <w:t>-</w:t>
      </w:r>
      <w:r w:rsidR="00A43821" w:rsidRPr="00A43821">
        <w:t>1.2/21</w:t>
      </w:r>
      <w:r w:rsidR="00A43821">
        <w:t>-</w:t>
      </w:r>
      <w:r w:rsidR="00A43821" w:rsidRPr="00A43821">
        <w:t xml:space="preserve">89/2 </w:t>
      </w:r>
      <w:r w:rsidR="001F4DF4">
        <w:t xml:space="preserve">(turpmāk – pārsūdzētais lēmums) </w:t>
      </w:r>
      <w:r w:rsidR="00A43821" w:rsidRPr="00A43821">
        <w:t xml:space="preserve">atļāva pasūtītājam turpināt iepirkuma procedūru un slēgt iepirkuma līgumu, atstājot spēkā apstrīdētās </w:t>
      </w:r>
      <w:r>
        <w:t xml:space="preserve">iepirkuma </w:t>
      </w:r>
      <w:r w:rsidR="00A43821" w:rsidRPr="00A43821">
        <w:t>nolikuma prasības.</w:t>
      </w:r>
    </w:p>
    <w:p w14:paraId="1B4FBEBC" w14:textId="77777777" w:rsidR="001F4DF4" w:rsidRDefault="001F4DF4" w:rsidP="00FF1A1F">
      <w:pPr>
        <w:spacing w:line="276" w:lineRule="auto"/>
        <w:ind w:firstLine="720"/>
        <w:jc w:val="both"/>
      </w:pPr>
    </w:p>
    <w:p w14:paraId="7CC3D20C" w14:textId="0F7043C8" w:rsidR="001F4DF4" w:rsidRDefault="001F4DF4" w:rsidP="00FF1A1F">
      <w:pPr>
        <w:spacing w:line="276" w:lineRule="auto"/>
        <w:ind w:firstLine="720"/>
        <w:jc w:val="both"/>
      </w:pPr>
      <w:r>
        <w:t>[2] P</w:t>
      </w:r>
      <w:r w:rsidRPr="001F4DF4">
        <w:t xml:space="preserve">ieteicēja vērsās </w:t>
      </w:r>
      <w:r>
        <w:t xml:space="preserve">administratīvajā </w:t>
      </w:r>
      <w:r w:rsidRPr="001F4DF4">
        <w:t>tiesā</w:t>
      </w:r>
      <w:r>
        <w:t>, lūdzot atcelt pārsūdzēto lēmumu.</w:t>
      </w:r>
    </w:p>
    <w:p w14:paraId="7F73AAC8" w14:textId="2255A5AC" w:rsidR="001F4DF4" w:rsidRDefault="001F4DF4" w:rsidP="00FF1A1F">
      <w:pPr>
        <w:spacing w:line="276" w:lineRule="auto"/>
        <w:ind w:firstLine="720"/>
        <w:jc w:val="both"/>
      </w:pPr>
      <w:r w:rsidRPr="001F4DF4">
        <w:lastRenderedPageBreak/>
        <w:t>Ar pasūtītāja 2021.gada 14.jūnija lēmumu iepirkuma līguma noslēgšanas tiesības piešķirtas SIA</w:t>
      </w:r>
      <w:r w:rsidR="000A1250">
        <w:t> </w:t>
      </w:r>
      <w:r w:rsidRPr="001F4DF4">
        <w:t>„JARVA”. Līgums ar konkursa uzvarētāju noslēgts 2021.gada 6.jūlijā</w:t>
      </w:r>
      <w:r w:rsidR="000A1250">
        <w:t>.</w:t>
      </w:r>
    </w:p>
    <w:p w14:paraId="2C9587EF" w14:textId="2D1191D2" w:rsidR="000A1250" w:rsidRDefault="00996CF8" w:rsidP="00FF1A1F">
      <w:pPr>
        <w:spacing w:line="276" w:lineRule="auto"/>
        <w:ind w:firstLine="720"/>
        <w:jc w:val="both"/>
      </w:pPr>
      <w:r>
        <w:t xml:space="preserve">Tiesa precizēja </w:t>
      </w:r>
      <w:r w:rsidR="008A0EB0">
        <w:t xml:space="preserve">pieteicējas </w:t>
      </w:r>
      <w:r>
        <w:t xml:space="preserve">pieteikuma priekšmetu </w:t>
      </w:r>
      <w:r w:rsidR="007F6628">
        <w:t xml:space="preserve">– </w:t>
      </w:r>
      <w:r w:rsidRPr="004D4E75">
        <w:t xml:space="preserve">par </w:t>
      </w:r>
      <w:r>
        <w:t>pārsūdzētā lēmuma</w:t>
      </w:r>
      <w:r w:rsidRPr="00B96FC2">
        <w:t xml:space="preserve"> atzīšanu par prettiesisku</w:t>
      </w:r>
      <w:r>
        <w:t>.</w:t>
      </w:r>
    </w:p>
    <w:p w14:paraId="22F83234" w14:textId="77777777" w:rsidR="00A43821" w:rsidRDefault="00A43821" w:rsidP="00FF1A1F">
      <w:pPr>
        <w:spacing w:line="276" w:lineRule="auto"/>
        <w:ind w:firstLine="720"/>
        <w:jc w:val="both"/>
      </w:pPr>
    </w:p>
    <w:p w14:paraId="296017D8" w14:textId="49A88091" w:rsidR="00996CF8" w:rsidRDefault="00996CF8" w:rsidP="00FF1A1F">
      <w:pPr>
        <w:spacing w:line="276" w:lineRule="auto"/>
        <w:ind w:firstLine="720"/>
        <w:jc w:val="both"/>
      </w:pPr>
      <w:r>
        <w:t>[3] Administratīvā rajona tiesa ar 2023.gada 3.maija spriedumu pieteikumu apmierināja, pamatojoties uz turpmāk minētajiem argumentiem.</w:t>
      </w:r>
    </w:p>
    <w:p w14:paraId="3E40F072" w14:textId="4F7DF012" w:rsidR="006802BC" w:rsidRDefault="008A0EB0" w:rsidP="00FF1A1F">
      <w:pPr>
        <w:spacing w:line="276" w:lineRule="auto"/>
        <w:ind w:firstLine="720"/>
        <w:jc w:val="both"/>
      </w:pPr>
      <w:r>
        <w:t>[3.1] </w:t>
      </w:r>
      <w:r w:rsidR="00845EC3">
        <w:t>L</w:t>
      </w:r>
      <w:r w:rsidR="006802BC" w:rsidRPr="006802BC">
        <w:t>ietā ir strīds</w:t>
      </w:r>
      <w:r w:rsidR="00E322B1">
        <w:t xml:space="preserve"> par to, vai iepirkuma nolikuma prasības ierobežo</w:t>
      </w:r>
      <w:r w:rsidR="006802BC" w:rsidRPr="006802BC">
        <w:t xml:space="preserve"> piegādātāju brīv</w:t>
      </w:r>
      <w:r w:rsidR="00E322B1">
        <w:t xml:space="preserve">u </w:t>
      </w:r>
      <w:r w:rsidR="006802BC" w:rsidRPr="006802BC">
        <w:t>konkurenc</w:t>
      </w:r>
      <w:r w:rsidR="00E322B1">
        <w:t>i</w:t>
      </w:r>
      <w:r w:rsidR="006802BC" w:rsidRPr="006802BC">
        <w:t xml:space="preserve">, </w:t>
      </w:r>
      <w:r w:rsidR="00DF06CE">
        <w:t>ņemot vērā</w:t>
      </w:r>
      <w:r w:rsidR="006802BC" w:rsidRPr="006802BC">
        <w:t xml:space="preserve">, ka piegādājamās iekārtas bija jāsavieto ar konkrēta ceļu meteoroloģisko iekārtu ražotāja – </w:t>
      </w:r>
      <w:r w:rsidR="006802BC" w:rsidRPr="00161E7D">
        <w:rPr>
          <w:i/>
          <w:iCs/>
        </w:rPr>
        <w:t>Boschung</w:t>
      </w:r>
      <w:r w:rsidR="006802BC" w:rsidRPr="00161E7D">
        <w:t xml:space="preserve"> </w:t>
      </w:r>
      <w:r w:rsidR="00E322B1" w:rsidRPr="00161E7D">
        <w:rPr>
          <w:i/>
          <w:iCs/>
        </w:rPr>
        <w:t>Mecatronic AG</w:t>
      </w:r>
      <w:r w:rsidR="00E322B1" w:rsidRPr="006802BC">
        <w:t xml:space="preserve"> </w:t>
      </w:r>
      <w:r w:rsidR="00161E7D">
        <w:t xml:space="preserve">(turpmāk – </w:t>
      </w:r>
      <w:r w:rsidR="00161E7D" w:rsidRPr="00161E7D">
        <w:rPr>
          <w:i/>
          <w:iCs/>
        </w:rPr>
        <w:t>Boschung</w:t>
      </w:r>
      <w:r w:rsidR="00161E7D">
        <w:t>)</w:t>
      </w:r>
      <w:r w:rsidR="00161E7D" w:rsidRPr="00161E7D">
        <w:t xml:space="preserve"> </w:t>
      </w:r>
      <w:r w:rsidR="006802BC" w:rsidRPr="006802BC">
        <w:t>– izstrādātu pārlūkprogrammu</w:t>
      </w:r>
      <w:r w:rsidR="006802BC">
        <w:t xml:space="preserve"> </w:t>
      </w:r>
      <w:r w:rsidR="006802BC" w:rsidRPr="006802BC">
        <w:rPr>
          <w:i/>
          <w:iCs/>
        </w:rPr>
        <w:t>BORRMA-WEB</w:t>
      </w:r>
      <w:r w:rsidR="006802BC" w:rsidRPr="006802BC">
        <w:t>.</w:t>
      </w:r>
    </w:p>
    <w:p w14:paraId="62CC77E9" w14:textId="6C11A3A0" w:rsidR="001731AB" w:rsidRPr="00161E7D" w:rsidRDefault="006802BC" w:rsidP="00FF1A1F">
      <w:pPr>
        <w:spacing w:line="276" w:lineRule="auto"/>
        <w:ind w:firstLine="720"/>
        <w:jc w:val="both"/>
      </w:pPr>
      <w:r w:rsidRPr="00161E7D">
        <w:t>[3.2] </w:t>
      </w:r>
      <w:r w:rsidR="006D0542" w:rsidRPr="00161E7D">
        <w:t>I</w:t>
      </w:r>
      <w:r w:rsidR="001731AB" w:rsidRPr="00161E7D">
        <w:t xml:space="preserve">epirkuma nolikuma 3.4.1.4.punkts paredzēja, ka pretendenta rīcībā ir jābūt personai ar ražotāja izsniegtu dokumentu, kas apliecina tās tehnisko kompetenci veikt ceļu meteoroloģisko staciju uzstādīšanas un apkalpošanas darbus ar pasūtītāja rīcībā esošo ražotāja </w:t>
      </w:r>
      <w:r w:rsidR="001731AB" w:rsidRPr="00161E7D">
        <w:rPr>
          <w:i/>
          <w:iCs/>
        </w:rPr>
        <w:t>Boschung</w:t>
      </w:r>
      <w:r w:rsidR="001731AB" w:rsidRPr="00161E7D">
        <w:t xml:space="preserve"> un</w:t>
      </w:r>
      <w:r w:rsidR="006D0542" w:rsidRPr="00161E7D">
        <w:t xml:space="preserve"> </w:t>
      </w:r>
      <w:r w:rsidR="001731AB" w:rsidRPr="00161E7D">
        <w:t xml:space="preserve">pretendenta piedāvātajām ražotāja </w:t>
      </w:r>
      <w:r w:rsidR="001731AB" w:rsidRPr="00161E7D">
        <w:rPr>
          <w:i/>
          <w:iCs/>
        </w:rPr>
        <w:t>Boschung</w:t>
      </w:r>
      <w:r w:rsidR="001731AB" w:rsidRPr="00161E7D">
        <w:t xml:space="preserve"> iekārtām ekvivalento ceļa meteoroloģisko aprīkojumu (pieļaujams, ka par katru ražotāja ceļa meteoroloģisko aprīkojumu var būt dažādas personas ar attiecīga ražotāja izsniegtu dokumentu).</w:t>
      </w:r>
      <w:r w:rsidR="00F92E2B" w:rsidRPr="00161E7D">
        <w:t xml:space="preserve"> </w:t>
      </w:r>
    </w:p>
    <w:p w14:paraId="50E2CE7D" w14:textId="33C10C34" w:rsidR="001731AB" w:rsidRPr="00161E7D" w:rsidRDefault="001731AB" w:rsidP="00FF1A1F">
      <w:pPr>
        <w:spacing w:line="276" w:lineRule="auto"/>
        <w:ind w:firstLine="720"/>
        <w:jc w:val="both"/>
      </w:pPr>
      <w:r w:rsidRPr="00161E7D">
        <w:t xml:space="preserve">Iepirkuma nolikuma 4.pielikuma „Ceļa un laika apstākļu informācijas sistēmas tehniskā specifikācija” 3.14.punkts noteica, ka meteoroloģiskās stacijas kontrollera mērījumu dati ne retāk kā vienu reizi vienā minūtē tiek nosūtīti uz departamenta rīcībā esošo </w:t>
      </w:r>
      <w:r w:rsidRPr="00161E7D">
        <w:rPr>
          <w:i/>
          <w:iCs/>
        </w:rPr>
        <w:t>Boschung</w:t>
      </w:r>
      <w:r w:rsidRPr="00161E7D">
        <w:t xml:space="preserve"> ceļu meteoroloģiskās informācijas serveri, kurā jau tiek atspoguļoti dati no </w:t>
      </w:r>
      <w:r w:rsidRPr="00161E7D">
        <w:rPr>
          <w:i/>
          <w:iCs/>
        </w:rPr>
        <w:t>Boschung</w:t>
      </w:r>
      <w:r w:rsidRPr="00161E7D">
        <w:t xml:space="preserve">, </w:t>
      </w:r>
      <w:r w:rsidRPr="00161E7D">
        <w:rPr>
          <w:i/>
          <w:iCs/>
        </w:rPr>
        <w:t>Vaisala</w:t>
      </w:r>
      <w:r w:rsidRPr="00161E7D">
        <w:t xml:space="preserve"> un </w:t>
      </w:r>
      <w:r w:rsidRPr="00161E7D">
        <w:rPr>
          <w:i/>
          <w:iCs/>
        </w:rPr>
        <w:t>Gill</w:t>
      </w:r>
      <w:r w:rsidRPr="00161E7D">
        <w:t xml:space="preserve"> meteoroloģiskām iekārtām, kā arī foto attēli no </w:t>
      </w:r>
      <w:r w:rsidRPr="00161E7D">
        <w:rPr>
          <w:i/>
          <w:iCs/>
        </w:rPr>
        <w:t>Mobotix</w:t>
      </w:r>
      <w:r w:rsidRPr="00161E7D">
        <w:t xml:space="preserve">, </w:t>
      </w:r>
      <w:r w:rsidRPr="00161E7D">
        <w:rPr>
          <w:i/>
          <w:iCs/>
        </w:rPr>
        <w:t>Hikvision</w:t>
      </w:r>
      <w:r w:rsidRPr="00161E7D">
        <w:t xml:space="preserve"> un </w:t>
      </w:r>
      <w:r w:rsidRPr="00161E7D">
        <w:rPr>
          <w:i/>
          <w:iCs/>
        </w:rPr>
        <w:t xml:space="preserve">Axis </w:t>
      </w:r>
      <w:r w:rsidRPr="00161E7D">
        <w:t xml:space="preserve">videonovērošanas kamerām atbilstoši ražotāja noteiktiem parametriem, izmantojot attiecīgi </w:t>
      </w:r>
      <w:r w:rsidRPr="00161E7D">
        <w:rPr>
          <w:i/>
          <w:iCs/>
        </w:rPr>
        <w:t>HTTPS</w:t>
      </w:r>
      <w:r w:rsidRPr="00161E7D">
        <w:t xml:space="preserve"> pieprasījumus meteoroloģisk</w:t>
      </w:r>
      <w:r w:rsidR="00DF06CE" w:rsidRPr="00161E7D">
        <w:t>aj</w:t>
      </w:r>
      <w:r w:rsidRPr="00161E7D">
        <w:t xml:space="preserve">ām iekārtām un </w:t>
      </w:r>
      <w:r w:rsidRPr="00161E7D">
        <w:rPr>
          <w:i/>
          <w:iCs/>
        </w:rPr>
        <w:t>FTP</w:t>
      </w:r>
      <w:r w:rsidRPr="00161E7D">
        <w:t xml:space="preserve"> protokolu videonovērošanas kamerām. Saskaņā ar </w:t>
      </w:r>
      <w:r w:rsidR="00DF06CE" w:rsidRPr="00161E7D">
        <w:t>4.</w:t>
      </w:r>
      <w:r w:rsidRPr="00161E7D">
        <w:t>pielikuma 10.punktu piegādātājam jāveic visu darbu kompleksa izpilde, lai nodrošinātu ceļa un laika apstākļu informācijas sistēmas uzstādīšanu un darbības uzsākšanu: stacijas un visu devēju (sensori un zondes) uzstādīšana, montāža un pieslēgšana; pasūtītāja rīcībā esošā meteoroloģisko datu atspoguļošanas servera programmu nodrošinājuma modifikācija, lai saņemtu un atspoguļotu datus arī no jaunajiem meteoroloģiskās stacijas sensoriem un zondēm; regulēšana, testēšana un iekārtas ekspluatācijas uzsākšana; tehniskās dokumentācijas un lietotāja instrukcijas piegāde, personāla apmācība.</w:t>
      </w:r>
    </w:p>
    <w:p w14:paraId="28C96FC3" w14:textId="5671BA32" w:rsidR="00B45448" w:rsidRDefault="00C0316C" w:rsidP="00FF1A1F">
      <w:pPr>
        <w:spacing w:line="276" w:lineRule="auto"/>
        <w:ind w:firstLine="720"/>
        <w:jc w:val="both"/>
      </w:pPr>
      <w:r>
        <w:t>[3.3] </w:t>
      </w:r>
      <w:r w:rsidR="00612862">
        <w:t>N</w:t>
      </w:r>
      <w:r w:rsidR="00B45448">
        <w:t xml:space="preserve">o iepirkuma </w:t>
      </w:r>
      <w:r w:rsidR="00B45448" w:rsidRPr="00C0316C">
        <w:t xml:space="preserve">nolikuma 3.4.1.4.punkta </w:t>
      </w:r>
      <w:r w:rsidR="00B45448">
        <w:t xml:space="preserve">tiešā tekstā </w:t>
      </w:r>
      <w:r w:rsidR="00B45448" w:rsidRPr="00C0316C">
        <w:t xml:space="preserve">neizriet prasība </w:t>
      </w:r>
      <w:r w:rsidR="00B45448">
        <w:t xml:space="preserve">nodrošināt </w:t>
      </w:r>
      <w:r w:rsidR="00B45448" w:rsidRPr="00C0316C">
        <w:t xml:space="preserve">kompetenci darbam tieši ar pārlūkprogrammu </w:t>
      </w:r>
      <w:r w:rsidR="00B45448" w:rsidRPr="00B45448">
        <w:rPr>
          <w:i/>
          <w:iCs/>
        </w:rPr>
        <w:t>BORRMA-WEB</w:t>
      </w:r>
      <w:r w:rsidR="00B45448">
        <w:t>. T</w:t>
      </w:r>
      <w:r w:rsidRPr="00C0316C">
        <w:t xml:space="preserve">omēr, aplūkojot prasības to savstarpējā saistībā, </w:t>
      </w:r>
      <w:r w:rsidR="00B45448">
        <w:t xml:space="preserve">var </w:t>
      </w:r>
      <w:r w:rsidRPr="00C0316C">
        <w:t>secin</w:t>
      </w:r>
      <w:r w:rsidR="00B45448">
        <w:t>āt</w:t>
      </w:r>
      <w:r w:rsidRPr="00C0316C">
        <w:t xml:space="preserve">, ka pretendentam </w:t>
      </w:r>
      <w:r w:rsidR="00612862">
        <w:t>bija jā</w:t>
      </w:r>
      <w:r w:rsidRPr="00C0316C">
        <w:t>apliecin</w:t>
      </w:r>
      <w:r w:rsidR="00612862">
        <w:t>a</w:t>
      </w:r>
      <w:r w:rsidRPr="00C0316C">
        <w:t xml:space="preserve"> tehnisk</w:t>
      </w:r>
      <w:r w:rsidR="00612862">
        <w:t>ā</w:t>
      </w:r>
      <w:r w:rsidRPr="00C0316C">
        <w:t xml:space="preserve"> kompetenc</w:t>
      </w:r>
      <w:r w:rsidR="00612862">
        <w:t>e</w:t>
      </w:r>
      <w:r w:rsidR="00F92E2B">
        <w:t>,</w:t>
      </w:r>
      <w:r w:rsidRPr="00C0316C">
        <w:t xml:space="preserve"> tostarp darbam ar </w:t>
      </w:r>
      <w:r w:rsidR="00567EFC" w:rsidRPr="00567EFC">
        <w:t>pārlūkprogrammu</w:t>
      </w:r>
      <w:r w:rsidRPr="00567EFC">
        <w:t xml:space="preserve"> </w:t>
      </w:r>
      <w:r w:rsidRPr="00B45448">
        <w:rPr>
          <w:i/>
          <w:iCs/>
        </w:rPr>
        <w:t>BORRMA-WEB</w:t>
      </w:r>
      <w:r w:rsidRPr="00C0316C">
        <w:t>, lai varētu tajā saņemt un atspoguļot datus arī no pretendenta piegādājamo meteoroloģisko staciju sensoriem un zondēm, šim nolūkam nepieciešamības gadījumā veicot arī programmas modifikāciju.</w:t>
      </w:r>
    </w:p>
    <w:p w14:paraId="5F1F5A36" w14:textId="77777777" w:rsidR="00567EFC" w:rsidRDefault="00C0316C" w:rsidP="00FF1A1F">
      <w:pPr>
        <w:spacing w:line="276" w:lineRule="auto"/>
        <w:ind w:firstLine="720"/>
        <w:jc w:val="both"/>
      </w:pPr>
      <w:r w:rsidRPr="00C0316C">
        <w:t xml:space="preserve">Ja pretendents šādu apliecinājumu nevarētu uzrādīt, tad pasūtītājs arī nevarētu pārliecināties par to, ka pretendents spēs nodrošināt piegādājamo iekārtu pieslēgšanu pārlūkprogrammai </w:t>
      </w:r>
      <w:r w:rsidRPr="00B45448">
        <w:rPr>
          <w:i/>
          <w:iCs/>
        </w:rPr>
        <w:t>BORRMA-WEB</w:t>
      </w:r>
      <w:r w:rsidRPr="00C0316C">
        <w:t xml:space="preserve">, bet iekārtu piegāde un uzstādīšana bez to sensoru datu apstrādes vienotā sistēmā pēc būtības būtu bezjēdzīga. </w:t>
      </w:r>
    </w:p>
    <w:p w14:paraId="3BCA774A" w14:textId="2C99EB4F" w:rsidR="00C0316C" w:rsidRDefault="00C0316C" w:rsidP="00FF1A1F">
      <w:pPr>
        <w:spacing w:line="276" w:lineRule="auto"/>
        <w:ind w:firstLine="720"/>
        <w:jc w:val="both"/>
      </w:pPr>
      <w:r w:rsidRPr="00C0316C">
        <w:t>Tādēļ no šāda viedokļa minētā prasība ir loģiska. Turklāt pasūtītāj</w:t>
      </w:r>
      <w:r w:rsidR="009E7B7A">
        <w:t>s</w:t>
      </w:r>
      <w:r w:rsidR="00845EC3">
        <w:t xml:space="preserve"> ir a</w:t>
      </w:r>
      <w:r w:rsidRPr="00C0316C">
        <w:t>pstiprināj</w:t>
      </w:r>
      <w:r w:rsidR="00845EC3">
        <w:t>is</w:t>
      </w:r>
      <w:r w:rsidRPr="00C0316C">
        <w:t xml:space="preserve">, ka no </w:t>
      </w:r>
      <w:r w:rsidR="00845EC3">
        <w:t>iepirkuma</w:t>
      </w:r>
      <w:r w:rsidRPr="00C0316C">
        <w:t xml:space="preserve"> nolikuma prasībām izrietēja, ka pretendentam ir nepieciešama </w:t>
      </w:r>
      <w:r w:rsidRPr="00C0316C">
        <w:lastRenderedPageBreak/>
        <w:t xml:space="preserve">kompetence darbam ar pārlūkprogrammu </w:t>
      </w:r>
      <w:r w:rsidRPr="00530AD1">
        <w:rPr>
          <w:i/>
          <w:iCs/>
        </w:rPr>
        <w:t>BORRMA-WEB</w:t>
      </w:r>
      <w:r w:rsidRPr="00C0316C">
        <w:t xml:space="preserve">, lai nodrošinātu piegādājamo iekārtu (konkrēti, meteoroloģisko staciju) pieslēgšanu, un ka </w:t>
      </w:r>
      <w:r w:rsidRPr="00530AD1">
        <w:rPr>
          <w:i/>
          <w:iCs/>
        </w:rPr>
        <w:t xml:space="preserve">Boschung </w:t>
      </w:r>
      <w:r w:rsidRPr="00C0316C">
        <w:t>izsniegts apliecinājums attiecīgajam pretendenta rīcībā esošajam speciālistam ir vienīgais veids, kā pārliecināties par šo kompetenci</w:t>
      </w:r>
      <w:r w:rsidR="00530AD1">
        <w:t>.</w:t>
      </w:r>
      <w:r w:rsidRPr="00C0316C">
        <w:t xml:space="preserve"> </w:t>
      </w:r>
    </w:p>
    <w:p w14:paraId="2F18772D" w14:textId="1287D144" w:rsidR="00567EFC" w:rsidRDefault="00530AD1" w:rsidP="00FF1A1F">
      <w:pPr>
        <w:spacing w:line="276" w:lineRule="auto"/>
        <w:ind w:firstLine="720"/>
        <w:jc w:val="both"/>
      </w:pPr>
      <w:r>
        <w:t>[3.4] </w:t>
      </w:r>
      <w:r w:rsidR="00572843">
        <w:t xml:space="preserve">Lai </w:t>
      </w:r>
      <w:r w:rsidRPr="00530AD1">
        <w:t xml:space="preserve">arī minētajai prasībai ir saskatāms racionāls pamatojums, jo darbam ar specifisku programmatūru ir nepieciešamas atbilstošas zināšanas un pieredze, tomēr ir </w:t>
      </w:r>
      <w:r w:rsidRPr="00426D69">
        <w:t xml:space="preserve">pievēršama uzmanība apstākļiem, kādos pasūtītāja rīcībā ir nonākusi ražotāja </w:t>
      </w:r>
      <w:r w:rsidRPr="00426D69">
        <w:rPr>
          <w:i/>
          <w:iCs/>
        </w:rPr>
        <w:t>Boschung</w:t>
      </w:r>
      <w:r w:rsidRPr="00426D69">
        <w:t xml:space="preserve"> pārlūkprogramma </w:t>
      </w:r>
      <w:r w:rsidRPr="00426D69">
        <w:rPr>
          <w:i/>
          <w:iCs/>
        </w:rPr>
        <w:t>BORRMA-WEB</w:t>
      </w:r>
      <w:r w:rsidRPr="00426D69">
        <w:t>.</w:t>
      </w:r>
      <w:r w:rsidRPr="00530AD1">
        <w:t xml:space="preserve"> </w:t>
      </w:r>
    </w:p>
    <w:p w14:paraId="69A61846" w14:textId="571DAB88" w:rsidR="00294A1B" w:rsidRDefault="00294A1B" w:rsidP="00FF1A1F">
      <w:pPr>
        <w:spacing w:line="276" w:lineRule="auto"/>
        <w:ind w:firstLine="720"/>
        <w:jc w:val="both"/>
      </w:pPr>
      <w:r>
        <w:t xml:space="preserve">No pierādījumiem lietā izriet, ka </w:t>
      </w:r>
      <w:r w:rsidRPr="00572843">
        <w:t>pēc</w:t>
      </w:r>
      <w:r w:rsidRPr="00294A1B">
        <w:t xml:space="preserve"> </w:t>
      </w:r>
      <w:r>
        <w:t xml:space="preserve">iepriekšējā, proti, </w:t>
      </w:r>
      <w:r w:rsidRPr="00294A1B">
        <w:t xml:space="preserve">2020.gada iepirkuma noslēgšanās pasūtītājam ir tikusi nodrošināta iespēja bez maksas izmantot ražotāja </w:t>
      </w:r>
      <w:r w:rsidRPr="00294A1B">
        <w:rPr>
          <w:i/>
          <w:iCs/>
        </w:rPr>
        <w:t xml:space="preserve">Boschung </w:t>
      </w:r>
      <w:r w:rsidRPr="00294A1B">
        <w:t xml:space="preserve">pārlūkprogrammu </w:t>
      </w:r>
      <w:r w:rsidRPr="00294A1B">
        <w:rPr>
          <w:i/>
          <w:iCs/>
        </w:rPr>
        <w:t>BORRMA-WEB</w:t>
      </w:r>
      <w:r w:rsidRPr="00294A1B">
        <w:t xml:space="preserve">, integrējot tajā pasūtītāja rīcībā jau esošās ceļu meteoroloģiskās iekārtas. </w:t>
      </w:r>
      <w:r>
        <w:t xml:space="preserve">Minēto citstarp apliecina </w:t>
      </w:r>
      <w:r w:rsidRPr="00294A1B">
        <w:t>SIA</w:t>
      </w:r>
      <w:r>
        <w:t> </w:t>
      </w:r>
      <w:r w:rsidRPr="00294A1B">
        <w:t>„JARVA”</w:t>
      </w:r>
      <w:r w:rsidR="00426D69">
        <w:t xml:space="preserve"> –</w:t>
      </w:r>
      <w:r w:rsidRPr="00294A1B">
        <w:t xml:space="preserve"> ražotāja </w:t>
      </w:r>
      <w:r w:rsidRPr="00294A1B">
        <w:rPr>
          <w:i/>
          <w:iCs/>
        </w:rPr>
        <w:t>Boschung</w:t>
      </w:r>
      <w:r w:rsidRPr="00294A1B">
        <w:t xml:space="preserve"> pārstāvja Baltijas valstīs</w:t>
      </w:r>
      <w:r w:rsidR="00426D69">
        <w:t xml:space="preserve"> –</w:t>
      </w:r>
      <w:r w:rsidRPr="00294A1B">
        <w:t xml:space="preserve"> 2021.gada 7.aprī</w:t>
      </w:r>
      <w:r>
        <w:t xml:space="preserve">ļa vēstule pasūtītājam. </w:t>
      </w:r>
    </w:p>
    <w:p w14:paraId="3E422C8E" w14:textId="54D3D16B" w:rsidR="00530AD1" w:rsidRDefault="00845EC3" w:rsidP="00FF1A1F">
      <w:pPr>
        <w:spacing w:line="276" w:lineRule="auto"/>
        <w:ind w:firstLine="720"/>
        <w:jc w:val="both"/>
      </w:pPr>
      <w:r>
        <w:t>K</w:t>
      </w:r>
      <w:r w:rsidR="00294A1B" w:rsidRPr="00530AD1">
        <w:t>onkrētā pārlūkprogramma nav tikusi izraudzīta publiskā iepirkuma procedūras ietvaros</w:t>
      </w:r>
      <w:r w:rsidR="00294A1B">
        <w:t>. Savukārt</w:t>
      </w:r>
      <w:r w:rsidR="00294A1B" w:rsidRPr="00294A1B">
        <w:t xml:space="preserve">, uzsākot lietot konkrēto produktu, </w:t>
      </w:r>
      <w:r w:rsidR="00294A1B">
        <w:t xml:space="preserve">pasūtītājs </w:t>
      </w:r>
      <w:r w:rsidR="00294A1B" w:rsidRPr="00294A1B">
        <w:t>nebija apsvēris šā fakta ietekmi uz brīvas konkurences nodrošināšanu citos līdzīgos iepirkumos nākotnē.</w:t>
      </w:r>
      <w:r w:rsidR="00294A1B">
        <w:t xml:space="preserve"> </w:t>
      </w:r>
      <w:r w:rsidR="00294A1B" w:rsidRPr="00426D69">
        <w:t>Ja pārlūkprogramma būtu tikusi izraudzīta publiskā iepirkuma ietvaros</w:t>
      </w:r>
      <w:r w:rsidR="00530AD1" w:rsidRPr="00426D69">
        <w:t>, tad turpmākās prasības kompetencei darbam tieši ar šo sistēmu būtu ne vien racionāli, bet arī tiesiski pamatotas, un jau pretendentu ziņā būtu, kā iegūt šādu lietpratību</w:t>
      </w:r>
      <w:r w:rsidR="00567EFC" w:rsidRPr="00426D69">
        <w:t>.</w:t>
      </w:r>
    </w:p>
    <w:p w14:paraId="2D694FBD" w14:textId="0DB05BCC" w:rsidR="00294A1B" w:rsidRDefault="00845EC3" w:rsidP="00FF1A1F">
      <w:pPr>
        <w:spacing w:line="276" w:lineRule="auto"/>
        <w:ind w:firstLine="720"/>
        <w:jc w:val="both"/>
      </w:pPr>
      <w:r>
        <w:t>S</w:t>
      </w:r>
      <w:r w:rsidR="00294A1B" w:rsidRPr="00294A1B">
        <w:t xml:space="preserve">ecināms, ka pasūtītājs nebija ņēmis vērā to, ka </w:t>
      </w:r>
      <w:r>
        <w:t xml:space="preserve">iepirkuma </w:t>
      </w:r>
      <w:r w:rsidR="00294A1B" w:rsidRPr="00294A1B">
        <w:t xml:space="preserve">nolikuma prasības pēc būtības tiek pakārtotas faktam, ka pasūtītāja rīcībā ir konkrēta iekārtu ražotāja pārlūkprogramma. Tas arī rada nepamatotu konkurences ierobežojumu, jo ar to tiek panākta priekšrocība ražotāja </w:t>
      </w:r>
      <w:r w:rsidR="00294A1B" w:rsidRPr="00294A1B">
        <w:rPr>
          <w:i/>
          <w:iCs/>
        </w:rPr>
        <w:t>Boschung</w:t>
      </w:r>
      <w:r w:rsidR="00294A1B" w:rsidRPr="00294A1B">
        <w:t xml:space="preserve"> iekārtu piegādāt</w:t>
      </w:r>
      <w:r w:rsidR="003E6B70">
        <w:t>ā</w:t>
      </w:r>
      <w:r w:rsidR="00294A1B" w:rsidRPr="00294A1B">
        <w:t>jiem, savukārt ekvivalentu iekārtu piegādātājiem izveidojas šķērslis, kas būtiski apgrūtina vai pat liedz dalību konkursā.</w:t>
      </w:r>
    </w:p>
    <w:p w14:paraId="4ABD7F23" w14:textId="3F18420F" w:rsidR="00567EFC" w:rsidRDefault="00294A1B" w:rsidP="00FF1A1F">
      <w:pPr>
        <w:spacing w:line="276" w:lineRule="auto"/>
        <w:ind w:firstLine="720"/>
        <w:jc w:val="both"/>
      </w:pPr>
      <w:r>
        <w:t>[3.5] </w:t>
      </w:r>
      <w:r w:rsidR="00845EC3">
        <w:t>N</w:t>
      </w:r>
      <w:r w:rsidR="00AB483A" w:rsidRPr="00AB483A">
        <w:t xml:space="preserve">ozīme piešķirama arī tam, vai pretendentiem bija vienlīdzīgas iespējas izpildīt prasību kompetences apliecināšanai darbam ar ražotāja </w:t>
      </w:r>
      <w:r w:rsidR="00AB483A" w:rsidRPr="00AB483A">
        <w:rPr>
          <w:i/>
          <w:iCs/>
        </w:rPr>
        <w:t xml:space="preserve">Boschung </w:t>
      </w:r>
      <w:r w:rsidR="00AB483A" w:rsidRPr="00AB483A">
        <w:t xml:space="preserve">pārlūkprogrammu </w:t>
      </w:r>
      <w:r w:rsidR="00AB483A" w:rsidRPr="00AB483A">
        <w:rPr>
          <w:i/>
          <w:iCs/>
        </w:rPr>
        <w:t>BORRMA-WEB</w:t>
      </w:r>
      <w:r w:rsidR="00AB483A" w:rsidRPr="00AB483A">
        <w:t>.</w:t>
      </w:r>
    </w:p>
    <w:p w14:paraId="17A30D14" w14:textId="095ED432" w:rsidR="00FF7C7F" w:rsidRDefault="00845EC3" w:rsidP="00FF1A1F">
      <w:pPr>
        <w:spacing w:line="276" w:lineRule="auto"/>
        <w:ind w:firstLine="720"/>
        <w:jc w:val="both"/>
      </w:pPr>
      <w:r>
        <w:t>P</w:t>
      </w:r>
      <w:r w:rsidR="00AB483A" w:rsidRPr="00AB483A">
        <w:t xml:space="preserve">asūtītājs nebija veicis pienācīgu tirgus izpēti un pārliecinājies, ka attiecībā uz </w:t>
      </w:r>
      <w:r w:rsidR="00AB483A" w:rsidRPr="00AB483A">
        <w:rPr>
          <w:i/>
          <w:iCs/>
        </w:rPr>
        <w:t>Boschung</w:t>
      </w:r>
      <w:r w:rsidR="00AB483A" w:rsidRPr="00AB483A">
        <w:t xml:space="preserve"> izsniegtu kompetences apliecinājumu visiem pretendentiem pastāv vienlīdzīgas iespējas.</w:t>
      </w:r>
      <w:r w:rsidR="00AB483A">
        <w:t xml:space="preserve"> </w:t>
      </w:r>
    </w:p>
    <w:p w14:paraId="4C246026" w14:textId="2AA85A75" w:rsidR="00AB483A" w:rsidRDefault="00AB483A" w:rsidP="00FF1A1F">
      <w:pPr>
        <w:spacing w:line="276" w:lineRule="auto"/>
        <w:ind w:firstLine="720"/>
        <w:jc w:val="both"/>
      </w:pPr>
      <w:r>
        <w:t>K</w:t>
      </w:r>
      <w:r w:rsidRPr="00AB483A">
        <w:t xml:space="preserve">onkursa nolikums nenodrošināja vienlīdzīgas iespējas visiem pretendentiem, jo ražotāja </w:t>
      </w:r>
      <w:r w:rsidRPr="00AB483A">
        <w:rPr>
          <w:i/>
          <w:iCs/>
        </w:rPr>
        <w:t xml:space="preserve">Boschung </w:t>
      </w:r>
      <w:r w:rsidRPr="00AB483A">
        <w:t xml:space="preserve">iekārtu piegādātājiem bija būtiska konkurences priekšrocība salīdzinājumā ar citu ražotāju ekvivalentu iekārtu potenciālajiem piegādātājiem tā iemesla dēļ, ka piegādātājiem bija jārēķinās ar faktu, ka piegādājamās iekārtas ir jāsavieto ar ražotāja </w:t>
      </w:r>
      <w:r w:rsidRPr="00AB483A">
        <w:rPr>
          <w:i/>
          <w:iCs/>
        </w:rPr>
        <w:t>Boschung</w:t>
      </w:r>
      <w:r w:rsidRPr="00AB483A">
        <w:t xml:space="preserve"> izstrādātu programmatūru, bez alternatīvu risinājumu piedāvāšanas iespējām. </w:t>
      </w:r>
    </w:p>
    <w:p w14:paraId="128C4DC5" w14:textId="5BAE9C29" w:rsidR="00AB483A" w:rsidRDefault="00AB483A" w:rsidP="00FF1A1F">
      <w:pPr>
        <w:spacing w:line="276" w:lineRule="auto"/>
        <w:ind w:firstLine="720"/>
        <w:jc w:val="both"/>
      </w:pPr>
      <w:r w:rsidRPr="00AB483A">
        <w:t xml:space="preserve">Pasūtītājs tādējādi bija pieļāvis favorītisku attieksmi attiecībā uz ražotāja </w:t>
      </w:r>
      <w:r w:rsidRPr="00AB483A">
        <w:rPr>
          <w:i/>
          <w:iCs/>
        </w:rPr>
        <w:t xml:space="preserve">Boschung </w:t>
      </w:r>
      <w:r w:rsidRPr="00AB483A">
        <w:t xml:space="preserve">produktu piegādātājiem. Šajā kontekstā ir nozīmīgi, ka </w:t>
      </w:r>
      <w:r w:rsidRPr="00AB483A">
        <w:rPr>
          <w:i/>
          <w:iCs/>
        </w:rPr>
        <w:t xml:space="preserve">Boschung </w:t>
      </w:r>
      <w:r w:rsidRPr="00AB483A">
        <w:t xml:space="preserve">iekārtu piegādātājiem bija pietiekami ar </w:t>
      </w:r>
      <w:r w:rsidRPr="00AB483A">
        <w:rPr>
          <w:i/>
          <w:iCs/>
        </w:rPr>
        <w:t xml:space="preserve">Boschung </w:t>
      </w:r>
      <w:r w:rsidRPr="00AB483A">
        <w:t xml:space="preserve">tehnisko kompetenci apliecinošu dokumentu, kas vienlīdz attiecināms kā uz iekārtu apkalpošanu, tā arī uz to pieslēgšanu pārlūkprogrammai </w:t>
      </w:r>
      <w:r w:rsidRPr="00AB483A">
        <w:rPr>
          <w:i/>
          <w:iCs/>
        </w:rPr>
        <w:t>BORRMA-WEB</w:t>
      </w:r>
      <w:r w:rsidRPr="00AB483A">
        <w:t xml:space="preserve">, savukārt citu ražotāju ekvivalentu iekārtu piegādātāju rīcībā bija jābūt personai gan ar attiecīgā ražotāja izsniegtu apliecinājumu, gan ar </w:t>
      </w:r>
      <w:r w:rsidRPr="00AB483A">
        <w:rPr>
          <w:i/>
          <w:iCs/>
        </w:rPr>
        <w:t>Boschung</w:t>
      </w:r>
      <w:r w:rsidRPr="00AB483A">
        <w:t xml:space="preserve"> dokumentu, kas pierādītu kompetenci attiecīgās iekārtas savietot (konfigurēt) ar programmu </w:t>
      </w:r>
      <w:r w:rsidRPr="00AB483A">
        <w:rPr>
          <w:i/>
          <w:iCs/>
        </w:rPr>
        <w:t>BORRMA-WEB</w:t>
      </w:r>
      <w:r w:rsidRPr="00AB483A">
        <w:t xml:space="preserve">. Papildus tam, lietā nav apstiprinājies, ka </w:t>
      </w:r>
      <w:r w:rsidRPr="00CC2B02">
        <w:rPr>
          <w:i/>
          <w:iCs/>
        </w:rPr>
        <w:t xml:space="preserve">Boschung </w:t>
      </w:r>
      <w:r w:rsidRPr="001F7B73">
        <w:t>ie</w:t>
      </w:r>
      <w:r w:rsidRPr="00AB483A">
        <w:t xml:space="preserve">kārtām ekvivalenta aprīkojuma piegādātājiem konkursa norises laikā būtu </w:t>
      </w:r>
      <w:r w:rsidRPr="00AB483A">
        <w:lastRenderedPageBreak/>
        <w:t xml:space="preserve">bijušas reālas iespējas iegūt </w:t>
      </w:r>
      <w:r w:rsidRPr="00CC2B02">
        <w:rPr>
          <w:i/>
          <w:iCs/>
        </w:rPr>
        <w:t>Boschung</w:t>
      </w:r>
      <w:r w:rsidRPr="00AB483A">
        <w:t xml:space="preserve"> izsniegtu tehnisko kompetenci apliecinošu dokumentu.</w:t>
      </w:r>
    </w:p>
    <w:p w14:paraId="513DF480" w14:textId="748E03C4" w:rsidR="00C0316C" w:rsidRDefault="00845EC3" w:rsidP="00FF1A1F">
      <w:pPr>
        <w:spacing w:line="276" w:lineRule="auto"/>
        <w:ind w:firstLine="720"/>
        <w:jc w:val="both"/>
      </w:pPr>
      <w:r>
        <w:t xml:space="preserve">Birojs šim </w:t>
      </w:r>
      <w:r w:rsidR="001F7B73" w:rsidRPr="001F7B73">
        <w:t>aspektam nav snie</w:t>
      </w:r>
      <w:r>
        <w:t>dzis</w:t>
      </w:r>
      <w:r w:rsidR="001F7B73" w:rsidRPr="001F7B73">
        <w:t xml:space="preserve"> pienācīg</w:t>
      </w:r>
      <w:r>
        <w:t>u</w:t>
      </w:r>
      <w:r w:rsidR="001F7B73" w:rsidRPr="001F7B73">
        <w:t xml:space="preserve"> novērtējum</w:t>
      </w:r>
      <w:r>
        <w:t>u</w:t>
      </w:r>
      <w:r w:rsidR="001F7B73" w:rsidRPr="001F7B73">
        <w:t xml:space="preserve">, to aplūkojot vienīgi kontekstā ar apstākli, ka ar </w:t>
      </w:r>
      <w:r w:rsidR="001F7B73" w:rsidRPr="001F7B73">
        <w:rPr>
          <w:i/>
          <w:iCs/>
        </w:rPr>
        <w:t>Boschung</w:t>
      </w:r>
      <w:r w:rsidR="001F7B73" w:rsidRPr="001F7B73">
        <w:t xml:space="preserve"> serveri (pārlūkprogrammu </w:t>
      </w:r>
      <w:r w:rsidR="001F7B73" w:rsidRPr="001F7B73">
        <w:rPr>
          <w:i/>
          <w:iCs/>
        </w:rPr>
        <w:t>BORRMA-WEB</w:t>
      </w:r>
      <w:r w:rsidR="001F7B73" w:rsidRPr="001F7B73">
        <w:t>) ir savietojamas arī citu ražotāju iekārtas, un nepamatoti secin</w:t>
      </w:r>
      <w:r>
        <w:t>ājis</w:t>
      </w:r>
      <w:r w:rsidR="001F7B73" w:rsidRPr="001F7B73">
        <w:t xml:space="preserve">, ka pretendents būtu varējis piesaistīt speciālistu darbam ar pasūtītāja rīcībā esošajām </w:t>
      </w:r>
      <w:r w:rsidR="001F7B73" w:rsidRPr="001F7B73">
        <w:rPr>
          <w:i/>
          <w:iCs/>
        </w:rPr>
        <w:t>Boschung</w:t>
      </w:r>
      <w:r w:rsidR="001F7B73" w:rsidRPr="001F7B73">
        <w:t xml:space="preserve"> iekārtām. Šāds secinājums būtībā ir balstīts uz pieļāvumu, ka atbilstošas apmācības ir bijušas pieejamas un speciālistu piesaistei nav bijis nozīmīgu šķēršļu, tomēr tas nav pamatots ar lietā noskaidrotajiem faktiem.</w:t>
      </w:r>
    </w:p>
    <w:p w14:paraId="1E061272" w14:textId="4EF210CE" w:rsidR="001F7B73" w:rsidRDefault="001F7B73" w:rsidP="00FF1A1F">
      <w:pPr>
        <w:spacing w:line="276" w:lineRule="auto"/>
        <w:ind w:firstLine="720"/>
        <w:jc w:val="both"/>
      </w:pPr>
      <w:r>
        <w:t>[3.6] </w:t>
      </w:r>
      <w:r w:rsidR="00845EC3">
        <w:t>N</w:t>
      </w:r>
      <w:r w:rsidRPr="001F7B73">
        <w:t>av būtiskas nozīmes apstākļiem</w:t>
      </w:r>
      <w:r w:rsidR="00845EC3">
        <w:t xml:space="preserve"> un argumentiem</w:t>
      </w:r>
      <w:r w:rsidRPr="001F7B73">
        <w:t xml:space="preserve">, kas attiecas uz meteoroloģisko iekārtu un to datu apstrādes lietojumprogrammas savietojamības tehniskajiem risinājumiem (datu apmaiņas protokoliem). </w:t>
      </w:r>
    </w:p>
    <w:p w14:paraId="4D0E42F9" w14:textId="0F6E6D82" w:rsidR="00FF7C7F" w:rsidRDefault="001F7B73" w:rsidP="00FF1A1F">
      <w:pPr>
        <w:spacing w:line="276" w:lineRule="auto"/>
        <w:ind w:firstLine="720"/>
        <w:jc w:val="both"/>
      </w:pPr>
      <w:r w:rsidRPr="001F7B73">
        <w:t xml:space="preserve">Jebkurā gadījumā, pat ja pretendentiem tiktu atklāti attiecīgie </w:t>
      </w:r>
      <w:r w:rsidRPr="001F7B73">
        <w:rPr>
          <w:i/>
          <w:iCs/>
        </w:rPr>
        <w:t>HTTPS</w:t>
      </w:r>
      <w:r w:rsidRPr="001F7B73">
        <w:t xml:space="preserve"> protokoli, kas būtu jāzina, lai veiktu iekārtu savietošanu ar serveri, tas tāpat neatceltu no iepirkuma nolikuma 3.4.1.4.punkta izrietošo obligāto prasību pretendentam iesniegt atbilstošo ražotāja </w:t>
      </w:r>
      <w:r w:rsidRPr="001F7B73">
        <w:rPr>
          <w:i/>
          <w:iCs/>
        </w:rPr>
        <w:t>Boschung</w:t>
      </w:r>
      <w:r w:rsidRPr="001F7B73">
        <w:t xml:space="preserve"> apliecinājumu. </w:t>
      </w:r>
    </w:p>
    <w:p w14:paraId="62BCCA4D" w14:textId="77777777" w:rsidR="001F7B73" w:rsidRPr="004D4E75" w:rsidRDefault="001F7B73" w:rsidP="00FF1A1F">
      <w:pPr>
        <w:spacing w:line="276" w:lineRule="auto"/>
        <w:ind w:firstLine="720"/>
        <w:jc w:val="both"/>
      </w:pPr>
    </w:p>
    <w:p w14:paraId="20E1C2BE" w14:textId="5D4D3271" w:rsidR="00FB02F9" w:rsidRDefault="00B553F9" w:rsidP="00FF1A1F">
      <w:pPr>
        <w:spacing w:line="276" w:lineRule="auto"/>
        <w:ind w:firstLine="720"/>
        <w:jc w:val="both"/>
      </w:pPr>
      <w:r w:rsidRPr="004D4E75">
        <w:t>[4] </w:t>
      </w:r>
      <w:r w:rsidR="002E3B5A">
        <w:t>B</w:t>
      </w:r>
      <w:r w:rsidR="007A0E8D">
        <w:t>irojs</w:t>
      </w:r>
      <w:r w:rsidRPr="004D4E75">
        <w:t xml:space="preserve"> iesniedza kasācijas sūdzību</w:t>
      </w:r>
      <w:r w:rsidR="00426D69">
        <w:t>.</w:t>
      </w:r>
      <w:r w:rsidRPr="004D4E75">
        <w:t xml:space="preserve"> </w:t>
      </w:r>
      <w:r w:rsidR="002E3B5A">
        <w:t>B</w:t>
      </w:r>
      <w:r w:rsidR="00B9775E">
        <w:t>iroja ieskatā</w:t>
      </w:r>
      <w:r w:rsidR="002E3B5A">
        <w:t>,</w:t>
      </w:r>
      <w:r w:rsidR="00093727">
        <w:t xml:space="preserve"> </w:t>
      </w:r>
      <w:r w:rsidR="00505B82">
        <w:t>tiesa</w:t>
      </w:r>
      <w:r w:rsidR="00B9775E">
        <w:t xml:space="preserve"> ir pārkāpusi</w:t>
      </w:r>
      <w:r w:rsidR="00505B82">
        <w:t xml:space="preserve"> </w:t>
      </w:r>
      <w:r w:rsidR="00B9775E">
        <w:t>sav</w:t>
      </w:r>
      <w:r w:rsidR="00FB02F9">
        <w:t>as</w:t>
      </w:r>
      <w:r w:rsidR="00B9775E">
        <w:t xml:space="preserve"> </w:t>
      </w:r>
      <w:r w:rsidR="00505B82">
        <w:t>kompetences robež</w:t>
      </w:r>
      <w:r w:rsidR="00FB02F9">
        <w:t xml:space="preserve">as </w:t>
      </w:r>
      <w:r w:rsidR="00FB02F9" w:rsidRPr="0047254D">
        <w:rPr>
          <w:lang w:eastAsia="zh-CN"/>
        </w:rPr>
        <w:t xml:space="preserve">un nav objektīvi </w:t>
      </w:r>
      <w:r w:rsidR="00FB02F9" w:rsidRPr="0047254D">
        <w:rPr>
          <w:color w:val="000000" w:themeColor="text1"/>
        </w:rPr>
        <w:t>novērtējusi lietas apstākļus</w:t>
      </w:r>
      <w:r w:rsidR="00FB02F9" w:rsidRPr="00441D18">
        <w:rPr>
          <w:kern w:val="3"/>
        </w:rPr>
        <w:t>, kas varēja novest pie lietas nepareizas izspriešanas</w:t>
      </w:r>
      <w:r w:rsidR="00831207">
        <w:rPr>
          <w:kern w:val="3"/>
        </w:rPr>
        <w:t>.</w:t>
      </w:r>
      <w:r w:rsidR="009C50A4">
        <w:rPr>
          <w:kern w:val="3"/>
        </w:rPr>
        <w:t xml:space="preserve"> Minētais pamatots ar turpmāk minētajiem argumentiem.</w:t>
      </w:r>
    </w:p>
    <w:p w14:paraId="7F090CF2" w14:textId="79805C9B" w:rsidR="00744534" w:rsidRDefault="009C50A4" w:rsidP="00FF1A1F">
      <w:pPr>
        <w:spacing w:line="276" w:lineRule="auto"/>
        <w:ind w:firstLine="720"/>
        <w:jc w:val="both"/>
        <w:rPr>
          <w:lang w:eastAsia="zh-CN"/>
        </w:rPr>
      </w:pPr>
      <w:r>
        <w:t>[4.1] T</w:t>
      </w:r>
      <w:r w:rsidR="007D7633">
        <w:rPr>
          <w:lang w:eastAsia="zh-CN"/>
        </w:rPr>
        <w:t xml:space="preserve">iesa </w:t>
      </w:r>
      <w:r w:rsidR="00845ED9">
        <w:rPr>
          <w:lang w:eastAsia="zh-CN"/>
        </w:rPr>
        <w:t xml:space="preserve">ir nepamatoti plaši iejaukusies pasūtītāja vajadzību novērtējumā, kā arī spriedusi ārpus pieteicējas </w:t>
      </w:r>
      <w:r w:rsidR="002E3B5A">
        <w:rPr>
          <w:lang w:eastAsia="zh-CN"/>
        </w:rPr>
        <w:t xml:space="preserve">iesnieguma </w:t>
      </w:r>
      <w:r w:rsidR="00845ED9">
        <w:rPr>
          <w:lang w:eastAsia="zh-CN"/>
        </w:rPr>
        <w:t>biroj</w:t>
      </w:r>
      <w:r w:rsidR="002E3B5A">
        <w:rPr>
          <w:lang w:eastAsia="zh-CN"/>
        </w:rPr>
        <w:t>am</w:t>
      </w:r>
      <w:r w:rsidR="00845ED9">
        <w:rPr>
          <w:lang w:eastAsia="zh-CN"/>
        </w:rPr>
        <w:t xml:space="preserve"> satura robežām.</w:t>
      </w:r>
      <w:r w:rsidR="00217C0E">
        <w:rPr>
          <w:lang w:eastAsia="zh-CN"/>
        </w:rPr>
        <w:t xml:space="preserve"> Pieteicēja iesniegumā birojam </w:t>
      </w:r>
      <w:r w:rsidR="00744534">
        <w:rPr>
          <w:lang w:eastAsia="zh-CN"/>
        </w:rPr>
        <w:t xml:space="preserve">norādīja, ka pasūtītājs nepamatoti ierobežo konkurenci, apvienojot vienā iepirkuma priekšmetā jaunu meteoroloģisko staciju iegādi ar jau esošo </w:t>
      </w:r>
      <w:r w:rsidR="00744534" w:rsidRPr="006F3CFF">
        <w:rPr>
          <w:lang w:eastAsia="zh-CN"/>
        </w:rPr>
        <w:t>staciju remontu</w:t>
      </w:r>
      <w:r w:rsidR="00744534">
        <w:rPr>
          <w:lang w:eastAsia="zh-CN"/>
        </w:rPr>
        <w:t xml:space="preserve">. </w:t>
      </w:r>
      <w:r w:rsidR="002E3B5A">
        <w:rPr>
          <w:lang w:eastAsia="zh-CN"/>
        </w:rPr>
        <w:t>B</w:t>
      </w:r>
      <w:r w:rsidR="00744534">
        <w:rPr>
          <w:lang w:eastAsia="zh-CN"/>
        </w:rPr>
        <w:t xml:space="preserve">irojs </w:t>
      </w:r>
      <w:r w:rsidR="00744534" w:rsidRPr="00E00CE0">
        <w:rPr>
          <w:lang w:eastAsia="zh-CN"/>
        </w:rPr>
        <w:t>pieņēm</w:t>
      </w:r>
      <w:r w:rsidR="00744534">
        <w:rPr>
          <w:lang w:eastAsia="zh-CN"/>
        </w:rPr>
        <w:t>a l</w:t>
      </w:r>
      <w:r w:rsidR="00744534" w:rsidRPr="00E00CE0">
        <w:rPr>
          <w:lang w:eastAsia="zh-CN"/>
        </w:rPr>
        <w:t>ēmumu, vadoties no iesniegumā un tā papildinājumos minētajiem argumentiem.</w:t>
      </w:r>
      <w:r w:rsidR="00744534">
        <w:rPr>
          <w:lang w:eastAsia="zh-CN"/>
        </w:rPr>
        <w:t xml:space="preserve"> Tiesai bija</w:t>
      </w:r>
      <w:r w:rsidR="00744534" w:rsidRPr="00E00CE0">
        <w:rPr>
          <w:rFonts w:eastAsia="Lucida Sans Unicode"/>
          <w:lang w:eastAsia="hi-IN" w:bidi="hi-IN"/>
        </w:rPr>
        <w:t xml:space="preserve"> jānodala apstrīdēšanas iesniegumā ietvertie fakti no </w:t>
      </w:r>
      <w:r w:rsidR="00845EC3">
        <w:rPr>
          <w:rFonts w:eastAsia="Lucida Sans Unicode"/>
          <w:lang w:eastAsia="hi-IN" w:bidi="hi-IN"/>
        </w:rPr>
        <w:t xml:space="preserve">iepirkuma </w:t>
      </w:r>
      <w:r w:rsidR="00744534" w:rsidRPr="00E00CE0">
        <w:rPr>
          <w:rFonts w:eastAsia="Lucida Sans Unicode"/>
          <w:lang w:eastAsia="hi-IN" w:bidi="hi-IN"/>
        </w:rPr>
        <w:t xml:space="preserve">nolikuma prasību izklāsta. Ja konkrētās prasības nav apstrīdētas, </w:t>
      </w:r>
      <w:r w:rsidR="00744534">
        <w:rPr>
          <w:rFonts w:eastAsia="Lucida Sans Unicode"/>
          <w:lang w:eastAsia="hi-IN" w:bidi="hi-IN"/>
        </w:rPr>
        <w:t>birojam</w:t>
      </w:r>
      <w:r w:rsidR="00744534" w:rsidRPr="00E00CE0">
        <w:rPr>
          <w:rFonts w:eastAsia="Lucida Sans Unicode"/>
          <w:lang w:eastAsia="hi-IN" w:bidi="hi-IN"/>
        </w:rPr>
        <w:t xml:space="preserve"> nav pamata vērtēt </w:t>
      </w:r>
      <w:r w:rsidR="002E3B5A">
        <w:rPr>
          <w:rFonts w:eastAsia="Lucida Sans Unicode"/>
          <w:lang w:eastAsia="hi-IN" w:bidi="hi-IN"/>
        </w:rPr>
        <w:t xml:space="preserve">to </w:t>
      </w:r>
      <w:r w:rsidR="00744534" w:rsidRPr="00E00CE0">
        <w:rPr>
          <w:rFonts w:eastAsia="Lucida Sans Unicode"/>
          <w:lang w:eastAsia="hi-IN" w:bidi="hi-IN"/>
        </w:rPr>
        <w:t>tiesiskumu.</w:t>
      </w:r>
      <w:r w:rsidR="00744534">
        <w:rPr>
          <w:rFonts w:eastAsia="Lucida Sans Unicode"/>
          <w:lang w:eastAsia="hi-IN" w:bidi="hi-IN"/>
        </w:rPr>
        <w:t xml:space="preserve"> </w:t>
      </w:r>
      <w:r w:rsidR="00744534" w:rsidRPr="00E00CE0">
        <w:rPr>
          <w:rFonts w:eastAsia="Lucida Sans Unicode"/>
          <w:lang w:eastAsia="hi-IN" w:bidi="hi-IN"/>
        </w:rPr>
        <w:t>Apstrīdēšanas procesā netiek veikta visu vai selektīvu iepirkuma procedūras prasību tiesiskuma pārbaude, bet gan tiek sniegts vērtējums tām prasībām, kuras tiek apstrīdētas, norādot pamatojumu un argumentus, kā arī ņemot vērā pasūtītāja sniegtos apsvērumus.</w:t>
      </w:r>
    </w:p>
    <w:p w14:paraId="24A20042" w14:textId="5142C50F" w:rsidR="007D1F6E" w:rsidRDefault="009C50A4" w:rsidP="00FF1A1F">
      <w:pPr>
        <w:spacing w:line="276" w:lineRule="auto"/>
        <w:ind w:firstLine="720"/>
        <w:jc w:val="both"/>
        <w:rPr>
          <w:rFonts w:eastAsia="Lucida Sans Unicode"/>
          <w:lang w:eastAsia="hi-IN" w:bidi="hi-IN"/>
        </w:rPr>
      </w:pPr>
      <w:r>
        <w:rPr>
          <w:lang w:eastAsia="zh-CN"/>
        </w:rPr>
        <w:t>[4.2] </w:t>
      </w:r>
      <w:r w:rsidR="00744534">
        <w:rPr>
          <w:lang w:eastAsia="zh-CN"/>
        </w:rPr>
        <w:t xml:space="preserve">Saistībā ar lietas apstākļu novērtējumu </w:t>
      </w:r>
      <w:r w:rsidR="00845ED9" w:rsidRPr="00E00CE0">
        <w:rPr>
          <w:lang w:eastAsia="zh-CN"/>
        </w:rPr>
        <w:t>tiesa nepamatoti pievēr</w:t>
      </w:r>
      <w:r w:rsidR="002E3B5A">
        <w:rPr>
          <w:lang w:eastAsia="zh-CN"/>
        </w:rPr>
        <w:t>s</w:t>
      </w:r>
      <w:r w:rsidR="00845ED9" w:rsidRPr="00E00CE0">
        <w:rPr>
          <w:lang w:eastAsia="zh-CN"/>
        </w:rPr>
        <w:t xml:space="preserve">usies </w:t>
      </w:r>
      <w:r w:rsidR="00845ED9" w:rsidRPr="00DC4CDF">
        <w:rPr>
          <w:i/>
          <w:iCs/>
        </w:rPr>
        <w:t>Boschung</w:t>
      </w:r>
      <w:r w:rsidR="00845ED9" w:rsidRPr="00E00CE0">
        <w:rPr>
          <w:lang w:eastAsia="zh-CN"/>
        </w:rPr>
        <w:t xml:space="preserve"> servera iegādes </w:t>
      </w:r>
      <w:r w:rsidR="00831207">
        <w:rPr>
          <w:lang w:eastAsia="zh-CN"/>
        </w:rPr>
        <w:t xml:space="preserve">apstākļu </w:t>
      </w:r>
      <w:r w:rsidR="00845ED9" w:rsidRPr="00E00CE0">
        <w:rPr>
          <w:lang w:eastAsia="zh-CN"/>
        </w:rPr>
        <w:t>izvērtēšanai</w:t>
      </w:r>
      <w:r w:rsidR="00845ED9">
        <w:rPr>
          <w:lang w:eastAsia="zh-CN"/>
        </w:rPr>
        <w:t xml:space="preserve">, jo </w:t>
      </w:r>
      <w:r w:rsidR="00845ED9" w:rsidRPr="00E00CE0">
        <w:rPr>
          <w:lang w:eastAsia="zh-CN"/>
        </w:rPr>
        <w:t>tas, kādā veidā</w:t>
      </w:r>
      <w:r w:rsidR="00845ED9" w:rsidRPr="00E00CE0">
        <w:rPr>
          <w:i/>
          <w:iCs/>
          <w:lang w:eastAsia="zh-CN"/>
        </w:rPr>
        <w:t xml:space="preserve"> Boschung </w:t>
      </w:r>
      <w:r w:rsidR="00845ED9" w:rsidRPr="00E00CE0">
        <w:rPr>
          <w:lang w:eastAsia="zh-CN"/>
        </w:rPr>
        <w:t xml:space="preserve">serveris un attiecīgais programmnodrošinājums meteoroloģisko datu apkopošanai ir nonācis </w:t>
      </w:r>
      <w:r w:rsidR="00845ED9">
        <w:rPr>
          <w:lang w:eastAsia="zh-CN"/>
        </w:rPr>
        <w:t>p</w:t>
      </w:r>
      <w:r w:rsidR="00845ED9" w:rsidRPr="00E00CE0">
        <w:rPr>
          <w:lang w:eastAsia="zh-CN"/>
        </w:rPr>
        <w:t xml:space="preserve">asūtītāja rīcībā, nevar ietekmēt </w:t>
      </w:r>
      <w:r w:rsidR="00AD2DDA">
        <w:rPr>
          <w:lang w:eastAsia="zh-CN"/>
        </w:rPr>
        <w:t xml:space="preserve">šīs </w:t>
      </w:r>
      <w:r w:rsidR="00845ED9" w:rsidRPr="00E00CE0">
        <w:rPr>
          <w:lang w:eastAsia="zh-CN"/>
        </w:rPr>
        <w:t>lietas izspriešan</w:t>
      </w:r>
      <w:r w:rsidR="00845ED9">
        <w:rPr>
          <w:lang w:eastAsia="zh-CN"/>
        </w:rPr>
        <w:t>u.</w:t>
      </w:r>
      <w:r w:rsidR="00845EC3">
        <w:rPr>
          <w:lang w:eastAsia="zh-CN"/>
        </w:rPr>
        <w:t xml:space="preserve"> T</w:t>
      </w:r>
      <w:r w:rsidR="00884F02">
        <w:rPr>
          <w:lang w:eastAsia="lv-LV"/>
        </w:rPr>
        <w:t>as</w:t>
      </w:r>
      <w:r w:rsidR="007D1F6E" w:rsidRPr="00686247">
        <w:rPr>
          <w:lang w:eastAsia="lv-LV"/>
        </w:rPr>
        <w:t xml:space="preserve"> vien, ka ražotāja </w:t>
      </w:r>
      <w:r w:rsidR="007D1F6E" w:rsidRPr="00D56027">
        <w:rPr>
          <w:rFonts w:eastAsia="Lucida Sans Unicode"/>
          <w:i/>
          <w:iCs/>
          <w:lang w:eastAsia="hi-IN" w:bidi="hi-IN"/>
        </w:rPr>
        <w:t>Boschung</w:t>
      </w:r>
      <w:r w:rsidR="007D1F6E" w:rsidRPr="00D56027">
        <w:rPr>
          <w:rFonts w:eastAsia="Lucida Sans Unicode"/>
          <w:iCs/>
          <w:lang w:eastAsia="hi-IN" w:bidi="hi-IN"/>
        </w:rPr>
        <w:t xml:space="preserve"> iekārtu piegādātājiem bija konkurences priekšrocība salīdzinājumā ar citu ražotāju iekārtu piegādātājiem, </w:t>
      </w:r>
      <w:r w:rsidR="007D1F6E" w:rsidRPr="00070566">
        <w:rPr>
          <w:rFonts w:eastAsia="Lucida Sans Unicode"/>
          <w:iCs/>
          <w:lang w:eastAsia="hi-IN" w:bidi="hi-IN"/>
        </w:rPr>
        <w:t xml:space="preserve">neliecina, ka </w:t>
      </w:r>
      <w:r w:rsidR="007D1F6E">
        <w:rPr>
          <w:rFonts w:eastAsia="Lucida Sans Unicode"/>
          <w:lang w:eastAsia="hi-IN" w:bidi="hi-IN"/>
        </w:rPr>
        <w:t>p</w:t>
      </w:r>
      <w:r w:rsidR="007D1F6E" w:rsidRPr="00070566">
        <w:rPr>
          <w:rFonts w:eastAsia="Lucida Sans Unicode"/>
          <w:lang w:eastAsia="hi-IN" w:bidi="hi-IN"/>
        </w:rPr>
        <w:t xml:space="preserve">asūtītājs bija pieļāvis </w:t>
      </w:r>
      <w:r w:rsidR="002508E0">
        <w:rPr>
          <w:rFonts w:eastAsia="Lucida Sans Unicode"/>
          <w:lang w:eastAsia="hi-IN" w:bidi="hi-IN"/>
        </w:rPr>
        <w:t>konkurences ierobežojumu</w:t>
      </w:r>
      <w:r w:rsidR="007D1F6E" w:rsidRPr="00070566">
        <w:rPr>
          <w:rFonts w:eastAsia="Lucida Sans Unicode"/>
          <w:lang w:eastAsia="hi-IN" w:bidi="hi-IN"/>
        </w:rPr>
        <w:t xml:space="preserve">. Turklāt </w:t>
      </w:r>
      <w:r w:rsidR="007D1F6E">
        <w:rPr>
          <w:rFonts w:eastAsia="Lucida Sans Unicode"/>
          <w:lang w:eastAsia="hi-IN" w:bidi="hi-IN"/>
        </w:rPr>
        <w:t xml:space="preserve">iepirkuma </w:t>
      </w:r>
      <w:r w:rsidR="007D1F6E" w:rsidRPr="00070566">
        <w:rPr>
          <w:rFonts w:eastAsia="Lucida Sans Unicode"/>
          <w:lang w:eastAsia="hi-IN" w:bidi="hi-IN"/>
        </w:rPr>
        <w:t xml:space="preserve">nolikuma </w:t>
      </w:r>
      <w:r w:rsidR="007D1F6E" w:rsidRPr="00070566">
        <w:rPr>
          <w:lang w:eastAsia="lv-LV"/>
        </w:rPr>
        <w:t>3.4.1.</w:t>
      </w:r>
      <w:r w:rsidR="007D1F6E" w:rsidRPr="00070566">
        <w:t xml:space="preserve">4.punktā izvirzītajai prasībai ir </w:t>
      </w:r>
      <w:r w:rsidR="007D1F6E" w:rsidRPr="00070566">
        <w:rPr>
          <w:rFonts w:eastAsia="Lucida Sans Unicode"/>
          <w:lang w:eastAsia="hi-IN" w:bidi="hi-IN"/>
        </w:rPr>
        <w:t xml:space="preserve">saskatāms pamatojums, ko nenoliedz arī tiesa, proti, nepieciešamība pieslēgt jaunās iekārtas </w:t>
      </w:r>
      <w:r w:rsidR="007D1F6E">
        <w:rPr>
          <w:rFonts w:eastAsia="Lucida Sans Unicode"/>
          <w:lang w:eastAsia="hi-IN" w:bidi="hi-IN"/>
        </w:rPr>
        <w:t>p</w:t>
      </w:r>
      <w:r w:rsidR="007D1F6E" w:rsidRPr="00070566">
        <w:rPr>
          <w:rFonts w:eastAsia="Lucida Sans Unicode"/>
          <w:lang w:eastAsia="hi-IN" w:bidi="hi-IN"/>
        </w:rPr>
        <w:t>asūtītāja rīcībā esošajai programmatūrai.</w:t>
      </w:r>
      <w:r w:rsidR="00884F02">
        <w:rPr>
          <w:rFonts w:eastAsia="Lucida Sans Unicode"/>
          <w:lang w:eastAsia="hi-IN" w:bidi="hi-IN"/>
        </w:rPr>
        <w:t xml:space="preserve"> </w:t>
      </w:r>
    </w:p>
    <w:p w14:paraId="2A905E1B" w14:textId="1065C5E8" w:rsidR="0059675B" w:rsidRPr="00966A5A" w:rsidRDefault="007319E0" w:rsidP="00FF1A1F">
      <w:pPr>
        <w:suppressAutoHyphens/>
        <w:autoSpaceDN w:val="0"/>
        <w:spacing w:line="276" w:lineRule="auto"/>
        <w:ind w:firstLine="720"/>
        <w:jc w:val="both"/>
        <w:textAlignment w:val="baseline"/>
        <w:rPr>
          <w:lang w:eastAsia="lv-LV"/>
        </w:rPr>
      </w:pPr>
      <w:r>
        <w:rPr>
          <w:rFonts w:eastAsia="Lucida Sans Unicode"/>
          <w:lang w:eastAsia="hi-IN" w:bidi="hi-IN"/>
        </w:rPr>
        <w:t xml:space="preserve">Tiesa ir pieļāvusi </w:t>
      </w:r>
      <w:r w:rsidR="0059675B">
        <w:rPr>
          <w:rFonts w:eastAsia="Lucida Sans Unicode"/>
          <w:lang w:eastAsia="hi-IN" w:bidi="hi-IN"/>
        </w:rPr>
        <w:t>pretrun</w:t>
      </w:r>
      <w:r>
        <w:rPr>
          <w:rFonts w:eastAsia="Lucida Sans Unicode"/>
          <w:lang w:eastAsia="hi-IN" w:bidi="hi-IN"/>
        </w:rPr>
        <w:t>as</w:t>
      </w:r>
      <w:r w:rsidR="0059675B">
        <w:rPr>
          <w:rFonts w:eastAsia="Lucida Sans Unicode"/>
          <w:lang w:eastAsia="hi-IN" w:bidi="hi-IN"/>
        </w:rPr>
        <w:t xml:space="preserve"> </w:t>
      </w:r>
      <w:r w:rsidR="00820705">
        <w:rPr>
          <w:lang w:eastAsia="lv-LV"/>
        </w:rPr>
        <w:t>lietas faktisko apstākļu</w:t>
      </w:r>
      <w:r w:rsidR="0059675B">
        <w:rPr>
          <w:lang w:eastAsia="lv-LV"/>
        </w:rPr>
        <w:t xml:space="preserve"> </w:t>
      </w:r>
      <w:r w:rsidR="00820705">
        <w:rPr>
          <w:lang w:eastAsia="lv-LV"/>
        </w:rPr>
        <w:t>no</w:t>
      </w:r>
      <w:r w:rsidR="0059675B">
        <w:rPr>
          <w:lang w:eastAsia="lv-LV"/>
        </w:rPr>
        <w:t>vērtējumā</w:t>
      </w:r>
      <w:r w:rsidR="00831207">
        <w:rPr>
          <w:lang w:eastAsia="lv-LV"/>
        </w:rPr>
        <w:t xml:space="preserve">. </w:t>
      </w:r>
      <w:r>
        <w:rPr>
          <w:lang w:eastAsia="lv-LV"/>
        </w:rPr>
        <w:t>N</w:t>
      </w:r>
      <w:r w:rsidR="0059675B" w:rsidRPr="00966A5A">
        <w:rPr>
          <w:lang w:eastAsia="lv-LV"/>
        </w:rPr>
        <w:t xml:space="preserve">o vienas puses </w:t>
      </w:r>
      <w:r>
        <w:rPr>
          <w:lang w:eastAsia="lv-LV"/>
        </w:rPr>
        <w:t xml:space="preserve">tā </w:t>
      </w:r>
      <w:r w:rsidR="0059675B" w:rsidRPr="00966A5A">
        <w:rPr>
          <w:lang w:eastAsia="lv-LV"/>
        </w:rPr>
        <w:t>atz</w:t>
      </w:r>
      <w:r w:rsidR="00831207">
        <w:rPr>
          <w:lang w:eastAsia="lv-LV"/>
        </w:rPr>
        <w:t>ina</w:t>
      </w:r>
      <w:r w:rsidR="0059675B" w:rsidRPr="00966A5A">
        <w:rPr>
          <w:lang w:eastAsia="lv-LV"/>
        </w:rPr>
        <w:t xml:space="preserve">, ka </w:t>
      </w:r>
      <w:r w:rsidR="0059675B" w:rsidRPr="00966A5A">
        <w:rPr>
          <w:i/>
          <w:iCs/>
          <w:lang w:eastAsia="lv-LV"/>
        </w:rPr>
        <w:t>Boschung</w:t>
      </w:r>
      <w:r w:rsidR="0059675B" w:rsidRPr="00966A5A">
        <w:rPr>
          <w:lang w:eastAsia="lv-LV"/>
        </w:rPr>
        <w:t xml:space="preserve"> izstrādātā </w:t>
      </w:r>
      <w:r w:rsidR="0059675B">
        <w:rPr>
          <w:lang w:eastAsia="lv-LV"/>
        </w:rPr>
        <w:t xml:space="preserve">programmnodrošinājuma </w:t>
      </w:r>
      <w:r w:rsidR="0059675B" w:rsidRPr="00966A5A">
        <w:rPr>
          <w:lang w:eastAsia="lv-LV"/>
        </w:rPr>
        <w:t xml:space="preserve">izvēle ir saprotama, </w:t>
      </w:r>
      <w:r w:rsidR="0059675B" w:rsidRPr="00966A5A">
        <w:rPr>
          <w:rFonts w:eastAsia="Lucida Sans Unicode"/>
          <w:lang w:eastAsia="hi-IN" w:bidi="hi-IN"/>
        </w:rPr>
        <w:t xml:space="preserve">ņemot vērā </w:t>
      </w:r>
      <w:r w:rsidR="0059675B">
        <w:rPr>
          <w:rFonts w:eastAsia="Lucida Sans Unicode"/>
          <w:lang w:eastAsia="hi-IN" w:bidi="hi-IN"/>
        </w:rPr>
        <w:t>p</w:t>
      </w:r>
      <w:r w:rsidR="0059675B" w:rsidRPr="00966A5A">
        <w:rPr>
          <w:rFonts w:eastAsia="Lucida Sans Unicode"/>
          <w:lang w:eastAsia="hi-IN" w:bidi="hi-IN"/>
        </w:rPr>
        <w:t xml:space="preserve">asūtītajam pieejamās </w:t>
      </w:r>
      <w:r w:rsidR="00820705" w:rsidRPr="00820705">
        <w:rPr>
          <w:rFonts w:eastAsia="Lucida Sans Unicode"/>
          <w:i/>
          <w:iCs/>
          <w:lang w:eastAsia="hi-IN" w:bidi="hi-IN"/>
        </w:rPr>
        <w:t>BOR</w:t>
      </w:r>
      <w:r w:rsidR="00820705">
        <w:rPr>
          <w:rFonts w:eastAsia="Lucida Sans Unicode"/>
          <w:i/>
          <w:iCs/>
          <w:lang w:eastAsia="hi-IN" w:bidi="hi-IN"/>
        </w:rPr>
        <w:t>R</w:t>
      </w:r>
      <w:r w:rsidR="00820705" w:rsidRPr="00820705">
        <w:rPr>
          <w:rFonts w:eastAsia="Lucida Sans Unicode"/>
          <w:i/>
          <w:iCs/>
          <w:lang w:eastAsia="hi-IN" w:bidi="hi-IN"/>
        </w:rPr>
        <w:t>MA-WEB</w:t>
      </w:r>
      <w:r w:rsidR="0059675B" w:rsidRPr="00966A5A">
        <w:rPr>
          <w:rFonts w:eastAsia="Lucida Sans Unicode"/>
          <w:lang w:eastAsia="hi-IN" w:bidi="hi-IN"/>
        </w:rPr>
        <w:t xml:space="preserve"> lietošanas tiesības un </w:t>
      </w:r>
      <w:r w:rsidR="00820705">
        <w:rPr>
          <w:rFonts w:eastAsia="Lucida Sans Unicode"/>
          <w:lang w:eastAsia="hi-IN" w:bidi="hi-IN"/>
        </w:rPr>
        <w:t>p</w:t>
      </w:r>
      <w:r w:rsidR="0059675B" w:rsidRPr="00966A5A">
        <w:rPr>
          <w:rFonts w:eastAsia="Lucida Sans Unicode"/>
          <w:lang w:eastAsia="hi-IN" w:bidi="hi-IN"/>
        </w:rPr>
        <w:t xml:space="preserve">asūtītāja rīcībā jau esošās </w:t>
      </w:r>
      <w:r w:rsidR="00820705" w:rsidRPr="00966A5A">
        <w:rPr>
          <w:i/>
          <w:iCs/>
          <w:lang w:eastAsia="lv-LV"/>
        </w:rPr>
        <w:t>Boschung</w:t>
      </w:r>
      <w:r w:rsidR="00820705" w:rsidRPr="00966A5A">
        <w:rPr>
          <w:rFonts w:eastAsia="Lucida Sans Unicode"/>
          <w:lang w:eastAsia="hi-IN" w:bidi="hi-IN"/>
        </w:rPr>
        <w:t xml:space="preserve"> </w:t>
      </w:r>
      <w:r w:rsidR="0059675B" w:rsidRPr="00966A5A">
        <w:rPr>
          <w:rFonts w:eastAsia="Lucida Sans Unicode"/>
          <w:lang w:eastAsia="hi-IN" w:bidi="hi-IN"/>
        </w:rPr>
        <w:t>iekārtas</w:t>
      </w:r>
      <w:r w:rsidR="0059675B">
        <w:rPr>
          <w:rFonts w:eastAsia="Lucida Sans Unicode"/>
          <w:lang w:eastAsia="hi-IN" w:bidi="hi-IN"/>
        </w:rPr>
        <w:t>,</w:t>
      </w:r>
      <w:r w:rsidR="0059675B" w:rsidRPr="00966A5A">
        <w:rPr>
          <w:lang w:eastAsia="lv-LV"/>
        </w:rPr>
        <w:t xml:space="preserve"> no otras</w:t>
      </w:r>
      <w:r w:rsidR="0059675B">
        <w:rPr>
          <w:lang w:eastAsia="lv-LV"/>
        </w:rPr>
        <w:t xml:space="preserve"> puses</w:t>
      </w:r>
      <w:r w:rsidR="0059675B" w:rsidRPr="00966A5A">
        <w:rPr>
          <w:lang w:eastAsia="lv-LV"/>
        </w:rPr>
        <w:t xml:space="preserve"> – </w:t>
      </w:r>
      <w:r w:rsidR="00F374DA">
        <w:rPr>
          <w:lang w:eastAsia="lv-LV"/>
        </w:rPr>
        <w:t>secināja</w:t>
      </w:r>
      <w:r w:rsidR="0059675B" w:rsidRPr="00966A5A">
        <w:rPr>
          <w:lang w:eastAsia="lv-LV"/>
        </w:rPr>
        <w:t>, ka ar izvēlētajām prasībām iepirkumā tomēr ir radīts nepamatots konkurences ierobežojums.</w:t>
      </w:r>
    </w:p>
    <w:p w14:paraId="7D9A3CA0" w14:textId="77777777" w:rsidR="007D1F6E" w:rsidRDefault="007D1F6E" w:rsidP="00FF1A1F">
      <w:pPr>
        <w:spacing w:line="276" w:lineRule="auto"/>
        <w:ind w:firstLine="720"/>
        <w:jc w:val="both"/>
        <w:rPr>
          <w:lang w:eastAsia="zh-CN"/>
        </w:rPr>
      </w:pPr>
    </w:p>
    <w:p w14:paraId="7809635E" w14:textId="13B5D8C4" w:rsidR="001E3AA8" w:rsidRDefault="001E3AA8" w:rsidP="00FF1A1F">
      <w:pPr>
        <w:spacing w:line="276" w:lineRule="auto"/>
        <w:ind w:firstLine="720"/>
        <w:jc w:val="both"/>
        <w:rPr>
          <w:lang w:eastAsia="zh-CN"/>
        </w:rPr>
      </w:pPr>
      <w:r>
        <w:rPr>
          <w:lang w:eastAsia="zh-CN"/>
        </w:rPr>
        <w:lastRenderedPageBreak/>
        <w:t>[5] </w:t>
      </w:r>
      <w:r w:rsidR="008D2319">
        <w:rPr>
          <w:lang w:eastAsia="zh-CN"/>
        </w:rPr>
        <w:t>Pasūtītājs</w:t>
      </w:r>
      <w:r>
        <w:rPr>
          <w:lang w:eastAsia="zh-CN"/>
        </w:rPr>
        <w:t xml:space="preserve"> iesniedza kasācijas sūdzību, norādot turpmāk minētos </w:t>
      </w:r>
      <w:r w:rsidR="00845EC3">
        <w:rPr>
          <w:lang w:eastAsia="zh-CN"/>
        </w:rPr>
        <w:t>argumentus</w:t>
      </w:r>
      <w:r>
        <w:rPr>
          <w:lang w:eastAsia="zh-CN"/>
        </w:rPr>
        <w:t>.</w:t>
      </w:r>
    </w:p>
    <w:p w14:paraId="4307C2B9" w14:textId="0F893095" w:rsidR="001E3AA8" w:rsidRDefault="001E3AA8" w:rsidP="00FF1A1F">
      <w:pPr>
        <w:spacing w:line="276" w:lineRule="auto"/>
        <w:ind w:firstLine="720"/>
        <w:jc w:val="both"/>
        <w:rPr>
          <w:lang w:eastAsia="lv-LV"/>
        </w:rPr>
      </w:pPr>
      <w:r>
        <w:rPr>
          <w:lang w:eastAsia="zh-CN"/>
        </w:rPr>
        <w:t>[5.1] </w:t>
      </w:r>
      <w:r w:rsidR="00B036B7">
        <w:rPr>
          <w:lang w:eastAsia="zh-CN"/>
        </w:rPr>
        <w:t xml:space="preserve">Tiesa pierādījumus lietā nav novērtējusi atbilstoši Administratīvā procesa likuma 154.panta </w:t>
      </w:r>
      <w:r w:rsidR="00D02EEF">
        <w:rPr>
          <w:lang w:eastAsia="zh-CN"/>
        </w:rPr>
        <w:t>prasībām, jo savus secinājum</w:t>
      </w:r>
      <w:r w:rsidR="009E7B7A">
        <w:rPr>
          <w:lang w:eastAsia="zh-CN"/>
        </w:rPr>
        <w:t>u</w:t>
      </w:r>
      <w:r w:rsidR="00D02EEF">
        <w:rPr>
          <w:lang w:eastAsia="zh-CN"/>
        </w:rPr>
        <w:t xml:space="preserve">s par pretendenta kompetences apliecinājuma iegūšanu darbam ar ražotāja </w:t>
      </w:r>
      <w:r w:rsidR="00D02EEF" w:rsidRPr="00966A5A">
        <w:rPr>
          <w:i/>
          <w:iCs/>
          <w:lang w:eastAsia="lv-LV"/>
        </w:rPr>
        <w:t>Boschung</w:t>
      </w:r>
      <w:r w:rsidR="00D02EEF">
        <w:rPr>
          <w:i/>
          <w:iCs/>
          <w:lang w:eastAsia="lv-LV"/>
        </w:rPr>
        <w:t xml:space="preserve"> </w:t>
      </w:r>
      <w:r w:rsidR="00D02EEF">
        <w:rPr>
          <w:lang w:eastAsia="lv-LV"/>
        </w:rPr>
        <w:t>iekārtām un pārlūkprogrammu ir balstījusi tikai uz pieteicējas iesniegtajiem pierādījumiem un paskaidrojumiem, neņemot vēra pasūtītāja argumentus.</w:t>
      </w:r>
    </w:p>
    <w:p w14:paraId="4CAFD50D" w14:textId="3E8219E3" w:rsidR="00D02EEF" w:rsidRDefault="00D02EEF" w:rsidP="00FF1A1F">
      <w:pPr>
        <w:spacing w:line="276" w:lineRule="auto"/>
        <w:ind w:firstLine="720"/>
        <w:jc w:val="both"/>
        <w:rPr>
          <w:lang w:eastAsia="lv-LV"/>
        </w:rPr>
      </w:pPr>
      <w:r w:rsidRPr="00D02EEF">
        <w:rPr>
          <w:lang w:eastAsia="zh-CN"/>
        </w:rPr>
        <w:t>[5.2] </w:t>
      </w:r>
      <w:r w:rsidR="008D2319">
        <w:rPr>
          <w:lang w:eastAsia="zh-CN"/>
        </w:rPr>
        <w:t>T</w:t>
      </w:r>
      <w:r w:rsidRPr="00D02EEF">
        <w:rPr>
          <w:lang w:eastAsia="lv-LV"/>
        </w:rPr>
        <w:t xml:space="preserve">iesa ir pieļāvusi Administratīvā procesa likuma 107.panta ceturtās daļas un 246.panta trešās daļas pārkāpumu, jo nav noskaidrojusi patiesos lietas apstākļus, kā arī </w:t>
      </w:r>
      <w:r>
        <w:rPr>
          <w:lang w:eastAsia="lv-LV"/>
        </w:rPr>
        <w:t>s</w:t>
      </w:r>
      <w:r w:rsidRPr="00D02EEF">
        <w:rPr>
          <w:lang w:eastAsia="lv-LV"/>
        </w:rPr>
        <w:t xml:space="preserve">priedumu nav pamatojusi </w:t>
      </w:r>
      <w:r w:rsidR="008D2319">
        <w:rPr>
          <w:lang w:eastAsia="lv-LV"/>
        </w:rPr>
        <w:t>ar</w:t>
      </w:r>
      <w:r w:rsidRPr="00D02EEF">
        <w:rPr>
          <w:lang w:eastAsia="lv-LV"/>
        </w:rPr>
        <w:t xml:space="preserve"> apstākļiem, kas nodibināti ar pierādījumiem lietā.</w:t>
      </w:r>
    </w:p>
    <w:p w14:paraId="59F6E16E" w14:textId="62FC518A" w:rsidR="00431A4B" w:rsidRDefault="008D2319" w:rsidP="00FF1A1F">
      <w:pPr>
        <w:spacing w:line="276" w:lineRule="auto"/>
        <w:ind w:firstLine="720"/>
        <w:jc w:val="both"/>
        <w:rPr>
          <w:lang w:eastAsia="lv-LV"/>
        </w:rPr>
      </w:pPr>
      <w:r>
        <w:rPr>
          <w:lang w:eastAsia="lv-LV"/>
        </w:rPr>
        <w:t>P</w:t>
      </w:r>
      <w:r w:rsidR="001B772B">
        <w:rPr>
          <w:lang w:eastAsia="lv-LV"/>
        </w:rPr>
        <w:t>retēji tiesas atzītajam</w:t>
      </w:r>
      <w:r w:rsidR="00431A4B" w:rsidRPr="00431A4B">
        <w:rPr>
          <w:lang w:eastAsia="lv-LV"/>
        </w:rPr>
        <w:t xml:space="preserve"> </w:t>
      </w:r>
      <w:r w:rsidR="001B772B">
        <w:rPr>
          <w:lang w:eastAsia="lv-LV"/>
        </w:rPr>
        <w:t>p</w:t>
      </w:r>
      <w:r w:rsidR="00431A4B" w:rsidRPr="00431A4B">
        <w:rPr>
          <w:lang w:eastAsia="lv-LV"/>
        </w:rPr>
        <w:t xml:space="preserve">asūtītājs bija novērtējis, ka tirgū ir vairāki pretendenti, kas spēj nodrošināt ražotāja </w:t>
      </w:r>
      <w:r w:rsidR="00431A4B" w:rsidRPr="00431A4B">
        <w:rPr>
          <w:i/>
          <w:iCs/>
          <w:lang w:eastAsia="lv-LV"/>
        </w:rPr>
        <w:t xml:space="preserve">Boschung </w:t>
      </w:r>
      <w:r w:rsidR="00431A4B" w:rsidRPr="00431A4B">
        <w:rPr>
          <w:lang w:eastAsia="lv-LV"/>
        </w:rPr>
        <w:t>un</w:t>
      </w:r>
      <w:r w:rsidR="00431A4B" w:rsidRPr="00431A4B">
        <w:rPr>
          <w:i/>
          <w:iCs/>
          <w:lang w:eastAsia="lv-LV"/>
        </w:rPr>
        <w:t xml:space="preserve"> Vaisala</w:t>
      </w:r>
      <w:r w:rsidR="00431A4B" w:rsidRPr="00431A4B">
        <w:rPr>
          <w:lang w:eastAsia="lv-LV"/>
        </w:rPr>
        <w:t xml:space="preserve"> iekārtu piegādi un uzstādīšanu. </w:t>
      </w:r>
    </w:p>
    <w:p w14:paraId="6807BE44" w14:textId="62A80791" w:rsidR="00431A4B" w:rsidRDefault="00D1055D" w:rsidP="00FF1A1F">
      <w:pPr>
        <w:spacing w:line="276" w:lineRule="auto"/>
        <w:ind w:firstLine="720"/>
        <w:jc w:val="both"/>
        <w:rPr>
          <w:lang w:eastAsia="lv-LV"/>
        </w:rPr>
      </w:pPr>
      <w:r>
        <w:rPr>
          <w:lang w:eastAsia="lv-LV"/>
        </w:rPr>
        <w:t>T</w:t>
      </w:r>
      <w:r w:rsidR="00431A4B" w:rsidRPr="00431A4B">
        <w:rPr>
          <w:lang w:eastAsia="lv-LV"/>
        </w:rPr>
        <w:t>iesa piekrit</w:t>
      </w:r>
      <w:r w:rsidR="001B772B">
        <w:rPr>
          <w:lang w:eastAsia="lv-LV"/>
        </w:rPr>
        <w:t>a</w:t>
      </w:r>
      <w:r w:rsidR="00431A4B" w:rsidRPr="00431A4B">
        <w:rPr>
          <w:lang w:eastAsia="lv-LV"/>
        </w:rPr>
        <w:t xml:space="preserve">, ka no </w:t>
      </w:r>
      <w:r w:rsidR="008D2319">
        <w:rPr>
          <w:lang w:eastAsia="lv-LV"/>
        </w:rPr>
        <w:t>iepirkuma</w:t>
      </w:r>
      <w:r w:rsidR="00431A4B" w:rsidRPr="00431A4B">
        <w:rPr>
          <w:lang w:eastAsia="lv-LV"/>
        </w:rPr>
        <w:t xml:space="preserve"> nolikuma 3.4.1.4.punkta neizriet prasība kompetencei darbam tieši ar pārlūkprogrammu </w:t>
      </w:r>
      <w:r w:rsidR="00431A4B" w:rsidRPr="00431A4B">
        <w:rPr>
          <w:i/>
          <w:iCs/>
          <w:lang w:eastAsia="lv-LV"/>
        </w:rPr>
        <w:t xml:space="preserve">BORRMA-WEB. </w:t>
      </w:r>
      <w:r w:rsidR="00431A4B" w:rsidRPr="00431A4B">
        <w:rPr>
          <w:lang w:eastAsia="lv-LV"/>
        </w:rPr>
        <w:t xml:space="preserve">Ceļu meteoroloģisko staciju datu pārlūkprogrammā </w:t>
      </w:r>
      <w:r w:rsidR="00431A4B" w:rsidRPr="00431A4B">
        <w:rPr>
          <w:i/>
          <w:iCs/>
          <w:lang w:eastAsia="lv-LV"/>
        </w:rPr>
        <w:t>BORRMA-WEB</w:t>
      </w:r>
      <w:r w:rsidR="00431A4B" w:rsidRPr="00431A4B">
        <w:rPr>
          <w:lang w:eastAsia="lv-LV"/>
        </w:rPr>
        <w:t xml:space="preserve"> var tikt integrētas arī citu ražotāju ceļu meteoroloģiskās stacijas un sensori, kas ir būtisks nosacījums brīvas konkurences radīšanai nākotnē. </w:t>
      </w:r>
      <w:r w:rsidR="00845EC3">
        <w:rPr>
          <w:lang w:eastAsia="lv-LV"/>
        </w:rPr>
        <w:t>I</w:t>
      </w:r>
      <w:r w:rsidR="00431A4B">
        <w:rPr>
          <w:lang w:eastAsia="lv-LV"/>
        </w:rPr>
        <w:t xml:space="preserve">epirkuma nolikumā norādītajām </w:t>
      </w:r>
      <w:r w:rsidR="00431A4B" w:rsidRPr="00431A4B">
        <w:rPr>
          <w:i/>
          <w:iCs/>
          <w:lang w:eastAsia="lv-LV"/>
        </w:rPr>
        <w:t>Boschung</w:t>
      </w:r>
      <w:r w:rsidR="00431A4B">
        <w:rPr>
          <w:lang w:eastAsia="lv-LV"/>
        </w:rPr>
        <w:t xml:space="preserve"> iekārtām</w:t>
      </w:r>
      <w:r w:rsidR="00431A4B" w:rsidRPr="00431A4B">
        <w:rPr>
          <w:lang w:eastAsia="lv-LV"/>
        </w:rPr>
        <w:t xml:space="preserve"> </w:t>
      </w:r>
      <w:r w:rsidR="00845EC3">
        <w:rPr>
          <w:lang w:eastAsia="lv-LV"/>
        </w:rPr>
        <w:t xml:space="preserve">bija </w:t>
      </w:r>
      <w:r w:rsidR="00431A4B">
        <w:rPr>
          <w:lang w:eastAsia="lv-LV"/>
        </w:rPr>
        <w:t>paredzē</w:t>
      </w:r>
      <w:r w:rsidR="00845EC3">
        <w:rPr>
          <w:lang w:eastAsia="lv-LV"/>
        </w:rPr>
        <w:t>t</w:t>
      </w:r>
      <w:r w:rsidR="00431A4B">
        <w:rPr>
          <w:lang w:eastAsia="lv-LV"/>
        </w:rPr>
        <w:t>a</w:t>
      </w:r>
      <w:r w:rsidR="00431A4B" w:rsidRPr="00431A4B">
        <w:rPr>
          <w:lang w:eastAsia="lv-LV"/>
        </w:rPr>
        <w:t xml:space="preserve"> ekvivalentu iekārtu piegād</w:t>
      </w:r>
      <w:r w:rsidR="00845EC3">
        <w:rPr>
          <w:lang w:eastAsia="lv-LV"/>
        </w:rPr>
        <w:t>e</w:t>
      </w:r>
      <w:r w:rsidR="00431A4B" w:rsidRPr="00431A4B">
        <w:rPr>
          <w:lang w:eastAsia="lv-LV"/>
        </w:rPr>
        <w:t xml:space="preserve">. </w:t>
      </w:r>
    </w:p>
    <w:p w14:paraId="6153E041" w14:textId="3E34CB41" w:rsidR="00431A4B" w:rsidRDefault="001B772B" w:rsidP="00FF1A1F">
      <w:pPr>
        <w:spacing w:line="276" w:lineRule="auto"/>
        <w:ind w:firstLine="720"/>
        <w:jc w:val="both"/>
        <w:rPr>
          <w:lang w:eastAsia="lv-LV"/>
        </w:rPr>
      </w:pPr>
      <w:r>
        <w:rPr>
          <w:lang w:eastAsia="lv-LV"/>
        </w:rPr>
        <w:t>P</w:t>
      </w:r>
      <w:r w:rsidR="00431A4B">
        <w:rPr>
          <w:lang w:eastAsia="lv-LV"/>
        </w:rPr>
        <w:t>asūtītāja</w:t>
      </w:r>
      <w:r w:rsidR="00431A4B" w:rsidRPr="00431A4B">
        <w:rPr>
          <w:lang w:eastAsia="lv-LV"/>
        </w:rPr>
        <w:t xml:space="preserve"> izvirzītā</w:t>
      </w:r>
      <w:r>
        <w:rPr>
          <w:lang w:eastAsia="lv-LV"/>
        </w:rPr>
        <w:t>s</w:t>
      </w:r>
      <w:r w:rsidR="00431A4B" w:rsidRPr="00431A4B">
        <w:rPr>
          <w:lang w:eastAsia="lv-LV"/>
        </w:rPr>
        <w:t xml:space="preserve"> prasība</w:t>
      </w:r>
      <w:r>
        <w:rPr>
          <w:lang w:eastAsia="lv-LV"/>
        </w:rPr>
        <w:t>s</w:t>
      </w:r>
      <w:r w:rsidR="00431A4B" w:rsidRPr="00431A4B">
        <w:rPr>
          <w:lang w:eastAsia="lv-LV"/>
        </w:rPr>
        <w:t xml:space="preserve"> netika vērsta</w:t>
      </w:r>
      <w:r w:rsidR="00845EC3">
        <w:rPr>
          <w:lang w:eastAsia="lv-LV"/>
        </w:rPr>
        <w:t>s</w:t>
      </w:r>
      <w:r w:rsidR="00431A4B" w:rsidRPr="00431A4B">
        <w:rPr>
          <w:lang w:eastAsia="lv-LV"/>
        </w:rPr>
        <w:t xml:space="preserve"> uz konkurences ierobežošanu attiecībā uz ceļu meteoroloģisko staciju ražotājiem vai uzstādītājiem, bet gan pamatota</w:t>
      </w:r>
      <w:r w:rsidR="00FD0744">
        <w:rPr>
          <w:lang w:eastAsia="lv-LV"/>
        </w:rPr>
        <w:t>s</w:t>
      </w:r>
      <w:r w:rsidR="00431A4B" w:rsidRPr="00431A4B">
        <w:rPr>
          <w:lang w:eastAsia="lv-LV"/>
        </w:rPr>
        <w:t xml:space="preserve"> ar nepieciešamību iekļaut jaunās ceļu meteoroloģiskās stacijas un sensorus vienā kopīgā pārlūkprogrammā. Nenorādot šādu prasību, bet pieļaujot, ka pretendentam tādas kompetences nav vai arī ir kompetence ar jebkura cita ceļu meteoroloģisko staciju ražotāja iekārtām, </w:t>
      </w:r>
      <w:r w:rsidR="00431A4B">
        <w:rPr>
          <w:lang w:eastAsia="lv-LV"/>
        </w:rPr>
        <w:t>pasūtītājs</w:t>
      </w:r>
      <w:r w:rsidR="00431A4B" w:rsidRPr="00431A4B">
        <w:rPr>
          <w:lang w:eastAsia="lv-LV"/>
        </w:rPr>
        <w:t xml:space="preserve"> riskētu saņemt nekvalitatīvu pakalpojumu, jo dati nebūtu integrējami, vai arī saņemt</w:t>
      </w:r>
      <w:r w:rsidR="0090666B">
        <w:rPr>
          <w:lang w:eastAsia="lv-LV"/>
        </w:rPr>
        <w:t>u</w:t>
      </w:r>
      <w:r w:rsidR="00431A4B" w:rsidRPr="00431A4B">
        <w:rPr>
          <w:lang w:eastAsia="lv-LV"/>
        </w:rPr>
        <w:t xml:space="preserve"> nepilnīgu līguma izpildi ar divām atšķirīgām pārlūkprogrammām</w:t>
      </w:r>
      <w:r w:rsidR="00431A4B">
        <w:rPr>
          <w:lang w:eastAsia="lv-LV"/>
        </w:rPr>
        <w:t xml:space="preserve">. </w:t>
      </w:r>
      <w:r w:rsidR="00431A4B" w:rsidRPr="00431A4B">
        <w:rPr>
          <w:lang w:eastAsia="lv-LV"/>
        </w:rPr>
        <w:t xml:space="preserve">Turklāt iekārtu ražotājs </w:t>
      </w:r>
      <w:r w:rsidR="00431A4B" w:rsidRPr="00431A4B">
        <w:rPr>
          <w:i/>
          <w:iCs/>
          <w:lang w:eastAsia="lv-LV"/>
        </w:rPr>
        <w:t>Boschung</w:t>
      </w:r>
      <w:r w:rsidR="00431A4B" w:rsidRPr="00431A4B">
        <w:rPr>
          <w:lang w:eastAsia="lv-LV"/>
        </w:rPr>
        <w:t xml:space="preserve"> neierobežo šādu kompetenci apliecinoša dokumenta izsniegšanu. </w:t>
      </w:r>
    </w:p>
    <w:p w14:paraId="77A19F83" w14:textId="3B5125AD" w:rsidR="00D1055D" w:rsidRPr="00D1055D" w:rsidRDefault="00D1055D" w:rsidP="00FF1A1F">
      <w:pPr>
        <w:spacing w:line="276" w:lineRule="auto"/>
        <w:ind w:firstLine="720"/>
        <w:jc w:val="both"/>
        <w:rPr>
          <w:lang w:eastAsia="lv-LV"/>
        </w:rPr>
      </w:pPr>
      <w:r w:rsidRPr="00D1055D">
        <w:rPr>
          <w:lang w:eastAsia="lv-LV"/>
        </w:rPr>
        <w:t>Pasūtītāja galvenā interese ir iepirkuma priekšmetam un iepirkuma līguma noteikumiem atbilstoša un pēc iespējas kvalitatīva izpildījuma saņemšana. Tālab pasūtītājs ir tiesīgs izvirzīt pieredzes prasību, kas ir tieši saistīta ar pasūtītājam nepieciešamā pakalpojuma (arī preču piegādes) izpildi.</w:t>
      </w:r>
    </w:p>
    <w:p w14:paraId="69CF1054" w14:textId="578B9651" w:rsidR="00431A4B" w:rsidRPr="00D1055D" w:rsidRDefault="00D1055D" w:rsidP="00FF1A1F">
      <w:pPr>
        <w:spacing w:line="276" w:lineRule="auto"/>
        <w:ind w:firstLine="720"/>
        <w:jc w:val="both"/>
        <w:rPr>
          <w:lang w:eastAsia="lv-LV"/>
        </w:rPr>
      </w:pPr>
      <w:r w:rsidRPr="00D1055D">
        <w:rPr>
          <w:lang w:eastAsia="lv-LV"/>
        </w:rPr>
        <w:t>Šādos apstākļos tiesa</w:t>
      </w:r>
      <w:r>
        <w:rPr>
          <w:lang w:eastAsia="lv-LV"/>
        </w:rPr>
        <w:t xml:space="preserve"> nepareizi novērtējusi pierādījumus lietā un nepamatoti atzinusi, ka </w:t>
      </w:r>
      <w:r w:rsidRPr="00D1055D">
        <w:rPr>
          <w:lang w:eastAsia="lv-LV"/>
        </w:rPr>
        <w:t>iepirkuma prasības ierobežo konkurenci.</w:t>
      </w:r>
    </w:p>
    <w:p w14:paraId="3B0D29EC" w14:textId="77777777" w:rsidR="00750F4E" w:rsidRPr="00431A4B" w:rsidRDefault="00750F4E" w:rsidP="00FF1A1F">
      <w:pPr>
        <w:spacing w:line="276" w:lineRule="auto"/>
        <w:ind w:firstLine="720"/>
        <w:jc w:val="both"/>
      </w:pPr>
    </w:p>
    <w:p w14:paraId="6BC258F0" w14:textId="2A639DD1" w:rsidR="00144AAC" w:rsidRDefault="00144AAC" w:rsidP="00FF1A1F">
      <w:pPr>
        <w:spacing w:line="276" w:lineRule="auto"/>
        <w:ind w:firstLine="720"/>
        <w:jc w:val="both"/>
      </w:pPr>
      <w:r>
        <w:t>[</w:t>
      </w:r>
      <w:r w:rsidR="00D1055D">
        <w:t>6</w:t>
      </w:r>
      <w:r>
        <w:t>]</w:t>
      </w:r>
      <w:r w:rsidR="00E949A8">
        <w:t> </w:t>
      </w:r>
      <w:r w:rsidR="006F2DD9">
        <w:t>Pieteicēja</w:t>
      </w:r>
      <w:r>
        <w:t xml:space="preserve"> paskaidrojumos kasācijas sūdzīb</w:t>
      </w:r>
      <w:r w:rsidR="006F2DD9">
        <w:t>as</w:t>
      </w:r>
      <w:r>
        <w:t xml:space="preserve"> neatzīst.</w:t>
      </w:r>
    </w:p>
    <w:p w14:paraId="573EA9BC" w14:textId="77777777" w:rsidR="00093727" w:rsidRDefault="00093727" w:rsidP="00FF1A1F">
      <w:pPr>
        <w:spacing w:line="276" w:lineRule="auto"/>
        <w:ind w:firstLine="720"/>
        <w:jc w:val="both"/>
      </w:pPr>
    </w:p>
    <w:p w14:paraId="157D04DE" w14:textId="77777777" w:rsidR="00B553F9" w:rsidRPr="004D4E75" w:rsidRDefault="00B553F9" w:rsidP="00FF1A1F">
      <w:pPr>
        <w:spacing w:line="276" w:lineRule="auto"/>
        <w:jc w:val="center"/>
        <w:rPr>
          <w:b/>
          <w:bCs/>
        </w:rPr>
      </w:pPr>
      <w:r w:rsidRPr="004D4E75">
        <w:rPr>
          <w:b/>
          <w:bCs/>
        </w:rPr>
        <w:t>Motīvu daļa</w:t>
      </w:r>
    </w:p>
    <w:p w14:paraId="7830726A" w14:textId="77777777" w:rsidR="00B553F9" w:rsidRPr="004D4E75" w:rsidRDefault="00B553F9" w:rsidP="00FF1A1F">
      <w:pPr>
        <w:spacing w:line="276" w:lineRule="auto"/>
        <w:ind w:firstLine="720"/>
        <w:jc w:val="both"/>
      </w:pPr>
    </w:p>
    <w:p w14:paraId="7F1373E3" w14:textId="4BEF14B8" w:rsidR="00D1055D" w:rsidRDefault="00B553F9" w:rsidP="00FF1A1F">
      <w:pPr>
        <w:spacing w:line="276" w:lineRule="auto"/>
        <w:ind w:firstLine="720"/>
        <w:jc w:val="both"/>
        <w:rPr>
          <w:color w:val="000000" w:themeColor="text1"/>
        </w:rPr>
      </w:pPr>
      <w:r w:rsidRPr="004D4E75">
        <w:t>[</w:t>
      </w:r>
      <w:r w:rsidR="00000042">
        <w:t>7</w:t>
      </w:r>
      <w:r w:rsidRPr="00A614F8">
        <w:t>] </w:t>
      </w:r>
      <w:r w:rsidRPr="00A614F8">
        <w:rPr>
          <w:color w:val="000000" w:themeColor="text1"/>
        </w:rPr>
        <w:t>Izvērtējot pārsūdzēto tiesas spriedumu kopsakarā ar kasācijas sūdzīb</w:t>
      </w:r>
      <w:r w:rsidR="00D1055D">
        <w:rPr>
          <w:color w:val="000000" w:themeColor="text1"/>
        </w:rPr>
        <w:t>u</w:t>
      </w:r>
      <w:r w:rsidRPr="00A614F8">
        <w:rPr>
          <w:color w:val="000000" w:themeColor="text1"/>
        </w:rPr>
        <w:t xml:space="preserve"> argumentiem, secināms, ka lietā galven</w:t>
      </w:r>
      <w:r w:rsidR="004F766B">
        <w:rPr>
          <w:color w:val="000000" w:themeColor="text1"/>
        </w:rPr>
        <w:t>ie</w:t>
      </w:r>
      <w:r w:rsidRPr="00A614F8">
        <w:rPr>
          <w:color w:val="000000" w:themeColor="text1"/>
        </w:rPr>
        <w:t xml:space="preserve"> strīda jautājum</w:t>
      </w:r>
      <w:r w:rsidR="004F766B">
        <w:rPr>
          <w:color w:val="000000" w:themeColor="text1"/>
        </w:rPr>
        <w:t>i</w:t>
      </w:r>
      <w:r w:rsidRPr="00A614F8">
        <w:rPr>
          <w:color w:val="000000" w:themeColor="text1"/>
        </w:rPr>
        <w:t xml:space="preserve"> ir par </w:t>
      </w:r>
      <w:r w:rsidR="00D1055D">
        <w:rPr>
          <w:color w:val="000000" w:themeColor="text1"/>
        </w:rPr>
        <w:t>iepirkuma nolikuma prasību, tostarp tehniskās specifikācijas prasību</w:t>
      </w:r>
      <w:r w:rsidR="009E7B7A">
        <w:rPr>
          <w:color w:val="000000" w:themeColor="text1"/>
        </w:rPr>
        <w:t>,</w:t>
      </w:r>
      <w:r w:rsidR="00D1055D">
        <w:rPr>
          <w:color w:val="000000" w:themeColor="text1"/>
        </w:rPr>
        <w:t xml:space="preserve"> atbilstību Publisko iepirkumu likuma </w:t>
      </w:r>
      <w:r w:rsidR="000E03D3">
        <w:rPr>
          <w:color w:val="000000" w:themeColor="text1"/>
        </w:rPr>
        <w:t>normām</w:t>
      </w:r>
      <w:r w:rsidR="00D1055D">
        <w:rPr>
          <w:color w:val="000000" w:themeColor="text1"/>
        </w:rPr>
        <w:t>.</w:t>
      </w:r>
    </w:p>
    <w:p w14:paraId="45B3392F" w14:textId="0A6BDB25" w:rsidR="00D1055D" w:rsidRDefault="00D1055D" w:rsidP="00FF1A1F">
      <w:pPr>
        <w:spacing w:line="276" w:lineRule="auto"/>
        <w:ind w:firstLine="720"/>
        <w:jc w:val="both"/>
        <w:rPr>
          <w:color w:val="000000" w:themeColor="text1"/>
        </w:rPr>
      </w:pPr>
      <w:r>
        <w:rPr>
          <w:color w:val="000000" w:themeColor="text1"/>
        </w:rPr>
        <w:t xml:space="preserve">Kasatori uzskata, ka pretēji tiesas atzītajam iepirkuma nolikuma prasības neierobežo </w:t>
      </w:r>
      <w:r w:rsidR="00CA77C8">
        <w:rPr>
          <w:color w:val="000000" w:themeColor="text1"/>
        </w:rPr>
        <w:t>pretendentu</w:t>
      </w:r>
      <w:r w:rsidR="00E6252C">
        <w:rPr>
          <w:color w:val="000000" w:themeColor="text1"/>
        </w:rPr>
        <w:t xml:space="preserve"> </w:t>
      </w:r>
      <w:r>
        <w:rPr>
          <w:color w:val="000000" w:themeColor="text1"/>
        </w:rPr>
        <w:t>brīvu konkurenci</w:t>
      </w:r>
      <w:r w:rsidR="00E6252C">
        <w:rPr>
          <w:color w:val="000000" w:themeColor="text1"/>
        </w:rPr>
        <w:t>, turklāt tiesa esot pārkāpusi savas kompetences robežas.</w:t>
      </w:r>
    </w:p>
    <w:p w14:paraId="6EA7D0F6" w14:textId="16B28603" w:rsidR="00B553F9" w:rsidRPr="004D4E75" w:rsidRDefault="00B553F9" w:rsidP="00FF1A1F">
      <w:pPr>
        <w:spacing w:line="276" w:lineRule="auto"/>
        <w:ind w:firstLine="720"/>
        <w:jc w:val="both"/>
        <w:rPr>
          <w:color w:val="000000" w:themeColor="text1"/>
          <w:lang w:eastAsia="lv-LV"/>
        </w:rPr>
      </w:pPr>
      <w:r w:rsidRPr="00A614F8">
        <w:rPr>
          <w:color w:val="000000" w:themeColor="text1"/>
          <w:lang w:eastAsia="lv-LV"/>
        </w:rPr>
        <w:lastRenderedPageBreak/>
        <w:t>Līdz ar to Senātam kasācijas tiesvedībā jānoskaidro, vai</w:t>
      </w:r>
      <w:r w:rsidRPr="00A614F8">
        <w:t xml:space="preserve"> </w:t>
      </w:r>
      <w:r w:rsidR="00D1055D">
        <w:t>kasatoru</w:t>
      </w:r>
      <w:r w:rsidR="007428F7" w:rsidRPr="00A614F8">
        <w:t xml:space="preserve"> iebildumi ir pamatoti un </w:t>
      </w:r>
      <w:r w:rsidR="009E7B7A">
        <w:t xml:space="preserve">attiecīgi </w:t>
      </w:r>
      <w:r w:rsidRPr="00A614F8">
        <w:t>būtu pamats uzskatīt, ka tiesa ir nonākusi pie nepareiza lietas izspriešanas rezultāta.</w:t>
      </w:r>
    </w:p>
    <w:p w14:paraId="25E2209A" w14:textId="77777777" w:rsidR="00E364F9" w:rsidRDefault="00E364F9" w:rsidP="00FF1A1F">
      <w:pPr>
        <w:spacing w:line="276" w:lineRule="auto"/>
        <w:ind w:firstLine="720"/>
        <w:jc w:val="both"/>
      </w:pPr>
    </w:p>
    <w:p w14:paraId="1E3925FD" w14:textId="43EECC2E" w:rsidR="00243DDF" w:rsidRDefault="00983245" w:rsidP="00FF1A1F">
      <w:pPr>
        <w:spacing w:line="276" w:lineRule="auto"/>
        <w:ind w:firstLine="720"/>
        <w:jc w:val="both"/>
      </w:pPr>
      <w:r>
        <w:t>[</w:t>
      </w:r>
      <w:r w:rsidR="00000042">
        <w:t>8</w:t>
      </w:r>
      <w:r>
        <w:t>] </w:t>
      </w:r>
      <w:r w:rsidR="00761DDA" w:rsidRPr="00761DDA">
        <w:t>Publisko iepirkumu likuma 20.pantā</w:t>
      </w:r>
      <w:r w:rsidR="00243DDF">
        <w:t xml:space="preserve"> noteiktas p</w:t>
      </w:r>
      <w:r w:rsidR="00243DDF" w:rsidRPr="00761DDA">
        <w:t>rasības tehniskajām specifikācijām</w:t>
      </w:r>
      <w:r w:rsidR="00761DDA" w:rsidRPr="00761DDA">
        <w:t xml:space="preserve">. </w:t>
      </w:r>
    </w:p>
    <w:p w14:paraId="61FA6E16" w14:textId="5365907C" w:rsidR="00243DDF" w:rsidRDefault="00243DDF" w:rsidP="00FF1A1F">
      <w:pPr>
        <w:spacing w:line="276" w:lineRule="auto"/>
        <w:ind w:firstLine="720"/>
        <w:jc w:val="both"/>
      </w:pPr>
      <w:r>
        <w:t xml:space="preserve">Atbilstoši </w:t>
      </w:r>
      <w:r w:rsidR="0005460F">
        <w:t>20.</w:t>
      </w:r>
      <w:r>
        <w:t>panta pirmajai daļai t</w:t>
      </w:r>
      <w:r w:rsidRPr="00243DDF">
        <w:t>ehniskās specifikācijas tiek ietvertas iepirkuma procedūras dokumentos un nosaka pakalpojumiem vai piegādēm izvirzītās prasības. Tehniskās specifikācijas nodrošina vienādas iespējas visiem pretendentiem un nerada nepamatotus ierobežojumus konkurencei iepirkumā.</w:t>
      </w:r>
    </w:p>
    <w:p w14:paraId="5D55D96E" w14:textId="77777777" w:rsidR="00243DDF" w:rsidRDefault="00761DDA" w:rsidP="00FF1A1F">
      <w:pPr>
        <w:spacing w:line="276" w:lineRule="auto"/>
        <w:ind w:firstLine="720"/>
        <w:jc w:val="both"/>
      </w:pPr>
      <w:r w:rsidRPr="00761DDA">
        <w:t xml:space="preserve">Saskaņā ar 20.panta sesto daļu, ja tas nav izšķiroši svarīgi iepirkuma līguma priekšmeta pastāvēšanai, tehniskajās specifikācijās nenorāda specifisku izcelsmi, īpašu procesu, kas raksturo tikai kāda konkrēta piegādātāja preces vai pakalpojumus, zīmolu, patentus vai specifiskus preču veidus, kas noteiktiem piegādātājiem vai precēm rada priekšrocības vai noraidīšanas iemeslu. Izņēmuma gadījumos šādu norādi var iekļaut, ja nav iespējams sagatavot pietiekami precīzu un skaidru iepirkuma līguma priekšmeta aprakstu saskaņā ar šā panta piekto daļu. Tādā gadījumā norādi lieto kopā ar vārdiem „vai ekvivalents”. </w:t>
      </w:r>
    </w:p>
    <w:p w14:paraId="0733ED74" w14:textId="72CF4895" w:rsidR="00AC37AE" w:rsidRDefault="00761DDA" w:rsidP="00FF1A1F">
      <w:pPr>
        <w:spacing w:line="276" w:lineRule="auto"/>
        <w:ind w:firstLine="720"/>
        <w:jc w:val="both"/>
      </w:pPr>
      <w:r w:rsidRPr="00761DDA">
        <w:t>Minētā</w:t>
      </w:r>
      <w:r w:rsidR="00243DDF">
        <w:t>s</w:t>
      </w:r>
      <w:r w:rsidRPr="00761DDA">
        <w:t xml:space="preserve"> </w:t>
      </w:r>
      <w:r w:rsidR="009E7B7A">
        <w:t>Publisko iepirkumu likuma</w:t>
      </w:r>
      <w:r w:rsidRPr="00761DDA">
        <w:t xml:space="preserve"> norma</w:t>
      </w:r>
      <w:r w:rsidR="00243DDF">
        <w:t>s</w:t>
      </w:r>
      <w:r w:rsidRPr="00761DDA">
        <w:t xml:space="preserve"> pārņemta</w:t>
      </w:r>
      <w:r w:rsidR="00FD0744">
        <w:t>s</w:t>
      </w:r>
      <w:r w:rsidRPr="00761DDA">
        <w:t xml:space="preserve"> no Eiropas Parlamenta un Padomes 2014.gada 26.februāra direktīvas 2014/24/ES par publisko iepirkumu un ar ko atceļ direktīvu 2004/18/EK (turpmāk – </w:t>
      </w:r>
      <w:r w:rsidR="00243DDF">
        <w:t>Publisko iepirkumu direktīva</w:t>
      </w:r>
      <w:r w:rsidRPr="00761DDA">
        <w:t>) 42.panta</w:t>
      </w:r>
      <w:r w:rsidR="00991153">
        <w:t xml:space="preserve"> 1., 2. un 4.punkt</w:t>
      </w:r>
      <w:r w:rsidR="00F42C37">
        <w:t>a</w:t>
      </w:r>
      <w:r w:rsidRPr="00761DDA">
        <w:t>.</w:t>
      </w:r>
    </w:p>
    <w:p w14:paraId="346295D5" w14:textId="64D1D520" w:rsidR="00AC37AE" w:rsidRPr="00AC37AE" w:rsidRDefault="00A53DBE" w:rsidP="00FF1A1F">
      <w:pPr>
        <w:pStyle w:val="tv213"/>
        <w:spacing w:before="0" w:beforeAutospacing="0" w:after="0" w:afterAutospacing="0" w:line="276" w:lineRule="auto"/>
        <w:ind w:firstLine="720"/>
        <w:jc w:val="both"/>
        <w:rPr>
          <w:rFonts w:asciiTheme="majorBidi" w:hAnsiTheme="majorBidi" w:cstheme="majorBidi"/>
          <w:lang w:val="lv-LV"/>
        </w:rPr>
      </w:pPr>
      <w:r>
        <w:rPr>
          <w:rFonts w:asciiTheme="majorBidi" w:hAnsiTheme="majorBidi" w:cstheme="majorBidi"/>
          <w:lang w:val="lv-LV"/>
        </w:rPr>
        <w:t>Publisko iepirkumu direktīvas noteikumi neattiecas uz</w:t>
      </w:r>
      <w:r w:rsidR="00AC37AE" w:rsidRPr="00AC37AE">
        <w:rPr>
          <w:rFonts w:asciiTheme="majorBidi" w:hAnsiTheme="majorBidi" w:cstheme="majorBidi"/>
          <w:lang w:val="lv-LV"/>
        </w:rPr>
        <w:t xml:space="preserve"> </w:t>
      </w:r>
      <w:r w:rsidR="00243DDF">
        <w:rPr>
          <w:rFonts w:asciiTheme="majorBidi" w:hAnsiTheme="majorBidi" w:cstheme="majorBidi"/>
          <w:lang w:val="lv-LV"/>
        </w:rPr>
        <w:t>izskatāmās lietas</w:t>
      </w:r>
      <w:r w:rsidR="00AC37AE" w:rsidRPr="00AC37AE">
        <w:rPr>
          <w:rFonts w:asciiTheme="majorBidi" w:hAnsiTheme="majorBidi" w:cstheme="majorBidi"/>
          <w:lang w:val="lv-LV"/>
        </w:rPr>
        <w:t xml:space="preserve"> iepirkum</w:t>
      </w:r>
      <w:r>
        <w:rPr>
          <w:rFonts w:asciiTheme="majorBidi" w:hAnsiTheme="majorBidi" w:cstheme="majorBidi"/>
          <w:lang w:val="lv-LV"/>
        </w:rPr>
        <w:t>u, jo tā vērtība vai</w:t>
      </w:r>
      <w:r w:rsidR="00AC37AE" w:rsidRPr="00AC37AE">
        <w:rPr>
          <w:rFonts w:asciiTheme="majorBidi" w:hAnsiTheme="majorBidi" w:cstheme="majorBidi"/>
          <w:lang w:val="lv-LV"/>
        </w:rPr>
        <w:t xml:space="preserve"> līgumcena </w:t>
      </w:r>
      <w:r>
        <w:rPr>
          <w:rFonts w:asciiTheme="majorBidi" w:hAnsiTheme="majorBidi" w:cstheme="majorBidi"/>
          <w:lang w:val="lv-LV"/>
        </w:rPr>
        <w:t>nesasniedz direktīvā fiksēto robežvērtību. Tomēr</w:t>
      </w:r>
      <w:r w:rsidR="0090666B">
        <w:rPr>
          <w:rFonts w:asciiTheme="majorBidi" w:hAnsiTheme="majorBidi" w:cstheme="majorBidi"/>
          <w:lang w:val="lv-LV"/>
        </w:rPr>
        <w:t xml:space="preserve">, tā kā </w:t>
      </w:r>
      <w:r w:rsidR="00AC37AE" w:rsidRPr="00AC37AE">
        <w:rPr>
          <w:rFonts w:asciiTheme="majorBidi" w:hAnsiTheme="majorBidi" w:cstheme="majorBidi"/>
          <w:lang w:val="lv-LV"/>
        </w:rPr>
        <w:t xml:space="preserve">Publisko iepirkumu likuma </w:t>
      </w:r>
      <w:r w:rsidR="00243DDF">
        <w:rPr>
          <w:rFonts w:asciiTheme="majorBidi" w:hAnsiTheme="majorBidi" w:cstheme="majorBidi"/>
          <w:lang w:val="lv-LV"/>
        </w:rPr>
        <w:t>20</w:t>
      </w:r>
      <w:r w:rsidR="00AC37AE" w:rsidRPr="00AC37AE">
        <w:rPr>
          <w:rFonts w:asciiTheme="majorBidi" w:hAnsiTheme="majorBidi" w:cstheme="majorBidi"/>
          <w:lang w:val="lv-LV"/>
        </w:rPr>
        <w:t>.pant</w:t>
      </w:r>
      <w:r w:rsidR="003D2ACA">
        <w:rPr>
          <w:rFonts w:asciiTheme="majorBidi" w:hAnsiTheme="majorBidi" w:cstheme="majorBidi"/>
          <w:lang w:val="lv-LV"/>
        </w:rPr>
        <w:t>ā</w:t>
      </w:r>
      <w:r w:rsidR="00AC37AE" w:rsidRPr="00AC37AE">
        <w:rPr>
          <w:rFonts w:asciiTheme="majorBidi" w:hAnsiTheme="majorBidi" w:cstheme="majorBidi"/>
          <w:lang w:val="lv-LV"/>
        </w:rPr>
        <w:t xml:space="preserve"> ir </w:t>
      </w:r>
      <w:r w:rsidR="003D2ACA">
        <w:rPr>
          <w:rFonts w:asciiTheme="majorBidi" w:hAnsiTheme="majorBidi" w:cstheme="majorBidi"/>
          <w:lang w:val="lv-LV"/>
        </w:rPr>
        <w:t>transponētas minētās</w:t>
      </w:r>
      <w:r w:rsidR="00AC37AE" w:rsidRPr="00AC37AE">
        <w:rPr>
          <w:rFonts w:asciiTheme="majorBidi" w:hAnsiTheme="majorBidi" w:cstheme="majorBidi"/>
          <w:lang w:val="lv-LV"/>
        </w:rPr>
        <w:t xml:space="preserve"> direktīv</w:t>
      </w:r>
      <w:r w:rsidR="003D2ACA">
        <w:rPr>
          <w:rFonts w:asciiTheme="majorBidi" w:hAnsiTheme="majorBidi" w:cstheme="majorBidi"/>
          <w:lang w:val="lv-LV"/>
        </w:rPr>
        <w:t>as normas</w:t>
      </w:r>
      <w:r w:rsidR="0090666B">
        <w:rPr>
          <w:rFonts w:asciiTheme="majorBidi" w:hAnsiTheme="majorBidi" w:cstheme="majorBidi"/>
          <w:lang w:val="lv-LV"/>
        </w:rPr>
        <w:t xml:space="preserve">, </w:t>
      </w:r>
      <w:r w:rsidR="00AC37AE" w:rsidRPr="00AC37AE">
        <w:rPr>
          <w:rFonts w:asciiTheme="majorBidi" w:hAnsiTheme="majorBidi" w:cstheme="majorBidi"/>
          <w:lang w:val="lv-LV"/>
        </w:rPr>
        <w:t xml:space="preserve">arī gadījumos, kad </w:t>
      </w:r>
      <w:r w:rsidR="0090666B">
        <w:rPr>
          <w:rFonts w:asciiTheme="majorBidi" w:hAnsiTheme="majorBidi" w:cstheme="majorBidi"/>
          <w:lang w:val="lv-LV"/>
        </w:rPr>
        <w:t xml:space="preserve">konkrēts </w:t>
      </w:r>
      <w:r w:rsidR="00AC37AE" w:rsidRPr="00AC37AE">
        <w:rPr>
          <w:rFonts w:asciiTheme="majorBidi" w:hAnsiTheme="majorBidi" w:cstheme="majorBidi"/>
          <w:lang w:val="lv-LV"/>
        </w:rPr>
        <w:t xml:space="preserve">iepirkums nav direktīvas darbības jomā, Publisko iepirkumu likuma </w:t>
      </w:r>
      <w:r w:rsidR="00243DDF">
        <w:rPr>
          <w:rFonts w:asciiTheme="majorBidi" w:hAnsiTheme="majorBidi" w:cstheme="majorBidi"/>
          <w:lang w:val="lv-LV"/>
        </w:rPr>
        <w:t>20</w:t>
      </w:r>
      <w:r w:rsidR="00AC37AE" w:rsidRPr="00AC37AE">
        <w:rPr>
          <w:rFonts w:asciiTheme="majorBidi" w:hAnsiTheme="majorBidi" w:cstheme="majorBidi"/>
          <w:lang w:val="lv-LV"/>
        </w:rPr>
        <w:t xml:space="preserve">.panta </w:t>
      </w:r>
      <w:r w:rsidR="009E7B7A">
        <w:rPr>
          <w:rFonts w:asciiTheme="majorBidi" w:hAnsiTheme="majorBidi" w:cstheme="majorBidi"/>
          <w:lang w:val="lv-LV"/>
        </w:rPr>
        <w:t>satura</w:t>
      </w:r>
      <w:r w:rsidR="00AC37AE" w:rsidRPr="00AC37AE">
        <w:rPr>
          <w:rFonts w:asciiTheme="majorBidi" w:hAnsiTheme="majorBidi" w:cstheme="majorBidi"/>
          <w:lang w:val="lv-LV"/>
        </w:rPr>
        <w:t xml:space="preserve"> noskaidrošanai var izmantot Eiropas Savienības Tiesas atziņas</w:t>
      </w:r>
      <w:r w:rsidR="0090666B">
        <w:rPr>
          <w:rFonts w:asciiTheme="majorBidi" w:hAnsiTheme="majorBidi" w:cstheme="majorBidi"/>
          <w:lang w:val="lv-LV"/>
        </w:rPr>
        <w:t xml:space="preserve"> par minēt</w:t>
      </w:r>
      <w:r w:rsidR="009D46BB">
        <w:rPr>
          <w:rFonts w:asciiTheme="majorBidi" w:hAnsiTheme="majorBidi" w:cstheme="majorBidi"/>
          <w:lang w:val="lv-LV"/>
        </w:rPr>
        <w:t>ās</w:t>
      </w:r>
      <w:r w:rsidR="0090666B">
        <w:rPr>
          <w:rFonts w:asciiTheme="majorBidi" w:hAnsiTheme="majorBidi" w:cstheme="majorBidi"/>
          <w:lang w:val="lv-LV"/>
        </w:rPr>
        <w:t xml:space="preserve"> direktīvas normām</w:t>
      </w:r>
      <w:r w:rsidR="00AC37AE" w:rsidRPr="00AC37AE">
        <w:rPr>
          <w:rFonts w:asciiTheme="majorBidi" w:hAnsiTheme="majorBidi" w:cstheme="majorBidi"/>
          <w:lang w:val="lv-LV"/>
        </w:rPr>
        <w:t xml:space="preserve">. </w:t>
      </w:r>
    </w:p>
    <w:p w14:paraId="2B9EB65D" w14:textId="77777777" w:rsidR="003B39D3" w:rsidRDefault="003B39D3" w:rsidP="00FF1A1F">
      <w:pPr>
        <w:spacing w:line="276" w:lineRule="auto"/>
        <w:ind w:firstLine="720"/>
        <w:jc w:val="both"/>
      </w:pPr>
    </w:p>
    <w:p w14:paraId="2AF85AAD" w14:textId="71C7238B" w:rsidR="00EF59F8" w:rsidRPr="00EF59F8" w:rsidRDefault="003B39D3" w:rsidP="00FF1A1F">
      <w:pPr>
        <w:spacing w:line="276" w:lineRule="auto"/>
        <w:ind w:firstLine="720"/>
        <w:jc w:val="both"/>
      </w:pPr>
      <w:r>
        <w:t>[</w:t>
      </w:r>
      <w:r w:rsidR="00000042">
        <w:t>9</w:t>
      </w:r>
      <w:r>
        <w:t>] </w:t>
      </w:r>
      <w:r w:rsidR="00E25F17">
        <w:t xml:space="preserve">Eiropas Savienības </w:t>
      </w:r>
      <w:r w:rsidR="00517393">
        <w:t>T</w:t>
      </w:r>
      <w:r w:rsidR="00E25F17">
        <w:t>iesa</w:t>
      </w:r>
      <w:r w:rsidR="003D2ACA">
        <w:t xml:space="preserve"> </w:t>
      </w:r>
      <w:r w:rsidR="00E25F17">
        <w:t xml:space="preserve">ir </w:t>
      </w:r>
      <w:r w:rsidR="003D2ACA">
        <w:t xml:space="preserve">skaidrojusi </w:t>
      </w:r>
      <w:r w:rsidR="003D2ACA" w:rsidRPr="003D2ACA">
        <w:t xml:space="preserve">tehnisko specifikāciju formulēšanas metodes un </w:t>
      </w:r>
      <w:r w:rsidR="003D2ACA">
        <w:t>izņēmuma gadījumu pieļaujamību.</w:t>
      </w:r>
      <w:r w:rsidR="009D46BB">
        <w:t xml:space="preserve"> </w:t>
      </w:r>
      <w:r w:rsidR="00517393">
        <w:t>T</w:t>
      </w:r>
      <w:r w:rsidR="003D2ACA">
        <w:t xml:space="preserve">iesa </w:t>
      </w:r>
      <w:r w:rsidR="00E25F17">
        <w:t xml:space="preserve">norādījusi, ka </w:t>
      </w:r>
      <w:r w:rsidR="00EF59F8" w:rsidRPr="00EF59F8">
        <w:t xml:space="preserve">publiskā iepirkuma procedūrā tehnisko specifikāciju formulējuma mērķis saskaņā ar </w:t>
      </w:r>
      <w:r w:rsidR="00EF59F8">
        <w:t>Publisko iepirkumu direktīv</w:t>
      </w:r>
      <w:r w:rsidR="00F42C37">
        <w:t>a</w:t>
      </w:r>
      <w:r w:rsidR="00EF59F8">
        <w:t>s</w:t>
      </w:r>
      <w:r w:rsidR="00EF59F8" w:rsidRPr="00EF59F8">
        <w:t xml:space="preserve"> 42.panta 1.punktu ir noteikt </w:t>
      </w:r>
      <w:r w:rsidR="00EF59F8">
        <w:t>,,</w:t>
      </w:r>
      <w:r w:rsidR="00EF59F8" w:rsidRPr="00EF59F8">
        <w:t>piegādes nepieciešamos raksturlielumus”. Tā kā tehniskās specifikācijas nosaka šos raksturlielumus, tās</w:t>
      </w:r>
      <w:r w:rsidR="00EF59F8">
        <w:t xml:space="preserve"> </w:t>
      </w:r>
      <w:r w:rsidR="00EF59F8" w:rsidRPr="00EF59F8">
        <w:t>– kā izriet no šīs direktīvas 92.apsvēruma</w:t>
      </w:r>
      <w:r w:rsidR="00EF59F8">
        <w:t xml:space="preserve"> </w:t>
      </w:r>
      <w:r w:rsidR="00EF59F8" w:rsidRPr="00EF59F8">
        <w:t>– definē pašu publiskā līguma priekšmetu.</w:t>
      </w:r>
      <w:r w:rsidR="009D46BB">
        <w:t xml:space="preserve"> </w:t>
      </w:r>
      <w:r w:rsidR="00EF59F8" w:rsidRPr="00EF59F8">
        <w:t xml:space="preserve">Lai gan līgumslēdzējām iestādēm ir plaša rīcības brīvība, kas ir pamatota ar to, ka tās vislabāk pārzina piegādes, kas tām vajadzīgas, un prasības, kas jāizpilda, lai sasniegtu vēlamos rezultātus, </w:t>
      </w:r>
      <w:r w:rsidR="00EF59F8">
        <w:t>Publisko iepirkumu direktīvā</w:t>
      </w:r>
      <w:r w:rsidR="00EF59F8" w:rsidRPr="00EF59F8">
        <w:t xml:space="preserve"> tomēr ir noteikti konkrēti ierobežojumi, kas tām jāievēro. Saskaņā ar </w:t>
      </w:r>
      <w:r w:rsidR="00EF59F8">
        <w:t xml:space="preserve">Publisko iepirkumu direktīvas </w:t>
      </w:r>
      <w:r w:rsidR="00EF59F8" w:rsidRPr="00EF59F8">
        <w:t>42.panta 2.punktu, lasot to kopsakarā ar tās 18.panta 1.punktu, tām jānodrošina, ka tehniskās specifikācijas sniedz visiem ekonomikas dalībniekiem vienādu piekļuvi iepirkuma procedūrai, un to sekas nevar būt tādas, ka rodas nepamatoti šķēršļi publiskā iepirkuma atvēršanai konkurencei (</w:t>
      </w:r>
      <w:r w:rsidR="00EF59F8" w:rsidRPr="00EF59F8">
        <w:rPr>
          <w:i/>
          <w:iCs/>
        </w:rPr>
        <w:t>Eiropas Savienības Tiesas 2018.gada 25.oktobra spriedum</w:t>
      </w:r>
      <w:r w:rsidR="007930F1">
        <w:rPr>
          <w:i/>
          <w:iCs/>
        </w:rPr>
        <w:t>a</w:t>
      </w:r>
      <w:r w:rsidR="00EF59F8" w:rsidRPr="00EF59F8">
        <w:rPr>
          <w:i/>
          <w:iCs/>
        </w:rPr>
        <w:t xml:space="preserve"> lietā Roche Lietuva, C</w:t>
      </w:r>
      <w:r w:rsidR="00EF59F8" w:rsidRPr="00EF59F8">
        <w:rPr>
          <w:i/>
          <w:iCs/>
        </w:rPr>
        <w:noBreakHyphen/>
        <w:t xml:space="preserve">413/17, EU:C:2018:865, </w:t>
      </w:r>
      <w:r w:rsidR="00EF59F8" w:rsidRPr="002F6164">
        <w:rPr>
          <w:i/>
          <w:iCs/>
        </w:rPr>
        <w:t>29.–33.punkt</w:t>
      </w:r>
      <w:r w:rsidR="00FD0744" w:rsidRPr="002F6164">
        <w:rPr>
          <w:i/>
          <w:iCs/>
        </w:rPr>
        <w:t>s</w:t>
      </w:r>
      <w:r w:rsidR="009E7B7A">
        <w:rPr>
          <w:i/>
          <w:iCs/>
        </w:rPr>
        <w:t xml:space="preserve">, </w:t>
      </w:r>
      <w:r w:rsidR="009E7B7A">
        <w:t xml:space="preserve">2025.gada 16.janvāra sprieduma lietā </w:t>
      </w:r>
      <w:r w:rsidR="009E7B7A" w:rsidRPr="003D2ACA">
        <w:rPr>
          <w:i/>
          <w:iCs/>
        </w:rPr>
        <w:t>DYKA Plastics NV</w:t>
      </w:r>
      <w:r w:rsidR="009E7B7A">
        <w:rPr>
          <w:i/>
          <w:iCs/>
        </w:rPr>
        <w:t xml:space="preserve">, </w:t>
      </w:r>
      <w:r w:rsidR="009E7B7A" w:rsidRPr="002F6164">
        <w:rPr>
          <w:i/>
          <w:iCs/>
        </w:rPr>
        <w:t>C</w:t>
      </w:r>
      <w:r w:rsidR="002F6164" w:rsidRPr="002F6164">
        <w:rPr>
          <w:i/>
          <w:iCs/>
        </w:rPr>
        <w:t>-424/23</w:t>
      </w:r>
      <w:r w:rsidR="009E7B7A" w:rsidRPr="002F6164">
        <w:rPr>
          <w:i/>
          <w:iCs/>
        </w:rPr>
        <w:t xml:space="preserve">, </w:t>
      </w:r>
      <w:r w:rsidR="002F6164" w:rsidRPr="002F6164">
        <w:rPr>
          <w:i/>
          <w:iCs/>
        </w:rPr>
        <w:t>EU:C:2025:15</w:t>
      </w:r>
      <w:r w:rsidR="009E7B7A" w:rsidRPr="002F6164">
        <w:rPr>
          <w:i/>
          <w:iCs/>
        </w:rPr>
        <w:t>, 42.punkts</w:t>
      </w:r>
      <w:r w:rsidR="00EF59F8" w:rsidRPr="00EF59F8">
        <w:t>).</w:t>
      </w:r>
    </w:p>
    <w:p w14:paraId="411DB16D" w14:textId="77777777" w:rsidR="009D46BB" w:rsidRDefault="009D46BB" w:rsidP="00FF1A1F">
      <w:pPr>
        <w:spacing w:line="276" w:lineRule="auto"/>
        <w:ind w:firstLine="720"/>
        <w:jc w:val="both"/>
      </w:pPr>
    </w:p>
    <w:p w14:paraId="0AA47F86" w14:textId="4320F04F" w:rsidR="00E25F17" w:rsidRDefault="009D46BB" w:rsidP="00FF1A1F">
      <w:pPr>
        <w:spacing w:line="276" w:lineRule="auto"/>
        <w:ind w:firstLine="720"/>
        <w:jc w:val="both"/>
      </w:pPr>
      <w:r>
        <w:lastRenderedPageBreak/>
        <w:t xml:space="preserve">[10] </w:t>
      </w:r>
      <w:r w:rsidR="003D2ACA">
        <w:t>Publisko iepirkumu d</w:t>
      </w:r>
      <w:r w:rsidR="00E25F17" w:rsidRPr="00E25F17">
        <w:t>irektīvas 74.apsvērumā ir precizēts, ka tehnisko specifikāciju formulēšana, atsaucoties uz darbības rezultātiem un funkcionālajām prasībām, ļauj pēc iespējas labāk sasniegt mērķi nodrošināt atvērtību konkurencei un ka tādēļ šī formulējuma metode, kas veicina inovāciju publiskajā iepirkumā, būtu jāizmanto pēc iespējas plašāk.</w:t>
      </w:r>
    </w:p>
    <w:p w14:paraId="071DEDA5" w14:textId="77777777" w:rsidR="003D2ACA" w:rsidRDefault="00991153" w:rsidP="00FF1A1F">
      <w:pPr>
        <w:spacing w:line="276" w:lineRule="auto"/>
        <w:ind w:firstLine="720"/>
        <w:jc w:val="both"/>
      </w:pPr>
      <w:r>
        <w:t>S</w:t>
      </w:r>
      <w:r w:rsidR="00E25F17" w:rsidRPr="00E25F17">
        <w:t xml:space="preserve">askaņā ar šīs direktīvas 42.panta 4.punktu principā ir aizliegts tehniskajās specifikācijās iekļaut atsauci uz </w:t>
      </w:r>
      <w:r w:rsidR="000F4657">
        <w:t>,,</w:t>
      </w:r>
      <w:r w:rsidR="00E25F17" w:rsidRPr="00E25F17">
        <w:t xml:space="preserve">konkrētiem ražotājiem vai avotiem vai konkrētiem procesiem, kuri raksturo kāda konkrēta ekonomikas dalībnieka nodrošinātos produktus vai pakalpojumus”, vai </w:t>
      </w:r>
      <w:r w:rsidR="000F4657">
        <w:t>,,</w:t>
      </w:r>
      <w:r w:rsidR="00E25F17" w:rsidRPr="00E25F17">
        <w:t>tirdzniecības markām, patentiem, tipiem, vai konkrētu izcelsmi, vai ražošanas veidu, kas dažiem uzņēmumiem vai produktiem var nodrošināt priekšrocības vai izraisīt to izslēgšanu”.</w:t>
      </w:r>
      <w:r w:rsidR="003A3BF3">
        <w:t xml:space="preserve"> </w:t>
      </w:r>
    </w:p>
    <w:p w14:paraId="29F0F1DC" w14:textId="20A1360F" w:rsidR="00E25F17" w:rsidRPr="00E25F17" w:rsidRDefault="00E25F17" w:rsidP="00FF1A1F">
      <w:pPr>
        <w:spacing w:line="276" w:lineRule="auto"/>
        <w:ind w:firstLine="720"/>
        <w:jc w:val="both"/>
      </w:pPr>
      <w:r w:rsidRPr="00E25F17">
        <w:t>Šādas atsauces neveicina publiskā iepirkuma atvērtību konkurencei, bet gan ierobežo to.</w:t>
      </w:r>
      <w:r w:rsidR="009D46BB">
        <w:t xml:space="preserve"> </w:t>
      </w:r>
      <w:r w:rsidRPr="00E25F17">
        <w:t xml:space="preserve">Tomēr izņēmuma kārtā līgumslēdzēja iestāde līguma dokumentos, kas ietver tehniskās specifikācijas, var iekļaut </w:t>
      </w:r>
      <w:r w:rsidR="000F4657">
        <w:t>Publisko iepirkumu direktīvas</w:t>
      </w:r>
      <w:r w:rsidRPr="00E25F17">
        <w:t xml:space="preserve"> 42.panta 4.punktā minēto atsauci, ar nosacījumu</w:t>
      </w:r>
      <w:r w:rsidR="000F4657">
        <w:t xml:space="preserve"> </w:t>
      </w:r>
      <w:r w:rsidRPr="00E25F17">
        <w:t>– kurš būtībā paredzēts šīs tiesību normas otrajā teikumā</w:t>
      </w:r>
      <w:r w:rsidR="00BB38FD">
        <w:t> </w:t>
      </w:r>
      <w:r w:rsidR="007F1987">
        <w:t>– </w:t>
      </w:r>
      <w:r w:rsidRPr="00E25F17">
        <w:t xml:space="preserve">, ka </w:t>
      </w:r>
      <w:r w:rsidRPr="00090E41">
        <w:t xml:space="preserve">darbības rezultāti vai funkcionālās prasības, kas minētas saskaņā ar šīs direktīvas 42.panta 3.punkta </w:t>
      </w:r>
      <w:r w:rsidR="007F1987">
        <w:t>„</w:t>
      </w:r>
      <w:r w:rsidRPr="00090E41">
        <w:t>a</w:t>
      </w:r>
      <w:r w:rsidR="007F1987">
        <w:t xml:space="preserve">” </w:t>
      </w:r>
      <w:r w:rsidRPr="00090E41">
        <w:t xml:space="preserve">apakšpunktu, vai specifikācijas, kas minētas atbilstoši šīs direktīvas 42.panta 3.punkta </w:t>
      </w:r>
      <w:r w:rsidR="007F1987">
        <w:t>„</w:t>
      </w:r>
      <w:r w:rsidRPr="00090E41">
        <w:t>b</w:t>
      </w:r>
      <w:r w:rsidR="007F1987">
        <w:t>”</w:t>
      </w:r>
      <w:r w:rsidRPr="00090E41">
        <w:t> apakšpunktam, vai abu kombinācija, pašas par sevi neļauj sniegt pietiekami precīzu un saprotamu līguma priekšmeta aprakstu.</w:t>
      </w:r>
      <w:r w:rsidRPr="00E25F17">
        <w:t xml:space="preserve"> Šādā gadījumā līgumslēdzējai iestādei saskaņā ar šīs pašas direktīvas 42.panta 4.punkta trešo teikumu šai atsaucei jāpievieno norāde </w:t>
      </w:r>
      <w:r w:rsidR="00BB38FD">
        <w:t>,,</w:t>
      </w:r>
      <w:r w:rsidRPr="00E25F17">
        <w:t>vai līdzvērtīgs”.</w:t>
      </w:r>
    </w:p>
    <w:p w14:paraId="20191FC9" w14:textId="77777777" w:rsidR="008A2F9B" w:rsidRPr="00161E7D" w:rsidRDefault="00E25F17" w:rsidP="00FF1A1F">
      <w:pPr>
        <w:spacing w:line="276" w:lineRule="auto"/>
        <w:ind w:firstLine="720"/>
        <w:jc w:val="both"/>
      </w:pPr>
      <w:r w:rsidRPr="00161E7D">
        <w:t xml:space="preserve">Turklāt, kā izriet no </w:t>
      </w:r>
      <w:r w:rsidR="00BB38FD" w:rsidRPr="00161E7D">
        <w:t>Publisko iepirkumu direktīvas</w:t>
      </w:r>
      <w:r w:rsidRPr="00161E7D">
        <w:t xml:space="preserve"> 42.panta 4.punkta pirmajā teikumā ietvertās frāzes </w:t>
      </w:r>
      <w:r w:rsidR="00C170A8" w:rsidRPr="00161E7D">
        <w:t>,,</w:t>
      </w:r>
      <w:r w:rsidRPr="00161E7D">
        <w:t xml:space="preserve">izņemot tad, ja līguma priekšmets to attaisno”, šajā tiesību normā minētās atsauces var izdarīt arī tad, ja tas ir likumīgi, ņemot vērā līguma priekšmetu. </w:t>
      </w:r>
    </w:p>
    <w:p w14:paraId="66C9D231" w14:textId="17D9F859" w:rsidR="00E25F17" w:rsidRPr="00E25F17" w:rsidRDefault="00E25F17" w:rsidP="00FF1A1F">
      <w:pPr>
        <w:spacing w:line="276" w:lineRule="auto"/>
        <w:ind w:firstLine="720"/>
        <w:jc w:val="both"/>
      </w:pPr>
      <w:r w:rsidRPr="00E25F17">
        <w:t xml:space="preserve">Tātad, ja tāda atsauce kā </w:t>
      </w:r>
      <w:r w:rsidR="00C170A8">
        <w:t>Publisko iepirkumu direktīvas</w:t>
      </w:r>
      <w:r w:rsidR="00C170A8" w:rsidRPr="00E25F17">
        <w:t xml:space="preserve"> </w:t>
      </w:r>
      <w:r w:rsidRPr="00E25F17">
        <w:t xml:space="preserve">42.panta 4.punktā minētā </w:t>
      </w:r>
      <w:r w:rsidRPr="008A2F9B">
        <w:t>ir pamatota ar līguma priekšmetu</w:t>
      </w:r>
      <w:r w:rsidRPr="00E25F17">
        <w:t>, to var iekļaut tehniskajās specifikācijās un nav piemērojams šīs tiesību normas pirmajā teikumā paredzētais aizliegums vai tās otrajā un trešajā teikumā paredzētie nosacījumi.</w:t>
      </w:r>
    </w:p>
    <w:p w14:paraId="21E74A87" w14:textId="768F4AC3" w:rsidR="00E25F17" w:rsidRDefault="00E25F17" w:rsidP="00FF1A1F">
      <w:pPr>
        <w:spacing w:line="276" w:lineRule="auto"/>
        <w:ind w:firstLine="720"/>
        <w:jc w:val="both"/>
      </w:pPr>
      <w:r w:rsidRPr="00E25F17">
        <w:t>Šis gadījums, uz kuru attiecas vārdi</w:t>
      </w:r>
      <w:r w:rsidR="00C170A8">
        <w:t xml:space="preserve"> </w:t>
      </w:r>
      <w:r w:rsidR="007F1987">
        <w:t>„</w:t>
      </w:r>
      <w:r w:rsidRPr="00E25F17">
        <w:t>izņemot tad, ja līguma priekšmets to attaisno”, jāinterpretē šauri</w:t>
      </w:r>
      <w:r w:rsidR="008A2F9B">
        <w:t xml:space="preserve"> </w:t>
      </w:r>
      <w:r w:rsidRPr="00E25F17">
        <w:t>– ja šādi netiek apdraudēts mērķis atvērt publiskā iepirkuma līgumus konkurencei</w:t>
      </w:r>
      <w:r w:rsidR="00517393">
        <w:t xml:space="preserve"> </w:t>
      </w:r>
      <w:r w:rsidRPr="00E25F17">
        <w:t xml:space="preserve">–, tādējādi, </w:t>
      </w:r>
      <w:r w:rsidRPr="008A2F9B">
        <w:t>ka tie attiecas tikai uz situācijām, kurās prasība par noteikta veida vai izcelsmes produkt</w:t>
      </w:r>
      <w:r w:rsidR="005B1DAB">
        <w:t>u</w:t>
      </w:r>
      <w:r w:rsidRPr="008A2F9B">
        <w:t>, vai pat noteiktas preču zīmes produkt</w:t>
      </w:r>
      <w:r w:rsidR="005B1DAB">
        <w:t>u</w:t>
      </w:r>
      <w:r w:rsidRPr="008A2F9B">
        <w:t>, vai tād</w:t>
      </w:r>
      <w:r w:rsidR="007F1987">
        <w:t>u</w:t>
      </w:r>
      <w:r w:rsidRPr="008A2F9B">
        <w:t xml:space="preserve"> produkt</w:t>
      </w:r>
      <w:r w:rsidR="005B1DAB">
        <w:t>u</w:t>
      </w:r>
      <w:r w:rsidRPr="008A2F9B">
        <w:t>, kas iegūts, pamatojoties uz konkrētu patentu vai paņēmienu, nenovēršami izriet no līguma priekšmeta</w:t>
      </w:r>
      <w:r w:rsidR="008D06FA">
        <w:t xml:space="preserve"> </w:t>
      </w:r>
      <w:r w:rsidR="0010269E" w:rsidRPr="0010269E">
        <w:t>(</w:t>
      </w:r>
      <w:r w:rsidR="0010269E" w:rsidRPr="003D2ACA">
        <w:rPr>
          <w:i/>
          <w:iCs/>
        </w:rPr>
        <w:t>Eiropas Savienības Tiesas</w:t>
      </w:r>
      <w:r w:rsidR="0010269E" w:rsidRPr="00EF59F8">
        <w:rPr>
          <w:i/>
          <w:iCs/>
        </w:rPr>
        <w:t xml:space="preserve"> </w:t>
      </w:r>
      <w:r w:rsidR="003A3BF3" w:rsidRPr="003D2ACA">
        <w:rPr>
          <w:i/>
          <w:iCs/>
        </w:rPr>
        <w:t>2025.gada 16.janvāra spriedum</w:t>
      </w:r>
      <w:r w:rsidR="007A35AE">
        <w:rPr>
          <w:i/>
          <w:iCs/>
        </w:rPr>
        <w:t>a</w:t>
      </w:r>
      <w:r w:rsidR="003A3BF3" w:rsidRPr="003D2ACA">
        <w:rPr>
          <w:i/>
          <w:iCs/>
        </w:rPr>
        <w:t xml:space="preserve"> lietā DYKA Plastics NV,</w:t>
      </w:r>
      <w:r w:rsidR="0010269E" w:rsidRPr="003D2ACA">
        <w:rPr>
          <w:i/>
          <w:iCs/>
        </w:rPr>
        <w:t xml:space="preserve"> C</w:t>
      </w:r>
      <w:r w:rsidR="0010269E" w:rsidRPr="003D2ACA">
        <w:rPr>
          <w:i/>
          <w:iCs/>
        </w:rPr>
        <w:noBreakHyphen/>
        <w:t>424/23,</w:t>
      </w:r>
      <w:r w:rsidR="003A3BF3" w:rsidRPr="003D2ACA">
        <w:rPr>
          <w:i/>
          <w:iCs/>
        </w:rPr>
        <w:t xml:space="preserve"> </w:t>
      </w:r>
      <w:hyperlink r:id="rId8" w:history="1">
        <w:r w:rsidR="0010269E" w:rsidRPr="00517393">
          <w:rPr>
            <w:rStyle w:val="Hyperlink"/>
            <w:i/>
            <w:iCs/>
          </w:rPr>
          <w:t>ECLI:EU:C:2025:15</w:t>
        </w:r>
      </w:hyperlink>
      <w:r w:rsidR="0010269E" w:rsidRPr="003D2ACA">
        <w:rPr>
          <w:i/>
          <w:iCs/>
        </w:rPr>
        <w:t>, 40</w:t>
      </w:r>
      <w:r w:rsidR="006E57B2">
        <w:rPr>
          <w:i/>
          <w:iCs/>
        </w:rPr>
        <w:t>.–</w:t>
      </w:r>
      <w:r w:rsidR="0010269E" w:rsidRPr="003D2ACA">
        <w:rPr>
          <w:i/>
          <w:iCs/>
        </w:rPr>
        <w:t>53.punkt</w:t>
      </w:r>
      <w:r w:rsidR="009E7B7A">
        <w:rPr>
          <w:i/>
          <w:iCs/>
        </w:rPr>
        <w:t>s</w:t>
      </w:r>
      <w:r w:rsidR="0010269E" w:rsidRPr="0010269E">
        <w:t>).</w:t>
      </w:r>
    </w:p>
    <w:p w14:paraId="2A550AED" w14:textId="0E1B98AB" w:rsidR="00E6252C" w:rsidRDefault="00B35073" w:rsidP="00FF1A1F">
      <w:pPr>
        <w:spacing w:line="276" w:lineRule="auto"/>
        <w:ind w:firstLine="720"/>
        <w:jc w:val="both"/>
      </w:pPr>
      <w:r w:rsidRPr="00DE397A">
        <w:rPr>
          <w:rFonts w:asciiTheme="majorBidi" w:hAnsiTheme="majorBidi" w:cstheme="majorBidi"/>
        </w:rPr>
        <w:t xml:space="preserve">Atbilstoši </w:t>
      </w:r>
      <w:r w:rsidR="009E7B7A">
        <w:rPr>
          <w:rFonts w:asciiTheme="majorBidi" w:hAnsiTheme="majorBidi" w:cstheme="majorBidi"/>
        </w:rPr>
        <w:t xml:space="preserve">minētajām Publisko iepirkumu direktīvas </w:t>
      </w:r>
      <w:r>
        <w:rPr>
          <w:rFonts w:asciiTheme="majorBidi" w:hAnsiTheme="majorBidi" w:cstheme="majorBidi"/>
        </w:rPr>
        <w:t>normām</w:t>
      </w:r>
      <w:r w:rsidR="009E7B7A">
        <w:rPr>
          <w:rFonts w:asciiTheme="majorBidi" w:hAnsiTheme="majorBidi" w:cstheme="majorBidi"/>
        </w:rPr>
        <w:t xml:space="preserve">, </w:t>
      </w:r>
      <w:r w:rsidR="009E7B7A" w:rsidRPr="002F6164">
        <w:rPr>
          <w:rFonts w:asciiTheme="majorBidi" w:hAnsiTheme="majorBidi" w:cstheme="majorBidi"/>
        </w:rPr>
        <w:t>kas transponētas Publisko iepirkumu likumā</w:t>
      </w:r>
      <w:r w:rsidR="009E7B7A">
        <w:rPr>
          <w:rFonts w:asciiTheme="majorBidi" w:hAnsiTheme="majorBidi" w:cstheme="majorBidi"/>
        </w:rPr>
        <w:t xml:space="preserve">, </w:t>
      </w:r>
      <w:r>
        <w:rPr>
          <w:rFonts w:asciiTheme="majorBidi" w:hAnsiTheme="majorBidi" w:cstheme="majorBidi"/>
        </w:rPr>
        <w:t xml:space="preserve">un </w:t>
      </w:r>
      <w:r w:rsidRPr="00DE397A">
        <w:rPr>
          <w:rFonts w:asciiTheme="majorBidi" w:hAnsiTheme="majorBidi" w:cstheme="majorBidi"/>
        </w:rPr>
        <w:t>Eiropas Savienības Tiesas atziņām tiesai izskatāmajā lietā bija jāvērtē,</w:t>
      </w:r>
      <w:r>
        <w:rPr>
          <w:rFonts w:asciiTheme="majorBidi" w:hAnsiTheme="majorBidi" w:cstheme="majorBidi"/>
        </w:rPr>
        <w:t xml:space="preserve"> vai </w:t>
      </w:r>
      <w:r w:rsidRPr="0010269E">
        <w:t xml:space="preserve">iepirkuma </w:t>
      </w:r>
      <w:r>
        <w:t xml:space="preserve">nolikumā, tostarp </w:t>
      </w:r>
      <w:r w:rsidRPr="0010269E">
        <w:t>tehniskajā specifikācijā</w:t>
      </w:r>
      <w:r>
        <w:t xml:space="preserve"> ir ievērots noteikums, ka tajā nevar </w:t>
      </w:r>
      <w:r w:rsidRPr="00E25F17">
        <w:t xml:space="preserve">iekļaut atsauci uz </w:t>
      </w:r>
      <w:r w:rsidR="007F1987">
        <w:t>„</w:t>
      </w:r>
      <w:r w:rsidRPr="00E25F17">
        <w:t>konkrēt</w:t>
      </w:r>
      <w:r>
        <w:t>u</w:t>
      </w:r>
      <w:r w:rsidRPr="00E25F17">
        <w:t xml:space="preserve"> ražotāj</w:t>
      </w:r>
      <w:r>
        <w:t>u</w:t>
      </w:r>
      <w:r w:rsidRPr="00E25F17">
        <w:t>”</w:t>
      </w:r>
      <w:r>
        <w:t xml:space="preserve">, </w:t>
      </w:r>
      <w:r w:rsidRPr="0010269E">
        <w:t xml:space="preserve">nepievienojot norādi </w:t>
      </w:r>
      <w:r>
        <w:t>,,</w:t>
      </w:r>
      <w:r w:rsidRPr="0010269E">
        <w:t xml:space="preserve">vai </w:t>
      </w:r>
      <w:r>
        <w:t>ekvivalents</w:t>
      </w:r>
      <w:r w:rsidRPr="0010269E">
        <w:t>”</w:t>
      </w:r>
      <w:r>
        <w:t xml:space="preserve">, ja </w:t>
      </w:r>
      <w:r w:rsidRPr="0010269E">
        <w:t>vien konkrēt</w:t>
      </w:r>
      <w:r>
        <w:t>a ražotāja iekārtu vai pārlūkprogrammas</w:t>
      </w:r>
      <w:r w:rsidRPr="0010269E">
        <w:t xml:space="preserve"> izmantošana nenovēršami izriet no līguma priekšmeta </w:t>
      </w:r>
      <w:r w:rsidRPr="00341F93">
        <w:t>un nav iespējama nekāda uz citu tehnisko risinājumu balstīta alternatīva</w:t>
      </w:r>
      <w:r w:rsidR="005B1DAB">
        <w:t xml:space="preserve">. </w:t>
      </w:r>
    </w:p>
    <w:p w14:paraId="760E76FD" w14:textId="77777777" w:rsidR="005B1DAB" w:rsidRDefault="005B1DAB" w:rsidP="00FF1A1F">
      <w:pPr>
        <w:spacing w:line="276" w:lineRule="auto"/>
        <w:ind w:firstLine="720"/>
        <w:jc w:val="both"/>
      </w:pPr>
    </w:p>
    <w:p w14:paraId="600BD7B5" w14:textId="5576B053" w:rsidR="00911B98" w:rsidRDefault="00B81436" w:rsidP="00FF1A1F">
      <w:pPr>
        <w:spacing w:line="276" w:lineRule="auto"/>
        <w:ind w:firstLine="720"/>
        <w:jc w:val="both"/>
      </w:pPr>
      <w:r>
        <w:lastRenderedPageBreak/>
        <w:t>[</w:t>
      </w:r>
      <w:r w:rsidR="00000042">
        <w:t>1</w:t>
      </w:r>
      <w:r w:rsidR="009D46BB">
        <w:t>1</w:t>
      </w:r>
      <w:r>
        <w:t>] </w:t>
      </w:r>
      <w:r w:rsidR="009D46BB">
        <w:t xml:space="preserve">Pamatoti ir kasatoru argumenti, ka </w:t>
      </w:r>
      <w:r w:rsidR="009E7B7A">
        <w:t xml:space="preserve">konkrētajā lietā </w:t>
      </w:r>
      <w:r w:rsidR="00911B98" w:rsidRPr="003338F6">
        <w:rPr>
          <w:rFonts w:eastAsia="Lucida Sans Unicode"/>
          <w:iCs/>
          <w:lang w:eastAsia="hi-IN" w:bidi="hi-IN"/>
        </w:rPr>
        <w:t xml:space="preserve">nav nozīmes apstāklim, kādā veidā </w:t>
      </w:r>
      <w:r w:rsidR="00911B98">
        <w:rPr>
          <w:rFonts w:eastAsia="Lucida Sans Unicode"/>
          <w:iCs/>
          <w:lang w:eastAsia="hi-IN" w:bidi="hi-IN"/>
        </w:rPr>
        <w:t>p</w:t>
      </w:r>
      <w:r w:rsidR="00911B98" w:rsidRPr="003338F6">
        <w:rPr>
          <w:rFonts w:eastAsia="Lucida Sans Unicode"/>
          <w:iCs/>
          <w:lang w:eastAsia="hi-IN" w:bidi="hi-IN"/>
        </w:rPr>
        <w:t xml:space="preserve">asūtītāja rīcībā nonākusi </w:t>
      </w:r>
      <w:r w:rsidR="00911B98" w:rsidRPr="003338F6">
        <w:rPr>
          <w:rFonts w:eastAsia="Lucida Sans Unicode"/>
          <w:i/>
          <w:lang w:eastAsia="hi-IN" w:bidi="hi-IN"/>
        </w:rPr>
        <w:t>Boschung</w:t>
      </w:r>
      <w:r w:rsidR="00911B98" w:rsidRPr="003338F6">
        <w:rPr>
          <w:rFonts w:eastAsia="Lucida Sans Unicode"/>
          <w:iCs/>
          <w:lang w:eastAsia="hi-IN" w:bidi="hi-IN"/>
        </w:rPr>
        <w:t xml:space="preserve"> </w:t>
      </w:r>
      <w:r w:rsidR="00E23902">
        <w:rPr>
          <w:rFonts w:eastAsia="Lucida Sans Unicode"/>
          <w:iCs/>
          <w:lang w:eastAsia="hi-IN" w:bidi="hi-IN"/>
        </w:rPr>
        <w:t xml:space="preserve">pārlūkprogramma </w:t>
      </w:r>
      <w:r w:rsidR="00E23902" w:rsidRPr="00752C71">
        <w:rPr>
          <w:i/>
          <w:iCs/>
        </w:rPr>
        <w:t>BORRMA-WEB</w:t>
      </w:r>
      <w:r w:rsidR="00911B98" w:rsidRPr="003338F6">
        <w:rPr>
          <w:rFonts w:eastAsia="Lucida Sans Unicode"/>
          <w:iCs/>
          <w:lang w:eastAsia="hi-IN" w:bidi="hi-IN"/>
        </w:rPr>
        <w:t>, ja vien tas nav prettiesiski</w:t>
      </w:r>
      <w:r w:rsidR="00911B98">
        <w:rPr>
          <w:rFonts w:eastAsia="Lucida Sans Unicode"/>
          <w:iCs/>
          <w:lang w:eastAsia="hi-IN" w:bidi="hi-IN"/>
        </w:rPr>
        <w:t>.</w:t>
      </w:r>
    </w:p>
    <w:p w14:paraId="1BA21742" w14:textId="02D673AB" w:rsidR="00E96978" w:rsidRDefault="00752C71" w:rsidP="00FF1A1F">
      <w:pPr>
        <w:spacing w:line="276" w:lineRule="auto"/>
        <w:ind w:firstLine="720"/>
        <w:jc w:val="both"/>
      </w:pPr>
      <w:r>
        <w:t xml:space="preserve">Tiesa savus secinājumus par </w:t>
      </w:r>
      <w:r w:rsidR="007A35AE">
        <w:t xml:space="preserve">apstrīdētā </w:t>
      </w:r>
      <w:r>
        <w:t>iepirkuma nolikuma, tostarp tehniskās specifikācijas</w:t>
      </w:r>
      <w:r w:rsidR="009E7B7A">
        <w:t>,</w:t>
      </w:r>
      <w:r>
        <w:t xml:space="preserve"> atbilstību Publiskā iepirkuma likuma 20.panta prasībām </w:t>
      </w:r>
      <w:r w:rsidR="00E23902">
        <w:t xml:space="preserve">un publisko iepirkumu principiem </w:t>
      </w:r>
      <w:r>
        <w:t xml:space="preserve">ir balstījusi uz </w:t>
      </w:r>
      <w:r w:rsidRPr="00752C71">
        <w:t xml:space="preserve">ražotāja </w:t>
      </w:r>
      <w:r w:rsidRPr="00752C71">
        <w:rPr>
          <w:i/>
          <w:iCs/>
        </w:rPr>
        <w:t>Boschung</w:t>
      </w:r>
      <w:r w:rsidRPr="00752C71">
        <w:t xml:space="preserve"> pārlūkprogramma</w:t>
      </w:r>
      <w:r w:rsidR="006D6832">
        <w:t>s</w:t>
      </w:r>
      <w:r w:rsidRPr="00752C71">
        <w:t xml:space="preserve"> </w:t>
      </w:r>
      <w:r w:rsidRPr="00752C71">
        <w:rPr>
          <w:i/>
          <w:iCs/>
        </w:rPr>
        <w:t>BORRMA-WEB</w:t>
      </w:r>
      <w:r>
        <w:rPr>
          <w:i/>
          <w:iCs/>
        </w:rPr>
        <w:t xml:space="preserve"> </w:t>
      </w:r>
      <w:r w:rsidRPr="00752C71">
        <w:t>iegādes apstākļiem</w:t>
      </w:r>
      <w:r w:rsidR="007A35AE">
        <w:t xml:space="preserve">, nevis </w:t>
      </w:r>
      <w:r w:rsidR="009E7B7A">
        <w:t xml:space="preserve">tā </w:t>
      </w:r>
      <w:r w:rsidR="007A35AE">
        <w:t>prasību atbilstību tiesību normām</w:t>
      </w:r>
      <w:r w:rsidR="00DB2938">
        <w:t xml:space="preserve">. </w:t>
      </w:r>
    </w:p>
    <w:p w14:paraId="3F0F90FE" w14:textId="67E00BAE" w:rsidR="001C3DBA" w:rsidRDefault="001179D1" w:rsidP="00FF1A1F">
      <w:pPr>
        <w:spacing w:line="276" w:lineRule="auto"/>
        <w:ind w:firstLine="720"/>
        <w:jc w:val="both"/>
      </w:pPr>
      <w:r>
        <w:t>N</w:t>
      </w:r>
      <w:r w:rsidR="006964DD">
        <w:t xml:space="preserve">o </w:t>
      </w:r>
      <w:r w:rsidR="009E7B7A">
        <w:t xml:space="preserve">pārsūdzētā </w:t>
      </w:r>
      <w:r w:rsidR="006964DD">
        <w:t xml:space="preserve">sprieduma neizriet, ka </w:t>
      </w:r>
      <w:r w:rsidR="00517393">
        <w:t>būtu vērtēts</w:t>
      </w:r>
      <w:r w:rsidR="006964DD">
        <w:t>, vai</w:t>
      </w:r>
      <w:r w:rsidR="00502831">
        <w:t xml:space="preserve"> no</w:t>
      </w:r>
      <w:r w:rsidR="006964DD">
        <w:t xml:space="preserve"> iepirkuma nolikuma </w:t>
      </w:r>
      <w:r w:rsidR="006964DD" w:rsidRPr="001731AB">
        <w:t>4.pielikum</w:t>
      </w:r>
      <w:r w:rsidR="006964DD">
        <w:t>a</w:t>
      </w:r>
      <w:r w:rsidR="006964DD" w:rsidRPr="001731AB">
        <w:t xml:space="preserve"> „Ceļa un laika apstākļu informācijas sistēmas tehniskā specifikācija” 3.14.</w:t>
      </w:r>
      <w:r w:rsidR="006964DD">
        <w:t xml:space="preserve"> un 10.punkta kopsakarā ar iepirkuma </w:t>
      </w:r>
      <w:r w:rsidR="006964DD" w:rsidRPr="00C0316C">
        <w:t>nolikuma 3.4.1.4.punkt</w:t>
      </w:r>
      <w:r w:rsidR="00502831">
        <w:t>u</w:t>
      </w:r>
      <w:r w:rsidR="006964DD">
        <w:t xml:space="preserve"> </w:t>
      </w:r>
      <w:r w:rsidR="00502831">
        <w:t>izrietošās prasības nodrošināt ražotāja</w:t>
      </w:r>
      <w:r w:rsidR="00502831" w:rsidRPr="00C0316C">
        <w:t xml:space="preserve"> </w:t>
      </w:r>
      <w:r w:rsidR="00502831" w:rsidRPr="00530AD1">
        <w:rPr>
          <w:i/>
          <w:iCs/>
        </w:rPr>
        <w:t xml:space="preserve">Boschung </w:t>
      </w:r>
      <w:r w:rsidR="00502831" w:rsidRPr="00C0316C">
        <w:t>izsniegt</w:t>
      </w:r>
      <w:r w:rsidR="00502831">
        <w:t>u</w:t>
      </w:r>
      <w:r w:rsidR="00502831" w:rsidRPr="00C0316C">
        <w:t xml:space="preserve"> apliecinājum</w:t>
      </w:r>
      <w:r w:rsidR="00502831">
        <w:t xml:space="preserve">u par tehnisko kompetenci </w:t>
      </w:r>
      <w:r w:rsidR="006964DD">
        <w:t>ir noteiktas tāpēc, ka konkrēta ražotāja pārlūkprogrammas</w:t>
      </w:r>
      <w:r w:rsidR="006964DD" w:rsidRPr="0010269E">
        <w:t xml:space="preserve"> izmantošana nenovēršami izriet no līguma priekšmeta </w:t>
      </w:r>
      <w:r w:rsidR="006964DD" w:rsidRPr="00341F93">
        <w:t xml:space="preserve">un nav iespējama nekāda uz citu tehnisko risinājumu balstīta alternatīva. </w:t>
      </w:r>
    </w:p>
    <w:p w14:paraId="6052F031" w14:textId="793824CE" w:rsidR="006964DD" w:rsidRPr="00161E7D" w:rsidRDefault="006964DD" w:rsidP="00FF1A1F">
      <w:pPr>
        <w:spacing w:line="276" w:lineRule="auto"/>
        <w:ind w:firstLine="720"/>
        <w:jc w:val="both"/>
      </w:pPr>
      <w:r w:rsidRPr="00FF309B">
        <w:t xml:space="preserve">Iztrūkstot šādam novērtējumam, nevar izdarīt secinājumu, </w:t>
      </w:r>
      <w:r w:rsidR="00517393">
        <w:t xml:space="preserve">ka </w:t>
      </w:r>
      <w:r w:rsidR="00911B98" w:rsidRPr="00FF309B">
        <w:t>pārsūdzētās prasības nepamatoti ierobežo konkurenci</w:t>
      </w:r>
      <w:r w:rsidR="009D46BB">
        <w:t xml:space="preserve"> un </w:t>
      </w:r>
      <w:r w:rsidRPr="00FF309B">
        <w:t xml:space="preserve">ka </w:t>
      </w:r>
      <w:r w:rsidR="00911B98" w:rsidRPr="00FF309B">
        <w:t>gadījumā, ja pārlūkprogramm</w:t>
      </w:r>
      <w:r w:rsidR="009D46BB">
        <w:t>a</w:t>
      </w:r>
      <w:r w:rsidR="00911B98" w:rsidRPr="00FF309B">
        <w:t xml:space="preserve"> </w:t>
      </w:r>
      <w:r w:rsidR="00911B98" w:rsidRPr="00FF309B">
        <w:rPr>
          <w:i/>
          <w:iCs/>
        </w:rPr>
        <w:t>BORRMA-WEB</w:t>
      </w:r>
      <w:r w:rsidR="00911B98" w:rsidRPr="00FF309B">
        <w:t xml:space="preserve"> būtu iegādāta publiskā iepirkuma ietvaros, </w:t>
      </w:r>
      <w:r w:rsidR="00FF309B" w:rsidRPr="00FF309B">
        <w:t xml:space="preserve">tad </w:t>
      </w:r>
      <w:r w:rsidRPr="00FF309B">
        <w:t xml:space="preserve">prasības kompetencei darbam tieši ar </w:t>
      </w:r>
      <w:r w:rsidR="00E23902">
        <w:t xml:space="preserve">šo </w:t>
      </w:r>
      <w:r w:rsidR="00D129A4" w:rsidRPr="00FF309B">
        <w:t xml:space="preserve">pārlūkprogrammu </w:t>
      </w:r>
      <w:r w:rsidR="009D46BB">
        <w:t>būtu</w:t>
      </w:r>
      <w:r w:rsidRPr="00FF309B">
        <w:t xml:space="preserve"> racionālas un tiesiski pamatotas, </w:t>
      </w:r>
      <w:r w:rsidRPr="00161E7D">
        <w:t xml:space="preserve">un </w:t>
      </w:r>
      <w:r w:rsidR="0010652D">
        <w:t xml:space="preserve">pašu </w:t>
      </w:r>
      <w:r w:rsidRPr="00161E7D">
        <w:t xml:space="preserve">pretendentu ziņā </w:t>
      </w:r>
      <w:r w:rsidR="00D553C4" w:rsidRPr="00161E7D">
        <w:t>būtu</w:t>
      </w:r>
      <w:r w:rsidR="0010652D">
        <w:t xml:space="preserve"> tas</w:t>
      </w:r>
      <w:r w:rsidRPr="00161E7D">
        <w:t xml:space="preserve">, kā iegūt </w:t>
      </w:r>
      <w:r w:rsidR="0010652D">
        <w:t xml:space="preserve">nolikumā prasīto </w:t>
      </w:r>
      <w:r w:rsidRPr="00161E7D">
        <w:t xml:space="preserve">lietpratību. </w:t>
      </w:r>
    </w:p>
    <w:p w14:paraId="2DAA13AA" w14:textId="67D45BAD" w:rsidR="001C3DBA" w:rsidRDefault="001C3DBA" w:rsidP="00FF1A1F">
      <w:pPr>
        <w:spacing w:line="276" w:lineRule="auto"/>
        <w:ind w:firstLine="720"/>
        <w:jc w:val="both"/>
      </w:pPr>
      <w:r>
        <w:t>Tā</w:t>
      </w:r>
      <w:r w:rsidR="00D553C4">
        <w:t xml:space="preserve">pēc </w:t>
      </w:r>
      <w:r w:rsidR="0010652D">
        <w:t xml:space="preserve">Senāts </w:t>
      </w:r>
      <w:r w:rsidR="00D553C4">
        <w:t xml:space="preserve">atzīst, ka </w:t>
      </w:r>
      <w:r w:rsidR="0010652D">
        <w:t xml:space="preserve">pārsūdzētajā </w:t>
      </w:r>
      <w:r w:rsidR="00D553C4">
        <w:t>s</w:t>
      </w:r>
      <w:r>
        <w:t>priedum</w:t>
      </w:r>
      <w:r w:rsidR="00D553C4">
        <w:t xml:space="preserve">ā nav </w:t>
      </w:r>
      <w:r>
        <w:t>vispusīg</w:t>
      </w:r>
      <w:r w:rsidR="00D553C4">
        <w:t>a</w:t>
      </w:r>
      <w:r>
        <w:t xml:space="preserve"> </w:t>
      </w:r>
      <w:r w:rsidR="008C09EF">
        <w:t xml:space="preserve">uz konkrēto strīdu attiecināmo </w:t>
      </w:r>
      <w:r>
        <w:t>apstākļu novērtējum</w:t>
      </w:r>
      <w:r w:rsidR="00D553C4">
        <w:t>a</w:t>
      </w:r>
      <w:r>
        <w:t xml:space="preserve">, </w:t>
      </w:r>
      <w:r w:rsidR="008C09EF">
        <w:t xml:space="preserve">bet </w:t>
      </w:r>
      <w:r>
        <w:t>tiesas secinājumi balstīti uz tādiem apstākļiem, kas nav</w:t>
      </w:r>
      <w:r w:rsidR="00F31ABF">
        <w:t xml:space="preserve"> pārbaudāmi</w:t>
      </w:r>
      <w:r>
        <w:t xml:space="preserve"> izskatāmā strīda </w:t>
      </w:r>
      <w:r w:rsidR="00F31ABF">
        <w:t>ietvaros</w:t>
      </w:r>
      <w:r>
        <w:t>.</w:t>
      </w:r>
    </w:p>
    <w:p w14:paraId="72B81286" w14:textId="5CA104FE" w:rsidR="00653E73" w:rsidRDefault="00546C8E" w:rsidP="00FF1A1F">
      <w:pPr>
        <w:spacing w:line="276" w:lineRule="auto"/>
        <w:ind w:firstLine="720"/>
        <w:jc w:val="both"/>
      </w:pPr>
      <w:r>
        <w:t>Tiesa nav ņēmusi vērā, ka a</w:t>
      </w:r>
      <w:r w:rsidR="00DD01F5">
        <w:t>tbilstoši iepirkuma nolikuma 2.1.punktam i</w:t>
      </w:r>
      <w:r w:rsidR="00DD01F5" w:rsidRPr="005D1F21">
        <w:t xml:space="preserve">epirkuma priekšmets </w:t>
      </w:r>
      <w:r w:rsidR="00DD01F5">
        <w:t>ir</w:t>
      </w:r>
      <w:r w:rsidR="00DD01F5" w:rsidRPr="005D1F21">
        <w:t xml:space="preserve"> jaunu ceļu meteoroloģisko staciju uzstādīšana un esošo staciju remonts sešos objektos Rīgā.</w:t>
      </w:r>
      <w:r w:rsidR="00DD01F5">
        <w:t xml:space="preserve"> K</w:t>
      </w:r>
      <w:r w:rsidR="00653E73">
        <w:t>onkrētais iepirkums aptver sešus objektus, no kuriem četros atbilstoši iepirkuma nolikuma 2.1.punktā norādītajam iepirkumu priekšmetam</w:t>
      </w:r>
      <w:r w:rsidR="00653E73" w:rsidRPr="00C05A1A">
        <w:t xml:space="preserve"> </w:t>
      </w:r>
      <w:r w:rsidR="00653E73">
        <w:t xml:space="preserve">un 5.pielikumam </w:t>
      </w:r>
      <w:r w:rsidR="008C09EF">
        <w:t>„</w:t>
      </w:r>
      <w:r w:rsidR="00653E73" w:rsidRPr="00C05A1A">
        <w:t>Darbu daudzumu un izmaksu saraksts”</w:t>
      </w:r>
      <w:r w:rsidR="00653E73">
        <w:t xml:space="preserve"> ir paredzēts </w:t>
      </w:r>
      <w:r w:rsidR="00653E73" w:rsidRPr="008D2890">
        <w:rPr>
          <w:i/>
          <w:iCs/>
        </w:rPr>
        <w:t xml:space="preserve">Vaisala </w:t>
      </w:r>
      <w:r w:rsidR="00653E73" w:rsidRPr="008D2890">
        <w:t>ie</w:t>
      </w:r>
      <w:r w:rsidR="00653E73">
        <w:t xml:space="preserve">kārtu remonts, bet divos objektos paredzēta jaunu iekārtu uzstādīšana. Tātad esošo iekārtu apkalpošanai nav nepieciešams </w:t>
      </w:r>
      <w:r w:rsidR="00653E73" w:rsidRPr="00752C71">
        <w:t xml:space="preserve">ražotāja </w:t>
      </w:r>
      <w:r w:rsidR="00653E73" w:rsidRPr="00752C71">
        <w:rPr>
          <w:i/>
          <w:iCs/>
        </w:rPr>
        <w:t>Boschung</w:t>
      </w:r>
      <w:r w:rsidR="00653E73">
        <w:rPr>
          <w:i/>
          <w:iCs/>
        </w:rPr>
        <w:t xml:space="preserve"> </w:t>
      </w:r>
      <w:r w:rsidR="00653E73">
        <w:t>izsniegts kompetences sertifikāts, kā arī jaunas iekārtas iespējams piegādāt</w:t>
      </w:r>
      <w:r w:rsidR="0078007F">
        <w:t xml:space="preserve"> ražotāja</w:t>
      </w:r>
      <w:r w:rsidR="00653E73">
        <w:t xml:space="preserve"> </w:t>
      </w:r>
      <w:r w:rsidR="00653E73" w:rsidRPr="00752C71">
        <w:rPr>
          <w:i/>
          <w:iCs/>
        </w:rPr>
        <w:t>Boschung</w:t>
      </w:r>
      <w:r w:rsidR="00653E73">
        <w:t xml:space="preserve"> </w:t>
      </w:r>
      <w:r w:rsidR="008C09EF">
        <w:t xml:space="preserve">iekārtām </w:t>
      </w:r>
      <w:r w:rsidR="00653E73">
        <w:t xml:space="preserve">ekvivalentas, kurām nav nepieciešams minētā ražotāja izsniegts </w:t>
      </w:r>
      <w:r w:rsidR="00DD01F5">
        <w:t xml:space="preserve">tehnisko kompetenci apliecinošs </w:t>
      </w:r>
      <w:r w:rsidR="00653E73">
        <w:t xml:space="preserve">sertifikāts. </w:t>
      </w:r>
    </w:p>
    <w:p w14:paraId="6615766B" w14:textId="760D0ABC" w:rsidR="00DD01F5" w:rsidRPr="0010652D" w:rsidRDefault="00653E73" w:rsidP="00FF1A1F">
      <w:pPr>
        <w:spacing w:line="276" w:lineRule="auto"/>
        <w:ind w:firstLine="720"/>
        <w:jc w:val="both"/>
        <w:rPr>
          <w:highlight w:val="yellow"/>
        </w:rPr>
      </w:pPr>
      <w:r w:rsidRPr="00722A90">
        <w:t xml:space="preserve">Vienlaikus, pretēji kasatoru norādītajam, aplūkojot prasības to savstarpējā saistībā, tiesa pareizi atzina, ka pretendentam bija jāapliecina tehniskā kompetence darbam ar pārlūkprogrammu </w:t>
      </w:r>
      <w:r w:rsidRPr="00722A90">
        <w:rPr>
          <w:i/>
          <w:iCs/>
        </w:rPr>
        <w:t>BORRMA-WEB</w:t>
      </w:r>
      <w:r w:rsidRPr="00722A90">
        <w:t>, lai varētu tajā saņemt un atspoguļot datus arī no pretendenta piegādājamo meteoroloģisko staciju sensoriem un zondēm, šim nolūkam nepieciešamības gadījumā veicot arī programmas modifikāciju.</w:t>
      </w:r>
      <w:r w:rsidR="00DD01F5" w:rsidRPr="00722A90">
        <w:t xml:space="preserve"> Pasūtītājs šādu prasību pamato </w:t>
      </w:r>
      <w:r w:rsidR="00DD01F5" w:rsidRPr="00722A90">
        <w:rPr>
          <w:lang w:eastAsia="lv-LV"/>
        </w:rPr>
        <w:t>ar nepieciešamību iekļaut jaunās ceļu meteoroloģiskās stacijas un sensorus vienā kopīgā pārlūkprogrammā.</w:t>
      </w:r>
      <w:r w:rsidRPr="00722A90">
        <w:t xml:space="preserve"> </w:t>
      </w:r>
      <w:r w:rsidR="00EC53C3" w:rsidRPr="00722A90">
        <w:t>Ja</w:t>
      </w:r>
      <w:r w:rsidR="00851F23" w:rsidRPr="00722A90">
        <w:t xml:space="preserve"> pasūtītāja rīcībā esošās pārlūkprogrammas </w:t>
      </w:r>
      <w:r w:rsidR="00851F23" w:rsidRPr="00722A90">
        <w:rPr>
          <w:i/>
          <w:iCs/>
        </w:rPr>
        <w:t xml:space="preserve">BORRMA-WEB </w:t>
      </w:r>
      <w:r w:rsidR="00851F23" w:rsidRPr="00722A90">
        <w:t xml:space="preserve">modifikāciju pieļauj </w:t>
      </w:r>
      <w:r w:rsidR="00851F23" w:rsidRPr="00722A90">
        <w:rPr>
          <w:i/>
          <w:iCs/>
        </w:rPr>
        <w:t xml:space="preserve">Boschung Mecatronic AG </w:t>
      </w:r>
      <w:r w:rsidR="00851F23" w:rsidRPr="00722A90">
        <w:t>licences lietošanas noteikumi un pasūtītājam ir tiesisks pamats trešajai personai, proti, š</w:t>
      </w:r>
      <w:r w:rsidR="008C09EF" w:rsidRPr="00722A90">
        <w:t>ā</w:t>
      </w:r>
      <w:r w:rsidR="00851F23" w:rsidRPr="00722A90">
        <w:t xml:space="preserve"> iepirkuma uzvarētājam </w:t>
      </w:r>
      <w:r w:rsidRPr="00722A90">
        <w:t xml:space="preserve">nodot </w:t>
      </w:r>
      <w:r w:rsidR="00851F23" w:rsidRPr="00722A90">
        <w:t xml:space="preserve">tiesības veikt pārlūkprogrammas modifikāciju, </w:t>
      </w:r>
      <w:r w:rsidR="00433BBC" w:rsidRPr="00722A90">
        <w:t>ņemot vērā to, ka</w:t>
      </w:r>
      <w:r w:rsidR="00851F23" w:rsidRPr="00722A90">
        <w:t xml:space="preserve"> visas </w:t>
      </w:r>
      <w:r w:rsidR="0004009A" w:rsidRPr="00722A90">
        <w:rPr>
          <w:i/>
          <w:iCs/>
        </w:rPr>
        <w:t>BORRMA-WEB</w:t>
      </w:r>
      <w:r w:rsidR="0004009A" w:rsidRPr="00722A90">
        <w:t xml:space="preserve"> </w:t>
      </w:r>
      <w:r w:rsidR="00851F23" w:rsidRPr="00722A90">
        <w:t xml:space="preserve">lietošanas tiesības pieder </w:t>
      </w:r>
      <w:r w:rsidR="00851F23" w:rsidRPr="00722A90">
        <w:rPr>
          <w:i/>
          <w:iCs/>
        </w:rPr>
        <w:t>Boschung Mecatronic AG</w:t>
      </w:r>
      <w:r w:rsidR="00EC53C3" w:rsidRPr="00722A90">
        <w:t xml:space="preserve">, tad prasība pārlūkprogrammā </w:t>
      </w:r>
      <w:r w:rsidR="00EC53C3" w:rsidRPr="00722A90">
        <w:rPr>
          <w:i/>
          <w:iCs/>
        </w:rPr>
        <w:t>BORRMA-WEB</w:t>
      </w:r>
      <w:r w:rsidR="00EC53C3" w:rsidRPr="00722A90">
        <w:t xml:space="preserve"> saņemt un atspoguļot datus arī no pretendenta piegādājamo meteoroloģisko staciju sensoriem un zondēm varētu būt pamatota. </w:t>
      </w:r>
      <w:r w:rsidR="00433BBC" w:rsidRPr="00722A90">
        <w:t>Līdz ar to arī</w:t>
      </w:r>
      <w:r w:rsidR="00546C8E" w:rsidRPr="00722A90">
        <w:t xml:space="preserve"> prasība apliecināt</w:t>
      </w:r>
      <w:r w:rsidR="00433BBC" w:rsidRPr="00722A90">
        <w:t xml:space="preserve"> tehnisk</w:t>
      </w:r>
      <w:r w:rsidR="00546C8E" w:rsidRPr="00722A90">
        <w:t>o</w:t>
      </w:r>
      <w:r w:rsidR="00433BBC" w:rsidRPr="00722A90">
        <w:t xml:space="preserve"> kompetenc</w:t>
      </w:r>
      <w:r w:rsidR="00546C8E" w:rsidRPr="00722A90">
        <w:t>i</w:t>
      </w:r>
      <w:r w:rsidR="00433BBC" w:rsidRPr="00722A90">
        <w:t xml:space="preserve"> darbam ar pārlūkprogrammu </w:t>
      </w:r>
      <w:r w:rsidR="00433BBC" w:rsidRPr="00722A90">
        <w:rPr>
          <w:i/>
          <w:iCs/>
        </w:rPr>
        <w:t>BORRMA-WEB</w:t>
      </w:r>
      <w:r w:rsidR="00433BBC" w:rsidRPr="00722A90">
        <w:t xml:space="preserve"> var</w:t>
      </w:r>
      <w:r w:rsidR="00122527" w:rsidRPr="00722A90">
        <w:t>ētu</w:t>
      </w:r>
      <w:r w:rsidR="00433BBC" w:rsidRPr="00722A90">
        <w:t xml:space="preserve"> </w:t>
      </w:r>
      <w:r w:rsidR="001C3DBA" w:rsidRPr="00722A90">
        <w:t>izrietēt no līguma priekšmeta</w:t>
      </w:r>
      <w:r w:rsidR="00433BBC" w:rsidRPr="00722A90">
        <w:t>.</w:t>
      </w:r>
      <w:r w:rsidR="0078007F" w:rsidRPr="00722A90">
        <w:t xml:space="preserve"> </w:t>
      </w:r>
      <w:r w:rsidR="0010652D" w:rsidRPr="00722A90">
        <w:t>Tomēr</w:t>
      </w:r>
      <w:r w:rsidR="0078007F" w:rsidRPr="00722A90">
        <w:t xml:space="preserve"> būtu jāvērtē, vai tādā veidā netiek </w:t>
      </w:r>
      <w:r w:rsidR="0078007F" w:rsidRPr="00722A90">
        <w:lastRenderedPageBreak/>
        <w:t>apdraudēts mērķis atvērt publiskā iepirkuma līgumus konkurencei, citiem vārdiem, būtu jāvērtē, vai nav iespējama nekāda uz citu tehnisko risinājumu balstīta alternatīva.</w:t>
      </w:r>
    </w:p>
    <w:p w14:paraId="0F0657FC" w14:textId="07E9720B" w:rsidR="00290A31" w:rsidRPr="00722A90" w:rsidRDefault="00290A31" w:rsidP="00FF1A1F">
      <w:pPr>
        <w:spacing w:line="276" w:lineRule="auto"/>
        <w:ind w:firstLine="720"/>
        <w:jc w:val="both"/>
      </w:pPr>
      <w:r w:rsidRPr="00722A90">
        <w:t xml:space="preserve">Tāpēc tiesai </w:t>
      </w:r>
      <w:r w:rsidR="002F6164" w:rsidRPr="00722A90">
        <w:t>ir</w:t>
      </w:r>
      <w:r w:rsidRPr="00722A90">
        <w:t xml:space="preserve"> jāpārbauda, vai pārlūkprogrammas </w:t>
      </w:r>
      <w:r w:rsidRPr="00722A90">
        <w:rPr>
          <w:i/>
          <w:iCs/>
        </w:rPr>
        <w:t xml:space="preserve">BORRMA-WEB </w:t>
      </w:r>
      <w:r w:rsidRPr="00722A90">
        <w:t xml:space="preserve">izmantošana nenovēršami izriet no līguma priekšmeta, ņemot vērā iepirkuma nolikuma 2.1.punktā norādīto iepirkumu priekšmetu un 5.pielikumā „Darbu daudzumu un izmaksu saraksts” norādīto, un nav iespējama nekāda uz citu tehnisko risinājumu balstīta alternatīva. Citiem vārdiem, ja konkrētajā iepirkumā pretendentam ir tiesības piegādāt jaunas iekārtas un esošo iekārtu remontā izmantot ekvivalentas </w:t>
      </w:r>
      <w:r w:rsidR="0010652D" w:rsidRPr="00722A90">
        <w:t xml:space="preserve">iekārtas </w:t>
      </w:r>
      <w:r w:rsidRPr="00722A90">
        <w:t xml:space="preserve">ražotāja </w:t>
      </w:r>
      <w:r w:rsidRPr="00722A90">
        <w:rPr>
          <w:i/>
          <w:iCs/>
        </w:rPr>
        <w:t xml:space="preserve">Boschung </w:t>
      </w:r>
      <w:r w:rsidRPr="00722A90">
        <w:t xml:space="preserve">vai </w:t>
      </w:r>
      <w:r w:rsidRPr="00722A90">
        <w:rPr>
          <w:i/>
          <w:iCs/>
        </w:rPr>
        <w:t xml:space="preserve">Vaisala </w:t>
      </w:r>
      <w:r w:rsidRPr="00722A90">
        <w:t xml:space="preserve">iekārtām, tad pasūtītājam būtu jāpamato, kāpēc iekārtu pievienošana un datu atspoguļošana ir nepieciešama tieši pārlūkprogrammā </w:t>
      </w:r>
      <w:r w:rsidRPr="00722A90">
        <w:rPr>
          <w:i/>
          <w:iCs/>
        </w:rPr>
        <w:t xml:space="preserve">BORRMA-WEB </w:t>
      </w:r>
      <w:r w:rsidRPr="00722A90">
        <w:t>un nav iespējama nekāda uz citu tehnisko risinājumu balstīta alternatīva.</w:t>
      </w:r>
    </w:p>
    <w:p w14:paraId="016A26A2" w14:textId="283BE4F0" w:rsidR="00290A31" w:rsidRPr="00722A90" w:rsidRDefault="00290A31" w:rsidP="00FF1A1F">
      <w:pPr>
        <w:spacing w:line="276" w:lineRule="auto"/>
        <w:ind w:firstLine="720"/>
        <w:jc w:val="both"/>
      </w:pPr>
      <w:r w:rsidRPr="00722A90">
        <w:t>Tiesai arī būtu jāņem vērā SIA „JARVA” 2021.gada 19.augusta vēstulē (</w:t>
      </w:r>
      <w:r w:rsidRPr="00722A90">
        <w:rPr>
          <w:i/>
          <w:iCs/>
        </w:rPr>
        <w:t>lietas 1.sējuma 160.lp.</w:t>
      </w:r>
      <w:r w:rsidRPr="00722A90">
        <w:t xml:space="preserve">) pasūtītājam norādītais, ka </w:t>
      </w:r>
      <w:r w:rsidRPr="00722A90">
        <w:rPr>
          <w:i/>
          <w:iCs/>
        </w:rPr>
        <w:t xml:space="preserve">BORRMA-WEB </w:t>
      </w:r>
      <w:r w:rsidRPr="00722A90">
        <w:t xml:space="preserve">visas lietošanas tiesības pieder </w:t>
      </w:r>
      <w:r w:rsidRPr="00722A90">
        <w:rPr>
          <w:i/>
          <w:iCs/>
        </w:rPr>
        <w:t xml:space="preserve">Boschung </w:t>
      </w:r>
      <w:r w:rsidRPr="00722A90">
        <w:t xml:space="preserve">un nav pasūtītāja īpašums. </w:t>
      </w:r>
      <w:r w:rsidRPr="00722A90">
        <w:rPr>
          <w:i/>
          <w:iCs/>
        </w:rPr>
        <w:t xml:space="preserve">Boschung </w:t>
      </w:r>
      <w:r w:rsidRPr="00722A90">
        <w:t xml:space="preserve">savstarpējā līgumā ar SIA „JARVA” ir noteicis, ka visas programmatūras autortiesības, materiālie un intelektuālie īpašumi un patenti pieder tikai </w:t>
      </w:r>
      <w:r w:rsidRPr="00722A90">
        <w:rPr>
          <w:i/>
          <w:iCs/>
        </w:rPr>
        <w:t xml:space="preserve">Boschung. </w:t>
      </w:r>
      <w:r w:rsidRPr="00722A90">
        <w:t xml:space="preserve">Tāpēc tiesai būtu jāpārbauda, vai pasūtītāja rīcībā esošās pārlūkprogrammas </w:t>
      </w:r>
      <w:r w:rsidRPr="00722A90">
        <w:rPr>
          <w:i/>
          <w:iCs/>
        </w:rPr>
        <w:t xml:space="preserve">BORRMA-WEB </w:t>
      </w:r>
      <w:r w:rsidRPr="00722A90">
        <w:t xml:space="preserve">modifikāciju pieļauj </w:t>
      </w:r>
      <w:r w:rsidRPr="00722A90">
        <w:rPr>
          <w:i/>
          <w:iCs/>
        </w:rPr>
        <w:t xml:space="preserve">Boschung </w:t>
      </w:r>
      <w:r w:rsidRPr="00722A90">
        <w:t xml:space="preserve">licences lietošanas noteikumi, jo šāda prasība ir iekļauta iepirkuma nolikuma 4.pielikuma „Ceļa un laika apstākļu informācijas sistēmas tehniskā specifikācija” 10.punktā, un vai pasūtītājam ir tiesisks pamats nodot trešajai personai, proti, šī iepirkuma uzvarētājam tiesības veikt pārlūkprogrammas modifikāciju. </w:t>
      </w:r>
    </w:p>
    <w:p w14:paraId="6058BE49" w14:textId="77777777" w:rsidR="00290A31" w:rsidRPr="009764DA" w:rsidRDefault="00290A31" w:rsidP="00FF1A1F">
      <w:pPr>
        <w:spacing w:line="276" w:lineRule="auto"/>
        <w:ind w:firstLine="720"/>
        <w:jc w:val="both"/>
        <w:rPr>
          <w:color w:val="EE0000"/>
        </w:rPr>
      </w:pPr>
      <w:r w:rsidRPr="00722A90">
        <w:t xml:space="preserve">Ja pasūtītājam šādas tiesības pastāv un pasūtītājs pamato nepieciešamību iekļaut </w:t>
      </w:r>
      <w:r w:rsidRPr="00722A90">
        <w:rPr>
          <w:lang w:eastAsia="lv-LV"/>
        </w:rPr>
        <w:t xml:space="preserve">jaunās ceļu meteoroloģiskās stacijas un sensorus vienā kopīgā pārlūkprogrammā </w:t>
      </w:r>
      <w:r w:rsidRPr="00722A90">
        <w:rPr>
          <w:i/>
          <w:iCs/>
        </w:rPr>
        <w:t>BORRMA-WEB</w:t>
      </w:r>
      <w:r w:rsidRPr="00722A90">
        <w:t>, tad prasība šajā pārlūkprogrammā saņemt un atspoguļot datus arī no pretendenta piegādājamo meteoroloģisko staciju sensoriem un zondēm varētu būt pamatota. Savukārt, ja šādas tiesības nepastāv, tad tiesai būtu jāvērtē, vai iepirkuma nolikuma prasība neierobežo piegādātāju brīvu konkurenci.</w:t>
      </w:r>
    </w:p>
    <w:p w14:paraId="4B2C160F" w14:textId="0A097D7D" w:rsidR="001C3DBA" w:rsidRDefault="0078007F" w:rsidP="00FF1A1F">
      <w:pPr>
        <w:spacing w:line="276" w:lineRule="auto"/>
        <w:ind w:firstLine="720"/>
        <w:jc w:val="both"/>
      </w:pPr>
      <w:r>
        <w:t>L</w:t>
      </w:r>
      <w:r w:rsidR="001C3DBA" w:rsidRPr="001B72DA">
        <w:t>ietas faktisko apstākļu un pierādījumu novērtēšana nav kasācijas instances tiesas kompetence</w:t>
      </w:r>
      <w:r w:rsidR="001C3DBA">
        <w:t xml:space="preserve">, tāpēc </w:t>
      </w:r>
      <w:r w:rsidR="00F31ABF">
        <w:t>v</w:t>
      </w:r>
      <w:r w:rsidR="00DD01F5">
        <w:t>isi apstākļi, tostarp minētie par to, vai konkrēta ražotāja pārlūkprogrammas</w:t>
      </w:r>
      <w:r w:rsidR="00DD01F5" w:rsidRPr="0010269E">
        <w:t xml:space="preserve"> izmantošana nenovēršami izriet no līguma priekšmeta </w:t>
      </w:r>
      <w:r w:rsidR="00DD01F5" w:rsidRPr="00341F93">
        <w:t>un nav iespējama nekāda uz citu tehnisko risinājumu balstīta alternatīva</w:t>
      </w:r>
      <w:r w:rsidR="005B1DAB">
        <w:t xml:space="preserve">, </w:t>
      </w:r>
      <w:r w:rsidR="00DD01F5">
        <w:t xml:space="preserve">ir jāpārbauda tiesai, kas izskata lietu pēc būtības. </w:t>
      </w:r>
      <w:r w:rsidR="001C3DBA">
        <w:t xml:space="preserve">Ņemot vērā, ka šāds novērtējums spriedumā nav atspoguļots, tiesas secinājumi par pārsūdzētā lēmuma prettiesiskumu ir pārsteidzīgi. </w:t>
      </w:r>
    </w:p>
    <w:p w14:paraId="2F57D4CD" w14:textId="77777777" w:rsidR="0027793B" w:rsidRDefault="0027793B" w:rsidP="00FF1A1F">
      <w:pPr>
        <w:shd w:val="clear" w:color="auto" w:fill="FFFFFF"/>
        <w:spacing w:line="276" w:lineRule="auto"/>
        <w:ind w:firstLine="720"/>
        <w:jc w:val="both"/>
      </w:pPr>
    </w:p>
    <w:p w14:paraId="7AE5060D" w14:textId="1954E557" w:rsidR="00EA24C2" w:rsidRDefault="0027793B" w:rsidP="00FF1A1F">
      <w:pPr>
        <w:shd w:val="clear" w:color="auto" w:fill="FFFFFF"/>
        <w:spacing w:line="276" w:lineRule="auto"/>
        <w:ind w:firstLine="720"/>
        <w:jc w:val="both"/>
      </w:pPr>
      <w:r>
        <w:t>[</w:t>
      </w:r>
      <w:r w:rsidR="003B39D3">
        <w:t>1</w:t>
      </w:r>
      <w:r w:rsidR="00000042">
        <w:t>2</w:t>
      </w:r>
      <w:r>
        <w:t>] </w:t>
      </w:r>
      <w:r w:rsidR="00B912E2" w:rsidRPr="00E2230B">
        <w:t xml:space="preserve">Ievērojot minēto, </w:t>
      </w:r>
      <w:r w:rsidR="00B912E2" w:rsidRPr="001B72DA">
        <w:t xml:space="preserve">Senāts atzīst, ka tiesa nav pienācīgi noskaidrojusi būtiskos apstākļus un atbilstoši </w:t>
      </w:r>
      <w:r w:rsidR="00EA24C2">
        <w:t>š</w:t>
      </w:r>
      <w:r w:rsidR="00161E7D">
        <w:t>aj</w:t>
      </w:r>
      <w:r w:rsidR="00EA24C2">
        <w:t>ā spriedum</w:t>
      </w:r>
      <w:r w:rsidR="00161E7D">
        <w:t>ā</w:t>
      </w:r>
      <w:r w:rsidR="00EA24C2" w:rsidRPr="008C09EF">
        <w:rPr>
          <w:color w:val="EE0000"/>
        </w:rPr>
        <w:t xml:space="preserve"> </w:t>
      </w:r>
      <w:r w:rsidR="00EA24C2">
        <w:t xml:space="preserve">norādītajām atziņām </w:t>
      </w:r>
      <w:r w:rsidR="00B912E2" w:rsidRPr="001B72DA">
        <w:t>novērtējusi strīdus nolikuma prasības.</w:t>
      </w:r>
      <w:r w:rsidR="00EA24C2" w:rsidRPr="00EA24C2">
        <w:t xml:space="preserve"> </w:t>
      </w:r>
    </w:p>
    <w:p w14:paraId="1ECFC41A" w14:textId="77777777" w:rsidR="00161E7D" w:rsidRDefault="00161E7D" w:rsidP="00FF1A1F">
      <w:pPr>
        <w:spacing w:line="276" w:lineRule="auto"/>
        <w:ind w:firstLine="720"/>
        <w:jc w:val="both"/>
      </w:pPr>
    </w:p>
    <w:p w14:paraId="2E2BA629" w14:textId="77777777" w:rsidR="00161E7D" w:rsidRPr="00161E7D" w:rsidRDefault="00161E7D" w:rsidP="00FF1A1F">
      <w:pPr>
        <w:shd w:val="clear" w:color="auto" w:fill="FFFFFF"/>
        <w:spacing w:line="276" w:lineRule="auto"/>
        <w:ind w:firstLine="720"/>
        <w:jc w:val="both"/>
        <w:rPr>
          <w:lang w:eastAsia="zh-CN"/>
        </w:rPr>
      </w:pPr>
      <w:r w:rsidRPr="00161E7D">
        <w:t>[13] Iepirkumu uzraudzības birojs kasācijas sūdzībā norāda, ka t</w:t>
      </w:r>
      <w:r w:rsidRPr="00161E7D">
        <w:rPr>
          <w:lang w:eastAsia="zh-CN"/>
        </w:rPr>
        <w:t>iesa ir nepamatoti plaši iejaukusies pasūtītāja vajadzību novērtējumā, kā arī spriedusi ārpus pieteicējas birojā iesniegtā iesnieguma satura robežām. Birojs pēc būtības vēlas uzsvērt, ka pieteicēja nebija apstrīdējusi konkrētās prasības, kuru neatbilstību iepirkumu principiem ir atzinusi tiesa.</w:t>
      </w:r>
    </w:p>
    <w:p w14:paraId="6C4BB927" w14:textId="4E77E400" w:rsidR="00161E7D" w:rsidRPr="00161E7D" w:rsidRDefault="00161E7D" w:rsidP="00FF1A1F">
      <w:pPr>
        <w:shd w:val="clear" w:color="auto" w:fill="FFFFFF"/>
        <w:spacing w:line="276" w:lineRule="auto"/>
        <w:ind w:firstLine="720"/>
        <w:jc w:val="both"/>
      </w:pPr>
      <w:r>
        <w:rPr>
          <w:lang w:eastAsia="zh-CN"/>
        </w:rPr>
        <w:t>Senāts vērš uzmanību, ka p</w:t>
      </w:r>
      <w:r w:rsidRPr="00161E7D">
        <w:rPr>
          <w:lang w:eastAsia="zh-CN"/>
        </w:rPr>
        <w:t>ieteicēja birojam iesnieguma 1.5, 1.6</w:t>
      </w:r>
      <w:r>
        <w:rPr>
          <w:lang w:eastAsia="zh-CN"/>
        </w:rPr>
        <w:t>.</w:t>
      </w:r>
      <w:r w:rsidRPr="00161E7D">
        <w:rPr>
          <w:lang w:eastAsia="zh-CN"/>
        </w:rPr>
        <w:t xml:space="preserve"> un 1.7</w:t>
      </w:r>
      <w:r>
        <w:rPr>
          <w:lang w:eastAsia="zh-CN"/>
        </w:rPr>
        <w:t>.</w:t>
      </w:r>
      <w:r w:rsidRPr="00161E7D">
        <w:rPr>
          <w:lang w:eastAsia="zh-CN"/>
        </w:rPr>
        <w:t xml:space="preserve">punktā norādīja faktus par </w:t>
      </w:r>
      <w:r w:rsidRPr="00161E7D">
        <w:t xml:space="preserve">iepirkuma nolikuma 4.pielikuma „Ceļa un laika apstākļu informācijas sistēmas tehniskā specifikācija” 3.14. un 10.punkta, kā arī iepirkuma nolikuma </w:t>
      </w:r>
      <w:r w:rsidRPr="00161E7D">
        <w:lastRenderedPageBreak/>
        <w:t xml:space="preserve">3.4.1.4.punkta prasībām nodrošināt ražotāja </w:t>
      </w:r>
      <w:r w:rsidRPr="00161E7D">
        <w:rPr>
          <w:i/>
          <w:iCs/>
        </w:rPr>
        <w:t xml:space="preserve">Boschung </w:t>
      </w:r>
      <w:r w:rsidRPr="00161E7D">
        <w:t>izsniegtu apliecinājumu par pretendenta tehnisko kompetenci. Turklāt pieteicējas iesnieguma 2.10</w:t>
      </w:r>
      <w:r>
        <w:t>.p</w:t>
      </w:r>
      <w:r w:rsidRPr="00161E7D">
        <w:t>unktā sniegts juridiskais pamatojums un lūgums birojam izvērtēt, vai konkrētajā gadījumā nav pieļauts vienlīdzīgas attieksmes un nediskriminācijas princip</w:t>
      </w:r>
      <w:r>
        <w:t>a</w:t>
      </w:r>
      <w:r w:rsidRPr="00161E7D">
        <w:t xml:space="preserve"> pārkāpums. Pieteicēja attiecīgi ir lūgusi birojam aizliegt pasūtītājam turpināt iepirkuma procedūru.</w:t>
      </w:r>
      <w:r>
        <w:t xml:space="preserve"> </w:t>
      </w:r>
      <w:r w:rsidRPr="00161E7D">
        <w:t xml:space="preserve">Tālāk tiesvedības gaitā pieteicēja pēc būtības ir papildinājusi (plašāk argumentējusi) savus iepriekš izteiktos iebildumus, nevis izvirzījusi jaunus patstāvīgus argumentus, kāpēc iepirkuma prasības ierobežo konkurenci. </w:t>
      </w:r>
    </w:p>
    <w:p w14:paraId="300B0FD8" w14:textId="77777777" w:rsidR="00161E7D" w:rsidRPr="00161E7D" w:rsidRDefault="00161E7D" w:rsidP="00FF1A1F">
      <w:pPr>
        <w:shd w:val="clear" w:color="auto" w:fill="FFFFFF"/>
        <w:spacing w:line="276" w:lineRule="auto"/>
        <w:ind w:firstLine="720"/>
        <w:jc w:val="both"/>
      </w:pPr>
      <w:r w:rsidRPr="00161E7D">
        <w:t>Tāpēc Senāts nevar piekrist, ka tiesa konkrētajā gadījumā būtu pārkāpusi savas kompetences robežas.</w:t>
      </w:r>
    </w:p>
    <w:p w14:paraId="2EC5655D" w14:textId="77777777" w:rsidR="00161E7D" w:rsidRDefault="00161E7D" w:rsidP="00FF1A1F">
      <w:pPr>
        <w:spacing w:line="276" w:lineRule="auto"/>
        <w:ind w:firstLine="720"/>
        <w:jc w:val="both"/>
      </w:pPr>
    </w:p>
    <w:p w14:paraId="530D9E1B" w14:textId="2120BCAC" w:rsidR="0027793B" w:rsidRDefault="00161E7D" w:rsidP="00FF1A1F">
      <w:pPr>
        <w:spacing w:line="276" w:lineRule="auto"/>
        <w:ind w:firstLine="720"/>
        <w:jc w:val="both"/>
      </w:pPr>
      <w:r>
        <w:t>[14] I</w:t>
      </w:r>
      <w:r w:rsidR="0027793B">
        <w:t>evērojot procesuālās ekonomijas principu, Senāts neatbild</w:t>
      </w:r>
      <w:r>
        <w:t>ēs</w:t>
      </w:r>
      <w:r w:rsidR="0027793B">
        <w:t xml:space="preserve"> uz pārējiem kasācijas sūdzību argumentiem.</w:t>
      </w:r>
    </w:p>
    <w:p w14:paraId="1C31E544" w14:textId="77777777" w:rsidR="000B29A5" w:rsidRDefault="000B29A5" w:rsidP="00FF1A1F">
      <w:pPr>
        <w:spacing w:line="276" w:lineRule="auto"/>
        <w:ind w:firstLine="720"/>
        <w:jc w:val="both"/>
      </w:pPr>
    </w:p>
    <w:p w14:paraId="20D78E01" w14:textId="77777777" w:rsidR="00B553F9" w:rsidRPr="004D4E75" w:rsidRDefault="00B553F9" w:rsidP="00FF1A1F">
      <w:pPr>
        <w:pStyle w:val="ATvirsraksts"/>
      </w:pPr>
      <w:r w:rsidRPr="004D4E75">
        <w:t>Rezolutīvā daļa</w:t>
      </w:r>
    </w:p>
    <w:p w14:paraId="086F71A4" w14:textId="77777777" w:rsidR="00B553F9" w:rsidRPr="004D4E75" w:rsidRDefault="00B553F9" w:rsidP="00FF1A1F">
      <w:pPr>
        <w:spacing w:line="276" w:lineRule="auto"/>
        <w:ind w:firstLine="709"/>
        <w:jc w:val="both"/>
      </w:pPr>
    </w:p>
    <w:p w14:paraId="2F19A48F" w14:textId="77777777" w:rsidR="0027793B" w:rsidRPr="00B37235" w:rsidRDefault="0027793B" w:rsidP="00FF1A1F">
      <w:pPr>
        <w:spacing w:line="276" w:lineRule="auto"/>
        <w:ind w:firstLine="720"/>
        <w:jc w:val="both"/>
        <w:rPr>
          <w:rFonts w:asciiTheme="majorBidi" w:hAnsiTheme="majorBidi" w:cstheme="majorBidi"/>
        </w:rPr>
      </w:pPr>
      <w:r w:rsidRPr="00470B71">
        <w:rPr>
          <w:rFonts w:asciiTheme="majorBidi" w:hAnsiTheme="majorBidi" w:cstheme="majorBidi"/>
        </w:rPr>
        <w:t xml:space="preserve">Pamatojoties uz </w:t>
      </w:r>
      <w:r w:rsidRPr="00470B71">
        <w:rPr>
          <w:rFonts w:asciiTheme="majorBidi" w:eastAsiaTheme="minorHAnsi" w:hAnsiTheme="majorBidi" w:cstheme="majorBidi"/>
          <w:lang w:eastAsia="en-US"/>
        </w:rPr>
        <w:t xml:space="preserve">Administratīvā procesa likuma </w:t>
      </w:r>
      <w:r w:rsidRPr="00470B71">
        <w:rPr>
          <w:rFonts w:asciiTheme="majorBidi" w:hAnsiTheme="majorBidi" w:cstheme="majorBidi"/>
        </w:rPr>
        <w:t>129.</w:t>
      </w:r>
      <w:r w:rsidRPr="00470B71">
        <w:rPr>
          <w:rFonts w:asciiTheme="majorBidi" w:hAnsiTheme="majorBidi" w:cstheme="majorBidi"/>
          <w:vertAlign w:val="superscript"/>
        </w:rPr>
        <w:t>1</w:t>
      </w:r>
      <w:r w:rsidRPr="00470B71">
        <w:rPr>
          <w:rFonts w:asciiTheme="majorBidi" w:hAnsiTheme="majorBidi" w:cstheme="majorBidi"/>
        </w:rPr>
        <w:t>panta pirmās daļas 1.punktu, 348.panta pirmās daļas 2.punktu un 351.pantu, Senāts</w:t>
      </w:r>
    </w:p>
    <w:p w14:paraId="35E8050F" w14:textId="77777777" w:rsidR="00B553F9" w:rsidRPr="004D4E75" w:rsidRDefault="00B553F9" w:rsidP="00FF1A1F">
      <w:pPr>
        <w:tabs>
          <w:tab w:val="left" w:pos="6660"/>
        </w:tabs>
        <w:spacing w:line="276" w:lineRule="auto"/>
        <w:ind w:firstLine="720"/>
        <w:jc w:val="both"/>
      </w:pPr>
    </w:p>
    <w:p w14:paraId="2116E7AB" w14:textId="77777777" w:rsidR="00B553F9" w:rsidRPr="004D4E75" w:rsidRDefault="00B553F9" w:rsidP="00FF1A1F">
      <w:pPr>
        <w:tabs>
          <w:tab w:val="left" w:pos="6660"/>
        </w:tabs>
        <w:spacing w:line="276" w:lineRule="auto"/>
        <w:jc w:val="center"/>
        <w:rPr>
          <w:b/>
          <w:bCs/>
          <w:strike/>
        </w:rPr>
      </w:pPr>
      <w:r w:rsidRPr="004D4E75">
        <w:rPr>
          <w:b/>
          <w:bCs/>
        </w:rPr>
        <w:t>nosprieda</w:t>
      </w:r>
    </w:p>
    <w:p w14:paraId="06C24F16" w14:textId="77777777" w:rsidR="00B553F9" w:rsidRPr="004D4E75" w:rsidRDefault="00B553F9" w:rsidP="00FF1A1F">
      <w:pPr>
        <w:spacing w:line="276" w:lineRule="auto"/>
        <w:ind w:firstLine="720"/>
        <w:jc w:val="both"/>
      </w:pPr>
    </w:p>
    <w:p w14:paraId="57BF1647" w14:textId="3B1C47CD" w:rsidR="0027793B" w:rsidRDefault="0027793B" w:rsidP="00FF1A1F">
      <w:pPr>
        <w:spacing w:line="276" w:lineRule="auto"/>
        <w:ind w:firstLine="720"/>
        <w:jc w:val="both"/>
        <w:rPr>
          <w:rFonts w:asciiTheme="majorBidi" w:hAnsiTheme="majorBidi" w:cstheme="majorBidi"/>
        </w:rPr>
      </w:pPr>
      <w:r>
        <w:rPr>
          <w:rFonts w:asciiTheme="majorBidi" w:hAnsiTheme="majorBidi" w:cstheme="majorBidi"/>
        </w:rPr>
        <w:t>a</w:t>
      </w:r>
      <w:r w:rsidRPr="00470B71">
        <w:rPr>
          <w:rFonts w:asciiTheme="majorBidi" w:hAnsiTheme="majorBidi" w:cstheme="majorBidi"/>
        </w:rPr>
        <w:t xml:space="preserve">tcelt Administratīvās </w:t>
      </w:r>
      <w:r>
        <w:rPr>
          <w:rFonts w:asciiTheme="majorBidi" w:hAnsiTheme="majorBidi" w:cstheme="majorBidi"/>
        </w:rPr>
        <w:t>rajona tiesas</w:t>
      </w:r>
      <w:r w:rsidRPr="00470B71">
        <w:rPr>
          <w:rFonts w:asciiTheme="majorBidi" w:hAnsiTheme="majorBidi" w:cstheme="majorBidi"/>
        </w:rPr>
        <w:t xml:space="preserve"> </w:t>
      </w:r>
      <w:r>
        <w:rPr>
          <w:color w:val="000000"/>
        </w:rPr>
        <w:t xml:space="preserve">2023.gada 3.maija </w:t>
      </w:r>
      <w:r w:rsidRPr="00470B71">
        <w:rPr>
          <w:rFonts w:asciiTheme="majorBidi" w:hAnsiTheme="majorBidi" w:cstheme="majorBidi"/>
        </w:rPr>
        <w:t xml:space="preserve">spriedumu un </w:t>
      </w:r>
      <w:r w:rsidRPr="00470B71">
        <w:rPr>
          <w:rFonts w:asciiTheme="majorBidi" w:hAnsiTheme="majorBidi" w:cstheme="majorBidi"/>
          <w:shd w:val="clear" w:color="auto" w:fill="FFFFFF"/>
        </w:rPr>
        <w:t xml:space="preserve">nosūtīt lietu jaunai izskatīšanai </w:t>
      </w:r>
      <w:r w:rsidRPr="00470B71">
        <w:rPr>
          <w:rFonts w:asciiTheme="majorBidi" w:hAnsiTheme="majorBidi" w:cstheme="majorBidi"/>
        </w:rPr>
        <w:t xml:space="preserve">Administratīvajai </w:t>
      </w:r>
      <w:r>
        <w:rPr>
          <w:rFonts w:asciiTheme="majorBidi" w:hAnsiTheme="majorBidi" w:cstheme="majorBidi"/>
        </w:rPr>
        <w:t>rajona tiesai;</w:t>
      </w:r>
    </w:p>
    <w:p w14:paraId="58C67928" w14:textId="7A5EBF1F" w:rsidR="0027793B" w:rsidRDefault="0027793B" w:rsidP="00FF1A1F">
      <w:pPr>
        <w:spacing w:line="276" w:lineRule="auto"/>
        <w:ind w:firstLine="720"/>
        <w:jc w:val="both"/>
        <w:rPr>
          <w:rFonts w:asciiTheme="majorBidi" w:hAnsiTheme="majorBidi" w:cstheme="majorBidi"/>
        </w:rPr>
      </w:pPr>
      <w:r w:rsidRPr="00CD75F4">
        <w:rPr>
          <w:rFonts w:asciiTheme="majorBidi" w:hAnsiTheme="majorBidi" w:cstheme="majorBidi"/>
        </w:rPr>
        <w:t xml:space="preserve">atmaksāt </w:t>
      </w:r>
      <w:r>
        <w:rPr>
          <w:rFonts w:asciiTheme="majorBidi" w:hAnsiTheme="majorBidi" w:cstheme="majorBidi"/>
        </w:rPr>
        <w:t>Iepirkumu uzraudzības birojam</w:t>
      </w:r>
      <w:r w:rsidRPr="00CD75F4">
        <w:rPr>
          <w:rFonts w:asciiTheme="majorBidi" w:hAnsiTheme="majorBidi" w:cstheme="majorBidi"/>
        </w:rPr>
        <w:t xml:space="preserve"> drošības</w:t>
      </w:r>
      <w:r w:rsidRPr="00470B71">
        <w:rPr>
          <w:rFonts w:asciiTheme="majorBidi" w:hAnsiTheme="majorBidi" w:cstheme="majorBidi"/>
        </w:rPr>
        <w:t xml:space="preserve"> naudu 70 </w:t>
      </w:r>
      <w:r w:rsidRPr="00470B71">
        <w:rPr>
          <w:rFonts w:asciiTheme="majorBidi" w:hAnsiTheme="majorBidi" w:cstheme="majorBidi"/>
          <w:i/>
        </w:rPr>
        <w:t>euro</w:t>
      </w:r>
      <w:r>
        <w:rPr>
          <w:rFonts w:asciiTheme="majorBidi" w:hAnsiTheme="majorBidi" w:cstheme="majorBidi"/>
        </w:rPr>
        <w:t>;</w:t>
      </w:r>
    </w:p>
    <w:p w14:paraId="0EF268D9" w14:textId="2BC0033C" w:rsidR="0027793B" w:rsidRDefault="0027793B" w:rsidP="00FF1A1F">
      <w:pPr>
        <w:spacing w:line="276" w:lineRule="auto"/>
        <w:ind w:firstLine="720"/>
        <w:jc w:val="both"/>
        <w:rPr>
          <w:rFonts w:asciiTheme="majorBidi" w:hAnsiTheme="majorBidi" w:cstheme="majorBidi"/>
        </w:rPr>
      </w:pPr>
      <w:r>
        <w:rPr>
          <w:rFonts w:asciiTheme="majorBidi" w:hAnsiTheme="majorBidi" w:cstheme="majorBidi"/>
        </w:rPr>
        <w:t xml:space="preserve">atmaksāt </w:t>
      </w:r>
      <w:r w:rsidR="00D46F5B" w:rsidRPr="00D46F5B">
        <w:rPr>
          <w:rFonts w:asciiTheme="majorBidi" w:hAnsiTheme="majorBidi" w:cstheme="majorBidi"/>
        </w:rPr>
        <w:t>R</w:t>
      </w:r>
      <w:r w:rsidR="00D46F5B" w:rsidRPr="00D46F5B">
        <w:rPr>
          <w:rFonts w:asciiTheme="majorBidi" w:hAnsiTheme="majorBidi" w:cstheme="majorBidi" w:hint="eastAsia"/>
        </w:rPr>
        <w:t>ī</w:t>
      </w:r>
      <w:r w:rsidR="00D46F5B" w:rsidRPr="00D46F5B">
        <w:rPr>
          <w:rFonts w:asciiTheme="majorBidi" w:hAnsiTheme="majorBidi" w:cstheme="majorBidi"/>
        </w:rPr>
        <w:t>gas valstspils</w:t>
      </w:r>
      <w:r w:rsidR="00D46F5B" w:rsidRPr="00D46F5B">
        <w:rPr>
          <w:rFonts w:asciiTheme="majorBidi" w:hAnsiTheme="majorBidi" w:cstheme="majorBidi" w:hint="eastAsia"/>
        </w:rPr>
        <w:t>ē</w:t>
      </w:r>
      <w:r w:rsidR="00D46F5B" w:rsidRPr="00D46F5B">
        <w:rPr>
          <w:rFonts w:asciiTheme="majorBidi" w:hAnsiTheme="majorBidi" w:cstheme="majorBidi"/>
        </w:rPr>
        <w:t>tas pa</w:t>
      </w:r>
      <w:r w:rsidR="00D46F5B" w:rsidRPr="00D46F5B">
        <w:rPr>
          <w:rFonts w:asciiTheme="majorBidi" w:hAnsiTheme="majorBidi" w:cstheme="majorBidi" w:hint="eastAsia"/>
        </w:rPr>
        <w:t>š</w:t>
      </w:r>
      <w:r w:rsidR="00D46F5B" w:rsidRPr="00D46F5B">
        <w:rPr>
          <w:rFonts w:asciiTheme="majorBidi" w:hAnsiTheme="majorBidi" w:cstheme="majorBidi"/>
        </w:rPr>
        <w:t>vald</w:t>
      </w:r>
      <w:r w:rsidR="00D46F5B" w:rsidRPr="00D46F5B">
        <w:rPr>
          <w:rFonts w:asciiTheme="majorBidi" w:hAnsiTheme="majorBidi" w:cstheme="majorBidi" w:hint="eastAsia"/>
        </w:rPr>
        <w:t>ī</w:t>
      </w:r>
      <w:r w:rsidR="00D46F5B" w:rsidRPr="00D46F5B">
        <w:rPr>
          <w:rFonts w:asciiTheme="majorBidi" w:hAnsiTheme="majorBidi" w:cstheme="majorBidi"/>
        </w:rPr>
        <w:t xml:space="preserve">bai </w:t>
      </w:r>
      <w:r>
        <w:rPr>
          <w:rFonts w:asciiTheme="majorBidi" w:hAnsiTheme="majorBidi" w:cstheme="majorBidi"/>
        </w:rPr>
        <w:t>drošības naudu 70 </w:t>
      </w:r>
      <w:r w:rsidRPr="0027793B">
        <w:rPr>
          <w:rFonts w:asciiTheme="majorBidi" w:hAnsiTheme="majorBidi" w:cstheme="majorBidi"/>
          <w:i/>
          <w:iCs/>
        </w:rPr>
        <w:t>euro</w:t>
      </w:r>
      <w:r>
        <w:rPr>
          <w:rFonts w:asciiTheme="majorBidi" w:hAnsiTheme="majorBidi" w:cstheme="majorBidi"/>
        </w:rPr>
        <w:t>.</w:t>
      </w:r>
    </w:p>
    <w:p w14:paraId="5122EBCA" w14:textId="77777777" w:rsidR="0027793B" w:rsidRDefault="0027793B" w:rsidP="00FF1A1F">
      <w:pPr>
        <w:spacing w:line="276" w:lineRule="auto"/>
        <w:ind w:firstLine="720"/>
        <w:jc w:val="both"/>
        <w:rPr>
          <w:rFonts w:asciiTheme="majorBidi" w:hAnsiTheme="majorBidi" w:cstheme="majorBidi"/>
        </w:rPr>
      </w:pPr>
    </w:p>
    <w:p w14:paraId="43BC92AD" w14:textId="77777777" w:rsidR="0027793B" w:rsidRPr="001B099E" w:rsidRDefault="0027793B" w:rsidP="00FF1A1F">
      <w:pPr>
        <w:spacing w:line="276" w:lineRule="auto"/>
        <w:ind w:firstLine="720"/>
        <w:jc w:val="both"/>
        <w:rPr>
          <w:rFonts w:asciiTheme="majorBidi" w:hAnsiTheme="majorBidi" w:cstheme="majorBidi"/>
        </w:rPr>
      </w:pPr>
      <w:r w:rsidRPr="001B099E">
        <w:rPr>
          <w:rFonts w:asciiTheme="majorBidi" w:hAnsiTheme="majorBidi" w:cstheme="majorBidi"/>
        </w:rPr>
        <w:t>Spriedums nav pārsūdzams.</w:t>
      </w:r>
    </w:p>
    <w:p w14:paraId="3453DF13" w14:textId="77777777" w:rsidR="0027793B" w:rsidRDefault="0027793B" w:rsidP="0027793B">
      <w:pPr>
        <w:tabs>
          <w:tab w:val="left" w:pos="2700"/>
          <w:tab w:val="left" w:pos="6660"/>
        </w:tabs>
        <w:spacing w:line="276" w:lineRule="auto"/>
        <w:ind w:firstLine="567"/>
        <w:jc w:val="both"/>
        <w:rPr>
          <w:rFonts w:asciiTheme="majorBidi" w:hAnsiTheme="majorBidi" w:cstheme="majorBidi"/>
        </w:rPr>
      </w:pPr>
    </w:p>
    <w:p w14:paraId="10A1A8C8" w14:textId="77777777" w:rsidR="0027793B" w:rsidRDefault="0027793B" w:rsidP="0027793B">
      <w:pPr>
        <w:tabs>
          <w:tab w:val="left" w:pos="2700"/>
          <w:tab w:val="left" w:pos="6660"/>
        </w:tabs>
        <w:spacing w:line="276" w:lineRule="auto"/>
        <w:ind w:firstLine="567"/>
        <w:jc w:val="both"/>
        <w:rPr>
          <w:rFonts w:asciiTheme="majorBidi" w:hAnsiTheme="majorBidi" w:cstheme="majorBidi"/>
        </w:rPr>
      </w:pPr>
    </w:p>
    <w:p w14:paraId="24D4C212" w14:textId="77777777" w:rsidR="0027793B" w:rsidRPr="00405A5D" w:rsidRDefault="0027793B" w:rsidP="0027793B">
      <w:pPr>
        <w:tabs>
          <w:tab w:val="left" w:pos="2700"/>
          <w:tab w:val="left" w:pos="6660"/>
        </w:tabs>
        <w:spacing w:line="276" w:lineRule="auto"/>
        <w:ind w:firstLine="567"/>
        <w:jc w:val="both"/>
        <w:rPr>
          <w:rFonts w:asciiTheme="majorBidi" w:hAnsiTheme="majorBidi" w:cstheme="majorBidi"/>
        </w:rPr>
      </w:pPr>
    </w:p>
    <w:p w14:paraId="1125F5F9" w14:textId="77777777" w:rsidR="0027793B" w:rsidRPr="00405A5D" w:rsidRDefault="0027793B" w:rsidP="0027793B">
      <w:pPr>
        <w:tabs>
          <w:tab w:val="left" w:pos="2700"/>
          <w:tab w:val="left" w:pos="6660"/>
        </w:tabs>
        <w:spacing w:line="276" w:lineRule="auto"/>
        <w:rPr>
          <w:rFonts w:asciiTheme="majorBidi" w:hAnsiTheme="majorBidi" w:cstheme="majorBidi"/>
        </w:rPr>
      </w:pPr>
    </w:p>
    <w:p w14:paraId="6207DB11" w14:textId="77777777" w:rsidR="00B553F9" w:rsidRPr="004D4E75" w:rsidRDefault="00B553F9" w:rsidP="00851F23">
      <w:pPr>
        <w:tabs>
          <w:tab w:val="left" w:pos="2700"/>
          <w:tab w:val="left" w:pos="6660"/>
        </w:tabs>
        <w:spacing w:line="276" w:lineRule="auto"/>
      </w:pPr>
    </w:p>
    <w:sectPr w:rsidR="00B553F9" w:rsidRPr="004D4E75" w:rsidSect="00AE631C">
      <w:footerReference w:type="default" r:id="rId9"/>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E28E8" w14:textId="77777777" w:rsidR="00516A96" w:rsidRDefault="00516A96">
      <w:r>
        <w:separator/>
      </w:r>
    </w:p>
  </w:endnote>
  <w:endnote w:type="continuationSeparator" w:id="0">
    <w:p w14:paraId="524041B7" w14:textId="77777777" w:rsidR="00516A96" w:rsidRDefault="0051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129C" w14:textId="7FAC073A" w:rsidR="00E0333C" w:rsidRPr="007940EA" w:rsidRDefault="00E0333C">
    <w:pPr>
      <w:pStyle w:val="Footer"/>
      <w:tabs>
        <w:tab w:val="clear" w:pos="4153"/>
        <w:tab w:val="clear" w:pos="8306"/>
      </w:tabs>
      <w:jc w:val="center"/>
      <w:rPr>
        <w:sz w:val="20"/>
        <w:szCs w:val="20"/>
      </w:rPr>
    </w:pPr>
    <w:r w:rsidRPr="007940EA">
      <w:rPr>
        <w:rStyle w:val="PageNumber"/>
        <w:sz w:val="20"/>
        <w:szCs w:val="20"/>
      </w:rPr>
      <w:fldChar w:fldCharType="begin"/>
    </w:r>
    <w:r w:rsidRPr="007940EA">
      <w:rPr>
        <w:rStyle w:val="PageNumber"/>
        <w:sz w:val="20"/>
        <w:szCs w:val="20"/>
      </w:rPr>
      <w:instrText xml:space="preserve">PAGE  </w:instrText>
    </w:r>
    <w:r w:rsidRPr="007940EA">
      <w:rPr>
        <w:rStyle w:val="PageNumber"/>
        <w:sz w:val="20"/>
        <w:szCs w:val="20"/>
      </w:rPr>
      <w:fldChar w:fldCharType="separate"/>
    </w:r>
    <w:r w:rsidRPr="007940EA">
      <w:rPr>
        <w:rStyle w:val="PageNumber"/>
        <w:noProof/>
        <w:sz w:val="20"/>
        <w:szCs w:val="20"/>
      </w:rPr>
      <w:t>7</w:t>
    </w:r>
    <w:r w:rsidRPr="007940EA">
      <w:rPr>
        <w:rStyle w:val="PageNumber"/>
        <w:sz w:val="20"/>
        <w:szCs w:val="20"/>
      </w:rPr>
      <w:fldChar w:fldCharType="end"/>
    </w:r>
    <w:r w:rsidRPr="007940EA">
      <w:rPr>
        <w:rStyle w:val="PageNumber"/>
        <w:sz w:val="20"/>
        <w:szCs w:val="20"/>
      </w:rPr>
      <w:t xml:space="preserve"> no </w:t>
    </w:r>
    <w:r w:rsidRPr="007940EA">
      <w:rPr>
        <w:rStyle w:val="PageNumber"/>
        <w:noProof/>
        <w:sz w:val="20"/>
        <w:szCs w:val="20"/>
      </w:rPr>
      <w:fldChar w:fldCharType="begin"/>
    </w:r>
    <w:r w:rsidRPr="007940EA">
      <w:rPr>
        <w:rStyle w:val="PageNumber"/>
        <w:noProof/>
        <w:sz w:val="20"/>
        <w:szCs w:val="20"/>
      </w:rPr>
      <w:instrText xml:space="preserve"> SECTIONPAGES   \* MERGEFORMAT </w:instrText>
    </w:r>
    <w:r w:rsidRPr="007940EA">
      <w:rPr>
        <w:rStyle w:val="PageNumber"/>
        <w:noProof/>
        <w:sz w:val="20"/>
        <w:szCs w:val="20"/>
      </w:rPr>
      <w:fldChar w:fldCharType="separate"/>
    </w:r>
    <w:r w:rsidR="00DE6C26">
      <w:rPr>
        <w:rStyle w:val="PageNumber"/>
        <w:noProof/>
        <w:sz w:val="20"/>
        <w:szCs w:val="20"/>
      </w:rPr>
      <w:t>10</w:t>
    </w:r>
    <w:r w:rsidRPr="007940EA">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8A2FC" w14:textId="77777777" w:rsidR="00516A96" w:rsidRDefault="00516A96">
      <w:r>
        <w:separator/>
      </w:r>
    </w:p>
  </w:footnote>
  <w:footnote w:type="continuationSeparator" w:id="0">
    <w:p w14:paraId="66730F4B" w14:textId="77777777" w:rsidR="00516A96" w:rsidRDefault="00516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A772C"/>
    <w:multiLevelType w:val="hybridMultilevel"/>
    <w:tmpl w:val="6FCC597E"/>
    <w:lvl w:ilvl="0" w:tplc="B8F872FC">
      <w:start w:val="1"/>
      <w:numFmt w:val="decimal"/>
      <w:lvlText w:val="%1."/>
      <w:lvlJc w:val="left"/>
      <w:pPr>
        <w:tabs>
          <w:tab w:val="num" w:pos="720"/>
        </w:tabs>
        <w:ind w:left="720" w:hanging="360"/>
      </w:pPr>
    </w:lvl>
    <w:lvl w:ilvl="1" w:tplc="C14E8156" w:tentative="1">
      <w:start w:val="1"/>
      <w:numFmt w:val="decimal"/>
      <w:lvlText w:val="%2."/>
      <w:lvlJc w:val="left"/>
      <w:pPr>
        <w:tabs>
          <w:tab w:val="num" w:pos="1440"/>
        </w:tabs>
        <w:ind w:left="1440" w:hanging="360"/>
      </w:pPr>
    </w:lvl>
    <w:lvl w:ilvl="2" w:tplc="63924700" w:tentative="1">
      <w:start w:val="1"/>
      <w:numFmt w:val="decimal"/>
      <w:lvlText w:val="%3."/>
      <w:lvlJc w:val="left"/>
      <w:pPr>
        <w:tabs>
          <w:tab w:val="num" w:pos="2160"/>
        </w:tabs>
        <w:ind w:left="2160" w:hanging="360"/>
      </w:pPr>
    </w:lvl>
    <w:lvl w:ilvl="3" w:tplc="3FDEB680" w:tentative="1">
      <w:start w:val="1"/>
      <w:numFmt w:val="decimal"/>
      <w:lvlText w:val="%4."/>
      <w:lvlJc w:val="left"/>
      <w:pPr>
        <w:tabs>
          <w:tab w:val="num" w:pos="2880"/>
        </w:tabs>
        <w:ind w:left="2880" w:hanging="360"/>
      </w:pPr>
    </w:lvl>
    <w:lvl w:ilvl="4" w:tplc="E9C6F8F4" w:tentative="1">
      <w:start w:val="1"/>
      <w:numFmt w:val="decimal"/>
      <w:lvlText w:val="%5."/>
      <w:lvlJc w:val="left"/>
      <w:pPr>
        <w:tabs>
          <w:tab w:val="num" w:pos="3600"/>
        </w:tabs>
        <w:ind w:left="3600" w:hanging="360"/>
      </w:pPr>
    </w:lvl>
    <w:lvl w:ilvl="5" w:tplc="5FB28C02" w:tentative="1">
      <w:start w:val="1"/>
      <w:numFmt w:val="decimal"/>
      <w:lvlText w:val="%6."/>
      <w:lvlJc w:val="left"/>
      <w:pPr>
        <w:tabs>
          <w:tab w:val="num" w:pos="4320"/>
        </w:tabs>
        <w:ind w:left="4320" w:hanging="360"/>
      </w:pPr>
    </w:lvl>
    <w:lvl w:ilvl="6" w:tplc="BCBCFB5C" w:tentative="1">
      <w:start w:val="1"/>
      <w:numFmt w:val="decimal"/>
      <w:lvlText w:val="%7."/>
      <w:lvlJc w:val="left"/>
      <w:pPr>
        <w:tabs>
          <w:tab w:val="num" w:pos="5040"/>
        </w:tabs>
        <w:ind w:left="5040" w:hanging="360"/>
      </w:pPr>
    </w:lvl>
    <w:lvl w:ilvl="7" w:tplc="91B40AAA" w:tentative="1">
      <w:start w:val="1"/>
      <w:numFmt w:val="decimal"/>
      <w:lvlText w:val="%8."/>
      <w:lvlJc w:val="left"/>
      <w:pPr>
        <w:tabs>
          <w:tab w:val="num" w:pos="5760"/>
        </w:tabs>
        <w:ind w:left="5760" w:hanging="360"/>
      </w:pPr>
    </w:lvl>
    <w:lvl w:ilvl="8" w:tplc="86BA26BA" w:tentative="1">
      <w:start w:val="1"/>
      <w:numFmt w:val="decimal"/>
      <w:lvlText w:val="%9."/>
      <w:lvlJc w:val="left"/>
      <w:pPr>
        <w:tabs>
          <w:tab w:val="num" w:pos="6480"/>
        </w:tabs>
        <w:ind w:left="6480" w:hanging="360"/>
      </w:pPr>
    </w:lvl>
  </w:abstractNum>
  <w:abstractNum w:abstractNumId="1" w15:restartNumberingAfterBreak="0">
    <w:nsid w:val="52316CA3"/>
    <w:multiLevelType w:val="hybridMultilevel"/>
    <w:tmpl w:val="8E4EAC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7888364">
    <w:abstractNumId w:val="1"/>
  </w:num>
  <w:num w:numId="2" w16cid:durableId="21235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3F9"/>
    <w:rsid w:val="00000042"/>
    <w:rsid w:val="000004FE"/>
    <w:rsid w:val="000010B4"/>
    <w:rsid w:val="00001617"/>
    <w:rsid w:val="00001C78"/>
    <w:rsid w:val="00004069"/>
    <w:rsid w:val="00012CA0"/>
    <w:rsid w:val="00013ADE"/>
    <w:rsid w:val="00015D44"/>
    <w:rsid w:val="00016C30"/>
    <w:rsid w:val="00020495"/>
    <w:rsid w:val="00021F85"/>
    <w:rsid w:val="00021F88"/>
    <w:rsid w:val="00025693"/>
    <w:rsid w:val="0003037B"/>
    <w:rsid w:val="000365D3"/>
    <w:rsid w:val="0004009A"/>
    <w:rsid w:val="000420BA"/>
    <w:rsid w:val="00047A16"/>
    <w:rsid w:val="00051F12"/>
    <w:rsid w:val="000527F3"/>
    <w:rsid w:val="00052E52"/>
    <w:rsid w:val="0005460F"/>
    <w:rsid w:val="00055A47"/>
    <w:rsid w:val="00057F90"/>
    <w:rsid w:val="00060DEC"/>
    <w:rsid w:val="000634D7"/>
    <w:rsid w:val="00063B40"/>
    <w:rsid w:val="000648AC"/>
    <w:rsid w:val="00064A2D"/>
    <w:rsid w:val="00065F4B"/>
    <w:rsid w:val="0007193D"/>
    <w:rsid w:val="000733B4"/>
    <w:rsid w:val="00073400"/>
    <w:rsid w:val="00080DE6"/>
    <w:rsid w:val="00082E87"/>
    <w:rsid w:val="000865CA"/>
    <w:rsid w:val="00090E41"/>
    <w:rsid w:val="0009182E"/>
    <w:rsid w:val="0009187B"/>
    <w:rsid w:val="00091BDE"/>
    <w:rsid w:val="0009265C"/>
    <w:rsid w:val="00093727"/>
    <w:rsid w:val="00093F79"/>
    <w:rsid w:val="0009440B"/>
    <w:rsid w:val="000977CD"/>
    <w:rsid w:val="000A1250"/>
    <w:rsid w:val="000A2C4A"/>
    <w:rsid w:val="000A42E5"/>
    <w:rsid w:val="000B29A5"/>
    <w:rsid w:val="000B4114"/>
    <w:rsid w:val="000B433F"/>
    <w:rsid w:val="000B5929"/>
    <w:rsid w:val="000B7F5F"/>
    <w:rsid w:val="000C2CE1"/>
    <w:rsid w:val="000D094D"/>
    <w:rsid w:val="000D0FC9"/>
    <w:rsid w:val="000D3756"/>
    <w:rsid w:val="000D6267"/>
    <w:rsid w:val="000D6D99"/>
    <w:rsid w:val="000E03D3"/>
    <w:rsid w:val="000E2030"/>
    <w:rsid w:val="000E7F29"/>
    <w:rsid w:val="000F0940"/>
    <w:rsid w:val="000F1EFD"/>
    <w:rsid w:val="000F3E2A"/>
    <w:rsid w:val="000F4657"/>
    <w:rsid w:val="000F5AF9"/>
    <w:rsid w:val="000F5F99"/>
    <w:rsid w:val="000F6C8D"/>
    <w:rsid w:val="000F7811"/>
    <w:rsid w:val="000F7848"/>
    <w:rsid w:val="001010FC"/>
    <w:rsid w:val="001017E3"/>
    <w:rsid w:val="0010269E"/>
    <w:rsid w:val="001036B1"/>
    <w:rsid w:val="00103C64"/>
    <w:rsid w:val="0010652D"/>
    <w:rsid w:val="0011212E"/>
    <w:rsid w:val="001138EA"/>
    <w:rsid w:val="00113BCB"/>
    <w:rsid w:val="00114261"/>
    <w:rsid w:val="00117872"/>
    <w:rsid w:val="001179D1"/>
    <w:rsid w:val="00120C30"/>
    <w:rsid w:val="00122527"/>
    <w:rsid w:val="00124D5A"/>
    <w:rsid w:val="00130D52"/>
    <w:rsid w:val="00132126"/>
    <w:rsid w:val="0013521D"/>
    <w:rsid w:val="00136EC0"/>
    <w:rsid w:val="001376CE"/>
    <w:rsid w:val="00140F31"/>
    <w:rsid w:val="00144AAC"/>
    <w:rsid w:val="00144AC6"/>
    <w:rsid w:val="00150047"/>
    <w:rsid w:val="0015090B"/>
    <w:rsid w:val="001519F3"/>
    <w:rsid w:val="00152FB9"/>
    <w:rsid w:val="00153BE2"/>
    <w:rsid w:val="00160087"/>
    <w:rsid w:val="00160422"/>
    <w:rsid w:val="00161E7D"/>
    <w:rsid w:val="00163087"/>
    <w:rsid w:val="00164BB1"/>
    <w:rsid w:val="00167679"/>
    <w:rsid w:val="00167E3D"/>
    <w:rsid w:val="001726E1"/>
    <w:rsid w:val="001731AB"/>
    <w:rsid w:val="0017432D"/>
    <w:rsid w:val="001744DA"/>
    <w:rsid w:val="001801E6"/>
    <w:rsid w:val="0018414F"/>
    <w:rsid w:val="00184D23"/>
    <w:rsid w:val="00184E5C"/>
    <w:rsid w:val="001856E1"/>
    <w:rsid w:val="0019130A"/>
    <w:rsid w:val="001931FD"/>
    <w:rsid w:val="00194FC4"/>
    <w:rsid w:val="001A06E0"/>
    <w:rsid w:val="001A149A"/>
    <w:rsid w:val="001A2C73"/>
    <w:rsid w:val="001A37DE"/>
    <w:rsid w:val="001A53BE"/>
    <w:rsid w:val="001B61CD"/>
    <w:rsid w:val="001B629A"/>
    <w:rsid w:val="001B6E2A"/>
    <w:rsid w:val="001B772B"/>
    <w:rsid w:val="001C11F9"/>
    <w:rsid w:val="001C2385"/>
    <w:rsid w:val="001C3DBA"/>
    <w:rsid w:val="001C4FAC"/>
    <w:rsid w:val="001D017C"/>
    <w:rsid w:val="001D5B0B"/>
    <w:rsid w:val="001D6445"/>
    <w:rsid w:val="001E1373"/>
    <w:rsid w:val="001E3AA8"/>
    <w:rsid w:val="001E3D2F"/>
    <w:rsid w:val="001E738A"/>
    <w:rsid w:val="001E7A83"/>
    <w:rsid w:val="001E7E95"/>
    <w:rsid w:val="001F4DF4"/>
    <w:rsid w:val="001F59E6"/>
    <w:rsid w:val="001F6C7E"/>
    <w:rsid w:val="001F7B73"/>
    <w:rsid w:val="002017D6"/>
    <w:rsid w:val="0020254F"/>
    <w:rsid w:val="002072DF"/>
    <w:rsid w:val="00211991"/>
    <w:rsid w:val="00211E2A"/>
    <w:rsid w:val="002129FA"/>
    <w:rsid w:val="002135F4"/>
    <w:rsid w:val="00217C0E"/>
    <w:rsid w:val="00230382"/>
    <w:rsid w:val="00230A10"/>
    <w:rsid w:val="002354CA"/>
    <w:rsid w:val="002367EA"/>
    <w:rsid w:val="00241754"/>
    <w:rsid w:val="00243DDF"/>
    <w:rsid w:val="00243E19"/>
    <w:rsid w:val="00245684"/>
    <w:rsid w:val="00245758"/>
    <w:rsid w:val="00246BEB"/>
    <w:rsid w:val="002506E4"/>
    <w:rsid w:val="002508E0"/>
    <w:rsid w:val="00256FD7"/>
    <w:rsid w:val="00260CA2"/>
    <w:rsid w:val="002624AA"/>
    <w:rsid w:val="00265829"/>
    <w:rsid w:val="002700C0"/>
    <w:rsid w:val="0027245D"/>
    <w:rsid w:val="00273781"/>
    <w:rsid w:val="0027695F"/>
    <w:rsid w:val="002771A7"/>
    <w:rsid w:val="0027793B"/>
    <w:rsid w:val="00280560"/>
    <w:rsid w:val="002857D9"/>
    <w:rsid w:val="00285ACF"/>
    <w:rsid w:val="00285B6D"/>
    <w:rsid w:val="00286B6A"/>
    <w:rsid w:val="00290A31"/>
    <w:rsid w:val="002934C2"/>
    <w:rsid w:val="00293B1D"/>
    <w:rsid w:val="00294A1B"/>
    <w:rsid w:val="0029663C"/>
    <w:rsid w:val="00296930"/>
    <w:rsid w:val="002A1491"/>
    <w:rsid w:val="002A3EF8"/>
    <w:rsid w:val="002A495F"/>
    <w:rsid w:val="002A4DCE"/>
    <w:rsid w:val="002A54E4"/>
    <w:rsid w:val="002A55C2"/>
    <w:rsid w:val="002B05C8"/>
    <w:rsid w:val="002B1F85"/>
    <w:rsid w:val="002B222D"/>
    <w:rsid w:val="002B2691"/>
    <w:rsid w:val="002B3498"/>
    <w:rsid w:val="002B559E"/>
    <w:rsid w:val="002C0A86"/>
    <w:rsid w:val="002C0B5C"/>
    <w:rsid w:val="002C2AAC"/>
    <w:rsid w:val="002C44BF"/>
    <w:rsid w:val="002C569E"/>
    <w:rsid w:val="002C6A29"/>
    <w:rsid w:val="002C7ED6"/>
    <w:rsid w:val="002D0C2C"/>
    <w:rsid w:val="002D2235"/>
    <w:rsid w:val="002E3B5A"/>
    <w:rsid w:val="002E4355"/>
    <w:rsid w:val="002E6E8B"/>
    <w:rsid w:val="002E71E5"/>
    <w:rsid w:val="002F27B1"/>
    <w:rsid w:val="002F3C4C"/>
    <w:rsid w:val="002F4026"/>
    <w:rsid w:val="002F6164"/>
    <w:rsid w:val="002F7DA7"/>
    <w:rsid w:val="00301A92"/>
    <w:rsid w:val="003023E5"/>
    <w:rsid w:val="0030254C"/>
    <w:rsid w:val="00302CB2"/>
    <w:rsid w:val="0030733E"/>
    <w:rsid w:val="0031127D"/>
    <w:rsid w:val="0031468D"/>
    <w:rsid w:val="003157B9"/>
    <w:rsid w:val="00316C19"/>
    <w:rsid w:val="00316CEA"/>
    <w:rsid w:val="003177AD"/>
    <w:rsid w:val="003178F2"/>
    <w:rsid w:val="00321B92"/>
    <w:rsid w:val="00321D9A"/>
    <w:rsid w:val="00324F35"/>
    <w:rsid w:val="0032516B"/>
    <w:rsid w:val="00325B98"/>
    <w:rsid w:val="00325FE7"/>
    <w:rsid w:val="003270FA"/>
    <w:rsid w:val="00331047"/>
    <w:rsid w:val="00333385"/>
    <w:rsid w:val="00336890"/>
    <w:rsid w:val="00341F93"/>
    <w:rsid w:val="003427CC"/>
    <w:rsid w:val="003429B0"/>
    <w:rsid w:val="00344831"/>
    <w:rsid w:val="00344EAA"/>
    <w:rsid w:val="0034517F"/>
    <w:rsid w:val="00352216"/>
    <w:rsid w:val="00360279"/>
    <w:rsid w:val="003635C5"/>
    <w:rsid w:val="00365B1D"/>
    <w:rsid w:val="00366A77"/>
    <w:rsid w:val="00370181"/>
    <w:rsid w:val="00371037"/>
    <w:rsid w:val="00372098"/>
    <w:rsid w:val="00372D69"/>
    <w:rsid w:val="0037544D"/>
    <w:rsid w:val="0037620D"/>
    <w:rsid w:val="00376694"/>
    <w:rsid w:val="00377D07"/>
    <w:rsid w:val="00386091"/>
    <w:rsid w:val="00386679"/>
    <w:rsid w:val="003866F4"/>
    <w:rsid w:val="00394262"/>
    <w:rsid w:val="003A2A7F"/>
    <w:rsid w:val="003A3BF3"/>
    <w:rsid w:val="003A401A"/>
    <w:rsid w:val="003A5B41"/>
    <w:rsid w:val="003A7A3E"/>
    <w:rsid w:val="003B1840"/>
    <w:rsid w:val="003B1998"/>
    <w:rsid w:val="003B39D3"/>
    <w:rsid w:val="003B5712"/>
    <w:rsid w:val="003C042E"/>
    <w:rsid w:val="003C559C"/>
    <w:rsid w:val="003C5771"/>
    <w:rsid w:val="003C6C51"/>
    <w:rsid w:val="003C70EB"/>
    <w:rsid w:val="003C7DCC"/>
    <w:rsid w:val="003D0472"/>
    <w:rsid w:val="003D2ACA"/>
    <w:rsid w:val="003D517E"/>
    <w:rsid w:val="003D562C"/>
    <w:rsid w:val="003E24A1"/>
    <w:rsid w:val="003E4050"/>
    <w:rsid w:val="003E414E"/>
    <w:rsid w:val="003E6B70"/>
    <w:rsid w:val="003E6BA5"/>
    <w:rsid w:val="003F0603"/>
    <w:rsid w:val="003F3954"/>
    <w:rsid w:val="003F5092"/>
    <w:rsid w:val="0040069A"/>
    <w:rsid w:val="00405B03"/>
    <w:rsid w:val="0041363D"/>
    <w:rsid w:val="00414AF4"/>
    <w:rsid w:val="00416474"/>
    <w:rsid w:val="004224ED"/>
    <w:rsid w:val="00426D69"/>
    <w:rsid w:val="00427173"/>
    <w:rsid w:val="00430127"/>
    <w:rsid w:val="00431A4B"/>
    <w:rsid w:val="00432604"/>
    <w:rsid w:val="00433BBC"/>
    <w:rsid w:val="004348ED"/>
    <w:rsid w:val="00434E0F"/>
    <w:rsid w:val="00436D24"/>
    <w:rsid w:val="00443E0A"/>
    <w:rsid w:val="00444453"/>
    <w:rsid w:val="00452089"/>
    <w:rsid w:val="0045382E"/>
    <w:rsid w:val="0045515A"/>
    <w:rsid w:val="00464497"/>
    <w:rsid w:val="004676CD"/>
    <w:rsid w:val="0046790C"/>
    <w:rsid w:val="00475121"/>
    <w:rsid w:val="004753E2"/>
    <w:rsid w:val="0047552A"/>
    <w:rsid w:val="00475C98"/>
    <w:rsid w:val="004803F5"/>
    <w:rsid w:val="00481AA9"/>
    <w:rsid w:val="00481B87"/>
    <w:rsid w:val="00483438"/>
    <w:rsid w:val="00487710"/>
    <w:rsid w:val="00487757"/>
    <w:rsid w:val="0049426B"/>
    <w:rsid w:val="004A1154"/>
    <w:rsid w:val="004A1837"/>
    <w:rsid w:val="004A1D99"/>
    <w:rsid w:val="004A6D70"/>
    <w:rsid w:val="004B5DDA"/>
    <w:rsid w:val="004B672E"/>
    <w:rsid w:val="004C1C0D"/>
    <w:rsid w:val="004C2433"/>
    <w:rsid w:val="004C2D4D"/>
    <w:rsid w:val="004C4DDA"/>
    <w:rsid w:val="004C557E"/>
    <w:rsid w:val="004D0283"/>
    <w:rsid w:val="004D0E41"/>
    <w:rsid w:val="004D23A1"/>
    <w:rsid w:val="004D376D"/>
    <w:rsid w:val="004D4E75"/>
    <w:rsid w:val="004E0C96"/>
    <w:rsid w:val="004E3EFF"/>
    <w:rsid w:val="004F2130"/>
    <w:rsid w:val="004F4999"/>
    <w:rsid w:val="004F58B5"/>
    <w:rsid w:val="004F63F6"/>
    <w:rsid w:val="004F766B"/>
    <w:rsid w:val="00501150"/>
    <w:rsid w:val="005021EB"/>
    <w:rsid w:val="00502831"/>
    <w:rsid w:val="00503AB1"/>
    <w:rsid w:val="005043FE"/>
    <w:rsid w:val="00505849"/>
    <w:rsid w:val="005058E8"/>
    <w:rsid w:val="00505B82"/>
    <w:rsid w:val="005109C0"/>
    <w:rsid w:val="00516A96"/>
    <w:rsid w:val="00517393"/>
    <w:rsid w:val="005175E3"/>
    <w:rsid w:val="005202B7"/>
    <w:rsid w:val="00520EAD"/>
    <w:rsid w:val="005233F9"/>
    <w:rsid w:val="00526686"/>
    <w:rsid w:val="00530AD1"/>
    <w:rsid w:val="0053186C"/>
    <w:rsid w:val="0054239E"/>
    <w:rsid w:val="005444DB"/>
    <w:rsid w:val="00544C67"/>
    <w:rsid w:val="00544EC0"/>
    <w:rsid w:val="00546C8E"/>
    <w:rsid w:val="0055028B"/>
    <w:rsid w:val="0055229E"/>
    <w:rsid w:val="00552F6E"/>
    <w:rsid w:val="00554F51"/>
    <w:rsid w:val="00557650"/>
    <w:rsid w:val="005578C9"/>
    <w:rsid w:val="00561AD6"/>
    <w:rsid w:val="00563595"/>
    <w:rsid w:val="005648D2"/>
    <w:rsid w:val="00566B24"/>
    <w:rsid w:val="00567707"/>
    <w:rsid w:val="00567EFC"/>
    <w:rsid w:val="00570E39"/>
    <w:rsid w:val="005711EB"/>
    <w:rsid w:val="00571AA7"/>
    <w:rsid w:val="00572843"/>
    <w:rsid w:val="005735E7"/>
    <w:rsid w:val="00573812"/>
    <w:rsid w:val="005746EF"/>
    <w:rsid w:val="00583148"/>
    <w:rsid w:val="00584821"/>
    <w:rsid w:val="0058572B"/>
    <w:rsid w:val="005866F2"/>
    <w:rsid w:val="00586AD7"/>
    <w:rsid w:val="00590AF6"/>
    <w:rsid w:val="0059173F"/>
    <w:rsid w:val="0059675B"/>
    <w:rsid w:val="005A0770"/>
    <w:rsid w:val="005A2EA9"/>
    <w:rsid w:val="005A5A52"/>
    <w:rsid w:val="005A70B9"/>
    <w:rsid w:val="005B1629"/>
    <w:rsid w:val="005B1DAB"/>
    <w:rsid w:val="005B222D"/>
    <w:rsid w:val="005B681F"/>
    <w:rsid w:val="005B7889"/>
    <w:rsid w:val="005C65C2"/>
    <w:rsid w:val="005C7BF9"/>
    <w:rsid w:val="005D0363"/>
    <w:rsid w:val="005D0A8C"/>
    <w:rsid w:val="005D1F21"/>
    <w:rsid w:val="005D74D3"/>
    <w:rsid w:val="005F177E"/>
    <w:rsid w:val="005F2D90"/>
    <w:rsid w:val="005F63C6"/>
    <w:rsid w:val="006024A4"/>
    <w:rsid w:val="00602930"/>
    <w:rsid w:val="00603C48"/>
    <w:rsid w:val="006041E5"/>
    <w:rsid w:val="00607807"/>
    <w:rsid w:val="006101CF"/>
    <w:rsid w:val="0061088B"/>
    <w:rsid w:val="00612862"/>
    <w:rsid w:val="006141B6"/>
    <w:rsid w:val="00614304"/>
    <w:rsid w:val="00616BC5"/>
    <w:rsid w:val="0062043B"/>
    <w:rsid w:val="00620C23"/>
    <w:rsid w:val="00621B37"/>
    <w:rsid w:val="00621E5F"/>
    <w:rsid w:val="00622C75"/>
    <w:rsid w:val="00630C8C"/>
    <w:rsid w:val="00630CCD"/>
    <w:rsid w:val="006322A6"/>
    <w:rsid w:val="006373D4"/>
    <w:rsid w:val="006379D0"/>
    <w:rsid w:val="006415E4"/>
    <w:rsid w:val="00643BB2"/>
    <w:rsid w:val="00645FF4"/>
    <w:rsid w:val="006502A9"/>
    <w:rsid w:val="00653E73"/>
    <w:rsid w:val="00661997"/>
    <w:rsid w:val="00661CD8"/>
    <w:rsid w:val="00661DD1"/>
    <w:rsid w:val="006647CA"/>
    <w:rsid w:val="0066618C"/>
    <w:rsid w:val="00667C69"/>
    <w:rsid w:val="00670E34"/>
    <w:rsid w:val="00672AB3"/>
    <w:rsid w:val="00674754"/>
    <w:rsid w:val="00674A42"/>
    <w:rsid w:val="006802BC"/>
    <w:rsid w:val="00680916"/>
    <w:rsid w:val="00680988"/>
    <w:rsid w:val="006810E0"/>
    <w:rsid w:val="0068119A"/>
    <w:rsid w:val="00681D5B"/>
    <w:rsid w:val="00682816"/>
    <w:rsid w:val="00683755"/>
    <w:rsid w:val="00686EA4"/>
    <w:rsid w:val="00695E41"/>
    <w:rsid w:val="006964DD"/>
    <w:rsid w:val="006A09A0"/>
    <w:rsid w:val="006A1450"/>
    <w:rsid w:val="006A22F9"/>
    <w:rsid w:val="006B08DD"/>
    <w:rsid w:val="006B2EFA"/>
    <w:rsid w:val="006B60B0"/>
    <w:rsid w:val="006C1D45"/>
    <w:rsid w:val="006D0542"/>
    <w:rsid w:val="006D35B3"/>
    <w:rsid w:val="006D4F55"/>
    <w:rsid w:val="006D6166"/>
    <w:rsid w:val="006D64B5"/>
    <w:rsid w:val="006D6832"/>
    <w:rsid w:val="006D7DC8"/>
    <w:rsid w:val="006E22CC"/>
    <w:rsid w:val="006E255F"/>
    <w:rsid w:val="006E57B2"/>
    <w:rsid w:val="006F195B"/>
    <w:rsid w:val="006F2DD9"/>
    <w:rsid w:val="006F651A"/>
    <w:rsid w:val="00707DB1"/>
    <w:rsid w:val="007117B6"/>
    <w:rsid w:val="00712FBF"/>
    <w:rsid w:val="007137F2"/>
    <w:rsid w:val="00714D2B"/>
    <w:rsid w:val="007176AA"/>
    <w:rsid w:val="00721951"/>
    <w:rsid w:val="00721CFE"/>
    <w:rsid w:val="00722A90"/>
    <w:rsid w:val="00727BB6"/>
    <w:rsid w:val="00730005"/>
    <w:rsid w:val="007319E0"/>
    <w:rsid w:val="00741392"/>
    <w:rsid w:val="0074265D"/>
    <w:rsid w:val="007428F7"/>
    <w:rsid w:val="00744534"/>
    <w:rsid w:val="00750887"/>
    <w:rsid w:val="00750F4E"/>
    <w:rsid w:val="007522F4"/>
    <w:rsid w:val="00752C71"/>
    <w:rsid w:val="00753437"/>
    <w:rsid w:val="007557FB"/>
    <w:rsid w:val="00756A0B"/>
    <w:rsid w:val="007606DA"/>
    <w:rsid w:val="00761DDA"/>
    <w:rsid w:val="007634F5"/>
    <w:rsid w:val="00763C98"/>
    <w:rsid w:val="00766B05"/>
    <w:rsid w:val="00772447"/>
    <w:rsid w:val="00774913"/>
    <w:rsid w:val="00775B66"/>
    <w:rsid w:val="0078007F"/>
    <w:rsid w:val="00781EC7"/>
    <w:rsid w:val="00782133"/>
    <w:rsid w:val="007836F2"/>
    <w:rsid w:val="00787ADD"/>
    <w:rsid w:val="00790870"/>
    <w:rsid w:val="00791729"/>
    <w:rsid w:val="007930F1"/>
    <w:rsid w:val="007940EA"/>
    <w:rsid w:val="0079483A"/>
    <w:rsid w:val="00796027"/>
    <w:rsid w:val="0079632C"/>
    <w:rsid w:val="0079705E"/>
    <w:rsid w:val="007A0E8D"/>
    <w:rsid w:val="007A14FC"/>
    <w:rsid w:val="007A1F34"/>
    <w:rsid w:val="007A35AE"/>
    <w:rsid w:val="007A3DC6"/>
    <w:rsid w:val="007A48E3"/>
    <w:rsid w:val="007A527D"/>
    <w:rsid w:val="007A7141"/>
    <w:rsid w:val="007B125E"/>
    <w:rsid w:val="007B5327"/>
    <w:rsid w:val="007B7D2F"/>
    <w:rsid w:val="007C2007"/>
    <w:rsid w:val="007C3645"/>
    <w:rsid w:val="007C4A43"/>
    <w:rsid w:val="007C5934"/>
    <w:rsid w:val="007C7D66"/>
    <w:rsid w:val="007C7D9F"/>
    <w:rsid w:val="007D06D7"/>
    <w:rsid w:val="007D0CB8"/>
    <w:rsid w:val="007D1666"/>
    <w:rsid w:val="007D1F6E"/>
    <w:rsid w:val="007D5CBD"/>
    <w:rsid w:val="007D7633"/>
    <w:rsid w:val="007E4675"/>
    <w:rsid w:val="007F1987"/>
    <w:rsid w:val="007F22FD"/>
    <w:rsid w:val="007F4039"/>
    <w:rsid w:val="007F4E71"/>
    <w:rsid w:val="007F6628"/>
    <w:rsid w:val="00801366"/>
    <w:rsid w:val="00803514"/>
    <w:rsid w:val="00806ABC"/>
    <w:rsid w:val="008072C5"/>
    <w:rsid w:val="00807B23"/>
    <w:rsid w:val="00810702"/>
    <w:rsid w:val="00811968"/>
    <w:rsid w:val="00812695"/>
    <w:rsid w:val="00812D19"/>
    <w:rsid w:val="00815B25"/>
    <w:rsid w:val="00817964"/>
    <w:rsid w:val="00817A49"/>
    <w:rsid w:val="00820705"/>
    <w:rsid w:val="00824924"/>
    <w:rsid w:val="00826040"/>
    <w:rsid w:val="00826A95"/>
    <w:rsid w:val="00831207"/>
    <w:rsid w:val="00837A95"/>
    <w:rsid w:val="008415B3"/>
    <w:rsid w:val="00843C29"/>
    <w:rsid w:val="00844CE5"/>
    <w:rsid w:val="00845EC3"/>
    <w:rsid w:val="00845ED9"/>
    <w:rsid w:val="0085144A"/>
    <w:rsid w:val="00851F23"/>
    <w:rsid w:val="00854CB9"/>
    <w:rsid w:val="00860740"/>
    <w:rsid w:val="008618B2"/>
    <w:rsid w:val="008619B1"/>
    <w:rsid w:val="008629B2"/>
    <w:rsid w:val="0086531F"/>
    <w:rsid w:val="0086628A"/>
    <w:rsid w:val="00867983"/>
    <w:rsid w:val="008703E4"/>
    <w:rsid w:val="008718D6"/>
    <w:rsid w:val="00872B7D"/>
    <w:rsid w:val="00873B73"/>
    <w:rsid w:val="00873FD5"/>
    <w:rsid w:val="00876E90"/>
    <w:rsid w:val="008800D6"/>
    <w:rsid w:val="00882806"/>
    <w:rsid w:val="00882842"/>
    <w:rsid w:val="00884F02"/>
    <w:rsid w:val="008862AC"/>
    <w:rsid w:val="00892DAF"/>
    <w:rsid w:val="00893DBB"/>
    <w:rsid w:val="00896313"/>
    <w:rsid w:val="008971B9"/>
    <w:rsid w:val="008A0EB0"/>
    <w:rsid w:val="008A2F9B"/>
    <w:rsid w:val="008A4805"/>
    <w:rsid w:val="008B006C"/>
    <w:rsid w:val="008B094E"/>
    <w:rsid w:val="008B14CC"/>
    <w:rsid w:val="008B2DD1"/>
    <w:rsid w:val="008B3358"/>
    <w:rsid w:val="008B5207"/>
    <w:rsid w:val="008B5389"/>
    <w:rsid w:val="008B6618"/>
    <w:rsid w:val="008B7313"/>
    <w:rsid w:val="008C09EF"/>
    <w:rsid w:val="008C3732"/>
    <w:rsid w:val="008C4554"/>
    <w:rsid w:val="008C48BF"/>
    <w:rsid w:val="008C56B5"/>
    <w:rsid w:val="008C6172"/>
    <w:rsid w:val="008D06FA"/>
    <w:rsid w:val="008D15F3"/>
    <w:rsid w:val="008D1DCD"/>
    <w:rsid w:val="008D2319"/>
    <w:rsid w:val="008D2890"/>
    <w:rsid w:val="008D4D7D"/>
    <w:rsid w:val="008D4DFC"/>
    <w:rsid w:val="008D58EC"/>
    <w:rsid w:val="008E36F7"/>
    <w:rsid w:val="008E6435"/>
    <w:rsid w:val="008F3AC9"/>
    <w:rsid w:val="008F4E6D"/>
    <w:rsid w:val="008F5706"/>
    <w:rsid w:val="008F7C35"/>
    <w:rsid w:val="00900922"/>
    <w:rsid w:val="0090446E"/>
    <w:rsid w:val="0090666B"/>
    <w:rsid w:val="00906C10"/>
    <w:rsid w:val="00911496"/>
    <w:rsid w:val="00911B98"/>
    <w:rsid w:val="00920013"/>
    <w:rsid w:val="00925457"/>
    <w:rsid w:val="009264A8"/>
    <w:rsid w:val="00926A97"/>
    <w:rsid w:val="00931AF0"/>
    <w:rsid w:val="00932FC1"/>
    <w:rsid w:val="009356B8"/>
    <w:rsid w:val="00935EC1"/>
    <w:rsid w:val="009435C0"/>
    <w:rsid w:val="00944C8B"/>
    <w:rsid w:val="009450A3"/>
    <w:rsid w:val="00946808"/>
    <w:rsid w:val="00955F91"/>
    <w:rsid w:val="00956DC2"/>
    <w:rsid w:val="0095703D"/>
    <w:rsid w:val="00962D39"/>
    <w:rsid w:val="009630B4"/>
    <w:rsid w:val="009642C7"/>
    <w:rsid w:val="00965B6A"/>
    <w:rsid w:val="00966377"/>
    <w:rsid w:val="009664FC"/>
    <w:rsid w:val="00967129"/>
    <w:rsid w:val="0097093D"/>
    <w:rsid w:val="009735E1"/>
    <w:rsid w:val="00983245"/>
    <w:rsid w:val="00983384"/>
    <w:rsid w:val="00983E8B"/>
    <w:rsid w:val="00985902"/>
    <w:rsid w:val="00986AD4"/>
    <w:rsid w:val="00991153"/>
    <w:rsid w:val="009929FC"/>
    <w:rsid w:val="00994298"/>
    <w:rsid w:val="00995027"/>
    <w:rsid w:val="00996CF8"/>
    <w:rsid w:val="009A0134"/>
    <w:rsid w:val="009A021A"/>
    <w:rsid w:val="009A0DAA"/>
    <w:rsid w:val="009A1AE3"/>
    <w:rsid w:val="009A799E"/>
    <w:rsid w:val="009B1756"/>
    <w:rsid w:val="009B17F3"/>
    <w:rsid w:val="009B2E7C"/>
    <w:rsid w:val="009B3475"/>
    <w:rsid w:val="009B5551"/>
    <w:rsid w:val="009C0BB2"/>
    <w:rsid w:val="009C3EFA"/>
    <w:rsid w:val="009C4557"/>
    <w:rsid w:val="009C50A4"/>
    <w:rsid w:val="009D2BC7"/>
    <w:rsid w:val="009D309B"/>
    <w:rsid w:val="009D4180"/>
    <w:rsid w:val="009D46BB"/>
    <w:rsid w:val="009D4B26"/>
    <w:rsid w:val="009D7566"/>
    <w:rsid w:val="009E286B"/>
    <w:rsid w:val="009E3BD1"/>
    <w:rsid w:val="009E4BB3"/>
    <w:rsid w:val="009E4BCB"/>
    <w:rsid w:val="009E659B"/>
    <w:rsid w:val="009E6C75"/>
    <w:rsid w:val="009E7B7A"/>
    <w:rsid w:val="009F2034"/>
    <w:rsid w:val="009F5048"/>
    <w:rsid w:val="009F6495"/>
    <w:rsid w:val="00A014AE"/>
    <w:rsid w:val="00A0346A"/>
    <w:rsid w:val="00A03871"/>
    <w:rsid w:val="00A04094"/>
    <w:rsid w:val="00A05C2D"/>
    <w:rsid w:val="00A0723E"/>
    <w:rsid w:val="00A10726"/>
    <w:rsid w:val="00A15E27"/>
    <w:rsid w:val="00A20564"/>
    <w:rsid w:val="00A24D80"/>
    <w:rsid w:val="00A267EA"/>
    <w:rsid w:val="00A3087A"/>
    <w:rsid w:val="00A33E9D"/>
    <w:rsid w:val="00A35D33"/>
    <w:rsid w:val="00A43821"/>
    <w:rsid w:val="00A46070"/>
    <w:rsid w:val="00A53DBE"/>
    <w:rsid w:val="00A556A1"/>
    <w:rsid w:val="00A57B74"/>
    <w:rsid w:val="00A614F8"/>
    <w:rsid w:val="00A629AB"/>
    <w:rsid w:val="00A62AED"/>
    <w:rsid w:val="00A65022"/>
    <w:rsid w:val="00A65BA8"/>
    <w:rsid w:val="00A67430"/>
    <w:rsid w:val="00A67520"/>
    <w:rsid w:val="00A70B0A"/>
    <w:rsid w:val="00A729A9"/>
    <w:rsid w:val="00A743D7"/>
    <w:rsid w:val="00A745F3"/>
    <w:rsid w:val="00A76E87"/>
    <w:rsid w:val="00A76F05"/>
    <w:rsid w:val="00A827C5"/>
    <w:rsid w:val="00A82BDF"/>
    <w:rsid w:val="00A87B30"/>
    <w:rsid w:val="00A91EE5"/>
    <w:rsid w:val="00A95B56"/>
    <w:rsid w:val="00A971F9"/>
    <w:rsid w:val="00AA3493"/>
    <w:rsid w:val="00AB483A"/>
    <w:rsid w:val="00AB56D7"/>
    <w:rsid w:val="00AB6C47"/>
    <w:rsid w:val="00AC20FC"/>
    <w:rsid w:val="00AC37AE"/>
    <w:rsid w:val="00AC44AA"/>
    <w:rsid w:val="00AC54E5"/>
    <w:rsid w:val="00AC5CBF"/>
    <w:rsid w:val="00AC6A4B"/>
    <w:rsid w:val="00AC6D98"/>
    <w:rsid w:val="00AD0D6F"/>
    <w:rsid w:val="00AD238F"/>
    <w:rsid w:val="00AD2DDA"/>
    <w:rsid w:val="00AD5158"/>
    <w:rsid w:val="00AD75BC"/>
    <w:rsid w:val="00AE22C3"/>
    <w:rsid w:val="00AE631C"/>
    <w:rsid w:val="00AE6B53"/>
    <w:rsid w:val="00AE79C0"/>
    <w:rsid w:val="00AF0B4B"/>
    <w:rsid w:val="00AF17B7"/>
    <w:rsid w:val="00AF1A84"/>
    <w:rsid w:val="00AF65E7"/>
    <w:rsid w:val="00B02D8F"/>
    <w:rsid w:val="00B036B7"/>
    <w:rsid w:val="00B10CBE"/>
    <w:rsid w:val="00B10D20"/>
    <w:rsid w:val="00B1137A"/>
    <w:rsid w:val="00B211A2"/>
    <w:rsid w:val="00B274CC"/>
    <w:rsid w:val="00B30926"/>
    <w:rsid w:val="00B31300"/>
    <w:rsid w:val="00B3370F"/>
    <w:rsid w:val="00B35073"/>
    <w:rsid w:val="00B418F7"/>
    <w:rsid w:val="00B41B8E"/>
    <w:rsid w:val="00B45448"/>
    <w:rsid w:val="00B4627F"/>
    <w:rsid w:val="00B553F9"/>
    <w:rsid w:val="00B55EE0"/>
    <w:rsid w:val="00B5692D"/>
    <w:rsid w:val="00B56F5C"/>
    <w:rsid w:val="00B60012"/>
    <w:rsid w:val="00B6473F"/>
    <w:rsid w:val="00B660B7"/>
    <w:rsid w:val="00B67BED"/>
    <w:rsid w:val="00B67CE9"/>
    <w:rsid w:val="00B737FC"/>
    <w:rsid w:val="00B75028"/>
    <w:rsid w:val="00B75811"/>
    <w:rsid w:val="00B75838"/>
    <w:rsid w:val="00B81436"/>
    <w:rsid w:val="00B8613D"/>
    <w:rsid w:val="00B912E2"/>
    <w:rsid w:val="00B933CF"/>
    <w:rsid w:val="00B96FC2"/>
    <w:rsid w:val="00B9775E"/>
    <w:rsid w:val="00BA22AB"/>
    <w:rsid w:val="00BA42BD"/>
    <w:rsid w:val="00BA4E03"/>
    <w:rsid w:val="00BA645F"/>
    <w:rsid w:val="00BB06D0"/>
    <w:rsid w:val="00BB0FE6"/>
    <w:rsid w:val="00BB2922"/>
    <w:rsid w:val="00BB29ED"/>
    <w:rsid w:val="00BB38FD"/>
    <w:rsid w:val="00BB413B"/>
    <w:rsid w:val="00BB56D9"/>
    <w:rsid w:val="00BB592D"/>
    <w:rsid w:val="00BB7B9F"/>
    <w:rsid w:val="00BC0A9C"/>
    <w:rsid w:val="00BD020A"/>
    <w:rsid w:val="00BE09BE"/>
    <w:rsid w:val="00BE09E1"/>
    <w:rsid w:val="00BE33E4"/>
    <w:rsid w:val="00BE37BD"/>
    <w:rsid w:val="00BE4711"/>
    <w:rsid w:val="00BE586B"/>
    <w:rsid w:val="00BF4178"/>
    <w:rsid w:val="00C00067"/>
    <w:rsid w:val="00C002CB"/>
    <w:rsid w:val="00C02069"/>
    <w:rsid w:val="00C0316C"/>
    <w:rsid w:val="00C03A94"/>
    <w:rsid w:val="00C05A1A"/>
    <w:rsid w:val="00C10F7B"/>
    <w:rsid w:val="00C12CAF"/>
    <w:rsid w:val="00C152D6"/>
    <w:rsid w:val="00C16D34"/>
    <w:rsid w:val="00C170A8"/>
    <w:rsid w:val="00C175B3"/>
    <w:rsid w:val="00C17771"/>
    <w:rsid w:val="00C17E3F"/>
    <w:rsid w:val="00C2095A"/>
    <w:rsid w:val="00C23A65"/>
    <w:rsid w:val="00C2655D"/>
    <w:rsid w:val="00C2778F"/>
    <w:rsid w:val="00C33E37"/>
    <w:rsid w:val="00C3453E"/>
    <w:rsid w:val="00C356C7"/>
    <w:rsid w:val="00C41B50"/>
    <w:rsid w:val="00C4721F"/>
    <w:rsid w:val="00C47736"/>
    <w:rsid w:val="00C531E9"/>
    <w:rsid w:val="00C53A81"/>
    <w:rsid w:val="00C55279"/>
    <w:rsid w:val="00C56666"/>
    <w:rsid w:val="00C648E5"/>
    <w:rsid w:val="00C65FA2"/>
    <w:rsid w:val="00C746A9"/>
    <w:rsid w:val="00C769D3"/>
    <w:rsid w:val="00C774EE"/>
    <w:rsid w:val="00C77508"/>
    <w:rsid w:val="00C80A24"/>
    <w:rsid w:val="00C80D61"/>
    <w:rsid w:val="00C82A6F"/>
    <w:rsid w:val="00C8529C"/>
    <w:rsid w:val="00C85456"/>
    <w:rsid w:val="00C910FB"/>
    <w:rsid w:val="00C94207"/>
    <w:rsid w:val="00C9500D"/>
    <w:rsid w:val="00CA02BB"/>
    <w:rsid w:val="00CA034D"/>
    <w:rsid w:val="00CA0E5A"/>
    <w:rsid w:val="00CA177C"/>
    <w:rsid w:val="00CA44CF"/>
    <w:rsid w:val="00CA6687"/>
    <w:rsid w:val="00CA77C8"/>
    <w:rsid w:val="00CB2BB4"/>
    <w:rsid w:val="00CB3045"/>
    <w:rsid w:val="00CB448B"/>
    <w:rsid w:val="00CB684E"/>
    <w:rsid w:val="00CC1698"/>
    <w:rsid w:val="00CC2B02"/>
    <w:rsid w:val="00CC2EBB"/>
    <w:rsid w:val="00CC3868"/>
    <w:rsid w:val="00CC48D9"/>
    <w:rsid w:val="00CD081A"/>
    <w:rsid w:val="00CE5E77"/>
    <w:rsid w:val="00CF0EBD"/>
    <w:rsid w:val="00CF3EFA"/>
    <w:rsid w:val="00CF44D4"/>
    <w:rsid w:val="00CF56E2"/>
    <w:rsid w:val="00CF5747"/>
    <w:rsid w:val="00CF77EB"/>
    <w:rsid w:val="00D00DCB"/>
    <w:rsid w:val="00D02EEF"/>
    <w:rsid w:val="00D03124"/>
    <w:rsid w:val="00D04EA0"/>
    <w:rsid w:val="00D0736A"/>
    <w:rsid w:val="00D102CC"/>
    <w:rsid w:val="00D1055D"/>
    <w:rsid w:val="00D129A4"/>
    <w:rsid w:val="00D17A1E"/>
    <w:rsid w:val="00D20105"/>
    <w:rsid w:val="00D20B63"/>
    <w:rsid w:val="00D219FB"/>
    <w:rsid w:val="00D312A4"/>
    <w:rsid w:val="00D32298"/>
    <w:rsid w:val="00D32B88"/>
    <w:rsid w:val="00D36BC1"/>
    <w:rsid w:val="00D375F0"/>
    <w:rsid w:val="00D430C0"/>
    <w:rsid w:val="00D46F5B"/>
    <w:rsid w:val="00D474A1"/>
    <w:rsid w:val="00D5017B"/>
    <w:rsid w:val="00D513D6"/>
    <w:rsid w:val="00D553C4"/>
    <w:rsid w:val="00D6033B"/>
    <w:rsid w:val="00D6038F"/>
    <w:rsid w:val="00D66790"/>
    <w:rsid w:val="00D70682"/>
    <w:rsid w:val="00D72881"/>
    <w:rsid w:val="00D750EB"/>
    <w:rsid w:val="00D76129"/>
    <w:rsid w:val="00D80A9D"/>
    <w:rsid w:val="00D82DF8"/>
    <w:rsid w:val="00D9122A"/>
    <w:rsid w:val="00D93101"/>
    <w:rsid w:val="00D93459"/>
    <w:rsid w:val="00D9465D"/>
    <w:rsid w:val="00D96433"/>
    <w:rsid w:val="00D96483"/>
    <w:rsid w:val="00DA33CA"/>
    <w:rsid w:val="00DA3AD9"/>
    <w:rsid w:val="00DA42EF"/>
    <w:rsid w:val="00DA44AD"/>
    <w:rsid w:val="00DB1F78"/>
    <w:rsid w:val="00DB2938"/>
    <w:rsid w:val="00DB47F9"/>
    <w:rsid w:val="00DC0971"/>
    <w:rsid w:val="00DC0C8A"/>
    <w:rsid w:val="00DC2252"/>
    <w:rsid w:val="00DC2762"/>
    <w:rsid w:val="00DC28C4"/>
    <w:rsid w:val="00DC2A51"/>
    <w:rsid w:val="00DC2FDA"/>
    <w:rsid w:val="00DC2FE3"/>
    <w:rsid w:val="00DC572C"/>
    <w:rsid w:val="00DC5D82"/>
    <w:rsid w:val="00DC768F"/>
    <w:rsid w:val="00DD01F5"/>
    <w:rsid w:val="00DD258B"/>
    <w:rsid w:val="00DD46E5"/>
    <w:rsid w:val="00DD4A6E"/>
    <w:rsid w:val="00DD54DB"/>
    <w:rsid w:val="00DD78E6"/>
    <w:rsid w:val="00DE1433"/>
    <w:rsid w:val="00DE1BEA"/>
    <w:rsid w:val="00DE32B1"/>
    <w:rsid w:val="00DE6C26"/>
    <w:rsid w:val="00DF051C"/>
    <w:rsid w:val="00DF06CE"/>
    <w:rsid w:val="00DF1A85"/>
    <w:rsid w:val="00DF25AD"/>
    <w:rsid w:val="00DF39F4"/>
    <w:rsid w:val="00DF78D7"/>
    <w:rsid w:val="00E01EFE"/>
    <w:rsid w:val="00E03003"/>
    <w:rsid w:val="00E0333C"/>
    <w:rsid w:val="00E039BC"/>
    <w:rsid w:val="00E1087C"/>
    <w:rsid w:val="00E14319"/>
    <w:rsid w:val="00E23902"/>
    <w:rsid w:val="00E25F17"/>
    <w:rsid w:val="00E2682F"/>
    <w:rsid w:val="00E30258"/>
    <w:rsid w:val="00E322B1"/>
    <w:rsid w:val="00E32E18"/>
    <w:rsid w:val="00E33967"/>
    <w:rsid w:val="00E33F4F"/>
    <w:rsid w:val="00E364F9"/>
    <w:rsid w:val="00E53717"/>
    <w:rsid w:val="00E53757"/>
    <w:rsid w:val="00E55B24"/>
    <w:rsid w:val="00E61929"/>
    <w:rsid w:val="00E6252C"/>
    <w:rsid w:val="00E64D42"/>
    <w:rsid w:val="00E65F12"/>
    <w:rsid w:val="00E70930"/>
    <w:rsid w:val="00E73D24"/>
    <w:rsid w:val="00E742A3"/>
    <w:rsid w:val="00E75763"/>
    <w:rsid w:val="00E7635C"/>
    <w:rsid w:val="00E76EA0"/>
    <w:rsid w:val="00E8074C"/>
    <w:rsid w:val="00E8118A"/>
    <w:rsid w:val="00E811DB"/>
    <w:rsid w:val="00E85440"/>
    <w:rsid w:val="00E902D8"/>
    <w:rsid w:val="00E94047"/>
    <w:rsid w:val="00E949A8"/>
    <w:rsid w:val="00E96978"/>
    <w:rsid w:val="00E96B27"/>
    <w:rsid w:val="00E9734F"/>
    <w:rsid w:val="00E97D5A"/>
    <w:rsid w:val="00EA0D9E"/>
    <w:rsid w:val="00EA24C2"/>
    <w:rsid w:val="00EB0C33"/>
    <w:rsid w:val="00EB370A"/>
    <w:rsid w:val="00EB39B9"/>
    <w:rsid w:val="00EB3EED"/>
    <w:rsid w:val="00EB6FB0"/>
    <w:rsid w:val="00EC0CC3"/>
    <w:rsid w:val="00EC2092"/>
    <w:rsid w:val="00EC3160"/>
    <w:rsid w:val="00EC3894"/>
    <w:rsid w:val="00EC53C3"/>
    <w:rsid w:val="00EC5424"/>
    <w:rsid w:val="00EC69AE"/>
    <w:rsid w:val="00ED1D72"/>
    <w:rsid w:val="00ED26A9"/>
    <w:rsid w:val="00ED3BEE"/>
    <w:rsid w:val="00ED5B4E"/>
    <w:rsid w:val="00ED7DF4"/>
    <w:rsid w:val="00EF40C9"/>
    <w:rsid w:val="00EF59F8"/>
    <w:rsid w:val="00F03BA3"/>
    <w:rsid w:val="00F04226"/>
    <w:rsid w:val="00F10300"/>
    <w:rsid w:val="00F108FD"/>
    <w:rsid w:val="00F129F9"/>
    <w:rsid w:val="00F141C1"/>
    <w:rsid w:val="00F15A3F"/>
    <w:rsid w:val="00F16CED"/>
    <w:rsid w:val="00F20161"/>
    <w:rsid w:val="00F21C95"/>
    <w:rsid w:val="00F2544D"/>
    <w:rsid w:val="00F2661C"/>
    <w:rsid w:val="00F26D60"/>
    <w:rsid w:val="00F27D05"/>
    <w:rsid w:val="00F31ABF"/>
    <w:rsid w:val="00F32875"/>
    <w:rsid w:val="00F35D7F"/>
    <w:rsid w:val="00F374DA"/>
    <w:rsid w:val="00F40A6C"/>
    <w:rsid w:val="00F42C37"/>
    <w:rsid w:val="00F42CE3"/>
    <w:rsid w:val="00F467A6"/>
    <w:rsid w:val="00F5137A"/>
    <w:rsid w:val="00F60C59"/>
    <w:rsid w:val="00F65BF7"/>
    <w:rsid w:val="00F66F27"/>
    <w:rsid w:val="00F7504C"/>
    <w:rsid w:val="00F75518"/>
    <w:rsid w:val="00F76D52"/>
    <w:rsid w:val="00F814FE"/>
    <w:rsid w:val="00F84074"/>
    <w:rsid w:val="00F850CB"/>
    <w:rsid w:val="00F91687"/>
    <w:rsid w:val="00F92E2B"/>
    <w:rsid w:val="00F937EA"/>
    <w:rsid w:val="00FA2D0C"/>
    <w:rsid w:val="00FA3521"/>
    <w:rsid w:val="00FA66AC"/>
    <w:rsid w:val="00FA685F"/>
    <w:rsid w:val="00FA7CAA"/>
    <w:rsid w:val="00FB02F9"/>
    <w:rsid w:val="00FB0902"/>
    <w:rsid w:val="00FB7350"/>
    <w:rsid w:val="00FC1492"/>
    <w:rsid w:val="00FC20AD"/>
    <w:rsid w:val="00FC54D9"/>
    <w:rsid w:val="00FD0744"/>
    <w:rsid w:val="00FD2F6C"/>
    <w:rsid w:val="00FD4F9D"/>
    <w:rsid w:val="00FE77D5"/>
    <w:rsid w:val="00FF1A1F"/>
    <w:rsid w:val="00FF309B"/>
    <w:rsid w:val="00FF708E"/>
    <w:rsid w:val="00FF763A"/>
    <w:rsid w:val="00FF7C7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77AA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3F9"/>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53F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B553F9"/>
    <w:pPr>
      <w:tabs>
        <w:tab w:val="center" w:pos="4153"/>
        <w:tab w:val="right" w:pos="8306"/>
      </w:tabs>
    </w:pPr>
  </w:style>
  <w:style w:type="character" w:customStyle="1" w:styleId="FooterChar">
    <w:name w:val="Footer Char"/>
    <w:basedOn w:val="DefaultParagraphFont"/>
    <w:link w:val="Footer"/>
    <w:rsid w:val="00B553F9"/>
    <w:rPr>
      <w:rFonts w:ascii="Times New Roman" w:eastAsia="Times New Roman" w:hAnsi="Times New Roman" w:cs="Times New Roman"/>
      <w:kern w:val="0"/>
      <w:sz w:val="24"/>
      <w:szCs w:val="24"/>
      <w:lang w:eastAsia="ru-RU"/>
      <w14:ligatures w14:val="none"/>
    </w:rPr>
  </w:style>
  <w:style w:type="character" w:styleId="PageNumber">
    <w:name w:val="page number"/>
    <w:basedOn w:val="DefaultParagraphFont"/>
    <w:rsid w:val="00B553F9"/>
  </w:style>
  <w:style w:type="paragraph" w:customStyle="1" w:styleId="ATvirsraksts">
    <w:name w:val="AT virsraksts"/>
    <w:basedOn w:val="Normal"/>
    <w:link w:val="ATvirsrakstsChar"/>
    <w:qFormat/>
    <w:rsid w:val="00B553F9"/>
    <w:pPr>
      <w:spacing w:line="276" w:lineRule="auto"/>
      <w:jc w:val="center"/>
      <w:outlineLvl w:val="0"/>
    </w:pPr>
    <w:rPr>
      <w:b/>
    </w:rPr>
  </w:style>
  <w:style w:type="character" w:customStyle="1" w:styleId="ATvirsrakstsChar">
    <w:name w:val="AT virsraksts Char"/>
    <w:basedOn w:val="DefaultParagraphFont"/>
    <w:link w:val="ATvirsraksts"/>
    <w:rsid w:val="00B553F9"/>
    <w:rPr>
      <w:rFonts w:ascii="Times New Roman" w:eastAsia="Times New Roman" w:hAnsi="Times New Roman" w:cs="Times New Roman"/>
      <w:b/>
      <w:kern w:val="0"/>
      <w:sz w:val="24"/>
      <w:szCs w:val="24"/>
      <w:lang w:eastAsia="ru-RU"/>
      <w14:ligatures w14:val="none"/>
    </w:rPr>
  </w:style>
  <w:style w:type="character" w:styleId="Hyperlink">
    <w:name w:val="Hyperlink"/>
    <w:basedOn w:val="DefaultParagraphFont"/>
    <w:uiPriority w:val="99"/>
    <w:unhideWhenUsed/>
    <w:rsid w:val="00B553F9"/>
    <w:rPr>
      <w:color w:val="0000FF"/>
      <w:u w:val="single"/>
    </w:rPr>
  </w:style>
  <w:style w:type="character" w:styleId="UnresolvedMention">
    <w:name w:val="Unresolved Mention"/>
    <w:basedOn w:val="DefaultParagraphFont"/>
    <w:uiPriority w:val="99"/>
    <w:semiHidden/>
    <w:unhideWhenUsed/>
    <w:rsid w:val="00B553F9"/>
    <w:rPr>
      <w:color w:val="605E5C"/>
      <w:shd w:val="clear" w:color="auto" w:fill="E1DFDD"/>
    </w:rPr>
  </w:style>
  <w:style w:type="paragraph" w:customStyle="1" w:styleId="tv213">
    <w:name w:val="tv213"/>
    <w:basedOn w:val="Normal"/>
    <w:rsid w:val="00B553F9"/>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B553F9"/>
    <w:rPr>
      <w:color w:val="954F72" w:themeColor="followedHyperlink"/>
      <w:u w:val="single"/>
    </w:rPr>
  </w:style>
  <w:style w:type="character" w:styleId="CommentReference">
    <w:name w:val="annotation reference"/>
    <w:basedOn w:val="DefaultParagraphFont"/>
    <w:uiPriority w:val="99"/>
    <w:semiHidden/>
    <w:unhideWhenUsed/>
    <w:rsid w:val="00B553F9"/>
    <w:rPr>
      <w:sz w:val="16"/>
      <w:szCs w:val="16"/>
    </w:rPr>
  </w:style>
  <w:style w:type="paragraph" w:styleId="CommentText">
    <w:name w:val="annotation text"/>
    <w:basedOn w:val="Normal"/>
    <w:link w:val="CommentTextChar"/>
    <w:uiPriority w:val="99"/>
    <w:unhideWhenUsed/>
    <w:rsid w:val="00B553F9"/>
    <w:rPr>
      <w:sz w:val="20"/>
      <w:szCs w:val="20"/>
    </w:rPr>
  </w:style>
  <w:style w:type="character" w:customStyle="1" w:styleId="CommentTextChar">
    <w:name w:val="Comment Text Char"/>
    <w:basedOn w:val="DefaultParagraphFont"/>
    <w:link w:val="CommentText"/>
    <w:uiPriority w:val="99"/>
    <w:rsid w:val="00B553F9"/>
    <w:rPr>
      <w:rFonts w:ascii="Times New Roman" w:eastAsia="Times New Roman" w:hAnsi="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B553F9"/>
    <w:rPr>
      <w:b/>
      <w:bCs/>
    </w:rPr>
  </w:style>
  <w:style w:type="character" w:customStyle="1" w:styleId="CommentSubjectChar">
    <w:name w:val="Comment Subject Char"/>
    <w:basedOn w:val="CommentTextChar"/>
    <w:link w:val="CommentSubject"/>
    <w:uiPriority w:val="99"/>
    <w:semiHidden/>
    <w:rsid w:val="00B553F9"/>
    <w:rPr>
      <w:rFonts w:ascii="Times New Roman" w:eastAsia="Times New Roman" w:hAnsi="Times New Roman" w:cs="Times New Roman"/>
      <w:b/>
      <w:bCs/>
      <w:kern w:val="0"/>
      <w:sz w:val="20"/>
      <w:szCs w:val="20"/>
      <w:lang w:eastAsia="ru-RU"/>
      <w14:ligatures w14:val="none"/>
    </w:rPr>
  </w:style>
  <w:style w:type="paragraph" w:styleId="Revision">
    <w:name w:val="Revision"/>
    <w:hidden/>
    <w:uiPriority w:val="99"/>
    <w:semiHidden/>
    <w:rsid w:val="00B553F9"/>
    <w:pPr>
      <w:spacing w:after="0" w:line="240" w:lineRule="auto"/>
    </w:pPr>
    <w:rPr>
      <w:rFonts w:ascii="Times New Roman" w:eastAsia="Times New Roman" w:hAnsi="Times New Roman" w:cs="Times New Roman"/>
      <w:kern w:val="0"/>
      <w:sz w:val="24"/>
      <w:szCs w:val="24"/>
      <w:lang w:eastAsia="ru-RU"/>
      <w14:ligatures w14:val="none"/>
    </w:rPr>
  </w:style>
  <w:style w:type="paragraph" w:styleId="Header">
    <w:name w:val="header"/>
    <w:basedOn w:val="Normal"/>
    <w:link w:val="HeaderChar"/>
    <w:uiPriority w:val="99"/>
    <w:unhideWhenUsed/>
    <w:rsid w:val="00B553F9"/>
    <w:pPr>
      <w:tabs>
        <w:tab w:val="center" w:pos="4153"/>
        <w:tab w:val="right" w:pos="8306"/>
      </w:tabs>
    </w:pPr>
  </w:style>
  <w:style w:type="character" w:customStyle="1" w:styleId="HeaderChar">
    <w:name w:val="Header Char"/>
    <w:basedOn w:val="DefaultParagraphFont"/>
    <w:link w:val="Header"/>
    <w:uiPriority w:val="99"/>
    <w:rsid w:val="00B553F9"/>
    <w:rPr>
      <w:rFonts w:ascii="Times New Roman" w:eastAsia="Times New Roman" w:hAnsi="Times New Roman" w:cs="Times New Roman"/>
      <w:kern w:val="0"/>
      <w:sz w:val="24"/>
      <w:szCs w:val="24"/>
      <w:lang w:eastAsia="ru-RU"/>
      <w14:ligatures w14:val="none"/>
    </w:rPr>
  </w:style>
  <w:style w:type="paragraph" w:styleId="ListParagraph">
    <w:name w:val="List Paragraph"/>
    <w:basedOn w:val="Normal"/>
    <w:uiPriority w:val="34"/>
    <w:qFormat/>
    <w:rsid w:val="00B553F9"/>
    <w:pPr>
      <w:ind w:left="720"/>
      <w:contextualSpacing/>
    </w:pPr>
  </w:style>
  <w:style w:type="paragraph" w:styleId="NormalWeb">
    <w:name w:val="Normal (Web)"/>
    <w:basedOn w:val="Normal"/>
    <w:uiPriority w:val="99"/>
    <w:semiHidden/>
    <w:unhideWhenUsed/>
    <w:rsid w:val="00B75838"/>
  </w:style>
  <w:style w:type="paragraph" w:customStyle="1" w:styleId="Default">
    <w:name w:val="Default"/>
    <w:rsid w:val="00FF1A1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7623">
      <w:bodyDiv w:val="1"/>
      <w:marLeft w:val="0"/>
      <w:marRight w:val="0"/>
      <w:marTop w:val="0"/>
      <w:marBottom w:val="0"/>
      <w:divBdr>
        <w:top w:val="none" w:sz="0" w:space="0" w:color="auto"/>
        <w:left w:val="none" w:sz="0" w:space="0" w:color="auto"/>
        <w:bottom w:val="none" w:sz="0" w:space="0" w:color="auto"/>
        <w:right w:val="none" w:sz="0" w:space="0" w:color="auto"/>
      </w:divBdr>
    </w:div>
    <w:div w:id="591360932">
      <w:bodyDiv w:val="1"/>
      <w:marLeft w:val="0"/>
      <w:marRight w:val="0"/>
      <w:marTop w:val="0"/>
      <w:marBottom w:val="0"/>
      <w:divBdr>
        <w:top w:val="none" w:sz="0" w:space="0" w:color="auto"/>
        <w:left w:val="none" w:sz="0" w:space="0" w:color="auto"/>
        <w:bottom w:val="none" w:sz="0" w:space="0" w:color="auto"/>
        <w:right w:val="none" w:sz="0" w:space="0" w:color="auto"/>
      </w:divBdr>
    </w:div>
    <w:div w:id="606816178">
      <w:bodyDiv w:val="1"/>
      <w:marLeft w:val="0"/>
      <w:marRight w:val="0"/>
      <w:marTop w:val="0"/>
      <w:marBottom w:val="0"/>
      <w:divBdr>
        <w:top w:val="none" w:sz="0" w:space="0" w:color="auto"/>
        <w:left w:val="none" w:sz="0" w:space="0" w:color="auto"/>
        <w:bottom w:val="none" w:sz="0" w:space="0" w:color="auto"/>
        <w:right w:val="none" w:sz="0" w:space="0" w:color="auto"/>
      </w:divBdr>
    </w:div>
    <w:div w:id="742529095">
      <w:bodyDiv w:val="1"/>
      <w:marLeft w:val="0"/>
      <w:marRight w:val="0"/>
      <w:marTop w:val="0"/>
      <w:marBottom w:val="0"/>
      <w:divBdr>
        <w:top w:val="none" w:sz="0" w:space="0" w:color="auto"/>
        <w:left w:val="none" w:sz="0" w:space="0" w:color="auto"/>
        <w:bottom w:val="none" w:sz="0" w:space="0" w:color="auto"/>
        <w:right w:val="none" w:sz="0" w:space="0" w:color="auto"/>
      </w:divBdr>
      <w:divsChild>
        <w:div w:id="2056734785">
          <w:marLeft w:val="0"/>
          <w:marRight w:val="0"/>
          <w:marTop w:val="0"/>
          <w:marBottom w:val="0"/>
          <w:divBdr>
            <w:top w:val="none" w:sz="0" w:space="0" w:color="auto"/>
            <w:left w:val="none" w:sz="0" w:space="0" w:color="auto"/>
            <w:bottom w:val="none" w:sz="0" w:space="0" w:color="auto"/>
            <w:right w:val="none" w:sz="0" w:space="0" w:color="auto"/>
          </w:divBdr>
        </w:div>
      </w:divsChild>
    </w:div>
    <w:div w:id="751849838">
      <w:bodyDiv w:val="1"/>
      <w:marLeft w:val="0"/>
      <w:marRight w:val="0"/>
      <w:marTop w:val="0"/>
      <w:marBottom w:val="0"/>
      <w:divBdr>
        <w:top w:val="none" w:sz="0" w:space="0" w:color="auto"/>
        <w:left w:val="none" w:sz="0" w:space="0" w:color="auto"/>
        <w:bottom w:val="none" w:sz="0" w:space="0" w:color="auto"/>
        <w:right w:val="none" w:sz="0" w:space="0" w:color="auto"/>
      </w:divBdr>
      <w:divsChild>
        <w:div w:id="342980458">
          <w:marLeft w:val="0"/>
          <w:marRight w:val="0"/>
          <w:marTop w:val="0"/>
          <w:marBottom w:val="0"/>
          <w:divBdr>
            <w:top w:val="none" w:sz="0" w:space="0" w:color="auto"/>
            <w:left w:val="none" w:sz="0" w:space="0" w:color="auto"/>
            <w:bottom w:val="none" w:sz="0" w:space="0" w:color="auto"/>
            <w:right w:val="none" w:sz="0" w:space="0" w:color="auto"/>
          </w:divBdr>
        </w:div>
      </w:divsChild>
    </w:div>
    <w:div w:id="784078799">
      <w:bodyDiv w:val="1"/>
      <w:marLeft w:val="0"/>
      <w:marRight w:val="0"/>
      <w:marTop w:val="0"/>
      <w:marBottom w:val="0"/>
      <w:divBdr>
        <w:top w:val="none" w:sz="0" w:space="0" w:color="auto"/>
        <w:left w:val="none" w:sz="0" w:space="0" w:color="auto"/>
        <w:bottom w:val="none" w:sz="0" w:space="0" w:color="auto"/>
        <w:right w:val="none" w:sz="0" w:space="0" w:color="auto"/>
      </w:divBdr>
    </w:div>
    <w:div w:id="993683085">
      <w:bodyDiv w:val="1"/>
      <w:marLeft w:val="0"/>
      <w:marRight w:val="0"/>
      <w:marTop w:val="0"/>
      <w:marBottom w:val="0"/>
      <w:divBdr>
        <w:top w:val="none" w:sz="0" w:space="0" w:color="auto"/>
        <w:left w:val="none" w:sz="0" w:space="0" w:color="auto"/>
        <w:bottom w:val="none" w:sz="0" w:space="0" w:color="auto"/>
        <w:right w:val="none" w:sz="0" w:space="0" w:color="auto"/>
      </w:divBdr>
      <w:divsChild>
        <w:div w:id="1265041591">
          <w:marLeft w:val="0"/>
          <w:marRight w:val="0"/>
          <w:marTop w:val="0"/>
          <w:marBottom w:val="0"/>
          <w:divBdr>
            <w:top w:val="none" w:sz="0" w:space="0" w:color="auto"/>
            <w:left w:val="none" w:sz="0" w:space="0" w:color="auto"/>
            <w:bottom w:val="none" w:sz="0" w:space="0" w:color="auto"/>
            <w:right w:val="none" w:sz="0" w:space="0" w:color="auto"/>
          </w:divBdr>
        </w:div>
      </w:divsChild>
    </w:div>
    <w:div w:id="1059089026">
      <w:bodyDiv w:val="1"/>
      <w:marLeft w:val="0"/>
      <w:marRight w:val="0"/>
      <w:marTop w:val="0"/>
      <w:marBottom w:val="0"/>
      <w:divBdr>
        <w:top w:val="none" w:sz="0" w:space="0" w:color="auto"/>
        <w:left w:val="none" w:sz="0" w:space="0" w:color="auto"/>
        <w:bottom w:val="none" w:sz="0" w:space="0" w:color="auto"/>
        <w:right w:val="none" w:sz="0" w:space="0" w:color="auto"/>
      </w:divBdr>
    </w:div>
    <w:div w:id="1060127708">
      <w:bodyDiv w:val="1"/>
      <w:marLeft w:val="0"/>
      <w:marRight w:val="0"/>
      <w:marTop w:val="0"/>
      <w:marBottom w:val="0"/>
      <w:divBdr>
        <w:top w:val="none" w:sz="0" w:space="0" w:color="auto"/>
        <w:left w:val="none" w:sz="0" w:space="0" w:color="auto"/>
        <w:bottom w:val="none" w:sz="0" w:space="0" w:color="auto"/>
        <w:right w:val="none" w:sz="0" w:space="0" w:color="auto"/>
      </w:divBdr>
      <w:divsChild>
        <w:div w:id="1280532716">
          <w:marLeft w:val="0"/>
          <w:marRight w:val="0"/>
          <w:marTop w:val="0"/>
          <w:marBottom w:val="0"/>
          <w:divBdr>
            <w:top w:val="none" w:sz="0" w:space="0" w:color="auto"/>
            <w:left w:val="none" w:sz="0" w:space="0" w:color="auto"/>
            <w:bottom w:val="none" w:sz="0" w:space="0" w:color="auto"/>
            <w:right w:val="none" w:sz="0" w:space="0" w:color="auto"/>
          </w:divBdr>
        </w:div>
      </w:divsChild>
    </w:div>
    <w:div w:id="1062095831">
      <w:bodyDiv w:val="1"/>
      <w:marLeft w:val="0"/>
      <w:marRight w:val="0"/>
      <w:marTop w:val="0"/>
      <w:marBottom w:val="0"/>
      <w:divBdr>
        <w:top w:val="none" w:sz="0" w:space="0" w:color="auto"/>
        <w:left w:val="none" w:sz="0" w:space="0" w:color="auto"/>
        <w:bottom w:val="none" w:sz="0" w:space="0" w:color="auto"/>
        <w:right w:val="none" w:sz="0" w:space="0" w:color="auto"/>
      </w:divBdr>
    </w:div>
    <w:div w:id="1151600759">
      <w:bodyDiv w:val="1"/>
      <w:marLeft w:val="0"/>
      <w:marRight w:val="0"/>
      <w:marTop w:val="0"/>
      <w:marBottom w:val="0"/>
      <w:divBdr>
        <w:top w:val="none" w:sz="0" w:space="0" w:color="auto"/>
        <w:left w:val="none" w:sz="0" w:space="0" w:color="auto"/>
        <w:bottom w:val="none" w:sz="0" w:space="0" w:color="auto"/>
        <w:right w:val="none" w:sz="0" w:space="0" w:color="auto"/>
      </w:divBdr>
    </w:div>
    <w:div w:id="1168907820">
      <w:bodyDiv w:val="1"/>
      <w:marLeft w:val="0"/>
      <w:marRight w:val="0"/>
      <w:marTop w:val="0"/>
      <w:marBottom w:val="0"/>
      <w:divBdr>
        <w:top w:val="none" w:sz="0" w:space="0" w:color="auto"/>
        <w:left w:val="none" w:sz="0" w:space="0" w:color="auto"/>
        <w:bottom w:val="none" w:sz="0" w:space="0" w:color="auto"/>
        <w:right w:val="none" w:sz="0" w:space="0" w:color="auto"/>
      </w:divBdr>
    </w:div>
    <w:div w:id="1232277277">
      <w:bodyDiv w:val="1"/>
      <w:marLeft w:val="0"/>
      <w:marRight w:val="0"/>
      <w:marTop w:val="0"/>
      <w:marBottom w:val="0"/>
      <w:divBdr>
        <w:top w:val="none" w:sz="0" w:space="0" w:color="auto"/>
        <w:left w:val="none" w:sz="0" w:space="0" w:color="auto"/>
        <w:bottom w:val="none" w:sz="0" w:space="0" w:color="auto"/>
        <w:right w:val="none" w:sz="0" w:space="0" w:color="auto"/>
      </w:divBdr>
    </w:div>
    <w:div w:id="1368027885">
      <w:bodyDiv w:val="1"/>
      <w:marLeft w:val="0"/>
      <w:marRight w:val="0"/>
      <w:marTop w:val="0"/>
      <w:marBottom w:val="0"/>
      <w:divBdr>
        <w:top w:val="none" w:sz="0" w:space="0" w:color="auto"/>
        <w:left w:val="none" w:sz="0" w:space="0" w:color="auto"/>
        <w:bottom w:val="none" w:sz="0" w:space="0" w:color="auto"/>
        <w:right w:val="none" w:sz="0" w:space="0" w:color="auto"/>
      </w:divBdr>
    </w:div>
    <w:div w:id="1787506686">
      <w:bodyDiv w:val="1"/>
      <w:marLeft w:val="0"/>
      <w:marRight w:val="0"/>
      <w:marTop w:val="0"/>
      <w:marBottom w:val="0"/>
      <w:divBdr>
        <w:top w:val="none" w:sz="0" w:space="0" w:color="auto"/>
        <w:left w:val="none" w:sz="0" w:space="0" w:color="auto"/>
        <w:bottom w:val="none" w:sz="0" w:space="0" w:color="auto"/>
        <w:right w:val="none" w:sz="0" w:space="0" w:color="auto"/>
      </w:divBdr>
    </w:div>
    <w:div w:id="211979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ria.europa.eu/juris/document/document.jsf?text=&amp;docid=294256&amp;pageIndex=0&amp;doclang=en&amp;mode=lst&amp;dir=&amp;occ=first&amp;part=1&amp;cid=4096264" TargetMode="External"/><Relationship Id="rId3" Type="http://schemas.openxmlformats.org/officeDocument/2006/relationships/settings" Target="settings.xml"/><Relationship Id="rId7" Type="http://schemas.openxmlformats.org/officeDocument/2006/relationships/hyperlink" Target="https://gateway.elieta.lv/api/v1/PublicMaterialDownload/4e9fbf36-c679-40fa-bbd8-4c5d666b14e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19402</Words>
  <Characters>11060</Characters>
  <Application>Microsoft Office Word</Application>
  <DocSecurity>0</DocSecurity>
  <Lines>92</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2025-11-04T13:21:00Z</dcterms:created>
  <dcterms:modified xsi:type="dcterms:W3CDTF">2025-11-04T13:28:00Z</dcterms:modified>
</cp:coreProperties>
</file>