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4272" w14:textId="77777777" w:rsidR="0093767A" w:rsidRDefault="0093767A" w:rsidP="0093767A">
      <w:pPr>
        <w:spacing w:line="276" w:lineRule="auto"/>
        <w:jc w:val="both"/>
        <w:rPr>
          <w:b/>
          <w:bCs/>
          <w:lang w:eastAsia="lv-LV"/>
          <w14:ligatures w14:val="standardContextual"/>
        </w:rPr>
      </w:pPr>
      <w:r>
        <w:rPr>
          <w:b/>
          <w:bCs/>
          <w14:ligatures w14:val="standardContextual"/>
        </w:rPr>
        <w:t xml:space="preserve">Valsts ieņēmumu dienesta informācijas pieprasījuma pārsūdzība un </w:t>
      </w:r>
      <w:proofErr w:type="spellStart"/>
      <w:r>
        <w:rPr>
          <w:b/>
          <w:bCs/>
          <w14:ligatures w14:val="standardContextual"/>
        </w:rPr>
        <w:t>izvērtējums</w:t>
      </w:r>
      <w:proofErr w:type="spellEnd"/>
    </w:p>
    <w:p w14:paraId="052BE9C8" w14:textId="77777777" w:rsidR="0093767A" w:rsidRDefault="0093767A" w:rsidP="0093767A">
      <w:pPr>
        <w:spacing w:line="276" w:lineRule="auto"/>
        <w:jc w:val="both"/>
        <w:rPr>
          <w14:ligatures w14:val="standardContextual"/>
        </w:rPr>
      </w:pPr>
      <w:r>
        <w:rPr>
          <w14:ligatures w14:val="standardContextual"/>
        </w:rPr>
        <w:t xml:space="preserve">Valsts ieņēmumu dienesta informācijas pieprasījums, kas adresēts nodokļu maksātājam un par kura neizpildīšanu Valsts ieņēmumu dienests draud ar nelabvēlīgām sekām – </w:t>
      </w:r>
      <w:r>
        <w:rPr>
          <w:color w:val="000000"/>
          <w14:ligatures w14:val="standardContextual"/>
        </w:rPr>
        <w:t>saimnieciskās darbības apturēšanu, izslēgšanu no pievienotās vērtības nodokļa maksātāju reģistra vai administratīvā soda piemērošanu</w:t>
      </w:r>
      <w:r>
        <w:rPr>
          <w14:ligatures w14:val="standardContextual"/>
        </w:rPr>
        <w:t xml:space="preserve"> – </w:t>
      </w:r>
      <w:r w:rsidRPr="0093767A">
        <w:rPr>
          <w14:ligatures w14:val="standardContextual"/>
        </w:rPr>
        <w:t>uzliek personai patstāvīgu pienākumu un ir pārsūdzams</w:t>
      </w:r>
      <w:r>
        <w:rPr>
          <w14:ligatures w14:val="standardContextual"/>
        </w:rPr>
        <w:t xml:space="preserve"> tiesā. </w:t>
      </w:r>
    </w:p>
    <w:p w14:paraId="411629DA" w14:textId="27E577A9" w:rsidR="00826242" w:rsidRPr="0093767A" w:rsidRDefault="0093767A" w:rsidP="0093767A">
      <w:pPr>
        <w:autoSpaceDE w:val="0"/>
        <w:autoSpaceDN w:val="0"/>
        <w:spacing w:line="276" w:lineRule="auto"/>
        <w:jc w:val="both"/>
        <w:rPr>
          <w14:ligatures w14:val="standardContextual"/>
        </w:rPr>
      </w:pPr>
      <w:r>
        <w:rPr>
          <w:color w:val="000000"/>
          <w14:ligatures w14:val="standardContextual"/>
        </w:rPr>
        <w:t xml:space="preserve">Vērtējot informācijas pieprasījuma iespējamo prettiesiskumu un patvaļīgumu, tiesai nav padziļināti jāizvērtē pieprasītās informācijas nepieciešamība iespējamā administratīvajā procesā. Proti, tā ir iestādes rīcības brīvība – pareizi identificēt tās kompetencē esošo lietu izmeklēšanai nepieciešamos faktus un noteikt, kādi pierādījumi iestādei nepieciešami. Tiesai atbilstoši pieteikuma pamatojumam jāvērtē informācijas pieprasījuma iespējamais prettiesiskums atbilstoši konkrētām tiesību normām (iestādes kompetences pārkāpums, personas datu apstrādes pārkāpums u.c.), kā arī vispārīgas patvaļas pazīmes. </w:t>
      </w:r>
      <w:r>
        <w:rPr>
          <w14:ligatures w14:val="standardContextual"/>
        </w:rPr>
        <w:t>Tāpat tiesai būtu iespējams pārbaudīt, vai informācijas pieprasījums ir samērīgs – tostarp, vai šāds pieprasījums, kas veikts laikā pirms administratīvā procesa uzsākšanas, nav tik apjomīgs un apgrūtinošs, ka būtībā atbilst likumā regulētam nodokļu kontroles vai audita procesam.</w:t>
      </w:r>
    </w:p>
    <w:p w14:paraId="0A507654" w14:textId="10BE622D" w:rsidR="00826242" w:rsidRPr="00011547" w:rsidRDefault="00826242" w:rsidP="0093767A">
      <w:pPr>
        <w:spacing w:before="240" w:line="276" w:lineRule="auto"/>
        <w:jc w:val="center"/>
        <w:rPr>
          <w:b/>
        </w:rPr>
      </w:pPr>
      <w:r w:rsidRPr="00011547">
        <w:rPr>
          <w:b/>
        </w:rPr>
        <w:t>Latvijas Republikas Senāt</w:t>
      </w:r>
      <w:r w:rsidR="0093767A">
        <w:rPr>
          <w:b/>
        </w:rPr>
        <w:t>a</w:t>
      </w:r>
      <w:r w:rsidR="0093767A">
        <w:rPr>
          <w:b/>
        </w:rPr>
        <w:br/>
        <w:t>Administratīvo lietu departamenta</w:t>
      </w:r>
      <w:r w:rsidR="0093767A">
        <w:rPr>
          <w:b/>
        </w:rPr>
        <w:br/>
        <w:t>2025.gada 27.oktobra</w:t>
      </w:r>
    </w:p>
    <w:p w14:paraId="50774CE3" w14:textId="77777777" w:rsidR="0093767A" w:rsidRDefault="00826242" w:rsidP="0093767A">
      <w:pPr>
        <w:spacing w:line="276" w:lineRule="auto"/>
        <w:contextualSpacing/>
        <w:jc w:val="center"/>
        <w:rPr>
          <w:b/>
        </w:rPr>
      </w:pPr>
      <w:r w:rsidRPr="001E0942">
        <w:rPr>
          <w:b/>
        </w:rPr>
        <w:t>LĒMUMS</w:t>
      </w:r>
    </w:p>
    <w:p w14:paraId="5FAD465F" w14:textId="4017550C" w:rsidR="0093767A" w:rsidRPr="0093767A" w:rsidRDefault="0093767A" w:rsidP="0093767A">
      <w:pPr>
        <w:spacing w:line="276" w:lineRule="auto"/>
        <w:contextualSpacing/>
        <w:jc w:val="center"/>
        <w:rPr>
          <w:b/>
        </w:rPr>
      </w:pPr>
      <w:r w:rsidRPr="0093767A">
        <w:rPr>
          <w:b/>
          <w:bCs/>
        </w:rPr>
        <w:t xml:space="preserve">Lieta </w:t>
      </w:r>
      <w:r w:rsidRPr="0093767A">
        <w:rPr>
          <w:b/>
          <w:bCs/>
        </w:rPr>
        <w:t>Nr. 680039424,</w:t>
      </w:r>
      <w:r w:rsidRPr="0093767A">
        <w:rPr>
          <w:b/>
          <w:bCs/>
          <w:lang w:eastAsia="lv-LV"/>
        </w:rPr>
        <w:t xml:space="preserve"> SKA-324/2025</w:t>
      </w:r>
    </w:p>
    <w:p w14:paraId="23D083B3" w14:textId="563C1F0A" w:rsidR="0093767A" w:rsidRPr="0093767A" w:rsidRDefault="0093767A" w:rsidP="0093767A">
      <w:pPr>
        <w:spacing w:line="276" w:lineRule="auto"/>
        <w:contextualSpacing/>
        <w:jc w:val="center"/>
        <w:rPr>
          <w:b/>
        </w:rPr>
      </w:pPr>
      <w:r>
        <w:t xml:space="preserve"> </w:t>
      </w:r>
      <w:hyperlink r:id="rId7" w:history="1">
        <w:r w:rsidRPr="0093767A">
          <w:rPr>
            <w:rStyle w:val="Hyperlink"/>
          </w:rPr>
          <w:t>ECLI:LV:AT:2025:1027.SKA032425.6.L</w:t>
        </w:r>
      </w:hyperlink>
    </w:p>
    <w:p w14:paraId="4AE4B707" w14:textId="77777777" w:rsidR="00826242" w:rsidRPr="001E0942" w:rsidRDefault="00826242" w:rsidP="0093767A">
      <w:pPr>
        <w:spacing w:line="276" w:lineRule="auto"/>
        <w:ind w:firstLine="720"/>
        <w:contextualSpacing/>
        <w:jc w:val="both"/>
      </w:pPr>
    </w:p>
    <w:p w14:paraId="434E7790" w14:textId="5127FD4C" w:rsidR="00826242" w:rsidRPr="009F1565" w:rsidRDefault="00826242" w:rsidP="0093767A">
      <w:pPr>
        <w:tabs>
          <w:tab w:val="left" w:pos="567"/>
        </w:tabs>
        <w:spacing w:line="276" w:lineRule="auto"/>
        <w:ind w:firstLine="720"/>
        <w:jc w:val="both"/>
      </w:pPr>
      <w:r>
        <w:t>Senāts</w:t>
      </w:r>
      <w:r w:rsidRPr="009F1565">
        <w:t xml:space="preserve"> </w:t>
      </w:r>
      <w:r w:rsidR="00991CE3">
        <w:t xml:space="preserve">Administratīvo lietu departamenta kopsēdē </w:t>
      </w:r>
      <w:r w:rsidRPr="009F1565">
        <w:t>šādā sastāvā: senator</w:t>
      </w:r>
      <w:r>
        <w:t>e referente</w:t>
      </w:r>
      <w:r w:rsidRPr="009F1565">
        <w:t xml:space="preserve"> </w:t>
      </w:r>
      <w:r w:rsidR="00A92C6A">
        <w:t>Rudīte Vīduša</w:t>
      </w:r>
      <w:r w:rsidRPr="00730DBF">
        <w:t>, senato</w:t>
      </w:r>
      <w:r w:rsidR="001949D3">
        <w:t>r</w:t>
      </w:r>
      <w:r w:rsidR="00991CE3">
        <w:t>i Dzintra Amerika, Ermīns Darapoļskis,</w:t>
      </w:r>
      <w:r w:rsidRPr="00730DBF">
        <w:t xml:space="preserve"> </w:t>
      </w:r>
      <w:r w:rsidR="00991CE3">
        <w:t xml:space="preserve">Vēsma Kakste, Laura Konošonoka, </w:t>
      </w:r>
      <w:r w:rsidR="001949D3">
        <w:t>Anita Kovaļevska</w:t>
      </w:r>
      <w:r w:rsidR="00991CE3">
        <w:t>,</w:t>
      </w:r>
      <w:r w:rsidR="00A92C6A">
        <w:t xml:space="preserve"> </w:t>
      </w:r>
      <w:r w:rsidR="00991CE3">
        <w:t xml:space="preserve">Diāna Makarova, </w:t>
      </w:r>
      <w:r w:rsidR="001949D3">
        <w:t>Indra Meldere</w:t>
      </w:r>
      <w:r w:rsidR="00991CE3">
        <w:t>, Jānis Pleps, Līvija Slica un Ieva Višķere</w:t>
      </w:r>
    </w:p>
    <w:p w14:paraId="344D97FE" w14:textId="77777777" w:rsidR="00826242" w:rsidRPr="009F1565" w:rsidRDefault="00826242" w:rsidP="0093767A">
      <w:pPr>
        <w:tabs>
          <w:tab w:val="left" w:pos="567"/>
        </w:tabs>
        <w:spacing w:line="276" w:lineRule="auto"/>
        <w:ind w:firstLine="720"/>
        <w:jc w:val="both"/>
      </w:pPr>
    </w:p>
    <w:p w14:paraId="1FCCCC75" w14:textId="0146B97B" w:rsidR="00826242" w:rsidRDefault="00826242" w:rsidP="0093767A">
      <w:pPr>
        <w:tabs>
          <w:tab w:val="left" w:pos="567"/>
        </w:tabs>
        <w:spacing w:line="276" w:lineRule="auto"/>
        <w:ind w:firstLine="720"/>
        <w:jc w:val="both"/>
      </w:pPr>
      <w:r w:rsidRPr="009F1565">
        <w:t xml:space="preserve">rakstveida procesā izskatīja </w:t>
      </w:r>
      <w:r w:rsidR="00857BE9">
        <w:t>SIA</w:t>
      </w:r>
      <w:r w:rsidR="003D2BE5">
        <w:t> </w:t>
      </w:r>
      <w:r w:rsidR="00857BE9">
        <w:t>„Terko”</w:t>
      </w:r>
      <w:r>
        <w:t xml:space="preserve"> blakus sūdzību par Administratīvās rajona tiesas </w:t>
      </w:r>
      <w:r w:rsidR="004721F8">
        <w:t xml:space="preserve">tiesneša </w:t>
      </w:r>
      <w:r>
        <w:t>202</w:t>
      </w:r>
      <w:r w:rsidR="00991CE3">
        <w:t>4</w:t>
      </w:r>
      <w:r>
        <w:t xml:space="preserve">.gada </w:t>
      </w:r>
      <w:r w:rsidR="00394A72">
        <w:t>17.septembra</w:t>
      </w:r>
      <w:r>
        <w:t xml:space="preserve"> lēmumu, ar kuru </w:t>
      </w:r>
      <w:r w:rsidR="004721F8">
        <w:t>atteikt</w:t>
      </w:r>
      <w:r w:rsidR="00DA4DE8">
        <w:t>s</w:t>
      </w:r>
      <w:r w:rsidR="004721F8">
        <w:t xml:space="preserve"> pieņemt </w:t>
      </w:r>
      <w:r w:rsidR="00857BE9">
        <w:t>SIA</w:t>
      </w:r>
      <w:r w:rsidR="003D2BE5">
        <w:t> </w:t>
      </w:r>
      <w:r w:rsidR="00857BE9">
        <w:t>„Terko” pieteikumu</w:t>
      </w:r>
      <w:r w:rsidR="008051C4">
        <w:t>.</w:t>
      </w:r>
    </w:p>
    <w:p w14:paraId="0ECC6E89" w14:textId="77777777" w:rsidR="00826242" w:rsidRPr="009F1565" w:rsidRDefault="00826242" w:rsidP="0093767A">
      <w:pPr>
        <w:tabs>
          <w:tab w:val="left" w:pos="567"/>
        </w:tabs>
        <w:spacing w:line="276" w:lineRule="auto"/>
        <w:ind w:firstLine="720"/>
        <w:jc w:val="both"/>
        <w:rPr>
          <w:szCs w:val="18"/>
        </w:rPr>
      </w:pPr>
    </w:p>
    <w:p w14:paraId="53B942ED" w14:textId="77777777" w:rsidR="00826242" w:rsidRPr="009F1565" w:rsidRDefault="00826242" w:rsidP="0093767A">
      <w:pPr>
        <w:spacing w:line="276" w:lineRule="auto"/>
        <w:jc w:val="center"/>
        <w:rPr>
          <w:b/>
        </w:rPr>
      </w:pPr>
      <w:r w:rsidRPr="009F1565">
        <w:rPr>
          <w:b/>
        </w:rPr>
        <w:t>Aprakstošā daļa</w:t>
      </w:r>
    </w:p>
    <w:p w14:paraId="0549710B" w14:textId="77777777" w:rsidR="00826242" w:rsidRDefault="00826242" w:rsidP="0093767A">
      <w:pPr>
        <w:spacing w:line="276" w:lineRule="auto"/>
        <w:ind w:firstLine="720"/>
        <w:jc w:val="both"/>
        <w:rPr>
          <w:color w:val="000000"/>
        </w:rPr>
      </w:pPr>
    </w:p>
    <w:p w14:paraId="0898ECE0" w14:textId="498E21AC" w:rsidR="00B03776" w:rsidRDefault="00826242" w:rsidP="0093767A">
      <w:pPr>
        <w:spacing w:line="276" w:lineRule="auto"/>
        <w:ind w:firstLine="720"/>
        <w:jc w:val="both"/>
        <w:rPr>
          <w:color w:val="000000"/>
        </w:rPr>
      </w:pPr>
      <w:r w:rsidRPr="007D376D">
        <w:rPr>
          <w:color w:val="000000"/>
        </w:rPr>
        <w:t>[1] </w:t>
      </w:r>
      <w:r w:rsidR="00B03776">
        <w:rPr>
          <w:color w:val="000000"/>
        </w:rPr>
        <w:t>Valsts ieņēmumu dienests 2024.gada 28.februārī un pēc tam atkārtoti 2024.gada 14.martā, 12.aprīlī</w:t>
      </w:r>
      <w:r w:rsidR="00F67F28">
        <w:rPr>
          <w:color w:val="000000"/>
        </w:rPr>
        <w:t xml:space="preserve"> un</w:t>
      </w:r>
      <w:r w:rsidR="00B03776">
        <w:rPr>
          <w:color w:val="000000"/>
        </w:rPr>
        <w:t xml:space="preserve"> 14.jūnijā rakstiski pieprasīja pieteicējai </w:t>
      </w:r>
      <w:r w:rsidR="00077C40">
        <w:rPr>
          <w:color w:val="000000"/>
        </w:rPr>
        <w:t xml:space="preserve">– </w:t>
      </w:r>
      <w:r w:rsidR="00B03776">
        <w:rPr>
          <w:color w:val="000000"/>
        </w:rPr>
        <w:t>SIA „Terko”</w:t>
      </w:r>
      <w:r w:rsidR="00077C40">
        <w:rPr>
          <w:color w:val="000000"/>
        </w:rPr>
        <w:t xml:space="preserve"> – </w:t>
      </w:r>
      <w:r w:rsidR="00B03776">
        <w:rPr>
          <w:color w:val="000000"/>
        </w:rPr>
        <w:t xml:space="preserve">sniegt informāciju: detalizētu informāciju par vairāku konkrētu personu nodarbināšanu pieteicējas saimnieciskās darbības veikšanas vietās vai darījumu partneru saimnieciskās darbības veikšanas vietās, informāciju un dokumentus (līgumus, rēķinus, grāmatvedības reģistrus, darbu izpildes aktus) par darījumu partneriem un pasūtījumiem, kur šie darbinieki veikuši darbus, par ražotnēm, kur </w:t>
      </w:r>
      <w:r w:rsidR="00B03776" w:rsidRPr="00B03776">
        <w:rPr>
          <w:color w:val="000000"/>
        </w:rPr>
        <w:t>darbinieki šobrīd sniedz pakalpojumus</w:t>
      </w:r>
      <w:r w:rsidR="00B737BA">
        <w:rPr>
          <w:color w:val="000000"/>
        </w:rPr>
        <w:t>,</w:t>
      </w:r>
      <w:r w:rsidR="00B03776">
        <w:rPr>
          <w:color w:val="000000"/>
        </w:rPr>
        <w:t xml:space="preserve"> un </w:t>
      </w:r>
      <w:r w:rsidR="00B03776" w:rsidRPr="00B03776">
        <w:rPr>
          <w:color w:val="000000"/>
        </w:rPr>
        <w:t>darbu izpildes termiņi</w:t>
      </w:r>
      <w:r w:rsidR="00B03776">
        <w:rPr>
          <w:color w:val="000000"/>
        </w:rPr>
        <w:t xml:space="preserve">em. Dienests turklāt </w:t>
      </w:r>
      <w:r w:rsidR="008A001B">
        <w:rPr>
          <w:color w:val="000000"/>
        </w:rPr>
        <w:t>brīdināja</w:t>
      </w:r>
      <w:r w:rsidR="00B03776">
        <w:rPr>
          <w:color w:val="000000"/>
        </w:rPr>
        <w:t xml:space="preserve"> pieteicēju, ka </w:t>
      </w:r>
      <w:r w:rsidR="008A001B">
        <w:rPr>
          <w:color w:val="000000"/>
        </w:rPr>
        <w:t>i</w:t>
      </w:r>
      <w:r w:rsidR="00B03776">
        <w:rPr>
          <w:color w:val="000000"/>
        </w:rPr>
        <w:t>nformācijas nesniegšanas gadījumā</w:t>
      </w:r>
      <w:r w:rsidR="008A001B">
        <w:rPr>
          <w:color w:val="000000"/>
        </w:rPr>
        <w:t xml:space="preserve"> </w:t>
      </w:r>
      <w:r w:rsidR="00077C40">
        <w:rPr>
          <w:color w:val="000000"/>
        </w:rPr>
        <w:t>tas</w:t>
      </w:r>
      <w:r w:rsidR="00B03776" w:rsidRPr="00B03776">
        <w:rPr>
          <w:color w:val="000000"/>
        </w:rPr>
        <w:t xml:space="preserve"> uzsāks administratīvā pārkāpuma procesu</w:t>
      </w:r>
      <w:r w:rsidR="00B03776" w:rsidRPr="00B03776">
        <w:rPr>
          <w:color w:val="000000"/>
        </w:rPr>
        <w:br/>
      </w:r>
      <w:r w:rsidR="008A001B">
        <w:rPr>
          <w:color w:val="000000"/>
        </w:rPr>
        <w:t xml:space="preserve">pieteicējas </w:t>
      </w:r>
      <w:r w:rsidR="00B03776" w:rsidRPr="00B03776">
        <w:rPr>
          <w:color w:val="000000"/>
        </w:rPr>
        <w:t>amatpersonai</w:t>
      </w:r>
      <w:r w:rsidR="008A001B">
        <w:rPr>
          <w:color w:val="000000"/>
        </w:rPr>
        <w:t xml:space="preserve">, un informēja, ka </w:t>
      </w:r>
      <w:r w:rsidR="00B737BA">
        <w:rPr>
          <w:color w:val="000000"/>
        </w:rPr>
        <w:t>dienes</w:t>
      </w:r>
      <w:r w:rsidR="008A001B">
        <w:rPr>
          <w:color w:val="000000"/>
        </w:rPr>
        <w:t xml:space="preserve">tam </w:t>
      </w:r>
      <w:r w:rsidR="00B03776" w:rsidRPr="00B03776">
        <w:rPr>
          <w:color w:val="000000"/>
        </w:rPr>
        <w:t xml:space="preserve">ir tiesības uzsākt nodokļu maksātāja saimnieciskās darbības apturēšanas procesu, vienlaikus pieņemot lēmumu par reģistrēta </w:t>
      </w:r>
      <w:r w:rsidR="00B03776" w:rsidRPr="00B03776">
        <w:rPr>
          <w:color w:val="000000"/>
        </w:rPr>
        <w:lastRenderedPageBreak/>
        <w:t>nodokļa maksātāja izslēgšanu no pievienotās vērtības nodokļa maksātāju reģistra.</w:t>
      </w:r>
      <w:r w:rsidR="008A001B">
        <w:rPr>
          <w:color w:val="000000"/>
        </w:rPr>
        <w:t xml:space="preserve"> Ceturtajā pieprasījumā dienests papildus norādīja, ka g</w:t>
      </w:r>
      <w:r w:rsidR="008A001B" w:rsidRPr="008A001B">
        <w:rPr>
          <w:color w:val="000000"/>
        </w:rPr>
        <w:t xml:space="preserve">adījumā, ja </w:t>
      </w:r>
      <w:r w:rsidR="008A001B">
        <w:rPr>
          <w:color w:val="000000"/>
        </w:rPr>
        <w:t xml:space="preserve">pieteicēja </w:t>
      </w:r>
      <w:r w:rsidR="008A001B" w:rsidRPr="008A001B">
        <w:rPr>
          <w:color w:val="000000"/>
        </w:rPr>
        <w:t xml:space="preserve">nevar iesniegt pieprasīto informāciju, </w:t>
      </w:r>
      <w:r w:rsidR="008A001B">
        <w:rPr>
          <w:color w:val="000000"/>
        </w:rPr>
        <w:t>tai ir jāsniedz</w:t>
      </w:r>
      <w:r w:rsidR="008A001B" w:rsidRPr="008A001B">
        <w:rPr>
          <w:color w:val="000000"/>
        </w:rPr>
        <w:t xml:space="preserve"> skaidrojum</w:t>
      </w:r>
      <w:r w:rsidR="008A001B">
        <w:rPr>
          <w:color w:val="000000"/>
        </w:rPr>
        <w:t>s</w:t>
      </w:r>
      <w:r w:rsidR="008A001B" w:rsidRPr="008A001B">
        <w:rPr>
          <w:color w:val="000000"/>
        </w:rPr>
        <w:t>, kā uzņēmumā tiek veikta darbinieku sniegto pakalpojumu uzskaite</w:t>
      </w:r>
      <w:r w:rsidR="008A001B">
        <w:rPr>
          <w:color w:val="000000"/>
        </w:rPr>
        <w:t>,</w:t>
      </w:r>
      <w:r w:rsidR="008A001B" w:rsidRPr="008A001B">
        <w:rPr>
          <w:color w:val="000000"/>
        </w:rPr>
        <w:t xml:space="preserve"> kā tiek aprēķinātas pasūtītājiem izrakstīto rēķinu summas par metālapstrādes pakalpojumiem</w:t>
      </w:r>
      <w:r w:rsidR="00E62FB7">
        <w:rPr>
          <w:color w:val="000000"/>
        </w:rPr>
        <w:t xml:space="preserve"> un</w:t>
      </w:r>
      <w:r w:rsidR="008A001B">
        <w:rPr>
          <w:color w:val="000000"/>
        </w:rPr>
        <w:t xml:space="preserve"> kā </w:t>
      </w:r>
      <w:r w:rsidR="008A001B" w:rsidRPr="008A001B">
        <w:rPr>
          <w:color w:val="000000"/>
        </w:rPr>
        <w:t xml:space="preserve">darba līgumos </w:t>
      </w:r>
      <w:r w:rsidR="008A001B">
        <w:rPr>
          <w:color w:val="000000"/>
        </w:rPr>
        <w:t xml:space="preserve">tiek </w:t>
      </w:r>
      <w:r w:rsidR="008A001B" w:rsidRPr="008A001B">
        <w:rPr>
          <w:color w:val="000000"/>
        </w:rPr>
        <w:t>norādīta informācija par darbinieku darba vietu.</w:t>
      </w:r>
    </w:p>
    <w:p w14:paraId="4FFCCD8B" w14:textId="2DAEEEDB" w:rsidR="00F67F28" w:rsidRDefault="00F67F28" w:rsidP="0093767A">
      <w:pPr>
        <w:spacing w:line="276" w:lineRule="auto"/>
        <w:ind w:firstLine="720"/>
        <w:jc w:val="both"/>
        <w:rPr>
          <w:color w:val="000000"/>
        </w:rPr>
      </w:pPr>
      <w:r>
        <w:rPr>
          <w:color w:val="000000"/>
        </w:rPr>
        <w:t xml:space="preserve">Pieteicēja vairākkārt lūdza precizēt informācijas pieprasījumu, norādīja uz šķēršļiem atsevišķas informācijas iesniegšanai, kā arī </w:t>
      </w:r>
      <w:r w:rsidR="00077C40">
        <w:rPr>
          <w:color w:val="000000"/>
        </w:rPr>
        <w:t xml:space="preserve">izteica </w:t>
      </w:r>
      <w:r>
        <w:rPr>
          <w:color w:val="000000"/>
        </w:rPr>
        <w:t xml:space="preserve">iebildumus attiecībā uz informācijas sniegšanu. Pēc ceturtā pieprasījuma pieteicēja vērsās ar apstrīdēšanas iesniegumu pie Valsts ieņēmumu dienesta ģenerāldirektora, kurš ar </w:t>
      </w:r>
      <w:r w:rsidR="000954EF">
        <w:rPr>
          <w:color w:val="000000"/>
        </w:rPr>
        <w:t xml:space="preserve">2024.gada </w:t>
      </w:r>
      <w:r w:rsidR="00077C40">
        <w:rPr>
          <w:color w:val="000000"/>
        </w:rPr>
        <w:t xml:space="preserve">19.jūlija </w:t>
      </w:r>
      <w:r w:rsidR="000954EF">
        <w:rPr>
          <w:color w:val="000000"/>
        </w:rPr>
        <w:t>atbildi izskaidroja pieteicēja</w:t>
      </w:r>
      <w:r w:rsidR="00F62053">
        <w:rPr>
          <w:color w:val="000000"/>
        </w:rPr>
        <w:t>i</w:t>
      </w:r>
      <w:r w:rsidR="000954EF">
        <w:rPr>
          <w:color w:val="000000"/>
        </w:rPr>
        <w:t xml:space="preserve"> informācijas sniegšanas pienākumu un to, ka informācijas pieprasīšana nav faktiskā rīcība Administratīvā procesa likuma izpratnē.</w:t>
      </w:r>
    </w:p>
    <w:p w14:paraId="1A6FA7CE" w14:textId="5392FA1D" w:rsidR="000954EF" w:rsidRDefault="000954EF" w:rsidP="0093767A">
      <w:pPr>
        <w:spacing w:line="276" w:lineRule="auto"/>
        <w:ind w:firstLine="720"/>
        <w:jc w:val="both"/>
        <w:rPr>
          <w:color w:val="000000"/>
        </w:rPr>
      </w:pPr>
      <w:r>
        <w:rPr>
          <w:color w:val="000000"/>
        </w:rPr>
        <w:t xml:space="preserve">Pieteicēja vērsās administratīvajā tiesā, </w:t>
      </w:r>
      <w:r w:rsidR="00AE3312">
        <w:rPr>
          <w:color w:val="000000"/>
        </w:rPr>
        <w:t xml:space="preserve">lūdzot atcelt Valsts ieņēmumu dienesta 2024.gada 19.jūlija lēmumu daļā, kas </w:t>
      </w:r>
      <w:r w:rsidR="00AE3312" w:rsidRPr="00AE3312">
        <w:rPr>
          <w:color w:val="000000"/>
        </w:rPr>
        <w:t>attiec</w:t>
      </w:r>
      <w:r w:rsidR="00AE3312">
        <w:rPr>
          <w:color w:val="000000"/>
        </w:rPr>
        <w:t>a</w:t>
      </w:r>
      <w:r w:rsidR="00AE3312" w:rsidRPr="00AE3312">
        <w:rPr>
          <w:color w:val="000000"/>
        </w:rPr>
        <w:t xml:space="preserve">s uz pieprasījumu </w:t>
      </w:r>
      <w:r w:rsidR="00AE3312">
        <w:rPr>
          <w:color w:val="000000"/>
        </w:rPr>
        <w:t>ie</w:t>
      </w:r>
      <w:r w:rsidR="00AE3312" w:rsidRPr="00AE3312">
        <w:rPr>
          <w:color w:val="000000"/>
        </w:rPr>
        <w:t>sniegt darbinieku darba laika uzskaites tabeles pa objektiem</w:t>
      </w:r>
      <w:r w:rsidR="00AE3312">
        <w:rPr>
          <w:color w:val="000000"/>
        </w:rPr>
        <w:t>, un uzlikt pienākumu dienestam mainīt tā nodomu</w:t>
      </w:r>
      <w:r w:rsidR="00F62053">
        <w:rPr>
          <w:color w:val="000000"/>
        </w:rPr>
        <w:t xml:space="preserve"> attiecībā</w:t>
      </w:r>
      <w:r w:rsidR="00AE3312">
        <w:rPr>
          <w:color w:val="000000"/>
        </w:rPr>
        <w:t xml:space="preserve"> uz šo faktisko rīcību.</w:t>
      </w:r>
    </w:p>
    <w:p w14:paraId="4CEE8E3E" w14:textId="77777777" w:rsidR="00AE3312" w:rsidRDefault="00AE3312" w:rsidP="0093767A">
      <w:pPr>
        <w:spacing w:line="276" w:lineRule="auto"/>
        <w:ind w:firstLine="720"/>
        <w:jc w:val="both"/>
        <w:rPr>
          <w:color w:val="000000"/>
        </w:rPr>
      </w:pPr>
    </w:p>
    <w:p w14:paraId="35A6BC2E" w14:textId="7025F10F" w:rsidR="00AE3312" w:rsidRDefault="00AE3312" w:rsidP="0093767A">
      <w:pPr>
        <w:spacing w:line="276" w:lineRule="auto"/>
        <w:ind w:firstLine="720"/>
        <w:jc w:val="both"/>
        <w:rPr>
          <w:color w:val="000000"/>
        </w:rPr>
      </w:pPr>
      <w:r>
        <w:rPr>
          <w:color w:val="000000"/>
        </w:rPr>
        <w:t>[2]</w:t>
      </w:r>
      <w:r w:rsidR="00BC1683">
        <w:rPr>
          <w:color w:val="000000"/>
        </w:rPr>
        <w:t> </w:t>
      </w:r>
      <w:r>
        <w:rPr>
          <w:color w:val="000000"/>
        </w:rPr>
        <w:t xml:space="preserve">Administratīvās rajona tiesas tiesnesis </w:t>
      </w:r>
      <w:r w:rsidR="00394A72">
        <w:rPr>
          <w:color w:val="000000"/>
        </w:rPr>
        <w:t xml:space="preserve">ar 2024.gada 17.septembra lēmumu </w:t>
      </w:r>
      <w:r>
        <w:rPr>
          <w:color w:val="000000"/>
        </w:rPr>
        <w:t>atteic</w:t>
      </w:r>
      <w:r w:rsidR="00E62FB7">
        <w:rPr>
          <w:color w:val="000000"/>
        </w:rPr>
        <w:t>a</w:t>
      </w:r>
      <w:r>
        <w:rPr>
          <w:color w:val="000000"/>
        </w:rPr>
        <w:t xml:space="preserve"> pieņemt pieteikumu</w:t>
      </w:r>
      <w:r w:rsidR="00E62FB7">
        <w:rPr>
          <w:color w:val="000000"/>
        </w:rPr>
        <w:t>, norādot, ka ta</w:t>
      </w:r>
      <w:r>
        <w:rPr>
          <w:color w:val="000000"/>
        </w:rPr>
        <w:t>s nav izskatāms administratīvā procesa kārībā (</w:t>
      </w:r>
      <w:r w:rsidRPr="00077C40">
        <w:rPr>
          <w:i/>
          <w:iCs/>
          <w:color w:val="000000"/>
        </w:rPr>
        <w:t>Administratīvā procesa likuma 191.panta pirmās daļas 1.punkts</w:t>
      </w:r>
      <w:r>
        <w:rPr>
          <w:color w:val="000000"/>
        </w:rPr>
        <w:t xml:space="preserve">). </w:t>
      </w:r>
      <w:r w:rsidR="00FE064B" w:rsidRPr="00FE064B">
        <w:rPr>
          <w:color w:val="000000"/>
        </w:rPr>
        <w:t xml:space="preserve">Tiesnesis pārsūdzētajā lēmumā secināja, ka </w:t>
      </w:r>
      <w:r w:rsidR="002A600F">
        <w:rPr>
          <w:color w:val="000000"/>
        </w:rPr>
        <w:t xml:space="preserve">Valsts ieņēmumu </w:t>
      </w:r>
      <w:r w:rsidR="00FE064B" w:rsidRPr="00FE064B">
        <w:rPr>
          <w:color w:val="000000"/>
        </w:rPr>
        <w:t>dienesta informācijas pieprasījums, lai veiktu nodokļu aprēķinu un samaksas pareizības pārbaudi, ir procesuāla darbība, kurai nav galīgu tiesisko seku, līdz ar to pieteicējai nav tiesību šādu informācijas pieprasījumu atsevišķi pārsūdzēt. Iebildumus par šādu dienesta darbību var izteikt, pārsūdzot gala lēmumu, ja tāds tiks izdots.</w:t>
      </w:r>
    </w:p>
    <w:p w14:paraId="036EE6E7" w14:textId="77777777" w:rsidR="00FE064B" w:rsidRDefault="00FE064B" w:rsidP="0093767A">
      <w:pPr>
        <w:spacing w:line="276" w:lineRule="auto"/>
        <w:ind w:firstLine="720"/>
        <w:jc w:val="both"/>
        <w:rPr>
          <w:color w:val="000000"/>
        </w:rPr>
      </w:pPr>
    </w:p>
    <w:p w14:paraId="3602456F" w14:textId="671AEAE2" w:rsidR="00855A1D" w:rsidRDefault="00FE064B" w:rsidP="0093767A">
      <w:pPr>
        <w:spacing w:line="276" w:lineRule="auto"/>
        <w:ind w:firstLine="720"/>
        <w:jc w:val="both"/>
        <w:rPr>
          <w:color w:val="000000"/>
        </w:rPr>
      </w:pPr>
      <w:r>
        <w:rPr>
          <w:color w:val="000000"/>
        </w:rPr>
        <w:t>[3]</w:t>
      </w:r>
      <w:r w:rsidR="00BC1683">
        <w:rPr>
          <w:color w:val="000000"/>
        </w:rPr>
        <w:t> </w:t>
      </w:r>
      <w:r>
        <w:rPr>
          <w:color w:val="000000"/>
        </w:rPr>
        <w:t>Pieteicēja par Administratīvās rajona tiesas tie</w:t>
      </w:r>
      <w:r w:rsidR="00E62FB7">
        <w:rPr>
          <w:color w:val="000000"/>
        </w:rPr>
        <w:t>s</w:t>
      </w:r>
      <w:r>
        <w:rPr>
          <w:color w:val="000000"/>
        </w:rPr>
        <w:t xml:space="preserve">neša lēmumu iesniedza blakus sūdzību. </w:t>
      </w:r>
    </w:p>
    <w:p w14:paraId="2C895EFF" w14:textId="46F22151" w:rsidR="00FE064B" w:rsidRDefault="00FE064B" w:rsidP="0093767A">
      <w:pPr>
        <w:spacing w:line="276" w:lineRule="auto"/>
        <w:ind w:firstLine="720"/>
        <w:jc w:val="both"/>
        <w:rPr>
          <w:color w:val="000000"/>
        </w:rPr>
      </w:pPr>
      <w:r>
        <w:rPr>
          <w:color w:val="000000"/>
        </w:rPr>
        <w:t xml:space="preserve">Blakus sūdzībā un papildu paskaidrojumos pieteicēja argumentē, ka </w:t>
      </w:r>
      <w:r w:rsidR="00855A1D" w:rsidRPr="00855A1D">
        <w:rPr>
          <w:color w:val="000000"/>
        </w:rPr>
        <w:t xml:space="preserve">pieprasītā informācija tiks izmantota pret pieteicējas darbiniekiem, līdz ar to pieteicējai ir tiesības pārsūdzēt </w:t>
      </w:r>
      <w:r w:rsidR="002A600F">
        <w:rPr>
          <w:color w:val="000000"/>
        </w:rPr>
        <w:t xml:space="preserve">Valsts ieņēmumu </w:t>
      </w:r>
      <w:r w:rsidR="00855A1D" w:rsidRPr="00855A1D">
        <w:rPr>
          <w:color w:val="000000"/>
        </w:rPr>
        <w:t>dienesta lēmumu, jo pieteicējai nebūs tiesību pārsūdzēt pret darbiniekiem pieņemtos gala lēmumus.</w:t>
      </w:r>
      <w:r w:rsidR="00855A1D">
        <w:rPr>
          <w:color w:val="000000"/>
        </w:rPr>
        <w:t xml:space="preserve"> </w:t>
      </w:r>
      <w:r w:rsidR="00855A1D" w:rsidRPr="00855A1D">
        <w:rPr>
          <w:color w:val="000000"/>
        </w:rPr>
        <w:t>Pieteicēja uzsver, ka, pat ja pieprasītā informācija tiks izmantota pret pieteicēju, ir nepamatoti prasīt pieteicējai sniegt dienestam informāciju, kuras glabāšana nav pieteicējas pienākums. Bez tiesībām pārsūdzēt dienesta informācijas pieprasījumus personām nav iespēju aizsargāt savas tiesiskās intereses no nepamatoti plašiem vai prettiesiskiem informācijas pieprasījumiem. Turklāt sekas, kas par šādas informācijas nesniegšanu draud pieteicējai, ir nesamērīgas.</w:t>
      </w:r>
      <w:r w:rsidR="00855A1D">
        <w:rPr>
          <w:color w:val="000000"/>
        </w:rPr>
        <w:t xml:space="preserve"> </w:t>
      </w:r>
      <w:r w:rsidR="00855A1D" w:rsidRPr="00855A1D">
        <w:rPr>
          <w:color w:val="000000"/>
        </w:rPr>
        <w:t xml:space="preserve">Dienesta </w:t>
      </w:r>
      <w:r w:rsidR="00E62FB7">
        <w:rPr>
          <w:color w:val="000000"/>
        </w:rPr>
        <w:t xml:space="preserve">informācijas </w:t>
      </w:r>
      <w:r w:rsidR="00855A1D" w:rsidRPr="00855A1D">
        <w:rPr>
          <w:color w:val="000000"/>
        </w:rPr>
        <w:t>pieprasī</w:t>
      </w:r>
      <w:r w:rsidR="00E62FB7">
        <w:rPr>
          <w:color w:val="000000"/>
        </w:rPr>
        <w:t>jums</w:t>
      </w:r>
      <w:r w:rsidR="00855A1D" w:rsidRPr="00855A1D">
        <w:rPr>
          <w:color w:val="000000"/>
        </w:rPr>
        <w:t xml:space="preserve"> un attiecīgais pieteicējas pienākums šādu informāciju apkopot, glabāt un izsniegt ir pretrunā ar </w:t>
      </w:r>
      <w:r w:rsidR="00E62FB7" w:rsidRPr="00E62FB7">
        <w:rPr>
          <w:color w:val="000000"/>
        </w:rPr>
        <w:t>Eiropas Parlamenta un Padomes 2016.gada 27.aprī</w:t>
      </w:r>
      <w:r w:rsidR="00E62FB7">
        <w:rPr>
          <w:color w:val="000000"/>
        </w:rPr>
        <w:t>ļa</w:t>
      </w:r>
      <w:r w:rsidR="00E62FB7" w:rsidRPr="00E62FB7">
        <w:rPr>
          <w:color w:val="000000"/>
        </w:rPr>
        <w:t xml:space="preserve"> Regul</w:t>
      </w:r>
      <w:r w:rsidR="00E62FB7">
        <w:rPr>
          <w:color w:val="000000"/>
        </w:rPr>
        <w:t>ā</w:t>
      </w:r>
      <w:r w:rsidR="00E62FB7" w:rsidRPr="00E62FB7">
        <w:rPr>
          <w:color w:val="000000"/>
        </w:rPr>
        <w:t xml:space="preserve"> (ES) 2016/679 par fizisku personu aizsardzību attiecībā uz personas datu apstrādi un šādu datu brīvu apriti un ar ko atceļ Direktīvu 95/46/EK (Vispārīgā datu aizsardzības regula)</w:t>
      </w:r>
      <w:r w:rsidR="00E62FB7">
        <w:rPr>
          <w:color w:val="000000"/>
        </w:rPr>
        <w:t xml:space="preserve"> ietvertajiem</w:t>
      </w:r>
      <w:r w:rsidR="00E62FB7" w:rsidRPr="00E62FB7">
        <w:rPr>
          <w:color w:val="000000"/>
        </w:rPr>
        <w:t xml:space="preserve"> </w:t>
      </w:r>
      <w:r w:rsidR="00855A1D" w:rsidRPr="00855A1D">
        <w:rPr>
          <w:color w:val="000000"/>
        </w:rPr>
        <w:t xml:space="preserve">fizisko personu datu aizsardzības principiem, it īpaši </w:t>
      </w:r>
      <w:r w:rsidR="008F3683">
        <w:rPr>
          <w:color w:val="000000"/>
        </w:rPr>
        <w:t xml:space="preserve">ar </w:t>
      </w:r>
      <w:r w:rsidR="00855A1D" w:rsidRPr="00855A1D">
        <w:rPr>
          <w:color w:val="000000"/>
        </w:rPr>
        <w:t>datu minimizēšanas principu.</w:t>
      </w:r>
      <w:r w:rsidR="00855A1D">
        <w:rPr>
          <w:color w:val="000000"/>
        </w:rPr>
        <w:t xml:space="preserve"> </w:t>
      </w:r>
      <w:r w:rsidR="00855A1D" w:rsidRPr="00855A1D">
        <w:rPr>
          <w:color w:val="000000"/>
        </w:rPr>
        <w:t>Blakus sūdzībā pieteicēja arī lūdz uzdot prejudiciālo jautājumu Eiropas Savienības Tiesai par šādu informācijas pieprasījumu atbilstību regula</w:t>
      </w:r>
      <w:r w:rsidR="008F3683">
        <w:rPr>
          <w:color w:val="000000"/>
        </w:rPr>
        <w:t>i</w:t>
      </w:r>
      <w:r w:rsidR="00855A1D" w:rsidRPr="00855A1D">
        <w:rPr>
          <w:color w:val="000000"/>
        </w:rPr>
        <w:t>.</w:t>
      </w:r>
    </w:p>
    <w:p w14:paraId="30EB3C42" w14:textId="77777777" w:rsidR="00112721" w:rsidRDefault="00112721" w:rsidP="0093767A">
      <w:pPr>
        <w:spacing w:line="276" w:lineRule="auto"/>
        <w:ind w:firstLine="720"/>
        <w:jc w:val="both"/>
        <w:rPr>
          <w:color w:val="000000"/>
        </w:rPr>
      </w:pPr>
    </w:p>
    <w:p w14:paraId="2A2D4C17" w14:textId="53C3FDE3" w:rsidR="00112721" w:rsidRDefault="00112721" w:rsidP="0093767A">
      <w:pPr>
        <w:spacing w:line="276" w:lineRule="auto"/>
        <w:ind w:firstLine="720"/>
        <w:jc w:val="both"/>
        <w:rPr>
          <w:color w:val="000000"/>
        </w:rPr>
      </w:pPr>
      <w:r>
        <w:rPr>
          <w:color w:val="000000"/>
        </w:rPr>
        <w:lastRenderedPageBreak/>
        <w:t>[4]</w:t>
      </w:r>
      <w:r w:rsidR="00BC1683">
        <w:rPr>
          <w:color w:val="000000"/>
        </w:rPr>
        <w:t> </w:t>
      </w:r>
      <w:r>
        <w:rPr>
          <w:color w:val="000000"/>
        </w:rPr>
        <w:t>Senāts lūdza divām iestādēm – Valsts ieņēmumu dienestam un Konkurences padomei – sniegt viedokli par to, vai tiesā būtu pārsūdzami informācijas pieprasījumi, kas adresēti iespējama administratīvā akta adresātam. Abas iestādes argumentēja, ka šādi informācijas pieprasījumi nav atsevišķi pārsūdzami tiesā, bet tos var</w:t>
      </w:r>
      <w:r w:rsidR="005B5FC3">
        <w:rPr>
          <w:color w:val="000000"/>
        </w:rPr>
        <w:t>ētu</w:t>
      </w:r>
      <w:r>
        <w:rPr>
          <w:color w:val="000000"/>
        </w:rPr>
        <w:t xml:space="preserve"> </w:t>
      </w:r>
      <w:r w:rsidR="008F3683">
        <w:rPr>
          <w:color w:val="000000"/>
        </w:rPr>
        <w:t>vērtēt</w:t>
      </w:r>
      <w:r>
        <w:rPr>
          <w:color w:val="000000"/>
        </w:rPr>
        <w:t>, pārbaudot gala lēmuma tiesiskumu.</w:t>
      </w:r>
    </w:p>
    <w:p w14:paraId="1A4C2B7D" w14:textId="77777777" w:rsidR="00112721" w:rsidRDefault="00112721" w:rsidP="0093767A">
      <w:pPr>
        <w:spacing w:line="276" w:lineRule="auto"/>
        <w:ind w:firstLine="720"/>
        <w:jc w:val="both"/>
        <w:rPr>
          <w:color w:val="000000"/>
        </w:rPr>
      </w:pPr>
    </w:p>
    <w:p w14:paraId="69ED8252" w14:textId="0AC2C7D0" w:rsidR="00826242" w:rsidRPr="00EC55A4" w:rsidRDefault="00826242" w:rsidP="0093767A">
      <w:pPr>
        <w:keepNext/>
        <w:spacing w:line="276" w:lineRule="auto"/>
        <w:jc w:val="center"/>
        <w:rPr>
          <w:b/>
        </w:rPr>
      </w:pPr>
      <w:r w:rsidRPr="00EC55A4">
        <w:rPr>
          <w:b/>
        </w:rPr>
        <w:t>Motīvu daļa</w:t>
      </w:r>
    </w:p>
    <w:p w14:paraId="6A607D41" w14:textId="4EA5C78F" w:rsidR="00996B4F" w:rsidRDefault="00996B4F" w:rsidP="0093767A">
      <w:pPr>
        <w:keepNext/>
        <w:spacing w:line="276" w:lineRule="auto"/>
        <w:jc w:val="both"/>
      </w:pPr>
    </w:p>
    <w:p w14:paraId="754A8717" w14:textId="67406AF2" w:rsidR="00112721" w:rsidRDefault="00996B4F" w:rsidP="0093767A">
      <w:pPr>
        <w:keepNext/>
        <w:autoSpaceDE w:val="0"/>
        <w:autoSpaceDN w:val="0"/>
        <w:adjustRightInd w:val="0"/>
        <w:spacing w:line="276" w:lineRule="auto"/>
        <w:ind w:firstLine="720"/>
        <w:jc w:val="both"/>
      </w:pPr>
      <w:r>
        <w:t>[</w:t>
      </w:r>
      <w:r w:rsidR="00112721">
        <w:t>5</w:t>
      </w:r>
      <w:r>
        <w:t>]</w:t>
      </w:r>
      <w:r w:rsidR="005566F6">
        <w:t> </w:t>
      </w:r>
      <w:r w:rsidR="00C63D4E" w:rsidRPr="00C63D4E">
        <w:t xml:space="preserve">Senātam jāizšķir, vai </w:t>
      </w:r>
      <w:r w:rsidR="00BC2FAF">
        <w:t>Valsts ieņēmumu dienesta</w:t>
      </w:r>
      <w:r w:rsidR="00112721">
        <w:t xml:space="preserve"> informācijas pieprasījumi</w:t>
      </w:r>
      <w:r w:rsidR="00BB04D9">
        <w:t xml:space="preserve">, kurus </w:t>
      </w:r>
      <w:r w:rsidR="00BC2FAF">
        <w:t>tas</w:t>
      </w:r>
      <w:r w:rsidR="00BB04D9">
        <w:t xml:space="preserve"> </w:t>
      </w:r>
      <w:r w:rsidR="003E2C05">
        <w:t xml:space="preserve">adresējis </w:t>
      </w:r>
      <w:r w:rsidR="00BB04D9">
        <w:t xml:space="preserve">privātpersonai ārpus vai pirms konkrētiem nodokļu kontroles pasākumiem (nodokļu kontrole, audits), ir pārsūdzami administratīvā procesa kārtībā. </w:t>
      </w:r>
    </w:p>
    <w:p w14:paraId="52CF1645" w14:textId="77777777" w:rsidR="00BB04D9" w:rsidRDefault="00BB04D9" w:rsidP="0093767A">
      <w:pPr>
        <w:keepNext/>
        <w:autoSpaceDE w:val="0"/>
        <w:autoSpaceDN w:val="0"/>
        <w:adjustRightInd w:val="0"/>
        <w:spacing w:line="276" w:lineRule="auto"/>
        <w:ind w:firstLine="720"/>
        <w:jc w:val="both"/>
      </w:pPr>
    </w:p>
    <w:p w14:paraId="7A133815" w14:textId="28287F3F" w:rsidR="00BB04D9" w:rsidRDefault="00BB04D9" w:rsidP="0093767A">
      <w:pPr>
        <w:keepNext/>
        <w:autoSpaceDE w:val="0"/>
        <w:autoSpaceDN w:val="0"/>
        <w:adjustRightInd w:val="0"/>
        <w:spacing w:line="276" w:lineRule="auto"/>
        <w:ind w:firstLine="720"/>
        <w:jc w:val="both"/>
      </w:pPr>
      <w:r>
        <w:t>[6]</w:t>
      </w:r>
      <w:r w:rsidR="00BC1683">
        <w:t> </w:t>
      </w:r>
      <w:r>
        <w:t>Administratīvā procesa likuma 184.pantā ir izsmeļoši uzskaitīti administratīvajā procesā pieļaujamie pieteikuma priekšmeti. Minētā panta pirmās daļas 1.punktā paredzēta iespēja personai vērsties tiesā, lai pārsūdzētu administratīvo aktu. Atbilstoši Administratīvā procesa likuma 1.panta trešajai daļai ar administratīvo aktu personai tiek nodibinātas, grozītas, konstatētas vai izbeigtas konkrētas tiesiskās attiecības vai konstatēta faktiskā situācija.</w:t>
      </w:r>
    </w:p>
    <w:p w14:paraId="779437B5" w14:textId="3608D3AC" w:rsidR="00D76B94" w:rsidRDefault="00D76B94" w:rsidP="0093767A">
      <w:pPr>
        <w:keepNext/>
        <w:autoSpaceDE w:val="0"/>
        <w:autoSpaceDN w:val="0"/>
        <w:adjustRightInd w:val="0"/>
        <w:spacing w:line="276" w:lineRule="auto"/>
        <w:ind w:firstLine="720"/>
        <w:jc w:val="both"/>
      </w:pPr>
      <w:r w:rsidRPr="00D76B94">
        <w:t>Vienlaikus administratīvā akta negatīvā definīcija uzskaita gadījumus, kad lēmums nav uzskatāms par administratīvo aktu. Viens no šādiem lēmumiem ir administratīvā procesa ietvaros pieņemts starplēmums, kas nav uzskatāms par administratīvo aktu, jo tam nav galīg</w:t>
      </w:r>
      <w:r w:rsidR="008F3683">
        <w:t>ā</w:t>
      </w:r>
      <w:r w:rsidRPr="00D76B94">
        <w:t xml:space="preserve"> noregulējuma rakstura. Vienīgais izņēmums, kad likumdevējs ir paredzējis personai tiesības pārsūdzēt iestādes starplēmumu, ir gadījumos, kad tas pats par sevi skar būtiskas personas tiesības vai tiesisk</w:t>
      </w:r>
      <w:r w:rsidR="008F3683">
        <w:t>ā</w:t>
      </w:r>
      <w:r w:rsidRPr="00D76B94">
        <w:t>s intereses vai būtiski apgrūtina to īstenošanu.</w:t>
      </w:r>
    </w:p>
    <w:p w14:paraId="6028F97D" w14:textId="7F1E3E83" w:rsidR="00D76B94" w:rsidRDefault="00D76B94" w:rsidP="0093767A">
      <w:pPr>
        <w:keepNext/>
        <w:autoSpaceDE w:val="0"/>
        <w:autoSpaceDN w:val="0"/>
        <w:adjustRightInd w:val="0"/>
        <w:spacing w:line="276" w:lineRule="auto"/>
        <w:ind w:firstLine="720"/>
        <w:jc w:val="both"/>
      </w:pPr>
      <w:r>
        <w:t>Attiecībā uz informācijas pieprasījumiem būtu jāsaprot, vai tie paši par sevi rada tiesiskās sekas, kas ļautu tos uzskatīt par administratīvajiem aktiem vai vismaz par starplēmumiem, kas paši par sevi skar būtiskas personas tiesības vai tiesiskās intereses. Ja tas apstiprinātos, būtu atzīstamas tiesības tos pārsūdzēt tiesā.</w:t>
      </w:r>
    </w:p>
    <w:p w14:paraId="4C9009D2" w14:textId="25AC94ED" w:rsidR="00BB04D9" w:rsidRDefault="00BB04D9" w:rsidP="0093767A">
      <w:pPr>
        <w:keepNext/>
        <w:autoSpaceDE w:val="0"/>
        <w:autoSpaceDN w:val="0"/>
        <w:adjustRightInd w:val="0"/>
        <w:spacing w:line="276" w:lineRule="auto"/>
        <w:ind w:firstLine="720"/>
        <w:jc w:val="both"/>
      </w:pPr>
    </w:p>
    <w:p w14:paraId="357E2CDC" w14:textId="6AD2E388" w:rsidR="00BB04D9" w:rsidRDefault="004F2E84" w:rsidP="0093767A">
      <w:pPr>
        <w:keepNext/>
        <w:autoSpaceDE w:val="0"/>
        <w:autoSpaceDN w:val="0"/>
        <w:adjustRightInd w:val="0"/>
        <w:spacing w:line="276" w:lineRule="auto"/>
        <w:ind w:firstLine="720"/>
        <w:jc w:val="both"/>
      </w:pPr>
      <w:r>
        <w:t>[</w:t>
      </w:r>
      <w:r w:rsidR="00A10076">
        <w:t>7</w:t>
      </w:r>
      <w:r>
        <w:t>]</w:t>
      </w:r>
      <w:r w:rsidR="00BC1683">
        <w:t> </w:t>
      </w:r>
      <w:r w:rsidR="00BB04D9">
        <w:t>Administratīvā</w:t>
      </w:r>
      <w:r w:rsidR="003E2C05">
        <w:t>s</w:t>
      </w:r>
      <w:r w:rsidR="00BB04D9">
        <w:t xml:space="preserve"> rajona tiesa</w:t>
      </w:r>
      <w:r w:rsidR="003E2C05">
        <w:t>s tiesnesis</w:t>
      </w:r>
      <w:r w:rsidR="00BB04D9">
        <w:t xml:space="preserve"> ir atsau</w:t>
      </w:r>
      <w:r w:rsidR="003E2C05">
        <w:t>c</w:t>
      </w:r>
      <w:r w:rsidR="001355F8">
        <w:t>ie</w:t>
      </w:r>
      <w:r w:rsidR="00BB04D9">
        <w:t xml:space="preserve">s uz agrāku Senāta judikatūru, no kuras izrietot, ka informācijas pieprasījumi </w:t>
      </w:r>
      <w:r w:rsidR="00204ECA">
        <w:t xml:space="preserve">nav uzskatāmi par atsevišķu, galīgu darbību, jo vērsti uz apstākļu noskaidrošanu, </w:t>
      </w:r>
      <w:r w:rsidR="003E2C05">
        <w:t xml:space="preserve">un </w:t>
      </w:r>
      <w:r w:rsidR="00204ECA">
        <w:t xml:space="preserve">tādēļ tie </w:t>
      </w:r>
      <w:r w:rsidR="00BB04D9">
        <w:t>nav atsevišķi pārsūdzami.</w:t>
      </w:r>
    </w:p>
    <w:p w14:paraId="4406B5C4" w14:textId="52524574" w:rsidR="00BB04D9" w:rsidRDefault="00BB04D9" w:rsidP="0093767A">
      <w:pPr>
        <w:keepNext/>
        <w:autoSpaceDE w:val="0"/>
        <w:autoSpaceDN w:val="0"/>
        <w:adjustRightInd w:val="0"/>
        <w:spacing w:line="276" w:lineRule="auto"/>
        <w:ind w:firstLine="720"/>
        <w:jc w:val="both"/>
      </w:pPr>
      <w:r>
        <w:t>Līdz ar to ir jāatgriežas pie Senāta judikatūras atziņām šajā jautājumā.</w:t>
      </w:r>
    </w:p>
    <w:p w14:paraId="039C0A29" w14:textId="77777777" w:rsidR="004F2E84" w:rsidRDefault="004F2E84" w:rsidP="0093767A">
      <w:pPr>
        <w:keepNext/>
        <w:autoSpaceDE w:val="0"/>
        <w:autoSpaceDN w:val="0"/>
        <w:adjustRightInd w:val="0"/>
        <w:spacing w:line="276" w:lineRule="auto"/>
        <w:ind w:firstLine="720"/>
        <w:jc w:val="both"/>
      </w:pPr>
    </w:p>
    <w:p w14:paraId="3BC401DE" w14:textId="5665E68E" w:rsidR="004F2E84" w:rsidRDefault="004F2E84" w:rsidP="0093767A">
      <w:pPr>
        <w:keepNext/>
        <w:autoSpaceDE w:val="0"/>
        <w:autoSpaceDN w:val="0"/>
        <w:adjustRightInd w:val="0"/>
        <w:spacing w:line="276" w:lineRule="auto"/>
        <w:ind w:firstLine="720"/>
        <w:jc w:val="both"/>
      </w:pPr>
      <w:r>
        <w:t>[</w:t>
      </w:r>
      <w:r w:rsidR="00A10076">
        <w:t>8</w:t>
      </w:r>
      <w:r>
        <w:t>]</w:t>
      </w:r>
      <w:r w:rsidR="00BC1683">
        <w:t> </w:t>
      </w:r>
      <w:r>
        <w:t xml:space="preserve">Senāts </w:t>
      </w:r>
      <w:r w:rsidR="00D76B94">
        <w:t>vairākas reizes</w:t>
      </w:r>
      <w:r>
        <w:t xml:space="preserve"> </w:t>
      </w:r>
      <w:r w:rsidR="00D76B94">
        <w:t xml:space="preserve">dažādās situācijās </w:t>
      </w:r>
      <w:r>
        <w:t>ir izskatījis jautājumu par to, vai pieteikumi par iestā</w:t>
      </w:r>
      <w:r w:rsidR="00E06012">
        <w:t>žu</w:t>
      </w:r>
      <w:r>
        <w:t xml:space="preserve"> informācijas pieprasījumiem ir izskatāmi administratīvā procesa kārtībā</w:t>
      </w:r>
      <w:r w:rsidR="003E2C05">
        <w:t>, proti, vai tie ir atsevišķi pārsūdzami</w:t>
      </w:r>
      <w:r>
        <w:t>.</w:t>
      </w:r>
    </w:p>
    <w:p w14:paraId="0C376EA5" w14:textId="592BA09D" w:rsidR="004F2E84" w:rsidRDefault="00F2218A" w:rsidP="0093767A">
      <w:pPr>
        <w:keepNext/>
        <w:autoSpaceDE w:val="0"/>
        <w:autoSpaceDN w:val="0"/>
        <w:adjustRightInd w:val="0"/>
        <w:spacing w:line="276" w:lineRule="auto"/>
        <w:ind w:firstLine="720"/>
        <w:jc w:val="both"/>
      </w:pPr>
      <w:r>
        <w:t>[</w:t>
      </w:r>
      <w:r w:rsidR="00A10076">
        <w:t>8</w:t>
      </w:r>
      <w:r>
        <w:t>.1]</w:t>
      </w:r>
      <w:r w:rsidR="00BC1683">
        <w:t> </w:t>
      </w:r>
      <w:r w:rsidR="004F2E84">
        <w:t xml:space="preserve">Senāta </w:t>
      </w:r>
      <w:r w:rsidR="00A320F2">
        <w:t xml:space="preserve">Administratīvo lietu departamenta kopsēdes </w:t>
      </w:r>
      <w:r w:rsidR="004F2E84">
        <w:t>2006.gada 19.maija lēmumā lietā Nr. </w:t>
      </w:r>
      <w:hyperlink r:id="rId8" w:history="1">
        <w:r w:rsidR="004F2E84" w:rsidRPr="004F2E84">
          <w:rPr>
            <w:rStyle w:val="Hyperlink"/>
          </w:rPr>
          <w:t>SKA-201/2006</w:t>
        </w:r>
      </w:hyperlink>
      <w:r w:rsidR="004F2E84">
        <w:t xml:space="preserve"> tika vērtēts, vai </w:t>
      </w:r>
      <w:r w:rsidR="00D76B94">
        <w:t xml:space="preserve">ir pārsūdzams </w:t>
      </w:r>
      <w:r w:rsidR="004F2E84">
        <w:t>Valsts ieņēmumu dienesta pieprasījums iesniegt papildu deklarāciju atbilstoši likumam „Par iedzīvotāju ienākuma nodokli</w:t>
      </w:r>
      <w:r w:rsidR="00D76B94">
        <w:t xml:space="preserve">”. Senāts secināja, ka dienesta </w:t>
      </w:r>
      <w:r w:rsidR="00D76B94" w:rsidRPr="00D76B94">
        <w:t xml:space="preserve">uzsāktā procesa mērķis, pieprasot </w:t>
      </w:r>
      <w:r w:rsidR="00D76B94">
        <w:t xml:space="preserve">personai </w:t>
      </w:r>
      <w:r w:rsidR="00D76B94" w:rsidRPr="00D76B94">
        <w:t xml:space="preserve">iesniegt papildu deklarāciju, ir pārliecināties par sākotnējās deklarācijas ticamību un pareizību. </w:t>
      </w:r>
      <w:r w:rsidR="00D76B94">
        <w:t>P</w:t>
      </w:r>
      <w:r w:rsidR="00D76B94" w:rsidRPr="00D76B94">
        <w:t>ats papildu deklarācijas pieprasījums un tās saņemšana nesasniedz mērķi, kura sakarā</w:t>
      </w:r>
      <w:r w:rsidR="00E06012">
        <w:t xml:space="preserve"> </w:t>
      </w:r>
      <w:r w:rsidR="00D76B94">
        <w:t>dienests</w:t>
      </w:r>
      <w:r w:rsidR="00D76B94" w:rsidRPr="00D76B94">
        <w:t xml:space="preserve"> uzsācis konkrēto procesu</w:t>
      </w:r>
      <w:r w:rsidR="00D76B94">
        <w:t xml:space="preserve">, tādēļ </w:t>
      </w:r>
      <w:r w:rsidR="00D76B94" w:rsidRPr="00D76B94">
        <w:t>papildu deklarācijas pieprasījums ir starplēmum</w:t>
      </w:r>
      <w:r w:rsidR="00D76B94">
        <w:t>s</w:t>
      </w:r>
      <w:r w:rsidR="00D76B94" w:rsidRPr="00D76B94">
        <w:t>, nevis administratīv</w:t>
      </w:r>
      <w:r w:rsidR="00E06012">
        <w:t>ais</w:t>
      </w:r>
      <w:r w:rsidR="00D76B94" w:rsidRPr="00D76B94">
        <w:t xml:space="preserve"> akt</w:t>
      </w:r>
      <w:r w:rsidR="00E06012">
        <w:t>s (</w:t>
      </w:r>
      <w:r w:rsidR="00E06012" w:rsidRPr="003E2C05">
        <w:rPr>
          <w:i/>
          <w:iCs/>
        </w:rPr>
        <w:t xml:space="preserve">minētā lēmuma </w:t>
      </w:r>
      <w:r w:rsidR="00E06012" w:rsidRPr="003E2C05">
        <w:rPr>
          <w:i/>
          <w:iCs/>
        </w:rPr>
        <w:lastRenderedPageBreak/>
        <w:t>9.punkts</w:t>
      </w:r>
      <w:r w:rsidR="00E06012">
        <w:t>)</w:t>
      </w:r>
      <w:r w:rsidR="00D76B94" w:rsidRPr="00D76B94">
        <w:t>.</w:t>
      </w:r>
      <w:r w:rsidR="00E06012">
        <w:t xml:space="preserve"> </w:t>
      </w:r>
      <w:r w:rsidR="00CE1F91">
        <w:t xml:space="preserve">Šāds pieprasījums ir </w:t>
      </w:r>
      <w:r w:rsidR="00CE1F91" w:rsidRPr="00CE1F91">
        <w:t xml:space="preserve">uzskatāms par sava veida personas uzklausīšanas pienākuma </w:t>
      </w:r>
      <w:r w:rsidR="008F3683">
        <w:t>īstenošanu</w:t>
      </w:r>
      <w:r w:rsidR="00CE1F91" w:rsidRPr="00CE1F91">
        <w:t xml:space="preserve">. Proti, </w:t>
      </w:r>
      <w:r w:rsidR="00CE1F91">
        <w:t xml:space="preserve">dienests </w:t>
      </w:r>
      <w:r w:rsidR="00CE1F91" w:rsidRPr="00CE1F91">
        <w:t>nevis pieņem lēmumu, balstoties tikai uz tā rīcībā esošo informāciju, bet gan dod iespēju personai pirms administratīvā akta izdošanas iesniegt papildu informāciju</w:t>
      </w:r>
      <w:r w:rsidR="00CE1F91">
        <w:t xml:space="preserve">. Savukārt </w:t>
      </w:r>
      <w:r w:rsidR="00CE1F91" w:rsidRPr="00CE1F91">
        <w:t>papildu deklarācijas iesniegšana ir personas tiesības, nevis pienākums, par kura nepildīšanu ir uzliekams sods</w:t>
      </w:r>
      <w:r w:rsidR="00166D66">
        <w:t xml:space="preserve">. </w:t>
      </w:r>
      <w:r w:rsidR="00166D66" w:rsidRPr="00166D66">
        <w:t>Tādējādi</w:t>
      </w:r>
      <w:r w:rsidR="002A600F">
        <w:t xml:space="preserve"> </w:t>
      </w:r>
      <w:r w:rsidR="00166D66">
        <w:t>dienesta</w:t>
      </w:r>
      <w:r w:rsidR="00166D66" w:rsidRPr="00166D66">
        <w:t xml:space="preserve"> pieprasījums nav uzskatāms par galīgo lēmumu, bet gan par procesa gaitā pieņemtu lēmumu, kurš ir pārsūdzams, tikai pārsūdzot galīgo lēmumu</w:t>
      </w:r>
      <w:r w:rsidR="00CE1F91">
        <w:t xml:space="preserve"> </w:t>
      </w:r>
      <w:r w:rsidR="00CE1F91" w:rsidRPr="00CE1F91">
        <w:t>(</w:t>
      </w:r>
      <w:r w:rsidR="00CE1F91" w:rsidRPr="00CE1F91">
        <w:rPr>
          <w:i/>
          <w:iCs/>
        </w:rPr>
        <w:t>turpat, 10.punkts</w:t>
      </w:r>
      <w:r w:rsidR="00CE1F91" w:rsidRPr="00CE1F91">
        <w:t>)</w:t>
      </w:r>
      <w:r w:rsidR="00CE1F91">
        <w:t>.</w:t>
      </w:r>
      <w:r w:rsidR="00166D66">
        <w:t xml:space="preserve"> </w:t>
      </w:r>
    </w:p>
    <w:p w14:paraId="5168BC08" w14:textId="44C12CFA" w:rsidR="004F2E84" w:rsidRDefault="00166D66" w:rsidP="0093767A">
      <w:pPr>
        <w:keepNext/>
        <w:autoSpaceDE w:val="0"/>
        <w:autoSpaceDN w:val="0"/>
        <w:adjustRightInd w:val="0"/>
        <w:spacing w:line="276" w:lineRule="auto"/>
        <w:ind w:firstLine="720"/>
        <w:jc w:val="both"/>
      </w:pPr>
      <w:r>
        <w:t>Minētajā lietā Senāts turklāt pieņēma blakus lēmumu, kurā norādīja, ka Valsts ieņēmumu dienests</w:t>
      </w:r>
      <w:r w:rsidRPr="00166D66">
        <w:t xml:space="preserve"> nepareizi interpretē likuma </w:t>
      </w:r>
      <w:r>
        <w:t>„</w:t>
      </w:r>
      <w:r w:rsidRPr="00166D66">
        <w:t>Par iedzīvotāju ienākuma nodokli” 22.panta treš</w:t>
      </w:r>
      <w:r>
        <w:t>o</w:t>
      </w:r>
      <w:r w:rsidRPr="00166D66">
        <w:t xml:space="preserve"> daļu, uzskatot, ka tajā ietvertais vārds </w:t>
      </w:r>
      <w:r>
        <w:t>„</w:t>
      </w:r>
      <w:r w:rsidRPr="00166D66">
        <w:t xml:space="preserve">pieprasa” interpretējams tādējādi, ka papildu deklarācijas iesniegšana pēc </w:t>
      </w:r>
      <w:r>
        <w:t xml:space="preserve">dienesta </w:t>
      </w:r>
      <w:r w:rsidRPr="00166D66">
        <w:t>pieprasījuma ir obligāta.</w:t>
      </w:r>
      <w:r w:rsidR="004F2E84">
        <w:t xml:space="preserve"> </w:t>
      </w:r>
      <w:r>
        <w:t>Senāts, norādot uz to, ka pēc būtības šāds pieprasījums ir personas uzklausīšana</w:t>
      </w:r>
      <w:r w:rsidR="00F23E2C">
        <w:t>, dienestam izskaidroja, k</w:t>
      </w:r>
      <w:r>
        <w:t>a informācijas sniegšana ir p</w:t>
      </w:r>
      <w:r w:rsidR="00F23E2C">
        <w:t xml:space="preserve">ersonas tiesības, nevis pienākums. Pretējā gadījumā, ja dienests pieprasījumu iesniegt papildu deklarāciju uzskatītu par obligātu, tas ir, pienākumu uzliekošu lēmumu, šāds lēmums papildinātu personas pienākumu loku, tātad būtu uzskatāms par tiesisko attiecību nodibinošu administratīvo aktu. Jebkurš administratīvais akts, ja vien izņēmums </w:t>
      </w:r>
      <w:r w:rsidR="00F23E2C" w:rsidRPr="00F23E2C">
        <w:rPr>
          <w:i/>
          <w:iCs/>
        </w:rPr>
        <w:t>expressis verbis</w:t>
      </w:r>
      <w:r w:rsidR="00F23E2C">
        <w:t xml:space="preserve"> nav noteikts normatīvajā aktā, ir pārsūdzams tiesā. Uzskatot pieprasījumu iesniegt papildu deklarāciju par tiesā pārsūdzamu administratīvo aktu, dienestam rastos grūtības saprātīgā laikā nonākt līdz galīgajam lēmumam. Tādējādi Senāts uzskatīja, ka dienestam nepieciešams mainīt savu praksi un pieprasījumā par papildu deklarācijas iesniegšanu norādīt nevis uz Latvijas Administratīvo pārkāpumu kodeksā paredzēto atbildību par prasību savlaicīgu neizpildīšanu, bet gan uz nelabvēlīgajām sekām, kas personai papildu deklarācijas un informācijas neiesniegšanas gadījumā var iestāties atbilstoši likumam „Par iedzīvotāju ienākuma nodokli” un citām tiesību normām, kas attiecīgi regulē ienākumu nepilnīgu uzrādīšanu vai slēpšanu, liedzot šīm personām turpmākajā procesā iestādē un tiesā iesniegt pierādījumus un atspēkot dienesta argumentus</w:t>
      </w:r>
      <w:r w:rsidR="00FA2B9C">
        <w:t xml:space="preserve"> (</w:t>
      </w:r>
      <w:r w:rsidR="00FA2B9C" w:rsidRPr="00FA2B9C">
        <w:rPr>
          <w:i/>
          <w:iCs/>
        </w:rPr>
        <w:t>blakus lēmuma 6., 8., 9.punkts</w:t>
      </w:r>
      <w:r w:rsidR="00FA2B9C">
        <w:t>)</w:t>
      </w:r>
      <w:r w:rsidR="00F23E2C">
        <w:t>.</w:t>
      </w:r>
    </w:p>
    <w:p w14:paraId="2D14F21D" w14:textId="196CB90E" w:rsidR="00BB04D9" w:rsidRDefault="00F2218A" w:rsidP="0093767A">
      <w:pPr>
        <w:keepNext/>
        <w:autoSpaceDE w:val="0"/>
        <w:autoSpaceDN w:val="0"/>
        <w:adjustRightInd w:val="0"/>
        <w:spacing w:line="276" w:lineRule="auto"/>
        <w:ind w:firstLine="720"/>
        <w:jc w:val="both"/>
      </w:pPr>
      <w:r>
        <w:t xml:space="preserve">Tātad attiecībā uz Valsts ieņēmumu dienesta pieprasījumiem iesniegt papildu deklarācijas Senāts atzina, ka tie paši par sevi nerada tiesiskās sekas, bet ir procesuāli lēmumi, kuru mērķis ir noskaidrot faktus un uzklausīt personu. Taču šādi šos pieprasījumus var kvalificēt tikai tikmēr, kamēr </w:t>
      </w:r>
      <w:r w:rsidR="009C5295">
        <w:t>pieprasījumu izpilde</w:t>
      </w:r>
      <w:r>
        <w:t xml:space="preserve"> ir personas tiesības, nevis pienākums, un kamēr par pieprasījuma neizpildīšanu neiestājas nelabvēlīgas sekas – administratīvais sods.</w:t>
      </w:r>
    </w:p>
    <w:p w14:paraId="655E7D84" w14:textId="57950577" w:rsidR="00BB04D9" w:rsidRDefault="00F43F8E" w:rsidP="0093767A">
      <w:pPr>
        <w:keepNext/>
        <w:autoSpaceDE w:val="0"/>
        <w:autoSpaceDN w:val="0"/>
        <w:adjustRightInd w:val="0"/>
        <w:spacing w:line="276" w:lineRule="auto"/>
        <w:ind w:firstLine="720"/>
        <w:jc w:val="both"/>
      </w:pPr>
      <w:r>
        <w:t>[</w:t>
      </w:r>
      <w:r w:rsidR="00A10076">
        <w:t>8</w:t>
      </w:r>
      <w:r>
        <w:t>.2]</w:t>
      </w:r>
      <w:r w:rsidR="00BC1683">
        <w:t> </w:t>
      </w:r>
      <w:r w:rsidR="00A320F2">
        <w:t xml:space="preserve">Senāta Administratīvo lietu departamenta kopsēdes 2010.gada </w:t>
      </w:r>
      <w:r w:rsidR="007C3631">
        <w:t>5.janvāra lēmumā Nr. </w:t>
      </w:r>
      <w:hyperlink r:id="rId9" w:history="1">
        <w:r w:rsidR="007C3631" w:rsidRPr="001244BB">
          <w:rPr>
            <w:rStyle w:val="Hyperlink"/>
          </w:rPr>
          <w:t>SKA-163/2010</w:t>
        </w:r>
      </w:hyperlink>
      <w:r w:rsidR="007C3631">
        <w:t xml:space="preserve">, </w:t>
      </w:r>
      <w:r w:rsidR="007C3631" w:rsidRPr="007C3631">
        <w:t>A42606307</w:t>
      </w:r>
      <w:r w:rsidR="007C3631">
        <w:t xml:space="preserve">, tika vērtēts, vai ir pārsūdzams </w:t>
      </w:r>
      <w:r w:rsidR="007C3631" w:rsidRPr="007C3631">
        <w:t>Valsts ieņēmumu dienesta ziņu pieprasījums kredītiestādei</w:t>
      </w:r>
      <w:r w:rsidR="001244BB">
        <w:t>, proti, personai, kas nav administratīvā procesa dalībnieks.</w:t>
      </w:r>
    </w:p>
    <w:p w14:paraId="68917259" w14:textId="77777777" w:rsidR="001244BB" w:rsidRDefault="001244BB" w:rsidP="0093767A">
      <w:pPr>
        <w:keepNext/>
        <w:autoSpaceDE w:val="0"/>
        <w:autoSpaceDN w:val="0"/>
        <w:adjustRightInd w:val="0"/>
        <w:spacing w:line="276" w:lineRule="auto"/>
        <w:ind w:firstLine="720"/>
        <w:jc w:val="both"/>
      </w:pPr>
      <w:r>
        <w:t xml:space="preserve">Senāts atkārtoja jau iepriekš atzīto, ka </w:t>
      </w:r>
      <w:r w:rsidRPr="001244BB">
        <w:t>informācijas pieprasījums nodokļu maksātājam – administratīvā procesa dalībniekam – nav uzskatāms par atsevišķu, galīgu darbību, jo ir vērsts uz apstākļu noskaidrošanu, kas savukārt ir pamats tālākai iestādes rīcībai. Tādēļ šāds informācijas pieprasījums nav pārsūdzams atsevišķi administratīvajā tiesā</w:t>
      </w:r>
      <w:r>
        <w:t xml:space="preserve"> (</w:t>
      </w:r>
      <w:r w:rsidRPr="001244BB">
        <w:rPr>
          <w:i/>
          <w:iCs/>
        </w:rPr>
        <w:t>minētā lēmuma 15.punkts</w:t>
      </w:r>
      <w:r>
        <w:t xml:space="preserve">). </w:t>
      </w:r>
    </w:p>
    <w:p w14:paraId="0617A48B" w14:textId="067D1616" w:rsidR="001244BB" w:rsidRDefault="001244BB" w:rsidP="0093767A">
      <w:pPr>
        <w:keepNext/>
        <w:autoSpaceDE w:val="0"/>
        <w:autoSpaceDN w:val="0"/>
        <w:adjustRightInd w:val="0"/>
        <w:spacing w:line="276" w:lineRule="auto"/>
        <w:ind w:firstLine="720"/>
        <w:jc w:val="both"/>
      </w:pPr>
      <w:r>
        <w:t xml:space="preserve">Taču informācijas pieprasījums kredītiestādei, kura nav administratīvā procesa dalībnieks, tika vērtēts atšķirīgi. Senāts konstatēja, ka ziņu pieprasījums nodibina kredītiestādes pienākumu (rada tiesiskas sekas) </w:t>
      </w:r>
      <w:r w:rsidR="00840998">
        <w:t xml:space="preserve">noteiktā termiņā </w:t>
      </w:r>
      <w:r>
        <w:t xml:space="preserve">atklāt ziņas par tās klientu, nodibinot konkrētu informācijas sniegšanas tiesisko attiecību. Ziņu pieprasījums </w:t>
      </w:r>
      <w:r>
        <w:lastRenderedPageBreak/>
        <w:t>ir izpildāms piespiedu kārtā, ja privātpersona (kredītiestāde) to neizpilda labprātīgi. Papildus tiesību normas paredz arī administratīvo sodu par ziņu nesniegšanu</w:t>
      </w:r>
      <w:r w:rsidR="00840998">
        <w:t xml:space="preserve"> (</w:t>
      </w:r>
      <w:r w:rsidR="00840998" w:rsidRPr="00840998">
        <w:rPr>
          <w:i/>
          <w:iCs/>
        </w:rPr>
        <w:t>minētā lēmuma 11., 13.punkts</w:t>
      </w:r>
      <w:r w:rsidR="00840998">
        <w:t>)</w:t>
      </w:r>
      <w:r>
        <w:t>.</w:t>
      </w:r>
    </w:p>
    <w:p w14:paraId="62CAFC5C" w14:textId="33B7F640" w:rsidR="001244BB" w:rsidRDefault="001244BB" w:rsidP="0093767A">
      <w:pPr>
        <w:keepNext/>
        <w:autoSpaceDE w:val="0"/>
        <w:autoSpaceDN w:val="0"/>
        <w:adjustRightInd w:val="0"/>
        <w:spacing w:line="276" w:lineRule="auto"/>
        <w:ind w:firstLine="720"/>
        <w:jc w:val="both"/>
      </w:pPr>
      <w:r>
        <w:t xml:space="preserve">Tātad pilnībā atbilstoši </w:t>
      </w:r>
      <w:r w:rsidR="00840998">
        <w:t>Senāta 2006.gada 19.maija lēmuma lietā Nr. SKA</w:t>
      </w:r>
      <w:r w:rsidR="001302C5">
        <w:noBreakHyphen/>
      </w:r>
      <w:r w:rsidR="00840998">
        <w:t xml:space="preserve">201/2006 atziņām Senāts arī šajā gadījumā uzskatīja par būtisku to, vai personai ir pienākums izpildīt iestādes pieprasījumu un vai par šī pienākuma neizpildi pašu par sevi var iestāties nelabvēlīgas sekas (administratīvais sods). </w:t>
      </w:r>
    </w:p>
    <w:p w14:paraId="0C383F1D" w14:textId="41E7538E" w:rsidR="00A10076" w:rsidRDefault="00A10076" w:rsidP="0093767A">
      <w:pPr>
        <w:keepNext/>
        <w:autoSpaceDE w:val="0"/>
        <w:autoSpaceDN w:val="0"/>
        <w:adjustRightInd w:val="0"/>
        <w:spacing w:line="276" w:lineRule="auto"/>
        <w:ind w:firstLine="720"/>
        <w:jc w:val="both"/>
      </w:pPr>
      <w:r>
        <w:t>[8.</w:t>
      </w:r>
      <w:r w:rsidR="00E11BD3">
        <w:t>3</w:t>
      </w:r>
      <w:r>
        <w:t>]</w:t>
      </w:r>
      <w:r w:rsidR="00BC1683">
        <w:t> </w:t>
      </w:r>
      <w:r>
        <w:t>Senāta Administratīvo lietu departamenta kopsēdes 2014.gada 9.aprīļa lēmumā lietā Nr. </w:t>
      </w:r>
      <w:hyperlink r:id="rId10" w:history="1">
        <w:r w:rsidRPr="000C5C2E">
          <w:rPr>
            <w:rStyle w:val="Hyperlink"/>
          </w:rPr>
          <w:t>SKA-148/2014</w:t>
        </w:r>
      </w:hyperlink>
      <w:r>
        <w:t xml:space="preserve"> atkal tika vērtēts, vai Valsts ieņēmumu dienesta informācijas pieprasījums personai – nodokļu maksātājam – ir pārsūdzams tiesā kā administratīvais akts. Atšķirībā no lietas Nr. SKA-201/2006 šajā gadījumā </w:t>
      </w:r>
      <w:r w:rsidR="003E2C05">
        <w:t>dienests</w:t>
      </w:r>
      <w:r>
        <w:t xml:space="preserve"> prasī</w:t>
      </w:r>
      <w:r w:rsidR="003E2C05">
        <w:t>ja</w:t>
      </w:r>
      <w:r>
        <w:t xml:space="preserve"> iesniegt nevis papildu deklarāciju atbilstoši likumam „Par iedzīvotāju ienākuma nodokli”, bet konkrēta satura informāciju – informāciju un darījumu apliecinošu dokumentu kopijas par personas darījumiem ar vairākām juridiskajām personām, kā arī bezskaidras naudas uzkrājumiem</w:t>
      </w:r>
      <w:r w:rsidR="003E2C05">
        <w:t>. Š</w:t>
      </w:r>
      <w:r w:rsidR="00017C37">
        <w:t>āds pieprasījums tika izdarīts ārpus kādas konkrētas nodokļu kontroles procedūras</w:t>
      </w:r>
      <w:r>
        <w:t xml:space="preserve">. </w:t>
      </w:r>
    </w:p>
    <w:p w14:paraId="10B3259C" w14:textId="627D352B" w:rsidR="00A10076" w:rsidRDefault="00A10076" w:rsidP="0093767A">
      <w:pPr>
        <w:keepNext/>
        <w:autoSpaceDE w:val="0"/>
        <w:autoSpaceDN w:val="0"/>
        <w:adjustRightInd w:val="0"/>
        <w:spacing w:line="276" w:lineRule="auto"/>
        <w:ind w:firstLine="720"/>
        <w:jc w:val="both"/>
      </w:pPr>
      <w:r>
        <w:t>Senāts, atsaucoties uz Valsts ieņēmumu dienesta vispārīgām tiesībām iegūt informāciju, atzina, ka informācijas pieprasīšana nodokļ</w:t>
      </w:r>
      <w:r w:rsidR="00EE2C25">
        <w:t>u</w:t>
      </w:r>
      <w:r>
        <w:t xml:space="preserve"> audita ietvaros ir procesuāla darbība, kas vērsta uz galīg</w:t>
      </w:r>
      <w:r w:rsidR="008F3683">
        <w:t>ā</w:t>
      </w:r>
      <w:r>
        <w:t xml:space="preserve"> administratīvā akta izdošanu par nodokļa samaksu, un tās tiesiskumu kontrolē, pārbaudot nodokļa maksāšanas pārbaudes procesa noslēdzošo lēmumu. Taču nodokļu administrācija var lūgt nodokļa maksātājam papildu informāciju vai sniegtās informācijas (deklarāciju, pārskatu) izskaidrojumu arī pirms nodokļa audita uzsākšanas, piemēram, lai tikai izlemtu, vai ir pamatots iemesls uzsākt nodokļa auditu. </w:t>
      </w:r>
      <w:r w:rsidR="00017C37">
        <w:t>Šāds i</w:t>
      </w:r>
      <w:r>
        <w:t>nformācijas pieprasījums</w:t>
      </w:r>
      <w:r w:rsidR="00017C37">
        <w:t xml:space="preserve"> – turklāt pretēji dienesta paustajam viedoklim – </w:t>
      </w:r>
      <w:r>
        <w:t>nerada p</w:t>
      </w:r>
      <w:r w:rsidR="00017C37">
        <w:t>ersonai</w:t>
      </w:r>
      <w:r>
        <w:t xml:space="preserve"> tiesiskas sekas. Sekas nodokļa maksātāja sadarbības atteikumam ar nodokļu administrāciju ir risks, ka nodokļa aprēķināšanā tiks izmantota tā informācija, kura ir nodokļu administrācijas rīcībā</w:t>
      </w:r>
      <w:r w:rsidR="00B0562F">
        <w:t xml:space="preserve"> (</w:t>
      </w:r>
      <w:r w:rsidR="00B0562F" w:rsidRPr="00B0562F">
        <w:rPr>
          <w:i/>
          <w:iCs/>
        </w:rPr>
        <w:t>minētā lēmuma 8., 9.punkts</w:t>
      </w:r>
      <w:r w:rsidR="00B0562F">
        <w:t>).</w:t>
      </w:r>
    </w:p>
    <w:p w14:paraId="423E2BAA" w14:textId="73753147" w:rsidR="009C5295" w:rsidRDefault="00E11BD3" w:rsidP="0093767A">
      <w:pPr>
        <w:keepNext/>
        <w:autoSpaceDE w:val="0"/>
        <w:autoSpaceDN w:val="0"/>
        <w:adjustRightInd w:val="0"/>
        <w:spacing w:line="276" w:lineRule="auto"/>
        <w:ind w:firstLine="720"/>
        <w:jc w:val="both"/>
      </w:pPr>
      <w:r w:rsidRPr="00E11BD3">
        <w:t>[8.</w:t>
      </w:r>
      <w:r w:rsidR="009C5295">
        <w:t>4</w:t>
      </w:r>
      <w:r w:rsidRPr="00E11BD3">
        <w:t>]</w:t>
      </w:r>
      <w:r w:rsidR="00BC1683">
        <w:t> </w:t>
      </w:r>
      <w:r w:rsidR="009C5295">
        <w:t>Vairākos lēmumos Senāts ir atzinis, ka iestādes informācijas pieprasījums</w:t>
      </w:r>
      <w:r w:rsidR="009C5295" w:rsidRPr="009C5295">
        <w:t xml:space="preserve"> </w:t>
      </w:r>
      <w:r w:rsidR="009C5295" w:rsidRPr="00E11BD3">
        <w:t>ir procesuāla darbība, kas vērsta uz faktu noskaidrošanu, lai vajadzības gadījumā pieņemtu galīgo lēmumu, un tikai šis galīgais lēmums būtu pārsūdzams tiesā. Savukārt informācijas pieprasījuma pamatotību varētu pārbaudīt, izskatot lietu par galīgo lēmumu.</w:t>
      </w:r>
      <w:r w:rsidR="009C5295" w:rsidRPr="009C5295">
        <w:t xml:space="preserve"> </w:t>
      </w:r>
      <w:r w:rsidR="009C5295" w:rsidRPr="00E11BD3">
        <w:t>Šaj</w:t>
      </w:r>
      <w:r w:rsidR="009C5295">
        <w:t>os</w:t>
      </w:r>
      <w:r w:rsidR="009C5295" w:rsidRPr="00E11BD3">
        <w:t xml:space="preserve"> lēmum</w:t>
      </w:r>
      <w:r w:rsidR="009C5295">
        <w:t>os</w:t>
      </w:r>
      <w:r w:rsidR="009C5295" w:rsidRPr="00E11BD3">
        <w:t xml:space="preserve"> Senāts sīkāk neanalizēja, vai informācijas sniegšana ir personas tiesības vai pienākums un vai informācijas pieprasījums ir tiesiskās sekas radošs tiesību akts, par kura nepildīšanu var būt nelabvēlīgas sekas.</w:t>
      </w:r>
    </w:p>
    <w:p w14:paraId="31AD8ED7" w14:textId="786D9081" w:rsidR="00252D07" w:rsidRPr="00252D07" w:rsidRDefault="009C5295" w:rsidP="0093767A">
      <w:pPr>
        <w:keepNext/>
        <w:autoSpaceDE w:val="0"/>
        <w:autoSpaceDN w:val="0"/>
        <w:adjustRightInd w:val="0"/>
        <w:spacing w:line="276" w:lineRule="auto"/>
        <w:ind w:firstLine="720"/>
        <w:jc w:val="both"/>
      </w:pPr>
      <w:r>
        <w:t xml:space="preserve">Tā </w:t>
      </w:r>
      <w:r w:rsidR="00E11BD3" w:rsidRPr="00E11BD3">
        <w:t xml:space="preserve">2013.gada 4.janvāra lēmumā lietā </w:t>
      </w:r>
      <w:r w:rsidR="00E11BD3" w:rsidRPr="00CE2597">
        <w:t>Nr.</w:t>
      </w:r>
      <w:r w:rsidR="008F3683" w:rsidRPr="00CE2597">
        <w:t> </w:t>
      </w:r>
      <w:r w:rsidR="00E11BD3" w:rsidRPr="00CE2597">
        <w:t>SKA-200/2013</w:t>
      </w:r>
      <w:r w:rsidR="00E11BD3" w:rsidRPr="00E11BD3">
        <w:t xml:space="preserve"> Senāts </w:t>
      </w:r>
      <w:r>
        <w:t>atzina</w:t>
      </w:r>
      <w:r w:rsidR="00E11BD3" w:rsidRPr="00E11BD3">
        <w:t xml:space="preserve">, </w:t>
      </w:r>
      <w:r>
        <w:t xml:space="preserve">ka atsevišķi nav </w:t>
      </w:r>
      <w:r w:rsidR="00E11BD3" w:rsidRPr="00E11BD3">
        <w:t>pārsūdzams Datu valsts inspekcijas informācijas pieprasījums advokātam</w:t>
      </w:r>
      <w:r>
        <w:t xml:space="preserve">. </w:t>
      </w:r>
      <w:r w:rsidR="00DA21D4">
        <w:t xml:space="preserve">2015.gada 18.decembra lēmumā lietā </w:t>
      </w:r>
      <w:r w:rsidR="00DA21D4" w:rsidRPr="00CE2597">
        <w:t>Nr. </w:t>
      </w:r>
      <w:hyperlink r:id="rId11" w:history="1">
        <w:r w:rsidR="00DA21D4" w:rsidRPr="00CE2597">
          <w:rPr>
            <w:rStyle w:val="Hyperlink"/>
          </w:rPr>
          <w:t>SKA-1495</w:t>
        </w:r>
        <w:r w:rsidR="008F3683" w:rsidRPr="00CE2597">
          <w:rPr>
            <w:rStyle w:val="Hyperlink"/>
          </w:rPr>
          <w:t>/2015</w:t>
        </w:r>
      </w:hyperlink>
      <w:r w:rsidR="00CE2597">
        <w:t xml:space="preserve"> </w:t>
      </w:r>
      <w:r w:rsidR="00DA21D4">
        <w:t xml:space="preserve">Senāts atzina, ka </w:t>
      </w:r>
      <w:r>
        <w:t xml:space="preserve">atsevišķi nav pārsūdzams </w:t>
      </w:r>
      <w:r w:rsidR="00DA21D4">
        <w:t xml:space="preserve">Valsts </w:t>
      </w:r>
      <w:r w:rsidR="00DA21D4" w:rsidRPr="00252D07">
        <w:t>ieņēmumu dienesta informācijas pieprasījums personai par tās ienākumiem sakarā ar to, ka dienests no šīs personas piedzen nodokļu maksājumus</w:t>
      </w:r>
      <w:r w:rsidRPr="00252D07">
        <w:t xml:space="preserve">. Analoģiski secinājumi izdarīti </w:t>
      </w:r>
      <w:r w:rsidR="00D97AD4" w:rsidRPr="00252D07">
        <w:t xml:space="preserve">2023.gada 23.februāra lēmumā lietā Nr. SKA-526/2023, </w:t>
      </w:r>
      <w:hyperlink r:id="rId12" w:history="1">
        <w:r w:rsidR="00D97AD4" w:rsidRPr="00252D07">
          <w:rPr>
            <w:rStyle w:val="Hyperlink"/>
          </w:rPr>
          <w:t>ECLI:LV:AT:2023:0223.SKA052623.3.L</w:t>
        </w:r>
      </w:hyperlink>
      <w:r w:rsidR="00252D07" w:rsidRPr="00252D07">
        <w:t>,</w:t>
      </w:r>
      <w:r w:rsidR="00D97AD4" w:rsidRPr="00252D07">
        <w:t xml:space="preserve"> </w:t>
      </w:r>
      <w:r w:rsidRPr="00252D07">
        <w:t xml:space="preserve">par Patērētāju tiesību aizsardzības centra informācijas pieprasījumu, </w:t>
      </w:r>
      <w:r w:rsidR="00DA21D4" w:rsidRPr="00252D07">
        <w:t>2023.gada 14.marta lēmumā lietā Nr. SKA-540</w:t>
      </w:r>
      <w:r w:rsidR="008F3683">
        <w:t>/2023</w:t>
      </w:r>
      <w:r w:rsidR="00DA21D4" w:rsidRPr="00252D07">
        <w:t xml:space="preserve">, </w:t>
      </w:r>
      <w:hyperlink r:id="rId13" w:history="1">
        <w:r w:rsidR="00591B89" w:rsidRPr="00252D07">
          <w:rPr>
            <w:rStyle w:val="Hyperlink"/>
          </w:rPr>
          <w:t>ECLI:LV:AT:2023:0314.SKA054023.4.L</w:t>
        </w:r>
      </w:hyperlink>
      <w:r w:rsidR="00252D07">
        <w:t>,</w:t>
      </w:r>
      <w:r w:rsidR="00252D07" w:rsidRPr="00252D07">
        <w:t xml:space="preserve"> un</w:t>
      </w:r>
      <w:r w:rsidRPr="00252D07">
        <w:t xml:space="preserve"> </w:t>
      </w:r>
      <w:r w:rsidR="00941E93" w:rsidRPr="00252D07">
        <w:t xml:space="preserve">2023.gada 20.maija lēmumā lietā </w:t>
      </w:r>
      <w:r w:rsidR="00941E93" w:rsidRPr="00252D07">
        <w:lastRenderedPageBreak/>
        <w:t>Nr. SKA-688</w:t>
      </w:r>
      <w:r w:rsidR="008F3683">
        <w:t>/2023</w:t>
      </w:r>
      <w:r w:rsidR="00941E93" w:rsidRPr="00252D07">
        <w:t xml:space="preserve">, </w:t>
      </w:r>
      <w:hyperlink r:id="rId14" w:history="1">
        <w:r w:rsidR="00941E93" w:rsidRPr="00252D07">
          <w:rPr>
            <w:rStyle w:val="Hyperlink"/>
          </w:rPr>
          <w:t>ECLI:LV:AT:2023:0520.SKA068823.6.L</w:t>
        </w:r>
      </w:hyperlink>
      <w:r w:rsidR="00252D07" w:rsidRPr="00252D07">
        <w:t>,</w:t>
      </w:r>
      <w:r w:rsidR="00941E93" w:rsidRPr="00252D07">
        <w:t xml:space="preserve"> </w:t>
      </w:r>
      <w:r w:rsidR="00252D07" w:rsidRPr="00252D07">
        <w:t>par dienesta informācijas pieprasījumu.</w:t>
      </w:r>
    </w:p>
    <w:p w14:paraId="5AAFDBD5" w14:textId="77777777" w:rsidR="007D73BF" w:rsidRDefault="007D73BF" w:rsidP="0093767A">
      <w:pPr>
        <w:keepNext/>
        <w:autoSpaceDE w:val="0"/>
        <w:autoSpaceDN w:val="0"/>
        <w:adjustRightInd w:val="0"/>
        <w:spacing w:line="276" w:lineRule="auto"/>
        <w:ind w:firstLine="709"/>
        <w:jc w:val="both"/>
      </w:pPr>
    </w:p>
    <w:p w14:paraId="54F8181C" w14:textId="2D3D7A37" w:rsidR="007D73BF" w:rsidRDefault="007D73BF" w:rsidP="0093767A">
      <w:pPr>
        <w:keepNext/>
        <w:autoSpaceDE w:val="0"/>
        <w:autoSpaceDN w:val="0"/>
        <w:adjustRightInd w:val="0"/>
        <w:spacing w:line="276" w:lineRule="auto"/>
        <w:ind w:firstLine="709"/>
        <w:jc w:val="both"/>
      </w:pPr>
      <w:r>
        <w:t>[9]</w:t>
      </w:r>
      <w:r w:rsidR="00BC1683">
        <w:t> </w:t>
      </w:r>
      <w:r w:rsidR="00956684">
        <w:t xml:space="preserve">Apkopojot </w:t>
      </w:r>
      <w:r>
        <w:t>š</w:t>
      </w:r>
      <w:r w:rsidR="00956684">
        <w:t>o</w:t>
      </w:r>
      <w:r>
        <w:t xml:space="preserve"> Senāta prakses pārskat</w:t>
      </w:r>
      <w:r w:rsidR="00956684">
        <w:t>u,</w:t>
      </w:r>
      <w:r>
        <w:t xml:space="preserve"> secināms, ka </w:t>
      </w:r>
      <w:r w:rsidR="00956684">
        <w:t xml:space="preserve">Senāta </w:t>
      </w:r>
      <w:r>
        <w:t>Administratīvo lietu departamenta kopsē</w:t>
      </w:r>
      <w:r w:rsidR="00956684">
        <w:t>žu</w:t>
      </w:r>
      <w:r>
        <w:t xml:space="preserve"> lēmumos ir sniegta būtiska argumentācija, kādēļ informācijas pieprasījumi nav uzskatāmi par tiesiskās sek</w:t>
      </w:r>
      <w:r w:rsidR="00956684">
        <w:t>a</w:t>
      </w:r>
      <w:r>
        <w:t>s radošiem administratīvajiem aktiem: tādēļ, ka informācijas sniegšana gadījumos, kad informācija prasīta iespējam</w:t>
      </w:r>
      <w:r w:rsidR="00252D07">
        <w:t>ā</w:t>
      </w:r>
      <w:r>
        <w:t xml:space="preserve"> administratīvā akta adresātam, ir personas tiesības, nevis pienākums (persona tiek uzklausīta), un informācijas nesniegšanas sekas būtībā ir tikai </w:t>
      </w:r>
      <w:r w:rsidR="00252D07">
        <w:t>risks</w:t>
      </w:r>
      <w:r>
        <w:t xml:space="preserve">, ka iestāde gala lēmumu pieņems bez personas sniegtās informācijas. Savukārt, ja informācijas pieprasījums </w:t>
      </w:r>
      <w:r w:rsidR="00EE2C25">
        <w:t>būtu</w:t>
      </w:r>
      <w:r>
        <w:t xml:space="preserve"> obligāti</w:t>
      </w:r>
      <w:r w:rsidR="00B737BA">
        <w:t xml:space="preserve"> </w:t>
      </w:r>
      <w:r>
        <w:t xml:space="preserve">izpildāms (tai skaitā ar piespiedu izpildi) un par </w:t>
      </w:r>
      <w:r w:rsidR="00252D07">
        <w:t>nepildīšanu</w:t>
      </w:r>
      <w:r>
        <w:t xml:space="preserve"> var</w:t>
      </w:r>
      <w:r w:rsidR="008F3683">
        <w:t>ētu</w:t>
      </w:r>
      <w:r>
        <w:t xml:space="preserve"> iestāties nelabvēlīgas sekas (piemēram, sods), </w:t>
      </w:r>
      <w:r w:rsidR="00EE2C25">
        <w:t>šāds informācijas pieprasījums radītu tiesiskās s</w:t>
      </w:r>
      <w:r w:rsidR="008F3683">
        <w:t>e</w:t>
      </w:r>
      <w:r w:rsidR="00EE2C25">
        <w:t>kas un būtu administratīvais akts, kas pārsūdzams tiesā.</w:t>
      </w:r>
    </w:p>
    <w:p w14:paraId="56159762" w14:textId="061FD545" w:rsidR="00315C9F" w:rsidRDefault="00315C9F" w:rsidP="0093767A">
      <w:pPr>
        <w:keepNext/>
        <w:autoSpaceDE w:val="0"/>
        <w:autoSpaceDN w:val="0"/>
        <w:adjustRightInd w:val="0"/>
        <w:spacing w:line="276" w:lineRule="auto"/>
        <w:ind w:firstLine="709"/>
        <w:jc w:val="both"/>
      </w:pPr>
      <w:r>
        <w:t xml:space="preserve">Ja turpretim informācijas pieprasījuma nepildīšanas sekas būtu </w:t>
      </w:r>
      <w:r w:rsidR="00252D07">
        <w:t xml:space="preserve">tikai </w:t>
      </w:r>
      <w:r>
        <w:t xml:space="preserve">tas, ka persona zaudē iespēju sniegt informāciju (būt uzklausītai), </w:t>
      </w:r>
      <w:r w:rsidR="00252D07">
        <w:t>informācijas sniegšanas pieprasījumu</w:t>
      </w:r>
      <w:r>
        <w:t xml:space="preserve"> var</w:t>
      </w:r>
      <w:r w:rsidR="00252D07">
        <w:t>ētu</w:t>
      </w:r>
      <w:r>
        <w:t xml:space="preserve"> uzskatīt vienkārši par procesuālu darbību vai starplēmumu.</w:t>
      </w:r>
    </w:p>
    <w:p w14:paraId="0DBF4730" w14:textId="6DE5EF14" w:rsidR="00603CB7" w:rsidRDefault="00603CB7" w:rsidP="0093767A">
      <w:pPr>
        <w:keepNext/>
        <w:autoSpaceDE w:val="0"/>
        <w:autoSpaceDN w:val="0"/>
        <w:adjustRightInd w:val="0"/>
        <w:spacing w:line="276" w:lineRule="auto"/>
        <w:ind w:firstLine="709"/>
        <w:jc w:val="both"/>
      </w:pPr>
      <w:r>
        <w:t>Senāts nesaskata pamat</w:t>
      </w:r>
      <w:r w:rsidR="008F3683">
        <w:t>u</w:t>
      </w:r>
      <w:r>
        <w:t xml:space="preserve"> atkāpties no šīm atziņām un atkārtoti tās atzīst par pamatotām.</w:t>
      </w:r>
    </w:p>
    <w:p w14:paraId="5F8CE97F" w14:textId="25BDAC2C" w:rsidR="00315C9F" w:rsidRDefault="00252D07" w:rsidP="0093767A">
      <w:pPr>
        <w:keepNext/>
        <w:autoSpaceDE w:val="0"/>
        <w:autoSpaceDN w:val="0"/>
        <w:adjustRightInd w:val="0"/>
        <w:spacing w:line="276" w:lineRule="auto"/>
        <w:ind w:firstLine="709"/>
        <w:jc w:val="both"/>
      </w:pPr>
      <w:r>
        <w:t>Savukārt šā lēmuma 8.4.punktā minētajos</w:t>
      </w:r>
      <w:r w:rsidR="000F69A8">
        <w:t xml:space="preserve"> lēmumos</w:t>
      </w:r>
      <w:r>
        <w:t xml:space="preserve"> nav bijusi apsvērta</w:t>
      </w:r>
      <w:r w:rsidR="000F69A8">
        <w:t xml:space="preserve"> </w:t>
      </w:r>
      <w:r w:rsidR="00315C9F">
        <w:t xml:space="preserve">kopsēžu lēmumos ietvertā </w:t>
      </w:r>
      <w:r w:rsidR="000F69A8">
        <w:t xml:space="preserve">argumentācija un Senāts izšķīries informācijas pieprasījumus atzīt par tiesā nepārsūdzamiem, pamatojoties tikai uz to, ka tie </w:t>
      </w:r>
      <w:r w:rsidR="003F1422">
        <w:t xml:space="preserve">ir </w:t>
      </w:r>
      <w:r w:rsidR="000F69A8">
        <w:t>procesuāli lēmumi vai pat mazāk nozīmīga agrīna informācijas iegūšana pirms iespējama administratīvā procesa. Senāts šajos lēmumos</w:t>
      </w:r>
      <w:r w:rsidR="003F1422">
        <w:t xml:space="preserve"> uzsvēr</w:t>
      </w:r>
      <w:r w:rsidR="008F3683">
        <w:t>is</w:t>
      </w:r>
      <w:r w:rsidR="003F1422">
        <w:t>, ka informācijas pieprasījumu tiesiskumu un pamatotību būs iespējams pārbaudīt gadījumā, ja tiks pieņemts kāds tiesā pārsūdzams gala lēmums.</w:t>
      </w:r>
      <w:r w:rsidR="00603CB7">
        <w:t xml:space="preserve"> </w:t>
      </w:r>
      <w:r w:rsidR="00315C9F">
        <w:t xml:space="preserve">Tā kā </w:t>
      </w:r>
      <w:r>
        <w:t>8.4.punktā minētajos</w:t>
      </w:r>
      <w:r w:rsidR="00315C9F">
        <w:t xml:space="preserve"> lēmumos </w:t>
      </w:r>
      <w:r w:rsidR="00315C9F" w:rsidRPr="00315C9F">
        <w:t>nav apsvērts informācijas pieprasījuma saistošais raksturs un nelabvēlīgu seku iestāšanās</w:t>
      </w:r>
      <w:r w:rsidR="008F3683">
        <w:t xml:space="preserve"> iespēja</w:t>
      </w:r>
      <w:r w:rsidR="00315C9F">
        <w:t xml:space="preserve">, </w:t>
      </w:r>
      <w:r w:rsidR="00603CB7">
        <w:t>t</w:t>
      </w:r>
      <w:r w:rsidR="00315C9F" w:rsidRPr="00315C9F">
        <w:t xml:space="preserve">ajos paustās atziņas nav izmantojamas kā judikatūras atziņas bez </w:t>
      </w:r>
      <w:r w:rsidR="008A40E8">
        <w:t>plašākas</w:t>
      </w:r>
      <w:r w:rsidR="00315C9F" w:rsidRPr="00315C9F">
        <w:t xml:space="preserve"> analīzes par personas tiesisko situāciju konkrētā gadījumā.</w:t>
      </w:r>
    </w:p>
    <w:p w14:paraId="751FBAF5" w14:textId="77777777" w:rsidR="00956684" w:rsidRDefault="00956684" w:rsidP="0093767A">
      <w:pPr>
        <w:keepNext/>
        <w:autoSpaceDE w:val="0"/>
        <w:autoSpaceDN w:val="0"/>
        <w:adjustRightInd w:val="0"/>
        <w:spacing w:line="276" w:lineRule="auto"/>
        <w:ind w:firstLine="709"/>
        <w:jc w:val="both"/>
      </w:pPr>
    </w:p>
    <w:p w14:paraId="02674C03" w14:textId="1E4D958F" w:rsidR="00956684" w:rsidRDefault="00956684" w:rsidP="0093767A">
      <w:pPr>
        <w:keepNext/>
        <w:autoSpaceDE w:val="0"/>
        <w:autoSpaceDN w:val="0"/>
        <w:adjustRightInd w:val="0"/>
        <w:spacing w:line="276" w:lineRule="auto"/>
        <w:ind w:firstLine="709"/>
        <w:jc w:val="both"/>
      </w:pPr>
      <w:r>
        <w:t>[10]</w:t>
      </w:r>
      <w:r w:rsidR="00BC1683">
        <w:t> </w:t>
      </w:r>
      <w:r>
        <w:t>Izskatāmajā gadījumā Valsts ieņēmumu dienests konsekventi</w:t>
      </w:r>
      <w:r w:rsidR="00315C9F">
        <w:t xml:space="preserve"> un atsaucoties uz tiesību normām</w:t>
      </w:r>
      <w:r>
        <w:t xml:space="preserve"> ir norādījis uz nelabvēlīgām sekām, kas pieteicējai var iestāties, ja </w:t>
      </w:r>
      <w:r w:rsidR="00315C9F">
        <w:t>tā ne</w:t>
      </w:r>
      <w:r>
        <w:t>iesnieg</w:t>
      </w:r>
      <w:r w:rsidR="00315C9F">
        <w:t>s</w:t>
      </w:r>
      <w:r>
        <w:t xml:space="preserve"> dienesta pieprasīt</w:t>
      </w:r>
      <w:r w:rsidR="00315C9F">
        <w:t>o</w:t>
      </w:r>
      <w:r>
        <w:t xml:space="preserve"> informācij</w:t>
      </w:r>
      <w:r w:rsidR="00315C9F">
        <w:t>u</w:t>
      </w:r>
      <w:r>
        <w:t xml:space="preserve">: pieteicējas saimnieciskās darbības apturēšana </w:t>
      </w:r>
      <w:r w:rsidR="004C3CF9">
        <w:t>(</w:t>
      </w:r>
      <w:r w:rsidR="004C3CF9" w:rsidRPr="004C3CF9">
        <w:rPr>
          <w:i/>
          <w:iCs/>
        </w:rPr>
        <w:t>likuma „Par nodokļiem un nodevām” 34.</w:t>
      </w:r>
      <w:r w:rsidR="004C3CF9" w:rsidRPr="004C3CF9">
        <w:rPr>
          <w:i/>
          <w:iCs/>
          <w:vertAlign w:val="superscript"/>
        </w:rPr>
        <w:t>1 </w:t>
      </w:r>
      <w:r w:rsidR="004C3CF9" w:rsidRPr="004C3CF9">
        <w:rPr>
          <w:i/>
          <w:iCs/>
        </w:rPr>
        <w:t>pants</w:t>
      </w:r>
      <w:r w:rsidR="004C3CF9">
        <w:t xml:space="preserve">) </w:t>
      </w:r>
      <w:r>
        <w:t>un izslēgšana no pievienotās vērtības nodokļa maksātāju reģistra</w:t>
      </w:r>
      <w:r w:rsidR="004C3CF9">
        <w:t xml:space="preserve"> (</w:t>
      </w:r>
      <w:r w:rsidR="004C3CF9" w:rsidRPr="004C3CF9">
        <w:rPr>
          <w:i/>
          <w:iCs/>
        </w:rPr>
        <w:t>Pievienotās vērtības nodokļa likuma 81.pants</w:t>
      </w:r>
      <w:r w:rsidR="004C3CF9">
        <w:t>)</w:t>
      </w:r>
      <w:r>
        <w:t>, kā arī administratīvā soda piemērošana</w:t>
      </w:r>
      <w:r w:rsidR="004C3CF9">
        <w:t xml:space="preserve"> (</w:t>
      </w:r>
      <w:r w:rsidR="004C3CF9" w:rsidRPr="004C3CF9">
        <w:rPr>
          <w:i/>
          <w:iCs/>
        </w:rPr>
        <w:t>Administratīvo sodu likuma par pārkāpumiem pārvaldes, sabiedriskās kārtības un valsts valodas lietošanas jomā 3.panta otrā daļa</w:t>
      </w:r>
      <w:r w:rsidR="004C3CF9">
        <w:t>)</w:t>
      </w:r>
      <w:r>
        <w:t xml:space="preserve">. Tātad informācijas sniegšanu pats dienests neapšaubāmi uzskata par obligātu, un pastāv nelabvēlīgu seku piedraudējums atbilstoši likumā noteiktajam regulējumam. </w:t>
      </w:r>
    </w:p>
    <w:p w14:paraId="747592AB" w14:textId="5394FA83" w:rsidR="00956684" w:rsidRDefault="00315C9F" w:rsidP="0093767A">
      <w:pPr>
        <w:keepNext/>
        <w:autoSpaceDE w:val="0"/>
        <w:autoSpaceDN w:val="0"/>
        <w:adjustRightInd w:val="0"/>
        <w:spacing w:line="276" w:lineRule="auto"/>
        <w:ind w:firstLine="709"/>
        <w:jc w:val="both"/>
      </w:pPr>
      <w:r>
        <w:t>Š</w:t>
      </w:r>
      <w:r w:rsidR="00956684">
        <w:t xml:space="preserve">ādā situācijā informācijas pieprasījums ir atzīstams par administratīvo aktu. Personai ar to ir uzlikts </w:t>
      </w:r>
      <w:r w:rsidR="00810462">
        <w:t xml:space="preserve">obligāts </w:t>
      </w:r>
      <w:r w:rsidR="00956684">
        <w:t>pienākums sniegt informāciju</w:t>
      </w:r>
      <w:r w:rsidR="00810462">
        <w:t>, un gan likumā paredzētās nelabvēlīgās sekas informācijas nesniegšanas gadījumā, gan Valsts ieņēmumu dienesta brīdinājums par šādu nelabvēlīgu seku iestāšanos neatstāj vietu šaubām, ka tā nav tikai personas uzklausīšana un personas pašas izvēle sniegt informāciju.</w:t>
      </w:r>
    </w:p>
    <w:p w14:paraId="272D58DB" w14:textId="0040A280" w:rsidR="00B20E08" w:rsidRDefault="005F3488" w:rsidP="0093767A">
      <w:pPr>
        <w:keepNext/>
        <w:autoSpaceDE w:val="0"/>
        <w:autoSpaceDN w:val="0"/>
        <w:adjustRightInd w:val="0"/>
        <w:spacing w:line="276" w:lineRule="auto"/>
        <w:ind w:firstLine="709"/>
        <w:jc w:val="both"/>
      </w:pPr>
      <w:r>
        <w:t xml:space="preserve">Pieteicēja pamatoti salīdzinājusi šo situāciju ar Eiropas Savienības Tiesas atziņām </w:t>
      </w:r>
      <w:r w:rsidR="00252D07">
        <w:t>2020.gada 6.oktobra spriedumā a</w:t>
      </w:r>
      <w:r w:rsidR="00252D07" w:rsidRPr="00252D07">
        <w:t xml:space="preserve">pvienotajās lietās </w:t>
      </w:r>
      <w:r w:rsidR="00252D07" w:rsidRPr="004C3CF9">
        <w:rPr>
          <w:i/>
          <w:iCs/>
        </w:rPr>
        <w:t>État luxembourgeois</w:t>
      </w:r>
      <w:r w:rsidR="00252D07">
        <w:t xml:space="preserve"> (</w:t>
      </w:r>
      <w:r w:rsidR="00252D07" w:rsidRPr="00252D07">
        <w:rPr>
          <w:i/>
          <w:iCs/>
        </w:rPr>
        <w:t>C</w:t>
      </w:r>
      <w:r w:rsidR="004C3CF9">
        <w:rPr>
          <w:i/>
          <w:iCs/>
        </w:rPr>
        <w:t>-</w:t>
      </w:r>
      <w:r w:rsidR="00252D07" w:rsidRPr="00252D07">
        <w:rPr>
          <w:i/>
          <w:iCs/>
        </w:rPr>
        <w:t>245/19 un C</w:t>
      </w:r>
      <w:r w:rsidR="00167BD4">
        <w:rPr>
          <w:i/>
          <w:iCs/>
        </w:rPr>
        <w:noBreakHyphen/>
      </w:r>
      <w:r w:rsidR="00252D07" w:rsidRPr="00252D07">
        <w:rPr>
          <w:i/>
          <w:iCs/>
        </w:rPr>
        <w:t>246/19,</w:t>
      </w:r>
      <w:r w:rsidR="00B737BA">
        <w:rPr>
          <w:i/>
          <w:iCs/>
        </w:rPr>
        <w:t xml:space="preserve"> </w:t>
      </w:r>
      <w:hyperlink r:id="rId15" w:history="1">
        <w:r w:rsidR="00252D07" w:rsidRPr="00252D07">
          <w:rPr>
            <w:rStyle w:val="Hyperlink"/>
            <w:i/>
            <w:iCs/>
          </w:rPr>
          <w:t>ECLI:EU:C:2020:795</w:t>
        </w:r>
      </w:hyperlink>
      <w:r w:rsidR="00252D07">
        <w:t xml:space="preserve">). </w:t>
      </w:r>
      <w:r>
        <w:t xml:space="preserve">Lai arī minētajā </w:t>
      </w:r>
      <w:r w:rsidR="00252D07">
        <w:t>spriedumā</w:t>
      </w:r>
      <w:r>
        <w:t xml:space="preserve"> Eiropas Savienības Tiesa </w:t>
      </w:r>
      <w:r>
        <w:lastRenderedPageBreak/>
        <w:t xml:space="preserve">interpretēja </w:t>
      </w:r>
      <w:r w:rsidRPr="005F3488">
        <w:t xml:space="preserve">Padomes </w:t>
      </w:r>
      <w:r>
        <w:t xml:space="preserve">2011.gada 15.februāra </w:t>
      </w:r>
      <w:r w:rsidRPr="005F3488">
        <w:t>Direktīv</w:t>
      </w:r>
      <w:r>
        <w:t>u</w:t>
      </w:r>
      <w:r w:rsidRPr="005F3488">
        <w:t xml:space="preserve"> 2011/16/ES par administratīvu sadarbību nodokļu jomā un ar ko atceļ Direktīvu 77/799/EEK</w:t>
      </w:r>
      <w:r>
        <w:t xml:space="preserve">, </w:t>
      </w:r>
      <w:r w:rsidR="00252D07">
        <w:t xml:space="preserve">kas uz izskatāmo gadījumu neattiecas, </w:t>
      </w:r>
      <w:r>
        <w:t>būtiskas ir atsevišķas atziņas, kas būtu jāattiecina uz jebkuriem valsts iestāžu lēmumiem, kad persona varētu atsaukties uz Eiropas Savienības Pamattiesību Hartu</w:t>
      </w:r>
      <w:r w:rsidR="00CA15EF">
        <w:t xml:space="preserve"> (turpmāk – Harta)</w:t>
      </w:r>
      <w:r>
        <w:t xml:space="preserve">. </w:t>
      </w:r>
      <w:r w:rsidR="00252D07">
        <w:t xml:space="preserve">Tā tas varētu būt citstarp arī lietās par pievienotās vērtības nodokļa </w:t>
      </w:r>
      <w:r w:rsidR="00B20E08">
        <w:t>maksāšanas pienākumu</w:t>
      </w:r>
      <w:r w:rsidR="005D4CBC">
        <w:t>, kas, iespējams, ir izpētes priekšmets izskatāmajā gadījumā</w:t>
      </w:r>
      <w:r w:rsidR="00B20E08">
        <w:t xml:space="preserve">. </w:t>
      </w:r>
    </w:p>
    <w:p w14:paraId="32860E12" w14:textId="39A1142B" w:rsidR="005F3488" w:rsidRDefault="00CA15EF" w:rsidP="0093767A">
      <w:pPr>
        <w:keepNext/>
        <w:autoSpaceDE w:val="0"/>
        <w:autoSpaceDN w:val="0"/>
        <w:adjustRightInd w:val="0"/>
        <w:spacing w:line="276" w:lineRule="auto"/>
        <w:ind w:firstLine="709"/>
        <w:jc w:val="both"/>
      </w:pPr>
      <w:r>
        <w:t>Proti, Tiesa</w:t>
      </w:r>
      <w:r w:rsidR="005D4CBC">
        <w:t>,</w:t>
      </w:r>
      <w:r>
        <w:t xml:space="preserve"> atsaucoties uz</w:t>
      </w:r>
      <w:r w:rsidRPr="00CA15EF">
        <w:t xml:space="preserve"> Hartas 47.pant</w:t>
      </w:r>
      <w:r>
        <w:t>ā</w:t>
      </w:r>
      <w:r w:rsidRPr="00CA15EF">
        <w:t xml:space="preserve"> garantēt</w:t>
      </w:r>
      <w:r>
        <w:t>ajām</w:t>
      </w:r>
      <w:r w:rsidRPr="00CA15EF">
        <w:t xml:space="preserve"> tiesīb</w:t>
      </w:r>
      <w:r>
        <w:t>ām</w:t>
      </w:r>
      <w:r w:rsidRPr="00CA15EF">
        <w:t xml:space="preserve"> uz efektīvu tiesību aizsardzību, norād</w:t>
      </w:r>
      <w:r>
        <w:t>īja</w:t>
      </w:r>
      <w:r w:rsidRPr="00CA15EF">
        <w:t>, ka personu aizsardzība pret publiskas varas subjektu patvaļīgu vai nesamērīgu iejaukšanos viņu privātās darbības jomā veido vispārēju Savienības tiesību principu</w:t>
      </w:r>
      <w:r>
        <w:t xml:space="preserve"> (</w:t>
      </w:r>
      <w:r w:rsidRPr="00B20E08">
        <w:rPr>
          <w:i/>
          <w:iCs/>
        </w:rPr>
        <w:t>sprieduma 57.punkts</w:t>
      </w:r>
      <w:r>
        <w:t xml:space="preserve">), un persona uz to var atsaukties, </w:t>
      </w:r>
      <w:r w:rsidRPr="00CA15EF">
        <w:t>lai tiesā apstrīdētu tai nelabvēlīgu aktu, piemēram, rīkojumu par informācijas paziņošanu vai šī rīkojuma neizpildes dēļ tai uzlikto sodu</w:t>
      </w:r>
      <w:r>
        <w:t xml:space="preserve"> (</w:t>
      </w:r>
      <w:r w:rsidRPr="00522777">
        <w:rPr>
          <w:i/>
          <w:iCs/>
        </w:rPr>
        <w:t>sprieduma 57</w:t>
      </w:r>
      <w:r w:rsidR="00522777" w:rsidRPr="00522777">
        <w:rPr>
          <w:i/>
          <w:iCs/>
        </w:rPr>
        <w:t>.</w:t>
      </w:r>
      <w:r w:rsidRPr="00522777">
        <w:rPr>
          <w:i/>
          <w:iCs/>
        </w:rPr>
        <w:t>–59.punkts</w:t>
      </w:r>
      <w:r>
        <w:t xml:space="preserve">). </w:t>
      </w:r>
      <w:r w:rsidRPr="00CA15EF">
        <w:t>Turklāt, lai piekļūtu tiesai, šai personai nevar uzlikt pienākumu pārkāpt tiesību normu vai juridisku pienākumu un tikt pakļautai par šo pārkāpumu noteiktajam sodam</w:t>
      </w:r>
      <w:r>
        <w:t xml:space="preserve"> (</w:t>
      </w:r>
      <w:r w:rsidRPr="00B20E08">
        <w:rPr>
          <w:i/>
          <w:iCs/>
        </w:rPr>
        <w:t>sprieduma 66.punkts</w:t>
      </w:r>
      <w:r>
        <w:t>). Tiesa atzina par nepieļaujamu situāciju, kad</w:t>
      </w:r>
      <w:r w:rsidRPr="00CA15EF">
        <w:t xml:space="preserve"> patvaļīga vai nesamērīga lēmuma gadījumā, ar kuru ir dots rīkojums par informācijas paziņošanu, persona nevar piekļūt tiesai, ja vien tā nepārkāpj šo lēmumu, atsakoties izpildīt tajā ietverto rīkojumu, un tādējādi pakļauj sevi par tā neievērošanu noteiktajam sodam. </w:t>
      </w:r>
      <w:r>
        <w:t xml:space="preserve">Tiesa atzina, ka šādā situācijā </w:t>
      </w:r>
      <w:r w:rsidRPr="00CA15EF">
        <w:t>personu nevar aplūkot kā tādu, kurai ir pieejama efektīva tiesību aizsardzība tiesā</w:t>
      </w:r>
      <w:r>
        <w:t xml:space="preserve"> (</w:t>
      </w:r>
      <w:r w:rsidRPr="00522777">
        <w:rPr>
          <w:i/>
          <w:iCs/>
        </w:rPr>
        <w:t>sprieduma 68.–69.punkts</w:t>
      </w:r>
      <w:r>
        <w:t xml:space="preserve">). </w:t>
      </w:r>
      <w:r w:rsidR="00522777">
        <w:t xml:space="preserve">Tālāk spriedumā </w:t>
      </w:r>
      <w:r w:rsidR="00034CAE">
        <w:t>T</w:t>
      </w:r>
      <w:r w:rsidR="00522777">
        <w:t>iesa nonāca pie secinājuma, ka personai, kas pati ir nodokļu maksātājs, arī jābūt iespējai baudīt tiesības uz efektīvu tiesas aizsardzību</w:t>
      </w:r>
      <w:r w:rsidR="00034CAE">
        <w:t>, bet likumā var paredzēt ierobežojumu šādu rīkojumu apstrīdēt tieši (</w:t>
      </w:r>
      <w:r w:rsidR="00034CAE" w:rsidRPr="00B20E08">
        <w:rPr>
          <w:i/>
          <w:iCs/>
        </w:rPr>
        <w:t>sprieduma 75.–76.punkts</w:t>
      </w:r>
      <w:r w:rsidR="00034CAE">
        <w:t xml:space="preserve">). Tiesa norādīja, ka tiesību aizsardzība var būt arī netieša, un valstī var pastāvēt </w:t>
      </w:r>
      <w:r w:rsidR="00034CAE" w:rsidRPr="00034CAE">
        <w:t xml:space="preserve">tiesību aizsardzības līdzekļi, kuri dažādās kompetentajās valsts tiesās </w:t>
      </w:r>
      <w:r w:rsidR="00034CAE">
        <w:t>personai</w:t>
      </w:r>
      <w:r w:rsidR="00034CAE" w:rsidRPr="00034CAE">
        <w:t xml:space="preserve"> ļauj kaut vai pakārtoti panākt tiesas kontroli pār šo pasākumu, nepakļaujot sevi riskam saņemt sodu attiecīgā pasākuma neievērošanas dēļ</w:t>
      </w:r>
      <w:r w:rsidR="00034CAE">
        <w:t xml:space="preserve"> (</w:t>
      </w:r>
      <w:r w:rsidR="00034CAE" w:rsidRPr="008A2A14">
        <w:rPr>
          <w:i/>
          <w:iCs/>
        </w:rPr>
        <w:t>sprieduma 79.punkts</w:t>
      </w:r>
      <w:r w:rsidR="00034CAE">
        <w:t xml:space="preserve">). Visbeidzot </w:t>
      </w:r>
      <w:r w:rsidR="005D4CBC">
        <w:t>T</w:t>
      </w:r>
      <w:r w:rsidR="00034CAE">
        <w:t>iesa nonāca pie secinājuma, ka konkrētajā lietā</w:t>
      </w:r>
      <w:r w:rsidR="00B20E08">
        <w:t xml:space="preserve">, ciktāl runa ir par pašu </w:t>
      </w:r>
      <w:r w:rsidR="00034CAE">
        <w:t>nodokļu maksātāj</w:t>
      </w:r>
      <w:r w:rsidR="00B20E08">
        <w:t>u, tā</w:t>
      </w:r>
      <w:r w:rsidR="00034CAE">
        <w:t xml:space="preserve"> tiesības uz efektīvu tiesību aizsardzību netiek pārkāptas, jo rīkojums par informācijas paziņošanu nebija adresēts nodokļu maksātajam, </w:t>
      </w:r>
      <w:r w:rsidR="00B20E08">
        <w:t>bet citai personai, nodokļu maksātājam</w:t>
      </w:r>
      <w:r w:rsidR="00034CAE">
        <w:t xml:space="preserve"> attiecīgi nedraudēja sods, tas nebija situācijā, ka būtu spiests pieļaut nelikumību, lai piekļūtu tiesai, kā arī tiesiskuma kontrole būtu iespējama, pārbaudot gala lēmuma tiesiskumu (</w:t>
      </w:r>
      <w:r w:rsidR="00034CAE" w:rsidRPr="008A2A14">
        <w:rPr>
          <w:i/>
          <w:iCs/>
        </w:rPr>
        <w:t>sprieduma 80.–84.punkts</w:t>
      </w:r>
      <w:r w:rsidR="00034CAE">
        <w:t>).</w:t>
      </w:r>
    </w:p>
    <w:p w14:paraId="6F62D5AB" w14:textId="17151C92" w:rsidR="00034CAE" w:rsidRDefault="00034CAE" w:rsidP="0093767A">
      <w:pPr>
        <w:keepNext/>
        <w:autoSpaceDE w:val="0"/>
        <w:autoSpaceDN w:val="0"/>
        <w:adjustRightInd w:val="0"/>
        <w:spacing w:line="276" w:lineRule="auto"/>
        <w:ind w:firstLine="709"/>
        <w:jc w:val="both"/>
      </w:pPr>
      <w:r>
        <w:t xml:space="preserve">Senāts secina, ka atziņas </w:t>
      </w:r>
      <w:r w:rsidR="005D4CBC">
        <w:t xml:space="preserve">Senāta Administratīvo lietu departamenta kopsēžu lēmumos </w:t>
      </w:r>
      <w:r>
        <w:t>lietās Nr. SKA-201/2006, Nr. SKA-163/2010</w:t>
      </w:r>
      <w:r w:rsidR="008A2A14">
        <w:t xml:space="preserve"> un Nr. SKA-148/2014 pilnībā atbilst </w:t>
      </w:r>
      <w:r>
        <w:t>Eiropas Savienības Tiesas atziņ</w:t>
      </w:r>
      <w:r w:rsidR="008A2A14">
        <w:t>ām. Proti, ja informācijas pieprasījums ir adresēts pašam nodokļu maksātājam, bet pieprasījuma neizpildīšana draud ar nelabvēlīgām sekām, tas ir uzskatāms par patstāvīgu pienākumu un informācijas pieprasījuma</w:t>
      </w:r>
      <w:r w:rsidR="00E000F0">
        <w:t>m</w:t>
      </w:r>
      <w:r w:rsidR="008A2A14">
        <w:t xml:space="preserve"> tādēļ būtu jābūt pārsūdzamam tiesā. Pat ja nodokļu maksātājam ir netieša pieeja tiesai – pārsūdzot gala lēmumu –</w:t>
      </w:r>
      <w:r w:rsidR="005D4CBC">
        <w:t>,</w:t>
      </w:r>
      <w:r w:rsidR="008A2A14">
        <w:t xml:space="preserve"> nodokļu maksātājs pieprasījuma nepildīšanas gadījumā jau uzreiz atrastos situācijā, kurā par likuma un iestādes pieprasījuma pārkāpšanu tam var iestāties nelabvēlīgas sekas. </w:t>
      </w:r>
      <w:r w:rsidR="00B20E08">
        <w:t>Tātad persona būtu spiesta vai nu pakļauties iespējami patvaļīgam informācijas pieprasījuma</w:t>
      </w:r>
      <w:r w:rsidR="004C3CF9">
        <w:t>m</w:t>
      </w:r>
      <w:r w:rsidR="00B20E08">
        <w:t xml:space="preserve">, vai arī paciest tūlītējas nelabvēlīgas sekas vēl pirms gala lēmuma pieņemšanas attiecībā uz nodokļa samaksas pienākumu. </w:t>
      </w:r>
      <w:r w:rsidR="005B5FC3">
        <w:t>Nevar piekrist Valsts ieņēmumu dienesta atbildē uz Senāta jautājumu paustajam viedoklim, ka nelabvēlīgu seku (soda vai sankciju) risks nepastāv</w:t>
      </w:r>
      <w:r w:rsidR="00E000F0">
        <w:t xml:space="preserve"> tādēļ</w:t>
      </w:r>
      <w:r w:rsidR="005B5FC3">
        <w:t xml:space="preserve">, </w:t>
      </w:r>
      <w:r w:rsidR="00E000F0">
        <w:t xml:space="preserve">ka </w:t>
      </w:r>
      <w:r w:rsidR="005B5FC3">
        <w:t xml:space="preserve">soda vai sankciju iestāšanās ir atkarīga no paša nodokļu maksātāja rīcības: tas tieši apstiprina, ka nodokļu maksātājam, </w:t>
      </w:r>
      <w:r w:rsidR="005B5FC3">
        <w:lastRenderedPageBreak/>
        <w:t>pat ja viņš nepiekrīt informācijas sniegšanas pienākumam, būtu obligāts pienākums to izpildīt, lai izvairītos no nelabvēlīgām sekām.</w:t>
      </w:r>
      <w:r w:rsidR="00E000F0">
        <w:t xml:space="preserve"> </w:t>
      </w:r>
    </w:p>
    <w:p w14:paraId="4B1997F5" w14:textId="77777777" w:rsidR="005F3488" w:rsidRDefault="005F3488" w:rsidP="0093767A">
      <w:pPr>
        <w:keepNext/>
        <w:autoSpaceDE w:val="0"/>
        <w:autoSpaceDN w:val="0"/>
        <w:adjustRightInd w:val="0"/>
        <w:spacing w:line="276" w:lineRule="auto"/>
        <w:ind w:firstLine="709"/>
        <w:jc w:val="both"/>
      </w:pPr>
    </w:p>
    <w:p w14:paraId="50E63BD4" w14:textId="388D9D84" w:rsidR="00B20E08" w:rsidRDefault="006C6621" w:rsidP="0093767A">
      <w:pPr>
        <w:keepNext/>
        <w:autoSpaceDE w:val="0"/>
        <w:autoSpaceDN w:val="0"/>
        <w:adjustRightInd w:val="0"/>
        <w:spacing w:line="276" w:lineRule="auto"/>
        <w:ind w:firstLine="709"/>
        <w:jc w:val="both"/>
      </w:pPr>
      <w:r>
        <w:t>[</w:t>
      </w:r>
      <w:r w:rsidR="009E52D6">
        <w:t>11</w:t>
      </w:r>
      <w:r>
        <w:t>]</w:t>
      </w:r>
      <w:r w:rsidR="00BC1683">
        <w:t> </w:t>
      </w:r>
      <w:r w:rsidR="00B20E08">
        <w:t>Senāts apsver arī to, ka</w:t>
      </w:r>
      <w:r>
        <w:t xml:space="preserve"> informācijas pieprasījuma nepildīšanai atbilstoši Valsts ieņēmumu dienesta norādēm ir iespējamas trīs veidu nelabvēlīgas sekas – administratīvā atbildība, saimnieciskās darbības apturēšana un izslēgšana no pievienotās vērtības nodokļ</w:t>
      </w:r>
      <w:r w:rsidR="005D4CBC">
        <w:t>a</w:t>
      </w:r>
      <w:r>
        <w:t xml:space="preserve"> maksātāju reģistra. Ja informācijas pieprasījuma pamatotību netieši pārbaudītu katrā lietā, kurā tiktu pārbaudīts gala lēmums</w:t>
      </w:r>
      <w:r w:rsidR="005D4CBC">
        <w:t xml:space="preserve"> par minēto seku piemērošanu</w:t>
      </w:r>
      <w:r>
        <w:t>, nav izslēgts, ka katrā lietā tiesa to novērtētu atšķirīgi. Tas varētu novest pie tā, ka viens un tas pats jautājums vairākkārt tiek pārbaudīts dažādās lietā</w:t>
      </w:r>
      <w:r w:rsidR="00E000F0">
        <w:t>s, un tas</w:t>
      </w:r>
      <w:r>
        <w:t xml:space="preserve"> rad</w:t>
      </w:r>
      <w:r w:rsidR="00E000F0">
        <w:t>a</w:t>
      </w:r>
      <w:r>
        <w:t xml:space="preserve"> pretrunīgu nolēmumu risku, tostarp administratīvās un vispār</w:t>
      </w:r>
      <w:r w:rsidR="004C3CF9">
        <w:t>ēj</w:t>
      </w:r>
      <w:r>
        <w:t xml:space="preserve">ās jurisdikcijas tiesās, vai arī, ievērojot </w:t>
      </w:r>
      <w:r w:rsidRPr="006C6621">
        <w:rPr>
          <w:i/>
          <w:iCs/>
        </w:rPr>
        <w:t>res judicata</w:t>
      </w:r>
      <w:r>
        <w:t xml:space="preserve"> principu, kādā no šādām lietām </w:t>
      </w:r>
      <w:r w:rsidR="00E000F0">
        <w:t xml:space="preserve">varētu </w:t>
      </w:r>
      <w:r>
        <w:t xml:space="preserve">ierobežot tiesas iespējas pārbaudīt šo jautājumu </w:t>
      </w:r>
      <w:r w:rsidR="00E000F0">
        <w:t>tiesas</w:t>
      </w:r>
      <w:r>
        <w:t xml:space="preserve"> jurisdikcijā esošajā lietā</w:t>
      </w:r>
      <w:r w:rsidR="00B20E08">
        <w:t>. Tādēļ pēc iespējas būtu jāveicina, ka informācijas pieprasījuma pamatotība tiek pārbaudīta tikai vienā lietā – lietā par paša informācijas pieprasījuma pamatotību un tiesiskumu.</w:t>
      </w:r>
    </w:p>
    <w:p w14:paraId="1948B46A" w14:textId="77777777" w:rsidR="006C6621" w:rsidRDefault="006C6621" w:rsidP="0093767A">
      <w:pPr>
        <w:keepNext/>
        <w:autoSpaceDE w:val="0"/>
        <w:autoSpaceDN w:val="0"/>
        <w:adjustRightInd w:val="0"/>
        <w:spacing w:line="276" w:lineRule="auto"/>
        <w:ind w:firstLine="709"/>
        <w:jc w:val="both"/>
      </w:pPr>
    </w:p>
    <w:p w14:paraId="0CDF24B2" w14:textId="61E30380" w:rsidR="006C6621" w:rsidRDefault="006C6621" w:rsidP="0093767A">
      <w:pPr>
        <w:keepNext/>
        <w:autoSpaceDE w:val="0"/>
        <w:autoSpaceDN w:val="0"/>
        <w:adjustRightInd w:val="0"/>
        <w:spacing w:line="276" w:lineRule="auto"/>
        <w:ind w:firstLine="709"/>
        <w:jc w:val="both"/>
      </w:pPr>
      <w:r>
        <w:t>[</w:t>
      </w:r>
      <w:r w:rsidR="009E52D6">
        <w:t>12</w:t>
      </w:r>
      <w:r>
        <w:t>]</w:t>
      </w:r>
      <w:r w:rsidR="00BC1683">
        <w:t> </w:t>
      </w:r>
      <w:r>
        <w:t>Ievērojot minēto</w:t>
      </w:r>
      <w:r w:rsidR="007917CF">
        <w:t>,</w:t>
      </w:r>
      <w:r>
        <w:t xml:space="preserve"> Senāts, balstoties uz iepriekš kopsēdēs izteiktajām atziņām, atzīst, ka blakus sūdzība ir apmierināma un </w:t>
      </w:r>
      <w:r w:rsidR="00A76AC3">
        <w:t xml:space="preserve">pieteikums ir nosūtāms Administratīvajai rajona tiesai atkārtotai jautājuma izlemšanai </w:t>
      </w:r>
      <w:r>
        <w:t xml:space="preserve">par pieteikuma </w:t>
      </w:r>
      <w:r w:rsidR="00FF359B">
        <w:t>virzību</w:t>
      </w:r>
      <w:r>
        <w:t>.</w:t>
      </w:r>
    </w:p>
    <w:p w14:paraId="0E1C05D0" w14:textId="77777777" w:rsidR="006C6621" w:rsidRDefault="006C6621" w:rsidP="0093767A">
      <w:pPr>
        <w:keepNext/>
        <w:autoSpaceDE w:val="0"/>
        <w:autoSpaceDN w:val="0"/>
        <w:adjustRightInd w:val="0"/>
        <w:spacing w:line="276" w:lineRule="auto"/>
        <w:ind w:firstLine="709"/>
        <w:jc w:val="both"/>
      </w:pPr>
    </w:p>
    <w:p w14:paraId="09C08DF5" w14:textId="6824C0FE" w:rsidR="00B20E08" w:rsidRDefault="006C6621" w:rsidP="0093767A">
      <w:pPr>
        <w:keepNext/>
        <w:autoSpaceDE w:val="0"/>
        <w:autoSpaceDN w:val="0"/>
        <w:adjustRightInd w:val="0"/>
        <w:spacing w:line="276" w:lineRule="auto"/>
        <w:ind w:firstLine="709"/>
        <w:jc w:val="both"/>
      </w:pPr>
      <w:r>
        <w:t>[</w:t>
      </w:r>
      <w:r w:rsidR="009E52D6">
        <w:t>13</w:t>
      </w:r>
      <w:r>
        <w:t>]</w:t>
      </w:r>
      <w:r w:rsidR="00BC1683">
        <w:t> </w:t>
      </w:r>
      <w:r>
        <w:t xml:space="preserve">Gadījumā, ja lieta tiek ierosināta, tiesas uzdevums būtu </w:t>
      </w:r>
      <w:r w:rsidR="000E7345">
        <w:t xml:space="preserve">atbilstoši pieteikuma pamatojumam </w:t>
      </w:r>
      <w:r>
        <w:t xml:space="preserve">pārbaudīt, vai Valsts ieņēmumu dienesta informācijas pieprasījums nav </w:t>
      </w:r>
      <w:r w:rsidR="00A76AC3">
        <w:t xml:space="preserve">prettiesisks un </w:t>
      </w:r>
      <w:r>
        <w:t xml:space="preserve">patvaļīgs. </w:t>
      </w:r>
    </w:p>
    <w:p w14:paraId="7AE62B85" w14:textId="4623913C" w:rsidR="006C6621" w:rsidRDefault="000E7345" w:rsidP="0093767A">
      <w:pPr>
        <w:keepNext/>
        <w:autoSpaceDE w:val="0"/>
        <w:autoSpaceDN w:val="0"/>
        <w:adjustRightInd w:val="0"/>
        <w:spacing w:line="276" w:lineRule="auto"/>
        <w:ind w:firstLine="709"/>
        <w:jc w:val="both"/>
      </w:pPr>
      <w:r>
        <w:t xml:space="preserve">Tiesai šādās lietās </w:t>
      </w:r>
      <w:r w:rsidR="00B20E08">
        <w:t xml:space="preserve">nav padziļināti jāizvērtē pieprasītās informācijas nepieciešamība iespējamā administratīvajā procesā: tā ir iestādes rīcības brīvība – pareizi identificēt tās kompetencē esošo lietu izmeklēšanai nepieciešamos faktus un noteikt, kādi pierādījumi iestādei nepieciešami. </w:t>
      </w:r>
      <w:r w:rsidR="009E52D6">
        <w:t>Taču t</w:t>
      </w:r>
      <w:r w:rsidR="00B20E08">
        <w:t xml:space="preserve">iesai </w:t>
      </w:r>
      <w:r w:rsidR="009E52D6">
        <w:t>atbilstoši pieteikuma pamatojuma</w:t>
      </w:r>
      <w:r w:rsidR="00C51017">
        <w:t>m</w:t>
      </w:r>
      <w:r w:rsidR="009E52D6">
        <w:t xml:space="preserve"> </w:t>
      </w:r>
      <w:r>
        <w:t xml:space="preserve">būtu jāvērtē informācijas pieprasījuma iespējamais prettiesiskums atbilstoši konkrētām tiesību normām (iestādes kompetences pārkāpums, personas datu apstrādes pārkāpums u.c.), </w:t>
      </w:r>
      <w:r w:rsidR="001A4681">
        <w:t>kā ar</w:t>
      </w:r>
      <w:r>
        <w:t>ī vispārīgas patvaļas pazīmes. Piemēram, būtu iespējams vērtēt, vai personai ir saprotams informācijas pieprasījuma un iestādes izmeklēšanas mērķis</w:t>
      </w:r>
      <w:r w:rsidR="00A76AC3">
        <w:t xml:space="preserve"> un pamatojums</w:t>
      </w:r>
      <w:r w:rsidR="001A4681">
        <w:t>: informācijas pieprasījums, ja nav skaidrs tā mērķis un attiecīgi nav skaidras varbūtēju pamatotu iebildum</w:t>
      </w:r>
      <w:r w:rsidR="00C51017">
        <w:t>u</w:t>
      </w:r>
      <w:r w:rsidR="001A4681">
        <w:t xml:space="preserve"> iespējas, hipotētiski paver ceļu iestādes patvaļai. Tāpat tiesai būtu iespējams pārbaudīt, </w:t>
      </w:r>
      <w:r>
        <w:t>vai informācijas pieprasījums ir samērīgs –</w:t>
      </w:r>
      <w:r w:rsidR="006C6621">
        <w:t xml:space="preserve"> </w:t>
      </w:r>
      <w:r w:rsidR="00E000F0">
        <w:t>tostarp</w:t>
      </w:r>
      <w:r>
        <w:t xml:space="preserve">, </w:t>
      </w:r>
      <w:r w:rsidR="006C6621">
        <w:t>vai šāds pieprasījums</w:t>
      </w:r>
      <w:r>
        <w:t>, kas veikts laikā pirms administratīvā procesa uzsākšanas,</w:t>
      </w:r>
      <w:r w:rsidR="006C6621">
        <w:t xml:space="preserve"> nav tik </w:t>
      </w:r>
      <w:r>
        <w:t xml:space="preserve">apjomīgs un </w:t>
      </w:r>
      <w:r w:rsidR="006C6621">
        <w:t xml:space="preserve">apgrūtinošs, ka </w:t>
      </w:r>
      <w:r>
        <w:t>būtībā atbilst likumā regulētam nodokļu kontroles vai audita procesam.</w:t>
      </w:r>
      <w:r w:rsidR="001A4681">
        <w:t xml:space="preserve"> </w:t>
      </w:r>
    </w:p>
    <w:p w14:paraId="65B1AB26" w14:textId="77777777" w:rsidR="000E7345" w:rsidRDefault="000E7345" w:rsidP="0093767A">
      <w:pPr>
        <w:keepNext/>
        <w:autoSpaceDE w:val="0"/>
        <w:autoSpaceDN w:val="0"/>
        <w:adjustRightInd w:val="0"/>
        <w:spacing w:line="276" w:lineRule="auto"/>
        <w:ind w:firstLine="709"/>
        <w:jc w:val="both"/>
      </w:pPr>
    </w:p>
    <w:p w14:paraId="702D9BE5" w14:textId="213A856A" w:rsidR="00826242" w:rsidRPr="00EC55A4" w:rsidRDefault="00826242" w:rsidP="0093767A">
      <w:pPr>
        <w:keepNext/>
        <w:spacing w:line="276" w:lineRule="auto"/>
        <w:jc w:val="center"/>
        <w:rPr>
          <w:b/>
        </w:rPr>
      </w:pPr>
      <w:r w:rsidRPr="00EC55A4">
        <w:rPr>
          <w:b/>
        </w:rPr>
        <w:t>Rezolutīvā daļa</w:t>
      </w:r>
    </w:p>
    <w:p w14:paraId="20C29023" w14:textId="77777777" w:rsidR="00826242" w:rsidRPr="00A27D81" w:rsidRDefault="00826242" w:rsidP="0093767A">
      <w:pPr>
        <w:keepNext/>
        <w:spacing w:line="276" w:lineRule="auto"/>
        <w:ind w:firstLine="720"/>
        <w:jc w:val="both"/>
        <w:rPr>
          <w:bCs/>
        </w:rPr>
      </w:pPr>
    </w:p>
    <w:p w14:paraId="578BAA27" w14:textId="779875B5" w:rsidR="00C0370C" w:rsidRDefault="00C0370C" w:rsidP="0093767A">
      <w:pPr>
        <w:spacing w:line="276" w:lineRule="auto"/>
        <w:ind w:firstLine="720"/>
        <w:jc w:val="both"/>
      </w:pPr>
      <w:bookmarkStart w:id="0" w:name="Dropdown14"/>
      <w:r>
        <w:t>Pamatojoties uz Administratīvā procesa likuma</w:t>
      </w:r>
      <w:r w:rsidR="004E2FEC">
        <w:t xml:space="preserve"> 129.</w:t>
      </w:r>
      <w:r w:rsidR="004E2FEC" w:rsidRPr="001609F1">
        <w:rPr>
          <w:vertAlign w:val="superscript"/>
        </w:rPr>
        <w:t>1</w:t>
      </w:r>
      <w:r w:rsidR="004E2FEC">
        <w:t xml:space="preserve">panta </w:t>
      </w:r>
      <w:r w:rsidR="00BB3063">
        <w:t>pirmās daļas 1.punktu,</w:t>
      </w:r>
      <w:r>
        <w:t xml:space="preserve"> 323.panta pirmās daļas </w:t>
      </w:r>
      <w:r w:rsidR="004E2FEC">
        <w:t>2</w:t>
      </w:r>
      <w:r>
        <w:t>.punktu un 324.panta pirmo daļu, Senāts</w:t>
      </w:r>
    </w:p>
    <w:p w14:paraId="69C00AA4" w14:textId="77777777" w:rsidR="00826242" w:rsidRPr="007B51DB" w:rsidRDefault="00826242" w:rsidP="0093767A">
      <w:pPr>
        <w:keepNext/>
        <w:tabs>
          <w:tab w:val="left" w:pos="2700"/>
          <w:tab w:val="left" w:pos="6660"/>
        </w:tabs>
        <w:spacing w:line="276" w:lineRule="auto"/>
        <w:jc w:val="center"/>
        <w:rPr>
          <w:b/>
        </w:rPr>
      </w:pPr>
    </w:p>
    <w:p w14:paraId="07651D5C" w14:textId="77777777" w:rsidR="00826242" w:rsidRPr="007B51DB" w:rsidRDefault="00826242" w:rsidP="0093767A">
      <w:pPr>
        <w:tabs>
          <w:tab w:val="left" w:pos="2700"/>
          <w:tab w:val="left" w:pos="6660"/>
        </w:tabs>
        <w:spacing w:line="276" w:lineRule="auto"/>
        <w:jc w:val="center"/>
        <w:rPr>
          <w:b/>
        </w:rPr>
      </w:pPr>
      <w:r w:rsidRPr="007B51DB">
        <w:rPr>
          <w:b/>
        </w:rPr>
        <w:t>no</w:t>
      </w:r>
      <w:bookmarkEnd w:id="0"/>
      <w:r w:rsidRPr="007B51DB">
        <w:rPr>
          <w:b/>
        </w:rPr>
        <w:t>lēma</w:t>
      </w:r>
    </w:p>
    <w:p w14:paraId="4D23F57D" w14:textId="77777777" w:rsidR="00826242" w:rsidRPr="008D359C" w:rsidRDefault="00826242" w:rsidP="0093767A">
      <w:pPr>
        <w:tabs>
          <w:tab w:val="left" w:pos="2700"/>
          <w:tab w:val="left" w:pos="6660"/>
        </w:tabs>
        <w:spacing w:line="276" w:lineRule="auto"/>
        <w:jc w:val="center"/>
        <w:rPr>
          <w:b/>
          <w:bCs/>
          <w:spacing w:val="70"/>
          <w:highlight w:val="yellow"/>
        </w:rPr>
      </w:pPr>
    </w:p>
    <w:p w14:paraId="2C65523F" w14:textId="7DB2BB64" w:rsidR="008D0E4C" w:rsidRDefault="00C0370C" w:rsidP="0093767A">
      <w:pPr>
        <w:spacing w:line="276" w:lineRule="auto"/>
        <w:ind w:firstLine="720"/>
        <w:jc w:val="both"/>
      </w:pPr>
      <w:r w:rsidRPr="00C0370C">
        <w:lastRenderedPageBreak/>
        <w:t>at</w:t>
      </w:r>
      <w:r w:rsidR="008D0E4C">
        <w:t>celt</w:t>
      </w:r>
      <w:r w:rsidRPr="00C0370C">
        <w:t xml:space="preserve"> Administratīvās rajona tiesas tiesneša 202</w:t>
      </w:r>
      <w:r w:rsidR="00A85892">
        <w:t>4</w:t>
      </w:r>
      <w:r w:rsidRPr="00C0370C">
        <w:t xml:space="preserve">.gada </w:t>
      </w:r>
      <w:r w:rsidR="00394A72">
        <w:t>17.septembra</w:t>
      </w:r>
      <w:r w:rsidR="00037179">
        <w:t xml:space="preserve"> </w:t>
      </w:r>
      <w:r w:rsidRPr="00C0370C">
        <w:t>lēmumu</w:t>
      </w:r>
      <w:r w:rsidR="008D0E4C">
        <w:t xml:space="preserve"> un nosūtīt </w:t>
      </w:r>
      <w:r w:rsidR="00A76AC3">
        <w:t xml:space="preserve">pieteikumu Administratīvajai rajona tiesai atkārtotai jautājuma izlemšanai </w:t>
      </w:r>
      <w:r w:rsidR="008D0E4C">
        <w:t xml:space="preserve">par pieteikuma </w:t>
      </w:r>
      <w:r w:rsidR="00FF359B">
        <w:t>virzību</w:t>
      </w:r>
      <w:r w:rsidR="008D0E4C">
        <w:t>;</w:t>
      </w:r>
    </w:p>
    <w:p w14:paraId="79B9C040" w14:textId="454CC321" w:rsidR="008D0E4C" w:rsidRPr="00C0370C" w:rsidRDefault="008D0E4C" w:rsidP="0093767A">
      <w:pPr>
        <w:spacing w:line="276" w:lineRule="auto"/>
        <w:ind w:firstLine="720"/>
        <w:jc w:val="both"/>
      </w:pPr>
      <w:r>
        <w:t>atmaksāt SIA</w:t>
      </w:r>
      <w:r w:rsidR="00A85892">
        <w:t> </w:t>
      </w:r>
      <w:r>
        <w:t>„Terko” 15</w:t>
      </w:r>
      <w:r w:rsidR="00A85892">
        <w:t> </w:t>
      </w:r>
      <w:r w:rsidRPr="008D0E4C">
        <w:rPr>
          <w:i/>
          <w:iCs/>
        </w:rPr>
        <w:t>euro</w:t>
      </w:r>
      <w:r>
        <w:t xml:space="preserve"> drošības naudu par blakus sūdzības iesniegšanu</w:t>
      </w:r>
      <w:r w:rsidR="00BB3063">
        <w:t>.</w:t>
      </w:r>
    </w:p>
    <w:p w14:paraId="0DD56668" w14:textId="77777777" w:rsidR="00826242" w:rsidRPr="00826242" w:rsidRDefault="00826242" w:rsidP="0093767A">
      <w:pPr>
        <w:spacing w:line="276" w:lineRule="auto"/>
        <w:ind w:firstLine="720"/>
        <w:jc w:val="both"/>
        <w:rPr>
          <w:color w:val="000000"/>
          <w:highlight w:val="yellow"/>
        </w:rPr>
      </w:pPr>
    </w:p>
    <w:p w14:paraId="4B51B105" w14:textId="0BCD70F1" w:rsidR="007A1FC5" w:rsidRPr="0093767A" w:rsidRDefault="00826242" w:rsidP="0093767A">
      <w:pPr>
        <w:keepNext/>
        <w:spacing w:line="276" w:lineRule="auto"/>
        <w:ind w:firstLine="720"/>
        <w:jc w:val="both"/>
        <w:rPr>
          <w:color w:val="000000"/>
        </w:rPr>
      </w:pPr>
      <w:r w:rsidRPr="008709D7">
        <w:rPr>
          <w:color w:val="000000"/>
        </w:rPr>
        <w:t>Lēmums nav pārsūdzams.</w:t>
      </w:r>
    </w:p>
    <w:sectPr w:rsidR="007A1FC5" w:rsidRPr="0093767A" w:rsidSect="001A3F34">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BFF1" w14:textId="77777777" w:rsidR="00D86477" w:rsidRDefault="00D86477">
      <w:r>
        <w:separator/>
      </w:r>
    </w:p>
  </w:endnote>
  <w:endnote w:type="continuationSeparator" w:id="0">
    <w:p w14:paraId="68347598" w14:textId="77777777" w:rsidR="00D86477" w:rsidRDefault="00D8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097C136" w14:textId="77777777" w:rsidR="007561AF" w:rsidRPr="00F64E84" w:rsidRDefault="007561AF"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68B8" w14:textId="77777777" w:rsidR="00D86477" w:rsidRDefault="00D86477">
      <w:r>
        <w:separator/>
      </w:r>
    </w:p>
  </w:footnote>
  <w:footnote w:type="continuationSeparator" w:id="0">
    <w:p w14:paraId="43332D7E" w14:textId="77777777" w:rsidR="00D86477" w:rsidRDefault="00D86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0"/>
    <w:rsid w:val="00000F96"/>
    <w:rsid w:val="0000403C"/>
    <w:rsid w:val="00004980"/>
    <w:rsid w:val="00005B4B"/>
    <w:rsid w:val="00007890"/>
    <w:rsid w:val="00012BD9"/>
    <w:rsid w:val="0001407C"/>
    <w:rsid w:val="00017C37"/>
    <w:rsid w:val="0002409D"/>
    <w:rsid w:val="00026516"/>
    <w:rsid w:val="00034CAE"/>
    <w:rsid w:val="00037179"/>
    <w:rsid w:val="00053071"/>
    <w:rsid w:val="00055BFA"/>
    <w:rsid w:val="00077C40"/>
    <w:rsid w:val="00082497"/>
    <w:rsid w:val="000854A3"/>
    <w:rsid w:val="00085F3B"/>
    <w:rsid w:val="00086737"/>
    <w:rsid w:val="00090B33"/>
    <w:rsid w:val="000954EF"/>
    <w:rsid w:val="000966CC"/>
    <w:rsid w:val="000A00EF"/>
    <w:rsid w:val="000A6B02"/>
    <w:rsid w:val="000B05FF"/>
    <w:rsid w:val="000B3F2E"/>
    <w:rsid w:val="000C0334"/>
    <w:rsid w:val="000C1637"/>
    <w:rsid w:val="000C42C5"/>
    <w:rsid w:val="000C5C2E"/>
    <w:rsid w:val="000D3C0A"/>
    <w:rsid w:val="000D48ED"/>
    <w:rsid w:val="000E7345"/>
    <w:rsid w:val="000F1897"/>
    <w:rsid w:val="000F5967"/>
    <w:rsid w:val="000F69A8"/>
    <w:rsid w:val="00112721"/>
    <w:rsid w:val="001244BB"/>
    <w:rsid w:val="001302C5"/>
    <w:rsid w:val="001355F8"/>
    <w:rsid w:val="00146224"/>
    <w:rsid w:val="00155620"/>
    <w:rsid w:val="001573E1"/>
    <w:rsid w:val="001609F1"/>
    <w:rsid w:val="001648CA"/>
    <w:rsid w:val="001664FA"/>
    <w:rsid w:val="00166D66"/>
    <w:rsid w:val="00167BD4"/>
    <w:rsid w:val="00183339"/>
    <w:rsid w:val="001846B6"/>
    <w:rsid w:val="001949D3"/>
    <w:rsid w:val="00194E8C"/>
    <w:rsid w:val="001A00B0"/>
    <w:rsid w:val="001A1AF6"/>
    <w:rsid w:val="001A3F34"/>
    <w:rsid w:val="001A4681"/>
    <w:rsid w:val="001A46A9"/>
    <w:rsid w:val="001B14BD"/>
    <w:rsid w:val="001B2A4A"/>
    <w:rsid w:val="001D1047"/>
    <w:rsid w:val="001D202B"/>
    <w:rsid w:val="001F1677"/>
    <w:rsid w:val="001F34C9"/>
    <w:rsid w:val="001F4398"/>
    <w:rsid w:val="00204ECA"/>
    <w:rsid w:val="00206A93"/>
    <w:rsid w:val="002229AD"/>
    <w:rsid w:val="00236874"/>
    <w:rsid w:val="00236FD2"/>
    <w:rsid w:val="00241E91"/>
    <w:rsid w:val="00252D07"/>
    <w:rsid w:val="0028007E"/>
    <w:rsid w:val="00283333"/>
    <w:rsid w:val="00290D01"/>
    <w:rsid w:val="00297891"/>
    <w:rsid w:val="002A600F"/>
    <w:rsid w:val="002A683A"/>
    <w:rsid w:val="002A6CE5"/>
    <w:rsid w:val="002B2A61"/>
    <w:rsid w:val="002C57E6"/>
    <w:rsid w:val="002C7A27"/>
    <w:rsid w:val="002D6C5A"/>
    <w:rsid w:val="002E105C"/>
    <w:rsid w:val="002E2BF4"/>
    <w:rsid w:val="002E3CCA"/>
    <w:rsid w:val="002F10A1"/>
    <w:rsid w:val="002F29F9"/>
    <w:rsid w:val="00305196"/>
    <w:rsid w:val="0030661B"/>
    <w:rsid w:val="00310312"/>
    <w:rsid w:val="00315C9F"/>
    <w:rsid w:val="00321F01"/>
    <w:rsid w:val="00321F8B"/>
    <w:rsid w:val="0032781A"/>
    <w:rsid w:val="003441DC"/>
    <w:rsid w:val="00353B84"/>
    <w:rsid w:val="0036151C"/>
    <w:rsid w:val="00380C12"/>
    <w:rsid w:val="00381D47"/>
    <w:rsid w:val="00383779"/>
    <w:rsid w:val="00393C3F"/>
    <w:rsid w:val="00394A72"/>
    <w:rsid w:val="003955A4"/>
    <w:rsid w:val="003958A1"/>
    <w:rsid w:val="0039710E"/>
    <w:rsid w:val="003A026F"/>
    <w:rsid w:val="003A5E4D"/>
    <w:rsid w:val="003B6112"/>
    <w:rsid w:val="003D0F2C"/>
    <w:rsid w:val="003D2BE5"/>
    <w:rsid w:val="003D2C59"/>
    <w:rsid w:val="003E2C05"/>
    <w:rsid w:val="003E41DF"/>
    <w:rsid w:val="003F1422"/>
    <w:rsid w:val="00404A9D"/>
    <w:rsid w:val="004129CC"/>
    <w:rsid w:val="0041360C"/>
    <w:rsid w:val="004230C7"/>
    <w:rsid w:val="00425087"/>
    <w:rsid w:val="00440740"/>
    <w:rsid w:val="00447B2B"/>
    <w:rsid w:val="0045440F"/>
    <w:rsid w:val="00461A9C"/>
    <w:rsid w:val="004721F8"/>
    <w:rsid w:val="004750E5"/>
    <w:rsid w:val="0048510D"/>
    <w:rsid w:val="00491F4E"/>
    <w:rsid w:val="00496C0B"/>
    <w:rsid w:val="00497FCD"/>
    <w:rsid w:val="004B1115"/>
    <w:rsid w:val="004B5DA4"/>
    <w:rsid w:val="004B782C"/>
    <w:rsid w:val="004C1D5A"/>
    <w:rsid w:val="004C1E61"/>
    <w:rsid w:val="004C3CF9"/>
    <w:rsid w:val="004E2FEC"/>
    <w:rsid w:val="004F16F7"/>
    <w:rsid w:val="004F2E84"/>
    <w:rsid w:val="004F6A30"/>
    <w:rsid w:val="0050190C"/>
    <w:rsid w:val="00501B47"/>
    <w:rsid w:val="00501D94"/>
    <w:rsid w:val="00510257"/>
    <w:rsid w:val="00522777"/>
    <w:rsid w:val="00550C35"/>
    <w:rsid w:val="005566F6"/>
    <w:rsid w:val="00581B70"/>
    <w:rsid w:val="0058682E"/>
    <w:rsid w:val="00591B89"/>
    <w:rsid w:val="005A301E"/>
    <w:rsid w:val="005A4A28"/>
    <w:rsid w:val="005A66CE"/>
    <w:rsid w:val="005B5FC3"/>
    <w:rsid w:val="005D28DE"/>
    <w:rsid w:val="005D4CBC"/>
    <w:rsid w:val="005D6F08"/>
    <w:rsid w:val="005E5A99"/>
    <w:rsid w:val="005F3488"/>
    <w:rsid w:val="00603CB7"/>
    <w:rsid w:val="00606CF9"/>
    <w:rsid w:val="00607896"/>
    <w:rsid w:val="00611860"/>
    <w:rsid w:val="006251F4"/>
    <w:rsid w:val="0063449E"/>
    <w:rsid w:val="00637F17"/>
    <w:rsid w:val="00652BB1"/>
    <w:rsid w:val="0067414B"/>
    <w:rsid w:val="00675933"/>
    <w:rsid w:val="00687B15"/>
    <w:rsid w:val="00697B81"/>
    <w:rsid w:val="006A0CFD"/>
    <w:rsid w:val="006A2862"/>
    <w:rsid w:val="006A31A5"/>
    <w:rsid w:val="006A6FEA"/>
    <w:rsid w:val="006B18AC"/>
    <w:rsid w:val="006B4733"/>
    <w:rsid w:val="006C1501"/>
    <w:rsid w:val="006C6621"/>
    <w:rsid w:val="006D0EBD"/>
    <w:rsid w:val="006D1E9F"/>
    <w:rsid w:val="006D594B"/>
    <w:rsid w:val="006E4DDA"/>
    <w:rsid w:val="006E6962"/>
    <w:rsid w:val="006F02C8"/>
    <w:rsid w:val="006F2017"/>
    <w:rsid w:val="006F26D2"/>
    <w:rsid w:val="00700585"/>
    <w:rsid w:val="007043DB"/>
    <w:rsid w:val="00705298"/>
    <w:rsid w:val="00711903"/>
    <w:rsid w:val="0072501D"/>
    <w:rsid w:val="0073000F"/>
    <w:rsid w:val="00732CB2"/>
    <w:rsid w:val="0074275D"/>
    <w:rsid w:val="00745547"/>
    <w:rsid w:val="0074669A"/>
    <w:rsid w:val="007561AF"/>
    <w:rsid w:val="007612BE"/>
    <w:rsid w:val="007678D6"/>
    <w:rsid w:val="007708A8"/>
    <w:rsid w:val="00772330"/>
    <w:rsid w:val="007917CF"/>
    <w:rsid w:val="007A1FC5"/>
    <w:rsid w:val="007A4CDA"/>
    <w:rsid w:val="007B51DB"/>
    <w:rsid w:val="007C0937"/>
    <w:rsid w:val="007C3631"/>
    <w:rsid w:val="007C58F7"/>
    <w:rsid w:val="007D5041"/>
    <w:rsid w:val="007D5668"/>
    <w:rsid w:val="007D7334"/>
    <w:rsid w:val="007D73BF"/>
    <w:rsid w:val="007E2894"/>
    <w:rsid w:val="007F219A"/>
    <w:rsid w:val="0080048E"/>
    <w:rsid w:val="00801B6D"/>
    <w:rsid w:val="008051C4"/>
    <w:rsid w:val="00810462"/>
    <w:rsid w:val="00826242"/>
    <w:rsid w:val="00835753"/>
    <w:rsid w:val="00840998"/>
    <w:rsid w:val="00855A1D"/>
    <w:rsid w:val="00857BE9"/>
    <w:rsid w:val="008709D7"/>
    <w:rsid w:val="00875943"/>
    <w:rsid w:val="00882513"/>
    <w:rsid w:val="008836F8"/>
    <w:rsid w:val="00886ECF"/>
    <w:rsid w:val="00891F2B"/>
    <w:rsid w:val="0089647B"/>
    <w:rsid w:val="00897A26"/>
    <w:rsid w:val="008A001B"/>
    <w:rsid w:val="008A2A14"/>
    <w:rsid w:val="008A40E8"/>
    <w:rsid w:val="008B179C"/>
    <w:rsid w:val="008B4517"/>
    <w:rsid w:val="008C0B4F"/>
    <w:rsid w:val="008C67B2"/>
    <w:rsid w:val="008D0E4C"/>
    <w:rsid w:val="008D359C"/>
    <w:rsid w:val="008D3E34"/>
    <w:rsid w:val="008D4949"/>
    <w:rsid w:val="008E343F"/>
    <w:rsid w:val="008E3A44"/>
    <w:rsid w:val="008F3683"/>
    <w:rsid w:val="00907F82"/>
    <w:rsid w:val="009209E1"/>
    <w:rsid w:val="00920D47"/>
    <w:rsid w:val="00931683"/>
    <w:rsid w:val="0093767A"/>
    <w:rsid w:val="00940482"/>
    <w:rsid w:val="00940D9E"/>
    <w:rsid w:val="00941E93"/>
    <w:rsid w:val="00952EC1"/>
    <w:rsid w:val="00953093"/>
    <w:rsid w:val="00955D83"/>
    <w:rsid w:val="00956684"/>
    <w:rsid w:val="00966581"/>
    <w:rsid w:val="009725AA"/>
    <w:rsid w:val="0097730B"/>
    <w:rsid w:val="00985D56"/>
    <w:rsid w:val="009878C8"/>
    <w:rsid w:val="0099097D"/>
    <w:rsid w:val="00991CE3"/>
    <w:rsid w:val="00992CC5"/>
    <w:rsid w:val="00994B5E"/>
    <w:rsid w:val="00995C38"/>
    <w:rsid w:val="00995D3F"/>
    <w:rsid w:val="00996B4F"/>
    <w:rsid w:val="00996F1B"/>
    <w:rsid w:val="009A34D7"/>
    <w:rsid w:val="009B0E69"/>
    <w:rsid w:val="009C1585"/>
    <w:rsid w:val="009C2D1E"/>
    <w:rsid w:val="009C5295"/>
    <w:rsid w:val="009D1242"/>
    <w:rsid w:val="009D19B1"/>
    <w:rsid w:val="009D271C"/>
    <w:rsid w:val="009E0CDD"/>
    <w:rsid w:val="009E1A9A"/>
    <w:rsid w:val="009E1F13"/>
    <w:rsid w:val="009E497E"/>
    <w:rsid w:val="009E52D6"/>
    <w:rsid w:val="009F1CF8"/>
    <w:rsid w:val="00A00664"/>
    <w:rsid w:val="00A03E66"/>
    <w:rsid w:val="00A047AF"/>
    <w:rsid w:val="00A05E35"/>
    <w:rsid w:val="00A10076"/>
    <w:rsid w:val="00A320F2"/>
    <w:rsid w:val="00A332F8"/>
    <w:rsid w:val="00A52088"/>
    <w:rsid w:val="00A53859"/>
    <w:rsid w:val="00A55842"/>
    <w:rsid w:val="00A62BD2"/>
    <w:rsid w:val="00A6443C"/>
    <w:rsid w:val="00A70E33"/>
    <w:rsid w:val="00A711F7"/>
    <w:rsid w:val="00A742E4"/>
    <w:rsid w:val="00A76AC3"/>
    <w:rsid w:val="00A76BA6"/>
    <w:rsid w:val="00A770ED"/>
    <w:rsid w:val="00A80245"/>
    <w:rsid w:val="00A84BF3"/>
    <w:rsid w:val="00A85794"/>
    <w:rsid w:val="00A85892"/>
    <w:rsid w:val="00A9228E"/>
    <w:rsid w:val="00A92C6A"/>
    <w:rsid w:val="00AB3B64"/>
    <w:rsid w:val="00AB74A2"/>
    <w:rsid w:val="00AC10F3"/>
    <w:rsid w:val="00AD0A53"/>
    <w:rsid w:val="00AE3312"/>
    <w:rsid w:val="00AE3729"/>
    <w:rsid w:val="00AE63A0"/>
    <w:rsid w:val="00AE63F8"/>
    <w:rsid w:val="00AE7312"/>
    <w:rsid w:val="00B00917"/>
    <w:rsid w:val="00B02647"/>
    <w:rsid w:val="00B03776"/>
    <w:rsid w:val="00B0562F"/>
    <w:rsid w:val="00B06304"/>
    <w:rsid w:val="00B10EA9"/>
    <w:rsid w:val="00B15BA9"/>
    <w:rsid w:val="00B20E08"/>
    <w:rsid w:val="00B2428C"/>
    <w:rsid w:val="00B27B7E"/>
    <w:rsid w:val="00B42ADF"/>
    <w:rsid w:val="00B430B0"/>
    <w:rsid w:val="00B60C18"/>
    <w:rsid w:val="00B65B72"/>
    <w:rsid w:val="00B723DD"/>
    <w:rsid w:val="00B737BA"/>
    <w:rsid w:val="00B777E3"/>
    <w:rsid w:val="00B86018"/>
    <w:rsid w:val="00BA5759"/>
    <w:rsid w:val="00BB04D9"/>
    <w:rsid w:val="00BB3063"/>
    <w:rsid w:val="00BC0B5A"/>
    <w:rsid w:val="00BC15CC"/>
    <w:rsid w:val="00BC1683"/>
    <w:rsid w:val="00BC2FAF"/>
    <w:rsid w:val="00BC5ED1"/>
    <w:rsid w:val="00BD26D9"/>
    <w:rsid w:val="00BD3FB8"/>
    <w:rsid w:val="00BD629A"/>
    <w:rsid w:val="00C0370C"/>
    <w:rsid w:val="00C044AB"/>
    <w:rsid w:val="00C05F1E"/>
    <w:rsid w:val="00C07591"/>
    <w:rsid w:val="00C07657"/>
    <w:rsid w:val="00C25C40"/>
    <w:rsid w:val="00C3095F"/>
    <w:rsid w:val="00C3296E"/>
    <w:rsid w:val="00C3308B"/>
    <w:rsid w:val="00C35EA9"/>
    <w:rsid w:val="00C51017"/>
    <w:rsid w:val="00C54AE6"/>
    <w:rsid w:val="00C61790"/>
    <w:rsid w:val="00C63D4E"/>
    <w:rsid w:val="00C70FC4"/>
    <w:rsid w:val="00C848D7"/>
    <w:rsid w:val="00C84DF5"/>
    <w:rsid w:val="00C96604"/>
    <w:rsid w:val="00C96E53"/>
    <w:rsid w:val="00CA15EF"/>
    <w:rsid w:val="00CA67FF"/>
    <w:rsid w:val="00CA74DE"/>
    <w:rsid w:val="00CB016A"/>
    <w:rsid w:val="00CC180A"/>
    <w:rsid w:val="00CC4017"/>
    <w:rsid w:val="00CD17CA"/>
    <w:rsid w:val="00CD7893"/>
    <w:rsid w:val="00CE1F91"/>
    <w:rsid w:val="00CE2597"/>
    <w:rsid w:val="00CF5843"/>
    <w:rsid w:val="00CF6C6E"/>
    <w:rsid w:val="00D23C23"/>
    <w:rsid w:val="00D24131"/>
    <w:rsid w:val="00D26C52"/>
    <w:rsid w:val="00D429B9"/>
    <w:rsid w:val="00D42CFA"/>
    <w:rsid w:val="00D4700D"/>
    <w:rsid w:val="00D51880"/>
    <w:rsid w:val="00D71C52"/>
    <w:rsid w:val="00D71F40"/>
    <w:rsid w:val="00D7390A"/>
    <w:rsid w:val="00D75ED5"/>
    <w:rsid w:val="00D75F21"/>
    <w:rsid w:val="00D76B94"/>
    <w:rsid w:val="00D83C53"/>
    <w:rsid w:val="00D86477"/>
    <w:rsid w:val="00D93FAA"/>
    <w:rsid w:val="00D94D8A"/>
    <w:rsid w:val="00D968B3"/>
    <w:rsid w:val="00D97AD4"/>
    <w:rsid w:val="00DA21D4"/>
    <w:rsid w:val="00DA4DE8"/>
    <w:rsid w:val="00DA7B83"/>
    <w:rsid w:val="00DB2097"/>
    <w:rsid w:val="00DC0990"/>
    <w:rsid w:val="00DC2A48"/>
    <w:rsid w:val="00DC2A99"/>
    <w:rsid w:val="00DC4643"/>
    <w:rsid w:val="00DD4D2C"/>
    <w:rsid w:val="00DD6D5F"/>
    <w:rsid w:val="00DE27FC"/>
    <w:rsid w:val="00DE4B6E"/>
    <w:rsid w:val="00DF18C1"/>
    <w:rsid w:val="00DF2212"/>
    <w:rsid w:val="00DF66D3"/>
    <w:rsid w:val="00DF6964"/>
    <w:rsid w:val="00E000F0"/>
    <w:rsid w:val="00E03183"/>
    <w:rsid w:val="00E06012"/>
    <w:rsid w:val="00E108FE"/>
    <w:rsid w:val="00E11BD3"/>
    <w:rsid w:val="00E152E7"/>
    <w:rsid w:val="00E2263C"/>
    <w:rsid w:val="00E26D7B"/>
    <w:rsid w:val="00E32BB3"/>
    <w:rsid w:val="00E42AC8"/>
    <w:rsid w:val="00E62576"/>
    <w:rsid w:val="00E62FB7"/>
    <w:rsid w:val="00E7438C"/>
    <w:rsid w:val="00E77A9C"/>
    <w:rsid w:val="00E82350"/>
    <w:rsid w:val="00E83404"/>
    <w:rsid w:val="00E84BA6"/>
    <w:rsid w:val="00E91848"/>
    <w:rsid w:val="00EC2B09"/>
    <w:rsid w:val="00EC2F3A"/>
    <w:rsid w:val="00EC4FBD"/>
    <w:rsid w:val="00ED4373"/>
    <w:rsid w:val="00ED6A3D"/>
    <w:rsid w:val="00EE0377"/>
    <w:rsid w:val="00EE2C25"/>
    <w:rsid w:val="00EF0495"/>
    <w:rsid w:val="00EF3DB8"/>
    <w:rsid w:val="00EF4D64"/>
    <w:rsid w:val="00EF5EBC"/>
    <w:rsid w:val="00F05E13"/>
    <w:rsid w:val="00F20FCE"/>
    <w:rsid w:val="00F2218A"/>
    <w:rsid w:val="00F23E2C"/>
    <w:rsid w:val="00F24349"/>
    <w:rsid w:val="00F31526"/>
    <w:rsid w:val="00F32980"/>
    <w:rsid w:val="00F32FA6"/>
    <w:rsid w:val="00F332EA"/>
    <w:rsid w:val="00F361A7"/>
    <w:rsid w:val="00F43F8E"/>
    <w:rsid w:val="00F5626E"/>
    <w:rsid w:val="00F62053"/>
    <w:rsid w:val="00F67F28"/>
    <w:rsid w:val="00F72F70"/>
    <w:rsid w:val="00F74C8F"/>
    <w:rsid w:val="00F92FEA"/>
    <w:rsid w:val="00FA2B9C"/>
    <w:rsid w:val="00FA38DF"/>
    <w:rsid w:val="00FA5FE6"/>
    <w:rsid w:val="00FB4505"/>
    <w:rsid w:val="00FD2432"/>
    <w:rsid w:val="00FD741D"/>
    <w:rsid w:val="00FE064B"/>
    <w:rsid w:val="00FE3996"/>
    <w:rsid w:val="00FE7DC6"/>
    <w:rsid w:val="00FF27E4"/>
    <w:rsid w:val="00FF35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E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4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42"/>
    <w:pPr>
      <w:tabs>
        <w:tab w:val="center" w:pos="4153"/>
        <w:tab w:val="right" w:pos="8306"/>
      </w:tabs>
    </w:pPr>
  </w:style>
  <w:style w:type="character" w:customStyle="1" w:styleId="HeaderChar">
    <w:name w:val="Header Char"/>
    <w:basedOn w:val="DefaultParagraphFont"/>
    <w:link w:val="Header"/>
    <w:uiPriority w:val="99"/>
    <w:rsid w:val="00826242"/>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26242"/>
    <w:pPr>
      <w:tabs>
        <w:tab w:val="center" w:pos="4153"/>
        <w:tab w:val="right" w:pos="8306"/>
      </w:tabs>
    </w:pPr>
  </w:style>
  <w:style w:type="character" w:customStyle="1" w:styleId="FooterChar">
    <w:name w:val="Footer Char"/>
    <w:basedOn w:val="DefaultParagraphFont"/>
    <w:link w:val="Footer"/>
    <w:uiPriority w:val="99"/>
    <w:rsid w:val="00826242"/>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826242"/>
    <w:rPr>
      <w:color w:val="0563C1" w:themeColor="hyperlink"/>
      <w:u w:val="single"/>
    </w:rPr>
  </w:style>
  <w:style w:type="table" w:styleId="TableGrid">
    <w:name w:val="Table Grid"/>
    <w:basedOn w:val="TableNormal"/>
    <w:uiPriority w:val="59"/>
    <w:rsid w:val="00826242"/>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296E"/>
    <w:rPr>
      <w:color w:val="605E5C"/>
      <w:shd w:val="clear" w:color="auto" w:fill="E1DFDD"/>
    </w:rPr>
  </w:style>
  <w:style w:type="character" w:styleId="FollowedHyperlink">
    <w:name w:val="FollowedHyperlink"/>
    <w:basedOn w:val="DefaultParagraphFont"/>
    <w:uiPriority w:val="99"/>
    <w:semiHidden/>
    <w:unhideWhenUsed/>
    <w:rsid w:val="001B2A4A"/>
    <w:rPr>
      <w:color w:val="954F72" w:themeColor="followedHyperlink"/>
      <w:u w:val="single"/>
    </w:rPr>
  </w:style>
  <w:style w:type="character" w:styleId="CommentReference">
    <w:name w:val="annotation reference"/>
    <w:basedOn w:val="DefaultParagraphFont"/>
    <w:uiPriority w:val="99"/>
    <w:semiHidden/>
    <w:unhideWhenUsed/>
    <w:rsid w:val="00992CC5"/>
    <w:rPr>
      <w:sz w:val="16"/>
      <w:szCs w:val="16"/>
    </w:rPr>
  </w:style>
  <w:style w:type="paragraph" w:styleId="CommentText">
    <w:name w:val="annotation text"/>
    <w:basedOn w:val="Normal"/>
    <w:link w:val="CommentTextChar"/>
    <w:uiPriority w:val="99"/>
    <w:semiHidden/>
    <w:unhideWhenUsed/>
    <w:rsid w:val="00992CC5"/>
    <w:rPr>
      <w:sz w:val="20"/>
      <w:szCs w:val="20"/>
    </w:rPr>
  </w:style>
  <w:style w:type="character" w:customStyle="1" w:styleId="CommentTextChar">
    <w:name w:val="Comment Text Char"/>
    <w:basedOn w:val="DefaultParagraphFont"/>
    <w:link w:val="CommentText"/>
    <w:uiPriority w:val="99"/>
    <w:semiHidden/>
    <w:rsid w:val="00992CC5"/>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992CC5"/>
    <w:rPr>
      <w:b/>
      <w:bCs/>
    </w:rPr>
  </w:style>
  <w:style w:type="character" w:customStyle="1" w:styleId="CommentSubjectChar">
    <w:name w:val="Comment Subject Char"/>
    <w:basedOn w:val="CommentTextChar"/>
    <w:link w:val="CommentSubject"/>
    <w:uiPriority w:val="99"/>
    <w:semiHidden/>
    <w:rsid w:val="00992CC5"/>
    <w:rPr>
      <w:rFonts w:eastAsia="Times New Roman" w:cs="Times New Roman"/>
      <w:b/>
      <w:bCs/>
      <w:kern w:val="0"/>
      <w:sz w:val="20"/>
      <w:szCs w:val="20"/>
      <w:lang w:val="lv-LV" w:eastAsia="ru-RU"/>
      <w14:ligatures w14:val="none"/>
    </w:rPr>
  </w:style>
  <w:style w:type="paragraph" w:styleId="FootnoteText">
    <w:name w:val="footnote text"/>
    <w:basedOn w:val="Normal"/>
    <w:link w:val="FootnoteTextChar"/>
    <w:uiPriority w:val="99"/>
    <w:semiHidden/>
    <w:unhideWhenUsed/>
    <w:rsid w:val="00B03776"/>
    <w:rPr>
      <w:sz w:val="20"/>
      <w:szCs w:val="20"/>
    </w:rPr>
  </w:style>
  <w:style w:type="character" w:customStyle="1" w:styleId="FootnoteTextChar">
    <w:name w:val="Footnote Text Char"/>
    <w:basedOn w:val="DefaultParagraphFont"/>
    <w:link w:val="FootnoteText"/>
    <w:uiPriority w:val="99"/>
    <w:semiHidden/>
    <w:rsid w:val="00B03776"/>
    <w:rPr>
      <w:rFonts w:eastAsia="Times New Roman" w:cs="Times New Roman"/>
      <w:kern w:val="0"/>
      <w:sz w:val="20"/>
      <w:szCs w:val="20"/>
      <w:lang w:val="lv-LV" w:eastAsia="ru-RU"/>
      <w14:ligatures w14:val="none"/>
    </w:rPr>
  </w:style>
  <w:style w:type="character" w:styleId="FootnoteReference">
    <w:name w:val="footnote reference"/>
    <w:uiPriority w:val="99"/>
    <w:unhideWhenUsed/>
    <w:rsid w:val="00B03776"/>
    <w:rPr>
      <w:vertAlign w:val="superscript"/>
    </w:rPr>
  </w:style>
  <w:style w:type="paragraph" w:customStyle="1" w:styleId="Default">
    <w:name w:val="Default"/>
    <w:rsid w:val="0093767A"/>
    <w:pPr>
      <w:autoSpaceDE w:val="0"/>
      <w:autoSpaceDN w:val="0"/>
      <w:adjustRightInd w:val="0"/>
      <w:spacing w:after="0" w:line="240" w:lineRule="auto"/>
    </w:pPr>
    <w:rPr>
      <w:rFonts w:cs="Times New Roman"/>
      <w:color w:val="000000"/>
      <w:kern w:val="0"/>
      <w:szCs w:val="24"/>
      <w:lang w:val="lv-LV"/>
    </w:rPr>
  </w:style>
  <w:style w:type="paragraph" w:styleId="EndnoteText">
    <w:name w:val="endnote text"/>
    <w:basedOn w:val="Normal"/>
    <w:link w:val="EndnoteTextChar"/>
    <w:uiPriority w:val="99"/>
    <w:semiHidden/>
    <w:unhideWhenUsed/>
    <w:rsid w:val="0093767A"/>
    <w:rPr>
      <w:sz w:val="20"/>
      <w:szCs w:val="20"/>
    </w:rPr>
  </w:style>
  <w:style w:type="character" w:customStyle="1" w:styleId="EndnoteTextChar">
    <w:name w:val="Endnote Text Char"/>
    <w:basedOn w:val="DefaultParagraphFont"/>
    <w:link w:val="EndnoteText"/>
    <w:uiPriority w:val="99"/>
    <w:semiHidden/>
    <w:rsid w:val="0093767A"/>
    <w:rPr>
      <w:rFonts w:eastAsia="Times New Roman" w:cs="Times New Roman"/>
      <w:kern w:val="0"/>
      <w:sz w:val="20"/>
      <w:szCs w:val="20"/>
      <w:lang w:val="lv-LV" w:eastAsia="ru-RU"/>
      <w14:ligatures w14:val="none"/>
    </w:rPr>
  </w:style>
  <w:style w:type="character" w:styleId="EndnoteReference">
    <w:name w:val="endnote reference"/>
    <w:basedOn w:val="DefaultParagraphFont"/>
    <w:uiPriority w:val="99"/>
    <w:semiHidden/>
    <w:unhideWhenUsed/>
    <w:rsid w:val="00937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318">
      <w:bodyDiv w:val="1"/>
      <w:marLeft w:val="0"/>
      <w:marRight w:val="0"/>
      <w:marTop w:val="0"/>
      <w:marBottom w:val="0"/>
      <w:divBdr>
        <w:top w:val="none" w:sz="0" w:space="0" w:color="auto"/>
        <w:left w:val="none" w:sz="0" w:space="0" w:color="auto"/>
        <w:bottom w:val="none" w:sz="0" w:space="0" w:color="auto"/>
        <w:right w:val="none" w:sz="0" w:space="0" w:color="auto"/>
      </w:divBdr>
      <w:divsChild>
        <w:div w:id="1592547012">
          <w:marLeft w:val="0"/>
          <w:marRight w:val="0"/>
          <w:marTop w:val="0"/>
          <w:marBottom w:val="0"/>
          <w:divBdr>
            <w:top w:val="none" w:sz="0" w:space="0" w:color="auto"/>
            <w:left w:val="none" w:sz="0" w:space="0" w:color="auto"/>
            <w:bottom w:val="none" w:sz="0" w:space="0" w:color="auto"/>
            <w:right w:val="none" w:sz="0" w:space="0" w:color="auto"/>
          </w:divBdr>
        </w:div>
      </w:divsChild>
    </w:div>
    <w:div w:id="531455167">
      <w:bodyDiv w:val="1"/>
      <w:marLeft w:val="0"/>
      <w:marRight w:val="0"/>
      <w:marTop w:val="0"/>
      <w:marBottom w:val="0"/>
      <w:divBdr>
        <w:top w:val="none" w:sz="0" w:space="0" w:color="auto"/>
        <w:left w:val="none" w:sz="0" w:space="0" w:color="auto"/>
        <w:bottom w:val="none" w:sz="0" w:space="0" w:color="auto"/>
        <w:right w:val="none" w:sz="0" w:space="0" w:color="auto"/>
      </w:divBdr>
    </w:div>
    <w:div w:id="844783211">
      <w:bodyDiv w:val="1"/>
      <w:marLeft w:val="0"/>
      <w:marRight w:val="0"/>
      <w:marTop w:val="0"/>
      <w:marBottom w:val="0"/>
      <w:divBdr>
        <w:top w:val="none" w:sz="0" w:space="0" w:color="auto"/>
        <w:left w:val="none" w:sz="0" w:space="0" w:color="auto"/>
        <w:bottom w:val="none" w:sz="0" w:space="0" w:color="auto"/>
        <w:right w:val="none" w:sz="0" w:space="0" w:color="auto"/>
      </w:divBdr>
    </w:div>
    <w:div w:id="1113861140">
      <w:bodyDiv w:val="1"/>
      <w:marLeft w:val="0"/>
      <w:marRight w:val="0"/>
      <w:marTop w:val="0"/>
      <w:marBottom w:val="0"/>
      <w:divBdr>
        <w:top w:val="none" w:sz="0" w:space="0" w:color="auto"/>
        <w:left w:val="none" w:sz="0" w:space="0" w:color="auto"/>
        <w:bottom w:val="none" w:sz="0" w:space="0" w:color="auto"/>
        <w:right w:val="none" w:sz="0" w:space="0" w:color="auto"/>
      </w:divBdr>
      <w:divsChild>
        <w:div w:id="88628086">
          <w:marLeft w:val="0"/>
          <w:marRight w:val="0"/>
          <w:marTop w:val="0"/>
          <w:marBottom w:val="0"/>
          <w:divBdr>
            <w:top w:val="none" w:sz="0" w:space="0" w:color="auto"/>
            <w:left w:val="none" w:sz="0" w:space="0" w:color="auto"/>
            <w:bottom w:val="none" w:sz="0" w:space="0" w:color="auto"/>
            <w:right w:val="none" w:sz="0" w:space="0" w:color="auto"/>
          </w:divBdr>
        </w:div>
      </w:divsChild>
    </w:div>
    <w:div w:id="1437825097">
      <w:bodyDiv w:val="1"/>
      <w:marLeft w:val="0"/>
      <w:marRight w:val="0"/>
      <w:marTop w:val="0"/>
      <w:marBottom w:val="0"/>
      <w:divBdr>
        <w:top w:val="none" w:sz="0" w:space="0" w:color="auto"/>
        <w:left w:val="none" w:sz="0" w:space="0" w:color="auto"/>
        <w:bottom w:val="none" w:sz="0" w:space="0" w:color="auto"/>
        <w:right w:val="none" w:sz="0" w:space="0" w:color="auto"/>
      </w:divBdr>
    </w:div>
    <w:div w:id="18668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976" TargetMode="External"/><Relationship Id="rId13" Type="http://schemas.openxmlformats.org/officeDocument/2006/relationships/hyperlink" Target="https://gateway.elieta.lv/api/v1/PublicMaterialDownload/ba6cdd21-cec7-49f8-97e0-2d0fcdddf2f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5e999f7c-0d88-4b36-ab51-7a1e12a120e2" TargetMode="External"/><Relationship Id="rId12" Type="http://schemas.openxmlformats.org/officeDocument/2006/relationships/hyperlink" Target="https://gateway.elieta.lv/api/v1/PublicMaterialDownload/43850904-bafe-469c-8fe5-1588cd5ec07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ateway.elieta.lv/api/v1/PublicMaterialDownload/3b0304ee-82ab-4299-90b2-c4a56c0bc655" TargetMode="External"/><Relationship Id="rId5" Type="http://schemas.openxmlformats.org/officeDocument/2006/relationships/footnotes" Target="footnotes.xml"/><Relationship Id="rId15" Type="http://schemas.openxmlformats.org/officeDocument/2006/relationships/hyperlink" Target="https://curia.europa.eu/juris/document/document.jsf;jsessionid=8D1ED6BF614F1E71C6E0113A87933AD9?text=&amp;docid=232087&amp;pageIndex=0&amp;doclang=lv&amp;mode=lst&amp;dir=&amp;occ=first&amp;part=1&amp;cid=6346770" TargetMode="External"/><Relationship Id="rId10" Type="http://schemas.openxmlformats.org/officeDocument/2006/relationships/hyperlink" Target="https://www.at.gov.lv/downloadlawfile/4373" TargetMode="External"/><Relationship Id="rId4" Type="http://schemas.openxmlformats.org/officeDocument/2006/relationships/webSettings" Target="webSettings.xml"/><Relationship Id="rId9" Type="http://schemas.openxmlformats.org/officeDocument/2006/relationships/hyperlink" Target="https://www.at.gov.lv/downloadlawfile/4689" TargetMode="External"/><Relationship Id="rId14" Type="http://schemas.openxmlformats.org/officeDocument/2006/relationships/hyperlink" Target="https://gateway.elieta.lv/api/v1/PublicMaterialDownload/172d8486-6e2a-482b-830c-171883c5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C496-683A-43FB-9484-C01E1511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17686</Words>
  <Characters>10082</Characters>
  <Application>Microsoft Office Word</Application>
  <DocSecurity>0</DocSecurity>
  <Lines>84</Lines>
  <Paragraphs>55</Paragraphs>
  <ScaleCrop>false</ScaleCrop>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2025-11-04T12:31:00Z</dcterms:created>
  <dcterms:modified xsi:type="dcterms:W3CDTF">2025-11-04T12:31:00Z</dcterms:modified>
</cp:coreProperties>
</file>