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658B" w14:textId="23E2A653" w:rsidR="0038293E" w:rsidRDefault="0038293E" w:rsidP="0038293E">
      <w:pPr>
        <w:spacing w:after="0" w:line="276" w:lineRule="auto"/>
        <w:contextualSpacing/>
        <w:jc w:val="both"/>
        <w:rPr>
          <w:rFonts w:asciiTheme="majorBidi" w:hAnsiTheme="majorBidi" w:cstheme="majorBidi"/>
          <w:b/>
          <w:szCs w:val="24"/>
          <w:lang w:eastAsia="lv-LV"/>
        </w:rPr>
      </w:pPr>
      <w:r w:rsidRPr="002743FE">
        <w:rPr>
          <w:rFonts w:cs="Times New Roman"/>
          <w:b/>
          <w:bCs/>
        </w:rPr>
        <w:t>Ārvalsts tiesas jurisdikcijas izskatīt lietu par bērna dzīvesvietas noteikšanu</w:t>
      </w:r>
      <w:r>
        <w:rPr>
          <w:rFonts w:cs="Times New Roman"/>
          <w:b/>
          <w:bCs/>
        </w:rPr>
        <w:t xml:space="preserve"> pārbaude</w:t>
      </w:r>
    </w:p>
    <w:p w14:paraId="496ED7A1" w14:textId="77777777" w:rsidR="0038293E" w:rsidRDefault="0038293E" w:rsidP="0038293E">
      <w:pPr>
        <w:spacing w:after="0" w:line="276" w:lineRule="auto"/>
        <w:contextualSpacing/>
        <w:jc w:val="center"/>
        <w:rPr>
          <w:rFonts w:asciiTheme="majorBidi" w:hAnsiTheme="majorBidi" w:cstheme="majorBidi"/>
          <w:b/>
          <w:szCs w:val="24"/>
          <w:lang w:eastAsia="lv-LV"/>
        </w:rPr>
      </w:pPr>
    </w:p>
    <w:p w14:paraId="45F1D331" w14:textId="30FF33B1" w:rsidR="000B2C37" w:rsidRPr="000B2C37" w:rsidRDefault="000B2C37" w:rsidP="0038293E">
      <w:pPr>
        <w:spacing w:after="0" w:line="276" w:lineRule="auto"/>
        <w:contextualSpacing/>
        <w:jc w:val="center"/>
        <w:rPr>
          <w:rFonts w:asciiTheme="majorBidi" w:hAnsiTheme="majorBidi" w:cstheme="majorBidi"/>
          <w:b/>
          <w:szCs w:val="24"/>
          <w:lang w:eastAsia="lv-LV"/>
        </w:rPr>
      </w:pPr>
      <w:r w:rsidRPr="000B2C37">
        <w:rPr>
          <w:rFonts w:asciiTheme="majorBidi" w:hAnsiTheme="majorBidi" w:cstheme="majorBidi"/>
          <w:b/>
          <w:szCs w:val="24"/>
          <w:lang w:eastAsia="lv-LV"/>
        </w:rPr>
        <w:t>Latvijas Republikas Senāta</w:t>
      </w:r>
    </w:p>
    <w:p w14:paraId="693FE2E7" w14:textId="77777777" w:rsidR="000B2C37" w:rsidRPr="000B2C37" w:rsidRDefault="000B2C37" w:rsidP="0038293E">
      <w:pPr>
        <w:spacing w:after="0" w:line="276" w:lineRule="auto"/>
        <w:contextualSpacing/>
        <w:jc w:val="center"/>
        <w:rPr>
          <w:rFonts w:asciiTheme="majorBidi" w:hAnsiTheme="majorBidi" w:cstheme="majorBidi"/>
          <w:b/>
          <w:szCs w:val="24"/>
          <w:lang w:eastAsia="lv-LV"/>
        </w:rPr>
      </w:pPr>
      <w:r w:rsidRPr="000B2C37">
        <w:rPr>
          <w:rFonts w:asciiTheme="majorBidi" w:hAnsiTheme="majorBidi" w:cstheme="majorBidi"/>
          <w:b/>
          <w:szCs w:val="24"/>
          <w:lang w:eastAsia="lv-LV"/>
        </w:rPr>
        <w:t>Civillietu departamenta</w:t>
      </w:r>
    </w:p>
    <w:p w14:paraId="52F0AB88" w14:textId="77777777" w:rsidR="000B2C37" w:rsidRPr="000B2C37" w:rsidRDefault="000B2C37" w:rsidP="0038293E">
      <w:pPr>
        <w:spacing w:after="0" w:line="276" w:lineRule="auto"/>
        <w:contextualSpacing/>
        <w:jc w:val="center"/>
        <w:rPr>
          <w:rFonts w:asciiTheme="majorBidi" w:hAnsiTheme="majorBidi" w:cstheme="majorBidi"/>
          <w:b/>
          <w:szCs w:val="24"/>
          <w:lang w:eastAsia="lv-LV"/>
        </w:rPr>
      </w:pPr>
      <w:r w:rsidRPr="000B2C37">
        <w:rPr>
          <w:rFonts w:asciiTheme="majorBidi" w:hAnsiTheme="majorBidi" w:cstheme="majorBidi"/>
          <w:b/>
          <w:szCs w:val="24"/>
          <w:lang w:eastAsia="lv-LV"/>
        </w:rPr>
        <w:t>2025. gada [..]</w:t>
      </w:r>
    </w:p>
    <w:p w14:paraId="75F164A8" w14:textId="77777777" w:rsidR="000B2C37" w:rsidRPr="000B2C37" w:rsidRDefault="000B2C37" w:rsidP="0038293E">
      <w:pPr>
        <w:spacing w:after="0" w:line="276" w:lineRule="auto"/>
        <w:contextualSpacing/>
        <w:jc w:val="center"/>
        <w:rPr>
          <w:rFonts w:asciiTheme="majorBidi" w:hAnsiTheme="majorBidi" w:cstheme="majorBidi"/>
          <w:b/>
          <w:szCs w:val="24"/>
          <w:lang w:eastAsia="lv-LV"/>
        </w:rPr>
      </w:pPr>
      <w:r w:rsidRPr="000B2C37">
        <w:rPr>
          <w:rFonts w:asciiTheme="majorBidi" w:hAnsiTheme="majorBidi" w:cstheme="majorBidi"/>
          <w:b/>
          <w:szCs w:val="24"/>
          <w:lang w:eastAsia="lv-LV"/>
        </w:rPr>
        <w:t>SPRIEDUMS</w:t>
      </w:r>
      <w:r w:rsidRPr="000B2C37">
        <w:rPr>
          <w:rFonts w:asciiTheme="majorBidi" w:hAnsiTheme="majorBidi" w:cstheme="majorBidi"/>
          <w:b/>
          <w:szCs w:val="24"/>
          <w:vertAlign w:val="superscript"/>
          <w:lang w:eastAsia="lv-LV"/>
        </w:rPr>
        <w:footnoteReference w:id="1"/>
      </w:r>
    </w:p>
    <w:p w14:paraId="48AF8295" w14:textId="6CA87DB9" w:rsidR="000B2C37" w:rsidRPr="000B2C37" w:rsidRDefault="000B2C37" w:rsidP="0038293E">
      <w:pPr>
        <w:spacing w:after="0" w:line="276" w:lineRule="auto"/>
        <w:contextualSpacing/>
        <w:jc w:val="center"/>
        <w:rPr>
          <w:rFonts w:asciiTheme="majorBidi" w:hAnsiTheme="majorBidi" w:cstheme="majorBidi"/>
          <w:b/>
          <w:szCs w:val="24"/>
          <w:lang w:eastAsia="lv-LV"/>
        </w:rPr>
      </w:pPr>
      <w:r w:rsidRPr="000B2C37">
        <w:rPr>
          <w:rFonts w:asciiTheme="majorBidi" w:hAnsiTheme="majorBidi" w:cstheme="majorBidi"/>
          <w:b/>
          <w:szCs w:val="24"/>
          <w:lang w:eastAsia="lv-LV"/>
        </w:rPr>
        <w:t>Lieta Nr. [..], SKC</w:t>
      </w:r>
      <w:r w:rsidRPr="000B2C37">
        <w:rPr>
          <w:rFonts w:asciiTheme="majorBidi" w:hAnsiTheme="majorBidi" w:cstheme="majorBidi"/>
          <w:b/>
          <w:szCs w:val="24"/>
          <w:lang w:eastAsia="lv-LV"/>
        </w:rPr>
        <w:noBreakHyphen/>
        <w:t>[</w:t>
      </w:r>
      <w:r>
        <w:rPr>
          <w:rFonts w:asciiTheme="majorBidi" w:hAnsiTheme="majorBidi" w:cstheme="majorBidi"/>
          <w:b/>
          <w:szCs w:val="24"/>
          <w:lang w:eastAsia="lv-LV"/>
        </w:rPr>
        <w:t>F</w:t>
      </w:r>
      <w:r w:rsidRPr="000B2C37">
        <w:rPr>
          <w:rFonts w:asciiTheme="majorBidi" w:hAnsiTheme="majorBidi" w:cstheme="majorBidi"/>
          <w:b/>
          <w:szCs w:val="24"/>
          <w:lang w:eastAsia="lv-LV"/>
        </w:rPr>
        <w:t>]/2025</w:t>
      </w:r>
    </w:p>
    <w:p w14:paraId="10316A38" w14:textId="77777777" w:rsidR="000B2C37" w:rsidRPr="000B2C37" w:rsidRDefault="000B2C37" w:rsidP="0038293E">
      <w:pPr>
        <w:spacing w:after="0" w:line="276" w:lineRule="auto"/>
        <w:contextualSpacing/>
        <w:jc w:val="center"/>
        <w:rPr>
          <w:rFonts w:asciiTheme="majorBidi" w:hAnsiTheme="majorBidi" w:cstheme="majorBidi"/>
          <w:szCs w:val="24"/>
          <w:lang w:eastAsia="lv-LV"/>
        </w:rPr>
      </w:pPr>
      <w:r w:rsidRPr="000B2C37">
        <w:rPr>
          <w:rFonts w:asciiTheme="majorBidi" w:hAnsiTheme="majorBidi" w:cstheme="majorBidi"/>
          <w:szCs w:val="24"/>
          <w:lang w:eastAsia="lv-LV"/>
        </w:rPr>
        <w:t>ECLI:LV:AT:2025:[..]</w:t>
      </w:r>
    </w:p>
    <w:p w14:paraId="376757B3" w14:textId="77777777" w:rsidR="00594CB1" w:rsidRPr="00BE7811" w:rsidRDefault="00594CB1" w:rsidP="0038293E">
      <w:pPr>
        <w:spacing w:after="0" w:line="276" w:lineRule="auto"/>
        <w:contextualSpacing/>
        <w:jc w:val="center"/>
        <w:rPr>
          <w:rFonts w:asciiTheme="majorBidi" w:hAnsiTheme="majorBidi" w:cstheme="majorBidi"/>
          <w:szCs w:val="24"/>
        </w:rPr>
      </w:pPr>
    </w:p>
    <w:p w14:paraId="23EF9AD8" w14:textId="51AFCEC6" w:rsidR="00D23670" w:rsidRPr="00BE7811" w:rsidRDefault="00D23670" w:rsidP="0038293E">
      <w:pPr>
        <w:spacing w:after="0" w:line="276" w:lineRule="auto"/>
        <w:ind w:firstLine="709"/>
        <w:contextualSpacing/>
        <w:jc w:val="both"/>
        <w:rPr>
          <w:rFonts w:asciiTheme="majorBidi" w:hAnsiTheme="majorBidi" w:cstheme="majorBidi"/>
          <w:szCs w:val="24"/>
        </w:rPr>
      </w:pPr>
      <w:r w:rsidRPr="00BE7811">
        <w:rPr>
          <w:rFonts w:asciiTheme="majorBidi" w:hAnsiTheme="majorBidi" w:cstheme="majorBidi"/>
          <w:szCs w:val="24"/>
        </w:rPr>
        <w:t xml:space="preserve">Senāts šādā sastāvā: senators referents </w:t>
      </w:r>
      <w:r w:rsidR="00426797" w:rsidRPr="00BE7811">
        <w:rPr>
          <w:rFonts w:asciiTheme="majorBidi" w:hAnsiTheme="majorBidi" w:cstheme="majorBidi"/>
          <w:szCs w:val="24"/>
        </w:rPr>
        <w:t>Aldis Laviņš</w:t>
      </w:r>
      <w:r w:rsidRPr="00BE7811">
        <w:rPr>
          <w:rFonts w:asciiTheme="majorBidi" w:hAnsiTheme="majorBidi" w:cstheme="majorBidi"/>
          <w:szCs w:val="24"/>
        </w:rPr>
        <w:t>, senator</w:t>
      </w:r>
      <w:r w:rsidR="00426797" w:rsidRPr="00BE7811">
        <w:rPr>
          <w:rFonts w:asciiTheme="majorBidi" w:hAnsiTheme="majorBidi" w:cstheme="majorBidi"/>
          <w:szCs w:val="24"/>
        </w:rPr>
        <w:t>i Intars Bisters un Erlens Kalniņš</w:t>
      </w:r>
    </w:p>
    <w:p w14:paraId="11F0B0A4" w14:textId="77777777" w:rsidR="00594CB1" w:rsidRPr="00BE7811" w:rsidRDefault="00594CB1" w:rsidP="0038293E">
      <w:pPr>
        <w:spacing w:after="0" w:line="276" w:lineRule="auto"/>
        <w:ind w:firstLine="709"/>
        <w:contextualSpacing/>
        <w:jc w:val="both"/>
        <w:rPr>
          <w:rFonts w:asciiTheme="majorBidi" w:hAnsiTheme="majorBidi" w:cstheme="majorBidi"/>
          <w:szCs w:val="24"/>
        </w:rPr>
      </w:pPr>
    </w:p>
    <w:p w14:paraId="6FAEF422" w14:textId="47E50954" w:rsidR="00290C1D" w:rsidRPr="00BE7811" w:rsidRDefault="00D23670" w:rsidP="0038293E">
      <w:pPr>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 xml:space="preserve">izskatīja </w:t>
      </w:r>
      <w:bookmarkStart w:id="0" w:name="_Hlk178146730"/>
      <w:r w:rsidR="00FA4E34" w:rsidRPr="00BE7811">
        <w:rPr>
          <w:rFonts w:asciiTheme="majorBidi" w:hAnsiTheme="majorBidi" w:cstheme="majorBidi"/>
          <w:szCs w:val="24"/>
        </w:rPr>
        <w:t xml:space="preserve">rakstveida procesā </w:t>
      </w:r>
      <w:r w:rsidR="000B2C37">
        <w:rPr>
          <w:rFonts w:asciiTheme="majorBidi" w:hAnsiTheme="majorBidi" w:cstheme="majorBidi"/>
          <w:szCs w:val="24"/>
        </w:rPr>
        <w:t>[pers. A]</w:t>
      </w:r>
      <w:r w:rsidR="00C31595" w:rsidRPr="008B2CFE">
        <w:rPr>
          <w:rFonts w:asciiTheme="majorBidi" w:hAnsiTheme="majorBidi" w:cstheme="majorBidi"/>
          <w:szCs w:val="24"/>
        </w:rPr>
        <w:t xml:space="preserve"> </w:t>
      </w:r>
      <w:r w:rsidR="00104CD9" w:rsidRPr="008B2CFE">
        <w:rPr>
          <w:rFonts w:asciiTheme="majorBidi" w:hAnsiTheme="majorBidi" w:cstheme="majorBidi"/>
          <w:szCs w:val="24"/>
        </w:rPr>
        <w:t>blakus</w:t>
      </w:r>
      <w:r w:rsidR="00426797" w:rsidRPr="008B2CFE">
        <w:rPr>
          <w:rFonts w:asciiTheme="majorBidi" w:hAnsiTheme="majorBidi" w:cstheme="majorBidi"/>
          <w:szCs w:val="24"/>
        </w:rPr>
        <w:t xml:space="preserve"> sūdzību par </w:t>
      </w:r>
      <w:r w:rsidR="000B2C37">
        <w:rPr>
          <w:rFonts w:asciiTheme="majorBidi" w:hAnsiTheme="majorBidi" w:cstheme="majorBidi"/>
          <w:szCs w:val="24"/>
        </w:rPr>
        <w:t>[..]</w:t>
      </w:r>
      <w:r w:rsidR="00426797" w:rsidRPr="008B2CFE">
        <w:rPr>
          <w:rFonts w:asciiTheme="majorBidi" w:hAnsiTheme="majorBidi" w:cstheme="majorBidi"/>
          <w:szCs w:val="24"/>
        </w:rPr>
        <w:t xml:space="preserve"> apgabaltiesas 2024. gada </w:t>
      </w:r>
      <w:r w:rsidR="000B2C37">
        <w:rPr>
          <w:rFonts w:asciiTheme="majorBidi" w:hAnsiTheme="majorBidi" w:cstheme="majorBidi"/>
          <w:szCs w:val="24"/>
        </w:rPr>
        <w:t xml:space="preserve">[..] </w:t>
      </w:r>
      <w:r w:rsidR="00104CD9" w:rsidRPr="008B2CFE">
        <w:rPr>
          <w:rFonts w:asciiTheme="majorBidi" w:hAnsiTheme="majorBidi" w:cstheme="majorBidi"/>
          <w:szCs w:val="24"/>
        </w:rPr>
        <w:t>lēmumu</w:t>
      </w:r>
      <w:bookmarkStart w:id="1" w:name="_Hlk178150111"/>
      <w:r w:rsidR="00C31595" w:rsidRPr="008B2CFE">
        <w:rPr>
          <w:rFonts w:asciiTheme="majorBidi" w:hAnsiTheme="majorBidi" w:cstheme="majorBidi"/>
          <w:szCs w:val="24"/>
        </w:rPr>
        <w:t xml:space="preserve">, ar kuru noraidīts </w:t>
      </w:r>
      <w:r w:rsidR="000B2C37">
        <w:rPr>
          <w:rFonts w:asciiTheme="majorBidi" w:hAnsiTheme="majorBidi" w:cstheme="majorBidi"/>
          <w:szCs w:val="24"/>
        </w:rPr>
        <w:t>[pers. A]</w:t>
      </w:r>
      <w:r w:rsidR="00C31595" w:rsidRPr="008B2CFE">
        <w:rPr>
          <w:rFonts w:asciiTheme="majorBidi" w:hAnsiTheme="majorBidi" w:cstheme="majorBidi"/>
          <w:szCs w:val="24"/>
        </w:rPr>
        <w:t xml:space="preserve"> pieteikums pret </w:t>
      </w:r>
      <w:r w:rsidR="000B2C37">
        <w:rPr>
          <w:rFonts w:asciiTheme="majorBidi" w:hAnsiTheme="majorBidi" w:cstheme="majorBidi"/>
          <w:szCs w:val="24"/>
        </w:rPr>
        <w:t>[pers. B]</w:t>
      </w:r>
      <w:r w:rsidR="00C31595" w:rsidRPr="008B2CFE">
        <w:rPr>
          <w:rFonts w:asciiTheme="majorBidi" w:hAnsiTheme="majorBidi" w:cstheme="majorBidi"/>
          <w:szCs w:val="24"/>
        </w:rPr>
        <w:t xml:space="preserve"> </w:t>
      </w:r>
      <w:r w:rsidR="006479D2" w:rsidRPr="008B2CFE">
        <w:rPr>
          <w:rFonts w:asciiTheme="majorBidi" w:hAnsiTheme="majorBidi" w:cstheme="majorBidi"/>
          <w:szCs w:val="24"/>
        </w:rPr>
        <w:t>(</w:t>
      </w:r>
      <w:r w:rsidR="000B2C37">
        <w:rPr>
          <w:rFonts w:asciiTheme="majorBidi" w:hAnsiTheme="majorBidi" w:cstheme="majorBidi"/>
          <w:i/>
          <w:iCs/>
          <w:szCs w:val="24"/>
        </w:rPr>
        <w:t>[pers. B]</w:t>
      </w:r>
      <w:r w:rsidR="006479D2" w:rsidRPr="00BE7811">
        <w:rPr>
          <w:rFonts w:asciiTheme="majorBidi" w:hAnsiTheme="majorBidi" w:cstheme="majorBidi"/>
          <w:szCs w:val="24"/>
        </w:rPr>
        <w:t xml:space="preserve">) </w:t>
      </w:r>
      <w:r w:rsidR="00C31595" w:rsidRPr="00BE7811">
        <w:rPr>
          <w:rFonts w:asciiTheme="majorBidi" w:hAnsiTheme="majorBidi" w:cstheme="majorBidi"/>
          <w:szCs w:val="24"/>
        </w:rPr>
        <w:t>par ārvalsts tiesas nolēmuma atzīšanu un izpildīšanu.</w:t>
      </w:r>
    </w:p>
    <w:bookmarkEnd w:id="0"/>
    <w:bookmarkEnd w:id="1"/>
    <w:p w14:paraId="03E7AD12" w14:textId="38A3C790" w:rsidR="001F700B" w:rsidRPr="00BE7811" w:rsidRDefault="001F700B" w:rsidP="0038293E">
      <w:pPr>
        <w:spacing w:after="0" w:line="276" w:lineRule="auto"/>
        <w:ind w:firstLine="709"/>
        <w:jc w:val="both"/>
        <w:rPr>
          <w:rFonts w:asciiTheme="majorBidi" w:hAnsiTheme="majorBidi" w:cstheme="majorBidi"/>
          <w:szCs w:val="24"/>
        </w:rPr>
      </w:pPr>
    </w:p>
    <w:p w14:paraId="36D4CB4F" w14:textId="7FF56319" w:rsidR="001F700B" w:rsidRPr="00BE7811" w:rsidRDefault="001F700B" w:rsidP="0038293E">
      <w:pPr>
        <w:spacing w:after="0" w:line="276" w:lineRule="auto"/>
        <w:jc w:val="center"/>
        <w:rPr>
          <w:rFonts w:asciiTheme="majorBidi" w:hAnsiTheme="majorBidi" w:cstheme="majorBidi"/>
          <w:b/>
          <w:szCs w:val="24"/>
          <w:shd w:val="clear" w:color="auto" w:fill="FFFFFF"/>
        </w:rPr>
      </w:pPr>
      <w:r w:rsidRPr="00BE7811">
        <w:rPr>
          <w:rFonts w:asciiTheme="majorBidi" w:hAnsiTheme="majorBidi" w:cstheme="majorBidi"/>
          <w:b/>
          <w:szCs w:val="24"/>
          <w:shd w:val="clear" w:color="auto" w:fill="FFFFFF"/>
        </w:rPr>
        <w:t>Aprakstošā daļa</w:t>
      </w:r>
    </w:p>
    <w:p w14:paraId="5567E11A" w14:textId="1FDAF397" w:rsidR="001F700B" w:rsidRPr="00BE7811" w:rsidRDefault="001F700B" w:rsidP="0038293E">
      <w:pPr>
        <w:pStyle w:val="NormalWeb"/>
        <w:shd w:val="clear" w:color="auto" w:fill="FFFFFF"/>
        <w:spacing w:before="0" w:beforeAutospacing="0" w:after="0" w:afterAutospacing="0" w:line="276" w:lineRule="auto"/>
        <w:ind w:firstLine="709"/>
        <w:jc w:val="both"/>
        <w:rPr>
          <w:rFonts w:asciiTheme="majorBidi" w:hAnsiTheme="majorBidi" w:cstheme="majorBidi"/>
          <w:bCs/>
          <w:i/>
          <w:iCs/>
          <w:shd w:val="clear" w:color="auto" w:fill="FFFFFF"/>
        </w:rPr>
      </w:pPr>
    </w:p>
    <w:p w14:paraId="45521223" w14:textId="740D4D0F" w:rsidR="003A120D" w:rsidRPr="00BE7811" w:rsidRDefault="0041615B"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w:t>
      </w:r>
      <w:r w:rsidR="000A2568" w:rsidRPr="00BE7811">
        <w:rPr>
          <w:rFonts w:asciiTheme="majorBidi" w:hAnsiTheme="majorBidi" w:cstheme="majorBidi"/>
        </w:rPr>
        <w:t>1</w:t>
      </w:r>
      <w:r w:rsidRPr="00BE7811">
        <w:rPr>
          <w:rFonts w:asciiTheme="majorBidi" w:hAnsiTheme="majorBidi" w:cstheme="majorBidi"/>
        </w:rPr>
        <w:t>]</w:t>
      </w:r>
      <w:r w:rsidR="006479D2" w:rsidRPr="00BE7811">
        <w:rPr>
          <w:rFonts w:asciiTheme="majorBidi" w:hAnsiTheme="majorBidi" w:cstheme="majorBidi"/>
        </w:rPr>
        <w:t> </w:t>
      </w:r>
      <w:r w:rsidR="008F4EF4">
        <w:rPr>
          <w:rFonts w:asciiTheme="majorBidi" w:hAnsiTheme="majorBidi" w:cstheme="majorBidi"/>
        </w:rPr>
        <w:t>Rīgas</w:t>
      </w:r>
      <w:r w:rsidR="00F614C4" w:rsidRPr="00BE7811">
        <w:rPr>
          <w:rFonts w:asciiTheme="majorBidi" w:hAnsiTheme="majorBidi" w:cstheme="majorBidi"/>
        </w:rPr>
        <w:t xml:space="preserve"> apgabaltiesa ar 2017. gada </w:t>
      </w:r>
      <w:r w:rsidR="000B2C37">
        <w:rPr>
          <w:rFonts w:asciiTheme="majorBidi" w:hAnsiTheme="majorBidi" w:cstheme="majorBidi"/>
        </w:rPr>
        <w:t>[..]</w:t>
      </w:r>
      <w:r w:rsidR="00F614C4" w:rsidRPr="00BE7811">
        <w:rPr>
          <w:rFonts w:asciiTheme="majorBidi" w:hAnsiTheme="majorBidi" w:cstheme="majorBidi"/>
        </w:rPr>
        <w:t xml:space="preserve"> lēmumu atstājusi negrozītu </w:t>
      </w:r>
      <w:r w:rsidR="000B2C37">
        <w:rPr>
          <w:rFonts w:asciiTheme="majorBidi" w:hAnsiTheme="majorBidi" w:cstheme="majorBidi"/>
        </w:rPr>
        <w:t>[..]</w:t>
      </w:r>
      <w:r w:rsidR="00F614C4" w:rsidRPr="00BE7811">
        <w:rPr>
          <w:rFonts w:asciiTheme="majorBidi" w:hAnsiTheme="majorBidi" w:cstheme="majorBidi"/>
        </w:rPr>
        <w:t xml:space="preserve"> rajona tiesas 2017. gada </w:t>
      </w:r>
      <w:r w:rsidR="000B2C37">
        <w:rPr>
          <w:rFonts w:asciiTheme="majorBidi" w:hAnsiTheme="majorBidi" w:cstheme="majorBidi"/>
        </w:rPr>
        <w:t>[..]</w:t>
      </w:r>
      <w:r w:rsidR="00F614C4" w:rsidRPr="00BE7811">
        <w:rPr>
          <w:rFonts w:asciiTheme="majorBidi" w:hAnsiTheme="majorBidi" w:cstheme="majorBidi"/>
        </w:rPr>
        <w:t xml:space="preserve"> lēmumu, ar kuru apmierināts </w:t>
      </w:r>
      <w:r w:rsidR="000B2C37">
        <w:rPr>
          <w:rFonts w:asciiTheme="majorBidi" w:hAnsiTheme="majorBidi" w:cstheme="majorBidi"/>
        </w:rPr>
        <w:t>[pers. B]</w:t>
      </w:r>
      <w:r w:rsidR="00DA218A" w:rsidRPr="00BE7811">
        <w:rPr>
          <w:rFonts w:asciiTheme="majorBidi" w:hAnsiTheme="majorBidi" w:cstheme="majorBidi"/>
        </w:rPr>
        <w:t xml:space="preserve"> </w:t>
      </w:r>
      <w:r w:rsidR="00F614C4" w:rsidRPr="00BE7811">
        <w:rPr>
          <w:rFonts w:asciiTheme="majorBidi" w:hAnsiTheme="majorBidi" w:cstheme="majorBidi"/>
        </w:rPr>
        <w:t xml:space="preserve">pieteikums pret </w:t>
      </w:r>
      <w:r w:rsidR="000B2C37">
        <w:rPr>
          <w:rFonts w:asciiTheme="majorBidi" w:hAnsiTheme="majorBidi" w:cstheme="majorBidi"/>
        </w:rPr>
        <w:t>[pers. A]</w:t>
      </w:r>
      <w:r w:rsidR="00DA218A" w:rsidRPr="00BE7811">
        <w:rPr>
          <w:rFonts w:asciiTheme="majorBidi" w:hAnsiTheme="majorBidi" w:cstheme="majorBidi"/>
        </w:rPr>
        <w:t xml:space="preserve"> </w:t>
      </w:r>
      <w:r w:rsidR="00F614C4" w:rsidRPr="00BE7811">
        <w:rPr>
          <w:rFonts w:asciiTheme="majorBidi" w:hAnsiTheme="majorBidi" w:cstheme="majorBidi"/>
        </w:rPr>
        <w:t xml:space="preserve">par nepilngadīgā bērna </w:t>
      </w:r>
      <w:r w:rsidR="000B2C37">
        <w:rPr>
          <w:rFonts w:asciiTheme="majorBidi" w:hAnsiTheme="majorBidi" w:cstheme="majorBidi"/>
        </w:rPr>
        <w:t>[pers. C]</w:t>
      </w:r>
      <w:r w:rsidR="00F614C4" w:rsidRPr="00BE7811">
        <w:rPr>
          <w:rFonts w:asciiTheme="majorBidi" w:hAnsiTheme="majorBidi" w:cstheme="majorBidi"/>
        </w:rPr>
        <w:t xml:space="preserve"> atgriešanu </w:t>
      </w:r>
      <w:r w:rsidR="002A76A6" w:rsidRPr="00BE7811">
        <w:rPr>
          <w:rFonts w:asciiTheme="majorBidi" w:hAnsiTheme="majorBidi" w:cstheme="majorBidi"/>
        </w:rPr>
        <w:t>Norvēģijas Karalistē</w:t>
      </w:r>
      <w:r w:rsidR="00F614C4" w:rsidRPr="00BE7811">
        <w:rPr>
          <w:rFonts w:asciiTheme="majorBidi" w:hAnsiTheme="majorBidi" w:cstheme="majorBidi"/>
        </w:rPr>
        <w:t xml:space="preserve">. </w:t>
      </w:r>
      <w:r w:rsidR="009F6C09" w:rsidRPr="00BE7811">
        <w:rPr>
          <w:rFonts w:asciiTheme="majorBidi" w:hAnsiTheme="majorBidi" w:cstheme="majorBidi"/>
        </w:rPr>
        <w:t>Šīs tiesvedības ietvaros tika</w:t>
      </w:r>
      <w:r w:rsidR="00F614C4" w:rsidRPr="00BE7811">
        <w:rPr>
          <w:rFonts w:asciiTheme="majorBidi" w:hAnsiTheme="majorBidi" w:cstheme="majorBidi"/>
        </w:rPr>
        <w:t xml:space="preserve"> nodibināts, ka bērns ir gan Norvēģijas Karalistes, gan Latvijas Republikas pilsonis un bērna pastāvīgā dzīvesvieta </w:t>
      </w:r>
      <w:r w:rsidR="009F6C09" w:rsidRPr="00BE7811">
        <w:rPr>
          <w:rFonts w:asciiTheme="majorBidi" w:hAnsiTheme="majorBidi" w:cstheme="majorBidi"/>
        </w:rPr>
        <w:t>bija</w:t>
      </w:r>
      <w:r w:rsidR="00F614C4" w:rsidRPr="00BE7811">
        <w:rPr>
          <w:rFonts w:asciiTheme="majorBidi" w:hAnsiTheme="majorBidi" w:cstheme="majorBidi"/>
        </w:rPr>
        <w:t xml:space="preserve"> Norvēģijas Karaliste.</w:t>
      </w:r>
    </w:p>
    <w:p w14:paraId="5D11628D" w14:textId="2A19EE30" w:rsidR="00FB471B" w:rsidRPr="00BE7811" w:rsidRDefault="00FB471B"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 xml:space="preserve">Ar Norvēģijas Karalistes </w:t>
      </w:r>
      <w:r w:rsidR="0055613F">
        <w:rPr>
          <w:rFonts w:asciiTheme="majorBidi" w:hAnsiTheme="majorBidi" w:cstheme="majorBidi"/>
        </w:rPr>
        <w:t>[..]</w:t>
      </w:r>
      <w:r w:rsidRPr="00BE7811">
        <w:rPr>
          <w:rFonts w:asciiTheme="majorBidi" w:hAnsiTheme="majorBidi" w:cstheme="majorBidi"/>
        </w:rPr>
        <w:t xml:space="preserve"> </w:t>
      </w:r>
      <w:r w:rsidR="0023721C" w:rsidRPr="00BE7811">
        <w:rPr>
          <w:rFonts w:asciiTheme="majorBidi" w:hAnsiTheme="majorBidi" w:cstheme="majorBidi"/>
        </w:rPr>
        <w:t xml:space="preserve">rajona tiesas </w:t>
      </w:r>
      <w:r w:rsidRPr="00BE7811">
        <w:rPr>
          <w:rFonts w:asciiTheme="majorBidi" w:hAnsiTheme="majorBidi" w:cstheme="majorBidi"/>
        </w:rPr>
        <w:t>2017.</w:t>
      </w:r>
      <w:r w:rsidR="0075357C" w:rsidRPr="00BE7811">
        <w:rPr>
          <w:rFonts w:asciiTheme="majorBidi" w:hAnsiTheme="majorBidi" w:cstheme="majorBidi"/>
        </w:rPr>
        <w:t> </w:t>
      </w:r>
      <w:r w:rsidRPr="00BE7811">
        <w:rPr>
          <w:rFonts w:asciiTheme="majorBidi" w:hAnsiTheme="majorBidi" w:cstheme="majorBidi"/>
        </w:rPr>
        <w:t xml:space="preserve">gada </w:t>
      </w:r>
      <w:r w:rsidR="0055613F">
        <w:rPr>
          <w:rFonts w:asciiTheme="majorBidi" w:hAnsiTheme="majorBidi" w:cstheme="majorBidi"/>
        </w:rPr>
        <w:t>[..]</w:t>
      </w:r>
      <w:r w:rsidRPr="00BE7811">
        <w:rPr>
          <w:rFonts w:asciiTheme="majorBidi" w:hAnsiTheme="majorBidi" w:cstheme="majorBidi"/>
        </w:rPr>
        <w:t xml:space="preserve"> lēmumu lietā Nr.</w:t>
      </w:r>
      <w:r w:rsidR="0075357C" w:rsidRPr="00BE7811">
        <w:rPr>
          <w:rFonts w:asciiTheme="majorBidi" w:hAnsiTheme="majorBidi" w:cstheme="majorBidi"/>
        </w:rPr>
        <w:t> </w:t>
      </w:r>
      <w:r w:rsidR="0055613F">
        <w:rPr>
          <w:rFonts w:asciiTheme="majorBidi" w:hAnsiTheme="majorBidi" w:cstheme="majorBidi"/>
        </w:rPr>
        <w:t>[..]</w:t>
      </w:r>
      <w:r w:rsidRPr="00BE7811">
        <w:rPr>
          <w:rFonts w:asciiTheme="majorBidi" w:hAnsiTheme="majorBidi" w:cstheme="majorBidi"/>
        </w:rPr>
        <w:t xml:space="preserve"> bērna dzīvesvieta noteikta pie tēva un </w:t>
      </w:r>
      <w:r w:rsidR="00A4464D" w:rsidRPr="00BE7811">
        <w:rPr>
          <w:rFonts w:asciiTheme="majorBidi" w:hAnsiTheme="majorBidi" w:cstheme="majorBidi"/>
        </w:rPr>
        <w:t xml:space="preserve">mātei </w:t>
      </w:r>
      <w:r w:rsidRPr="00BE7811">
        <w:rPr>
          <w:rFonts w:asciiTheme="majorBidi" w:hAnsiTheme="majorBidi" w:cstheme="majorBidi"/>
        </w:rPr>
        <w:t xml:space="preserve">noteiktas trīs stundu ilgas saskarsmes tiesības ar </w:t>
      </w:r>
      <w:r w:rsidR="0055613F">
        <w:rPr>
          <w:rFonts w:asciiTheme="majorBidi" w:hAnsiTheme="majorBidi" w:cstheme="majorBidi"/>
        </w:rPr>
        <w:t>[bērnu]</w:t>
      </w:r>
      <w:r w:rsidRPr="00BE7811">
        <w:rPr>
          <w:rFonts w:asciiTheme="majorBidi" w:hAnsiTheme="majorBidi" w:cstheme="majorBidi"/>
        </w:rPr>
        <w:t xml:space="preserve"> katru nedēļu</w:t>
      </w:r>
      <w:r w:rsidR="00E3636F" w:rsidRPr="00BE7811">
        <w:rPr>
          <w:rFonts w:asciiTheme="majorBidi" w:hAnsiTheme="majorBidi" w:cstheme="majorBidi"/>
        </w:rPr>
        <w:t xml:space="preserve"> līdz juridiski saistoša lēmuma pieņemšanai (</w:t>
      </w:r>
      <w:r w:rsidR="00E3636F" w:rsidRPr="00BE7811">
        <w:rPr>
          <w:rFonts w:asciiTheme="majorBidi" w:hAnsiTheme="majorBidi" w:cstheme="majorBidi"/>
          <w:i/>
          <w:iCs/>
        </w:rPr>
        <w:t>tā lēmumā</w:t>
      </w:r>
      <w:r w:rsidR="00E3636F" w:rsidRPr="00BE7811">
        <w:rPr>
          <w:rFonts w:asciiTheme="majorBidi" w:hAnsiTheme="majorBidi" w:cstheme="majorBidi"/>
        </w:rPr>
        <w:t>)</w:t>
      </w:r>
      <w:r w:rsidRPr="00BE7811">
        <w:rPr>
          <w:rFonts w:asciiTheme="majorBidi" w:hAnsiTheme="majorBidi" w:cstheme="majorBidi"/>
        </w:rPr>
        <w:t xml:space="preserve">. </w:t>
      </w:r>
      <w:r w:rsidR="00EB52F6" w:rsidRPr="00BE7811">
        <w:rPr>
          <w:rFonts w:asciiTheme="majorBidi" w:hAnsiTheme="majorBidi" w:cstheme="majorBidi"/>
        </w:rPr>
        <w:t>Ar</w:t>
      </w:r>
      <w:r w:rsidR="006D0B6E" w:rsidRPr="00BE7811">
        <w:rPr>
          <w:rFonts w:asciiTheme="majorBidi" w:hAnsiTheme="majorBidi" w:cstheme="majorBidi"/>
        </w:rPr>
        <w:t xml:space="preserve"> Norvēģijas Karalistes </w:t>
      </w:r>
      <w:r w:rsidR="0055613F">
        <w:rPr>
          <w:rFonts w:asciiTheme="majorBidi" w:hAnsiTheme="majorBidi" w:cstheme="majorBidi"/>
        </w:rPr>
        <w:t>[..]</w:t>
      </w:r>
      <w:r w:rsidR="006D0B6E" w:rsidRPr="00BE7811">
        <w:rPr>
          <w:rFonts w:asciiTheme="majorBidi" w:hAnsiTheme="majorBidi" w:cstheme="majorBidi"/>
        </w:rPr>
        <w:t xml:space="preserve"> rajona tiesas 2021. gada </w:t>
      </w:r>
      <w:r w:rsidR="0055613F">
        <w:rPr>
          <w:rFonts w:asciiTheme="majorBidi" w:hAnsiTheme="majorBidi" w:cstheme="majorBidi"/>
        </w:rPr>
        <w:t>[..]</w:t>
      </w:r>
      <w:r w:rsidR="006D0B6E" w:rsidRPr="00BE7811">
        <w:rPr>
          <w:rFonts w:asciiTheme="majorBidi" w:hAnsiTheme="majorBidi" w:cstheme="majorBidi"/>
        </w:rPr>
        <w:t xml:space="preserve"> lēmum</w:t>
      </w:r>
      <w:r w:rsidR="00EB52F6" w:rsidRPr="00BE7811">
        <w:rPr>
          <w:rFonts w:asciiTheme="majorBidi" w:hAnsiTheme="majorBidi" w:cstheme="majorBidi"/>
        </w:rPr>
        <w:t>u</w:t>
      </w:r>
      <w:r w:rsidR="006D0B6E" w:rsidRPr="00BE7811">
        <w:rPr>
          <w:rFonts w:asciiTheme="majorBidi" w:hAnsiTheme="majorBidi" w:cstheme="majorBidi"/>
        </w:rPr>
        <w:t xml:space="preserve"> lietā Nr.</w:t>
      </w:r>
      <w:r w:rsidR="0075357C" w:rsidRPr="00BE7811">
        <w:rPr>
          <w:rFonts w:asciiTheme="majorBidi" w:hAnsiTheme="majorBidi" w:cstheme="majorBidi"/>
        </w:rPr>
        <w:t> </w:t>
      </w:r>
      <w:r w:rsidR="0055613F">
        <w:rPr>
          <w:rFonts w:asciiTheme="majorBidi" w:hAnsiTheme="majorBidi" w:cstheme="majorBidi"/>
        </w:rPr>
        <w:t>[..]</w:t>
      </w:r>
      <w:r w:rsidR="006D0B6E" w:rsidRPr="00BE7811">
        <w:rPr>
          <w:rFonts w:asciiTheme="majorBidi" w:hAnsiTheme="majorBidi" w:cstheme="majorBidi"/>
        </w:rPr>
        <w:t xml:space="preserve"> </w:t>
      </w:r>
      <w:r w:rsidR="00B34B5D">
        <w:rPr>
          <w:rFonts w:asciiTheme="majorBidi" w:hAnsiTheme="majorBidi" w:cstheme="majorBidi"/>
        </w:rPr>
        <w:t>tiesvedība lietā izbeigta</w:t>
      </w:r>
      <w:r w:rsidR="00607073" w:rsidRPr="00BE7811">
        <w:rPr>
          <w:rFonts w:asciiTheme="majorBidi" w:hAnsiTheme="majorBidi" w:cstheme="majorBidi"/>
        </w:rPr>
        <w:t xml:space="preserve">, vienlaikus konstatējot, ka sakarā ar bērna aizvešanu uz Latviju un vēlāk Krieviju </w:t>
      </w:r>
      <w:r w:rsidR="00B34B5D">
        <w:rPr>
          <w:rFonts w:asciiTheme="majorBidi" w:hAnsiTheme="majorBidi" w:cstheme="majorBidi"/>
        </w:rPr>
        <w:t xml:space="preserve">tiesvedība lietā bija </w:t>
      </w:r>
      <w:r w:rsidR="00607073" w:rsidRPr="00BE7811">
        <w:rPr>
          <w:rFonts w:asciiTheme="majorBidi" w:hAnsiTheme="majorBidi" w:cstheme="majorBidi"/>
        </w:rPr>
        <w:t xml:space="preserve">iepriekš </w:t>
      </w:r>
      <w:r w:rsidR="006D0B6E" w:rsidRPr="00BE7811">
        <w:rPr>
          <w:rFonts w:asciiTheme="majorBidi" w:hAnsiTheme="majorBidi" w:cstheme="majorBidi"/>
        </w:rPr>
        <w:t>apturēta ar 2018.</w:t>
      </w:r>
      <w:r w:rsidR="0075357C" w:rsidRPr="00BE7811">
        <w:rPr>
          <w:rFonts w:asciiTheme="majorBidi" w:hAnsiTheme="majorBidi" w:cstheme="majorBidi"/>
        </w:rPr>
        <w:t> </w:t>
      </w:r>
      <w:r w:rsidR="006D0B6E" w:rsidRPr="00BE7811">
        <w:rPr>
          <w:rFonts w:asciiTheme="majorBidi" w:hAnsiTheme="majorBidi" w:cstheme="majorBidi"/>
        </w:rPr>
        <w:t xml:space="preserve">gada </w:t>
      </w:r>
      <w:r w:rsidR="0055613F">
        <w:rPr>
          <w:rFonts w:asciiTheme="majorBidi" w:hAnsiTheme="majorBidi" w:cstheme="majorBidi"/>
        </w:rPr>
        <w:t>[..]</w:t>
      </w:r>
      <w:r w:rsidR="006D0B6E" w:rsidRPr="00BE7811">
        <w:rPr>
          <w:rFonts w:asciiTheme="majorBidi" w:hAnsiTheme="majorBidi" w:cstheme="majorBidi"/>
        </w:rPr>
        <w:t xml:space="preserve"> tiesas lēmumu</w:t>
      </w:r>
      <w:r w:rsidR="00EB52F6" w:rsidRPr="00BE7811">
        <w:rPr>
          <w:rFonts w:asciiTheme="majorBidi" w:hAnsiTheme="majorBidi" w:cstheme="majorBidi"/>
        </w:rPr>
        <w:t>.</w:t>
      </w:r>
    </w:p>
    <w:p w14:paraId="35CB43DD" w14:textId="16B23B25" w:rsidR="00296AED" w:rsidRPr="00BE7811" w:rsidRDefault="0055613F" w:rsidP="0038293E">
      <w:pPr>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296AED" w:rsidRPr="00BE7811">
        <w:rPr>
          <w:rFonts w:asciiTheme="majorBidi" w:hAnsiTheme="majorBidi" w:cstheme="majorBidi"/>
          <w:szCs w:val="24"/>
        </w:rPr>
        <w:t xml:space="preserve"> rajona tiesa </w:t>
      </w:r>
      <w:r w:rsidR="00B34B5D">
        <w:rPr>
          <w:rFonts w:asciiTheme="majorBidi" w:hAnsiTheme="majorBidi" w:cstheme="majorBidi"/>
          <w:szCs w:val="24"/>
        </w:rPr>
        <w:t xml:space="preserve">ar </w:t>
      </w:r>
      <w:r w:rsidR="00296AED" w:rsidRPr="00BE7811">
        <w:rPr>
          <w:rFonts w:asciiTheme="majorBidi" w:hAnsiTheme="majorBidi" w:cstheme="majorBidi"/>
          <w:szCs w:val="24"/>
        </w:rPr>
        <w:t>2017.</w:t>
      </w:r>
      <w:r w:rsidR="0075357C" w:rsidRPr="00BE7811">
        <w:rPr>
          <w:rFonts w:asciiTheme="majorBidi" w:hAnsiTheme="majorBidi" w:cstheme="majorBidi"/>
          <w:szCs w:val="24"/>
        </w:rPr>
        <w:t> </w:t>
      </w:r>
      <w:r w:rsidR="00296AED" w:rsidRPr="00BE7811">
        <w:rPr>
          <w:rFonts w:asciiTheme="majorBidi" w:hAnsiTheme="majorBidi" w:cstheme="majorBidi"/>
          <w:szCs w:val="24"/>
        </w:rPr>
        <w:t xml:space="preserve">gada </w:t>
      </w:r>
      <w:r w:rsidR="008B0D9F">
        <w:rPr>
          <w:rFonts w:asciiTheme="majorBidi" w:hAnsiTheme="majorBidi" w:cstheme="majorBidi"/>
          <w:szCs w:val="24"/>
        </w:rPr>
        <w:t>[..]</w:t>
      </w:r>
      <w:r w:rsidR="00B34B5D">
        <w:rPr>
          <w:rFonts w:asciiTheme="majorBidi" w:hAnsiTheme="majorBidi" w:cstheme="majorBidi"/>
          <w:szCs w:val="24"/>
        </w:rPr>
        <w:t xml:space="preserve"> lēmumu</w:t>
      </w:r>
      <w:r w:rsidR="00296AED" w:rsidRPr="00BE7811">
        <w:rPr>
          <w:rFonts w:asciiTheme="majorBidi" w:hAnsiTheme="majorBidi" w:cstheme="majorBidi"/>
          <w:szCs w:val="24"/>
        </w:rPr>
        <w:t xml:space="preserve"> apturēja </w:t>
      </w:r>
      <w:r w:rsidR="008F4EF4">
        <w:rPr>
          <w:rFonts w:asciiTheme="majorBidi" w:hAnsiTheme="majorBidi" w:cstheme="majorBidi"/>
          <w:szCs w:val="24"/>
        </w:rPr>
        <w:t>Rīgas</w:t>
      </w:r>
      <w:r w:rsidR="00296AED" w:rsidRPr="00BE7811">
        <w:rPr>
          <w:rFonts w:asciiTheme="majorBidi" w:hAnsiTheme="majorBidi" w:cstheme="majorBidi"/>
          <w:szCs w:val="24"/>
        </w:rPr>
        <w:t xml:space="preserve"> apgabaltiesas 2017.</w:t>
      </w:r>
      <w:r w:rsidR="0075357C" w:rsidRPr="00BE7811">
        <w:rPr>
          <w:rFonts w:asciiTheme="majorBidi" w:hAnsiTheme="majorBidi" w:cstheme="majorBidi"/>
          <w:szCs w:val="24"/>
        </w:rPr>
        <w:t> </w:t>
      </w:r>
      <w:r w:rsidR="00296AED" w:rsidRPr="00BE7811">
        <w:rPr>
          <w:rFonts w:asciiTheme="majorBidi" w:hAnsiTheme="majorBidi" w:cstheme="majorBidi"/>
          <w:szCs w:val="24"/>
        </w:rPr>
        <w:t xml:space="preserve">gada </w:t>
      </w:r>
      <w:r>
        <w:rPr>
          <w:rFonts w:asciiTheme="majorBidi" w:hAnsiTheme="majorBidi" w:cstheme="majorBidi"/>
          <w:szCs w:val="24"/>
        </w:rPr>
        <w:t>[..]</w:t>
      </w:r>
      <w:r w:rsidR="00296AED" w:rsidRPr="00BE7811">
        <w:rPr>
          <w:rFonts w:asciiTheme="majorBidi" w:hAnsiTheme="majorBidi" w:cstheme="majorBidi"/>
          <w:szCs w:val="24"/>
        </w:rPr>
        <w:t xml:space="preserve"> lēmuma izpildi, </w:t>
      </w:r>
      <w:r w:rsidR="00296AED" w:rsidRPr="00727751">
        <w:rPr>
          <w:rFonts w:asciiTheme="majorBidi" w:hAnsiTheme="majorBidi" w:cstheme="majorBidi"/>
          <w:szCs w:val="24"/>
        </w:rPr>
        <w:t>savukārt</w:t>
      </w:r>
      <w:r w:rsidR="00296AED" w:rsidRPr="00BE7811">
        <w:rPr>
          <w:rFonts w:asciiTheme="majorBidi" w:hAnsiTheme="majorBidi" w:cstheme="majorBidi"/>
          <w:szCs w:val="24"/>
        </w:rPr>
        <w:t xml:space="preserve"> </w:t>
      </w:r>
      <w:r w:rsidR="00873F14">
        <w:rPr>
          <w:rFonts w:asciiTheme="majorBidi" w:hAnsiTheme="majorBidi" w:cstheme="majorBidi"/>
          <w:szCs w:val="24"/>
        </w:rPr>
        <w:t xml:space="preserve">ar </w:t>
      </w:r>
      <w:r w:rsidR="008F4EF4">
        <w:rPr>
          <w:rFonts w:asciiTheme="majorBidi" w:hAnsiTheme="majorBidi" w:cstheme="majorBidi"/>
          <w:szCs w:val="24"/>
        </w:rPr>
        <w:t>Rīgas</w:t>
      </w:r>
      <w:r>
        <w:rPr>
          <w:rFonts w:asciiTheme="majorBidi" w:hAnsiTheme="majorBidi" w:cstheme="majorBidi"/>
          <w:szCs w:val="24"/>
        </w:rPr>
        <w:t xml:space="preserve"> </w:t>
      </w:r>
      <w:r w:rsidR="00296AED" w:rsidRPr="00BE7811">
        <w:rPr>
          <w:rFonts w:asciiTheme="majorBidi" w:hAnsiTheme="majorBidi" w:cstheme="majorBidi"/>
          <w:szCs w:val="24"/>
        </w:rPr>
        <w:t>apgabaltiesa</w:t>
      </w:r>
      <w:r w:rsidR="00873F14">
        <w:rPr>
          <w:rFonts w:asciiTheme="majorBidi" w:hAnsiTheme="majorBidi" w:cstheme="majorBidi"/>
          <w:szCs w:val="24"/>
        </w:rPr>
        <w:t>s</w:t>
      </w:r>
      <w:r w:rsidR="00296AED" w:rsidRPr="00BE7811">
        <w:rPr>
          <w:rFonts w:asciiTheme="majorBidi" w:hAnsiTheme="majorBidi" w:cstheme="majorBidi"/>
          <w:szCs w:val="24"/>
        </w:rPr>
        <w:t xml:space="preserve"> 2018.</w:t>
      </w:r>
      <w:r w:rsidR="00D01A18" w:rsidRPr="00BE7811">
        <w:rPr>
          <w:rFonts w:asciiTheme="majorBidi" w:hAnsiTheme="majorBidi" w:cstheme="majorBidi"/>
          <w:szCs w:val="24"/>
        </w:rPr>
        <w:t> </w:t>
      </w:r>
      <w:r w:rsidR="00296AED" w:rsidRPr="00BE7811">
        <w:rPr>
          <w:rFonts w:asciiTheme="majorBidi" w:hAnsiTheme="majorBidi" w:cstheme="majorBidi"/>
          <w:szCs w:val="24"/>
        </w:rPr>
        <w:t xml:space="preserve">gada </w:t>
      </w:r>
      <w:r>
        <w:rPr>
          <w:rFonts w:asciiTheme="majorBidi" w:hAnsiTheme="majorBidi" w:cstheme="majorBidi"/>
          <w:szCs w:val="24"/>
        </w:rPr>
        <w:t>[..]</w:t>
      </w:r>
      <w:r w:rsidR="00873F14">
        <w:rPr>
          <w:rFonts w:asciiTheme="majorBidi" w:hAnsiTheme="majorBidi" w:cstheme="majorBidi"/>
          <w:szCs w:val="24"/>
        </w:rPr>
        <w:t xml:space="preserve"> lēmumu</w:t>
      </w:r>
      <w:r w:rsidR="00296AED" w:rsidRPr="00BE7811">
        <w:rPr>
          <w:rFonts w:asciiTheme="majorBidi" w:hAnsiTheme="majorBidi" w:cstheme="majorBidi"/>
          <w:szCs w:val="24"/>
        </w:rPr>
        <w:t xml:space="preserve"> </w:t>
      </w:r>
      <w:r>
        <w:rPr>
          <w:rFonts w:asciiTheme="majorBidi" w:hAnsiTheme="majorBidi" w:cstheme="majorBidi"/>
          <w:szCs w:val="24"/>
        </w:rPr>
        <w:t>[..]</w:t>
      </w:r>
      <w:r w:rsidR="00296AED" w:rsidRPr="00BE7811">
        <w:rPr>
          <w:rFonts w:asciiTheme="majorBidi" w:hAnsiTheme="majorBidi" w:cstheme="majorBidi"/>
          <w:szCs w:val="24"/>
        </w:rPr>
        <w:t xml:space="preserve"> rajona tiesas 2017.</w:t>
      </w:r>
      <w:r w:rsidR="0075357C" w:rsidRPr="00BE7811">
        <w:rPr>
          <w:rFonts w:asciiTheme="majorBidi" w:hAnsiTheme="majorBidi" w:cstheme="majorBidi"/>
          <w:szCs w:val="24"/>
        </w:rPr>
        <w:t> </w:t>
      </w:r>
      <w:r w:rsidR="00296AED" w:rsidRPr="00BE7811">
        <w:rPr>
          <w:rFonts w:asciiTheme="majorBidi" w:hAnsiTheme="majorBidi" w:cstheme="majorBidi"/>
          <w:szCs w:val="24"/>
        </w:rPr>
        <w:t xml:space="preserve">gada </w:t>
      </w:r>
      <w:r>
        <w:rPr>
          <w:rFonts w:asciiTheme="majorBidi" w:hAnsiTheme="majorBidi" w:cstheme="majorBidi"/>
          <w:szCs w:val="24"/>
        </w:rPr>
        <w:t>[..]</w:t>
      </w:r>
      <w:r w:rsidR="00296AED" w:rsidRPr="00BE7811">
        <w:rPr>
          <w:rFonts w:asciiTheme="majorBidi" w:hAnsiTheme="majorBidi" w:cstheme="majorBidi"/>
          <w:szCs w:val="24"/>
        </w:rPr>
        <w:t xml:space="preserve"> lēmum</w:t>
      </w:r>
      <w:r w:rsidR="00873F14">
        <w:rPr>
          <w:rFonts w:asciiTheme="majorBidi" w:hAnsiTheme="majorBidi" w:cstheme="majorBidi"/>
          <w:szCs w:val="24"/>
        </w:rPr>
        <w:t>s atcelts</w:t>
      </w:r>
      <w:r w:rsidR="00296AED" w:rsidRPr="00BE7811">
        <w:rPr>
          <w:rFonts w:asciiTheme="majorBidi" w:hAnsiTheme="majorBidi" w:cstheme="majorBidi"/>
          <w:szCs w:val="24"/>
        </w:rPr>
        <w:t>.</w:t>
      </w:r>
    </w:p>
    <w:p w14:paraId="51F73918" w14:textId="200073E2" w:rsidR="00296AED" w:rsidRPr="00BE7811" w:rsidRDefault="00296AED" w:rsidP="0038293E">
      <w:pPr>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2018.</w:t>
      </w:r>
      <w:r w:rsidR="0075357C" w:rsidRPr="00BE7811">
        <w:rPr>
          <w:rFonts w:asciiTheme="majorBidi" w:hAnsiTheme="majorBidi" w:cstheme="majorBidi"/>
          <w:szCs w:val="24"/>
        </w:rPr>
        <w:t> </w:t>
      </w:r>
      <w:r w:rsidRPr="00BE7811">
        <w:rPr>
          <w:rFonts w:asciiTheme="majorBidi" w:hAnsiTheme="majorBidi" w:cstheme="majorBidi"/>
          <w:szCs w:val="24"/>
        </w:rPr>
        <w:t xml:space="preserve">gada </w:t>
      </w:r>
      <w:r w:rsidR="0055613F">
        <w:rPr>
          <w:rFonts w:asciiTheme="majorBidi" w:hAnsiTheme="majorBidi" w:cstheme="majorBidi"/>
          <w:szCs w:val="24"/>
        </w:rPr>
        <w:t>[datum</w:t>
      </w:r>
      <w:r w:rsidR="008B0D9F">
        <w:rPr>
          <w:rFonts w:asciiTheme="majorBidi" w:hAnsiTheme="majorBidi" w:cstheme="majorBidi"/>
          <w:szCs w:val="24"/>
        </w:rPr>
        <w:t>s</w:t>
      </w:r>
      <w:r w:rsidR="0055613F">
        <w:rPr>
          <w:rFonts w:asciiTheme="majorBidi" w:hAnsiTheme="majorBidi" w:cstheme="majorBidi"/>
          <w:szCs w:val="24"/>
        </w:rPr>
        <w:t>]</w:t>
      </w:r>
      <w:r w:rsidRPr="00BE7811">
        <w:rPr>
          <w:rFonts w:asciiTheme="majorBidi" w:hAnsiTheme="majorBidi" w:cstheme="majorBidi"/>
          <w:szCs w:val="24"/>
        </w:rPr>
        <w:t xml:space="preserve"> </w:t>
      </w:r>
      <w:r w:rsidR="000B2C37">
        <w:rPr>
          <w:rFonts w:asciiTheme="majorBidi" w:hAnsiTheme="majorBidi" w:cstheme="majorBidi"/>
          <w:szCs w:val="24"/>
        </w:rPr>
        <w:t>[pers. A]</w:t>
      </w:r>
      <w:r w:rsidR="00A4464D" w:rsidRPr="00BE7811">
        <w:rPr>
          <w:rFonts w:asciiTheme="majorBidi" w:hAnsiTheme="majorBidi" w:cstheme="majorBidi"/>
          <w:szCs w:val="24"/>
        </w:rPr>
        <w:t xml:space="preserve"> </w:t>
      </w:r>
      <w:r w:rsidRPr="00BE7811">
        <w:rPr>
          <w:rFonts w:asciiTheme="majorBidi" w:hAnsiTheme="majorBidi" w:cstheme="majorBidi"/>
          <w:szCs w:val="24"/>
        </w:rPr>
        <w:t xml:space="preserve">uzlikts naudas sods par </w:t>
      </w:r>
      <w:r w:rsidR="0055613F">
        <w:rPr>
          <w:rFonts w:asciiTheme="majorBidi" w:hAnsiTheme="majorBidi" w:cstheme="majorBidi"/>
        </w:rPr>
        <w:t>[..]</w:t>
      </w:r>
      <w:r w:rsidR="009D461A" w:rsidRPr="00BE7811">
        <w:rPr>
          <w:rFonts w:asciiTheme="majorBidi" w:hAnsiTheme="majorBidi" w:cstheme="majorBidi"/>
        </w:rPr>
        <w:t xml:space="preserve"> rajona tiesas 2017. gada </w:t>
      </w:r>
      <w:r w:rsidR="0055613F">
        <w:rPr>
          <w:rFonts w:asciiTheme="majorBidi" w:hAnsiTheme="majorBidi" w:cstheme="majorBidi"/>
        </w:rPr>
        <w:t>[..]</w:t>
      </w:r>
      <w:r w:rsidRPr="00BE7811">
        <w:rPr>
          <w:rFonts w:asciiTheme="majorBidi" w:hAnsiTheme="majorBidi" w:cstheme="majorBidi"/>
          <w:szCs w:val="24"/>
        </w:rPr>
        <w:t xml:space="preserve"> lēmuma savlaicīgu neizpildi, </w:t>
      </w:r>
      <w:r w:rsidR="009D461A">
        <w:rPr>
          <w:rFonts w:asciiTheme="majorBidi" w:hAnsiTheme="majorBidi" w:cstheme="majorBidi"/>
          <w:szCs w:val="24"/>
        </w:rPr>
        <w:t>un</w:t>
      </w:r>
      <w:r w:rsidRPr="00BE7811">
        <w:rPr>
          <w:rFonts w:asciiTheme="majorBidi" w:hAnsiTheme="majorBidi" w:cstheme="majorBidi"/>
          <w:szCs w:val="24"/>
        </w:rPr>
        <w:t xml:space="preserve"> pēc zvērināta tiesu izpildītāja pieteikuma </w:t>
      </w:r>
      <w:r w:rsidR="00727751">
        <w:rPr>
          <w:rFonts w:asciiTheme="majorBidi" w:hAnsiTheme="majorBidi" w:cstheme="majorBidi"/>
          <w:szCs w:val="24"/>
        </w:rPr>
        <w:t xml:space="preserve">ar </w:t>
      </w:r>
      <w:r w:rsidR="0055613F">
        <w:rPr>
          <w:rFonts w:asciiTheme="majorBidi" w:hAnsiTheme="majorBidi" w:cstheme="majorBidi"/>
          <w:szCs w:val="24"/>
        </w:rPr>
        <w:t>[</w:t>
      </w:r>
      <w:r w:rsidR="00602230">
        <w:rPr>
          <w:rFonts w:asciiTheme="majorBidi" w:hAnsiTheme="majorBidi" w:cstheme="majorBidi"/>
          <w:szCs w:val="24"/>
        </w:rPr>
        <w:t>nosaukums</w:t>
      </w:r>
      <w:r w:rsidR="0055613F">
        <w:rPr>
          <w:rFonts w:asciiTheme="majorBidi" w:hAnsiTheme="majorBidi" w:cstheme="majorBidi"/>
          <w:szCs w:val="24"/>
        </w:rPr>
        <w:t>]</w:t>
      </w:r>
      <w:r w:rsidR="008B0D9F">
        <w:rPr>
          <w:rFonts w:asciiTheme="majorBidi" w:hAnsiTheme="majorBidi" w:cstheme="majorBidi"/>
          <w:szCs w:val="24"/>
        </w:rPr>
        <w:t> </w:t>
      </w:r>
      <w:r w:rsidRPr="00BE7811">
        <w:rPr>
          <w:rFonts w:asciiTheme="majorBidi" w:hAnsiTheme="majorBidi" w:cstheme="majorBidi"/>
          <w:szCs w:val="24"/>
        </w:rPr>
        <w:t>tiesa</w:t>
      </w:r>
      <w:r w:rsidR="00727751">
        <w:rPr>
          <w:rFonts w:asciiTheme="majorBidi" w:hAnsiTheme="majorBidi" w:cstheme="majorBidi"/>
          <w:szCs w:val="24"/>
        </w:rPr>
        <w:t>s</w:t>
      </w:r>
      <w:r w:rsidRPr="00BE7811">
        <w:rPr>
          <w:rFonts w:asciiTheme="majorBidi" w:hAnsiTheme="majorBidi" w:cstheme="majorBidi"/>
          <w:szCs w:val="24"/>
        </w:rPr>
        <w:t xml:space="preserve"> </w:t>
      </w:r>
      <w:r w:rsidR="00727751" w:rsidRPr="00BE7811">
        <w:rPr>
          <w:rFonts w:asciiTheme="majorBidi" w:hAnsiTheme="majorBidi" w:cstheme="majorBidi"/>
          <w:szCs w:val="24"/>
        </w:rPr>
        <w:t xml:space="preserve">2018. gada </w:t>
      </w:r>
      <w:r w:rsidR="0055613F">
        <w:rPr>
          <w:rFonts w:asciiTheme="majorBidi" w:hAnsiTheme="majorBidi" w:cstheme="majorBidi"/>
          <w:szCs w:val="24"/>
        </w:rPr>
        <w:t>[..]</w:t>
      </w:r>
      <w:r w:rsidR="00727751">
        <w:rPr>
          <w:rFonts w:asciiTheme="majorBidi" w:hAnsiTheme="majorBidi" w:cstheme="majorBidi"/>
          <w:szCs w:val="24"/>
        </w:rPr>
        <w:t xml:space="preserve"> lēmumu tiesa</w:t>
      </w:r>
      <w:r w:rsidR="00727751" w:rsidRPr="00BE7811">
        <w:rPr>
          <w:rFonts w:asciiTheme="majorBidi" w:hAnsiTheme="majorBidi" w:cstheme="majorBidi"/>
          <w:szCs w:val="24"/>
        </w:rPr>
        <w:t xml:space="preserve"> </w:t>
      </w:r>
      <w:r w:rsidRPr="00BE7811">
        <w:rPr>
          <w:rFonts w:asciiTheme="majorBidi" w:hAnsiTheme="majorBidi" w:cstheme="majorBidi"/>
          <w:szCs w:val="24"/>
        </w:rPr>
        <w:t xml:space="preserve">izsludināja nepilngadīgo bērnu meklēšanā. </w:t>
      </w:r>
    </w:p>
    <w:p w14:paraId="0C740309" w14:textId="4F0836C4" w:rsidR="009F6C09" w:rsidRPr="00BE7811" w:rsidRDefault="00296AED" w:rsidP="0038293E">
      <w:pPr>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Zvērināts tiesu izpildītājs 2019.</w:t>
      </w:r>
      <w:r w:rsidR="0075357C" w:rsidRPr="00BE7811">
        <w:rPr>
          <w:rFonts w:asciiTheme="majorBidi" w:hAnsiTheme="majorBidi" w:cstheme="majorBidi"/>
          <w:szCs w:val="24"/>
        </w:rPr>
        <w:t> </w:t>
      </w:r>
      <w:r w:rsidRPr="00BE7811">
        <w:rPr>
          <w:rFonts w:asciiTheme="majorBidi" w:hAnsiTheme="majorBidi" w:cstheme="majorBidi"/>
          <w:szCs w:val="24"/>
        </w:rPr>
        <w:t xml:space="preserve">gada </w:t>
      </w:r>
      <w:r w:rsidR="008B0D9F">
        <w:rPr>
          <w:rFonts w:asciiTheme="majorBidi" w:hAnsiTheme="majorBidi" w:cstheme="majorBidi"/>
          <w:szCs w:val="24"/>
        </w:rPr>
        <w:t>[..]</w:t>
      </w:r>
      <w:r w:rsidRPr="00BE7811">
        <w:rPr>
          <w:rFonts w:asciiTheme="majorBidi" w:hAnsiTheme="majorBidi" w:cstheme="majorBidi"/>
          <w:szCs w:val="24"/>
        </w:rPr>
        <w:t xml:space="preserve"> pieņēma lēmumu par izpildu lietvedības apturēšanu, jo </w:t>
      </w:r>
      <w:r w:rsidR="000B2C37">
        <w:rPr>
          <w:rFonts w:asciiTheme="majorBidi" w:hAnsiTheme="majorBidi" w:cstheme="majorBidi"/>
          <w:szCs w:val="24"/>
        </w:rPr>
        <w:t>[pers. A]</w:t>
      </w:r>
      <w:r w:rsidR="00A4464D" w:rsidRPr="00BE7811">
        <w:rPr>
          <w:rFonts w:asciiTheme="majorBidi" w:hAnsiTheme="majorBidi" w:cstheme="majorBidi"/>
          <w:szCs w:val="24"/>
        </w:rPr>
        <w:t xml:space="preserve"> </w:t>
      </w:r>
      <w:r w:rsidRPr="00BE7811">
        <w:rPr>
          <w:rFonts w:asciiTheme="majorBidi" w:hAnsiTheme="majorBidi" w:cstheme="majorBidi"/>
          <w:szCs w:val="24"/>
        </w:rPr>
        <w:t>un nepilngadībā bērna atrašanās vieta nav zināma</w:t>
      </w:r>
      <w:r w:rsidR="00DA6856">
        <w:rPr>
          <w:rFonts w:asciiTheme="majorBidi" w:hAnsiTheme="majorBidi" w:cstheme="majorBidi"/>
          <w:szCs w:val="24"/>
        </w:rPr>
        <w:t>.</w:t>
      </w:r>
    </w:p>
    <w:p w14:paraId="4FBA1538" w14:textId="196067BA" w:rsidR="00296AED" w:rsidRPr="00BE7811" w:rsidRDefault="00F614C4" w:rsidP="0038293E">
      <w:pPr>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w:t>
      </w:r>
      <w:r w:rsidR="009F6C09" w:rsidRPr="00BE7811">
        <w:rPr>
          <w:rFonts w:asciiTheme="majorBidi" w:hAnsiTheme="majorBidi" w:cstheme="majorBidi"/>
          <w:szCs w:val="24"/>
        </w:rPr>
        <w:t>2</w:t>
      </w:r>
      <w:r w:rsidRPr="00BE7811">
        <w:rPr>
          <w:rFonts w:asciiTheme="majorBidi" w:hAnsiTheme="majorBidi" w:cstheme="majorBidi"/>
          <w:szCs w:val="24"/>
        </w:rPr>
        <w:t>]</w:t>
      </w:r>
      <w:r w:rsidR="00DA218A" w:rsidRPr="00BE7811">
        <w:rPr>
          <w:rFonts w:asciiTheme="majorBidi" w:hAnsiTheme="majorBidi" w:cstheme="majorBidi"/>
          <w:szCs w:val="24"/>
        </w:rPr>
        <w:t> </w:t>
      </w:r>
      <w:r w:rsidR="002354FC" w:rsidRPr="00BE7811">
        <w:rPr>
          <w:rFonts w:asciiTheme="majorBidi" w:hAnsiTheme="majorBidi" w:cstheme="majorBidi"/>
          <w:szCs w:val="24"/>
        </w:rPr>
        <w:t xml:space="preserve">Ar Krievijas Federācijas </w:t>
      </w:r>
      <w:r w:rsidR="008B0D9F">
        <w:rPr>
          <w:rFonts w:asciiTheme="majorBidi" w:hAnsiTheme="majorBidi" w:cstheme="majorBidi"/>
          <w:szCs w:val="24"/>
        </w:rPr>
        <w:t>[..]</w:t>
      </w:r>
      <w:r w:rsidR="002354FC" w:rsidRPr="00BE7811">
        <w:rPr>
          <w:rFonts w:asciiTheme="majorBidi" w:hAnsiTheme="majorBidi" w:cstheme="majorBidi"/>
          <w:szCs w:val="24"/>
        </w:rPr>
        <w:t xml:space="preserve"> rajona tiesas 2023. gada </w:t>
      </w:r>
      <w:r w:rsidR="008F4EF4">
        <w:rPr>
          <w:rFonts w:asciiTheme="majorBidi" w:hAnsiTheme="majorBidi" w:cstheme="majorBidi"/>
          <w:szCs w:val="24"/>
        </w:rPr>
        <w:t xml:space="preserve">23. janvāra </w:t>
      </w:r>
      <w:r w:rsidR="002354FC" w:rsidRPr="00BE7811">
        <w:rPr>
          <w:rFonts w:asciiTheme="majorBidi" w:hAnsiTheme="majorBidi" w:cstheme="majorBidi"/>
          <w:szCs w:val="24"/>
        </w:rPr>
        <w:t xml:space="preserve">spriedumu </w:t>
      </w:r>
      <w:r w:rsidR="00A6455D" w:rsidRPr="00BE7811">
        <w:rPr>
          <w:rFonts w:asciiTheme="majorBidi" w:hAnsiTheme="majorBidi" w:cstheme="majorBidi"/>
          <w:szCs w:val="24"/>
        </w:rPr>
        <w:t xml:space="preserve">šķirta </w:t>
      </w:r>
      <w:r w:rsidR="000B2C37">
        <w:rPr>
          <w:rFonts w:asciiTheme="majorBidi" w:hAnsiTheme="majorBidi" w:cstheme="majorBidi"/>
          <w:szCs w:val="24"/>
        </w:rPr>
        <w:t>[pers. A]</w:t>
      </w:r>
      <w:r w:rsidR="00DA218A" w:rsidRPr="00BE7811">
        <w:rPr>
          <w:rFonts w:asciiTheme="majorBidi" w:hAnsiTheme="majorBidi" w:cstheme="majorBidi"/>
          <w:szCs w:val="24"/>
        </w:rPr>
        <w:t xml:space="preserve"> </w:t>
      </w:r>
      <w:r w:rsidR="00A6455D" w:rsidRPr="00BE7811">
        <w:rPr>
          <w:rFonts w:asciiTheme="majorBidi" w:hAnsiTheme="majorBidi" w:cstheme="majorBidi"/>
          <w:szCs w:val="24"/>
        </w:rPr>
        <w:t xml:space="preserve">un </w:t>
      </w:r>
      <w:r w:rsidR="000B2C37">
        <w:rPr>
          <w:rFonts w:asciiTheme="majorBidi" w:hAnsiTheme="majorBidi" w:cstheme="majorBidi"/>
          <w:szCs w:val="24"/>
        </w:rPr>
        <w:t>[pers. B]</w:t>
      </w:r>
      <w:r w:rsidR="00DA218A" w:rsidRPr="00BE7811">
        <w:rPr>
          <w:rFonts w:asciiTheme="majorBidi" w:hAnsiTheme="majorBidi" w:cstheme="majorBidi"/>
          <w:szCs w:val="24"/>
        </w:rPr>
        <w:t xml:space="preserve"> </w:t>
      </w:r>
      <w:r w:rsidR="00A6455D" w:rsidRPr="00BE7811">
        <w:rPr>
          <w:rFonts w:asciiTheme="majorBidi" w:hAnsiTheme="majorBidi" w:cstheme="majorBidi"/>
          <w:szCs w:val="24"/>
        </w:rPr>
        <w:t xml:space="preserve">laulība, bērna dzīvesvieta noteikta pie </w:t>
      </w:r>
      <w:r w:rsidR="00DA218A" w:rsidRPr="00BE7811">
        <w:rPr>
          <w:rFonts w:asciiTheme="majorBidi" w:hAnsiTheme="majorBidi" w:cstheme="majorBidi"/>
          <w:szCs w:val="24"/>
        </w:rPr>
        <w:t xml:space="preserve">mātes </w:t>
      </w:r>
      <w:r w:rsidR="00A6455D" w:rsidRPr="00BE7811">
        <w:rPr>
          <w:rFonts w:asciiTheme="majorBidi" w:hAnsiTheme="majorBidi" w:cstheme="majorBidi"/>
          <w:szCs w:val="24"/>
        </w:rPr>
        <w:t xml:space="preserve">un </w:t>
      </w:r>
      <w:r w:rsidR="00DA218A" w:rsidRPr="00BE7811">
        <w:rPr>
          <w:rFonts w:asciiTheme="majorBidi" w:hAnsiTheme="majorBidi" w:cstheme="majorBidi"/>
          <w:szCs w:val="24"/>
        </w:rPr>
        <w:t xml:space="preserve">tēvam </w:t>
      </w:r>
      <w:r w:rsidR="00A6455D" w:rsidRPr="00BE7811">
        <w:rPr>
          <w:rFonts w:asciiTheme="majorBidi" w:hAnsiTheme="majorBidi" w:cstheme="majorBidi"/>
          <w:szCs w:val="24"/>
        </w:rPr>
        <w:t>noteikts uzturlīdzekļu maksāšanas pienākums.</w:t>
      </w:r>
      <w:r w:rsidR="000E05E3" w:rsidRPr="00BE7811">
        <w:rPr>
          <w:rFonts w:asciiTheme="majorBidi" w:hAnsiTheme="majorBidi" w:cstheme="majorBidi"/>
          <w:szCs w:val="24"/>
        </w:rPr>
        <w:t xml:space="preserve"> </w:t>
      </w:r>
    </w:p>
    <w:p w14:paraId="73ABC26E" w14:textId="0670EBAE" w:rsidR="002354FC" w:rsidRPr="00BE7811" w:rsidRDefault="000B2C37" w:rsidP="0038293E">
      <w:pPr>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8B0D9F">
        <w:rPr>
          <w:rFonts w:asciiTheme="majorBidi" w:hAnsiTheme="majorBidi" w:cstheme="majorBidi"/>
          <w:szCs w:val="24"/>
        </w:rPr>
        <w:t>P</w:t>
      </w:r>
      <w:r>
        <w:rPr>
          <w:rFonts w:asciiTheme="majorBidi" w:hAnsiTheme="majorBidi" w:cstheme="majorBidi"/>
          <w:szCs w:val="24"/>
        </w:rPr>
        <w:t>ers. A]</w:t>
      </w:r>
      <w:r w:rsidR="000E05E3" w:rsidRPr="00BE7811">
        <w:rPr>
          <w:rFonts w:asciiTheme="majorBidi" w:hAnsiTheme="majorBidi" w:cstheme="majorBidi"/>
          <w:szCs w:val="24"/>
        </w:rPr>
        <w:t xml:space="preserve"> </w:t>
      </w:r>
      <w:r w:rsidR="00DA218A" w:rsidRPr="00BE7811">
        <w:rPr>
          <w:rFonts w:asciiTheme="majorBidi" w:hAnsiTheme="majorBidi" w:cstheme="majorBidi"/>
          <w:szCs w:val="24"/>
        </w:rPr>
        <w:t>vērsusies tiesā ar</w:t>
      </w:r>
      <w:r w:rsidR="000E05E3" w:rsidRPr="00BE7811">
        <w:rPr>
          <w:rFonts w:asciiTheme="majorBidi" w:hAnsiTheme="majorBidi" w:cstheme="majorBidi"/>
          <w:szCs w:val="24"/>
        </w:rPr>
        <w:t xml:space="preserve"> pieteikumu par šī ārvalsts tiesas nolēmuma atzīšanu un izpild</w:t>
      </w:r>
      <w:r w:rsidR="00DA56E5" w:rsidRPr="00BE7811">
        <w:rPr>
          <w:rFonts w:asciiTheme="majorBidi" w:hAnsiTheme="majorBidi" w:cstheme="majorBidi"/>
          <w:szCs w:val="24"/>
        </w:rPr>
        <w:t>īšanu</w:t>
      </w:r>
      <w:r w:rsidR="000E05E3" w:rsidRPr="00BE7811">
        <w:rPr>
          <w:rFonts w:asciiTheme="majorBidi" w:hAnsiTheme="majorBidi" w:cstheme="majorBidi"/>
          <w:szCs w:val="24"/>
        </w:rPr>
        <w:t xml:space="preserve"> Latvijas Republikā.</w:t>
      </w:r>
    </w:p>
    <w:p w14:paraId="31AF0D29" w14:textId="77777777" w:rsidR="009F6C09" w:rsidRPr="00BE7811" w:rsidRDefault="009F6C09" w:rsidP="0038293E">
      <w:pPr>
        <w:spacing w:after="0" w:line="276" w:lineRule="auto"/>
        <w:ind w:firstLine="709"/>
        <w:jc w:val="both"/>
        <w:rPr>
          <w:rFonts w:asciiTheme="majorBidi" w:hAnsiTheme="majorBidi" w:cstheme="majorBidi"/>
          <w:szCs w:val="24"/>
        </w:rPr>
      </w:pPr>
    </w:p>
    <w:p w14:paraId="7522B6F8" w14:textId="6F928069" w:rsidR="00DC22A1" w:rsidRPr="00BE7811" w:rsidRDefault="009F6C09" w:rsidP="0038293E">
      <w:pPr>
        <w:spacing w:after="0" w:line="276" w:lineRule="auto"/>
        <w:ind w:firstLine="709"/>
        <w:jc w:val="both"/>
        <w:rPr>
          <w:rFonts w:asciiTheme="majorBidi" w:hAnsiTheme="majorBidi" w:cstheme="majorBidi"/>
          <w:spacing w:val="-3"/>
          <w:w w:val="105"/>
          <w:szCs w:val="24"/>
        </w:rPr>
      </w:pPr>
      <w:r w:rsidRPr="00BE7811">
        <w:rPr>
          <w:rFonts w:asciiTheme="majorBidi" w:hAnsiTheme="majorBidi" w:cstheme="majorBidi"/>
          <w:szCs w:val="24"/>
        </w:rPr>
        <w:t>[3]</w:t>
      </w:r>
      <w:r w:rsidR="00DA218A" w:rsidRPr="00BE7811">
        <w:rPr>
          <w:rFonts w:asciiTheme="majorBidi" w:hAnsiTheme="majorBidi" w:cstheme="majorBidi"/>
          <w:szCs w:val="24"/>
        </w:rPr>
        <w:t> </w:t>
      </w:r>
      <w:r w:rsidR="002354FC" w:rsidRPr="00BE7811">
        <w:rPr>
          <w:rFonts w:asciiTheme="majorBidi" w:hAnsiTheme="majorBidi" w:cstheme="majorBidi"/>
          <w:szCs w:val="24"/>
        </w:rPr>
        <w:t xml:space="preserve">Ar </w:t>
      </w:r>
      <w:r w:rsidR="008B0D9F">
        <w:rPr>
          <w:rFonts w:asciiTheme="majorBidi" w:hAnsiTheme="majorBidi" w:cstheme="majorBidi"/>
          <w:szCs w:val="24"/>
        </w:rPr>
        <w:t>[..]</w:t>
      </w:r>
      <w:r w:rsidR="002354FC" w:rsidRPr="00BE7811">
        <w:rPr>
          <w:rFonts w:asciiTheme="majorBidi" w:hAnsiTheme="majorBidi" w:cstheme="majorBidi"/>
          <w:szCs w:val="24"/>
        </w:rPr>
        <w:t xml:space="preserve"> pilsētas tiesas tiesne</w:t>
      </w:r>
      <w:r w:rsidR="00DA218A" w:rsidRPr="00BE7811">
        <w:rPr>
          <w:rFonts w:asciiTheme="majorBidi" w:hAnsiTheme="majorBidi" w:cstheme="majorBidi"/>
          <w:szCs w:val="24"/>
        </w:rPr>
        <w:t>ša</w:t>
      </w:r>
      <w:r w:rsidR="002354FC" w:rsidRPr="00BE7811">
        <w:rPr>
          <w:rFonts w:asciiTheme="majorBidi" w:hAnsiTheme="majorBidi" w:cstheme="majorBidi"/>
          <w:szCs w:val="24"/>
        </w:rPr>
        <w:t xml:space="preserve"> 2023. gada </w:t>
      </w:r>
      <w:r w:rsidR="008B0D9F">
        <w:rPr>
          <w:rFonts w:asciiTheme="majorBidi" w:hAnsiTheme="majorBidi" w:cstheme="majorBidi"/>
          <w:szCs w:val="24"/>
        </w:rPr>
        <w:t>[..]</w:t>
      </w:r>
      <w:r w:rsidR="002354FC" w:rsidRPr="00BE7811">
        <w:rPr>
          <w:rFonts w:asciiTheme="majorBidi" w:hAnsiTheme="majorBidi" w:cstheme="majorBidi"/>
          <w:szCs w:val="24"/>
        </w:rPr>
        <w:t xml:space="preserve"> lēmumu nolemts atzīt un izpildīt </w:t>
      </w:r>
      <w:r w:rsidR="00DA218A" w:rsidRPr="00BE7811">
        <w:rPr>
          <w:rFonts w:asciiTheme="majorBidi" w:hAnsiTheme="majorBidi" w:cstheme="majorBidi"/>
          <w:szCs w:val="24"/>
        </w:rPr>
        <w:t xml:space="preserve">Latvijas Republikā </w:t>
      </w:r>
      <w:r w:rsidR="002354FC" w:rsidRPr="00BE7811">
        <w:rPr>
          <w:rFonts w:asciiTheme="majorBidi" w:hAnsiTheme="majorBidi" w:cstheme="majorBidi"/>
          <w:szCs w:val="24"/>
        </w:rPr>
        <w:t xml:space="preserve">Krievijas Federācijas </w:t>
      </w:r>
      <w:r w:rsidR="008B0D9F">
        <w:rPr>
          <w:rFonts w:asciiTheme="majorBidi" w:hAnsiTheme="majorBidi" w:cstheme="majorBidi"/>
          <w:szCs w:val="24"/>
        </w:rPr>
        <w:t>[..]</w:t>
      </w:r>
      <w:r w:rsidR="002354FC" w:rsidRPr="00BE7811">
        <w:rPr>
          <w:rFonts w:asciiTheme="majorBidi" w:hAnsiTheme="majorBidi" w:cstheme="majorBidi"/>
          <w:szCs w:val="24"/>
        </w:rPr>
        <w:t xml:space="preserve"> rajona tiesas 2023. gada </w:t>
      </w:r>
      <w:r w:rsidR="00862E82">
        <w:rPr>
          <w:rFonts w:asciiTheme="majorBidi" w:hAnsiTheme="majorBidi" w:cstheme="majorBidi"/>
          <w:szCs w:val="24"/>
        </w:rPr>
        <w:t>23. janvāra</w:t>
      </w:r>
      <w:r w:rsidR="002354FC" w:rsidRPr="00862E82">
        <w:rPr>
          <w:rFonts w:asciiTheme="majorBidi" w:hAnsiTheme="majorBidi" w:cstheme="majorBidi"/>
          <w:szCs w:val="24"/>
        </w:rPr>
        <w:t xml:space="preserve"> spriedumu</w:t>
      </w:r>
      <w:r w:rsidR="0041615B" w:rsidRPr="00BE7811">
        <w:rPr>
          <w:rFonts w:asciiTheme="majorBidi" w:hAnsiTheme="majorBidi" w:cstheme="majorBidi"/>
          <w:szCs w:val="24"/>
        </w:rPr>
        <w:t>.</w:t>
      </w:r>
    </w:p>
    <w:p w14:paraId="2C7675D7" w14:textId="77777777" w:rsidR="002223C7" w:rsidRPr="00BE7811" w:rsidRDefault="002223C7" w:rsidP="0038293E">
      <w:pPr>
        <w:spacing w:after="0" w:line="276" w:lineRule="auto"/>
        <w:ind w:firstLine="709"/>
        <w:jc w:val="both"/>
        <w:rPr>
          <w:rFonts w:asciiTheme="majorBidi" w:hAnsiTheme="majorBidi" w:cstheme="majorBidi"/>
          <w:szCs w:val="24"/>
        </w:rPr>
      </w:pPr>
    </w:p>
    <w:p w14:paraId="34BDF34C" w14:textId="64BAFB9D" w:rsidR="0041615B" w:rsidRPr="00BE7811" w:rsidRDefault="002223C7" w:rsidP="0038293E">
      <w:pPr>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[4]</w:t>
      </w:r>
      <w:r w:rsidR="00DA218A" w:rsidRPr="00BE7811">
        <w:rPr>
          <w:rFonts w:asciiTheme="majorBidi" w:hAnsiTheme="majorBidi" w:cstheme="majorBidi"/>
          <w:szCs w:val="24"/>
        </w:rPr>
        <w:t> </w:t>
      </w:r>
      <w:r w:rsidR="00B646FC" w:rsidRPr="00BE7811">
        <w:rPr>
          <w:rFonts w:asciiTheme="majorBidi" w:hAnsiTheme="majorBidi" w:cstheme="majorBidi"/>
          <w:szCs w:val="24"/>
        </w:rPr>
        <w:t>I</w:t>
      </w:r>
      <w:r w:rsidR="00C56076" w:rsidRPr="00BE7811">
        <w:rPr>
          <w:rFonts w:asciiTheme="majorBidi" w:hAnsiTheme="majorBidi" w:cstheme="majorBidi"/>
          <w:szCs w:val="24"/>
        </w:rPr>
        <w:t xml:space="preserve">zskatījusi </w:t>
      </w:r>
      <w:r w:rsidR="000B2C37">
        <w:rPr>
          <w:rFonts w:asciiTheme="majorBidi" w:hAnsiTheme="majorBidi" w:cstheme="majorBidi"/>
          <w:szCs w:val="24"/>
        </w:rPr>
        <w:t>[pers. B]</w:t>
      </w:r>
      <w:r w:rsidR="00DA218A" w:rsidRPr="00BE7811">
        <w:rPr>
          <w:rFonts w:asciiTheme="majorBidi" w:hAnsiTheme="majorBidi" w:cstheme="majorBidi"/>
          <w:szCs w:val="24"/>
        </w:rPr>
        <w:t xml:space="preserve"> </w:t>
      </w:r>
      <w:r w:rsidR="00C56076" w:rsidRPr="00BE7811">
        <w:rPr>
          <w:rFonts w:asciiTheme="majorBidi" w:hAnsiTheme="majorBidi" w:cstheme="majorBidi"/>
          <w:szCs w:val="24"/>
        </w:rPr>
        <w:t xml:space="preserve">blakus sūdzību, </w:t>
      </w:r>
      <w:r w:rsidR="008B0D9F">
        <w:rPr>
          <w:rFonts w:asciiTheme="majorBidi" w:hAnsiTheme="majorBidi" w:cstheme="majorBidi"/>
          <w:szCs w:val="24"/>
        </w:rPr>
        <w:t>[..]</w:t>
      </w:r>
      <w:r w:rsidR="00B646FC" w:rsidRPr="00BE7811">
        <w:rPr>
          <w:rFonts w:asciiTheme="majorBidi" w:hAnsiTheme="majorBidi" w:cstheme="majorBidi"/>
          <w:szCs w:val="24"/>
        </w:rPr>
        <w:t xml:space="preserve"> apgabaltiesa </w:t>
      </w:r>
      <w:r w:rsidR="00C56076" w:rsidRPr="009A648F">
        <w:rPr>
          <w:rFonts w:asciiTheme="majorBidi" w:hAnsiTheme="majorBidi" w:cstheme="majorBidi"/>
          <w:szCs w:val="24"/>
        </w:rPr>
        <w:t>ar 20</w:t>
      </w:r>
      <w:r w:rsidR="0041615B" w:rsidRPr="009A648F">
        <w:rPr>
          <w:rFonts w:asciiTheme="majorBidi" w:hAnsiTheme="majorBidi" w:cstheme="majorBidi"/>
          <w:szCs w:val="24"/>
        </w:rPr>
        <w:t>24</w:t>
      </w:r>
      <w:r w:rsidR="00C56076" w:rsidRPr="009A648F">
        <w:rPr>
          <w:rFonts w:asciiTheme="majorBidi" w:hAnsiTheme="majorBidi" w:cstheme="majorBidi"/>
          <w:szCs w:val="24"/>
        </w:rPr>
        <w:t>.</w:t>
      </w:r>
      <w:r w:rsidR="001F700B" w:rsidRPr="009A648F">
        <w:rPr>
          <w:rFonts w:asciiTheme="majorBidi" w:hAnsiTheme="majorBidi" w:cstheme="majorBidi"/>
          <w:szCs w:val="24"/>
        </w:rPr>
        <w:t> </w:t>
      </w:r>
      <w:r w:rsidR="00C56076" w:rsidRPr="009A648F">
        <w:rPr>
          <w:rFonts w:asciiTheme="majorBidi" w:hAnsiTheme="majorBidi" w:cstheme="majorBidi"/>
          <w:szCs w:val="24"/>
        </w:rPr>
        <w:t xml:space="preserve">gada </w:t>
      </w:r>
      <w:r w:rsidR="008B0D9F">
        <w:rPr>
          <w:rFonts w:asciiTheme="majorBidi" w:hAnsiTheme="majorBidi" w:cstheme="majorBidi"/>
          <w:szCs w:val="24"/>
        </w:rPr>
        <w:t>[..]</w:t>
      </w:r>
      <w:r w:rsidR="00C56076" w:rsidRPr="009A648F">
        <w:rPr>
          <w:rFonts w:asciiTheme="majorBidi" w:hAnsiTheme="majorBidi" w:cstheme="majorBidi"/>
          <w:szCs w:val="24"/>
        </w:rPr>
        <w:t xml:space="preserve"> lēmumu </w:t>
      </w:r>
      <w:r w:rsidR="0041615B" w:rsidRPr="009A648F">
        <w:rPr>
          <w:rFonts w:asciiTheme="majorBidi" w:hAnsiTheme="majorBidi" w:cstheme="majorBidi"/>
          <w:szCs w:val="24"/>
        </w:rPr>
        <w:t xml:space="preserve">atcēlusi </w:t>
      </w:r>
      <w:r w:rsidR="008B0D9F">
        <w:rPr>
          <w:rFonts w:asciiTheme="majorBidi" w:hAnsiTheme="majorBidi" w:cstheme="majorBidi"/>
          <w:szCs w:val="24"/>
        </w:rPr>
        <w:t>[..]</w:t>
      </w:r>
      <w:r w:rsidR="0041615B" w:rsidRPr="009A648F">
        <w:rPr>
          <w:rFonts w:asciiTheme="majorBidi" w:hAnsiTheme="majorBidi" w:cstheme="majorBidi"/>
          <w:szCs w:val="24"/>
        </w:rPr>
        <w:t xml:space="preserve"> pilsētas tiesas 202</w:t>
      </w:r>
      <w:r w:rsidR="009A648F" w:rsidRPr="009A648F">
        <w:rPr>
          <w:rFonts w:asciiTheme="majorBidi" w:hAnsiTheme="majorBidi" w:cstheme="majorBidi"/>
          <w:szCs w:val="24"/>
        </w:rPr>
        <w:t>3</w:t>
      </w:r>
      <w:r w:rsidR="0041615B" w:rsidRPr="009A648F">
        <w:rPr>
          <w:rFonts w:asciiTheme="majorBidi" w:hAnsiTheme="majorBidi" w:cstheme="majorBidi"/>
          <w:szCs w:val="24"/>
        </w:rPr>
        <w:t>.</w:t>
      </w:r>
      <w:r w:rsidR="000A2568" w:rsidRPr="009A648F">
        <w:rPr>
          <w:rFonts w:asciiTheme="majorBidi" w:hAnsiTheme="majorBidi" w:cstheme="majorBidi"/>
          <w:szCs w:val="24"/>
        </w:rPr>
        <w:t> </w:t>
      </w:r>
      <w:r w:rsidR="0041615B" w:rsidRPr="009A648F">
        <w:rPr>
          <w:rFonts w:asciiTheme="majorBidi" w:hAnsiTheme="majorBidi" w:cstheme="majorBidi"/>
          <w:szCs w:val="24"/>
        </w:rPr>
        <w:t xml:space="preserve">gada </w:t>
      </w:r>
      <w:r w:rsidR="008B0D9F">
        <w:rPr>
          <w:rFonts w:asciiTheme="majorBidi" w:hAnsiTheme="majorBidi" w:cstheme="majorBidi"/>
          <w:szCs w:val="24"/>
        </w:rPr>
        <w:t>[..]</w:t>
      </w:r>
      <w:r w:rsidR="0041615B" w:rsidRPr="009A648F">
        <w:rPr>
          <w:rFonts w:asciiTheme="majorBidi" w:hAnsiTheme="majorBidi" w:cstheme="majorBidi"/>
          <w:szCs w:val="24"/>
        </w:rPr>
        <w:t xml:space="preserve"> lēmumu un </w:t>
      </w:r>
      <w:r w:rsidR="00B20708" w:rsidRPr="009A648F">
        <w:rPr>
          <w:rFonts w:asciiTheme="majorBidi" w:hAnsiTheme="majorBidi" w:cstheme="majorBidi"/>
          <w:szCs w:val="24"/>
        </w:rPr>
        <w:t xml:space="preserve">noraidījusi </w:t>
      </w:r>
      <w:r w:rsidR="000B2C37">
        <w:rPr>
          <w:rFonts w:asciiTheme="majorBidi" w:hAnsiTheme="majorBidi" w:cstheme="majorBidi"/>
          <w:szCs w:val="24"/>
        </w:rPr>
        <w:t>[pers. A]</w:t>
      </w:r>
      <w:r w:rsidR="00DA218A" w:rsidRPr="00BE7811">
        <w:rPr>
          <w:rFonts w:asciiTheme="majorBidi" w:hAnsiTheme="majorBidi" w:cstheme="majorBidi"/>
          <w:szCs w:val="24"/>
        </w:rPr>
        <w:t xml:space="preserve"> </w:t>
      </w:r>
      <w:r w:rsidR="0041615B" w:rsidRPr="00BE7811">
        <w:rPr>
          <w:rFonts w:asciiTheme="majorBidi" w:hAnsiTheme="majorBidi" w:cstheme="majorBidi"/>
          <w:szCs w:val="24"/>
        </w:rPr>
        <w:t>pieteikumu.</w:t>
      </w:r>
    </w:p>
    <w:p w14:paraId="3D7A03C2" w14:textId="7C419740" w:rsidR="00C56076" w:rsidRPr="00BE7811" w:rsidRDefault="00C56076" w:rsidP="0038293E">
      <w:pPr>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Lēmu</w:t>
      </w:r>
      <w:r w:rsidR="00AE7923" w:rsidRPr="00BE7811">
        <w:rPr>
          <w:rFonts w:asciiTheme="majorBidi" w:hAnsiTheme="majorBidi" w:cstheme="majorBidi"/>
          <w:szCs w:val="24"/>
        </w:rPr>
        <w:t>ms pamatots ar šādiem motīviem.</w:t>
      </w:r>
    </w:p>
    <w:p w14:paraId="08280CD1" w14:textId="61B64B59" w:rsidR="000A2568" w:rsidRPr="00BE7811" w:rsidRDefault="00DA218A" w:rsidP="0038293E">
      <w:pPr>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[4.1] </w:t>
      </w:r>
      <w:bookmarkStart w:id="2" w:name="_Hlk210723982"/>
      <w:r w:rsidR="008B0D9F">
        <w:rPr>
          <w:rFonts w:asciiTheme="majorBidi" w:hAnsiTheme="majorBidi" w:cstheme="majorBidi"/>
          <w:szCs w:val="24"/>
        </w:rPr>
        <w:t>[..]</w:t>
      </w:r>
      <w:r w:rsidR="000A2568" w:rsidRPr="00BE7811">
        <w:rPr>
          <w:rFonts w:asciiTheme="majorBidi" w:hAnsiTheme="majorBidi" w:cstheme="majorBidi"/>
          <w:szCs w:val="24"/>
        </w:rPr>
        <w:t xml:space="preserve"> apgabaltiesa konstatējusi Civilprocesa likuma 637.</w:t>
      </w:r>
      <w:r w:rsidR="0081400D" w:rsidRPr="00BE7811">
        <w:rPr>
          <w:rFonts w:asciiTheme="majorBidi" w:hAnsiTheme="majorBidi" w:cstheme="majorBidi"/>
          <w:szCs w:val="24"/>
        </w:rPr>
        <w:t> </w:t>
      </w:r>
      <w:r w:rsidR="000A2568" w:rsidRPr="00BE7811">
        <w:rPr>
          <w:rFonts w:asciiTheme="majorBidi" w:hAnsiTheme="majorBidi" w:cstheme="majorBidi"/>
          <w:szCs w:val="24"/>
        </w:rPr>
        <w:t>panta otrās daļas 1. un 3.</w:t>
      </w:r>
      <w:r w:rsidR="0081400D" w:rsidRPr="00BE7811">
        <w:rPr>
          <w:rFonts w:asciiTheme="majorBidi" w:hAnsiTheme="majorBidi" w:cstheme="majorBidi"/>
          <w:szCs w:val="24"/>
        </w:rPr>
        <w:t> </w:t>
      </w:r>
      <w:r w:rsidR="000A2568" w:rsidRPr="00BE7811">
        <w:rPr>
          <w:rFonts w:asciiTheme="majorBidi" w:hAnsiTheme="majorBidi" w:cstheme="majorBidi"/>
          <w:szCs w:val="24"/>
        </w:rPr>
        <w:t xml:space="preserve">punktā norādītos šķēršļus ārvalsts nolēmuma atzīšanai un </w:t>
      </w:r>
      <w:r w:rsidR="00DA56E5" w:rsidRPr="00BE7811">
        <w:rPr>
          <w:rFonts w:asciiTheme="majorBidi" w:hAnsiTheme="majorBidi" w:cstheme="majorBidi"/>
          <w:szCs w:val="24"/>
        </w:rPr>
        <w:t xml:space="preserve">izpildīšanai </w:t>
      </w:r>
      <w:r w:rsidR="000A2568" w:rsidRPr="00BE7811">
        <w:rPr>
          <w:rFonts w:asciiTheme="majorBidi" w:hAnsiTheme="majorBidi" w:cstheme="majorBidi"/>
          <w:szCs w:val="24"/>
        </w:rPr>
        <w:t>Latvijas Republikā</w:t>
      </w:r>
      <w:r w:rsidR="00A82895" w:rsidRPr="00BE7811">
        <w:rPr>
          <w:rFonts w:asciiTheme="majorBidi" w:hAnsiTheme="majorBidi" w:cstheme="majorBidi"/>
          <w:szCs w:val="24"/>
        </w:rPr>
        <w:t>, proti, Krievijas Federācijas tiesa</w:t>
      </w:r>
      <w:r w:rsidR="0081400D" w:rsidRPr="00BE7811">
        <w:rPr>
          <w:rFonts w:asciiTheme="majorBidi" w:hAnsiTheme="majorBidi" w:cstheme="majorBidi"/>
          <w:szCs w:val="24"/>
        </w:rPr>
        <w:t xml:space="preserve"> </w:t>
      </w:r>
      <w:r w:rsidR="00A82895" w:rsidRPr="00BE7811">
        <w:rPr>
          <w:rFonts w:asciiTheme="majorBidi" w:hAnsiTheme="majorBidi" w:cstheme="majorBidi"/>
          <w:szCs w:val="24"/>
        </w:rPr>
        <w:t>saskaņā ar Latvijas likumu nebija kompetenta izskatīt attiecīgo strīdu</w:t>
      </w:r>
      <w:r w:rsidRPr="00BE7811">
        <w:rPr>
          <w:rFonts w:asciiTheme="majorBidi" w:hAnsiTheme="majorBidi" w:cstheme="majorBidi"/>
          <w:szCs w:val="24"/>
        </w:rPr>
        <w:t>,</w:t>
      </w:r>
      <w:r w:rsidR="00A82895" w:rsidRPr="00BE7811">
        <w:rPr>
          <w:rFonts w:asciiTheme="majorBidi" w:hAnsiTheme="majorBidi" w:cstheme="majorBidi"/>
          <w:szCs w:val="24"/>
        </w:rPr>
        <w:t xml:space="preserve"> un atbildētājam bij</w:t>
      </w:r>
      <w:r w:rsidR="0081400D" w:rsidRPr="00BE7811">
        <w:rPr>
          <w:rFonts w:asciiTheme="majorBidi" w:hAnsiTheme="majorBidi" w:cstheme="majorBidi"/>
          <w:szCs w:val="24"/>
        </w:rPr>
        <w:t>a</w:t>
      </w:r>
      <w:r w:rsidR="00A82895" w:rsidRPr="00BE7811">
        <w:rPr>
          <w:rFonts w:asciiTheme="majorBidi" w:hAnsiTheme="majorBidi" w:cstheme="majorBidi"/>
          <w:szCs w:val="24"/>
        </w:rPr>
        <w:t xml:space="preserve"> liegta iespēja aizstāvēt savas tiesības</w:t>
      </w:r>
      <w:r w:rsidR="0081400D" w:rsidRPr="00BE7811">
        <w:rPr>
          <w:rFonts w:asciiTheme="majorBidi" w:hAnsiTheme="majorBidi" w:cstheme="majorBidi"/>
          <w:szCs w:val="24"/>
        </w:rPr>
        <w:t>.</w:t>
      </w:r>
      <w:bookmarkEnd w:id="2"/>
    </w:p>
    <w:p w14:paraId="220709C0" w14:textId="129D4C0A" w:rsidR="009F6C09" w:rsidRPr="00BE7811" w:rsidRDefault="009F6C09"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w:t>
      </w:r>
      <w:r w:rsidR="002223C7" w:rsidRPr="00BE7811">
        <w:rPr>
          <w:rFonts w:asciiTheme="majorBidi" w:hAnsiTheme="majorBidi" w:cstheme="majorBidi"/>
        </w:rPr>
        <w:t>4</w:t>
      </w:r>
      <w:r w:rsidRPr="00BE7811">
        <w:rPr>
          <w:rFonts w:asciiTheme="majorBidi" w:hAnsiTheme="majorBidi" w:cstheme="majorBidi"/>
        </w:rPr>
        <w:t>.</w:t>
      </w:r>
      <w:r w:rsidR="00774E47" w:rsidRPr="00BE7811">
        <w:rPr>
          <w:rFonts w:asciiTheme="majorBidi" w:hAnsiTheme="majorBidi" w:cstheme="majorBidi"/>
        </w:rPr>
        <w:t>2</w:t>
      </w:r>
      <w:r w:rsidRPr="00BE7811">
        <w:rPr>
          <w:rFonts w:asciiTheme="majorBidi" w:hAnsiTheme="majorBidi" w:cstheme="majorBidi"/>
        </w:rPr>
        <w:t>]</w:t>
      </w:r>
      <w:r w:rsidR="00774E47" w:rsidRPr="00BE7811">
        <w:rPr>
          <w:rFonts w:asciiTheme="majorBidi" w:hAnsiTheme="majorBidi" w:cstheme="majorBidi"/>
        </w:rPr>
        <w:t> </w:t>
      </w:r>
      <w:r w:rsidRPr="00BE7811">
        <w:rPr>
          <w:rFonts w:asciiTheme="majorBidi" w:hAnsiTheme="majorBidi" w:cstheme="majorBidi"/>
        </w:rPr>
        <w:t xml:space="preserve">Apgabaltiesa konstatējusi, ka pieteicēja joprojām nav izpildījusi spēkā esošu Latvijas Republikas tiesas nolēmumu par </w:t>
      </w:r>
      <w:r w:rsidR="00774E47" w:rsidRPr="00BE7811">
        <w:rPr>
          <w:rFonts w:asciiTheme="majorBidi" w:hAnsiTheme="majorBidi" w:cstheme="majorBidi"/>
        </w:rPr>
        <w:t xml:space="preserve">nepilngadīgā </w:t>
      </w:r>
      <w:r w:rsidRPr="00BE7811">
        <w:rPr>
          <w:rFonts w:asciiTheme="majorBidi" w:hAnsiTheme="majorBidi" w:cstheme="majorBidi"/>
        </w:rPr>
        <w:t xml:space="preserve">bērna </w:t>
      </w:r>
      <w:r w:rsidRPr="008E32D4">
        <w:rPr>
          <w:rFonts w:asciiTheme="majorBidi" w:hAnsiTheme="majorBidi" w:cstheme="majorBidi"/>
          <w:color w:val="000000" w:themeColor="text1"/>
        </w:rPr>
        <w:t xml:space="preserve">atgriešanu pastāvīgās </w:t>
      </w:r>
      <w:r w:rsidRPr="00BE7811">
        <w:rPr>
          <w:rFonts w:asciiTheme="majorBidi" w:hAnsiTheme="majorBidi" w:cstheme="majorBidi"/>
        </w:rPr>
        <w:t xml:space="preserve">dzīvesvietas valstī, ko apstiprina zvērināta tiesu izpildītāja 2019. gada </w:t>
      </w:r>
      <w:r w:rsidR="008F4EF4">
        <w:rPr>
          <w:rFonts w:asciiTheme="majorBidi" w:hAnsiTheme="majorBidi" w:cstheme="majorBidi"/>
        </w:rPr>
        <w:t xml:space="preserve">[..] </w:t>
      </w:r>
      <w:r w:rsidRPr="00BE7811">
        <w:rPr>
          <w:rFonts w:asciiTheme="majorBidi" w:hAnsiTheme="majorBidi" w:cstheme="majorBidi"/>
        </w:rPr>
        <w:t>lēmums par izpildu lietvedības apturēšanu sakarā ar to, ka bērna un pieteicējas atrašanās vieta nav zināma.</w:t>
      </w:r>
    </w:p>
    <w:p w14:paraId="6CB10E11" w14:textId="12C4C806" w:rsidR="00162709" w:rsidRPr="00BE7811" w:rsidRDefault="003F4ED0"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bookmarkStart w:id="3" w:name="_Hlk199147953"/>
      <w:r w:rsidRPr="00BE7811">
        <w:rPr>
          <w:rFonts w:asciiTheme="majorBidi" w:hAnsiTheme="majorBidi" w:cstheme="majorBidi"/>
        </w:rPr>
        <w:t>Pieteicējas</w:t>
      </w:r>
      <w:r w:rsidR="00162709" w:rsidRPr="00BE7811">
        <w:rPr>
          <w:rFonts w:asciiTheme="majorBidi" w:hAnsiTheme="majorBidi" w:cstheme="majorBidi"/>
        </w:rPr>
        <w:t xml:space="preserve"> pārstāve tiesas sēdē nevarēja atbildēt uz jautājumu, kur šobrīd atrodas pieteicēja </w:t>
      </w:r>
      <w:r w:rsidRPr="00BE7811">
        <w:rPr>
          <w:rFonts w:asciiTheme="majorBidi" w:hAnsiTheme="majorBidi" w:cstheme="majorBidi"/>
        </w:rPr>
        <w:t>ar bērnu</w:t>
      </w:r>
      <w:r w:rsidR="00162709" w:rsidRPr="00BE7811">
        <w:rPr>
          <w:rFonts w:asciiTheme="majorBidi" w:hAnsiTheme="majorBidi" w:cstheme="majorBidi"/>
        </w:rPr>
        <w:t xml:space="preserve">, lai gan </w:t>
      </w:r>
      <w:r w:rsidR="00774E47" w:rsidRPr="00BE7811">
        <w:rPr>
          <w:rFonts w:asciiTheme="majorBidi" w:hAnsiTheme="majorBidi" w:cstheme="majorBidi"/>
        </w:rPr>
        <w:t xml:space="preserve">pieteicējai ar </w:t>
      </w:r>
      <w:r w:rsidR="008B0D9F">
        <w:rPr>
          <w:rFonts w:asciiTheme="majorBidi" w:hAnsiTheme="majorBidi" w:cstheme="majorBidi"/>
        </w:rPr>
        <w:t>[bērnu]</w:t>
      </w:r>
      <w:r w:rsidR="00774E47" w:rsidRPr="00BE7811">
        <w:rPr>
          <w:rFonts w:asciiTheme="majorBidi" w:hAnsiTheme="majorBidi" w:cstheme="majorBidi"/>
        </w:rPr>
        <w:t xml:space="preserve"> </w:t>
      </w:r>
      <w:r w:rsidR="00162709" w:rsidRPr="00BE7811">
        <w:rPr>
          <w:rFonts w:asciiTheme="majorBidi" w:hAnsiTheme="majorBidi" w:cstheme="majorBidi"/>
        </w:rPr>
        <w:t>deklarētā dzīvesvieta joprojām ir Latvijas Republikā</w:t>
      </w:r>
      <w:bookmarkEnd w:id="3"/>
      <w:r w:rsidR="00162709" w:rsidRPr="00BE7811">
        <w:rPr>
          <w:rFonts w:asciiTheme="majorBidi" w:hAnsiTheme="majorBidi" w:cstheme="majorBidi"/>
        </w:rPr>
        <w:t>.</w:t>
      </w:r>
    </w:p>
    <w:p w14:paraId="4E915984" w14:textId="22FB24AD" w:rsidR="009F6C09" w:rsidRPr="00BE7811" w:rsidRDefault="009F6C09"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Gan Krievijas Federācija, gan Latvijas Republika, gan Norvēģijas Karaliste ir Hāgas 1996.</w:t>
      </w:r>
      <w:r w:rsidR="007300A5" w:rsidRPr="00BE7811">
        <w:rPr>
          <w:rFonts w:asciiTheme="majorBidi" w:hAnsiTheme="majorBidi" w:cstheme="majorBidi"/>
        </w:rPr>
        <w:t> </w:t>
      </w:r>
      <w:r w:rsidRPr="00BE7811">
        <w:rPr>
          <w:rFonts w:asciiTheme="majorBidi" w:hAnsiTheme="majorBidi" w:cstheme="majorBidi"/>
        </w:rPr>
        <w:t>gada 19.</w:t>
      </w:r>
      <w:r w:rsidR="007300A5" w:rsidRPr="00BE7811">
        <w:rPr>
          <w:rFonts w:asciiTheme="majorBidi" w:hAnsiTheme="majorBidi" w:cstheme="majorBidi"/>
        </w:rPr>
        <w:t> </w:t>
      </w:r>
      <w:r w:rsidRPr="00BE7811">
        <w:rPr>
          <w:rFonts w:asciiTheme="majorBidi" w:hAnsiTheme="majorBidi" w:cstheme="majorBidi"/>
        </w:rPr>
        <w:t xml:space="preserve">oktobra Konvencijas par jurisdikciju, piemērojamiem tiesību aktiem, atzīšanu, izpildi un sadarbību attiecībā uz vecāku atbildību un bērnu aizsardzības pasākumiem (turpmāk – 1996. gada 19. oktobra Konvencija) dalībvalstis. </w:t>
      </w:r>
    </w:p>
    <w:p w14:paraId="2E195871" w14:textId="656394FF" w:rsidR="00162709" w:rsidRPr="00BE7811" w:rsidRDefault="009F6C09"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Pieteicēja</w:t>
      </w:r>
      <w:r w:rsidR="00162709" w:rsidRPr="00BE7811">
        <w:rPr>
          <w:rFonts w:asciiTheme="majorBidi" w:hAnsiTheme="majorBidi" w:cstheme="majorBidi"/>
        </w:rPr>
        <w:t xml:space="preserve"> nav informējusi Krievijas Federācijas tiesu par tiesvedību Latvij</w:t>
      </w:r>
      <w:r w:rsidR="002A76A6" w:rsidRPr="00BE7811">
        <w:rPr>
          <w:rFonts w:asciiTheme="majorBidi" w:hAnsiTheme="majorBidi" w:cstheme="majorBidi"/>
        </w:rPr>
        <w:t>as Republikā</w:t>
      </w:r>
      <w:r w:rsidR="00162709" w:rsidRPr="00BE7811">
        <w:rPr>
          <w:rFonts w:asciiTheme="majorBidi" w:hAnsiTheme="majorBidi" w:cstheme="majorBidi"/>
        </w:rPr>
        <w:t xml:space="preserve"> un </w:t>
      </w:r>
      <w:r w:rsidR="009579B8" w:rsidRPr="00BE7811">
        <w:rPr>
          <w:rFonts w:asciiTheme="majorBidi" w:hAnsiTheme="majorBidi" w:cstheme="majorBidi"/>
        </w:rPr>
        <w:t>viņas</w:t>
      </w:r>
      <w:r w:rsidR="00162709" w:rsidRPr="00BE7811">
        <w:rPr>
          <w:rFonts w:asciiTheme="majorBidi" w:hAnsiTheme="majorBidi" w:cstheme="majorBidi"/>
        </w:rPr>
        <w:t xml:space="preserve"> pienākumu atgriezt bērnu </w:t>
      </w:r>
      <w:r w:rsidR="002A76A6" w:rsidRPr="00BE7811">
        <w:rPr>
          <w:rFonts w:asciiTheme="majorBidi" w:hAnsiTheme="majorBidi" w:cstheme="majorBidi"/>
        </w:rPr>
        <w:t>Norvēģijas Karalistē</w:t>
      </w:r>
      <w:r w:rsidR="0063429D" w:rsidRPr="00BE7811">
        <w:rPr>
          <w:rFonts w:asciiTheme="majorBidi" w:hAnsiTheme="majorBidi" w:cstheme="majorBidi"/>
        </w:rPr>
        <w:t>, un</w:t>
      </w:r>
      <w:r w:rsidR="00162709" w:rsidRPr="00BE7811">
        <w:rPr>
          <w:rFonts w:asciiTheme="majorBidi" w:hAnsiTheme="majorBidi" w:cstheme="majorBidi"/>
        </w:rPr>
        <w:t xml:space="preserve"> </w:t>
      </w:r>
      <w:r w:rsidR="00774E47" w:rsidRPr="00BE7811">
        <w:rPr>
          <w:rFonts w:asciiTheme="majorBidi" w:hAnsiTheme="majorBidi" w:cstheme="majorBidi"/>
        </w:rPr>
        <w:t xml:space="preserve">pirmās instances tiesas tiesnesis </w:t>
      </w:r>
      <w:r w:rsidR="00162709" w:rsidRPr="00BE7811">
        <w:rPr>
          <w:rFonts w:asciiTheme="majorBidi" w:hAnsiTheme="majorBidi" w:cstheme="majorBidi"/>
        </w:rPr>
        <w:t>nav apsvēr</w:t>
      </w:r>
      <w:r w:rsidR="00774E47" w:rsidRPr="00BE7811">
        <w:rPr>
          <w:rFonts w:asciiTheme="majorBidi" w:hAnsiTheme="majorBidi" w:cstheme="majorBidi"/>
        </w:rPr>
        <w:t>is</w:t>
      </w:r>
      <w:r w:rsidR="00162709" w:rsidRPr="00BE7811">
        <w:rPr>
          <w:rFonts w:asciiTheme="majorBidi" w:hAnsiTheme="majorBidi" w:cstheme="majorBidi"/>
        </w:rPr>
        <w:t xml:space="preserve"> jautājumu par strīda jurisdikciju atbilstoši 1996.</w:t>
      </w:r>
      <w:r w:rsidRPr="00BE7811">
        <w:rPr>
          <w:rFonts w:asciiTheme="majorBidi" w:hAnsiTheme="majorBidi" w:cstheme="majorBidi"/>
        </w:rPr>
        <w:t> </w:t>
      </w:r>
      <w:r w:rsidR="00162709" w:rsidRPr="00BE7811">
        <w:rPr>
          <w:rFonts w:asciiTheme="majorBidi" w:hAnsiTheme="majorBidi" w:cstheme="majorBidi"/>
        </w:rPr>
        <w:t>gada 19.</w:t>
      </w:r>
      <w:r w:rsidRPr="00BE7811">
        <w:rPr>
          <w:rFonts w:asciiTheme="majorBidi" w:hAnsiTheme="majorBidi" w:cstheme="majorBidi"/>
        </w:rPr>
        <w:t> </w:t>
      </w:r>
      <w:r w:rsidR="00162709" w:rsidRPr="00BE7811">
        <w:rPr>
          <w:rFonts w:asciiTheme="majorBidi" w:hAnsiTheme="majorBidi" w:cstheme="majorBidi"/>
        </w:rPr>
        <w:t>oktobra Konvencijas noteikumiem.</w:t>
      </w:r>
    </w:p>
    <w:p w14:paraId="7D6A20E4" w14:textId="72A8484E" w:rsidR="00D64E83" w:rsidRPr="00BE7811" w:rsidRDefault="00B20708"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A</w:t>
      </w:r>
      <w:r w:rsidR="000A2568" w:rsidRPr="00BE7811">
        <w:rPr>
          <w:rFonts w:asciiTheme="majorBidi" w:hAnsiTheme="majorBidi" w:cstheme="majorBidi"/>
        </w:rPr>
        <w:t>tbilstoši Konvencijas 7.</w:t>
      </w:r>
      <w:r w:rsidR="009F6C09" w:rsidRPr="00BE7811">
        <w:rPr>
          <w:rFonts w:asciiTheme="majorBidi" w:hAnsiTheme="majorBidi" w:cstheme="majorBidi"/>
        </w:rPr>
        <w:t> </w:t>
      </w:r>
      <w:r w:rsidR="000A2568" w:rsidRPr="00BE7811">
        <w:rPr>
          <w:rFonts w:asciiTheme="majorBidi" w:hAnsiTheme="majorBidi" w:cstheme="majorBidi"/>
        </w:rPr>
        <w:t>panta 1.</w:t>
      </w:r>
      <w:r w:rsidR="009F6C09" w:rsidRPr="00BE7811">
        <w:rPr>
          <w:rFonts w:asciiTheme="majorBidi" w:hAnsiTheme="majorBidi" w:cstheme="majorBidi"/>
        </w:rPr>
        <w:t> </w:t>
      </w:r>
      <w:r w:rsidR="000A2568" w:rsidRPr="00BE7811">
        <w:rPr>
          <w:rFonts w:asciiTheme="majorBidi" w:hAnsiTheme="majorBidi" w:cstheme="majorBidi"/>
        </w:rPr>
        <w:t xml:space="preserve">punkta noteikumiem konkrētā strīda par bērna dzīvesvietas noteikšanu un uzturlīdzekļu piedziņu jurisdikcija bija Norvēģijas Karalistei, nevis Krievijas Federācijai, </w:t>
      </w:r>
      <w:r w:rsidR="00A94213">
        <w:rPr>
          <w:rFonts w:asciiTheme="majorBidi" w:hAnsiTheme="majorBidi" w:cstheme="majorBidi"/>
        </w:rPr>
        <w:t>tātad</w:t>
      </w:r>
      <w:r w:rsidR="00A94213" w:rsidRPr="00BE7811">
        <w:rPr>
          <w:rFonts w:asciiTheme="majorBidi" w:hAnsiTheme="majorBidi" w:cstheme="majorBidi"/>
        </w:rPr>
        <w:t xml:space="preserve"> </w:t>
      </w:r>
      <w:r w:rsidR="000A2568" w:rsidRPr="00BE7811">
        <w:rPr>
          <w:rFonts w:asciiTheme="majorBidi" w:hAnsiTheme="majorBidi" w:cstheme="majorBidi"/>
        </w:rPr>
        <w:t>Krievijas Federācijas tiesa ir izskatījusi strīdu, kuru tā nebija kompetenta izskatīt</w:t>
      </w:r>
      <w:r w:rsidR="00162709" w:rsidRPr="00BE7811">
        <w:rPr>
          <w:rFonts w:asciiTheme="majorBidi" w:hAnsiTheme="majorBidi" w:cstheme="majorBidi"/>
        </w:rPr>
        <w:t xml:space="preserve">. </w:t>
      </w:r>
    </w:p>
    <w:p w14:paraId="5F938B58" w14:textId="2AA97430" w:rsidR="00D64E83" w:rsidRPr="00BE7811" w:rsidRDefault="009F6C09"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w:t>
      </w:r>
      <w:r w:rsidR="002223C7" w:rsidRPr="00BE7811">
        <w:rPr>
          <w:rFonts w:asciiTheme="majorBidi" w:hAnsiTheme="majorBidi" w:cstheme="majorBidi"/>
        </w:rPr>
        <w:t>4</w:t>
      </w:r>
      <w:r w:rsidRPr="00BE7811">
        <w:rPr>
          <w:rFonts w:asciiTheme="majorBidi" w:hAnsiTheme="majorBidi" w:cstheme="majorBidi"/>
        </w:rPr>
        <w:t>.</w:t>
      </w:r>
      <w:r w:rsidR="00774E47" w:rsidRPr="00BE7811">
        <w:rPr>
          <w:rFonts w:asciiTheme="majorBidi" w:hAnsiTheme="majorBidi" w:cstheme="majorBidi"/>
        </w:rPr>
        <w:t>3</w:t>
      </w:r>
      <w:r w:rsidRPr="00BE7811">
        <w:rPr>
          <w:rFonts w:asciiTheme="majorBidi" w:hAnsiTheme="majorBidi" w:cstheme="majorBidi"/>
        </w:rPr>
        <w:t>]</w:t>
      </w:r>
      <w:r w:rsidR="00774E47" w:rsidRPr="00BE7811">
        <w:rPr>
          <w:rFonts w:asciiTheme="majorBidi" w:hAnsiTheme="majorBidi" w:cstheme="majorBidi"/>
        </w:rPr>
        <w:t> </w:t>
      </w:r>
      <w:r w:rsidRPr="00BE7811">
        <w:rPr>
          <w:rFonts w:asciiTheme="majorBidi" w:hAnsiTheme="majorBidi" w:cstheme="majorBidi"/>
        </w:rPr>
        <w:t>Vienlaikus apgabaltiesa</w:t>
      </w:r>
      <w:r w:rsidR="00D64E83" w:rsidRPr="00BE7811">
        <w:rPr>
          <w:rFonts w:asciiTheme="majorBidi" w:hAnsiTheme="majorBidi" w:cstheme="majorBidi"/>
        </w:rPr>
        <w:t xml:space="preserve"> </w:t>
      </w:r>
      <w:r w:rsidRPr="00BE7811">
        <w:rPr>
          <w:rFonts w:asciiTheme="majorBidi" w:hAnsiTheme="majorBidi" w:cstheme="majorBidi"/>
        </w:rPr>
        <w:t xml:space="preserve">konstatējusi, ka </w:t>
      </w:r>
      <w:r w:rsidR="00162709" w:rsidRPr="00BE7811">
        <w:rPr>
          <w:rFonts w:asciiTheme="majorBidi" w:hAnsiTheme="majorBidi" w:cstheme="majorBidi"/>
        </w:rPr>
        <w:t xml:space="preserve">Krievijas Federācijas </w:t>
      </w:r>
      <w:r w:rsidRPr="00BE7811">
        <w:rPr>
          <w:rFonts w:asciiTheme="majorBidi" w:hAnsiTheme="majorBidi" w:cstheme="majorBidi"/>
        </w:rPr>
        <w:t>tiesas</w:t>
      </w:r>
      <w:r w:rsidR="00162709" w:rsidRPr="00BE7811">
        <w:rPr>
          <w:rFonts w:asciiTheme="majorBidi" w:hAnsiTheme="majorBidi" w:cstheme="majorBidi"/>
        </w:rPr>
        <w:t xml:space="preserve"> 2023.</w:t>
      </w:r>
      <w:r w:rsidRPr="00BE7811">
        <w:rPr>
          <w:rFonts w:asciiTheme="majorBidi" w:hAnsiTheme="majorBidi" w:cstheme="majorBidi"/>
        </w:rPr>
        <w:t> </w:t>
      </w:r>
      <w:r w:rsidR="00162709" w:rsidRPr="00BE7811">
        <w:rPr>
          <w:rFonts w:asciiTheme="majorBidi" w:hAnsiTheme="majorBidi" w:cstheme="majorBidi"/>
        </w:rPr>
        <w:t xml:space="preserve">gada </w:t>
      </w:r>
      <w:r w:rsidR="008F4EF4">
        <w:rPr>
          <w:rFonts w:asciiTheme="majorBidi" w:hAnsiTheme="majorBidi" w:cstheme="majorBidi"/>
        </w:rPr>
        <w:t xml:space="preserve">23. janvāra </w:t>
      </w:r>
      <w:r w:rsidR="00162709" w:rsidRPr="00BE7811">
        <w:rPr>
          <w:rFonts w:asciiTheme="majorBidi" w:hAnsiTheme="majorBidi" w:cstheme="majorBidi"/>
        </w:rPr>
        <w:t>spriedumā</w:t>
      </w:r>
      <w:r w:rsidRPr="00BE7811">
        <w:rPr>
          <w:rFonts w:asciiTheme="majorBidi" w:hAnsiTheme="majorBidi" w:cstheme="majorBidi"/>
        </w:rPr>
        <w:t>, kas stājies spēkā 2023.</w:t>
      </w:r>
      <w:r w:rsidR="0063429D" w:rsidRPr="00BE7811">
        <w:rPr>
          <w:rFonts w:asciiTheme="majorBidi" w:hAnsiTheme="majorBidi" w:cstheme="majorBidi"/>
        </w:rPr>
        <w:t> </w:t>
      </w:r>
      <w:r w:rsidRPr="00BE7811">
        <w:rPr>
          <w:rFonts w:asciiTheme="majorBidi" w:hAnsiTheme="majorBidi" w:cstheme="majorBidi"/>
        </w:rPr>
        <w:t xml:space="preserve">gada </w:t>
      </w:r>
      <w:r w:rsidR="008F4EF4">
        <w:rPr>
          <w:rFonts w:asciiTheme="majorBidi" w:hAnsiTheme="majorBidi" w:cstheme="majorBidi"/>
        </w:rPr>
        <w:t>1. martā</w:t>
      </w:r>
      <w:r w:rsidRPr="00BE7811">
        <w:rPr>
          <w:rFonts w:asciiTheme="majorBidi" w:hAnsiTheme="majorBidi" w:cstheme="majorBidi"/>
        </w:rPr>
        <w:t>,</w:t>
      </w:r>
      <w:r w:rsidR="00162709" w:rsidRPr="00BE7811">
        <w:rPr>
          <w:rFonts w:asciiTheme="majorBidi" w:hAnsiTheme="majorBidi" w:cstheme="majorBidi"/>
        </w:rPr>
        <w:t xml:space="preserve"> norādīts, ka </w:t>
      </w:r>
      <w:r w:rsidRPr="00BE7811">
        <w:rPr>
          <w:rFonts w:asciiTheme="majorBidi" w:hAnsiTheme="majorBidi" w:cstheme="majorBidi"/>
        </w:rPr>
        <w:t>tas</w:t>
      </w:r>
      <w:r w:rsidR="00162709" w:rsidRPr="00BE7811">
        <w:rPr>
          <w:rFonts w:asciiTheme="majorBidi" w:hAnsiTheme="majorBidi" w:cstheme="majorBidi"/>
        </w:rPr>
        <w:t xml:space="preserve"> sagatavots </w:t>
      </w:r>
      <w:r w:rsidR="008F4EF4">
        <w:rPr>
          <w:rFonts w:asciiTheme="majorBidi" w:hAnsiTheme="majorBidi" w:cstheme="majorBidi"/>
        </w:rPr>
        <w:t>2023. gada 31. janvārī</w:t>
      </w:r>
      <w:r w:rsidR="00162709" w:rsidRPr="00BE7811">
        <w:rPr>
          <w:rFonts w:asciiTheme="majorBidi" w:hAnsiTheme="majorBidi" w:cstheme="majorBidi"/>
        </w:rPr>
        <w:t xml:space="preserve"> un tā pārsūdzības termiņš </w:t>
      </w:r>
      <w:r w:rsidRPr="00BE7811">
        <w:rPr>
          <w:rFonts w:asciiTheme="majorBidi" w:hAnsiTheme="majorBidi" w:cstheme="majorBidi"/>
        </w:rPr>
        <w:t>bija</w:t>
      </w:r>
      <w:r w:rsidR="00162709" w:rsidRPr="00BE7811">
        <w:rPr>
          <w:rFonts w:asciiTheme="majorBidi" w:hAnsiTheme="majorBidi" w:cstheme="majorBidi"/>
        </w:rPr>
        <w:t xml:space="preserve"> viens mēnesis. </w:t>
      </w:r>
    </w:p>
    <w:p w14:paraId="0AF99E75" w14:textId="4D5E434D" w:rsidR="00162709" w:rsidRPr="00BE7811" w:rsidRDefault="009F6C09"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N</w:t>
      </w:r>
      <w:r w:rsidR="00162709" w:rsidRPr="00BE7811">
        <w:rPr>
          <w:rFonts w:asciiTheme="majorBidi" w:hAnsiTheme="majorBidi" w:cstheme="majorBidi"/>
        </w:rPr>
        <w:t xml:space="preserve">o </w:t>
      </w:r>
      <w:r w:rsidRPr="00BE7811">
        <w:rPr>
          <w:rFonts w:asciiTheme="majorBidi" w:hAnsiTheme="majorBidi" w:cstheme="majorBidi"/>
        </w:rPr>
        <w:t>atbildētāja</w:t>
      </w:r>
      <w:r w:rsidR="00162709" w:rsidRPr="00BE7811">
        <w:rPr>
          <w:rFonts w:asciiTheme="majorBidi" w:hAnsiTheme="majorBidi" w:cstheme="majorBidi"/>
        </w:rPr>
        <w:t xml:space="preserve"> </w:t>
      </w:r>
      <w:r w:rsidRPr="00BE7811">
        <w:rPr>
          <w:rFonts w:asciiTheme="majorBidi" w:hAnsiTheme="majorBidi" w:cstheme="majorBidi"/>
        </w:rPr>
        <w:t>iesniegtā</w:t>
      </w:r>
      <w:r w:rsidR="00162709" w:rsidRPr="00BE7811">
        <w:rPr>
          <w:rFonts w:asciiTheme="majorBidi" w:hAnsiTheme="majorBidi" w:cstheme="majorBidi"/>
        </w:rPr>
        <w:t xml:space="preserve"> elektroniskā aicinājuma saņemt pasta sūtījumu konstatējams, ka tiesas spriedumu viņš saņēmis tikai </w:t>
      </w:r>
      <w:r w:rsidR="008F4EF4">
        <w:rPr>
          <w:rFonts w:asciiTheme="majorBidi" w:hAnsiTheme="majorBidi" w:cstheme="majorBidi"/>
        </w:rPr>
        <w:t>2023. gada 30. martā</w:t>
      </w:r>
      <w:r w:rsidRPr="00BE7811">
        <w:rPr>
          <w:rFonts w:asciiTheme="majorBidi" w:hAnsiTheme="majorBidi" w:cstheme="majorBidi"/>
        </w:rPr>
        <w:t>.</w:t>
      </w:r>
    </w:p>
    <w:p w14:paraId="1E649ACA" w14:textId="24D7B077" w:rsidR="00162709" w:rsidRPr="00BE7811" w:rsidRDefault="0063429D"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 xml:space="preserve">Krievijas Federācija un Norvēģijas Karaliste ir arī Hāgas 1965. gada 15. novembra Konvencijas par tiesas un ārpustiesas dokumentu izsniegšanu civillietās vai komerclietās (turpmāk – 1965. gada 15. novembra Konvencija) dalībvalstis. </w:t>
      </w:r>
      <w:r w:rsidR="00162709" w:rsidRPr="00BE7811">
        <w:rPr>
          <w:rFonts w:asciiTheme="majorBidi" w:hAnsiTheme="majorBidi" w:cstheme="majorBidi"/>
        </w:rPr>
        <w:t xml:space="preserve">Krievijas Federācijas tiesa </w:t>
      </w:r>
      <w:r w:rsidRPr="00BE7811">
        <w:rPr>
          <w:rFonts w:asciiTheme="majorBidi" w:hAnsiTheme="majorBidi" w:cstheme="majorBidi"/>
        </w:rPr>
        <w:t xml:space="preserve">paziņojumus un pavēstes uz tiesas sēdēm </w:t>
      </w:r>
      <w:r w:rsidR="00162709" w:rsidRPr="00BE7811">
        <w:rPr>
          <w:rFonts w:asciiTheme="majorBidi" w:hAnsiTheme="majorBidi" w:cstheme="majorBidi"/>
        </w:rPr>
        <w:t xml:space="preserve">sūtījusi </w:t>
      </w:r>
      <w:r w:rsidR="00B20708" w:rsidRPr="00BE7811">
        <w:rPr>
          <w:rFonts w:asciiTheme="majorBidi" w:hAnsiTheme="majorBidi" w:cstheme="majorBidi"/>
        </w:rPr>
        <w:t xml:space="preserve">atbildētājam </w:t>
      </w:r>
      <w:r w:rsidR="00162709" w:rsidRPr="00BE7811">
        <w:rPr>
          <w:rFonts w:asciiTheme="majorBidi" w:hAnsiTheme="majorBidi" w:cstheme="majorBidi"/>
        </w:rPr>
        <w:t>nevis ar kompetento iestāžu starpniecību, kā to noteic 1965.</w:t>
      </w:r>
      <w:r w:rsidRPr="00BE7811">
        <w:rPr>
          <w:rFonts w:asciiTheme="majorBidi" w:hAnsiTheme="majorBidi" w:cstheme="majorBidi"/>
        </w:rPr>
        <w:t> </w:t>
      </w:r>
      <w:r w:rsidR="00162709" w:rsidRPr="00BE7811">
        <w:rPr>
          <w:rFonts w:asciiTheme="majorBidi" w:hAnsiTheme="majorBidi" w:cstheme="majorBidi"/>
        </w:rPr>
        <w:t>gada 15.</w:t>
      </w:r>
      <w:r w:rsidRPr="00BE7811">
        <w:rPr>
          <w:rFonts w:asciiTheme="majorBidi" w:hAnsiTheme="majorBidi" w:cstheme="majorBidi"/>
        </w:rPr>
        <w:t> </w:t>
      </w:r>
      <w:r w:rsidR="00162709" w:rsidRPr="00BE7811">
        <w:rPr>
          <w:rFonts w:asciiTheme="majorBidi" w:hAnsiTheme="majorBidi" w:cstheme="majorBidi"/>
        </w:rPr>
        <w:t>novembra Konvencija</w:t>
      </w:r>
      <w:r w:rsidRPr="00BE7811">
        <w:rPr>
          <w:rFonts w:asciiTheme="majorBidi" w:hAnsiTheme="majorBidi" w:cstheme="majorBidi"/>
        </w:rPr>
        <w:t>s</w:t>
      </w:r>
      <w:r w:rsidR="00162709" w:rsidRPr="00BE7811">
        <w:rPr>
          <w:rFonts w:asciiTheme="majorBidi" w:hAnsiTheme="majorBidi" w:cstheme="majorBidi"/>
        </w:rPr>
        <w:t xml:space="preserve"> 1., 2. un 3.</w:t>
      </w:r>
      <w:r w:rsidRPr="00BE7811">
        <w:rPr>
          <w:rFonts w:asciiTheme="majorBidi" w:hAnsiTheme="majorBidi" w:cstheme="majorBidi"/>
        </w:rPr>
        <w:t> </w:t>
      </w:r>
      <w:r w:rsidR="00162709" w:rsidRPr="00BE7811">
        <w:rPr>
          <w:rFonts w:asciiTheme="majorBidi" w:hAnsiTheme="majorBidi" w:cstheme="majorBidi"/>
        </w:rPr>
        <w:t xml:space="preserve">panta prasības, bet gan nepastarpināti, izmantojot pasta pakalpojumus. </w:t>
      </w:r>
      <w:r w:rsidRPr="00BE7811">
        <w:rPr>
          <w:rFonts w:asciiTheme="majorBidi" w:hAnsiTheme="majorBidi" w:cstheme="majorBidi"/>
        </w:rPr>
        <w:t>N</w:t>
      </w:r>
      <w:r w:rsidR="00162709" w:rsidRPr="00BE7811">
        <w:rPr>
          <w:rFonts w:asciiTheme="majorBidi" w:hAnsiTheme="majorBidi" w:cstheme="majorBidi"/>
        </w:rPr>
        <w:t>o sprieduma</w:t>
      </w:r>
      <w:r w:rsidRPr="00BE7811">
        <w:rPr>
          <w:rFonts w:asciiTheme="majorBidi" w:hAnsiTheme="majorBidi" w:cstheme="majorBidi"/>
        </w:rPr>
        <w:t xml:space="preserve"> arī</w:t>
      </w:r>
      <w:r w:rsidR="00162709" w:rsidRPr="00BE7811">
        <w:rPr>
          <w:rFonts w:asciiTheme="majorBidi" w:hAnsiTheme="majorBidi" w:cstheme="majorBidi"/>
        </w:rPr>
        <w:t xml:space="preserve"> redzams, ka </w:t>
      </w:r>
      <w:r w:rsidR="00B20708" w:rsidRPr="00BE7811">
        <w:rPr>
          <w:rFonts w:asciiTheme="majorBidi" w:hAnsiTheme="majorBidi" w:cstheme="majorBidi"/>
        </w:rPr>
        <w:t xml:space="preserve">Krievijas Federācijas </w:t>
      </w:r>
      <w:r w:rsidR="00162709" w:rsidRPr="00BE7811">
        <w:rPr>
          <w:rFonts w:asciiTheme="majorBidi" w:hAnsiTheme="majorBidi" w:cstheme="majorBidi"/>
        </w:rPr>
        <w:t>tiesa lietu izskatījusi bez atbildētāja klātbūtnes tiesas sēdē.</w:t>
      </w:r>
    </w:p>
    <w:p w14:paraId="1F83DECF" w14:textId="7D486FE6" w:rsidR="008108ED" w:rsidRPr="00BE7811" w:rsidRDefault="00162709"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lastRenderedPageBreak/>
        <w:t xml:space="preserve">Turklāt no </w:t>
      </w:r>
      <w:r w:rsidR="00F91C99" w:rsidRPr="00BE7811">
        <w:rPr>
          <w:rFonts w:asciiTheme="majorBidi" w:hAnsiTheme="majorBidi" w:cstheme="majorBidi"/>
        </w:rPr>
        <w:t xml:space="preserve">pasta paziņojuma un izdrukas par sūtījumu </w:t>
      </w:r>
      <w:r w:rsidR="00D14D16">
        <w:rPr>
          <w:rFonts w:asciiTheme="majorBidi" w:hAnsiTheme="majorBidi" w:cstheme="majorBidi"/>
        </w:rPr>
        <w:t xml:space="preserve">– </w:t>
      </w:r>
      <w:r w:rsidRPr="00BE7811">
        <w:rPr>
          <w:rFonts w:asciiTheme="majorBidi" w:hAnsiTheme="majorBidi" w:cstheme="majorBidi"/>
        </w:rPr>
        <w:t>Krievijas Federācijas tiesas pavēstes ar aicinājumu ierasties uz tiesas sēdi 2022.</w:t>
      </w:r>
      <w:r w:rsidR="00F91C99" w:rsidRPr="00BE7811">
        <w:rPr>
          <w:rFonts w:asciiTheme="majorBidi" w:hAnsiTheme="majorBidi" w:cstheme="majorBidi"/>
        </w:rPr>
        <w:t> </w:t>
      </w:r>
      <w:r w:rsidRPr="00BE7811">
        <w:rPr>
          <w:rFonts w:asciiTheme="majorBidi" w:hAnsiTheme="majorBidi" w:cstheme="majorBidi"/>
        </w:rPr>
        <w:t xml:space="preserve">gada </w:t>
      </w:r>
      <w:r w:rsidR="008F4EF4">
        <w:rPr>
          <w:rFonts w:asciiTheme="majorBidi" w:hAnsiTheme="majorBidi" w:cstheme="majorBidi"/>
        </w:rPr>
        <w:t xml:space="preserve">19. decembrī </w:t>
      </w:r>
      <w:r w:rsidR="00D14D16">
        <w:rPr>
          <w:rFonts w:asciiTheme="majorBidi" w:hAnsiTheme="majorBidi" w:cstheme="majorBidi"/>
        </w:rPr>
        <w:t xml:space="preserve">– </w:t>
      </w:r>
      <w:r w:rsidRPr="00BE7811">
        <w:rPr>
          <w:rFonts w:asciiTheme="majorBidi" w:hAnsiTheme="majorBidi" w:cstheme="majorBidi"/>
        </w:rPr>
        <w:t>izriet, ka atbildētājs pavēsti saņēmis 2023.</w:t>
      </w:r>
      <w:r w:rsidR="00F91C99" w:rsidRPr="00BE7811">
        <w:rPr>
          <w:rFonts w:asciiTheme="majorBidi" w:hAnsiTheme="majorBidi" w:cstheme="majorBidi"/>
        </w:rPr>
        <w:t> </w:t>
      </w:r>
      <w:r w:rsidRPr="00BE7811">
        <w:rPr>
          <w:rFonts w:asciiTheme="majorBidi" w:hAnsiTheme="majorBidi" w:cstheme="majorBidi"/>
        </w:rPr>
        <w:t xml:space="preserve">gada </w:t>
      </w:r>
      <w:r w:rsidR="008F4EF4">
        <w:rPr>
          <w:rFonts w:asciiTheme="majorBidi" w:hAnsiTheme="majorBidi" w:cstheme="majorBidi"/>
        </w:rPr>
        <w:t>12. </w:t>
      </w:r>
      <w:r w:rsidR="00F943A9">
        <w:rPr>
          <w:rFonts w:asciiTheme="majorBidi" w:hAnsiTheme="majorBidi" w:cstheme="majorBidi"/>
        </w:rPr>
        <w:t>janvārī</w:t>
      </w:r>
      <w:r w:rsidRPr="00BE7811">
        <w:rPr>
          <w:rFonts w:asciiTheme="majorBidi" w:hAnsiTheme="majorBidi" w:cstheme="majorBidi"/>
        </w:rPr>
        <w:t xml:space="preserve">. </w:t>
      </w:r>
      <w:r w:rsidR="005F00EF" w:rsidRPr="00BE7811">
        <w:rPr>
          <w:rFonts w:asciiTheme="majorBidi" w:hAnsiTheme="majorBidi" w:cstheme="majorBidi"/>
        </w:rPr>
        <w:t xml:space="preserve">Kaut arī lietā nav iesniegta pavēste uz </w:t>
      </w:r>
      <w:r w:rsidR="005F00EF" w:rsidRPr="008F4EF4">
        <w:rPr>
          <w:rFonts w:asciiTheme="majorBidi" w:hAnsiTheme="majorBidi" w:cstheme="majorBidi"/>
        </w:rPr>
        <w:t xml:space="preserve">2023. gada </w:t>
      </w:r>
      <w:r w:rsidR="008F4EF4" w:rsidRPr="008F4EF4">
        <w:rPr>
          <w:rFonts w:asciiTheme="majorBidi" w:hAnsiTheme="majorBidi" w:cstheme="majorBidi"/>
        </w:rPr>
        <w:t>23.</w:t>
      </w:r>
      <w:r w:rsidR="005F00EF" w:rsidRPr="008F4EF4">
        <w:rPr>
          <w:rFonts w:asciiTheme="majorBidi" w:hAnsiTheme="majorBidi" w:cstheme="majorBidi"/>
        </w:rPr>
        <w:t xml:space="preserve"> </w:t>
      </w:r>
      <w:r w:rsidR="00F943A9" w:rsidRPr="008F4EF4">
        <w:rPr>
          <w:rFonts w:asciiTheme="majorBidi" w:hAnsiTheme="majorBidi" w:cstheme="majorBidi"/>
        </w:rPr>
        <w:t xml:space="preserve">janvāra </w:t>
      </w:r>
      <w:r w:rsidR="005F00EF" w:rsidRPr="008F4EF4">
        <w:rPr>
          <w:rFonts w:asciiTheme="majorBidi" w:hAnsiTheme="majorBidi" w:cstheme="majorBidi"/>
        </w:rPr>
        <w:t>tiesas</w:t>
      </w:r>
      <w:r w:rsidR="005F00EF" w:rsidRPr="00BE7811">
        <w:rPr>
          <w:rFonts w:asciiTheme="majorBidi" w:hAnsiTheme="majorBidi" w:cstheme="majorBidi"/>
        </w:rPr>
        <w:t xml:space="preserve"> sēdi un apliecinājums par tās saņemšanu, a</w:t>
      </w:r>
      <w:r w:rsidR="0063429D" w:rsidRPr="00BE7811">
        <w:rPr>
          <w:rFonts w:asciiTheme="majorBidi" w:hAnsiTheme="majorBidi" w:cstheme="majorBidi"/>
        </w:rPr>
        <w:t>tbildētājs</w:t>
      </w:r>
      <w:r w:rsidRPr="00BE7811">
        <w:rPr>
          <w:rFonts w:asciiTheme="majorBidi" w:hAnsiTheme="majorBidi" w:cstheme="majorBidi"/>
        </w:rPr>
        <w:t xml:space="preserve"> </w:t>
      </w:r>
      <w:r w:rsidR="005F00EF" w:rsidRPr="00BE7811">
        <w:rPr>
          <w:rFonts w:asciiTheme="majorBidi" w:hAnsiTheme="majorBidi" w:cstheme="majorBidi"/>
        </w:rPr>
        <w:t>norādījis</w:t>
      </w:r>
      <w:r w:rsidRPr="00BE7811">
        <w:rPr>
          <w:rFonts w:asciiTheme="majorBidi" w:hAnsiTheme="majorBidi" w:cstheme="majorBidi"/>
        </w:rPr>
        <w:t xml:space="preserve">, ka viņš </w:t>
      </w:r>
      <w:r w:rsidR="005F00EF" w:rsidRPr="00BE7811">
        <w:rPr>
          <w:rFonts w:asciiTheme="majorBidi" w:hAnsiTheme="majorBidi" w:cstheme="majorBidi"/>
        </w:rPr>
        <w:t xml:space="preserve">to ir </w:t>
      </w:r>
      <w:r w:rsidRPr="00BE7811">
        <w:rPr>
          <w:rFonts w:asciiTheme="majorBidi" w:hAnsiTheme="majorBidi" w:cstheme="majorBidi"/>
        </w:rPr>
        <w:t>saņēmis</w:t>
      </w:r>
      <w:r w:rsidR="005F00EF" w:rsidRPr="00BE7811">
        <w:rPr>
          <w:rFonts w:asciiTheme="majorBidi" w:hAnsiTheme="majorBidi" w:cstheme="majorBidi"/>
        </w:rPr>
        <w:t xml:space="preserve"> 2023. </w:t>
      </w:r>
      <w:r w:rsidR="005F00EF" w:rsidRPr="008C2E97">
        <w:rPr>
          <w:rFonts w:asciiTheme="majorBidi" w:hAnsiTheme="majorBidi" w:cstheme="majorBidi"/>
        </w:rPr>
        <w:t>gada</w:t>
      </w:r>
      <w:r w:rsidR="008F4EF4">
        <w:rPr>
          <w:rFonts w:asciiTheme="majorBidi" w:hAnsiTheme="majorBidi" w:cstheme="majorBidi"/>
        </w:rPr>
        <w:t xml:space="preserve"> 13. janvārī</w:t>
      </w:r>
      <w:r w:rsidR="005F00EF" w:rsidRPr="00BE7811">
        <w:rPr>
          <w:rFonts w:asciiTheme="majorBidi" w:hAnsiTheme="majorBidi" w:cstheme="majorBidi"/>
        </w:rPr>
        <w:t>.</w:t>
      </w:r>
    </w:p>
    <w:p w14:paraId="658D7178" w14:textId="176284D1" w:rsidR="00162709" w:rsidRPr="00BE7811" w:rsidRDefault="008108ED"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Ņ</w:t>
      </w:r>
      <w:r w:rsidR="00162709" w:rsidRPr="00BE7811">
        <w:rPr>
          <w:rFonts w:asciiTheme="majorBidi" w:hAnsiTheme="majorBidi" w:cstheme="majorBidi"/>
        </w:rPr>
        <w:t xml:space="preserve">emot vērā konstatētos apstākļus, </w:t>
      </w:r>
      <w:r w:rsidRPr="00BE7811">
        <w:rPr>
          <w:rFonts w:asciiTheme="majorBidi" w:hAnsiTheme="majorBidi" w:cstheme="majorBidi"/>
        </w:rPr>
        <w:t>secināms</w:t>
      </w:r>
      <w:r w:rsidR="00162709" w:rsidRPr="00BE7811">
        <w:rPr>
          <w:rFonts w:asciiTheme="majorBidi" w:hAnsiTheme="majorBidi" w:cstheme="majorBidi"/>
        </w:rPr>
        <w:t xml:space="preserve">, ka </w:t>
      </w:r>
      <w:r w:rsidR="0063429D" w:rsidRPr="00BE7811">
        <w:rPr>
          <w:rFonts w:asciiTheme="majorBidi" w:hAnsiTheme="majorBidi" w:cstheme="majorBidi"/>
        </w:rPr>
        <w:t>atbildētājam</w:t>
      </w:r>
      <w:r w:rsidR="00162709" w:rsidRPr="00BE7811">
        <w:rPr>
          <w:rFonts w:asciiTheme="majorBidi" w:hAnsiTheme="majorBidi" w:cstheme="majorBidi"/>
        </w:rPr>
        <w:t xml:space="preserve"> nav savlaicīgi un pienācīgā kārtā paziņots par ierašanos Krievijas Federācijas tiesā, kā rezultātā </w:t>
      </w:r>
      <w:r w:rsidR="0063429D" w:rsidRPr="00BE7811">
        <w:rPr>
          <w:rFonts w:asciiTheme="majorBidi" w:hAnsiTheme="majorBidi" w:cstheme="majorBidi"/>
        </w:rPr>
        <w:t>viņam</w:t>
      </w:r>
      <w:r w:rsidR="00162709" w:rsidRPr="00BE7811">
        <w:rPr>
          <w:rFonts w:asciiTheme="majorBidi" w:hAnsiTheme="majorBidi" w:cstheme="majorBidi"/>
        </w:rPr>
        <w:t xml:space="preserve"> bijusi liegta iespēja aizstāvēt savas tiesības</w:t>
      </w:r>
      <w:r w:rsidR="0063429D" w:rsidRPr="00BE7811">
        <w:rPr>
          <w:rFonts w:asciiTheme="majorBidi" w:hAnsiTheme="majorBidi" w:cstheme="majorBidi"/>
        </w:rPr>
        <w:t>.</w:t>
      </w:r>
    </w:p>
    <w:p w14:paraId="6FBA5072" w14:textId="77777777" w:rsidR="00066601" w:rsidRPr="00BE7811" w:rsidRDefault="00066601"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2014DDF4" w14:textId="608F481D" w:rsidR="00AE7923" w:rsidRPr="00BE7811" w:rsidRDefault="002223C7"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w:t>
      </w:r>
      <w:r w:rsidR="00066601" w:rsidRPr="00BE7811">
        <w:rPr>
          <w:rFonts w:asciiTheme="majorBidi" w:hAnsiTheme="majorBidi" w:cstheme="majorBidi"/>
        </w:rPr>
        <w:t>5</w:t>
      </w:r>
      <w:r w:rsidRPr="00BE7811">
        <w:rPr>
          <w:rFonts w:asciiTheme="majorBidi" w:hAnsiTheme="majorBidi" w:cstheme="majorBidi"/>
        </w:rPr>
        <w:t>]</w:t>
      </w:r>
      <w:r w:rsidR="00B20708" w:rsidRPr="00BE7811">
        <w:rPr>
          <w:rFonts w:asciiTheme="majorBidi" w:hAnsiTheme="majorBidi" w:cstheme="majorBidi"/>
        </w:rPr>
        <w:t> </w:t>
      </w:r>
      <w:r w:rsidRPr="00BE7811">
        <w:rPr>
          <w:rFonts w:asciiTheme="majorBidi" w:hAnsiTheme="majorBidi" w:cstheme="majorBidi"/>
        </w:rPr>
        <w:t>Pieteicēja</w:t>
      </w:r>
      <w:r w:rsidR="00C31595" w:rsidRPr="00BE7811">
        <w:rPr>
          <w:rFonts w:asciiTheme="majorBidi" w:hAnsiTheme="majorBidi" w:cstheme="majorBidi"/>
        </w:rPr>
        <w:t xml:space="preserve"> </w:t>
      </w:r>
      <w:r w:rsidR="00104CD9" w:rsidRPr="00BE7811">
        <w:rPr>
          <w:rFonts w:asciiTheme="majorBidi" w:hAnsiTheme="majorBidi" w:cstheme="majorBidi"/>
        </w:rPr>
        <w:t>iesnie</w:t>
      </w:r>
      <w:r w:rsidR="00290C1D" w:rsidRPr="00BE7811">
        <w:rPr>
          <w:rFonts w:asciiTheme="majorBidi" w:hAnsiTheme="majorBidi" w:cstheme="majorBidi"/>
        </w:rPr>
        <w:t>gusi</w:t>
      </w:r>
      <w:r w:rsidR="00104CD9" w:rsidRPr="00BE7811">
        <w:rPr>
          <w:rFonts w:asciiTheme="majorBidi" w:hAnsiTheme="majorBidi" w:cstheme="majorBidi"/>
        </w:rPr>
        <w:t xml:space="preserve"> blakus sūdzību par </w:t>
      </w:r>
      <w:r w:rsidR="004048FD">
        <w:rPr>
          <w:rFonts w:asciiTheme="majorBidi" w:hAnsiTheme="majorBidi" w:cstheme="majorBidi"/>
        </w:rPr>
        <w:t>[..]</w:t>
      </w:r>
      <w:r w:rsidR="00104CD9" w:rsidRPr="00BE7811">
        <w:rPr>
          <w:rFonts w:asciiTheme="majorBidi" w:hAnsiTheme="majorBidi" w:cstheme="majorBidi"/>
        </w:rPr>
        <w:t xml:space="preserve"> apgabaltiesas </w:t>
      </w:r>
      <w:r w:rsidR="00C31595" w:rsidRPr="00BE7811">
        <w:rPr>
          <w:rFonts w:asciiTheme="majorBidi" w:hAnsiTheme="majorBidi" w:cstheme="majorBidi"/>
        </w:rPr>
        <w:t xml:space="preserve">2024. gada </w:t>
      </w:r>
      <w:r w:rsidR="004048FD">
        <w:rPr>
          <w:rFonts w:asciiTheme="majorBidi" w:hAnsiTheme="majorBidi" w:cstheme="majorBidi"/>
        </w:rPr>
        <w:t>[..]</w:t>
      </w:r>
      <w:r w:rsidR="00290C1D" w:rsidRPr="00BE7811">
        <w:rPr>
          <w:rFonts w:asciiTheme="majorBidi" w:hAnsiTheme="majorBidi" w:cstheme="majorBidi"/>
        </w:rPr>
        <w:t xml:space="preserve"> </w:t>
      </w:r>
      <w:r w:rsidR="00104CD9" w:rsidRPr="00BE7811">
        <w:rPr>
          <w:rFonts w:asciiTheme="majorBidi" w:hAnsiTheme="majorBidi" w:cstheme="majorBidi"/>
        </w:rPr>
        <w:t>lēmumu</w:t>
      </w:r>
      <w:r w:rsidR="005E27FC" w:rsidRPr="00BE7811">
        <w:rPr>
          <w:rFonts w:asciiTheme="majorBidi" w:hAnsiTheme="majorBidi" w:cstheme="majorBidi"/>
        </w:rPr>
        <w:t xml:space="preserve">, blakus sūdzībā norādot </w:t>
      </w:r>
      <w:r w:rsidR="00AE7923" w:rsidRPr="00BE7811">
        <w:rPr>
          <w:rFonts w:asciiTheme="majorBidi" w:hAnsiTheme="majorBidi" w:cstheme="majorBidi"/>
        </w:rPr>
        <w:t>turpmāk minēt</w:t>
      </w:r>
      <w:r w:rsidR="005E27FC" w:rsidRPr="00BE7811">
        <w:rPr>
          <w:rFonts w:asciiTheme="majorBidi" w:hAnsiTheme="majorBidi" w:cstheme="majorBidi"/>
        </w:rPr>
        <w:t>os</w:t>
      </w:r>
      <w:r w:rsidR="00AE7923" w:rsidRPr="00BE7811">
        <w:rPr>
          <w:rFonts w:asciiTheme="majorBidi" w:hAnsiTheme="majorBidi" w:cstheme="majorBidi"/>
        </w:rPr>
        <w:t xml:space="preserve"> </w:t>
      </w:r>
      <w:r w:rsidR="00AF4832">
        <w:rPr>
          <w:rFonts w:asciiTheme="majorBidi" w:hAnsiTheme="majorBidi" w:cstheme="majorBidi"/>
        </w:rPr>
        <w:t>argumentus</w:t>
      </w:r>
      <w:r w:rsidR="005E27FC" w:rsidRPr="00BE7811">
        <w:rPr>
          <w:rFonts w:asciiTheme="majorBidi" w:hAnsiTheme="majorBidi" w:cstheme="majorBidi"/>
        </w:rPr>
        <w:t xml:space="preserve">. </w:t>
      </w:r>
    </w:p>
    <w:p w14:paraId="05E92B2D" w14:textId="1980CBBC" w:rsidR="005E27FC" w:rsidRPr="00BE7811" w:rsidRDefault="00454254"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w:t>
      </w:r>
      <w:r w:rsidR="00066601" w:rsidRPr="00BE7811">
        <w:rPr>
          <w:rFonts w:asciiTheme="majorBidi" w:hAnsiTheme="majorBidi" w:cstheme="majorBidi"/>
        </w:rPr>
        <w:t>5.</w:t>
      </w:r>
      <w:r w:rsidRPr="00BE7811">
        <w:rPr>
          <w:rFonts w:asciiTheme="majorBidi" w:hAnsiTheme="majorBidi" w:cstheme="majorBidi"/>
        </w:rPr>
        <w:t>1] </w:t>
      </w:r>
      <w:r w:rsidR="005E27FC" w:rsidRPr="00BE7811">
        <w:rPr>
          <w:rFonts w:asciiTheme="majorBidi" w:hAnsiTheme="majorBidi" w:cstheme="majorBidi"/>
        </w:rPr>
        <w:t xml:space="preserve">Atbildētājs </w:t>
      </w:r>
      <w:r w:rsidRPr="00BE7811">
        <w:rPr>
          <w:rFonts w:asciiTheme="majorBidi" w:hAnsiTheme="majorBidi" w:cstheme="majorBidi"/>
        </w:rPr>
        <w:t>j</w:t>
      </w:r>
      <w:r w:rsidR="005E27FC" w:rsidRPr="00BE7811">
        <w:rPr>
          <w:rFonts w:asciiTheme="majorBidi" w:hAnsiTheme="majorBidi" w:cstheme="majorBidi"/>
        </w:rPr>
        <w:t>au 2019.</w:t>
      </w:r>
      <w:r w:rsidRPr="00BE7811">
        <w:rPr>
          <w:rFonts w:asciiTheme="majorBidi" w:hAnsiTheme="majorBidi" w:cstheme="majorBidi"/>
        </w:rPr>
        <w:t> </w:t>
      </w:r>
      <w:r w:rsidR="005E27FC" w:rsidRPr="00BE7811">
        <w:rPr>
          <w:rFonts w:asciiTheme="majorBidi" w:hAnsiTheme="majorBidi" w:cstheme="majorBidi"/>
        </w:rPr>
        <w:t xml:space="preserve">gadā </w:t>
      </w:r>
      <w:r w:rsidRPr="00BE7811">
        <w:rPr>
          <w:rFonts w:asciiTheme="majorBidi" w:hAnsiTheme="majorBidi" w:cstheme="majorBidi"/>
        </w:rPr>
        <w:t>bija</w:t>
      </w:r>
      <w:r w:rsidR="005E27FC" w:rsidRPr="00BE7811">
        <w:rPr>
          <w:rFonts w:asciiTheme="majorBidi" w:hAnsiTheme="majorBidi" w:cstheme="majorBidi"/>
        </w:rPr>
        <w:t xml:space="preserve"> vērsies Krievijas Federācijas iestādēs</w:t>
      </w:r>
      <w:r w:rsidR="00542FC9" w:rsidRPr="00BE7811">
        <w:rPr>
          <w:rFonts w:asciiTheme="majorBidi" w:hAnsiTheme="majorBidi" w:cstheme="majorBidi"/>
        </w:rPr>
        <w:t xml:space="preserve"> </w:t>
      </w:r>
      <w:r w:rsidRPr="00BE7811">
        <w:rPr>
          <w:rFonts w:asciiTheme="majorBidi" w:hAnsiTheme="majorBidi" w:cstheme="majorBidi"/>
        </w:rPr>
        <w:t xml:space="preserve">un </w:t>
      </w:r>
      <w:r w:rsidR="005E27FC" w:rsidRPr="00BE7811">
        <w:rPr>
          <w:rFonts w:asciiTheme="majorBidi" w:hAnsiTheme="majorBidi" w:cstheme="majorBidi"/>
        </w:rPr>
        <w:t>zināj</w:t>
      </w:r>
      <w:r w:rsidR="00066601" w:rsidRPr="00BE7811">
        <w:rPr>
          <w:rFonts w:asciiTheme="majorBidi" w:hAnsiTheme="majorBidi" w:cstheme="majorBidi"/>
        </w:rPr>
        <w:t>a</w:t>
      </w:r>
      <w:r w:rsidR="005E27FC" w:rsidRPr="00BE7811">
        <w:rPr>
          <w:rFonts w:asciiTheme="majorBidi" w:hAnsiTheme="majorBidi" w:cstheme="majorBidi"/>
        </w:rPr>
        <w:t>, ka bērns atrodas Krievijas Federācijā</w:t>
      </w:r>
      <w:r w:rsidRPr="00BE7811">
        <w:rPr>
          <w:rFonts w:asciiTheme="majorBidi" w:hAnsiTheme="majorBidi" w:cstheme="majorBidi"/>
        </w:rPr>
        <w:t>. K</w:t>
      </w:r>
      <w:r w:rsidR="00B20708" w:rsidRPr="00BE7811">
        <w:rPr>
          <w:rFonts w:asciiTheme="majorBidi" w:hAnsiTheme="majorBidi" w:cstheme="majorBidi"/>
        </w:rPr>
        <w:t>onkrētajā gadījumā ir k</w:t>
      </w:r>
      <w:r w:rsidR="005E27FC" w:rsidRPr="00BE7811">
        <w:rPr>
          <w:rFonts w:asciiTheme="majorBidi" w:hAnsiTheme="majorBidi" w:cstheme="majorBidi"/>
        </w:rPr>
        <w:t>onstatējams 1996.</w:t>
      </w:r>
      <w:r w:rsidRPr="00BE7811">
        <w:rPr>
          <w:rFonts w:asciiTheme="majorBidi" w:hAnsiTheme="majorBidi" w:cstheme="majorBidi"/>
        </w:rPr>
        <w:t> </w:t>
      </w:r>
      <w:r w:rsidR="005E27FC" w:rsidRPr="00BE7811">
        <w:rPr>
          <w:rFonts w:asciiTheme="majorBidi" w:hAnsiTheme="majorBidi" w:cstheme="majorBidi"/>
        </w:rPr>
        <w:t>gada 19.</w:t>
      </w:r>
      <w:r w:rsidRPr="00BE7811">
        <w:rPr>
          <w:rFonts w:asciiTheme="majorBidi" w:hAnsiTheme="majorBidi" w:cstheme="majorBidi"/>
        </w:rPr>
        <w:t> </w:t>
      </w:r>
      <w:r w:rsidR="005E27FC" w:rsidRPr="00BE7811">
        <w:rPr>
          <w:rFonts w:asciiTheme="majorBidi" w:hAnsiTheme="majorBidi" w:cstheme="majorBidi"/>
        </w:rPr>
        <w:t>oktobra Konvencijas 7.</w:t>
      </w:r>
      <w:r w:rsidRPr="00BE7811">
        <w:rPr>
          <w:rFonts w:asciiTheme="majorBidi" w:hAnsiTheme="majorBidi" w:cstheme="majorBidi"/>
        </w:rPr>
        <w:t> </w:t>
      </w:r>
      <w:r w:rsidR="005E27FC" w:rsidRPr="00BE7811">
        <w:rPr>
          <w:rFonts w:asciiTheme="majorBidi" w:hAnsiTheme="majorBidi" w:cstheme="majorBidi"/>
        </w:rPr>
        <w:t>panta 1.</w:t>
      </w:r>
      <w:r w:rsidRPr="00BE7811">
        <w:rPr>
          <w:rFonts w:asciiTheme="majorBidi" w:hAnsiTheme="majorBidi" w:cstheme="majorBidi"/>
        </w:rPr>
        <w:t> </w:t>
      </w:r>
      <w:r w:rsidR="005E27FC" w:rsidRPr="00BE7811">
        <w:rPr>
          <w:rFonts w:asciiTheme="majorBidi" w:hAnsiTheme="majorBidi" w:cstheme="majorBidi"/>
        </w:rPr>
        <w:t xml:space="preserve">punkta </w:t>
      </w:r>
      <w:r w:rsidR="00B20708" w:rsidRPr="00BE7811">
        <w:rPr>
          <w:rFonts w:asciiTheme="majorBidi" w:hAnsiTheme="majorBidi" w:cstheme="majorBidi"/>
        </w:rPr>
        <w:t>„</w:t>
      </w:r>
      <w:r w:rsidR="005E27FC" w:rsidRPr="00BE7811">
        <w:rPr>
          <w:rFonts w:asciiTheme="majorBidi" w:hAnsiTheme="majorBidi" w:cstheme="majorBidi"/>
        </w:rPr>
        <w:t>b</w:t>
      </w:r>
      <w:r w:rsidR="00B20708" w:rsidRPr="00BE7811">
        <w:rPr>
          <w:rFonts w:asciiTheme="majorBidi" w:hAnsiTheme="majorBidi" w:cstheme="majorBidi"/>
        </w:rPr>
        <w:t>”</w:t>
      </w:r>
      <w:r w:rsidRPr="00BE7811">
        <w:rPr>
          <w:rFonts w:asciiTheme="majorBidi" w:hAnsiTheme="majorBidi" w:cstheme="majorBidi"/>
        </w:rPr>
        <w:t> </w:t>
      </w:r>
      <w:r w:rsidR="005E27FC" w:rsidRPr="00BE7811">
        <w:rPr>
          <w:rFonts w:asciiTheme="majorBidi" w:hAnsiTheme="majorBidi" w:cstheme="majorBidi"/>
        </w:rPr>
        <w:t>apakšpunktā minētais izņēmums</w:t>
      </w:r>
      <w:r w:rsidR="00B20708" w:rsidRPr="00BE7811">
        <w:rPr>
          <w:rFonts w:asciiTheme="majorBidi" w:hAnsiTheme="majorBidi" w:cstheme="majorBidi"/>
        </w:rPr>
        <w:t>, proti,</w:t>
      </w:r>
      <w:r w:rsidRPr="00BE7811">
        <w:rPr>
          <w:rFonts w:asciiTheme="majorBidi" w:hAnsiTheme="majorBidi" w:cstheme="majorBidi"/>
        </w:rPr>
        <w:t xml:space="preserve"> </w:t>
      </w:r>
      <w:r w:rsidR="005E27FC" w:rsidRPr="00BE7811">
        <w:rPr>
          <w:rFonts w:asciiTheme="majorBidi" w:hAnsiTheme="majorBidi" w:cstheme="majorBidi"/>
        </w:rPr>
        <w:t xml:space="preserve">bērns ārvalstī bija nodzīvojis vairāk </w:t>
      </w:r>
      <w:r w:rsidR="00B20708" w:rsidRPr="00BE7811">
        <w:rPr>
          <w:rFonts w:asciiTheme="majorBidi" w:hAnsiTheme="majorBidi" w:cstheme="majorBidi"/>
        </w:rPr>
        <w:t>ne</w:t>
      </w:r>
      <w:r w:rsidR="005E27FC" w:rsidRPr="00BE7811">
        <w:rPr>
          <w:rFonts w:asciiTheme="majorBidi" w:hAnsiTheme="majorBidi" w:cstheme="majorBidi"/>
        </w:rPr>
        <w:t>kā vienu gadu kopš laika, kad atbildētājs bija uzzinājis bērna atrašanās vietu</w:t>
      </w:r>
      <w:r w:rsidR="00B20708" w:rsidRPr="00BE7811">
        <w:rPr>
          <w:rFonts w:asciiTheme="majorBidi" w:hAnsiTheme="majorBidi" w:cstheme="majorBidi"/>
        </w:rPr>
        <w:t>,</w:t>
      </w:r>
      <w:r w:rsidR="005E27FC" w:rsidRPr="00BE7811">
        <w:rPr>
          <w:rFonts w:asciiTheme="majorBidi" w:hAnsiTheme="majorBidi" w:cstheme="majorBidi"/>
        </w:rPr>
        <w:t xml:space="preserve"> un bērns bija pieradis pie jaunajiem apstākļiem</w:t>
      </w:r>
      <w:r w:rsidR="00542FC9" w:rsidRPr="00BE7811">
        <w:rPr>
          <w:rFonts w:asciiTheme="majorBidi" w:hAnsiTheme="majorBidi" w:cstheme="majorBidi"/>
        </w:rPr>
        <w:t>.</w:t>
      </w:r>
    </w:p>
    <w:p w14:paraId="251FF483" w14:textId="70FA2BAA" w:rsidR="00542FC9" w:rsidRPr="00BE7811" w:rsidRDefault="00542FC9"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 xml:space="preserve">Civilprocesa </w:t>
      </w:r>
      <w:bookmarkStart w:id="4" w:name="OLE_LINK1"/>
      <w:r w:rsidRPr="00BE7811">
        <w:rPr>
          <w:rFonts w:asciiTheme="majorBidi" w:hAnsiTheme="majorBidi" w:cstheme="majorBidi"/>
        </w:rPr>
        <w:t>likuma 637.</w:t>
      </w:r>
      <w:r w:rsidR="00454254" w:rsidRPr="00BE7811">
        <w:rPr>
          <w:rFonts w:asciiTheme="majorBidi" w:hAnsiTheme="majorBidi" w:cstheme="majorBidi"/>
        </w:rPr>
        <w:t> </w:t>
      </w:r>
      <w:r w:rsidRPr="00BE7811">
        <w:rPr>
          <w:rFonts w:asciiTheme="majorBidi" w:hAnsiTheme="majorBidi" w:cstheme="majorBidi"/>
        </w:rPr>
        <w:t xml:space="preserve">panta otrās daļas </w:t>
      </w:r>
      <w:bookmarkEnd w:id="4"/>
      <w:r w:rsidRPr="00BE7811">
        <w:rPr>
          <w:rFonts w:asciiTheme="majorBidi" w:hAnsiTheme="majorBidi" w:cstheme="majorBidi"/>
        </w:rPr>
        <w:t>1.</w:t>
      </w:r>
      <w:r w:rsidR="00854B18" w:rsidRPr="00BE7811">
        <w:rPr>
          <w:rFonts w:asciiTheme="majorBidi" w:hAnsiTheme="majorBidi" w:cstheme="majorBidi"/>
        </w:rPr>
        <w:t> </w:t>
      </w:r>
      <w:r w:rsidRPr="00BE7811">
        <w:rPr>
          <w:rFonts w:asciiTheme="majorBidi" w:hAnsiTheme="majorBidi" w:cstheme="majorBidi"/>
        </w:rPr>
        <w:t>punkts kā neatzīšanas pamatu paredz Latvijas likumu, kas neaptver Hāgas 1996.</w:t>
      </w:r>
      <w:r w:rsidR="00454254" w:rsidRPr="00BE7811">
        <w:rPr>
          <w:rFonts w:asciiTheme="majorBidi" w:hAnsiTheme="majorBidi" w:cstheme="majorBidi"/>
        </w:rPr>
        <w:t> </w:t>
      </w:r>
      <w:r w:rsidRPr="00BE7811">
        <w:rPr>
          <w:rFonts w:asciiTheme="majorBidi" w:hAnsiTheme="majorBidi" w:cstheme="majorBidi"/>
        </w:rPr>
        <w:t>gada 19.</w:t>
      </w:r>
      <w:r w:rsidR="00454254" w:rsidRPr="00BE7811">
        <w:rPr>
          <w:rFonts w:asciiTheme="majorBidi" w:hAnsiTheme="majorBidi" w:cstheme="majorBidi"/>
        </w:rPr>
        <w:t> </w:t>
      </w:r>
      <w:r w:rsidRPr="00BE7811">
        <w:rPr>
          <w:rFonts w:asciiTheme="majorBidi" w:hAnsiTheme="majorBidi" w:cstheme="majorBidi"/>
        </w:rPr>
        <w:t>oktobra Konvenciju.</w:t>
      </w:r>
    </w:p>
    <w:p w14:paraId="437764D1" w14:textId="2DA8AF7A" w:rsidR="00A52F08" w:rsidRDefault="00454254"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w:t>
      </w:r>
      <w:r w:rsidR="007F3324" w:rsidRPr="00BE7811">
        <w:rPr>
          <w:rFonts w:asciiTheme="majorBidi" w:hAnsiTheme="majorBidi" w:cstheme="majorBidi"/>
        </w:rPr>
        <w:t>5</w:t>
      </w:r>
      <w:r w:rsidRPr="00BE7811">
        <w:rPr>
          <w:rFonts w:asciiTheme="majorBidi" w:hAnsiTheme="majorBidi" w:cstheme="majorBidi"/>
        </w:rPr>
        <w:t>.2] </w:t>
      </w:r>
      <w:r w:rsidR="00B20708" w:rsidRPr="00BE7811">
        <w:rPr>
          <w:rFonts w:asciiTheme="majorBidi" w:hAnsiTheme="majorBidi" w:cstheme="majorBidi"/>
        </w:rPr>
        <w:t>J</w:t>
      </w:r>
      <w:r w:rsidR="00542FC9" w:rsidRPr="00BE7811">
        <w:rPr>
          <w:rFonts w:asciiTheme="majorBidi" w:hAnsiTheme="majorBidi" w:cstheme="majorBidi"/>
        </w:rPr>
        <w:t>a ārvalsts tiesa ir atzinusi, ka atbildētājs saskaņā ar ārvalsts likumu ir bijis pienācīgi informēts par tiesvedības norisi ārvalstī, tad Latvijas tiesa atbilstoši Civilprocesa likuma 637.</w:t>
      </w:r>
      <w:r w:rsidRPr="00BE7811">
        <w:rPr>
          <w:rFonts w:asciiTheme="majorBidi" w:hAnsiTheme="majorBidi" w:cstheme="majorBidi"/>
        </w:rPr>
        <w:t> </w:t>
      </w:r>
      <w:r w:rsidR="00542FC9" w:rsidRPr="00BE7811">
        <w:rPr>
          <w:rFonts w:asciiTheme="majorBidi" w:hAnsiTheme="majorBidi" w:cstheme="majorBidi"/>
        </w:rPr>
        <w:t>panta ceturtajai daļai nav tiesīga to apšaubīt. Atbildētājam par tiesas procesu ir bijis zināms kopš 2022.</w:t>
      </w:r>
      <w:r w:rsidRPr="00BE7811">
        <w:rPr>
          <w:rFonts w:asciiTheme="majorBidi" w:hAnsiTheme="majorBidi" w:cstheme="majorBidi"/>
        </w:rPr>
        <w:t> </w:t>
      </w:r>
      <w:r w:rsidR="00542FC9" w:rsidRPr="00BE7811">
        <w:rPr>
          <w:rFonts w:asciiTheme="majorBidi" w:hAnsiTheme="majorBidi" w:cstheme="majorBidi"/>
        </w:rPr>
        <w:t>gada vasaras</w:t>
      </w:r>
      <w:r w:rsidRPr="00BE7811">
        <w:rPr>
          <w:rFonts w:asciiTheme="majorBidi" w:hAnsiTheme="majorBidi" w:cstheme="majorBidi"/>
        </w:rPr>
        <w:t>.</w:t>
      </w:r>
    </w:p>
    <w:p w14:paraId="0EFCD2FD" w14:textId="1ACDC9FE" w:rsidR="008E7732" w:rsidRPr="008E7732" w:rsidRDefault="008E7732" w:rsidP="0038293E">
      <w:pPr>
        <w:pStyle w:val="NormalWeb"/>
        <w:shd w:val="clear" w:color="auto" w:fill="FFFFFF"/>
        <w:spacing w:before="0" w:beforeAutospacing="0" w:after="0" w:afterAutospacing="0" w:line="276" w:lineRule="auto"/>
        <w:jc w:val="both"/>
        <w:rPr>
          <w:rFonts w:asciiTheme="majorBidi" w:hAnsiTheme="majorBidi" w:cstheme="majorBidi"/>
        </w:rPr>
      </w:pPr>
    </w:p>
    <w:p w14:paraId="76E36C47" w14:textId="707D6FF8" w:rsidR="00454254" w:rsidRPr="00BE7811" w:rsidRDefault="00454254" w:rsidP="0038293E">
      <w:pPr>
        <w:pStyle w:val="NormalWeb"/>
        <w:shd w:val="clear" w:color="auto" w:fill="FFFFFF"/>
        <w:spacing w:before="0" w:beforeAutospacing="0" w:after="0" w:afterAutospacing="0" w:line="276" w:lineRule="auto"/>
        <w:jc w:val="center"/>
        <w:rPr>
          <w:rFonts w:asciiTheme="majorBidi" w:hAnsiTheme="majorBidi" w:cstheme="majorBidi"/>
          <w:b/>
          <w:bCs/>
          <w:shd w:val="clear" w:color="auto" w:fill="FFFFFF"/>
        </w:rPr>
      </w:pPr>
      <w:r w:rsidRPr="00BE7811">
        <w:rPr>
          <w:rFonts w:asciiTheme="majorBidi" w:hAnsiTheme="majorBidi" w:cstheme="majorBidi"/>
          <w:b/>
          <w:bCs/>
          <w:shd w:val="clear" w:color="auto" w:fill="FFFFFF"/>
        </w:rPr>
        <w:t>Motīvu daļa</w:t>
      </w:r>
    </w:p>
    <w:p w14:paraId="587D373E" w14:textId="77777777" w:rsidR="00454254" w:rsidRPr="00BE7811" w:rsidRDefault="00454254" w:rsidP="0038293E">
      <w:pPr>
        <w:pStyle w:val="NormalWeb"/>
        <w:shd w:val="clear" w:color="auto" w:fill="FFFFFF"/>
        <w:spacing w:before="0" w:beforeAutospacing="0" w:after="0" w:afterAutospacing="0" w:line="276" w:lineRule="auto"/>
        <w:ind w:firstLine="709"/>
        <w:jc w:val="center"/>
        <w:rPr>
          <w:rFonts w:asciiTheme="majorBidi" w:hAnsiTheme="majorBidi" w:cstheme="majorBidi"/>
          <w:b/>
          <w:bCs/>
          <w:shd w:val="clear" w:color="auto" w:fill="FFFFFF"/>
        </w:rPr>
      </w:pPr>
    </w:p>
    <w:p w14:paraId="6BC78FF0" w14:textId="08F81D4B" w:rsidR="009519B6" w:rsidRDefault="00454254" w:rsidP="0038293E">
      <w:pPr>
        <w:pStyle w:val="NormalWeb"/>
        <w:shd w:val="clear" w:color="auto" w:fill="FFFFFF"/>
        <w:spacing w:before="0" w:beforeAutospacing="0" w:after="0" w:afterAutospacing="0" w:line="276" w:lineRule="auto"/>
        <w:ind w:firstLine="709"/>
        <w:jc w:val="both"/>
        <w:rPr>
          <w:shd w:val="clear" w:color="auto" w:fill="FFFFFF"/>
        </w:rPr>
      </w:pPr>
      <w:r w:rsidRPr="004724DC">
        <w:rPr>
          <w:shd w:val="clear" w:color="auto" w:fill="FFFFFF"/>
        </w:rPr>
        <w:t>[</w:t>
      </w:r>
      <w:r w:rsidR="00FA573D" w:rsidRPr="004724DC">
        <w:rPr>
          <w:shd w:val="clear" w:color="auto" w:fill="FFFFFF"/>
        </w:rPr>
        <w:t>6</w:t>
      </w:r>
      <w:r w:rsidRPr="004724DC">
        <w:rPr>
          <w:shd w:val="clear" w:color="auto" w:fill="FFFFFF"/>
        </w:rPr>
        <w:t>]</w:t>
      </w:r>
      <w:r w:rsidR="00B20708" w:rsidRPr="004724DC">
        <w:rPr>
          <w:shd w:val="clear" w:color="auto" w:fill="FFFFFF"/>
        </w:rPr>
        <w:t> </w:t>
      </w:r>
      <w:r w:rsidR="007209FA" w:rsidRPr="004724DC">
        <w:rPr>
          <w:shd w:val="clear" w:color="auto" w:fill="FFFFFF"/>
        </w:rPr>
        <w:t>Pārbaudījis lietas materiālus un apsvēris blakus sūdzībā norādītos argumentus,</w:t>
      </w:r>
      <w:r w:rsidR="00F51BE5" w:rsidRPr="004724DC">
        <w:rPr>
          <w:shd w:val="clear" w:color="auto" w:fill="FFFFFF"/>
        </w:rPr>
        <w:t xml:space="preserve"> Se</w:t>
      </w:r>
      <w:r w:rsidR="001C5566" w:rsidRPr="004724DC">
        <w:rPr>
          <w:shd w:val="clear" w:color="auto" w:fill="FFFFFF"/>
        </w:rPr>
        <w:t>n</w:t>
      </w:r>
      <w:r w:rsidR="00F51BE5" w:rsidRPr="004724DC">
        <w:rPr>
          <w:shd w:val="clear" w:color="auto" w:fill="FFFFFF"/>
        </w:rPr>
        <w:t>āts</w:t>
      </w:r>
      <w:r w:rsidR="007209FA" w:rsidRPr="004724DC">
        <w:rPr>
          <w:shd w:val="clear" w:color="auto" w:fill="FFFFFF"/>
        </w:rPr>
        <w:t xml:space="preserve"> atzīst, ka </w:t>
      </w:r>
      <w:r w:rsidR="004048FD">
        <w:t>[..]</w:t>
      </w:r>
      <w:r w:rsidR="009519B6" w:rsidRPr="004724DC">
        <w:t xml:space="preserve"> apgabaltiesas 2024. gada </w:t>
      </w:r>
      <w:r w:rsidR="004048FD">
        <w:t>[..]</w:t>
      </w:r>
      <w:r w:rsidR="009519B6" w:rsidRPr="004724DC">
        <w:t xml:space="preserve"> lēmums </w:t>
      </w:r>
      <w:r w:rsidR="006B1A62" w:rsidRPr="004724DC">
        <w:rPr>
          <w:shd w:val="clear" w:color="auto" w:fill="FFFFFF"/>
        </w:rPr>
        <w:t>ir atceļams un</w:t>
      </w:r>
      <w:r w:rsidR="001C5566" w:rsidRPr="004724DC">
        <w:rPr>
          <w:shd w:val="clear" w:color="auto" w:fill="FFFFFF"/>
        </w:rPr>
        <w:t xml:space="preserve"> </w:t>
      </w:r>
      <w:r w:rsidR="00C133C6">
        <w:rPr>
          <w:shd w:val="clear" w:color="auto" w:fill="FFFFFF"/>
        </w:rPr>
        <w:t>pieteikums</w:t>
      </w:r>
      <w:r w:rsidR="00C133C6" w:rsidRPr="004724DC">
        <w:rPr>
          <w:shd w:val="clear" w:color="auto" w:fill="FFFFFF"/>
        </w:rPr>
        <w:t xml:space="preserve"> </w:t>
      </w:r>
      <w:r w:rsidR="001C5566" w:rsidRPr="004724DC">
        <w:rPr>
          <w:shd w:val="clear" w:color="auto" w:fill="FFFFFF"/>
        </w:rPr>
        <w:t>nododams jaunai izskatīšanai</w:t>
      </w:r>
      <w:r w:rsidR="0089269C" w:rsidRPr="004724DC">
        <w:rPr>
          <w:shd w:val="clear" w:color="auto" w:fill="FFFFFF"/>
        </w:rPr>
        <w:t xml:space="preserve"> </w:t>
      </w:r>
      <w:r w:rsidR="004048FD">
        <w:rPr>
          <w:shd w:val="clear" w:color="auto" w:fill="FFFFFF"/>
        </w:rPr>
        <w:t>[..]</w:t>
      </w:r>
      <w:r w:rsidR="0089269C" w:rsidRPr="004724DC">
        <w:rPr>
          <w:shd w:val="clear" w:color="auto" w:fill="FFFFFF"/>
        </w:rPr>
        <w:t xml:space="preserve"> apgabaltiesai.</w:t>
      </w:r>
    </w:p>
    <w:p w14:paraId="3B6A830B" w14:textId="77777777" w:rsidR="00CF60AB" w:rsidRDefault="00CF60AB" w:rsidP="0038293E">
      <w:pPr>
        <w:pStyle w:val="NormalWeb"/>
        <w:shd w:val="clear" w:color="auto" w:fill="FFFFFF"/>
        <w:spacing w:before="0" w:beforeAutospacing="0" w:after="0" w:afterAutospacing="0" w:line="276" w:lineRule="auto"/>
        <w:ind w:firstLine="709"/>
        <w:jc w:val="both"/>
        <w:rPr>
          <w:shd w:val="clear" w:color="auto" w:fill="FFFFFF"/>
        </w:rPr>
      </w:pPr>
    </w:p>
    <w:p w14:paraId="1B1ED2E0" w14:textId="552D8D90" w:rsidR="00CF60AB" w:rsidRDefault="00CF60AB" w:rsidP="0038293E">
      <w:pPr>
        <w:pStyle w:val="NormalWeb"/>
        <w:shd w:val="clear" w:color="auto" w:fill="FFFFFF"/>
        <w:spacing w:before="0" w:beforeAutospacing="0" w:after="0" w:afterAutospacing="0" w:line="276" w:lineRule="auto"/>
        <w:ind w:firstLine="709"/>
        <w:jc w:val="both"/>
        <w:rPr>
          <w:i/>
          <w:iCs/>
          <w:shd w:val="clear" w:color="auto" w:fill="FFFFFF"/>
        </w:rPr>
      </w:pPr>
      <w:r w:rsidRPr="00CF60AB">
        <w:rPr>
          <w:i/>
          <w:iCs/>
          <w:shd w:val="clear" w:color="auto" w:fill="FFFFFF"/>
        </w:rPr>
        <w:t>Ārvalsts nolēmumā ietvertu vairāku prasījumu atzīšana un izpildīšana</w:t>
      </w:r>
    </w:p>
    <w:p w14:paraId="3A5689A5" w14:textId="16245BEA" w:rsidR="002A76A6" w:rsidRPr="004724DC" w:rsidRDefault="00454254" w:rsidP="0038293E">
      <w:pPr>
        <w:pStyle w:val="NormalWeb"/>
        <w:shd w:val="clear" w:color="auto" w:fill="FFFFFF"/>
        <w:spacing w:before="0" w:beforeAutospacing="0" w:after="0" w:afterAutospacing="0" w:line="276" w:lineRule="auto"/>
        <w:ind w:firstLine="709"/>
        <w:jc w:val="both"/>
      </w:pPr>
      <w:r w:rsidRPr="004724DC">
        <w:t>[</w:t>
      </w:r>
      <w:r w:rsidR="00FA573D" w:rsidRPr="004724DC">
        <w:t>7</w:t>
      </w:r>
      <w:r w:rsidRPr="004724DC">
        <w:t>]</w:t>
      </w:r>
      <w:r w:rsidR="00B20708" w:rsidRPr="004724DC">
        <w:t> </w:t>
      </w:r>
      <w:bookmarkStart w:id="5" w:name="_Hlk199243873"/>
      <w:r w:rsidR="002A76A6" w:rsidRPr="004724DC">
        <w:t>Civilprocesa likuma 77.</w:t>
      </w:r>
      <w:r w:rsidR="00E57C1A" w:rsidRPr="004724DC">
        <w:t> </w:t>
      </w:r>
      <w:r w:rsidR="002A76A6" w:rsidRPr="004724DC">
        <w:t>nodaļa</w:t>
      </w:r>
      <w:r w:rsidR="00DA56E5" w:rsidRPr="004724DC">
        <w:t>s</w:t>
      </w:r>
      <w:r w:rsidR="002A76A6" w:rsidRPr="004724DC">
        <w:t xml:space="preserve"> </w:t>
      </w:r>
      <w:r w:rsidR="00E57C1A" w:rsidRPr="004724DC">
        <w:t>„</w:t>
      </w:r>
      <w:r w:rsidR="002A76A6" w:rsidRPr="004724DC">
        <w:t>Ārvalstu tiesu nolēmumu atzīšana</w:t>
      </w:r>
      <w:r w:rsidR="00E57C1A" w:rsidRPr="004724DC">
        <w:t xml:space="preserve"> un izpildīšana</w:t>
      </w:r>
      <w:r w:rsidR="002A76A6" w:rsidRPr="004724DC">
        <w:t xml:space="preserve">” </w:t>
      </w:r>
      <w:r w:rsidR="00DA56E5" w:rsidRPr="004724DC">
        <w:t>normas (</w:t>
      </w:r>
      <w:r w:rsidR="00DA56E5" w:rsidRPr="004724DC">
        <w:rPr>
          <w:i/>
          <w:iCs/>
        </w:rPr>
        <w:t>Civilprocesa likuma 636.–644.</w:t>
      </w:r>
      <w:r w:rsidR="00DA56E5" w:rsidRPr="004724DC">
        <w:rPr>
          <w:i/>
          <w:iCs/>
          <w:vertAlign w:val="superscript"/>
        </w:rPr>
        <w:t>5</w:t>
      </w:r>
      <w:r w:rsidR="00DA56E5" w:rsidRPr="004724DC">
        <w:rPr>
          <w:i/>
          <w:iCs/>
        </w:rPr>
        <w:t> pants</w:t>
      </w:r>
      <w:r w:rsidR="00DA56E5" w:rsidRPr="004724DC">
        <w:t xml:space="preserve">) </w:t>
      </w:r>
      <w:r w:rsidR="002A76A6" w:rsidRPr="004724DC">
        <w:t>attiecībā uz ārvalsts tiesas nolēmumu atzīšanu un izpild</w:t>
      </w:r>
      <w:r w:rsidR="00E57C1A" w:rsidRPr="004724DC">
        <w:t>īšanu</w:t>
      </w:r>
      <w:r w:rsidR="002A76A6" w:rsidRPr="004724DC">
        <w:t xml:space="preserve"> piemērojama</w:t>
      </w:r>
      <w:r w:rsidR="002356E3" w:rsidRPr="004724DC">
        <w:t>s</w:t>
      </w:r>
      <w:r w:rsidR="002A76A6" w:rsidRPr="004724DC">
        <w:t xml:space="preserve"> tad, ja attiecīgais procesuālais jautājums jau nav regulēts </w:t>
      </w:r>
      <w:r w:rsidR="00AF4832">
        <w:t>Latvija</w:t>
      </w:r>
      <w:r w:rsidR="00A52F08">
        <w:t>s Republikai</w:t>
      </w:r>
      <w:r w:rsidR="00AF4832">
        <w:t xml:space="preserve"> saistošā </w:t>
      </w:r>
      <w:r w:rsidR="002A76A6" w:rsidRPr="004724DC">
        <w:t xml:space="preserve">starptautiskā līgumā vai </w:t>
      </w:r>
      <w:r w:rsidR="00AF4832">
        <w:t>Eiropas Savienības tiesību normā</w:t>
      </w:r>
      <w:r w:rsidR="002A76A6" w:rsidRPr="004724DC">
        <w:t xml:space="preserve"> (sk. </w:t>
      </w:r>
      <w:r w:rsidR="002A76A6" w:rsidRPr="004724DC">
        <w:rPr>
          <w:i/>
          <w:iCs/>
        </w:rPr>
        <w:t>Civilprocesa likuma 5.</w:t>
      </w:r>
      <w:r w:rsidR="00F135AB" w:rsidRPr="004724DC">
        <w:rPr>
          <w:i/>
          <w:iCs/>
        </w:rPr>
        <w:t> </w:t>
      </w:r>
      <w:r w:rsidR="002A76A6" w:rsidRPr="004724DC">
        <w:rPr>
          <w:i/>
          <w:iCs/>
        </w:rPr>
        <w:t>panta pirmo, otro un trešo daļu</w:t>
      </w:r>
      <w:r w:rsidR="002A76A6" w:rsidRPr="004724DC">
        <w:t xml:space="preserve">). Proti, ja </w:t>
      </w:r>
      <w:r w:rsidR="002356E3" w:rsidRPr="004724DC">
        <w:t xml:space="preserve">konkrētā </w:t>
      </w:r>
      <w:r w:rsidR="002A76A6" w:rsidRPr="004724DC">
        <w:t xml:space="preserve">ārvalsts tiesas nolēmuma atzīšanas un </w:t>
      </w:r>
      <w:r w:rsidR="002356E3" w:rsidRPr="004724DC">
        <w:t xml:space="preserve">izpildīšanas </w:t>
      </w:r>
      <w:r w:rsidR="002A76A6" w:rsidRPr="004724DC">
        <w:t>jautājumu regulē starptautisk</w:t>
      </w:r>
      <w:r w:rsidR="000D71BA">
        <w:t>s</w:t>
      </w:r>
      <w:r w:rsidR="002A76A6" w:rsidRPr="004724DC">
        <w:t xml:space="preserve"> līgums vai </w:t>
      </w:r>
      <w:r w:rsidR="00AF4832">
        <w:t>Eiropas Savienības tiesību norma</w:t>
      </w:r>
      <w:r w:rsidR="002A76A6" w:rsidRPr="004724DC">
        <w:t>, tad minētās Civilprocesa likuma normas, k</w:t>
      </w:r>
      <w:r w:rsidR="002356E3" w:rsidRPr="004724DC">
        <w:t>uras</w:t>
      </w:r>
      <w:r w:rsidR="002A76A6" w:rsidRPr="004724DC">
        <w:t xml:space="preserve"> nosaka procesa norisi, ir piemērojamas tiktāl, ciktāl tas nepieciešams starptautiskā līguma vai </w:t>
      </w:r>
      <w:r w:rsidR="00AF4832">
        <w:t xml:space="preserve">Eiropas Savienības tiesību normas </w:t>
      </w:r>
      <w:r w:rsidR="002A76A6" w:rsidRPr="004724DC">
        <w:t xml:space="preserve">sekmīgai procesuālai piemērošanai Latvijā (sk. </w:t>
      </w:r>
      <w:r w:rsidR="00E57C1A" w:rsidRPr="00E55072">
        <w:rPr>
          <w:i/>
          <w:iCs/>
        </w:rPr>
        <w:t>Senāta</w:t>
      </w:r>
      <w:r w:rsidR="002A76A6" w:rsidRPr="00E55072">
        <w:rPr>
          <w:i/>
          <w:iCs/>
        </w:rPr>
        <w:t xml:space="preserve"> 2016.</w:t>
      </w:r>
      <w:r w:rsidR="00F135AB" w:rsidRPr="00E55072">
        <w:rPr>
          <w:i/>
          <w:iCs/>
        </w:rPr>
        <w:t> </w:t>
      </w:r>
      <w:r w:rsidR="002A76A6" w:rsidRPr="00E55072">
        <w:rPr>
          <w:i/>
          <w:iCs/>
        </w:rPr>
        <w:t>gada 16.</w:t>
      </w:r>
      <w:r w:rsidR="00F135AB" w:rsidRPr="00E55072">
        <w:rPr>
          <w:i/>
          <w:iCs/>
        </w:rPr>
        <w:t> </w:t>
      </w:r>
      <w:r w:rsidR="002A76A6" w:rsidRPr="00E55072">
        <w:rPr>
          <w:i/>
          <w:iCs/>
        </w:rPr>
        <w:t>marta lēmum</w:t>
      </w:r>
      <w:r w:rsidR="00F135AB" w:rsidRPr="00E55072">
        <w:rPr>
          <w:i/>
          <w:iCs/>
        </w:rPr>
        <w:t>a</w:t>
      </w:r>
      <w:r w:rsidR="002A76A6" w:rsidRPr="00E55072">
        <w:rPr>
          <w:i/>
          <w:iCs/>
        </w:rPr>
        <w:t xml:space="preserve"> Nr.</w:t>
      </w:r>
      <w:r w:rsidR="00E57C1A" w:rsidRPr="00E55072">
        <w:rPr>
          <w:i/>
          <w:iCs/>
        </w:rPr>
        <w:t> </w:t>
      </w:r>
      <w:r w:rsidR="002A76A6" w:rsidRPr="00E55072">
        <w:rPr>
          <w:i/>
          <w:iCs/>
        </w:rPr>
        <w:t>SKC-</w:t>
      </w:r>
      <w:r w:rsidR="002A76A6" w:rsidRPr="004724DC">
        <w:rPr>
          <w:i/>
          <w:iCs/>
        </w:rPr>
        <w:t>1196/2016</w:t>
      </w:r>
      <w:r w:rsidR="002356E3" w:rsidRPr="004724DC">
        <w:rPr>
          <w:i/>
          <w:iCs/>
        </w:rPr>
        <w:t xml:space="preserve">, C17103315, </w:t>
      </w:r>
      <w:r w:rsidR="00E57C1A" w:rsidRPr="004724DC">
        <w:rPr>
          <w:i/>
          <w:iCs/>
        </w:rPr>
        <w:t>8.1.</w:t>
      </w:r>
      <w:r w:rsidR="00F135AB" w:rsidRPr="004724DC">
        <w:rPr>
          <w:i/>
          <w:iCs/>
        </w:rPr>
        <w:t> </w:t>
      </w:r>
      <w:r w:rsidR="00E57C1A" w:rsidRPr="004724DC">
        <w:rPr>
          <w:i/>
          <w:iCs/>
        </w:rPr>
        <w:t>punktu</w:t>
      </w:r>
      <w:r w:rsidR="002A76A6" w:rsidRPr="004724DC">
        <w:t>).</w:t>
      </w:r>
    </w:p>
    <w:p w14:paraId="156C776C" w14:textId="064D573F" w:rsidR="006F5B34" w:rsidRPr="004724DC" w:rsidRDefault="006F5B34" w:rsidP="0038293E">
      <w:pPr>
        <w:pStyle w:val="NormalWeb"/>
        <w:shd w:val="clear" w:color="auto" w:fill="FFFFFF"/>
        <w:spacing w:before="0" w:beforeAutospacing="0" w:after="0" w:afterAutospacing="0" w:line="276" w:lineRule="auto"/>
        <w:ind w:firstLine="709"/>
        <w:jc w:val="both"/>
      </w:pPr>
      <w:r w:rsidRPr="004724DC">
        <w:t xml:space="preserve">No Krievijas Federācijas </w:t>
      </w:r>
      <w:r w:rsidR="008442CC">
        <w:t>[..]</w:t>
      </w:r>
      <w:r w:rsidRPr="004724DC">
        <w:t xml:space="preserve"> rajona tiesas 2023. gada </w:t>
      </w:r>
      <w:r w:rsidR="008F4EF4">
        <w:t xml:space="preserve">23. janvāra </w:t>
      </w:r>
      <w:r w:rsidRPr="004724DC">
        <w:t xml:space="preserve">sprieduma izriet, ka pēc būtības </w:t>
      </w:r>
      <w:r w:rsidR="002356E3" w:rsidRPr="004724DC">
        <w:t xml:space="preserve">tikuši </w:t>
      </w:r>
      <w:r w:rsidRPr="004724DC">
        <w:t xml:space="preserve">izspriesti un apmierināti trīs </w:t>
      </w:r>
      <w:r w:rsidR="000B2C37">
        <w:t>[pers. A]</w:t>
      </w:r>
      <w:r w:rsidR="00B215EB" w:rsidRPr="004724DC">
        <w:t xml:space="preserve"> </w:t>
      </w:r>
      <w:r w:rsidR="001B6209">
        <w:t xml:space="preserve">pieteiktie </w:t>
      </w:r>
      <w:r w:rsidRPr="004724DC">
        <w:t xml:space="preserve">prasījumi, proti, </w:t>
      </w:r>
      <w:r w:rsidR="00674AE3">
        <w:t>1) </w:t>
      </w:r>
      <w:r w:rsidRPr="004724DC">
        <w:t>prasījum</w:t>
      </w:r>
      <w:r w:rsidR="001B6209">
        <w:t>s</w:t>
      </w:r>
      <w:r w:rsidRPr="004724DC">
        <w:t xml:space="preserve"> par laulības šķiršanu, </w:t>
      </w:r>
      <w:r w:rsidR="00674AE3">
        <w:t>2) </w:t>
      </w:r>
      <w:r w:rsidR="001B6209">
        <w:t xml:space="preserve">prasījums par </w:t>
      </w:r>
      <w:r w:rsidRPr="004724DC">
        <w:t xml:space="preserve">bērna dzīvesvietas noteikšanu un </w:t>
      </w:r>
      <w:r w:rsidR="00674AE3">
        <w:t>3) </w:t>
      </w:r>
      <w:r w:rsidR="001B6209">
        <w:t xml:space="preserve">prasījums par </w:t>
      </w:r>
      <w:r w:rsidRPr="004724DC">
        <w:t xml:space="preserve">uzturlīdzekļu piedziņu. </w:t>
      </w:r>
    </w:p>
    <w:p w14:paraId="6F50B513" w14:textId="35AAA1FE" w:rsidR="00FE2AEC" w:rsidRPr="004724DC" w:rsidRDefault="00FE2AEC" w:rsidP="0038293E">
      <w:pPr>
        <w:pStyle w:val="NormalWeb"/>
        <w:shd w:val="clear" w:color="auto" w:fill="FFFFFF"/>
        <w:spacing w:before="0" w:beforeAutospacing="0" w:after="0" w:afterAutospacing="0" w:line="276" w:lineRule="auto"/>
        <w:ind w:firstLine="709"/>
        <w:jc w:val="both"/>
      </w:pPr>
      <w:bookmarkStart w:id="6" w:name="_Hlk210736816"/>
      <w:r w:rsidRPr="004724DC">
        <w:lastRenderedPageBreak/>
        <w:t xml:space="preserve">Katram </w:t>
      </w:r>
      <w:r w:rsidR="002356E3" w:rsidRPr="004724DC">
        <w:t xml:space="preserve">no minētajiem </w:t>
      </w:r>
      <w:r w:rsidR="00D17A64" w:rsidRPr="004724DC">
        <w:t>prasījum</w:t>
      </w:r>
      <w:r w:rsidR="002356E3" w:rsidRPr="004724DC">
        <w:t>iem</w:t>
      </w:r>
      <w:r w:rsidRPr="004724DC">
        <w:t xml:space="preserve"> atsevišķi noskaidrojams piemērojamais regulējums, proti, vai ārvalsts tiesas nolēmumu atzīšanas un </w:t>
      </w:r>
      <w:r w:rsidR="002356E3" w:rsidRPr="004724DC">
        <w:t xml:space="preserve">izpildīšanas </w:t>
      </w:r>
      <w:r w:rsidRPr="004724DC">
        <w:t xml:space="preserve">jautājumu regulē starptautisks līgums vai </w:t>
      </w:r>
      <w:r w:rsidR="00AF4832">
        <w:t>Eiropas Savienības tiesību normas</w:t>
      </w:r>
      <w:r w:rsidRPr="004724DC">
        <w:t xml:space="preserve"> vai piemērojams tikai Civilprocesa likuma regulējums.</w:t>
      </w:r>
    </w:p>
    <w:bookmarkEnd w:id="5"/>
    <w:bookmarkEnd w:id="6"/>
    <w:p w14:paraId="3C6024CA" w14:textId="77777777" w:rsidR="00FE2AEC" w:rsidRDefault="00FE2AEC" w:rsidP="0038293E">
      <w:pPr>
        <w:pStyle w:val="NormalWeb"/>
        <w:shd w:val="clear" w:color="auto" w:fill="FFFFFF"/>
        <w:spacing w:before="0" w:beforeAutospacing="0" w:after="0" w:afterAutospacing="0" w:line="276" w:lineRule="auto"/>
        <w:ind w:firstLine="709"/>
        <w:jc w:val="both"/>
      </w:pPr>
    </w:p>
    <w:p w14:paraId="768A9445" w14:textId="2F2F4D99" w:rsidR="00FC6B1B" w:rsidRPr="004724DC" w:rsidRDefault="00FC6B1B" w:rsidP="0038293E">
      <w:pPr>
        <w:pStyle w:val="NormalWeb"/>
        <w:shd w:val="clear" w:color="auto" w:fill="FFFFFF"/>
        <w:spacing w:before="0" w:beforeAutospacing="0" w:after="0" w:afterAutospacing="0" w:line="276" w:lineRule="auto"/>
        <w:ind w:firstLine="709"/>
        <w:jc w:val="both"/>
      </w:pPr>
      <w:r w:rsidRPr="004724DC">
        <w:t xml:space="preserve">[8] Senāts vērš uzmanību, ka valstu starpā noslēgtu starptautisko līgumu ievērošanu, piemērošanu un iztulkošanu galvenokārt regulē Apvienoto Nāciju Organizācijas 1969. gada Vīnes konvencija par starptautisko līgumu tiesībām (turpmāk – Vīnes konvencija), kurai Latvijas Republika pievienojās 1993. gada 6. aprīlī. </w:t>
      </w:r>
    </w:p>
    <w:p w14:paraId="3D6723F6" w14:textId="77777777" w:rsidR="00FC6B1B" w:rsidRPr="004724DC" w:rsidRDefault="00FC6B1B" w:rsidP="0038293E">
      <w:pPr>
        <w:pStyle w:val="NormalWeb"/>
        <w:shd w:val="clear" w:color="auto" w:fill="FFFFFF"/>
        <w:spacing w:before="0" w:beforeAutospacing="0" w:after="0" w:afterAutospacing="0" w:line="276" w:lineRule="auto"/>
        <w:ind w:firstLine="709"/>
        <w:jc w:val="both"/>
      </w:pPr>
      <w:r>
        <w:t>Vīnes</w:t>
      </w:r>
      <w:r w:rsidRPr="004724DC">
        <w:t xml:space="preserve"> konvencijas 31. pants noteic starptautisko līgumu iztulkošanas vispārīgos noteikumus, 32. pants – papildu iztulkošanas līdzekļus, bet 33. pants – tādu līgumu iztulkošanu, kuru tekstu autentiskums ir noteikts divās vai vairākās valodās. Vīnes konvencijas 31. pants paredz, ka līgums ir </w:t>
      </w:r>
      <w:r>
        <w:t>iz</w:t>
      </w:r>
      <w:r w:rsidRPr="004724DC">
        <w:t>tulkojams godprātīgi saskaņā ar parasto nozīmi, kāda piešķirama līguma noteikumiem kopumā un atbilstoši tā objektam un mērķim. Tāpat ir izmantojami arī citi dokumenti, kuri sagatavoti sakarā ar līgumu, vēlāka</w:t>
      </w:r>
      <w:r w:rsidRPr="004724DC">
        <w:rPr>
          <w:i/>
        </w:rPr>
        <w:t xml:space="preserve"> </w:t>
      </w:r>
      <w:r w:rsidRPr="004724DC">
        <w:rPr>
          <w:iCs/>
        </w:rPr>
        <w:t>vienošanās</w:t>
      </w:r>
      <w:r w:rsidRPr="004724DC">
        <w:t xml:space="preserve"> par līguma iztulkošanu vai tā noteikumu piemērošanu, </w:t>
      </w:r>
      <w:r w:rsidRPr="004724DC">
        <w:rPr>
          <w:iCs/>
        </w:rPr>
        <w:t>līguma piemērošanas prakse</w:t>
      </w:r>
      <w:r w:rsidRPr="004724DC">
        <w:t>, kā arī jebkuras starptautisko tiesību normas, kas piemērojamas attiecībās starp dalībniekiem. Šim noteikumam tiek piešķirta īpaša nozīme, ja dalībniekiem ir bijis tāds nodoms. Turklāt Vīnes konvencijas 32. pants noteic, ka var izmantot papildu iztulkošanas paņēmienus, tostarp līguma sagatavošanas materiālus un līguma noslēgšanas apstākļus.</w:t>
      </w:r>
    </w:p>
    <w:p w14:paraId="7B67F5EA" w14:textId="77777777" w:rsidR="00FC6B1B" w:rsidRDefault="00FC6B1B" w:rsidP="0038293E">
      <w:pPr>
        <w:pStyle w:val="NormalWeb"/>
        <w:shd w:val="clear" w:color="auto" w:fill="FFFFFF"/>
        <w:spacing w:before="0" w:beforeAutospacing="0" w:after="0" w:afterAutospacing="0" w:line="276" w:lineRule="auto"/>
        <w:ind w:firstLine="709"/>
        <w:jc w:val="both"/>
      </w:pPr>
    </w:p>
    <w:p w14:paraId="22D7CB57" w14:textId="32D4449A"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Iesniegtā sprieduma atzīšanai un izpildīšanai piemērojamais regulējums</w:t>
      </w:r>
    </w:p>
    <w:p w14:paraId="4305EC6A" w14:textId="47ABBF54" w:rsidR="00970CAF" w:rsidRPr="004724DC" w:rsidRDefault="00F135AB" w:rsidP="0038293E">
      <w:pPr>
        <w:pStyle w:val="NormalWeb"/>
        <w:shd w:val="clear" w:color="auto" w:fill="FFFFFF"/>
        <w:spacing w:before="0" w:beforeAutospacing="0" w:after="0" w:afterAutospacing="0" w:line="276" w:lineRule="auto"/>
        <w:ind w:firstLine="709"/>
        <w:jc w:val="both"/>
      </w:pPr>
      <w:r w:rsidRPr="004724DC">
        <w:t>[</w:t>
      </w:r>
      <w:r w:rsidR="00FC6B1B">
        <w:t>9</w:t>
      </w:r>
      <w:r w:rsidRPr="004724DC">
        <w:t>]</w:t>
      </w:r>
      <w:r w:rsidR="00B66D76" w:rsidRPr="004724DC">
        <w:t> </w:t>
      </w:r>
      <w:r w:rsidR="00FE2AEC" w:rsidRPr="004724DC">
        <w:t xml:space="preserve">Vispārīgi </w:t>
      </w:r>
      <w:r w:rsidR="00AD25EB" w:rsidRPr="004724DC">
        <w:t>par pamatotu atzīst</w:t>
      </w:r>
      <w:r w:rsidR="00FE2AEC" w:rsidRPr="004724DC">
        <w:t>ama</w:t>
      </w:r>
      <w:r w:rsidR="00AD25EB" w:rsidRPr="004724DC">
        <w:t xml:space="preserve"> apgabaltiesas atsauc</w:t>
      </w:r>
      <w:r w:rsidR="00FE2AEC" w:rsidRPr="004724DC">
        <w:t>e</w:t>
      </w:r>
      <w:r w:rsidR="00AD25EB" w:rsidRPr="004724DC">
        <w:t xml:space="preserve"> uz 1996. gada 19. oktobra Konvenciju</w:t>
      </w:r>
      <w:r w:rsidR="00F9117E" w:rsidRPr="004724DC">
        <w:t>, jo g</w:t>
      </w:r>
      <w:r w:rsidR="00AD25EB" w:rsidRPr="004724DC">
        <w:t>an Krievijas Federācija, gan Latvijas Republika, gan Norvēģijas Karaliste ir šīs konvencijas dalībvalstis</w:t>
      </w:r>
      <w:r w:rsidR="002A76A6" w:rsidRPr="004724DC">
        <w:t xml:space="preserve">. </w:t>
      </w:r>
      <w:r w:rsidR="00970CAF" w:rsidRPr="004724DC">
        <w:t>Vienlaikus norādāms, ka</w:t>
      </w:r>
      <w:r w:rsidR="00D01A18" w:rsidRPr="004724DC">
        <w:t xml:space="preserve"> </w:t>
      </w:r>
      <w:r w:rsidR="002356E3" w:rsidRPr="004724DC">
        <w:t xml:space="preserve">minētās </w:t>
      </w:r>
      <w:r w:rsidR="00970CAF" w:rsidRPr="004724DC">
        <w:t xml:space="preserve">konvencijas noteikumi piemērojami konvencijas </w:t>
      </w:r>
      <w:proofErr w:type="spellStart"/>
      <w:r w:rsidR="00970CAF" w:rsidRPr="004724DC">
        <w:t>materiāltiesisk</w:t>
      </w:r>
      <w:r w:rsidRPr="004724DC">
        <w:t>ā</w:t>
      </w:r>
      <w:proofErr w:type="spellEnd"/>
      <w:r w:rsidR="00970CAF" w:rsidRPr="004724DC">
        <w:t xml:space="preserve"> tvēruma</w:t>
      </w:r>
      <w:r w:rsidRPr="004724DC">
        <w:t xml:space="preserve"> ietvaros</w:t>
      </w:r>
      <w:r w:rsidR="00970CAF" w:rsidRPr="004724DC">
        <w:t xml:space="preserve"> atbilstoši</w:t>
      </w:r>
      <w:r w:rsidR="00D01A18" w:rsidRPr="004724DC">
        <w:t xml:space="preserve"> šīs konvencijas 3. un 4. pant</w:t>
      </w:r>
      <w:r w:rsidR="00970CAF" w:rsidRPr="004724DC">
        <w:t>am.</w:t>
      </w:r>
    </w:p>
    <w:p w14:paraId="08617855" w14:textId="6B00FB41" w:rsidR="00970CAF" w:rsidRPr="004724DC" w:rsidRDefault="00D51F34" w:rsidP="0038293E">
      <w:pPr>
        <w:pStyle w:val="NormalWeb"/>
        <w:shd w:val="clear" w:color="auto" w:fill="FFFFFF"/>
        <w:spacing w:before="0" w:beforeAutospacing="0" w:after="0" w:afterAutospacing="0" w:line="276" w:lineRule="auto"/>
        <w:ind w:firstLine="709"/>
        <w:jc w:val="both"/>
      </w:pPr>
      <w:r w:rsidRPr="004724DC">
        <w:t>[</w:t>
      </w:r>
      <w:r w:rsidR="00FC6B1B">
        <w:t>9</w:t>
      </w:r>
      <w:r w:rsidRPr="004724DC">
        <w:t>.1]</w:t>
      </w:r>
      <w:r w:rsidR="002356E3" w:rsidRPr="004724DC">
        <w:t> </w:t>
      </w:r>
      <w:r w:rsidR="00D92613" w:rsidRPr="004724DC">
        <w:t xml:space="preserve">1996. gada 19. oktobra </w:t>
      </w:r>
      <w:r w:rsidR="00970CAF" w:rsidRPr="004724DC">
        <w:t>Konvencijas 3.</w:t>
      </w:r>
      <w:r w:rsidR="00F135AB" w:rsidRPr="004724DC">
        <w:t> </w:t>
      </w:r>
      <w:r w:rsidR="00970CAF" w:rsidRPr="004724DC">
        <w:t xml:space="preserve">panta </w:t>
      </w:r>
      <w:r w:rsidR="00D92613" w:rsidRPr="004724DC">
        <w:t>„</w:t>
      </w:r>
      <w:r w:rsidR="00970CAF" w:rsidRPr="004724DC">
        <w:t>b</w:t>
      </w:r>
      <w:r w:rsidR="00D92613" w:rsidRPr="004724DC">
        <w:t>”</w:t>
      </w:r>
      <w:r w:rsidR="00F135AB" w:rsidRPr="004724DC">
        <w:t> </w:t>
      </w:r>
      <w:r w:rsidR="00970CAF" w:rsidRPr="004724DC">
        <w:t>apakšpunkts no</w:t>
      </w:r>
      <w:r w:rsidR="00FF6273" w:rsidRPr="004724DC">
        <w:t>teic</w:t>
      </w:r>
      <w:r w:rsidR="00970CAF" w:rsidRPr="004724DC">
        <w:t xml:space="preserve">, ka </w:t>
      </w:r>
      <w:r w:rsidR="002356E3" w:rsidRPr="004724DC">
        <w:t>šīs k</w:t>
      </w:r>
      <w:r w:rsidR="00970CAF" w:rsidRPr="004724DC">
        <w:t xml:space="preserve">onvencijas pasākumi var atteikties uz tiesībām, kas saistītas ar bērna aprūpi un jo īpaši </w:t>
      </w:r>
      <w:r w:rsidR="005347D4">
        <w:t xml:space="preserve">uz </w:t>
      </w:r>
      <w:r w:rsidR="00970CAF" w:rsidRPr="004724DC">
        <w:t xml:space="preserve">tiesībām noteikt bērna dzīvesvietu. Savukārt </w:t>
      </w:r>
      <w:r w:rsidR="00D92613" w:rsidRPr="004724DC">
        <w:t>šīs konvencijas</w:t>
      </w:r>
      <w:r w:rsidR="00970CAF" w:rsidRPr="004724DC">
        <w:t xml:space="preserve"> 4.</w:t>
      </w:r>
      <w:r w:rsidR="00F135AB" w:rsidRPr="004724DC">
        <w:t> </w:t>
      </w:r>
      <w:r w:rsidR="00970CAF" w:rsidRPr="004724DC">
        <w:t xml:space="preserve">panta </w:t>
      </w:r>
      <w:r w:rsidR="00D92613" w:rsidRPr="004724DC">
        <w:t>„</w:t>
      </w:r>
      <w:r w:rsidR="00970CAF" w:rsidRPr="004724DC">
        <w:t>e</w:t>
      </w:r>
      <w:r w:rsidR="00D92613" w:rsidRPr="004724DC">
        <w:t>”</w:t>
      </w:r>
      <w:r w:rsidR="00F135AB" w:rsidRPr="004724DC">
        <w:t> </w:t>
      </w:r>
      <w:r w:rsidR="00970CAF" w:rsidRPr="004724DC">
        <w:t>apakšpunkts no</w:t>
      </w:r>
      <w:r w:rsidR="00FF6273" w:rsidRPr="004724DC">
        <w:t>teic</w:t>
      </w:r>
      <w:r w:rsidR="00970CAF" w:rsidRPr="004724DC">
        <w:t>, ka konvencija neattiecas uz pienākumu uzturēt</w:t>
      </w:r>
      <w:r w:rsidR="002356E3" w:rsidRPr="004724DC">
        <w:t xml:space="preserve"> bērnu</w:t>
      </w:r>
      <w:r w:rsidR="00970CAF" w:rsidRPr="004724DC">
        <w:t xml:space="preserve">. </w:t>
      </w:r>
    </w:p>
    <w:p w14:paraId="18CED8D0" w14:textId="35BE95F6" w:rsidR="00285B76" w:rsidRPr="004724DC" w:rsidRDefault="00970CAF" w:rsidP="0038293E">
      <w:pPr>
        <w:pStyle w:val="NormalWeb"/>
        <w:shd w:val="clear" w:color="auto" w:fill="FFFFFF"/>
        <w:spacing w:before="0" w:beforeAutospacing="0" w:after="0" w:afterAutospacing="0" w:line="276" w:lineRule="auto"/>
        <w:ind w:firstLine="709"/>
        <w:jc w:val="both"/>
      </w:pPr>
      <w:r w:rsidRPr="004724DC">
        <w:t>Līdz ar to</w:t>
      </w:r>
      <w:r w:rsidR="00D92613" w:rsidRPr="004724DC">
        <w:t xml:space="preserve"> 1996. gada 19. oktobra Konvencijas noteikumi piemērojami, nosakot jurisdikciju</w:t>
      </w:r>
      <w:r w:rsidR="00030750" w:rsidRPr="004724DC">
        <w:t xml:space="preserve"> un</w:t>
      </w:r>
      <w:r w:rsidR="00D92613" w:rsidRPr="004724DC">
        <w:t xml:space="preserve"> </w:t>
      </w:r>
      <w:r w:rsidR="00030750" w:rsidRPr="004724DC">
        <w:t xml:space="preserve">līgumslēdzēju valstu pasākumu atzīšanas un </w:t>
      </w:r>
      <w:r w:rsidR="002356E3" w:rsidRPr="004724DC">
        <w:t>izpildīšanas</w:t>
      </w:r>
      <w:r w:rsidR="002356E3" w:rsidRPr="004724DC" w:rsidDel="002356E3">
        <w:t xml:space="preserve"> </w:t>
      </w:r>
      <w:r w:rsidR="00030750" w:rsidRPr="004724DC">
        <w:t xml:space="preserve">nosacījumus </w:t>
      </w:r>
      <w:r w:rsidR="003E3662" w:rsidRPr="004724DC">
        <w:t>prasījumam</w:t>
      </w:r>
      <w:r w:rsidR="00D92613" w:rsidRPr="004724DC">
        <w:t xml:space="preserve"> par bērna dzīvesvietas noteikšanu</w:t>
      </w:r>
      <w:r w:rsidR="002356E3" w:rsidRPr="004724DC">
        <w:t>. S</w:t>
      </w:r>
      <w:r w:rsidR="00030750" w:rsidRPr="004724DC">
        <w:t>avukārt Civilprocesa likuma noteikumi</w:t>
      </w:r>
      <w:r w:rsidR="002356E3" w:rsidRPr="004724DC">
        <w:t xml:space="preserve">, kas regulē </w:t>
      </w:r>
      <w:r w:rsidR="00030750" w:rsidRPr="004724DC">
        <w:t>ārvalsts tiesas nolēmumu atzīšanu un izpildīšanu</w:t>
      </w:r>
      <w:r w:rsidR="002356E3" w:rsidRPr="004724DC">
        <w:t>, attiecībā uz</w:t>
      </w:r>
      <w:r w:rsidR="00001C39" w:rsidRPr="004724DC">
        <w:t xml:space="preserve"> šo prasījumu</w:t>
      </w:r>
      <w:r w:rsidR="00030750" w:rsidRPr="004724DC">
        <w:t xml:space="preserve"> piemērojami tiktāl, ciktāl tie nepieciešami šīs konvencijas procesuālai piemērošanai Latvijas Republikā. </w:t>
      </w:r>
    </w:p>
    <w:p w14:paraId="06DCCBC0" w14:textId="1FB3E746" w:rsidR="00A73BA2" w:rsidRPr="004724DC" w:rsidRDefault="00D51F34" w:rsidP="0038293E">
      <w:pPr>
        <w:pStyle w:val="NormalWeb"/>
        <w:shd w:val="clear" w:color="auto" w:fill="FFFFFF"/>
        <w:spacing w:before="0" w:beforeAutospacing="0" w:after="0" w:afterAutospacing="0" w:line="276" w:lineRule="auto"/>
        <w:ind w:firstLine="709"/>
        <w:jc w:val="both"/>
      </w:pPr>
      <w:r w:rsidRPr="004724DC">
        <w:t>[</w:t>
      </w:r>
      <w:r w:rsidR="00F1695B">
        <w:t>9</w:t>
      </w:r>
      <w:r w:rsidRPr="004724DC">
        <w:t>.2]</w:t>
      </w:r>
      <w:r w:rsidR="002356E3" w:rsidRPr="004724DC">
        <w:t> </w:t>
      </w:r>
      <w:r w:rsidR="00030750" w:rsidRPr="004724DC">
        <w:t>Turpretī</w:t>
      </w:r>
      <w:r w:rsidR="002356E3" w:rsidRPr="004724DC">
        <w:t>,</w:t>
      </w:r>
      <w:r w:rsidR="00A73BA2" w:rsidRPr="004724DC">
        <w:t xml:space="preserve"> </w:t>
      </w:r>
      <w:r w:rsidR="003F1D84" w:rsidRPr="004724DC">
        <w:t>ievērojot</w:t>
      </w:r>
      <w:r w:rsidR="002356E3" w:rsidRPr="004724DC">
        <w:t xml:space="preserve"> to</w:t>
      </w:r>
      <w:r w:rsidR="00893BFA" w:rsidRPr="004724DC">
        <w:t xml:space="preserve">, ka </w:t>
      </w:r>
      <w:r w:rsidR="00A73BA2" w:rsidRPr="004724DC">
        <w:t xml:space="preserve">prasījumi par laulības šķiršanu un uzturlīdzekļu </w:t>
      </w:r>
      <w:r w:rsidR="005A6BC0" w:rsidRPr="004724DC">
        <w:t xml:space="preserve">piedziņu </w:t>
      </w:r>
      <w:r w:rsidR="00A73BA2" w:rsidRPr="004724DC">
        <w:t xml:space="preserve">ir ārpus </w:t>
      </w:r>
      <w:r w:rsidR="00893BFA" w:rsidRPr="004724DC">
        <w:t xml:space="preserve">1996. gada 19. oktobra Konvencijas </w:t>
      </w:r>
      <w:proofErr w:type="spellStart"/>
      <w:r w:rsidR="00A73BA2" w:rsidRPr="004724DC">
        <w:t>materiāltiesiskā</w:t>
      </w:r>
      <w:proofErr w:type="spellEnd"/>
      <w:r w:rsidR="00A73BA2" w:rsidRPr="004724DC">
        <w:t xml:space="preserve"> tvēruma</w:t>
      </w:r>
      <w:r w:rsidR="00030750" w:rsidRPr="004724DC">
        <w:t xml:space="preserve">, </w:t>
      </w:r>
      <w:r w:rsidR="002356E3" w:rsidRPr="004724DC">
        <w:t xml:space="preserve">šī konvencija </w:t>
      </w:r>
      <w:r w:rsidR="007767F7" w:rsidRPr="004724DC">
        <w:t>nav piemērojama</w:t>
      </w:r>
      <w:r w:rsidR="00893BFA" w:rsidRPr="004724DC">
        <w:t xml:space="preserve"> jautājumā par ārvalsts tiesas sprieduma par laulības šķiršanu vai uzturlīdzekļu maksāšanas pienākuma noteikšanu</w:t>
      </w:r>
      <w:r w:rsidR="002356E3" w:rsidRPr="004724DC">
        <w:t xml:space="preserve"> atzīšanu un izpildīšanu</w:t>
      </w:r>
      <w:r w:rsidR="00030750" w:rsidRPr="004724DC">
        <w:t>.</w:t>
      </w:r>
    </w:p>
    <w:p w14:paraId="61682091" w14:textId="091EA4B8" w:rsidR="00F1695B" w:rsidRDefault="00F1695B" w:rsidP="0038293E">
      <w:pPr>
        <w:pStyle w:val="NormalWeb"/>
        <w:shd w:val="clear" w:color="auto" w:fill="FFFFFF"/>
        <w:spacing w:before="0" w:beforeAutospacing="0" w:after="0" w:afterAutospacing="0" w:line="276" w:lineRule="auto"/>
        <w:ind w:firstLine="709"/>
        <w:jc w:val="both"/>
        <w:rPr>
          <w:i/>
          <w:iCs/>
        </w:rPr>
      </w:pPr>
    </w:p>
    <w:p w14:paraId="59D1B866" w14:textId="78A34BC1" w:rsid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Iesniegtā sprieduma prasījumā par bērna dzīvesvietas noteikšanu vērtējums</w:t>
      </w:r>
    </w:p>
    <w:p w14:paraId="586BA470" w14:textId="11C2CE10" w:rsidR="00420F6E" w:rsidRPr="004724DC" w:rsidRDefault="007E4E70" w:rsidP="0038293E">
      <w:pPr>
        <w:pStyle w:val="NormalWeb"/>
        <w:shd w:val="clear" w:color="auto" w:fill="FFFFFF"/>
        <w:spacing w:before="0" w:beforeAutospacing="0" w:after="0" w:afterAutospacing="0" w:line="276" w:lineRule="auto"/>
        <w:ind w:firstLine="709"/>
        <w:jc w:val="both"/>
      </w:pPr>
      <w:r w:rsidRPr="004724DC">
        <w:t>[</w:t>
      </w:r>
      <w:r w:rsidR="00F1695B">
        <w:t>10</w:t>
      </w:r>
      <w:r w:rsidRPr="004724DC">
        <w:t>] </w:t>
      </w:r>
      <w:bookmarkStart w:id="7" w:name="_Hlk210736923"/>
      <w:r w:rsidR="009519B6" w:rsidRPr="004724DC">
        <w:t xml:space="preserve">1996. gada 19. oktobra Konvencijas 23. pants paredz līgumslēdzēju valstu pasākumu atzīšanas un </w:t>
      </w:r>
      <w:r w:rsidR="002356E3" w:rsidRPr="004724DC">
        <w:t xml:space="preserve">izpildīšanas </w:t>
      </w:r>
      <w:r w:rsidR="009519B6" w:rsidRPr="004724DC">
        <w:t>nosacījumus, un š</w:t>
      </w:r>
      <w:r w:rsidR="005010D8" w:rsidRPr="004724DC">
        <w:t>ā</w:t>
      </w:r>
      <w:r w:rsidR="009519B6" w:rsidRPr="004724DC">
        <w:t xml:space="preserve"> panta 2. punkta „a”</w:t>
      </w:r>
      <w:r w:rsidR="00001C39" w:rsidRPr="004724DC">
        <w:t>, „c”</w:t>
      </w:r>
      <w:r w:rsidR="009519B6" w:rsidRPr="004724DC">
        <w:t xml:space="preserve"> un „d” apakšpunkt</w:t>
      </w:r>
      <w:r w:rsidR="005347D4">
        <w:t>ā</w:t>
      </w:r>
      <w:r w:rsidR="009519B6" w:rsidRPr="004724DC">
        <w:t xml:space="preserve"> noteikts, ka no attiecīgā pasākuma atzīšanas var atteikties</w:t>
      </w:r>
      <w:r w:rsidR="002356E3" w:rsidRPr="004724DC">
        <w:t>, proti</w:t>
      </w:r>
      <w:r w:rsidR="009519B6" w:rsidRPr="004724DC">
        <w:t xml:space="preserve">: </w:t>
      </w:r>
      <w:r w:rsidR="00001C39" w:rsidRPr="004724DC">
        <w:t xml:space="preserve">„a” – </w:t>
      </w:r>
      <w:r w:rsidR="009519B6" w:rsidRPr="004724DC">
        <w:lastRenderedPageBreak/>
        <w:t xml:space="preserve">ja pasākumu veikusi iestāde, kuras jurisdikciju nenosaka kāds no 1996. gada 19. oktobra Konvencijas II nodaļā paredzētajiem pamatojumiem; </w:t>
      </w:r>
      <w:r w:rsidR="00001C39" w:rsidRPr="004724DC">
        <w:t xml:space="preserve">„c” – pēc kādas personas lūguma, kura apgalvo, ka pasākums aizskar tās vecāku atbildību, un ja pasākums, izņemot steidzamības gadījumus, veikts, nedodot šai personai iespēju tikt uzklausītai; „d” – </w:t>
      </w:r>
      <w:r w:rsidR="009519B6" w:rsidRPr="004724DC">
        <w:t>ja šāda atzīšana viennozīmīgi ir pretrunā ar lūguma saņēmējas valsts sabiedrisko kārtību, ņemot vērā bērna intereses.</w:t>
      </w:r>
    </w:p>
    <w:p w14:paraId="2A91C113" w14:textId="58A187C0" w:rsidR="00C6624E" w:rsidRPr="004724DC" w:rsidRDefault="003F1D84" w:rsidP="0038293E">
      <w:pPr>
        <w:pStyle w:val="NormalWeb"/>
        <w:shd w:val="clear" w:color="auto" w:fill="FFFFFF"/>
        <w:spacing w:before="0" w:beforeAutospacing="0" w:after="0" w:afterAutospacing="0" w:line="276" w:lineRule="auto"/>
        <w:ind w:firstLine="709"/>
        <w:jc w:val="both"/>
      </w:pPr>
      <w:bookmarkStart w:id="8" w:name="_Hlk210737427"/>
      <w:bookmarkEnd w:id="7"/>
      <w:r w:rsidRPr="004724DC">
        <w:t>Tātad</w:t>
      </w:r>
      <w:r w:rsidR="00892B19" w:rsidRPr="004724DC">
        <w:t xml:space="preserve"> </w:t>
      </w:r>
      <w:r w:rsidRPr="004724DC">
        <w:t xml:space="preserve">pamatoti ir vērtēt, </w:t>
      </w:r>
      <w:r w:rsidR="007E4E70" w:rsidRPr="004724DC">
        <w:t xml:space="preserve">vai </w:t>
      </w:r>
      <w:r w:rsidR="00F1695B">
        <w:t>nav konstatējami</w:t>
      </w:r>
      <w:r w:rsidR="00892B19" w:rsidRPr="004724DC">
        <w:t xml:space="preserve"> </w:t>
      </w:r>
      <w:r w:rsidR="007E4E70" w:rsidRPr="004724DC">
        <w:t xml:space="preserve">1996. gada 19. oktobra Konvencijas </w:t>
      </w:r>
      <w:r w:rsidR="00892B19" w:rsidRPr="004724DC">
        <w:t>23. panta 2.</w:t>
      </w:r>
      <w:r w:rsidR="005347D4">
        <w:t> </w:t>
      </w:r>
      <w:r w:rsidR="00892B19" w:rsidRPr="004724DC">
        <w:t xml:space="preserve">punkta </w:t>
      </w:r>
      <w:r w:rsidR="002E4E01" w:rsidRPr="004724DC">
        <w:t>„a”, „c” un „d” apakšpunkt</w:t>
      </w:r>
      <w:r w:rsidR="005347D4">
        <w:t>ā</w:t>
      </w:r>
      <w:r w:rsidR="002E4E01" w:rsidRPr="004724DC">
        <w:t xml:space="preserve"> noteikt</w:t>
      </w:r>
      <w:r w:rsidR="00EC677E" w:rsidRPr="004724DC">
        <w:t xml:space="preserve">ie pamati atteikt atzīt un izpildīt Krievijas Federācijas </w:t>
      </w:r>
      <w:r w:rsidR="008442CC">
        <w:t>[..]</w:t>
      </w:r>
      <w:r w:rsidR="00EC677E" w:rsidRPr="004724DC">
        <w:t xml:space="preserve"> rajona tiesas 2023. gada</w:t>
      </w:r>
      <w:r w:rsidR="00986F57">
        <w:t xml:space="preserve"> 23. janvāra </w:t>
      </w:r>
      <w:r w:rsidR="00EC677E" w:rsidRPr="004724DC">
        <w:t>spriedumu Latvijas Republikā</w:t>
      </w:r>
      <w:r w:rsidR="00F1695B">
        <w:t xml:space="preserve"> attiecībā uz bērna dzīvesvietas noteikšanu</w:t>
      </w:r>
      <w:r w:rsidR="002E4E01" w:rsidRPr="004724DC">
        <w:t xml:space="preserve">. </w:t>
      </w:r>
    </w:p>
    <w:bookmarkEnd w:id="8"/>
    <w:p w14:paraId="281CDAA6" w14:textId="77777777" w:rsidR="00CF60AB" w:rsidRDefault="00CF60AB" w:rsidP="0038293E">
      <w:pPr>
        <w:pStyle w:val="NormalWeb"/>
        <w:shd w:val="clear" w:color="auto" w:fill="FFFFFF"/>
        <w:spacing w:before="0" w:beforeAutospacing="0" w:after="0" w:afterAutospacing="0" w:line="276" w:lineRule="auto"/>
        <w:ind w:firstLine="709"/>
      </w:pPr>
    </w:p>
    <w:p w14:paraId="5D49B558" w14:textId="75FCE40C"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Izdevējvalsts jurisdikcijas pārbaude</w:t>
      </w:r>
    </w:p>
    <w:p w14:paraId="539E7E85" w14:textId="600DD4C1" w:rsidR="00A70B19" w:rsidRPr="004724DC" w:rsidRDefault="00D0102A" w:rsidP="0038293E">
      <w:pPr>
        <w:pStyle w:val="NormalWeb"/>
        <w:shd w:val="clear" w:color="auto" w:fill="FFFFFF"/>
        <w:spacing w:before="0" w:beforeAutospacing="0" w:after="0" w:afterAutospacing="0" w:line="276" w:lineRule="auto"/>
        <w:ind w:firstLine="709"/>
        <w:jc w:val="both"/>
      </w:pPr>
      <w:r w:rsidRPr="004724DC">
        <w:t>[</w:t>
      </w:r>
      <w:r w:rsidR="004C5867">
        <w:t>11</w:t>
      </w:r>
      <w:r w:rsidRPr="004724DC">
        <w:t>]</w:t>
      </w:r>
      <w:r w:rsidR="001D3B23" w:rsidRPr="004724DC">
        <w:t> </w:t>
      </w:r>
      <w:r w:rsidR="00A70B19" w:rsidRPr="004724DC">
        <w:t>1996. gada 19. oktobra Konvencijas 23. panta 2. punkta „a” apakšpunkts paredz, ka var atteikt atzīt un izpildīt ārvalsts tiesas nolēmumu, ja aizsardzības pasākumu veikusi līgumslēdzēja valsts, kuras jurisdikciju nenosaka kāds no šīs konvencijas 5. līdz 14.</w:t>
      </w:r>
      <w:r w:rsidR="002356E3" w:rsidRPr="004724DC">
        <w:t> </w:t>
      </w:r>
      <w:r w:rsidR="00A70B19" w:rsidRPr="004724DC">
        <w:t xml:space="preserve">pantā paredzētajiem pamatojumiem. Paskaidrojošajā materiālā par šo konvencijas pantu ir skaidrots, ka </w:t>
      </w:r>
      <w:proofErr w:type="spellStart"/>
      <w:r w:rsidR="00A70B19" w:rsidRPr="004724DC">
        <w:t>atzinējvalstij</w:t>
      </w:r>
      <w:proofErr w:type="spellEnd"/>
      <w:r w:rsidR="00A70B19" w:rsidRPr="004724DC">
        <w:t xml:space="preserve"> ir kompetence pārbaudīt izdevējvalsts tiesas jurisdikciju atzīšanas nolūkā, tomēr šajā pārbaudē </w:t>
      </w:r>
      <w:proofErr w:type="spellStart"/>
      <w:r w:rsidR="00A70B19" w:rsidRPr="004724DC">
        <w:t>atzinējvalstij</w:t>
      </w:r>
      <w:proofErr w:type="spellEnd"/>
      <w:r w:rsidR="00A70B19" w:rsidRPr="004724DC">
        <w:t xml:space="preserve"> ir saistoši fakti, ar kuriem izdevējvalsts tiesa</w:t>
      </w:r>
      <w:r w:rsidR="0059418C" w:rsidRPr="004724DC">
        <w:t xml:space="preserve"> ir</w:t>
      </w:r>
      <w:r w:rsidR="00A70B19" w:rsidRPr="004724DC">
        <w:t xml:space="preserve"> pamatoj</w:t>
      </w:r>
      <w:r w:rsidR="0059418C" w:rsidRPr="004724DC">
        <w:t>usi</w:t>
      </w:r>
      <w:r w:rsidR="00A70B19" w:rsidRPr="004724DC">
        <w:t xml:space="preserve"> savu jurisdikciju (sk.</w:t>
      </w:r>
      <w:r w:rsidR="00A70B19" w:rsidRPr="004724DC">
        <w:rPr>
          <w:rFonts w:eastAsiaTheme="minorHAnsi"/>
          <w:kern w:val="2"/>
          <w:lang w:eastAsia="en-US"/>
          <w14:ligatures w14:val="standardContextual"/>
        </w:rPr>
        <w:t xml:space="preserve"> </w:t>
      </w:r>
      <w:proofErr w:type="spellStart"/>
      <w:r w:rsidR="00A70B19" w:rsidRPr="004724DC">
        <w:rPr>
          <w:i/>
          <w:iCs/>
        </w:rPr>
        <w:t>Lagarde</w:t>
      </w:r>
      <w:proofErr w:type="spellEnd"/>
      <w:r w:rsidR="00A70B19" w:rsidRPr="004724DC">
        <w:rPr>
          <w:i/>
          <w:iCs/>
        </w:rPr>
        <w:t xml:space="preserve"> P. </w:t>
      </w:r>
      <w:hyperlink r:id="rId8" w:history="1">
        <w:proofErr w:type="spellStart"/>
        <w:r w:rsidR="00A70B19" w:rsidRPr="004724DC">
          <w:rPr>
            <w:rStyle w:val="Hyperlink"/>
            <w:i/>
            <w:iCs/>
          </w:rPr>
          <w:t>Explanatory</w:t>
        </w:r>
        <w:proofErr w:type="spellEnd"/>
        <w:r w:rsidR="00A70B19" w:rsidRPr="004724DC">
          <w:rPr>
            <w:rStyle w:val="Hyperlink"/>
            <w:i/>
            <w:iCs/>
          </w:rPr>
          <w:t xml:space="preserve"> </w:t>
        </w:r>
        <w:proofErr w:type="spellStart"/>
        <w:r w:rsidR="00A70B19" w:rsidRPr="004724DC">
          <w:rPr>
            <w:rStyle w:val="Hyperlink"/>
            <w:i/>
            <w:iCs/>
          </w:rPr>
          <w:t>Report</w:t>
        </w:r>
        <w:proofErr w:type="spellEnd"/>
      </w:hyperlink>
      <w:r w:rsidR="00A70B19" w:rsidRPr="004724DC">
        <w:rPr>
          <w:i/>
          <w:iCs/>
        </w:rPr>
        <w:t xml:space="preserve"> </w:t>
      </w:r>
      <w:proofErr w:type="spellStart"/>
      <w:r w:rsidR="00A70B19" w:rsidRPr="004724DC">
        <w:rPr>
          <w:i/>
          <w:iCs/>
        </w:rPr>
        <w:t>on</w:t>
      </w:r>
      <w:proofErr w:type="spellEnd"/>
      <w:r w:rsidR="00A70B19" w:rsidRPr="004724DC">
        <w:rPr>
          <w:i/>
          <w:iCs/>
        </w:rPr>
        <w:t xml:space="preserve"> </w:t>
      </w:r>
      <w:proofErr w:type="spellStart"/>
      <w:r w:rsidR="00A70B19" w:rsidRPr="004724DC">
        <w:rPr>
          <w:i/>
          <w:iCs/>
        </w:rPr>
        <w:t>the</w:t>
      </w:r>
      <w:proofErr w:type="spellEnd"/>
      <w:r w:rsidR="00A70B19" w:rsidRPr="004724DC">
        <w:rPr>
          <w:i/>
          <w:iCs/>
        </w:rPr>
        <w:t xml:space="preserve"> </w:t>
      </w:r>
      <w:proofErr w:type="spellStart"/>
      <w:r w:rsidR="00A70B19" w:rsidRPr="004724DC">
        <w:rPr>
          <w:i/>
          <w:iCs/>
        </w:rPr>
        <w:t>Convention</w:t>
      </w:r>
      <w:proofErr w:type="spellEnd"/>
      <w:r w:rsidR="00A70B19" w:rsidRPr="004724DC">
        <w:rPr>
          <w:i/>
          <w:iCs/>
        </w:rPr>
        <w:t xml:space="preserve"> </w:t>
      </w:r>
      <w:proofErr w:type="spellStart"/>
      <w:r w:rsidR="00A70B19" w:rsidRPr="004724DC">
        <w:rPr>
          <w:i/>
          <w:iCs/>
        </w:rPr>
        <w:t>of</w:t>
      </w:r>
      <w:proofErr w:type="spellEnd"/>
      <w:r w:rsidR="00A70B19" w:rsidRPr="004724DC">
        <w:rPr>
          <w:i/>
          <w:iCs/>
        </w:rPr>
        <w:t xml:space="preserve"> 19</w:t>
      </w:r>
      <w:r w:rsidR="0059418C" w:rsidRPr="004724DC">
        <w:rPr>
          <w:i/>
          <w:iCs/>
        </w:rPr>
        <w:t> </w:t>
      </w:r>
      <w:proofErr w:type="spellStart"/>
      <w:r w:rsidR="00A70B19" w:rsidRPr="004724DC">
        <w:rPr>
          <w:i/>
          <w:iCs/>
        </w:rPr>
        <w:t>October</w:t>
      </w:r>
      <w:proofErr w:type="spellEnd"/>
      <w:r w:rsidR="00A70B19" w:rsidRPr="004724DC">
        <w:rPr>
          <w:i/>
          <w:iCs/>
        </w:rPr>
        <w:t xml:space="preserve"> 1996 </w:t>
      </w:r>
      <w:proofErr w:type="spellStart"/>
      <w:r w:rsidR="00A70B19" w:rsidRPr="004724DC">
        <w:rPr>
          <w:i/>
          <w:iCs/>
        </w:rPr>
        <w:t>on</w:t>
      </w:r>
      <w:proofErr w:type="spellEnd"/>
      <w:r w:rsidR="00A70B19" w:rsidRPr="004724DC">
        <w:rPr>
          <w:i/>
          <w:iCs/>
        </w:rPr>
        <w:t xml:space="preserve"> </w:t>
      </w:r>
      <w:proofErr w:type="spellStart"/>
      <w:r w:rsidR="00A70B19" w:rsidRPr="004724DC">
        <w:rPr>
          <w:i/>
          <w:iCs/>
        </w:rPr>
        <w:t>Jurisdiction</w:t>
      </w:r>
      <w:proofErr w:type="spellEnd"/>
      <w:r w:rsidR="00A70B19" w:rsidRPr="004724DC">
        <w:rPr>
          <w:i/>
          <w:iCs/>
        </w:rPr>
        <w:t xml:space="preserve">, </w:t>
      </w:r>
      <w:proofErr w:type="spellStart"/>
      <w:r w:rsidR="00A70B19" w:rsidRPr="004724DC">
        <w:rPr>
          <w:i/>
          <w:iCs/>
        </w:rPr>
        <w:t>Applicable</w:t>
      </w:r>
      <w:proofErr w:type="spellEnd"/>
      <w:r w:rsidR="00A70B19" w:rsidRPr="004724DC">
        <w:rPr>
          <w:i/>
          <w:iCs/>
        </w:rPr>
        <w:t xml:space="preserve"> </w:t>
      </w:r>
      <w:proofErr w:type="spellStart"/>
      <w:r w:rsidR="00A70B19" w:rsidRPr="004724DC">
        <w:rPr>
          <w:i/>
          <w:iCs/>
        </w:rPr>
        <w:t>Law</w:t>
      </w:r>
      <w:proofErr w:type="spellEnd"/>
      <w:r w:rsidR="00A70B19" w:rsidRPr="004724DC">
        <w:rPr>
          <w:i/>
          <w:iCs/>
        </w:rPr>
        <w:t xml:space="preserve">, </w:t>
      </w:r>
      <w:proofErr w:type="spellStart"/>
      <w:r w:rsidR="00A70B19" w:rsidRPr="004724DC">
        <w:rPr>
          <w:i/>
          <w:iCs/>
        </w:rPr>
        <w:t>Recognition</w:t>
      </w:r>
      <w:proofErr w:type="spellEnd"/>
      <w:r w:rsidR="00A70B19" w:rsidRPr="004724DC">
        <w:rPr>
          <w:i/>
          <w:iCs/>
        </w:rPr>
        <w:t xml:space="preserve">, </w:t>
      </w:r>
      <w:proofErr w:type="spellStart"/>
      <w:r w:rsidR="00A70B19" w:rsidRPr="004724DC">
        <w:rPr>
          <w:i/>
          <w:iCs/>
        </w:rPr>
        <w:t>Enforcement</w:t>
      </w:r>
      <w:proofErr w:type="spellEnd"/>
      <w:r w:rsidR="00A70B19" w:rsidRPr="004724DC">
        <w:rPr>
          <w:i/>
          <w:iCs/>
        </w:rPr>
        <w:t xml:space="preserve"> </w:t>
      </w:r>
      <w:proofErr w:type="spellStart"/>
      <w:r w:rsidR="00A70B19" w:rsidRPr="004724DC">
        <w:rPr>
          <w:i/>
          <w:iCs/>
        </w:rPr>
        <w:t>and</w:t>
      </w:r>
      <w:proofErr w:type="spellEnd"/>
      <w:r w:rsidR="00A70B19" w:rsidRPr="004724DC">
        <w:rPr>
          <w:i/>
          <w:iCs/>
        </w:rPr>
        <w:t xml:space="preserve"> </w:t>
      </w:r>
      <w:proofErr w:type="spellStart"/>
      <w:r w:rsidR="00A70B19" w:rsidRPr="004724DC">
        <w:rPr>
          <w:i/>
          <w:iCs/>
        </w:rPr>
        <w:t>Co-operation</w:t>
      </w:r>
      <w:proofErr w:type="spellEnd"/>
      <w:r w:rsidR="00A70B19" w:rsidRPr="004724DC">
        <w:rPr>
          <w:i/>
          <w:iCs/>
        </w:rPr>
        <w:t xml:space="preserve"> </w:t>
      </w:r>
      <w:proofErr w:type="spellStart"/>
      <w:r w:rsidR="00A70B19" w:rsidRPr="004724DC">
        <w:rPr>
          <w:i/>
          <w:iCs/>
        </w:rPr>
        <w:t>in</w:t>
      </w:r>
      <w:proofErr w:type="spellEnd"/>
      <w:r w:rsidR="00A70B19" w:rsidRPr="004724DC">
        <w:rPr>
          <w:i/>
          <w:iCs/>
        </w:rPr>
        <w:t xml:space="preserve"> </w:t>
      </w:r>
      <w:proofErr w:type="spellStart"/>
      <w:r w:rsidR="00A70B19" w:rsidRPr="004724DC">
        <w:rPr>
          <w:i/>
          <w:iCs/>
        </w:rPr>
        <w:t>Respect</w:t>
      </w:r>
      <w:proofErr w:type="spellEnd"/>
      <w:r w:rsidR="00A70B19" w:rsidRPr="004724DC">
        <w:rPr>
          <w:i/>
          <w:iCs/>
        </w:rPr>
        <w:t xml:space="preserve"> </w:t>
      </w:r>
      <w:proofErr w:type="spellStart"/>
      <w:r w:rsidR="00A70B19" w:rsidRPr="004724DC">
        <w:rPr>
          <w:i/>
          <w:iCs/>
        </w:rPr>
        <w:t>of</w:t>
      </w:r>
      <w:proofErr w:type="spellEnd"/>
      <w:r w:rsidR="00A70B19" w:rsidRPr="004724DC">
        <w:rPr>
          <w:i/>
          <w:iCs/>
        </w:rPr>
        <w:t xml:space="preserve"> </w:t>
      </w:r>
      <w:proofErr w:type="spellStart"/>
      <w:r w:rsidR="00A70B19" w:rsidRPr="004724DC">
        <w:rPr>
          <w:i/>
          <w:iCs/>
        </w:rPr>
        <w:t>Parental</w:t>
      </w:r>
      <w:proofErr w:type="spellEnd"/>
      <w:r w:rsidR="00A70B19" w:rsidRPr="004724DC">
        <w:rPr>
          <w:i/>
          <w:iCs/>
        </w:rPr>
        <w:t xml:space="preserve"> </w:t>
      </w:r>
      <w:proofErr w:type="spellStart"/>
      <w:r w:rsidR="00A70B19" w:rsidRPr="004724DC">
        <w:rPr>
          <w:i/>
          <w:iCs/>
        </w:rPr>
        <w:t>Responsibility</w:t>
      </w:r>
      <w:proofErr w:type="spellEnd"/>
      <w:r w:rsidR="00A70B19" w:rsidRPr="004724DC">
        <w:rPr>
          <w:i/>
          <w:iCs/>
        </w:rPr>
        <w:t xml:space="preserve"> </w:t>
      </w:r>
      <w:proofErr w:type="spellStart"/>
      <w:r w:rsidR="00A70B19" w:rsidRPr="004724DC">
        <w:rPr>
          <w:i/>
          <w:iCs/>
        </w:rPr>
        <w:t>and</w:t>
      </w:r>
      <w:proofErr w:type="spellEnd"/>
      <w:r w:rsidR="00A70B19" w:rsidRPr="004724DC">
        <w:rPr>
          <w:i/>
          <w:iCs/>
        </w:rPr>
        <w:t xml:space="preserve"> </w:t>
      </w:r>
      <w:proofErr w:type="spellStart"/>
      <w:r w:rsidR="00A70B19" w:rsidRPr="004724DC">
        <w:rPr>
          <w:i/>
          <w:iCs/>
        </w:rPr>
        <w:t>Measures</w:t>
      </w:r>
      <w:proofErr w:type="spellEnd"/>
      <w:r w:rsidR="00A70B19" w:rsidRPr="004724DC">
        <w:rPr>
          <w:i/>
          <w:iCs/>
        </w:rPr>
        <w:t xml:space="preserve"> </w:t>
      </w:r>
      <w:proofErr w:type="spellStart"/>
      <w:r w:rsidR="00A70B19" w:rsidRPr="004724DC">
        <w:rPr>
          <w:i/>
          <w:iCs/>
        </w:rPr>
        <w:t>for</w:t>
      </w:r>
      <w:proofErr w:type="spellEnd"/>
      <w:r w:rsidR="00A70B19" w:rsidRPr="004724DC">
        <w:rPr>
          <w:i/>
          <w:iCs/>
        </w:rPr>
        <w:t xml:space="preserve"> </w:t>
      </w:r>
      <w:proofErr w:type="spellStart"/>
      <w:r w:rsidR="00A70B19" w:rsidRPr="004724DC">
        <w:rPr>
          <w:i/>
          <w:iCs/>
        </w:rPr>
        <w:t>the</w:t>
      </w:r>
      <w:proofErr w:type="spellEnd"/>
      <w:r w:rsidR="00A70B19" w:rsidRPr="004724DC">
        <w:rPr>
          <w:i/>
          <w:iCs/>
        </w:rPr>
        <w:t xml:space="preserve"> </w:t>
      </w:r>
      <w:proofErr w:type="spellStart"/>
      <w:r w:rsidR="00A70B19" w:rsidRPr="004724DC">
        <w:rPr>
          <w:i/>
          <w:iCs/>
        </w:rPr>
        <w:t>Protection</w:t>
      </w:r>
      <w:proofErr w:type="spellEnd"/>
      <w:r w:rsidR="00A70B19" w:rsidRPr="004724DC">
        <w:rPr>
          <w:i/>
          <w:iCs/>
        </w:rPr>
        <w:t xml:space="preserve"> </w:t>
      </w:r>
      <w:proofErr w:type="spellStart"/>
      <w:r w:rsidR="00A70B19" w:rsidRPr="004724DC">
        <w:rPr>
          <w:i/>
          <w:iCs/>
        </w:rPr>
        <w:t>of</w:t>
      </w:r>
      <w:proofErr w:type="spellEnd"/>
      <w:r w:rsidR="00A70B19" w:rsidRPr="004724DC">
        <w:rPr>
          <w:i/>
          <w:iCs/>
        </w:rPr>
        <w:t xml:space="preserve"> </w:t>
      </w:r>
      <w:proofErr w:type="spellStart"/>
      <w:r w:rsidR="00A70B19" w:rsidRPr="004724DC">
        <w:rPr>
          <w:i/>
          <w:iCs/>
        </w:rPr>
        <w:t>Children</w:t>
      </w:r>
      <w:proofErr w:type="spellEnd"/>
      <w:r w:rsidR="00A70B19" w:rsidRPr="004724DC">
        <w:rPr>
          <w:i/>
          <w:iCs/>
        </w:rPr>
        <w:t xml:space="preserve">. </w:t>
      </w:r>
      <w:proofErr w:type="spellStart"/>
      <w:r w:rsidR="00A70B19" w:rsidRPr="004724DC">
        <w:rPr>
          <w:i/>
          <w:iCs/>
        </w:rPr>
        <w:t>Hague</w:t>
      </w:r>
      <w:proofErr w:type="spellEnd"/>
      <w:r w:rsidR="00A70B19" w:rsidRPr="004724DC">
        <w:rPr>
          <w:i/>
          <w:iCs/>
        </w:rPr>
        <w:t xml:space="preserve"> </w:t>
      </w:r>
      <w:proofErr w:type="spellStart"/>
      <w:r w:rsidR="00A70B19" w:rsidRPr="004724DC">
        <w:rPr>
          <w:i/>
          <w:iCs/>
        </w:rPr>
        <w:t>Conference</w:t>
      </w:r>
      <w:proofErr w:type="spellEnd"/>
      <w:r w:rsidR="00A70B19" w:rsidRPr="004724DC">
        <w:rPr>
          <w:i/>
          <w:iCs/>
        </w:rPr>
        <w:t xml:space="preserve"> </w:t>
      </w:r>
      <w:proofErr w:type="spellStart"/>
      <w:r w:rsidR="00A70B19" w:rsidRPr="004724DC">
        <w:rPr>
          <w:i/>
          <w:iCs/>
        </w:rPr>
        <w:t>on</w:t>
      </w:r>
      <w:proofErr w:type="spellEnd"/>
      <w:r w:rsidR="00A70B19" w:rsidRPr="004724DC">
        <w:rPr>
          <w:i/>
          <w:iCs/>
        </w:rPr>
        <w:t xml:space="preserve"> </w:t>
      </w:r>
      <w:proofErr w:type="spellStart"/>
      <w:r w:rsidR="00A70B19" w:rsidRPr="004724DC">
        <w:rPr>
          <w:i/>
          <w:iCs/>
        </w:rPr>
        <w:t>Private</w:t>
      </w:r>
      <w:proofErr w:type="spellEnd"/>
      <w:r w:rsidR="00A70B19" w:rsidRPr="004724DC">
        <w:rPr>
          <w:i/>
          <w:iCs/>
        </w:rPr>
        <w:t xml:space="preserve"> </w:t>
      </w:r>
      <w:proofErr w:type="spellStart"/>
      <w:r w:rsidR="00A70B19" w:rsidRPr="004724DC">
        <w:rPr>
          <w:i/>
          <w:iCs/>
        </w:rPr>
        <w:t>International</w:t>
      </w:r>
      <w:proofErr w:type="spellEnd"/>
      <w:r w:rsidR="00A70B19" w:rsidRPr="004724DC">
        <w:rPr>
          <w:i/>
          <w:iCs/>
        </w:rPr>
        <w:t xml:space="preserve"> </w:t>
      </w:r>
      <w:proofErr w:type="spellStart"/>
      <w:r w:rsidR="00A70B19" w:rsidRPr="004724DC">
        <w:rPr>
          <w:i/>
          <w:iCs/>
        </w:rPr>
        <w:t>Law</w:t>
      </w:r>
      <w:proofErr w:type="spellEnd"/>
      <w:r w:rsidR="00A70B19" w:rsidRPr="004724DC">
        <w:rPr>
          <w:i/>
          <w:iCs/>
        </w:rPr>
        <w:t>, 199</w:t>
      </w:r>
      <w:r w:rsidR="004C5867">
        <w:rPr>
          <w:i/>
          <w:iCs/>
        </w:rPr>
        <w:t>7</w:t>
      </w:r>
      <w:r w:rsidR="00A70B19" w:rsidRPr="004724DC">
        <w:rPr>
          <w:i/>
          <w:iCs/>
        </w:rPr>
        <w:t xml:space="preserve">, </w:t>
      </w:r>
      <w:proofErr w:type="spellStart"/>
      <w:r w:rsidR="00A70B19" w:rsidRPr="004724DC">
        <w:rPr>
          <w:i/>
          <w:iCs/>
        </w:rPr>
        <w:t>para</w:t>
      </w:r>
      <w:proofErr w:type="spellEnd"/>
      <w:r w:rsidR="005347D4">
        <w:rPr>
          <w:i/>
          <w:iCs/>
        </w:rPr>
        <w:t> </w:t>
      </w:r>
      <w:r w:rsidR="00A70B19" w:rsidRPr="004724DC">
        <w:rPr>
          <w:i/>
          <w:iCs/>
        </w:rPr>
        <w:t>122</w:t>
      </w:r>
      <w:r w:rsidR="00A70B19" w:rsidRPr="004724DC">
        <w:t>).</w:t>
      </w:r>
    </w:p>
    <w:p w14:paraId="079791C7" w14:textId="0BE6CCAB" w:rsidR="007E4E70" w:rsidRPr="00AC6A71" w:rsidRDefault="00C6624E" w:rsidP="0038293E">
      <w:pPr>
        <w:pStyle w:val="NormalWeb"/>
        <w:shd w:val="clear" w:color="auto" w:fill="FFFFFF"/>
        <w:spacing w:before="0" w:beforeAutospacing="0" w:after="0" w:afterAutospacing="0" w:line="276" w:lineRule="auto"/>
        <w:ind w:firstLine="709"/>
        <w:jc w:val="both"/>
      </w:pPr>
      <w:r w:rsidRPr="004724DC">
        <w:t>S</w:t>
      </w:r>
      <w:r w:rsidR="007E4E70" w:rsidRPr="004724DC">
        <w:t>askaņā ar 1996. gada 19. oktobra Konvencijas 5.</w:t>
      </w:r>
      <w:r w:rsidR="00A35F22" w:rsidRPr="004724DC">
        <w:t> </w:t>
      </w:r>
      <w:r w:rsidR="007E4E70" w:rsidRPr="004724DC">
        <w:t>pant</w:t>
      </w:r>
      <w:r w:rsidRPr="004724DC">
        <w:t xml:space="preserve">a </w:t>
      </w:r>
      <w:r w:rsidR="007E4E70" w:rsidRPr="004724DC">
        <w:t>pirm</w:t>
      </w:r>
      <w:r w:rsidRPr="004724DC">
        <w:t>o</w:t>
      </w:r>
      <w:r w:rsidR="007E4E70" w:rsidRPr="004724DC">
        <w:t xml:space="preserve"> daļ</w:t>
      </w:r>
      <w:r w:rsidRPr="004724DC">
        <w:t xml:space="preserve">u </w:t>
      </w:r>
      <w:r w:rsidR="007E4E70" w:rsidRPr="004724DC">
        <w:t xml:space="preserve">bērna personas un īpašumu aizsardzības pasākumu veikšana ir tās </w:t>
      </w:r>
      <w:r w:rsidR="003F2635">
        <w:t>l</w:t>
      </w:r>
      <w:r w:rsidR="003F2635" w:rsidRPr="004724DC">
        <w:t xml:space="preserve">īgumslēdzējas </w:t>
      </w:r>
      <w:r w:rsidR="007E4E70" w:rsidRPr="004724DC">
        <w:t xml:space="preserve">valsts tiesu vai pārvaldes iestāžu jurisdikcijā, kurā </w:t>
      </w:r>
      <w:r w:rsidR="007E4E70" w:rsidRPr="00AC6A71">
        <w:t>ir bērna pastāvīgā dzīvesvieta.</w:t>
      </w:r>
      <w:r w:rsidR="005010D8" w:rsidRPr="00AC6A71">
        <w:t xml:space="preserve"> Savukārt</w:t>
      </w:r>
      <w:r w:rsidR="007E4E70" w:rsidRPr="00AC6A71">
        <w:t xml:space="preserve"> </w:t>
      </w:r>
      <w:r w:rsidR="005010D8" w:rsidRPr="00AC6A71">
        <w:t xml:space="preserve">šā </w:t>
      </w:r>
      <w:r w:rsidR="007E4E70" w:rsidRPr="00AC6A71">
        <w:t>panta otrā daļa no</w:t>
      </w:r>
      <w:r w:rsidR="005010D8" w:rsidRPr="00AC6A71">
        <w:t>teic, ka</w:t>
      </w:r>
      <w:r w:rsidR="002356E3" w:rsidRPr="00AC6A71">
        <w:t xml:space="preserve"> gadījumā</w:t>
      </w:r>
      <w:r w:rsidR="005010D8" w:rsidRPr="00AC6A71">
        <w:t xml:space="preserve">, </w:t>
      </w:r>
      <w:r w:rsidR="007E4E70" w:rsidRPr="00AC6A71">
        <w:t xml:space="preserve">ja bērna pastāvīgā dzīvesvieta mainās, pārceļoties uz kādu citu </w:t>
      </w:r>
      <w:r w:rsidR="00EC677E" w:rsidRPr="00AC6A71">
        <w:t>l</w:t>
      </w:r>
      <w:r w:rsidR="007E4E70" w:rsidRPr="00AC6A71">
        <w:t xml:space="preserve">īgumslēdzēju </w:t>
      </w:r>
      <w:r w:rsidR="00EC677E" w:rsidRPr="00AC6A71">
        <w:t>v</w:t>
      </w:r>
      <w:r w:rsidR="007E4E70" w:rsidRPr="00AC6A71">
        <w:t>alsti, tad, ievērojot 7.</w:t>
      </w:r>
      <w:r w:rsidR="00A35F22" w:rsidRPr="00AC6A71">
        <w:t> </w:t>
      </w:r>
      <w:r w:rsidR="007E4E70" w:rsidRPr="00AC6A71">
        <w:t xml:space="preserve">pantu, jurisdikcija ir tās valsts iestādēm, kurā ir </w:t>
      </w:r>
      <w:r w:rsidR="002356E3" w:rsidRPr="00AC6A71">
        <w:t xml:space="preserve">bērna </w:t>
      </w:r>
      <w:r w:rsidR="007E4E70" w:rsidRPr="00AC6A71">
        <w:t>jaunā pastāvīgā dzīvesvieta.</w:t>
      </w:r>
    </w:p>
    <w:p w14:paraId="5CC02E6C" w14:textId="0BB9D0A8" w:rsidR="007E4E70" w:rsidRPr="00AC6A71" w:rsidRDefault="007E4E70" w:rsidP="0038293E">
      <w:pPr>
        <w:pStyle w:val="NormalWeb"/>
        <w:shd w:val="clear" w:color="auto" w:fill="FFFFFF"/>
        <w:spacing w:before="0" w:beforeAutospacing="0" w:after="0" w:afterAutospacing="0" w:line="276" w:lineRule="auto"/>
        <w:ind w:firstLine="709"/>
        <w:jc w:val="both"/>
      </w:pPr>
      <w:r w:rsidRPr="00AC6A71">
        <w:t>1996. gada 19. oktobra Konvencijas 7. panta 1. punktā noteikts: „Ja bērns ir prettiesiski aizvests vai aizturēts, tad tās Līgumslēdzējas Valsts iestādes, kurā pirms aizvešanas vai aizturēšanas bija bērna pastāvīgā dzīvesvieta, saglabā savu jurisdikciju, kamēr bērns nav ieguvis pastāvīgo dzīvesvietu kādā citā valstī un:</w:t>
      </w:r>
    </w:p>
    <w:p w14:paraId="53C1C8BD" w14:textId="4E7641BD" w:rsidR="007E4E70" w:rsidRPr="004724DC" w:rsidRDefault="007E4E70" w:rsidP="0038293E">
      <w:pPr>
        <w:pStyle w:val="NormalWeb"/>
        <w:shd w:val="clear" w:color="auto" w:fill="FFFFFF"/>
        <w:spacing w:before="0" w:beforeAutospacing="0" w:after="0" w:afterAutospacing="0" w:line="276" w:lineRule="auto"/>
        <w:ind w:firstLine="709"/>
        <w:jc w:val="both"/>
      </w:pPr>
      <w:r w:rsidRPr="00AC6A71">
        <w:t>a)</w:t>
      </w:r>
      <w:r w:rsidR="007F1054" w:rsidRPr="00AC6A71">
        <w:t> </w:t>
      </w:r>
      <w:r w:rsidRPr="00AC6A71">
        <w:t xml:space="preserve">kamēr visas personas, iestādes vai citas </w:t>
      </w:r>
      <w:r w:rsidRPr="004724DC">
        <w:t>struktūras ar uzraudzības tiesībām nav piekritušas aizvešanai vai aizturēšanai; vai</w:t>
      </w:r>
    </w:p>
    <w:p w14:paraId="4C3EDCE4" w14:textId="70B5FFA1" w:rsidR="007E4E70" w:rsidRPr="004724DC" w:rsidRDefault="007E4E70" w:rsidP="0038293E">
      <w:pPr>
        <w:pStyle w:val="NormalWeb"/>
        <w:shd w:val="clear" w:color="auto" w:fill="FFFFFF"/>
        <w:spacing w:before="0" w:beforeAutospacing="0" w:after="0" w:afterAutospacing="0" w:line="276" w:lineRule="auto"/>
        <w:ind w:firstLine="709"/>
        <w:jc w:val="both"/>
      </w:pPr>
      <w:r w:rsidRPr="004724DC">
        <w:t>b)</w:t>
      </w:r>
      <w:bookmarkStart w:id="9" w:name="_Hlk205983357"/>
      <w:r w:rsidR="007F1054" w:rsidRPr="004724DC">
        <w:t> </w:t>
      </w:r>
      <w:r w:rsidRPr="004724DC">
        <w:t xml:space="preserve">kamēr bērns šajā citā valstī nav nodzīvojis vismaz vienu gadu kopš laika, kad persona, iestāde vai cita struktūra ar uzraudzības tiesībām ir uzzinājusi bērna atrašanās vietu vai kad tām bija jāuzzina bērna atrašanās vieta, ja nav tādu neizskatītu pieprasījumu par </w:t>
      </w:r>
      <w:r w:rsidR="00D17A64" w:rsidRPr="004724DC">
        <w:t>bērna atgriešanu</w:t>
      </w:r>
      <w:r w:rsidRPr="004724DC">
        <w:t>, kas iesniegti minētajā laikā, un kamēr bērns nav pieradis pie jaunajiem apstākļiem</w:t>
      </w:r>
      <w:bookmarkEnd w:id="9"/>
      <w:r w:rsidRPr="004724DC">
        <w:t>.”</w:t>
      </w:r>
    </w:p>
    <w:p w14:paraId="22ACF5B1" w14:textId="7A5796DD" w:rsidR="007E4E70" w:rsidRPr="004724DC" w:rsidRDefault="007E4E70" w:rsidP="0038293E">
      <w:pPr>
        <w:pStyle w:val="NormalWeb"/>
        <w:shd w:val="clear" w:color="auto" w:fill="FFFFFF"/>
        <w:spacing w:before="0" w:beforeAutospacing="0" w:after="0" w:afterAutospacing="0" w:line="276" w:lineRule="auto"/>
        <w:ind w:firstLine="709"/>
        <w:jc w:val="both"/>
      </w:pPr>
      <w:r w:rsidRPr="004724DC">
        <w:t xml:space="preserve">1996. gada 19. oktobra Konvencijas paskaidrojošajā ziņojumā par šo pantu skaidrots, ka persona, kura veic bērna prettiesisku aizvešanu, nedrīkstētu iegūt priekšroku šādas darbības rezultātā, tostarp attiecībā uz labvēlīgākas jurisdikcijas iegūšanu. Tajā pašā laikā </w:t>
      </w:r>
      <w:r w:rsidRPr="00AC6A71">
        <w:t xml:space="preserve">bērna prettiesiska aizvešana ir fakts, kas jāņem vērā, izvērtējot, vai bērns ir ieguvis pastāvīgo dzīvesvietu </w:t>
      </w:r>
      <w:r w:rsidRPr="004724DC">
        <w:t xml:space="preserve">valstī, uz kuru tas ir pārvietots. Šādā situācijā jāanalizē visi 1996. gada 19. oktobra Konvencijas 7. panta 1. punkta „b” apakšpunktā minētie kritēriji </w:t>
      </w:r>
      <w:r w:rsidRPr="004724DC">
        <w:lastRenderedPageBreak/>
        <w:t>(sk.</w:t>
      </w:r>
      <w:r w:rsidRPr="004724DC">
        <w:rPr>
          <w:rFonts w:eastAsiaTheme="minorHAnsi"/>
          <w:kern w:val="2"/>
          <w:lang w:eastAsia="en-US"/>
          <w14:ligatures w14:val="standardContextual"/>
        </w:rPr>
        <w:t xml:space="preserve"> </w:t>
      </w:r>
      <w:proofErr w:type="spellStart"/>
      <w:r w:rsidRPr="004724DC">
        <w:rPr>
          <w:i/>
          <w:iCs/>
        </w:rPr>
        <w:t>Lagarde</w:t>
      </w:r>
      <w:proofErr w:type="spellEnd"/>
      <w:r w:rsidRPr="004724DC">
        <w:rPr>
          <w:i/>
          <w:iCs/>
        </w:rPr>
        <w:t xml:space="preserve"> P. </w:t>
      </w:r>
      <w:hyperlink r:id="rId9" w:history="1">
        <w:proofErr w:type="spellStart"/>
        <w:r w:rsidRPr="004724DC">
          <w:rPr>
            <w:rStyle w:val="Hyperlink"/>
            <w:i/>
            <w:iCs/>
          </w:rPr>
          <w:t>Explanatory</w:t>
        </w:r>
        <w:proofErr w:type="spellEnd"/>
        <w:r w:rsidRPr="004724DC">
          <w:rPr>
            <w:rStyle w:val="Hyperlink"/>
            <w:i/>
            <w:iCs/>
          </w:rPr>
          <w:t xml:space="preserve"> </w:t>
        </w:r>
        <w:proofErr w:type="spellStart"/>
        <w:r w:rsidRPr="004724DC">
          <w:rPr>
            <w:rStyle w:val="Hyperlink"/>
            <w:i/>
            <w:iCs/>
          </w:rPr>
          <w:t>Report</w:t>
        </w:r>
        <w:proofErr w:type="spellEnd"/>
      </w:hyperlink>
      <w:r w:rsidRPr="004724DC">
        <w:rPr>
          <w:i/>
          <w:iCs/>
        </w:rPr>
        <w:t xml:space="preserve"> </w:t>
      </w:r>
      <w:proofErr w:type="spellStart"/>
      <w:r w:rsidRPr="004724DC">
        <w:rPr>
          <w:i/>
          <w:iCs/>
        </w:rPr>
        <w:t>on</w:t>
      </w:r>
      <w:proofErr w:type="spellEnd"/>
      <w:r w:rsidRPr="004724DC">
        <w:rPr>
          <w:i/>
          <w:iCs/>
        </w:rPr>
        <w:t xml:space="preserve"> </w:t>
      </w:r>
      <w:proofErr w:type="spellStart"/>
      <w:r w:rsidRPr="004724DC">
        <w:rPr>
          <w:i/>
          <w:iCs/>
        </w:rPr>
        <w:t>the</w:t>
      </w:r>
      <w:proofErr w:type="spellEnd"/>
      <w:r w:rsidRPr="004724DC">
        <w:rPr>
          <w:i/>
          <w:iCs/>
        </w:rPr>
        <w:t xml:space="preserve"> </w:t>
      </w:r>
      <w:proofErr w:type="spellStart"/>
      <w:r w:rsidRPr="004724DC">
        <w:rPr>
          <w:i/>
          <w:iCs/>
        </w:rPr>
        <w:t>Convention</w:t>
      </w:r>
      <w:proofErr w:type="spellEnd"/>
      <w:r w:rsidRPr="004724DC">
        <w:rPr>
          <w:i/>
          <w:iCs/>
        </w:rPr>
        <w:t xml:space="preserve"> </w:t>
      </w:r>
      <w:proofErr w:type="spellStart"/>
      <w:r w:rsidRPr="004724DC">
        <w:rPr>
          <w:i/>
          <w:iCs/>
        </w:rPr>
        <w:t>of</w:t>
      </w:r>
      <w:proofErr w:type="spellEnd"/>
      <w:r w:rsidRPr="004724DC">
        <w:rPr>
          <w:i/>
          <w:iCs/>
        </w:rPr>
        <w:t xml:space="preserve"> 19</w:t>
      </w:r>
      <w:r w:rsidR="002356E3" w:rsidRPr="004724DC">
        <w:rPr>
          <w:i/>
          <w:iCs/>
        </w:rPr>
        <w:t> </w:t>
      </w:r>
      <w:proofErr w:type="spellStart"/>
      <w:r w:rsidRPr="004724DC">
        <w:rPr>
          <w:i/>
          <w:iCs/>
        </w:rPr>
        <w:t>October</w:t>
      </w:r>
      <w:proofErr w:type="spellEnd"/>
      <w:r w:rsidRPr="004724DC">
        <w:rPr>
          <w:i/>
          <w:iCs/>
        </w:rPr>
        <w:t xml:space="preserve"> 1996 </w:t>
      </w:r>
      <w:proofErr w:type="spellStart"/>
      <w:r w:rsidRPr="004724DC">
        <w:rPr>
          <w:i/>
          <w:iCs/>
        </w:rPr>
        <w:t>on</w:t>
      </w:r>
      <w:proofErr w:type="spellEnd"/>
      <w:r w:rsidRPr="004724DC">
        <w:rPr>
          <w:i/>
          <w:iCs/>
        </w:rPr>
        <w:t xml:space="preserve"> </w:t>
      </w:r>
      <w:proofErr w:type="spellStart"/>
      <w:r w:rsidRPr="004724DC">
        <w:rPr>
          <w:i/>
          <w:iCs/>
        </w:rPr>
        <w:t>Jurisdiction</w:t>
      </w:r>
      <w:proofErr w:type="spellEnd"/>
      <w:r w:rsidRPr="004724DC">
        <w:rPr>
          <w:i/>
          <w:iCs/>
        </w:rPr>
        <w:t xml:space="preserve">, </w:t>
      </w:r>
      <w:proofErr w:type="spellStart"/>
      <w:r w:rsidRPr="004724DC">
        <w:rPr>
          <w:i/>
          <w:iCs/>
        </w:rPr>
        <w:t>Applicable</w:t>
      </w:r>
      <w:proofErr w:type="spellEnd"/>
      <w:r w:rsidRPr="004724DC">
        <w:rPr>
          <w:i/>
          <w:iCs/>
        </w:rPr>
        <w:t xml:space="preserve"> </w:t>
      </w:r>
      <w:proofErr w:type="spellStart"/>
      <w:r w:rsidRPr="004724DC">
        <w:rPr>
          <w:i/>
          <w:iCs/>
        </w:rPr>
        <w:t>Law</w:t>
      </w:r>
      <w:proofErr w:type="spellEnd"/>
      <w:r w:rsidRPr="004724DC">
        <w:rPr>
          <w:i/>
          <w:iCs/>
        </w:rPr>
        <w:t xml:space="preserve">, </w:t>
      </w:r>
      <w:proofErr w:type="spellStart"/>
      <w:r w:rsidRPr="004724DC">
        <w:rPr>
          <w:i/>
          <w:iCs/>
        </w:rPr>
        <w:t>Recognition</w:t>
      </w:r>
      <w:proofErr w:type="spellEnd"/>
      <w:r w:rsidRPr="004724DC">
        <w:rPr>
          <w:i/>
          <w:iCs/>
        </w:rPr>
        <w:t xml:space="preserve">, </w:t>
      </w:r>
      <w:proofErr w:type="spellStart"/>
      <w:r w:rsidRPr="004724DC">
        <w:rPr>
          <w:i/>
          <w:iCs/>
        </w:rPr>
        <w:t>Enforcement</w:t>
      </w:r>
      <w:proofErr w:type="spellEnd"/>
      <w:r w:rsidRPr="004724DC">
        <w:rPr>
          <w:i/>
          <w:iCs/>
        </w:rPr>
        <w:t xml:space="preserve"> </w:t>
      </w:r>
      <w:proofErr w:type="spellStart"/>
      <w:r w:rsidRPr="004724DC">
        <w:rPr>
          <w:i/>
          <w:iCs/>
        </w:rPr>
        <w:t>and</w:t>
      </w:r>
      <w:proofErr w:type="spellEnd"/>
      <w:r w:rsidRPr="004724DC">
        <w:rPr>
          <w:i/>
          <w:iCs/>
        </w:rPr>
        <w:t xml:space="preserve"> </w:t>
      </w:r>
      <w:proofErr w:type="spellStart"/>
      <w:r w:rsidRPr="004724DC">
        <w:rPr>
          <w:i/>
          <w:iCs/>
        </w:rPr>
        <w:t>Co-operation</w:t>
      </w:r>
      <w:proofErr w:type="spellEnd"/>
      <w:r w:rsidRPr="004724DC">
        <w:rPr>
          <w:i/>
          <w:iCs/>
        </w:rPr>
        <w:t xml:space="preserve"> </w:t>
      </w:r>
      <w:proofErr w:type="spellStart"/>
      <w:r w:rsidRPr="004724DC">
        <w:rPr>
          <w:i/>
          <w:iCs/>
        </w:rPr>
        <w:t>in</w:t>
      </w:r>
      <w:proofErr w:type="spellEnd"/>
      <w:r w:rsidRPr="004724DC">
        <w:rPr>
          <w:i/>
          <w:iCs/>
        </w:rPr>
        <w:t xml:space="preserve"> </w:t>
      </w:r>
      <w:proofErr w:type="spellStart"/>
      <w:r w:rsidRPr="004724DC">
        <w:rPr>
          <w:i/>
          <w:iCs/>
        </w:rPr>
        <w:t>Respect</w:t>
      </w:r>
      <w:proofErr w:type="spellEnd"/>
      <w:r w:rsidRPr="004724DC">
        <w:rPr>
          <w:i/>
          <w:iCs/>
        </w:rPr>
        <w:t xml:space="preserve"> </w:t>
      </w:r>
      <w:proofErr w:type="spellStart"/>
      <w:r w:rsidRPr="004724DC">
        <w:rPr>
          <w:i/>
          <w:iCs/>
        </w:rPr>
        <w:t>of</w:t>
      </w:r>
      <w:proofErr w:type="spellEnd"/>
      <w:r w:rsidRPr="004724DC">
        <w:rPr>
          <w:i/>
          <w:iCs/>
        </w:rPr>
        <w:t xml:space="preserve"> </w:t>
      </w:r>
      <w:proofErr w:type="spellStart"/>
      <w:r w:rsidRPr="004724DC">
        <w:rPr>
          <w:i/>
          <w:iCs/>
        </w:rPr>
        <w:t>Parental</w:t>
      </w:r>
      <w:proofErr w:type="spellEnd"/>
      <w:r w:rsidRPr="004724DC">
        <w:rPr>
          <w:i/>
          <w:iCs/>
        </w:rPr>
        <w:t xml:space="preserve"> </w:t>
      </w:r>
      <w:proofErr w:type="spellStart"/>
      <w:r w:rsidRPr="004724DC">
        <w:rPr>
          <w:i/>
          <w:iCs/>
        </w:rPr>
        <w:t>Responsibility</w:t>
      </w:r>
      <w:proofErr w:type="spellEnd"/>
      <w:r w:rsidRPr="004724DC">
        <w:rPr>
          <w:i/>
          <w:iCs/>
        </w:rPr>
        <w:t xml:space="preserve"> </w:t>
      </w:r>
      <w:proofErr w:type="spellStart"/>
      <w:r w:rsidRPr="004724DC">
        <w:rPr>
          <w:i/>
          <w:iCs/>
        </w:rPr>
        <w:t>and</w:t>
      </w:r>
      <w:proofErr w:type="spellEnd"/>
      <w:r w:rsidRPr="004724DC">
        <w:rPr>
          <w:i/>
          <w:iCs/>
        </w:rPr>
        <w:t xml:space="preserve"> </w:t>
      </w:r>
      <w:proofErr w:type="spellStart"/>
      <w:r w:rsidRPr="004724DC">
        <w:rPr>
          <w:i/>
          <w:iCs/>
        </w:rPr>
        <w:t>Measures</w:t>
      </w:r>
      <w:proofErr w:type="spellEnd"/>
      <w:r w:rsidRPr="004724DC">
        <w:rPr>
          <w:i/>
          <w:iCs/>
        </w:rPr>
        <w:t xml:space="preserve"> </w:t>
      </w:r>
      <w:proofErr w:type="spellStart"/>
      <w:r w:rsidRPr="004724DC">
        <w:rPr>
          <w:i/>
          <w:iCs/>
        </w:rPr>
        <w:t>for</w:t>
      </w:r>
      <w:proofErr w:type="spellEnd"/>
      <w:r w:rsidRPr="004724DC">
        <w:rPr>
          <w:i/>
          <w:iCs/>
        </w:rPr>
        <w:t xml:space="preserve"> </w:t>
      </w:r>
      <w:proofErr w:type="spellStart"/>
      <w:r w:rsidRPr="004724DC">
        <w:rPr>
          <w:i/>
          <w:iCs/>
        </w:rPr>
        <w:t>the</w:t>
      </w:r>
      <w:proofErr w:type="spellEnd"/>
      <w:r w:rsidRPr="004724DC">
        <w:rPr>
          <w:i/>
          <w:iCs/>
        </w:rPr>
        <w:t xml:space="preserve"> </w:t>
      </w:r>
      <w:proofErr w:type="spellStart"/>
      <w:r w:rsidRPr="004724DC">
        <w:rPr>
          <w:i/>
          <w:iCs/>
        </w:rPr>
        <w:t>Protection</w:t>
      </w:r>
      <w:proofErr w:type="spellEnd"/>
      <w:r w:rsidRPr="004724DC">
        <w:rPr>
          <w:i/>
          <w:iCs/>
        </w:rPr>
        <w:t xml:space="preserve"> </w:t>
      </w:r>
      <w:proofErr w:type="spellStart"/>
      <w:r w:rsidRPr="004724DC">
        <w:rPr>
          <w:i/>
          <w:iCs/>
        </w:rPr>
        <w:t>of</w:t>
      </w:r>
      <w:proofErr w:type="spellEnd"/>
      <w:r w:rsidRPr="004724DC">
        <w:rPr>
          <w:i/>
          <w:iCs/>
        </w:rPr>
        <w:t xml:space="preserve"> </w:t>
      </w:r>
      <w:proofErr w:type="spellStart"/>
      <w:r w:rsidRPr="004724DC">
        <w:rPr>
          <w:i/>
          <w:iCs/>
        </w:rPr>
        <w:t>Children</w:t>
      </w:r>
      <w:proofErr w:type="spellEnd"/>
      <w:r w:rsidRPr="004724DC">
        <w:rPr>
          <w:i/>
          <w:iCs/>
        </w:rPr>
        <w:t xml:space="preserve">. </w:t>
      </w:r>
      <w:proofErr w:type="spellStart"/>
      <w:r w:rsidRPr="004724DC">
        <w:rPr>
          <w:i/>
          <w:iCs/>
        </w:rPr>
        <w:t>Hague</w:t>
      </w:r>
      <w:proofErr w:type="spellEnd"/>
      <w:r w:rsidRPr="004724DC">
        <w:rPr>
          <w:i/>
          <w:iCs/>
        </w:rPr>
        <w:t xml:space="preserve"> </w:t>
      </w:r>
      <w:proofErr w:type="spellStart"/>
      <w:r w:rsidRPr="004724DC">
        <w:rPr>
          <w:i/>
          <w:iCs/>
        </w:rPr>
        <w:t>Conference</w:t>
      </w:r>
      <w:proofErr w:type="spellEnd"/>
      <w:r w:rsidRPr="004724DC">
        <w:rPr>
          <w:i/>
          <w:iCs/>
        </w:rPr>
        <w:t xml:space="preserve"> </w:t>
      </w:r>
      <w:proofErr w:type="spellStart"/>
      <w:r w:rsidRPr="004724DC">
        <w:rPr>
          <w:i/>
          <w:iCs/>
        </w:rPr>
        <w:t>on</w:t>
      </w:r>
      <w:proofErr w:type="spellEnd"/>
      <w:r w:rsidRPr="004724DC">
        <w:rPr>
          <w:i/>
          <w:iCs/>
        </w:rPr>
        <w:t xml:space="preserve"> </w:t>
      </w:r>
      <w:proofErr w:type="spellStart"/>
      <w:r w:rsidRPr="004724DC">
        <w:rPr>
          <w:i/>
          <w:iCs/>
        </w:rPr>
        <w:t>Private</w:t>
      </w:r>
      <w:proofErr w:type="spellEnd"/>
      <w:r w:rsidRPr="004724DC">
        <w:rPr>
          <w:i/>
          <w:iCs/>
        </w:rPr>
        <w:t xml:space="preserve"> </w:t>
      </w:r>
      <w:proofErr w:type="spellStart"/>
      <w:r w:rsidRPr="004724DC">
        <w:rPr>
          <w:i/>
          <w:iCs/>
        </w:rPr>
        <w:t>International</w:t>
      </w:r>
      <w:proofErr w:type="spellEnd"/>
      <w:r w:rsidRPr="004724DC">
        <w:rPr>
          <w:i/>
          <w:iCs/>
        </w:rPr>
        <w:t xml:space="preserve"> </w:t>
      </w:r>
      <w:proofErr w:type="spellStart"/>
      <w:r w:rsidRPr="004724DC">
        <w:rPr>
          <w:i/>
          <w:iCs/>
        </w:rPr>
        <w:t>Law</w:t>
      </w:r>
      <w:proofErr w:type="spellEnd"/>
      <w:r w:rsidRPr="004724DC">
        <w:rPr>
          <w:i/>
          <w:iCs/>
        </w:rPr>
        <w:t>, 199</w:t>
      </w:r>
      <w:r w:rsidR="004C5867">
        <w:rPr>
          <w:i/>
          <w:iCs/>
        </w:rPr>
        <w:t>7</w:t>
      </w:r>
      <w:r w:rsidRPr="004724DC">
        <w:rPr>
          <w:i/>
          <w:iCs/>
        </w:rPr>
        <w:t xml:space="preserve">, </w:t>
      </w:r>
      <w:proofErr w:type="spellStart"/>
      <w:r w:rsidRPr="004724DC">
        <w:rPr>
          <w:i/>
          <w:iCs/>
        </w:rPr>
        <w:t>para</w:t>
      </w:r>
      <w:proofErr w:type="spellEnd"/>
      <w:r w:rsidR="005347D4">
        <w:rPr>
          <w:i/>
          <w:iCs/>
        </w:rPr>
        <w:t> </w:t>
      </w:r>
      <w:r w:rsidRPr="004724DC">
        <w:rPr>
          <w:i/>
          <w:iCs/>
        </w:rPr>
        <w:t>46</w:t>
      </w:r>
      <w:r w:rsidRPr="004724DC">
        <w:t>).</w:t>
      </w:r>
    </w:p>
    <w:p w14:paraId="02BFD0B2" w14:textId="77777777" w:rsidR="004C5867" w:rsidRDefault="004C5867" w:rsidP="0038293E">
      <w:pPr>
        <w:pStyle w:val="NormalWeb"/>
        <w:shd w:val="clear" w:color="auto" w:fill="FFFFFF"/>
        <w:spacing w:before="0" w:beforeAutospacing="0" w:after="0" w:afterAutospacing="0" w:line="276" w:lineRule="auto"/>
        <w:ind w:firstLine="709"/>
        <w:jc w:val="both"/>
      </w:pPr>
    </w:p>
    <w:p w14:paraId="25685274" w14:textId="430DC140"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Pr>
          <w:i/>
          <w:iCs/>
        </w:rPr>
        <w:t>V</w:t>
      </w:r>
      <w:r w:rsidRPr="00CF60AB">
        <w:rPr>
          <w:i/>
          <w:iCs/>
        </w:rPr>
        <w:t xml:space="preserve">ispārīgi </w:t>
      </w:r>
      <w:r>
        <w:rPr>
          <w:i/>
          <w:iCs/>
        </w:rPr>
        <w:t>i</w:t>
      </w:r>
      <w:r w:rsidRPr="00CF60AB">
        <w:rPr>
          <w:i/>
          <w:iCs/>
        </w:rPr>
        <w:t>eteikumi tiesai apstākļu noskaidrošanai šajā lietā</w:t>
      </w:r>
    </w:p>
    <w:p w14:paraId="1F134725" w14:textId="2F13CB3B" w:rsidR="00AD460A" w:rsidRDefault="004C5867" w:rsidP="0038293E">
      <w:pPr>
        <w:pStyle w:val="NormalWeb"/>
        <w:shd w:val="clear" w:color="auto" w:fill="FFFFFF"/>
        <w:spacing w:before="0" w:beforeAutospacing="0" w:after="0" w:afterAutospacing="0" w:line="276" w:lineRule="auto"/>
        <w:ind w:firstLine="709"/>
        <w:jc w:val="both"/>
      </w:pPr>
      <w:r>
        <w:t>[12] </w:t>
      </w:r>
      <w:r w:rsidR="00D17A64" w:rsidRPr="004724DC">
        <w:t>Tādējādi, a</w:t>
      </w:r>
      <w:r w:rsidR="00A35F22" w:rsidRPr="004724DC">
        <w:t>psverot 1996. gada 19. oktobra Konvencijas 7. panta 1. punkta „b” apakšpunktā paredzēto izņēmumu</w:t>
      </w:r>
      <w:r w:rsidR="007E4E70" w:rsidRPr="004724DC">
        <w:t>, lai</w:t>
      </w:r>
      <w:r w:rsidR="00A35F22" w:rsidRPr="004724DC">
        <w:t xml:space="preserve"> </w:t>
      </w:r>
      <w:r w:rsidR="00001C39" w:rsidRPr="004724DC">
        <w:t>pārbaudītu</w:t>
      </w:r>
      <w:r w:rsidR="00C3319C" w:rsidRPr="004724DC">
        <w:t>, vai</w:t>
      </w:r>
      <w:r w:rsidR="007E4E70" w:rsidRPr="004724DC">
        <w:t xml:space="preserve"> Krievijas Federācijas </w:t>
      </w:r>
      <w:r w:rsidR="00C3319C" w:rsidRPr="004724DC">
        <w:t xml:space="preserve">tiesai bija </w:t>
      </w:r>
      <w:r w:rsidR="007E4E70" w:rsidRPr="004724DC">
        <w:t>jurisdikcij</w:t>
      </w:r>
      <w:r w:rsidR="00C3319C" w:rsidRPr="004724DC">
        <w:t>a</w:t>
      </w:r>
      <w:r w:rsidR="007E4E70" w:rsidRPr="004724DC">
        <w:t xml:space="preserve"> izskatīt lietu par bērna dzīvesvietas noteikšanu, ir būtiski </w:t>
      </w:r>
      <w:r w:rsidR="00DA200B" w:rsidRPr="004724DC">
        <w:t>noskaidrot</w:t>
      </w:r>
      <w:r w:rsidR="007E4E70" w:rsidRPr="004724DC">
        <w:t xml:space="preserve"> v</w:t>
      </w:r>
      <w:r w:rsidR="0000516C" w:rsidRPr="004724DC">
        <w:t>isus šajā apakšpunktā noteiktos kritērijus.</w:t>
      </w:r>
      <w:r w:rsidR="004724DC" w:rsidRPr="004724DC">
        <w:t xml:space="preserve"> Pirmkārt, vai bērns, būdams prettiesiski aizvests, bija ieguvis </w:t>
      </w:r>
      <w:r w:rsidR="00875A64" w:rsidRPr="00AC6A71">
        <w:t>pastāvīg</w:t>
      </w:r>
      <w:r w:rsidR="004724DC" w:rsidRPr="00AC6A71">
        <w:t xml:space="preserve">o dzīvesvietu Krievijas Federācijā laikā, kad Krievijas Federācijas tiesā tika saņemts prasības pieteikums. Otrkārt, ja bērns bija ieguvis pastāvīgo dzīvesvietu Krievijas Federācijā, vai atbildētājs, iestāde vai cita struktūra ar uzraudzības tiesībām </w:t>
      </w:r>
      <w:r w:rsidR="004724DC" w:rsidRPr="004724DC">
        <w:t>uzzināja vai tai bija jāuzzina bērna atrašanās vieta un vai bērns kopš šī brīža līdz Krievijas Federācijas sprieduma pieņemšanai bija nodzīvojis Krievijas Federācijā vismaz vienu gadu.</w:t>
      </w:r>
      <w:r w:rsidR="00AD460A">
        <w:t xml:space="preserve"> </w:t>
      </w:r>
    </w:p>
    <w:p w14:paraId="65F57544" w14:textId="41D974EC" w:rsidR="00E218C5" w:rsidRPr="008313AC" w:rsidRDefault="00563D8E" w:rsidP="0038293E">
      <w:pPr>
        <w:pStyle w:val="NormalWeb"/>
        <w:shd w:val="clear" w:color="auto" w:fill="FFFFFF"/>
        <w:spacing w:before="0" w:beforeAutospacing="0" w:after="0" w:afterAutospacing="0" w:line="276" w:lineRule="auto"/>
        <w:ind w:firstLine="709"/>
        <w:jc w:val="both"/>
      </w:pPr>
      <w:r w:rsidRPr="004724DC">
        <w:t>[</w:t>
      </w:r>
      <w:r w:rsidR="00AC6A71">
        <w:t>12.1</w:t>
      </w:r>
      <w:r w:rsidRPr="004724DC">
        <w:t>] </w:t>
      </w:r>
      <w:r w:rsidRPr="008313AC">
        <w:t>P</w:t>
      </w:r>
      <w:r w:rsidR="00F7505B" w:rsidRPr="008313AC">
        <w:t xml:space="preserve">irmkārt, </w:t>
      </w:r>
      <w:r w:rsidR="0071653F" w:rsidRPr="008313AC">
        <w:t xml:space="preserve">tiesai jānoskaidro, </w:t>
      </w:r>
      <w:r w:rsidR="001A6619" w:rsidRPr="008313AC">
        <w:t>vai bērns</w:t>
      </w:r>
      <w:r w:rsidR="00377C40" w:rsidRPr="008313AC">
        <w:t>, būdams prettiesiski aizvests,</w:t>
      </w:r>
      <w:r w:rsidR="001A6619" w:rsidRPr="008313AC">
        <w:t xml:space="preserve"> </w:t>
      </w:r>
      <w:r w:rsidR="002356E3" w:rsidRPr="008313AC">
        <w:t>bija</w:t>
      </w:r>
      <w:r w:rsidR="001A6619" w:rsidRPr="008313AC">
        <w:t xml:space="preserve"> ieguvis </w:t>
      </w:r>
      <w:r w:rsidR="00875A64" w:rsidRPr="008313AC">
        <w:t>pastāvīg</w:t>
      </w:r>
      <w:r w:rsidR="001A6619" w:rsidRPr="008313AC">
        <w:t>o dzīvesvietu Krievijas Federācijā</w:t>
      </w:r>
      <w:r w:rsidR="002356E3" w:rsidRPr="008313AC">
        <w:t xml:space="preserve"> laikā</w:t>
      </w:r>
      <w:r w:rsidR="002356E3" w:rsidRPr="00D027C1">
        <w:t>, kad Krievijas Federācijas tiesā tika saņemts prasības pieteikums</w:t>
      </w:r>
      <w:r w:rsidR="001A6619" w:rsidRPr="00D027C1">
        <w:t>.</w:t>
      </w:r>
      <w:r w:rsidR="00377C40" w:rsidRPr="00D027C1">
        <w:t xml:space="preserve"> </w:t>
      </w:r>
      <w:r w:rsidR="001A6619" w:rsidRPr="00D027C1">
        <w:t xml:space="preserve">Ja konstatējams, ka bērns </w:t>
      </w:r>
      <w:r w:rsidR="009178DB" w:rsidRPr="00D027C1">
        <w:t xml:space="preserve">nav </w:t>
      </w:r>
      <w:r w:rsidR="001A6619" w:rsidRPr="00D027C1">
        <w:t xml:space="preserve">ieguvis </w:t>
      </w:r>
      <w:r w:rsidR="00875A64" w:rsidRPr="00D027C1">
        <w:t>pastāvīg</w:t>
      </w:r>
      <w:r w:rsidR="001A6619" w:rsidRPr="00D027C1">
        <w:t>o dzīvesvietu Krievijas Federācijā, tad jurisdikciju saglabā N</w:t>
      </w:r>
      <w:r w:rsidR="001A6619" w:rsidRPr="008313AC">
        <w:t xml:space="preserve">orvēģijas </w:t>
      </w:r>
      <w:r w:rsidR="00D0102A" w:rsidRPr="008313AC">
        <w:t>Karaliste</w:t>
      </w:r>
      <w:r w:rsidR="001A6619" w:rsidRPr="008313AC">
        <w:t xml:space="preserve">, proti, valsts, kas bija bērna pastāvīgā dzīvesvieta pirms prettiesiskās aizvešanas. </w:t>
      </w:r>
    </w:p>
    <w:p w14:paraId="0317385D" w14:textId="38827F14" w:rsidR="00547708" w:rsidRPr="004724DC" w:rsidRDefault="00547708" w:rsidP="0038293E">
      <w:pPr>
        <w:pStyle w:val="NormalWeb"/>
        <w:shd w:val="clear" w:color="auto" w:fill="FFFFFF"/>
        <w:spacing w:before="0" w:beforeAutospacing="0" w:after="0" w:afterAutospacing="0" w:line="276" w:lineRule="auto"/>
        <w:ind w:firstLine="709"/>
        <w:jc w:val="both"/>
      </w:pPr>
      <w:r w:rsidRPr="008313AC">
        <w:t>Pārbaudāmajā lēmumā konstatēts</w:t>
      </w:r>
      <w:r w:rsidRPr="004724DC">
        <w:t xml:space="preserve">, ka Krievijas Federācijas </w:t>
      </w:r>
      <w:r w:rsidR="008442CC">
        <w:t>[..]</w:t>
      </w:r>
      <w:r w:rsidRPr="004724DC">
        <w:t xml:space="preserve"> rajona tiesas 2023. gada </w:t>
      </w:r>
      <w:r w:rsidR="00986F57">
        <w:t xml:space="preserve">23. janvāra </w:t>
      </w:r>
      <w:r w:rsidRPr="004724DC">
        <w:t>spriedumā norādīta pieteicējas un bērna deklarētā un faktiskā dzīvesvietas adrese Krievijas Federācijā. Spriedumā arī norādīts, ka bērns kopš 2021. gada apmeklē GBOU (</w:t>
      </w:r>
      <w:r w:rsidR="003F2635">
        <w:t>v</w:t>
      </w:r>
      <w:r w:rsidR="003F2635" w:rsidRPr="004724DC">
        <w:t xml:space="preserve">alsts </w:t>
      </w:r>
      <w:r w:rsidRPr="004724DC">
        <w:t>budžeta vispārējās izglītības iestāde) skolu Nr. </w:t>
      </w:r>
      <w:r w:rsidR="008442CC">
        <w:t>[..]</w:t>
      </w:r>
      <w:r w:rsidRPr="004724DC">
        <w:t xml:space="preserve">. Tiesas sēdē apgabaltiesā pieteicējas </w:t>
      </w:r>
      <w:r w:rsidR="00B422A0" w:rsidRPr="004724DC">
        <w:t>pilnvarotā</w:t>
      </w:r>
      <w:r w:rsidR="00377C40" w:rsidRPr="004724DC">
        <w:t xml:space="preserve"> </w:t>
      </w:r>
      <w:r w:rsidRPr="004724DC">
        <w:t xml:space="preserve">pārstāve norādīja, ka pieteicēja kopš 2018. gada pavasara–vasaras dzīvo Krievijā, tajā pašā laikā </w:t>
      </w:r>
      <w:r w:rsidR="00B422A0" w:rsidRPr="004724DC">
        <w:t>uzsverot</w:t>
      </w:r>
      <w:r w:rsidRPr="004724DC">
        <w:t>, ka lietas izskatīšanas dienā pārstāvei nav zināms, kur atrodas pieteicēja ar bērnu (</w:t>
      </w:r>
      <w:r w:rsidRPr="004724DC">
        <w:rPr>
          <w:i/>
          <w:iCs/>
        </w:rPr>
        <w:t xml:space="preserve">apgabaltiesas 2024. gada </w:t>
      </w:r>
      <w:r w:rsidR="008442CC">
        <w:rPr>
          <w:i/>
          <w:iCs/>
        </w:rPr>
        <w:t>[..]</w:t>
      </w:r>
      <w:r w:rsidRPr="004724DC">
        <w:rPr>
          <w:i/>
          <w:iCs/>
        </w:rPr>
        <w:t xml:space="preserve"> sēdes</w:t>
      </w:r>
      <w:r w:rsidR="004D0060">
        <w:rPr>
          <w:i/>
          <w:iCs/>
        </w:rPr>
        <w:t xml:space="preserve"> skaņu ieraksts,</w:t>
      </w:r>
      <w:r w:rsidRPr="004724DC">
        <w:rPr>
          <w:i/>
          <w:iCs/>
        </w:rPr>
        <w:t xml:space="preserve"> 00:21:31–00:21:56</w:t>
      </w:r>
      <w:r w:rsidRPr="004724DC">
        <w:t xml:space="preserve">). </w:t>
      </w:r>
    </w:p>
    <w:p w14:paraId="339241A5" w14:textId="6B359A1C" w:rsidR="00547708" w:rsidRPr="00AA7FD4" w:rsidRDefault="002F6C76" w:rsidP="0038293E">
      <w:pPr>
        <w:pStyle w:val="NormalWeb"/>
        <w:shd w:val="clear" w:color="auto" w:fill="FFFFFF"/>
        <w:spacing w:before="0" w:beforeAutospacing="0" w:after="0" w:afterAutospacing="0" w:line="276" w:lineRule="auto"/>
        <w:ind w:firstLine="709"/>
        <w:jc w:val="both"/>
      </w:pPr>
      <w:r w:rsidRPr="004724DC">
        <w:t>Sen</w:t>
      </w:r>
      <w:r w:rsidR="0038664E" w:rsidRPr="004724DC">
        <w:t>āts</w:t>
      </w:r>
      <w:r w:rsidRPr="004724DC">
        <w:t xml:space="preserve"> konstatē, ka lietas materiāli</w:t>
      </w:r>
      <w:r w:rsidR="00377C40" w:rsidRPr="004724DC">
        <w:t xml:space="preserve"> un apgabaltiesas sēdē konstatētais norāda uz</w:t>
      </w:r>
      <w:r w:rsidRPr="004724DC">
        <w:t xml:space="preserve"> pretrunīgu informāciju par pieteicējas un bērna dzīvesvietu. </w:t>
      </w:r>
      <w:r w:rsidR="0038664E" w:rsidRPr="004724DC">
        <w:t>A</w:t>
      </w:r>
      <w:r w:rsidR="00DE1B19" w:rsidRPr="004724DC">
        <w:t>pgabaltiesa</w:t>
      </w:r>
      <w:r w:rsidRPr="004724DC">
        <w:t xml:space="preserve">, vērtējot jurisdikcijas jautājumu izskatāmajā pieteikumā, </w:t>
      </w:r>
      <w:r w:rsidR="00DE1B19" w:rsidRPr="004724DC">
        <w:t xml:space="preserve">nav </w:t>
      </w:r>
      <w:r w:rsidR="00CF6B60" w:rsidRPr="004724DC">
        <w:t>izvērtējusi to</w:t>
      </w:r>
      <w:r w:rsidR="00DE1B19" w:rsidRPr="004724DC">
        <w:t xml:space="preserve">, vai bērns </w:t>
      </w:r>
      <w:r w:rsidR="002356E3" w:rsidRPr="004724DC">
        <w:t>bija</w:t>
      </w:r>
      <w:r w:rsidR="00DE1B19" w:rsidRPr="004724DC">
        <w:t xml:space="preserve"> ieguvis </w:t>
      </w:r>
      <w:r w:rsidR="00875A64" w:rsidRPr="00AA7FD4">
        <w:t>pastāvīg</w:t>
      </w:r>
      <w:r w:rsidR="00DE1B19" w:rsidRPr="00AA7FD4">
        <w:t>o dzīvesvietu Krievijas Federācijā.</w:t>
      </w:r>
    </w:p>
    <w:p w14:paraId="6638D721" w14:textId="37A5B44B" w:rsidR="00E218C5" w:rsidRPr="00D027C1" w:rsidRDefault="00D0102A" w:rsidP="0038293E">
      <w:pPr>
        <w:pStyle w:val="NormalWeb"/>
        <w:shd w:val="clear" w:color="auto" w:fill="FFFFFF"/>
        <w:spacing w:before="0" w:beforeAutospacing="0" w:after="0" w:afterAutospacing="0" w:line="276" w:lineRule="auto"/>
        <w:ind w:firstLine="709"/>
        <w:jc w:val="both"/>
      </w:pPr>
      <w:r w:rsidRPr="00AA7FD4">
        <w:t>[</w:t>
      </w:r>
      <w:r w:rsidR="00AD460A" w:rsidRPr="00AA7FD4">
        <w:t>12</w:t>
      </w:r>
      <w:r w:rsidRPr="00AA7FD4">
        <w:t>.2]</w:t>
      </w:r>
      <w:r w:rsidR="00AB26A2" w:rsidRPr="00AA7FD4">
        <w:t> </w:t>
      </w:r>
      <w:r w:rsidR="00D52522" w:rsidRPr="00AA7FD4">
        <w:t>Otrkārt, ja</w:t>
      </w:r>
      <w:r w:rsidR="001A6619" w:rsidRPr="00AA7FD4">
        <w:t xml:space="preserve"> bērns ieguvis </w:t>
      </w:r>
      <w:r w:rsidR="00875A64" w:rsidRPr="00AA7FD4">
        <w:t>pastāvīg</w:t>
      </w:r>
      <w:r w:rsidR="001A6619" w:rsidRPr="00AA7FD4">
        <w:t xml:space="preserve">o dzīvesvietu Krievijas Federācijā, tad </w:t>
      </w:r>
      <w:r w:rsidR="0071653F" w:rsidRPr="00AA7FD4">
        <w:t xml:space="preserve">tiesai </w:t>
      </w:r>
      <w:r w:rsidR="001A6619" w:rsidRPr="00AA7FD4">
        <w:t>jā</w:t>
      </w:r>
      <w:r w:rsidR="00D52522" w:rsidRPr="00AA7FD4">
        <w:t>noskaidro</w:t>
      </w:r>
      <w:r w:rsidR="001A6619" w:rsidRPr="004724DC">
        <w:t xml:space="preserve">, </w:t>
      </w:r>
      <w:r w:rsidR="00F7505B" w:rsidRPr="004724DC">
        <w:t xml:space="preserve">kad atbildētājs, iestāde vai cita struktūra ar uzraudzības tiesībām uzzināja vai tai </w:t>
      </w:r>
      <w:r w:rsidR="00F7505B" w:rsidRPr="00D027C1">
        <w:t>bija jāuzzina bērna atrašanās vieta</w:t>
      </w:r>
      <w:r w:rsidR="001A6619" w:rsidRPr="00D027C1">
        <w:t xml:space="preserve"> un</w:t>
      </w:r>
      <w:r w:rsidR="009C080C" w:rsidRPr="00D027C1">
        <w:t xml:space="preserve"> </w:t>
      </w:r>
      <w:r w:rsidR="00F7505B" w:rsidRPr="00D027C1">
        <w:t xml:space="preserve">vai bērns kopš </w:t>
      </w:r>
      <w:r w:rsidR="00554DE1" w:rsidRPr="00D027C1">
        <w:t>tā</w:t>
      </w:r>
      <w:r w:rsidR="00B422A0" w:rsidRPr="00D027C1">
        <w:t xml:space="preserve"> brīža</w:t>
      </w:r>
      <w:r w:rsidR="00F7505B" w:rsidRPr="00D027C1">
        <w:t xml:space="preserve"> līdz Krievijas Federācijas sprieduma pieņemšanai </w:t>
      </w:r>
      <w:r w:rsidR="009178DB" w:rsidRPr="00D027C1">
        <w:t>ir</w:t>
      </w:r>
      <w:r w:rsidR="00F7505B" w:rsidRPr="00D027C1">
        <w:t xml:space="preserve"> nodzīvojis Krievijas Federācijā </w:t>
      </w:r>
      <w:r w:rsidR="00F15808" w:rsidRPr="00D027C1">
        <w:t>vismaz vienu gadu</w:t>
      </w:r>
      <w:r w:rsidR="00336BB0" w:rsidRPr="00D027C1">
        <w:t>.</w:t>
      </w:r>
    </w:p>
    <w:p w14:paraId="2E79939A" w14:textId="5BB097AE" w:rsidR="002F6C76" w:rsidRPr="00D027C1" w:rsidRDefault="00B61CCA" w:rsidP="0038293E">
      <w:pPr>
        <w:pStyle w:val="NormalWeb"/>
        <w:spacing w:before="0" w:beforeAutospacing="0" w:after="0" w:afterAutospacing="0" w:line="276" w:lineRule="auto"/>
        <w:ind w:firstLine="709"/>
        <w:jc w:val="both"/>
      </w:pPr>
      <w:r w:rsidRPr="00D027C1">
        <w:t>[12.2.1] </w:t>
      </w:r>
      <w:r w:rsidR="002F6C76" w:rsidRPr="00D027C1">
        <w:t xml:space="preserve">No tiesas sēdē sniegtajiem paskaidrojumiem izriet, ka atbildētājs 2022. gadā uzzinājis, ka </w:t>
      </w:r>
      <w:r w:rsidR="000B2C37">
        <w:t>[pers. A]</w:t>
      </w:r>
      <w:r w:rsidR="002F6C76" w:rsidRPr="00D027C1">
        <w:t xml:space="preserve"> vērsusies Krievijas Federācijas tiesā (</w:t>
      </w:r>
      <w:r w:rsidR="002F6C76" w:rsidRPr="00D027C1">
        <w:rPr>
          <w:i/>
          <w:iCs/>
        </w:rPr>
        <w:t xml:space="preserve">apgabaltiesas 2024. gada </w:t>
      </w:r>
      <w:r w:rsidR="008442CC">
        <w:rPr>
          <w:i/>
          <w:iCs/>
        </w:rPr>
        <w:t>[..]</w:t>
      </w:r>
      <w:r w:rsidR="002F6C76" w:rsidRPr="00D027C1">
        <w:rPr>
          <w:i/>
          <w:iCs/>
        </w:rPr>
        <w:t xml:space="preserve"> sēdes </w:t>
      </w:r>
      <w:r w:rsidR="004D0060" w:rsidRPr="00D027C1">
        <w:rPr>
          <w:i/>
          <w:iCs/>
        </w:rPr>
        <w:t xml:space="preserve">skaņu ieraksts, </w:t>
      </w:r>
      <w:r w:rsidR="002F6C76" w:rsidRPr="00D027C1">
        <w:rPr>
          <w:i/>
          <w:iCs/>
        </w:rPr>
        <w:t>00:16:25-00:16:35</w:t>
      </w:r>
      <w:r w:rsidR="002F6C76" w:rsidRPr="00D027C1">
        <w:t xml:space="preserve">). Tomēr, kā paskaidroja atbildētāja </w:t>
      </w:r>
      <w:r w:rsidR="00B422A0" w:rsidRPr="00D027C1">
        <w:t xml:space="preserve">pilnvarotā </w:t>
      </w:r>
      <w:r w:rsidR="002F6C76" w:rsidRPr="00D027C1">
        <w:t>pārstāve, to, ka māte ar bērnu atrodas Krievijas Federācijā, atbildētājs oficiāli uzzināj</w:t>
      </w:r>
      <w:r w:rsidR="00B422A0" w:rsidRPr="00D027C1">
        <w:t>is</w:t>
      </w:r>
      <w:r w:rsidR="002F6C76" w:rsidRPr="00D027C1">
        <w:t xml:space="preserve"> tikai</w:t>
      </w:r>
      <w:r w:rsidR="004D0060" w:rsidRPr="00D027C1">
        <w:t>,</w:t>
      </w:r>
      <w:r w:rsidR="002F6C76" w:rsidRPr="00D027C1">
        <w:t xml:space="preserve"> </w:t>
      </w:r>
      <w:r w:rsidR="004D0060" w:rsidRPr="00D027C1">
        <w:t xml:space="preserve">saņemot </w:t>
      </w:r>
      <w:r w:rsidR="00BA1D38" w:rsidRPr="00D027C1">
        <w:t xml:space="preserve">Krievijas Federācijas tiesas </w:t>
      </w:r>
      <w:r w:rsidR="004D0060" w:rsidRPr="00D027C1">
        <w:t>spriedumu</w:t>
      </w:r>
      <w:r w:rsidR="002F6C76" w:rsidRPr="00D027C1">
        <w:t>. Tas, ka pieteicēja atradās Krievijas Federācijā, esot bijis vien nostāsti, aizdomas. Neviena izziņa vai apliecinājums atbildētājam nebija izsniegts (</w:t>
      </w:r>
      <w:r w:rsidR="002F6C76" w:rsidRPr="00D027C1">
        <w:rPr>
          <w:i/>
          <w:iCs/>
        </w:rPr>
        <w:t xml:space="preserve">apgabaltiesas 2024. gada </w:t>
      </w:r>
      <w:r w:rsidR="008442CC">
        <w:rPr>
          <w:i/>
          <w:iCs/>
        </w:rPr>
        <w:t>[..]</w:t>
      </w:r>
      <w:r w:rsidR="002F6C76" w:rsidRPr="00D027C1">
        <w:rPr>
          <w:i/>
          <w:iCs/>
        </w:rPr>
        <w:t xml:space="preserve"> sēdes</w:t>
      </w:r>
      <w:r w:rsidR="004D0060" w:rsidRPr="00D027C1">
        <w:rPr>
          <w:i/>
          <w:iCs/>
        </w:rPr>
        <w:t xml:space="preserve"> skaņu ieraksts,</w:t>
      </w:r>
      <w:r w:rsidR="002F6C76" w:rsidRPr="00D027C1">
        <w:rPr>
          <w:i/>
          <w:iCs/>
        </w:rPr>
        <w:t xml:space="preserve"> 00:20:20-00:20:45</w:t>
      </w:r>
      <w:r w:rsidR="002F6C76" w:rsidRPr="00D027C1">
        <w:t xml:space="preserve">). </w:t>
      </w:r>
    </w:p>
    <w:p w14:paraId="35453884" w14:textId="00F41F61" w:rsidR="002F6C76" w:rsidRPr="00D027C1" w:rsidRDefault="00B61CCA" w:rsidP="0038293E">
      <w:pPr>
        <w:pStyle w:val="NormalWeb"/>
        <w:spacing w:before="0" w:beforeAutospacing="0" w:after="0" w:afterAutospacing="0" w:line="276" w:lineRule="auto"/>
        <w:ind w:firstLine="709"/>
        <w:jc w:val="both"/>
      </w:pPr>
      <w:r w:rsidRPr="00D027C1">
        <w:lastRenderedPageBreak/>
        <w:t>[12.2.2] </w:t>
      </w:r>
      <w:r w:rsidR="00672EC9" w:rsidRPr="00D027C1">
        <w:t>Savai b</w:t>
      </w:r>
      <w:r w:rsidR="002F6C76" w:rsidRPr="00D027C1">
        <w:t xml:space="preserve">lakus sūdzībai pieteicēja pievienojusi dokumenta ekrānuzņēmumus, no kuriem, pirmkārt, neizriet nedz datums, nedz dokumenta sagatavotāja paraksts, tādējādi dokumentam nav juridiska spēka atbilstoši Dokumentu juridiskā spēka likuma 4. panta pirmās daļas 3. punktam. Otrkārt, dokumentā Krievijas Federācijas iestādēm tiek lūgts paziņot, vai pieteicēja atrodas Krievijas Federācijā. Dokumentā norādītas adreses Krievijas Federācijā kā tikai iespējamās pieteicējas atrašanās vietas. </w:t>
      </w:r>
    </w:p>
    <w:p w14:paraId="270F59B5" w14:textId="0E0781F6" w:rsidR="00884867" w:rsidRDefault="00B61CCA" w:rsidP="0038293E">
      <w:pPr>
        <w:pStyle w:val="NormalWeb"/>
        <w:spacing w:before="0" w:beforeAutospacing="0" w:after="0" w:afterAutospacing="0" w:line="276" w:lineRule="auto"/>
        <w:ind w:firstLine="709"/>
        <w:jc w:val="both"/>
      </w:pPr>
      <w:r w:rsidRPr="00D027C1">
        <w:t>[12.2.3] </w:t>
      </w:r>
      <w:r w:rsidR="00884867" w:rsidRPr="00D027C1">
        <w:t>L</w:t>
      </w:r>
      <w:r w:rsidR="008313AC" w:rsidRPr="00D027C1">
        <w:t>ietai atrodoties kasācijas instancē, pieteicēja</w:t>
      </w:r>
      <w:r w:rsidR="00884867" w:rsidRPr="00D027C1">
        <w:t xml:space="preserve"> iesnie</w:t>
      </w:r>
      <w:r w:rsidR="00684A6B" w:rsidRPr="00D027C1">
        <w:t>dza</w:t>
      </w:r>
      <w:r w:rsidR="00884867" w:rsidRPr="00D027C1">
        <w:t xml:space="preserve"> tiesā</w:t>
      </w:r>
      <w:r w:rsidR="008313AC" w:rsidRPr="00D027C1">
        <w:t xml:space="preserve"> </w:t>
      </w:r>
      <w:r w:rsidR="00684A6B" w:rsidRPr="00D027C1">
        <w:t>fragmentus no pušu sarakstes</w:t>
      </w:r>
      <w:r w:rsidR="00684A6B" w:rsidRPr="00884867">
        <w:rPr>
          <w:i/>
          <w:iCs/>
        </w:rPr>
        <w:t xml:space="preserve"> </w:t>
      </w:r>
      <w:proofErr w:type="spellStart"/>
      <w:r w:rsidR="00684A6B" w:rsidRPr="00884867">
        <w:rPr>
          <w:i/>
          <w:iCs/>
        </w:rPr>
        <w:t>Whatsapp</w:t>
      </w:r>
      <w:proofErr w:type="spellEnd"/>
      <w:r w:rsidR="00684A6B">
        <w:t xml:space="preserve"> lietotnē</w:t>
      </w:r>
      <w:r w:rsidR="00313197">
        <w:t xml:space="preserve">, no kuras izriet, ka pieteicēja piedāvājusi atbildētājam 2020. gada marta nedēļas nogalē satikties </w:t>
      </w:r>
      <w:r w:rsidR="00C7771F">
        <w:t>[..]</w:t>
      </w:r>
      <w:r w:rsidR="00313197">
        <w:t>, Krievij</w:t>
      </w:r>
      <w:r w:rsidR="00684A6B">
        <w:t>as Federācijā</w:t>
      </w:r>
      <w:r w:rsidR="00313197">
        <w:t xml:space="preserve">. </w:t>
      </w:r>
      <w:r w:rsidR="00BE0E7F">
        <w:t>Kā izriet n</w:t>
      </w:r>
      <w:r w:rsidR="00313197">
        <w:t>o pušu sarakstes 2022. gada aprīlī</w:t>
      </w:r>
      <w:r w:rsidR="00BE0E7F">
        <w:t>,,</w:t>
      </w:r>
      <w:r w:rsidR="00313197">
        <w:t xml:space="preserve"> atbildētājs konstatē</w:t>
      </w:r>
      <w:r w:rsidR="00884867">
        <w:t>jis</w:t>
      </w:r>
      <w:r w:rsidR="00313197">
        <w:t>, ka pieteicēj</w:t>
      </w:r>
      <w:r w:rsidR="00884867">
        <w:t xml:space="preserve">a aizvedusi bērnu uz Krievijas Federāciju. </w:t>
      </w:r>
      <w:r w:rsidR="000767F8">
        <w:t xml:space="preserve">Pēc </w:t>
      </w:r>
      <w:r w:rsidR="00BE0E7F">
        <w:t>Senāta</w:t>
      </w:r>
      <w:r w:rsidR="00884867">
        <w:t xml:space="preserve"> </w:t>
      </w:r>
      <w:r w:rsidR="000767F8">
        <w:t xml:space="preserve">ieskata, </w:t>
      </w:r>
      <w:r w:rsidR="00884867">
        <w:t xml:space="preserve">pierādījums apstiprina atbildētāja sniegtos paskaidrojumus. </w:t>
      </w:r>
    </w:p>
    <w:p w14:paraId="7B080390" w14:textId="1F90E351" w:rsidR="00884867" w:rsidRDefault="00684A6B" w:rsidP="0038293E">
      <w:pPr>
        <w:pStyle w:val="NormalWeb"/>
        <w:spacing w:before="0" w:beforeAutospacing="0" w:after="0" w:afterAutospacing="0" w:line="276" w:lineRule="auto"/>
        <w:ind w:firstLine="709"/>
        <w:jc w:val="both"/>
      </w:pPr>
      <w:r>
        <w:t xml:space="preserve">Vienlaikus </w:t>
      </w:r>
      <w:r w:rsidR="00884867" w:rsidRPr="00AA7FD4">
        <w:t xml:space="preserve">Senāts pievienojas pieteicējas argumentam, ka tiesas procesā netika pievērsta uzmanība jautājumam par to, kad atbildētājs uzzinājis par bērna atrašanās vietu, tādējādi nedz pieteicējai, nedz atbildētājam nav bijusi iespēja iesniegt attiecīgus pierādījumus, lai konstatētu </w:t>
      </w:r>
      <w:r w:rsidR="00D027C1" w:rsidRPr="004724DC">
        <w:t>1996. gada 19. oktobra Konvencijas</w:t>
      </w:r>
      <w:r w:rsidR="00884867" w:rsidRPr="00AA7FD4">
        <w:t xml:space="preserve"> izņēmumu un secīgi Krievijas Federācijas tiesas jurisdikciju. No minētā secināms, ka arī attiecībā uz otro kritēriju apgabaltiesa nav noskaidrojusi būtiskus apstākļus.</w:t>
      </w:r>
    </w:p>
    <w:p w14:paraId="27839F10" w14:textId="57083248" w:rsidR="00547708" w:rsidRPr="004724DC" w:rsidRDefault="00D0102A" w:rsidP="0038293E">
      <w:pPr>
        <w:pStyle w:val="NormalWeb"/>
        <w:spacing w:before="0" w:beforeAutospacing="0" w:after="0" w:afterAutospacing="0" w:line="276" w:lineRule="auto"/>
        <w:ind w:firstLine="709"/>
        <w:jc w:val="both"/>
      </w:pPr>
      <w:r w:rsidRPr="004724DC">
        <w:t>[</w:t>
      </w:r>
      <w:r w:rsidR="00554DE1">
        <w:t>12</w:t>
      </w:r>
      <w:r w:rsidRPr="004724DC">
        <w:t>.3]</w:t>
      </w:r>
      <w:r w:rsidR="00AB26A2" w:rsidRPr="004724DC">
        <w:t> </w:t>
      </w:r>
      <w:r w:rsidR="004724DC" w:rsidRPr="00AA7FD4">
        <w:t>T</w:t>
      </w:r>
      <w:r w:rsidR="009C080C" w:rsidRPr="00AA7FD4">
        <w:t>reškārt</w:t>
      </w:r>
      <w:r w:rsidR="00336BB0" w:rsidRPr="00AA7FD4">
        <w:t>,</w:t>
      </w:r>
      <w:r w:rsidR="00AA7FD4" w:rsidRPr="00AA7FD4">
        <w:t xml:space="preserve"> t</w:t>
      </w:r>
      <w:r w:rsidR="0071653F" w:rsidRPr="00AA7FD4">
        <w:t>iesai jānoskaidro</w:t>
      </w:r>
      <w:r w:rsidR="0071653F">
        <w:t xml:space="preserve">, </w:t>
      </w:r>
      <w:r w:rsidR="00F7505B" w:rsidRPr="004724DC">
        <w:t xml:space="preserve">vai </w:t>
      </w:r>
      <w:r w:rsidR="00B61CCA">
        <w:t xml:space="preserve">Krievijas Federācijā bija iesniegti </w:t>
      </w:r>
      <w:r w:rsidR="00B61CCA" w:rsidRPr="00B61CCA">
        <w:t xml:space="preserve">pieprasījumi par bērna atgriešanu </w:t>
      </w:r>
      <w:r w:rsidR="004724DC" w:rsidRPr="00B61CCA">
        <w:t>laika posmā</w:t>
      </w:r>
      <w:r w:rsidR="004724DC" w:rsidRPr="004724DC">
        <w:t xml:space="preserve"> no brīža, kad atbildētājs, iestāde vai cita struktūra ar uzraudzības tiesībām uzzināja vai tai bija jāuzzina bērna atrašanās vieta, līdz Krievijas Federācijas tiesas sprieduma pieņemšanai</w:t>
      </w:r>
      <w:r w:rsidR="00F7505B" w:rsidRPr="004724DC">
        <w:t>.</w:t>
      </w:r>
      <w:r w:rsidRPr="004724DC">
        <w:t xml:space="preserve"> </w:t>
      </w:r>
    </w:p>
    <w:p w14:paraId="19196339" w14:textId="0EBB62BF" w:rsidR="00547708" w:rsidRPr="004724DC" w:rsidRDefault="00521C24" w:rsidP="0038293E">
      <w:pPr>
        <w:pStyle w:val="NormalWeb"/>
        <w:spacing w:before="0" w:beforeAutospacing="0" w:after="0" w:afterAutospacing="0" w:line="276" w:lineRule="auto"/>
        <w:ind w:firstLine="709"/>
        <w:jc w:val="both"/>
      </w:pPr>
      <w:r>
        <w:t>Senāts konstatē, ka i</w:t>
      </w:r>
      <w:r w:rsidR="00B422A0" w:rsidRPr="004724DC">
        <w:t>zskatāmajā lietā</w:t>
      </w:r>
      <w:r w:rsidR="00547708" w:rsidRPr="004724DC">
        <w:t xml:space="preserve"> nav ticis vērtēts, vai šajā laikā ir bijuši neizskatīti pieprasījumi par bērna atgriešanu.</w:t>
      </w:r>
    </w:p>
    <w:p w14:paraId="3A11AEE3" w14:textId="45C8018B" w:rsidR="00DE1B19" w:rsidRPr="00D027C1" w:rsidRDefault="00D0102A" w:rsidP="0038293E">
      <w:pPr>
        <w:pStyle w:val="NormalWeb"/>
        <w:spacing w:before="0" w:beforeAutospacing="0" w:after="0" w:afterAutospacing="0" w:line="276" w:lineRule="auto"/>
        <w:ind w:firstLine="709"/>
        <w:jc w:val="both"/>
      </w:pPr>
      <w:r w:rsidRPr="00D027C1">
        <w:t>[</w:t>
      </w:r>
      <w:r w:rsidR="00521C24" w:rsidRPr="00D027C1">
        <w:t>12</w:t>
      </w:r>
      <w:r w:rsidRPr="00D027C1">
        <w:t>.4]</w:t>
      </w:r>
      <w:r w:rsidR="00AB26A2" w:rsidRPr="00D027C1">
        <w:t> </w:t>
      </w:r>
      <w:r w:rsidR="004724DC" w:rsidRPr="00D027C1">
        <w:t xml:space="preserve">Ceturtkārt, </w:t>
      </w:r>
      <w:r w:rsidR="0071653F" w:rsidRPr="00D027C1">
        <w:t xml:space="preserve">tiesai jānoskaidro, </w:t>
      </w:r>
      <w:r w:rsidR="00B422A0" w:rsidRPr="00D027C1">
        <w:t>vai bērns ir pieradis pie jaunajiem apstākļiem</w:t>
      </w:r>
      <w:r w:rsidR="00547708" w:rsidRPr="00D027C1">
        <w:t xml:space="preserve"> Krievijas Federācijā.</w:t>
      </w:r>
    </w:p>
    <w:p w14:paraId="3A49E682" w14:textId="64082A83" w:rsidR="00547708" w:rsidRPr="00D027C1" w:rsidRDefault="00547708" w:rsidP="0038293E">
      <w:pPr>
        <w:pStyle w:val="NormalWeb"/>
        <w:shd w:val="clear" w:color="auto" w:fill="FFFFFF"/>
        <w:spacing w:before="0" w:beforeAutospacing="0" w:after="0" w:afterAutospacing="0" w:line="276" w:lineRule="auto"/>
        <w:ind w:firstLine="709"/>
        <w:jc w:val="both"/>
      </w:pPr>
      <w:r w:rsidRPr="00D027C1">
        <w:t>Senāts konstatē, ka</w:t>
      </w:r>
      <w:r w:rsidR="00B422A0" w:rsidRPr="00D027C1">
        <w:t xml:space="preserve"> izskatāmās lietas materiāliem</w:t>
      </w:r>
      <w:r w:rsidRPr="00D027C1">
        <w:t xml:space="preserve"> </w:t>
      </w:r>
      <w:r w:rsidR="004724DC" w:rsidRPr="00D027C1">
        <w:t xml:space="preserve">pievienots </w:t>
      </w:r>
      <w:r w:rsidRPr="00D027C1">
        <w:t xml:space="preserve">2023. gada </w:t>
      </w:r>
      <w:r w:rsidR="00C7771F">
        <w:t>[datums]</w:t>
      </w:r>
      <w:r w:rsidRPr="00D027C1">
        <w:t xml:space="preserve"> laikrakst</w:t>
      </w:r>
      <w:r w:rsidR="004724DC" w:rsidRPr="00D027C1">
        <w:t>s</w:t>
      </w:r>
      <w:r w:rsidR="00C7771F">
        <w:t xml:space="preserve"> [..]</w:t>
      </w:r>
      <w:r w:rsidRPr="00D027C1">
        <w:t xml:space="preserve">, kurā intervēta pieteicēja. </w:t>
      </w:r>
      <w:r w:rsidR="004724DC" w:rsidRPr="00D027C1">
        <w:t>Intervijā p</w:t>
      </w:r>
      <w:r w:rsidRPr="00D027C1">
        <w:t xml:space="preserve">ieteicēja norādījusi, ka „Krievijā ir pavisam slikti” un viņa „pamazām meklē ceļu atpakaļ uz Latviju”, un „lielākais šķērslis tam šobrīd ir </w:t>
      </w:r>
      <w:r w:rsidR="00C7771F">
        <w:t>[bērna]</w:t>
      </w:r>
      <w:r w:rsidRPr="00D027C1">
        <w:t xml:space="preserve"> labsajūta”. Tāpat arī norādīts, ka bērnam Krievijas Federācijā „ir draugi, ierasta vide” (sk. </w:t>
      </w:r>
      <w:r w:rsidRPr="00D027C1">
        <w:rPr>
          <w:i/>
          <w:iCs/>
        </w:rPr>
        <w:t>lietas 2. sējuma 264. lapu</w:t>
      </w:r>
      <w:r w:rsidRPr="00D027C1">
        <w:t xml:space="preserve">). No minētā izriet, ka pieteicēja vēl 2023. gada vasarā plānoja pārcelties </w:t>
      </w:r>
      <w:r w:rsidR="00B422A0" w:rsidRPr="00D027C1">
        <w:t xml:space="preserve">uz dzīvi </w:t>
      </w:r>
      <w:r w:rsidRPr="00D027C1">
        <w:t>Latvijā</w:t>
      </w:r>
      <w:r w:rsidR="00B61CCA" w:rsidRPr="00D027C1">
        <w:t xml:space="preserve">. </w:t>
      </w:r>
    </w:p>
    <w:p w14:paraId="6F64DAA3" w14:textId="0EF163CC" w:rsidR="003E5745" w:rsidRPr="004724DC" w:rsidRDefault="00DE1B19" w:rsidP="0038293E">
      <w:pPr>
        <w:pStyle w:val="NormalWeb"/>
        <w:shd w:val="clear" w:color="auto" w:fill="FFFFFF"/>
        <w:spacing w:before="0" w:beforeAutospacing="0" w:after="0" w:afterAutospacing="0" w:line="276" w:lineRule="auto"/>
        <w:ind w:firstLine="709"/>
        <w:jc w:val="both"/>
      </w:pPr>
      <w:r w:rsidRPr="00D027C1">
        <w:t xml:space="preserve">Izskatot pieteikumu par ārvalsts </w:t>
      </w:r>
      <w:r w:rsidR="0071653F" w:rsidRPr="00D027C1">
        <w:t xml:space="preserve">nolēmuma </w:t>
      </w:r>
      <w:r w:rsidRPr="00D027C1">
        <w:t>atzīšanu un izpild</w:t>
      </w:r>
      <w:r w:rsidR="0071653F" w:rsidRPr="00D027C1">
        <w:t>īšanu</w:t>
      </w:r>
      <w:r w:rsidRPr="00D027C1">
        <w:t xml:space="preserve">, apgabaltiesai bija jāvērtē pierādījumi, kas </w:t>
      </w:r>
      <w:r w:rsidR="004724DC" w:rsidRPr="00D027C1">
        <w:t>saistīti ar apstākli,</w:t>
      </w:r>
      <w:r w:rsidRPr="00D027C1">
        <w:t xml:space="preserve"> vai bērns </w:t>
      </w:r>
      <w:r w:rsidR="009178DB" w:rsidRPr="00D027C1">
        <w:t xml:space="preserve">ir </w:t>
      </w:r>
      <w:r w:rsidRPr="00D027C1">
        <w:t>pieradis pie</w:t>
      </w:r>
      <w:r w:rsidRPr="004724DC">
        <w:t xml:space="preserve"> jaunajiem apstākļiem Krievijas Federācijā, kas nav ticis darīts. </w:t>
      </w:r>
    </w:p>
    <w:p w14:paraId="78079187" w14:textId="77777777" w:rsidR="00521C24" w:rsidRDefault="00521C24" w:rsidP="0038293E">
      <w:pPr>
        <w:pStyle w:val="NormalWeb"/>
        <w:shd w:val="clear" w:color="auto" w:fill="FFFFFF"/>
        <w:spacing w:before="0" w:beforeAutospacing="0" w:after="0" w:afterAutospacing="0" w:line="276" w:lineRule="auto"/>
        <w:ind w:firstLine="709"/>
        <w:jc w:val="both"/>
      </w:pPr>
    </w:p>
    <w:p w14:paraId="29331C79" w14:textId="3AFFE9E5" w:rsidR="009161C5" w:rsidRPr="004724DC" w:rsidRDefault="004724DC" w:rsidP="0038293E">
      <w:pPr>
        <w:pStyle w:val="NormalWeb"/>
        <w:shd w:val="clear" w:color="auto" w:fill="FFFFFF"/>
        <w:spacing w:before="0" w:beforeAutospacing="0" w:after="0" w:afterAutospacing="0" w:line="276" w:lineRule="auto"/>
        <w:ind w:firstLine="709"/>
        <w:jc w:val="both"/>
      </w:pPr>
      <w:r w:rsidRPr="004724DC">
        <w:t>[</w:t>
      </w:r>
      <w:r w:rsidR="00521C24">
        <w:t>13</w:t>
      </w:r>
      <w:r w:rsidRPr="004724DC">
        <w:t xml:space="preserve">] Apgabaltiesa </w:t>
      </w:r>
      <w:r w:rsidR="008D7F95">
        <w:t xml:space="preserve">sava </w:t>
      </w:r>
      <w:r w:rsidRPr="004724DC">
        <w:t>lēmuma 10.3.</w:t>
      </w:r>
      <w:r w:rsidR="0071653F">
        <w:t> </w:t>
      </w:r>
      <w:r w:rsidRPr="004724DC">
        <w:t>punktā ir norādījusi, ka tā nekonstatē 1996.</w:t>
      </w:r>
      <w:r w:rsidR="0071653F">
        <w:t> </w:t>
      </w:r>
      <w:r w:rsidRPr="004724DC">
        <w:t>gada 19.</w:t>
      </w:r>
      <w:r w:rsidR="0071653F">
        <w:t> </w:t>
      </w:r>
      <w:r w:rsidRPr="004724DC">
        <w:t xml:space="preserve">oktobra Konvencijas 7. panta 1. punkta </w:t>
      </w:r>
      <w:r w:rsidR="0071653F">
        <w:t>„</w:t>
      </w:r>
      <w:r w:rsidRPr="004724DC">
        <w:t>a</w:t>
      </w:r>
      <w:r w:rsidR="0071653F">
        <w:t>”</w:t>
      </w:r>
      <w:r w:rsidRPr="004724DC">
        <w:t xml:space="preserve"> vai </w:t>
      </w:r>
      <w:r w:rsidR="0071653F">
        <w:t>„</w:t>
      </w:r>
      <w:r w:rsidRPr="004724DC">
        <w:t>b</w:t>
      </w:r>
      <w:r w:rsidR="0071653F">
        <w:t>” </w:t>
      </w:r>
      <w:r w:rsidRPr="004724DC">
        <w:t>apakšpunktā minētos apstākļus, tomēr pamatojum</w:t>
      </w:r>
      <w:r w:rsidR="00155F28">
        <w:t>u</w:t>
      </w:r>
      <w:r w:rsidRPr="004724DC">
        <w:t xml:space="preserve"> tam, </w:t>
      </w:r>
      <w:r w:rsidR="008D7F95">
        <w:t xml:space="preserve">kā </w:t>
      </w:r>
      <w:r w:rsidR="0071653F">
        <w:t>tiesa</w:t>
      </w:r>
      <w:r w:rsidR="0071653F" w:rsidRPr="004724DC">
        <w:t xml:space="preserve"> </w:t>
      </w:r>
      <w:r w:rsidRPr="004724DC">
        <w:t>ir nonākusi pie šāda secinājum</w:t>
      </w:r>
      <w:r w:rsidR="00155F28">
        <w:t>a</w:t>
      </w:r>
      <w:r w:rsidRPr="004724DC">
        <w:t xml:space="preserve">, </w:t>
      </w:r>
      <w:r w:rsidR="00142B6E">
        <w:t>lēmumā nav ietvērusi.</w:t>
      </w:r>
      <w:r w:rsidRPr="004724DC">
        <w:t xml:space="preserve"> </w:t>
      </w:r>
      <w:r w:rsidR="00CF6B60" w:rsidRPr="004724DC">
        <w:t>Ņemot vērā iepriekšminēto, Senāts nevar atzīt par pamatotiem apgabaltiesas secinājumus jautājumā par Krievijas Federācijas tiesas jurisdikciju attiecībā uz 1996. gada 19. oktobra Konvencijas 7. panta 1. punkta „b” apakšpunktā norādīto kritēriju iestāšanās apstākļiem</w:t>
      </w:r>
      <w:r w:rsidR="008F7C21" w:rsidRPr="004724DC">
        <w:t xml:space="preserve">, jo lietas materiāli satur pretrunīgu informāciju par šajā </w:t>
      </w:r>
      <w:r w:rsidR="006F6500">
        <w:t>normā</w:t>
      </w:r>
      <w:r w:rsidR="006F6500" w:rsidRPr="004724DC">
        <w:t xml:space="preserve"> </w:t>
      </w:r>
      <w:r w:rsidR="008F7C21" w:rsidRPr="004724DC">
        <w:t xml:space="preserve">konstatējamiem kritērijiem, </w:t>
      </w:r>
      <w:r w:rsidR="00097D24">
        <w:t>kā arī</w:t>
      </w:r>
      <w:r w:rsidR="008F7C21" w:rsidRPr="004724DC">
        <w:t xml:space="preserve"> tiesa nav devusi iespēju lietas dalībniekiem sniegt paskaidrojumus vai iesniegt pierādījumus par norādīto kritēriju iestāšanās apstākļiem</w:t>
      </w:r>
      <w:r w:rsidR="00CF6B60" w:rsidRPr="004724DC">
        <w:t>.</w:t>
      </w:r>
      <w:r w:rsidR="00CF6B60" w:rsidRPr="004724DC" w:rsidDel="00CF6B60">
        <w:t xml:space="preserve"> </w:t>
      </w:r>
      <w:r w:rsidR="002E4E01" w:rsidRPr="004724DC">
        <w:lastRenderedPageBreak/>
        <w:t xml:space="preserve">Nevērtējot </w:t>
      </w:r>
      <w:r w:rsidR="007E4C22">
        <w:t>pierādījumus par šiem apstākļiem</w:t>
      </w:r>
      <w:r w:rsidR="00097D24">
        <w:t>,</w:t>
      </w:r>
      <w:r w:rsidR="002E4E01" w:rsidRPr="004724DC">
        <w:t xml:space="preserve"> nav iespējams konstatēt, vai iestājies 1996. gada 19. oktobra Konvencijas 23. panta 2. punkta „a” apakšpunktā noteiktais pamats atteikt atzīt Krievijas Federācijas tiesas spriedumu. </w:t>
      </w:r>
    </w:p>
    <w:p w14:paraId="222B6C9B" w14:textId="77777777" w:rsidR="004724DC" w:rsidRPr="00CF60AB" w:rsidRDefault="004724DC" w:rsidP="0038293E">
      <w:pPr>
        <w:pStyle w:val="NormalWeb"/>
        <w:shd w:val="clear" w:color="auto" w:fill="FFFFFF"/>
        <w:spacing w:before="0" w:beforeAutospacing="0" w:after="0" w:afterAutospacing="0" w:line="276" w:lineRule="auto"/>
        <w:ind w:firstLine="709"/>
        <w:jc w:val="both"/>
        <w:rPr>
          <w:i/>
          <w:iCs/>
        </w:rPr>
      </w:pPr>
    </w:p>
    <w:p w14:paraId="06490FB2" w14:textId="0825CB0F"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Lietas dalībnieka uzklausīšanas pienākuma izpildes pārbaude</w:t>
      </w:r>
    </w:p>
    <w:p w14:paraId="57B37DC4" w14:textId="5C6EA9F9" w:rsidR="00BC033D" w:rsidRPr="004724DC" w:rsidRDefault="00614C52" w:rsidP="0038293E">
      <w:pPr>
        <w:pStyle w:val="NormalWeb"/>
        <w:shd w:val="clear" w:color="auto" w:fill="FFFFFF"/>
        <w:spacing w:before="0" w:beforeAutospacing="0" w:after="0" w:afterAutospacing="0" w:line="276" w:lineRule="auto"/>
        <w:ind w:firstLine="709"/>
        <w:jc w:val="both"/>
      </w:pPr>
      <w:r w:rsidRPr="004724DC">
        <w:t>[</w:t>
      </w:r>
      <w:r w:rsidR="00521C24">
        <w:t>14</w:t>
      </w:r>
      <w:r w:rsidRPr="004724DC">
        <w:t>]</w:t>
      </w:r>
      <w:r w:rsidR="009161C5" w:rsidRPr="004724DC">
        <w:t> </w:t>
      </w:r>
      <w:r w:rsidRPr="004724DC">
        <w:t xml:space="preserve">Vēl viens šķērslis atzīt un izpildīt </w:t>
      </w:r>
      <w:r w:rsidR="002E4E01" w:rsidRPr="004724DC">
        <w:t xml:space="preserve">ārvalsts tiesas </w:t>
      </w:r>
      <w:r w:rsidR="006F6500">
        <w:t>nolēmumu</w:t>
      </w:r>
      <w:r w:rsidR="006F6500" w:rsidRPr="004724DC">
        <w:t xml:space="preserve"> </w:t>
      </w:r>
      <w:r w:rsidR="006E1DD7" w:rsidRPr="004724DC">
        <w:t xml:space="preserve">paredzēts </w:t>
      </w:r>
      <w:r w:rsidRPr="004724DC">
        <w:t>1996.</w:t>
      </w:r>
      <w:r w:rsidR="006C36E7" w:rsidRPr="004724DC">
        <w:t> </w:t>
      </w:r>
      <w:r w:rsidRPr="004724DC">
        <w:t>gada 19.</w:t>
      </w:r>
      <w:r w:rsidR="006C36E7" w:rsidRPr="004724DC">
        <w:t> </w:t>
      </w:r>
      <w:r w:rsidRPr="004724DC">
        <w:t>oktobra Konvencij</w:t>
      </w:r>
      <w:r w:rsidR="006E1DD7" w:rsidRPr="004724DC">
        <w:t xml:space="preserve">as </w:t>
      </w:r>
      <w:r w:rsidRPr="004724DC">
        <w:t>23.</w:t>
      </w:r>
      <w:r w:rsidR="006C36E7" w:rsidRPr="004724DC">
        <w:t> </w:t>
      </w:r>
      <w:r w:rsidRPr="004724DC">
        <w:t>panta 2.</w:t>
      </w:r>
      <w:r w:rsidR="006C36E7" w:rsidRPr="004724DC">
        <w:t> </w:t>
      </w:r>
      <w:r w:rsidRPr="004724DC">
        <w:t xml:space="preserve">punkta </w:t>
      </w:r>
      <w:r w:rsidR="002E4E01" w:rsidRPr="004724DC">
        <w:t>„c”</w:t>
      </w:r>
      <w:r w:rsidR="002C5FFF" w:rsidRPr="004724DC">
        <w:t> </w:t>
      </w:r>
      <w:r w:rsidR="002E4E01" w:rsidRPr="004724DC">
        <w:t xml:space="preserve">apakšpunktā, proti, pēc kādas personas lūguma, kura apgalvo, ka pasākums aizskar tās vecāku atbildību, un ja pasākums, izņemot steidzamības gadījumus, veikts, nedodot šai personai iespēju tikt uzklausītai. </w:t>
      </w:r>
    </w:p>
    <w:p w14:paraId="32CA9A20" w14:textId="57185FC1" w:rsidR="001E10EC" w:rsidRDefault="005046F4" w:rsidP="0038293E">
      <w:pPr>
        <w:pStyle w:val="NormalWeb"/>
        <w:shd w:val="clear" w:color="auto" w:fill="FFFFFF"/>
        <w:spacing w:before="0" w:beforeAutospacing="0" w:after="0" w:afterAutospacing="0" w:line="276" w:lineRule="auto"/>
        <w:ind w:firstLine="709"/>
        <w:jc w:val="both"/>
      </w:pPr>
      <w:r w:rsidRPr="004724DC">
        <w:t>Paskaidrojošajā materiālā par šo konvencijas pantu norādīts, ka š</w:t>
      </w:r>
      <w:r w:rsidR="00BC033D" w:rsidRPr="004724DC">
        <w:t>is ir procesuālo jautājumu sabiedriskās kārtības aspekta izpausmes piemērs, kas paredz sankcijas par atbildētāja tiesību uz pienācīgu tiesas procesu pārkāpumu (sk.</w:t>
      </w:r>
      <w:r w:rsidR="00BC033D" w:rsidRPr="004724DC">
        <w:rPr>
          <w:rFonts w:eastAsiaTheme="minorHAnsi"/>
          <w:kern w:val="2"/>
          <w:lang w:eastAsia="en-US"/>
          <w14:ligatures w14:val="standardContextual"/>
        </w:rPr>
        <w:t xml:space="preserve"> </w:t>
      </w:r>
      <w:proofErr w:type="spellStart"/>
      <w:r w:rsidR="00BC033D" w:rsidRPr="004724DC">
        <w:rPr>
          <w:i/>
          <w:iCs/>
        </w:rPr>
        <w:t>Lagarde</w:t>
      </w:r>
      <w:proofErr w:type="spellEnd"/>
      <w:r w:rsidR="00BC033D" w:rsidRPr="004724DC">
        <w:rPr>
          <w:i/>
          <w:iCs/>
        </w:rPr>
        <w:t xml:space="preserve"> P. </w:t>
      </w:r>
      <w:hyperlink r:id="rId10" w:history="1">
        <w:proofErr w:type="spellStart"/>
        <w:r w:rsidR="00BC033D" w:rsidRPr="004724DC">
          <w:rPr>
            <w:rStyle w:val="Hyperlink"/>
            <w:i/>
            <w:iCs/>
          </w:rPr>
          <w:t>Explanatory</w:t>
        </w:r>
        <w:proofErr w:type="spellEnd"/>
        <w:r w:rsidR="00BC033D" w:rsidRPr="004724DC">
          <w:rPr>
            <w:rStyle w:val="Hyperlink"/>
            <w:i/>
            <w:iCs/>
          </w:rPr>
          <w:t xml:space="preserve"> </w:t>
        </w:r>
        <w:proofErr w:type="spellStart"/>
        <w:r w:rsidR="00BC033D" w:rsidRPr="004724DC">
          <w:rPr>
            <w:rStyle w:val="Hyperlink"/>
            <w:i/>
            <w:iCs/>
          </w:rPr>
          <w:t>Report</w:t>
        </w:r>
        <w:proofErr w:type="spellEnd"/>
      </w:hyperlink>
      <w:r w:rsidR="00BC033D" w:rsidRPr="004724DC">
        <w:rPr>
          <w:i/>
          <w:iCs/>
        </w:rPr>
        <w:t xml:space="preserve"> </w:t>
      </w:r>
      <w:proofErr w:type="spellStart"/>
      <w:r w:rsidR="00BC033D" w:rsidRPr="004724DC">
        <w:rPr>
          <w:i/>
          <w:iCs/>
        </w:rPr>
        <w:t>on</w:t>
      </w:r>
      <w:proofErr w:type="spellEnd"/>
      <w:r w:rsidR="00BC033D" w:rsidRPr="004724DC">
        <w:rPr>
          <w:i/>
          <w:iCs/>
        </w:rPr>
        <w:t xml:space="preserve"> </w:t>
      </w:r>
      <w:proofErr w:type="spellStart"/>
      <w:r w:rsidR="00BC033D" w:rsidRPr="004724DC">
        <w:rPr>
          <w:i/>
          <w:iCs/>
        </w:rPr>
        <w:t>the</w:t>
      </w:r>
      <w:proofErr w:type="spellEnd"/>
      <w:r w:rsidR="00BC033D" w:rsidRPr="004724DC">
        <w:rPr>
          <w:i/>
          <w:iCs/>
        </w:rPr>
        <w:t xml:space="preserve"> </w:t>
      </w:r>
      <w:proofErr w:type="spellStart"/>
      <w:r w:rsidR="00BC033D" w:rsidRPr="004724DC">
        <w:rPr>
          <w:i/>
          <w:iCs/>
        </w:rPr>
        <w:t>Convention</w:t>
      </w:r>
      <w:proofErr w:type="spellEnd"/>
      <w:r w:rsidR="00BC033D" w:rsidRPr="004724DC">
        <w:rPr>
          <w:i/>
          <w:iCs/>
        </w:rPr>
        <w:t xml:space="preserve"> </w:t>
      </w:r>
      <w:proofErr w:type="spellStart"/>
      <w:r w:rsidR="00BC033D" w:rsidRPr="004724DC">
        <w:rPr>
          <w:i/>
          <w:iCs/>
        </w:rPr>
        <w:t>of</w:t>
      </w:r>
      <w:proofErr w:type="spellEnd"/>
      <w:r w:rsidR="00BC033D" w:rsidRPr="004724DC">
        <w:rPr>
          <w:i/>
          <w:iCs/>
        </w:rPr>
        <w:t xml:space="preserve"> 19 </w:t>
      </w:r>
      <w:proofErr w:type="spellStart"/>
      <w:r w:rsidR="00BC033D" w:rsidRPr="004724DC">
        <w:rPr>
          <w:i/>
          <w:iCs/>
        </w:rPr>
        <w:t>October</w:t>
      </w:r>
      <w:proofErr w:type="spellEnd"/>
      <w:r w:rsidR="00BC033D" w:rsidRPr="004724DC">
        <w:rPr>
          <w:i/>
          <w:iCs/>
        </w:rPr>
        <w:t xml:space="preserve"> 1996 </w:t>
      </w:r>
      <w:proofErr w:type="spellStart"/>
      <w:r w:rsidR="00BC033D" w:rsidRPr="004724DC">
        <w:rPr>
          <w:i/>
          <w:iCs/>
        </w:rPr>
        <w:t>on</w:t>
      </w:r>
      <w:proofErr w:type="spellEnd"/>
      <w:r w:rsidR="00BC033D" w:rsidRPr="004724DC">
        <w:rPr>
          <w:i/>
          <w:iCs/>
        </w:rPr>
        <w:t xml:space="preserve"> </w:t>
      </w:r>
      <w:proofErr w:type="spellStart"/>
      <w:r w:rsidR="00BC033D" w:rsidRPr="004724DC">
        <w:rPr>
          <w:i/>
          <w:iCs/>
        </w:rPr>
        <w:t>Jurisdiction</w:t>
      </w:r>
      <w:proofErr w:type="spellEnd"/>
      <w:r w:rsidR="00BC033D" w:rsidRPr="004724DC">
        <w:rPr>
          <w:i/>
          <w:iCs/>
        </w:rPr>
        <w:t xml:space="preserve">, </w:t>
      </w:r>
      <w:proofErr w:type="spellStart"/>
      <w:r w:rsidR="00BC033D" w:rsidRPr="004724DC">
        <w:rPr>
          <w:i/>
          <w:iCs/>
        </w:rPr>
        <w:t>Applicable</w:t>
      </w:r>
      <w:proofErr w:type="spellEnd"/>
      <w:r w:rsidR="00BC033D" w:rsidRPr="004724DC">
        <w:rPr>
          <w:i/>
          <w:iCs/>
        </w:rPr>
        <w:t xml:space="preserve"> </w:t>
      </w:r>
      <w:proofErr w:type="spellStart"/>
      <w:r w:rsidR="00BC033D" w:rsidRPr="004724DC">
        <w:rPr>
          <w:i/>
          <w:iCs/>
        </w:rPr>
        <w:t>Law</w:t>
      </w:r>
      <w:proofErr w:type="spellEnd"/>
      <w:r w:rsidR="00BC033D" w:rsidRPr="004724DC">
        <w:rPr>
          <w:i/>
          <w:iCs/>
        </w:rPr>
        <w:t xml:space="preserve">, </w:t>
      </w:r>
      <w:proofErr w:type="spellStart"/>
      <w:r w:rsidR="00BC033D" w:rsidRPr="004724DC">
        <w:rPr>
          <w:i/>
          <w:iCs/>
        </w:rPr>
        <w:t>Recognition</w:t>
      </w:r>
      <w:proofErr w:type="spellEnd"/>
      <w:r w:rsidR="00BC033D" w:rsidRPr="004724DC">
        <w:rPr>
          <w:i/>
          <w:iCs/>
        </w:rPr>
        <w:t xml:space="preserve">, </w:t>
      </w:r>
      <w:proofErr w:type="spellStart"/>
      <w:r w:rsidR="00BC033D" w:rsidRPr="004724DC">
        <w:rPr>
          <w:i/>
          <w:iCs/>
        </w:rPr>
        <w:t>Enforcement</w:t>
      </w:r>
      <w:proofErr w:type="spellEnd"/>
      <w:r w:rsidR="00BC033D" w:rsidRPr="004724DC">
        <w:rPr>
          <w:i/>
          <w:iCs/>
        </w:rPr>
        <w:t xml:space="preserve"> </w:t>
      </w:r>
      <w:proofErr w:type="spellStart"/>
      <w:r w:rsidR="00BC033D" w:rsidRPr="004724DC">
        <w:rPr>
          <w:i/>
          <w:iCs/>
        </w:rPr>
        <w:t>and</w:t>
      </w:r>
      <w:proofErr w:type="spellEnd"/>
      <w:r w:rsidR="00BC033D" w:rsidRPr="004724DC">
        <w:rPr>
          <w:i/>
          <w:iCs/>
        </w:rPr>
        <w:t xml:space="preserve"> </w:t>
      </w:r>
      <w:proofErr w:type="spellStart"/>
      <w:r w:rsidR="00BC033D" w:rsidRPr="004724DC">
        <w:rPr>
          <w:i/>
          <w:iCs/>
        </w:rPr>
        <w:t>Co-operation</w:t>
      </w:r>
      <w:proofErr w:type="spellEnd"/>
      <w:r w:rsidR="00BC033D" w:rsidRPr="004724DC">
        <w:rPr>
          <w:i/>
          <w:iCs/>
        </w:rPr>
        <w:t xml:space="preserve"> </w:t>
      </w:r>
      <w:proofErr w:type="spellStart"/>
      <w:r w:rsidR="00BC033D" w:rsidRPr="004724DC">
        <w:rPr>
          <w:i/>
          <w:iCs/>
        </w:rPr>
        <w:t>in</w:t>
      </w:r>
      <w:proofErr w:type="spellEnd"/>
      <w:r w:rsidR="00BC033D" w:rsidRPr="004724DC">
        <w:rPr>
          <w:i/>
          <w:iCs/>
        </w:rPr>
        <w:t xml:space="preserve"> </w:t>
      </w:r>
      <w:proofErr w:type="spellStart"/>
      <w:r w:rsidR="00BC033D" w:rsidRPr="004724DC">
        <w:rPr>
          <w:i/>
          <w:iCs/>
        </w:rPr>
        <w:t>Respect</w:t>
      </w:r>
      <w:proofErr w:type="spellEnd"/>
      <w:r w:rsidR="00BC033D" w:rsidRPr="004724DC">
        <w:rPr>
          <w:i/>
          <w:iCs/>
        </w:rPr>
        <w:t xml:space="preserve"> </w:t>
      </w:r>
      <w:proofErr w:type="spellStart"/>
      <w:r w:rsidR="00BC033D" w:rsidRPr="004724DC">
        <w:rPr>
          <w:i/>
          <w:iCs/>
        </w:rPr>
        <w:t>of</w:t>
      </w:r>
      <w:proofErr w:type="spellEnd"/>
      <w:r w:rsidR="00BC033D" w:rsidRPr="004724DC">
        <w:rPr>
          <w:i/>
          <w:iCs/>
        </w:rPr>
        <w:t xml:space="preserve"> </w:t>
      </w:r>
      <w:proofErr w:type="spellStart"/>
      <w:r w:rsidR="00BC033D" w:rsidRPr="004724DC">
        <w:rPr>
          <w:i/>
          <w:iCs/>
        </w:rPr>
        <w:t>Parental</w:t>
      </w:r>
      <w:proofErr w:type="spellEnd"/>
      <w:r w:rsidR="00BC033D" w:rsidRPr="004724DC">
        <w:rPr>
          <w:i/>
          <w:iCs/>
        </w:rPr>
        <w:t xml:space="preserve"> </w:t>
      </w:r>
      <w:proofErr w:type="spellStart"/>
      <w:r w:rsidR="00BC033D" w:rsidRPr="004724DC">
        <w:rPr>
          <w:i/>
          <w:iCs/>
        </w:rPr>
        <w:t>Responsibility</w:t>
      </w:r>
      <w:proofErr w:type="spellEnd"/>
      <w:r w:rsidR="00BC033D" w:rsidRPr="004724DC">
        <w:rPr>
          <w:i/>
          <w:iCs/>
        </w:rPr>
        <w:t xml:space="preserve"> </w:t>
      </w:r>
      <w:proofErr w:type="spellStart"/>
      <w:r w:rsidR="00BC033D" w:rsidRPr="004724DC">
        <w:rPr>
          <w:i/>
          <w:iCs/>
        </w:rPr>
        <w:t>and</w:t>
      </w:r>
      <w:proofErr w:type="spellEnd"/>
      <w:r w:rsidR="00BC033D" w:rsidRPr="004724DC">
        <w:rPr>
          <w:i/>
          <w:iCs/>
        </w:rPr>
        <w:t xml:space="preserve"> </w:t>
      </w:r>
      <w:proofErr w:type="spellStart"/>
      <w:r w:rsidR="00BC033D" w:rsidRPr="004724DC">
        <w:rPr>
          <w:i/>
          <w:iCs/>
        </w:rPr>
        <w:t>Measures</w:t>
      </w:r>
      <w:proofErr w:type="spellEnd"/>
      <w:r w:rsidR="00BC033D" w:rsidRPr="004724DC">
        <w:rPr>
          <w:i/>
          <w:iCs/>
        </w:rPr>
        <w:t xml:space="preserve"> </w:t>
      </w:r>
      <w:proofErr w:type="spellStart"/>
      <w:r w:rsidR="00BC033D" w:rsidRPr="004724DC">
        <w:rPr>
          <w:i/>
          <w:iCs/>
        </w:rPr>
        <w:t>for</w:t>
      </w:r>
      <w:proofErr w:type="spellEnd"/>
      <w:r w:rsidR="00BC033D" w:rsidRPr="004724DC">
        <w:rPr>
          <w:i/>
          <w:iCs/>
        </w:rPr>
        <w:t xml:space="preserve"> </w:t>
      </w:r>
      <w:proofErr w:type="spellStart"/>
      <w:r w:rsidR="00BC033D" w:rsidRPr="004724DC">
        <w:rPr>
          <w:i/>
          <w:iCs/>
        </w:rPr>
        <w:t>the</w:t>
      </w:r>
      <w:proofErr w:type="spellEnd"/>
      <w:r w:rsidR="00BC033D" w:rsidRPr="004724DC">
        <w:rPr>
          <w:i/>
          <w:iCs/>
        </w:rPr>
        <w:t xml:space="preserve"> </w:t>
      </w:r>
      <w:proofErr w:type="spellStart"/>
      <w:r w:rsidR="00BC033D" w:rsidRPr="004724DC">
        <w:rPr>
          <w:i/>
          <w:iCs/>
        </w:rPr>
        <w:t>Protection</w:t>
      </w:r>
      <w:proofErr w:type="spellEnd"/>
      <w:r w:rsidR="00BC033D" w:rsidRPr="004724DC">
        <w:rPr>
          <w:i/>
          <w:iCs/>
        </w:rPr>
        <w:t xml:space="preserve"> </w:t>
      </w:r>
      <w:proofErr w:type="spellStart"/>
      <w:r w:rsidR="00BC033D" w:rsidRPr="004724DC">
        <w:rPr>
          <w:i/>
          <w:iCs/>
        </w:rPr>
        <w:t>of</w:t>
      </w:r>
      <w:proofErr w:type="spellEnd"/>
      <w:r w:rsidR="00BC033D" w:rsidRPr="004724DC">
        <w:rPr>
          <w:i/>
          <w:iCs/>
        </w:rPr>
        <w:t xml:space="preserve"> </w:t>
      </w:r>
      <w:proofErr w:type="spellStart"/>
      <w:r w:rsidR="00BC033D" w:rsidRPr="004724DC">
        <w:rPr>
          <w:i/>
          <w:iCs/>
        </w:rPr>
        <w:t>Children</w:t>
      </w:r>
      <w:proofErr w:type="spellEnd"/>
      <w:r w:rsidR="00BC033D" w:rsidRPr="004724DC">
        <w:rPr>
          <w:i/>
          <w:iCs/>
        </w:rPr>
        <w:t xml:space="preserve">. </w:t>
      </w:r>
      <w:proofErr w:type="spellStart"/>
      <w:r w:rsidR="00BC033D" w:rsidRPr="004724DC">
        <w:rPr>
          <w:i/>
          <w:iCs/>
        </w:rPr>
        <w:t>Hague</w:t>
      </w:r>
      <w:proofErr w:type="spellEnd"/>
      <w:r w:rsidR="00BC033D" w:rsidRPr="004724DC">
        <w:rPr>
          <w:i/>
          <w:iCs/>
        </w:rPr>
        <w:t xml:space="preserve"> </w:t>
      </w:r>
      <w:proofErr w:type="spellStart"/>
      <w:r w:rsidR="00BC033D" w:rsidRPr="004724DC">
        <w:rPr>
          <w:i/>
          <w:iCs/>
        </w:rPr>
        <w:t>Conference</w:t>
      </w:r>
      <w:proofErr w:type="spellEnd"/>
      <w:r w:rsidR="00BC033D" w:rsidRPr="004724DC">
        <w:rPr>
          <w:i/>
          <w:iCs/>
        </w:rPr>
        <w:t xml:space="preserve"> </w:t>
      </w:r>
      <w:proofErr w:type="spellStart"/>
      <w:r w:rsidR="00BC033D" w:rsidRPr="004724DC">
        <w:rPr>
          <w:i/>
          <w:iCs/>
        </w:rPr>
        <w:t>on</w:t>
      </w:r>
      <w:proofErr w:type="spellEnd"/>
      <w:r w:rsidR="00BC033D" w:rsidRPr="004724DC">
        <w:rPr>
          <w:i/>
          <w:iCs/>
        </w:rPr>
        <w:t xml:space="preserve"> </w:t>
      </w:r>
      <w:proofErr w:type="spellStart"/>
      <w:r w:rsidR="00BC033D" w:rsidRPr="004724DC">
        <w:rPr>
          <w:i/>
          <w:iCs/>
        </w:rPr>
        <w:t>Private</w:t>
      </w:r>
      <w:proofErr w:type="spellEnd"/>
      <w:r w:rsidR="00BC033D" w:rsidRPr="004724DC">
        <w:rPr>
          <w:i/>
          <w:iCs/>
        </w:rPr>
        <w:t xml:space="preserve"> </w:t>
      </w:r>
      <w:proofErr w:type="spellStart"/>
      <w:r w:rsidR="00BC033D" w:rsidRPr="004724DC">
        <w:rPr>
          <w:i/>
          <w:iCs/>
        </w:rPr>
        <w:t>International</w:t>
      </w:r>
      <w:proofErr w:type="spellEnd"/>
      <w:r w:rsidR="00BC033D" w:rsidRPr="004724DC">
        <w:rPr>
          <w:i/>
          <w:iCs/>
        </w:rPr>
        <w:t xml:space="preserve"> </w:t>
      </w:r>
      <w:proofErr w:type="spellStart"/>
      <w:r w:rsidR="00BC033D" w:rsidRPr="004724DC">
        <w:rPr>
          <w:i/>
          <w:iCs/>
        </w:rPr>
        <w:t>Law</w:t>
      </w:r>
      <w:proofErr w:type="spellEnd"/>
      <w:r w:rsidR="00BC033D" w:rsidRPr="004724DC">
        <w:rPr>
          <w:i/>
          <w:iCs/>
        </w:rPr>
        <w:t>, 199</w:t>
      </w:r>
      <w:r w:rsidR="00567E98">
        <w:rPr>
          <w:i/>
          <w:iCs/>
        </w:rPr>
        <w:t>7</w:t>
      </w:r>
      <w:r w:rsidR="00BC033D" w:rsidRPr="004724DC">
        <w:rPr>
          <w:i/>
          <w:iCs/>
        </w:rPr>
        <w:t xml:space="preserve">, </w:t>
      </w:r>
      <w:proofErr w:type="spellStart"/>
      <w:r w:rsidR="00BC033D" w:rsidRPr="004724DC">
        <w:rPr>
          <w:i/>
          <w:iCs/>
        </w:rPr>
        <w:t>para</w:t>
      </w:r>
      <w:proofErr w:type="spellEnd"/>
      <w:r w:rsidR="006F6500">
        <w:rPr>
          <w:i/>
          <w:iCs/>
        </w:rPr>
        <w:t> </w:t>
      </w:r>
      <w:r w:rsidR="00BC033D" w:rsidRPr="004724DC">
        <w:rPr>
          <w:i/>
          <w:iCs/>
        </w:rPr>
        <w:t>124</w:t>
      </w:r>
      <w:r w:rsidR="00BC033D" w:rsidRPr="004724DC">
        <w:t xml:space="preserve">). </w:t>
      </w:r>
    </w:p>
    <w:p w14:paraId="1D9463A6" w14:textId="17E499A7" w:rsidR="004F71A9" w:rsidRDefault="004F71A9" w:rsidP="0038293E">
      <w:pPr>
        <w:pStyle w:val="NormalWeb"/>
        <w:shd w:val="clear" w:color="auto" w:fill="FFFFFF"/>
        <w:spacing w:before="0" w:beforeAutospacing="0" w:after="0" w:afterAutospacing="0" w:line="276" w:lineRule="auto"/>
        <w:ind w:firstLine="709"/>
        <w:jc w:val="both"/>
      </w:pPr>
      <w:r>
        <w:t xml:space="preserve">Tiesības tikt uzklausītam ir tiesību uz taisnīgu tiesu daļa, kas būtībā aptver vispārīgas tiesības efektīvi </w:t>
      </w:r>
      <w:r w:rsidR="00656DC1">
        <w:t>piedalīties tiesvedībā un tiesības uz procesuālo tiesību vienlīdzību (sk.</w:t>
      </w:r>
      <w:r w:rsidR="007F317F">
        <w:t xml:space="preserve"> </w:t>
      </w:r>
      <w:r w:rsidR="007F317F" w:rsidRPr="004724DC">
        <w:rPr>
          <w:i/>
          <w:iCs/>
        </w:rPr>
        <w:t>Eiropas Cilvēktiesību tiesas 2016. gada 31. maija spriedum</w:t>
      </w:r>
      <w:r w:rsidR="0062399F">
        <w:rPr>
          <w:i/>
          <w:iCs/>
        </w:rPr>
        <w:t>a</w:t>
      </w:r>
      <w:r w:rsidR="007F317F" w:rsidRPr="004724DC">
        <w:rPr>
          <w:i/>
          <w:iCs/>
        </w:rPr>
        <w:t xml:space="preserve"> lietā „</w:t>
      </w:r>
      <w:proofErr w:type="spellStart"/>
      <w:r w:rsidR="007F317F" w:rsidRPr="004724DC">
        <w:rPr>
          <w:i/>
          <w:iCs/>
        </w:rPr>
        <w:t>Gankin</w:t>
      </w:r>
      <w:proofErr w:type="spellEnd"/>
      <w:r w:rsidR="007F317F" w:rsidRPr="004724DC">
        <w:rPr>
          <w:i/>
          <w:iCs/>
        </w:rPr>
        <w:t xml:space="preserve"> </w:t>
      </w:r>
      <w:proofErr w:type="spellStart"/>
      <w:r w:rsidR="007F317F" w:rsidRPr="004724DC">
        <w:rPr>
          <w:i/>
          <w:iCs/>
        </w:rPr>
        <w:t>and</w:t>
      </w:r>
      <w:proofErr w:type="spellEnd"/>
      <w:r w:rsidR="007F317F" w:rsidRPr="004724DC">
        <w:rPr>
          <w:i/>
          <w:iCs/>
        </w:rPr>
        <w:t xml:space="preserve"> </w:t>
      </w:r>
      <w:proofErr w:type="spellStart"/>
      <w:r w:rsidR="007F317F" w:rsidRPr="004724DC">
        <w:rPr>
          <w:i/>
          <w:iCs/>
        </w:rPr>
        <w:t>Others</w:t>
      </w:r>
      <w:proofErr w:type="spellEnd"/>
      <w:r w:rsidR="007F317F" w:rsidRPr="004724DC">
        <w:rPr>
          <w:i/>
          <w:iCs/>
        </w:rPr>
        <w:t xml:space="preserve"> v. </w:t>
      </w:r>
      <w:proofErr w:type="spellStart"/>
      <w:r w:rsidR="007F317F" w:rsidRPr="004724DC">
        <w:rPr>
          <w:i/>
          <w:iCs/>
        </w:rPr>
        <w:t>Russia</w:t>
      </w:r>
      <w:proofErr w:type="spellEnd"/>
      <w:r w:rsidR="007F317F" w:rsidRPr="004724DC">
        <w:rPr>
          <w:i/>
          <w:iCs/>
        </w:rPr>
        <w:t xml:space="preserve">”, </w:t>
      </w:r>
      <w:r w:rsidR="00E55072" w:rsidRPr="004724DC">
        <w:rPr>
          <w:i/>
          <w:iCs/>
        </w:rPr>
        <w:t>iesniegum</w:t>
      </w:r>
      <w:r w:rsidR="00E55072">
        <w:rPr>
          <w:i/>
          <w:iCs/>
        </w:rPr>
        <w:t>u</w:t>
      </w:r>
      <w:r w:rsidR="00E55072" w:rsidRPr="004724DC">
        <w:rPr>
          <w:i/>
          <w:iCs/>
        </w:rPr>
        <w:t xml:space="preserve"> </w:t>
      </w:r>
      <w:r w:rsidR="007F317F" w:rsidRPr="004724DC">
        <w:rPr>
          <w:i/>
          <w:iCs/>
        </w:rPr>
        <w:t>Nr. </w:t>
      </w:r>
      <w:hyperlink r:id="rId11" w:history="1">
        <w:r w:rsidR="007F317F" w:rsidRPr="004724DC">
          <w:rPr>
            <w:rStyle w:val="Hyperlink"/>
            <w:i/>
            <w:iCs/>
          </w:rPr>
          <w:t>2430/06, 1454/08, 11670/10 un 12938/12</w:t>
        </w:r>
      </w:hyperlink>
      <w:r w:rsidR="007F317F">
        <w:t xml:space="preserve">, </w:t>
      </w:r>
      <w:r w:rsidR="007F317F" w:rsidRPr="00BA2723">
        <w:rPr>
          <w:i/>
          <w:iCs/>
        </w:rPr>
        <w:t>25. </w:t>
      </w:r>
      <w:r w:rsidR="0062399F" w:rsidRPr="00BA2723">
        <w:rPr>
          <w:i/>
          <w:iCs/>
        </w:rPr>
        <w:t>punktu</w:t>
      </w:r>
      <w:r w:rsidR="0062399F">
        <w:t xml:space="preserve">). </w:t>
      </w:r>
    </w:p>
    <w:p w14:paraId="3E0C24FF" w14:textId="5BD7CC5B" w:rsidR="008D3D50" w:rsidRPr="004724DC" w:rsidRDefault="00951B51" w:rsidP="0038293E">
      <w:pPr>
        <w:pStyle w:val="NormalWeb"/>
        <w:shd w:val="clear" w:color="auto" w:fill="FFFFFF"/>
        <w:spacing w:before="0" w:beforeAutospacing="0" w:after="0" w:afterAutospacing="0" w:line="276" w:lineRule="auto"/>
        <w:ind w:firstLine="709"/>
        <w:jc w:val="both"/>
      </w:pPr>
      <w:r w:rsidRPr="004724DC">
        <w:t>Tāpēc</w:t>
      </w:r>
      <w:r w:rsidR="008D3D50" w:rsidRPr="004724DC">
        <w:t xml:space="preserve"> jautājums par to, vai atbildētājam </w:t>
      </w:r>
      <w:r w:rsidR="006F6500">
        <w:t xml:space="preserve">ir bijusi </w:t>
      </w:r>
      <w:r w:rsidR="008D3D50" w:rsidRPr="004724DC">
        <w:t>nodrošināta iespēja tikt uzklausītam Krievijas Federācijas tiesas procesā</w:t>
      </w:r>
      <w:r w:rsidRPr="004724DC">
        <w:t xml:space="preserve"> konkrētajā lietā</w:t>
      </w:r>
      <w:r w:rsidR="008D3D50" w:rsidRPr="004724DC">
        <w:t>, izvērtējams saistībā ar to, vai ir ievērotas atbildētāja tiesības uz taisnīgu tiesu</w:t>
      </w:r>
      <w:r w:rsidR="0062399F">
        <w:t xml:space="preserve"> </w:t>
      </w:r>
      <w:r w:rsidR="0062399F" w:rsidRPr="00B61CCA">
        <w:t xml:space="preserve">(sk. </w:t>
      </w:r>
      <w:r w:rsidR="0062399F" w:rsidRPr="00BA2723">
        <w:rPr>
          <w:i/>
          <w:iCs/>
        </w:rPr>
        <w:t>š</w:t>
      </w:r>
      <w:r w:rsidR="00BA2723" w:rsidRPr="00BA2723">
        <w:rPr>
          <w:i/>
          <w:iCs/>
        </w:rPr>
        <w:t>ā</w:t>
      </w:r>
      <w:r w:rsidR="0062399F" w:rsidRPr="00BA2723">
        <w:rPr>
          <w:i/>
          <w:iCs/>
        </w:rPr>
        <w:t xml:space="preserve"> lēmuma </w:t>
      </w:r>
      <w:r w:rsidR="00A87A88" w:rsidRPr="00BA2723">
        <w:rPr>
          <w:i/>
          <w:iCs/>
        </w:rPr>
        <w:t>17</w:t>
      </w:r>
      <w:r w:rsidR="0062399F" w:rsidRPr="00BA2723">
        <w:rPr>
          <w:i/>
          <w:iCs/>
        </w:rPr>
        <w:t>. punktu</w:t>
      </w:r>
      <w:r w:rsidR="0062399F" w:rsidRPr="00B61CCA">
        <w:t>)</w:t>
      </w:r>
      <w:r w:rsidR="008D3D50" w:rsidRPr="00B61CCA">
        <w:t>.</w:t>
      </w:r>
    </w:p>
    <w:p w14:paraId="611AA894" w14:textId="6349E075" w:rsidR="001E10EC" w:rsidRDefault="0062085F" w:rsidP="0038293E">
      <w:pPr>
        <w:pStyle w:val="NormalWeb"/>
        <w:shd w:val="clear" w:color="auto" w:fill="FFFFFF"/>
        <w:spacing w:before="0" w:beforeAutospacing="0" w:after="0" w:afterAutospacing="0" w:line="276" w:lineRule="auto"/>
        <w:ind w:firstLine="709"/>
        <w:jc w:val="both"/>
      </w:pPr>
      <w:r>
        <w:t xml:space="preserve">Ņemams vērā, ka </w:t>
      </w:r>
      <w:r w:rsidRPr="004724DC">
        <w:t xml:space="preserve">1996. gada 19. oktobra Konvencijas līgumslēdzējas valstis šīs konvencijas 23. panta 2. punkta „c” apakšpunktā izvēlējušās nodalīt un pievērst īpašu uzmanību </w:t>
      </w:r>
      <w:proofErr w:type="spellStart"/>
      <w:r w:rsidRPr="004724DC">
        <w:t>atzinējvalst</w:t>
      </w:r>
      <w:r>
        <w:t>s</w:t>
      </w:r>
      <w:proofErr w:type="spellEnd"/>
      <w:r w:rsidRPr="004724DC">
        <w:t xml:space="preserve"> tiesībām atteikt atzīt un izpildīt ārvalsts tiesas nolēmumu, tiesību uz taisnīgu tiesu ievērošanas kontekstā vērtējot, vai </w:t>
      </w:r>
      <w:r>
        <w:t xml:space="preserve">nav tikuši </w:t>
      </w:r>
      <w:r w:rsidRPr="004724DC">
        <w:t>pieļauti procesuāli pārkāpumi atbildētāja kā bērna vecāka atbildībai.</w:t>
      </w:r>
    </w:p>
    <w:p w14:paraId="06864C19" w14:textId="2AC58245" w:rsidR="0062085F" w:rsidRDefault="0062085F" w:rsidP="0038293E">
      <w:pPr>
        <w:pStyle w:val="NormalWeb"/>
        <w:shd w:val="clear" w:color="auto" w:fill="FFFFFF"/>
        <w:spacing w:before="0" w:beforeAutospacing="0" w:after="0" w:afterAutospacing="0" w:line="276" w:lineRule="auto"/>
        <w:ind w:firstLine="709"/>
        <w:jc w:val="both"/>
      </w:pPr>
      <w:r w:rsidRPr="004724DC">
        <w:t xml:space="preserve">Attiecībā uz Krievijas Federācijas </w:t>
      </w:r>
      <w:r w:rsidR="00C7771F">
        <w:t>[..]</w:t>
      </w:r>
      <w:r w:rsidRPr="004724DC">
        <w:t xml:space="preserve"> rajona tiesas sprieduma atzīšanu un izpildi daļā par prasījumu par bērna dzīvesvietas noteikšanu jānodrošina konkurējošo interešu, proti, bērna</w:t>
      </w:r>
      <w:r>
        <w:t xml:space="preserve"> interešu</w:t>
      </w:r>
      <w:r w:rsidRPr="004724DC">
        <w:t xml:space="preserve">, abu vecāku </w:t>
      </w:r>
      <w:r>
        <w:t xml:space="preserve">interešu </w:t>
      </w:r>
      <w:r w:rsidRPr="004724DC">
        <w:t xml:space="preserve">un sabiedriskās kārtības </w:t>
      </w:r>
      <w:r>
        <w:t>interešu</w:t>
      </w:r>
      <w:r w:rsidR="008C1E83">
        <w:t>,</w:t>
      </w:r>
      <w:r>
        <w:t xml:space="preserve"> </w:t>
      </w:r>
      <w:r w:rsidRPr="004724DC">
        <w:t>līdzsvars. Vērtējot, vai Krievijas Federācijas tiesas spriedums atzīstams un izpildāms, jāņem vērā bērna vislabāko interešu nodrošināšana</w:t>
      </w:r>
      <w:r>
        <w:t>s nepieciešamība</w:t>
      </w:r>
      <w:r w:rsidRPr="004724DC">
        <w:t xml:space="preserve">, vērtējot samērīgumu starp atbildētāja kā bērna vecāka pienākumu neizpildes smagumu un vispārīgo principu par lietas taisnīgu izskatīšanu Krievijas Federācijas tiesā. </w:t>
      </w:r>
    </w:p>
    <w:p w14:paraId="2424261E" w14:textId="77777777" w:rsidR="00CF60AB" w:rsidRDefault="00CF60AB" w:rsidP="0038293E">
      <w:pPr>
        <w:pStyle w:val="NormalWeb"/>
        <w:shd w:val="clear" w:color="auto" w:fill="FFFFFF"/>
        <w:spacing w:before="0" w:beforeAutospacing="0" w:after="0" w:afterAutospacing="0" w:line="276" w:lineRule="auto"/>
        <w:ind w:firstLine="709"/>
        <w:jc w:val="both"/>
      </w:pPr>
    </w:p>
    <w:p w14:paraId="68C5EE14" w14:textId="2AB9A149"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Iespējamās pretrunas sabiedriskajai kārtībai vērtējums</w:t>
      </w:r>
    </w:p>
    <w:p w14:paraId="244BF409" w14:textId="597EB4FC" w:rsidR="008D3D50" w:rsidRPr="004724DC" w:rsidRDefault="008D3D50" w:rsidP="0038293E">
      <w:pPr>
        <w:pStyle w:val="NormalWeb"/>
        <w:shd w:val="clear" w:color="auto" w:fill="FFFFFF"/>
        <w:spacing w:before="0" w:beforeAutospacing="0" w:after="0" w:afterAutospacing="0" w:line="276" w:lineRule="auto"/>
        <w:ind w:firstLine="709"/>
        <w:jc w:val="both"/>
      </w:pPr>
      <w:r w:rsidRPr="004724DC">
        <w:t>[</w:t>
      </w:r>
      <w:r w:rsidR="0062399F">
        <w:t>15</w:t>
      </w:r>
      <w:r w:rsidRPr="004724DC">
        <w:t>] 1996. gada 19. oktobra Konvencijas 23. panta 2. punkta „d” apakšpunkt</w:t>
      </w:r>
      <w:r w:rsidR="00A85208">
        <w:t xml:space="preserve">ā </w:t>
      </w:r>
      <w:r w:rsidRPr="004724DC">
        <w:t xml:space="preserve">paredzēts, ka </w:t>
      </w:r>
      <w:r w:rsidR="004314DA">
        <w:t xml:space="preserve">no </w:t>
      </w:r>
      <w:r w:rsidRPr="004724DC">
        <w:t>ārvalsts tiesas spriedum</w:t>
      </w:r>
      <w:r w:rsidR="004314DA">
        <w:t>a atzīšanas un izpildīšanas</w:t>
      </w:r>
      <w:r w:rsidRPr="004724DC">
        <w:t xml:space="preserve"> var</w:t>
      </w:r>
      <w:r w:rsidR="004314DA">
        <w:t xml:space="preserve"> atteikties</w:t>
      </w:r>
      <w:r w:rsidRPr="004724DC">
        <w:t>, ja šāda atzīšana viennozīmīgi ir pretrunā lūguma saņēmējas valsts sabiedrisk</w:t>
      </w:r>
      <w:r w:rsidR="004314DA">
        <w:t>ai</w:t>
      </w:r>
      <w:r w:rsidRPr="004724DC">
        <w:t xml:space="preserve"> kārtīb</w:t>
      </w:r>
      <w:r w:rsidR="004314DA">
        <w:t>ai</w:t>
      </w:r>
      <w:r w:rsidRPr="004724DC">
        <w:t>, ņemot vērā bērna intereses.</w:t>
      </w:r>
    </w:p>
    <w:p w14:paraId="10DDD2D7" w14:textId="44E920C8" w:rsidR="008D3D50" w:rsidRPr="004724DC" w:rsidRDefault="008D3D50" w:rsidP="0038293E">
      <w:pPr>
        <w:pStyle w:val="NormalWeb"/>
        <w:shd w:val="clear" w:color="auto" w:fill="FFFFFF"/>
        <w:spacing w:before="0" w:beforeAutospacing="0" w:after="0" w:afterAutospacing="0" w:line="276" w:lineRule="auto"/>
        <w:ind w:firstLine="709"/>
        <w:jc w:val="both"/>
      </w:pPr>
      <w:r w:rsidRPr="004724DC">
        <w:t xml:space="preserve">Latvijas Republikas tiesību sistēmai atbilstoši ir pildīt savstarpēji noslēgtos starptautiskos līgumus, kuru saistošo raksturu dalībvalstis ir uzņēmušās, kā arī ievērot iepriekš pieņemtus un spēkā esošus tiesu un citu institūciju (amatpersonu) nolēmumus, </w:t>
      </w:r>
      <w:r w:rsidRPr="004724DC">
        <w:lastRenderedPageBreak/>
        <w:t>citastarp nolēmumus par bērna atgriešanu valstī, no kuras tas prettiesiski aizvests, kas pieņemti atbilstoši Hāgas 1980. gada 25. oktobra Konvencijai par starptautiskās bērnu nolaupīšanas civiltiesiskajiem aspektiem.</w:t>
      </w:r>
    </w:p>
    <w:p w14:paraId="4F3460FC" w14:textId="6CF212B8" w:rsidR="00A85208" w:rsidRDefault="00A85208" w:rsidP="0038293E">
      <w:pPr>
        <w:pStyle w:val="NormalWeb"/>
        <w:shd w:val="clear" w:color="auto" w:fill="FFFFFF"/>
        <w:spacing w:before="0" w:beforeAutospacing="0" w:after="0" w:afterAutospacing="0" w:line="276" w:lineRule="auto"/>
        <w:ind w:firstLine="709"/>
        <w:jc w:val="both"/>
      </w:pPr>
      <w:r>
        <w:t xml:space="preserve">Senāts konstatē (sk. </w:t>
      </w:r>
      <w:r w:rsidRPr="00BA2723">
        <w:rPr>
          <w:i/>
          <w:iCs/>
        </w:rPr>
        <w:t>š</w:t>
      </w:r>
      <w:r w:rsidR="00BA2723" w:rsidRPr="00BA2723">
        <w:rPr>
          <w:i/>
          <w:iCs/>
        </w:rPr>
        <w:t>ā</w:t>
      </w:r>
      <w:r w:rsidRPr="00BA2723">
        <w:rPr>
          <w:i/>
          <w:iCs/>
        </w:rPr>
        <w:t xml:space="preserve"> lēmuma 1. punktu</w:t>
      </w:r>
      <w:r>
        <w:t xml:space="preserve">), ka </w:t>
      </w:r>
      <w:r w:rsidR="00666501">
        <w:t>Latvij</w:t>
      </w:r>
      <w:r w:rsidR="00B61CCA">
        <w:t>as Republikā</w:t>
      </w:r>
      <w:r w:rsidR="00666501">
        <w:t xml:space="preserve"> bija saņemts lūgums par bērna atgriešanu Norvēģij</w:t>
      </w:r>
      <w:r w:rsidR="00B61CCA">
        <w:t>as Karalistē</w:t>
      </w:r>
      <w:r w:rsidR="00666501">
        <w:t xml:space="preserve">. Šajā lietā tiesai </w:t>
      </w:r>
      <w:r w:rsidR="004314DA">
        <w:t>jāpārbauda</w:t>
      </w:r>
      <w:r w:rsidR="00666501">
        <w:t>, vai šis lūgums ir joprojām izpildāms, kā arī gadījumā, ja tā ir, tad jā</w:t>
      </w:r>
      <w:r w:rsidR="004314DA">
        <w:t>iz</w:t>
      </w:r>
      <w:r w:rsidR="00666501">
        <w:t>vērtē, vai Krievijas tiesas sprieduma atzīšana neveidos tādus apstākļus, kas atzīstami par pretrunā esošiem ar Latvijas</w:t>
      </w:r>
      <w:r w:rsidR="00B61CCA">
        <w:t xml:space="preserve"> Republikas</w:t>
      </w:r>
      <w:r w:rsidR="00666501">
        <w:t xml:space="preserve"> sabiedrisko kārtību.</w:t>
      </w:r>
    </w:p>
    <w:p w14:paraId="0A8ED940" w14:textId="1DC51ABA" w:rsidR="00666501" w:rsidRDefault="00666501" w:rsidP="0038293E">
      <w:pPr>
        <w:pStyle w:val="NormalWeb"/>
        <w:shd w:val="clear" w:color="auto" w:fill="FFFFFF"/>
        <w:spacing w:before="0" w:beforeAutospacing="0" w:after="0" w:afterAutospacing="0" w:line="276" w:lineRule="auto"/>
        <w:ind w:firstLine="709"/>
        <w:jc w:val="both"/>
      </w:pPr>
      <w:r>
        <w:t xml:space="preserve">Vērtējumā ņemams vērā, ka </w:t>
      </w:r>
      <w:r w:rsidR="004314DA">
        <w:t xml:space="preserve">– </w:t>
      </w:r>
      <w:r>
        <w:t xml:space="preserve">atšķirībā no vispārējās kārtības par </w:t>
      </w:r>
      <w:proofErr w:type="spellStart"/>
      <w:r w:rsidRPr="00B61CCA">
        <w:rPr>
          <w:i/>
          <w:iCs/>
        </w:rPr>
        <w:t>res</w:t>
      </w:r>
      <w:proofErr w:type="spellEnd"/>
      <w:r w:rsidRPr="00B61CCA">
        <w:rPr>
          <w:i/>
          <w:iCs/>
        </w:rPr>
        <w:t xml:space="preserve"> </w:t>
      </w:r>
      <w:proofErr w:type="spellStart"/>
      <w:r w:rsidR="004314DA">
        <w:rPr>
          <w:i/>
          <w:iCs/>
        </w:rPr>
        <w:t>i</w:t>
      </w:r>
      <w:r w:rsidRPr="00B61CCA">
        <w:rPr>
          <w:i/>
          <w:iCs/>
        </w:rPr>
        <w:t>udicata</w:t>
      </w:r>
      <w:proofErr w:type="spellEnd"/>
      <w:r>
        <w:t xml:space="preserve"> </w:t>
      </w:r>
      <w:r w:rsidR="008626BA">
        <w:t>(</w:t>
      </w:r>
      <w:r w:rsidR="008626BA" w:rsidRPr="008626BA">
        <w:t>tiesas sprieduma saistoš</w:t>
      </w:r>
      <w:r w:rsidR="008626BA">
        <w:t>ais</w:t>
      </w:r>
      <w:r w:rsidR="008626BA" w:rsidRPr="008626BA">
        <w:t xml:space="preserve"> spēk</w:t>
      </w:r>
      <w:r w:rsidR="008626BA">
        <w:t>s)</w:t>
      </w:r>
      <w:r w:rsidR="008626BA" w:rsidRPr="008626BA">
        <w:t xml:space="preserve"> </w:t>
      </w:r>
      <w:r>
        <w:t xml:space="preserve">principu </w:t>
      </w:r>
      <w:r w:rsidR="004314DA">
        <w:t xml:space="preserve">– </w:t>
      </w:r>
      <w:r>
        <w:t xml:space="preserve">bērna dzīvesvietas noteikšanas jautājumā vēlāk pieņemtam un likumīgā spēkā stājušajam tiesas spriedumam dodama priekšroka (sal. </w:t>
      </w:r>
      <w:r w:rsidRPr="009A648F">
        <w:rPr>
          <w:i/>
          <w:iCs/>
        </w:rPr>
        <w:t>Civilprocesa likuma 637.</w:t>
      </w:r>
      <w:r w:rsidR="00BA2723" w:rsidRPr="009A648F">
        <w:rPr>
          <w:i/>
          <w:iCs/>
        </w:rPr>
        <w:t> </w:t>
      </w:r>
      <w:r w:rsidRPr="009A648F">
        <w:rPr>
          <w:i/>
          <w:iCs/>
        </w:rPr>
        <w:t>panta trešā daļa</w:t>
      </w:r>
      <w:r w:rsidRPr="000306B4">
        <w:t>).</w:t>
      </w:r>
    </w:p>
    <w:p w14:paraId="715276D4" w14:textId="77777777" w:rsidR="00A85208" w:rsidRDefault="00A85208" w:rsidP="0038293E">
      <w:pPr>
        <w:pStyle w:val="NormalWeb"/>
        <w:shd w:val="clear" w:color="auto" w:fill="FFFFFF"/>
        <w:spacing w:before="0" w:beforeAutospacing="0" w:after="0" w:afterAutospacing="0" w:line="276" w:lineRule="auto"/>
        <w:ind w:firstLine="709"/>
        <w:jc w:val="both"/>
      </w:pPr>
    </w:p>
    <w:p w14:paraId="4C334F83" w14:textId="20CF5039"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Iesniegtā sprieduma prasījumā par uzturlīdzekļu piedziņu vērtējums</w:t>
      </w:r>
    </w:p>
    <w:p w14:paraId="28EE4638" w14:textId="37703A19" w:rsidR="008D3D50" w:rsidRPr="004724DC" w:rsidRDefault="008D3D50" w:rsidP="0038293E">
      <w:pPr>
        <w:pStyle w:val="NormalWeb"/>
        <w:shd w:val="clear" w:color="auto" w:fill="FFFFFF"/>
        <w:spacing w:before="0" w:beforeAutospacing="0" w:after="0" w:afterAutospacing="0" w:line="276" w:lineRule="auto"/>
        <w:ind w:firstLine="709"/>
        <w:jc w:val="both"/>
      </w:pPr>
      <w:r w:rsidRPr="004724DC">
        <w:t>[</w:t>
      </w:r>
      <w:r w:rsidR="00666501">
        <w:t>16</w:t>
      </w:r>
      <w:r w:rsidRPr="004724DC">
        <w:t>] </w:t>
      </w:r>
      <w:r w:rsidR="00CB49B8">
        <w:t>A</w:t>
      </w:r>
      <w:r w:rsidRPr="004724DC">
        <w:t xml:space="preserve">ttiecībā uz Krievijas Federācijas </w:t>
      </w:r>
      <w:r w:rsidR="00C7771F">
        <w:t>[..]</w:t>
      </w:r>
      <w:r w:rsidRPr="004724DC">
        <w:t xml:space="preserve"> rajona tiesas sprieduma atzīšanu un izpildīšanu daļā par uzturlīdzekļu piedziņu, kā to Senāts jau norādījis iepriekš, piemērojami Civilprocesa likuma 77. nodaļas „Ārvalstu tiesu nolēmumu atzīšana un izpildīšana” noteikumi (sk. </w:t>
      </w:r>
      <w:r w:rsidRPr="004724DC">
        <w:rPr>
          <w:i/>
          <w:iCs/>
        </w:rPr>
        <w:t xml:space="preserve">šā </w:t>
      </w:r>
      <w:r w:rsidRPr="00BA2723">
        <w:rPr>
          <w:i/>
          <w:iCs/>
        </w:rPr>
        <w:t>lēmuma 7. punktu</w:t>
      </w:r>
      <w:r w:rsidRPr="00BA2723">
        <w:t>).</w:t>
      </w:r>
    </w:p>
    <w:p w14:paraId="58088A17" w14:textId="2032A740" w:rsidR="008D3D50" w:rsidRPr="004724DC" w:rsidRDefault="008D3D50" w:rsidP="0038293E">
      <w:pPr>
        <w:pStyle w:val="NormalWeb"/>
        <w:shd w:val="clear" w:color="auto" w:fill="FFFFFF"/>
        <w:spacing w:before="0" w:beforeAutospacing="0" w:after="0" w:afterAutospacing="0" w:line="276" w:lineRule="auto"/>
        <w:ind w:firstLine="709"/>
        <w:jc w:val="both"/>
      </w:pPr>
      <w:r w:rsidRPr="004724DC">
        <w:t xml:space="preserve">Civilprocesa likuma 637. panta otrās daļas 3. punkts paredz, ka ārvalsts tiesas nolēmumu neatzīst, ja atbildētājam bijusi liegta iespēja aizstāvēt savas tiesības, it īpaši, ja atbildētājam, kurš nav piedalījies lietas izskatīšanā, nav ticis savlaicīgi un pienācīgā kārtā paziņots par ierašanos tiesā, izņemot, ja atbildētājs nav pārsūdzējis šo nolēmumu, lai gan viņam ir bijusi tāda iespēja. Šā panta ceturtajā daļā noteikts, ka, izlemjot jautājumu par to, vai ārvalsts tiesas nolēmums ir atzīstams, tiesai </w:t>
      </w:r>
      <w:r w:rsidR="000306B4">
        <w:t>jāņem vērā</w:t>
      </w:r>
      <w:r w:rsidR="000306B4" w:rsidRPr="004724DC">
        <w:t xml:space="preserve"> </w:t>
      </w:r>
      <w:r w:rsidRPr="004724DC">
        <w:t xml:space="preserve">apstākļi, kas nodibināti ar ārvalsts tiesas nolēmumu. </w:t>
      </w:r>
    </w:p>
    <w:p w14:paraId="6F0E3421" w14:textId="60717B1B" w:rsidR="002A3DF9" w:rsidRPr="00986F57" w:rsidRDefault="002A3DF9" w:rsidP="0038293E">
      <w:pPr>
        <w:spacing w:after="0" w:line="276" w:lineRule="auto"/>
        <w:ind w:firstLine="709"/>
        <w:jc w:val="both"/>
        <w:rPr>
          <w:rFonts w:cs="Times New Roman"/>
          <w:szCs w:val="24"/>
        </w:rPr>
      </w:pPr>
      <w:r w:rsidRPr="004724DC">
        <w:rPr>
          <w:rFonts w:cs="Times New Roman"/>
          <w:szCs w:val="24"/>
        </w:rPr>
        <w:t xml:space="preserve">Kā konstatējusi apgabaltiesa, Krievijas Federācijas </w:t>
      </w:r>
      <w:r w:rsidR="00C7771F">
        <w:rPr>
          <w:rFonts w:cs="Times New Roman"/>
          <w:szCs w:val="24"/>
        </w:rPr>
        <w:t xml:space="preserve">[..] </w:t>
      </w:r>
      <w:r w:rsidRPr="004724DC">
        <w:rPr>
          <w:rFonts w:cs="Times New Roman"/>
          <w:szCs w:val="24"/>
        </w:rPr>
        <w:t xml:space="preserve">rajona tiesas spriedumā norādīts, ka tas sagatavots </w:t>
      </w:r>
      <w:r w:rsidRPr="00986F57">
        <w:rPr>
          <w:rFonts w:cs="Times New Roman"/>
          <w:szCs w:val="24"/>
        </w:rPr>
        <w:t xml:space="preserve">galīgā formā 2023. gada </w:t>
      </w:r>
      <w:r w:rsidR="00986F57" w:rsidRPr="00986F57">
        <w:rPr>
          <w:rFonts w:cs="Times New Roman"/>
          <w:szCs w:val="24"/>
        </w:rPr>
        <w:t>31. janvārī</w:t>
      </w:r>
      <w:r w:rsidRPr="00986F57">
        <w:rPr>
          <w:rFonts w:cs="Times New Roman"/>
          <w:szCs w:val="24"/>
        </w:rPr>
        <w:t xml:space="preserve"> un tā pārsūdzības termiņš ir viens mēnesis. Tāpat spriedums satur apliecinājumu, ka tas stājies spēkā 2023. gada </w:t>
      </w:r>
      <w:r w:rsidR="00C7771F" w:rsidRPr="00986F57">
        <w:rPr>
          <w:rFonts w:cs="Times New Roman"/>
          <w:szCs w:val="24"/>
        </w:rPr>
        <w:t>[</w:t>
      </w:r>
      <w:r w:rsidR="00F943A9" w:rsidRPr="00986F57">
        <w:rPr>
          <w:rFonts w:cs="Times New Roman"/>
          <w:szCs w:val="24"/>
        </w:rPr>
        <w:t>..</w:t>
      </w:r>
      <w:r w:rsidR="00C7771F" w:rsidRPr="00986F57">
        <w:rPr>
          <w:rFonts w:cs="Times New Roman"/>
          <w:szCs w:val="24"/>
        </w:rPr>
        <w:t>]</w:t>
      </w:r>
      <w:r w:rsidR="00F943A9" w:rsidRPr="00986F57">
        <w:rPr>
          <w:rFonts w:cs="Times New Roman"/>
          <w:szCs w:val="24"/>
        </w:rPr>
        <w:t xml:space="preserve"> martā</w:t>
      </w:r>
      <w:r w:rsidRPr="00986F57">
        <w:rPr>
          <w:rFonts w:cs="Times New Roman"/>
          <w:szCs w:val="24"/>
        </w:rPr>
        <w:t xml:space="preserve">. Šo tiesas spriedumu atbildētājs saņēmis 2023. gada 30. martā, proti, atbildētājam saņemot spriedumu, tā pārsūdzībai noteiktais termiņš jau bija beidzies. Tāpat izskatāmajā lietā nav pierādījumu, ka minētais spriedums izsniegts atbildētājam saprotamā valodā. </w:t>
      </w:r>
    </w:p>
    <w:p w14:paraId="57B053BE" w14:textId="77777777" w:rsidR="002A3DF9" w:rsidRPr="00986F57" w:rsidRDefault="002A3DF9" w:rsidP="0038293E">
      <w:pPr>
        <w:pStyle w:val="NormalWeb"/>
        <w:shd w:val="clear" w:color="auto" w:fill="FFFFFF"/>
        <w:spacing w:before="0" w:beforeAutospacing="0" w:after="0" w:afterAutospacing="0" w:line="276" w:lineRule="auto"/>
        <w:ind w:firstLine="709"/>
        <w:jc w:val="both"/>
      </w:pPr>
    </w:p>
    <w:p w14:paraId="5EF6DA74" w14:textId="4D0E6E5F" w:rsidR="006B40D7" w:rsidRPr="00986F57" w:rsidRDefault="002A3DF9" w:rsidP="0038293E">
      <w:pPr>
        <w:pStyle w:val="NormalWeb"/>
        <w:shd w:val="clear" w:color="auto" w:fill="FFFFFF"/>
        <w:spacing w:before="0" w:beforeAutospacing="0" w:after="0" w:afterAutospacing="0" w:line="276" w:lineRule="auto"/>
        <w:ind w:firstLine="709"/>
        <w:jc w:val="both"/>
      </w:pPr>
      <w:r w:rsidRPr="00986F57">
        <w:t>[17] </w:t>
      </w:r>
      <w:r w:rsidR="006B40D7" w:rsidRPr="00986F57">
        <w:t xml:space="preserve">Krievijas Federācijas </w:t>
      </w:r>
      <w:r w:rsidR="00C7771F" w:rsidRPr="00986F57">
        <w:t>[..]</w:t>
      </w:r>
      <w:r w:rsidR="006B40D7" w:rsidRPr="00986F57">
        <w:t xml:space="preserve"> rajona tiesas 2023. gada </w:t>
      </w:r>
      <w:r w:rsidR="00986F57" w:rsidRPr="00986F57">
        <w:t xml:space="preserve">23. janvāra </w:t>
      </w:r>
      <w:r w:rsidR="006B40D7" w:rsidRPr="00986F57">
        <w:t>sprieduma izcelsmes valsts, t. i., Krievijas Federācija, nav Eiropas Savienības vai Eiropas Cilvēk</w:t>
      </w:r>
      <w:r w:rsidR="004314DA" w:rsidRPr="00986F57">
        <w:t xml:space="preserve">a </w:t>
      </w:r>
      <w:r w:rsidR="006B40D7" w:rsidRPr="00986F57">
        <w:t xml:space="preserve">tiesību </w:t>
      </w:r>
      <w:r w:rsidR="004314DA" w:rsidRPr="00986F57">
        <w:t xml:space="preserve">un pamatbrīvību aizsardzības </w:t>
      </w:r>
      <w:r w:rsidR="006B40D7" w:rsidRPr="00986F57">
        <w:t xml:space="preserve">konvencijas </w:t>
      </w:r>
      <w:r w:rsidR="004314DA" w:rsidRPr="00986F57">
        <w:t xml:space="preserve">(turpmāk – Eiropas Cilvēktiesību konvencija) </w:t>
      </w:r>
      <w:r w:rsidR="006B40D7" w:rsidRPr="00986F57">
        <w:t>dalībvalsts. Tomēr pieteikums šā sprieduma atzīšanai un izpildīšanai iesniegts Latvijas Republikā – valstī, kura ir Eiropas Savienības un Eiropas Cilvēktiesību konvencijas dalībvalsts. Būdama Eiropas Cilvēktiesību konvencijas dalībvalsts, Latvijas Republika uzņēmusies pienākumu efektīvi aizsargāt šajā konvencijā noteiktās tiesības un brīvības, piekrītot Eiropas Cilvēktiesību tiesas starptautiskajai uzraudzībai, kā arī tās spriedumu un lēmumu juridiskajam spēkam.</w:t>
      </w:r>
    </w:p>
    <w:p w14:paraId="5AA67397" w14:textId="6EFCA27A" w:rsidR="008D3D50" w:rsidRPr="004724DC" w:rsidRDefault="004A6E65" w:rsidP="0038293E">
      <w:pPr>
        <w:pStyle w:val="NormalWeb"/>
        <w:shd w:val="clear" w:color="auto" w:fill="FFFFFF"/>
        <w:spacing w:before="0" w:beforeAutospacing="0" w:after="0" w:afterAutospacing="0" w:line="276" w:lineRule="auto"/>
        <w:ind w:firstLine="709"/>
        <w:jc w:val="both"/>
      </w:pPr>
      <w:r w:rsidRPr="00986F57">
        <w:t xml:space="preserve">Tātad tiesai, vērtējot to, vai Krievijas Federācijas </w:t>
      </w:r>
      <w:r w:rsidR="00C7771F" w:rsidRPr="00986F57">
        <w:t>[..]</w:t>
      </w:r>
      <w:r w:rsidRPr="00986F57">
        <w:t xml:space="preserve"> rajona tiesas 2023. gada </w:t>
      </w:r>
      <w:r w:rsidR="00986F57" w:rsidRPr="00986F57">
        <w:t xml:space="preserve">23. janvāra </w:t>
      </w:r>
      <w:r w:rsidRPr="00986F57">
        <w:t>spriedums ir atzīstams Latvijas Republikā, jāpārbauda, vai nav pārkāptas Eiropas Cilvēktiesību konvencijas 6. panta 1. punktā paredzētās person</w:t>
      </w:r>
      <w:r w:rsidRPr="004724DC">
        <w:t>as tiesības uz taisnīgu tiesu</w:t>
      </w:r>
      <w:r>
        <w:t xml:space="preserve"> un konkrēti</w:t>
      </w:r>
      <w:r w:rsidR="008D3D50" w:rsidRPr="004724DC">
        <w:t xml:space="preserve">, vai atbildētājs ir bijis pienācīgi informēts par tiesvedības uzsākšanu un viņam ticis nosūtīts spriedums </w:t>
      </w:r>
      <w:r w:rsidR="00B61CCA">
        <w:t>atbilstoši Krievijas Federācija</w:t>
      </w:r>
      <w:r w:rsidR="00BA2723">
        <w:t xml:space="preserve">s valsts </w:t>
      </w:r>
      <w:r w:rsidR="00BA2723">
        <w:lastRenderedPageBreak/>
        <w:t xml:space="preserve">likumam un noslēgtiem </w:t>
      </w:r>
      <w:r w:rsidR="00BA2723" w:rsidRPr="00BA2723">
        <w:t>starptautisk</w:t>
      </w:r>
      <w:r w:rsidR="00BA2723">
        <w:t>iem</w:t>
      </w:r>
      <w:r w:rsidR="00BA2723" w:rsidRPr="00BA2723">
        <w:t xml:space="preserve"> līgum</w:t>
      </w:r>
      <w:r w:rsidR="00BA2723">
        <w:t>iem</w:t>
      </w:r>
      <w:r w:rsidR="008D3D50" w:rsidRPr="004724DC">
        <w:t xml:space="preserve">, proti, vai Krievijas Federācijas tiesas procesā ievērotas atbildētāja tiesības uz taisnīgu tiesu. </w:t>
      </w:r>
      <w:r w:rsidR="006B40D7">
        <w:t xml:space="preserve">Turklāt </w:t>
      </w:r>
      <w:r w:rsidR="006D5353">
        <w:t xml:space="preserve">vērtējumā </w:t>
      </w:r>
      <w:r w:rsidR="00C133C6">
        <w:t xml:space="preserve">jāpievērš </w:t>
      </w:r>
      <w:r w:rsidR="006B40D7">
        <w:t>uzmanība, vai arī valsts procesa regulējums atbilst pamattiesību ievērošanas priekšnoteikumiem.</w:t>
      </w:r>
    </w:p>
    <w:p w14:paraId="3EAD3C86" w14:textId="03A1D837" w:rsidR="008D3D50" w:rsidRPr="004724DC" w:rsidRDefault="006B40D7" w:rsidP="0038293E">
      <w:pPr>
        <w:pStyle w:val="NormalWeb"/>
        <w:shd w:val="clear" w:color="auto" w:fill="FFFFFF"/>
        <w:spacing w:before="0" w:beforeAutospacing="0" w:after="0" w:afterAutospacing="0" w:line="276" w:lineRule="auto"/>
        <w:ind w:firstLine="709"/>
        <w:jc w:val="both"/>
      </w:pPr>
      <w:r>
        <w:t xml:space="preserve">Tiesību uz taisnīgu tiesu vērtējumā vērā ņemamās atziņas </w:t>
      </w:r>
      <w:r w:rsidR="008D3D50" w:rsidRPr="004724DC">
        <w:t>Senāts norādīs turpmāk lēmumā.</w:t>
      </w:r>
    </w:p>
    <w:p w14:paraId="3AE178E5" w14:textId="468A7F65" w:rsidR="002C5FFF" w:rsidRPr="004724DC" w:rsidRDefault="002C5FFF" w:rsidP="0038293E">
      <w:pPr>
        <w:spacing w:after="0" w:line="276" w:lineRule="auto"/>
        <w:ind w:firstLine="709"/>
        <w:jc w:val="both"/>
        <w:rPr>
          <w:rFonts w:cs="Times New Roman"/>
          <w:szCs w:val="24"/>
        </w:rPr>
      </w:pPr>
    </w:p>
    <w:p w14:paraId="31605C0A" w14:textId="7AF9AED6" w:rsidR="002C5FFF" w:rsidRPr="004724DC" w:rsidRDefault="00FC51FB" w:rsidP="0038293E">
      <w:pPr>
        <w:pStyle w:val="NormalWeb"/>
        <w:shd w:val="clear" w:color="auto" w:fill="FFFFFF"/>
        <w:spacing w:before="0" w:beforeAutospacing="0" w:after="0" w:afterAutospacing="0" w:line="276" w:lineRule="auto"/>
        <w:ind w:firstLine="709"/>
        <w:jc w:val="both"/>
      </w:pPr>
      <w:r>
        <w:t>[1</w:t>
      </w:r>
      <w:r w:rsidR="00B047CB">
        <w:t>8</w:t>
      </w:r>
      <w:r>
        <w:t>] </w:t>
      </w:r>
      <w:r w:rsidR="002C5FFF" w:rsidRPr="004724DC">
        <w:t xml:space="preserve">Eiropas Cilvēktiesību tiesas </w:t>
      </w:r>
      <w:r w:rsidR="00CB49B8">
        <w:t xml:space="preserve">judikatūrā </w:t>
      </w:r>
      <w:r w:rsidR="004A6E65">
        <w:t xml:space="preserve">nostiprināts </w:t>
      </w:r>
      <w:r w:rsidR="002C5FFF" w:rsidRPr="004724DC">
        <w:t xml:space="preserve">princips, ka tiesa, izskatot lūgumu par ārvalsts nolēmuma atzīšanu un izpildīšanu, nevar apmierināt šo lūgumu, </w:t>
      </w:r>
      <w:r w:rsidR="006D5353">
        <w:t>pirms</w:t>
      </w:r>
      <w:r w:rsidR="006D5353" w:rsidRPr="004724DC">
        <w:t xml:space="preserve"> </w:t>
      </w:r>
      <w:r w:rsidR="006D5353">
        <w:t>nav veikta</w:t>
      </w:r>
      <w:r w:rsidR="006D5353" w:rsidRPr="004724DC">
        <w:t xml:space="preserve"> </w:t>
      </w:r>
      <w:r w:rsidR="002C5FFF" w:rsidRPr="004724DC">
        <w:t xml:space="preserve">šī nolēmuma </w:t>
      </w:r>
      <w:r w:rsidR="006D5353" w:rsidRPr="004724DC">
        <w:t>pārbaud</w:t>
      </w:r>
      <w:r w:rsidR="006D5353">
        <w:t>e</w:t>
      </w:r>
      <w:r w:rsidR="006D5353" w:rsidRPr="004724DC">
        <w:t xml:space="preserve"> </w:t>
      </w:r>
      <w:r w:rsidR="002C5FFF" w:rsidRPr="004724DC">
        <w:t>attiecībā uz tiesību uz taisnīgu tiesas procesu garantijām; šīs pārbaudes intensitāte var atšķirties atkarībā no lietas rakstura. Eiropas Cilvēktiesību konvencijas dalībvalsts nevar veikt tāda sprieduma izpildīšanu, ja šā sprieduma pamats ir tiesas process, kas neatbilst minētās konvencijas standartiem (sk.</w:t>
      </w:r>
      <w:r w:rsidR="006F6500">
        <w:t xml:space="preserve"> </w:t>
      </w:r>
      <w:r w:rsidR="002C5FFF" w:rsidRPr="004724DC">
        <w:rPr>
          <w:i/>
          <w:iCs/>
        </w:rPr>
        <w:t>Eiropas Cilvēktiesību tiesas (Plenārsēde) 1992. gada 26. jūnija sprieduma lietā „</w:t>
      </w:r>
      <w:proofErr w:type="spellStart"/>
      <w:r w:rsidR="002C5FFF" w:rsidRPr="004724DC">
        <w:rPr>
          <w:i/>
          <w:iCs/>
        </w:rPr>
        <w:t>Drozd</w:t>
      </w:r>
      <w:proofErr w:type="spellEnd"/>
      <w:r w:rsidR="002C5FFF" w:rsidRPr="004724DC">
        <w:rPr>
          <w:i/>
          <w:iCs/>
        </w:rPr>
        <w:t xml:space="preserve"> </w:t>
      </w:r>
      <w:proofErr w:type="spellStart"/>
      <w:r w:rsidR="002C5FFF" w:rsidRPr="004724DC">
        <w:rPr>
          <w:i/>
          <w:iCs/>
        </w:rPr>
        <w:t>and</w:t>
      </w:r>
      <w:proofErr w:type="spellEnd"/>
      <w:r w:rsidR="002C5FFF" w:rsidRPr="004724DC">
        <w:rPr>
          <w:i/>
          <w:iCs/>
        </w:rPr>
        <w:t xml:space="preserve"> </w:t>
      </w:r>
      <w:proofErr w:type="spellStart"/>
      <w:r w:rsidR="002C5FFF" w:rsidRPr="004724DC">
        <w:rPr>
          <w:i/>
          <w:iCs/>
        </w:rPr>
        <w:t>Janousek</w:t>
      </w:r>
      <w:proofErr w:type="spellEnd"/>
      <w:r w:rsidR="002C5FFF" w:rsidRPr="004724DC">
        <w:rPr>
          <w:i/>
          <w:iCs/>
        </w:rPr>
        <w:t xml:space="preserve"> v. </w:t>
      </w:r>
      <w:proofErr w:type="spellStart"/>
      <w:r w:rsidR="002C5FFF" w:rsidRPr="004724DC">
        <w:rPr>
          <w:i/>
          <w:iCs/>
        </w:rPr>
        <w:t>France</w:t>
      </w:r>
      <w:proofErr w:type="spellEnd"/>
      <w:r w:rsidR="002C5FFF" w:rsidRPr="004724DC">
        <w:rPr>
          <w:i/>
          <w:iCs/>
        </w:rPr>
        <w:t xml:space="preserve"> </w:t>
      </w:r>
      <w:proofErr w:type="spellStart"/>
      <w:r w:rsidR="002C5FFF" w:rsidRPr="004724DC">
        <w:rPr>
          <w:i/>
          <w:iCs/>
        </w:rPr>
        <w:t>and</w:t>
      </w:r>
      <w:proofErr w:type="spellEnd"/>
      <w:r w:rsidR="002C5FFF" w:rsidRPr="004724DC">
        <w:rPr>
          <w:i/>
          <w:iCs/>
        </w:rPr>
        <w:t xml:space="preserve"> </w:t>
      </w:r>
      <w:proofErr w:type="spellStart"/>
      <w:r w:rsidR="002C5FFF" w:rsidRPr="004724DC">
        <w:rPr>
          <w:i/>
          <w:iCs/>
        </w:rPr>
        <w:t>Spain</w:t>
      </w:r>
      <w:proofErr w:type="spellEnd"/>
      <w:r w:rsidR="002C5FFF" w:rsidRPr="004724DC">
        <w:rPr>
          <w:i/>
          <w:iCs/>
        </w:rPr>
        <w:t>”, iesnieguma Nr. </w:t>
      </w:r>
      <w:hyperlink r:id="rId12" w:history="1">
        <w:r w:rsidR="002C5FFF" w:rsidRPr="004724DC">
          <w:rPr>
            <w:rStyle w:val="Hyperlink"/>
            <w:i/>
            <w:iCs/>
            <w:color w:val="2F5496" w:themeColor="accent1" w:themeShade="BF"/>
          </w:rPr>
          <w:t>12747/87</w:t>
        </w:r>
      </w:hyperlink>
      <w:r w:rsidR="002C5FFF" w:rsidRPr="004724DC">
        <w:rPr>
          <w:i/>
          <w:iCs/>
        </w:rPr>
        <w:t>, 110. punktu, 2001. gada 20. jūlija sprieduma lietā „</w:t>
      </w:r>
      <w:proofErr w:type="spellStart"/>
      <w:r w:rsidR="002C5FFF" w:rsidRPr="004724DC">
        <w:rPr>
          <w:i/>
          <w:iCs/>
        </w:rPr>
        <w:t>Pellegrini</w:t>
      </w:r>
      <w:proofErr w:type="spellEnd"/>
      <w:r w:rsidR="002C5FFF" w:rsidRPr="004724DC">
        <w:rPr>
          <w:i/>
          <w:iCs/>
        </w:rPr>
        <w:t xml:space="preserve"> v. </w:t>
      </w:r>
      <w:proofErr w:type="spellStart"/>
      <w:r w:rsidR="002C5FFF" w:rsidRPr="004724DC">
        <w:rPr>
          <w:i/>
          <w:iCs/>
        </w:rPr>
        <w:t>Italy</w:t>
      </w:r>
      <w:proofErr w:type="spellEnd"/>
      <w:r w:rsidR="002C5FFF" w:rsidRPr="004724DC">
        <w:rPr>
          <w:i/>
          <w:iCs/>
        </w:rPr>
        <w:t>”, iesnieguma Nr. </w:t>
      </w:r>
      <w:hyperlink r:id="rId13" w:history="1">
        <w:r w:rsidR="002C5FFF" w:rsidRPr="004724DC">
          <w:rPr>
            <w:rStyle w:val="Hyperlink"/>
            <w:i/>
            <w:iCs/>
            <w:color w:val="034990" w:themeColor="hyperlink" w:themeShade="BF"/>
          </w:rPr>
          <w:t>30882/96</w:t>
        </w:r>
      </w:hyperlink>
      <w:r w:rsidR="002C5FFF" w:rsidRPr="004724DC">
        <w:rPr>
          <w:i/>
          <w:iCs/>
        </w:rPr>
        <w:t>, 40. punktu</w:t>
      </w:r>
      <w:r w:rsidR="002C5FFF" w:rsidRPr="004724DC">
        <w:t>).</w:t>
      </w:r>
    </w:p>
    <w:p w14:paraId="723F030A" w14:textId="5DB1AE22" w:rsidR="004A6E65" w:rsidRDefault="00FF28C8" w:rsidP="0038293E">
      <w:pPr>
        <w:pStyle w:val="NormalWeb"/>
        <w:shd w:val="clear" w:color="auto" w:fill="FFFFFF"/>
        <w:spacing w:before="0" w:beforeAutospacing="0" w:after="0" w:afterAutospacing="0" w:line="276" w:lineRule="auto"/>
        <w:ind w:firstLine="709"/>
        <w:jc w:val="both"/>
      </w:pPr>
      <w:r>
        <w:t xml:space="preserve">No </w:t>
      </w:r>
      <w:r w:rsidRPr="004724DC">
        <w:t xml:space="preserve">Eiropas Cilvēktiesību tiesas sprieduma lietā „Avotiņš </w:t>
      </w:r>
      <w:r>
        <w:t>v. Latvia</w:t>
      </w:r>
      <w:r w:rsidRPr="004724DC">
        <w:t>”</w:t>
      </w:r>
      <w:r>
        <w:t xml:space="preserve"> secināms</w:t>
      </w:r>
      <w:r w:rsidRPr="004724DC">
        <w:t xml:space="preserve">, ka atzīt un izpildīt citas valsts teritorijā var vienīgi tādu </w:t>
      </w:r>
      <w:r>
        <w:t>nolēmumu</w:t>
      </w:r>
      <w:r w:rsidRPr="004724DC">
        <w:t xml:space="preserve">, kas pieņemts procesā, kurā atbildētājs ir bijis pienācīgi informēts par tiesvedības uzsākšanu un viņam ticis nosūtīts spriedums saskaņā ar nacionālo likumdošanu. Šajā lietā Eiropas Cilvēktiesību tiesa konstatēja, ka Kipras tiesību akti paredzēja pilnīgi </w:t>
      </w:r>
      <w:r w:rsidR="00E96351" w:rsidRPr="004724DC">
        <w:t>reāl</w:t>
      </w:r>
      <w:r w:rsidR="00E96351">
        <w:t>u</w:t>
      </w:r>
      <w:r w:rsidR="00E96351" w:rsidRPr="004724DC">
        <w:t xml:space="preserve"> </w:t>
      </w:r>
      <w:r w:rsidRPr="004724DC">
        <w:t>iespēju iesniedzējam pēc tam, kad viņš bija uzzinājis par sprieduma esību, pārsūdzēt spriedumu, neraugoties uz laiku, kas bija pagājis kopš tā pasludināšanas. Tāpat</w:t>
      </w:r>
      <w:r w:rsidR="00E96351">
        <w:t>,</w:t>
      </w:r>
      <w:r w:rsidRPr="004724DC">
        <w:t xml:space="preserve"> </w:t>
      </w:r>
      <w:r w:rsidR="00E96351">
        <w:t xml:space="preserve">pēc </w:t>
      </w:r>
      <w:r w:rsidRPr="004724DC">
        <w:t xml:space="preserve">Eiropas Cilvēktiesību tiesas </w:t>
      </w:r>
      <w:r w:rsidR="00E96351" w:rsidRPr="004724DC">
        <w:t>ieskat</w:t>
      </w:r>
      <w:r w:rsidR="00E96351">
        <w:t>a,</w:t>
      </w:r>
      <w:r w:rsidR="00E96351" w:rsidRPr="004724DC">
        <w:t xml:space="preserve"> </w:t>
      </w:r>
      <w:r w:rsidRPr="004724DC">
        <w:t xml:space="preserve">konkrētajā lietā laika posmā starp 2006. gada 16. jūniju (datumu, kad iesniedzējs varēja piekļūt visiem lietas materiāliem pirmās instances tiesas telpās un iepazīties ar Kipras sprieduma saturu) un 2007. gada 31. janvāri (datumu, kad notika Senāta sēde) iesniedzējam bija pietiekami daudz laika, lai izmantotu tiesiskās aizsardzības līdzekli Kipras tiesās. Tomēr vienīgi iesniedzējam zināmu iemeslu dēļ viņš to </w:t>
      </w:r>
      <w:r>
        <w:t>nebija</w:t>
      </w:r>
      <w:r w:rsidRPr="004724DC">
        <w:t xml:space="preserve"> mēģinājis darīt. Šajā lietā Eiropas Cilvēktiesību tiesa atzina, ka atbildētājam bija iespēja spriedumu pārsūdzēt saskaņā ar Kipras likumu (sk. </w:t>
      </w:r>
      <w:r w:rsidRPr="004724DC">
        <w:rPr>
          <w:i/>
          <w:iCs/>
        </w:rPr>
        <w:t>Eiropas Cilvēktiesību tiesas</w:t>
      </w:r>
      <w:r w:rsidRPr="004724DC">
        <w:t xml:space="preserve"> (</w:t>
      </w:r>
      <w:r w:rsidRPr="004724DC">
        <w:rPr>
          <w:i/>
          <w:iCs/>
        </w:rPr>
        <w:t>Lielā palāta</w:t>
      </w:r>
      <w:r w:rsidRPr="004724DC">
        <w:t>)</w:t>
      </w:r>
      <w:r w:rsidRPr="004724DC">
        <w:rPr>
          <w:i/>
          <w:iCs/>
        </w:rPr>
        <w:t xml:space="preserve"> 2016. gada 23. maija sprieduma lietā „Avotiņš v. Latvia”, </w:t>
      </w:r>
      <w:r w:rsidR="00E96351" w:rsidRPr="004724DC">
        <w:rPr>
          <w:i/>
          <w:iCs/>
        </w:rPr>
        <w:t>iesniegum</w:t>
      </w:r>
      <w:r w:rsidR="00E96351">
        <w:rPr>
          <w:i/>
          <w:iCs/>
        </w:rPr>
        <w:t>a</w:t>
      </w:r>
      <w:r w:rsidR="00E96351" w:rsidRPr="004724DC">
        <w:rPr>
          <w:i/>
          <w:iCs/>
        </w:rPr>
        <w:t xml:space="preserve"> </w:t>
      </w:r>
      <w:r w:rsidRPr="004724DC">
        <w:rPr>
          <w:i/>
          <w:iCs/>
        </w:rPr>
        <w:t>Nr. </w:t>
      </w:r>
      <w:hyperlink r:id="rId14" w:history="1">
        <w:r w:rsidRPr="004724DC">
          <w:rPr>
            <w:rStyle w:val="Hyperlink"/>
            <w:i/>
            <w:iCs/>
          </w:rPr>
          <w:t>17502/07</w:t>
        </w:r>
      </w:hyperlink>
      <w:r w:rsidRPr="004724DC">
        <w:rPr>
          <w:i/>
          <w:iCs/>
        </w:rPr>
        <w:t>, 98. un 122. punktu</w:t>
      </w:r>
      <w:r w:rsidRPr="004724DC">
        <w:t>).</w:t>
      </w:r>
    </w:p>
    <w:p w14:paraId="1CB02FB7" w14:textId="04724784" w:rsidR="00FF28C8" w:rsidRPr="004724DC" w:rsidRDefault="00FF28C8" w:rsidP="0038293E">
      <w:pPr>
        <w:spacing w:after="0" w:line="276" w:lineRule="auto"/>
        <w:ind w:firstLine="709"/>
        <w:jc w:val="both"/>
        <w:rPr>
          <w:rFonts w:cs="Times New Roman"/>
          <w:szCs w:val="24"/>
        </w:rPr>
      </w:pPr>
      <w:r w:rsidRPr="004724DC">
        <w:rPr>
          <w:rFonts w:cs="Times New Roman"/>
          <w:szCs w:val="24"/>
        </w:rPr>
        <w:t xml:space="preserve">Senāts konstatē, ka attiecībā uz tiesībām uz lietas izskatīšanu taisnīgā tiesā un konkrēti attiecībā uz lietas dalībnieka tiesību būt informētam par tiesvedību Eiropas Cilvēktiesību tiesa vairākās lietās ir konstatējusi pārkāpumus konkrētu civillietu izskatīšanā Krievijas Federācijas tiesās (sk. pārskatu un analīzi </w:t>
      </w:r>
      <w:r w:rsidRPr="004724DC">
        <w:rPr>
          <w:rFonts w:cs="Times New Roman"/>
          <w:i/>
          <w:iCs/>
          <w:szCs w:val="24"/>
        </w:rPr>
        <w:t>Eiropas Cilvēktiesību tiesas 2016. gada 31. maija spriedumā lietā „</w:t>
      </w:r>
      <w:proofErr w:type="spellStart"/>
      <w:r w:rsidRPr="004724DC">
        <w:rPr>
          <w:rFonts w:cs="Times New Roman"/>
          <w:i/>
          <w:iCs/>
          <w:szCs w:val="24"/>
        </w:rPr>
        <w:t>Gankin</w:t>
      </w:r>
      <w:proofErr w:type="spellEnd"/>
      <w:r w:rsidRPr="004724DC">
        <w:rPr>
          <w:rFonts w:cs="Times New Roman"/>
          <w:i/>
          <w:iCs/>
          <w:szCs w:val="24"/>
        </w:rPr>
        <w:t xml:space="preserve"> </w:t>
      </w:r>
      <w:proofErr w:type="spellStart"/>
      <w:r w:rsidRPr="004724DC">
        <w:rPr>
          <w:rFonts w:cs="Times New Roman"/>
          <w:i/>
          <w:iCs/>
          <w:szCs w:val="24"/>
        </w:rPr>
        <w:t>and</w:t>
      </w:r>
      <w:proofErr w:type="spellEnd"/>
      <w:r w:rsidRPr="004724DC">
        <w:rPr>
          <w:rFonts w:cs="Times New Roman"/>
          <w:i/>
          <w:iCs/>
          <w:szCs w:val="24"/>
        </w:rPr>
        <w:t xml:space="preserve"> </w:t>
      </w:r>
      <w:proofErr w:type="spellStart"/>
      <w:r w:rsidRPr="004724DC">
        <w:rPr>
          <w:rFonts w:cs="Times New Roman"/>
          <w:i/>
          <w:iCs/>
          <w:szCs w:val="24"/>
        </w:rPr>
        <w:t>Others</w:t>
      </w:r>
      <w:proofErr w:type="spellEnd"/>
      <w:r w:rsidRPr="004724DC">
        <w:rPr>
          <w:rFonts w:cs="Times New Roman"/>
          <w:i/>
          <w:iCs/>
          <w:szCs w:val="24"/>
        </w:rPr>
        <w:t xml:space="preserve"> v. </w:t>
      </w:r>
      <w:proofErr w:type="spellStart"/>
      <w:r w:rsidRPr="004724DC">
        <w:rPr>
          <w:rFonts w:cs="Times New Roman"/>
          <w:i/>
          <w:iCs/>
          <w:szCs w:val="24"/>
        </w:rPr>
        <w:t>Russia</w:t>
      </w:r>
      <w:proofErr w:type="spellEnd"/>
      <w:r w:rsidRPr="004724DC">
        <w:rPr>
          <w:rFonts w:cs="Times New Roman"/>
          <w:i/>
          <w:iCs/>
          <w:szCs w:val="24"/>
        </w:rPr>
        <w:t xml:space="preserve">”, </w:t>
      </w:r>
      <w:r w:rsidR="00E96351" w:rsidRPr="004724DC">
        <w:rPr>
          <w:rFonts w:cs="Times New Roman"/>
          <w:i/>
          <w:iCs/>
          <w:szCs w:val="24"/>
        </w:rPr>
        <w:t>iesniegum</w:t>
      </w:r>
      <w:r w:rsidR="00E96351">
        <w:rPr>
          <w:rFonts w:cs="Times New Roman"/>
          <w:i/>
          <w:iCs/>
          <w:szCs w:val="24"/>
        </w:rPr>
        <w:t>u</w:t>
      </w:r>
      <w:r w:rsidR="00E96351" w:rsidRPr="004724DC">
        <w:rPr>
          <w:rFonts w:cs="Times New Roman"/>
          <w:i/>
          <w:iCs/>
          <w:szCs w:val="24"/>
        </w:rPr>
        <w:t xml:space="preserve"> </w:t>
      </w:r>
      <w:r w:rsidRPr="004724DC">
        <w:rPr>
          <w:rFonts w:cs="Times New Roman"/>
          <w:i/>
          <w:iCs/>
          <w:szCs w:val="24"/>
        </w:rPr>
        <w:t>Nr. </w:t>
      </w:r>
      <w:hyperlink r:id="rId15" w:history="1">
        <w:r w:rsidRPr="004724DC">
          <w:rPr>
            <w:rStyle w:val="Hyperlink"/>
            <w:rFonts w:cs="Times New Roman"/>
            <w:i/>
            <w:iCs/>
            <w:szCs w:val="24"/>
          </w:rPr>
          <w:t>2430/06, 1454/08, 11670/10 un 12938/12</w:t>
        </w:r>
      </w:hyperlink>
      <w:r w:rsidRPr="004724DC">
        <w:rPr>
          <w:rFonts w:cs="Times New Roman"/>
          <w:szCs w:val="24"/>
        </w:rPr>
        <w:t xml:space="preserve">). </w:t>
      </w:r>
    </w:p>
    <w:p w14:paraId="2E2331D5" w14:textId="1BAA2EA5" w:rsidR="00FF28C8" w:rsidRPr="004724DC" w:rsidRDefault="00FF28C8" w:rsidP="0038293E">
      <w:pPr>
        <w:spacing w:after="0" w:line="276" w:lineRule="auto"/>
        <w:ind w:firstLine="709"/>
        <w:jc w:val="both"/>
        <w:rPr>
          <w:rFonts w:cs="Times New Roman"/>
          <w:szCs w:val="24"/>
        </w:rPr>
      </w:pPr>
      <w:r w:rsidRPr="004724DC">
        <w:rPr>
          <w:rFonts w:cs="Times New Roman"/>
          <w:szCs w:val="24"/>
        </w:rPr>
        <w:t>Tāpēc Senāts vērš uzmanību, ka, piemērojot Eiropas Cilvēktiesību tiesas spriedumā lietā „Avotiņš pret Latviju” izteiktās atziņas, nepieciešams ņemt vērā, ka tiesību uz taisnīgu tiesu prasību ievērošana ir izvērtējama individuāli katrā lietā, ņemot vērā tiesvedības norisi kopumā, nevis balstoties tikai uz kādu konkrētu aspektu vai atsevišķu procedūras posmu (</w:t>
      </w:r>
      <w:r w:rsidRPr="004724DC">
        <w:rPr>
          <w:rFonts w:cs="Times New Roman"/>
          <w:i/>
          <w:iCs/>
          <w:szCs w:val="24"/>
        </w:rPr>
        <w:t xml:space="preserve">Eiropas Cilvēktiesību tiesas 2016. gada 13. septembra </w:t>
      </w:r>
      <w:r w:rsidR="000B5B8F" w:rsidRPr="004724DC">
        <w:rPr>
          <w:rFonts w:cs="Times New Roman"/>
          <w:i/>
          <w:iCs/>
          <w:szCs w:val="24"/>
        </w:rPr>
        <w:t>spriedum</w:t>
      </w:r>
      <w:r w:rsidR="000B5B8F">
        <w:rPr>
          <w:rFonts w:cs="Times New Roman"/>
          <w:i/>
          <w:iCs/>
          <w:szCs w:val="24"/>
        </w:rPr>
        <w:t>a</w:t>
      </w:r>
      <w:r w:rsidR="000B5B8F" w:rsidRPr="004724DC">
        <w:rPr>
          <w:rFonts w:cs="Times New Roman"/>
          <w:i/>
          <w:iCs/>
          <w:szCs w:val="24"/>
        </w:rPr>
        <w:t xml:space="preserve"> </w:t>
      </w:r>
      <w:r w:rsidRPr="004724DC">
        <w:rPr>
          <w:rFonts w:cs="Times New Roman"/>
          <w:i/>
          <w:iCs/>
          <w:szCs w:val="24"/>
        </w:rPr>
        <w:t>lietā „</w:t>
      </w:r>
      <w:proofErr w:type="spellStart"/>
      <w:r w:rsidRPr="004724DC">
        <w:rPr>
          <w:rFonts w:cs="Times New Roman"/>
          <w:i/>
          <w:iCs/>
          <w:szCs w:val="24"/>
        </w:rPr>
        <w:t>Ibrahim</w:t>
      </w:r>
      <w:proofErr w:type="spellEnd"/>
      <w:r w:rsidRPr="004724DC">
        <w:rPr>
          <w:rFonts w:cs="Times New Roman"/>
          <w:i/>
          <w:iCs/>
          <w:szCs w:val="24"/>
        </w:rPr>
        <w:t xml:space="preserve"> </w:t>
      </w:r>
      <w:proofErr w:type="spellStart"/>
      <w:r w:rsidRPr="004724DC">
        <w:rPr>
          <w:rFonts w:cs="Times New Roman"/>
          <w:i/>
          <w:iCs/>
          <w:szCs w:val="24"/>
        </w:rPr>
        <w:t>and</w:t>
      </w:r>
      <w:proofErr w:type="spellEnd"/>
      <w:r w:rsidRPr="004724DC">
        <w:rPr>
          <w:rFonts w:cs="Times New Roman"/>
          <w:i/>
          <w:iCs/>
          <w:szCs w:val="24"/>
        </w:rPr>
        <w:t xml:space="preserve"> </w:t>
      </w:r>
      <w:proofErr w:type="spellStart"/>
      <w:r w:rsidRPr="004724DC">
        <w:rPr>
          <w:rFonts w:cs="Times New Roman"/>
          <w:i/>
          <w:iCs/>
          <w:szCs w:val="24"/>
        </w:rPr>
        <w:t>Others</w:t>
      </w:r>
      <w:proofErr w:type="spellEnd"/>
      <w:r w:rsidRPr="004724DC">
        <w:rPr>
          <w:rFonts w:cs="Times New Roman"/>
          <w:i/>
          <w:iCs/>
          <w:szCs w:val="24"/>
        </w:rPr>
        <w:t xml:space="preserve"> v. </w:t>
      </w:r>
      <w:proofErr w:type="spellStart"/>
      <w:r w:rsidRPr="004724DC">
        <w:rPr>
          <w:rFonts w:cs="Times New Roman"/>
          <w:i/>
          <w:iCs/>
          <w:szCs w:val="24"/>
        </w:rPr>
        <w:t>United</w:t>
      </w:r>
      <w:proofErr w:type="spellEnd"/>
      <w:r w:rsidRPr="004724DC">
        <w:rPr>
          <w:rFonts w:cs="Times New Roman"/>
          <w:i/>
          <w:iCs/>
          <w:szCs w:val="24"/>
        </w:rPr>
        <w:t xml:space="preserve"> </w:t>
      </w:r>
      <w:proofErr w:type="spellStart"/>
      <w:r w:rsidRPr="004724DC">
        <w:rPr>
          <w:rFonts w:cs="Times New Roman"/>
          <w:i/>
          <w:iCs/>
          <w:szCs w:val="24"/>
        </w:rPr>
        <w:t>Kingdom</w:t>
      </w:r>
      <w:proofErr w:type="spellEnd"/>
      <w:r w:rsidRPr="004724DC">
        <w:rPr>
          <w:rFonts w:cs="Times New Roman"/>
          <w:i/>
          <w:iCs/>
          <w:szCs w:val="24"/>
        </w:rPr>
        <w:t xml:space="preserve">”, </w:t>
      </w:r>
      <w:r w:rsidR="00E96351" w:rsidRPr="004724DC">
        <w:rPr>
          <w:rFonts w:cs="Times New Roman"/>
          <w:i/>
          <w:iCs/>
          <w:szCs w:val="24"/>
        </w:rPr>
        <w:t>iesniegum</w:t>
      </w:r>
      <w:r w:rsidR="00E96351">
        <w:rPr>
          <w:rFonts w:cs="Times New Roman"/>
          <w:i/>
          <w:iCs/>
          <w:szCs w:val="24"/>
        </w:rPr>
        <w:t>u</w:t>
      </w:r>
      <w:r w:rsidR="00E96351" w:rsidRPr="004724DC">
        <w:rPr>
          <w:rFonts w:cs="Times New Roman"/>
          <w:i/>
          <w:iCs/>
          <w:szCs w:val="24"/>
        </w:rPr>
        <w:t xml:space="preserve"> </w:t>
      </w:r>
      <w:r w:rsidRPr="004724DC">
        <w:rPr>
          <w:rFonts w:cs="Times New Roman"/>
          <w:i/>
          <w:iCs/>
          <w:szCs w:val="24"/>
        </w:rPr>
        <w:t xml:space="preserve">Nr. </w:t>
      </w:r>
      <w:hyperlink r:id="rId16" w:history="1">
        <w:r w:rsidRPr="004724DC">
          <w:rPr>
            <w:rStyle w:val="Hyperlink"/>
            <w:rFonts w:cs="Times New Roman"/>
            <w:i/>
            <w:iCs/>
            <w:szCs w:val="24"/>
          </w:rPr>
          <w:t>50541/08, 50571/08, 50573/08 un 40351/09</w:t>
        </w:r>
      </w:hyperlink>
      <w:r w:rsidRPr="004724DC">
        <w:rPr>
          <w:rFonts w:cs="Times New Roman"/>
          <w:i/>
          <w:iCs/>
          <w:szCs w:val="24"/>
        </w:rPr>
        <w:t>, 254. un 274. punkts</w:t>
      </w:r>
      <w:r w:rsidRPr="004724DC">
        <w:rPr>
          <w:rFonts w:cs="Times New Roman"/>
          <w:szCs w:val="24"/>
        </w:rPr>
        <w:t>).</w:t>
      </w:r>
    </w:p>
    <w:p w14:paraId="173B949E" w14:textId="6ACC4150" w:rsidR="00FF28C8" w:rsidRPr="004724DC" w:rsidRDefault="00FF28C8" w:rsidP="0038293E">
      <w:pPr>
        <w:spacing w:after="0" w:line="276" w:lineRule="auto"/>
        <w:ind w:firstLine="709"/>
        <w:jc w:val="both"/>
        <w:rPr>
          <w:rFonts w:cs="Times New Roman"/>
          <w:szCs w:val="24"/>
        </w:rPr>
      </w:pPr>
      <w:r w:rsidRPr="004724DC">
        <w:rPr>
          <w:rFonts w:cs="Times New Roman"/>
          <w:szCs w:val="24"/>
        </w:rPr>
        <w:lastRenderedPageBreak/>
        <w:t>Nacionālās tiesas neveikta pārbaude</w:t>
      </w:r>
      <w:r>
        <w:rPr>
          <w:rFonts w:cs="Times New Roman"/>
          <w:szCs w:val="24"/>
        </w:rPr>
        <w:t xml:space="preserve"> par to</w:t>
      </w:r>
      <w:r w:rsidRPr="004724DC">
        <w:rPr>
          <w:rFonts w:cs="Times New Roman"/>
          <w:szCs w:val="24"/>
        </w:rPr>
        <w:t>, vai lietas dalībnieks, kas nav ieradies uz izskatīšanu, saņēmis pavēstes lai</w:t>
      </w:r>
      <w:r>
        <w:rPr>
          <w:rFonts w:cs="Times New Roman"/>
          <w:szCs w:val="24"/>
        </w:rPr>
        <w:t>kus</w:t>
      </w:r>
      <w:r w:rsidRPr="004724DC">
        <w:rPr>
          <w:rFonts w:cs="Times New Roman"/>
          <w:szCs w:val="24"/>
        </w:rPr>
        <w:t xml:space="preserve"> un, ja n</w:t>
      </w:r>
      <w:r>
        <w:rPr>
          <w:rFonts w:cs="Times New Roman"/>
          <w:szCs w:val="24"/>
        </w:rPr>
        <w:t>e</w:t>
      </w:r>
      <w:r w:rsidRPr="004724DC">
        <w:rPr>
          <w:rFonts w:cs="Times New Roman"/>
          <w:szCs w:val="24"/>
        </w:rPr>
        <w:t>, vai lietas izskatīšanu vajadzētu atlikt, pati par sevi nav atbilstoša patiesai tiesību uz taisnīgu tiesu ievērošanai un var novest pie Eiropas Cilvēktiesību tiesas 6. panta 1. punkta pārkāpuma konstatācijas (</w:t>
      </w:r>
      <w:r w:rsidRPr="004724DC">
        <w:rPr>
          <w:rFonts w:cs="Times New Roman"/>
          <w:i/>
          <w:iCs/>
          <w:szCs w:val="24"/>
        </w:rPr>
        <w:t>Eiropas Cilvēktiesību tiesas 2016. gada 31. augusta spriedums lietā „</w:t>
      </w:r>
      <w:proofErr w:type="spellStart"/>
      <w:r w:rsidRPr="004724DC">
        <w:rPr>
          <w:rFonts w:cs="Times New Roman"/>
          <w:i/>
          <w:iCs/>
          <w:szCs w:val="24"/>
        </w:rPr>
        <w:t>Gankin</w:t>
      </w:r>
      <w:proofErr w:type="spellEnd"/>
      <w:r w:rsidRPr="004724DC">
        <w:rPr>
          <w:rFonts w:cs="Times New Roman"/>
          <w:i/>
          <w:iCs/>
          <w:szCs w:val="24"/>
        </w:rPr>
        <w:t xml:space="preserve"> </w:t>
      </w:r>
      <w:proofErr w:type="spellStart"/>
      <w:r w:rsidRPr="004724DC">
        <w:rPr>
          <w:rFonts w:cs="Times New Roman"/>
          <w:i/>
          <w:iCs/>
          <w:szCs w:val="24"/>
        </w:rPr>
        <w:t>and</w:t>
      </w:r>
      <w:proofErr w:type="spellEnd"/>
      <w:r w:rsidRPr="004724DC">
        <w:rPr>
          <w:rFonts w:cs="Times New Roman"/>
          <w:i/>
          <w:iCs/>
          <w:szCs w:val="24"/>
        </w:rPr>
        <w:t xml:space="preserve"> </w:t>
      </w:r>
      <w:proofErr w:type="spellStart"/>
      <w:r w:rsidRPr="004724DC">
        <w:rPr>
          <w:rFonts w:cs="Times New Roman"/>
          <w:i/>
          <w:iCs/>
          <w:szCs w:val="24"/>
        </w:rPr>
        <w:t>others</w:t>
      </w:r>
      <w:proofErr w:type="spellEnd"/>
      <w:r w:rsidRPr="004724DC">
        <w:rPr>
          <w:rFonts w:cs="Times New Roman"/>
          <w:i/>
          <w:iCs/>
          <w:szCs w:val="24"/>
        </w:rPr>
        <w:t xml:space="preserve"> v. </w:t>
      </w:r>
      <w:proofErr w:type="spellStart"/>
      <w:r w:rsidRPr="004724DC">
        <w:rPr>
          <w:rFonts w:cs="Times New Roman"/>
          <w:i/>
          <w:iCs/>
          <w:szCs w:val="24"/>
        </w:rPr>
        <w:t>Russia</w:t>
      </w:r>
      <w:proofErr w:type="spellEnd"/>
      <w:r w:rsidRPr="004724DC">
        <w:rPr>
          <w:rFonts w:cs="Times New Roman"/>
          <w:i/>
          <w:iCs/>
          <w:szCs w:val="24"/>
        </w:rPr>
        <w:t xml:space="preserve">”, </w:t>
      </w:r>
      <w:r w:rsidR="00E96351" w:rsidRPr="004724DC">
        <w:rPr>
          <w:rFonts w:cs="Times New Roman"/>
          <w:i/>
          <w:iCs/>
          <w:szCs w:val="24"/>
        </w:rPr>
        <w:t>iesniegum</w:t>
      </w:r>
      <w:r w:rsidR="00E96351">
        <w:rPr>
          <w:rFonts w:cs="Times New Roman"/>
          <w:i/>
          <w:iCs/>
          <w:szCs w:val="24"/>
        </w:rPr>
        <w:t>u</w:t>
      </w:r>
      <w:r w:rsidR="00E96351" w:rsidRPr="004724DC">
        <w:rPr>
          <w:rFonts w:cs="Times New Roman"/>
          <w:i/>
          <w:iCs/>
          <w:szCs w:val="24"/>
        </w:rPr>
        <w:t xml:space="preserve"> </w:t>
      </w:r>
      <w:r w:rsidRPr="004724DC">
        <w:rPr>
          <w:rFonts w:cs="Times New Roman"/>
          <w:i/>
          <w:iCs/>
          <w:szCs w:val="24"/>
        </w:rPr>
        <w:t>Nr. </w:t>
      </w:r>
      <w:hyperlink r:id="rId17" w:history="1">
        <w:r w:rsidRPr="004724DC">
          <w:rPr>
            <w:rStyle w:val="Hyperlink"/>
            <w:rFonts w:cs="Times New Roman"/>
            <w:i/>
            <w:iCs/>
            <w:szCs w:val="24"/>
          </w:rPr>
          <w:t>2430/06, 1454/08, 11670/10 un 12938/12</w:t>
        </w:r>
      </w:hyperlink>
      <w:r w:rsidR="00E96351">
        <w:t>,</w:t>
      </w:r>
      <w:r w:rsidRPr="004724DC">
        <w:rPr>
          <w:rFonts w:cs="Times New Roman"/>
          <w:i/>
          <w:iCs/>
          <w:szCs w:val="24"/>
        </w:rPr>
        <w:t xml:space="preserve"> 39. un 42. punkts</w:t>
      </w:r>
      <w:r w:rsidRPr="004724DC">
        <w:rPr>
          <w:rFonts w:cs="Times New Roman"/>
          <w:szCs w:val="24"/>
        </w:rPr>
        <w:t xml:space="preserve">). </w:t>
      </w:r>
    </w:p>
    <w:p w14:paraId="63C13BE0" w14:textId="208D7D2D" w:rsidR="00FF28C8" w:rsidRPr="004724DC" w:rsidRDefault="00FF28C8" w:rsidP="0038293E">
      <w:pPr>
        <w:pStyle w:val="NormalWeb"/>
        <w:shd w:val="clear" w:color="auto" w:fill="FFFFFF"/>
        <w:spacing w:before="0" w:beforeAutospacing="0" w:after="0" w:afterAutospacing="0" w:line="276" w:lineRule="auto"/>
        <w:ind w:firstLine="709"/>
        <w:jc w:val="both"/>
      </w:pPr>
      <w:r w:rsidRPr="004724DC">
        <w:t>Praktiska iespēja piedalīties lietas izskatīšanā, kas izriet no Eiropas Cilvēktiesību konvencijas 6. panta 1. punkta būtība un mērķa</w:t>
      </w:r>
      <w:r>
        <w:t>,</w:t>
      </w:r>
      <w:r w:rsidRPr="004724DC">
        <w:t xml:space="preserve"> aptver gan informētību par tiesvedību no informētības savlaicīguma aspekta, gan piekļuvi lietas materiāliem (sk. </w:t>
      </w:r>
      <w:r w:rsidRPr="004724DC">
        <w:rPr>
          <w:i/>
          <w:iCs/>
        </w:rPr>
        <w:t>Eiropas Cilvēktiesību tiesas 2019. gada 10. decembra sprieduma lietā „</w:t>
      </w:r>
      <w:proofErr w:type="spellStart"/>
      <w:r w:rsidRPr="004724DC">
        <w:rPr>
          <w:i/>
          <w:iCs/>
        </w:rPr>
        <w:t>Bacaksiz</w:t>
      </w:r>
      <w:proofErr w:type="spellEnd"/>
      <w:r w:rsidRPr="004724DC">
        <w:rPr>
          <w:i/>
          <w:iCs/>
        </w:rPr>
        <w:t xml:space="preserve"> v. </w:t>
      </w:r>
      <w:proofErr w:type="spellStart"/>
      <w:r w:rsidRPr="004724DC">
        <w:rPr>
          <w:i/>
          <w:iCs/>
        </w:rPr>
        <w:t>Turkey</w:t>
      </w:r>
      <w:proofErr w:type="spellEnd"/>
      <w:r w:rsidRPr="004724DC">
        <w:rPr>
          <w:i/>
          <w:iCs/>
        </w:rPr>
        <w:t>”, iesnieguma Nr. </w:t>
      </w:r>
      <w:hyperlink r:id="rId18" w:history="1">
        <w:r w:rsidRPr="004724DC">
          <w:rPr>
            <w:rStyle w:val="Hyperlink"/>
            <w:i/>
            <w:iCs/>
          </w:rPr>
          <w:t>24245/09</w:t>
        </w:r>
      </w:hyperlink>
      <w:r w:rsidR="00E96351">
        <w:t>,</w:t>
      </w:r>
      <w:r w:rsidRPr="004724DC">
        <w:rPr>
          <w:i/>
          <w:iCs/>
        </w:rPr>
        <w:t xml:space="preserve"> 52. punktu</w:t>
      </w:r>
      <w:r w:rsidRPr="004724DC">
        <w:t xml:space="preserve">). Tiesas nevar secināt, ka prombūtnē esošais lietas dalībnieks ir atteicies no tiesībām uz personisku klātbūtni, nepārbaudot, vai viņš ir ticis informēts par šo tiesību esību un līdz ar to </w:t>
      </w:r>
      <w:r>
        <w:t xml:space="preserve">– </w:t>
      </w:r>
      <w:r w:rsidRPr="004724DC">
        <w:t xml:space="preserve">par attiecīgo uzklausīšanu (sk. </w:t>
      </w:r>
      <w:bookmarkStart w:id="10" w:name="_Hlk210915707"/>
      <w:r w:rsidRPr="00CB3FF2">
        <w:rPr>
          <w:i/>
          <w:iCs/>
        </w:rPr>
        <w:t>Eiropas Cilvēktiesību tiesas 2018. gada 9. </w:t>
      </w:r>
      <w:r w:rsidRPr="00BA2723">
        <w:rPr>
          <w:i/>
          <w:iCs/>
        </w:rPr>
        <w:t>janvāra</w:t>
      </w:r>
      <w:r w:rsidR="00FC51FB" w:rsidRPr="00BA2723">
        <w:rPr>
          <w:i/>
          <w:iCs/>
        </w:rPr>
        <w:t xml:space="preserve"> </w:t>
      </w:r>
      <w:r w:rsidRPr="00BA2723">
        <w:rPr>
          <w:i/>
          <w:iCs/>
        </w:rPr>
        <w:t>spriedum</w:t>
      </w:r>
      <w:r w:rsidR="00FC51FB" w:rsidRPr="00BA2723">
        <w:rPr>
          <w:i/>
          <w:iCs/>
        </w:rPr>
        <w:t>a</w:t>
      </w:r>
      <w:r w:rsidRPr="00BA2723">
        <w:rPr>
          <w:i/>
          <w:iCs/>
        </w:rPr>
        <w:t xml:space="preserve"> </w:t>
      </w:r>
      <w:r w:rsidR="00FC51FB" w:rsidRPr="00BA2723">
        <w:rPr>
          <w:i/>
          <w:iCs/>
        </w:rPr>
        <w:t>lietā</w:t>
      </w:r>
      <w:r w:rsidR="00FC51FB" w:rsidRPr="00CB3FF2">
        <w:rPr>
          <w:i/>
          <w:iCs/>
        </w:rPr>
        <w:t xml:space="preserve"> „</w:t>
      </w:r>
      <w:proofErr w:type="spellStart"/>
      <w:r w:rsidR="00FC51FB" w:rsidRPr="00CB3FF2">
        <w:rPr>
          <w:i/>
          <w:iCs/>
        </w:rPr>
        <w:t>Dilipak</w:t>
      </w:r>
      <w:proofErr w:type="spellEnd"/>
      <w:r w:rsidR="00FC51FB" w:rsidRPr="00CB3FF2">
        <w:rPr>
          <w:i/>
          <w:iCs/>
        </w:rPr>
        <w:t xml:space="preserve"> </w:t>
      </w:r>
      <w:proofErr w:type="spellStart"/>
      <w:r w:rsidR="00FC51FB" w:rsidRPr="00CB3FF2">
        <w:rPr>
          <w:i/>
          <w:iCs/>
        </w:rPr>
        <w:t>and</w:t>
      </w:r>
      <w:proofErr w:type="spellEnd"/>
      <w:r w:rsidR="00FC51FB" w:rsidRPr="00CB3FF2">
        <w:rPr>
          <w:i/>
          <w:iCs/>
        </w:rPr>
        <w:t xml:space="preserve"> </w:t>
      </w:r>
      <w:proofErr w:type="spellStart"/>
      <w:r w:rsidR="00FC51FB" w:rsidRPr="00CB3FF2">
        <w:rPr>
          <w:i/>
          <w:iCs/>
        </w:rPr>
        <w:t>Karakaya</w:t>
      </w:r>
      <w:proofErr w:type="spellEnd"/>
      <w:r w:rsidR="00FC51FB" w:rsidRPr="00CB3FF2">
        <w:rPr>
          <w:i/>
          <w:iCs/>
        </w:rPr>
        <w:t xml:space="preserve"> v. </w:t>
      </w:r>
      <w:proofErr w:type="spellStart"/>
      <w:r w:rsidR="00FC51FB" w:rsidRPr="00CB3FF2">
        <w:rPr>
          <w:i/>
          <w:iCs/>
        </w:rPr>
        <w:t>Turkey</w:t>
      </w:r>
      <w:proofErr w:type="spellEnd"/>
      <w:r w:rsidR="00FC51FB" w:rsidRPr="00CB3FF2">
        <w:rPr>
          <w:i/>
          <w:iCs/>
        </w:rPr>
        <w:t xml:space="preserve">”, </w:t>
      </w:r>
      <w:r w:rsidR="00E96351" w:rsidRPr="00CB3FF2">
        <w:rPr>
          <w:i/>
          <w:iCs/>
        </w:rPr>
        <w:t>iesniegum</w:t>
      </w:r>
      <w:r w:rsidR="00E96351">
        <w:rPr>
          <w:i/>
          <w:iCs/>
        </w:rPr>
        <w:t>u</w:t>
      </w:r>
      <w:r w:rsidR="00E96351" w:rsidRPr="00CB3FF2">
        <w:rPr>
          <w:i/>
          <w:iCs/>
        </w:rPr>
        <w:t xml:space="preserve"> </w:t>
      </w:r>
      <w:r w:rsidR="00FC51FB" w:rsidRPr="00CB3FF2">
        <w:rPr>
          <w:i/>
          <w:iCs/>
        </w:rPr>
        <w:t>Nr. </w:t>
      </w:r>
      <w:hyperlink r:id="rId19" w:history="1">
        <w:r w:rsidR="00FC51FB" w:rsidRPr="009A648F">
          <w:rPr>
            <w:rStyle w:val="Hyperlink"/>
            <w:i/>
            <w:iCs/>
          </w:rPr>
          <w:t>7942/05, 24838/05</w:t>
        </w:r>
        <w:bookmarkEnd w:id="10"/>
      </w:hyperlink>
      <w:r w:rsidR="00E96351">
        <w:rPr>
          <w:i/>
          <w:iCs/>
        </w:rPr>
        <w:t>,</w:t>
      </w:r>
      <w:r w:rsidR="00FC51FB" w:rsidRPr="00CB3FF2">
        <w:rPr>
          <w:i/>
          <w:iCs/>
        </w:rPr>
        <w:t xml:space="preserve"> 87. punktu</w:t>
      </w:r>
      <w:r w:rsidR="00FC51FB">
        <w:t>).</w:t>
      </w:r>
    </w:p>
    <w:p w14:paraId="0722EF59" w14:textId="0F40AE94" w:rsidR="00FF28C8" w:rsidRPr="004724DC" w:rsidRDefault="00FF28C8" w:rsidP="0038293E">
      <w:pPr>
        <w:spacing w:after="0" w:line="276" w:lineRule="auto"/>
        <w:ind w:firstLine="709"/>
        <w:jc w:val="both"/>
        <w:rPr>
          <w:rFonts w:cs="Times New Roman"/>
          <w:szCs w:val="24"/>
        </w:rPr>
      </w:pPr>
      <w:r w:rsidRPr="004724DC">
        <w:rPr>
          <w:rFonts w:cs="Times New Roman"/>
          <w:szCs w:val="24"/>
        </w:rPr>
        <w:t>Ja civillietas iztiesāšana notiek</w:t>
      </w:r>
      <w:r>
        <w:rPr>
          <w:rFonts w:cs="Times New Roman"/>
          <w:szCs w:val="24"/>
        </w:rPr>
        <w:t>,</w:t>
      </w:r>
      <w:r w:rsidRPr="004724DC">
        <w:rPr>
          <w:rFonts w:cs="Times New Roman"/>
          <w:szCs w:val="24"/>
        </w:rPr>
        <w:t xml:space="preserve"> nepiedaloties lietas dalībniekam, tad pamattiesību ievērošanas kontekstā uzmanība </w:t>
      </w:r>
      <w:r>
        <w:rPr>
          <w:rFonts w:cs="Times New Roman"/>
          <w:szCs w:val="24"/>
        </w:rPr>
        <w:t>jāpievērš tam, vai</w:t>
      </w:r>
      <w:r w:rsidRPr="004724DC">
        <w:rPr>
          <w:rFonts w:cs="Times New Roman"/>
          <w:szCs w:val="24"/>
        </w:rPr>
        <w:t>, pirmkārt, tiesu iestādes ir bijušas rūpīgas</w:t>
      </w:r>
      <w:r>
        <w:rPr>
          <w:rFonts w:cs="Times New Roman"/>
          <w:szCs w:val="24"/>
        </w:rPr>
        <w:t>,</w:t>
      </w:r>
      <w:r w:rsidRPr="004724DC">
        <w:rPr>
          <w:rFonts w:cs="Times New Roman"/>
          <w:szCs w:val="24"/>
        </w:rPr>
        <w:t xml:space="preserve"> informējot lietas dalībnieku par tiesvedību</w:t>
      </w:r>
      <w:r>
        <w:rPr>
          <w:rFonts w:cs="Times New Roman"/>
          <w:szCs w:val="24"/>
        </w:rPr>
        <w:t>,</w:t>
      </w:r>
      <w:r w:rsidRPr="004724DC">
        <w:rPr>
          <w:rFonts w:cs="Times New Roman"/>
          <w:szCs w:val="24"/>
        </w:rPr>
        <w:t xml:space="preserve"> un vai var uzskatīt, ka lietas dalībnieks ir atteicies piedalīties tiesas sēdē klātienē un sevi aizstāvēt; </w:t>
      </w:r>
      <w:r w:rsidR="00FC51FB">
        <w:rPr>
          <w:rFonts w:cs="Times New Roman"/>
          <w:szCs w:val="24"/>
        </w:rPr>
        <w:t>un</w:t>
      </w:r>
      <w:r>
        <w:rPr>
          <w:rFonts w:cs="Times New Roman"/>
          <w:szCs w:val="24"/>
        </w:rPr>
        <w:t xml:space="preserve">, </w:t>
      </w:r>
      <w:r w:rsidRPr="004724DC">
        <w:rPr>
          <w:rFonts w:cs="Times New Roman"/>
          <w:szCs w:val="24"/>
        </w:rPr>
        <w:t>otrkārt, vai nacionālajā regulējumā ir nodrošināti līdzekļi jaunam sacīkstes procesam pēc tam, kad lietas dalībnieks ir iepazinies ar tiesas nolēmumu, kas pieņemts</w:t>
      </w:r>
      <w:r w:rsidR="000B5B8F">
        <w:rPr>
          <w:rFonts w:cs="Times New Roman"/>
          <w:szCs w:val="24"/>
        </w:rPr>
        <w:t>,</w:t>
      </w:r>
      <w:r w:rsidRPr="004724DC">
        <w:rPr>
          <w:rFonts w:cs="Times New Roman"/>
          <w:szCs w:val="24"/>
        </w:rPr>
        <w:t xml:space="preserve"> tam klāt</w:t>
      </w:r>
      <w:r>
        <w:rPr>
          <w:rFonts w:cs="Times New Roman"/>
          <w:szCs w:val="24"/>
        </w:rPr>
        <w:t xml:space="preserve"> </w:t>
      </w:r>
      <w:r w:rsidRPr="004724DC">
        <w:rPr>
          <w:rFonts w:cs="Times New Roman"/>
          <w:szCs w:val="24"/>
        </w:rPr>
        <w:t>neesot. Un visbeidzot, pat ja lietas dalībnieks tiesvedības laikā nav pilnībā rūpējies par savu tiesību aizsardzību, šādas rīcības sekām jābūt samērīgām ar</w:t>
      </w:r>
      <w:r w:rsidR="00FC51FB">
        <w:rPr>
          <w:rFonts w:cs="Times New Roman"/>
          <w:szCs w:val="24"/>
        </w:rPr>
        <w:t xml:space="preserve"> šādu</w:t>
      </w:r>
      <w:r w:rsidRPr="004724DC">
        <w:rPr>
          <w:rFonts w:cs="Times New Roman"/>
          <w:szCs w:val="24"/>
        </w:rPr>
        <w:t xml:space="preserve"> pienākumu neizpildes smagum</w:t>
      </w:r>
      <w:r w:rsidR="00FC51FB">
        <w:rPr>
          <w:rFonts w:cs="Times New Roman"/>
          <w:szCs w:val="24"/>
        </w:rPr>
        <w:t>a sekām</w:t>
      </w:r>
      <w:r w:rsidRPr="004724DC">
        <w:rPr>
          <w:rFonts w:cs="Times New Roman"/>
          <w:szCs w:val="24"/>
        </w:rPr>
        <w:t xml:space="preserve"> un vispārīgo principu par lietas taisnīgu izskatīšanu (sk. </w:t>
      </w:r>
      <w:r w:rsidRPr="004724DC">
        <w:rPr>
          <w:rFonts w:cs="Times New Roman"/>
          <w:i/>
          <w:iCs/>
          <w:szCs w:val="24"/>
        </w:rPr>
        <w:t>Eiropas Cilvēktiesību tiesas 2019. gada 10. decembra sprieduma lietā „</w:t>
      </w:r>
      <w:proofErr w:type="spellStart"/>
      <w:r w:rsidRPr="004724DC">
        <w:rPr>
          <w:rFonts w:cs="Times New Roman"/>
          <w:i/>
          <w:iCs/>
          <w:szCs w:val="24"/>
        </w:rPr>
        <w:t>Bacaksiz</w:t>
      </w:r>
      <w:proofErr w:type="spellEnd"/>
      <w:r w:rsidRPr="004724DC">
        <w:rPr>
          <w:rFonts w:cs="Times New Roman"/>
          <w:i/>
          <w:iCs/>
          <w:szCs w:val="24"/>
        </w:rPr>
        <w:t xml:space="preserve"> v. </w:t>
      </w:r>
      <w:proofErr w:type="spellStart"/>
      <w:r w:rsidRPr="004724DC">
        <w:rPr>
          <w:rFonts w:cs="Times New Roman"/>
          <w:i/>
          <w:iCs/>
          <w:szCs w:val="24"/>
        </w:rPr>
        <w:t>Turkey</w:t>
      </w:r>
      <w:proofErr w:type="spellEnd"/>
      <w:r w:rsidRPr="004724DC">
        <w:rPr>
          <w:rFonts w:cs="Times New Roman"/>
          <w:i/>
          <w:iCs/>
          <w:szCs w:val="24"/>
        </w:rPr>
        <w:t>”, iesnieguma Nr. </w:t>
      </w:r>
      <w:hyperlink r:id="rId20" w:history="1">
        <w:r w:rsidRPr="004724DC">
          <w:rPr>
            <w:rStyle w:val="Hyperlink"/>
            <w:rFonts w:cs="Times New Roman"/>
            <w:i/>
            <w:iCs/>
            <w:szCs w:val="24"/>
          </w:rPr>
          <w:t>24245/09</w:t>
        </w:r>
      </w:hyperlink>
      <w:r w:rsidR="000B5B8F">
        <w:t>,</w:t>
      </w:r>
      <w:r w:rsidRPr="004724DC">
        <w:rPr>
          <w:rFonts w:cs="Times New Roman"/>
          <w:i/>
          <w:iCs/>
          <w:szCs w:val="24"/>
        </w:rPr>
        <w:t xml:space="preserve"> 56. punktu</w:t>
      </w:r>
      <w:r w:rsidRPr="004724DC">
        <w:rPr>
          <w:rFonts w:cs="Times New Roman"/>
          <w:szCs w:val="24"/>
        </w:rPr>
        <w:t>).</w:t>
      </w:r>
    </w:p>
    <w:p w14:paraId="6244DD2E" w14:textId="77777777" w:rsidR="00FF28C8" w:rsidRPr="004724DC" w:rsidRDefault="00FF28C8" w:rsidP="0038293E">
      <w:pPr>
        <w:spacing w:after="0" w:line="276" w:lineRule="auto"/>
        <w:ind w:firstLine="709"/>
        <w:jc w:val="both"/>
        <w:rPr>
          <w:rFonts w:cs="Times New Roman"/>
          <w:szCs w:val="24"/>
        </w:rPr>
      </w:pPr>
      <w:r w:rsidRPr="004724DC">
        <w:rPr>
          <w:rFonts w:cs="Times New Roman"/>
          <w:szCs w:val="24"/>
        </w:rPr>
        <w:t>Tad, ja procesuālās kļūdas varēja novērst jau no paša sākuma</w:t>
      </w:r>
      <w:r>
        <w:rPr>
          <w:rFonts w:cs="Times New Roman"/>
          <w:szCs w:val="24"/>
        </w:rPr>
        <w:t xml:space="preserve"> un ja</w:t>
      </w:r>
      <w:r w:rsidRPr="004724DC">
        <w:rPr>
          <w:rFonts w:cs="Times New Roman"/>
          <w:szCs w:val="24"/>
        </w:rPr>
        <w:t xml:space="preserve"> turklāt tās galvenokārt un objektīvi ir personas (lietas dalībnieka) pašas rīcības rezultāts, šo kļūdu negatīvās sekas gulstas uz šo personu (sk. </w:t>
      </w:r>
      <w:r w:rsidRPr="004724DC">
        <w:rPr>
          <w:rFonts w:cs="Times New Roman"/>
          <w:i/>
          <w:iCs/>
          <w:szCs w:val="24"/>
        </w:rPr>
        <w:t>Eiropas Cilvēktiesību tiesas (Lielā palāta) sprieduma lietā „</w:t>
      </w:r>
      <w:proofErr w:type="spellStart"/>
      <w:r w:rsidRPr="004724DC">
        <w:rPr>
          <w:rFonts w:cs="Times New Roman"/>
          <w:i/>
          <w:iCs/>
          <w:szCs w:val="24"/>
        </w:rPr>
        <w:t>Zubac</w:t>
      </w:r>
      <w:proofErr w:type="spellEnd"/>
      <w:r w:rsidRPr="004724DC">
        <w:rPr>
          <w:rFonts w:cs="Times New Roman"/>
          <w:i/>
          <w:iCs/>
          <w:szCs w:val="24"/>
        </w:rPr>
        <w:t xml:space="preserve"> v. </w:t>
      </w:r>
      <w:proofErr w:type="spellStart"/>
      <w:r w:rsidRPr="004724DC">
        <w:rPr>
          <w:rFonts w:cs="Times New Roman"/>
          <w:i/>
          <w:iCs/>
          <w:szCs w:val="24"/>
        </w:rPr>
        <w:t>Croatia</w:t>
      </w:r>
      <w:proofErr w:type="spellEnd"/>
      <w:r w:rsidRPr="004724DC">
        <w:rPr>
          <w:rFonts w:cs="Times New Roman"/>
          <w:i/>
          <w:iCs/>
          <w:szCs w:val="24"/>
        </w:rPr>
        <w:t>”, iesnieguma Nr. </w:t>
      </w:r>
      <w:hyperlink r:id="rId21" w:history="1">
        <w:r w:rsidRPr="004724DC">
          <w:rPr>
            <w:rStyle w:val="Hyperlink"/>
            <w:rFonts w:cs="Times New Roman"/>
            <w:i/>
            <w:iCs/>
            <w:szCs w:val="24"/>
          </w:rPr>
          <w:t>40160/12</w:t>
        </w:r>
      </w:hyperlink>
      <w:r w:rsidRPr="004724DC">
        <w:rPr>
          <w:rFonts w:cs="Times New Roman"/>
          <w:i/>
          <w:iCs/>
          <w:szCs w:val="24"/>
        </w:rPr>
        <w:t>, 121. punktu</w:t>
      </w:r>
      <w:r w:rsidRPr="004724DC">
        <w:rPr>
          <w:rFonts w:cs="Times New Roman"/>
          <w:szCs w:val="24"/>
        </w:rPr>
        <w:t>).</w:t>
      </w:r>
    </w:p>
    <w:p w14:paraId="36C3903D" w14:textId="49840134" w:rsidR="0062085F" w:rsidRPr="004724DC" w:rsidRDefault="0062085F" w:rsidP="0038293E">
      <w:pPr>
        <w:pStyle w:val="NormalWeb"/>
        <w:shd w:val="clear" w:color="auto" w:fill="FFFFFF"/>
        <w:spacing w:before="0" w:beforeAutospacing="0" w:after="0" w:afterAutospacing="0" w:line="276" w:lineRule="auto"/>
        <w:ind w:firstLine="709"/>
        <w:jc w:val="both"/>
      </w:pPr>
      <w:r w:rsidRPr="004724DC">
        <w:t>Vienlaikus Senāts vērš uzmanību uz jau iepriekš norādīto, ka tiesību uz taisnīgu tiesas procesu garantiju pārbaudes intensitāte var atšķirties atkarībā no lietas rakstura. No Eiropas Cilvēktiesību tiesas judikatūras nepārprotami izriet, ka valsts iestādēm, tostarp tiesām, jānodrošina konkurējošo interešu, proti, bērna</w:t>
      </w:r>
      <w:r>
        <w:t xml:space="preserve"> interešu</w:t>
      </w:r>
      <w:r w:rsidRPr="004724DC">
        <w:t xml:space="preserve">, abu vecāku </w:t>
      </w:r>
      <w:r>
        <w:t xml:space="preserve">interešu </w:t>
      </w:r>
      <w:r w:rsidRPr="004724DC">
        <w:t xml:space="preserve">un sabiedriskās kārtības </w:t>
      </w:r>
      <w:r>
        <w:t>interešu</w:t>
      </w:r>
      <w:r w:rsidR="000B5B8F">
        <w:t>,</w:t>
      </w:r>
      <w:r>
        <w:t xml:space="preserve"> </w:t>
      </w:r>
      <w:r w:rsidRPr="004724DC">
        <w:t>līdzsvars, ņemot vērā</w:t>
      </w:r>
      <w:r>
        <w:t xml:space="preserve"> tomēr to</w:t>
      </w:r>
      <w:r w:rsidRPr="004724DC">
        <w:t xml:space="preserve">, ka bērna vislabāko interešu nodrošināšana ir primāra, proti, visos lēmumos attiecībā uz bērniem viņu intereses ir vissvarīgākās </w:t>
      </w:r>
      <w:r w:rsidRPr="00E34007">
        <w:rPr>
          <w:iCs/>
        </w:rPr>
        <w:t>(sk., piemēram,</w:t>
      </w:r>
      <w:r w:rsidRPr="004724DC">
        <w:rPr>
          <w:i/>
        </w:rPr>
        <w:t xml:space="preserve"> </w:t>
      </w:r>
      <w:bookmarkStart w:id="11" w:name="_Hlk210915774"/>
      <w:r>
        <w:rPr>
          <w:i/>
        </w:rPr>
        <w:t xml:space="preserve">Eiropas Cilvēktiesību tiesas </w:t>
      </w:r>
      <w:r w:rsidR="00112FA3">
        <w:rPr>
          <w:i/>
        </w:rPr>
        <w:t>(</w:t>
      </w:r>
      <w:r w:rsidR="00112FA3" w:rsidRPr="004724DC">
        <w:rPr>
          <w:i/>
        </w:rPr>
        <w:t>Lielā palāta</w:t>
      </w:r>
      <w:r w:rsidR="00112FA3">
        <w:rPr>
          <w:i/>
        </w:rPr>
        <w:t xml:space="preserve">) </w:t>
      </w:r>
      <w:r w:rsidRPr="004724DC">
        <w:rPr>
          <w:i/>
        </w:rPr>
        <w:t>2013.</w:t>
      </w:r>
      <w:r>
        <w:rPr>
          <w:i/>
        </w:rPr>
        <w:t> </w:t>
      </w:r>
      <w:r w:rsidRPr="004724DC">
        <w:rPr>
          <w:i/>
        </w:rPr>
        <w:t>gada 26.</w:t>
      </w:r>
      <w:r>
        <w:rPr>
          <w:i/>
        </w:rPr>
        <w:t> </w:t>
      </w:r>
      <w:r w:rsidRPr="004724DC">
        <w:rPr>
          <w:i/>
        </w:rPr>
        <w:t>novembra sprieduma lietā „X pret Latviju”, iesnieguma Nr.</w:t>
      </w:r>
      <w:r>
        <w:rPr>
          <w:i/>
        </w:rPr>
        <w:t> </w:t>
      </w:r>
      <w:hyperlink r:id="rId22" w:history="1">
        <w:r w:rsidRPr="009A648F">
          <w:rPr>
            <w:rStyle w:val="Hyperlink"/>
            <w:i/>
          </w:rPr>
          <w:t>27853/09</w:t>
        </w:r>
      </w:hyperlink>
      <w:r w:rsidRPr="004724DC">
        <w:rPr>
          <w:i/>
        </w:rPr>
        <w:t xml:space="preserve">, </w:t>
      </w:r>
      <w:bookmarkEnd w:id="11"/>
      <w:r w:rsidRPr="004724DC">
        <w:rPr>
          <w:i/>
        </w:rPr>
        <w:t>95.</w:t>
      </w:r>
      <w:r>
        <w:rPr>
          <w:i/>
        </w:rPr>
        <w:t> </w:t>
      </w:r>
      <w:r w:rsidRPr="004724DC">
        <w:rPr>
          <w:i/>
        </w:rPr>
        <w:t>punktu</w:t>
      </w:r>
      <w:r w:rsidRPr="00E34007">
        <w:rPr>
          <w:iCs/>
        </w:rPr>
        <w:t>)</w:t>
      </w:r>
      <w:r w:rsidRPr="004724DC">
        <w:t xml:space="preserve">. Bērnu aprūpes lietās, lai aizsargātu bērna intereses, valsts tiesām </w:t>
      </w:r>
      <w:r>
        <w:t>visupirms</w:t>
      </w:r>
      <w:r w:rsidRPr="004724DC">
        <w:t xml:space="preserve"> un galvenokārt ir ātri un pienācīgi jāreaģē uz dinamisko ģimenes situāciju</w:t>
      </w:r>
      <w:r>
        <w:t xml:space="preserve">, </w:t>
      </w:r>
      <w:r w:rsidRPr="004724DC">
        <w:t>t</w:t>
      </w:r>
      <w:r>
        <w:t>ostarp</w:t>
      </w:r>
      <w:r w:rsidRPr="004724DC">
        <w:t xml:space="preserve"> uz situācijas attīstību, nevis </w:t>
      </w:r>
      <w:r w:rsidR="000B5B8F">
        <w:t>jāizvirza mērķis</w:t>
      </w:r>
      <w:r w:rsidRPr="004724DC">
        <w:t xml:space="preserve"> oficiāli pabeigt tiesvedību (sk. </w:t>
      </w:r>
      <w:bookmarkStart w:id="12" w:name="_Hlk210915911"/>
      <w:r w:rsidRPr="004724DC">
        <w:rPr>
          <w:i/>
          <w:iCs/>
        </w:rPr>
        <w:t>Eiropas Cilvēktiesību tiesas 2022. gada 1. decembra sprieduma lietā „M.</w:t>
      </w:r>
      <w:r>
        <w:rPr>
          <w:i/>
          <w:iCs/>
        </w:rPr>
        <w:t> </w:t>
      </w:r>
      <w:r w:rsidRPr="004724DC">
        <w:rPr>
          <w:i/>
          <w:iCs/>
        </w:rPr>
        <w:t xml:space="preserve">H. v. </w:t>
      </w:r>
      <w:proofErr w:type="spellStart"/>
      <w:r w:rsidRPr="004724DC">
        <w:rPr>
          <w:i/>
          <w:iCs/>
        </w:rPr>
        <w:t>Poland</w:t>
      </w:r>
      <w:proofErr w:type="spellEnd"/>
      <w:r w:rsidRPr="004724DC">
        <w:rPr>
          <w:i/>
          <w:iCs/>
        </w:rPr>
        <w:t>”, iesnieguma Nr. </w:t>
      </w:r>
      <w:hyperlink r:id="rId23" w:history="1">
        <w:r w:rsidRPr="009A648F">
          <w:rPr>
            <w:rStyle w:val="Hyperlink"/>
            <w:i/>
            <w:iCs/>
          </w:rPr>
          <w:t>73247/14</w:t>
        </w:r>
        <w:bookmarkEnd w:id="12"/>
      </w:hyperlink>
      <w:r w:rsidRPr="004724DC">
        <w:rPr>
          <w:i/>
          <w:iCs/>
        </w:rPr>
        <w:t>, 78.</w:t>
      </w:r>
      <w:r>
        <w:rPr>
          <w:i/>
          <w:iCs/>
        </w:rPr>
        <w:t xml:space="preserve"> un</w:t>
      </w:r>
      <w:r w:rsidRPr="004724DC">
        <w:rPr>
          <w:i/>
          <w:iCs/>
        </w:rPr>
        <w:t xml:space="preserve"> 79. punktu</w:t>
      </w:r>
      <w:r w:rsidRPr="004724DC">
        <w:t xml:space="preserve">). </w:t>
      </w:r>
    </w:p>
    <w:p w14:paraId="58B7C3AC" w14:textId="13524229" w:rsidR="002C5FFF" w:rsidRPr="004724DC" w:rsidRDefault="002C5FFF" w:rsidP="0038293E">
      <w:pPr>
        <w:pStyle w:val="NormalWeb"/>
        <w:shd w:val="clear" w:color="auto" w:fill="FFFFFF"/>
        <w:spacing w:before="0" w:beforeAutospacing="0" w:after="0" w:afterAutospacing="0" w:line="276" w:lineRule="auto"/>
        <w:ind w:firstLine="709"/>
        <w:jc w:val="both"/>
      </w:pPr>
    </w:p>
    <w:p w14:paraId="06960081" w14:textId="451A5F3F" w:rsidR="002C5FFF" w:rsidRPr="004724DC" w:rsidRDefault="00FC51FB" w:rsidP="0038293E">
      <w:pPr>
        <w:spacing w:after="0" w:line="276" w:lineRule="auto"/>
        <w:ind w:firstLine="709"/>
        <w:jc w:val="both"/>
        <w:rPr>
          <w:rFonts w:cs="Times New Roman"/>
          <w:szCs w:val="24"/>
        </w:rPr>
      </w:pPr>
      <w:r>
        <w:rPr>
          <w:rFonts w:cs="Times New Roman"/>
          <w:szCs w:val="24"/>
        </w:rPr>
        <w:t>[1</w:t>
      </w:r>
      <w:r w:rsidR="00B047CB">
        <w:rPr>
          <w:rFonts w:cs="Times New Roman"/>
          <w:szCs w:val="24"/>
        </w:rPr>
        <w:t>9</w:t>
      </w:r>
      <w:r>
        <w:rPr>
          <w:rFonts w:cs="Times New Roman"/>
          <w:szCs w:val="24"/>
        </w:rPr>
        <w:t>] </w:t>
      </w:r>
      <w:r w:rsidR="002C5FFF" w:rsidRPr="004724DC">
        <w:rPr>
          <w:rFonts w:cs="Times New Roman"/>
          <w:szCs w:val="24"/>
        </w:rPr>
        <w:t xml:space="preserve">Senāts pievienojas apgabaltiesas </w:t>
      </w:r>
      <w:r w:rsidR="002A3DF9">
        <w:rPr>
          <w:rFonts w:cs="Times New Roman"/>
          <w:szCs w:val="24"/>
        </w:rPr>
        <w:t>secinājumam</w:t>
      </w:r>
      <w:r w:rsidR="002C5FFF" w:rsidRPr="004724DC">
        <w:rPr>
          <w:rFonts w:cs="Times New Roman"/>
          <w:szCs w:val="24"/>
        </w:rPr>
        <w:t>, ka tiesiskās sadarbības jautājumu</w:t>
      </w:r>
      <w:r w:rsidR="002A3DF9">
        <w:rPr>
          <w:rFonts w:cs="Times New Roman"/>
          <w:szCs w:val="24"/>
        </w:rPr>
        <w:t xml:space="preserve"> dokumentu izsniegšanā šajā gadījumā</w:t>
      </w:r>
      <w:r w:rsidR="002C5FFF" w:rsidRPr="004724DC">
        <w:rPr>
          <w:rFonts w:cs="Times New Roman"/>
          <w:szCs w:val="24"/>
        </w:rPr>
        <w:t xml:space="preserve"> regulē Hāgas 1965. gada 15. novembra </w:t>
      </w:r>
      <w:r w:rsidR="002C5FFF" w:rsidRPr="004724DC">
        <w:rPr>
          <w:rFonts w:cs="Times New Roman"/>
          <w:szCs w:val="24"/>
        </w:rPr>
        <w:lastRenderedPageBreak/>
        <w:t xml:space="preserve">Konvencija par tiesas un ārpustiesas dokumentu izsniegšanu civillietās vai komerclietās (turpmāk – Hāgas dokumentu izsniegšanas konvencija), kuru ratificējušas gan Krievijas Federācija, gan Norvēģijas Karaliste. </w:t>
      </w:r>
    </w:p>
    <w:p w14:paraId="439E1A19" w14:textId="23722DCA" w:rsidR="002C5FFF" w:rsidRPr="004724DC" w:rsidRDefault="002C5FFF" w:rsidP="0038293E">
      <w:pPr>
        <w:pStyle w:val="NormalWeb"/>
        <w:shd w:val="clear" w:color="auto" w:fill="FFFFFF"/>
        <w:spacing w:before="0" w:beforeAutospacing="0" w:after="0" w:afterAutospacing="0" w:line="276" w:lineRule="auto"/>
        <w:ind w:firstLine="709"/>
        <w:jc w:val="both"/>
      </w:pPr>
      <w:r w:rsidRPr="004724DC">
        <w:t xml:space="preserve">Paziņojumus, tostarp tiesas pavēstes un spriedumu krievu valodā, Krievijas Federācijas tiesa sūtījusi atbildētājam nevis ar kompetento iestāžu starpniecību, bet gan tos nosūtījusi atbildētājam </w:t>
      </w:r>
      <w:r w:rsidR="008E7600">
        <w:t xml:space="preserve">uz viņa adresi </w:t>
      </w:r>
      <w:r w:rsidRPr="004724DC">
        <w:t>Norvēģijas Karalistē, izmantojot pasta pakalpojumus.</w:t>
      </w:r>
    </w:p>
    <w:p w14:paraId="235C04A1" w14:textId="77777777" w:rsidR="002C5FFF" w:rsidRPr="004724DC" w:rsidRDefault="002C5FFF" w:rsidP="0038293E">
      <w:pPr>
        <w:spacing w:after="0" w:line="276" w:lineRule="auto"/>
        <w:ind w:firstLine="709"/>
        <w:jc w:val="both"/>
        <w:rPr>
          <w:rFonts w:cs="Times New Roman"/>
          <w:szCs w:val="24"/>
        </w:rPr>
      </w:pPr>
      <w:r w:rsidRPr="004724DC">
        <w:rPr>
          <w:rFonts w:cs="Times New Roman"/>
          <w:szCs w:val="24"/>
        </w:rPr>
        <w:t>Hāgas dokumentu izsniegšanas konvencijas 10. panta „a” apakšpunktā noteikts, ka tad, ja lūguma saņēmēja valsts neiebilst, šī konvencija neietekmē tiesības nosūtīt tiesas dokumentus pa pastu tieši personām ārvalstīs.</w:t>
      </w:r>
    </w:p>
    <w:p w14:paraId="1C2A5C46" w14:textId="207CEB33" w:rsidR="002C5FFF" w:rsidRPr="004724DC" w:rsidRDefault="002C5FFF" w:rsidP="0038293E">
      <w:pPr>
        <w:pStyle w:val="NormalWeb"/>
        <w:shd w:val="clear" w:color="auto" w:fill="FFFFFF"/>
        <w:spacing w:before="0" w:beforeAutospacing="0" w:after="0" w:afterAutospacing="0" w:line="276" w:lineRule="auto"/>
        <w:ind w:firstLine="709"/>
        <w:jc w:val="both"/>
      </w:pPr>
      <w:r w:rsidRPr="004724DC">
        <w:t xml:space="preserve">Norvēģijas Karaliste atbilstoši Hāgas dokumentu izsniegšanas konvencijas 21. pantam ir paziņojusi, ka tad, ja dokumenti ir sagatavoti norvēģu, zviedru vai dāņu valodā vai arī tiem pievienots tulkojums kādā no šīm valodām un ja minētajos dokumentos nav noteikts tuvākajā laikā paredzēts tiesas sēdes datums, šādus dokumentus var nosūtīt pa pastu. Vienlaikus Norvēģijas Karaliste iebildusi pret tādu dokumentu piegādes vai nosūtīšanas veidu izmantošanu tās teritorijā, kādi minēti Hāgas dokumentu izsniegšanas konvencijas 8. un 10. pantā (sk. </w:t>
      </w:r>
      <w:proofErr w:type="spellStart"/>
      <w:r w:rsidRPr="004724DC">
        <w:rPr>
          <w:i/>
          <w:iCs/>
        </w:rPr>
        <w:t>Hague</w:t>
      </w:r>
      <w:proofErr w:type="spellEnd"/>
      <w:r w:rsidRPr="004724DC">
        <w:rPr>
          <w:i/>
          <w:iCs/>
        </w:rPr>
        <w:t xml:space="preserve"> </w:t>
      </w:r>
      <w:proofErr w:type="spellStart"/>
      <w:r w:rsidRPr="004724DC">
        <w:rPr>
          <w:i/>
          <w:iCs/>
        </w:rPr>
        <w:t>Conference</w:t>
      </w:r>
      <w:proofErr w:type="spellEnd"/>
      <w:r w:rsidRPr="004724DC">
        <w:rPr>
          <w:i/>
          <w:iCs/>
        </w:rPr>
        <w:t xml:space="preserve"> </w:t>
      </w:r>
      <w:proofErr w:type="spellStart"/>
      <w:r w:rsidRPr="004724DC">
        <w:rPr>
          <w:i/>
          <w:iCs/>
        </w:rPr>
        <w:t>on</w:t>
      </w:r>
      <w:proofErr w:type="spellEnd"/>
      <w:r w:rsidRPr="004724DC">
        <w:rPr>
          <w:i/>
          <w:iCs/>
        </w:rPr>
        <w:t xml:space="preserve"> </w:t>
      </w:r>
      <w:proofErr w:type="spellStart"/>
      <w:r w:rsidRPr="004724DC">
        <w:rPr>
          <w:i/>
          <w:iCs/>
        </w:rPr>
        <w:t>Private</w:t>
      </w:r>
      <w:proofErr w:type="spellEnd"/>
      <w:r w:rsidRPr="004724DC">
        <w:rPr>
          <w:i/>
          <w:iCs/>
        </w:rPr>
        <w:t xml:space="preserve"> </w:t>
      </w:r>
      <w:proofErr w:type="spellStart"/>
      <w:r w:rsidRPr="004724DC">
        <w:rPr>
          <w:i/>
          <w:iCs/>
        </w:rPr>
        <w:t>International</w:t>
      </w:r>
      <w:proofErr w:type="spellEnd"/>
      <w:r w:rsidRPr="004724DC">
        <w:rPr>
          <w:i/>
          <w:iCs/>
        </w:rPr>
        <w:t xml:space="preserve"> </w:t>
      </w:r>
      <w:proofErr w:type="spellStart"/>
      <w:r w:rsidRPr="004724DC">
        <w:rPr>
          <w:i/>
          <w:iCs/>
        </w:rPr>
        <w:t>Law</w:t>
      </w:r>
      <w:proofErr w:type="spellEnd"/>
      <w:r w:rsidRPr="004724DC">
        <w:rPr>
          <w:i/>
          <w:iCs/>
        </w:rPr>
        <w:t xml:space="preserve">, </w:t>
      </w:r>
      <w:proofErr w:type="spellStart"/>
      <w:r w:rsidRPr="004724DC">
        <w:rPr>
          <w:i/>
          <w:iCs/>
        </w:rPr>
        <w:t>Authorities</w:t>
      </w:r>
      <w:proofErr w:type="spellEnd"/>
      <w:r w:rsidRPr="004724DC">
        <w:rPr>
          <w:i/>
          <w:iCs/>
        </w:rPr>
        <w:t xml:space="preserve">: </w:t>
      </w:r>
      <w:proofErr w:type="spellStart"/>
      <w:r w:rsidRPr="004724DC">
        <w:rPr>
          <w:i/>
          <w:iCs/>
        </w:rPr>
        <w:t>Norway</w:t>
      </w:r>
      <w:proofErr w:type="spellEnd"/>
      <w:r w:rsidRPr="004724DC">
        <w:rPr>
          <w:i/>
          <w:iCs/>
        </w:rPr>
        <w:t xml:space="preserve"> – </w:t>
      </w:r>
      <w:proofErr w:type="spellStart"/>
      <w:r w:rsidRPr="004724DC">
        <w:rPr>
          <w:i/>
          <w:iCs/>
        </w:rPr>
        <w:t>Central</w:t>
      </w:r>
      <w:proofErr w:type="spellEnd"/>
      <w:r w:rsidRPr="004724DC">
        <w:rPr>
          <w:i/>
          <w:iCs/>
        </w:rPr>
        <w:t xml:space="preserve"> </w:t>
      </w:r>
      <w:proofErr w:type="spellStart"/>
      <w:r w:rsidRPr="004724DC">
        <w:rPr>
          <w:i/>
          <w:iCs/>
        </w:rPr>
        <w:t>Authority</w:t>
      </w:r>
      <w:proofErr w:type="spellEnd"/>
      <w:r w:rsidRPr="004724DC">
        <w:rPr>
          <w:i/>
          <w:iCs/>
        </w:rPr>
        <w:t xml:space="preserve"> </w:t>
      </w:r>
      <w:proofErr w:type="spellStart"/>
      <w:r w:rsidRPr="004724DC">
        <w:rPr>
          <w:i/>
          <w:iCs/>
        </w:rPr>
        <w:t>under</w:t>
      </w:r>
      <w:proofErr w:type="spellEnd"/>
      <w:r w:rsidRPr="004724DC">
        <w:rPr>
          <w:i/>
          <w:iCs/>
        </w:rPr>
        <w:t xml:space="preserve"> </w:t>
      </w:r>
      <w:proofErr w:type="spellStart"/>
      <w:r w:rsidRPr="004724DC">
        <w:rPr>
          <w:i/>
          <w:iCs/>
        </w:rPr>
        <w:t>the</w:t>
      </w:r>
      <w:proofErr w:type="spellEnd"/>
      <w:r w:rsidRPr="004724DC">
        <w:rPr>
          <w:i/>
          <w:iCs/>
        </w:rPr>
        <w:t xml:space="preserve"> </w:t>
      </w:r>
      <w:proofErr w:type="spellStart"/>
      <w:r w:rsidRPr="004724DC">
        <w:rPr>
          <w:i/>
          <w:iCs/>
        </w:rPr>
        <w:t>Hague</w:t>
      </w:r>
      <w:proofErr w:type="spellEnd"/>
      <w:r w:rsidRPr="004724DC">
        <w:rPr>
          <w:i/>
          <w:iCs/>
        </w:rPr>
        <w:t xml:space="preserve"> </w:t>
      </w:r>
      <w:proofErr w:type="spellStart"/>
      <w:r w:rsidRPr="004724DC">
        <w:rPr>
          <w:i/>
          <w:iCs/>
        </w:rPr>
        <w:t>Convention</w:t>
      </w:r>
      <w:proofErr w:type="spellEnd"/>
      <w:r w:rsidRPr="004724DC">
        <w:rPr>
          <w:i/>
          <w:iCs/>
        </w:rPr>
        <w:t xml:space="preserve"> </w:t>
      </w:r>
      <w:proofErr w:type="spellStart"/>
      <w:r w:rsidRPr="004724DC">
        <w:rPr>
          <w:i/>
          <w:iCs/>
        </w:rPr>
        <w:t>of</w:t>
      </w:r>
      <w:proofErr w:type="spellEnd"/>
      <w:r w:rsidRPr="004724DC">
        <w:rPr>
          <w:i/>
          <w:iCs/>
        </w:rPr>
        <w:t xml:space="preserve"> 15 </w:t>
      </w:r>
      <w:proofErr w:type="spellStart"/>
      <w:r w:rsidRPr="004724DC">
        <w:rPr>
          <w:i/>
          <w:iCs/>
        </w:rPr>
        <w:t>November</w:t>
      </w:r>
      <w:proofErr w:type="spellEnd"/>
      <w:r w:rsidRPr="004724DC">
        <w:rPr>
          <w:i/>
          <w:iCs/>
        </w:rPr>
        <w:t xml:space="preserve"> 1965 </w:t>
      </w:r>
      <w:proofErr w:type="spellStart"/>
      <w:r w:rsidRPr="004724DC">
        <w:rPr>
          <w:i/>
          <w:iCs/>
        </w:rPr>
        <w:t>on</w:t>
      </w:r>
      <w:proofErr w:type="spellEnd"/>
      <w:r w:rsidRPr="004724DC">
        <w:rPr>
          <w:i/>
          <w:iCs/>
        </w:rPr>
        <w:t xml:space="preserve"> </w:t>
      </w:r>
      <w:proofErr w:type="spellStart"/>
      <w:r w:rsidRPr="004724DC">
        <w:rPr>
          <w:i/>
          <w:iCs/>
        </w:rPr>
        <w:t>the</w:t>
      </w:r>
      <w:proofErr w:type="spellEnd"/>
      <w:r w:rsidRPr="004724DC">
        <w:rPr>
          <w:i/>
          <w:iCs/>
        </w:rPr>
        <w:t xml:space="preserve"> </w:t>
      </w:r>
      <w:proofErr w:type="spellStart"/>
      <w:r w:rsidRPr="004724DC">
        <w:rPr>
          <w:i/>
          <w:iCs/>
        </w:rPr>
        <w:t>Service</w:t>
      </w:r>
      <w:proofErr w:type="spellEnd"/>
      <w:r w:rsidRPr="004724DC">
        <w:rPr>
          <w:i/>
          <w:iCs/>
        </w:rPr>
        <w:t xml:space="preserve"> </w:t>
      </w:r>
      <w:proofErr w:type="spellStart"/>
      <w:r w:rsidRPr="004724DC">
        <w:rPr>
          <w:i/>
          <w:iCs/>
        </w:rPr>
        <w:t>Abroad</w:t>
      </w:r>
      <w:proofErr w:type="spellEnd"/>
      <w:r w:rsidRPr="004724DC">
        <w:rPr>
          <w:i/>
          <w:iCs/>
        </w:rPr>
        <w:t xml:space="preserve"> </w:t>
      </w:r>
      <w:proofErr w:type="spellStart"/>
      <w:r w:rsidRPr="004724DC">
        <w:rPr>
          <w:i/>
          <w:iCs/>
        </w:rPr>
        <w:t>of</w:t>
      </w:r>
      <w:proofErr w:type="spellEnd"/>
      <w:r w:rsidRPr="004724DC">
        <w:rPr>
          <w:i/>
          <w:iCs/>
        </w:rPr>
        <w:t xml:space="preserve"> </w:t>
      </w:r>
      <w:proofErr w:type="spellStart"/>
      <w:r w:rsidRPr="004724DC">
        <w:rPr>
          <w:i/>
          <w:iCs/>
        </w:rPr>
        <w:t>Judicial</w:t>
      </w:r>
      <w:proofErr w:type="spellEnd"/>
      <w:r w:rsidRPr="004724DC">
        <w:rPr>
          <w:i/>
          <w:iCs/>
        </w:rPr>
        <w:t xml:space="preserve"> </w:t>
      </w:r>
      <w:proofErr w:type="spellStart"/>
      <w:r w:rsidRPr="004724DC">
        <w:rPr>
          <w:i/>
          <w:iCs/>
        </w:rPr>
        <w:t>and</w:t>
      </w:r>
      <w:proofErr w:type="spellEnd"/>
      <w:r w:rsidRPr="004724DC">
        <w:rPr>
          <w:i/>
          <w:iCs/>
        </w:rPr>
        <w:t xml:space="preserve"> </w:t>
      </w:r>
      <w:proofErr w:type="spellStart"/>
      <w:r w:rsidRPr="004724DC">
        <w:rPr>
          <w:i/>
          <w:iCs/>
        </w:rPr>
        <w:t>Extrajudicial</w:t>
      </w:r>
      <w:proofErr w:type="spellEnd"/>
      <w:r w:rsidRPr="004724DC">
        <w:rPr>
          <w:i/>
          <w:iCs/>
        </w:rPr>
        <w:t xml:space="preserve"> Documents </w:t>
      </w:r>
      <w:proofErr w:type="spellStart"/>
      <w:r w:rsidRPr="004724DC">
        <w:rPr>
          <w:i/>
          <w:iCs/>
        </w:rPr>
        <w:t>in</w:t>
      </w:r>
      <w:proofErr w:type="spellEnd"/>
      <w:r w:rsidRPr="004724DC">
        <w:rPr>
          <w:i/>
          <w:iCs/>
        </w:rPr>
        <w:t xml:space="preserve"> </w:t>
      </w:r>
      <w:proofErr w:type="spellStart"/>
      <w:r w:rsidRPr="004724DC">
        <w:rPr>
          <w:i/>
          <w:iCs/>
        </w:rPr>
        <w:t>Civil</w:t>
      </w:r>
      <w:proofErr w:type="spellEnd"/>
      <w:r w:rsidRPr="004724DC">
        <w:rPr>
          <w:i/>
          <w:iCs/>
        </w:rPr>
        <w:t xml:space="preserve"> </w:t>
      </w:r>
      <w:proofErr w:type="spellStart"/>
      <w:r w:rsidRPr="004724DC">
        <w:rPr>
          <w:i/>
          <w:iCs/>
        </w:rPr>
        <w:t>or</w:t>
      </w:r>
      <w:proofErr w:type="spellEnd"/>
      <w:r w:rsidRPr="004724DC">
        <w:rPr>
          <w:i/>
          <w:iCs/>
        </w:rPr>
        <w:t xml:space="preserve"> Commercial </w:t>
      </w:r>
      <w:proofErr w:type="spellStart"/>
      <w:r w:rsidRPr="004724DC">
        <w:rPr>
          <w:i/>
          <w:iCs/>
        </w:rPr>
        <w:t>Matters</w:t>
      </w:r>
      <w:proofErr w:type="spellEnd"/>
      <w:r w:rsidRPr="004724DC">
        <w:rPr>
          <w:i/>
          <w:iCs/>
        </w:rPr>
        <w:t xml:space="preserve">, </w:t>
      </w:r>
      <w:hyperlink r:id="rId24" w:history="1">
        <w:r w:rsidRPr="004724DC">
          <w:rPr>
            <w:rStyle w:val="Hyperlink"/>
            <w:i/>
            <w:iCs/>
            <w:color w:val="4472C4" w:themeColor="accent1"/>
          </w:rPr>
          <w:t>HCCH</w:t>
        </w:r>
      </w:hyperlink>
      <w:r w:rsidRPr="004724DC">
        <w:t xml:space="preserve">). </w:t>
      </w:r>
    </w:p>
    <w:p w14:paraId="20229D5B" w14:textId="4E8152BF" w:rsidR="002C5FFF" w:rsidRPr="004724DC" w:rsidRDefault="002C5FFF" w:rsidP="0038293E">
      <w:pPr>
        <w:pStyle w:val="NormalWeb"/>
        <w:shd w:val="clear" w:color="auto" w:fill="FFFFFF"/>
        <w:spacing w:before="0" w:beforeAutospacing="0" w:after="0" w:afterAutospacing="0" w:line="276" w:lineRule="auto"/>
        <w:ind w:firstLine="709"/>
        <w:jc w:val="both"/>
      </w:pPr>
      <w:r w:rsidRPr="004724DC">
        <w:t xml:space="preserve">No minētā izriet, ka Norvēģijas Karaliste izteikusi iebildumus pret tiesas dokumentu nosūtīšanu pa pastu tieši personām </w:t>
      </w:r>
      <w:r w:rsidR="00FF28C8">
        <w:t xml:space="preserve">no </w:t>
      </w:r>
      <w:r w:rsidRPr="004724DC">
        <w:t>ārvalstī</w:t>
      </w:r>
      <w:r w:rsidR="00FF28C8">
        <w:t>m</w:t>
      </w:r>
      <w:r w:rsidRPr="004724DC">
        <w:t>, izņemot, ja dokumenti ir sagatavoti norvēģu, zviedru vai dāņu valodā vai arī tiem pievienots tulkojums kādā no šīm valodām un ja tajos nav noteikts tuvākajā laikā paredzēts tiesas sēdes datums.</w:t>
      </w:r>
    </w:p>
    <w:p w14:paraId="6AFB812D" w14:textId="6A1DC544" w:rsidR="002C5FFF" w:rsidRPr="004724DC" w:rsidRDefault="002C5FFF" w:rsidP="0038293E">
      <w:pPr>
        <w:spacing w:after="0" w:line="276" w:lineRule="auto"/>
        <w:ind w:firstLine="709"/>
        <w:jc w:val="both"/>
        <w:rPr>
          <w:rFonts w:cs="Times New Roman"/>
          <w:szCs w:val="24"/>
        </w:rPr>
      </w:pPr>
      <w:r w:rsidRPr="004724DC">
        <w:rPr>
          <w:rFonts w:cs="Times New Roman"/>
          <w:szCs w:val="24"/>
        </w:rPr>
        <w:t>Tādējādi secināms, ka</w:t>
      </w:r>
      <w:r w:rsidR="00FF28C8">
        <w:rPr>
          <w:rFonts w:cs="Times New Roman"/>
          <w:szCs w:val="24"/>
        </w:rPr>
        <w:t xml:space="preserve"> konkrētā </w:t>
      </w:r>
      <w:r w:rsidR="00BA2723">
        <w:rPr>
          <w:rFonts w:cs="Times New Roman"/>
          <w:szCs w:val="24"/>
        </w:rPr>
        <w:t>sprieduma</w:t>
      </w:r>
      <w:r w:rsidR="00FF28C8">
        <w:rPr>
          <w:rFonts w:cs="Times New Roman"/>
          <w:szCs w:val="24"/>
        </w:rPr>
        <w:t xml:space="preserve"> atzīšanas procesā attiecībā uz iespējamu atbildētāja tiesību uz taisnīgu tiesu neievērošanu pārbaudāms, vai </w:t>
      </w:r>
      <w:r w:rsidRPr="004724DC">
        <w:rPr>
          <w:rFonts w:cs="Times New Roman"/>
          <w:szCs w:val="24"/>
        </w:rPr>
        <w:t xml:space="preserve">Krievijas Federācijas tiesa </w:t>
      </w:r>
      <w:r w:rsidR="00FF28C8">
        <w:rPr>
          <w:rFonts w:cs="Times New Roman"/>
          <w:szCs w:val="24"/>
        </w:rPr>
        <w:t xml:space="preserve">ir </w:t>
      </w:r>
      <w:r w:rsidRPr="004724DC">
        <w:rPr>
          <w:rFonts w:cs="Times New Roman"/>
          <w:szCs w:val="24"/>
        </w:rPr>
        <w:t>ievērojusi Norvēģijas Karalistes iebildumus attiecībā uz dokumentu nosūtīšanu, kas izteikti atbilstoši Hāgas dokumentu izsniegšanas konvencijas 21. pantam</w:t>
      </w:r>
      <w:r w:rsidR="009C794E">
        <w:rPr>
          <w:rFonts w:cs="Times New Roman"/>
          <w:szCs w:val="24"/>
        </w:rPr>
        <w:t>,</w:t>
      </w:r>
      <w:r w:rsidR="00FF28C8">
        <w:rPr>
          <w:rFonts w:cs="Times New Roman"/>
          <w:szCs w:val="24"/>
        </w:rPr>
        <w:t xml:space="preserve"> un nosūtījusi tiesas dokumentus atbilstošā procedūrā</w:t>
      </w:r>
      <w:r w:rsidRPr="004724DC">
        <w:rPr>
          <w:rFonts w:cs="Times New Roman"/>
          <w:szCs w:val="24"/>
        </w:rPr>
        <w:t>.</w:t>
      </w:r>
    </w:p>
    <w:p w14:paraId="2C63DCA0" w14:textId="5B78D039" w:rsidR="007F2825" w:rsidRPr="004724DC" w:rsidRDefault="007F2825" w:rsidP="0038293E">
      <w:pPr>
        <w:spacing w:after="0" w:line="276" w:lineRule="auto"/>
        <w:ind w:firstLine="709"/>
        <w:jc w:val="both"/>
        <w:rPr>
          <w:rFonts w:cs="Times New Roman"/>
          <w:szCs w:val="24"/>
        </w:rPr>
      </w:pPr>
      <w:r w:rsidRPr="004724DC">
        <w:rPr>
          <w:rFonts w:cs="Times New Roman"/>
          <w:szCs w:val="24"/>
        </w:rPr>
        <w:t xml:space="preserve">No pārbaudāmā lēmuma izriet, ka apgabaltiesa nav vērtējusi Krievijas Federācijas tiesvedības procesu ierosinošā dokumenta izsniegšanu atbildētājam, proti, jautājumu par to, kad un kādā veidā atbildētājs pirmo reizi ir uzzinājis par tiesvedības uzsākšanu. Savukārt šādu pierādījumu iesniegšana atbilstoši Civilprocesa likuma 638. panta trešās daļas 2. punktā noteiktajam ir pieteicējas pienākums. No </w:t>
      </w:r>
      <w:r w:rsidR="00D53950">
        <w:rPr>
          <w:rFonts w:cs="Times New Roman"/>
          <w:szCs w:val="24"/>
        </w:rPr>
        <w:t>pārbaudāmā</w:t>
      </w:r>
      <w:r w:rsidR="00D53950" w:rsidRPr="004724DC">
        <w:rPr>
          <w:rFonts w:cs="Times New Roman"/>
          <w:szCs w:val="24"/>
        </w:rPr>
        <w:t xml:space="preserve"> </w:t>
      </w:r>
      <w:r w:rsidRPr="004724DC">
        <w:rPr>
          <w:rFonts w:cs="Times New Roman"/>
          <w:szCs w:val="24"/>
        </w:rPr>
        <w:t>lēmuma neizriet vērtējums arī tam, vai atbildētājam bija iespēja tikt uzklausītam un vai viņam bija iespēja spriedumu pārsūdzēt saskaņā ar Krievijas Federācijas likumiem arī pēc tā pasludināšanas un vai atbildētājs šādu iespēju ir izmantojis</w:t>
      </w:r>
      <w:r w:rsidR="00360589">
        <w:rPr>
          <w:rFonts w:cs="Times New Roman"/>
          <w:szCs w:val="24"/>
        </w:rPr>
        <w:t xml:space="preserve">. </w:t>
      </w:r>
      <w:r w:rsidRPr="004724DC">
        <w:rPr>
          <w:rFonts w:cs="Times New Roman"/>
          <w:szCs w:val="24"/>
        </w:rPr>
        <w:t xml:space="preserve">Tāpat apgabaltiesa nav vērtējusi Krievijas Federācijas </w:t>
      </w:r>
      <w:r w:rsidR="00602230">
        <w:rPr>
          <w:rFonts w:cs="Times New Roman"/>
          <w:szCs w:val="24"/>
        </w:rPr>
        <w:t>[..]</w:t>
      </w:r>
      <w:r w:rsidRPr="004724DC">
        <w:rPr>
          <w:rFonts w:cs="Times New Roman"/>
          <w:szCs w:val="24"/>
        </w:rPr>
        <w:t xml:space="preserve"> rajona tiesas spriedumā norādīto, ka atbildētājs nav iesniedzis tiesai informāciju par šķēršļiem piedalīties lietas izskatīšanā. </w:t>
      </w:r>
    </w:p>
    <w:p w14:paraId="1F7FA05F" w14:textId="77777777" w:rsidR="00A55EDF" w:rsidRDefault="00A55EDF" w:rsidP="0038293E">
      <w:pPr>
        <w:pStyle w:val="NormalWeb"/>
        <w:shd w:val="clear" w:color="auto" w:fill="FFFFFF"/>
        <w:spacing w:before="0" w:beforeAutospacing="0" w:after="0" w:afterAutospacing="0" w:line="276" w:lineRule="auto"/>
        <w:ind w:firstLine="709"/>
        <w:jc w:val="both"/>
      </w:pPr>
    </w:p>
    <w:p w14:paraId="0D52CC7E" w14:textId="0EF18C7E"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Iesniegtā sprieduma prasījumā par laulības šķiršanu vērtējums</w:t>
      </w:r>
    </w:p>
    <w:p w14:paraId="172B5EC6" w14:textId="2D7CB4AA" w:rsidR="00A87A88" w:rsidRDefault="0062085F" w:rsidP="0038293E">
      <w:pPr>
        <w:pStyle w:val="NormalWeb"/>
        <w:shd w:val="clear" w:color="auto" w:fill="FFFFFF"/>
        <w:spacing w:before="0" w:beforeAutospacing="0" w:after="0" w:afterAutospacing="0" w:line="276" w:lineRule="auto"/>
        <w:ind w:firstLine="709"/>
        <w:jc w:val="both"/>
      </w:pPr>
      <w:r>
        <w:t>[</w:t>
      </w:r>
      <w:r w:rsidR="00B047CB">
        <w:t>20</w:t>
      </w:r>
      <w:r>
        <w:t xml:space="preserve">] Vispārīgi norādāms, ka </w:t>
      </w:r>
      <w:r w:rsidR="00674AE3">
        <w:t xml:space="preserve">atbilstoši </w:t>
      </w:r>
      <w:r>
        <w:t>Senāta praks</w:t>
      </w:r>
      <w:r w:rsidR="00674AE3">
        <w:t xml:space="preserve">ē atzītajam </w:t>
      </w:r>
      <w:r w:rsidR="004534C3">
        <w:t>a</w:t>
      </w:r>
      <w:r w:rsidR="004534C3" w:rsidRPr="00CD55D0">
        <w:t xml:space="preserve">r Latvijas </w:t>
      </w:r>
      <w:r w:rsidR="00BA2723">
        <w:t xml:space="preserve">Republikas </w:t>
      </w:r>
      <w:r w:rsidR="004534C3" w:rsidRPr="00CD55D0">
        <w:t>materiālo tiesību normām un procesuāl</w:t>
      </w:r>
      <w:r w:rsidR="00674AE3">
        <w:t>o tiesību normām</w:t>
      </w:r>
      <w:r w:rsidR="004534C3" w:rsidRPr="00CD55D0">
        <w:t xml:space="preserve"> ir saderīgi gan tādi spriedumi, kuriem piemīt izpildāmības īpašība, gan tādi</w:t>
      </w:r>
      <w:r w:rsidR="00674AE3">
        <w:t xml:space="preserve"> spriedumi</w:t>
      </w:r>
      <w:r w:rsidR="004534C3" w:rsidRPr="00CD55D0">
        <w:t>, kuriem tā nepiemīt</w:t>
      </w:r>
      <w:r w:rsidR="004534C3">
        <w:t xml:space="preserve"> (sk. </w:t>
      </w:r>
      <w:r w:rsidR="004534C3" w:rsidRPr="004534C3">
        <w:rPr>
          <w:i/>
          <w:iCs/>
        </w:rPr>
        <w:t>Senāta 2022. gada 29. septembra lēmuma lietā Nr. SKC-261/2022, ECLI:LV:AT:2022:0929.C69243219.21.L, 8.1.</w:t>
      </w:r>
      <w:r w:rsidR="008E7732">
        <w:rPr>
          <w:i/>
          <w:iCs/>
        </w:rPr>
        <w:t> </w:t>
      </w:r>
      <w:r w:rsidR="004534C3" w:rsidRPr="004534C3">
        <w:rPr>
          <w:i/>
          <w:iCs/>
        </w:rPr>
        <w:t>punktu</w:t>
      </w:r>
      <w:r w:rsidR="004534C3">
        <w:t>)</w:t>
      </w:r>
      <w:r w:rsidR="004534C3" w:rsidRPr="00CD55D0">
        <w:t>.</w:t>
      </w:r>
    </w:p>
    <w:p w14:paraId="6086F7D4" w14:textId="1F1E62C7" w:rsidR="0062085F" w:rsidRDefault="00536D1D" w:rsidP="0038293E">
      <w:pPr>
        <w:pStyle w:val="NormalWeb"/>
        <w:shd w:val="clear" w:color="auto" w:fill="FFFFFF"/>
        <w:spacing w:before="0" w:beforeAutospacing="0" w:after="0" w:afterAutospacing="0" w:line="276" w:lineRule="auto"/>
        <w:ind w:firstLine="709"/>
        <w:jc w:val="both"/>
      </w:pPr>
      <w:r>
        <w:lastRenderedPageBreak/>
        <w:t>Tomēr a</w:t>
      </w:r>
      <w:r w:rsidR="004534C3">
        <w:t>rī atzīšanas procesā tiesa veic nolēmuma atzīšanas priekšnoteikumu un neatzīšanas pamatu pārbaudi.</w:t>
      </w:r>
    </w:p>
    <w:p w14:paraId="3C53C200" w14:textId="48380674" w:rsidR="00C05E77" w:rsidRPr="0029528A" w:rsidRDefault="00C05E77" w:rsidP="0038293E">
      <w:pPr>
        <w:pStyle w:val="NormalWeb"/>
        <w:shd w:val="clear" w:color="auto" w:fill="FFFFFF"/>
        <w:spacing w:before="0" w:beforeAutospacing="0" w:after="0" w:afterAutospacing="0" w:line="276" w:lineRule="auto"/>
        <w:ind w:firstLine="709"/>
        <w:jc w:val="both"/>
      </w:pPr>
      <w:r>
        <w:t xml:space="preserve">Pārbaudāmajā lēmumā nav nošķirti tiesas secinājumi jautājumā par tiesvedību saistībā ar laulības šķiršanu, tāpēc šā </w:t>
      </w:r>
      <w:r w:rsidRPr="0029528A">
        <w:t>lēmuma 1</w:t>
      </w:r>
      <w:r w:rsidR="00B047CB" w:rsidRPr="0029528A">
        <w:t>7</w:t>
      </w:r>
      <w:r w:rsidRPr="0029528A">
        <w:t>. punktā izdarītie secinājumi par trūkumiem pārbaudāmajā lēmumā vienlīdz attiecināmi arī uz tiesas spriedumu daļā par laulības šķiršanu atzīšanu.</w:t>
      </w:r>
    </w:p>
    <w:p w14:paraId="109E8F9C" w14:textId="27F7AA9D" w:rsidR="004534C3" w:rsidRDefault="004534C3" w:rsidP="0038293E">
      <w:pPr>
        <w:pStyle w:val="NormalWeb"/>
        <w:shd w:val="clear" w:color="auto" w:fill="FFFFFF"/>
        <w:spacing w:before="0" w:beforeAutospacing="0" w:after="0" w:afterAutospacing="0" w:line="276" w:lineRule="auto"/>
        <w:ind w:firstLine="709"/>
        <w:jc w:val="both"/>
      </w:pPr>
      <w:r w:rsidRPr="0029528A">
        <w:t xml:space="preserve">Ievērojot, ka konkrētajā lietā pārbaude attiecībā uz prasījuma izskatīšanu par uzturlīdzekļu piedziņu un prasījuma izskatīšanu par laulības šķiršanu sakritīs, tiesas pārbaudē </w:t>
      </w:r>
      <w:r w:rsidR="00536D1D" w:rsidRPr="0029528A">
        <w:t>izmantojamas šā lēmuma 1</w:t>
      </w:r>
      <w:r w:rsidR="00B047CB" w:rsidRPr="0029528A">
        <w:t>6.</w:t>
      </w:r>
      <w:r w:rsidR="009C794E">
        <w:t>–</w:t>
      </w:r>
      <w:r w:rsidR="00B047CB" w:rsidRPr="0029528A">
        <w:t>19</w:t>
      </w:r>
      <w:r w:rsidR="00536D1D" w:rsidRPr="0029528A">
        <w:t>. punktā norādītās atziņas un secinājumi.</w:t>
      </w:r>
      <w:r w:rsidR="00536D1D">
        <w:t xml:space="preserve"> </w:t>
      </w:r>
    </w:p>
    <w:p w14:paraId="102F5E20" w14:textId="77777777" w:rsidR="004534C3" w:rsidRDefault="004534C3" w:rsidP="0038293E">
      <w:pPr>
        <w:pStyle w:val="NormalWeb"/>
        <w:shd w:val="clear" w:color="auto" w:fill="FFFFFF"/>
        <w:spacing w:before="0" w:beforeAutospacing="0" w:after="0" w:afterAutospacing="0" w:line="276" w:lineRule="auto"/>
        <w:ind w:firstLine="709"/>
        <w:jc w:val="both"/>
      </w:pPr>
    </w:p>
    <w:p w14:paraId="56B6BE14" w14:textId="0030C0D8" w:rsidR="00CF60AB" w:rsidRPr="00CF60AB" w:rsidRDefault="00CF60AB" w:rsidP="0038293E">
      <w:pPr>
        <w:pStyle w:val="NormalWeb"/>
        <w:shd w:val="clear" w:color="auto" w:fill="FFFFFF"/>
        <w:spacing w:before="0" w:beforeAutospacing="0" w:after="0" w:afterAutospacing="0" w:line="276" w:lineRule="auto"/>
        <w:ind w:firstLine="709"/>
        <w:jc w:val="both"/>
        <w:rPr>
          <w:i/>
          <w:iCs/>
        </w:rPr>
      </w:pPr>
      <w:r w:rsidRPr="00CF60AB">
        <w:rPr>
          <w:i/>
          <w:iCs/>
        </w:rPr>
        <w:t>Kopsavilkums</w:t>
      </w:r>
    </w:p>
    <w:p w14:paraId="08FB18FE" w14:textId="6E140525" w:rsidR="00B90405" w:rsidRPr="004724DC" w:rsidRDefault="003F3C05" w:rsidP="0038293E">
      <w:pPr>
        <w:pStyle w:val="NormalWeb"/>
        <w:shd w:val="clear" w:color="auto" w:fill="FFFFFF"/>
        <w:spacing w:before="0" w:beforeAutospacing="0" w:after="0" w:afterAutospacing="0" w:line="276" w:lineRule="auto"/>
        <w:ind w:firstLine="709"/>
        <w:jc w:val="both"/>
      </w:pPr>
      <w:r w:rsidRPr="004724DC">
        <w:t>[</w:t>
      </w:r>
      <w:r w:rsidR="0062085F">
        <w:t>2</w:t>
      </w:r>
      <w:r w:rsidR="00B047CB">
        <w:t>1</w:t>
      </w:r>
      <w:r w:rsidRPr="004724DC">
        <w:t>]</w:t>
      </w:r>
      <w:r w:rsidR="00A11732" w:rsidRPr="004724DC">
        <w:t> </w:t>
      </w:r>
      <w:r w:rsidR="00C3319C" w:rsidRPr="004724DC">
        <w:t xml:space="preserve">Ievērojot </w:t>
      </w:r>
      <w:r w:rsidR="00672EC9">
        <w:t>visu iepriekš norādīto</w:t>
      </w:r>
      <w:r w:rsidR="00C3319C" w:rsidRPr="004724DC">
        <w:t xml:space="preserve">, </w:t>
      </w:r>
      <w:r w:rsidR="00672EC9">
        <w:t xml:space="preserve">pārbaudāmais </w:t>
      </w:r>
      <w:r w:rsidR="00C3319C" w:rsidRPr="004724DC">
        <w:t>lēmums atbilstoši Civilprocesa likuma 448.</w:t>
      </w:r>
      <w:r w:rsidR="00F7410C" w:rsidRPr="004724DC">
        <w:t> </w:t>
      </w:r>
      <w:r w:rsidR="00C3319C" w:rsidRPr="004724DC">
        <w:t>panta pirmās daļas 2.</w:t>
      </w:r>
      <w:r w:rsidR="00F7410C" w:rsidRPr="004724DC">
        <w:t> </w:t>
      </w:r>
      <w:r w:rsidR="00C3319C" w:rsidRPr="004724DC">
        <w:t>punktam ir atceļams</w:t>
      </w:r>
      <w:r w:rsidR="00266A06" w:rsidRPr="004724DC">
        <w:t xml:space="preserve"> un pieteikums nododams jaunai izskatīšanai </w:t>
      </w:r>
      <w:r w:rsidR="00602230">
        <w:t>[..]</w:t>
      </w:r>
      <w:r w:rsidR="00266A06" w:rsidRPr="004724DC">
        <w:t xml:space="preserve"> apgabaltiesā.</w:t>
      </w:r>
    </w:p>
    <w:p w14:paraId="74605A4B" w14:textId="4A139386" w:rsidR="005E1A42" w:rsidRPr="004724DC" w:rsidRDefault="00266A06" w:rsidP="0038293E">
      <w:pPr>
        <w:pStyle w:val="NormalWeb"/>
        <w:shd w:val="clear" w:color="auto" w:fill="FFFFFF"/>
        <w:spacing w:before="0" w:beforeAutospacing="0" w:after="0" w:afterAutospacing="0" w:line="276" w:lineRule="auto"/>
        <w:ind w:firstLine="709"/>
        <w:jc w:val="both"/>
      </w:pPr>
      <w:r w:rsidRPr="004724DC">
        <w:t xml:space="preserve">Atkārtoti </w:t>
      </w:r>
      <w:r w:rsidR="00672EC9">
        <w:t>iz</w:t>
      </w:r>
      <w:r w:rsidRPr="004724DC">
        <w:t xml:space="preserve">skatot pieteikumu </w:t>
      </w:r>
      <w:r w:rsidR="00B90405" w:rsidRPr="004724DC">
        <w:t xml:space="preserve">attiecībā uz </w:t>
      </w:r>
      <w:r w:rsidRPr="004724DC">
        <w:t>Krievijas Federācijas tiesas sprieduma atzīšanu u</w:t>
      </w:r>
      <w:r w:rsidR="00077EB8" w:rsidRPr="004724DC">
        <w:t>n</w:t>
      </w:r>
      <w:r w:rsidRPr="004724DC">
        <w:t xml:space="preserve"> izpildīšanu daļā par </w:t>
      </w:r>
      <w:r w:rsidR="00B90405" w:rsidRPr="004724DC">
        <w:t>bērna dzīvesvietas noteikšanu</w:t>
      </w:r>
      <w:r w:rsidRPr="004724DC">
        <w:t>,</w:t>
      </w:r>
      <w:r w:rsidR="00B90405" w:rsidRPr="004724DC">
        <w:t xml:space="preserve"> </w:t>
      </w:r>
      <w:r w:rsidRPr="004724DC">
        <w:t xml:space="preserve">apgabaltiesai </w:t>
      </w:r>
      <w:r w:rsidR="00C3319C" w:rsidRPr="004724DC">
        <w:t xml:space="preserve">ir jānoskaidro, </w:t>
      </w:r>
      <w:r w:rsidR="003F1D3A" w:rsidRPr="004724DC">
        <w:t xml:space="preserve">vai </w:t>
      </w:r>
      <w:r w:rsidR="00672EC9">
        <w:t>ne</w:t>
      </w:r>
      <w:r w:rsidR="003F1D3A" w:rsidRPr="004724DC">
        <w:t>pastāv šķēršļi atzīt un izpildīt Krievijas Federācijas tiesas spriedumu Latvijas Republikā, pamatojoties uz 1996.</w:t>
      </w:r>
      <w:r w:rsidR="00F7410C" w:rsidRPr="004724DC">
        <w:t> </w:t>
      </w:r>
      <w:r w:rsidR="003F1D3A" w:rsidRPr="004724DC">
        <w:t>gada 19.</w:t>
      </w:r>
      <w:r w:rsidR="00F7410C" w:rsidRPr="004724DC">
        <w:t> </w:t>
      </w:r>
      <w:r w:rsidR="003F1D3A" w:rsidRPr="004724DC">
        <w:t>oktobra Konvencijas 23.</w:t>
      </w:r>
      <w:r w:rsidR="00F7410C" w:rsidRPr="004724DC">
        <w:t> </w:t>
      </w:r>
      <w:r w:rsidR="003F1D3A" w:rsidRPr="004724DC">
        <w:t>panta 2.</w:t>
      </w:r>
      <w:r w:rsidR="00F7410C" w:rsidRPr="004724DC">
        <w:t> </w:t>
      </w:r>
      <w:r w:rsidR="003F1D3A" w:rsidRPr="004724DC">
        <w:t xml:space="preserve">punkta </w:t>
      </w:r>
      <w:r w:rsidR="007E2F37" w:rsidRPr="004724DC">
        <w:t>„</w:t>
      </w:r>
      <w:r w:rsidR="003F1D3A" w:rsidRPr="004724DC">
        <w:t xml:space="preserve">a”, </w:t>
      </w:r>
      <w:r w:rsidR="007E2F37" w:rsidRPr="004724DC">
        <w:t>„</w:t>
      </w:r>
      <w:r w:rsidR="003F1D3A" w:rsidRPr="004724DC">
        <w:t xml:space="preserve">c” </w:t>
      </w:r>
      <w:r w:rsidR="00672EC9">
        <w:t>vai</w:t>
      </w:r>
      <w:r w:rsidR="00672EC9" w:rsidRPr="004724DC">
        <w:t xml:space="preserve"> </w:t>
      </w:r>
      <w:r w:rsidR="003F1D3A" w:rsidRPr="004724DC">
        <w:t>„d”</w:t>
      </w:r>
      <w:r w:rsidR="00F7410C" w:rsidRPr="004724DC">
        <w:t> </w:t>
      </w:r>
      <w:r w:rsidR="003F1D3A" w:rsidRPr="004724DC">
        <w:t>apakšpunkt</w:t>
      </w:r>
      <w:r w:rsidR="00672EC9">
        <w:t>u,</w:t>
      </w:r>
      <w:r w:rsidR="003F1D3A" w:rsidRPr="004724DC">
        <w:t xml:space="preserve"> kā arī jāizvērtē, </w:t>
      </w:r>
      <w:r w:rsidR="00077EB8" w:rsidRPr="004724DC">
        <w:t xml:space="preserve">vai </w:t>
      </w:r>
      <w:r w:rsidR="00536D1D">
        <w:t>minētā sprieduma atzīšanai un izpildīšanai daļā par uzturlīdzekļu piedziņu un atzīšanai daļā par laulības šķiršanu nepastāv Civilprocesa likuma 637. panta otrās daļas 3. punktā norādītie šķēršļi.</w:t>
      </w:r>
    </w:p>
    <w:p w14:paraId="0ECE60EA" w14:textId="77777777" w:rsidR="00A46BD5" w:rsidRPr="004724DC" w:rsidRDefault="00A46BD5" w:rsidP="0038293E">
      <w:pPr>
        <w:pStyle w:val="NormalWeb"/>
        <w:shd w:val="clear" w:color="auto" w:fill="FFFFFF"/>
        <w:spacing w:before="0" w:beforeAutospacing="0" w:after="0" w:afterAutospacing="0" w:line="276" w:lineRule="auto"/>
        <w:ind w:firstLine="709"/>
        <w:jc w:val="both"/>
      </w:pPr>
    </w:p>
    <w:p w14:paraId="5F756A08" w14:textId="0B1CB3B1" w:rsidR="00C004FA" w:rsidRPr="004724DC" w:rsidRDefault="00C3319C" w:rsidP="0038293E">
      <w:pPr>
        <w:pStyle w:val="NormalWeb"/>
        <w:shd w:val="clear" w:color="auto" w:fill="FFFFFF"/>
        <w:spacing w:before="0" w:beforeAutospacing="0" w:after="0" w:afterAutospacing="0" w:line="276" w:lineRule="auto"/>
        <w:ind w:firstLine="709"/>
        <w:jc w:val="both"/>
      </w:pPr>
      <w:r w:rsidRPr="004724DC">
        <w:t>[</w:t>
      </w:r>
      <w:r w:rsidR="0062085F">
        <w:t>2</w:t>
      </w:r>
      <w:r w:rsidR="00B047CB">
        <w:t>2</w:t>
      </w:r>
      <w:r w:rsidRPr="004724DC">
        <w:t>]</w:t>
      </w:r>
      <w:r w:rsidR="00A11732" w:rsidRPr="004724DC">
        <w:t> </w:t>
      </w:r>
      <w:r w:rsidR="00672EC9">
        <w:t>Tā kā pārbaudāmais lēmums tiek atcelts</w:t>
      </w:r>
      <w:r w:rsidRPr="004724DC">
        <w:t>, saskaņā ar Civilprocesa likuma 444.</w:t>
      </w:r>
      <w:r w:rsidRPr="004724DC">
        <w:rPr>
          <w:vertAlign w:val="superscript"/>
        </w:rPr>
        <w:t>1</w:t>
      </w:r>
      <w:r w:rsidR="00F7410C" w:rsidRPr="004724DC">
        <w:t> </w:t>
      </w:r>
      <w:r w:rsidRPr="004724DC">
        <w:t xml:space="preserve">panta otro daļu </w:t>
      </w:r>
      <w:r w:rsidR="000B2C37">
        <w:t>[pers. A]</w:t>
      </w:r>
      <w:r w:rsidR="00F7410C" w:rsidRPr="004724DC">
        <w:t xml:space="preserve"> </w:t>
      </w:r>
      <w:r w:rsidRPr="004724DC">
        <w:t>ir atmaksājama par blakus sūdzības iesniegšanu samaksātā drošības nauda 70</w:t>
      </w:r>
      <w:r w:rsidR="00F7410C" w:rsidRPr="004724DC">
        <w:t> </w:t>
      </w:r>
      <w:r w:rsidRPr="004724DC">
        <w:rPr>
          <w:i/>
          <w:iCs/>
        </w:rPr>
        <w:t>euro</w:t>
      </w:r>
      <w:r w:rsidR="00F7410C" w:rsidRPr="004724DC">
        <w:rPr>
          <w:i/>
          <w:iCs/>
        </w:rPr>
        <w:t>.</w:t>
      </w:r>
    </w:p>
    <w:p w14:paraId="67E0BF7C" w14:textId="77777777" w:rsidR="001173C5" w:rsidRPr="00BE7811" w:rsidRDefault="001173C5" w:rsidP="0038293E">
      <w:pPr>
        <w:shd w:val="clear" w:color="auto" w:fill="FFFFFF"/>
        <w:spacing w:after="0" w:line="276" w:lineRule="auto"/>
        <w:ind w:firstLine="709"/>
        <w:rPr>
          <w:rFonts w:asciiTheme="majorBidi" w:hAnsiTheme="majorBidi" w:cstheme="majorBidi"/>
          <w:b/>
          <w:szCs w:val="24"/>
        </w:rPr>
      </w:pPr>
    </w:p>
    <w:p w14:paraId="498E8E50" w14:textId="72D170C9" w:rsidR="007E7663" w:rsidRPr="00BE7811" w:rsidRDefault="007E7663" w:rsidP="0038293E">
      <w:pPr>
        <w:shd w:val="clear" w:color="auto" w:fill="FFFFFF"/>
        <w:spacing w:after="0" w:line="276" w:lineRule="auto"/>
        <w:jc w:val="center"/>
        <w:rPr>
          <w:rFonts w:asciiTheme="majorBidi" w:hAnsiTheme="majorBidi" w:cstheme="majorBidi"/>
          <w:b/>
          <w:szCs w:val="24"/>
        </w:rPr>
      </w:pPr>
      <w:r w:rsidRPr="00BE7811">
        <w:rPr>
          <w:rFonts w:asciiTheme="majorBidi" w:hAnsiTheme="majorBidi" w:cstheme="majorBidi"/>
          <w:b/>
          <w:szCs w:val="24"/>
        </w:rPr>
        <w:t>Rezolutīvā daļa</w:t>
      </w:r>
    </w:p>
    <w:p w14:paraId="3259C60A" w14:textId="77777777" w:rsidR="00DF6970" w:rsidRPr="00BE7811" w:rsidRDefault="00DF6970" w:rsidP="0038293E">
      <w:pPr>
        <w:shd w:val="clear" w:color="auto" w:fill="FFFFFF"/>
        <w:spacing w:after="0" w:line="276" w:lineRule="auto"/>
        <w:ind w:firstLine="709"/>
        <w:jc w:val="center"/>
        <w:rPr>
          <w:rFonts w:asciiTheme="majorBidi" w:hAnsiTheme="majorBidi" w:cstheme="majorBidi"/>
          <w:b/>
          <w:szCs w:val="24"/>
        </w:rPr>
      </w:pPr>
    </w:p>
    <w:p w14:paraId="6AABDB22" w14:textId="6B94994B" w:rsidR="00DF6970" w:rsidRPr="00BE7811" w:rsidRDefault="00F7410C" w:rsidP="0038293E">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E7811">
        <w:rPr>
          <w:rFonts w:asciiTheme="majorBidi" w:hAnsiTheme="majorBidi" w:cstheme="majorBidi"/>
        </w:rPr>
        <w:t>P</w:t>
      </w:r>
      <w:r w:rsidR="00DF6970" w:rsidRPr="00BE7811">
        <w:rPr>
          <w:rFonts w:asciiTheme="majorBidi" w:hAnsiTheme="majorBidi" w:cstheme="majorBidi"/>
        </w:rPr>
        <w:t xml:space="preserve">amatojoties uz </w:t>
      </w:r>
      <w:r w:rsidR="009C794E" w:rsidRPr="004724DC">
        <w:t xml:space="preserve">Civilprocesa likuma </w:t>
      </w:r>
      <w:r w:rsidR="00A46BD5" w:rsidRPr="00BE7811">
        <w:rPr>
          <w:rFonts w:asciiTheme="majorBidi" w:hAnsiTheme="majorBidi" w:cstheme="majorBidi"/>
        </w:rPr>
        <w:t>444.</w:t>
      </w:r>
      <w:r w:rsidR="00A46BD5" w:rsidRPr="00BE7811">
        <w:rPr>
          <w:rFonts w:asciiTheme="majorBidi" w:hAnsiTheme="majorBidi" w:cstheme="majorBidi"/>
          <w:vertAlign w:val="superscript"/>
        </w:rPr>
        <w:t>1</w:t>
      </w:r>
      <w:r w:rsidRPr="00BE7811">
        <w:rPr>
          <w:rFonts w:asciiTheme="majorBidi" w:hAnsiTheme="majorBidi" w:cstheme="majorBidi"/>
          <w:vertAlign w:val="superscript"/>
        </w:rPr>
        <w:t> </w:t>
      </w:r>
      <w:r w:rsidR="00A46BD5" w:rsidRPr="00BE7811">
        <w:rPr>
          <w:rFonts w:asciiTheme="majorBidi" w:hAnsiTheme="majorBidi" w:cstheme="majorBidi"/>
        </w:rPr>
        <w:t>panta otro daļu, 447.</w:t>
      </w:r>
      <w:r w:rsidRPr="00BE7811">
        <w:rPr>
          <w:rFonts w:asciiTheme="majorBidi" w:hAnsiTheme="majorBidi" w:cstheme="majorBidi"/>
        </w:rPr>
        <w:t> </w:t>
      </w:r>
      <w:r w:rsidR="00A46BD5" w:rsidRPr="00BE7811">
        <w:rPr>
          <w:rFonts w:asciiTheme="majorBidi" w:hAnsiTheme="majorBidi" w:cstheme="majorBidi"/>
        </w:rPr>
        <w:t>panta pirmo daļu, 447.</w:t>
      </w:r>
      <w:r w:rsidR="00A46BD5" w:rsidRPr="00BE7811">
        <w:rPr>
          <w:rFonts w:asciiTheme="majorBidi" w:hAnsiTheme="majorBidi" w:cstheme="majorBidi"/>
          <w:vertAlign w:val="superscript"/>
        </w:rPr>
        <w:t>1</w:t>
      </w:r>
      <w:r w:rsidRPr="00BE7811">
        <w:rPr>
          <w:rFonts w:asciiTheme="majorBidi" w:hAnsiTheme="majorBidi" w:cstheme="majorBidi"/>
          <w:vertAlign w:val="superscript"/>
        </w:rPr>
        <w:t> </w:t>
      </w:r>
      <w:r w:rsidR="00A46BD5" w:rsidRPr="00BE7811">
        <w:rPr>
          <w:rFonts w:asciiTheme="majorBidi" w:hAnsiTheme="majorBidi" w:cstheme="majorBidi"/>
        </w:rPr>
        <w:t>panta pirmo daļu, 448.</w:t>
      </w:r>
      <w:r w:rsidRPr="00BE7811">
        <w:rPr>
          <w:rFonts w:asciiTheme="majorBidi" w:hAnsiTheme="majorBidi" w:cstheme="majorBidi"/>
        </w:rPr>
        <w:t> </w:t>
      </w:r>
      <w:r w:rsidR="00A46BD5" w:rsidRPr="00BE7811">
        <w:rPr>
          <w:rFonts w:asciiTheme="majorBidi" w:hAnsiTheme="majorBidi" w:cstheme="majorBidi"/>
        </w:rPr>
        <w:t>panta pirmās daļas 2.</w:t>
      </w:r>
      <w:r w:rsidRPr="00BE7811">
        <w:rPr>
          <w:rFonts w:asciiTheme="majorBidi" w:hAnsiTheme="majorBidi" w:cstheme="majorBidi"/>
        </w:rPr>
        <w:t> </w:t>
      </w:r>
      <w:r w:rsidR="00A46BD5" w:rsidRPr="00BE7811">
        <w:rPr>
          <w:rFonts w:asciiTheme="majorBidi" w:hAnsiTheme="majorBidi" w:cstheme="majorBidi"/>
        </w:rPr>
        <w:t>punktu</w:t>
      </w:r>
      <w:r w:rsidR="00672EC9">
        <w:rPr>
          <w:rFonts w:asciiTheme="majorBidi" w:hAnsiTheme="majorBidi" w:cstheme="majorBidi"/>
        </w:rPr>
        <w:t xml:space="preserve"> un</w:t>
      </w:r>
      <w:r w:rsidR="00A46BD5" w:rsidRPr="00BE7811">
        <w:rPr>
          <w:rFonts w:asciiTheme="majorBidi" w:hAnsiTheme="majorBidi" w:cstheme="majorBidi"/>
        </w:rPr>
        <w:t xml:space="preserve"> 449.</w:t>
      </w:r>
      <w:r w:rsidRPr="00BE7811">
        <w:rPr>
          <w:rFonts w:asciiTheme="majorBidi" w:hAnsiTheme="majorBidi" w:cstheme="majorBidi"/>
        </w:rPr>
        <w:t> </w:t>
      </w:r>
      <w:r w:rsidR="00A46BD5" w:rsidRPr="00BE7811">
        <w:rPr>
          <w:rFonts w:asciiTheme="majorBidi" w:hAnsiTheme="majorBidi" w:cstheme="majorBidi"/>
        </w:rPr>
        <w:t>panta pirmo daļu</w:t>
      </w:r>
      <w:r w:rsidR="00DF6970" w:rsidRPr="00BE7811">
        <w:rPr>
          <w:rFonts w:asciiTheme="majorBidi" w:hAnsiTheme="majorBidi" w:cstheme="majorBidi"/>
        </w:rPr>
        <w:t xml:space="preserve">, </w:t>
      </w:r>
      <w:r w:rsidR="00AF5AC9" w:rsidRPr="00BE7811">
        <w:rPr>
          <w:rFonts w:asciiTheme="majorBidi" w:hAnsiTheme="majorBidi" w:cstheme="majorBidi"/>
        </w:rPr>
        <w:t>Senāts</w:t>
      </w:r>
    </w:p>
    <w:p w14:paraId="2CDF1A43" w14:textId="77777777" w:rsidR="008A2DB4" w:rsidRPr="00BE7811" w:rsidRDefault="008A2DB4" w:rsidP="0038293E">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p>
    <w:p w14:paraId="4C801D5C" w14:textId="1615A5BD" w:rsidR="00D23670" w:rsidRPr="00BE7811" w:rsidRDefault="008A2DB4" w:rsidP="0038293E">
      <w:pPr>
        <w:shd w:val="clear" w:color="auto" w:fill="FFFFFF"/>
        <w:spacing w:after="0" w:line="276" w:lineRule="auto"/>
        <w:jc w:val="center"/>
        <w:rPr>
          <w:rFonts w:asciiTheme="majorBidi" w:hAnsiTheme="majorBidi" w:cstheme="majorBidi"/>
          <w:b/>
          <w:szCs w:val="24"/>
        </w:rPr>
      </w:pPr>
      <w:r w:rsidRPr="00BE7811">
        <w:rPr>
          <w:rFonts w:asciiTheme="majorBidi" w:hAnsiTheme="majorBidi" w:cstheme="majorBidi"/>
          <w:b/>
          <w:szCs w:val="24"/>
        </w:rPr>
        <w:t>nolēma</w:t>
      </w:r>
    </w:p>
    <w:p w14:paraId="58EF17BA" w14:textId="77777777" w:rsidR="008A2DB4" w:rsidRPr="00BE7811" w:rsidRDefault="008A2DB4" w:rsidP="0038293E">
      <w:pPr>
        <w:shd w:val="clear" w:color="auto" w:fill="FFFFFF"/>
        <w:spacing w:after="0" w:line="276" w:lineRule="auto"/>
        <w:ind w:firstLine="709"/>
        <w:jc w:val="center"/>
        <w:rPr>
          <w:rFonts w:asciiTheme="majorBidi" w:hAnsiTheme="majorBidi" w:cstheme="majorBidi"/>
          <w:b/>
          <w:szCs w:val="24"/>
        </w:rPr>
      </w:pPr>
    </w:p>
    <w:p w14:paraId="592698FB" w14:textId="2EF0D999" w:rsidR="00DF6970" w:rsidRPr="00BE7811" w:rsidRDefault="007209FA" w:rsidP="0038293E">
      <w:pPr>
        <w:shd w:val="clear" w:color="auto" w:fill="FFFFFF"/>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 xml:space="preserve">atcelt </w:t>
      </w:r>
      <w:r w:rsidR="00602230">
        <w:rPr>
          <w:rFonts w:asciiTheme="majorBidi" w:hAnsiTheme="majorBidi" w:cstheme="majorBidi"/>
          <w:szCs w:val="24"/>
        </w:rPr>
        <w:t>[..]</w:t>
      </w:r>
      <w:r w:rsidRPr="00BE7811">
        <w:rPr>
          <w:rFonts w:asciiTheme="majorBidi" w:hAnsiTheme="majorBidi" w:cstheme="majorBidi"/>
          <w:szCs w:val="24"/>
        </w:rPr>
        <w:t xml:space="preserve"> apgabaltiesas 2024. gada </w:t>
      </w:r>
      <w:r w:rsidR="00602230">
        <w:rPr>
          <w:rFonts w:asciiTheme="majorBidi" w:hAnsiTheme="majorBidi" w:cstheme="majorBidi"/>
          <w:szCs w:val="24"/>
        </w:rPr>
        <w:t>[..]</w:t>
      </w:r>
      <w:r w:rsidRPr="00BE7811">
        <w:rPr>
          <w:rFonts w:asciiTheme="majorBidi" w:hAnsiTheme="majorBidi" w:cstheme="majorBidi"/>
          <w:szCs w:val="24"/>
        </w:rPr>
        <w:t xml:space="preserve"> lēmumu</w:t>
      </w:r>
      <w:r w:rsidR="00003A46" w:rsidRPr="00BE7811">
        <w:rPr>
          <w:rFonts w:asciiTheme="majorBidi" w:hAnsiTheme="majorBidi" w:cstheme="majorBidi"/>
          <w:szCs w:val="24"/>
        </w:rPr>
        <w:t xml:space="preserve"> un </w:t>
      </w:r>
      <w:r w:rsidR="00222A71">
        <w:rPr>
          <w:rFonts w:asciiTheme="majorBidi" w:hAnsiTheme="majorBidi" w:cstheme="majorBidi"/>
          <w:szCs w:val="24"/>
        </w:rPr>
        <w:t>pieteikumu</w:t>
      </w:r>
      <w:r w:rsidR="00003A46" w:rsidRPr="00BE7811">
        <w:rPr>
          <w:rFonts w:asciiTheme="majorBidi" w:hAnsiTheme="majorBidi" w:cstheme="majorBidi"/>
          <w:szCs w:val="24"/>
        </w:rPr>
        <w:t xml:space="preserve"> par Krievijas Federācijas </w:t>
      </w:r>
      <w:r w:rsidR="00602230">
        <w:rPr>
          <w:rFonts w:asciiTheme="majorBidi" w:hAnsiTheme="majorBidi" w:cstheme="majorBidi"/>
          <w:szCs w:val="24"/>
        </w:rPr>
        <w:t>[..]</w:t>
      </w:r>
      <w:r w:rsidR="00003A46" w:rsidRPr="00BE7811">
        <w:rPr>
          <w:rFonts w:asciiTheme="majorBidi" w:hAnsiTheme="majorBidi" w:cstheme="majorBidi"/>
          <w:szCs w:val="24"/>
        </w:rPr>
        <w:t xml:space="preserve"> rajona tiesas 2023. gada </w:t>
      </w:r>
      <w:r w:rsidR="00986F57">
        <w:rPr>
          <w:rFonts w:asciiTheme="majorBidi" w:hAnsiTheme="majorBidi" w:cstheme="majorBidi"/>
          <w:szCs w:val="24"/>
        </w:rPr>
        <w:t xml:space="preserve">23. janvāra </w:t>
      </w:r>
      <w:r w:rsidR="00003A46" w:rsidRPr="00BE7811">
        <w:rPr>
          <w:rFonts w:asciiTheme="majorBidi" w:hAnsiTheme="majorBidi" w:cstheme="majorBidi"/>
          <w:szCs w:val="24"/>
        </w:rPr>
        <w:t xml:space="preserve">sprieduma atzīšanu un izpildīšanu Latvijas Republikā nodot izskatīšanai </w:t>
      </w:r>
      <w:r w:rsidR="00602230">
        <w:rPr>
          <w:rFonts w:asciiTheme="majorBidi" w:hAnsiTheme="majorBidi" w:cstheme="majorBidi"/>
          <w:szCs w:val="24"/>
        </w:rPr>
        <w:t>[..]</w:t>
      </w:r>
      <w:r w:rsidR="00FC7CF1">
        <w:rPr>
          <w:rFonts w:asciiTheme="majorBidi" w:hAnsiTheme="majorBidi" w:cstheme="majorBidi"/>
          <w:szCs w:val="24"/>
        </w:rPr>
        <w:t xml:space="preserve"> apgabaltiesā</w:t>
      </w:r>
      <w:r w:rsidR="00F7410C" w:rsidRPr="00BE7811">
        <w:rPr>
          <w:rFonts w:asciiTheme="majorBidi" w:hAnsiTheme="majorBidi" w:cstheme="majorBidi"/>
          <w:szCs w:val="24"/>
        </w:rPr>
        <w:t>;</w:t>
      </w:r>
    </w:p>
    <w:p w14:paraId="28A77131" w14:textId="3F485E38" w:rsidR="00F7410C" w:rsidRPr="00BE7811" w:rsidRDefault="00F7410C" w:rsidP="0038293E">
      <w:pPr>
        <w:shd w:val="clear" w:color="auto" w:fill="FFFFFF"/>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 xml:space="preserve">atmaksāt </w:t>
      </w:r>
      <w:r w:rsidR="000B2C37">
        <w:rPr>
          <w:rFonts w:asciiTheme="majorBidi" w:hAnsiTheme="majorBidi" w:cstheme="majorBidi"/>
          <w:szCs w:val="24"/>
        </w:rPr>
        <w:t>[pers. A]</w:t>
      </w:r>
      <w:r w:rsidRPr="00BE7811">
        <w:rPr>
          <w:rFonts w:asciiTheme="majorBidi" w:hAnsiTheme="majorBidi" w:cstheme="majorBidi"/>
          <w:szCs w:val="24"/>
        </w:rPr>
        <w:t xml:space="preserve"> drošības naudu 70 </w:t>
      </w:r>
      <w:r w:rsidRPr="00BE7811">
        <w:rPr>
          <w:rFonts w:asciiTheme="majorBidi" w:hAnsiTheme="majorBidi" w:cstheme="majorBidi"/>
          <w:i/>
          <w:iCs/>
          <w:szCs w:val="24"/>
        </w:rPr>
        <w:t>euro</w:t>
      </w:r>
      <w:r w:rsidRPr="00BE7811">
        <w:rPr>
          <w:rFonts w:asciiTheme="majorBidi" w:hAnsiTheme="majorBidi" w:cstheme="majorBidi"/>
          <w:szCs w:val="24"/>
        </w:rPr>
        <w:t xml:space="preserve"> (septiņdesmit </w:t>
      </w:r>
      <w:r w:rsidRPr="00BE7811">
        <w:rPr>
          <w:rFonts w:asciiTheme="majorBidi" w:hAnsiTheme="majorBidi" w:cstheme="majorBidi"/>
          <w:i/>
          <w:iCs/>
          <w:szCs w:val="24"/>
        </w:rPr>
        <w:t>euro</w:t>
      </w:r>
      <w:r w:rsidRPr="00BE7811">
        <w:rPr>
          <w:rFonts w:asciiTheme="majorBidi" w:hAnsiTheme="majorBidi" w:cstheme="majorBidi"/>
          <w:szCs w:val="24"/>
        </w:rPr>
        <w:t>)</w:t>
      </w:r>
      <w:r w:rsidR="00137DA8">
        <w:rPr>
          <w:rFonts w:asciiTheme="majorBidi" w:hAnsiTheme="majorBidi" w:cstheme="majorBidi"/>
          <w:szCs w:val="24"/>
        </w:rPr>
        <w:t>.</w:t>
      </w:r>
    </w:p>
    <w:p w14:paraId="2FDEC84D" w14:textId="77777777" w:rsidR="00DB38F1" w:rsidRDefault="00DB38F1" w:rsidP="0038293E">
      <w:pPr>
        <w:shd w:val="clear" w:color="auto" w:fill="FFFFFF"/>
        <w:spacing w:after="0" w:line="276" w:lineRule="auto"/>
        <w:ind w:firstLine="709"/>
        <w:jc w:val="both"/>
        <w:rPr>
          <w:rFonts w:asciiTheme="majorBidi" w:hAnsiTheme="majorBidi" w:cstheme="majorBidi"/>
          <w:szCs w:val="24"/>
        </w:rPr>
      </w:pPr>
    </w:p>
    <w:p w14:paraId="211A2BF2" w14:textId="0C22D8AB" w:rsidR="00D23670" w:rsidRPr="00BE7811" w:rsidRDefault="004A6F36" w:rsidP="0038293E">
      <w:pPr>
        <w:shd w:val="clear" w:color="auto" w:fill="FFFFFF"/>
        <w:spacing w:after="0" w:line="276" w:lineRule="auto"/>
        <w:ind w:firstLine="709"/>
        <w:jc w:val="both"/>
        <w:rPr>
          <w:rFonts w:asciiTheme="majorBidi" w:hAnsiTheme="majorBidi" w:cstheme="majorBidi"/>
          <w:szCs w:val="24"/>
        </w:rPr>
      </w:pPr>
      <w:r w:rsidRPr="00BE7811">
        <w:rPr>
          <w:rFonts w:asciiTheme="majorBidi" w:hAnsiTheme="majorBidi" w:cstheme="majorBidi"/>
          <w:szCs w:val="24"/>
        </w:rPr>
        <w:t>Lēmums</w:t>
      </w:r>
      <w:r w:rsidR="00D23670" w:rsidRPr="00BE7811">
        <w:rPr>
          <w:rFonts w:asciiTheme="majorBidi" w:hAnsiTheme="majorBidi" w:cstheme="majorBidi"/>
          <w:szCs w:val="24"/>
        </w:rPr>
        <w:t xml:space="preserve"> nav pārsūdzams. </w:t>
      </w:r>
    </w:p>
    <w:p w14:paraId="11C0F43E" w14:textId="77777777" w:rsidR="0057483C" w:rsidRPr="00BE7811" w:rsidRDefault="0057483C" w:rsidP="0038293E">
      <w:pPr>
        <w:shd w:val="clear" w:color="auto" w:fill="FFFFFF"/>
        <w:spacing w:after="0" w:line="276" w:lineRule="auto"/>
        <w:ind w:firstLine="709"/>
        <w:jc w:val="center"/>
        <w:rPr>
          <w:rFonts w:asciiTheme="majorBidi" w:hAnsiTheme="majorBidi" w:cstheme="majorBidi"/>
          <w:b/>
          <w:szCs w:val="24"/>
        </w:rPr>
      </w:pPr>
    </w:p>
    <w:sectPr w:rsidR="0057483C" w:rsidRPr="00BE7811" w:rsidSect="0038293E">
      <w:footerReference w:type="default" r:id="rId2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D5FD" w14:textId="77777777" w:rsidR="003C4988" w:rsidRDefault="003C4988" w:rsidP="00E80CD7">
      <w:pPr>
        <w:spacing w:after="0" w:line="240" w:lineRule="auto"/>
      </w:pPr>
      <w:r>
        <w:separator/>
      </w:r>
    </w:p>
  </w:endnote>
  <w:endnote w:type="continuationSeparator" w:id="0">
    <w:p w14:paraId="7BFF8C53" w14:textId="77777777" w:rsidR="003C4988" w:rsidRDefault="003C4988" w:rsidP="00E8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8413" w14:textId="77777777" w:rsidR="00FB0689" w:rsidRPr="002E3F06" w:rsidRDefault="00FB0689" w:rsidP="00FB0689">
    <w:pPr>
      <w:pStyle w:val="Footer"/>
      <w:jc w:val="center"/>
      <w:rPr>
        <w:sz w:val="22"/>
      </w:rPr>
    </w:pPr>
    <w:sdt>
      <w:sdtPr>
        <w:rPr>
          <w:sz w:val="22"/>
        </w:rPr>
        <w:id w:val="1728636285"/>
        <w:docPartObj>
          <w:docPartGallery w:val="Page Numbers (Top of Page)"/>
          <w:docPartUnique/>
        </w:docPartObj>
      </w:sdtPr>
      <w:sdtContent>
        <w:r w:rsidRPr="002E3F06">
          <w:rPr>
            <w:sz w:val="22"/>
          </w:rPr>
          <w:fldChar w:fldCharType="begin"/>
        </w:r>
        <w:r w:rsidRPr="002E3F06">
          <w:rPr>
            <w:sz w:val="22"/>
          </w:rPr>
          <w:instrText xml:space="preserve"> PAGE </w:instrText>
        </w:r>
        <w:r w:rsidRPr="002E3F06">
          <w:rPr>
            <w:sz w:val="22"/>
          </w:rPr>
          <w:fldChar w:fldCharType="separate"/>
        </w:r>
        <w:r>
          <w:rPr>
            <w:sz w:val="22"/>
          </w:rPr>
          <w:t>1</w:t>
        </w:r>
        <w:r w:rsidRPr="002E3F06">
          <w:rPr>
            <w:sz w:val="22"/>
          </w:rPr>
          <w:fldChar w:fldCharType="end"/>
        </w:r>
        <w:r w:rsidRPr="002E3F06">
          <w:rPr>
            <w:sz w:val="22"/>
          </w:rPr>
          <w:t xml:space="preserve"> no </w:t>
        </w:r>
        <w:r w:rsidRPr="002E3F06">
          <w:rPr>
            <w:sz w:val="22"/>
          </w:rPr>
          <w:fldChar w:fldCharType="begin"/>
        </w:r>
        <w:r w:rsidRPr="002E3F06">
          <w:rPr>
            <w:sz w:val="22"/>
          </w:rPr>
          <w:instrText xml:space="preserve"> NUMPAGES  </w:instrText>
        </w:r>
        <w:r w:rsidRPr="002E3F06">
          <w:rPr>
            <w:sz w:val="22"/>
          </w:rPr>
          <w:fldChar w:fldCharType="separate"/>
        </w:r>
        <w:r>
          <w:rPr>
            <w:sz w:val="22"/>
          </w:rPr>
          <w:t>13</w:t>
        </w:r>
        <w:r w:rsidRPr="002E3F06">
          <w:rPr>
            <w:noProof/>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7664" w14:textId="77777777" w:rsidR="003C4988" w:rsidRDefault="003C4988" w:rsidP="00E80CD7">
      <w:pPr>
        <w:spacing w:after="0" w:line="240" w:lineRule="auto"/>
      </w:pPr>
      <w:r>
        <w:separator/>
      </w:r>
    </w:p>
  </w:footnote>
  <w:footnote w:type="continuationSeparator" w:id="0">
    <w:p w14:paraId="1E441310" w14:textId="77777777" w:rsidR="003C4988" w:rsidRDefault="003C4988" w:rsidP="00E80CD7">
      <w:pPr>
        <w:spacing w:after="0" w:line="240" w:lineRule="auto"/>
      </w:pPr>
      <w:r>
        <w:continuationSeparator/>
      </w:r>
    </w:p>
  </w:footnote>
  <w:footnote w:id="1">
    <w:p w14:paraId="52C4A2E3" w14:textId="77777777" w:rsidR="000B2C37" w:rsidRDefault="000B2C37" w:rsidP="000B2C37">
      <w:pPr>
        <w:pStyle w:val="FootnoteText"/>
        <w:rPr>
          <w:rFonts w:cs="Times New Roman"/>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sprieduma</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43F"/>
    <w:multiLevelType w:val="multilevel"/>
    <w:tmpl w:val="475E3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286D4B"/>
    <w:multiLevelType w:val="multilevel"/>
    <w:tmpl w:val="47A2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480414">
    <w:abstractNumId w:val="0"/>
  </w:num>
  <w:num w:numId="2" w16cid:durableId="1132215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0"/>
    <w:rsid w:val="00001C39"/>
    <w:rsid w:val="00003A46"/>
    <w:rsid w:val="00003A9C"/>
    <w:rsid w:val="0000516C"/>
    <w:rsid w:val="00005DEA"/>
    <w:rsid w:val="00006ABA"/>
    <w:rsid w:val="0001145B"/>
    <w:rsid w:val="00024AD9"/>
    <w:rsid w:val="000306B4"/>
    <w:rsid w:val="00030750"/>
    <w:rsid w:val="0003324E"/>
    <w:rsid w:val="00046B85"/>
    <w:rsid w:val="00052874"/>
    <w:rsid w:val="00065ABF"/>
    <w:rsid w:val="00066601"/>
    <w:rsid w:val="00073DF3"/>
    <w:rsid w:val="000753D5"/>
    <w:rsid w:val="000767F8"/>
    <w:rsid w:val="00077EB8"/>
    <w:rsid w:val="00084100"/>
    <w:rsid w:val="000863CD"/>
    <w:rsid w:val="0008765B"/>
    <w:rsid w:val="000928D0"/>
    <w:rsid w:val="00093154"/>
    <w:rsid w:val="00097759"/>
    <w:rsid w:val="00097D24"/>
    <w:rsid w:val="000A2568"/>
    <w:rsid w:val="000A43E0"/>
    <w:rsid w:val="000B0AB7"/>
    <w:rsid w:val="000B2C37"/>
    <w:rsid w:val="000B5B8F"/>
    <w:rsid w:val="000C52CC"/>
    <w:rsid w:val="000D3003"/>
    <w:rsid w:val="000D41AF"/>
    <w:rsid w:val="000D4E52"/>
    <w:rsid w:val="000D68F2"/>
    <w:rsid w:val="000D71BA"/>
    <w:rsid w:val="000D7E02"/>
    <w:rsid w:val="000E05E3"/>
    <w:rsid w:val="000E75A2"/>
    <w:rsid w:val="000F1994"/>
    <w:rsid w:val="000F5BF3"/>
    <w:rsid w:val="000F7575"/>
    <w:rsid w:val="001023E1"/>
    <w:rsid w:val="00103482"/>
    <w:rsid w:val="00104CD9"/>
    <w:rsid w:val="00104E5C"/>
    <w:rsid w:val="00107584"/>
    <w:rsid w:val="00112FA3"/>
    <w:rsid w:val="0011428A"/>
    <w:rsid w:val="0011454A"/>
    <w:rsid w:val="001173C5"/>
    <w:rsid w:val="00121E49"/>
    <w:rsid w:val="00122E88"/>
    <w:rsid w:val="001242B8"/>
    <w:rsid w:val="00131CB8"/>
    <w:rsid w:val="00132995"/>
    <w:rsid w:val="00132CF6"/>
    <w:rsid w:val="00137DA8"/>
    <w:rsid w:val="001422A2"/>
    <w:rsid w:val="00142B6E"/>
    <w:rsid w:val="001441A5"/>
    <w:rsid w:val="001513EE"/>
    <w:rsid w:val="0015301B"/>
    <w:rsid w:val="00155ADF"/>
    <w:rsid w:val="00155F28"/>
    <w:rsid w:val="001564E3"/>
    <w:rsid w:val="00162709"/>
    <w:rsid w:val="0016396F"/>
    <w:rsid w:val="00163DC8"/>
    <w:rsid w:val="001642D9"/>
    <w:rsid w:val="001643F3"/>
    <w:rsid w:val="00167713"/>
    <w:rsid w:val="00184E4C"/>
    <w:rsid w:val="00185BD8"/>
    <w:rsid w:val="001864B9"/>
    <w:rsid w:val="001917C2"/>
    <w:rsid w:val="00191FE6"/>
    <w:rsid w:val="00196037"/>
    <w:rsid w:val="001A33B0"/>
    <w:rsid w:val="001A5CB2"/>
    <w:rsid w:val="001A6619"/>
    <w:rsid w:val="001A6CA5"/>
    <w:rsid w:val="001B1AB0"/>
    <w:rsid w:val="001B6209"/>
    <w:rsid w:val="001B6F29"/>
    <w:rsid w:val="001C1100"/>
    <w:rsid w:val="001C5566"/>
    <w:rsid w:val="001D071E"/>
    <w:rsid w:val="001D3B23"/>
    <w:rsid w:val="001D6042"/>
    <w:rsid w:val="001E10EC"/>
    <w:rsid w:val="001F4D88"/>
    <w:rsid w:val="001F700B"/>
    <w:rsid w:val="00207893"/>
    <w:rsid w:val="002166DF"/>
    <w:rsid w:val="00216E5E"/>
    <w:rsid w:val="002223C7"/>
    <w:rsid w:val="00222A71"/>
    <w:rsid w:val="002354FC"/>
    <w:rsid w:val="002356E3"/>
    <w:rsid w:val="0023721C"/>
    <w:rsid w:val="00241CAC"/>
    <w:rsid w:val="00247B3E"/>
    <w:rsid w:val="00255874"/>
    <w:rsid w:val="00266211"/>
    <w:rsid w:val="00266A06"/>
    <w:rsid w:val="00282906"/>
    <w:rsid w:val="00285B76"/>
    <w:rsid w:val="0028716B"/>
    <w:rsid w:val="00287235"/>
    <w:rsid w:val="00290C1D"/>
    <w:rsid w:val="00291A7B"/>
    <w:rsid w:val="00291E9C"/>
    <w:rsid w:val="00292695"/>
    <w:rsid w:val="0029528A"/>
    <w:rsid w:val="00296571"/>
    <w:rsid w:val="00296AED"/>
    <w:rsid w:val="002A0813"/>
    <w:rsid w:val="002A122D"/>
    <w:rsid w:val="002A3DF9"/>
    <w:rsid w:val="002A76A6"/>
    <w:rsid w:val="002B4F75"/>
    <w:rsid w:val="002B5375"/>
    <w:rsid w:val="002C06B4"/>
    <w:rsid w:val="002C5FFF"/>
    <w:rsid w:val="002D48A2"/>
    <w:rsid w:val="002D4A2E"/>
    <w:rsid w:val="002E20B6"/>
    <w:rsid w:val="002E3F06"/>
    <w:rsid w:val="002E4E01"/>
    <w:rsid w:val="002E4F4A"/>
    <w:rsid w:val="002F320A"/>
    <w:rsid w:val="002F3431"/>
    <w:rsid w:val="002F6C76"/>
    <w:rsid w:val="00301B0E"/>
    <w:rsid w:val="0030441A"/>
    <w:rsid w:val="003108F0"/>
    <w:rsid w:val="0031168A"/>
    <w:rsid w:val="00312559"/>
    <w:rsid w:val="00313197"/>
    <w:rsid w:val="00324B1D"/>
    <w:rsid w:val="00336BB0"/>
    <w:rsid w:val="0033783C"/>
    <w:rsid w:val="003407D9"/>
    <w:rsid w:val="00343D17"/>
    <w:rsid w:val="003475EC"/>
    <w:rsid w:val="00360589"/>
    <w:rsid w:val="0036427E"/>
    <w:rsid w:val="0036705B"/>
    <w:rsid w:val="00372310"/>
    <w:rsid w:val="00374F54"/>
    <w:rsid w:val="00377C40"/>
    <w:rsid w:val="003808BC"/>
    <w:rsid w:val="003815AC"/>
    <w:rsid w:val="0038293E"/>
    <w:rsid w:val="0038664E"/>
    <w:rsid w:val="003912F3"/>
    <w:rsid w:val="003928C1"/>
    <w:rsid w:val="003A120D"/>
    <w:rsid w:val="003A392F"/>
    <w:rsid w:val="003A7049"/>
    <w:rsid w:val="003A7285"/>
    <w:rsid w:val="003B08DC"/>
    <w:rsid w:val="003B2671"/>
    <w:rsid w:val="003B5B8D"/>
    <w:rsid w:val="003C4988"/>
    <w:rsid w:val="003D53B0"/>
    <w:rsid w:val="003D569C"/>
    <w:rsid w:val="003D7241"/>
    <w:rsid w:val="003D765F"/>
    <w:rsid w:val="003E3662"/>
    <w:rsid w:val="003E5745"/>
    <w:rsid w:val="003E6F54"/>
    <w:rsid w:val="003E70F1"/>
    <w:rsid w:val="003F1D3A"/>
    <w:rsid w:val="003F1D84"/>
    <w:rsid w:val="003F2635"/>
    <w:rsid w:val="003F3C05"/>
    <w:rsid w:val="003F481B"/>
    <w:rsid w:val="003F4ED0"/>
    <w:rsid w:val="00400904"/>
    <w:rsid w:val="004048FD"/>
    <w:rsid w:val="00406094"/>
    <w:rsid w:val="00406527"/>
    <w:rsid w:val="00411060"/>
    <w:rsid w:val="00411281"/>
    <w:rsid w:val="0041615B"/>
    <w:rsid w:val="0042040C"/>
    <w:rsid w:val="00420F6E"/>
    <w:rsid w:val="00423B4A"/>
    <w:rsid w:val="0042400D"/>
    <w:rsid w:val="00426797"/>
    <w:rsid w:val="004271A8"/>
    <w:rsid w:val="00427D28"/>
    <w:rsid w:val="00427E38"/>
    <w:rsid w:val="004314DA"/>
    <w:rsid w:val="0044218F"/>
    <w:rsid w:val="00442B76"/>
    <w:rsid w:val="00442CEC"/>
    <w:rsid w:val="00445ECE"/>
    <w:rsid w:val="00452060"/>
    <w:rsid w:val="004534C3"/>
    <w:rsid w:val="00454254"/>
    <w:rsid w:val="00467FBB"/>
    <w:rsid w:val="004724DC"/>
    <w:rsid w:val="0047396A"/>
    <w:rsid w:val="00474B7E"/>
    <w:rsid w:val="004807BD"/>
    <w:rsid w:val="00485893"/>
    <w:rsid w:val="00485B84"/>
    <w:rsid w:val="004957FC"/>
    <w:rsid w:val="00495DC9"/>
    <w:rsid w:val="004A1016"/>
    <w:rsid w:val="004A247F"/>
    <w:rsid w:val="004A2AF7"/>
    <w:rsid w:val="004A6899"/>
    <w:rsid w:val="004A6E65"/>
    <w:rsid w:val="004A6F36"/>
    <w:rsid w:val="004B4659"/>
    <w:rsid w:val="004B7B76"/>
    <w:rsid w:val="004C5407"/>
    <w:rsid w:val="004C5735"/>
    <w:rsid w:val="004C5867"/>
    <w:rsid w:val="004D0060"/>
    <w:rsid w:val="004D28FB"/>
    <w:rsid w:val="004E261F"/>
    <w:rsid w:val="004E4838"/>
    <w:rsid w:val="004E4F30"/>
    <w:rsid w:val="004E4FBD"/>
    <w:rsid w:val="004E5871"/>
    <w:rsid w:val="004F1C2B"/>
    <w:rsid w:val="004F630D"/>
    <w:rsid w:val="004F71A9"/>
    <w:rsid w:val="00500BB4"/>
    <w:rsid w:val="00500F78"/>
    <w:rsid w:val="005010D8"/>
    <w:rsid w:val="005026B4"/>
    <w:rsid w:val="00502EC6"/>
    <w:rsid w:val="00504041"/>
    <w:rsid w:val="00504210"/>
    <w:rsid w:val="005046F4"/>
    <w:rsid w:val="00505804"/>
    <w:rsid w:val="00505BA1"/>
    <w:rsid w:val="00514923"/>
    <w:rsid w:val="00516828"/>
    <w:rsid w:val="00516BC0"/>
    <w:rsid w:val="00521C24"/>
    <w:rsid w:val="005269D9"/>
    <w:rsid w:val="005347D4"/>
    <w:rsid w:val="00536D1D"/>
    <w:rsid w:val="00540D49"/>
    <w:rsid w:val="00540F22"/>
    <w:rsid w:val="00542FC9"/>
    <w:rsid w:val="00543ECE"/>
    <w:rsid w:val="00547708"/>
    <w:rsid w:val="00554DE1"/>
    <w:rsid w:val="0055613F"/>
    <w:rsid w:val="005567EC"/>
    <w:rsid w:val="005569F3"/>
    <w:rsid w:val="00560F5F"/>
    <w:rsid w:val="005618AF"/>
    <w:rsid w:val="00563D8E"/>
    <w:rsid w:val="0056632F"/>
    <w:rsid w:val="00567E98"/>
    <w:rsid w:val="0057122B"/>
    <w:rsid w:val="00572D22"/>
    <w:rsid w:val="0057483C"/>
    <w:rsid w:val="00576B3D"/>
    <w:rsid w:val="0058634F"/>
    <w:rsid w:val="00587A5D"/>
    <w:rsid w:val="0059418C"/>
    <w:rsid w:val="00594BA0"/>
    <w:rsid w:val="00594CB1"/>
    <w:rsid w:val="00594ED0"/>
    <w:rsid w:val="0059542A"/>
    <w:rsid w:val="005A5DC4"/>
    <w:rsid w:val="005A6BC0"/>
    <w:rsid w:val="005B15DC"/>
    <w:rsid w:val="005C373C"/>
    <w:rsid w:val="005C4517"/>
    <w:rsid w:val="005C4AB9"/>
    <w:rsid w:val="005C4EBD"/>
    <w:rsid w:val="005C610D"/>
    <w:rsid w:val="005C7AD1"/>
    <w:rsid w:val="005D00C1"/>
    <w:rsid w:val="005D213B"/>
    <w:rsid w:val="005D2609"/>
    <w:rsid w:val="005D492E"/>
    <w:rsid w:val="005E1A42"/>
    <w:rsid w:val="005E1EE4"/>
    <w:rsid w:val="005E27FC"/>
    <w:rsid w:val="005E5E50"/>
    <w:rsid w:val="005E7943"/>
    <w:rsid w:val="005F00EF"/>
    <w:rsid w:val="005F258E"/>
    <w:rsid w:val="005F4339"/>
    <w:rsid w:val="005F4775"/>
    <w:rsid w:val="005F6696"/>
    <w:rsid w:val="00600B5D"/>
    <w:rsid w:val="00601539"/>
    <w:rsid w:val="0060216B"/>
    <w:rsid w:val="00602230"/>
    <w:rsid w:val="00602EED"/>
    <w:rsid w:val="00604EDB"/>
    <w:rsid w:val="00607073"/>
    <w:rsid w:val="0061439D"/>
    <w:rsid w:val="00614C52"/>
    <w:rsid w:val="006165F0"/>
    <w:rsid w:val="0062085F"/>
    <w:rsid w:val="0062254A"/>
    <w:rsid w:val="0062399F"/>
    <w:rsid w:val="0062468D"/>
    <w:rsid w:val="00625537"/>
    <w:rsid w:val="0063298F"/>
    <w:rsid w:val="00634243"/>
    <w:rsid w:val="0063429D"/>
    <w:rsid w:val="00634D3B"/>
    <w:rsid w:val="006407D5"/>
    <w:rsid w:val="006479D2"/>
    <w:rsid w:val="0065161E"/>
    <w:rsid w:val="0065264D"/>
    <w:rsid w:val="00652BE2"/>
    <w:rsid w:val="0065377D"/>
    <w:rsid w:val="00655258"/>
    <w:rsid w:val="00656581"/>
    <w:rsid w:val="00656DC1"/>
    <w:rsid w:val="00661D0B"/>
    <w:rsid w:val="00666501"/>
    <w:rsid w:val="0067278E"/>
    <w:rsid w:val="00672EC9"/>
    <w:rsid w:val="00674AE3"/>
    <w:rsid w:val="00684A6B"/>
    <w:rsid w:val="0068552A"/>
    <w:rsid w:val="006872BE"/>
    <w:rsid w:val="00690876"/>
    <w:rsid w:val="006957F4"/>
    <w:rsid w:val="006A2AF0"/>
    <w:rsid w:val="006A569E"/>
    <w:rsid w:val="006B1A62"/>
    <w:rsid w:val="006B1DE4"/>
    <w:rsid w:val="006B40D7"/>
    <w:rsid w:val="006B7D69"/>
    <w:rsid w:val="006C36E7"/>
    <w:rsid w:val="006C623B"/>
    <w:rsid w:val="006C7590"/>
    <w:rsid w:val="006D0B6E"/>
    <w:rsid w:val="006D1261"/>
    <w:rsid w:val="006D5353"/>
    <w:rsid w:val="006E1D8E"/>
    <w:rsid w:val="006E1DD7"/>
    <w:rsid w:val="006E58D5"/>
    <w:rsid w:val="006F5B34"/>
    <w:rsid w:val="006F63EF"/>
    <w:rsid w:val="006F6500"/>
    <w:rsid w:val="006F73E8"/>
    <w:rsid w:val="006F7B27"/>
    <w:rsid w:val="0070279F"/>
    <w:rsid w:val="007035A6"/>
    <w:rsid w:val="0070613C"/>
    <w:rsid w:val="00710537"/>
    <w:rsid w:val="00713616"/>
    <w:rsid w:val="007157CB"/>
    <w:rsid w:val="00715A98"/>
    <w:rsid w:val="00715E68"/>
    <w:rsid w:val="0071653F"/>
    <w:rsid w:val="00717063"/>
    <w:rsid w:val="007209FA"/>
    <w:rsid w:val="00724D0B"/>
    <w:rsid w:val="007258BE"/>
    <w:rsid w:val="00727751"/>
    <w:rsid w:val="007300A5"/>
    <w:rsid w:val="00741086"/>
    <w:rsid w:val="00747CF5"/>
    <w:rsid w:val="007503A8"/>
    <w:rsid w:val="007515F8"/>
    <w:rsid w:val="00751947"/>
    <w:rsid w:val="0075357C"/>
    <w:rsid w:val="00756B0C"/>
    <w:rsid w:val="007570CF"/>
    <w:rsid w:val="007669D5"/>
    <w:rsid w:val="007741AE"/>
    <w:rsid w:val="00774E47"/>
    <w:rsid w:val="007767F7"/>
    <w:rsid w:val="007871DB"/>
    <w:rsid w:val="00787580"/>
    <w:rsid w:val="00790AC7"/>
    <w:rsid w:val="007918F4"/>
    <w:rsid w:val="00792AAE"/>
    <w:rsid w:val="007946F5"/>
    <w:rsid w:val="00797BD7"/>
    <w:rsid w:val="007A7889"/>
    <w:rsid w:val="007B1CEC"/>
    <w:rsid w:val="007B2FBD"/>
    <w:rsid w:val="007C0D1E"/>
    <w:rsid w:val="007C33C9"/>
    <w:rsid w:val="007C762D"/>
    <w:rsid w:val="007E1970"/>
    <w:rsid w:val="007E23CF"/>
    <w:rsid w:val="007E2F37"/>
    <w:rsid w:val="007E4C22"/>
    <w:rsid w:val="007E4E70"/>
    <w:rsid w:val="007E7663"/>
    <w:rsid w:val="007F0DCA"/>
    <w:rsid w:val="007F1054"/>
    <w:rsid w:val="007F2825"/>
    <w:rsid w:val="007F317F"/>
    <w:rsid w:val="007F3324"/>
    <w:rsid w:val="007F66FC"/>
    <w:rsid w:val="008004E0"/>
    <w:rsid w:val="008035B5"/>
    <w:rsid w:val="00803905"/>
    <w:rsid w:val="00807059"/>
    <w:rsid w:val="008108ED"/>
    <w:rsid w:val="0081303E"/>
    <w:rsid w:val="0081400D"/>
    <w:rsid w:val="0082296C"/>
    <w:rsid w:val="00823BC8"/>
    <w:rsid w:val="008242BA"/>
    <w:rsid w:val="0082482B"/>
    <w:rsid w:val="008268A0"/>
    <w:rsid w:val="008313AC"/>
    <w:rsid w:val="008442CC"/>
    <w:rsid w:val="0084577F"/>
    <w:rsid w:val="00847776"/>
    <w:rsid w:val="008512E3"/>
    <w:rsid w:val="00854B18"/>
    <w:rsid w:val="00855343"/>
    <w:rsid w:val="008626BA"/>
    <w:rsid w:val="00862E82"/>
    <w:rsid w:val="008668BD"/>
    <w:rsid w:val="00871F7B"/>
    <w:rsid w:val="00873F14"/>
    <w:rsid w:val="00875A64"/>
    <w:rsid w:val="008769B6"/>
    <w:rsid w:val="00876CA8"/>
    <w:rsid w:val="00880A0B"/>
    <w:rsid w:val="00881B72"/>
    <w:rsid w:val="00884867"/>
    <w:rsid w:val="008862A7"/>
    <w:rsid w:val="0088710D"/>
    <w:rsid w:val="008873DE"/>
    <w:rsid w:val="0089269C"/>
    <w:rsid w:val="00892B19"/>
    <w:rsid w:val="00893BFA"/>
    <w:rsid w:val="008A2DB4"/>
    <w:rsid w:val="008A5AC8"/>
    <w:rsid w:val="008A6324"/>
    <w:rsid w:val="008B0813"/>
    <w:rsid w:val="008B0D9F"/>
    <w:rsid w:val="008B11CE"/>
    <w:rsid w:val="008B2CFE"/>
    <w:rsid w:val="008B3DEA"/>
    <w:rsid w:val="008B56D0"/>
    <w:rsid w:val="008B6D0D"/>
    <w:rsid w:val="008C1E83"/>
    <w:rsid w:val="008C2E97"/>
    <w:rsid w:val="008C5456"/>
    <w:rsid w:val="008D3D50"/>
    <w:rsid w:val="008D7F95"/>
    <w:rsid w:val="008E109A"/>
    <w:rsid w:val="008E32D4"/>
    <w:rsid w:val="008E338F"/>
    <w:rsid w:val="008E3D0C"/>
    <w:rsid w:val="008E6532"/>
    <w:rsid w:val="008E7600"/>
    <w:rsid w:val="008E7732"/>
    <w:rsid w:val="008E7919"/>
    <w:rsid w:val="008F4EF4"/>
    <w:rsid w:val="008F7C21"/>
    <w:rsid w:val="00903815"/>
    <w:rsid w:val="00903F22"/>
    <w:rsid w:val="0090497E"/>
    <w:rsid w:val="0091558F"/>
    <w:rsid w:val="009161C5"/>
    <w:rsid w:val="0091704C"/>
    <w:rsid w:val="009178DB"/>
    <w:rsid w:val="00922B7B"/>
    <w:rsid w:val="009330EF"/>
    <w:rsid w:val="00934D59"/>
    <w:rsid w:val="009464BA"/>
    <w:rsid w:val="00946D2E"/>
    <w:rsid w:val="00947EF5"/>
    <w:rsid w:val="00950EC9"/>
    <w:rsid w:val="009519B6"/>
    <w:rsid w:val="00951B51"/>
    <w:rsid w:val="009579B8"/>
    <w:rsid w:val="00961886"/>
    <w:rsid w:val="0096244A"/>
    <w:rsid w:val="00963F13"/>
    <w:rsid w:val="0096412D"/>
    <w:rsid w:val="009705A8"/>
    <w:rsid w:val="00970CAF"/>
    <w:rsid w:val="00975098"/>
    <w:rsid w:val="009849AE"/>
    <w:rsid w:val="00985647"/>
    <w:rsid w:val="00986F57"/>
    <w:rsid w:val="00991BDF"/>
    <w:rsid w:val="00994712"/>
    <w:rsid w:val="00995AEF"/>
    <w:rsid w:val="009A0647"/>
    <w:rsid w:val="009A648F"/>
    <w:rsid w:val="009B1A32"/>
    <w:rsid w:val="009B3E13"/>
    <w:rsid w:val="009C080C"/>
    <w:rsid w:val="009C0F79"/>
    <w:rsid w:val="009C794E"/>
    <w:rsid w:val="009D3719"/>
    <w:rsid w:val="009D461A"/>
    <w:rsid w:val="009D61A5"/>
    <w:rsid w:val="009E26DD"/>
    <w:rsid w:val="009E5D46"/>
    <w:rsid w:val="009F6C09"/>
    <w:rsid w:val="00A034EF"/>
    <w:rsid w:val="00A03597"/>
    <w:rsid w:val="00A05742"/>
    <w:rsid w:val="00A11732"/>
    <w:rsid w:val="00A20629"/>
    <w:rsid w:val="00A22ED0"/>
    <w:rsid w:val="00A23D07"/>
    <w:rsid w:val="00A244D5"/>
    <w:rsid w:val="00A35F22"/>
    <w:rsid w:val="00A442A1"/>
    <w:rsid w:val="00A4464D"/>
    <w:rsid w:val="00A46BD5"/>
    <w:rsid w:val="00A47603"/>
    <w:rsid w:val="00A47A08"/>
    <w:rsid w:val="00A5066D"/>
    <w:rsid w:val="00A52F08"/>
    <w:rsid w:val="00A55850"/>
    <w:rsid w:val="00A55EDF"/>
    <w:rsid w:val="00A56A4F"/>
    <w:rsid w:val="00A57B6D"/>
    <w:rsid w:val="00A603B4"/>
    <w:rsid w:val="00A6455D"/>
    <w:rsid w:val="00A70B19"/>
    <w:rsid w:val="00A73BA2"/>
    <w:rsid w:val="00A8008D"/>
    <w:rsid w:val="00A82895"/>
    <w:rsid w:val="00A82F2E"/>
    <w:rsid w:val="00A85208"/>
    <w:rsid w:val="00A87A88"/>
    <w:rsid w:val="00A9004E"/>
    <w:rsid w:val="00A94213"/>
    <w:rsid w:val="00AA4EDB"/>
    <w:rsid w:val="00AA5D6D"/>
    <w:rsid w:val="00AA7FD4"/>
    <w:rsid w:val="00AB0112"/>
    <w:rsid w:val="00AB26A2"/>
    <w:rsid w:val="00AB2B61"/>
    <w:rsid w:val="00AC0B0E"/>
    <w:rsid w:val="00AC0B7B"/>
    <w:rsid w:val="00AC1C7D"/>
    <w:rsid w:val="00AC3091"/>
    <w:rsid w:val="00AC328A"/>
    <w:rsid w:val="00AC3297"/>
    <w:rsid w:val="00AC6A71"/>
    <w:rsid w:val="00AC6F9E"/>
    <w:rsid w:val="00AD25EB"/>
    <w:rsid w:val="00AD460A"/>
    <w:rsid w:val="00AD57F5"/>
    <w:rsid w:val="00AD758A"/>
    <w:rsid w:val="00AE7006"/>
    <w:rsid w:val="00AE7923"/>
    <w:rsid w:val="00AF222B"/>
    <w:rsid w:val="00AF4832"/>
    <w:rsid w:val="00AF5AC9"/>
    <w:rsid w:val="00AF6D35"/>
    <w:rsid w:val="00AF761C"/>
    <w:rsid w:val="00AF7F4B"/>
    <w:rsid w:val="00B0116D"/>
    <w:rsid w:val="00B0195B"/>
    <w:rsid w:val="00B047CB"/>
    <w:rsid w:val="00B062C6"/>
    <w:rsid w:val="00B20708"/>
    <w:rsid w:val="00B215EB"/>
    <w:rsid w:val="00B2193C"/>
    <w:rsid w:val="00B26FA3"/>
    <w:rsid w:val="00B27FEC"/>
    <w:rsid w:val="00B32355"/>
    <w:rsid w:val="00B32EB1"/>
    <w:rsid w:val="00B34B5D"/>
    <w:rsid w:val="00B34D57"/>
    <w:rsid w:val="00B422A0"/>
    <w:rsid w:val="00B4352C"/>
    <w:rsid w:val="00B44710"/>
    <w:rsid w:val="00B459DD"/>
    <w:rsid w:val="00B51421"/>
    <w:rsid w:val="00B51606"/>
    <w:rsid w:val="00B534C5"/>
    <w:rsid w:val="00B56555"/>
    <w:rsid w:val="00B56F1C"/>
    <w:rsid w:val="00B57FF7"/>
    <w:rsid w:val="00B606E3"/>
    <w:rsid w:val="00B61CCA"/>
    <w:rsid w:val="00B646FC"/>
    <w:rsid w:val="00B66A52"/>
    <w:rsid w:val="00B66D76"/>
    <w:rsid w:val="00B70DC4"/>
    <w:rsid w:val="00B87FD8"/>
    <w:rsid w:val="00B87FE8"/>
    <w:rsid w:val="00B90405"/>
    <w:rsid w:val="00B923E2"/>
    <w:rsid w:val="00B931C4"/>
    <w:rsid w:val="00B96C48"/>
    <w:rsid w:val="00BA0928"/>
    <w:rsid w:val="00BA1D38"/>
    <w:rsid w:val="00BA2590"/>
    <w:rsid w:val="00BA2723"/>
    <w:rsid w:val="00BA74D6"/>
    <w:rsid w:val="00BB17A3"/>
    <w:rsid w:val="00BB5D9F"/>
    <w:rsid w:val="00BB6384"/>
    <w:rsid w:val="00BB7D6D"/>
    <w:rsid w:val="00BC033D"/>
    <w:rsid w:val="00BC5C32"/>
    <w:rsid w:val="00BD02FF"/>
    <w:rsid w:val="00BD06E8"/>
    <w:rsid w:val="00BD1A06"/>
    <w:rsid w:val="00BD3CDA"/>
    <w:rsid w:val="00BD58DA"/>
    <w:rsid w:val="00BE02F6"/>
    <w:rsid w:val="00BE0883"/>
    <w:rsid w:val="00BE0E7F"/>
    <w:rsid w:val="00BE1D76"/>
    <w:rsid w:val="00BE2EBD"/>
    <w:rsid w:val="00BE5568"/>
    <w:rsid w:val="00BE689E"/>
    <w:rsid w:val="00BE7811"/>
    <w:rsid w:val="00BF2AFC"/>
    <w:rsid w:val="00BF2E71"/>
    <w:rsid w:val="00BF5481"/>
    <w:rsid w:val="00BF6F13"/>
    <w:rsid w:val="00C002BB"/>
    <w:rsid w:val="00C004FA"/>
    <w:rsid w:val="00C02BD4"/>
    <w:rsid w:val="00C03A96"/>
    <w:rsid w:val="00C05740"/>
    <w:rsid w:val="00C05E77"/>
    <w:rsid w:val="00C11B1B"/>
    <w:rsid w:val="00C133C6"/>
    <w:rsid w:val="00C140BF"/>
    <w:rsid w:val="00C1765F"/>
    <w:rsid w:val="00C17F0C"/>
    <w:rsid w:val="00C21050"/>
    <w:rsid w:val="00C31595"/>
    <w:rsid w:val="00C31BC1"/>
    <w:rsid w:val="00C3319C"/>
    <w:rsid w:val="00C410AF"/>
    <w:rsid w:val="00C4561F"/>
    <w:rsid w:val="00C46946"/>
    <w:rsid w:val="00C46EE4"/>
    <w:rsid w:val="00C52EE4"/>
    <w:rsid w:val="00C550ED"/>
    <w:rsid w:val="00C56076"/>
    <w:rsid w:val="00C57CDB"/>
    <w:rsid w:val="00C6144B"/>
    <w:rsid w:val="00C6171F"/>
    <w:rsid w:val="00C65208"/>
    <w:rsid w:val="00C6624E"/>
    <w:rsid w:val="00C66699"/>
    <w:rsid w:val="00C66E9D"/>
    <w:rsid w:val="00C742D0"/>
    <w:rsid w:val="00C748AC"/>
    <w:rsid w:val="00C7771F"/>
    <w:rsid w:val="00C80374"/>
    <w:rsid w:val="00C80745"/>
    <w:rsid w:val="00C8191E"/>
    <w:rsid w:val="00C86356"/>
    <w:rsid w:val="00C87C6F"/>
    <w:rsid w:val="00C87CF9"/>
    <w:rsid w:val="00C90D9C"/>
    <w:rsid w:val="00C918EC"/>
    <w:rsid w:val="00CA05B2"/>
    <w:rsid w:val="00CB08B2"/>
    <w:rsid w:val="00CB0DBC"/>
    <w:rsid w:val="00CB271E"/>
    <w:rsid w:val="00CB3FF2"/>
    <w:rsid w:val="00CB49B8"/>
    <w:rsid w:val="00CB4B4C"/>
    <w:rsid w:val="00CC09C1"/>
    <w:rsid w:val="00CC2FAE"/>
    <w:rsid w:val="00CC40C3"/>
    <w:rsid w:val="00CD3206"/>
    <w:rsid w:val="00CD419F"/>
    <w:rsid w:val="00CE285D"/>
    <w:rsid w:val="00CF3F76"/>
    <w:rsid w:val="00CF60AB"/>
    <w:rsid w:val="00CF6B60"/>
    <w:rsid w:val="00D009EC"/>
    <w:rsid w:val="00D0102A"/>
    <w:rsid w:val="00D01A18"/>
    <w:rsid w:val="00D027C1"/>
    <w:rsid w:val="00D06E05"/>
    <w:rsid w:val="00D14D16"/>
    <w:rsid w:val="00D17A64"/>
    <w:rsid w:val="00D22484"/>
    <w:rsid w:val="00D23670"/>
    <w:rsid w:val="00D24B77"/>
    <w:rsid w:val="00D25057"/>
    <w:rsid w:val="00D263E1"/>
    <w:rsid w:val="00D2667B"/>
    <w:rsid w:val="00D27E44"/>
    <w:rsid w:val="00D337D2"/>
    <w:rsid w:val="00D34E25"/>
    <w:rsid w:val="00D36081"/>
    <w:rsid w:val="00D36D06"/>
    <w:rsid w:val="00D5096E"/>
    <w:rsid w:val="00D51F34"/>
    <w:rsid w:val="00D52522"/>
    <w:rsid w:val="00D53091"/>
    <w:rsid w:val="00D53270"/>
    <w:rsid w:val="00D53950"/>
    <w:rsid w:val="00D641B5"/>
    <w:rsid w:val="00D64E83"/>
    <w:rsid w:val="00D67496"/>
    <w:rsid w:val="00D677C1"/>
    <w:rsid w:val="00D75684"/>
    <w:rsid w:val="00D86056"/>
    <w:rsid w:val="00D86FBA"/>
    <w:rsid w:val="00D923EA"/>
    <w:rsid w:val="00D92613"/>
    <w:rsid w:val="00D92AC5"/>
    <w:rsid w:val="00D973BB"/>
    <w:rsid w:val="00DA1E5C"/>
    <w:rsid w:val="00DA200B"/>
    <w:rsid w:val="00DA218A"/>
    <w:rsid w:val="00DA2FB2"/>
    <w:rsid w:val="00DA3D6F"/>
    <w:rsid w:val="00DA468F"/>
    <w:rsid w:val="00DA56E5"/>
    <w:rsid w:val="00DA6856"/>
    <w:rsid w:val="00DB127D"/>
    <w:rsid w:val="00DB1E38"/>
    <w:rsid w:val="00DB32B9"/>
    <w:rsid w:val="00DB38F1"/>
    <w:rsid w:val="00DB3E81"/>
    <w:rsid w:val="00DB746A"/>
    <w:rsid w:val="00DC22A1"/>
    <w:rsid w:val="00DC33F1"/>
    <w:rsid w:val="00DC391F"/>
    <w:rsid w:val="00DC5637"/>
    <w:rsid w:val="00DD0818"/>
    <w:rsid w:val="00DD2B51"/>
    <w:rsid w:val="00DD66ED"/>
    <w:rsid w:val="00DE1B19"/>
    <w:rsid w:val="00DF025C"/>
    <w:rsid w:val="00DF19F7"/>
    <w:rsid w:val="00DF26EC"/>
    <w:rsid w:val="00DF5431"/>
    <w:rsid w:val="00DF6970"/>
    <w:rsid w:val="00E028AE"/>
    <w:rsid w:val="00E03379"/>
    <w:rsid w:val="00E12B3A"/>
    <w:rsid w:val="00E15670"/>
    <w:rsid w:val="00E17291"/>
    <w:rsid w:val="00E218C5"/>
    <w:rsid w:val="00E3636F"/>
    <w:rsid w:val="00E416D7"/>
    <w:rsid w:val="00E4701F"/>
    <w:rsid w:val="00E55072"/>
    <w:rsid w:val="00E57C1A"/>
    <w:rsid w:val="00E64239"/>
    <w:rsid w:val="00E72C9E"/>
    <w:rsid w:val="00E73FC7"/>
    <w:rsid w:val="00E80CD7"/>
    <w:rsid w:val="00E83542"/>
    <w:rsid w:val="00E8742D"/>
    <w:rsid w:val="00E9114C"/>
    <w:rsid w:val="00E95631"/>
    <w:rsid w:val="00E95B14"/>
    <w:rsid w:val="00E96351"/>
    <w:rsid w:val="00EA32E7"/>
    <w:rsid w:val="00EA74D6"/>
    <w:rsid w:val="00EB1E30"/>
    <w:rsid w:val="00EB3BD8"/>
    <w:rsid w:val="00EB5185"/>
    <w:rsid w:val="00EB52F6"/>
    <w:rsid w:val="00EB543A"/>
    <w:rsid w:val="00EB7D33"/>
    <w:rsid w:val="00EC677E"/>
    <w:rsid w:val="00EC727E"/>
    <w:rsid w:val="00EC732B"/>
    <w:rsid w:val="00ED22D0"/>
    <w:rsid w:val="00ED6B05"/>
    <w:rsid w:val="00EE10E5"/>
    <w:rsid w:val="00EE506D"/>
    <w:rsid w:val="00EF2623"/>
    <w:rsid w:val="00EF7BF2"/>
    <w:rsid w:val="00F00826"/>
    <w:rsid w:val="00F05B42"/>
    <w:rsid w:val="00F06618"/>
    <w:rsid w:val="00F07FB1"/>
    <w:rsid w:val="00F135AB"/>
    <w:rsid w:val="00F15808"/>
    <w:rsid w:val="00F1695B"/>
    <w:rsid w:val="00F401D3"/>
    <w:rsid w:val="00F4346C"/>
    <w:rsid w:val="00F46C0B"/>
    <w:rsid w:val="00F51BE5"/>
    <w:rsid w:val="00F549B2"/>
    <w:rsid w:val="00F614C4"/>
    <w:rsid w:val="00F6499E"/>
    <w:rsid w:val="00F67CC5"/>
    <w:rsid w:val="00F70791"/>
    <w:rsid w:val="00F718EA"/>
    <w:rsid w:val="00F73629"/>
    <w:rsid w:val="00F7410C"/>
    <w:rsid w:val="00F7476C"/>
    <w:rsid w:val="00F7505B"/>
    <w:rsid w:val="00F84807"/>
    <w:rsid w:val="00F85445"/>
    <w:rsid w:val="00F9117E"/>
    <w:rsid w:val="00F91BA5"/>
    <w:rsid w:val="00F91C99"/>
    <w:rsid w:val="00F943A9"/>
    <w:rsid w:val="00F94700"/>
    <w:rsid w:val="00FA0B55"/>
    <w:rsid w:val="00FA11E8"/>
    <w:rsid w:val="00FA4550"/>
    <w:rsid w:val="00FA4E34"/>
    <w:rsid w:val="00FA573D"/>
    <w:rsid w:val="00FA5A58"/>
    <w:rsid w:val="00FB0689"/>
    <w:rsid w:val="00FB209F"/>
    <w:rsid w:val="00FB471B"/>
    <w:rsid w:val="00FB69CE"/>
    <w:rsid w:val="00FC51FB"/>
    <w:rsid w:val="00FC6B1B"/>
    <w:rsid w:val="00FC7CF1"/>
    <w:rsid w:val="00FD0380"/>
    <w:rsid w:val="00FD5806"/>
    <w:rsid w:val="00FD6233"/>
    <w:rsid w:val="00FE2AEC"/>
    <w:rsid w:val="00FE713B"/>
    <w:rsid w:val="00FE7904"/>
    <w:rsid w:val="00FF28C8"/>
    <w:rsid w:val="00FF3A1B"/>
    <w:rsid w:val="00FF4FB0"/>
    <w:rsid w:val="00FF6273"/>
    <w:rsid w:val="00FF67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670"/>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3670"/>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D23670"/>
    <w:rPr>
      <w:color w:val="0563C1" w:themeColor="hyperlink"/>
      <w:u w:val="single"/>
    </w:rPr>
  </w:style>
  <w:style w:type="character" w:styleId="CommentReference">
    <w:name w:val="annotation reference"/>
    <w:basedOn w:val="DefaultParagraphFont"/>
    <w:uiPriority w:val="99"/>
    <w:semiHidden/>
    <w:unhideWhenUsed/>
    <w:rsid w:val="00D23670"/>
    <w:rPr>
      <w:sz w:val="16"/>
      <w:szCs w:val="16"/>
    </w:rPr>
  </w:style>
  <w:style w:type="paragraph" w:styleId="CommentText">
    <w:name w:val="annotation text"/>
    <w:basedOn w:val="Normal"/>
    <w:link w:val="CommentTextChar"/>
    <w:uiPriority w:val="99"/>
    <w:unhideWhenUsed/>
    <w:rsid w:val="00D23670"/>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2367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23670"/>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23670"/>
    <w:rPr>
      <w:rFonts w:eastAsia="Times New Roman" w:cs="Times New Roman"/>
      <w:b/>
      <w:bCs/>
      <w:kern w:val="0"/>
      <w:sz w:val="20"/>
      <w:szCs w:val="20"/>
      <w:lang w:eastAsia="ru-RU"/>
      <w14:ligatures w14:val="none"/>
    </w:rPr>
  </w:style>
  <w:style w:type="paragraph" w:styleId="Revision">
    <w:name w:val="Revision"/>
    <w:hidden/>
    <w:uiPriority w:val="99"/>
    <w:semiHidden/>
    <w:rsid w:val="003108F0"/>
    <w:pPr>
      <w:spacing w:after="0" w:line="240" w:lineRule="auto"/>
    </w:pPr>
  </w:style>
  <w:style w:type="paragraph" w:styleId="Header">
    <w:name w:val="header"/>
    <w:basedOn w:val="Normal"/>
    <w:link w:val="HeaderChar"/>
    <w:uiPriority w:val="99"/>
    <w:unhideWhenUsed/>
    <w:rsid w:val="00E80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CD7"/>
  </w:style>
  <w:style w:type="paragraph" w:styleId="Footer">
    <w:name w:val="footer"/>
    <w:basedOn w:val="Normal"/>
    <w:link w:val="FooterChar"/>
    <w:uiPriority w:val="99"/>
    <w:unhideWhenUsed/>
    <w:rsid w:val="00E80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D7"/>
  </w:style>
  <w:style w:type="character" w:styleId="FollowedHyperlink">
    <w:name w:val="FollowedHyperlink"/>
    <w:basedOn w:val="DefaultParagraphFont"/>
    <w:uiPriority w:val="99"/>
    <w:semiHidden/>
    <w:unhideWhenUsed/>
    <w:rsid w:val="0001145B"/>
    <w:rPr>
      <w:color w:val="954F72" w:themeColor="followedHyperlink"/>
      <w:u w:val="single"/>
    </w:rPr>
  </w:style>
  <w:style w:type="paragraph" w:styleId="FootnoteText">
    <w:name w:val="footnote text"/>
    <w:basedOn w:val="Normal"/>
    <w:link w:val="FootnoteTextChar"/>
    <w:uiPriority w:val="99"/>
    <w:semiHidden/>
    <w:unhideWhenUsed/>
    <w:rsid w:val="00BE2EB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BE2EBD"/>
    <w:rPr>
      <w:sz w:val="20"/>
      <w:szCs w:val="20"/>
      <w:lang w:val="en-US"/>
    </w:rPr>
  </w:style>
  <w:style w:type="character" w:styleId="FootnoteReference">
    <w:name w:val="footnote reference"/>
    <w:aliases w:val="Footnote symbol,Times 10 Point,Exposant 3 Point,Fußnotetext,Footnotemark,FR,Footnotemark1,Footnotemark2,FR1,Footnotemark3,FR2,Footnotemark4,FR3,Footnotemark5,FR4,Footnotemark6,Footnotemark7,Footnotemark8,FR5,Footnotemark11,FR11,FR21"/>
    <w:basedOn w:val="DefaultParagraphFont"/>
    <w:unhideWhenUsed/>
    <w:rsid w:val="00BE2EBD"/>
    <w:rPr>
      <w:vertAlign w:val="superscript"/>
    </w:rPr>
  </w:style>
  <w:style w:type="paragraph" w:styleId="ListParagraph">
    <w:name w:val="List Paragraph"/>
    <w:basedOn w:val="Normal"/>
    <w:uiPriority w:val="34"/>
    <w:qFormat/>
    <w:rsid w:val="00BE2EBD"/>
    <w:pPr>
      <w:ind w:left="720"/>
      <w:contextualSpacing/>
    </w:pPr>
    <w:rPr>
      <w:lang w:val="en-US"/>
    </w:rPr>
  </w:style>
  <w:style w:type="character" w:styleId="UnresolvedMention">
    <w:name w:val="Unresolved Mention"/>
    <w:basedOn w:val="DefaultParagraphFont"/>
    <w:uiPriority w:val="99"/>
    <w:semiHidden/>
    <w:unhideWhenUsed/>
    <w:rsid w:val="00DC3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7199">
      <w:bodyDiv w:val="1"/>
      <w:marLeft w:val="0"/>
      <w:marRight w:val="0"/>
      <w:marTop w:val="0"/>
      <w:marBottom w:val="0"/>
      <w:divBdr>
        <w:top w:val="none" w:sz="0" w:space="0" w:color="auto"/>
        <w:left w:val="none" w:sz="0" w:space="0" w:color="auto"/>
        <w:bottom w:val="none" w:sz="0" w:space="0" w:color="auto"/>
        <w:right w:val="none" w:sz="0" w:space="0" w:color="auto"/>
      </w:divBdr>
    </w:div>
    <w:div w:id="528572212">
      <w:bodyDiv w:val="1"/>
      <w:marLeft w:val="0"/>
      <w:marRight w:val="0"/>
      <w:marTop w:val="0"/>
      <w:marBottom w:val="0"/>
      <w:divBdr>
        <w:top w:val="none" w:sz="0" w:space="0" w:color="auto"/>
        <w:left w:val="none" w:sz="0" w:space="0" w:color="auto"/>
        <w:bottom w:val="none" w:sz="0" w:space="0" w:color="auto"/>
        <w:right w:val="none" w:sz="0" w:space="0" w:color="auto"/>
      </w:divBdr>
    </w:div>
    <w:div w:id="794064706">
      <w:bodyDiv w:val="1"/>
      <w:marLeft w:val="0"/>
      <w:marRight w:val="0"/>
      <w:marTop w:val="0"/>
      <w:marBottom w:val="0"/>
      <w:divBdr>
        <w:top w:val="none" w:sz="0" w:space="0" w:color="auto"/>
        <w:left w:val="none" w:sz="0" w:space="0" w:color="auto"/>
        <w:bottom w:val="none" w:sz="0" w:space="0" w:color="auto"/>
        <w:right w:val="none" w:sz="0" w:space="0" w:color="auto"/>
      </w:divBdr>
    </w:div>
    <w:div w:id="831800346">
      <w:bodyDiv w:val="1"/>
      <w:marLeft w:val="0"/>
      <w:marRight w:val="0"/>
      <w:marTop w:val="0"/>
      <w:marBottom w:val="0"/>
      <w:divBdr>
        <w:top w:val="none" w:sz="0" w:space="0" w:color="auto"/>
        <w:left w:val="none" w:sz="0" w:space="0" w:color="auto"/>
        <w:bottom w:val="none" w:sz="0" w:space="0" w:color="auto"/>
        <w:right w:val="none" w:sz="0" w:space="0" w:color="auto"/>
      </w:divBdr>
    </w:div>
    <w:div w:id="1075782245">
      <w:bodyDiv w:val="1"/>
      <w:marLeft w:val="0"/>
      <w:marRight w:val="0"/>
      <w:marTop w:val="0"/>
      <w:marBottom w:val="0"/>
      <w:divBdr>
        <w:top w:val="none" w:sz="0" w:space="0" w:color="auto"/>
        <w:left w:val="none" w:sz="0" w:space="0" w:color="auto"/>
        <w:bottom w:val="none" w:sz="0" w:space="0" w:color="auto"/>
        <w:right w:val="none" w:sz="0" w:space="0" w:color="auto"/>
      </w:divBdr>
    </w:div>
    <w:div w:id="1143889894">
      <w:bodyDiv w:val="1"/>
      <w:marLeft w:val="0"/>
      <w:marRight w:val="0"/>
      <w:marTop w:val="0"/>
      <w:marBottom w:val="0"/>
      <w:divBdr>
        <w:top w:val="none" w:sz="0" w:space="0" w:color="auto"/>
        <w:left w:val="none" w:sz="0" w:space="0" w:color="auto"/>
        <w:bottom w:val="none" w:sz="0" w:space="0" w:color="auto"/>
        <w:right w:val="none" w:sz="0" w:space="0" w:color="auto"/>
      </w:divBdr>
    </w:div>
    <w:div w:id="1318917909">
      <w:bodyDiv w:val="1"/>
      <w:marLeft w:val="0"/>
      <w:marRight w:val="0"/>
      <w:marTop w:val="0"/>
      <w:marBottom w:val="0"/>
      <w:divBdr>
        <w:top w:val="none" w:sz="0" w:space="0" w:color="auto"/>
        <w:left w:val="none" w:sz="0" w:space="0" w:color="auto"/>
        <w:bottom w:val="none" w:sz="0" w:space="0" w:color="auto"/>
        <w:right w:val="none" w:sz="0" w:space="0" w:color="auto"/>
      </w:divBdr>
    </w:div>
    <w:div w:id="1401294429">
      <w:bodyDiv w:val="1"/>
      <w:marLeft w:val="0"/>
      <w:marRight w:val="0"/>
      <w:marTop w:val="0"/>
      <w:marBottom w:val="0"/>
      <w:divBdr>
        <w:top w:val="none" w:sz="0" w:space="0" w:color="auto"/>
        <w:left w:val="none" w:sz="0" w:space="0" w:color="auto"/>
        <w:bottom w:val="none" w:sz="0" w:space="0" w:color="auto"/>
        <w:right w:val="none" w:sz="0" w:space="0" w:color="auto"/>
      </w:divBdr>
    </w:div>
    <w:div w:id="1493182801">
      <w:bodyDiv w:val="1"/>
      <w:marLeft w:val="0"/>
      <w:marRight w:val="0"/>
      <w:marTop w:val="0"/>
      <w:marBottom w:val="0"/>
      <w:divBdr>
        <w:top w:val="none" w:sz="0" w:space="0" w:color="auto"/>
        <w:left w:val="none" w:sz="0" w:space="0" w:color="auto"/>
        <w:bottom w:val="none" w:sz="0" w:space="0" w:color="auto"/>
        <w:right w:val="none" w:sz="0" w:space="0" w:color="auto"/>
      </w:divBdr>
    </w:div>
    <w:div w:id="1672173412">
      <w:bodyDiv w:val="1"/>
      <w:marLeft w:val="0"/>
      <w:marRight w:val="0"/>
      <w:marTop w:val="0"/>
      <w:marBottom w:val="0"/>
      <w:divBdr>
        <w:top w:val="none" w:sz="0" w:space="0" w:color="auto"/>
        <w:left w:val="none" w:sz="0" w:space="0" w:color="auto"/>
        <w:bottom w:val="none" w:sz="0" w:space="0" w:color="auto"/>
        <w:right w:val="none" w:sz="0" w:space="0" w:color="auto"/>
      </w:divBdr>
    </w:div>
    <w:div w:id="1778794676">
      <w:bodyDiv w:val="1"/>
      <w:marLeft w:val="0"/>
      <w:marRight w:val="0"/>
      <w:marTop w:val="0"/>
      <w:marBottom w:val="0"/>
      <w:divBdr>
        <w:top w:val="none" w:sz="0" w:space="0" w:color="auto"/>
        <w:left w:val="none" w:sz="0" w:space="0" w:color="auto"/>
        <w:bottom w:val="none" w:sz="0" w:space="0" w:color="auto"/>
        <w:right w:val="none" w:sz="0" w:space="0" w:color="auto"/>
      </w:divBdr>
    </w:div>
    <w:div w:id="194865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hcch.net/docs/5a56242c-ff06-42c4-8cf0-00e48da47ef0.pdf" TargetMode="External"/><Relationship Id="rId13" Type="http://schemas.openxmlformats.org/officeDocument/2006/relationships/hyperlink" Target="https://hudoc.echr.coe.int/eng?i=001-59604" TargetMode="External"/><Relationship Id="rId18" Type="http://schemas.openxmlformats.org/officeDocument/2006/relationships/hyperlink" Target="https://hudoc.echr.coe.int/eng?i=001-19888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udoc.echr.coe.int/?i=001-181821" TargetMode="External"/><Relationship Id="rId7" Type="http://schemas.openxmlformats.org/officeDocument/2006/relationships/endnotes" Target="endnotes.xml"/><Relationship Id="rId12" Type="http://schemas.openxmlformats.org/officeDocument/2006/relationships/hyperlink" Target="https://hudoc.echr.coe.int/eng?i=001-57774" TargetMode="External"/><Relationship Id="rId17" Type="http://schemas.openxmlformats.org/officeDocument/2006/relationships/hyperlink" Target="https://hudoc.echr.coe.int/eng?i=001-16334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udoc.echr.coe.int/fre?i=001-166680" TargetMode="External"/><Relationship Id="rId20" Type="http://schemas.openxmlformats.org/officeDocument/2006/relationships/hyperlink" Target="https://hudoc.echr.coe.int/eng?i=001-1988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163340" TargetMode="External"/><Relationship Id="rId24" Type="http://schemas.openxmlformats.org/officeDocument/2006/relationships/hyperlink" Target="https://www.hcch.net/en/states/authorities/details3/?aid=246" TargetMode="External"/><Relationship Id="rId5" Type="http://schemas.openxmlformats.org/officeDocument/2006/relationships/webSettings" Target="webSettings.xml"/><Relationship Id="rId15" Type="http://schemas.openxmlformats.org/officeDocument/2006/relationships/hyperlink" Target="https://hudoc.echr.coe.int/eng?i=001-163340" TargetMode="External"/><Relationship Id="rId23" Type="http://schemas.openxmlformats.org/officeDocument/2006/relationships/hyperlink" Target="https://hudoc.echr.coe.int/eng?i=001-221439" TargetMode="External"/><Relationship Id="rId10" Type="http://schemas.openxmlformats.org/officeDocument/2006/relationships/hyperlink" Target="https://assets.hcch.net/docs/5a56242c-ff06-42c4-8cf0-00e48da47ef0.pdf" TargetMode="External"/><Relationship Id="rId19" Type="http://schemas.openxmlformats.org/officeDocument/2006/relationships/hyperlink" Target="https://hudoc.echr.coe.int/eng?i=001-141763" TargetMode="External"/><Relationship Id="rId4" Type="http://schemas.openxmlformats.org/officeDocument/2006/relationships/settings" Target="settings.xml"/><Relationship Id="rId9" Type="http://schemas.openxmlformats.org/officeDocument/2006/relationships/hyperlink" Target="https://assets.hcch.net/docs/5a56242c-ff06-42c4-8cf0-00e48da47ef0.pdf" TargetMode="External"/><Relationship Id="rId14" Type="http://schemas.openxmlformats.org/officeDocument/2006/relationships/hyperlink" Target="https://hudoc.echr.coe.int/fre?i=001-163114" TargetMode="External"/><Relationship Id="rId22" Type="http://schemas.openxmlformats.org/officeDocument/2006/relationships/hyperlink" Target="https://hudoc.echr.coe.int/eng?i=001-13899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A0A4-A9AD-4E6E-9D86-E2C40F0F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27591</Words>
  <Characters>15728</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2025-11-08T09:09:00Z</dcterms:created>
  <dcterms:modified xsi:type="dcterms:W3CDTF">2025-11-08T09:16:00Z</dcterms:modified>
</cp:coreProperties>
</file>