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7339" w14:textId="77777777" w:rsidR="00C111C3" w:rsidRDefault="00C111C3" w:rsidP="00C111C3">
      <w:pPr>
        <w:pStyle w:val="Default"/>
        <w:spacing w:line="276" w:lineRule="auto"/>
        <w:jc w:val="both"/>
        <w:rPr>
          <w:b/>
          <w:bCs/>
          <w:color w:val="auto"/>
        </w:rPr>
      </w:pPr>
      <w:r>
        <w:rPr>
          <w:b/>
          <w:bCs/>
          <w:color w:val="auto"/>
        </w:rPr>
        <w:t xml:space="preserve">Komercreģistrā reģistrētas aizlieguma atzīmes ietekme uz dalībnieku reģistra izmaiņu reģistrēšanu </w:t>
      </w:r>
    </w:p>
    <w:p w14:paraId="10BD3A03" w14:textId="77777777" w:rsidR="00C111C3" w:rsidRDefault="00C111C3" w:rsidP="00C111C3">
      <w:pPr>
        <w:pStyle w:val="Default"/>
        <w:spacing w:line="276" w:lineRule="auto"/>
        <w:jc w:val="both"/>
      </w:pPr>
      <w:r>
        <w:t>Likuma „Par Latvijas Republikas Uzņēmumu reģistru” 14.panta pirmās daļas 6.punkts interpretējams tādējādi, ka dalībnieka izslēgšanas prasībā piemērotais prasības nodrošinājuma līdzeklis, ar kuru atbildētājam aizliegts atsavināt un ieķīlāt savas kapitāla daļas, prasības apmierināšanas gadījumā nav uzskatāms par tiesisku šķērsli pievienot sabiedrības reģistrācijas lietai kapitālsabiedrības dalībnieku reģistra nodalījumu, kurā atspoguļota kapitāla daļu pāreja, pamatojoties uz spēkā stājušos tiesas spriedumu par atbildētāja izslēgšanu no sabiedrības un viņa daļu pāreju sabiedrībai.</w:t>
      </w:r>
    </w:p>
    <w:p w14:paraId="466740F5" w14:textId="3B6E7639" w:rsidR="00C111C3" w:rsidRDefault="00C111C3" w:rsidP="00C111C3">
      <w:pPr>
        <w:pStyle w:val="Default"/>
        <w:spacing w:line="276" w:lineRule="auto"/>
        <w:jc w:val="both"/>
      </w:pPr>
      <w:r>
        <w:t>Sabiedrībai, kuras labā noteikts prasības nodrošināšanas līdzeklis, ir tiesības reģistrēt izmaiņas dalībnieku reģistrā, pamatojoties uz spēkā stājušos spriedumu par dalībnieka izslēgšanu no sabiedrības. Līdz ar minēto izmaiņu reģistrāciju iepriekš reģistrētā aizlieguma atzīme zaudē nozīmi</w:t>
      </w:r>
      <w:r w:rsidR="00C625B5">
        <w:t xml:space="preserve"> (JUDIKATŪRAS MAIŅA)</w:t>
      </w:r>
      <w:r>
        <w:t>.</w:t>
      </w:r>
    </w:p>
    <w:p w14:paraId="3BBFBA54" w14:textId="0C23B1AE" w:rsidR="007716C6" w:rsidRPr="00C625B5" w:rsidRDefault="007716C6" w:rsidP="00C111C3">
      <w:pPr>
        <w:pStyle w:val="BodyText2"/>
        <w:spacing w:after="0" w:line="276" w:lineRule="auto"/>
        <w:rPr>
          <w:lang w:val="lv-LV"/>
        </w:rPr>
      </w:pPr>
    </w:p>
    <w:p w14:paraId="455BFC36" w14:textId="53B239F9" w:rsidR="007716C6" w:rsidRPr="001B05C8" w:rsidRDefault="007716C6" w:rsidP="00C111C3">
      <w:pPr>
        <w:spacing w:line="276" w:lineRule="auto"/>
        <w:jc w:val="center"/>
        <w:rPr>
          <w:b/>
        </w:rPr>
      </w:pPr>
      <w:r w:rsidRPr="001B05C8">
        <w:rPr>
          <w:b/>
        </w:rPr>
        <w:t>Latvijas Republikas Senāt</w:t>
      </w:r>
      <w:r w:rsidR="00C111C3">
        <w:rPr>
          <w:b/>
        </w:rPr>
        <w:t>a</w:t>
      </w:r>
      <w:r w:rsidR="00C111C3">
        <w:rPr>
          <w:b/>
        </w:rPr>
        <w:br/>
        <w:t>Administratīvo lietu departamenta</w:t>
      </w:r>
      <w:r w:rsidR="00C111C3">
        <w:rPr>
          <w:b/>
        </w:rPr>
        <w:br/>
        <w:t>2025.gada 27.oktobra</w:t>
      </w:r>
    </w:p>
    <w:p w14:paraId="74E77955" w14:textId="77777777" w:rsidR="007716C6" w:rsidRDefault="007716C6" w:rsidP="00C111C3">
      <w:pPr>
        <w:spacing w:line="276" w:lineRule="auto"/>
        <w:jc w:val="center"/>
        <w:rPr>
          <w:b/>
        </w:rPr>
      </w:pPr>
      <w:r>
        <w:rPr>
          <w:b/>
        </w:rPr>
        <w:t>SPRIEDUMS</w:t>
      </w:r>
    </w:p>
    <w:p w14:paraId="18440C9A" w14:textId="649BCC12" w:rsidR="00C111C3" w:rsidRPr="00C111C3" w:rsidRDefault="00C111C3" w:rsidP="00C111C3">
      <w:pPr>
        <w:spacing w:line="276" w:lineRule="auto"/>
        <w:jc w:val="center"/>
        <w:rPr>
          <w:b/>
          <w:bCs/>
        </w:rPr>
      </w:pPr>
      <w:r w:rsidRPr="00C111C3">
        <w:rPr>
          <w:b/>
          <w:bCs/>
        </w:rPr>
        <w:t>Lieta Nr. A420263319</w:t>
      </w:r>
      <w:r w:rsidRPr="00C111C3">
        <w:rPr>
          <w:b/>
          <w:bCs/>
          <w:lang w:eastAsia="lv-LV"/>
        </w:rPr>
        <w:t xml:space="preserve">, </w:t>
      </w:r>
      <w:r w:rsidRPr="00C111C3">
        <w:rPr>
          <w:b/>
          <w:bCs/>
        </w:rPr>
        <w:t>SKA-50/2025</w:t>
      </w:r>
    </w:p>
    <w:p w14:paraId="25F3DBF3" w14:textId="095F994F" w:rsidR="00C111C3" w:rsidRPr="00C111C3" w:rsidRDefault="00C111C3" w:rsidP="00C111C3">
      <w:pPr>
        <w:spacing w:line="276" w:lineRule="auto"/>
        <w:jc w:val="center"/>
        <w:rPr>
          <w:b/>
        </w:rPr>
      </w:pPr>
      <w:r w:rsidRPr="00C111C3">
        <w:rPr>
          <w:rFonts w:eastAsiaTheme="minorHAnsi"/>
          <w:color w:val="000000"/>
          <w:lang w:eastAsia="en-US"/>
          <w14:ligatures w14:val="standardContextual"/>
        </w:rPr>
        <w:t xml:space="preserve"> </w:t>
      </w:r>
      <w:hyperlink r:id="rId8" w:history="1">
        <w:r w:rsidRPr="00C111C3">
          <w:rPr>
            <w:rStyle w:val="Hyperlink"/>
            <w:rFonts w:eastAsiaTheme="minorHAnsi"/>
            <w:lang w:eastAsia="en-US"/>
            <w14:ligatures w14:val="standardContextual"/>
          </w:rPr>
          <w:t>ECLI:LV:AT:2025:1027.A420263319.20.S</w:t>
        </w:r>
      </w:hyperlink>
    </w:p>
    <w:p w14:paraId="395FAED4" w14:textId="77777777" w:rsidR="007716C6" w:rsidRDefault="007716C6" w:rsidP="00C111C3">
      <w:pPr>
        <w:spacing w:line="276" w:lineRule="auto"/>
        <w:ind w:firstLine="567"/>
        <w:jc w:val="both"/>
      </w:pPr>
    </w:p>
    <w:p w14:paraId="26C2BBAE" w14:textId="7D4F7416" w:rsidR="007716C6" w:rsidRPr="00FF1528" w:rsidRDefault="007716C6" w:rsidP="00C111C3">
      <w:pPr>
        <w:spacing w:line="276" w:lineRule="auto"/>
        <w:ind w:firstLine="720"/>
        <w:jc w:val="both"/>
      </w:pPr>
      <w:r w:rsidRPr="00FF1528">
        <w:t xml:space="preserve">Senāts </w:t>
      </w:r>
      <w:r w:rsidR="00A57141" w:rsidRPr="00A57141">
        <w:t>Administratīvo lietu departamenta kopsēdē šādā sastāvā: senator</w:t>
      </w:r>
      <w:r w:rsidR="001E0468">
        <w:t>s</w:t>
      </w:r>
      <w:r w:rsidR="00A57141" w:rsidRPr="00A57141">
        <w:t xml:space="preserve"> referent</w:t>
      </w:r>
      <w:r w:rsidR="001E0468">
        <w:t>s</w:t>
      </w:r>
      <w:r w:rsidR="00A57141" w:rsidRPr="00A57141">
        <w:t xml:space="preserve"> </w:t>
      </w:r>
      <w:r w:rsidR="001E0468" w:rsidRPr="00040353">
        <w:t>Ermīns Darapoļskis, senatori Dzintra Amerika, Vēsma Kakste, Laura Konošonoka, Anita</w:t>
      </w:r>
      <w:r w:rsidR="001E0468" w:rsidRPr="00A57141">
        <w:t xml:space="preserve"> Kovaļevska, </w:t>
      </w:r>
      <w:r w:rsidR="00A57141" w:rsidRPr="00A57141">
        <w:t>Diāna Makarova, Indra Meldere, Jānis Pleps, Līvija Slica, Ieva Višķere un Rudīte Vīduša</w:t>
      </w:r>
    </w:p>
    <w:p w14:paraId="17A6D2B0" w14:textId="77777777" w:rsidR="007716C6" w:rsidRPr="0055273F" w:rsidRDefault="007716C6" w:rsidP="00C111C3">
      <w:pPr>
        <w:spacing w:line="276" w:lineRule="auto"/>
        <w:ind w:firstLine="720"/>
        <w:jc w:val="both"/>
      </w:pPr>
    </w:p>
    <w:p w14:paraId="75ED608F" w14:textId="078141A9" w:rsidR="007716C6" w:rsidRDefault="00CD3C3A" w:rsidP="00C111C3">
      <w:pPr>
        <w:spacing w:line="276" w:lineRule="auto"/>
        <w:ind w:firstLine="720"/>
        <w:jc w:val="both"/>
      </w:pPr>
      <w:bookmarkStart w:id="0" w:name="_Hlk92890879"/>
      <w:r w:rsidRPr="00CD3C3A">
        <w:t xml:space="preserve">rakstveida procesā izskatīja administratīvo lietu, kas ierosināta, pamatojoties uz </w:t>
      </w:r>
      <w:r w:rsidR="00AB6BEA">
        <w:t xml:space="preserve">sabiedrības ar ierobežotu atbildību </w:t>
      </w:r>
      <w:r w:rsidR="009E1EAE">
        <w:t>„</w:t>
      </w:r>
      <w:r w:rsidRPr="00CD3C3A">
        <w:t>LATVIJAS PROJEKTĒŠANAS SABIEDRĪBA” pieteikumu par labvēlīga administratīvā akta izdošanu, ar kuru komercreģistrā tiktu reģistrētas 2019.gada 22.maij</w:t>
      </w:r>
      <w:r w:rsidR="00AB6BEA">
        <w:t>ā</w:t>
      </w:r>
      <w:r w:rsidRPr="00CD3C3A">
        <w:t xml:space="preserve"> </w:t>
      </w:r>
      <w:r w:rsidR="00AB6BEA">
        <w:t>p</w:t>
      </w:r>
      <w:r w:rsidRPr="00CD3C3A">
        <w:t xml:space="preserve">ieteiktās izmaiņas dalībnieku reģistrā, sakarā ar </w:t>
      </w:r>
      <w:r w:rsidR="00AB6BEA">
        <w:t xml:space="preserve">sabiedrības ar ierobežotu atbildību </w:t>
      </w:r>
      <w:r w:rsidR="009E1EAE">
        <w:t>„</w:t>
      </w:r>
      <w:r w:rsidR="00AB6BEA" w:rsidRPr="00CD3C3A">
        <w:t xml:space="preserve">LATVIJAS PROJEKTĒŠANAS SABIEDRĪBA” </w:t>
      </w:r>
      <w:r w:rsidRPr="00CD3C3A">
        <w:t>kasācijas sūdzību par Administratīvās apgabaltiesas 202</w:t>
      </w:r>
      <w:r>
        <w:t>3</w:t>
      </w:r>
      <w:r w:rsidRPr="00CD3C3A">
        <w:t>.gada 2.</w:t>
      </w:r>
      <w:r>
        <w:t>marta</w:t>
      </w:r>
      <w:r w:rsidRPr="00CD3C3A">
        <w:t xml:space="preserve"> spriedumu</w:t>
      </w:r>
      <w:r w:rsidR="007716C6">
        <w:t>.</w:t>
      </w:r>
    </w:p>
    <w:bookmarkEnd w:id="0"/>
    <w:p w14:paraId="2E9E37C0" w14:textId="77777777" w:rsidR="007716C6" w:rsidRPr="0082381C" w:rsidRDefault="007716C6" w:rsidP="00C111C3">
      <w:pPr>
        <w:spacing w:line="276" w:lineRule="auto"/>
        <w:ind w:firstLine="567"/>
        <w:jc w:val="both"/>
      </w:pPr>
    </w:p>
    <w:p w14:paraId="06CD8683" w14:textId="77777777" w:rsidR="007716C6" w:rsidRPr="0082381C" w:rsidRDefault="007716C6" w:rsidP="00C111C3">
      <w:pPr>
        <w:pStyle w:val="ATpamattesksts"/>
        <w:ind w:firstLine="0"/>
        <w:jc w:val="center"/>
      </w:pPr>
      <w:r w:rsidRPr="0043387D">
        <w:rPr>
          <w:b/>
        </w:rPr>
        <w:t>Aprakstošā</w:t>
      </w:r>
      <w:r w:rsidRPr="0082381C">
        <w:t xml:space="preserve"> </w:t>
      </w:r>
      <w:r w:rsidRPr="0077509E">
        <w:rPr>
          <w:b/>
        </w:rPr>
        <w:t>daļa</w:t>
      </w:r>
    </w:p>
    <w:p w14:paraId="15AE0731" w14:textId="77777777" w:rsidR="007716C6" w:rsidRPr="0082381C" w:rsidRDefault="007716C6" w:rsidP="00C111C3">
      <w:pPr>
        <w:spacing w:line="276" w:lineRule="auto"/>
        <w:ind w:firstLine="567"/>
        <w:jc w:val="both"/>
      </w:pPr>
    </w:p>
    <w:p w14:paraId="057F9411" w14:textId="5A575DF2" w:rsidR="00985010" w:rsidRPr="00204A62" w:rsidRDefault="007716C6" w:rsidP="00C111C3">
      <w:pPr>
        <w:spacing w:line="276" w:lineRule="auto"/>
        <w:ind w:firstLine="709"/>
        <w:jc w:val="both"/>
      </w:pPr>
      <w:r w:rsidRPr="0082381C">
        <w:t>[1]</w:t>
      </w:r>
      <w:r>
        <w:t> </w:t>
      </w:r>
      <w:r w:rsidR="00ED1CCD">
        <w:t xml:space="preserve">Pieteicēja </w:t>
      </w:r>
      <w:r w:rsidR="00AB6BEA">
        <w:t xml:space="preserve">sabiedrība ar ierobežotu atbildību </w:t>
      </w:r>
      <w:r w:rsidR="009E1EAE">
        <w:t>„</w:t>
      </w:r>
      <w:r w:rsidR="00AB6BEA" w:rsidRPr="00CD3C3A">
        <w:t xml:space="preserve">LATVIJAS PROJEKTĒŠANAS SABIEDRĪBA” </w:t>
      </w:r>
      <w:r w:rsidR="00370600">
        <w:t xml:space="preserve">(turpmāk arī – sabiedrība) </w:t>
      </w:r>
      <w:r w:rsidR="001E7F3F" w:rsidRPr="001E7F3F">
        <w:t>2019.gada 22.maij</w:t>
      </w:r>
      <w:r w:rsidR="00ED1CCD">
        <w:t xml:space="preserve">ā </w:t>
      </w:r>
      <w:r w:rsidR="001E7F3F" w:rsidRPr="001E7F3F">
        <w:t xml:space="preserve">Uzņēmumu reģistrā </w:t>
      </w:r>
      <w:r w:rsidR="00AB6BEA">
        <w:t>iesniedza</w:t>
      </w:r>
      <w:r w:rsidR="00AB6BEA" w:rsidRPr="001E7F3F">
        <w:t xml:space="preserve"> </w:t>
      </w:r>
      <w:r w:rsidR="001E7F3F" w:rsidRPr="001E7F3F">
        <w:t>pieteikum</w:t>
      </w:r>
      <w:r w:rsidR="00F264B7">
        <w:t>u</w:t>
      </w:r>
      <w:r w:rsidR="001E7F3F" w:rsidRPr="001E7F3F">
        <w:t xml:space="preserve"> izmaiņu tās dalībnieku reģistrā reģistrācijai komercreģistrā</w:t>
      </w:r>
      <w:r w:rsidR="00F264B7">
        <w:t xml:space="preserve">, </w:t>
      </w:r>
      <w:r w:rsidR="00F264B7" w:rsidRPr="00204A62">
        <w:t>pievienojot</w:t>
      </w:r>
      <w:r w:rsidR="001E7F3F" w:rsidRPr="00204A62">
        <w:t xml:space="preserve"> 2019.gada 22.maija dalībnieku reģistra nodalījum</w:t>
      </w:r>
      <w:r w:rsidR="00F264B7" w:rsidRPr="00204A62">
        <w:t>u</w:t>
      </w:r>
      <w:r w:rsidR="001E7F3F" w:rsidRPr="00204A62">
        <w:t xml:space="preserve"> Nr. 4</w:t>
      </w:r>
      <w:r w:rsidR="006F39F3" w:rsidRPr="00204A62">
        <w:t xml:space="preserve"> (turpmāk – dalībnieku reģistra nodalījums)</w:t>
      </w:r>
      <w:r w:rsidR="00197010" w:rsidRPr="00204A62">
        <w:t xml:space="preserve">. </w:t>
      </w:r>
      <w:r w:rsidR="00904239" w:rsidRPr="00204A62">
        <w:t>Pieteicēja norādīj</w:t>
      </w:r>
      <w:r w:rsidR="000F6B1B" w:rsidRPr="00204A62">
        <w:t>a</w:t>
      </w:r>
      <w:r w:rsidR="001E7F3F" w:rsidRPr="00204A62">
        <w:t xml:space="preserve">, ka </w:t>
      </w:r>
      <w:r w:rsidR="007968AD" w:rsidRPr="00204A62">
        <w:t xml:space="preserve">trešā persona </w:t>
      </w:r>
      <w:r w:rsidR="001E7F3F" w:rsidRPr="00204A62">
        <w:t>SIA</w:t>
      </w:r>
      <w:r w:rsidR="00523745" w:rsidRPr="00204A62">
        <w:t> </w:t>
      </w:r>
      <w:r w:rsidR="001E7F3F" w:rsidRPr="00204A62">
        <w:t>„Rīgas Arhitektūras Centrs”, pamatojoties uz Kurzemes apgabaltiesas 2018.gada 27.septembra spriedumu</w:t>
      </w:r>
      <w:r w:rsidR="00AB556C" w:rsidRPr="00204A62">
        <w:t xml:space="preserve"> civillietā Nr. C30641016</w:t>
      </w:r>
      <w:r w:rsidR="0046161C" w:rsidRPr="00204A62">
        <w:t xml:space="preserve"> (turpmāk – spriedums civillietā)</w:t>
      </w:r>
      <w:r w:rsidR="001E7F3F" w:rsidRPr="00204A62">
        <w:t xml:space="preserve">, izslēgta no </w:t>
      </w:r>
      <w:r w:rsidR="008D22F3" w:rsidRPr="00204A62">
        <w:t>sabiedrības</w:t>
      </w:r>
      <w:r w:rsidR="001E7F3F" w:rsidRPr="00204A62">
        <w:t xml:space="preserve"> dalībnieku sastāva un atbilstoši Komerclikuma 195.panta trešajai daļai </w:t>
      </w:r>
      <w:r w:rsidR="006F5463" w:rsidRPr="00204A62">
        <w:t>trešajai personai</w:t>
      </w:r>
      <w:r w:rsidR="008D22F3" w:rsidRPr="00204A62">
        <w:t xml:space="preserve"> </w:t>
      </w:r>
      <w:r w:rsidR="001E7F3F" w:rsidRPr="00204A62">
        <w:t xml:space="preserve">piederošās </w:t>
      </w:r>
      <w:r w:rsidR="00920EA9" w:rsidRPr="00204A62">
        <w:t xml:space="preserve">sabiedrības </w:t>
      </w:r>
      <w:r w:rsidR="001E7F3F" w:rsidRPr="00204A62">
        <w:t>kapitāl</w:t>
      </w:r>
      <w:r w:rsidR="00295736">
        <w:t xml:space="preserve">a </w:t>
      </w:r>
      <w:r w:rsidR="001E7F3F" w:rsidRPr="00204A62">
        <w:t xml:space="preserve">daļas ieguvusi pati pieteicēja. </w:t>
      </w:r>
    </w:p>
    <w:p w14:paraId="50568DBC" w14:textId="3B2425CE" w:rsidR="00D85FE8" w:rsidRPr="00204A62" w:rsidRDefault="001E7F3F" w:rsidP="00C111C3">
      <w:pPr>
        <w:spacing w:line="276" w:lineRule="auto"/>
        <w:ind w:firstLine="709"/>
        <w:jc w:val="both"/>
      </w:pPr>
      <w:r w:rsidRPr="00204A62">
        <w:t>Uzņēmumu reģistr</w:t>
      </w:r>
      <w:r w:rsidR="00985010" w:rsidRPr="00204A62">
        <w:t xml:space="preserve">s </w:t>
      </w:r>
      <w:r w:rsidR="0001774F" w:rsidRPr="00204A62">
        <w:t xml:space="preserve">ar 2019.gada 23.augusta lēmumu Nr. 1-5n/197 (turpmāk – pārsūdzētais lēmums) </w:t>
      </w:r>
      <w:r w:rsidRPr="00204A62">
        <w:t>atlika dalībnieku reģistra nodalījuma pievienošan</w:t>
      </w:r>
      <w:r w:rsidR="00A85031" w:rsidRPr="00204A62">
        <w:t>u</w:t>
      </w:r>
      <w:r w:rsidRPr="00204A62">
        <w:t xml:space="preserve"> pieteicējas </w:t>
      </w:r>
      <w:r w:rsidRPr="00204A62">
        <w:lastRenderedPageBreak/>
        <w:t xml:space="preserve">reģistrācijas lietai, jo komercreģistrā 2018.gada 3.janvārī reģistrēts nodrošinājuma līdzeklis – aizliegums atsavināt un ieķīlāt </w:t>
      </w:r>
      <w:r w:rsidR="00D0226A" w:rsidRPr="00204A62">
        <w:t>trešajai personai</w:t>
      </w:r>
      <w:r w:rsidRPr="00204A62">
        <w:t xml:space="preserve"> piederošās </w:t>
      </w:r>
      <w:r w:rsidR="00920EA9" w:rsidRPr="00204A62">
        <w:t xml:space="preserve">sabiedrības </w:t>
      </w:r>
      <w:r w:rsidR="00A60CF8" w:rsidRPr="00204A62">
        <w:t>kapitāla daļas</w:t>
      </w:r>
      <w:r w:rsidRPr="00204A62">
        <w:t>. Nodrošinājuma līdzeklis reģistrēts</w:t>
      </w:r>
      <w:r w:rsidR="00D0226A" w:rsidRPr="00204A62">
        <w:t>, izpildot</w:t>
      </w:r>
      <w:r w:rsidRPr="00204A62">
        <w:t xml:space="preserve"> Ventspils tiesas 2017.gada 22.decembra lēmum</w:t>
      </w:r>
      <w:r w:rsidR="00D0226A" w:rsidRPr="00204A62">
        <w:t>u</w:t>
      </w:r>
      <w:r w:rsidRPr="00204A62">
        <w:t xml:space="preserve"> </w:t>
      </w:r>
      <w:r w:rsidR="00AB556C" w:rsidRPr="00204A62">
        <w:t>civil</w:t>
      </w:r>
      <w:r w:rsidRPr="00204A62">
        <w:t>lietā Nr.</w:t>
      </w:r>
      <w:r w:rsidR="00125489" w:rsidRPr="00204A62">
        <w:t> </w:t>
      </w:r>
      <w:r w:rsidRPr="00204A62">
        <w:t>C30641016</w:t>
      </w:r>
      <w:r w:rsidR="00AD5F9C">
        <w:t>, lai nodrošinātu</w:t>
      </w:r>
      <w:r w:rsidR="00D0226A" w:rsidRPr="00204A62">
        <w:t xml:space="preserve"> pieteicējas celt</w:t>
      </w:r>
      <w:r w:rsidR="00AD5F9C">
        <w:t>o</w:t>
      </w:r>
      <w:r w:rsidR="00D0226A" w:rsidRPr="00204A62">
        <w:t xml:space="preserve"> prasīb</w:t>
      </w:r>
      <w:r w:rsidR="00AD5F9C">
        <w:t>u</w:t>
      </w:r>
      <w:r w:rsidR="00D0226A" w:rsidRPr="00204A62">
        <w:t xml:space="preserve"> pret trešo personu </w:t>
      </w:r>
      <w:r w:rsidR="00AB556C" w:rsidRPr="00204A62">
        <w:t xml:space="preserve">par </w:t>
      </w:r>
      <w:r w:rsidR="008D22F3" w:rsidRPr="00204A62">
        <w:t>tās</w:t>
      </w:r>
      <w:r w:rsidR="00AB556C" w:rsidRPr="00204A62">
        <w:t xml:space="preserve"> izslēgšanu no sabiedrības </w:t>
      </w:r>
      <w:r w:rsidR="00A67972" w:rsidRPr="00204A62">
        <w:t>(turpmāk – lēmums par prasības nodrošināšanu)</w:t>
      </w:r>
      <w:r w:rsidR="00D0226A" w:rsidRPr="00204A62">
        <w:t>.</w:t>
      </w:r>
    </w:p>
    <w:p w14:paraId="3FF94997" w14:textId="77777777" w:rsidR="00125489" w:rsidRDefault="00125489" w:rsidP="00C111C3">
      <w:pPr>
        <w:spacing w:line="276" w:lineRule="auto"/>
        <w:ind w:firstLine="709"/>
        <w:jc w:val="both"/>
      </w:pPr>
    </w:p>
    <w:p w14:paraId="04640552" w14:textId="686B3ABC" w:rsidR="004B2ED9" w:rsidRDefault="00125489" w:rsidP="00C111C3">
      <w:pPr>
        <w:spacing w:line="276" w:lineRule="auto"/>
        <w:ind w:firstLine="709"/>
        <w:jc w:val="both"/>
      </w:pPr>
      <w:r>
        <w:t>[2</w:t>
      </w:r>
      <w:r w:rsidR="00E423C7">
        <w:t>] </w:t>
      </w:r>
      <w:r w:rsidR="00CC064E" w:rsidRPr="00CC064E">
        <w:t xml:space="preserve">Pieteicēja </w:t>
      </w:r>
      <w:r w:rsidR="005D6B30">
        <w:t>vērsās</w:t>
      </w:r>
      <w:r w:rsidR="00CC064E" w:rsidRPr="00CC064E">
        <w:t xml:space="preserve"> tiesā</w:t>
      </w:r>
      <w:r w:rsidR="00E1574F">
        <w:t xml:space="preserve"> </w:t>
      </w:r>
      <w:r w:rsidR="00920EA9">
        <w:t xml:space="preserve">ar pieteikumu </w:t>
      </w:r>
      <w:r w:rsidR="00E1574F">
        <w:t>par labvēlīga administratīvā akta izdošanu</w:t>
      </w:r>
      <w:r w:rsidR="00CC064E">
        <w:t xml:space="preserve">, </w:t>
      </w:r>
      <w:r w:rsidR="00433FE5">
        <w:t xml:space="preserve">argumentējot, ka </w:t>
      </w:r>
      <w:r w:rsidR="004B2ED9">
        <w:t xml:space="preserve">Uzņēmumu reģistra pieeja ir pretēja tiesas lēmuma par prasības nodrošināšanu mērķim. Civilprocesa likums paredz, ka </w:t>
      </w:r>
      <w:r w:rsidR="00433FE5">
        <w:t>p</w:t>
      </w:r>
      <w:r w:rsidR="00CC064E" w:rsidRPr="00CC064E">
        <w:t xml:space="preserve">rasības nodrošinājums </w:t>
      </w:r>
      <w:r w:rsidR="004B2ED9">
        <w:t>tiek</w:t>
      </w:r>
      <w:r w:rsidR="00CC064E" w:rsidRPr="00CC064E">
        <w:t xml:space="preserve"> piemērots, lai nodrošinātu sprieduma izpildi.</w:t>
      </w:r>
      <w:r w:rsidR="004B2ED9">
        <w:t xml:space="preserve"> A</w:t>
      </w:r>
      <w:r w:rsidR="00CC064E" w:rsidRPr="00CC064E">
        <w:t>pmierinot prasību, prasības nodrošinājuma līdzeklis tiek saglabāts līdz sprieduma izpildei</w:t>
      </w:r>
      <w:r w:rsidR="00E423C7">
        <w:t>,</w:t>
      </w:r>
      <w:r w:rsidR="00E1574F">
        <w:t xml:space="preserve"> un </w:t>
      </w:r>
      <w:r w:rsidR="00920EA9">
        <w:t xml:space="preserve">konkrētajā lietā </w:t>
      </w:r>
      <w:r w:rsidR="00E1574F">
        <w:t xml:space="preserve">tas </w:t>
      </w:r>
      <w:r w:rsidR="008005B7">
        <w:t xml:space="preserve">nevar būt </w:t>
      </w:r>
      <w:r w:rsidR="00E1574F">
        <w:t>šķērslis pieteikto izmaiņu reģistrācijai</w:t>
      </w:r>
      <w:r w:rsidR="00E423C7">
        <w:t>.</w:t>
      </w:r>
    </w:p>
    <w:p w14:paraId="4F645D33" w14:textId="77777777" w:rsidR="004B2ED9" w:rsidRDefault="004B2ED9" w:rsidP="00C111C3">
      <w:pPr>
        <w:spacing w:line="276" w:lineRule="auto"/>
        <w:ind w:firstLine="709"/>
        <w:jc w:val="both"/>
      </w:pPr>
    </w:p>
    <w:p w14:paraId="3461F69D" w14:textId="02E7E385" w:rsidR="00896441" w:rsidRDefault="00E526FD" w:rsidP="00C111C3">
      <w:pPr>
        <w:spacing w:line="276" w:lineRule="auto"/>
        <w:ind w:firstLine="709"/>
        <w:jc w:val="both"/>
      </w:pPr>
      <w:r>
        <w:t>[3</w:t>
      </w:r>
      <w:r w:rsidR="00E423C7">
        <w:t>] </w:t>
      </w:r>
      <w:r w:rsidR="00E1574F">
        <w:t xml:space="preserve">Ar </w:t>
      </w:r>
      <w:r w:rsidR="00415E44" w:rsidRPr="00415E44">
        <w:t>Administratīvā</w:t>
      </w:r>
      <w:r w:rsidR="00E1574F">
        <w:t>s</w:t>
      </w:r>
      <w:r w:rsidR="00415E44" w:rsidRPr="00415E44">
        <w:t xml:space="preserve"> apgabaltiesa</w:t>
      </w:r>
      <w:r w:rsidR="00E1574F">
        <w:t>s 2023.gada 2.marta spriedumu</w:t>
      </w:r>
      <w:r w:rsidR="00415E44" w:rsidRPr="00415E44">
        <w:t xml:space="preserve"> pieteicējas pieteikum</w:t>
      </w:r>
      <w:r w:rsidR="00E1574F">
        <w:t>s noraidīts.</w:t>
      </w:r>
      <w:r w:rsidR="0019754B">
        <w:t xml:space="preserve"> Apgabaltiesa spriedumā atsaucās uz</w:t>
      </w:r>
      <w:r w:rsidR="00CA06DD">
        <w:t xml:space="preserve"> Senāta </w:t>
      </w:r>
      <w:r w:rsidR="004D72F9">
        <w:t xml:space="preserve">šajā lietā </w:t>
      </w:r>
      <w:r w:rsidR="009D3C3C">
        <w:t xml:space="preserve">sniegto </w:t>
      </w:r>
      <w:r w:rsidR="00F27F78" w:rsidRPr="00F27F78">
        <w:t>likuma „Par Latvijas Republikas Uzņēmumu reģistru” 14.panta pirmās daļas 6.punkta un 4.</w:t>
      </w:r>
      <w:r w:rsidR="00F27F78" w:rsidRPr="00840441">
        <w:rPr>
          <w:vertAlign w:val="superscript"/>
        </w:rPr>
        <w:t>4</w:t>
      </w:r>
      <w:r w:rsidR="00F27F78" w:rsidRPr="00F27F78">
        <w:t xml:space="preserve">panta pirmās daļas, Civilprocesa likuma 137.panta pirmās daļas un 138.panta pirmās un otrās daļas interpretāciju par to, vai aizlieguma atzīme ir atzīstama par šķērsli dalībnieku maiņas reģistrācijai </w:t>
      </w:r>
      <w:r w:rsidR="00F27F78" w:rsidRPr="00C054CD">
        <w:t>(</w:t>
      </w:r>
      <w:r w:rsidR="00F27F78" w:rsidRPr="00840441">
        <w:rPr>
          <w:i/>
          <w:iCs/>
        </w:rPr>
        <w:t>Senāta 2022.gada 8.septembra sprieduma lietā Nr.</w:t>
      </w:r>
      <w:r w:rsidR="00840441" w:rsidRPr="00840441">
        <w:rPr>
          <w:i/>
          <w:iCs/>
        </w:rPr>
        <w:t> </w:t>
      </w:r>
      <w:r w:rsidR="00F27F78" w:rsidRPr="00840441">
        <w:rPr>
          <w:i/>
          <w:iCs/>
        </w:rPr>
        <w:t>SKA-448/2022</w:t>
      </w:r>
      <w:r w:rsidR="00E423C7">
        <w:rPr>
          <w:i/>
          <w:iCs/>
        </w:rPr>
        <w:t xml:space="preserve">, </w:t>
      </w:r>
      <w:hyperlink r:id="rId9" w:history="1">
        <w:r w:rsidR="00E423C7" w:rsidRPr="003D753B">
          <w:rPr>
            <w:rStyle w:val="Hyperlink"/>
            <w:i/>
            <w:iCs/>
          </w:rPr>
          <w:t>ECLI:LV:AT:2022:0908.A420263319.11.S</w:t>
        </w:r>
      </w:hyperlink>
      <w:r w:rsidR="00E423C7">
        <w:rPr>
          <w:i/>
          <w:iCs/>
        </w:rPr>
        <w:t>,</w:t>
      </w:r>
      <w:r w:rsidR="00F27F78" w:rsidRPr="00840441">
        <w:rPr>
          <w:i/>
          <w:iCs/>
        </w:rPr>
        <w:t xml:space="preserve"> 7.–12.punkt</w:t>
      </w:r>
      <w:r w:rsidR="00466442">
        <w:rPr>
          <w:i/>
          <w:iCs/>
        </w:rPr>
        <w:t>s</w:t>
      </w:r>
      <w:r w:rsidR="00F27F78" w:rsidRPr="00C054CD">
        <w:t>)</w:t>
      </w:r>
      <w:r w:rsidR="00840441" w:rsidRPr="00E423C7">
        <w:t>.</w:t>
      </w:r>
      <w:r w:rsidR="00EC0070">
        <w:t xml:space="preserve"> </w:t>
      </w:r>
      <w:r w:rsidR="00896441" w:rsidRPr="00896441">
        <w:t>Ievērojot</w:t>
      </w:r>
      <w:r w:rsidR="00907EA6">
        <w:t xml:space="preserve"> Senāta atzīto, kā arī to</w:t>
      </w:r>
      <w:r w:rsidR="00E423C7">
        <w:t xml:space="preserve">, </w:t>
      </w:r>
      <w:r w:rsidR="00896441" w:rsidRPr="00896441">
        <w:t xml:space="preserve">ka pārsūdzētā lēmuma izdošanas brīdī prasības nodrošinājums bija spēkā un komercreģistrā bija reģistrēta aizlieguma atzīme atsavināt un ieķīlāt </w:t>
      </w:r>
      <w:r w:rsidR="00E1574F">
        <w:t>trešajai personai</w:t>
      </w:r>
      <w:r w:rsidR="00896441" w:rsidRPr="00896441">
        <w:t xml:space="preserve"> piederošās kapitāla daļas, apgabaltiesa atz</w:t>
      </w:r>
      <w:r w:rsidR="005611C3">
        <w:t>ina</w:t>
      </w:r>
      <w:r w:rsidR="00896441" w:rsidRPr="00896441">
        <w:t xml:space="preserve">, ka </w:t>
      </w:r>
      <w:r w:rsidR="00E1574F">
        <w:t xml:space="preserve">Uzņēmumu </w:t>
      </w:r>
      <w:r w:rsidR="00896441" w:rsidRPr="00896441">
        <w:t xml:space="preserve">reģistram saskaņā ar likuma „Par Latvijas Republikas Uzņēmumu reģistru” 14.panta pirmās daļas 6.punktu nebija tiesību reģistrēt pieteicējas </w:t>
      </w:r>
      <w:r w:rsidR="00F029CF">
        <w:t>pieteikumu un tam pievienotos dokumentus par dalībnieku maiņu komercreģistrā.</w:t>
      </w:r>
    </w:p>
    <w:p w14:paraId="10CCFE15" w14:textId="77777777" w:rsidR="00D85FE8" w:rsidRDefault="00D85FE8" w:rsidP="00C111C3">
      <w:pPr>
        <w:spacing w:line="276" w:lineRule="auto"/>
        <w:ind w:firstLine="709"/>
        <w:jc w:val="both"/>
      </w:pPr>
    </w:p>
    <w:p w14:paraId="783CCDA3" w14:textId="0847FF96" w:rsidR="001F5A1E" w:rsidRPr="007D52B2" w:rsidRDefault="007716C6" w:rsidP="00C111C3">
      <w:pPr>
        <w:spacing w:line="276" w:lineRule="auto"/>
        <w:ind w:firstLine="709"/>
        <w:jc w:val="both"/>
        <w:rPr>
          <w:color w:val="000000"/>
        </w:rPr>
      </w:pPr>
      <w:r>
        <w:t>[</w:t>
      </w:r>
      <w:r w:rsidR="009F2F67">
        <w:t>4</w:t>
      </w:r>
      <w:r w:rsidR="00E423C7">
        <w:t>] </w:t>
      </w:r>
      <w:r w:rsidR="009F2F67">
        <w:t>Pieteicēja</w:t>
      </w:r>
      <w:r w:rsidR="0046161C">
        <w:t xml:space="preserve"> par apgabaltiesas spriedumu</w:t>
      </w:r>
      <w:r>
        <w:t xml:space="preserve"> </w:t>
      </w:r>
      <w:r w:rsidR="00E9028B">
        <w:t xml:space="preserve">iesniegusi </w:t>
      </w:r>
      <w:r>
        <w:t xml:space="preserve">kasācijas sūdzību, </w:t>
      </w:r>
      <w:r w:rsidR="0046161C">
        <w:t>kurā norāda</w:t>
      </w:r>
      <w:r w:rsidR="00823132">
        <w:t>, ka p</w:t>
      </w:r>
      <w:r w:rsidR="00512236">
        <w:t>rasības nodrošinājums do</w:t>
      </w:r>
      <w:r w:rsidR="00467679">
        <w:t>d</w:t>
      </w:r>
      <w:r w:rsidR="00512236">
        <w:t xml:space="preserve"> civilprocesuālu aizsardzību prasītājam, </w:t>
      </w:r>
      <w:r w:rsidR="00467679">
        <w:t>lai varētu</w:t>
      </w:r>
      <w:r w:rsidR="00512236">
        <w:t xml:space="preserve"> izpildīt </w:t>
      </w:r>
      <w:bookmarkStart w:id="1" w:name="_Hlk131367028"/>
      <w:r w:rsidR="00512236">
        <w:t xml:space="preserve">likumīgā spēkā stājušos spriedumu, un </w:t>
      </w:r>
      <w:r w:rsidR="00730C16">
        <w:t xml:space="preserve">konkrētajā gadījumā </w:t>
      </w:r>
      <w:r w:rsidR="0046161C">
        <w:t>tas</w:t>
      </w:r>
      <w:r w:rsidR="00512236">
        <w:t xml:space="preserve"> saglabājas līdz sprieduma </w:t>
      </w:r>
      <w:r w:rsidR="00730C16">
        <w:t xml:space="preserve">civillietā </w:t>
      </w:r>
      <w:r w:rsidR="00512236">
        <w:t>faktiskai izpildei</w:t>
      </w:r>
      <w:bookmarkEnd w:id="1"/>
      <w:r w:rsidR="00512236">
        <w:t xml:space="preserve">. </w:t>
      </w:r>
      <w:r w:rsidR="001F5A1E" w:rsidRPr="001F5A1E">
        <w:rPr>
          <w:color w:val="000000"/>
        </w:rPr>
        <w:t xml:space="preserve">Kurzemes apgabaltiesa </w:t>
      </w:r>
      <w:r w:rsidR="00370600">
        <w:rPr>
          <w:color w:val="000000"/>
        </w:rPr>
        <w:t>pieteicējas</w:t>
      </w:r>
      <w:r w:rsidR="00807297">
        <w:rPr>
          <w:color w:val="000000"/>
        </w:rPr>
        <w:t xml:space="preserve"> prasību ir apmierinājusi, </w:t>
      </w:r>
      <w:r w:rsidR="00EB35EC">
        <w:rPr>
          <w:color w:val="000000"/>
        </w:rPr>
        <w:t>savukārt</w:t>
      </w:r>
      <w:r w:rsidR="00807297">
        <w:rPr>
          <w:color w:val="000000"/>
        </w:rPr>
        <w:t xml:space="preserve"> trešās personas lūgumu</w:t>
      </w:r>
      <w:r w:rsidR="00930068">
        <w:rPr>
          <w:color w:val="000000"/>
        </w:rPr>
        <w:t xml:space="preserve"> par</w:t>
      </w:r>
      <w:r w:rsidR="001F5A1E" w:rsidRPr="001F5A1E">
        <w:rPr>
          <w:color w:val="000000"/>
        </w:rPr>
        <w:t xml:space="preserve"> prasības nodrošināšanas atcelšanu</w:t>
      </w:r>
      <w:r w:rsidR="00930068">
        <w:rPr>
          <w:color w:val="000000"/>
        </w:rPr>
        <w:t xml:space="preserve"> noraidījusi</w:t>
      </w:r>
      <w:r w:rsidR="001F5A1E" w:rsidRPr="001F5A1E">
        <w:rPr>
          <w:color w:val="000000"/>
        </w:rPr>
        <w:t xml:space="preserve">, </w:t>
      </w:r>
      <w:r w:rsidR="00066E6F">
        <w:rPr>
          <w:color w:val="000000"/>
        </w:rPr>
        <w:t>norādot, ka prasības nodrošinājums</w:t>
      </w:r>
      <w:r w:rsidR="00825FA4">
        <w:rPr>
          <w:color w:val="000000"/>
        </w:rPr>
        <w:t xml:space="preserve"> saglabājams </w:t>
      </w:r>
      <w:r w:rsidR="004F2DAD">
        <w:rPr>
          <w:color w:val="000000"/>
        </w:rPr>
        <w:t>sprieduma izpildes nodrošināšanai.</w:t>
      </w:r>
      <w:r w:rsidR="00EB35EC">
        <w:rPr>
          <w:color w:val="000000"/>
        </w:rPr>
        <w:t xml:space="preserve"> </w:t>
      </w:r>
      <w:r w:rsidR="006F39F3">
        <w:rPr>
          <w:color w:val="000000"/>
        </w:rPr>
        <w:t>Pieteicēja</w:t>
      </w:r>
      <w:r w:rsidR="00EB35EC">
        <w:rPr>
          <w:color w:val="000000"/>
        </w:rPr>
        <w:t>s ieskatā</w:t>
      </w:r>
      <w:r w:rsidR="006F39F3">
        <w:rPr>
          <w:color w:val="000000"/>
        </w:rPr>
        <w:t>, n</w:t>
      </w:r>
      <w:r w:rsidR="001F5A1E" w:rsidRPr="007D52B2">
        <w:rPr>
          <w:color w:val="000000"/>
        </w:rPr>
        <w:t xml:space="preserve">av pieļaujama situācija, ka tiesas piemērotais </w:t>
      </w:r>
      <w:r w:rsidR="00890123">
        <w:rPr>
          <w:color w:val="000000"/>
        </w:rPr>
        <w:t xml:space="preserve">prasības </w:t>
      </w:r>
      <w:r w:rsidR="001F5A1E" w:rsidRPr="007D52B2">
        <w:rPr>
          <w:color w:val="000000"/>
        </w:rPr>
        <w:t>nodrošinājuma līdzeklis, kuru citstarp tiesa spriedumā ir atzinusi par piemērotu sprieduma izpildes nodrošināšanai, kļū</w:t>
      </w:r>
      <w:r w:rsidR="006F39F3">
        <w:rPr>
          <w:color w:val="000000"/>
        </w:rPr>
        <w:t xml:space="preserve">st </w:t>
      </w:r>
      <w:r w:rsidR="001F5A1E" w:rsidRPr="007D52B2">
        <w:rPr>
          <w:color w:val="000000"/>
        </w:rPr>
        <w:t>par šķērsli sprieduma izpildei tajā pašā lietā.</w:t>
      </w:r>
    </w:p>
    <w:p w14:paraId="0A9D0956" w14:textId="77777777" w:rsidR="001B18BB" w:rsidRPr="006E6B61" w:rsidRDefault="001B18BB" w:rsidP="00C111C3">
      <w:pPr>
        <w:spacing w:line="276" w:lineRule="auto"/>
        <w:ind w:firstLine="709"/>
        <w:jc w:val="both"/>
      </w:pPr>
    </w:p>
    <w:p w14:paraId="218F3F6C" w14:textId="41A2C850" w:rsidR="007716C6" w:rsidRDefault="007716C6" w:rsidP="00C111C3">
      <w:pPr>
        <w:spacing w:line="276" w:lineRule="auto"/>
        <w:ind w:firstLine="709"/>
        <w:jc w:val="both"/>
      </w:pPr>
      <w:r>
        <w:t>[</w:t>
      </w:r>
      <w:r w:rsidR="001B18BB">
        <w:t>5</w:t>
      </w:r>
      <w:r w:rsidR="0029170D">
        <w:t>] </w:t>
      </w:r>
      <w:r w:rsidR="00955908">
        <w:t>Uzņēmumu reģistr</w:t>
      </w:r>
      <w:r w:rsidR="0090589A">
        <w:t>s</w:t>
      </w:r>
      <w:r w:rsidR="00955908">
        <w:t xml:space="preserve"> </w:t>
      </w:r>
      <w:r>
        <w:t xml:space="preserve">paskaidrojumos </w:t>
      </w:r>
      <w:r w:rsidR="00370600">
        <w:t xml:space="preserve">norāda, ka </w:t>
      </w:r>
      <w:r>
        <w:t>kasācijas sūdzīb</w:t>
      </w:r>
      <w:r w:rsidR="0019107B">
        <w:t>u</w:t>
      </w:r>
      <w:r>
        <w:t xml:space="preserve"> </w:t>
      </w:r>
      <w:r w:rsidR="00370600">
        <w:t>neatzīst</w:t>
      </w:r>
      <w:r>
        <w:t>.</w:t>
      </w:r>
    </w:p>
    <w:p w14:paraId="0F80E8EE" w14:textId="77777777" w:rsidR="007716C6" w:rsidRPr="0082381C" w:rsidRDefault="007716C6" w:rsidP="00C111C3">
      <w:pPr>
        <w:spacing w:line="276" w:lineRule="auto"/>
        <w:ind w:firstLine="567"/>
        <w:jc w:val="both"/>
      </w:pPr>
    </w:p>
    <w:p w14:paraId="5F74AC01" w14:textId="77777777" w:rsidR="007716C6" w:rsidRDefault="007716C6" w:rsidP="00C111C3">
      <w:pPr>
        <w:spacing w:line="276" w:lineRule="auto"/>
        <w:jc w:val="center"/>
        <w:rPr>
          <w:b/>
        </w:rPr>
      </w:pPr>
      <w:r w:rsidRPr="0082381C">
        <w:rPr>
          <w:b/>
        </w:rPr>
        <w:t>Motīvu daļa</w:t>
      </w:r>
    </w:p>
    <w:p w14:paraId="19F78F63" w14:textId="77777777" w:rsidR="007716C6" w:rsidRDefault="007716C6" w:rsidP="00C111C3">
      <w:pPr>
        <w:spacing w:line="276" w:lineRule="auto"/>
        <w:jc w:val="center"/>
        <w:rPr>
          <w:b/>
        </w:rPr>
      </w:pPr>
    </w:p>
    <w:p w14:paraId="14C67740" w14:textId="22DD3ADF" w:rsidR="00370600" w:rsidRDefault="00380CAD" w:rsidP="00C111C3">
      <w:pPr>
        <w:spacing w:line="276" w:lineRule="auto"/>
        <w:ind w:firstLine="709"/>
        <w:jc w:val="both"/>
      </w:pPr>
      <w:r>
        <w:t>[6</w:t>
      </w:r>
      <w:r w:rsidR="0029170D">
        <w:t>] </w:t>
      </w:r>
      <w:r w:rsidR="00370600">
        <w:t xml:space="preserve">Pārbaudot pārsūdzētā sprieduma tiesiskumu un </w:t>
      </w:r>
      <w:r w:rsidR="009B6971">
        <w:t xml:space="preserve">kasācijas sūdzības argumentus, </w:t>
      </w:r>
      <w:r w:rsidR="00EF7BEA">
        <w:t>Senātam jāatbild uz jautājumu, vai</w:t>
      </w:r>
      <w:r w:rsidR="00395776">
        <w:t xml:space="preserve"> </w:t>
      </w:r>
      <w:r w:rsidR="009B6971">
        <w:t>i</w:t>
      </w:r>
      <w:r w:rsidR="00465157">
        <w:t xml:space="preserve">zskatāmajā lietā </w:t>
      </w:r>
      <w:r w:rsidR="00933A29">
        <w:t>prasības</w:t>
      </w:r>
      <w:r w:rsidR="00632AA5">
        <w:t xml:space="preserve"> nodrošinājuma ietvaros </w:t>
      </w:r>
      <w:r w:rsidR="00434264" w:rsidRPr="00EE5937">
        <w:t>komercreģistrā reģistrēt</w:t>
      </w:r>
      <w:r w:rsidR="00434264">
        <w:t>ā</w:t>
      </w:r>
      <w:r w:rsidR="00434264" w:rsidRPr="00EE5937">
        <w:t xml:space="preserve"> </w:t>
      </w:r>
      <w:r w:rsidR="00434264" w:rsidRPr="008D7926">
        <w:t>aizlieguma atzīme</w:t>
      </w:r>
      <w:r w:rsidR="00434264" w:rsidRPr="00EE5937">
        <w:t xml:space="preserve"> atsavināt un ieķīlāt trešajai personai </w:t>
      </w:r>
      <w:r w:rsidR="00434264" w:rsidRPr="00EE5937">
        <w:lastRenderedPageBreak/>
        <w:t xml:space="preserve">piederošās </w:t>
      </w:r>
      <w:r w:rsidR="00920EA9">
        <w:t xml:space="preserve">sabiedrības </w:t>
      </w:r>
      <w:r w:rsidR="00434264" w:rsidRPr="00EE5937">
        <w:t>kapitāla daļas</w:t>
      </w:r>
      <w:r w:rsidR="0040258C">
        <w:t xml:space="preserve"> ir</w:t>
      </w:r>
      <w:r w:rsidR="00E85B10">
        <w:t xml:space="preserve"> uzskatāma</w:t>
      </w:r>
      <w:r w:rsidR="00D11F26">
        <w:t xml:space="preserve"> par tiesisku šķērsli</w:t>
      </w:r>
      <w:r w:rsidR="00CE6C18">
        <w:t xml:space="preserve"> reģistrēt </w:t>
      </w:r>
      <w:r w:rsidR="00370600">
        <w:t xml:space="preserve">pieteicējas </w:t>
      </w:r>
      <w:r w:rsidR="00370600" w:rsidRPr="00CD3C3A">
        <w:t>2019.gada 22.maij</w:t>
      </w:r>
      <w:r w:rsidR="00370600">
        <w:t>ā</w:t>
      </w:r>
      <w:r w:rsidR="00370600" w:rsidRPr="00CD3C3A">
        <w:t xml:space="preserve"> </w:t>
      </w:r>
      <w:r w:rsidR="00370600">
        <w:t>p</w:t>
      </w:r>
      <w:r w:rsidR="00370600" w:rsidRPr="00CD3C3A">
        <w:t xml:space="preserve">ieteiktās izmaiņas </w:t>
      </w:r>
      <w:r w:rsidR="00920EA9">
        <w:t xml:space="preserve">sabiedrības </w:t>
      </w:r>
      <w:r w:rsidR="00370600" w:rsidRPr="00CD3C3A">
        <w:t>dalībnieku reģistrā</w:t>
      </w:r>
      <w:r w:rsidR="00370600">
        <w:t>.</w:t>
      </w:r>
    </w:p>
    <w:p w14:paraId="71F22798" w14:textId="77777777" w:rsidR="004851A3" w:rsidRDefault="004851A3" w:rsidP="00C111C3">
      <w:pPr>
        <w:spacing w:line="276" w:lineRule="auto"/>
        <w:ind w:firstLine="709"/>
        <w:jc w:val="both"/>
      </w:pPr>
    </w:p>
    <w:p w14:paraId="32DB659F" w14:textId="07A84FFF" w:rsidR="00CC29AF" w:rsidRDefault="00A0315D" w:rsidP="00C111C3">
      <w:pPr>
        <w:spacing w:line="276" w:lineRule="auto"/>
        <w:ind w:firstLine="709"/>
        <w:jc w:val="both"/>
      </w:pPr>
      <w:r>
        <w:t>[</w:t>
      </w:r>
      <w:r w:rsidR="00370600">
        <w:t>7</w:t>
      </w:r>
      <w:r w:rsidR="0029170D">
        <w:t>] </w:t>
      </w:r>
      <w:r w:rsidR="00920EA9">
        <w:t>L</w:t>
      </w:r>
      <w:r w:rsidR="00EB2E3B">
        <w:t>i</w:t>
      </w:r>
      <w:r w:rsidR="002D3683">
        <w:t>etā k</w:t>
      </w:r>
      <w:r w:rsidR="00EB2E3B">
        <w:t>onstatē</w:t>
      </w:r>
      <w:r w:rsidR="002D3683">
        <w:t>t</w:t>
      </w:r>
      <w:r w:rsidR="00EB2E3B">
        <w:t>s</w:t>
      </w:r>
      <w:r w:rsidR="00E91970">
        <w:t xml:space="preserve">, ka </w:t>
      </w:r>
      <w:r w:rsidR="00933352" w:rsidRPr="004B35C8">
        <w:t>komercreģistrā 2018.gada 3.janvārī reģistrēts nodrošinājuma līdzeklis – aizliegum</w:t>
      </w:r>
      <w:r w:rsidR="00545775">
        <w:t>a atzīme</w:t>
      </w:r>
      <w:r w:rsidR="00933352" w:rsidRPr="004B35C8">
        <w:t xml:space="preserve"> atsavināt un ieķīlāt </w:t>
      </w:r>
      <w:r w:rsidR="00920EA9">
        <w:t>trešajai personai</w:t>
      </w:r>
      <w:r w:rsidR="00933352" w:rsidRPr="004B35C8">
        <w:t xml:space="preserve"> piederošās </w:t>
      </w:r>
      <w:r w:rsidR="00920EA9">
        <w:t>sabiedrības</w:t>
      </w:r>
      <w:r w:rsidR="00B624B6">
        <w:t xml:space="preserve"> </w:t>
      </w:r>
      <w:r w:rsidR="00933352" w:rsidRPr="004B35C8">
        <w:t xml:space="preserve">kapitāla daļas. Šāds nodrošinājuma līdzeklis ir reģistrēts, izpildot </w:t>
      </w:r>
      <w:r w:rsidR="00310008">
        <w:t xml:space="preserve">tiesas </w:t>
      </w:r>
      <w:r w:rsidR="00933352" w:rsidRPr="004B35C8">
        <w:t xml:space="preserve">lēmumu par prasības nodrošināšanu. Savukārt 2019.gada 12.aprīlī ir stājies spēkā spriedums </w:t>
      </w:r>
      <w:r w:rsidR="00920EA9">
        <w:t>civil</w:t>
      </w:r>
      <w:r w:rsidR="00933352" w:rsidRPr="004B35C8">
        <w:t xml:space="preserve">lietā, ar kuru apmierināta pieteicējas prasība pret </w:t>
      </w:r>
      <w:r w:rsidR="00920EA9">
        <w:t>trešo personu</w:t>
      </w:r>
      <w:r w:rsidR="00933352" w:rsidRPr="004B35C8">
        <w:t xml:space="preserve"> par tās izslēgšanu no </w:t>
      </w:r>
      <w:r w:rsidR="00920EA9">
        <w:t>sabiedrības</w:t>
      </w:r>
      <w:r w:rsidR="00933352" w:rsidRPr="004B35C8">
        <w:t xml:space="preserve"> dalībnieku sastāva.</w:t>
      </w:r>
    </w:p>
    <w:p w14:paraId="26650A65" w14:textId="5518B94E" w:rsidR="00D94FCB" w:rsidRDefault="00D94FCB" w:rsidP="00C111C3">
      <w:pPr>
        <w:spacing w:line="276" w:lineRule="auto"/>
        <w:ind w:firstLine="709"/>
        <w:jc w:val="both"/>
      </w:pPr>
      <w:r>
        <w:t>Lai noskaidrotu, vai komercreģistrā reģistrētais nodrošinājuma līdzeklis</w:t>
      </w:r>
      <w:r w:rsidR="005F2011">
        <w:t xml:space="preserve"> uzskatāms par tiesisku šķērsli reģistrēt </w:t>
      </w:r>
      <w:r w:rsidR="00920EA9">
        <w:t xml:space="preserve">komercreģistrā pieteicējas </w:t>
      </w:r>
      <w:r w:rsidR="005F2011" w:rsidRPr="00EE5937">
        <w:t xml:space="preserve">pieteikumu un tam pievienotos dokumentus par </w:t>
      </w:r>
      <w:r w:rsidR="00920EA9">
        <w:t xml:space="preserve">sabiedrības </w:t>
      </w:r>
      <w:r w:rsidR="005F2011" w:rsidRPr="00EE5937">
        <w:t>dalībnieku maiņu</w:t>
      </w:r>
      <w:r w:rsidR="008A07B3">
        <w:t>, sākotnēji noskaidrojams attiecīgās aizlieguma atzīmes</w:t>
      </w:r>
      <w:r w:rsidR="00355987">
        <w:t xml:space="preserve"> mērķis un tiesiskās sekas.</w:t>
      </w:r>
    </w:p>
    <w:p w14:paraId="33E7E3F0" w14:textId="77777777" w:rsidR="00CC29AF" w:rsidRDefault="00CC29AF" w:rsidP="00C111C3">
      <w:pPr>
        <w:spacing w:line="276" w:lineRule="auto"/>
        <w:ind w:firstLine="709"/>
        <w:jc w:val="both"/>
      </w:pPr>
    </w:p>
    <w:p w14:paraId="2E0B6F32" w14:textId="4C2D194F" w:rsidR="00BF10D5" w:rsidRDefault="00B40548" w:rsidP="00C111C3">
      <w:pPr>
        <w:spacing w:line="276" w:lineRule="auto"/>
        <w:ind w:firstLine="709"/>
        <w:jc w:val="both"/>
      </w:pPr>
      <w:r>
        <w:t>[</w:t>
      </w:r>
      <w:r w:rsidR="00FC15CE">
        <w:t>8</w:t>
      </w:r>
      <w:r w:rsidR="0029170D">
        <w:t>] </w:t>
      </w:r>
      <w:r w:rsidR="0043195C">
        <w:t>P</w:t>
      </w:r>
      <w:r w:rsidR="008B07F0" w:rsidRPr="00EC24F3">
        <w:t xml:space="preserve">rasības nodrošināšana ir </w:t>
      </w:r>
      <w:r w:rsidR="00BF10D5">
        <w:t>civil</w:t>
      </w:r>
      <w:r w:rsidR="008B07F0" w:rsidRPr="00EC24F3">
        <w:t xml:space="preserve">procesuāls līdzeklis, kuru </w:t>
      </w:r>
      <w:r w:rsidR="0043195C">
        <w:t>piemēro</w:t>
      </w:r>
      <w:r w:rsidR="008B07F0" w:rsidRPr="00EC24F3">
        <w:t xml:space="preserve"> tiesa vai tiesnesis pēc prasītāja motivēta pieteikuma</w:t>
      </w:r>
      <w:r w:rsidR="0043195C" w:rsidRPr="0043195C">
        <w:t xml:space="preserve"> </w:t>
      </w:r>
      <w:r w:rsidR="0043195C" w:rsidRPr="00675507">
        <w:t>mantiska rakstura prasībās</w:t>
      </w:r>
      <w:r w:rsidR="0043195C">
        <w:t xml:space="preserve"> </w:t>
      </w:r>
      <w:r w:rsidR="008B07F0" w:rsidRPr="00EC24F3">
        <w:t>gadījumā, ja ir pamats uzskatīt, ka tiesas sprieduma izpilde lietā varētu kļūt apgrūtināta vai neiespējama</w:t>
      </w:r>
      <w:r w:rsidR="0043195C">
        <w:t xml:space="preserve"> (</w:t>
      </w:r>
      <w:r w:rsidR="0043195C" w:rsidRPr="0043195C">
        <w:rPr>
          <w:i/>
          <w:iCs/>
        </w:rPr>
        <w:t>Civilprocesa likuma 137.panta pirmā un otrā daļa</w:t>
      </w:r>
      <w:r w:rsidR="0043195C">
        <w:t>).</w:t>
      </w:r>
      <w:r w:rsidR="00BF10D5">
        <w:t xml:space="preserve"> </w:t>
      </w:r>
    </w:p>
    <w:p w14:paraId="0AE0B764" w14:textId="53021B3D" w:rsidR="00CE3988" w:rsidRDefault="00BF10D5" w:rsidP="00C111C3">
      <w:pPr>
        <w:spacing w:line="276" w:lineRule="auto"/>
        <w:ind w:firstLine="709"/>
        <w:jc w:val="both"/>
      </w:pPr>
      <w:r>
        <w:t>L</w:t>
      </w:r>
      <w:r w:rsidR="00CE3988" w:rsidRPr="0050538B">
        <w:t>ikumdevējs ir paredzējis prasības nodrošinā</w:t>
      </w:r>
      <w:r w:rsidR="002D3683">
        <w:t>šanu</w:t>
      </w:r>
      <w:r w:rsidR="00CE3988" w:rsidRPr="0050538B">
        <w:t xml:space="preserve">, lai </w:t>
      </w:r>
      <w:r w:rsidRPr="00C91AA8">
        <w:t>aizsargāt</w:t>
      </w:r>
      <w:r w:rsidR="0029170D">
        <w:t>u</w:t>
      </w:r>
      <w:r w:rsidRPr="00C91AA8">
        <w:t xml:space="preserve"> prasītāja tiesisko interesi</w:t>
      </w:r>
      <w:r w:rsidRPr="0050538B">
        <w:t xml:space="preserve"> </w:t>
      </w:r>
      <w:r>
        <w:t xml:space="preserve">un </w:t>
      </w:r>
      <w:r w:rsidR="00CE3988" w:rsidRPr="0050538B">
        <w:t>panāktu drošību par sprieduma izpildes</w:t>
      </w:r>
      <w:r>
        <w:t xml:space="preserve"> faktisko</w:t>
      </w:r>
      <w:r w:rsidR="00CE3988" w:rsidRPr="0050538B">
        <w:t xml:space="preserve"> iespējamību nākotnē, jo prasītāja uzsāktā</w:t>
      </w:r>
      <w:r w:rsidR="00CE3988">
        <w:t xml:space="preserve"> </w:t>
      </w:r>
      <w:r w:rsidR="00CE3988" w:rsidRPr="0050538B">
        <w:t xml:space="preserve">tiesvedība </w:t>
      </w:r>
      <w:r>
        <w:t xml:space="preserve">var </w:t>
      </w:r>
      <w:r w:rsidR="00CE3988" w:rsidRPr="0050538B">
        <w:t>pras</w:t>
      </w:r>
      <w:r>
        <w:t>īt</w:t>
      </w:r>
      <w:r w:rsidR="00CE3988">
        <w:t xml:space="preserve"> </w:t>
      </w:r>
      <w:r w:rsidR="00CE3988" w:rsidRPr="0050538B">
        <w:t>ilgstošu laiku, kura gaitā parādnieks var noslēpt vai</w:t>
      </w:r>
      <w:r w:rsidR="00CE3988">
        <w:t xml:space="preserve"> </w:t>
      </w:r>
      <w:r w:rsidR="00CE3988" w:rsidRPr="0050538B">
        <w:t>atsavināt</w:t>
      </w:r>
      <w:r w:rsidR="00CE3988">
        <w:t xml:space="preserve"> </w:t>
      </w:r>
      <w:r w:rsidR="00CE3988" w:rsidRPr="0050538B">
        <w:t>mantu, tādējādi</w:t>
      </w:r>
      <w:r w:rsidR="00CE3988">
        <w:t xml:space="preserve"> </w:t>
      </w:r>
      <w:r w:rsidR="00CE3988" w:rsidRPr="0050538B">
        <w:t xml:space="preserve">sprieduma izpilde lietā varētu kļūt apgrūtināta vai </w:t>
      </w:r>
      <w:r>
        <w:t xml:space="preserve">pat </w:t>
      </w:r>
      <w:r w:rsidR="00CE3988" w:rsidRPr="0050538B">
        <w:t>neiespējama</w:t>
      </w:r>
      <w:r>
        <w:t>.</w:t>
      </w:r>
      <w:r w:rsidR="001B57ED">
        <w:t xml:space="preserve"> </w:t>
      </w:r>
    </w:p>
    <w:p w14:paraId="572C1305" w14:textId="77777777" w:rsidR="003B350F" w:rsidRDefault="003B350F" w:rsidP="00C111C3">
      <w:pPr>
        <w:spacing w:line="276" w:lineRule="auto"/>
        <w:ind w:firstLine="709"/>
        <w:jc w:val="both"/>
      </w:pPr>
    </w:p>
    <w:p w14:paraId="02F90EA1" w14:textId="0A3B0134" w:rsidR="003B350F" w:rsidRDefault="003B350F" w:rsidP="00C111C3">
      <w:pPr>
        <w:spacing w:line="276" w:lineRule="auto"/>
        <w:ind w:firstLine="709"/>
        <w:jc w:val="both"/>
      </w:pPr>
      <w:r>
        <w:t>[</w:t>
      </w:r>
      <w:r w:rsidR="00FC15CE">
        <w:t>9</w:t>
      </w:r>
      <w:r w:rsidR="0029170D">
        <w:t>] </w:t>
      </w:r>
      <w:r w:rsidR="0093279F">
        <w:t xml:space="preserve">Viens no prasības nodrošinājuma </w:t>
      </w:r>
      <w:r w:rsidR="00B70A33">
        <w:t>līdzekļiem</w:t>
      </w:r>
      <w:r w:rsidR="00BF10D5">
        <w:t xml:space="preserve"> ir </w:t>
      </w:r>
      <w:r w:rsidR="00D710C6" w:rsidRPr="00D710C6">
        <w:t>aizlieguma atzīmes ierakstīšana attiecīgās kustamas mantas reģistrā vai citā publiskā reģistrā</w:t>
      </w:r>
      <w:r w:rsidR="00BF10D5">
        <w:t xml:space="preserve"> (</w:t>
      </w:r>
      <w:r w:rsidR="00BF10D5" w:rsidRPr="00BF10D5">
        <w:rPr>
          <w:i/>
          <w:iCs/>
        </w:rPr>
        <w:t>Civilprocesa likuma 138.panta pirmās daļas 2.punkts</w:t>
      </w:r>
      <w:r w:rsidR="00BF10D5">
        <w:t>).</w:t>
      </w:r>
    </w:p>
    <w:p w14:paraId="0CFA086F" w14:textId="03C862C8" w:rsidR="005666AC" w:rsidRPr="00E364AB" w:rsidRDefault="005666AC" w:rsidP="00C111C3">
      <w:pPr>
        <w:spacing w:line="276" w:lineRule="auto"/>
        <w:ind w:firstLine="709"/>
        <w:jc w:val="both"/>
      </w:pPr>
      <w:r w:rsidRPr="00690FB7">
        <w:t xml:space="preserve">Dalībnieka izslēgšanas prasības, </w:t>
      </w:r>
      <w:r w:rsidR="002D3683">
        <w:t>kādu bija cēlusi arī pieteicēja pret trešo personu</w:t>
      </w:r>
      <w:r w:rsidRPr="00690FB7">
        <w:t xml:space="preserve">, tiesu praksē tiek nodrošinātas, piemēram, liedzot atbildētājam atsavināt vai citādi apgrūtināt </w:t>
      </w:r>
      <w:r w:rsidR="00960339">
        <w:t xml:space="preserve">tam piederošās kapitāla </w:t>
      </w:r>
      <w:r w:rsidRPr="00690FB7">
        <w:t xml:space="preserve">daļas. </w:t>
      </w:r>
      <w:r w:rsidR="002D3683">
        <w:t>D</w:t>
      </w:r>
      <w:r w:rsidRPr="00690FB7">
        <w:t xml:space="preserve">alībnieku izslēgšanas prasības mērķis ir sabiedrībai kā prasītājam iegūt </w:t>
      </w:r>
      <w:r w:rsidR="00937129">
        <w:t xml:space="preserve">atbildētājam piederošās kapitāla </w:t>
      </w:r>
      <w:r w:rsidRPr="00690FB7">
        <w:t xml:space="preserve">daļas savā īpašumā līdz to atsavināšanai likumā noteiktajā kārtībā. Tādējādi ir svarīgi, lai visu prāvas laiku </w:t>
      </w:r>
      <w:r w:rsidR="000308ED">
        <w:t xml:space="preserve">kapitāla </w:t>
      </w:r>
      <w:r w:rsidRPr="00690FB7">
        <w:t>daļas pieder atbildētājam, turklāt tās nav apgrūtinātas vai ieķīlātas, kas var traucēt sekmīgu dalībnieka izslēgšanas procedūras pabeigšanu</w:t>
      </w:r>
      <w:r>
        <w:t xml:space="preserve"> </w:t>
      </w:r>
      <w:r w:rsidRPr="00BF10D5">
        <w:t>(</w:t>
      </w:r>
      <w:r w:rsidRPr="00BF10D5">
        <w:rPr>
          <w:i/>
          <w:iCs/>
        </w:rPr>
        <w:t>Jurkāns</w:t>
      </w:r>
      <w:r w:rsidR="00BF10D5">
        <w:rPr>
          <w:i/>
          <w:iCs/>
        </w:rPr>
        <w:t> </w:t>
      </w:r>
      <w:r w:rsidRPr="00BF10D5">
        <w:rPr>
          <w:i/>
          <w:iCs/>
        </w:rPr>
        <w:t>J.</w:t>
      </w:r>
      <w:r w:rsidRPr="00B210C4">
        <w:rPr>
          <w:i/>
          <w:iCs/>
        </w:rPr>
        <w:t xml:space="preserve"> Prasības par dalībnieka </w:t>
      </w:r>
      <w:r w:rsidR="00A67972" w:rsidRPr="00B210C4">
        <w:rPr>
          <w:i/>
          <w:iCs/>
        </w:rPr>
        <w:t>izslēgšanu</w:t>
      </w:r>
      <w:r w:rsidR="00A67972">
        <w:rPr>
          <w:i/>
          <w:iCs/>
        </w:rPr>
        <w:t xml:space="preserve"> </w:t>
      </w:r>
      <w:r w:rsidRPr="00B210C4">
        <w:rPr>
          <w:i/>
          <w:iCs/>
        </w:rPr>
        <w:t>– prakse un problēmjautājumi. Jurista Vārds, 2013.gada 9.jūlijs, N</w:t>
      </w:r>
      <w:r w:rsidR="00E83A5B">
        <w:rPr>
          <w:i/>
          <w:iCs/>
        </w:rPr>
        <w:t>r</w:t>
      </w:r>
      <w:r w:rsidRPr="00B210C4">
        <w:rPr>
          <w:i/>
          <w:iCs/>
        </w:rPr>
        <w:t>.</w:t>
      </w:r>
      <w:r w:rsidR="00D01065">
        <w:rPr>
          <w:i/>
          <w:iCs/>
        </w:rPr>
        <w:t> </w:t>
      </w:r>
      <w:r w:rsidRPr="00B210C4">
        <w:rPr>
          <w:i/>
          <w:iCs/>
        </w:rPr>
        <w:t>27/28 (778/779)</w:t>
      </w:r>
      <w:r w:rsidRPr="00BF10D5">
        <w:t>)</w:t>
      </w:r>
      <w:r>
        <w:t>.</w:t>
      </w:r>
    </w:p>
    <w:p w14:paraId="30CEE3EF" w14:textId="70D456E3" w:rsidR="00CF0092" w:rsidRDefault="000A0793" w:rsidP="00C111C3">
      <w:pPr>
        <w:spacing w:line="276" w:lineRule="auto"/>
        <w:ind w:firstLine="709"/>
        <w:jc w:val="both"/>
      </w:pPr>
      <w:r>
        <w:t xml:space="preserve">Tātad dalībnieka izslēgšanas prasībās kā </w:t>
      </w:r>
      <w:r w:rsidR="003931C5">
        <w:t xml:space="preserve">atbilstošs </w:t>
      </w:r>
      <w:r>
        <w:t xml:space="preserve">prasījuma nodrošinājuma līdzeklis </w:t>
      </w:r>
      <w:r w:rsidR="003931C5">
        <w:t>ir piemērojama aizlieguma atzīmes</w:t>
      </w:r>
      <w:r w:rsidR="000A57AB">
        <w:t xml:space="preserve"> </w:t>
      </w:r>
      <w:r w:rsidR="002D3683">
        <w:t xml:space="preserve">atsavināt un ieķīlāt atbildētājam piederošas kapitāla daļas </w:t>
      </w:r>
      <w:r w:rsidR="000A57AB">
        <w:t>ierakstīšana komercreģistrā</w:t>
      </w:r>
      <w:r w:rsidR="00A779D0">
        <w:t>.</w:t>
      </w:r>
      <w:r w:rsidR="00E21C06">
        <w:t xml:space="preserve"> Arī izskatāmajā gadījumā no </w:t>
      </w:r>
      <w:r w:rsidR="00310008">
        <w:t xml:space="preserve">tiesas </w:t>
      </w:r>
      <w:r w:rsidR="00A67972">
        <w:t>lēmuma par prasības nodrošināšanu</w:t>
      </w:r>
      <w:r w:rsidR="00E21C06" w:rsidRPr="004B35C8">
        <w:t xml:space="preserve"> </w:t>
      </w:r>
      <w:r w:rsidR="00E21C06">
        <w:t xml:space="preserve">secināms, ka </w:t>
      </w:r>
      <w:r w:rsidR="00C675E0">
        <w:t xml:space="preserve">tiesa ir ņēmusi vērā prasītāja </w:t>
      </w:r>
      <w:r w:rsidR="005872E2">
        <w:t xml:space="preserve">(šajā lietā </w:t>
      </w:r>
      <w:r w:rsidR="00A67972">
        <w:t xml:space="preserve">– </w:t>
      </w:r>
      <w:r w:rsidR="005872E2">
        <w:t xml:space="preserve">pieteicējas) </w:t>
      </w:r>
      <w:r w:rsidR="00C675E0">
        <w:t xml:space="preserve">norādītos apstākļus, ka </w:t>
      </w:r>
      <w:r w:rsidR="00C675E0" w:rsidRPr="00C675E0">
        <w:t>pret</w:t>
      </w:r>
      <w:r w:rsidR="00C57F60">
        <w:t xml:space="preserve"> </w:t>
      </w:r>
      <w:r w:rsidR="00C675E0" w:rsidRPr="00C675E0">
        <w:t>atbildētājam</w:t>
      </w:r>
      <w:r w:rsidR="00BF10D5">
        <w:t xml:space="preserve"> </w:t>
      </w:r>
      <w:r w:rsidR="005872E2">
        <w:t>(šajā lietā</w:t>
      </w:r>
      <w:r w:rsidR="00A67972">
        <w:t xml:space="preserve"> –</w:t>
      </w:r>
      <w:r w:rsidR="005872E2">
        <w:t xml:space="preserve"> treš</w:t>
      </w:r>
      <w:r w:rsidR="00115768">
        <w:t>ajai</w:t>
      </w:r>
      <w:r w:rsidR="005872E2">
        <w:t xml:space="preserve"> persona</w:t>
      </w:r>
      <w:r w:rsidR="00115768">
        <w:t>i</w:t>
      </w:r>
      <w:r w:rsidR="005872E2">
        <w:t xml:space="preserve">) </w:t>
      </w:r>
      <w:r w:rsidR="00C675E0" w:rsidRPr="00C675E0">
        <w:t>piederošajām kapitāla daļām tiek vērsta piespiedu piedziņa, pārdodot tās</w:t>
      </w:r>
      <w:r w:rsidR="00C57F60">
        <w:t xml:space="preserve"> </w:t>
      </w:r>
      <w:r w:rsidR="00C675E0" w:rsidRPr="00C675E0">
        <w:t xml:space="preserve">publiskā izsolē, un tādēļ ir ticami, ka kapitāla daļas tiks atsavinātas </w:t>
      </w:r>
      <w:r w:rsidR="00937129">
        <w:t>citām</w:t>
      </w:r>
      <w:r w:rsidR="00937129" w:rsidRPr="00C675E0">
        <w:t xml:space="preserve"> </w:t>
      </w:r>
      <w:r w:rsidR="00C675E0" w:rsidRPr="00C675E0">
        <w:t>personām</w:t>
      </w:r>
      <w:r w:rsidR="00C57F60">
        <w:t xml:space="preserve"> un ka </w:t>
      </w:r>
      <w:r w:rsidR="00E87AB6" w:rsidRPr="00E87AB6">
        <w:t>piespiedu izpildes gadījumā var tikt pārdotas atbildētājam piederošās prasītāja</w:t>
      </w:r>
      <w:r w:rsidR="00E87AB6">
        <w:t xml:space="preserve"> </w:t>
      </w:r>
      <w:r w:rsidR="00E87AB6" w:rsidRPr="00E87AB6">
        <w:t>kapitāla daļas, kā rezultātā ne tikai prasītājam labvēlīga sprieduma izpilde kļūs neiespējama,</w:t>
      </w:r>
      <w:r w:rsidR="00E87AB6">
        <w:t xml:space="preserve"> </w:t>
      </w:r>
      <w:r w:rsidR="00E87AB6" w:rsidRPr="00E87AB6">
        <w:t xml:space="preserve">bet kopumā </w:t>
      </w:r>
      <w:r w:rsidR="00E87AB6" w:rsidRPr="00E87AB6">
        <w:lastRenderedPageBreak/>
        <w:t>zudīs pats prasības priekšmets, jo nav iespējams izslēgt no sabiedrības</w:t>
      </w:r>
      <w:r w:rsidR="00E87AB6">
        <w:t xml:space="preserve"> </w:t>
      </w:r>
      <w:r w:rsidR="00E87AB6" w:rsidRPr="00E87AB6">
        <w:t>dalībnieku, kuram vairs nepieder sabiedrības kapitāla daļas</w:t>
      </w:r>
      <w:r w:rsidR="00E87AB6">
        <w:t xml:space="preserve">. </w:t>
      </w:r>
    </w:p>
    <w:p w14:paraId="6D527ADF" w14:textId="6230A103" w:rsidR="00E21C06" w:rsidRDefault="005872E2" w:rsidP="00C111C3">
      <w:pPr>
        <w:spacing w:line="276" w:lineRule="auto"/>
        <w:ind w:firstLine="709"/>
        <w:jc w:val="both"/>
      </w:pPr>
      <w:r>
        <w:t>Līdz ar to</w:t>
      </w:r>
      <w:r w:rsidR="00AE51A4">
        <w:t xml:space="preserve"> </w:t>
      </w:r>
      <w:r w:rsidR="00AE51A4" w:rsidRPr="004B35C8">
        <w:t>Ventspils tiesa</w:t>
      </w:r>
      <w:r w:rsidR="00FD76A3">
        <w:t xml:space="preserve"> </w:t>
      </w:r>
      <w:r w:rsidR="008809A8" w:rsidRPr="008809A8">
        <w:t>aizliegum</w:t>
      </w:r>
      <w:r w:rsidR="00FD76A3">
        <w:t>u</w:t>
      </w:r>
      <w:r w:rsidR="008809A8" w:rsidRPr="008809A8">
        <w:t xml:space="preserve"> notei</w:t>
      </w:r>
      <w:r w:rsidR="00FD76A3">
        <w:t>ca</w:t>
      </w:r>
      <w:r w:rsidR="008809A8" w:rsidRPr="008809A8">
        <w:t xml:space="preserve"> ar mērķi novērst </w:t>
      </w:r>
      <w:r>
        <w:t>trešās personas</w:t>
      </w:r>
      <w:r w:rsidR="00836A32">
        <w:t xml:space="preserve"> </w:t>
      </w:r>
      <w:r w:rsidR="008809A8" w:rsidRPr="008809A8">
        <w:t xml:space="preserve">kapitāla daļu atsavināšanu vai apgrūtināšanu par labu </w:t>
      </w:r>
      <w:r>
        <w:t xml:space="preserve">citām </w:t>
      </w:r>
      <w:r w:rsidR="008809A8" w:rsidRPr="008809A8">
        <w:t>personām</w:t>
      </w:r>
      <w:r w:rsidR="00A40422">
        <w:t>.</w:t>
      </w:r>
      <w:r w:rsidR="00625200">
        <w:t xml:space="preserve"> Šāds prasības nodrošin</w:t>
      </w:r>
      <w:r w:rsidR="002D3683">
        <w:t xml:space="preserve">āšanas </w:t>
      </w:r>
      <w:r w:rsidR="00625200">
        <w:t xml:space="preserve">lēmums ir vērsts pret </w:t>
      </w:r>
      <w:r>
        <w:t xml:space="preserve">trešo </w:t>
      </w:r>
      <w:r w:rsidR="00C40105">
        <w:t>p</w:t>
      </w:r>
      <w:r>
        <w:t>ers</w:t>
      </w:r>
      <w:r w:rsidR="00C40105">
        <w:t>o</w:t>
      </w:r>
      <w:r>
        <w:t>nu</w:t>
      </w:r>
      <w:r w:rsidR="003E1EA3">
        <w:t>,</w:t>
      </w:r>
      <w:r w:rsidR="00DD2634">
        <w:t xml:space="preserve"> nevis pret </w:t>
      </w:r>
      <w:r w:rsidR="00A70843">
        <w:t>pieteicēju, kuras interešu aizsardzībai</w:t>
      </w:r>
      <w:r w:rsidR="009D7339">
        <w:t xml:space="preserve"> šāds prasības nodrošinā</w:t>
      </w:r>
      <w:r w:rsidR="002D3683">
        <w:t>juma</w:t>
      </w:r>
      <w:r w:rsidR="009D7339">
        <w:t xml:space="preserve"> līdzeklis piemērots</w:t>
      </w:r>
      <w:r w:rsidR="00DD2634">
        <w:t>.</w:t>
      </w:r>
    </w:p>
    <w:p w14:paraId="6B7C0BBF" w14:textId="77777777" w:rsidR="00E21C06" w:rsidRDefault="00E21C06" w:rsidP="00C111C3">
      <w:pPr>
        <w:spacing w:line="276" w:lineRule="auto"/>
        <w:ind w:firstLine="709"/>
        <w:jc w:val="both"/>
      </w:pPr>
    </w:p>
    <w:p w14:paraId="50AB4FE1" w14:textId="7C48F8FD" w:rsidR="00D710C6" w:rsidRDefault="0006192F" w:rsidP="00C111C3">
      <w:pPr>
        <w:spacing w:line="276" w:lineRule="auto"/>
        <w:ind w:firstLine="709"/>
        <w:jc w:val="both"/>
      </w:pPr>
      <w:r>
        <w:t>[1</w:t>
      </w:r>
      <w:r w:rsidR="00FC15CE">
        <w:t>0</w:t>
      </w:r>
      <w:r w:rsidR="003E1EA3">
        <w:t>] </w:t>
      </w:r>
      <w:r w:rsidR="001D0181">
        <w:t>Turpmāk vērtējams jautājums par</w:t>
      </w:r>
      <w:r w:rsidR="00AB2E18">
        <w:t xml:space="preserve"> </w:t>
      </w:r>
      <w:r w:rsidR="00B92F0F">
        <w:t xml:space="preserve">piemērotā nodrošinājuma līdzekļa </w:t>
      </w:r>
      <w:r w:rsidR="00AB2E18">
        <w:t>spēkā esīb</w:t>
      </w:r>
      <w:r w:rsidR="00364BD4">
        <w:t>as ilgumu</w:t>
      </w:r>
      <w:r w:rsidR="00AB2E18">
        <w:t>.</w:t>
      </w:r>
    </w:p>
    <w:p w14:paraId="527B60B9" w14:textId="63F09E14" w:rsidR="0073335A" w:rsidRDefault="00E13343" w:rsidP="00C111C3">
      <w:pPr>
        <w:spacing w:line="276" w:lineRule="auto"/>
        <w:ind w:firstLine="709"/>
        <w:jc w:val="both"/>
      </w:pPr>
      <w:r>
        <w:t xml:space="preserve">Atbilstoši </w:t>
      </w:r>
      <w:r w:rsidR="002A49D2">
        <w:t>Civilprocesa likuma 137.panta sestajai daļai j</w:t>
      </w:r>
      <w:r w:rsidR="002A49D2" w:rsidRPr="002A49D2">
        <w:t>autājumu par prasības nodrošināšanu vai pagaidu aizsardzību pieļaujams izskatīt jebkurā procesa stadijā, kā arī pirms prasības celšanas tiesā</w:t>
      </w:r>
      <w:r w:rsidR="002A49D2">
        <w:t>.</w:t>
      </w:r>
    </w:p>
    <w:p w14:paraId="76F4892A" w14:textId="6B2548F8" w:rsidR="00E24B33" w:rsidRDefault="00E24B33" w:rsidP="00C111C3">
      <w:pPr>
        <w:spacing w:line="276" w:lineRule="auto"/>
        <w:ind w:firstLine="709"/>
        <w:jc w:val="both"/>
      </w:pPr>
      <w:r>
        <w:t xml:space="preserve">Vērtējot jautājumu </w:t>
      </w:r>
      <w:r w:rsidRPr="00EB7C80">
        <w:t>par prasības nodrošinājum</w:t>
      </w:r>
      <w:r>
        <w:t>a spēkā esības ilgumu, Senāts ir atzinis, ka</w:t>
      </w:r>
      <w:r w:rsidRPr="000E5027">
        <w:t xml:space="preserve"> visi procesuālo tiesību aizsardzības līdzekļi ir vērsti uz viena mērķa – prasības un attiecīgi arī sprieduma, ar kuru prasība tiek apmierināta, izpildes nodrošināšanu. Faktiski prasības nodrošinājums savu nozīmi zaudē tikai ar brīdi, kad spriedums ir izpildīts un vairs nepastāv mērķis (nodrošināt sprieduma izpildi), kura sasniegšanai tas piemērots.</w:t>
      </w:r>
      <w:r w:rsidR="00741FA3">
        <w:t xml:space="preserve"> </w:t>
      </w:r>
      <w:r w:rsidR="003E1EA3">
        <w:t>P</w:t>
      </w:r>
      <w:r w:rsidRPr="000E5027">
        <w:t xml:space="preserve">rasības apmierināšanas gadījumā prasības nodrošinājums tāpat kā pagaidu aizsardzība var turpināties arī laikā pēc sprieduma taisīšanas un spēkā stāšanās. </w:t>
      </w:r>
      <w:r w:rsidRPr="00E82261">
        <w:t>Ja lēmums par prasības nodrošinājumu zaudētu spēku ar sprieduma par prasības apmierināšanu spēkā stāšanās brīdi, tad prasītāja intereses netiktu aizsargātas sprieduma labprātīgas izpildes laikā (</w:t>
      </w:r>
      <w:r w:rsidRPr="00E82261">
        <w:rPr>
          <w:i/>
          <w:iCs/>
        </w:rPr>
        <w:t xml:space="preserve">Civilprocesa </w:t>
      </w:r>
      <w:r w:rsidR="009D2C80">
        <w:rPr>
          <w:i/>
          <w:iCs/>
        </w:rPr>
        <w:t xml:space="preserve">likuma </w:t>
      </w:r>
      <w:r w:rsidRPr="00E82261">
        <w:rPr>
          <w:i/>
          <w:iCs/>
        </w:rPr>
        <w:t>204.</w:t>
      </w:r>
      <w:r w:rsidRPr="00E82261">
        <w:rPr>
          <w:i/>
          <w:iCs/>
          <w:vertAlign w:val="superscript"/>
        </w:rPr>
        <w:t>1</w:t>
      </w:r>
      <w:r w:rsidRPr="00E82261">
        <w:rPr>
          <w:i/>
          <w:iCs/>
        </w:rPr>
        <w:t>panta otrā daļa</w:t>
      </w:r>
      <w:r w:rsidRPr="00E82261">
        <w:t>), kamēr spriedums netiek iesniegts piespiedu izpildei un nepastāv iespēja piemērot sprieduma piespiedu izpildes līdzekļus (</w:t>
      </w:r>
      <w:r w:rsidRPr="00E82261">
        <w:rPr>
          <w:i/>
          <w:iCs/>
        </w:rPr>
        <w:t>Civilprocesa likuma 555.pants</w:t>
      </w:r>
      <w:r w:rsidRPr="00E82261">
        <w:t>)</w:t>
      </w:r>
      <w:r w:rsidR="00CC0326">
        <w:t xml:space="preserve"> </w:t>
      </w:r>
      <w:r w:rsidR="003E1EA3" w:rsidRPr="00C054CD">
        <w:t>(</w:t>
      </w:r>
      <w:r w:rsidRPr="007E1E0E">
        <w:rPr>
          <w:i/>
          <w:iCs/>
        </w:rPr>
        <w:t xml:space="preserve">Senāta 2024.gada 22.janvāra lēmuma lietā Nr. SKC-150/2024, </w:t>
      </w:r>
      <w:hyperlink r:id="rId10" w:history="1">
        <w:r w:rsidRPr="007E1E0E">
          <w:rPr>
            <w:rStyle w:val="Hyperlink"/>
            <w:i/>
            <w:iCs/>
          </w:rPr>
          <w:t>ECLI:LV:AT:2024:0122.C73675420.35.L</w:t>
        </w:r>
      </w:hyperlink>
      <w:r w:rsidRPr="007E1E0E">
        <w:rPr>
          <w:i/>
          <w:iCs/>
        </w:rPr>
        <w:t>, 8.2.punkts</w:t>
      </w:r>
      <w:r w:rsidRPr="00C054CD">
        <w:t>)</w:t>
      </w:r>
      <w:r w:rsidRPr="003E1EA3">
        <w:t>.</w:t>
      </w:r>
    </w:p>
    <w:p w14:paraId="1E3EFFD4" w14:textId="5FA2EEE7" w:rsidR="00E24B33" w:rsidRDefault="003E1EA3" w:rsidP="00C111C3">
      <w:pPr>
        <w:spacing w:line="276" w:lineRule="auto"/>
        <w:ind w:firstLine="709"/>
        <w:jc w:val="both"/>
      </w:pPr>
      <w:r>
        <w:t xml:space="preserve">Ievērojot minēto, atbilstoši </w:t>
      </w:r>
      <w:r w:rsidR="00E24B33">
        <w:t>Senāt</w:t>
      </w:r>
      <w:r w:rsidR="001E64C1">
        <w:t>a judikatūr</w:t>
      </w:r>
      <w:r>
        <w:t xml:space="preserve">ai </w:t>
      </w:r>
      <w:r w:rsidR="00E24B33">
        <w:t xml:space="preserve">prasības nodrošinājums prasības apmierināšanas gadījumā var turpināties līdz </w:t>
      </w:r>
      <w:r w:rsidR="00FF38BA">
        <w:t xml:space="preserve">brīdim, kad </w:t>
      </w:r>
      <w:r w:rsidR="00E24B33">
        <w:t>vairs nepastāv mērķis, kura sasniegšanai tas piemērots</w:t>
      </w:r>
      <w:r w:rsidR="001E64C1">
        <w:t>, ja vien tas netiek atcelts.</w:t>
      </w:r>
    </w:p>
    <w:p w14:paraId="26672F10" w14:textId="73B25FE7" w:rsidR="00BE6384" w:rsidRDefault="00BE6384" w:rsidP="00C111C3">
      <w:pPr>
        <w:spacing w:line="276" w:lineRule="auto"/>
        <w:ind w:firstLine="709"/>
        <w:jc w:val="both"/>
      </w:pPr>
    </w:p>
    <w:p w14:paraId="74682B41" w14:textId="14ABD449" w:rsidR="003A7CB9" w:rsidRDefault="00B86D57" w:rsidP="00C111C3">
      <w:pPr>
        <w:spacing w:line="276" w:lineRule="auto"/>
        <w:ind w:firstLine="709"/>
        <w:jc w:val="both"/>
      </w:pPr>
      <w:r w:rsidRPr="00FC15CE">
        <w:t>[1</w:t>
      </w:r>
      <w:r w:rsidR="00FC15CE" w:rsidRPr="00FC15CE">
        <w:t>1</w:t>
      </w:r>
      <w:r w:rsidR="003E1EA3" w:rsidRPr="00FC15CE">
        <w:t>]</w:t>
      </w:r>
      <w:r w:rsidR="003E1EA3">
        <w:t> </w:t>
      </w:r>
      <w:r w:rsidR="006F39F3">
        <w:t>A</w:t>
      </w:r>
      <w:r w:rsidR="003A7CB9" w:rsidRPr="00FC15CE">
        <w:t xml:space="preserve">r </w:t>
      </w:r>
      <w:r w:rsidR="00D2029D" w:rsidRPr="00FC15CE">
        <w:t>spriedum</w:t>
      </w:r>
      <w:r w:rsidR="003A7CB9" w:rsidRPr="00FC15CE">
        <w:t>u</w:t>
      </w:r>
      <w:r w:rsidR="00D2029D" w:rsidRPr="00FC15CE">
        <w:t xml:space="preserve"> </w:t>
      </w:r>
      <w:r w:rsidR="006F39F3">
        <w:t>civil</w:t>
      </w:r>
      <w:r w:rsidR="00D2029D" w:rsidRPr="00FC15CE">
        <w:t>lietā</w:t>
      </w:r>
      <w:r w:rsidR="00D2029D" w:rsidRPr="004B35C8">
        <w:t xml:space="preserve"> </w:t>
      </w:r>
      <w:r w:rsidR="003A7CB9">
        <w:t>apmierinā</w:t>
      </w:r>
      <w:r w:rsidR="006F39F3">
        <w:t>ta</w:t>
      </w:r>
      <w:r w:rsidR="003A7CB9">
        <w:t xml:space="preserve"> pieteicējas </w:t>
      </w:r>
      <w:r w:rsidR="006F39F3">
        <w:t xml:space="preserve">prasība </w:t>
      </w:r>
      <w:r w:rsidR="003A7CB9">
        <w:t>un</w:t>
      </w:r>
      <w:r w:rsidR="003E1EA3">
        <w:t xml:space="preserve"> </w:t>
      </w:r>
      <w:r w:rsidR="003A7CB9">
        <w:t>treš</w:t>
      </w:r>
      <w:r w:rsidR="006F39F3">
        <w:t>ā</w:t>
      </w:r>
      <w:r w:rsidR="003A7CB9">
        <w:t xml:space="preserve"> </w:t>
      </w:r>
      <w:r w:rsidR="006F39F3">
        <w:t xml:space="preserve">persona izslēgta </w:t>
      </w:r>
      <w:r w:rsidR="003A7CB9">
        <w:t>no sabiedrības dalībnieku sastāva. Vienlai</w:t>
      </w:r>
      <w:r w:rsidR="00937129">
        <w:t>kus</w:t>
      </w:r>
      <w:r w:rsidR="003A7CB9">
        <w:t xml:space="preserve"> Kurzemes apgabaltiesa noraidīja </w:t>
      </w:r>
      <w:r w:rsidR="00951494">
        <w:t>trešās personas</w:t>
      </w:r>
      <w:r w:rsidR="00633814">
        <w:t xml:space="preserve"> lūgum</w:t>
      </w:r>
      <w:r w:rsidR="003A7CB9">
        <w:t>u</w:t>
      </w:r>
      <w:r w:rsidR="00633814">
        <w:t xml:space="preserve"> par </w:t>
      </w:r>
      <w:r w:rsidR="00A82B32">
        <w:t>prasības nodrošinā</w:t>
      </w:r>
      <w:r w:rsidR="00951494">
        <w:t>juma</w:t>
      </w:r>
      <w:r w:rsidR="00A82B32">
        <w:t xml:space="preserve"> līdzekļa atcelšanu.</w:t>
      </w:r>
      <w:r w:rsidR="00A80C66">
        <w:t xml:space="preserve"> </w:t>
      </w:r>
    </w:p>
    <w:p w14:paraId="24CA25C0" w14:textId="352BE76D" w:rsidR="00310889" w:rsidRDefault="00A80C66" w:rsidP="00C111C3">
      <w:pPr>
        <w:spacing w:line="276" w:lineRule="auto"/>
        <w:ind w:firstLine="709"/>
        <w:jc w:val="both"/>
      </w:pPr>
      <w:r>
        <w:t>Kurzemes apgabaltiesa</w:t>
      </w:r>
      <w:r w:rsidR="008A086F">
        <w:t xml:space="preserve"> norādīja, ka </w:t>
      </w:r>
      <w:r w:rsidR="000513CE">
        <w:t>p</w:t>
      </w:r>
      <w:r w:rsidR="000513CE" w:rsidRPr="000513CE">
        <w:t>rasība ir celta</w:t>
      </w:r>
      <w:r w:rsidR="00740F70">
        <w:t>,</w:t>
      </w:r>
      <w:r w:rsidR="000513CE" w:rsidRPr="000513CE">
        <w:t xml:space="preserve"> pamatojoties uz Komerclikuma 195.pantu</w:t>
      </w:r>
      <w:r w:rsidR="00740F70">
        <w:t>,</w:t>
      </w:r>
      <w:r w:rsidR="000513CE" w:rsidRPr="000513CE">
        <w:t xml:space="preserve"> un tiek</w:t>
      </w:r>
      <w:r w:rsidR="000513CE">
        <w:t xml:space="preserve"> </w:t>
      </w:r>
      <w:r w:rsidR="000513CE" w:rsidRPr="000513CE">
        <w:t>apmierināta. Gadījumā, ja spriedums stāsies likumīgā spēkā, tā izpilde notiks</w:t>
      </w:r>
      <w:r w:rsidR="004A185F">
        <w:t xml:space="preserve"> </w:t>
      </w:r>
      <w:r w:rsidR="000513CE" w:rsidRPr="000513CE">
        <w:t>atbilstoši Komerclikuma 195.panta trešās daļas noteikumiem, proti,</w:t>
      </w:r>
      <w:r w:rsidR="00110932">
        <w:t xml:space="preserve"> </w:t>
      </w:r>
      <w:r w:rsidR="000513CE" w:rsidRPr="000513CE">
        <w:t>dalībnieka</w:t>
      </w:r>
      <w:r w:rsidR="004A185F">
        <w:t xml:space="preserve"> </w:t>
      </w:r>
      <w:r w:rsidR="000513CE" w:rsidRPr="000513CE">
        <w:t>izslēgšanas gadījumā viņa daļas pāriet sabiedrībai, kurai ir pienākums izmaksāt</w:t>
      </w:r>
      <w:r w:rsidR="004A185F">
        <w:t xml:space="preserve"> </w:t>
      </w:r>
      <w:r w:rsidR="000513CE" w:rsidRPr="000513CE">
        <w:t xml:space="preserve">izslēgtajam dalībniekam viņa ieguldījumu, kuru nosaka atbilstoši </w:t>
      </w:r>
      <w:r w:rsidR="003A7CB9">
        <w:t>Komerc</w:t>
      </w:r>
      <w:r w:rsidR="000513CE" w:rsidRPr="000513CE">
        <w:t>likuma 156.panta</w:t>
      </w:r>
      <w:r w:rsidR="004A185F">
        <w:t xml:space="preserve"> </w:t>
      </w:r>
      <w:r w:rsidR="000513CE" w:rsidRPr="000513CE">
        <w:t>otrās daļas noteikumiem.</w:t>
      </w:r>
      <w:r w:rsidR="004A185F">
        <w:t xml:space="preserve"> </w:t>
      </w:r>
    </w:p>
    <w:p w14:paraId="7F3DAB0B" w14:textId="76311241" w:rsidR="00375075" w:rsidRDefault="00F642CE" w:rsidP="00C111C3">
      <w:pPr>
        <w:spacing w:line="276" w:lineRule="auto"/>
        <w:ind w:firstLine="709"/>
        <w:jc w:val="both"/>
      </w:pPr>
      <w:r>
        <w:t xml:space="preserve">Vērtējot </w:t>
      </w:r>
      <w:r w:rsidR="00951494">
        <w:t>trešās personas</w:t>
      </w:r>
      <w:r>
        <w:t xml:space="preserve"> </w:t>
      </w:r>
      <w:r w:rsidR="008028A6">
        <w:t>pieteikumu par prasības nodrošinājuma atcelšanu</w:t>
      </w:r>
      <w:r>
        <w:t xml:space="preserve">, </w:t>
      </w:r>
      <w:r w:rsidR="003A7CB9">
        <w:t xml:space="preserve">Kurzemes apgabaltiesa </w:t>
      </w:r>
      <w:r w:rsidR="00310889">
        <w:t>norādīja, ka v</w:t>
      </w:r>
      <w:r w:rsidR="00982403" w:rsidRPr="00982403">
        <w:t>iens no Komerclikuma 195.panta mērķiem ir novērst turpmāka kaitējuma</w:t>
      </w:r>
      <w:r w:rsidR="00310889">
        <w:t xml:space="preserve"> </w:t>
      </w:r>
      <w:r w:rsidR="00982403" w:rsidRPr="00982403">
        <w:t>nodarīšanu sabiedrībai no tai nelojāla dalībnieka puses.</w:t>
      </w:r>
      <w:r w:rsidR="00FB4F15">
        <w:t xml:space="preserve"> </w:t>
      </w:r>
      <w:r w:rsidR="00982403" w:rsidRPr="00982403">
        <w:t>Komerclikuma 195.panta trešajā daļā ietvertās sekas prasības par dalībnieka</w:t>
      </w:r>
      <w:r w:rsidR="00FB4F15">
        <w:t xml:space="preserve"> </w:t>
      </w:r>
      <w:r w:rsidR="00982403" w:rsidRPr="00982403">
        <w:t>izslēgšanu apmierināšanas gadījumā, proti, kapitāla da</w:t>
      </w:r>
      <w:r w:rsidR="00DA4C1A">
        <w:t>ļ</w:t>
      </w:r>
      <w:r w:rsidR="00982403" w:rsidRPr="00982403">
        <w:t>u pāreja pašai sabiedrībai,</w:t>
      </w:r>
      <w:r w:rsidR="00DA4C1A">
        <w:t xml:space="preserve"> </w:t>
      </w:r>
      <w:r w:rsidR="00982403" w:rsidRPr="00982403">
        <w:t>nevar tikt vērtētas atrauti no mērķa novērst turpmāku kaitējumu.</w:t>
      </w:r>
      <w:r w:rsidR="009C7725">
        <w:t xml:space="preserve"> </w:t>
      </w:r>
      <w:r w:rsidR="009C7725" w:rsidRPr="009C7725">
        <w:t>Gadījumā, ja atbildētājam piederošās kapitāla daļas prāvas laikā (līdz brīdim,</w:t>
      </w:r>
      <w:r w:rsidR="009C7725">
        <w:t xml:space="preserve"> </w:t>
      </w:r>
      <w:r w:rsidR="009C7725" w:rsidRPr="009C7725">
        <w:t>kamēr stājas spēkā tiesas spriedums) tiek atsavinātas brīvprātīgi, pārdodot tās pašam</w:t>
      </w:r>
      <w:r w:rsidR="009C7725">
        <w:t xml:space="preserve"> </w:t>
      </w:r>
      <w:r w:rsidR="009C7725" w:rsidRPr="009C7725">
        <w:t xml:space="preserve">atbildētājam vai pārdodot tās piespiedu izsolē, </w:t>
      </w:r>
      <w:r w:rsidR="009C7725" w:rsidRPr="009C7725">
        <w:lastRenderedPageBreak/>
        <w:t>kas tiek rīkota, pamatojoties uz trešo</w:t>
      </w:r>
      <w:r w:rsidR="009C7725">
        <w:t xml:space="preserve"> </w:t>
      </w:r>
      <w:r w:rsidR="009C7725" w:rsidRPr="009C7725">
        <w:t>personu kā daļu īpašnieka kreditoru uzsāktu tiesu nolēmumu vai izpildāmu aktu</w:t>
      </w:r>
      <w:r w:rsidR="00454733">
        <w:t xml:space="preserve"> </w:t>
      </w:r>
      <w:r w:rsidR="00454733" w:rsidRPr="00454733">
        <w:t>izpildes procesu, prasītājs būs spiests pieņemt vai nu atbildētāja izvēlēto kapitāla daļu</w:t>
      </w:r>
      <w:r w:rsidR="00454733">
        <w:t xml:space="preserve"> </w:t>
      </w:r>
      <w:r w:rsidR="00454733" w:rsidRPr="00454733">
        <w:t>jauno īpašnieku</w:t>
      </w:r>
      <w:r w:rsidR="00657341">
        <w:t>,</w:t>
      </w:r>
      <w:r w:rsidR="00454733" w:rsidRPr="00454733">
        <w:t xml:space="preserve"> vai nu izsoles rezultātā kapitāla daļas ieguvušo jauno īpašnieku, kas</w:t>
      </w:r>
      <w:r w:rsidR="00FC15CE">
        <w:t xml:space="preserve"> </w:t>
      </w:r>
      <w:r w:rsidR="00454733" w:rsidRPr="00454733">
        <w:t>ir pretrunā Komerclikuma 195.panta trešajā daļā noteiktajām</w:t>
      </w:r>
      <w:r w:rsidR="00454733">
        <w:t xml:space="preserve"> </w:t>
      </w:r>
      <w:r w:rsidR="00454733" w:rsidRPr="00454733">
        <w:t>sekām attiecībā uz kapitāla daļu pāreju, turklāt tiesas sprieduma izpilde izskatāmajā</w:t>
      </w:r>
      <w:r w:rsidR="00454733">
        <w:t xml:space="preserve"> </w:t>
      </w:r>
      <w:r w:rsidR="00454733" w:rsidRPr="00454733">
        <w:t>lietā nebūs iespējama saturiski un pēc Komerclikuma 195.panta jēguma</w:t>
      </w:r>
      <w:r w:rsidR="00454733">
        <w:t>.</w:t>
      </w:r>
    </w:p>
    <w:p w14:paraId="49907E3E" w14:textId="70FA3789" w:rsidR="00EF6DD2" w:rsidRDefault="00EF6DD2" w:rsidP="00C111C3">
      <w:pPr>
        <w:spacing w:line="276" w:lineRule="auto"/>
        <w:ind w:firstLine="709"/>
        <w:jc w:val="both"/>
      </w:pPr>
      <w:r>
        <w:t>Tādējādi</w:t>
      </w:r>
      <w:r w:rsidR="00ED63DE">
        <w:t xml:space="preserve"> </w:t>
      </w:r>
      <w:r w:rsidR="00FC15CE">
        <w:t xml:space="preserve">atbilstoši minētajam </w:t>
      </w:r>
      <w:r w:rsidR="00ED63DE" w:rsidRPr="004B35C8">
        <w:t xml:space="preserve">Kurzemes apgabaltiesas </w:t>
      </w:r>
      <w:r w:rsidR="00FC15CE">
        <w:t>nolēmumam civillietā piemērotais prasības n</w:t>
      </w:r>
      <w:r w:rsidR="002D0B7C">
        <w:t xml:space="preserve">odrošinājums </w:t>
      </w:r>
      <w:r w:rsidR="00FC15CE">
        <w:t xml:space="preserve">ir saglabājams līdz </w:t>
      </w:r>
      <w:r w:rsidR="0072197A" w:rsidRPr="00454733">
        <w:t>tiesas sprieduma izpilde</w:t>
      </w:r>
      <w:r w:rsidR="00FC15CE">
        <w:t>i</w:t>
      </w:r>
      <w:r w:rsidR="00861E77">
        <w:t>.</w:t>
      </w:r>
    </w:p>
    <w:p w14:paraId="35972751" w14:textId="77777777" w:rsidR="00EF6DD2" w:rsidRDefault="00EF6DD2" w:rsidP="00C111C3">
      <w:pPr>
        <w:spacing w:line="276" w:lineRule="auto"/>
        <w:ind w:firstLine="709"/>
        <w:jc w:val="both"/>
      </w:pPr>
    </w:p>
    <w:p w14:paraId="49A98ECA" w14:textId="13F9431E" w:rsidR="008028A6" w:rsidRDefault="00ED0174" w:rsidP="00C111C3">
      <w:pPr>
        <w:spacing w:line="276" w:lineRule="auto"/>
        <w:ind w:firstLine="709"/>
        <w:jc w:val="both"/>
      </w:pPr>
      <w:r>
        <w:t>[12</w:t>
      </w:r>
      <w:r w:rsidR="00D943DA">
        <w:t>] </w:t>
      </w:r>
      <w:r w:rsidR="00336E6C">
        <w:t xml:space="preserve">Tiesisko pamatu dalībnieka izslēgšanai </w:t>
      </w:r>
      <w:r w:rsidR="00B2089C">
        <w:t xml:space="preserve">no sabiedrības </w:t>
      </w:r>
      <w:r w:rsidR="00336E6C">
        <w:t xml:space="preserve">noteic Komerclikuma 195.pants. Tiesa var izslēgt dalībnieku no sabiedrības, pamatojoties uz sabiedrības prasību 195.panta pirmajā daļā noteiktajos gadījumos. Savukārt tiesas sprieduma, ar kuru dalībnieks izslēgts no sabiedrības, tiesiskās sekas noteic 195.panta trešā daļa – dalībnieka izslēgšanas gadījumā viņa daļas pāriet sabiedrībai. </w:t>
      </w:r>
      <w:r w:rsidR="008A4847">
        <w:t xml:space="preserve">Tas </w:t>
      </w:r>
      <w:r w:rsidR="00B2089C">
        <w:t>ir Komerclikumā noteikts izņēmuma gadījums, jo vispārīgi sabiedrība nedrīkst iegūt savas daļas (</w:t>
      </w:r>
      <w:r w:rsidR="00B2089C" w:rsidRPr="00B2089C">
        <w:rPr>
          <w:i/>
          <w:iCs/>
        </w:rPr>
        <w:t>Komerclikuma 192.panta pirmās daļas 5.punkts</w:t>
      </w:r>
      <w:r w:rsidR="00B2089C">
        <w:t>).</w:t>
      </w:r>
    </w:p>
    <w:p w14:paraId="79EF3054" w14:textId="42225815" w:rsidR="00CC2F00" w:rsidRDefault="006F39F3" w:rsidP="00C111C3">
      <w:pPr>
        <w:spacing w:line="276" w:lineRule="auto"/>
        <w:ind w:firstLine="709"/>
        <w:jc w:val="both"/>
      </w:pPr>
      <w:r>
        <w:t>S</w:t>
      </w:r>
      <w:r w:rsidR="00175DB3" w:rsidRPr="00FC15CE">
        <w:t>priedum</w:t>
      </w:r>
      <w:r w:rsidR="00175DB3">
        <w:t>s</w:t>
      </w:r>
      <w:r w:rsidR="00175DB3" w:rsidRPr="00FC15CE">
        <w:t xml:space="preserve"> </w:t>
      </w:r>
      <w:r w:rsidR="00175DB3">
        <w:t>civil</w:t>
      </w:r>
      <w:r w:rsidR="00175DB3" w:rsidRPr="00FC15CE">
        <w:t>lietā</w:t>
      </w:r>
      <w:r w:rsidR="00175DB3" w:rsidRPr="004B35C8">
        <w:t xml:space="preserve"> </w:t>
      </w:r>
      <w:r w:rsidR="00175DB3">
        <w:t>stājās spēkā 2019.gada 12.aprīlī</w:t>
      </w:r>
      <w:r w:rsidR="008A4847">
        <w:t>,</w:t>
      </w:r>
      <w:r w:rsidR="00175DB3">
        <w:t xml:space="preserve"> un </w:t>
      </w:r>
      <w:r w:rsidR="00951494">
        <w:t xml:space="preserve">tieši </w:t>
      </w:r>
      <w:r w:rsidR="00175DB3">
        <w:t xml:space="preserve">šajā brīdī </w:t>
      </w:r>
      <w:r w:rsidR="00951494">
        <w:t xml:space="preserve">trešās personas </w:t>
      </w:r>
      <w:r w:rsidR="00175DB3">
        <w:t xml:space="preserve">daļas sabiedrībā ieguva pati sabiedrība – pieteicēja – uz </w:t>
      </w:r>
      <w:r w:rsidR="005715AB">
        <w:t xml:space="preserve">tiesas sprieduma un </w:t>
      </w:r>
      <w:r w:rsidR="00175DB3">
        <w:t>likuma pamata.</w:t>
      </w:r>
      <w:r w:rsidR="005715AB">
        <w:t xml:space="preserve"> </w:t>
      </w:r>
    </w:p>
    <w:p w14:paraId="6C09CF46" w14:textId="77777777" w:rsidR="00175DB3" w:rsidRDefault="00175DB3" w:rsidP="00C111C3">
      <w:pPr>
        <w:spacing w:line="276" w:lineRule="auto"/>
        <w:ind w:firstLine="709"/>
        <w:jc w:val="both"/>
      </w:pPr>
    </w:p>
    <w:p w14:paraId="7A73B0BC" w14:textId="5387CDD1" w:rsidR="00175DB3" w:rsidRDefault="00175DB3" w:rsidP="00C111C3">
      <w:pPr>
        <w:spacing w:line="276" w:lineRule="auto"/>
        <w:ind w:firstLine="709"/>
        <w:jc w:val="both"/>
      </w:pPr>
      <w:r>
        <w:t>[13</w:t>
      </w:r>
      <w:r w:rsidR="008A4847">
        <w:t>] </w:t>
      </w:r>
      <w:r>
        <w:t xml:space="preserve">Sabiedrība ved dalībnieku reģistru </w:t>
      </w:r>
      <w:r w:rsidR="00C40105">
        <w:t xml:space="preserve">citstarp </w:t>
      </w:r>
      <w:r>
        <w:t>daļu pārejas atspoguļošanai (</w:t>
      </w:r>
      <w:r w:rsidRPr="000D1C27">
        <w:rPr>
          <w:i/>
          <w:iCs/>
        </w:rPr>
        <w:t>Komerclikuma 187.</w:t>
      </w:r>
      <w:r w:rsidR="00C40105">
        <w:rPr>
          <w:i/>
          <w:iCs/>
        </w:rPr>
        <w:t xml:space="preserve">panta </w:t>
      </w:r>
      <w:r w:rsidR="000D1C27" w:rsidRPr="000D1C27">
        <w:rPr>
          <w:i/>
          <w:iCs/>
        </w:rPr>
        <w:t>pirmā daļa</w:t>
      </w:r>
      <w:r w:rsidR="000D1C27">
        <w:t>). Dalībnieku reģistrs ir lieta, kuru veido atsevišķi nodalījumi, kurus</w:t>
      </w:r>
      <w:r w:rsidR="0025708A">
        <w:t xml:space="preserve"> savukārt</w:t>
      </w:r>
      <w:r w:rsidR="000D1C27">
        <w:t xml:space="preserve"> sastāda divos eksemplāros: vienu pievieno dalībnieku reģistram, bet otru Komerclikumā noteiktajā kārtībā iesniedz komercreģistra iestādei (</w:t>
      </w:r>
      <w:r w:rsidR="000D1C27" w:rsidRPr="000D1C27">
        <w:rPr>
          <w:i/>
          <w:iCs/>
        </w:rPr>
        <w:t>Komerclikuma 187.panta otrā un trešā daļa</w:t>
      </w:r>
      <w:r w:rsidR="000D1C27">
        <w:t>). Vispārīgā gadījumā valde</w:t>
      </w:r>
      <w:r w:rsidR="00FF38BA">
        <w:t xml:space="preserve"> izdara ierakstus dalībnieku reģistrā un</w:t>
      </w:r>
      <w:r w:rsidR="000D1C27">
        <w:t xml:space="preserve"> iesniedz komercreģistra iestādei pieteikumu par izmaiņām dalībnieku reģistrā, pievienojot pēdējo sabiedrības dalībnieka reģistra nodalījumu (</w:t>
      </w:r>
      <w:r w:rsidR="000D1C27" w:rsidRPr="0025708A">
        <w:rPr>
          <w:i/>
          <w:iCs/>
        </w:rPr>
        <w:t xml:space="preserve">Komerclikuma </w:t>
      </w:r>
      <w:r w:rsidR="0025708A" w:rsidRPr="0025708A">
        <w:rPr>
          <w:i/>
          <w:iCs/>
        </w:rPr>
        <w:t>187.</w:t>
      </w:r>
      <w:r w:rsidR="0025708A" w:rsidRPr="0025708A">
        <w:rPr>
          <w:i/>
          <w:iCs/>
          <w:vertAlign w:val="superscript"/>
        </w:rPr>
        <w:t>1</w:t>
      </w:r>
      <w:r w:rsidR="0025708A" w:rsidRPr="0025708A">
        <w:rPr>
          <w:i/>
          <w:iCs/>
        </w:rPr>
        <w:t xml:space="preserve">panta </w:t>
      </w:r>
      <w:r w:rsidR="00FF38BA">
        <w:rPr>
          <w:i/>
          <w:iCs/>
        </w:rPr>
        <w:t xml:space="preserve">sestā un </w:t>
      </w:r>
      <w:r w:rsidR="0025708A" w:rsidRPr="0025708A">
        <w:rPr>
          <w:i/>
          <w:iCs/>
        </w:rPr>
        <w:t>septītā daļa</w:t>
      </w:r>
      <w:r w:rsidR="0025708A">
        <w:t>).</w:t>
      </w:r>
      <w:r w:rsidR="00D23BFB">
        <w:t xml:space="preserve"> </w:t>
      </w:r>
    </w:p>
    <w:p w14:paraId="33848A8D" w14:textId="5F321F9A" w:rsidR="001F3F96" w:rsidRDefault="005715AB" w:rsidP="00C111C3">
      <w:pPr>
        <w:spacing w:line="276" w:lineRule="auto"/>
        <w:ind w:firstLine="709"/>
        <w:jc w:val="both"/>
      </w:pPr>
      <w:r>
        <w:t>Dalībnieku reģistrs no juridiskā viedokļa ir nepieciešams pašai komercsabiedrībai un tās dalībniekiem, jo tā ieraksti konstituē sabiedrības un tās dalībnieku savstarpējās privāttiesiskās attiecības. Tas ir instruments sabiedrības un dalībnieku savstarpējo tiesisko attiecību kārtošanai, kuram nav nekāda juridiska spēka uz ārpusi. Sabiedrības ar ierobežotu atbildību dalībnieku reģistrs tiek publiskots</w:t>
      </w:r>
      <w:r w:rsidR="007C3E71">
        <w:t>,</w:t>
      </w:r>
      <w:r>
        <w:t xml:space="preserve"> un tas notiek caur komercreģistra lietu: reģistra eksemplārs tiek pievienots attiecīgās sabiedrības reģistrācijas lietai, kur tas ir publiski pieejams (</w:t>
      </w:r>
      <w:r w:rsidRPr="006F7ED3">
        <w:rPr>
          <w:i/>
          <w:iCs/>
        </w:rPr>
        <w:t>Senāta 2018.gada 28.novembra sprieduma lietā Nr. </w:t>
      </w:r>
      <w:r w:rsidRPr="006F7ED3">
        <w:rPr>
          <w:bCs/>
          <w:i/>
          <w:iCs/>
        </w:rPr>
        <w:t>SKC</w:t>
      </w:r>
      <w:r w:rsidRPr="006F7ED3">
        <w:rPr>
          <w:bCs/>
          <w:i/>
          <w:iCs/>
        </w:rPr>
        <w:noBreakHyphen/>
        <w:t>266/2018,</w:t>
      </w:r>
      <w:r w:rsidR="0043609D" w:rsidRPr="00C054CD">
        <w:rPr>
          <w:bCs/>
          <w:i/>
          <w:iCs/>
        </w:rPr>
        <w:t xml:space="preserve"> </w:t>
      </w:r>
      <w:hyperlink r:id="rId11" w:history="1">
        <w:r w:rsidR="0043609D" w:rsidRPr="00C054CD">
          <w:rPr>
            <w:rStyle w:val="Hyperlink"/>
            <w:bCs/>
            <w:i/>
            <w:iCs/>
          </w:rPr>
          <w:t>ECLI:LV:AT:2018:1128.C30291015.1.S</w:t>
        </w:r>
      </w:hyperlink>
      <w:r w:rsidRPr="00C054CD">
        <w:rPr>
          <w:bCs/>
          <w:i/>
          <w:iCs/>
        </w:rPr>
        <w:t xml:space="preserve">, </w:t>
      </w:r>
      <w:r w:rsidRPr="006F7ED3">
        <w:rPr>
          <w:i/>
          <w:iCs/>
        </w:rPr>
        <w:t>9.3.punkts</w:t>
      </w:r>
      <w:r>
        <w:t>).</w:t>
      </w:r>
    </w:p>
    <w:p w14:paraId="4637DE10" w14:textId="63D01755" w:rsidR="006F7ED3" w:rsidRDefault="0036413A" w:rsidP="00C111C3">
      <w:pPr>
        <w:spacing w:line="276" w:lineRule="auto"/>
        <w:ind w:firstLine="709"/>
        <w:jc w:val="both"/>
      </w:pPr>
      <w:r>
        <w:t xml:space="preserve">Lietā nav strīda, ka uz sprieduma un likuma </w:t>
      </w:r>
      <w:r w:rsidR="006F7ED3">
        <w:t xml:space="preserve">pamata </w:t>
      </w:r>
      <w:r>
        <w:t xml:space="preserve">notikusī </w:t>
      </w:r>
      <w:r w:rsidR="007C3E71">
        <w:t xml:space="preserve">kapitāla </w:t>
      </w:r>
      <w:r>
        <w:t xml:space="preserve">daļu pāreja atspoguļota </w:t>
      </w:r>
      <w:r w:rsidR="003527E6">
        <w:t xml:space="preserve">sabiedrības </w:t>
      </w:r>
      <w:r>
        <w:t>dalībnieku reģistra nodalījumā</w:t>
      </w:r>
      <w:r w:rsidR="006F7ED3">
        <w:t xml:space="preserve">, kurā norādīts, ka </w:t>
      </w:r>
      <w:r w:rsidR="00951494">
        <w:t>trešā persona</w:t>
      </w:r>
      <w:r w:rsidR="006F7ED3">
        <w:t>, pamatojoties uz spriedumu</w:t>
      </w:r>
      <w:r w:rsidR="006F39F3">
        <w:t xml:space="preserve"> civillietā</w:t>
      </w:r>
      <w:r w:rsidR="006F7ED3">
        <w:t>, izslēgta no dalībnieku sastāva un atbilstoši K</w:t>
      </w:r>
      <w:r w:rsidR="00846C1E">
        <w:t>omerclikuma 1</w:t>
      </w:r>
      <w:r w:rsidR="006F7ED3">
        <w:t xml:space="preserve">95.panta trešajai daļai pati sabiedrība </w:t>
      </w:r>
      <w:r w:rsidR="00846C1E">
        <w:t xml:space="preserve">– pieteicēja – </w:t>
      </w:r>
      <w:r w:rsidR="006F7ED3">
        <w:t xml:space="preserve">ieguvusi </w:t>
      </w:r>
      <w:r w:rsidR="00951494">
        <w:t xml:space="preserve">trešajai personai </w:t>
      </w:r>
      <w:r w:rsidR="006F7ED3">
        <w:t xml:space="preserve">piederošās pamatkapitāla daļas. </w:t>
      </w:r>
      <w:r w:rsidR="00846C1E">
        <w:t>Attiecīgu pieteikumu izmaiņu sabiedrības dalībnieku reģistrā reģistrācijai komercreģistrā pieteicēja ies</w:t>
      </w:r>
      <w:r w:rsidR="00951494">
        <w:t>nie</w:t>
      </w:r>
      <w:r w:rsidR="00846C1E">
        <w:t>dza Uzņēmumu reģistrā</w:t>
      </w:r>
      <w:r w:rsidR="003527E6">
        <w:t xml:space="preserve">, </w:t>
      </w:r>
      <w:r w:rsidR="00846C1E">
        <w:t>un līdz ar to sabiedrības valde izpildīja minētajās tiesību normās uzlikto pienākumu.</w:t>
      </w:r>
    </w:p>
    <w:p w14:paraId="36F75A17" w14:textId="71EDE90E" w:rsidR="00EB35EC" w:rsidRDefault="006F7ED3" w:rsidP="00C111C3">
      <w:pPr>
        <w:spacing w:line="276" w:lineRule="auto"/>
        <w:ind w:firstLine="709"/>
        <w:jc w:val="both"/>
      </w:pPr>
      <w:r>
        <w:t>Senāts norāda</w:t>
      </w:r>
      <w:r w:rsidR="00BE5FC7">
        <w:t xml:space="preserve">: </w:t>
      </w:r>
      <w:r>
        <w:t xml:space="preserve">ja prasības nodrošinājums neliedz un pēc savas būtības nevar liegt </w:t>
      </w:r>
      <w:r w:rsidR="00951494">
        <w:t>trešās personas</w:t>
      </w:r>
      <w:r w:rsidR="002140E9">
        <w:t xml:space="preserve"> izslēgšanu no sabiedrības dalībnieku sastāva</w:t>
      </w:r>
      <w:r w:rsidR="002140E9" w:rsidRPr="002140E9">
        <w:t xml:space="preserve"> </w:t>
      </w:r>
      <w:r w:rsidR="002140E9">
        <w:t xml:space="preserve">un </w:t>
      </w:r>
      <w:r w:rsidR="00730C16">
        <w:t xml:space="preserve">līdz ar to </w:t>
      </w:r>
      <w:r w:rsidR="00050D06">
        <w:t xml:space="preserve">tās </w:t>
      </w:r>
      <w:r w:rsidR="006E3CE5">
        <w:t xml:space="preserve">kapitāla </w:t>
      </w:r>
      <w:r>
        <w:t xml:space="preserve">daļu pāreju </w:t>
      </w:r>
      <w:r w:rsidR="003B760B">
        <w:t xml:space="preserve">pieteicējai </w:t>
      </w:r>
      <w:r>
        <w:t>(</w:t>
      </w:r>
      <w:r w:rsidR="00846C1E">
        <w:t xml:space="preserve">kas faktiski ir </w:t>
      </w:r>
      <w:r>
        <w:t>sprieduma izpild</w:t>
      </w:r>
      <w:r w:rsidR="00846C1E">
        <w:t>e</w:t>
      </w:r>
      <w:r>
        <w:t>), tad arī š</w:t>
      </w:r>
      <w:r w:rsidR="00846C1E">
        <w:t>ī</w:t>
      </w:r>
      <w:r>
        <w:t xml:space="preserve"> prasības nodrošinājuma </w:t>
      </w:r>
      <w:r>
        <w:lastRenderedPageBreak/>
        <w:t>ietvaros</w:t>
      </w:r>
      <w:r w:rsidR="00846C1E">
        <w:t xml:space="preserve"> komercreģistrā </w:t>
      </w:r>
      <w:r>
        <w:t xml:space="preserve">reģistrētais aizliegums nevar būt šķērslis </w:t>
      </w:r>
      <w:r w:rsidR="002140E9">
        <w:t>attiecīg</w:t>
      </w:r>
      <w:r w:rsidR="00846C1E">
        <w:t>ā</w:t>
      </w:r>
      <w:r w:rsidR="002140E9">
        <w:t xml:space="preserve"> </w:t>
      </w:r>
      <w:r>
        <w:t>dalībnieku reģistra nodalījuma pievienošanai sabiedrības lietai</w:t>
      </w:r>
      <w:r w:rsidR="00846C1E">
        <w:t>.</w:t>
      </w:r>
    </w:p>
    <w:p w14:paraId="23FE0AEC" w14:textId="77777777" w:rsidR="004A107B" w:rsidRDefault="004A107B" w:rsidP="00C111C3">
      <w:pPr>
        <w:spacing w:line="276" w:lineRule="auto"/>
        <w:ind w:firstLine="709"/>
        <w:jc w:val="both"/>
      </w:pPr>
    </w:p>
    <w:p w14:paraId="6D1A6C38" w14:textId="4EB4BE4A" w:rsidR="001513AC" w:rsidRDefault="001513AC" w:rsidP="00C111C3">
      <w:pPr>
        <w:spacing w:line="276" w:lineRule="auto"/>
        <w:ind w:firstLine="709"/>
        <w:jc w:val="both"/>
      </w:pPr>
      <w:r>
        <w:t>[1</w:t>
      </w:r>
      <w:r w:rsidR="00846C1E">
        <w:t>4</w:t>
      </w:r>
      <w:r w:rsidR="00BE5FC7">
        <w:t>] </w:t>
      </w:r>
      <w:r w:rsidR="00846C1E">
        <w:t xml:space="preserve">Uzņēmumu </w:t>
      </w:r>
      <w:r>
        <w:t>reģistra</w:t>
      </w:r>
      <w:r w:rsidR="00846C1E">
        <w:t xml:space="preserve"> pozīcija</w:t>
      </w:r>
      <w:r>
        <w:t xml:space="preserve">, ka </w:t>
      </w:r>
      <w:r w:rsidR="00846C1E">
        <w:t xml:space="preserve">sabiedrības </w:t>
      </w:r>
      <w:r>
        <w:t xml:space="preserve">pieteikuma par </w:t>
      </w:r>
      <w:r w:rsidRPr="00CD3C3A">
        <w:t>izmaiņ</w:t>
      </w:r>
      <w:r>
        <w:t>ām</w:t>
      </w:r>
      <w:r w:rsidRPr="00CD3C3A">
        <w:t xml:space="preserve"> dalībnieku reģistrā</w:t>
      </w:r>
      <w:r>
        <w:t xml:space="preserve"> </w:t>
      </w:r>
      <w:r w:rsidR="00BE5FC7">
        <w:t xml:space="preserve">reģistrēšana </w:t>
      </w:r>
      <w:r>
        <w:t xml:space="preserve">ir iespējama tikai pēc </w:t>
      </w:r>
      <w:r w:rsidR="00BE5FC7">
        <w:t xml:space="preserve">lēmuma par prasības nodrošināšanu </w:t>
      </w:r>
      <w:r>
        <w:t>atcelšanas, ir pretrunā Komerclikuma 195.panta</w:t>
      </w:r>
      <w:r w:rsidR="00BE5FC7">
        <w:t>m</w:t>
      </w:r>
      <w:r>
        <w:t xml:space="preserve"> un prasības nodrošinājuma </w:t>
      </w:r>
      <w:r w:rsidR="00846C1E">
        <w:t xml:space="preserve">jēgai un </w:t>
      </w:r>
      <w:r>
        <w:t>mērķim.</w:t>
      </w:r>
    </w:p>
    <w:p w14:paraId="2E046FCB" w14:textId="402CBCC0" w:rsidR="00846C1E" w:rsidRDefault="001513AC" w:rsidP="00C111C3">
      <w:pPr>
        <w:spacing w:line="276" w:lineRule="auto"/>
        <w:ind w:firstLine="709"/>
        <w:jc w:val="both"/>
      </w:pPr>
      <w:r>
        <w:t xml:space="preserve">Komerclikuma 195.panta </w:t>
      </w:r>
      <w:r w:rsidRPr="00982403">
        <w:t>mērķi</w:t>
      </w:r>
      <w:r>
        <w:t>s</w:t>
      </w:r>
      <w:r w:rsidRPr="00982403">
        <w:t xml:space="preserve"> ir novērst turpmāka kaitējuma</w:t>
      </w:r>
      <w:r>
        <w:t xml:space="preserve"> </w:t>
      </w:r>
      <w:r w:rsidRPr="00982403">
        <w:t>nodarīšanu sabiedrībai no dalībnieka puses</w:t>
      </w:r>
      <w:r>
        <w:t xml:space="preserve">, attiecīgi šā panta trešā daļa noteic </w:t>
      </w:r>
      <w:r w:rsidRPr="00982403">
        <w:t>sekas prasības par dalībnieka</w:t>
      </w:r>
      <w:r>
        <w:t xml:space="preserve"> </w:t>
      </w:r>
      <w:r w:rsidRPr="00982403">
        <w:t>izslēgšanu apmierināšanas gadījumā, proti, kapitāla da</w:t>
      </w:r>
      <w:r>
        <w:t>ļ</w:t>
      </w:r>
      <w:r w:rsidRPr="00982403">
        <w:t xml:space="preserve">u </w:t>
      </w:r>
      <w:r>
        <w:t xml:space="preserve">piespiedu </w:t>
      </w:r>
      <w:r w:rsidRPr="00982403">
        <w:t>pārej</w:t>
      </w:r>
      <w:r>
        <w:t>u</w:t>
      </w:r>
      <w:r w:rsidRPr="00982403">
        <w:t xml:space="preserve"> pašai sabiedrībai</w:t>
      </w:r>
      <w:r>
        <w:t xml:space="preserve">. Savukārt atbilstoši Civilprocesa likuma 137.panta pirmajai daļai un 138.panta pirmās daļas 2.punktam </w:t>
      </w:r>
      <w:r w:rsidR="00846C1E">
        <w:t xml:space="preserve">dalībnieka izslēgšanas </w:t>
      </w:r>
      <w:r>
        <w:t xml:space="preserve">prasības nodrošināšanas </w:t>
      </w:r>
      <w:r w:rsidR="00846C1E">
        <w:t xml:space="preserve">atbilstošs </w:t>
      </w:r>
      <w:r>
        <w:t>līdzekli</w:t>
      </w:r>
      <w:r w:rsidR="00ED68F8">
        <w:t>s</w:t>
      </w:r>
      <w:r w:rsidR="00846C1E">
        <w:t xml:space="preserve"> ir</w:t>
      </w:r>
      <w:r>
        <w:t xml:space="preserve"> </w:t>
      </w:r>
      <w:r w:rsidRPr="00D710C6">
        <w:t>aizlieguma atzīmes ierakstīšan</w:t>
      </w:r>
      <w:r w:rsidR="00403E2D">
        <w:t>a</w:t>
      </w:r>
      <w:r w:rsidRPr="00D710C6">
        <w:t xml:space="preserve"> </w:t>
      </w:r>
      <w:r w:rsidR="00403E2D">
        <w:t>komerc</w:t>
      </w:r>
      <w:r w:rsidRPr="00D710C6">
        <w:t>reģistrā</w:t>
      </w:r>
      <w:r w:rsidR="008E7D17">
        <w:t xml:space="preserve"> attiecībā uz strīdus daļām.</w:t>
      </w:r>
    </w:p>
    <w:p w14:paraId="5C4E62A5" w14:textId="149BC08A" w:rsidR="001513AC" w:rsidRDefault="001513AC" w:rsidP="00C111C3">
      <w:pPr>
        <w:spacing w:line="276" w:lineRule="auto"/>
        <w:ind w:firstLine="709"/>
        <w:jc w:val="both"/>
      </w:pPr>
      <w:r>
        <w:t>Tāpat Civilprocesa likums paredz tikai trīs gadījumus, kad p</w:t>
      </w:r>
      <w:r w:rsidRPr="00E13343">
        <w:t>rasības nodrošinājum</w:t>
      </w:r>
      <w:r>
        <w:t>u var atcelt</w:t>
      </w:r>
      <w:r w:rsidR="003527E6">
        <w:t xml:space="preserve">. </w:t>
      </w:r>
      <w:r w:rsidR="00BE5FC7">
        <w:t xml:space="preserve">Proti, </w:t>
      </w:r>
      <w:r>
        <w:t>p</w:t>
      </w:r>
      <w:r w:rsidRPr="00E13343">
        <w:t>rasības nodrošinājumu pēc puses motivēta pieteikuma var atcelt tā pati tiesa, kura nodrošinājusi prasību</w:t>
      </w:r>
      <w:r>
        <w:t>, ja</w:t>
      </w:r>
      <w:r w:rsidR="00BE5FC7">
        <w:t>: 1) </w:t>
      </w:r>
      <w:r>
        <w:t xml:space="preserve">puse iesniedz motivētu pieteikumu un pierādījumus, kas norāda uz prasības nodrošinājuma kā procesuālā aizsardzības līdzekļa saglabāšanas nelietderību </w:t>
      </w:r>
      <w:r w:rsidRPr="00C054CD">
        <w:t>(</w:t>
      </w:r>
      <w:r w:rsidRPr="00761C4F">
        <w:rPr>
          <w:i/>
          <w:iCs/>
        </w:rPr>
        <w:t>Civilprocesa likuma 140.panta piektā daļa</w:t>
      </w:r>
      <w:r w:rsidRPr="00C054CD">
        <w:t>)</w:t>
      </w:r>
      <w:r w:rsidRPr="00BE5FC7">
        <w:t>;</w:t>
      </w:r>
      <w:r>
        <w:t xml:space="preserve"> 2</w:t>
      </w:r>
      <w:r w:rsidR="00BE5FC7">
        <w:t>) </w:t>
      </w:r>
      <w:r>
        <w:t xml:space="preserve">prasība tiek noraidīta </w:t>
      </w:r>
      <w:r w:rsidRPr="00C054CD">
        <w:t>(</w:t>
      </w:r>
      <w:r w:rsidRPr="00761C4F">
        <w:rPr>
          <w:i/>
          <w:iCs/>
        </w:rPr>
        <w:t>140.panta sestā daļa</w:t>
      </w:r>
      <w:r w:rsidRPr="00C054CD">
        <w:t>)</w:t>
      </w:r>
      <w:r w:rsidRPr="00BE5FC7">
        <w:t>;</w:t>
      </w:r>
      <w:r>
        <w:t xml:space="preserve"> 3)</w:t>
      </w:r>
      <w:r w:rsidR="00BE5FC7">
        <w:t> </w:t>
      </w:r>
      <w:r>
        <w:t xml:space="preserve">prasība tiek atstāta bez izskatīšanas vai tiesvedība izbeigta </w:t>
      </w:r>
      <w:r w:rsidRPr="00C054CD">
        <w:t>(</w:t>
      </w:r>
      <w:r w:rsidRPr="00761C4F">
        <w:rPr>
          <w:i/>
          <w:iCs/>
        </w:rPr>
        <w:t>140.panta septītā daļa</w:t>
      </w:r>
      <w:r w:rsidRPr="00C054CD">
        <w:t>)</w:t>
      </w:r>
      <w:r w:rsidRPr="00BE5FC7">
        <w:t>.</w:t>
      </w:r>
      <w:r>
        <w:t xml:space="preserve"> Izskatāmajā </w:t>
      </w:r>
      <w:r w:rsidR="00C054CD">
        <w:t xml:space="preserve">lietā </w:t>
      </w:r>
      <w:r w:rsidR="003527E6">
        <w:t>neviens no minētajiem gadījumiem nav iestājies.</w:t>
      </w:r>
      <w:r>
        <w:t xml:space="preserve"> Turklāt, ievērojot d</w:t>
      </w:r>
      <w:r w:rsidRPr="0045133C">
        <w:t>ispozitivitātes princip</w:t>
      </w:r>
      <w:r>
        <w:t xml:space="preserve">u, </w:t>
      </w:r>
      <w:r w:rsidR="008E7D17">
        <w:t xml:space="preserve">Uzņēmumu </w:t>
      </w:r>
      <w:r>
        <w:t xml:space="preserve">reģistram nav tiesību vērtēt prasības nodrošinājuma kā procesuālā aizsardzības līdzekļa saglabāšanas lietderību, jo šādas tiesības piemīt tikai </w:t>
      </w:r>
      <w:r w:rsidR="008E7D17">
        <w:t>pusēm un tiesai, kuras tiesvedībā ir civillieta</w:t>
      </w:r>
      <w:r>
        <w:t>.</w:t>
      </w:r>
    </w:p>
    <w:p w14:paraId="37A03566" w14:textId="77777777" w:rsidR="001513AC" w:rsidRDefault="001513AC" w:rsidP="00C111C3">
      <w:pPr>
        <w:spacing w:line="276" w:lineRule="auto"/>
        <w:ind w:firstLine="709"/>
        <w:jc w:val="both"/>
      </w:pPr>
    </w:p>
    <w:p w14:paraId="7CFEDDF8" w14:textId="34A6BFFC" w:rsidR="001513AC" w:rsidRDefault="008F7513" w:rsidP="00C111C3">
      <w:pPr>
        <w:spacing w:line="276" w:lineRule="auto"/>
        <w:ind w:firstLine="709"/>
        <w:jc w:val="both"/>
      </w:pPr>
      <w:r>
        <w:t>[1</w:t>
      </w:r>
      <w:r w:rsidR="004A107B">
        <w:t>5</w:t>
      </w:r>
      <w:r w:rsidR="00413EA4">
        <w:t>] </w:t>
      </w:r>
      <w:r w:rsidR="00FF594E">
        <w:t>Nav pamata pieprasīt pieteicēja</w:t>
      </w:r>
      <w:r w:rsidR="008E7D17">
        <w:t>i</w:t>
      </w:r>
      <w:r w:rsidR="00FF594E">
        <w:t xml:space="preserve"> panākt prasības nodrošinājuma atcelšanu, lai </w:t>
      </w:r>
      <w:r w:rsidR="008E7D17">
        <w:t xml:space="preserve">sabiedrības reģistrācijas lietai </w:t>
      </w:r>
      <w:r w:rsidR="00FF594E">
        <w:t xml:space="preserve">tiktu </w:t>
      </w:r>
      <w:r w:rsidR="008E7D17">
        <w:t>pievienots dalībnieku reģistra nodalījums</w:t>
      </w:r>
      <w:r>
        <w:t>.</w:t>
      </w:r>
      <w:r w:rsidR="00FF594E">
        <w:t xml:space="preserve"> Tieši pretēji, </w:t>
      </w:r>
      <w:r w:rsidR="001513AC">
        <w:t>a</w:t>
      </w:r>
      <w:r w:rsidR="0036413A">
        <w:t xml:space="preserve">izsargājot </w:t>
      </w:r>
      <w:r w:rsidR="008E7D17">
        <w:t>pieteicējas</w:t>
      </w:r>
      <w:r w:rsidR="0036413A">
        <w:t xml:space="preserve"> tiesiskās intereses (kādēļ arī prasības nodrošinājums tik</w:t>
      </w:r>
      <w:r w:rsidR="008E7D17">
        <w:t>a</w:t>
      </w:r>
      <w:r w:rsidR="0036413A">
        <w:t xml:space="preserve"> piemērots)</w:t>
      </w:r>
      <w:r w:rsidR="003527E6">
        <w:t>,</w:t>
      </w:r>
      <w:r w:rsidR="0036413A">
        <w:t xml:space="preserve"> ir </w:t>
      </w:r>
      <w:r w:rsidR="001513AC">
        <w:t xml:space="preserve">būtiski, lai prasības nodrošinājums, ar kuru </w:t>
      </w:r>
      <w:r w:rsidR="00403E2D">
        <w:t>trešajai personai</w:t>
      </w:r>
      <w:r w:rsidR="001513AC">
        <w:t xml:space="preserve"> tik</w:t>
      </w:r>
      <w:r w:rsidR="00403E2D">
        <w:t>a</w:t>
      </w:r>
      <w:r w:rsidR="001513AC">
        <w:t xml:space="preserve"> aizliegts atsavināt un ieķīlāt ta</w:t>
      </w:r>
      <w:r w:rsidR="00403E2D">
        <w:t>i</w:t>
      </w:r>
      <w:r w:rsidR="001513AC">
        <w:t xml:space="preserve"> piederošās kapitāla daļas, prasības apmierināšanas gadījumā tiek saglabāts līdz pat </w:t>
      </w:r>
      <w:r w:rsidR="00403E2D">
        <w:t>attiecīgo izmaiņu</w:t>
      </w:r>
      <w:r w:rsidR="001513AC">
        <w:t xml:space="preserve"> reģistrācijas brīdim komercreģistrā.</w:t>
      </w:r>
    </w:p>
    <w:p w14:paraId="001B059C" w14:textId="7D04AA3E" w:rsidR="00E84BC5" w:rsidRPr="00E84BC5" w:rsidRDefault="00F869B7" w:rsidP="00C111C3">
      <w:pPr>
        <w:spacing w:line="276" w:lineRule="auto"/>
        <w:ind w:firstLine="709"/>
        <w:jc w:val="both"/>
      </w:pPr>
      <w:r>
        <w:t xml:space="preserve">Tas izriet </w:t>
      </w:r>
      <w:r w:rsidR="00C36B26">
        <w:t xml:space="preserve">arī </w:t>
      </w:r>
      <w:r>
        <w:t xml:space="preserve">no </w:t>
      </w:r>
      <w:r w:rsidR="00C36B26">
        <w:t xml:space="preserve">komercreģistra publiskās ticamības un </w:t>
      </w:r>
      <w:r w:rsidR="00CB7501">
        <w:t xml:space="preserve">kapitāla </w:t>
      </w:r>
      <w:r>
        <w:t xml:space="preserve">daļas labticīgas iegūšanas regulējuma. </w:t>
      </w:r>
      <w:r w:rsidR="00413EA4">
        <w:t>P</w:t>
      </w:r>
      <w:r>
        <w:t>roti</w:t>
      </w:r>
      <w:r w:rsidR="00413EA4">
        <w:t xml:space="preserve">, </w:t>
      </w:r>
      <w:r w:rsidR="00CB7501">
        <w:t xml:space="preserve">kapitāla </w:t>
      </w:r>
      <w:r w:rsidR="00413EA4">
        <w:t>d</w:t>
      </w:r>
      <w:r w:rsidR="00E84BC5" w:rsidRPr="00E84BC5">
        <w:t>aļas ieguvējs uzskatāms par labticīgu, ja tas daļu ieguvis no daļas atsavinātāja, kas ierakstīts kā sabiedrības dalībnieks komercreģistra iestādē esošā sabiedrības reģistrācijas lietai pievienotā dalībnieku reģistra nodalījumā</w:t>
      </w:r>
      <w:r w:rsidR="008F7513">
        <w:t xml:space="preserve"> (</w:t>
      </w:r>
      <w:r w:rsidR="008F7513" w:rsidRPr="008F7513">
        <w:rPr>
          <w:i/>
          <w:iCs/>
        </w:rPr>
        <w:t>Komerclikuma 188.</w:t>
      </w:r>
      <w:r w:rsidR="008F7513" w:rsidRPr="008F7513">
        <w:rPr>
          <w:i/>
          <w:iCs/>
          <w:vertAlign w:val="superscript"/>
        </w:rPr>
        <w:t>1</w:t>
      </w:r>
      <w:r w:rsidR="008F7513" w:rsidRPr="008F7513">
        <w:rPr>
          <w:i/>
          <w:iCs/>
        </w:rPr>
        <w:t>panta pirmā daļa</w:t>
      </w:r>
      <w:r w:rsidR="008F7513">
        <w:t xml:space="preserve">). </w:t>
      </w:r>
      <w:r w:rsidR="00E84BC5" w:rsidRPr="00E84BC5">
        <w:t>Daļas ieguvējs nav uzskatāms par labticīgu, ja viņam ir zināms, ka daļa nepieder atsavinātājam, atsavinātājs nav tiesīgs rīkoties ar šo daļu, atsavinātājam noteikts daļas atsavināšanas aizliegums, vai arī ieguvējam šie fakti nav zināmi viņa rupjas neuzmanības dēļ</w:t>
      </w:r>
      <w:r w:rsidR="008F7513">
        <w:t xml:space="preserve"> (</w:t>
      </w:r>
      <w:r w:rsidR="008F7513" w:rsidRPr="008F7513">
        <w:rPr>
          <w:i/>
          <w:iCs/>
        </w:rPr>
        <w:t>Komerclikuma 188.</w:t>
      </w:r>
      <w:r w:rsidR="008F7513" w:rsidRPr="008F7513">
        <w:rPr>
          <w:i/>
          <w:iCs/>
          <w:vertAlign w:val="superscript"/>
        </w:rPr>
        <w:t>1</w:t>
      </w:r>
      <w:r w:rsidR="008F7513" w:rsidRPr="008F7513">
        <w:rPr>
          <w:i/>
          <w:iCs/>
        </w:rPr>
        <w:t>panta otrā daļa</w:t>
      </w:r>
      <w:r w:rsidR="008F7513">
        <w:t>).</w:t>
      </w:r>
    </w:p>
    <w:p w14:paraId="5430A5BC" w14:textId="5F524742" w:rsidR="00225163" w:rsidRDefault="00A47CB3" w:rsidP="00C111C3">
      <w:pPr>
        <w:spacing w:line="276" w:lineRule="auto"/>
        <w:ind w:firstLine="709"/>
        <w:jc w:val="both"/>
      </w:pPr>
      <w:r>
        <w:t>Līdz ar to</w:t>
      </w:r>
      <w:r w:rsidR="00716B6B">
        <w:t xml:space="preserve"> </w:t>
      </w:r>
      <w:r w:rsidR="00F229D1">
        <w:t xml:space="preserve">atbilstoši komercreģistrā reģistrēta nodrošinājuma līdzekļa mērķim – </w:t>
      </w:r>
      <w:r w:rsidR="0025408E" w:rsidRPr="00E87AB6">
        <w:t>prasītājam labvēlīga sprieduma izpilde</w:t>
      </w:r>
      <w:r w:rsidR="0025408E">
        <w:t>s nodrošināšanai</w:t>
      </w:r>
      <w:r w:rsidR="00413EA4">
        <w:t xml:space="preserve"> –</w:t>
      </w:r>
      <w:r w:rsidR="00404B22">
        <w:t xml:space="preserve"> tā tiesiskajām sekām </w:t>
      </w:r>
      <w:r w:rsidR="00235B40">
        <w:t>jāaptver</w:t>
      </w:r>
      <w:r w:rsidR="00270456">
        <w:t xml:space="preserve"> arī laika posms līdz aktuālā dalībniek</w:t>
      </w:r>
      <w:r w:rsidR="004A107B">
        <w:t>u</w:t>
      </w:r>
      <w:r w:rsidR="00270456">
        <w:t xml:space="preserve"> reģistra </w:t>
      </w:r>
      <w:r w:rsidR="00923BF5">
        <w:t xml:space="preserve">nodalījumā norādīto ziņu </w:t>
      </w:r>
      <w:r w:rsidR="00270456">
        <w:t>reģistrācijas brīdim komercreģistrā</w:t>
      </w:r>
      <w:r w:rsidR="00613EA4">
        <w:t xml:space="preserve">, jo </w:t>
      </w:r>
      <w:r w:rsidR="004A107B">
        <w:t xml:space="preserve">tikai pēc </w:t>
      </w:r>
      <w:r w:rsidR="00613EA4">
        <w:t>šo ziņu izsludināšan</w:t>
      </w:r>
      <w:r w:rsidR="004A107B">
        <w:t>as</w:t>
      </w:r>
      <w:r w:rsidR="00413EA4">
        <w:t xml:space="preserve"> </w:t>
      </w:r>
      <w:r w:rsidR="00613EA4">
        <w:t xml:space="preserve">tās būs spēkā arī attiecībā uz </w:t>
      </w:r>
      <w:r w:rsidR="003C1560">
        <w:t>citām</w:t>
      </w:r>
      <w:r w:rsidR="003C1560" w:rsidRPr="00091080">
        <w:t xml:space="preserve"> </w:t>
      </w:r>
      <w:r w:rsidR="00613EA4" w:rsidRPr="00091080">
        <w:t>personām</w:t>
      </w:r>
      <w:r w:rsidR="00413EA4">
        <w:t xml:space="preserve"> atbilstoši</w:t>
      </w:r>
      <w:r w:rsidR="004A107B">
        <w:t xml:space="preserve"> Komerclikuma 12.panta </w:t>
      </w:r>
      <w:r w:rsidR="00413EA4">
        <w:t xml:space="preserve">pirmajai </w:t>
      </w:r>
      <w:r w:rsidR="004A107B">
        <w:t>daļa</w:t>
      </w:r>
      <w:r w:rsidR="00413EA4">
        <w:t>i</w:t>
      </w:r>
      <w:r w:rsidR="00C36B26">
        <w:t xml:space="preserve"> un novērsīs riskus </w:t>
      </w:r>
      <w:r w:rsidR="005D6539">
        <w:t xml:space="preserve">iespējamai </w:t>
      </w:r>
      <w:r w:rsidR="00C36B26">
        <w:t>negodprātīgai rīcībai ar strīdus kapitāla daļām.</w:t>
      </w:r>
    </w:p>
    <w:p w14:paraId="7B6F2AE8" w14:textId="77777777" w:rsidR="00923BF5" w:rsidRDefault="00923BF5" w:rsidP="00C111C3">
      <w:pPr>
        <w:spacing w:line="276" w:lineRule="auto"/>
        <w:ind w:firstLine="709"/>
        <w:jc w:val="both"/>
      </w:pPr>
    </w:p>
    <w:p w14:paraId="343DB7F3" w14:textId="46670793" w:rsidR="00613EA4" w:rsidRDefault="00984EBF" w:rsidP="00C111C3">
      <w:pPr>
        <w:spacing w:line="276" w:lineRule="auto"/>
        <w:ind w:firstLine="709"/>
        <w:jc w:val="both"/>
      </w:pPr>
      <w:r>
        <w:t>[1</w:t>
      </w:r>
      <w:r w:rsidR="004A107B">
        <w:t>6</w:t>
      </w:r>
      <w:r w:rsidR="00FF3D4F">
        <w:t>] </w:t>
      </w:r>
      <w:r w:rsidR="000F67A4">
        <w:t>Apkopojot</w:t>
      </w:r>
      <w:r w:rsidR="00275E0B">
        <w:t xml:space="preserve"> iepriekš norādīto, Senāts atzīst, ka </w:t>
      </w:r>
      <w:r w:rsidR="00E12217">
        <w:t xml:space="preserve">likuma </w:t>
      </w:r>
      <w:r w:rsidR="00E12217" w:rsidRPr="00F27F78">
        <w:t>„Par Latvijas Republikas Uzņēmumu reģistru” 14.panta pirmās daļas 6.punkt</w:t>
      </w:r>
      <w:r w:rsidR="00E12217">
        <w:t>s</w:t>
      </w:r>
      <w:r w:rsidR="001B3014">
        <w:t xml:space="preserve"> interpretē</w:t>
      </w:r>
      <w:r w:rsidR="008B6264">
        <w:t xml:space="preserve">jams tādējādi, </w:t>
      </w:r>
      <w:r w:rsidR="00E12217">
        <w:t xml:space="preserve">ka </w:t>
      </w:r>
      <w:r w:rsidR="00613EA4">
        <w:t>dalībnieka izslēgšanas prasībā piemērotais prasības nodrošinā</w:t>
      </w:r>
      <w:r w:rsidR="004A107B">
        <w:t>juma</w:t>
      </w:r>
      <w:r w:rsidR="00613EA4">
        <w:t xml:space="preserve"> līdzeklis, ar kuru atbildētājam aizliegts atsavināt un ieķīlāt savas kapitāla daļas, prasības apmierināšanas gadījumā nav uzskatāms par </w:t>
      </w:r>
      <w:r w:rsidR="008B6264">
        <w:t>tiesisku šķērsli</w:t>
      </w:r>
      <w:r w:rsidR="00026F3C">
        <w:t xml:space="preserve"> </w:t>
      </w:r>
      <w:r w:rsidR="00613EA4">
        <w:t xml:space="preserve">pievienot sabiedrības reģistrācijas lietai kapitālsabiedrības dalībnieku reģistra nodalījumu, kurā atspoguļota </w:t>
      </w:r>
      <w:r w:rsidR="00803C0F">
        <w:t xml:space="preserve">kapitāla </w:t>
      </w:r>
      <w:r w:rsidR="00613EA4">
        <w:t xml:space="preserve">daļu pāreja, pamatojoties uz spēkā stājušos tiesas spriedumu par </w:t>
      </w:r>
      <w:r w:rsidR="004A107B">
        <w:t>atbildētāja</w:t>
      </w:r>
      <w:r w:rsidR="00613EA4">
        <w:t xml:space="preserve"> izslēgšanu no sabiedrības un viņa daļu pāreju sabiedrībai.</w:t>
      </w:r>
    </w:p>
    <w:p w14:paraId="56F057E9" w14:textId="1368BD95" w:rsidR="00437BFA" w:rsidRDefault="00F869B7" w:rsidP="00C111C3">
      <w:pPr>
        <w:spacing w:line="276" w:lineRule="auto"/>
        <w:ind w:firstLine="709"/>
        <w:jc w:val="both"/>
      </w:pPr>
      <w:r>
        <w:t>Sabiedrībai</w:t>
      </w:r>
      <w:r w:rsidR="00AA290F">
        <w:t>, kuras labā noteikts prasības nodrošināšanas līdzeklis</w:t>
      </w:r>
      <w:r w:rsidR="00465814">
        <w:t>,</w:t>
      </w:r>
      <w:r w:rsidR="000E7CA4">
        <w:t xml:space="preserve"> ir tiesības reģistrēt </w:t>
      </w:r>
      <w:r w:rsidR="0033639B" w:rsidRPr="00CD3C3A">
        <w:t>izmaiņas dalībnieku reģistrā</w:t>
      </w:r>
      <w:r w:rsidR="000E7CA4">
        <w:t>, pamatojoties uz spēkā stājušos spriedumu</w:t>
      </w:r>
      <w:r w:rsidR="00465814">
        <w:t xml:space="preserve"> par</w:t>
      </w:r>
      <w:r w:rsidR="00A77B73">
        <w:t xml:space="preserve"> dalībnieka izslēgšanu</w:t>
      </w:r>
      <w:r w:rsidR="00222DF1">
        <w:t xml:space="preserve"> no sabiedrības.</w:t>
      </w:r>
      <w:r w:rsidR="00665ABE">
        <w:t xml:space="preserve"> Līdz ar min</w:t>
      </w:r>
      <w:r w:rsidR="00AF0934">
        <w:t>ēto</w:t>
      </w:r>
      <w:r w:rsidR="00665ABE">
        <w:t xml:space="preserve"> </w:t>
      </w:r>
      <w:r w:rsidR="00AF0934">
        <w:t>izmaiņu</w:t>
      </w:r>
      <w:r w:rsidR="00665ABE">
        <w:t xml:space="preserve"> reģistrāciju</w:t>
      </w:r>
      <w:r w:rsidR="00AC210E">
        <w:t xml:space="preserve"> iepriekš reģistrētā aizlieguma atzīme zaudē nozīmi.</w:t>
      </w:r>
    </w:p>
    <w:p w14:paraId="4DB13F63" w14:textId="77777777" w:rsidR="004A00C9" w:rsidRDefault="004A00C9" w:rsidP="00C111C3">
      <w:pPr>
        <w:spacing w:line="276" w:lineRule="auto"/>
        <w:ind w:firstLine="709"/>
        <w:jc w:val="both"/>
      </w:pPr>
    </w:p>
    <w:p w14:paraId="25AB335E" w14:textId="2939BB70" w:rsidR="000F1FA7" w:rsidRPr="00FF38BA" w:rsidRDefault="00C5161B" w:rsidP="00C111C3">
      <w:pPr>
        <w:spacing w:line="276" w:lineRule="auto"/>
        <w:ind w:firstLine="709"/>
        <w:jc w:val="both"/>
      </w:pPr>
      <w:r>
        <w:t>[1</w:t>
      </w:r>
      <w:r w:rsidR="004A107B">
        <w:t>7</w:t>
      </w:r>
      <w:r w:rsidR="006770B1">
        <w:t>] </w:t>
      </w:r>
      <w:r w:rsidR="00730C16">
        <w:t xml:space="preserve">Ievērojot minēto, </w:t>
      </w:r>
      <w:r>
        <w:t>Senāts atkāpjas no</w:t>
      </w:r>
      <w:r w:rsidR="00E15B25">
        <w:t xml:space="preserve"> Senāta </w:t>
      </w:r>
      <w:r w:rsidR="00AB6403" w:rsidRPr="00AC1A6C">
        <w:t>2022.gada 8.septembr</w:t>
      </w:r>
      <w:r w:rsidR="00AB6403">
        <w:t xml:space="preserve">a sprieduma lietā </w:t>
      </w:r>
      <w:r w:rsidR="00613EA4">
        <w:t>Nr. </w:t>
      </w:r>
      <w:r w:rsidR="00AB6403" w:rsidRPr="00AC1A6C">
        <w:t>SKA-448/2022</w:t>
      </w:r>
      <w:r w:rsidR="00E15B25">
        <w:t xml:space="preserve"> izteiktās atziņas, ka</w:t>
      </w:r>
      <w:r w:rsidR="00820F8B">
        <w:t xml:space="preserve"> </w:t>
      </w:r>
      <w:r w:rsidR="00820F8B" w:rsidRPr="00820F8B">
        <w:t>p</w:t>
      </w:r>
      <w:r w:rsidR="00AB6403" w:rsidRPr="00820F8B">
        <w:t>ieteicējas izvēlētais prasības nodrošinājuma līdzeklis ir atzīstams par šķērsli reģistrēt jebkādus dokumentus par kapitāl</w:t>
      </w:r>
      <w:r w:rsidR="00295736">
        <w:t xml:space="preserve">a </w:t>
      </w:r>
      <w:r w:rsidR="00AB6403" w:rsidRPr="00820F8B">
        <w:t>daļu atsavināšanu vai ieķīlāšanu</w:t>
      </w:r>
      <w:r w:rsidR="00D278AF">
        <w:t xml:space="preserve"> un</w:t>
      </w:r>
      <w:r w:rsidR="008C567B">
        <w:t xml:space="preserve"> ka</w:t>
      </w:r>
      <w:r w:rsidR="00AB6403" w:rsidRPr="00AC1A6C">
        <w:rPr>
          <w:i/>
          <w:iCs/>
        </w:rPr>
        <w:t xml:space="preserve"> </w:t>
      </w:r>
      <w:r w:rsidR="00D278AF" w:rsidRPr="00D278AF">
        <w:t>tas i</w:t>
      </w:r>
      <w:r w:rsidR="00AB6403" w:rsidRPr="00D278AF">
        <w:t>r attiecināms uz ikvienu personu</w:t>
      </w:r>
      <w:r w:rsidR="00D278AF">
        <w:rPr>
          <w:i/>
          <w:iCs/>
        </w:rPr>
        <w:t>.</w:t>
      </w:r>
      <w:r w:rsidR="00FF38BA">
        <w:t xml:space="preserve"> </w:t>
      </w:r>
    </w:p>
    <w:p w14:paraId="60AC0387" w14:textId="77777777" w:rsidR="008E45F3" w:rsidRDefault="008E45F3" w:rsidP="00C111C3">
      <w:pPr>
        <w:spacing w:line="276" w:lineRule="auto"/>
        <w:ind w:firstLine="709"/>
        <w:jc w:val="both"/>
      </w:pPr>
    </w:p>
    <w:p w14:paraId="0D063BCE" w14:textId="71910E08" w:rsidR="00BC1577" w:rsidRDefault="007716C6" w:rsidP="00C111C3">
      <w:pPr>
        <w:shd w:val="clear" w:color="auto" w:fill="FFFFFF"/>
        <w:spacing w:line="276" w:lineRule="auto"/>
        <w:ind w:firstLine="709"/>
        <w:jc w:val="both"/>
      </w:pPr>
      <w:r>
        <w:t>[</w:t>
      </w:r>
      <w:r w:rsidR="001B1368">
        <w:t>1</w:t>
      </w:r>
      <w:r w:rsidR="004A107B">
        <w:t>8</w:t>
      </w:r>
      <w:r>
        <w:t>] </w:t>
      </w:r>
      <w:r w:rsidRPr="006E32DC">
        <w:t>Rezumējot</w:t>
      </w:r>
      <w:r w:rsidR="006770B1">
        <w:t xml:space="preserve"> minēto</w:t>
      </w:r>
      <w:r w:rsidRPr="006E32DC">
        <w:t xml:space="preserve">, Senāts atzīst, ka </w:t>
      </w:r>
      <w:r w:rsidR="00572F95">
        <w:t xml:space="preserve">apgabaltiesas spriedums ir atceļams un lieta nododama jaunai izskatīšanai </w:t>
      </w:r>
      <w:r w:rsidR="00AD432A">
        <w:t>A</w:t>
      </w:r>
      <w:r w:rsidR="00572F95">
        <w:t>dministratīvajai apgabaltiesai.</w:t>
      </w:r>
    </w:p>
    <w:p w14:paraId="2DAC9461" w14:textId="77777777" w:rsidR="00BC1577" w:rsidRDefault="00BC1577" w:rsidP="00C111C3">
      <w:pPr>
        <w:shd w:val="clear" w:color="auto" w:fill="FFFFFF"/>
        <w:spacing w:line="276" w:lineRule="auto"/>
        <w:ind w:firstLine="567"/>
        <w:jc w:val="both"/>
      </w:pPr>
    </w:p>
    <w:p w14:paraId="121F2794" w14:textId="77777777" w:rsidR="007716C6" w:rsidRPr="00274284" w:rsidRDefault="007716C6" w:rsidP="00C111C3">
      <w:pPr>
        <w:pStyle w:val="ATvirsraksts"/>
      </w:pPr>
      <w:r w:rsidRPr="00274284">
        <w:t>Rezolutīvā daļa</w:t>
      </w:r>
    </w:p>
    <w:p w14:paraId="503E0160" w14:textId="77777777" w:rsidR="007716C6" w:rsidRPr="00274284" w:rsidRDefault="007716C6" w:rsidP="00C111C3">
      <w:pPr>
        <w:spacing w:line="276" w:lineRule="auto"/>
        <w:ind w:firstLine="567"/>
        <w:jc w:val="both"/>
        <w:rPr>
          <w:noProof/>
        </w:rPr>
      </w:pPr>
    </w:p>
    <w:p w14:paraId="75C7AAF2" w14:textId="2E971C33" w:rsidR="007716C6" w:rsidRPr="001B05C8" w:rsidRDefault="007716C6" w:rsidP="00C111C3">
      <w:pPr>
        <w:tabs>
          <w:tab w:val="left" w:pos="6660"/>
        </w:tabs>
        <w:spacing w:line="276" w:lineRule="auto"/>
        <w:ind w:firstLine="709"/>
        <w:jc w:val="both"/>
      </w:pPr>
      <w:r w:rsidRPr="00621917">
        <w:t xml:space="preserve">Pamatojoties uz </w:t>
      </w:r>
      <w:r w:rsidR="00363D36" w:rsidRPr="00363D36">
        <w:t>Administratīvā procesa likuma 129.</w:t>
      </w:r>
      <w:r w:rsidR="00363D36" w:rsidRPr="00363D36">
        <w:rPr>
          <w:vertAlign w:val="superscript"/>
        </w:rPr>
        <w:t>1</w:t>
      </w:r>
      <w:r w:rsidR="00363D36" w:rsidRPr="00363D36">
        <w:t>panta pirmās daļas 1.punktu, 348.panta pirmās daļas 2.punktu un 351.pantu, Senāts</w:t>
      </w:r>
      <w:r w:rsidRPr="00621917">
        <w:t>,</w:t>
      </w:r>
    </w:p>
    <w:p w14:paraId="07F5F569" w14:textId="77777777" w:rsidR="007716C6" w:rsidRDefault="007716C6" w:rsidP="00C111C3">
      <w:pPr>
        <w:keepNext/>
        <w:spacing w:line="276" w:lineRule="auto"/>
        <w:ind w:firstLine="567"/>
        <w:jc w:val="center"/>
        <w:rPr>
          <w:b/>
        </w:rPr>
      </w:pPr>
    </w:p>
    <w:p w14:paraId="01D47B6A" w14:textId="77777777" w:rsidR="007716C6" w:rsidRPr="00621917" w:rsidRDefault="007716C6" w:rsidP="00C111C3">
      <w:pPr>
        <w:keepNext/>
        <w:spacing w:line="276" w:lineRule="auto"/>
        <w:jc w:val="center"/>
        <w:rPr>
          <w:b/>
        </w:rPr>
      </w:pPr>
      <w:r w:rsidRPr="00621917">
        <w:rPr>
          <w:b/>
        </w:rPr>
        <w:t>nosprieda</w:t>
      </w:r>
    </w:p>
    <w:p w14:paraId="4F8F42CF" w14:textId="77777777" w:rsidR="007716C6" w:rsidRPr="001F7C4C" w:rsidRDefault="007716C6" w:rsidP="00C111C3">
      <w:pPr>
        <w:keepNext/>
        <w:spacing w:line="276" w:lineRule="auto"/>
        <w:ind w:firstLine="709"/>
        <w:jc w:val="center"/>
        <w:rPr>
          <w:b/>
          <w:highlight w:val="yellow"/>
        </w:rPr>
      </w:pPr>
    </w:p>
    <w:p w14:paraId="4602ECF9" w14:textId="0BAA429E" w:rsidR="007716C6" w:rsidRDefault="00363D36" w:rsidP="00C111C3">
      <w:pPr>
        <w:keepNext/>
        <w:tabs>
          <w:tab w:val="left" w:pos="2700"/>
          <w:tab w:val="left" w:pos="6660"/>
        </w:tabs>
        <w:spacing w:line="276" w:lineRule="auto"/>
        <w:ind w:firstLine="709"/>
        <w:jc w:val="both"/>
      </w:pPr>
      <w:r>
        <w:rPr>
          <w:color w:val="000000"/>
        </w:rPr>
        <w:t xml:space="preserve">atcelt </w:t>
      </w:r>
      <w:r w:rsidRPr="00CD3C3A">
        <w:t>Administratīvās apgabaltiesas 202</w:t>
      </w:r>
      <w:r>
        <w:t>3</w:t>
      </w:r>
      <w:r w:rsidRPr="00CD3C3A">
        <w:t>.gada 2.</w:t>
      </w:r>
      <w:r>
        <w:t>marta</w:t>
      </w:r>
      <w:r w:rsidRPr="00CD3C3A">
        <w:t xml:space="preserve"> spriedumu</w:t>
      </w:r>
      <w:r w:rsidR="003B3C9C">
        <w:t xml:space="preserve"> </w:t>
      </w:r>
      <w:r w:rsidR="003B3C9C" w:rsidRPr="003B3C9C">
        <w:t>un nodot lietu jaunai izskatīšanai Administratīvajai apgabaltiesai</w:t>
      </w:r>
      <w:r w:rsidR="00A81BB4">
        <w:t>;</w:t>
      </w:r>
    </w:p>
    <w:p w14:paraId="75426877" w14:textId="69B272E4" w:rsidR="00A81BB4" w:rsidRDefault="00A81BB4" w:rsidP="00C111C3">
      <w:pPr>
        <w:keepNext/>
        <w:tabs>
          <w:tab w:val="left" w:pos="2700"/>
          <w:tab w:val="left" w:pos="6660"/>
        </w:tabs>
        <w:spacing w:line="276" w:lineRule="auto"/>
        <w:ind w:firstLine="709"/>
        <w:jc w:val="both"/>
        <w:rPr>
          <w:i/>
          <w:iCs/>
        </w:rPr>
      </w:pPr>
      <w:r>
        <w:t xml:space="preserve">atmaksāt </w:t>
      </w:r>
      <w:r w:rsidR="00730C16">
        <w:t xml:space="preserve">sabiedrībai ar ierobežotu atbildību </w:t>
      </w:r>
      <w:r w:rsidRPr="00CD3C3A">
        <w:t>,,LATVIJAS PROJEKTĒŠANAS SABIEDRĪBA”</w:t>
      </w:r>
      <w:r w:rsidR="006770B1">
        <w:t xml:space="preserve"> </w:t>
      </w:r>
      <w:r w:rsidR="006770B1" w:rsidRPr="00E176BA">
        <w:t>par kasācijas sūdzību samaksāto</w:t>
      </w:r>
      <w:r w:rsidR="009B44C2">
        <w:t xml:space="preserve"> </w:t>
      </w:r>
      <w:r w:rsidR="009B44C2" w:rsidRPr="009B44C2">
        <w:t xml:space="preserve">drošības naudu </w:t>
      </w:r>
      <w:r w:rsidR="006770B1" w:rsidRPr="009B44C2">
        <w:t>70</w:t>
      </w:r>
      <w:r w:rsidR="006770B1">
        <w:t> </w:t>
      </w:r>
      <w:r w:rsidR="009B44C2" w:rsidRPr="009B44C2">
        <w:rPr>
          <w:i/>
          <w:iCs/>
        </w:rPr>
        <w:t>euro</w:t>
      </w:r>
      <w:r w:rsidR="009B44C2">
        <w:rPr>
          <w:i/>
          <w:iCs/>
        </w:rPr>
        <w:t>.</w:t>
      </w:r>
    </w:p>
    <w:p w14:paraId="7670B4BE" w14:textId="77777777" w:rsidR="009E1EAE" w:rsidRPr="007C1EE6" w:rsidRDefault="009E1EAE" w:rsidP="00C111C3">
      <w:pPr>
        <w:keepNext/>
        <w:tabs>
          <w:tab w:val="left" w:pos="2700"/>
          <w:tab w:val="left" w:pos="6660"/>
        </w:tabs>
        <w:spacing w:line="276" w:lineRule="auto"/>
        <w:ind w:firstLine="709"/>
        <w:jc w:val="both"/>
      </w:pPr>
    </w:p>
    <w:p w14:paraId="7949DAE7" w14:textId="524CE4A6" w:rsidR="007716C6" w:rsidRDefault="009B44C2" w:rsidP="00C111C3">
      <w:pPr>
        <w:spacing w:line="276" w:lineRule="auto"/>
        <w:ind w:firstLine="709"/>
        <w:jc w:val="both"/>
        <w:rPr>
          <w:bCs/>
        </w:rPr>
      </w:pPr>
      <w:r w:rsidRPr="009B44C2">
        <w:rPr>
          <w:bCs/>
        </w:rPr>
        <w:t>Spriedums nav pārsūdzams</w:t>
      </w:r>
      <w:r>
        <w:rPr>
          <w:bCs/>
        </w:rPr>
        <w:t>.</w:t>
      </w:r>
    </w:p>
    <w:p w14:paraId="215FD6F1" w14:textId="77777777" w:rsidR="007716C6" w:rsidRDefault="007716C6" w:rsidP="007716C6">
      <w:pPr>
        <w:spacing w:line="276" w:lineRule="auto"/>
        <w:jc w:val="both"/>
        <w:rPr>
          <w:bCs/>
        </w:rPr>
      </w:pPr>
    </w:p>
    <w:p w14:paraId="2A6FA00A" w14:textId="77777777" w:rsidR="00CF6D21" w:rsidRDefault="00CF6D21" w:rsidP="007716C6">
      <w:pPr>
        <w:spacing w:line="276" w:lineRule="auto"/>
        <w:jc w:val="both"/>
        <w:rPr>
          <w:bCs/>
        </w:rPr>
      </w:pPr>
    </w:p>
    <w:p w14:paraId="25836A4A" w14:textId="77777777" w:rsidR="004918CB" w:rsidRDefault="004918CB" w:rsidP="007716C6">
      <w:pPr>
        <w:spacing w:line="276" w:lineRule="auto"/>
        <w:jc w:val="both"/>
        <w:rPr>
          <w:bCs/>
        </w:rPr>
      </w:pPr>
    </w:p>
    <w:p w14:paraId="74C59B50" w14:textId="77777777" w:rsidR="007716C6" w:rsidRDefault="007716C6" w:rsidP="007716C6">
      <w:pPr>
        <w:spacing w:line="276" w:lineRule="auto"/>
        <w:ind w:firstLine="567"/>
        <w:jc w:val="both"/>
        <w:rPr>
          <w:bCs/>
        </w:rPr>
      </w:pPr>
    </w:p>
    <w:sectPr w:rsidR="007716C6" w:rsidSect="007716C6">
      <w:footerReference w:type="default" r:id="rId12"/>
      <w:pgSz w:w="11906" w:h="16838" w:code="9"/>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66FB" w14:textId="77777777" w:rsidR="00DA4C0E" w:rsidRDefault="00DA4C0E" w:rsidP="00433A65">
      <w:r>
        <w:separator/>
      </w:r>
    </w:p>
  </w:endnote>
  <w:endnote w:type="continuationSeparator" w:id="0">
    <w:p w14:paraId="3924AFB5" w14:textId="77777777" w:rsidR="00DA4C0E" w:rsidRDefault="00DA4C0E" w:rsidP="0043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5F42" w14:textId="0B39C7D6" w:rsidR="00EF1104" w:rsidRPr="001B05C8" w:rsidRDefault="00EF1104" w:rsidP="00F43FAD">
    <w:pPr>
      <w:pStyle w:val="Footer"/>
      <w:tabs>
        <w:tab w:val="clear" w:pos="4153"/>
        <w:tab w:val="clear" w:pos="8306"/>
      </w:tabs>
      <w:jc w:val="center"/>
      <w:rPr>
        <w:sz w:val="20"/>
        <w:szCs w:val="20"/>
      </w:rPr>
    </w:pPr>
    <w:r w:rsidRPr="001B05C8">
      <w:rPr>
        <w:rStyle w:val="PageNumber"/>
        <w:sz w:val="20"/>
        <w:szCs w:val="20"/>
      </w:rPr>
      <w:fldChar w:fldCharType="begin"/>
    </w:r>
    <w:r w:rsidRPr="001B05C8">
      <w:rPr>
        <w:rStyle w:val="PageNumber"/>
        <w:sz w:val="20"/>
        <w:szCs w:val="20"/>
      </w:rPr>
      <w:instrText xml:space="preserve">PAGE  </w:instrText>
    </w:r>
    <w:r w:rsidRPr="001B05C8">
      <w:rPr>
        <w:rStyle w:val="PageNumber"/>
        <w:sz w:val="20"/>
        <w:szCs w:val="20"/>
      </w:rPr>
      <w:fldChar w:fldCharType="separate"/>
    </w:r>
    <w:r w:rsidRPr="001B05C8">
      <w:rPr>
        <w:rStyle w:val="PageNumber"/>
        <w:noProof/>
        <w:sz w:val="20"/>
        <w:szCs w:val="20"/>
      </w:rPr>
      <w:t>2</w:t>
    </w:r>
    <w:r w:rsidRPr="001B05C8">
      <w:rPr>
        <w:rStyle w:val="PageNumber"/>
        <w:sz w:val="20"/>
        <w:szCs w:val="20"/>
      </w:rPr>
      <w:fldChar w:fldCharType="end"/>
    </w:r>
    <w:r w:rsidRPr="001B05C8">
      <w:rPr>
        <w:rStyle w:val="PageNumber"/>
        <w:sz w:val="20"/>
        <w:szCs w:val="20"/>
      </w:rPr>
      <w:t xml:space="preserve"> no </w:t>
    </w:r>
    <w:r w:rsidRPr="001B05C8">
      <w:rPr>
        <w:rStyle w:val="PageNumber"/>
        <w:noProof/>
        <w:sz w:val="20"/>
        <w:szCs w:val="20"/>
      </w:rPr>
      <w:fldChar w:fldCharType="begin"/>
    </w:r>
    <w:r w:rsidRPr="001B05C8">
      <w:rPr>
        <w:rStyle w:val="PageNumber"/>
        <w:noProof/>
        <w:sz w:val="20"/>
        <w:szCs w:val="20"/>
      </w:rPr>
      <w:instrText xml:space="preserve"> SECTIONPAGES   \* MERGEFORMAT </w:instrText>
    </w:r>
    <w:r w:rsidRPr="001B05C8">
      <w:rPr>
        <w:rStyle w:val="PageNumber"/>
        <w:noProof/>
        <w:sz w:val="20"/>
        <w:szCs w:val="20"/>
      </w:rPr>
      <w:fldChar w:fldCharType="separate"/>
    </w:r>
    <w:r w:rsidR="001106BD">
      <w:rPr>
        <w:rStyle w:val="PageNumber"/>
        <w:noProof/>
        <w:sz w:val="20"/>
        <w:szCs w:val="20"/>
      </w:rPr>
      <w:t>7</w:t>
    </w:r>
    <w:r w:rsidRPr="001B05C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48B7" w14:textId="77777777" w:rsidR="00DA4C0E" w:rsidRDefault="00DA4C0E" w:rsidP="00433A65">
      <w:r>
        <w:separator/>
      </w:r>
    </w:p>
  </w:footnote>
  <w:footnote w:type="continuationSeparator" w:id="0">
    <w:p w14:paraId="26A557DF" w14:textId="77777777" w:rsidR="00DA4C0E" w:rsidRDefault="00DA4C0E" w:rsidP="00433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DEB05A2"/>
    <w:multiLevelType w:val="hybridMultilevel"/>
    <w:tmpl w:val="D49E32DE"/>
    <w:lvl w:ilvl="0" w:tplc="DFD230A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0396930">
    <w:abstractNumId w:val="0"/>
  </w:num>
  <w:num w:numId="2" w16cid:durableId="193594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C6"/>
    <w:rsid w:val="0000338C"/>
    <w:rsid w:val="000054BC"/>
    <w:rsid w:val="000106F5"/>
    <w:rsid w:val="00012B64"/>
    <w:rsid w:val="000154E3"/>
    <w:rsid w:val="0001774F"/>
    <w:rsid w:val="00020A47"/>
    <w:rsid w:val="00026F3C"/>
    <w:rsid w:val="000277F7"/>
    <w:rsid w:val="000308ED"/>
    <w:rsid w:val="00031758"/>
    <w:rsid w:val="00034CDE"/>
    <w:rsid w:val="000356EF"/>
    <w:rsid w:val="00040353"/>
    <w:rsid w:val="000451EE"/>
    <w:rsid w:val="00050D06"/>
    <w:rsid w:val="000513CE"/>
    <w:rsid w:val="0006192F"/>
    <w:rsid w:val="0006409F"/>
    <w:rsid w:val="00066E6F"/>
    <w:rsid w:val="000722F5"/>
    <w:rsid w:val="000763F6"/>
    <w:rsid w:val="00076558"/>
    <w:rsid w:val="000810A2"/>
    <w:rsid w:val="00091080"/>
    <w:rsid w:val="000956E2"/>
    <w:rsid w:val="00095DDE"/>
    <w:rsid w:val="000962EC"/>
    <w:rsid w:val="000A0793"/>
    <w:rsid w:val="000A4AEB"/>
    <w:rsid w:val="000A57AB"/>
    <w:rsid w:val="000B44F0"/>
    <w:rsid w:val="000B67A0"/>
    <w:rsid w:val="000B68F3"/>
    <w:rsid w:val="000C0371"/>
    <w:rsid w:val="000C5207"/>
    <w:rsid w:val="000C59FF"/>
    <w:rsid w:val="000D1C27"/>
    <w:rsid w:val="000D3C3B"/>
    <w:rsid w:val="000D5837"/>
    <w:rsid w:val="000D63B8"/>
    <w:rsid w:val="000E2016"/>
    <w:rsid w:val="000E2A73"/>
    <w:rsid w:val="000E2F72"/>
    <w:rsid w:val="000E5027"/>
    <w:rsid w:val="000E6C35"/>
    <w:rsid w:val="000E7CA4"/>
    <w:rsid w:val="000F1D44"/>
    <w:rsid w:val="000F1FA7"/>
    <w:rsid w:val="000F202E"/>
    <w:rsid w:val="000F59FF"/>
    <w:rsid w:val="000F5BE9"/>
    <w:rsid w:val="000F67A4"/>
    <w:rsid w:val="000F6B1B"/>
    <w:rsid w:val="00104CBB"/>
    <w:rsid w:val="001063D8"/>
    <w:rsid w:val="001106BD"/>
    <w:rsid w:val="00110932"/>
    <w:rsid w:val="00112B1E"/>
    <w:rsid w:val="00115768"/>
    <w:rsid w:val="00120EAA"/>
    <w:rsid w:val="00121F56"/>
    <w:rsid w:val="0012343B"/>
    <w:rsid w:val="00125489"/>
    <w:rsid w:val="0013093C"/>
    <w:rsid w:val="00130F2A"/>
    <w:rsid w:val="00131F94"/>
    <w:rsid w:val="00135BCB"/>
    <w:rsid w:val="00137BC0"/>
    <w:rsid w:val="00146DC7"/>
    <w:rsid w:val="00146E60"/>
    <w:rsid w:val="001513AC"/>
    <w:rsid w:val="0015560C"/>
    <w:rsid w:val="001577C6"/>
    <w:rsid w:val="001669E8"/>
    <w:rsid w:val="00170134"/>
    <w:rsid w:val="00175848"/>
    <w:rsid w:val="00175DB3"/>
    <w:rsid w:val="00180EEF"/>
    <w:rsid w:val="00181C1A"/>
    <w:rsid w:val="001824C7"/>
    <w:rsid w:val="0019107B"/>
    <w:rsid w:val="00197010"/>
    <w:rsid w:val="0019754B"/>
    <w:rsid w:val="001A15D6"/>
    <w:rsid w:val="001B1368"/>
    <w:rsid w:val="001B18BB"/>
    <w:rsid w:val="001B3014"/>
    <w:rsid w:val="001B426E"/>
    <w:rsid w:val="001B4B2E"/>
    <w:rsid w:val="001B4CE3"/>
    <w:rsid w:val="001B57ED"/>
    <w:rsid w:val="001B799E"/>
    <w:rsid w:val="001D0181"/>
    <w:rsid w:val="001D5894"/>
    <w:rsid w:val="001D776D"/>
    <w:rsid w:val="001E0468"/>
    <w:rsid w:val="001E170E"/>
    <w:rsid w:val="001E61AF"/>
    <w:rsid w:val="001E64C1"/>
    <w:rsid w:val="001E7A20"/>
    <w:rsid w:val="001E7F3F"/>
    <w:rsid w:val="001F0D85"/>
    <w:rsid w:val="001F17F3"/>
    <w:rsid w:val="001F3F96"/>
    <w:rsid w:val="001F5A1E"/>
    <w:rsid w:val="001F6DBC"/>
    <w:rsid w:val="00201898"/>
    <w:rsid w:val="00204A62"/>
    <w:rsid w:val="002140B6"/>
    <w:rsid w:val="002140E9"/>
    <w:rsid w:val="00216176"/>
    <w:rsid w:val="00222DF1"/>
    <w:rsid w:val="00225163"/>
    <w:rsid w:val="0022582A"/>
    <w:rsid w:val="00231A88"/>
    <w:rsid w:val="00232570"/>
    <w:rsid w:val="00235B40"/>
    <w:rsid w:val="00243C7B"/>
    <w:rsid w:val="0024424E"/>
    <w:rsid w:val="002458DC"/>
    <w:rsid w:val="00251228"/>
    <w:rsid w:val="00252FC9"/>
    <w:rsid w:val="0025408E"/>
    <w:rsid w:val="00255EBA"/>
    <w:rsid w:val="002564C9"/>
    <w:rsid w:val="0025708A"/>
    <w:rsid w:val="00262C37"/>
    <w:rsid w:val="002631B3"/>
    <w:rsid w:val="00264C38"/>
    <w:rsid w:val="00270456"/>
    <w:rsid w:val="00275E0B"/>
    <w:rsid w:val="00281C53"/>
    <w:rsid w:val="002831C2"/>
    <w:rsid w:val="00290A60"/>
    <w:rsid w:val="0029170D"/>
    <w:rsid w:val="00295736"/>
    <w:rsid w:val="00297194"/>
    <w:rsid w:val="002A2A00"/>
    <w:rsid w:val="002A49D2"/>
    <w:rsid w:val="002A7685"/>
    <w:rsid w:val="002B0A18"/>
    <w:rsid w:val="002B17E0"/>
    <w:rsid w:val="002B3F72"/>
    <w:rsid w:val="002B532E"/>
    <w:rsid w:val="002B55EE"/>
    <w:rsid w:val="002B7A6C"/>
    <w:rsid w:val="002C2837"/>
    <w:rsid w:val="002C4FFA"/>
    <w:rsid w:val="002C67C0"/>
    <w:rsid w:val="002C7B46"/>
    <w:rsid w:val="002D0B7C"/>
    <w:rsid w:val="002D3683"/>
    <w:rsid w:val="002D5E41"/>
    <w:rsid w:val="002E2116"/>
    <w:rsid w:val="002E2F55"/>
    <w:rsid w:val="002F0483"/>
    <w:rsid w:val="002F4186"/>
    <w:rsid w:val="00310008"/>
    <w:rsid w:val="00310889"/>
    <w:rsid w:val="00310966"/>
    <w:rsid w:val="0031308D"/>
    <w:rsid w:val="003216C6"/>
    <w:rsid w:val="0032231C"/>
    <w:rsid w:val="00333292"/>
    <w:rsid w:val="0033639B"/>
    <w:rsid w:val="00336E6C"/>
    <w:rsid w:val="003400A8"/>
    <w:rsid w:val="00344849"/>
    <w:rsid w:val="003527E6"/>
    <w:rsid w:val="00353A34"/>
    <w:rsid w:val="00355195"/>
    <w:rsid w:val="00355987"/>
    <w:rsid w:val="00356DC4"/>
    <w:rsid w:val="00363D36"/>
    <w:rsid w:val="0036413A"/>
    <w:rsid w:val="00364B68"/>
    <w:rsid w:val="00364BD4"/>
    <w:rsid w:val="00365B1B"/>
    <w:rsid w:val="003664F2"/>
    <w:rsid w:val="00370600"/>
    <w:rsid w:val="00375075"/>
    <w:rsid w:val="003759FE"/>
    <w:rsid w:val="0037674E"/>
    <w:rsid w:val="00376F01"/>
    <w:rsid w:val="00380CAD"/>
    <w:rsid w:val="003813E7"/>
    <w:rsid w:val="00381EE7"/>
    <w:rsid w:val="00386472"/>
    <w:rsid w:val="003871A7"/>
    <w:rsid w:val="003931C5"/>
    <w:rsid w:val="00394EF0"/>
    <w:rsid w:val="00395776"/>
    <w:rsid w:val="003979BF"/>
    <w:rsid w:val="003A10DC"/>
    <w:rsid w:val="003A49B3"/>
    <w:rsid w:val="003A7CB9"/>
    <w:rsid w:val="003B21FD"/>
    <w:rsid w:val="003B2229"/>
    <w:rsid w:val="003B350F"/>
    <w:rsid w:val="003B3C9C"/>
    <w:rsid w:val="003B4426"/>
    <w:rsid w:val="003B62A3"/>
    <w:rsid w:val="003B6A0E"/>
    <w:rsid w:val="003B760B"/>
    <w:rsid w:val="003C1560"/>
    <w:rsid w:val="003C295B"/>
    <w:rsid w:val="003C5A59"/>
    <w:rsid w:val="003D0976"/>
    <w:rsid w:val="003D4172"/>
    <w:rsid w:val="003E1EA3"/>
    <w:rsid w:val="003E62BF"/>
    <w:rsid w:val="003F107B"/>
    <w:rsid w:val="003F1C7B"/>
    <w:rsid w:val="003F225A"/>
    <w:rsid w:val="003F60DA"/>
    <w:rsid w:val="0040258C"/>
    <w:rsid w:val="00403B35"/>
    <w:rsid w:val="00403E2D"/>
    <w:rsid w:val="00403F86"/>
    <w:rsid w:val="00404163"/>
    <w:rsid w:val="00404B22"/>
    <w:rsid w:val="004054EA"/>
    <w:rsid w:val="00405E68"/>
    <w:rsid w:val="00406EAB"/>
    <w:rsid w:val="00413EA4"/>
    <w:rsid w:val="004144AE"/>
    <w:rsid w:val="00415E44"/>
    <w:rsid w:val="004211C2"/>
    <w:rsid w:val="00425FD1"/>
    <w:rsid w:val="004311E0"/>
    <w:rsid w:val="0043195C"/>
    <w:rsid w:val="00433A65"/>
    <w:rsid w:val="00433FE5"/>
    <w:rsid w:val="00434264"/>
    <w:rsid w:val="004348A1"/>
    <w:rsid w:val="0043609D"/>
    <w:rsid w:val="00437BFA"/>
    <w:rsid w:val="0044155D"/>
    <w:rsid w:val="00447F7F"/>
    <w:rsid w:val="0045133C"/>
    <w:rsid w:val="0045232F"/>
    <w:rsid w:val="00454733"/>
    <w:rsid w:val="00454947"/>
    <w:rsid w:val="0046161C"/>
    <w:rsid w:val="00465157"/>
    <w:rsid w:val="00465814"/>
    <w:rsid w:val="00466442"/>
    <w:rsid w:val="00467679"/>
    <w:rsid w:val="00472EF3"/>
    <w:rsid w:val="00484B87"/>
    <w:rsid w:val="004851A3"/>
    <w:rsid w:val="004918CB"/>
    <w:rsid w:val="00496FA0"/>
    <w:rsid w:val="004A00C9"/>
    <w:rsid w:val="004A107B"/>
    <w:rsid w:val="004A185F"/>
    <w:rsid w:val="004A193F"/>
    <w:rsid w:val="004A456D"/>
    <w:rsid w:val="004B2ED9"/>
    <w:rsid w:val="004B35C8"/>
    <w:rsid w:val="004B3661"/>
    <w:rsid w:val="004B38A2"/>
    <w:rsid w:val="004B5DC7"/>
    <w:rsid w:val="004C00CD"/>
    <w:rsid w:val="004C3D1F"/>
    <w:rsid w:val="004C4040"/>
    <w:rsid w:val="004C5A19"/>
    <w:rsid w:val="004C787C"/>
    <w:rsid w:val="004D13B9"/>
    <w:rsid w:val="004D72F9"/>
    <w:rsid w:val="004E05C6"/>
    <w:rsid w:val="004F2DAD"/>
    <w:rsid w:val="004F43D6"/>
    <w:rsid w:val="00501746"/>
    <w:rsid w:val="00502A5C"/>
    <w:rsid w:val="005052DB"/>
    <w:rsid w:val="0050538B"/>
    <w:rsid w:val="00505D17"/>
    <w:rsid w:val="005063FE"/>
    <w:rsid w:val="00512236"/>
    <w:rsid w:val="005126A1"/>
    <w:rsid w:val="00513894"/>
    <w:rsid w:val="005173B5"/>
    <w:rsid w:val="0052176B"/>
    <w:rsid w:val="005227EE"/>
    <w:rsid w:val="00523745"/>
    <w:rsid w:val="0053366A"/>
    <w:rsid w:val="005366DF"/>
    <w:rsid w:val="005411F9"/>
    <w:rsid w:val="0054312F"/>
    <w:rsid w:val="00544137"/>
    <w:rsid w:val="00545775"/>
    <w:rsid w:val="00557564"/>
    <w:rsid w:val="005611C3"/>
    <w:rsid w:val="005666AC"/>
    <w:rsid w:val="005715AB"/>
    <w:rsid w:val="00572F95"/>
    <w:rsid w:val="005808E5"/>
    <w:rsid w:val="005872E2"/>
    <w:rsid w:val="00594A9A"/>
    <w:rsid w:val="005A5C69"/>
    <w:rsid w:val="005A6703"/>
    <w:rsid w:val="005C3012"/>
    <w:rsid w:val="005C3389"/>
    <w:rsid w:val="005C45BC"/>
    <w:rsid w:val="005C672D"/>
    <w:rsid w:val="005C764A"/>
    <w:rsid w:val="005D0362"/>
    <w:rsid w:val="005D30E9"/>
    <w:rsid w:val="005D35F0"/>
    <w:rsid w:val="005D3810"/>
    <w:rsid w:val="005D6539"/>
    <w:rsid w:val="005D6B30"/>
    <w:rsid w:val="005D7215"/>
    <w:rsid w:val="005F090B"/>
    <w:rsid w:val="005F114C"/>
    <w:rsid w:val="005F2011"/>
    <w:rsid w:val="006040A3"/>
    <w:rsid w:val="006072AB"/>
    <w:rsid w:val="00613EA4"/>
    <w:rsid w:val="006170B2"/>
    <w:rsid w:val="00621724"/>
    <w:rsid w:val="00625200"/>
    <w:rsid w:val="00627523"/>
    <w:rsid w:val="006307E0"/>
    <w:rsid w:val="00632AA5"/>
    <w:rsid w:val="00633814"/>
    <w:rsid w:val="00640DE0"/>
    <w:rsid w:val="006424F6"/>
    <w:rsid w:val="006437BF"/>
    <w:rsid w:val="00645235"/>
    <w:rsid w:val="00657341"/>
    <w:rsid w:val="00657812"/>
    <w:rsid w:val="006612AB"/>
    <w:rsid w:val="00665ABE"/>
    <w:rsid w:val="00672658"/>
    <w:rsid w:val="00672FEC"/>
    <w:rsid w:val="00675507"/>
    <w:rsid w:val="00676FB3"/>
    <w:rsid w:val="006770B1"/>
    <w:rsid w:val="006773CC"/>
    <w:rsid w:val="00690FB7"/>
    <w:rsid w:val="006965AF"/>
    <w:rsid w:val="00696DF7"/>
    <w:rsid w:val="006C0413"/>
    <w:rsid w:val="006C5FD2"/>
    <w:rsid w:val="006C6A8C"/>
    <w:rsid w:val="006D560E"/>
    <w:rsid w:val="006E3CE5"/>
    <w:rsid w:val="006E599D"/>
    <w:rsid w:val="006E6B61"/>
    <w:rsid w:val="006F1B9B"/>
    <w:rsid w:val="006F39F3"/>
    <w:rsid w:val="006F5463"/>
    <w:rsid w:val="006F7ED3"/>
    <w:rsid w:val="007000DD"/>
    <w:rsid w:val="00700B41"/>
    <w:rsid w:val="007037F2"/>
    <w:rsid w:val="00704D09"/>
    <w:rsid w:val="00712117"/>
    <w:rsid w:val="00716B6B"/>
    <w:rsid w:val="0072197A"/>
    <w:rsid w:val="00725BE8"/>
    <w:rsid w:val="007264B2"/>
    <w:rsid w:val="007304D1"/>
    <w:rsid w:val="00730C16"/>
    <w:rsid w:val="00731234"/>
    <w:rsid w:val="0073244A"/>
    <w:rsid w:val="0073335A"/>
    <w:rsid w:val="00733E9C"/>
    <w:rsid w:val="00740F70"/>
    <w:rsid w:val="00741864"/>
    <w:rsid w:val="00741FA3"/>
    <w:rsid w:val="00744C53"/>
    <w:rsid w:val="007520F6"/>
    <w:rsid w:val="007526CB"/>
    <w:rsid w:val="00753CB1"/>
    <w:rsid w:val="00757468"/>
    <w:rsid w:val="00757715"/>
    <w:rsid w:val="00761C4F"/>
    <w:rsid w:val="00762366"/>
    <w:rsid w:val="00762963"/>
    <w:rsid w:val="007716C6"/>
    <w:rsid w:val="007904FC"/>
    <w:rsid w:val="00790B6B"/>
    <w:rsid w:val="007968AD"/>
    <w:rsid w:val="007B0071"/>
    <w:rsid w:val="007B3892"/>
    <w:rsid w:val="007B60B8"/>
    <w:rsid w:val="007C3E71"/>
    <w:rsid w:val="007C467D"/>
    <w:rsid w:val="007D52B2"/>
    <w:rsid w:val="007E1E0E"/>
    <w:rsid w:val="007E654E"/>
    <w:rsid w:val="007F65AF"/>
    <w:rsid w:val="007F735A"/>
    <w:rsid w:val="008005B7"/>
    <w:rsid w:val="00800DA0"/>
    <w:rsid w:val="008028A6"/>
    <w:rsid w:val="00803C0F"/>
    <w:rsid w:val="00806050"/>
    <w:rsid w:val="00806B7C"/>
    <w:rsid w:val="00807297"/>
    <w:rsid w:val="008102BF"/>
    <w:rsid w:val="008134A2"/>
    <w:rsid w:val="00813601"/>
    <w:rsid w:val="00820F8B"/>
    <w:rsid w:val="00822B12"/>
    <w:rsid w:val="00823132"/>
    <w:rsid w:val="00825FA4"/>
    <w:rsid w:val="008269FB"/>
    <w:rsid w:val="00826FE7"/>
    <w:rsid w:val="008317FB"/>
    <w:rsid w:val="00834C81"/>
    <w:rsid w:val="00835BD9"/>
    <w:rsid w:val="00836A32"/>
    <w:rsid w:val="00840441"/>
    <w:rsid w:val="008410E2"/>
    <w:rsid w:val="008433D9"/>
    <w:rsid w:val="008451CA"/>
    <w:rsid w:val="00845453"/>
    <w:rsid w:val="00846C1E"/>
    <w:rsid w:val="008518BC"/>
    <w:rsid w:val="00856B32"/>
    <w:rsid w:val="00860D48"/>
    <w:rsid w:val="00861E77"/>
    <w:rsid w:val="00871B9B"/>
    <w:rsid w:val="00873490"/>
    <w:rsid w:val="008809A8"/>
    <w:rsid w:val="00880E9D"/>
    <w:rsid w:val="00886621"/>
    <w:rsid w:val="00890123"/>
    <w:rsid w:val="00890DA1"/>
    <w:rsid w:val="008916F2"/>
    <w:rsid w:val="00892EFD"/>
    <w:rsid w:val="00896441"/>
    <w:rsid w:val="008A07B3"/>
    <w:rsid w:val="008A086F"/>
    <w:rsid w:val="008A3360"/>
    <w:rsid w:val="008A3472"/>
    <w:rsid w:val="008A3744"/>
    <w:rsid w:val="008A4847"/>
    <w:rsid w:val="008B07F0"/>
    <w:rsid w:val="008B6264"/>
    <w:rsid w:val="008C34AE"/>
    <w:rsid w:val="008C567B"/>
    <w:rsid w:val="008D2099"/>
    <w:rsid w:val="008D22F3"/>
    <w:rsid w:val="008D7926"/>
    <w:rsid w:val="008E45F3"/>
    <w:rsid w:val="008E5353"/>
    <w:rsid w:val="008E5A3D"/>
    <w:rsid w:val="008E7D17"/>
    <w:rsid w:val="008F23D7"/>
    <w:rsid w:val="008F4D8E"/>
    <w:rsid w:val="008F5693"/>
    <w:rsid w:val="008F7513"/>
    <w:rsid w:val="00901C81"/>
    <w:rsid w:val="009039C4"/>
    <w:rsid w:val="00904239"/>
    <w:rsid w:val="00904FEB"/>
    <w:rsid w:val="0090589A"/>
    <w:rsid w:val="00906B90"/>
    <w:rsid w:val="00907EA6"/>
    <w:rsid w:val="009114ED"/>
    <w:rsid w:val="009116BD"/>
    <w:rsid w:val="00912FB4"/>
    <w:rsid w:val="00920EA9"/>
    <w:rsid w:val="00923BF5"/>
    <w:rsid w:val="00930068"/>
    <w:rsid w:val="0093279F"/>
    <w:rsid w:val="00933352"/>
    <w:rsid w:val="00933A29"/>
    <w:rsid w:val="00934B99"/>
    <w:rsid w:val="0093634C"/>
    <w:rsid w:val="00937129"/>
    <w:rsid w:val="009456DB"/>
    <w:rsid w:val="00950A5F"/>
    <w:rsid w:val="00951494"/>
    <w:rsid w:val="00953E9D"/>
    <w:rsid w:val="00955908"/>
    <w:rsid w:val="00960339"/>
    <w:rsid w:val="00965F5F"/>
    <w:rsid w:val="009725B1"/>
    <w:rsid w:val="00973791"/>
    <w:rsid w:val="00976F05"/>
    <w:rsid w:val="00982403"/>
    <w:rsid w:val="00983B1E"/>
    <w:rsid w:val="00984EBF"/>
    <w:rsid w:val="00985010"/>
    <w:rsid w:val="00987FE9"/>
    <w:rsid w:val="009A0126"/>
    <w:rsid w:val="009A60DC"/>
    <w:rsid w:val="009B0865"/>
    <w:rsid w:val="009B2778"/>
    <w:rsid w:val="009B2B06"/>
    <w:rsid w:val="009B44C2"/>
    <w:rsid w:val="009B521C"/>
    <w:rsid w:val="009B647A"/>
    <w:rsid w:val="009B6971"/>
    <w:rsid w:val="009B72E4"/>
    <w:rsid w:val="009C2F56"/>
    <w:rsid w:val="009C74E4"/>
    <w:rsid w:val="009C7725"/>
    <w:rsid w:val="009D10E9"/>
    <w:rsid w:val="009D15CF"/>
    <w:rsid w:val="009D2C80"/>
    <w:rsid w:val="009D35BA"/>
    <w:rsid w:val="009D3C3C"/>
    <w:rsid w:val="009D5ED8"/>
    <w:rsid w:val="009D7339"/>
    <w:rsid w:val="009E076D"/>
    <w:rsid w:val="009E0B77"/>
    <w:rsid w:val="009E1EAE"/>
    <w:rsid w:val="009E2D4D"/>
    <w:rsid w:val="009F00D8"/>
    <w:rsid w:val="009F2F67"/>
    <w:rsid w:val="009F5AE4"/>
    <w:rsid w:val="00A017E7"/>
    <w:rsid w:val="00A0315D"/>
    <w:rsid w:val="00A055BF"/>
    <w:rsid w:val="00A065F6"/>
    <w:rsid w:val="00A14B3B"/>
    <w:rsid w:val="00A25AB0"/>
    <w:rsid w:val="00A3331F"/>
    <w:rsid w:val="00A40422"/>
    <w:rsid w:val="00A42530"/>
    <w:rsid w:val="00A439BA"/>
    <w:rsid w:val="00A44381"/>
    <w:rsid w:val="00A46CC7"/>
    <w:rsid w:val="00A47CB3"/>
    <w:rsid w:val="00A538BC"/>
    <w:rsid w:val="00A545EB"/>
    <w:rsid w:val="00A57141"/>
    <w:rsid w:val="00A60CF8"/>
    <w:rsid w:val="00A67972"/>
    <w:rsid w:val="00A70843"/>
    <w:rsid w:val="00A736A7"/>
    <w:rsid w:val="00A74530"/>
    <w:rsid w:val="00A75212"/>
    <w:rsid w:val="00A779D0"/>
    <w:rsid w:val="00A77B73"/>
    <w:rsid w:val="00A80C66"/>
    <w:rsid w:val="00A81BB4"/>
    <w:rsid w:val="00A82B32"/>
    <w:rsid w:val="00A85031"/>
    <w:rsid w:val="00A872AD"/>
    <w:rsid w:val="00A92BF3"/>
    <w:rsid w:val="00A94627"/>
    <w:rsid w:val="00A94930"/>
    <w:rsid w:val="00AA1A00"/>
    <w:rsid w:val="00AA290F"/>
    <w:rsid w:val="00AB2DDC"/>
    <w:rsid w:val="00AB2E18"/>
    <w:rsid w:val="00AB5515"/>
    <w:rsid w:val="00AB556C"/>
    <w:rsid w:val="00AB6403"/>
    <w:rsid w:val="00AB6BEA"/>
    <w:rsid w:val="00AC210E"/>
    <w:rsid w:val="00AD093E"/>
    <w:rsid w:val="00AD432A"/>
    <w:rsid w:val="00AD5F9C"/>
    <w:rsid w:val="00AE300F"/>
    <w:rsid w:val="00AE51A4"/>
    <w:rsid w:val="00AE74FD"/>
    <w:rsid w:val="00AF0934"/>
    <w:rsid w:val="00AF22B4"/>
    <w:rsid w:val="00AF6237"/>
    <w:rsid w:val="00B053E5"/>
    <w:rsid w:val="00B1053E"/>
    <w:rsid w:val="00B14DFD"/>
    <w:rsid w:val="00B14EBB"/>
    <w:rsid w:val="00B16704"/>
    <w:rsid w:val="00B16BE6"/>
    <w:rsid w:val="00B2089C"/>
    <w:rsid w:val="00B210C4"/>
    <w:rsid w:val="00B220AC"/>
    <w:rsid w:val="00B25FB7"/>
    <w:rsid w:val="00B3669E"/>
    <w:rsid w:val="00B40548"/>
    <w:rsid w:val="00B4431E"/>
    <w:rsid w:val="00B45FFF"/>
    <w:rsid w:val="00B500A7"/>
    <w:rsid w:val="00B53FEE"/>
    <w:rsid w:val="00B54A8E"/>
    <w:rsid w:val="00B55D69"/>
    <w:rsid w:val="00B6025C"/>
    <w:rsid w:val="00B624B6"/>
    <w:rsid w:val="00B64773"/>
    <w:rsid w:val="00B66875"/>
    <w:rsid w:val="00B70A33"/>
    <w:rsid w:val="00B7783B"/>
    <w:rsid w:val="00B8203C"/>
    <w:rsid w:val="00B851B9"/>
    <w:rsid w:val="00B85E4A"/>
    <w:rsid w:val="00B86D57"/>
    <w:rsid w:val="00B92F0F"/>
    <w:rsid w:val="00B96FB4"/>
    <w:rsid w:val="00B971E9"/>
    <w:rsid w:val="00BA2F6F"/>
    <w:rsid w:val="00BB1695"/>
    <w:rsid w:val="00BB2A17"/>
    <w:rsid w:val="00BB7CF2"/>
    <w:rsid w:val="00BC1577"/>
    <w:rsid w:val="00BC2A93"/>
    <w:rsid w:val="00BC6972"/>
    <w:rsid w:val="00BD6C3D"/>
    <w:rsid w:val="00BD7609"/>
    <w:rsid w:val="00BE5FC7"/>
    <w:rsid w:val="00BE6384"/>
    <w:rsid w:val="00BF0FE0"/>
    <w:rsid w:val="00BF10D5"/>
    <w:rsid w:val="00BF1499"/>
    <w:rsid w:val="00BF4CEA"/>
    <w:rsid w:val="00C054CD"/>
    <w:rsid w:val="00C076B4"/>
    <w:rsid w:val="00C111C3"/>
    <w:rsid w:val="00C121F4"/>
    <w:rsid w:val="00C137F3"/>
    <w:rsid w:val="00C16629"/>
    <w:rsid w:val="00C23EC3"/>
    <w:rsid w:val="00C3617E"/>
    <w:rsid w:val="00C3697D"/>
    <w:rsid w:val="00C36B26"/>
    <w:rsid w:val="00C40105"/>
    <w:rsid w:val="00C40A2E"/>
    <w:rsid w:val="00C41C5C"/>
    <w:rsid w:val="00C45463"/>
    <w:rsid w:val="00C45522"/>
    <w:rsid w:val="00C50CD4"/>
    <w:rsid w:val="00C5161B"/>
    <w:rsid w:val="00C57F60"/>
    <w:rsid w:val="00C625B5"/>
    <w:rsid w:val="00C64104"/>
    <w:rsid w:val="00C6528F"/>
    <w:rsid w:val="00C675E0"/>
    <w:rsid w:val="00C80206"/>
    <w:rsid w:val="00C82321"/>
    <w:rsid w:val="00C83A27"/>
    <w:rsid w:val="00C86869"/>
    <w:rsid w:val="00C8716D"/>
    <w:rsid w:val="00C93900"/>
    <w:rsid w:val="00C9394C"/>
    <w:rsid w:val="00C951F3"/>
    <w:rsid w:val="00C953CA"/>
    <w:rsid w:val="00CA06DD"/>
    <w:rsid w:val="00CA5F69"/>
    <w:rsid w:val="00CB7501"/>
    <w:rsid w:val="00CC0326"/>
    <w:rsid w:val="00CC064E"/>
    <w:rsid w:val="00CC29AF"/>
    <w:rsid w:val="00CC2F00"/>
    <w:rsid w:val="00CD150C"/>
    <w:rsid w:val="00CD3C3A"/>
    <w:rsid w:val="00CE1D03"/>
    <w:rsid w:val="00CE3988"/>
    <w:rsid w:val="00CE585D"/>
    <w:rsid w:val="00CE6C18"/>
    <w:rsid w:val="00CE7901"/>
    <w:rsid w:val="00CF0092"/>
    <w:rsid w:val="00CF30CC"/>
    <w:rsid w:val="00CF620F"/>
    <w:rsid w:val="00CF6D21"/>
    <w:rsid w:val="00CF7791"/>
    <w:rsid w:val="00D005CC"/>
    <w:rsid w:val="00D01065"/>
    <w:rsid w:val="00D0226A"/>
    <w:rsid w:val="00D03072"/>
    <w:rsid w:val="00D03CC9"/>
    <w:rsid w:val="00D07BDF"/>
    <w:rsid w:val="00D11F26"/>
    <w:rsid w:val="00D2029D"/>
    <w:rsid w:val="00D2222A"/>
    <w:rsid w:val="00D22C7D"/>
    <w:rsid w:val="00D23BFB"/>
    <w:rsid w:val="00D2550B"/>
    <w:rsid w:val="00D26611"/>
    <w:rsid w:val="00D278AF"/>
    <w:rsid w:val="00D30805"/>
    <w:rsid w:val="00D31A6A"/>
    <w:rsid w:val="00D40517"/>
    <w:rsid w:val="00D436CE"/>
    <w:rsid w:val="00D441C4"/>
    <w:rsid w:val="00D4595F"/>
    <w:rsid w:val="00D60DD7"/>
    <w:rsid w:val="00D710C6"/>
    <w:rsid w:val="00D71AF9"/>
    <w:rsid w:val="00D73B9A"/>
    <w:rsid w:val="00D755E9"/>
    <w:rsid w:val="00D76F31"/>
    <w:rsid w:val="00D84296"/>
    <w:rsid w:val="00D85FE8"/>
    <w:rsid w:val="00D943DA"/>
    <w:rsid w:val="00D94FCB"/>
    <w:rsid w:val="00D97A29"/>
    <w:rsid w:val="00DA0B63"/>
    <w:rsid w:val="00DA1834"/>
    <w:rsid w:val="00DA4C0E"/>
    <w:rsid w:val="00DA4C1A"/>
    <w:rsid w:val="00DA657A"/>
    <w:rsid w:val="00DB1A31"/>
    <w:rsid w:val="00DC0506"/>
    <w:rsid w:val="00DC12D8"/>
    <w:rsid w:val="00DD0117"/>
    <w:rsid w:val="00DD025D"/>
    <w:rsid w:val="00DD2634"/>
    <w:rsid w:val="00DD4F1E"/>
    <w:rsid w:val="00DD5466"/>
    <w:rsid w:val="00DD64C5"/>
    <w:rsid w:val="00DD6ADA"/>
    <w:rsid w:val="00DE429E"/>
    <w:rsid w:val="00DE4C63"/>
    <w:rsid w:val="00DF36A1"/>
    <w:rsid w:val="00DF3782"/>
    <w:rsid w:val="00DF49CA"/>
    <w:rsid w:val="00DF6859"/>
    <w:rsid w:val="00E010B0"/>
    <w:rsid w:val="00E1212B"/>
    <w:rsid w:val="00E12217"/>
    <w:rsid w:val="00E13343"/>
    <w:rsid w:val="00E150E4"/>
    <w:rsid w:val="00E1574F"/>
    <w:rsid w:val="00E15B25"/>
    <w:rsid w:val="00E21C06"/>
    <w:rsid w:val="00E23DC9"/>
    <w:rsid w:val="00E24B33"/>
    <w:rsid w:val="00E26CAE"/>
    <w:rsid w:val="00E2793C"/>
    <w:rsid w:val="00E3204B"/>
    <w:rsid w:val="00E338D2"/>
    <w:rsid w:val="00E364AB"/>
    <w:rsid w:val="00E41B25"/>
    <w:rsid w:val="00E423C7"/>
    <w:rsid w:val="00E42B96"/>
    <w:rsid w:val="00E43679"/>
    <w:rsid w:val="00E469F5"/>
    <w:rsid w:val="00E50592"/>
    <w:rsid w:val="00E516D5"/>
    <w:rsid w:val="00E526FD"/>
    <w:rsid w:val="00E52E03"/>
    <w:rsid w:val="00E55E37"/>
    <w:rsid w:val="00E62BA6"/>
    <w:rsid w:val="00E64E96"/>
    <w:rsid w:val="00E8147B"/>
    <w:rsid w:val="00E82261"/>
    <w:rsid w:val="00E83A5B"/>
    <w:rsid w:val="00E84B2F"/>
    <w:rsid w:val="00E84BC5"/>
    <w:rsid w:val="00E85B10"/>
    <w:rsid w:val="00E87AB6"/>
    <w:rsid w:val="00E87FFC"/>
    <w:rsid w:val="00E9028B"/>
    <w:rsid w:val="00E91970"/>
    <w:rsid w:val="00E92059"/>
    <w:rsid w:val="00E962D7"/>
    <w:rsid w:val="00E97A71"/>
    <w:rsid w:val="00EA58B9"/>
    <w:rsid w:val="00EB2E3B"/>
    <w:rsid w:val="00EB35EC"/>
    <w:rsid w:val="00EB5AA0"/>
    <w:rsid w:val="00EB7C80"/>
    <w:rsid w:val="00EC0070"/>
    <w:rsid w:val="00EC0102"/>
    <w:rsid w:val="00EC07A9"/>
    <w:rsid w:val="00EC24F3"/>
    <w:rsid w:val="00EC37E1"/>
    <w:rsid w:val="00EC4BE5"/>
    <w:rsid w:val="00ED0174"/>
    <w:rsid w:val="00ED0CF0"/>
    <w:rsid w:val="00ED153F"/>
    <w:rsid w:val="00ED1CCD"/>
    <w:rsid w:val="00ED63DE"/>
    <w:rsid w:val="00ED68F8"/>
    <w:rsid w:val="00ED75BD"/>
    <w:rsid w:val="00EE29E7"/>
    <w:rsid w:val="00EE5937"/>
    <w:rsid w:val="00EE6445"/>
    <w:rsid w:val="00EE7741"/>
    <w:rsid w:val="00EF1104"/>
    <w:rsid w:val="00EF6DD2"/>
    <w:rsid w:val="00EF7BEA"/>
    <w:rsid w:val="00F021DB"/>
    <w:rsid w:val="00F029CF"/>
    <w:rsid w:val="00F13C87"/>
    <w:rsid w:val="00F150A2"/>
    <w:rsid w:val="00F155BE"/>
    <w:rsid w:val="00F1710F"/>
    <w:rsid w:val="00F200B4"/>
    <w:rsid w:val="00F2155A"/>
    <w:rsid w:val="00F22400"/>
    <w:rsid w:val="00F229D1"/>
    <w:rsid w:val="00F24CB0"/>
    <w:rsid w:val="00F264B7"/>
    <w:rsid w:val="00F27F78"/>
    <w:rsid w:val="00F40DA8"/>
    <w:rsid w:val="00F433F4"/>
    <w:rsid w:val="00F43AC0"/>
    <w:rsid w:val="00F50926"/>
    <w:rsid w:val="00F51922"/>
    <w:rsid w:val="00F53565"/>
    <w:rsid w:val="00F54C95"/>
    <w:rsid w:val="00F56F6D"/>
    <w:rsid w:val="00F63BCB"/>
    <w:rsid w:val="00F642CE"/>
    <w:rsid w:val="00F6778E"/>
    <w:rsid w:val="00F82583"/>
    <w:rsid w:val="00F84620"/>
    <w:rsid w:val="00F869B7"/>
    <w:rsid w:val="00F9568A"/>
    <w:rsid w:val="00FA5AB6"/>
    <w:rsid w:val="00FB185C"/>
    <w:rsid w:val="00FB2FF9"/>
    <w:rsid w:val="00FB4F15"/>
    <w:rsid w:val="00FB545E"/>
    <w:rsid w:val="00FB7CE5"/>
    <w:rsid w:val="00FC15CE"/>
    <w:rsid w:val="00FC63D8"/>
    <w:rsid w:val="00FC6A46"/>
    <w:rsid w:val="00FD76A3"/>
    <w:rsid w:val="00FE1E22"/>
    <w:rsid w:val="00FE47D7"/>
    <w:rsid w:val="00FE5A01"/>
    <w:rsid w:val="00FF38BA"/>
    <w:rsid w:val="00FF3D4F"/>
    <w:rsid w:val="00FF4C67"/>
    <w:rsid w:val="00FF59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A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C6"/>
    <w:pPr>
      <w:spacing w:after="0" w:line="240" w:lineRule="auto"/>
    </w:pPr>
    <w:rPr>
      <w:rFonts w:ascii="Times New Roman" w:eastAsia="Times New Roman" w:hAnsi="Times New Roman" w:cs="Times New Roman"/>
      <w:kern w:val="0"/>
      <w:sz w:val="24"/>
      <w:szCs w:val="24"/>
      <w:lang w:eastAsia="ru-RU"/>
      <w14:ligatures w14:val="none"/>
    </w:rPr>
  </w:style>
  <w:style w:type="paragraph" w:styleId="Heading1">
    <w:name w:val="heading 1"/>
    <w:basedOn w:val="Normal"/>
    <w:next w:val="Normal"/>
    <w:link w:val="Heading1Char"/>
    <w:uiPriority w:val="9"/>
    <w:qFormat/>
    <w:rsid w:val="007716C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716C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716C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716C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716C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716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16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16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16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6C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716C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716C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716C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716C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71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6C6"/>
    <w:rPr>
      <w:rFonts w:eastAsiaTheme="majorEastAsia" w:cstheme="majorBidi"/>
      <w:color w:val="272727" w:themeColor="text1" w:themeTint="D8"/>
    </w:rPr>
  </w:style>
  <w:style w:type="paragraph" w:styleId="Title">
    <w:name w:val="Title"/>
    <w:basedOn w:val="Normal"/>
    <w:next w:val="Normal"/>
    <w:link w:val="TitleChar"/>
    <w:uiPriority w:val="10"/>
    <w:qFormat/>
    <w:rsid w:val="007716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6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1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6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16C6"/>
    <w:rPr>
      <w:i/>
      <w:iCs/>
      <w:color w:val="404040" w:themeColor="text1" w:themeTint="BF"/>
    </w:rPr>
  </w:style>
  <w:style w:type="paragraph" w:styleId="ListParagraph">
    <w:name w:val="List Paragraph"/>
    <w:basedOn w:val="Normal"/>
    <w:uiPriority w:val="34"/>
    <w:qFormat/>
    <w:rsid w:val="007716C6"/>
    <w:pPr>
      <w:ind w:left="720"/>
      <w:contextualSpacing/>
    </w:pPr>
  </w:style>
  <w:style w:type="character" w:styleId="IntenseEmphasis">
    <w:name w:val="Intense Emphasis"/>
    <w:basedOn w:val="DefaultParagraphFont"/>
    <w:uiPriority w:val="21"/>
    <w:qFormat/>
    <w:rsid w:val="007716C6"/>
    <w:rPr>
      <w:i/>
      <w:iCs/>
      <w:color w:val="365F91" w:themeColor="accent1" w:themeShade="BF"/>
    </w:rPr>
  </w:style>
  <w:style w:type="paragraph" w:styleId="IntenseQuote">
    <w:name w:val="Intense Quote"/>
    <w:basedOn w:val="Normal"/>
    <w:next w:val="Normal"/>
    <w:link w:val="IntenseQuoteChar"/>
    <w:uiPriority w:val="30"/>
    <w:qFormat/>
    <w:rsid w:val="007716C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716C6"/>
    <w:rPr>
      <w:i/>
      <w:iCs/>
      <w:color w:val="365F91" w:themeColor="accent1" w:themeShade="BF"/>
    </w:rPr>
  </w:style>
  <w:style w:type="character" w:styleId="IntenseReference">
    <w:name w:val="Intense Reference"/>
    <w:basedOn w:val="DefaultParagraphFont"/>
    <w:uiPriority w:val="32"/>
    <w:qFormat/>
    <w:rsid w:val="007716C6"/>
    <w:rPr>
      <w:b/>
      <w:bCs/>
      <w:smallCaps/>
      <w:color w:val="365F91" w:themeColor="accent1" w:themeShade="BF"/>
      <w:spacing w:val="5"/>
    </w:rPr>
  </w:style>
  <w:style w:type="paragraph" w:styleId="BodyText2">
    <w:name w:val="Body Text 2"/>
    <w:basedOn w:val="Normal"/>
    <w:link w:val="BodyText2Char"/>
    <w:rsid w:val="007716C6"/>
    <w:pPr>
      <w:spacing w:after="120" w:line="480" w:lineRule="auto"/>
    </w:pPr>
    <w:rPr>
      <w:lang w:val="x-none"/>
    </w:rPr>
  </w:style>
  <w:style w:type="character" w:customStyle="1" w:styleId="BodyText2Char">
    <w:name w:val="Body Text 2 Char"/>
    <w:basedOn w:val="DefaultParagraphFont"/>
    <w:link w:val="BodyText2"/>
    <w:rsid w:val="007716C6"/>
    <w:rPr>
      <w:rFonts w:ascii="Times New Roman" w:eastAsia="Times New Roman" w:hAnsi="Times New Roman" w:cs="Times New Roman"/>
      <w:kern w:val="0"/>
      <w:sz w:val="24"/>
      <w:szCs w:val="24"/>
      <w:lang w:val="x-none" w:eastAsia="ru-RU"/>
      <w14:ligatures w14:val="none"/>
    </w:rPr>
  </w:style>
  <w:style w:type="paragraph" w:styleId="Footer">
    <w:name w:val="footer"/>
    <w:basedOn w:val="Normal"/>
    <w:link w:val="FooterChar"/>
    <w:unhideWhenUsed/>
    <w:rsid w:val="007716C6"/>
    <w:pPr>
      <w:tabs>
        <w:tab w:val="center" w:pos="4153"/>
        <w:tab w:val="right" w:pos="8306"/>
      </w:tabs>
    </w:pPr>
  </w:style>
  <w:style w:type="character" w:customStyle="1" w:styleId="FooterChar">
    <w:name w:val="Footer Char"/>
    <w:basedOn w:val="DefaultParagraphFont"/>
    <w:link w:val="Footer"/>
    <w:rsid w:val="007716C6"/>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7716C6"/>
  </w:style>
  <w:style w:type="paragraph" w:customStyle="1" w:styleId="ATpamattesksts">
    <w:name w:val="AT pamattesksts"/>
    <w:basedOn w:val="BodyText2"/>
    <w:link w:val="ATpamatteskstsChar"/>
    <w:qFormat/>
    <w:rsid w:val="007716C6"/>
    <w:pPr>
      <w:spacing w:after="0" w:line="276" w:lineRule="auto"/>
      <w:ind w:firstLine="567"/>
      <w:jc w:val="both"/>
    </w:pPr>
  </w:style>
  <w:style w:type="character" w:customStyle="1" w:styleId="ATpamatteskstsChar">
    <w:name w:val="AT pamattesksts Char"/>
    <w:basedOn w:val="BodyText2Char"/>
    <w:link w:val="ATpamattesksts"/>
    <w:rsid w:val="007716C6"/>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7716C6"/>
    <w:pPr>
      <w:spacing w:line="276" w:lineRule="auto"/>
      <w:jc w:val="center"/>
      <w:outlineLvl w:val="0"/>
    </w:pPr>
    <w:rPr>
      <w:b/>
    </w:rPr>
  </w:style>
  <w:style w:type="character" w:customStyle="1" w:styleId="ATvirsrakstsChar">
    <w:name w:val="AT virsraksts Char"/>
    <w:basedOn w:val="DefaultParagraphFont"/>
    <w:link w:val="ATvirsraksts"/>
    <w:rsid w:val="007716C6"/>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7716C6"/>
    <w:rPr>
      <w:color w:val="0000FF" w:themeColor="hyperlink"/>
      <w:u w:val="single"/>
    </w:rPr>
  </w:style>
  <w:style w:type="paragraph" w:styleId="NormalWeb">
    <w:name w:val="Normal (Web)"/>
    <w:basedOn w:val="Normal"/>
    <w:uiPriority w:val="99"/>
    <w:rsid w:val="007716C6"/>
    <w:pPr>
      <w:spacing w:before="100" w:beforeAutospacing="1" w:after="100" w:afterAutospacing="1"/>
    </w:pPr>
    <w:rPr>
      <w:lang w:eastAsia="lv-LV"/>
    </w:rPr>
  </w:style>
  <w:style w:type="paragraph" w:styleId="ListBullet">
    <w:name w:val="List Bullet"/>
    <w:basedOn w:val="Normal"/>
    <w:uiPriority w:val="99"/>
    <w:unhideWhenUsed/>
    <w:rsid w:val="007716C6"/>
    <w:pPr>
      <w:numPr>
        <w:numId w:val="1"/>
      </w:numPr>
      <w:contextualSpacing/>
    </w:pPr>
  </w:style>
  <w:style w:type="character" w:styleId="UnresolvedMention">
    <w:name w:val="Unresolved Mention"/>
    <w:basedOn w:val="DefaultParagraphFont"/>
    <w:uiPriority w:val="99"/>
    <w:semiHidden/>
    <w:unhideWhenUsed/>
    <w:rsid w:val="007716C6"/>
    <w:rPr>
      <w:color w:val="605E5C"/>
      <w:shd w:val="clear" w:color="auto" w:fill="E1DFDD"/>
    </w:rPr>
  </w:style>
  <w:style w:type="paragraph" w:styleId="FootnoteText">
    <w:name w:val="footnote text"/>
    <w:basedOn w:val="Normal"/>
    <w:link w:val="FootnoteTextChar"/>
    <w:uiPriority w:val="99"/>
    <w:semiHidden/>
    <w:unhideWhenUsed/>
    <w:rsid w:val="00433A65"/>
    <w:rPr>
      <w:rFonts w:ascii="Calibri" w:eastAsia="Calibri" w:hAnsi="Calibri"/>
      <w:sz w:val="20"/>
      <w:szCs w:val="20"/>
      <w:lang w:eastAsia="lv-LV"/>
    </w:rPr>
  </w:style>
  <w:style w:type="character" w:customStyle="1" w:styleId="FootnoteTextChar">
    <w:name w:val="Footnote Text Char"/>
    <w:basedOn w:val="DefaultParagraphFont"/>
    <w:link w:val="FootnoteText"/>
    <w:uiPriority w:val="99"/>
    <w:semiHidden/>
    <w:rsid w:val="00433A65"/>
    <w:rPr>
      <w:rFonts w:ascii="Calibri" w:eastAsia="Calibri" w:hAnsi="Calibri" w:cs="Times New Roman"/>
      <w:kern w:val="0"/>
      <w:sz w:val="20"/>
      <w:szCs w:val="20"/>
      <w:lang w:eastAsia="lv-LV"/>
      <w14:ligatures w14:val="none"/>
    </w:rPr>
  </w:style>
  <w:style w:type="character" w:styleId="FootnoteReference">
    <w:name w:val="footnote reference"/>
    <w:uiPriority w:val="99"/>
    <w:semiHidden/>
    <w:unhideWhenUsed/>
    <w:rsid w:val="00433A65"/>
    <w:rPr>
      <w:rFonts w:ascii="Times New Roman" w:hAnsi="Times New Roman" w:cs="Times New Roman" w:hint="default"/>
      <w:vertAlign w:val="superscript"/>
    </w:rPr>
  </w:style>
  <w:style w:type="paragraph" w:styleId="HTMLPreformatted">
    <w:name w:val="HTML Preformatted"/>
    <w:basedOn w:val="Normal"/>
    <w:link w:val="HTMLPreformattedChar"/>
    <w:uiPriority w:val="99"/>
    <w:semiHidden/>
    <w:unhideWhenUsed/>
    <w:rsid w:val="0054312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312F"/>
    <w:rPr>
      <w:rFonts w:ascii="Consolas" w:eastAsia="Times New Roman" w:hAnsi="Consolas" w:cs="Times New Roman"/>
      <w:kern w:val="0"/>
      <w:sz w:val="20"/>
      <w:szCs w:val="20"/>
      <w:lang w:eastAsia="ru-RU"/>
      <w14:ligatures w14:val="none"/>
    </w:rPr>
  </w:style>
  <w:style w:type="table" w:styleId="TableGrid">
    <w:name w:val="Table Grid"/>
    <w:basedOn w:val="TableNormal"/>
    <w:uiPriority w:val="59"/>
    <w:rsid w:val="00CF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EAE"/>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9E1EAE"/>
    <w:rPr>
      <w:sz w:val="16"/>
      <w:szCs w:val="16"/>
    </w:rPr>
  </w:style>
  <w:style w:type="paragraph" w:styleId="CommentText">
    <w:name w:val="annotation text"/>
    <w:basedOn w:val="Normal"/>
    <w:link w:val="CommentTextChar"/>
    <w:uiPriority w:val="99"/>
    <w:unhideWhenUsed/>
    <w:rsid w:val="009E1EAE"/>
    <w:rPr>
      <w:sz w:val="20"/>
      <w:szCs w:val="20"/>
    </w:rPr>
  </w:style>
  <w:style w:type="character" w:customStyle="1" w:styleId="CommentTextChar">
    <w:name w:val="Comment Text Char"/>
    <w:basedOn w:val="DefaultParagraphFont"/>
    <w:link w:val="CommentText"/>
    <w:uiPriority w:val="99"/>
    <w:rsid w:val="009E1EAE"/>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9E1EAE"/>
    <w:rPr>
      <w:b/>
      <w:bCs/>
    </w:rPr>
  </w:style>
  <w:style w:type="character" w:customStyle="1" w:styleId="CommentSubjectChar">
    <w:name w:val="Comment Subject Char"/>
    <w:basedOn w:val="CommentTextChar"/>
    <w:link w:val="CommentSubject"/>
    <w:uiPriority w:val="99"/>
    <w:semiHidden/>
    <w:rsid w:val="009E1EAE"/>
    <w:rPr>
      <w:rFonts w:ascii="Times New Roman" w:eastAsia="Times New Roman" w:hAnsi="Times New Roman" w:cs="Times New Roman"/>
      <w:b/>
      <w:bCs/>
      <w:kern w:val="0"/>
      <w:sz w:val="20"/>
      <w:szCs w:val="20"/>
      <w:lang w:eastAsia="ru-RU"/>
      <w14:ligatures w14:val="none"/>
    </w:rPr>
  </w:style>
  <w:style w:type="character" w:styleId="FollowedHyperlink">
    <w:name w:val="FollowedHyperlink"/>
    <w:basedOn w:val="DefaultParagraphFont"/>
    <w:uiPriority w:val="99"/>
    <w:semiHidden/>
    <w:unhideWhenUsed/>
    <w:rsid w:val="003E1EA3"/>
    <w:rPr>
      <w:color w:val="800080" w:themeColor="followedHyperlink"/>
      <w:u w:val="single"/>
    </w:rPr>
  </w:style>
  <w:style w:type="paragraph" w:styleId="Header">
    <w:name w:val="header"/>
    <w:basedOn w:val="Normal"/>
    <w:link w:val="HeaderChar"/>
    <w:uiPriority w:val="99"/>
    <w:unhideWhenUsed/>
    <w:rsid w:val="0013093C"/>
    <w:pPr>
      <w:tabs>
        <w:tab w:val="center" w:pos="4513"/>
        <w:tab w:val="right" w:pos="9026"/>
      </w:tabs>
    </w:pPr>
  </w:style>
  <w:style w:type="character" w:customStyle="1" w:styleId="HeaderChar">
    <w:name w:val="Header Char"/>
    <w:basedOn w:val="DefaultParagraphFont"/>
    <w:link w:val="Header"/>
    <w:uiPriority w:val="99"/>
    <w:rsid w:val="0013093C"/>
    <w:rPr>
      <w:rFonts w:ascii="Times New Roman" w:eastAsia="Times New Roman" w:hAnsi="Times New Roman" w:cs="Times New Roman"/>
      <w:kern w:val="0"/>
      <w:sz w:val="24"/>
      <w:szCs w:val="24"/>
      <w:lang w:eastAsia="ru-RU"/>
      <w14:ligatures w14:val="none"/>
    </w:rPr>
  </w:style>
  <w:style w:type="paragraph" w:customStyle="1" w:styleId="Default">
    <w:name w:val="Default"/>
    <w:basedOn w:val="Normal"/>
    <w:rsid w:val="00C111C3"/>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7560">
      <w:bodyDiv w:val="1"/>
      <w:marLeft w:val="0"/>
      <w:marRight w:val="0"/>
      <w:marTop w:val="0"/>
      <w:marBottom w:val="0"/>
      <w:divBdr>
        <w:top w:val="none" w:sz="0" w:space="0" w:color="auto"/>
        <w:left w:val="none" w:sz="0" w:space="0" w:color="auto"/>
        <w:bottom w:val="none" w:sz="0" w:space="0" w:color="auto"/>
        <w:right w:val="none" w:sz="0" w:space="0" w:color="auto"/>
      </w:divBdr>
    </w:div>
    <w:div w:id="297760099">
      <w:bodyDiv w:val="1"/>
      <w:marLeft w:val="0"/>
      <w:marRight w:val="0"/>
      <w:marTop w:val="0"/>
      <w:marBottom w:val="0"/>
      <w:divBdr>
        <w:top w:val="none" w:sz="0" w:space="0" w:color="auto"/>
        <w:left w:val="none" w:sz="0" w:space="0" w:color="auto"/>
        <w:bottom w:val="none" w:sz="0" w:space="0" w:color="auto"/>
        <w:right w:val="none" w:sz="0" w:space="0" w:color="auto"/>
      </w:divBdr>
    </w:div>
    <w:div w:id="454368930">
      <w:bodyDiv w:val="1"/>
      <w:marLeft w:val="0"/>
      <w:marRight w:val="0"/>
      <w:marTop w:val="0"/>
      <w:marBottom w:val="0"/>
      <w:divBdr>
        <w:top w:val="none" w:sz="0" w:space="0" w:color="auto"/>
        <w:left w:val="none" w:sz="0" w:space="0" w:color="auto"/>
        <w:bottom w:val="none" w:sz="0" w:space="0" w:color="auto"/>
        <w:right w:val="none" w:sz="0" w:space="0" w:color="auto"/>
      </w:divBdr>
    </w:div>
    <w:div w:id="939798918">
      <w:bodyDiv w:val="1"/>
      <w:marLeft w:val="0"/>
      <w:marRight w:val="0"/>
      <w:marTop w:val="0"/>
      <w:marBottom w:val="0"/>
      <w:divBdr>
        <w:top w:val="none" w:sz="0" w:space="0" w:color="auto"/>
        <w:left w:val="none" w:sz="0" w:space="0" w:color="auto"/>
        <w:bottom w:val="none" w:sz="0" w:space="0" w:color="auto"/>
        <w:right w:val="none" w:sz="0" w:space="0" w:color="auto"/>
      </w:divBdr>
    </w:div>
    <w:div w:id="1162622086">
      <w:bodyDiv w:val="1"/>
      <w:marLeft w:val="0"/>
      <w:marRight w:val="0"/>
      <w:marTop w:val="0"/>
      <w:marBottom w:val="0"/>
      <w:divBdr>
        <w:top w:val="none" w:sz="0" w:space="0" w:color="auto"/>
        <w:left w:val="none" w:sz="0" w:space="0" w:color="auto"/>
        <w:bottom w:val="none" w:sz="0" w:space="0" w:color="auto"/>
        <w:right w:val="none" w:sz="0" w:space="0" w:color="auto"/>
      </w:divBdr>
    </w:div>
    <w:div w:id="1662344093">
      <w:bodyDiv w:val="1"/>
      <w:marLeft w:val="0"/>
      <w:marRight w:val="0"/>
      <w:marTop w:val="0"/>
      <w:marBottom w:val="0"/>
      <w:divBdr>
        <w:top w:val="none" w:sz="0" w:space="0" w:color="auto"/>
        <w:left w:val="none" w:sz="0" w:space="0" w:color="auto"/>
        <w:bottom w:val="none" w:sz="0" w:space="0" w:color="auto"/>
        <w:right w:val="none" w:sz="0" w:space="0" w:color="auto"/>
      </w:divBdr>
    </w:div>
    <w:div w:id="1801995832">
      <w:bodyDiv w:val="1"/>
      <w:marLeft w:val="0"/>
      <w:marRight w:val="0"/>
      <w:marTop w:val="0"/>
      <w:marBottom w:val="0"/>
      <w:divBdr>
        <w:top w:val="none" w:sz="0" w:space="0" w:color="auto"/>
        <w:left w:val="none" w:sz="0" w:space="0" w:color="auto"/>
        <w:bottom w:val="none" w:sz="0" w:space="0" w:color="auto"/>
        <w:right w:val="none" w:sz="0" w:space="0" w:color="auto"/>
      </w:divBdr>
    </w:div>
    <w:div w:id="1865288066">
      <w:bodyDiv w:val="1"/>
      <w:marLeft w:val="0"/>
      <w:marRight w:val="0"/>
      <w:marTop w:val="0"/>
      <w:marBottom w:val="0"/>
      <w:divBdr>
        <w:top w:val="none" w:sz="0" w:space="0" w:color="auto"/>
        <w:left w:val="none" w:sz="0" w:space="0" w:color="auto"/>
        <w:bottom w:val="none" w:sz="0" w:space="0" w:color="auto"/>
        <w:right w:val="none" w:sz="0" w:space="0" w:color="auto"/>
      </w:divBdr>
    </w:div>
    <w:div w:id="1969505772">
      <w:bodyDiv w:val="1"/>
      <w:marLeft w:val="0"/>
      <w:marRight w:val="0"/>
      <w:marTop w:val="0"/>
      <w:marBottom w:val="0"/>
      <w:divBdr>
        <w:top w:val="none" w:sz="0" w:space="0" w:color="auto"/>
        <w:left w:val="none" w:sz="0" w:space="0" w:color="auto"/>
        <w:bottom w:val="none" w:sz="0" w:space="0" w:color="auto"/>
        <w:right w:val="none" w:sz="0" w:space="0" w:color="auto"/>
      </w:divBdr>
    </w:div>
    <w:div w:id="20021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f16b27a-8fde-42be-8c91-c3b7c0f2ee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8:1128.C30291015.1.S" TargetMode="External"/><Relationship Id="rId5" Type="http://schemas.openxmlformats.org/officeDocument/2006/relationships/webSettings" Target="webSettings.xml"/><Relationship Id="rId10" Type="http://schemas.openxmlformats.org/officeDocument/2006/relationships/hyperlink" Target="https://manas.tiesas.lv/eTiesasMvc/nolemumi/pdf/523525.pdf"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908.A420263319.11.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1D51C-FBD2-4217-AAF3-86CDD8B3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13915</Words>
  <Characters>7933</Characters>
  <Application>Microsoft Office Word</Application>
  <DocSecurity>0</DocSecurity>
  <Lines>66</Lines>
  <Paragraphs>43</Paragraphs>
  <ScaleCrop>false</ScaleCrop>
  <Company/>
  <LinksUpToDate>false</LinksUpToDate>
  <CharactersWithSpaces>21805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2025-11-12T13:13:00Z</dcterms:created>
  <dcterms:modified xsi:type="dcterms:W3CDTF">2025-11-12T13:13:00Z</dcterms:modified>
</cp:coreProperties>
</file>