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73C8" w14:textId="77777777" w:rsidR="00D4400D" w:rsidRDefault="00D4400D" w:rsidP="00D4400D">
      <w:pPr>
        <w:autoSpaceDE w:val="0"/>
        <w:autoSpaceDN w:val="0"/>
        <w:spacing w:line="276" w:lineRule="auto"/>
        <w:jc w:val="both"/>
        <w:rPr>
          <w:b/>
          <w:bCs/>
          <w:bdr w:val="none" w:sz="0" w:space="0" w:color="auto" w:frame="1"/>
          <w:lang w:eastAsia="lv-LV"/>
          <w14:ligatures w14:val="standardContextual"/>
        </w:rPr>
      </w:pPr>
      <w:r>
        <w:rPr>
          <w:b/>
          <w:bCs/>
          <w:bdr w:val="none" w:sz="0" w:space="0" w:color="auto" w:frame="1"/>
          <w14:ligatures w14:val="standardContextual"/>
        </w:rPr>
        <w:t xml:space="preserve">Personas atbrīvošana no valsts nodevas samaksas par informācijas izsniegšanu no Fizisko personu reģistra situācijā, kad pastāv </w:t>
      </w:r>
      <w:proofErr w:type="spellStart"/>
      <w:r>
        <w:rPr>
          <w:b/>
          <w:bCs/>
          <w:bdr w:val="none" w:sz="0" w:space="0" w:color="auto" w:frame="1"/>
          <w14:ligatures w14:val="standardContextual"/>
        </w:rPr>
        <w:t>pamattiesību</w:t>
      </w:r>
      <w:proofErr w:type="spellEnd"/>
      <w:r>
        <w:rPr>
          <w:b/>
          <w:bCs/>
          <w:bdr w:val="none" w:sz="0" w:space="0" w:color="auto" w:frame="1"/>
          <w14:ligatures w14:val="standardContextual"/>
        </w:rPr>
        <w:t xml:space="preserve"> būtiska aizskāruma risks</w:t>
      </w:r>
    </w:p>
    <w:p w14:paraId="2EF4BCDC" w14:textId="08242778" w:rsidR="00447EE6" w:rsidRPr="00D4400D" w:rsidRDefault="00D4400D" w:rsidP="00D4400D">
      <w:pPr>
        <w:autoSpaceDE w:val="0"/>
        <w:autoSpaceDN w:val="0"/>
        <w:spacing w:line="276" w:lineRule="auto"/>
        <w:jc w:val="both"/>
        <w:rPr>
          <w:color w:val="000000"/>
          <w14:ligatures w14:val="standardContextual"/>
        </w:rPr>
      </w:pPr>
      <w:r>
        <w:rPr>
          <w:color w:val="000000"/>
          <w14:ligatures w14:val="standardContextual"/>
        </w:rPr>
        <w:t xml:space="preserve">Lai būtu pamats </w:t>
      </w:r>
      <w:proofErr w:type="spellStart"/>
      <w:r>
        <w:rPr>
          <w:color w:val="000000"/>
          <w14:ligatures w14:val="standardContextual"/>
        </w:rPr>
        <w:t>pamattiesību</w:t>
      </w:r>
      <w:proofErr w:type="spellEnd"/>
      <w:r>
        <w:rPr>
          <w:color w:val="000000"/>
          <w14:ligatures w14:val="standardContextual"/>
        </w:rPr>
        <w:t xml:space="preserve"> būtiska aizskāruma riska novēršanas labad atbrīvot personu no valsts nodevas samaksas pienākuma, jākonstatē, ka informācijas nesaņemšana var novest pie personas tiesisko interešu būtiska aizskāruma un būtiska kaitējuma personai. Tāpēc iestādes (un secīgi tiesas) argumentiem par to, kādēļ konkrētajā gadījumā persona ir atbrīvojama no valsts nodevas apmaksas par informācijas izsniegšanu no Fizisko personu reģistra, ir jābūt balstītiem uz pietiekami būtiskiem apstākļiem.</w:t>
      </w:r>
    </w:p>
    <w:p w14:paraId="7DFE14B1" w14:textId="0B06B309" w:rsidR="00447EE6" w:rsidRPr="00011547" w:rsidRDefault="00447EE6" w:rsidP="00D4400D">
      <w:pPr>
        <w:spacing w:before="240" w:line="276" w:lineRule="auto"/>
        <w:jc w:val="center"/>
        <w:rPr>
          <w:b/>
        </w:rPr>
      </w:pPr>
      <w:r w:rsidRPr="00011547">
        <w:rPr>
          <w:b/>
        </w:rPr>
        <w:t>Latvijas Republikas Senāt</w:t>
      </w:r>
      <w:r w:rsidR="00D4400D">
        <w:rPr>
          <w:b/>
        </w:rPr>
        <w:t>a</w:t>
      </w:r>
      <w:r w:rsidR="00D4400D">
        <w:rPr>
          <w:b/>
        </w:rPr>
        <w:br/>
        <w:t>Administratīvo lietu departamenta</w:t>
      </w:r>
      <w:r w:rsidR="00D4400D">
        <w:rPr>
          <w:b/>
        </w:rPr>
        <w:br/>
        <w:t>2025.gada 30.septembra</w:t>
      </w:r>
    </w:p>
    <w:p w14:paraId="59484FE5" w14:textId="77777777" w:rsidR="00D4400D" w:rsidRDefault="00447EE6" w:rsidP="00D4400D">
      <w:pPr>
        <w:spacing w:line="276" w:lineRule="auto"/>
        <w:jc w:val="center"/>
        <w:rPr>
          <w:b/>
        </w:rPr>
      </w:pPr>
      <w:r w:rsidRPr="00D160F6">
        <w:rPr>
          <w:b/>
        </w:rPr>
        <w:t>SPRIEDUMS</w:t>
      </w:r>
    </w:p>
    <w:p w14:paraId="4A9BBBA0" w14:textId="5E05BA4B" w:rsidR="00D4400D" w:rsidRPr="00D4400D" w:rsidRDefault="00D4400D" w:rsidP="00D4400D">
      <w:pPr>
        <w:spacing w:line="276" w:lineRule="auto"/>
        <w:jc w:val="center"/>
        <w:rPr>
          <w:b/>
          <w:bCs/>
        </w:rPr>
      </w:pPr>
      <w:r w:rsidRPr="00D4400D">
        <w:rPr>
          <w:b/>
          <w:bCs/>
        </w:rPr>
        <w:t>Lieta Nr. A420159423</w:t>
      </w:r>
      <w:r w:rsidRPr="00D4400D">
        <w:rPr>
          <w:b/>
          <w:bCs/>
          <w:lang w:eastAsia="lv-LV"/>
        </w:rPr>
        <w:t xml:space="preserve">, </w:t>
      </w:r>
      <w:r w:rsidRPr="00D4400D">
        <w:rPr>
          <w:b/>
          <w:bCs/>
        </w:rPr>
        <w:t>SKA-614/2025</w:t>
      </w:r>
    </w:p>
    <w:p w14:paraId="176CC32A" w14:textId="47891E55" w:rsidR="00447EE6" w:rsidRPr="00D4400D" w:rsidRDefault="00D4400D" w:rsidP="00D4400D">
      <w:pPr>
        <w:spacing w:line="276" w:lineRule="auto"/>
        <w:jc w:val="center"/>
      </w:pPr>
      <w:hyperlink r:id="rId7" w:history="1">
        <w:r w:rsidRPr="00D4400D">
          <w:rPr>
            <w:rStyle w:val="Hyperlink"/>
          </w:rPr>
          <w:t xml:space="preserve"> ECLI:LV:AT:2025:0930.A420159423.18.S</w:t>
        </w:r>
      </w:hyperlink>
    </w:p>
    <w:p w14:paraId="700E1FBE" w14:textId="77777777" w:rsidR="00411CD0" w:rsidRPr="00011547" w:rsidRDefault="00411CD0" w:rsidP="00D4400D">
      <w:pPr>
        <w:spacing w:line="276" w:lineRule="auto"/>
        <w:ind w:firstLine="720"/>
        <w:jc w:val="center"/>
      </w:pPr>
    </w:p>
    <w:p w14:paraId="68E4AE23" w14:textId="630798BF" w:rsidR="00447EE6" w:rsidRPr="001D7085" w:rsidRDefault="00447EE6" w:rsidP="00D4400D">
      <w:pPr>
        <w:spacing w:line="276" w:lineRule="auto"/>
        <w:ind w:firstLine="720"/>
        <w:jc w:val="both"/>
      </w:pPr>
      <w:r w:rsidRPr="001D7085">
        <w:t>Senāts šādā sastāvā:</w:t>
      </w:r>
      <w:r w:rsidR="00D25D87" w:rsidRPr="001D7085">
        <w:t xml:space="preserve"> senatore referente </w:t>
      </w:r>
      <w:r w:rsidR="00C3702B" w:rsidRPr="001D7085">
        <w:t xml:space="preserve">Ieva </w:t>
      </w:r>
      <w:proofErr w:type="spellStart"/>
      <w:r w:rsidR="00C3702B" w:rsidRPr="001D7085">
        <w:t>Višķere</w:t>
      </w:r>
      <w:proofErr w:type="spellEnd"/>
      <w:r w:rsidR="00D25D87" w:rsidRPr="001D7085">
        <w:t xml:space="preserve">, </w:t>
      </w:r>
      <w:r w:rsidR="000C1C2E">
        <w:t>senatori Jānis Pleps un Līvija Slica</w:t>
      </w:r>
    </w:p>
    <w:p w14:paraId="27F96722" w14:textId="77777777" w:rsidR="00A11873" w:rsidRPr="001D7085" w:rsidRDefault="00A11873" w:rsidP="00D4400D">
      <w:pPr>
        <w:spacing w:line="276" w:lineRule="auto"/>
        <w:ind w:firstLine="720"/>
        <w:jc w:val="both"/>
      </w:pPr>
    </w:p>
    <w:p w14:paraId="25F644D7" w14:textId="7BDC0F95" w:rsidR="00A11873" w:rsidRDefault="00A11873" w:rsidP="00D4400D">
      <w:pPr>
        <w:spacing w:line="276" w:lineRule="auto"/>
        <w:ind w:firstLine="720"/>
        <w:jc w:val="both"/>
      </w:pPr>
      <w:r w:rsidRPr="001D7085">
        <w:t xml:space="preserve">rakstveida procesā izskatīja administratīvo lietu, kas ierosināta, pamatojoties uz </w:t>
      </w:r>
      <w:r w:rsidR="00D4400D">
        <w:t xml:space="preserve">[pers. A] </w:t>
      </w:r>
      <w:r w:rsidR="00C3702B" w:rsidRPr="001D7085">
        <w:t xml:space="preserve">pieteikumu par pienākuma uzlikšanu Pilsonības un migrācijas lietu pārvaldei izsniegt viņa 2023.gada 12.februāra iesniegumā pieprasīto informāciju </w:t>
      </w:r>
      <w:r w:rsidR="004D1F78" w:rsidRPr="001D7085">
        <w:t>un nemantiskā kaitējuma atlīdzinājumu</w:t>
      </w:r>
      <w:r w:rsidRPr="001D7085">
        <w:t xml:space="preserve">, sakarā ar </w:t>
      </w:r>
      <w:r w:rsidR="00A71A2A">
        <w:t>Pilsonības un migrācijas lietu pārvaldes</w:t>
      </w:r>
      <w:r w:rsidR="004D1F78" w:rsidRPr="001D7085">
        <w:t xml:space="preserve"> </w:t>
      </w:r>
      <w:r w:rsidRPr="001D7085">
        <w:t xml:space="preserve">kasācijas sūdzību par Administratīvās rajona tiesas </w:t>
      </w:r>
      <w:r w:rsidR="00A71A2A">
        <w:t>2025.gada 2.aprīļa</w:t>
      </w:r>
      <w:r w:rsidRPr="001D7085">
        <w:t xml:space="preserve"> spriedumu</w:t>
      </w:r>
      <w:r w:rsidR="00A71A2A">
        <w:t xml:space="preserve"> daļā</w:t>
      </w:r>
      <w:r w:rsidRPr="001D7085">
        <w:t>.</w:t>
      </w:r>
    </w:p>
    <w:p w14:paraId="73BBBC80" w14:textId="77777777" w:rsidR="00411CD0" w:rsidRDefault="00411CD0" w:rsidP="00D4400D">
      <w:pPr>
        <w:spacing w:line="276" w:lineRule="auto"/>
        <w:ind w:firstLine="720"/>
        <w:jc w:val="both"/>
      </w:pPr>
    </w:p>
    <w:p w14:paraId="043B76E3" w14:textId="77777777" w:rsidR="00447EE6" w:rsidRDefault="00447EE6" w:rsidP="00D4400D">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D4400D">
      <w:pPr>
        <w:spacing w:line="276" w:lineRule="auto"/>
        <w:jc w:val="center"/>
        <w:rPr>
          <w:shd w:val="clear" w:color="auto" w:fill="FFFFFF"/>
        </w:rPr>
      </w:pPr>
    </w:p>
    <w:p w14:paraId="2A63AFC8" w14:textId="00A768CF" w:rsidR="00447EE6" w:rsidRDefault="00447EE6" w:rsidP="00D4400D">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314104">
        <w:rPr>
          <w:shd w:val="clear" w:color="auto" w:fill="FFFFFF"/>
        </w:rPr>
        <w:t xml:space="preserve"> Pieteicējs </w:t>
      </w:r>
      <w:r w:rsidR="00D4400D">
        <w:t>[pers. A]</w:t>
      </w:r>
      <w:r w:rsidR="00314104">
        <w:rPr>
          <w:shd w:val="clear" w:color="auto" w:fill="FFFFFF"/>
        </w:rPr>
        <w:t xml:space="preserve"> 2023.gada 12.februārī vērsās Pilsonības un migrācijas lietu pārvaldē</w:t>
      </w:r>
      <w:r w:rsidR="00215A03">
        <w:rPr>
          <w:shd w:val="clear" w:color="auto" w:fill="FFFFFF"/>
        </w:rPr>
        <w:t xml:space="preserve"> </w:t>
      </w:r>
      <w:r w:rsidR="00A75EA8">
        <w:rPr>
          <w:shd w:val="clear" w:color="auto" w:fill="FFFFFF"/>
        </w:rPr>
        <w:t xml:space="preserve">(turpmāk – pārvalde) </w:t>
      </w:r>
      <w:r w:rsidR="00314104">
        <w:rPr>
          <w:shd w:val="clear" w:color="auto" w:fill="FFFFFF"/>
        </w:rPr>
        <w:t xml:space="preserve">ar iesniegumu, kurā lūdza izsniegt informāciju par </w:t>
      </w:r>
      <w:r w:rsidR="00D4400D">
        <w:t xml:space="preserve">[pers. B] </w:t>
      </w:r>
      <w:r w:rsidR="00314104">
        <w:rPr>
          <w:shd w:val="clear" w:color="auto" w:fill="FFFFFF"/>
        </w:rPr>
        <w:t xml:space="preserve">miršanas reģistrāciju un par personu, kura organizēja </w:t>
      </w:r>
      <w:r w:rsidR="00D4400D">
        <w:t xml:space="preserve">[pers. B] </w:t>
      </w:r>
      <w:r w:rsidR="00314104">
        <w:rPr>
          <w:shd w:val="clear" w:color="auto" w:fill="FFFFFF"/>
        </w:rPr>
        <w:t>bēres</w:t>
      </w:r>
      <w:r w:rsidR="00C75695">
        <w:rPr>
          <w:shd w:val="clear" w:color="auto" w:fill="FFFFFF"/>
        </w:rPr>
        <w:t xml:space="preserve">. Pieteicējs </w:t>
      </w:r>
      <w:r w:rsidR="0024442B">
        <w:rPr>
          <w:shd w:val="clear" w:color="auto" w:fill="FFFFFF"/>
        </w:rPr>
        <w:t xml:space="preserve">iesniegumā arī paskaidroja savu saistību ar minēto personu un norādīja, ka vēlas </w:t>
      </w:r>
      <w:r w:rsidR="00E61871">
        <w:rPr>
          <w:shd w:val="clear" w:color="auto" w:fill="FFFFFF"/>
        </w:rPr>
        <w:t xml:space="preserve">uzzināt ar </w:t>
      </w:r>
      <w:r w:rsidR="00D4400D">
        <w:t xml:space="preserve">[pers. B] </w:t>
      </w:r>
      <w:r w:rsidR="00E61871">
        <w:rPr>
          <w:shd w:val="clear" w:color="auto" w:fill="FFFFFF"/>
        </w:rPr>
        <w:t>nāvi saistītos apstākļ</w:t>
      </w:r>
      <w:r w:rsidR="00483D3C">
        <w:rPr>
          <w:shd w:val="clear" w:color="auto" w:fill="FFFFFF"/>
        </w:rPr>
        <w:t>u</w:t>
      </w:r>
      <w:r w:rsidR="00E61871">
        <w:rPr>
          <w:shd w:val="clear" w:color="auto" w:fill="FFFFFF"/>
        </w:rPr>
        <w:t>s un kapavietas atrašanās vietu.</w:t>
      </w:r>
    </w:p>
    <w:p w14:paraId="6CEFC0B7" w14:textId="2EBC4AD0" w:rsidR="00581469" w:rsidRDefault="00CD75E9" w:rsidP="00D4400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Pārvalde ar </w:t>
      </w:r>
      <w:r w:rsidR="00014BE7">
        <w:rPr>
          <w:shd w:val="clear" w:color="auto" w:fill="FFFFFF"/>
        </w:rPr>
        <w:t xml:space="preserve">2023.gada 20.aprīļa lēmumu Nr. 1765/2023 kā administratīvā akta galīgo noformējumu atteica pieteicējam izsniegt pieprasīto informāciju, </w:t>
      </w:r>
      <w:r w:rsidR="00215A03">
        <w:rPr>
          <w:shd w:val="clear" w:color="auto" w:fill="FFFFFF"/>
        </w:rPr>
        <w:t>norādot, ka informācijas saņemšanai</w:t>
      </w:r>
      <w:r w:rsidR="003F59D9">
        <w:rPr>
          <w:shd w:val="clear" w:color="auto" w:fill="FFFFFF"/>
        </w:rPr>
        <w:t xml:space="preserve"> no pārvaldes</w:t>
      </w:r>
      <w:r w:rsidR="001B7A71">
        <w:rPr>
          <w:shd w:val="clear" w:color="auto" w:fill="FFFFFF"/>
        </w:rPr>
        <w:t xml:space="preserve"> pārziņā esošā Fizisko personu reģistra ir nepieciešams samaksāt valsts nodevu, maksu par izziņas nosūtīšanu pa pastu un maksu par pasta pakalpojumiem.</w:t>
      </w:r>
    </w:p>
    <w:p w14:paraId="634B6CB4" w14:textId="618B0B67" w:rsidR="00386B0D" w:rsidRDefault="00386B0D" w:rsidP="00D4400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Uzskatot, ka </w:t>
      </w:r>
      <w:r w:rsidR="006E7382">
        <w:rPr>
          <w:shd w:val="clear" w:color="auto" w:fill="FFFFFF"/>
        </w:rPr>
        <w:t>p</w:t>
      </w:r>
      <w:r>
        <w:rPr>
          <w:shd w:val="clear" w:color="auto" w:fill="FFFFFF"/>
        </w:rPr>
        <w:t>ārvaldei pieteicējs bija jāatbrīvo no minēt</w:t>
      </w:r>
      <w:r w:rsidR="00D4217F">
        <w:rPr>
          <w:shd w:val="clear" w:color="auto" w:fill="FFFFFF"/>
        </w:rPr>
        <w:t>ajiem</w:t>
      </w:r>
      <w:r>
        <w:rPr>
          <w:shd w:val="clear" w:color="auto" w:fill="FFFFFF"/>
        </w:rPr>
        <w:t xml:space="preserve"> maksājum</w:t>
      </w:r>
      <w:r w:rsidR="00D4217F">
        <w:rPr>
          <w:shd w:val="clear" w:color="auto" w:fill="FFFFFF"/>
        </w:rPr>
        <w:t>iem</w:t>
      </w:r>
      <w:r>
        <w:rPr>
          <w:shd w:val="clear" w:color="auto" w:fill="FFFFFF"/>
        </w:rPr>
        <w:t xml:space="preserve">, </w:t>
      </w:r>
      <w:r w:rsidR="00FE33AB">
        <w:rPr>
          <w:shd w:val="clear" w:color="auto" w:fill="FFFFFF"/>
        </w:rPr>
        <w:t xml:space="preserve">jo pieteicējs sava mantiskā stāvokļa dēļ nevar </w:t>
      </w:r>
      <w:r w:rsidR="00D4217F">
        <w:rPr>
          <w:shd w:val="clear" w:color="auto" w:fill="FFFFFF"/>
        </w:rPr>
        <w:t xml:space="preserve">tos </w:t>
      </w:r>
      <w:r w:rsidR="00B368F8">
        <w:rPr>
          <w:shd w:val="clear" w:color="auto" w:fill="FFFFFF"/>
        </w:rPr>
        <w:t>apmaksāt</w:t>
      </w:r>
      <w:r w:rsidR="00FE33AB">
        <w:rPr>
          <w:shd w:val="clear" w:color="auto" w:fill="FFFFFF"/>
        </w:rPr>
        <w:t xml:space="preserve">, </w:t>
      </w:r>
      <w:r>
        <w:rPr>
          <w:shd w:val="clear" w:color="auto" w:fill="FFFFFF"/>
        </w:rPr>
        <w:t xml:space="preserve">pieteicējs </w:t>
      </w:r>
      <w:r w:rsidR="0050726D">
        <w:rPr>
          <w:shd w:val="clear" w:color="auto" w:fill="FFFFFF"/>
        </w:rPr>
        <w:t>vērsās tiesā</w:t>
      </w:r>
      <w:r w:rsidR="00031428">
        <w:rPr>
          <w:shd w:val="clear" w:color="auto" w:fill="FFFFFF"/>
        </w:rPr>
        <w:t>. Pieteikumā pieteicējs lūdza arī atlīdzināt nemantisko kaitējumu.</w:t>
      </w:r>
    </w:p>
    <w:p w14:paraId="010E3D34" w14:textId="77777777" w:rsidR="00BF21E2" w:rsidRDefault="00BF21E2" w:rsidP="00D4400D">
      <w:pPr>
        <w:pStyle w:val="NormalWeb"/>
        <w:shd w:val="clear" w:color="auto" w:fill="FFFFFF"/>
        <w:spacing w:before="0" w:beforeAutospacing="0" w:after="0" w:afterAutospacing="0" w:line="276" w:lineRule="auto"/>
        <w:ind w:firstLine="720"/>
        <w:jc w:val="both"/>
        <w:rPr>
          <w:shd w:val="clear" w:color="auto" w:fill="FFFFFF"/>
        </w:rPr>
      </w:pPr>
    </w:p>
    <w:p w14:paraId="54D105D5" w14:textId="6A0E0103" w:rsidR="00BF21E2" w:rsidRDefault="00BF21E2" w:rsidP="00D4400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w:t>
      </w:r>
      <w:r w:rsidR="00330BA1">
        <w:rPr>
          <w:shd w:val="clear" w:color="auto" w:fill="FFFFFF"/>
        </w:rPr>
        <w:t>2</w:t>
      </w:r>
      <w:r>
        <w:rPr>
          <w:shd w:val="clear" w:color="auto" w:fill="FFFFFF"/>
        </w:rPr>
        <w:t>]</w:t>
      </w:r>
      <w:r w:rsidR="00C70897">
        <w:rPr>
          <w:shd w:val="clear" w:color="auto" w:fill="FFFFFF"/>
        </w:rPr>
        <w:t> Administratīvā rajona tiesa ar 2023.gada 5.decembra spriedumu pieteikumu noraidīja.</w:t>
      </w:r>
      <w:r w:rsidR="00452969">
        <w:rPr>
          <w:shd w:val="clear" w:color="auto" w:fill="FFFFFF"/>
        </w:rPr>
        <w:t xml:space="preserve"> Ar Senāta 2024.gada 29.novembra spriedumu Nr. SKA-403/2024</w:t>
      </w:r>
      <w:r w:rsidR="001D08BB">
        <w:rPr>
          <w:shd w:val="clear" w:color="auto" w:fill="FFFFFF"/>
        </w:rPr>
        <w:t xml:space="preserve"> </w:t>
      </w:r>
      <w:r w:rsidR="001D08BB">
        <w:rPr>
          <w:shd w:val="clear" w:color="auto" w:fill="FFFFFF"/>
        </w:rPr>
        <w:lastRenderedPageBreak/>
        <w:t>(</w:t>
      </w:r>
      <w:hyperlink r:id="rId8" w:history="1">
        <w:r w:rsidR="00BE6DA7" w:rsidRPr="00BE6DA7">
          <w:rPr>
            <w:rStyle w:val="Hyperlink"/>
            <w:shd w:val="clear" w:color="auto" w:fill="FFFFFF"/>
          </w:rPr>
          <w:t>ECLI:LV:AT:2024:1129.A420159423.9.S</w:t>
        </w:r>
      </w:hyperlink>
      <w:r w:rsidR="001D08BB">
        <w:t>, turpmāk – Senāta iepriekšējais spriedums</w:t>
      </w:r>
      <w:r w:rsidR="001D08BB">
        <w:rPr>
          <w:shd w:val="clear" w:color="auto" w:fill="FFFFFF"/>
        </w:rPr>
        <w:t xml:space="preserve">) </w:t>
      </w:r>
      <w:r w:rsidR="00452969">
        <w:rPr>
          <w:shd w:val="clear" w:color="auto" w:fill="FFFFFF"/>
        </w:rPr>
        <w:t>minētais rajona tiesas spriedums atcelts.</w:t>
      </w:r>
    </w:p>
    <w:p w14:paraId="694F83CA" w14:textId="77777777" w:rsidR="00C5701F" w:rsidRDefault="00C5701F" w:rsidP="00D4400D">
      <w:pPr>
        <w:pStyle w:val="NormalWeb"/>
        <w:shd w:val="clear" w:color="auto" w:fill="FFFFFF"/>
        <w:spacing w:before="0" w:beforeAutospacing="0" w:after="0" w:afterAutospacing="0" w:line="276" w:lineRule="auto"/>
        <w:ind w:firstLine="720"/>
        <w:jc w:val="both"/>
        <w:rPr>
          <w:shd w:val="clear" w:color="auto" w:fill="FFFFFF"/>
        </w:rPr>
      </w:pPr>
    </w:p>
    <w:p w14:paraId="478B3A91" w14:textId="048E2192" w:rsidR="0008797D" w:rsidRDefault="00452969" w:rsidP="00D4400D">
      <w:pPr>
        <w:spacing w:line="276" w:lineRule="auto"/>
        <w:ind w:firstLine="720"/>
        <w:jc w:val="both"/>
        <w:rPr>
          <w:rFonts w:asciiTheme="majorBidi" w:hAnsiTheme="majorBidi" w:cstheme="majorBidi"/>
        </w:rPr>
      </w:pPr>
      <w:r>
        <w:rPr>
          <w:shd w:val="clear" w:color="auto" w:fill="FFFFFF"/>
        </w:rPr>
        <w:t>[3] Izskatījusi lietu no jauna, Administratīvā rajona tiesa ar 2025.gada 2.aprīļa spriedumu pieteikumu daļēji apmierināja.</w:t>
      </w:r>
      <w:r w:rsidR="00C1347A">
        <w:rPr>
          <w:shd w:val="clear" w:color="auto" w:fill="FFFFFF"/>
        </w:rPr>
        <w:t xml:space="preserve"> Tiesa atzina par prettiesisku pārvaldes rīcību, </w:t>
      </w:r>
      <w:r w:rsidR="0008797D" w:rsidRPr="009E4DCC">
        <w:rPr>
          <w:rFonts w:asciiTheme="majorBidi" w:hAnsiTheme="majorBidi" w:cstheme="majorBidi"/>
        </w:rPr>
        <w:t xml:space="preserve">neizsniedzot pieteicējam viņa iesniegumā pieprasīto informāciju, </w:t>
      </w:r>
      <w:r w:rsidR="00C1347A">
        <w:rPr>
          <w:rFonts w:asciiTheme="majorBidi" w:hAnsiTheme="majorBidi" w:cstheme="majorBidi"/>
        </w:rPr>
        <w:t>un uzdeva pārvaldei</w:t>
      </w:r>
      <w:r w:rsidR="0008797D">
        <w:rPr>
          <w:rFonts w:asciiTheme="majorBidi" w:hAnsiTheme="majorBidi" w:cstheme="majorBidi"/>
        </w:rPr>
        <w:t xml:space="preserve"> izsniegt pieteicējam attiecīgo informāciju, kā arī </w:t>
      </w:r>
      <w:proofErr w:type="spellStart"/>
      <w:r w:rsidR="0008797D">
        <w:rPr>
          <w:rFonts w:asciiTheme="majorBidi" w:hAnsiTheme="majorBidi" w:cstheme="majorBidi"/>
        </w:rPr>
        <w:t>rakstveidā</w:t>
      </w:r>
      <w:proofErr w:type="spellEnd"/>
      <w:r w:rsidR="0008797D">
        <w:rPr>
          <w:rFonts w:asciiTheme="majorBidi" w:hAnsiTheme="majorBidi" w:cstheme="majorBidi"/>
        </w:rPr>
        <w:t xml:space="preserve"> atvainoties par informācijas nesniegšanu. Pieteikums daļā par nemantiskā kaitējuma atlīdzinājuma noteikšanu naudā noraidīts.</w:t>
      </w:r>
    </w:p>
    <w:p w14:paraId="4B69A8B7" w14:textId="4988CAFF" w:rsidR="00FD28B1" w:rsidRDefault="00FD28B1" w:rsidP="00D4400D">
      <w:pPr>
        <w:spacing w:line="276" w:lineRule="auto"/>
        <w:ind w:firstLine="720"/>
        <w:jc w:val="both"/>
        <w:rPr>
          <w:rFonts w:asciiTheme="majorBidi" w:hAnsiTheme="majorBidi" w:cstheme="majorBidi"/>
        </w:rPr>
      </w:pPr>
      <w:r>
        <w:rPr>
          <w:rFonts w:asciiTheme="majorBidi" w:hAnsiTheme="majorBidi" w:cstheme="majorBidi"/>
        </w:rPr>
        <w:t xml:space="preserve">Spriedums pieteikuma apmierinātajā daļā pamatots ar turpmāk norādītajiem </w:t>
      </w:r>
      <w:r w:rsidR="00340B38">
        <w:rPr>
          <w:rFonts w:asciiTheme="majorBidi" w:hAnsiTheme="majorBidi" w:cstheme="majorBidi"/>
        </w:rPr>
        <w:t>argumentiem.</w:t>
      </w:r>
    </w:p>
    <w:p w14:paraId="355F1497" w14:textId="32D49833" w:rsidR="00FD28B1" w:rsidRDefault="00FD28B1" w:rsidP="00D4400D">
      <w:pPr>
        <w:spacing w:line="276" w:lineRule="auto"/>
        <w:ind w:firstLine="720"/>
        <w:jc w:val="both"/>
        <w:rPr>
          <w:rFonts w:asciiTheme="majorBidi" w:hAnsiTheme="majorBidi" w:cstheme="majorBidi"/>
        </w:rPr>
      </w:pPr>
      <w:r>
        <w:rPr>
          <w:rFonts w:asciiTheme="majorBidi" w:hAnsiTheme="majorBidi" w:cstheme="majorBidi"/>
        </w:rPr>
        <w:t>[3.1]</w:t>
      </w:r>
      <w:r w:rsidR="00626B93">
        <w:rPr>
          <w:rFonts w:asciiTheme="majorBidi" w:hAnsiTheme="majorBidi" w:cstheme="majorBidi"/>
        </w:rPr>
        <w:t> P</w:t>
      </w:r>
      <w:r w:rsidR="00695068">
        <w:rPr>
          <w:rFonts w:asciiTheme="majorBidi" w:hAnsiTheme="majorBidi" w:cstheme="majorBidi"/>
        </w:rPr>
        <w:t>ārvaldei p</w:t>
      </w:r>
      <w:r w:rsidR="00626B93">
        <w:rPr>
          <w:rFonts w:asciiTheme="majorBidi" w:hAnsiTheme="majorBidi" w:cstheme="majorBidi"/>
        </w:rPr>
        <w:t xml:space="preserve">ieteicēja lūgums viņu atbrīvot no maksājumu </w:t>
      </w:r>
      <w:r w:rsidR="002F0EA4">
        <w:rPr>
          <w:rFonts w:asciiTheme="majorBidi" w:hAnsiTheme="majorBidi" w:cstheme="majorBidi"/>
        </w:rPr>
        <w:t xml:space="preserve">veikšanas </w:t>
      </w:r>
      <w:r w:rsidR="00626B93">
        <w:rPr>
          <w:rFonts w:asciiTheme="majorBidi" w:hAnsiTheme="majorBidi" w:cstheme="majorBidi"/>
        </w:rPr>
        <w:t xml:space="preserve">par informācijas izsniegšanu saskaņā ar Informācijas atklātības likuma 13.panta trešo daļu un Ministru kabineta 2006.gada 21.novembra noteikumu Nr. 940 „Noteikumi par informācijas sniegšanas maksas pakalpojumiem” 8.punktu </w:t>
      </w:r>
      <w:r w:rsidR="00695068">
        <w:rPr>
          <w:rFonts w:asciiTheme="majorBidi" w:hAnsiTheme="majorBidi" w:cstheme="majorBidi"/>
        </w:rPr>
        <w:t>bija jāizlemj</w:t>
      </w:r>
      <w:r w:rsidR="00626B93">
        <w:rPr>
          <w:rFonts w:asciiTheme="majorBidi" w:hAnsiTheme="majorBidi" w:cstheme="majorBidi"/>
        </w:rPr>
        <w:t>, individuāli izvērtējot pieteicēja mantisko stāvokli un pieprasītās informācijas nepieciešamību pieteicēja interešu aizsardzībai.</w:t>
      </w:r>
    </w:p>
    <w:p w14:paraId="10851070" w14:textId="23DE0587" w:rsidR="001E2EB1" w:rsidRPr="001E2EB1" w:rsidRDefault="001E2EB1" w:rsidP="00D4400D">
      <w:pPr>
        <w:pStyle w:val="NormalWeb"/>
        <w:shd w:val="clear" w:color="auto" w:fill="FFFFFF"/>
        <w:spacing w:before="0" w:beforeAutospacing="0" w:after="0" w:afterAutospacing="0" w:line="276" w:lineRule="auto"/>
        <w:ind w:firstLine="720"/>
        <w:jc w:val="both"/>
        <w:rPr>
          <w:shd w:val="clear" w:color="auto" w:fill="FFFFFF"/>
        </w:rPr>
      </w:pPr>
      <w:r>
        <w:rPr>
          <w:rFonts w:asciiTheme="majorBidi" w:hAnsiTheme="majorBidi" w:cstheme="majorBidi"/>
        </w:rPr>
        <w:t xml:space="preserve">Pieteicēja rīcībā nebija līdzekļu, lai samaksātu valsts nodevu par informācijas izsniegšanu no Fizisko personu reģistra, </w:t>
      </w:r>
      <w:r>
        <w:rPr>
          <w:shd w:val="clear" w:color="auto" w:fill="FFFFFF"/>
        </w:rPr>
        <w:t xml:space="preserve">maksu par izziņas nosūtīšanu pa pastu un maksu par pasta pakalpojumiem. Savukārt, vērtējot, vai strīdus informācijas saņemšanas nepieciešamība ir saistīta ar kādu būtisku pieteicēja tiesisko interešu īstenošanu, ņemams vērā, ka pieteicējs gan iesniegumā pārvaldei, gan arī izvērstāk tiesvedības gaitā ir skaidrojis, ka persona, ar kuras miršanu un apglabāšanu saistītos apstākļus pieteicējs vēlas noskaidrot, viņam ir bijusi kā vecmāmiņa. Tiesas sēdē pieteicējs papildus paskaidroja, ka viņi dzīvojuši vienā mājā un pieteicējam un viņa ģimenei esot bijušas tuvas attiecības ar šo personu. Tādējādi pieteicēja norādītie apstākļi liecina, ka strīdus informācija ir pieprasīta personas tiesību uz privāto dzīvi kontekstā. Līdz ar to pārvaldes rīcība, atsakoties bez maksas izsniegt pieteicēja pieprasīto informāciju, atzīstama par prettiesisku, pārvaldei uzdodams atbrīvot pieteicēju no maksājumiem par informācijas izsniegšanu un izsniegt pieprasīto informāciju. </w:t>
      </w:r>
    </w:p>
    <w:p w14:paraId="04C6C8DC" w14:textId="3C44E017" w:rsidR="00DF2FF5" w:rsidRDefault="00DF2FF5" w:rsidP="00D4400D">
      <w:pPr>
        <w:spacing w:line="276" w:lineRule="auto"/>
        <w:ind w:firstLine="720"/>
        <w:jc w:val="both"/>
        <w:rPr>
          <w:rFonts w:asciiTheme="majorBidi" w:hAnsiTheme="majorBidi" w:cstheme="majorBidi"/>
        </w:rPr>
      </w:pPr>
      <w:r>
        <w:rPr>
          <w:rFonts w:asciiTheme="majorBidi" w:hAnsiTheme="majorBidi" w:cstheme="majorBidi"/>
        </w:rPr>
        <w:t>[3.2]</w:t>
      </w:r>
      <w:r w:rsidR="001E2EB1">
        <w:rPr>
          <w:rFonts w:asciiTheme="majorBidi" w:hAnsiTheme="majorBidi" w:cstheme="majorBidi"/>
        </w:rPr>
        <w:t xml:space="preserve"> Pārvaldei ir pienākums izsniegt tādu pieteicēja pieprasīto informāciju, kas ir pārvaldes rīcībā. Ja pieteicēja pieprasītā informācija nav pārvaldes rīcībā, pārvaldei, ievērojot labas pārvaldības principu, jānorāda, kur šo informāciju pieteicējs var saņemt.</w:t>
      </w:r>
    </w:p>
    <w:p w14:paraId="1E4E6E11" w14:textId="04538D03" w:rsidR="001E2EB1" w:rsidRPr="00C1347A" w:rsidRDefault="001E2EB1" w:rsidP="00D4400D">
      <w:pPr>
        <w:spacing w:line="276" w:lineRule="auto"/>
        <w:ind w:firstLine="720"/>
        <w:jc w:val="both"/>
        <w:rPr>
          <w:shd w:val="clear" w:color="auto" w:fill="FFFFFF"/>
        </w:rPr>
      </w:pPr>
      <w:r>
        <w:rPr>
          <w:rFonts w:asciiTheme="majorBidi" w:hAnsiTheme="majorBidi" w:cstheme="majorBidi"/>
        </w:rPr>
        <w:t xml:space="preserve">[3.3] Pārvaldes atteikums </w:t>
      </w:r>
      <w:r w:rsidR="00E155AE">
        <w:rPr>
          <w:rFonts w:asciiTheme="majorBidi" w:hAnsiTheme="majorBidi" w:cstheme="majorBidi"/>
        </w:rPr>
        <w:t>iz</w:t>
      </w:r>
      <w:r>
        <w:rPr>
          <w:rFonts w:asciiTheme="majorBidi" w:hAnsiTheme="majorBidi" w:cstheme="majorBidi"/>
        </w:rPr>
        <w:t xml:space="preserve">sniegt informāciju ir </w:t>
      </w:r>
      <w:proofErr w:type="spellStart"/>
      <w:r>
        <w:rPr>
          <w:rFonts w:asciiTheme="majorBidi" w:hAnsiTheme="majorBidi" w:cstheme="majorBidi"/>
        </w:rPr>
        <w:t>aizskāris</w:t>
      </w:r>
      <w:proofErr w:type="spellEnd"/>
      <w:r>
        <w:rPr>
          <w:rFonts w:asciiTheme="majorBidi" w:hAnsiTheme="majorBidi" w:cstheme="majorBidi"/>
        </w:rPr>
        <w:t xml:space="preserve"> pieteicēja ar likumu aizsargātās intereses, tomēr tas nav radījis smagu tiesību aizskārumu. Līdz ar to atbilstošs atlīdzinājums par pieteicējam nodarīto nemantisko kaitējumu ir rakstveida atvainošanās.</w:t>
      </w:r>
    </w:p>
    <w:p w14:paraId="38F91581" w14:textId="77777777" w:rsidR="00340B38" w:rsidRDefault="00340B38" w:rsidP="00D4400D">
      <w:pPr>
        <w:pStyle w:val="NormalWeb"/>
        <w:shd w:val="clear" w:color="auto" w:fill="FFFFFF"/>
        <w:spacing w:before="0" w:beforeAutospacing="0" w:after="0" w:afterAutospacing="0" w:line="276" w:lineRule="auto"/>
        <w:jc w:val="both"/>
        <w:rPr>
          <w:shd w:val="clear" w:color="auto" w:fill="FFFFFF"/>
        </w:rPr>
      </w:pPr>
    </w:p>
    <w:p w14:paraId="5059B616" w14:textId="067B1975" w:rsidR="005A0767" w:rsidRDefault="003122EF" w:rsidP="00D4400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w:t>
      </w:r>
      <w:r w:rsidR="009C7EC6">
        <w:rPr>
          <w:shd w:val="clear" w:color="auto" w:fill="FFFFFF"/>
        </w:rPr>
        <w:t xml:space="preserve"> Pārvalde par minēto spriedumu </w:t>
      </w:r>
      <w:r w:rsidR="00377956">
        <w:rPr>
          <w:shd w:val="clear" w:color="auto" w:fill="FFFFFF"/>
        </w:rPr>
        <w:t xml:space="preserve">pieteikuma apmierinātajā daļā </w:t>
      </w:r>
      <w:r w:rsidR="009C7EC6">
        <w:rPr>
          <w:shd w:val="clear" w:color="auto" w:fill="FFFFFF"/>
        </w:rPr>
        <w:t>iesniedza kasācijas sūdzību</w:t>
      </w:r>
      <w:r w:rsidR="005A0767">
        <w:rPr>
          <w:shd w:val="clear" w:color="auto" w:fill="FFFFFF"/>
        </w:rPr>
        <w:t>, to pamatojot ar turpmāk minētajiem argumentiem.</w:t>
      </w:r>
    </w:p>
    <w:p w14:paraId="40ADA611" w14:textId="06FA2D1C" w:rsidR="005A0767" w:rsidRDefault="005A0767" w:rsidP="00D4400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[4.1]</w:t>
      </w:r>
      <w:r w:rsidR="002C50B6">
        <w:rPr>
          <w:shd w:val="clear" w:color="auto" w:fill="FFFFFF"/>
        </w:rPr>
        <w:t> Atbilstoši Fizisko personu reģistra likuma 11.panta pirmajai daļai Fizisko personu reģistrā</w:t>
      </w:r>
      <w:r w:rsidR="00A167D5">
        <w:rPr>
          <w:shd w:val="clear" w:color="auto" w:fill="FFFFFF"/>
        </w:rPr>
        <w:t xml:space="preserve"> ir iekļautas ziņas </w:t>
      </w:r>
      <w:r w:rsidR="00802C99">
        <w:rPr>
          <w:shd w:val="clear" w:color="auto" w:fill="FFFFFF"/>
        </w:rPr>
        <w:t xml:space="preserve">par </w:t>
      </w:r>
      <w:r w:rsidR="00D4400D">
        <w:t xml:space="preserve">[pers. B] </w:t>
      </w:r>
      <w:r w:rsidR="00802C99">
        <w:rPr>
          <w:shd w:val="clear" w:color="auto" w:fill="FFFFFF"/>
        </w:rPr>
        <w:t xml:space="preserve">miršanas reģistrāciju </w:t>
      </w:r>
      <w:r w:rsidR="00A167D5">
        <w:rPr>
          <w:shd w:val="clear" w:color="auto" w:fill="FFFFFF"/>
        </w:rPr>
        <w:t xml:space="preserve">un tādējādi pārvalde var sniegt </w:t>
      </w:r>
      <w:r w:rsidR="00802C99">
        <w:rPr>
          <w:shd w:val="clear" w:color="auto" w:fill="FFFFFF"/>
        </w:rPr>
        <w:t xml:space="preserve">tikai šo </w:t>
      </w:r>
      <w:r w:rsidR="00A167D5">
        <w:rPr>
          <w:shd w:val="clear" w:color="auto" w:fill="FFFFFF"/>
        </w:rPr>
        <w:t xml:space="preserve">informāciju. Tomēr </w:t>
      </w:r>
      <w:r w:rsidR="00362BEB">
        <w:rPr>
          <w:shd w:val="clear" w:color="auto" w:fill="FFFFFF"/>
        </w:rPr>
        <w:t>F</w:t>
      </w:r>
      <w:r w:rsidR="00A167D5">
        <w:rPr>
          <w:shd w:val="clear" w:color="auto" w:fill="FFFFFF"/>
        </w:rPr>
        <w:t xml:space="preserve">izisko personu reģistrā netiek iekļautas ziņas par personām, kuras pilnvarotas organizēt bēres vai fakti par personu nāves iestāšanos. Līdz ar </w:t>
      </w:r>
      <w:r w:rsidR="00A167D5">
        <w:rPr>
          <w:shd w:val="clear" w:color="auto" w:fill="FFFFFF"/>
        </w:rPr>
        <w:lastRenderedPageBreak/>
        <w:t>to tiesa</w:t>
      </w:r>
      <w:r w:rsidR="00860262">
        <w:rPr>
          <w:shd w:val="clear" w:color="auto" w:fill="FFFFFF"/>
        </w:rPr>
        <w:t xml:space="preserve">, atzīstot, ka pārvaldei ir jāizsniedz visa pieteicēja </w:t>
      </w:r>
      <w:r w:rsidR="007B45B4">
        <w:rPr>
          <w:shd w:val="clear" w:color="auto" w:fill="FFFFFF"/>
        </w:rPr>
        <w:t xml:space="preserve">2023.gada 12.februārī </w:t>
      </w:r>
      <w:r w:rsidR="00860262">
        <w:rPr>
          <w:shd w:val="clear" w:color="auto" w:fill="FFFFFF"/>
        </w:rPr>
        <w:t>iesniegumā</w:t>
      </w:r>
      <w:r w:rsidR="007B45B4">
        <w:rPr>
          <w:shd w:val="clear" w:color="auto" w:fill="FFFFFF"/>
        </w:rPr>
        <w:t xml:space="preserve"> pieprasītā informācija, ir </w:t>
      </w:r>
      <w:r w:rsidR="00A167D5">
        <w:rPr>
          <w:shd w:val="clear" w:color="auto" w:fill="FFFFFF"/>
        </w:rPr>
        <w:t>uzdevusi pārvaldei izsniegt tādu informāciju, kas nav tās rīcībā</w:t>
      </w:r>
      <w:r w:rsidR="007532C0">
        <w:rPr>
          <w:shd w:val="clear" w:color="auto" w:fill="FFFFFF"/>
        </w:rPr>
        <w:t xml:space="preserve">. Tā kā šādas informācijas nav pārvaldes rīcībā, </w:t>
      </w:r>
      <w:r w:rsidR="00A81269">
        <w:rPr>
          <w:shd w:val="clear" w:color="auto" w:fill="FFFFFF"/>
        </w:rPr>
        <w:t>uzskatāms, ka tiesa faktiski arī nav pamatojusi</w:t>
      </w:r>
      <w:r w:rsidR="007532C0">
        <w:rPr>
          <w:shd w:val="clear" w:color="auto" w:fill="FFFFFF"/>
        </w:rPr>
        <w:t>, k</w:t>
      </w:r>
      <w:r w:rsidR="00A81269">
        <w:rPr>
          <w:shd w:val="clear" w:color="auto" w:fill="FFFFFF"/>
        </w:rPr>
        <w:t>ādēļ</w:t>
      </w:r>
      <w:r w:rsidR="007532C0">
        <w:rPr>
          <w:shd w:val="clear" w:color="auto" w:fill="FFFFFF"/>
        </w:rPr>
        <w:t xml:space="preserve"> pārvaldes rīcība, neizsniedzot attiecīgo informāciju, ir prettiesiska.</w:t>
      </w:r>
    </w:p>
    <w:p w14:paraId="2ED926D8" w14:textId="19FDAAFC" w:rsidR="007532C0" w:rsidRDefault="007532C0" w:rsidP="00D4400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[4.2] </w:t>
      </w:r>
      <w:r w:rsidR="004724FE">
        <w:rPr>
          <w:shd w:val="clear" w:color="auto" w:fill="FFFFFF"/>
        </w:rPr>
        <w:t xml:space="preserve">Informācijas atklātības likuma 13.panta trešā daļa </w:t>
      </w:r>
      <w:r w:rsidR="00437355">
        <w:rPr>
          <w:shd w:val="clear" w:color="auto" w:fill="FFFFFF"/>
        </w:rPr>
        <w:t xml:space="preserve">regulē atbrīvojumu no maksas par pakalpojumu. </w:t>
      </w:r>
      <w:r w:rsidR="00FD76BA">
        <w:rPr>
          <w:shd w:val="clear" w:color="auto" w:fill="FFFFFF"/>
        </w:rPr>
        <w:t xml:space="preserve">Taču valsts nodeva, kas saskaņā ar </w:t>
      </w:r>
      <w:r w:rsidR="007011FE">
        <w:rPr>
          <w:shd w:val="clear" w:color="auto" w:fill="FFFFFF"/>
        </w:rPr>
        <w:t xml:space="preserve">Fizisko personu reģistra likuma 24.pantu ir maksājama par </w:t>
      </w:r>
      <w:r w:rsidR="008E2637">
        <w:rPr>
          <w:shd w:val="clear" w:color="auto" w:fill="FFFFFF"/>
        </w:rPr>
        <w:t xml:space="preserve">informācijas saņemšanu no </w:t>
      </w:r>
      <w:r w:rsidR="00096C97">
        <w:rPr>
          <w:shd w:val="clear" w:color="auto" w:fill="FFFFFF"/>
        </w:rPr>
        <w:t>Fizisko personu reģistra,</w:t>
      </w:r>
      <w:r w:rsidR="0070239D">
        <w:rPr>
          <w:shd w:val="clear" w:color="auto" w:fill="FFFFFF"/>
        </w:rPr>
        <w:t xml:space="preserve"> atbilstoši likuma „Par nodokļiem un nodevām”</w:t>
      </w:r>
      <w:r w:rsidR="00096C97">
        <w:rPr>
          <w:shd w:val="clear" w:color="auto" w:fill="FFFFFF"/>
        </w:rPr>
        <w:t xml:space="preserve"> </w:t>
      </w:r>
      <w:r w:rsidR="0070239D">
        <w:rPr>
          <w:shd w:val="clear" w:color="auto" w:fill="FFFFFF"/>
        </w:rPr>
        <w:t xml:space="preserve">1.panta 2.punktā norādītajai definīcijai </w:t>
      </w:r>
      <w:r w:rsidR="00096C97">
        <w:rPr>
          <w:shd w:val="clear" w:color="auto" w:fill="FFFFFF"/>
        </w:rPr>
        <w:t>nav maksas pakalpojums. Līdz ar to uz valsts nodevu</w:t>
      </w:r>
      <w:r w:rsidR="0070239D">
        <w:rPr>
          <w:shd w:val="clear" w:color="auto" w:fill="FFFFFF"/>
        </w:rPr>
        <w:t xml:space="preserve"> nav attiecināms </w:t>
      </w:r>
      <w:r w:rsidR="00D6475C">
        <w:rPr>
          <w:shd w:val="clear" w:color="auto" w:fill="FFFFFF"/>
        </w:rPr>
        <w:t>Informācijas atklātības likuma 13.panta trešās daļas regulējums</w:t>
      </w:r>
      <w:r w:rsidR="00082F27">
        <w:rPr>
          <w:shd w:val="clear" w:color="auto" w:fill="FFFFFF"/>
        </w:rPr>
        <w:t xml:space="preserve"> par iespēju </w:t>
      </w:r>
      <w:r w:rsidR="00D57D47">
        <w:rPr>
          <w:shd w:val="clear" w:color="auto" w:fill="FFFFFF"/>
        </w:rPr>
        <w:t xml:space="preserve">personu </w:t>
      </w:r>
      <w:r w:rsidR="00082F27">
        <w:rPr>
          <w:shd w:val="clear" w:color="auto" w:fill="FFFFFF"/>
        </w:rPr>
        <w:t>no tās atbrīvot.</w:t>
      </w:r>
    </w:p>
    <w:p w14:paraId="71D99940" w14:textId="77777777" w:rsidR="00411CD0" w:rsidRDefault="00411CD0" w:rsidP="00D4400D">
      <w:pPr>
        <w:pStyle w:val="NormalWeb"/>
        <w:shd w:val="clear" w:color="auto" w:fill="FFFFFF"/>
        <w:spacing w:before="0" w:beforeAutospacing="0" w:after="0" w:afterAutospacing="0" w:line="276" w:lineRule="auto"/>
        <w:ind w:firstLine="720"/>
        <w:jc w:val="both"/>
        <w:rPr>
          <w:shd w:val="clear" w:color="auto" w:fill="FFFFFF"/>
        </w:rPr>
      </w:pPr>
    </w:p>
    <w:p w14:paraId="6A1B150E" w14:textId="10FAE408" w:rsidR="00D93B4E" w:rsidRDefault="00D93B4E" w:rsidP="00D4400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 Pieteicējs paskaidrojumos par pārvaldes kasācijas sūdzību norāda, ka tā nav pamatota.</w:t>
      </w:r>
    </w:p>
    <w:p w14:paraId="7672F2B2" w14:textId="77777777" w:rsidR="00D93B4E" w:rsidRDefault="00D93B4E" w:rsidP="00D4400D">
      <w:pPr>
        <w:pStyle w:val="NormalWeb"/>
        <w:shd w:val="clear" w:color="auto" w:fill="FFFFFF"/>
        <w:spacing w:before="0" w:beforeAutospacing="0" w:after="0" w:afterAutospacing="0" w:line="276" w:lineRule="auto"/>
        <w:ind w:firstLine="720"/>
        <w:jc w:val="both"/>
        <w:rPr>
          <w:shd w:val="clear" w:color="auto" w:fill="FFFFFF"/>
        </w:rPr>
      </w:pPr>
    </w:p>
    <w:p w14:paraId="0C5675AB" w14:textId="411A5A17" w:rsidR="00D93B4E" w:rsidRDefault="00D93B4E" w:rsidP="00D4400D">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[6] Pieteicējs ir pieteicis noraidījumu senatoriem J. </w:t>
      </w:r>
      <w:proofErr w:type="spellStart"/>
      <w:r>
        <w:rPr>
          <w:shd w:val="clear" w:color="auto" w:fill="FFFFFF"/>
        </w:rPr>
        <w:t>Plepam</w:t>
      </w:r>
      <w:proofErr w:type="spellEnd"/>
      <w:r>
        <w:rPr>
          <w:shd w:val="clear" w:color="auto" w:fill="FFFFFF"/>
        </w:rPr>
        <w:t xml:space="preserve"> un L. </w:t>
      </w:r>
      <w:proofErr w:type="spellStart"/>
      <w:r>
        <w:rPr>
          <w:shd w:val="clear" w:color="auto" w:fill="FFFFFF"/>
        </w:rPr>
        <w:t>Slicai</w:t>
      </w:r>
      <w:proofErr w:type="spellEnd"/>
      <w:r>
        <w:rPr>
          <w:shd w:val="clear" w:color="auto" w:fill="FFFFFF"/>
        </w:rPr>
        <w:t>. Pārvalde viedokli par pieteikto noraidījumu nav iesniegusi.</w:t>
      </w:r>
    </w:p>
    <w:p w14:paraId="2FD2B4B7" w14:textId="77777777" w:rsidR="00D93B4E" w:rsidRDefault="00D93B4E" w:rsidP="00D4400D">
      <w:pPr>
        <w:pStyle w:val="NormalWeb"/>
        <w:shd w:val="clear" w:color="auto" w:fill="FFFFFF"/>
        <w:spacing w:before="0" w:beforeAutospacing="0" w:after="0" w:afterAutospacing="0" w:line="276" w:lineRule="auto"/>
        <w:ind w:firstLine="720"/>
        <w:jc w:val="both"/>
        <w:rPr>
          <w:shd w:val="clear" w:color="auto" w:fill="FFFFFF"/>
        </w:rPr>
      </w:pPr>
    </w:p>
    <w:p w14:paraId="43D91EBE" w14:textId="77777777" w:rsidR="00447EE6" w:rsidRDefault="00447EE6" w:rsidP="00D4400D">
      <w:pPr>
        <w:shd w:val="clear" w:color="auto" w:fill="FFFFFF"/>
        <w:spacing w:line="276" w:lineRule="auto"/>
        <w:jc w:val="center"/>
        <w:rPr>
          <w:b/>
        </w:rPr>
      </w:pPr>
      <w:r w:rsidRPr="00011547">
        <w:rPr>
          <w:b/>
        </w:rPr>
        <w:t>Motīvu daļa</w:t>
      </w:r>
    </w:p>
    <w:p w14:paraId="7B7D277A" w14:textId="77777777" w:rsidR="00411CD0" w:rsidRDefault="00411CD0" w:rsidP="00D4400D">
      <w:pPr>
        <w:shd w:val="clear" w:color="auto" w:fill="FFFFFF"/>
        <w:spacing w:line="276" w:lineRule="auto"/>
        <w:jc w:val="center"/>
      </w:pPr>
    </w:p>
    <w:p w14:paraId="23AE5387" w14:textId="51BEE9EE" w:rsidR="005F60B5" w:rsidRPr="005F60B5" w:rsidRDefault="005F60B5" w:rsidP="00D4400D">
      <w:pPr>
        <w:shd w:val="clear" w:color="auto" w:fill="FFFFFF"/>
        <w:spacing w:line="276" w:lineRule="auto"/>
        <w:jc w:val="center"/>
        <w:rPr>
          <w:b/>
          <w:bCs/>
        </w:rPr>
      </w:pPr>
      <w:r w:rsidRPr="005F60B5">
        <w:rPr>
          <w:b/>
          <w:bCs/>
        </w:rPr>
        <w:t>I</w:t>
      </w:r>
    </w:p>
    <w:p w14:paraId="50C41975" w14:textId="1416FB5D" w:rsidR="003122EF" w:rsidRDefault="003122EF" w:rsidP="00D4400D">
      <w:pPr>
        <w:shd w:val="clear" w:color="auto" w:fill="FFFFFF"/>
        <w:spacing w:line="276" w:lineRule="auto"/>
        <w:jc w:val="center"/>
        <w:rPr>
          <w:rFonts w:asciiTheme="majorBidi" w:hAnsiTheme="majorBidi" w:cstheme="majorBidi"/>
          <w:bCs/>
          <w:i/>
          <w:iCs/>
        </w:rPr>
      </w:pPr>
      <w:r w:rsidRPr="00966548">
        <w:rPr>
          <w:rFonts w:asciiTheme="majorBidi" w:hAnsiTheme="majorBidi" w:cstheme="majorBidi"/>
          <w:bCs/>
          <w:i/>
          <w:iCs/>
        </w:rPr>
        <w:t>Par pieteikto noraidījumu</w:t>
      </w:r>
    </w:p>
    <w:p w14:paraId="0E118595" w14:textId="77777777" w:rsidR="003122EF" w:rsidRDefault="003122EF" w:rsidP="00D4400D">
      <w:pPr>
        <w:shd w:val="clear" w:color="auto" w:fill="FFFFFF"/>
        <w:spacing w:line="276" w:lineRule="auto"/>
        <w:ind w:firstLine="720"/>
        <w:rPr>
          <w:rFonts w:asciiTheme="majorBidi" w:hAnsiTheme="majorBidi" w:cstheme="majorBidi"/>
          <w:bCs/>
          <w:i/>
          <w:iCs/>
        </w:rPr>
      </w:pPr>
    </w:p>
    <w:p w14:paraId="55218473" w14:textId="4B800CB9" w:rsidR="008A32BC" w:rsidRDefault="003122EF" w:rsidP="00D4400D">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w:t>
      </w:r>
      <w:r w:rsidR="00D93B4E">
        <w:rPr>
          <w:rFonts w:asciiTheme="majorBidi" w:hAnsiTheme="majorBidi" w:cstheme="majorBidi"/>
          <w:bCs/>
        </w:rPr>
        <w:t>7</w:t>
      </w:r>
      <w:r>
        <w:rPr>
          <w:rFonts w:asciiTheme="majorBidi" w:hAnsiTheme="majorBidi" w:cstheme="majorBidi"/>
          <w:bCs/>
        </w:rPr>
        <w:t>]</w:t>
      </w:r>
      <w:r w:rsidR="008A32BC">
        <w:rPr>
          <w:rFonts w:asciiTheme="majorBidi" w:hAnsiTheme="majorBidi" w:cstheme="majorBidi"/>
          <w:bCs/>
        </w:rPr>
        <w:t> </w:t>
      </w:r>
      <w:proofErr w:type="spellStart"/>
      <w:r w:rsidR="008A32BC">
        <w:rPr>
          <w:rFonts w:asciiTheme="majorBidi" w:hAnsiTheme="majorBidi" w:cstheme="majorBidi"/>
          <w:bCs/>
        </w:rPr>
        <w:t>Visupirms</w:t>
      </w:r>
      <w:proofErr w:type="spellEnd"/>
      <w:r w:rsidR="008A32BC">
        <w:rPr>
          <w:rFonts w:asciiTheme="majorBidi" w:hAnsiTheme="majorBidi" w:cstheme="majorBidi"/>
          <w:bCs/>
        </w:rPr>
        <w:t xml:space="preserve"> izlemjams </w:t>
      </w:r>
      <w:r w:rsidR="00B115F4">
        <w:rPr>
          <w:rFonts w:asciiTheme="majorBidi" w:hAnsiTheme="majorBidi" w:cstheme="majorBidi"/>
          <w:bCs/>
        </w:rPr>
        <w:t xml:space="preserve">pieteicēja pieteiktais </w:t>
      </w:r>
      <w:r w:rsidR="008A32BC">
        <w:rPr>
          <w:rFonts w:asciiTheme="majorBidi" w:hAnsiTheme="majorBidi" w:cstheme="majorBidi"/>
          <w:bCs/>
        </w:rPr>
        <w:t>noraidījums senatoriem J. </w:t>
      </w:r>
      <w:proofErr w:type="spellStart"/>
      <w:r w:rsidR="008A32BC">
        <w:rPr>
          <w:rFonts w:asciiTheme="majorBidi" w:hAnsiTheme="majorBidi" w:cstheme="majorBidi"/>
          <w:bCs/>
        </w:rPr>
        <w:t>Plepam</w:t>
      </w:r>
      <w:proofErr w:type="spellEnd"/>
      <w:r w:rsidR="008A32BC">
        <w:rPr>
          <w:rFonts w:asciiTheme="majorBidi" w:hAnsiTheme="majorBidi" w:cstheme="majorBidi"/>
          <w:bCs/>
        </w:rPr>
        <w:t xml:space="preserve"> un L. </w:t>
      </w:r>
      <w:proofErr w:type="spellStart"/>
      <w:r w:rsidR="008A32BC">
        <w:rPr>
          <w:rFonts w:asciiTheme="majorBidi" w:hAnsiTheme="majorBidi" w:cstheme="majorBidi"/>
          <w:bCs/>
        </w:rPr>
        <w:t>Slicai</w:t>
      </w:r>
      <w:proofErr w:type="spellEnd"/>
      <w:r w:rsidR="008A32BC">
        <w:rPr>
          <w:rFonts w:asciiTheme="majorBidi" w:hAnsiTheme="majorBidi" w:cstheme="majorBidi"/>
          <w:bCs/>
        </w:rPr>
        <w:t xml:space="preserve">. </w:t>
      </w:r>
    </w:p>
    <w:p w14:paraId="10E839AB" w14:textId="77777777" w:rsidR="008A32BC" w:rsidRDefault="008A32BC" w:rsidP="00D4400D">
      <w:pPr>
        <w:shd w:val="clear" w:color="auto" w:fill="FFFFFF"/>
        <w:spacing w:line="276" w:lineRule="auto"/>
        <w:ind w:firstLine="720"/>
        <w:jc w:val="both"/>
        <w:rPr>
          <w:rFonts w:asciiTheme="majorBidi" w:hAnsiTheme="majorBidi" w:cstheme="majorBidi"/>
          <w:bCs/>
        </w:rPr>
      </w:pPr>
    </w:p>
    <w:p w14:paraId="38775324" w14:textId="64E29E08" w:rsidR="00147086" w:rsidRDefault="008A32BC" w:rsidP="00D4400D">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[8] </w:t>
      </w:r>
      <w:r w:rsidRPr="008A32BC">
        <w:rPr>
          <w:rFonts w:asciiTheme="majorBidi" w:hAnsiTheme="majorBidi" w:cstheme="majorBidi"/>
          <w:bCs/>
        </w:rPr>
        <w:t>Saskaņā ar Administratīvā procesa likuma 118.panta pirmo daļu procesa dalībnieks var pieteikt noraidījumu tiesnesim vai visam tiesas sastāvam. Šā likuma 117.panta pirmajā daļā noteikti pamati noraidījuma pieteikšanai. Savukārt atbilstoši 118.panta otrajai daļai noraidījums ir jāmotivē. Proti, ir jānorāda tie konkrētie apstākļi, kas atbilstoši likumam ir pamats tiesneša noraidīšanai, kā arī šie apstākļi ticami jāpamato.</w:t>
      </w:r>
    </w:p>
    <w:p w14:paraId="2794B428" w14:textId="5999C222" w:rsidR="008A32BC" w:rsidRPr="008A32BC" w:rsidRDefault="008A32BC" w:rsidP="00D4400D">
      <w:pPr>
        <w:shd w:val="clear" w:color="auto" w:fill="FFFFFF"/>
        <w:spacing w:line="276" w:lineRule="auto"/>
        <w:ind w:firstLine="720"/>
        <w:jc w:val="both"/>
        <w:rPr>
          <w:rFonts w:asciiTheme="majorBidi" w:hAnsiTheme="majorBidi" w:cstheme="majorBidi"/>
          <w:bCs/>
        </w:rPr>
      </w:pPr>
      <w:r>
        <w:rPr>
          <w:rFonts w:asciiTheme="majorBidi" w:hAnsiTheme="majorBidi" w:cstheme="majorBidi"/>
          <w:bCs/>
        </w:rPr>
        <w:t>Pieteicēja noraidījuma senatoriem J. </w:t>
      </w:r>
      <w:proofErr w:type="spellStart"/>
      <w:r>
        <w:rPr>
          <w:rFonts w:asciiTheme="majorBidi" w:hAnsiTheme="majorBidi" w:cstheme="majorBidi"/>
          <w:bCs/>
        </w:rPr>
        <w:t>Plepam</w:t>
      </w:r>
      <w:proofErr w:type="spellEnd"/>
      <w:r>
        <w:rPr>
          <w:rFonts w:asciiTheme="majorBidi" w:hAnsiTheme="majorBidi" w:cstheme="majorBidi"/>
          <w:bCs/>
        </w:rPr>
        <w:t xml:space="preserve"> un L. </w:t>
      </w:r>
      <w:proofErr w:type="spellStart"/>
      <w:r>
        <w:rPr>
          <w:rFonts w:asciiTheme="majorBidi" w:hAnsiTheme="majorBidi" w:cstheme="majorBidi"/>
          <w:bCs/>
        </w:rPr>
        <w:t>Slicai</w:t>
      </w:r>
      <w:proofErr w:type="spellEnd"/>
      <w:r>
        <w:rPr>
          <w:rFonts w:asciiTheme="majorBidi" w:hAnsiTheme="majorBidi" w:cstheme="majorBidi"/>
          <w:bCs/>
        </w:rPr>
        <w:t xml:space="preserve"> pamatā ir iebildumi pret</w:t>
      </w:r>
      <w:r w:rsidR="001B5053">
        <w:rPr>
          <w:rFonts w:asciiTheme="majorBidi" w:hAnsiTheme="majorBidi" w:cstheme="majorBidi"/>
          <w:bCs/>
        </w:rPr>
        <w:t xml:space="preserve"> šajā lietā iepriekš pieņemto senatoru kolēģijas </w:t>
      </w:r>
      <w:r w:rsidR="00AE18B5">
        <w:rPr>
          <w:rFonts w:asciiTheme="majorBidi" w:hAnsiTheme="majorBidi" w:cstheme="majorBidi"/>
          <w:bCs/>
        </w:rPr>
        <w:t xml:space="preserve">2025.gada 3.septembra </w:t>
      </w:r>
      <w:r w:rsidR="001B5053">
        <w:rPr>
          <w:rFonts w:asciiTheme="majorBidi" w:hAnsiTheme="majorBidi" w:cstheme="majorBidi"/>
          <w:bCs/>
        </w:rPr>
        <w:t>rīcības sēdes lēmumu</w:t>
      </w:r>
      <w:r w:rsidR="00AE18B5">
        <w:rPr>
          <w:rFonts w:asciiTheme="majorBidi" w:hAnsiTheme="majorBidi" w:cstheme="majorBidi"/>
          <w:bCs/>
        </w:rPr>
        <w:t xml:space="preserve">, </w:t>
      </w:r>
      <w:hyperlink r:id="rId9" w:history="1">
        <w:r w:rsidR="00AE18B5" w:rsidRPr="00AE18B5">
          <w:rPr>
            <w:rStyle w:val="Hyperlink"/>
            <w:rFonts w:asciiTheme="majorBidi" w:hAnsiTheme="majorBidi" w:cstheme="majorBidi"/>
            <w:bCs/>
          </w:rPr>
          <w:t>ECLI:LV:AT:2025:0903.A420159423.16.L</w:t>
        </w:r>
      </w:hyperlink>
      <w:r w:rsidR="00AE18B5">
        <w:rPr>
          <w:rFonts w:asciiTheme="majorBidi" w:hAnsiTheme="majorBidi" w:cstheme="majorBidi"/>
          <w:bCs/>
        </w:rPr>
        <w:t xml:space="preserve">, </w:t>
      </w:r>
      <w:r w:rsidR="001B5053">
        <w:rPr>
          <w:rFonts w:asciiTheme="majorBidi" w:hAnsiTheme="majorBidi" w:cstheme="majorBidi"/>
          <w:bCs/>
        </w:rPr>
        <w:t>kura taisīšanā piedalījās minētie senatori.</w:t>
      </w:r>
      <w:r w:rsidR="00271E0F">
        <w:rPr>
          <w:rFonts w:asciiTheme="majorBidi" w:hAnsiTheme="majorBidi" w:cstheme="majorBidi"/>
          <w:bCs/>
        </w:rPr>
        <w:t xml:space="preserve"> </w:t>
      </w:r>
      <w:r w:rsidR="00F5773A">
        <w:rPr>
          <w:rFonts w:asciiTheme="majorBidi" w:hAnsiTheme="majorBidi" w:cstheme="majorBidi"/>
          <w:bCs/>
        </w:rPr>
        <w:t>Ar minēto lēmumu atteikts ierosināt kasācijas tiesvedību sakarā ar pieteicēja kasācijas sūdzību par Administratīvās rajona tiesas 2025.gada 2.aprīļa spriedumu</w:t>
      </w:r>
      <w:r w:rsidR="009A1500">
        <w:rPr>
          <w:rFonts w:asciiTheme="majorBidi" w:hAnsiTheme="majorBidi" w:cstheme="majorBidi"/>
          <w:bCs/>
        </w:rPr>
        <w:t xml:space="preserve"> daļā, kurā pieteicēja pieteikums noraidīts</w:t>
      </w:r>
      <w:r w:rsidR="00F17669">
        <w:rPr>
          <w:rFonts w:asciiTheme="majorBidi" w:hAnsiTheme="majorBidi" w:cstheme="majorBidi"/>
          <w:bCs/>
        </w:rPr>
        <w:t>.</w:t>
      </w:r>
      <w:r w:rsidR="00143BEA">
        <w:rPr>
          <w:rFonts w:asciiTheme="majorBidi" w:hAnsiTheme="majorBidi" w:cstheme="majorBidi"/>
          <w:bCs/>
        </w:rPr>
        <w:t xml:space="preserve"> </w:t>
      </w:r>
      <w:r w:rsidR="00F17669">
        <w:rPr>
          <w:rFonts w:asciiTheme="majorBidi" w:hAnsiTheme="majorBidi" w:cstheme="majorBidi"/>
          <w:bCs/>
        </w:rPr>
        <w:t xml:space="preserve">Attiecīgajā lēmumā </w:t>
      </w:r>
      <w:r w:rsidR="00143BEA">
        <w:rPr>
          <w:rFonts w:asciiTheme="majorBidi" w:hAnsiTheme="majorBidi" w:cstheme="majorBidi"/>
          <w:bCs/>
        </w:rPr>
        <w:t>atzīt</w:t>
      </w:r>
      <w:r w:rsidR="00F17669">
        <w:rPr>
          <w:rFonts w:asciiTheme="majorBidi" w:hAnsiTheme="majorBidi" w:cstheme="majorBidi"/>
          <w:bCs/>
        </w:rPr>
        <w:t>s</w:t>
      </w:r>
      <w:r w:rsidR="00143BEA">
        <w:rPr>
          <w:rFonts w:asciiTheme="majorBidi" w:hAnsiTheme="majorBidi" w:cstheme="majorBidi"/>
          <w:bCs/>
        </w:rPr>
        <w:t xml:space="preserve">, ka </w:t>
      </w:r>
      <w:r w:rsidR="00F17669">
        <w:rPr>
          <w:rFonts w:asciiTheme="majorBidi" w:hAnsiTheme="majorBidi" w:cstheme="majorBidi"/>
          <w:bCs/>
        </w:rPr>
        <w:t>pieteicēja iesniegtā kasācijas sūdzība</w:t>
      </w:r>
      <w:r w:rsidR="001122F0">
        <w:rPr>
          <w:rFonts w:asciiTheme="majorBidi" w:hAnsiTheme="majorBidi" w:cstheme="majorBidi"/>
          <w:bCs/>
        </w:rPr>
        <w:t xml:space="preserve"> </w:t>
      </w:r>
      <w:r w:rsidR="00143BEA">
        <w:rPr>
          <w:rFonts w:asciiTheme="majorBidi" w:hAnsiTheme="majorBidi" w:cstheme="majorBidi"/>
          <w:bCs/>
        </w:rPr>
        <w:t xml:space="preserve">neatbilst Administratīvā procesa likumā kasācijas sūdzības pamatojumam izvirzītajām prasībām. </w:t>
      </w:r>
      <w:r w:rsidR="00271E0F">
        <w:rPr>
          <w:rFonts w:asciiTheme="majorBidi" w:hAnsiTheme="majorBidi" w:cstheme="majorBidi"/>
          <w:bCs/>
        </w:rPr>
        <w:t>Pieteicējs norāda, ka senatoru kolēģija, pieņemot minēto lēmumu, neesot ņēmusi vērā, ka pieteicējs ir vienkārša fiziska persona bez juridiskām zināšanām</w:t>
      </w:r>
      <w:r w:rsidR="00143BEA">
        <w:rPr>
          <w:rFonts w:asciiTheme="majorBidi" w:hAnsiTheme="majorBidi" w:cstheme="majorBidi"/>
          <w:bCs/>
        </w:rPr>
        <w:t>. Turklāt pieteicējs izskatāmajā lietā esot izteicis lūgumu viņam piešķirt valsts nodrošināto juridisko palīdzību, kas esot noraidīts. Līdz ar to senatoru kolēģija, pieņemot</w:t>
      </w:r>
      <w:r w:rsidR="009A1500">
        <w:rPr>
          <w:rFonts w:asciiTheme="majorBidi" w:hAnsiTheme="majorBidi" w:cstheme="majorBidi"/>
          <w:bCs/>
        </w:rPr>
        <w:t xml:space="preserve"> konkrēto </w:t>
      </w:r>
      <w:r w:rsidR="00143BEA">
        <w:rPr>
          <w:rFonts w:asciiTheme="majorBidi" w:hAnsiTheme="majorBidi" w:cstheme="majorBidi"/>
          <w:bCs/>
        </w:rPr>
        <w:t xml:space="preserve">lēmumu, esot liegusi </w:t>
      </w:r>
      <w:r w:rsidR="00143BEA">
        <w:rPr>
          <w:rFonts w:asciiTheme="majorBidi" w:hAnsiTheme="majorBidi" w:cstheme="majorBidi"/>
          <w:bCs/>
        </w:rPr>
        <w:lastRenderedPageBreak/>
        <w:t>pieteicējam īstenot Latvijas Republikas Satversmes 92.pantā garantētās tiesības aizstāvēt savas tiesības un likumiskās intereses taisnīgā tiesā.</w:t>
      </w:r>
    </w:p>
    <w:p w14:paraId="263A9A1A" w14:textId="77777777" w:rsidR="009837F1" w:rsidRDefault="00C37299" w:rsidP="00D4400D">
      <w:pPr>
        <w:tabs>
          <w:tab w:val="left" w:pos="567"/>
        </w:tabs>
        <w:spacing w:line="276" w:lineRule="auto"/>
        <w:ind w:firstLine="720"/>
        <w:jc w:val="both"/>
      </w:pPr>
      <w:r>
        <w:rPr>
          <w:rFonts w:asciiTheme="majorBidi" w:hAnsiTheme="majorBidi" w:cstheme="majorBidi"/>
          <w:bCs/>
        </w:rPr>
        <w:t>Izvērtējot minētos pieteicēja apsvērumus, Senāts atzīst, ka nav pamata pieņemt noraidījumu senatoriem J. </w:t>
      </w:r>
      <w:proofErr w:type="spellStart"/>
      <w:r>
        <w:rPr>
          <w:rFonts w:asciiTheme="majorBidi" w:hAnsiTheme="majorBidi" w:cstheme="majorBidi"/>
          <w:bCs/>
        </w:rPr>
        <w:t>Plepam</w:t>
      </w:r>
      <w:proofErr w:type="spellEnd"/>
      <w:r>
        <w:rPr>
          <w:rFonts w:asciiTheme="majorBidi" w:hAnsiTheme="majorBidi" w:cstheme="majorBidi"/>
          <w:bCs/>
        </w:rPr>
        <w:t xml:space="preserve"> un L. </w:t>
      </w:r>
      <w:proofErr w:type="spellStart"/>
      <w:r>
        <w:rPr>
          <w:rFonts w:asciiTheme="majorBidi" w:hAnsiTheme="majorBidi" w:cstheme="majorBidi"/>
          <w:bCs/>
        </w:rPr>
        <w:t>Slicai</w:t>
      </w:r>
      <w:proofErr w:type="spellEnd"/>
      <w:r>
        <w:rPr>
          <w:rFonts w:asciiTheme="majorBidi" w:hAnsiTheme="majorBidi" w:cstheme="majorBidi"/>
          <w:bCs/>
        </w:rPr>
        <w:t xml:space="preserve">, jo pieteicēja apsvērumi neliecina, ka </w:t>
      </w:r>
      <w:r w:rsidRPr="00F34705">
        <w:t xml:space="preserve">pastāv kāds no Administratīvā procesa likuma 117.panta pirmajā daļā </w:t>
      </w:r>
      <w:r>
        <w:t xml:space="preserve">norādītajiem pamatiem minēto senatoru noraidīšanai. </w:t>
      </w:r>
      <w:r w:rsidR="00E74527">
        <w:t>Pieteicēja</w:t>
      </w:r>
      <w:r w:rsidR="00BE532B">
        <w:t xml:space="preserve"> noraidījuma senatoriem pamatā faktiski ir neapmierinātība ar šajā lietā iepriekš pieņemto senatoru kolēģijas </w:t>
      </w:r>
      <w:r w:rsidR="00D86451">
        <w:t xml:space="preserve">2025.gada 3.septembra </w:t>
      </w:r>
      <w:r w:rsidR="00BE532B">
        <w:t xml:space="preserve">rīcības sēdes lēmumu, kura taisīšanā senatori ir piedalījušies. Tomēr šajā sakarā Senāta praksē jau iepriekš ir atzīts, ka tas vien, ka </w:t>
      </w:r>
      <w:r w:rsidR="00D12E37" w:rsidRPr="00D12E37">
        <w:rPr>
          <w:bCs/>
        </w:rPr>
        <w:t xml:space="preserve">procesa dalībnieks nepiekrīt tam, </w:t>
      </w:r>
      <w:r w:rsidR="00BE532B">
        <w:rPr>
          <w:bCs/>
        </w:rPr>
        <w:t xml:space="preserve">kādi bijuši tiesas apsvērumi konkrēta nolēmuma pieņemšanā, </w:t>
      </w:r>
      <w:r w:rsidR="00D12E37" w:rsidRPr="00D12E37">
        <w:t xml:space="preserve">nevar liecināt par tiesnešu ieinteresētību lietas iznākumā vai nespēju izskatīt lietu objektīvi. Proti, tiesas rīcības vai nolēmuma neatbilstība procesa dalībnieka vēlmēm un tiesību izpratnei nav apstāklis, kas pats par sevi liecinātu par tiesneša neobjektivitāti vai ieinteresētību lietas iznākumā (piemēram, </w:t>
      </w:r>
      <w:r w:rsidR="00D12E37" w:rsidRPr="00D12E37">
        <w:rPr>
          <w:i/>
        </w:rPr>
        <w:t xml:space="preserve">Senāta 2024.gada 20.decembra sprieduma lietā Nr. SKA-700/2024, </w:t>
      </w:r>
      <w:hyperlink r:id="rId10" w:history="1">
        <w:r w:rsidR="00D12E37" w:rsidRPr="00D12E37">
          <w:rPr>
            <w:rStyle w:val="Hyperlink"/>
            <w:i/>
          </w:rPr>
          <w:t>ECLI:LV:AT:2024:1220.A420312417.40.S</w:t>
        </w:r>
      </w:hyperlink>
      <w:r w:rsidR="00D12E37" w:rsidRPr="00D12E37">
        <w:rPr>
          <w:i/>
        </w:rPr>
        <w:t xml:space="preserve">, 10.punkts </w:t>
      </w:r>
      <w:r w:rsidR="00D12E37" w:rsidRPr="00D12E37">
        <w:rPr>
          <w:iCs/>
        </w:rPr>
        <w:t>un tajā norādītā judikatūra</w:t>
      </w:r>
      <w:r w:rsidR="00D12E37" w:rsidRPr="00D12E37">
        <w:t>).</w:t>
      </w:r>
    </w:p>
    <w:p w14:paraId="5ECBE3A2" w14:textId="06F0B3DD" w:rsidR="00D12E37" w:rsidRPr="009837F1" w:rsidRDefault="009837F1" w:rsidP="00D4400D">
      <w:pPr>
        <w:tabs>
          <w:tab w:val="left" w:pos="567"/>
        </w:tabs>
        <w:spacing w:line="276" w:lineRule="auto"/>
        <w:ind w:firstLine="720"/>
        <w:jc w:val="both"/>
        <w:rPr>
          <w:highlight w:val="yellow"/>
        </w:rPr>
      </w:pPr>
      <w:r w:rsidRPr="009837F1">
        <w:t>Savukārt</w:t>
      </w:r>
      <w:r w:rsidR="00D61A43" w:rsidRPr="009837F1">
        <w:t xml:space="preserve">, vērtējot pieteicēja atsaukšanos uz to, ka šajā lietā iepriekš noraidīts viņa lūgums piešķirt valsts nodrošināto juridisko palīdzību, Senāts konstatē, ka pieteicējs šādu lūgumu bija izteicis pirmās instances tiesai, nevis Senātam, un attiecīgi par šo lūgumu nemaz nav lēmuši tie tiesneši, kuriem pieteicējs </w:t>
      </w:r>
      <w:r w:rsidR="00D86451" w:rsidRPr="009837F1">
        <w:t xml:space="preserve">ir </w:t>
      </w:r>
      <w:r w:rsidR="00D61A43" w:rsidRPr="009837F1">
        <w:t>pieteicis noraidījum</w:t>
      </w:r>
      <w:r w:rsidR="00D86451" w:rsidRPr="009837F1">
        <w:t>u</w:t>
      </w:r>
      <w:r w:rsidR="00D61A43" w:rsidRPr="009837F1">
        <w:t xml:space="preserve"> – proti, senatori J. Pleps un L. Slica.</w:t>
      </w:r>
      <w:r w:rsidRPr="009837F1">
        <w:t xml:space="preserve"> Turklāt ar senatoru kolēģijas 2025.gada 3.septembra rīcības sēdes lēmumu kasācijas tiesvedību sakarā ar pieteicēja kasācijas sūdzību atteikts ierosināt nevis</w:t>
      </w:r>
      <w:r w:rsidR="00B208FC">
        <w:t xml:space="preserve"> </w:t>
      </w:r>
      <w:r w:rsidRPr="009837F1">
        <w:t>tādēļ, ka pieteicēja argumenti par Administratīvās rajona tiesas 2025.gada 2.aprīļa spriedumu pieteikuma noraidītajā daļā nebija juridiski</w:t>
      </w:r>
      <w:r>
        <w:t xml:space="preserve"> korekti noformulēti, bet gan tādēļ, ka tie pēc būtības neradīja pamatu kasācijas tiesvedības ierosināšanai par spriedumu minētajā daļā. Līdz ar to Senāts nekonstatē, ka valsts nodrošinātās juridiskās palīdzības nepiešķiršana pieteicējam ir ietekmējusi pieteicēja tiesību uz taisnīgu tiesu īstenošanu šajā lietā.</w:t>
      </w:r>
    </w:p>
    <w:p w14:paraId="1A8CA5D3" w14:textId="77777777" w:rsidR="00D61A43" w:rsidRDefault="00D61A43" w:rsidP="00D4400D">
      <w:pPr>
        <w:tabs>
          <w:tab w:val="left" w:pos="567"/>
        </w:tabs>
        <w:spacing w:line="276" w:lineRule="auto"/>
        <w:ind w:firstLine="720"/>
        <w:jc w:val="both"/>
      </w:pPr>
    </w:p>
    <w:p w14:paraId="7C4BCE5B" w14:textId="621F6D52" w:rsidR="00F2769B" w:rsidRDefault="00F66E3F" w:rsidP="00D4400D">
      <w:pPr>
        <w:tabs>
          <w:tab w:val="left" w:pos="567"/>
        </w:tabs>
        <w:spacing w:line="276" w:lineRule="auto"/>
        <w:ind w:firstLine="720"/>
        <w:jc w:val="both"/>
      </w:pPr>
      <w:r>
        <w:t>[9] Pieteicējs noraidījumā senatoriem J. </w:t>
      </w:r>
      <w:proofErr w:type="spellStart"/>
      <w:r>
        <w:t>Plepam</w:t>
      </w:r>
      <w:proofErr w:type="spellEnd"/>
      <w:r>
        <w:t xml:space="preserve"> un L. </w:t>
      </w:r>
      <w:proofErr w:type="spellStart"/>
      <w:r>
        <w:t>Slicai</w:t>
      </w:r>
      <w:proofErr w:type="spellEnd"/>
      <w:r>
        <w:t xml:space="preserve"> ir arī norādījis iebildumus pret to, ka ar senatoru kolēģijas</w:t>
      </w:r>
      <w:r w:rsidR="004E07B2">
        <w:t xml:space="preserve"> 2025.gada 3.septembra</w:t>
      </w:r>
      <w:r>
        <w:t xml:space="preserve"> rīcības sēdes lēmumu, nenorādot nekādu pamatojumu, ir ierosināta kasācijas tiesvedība sakarā ar pārvaldes iesniegto kasācijas sūdzību </w:t>
      </w:r>
      <w:r w:rsidR="004E07B2">
        <w:t>šajā lietā</w:t>
      </w:r>
      <w:r>
        <w:t xml:space="preserve">. </w:t>
      </w:r>
      <w:r w:rsidR="0017727A">
        <w:t xml:space="preserve">Šā iebilduma sakarā Senāts norāda, ka </w:t>
      </w:r>
      <w:r w:rsidR="00F118F4">
        <w:t xml:space="preserve">atbilstoši Administratīvā procesa likuma 338.panta trešajai daļai, ja </w:t>
      </w:r>
      <w:r w:rsidR="00F118F4" w:rsidRPr="00F118F4">
        <w:t>tiesnešu viedoklis par kasācijas tiesvedības ierosināšanu atšķiras vai arī visi tiesneši uzskata, ka lieta izskatāma kasācijas kārtībā, tiesnešu kolēģija ar lēmumu ierosina kasācijas tiesvedību.</w:t>
      </w:r>
      <w:r w:rsidR="00F118F4">
        <w:t xml:space="preserve"> Līdz ar to minētā tiesību norma neparedz, ka </w:t>
      </w:r>
      <w:r w:rsidR="0017727A">
        <w:t xml:space="preserve">senatoru kolēģijas lēmumā par kasācijas tiesvedības ierosināšanu ir jānorāda motivācija šāda lēmuma pieņemšanai. </w:t>
      </w:r>
      <w:bookmarkStart w:id="0" w:name="_Hlk209610636"/>
    </w:p>
    <w:bookmarkEnd w:id="0"/>
    <w:p w14:paraId="5108E616" w14:textId="7834CEA0" w:rsidR="00F2769B" w:rsidRPr="00F34705" w:rsidRDefault="00F2769B" w:rsidP="00D4400D">
      <w:pPr>
        <w:tabs>
          <w:tab w:val="left" w:pos="567"/>
        </w:tabs>
        <w:spacing w:line="276" w:lineRule="auto"/>
        <w:ind w:firstLine="720"/>
        <w:jc w:val="both"/>
      </w:pPr>
      <w:r>
        <w:t>Līdz ar to arī šie pieteicēja iebildumi nevar būt pamats noraidījuma senatoriem J. </w:t>
      </w:r>
      <w:proofErr w:type="spellStart"/>
      <w:r>
        <w:t>Plepam</w:t>
      </w:r>
      <w:proofErr w:type="spellEnd"/>
      <w:r>
        <w:t xml:space="preserve"> un L. </w:t>
      </w:r>
      <w:proofErr w:type="spellStart"/>
      <w:r>
        <w:t>Slicai</w:t>
      </w:r>
      <w:proofErr w:type="spellEnd"/>
      <w:r>
        <w:t xml:space="preserve"> pieņemšanai.</w:t>
      </w:r>
    </w:p>
    <w:p w14:paraId="213462A3" w14:textId="77777777" w:rsidR="003122EF" w:rsidRDefault="003122EF" w:rsidP="00D4400D">
      <w:pPr>
        <w:tabs>
          <w:tab w:val="left" w:pos="567"/>
        </w:tabs>
        <w:spacing w:line="276" w:lineRule="auto"/>
        <w:jc w:val="both"/>
      </w:pPr>
    </w:p>
    <w:p w14:paraId="0C157E42" w14:textId="2860A717" w:rsidR="005F60B5" w:rsidRPr="005F60B5" w:rsidRDefault="005F60B5" w:rsidP="00D4400D">
      <w:pPr>
        <w:tabs>
          <w:tab w:val="left" w:pos="567"/>
        </w:tabs>
        <w:spacing w:line="276" w:lineRule="auto"/>
        <w:jc w:val="center"/>
        <w:rPr>
          <w:b/>
          <w:bCs/>
        </w:rPr>
      </w:pPr>
      <w:r w:rsidRPr="005F60B5">
        <w:rPr>
          <w:b/>
          <w:bCs/>
        </w:rPr>
        <w:t>II</w:t>
      </w:r>
    </w:p>
    <w:p w14:paraId="11DBAC8A" w14:textId="7E5D3C2E" w:rsidR="003122EF" w:rsidRPr="00105052" w:rsidRDefault="003122EF" w:rsidP="00D4400D">
      <w:pPr>
        <w:tabs>
          <w:tab w:val="left" w:pos="567"/>
        </w:tabs>
        <w:spacing w:line="276" w:lineRule="auto"/>
        <w:jc w:val="center"/>
        <w:rPr>
          <w:i/>
          <w:iCs/>
        </w:rPr>
      </w:pPr>
      <w:r w:rsidRPr="00105052">
        <w:rPr>
          <w:i/>
          <w:iCs/>
        </w:rPr>
        <w:t>Par</w:t>
      </w:r>
      <w:r>
        <w:rPr>
          <w:i/>
          <w:iCs/>
        </w:rPr>
        <w:t xml:space="preserve"> </w:t>
      </w:r>
      <w:r w:rsidR="00F55878">
        <w:rPr>
          <w:i/>
          <w:iCs/>
        </w:rPr>
        <w:t>kasācijas sūdzības argumentiem</w:t>
      </w:r>
    </w:p>
    <w:p w14:paraId="3376DAC3" w14:textId="77777777" w:rsidR="003122EF" w:rsidRDefault="003122EF" w:rsidP="00D4400D">
      <w:pPr>
        <w:tabs>
          <w:tab w:val="left" w:pos="567"/>
        </w:tabs>
        <w:spacing w:line="276" w:lineRule="auto"/>
        <w:ind w:firstLine="720"/>
        <w:jc w:val="center"/>
        <w:rPr>
          <w:b/>
          <w:bCs/>
        </w:rPr>
      </w:pPr>
    </w:p>
    <w:p w14:paraId="75AE8B16" w14:textId="54B7974D" w:rsidR="0003674C" w:rsidRDefault="003122EF" w:rsidP="00D4400D">
      <w:pPr>
        <w:shd w:val="clear" w:color="auto" w:fill="FFFFFF"/>
        <w:spacing w:line="276" w:lineRule="auto"/>
        <w:ind w:firstLine="720"/>
        <w:jc w:val="both"/>
        <w:rPr>
          <w:highlight w:val="yellow"/>
          <w:shd w:val="clear" w:color="auto" w:fill="FFFFFF"/>
        </w:rPr>
      </w:pPr>
      <w:r w:rsidRPr="00287661">
        <w:rPr>
          <w:rFonts w:asciiTheme="majorBidi" w:hAnsiTheme="majorBidi" w:cstheme="majorBidi"/>
        </w:rPr>
        <w:lastRenderedPageBreak/>
        <w:t>[</w:t>
      </w:r>
      <w:r w:rsidR="006B3069">
        <w:rPr>
          <w:rFonts w:asciiTheme="majorBidi" w:hAnsiTheme="majorBidi" w:cstheme="majorBidi"/>
        </w:rPr>
        <w:t>10</w:t>
      </w:r>
      <w:r w:rsidRPr="00287661">
        <w:rPr>
          <w:rFonts w:asciiTheme="majorBidi" w:hAnsiTheme="majorBidi" w:cstheme="majorBidi"/>
        </w:rPr>
        <w:t>]</w:t>
      </w:r>
      <w:r>
        <w:rPr>
          <w:rFonts w:asciiTheme="majorBidi" w:hAnsiTheme="majorBidi" w:cstheme="majorBidi"/>
        </w:rPr>
        <w:t xml:space="preserve"> Ievērojot </w:t>
      </w:r>
      <w:r w:rsidR="0021553F">
        <w:rPr>
          <w:rFonts w:asciiTheme="majorBidi" w:hAnsiTheme="majorBidi" w:cstheme="majorBidi"/>
        </w:rPr>
        <w:t xml:space="preserve">pārvaldes </w:t>
      </w:r>
      <w:r>
        <w:rPr>
          <w:rFonts w:asciiTheme="majorBidi" w:hAnsiTheme="majorBidi" w:cstheme="majorBidi"/>
        </w:rPr>
        <w:t xml:space="preserve">kasācijas sūdzības argumentus, Senātam šajā lietā jāsniedz atbilde uz </w:t>
      </w:r>
      <w:r w:rsidR="0021553F">
        <w:rPr>
          <w:rFonts w:asciiTheme="majorBidi" w:hAnsiTheme="majorBidi" w:cstheme="majorBidi"/>
        </w:rPr>
        <w:t>jautājumu, vai pirmās instances tiesa</w:t>
      </w:r>
      <w:r w:rsidR="00C813BD">
        <w:rPr>
          <w:rFonts w:asciiTheme="majorBidi" w:hAnsiTheme="majorBidi" w:cstheme="majorBidi"/>
        </w:rPr>
        <w:t xml:space="preserve"> ir pamatoti </w:t>
      </w:r>
      <w:r w:rsidR="00C01D04">
        <w:rPr>
          <w:rFonts w:asciiTheme="majorBidi" w:hAnsiTheme="majorBidi" w:cstheme="majorBidi"/>
        </w:rPr>
        <w:t xml:space="preserve">uzdevusi pārvaldei izsniegt </w:t>
      </w:r>
      <w:r w:rsidR="00C01D04">
        <w:rPr>
          <w:shd w:val="clear" w:color="auto" w:fill="FFFFFF"/>
        </w:rPr>
        <w:t>visu pieteicēja 2023.gada 12.februār</w:t>
      </w:r>
      <w:r w:rsidR="00E318F9">
        <w:rPr>
          <w:shd w:val="clear" w:color="auto" w:fill="FFFFFF"/>
        </w:rPr>
        <w:t>a</w:t>
      </w:r>
      <w:r w:rsidR="00C01D04">
        <w:rPr>
          <w:shd w:val="clear" w:color="auto" w:fill="FFFFFF"/>
        </w:rPr>
        <w:t xml:space="preserve"> iesniegumā pieprasīto informāciju.</w:t>
      </w:r>
      <w:r w:rsidR="00C01D04">
        <w:rPr>
          <w:rFonts w:asciiTheme="majorBidi" w:hAnsiTheme="majorBidi" w:cstheme="majorBidi"/>
        </w:rPr>
        <w:t xml:space="preserve"> </w:t>
      </w:r>
      <w:r w:rsidR="0021553F" w:rsidRPr="0003674C">
        <w:rPr>
          <w:shd w:val="clear" w:color="auto" w:fill="FFFFFF"/>
        </w:rPr>
        <w:t xml:space="preserve">Tāpat kasācijas tiesvedībā sniedzama atbilde uz jautājumu, vai </w:t>
      </w:r>
      <w:r w:rsidR="003538CE" w:rsidRPr="0003674C">
        <w:rPr>
          <w:shd w:val="clear" w:color="auto" w:fill="FFFFFF"/>
        </w:rPr>
        <w:t>tiesa</w:t>
      </w:r>
      <w:r w:rsidR="0003674C" w:rsidRPr="0003674C">
        <w:rPr>
          <w:shd w:val="clear" w:color="auto" w:fill="FFFFFF"/>
        </w:rPr>
        <w:t xml:space="preserve"> ir pamatoti atzinusi</w:t>
      </w:r>
      <w:r w:rsidR="005226DB" w:rsidRPr="0003674C">
        <w:rPr>
          <w:shd w:val="clear" w:color="auto" w:fill="FFFFFF"/>
        </w:rPr>
        <w:t xml:space="preserve">, ka </w:t>
      </w:r>
      <w:r w:rsidR="0003674C" w:rsidRPr="0003674C">
        <w:rPr>
          <w:shd w:val="clear" w:color="auto" w:fill="FFFFFF"/>
        </w:rPr>
        <w:t xml:space="preserve">pārvaldei bija jāveic individualizēts pieteicēja lūguma viņu atbrīvot no valsts nodevas samaksas par informācijas izsniegšanu </w:t>
      </w:r>
      <w:proofErr w:type="spellStart"/>
      <w:r w:rsidR="0003674C" w:rsidRPr="0003674C">
        <w:rPr>
          <w:shd w:val="clear" w:color="auto" w:fill="FFFFFF"/>
        </w:rPr>
        <w:t>izvērtējums</w:t>
      </w:r>
      <w:proofErr w:type="spellEnd"/>
      <w:r w:rsidR="0003674C" w:rsidRPr="0003674C">
        <w:rPr>
          <w:shd w:val="clear" w:color="auto" w:fill="FFFFFF"/>
        </w:rPr>
        <w:t>.</w:t>
      </w:r>
    </w:p>
    <w:p w14:paraId="634F7C1B" w14:textId="77777777" w:rsidR="00F72D4A" w:rsidRDefault="00F72D4A" w:rsidP="00D4400D">
      <w:pPr>
        <w:shd w:val="clear" w:color="auto" w:fill="FFFFFF"/>
        <w:spacing w:line="276" w:lineRule="auto"/>
        <w:jc w:val="both"/>
        <w:rPr>
          <w:shd w:val="clear" w:color="auto" w:fill="FFFFFF"/>
        </w:rPr>
      </w:pPr>
    </w:p>
    <w:p w14:paraId="54F9A438" w14:textId="25BEF8A7" w:rsidR="00306538" w:rsidRPr="00A270E6" w:rsidRDefault="00F72D4A" w:rsidP="00D4400D">
      <w:pPr>
        <w:shd w:val="clear" w:color="auto" w:fill="FFFFFF"/>
        <w:spacing w:line="276" w:lineRule="auto"/>
        <w:ind w:firstLine="720"/>
        <w:jc w:val="both"/>
        <w:rPr>
          <w:rFonts w:asciiTheme="majorBidi" w:hAnsiTheme="majorBidi" w:cstheme="majorBidi"/>
          <w:i/>
          <w:iCs/>
        </w:rPr>
      </w:pPr>
      <w:r w:rsidRPr="00F72D4A">
        <w:rPr>
          <w:rFonts w:asciiTheme="majorBidi" w:hAnsiTheme="majorBidi" w:cstheme="majorBidi"/>
          <w:i/>
          <w:iCs/>
        </w:rPr>
        <w:t>Par pieprasītās informācijas atbilstību Informācijas atklātības likuma regulējumam</w:t>
      </w:r>
    </w:p>
    <w:p w14:paraId="217849E5" w14:textId="5B15D065" w:rsidR="00306538" w:rsidRDefault="00306538" w:rsidP="00D4400D">
      <w:pPr>
        <w:shd w:val="clear" w:color="auto" w:fill="FFFFFF"/>
        <w:spacing w:line="276" w:lineRule="auto"/>
        <w:ind w:firstLine="720"/>
        <w:jc w:val="both"/>
        <w:rPr>
          <w:shd w:val="clear" w:color="auto" w:fill="FFFFFF"/>
        </w:rPr>
      </w:pPr>
      <w:r>
        <w:rPr>
          <w:shd w:val="clear" w:color="auto" w:fill="FFFFFF"/>
        </w:rPr>
        <w:t>[11]</w:t>
      </w:r>
      <w:r w:rsidR="0076633D">
        <w:rPr>
          <w:shd w:val="clear" w:color="auto" w:fill="FFFFFF"/>
        </w:rPr>
        <w:t xml:space="preserve"> Senāta praksē jau iepriekš ir </w:t>
      </w:r>
      <w:r w:rsidR="000002D2">
        <w:rPr>
          <w:shd w:val="clear" w:color="auto" w:fill="FFFFFF"/>
        </w:rPr>
        <w:t xml:space="preserve">skaidrots, ka no Informācijas atklātības likuma 2.panta izriet, ka iestādei (un līdz ar to arī tiesai), izlemjot personas informācijas pieprasījumu, </w:t>
      </w:r>
      <w:proofErr w:type="spellStart"/>
      <w:r w:rsidR="000002D2" w:rsidRPr="000002D2">
        <w:rPr>
          <w:shd w:val="clear" w:color="auto" w:fill="FFFFFF"/>
        </w:rPr>
        <w:t>vis</w:t>
      </w:r>
      <w:r w:rsidR="00BC3238">
        <w:rPr>
          <w:shd w:val="clear" w:color="auto" w:fill="FFFFFF"/>
        </w:rPr>
        <w:t>u</w:t>
      </w:r>
      <w:r w:rsidR="000002D2" w:rsidRPr="000002D2">
        <w:rPr>
          <w:shd w:val="clear" w:color="auto" w:fill="FFFFFF"/>
        </w:rPr>
        <w:t>pirms</w:t>
      </w:r>
      <w:proofErr w:type="spellEnd"/>
      <w:r w:rsidR="000002D2" w:rsidRPr="000002D2">
        <w:rPr>
          <w:shd w:val="clear" w:color="auto" w:fill="FFFFFF"/>
        </w:rPr>
        <w:t xml:space="preserve"> </w:t>
      </w:r>
      <w:r w:rsidR="0008551C">
        <w:rPr>
          <w:shd w:val="clear" w:color="auto" w:fill="FFFFFF"/>
        </w:rPr>
        <w:t xml:space="preserve">ir </w:t>
      </w:r>
      <w:r w:rsidR="000002D2" w:rsidRPr="000002D2">
        <w:rPr>
          <w:shd w:val="clear" w:color="auto" w:fill="FFFFFF"/>
        </w:rPr>
        <w:t>jāpārbauda, vai pieprasītā informācija vispār ir tāda, kas izsniedzama atbilstoši Informācijas atklātības likumam. Proti, vai pieprasītā informācija ir iestādes rīcībā esoša dokumentēta informācija, un, ja nav, tad vai atbilstoši tiesību normu prasībām iestādei šo informāciju būtu vajadzējis dokumentēt jeb citiem vārdiem sakot – vai iestādei atbilstoši tās kompetencei šo informāciju ir pienākums radīt.</w:t>
      </w:r>
      <w:r w:rsidR="000002D2">
        <w:rPr>
          <w:shd w:val="clear" w:color="auto" w:fill="FFFFFF"/>
        </w:rPr>
        <w:t xml:space="preserve"> Ja konstatējams, ka </w:t>
      </w:r>
      <w:r w:rsidR="000002D2" w:rsidRPr="000002D2">
        <w:rPr>
          <w:shd w:val="clear" w:color="auto" w:fill="FFFFFF"/>
        </w:rPr>
        <w:t>pieprasītā informācija dokumentētā veidā nav</w:t>
      </w:r>
      <w:r w:rsidR="000002D2">
        <w:rPr>
          <w:shd w:val="clear" w:color="auto" w:fill="FFFFFF"/>
        </w:rPr>
        <w:t xml:space="preserve"> </w:t>
      </w:r>
      <w:r w:rsidR="000002D2" w:rsidRPr="000002D2">
        <w:rPr>
          <w:shd w:val="clear" w:color="auto" w:fill="FFFFFF"/>
        </w:rPr>
        <w:t>iestādes rīcībā un tā arī nav informācija, ko iestādei būtu vajadzējis dokumentēt, iestādei jāatsaka</w:t>
      </w:r>
      <w:r w:rsidR="000002D2">
        <w:rPr>
          <w:shd w:val="clear" w:color="auto" w:fill="FFFFFF"/>
        </w:rPr>
        <w:t xml:space="preserve"> </w:t>
      </w:r>
      <w:r w:rsidR="00BC3238">
        <w:rPr>
          <w:shd w:val="clear" w:color="auto" w:fill="FFFFFF"/>
        </w:rPr>
        <w:t>personai</w:t>
      </w:r>
      <w:r w:rsidR="000002D2" w:rsidRPr="000002D2">
        <w:rPr>
          <w:shd w:val="clear" w:color="auto" w:fill="FFFFFF"/>
        </w:rPr>
        <w:t xml:space="preserve"> pieprasītās informācijas sniegšana </w:t>
      </w:r>
      <w:r w:rsidR="002B7E96">
        <w:rPr>
          <w:shd w:val="clear" w:color="auto" w:fill="FFFFFF"/>
        </w:rPr>
        <w:t>(</w:t>
      </w:r>
      <w:r w:rsidR="00333B14">
        <w:rPr>
          <w:shd w:val="clear" w:color="auto" w:fill="FFFFFF"/>
        </w:rPr>
        <w:t>savukārt</w:t>
      </w:r>
      <w:r w:rsidR="002B7E96">
        <w:rPr>
          <w:shd w:val="clear" w:color="auto" w:fill="FFFFFF"/>
        </w:rPr>
        <w:t xml:space="preserve"> tiesai – jānoraida pieteikums par informācijas izsniegšanu) </w:t>
      </w:r>
      <w:r w:rsidR="000002D2" w:rsidRPr="000002D2">
        <w:rPr>
          <w:shd w:val="clear" w:color="auto" w:fill="FFFFFF"/>
        </w:rPr>
        <w:t>sakarā ar to, ka iestādes rīcībā šādas dokumentētas</w:t>
      </w:r>
      <w:r w:rsidR="000002D2">
        <w:rPr>
          <w:shd w:val="clear" w:color="auto" w:fill="FFFFFF"/>
        </w:rPr>
        <w:t xml:space="preserve"> </w:t>
      </w:r>
      <w:r w:rsidR="000002D2" w:rsidRPr="000002D2">
        <w:rPr>
          <w:shd w:val="clear" w:color="auto" w:fill="FFFFFF"/>
        </w:rPr>
        <w:t>informācijas nav</w:t>
      </w:r>
      <w:r w:rsidR="0056189C">
        <w:rPr>
          <w:shd w:val="clear" w:color="auto" w:fill="FFFFFF"/>
        </w:rPr>
        <w:t xml:space="preserve"> (piemēram, </w:t>
      </w:r>
      <w:r w:rsidR="0056189C" w:rsidRPr="0056189C">
        <w:rPr>
          <w:i/>
          <w:iCs/>
          <w:shd w:val="clear" w:color="auto" w:fill="FFFFFF"/>
        </w:rPr>
        <w:t>Senāta 2019.gada 18.decembra</w:t>
      </w:r>
      <w:r w:rsidR="0056189C">
        <w:rPr>
          <w:i/>
          <w:iCs/>
          <w:shd w:val="clear" w:color="auto" w:fill="FFFFFF"/>
        </w:rPr>
        <w:t xml:space="preserve"> </w:t>
      </w:r>
      <w:r w:rsidR="0056189C" w:rsidRPr="0056189C">
        <w:rPr>
          <w:i/>
          <w:iCs/>
          <w:shd w:val="clear" w:color="auto" w:fill="FFFFFF"/>
        </w:rPr>
        <w:t>sprieduma lietā Nr.</w:t>
      </w:r>
      <w:r w:rsidR="0056189C">
        <w:rPr>
          <w:i/>
          <w:iCs/>
          <w:shd w:val="clear" w:color="auto" w:fill="FFFFFF"/>
        </w:rPr>
        <w:t> </w:t>
      </w:r>
      <w:r w:rsidR="0056189C" w:rsidRPr="0056189C">
        <w:rPr>
          <w:i/>
          <w:iCs/>
          <w:shd w:val="clear" w:color="auto" w:fill="FFFFFF"/>
        </w:rPr>
        <w:t>SKA-482/2019</w:t>
      </w:r>
      <w:r w:rsidR="0056189C">
        <w:rPr>
          <w:i/>
          <w:iCs/>
          <w:shd w:val="clear" w:color="auto" w:fill="FFFFFF"/>
        </w:rPr>
        <w:t xml:space="preserve">, </w:t>
      </w:r>
      <w:hyperlink r:id="rId11" w:history="1">
        <w:r w:rsidR="0056189C" w:rsidRPr="00C231D5">
          <w:rPr>
            <w:rStyle w:val="Hyperlink"/>
            <w:i/>
            <w:iCs/>
            <w:shd w:val="clear" w:color="auto" w:fill="FFFFFF"/>
          </w:rPr>
          <w:t>ECLI:LV:AT:2019:1218.A420227817.4.S</w:t>
        </w:r>
      </w:hyperlink>
      <w:r w:rsidR="0056189C">
        <w:rPr>
          <w:i/>
          <w:iCs/>
          <w:shd w:val="clear" w:color="auto" w:fill="FFFFFF"/>
        </w:rPr>
        <w:t>,</w:t>
      </w:r>
      <w:r w:rsidR="0056189C" w:rsidRPr="0056189C">
        <w:rPr>
          <w:i/>
          <w:iCs/>
          <w:shd w:val="clear" w:color="auto" w:fill="FFFFFF"/>
        </w:rPr>
        <w:t xml:space="preserve"> 7.punkts</w:t>
      </w:r>
      <w:r w:rsidR="00E254B6">
        <w:rPr>
          <w:i/>
          <w:iCs/>
          <w:shd w:val="clear" w:color="auto" w:fill="FFFFFF"/>
        </w:rPr>
        <w:t xml:space="preserve">, 2020.gada 19.maija lēmuma lietā Nr. SKA-1074/2020, </w:t>
      </w:r>
      <w:hyperlink r:id="rId12" w:history="1">
        <w:r w:rsidR="00E254B6" w:rsidRPr="00C231D5">
          <w:rPr>
            <w:rStyle w:val="Hyperlink"/>
            <w:i/>
            <w:iCs/>
            <w:shd w:val="clear" w:color="auto" w:fill="FFFFFF"/>
          </w:rPr>
          <w:t>ECLI:LV:AT:2020:0519.SKA107420.3.L</w:t>
        </w:r>
      </w:hyperlink>
      <w:r w:rsidR="00E254B6">
        <w:rPr>
          <w:i/>
          <w:iCs/>
          <w:shd w:val="clear" w:color="auto" w:fill="FFFFFF"/>
        </w:rPr>
        <w:t>, 7.punkts</w:t>
      </w:r>
      <w:r w:rsidR="00E254B6">
        <w:rPr>
          <w:shd w:val="clear" w:color="auto" w:fill="FFFFFF"/>
        </w:rPr>
        <w:t>).</w:t>
      </w:r>
    </w:p>
    <w:p w14:paraId="368CF68E" w14:textId="1EFD7130" w:rsidR="00C253C0" w:rsidRDefault="0037540C" w:rsidP="00D4400D">
      <w:pPr>
        <w:shd w:val="clear" w:color="auto" w:fill="FFFFFF"/>
        <w:spacing w:line="276" w:lineRule="auto"/>
        <w:ind w:firstLine="720"/>
        <w:jc w:val="both"/>
        <w:rPr>
          <w:shd w:val="clear" w:color="auto" w:fill="FFFFFF"/>
        </w:rPr>
      </w:pPr>
      <w:r>
        <w:rPr>
          <w:shd w:val="clear" w:color="auto" w:fill="FFFFFF"/>
        </w:rPr>
        <w:t xml:space="preserve">Konkrētajā gadījumā tiesa pārsūdzētā sprieduma rezolutīvajā daļā ir </w:t>
      </w:r>
      <w:r w:rsidR="000B32F3">
        <w:rPr>
          <w:shd w:val="clear" w:color="auto" w:fill="FFFFFF"/>
        </w:rPr>
        <w:t xml:space="preserve">nepārprotami uzdevusi pārvaldei izsniegt pieteicējam visu viņa 2023.gada 12.februāra iesniegumā pieprasīto informāciju – tātad gan </w:t>
      </w:r>
      <w:r w:rsidR="00A07448">
        <w:rPr>
          <w:shd w:val="clear" w:color="auto" w:fill="FFFFFF"/>
        </w:rPr>
        <w:t xml:space="preserve">informāciju par </w:t>
      </w:r>
      <w:r w:rsidR="00D4400D">
        <w:t xml:space="preserve">[pers. B] </w:t>
      </w:r>
      <w:r w:rsidR="00A07448">
        <w:rPr>
          <w:shd w:val="clear" w:color="auto" w:fill="FFFFFF"/>
        </w:rPr>
        <w:t xml:space="preserve">miršanas reģistrāciju, gan </w:t>
      </w:r>
      <w:r w:rsidR="001104D9">
        <w:rPr>
          <w:shd w:val="clear" w:color="auto" w:fill="FFFFFF"/>
        </w:rPr>
        <w:t xml:space="preserve">par </w:t>
      </w:r>
      <w:r w:rsidR="00A07448">
        <w:rPr>
          <w:shd w:val="clear" w:color="auto" w:fill="FFFFFF"/>
        </w:rPr>
        <w:t>personu, kura</w:t>
      </w:r>
      <w:r w:rsidR="003D6F7F">
        <w:rPr>
          <w:shd w:val="clear" w:color="auto" w:fill="FFFFFF"/>
        </w:rPr>
        <w:t xml:space="preserve"> bija</w:t>
      </w:r>
      <w:r w:rsidR="00A07448">
        <w:rPr>
          <w:shd w:val="clear" w:color="auto" w:fill="FFFFFF"/>
        </w:rPr>
        <w:t xml:space="preserve"> </w:t>
      </w:r>
      <w:r w:rsidR="00D657A1">
        <w:rPr>
          <w:shd w:val="clear" w:color="auto" w:fill="FFFFFF"/>
        </w:rPr>
        <w:t>pilnvarota organizēt (</w:t>
      </w:r>
      <w:r w:rsidR="00A07448">
        <w:rPr>
          <w:shd w:val="clear" w:color="auto" w:fill="FFFFFF"/>
        </w:rPr>
        <w:t>organizēja</w:t>
      </w:r>
      <w:r w:rsidR="00D657A1">
        <w:rPr>
          <w:shd w:val="clear" w:color="auto" w:fill="FFFFFF"/>
        </w:rPr>
        <w:t>)</w:t>
      </w:r>
      <w:r w:rsidR="00A07448">
        <w:rPr>
          <w:shd w:val="clear" w:color="auto" w:fill="FFFFFF"/>
        </w:rPr>
        <w:t xml:space="preserve"> </w:t>
      </w:r>
      <w:r w:rsidR="00D4400D">
        <w:t xml:space="preserve">[pers. B] </w:t>
      </w:r>
      <w:r w:rsidR="00A07448">
        <w:rPr>
          <w:shd w:val="clear" w:color="auto" w:fill="FFFFFF"/>
        </w:rPr>
        <w:t>bēres</w:t>
      </w:r>
      <w:r w:rsidR="00D657A1">
        <w:rPr>
          <w:shd w:val="clear" w:color="auto" w:fill="FFFFFF"/>
        </w:rPr>
        <w:t>.</w:t>
      </w:r>
      <w:r w:rsidR="00BD0535">
        <w:rPr>
          <w:shd w:val="clear" w:color="auto" w:fill="FFFFFF"/>
        </w:rPr>
        <w:t xml:space="preserve"> </w:t>
      </w:r>
      <w:r w:rsidR="00C253C0">
        <w:rPr>
          <w:shd w:val="clear" w:color="auto" w:fill="FFFFFF"/>
        </w:rPr>
        <w:t xml:space="preserve">Vienlaikus pārsūdzētais spriedums nesatur nekādus motīvus, proti, tajā nav atrodams nekāds </w:t>
      </w:r>
      <w:proofErr w:type="spellStart"/>
      <w:r w:rsidR="00C253C0">
        <w:rPr>
          <w:shd w:val="clear" w:color="auto" w:fill="FFFFFF"/>
        </w:rPr>
        <w:t>izvērtējums</w:t>
      </w:r>
      <w:proofErr w:type="spellEnd"/>
      <w:r w:rsidR="00C253C0">
        <w:rPr>
          <w:shd w:val="clear" w:color="auto" w:fill="FFFFFF"/>
        </w:rPr>
        <w:t xml:space="preserve"> tam, vai visa pieteicēja 2023.gada 12.februāra iesniegumā pieprasītā informācija ir pārvaldes rīcībā esoša dokumentēta informācija (vai arī tāda informācija, ko pārvaldei atbilstoši tiesību normām būtu jādokumentē). Šajā sakarā spriedumā norādīts vien tas, ka pārvaldei esot jāi</w:t>
      </w:r>
      <w:r w:rsidR="001A5B38">
        <w:rPr>
          <w:shd w:val="clear" w:color="auto" w:fill="FFFFFF"/>
        </w:rPr>
        <w:t>z</w:t>
      </w:r>
      <w:r w:rsidR="00C253C0">
        <w:rPr>
          <w:shd w:val="clear" w:color="auto" w:fill="FFFFFF"/>
        </w:rPr>
        <w:t>sniedz pieteicējam tāda informācija, kas ir pārvaldes rīcībā; savukārt, ja pieprasītā informācija neesot pārvaldes rīcībā, tad pārvaldei, ievērojot labas pārvaldības principu, esot jānorāda pieteicējam, kur viņš attiecīgo informāciju var saņemt (</w:t>
      </w:r>
      <w:r w:rsidR="00C253C0" w:rsidRPr="00116A60">
        <w:rPr>
          <w:i/>
          <w:iCs/>
          <w:shd w:val="clear" w:color="auto" w:fill="FFFFFF"/>
        </w:rPr>
        <w:t>pārsūdzētā sprieduma 12.punkts</w:t>
      </w:r>
      <w:r w:rsidR="00C253C0">
        <w:rPr>
          <w:shd w:val="clear" w:color="auto" w:fill="FFFFFF"/>
        </w:rPr>
        <w:t xml:space="preserve">). Tomēr šāda norāde neatbilst iepriekš norādītajai Senāta praksei par to, kādi apstākļi tiesai </w:t>
      </w:r>
      <w:r w:rsidR="0041410B">
        <w:rPr>
          <w:shd w:val="clear" w:color="auto" w:fill="FFFFFF"/>
        </w:rPr>
        <w:t xml:space="preserve">pašai </w:t>
      </w:r>
      <w:r w:rsidR="00C253C0">
        <w:rPr>
          <w:shd w:val="clear" w:color="auto" w:fill="FFFFFF"/>
        </w:rPr>
        <w:t>ir jāpārbauda, vērtējot personas informācijas pieprasījuma pamatotību.</w:t>
      </w:r>
      <w:r w:rsidR="006925D1">
        <w:rPr>
          <w:shd w:val="clear" w:color="auto" w:fill="FFFFFF"/>
        </w:rPr>
        <w:t xml:space="preserve"> </w:t>
      </w:r>
      <w:r w:rsidR="0041410B">
        <w:rPr>
          <w:shd w:val="clear" w:color="auto" w:fill="FFFFFF"/>
        </w:rPr>
        <w:t>J</w:t>
      </w:r>
      <w:r w:rsidR="006925D1">
        <w:rPr>
          <w:shd w:val="clear" w:color="auto" w:fill="FFFFFF"/>
        </w:rPr>
        <w:t xml:space="preserve">a tiesa nav </w:t>
      </w:r>
      <w:r w:rsidR="006925D1" w:rsidRPr="003D5613">
        <w:rPr>
          <w:shd w:val="clear" w:color="auto" w:fill="FFFFFF"/>
        </w:rPr>
        <w:t xml:space="preserve">noskaidrojusi, vai </w:t>
      </w:r>
      <w:r w:rsidR="006925D1" w:rsidRPr="006925D1">
        <w:rPr>
          <w:shd w:val="clear" w:color="auto" w:fill="FFFFFF"/>
        </w:rPr>
        <w:t xml:space="preserve">visa </w:t>
      </w:r>
      <w:r w:rsidR="006925D1">
        <w:rPr>
          <w:shd w:val="clear" w:color="auto" w:fill="FFFFFF"/>
        </w:rPr>
        <w:t>personas</w:t>
      </w:r>
      <w:r w:rsidR="006925D1" w:rsidRPr="003D5613">
        <w:rPr>
          <w:shd w:val="clear" w:color="auto" w:fill="FFFFFF"/>
        </w:rPr>
        <w:t xml:space="preserve"> pieprasītā informācija vispār ir tāda, uz kuru attiecas Informācijas atklātības likuma regulējums</w:t>
      </w:r>
      <w:r w:rsidR="00EC26F9">
        <w:rPr>
          <w:shd w:val="clear" w:color="auto" w:fill="FFFFFF"/>
        </w:rPr>
        <w:t xml:space="preserve">, tiesai nav iespējams izdarīt objektīvu secinājumu par to, vai personas pieteikums par informācijas sniegšanu ir vai nav apmierināms. </w:t>
      </w:r>
    </w:p>
    <w:p w14:paraId="5876BC32" w14:textId="697EB7D6" w:rsidR="0041410B" w:rsidRDefault="00242444" w:rsidP="00D4400D">
      <w:pPr>
        <w:shd w:val="clear" w:color="auto" w:fill="FFFFFF"/>
        <w:spacing w:line="276" w:lineRule="auto"/>
        <w:ind w:firstLine="720"/>
        <w:jc w:val="both"/>
        <w:rPr>
          <w:shd w:val="clear" w:color="auto" w:fill="FFFFFF"/>
        </w:rPr>
      </w:pPr>
      <w:r>
        <w:rPr>
          <w:shd w:val="clear" w:color="auto" w:fill="FFFFFF"/>
        </w:rPr>
        <w:t>P</w:t>
      </w:r>
      <w:r w:rsidR="007E747C">
        <w:rPr>
          <w:shd w:val="clear" w:color="auto" w:fill="FFFFFF"/>
        </w:rPr>
        <w:t xml:space="preserve">ārvalde kasācijas sūdzībā </w:t>
      </w:r>
      <w:r w:rsidR="006D188D">
        <w:rPr>
          <w:shd w:val="clear" w:color="auto" w:fill="FFFFFF"/>
        </w:rPr>
        <w:t>norāda</w:t>
      </w:r>
      <w:r w:rsidR="007E747C">
        <w:rPr>
          <w:shd w:val="clear" w:color="auto" w:fill="FFFFFF"/>
        </w:rPr>
        <w:t xml:space="preserve">, ka </w:t>
      </w:r>
      <w:r w:rsidR="007E747C" w:rsidRPr="007E747C">
        <w:rPr>
          <w:shd w:val="clear" w:color="auto" w:fill="FFFFFF"/>
        </w:rPr>
        <w:t xml:space="preserve">atbilstoši tiesību normām </w:t>
      </w:r>
      <w:r w:rsidR="007E747C">
        <w:rPr>
          <w:shd w:val="clear" w:color="auto" w:fill="FFFFFF"/>
        </w:rPr>
        <w:t xml:space="preserve">(proti, atbilstoši Fizisko personu reģistra likuma 11.panta pirmajai daļai) </w:t>
      </w:r>
      <w:r w:rsidR="007E747C" w:rsidRPr="007E747C">
        <w:rPr>
          <w:shd w:val="clear" w:color="auto" w:fill="FFFFFF"/>
        </w:rPr>
        <w:t xml:space="preserve">pārvaldes pārziņā esošajā Fizisko personu reģistrā tiek iekļautas ziņas </w:t>
      </w:r>
      <w:r w:rsidR="004D63E8" w:rsidRPr="007E747C">
        <w:rPr>
          <w:shd w:val="clear" w:color="auto" w:fill="FFFFFF"/>
        </w:rPr>
        <w:t xml:space="preserve">par </w:t>
      </w:r>
      <w:r w:rsidR="00D4400D">
        <w:t>[pers. B]</w:t>
      </w:r>
      <w:r w:rsidR="004D63E8" w:rsidRPr="007E747C">
        <w:rPr>
          <w:shd w:val="clear" w:color="auto" w:fill="FFFFFF"/>
        </w:rPr>
        <w:t xml:space="preserve"> miršanas reģistrāciju </w:t>
      </w:r>
      <w:r w:rsidR="007E747C" w:rsidRPr="007E747C">
        <w:rPr>
          <w:shd w:val="clear" w:color="auto" w:fill="FFFFFF"/>
        </w:rPr>
        <w:t>un tādējādi pārvalde var sniegt informāciju vienīgi</w:t>
      </w:r>
      <w:r w:rsidR="00EA560B">
        <w:rPr>
          <w:shd w:val="clear" w:color="auto" w:fill="FFFFFF"/>
        </w:rPr>
        <w:t xml:space="preserve"> par </w:t>
      </w:r>
      <w:r w:rsidR="004D63E8">
        <w:rPr>
          <w:shd w:val="clear" w:color="auto" w:fill="FFFFFF"/>
        </w:rPr>
        <w:t>to</w:t>
      </w:r>
      <w:r w:rsidR="007E747C" w:rsidRPr="007E747C">
        <w:rPr>
          <w:shd w:val="clear" w:color="auto" w:fill="FFFFFF"/>
        </w:rPr>
        <w:t>. Tomēr Fizisko personu reģistrā netiek</w:t>
      </w:r>
      <w:r w:rsidR="00C145E1">
        <w:rPr>
          <w:shd w:val="clear" w:color="auto" w:fill="FFFFFF"/>
        </w:rPr>
        <w:t>ot</w:t>
      </w:r>
      <w:r w:rsidR="007E747C" w:rsidRPr="007E747C">
        <w:rPr>
          <w:shd w:val="clear" w:color="auto" w:fill="FFFFFF"/>
        </w:rPr>
        <w:t xml:space="preserve"> iekļautas ziņas </w:t>
      </w:r>
      <w:r w:rsidR="007E747C" w:rsidRPr="007E747C">
        <w:rPr>
          <w:shd w:val="clear" w:color="auto" w:fill="FFFFFF"/>
        </w:rPr>
        <w:lastRenderedPageBreak/>
        <w:t>par personām, kuras pilnvarotas organizēt bēres vai fakti par personu nāves iestāšanos. Līdz ar to šāda informāci</w:t>
      </w:r>
      <w:r w:rsidR="00C145E1">
        <w:rPr>
          <w:shd w:val="clear" w:color="auto" w:fill="FFFFFF"/>
        </w:rPr>
        <w:t xml:space="preserve">ja </w:t>
      </w:r>
      <w:r w:rsidR="007E747C" w:rsidRPr="007E747C">
        <w:rPr>
          <w:shd w:val="clear" w:color="auto" w:fill="FFFFFF"/>
        </w:rPr>
        <w:t xml:space="preserve">neesot pārvaldes rīcībā (un </w:t>
      </w:r>
      <w:r w:rsidR="00BD0DC2">
        <w:rPr>
          <w:shd w:val="clear" w:color="auto" w:fill="FFFFFF"/>
        </w:rPr>
        <w:t xml:space="preserve">pārvaldei </w:t>
      </w:r>
      <w:r w:rsidR="007E747C" w:rsidRPr="007E747C">
        <w:rPr>
          <w:shd w:val="clear" w:color="auto" w:fill="FFFFFF"/>
        </w:rPr>
        <w:t>arī neesot pienākuma to dokumentēt).</w:t>
      </w:r>
      <w:r w:rsidR="005B6AE7">
        <w:rPr>
          <w:shd w:val="clear" w:color="auto" w:fill="FFFFFF"/>
        </w:rPr>
        <w:t xml:space="preserve"> </w:t>
      </w:r>
      <w:r w:rsidR="005B6AE7" w:rsidRPr="002561B7">
        <w:rPr>
          <w:shd w:val="clear" w:color="auto" w:fill="FFFFFF"/>
        </w:rPr>
        <w:t>Senāts konstatē, ka šis kasācijas sūdzības arguments ir pamatots.</w:t>
      </w:r>
      <w:r w:rsidR="005B6AE7">
        <w:rPr>
          <w:shd w:val="clear" w:color="auto" w:fill="FFFFFF"/>
        </w:rPr>
        <w:t xml:space="preserve"> </w:t>
      </w:r>
      <w:r w:rsidR="00496684">
        <w:rPr>
          <w:shd w:val="clear" w:color="auto" w:fill="FFFFFF"/>
        </w:rPr>
        <w:t>Proti, no Fizisko personu reģistra likuma 11.panta pirmās daļas, kurā norādīts, kādas ziņas par personu iekļauj</w:t>
      </w:r>
      <w:r w:rsidR="00F955FD">
        <w:rPr>
          <w:shd w:val="clear" w:color="auto" w:fill="FFFFFF"/>
        </w:rPr>
        <w:t>amas</w:t>
      </w:r>
      <w:r w:rsidR="00496684">
        <w:rPr>
          <w:shd w:val="clear" w:color="auto" w:fill="FFFFFF"/>
        </w:rPr>
        <w:t xml:space="preserve"> Fizisko personu reģistrā, izriet, ka reģistrā </w:t>
      </w:r>
      <w:proofErr w:type="spellStart"/>
      <w:r w:rsidR="00496684">
        <w:rPr>
          <w:shd w:val="clear" w:color="auto" w:fill="FFFFFF"/>
        </w:rPr>
        <w:t>citstarp</w:t>
      </w:r>
      <w:proofErr w:type="spellEnd"/>
      <w:r w:rsidR="00496684">
        <w:rPr>
          <w:shd w:val="clear" w:color="auto" w:fill="FFFFFF"/>
        </w:rPr>
        <w:t xml:space="preserve"> tiek iekļautas ziņas par personas miršanu (</w:t>
      </w:r>
      <w:r w:rsidR="00260386">
        <w:rPr>
          <w:shd w:val="clear" w:color="auto" w:fill="FFFFFF"/>
        </w:rPr>
        <w:t xml:space="preserve">attiecīgās panta daļas </w:t>
      </w:r>
      <w:r w:rsidR="00496684">
        <w:rPr>
          <w:shd w:val="clear" w:color="auto" w:fill="FFFFFF"/>
        </w:rPr>
        <w:t xml:space="preserve">24.punkts). Tomēr pirmās instances tiesa nav norādījusi un arī Senāts nekonstatē tiesību normas, no kurām izrietētu, ka Fizisko personu reģistrā tiek iekļautas ziņas arī par personu, kas ir pilnvarota organizēt personas bēres, vai citas ziņas, kas saistītas ar personas nāvi. </w:t>
      </w:r>
      <w:r w:rsidR="005B6AE7">
        <w:rPr>
          <w:shd w:val="clear" w:color="auto" w:fill="FFFFFF"/>
        </w:rPr>
        <w:t xml:space="preserve">Tas nozīmē, ka tiesa, nenoskaidrojot, vai visa </w:t>
      </w:r>
      <w:r w:rsidR="005B6AE7" w:rsidRPr="003D5613">
        <w:rPr>
          <w:shd w:val="clear" w:color="auto" w:fill="FFFFFF"/>
        </w:rPr>
        <w:t>pieteicēja šajā lietā pieprasītā informācija vispār ir tāda, uz kuru attiecas Informācijas atklātības likuma regulējums</w:t>
      </w:r>
      <w:r w:rsidR="005B6AE7">
        <w:rPr>
          <w:shd w:val="clear" w:color="auto" w:fill="FFFFFF"/>
        </w:rPr>
        <w:t xml:space="preserve">, </w:t>
      </w:r>
      <w:proofErr w:type="spellStart"/>
      <w:r w:rsidR="005B6AE7">
        <w:rPr>
          <w:shd w:val="clear" w:color="auto" w:fill="FFFFFF"/>
        </w:rPr>
        <w:t>citstarp</w:t>
      </w:r>
      <w:proofErr w:type="spellEnd"/>
      <w:r w:rsidR="005B6AE7">
        <w:rPr>
          <w:shd w:val="clear" w:color="auto" w:fill="FFFFFF"/>
        </w:rPr>
        <w:t xml:space="preserve"> ir uzdevusi pārvaldei izsniegt pieteicējam tādu informāciju, kas nemaz nav pārvaldes rīcībā</w:t>
      </w:r>
      <w:r w:rsidR="00E914D9">
        <w:rPr>
          <w:shd w:val="clear" w:color="auto" w:fill="FFFFFF"/>
        </w:rPr>
        <w:t xml:space="preserve">. </w:t>
      </w:r>
      <w:r w:rsidR="000A0640">
        <w:rPr>
          <w:shd w:val="clear" w:color="auto" w:fill="FFFFFF"/>
        </w:rPr>
        <w:t xml:space="preserve">Savukārt tas ir ietekmējis tiesas secinājumus arī daļā par pārvaldes faktiskās rīcības tiesiskumu un atlīdzinājuma piešķiršanu pieteicējam. </w:t>
      </w:r>
    </w:p>
    <w:p w14:paraId="505223FC" w14:textId="67C700CE" w:rsidR="000A0640" w:rsidRDefault="000A0640" w:rsidP="00D4400D">
      <w:pPr>
        <w:shd w:val="clear" w:color="auto" w:fill="FFFFFF"/>
        <w:spacing w:line="276" w:lineRule="auto"/>
        <w:ind w:firstLine="720"/>
        <w:jc w:val="both"/>
        <w:rPr>
          <w:shd w:val="clear" w:color="auto" w:fill="FFFFFF"/>
        </w:rPr>
      </w:pPr>
      <w:r>
        <w:rPr>
          <w:shd w:val="clear" w:color="auto" w:fill="FFFFFF"/>
        </w:rPr>
        <w:t>Tādējādi pārsūdzētais spriedums ir atceļams un lieta ir nosūtāma pirmās instances tiesai jaunai izskatīšanai.</w:t>
      </w:r>
    </w:p>
    <w:p w14:paraId="74FE5564" w14:textId="77777777" w:rsidR="00F72D4A" w:rsidRDefault="00F72D4A" w:rsidP="00D4400D">
      <w:pPr>
        <w:shd w:val="clear" w:color="auto" w:fill="FFFFFF"/>
        <w:spacing w:line="276" w:lineRule="auto"/>
        <w:jc w:val="both"/>
        <w:rPr>
          <w:shd w:val="clear" w:color="auto" w:fill="FFFFFF"/>
        </w:rPr>
      </w:pPr>
    </w:p>
    <w:p w14:paraId="74283735" w14:textId="7DAFEBFF" w:rsidR="00BF49D8" w:rsidRPr="00E94700" w:rsidRDefault="00F72D4A" w:rsidP="00D4400D">
      <w:pPr>
        <w:shd w:val="clear" w:color="auto" w:fill="FFFFFF"/>
        <w:spacing w:line="276" w:lineRule="auto"/>
        <w:ind w:firstLine="720"/>
        <w:jc w:val="both"/>
        <w:rPr>
          <w:i/>
          <w:iCs/>
          <w:shd w:val="clear" w:color="auto" w:fill="FFFFFF"/>
        </w:rPr>
      </w:pPr>
      <w:r w:rsidRPr="00F72D4A">
        <w:rPr>
          <w:i/>
          <w:iCs/>
          <w:shd w:val="clear" w:color="auto" w:fill="FFFFFF"/>
        </w:rPr>
        <w:t xml:space="preserve">Par </w:t>
      </w:r>
      <w:r w:rsidR="00CE6384">
        <w:rPr>
          <w:i/>
          <w:iCs/>
          <w:shd w:val="clear" w:color="auto" w:fill="FFFFFF"/>
        </w:rPr>
        <w:t xml:space="preserve">iespēju personu atbrīvot no valsts nodevas </w:t>
      </w:r>
      <w:r w:rsidR="00EE600E">
        <w:rPr>
          <w:i/>
          <w:iCs/>
          <w:shd w:val="clear" w:color="auto" w:fill="FFFFFF"/>
        </w:rPr>
        <w:t xml:space="preserve">samaksas </w:t>
      </w:r>
      <w:r w:rsidR="00CE6384">
        <w:rPr>
          <w:i/>
          <w:iCs/>
          <w:shd w:val="clear" w:color="auto" w:fill="FFFFFF"/>
        </w:rPr>
        <w:t>par informācijas izsniegšanu</w:t>
      </w:r>
    </w:p>
    <w:p w14:paraId="14530FA9" w14:textId="20B2210A" w:rsidR="0041410B" w:rsidRDefault="00E23BE3" w:rsidP="00D4400D">
      <w:pPr>
        <w:shd w:val="clear" w:color="auto" w:fill="FFFFFF"/>
        <w:spacing w:line="276" w:lineRule="auto"/>
        <w:ind w:firstLine="720"/>
        <w:jc w:val="both"/>
        <w:rPr>
          <w:shd w:val="clear" w:color="auto" w:fill="FFFFFF"/>
        </w:rPr>
      </w:pPr>
      <w:r>
        <w:rPr>
          <w:shd w:val="clear" w:color="auto" w:fill="FFFFFF"/>
        </w:rPr>
        <w:t>[12]</w:t>
      </w:r>
      <w:r w:rsidR="009023B5">
        <w:rPr>
          <w:shd w:val="clear" w:color="auto" w:fill="FFFFFF"/>
        </w:rPr>
        <w:t> </w:t>
      </w:r>
      <w:r w:rsidR="0041410B">
        <w:rPr>
          <w:shd w:val="clear" w:color="auto" w:fill="FFFFFF"/>
        </w:rPr>
        <w:t xml:space="preserve">Izskatāmajā gadījumā </w:t>
      </w:r>
      <w:r w:rsidR="00600A7E">
        <w:rPr>
          <w:shd w:val="clear" w:color="auto" w:fill="FFFFFF"/>
        </w:rPr>
        <w:t xml:space="preserve">pārvalde </w:t>
      </w:r>
      <w:r w:rsidR="0041410B">
        <w:rPr>
          <w:shd w:val="clear" w:color="auto" w:fill="FFFFFF"/>
        </w:rPr>
        <w:t>pieteicējam bija norādījusi, ka informācijas izsniegšanas priekšnoteikums ir vairāku maksājumu veikšana – gan valsts nodevas, gan maksas par izziņas nosūtīšanu pa pastu un maksas par pasta pakalpojumiem samaksa.</w:t>
      </w:r>
    </w:p>
    <w:p w14:paraId="42B6FAAC" w14:textId="407FCF37" w:rsidR="00FC725F" w:rsidRDefault="009023B5" w:rsidP="00D4400D">
      <w:pPr>
        <w:shd w:val="clear" w:color="auto" w:fill="FFFFFF"/>
        <w:spacing w:line="276" w:lineRule="auto"/>
        <w:ind w:firstLine="720"/>
        <w:jc w:val="both"/>
        <w:rPr>
          <w:shd w:val="clear" w:color="auto" w:fill="FFFFFF"/>
        </w:rPr>
      </w:pPr>
      <w:r>
        <w:rPr>
          <w:shd w:val="clear" w:color="auto" w:fill="FFFFFF"/>
        </w:rPr>
        <w:t xml:space="preserve">Tiesa pārsūdzētajā spriedumā ir atzinusi, ka </w:t>
      </w:r>
      <w:r w:rsidR="001D4D0E">
        <w:rPr>
          <w:shd w:val="clear" w:color="auto" w:fill="FFFFFF"/>
        </w:rPr>
        <w:t xml:space="preserve">pārvaldei </w:t>
      </w:r>
      <w:r w:rsidR="0041410B">
        <w:rPr>
          <w:shd w:val="clear" w:color="auto" w:fill="FFFFFF"/>
        </w:rPr>
        <w:t xml:space="preserve">arī jautājums par pieteicēja atbrīvošanu no valsts nodevas </w:t>
      </w:r>
      <w:r w:rsidR="001D4D0E">
        <w:rPr>
          <w:shd w:val="clear" w:color="auto" w:fill="FFFFFF"/>
        </w:rPr>
        <w:t xml:space="preserve">bija jāizvērtē saskaņā ar Informācijas atklātības likuma 13.panta trešo daļu, kas personai paredz tiesības lūgt atbrīvojumu no maksas par informācijas sniegšanu. </w:t>
      </w:r>
    </w:p>
    <w:p w14:paraId="6B7E5B73" w14:textId="200928E2" w:rsidR="00544E42" w:rsidRDefault="00544E42" w:rsidP="00D4400D">
      <w:pPr>
        <w:shd w:val="clear" w:color="auto" w:fill="FFFFFF"/>
        <w:spacing w:line="276" w:lineRule="auto"/>
        <w:ind w:firstLine="720"/>
        <w:jc w:val="both"/>
        <w:rPr>
          <w:shd w:val="clear" w:color="auto" w:fill="FFFFFF"/>
        </w:rPr>
      </w:pPr>
      <w:r>
        <w:rPr>
          <w:shd w:val="clear" w:color="auto" w:fill="FFFFFF"/>
        </w:rPr>
        <w:t xml:space="preserve">Pārvalde kasācijas sūdzībā pauž uzskatu, ka no </w:t>
      </w:r>
      <w:r w:rsidR="001D4D0E">
        <w:rPr>
          <w:shd w:val="clear" w:color="auto" w:fill="FFFFFF"/>
        </w:rPr>
        <w:t>Informācijas atklātības likuma 13.panta trešās daļas</w:t>
      </w:r>
      <w:r>
        <w:rPr>
          <w:shd w:val="clear" w:color="auto" w:fill="FFFFFF"/>
        </w:rPr>
        <w:t xml:space="preserve"> izriet, ka informācijas pieprasītājs var lūgt atbrīvojumu (un attiecīgi iestāde var personu atbrīvot) no maksas</w:t>
      </w:r>
      <w:r w:rsidR="00BB5C83">
        <w:rPr>
          <w:shd w:val="clear" w:color="auto" w:fill="FFFFFF"/>
        </w:rPr>
        <w:t xml:space="preserve"> </w:t>
      </w:r>
      <w:r>
        <w:rPr>
          <w:shd w:val="clear" w:color="auto" w:fill="FFFFFF"/>
        </w:rPr>
        <w:t xml:space="preserve">par informācijas </w:t>
      </w:r>
      <w:r w:rsidR="00BB5C83">
        <w:rPr>
          <w:shd w:val="clear" w:color="auto" w:fill="FFFFFF"/>
        </w:rPr>
        <w:t>izsniegšanu</w:t>
      </w:r>
      <w:r>
        <w:rPr>
          <w:shd w:val="clear" w:color="auto" w:fill="FFFFFF"/>
        </w:rPr>
        <w:t>. Taču, tā kā valsts nodeva neesot uzskatāma par maksu par pakalpojumu, tad minētā tiesību norma neregulējot jautājumu par personas atbrīvošanu no valsts nodevas samaksas par informācijas sniegšanu</w:t>
      </w:r>
      <w:r w:rsidR="002B515A">
        <w:rPr>
          <w:shd w:val="clear" w:color="auto" w:fill="FFFFFF"/>
        </w:rPr>
        <w:t>, ja tāda normatīvajos aktos ir noteikta.</w:t>
      </w:r>
    </w:p>
    <w:p w14:paraId="649F1F66" w14:textId="0B2922B7" w:rsidR="00544E42" w:rsidRDefault="00E14527" w:rsidP="00D4400D">
      <w:pPr>
        <w:shd w:val="clear" w:color="auto" w:fill="FFFFFF"/>
        <w:spacing w:line="276" w:lineRule="auto"/>
        <w:ind w:firstLine="720"/>
        <w:jc w:val="both"/>
        <w:rPr>
          <w:shd w:val="clear" w:color="auto" w:fill="FFFFFF"/>
        </w:rPr>
      </w:pPr>
      <w:r>
        <w:rPr>
          <w:shd w:val="clear" w:color="auto" w:fill="FFFFFF"/>
        </w:rPr>
        <w:t>Saistībā ar šo pārvaldes argumentu norādāms turpmāk minētais.</w:t>
      </w:r>
    </w:p>
    <w:p w14:paraId="4AFE21B3" w14:textId="77777777" w:rsidR="002B515A" w:rsidRDefault="002B515A" w:rsidP="00D4400D">
      <w:pPr>
        <w:shd w:val="clear" w:color="auto" w:fill="FFFFFF"/>
        <w:spacing w:line="276" w:lineRule="auto"/>
        <w:ind w:firstLine="720"/>
        <w:jc w:val="both"/>
        <w:rPr>
          <w:shd w:val="clear" w:color="auto" w:fill="FFFFFF"/>
        </w:rPr>
      </w:pPr>
    </w:p>
    <w:p w14:paraId="64949AA1" w14:textId="4C503F38" w:rsidR="002B515A" w:rsidRDefault="002B515A" w:rsidP="00D4400D">
      <w:pPr>
        <w:shd w:val="clear" w:color="auto" w:fill="FFFFFF"/>
        <w:spacing w:line="276" w:lineRule="auto"/>
        <w:ind w:firstLine="720"/>
        <w:jc w:val="both"/>
        <w:rPr>
          <w:shd w:val="clear" w:color="auto" w:fill="FFFFFF"/>
        </w:rPr>
      </w:pPr>
      <w:r w:rsidRPr="004C42AE">
        <w:rPr>
          <w:shd w:val="clear" w:color="auto" w:fill="FFFFFF"/>
        </w:rPr>
        <w:t>[13] </w:t>
      </w:r>
      <w:r w:rsidR="00617F97" w:rsidRPr="004C42AE">
        <w:rPr>
          <w:shd w:val="clear" w:color="auto" w:fill="FFFFFF"/>
        </w:rPr>
        <w:t>Pārvalde</w:t>
      </w:r>
      <w:r w:rsidR="00617F97">
        <w:rPr>
          <w:shd w:val="clear" w:color="auto" w:fill="FFFFFF"/>
        </w:rPr>
        <w:t xml:space="preserve"> vispārīgi pareizi norāda, ka </w:t>
      </w:r>
      <w:r w:rsidR="001A26AF">
        <w:rPr>
          <w:shd w:val="clear" w:color="auto" w:fill="FFFFFF"/>
        </w:rPr>
        <w:t xml:space="preserve">valsts nodeva </w:t>
      </w:r>
      <w:r w:rsidR="00A13146">
        <w:rPr>
          <w:shd w:val="clear" w:color="auto" w:fill="FFFFFF"/>
        </w:rPr>
        <w:t>un maksa par pakalpojumu ir divi dažādi maksājumu institūti</w:t>
      </w:r>
      <w:r w:rsidR="00737747">
        <w:rPr>
          <w:shd w:val="clear" w:color="auto" w:fill="FFFFFF"/>
        </w:rPr>
        <w:t>, kuriem normatīvajos aktos ir noteikts atšķirīgs veidošanās pamats</w:t>
      </w:r>
      <w:r w:rsidR="00EC28AF">
        <w:rPr>
          <w:shd w:val="clear" w:color="auto" w:fill="FFFFFF"/>
        </w:rPr>
        <w:t xml:space="preserve"> un mērķis</w:t>
      </w:r>
      <w:r w:rsidR="00037EE7">
        <w:rPr>
          <w:shd w:val="clear" w:color="auto" w:fill="FFFFFF"/>
        </w:rPr>
        <w:t xml:space="preserve">. Proti, </w:t>
      </w:r>
      <w:r w:rsidR="001A26AF">
        <w:rPr>
          <w:shd w:val="clear" w:color="auto" w:fill="FFFFFF"/>
        </w:rPr>
        <w:t xml:space="preserve">atbilstoši likuma „Par nodokļiem un nodevām” 1.panta 2.punktā norādītajai definīcijai </w:t>
      </w:r>
      <w:r w:rsidR="00037EE7">
        <w:rPr>
          <w:shd w:val="clear" w:color="auto" w:fill="FFFFFF"/>
        </w:rPr>
        <w:t xml:space="preserve">valsts nodeva </w:t>
      </w:r>
      <w:r w:rsidR="001A26AF">
        <w:rPr>
          <w:shd w:val="clear" w:color="auto" w:fill="FFFFFF"/>
        </w:rPr>
        <w:t xml:space="preserve">ir </w:t>
      </w:r>
      <w:r w:rsidR="001A26AF" w:rsidRPr="001A26AF">
        <w:rPr>
          <w:shd w:val="clear" w:color="auto" w:fill="FFFFFF"/>
        </w:rPr>
        <w:t>obligāts maksājums valsts budžetā vai šajā likumā noteiktajos gadījumos pašvaldības budžetā par valsts vai pašvaldības institūcijas veicamo darbību, kas izriet no šīs institūcijas funkcijām. Valsts nodevas mērķis ir personu darbību regulēšana (kontrolēšana, veicināšana, ierobežošana). Valsts nodevas apmērs nav tiešā veidā saistīts ar institūcijas veiktās darbības izmaksu segšanu</w:t>
      </w:r>
      <w:r w:rsidR="001A26AF">
        <w:rPr>
          <w:shd w:val="clear" w:color="auto" w:fill="FFFFFF"/>
        </w:rPr>
        <w:t>.</w:t>
      </w:r>
      <w:r w:rsidR="001142E6">
        <w:rPr>
          <w:shd w:val="clear" w:color="auto" w:fill="FFFFFF"/>
        </w:rPr>
        <w:t xml:space="preserve"> Savukārt maksas pakalpojums saskaņā ar Likuma par budžetu un finanšu vadību I daļā „Likumā lietotie termini” norādīto </w:t>
      </w:r>
      <w:r w:rsidR="001142E6">
        <w:rPr>
          <w:shd w:val="clear" w:color="auto" w:fill="FFFFFF"/>
        </w:rPr>
        <w:lastRenderedPageBreak/>
        <w:t xml:space="preserve">šā termina definīciju </w:t>
      </w:r>
      <w:r w:rsidR="00B447C7">
        <w:rPr>
          <w:shd w:val="clear" w:color="auto" w:fill="FFFFFF"/>
        </w:rPr>
        <w:t xml:space="preserve">ir </w:t>
      </w:r>
      <w:r w:rsidR="001142E6" w:rsidRPr="001142E6">
        <w:rPr>
          <w:shd w:val="clear" w:color="auto" w:fill="FFFFFF"/>
        </w:rPr>
        <w:t>pasākumu kopums, ko valsts budžeta iestāde ārējos normatīvajos aktos paredzētajos gadījumos veic par samaksu, lai nodrošinātu sabiedrības vajadzību ievērošanu.</w:t>
      </w:r>
    </w:p>
    <w:p w14:paraId="0FBD269B" w14:textId="4EE41ED4" w:rsidR="00956CEC" w:rsidRDefault="00956CEC" w:rsidP="00D4400D">
      <w:pPr>
        <w:shd w:val="clear" w:color="auto" w:fill="FFFFFF"/>
        <w:spacing w:line="276" w:lineRule="auto"/>
        <w:ind w:firstLine="720"/>
        <w:jc w:val="both"/>
        <w:rPr>
          <w:shd w:val="clear" w:color="auto" w:fill="FFFFFF"/>
        </w:rPr>
      </w:pPr>
      <w:r>
        <w:rPr>
          <w:shd w:val="clear" w:color="auto" w:fill="FFFFFF"/>
        </w:rPr>
        <w:t xml:space="preserve">Tādējādi vispārīgi var piekrist pārvaldei, ka uz personas lūgumu viņu atbrīvot no normatīvajos aktos noteiktas valsts nodevas samaksas par informācijas izsniegšanu nevar tieši attiecināt Informācijas atklātības likuma 13.panta trešo daļu, kas regulē personas </w:t>
      </w:r>
      <w:r w:rsidR="00F73141">
        <w:rPr>
          <w:shd w:val="clear" w:color="auto" w:fill="FFFFFF"/>
        </w:rPr>
        <w:t xml:space="preserve">atbrīvošanu </w:t>
      </w:r>
      <w:r>
        <w:rPr>
          <w:shd w:val="clear" w:color="auto" w:fill="FFFFFF"/>
        </w:rPr>
        <w:t>no normatīvajos aktos paredzēt</w:t>
      </w:r>
      <w:r w:rsidR="000D3EBD">
        <w:rPr>
          <w:shd w:val="clear" w:color="auto" w:fill="FFFFFF"/>
        </w:rPr>
        <w:t>ās</w:t>
      </w:r>
      <w:r>
        <w:rPr>
          <w:shd w:val="clear" w:color="auto" w:fill="FFFFFF"/>
        </w:rPr>
        <w:t xml:space="preserve"> maksas par informācijas izsniegšanu.</w:t>
      </w:r>
      <w:r w:rsidR="00195343">
        <w:rPr>
          <w:shd w:val="clear" w:color="auto" w:fill="FFFFFF"/>
        </w:rPr>
        <w:t xml:space="preserve"> Tomēr turpmāk norādīto apsvērumu dēļ Senāts atzīst, ka minētais pats par sevi nenozīmē, ka tiesas secinājumi par pārvaldes pienākumu vērtēt </w:t>
      </w:r>
      <w:r w:rsidR="006D7E1B">
        <w:rPr>
          <w:shd w:val="clear" w:color="auto" w:fill="FFFFFF"/>
        </w:rPr>
        <w:t>pieteicēja</w:t>
      </w:r>
      <w:r w:rsidR="00195343">
        <w:rPr>
          <w:shd w:val="clear" w:color="auto" w:fill="FFFFFF"/>
        </w:rPr>
        <w:t xml:space="preserve"> lūgumu viņu atbrīvot no valsts nodevas samaksas ir nepareizi.</w:t>
      </w:r>
    </w:p>
    <w:p w14:paraId="46F36363" w14:textId="77777777" w:rsidR="00195343" w:rsidRDefault="00195343" w:rsidP="00D4400D">
      <w:pPr>
        <w:shd w:val="clear" w:color="auto" w:fill="FFFFFF"/>
        <w:spacing w:line="276" w:lineRule="auto"/>
        <w:ind w:firstLine="720"/>
        <w:jc w:val="both"/>
        <w:rPr>
          <w:shd w:val="clear" w:color="auto" w:fill="FFFFFF"/>
        </w:rPr>
      </w:pPr>
    </w:p>
    <w:p w14:paraId="447719F1" w14:textId="34FBA9E9" w:rsidR="00195343" w:rsidRDefault="00195343" w:rsidP="00D4400D">
      <w:pPr>
        <w:shd w:val="clear" w:color="auto" w:fill="FFFFFF"/>
        <w:spacing w:line="276" w:lineRule="auto"/>
        <w:ind w:firstLine="720"/>
        <w:jc w:val="both"/>
        <w:rPr>
          <w:shd w:val="clear" w:color="auto" w:fill="FFFFFF"/>
        </w:rPr>
      </w:pPr>
      <w:r>
        <w:rPr>
          <w:shd w:val="clear" w:color="auto" w:fill="FFFFFF"/>
        </w:rPr>
        <w:t>[14] </w:t>
      </w:r>
      <w:r w:rsidR="000C2161">
        <w:rPr>
          <w:shd w:val="clear" w:color="auto" w:fill="FFFFFF"/>
        </w:rPr>
        <w:t xml:space="preserve">Kā to Senāts uzsvēra </w:t>
      </w:r>
      <w:r w:rsidR="000C5923">
        <w:rPr>
          <w:shd w:val="clear" w:color="auto" w:fill="FFFFFF"/>
        </w:rPr>
        <w:t xml:space="preserve">jau </w:t>
      </w:r>
      <w:r w:rsidR="000C2161">
        <w:rPr>
          <w:shd w:val="clear" w:color="auto" w:fill="FFFFFF"/>
        </w:rPr>
        <w:t xml:space="preserve">iepriekšējā spriedumā šajā lietā, </w:t>
      </w:r>
      <w:r w:rsidR="000C5923">
        <w:rPr>
          <w:shd w:val="clear" w:color="auto" w:fill="FFFFFF"/>
        </w:rPr>
        <w:t xml:space="preserve">ir jāņem vērā, ka tiesības </w:t>
      </w:r>
      <w:r w:rsidR="000B08C8">
        <w:rPr>
          <w:shd w:val="clear" w:color="auto" w:fill="FFFFFF"/>
        </w:rPr>
        <w:t xml:space="preserve">uz informācijas pieejamību </w:t>
      </w:r>
      <w:r w:rsidR="000C5923">
        <w:rPr>
          <w:shd w:val="clear" w:color="auto" w:fill="FFFFFF"/>
        </w:rPr>
        <w:t>kā tiesību uz vārda brīvību sastāvdaļa ir viens no demokrātiskas sabiedrības pamatiem</w:t>
      </w:r>
      <w:r w:rsidR="00432DAD">
        <w:rPr>
          <w:shd w:val="clear" w:color="auto" w:fill="FFFFFF"/>
        </w:rPr>
        <w:t>, t</w:t>
      </w:r>
      <w:r w:rsidR="000C5923">
        <w:rPr>
          <w:shd w:val="clear" w:color="auto" w:fill="FFFFFF"/>
        </w:rPr>
        <w:t>ādēļ</w:t>
      </w:r>
      <w:r w:rsidR="009E222A">
        <w:rPr>
          <w:shd w:val="clear" w:color="auto" w:fill="FFFFFF"/>
        </w:rPr>
        <w:t xml:space="preserve"> </w:t>
      </w:r>
      <w:r w:rsidR="00432DAD">
        <w:rPr>
          <w:shd w:val="clear" w:color="auto" w:fill="FFFFFF"/>
        </w:rPr>
        <w:t>šīm tiesībām</w:t>
      </w:r>
      <w:r w:rsidR="009E222A">
        <w:rPr>
          <w:shd w:val="clear" w:color="auto" w:fill="FFFFFF"/>
        </w:rPr>
        <w:t xml:space="preserve"> kā vienai no personas </w:t>
      </w:r>
      <w:proofErr w:type="spellStart"/>
      <w:r w:rsidR="009E222A">
        <w:rPr>
          <w:shd w:val="clear" w:color="auto" w:fill="FFFFFF"/>
        </w:rPr>
        <w:t>pamattiesībām</w:t>
      </w:r>
      <w:proofErr w:type="spellEnd"/>
      <w:r w:rsidR="009E222A">
        <w:rPr>
          <w:shd w:val="clear" w:color="auto" w:fill="FFFFFF"/>
        </w:rPr>
        <w:t xml:space="preserve"> ir fundamentāls raksturs</w:t>
      </w:r>
      <w:r w:rsidR="00D46116">
        <w:rPr>
          <w:shd w:val="clear" w:color="auto" w:fill="FFFFFF"/>
        </w:rPr>
        <w:t>. T</w:t>
      </w:r>
      <w:r w:rsidR="009E222A">
        <w:rPr>
          <w:shd w:val="clear" w:color="auto" w:fill="FFFFFF"/>
        </w:rPr>
        <w:t xml:space="preserve">urklāt </w:t>
      </w:r>
      <w:r w:rsidR="00432DAD">
        <w:rPr>
          <w:shd w:val="clear" w:color="auto" w:fill="FFFFFF"/>
        </w:rPr>
        <w:t xml:space="preserve">tiesības uz informācijas pieejamību </w:t>
      </w:r>
      <w:r w:rsidR="00933E77">
        <w:rPr>
          <w:shd w:val="clear" w:color="auto" w:fill="FFFFFF"/>
        </w:rPr>
        <w:t>var ietekmēt</w:t>
      </w:r>
      <w:r w:rsidR="009E222A">
        <w:rPr>
          <w:shd w:val="clear" w:color="auto" w:fill="FFFFFF"/>
        </w:rPr>
        <w:t xml:space="preserve"> personas iespējas īstenot arī citas sev piemītošas </w:t>
      </w:r>
      <w:proofErr w:type="spellStart"/>
      <w:r w:rsidR="009E222A">
        <w:rPr>
          <w:shd w:val="clear" w:color="auto" w:fill="FFFFFF"/>
        </w:rPr>
        <w:t>pamattiesības</w:t>
      </w:r>
      <w:proofErr w:type="spellEnd"/>
      <w:r w:rsidR="00CC12E6">
        <w:rPr>
          <w:shd w:val="clear" w:color="auto" w:fill="FFFFFF"/>
        </w:rPr>
        <w:t xml:space="preserve">, un </w:t>
      </w:r>
      <w:r w:rsidR="00933E77">
        <w:rPr>
          <w:shd w:val="clear" w:color="auto" w:fill="FFFFFF"/>
        </w:rPr>
        <w:t>nevar izslēgt gadījumus</w:t>
      </w:r>
      <w:r w:rsidR="00CC12E6">
        <w:rPr>
          <w:shd w:val="clear" w:color="auto" w:fill="FFFFFF"/>
        </w:rPr>
        <w:t>, kad nepieciešamās informācijas nesaņemšana var novest pie būtiska kaitējuma</w:t>
      </w:r>
      <w:r w:rsidR="00C77BCE">
        <w:rPr>
          <w:shd w:val="clear" w:color="auto" w:fill="FFFFFF"/>
        </w:rPr>
        <w:t xml:space="preserve"> (</w:t>
      </w:r>
      <w:r w:rsidR="00C77BCE" w:rsidRPr="00C77BCE">
        <w:rPr>
          <w:i/>
          <w:iCs/>
          <w:shd w:val="clear" w:color="auto" w:fill="FFFFFF"/>
        </w:rPr>
        <w:t>Senāta iepriekšējā sprieduma 6.–7.punkts</w:t>
      </w:r>
      <w:r w:rsidR="00C77BCE">
        <w:rPr>
          <w:shd w:val="clear" w:color="auto" w:fill="FFFFFF"/>
        </w:rPr>
        <w:t>).</w:t>
      </w:r>
    </w:p>
    <w:p w14:paraId="03E98EA0" w14:textId="568BBD91" w:rsidR="00432DAD" w:rsidRDefault="00432DAD" w:rsidP="00D4400D">
      <w:pPr>
        <w:shd w:val="clear" w:color="auto" w:fill="FFFFFF"/>
        <w:spacing w:line="276" w:lineRule="auto"/>
        <w:ind w:firstLine="720"/>
        <w:jc w:val="both"/>
        <w:rPr>
          <w:shd w:val="clear" w:color="auto" w:fill="FFFFFF"/>
        </w:rPr>
      </w:pPr>
      <w:r>
        <w:rPr>
          <w:shd w:val="clear" w:color="auto" w:fill="FFFFFF"/>
        </w:rPr>
        <w:t xml:space="preserve">Ja </w:t>
      </w:r>
      <w:r w:rsidR="00592E72">
        <w:rPr>
          <w:shd w:val="clear" w:color="auto" w:fill="FFFFFF"/>
        </w:rPr>
        <w:t xml:space="preserve">normatīvajos aktos ir paredzēts, ka personai, lai tā varētu saņemt noteiktu informāciju, ir jāveic kāds maksājums (tostarp valsts nodevas apmaksa), tas noteiktos gadījumos, kad personas mantiskais stāvoklis tai neļauj veikt šādu maksājumu, var personai radīt nepārvaramu šķērsli informācijas saņemšanai. Savukārt </w:t>
      </w:r>
      <w:r w:rsidR="00195A5B">
        <w:rPr>
          <w:shd w:val="clear" w:color="auto" w:fill="FFFFFF"/>
        </w:rPr>
        <w:t xml:space="preserve">tas nozīmē, ka </w:t>
      </w:r>
      <w:r w:rsidR="00E34DFA">
        <w:rPr>
          <w:shd w:val="clear" w:color="auto" w:fill="FFFFFF"/>
        </w:rPr>
        <w:t>izņēmuma – būtībā netipiskos – gadījumos</w:t>
      </w:r>
      <w:r w:rsidR="00195A5B">
        <w:rPr>
          <w:shd w:val="clear" w:color="auto" w:fill="FFFFFF"/>
        </w:rPr>
        <w:t xml:space="preserve">, </w:t>
      </w:r>
      <w:r w:rsidR="00E34DFA">
        <w:rPr>
          <w:shd w:val="clear" w:color="auto" w:fill="FFFFFF"/>
        </w:rPr>
        <w:t>kad</w:t>
      </w:r>
      <w:r w:rsidR="00195A5B">
        <w:rPr>
          <w:shd w:val="clear" w:color="auto" w:fill="FFFFFF"/>
        </w:rPr>
        <w:t xml:space="preserve"> personai pieprasītā informācija nepieciešama būtisku tiesisko interešu nodrošināšanai</w:t>
      </w:r>
      <w:r w:rsidR="00E34DFA">
        <w:rPr>
          <w:shd w:val="clear" w:color="auto" w:fill="FFFFFF"/>
        </w:rPr>
        <w:t xml:space="preserve">, informācijas nepieejamība var arī radīt šai personai būtisku </w:t>
      </w:r>
      <w:r w:rsidR="00933E77">
        <w:rPr>
          <w:shd w:val="clear" w:color="auto" w:fill="FFFFFF"/>
        </w:rPr>
        <w:t>kaitējumu</w:t>
      </w:r>
      <w:r w:rsidR="00E34DFA">
        <w:rPr>
          <w:shd w:val="clear" w:color="auto" w:fill="FFFFFF"/>
        </w:rPr>
        <w:t>. Tāpēc nebūtu pieļaujama situācija</w:t>
      </w:r>
      <w:r w:rsidR="00BF60B2">
        <w:rPr>
          <w:shd w:val="clear" w:color="auto" w:fill="FFFFFF"/>
        </w:rPr>
        <w:t>, ka</w:t>
      </w:r>
      <w:r w:rsidR="00F34DC4">
        <w:rPr>
          <w:shd w:val="clear" w:color="auto" w:fill="FFFFFF"/>
        </w:rPr>
        <w:t>d</w:t>
      </w:r>
      <w:r w:rsidR="00BF60B2">
        <w:rPr>
          <w:shd w:val="clear" w:color="auto" w:fill="FFFFFF"/>
        </w:rPr>
        <w:t xml:space="preserve"> iestāde formāli, vispār neizvērtējot nekādus ar konkrēto informācijas pieprasījumu saistītos individuālos apstākļus, atsaka </w:t>
      </w:r>
      <w:r w:rsidR="0050062D">
        <w:rPr>
          <w:shd w:val="clear" w:color="auto" w:fill="FFFFFF"/>
        </w:rPr>
        <w:t>vērtēt personas lūgumu viņu atbrīvot no valsts nodevas samaksas p</w:t>
      </w:r>
      <w:r w:rsidR="00E535CF">
        <w:rPr>
          <w:shd w:val="clear" w:color="auto" w:fill="FFFFFF"/>
        </w:rPr>
        <w:t xml:space="preserve">ar informācijas izsniegšanu un secīgi atsaka </w:t>
      </w:r>
      <w:r w:rsidR="00BF60B2">
        <w:rPr>
          <w:shd w:val="clear" w:color="auto" w:fill="FFFFFF"/>
        </w:rPr>
        <w:t xml:space="preserve">personai informācijas izsniegšanu tikai tā iemesla dēļ, ka </w:t>
      </w:r>
      <w:r w:rsidR="00895F17">
        <w:rPr>
          <w:shd w:val="clear" w:color="auto" w:fill="FFFFFF"/>
        </w:rPr>
        <w:t>personas mantiskais stāvoklis tai neļauj veikt valsts nodevas apmaksu.</w:t>
      </w:r>
    </w:p>
    <w:p w14:paraId="37EED541" w14:textId="77777777" w:rsidR="00F34DC4" w:rsidRDefault="00F34DC4" w:rsidP="00D4400D">
      <w:pPr>
        <w:shd w:val="clear" w:color="auto" w:fill="FFFFFF"/>
        <w:spacing w:line="276" w:lineRule="auto"/>
        <w:ind w:firstLine="720"/>
        <w:jc w:val="both"/>
        <w:rPr>
          <w:shd w:val="clear" w:color="auto" w:fill="FFFFFF"/>
        </w:rPr>
      </w:pPr>
    </w:p>
    <w:p w14:paraId="100D304A" w14:textId="3B5B91F1" w:rsidR="00771576" w:rsidRDefault="00F34DC4" w:rsidP="00D4400D">
      <w:pPr>
        <w:shd w:val="clear" w:color="auto" w:fill="FFFFFF"/>
        <w:spacing w:line="276" w:lineRule="auto"/>
        <w:ind w:firstLine="720"/>
        <w:jc w:val="both"/>
        <w:rPr>
          <w:shd w:val="clear" w:color="auto" w:fill="FFFFFF"/>
        </w:rPr>
      </w:pPr>
      <w:r>
        <w:rPr>
          <w:shd w:val="clear" w:color="auto" w:fill="FFFFFF"/>
        </w:rPr>
        <w:t>[15]</w:t>
      </w:r>
      <w:r w:rsidR="00F66D1C">
        <w:rPr>
          <w:shd w:val="clear" w:color="auto" w:fill="FFFFFF"/>
        </w:rPr>
        <w:t xml:space="preserve"> Konkrētā gadījuma kontekstā ņemams vērā, ka </w:t>
      </w:r>
      <w:r w:rsidR="00771576">
        <w:rPr>
          <w:shd w:val="clear" w:color="auto" w:fill="FFFFFF"/>
        </w:rPr>
        <w:t xml:space="preserve">likumdevējs </w:t>
      </w:r>
      <w:r w:rsidR="00F66D1C">
        <w:rPr>
          <w:shd w:val="clear" w:color="auto" w:fill="FFFFFF"/>
        </w:rPr>
        <w:t>Fizisko personu reģistra likuma 24.pantā</w:t>
      </w:r>
      <w:r w:rsidR="00771576">
        <w:rPr>
          <w:shd w:val="clear" w:color="auto" w:fill="FFFFFF"/>
        </w:rPr>
        <w:t xml:space="preserve"> vispārīgi ir paredzējis, ka valsts nodeva par informācijas saņemšanu no Fizisko personu reģistra ir tāds maksājuma institūts, no kura apmaksas Ministru kabinets var paredzēt atbrīvojumus.</w:t>
      </w:r>
      <w:r w:rsidR="00D54F4F">
        <w:rPr>
          <w:shd w:val="clear" w:color="auto" w:fill="FFFFFF"/>
        </w:rPr>
        <w:t xml:space="preserve"> To Ministru kabinets ir arī izdarījis, </w:t>
      </w:r>
      <w:r w:rsidR="00D54F4F" w:rsidRPr="00D54F4F">
        <w:rPr>
          <w:shd w:val="clear" w:color="auto" w:fill="FFFFFF"/>
        </w:rPr>
        <w:t>2021.gada 6.jūlija noteikum</w:t>
      </w:r>
      <w:r w:rsidR="00D54F4F">
        <w:rPr>
          <w:shd w:val="clear" w:color="auto" w:fill="FFFFFF"/>
        </w:rPr>
        <w:t>os</w:t>
      </w:r>
      <w:r w:rsidR="00D54F4F" w:rsidRPr="00D54F4F">
        <w:rPr>
          <w:shd w:val="clear" w:color="auto" w:fill="FFFFFF"/>
        </w:rPr>
        <w:t xml:space="preserve"> Nr. 485 „Noteikumi par valsts nodevu par informācijas saņemšanu no Fizisko personu reģistra”</w:t>
      </w:r>
      <w:r w:rsidR="00D54F4F">
        <w:rPr>
          <w:shd w:val="clear" w:color="auto" w:fill="FFFFFF"/>
        </w:rPr>
        <w:t xml:space="preserve"> nosakot personu grupas, kuras ir atbrīvojamas no maksas par informācijas izsniegšanu no Fizisko personu reģistra vai kurām maksa par informācijas izsniegšanu samazināma par 50 % (noteikumu 3. un 4.punkts). </w:t>
      </w:r>
      <w:r w:rsidR="00640883">
        <w:rPr>
          <w:shd w:val="clear" w:color="auto" w:fill="FFFFFF"/>
        </w:rPr>
        <w:t xml:space="preserve">Vienlaikus tas, ka Ministru kabinets minētajos noteikumos nav tieši paredzējis iespēju individuāla </w:t>
      </w:r>
      <w:proofErr w:type="spellStart"/>
      <w:r w:rsidR="00640883">
        <w:rPr>
          <w:shd w:val="clear" w:color="auto" w:fill="FFFFFF"/>
        </w:rPr>
        <w:t>izvērtējuma</w:t>
      </w:r>
      <w:proofErr w:type="spellEnd"/>
      <w:r w:rsidR="00640883">
        <w:rPr>
          <w:shd w:val="clear" w:color="auto" w:fill="FFFFFF"/>
        </w:rPr>
        <w:t xml:space="preserve"> rezultātā lemt par pilnīgu vai daļēju atbrīvojumu no</w:t>
      </w:r>
      <w:r w:rsidR="0087503A">
        <w:rPr>
          <w:shd w:val="clear" w:color="auto" w:fill="FFFFFF"/>
        </w:rPr>
        <w:t xml:space="preserve"> valsts nodevas</w:t>
      </w:r>
      <w:r w:rsidR="00640883">
        <w:rPr>
          <w:shd w:val="clear" w:color="auto" w:fill="FFFFFF"/>
        </w:rPr>
        <w:t xml:space="preserve"> par informācijas izsniegšanu, pats par sevi nenozīmē, ka pārvaldei, ņemot vērā tiesību uz informācijas pieejamību fundamentālo </w:t>
      </w:r>
      <w:r w:rsidR="00640883">
        <w:rPr>
          <w:shd w:val="clear" w:color="auto" w:fill="FFFFFF"/>
        </w:rPr>
        <w:lastRenderedPageBreak/>
        <w:t xml:space="preserve">raksturu un ietekmi uz personas iespējām īstenot citas sev piemītošas </w:t>
      </w:r>
      <w:proofErr w:type="spellStart"/>
      <w:r w:rsidR="00640883">
        <w:rPr>
          <w:shd w:val="clear" w:color="auto" w:fill="FFFFFF"/>
        </w:rPr>
        <w:t>pamattiesības</w:t>
      </w:r>
      <w:proofErr w:type="spellEnd"/>
      <w:r w:rsidR="00640883">
        <w:rPr>
          <w:shd w:val="clear" w:color="auto" w:fill="FFFFFF"/>
        </w:rPr>
        <w:t>,</w:t>
      </w:r>
      <w:r w:rsidR="0045643F">
        <w:rPr>
          <w:shd w:val="clear" w:color="auto" w:fill="FFFFFF"/>
        </w:rPr>
        <w:t xml:space="preserve"> nebūtu jāveic šāds individuāls </w:t>
      </w:r>
      <w:proofErr w:type="spellStart"/>
      <w:r w:rsidR="0045643F">
        <w:rPr>
          <w:shd w:val="clear" w:color="auto" w:fill="FFFFFF"/>
        </w:rPr>
        <w:t>izvērtējums</w:t>
      </w:r>
      <w:proofErr w:type="spellEnd"/>
      <w:r w:rsidR="0045643F">
        <w:rPr>
          <w:shd w:val="clear" w:color="auto" w:fill="FFFFFF"/>
        </w:rPr>
        <w:t>.</w:t>
      </w:r>
    </w:p>
    <w:p w14:paraId="772859D1" w14:textId="42FAA969" w:rsidR="0045643F" w:rsidRDefault="0045643F" w:rsidP="00D4400D">
      <w:pPr>
        <w:shd w:val="clear" w:color="auto" w:fill="FFFFFF"/>
        <w:spacing w:line="276" w:lineRule="auto"/>
        <w:ind w:firstLine="720"/>
        <w:jc w:val="both"/>
        <w:rPr>
          <w:shd w:val="clear" w:color="auto" w:fill="FFFFFF"/>
        </w:rPr>
      </w:pPr>
      <w:r>
        <w:rPr>
          <w:shd w:val="clear" w:color="auto" w:fill="FFFFFF"/>
        </w:rPr>
        <w:t xml:space="preserve">Ievērojot minēto, </w:t>
      </w:r>
      <w:r w:rsidR="00D47D35">
        <w:rPr>
          <w:shd w:val="clear" w:color="auto" w:fill="FFFFFF"/>
        </w:rPr>
        <w:t xml:space="preserve">Senāts </w:t>
      </w:r>
      <w:r w:rsidR="002E3351">
        <w:rPr>
          <w:shd w:val="clear" w:color="auto" w:fill="FFFFFF"/>
        </w:rPr>
        <w:t>iepriekšējā</w:t>
      </w:r>
      <w:r w:rsidR="00D47D35">
        <w:rPr>
          <w:shd w:val="clear" w:color="auto" w:fill="FFFFFF"/>
        </w:rPr>
        <w:t xml:space="preserve"> spriedumā</w:t>
      </w:r>
      <w:r w:rsidR="002E3351">
        <w:rPr>
          <w:shd w:val="clear" w:color="auto" w:fill="FFFFFF"/>
        </w:rPr>
        <w:t xml:space="preserve"> šajā lietā</w:t>
      </w:r>
      <w:r w:rsidR="00D47D35">
        <w:rPr>
          <w:shd w:val="clear" w:color="auto" w:fill="FFFFFF"/>
        </w:rPr>
        <w:t xml:space="preserve"> norādītās atziņas par Informācijas atklātības likuma 13.panta trešās daļas piemērošanu personas lūguma viņu atbrīvot no valsts nodevas apmaksas par informācijas izsniegšanu gadījumā precizē tādējādi, ka</w:t>
      </w:r>
      <w:r w:rsidR="00C62CF1">
        <w:rPr>
          <w:shd w:val="clear" w:color="auto" w:fill="FFFFFF"/>
        </w:rPr>
        <w:t xml:space="preserve">, lai arī minēto tiesību normu nevar tieši attiecināt uz personas lūgumu viņu atbrīvot no valsts nodevas apmaksas, </w:t>
      </w:r>
      <w:r w:rsidR="008D56AA">
        <w:rPr>
          <w:shd w:val="clear" w:color="auto" w:fill="FFFFFF"/>
        </w:rPr>
        <w:t xml:space="preserve">tomēr šāda personas lūguma gadījumā ir ievērojami no minētās tiesību normas izrietošie principi. Proti, iestādei nolūkā pārliecināties par to, ka personas mantiskā stāvokļa dēļ netiek nesamērīgi ierobežotas personas </w:t>
      </w:r>
      <w:r w:rsidR="008B18AB">
        <w:rPr>
          <w:shd w:val="clear" w:color="auto" w:fill="FFFFFF"/>
        </w:rPr>
        <w:t xml:space="preserve">būtiskas </w:t>
      </w:r>
      <w:proofErr w:type="spellStart"/>
      <w:r w:rsidR="00FB6A0F">
        <w:rPr>
          <w:shd w:val="clear" w:color="auto" w:fill="FFFFFF"/>
        </w:rPr>
        <w:t>pamattiesības</w:t>
      </w:r>
      <w:proofErr w:type="spellEnd"/>
      <w:r w:rsidR="008D56AA">
        <w:rPr>
          <w:shd w:val="clear" w:color="auto" w:fill="FFFFFF"/>
        </w:rPr>
        <w:t xml:space="preserve">, ir jāveic personas lūguma viņu atbrīvot no valsts nodevas apmaksas individualizēts </w:t>
      </w:r>
      <w:proofErr w:type="spellStart"/>
      <w:r w:rsidR="008D56AA">
        <w:rPr>
          <w:shd w:val="clear" w:color="auto" w:fill="FFFFFF"/>
        </w:rPr>
        <w:t>izvērtējums</w:t>
      </w:r>
      <w:proofErr w:type="spellEnd"/>
      <w:r w:rsidR="008D56AA">
        <w:rPr>
          <w:shd w:val="clear" w:color="auto" w:fill="FFFFFF"/>
        </w:rPr>
        <w:t xml:space="preserve">, </w:t>
      </w:r>
      <w:proofErr w:type="spellStart"/>
      <w:r w:rsidR="008B18AB">
        <w:rPr>
          <w:shd w:val="clear" w:color="auto" w:fill="FFFFFF"/>
        </w:rPr>
        <w:t>visupirms</w:t>
      </w:r>
      <w:proofErr w:type="spellEnd"/>
      <w:r w:rsidR="008D56AA">
        <w:rPr>
          <w:shd w:val="clear" w:color="auto" w:fill="FFFFFF"/>
        </w:rPr>
        <w:t xml:space="preserve"> izvērtējot pieprasītās informācijas nepieciešamību </w:t>
      </w:r>
      <w:r w:rsidR="008B18AB">
        <w:rPr>
          <w:shd w:val="clear" w:color="auto" w:fill="FFFFFF"/>
        </w:rPr>
        <w:t>personas</w:t>
      </w:r>
      <w:r w:rsidR="008D56AA">
        <w:rPr>
          <w:shd w:val="clear" w:color="auto" w:fill="FFFFFF"/>
        </w:rPr>
        <w:t xml:space="preserve"> tiesisko interešu aizsardzībai</w:t>
      </w:r>
      <w:r w:rsidR="008B18AB">
        <w:rPr>
          <w:shd w:val="clear" w:color="auto" w:fill="FFFFFF"/>
        </w:rPr>
        <w:t xml:space="preserve"> </w:t>
      </w:r>
      <w:r w:rsidR="00CC12E6">
        <w:rPr>
          <w:shd w:val="clear" w:color="auto" w:fill="FFFFFF"/>
        </w:rPr>
        <w:t>(būtiska kaitējuma rašanās risku)</w:t>
      </w:r>
      <w:r w:rsidR="008D56AA">
        <w:rPr>
          <w:shd w:val="clear" w:color="auto" w:fill="FFFFFF"/>
        </w:rPr>
        <w:t>.</w:t>
      </w:r>
      <w:r w:rsidR="00C62CF1">
        <w:rPr>
          <w:shd w:val="clear" w:color="auto" w:fill="FFFFFF"/>
        </w:rPr>
        <w:t xml:space="preserve"> </w:t>
      </w:r>
    </w:p>
    <w:p w14:paraId="289AC0FD" w14:textId="77777777" w:rsidR="00852FAC" w:rsidRDefault="00852FAC" w:rsidP="00D4400D">
      <w:pPr>
        <w:pStyle w:val="NormalWeb"/>
        <w:shd w:val="clear" w:color="auto" w:fill="FFFFFF"/>
        <w:spacing w:before="0" w:beforeAutospacing="0" w:after="0" w:afterAutospacing="0" w:line="276" w:lineRule="auto"/>
        <w:ind w:firstLine="720"/>
        <w:jc w:val="both"/>
      </w:pPr>
    </w:p>
    <w:p w14:paraId="13E14B5C" w14:textId="7C6C9062" w:rsidR="005C5D4B" w:rsidRDefault="00011A2B" w:rsidP="00D4400D">
      <w:pPr>
        <w:pStyle w:val="NormalWeb"/>
        <w:shd w:val="clear" w:color="auto" w:fill="FFFFFF"/>
        <w:spacing w:before="0" w:beforeAutospacing="0" w:after="0" w:afterAutospacing="0" w:line="276" w:lineRule="auto"/>
        <w:ind w:firstLine="720"/>
        <w:jc w:val="both"/>
      </w:pPr>
      <w:r>
        <w:t>[</w:t>
      </w:r>
      <w:r w:rsidR="00100A23">
        <w:t>16</w:t>
      </w:r>
      <w:r>
        <w:t>] </w:t>
      </w:r>
      <w:r w:rsidR="00C231D5">
        <w:t xml:space="preserve">Vienlaikus </w:t>
      </w:r>
      <w:r w:rsidR="008D70B3">
        <w:t xml:space="preserve">norādāms, ka situācija, kad informācijas nepieejamība personai rada </w:t>
      </w:r>
      <w:r w:rsidR="00933E77">
        <w:t>tiesisko</w:t>
      </w:r>
      <w:r w:rsidR="008D70B3">
        <w:t xml:space="preserve"> </w:t>
      </w:r>
      <w:r w:rsidR="004C3F99">
        <w:t xml:space="preserve">interešu </w:t>
      </w:r>
      <w:r w:rsidR="00933E77">
        <w:t xml:space="preserve">būtisku </w:t>
      </w:r>
      <w:r w:rsidR="004C3F99">
        <w:t xml:space="preserve">aizskārumu, būtībā ir izņēmuma situācija, kuru ar lielāko varbūtību būs iespējams konstatēt vienīgi netipiskos gadījumos. </w:t>
      </w:r>
      <w:r w:rsidR="001D1301">
        <w:t xml:space="preserve">Tāpēc iestādes (un secīgi tiesas) argumentiem par to, kādēļ konkrētajā gadījumā persona ir atbrīvojama no valsts nodevas apmaksas par informācijas izsniegšanu, ir jābūt </w:t>
      </w:r>
      <w:r w:rsidR="00A34F84">
        <w:t>balstītiem uz pietiekami būtiskiem apstākļiem.</w:t>
      </w:r>
    </w:p>
    <w:p w14:paraId="1E9F0E7E" w14:textId="2770F8CF" w:rsidR="00A815A4" w:rsidRDefault="00A815A4" w:rsidP="00D4400D">
      <w:pPr>
        <w:pStyle w:val="NormalWeb"/>
        <w:shd w:val="clear" w:color="auto" w:fill="FFFFFF"/>
        <w:spacing w:before="0" w:beforeAutospacing="0" w:after="0" w:afterAutospacing="0" w:line="276" w:lineRule="auto"/>
        <w:ind w:firstLine="720"/>
        <w:jc w:val="both"/>
      </w:pPr>
      <w:r>
        <w:t>Šajā sakarā Senāts konstatē, ka tiesa pārsūdzētajā spriedumā</w:t>
      </w:r>
      <w:r w:rsidR="00F91BAD">
        <w:t>, vērtējot pieprasītās informācijas nepieciešamību pieteicēja tiesisko interešu aizsardzībai, būtībā ir tikai vispārīgi</w:t>
      </w:r>
      <w:r w:rsidR="005C5D4B">
        <w:t xml:space="preserve"> – </w:t>
      </w:r>
      <w:r w:rsidR="00F91BAD">
        <w:t>ņemot vērā vienīgi paša pieteicēja skaidroto par viņa saistību ar</w:t>
      </w:r>
      <w:r w:rsidR="00D4400D">
        <w:t xml:space="preserve"> [pers. B] </w:t>
      </w:r>
      <w:r w:rsidR="005C5D4B">
        <w:t xml:space="preserve">– </w:t>
      </w:r>
      <w:r w:rsidR="00F91BAD">
        <w:t xml:space="preserve">norādījusi, ka informācija </w:t>
      </w:r>
      <w:r w:rsidR="00735E14">
        <w:t>par</w:t>
      </w:r>
      <w:r w:rsidR="00D4400D">
        <w:t xml:space="preserve"> [pers. B]</w:t>
      </w:r>
      <w:r w:rsidR="00735E14">
        <w:t xml:space="preserve"> </w:t>
      </w:r>
      <w:r w:rsidR="00F91BAD">
        <w:t xml:space="preserve">ir pieprasīta pieteicēja tiesību uz privāto dzīvi kontekstā. </w:t>
      </w:r>
      <w:r w:rsidR="002006F9">
        <w:t xml:space="preserve">Taču tas, ka kāda noteikta informācija ir pieprasīta personas tiesību uz privāto dzīvi kontekstā, pats par sevi automātiski nenozīmē, ka </w:t>
      </w:r>
      <w:r w:rsidR="00735E14">
        <w:t>šāda informācija</w:t>
      </w:r>
      <w:r w:rsidR="002006F9">
        <w:t xml:space="preserve"> personai ir izsniedzama, viņu atbrīvojot no valsts nodevas par informācijas sniegšanu samaksas.</w:t>
      </w:r>
      <w:r w:rsidR="0080172E">
        <w:t xml:space="preserve"> </w:t>
      </w:r>
      <w:r w:rsidR="00933E77">
        <w:t xml:space="preserve">Lai būtu pamats </w:t>
      </w:r>
      <w:proofErr w:type="spellStart"/>
      <w:r w:rsidR="00933E77">
        <w:t>pamattiesību</w:t>
      </w:r>
      <w:proofErr w:type="spellEnd"/>
      <w:r w:rsidR="00933E77">
        <w:t xml:space="preserve"> būtiska aizskāruma riska novēršanas labad atbrīvot personu no valsts nodevas samaksas pienākuma, jākonstatē, ka informācijas nesaņemšana var novest pie personas tiesisko interešu būtiska </w:t>
      </w:r>
      <w:r w:rsidR="00245504">
        <w:t>aizsk</w:t>
      </w:r>
      <w:r w:rsidR="00D86480">
        <w:t>ār</w:t>
      </w:r>
      <w:r w:rsidR="00245504">
        <w:t xml:space="preserve">uma un būtiska </w:t>
      </w:r>
      <w:r w:rsidR="00933E77">
        <w:t>kaitējuma</w:t>
      </w:r>
      <w:r w:rsidR="00245504">
        <w:t xml:space="preserve"> personai</w:t>
      </w:r>
      <w:r w:rsidR="00933E77">
        <w:t xml:space="preserve">. </w:t>
      </w:r>
      <w:r w:rsidR="002006F9">
        <w:t xml:space="preserve">Līdz ar to pārsūdzētajā spriedumā norādītie tiesas apsvērumi </w:t>
      </w:r>
      <w:r w:rsidR="00933E77">
        <w:t>par to</w:t>
      </w:r>
      <w:r w:rsidR="002006F9">
        <w:t xml:space="preserve">, kādēļ konkrētā gadījuma apstākļi ir </w:t>
      </w:r>
      <w:r w:rsidR="00933E77">
        <w:t>pamats</w:t>
      </w:r>
      <w:r w:rsidR="002006F9">
        <w:t xml:space="preserve"> pieteicēj</w:t>
      </w:r>
      <w:r w:rsidR="00933E77">
        <w:t>a</w:t>
      </w:r>
      <w:r w:rsidR="002006F9">
        <w:t xml:space="preserve"> atbrīvo</w:t>
      </w:r>
      <w:r w:rsidR="00933E77">
        <w:t>šanai</w:t>
      </w:r>
      <w:r w:rsidR="002006F9">
        <w:t xml:space="preserve"> no valsts nodevas samaksas, acīmredzami nav pietiekami, lai tos uzskatītu par konkrētā lūguma</w:t>
      </w:r>
      <w:r w:rsidR="00735E14">
        <w:t xml:space="preserve"> pieteicēju atbrīvot no valsts nodevas samaksas</w:t>
      </w:r>
      <w:r w:rsidR="002006F9">
        <w:t xml:space="preserve"> individuālu </w:t>
      </w:r>
      <w:proofErr w:type="spellStart"/>
      <w:r w:rsidR="002006F9">
        <w:t>izvērtējumu</w:t>
      </w:r>
      <w:proofErr w:type="spellEnd"/>
      <w:r w:rsidR="002006F9">
        <w:t>.</w:t>
      </w:r>
    </w:p>
    <w:p w14:paraId="7FDF2046" w14:textId="77777777" w:rsidR="00AF2651" w:rsidRPr="00BF7AA1" w:rsidRDefault="00AF2651" w:rsidP="00D4400D">
      <w:pPr>
        <w:pStyle w:val="NormalWeb"/>
        <w:shd w:val="clear" w:color="auto" w:fill="FFFFFF"/>
        <w:spacing w:before="0" w:beforeAutospacing="0" w:after="0" w:afterAutospacing="0" w:line="276" w:lineRule="auto"/>
        <w:ind w:firstLine="720"/>
        <w:jc w:val="both"/>
      </w:pPr>
    </w:p>
    <w:p w14:paraId="2285B0BC" w14:textId="77777777" w:rsidR="00447EE6" w:rsidRPr="00BF7AA1" w:rsidRDefault="00447EE6" w:rsidP="00D4400D">
      <w:pPr>
        <w:shd w:val="clear" w:color="auto" w:fill="FFFFFF"/>
        <w:spacing w:line="276" w:lineRule="auto"/>
        <w:jc w:val="center"/>
        <w:rPr>
          <w:b/>
        </w:rPr>
      </w:pPr>
      <w:r w:rsidRPr="00BF7AA1">
        <w:rPr>
          <w:b/>
        </w:rPr>
        <w:t xml:space="preserve">Rezolutīvā daļa </w:t>
      </w:r>
    </w:p>
    <w:p w14:paraId="7DD9DA2F" w14:textId="77777777" w:rsidR="00411CD0" w:rsidRPr="00BF7AA1" w:rsidRDefault="00411CD0" w:rsidP="00D4400D">
      <w:pPr>
        <w:shd w:val="clear" w:color="auto" w:fill="FFFFFF"/>
        <w:spacing w:line="276" w:lineRule="auto"/>
        <w:jc w:val="center"/>
        <w:rPr>
          <w:b/>
        </w:rPr>
      </w:pPr>
    </w:p>
    <w:p w14:paraId="29943EA0" w14:textId="4BF0A2DD" w:rsidR="00447EE6" w:rsidRPr="00BF7AA1" w:rsidRDefault="00447EE6" w:rsidP="00D4400D">
      <w:pPr>
        <w:shd w:val="clear" w:color="auto" w:fill="FFFFFF"/>
        <w:spacing w:line="276" w:lineRule="auto"/>
        <w:ind w:firstLine="720"/>
        <w:jc w:val="both"/>
      </w:pPr>
      <w:r w:rsidRPr="00BF7AA1">
        <w:t xml:space="preserve">Pamatojoties uz </w:t>
      </w:r>
      <w:r w:rsidR="000A65CA" w:rsidRPr="00BF7AA1">
        <w:rPr>
          <w:rFonts w:eastAsiaTheme="minorHAnsi"/>
          <w:lang w:eastAsia="en-US"/>
        </w:rPr>
        <w:t>Administratīvā procesa likuma 129.</w:t>
      </w:r>
      <w:r w:rsidR="000A65CA" w:rsidRPr="00BF7AA1">
        <w:rPr>
          <w:rFonts w:eastAsiaTheme="minorHAnsi"/>
          <w:vertAlign w:val="superscript"/>
          <w:lang w:eastAsia="en-US"/>
        </w:rPr>
        <w:t>1</w:t>
      </w:r>
      <w:r w:rsidR="000A65CA" w:rsidRPr="00BF7AA1">
        <w:rPr>
          <w:rFonts w:eastAsiaTheme="minorHAnsi"/>
          <w:lang w:eastAsia="en-US"/>
        </w:rPr>
        <w:t xml:space="preserve">panta pirmās daļas 1.punktu, 348.panta pirmās daļas </w:t>
      </w:r>
      <w:r w:rsidR="000E79C4" w:rsidRPr="00BF7AA1">
        <w:rPr>
          <w:rFonts w:eastAsiaTheme="minorHAnsi"/>
          <w:lang w:eastAsia="en-US"/>
        </w:rPr>
        <w:t>2.</w:t>
      </w:r>
      <w:r w:rsidR="000A65CA" w:rsidRPr="00BF7AA1">
        <w:rPr>
          <w:rFonts w:eastAsiaTheme="minorHAnsi"/>
          <w:lang w:eastAsia="en-US"/>
        </w:rPr>
        <w:t>punktu un 351.pantu</w:t>
      </w:r>
      <w:r w:rsidR="000A65CA" w:rsidRPr="00BF7AA1">
        <w:t xml:space="preserve">, </w:t>
      </w:r>
      <w:r w:rsidRPr="00BF7AA1">
        <w:t>Senāts</w:t>
      </w:r>
    </w:p>
    <w:p w14:paraId="37335C36" w14:textId="77777777" w:rsidR="00411CD0" w:rsidRPr="00BF7AA1" w:rsidRDefault="00411CD0" w:rsidP="00D4400D">
      <w:pPr>
        <w:shd w:val="clear" w:color="auto" w:fill="FFFFFF"/>
        <w:spacing w:line="276" w:lineRule="auto"/>
        <w:ind w:firstLine="720"/>
        <w:jc w:val="both"/>
      </w:pPr>
    </w:p>
    <w:p w14:paraId="48656686" w14:textId="77777777" w:rsidR="00447EE6" w:rsidRPr="00BF7AA1" w:rsidRDefault="00411CD0" w:rsidP="00D4400D">
      <w:pPr>
        <w:shd w:val="clear" w:color="auto" w:fill="FFFFFF"/>
        <w:spacing w:line="276" w:lineRule="auto"/>
        <w:jc w:val="center"/>
        <w:rPr>
          <w:b/>
        </w:rPr>
      </w:pPr>
      <w:r w:rsidRPr="00BF7AA1">
        <w:rPr>
          <w:b/>
        </w:rPr>
        <w:t>n</w:t>
      </w:r>
      <w:r w:rsidR="00447EE6" w:rsidRPr="00BF7AA1">
        <w:rPr>
          <w:b/>
        </w:rPr>
        <w:t>osprieda</w:t>
      </w:r>
    </w:p>
    <w:p w14:paraId="11425D71" w14:textId="77777777" w:rsidR="00BF21E2" w:rsidRPr="00BF7AA1" w:rsidRDefault="00BF21E2" w:rsidP="00D4400D">
      <w:pPr>
        <w:spacing w:line="276" w:lineRule="auto"/>
        <w:jc w:val="both"/>
      </w:pPr>
    </w:p>
    <w:p w14:paraId="3A07665B" w14:textId="7AEC5DCE" w:rsidR="00BF21E2" w:rsidRPr="00BF7AA1" w:rsidRDefault="007F57CA" w:rsidP="00D4400D">
      <w:pPr>
        <w:spacing w:line="276" w:lineRule="auto"/>
        <w:ind w:firstLine="720"/>
        <w:jc w:val="both"/>
      </w:pPr>
      <w:r w:rsidRPr="00BF7AA1">
        <w:lastRenderedPageBreak/>
        <w:t>a</w:t>
      </w:r>
      <w:r w:rsidR="00BF21E2" w:rsidRPr="00BF7AA1">
        <w:t xml:space="preserve">tcelt Administratīvās rajona tiesas </w:t>
      </w:r>
      <w:r w:rsidR="00AF2651">
        <w:t>2025.gada 2.aprīļa</w:t>
      </w:r>
      <w:r w:rsidR="00093086" w:rsidRPr="00BF7AA1">
        <w:t xml:space="preserve"> </w:t>
      </w:r>
      <w:r w:rsidR="00BF21E2" w:rsidRPr="00BF7AA1">
        <w:t xml:space="preserve">spriedumu </w:t>
      </w:r>
      <w:r w:rsidR="00C231D5">
        <w:t xml:space="preserve">daļā, kurā apmierināts </w:t>
      </w:r>
      <w:r w:rsidR="00D4400D">
        <w:t xml:space="preserve">[pers. A] </w:t>
      </w:r>
      <w:r w:rsidR="00C231D5">
        <w:t xml:space="preserve">pieteikums, </w:t>
      </w:r>
      <w:r w:rsidR="00BF21E2" w:rsidRPr="00BF7AA1">
        <w:t xml:space="preserve">un nodot lietu </w:t>
      </w:r>
      <w:r w:rsidR="00C231D5">
        <w:t xml:space="preserve">šajā daļā </w:t>
      </w:r>
      <w:r w:rsidR="00BF21E2" w:rsidRPr="00BF7AA1">
        <w:t>jaunai izskatīšanai Administratīvajai rajona tiesai</w:t>
      </w:r>
      <w:r w:rsidRPr="00BF7AA1">
        <w:t>;</w:t>
      </w:r>
    </w:p>
    <w:p w14:paraId="48EE94A3" w14:textId="3B8C1651" w:rsidR="00BF21E2" w:rsidRPr="000E79C4" w:rsidRDefault="007F57CA" w:rsidP="00D4400D">
      <w:pPr>
        <w:spacing w:line="276" w:lineRule="auto"/>
        <w:ind w:firstLine="720"/>
        <w:jc w:val="both"/>
      </w:pPr>
      <w:r w:rsidRPr="00BF7AA1">
        <w:t>a</w:t>
      </w:r>
      <w:r w:rsidR="00BF21E2" w:rsidRPr="00BF7AA1">
        <w:t xml:space="preserve">tmaksāt </w:t>
      </w:r>
      <w:r w:rsidR="00AF2651">
        <w:t>Pilsonības un migrācijas lietu pārvaldei</w:t>
      </w:r>
      <w:r w:rsidR="005D1B71" w:rsidRPr="00BF7AA1">
        <w:t xml:space="preserve"> </w:t>
      </w:r>
      <w:r w:rsidR="00BF21E2" w:rsidRPr="00BF7AA1">
        <w:t xml:space="preserve">drošības naudu </w:t>
      </w:r>
      <w:r w:rsidR="00AF2651">
        <w:t>70 </w:t>
      </w:r>
      <w:proofErr w:type="spellStart"/>
      <w:r w:rsidR="00BF21E2" w:rsidRPr="00BF7AA1">
        <w:rPr>
          <w:i/>
        </w:rPr>
        <w:t>euro</w:t>
      </w:r>
      <w:proofErr w:type="spellEnd"/>
      <w:r w:rsidR="000E79C4" w:rsidRPr="00BF7AA1">
        <w:t>.</w:t>
      </w:r>
    </w:p>
    <w:p w14:paraId="03C91A6B" w14:textId="77777777" w:rsidR="007F57CA" w:rsidRPr="000E79C4" w:rsidRDefault="007F57CA" w:rsidP="00D4400D">
      <w:pPr>
        <w:spacing w:line="276" w:lineRule="auto"/>
        <w:ind w:firstLine="720"/>
        <w:jc w:val="both"/>
      </w:pPr>
    </w:p>
    <w:p w14:paraId="55072F3F" w14:textId="77777777" w:rsidR="00BF21E2" w:rsidRDefault="00BF21E2" w:rsidP="00D4400D">
      <w:pPr>
        <w:spacing w:line="276" w:lineRule="auto"/>
        <w:ind w:firstLine="720"/>
        <w:jc w:val="both"/>
      </w:pPr>
      <w:r w:rsidRPr="000E79C4">
        <w:t>Spriedums nav pārsūdzams.</w:t>
      </w:r>
    </w:p>
    <w:p w14:paraId="1FBD5BBE" w14:textId="77777777" w:rsidR="00BF21E2" w:rsidRDefault="00BF21E2" w:rsidP="00CE126D">
      <w:pPr>
        <w:spacing w:line="276" w:lineRule="auto"/>
        <w:ind w:firstLine="720"/>
        <w:jc w:val="both"/>
        <w:rPr>
          <w:bCs/>
        </w:rPr>
      </w:pPr>
    </w:p>
    <w:p w14:paraId="3E754AA3" w14:textId="77777777" w:rsidR="00BF21E2" w:rsidRDefault="00BF21E2" w:rsidP="00BF21E2">
      <w:pPr>
        <w:spacing w:line="276" w:lineRule="auto"/>
        <w:ind w:firstLine="567"/>
        <w:jc w:val="both"/>
        <w:rPr>
          <w:bCs/>
        </w:rPr>
      </w:pPr>
    </w:p>
    <w:p w14:paraId="54DD5249" w14:textId="77777777" w:rsidR="00273A50" w:rsidRDefault="00273A50" w:rsidP="000E79C4">
      <w:pPr>
        <w:spacing w:line="276" w:lineRule="auto"/>
        <w:jc w:val="both"/>
        <w:rPr>
          <w:bCs/>
        </w:rPr>
      </w:pPr>
    </w:p>
    <w:p w14:paraId="49AAAE0F" w14:textId="77777777" w:rsidR="00BF21E2" w:rsidRPr="00A6596A" w:rsidRDefault="00BF21E2" w:rsidP="00BF21E2">
      <w:pPr>
        <w:spacing w:line="276" w:lineRule="auto"/>
        <w:ind w:firstLine="567"/>
        <w:jc w:val="both"/>
        <w:rPr>
          <w:bCs/>
        </w:rPr>
      </w:pPr>
    </w:p>
    <w:p w14:paraId="5946D59B" w14:textId="455D6BF6" w:rsidR="00447EE6" w:rsidRPr="005E392D" w:rsidRDefault="00273A50" w:rsidP="00D4400D">
      <w:pPr>
        <w:tabs>
          <w:tab w:val="center" w:pos="1276"/>
          <w:tab w:val="center" w:pos="4678"/>
          <w:tab w:val="center" w:pos="8080"/>
        </w:tabs>
        <w:spacing w:line="276" w:lineRule="auto"/>
        <w:jc w:val="both"/>
      </w:pPr>
      <w:r>
        <w:rPr>
          <w:color w:val="000000"/>
        </w:rPr>
        <w:tab/>
      </w:r>
    </w:p>
    <w:p w14:paraId="0D7D76F3" w14:textId="77777777" w:rsidR="00B54F4B" w:rsidRDefault="00B54F4B"/>
    <w:sectPr w:rsidR="00B54F4B" w:rsidSect="00255EA2">
      <w:footerReference w:type="default" r:id="rId13"/>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1EF3F" w14:textId="77777777" w:rsidR="00195438" w:rsidRDefault="00195438" w:rsidP="009F7ACE">
      <w:r>
        <w:separator/>
      </w:r>
    </w:p>
  </w:endnote>
  <w:endnote w:type="continuationSeparator" w:id="0">
    <w:p w14:paraId="11567F9F" w14:textId="77777777" w:rsidR="00195438" w:rsidRDefault="00195438"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8EBE9" w14:textId="40C61DAD"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3D2BAD">
      <w:rPr>
        <w:rStyle w:val="PageNumber"/>
        <w:noProof/>
        <w:sz w:val="20"/>
        <w:szCs w:val="20"/>
      </w:rPr>
      <w:t>9</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75A4E" w14:textId="77777777" w:rsidR="00195438" w:rsidRDefault="00195438" w:rsidP="009F7ACE">
      <w:r>
        <w:separator/>
      </w:r>
    </w:p>
  </w:footnote>
  <w:footnote w:type="continuationSeparator" w:id="0">
    <w:p w14:paraId="6E0D0702" w14:textId="77777777" w:rsidR="00195438" w:rsidRDefault="00195438"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02D2"/>
    <w:rsid w:val="00000C4E"/>
    <w:rsid w:val="00003F65"/>
    <w:rsid w:val="000071F3"/>
    <w:rsid w:val="000100F4"/>
    <w:rsid w:val="00011A2B"/>
    <w:rsid w:val="00014BE7"/>
    <w:rsid w:val="00015B4A"/>
    <w:rsid w:val="00017B53"/>
    <w:rsid w:val="00020BD5"/>
    <w:rsid w:val="00024985"/>
    <w:rsid w:val="00025277"/>
    <w:rsid w:val="000264A4"/>
    <w:rsid w:val="00030F4E"/>
    <w:rsid w:val="00031428"/>
    <w:rsid w:val="00031FD5"/>
    <w:rsid w:val="00036063"/>
    <w:rsid w:val="0003674C"/>
    <w:rsid w:val="00037EE7"/>
    <w:rsid w:val="00044967"/>
    <w:rsid w:val="000570A4"/>
    <w:rsid w:val="000576DB"/>
    <w:rsid w:val="000652D5"/>
    <w:rsid w:val="0007350C"/>
    <w:rsid w:val="00082F27"/>
    <w:rsid w:val="0008551C"/>
    <w:rsid w:val="000868E1"/>
    <w:rsid w:val="0008797D"/>
    <w:rsid w:val="000914D2"/>
    <w:rsid w:val="00093086"/>
    <w:rsid w:val="0009576C"/>
    <w:rsid w:val="00095A8F"/>
    <w:rsid w:val="00096C97"/>
    <w:rsid w:val="000A0640"/>
    <w:rsid w:val="000A2A6D"/>
    <w:rsid w:val="000A521F"/>
    <w:rsid w:val="000A5376"/>
    <w:rsid w:val="000A65CA"/>
    <w:rsid w:val="000B01B5"/>
    <w:rsid w:val="000B08C8"/>
    <w:rsid w:val="000B32F3"/>
    <w:rsid w:val="000B5B46"/>
    <w:rsid w:val="000C0B9A"/>
    <w:rsid w:val="000C1668"/>
    <w:rsid w:val="000C1C2E"/>
    <w:rsid w:val="000C2161"/>
    <w:rsid w:val="000C5923"/>
    <w:rsid w:val="000C5B7E"/>
    <w:rsid w:val="000C6A01"/>
    <w:rsid w:val="000D008B"/>
    <w:rsid w:val="000D3EBD"/>
    <w:rsid w:val="000D5436"/>
    <w:rsid w:val="000E4C8D"/>
    <w:rsid w:val="000E680F"/>
    <w:rsid w:val="000E79C4"/>
    <w:rsid w:val="000E7B54"/>
    <w:rsid w:val="000F519E"/>
    <w:rsid w:val="00100A23"/>
    <w:rsid w:val="00101BCD"/>
    <w:rsid w:val="00104311"/>
    <w:rsid w:val="001104D9"/>
    <w:rsid w:val="001122F0"/>
    <w:rsid w:val="00112919"/>
    <w:rsid w:val="001142E6"/>
    <w:rsid w:val="00116A60"/>
    <w:rsid w:val="00116BDC"/>
    <w:rsid w:val="0012199C"/>
    <w:rsid w:val="00143BEA"/>
    <w:rsid w:val="00144011"/>
    <w:rsid w:val="001456FC"/>
    <w:rsid w:val="00147086"/>
    <w:rsid w:val="00150C80"/>
    <w:rsid w:val="0015748A"/>
    <w:rsid w:val="001627B7"/>
    <w:rsid w:val="0017019E"/>
    <w:rsid w:val="001723CF"/>
    <w:rsid w:val="001727BC"/>
    <w:rsid w:val="00175001"/>
    <w:rsid w:val="0017727A"/>
    <w:rsid w:val="00184D50"/>
    <w:rsid w:val="001948BE"/>
    <w:rsid w:val="00195343"/>
    <w:rsid w:val="00195438"/>
    <w:rsid w:val="00195A5B"/>
    <w:rsid w:val="001A26AF"/>
    <w:rsid w:val="001A5825"/>
    <w:rsid w:val="001A5B38"/>
    <w:rsid w:val="001B15C4"/>
    <w:rsid w:val="001B5053"/>
    <w:rsid w:val="001B7A71"/>
    <w:rsid w:val="001C2ED0"/>
    <w:rsid w:val="001C3271"/>
    <w:rsid w:val="001C4A8C"/>
    <w:rsid w:val="001C530B"/>
    <w:rsid w:val="001D08BB"/>
    <w:rsid w:val="001D1301"/>
    <w:rsid w:val="001D4D0E"/>
    <w:rsid w:val="001D4E17"/>
    <w:rsid w:val="001D5709"/>
    <w:rsid w:val="001D7085"/>
    <w:rsid w:val="001E2EB1"/>
    <w:rsid w:val="001E4BDD"/>
    <w:rsid w:val="001F027F"/>
    <w:rsid w:val="001F1CAD"/>
    <w:rsid w:val="001F5C2C"/>
    <w:rsid w:val="002006F9"/>
    <w:rsid w:val="00210C3A"/>
    <w:rsid w:val="002117A3"/>
    <w:rsid w:val="00213DFD"/>
    <w:rsid w:val="0021553F"/>
    <w:rsid w:val="00215A03"/>
    <w:rsid w:val="0022007B"/>
    <w:rsid w:val="0022313B"/>
    <w:rsid w:val="002237AF"/>
    <w:rsid w:val="00233B74"/>
    <w:rsid w:val="00240F92"/>
    <w:rsid w:val="00242444"/>
    <w:rsid w:val="0024442B"/>
    <w:rsid w:val="00245504"/>
    <w:rsid w:val="00255EA2"/>
    <w:rsid w:val="002561B7"/>
    <w:rsid w:val="00257932"/>
    <w:rsid w:val="00260386"/>
    <w:rsid w:val="00262A25"/>
    <w:rsid w:val="002637DE"/>
    <w:rsid w:val="00263C33"/>
    <w:rsid w:val="00271E0F"/>
    <w:rsid w:val="002731B5"/>
    <w:rsid w:val="00273A50"/>
    <w:rsid w:val="00275330"/>
    <w:rsid w:val="0028076B"/>
    <w:rsid w:val="00281249"/>
    <w:rsid w:val="00287ADC"/>
    <w:rsid w:val="00292F1B"/>
    <w:rsid w:val="002A0372"/>
    <w:rsid w:val="002B0EF3"/>
    <w:rsid w:val="002B48F1"/>
    <w:rsid w:val="002B515A"/>
    <w:rsid w:val="002B672E"/>
    <w:rsid w:val="002B7196"/>
    <w:rsid w:val="002B7E96"/>
    <w:rsid w:val="002C50B6"/>
    <w:rsid w:val="002C7B85"/>
    <w:rsid w:val="002C7E0D"/>
    <w:rsid w:val="002D1B66"/>
    <w:rsid w:val="002D2505"/>
    <w:rsid w:val="002D4A4F"/>
    <w:rsid w:val="002D62B6"/>
    <w:rsid w:val="002E3351"/>
    <w:rsid w:val="002E5E9A"/>
    <w:rsid w:val="002E7425"/>
    <w:rsid w:val="002F088E"/>
    <w:rsid w:val="002F0EA4"/>
    <w:rsid w:val="002F17FE"/>
    <w:rsid w:val="002F4503"/>
    <w:rsid w:val="002F486D"/>
    <w:rsid w:val="002F5118"/>
    <w:rsid w:val="002F6E1C"/>
    <w:rsid w:val="003004FD"/>
    <w:rsid w:val="00303DD7"/>
    <w:rsid w:val="003059F8"/>
    <w:rsid w:val="00306538"/>
    <w:rsid w:val="00307B8A"/>
    <w:rsid w:val="00307E15"/>
    <w:rsid w:val="00310931"/>
    <w:rsid w:val="003122EF"/>
    <w:rsid w:val="00313341"/>
    <w:rsid w:val="00313A12"/>
    <w:rsid w:val="00314104"/>
    <w:rsid w:val="00326050"/>
    <w:rsid w:val="00327887"/>
    <w:rsid w:val="00330BA1"/>
    <w:rsid w:val="00333B14"/>
    <w:rsid w:val="0033435D"/>
    <w:rsid w:val="00336B4F"/>
    <w:rsid w:val="00340B38"/>
    <w:rsid w:val="003532DE"/>
    <w:rsid w:val="003538CE"/>
    <w:rsid w:val="003612A9"/>
    <w:rsid w:val="0036179C"/>
    <w:rsid w:val="00362BEB"/>
    <w:rsid w:val="00370301"/>
    <w:rsid w:val="003735D6"/>
    <w:rsid w:val="0037540C"/>
    <w:rsid w:val="003761B4"/>
    <w:rsid w:val="00377956"/>
    <w:rsid w:val="00377FF8"/>
    <w:rsid w:val="0038608D"/>
    <w:rsid w:val="00386B0D"/>
    <w:rsid w:val="00391787"/>
    <w:rsid w:val="0039596D"/>
    <w:rsid w:val="003961BD"/>
    <w:rsid w:val="00397EDD"/>
    <w:rsid w:val="003A06C8"/>
    <w:rsid w:val="003A1FD4"/>
    <w:rsid w:val="003A3C31"/>
    <w:rsid w:val="003A504B"/>
    <w:rsid w:val="003A6A8A"/>
    <w:rsid w:val="003B2274"/>
    <w:rsid w:val="003B4120"/>
    <w:rsid w:val="003C5109"/>
    <w:rsid w:val="003C5B23"/>
    <w:rsid w:val="003C62BE"/>
    <w:rsid w:val="003D1E51"/>
    <w:rsid w:val="003D2BAD"/>
    <w:rsid w:val="003D5613"/>
    <w:rsid w:val="003D6244"/>
    <w:rsid w:val="003D6E5A"/>
    <w:rsid w:val="003D6F7F"/>
    <w:rsid w:val="003D74F3"/>
    <w:rsid w:val="003E3BEE"/>
    <w:rsid w:val="003E7128"/>
    <w:rsid w:val="003F113C"/>
    <w:rsid w:val="003F3ABE"/>
    <w:rsid w:val="003F59D9"/>
    <w:rsid w:val="003F63EB"/>
    <w:rsid w:val="00406634"/>
    <w:rsid w:val="00411CD0"/>
    <w:rsid w:val="0041410B"/>
    <w:rsid w:val="0041733A"/>
    <w:rsid w:val="0042339B"/>
    <w:rsid w:val="00432DAD"/>
    <w:rsid w:val="00435150"/>
    <w:rsid w:val="00437355"/>
    <w:rsid w:val="00440A99"/>
    <w:rsid w:val="00440DBC"/>
    <w:rsid w:val="00442DF9"/>
    <w:rsid w:val="00447EE6"/>
    <w:rsid w:val="00452969"/>
    <w:rsid w:val="00452C28"/>
    <w:rsid w:val="00452CF1"/>
    <w:rsid w:val="0045643F"/>
    <w:rsid w:val="00457BF7"/>
    <w:rsid w:val="00462150"/>
    <w:rsid w:val="0046343A"/>
    <w:rsid w:val="00466E03"/>
    <w:rsid w:val="00467E4D"/>
    <w:rsid w:val="004724FE"/>
    <w:rsid w:val="004816E1"/>
    <w:rsid w:val="00483D3C"/>
    <w:rsid w:val="00485187"/>
    <w:rsid w:val="00491C46"/>
    <w:rsid w:val="00493013"/>
    <w:rsid w:val="0049357E"/>
    <w:rsid w:val="00496684"/>
    <w:rsid w:val="00497E8E"/>
    <w:rsid w:val="004A0194"/>
    <w:rsid w:val="004A4A78"/>
    <w:rsid w:val="004B2A94"/>
    <w:rsid w:val="004B6B8F"/>
    <w:rsid w:val="004C23D3"/>
    <w:rsid w:val="004C3F99"/>
    <w:rsid w:val="004C420B"/>
    <w:rsid w:val="004C42AE"/>
    <w:rsid w:val="004D1F78"/>
    <w:rsid w:val="004D63E8"/>
    <w:rsid w:val="004E07B2"/>
    <w:rsid w:val="004E21F6"/>
    <w:rsid w:val="004E2FC3"/>
    <w:rsid w:val="004F3476"/>
    <w:rsid w:val="004F6199"/>
    <w:rsid w:val="004F744E"/>
    <w:rsid w:val="0050052F"/>
    <w:rsid w:val="0050062D"/>
    <w:rsid w:val="005039D2"/>
    <w:rsid w:val="00504F12"/>
    <w:rsid w:val="0050726D"/>
    <w:rsid w:val="00507AB3"/>
    <w:rsid w:val="00511F7C"/>
    <w:rsid w:val="00513E4C"/>
    <w:rsid w:val="005141FC"/>
    <w:rsid w:val="0051546F"/>
    <w:rsid w:val="005226DB"/>
    <w:rsid w:val="00523566"/>
    <w:rsid w:val="005303AA"/>
    <w:rsid w:val="0053162F"/>
    <w:rsid w:val="00533393"/>
    <w:rsid w:val="0054020D"/>
    <w:rsid w:val="00542A0A"/>
    <w:rsid w:val="00544E42"/>
    <w:rsid w:val="00547C02"/>
    <w:rsid w:val="00556F8B"/>
    <w:rsid w:val="005573CE"/>
    <w:rsid w:val="0056189C"/>
    <w:rsid w:val="00563401"/>
    <w:rsid w:val="00567A46"/>
    <w:rsid w:val="00580FB7"/>
    <w:rsid w:val="00581469"/>
    <w:rsid w:val="00586F55"/>
    <w:rsid w:val="0058785C"/>
    <w:rsid w:val="00592E72"/>
    <w:rsid w:val="00597186"/>
    <w:rsid w:val="005A0767"/>
    <w:rsid w:val="005A62B2"/>
    <w:rsid w:val="005B5415"/>
    <w:rsid w:val="005B6AE7"/>
    <w:rsid w:val="005C2CA9"/>
    <w:rsid w:val="005C5D4B"/>
    <w:rsid w:val="005C6FB2"/>
    <w:rsid w:val="005D00E6"/>
    <w:rsid w:val="005D17E0"/>
    <w:rsid w:val="005D1B71"/>
    <w:rsid w:val="005D275C"/>
    <w:rsid w:val="005D3EA8"/>
    <w:rsid w:val="005D4610"/>
    <w:rsid w:val="005D51E7"/>
    <w:rsid w:val="005D70C5"/>
    <w:rsid w:val="005E2EF2"/>
    <w:rsid w:val="005E46B8"/>
    <w:rsid w:val="005E5FE0"/>
    <w:rsid w:val="005E667C"/>
    <w:rsid w:val="005F1D67"/>
    <w:rsid w:val="005F60B5"/>
    <w:rsid w:val="005F75C4"/>
    <w:rsid w:val="005F7E71"/>
    <w:rsid w:val="00600A7E"/>
    <w:rsid w:val="006012FF"/>
    <w:rsid w:val="00602CA9"/>
    <w:rsid w:val="00611865"/>
    <w:rsid w:val="00617F97"/>
    <w:rsid w:val="006218DC"/>
    <w:rsid w:val="00625116"/>
    <w:rsid w:val="00625A49"/>
    <w:rsid w:val="006266C1"/>
    <w:rsid w:val="00626B93"/>
    <w:rsid w:val="00627624"/>
    <w:rsid w:val="00631BE5"/>
    <w:rsid w:val="00640883"/>
    <w:rsid w:val="00646FF4"/>
    <w:rsid w:val="00657262"/>
    <w:rsid w:val="0065780D"/>
    <w:rsid w:val="006627BC"/>
    <w:rsid w:val="0066638F"/>
    <w:rsid w:val="006664C2"/>
    <w:rsid w:val="006738A7"/>
    <w:rsid w:val="00691BD7"/>
    <w:rsid w:val="006925D1"/>
    <w:rsid w:val="006930CC"/>
    <w:rsid w:val="0069381F"/>
    <w:rsid w:val="00695068"/>
    <w:rsid w:val="006A0F44"/>
    <w:rsid w:val="006A46F9"/>
    <w:rsid w:val="006B3069"/>
    <w:rsid w:val="006C215A"/>
    <w:rsid w:val="006C4DDE"/>
    <w:rsid w:val="006D188D"/>
    <w:rsid w:val="006D649F"/>
    <w:rsid w:val="006D7766"/>
    <w:rsid w:val="006D7E1B"/>
    <w:rsid w:val="006E123C"/>
    <w:rsid w:val="006E6ABB"/>
    <w:rsid w:val="006E7382"/>
    <w:rsid w:val="006F1540"/>
    <w:rsid w:val="006F5DB8"/>
    <w:rsid w:val="00700218"/>
    <w:rsid w:val="007009CC"/>
    <w:rsid w:val="007011FE"/>
    <w:rsid w:val="0070239D"/>
    <w:rsid w:val="007029F4"/>
    <w:rsid w:val="00702EA8"/>
    <w:rsid w:val="0071091D"/>
    <w:rsid w:val="007175CE"/>
    <w:rsid w:val="00721F38"/>
    <w:rsid w:val="007221C8"/>
    <w:rsid w:val="00724DA2"/>
    <w:rsid w:val="00735E14"/>
    <w:rsid w:val="00736541"/>
    <w:rsid w:val="00736B3C"/>
    <w:rsid w:val="00737747"/>
    <w:rsid w:val="00744CF0"/>
    <w:rsid w:val="00747364"/>
    <w:rsid w:val="007532C0"/>
    <w:rsid w:val="00756446"/>
    <w:rsid w:val="00760C51"/>
    <w:rsid w:val="00763597"/>
    <w:rsid w:val="00764A2C"/>
    <w:rsid w:val="0076633D"/>
    <w:rsid w:val="0076657C"/>
    <w:rsid w:val="00771576"/>
    <w:rsid w:val="00771928"/>
    <w:rsid w:val="00773CB1"/>
    <w:rsid w:val="00777632"/>
    <w:rsid w:val="00781E94"/>
    <w:rsid w:val="00782568"/>
    <w:rsid w:val="00783C4D"/>
    <w:rsid w:val="00793300"/>
    <w:rsid w:val="007A3A21"/>
    <w:rsid w:val="007A5424"/>
    <w:rsid w:val="007B07F7"/>
    <w:rsid w:val="007B0AB2"/>
    <w:rsid w:val="007B2FB1"/>
    <w:rsid w:val="007B45B4"/>
    <w:rsid w:val="007B4686"/>
    <w:rsid w:val="007C1933"/>
    <w:rsid w:val="007C26B8"/>
    <w:rsid w:val="007C32C8"/>
    <w:rsid w:val="007C7CB5"/>
    <w:rsid w:val="007D2AA9"/>
    <w:rsid w:val="007E35A6"/>
    <w:rsid w:val="007E43F2"/>
    <w:rsid w:val="007E4808"/>
    <w:rsid w:val="007E747C"/>
    <w:rsid w:val="007F1B23"/>
    <w:rsid w:val="007F31AB"/>
    <w:rsid w:val="007F57CA"/>
    <w:rsid w:val="007F6BC0"/>
    <w:rsid w:val="0080172E"/>
    <w:rsid w:val="00802C99"/>
    <w:rsid w:val="00803EB9"/>
    <w:rsid w:val="00807E7C"/>
    <w:rsid w:val="00821F98"/>
    <w:rsid w:val="00823185"/>
    <w:rsid w:val="008261E4"/>
    <w:rsid w:val="00826E25"/>
    <w:rsid w:val="00841383"/>
    <w:rsid w:val="008440A0"/>
    <w:rsid w:val="00852FAC"/>
    <w:rsid w:val="00856260"/>
    <w:rsid w:val="008568E2"/>
    <w:rsid w:val="00860262"/>
    <w:rsid w:val="00861BDB"/>
    <w:rsid w:val="008659C5"/>
    <w:rsid w:val="0087302F"/>
    <w:rsid w:val="0087503A"/>
    <w:rsid w:val="00875200"/>
    <w:rsid w:val="0088048A"/>
    <w:rsid w:val="008868B9"/>
    <w:rsid w:val="00892677"/>
    <w:rsid w:val="00895F17"/>
    <w:rsid w:val="00897673"/>
    <w:rsid w:val="008A0874"/>
    <w:rsid w:val="008A09F0"/>
    <w:rsid w:val="008A109D"/>
    <w:rsid w:val="008A32BC"/>
    <w:rsid w:val="008B18AB"/>
    <w:rsid w:val="008B4A1D"/>
    <w:rsid w:val="008B5443"/>
    <w:rsid w:val="008D07A5"/>
    <w:rsid w:val="008D2261"/>
    <w:rsid w:val="008D237C"/>
    <w:rsid w:val="008D4692"/>
    <w:rsid w:val="008D56AA"/>
    <w:rsid w:val="008D70B3"/>
    <w:rsid w:val="008E07EA"/>
    <w:rsid w:val="008E0CC8"/>
    <w:rsid w:val="008E1258"/>
    <w:rsid w:val="008E2637"/>
    <w:rsid w:val="008E4D6C"/>
    <w:rsid w:val="008F0317"/>
    <w:rsid w:val="008F1AB9"/>
    <w:rsid w:val="008F5E55"/>
    <w:rsid w:val="009023B5"/>
    <w:rsid w:val="00903202"/>
    <w:rsid w:val="009306E8"/>
    <w:rsid w:val="00933E77"/>
    <w:rsid w:val="00936DD3"/>
    <w:rsid w:val="0093756D"/>
    <w:rsid w:val="00941BFD"/>
    <w:rsid w:val="00941EAE"/>
    <w:rsid w:val="009506BE"/>
    <w:rsid w:val="00952CC4"/>
    <w:rsid w:val="00953350"/>
    <w:rsid w:val="00956CEC"/>
    <w:rsid w:val="00960270"/>
    <w:rsid w:val="00961D18"/>
    <w:rsid w:val="00964B09"/>
    <w:rsid w:val="0096617F"/>
    <w:rsid w:val="00973749"/>
    <w:rsid w:val="00973977"/>
    <w:rsid w:val="00975A22"/>
    <w:rsid w:val="009773DB"/>
    <w:rsid w:val="0098082A"/>
    <w:rsid w:val="009837F1"/>
    <w:rsid w:val="00984E0A"/>
    <w:rsid w:val="00991ACB"/>
    <w:rsid w:val="00993622"/>
    <w:rsid w:val="00995279"/>
    <w:rsid w:val="00997F28"/>
    <w:rsid w:val="009A1500"/>
    <w:rsid w:val="009A19A2"/>
    <w:rsid w:val="009A241B"/>
    <w:rsid w:val="009A4AD5"/>
    <w:rsid w:val="009B06CB"/>
    <w:rsid w:val="009B6B82"/>
    <w:rsid w:val="009C5BD0"/>
    <w:rsid w:val="009C624D"/>
    <w:rsid w:val="009C7EC6"/>
    <w:rsid w:val="009D469E"/>
    <w:rsid w:val="009D5556"/>
    <w:rsid w:val="009D7947"/>
    <w:rsid w:val="009D7ED9"/>
    <w:rsid w:val="009E1628"/>
    <w:rsid w:val="009E222A"/>
    <w:rsid w:val="009E5F58"/>
    <w:rsid w:val="009E681E"/>
    <w:rsid w:val="009F1819"/>
    <w:rsid w:val="009F1EE7"/>
    <w:rsid w:val="009F2FB0"/>
    <w:rsid w:val="009F7ACE"/>
    <w:rsid w:val="00A0281B"/>
    <w:rsid w:val="00A07448"/>
    <w:rsid w:val="00A1132D"/>
    <w:rsid w:val="00A11873"/>
    <w:rsid w:val="00A13146"/>
    <w:rsid w:val="00A167D5"/>
    <w:rsid w:val="00A20D31"/>
    <w:rsid w:val="00A270E6"/>
    <w:rsid w:val="00A271C7"/>
    <w:rsid w:val="00A34F84"/>
    <w:rsid w:val="00A36A38"/>
    <w:rsid w:val="00A374AA"/>
    <w:rsid w:val="00A420D2"/>
    <w:rsid w:val="00A423E7"/>
    <w:rsid w:val="00A5048B"/>
    <w:rsid w:val="00A5220A"/>
    <w:rsid w:val="00A54B36"/>
    <w:rsid w:val="00A55457"/>
    <w:rsid w:val="00A61F1D"/>
    <w:rsid w:val="00A63702"/>
    <w:rsid w:val="00A6377B"/>
    <w:rsid w:val="00A676A6"/>
    <w:rsid w:val="00A67A69"/>
    <w:rsid w:val="00A70A89"/>
    <w:rsid w:val="00A71A2A"/>
    <w:rsid w:val="00A73AA8"/>
    <w:rsid w:val="00A75EA8"/>
    <w:rsid w:val="00A81269"/>
    <w:rsid w:val="00A815A4"/>
    <w:rsid w:val="00A83D27"/>
    <w:rsid w:val="00A853D4"/>
    <w:rsid w:val="00A96E1A"/>
    <w:rsid w:val="00AB141F"/>
    <w:rsid w:val="00AB5C15"/>
    <w:rsid w:val="00AC4945"/>
    <w:rsid w:val="00AD10F9"/>
    <w:rsid w:val="00AE1191"/>
    <w:rsid w:val="00AE18B5"/>
    <w:rsid w:val="00AE2D68"/>
    <w:rsid w:val="00AE6C86"/>
    <w:rsid w:val="00AF2651"/>
    <w:rsid w:val="00B01AD3"/>
    <w:rsid w:val="00B05122"/>
    <w:rsid w:val="00B07BCE"/>
    <w:rsid w:val="00B115F4"/>
    <w:rsid w:val="00B208FC"/>
    <w:rsid w:val="00B20C3F"/>
    <w:rsid w:val="00B223F8"/>
    <w:rsid w:val="00B34C06"/>
    <w:rsid w:val="00B35C8F"/>
    <w:rsid w:val="00B36695"/>
    <w:rsid w:val="00B368F8"/>
    <w:rsid w:val="00B36FE1"/>
    <w:rsid w:val="00B37C90"/>
    <w:rsid w:val="00B447C7"/>
    <w:rsid w:val="00B465F9"/>
    <w:rsid w:val="00B50B4E"/>
    <w:rsid w:val="00B50B74"/>
    <w:rsid w:val="00B53A06"/>
    <w:rsid w:val="00B54F4B"/>
    <w:rsid w:val="00B62830"/>
    <w:rsid w:val="00B63753"/>
    <w:rsid w:val="00B66171"/>
    <w:rsid w:val="00B67264"/>
    <w:rsid w:val="00B73C4A"/>
    <w:rsid w:val="00B80128"/>
    <w:rsid w:val="00B8294F"/>
    <w:rsid w:val="00B87E63"/>
    <w:rsid w:val="00B91096"/>
    <w:rsid w:val="00B92012"/>
    <w:rsid w:val="00B92AAF"/>
    <w:rsid w:val="00BA088A"/>
    <w:rsid w:val="00BA08CD"/>
    <w:rsid w:val="00BA4094"/>
    <w:rsid w:val="00BB1603"/>
    <w:rsid w:val="00BB44C2"/>
    <w:rsid w:val="00BB5C83"/>
    <w:rsid w:val="00BB74C3"/>
    <w:rsid w:val="00BC1AA6"/>
    <w:rsid w:val="00BC3238"/>
    <w:rsid w:val="00BC6FD3"/>
    <w:rsid w:val="00BC7110"/>
    <w:rsid w:val="00BC7AC3"/>
    <w:rsid w:val="00BD0535"/>
    <w:rsid w:val="00BD0DC2"/>
    <w:rsid w:val="00BE15B1"/>
    <w:rsid w:val="00BE4B03"/>
    <w:rsid w:val="00BE532B"/>
    <w:rsid w:val="00BE6DA7"/>
    <w:rsid w:val="00BF135F"/>
    <w:rsid w:val="00BF1788"/>
    <w:rsid w:val="00BF2080"/>
    <w:rsid w:val="00BF21E2"/>
    <w:rsid w:val="00BF49D8"/>
    <w:rsid w:val="00BF60AE"/>
    <w:rsid w:val="00BF60B2"/>
    <w:rsid w:val="00BF7AA1"/>
    <w:rsid w:val="00C01D04"/>
    <w:rsid w:val="00C0208B"/>
    <w:rsid w:val="00C031A6"/>
    <w:rsid w:val="00C051CB"/>
    <w:rsid w:val="00C07DB2"/>
    <w:rsid w:val="00C12519"/>
    <w:rsid w:val="00C1347A"/>
    <w:rsid w:val="00C145E1"/>
    <w:rsid w:val="00C1498E"/>
    <w:rsid w:val="00C231D5"/>
    <w:rsid w:val="00C253C0"/>
    <w:rsid w:val="00C27F76"/>
    <w:rsid w:val="00C324A6"/>
    <w:rsid w:val="00C3489D"/>
    <w:rsid w:val="00C36EA5"/>
    <w:rsid w:val="00C3702B"/>
    <w:rsid w:val="00C37299"/>
    <w:rsid w:val="00C47077"/>
    <w:rsid w:val="00C5023B"/>
    <w:rsid w:val="00C507A2"/>
    <w:rsid w:val="00C55958"/>
    <w:rsid w:val="00C5701F"/>
    <w:rsid w:val="00C57B2D"/>
    <w:rsid w:val="00C57D1C"/>
    <w:rsid w:val="00C62CF1"/>
    <w:rsid w:val="00C6658E"/>
    <w:rsid w:val="00C70897"/>
    <w:rsid w:val="00C7489D"/>
    <w:rsid w:val="00C75695"/>
    <w:rsid w:val="00C77BCE"/>
    <w:rsid w:val="00C813BD"/>
    <w:rsid w:val="00C83F01"/>
    <w:rsid w:val="00C85729"/>
    <w:rsid w:val="00C873B9"/>
    <w:rsid w:val="00C91399"/>
    <w:rsid w:val="00C93990"/>
    <w:rsid w:val="00C95068"/>
    <w:rsid w:val="00CA09B7"/>
    <w:rsid w:val="00CA0B61"/>
    <w:rsid w:val="00CA2605"/>
    <w:rsid w:val="00CA4DAE"/>
    <w:rsid w:val="00CA6740"/>
    <w:rsid w:val="00CB6626"/>
    <w:rsid w:val="00CC12E6"/>
    <w:rsid w:val="00CC1F0D"/>
    <w:rsid w:val="00CC236B"/>
    <w:rsid w:val="00CD75E9"/>
    <w:rsid w:val="00CE126D"/>
    <w:rsid w:val="00CE3E79"/>
    <w:rsid w:val="00CE6384"/>
    <w:rsid w:val="00CF30CC"/>
    <w:rsid w:val="00D000CF"/>
    <w:rsid w:val="00D069E1"/>
    <w:rsid w:val="00D106EC"/>
    <w:rsid w:val="00D11307"/>
    <w:rsid w:val="00D12E37"/>
    <w:rsid w:val="00D22155"/>
    <w:rsid w:val="00D259AA"/>
    <w:rsid w:val="00D25D87"/>
    <w:rsid w:val="00D3043A"/>
    <w:rsid w:val="00D32A9F"/>
    <w:rsid w:val="00D33755"/>
    <w:rsid w:val="00D33E1B"/>
    <w:rsid w:val="00D3798E"/>
    <w:rsid w:val="00D4217F"/>
    <w:rsid w:val="00D4400D"/>
    <w:rsid w:val="00D45675"/>
    <w:rsid w:val="00D46116"/>
    <w:rsid w:val="00D47D35"/>
    <w:rsid w:val="00D521B4"/>
    <w:rsid w:val="00D54CA5"/>
    <w:rsid w:val="00D54F4F"/>
    <w:rsid w:val="00D57D47"/>
    <w:rsid w:val="00D618F0"/>
    <w:rsid w:val="00D61A43"/>
    <w:rsid w:val="00D633EC"/>
    <w:rsid w:val="00D6475C"/>
    <w:rsid w:val="00D657A1"/>
    <w:rsid w:val="00D7026B"/>
    <w:rsid w:val="00D72AD0"/>
    <w:rsid w:val="00D74B21"/>
    <w:rsid w:val="00D77EC7"/>
    <w:rsid w:val="00D86451"/>
    <w:rsid w:val="00D86480"/>
    <w:rsid w:val="00D876FC"/>
    <w:rsid w:val="00D87FA1"/>
    <w:rsid w:val="00D93B4E"/>
    <w:rsid w:val="00DB1B57"/>
    <w:rsid w:val="00DB37ED"/>
    <w:rsid w:val="00DB3D77"/>
    <w:rsid w:val="00DC27E2"/>
    <w:rsid w:val="00DC2F12"/>
    <w:rsid w:val="00DC5754"/>
    <w:rsid w:val="00DC6324"/>
    <w:rsid w:val="00DC6A9E"/>
    <w:rsid w:val="00DD3A4D"/>
    <w:rsid w:val="00DF2FF5"/>
    <w:rsid w:val="00DF3F4E"/>
    <w:rsid w:val="00DF5D3C"/>
    <w:rsid w:val="00E14527"/>
    <w:rsid w:val="00E155AE"/>
    <w:rsid w:val="00E17512"/>
    <w:rsid w:val="00E17E6D"/>
    <w:rsid w:val="00E23BE3"/>
    <w:rsid w:val="00E254B6"/>
    <w:rsid w:val="00E318F9"/>
    <w:rsid w:val="00E333BC"/>
    <w:rsid w:val="00E34DFA"/>
    <w:rsid w:val="00E36EF3"/>
    <w:rsid w:val="00E535CF"/>
    <w:rsid w:val="00E54ACB"/>
    <w:rsid w:val="00E55385"/>
    <w:rsid w:val="00E576EA"/>
    <w:rsid w:val="00E57814"/>
    <w:rsid w:val="00E578A9"/>
    <w:rsid w:val="00E60222"/>
    <w:rsid w:val="00E61871"/>
    <w:rsid w:val="00E63E36"/>
    <w:rsid w:val="00E64611"/>
    <w:rsid w:val="00E64CD8"/>
    <w:rsid w:val="00E65D38"/>
    <w:rsid w:val="00E74527"/>
    <w:rsid w:val="00E77DD9"/>
    <w:rsid w:val="00E82135"/>
    <w:rsid w:val="00E82282"/>
    <w:rsid w:val="00E8294B"/>
    <w:rsid w:val="00E85467"/>
    <w:rsid w:val="00E871CB"/>
    <w:rsid w:val="00E9091E"/>
    <w:rsid w:val="00E914D9"/>
    <w:rsid w:val="00E928C9"/>
    <w:rsid w:val="00E94700"/>
    <w:rsid w:val="00EA256C"/>
    <w:rsid w:val="00EA560B"/>
    <w:rsid w:val="00EA61F3"/>
    <w:rsid w:val="00EB1EF3"/>
    <w:rsid w:val="00EB3180"/>
    <w:rsid w:val="00EB559D"/>
    <w:rsid w:val="00EB6EBD"/>
    <w:rsid w:val="00EB70B2"/>
    <w:rsid w:val="00EB7483"/>
    <w:rsid w:val="00EC0416"/>
    <w:rsid w:val="00EC18C5"/>
    <w:rsid w:val="00EC2307"/>
    <w:rsid w:val="00EC26F9"/>
    <w:rsid w:val="00EC28AF"/>
    <w:rsid w:val="00ED1A5A"/>
    <w:rsid w:val="00ED6FEE"/>
    <w:rsid w:val="00EE2941"/>
    <w:rsid w:val="00EE3646"/>
    <w:rsid w:val="00EE600E"/>
    <w:rsid w:val="00EE69F8"/>
    <w:rsid w:val="00F10217"/>
    <w:rsid w:val="00F118F4"/>
    <w:rsid w:val="00F12BAD"/>
    <w:rsid w:val="00F15C06"/>
    <w:rsid w:val="00F17669"/>
    <w:rsid w:val="00F17762"/>
    <w:rsid w:val="00F216E9"/>
    <w:rsid w:val="00F21948"/>
    <w:rsid w:val="00F266F1"/>
    <w:rsid w:val="00F26CDB"/>
    <w:rsid w:val="00F27433"/>
    <w:rsid w:val="00F2769B"/>
    <w:rsid w:val="00F34B9D"/>
    <w:rsid w:val="00F34DC4"/>
    <w:rsid w:val="00F4252F"/>
    <w:rsid w:val="00F514B0"/>
    <w:rsid w:val="00F52FA5"/>
    <w:rsid w:val="00F55878"/>
    <w:rsid w:val="00F5773A"/>
    <w:rsid w:val="00F602C4"/>
    <w:rsid w:val="00F60686"/>
    <w:rsid w:val="00F61759"/>
    <w:rsid w:val="00F66D1C"/>
    <w:rsid w:val="00F66E3F"/>
    <w:rsid w:val="00F714FD"/>
    <w:rsid w:val="00F72D4A"/>
    <w:rsid w:val="00F73141"/>
    <w:rsid w:val="00F7552A"/>
    <w:rsid w:val="00F759C2"/>
    <w:rsid w:val="00F76557"/>
    <w:rsid w:val="00F803F3"/>
    <w:rsid w:val="00F82581"/>
    <w:rsid w:val="00F90511"/>
    <w:rsid w:val="00F91BAD"/>
    <w:rsid w:val="00F955FD"/>
    <w:rsid w:val="00FA31D0"/>
    <w:rsid w:val="00FA5F7D"/>
    <w:rsid w:val="00FB6960"/>
    <w:rsid w:val="00FB6A0F"/>
    <w:rsid w:val="00FC5763"/>
    <w:rsid w:val="00FC725F"/>
    <w:rsid w:val="00FD28B1"/>
    <w:rsid w:val="00FD76BA"/>
    <w:rsid w:val="00FE0FAD"/>
    <w:rsid w:val="00FE33AB"/>
    <w:rsid w:val="00FE405E"/>
    <w:rsid w:val="00FE4733"/>
    <w:rsid w:val="00FF500F"/>
    <w:rsid w:val="00FF63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C95068"/>
    <w:rPr>
      <w:color w:val="0563C1" w:themeColor="hyperlink"/>
      <w:u w:val="single"/>
    </w:rPr>
  </w:style>
  <w:style w:type="character" w:styleId="UnresolvedMention">
    <w:name w:val="Unresolved Mention"/>
    <w:basedOn w:val="DefaultParagraphFont"/>
    <w:uiPriority w:val="99"/>
    <w:semiHidden/>
    <w:unhideWhenUsed/>
    <w:rsid w:val="00C95068"/>
    <w:rPr>
      <w:color w:val="605E5C"/>
      <w:shd w:val="clear" w:color="auto" w:fill="E1DFDD"/>
    </w:rPr>
  </w:style>
  <w:style w:type="character" w:styleId="CommentReference">
    <w:name w:val="annotation reference"/>
    <w:basedOn w:val="DefaultParagraphFont"/>
    <w:uiPriority w:val="99"/>
    <w:semiHidden/>
    <w:unhideWhenUsed/>
    <w:rsid w:val="00116BDC"/>
    <w:rPr>
      <w:sz w:val="16"/>
      <w:szCs w:val="16"/>
    </w:rPr>
  </w:style>
  <w:style w:type="paragraph" w:styleId="CommentText">
    <w:name w:val="annotation text"/>
    <w:basedOn w:val="Normal"/>
    <w:link w:val="CommentTextChar"/>
    <w:uiPriority w:val="99"/>
    <w:unhideWhenUsed/>
    <w:rsid w:val="00116BDC"/>
    <w:rPr>
      <w:sz w:val="20"/>
      <w:szCs w:val="20"/>
    </w:rPr>
  </w:style>
  <w:style w:type="character" w:customStyle="1" w:styleId="CommentTextChar">
    <w:name w:val="Comment Text Char"/>
    <w:basedOn w:val="DefaultParagraphFont"/>
    <w:link w:val="CommentText"/>
    <w:uiPriority w:val="99"/>
    <w:rsid w:val="00116BDC"/>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116BDC"/>
    <w:rPr>
      <w:b/>
      <w:bCs/>
    </w:rPr>
  </w:style>
  <w:style w:type="character" w:customStyle="1" w:styleId="CommentSubjectChar">
    <w:name w:val="Comment Subject Char"/>
    <w:basedOn w:val="CommentTextChar"/>
    <w:link w:val="CommentSubject"/>
    <w:uiPriority w:val="99"/>
    <w:semiHidden/>
    <w:rsid w:val="00116BDC"/>
    <w:rPr>
      <w:rFonts w:eastAsia="Times New Roman" w:cs="Times New Roman"/>
      <w:b/>
      <w:bCs/>
      <w:sz w:val="20"/>
      <w:szCs w:val="20"/>
      <w:lang w:val="lv-LV" w:eastAsia="ru-RU"/>
    </w:rPr>
  </w:style>
  <w:style w:type="paragraph" w:styleId="Revision">
    <w:name w:val="Revision"/>
    <w:hidden/>
    <w:uiPriority w:val="99"/>
    <w:semiHidden/>
    <w:rsid w:val="00EB1EF3"/>
    <w:pPr>
      <w:spacing w:after="0" w:line="240" w:lineRule="auto"/>
    </w:pPr>
    <w:rPr>
      <w:rFonts w:eastAsia="Times New Roman" w:cs="Times New Roman"/>
      <w:szCs w:val="24"/>
      <w:lang w:val="lv-LV" w:eastAsia="ru-RU"/>
    </w:rPr>
  </w:style>
  <w:style w:type="character" w:styleId="FollowedHyperlink">
    <w:name w:val="FollowedHyperlink"/>
    <w:basedOn w:val="DefaultParagraphFont"/>
    <w:uiPriority w:val="99"/>
    <w:semiHidden/>
    <w:unhideWhenUsed/>
    <w:rsid w:val="00BE6DA7"/>
    <w:rPr>
      <w:color w:val="954F72" w:themeColor="followedHyperlink"/>
      <w:u w:val="single"/>
    </w:rPr>
  </w:style>
  <w:style w:type="paragraph" w:customStyle="1" w:styleId="Default">
    <w:name w:val="Default"/>
    <w:rsid w:val="00D4400D"/>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122278">
      <w:bodyDiv w:val="1"/>
      <w:marLeft w:val="0"/>
      <w:marRight w:val="0"/>
      <w:marTop w:val="0"/>
      <w:marBottom w:val="0"/>
      <w:divBdr>
        <w:top w:val="none" w:sz="0" w:space="0" w:color="auto"/>
        <w:left w:val="none" w:sz="0" w:space="0" w:color="auto"/>
        <w:bottom w:val="none" w:sz="0" w:space="0" w:color="auto"/>
        <w:right w:val="none" w:sz="0" w:space="0" w:color="auto"/>
      </w:divBdr>
    </w:div>
    <w:div w:id="1768694140">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901c8b5a-4fb5-4afc-a75b-5d8bd9c7a328"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ateway.elieta.lv/api/v1/PublicMaterialDownload/daf6d581-47a3-4262-bd3d-61bbbac1c447" TargetMode="External"/><Relationship Id="rId12" Type="http://schemas.openxmlformats.org/officeDocument/2006/relationships/hyperlink" Target="https://gateway.elieta.lv/api/v1/PublicMaterialDownload/ee6870a9-4f94-4d46-ae38-35a28039a0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ateway.elieta.lv/api/v1/PublicMaterialDownload/b7094acb-2791-4599-88a5-59c68cc2068d"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ateway.elieta.lv/api/v1/PublicMaterialDownload/35d1cb4c-81fb-430c-a023-c43bf51b1ed5" TargetMode="External"/><Relationship Id="rId4" Type="http://schemas.openxmlformats.org/officeDocument/2006/relationships/webSettings" Target="webSettings.xml"/><Relationship Id="rId9" Type="http://schemas.openxmlformats.org/officeDocument/2006/relationships/hyperlink" Target="https://gateway.elieta.lv/api/v1/PublicMaterialDownload/20f3ed18-d125-4ff1-9fec-458563f682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16034</Words>
  <Characters>9140</Characters>
  <Application>Microsoft Office Word</Application>
  <DocSecurity>0</DocSecurity>
  <Lines>76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2025-11-18T18:55:00Z</dcterms:created>
  <dcterms:modified xsi:type="dcterms:W3CDTF">2025-11-18T19:18:00Z</dcterms:modified>
</cp:coreProperties>
</file>