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48A8C" w14:textId="1395941E" w:rsidR="00BB292D" w:rsidRDefault="00F10A0A" w:rsidP="00F10A0A">
      <w:pPr>
        <w:pStyle w:val="NoSpacing"/>
        <w:spacing w:line="276" w:lineRule="auto"/>
        <w:jc w:val="both"/>
        <w:rPr>
          <w:rFonts w:cs="Times New Roman"/>
          <w:b/>
          <w:bCs/>
        </w:rPr>
      </w:pPr>
      <w:proofErr w:type="spellStart"/>
      <w:r w:rsidRPr="00077AD9">
        <w:rPr>
          <w:rFonts w:cs="Times New Roman"/>
          <w:b/>
          <w:bCs/>
        </w:rPr>
        <w:t>Nepieļaujamība</w:t>
      </w:r>
      <w:proofErr w:type="spellEnd"/>
      <w:r w:rsidRPr="00077AD9">
        <w:rPr>
          <w:rFonts w:cs="Times New Roman"/>
          <w:b/>
          <w:bCs/>
        </w:rPr>
        <w:t xml:space="preserve"> </w:t>
      </w:r>
      <w:proofErr w:type="spellStart"/>
      <w:r w:rsidRPr="00077AD9">
        <w:rPr>
          <w:rFonts w:cs="Times New Roman"/>
          <w:b/>
          <w:bCs/>
        </w:rPr>
        <w:t>prasītājam</w:t>
      </w:r>
      <w:proofErr w:type="spellEnd"/>
      <w:r w:rsidRPr="00077AD9">
        <w:rPr>
          <w:rFonts w:cs="Times New Roman"/>
          <w:b/>
          <w:bCs/>
        </w:rPr>
        <w:t xml:space="preserve"> un </w:t>
      </w:r>
      <w:proofErr w:type="spellStart"/>
      <w:r w:rsidRPr="00077AD9">
        <w:rPr>
          <w:rFonts w:cs="Times New Roman"/>
          <w:b/>
          <w:bCs/>
        </w:rPr>
        <w:t>atbildētājam</w:t>
      </w:r>
      <w:proofErr w:type="spellEnd"/>
      <w:r w:rsidRPr="00077AD9">
        <w:rPr>
          <w:rFonts w:cs="Times New Roman"/>
          <w:b/>
          <w:bCs/>
        </w:rPr>
        <w:t xml:space="preserve"> </w:t>
      </w:r>
      <w:proofErr w:type="spellStart"/>
      <w:r w:rsidRPr="00077AD9">
        <w:rPr>
          <w:rFonts w:cs="Times New Roman"/>
          <w:b/>
          <w:bCs/>
        </w:rPr>
        <w:t>iesniegt</w:t>
      </w:r>
      <w:proofErr w:type="spellEnd"/>
      <w:r w:rsidRPr="00077AD9">
        <w:rPr>
          <w:rFonts w:cs="Times New Roman"/>
          <w:b/>
          <w:bCs/>
        </w:rPr>
        <w:t xml:space="preserve"> </w:t>
      </w:r>
      <w:proofErr w:type="spellStart"/>
      <w:r w:rsidRPr="00077AD9">
        <w:rPr>
          <w:rFonts w:cs="Times New Roman"/>
          <w:b/>
          <w:bCs/>
        </w:rPr>
        <w:t>vienu</w:t>
      </w:r>
      <w:proofErr w:type="spellEnd"/>
      <w:r w:rsidRPr="00077AD9">
        <w:rPr>
          <w:rFonts w:cs="Times New Roman"/>
          <w:b/>
          <w:bCs/>
        </w:rPr>
        <w:t xml:space="preserve"> </w:t>
      </w:r>
      <w:proofErr w:type="spellStart"/>
      <w:r w:rsidRPr="00077AD9">
        <w:rPr>
          <w:rFonts w:cs="Times New Roman"/>
          <w:b/>
          <w:bCs/>
        </w:rPr>
        <w:t>kopīgu</w:t>
      </w:r>
      <w:proofErr w:type="spellEnd"/>
      <w:r w:rsidRPr="00077AD9">
        <w:rPr>
          <w:rFonts w:cs="Times New Roman"/>
          <w:b/>
          <w:bCs/>
        </w:rPr>
        <w:t xml:space="preserve"> </w:t>
      </w:r>
      <w:proofErr w:type="spellStart"/>
      <w:r w:rsidRPr="00077AD9">
        <w:rPr>
          <w:rFonts w:cs="Times New Roman"/>
          <w:b/>
          <w:bCs/>
        </w:rPr>
        <w:t>kasācijas</w:t>
      </w:r>
      <w:proofErr w:type="spellEnd"/>
      <w:r>
        <w:rPr>
          <w:rFonts w:cs="Times New Roman"/>
          <w:b/>
          <w:bCs/>
        </w:rPr>
        <w:t xml:space="preserve"> </w:t>
      </w:r>
      <w:proofErr w:type="spellStart"/>
      <w:r>
        <w:rPr>
          <w:rFonts w:cs="Times New Roman"/>
          <w:b/>
          <w:bCs/>
        </w:rPr>
        <w:t>sūdzību</w:t>
      </w:r>
      <w:proofErr w:type="spellEnd"/>
    </w:p>
    <w:p w14:paraId="3A335EC3" w14:textId="11705ABC" w:rsidR="00F10A0A" w:rsidRPr="00F10A0A" w:rsidRDefault="00F10A0A" w:rsidP="00F10A0A">
      <w:pPr>
        <w:spacing w:after="0" w:line="276" w:lineRule="auto"/>
        <w:jc w:val="both"/>
        <w:rPr>
          <w:rFonts w:cs="Times New Roman"/>
        </w:rPr>
      </w:pPr>
      <w:proofErr w:type="spellStart"/>
      <w:r w:rsidRPr="00077AD9">
        <w:rPr>
          <w:rFonts w:cs="Times New Roman"/>
        </w:rPr>
        <w:t>Atšķirībā</w:t>
      </w:r>
      <w:proofErr w:type="spellEnd"/>
      <w:r w:rsidRPr="00077AD9">
        <w:rPr>
          <w:rFonts w:cs="Times New Roman"/>
        </w:rPr>
        <w:t xml:space="preserve"> no </w:t>
      </w:r>
      <w:proofErr w:type="spellStart"/>
      <w:r w:rsidRPr="00077AD9">
        <w:rPr>
          <w:rFonts w:cs="Times New Roman"/>
        </w:rPr>
        <w:t>procesuālajiem</w:t>
      </w:r>
      <w:proofErr w:type="spellEnd"/>
      <w:r w:rsidRPr="00077AD9">
        <w:rPr>
          <w:rFonts w:cs="Times New Roman"/>
        </w:rPr>
        <w:t xml:space="preserve"> </w:t>
      </w:r>
      <w:proofErr w:type="spellStart"/>
      <w:r w:rsidRPr="00077AD9">
        <w:rPr>
          <w:rFonts w:cs="Times New Roman"/>
        </w:rPr>
        <w:t>līdzdalībniekiem</w:t>
      </w:r>
      <w:proofErr w:type="spellEnd"/>
      <w:r w:rsidRPr="00077AD9">
        <w:rPr>
          <w:rFonts w:cs="Times New Roman"/>
        </w:rPr>
        <w:t xml:space="preserve">, </w:t>
      </w:r>
      <w:proofErr w:type="spellStart"/>
      <w:r w:rsidRPr="00077AD9">
        <w:rPr>
          <w:rFonts w:cs="Times New Roman"/>
        </w:rPr>
        <w:t>kuriem</w:t>
      </w:r>
      <w:proofErr w:type="spellEnd"/>
      <w:r w:rsidRPr="00077AD9">
        <w:rPr>
          <w:rFonts w:cs="Times New Roman"/>
        </w:rPr>
        <w:t xml:space="preserve"> </w:t>
      </w:r>
      <w:proofErr w:type="spellStart"/>
      <w:r w:rsidRPr="00077AD9">
        <w:rPr>
          <w:rFonts w:cs="Times New Roman"/>
        </w:rPr>
        <w:t>ir</w:t>
      </w:r>
      <w:proofErr w:type="spellEnd"/>
      <w:r w:rsidRPr="00077AD9">
        <w:rPr>
          <w:rFonts w:cs="Times New Roman"/>
        </w:rPr>
        <w:t xml:space="preserve"> </w:t>
      </w:r>
      <w:proofErr w:type="spellStart"/>
      <w:r w:rsidRPr="00077AD9">
        <w:rPr>
          <w:rFonts w:cs="Times New Roman"/>
        </w:rPr>
        <w:t>vienota</w:t>
      </w:r>
      <w:proofErr w:type="spellEnd"/>
      <w:r w:rsidRPr="00077AD9">
        <w:rPr>
          <w:rFonts w:cs="Times New Roman"/>
        </w:rPr>
        <w:t xml:space="preserve"> </w:t>
      </w:r>
      <w:proofErr w:type="spellStart"/>
      <w:r w:rsidRPr="00077AD9">
        <w:rPr>
          <w:rFonts w:cs="Times New Roman"/>
        </w:rPr>
        <w:t>interese</w:t>
      </w:r>
      <w:proofErr w:type="spellEnd"/>
      <w:r w:rsidRPr="00077AD9">
        <w:rPr>
          <w:rFonts w:cs="Times New Roman"/>
        </w:rPr>
        <w:t xml:space="preserve">, </w:t>
      </w:r>
      <w:proofErr w:type="spellStart"/>
      <w:r w:rsidRPr="00077AD9">
        <w:rPr>
          <w:rFonts w:cs="Times New Roman"/>
        </w:rPr>
        <w:t>pretējās</w:t>
      </w:r>
      <w:proofErr w:type="spellEnd"/>
      <w:r w:rsidRPr="00077AD9">
        <w:rPr>
          <w:rFonts w:cs="Times New Roman"/>
        </w:rPr>
        <w:t xml:space="preserve"> </w:t>
      </w:r>
      <w:proofErr w:type="spellStart"/>
      <w:r w:rsidRPr="00077AD9">
        <w:rPr>
          <w:rFonts w:cs="Times New Roman"/>
        </w:rPr>
        <w:t>puses</w:t>
      </w:r>
      <w:proofErr w:type="spellEnd"/>
      <w:r w:rsidRPr="00077AD9">
        <w:rPr>
          <w:rFonts w:cs="Times New Roman"/>
        </w:rPr>
        <w:t xml:space="preserve"> </w:t>
      </w:r>
      <w:proofErr w:type="spellStart"/>
      <w:r w:rsidRPr="00077AD9">
        <w:rPr>
          <w:rFonts w:cs="Times New Roman"/>
        </w:rPr>
        <w:t>lietā</w:t>
      </w:r>
      <w:proofErr w:type="spellEnd"/>
      <w:r w:rsidRPr="00077AD9">
        <w:rPr>
          <w:rFonts w:cs="Times New Roman"/>
        </w:rPr>
        <w:t xml:space="preserve"> nav </w:t>
      </w:r>
      <w:proofErr w:type="spellStart"/>
      <w:r w:rsidRPr="00077AD9">
        <w:rPr>
          <w:rFonts w:cs="Times New Roman"/>
        </w:rPr>
        <w:t>tiesīgas</w:t>
      </w:r>
      <w:proofErr w:type="spellEnd"/>
      <w:r w:rsidRPr="00077AD9">
        <w:rPr>
          <w:rFonts w:cs="Times New Roman"/>
        </w:rPr>
        <w:t xml:space="preserve"> </w:t>
      </w:r>
      <w:proofErr w:type="spellStart"/>
      <w:r w:rsidRPr="00077AD9">
        <w:rPr>
          <w:rFonts w:cs="Times New Roman"/>
        </w:rPr>
        <w:t>iesniegt</w:t>
      </w:r>
      <w:proofErr w:type="spellEnd"/>
      <w:r w:rsidRPr="00077AD9">
        <w:rPr>
          <w:rFonts w:cs="Times New Roman"/>
        </w:rPr>
        <w:t xml:space="preserve"> </w:t>
      </w:r>
      <w:proofErr w:type="spellStart"/>
      <w:r w:rsidRPr="00077AD9">
        <w:rPr>
          <w:rFonts w:cs="Times New Roman"/>
        </w:rPr>
        <w:t>vienu</w:t>
      </w:r>
      <w:proofErr w:type="spellEnd"/>
      <w:r w:rsidRPr="00077AD9">
        <w:rPr>
          <w:rFonts w:cs="Times New Roman"/>
        </w:rPr>
        <w:t xml:space="preserve"> </w:t>
      </w:r>
      <w:proofErr w:type="spellStart"/>
      <w:r w:rsidRPr="00077AD9">
        <w:rPr>
          <w:rFonts w:cs="Times New Roman"/>
        </w:rPr>
        <w:t>kopīgu</w:t>
      </w:r>
      <w:proofErr w:type="spellEnd"/>
      <w:r w:rsidRPr="00077AD9">
        <w:rPr>
          <w:rFonts w:cs="Times New Roman"/>
        </w:rPr>
        <w:t xml:space="preserve"> </w:t>
      </w:r>
      <w:proofErr w:type="spellStart"/>
      <w:r w:rsidRPr="00077AD9">
        <w:rPr>
          <w:rFonts w:cs="Times New Roman"/>
        </w:rPr>
        <w:t>kasācijas</w:t>
      </w:r>
      <w:proofErr w:type="spellEnd"/>
      <w:r w:rsidRPr="00077AD9">
        <w:rPr>
          <w:rFonts w:cs="Times New Roman"/>
        </w:rPr>
        <w:t xml:space="preserve"> </w:t>
      </w:r>
      <w:proofErr w:type="spellStart"/>
      <w:r w:rsidRPr="00077AD9">
        <w:rPr>
          <w:rFonts w:cs="Times New Roman"/>
        </w:rPr>
        <w:t>sūdzību</w:t>
      </w:r>
      <w:proofErr w:type="spellEnd"/>
      <w:r w:rsidRPr="00077AD9">
        <w:rPr>
          <w:rFonts w:cs="Times New Roman"/>
        </w:rPr>
        <w:t xml:space="preserve">. Ja </w:t>
      </w:r>
      <w:proofErr w:type="spellStart"/>
      <w:r w:rsidRPr="00077AD9">
        <w:rPr>
          <w:rFonts w:cs="Times New Roman"/>
        </w:rPr>
        <w:t>prasītājs</w:t>
      </w:r>
      <w:proofErr w:type="spellEnd"/>
      <w:r w:rsidRPr="00077AD9">
        <w:rPr>
          <w:rFonts w:cs="Times New Roman"/>
        </w:rPr>
        <w:t xml:space="preserve"> un </w:t>
      </w:r>
      <w:proofErr w:type="spellStart"/>
      <w:r w:rsidRPr="00077AD9">
        <w:rPr>
          <w:rFonts w:cs="Times New Roman"/>
        </w:rPr>
        <w:t>atbildētājs</w:t>
      </w:r>
      <w:proofErr w:type="spellEnd"/>
      <w:r w:rsidRPr="00077AD9">
        <w:rPr>
          <w:rFonts w:cs="Times New Roman"/>
        </w:rPr>
        <w:t xml:space="preserve"> </w:t>
      </w:r>
      <w:proofErr w:type="spellStart"/>
      <w:r w:rsidRPr="00077AD9">
        <w:rPr>
          <w:rFonts w:cs="Times New Roman"/>
        </w:rPr>
        <w:t>ir</w:t>
      </w:r>
      <w:proofErr w:type="spellEnd"/>
      <w:r w:rsidRPr="00077AD9">
        <w:rPr>
          <w:rFonts w:cs="Times New Roman"/>
        </w:rPr>
        <w:t xml:space="preserve"> </w:t>
      </w:r>
      <w:proofErr w:type="spellStart"/>
      <w:r w:rsidRPr="00077AD9">
        <w:rPr>
          <w:rFonts w:cs="Times New Roman"/>
        </w:rPr>
        <w:t>iesnieguši</w:t>
      </w:r>
      <w:proofErr w:type="spellEnd"/>
      <w:r w:rsidRPr="00077AD9">
        <w:rPr>
          <w:rFonts w:cs="Times New Roman"/>
        </w:rPr>
        <w:t xml:space="preserve"> </w:t>
      </w:r>
      <w:proofErr w:type="spellStart"/>
      <w:r w:rsidRPr="00077AD9">
        <w:rPr>
          <w:rFonts w:cs="Times New Roman"/>
        </w:rPr>
        <w:t>šādu</w:t>
      </w:r>
      <w:proofErr w:type="spellEnd"/>
      <w:r w:rsidRPr="00077AD9">
        <w:rPr>
          <w:rFonts w:cs="Times New Roman"/>
        </w:rPr>
        <w:t xml:space="preserve"> </w:t>
      </w:r>
      <w:proofErr w:type="spellStart"/>
      <w:r w:rsidRPr="00077AD9">
        <w:rPr>
          <w:rFonts w:cs="Times New Roman"/>
        </w:rPr>
        <w:t>kasācijas</w:t>
      </w:r>
      <w:proofErr w:type="spellEnd"/>
      <w:r w:rsidRPr="00077AD9">
        <w:rPr>
          <w:rFonts w:cs="Times New Roman"/>
        </w:rPr>
        <w:t xml:space="preserve"> </w:t>
      </w:r>
      <w:proofErr w:type="spellStart"/>
      <w:r w:rsidRPr="00077AD9">
        <w:rPr>
          <w:rFonts w:cs="Times New Roman"/>
        </w:rPr>
        <w:t>sūdzību</w:t>
      </w:r>
      <w:proofErr w:type="spellEnd"/>
      <w:r w:rsidRPr="00077AD9">
        <w:rPr>
          <w:rFonts w:cs="Times New Roman"/>
        </w:rPr>
        <w:t xml:space="preserve">, </w:t>
      </w:r>
      <w:proofErr w:type="spellStart"/>
      <w:r w:rsidRPr="00077AD9">
        <w:rPr>
          <w:rFonts w:cs="Times New Roman"/>
        </w:rPr>
        <w:t>tā</w:t>
      </w:r>
      <w:proofErr w:type="spellEnd"/>
      <w:r w:rsidRPr="00077AD9">
        <w:rPr>
          <w:rFonts w:cs="Times New Roman"/>
        </w:rPr>
        <w:t xml:space="preserve"> no </w:t>
      </w:r>
      <w:proofErr w:type="spellStart"/>
      <w:r w:rsidRPr="00077AD9">
        <w:rPr>
          <w:rFonts w:cs="Times New Roman"/>
        </w:rPr>
        <w:t>procesuālo</w:t>
      </w:r>
      <w:proofErr w:type="spellEnd"/>
      <w:r w:rsidRPr="00077AD9">
        <w:rPr>
          <w:rFonts w:cs="Times New Roman"/>
        </w:rPr>
        <w:t xml:space="preserve"> </w:t>
      </w:r>
      <w:proofErr w:type="spellStart"/>
      <w:r w:rsidRPr="00077AD9">
        <w:rPr>
          <w:rFonts w:cs="Times New Roman"/>
        </w:rPr>
        <w:t>darbību</w:t>
      </w:r>
      <w:proofErr w:type="spellEnd"/>
      <w:r w:rsidRPr="00077AD9">
        <w:rPr>
          <w:rFonts w:cs="Times New Roman"/>
        </w:rPr>
        <w:t xml:space="preserve"> </w:t>
      </w:r>
      <w:proofErr w:type="spellStart"/>
      <w:r w:rsidRPr="00077AD9">
        <w:rPr>
          <w:rFonts w:cs="Times New Roman"/>
        </w:rPr>
        <w:t>izpildīšanas</w:t>
      </w:r>
      <w:proofErr w:type="spellEnd"/>
      <w:r w:rsidRPr="00077AD9">
        <w:rPr>
          <w:rFonts w:cs="Times New Roman"/>
        </w:rPr>
        <w:t xml:space="preserve"> </w:t>
      </w:r>
      <w:proofErr w:type="spellStart"/>
      <w:r w:rsidRPr="00077AD9">
        <w:rPr>
          <w:rFonts w:cs="Times New Roman"/>
        </w:rPr>
        <w:t>viedokļa</w:t>
      </w:r>
      <w:proofErr w:type="spellEnd"/>
      <w:r w:rsidRPr="00077AD9">
        <w:rPr>
          <w:rFonts w:cs="Times New Roman"/>
        </w:rPr>
        <w:t xml:space="preserve"> </w:t>
      </w:r>
      <w:proofErr w:type="spellStart"/>
      <w:r w:rsidRPr="00077AD9">
        <w:rPr>
          <w:rFonts w:cs="Times New Roman"/>
        </w:rPr>
        <w:t>ir</w:t>
      </w:r>
      <w:proofErr w:type="spellEnd"/>
      <w:r w:rsidRPr="00077AD9">
        <w:rPr>
          <w:rFonts w:cs="Times New Roman"/>
        </w:rPr>
        <w:t xml:space="preserve"> </w:t>
      </w:r>
      <w:proofErr w:type="spellStart"/>
      <w:r w:rsidRPr="00077AD9">
        <w:rPr>
          <w:rFonts w:cs="Times New Roman"/>
        </w:rPr>
        <w:t>vērtējama</w:t>
      </w:r>
      <w:proofErr w:type="spellEnd"/>
      <w:r w:rsidRPr="00077AD9">
        <w:rPr>
          <w:rFonts w:cs="Times New Roman"/>
        </w:rPr>
        <w:t xml:space="preserve"> </w:t>
      </w:r>
      <w:proofErr w:type="spellStart"/>
      <w:r w:rsidRPr="00077AD9">
        <w:rPr>
          <w:rFonts w:cs="Times New Roman"/>
        </w:rPr>
        <w:t>kā</w:t>
      </w:r>
      <w:proofErr w:type="spellEnd"/>
      <w:r w:rsidRPr="00077AD9">
        <w:rPr>
          <w:rFonts w:cs="Times New Roman"/>
        </w:rPr>
        <w:t xml:space="preserve"> divas </w:t>
      </w:r>
      <w:proofErr w:type="spellStart"/>
      <w:r w:rsidRPr="00077AD9">
        <w:rPr>
          <w:rFonts w:cs="Times New Roman"/>
        </w:rPr>
        <w:t>patstāvīgas</w:t>
      </w:r>
      <w:proofErr w:type="spellEnd"/>
      <w:r w:rsidRPr="00077AD9">
        <w:rPr>
          <w:rFonts w:cs="Times New Roman"/>
        </w:rPr>
        <w:t xml:space="preserve"> </w:t>
      </w:r>
      <w:proofErr w:type="spellStart"/>
      <w:r w:rsidRPr="00077AD9">
        <w:rPr>
          <w:rFonts w:cs="Times New Roman"/>
        </w:rPr>
        <w:t>kasācijas</w:t>
      </w:r>
      <w:proofErr w:type="spellEnd"/>
      <w:r w:rsidRPr="00077AD9">
        <w:rPr>
          <w:rFonts w:cs="Times New Roman"/>
        </w:rPr>
        <w:t xml:space="preserve"> </w:t>
      </w:r>
      <w:proofErr w:type="spellStart"/>
      <w:r w:rsidRPr="00077AD9">
        <w:rPr>
          <w:rFonts w:cs="Times New Roman"/>
        </w:rPr>
        <w:t>sūdzības</w:t>
      </w:r>
      <w:proofErr w:type="spellEnd"/>
      <w:r w:rsidRPr="00077AD9">
        <w:rPr>
          <w:rFonts w:cs="Times New Roman"/>
        </w:rPr>
        <w:t>.</w:t>
      </w:r>
    </w:p>
    <w:p w14:paraId="08E3E1B9" w14:textId="7ED2662F" w:rsidR="001822F7" w:rsidRPr="00123C32" w:rsidRDefault="001822F7" w:rsidP="00F10A0A">
      <w:pPr>
        <w:tabs>
          <w:tab w:val="left" w:pos="0"/>
        </w:tabs>
        <w:spacing w:after="0" w:line="276" w:lineRule="auto"/>
        <w:jc w:val="center"/>
        <w:rPr>
          <w:rFonts w:eastAsia="Times New Roman" w:cs="Times New Roman"/>
          <w:szCs w:val="24"/>
          <w:lang w:val="lv-LV" w:eastAsia="lv-LV"/>
        </w:rPr>
      </w:pPr>
    </w:p>
    <w:p w14:paraId="295726EA" w14:textId="6F1F77EA" w:rsidR="00EB6A62" w:rsidRDefault="00C472B5" w:rsidP="00F10A0A">
      <w:pPr>
        <w:spacing w:after="0" w:line="276" w:lineRule="auto"/>
        <w:jc w:val="center"/>
        <w:rPr>
          <w:rFonts w:cs="Times New Roman"/>
          <w:b/>
          <w:szCs w:val="24"/>
          <w:lang w:val="lv-LV"/>
        </w:rPr>
      </w:pPr>
      <w:bookmarkStart w:id="0" w:name="Dropdown1"/>
      <w:r w:rsidRPr="00123C32">
        <w:rPr>
          <w:rFonts w:cs="Times New Roman"/>
          <w:b/>
          <w:szCs w:val="24"/>
          <w:lang w:val="lv-LV"/>
        </w:rPr>
        <w:t xml:space="preserve">Latvijas Republikas </w:t>
      </w:r>
      <w:r w:rsidR="00752C16" w:rsidRPr="00123C32">
        <w:rPr>
          <w:rFonts w:cs="Times New Roman"/>
          <w:b/>
          <w:szCs w:val="24"/>
          <w:lang w:val="lv-LV"/>
        </w:rPr>
        <w:t>Senāt</w:t>
      </w:r>
      <w:r w:rsidR="00267EE2">
        <w:rPr>
          <w:rFonts w:cs="Times New Roman"/>
          <w:b/>
          <w:szCs w:val="24"/>
          <w:lang w:val="lv-LV"/>
        </w:rPr>
        <w:t>a</w:t>
      </w:r>
    </w:p>
    <w:p w14:paraId="5FE8B939" w14:textId="3FA6E6D7" w:rsidR="00267EE2" w:rsidRDefault="00267EE2" w:rsidP="00F10A0A">
      <w:pPr>
        <w:spacing w:after="0" w:line="276" w:lineRule="auto"/>
        <w:jc w:val="center"/>
        <w:rPr>
          <w:rFonts w:cs="Times New Roman"/>
          <w:b/>
          <w:szCs w:val="24"/>
          <w:lang w:val="lv-LV"/>
        </w:rPr>
      </w:pPr>
      <w:r>
        <w:rPr>
          <w:rFonts w:cs="Times New Roman"/>
          <w:b/>
          <w:szCs w:val="24"/>
          <w:lang w:val="lv-LV"/>
        </w:rPr>
        <w:t>Civillietu departamenta</w:t>
      </w:r>
    </w:p>
    <w:p w14:paraId="769E5C34" w14:textId="40C2358A" w:rsidR="00267EE2" w:rsidRPr="00267EE2" w:rsidRDefault="00267EE2" w:rsidP="00F10A0A">
      <w:pPr>
        <w:spacing w:after="0" w:line="276" w:lineRule="auto"/>
        <w:jc w:val="center"/>
        <w:rPr>
          <w:rFonts w:cs="Times New Roman"/>
          <w:b/>
          <w:bCs/>
          <w:szCs w:val="24"/>
          <w:lang w:val="lv-LV"/>
        </w:rPr>
      </w:pPr>
      <w:r w:rsidRPr="00267EE2">
        <w:rPr>
          <w:rFonts w:cs="Times New Roman"/>
          <w:b/>
          <w:bCs/>
          <w:szCs w:val="24"/>
          <w:lang w:val="lv-LV"/>
        </w:rPr>
        <w:t>2025. gada 13. novembra</w:t>
      </w:r>
    </w:p>
    <w:p w14:paraId="0FC2AAB5" w14:textId="77777777" w:rsidR="00EF383E" w:rsidRPr="00267EE2" w:rsidRDefault="00C472B5" w:rsidP="00F10A0A">
      <w:pPr>
        <w:spacing w:after="0" w:line="276" w:lineRule="auto"/>
        <w:jc w:val="center"/>
        <w:rPr>
          <w:rFonts w:cs="Times New Roman"/>
          <w:b/>
          <w:bCs/>
          <w:szCs w:val="24"/>
          <w:lang w:val="lv-LV"/>
        </w:rPr>
      </w:pPr>
      <w:r w:rsidRPr="00267EE2">
        <w:rPr>
          <w:rFonts w:cs="Times New Roman"/>
          <w:b/>
          <w:bCs/>
          <w:szCs w:val="24"/>
          <w:lang w:val="lv-LV"/>
        </w:rPr>
        <w:t>RĪCĪBAS SĒDES LĒMUMS</w:t>
      </w:r>
    </w:p>
    <w:p w14:paraId="2FF13421" w14:textId="77777777" w:rsidR="00267EE2" w:rsidRPr="00267EE2" w:rsidRDefault="00267EE2" w:rsidP="00F10A0A">
      <w:pPr>
        <w:pStyle w:val="NoSpacing"/>
        <w:spacing w:line="276" w:lineRule="auto"/>
        <w:jc w:val="center"/>
        <w:rPr>
          <w:rFonts w:cs="Times New Roman"/>
          <w:b/>
          <w:bCs/>
          <w:szCs w:val="24"/>
          <w:lang w:val="lv-LV" w:eastAsia="lv-LV"/>
        </w:rPr>
      </w:pPr>
      <w:r w:rsidRPr="00267EE2">
        <w:rPr>
          <w:rFonts w:cs="Times New Roman"/>
          <w:b/>
          <w:bCs/>
          <w:szCs w:val="24"/>
          <w:lang w:val="lv-LV" w:eastAsia="lv-LV"/>
        </w:rPr>
        <w:t>Lieta Nr. C77895222, SKC-542/2025</w:t>
      </w:r>
    </w:p>
    <w:p w14:paraId="16588A29" w14:textId="01B9D1BF" w:rsidR="00267EE2" w:rsidRPr="008E7137" w:rsidRDefault="008E7137" w:rsidP="00F10A0A">
      <w:pPr>
        <w:spacing w:after="0" w:line="276" w:lineRule="auto"/>
        <w:jc w:val="center"/>
        <w:rPr>
          <w:rFonts w:cs="Times New Roman"/>
          <w:b/>
          <w:szCs w:val="24"/>
          <w:lang w:val="lv-LV"/>
        </w:rPr>
      </w:pPr>
      <w:hyperlink r:id="rId7" w:history="1">
        <w:r w:rsidRPr="008E7137">
          <w:rPr>
            <w:rStyle w:val="Hyperlink"/>
            <w:rFonts w:cs="Times New Roman"/>
            <w:szCs w:val="24"/>
          </w:rPr>
          <w:t>ECLI:LV:</w:t>
        </w:r>
        <w:proofErr w:type="gramStart"/>
        <w:r w:rsidRPr="008E7137">
          <w:rPr>
            <w:rStyle w:val="Hyperlink"/>
            <w:rFonts w:cs="Times New Roman"/>
            <w:szCs w:val="24"/>
          </w:rPr>
          <w:t>AT:2025:1113</w:t>
        </w:r>
        <w:proofErr w:type="gramEnd"/>
        <w:r w:rsidRPr="008E7137">
          <w:rPr>
            <w:rStyle w:val="Hyperlink"/>
            <w:rFonts w:cs="Times New Roman"/>
            <w:szCs w:val="24"/>
          </w:rPr>
          <w:t>.C77895222.</w:t>
        </w:r>
        <w:proofErr w:type="gramStart"/>
        <w:r w:rsidRPr="008E7137">
          <w:rPr>
            <w:rStyle w:val="Hyperlink"/>
            <w:rFonts w:cs="Times New Roman"/>
            <w:szCs w:val="24"/>
          </w:rPr>
          <w:t>16.L</w:t>
        </w:r>
        <w:proofErr w:type="gramEnd"/>
      </w:hyperlink>
    </w:p>
    <w:bookmarkEnd w:id="0"/>
    <w:p w14:paraId="7C893566" w14:textId="77777777" w:rsidR="002548FB" w:rsidRPr="00123C32" w:rsidRDefault="002548FB" w:rsidP="00F10A0A">
      <w:pPr>
        <w:tabs>
          <w:tab w:val="left" w:pos="709"/>
        </w:tabs>
        <w:spacing w:after="0" w:line="276" w:lineRule="auto"/>
        <w:ind w:firstLine="709"/>
        <w:jc w:val="both"/>
        <w:rPr>
          <w:rFonts w:cs="Times New Roman"/>
          <w:szCs w:val="24"/>
          <w:lang w:val="lv-LV"/>
        </w:rPr>
      </w:pPr>
    </w:p>
    <w:p w14:paraId="465A1978" w14:textId="340D2768" w:rsidR="00EF383E" w:rsidRPr="00123C32" w:rsidRDefault="00752C16" w:rsidP="00F10A0A">
      <w:pPr>
        <w:tabs>
          <w:tab w:val="left" w:pos="709"/>
        </w:tabs>
        <w:spacing w:after="0" w:line="276" w:lineRule="auto"/>
        <w:ind w:firstLine="709"/>
        <w:jc w:val="both"/>
        <w:rPr>
          <w:rFonts w:cs="Times New Roman"/>
          <w:szCs w:val="24"/>
          <w:lang w:val="lv-LV"/>
        </w:rPr>
      </w:pPr>
      <w:r w:rsidRPr="00123C32">
        <w:rPr>
          <w:rFonts w:cs="Times New Roman"/>
          <w:szCs w:val="24"/>
          <w:lang w:val="lv-LV"/>
        </w:rPr>
        <w:tab/>
        <w:t xml:space="preserve">Senatoru </w:t>
      </w:r>
      <w:r w:rsidR="00E01BC9" w:rsidRPr="00123C32">
        <w:rPr>
          <w:rFonts w:cs="Times New Roman"/>
          <w:szCs w:val="24"/>
          <w:lang w:val="lv-LV"/>
        </w:rPr>
        <w:t xml:space="preserve">kolēģija šādā sastāvā: </w:t>
      </w:r>
      <w:r w:rsidR="00DB6F63" w:rsidRPr="00123C32">
        <w:rPr>
          <w:rFonts w:cs="Times New Roman"/>
          <w:szCs w:val="24"/>
          <w:lang w:val="lv-LV"/>
        </w:rPr>
        <w:t>s</w:t>
      </w:r>
      <w:r w:rsidR="00CF507C" w:rsidRPr="00123C32">
        <w:rPr>
          <w:rFonts w:cs="Times New Roman"/>
          <w:szCs w:val="24"/>
          <w:lang w:val="lv-LV"/>
        </w:rPr>
        <w:t>enator</w:t>
      </w:r>
      <w:r w:rsidR="00EF383E" w:rsidRPr="00123C32">
        <w:rPr>
          <w:rFonts w:cs="Times New Roman"/>
          <w:szCs w:val="24"/>
          <w:lang w:val="lv-LV"/>
        </w:rPr>
        <w:t>s</w:t>
      </w:r>
      <w:r w:rsidR="00CD5829" w:rsidRPr="00123C32">
        <w:rPr>
          <w:rFonts w:cs="Times New Roman"/>
          <w:szCs w:val="24"/>
          <w:lang w:val="lv-LV"/>
        </w:rPr>
        <w:t xml:space="preserve"> </w:t>
      </w:r>
      <w:r w:rsidR="00EB6FB2" w:rsidRPr="00123C32">
        <w:rPr>
          <w:rFonts w:cs="Times New Roman"/>
          <w:szCs w:val="24"/>
          <w:lang w:val="lv-LV"/>
        </w:rPr>
        <w:t>referent</w:t>
      </w:r>
      <w:r w:rsidR="00EF383E" w:rsidRPr="00123C32">
        <w:rPr>
          <w:rFonts w:cs="Times New Roman"/>
          <w:szCs w:val="24"/>
          <w:lang w:val="lv-LV"/>
        </w:rPr>
        <w:t>s</w:t>
      </w:r>
      <w:r w:rsidR="00EB6FB2" w:rsidRPr="00123C32">
        <w:rPr>
          <w:rFonts w:cs="Times New Roman"/>
          <w:szCs w:val="24"/>
          <w:lang w:val="lv-LV"/>
        </w:rPr>
        <w:t xml:space="preserve"> </w:t>
      </w:r>
      <w:r w:rsidR="00EF383E" w:rsidRPr="00123C32">
        <w:rPr>
          <w:rFonts w:cs="Times New Roman"/>
          <w:szCs w:val="24"/>
          <w:lang w:val="lv-LV"/>
        </w:rPr>
        <w:t>Aldis</w:t>
      </w:r>
      <w:r w:rsidR="00975C16" w:rsidRPr="00123C32">
        <w:rPr>
          <w:rFonts w:cs="Times New Roman"/>
          <w:szCs w:val="24"/>
          <w:lang w:val="lv-LV"/>
        </w:rPr>
        <w:t xml:space="preserve"> </w:t>
      </w:r>
      <w:r w:rsidR="00EF383E" w:rsidRPr="00123C32">
        <w:rPr>
          <w:rFonts w:cs="Times New Roman"/>
          <w:szCs w:val="24"/>
          <w:lang w:val="lv-LV"/>
        </w:rPr>
        <w:t>Laviņš</w:t>
      </w:r>
      <w:r w:rsidR="007A0DD0" w:rsidRPr="00123C32">
        <w:rPr>
          <w:rFonts w:cs="Times New Roman"/>
          <w:szCs w:val="24"/>
          <w:lang w:val="lv-LV"/>
        </w:rPr>
        <w:t>,</w:t>
      </w:r>
      <w:r w:rsidR="00B457C4" w:rsidRPr="00123C32">
        <w:rPr>
          <w:rFonts w:cs="Times New Roman"/>
          <w:szCs w:val="24"/>
          <w:lang w:val="lv-LV"/>
        </w:rPr>
        <w:t xml:space="preserve"> </w:t>
      </w:r>
      <w:r w:rsidR="002538C5" w:rsidRPr="00123C32">
        <w:rPr>
          <w:rFonts w:cs="Times New Roman"/>
          <w:szCs w:val="24"/>
          <w:lang w:val="lv-LV"/>
        </w:rPr>
        <w:t>senator</w:t>
      </w:r>
      <w:r w:rsidR="00A63C00" w:rsidRPr="00123C32">
        <w:rPr>
          <w:rFonts w:cs="Times New Roman"/>
          <w:szCs w:val="24"/>
          <w:lang w:val="lv-LV"/>
        </w:rPr>
        <w:t xml:space="preserve">es Dzintra Balta </w:t>
      </w:r>
      <w:r w:rsidR="002548FB" w:rsidRPr="00123C32">
        <w:rPr>
          <w:rFonts w:cs="Times New Roman"/>
          <w:szCs w:val="24"/>
          <w:lang w:val="lv-LV"/>
        </w:rPr>
        <w:t xml:space="preserve">un </w:t>
      </w:r>
      <w:r w:rsidR="00370309" w:rsidRPr="00123C32">
        <w:rPr>
          <w:rFonts w:cs="Times New Roman"/>
          <w:szCs w:val="24"/>
          <w:lang w:val="lv-LV"/>
        </w:rPr>
        <w:t>Zane Pētersone</w:t>
      </w:r>
      <w:r w:rsidR="002538C5" w:rsidRPr="00123C32">
        <w:rPr>
          <w:rFonts w:cs="Times New Roman"/>
          <w:szCs w:val="24"/>
          <w:lang w:val="lv-LV"/>
        </w:rPr>
        <w:t xml:space="preserve"> </w:t>
      </w:r>
    </w:p>
    <w:p w14:paraId="30057F4F" w14:textId="350AB2B3" w:rsidR="00804E65" w:rsidRPr="00123C32" w:rsidRDefault="00804E65" w:rsidP="00F10A0A">
      <w:pPr>
        <w:tabs>
          <w:tab w:val="left" w:pos="709"/>
        </w:tabs>
        <w:spacing w:after="0" w:line="276" w:lineRule="auto"/>
        <w:ind w:firstLine="709"/>
        <w:jc w:val="both"/>
        <w:rPr>
          <w:rFonts w:cs="Times New Roman"/>
          <w:szCs w:val="24"/>
          <w:lang w:val="lv-LV"/>
        </w:rPr>
      </w:pPr>
    </w:p>
    <w:p w14:paraId="54F8E601" w14:textId="069D0E8A" w:rsidR="00C13A22" w:rsidRPr="00123C32" w:rsidRDefault="00244FF8" w:rsidP="00F10A0A">
      <w:pPr>
        <w:tabs>
          <w:tab w:val="left" w:pos="709"/>
        </w:tabs>
        <w:spacing w:after="0" w:line="276" w:lineRule="auto"/>
        <w:ind w:firstLine="709"/>
        <w:jc w:val="both"/>
        <w:rPr>
          <w:rFonts w:cs="Times New Roman"/>
          <w:szCs w:val="24"/>
          <w:lang w:val="lv-LV"/>
        </w:rPr>
      </w:pPr>
      <w:r w:rsidRPr="00123C32">
        <w:rPr>
          <w:rFonts w:cs="Times New Roman"/>
          <w:szCs w:val="24"/>
          <w:lang w:val="lv-LV"/>
        </w:rPr>
        <w:t>rīcības sēdē</w:t>
      </w:r>
      <w:r w:rsidR="00651988" w:rsidRPr="00123C32">
        <w:rPr>
          <w:rFonts w:cs="Times New Roman"/>
          <w:szCs w:val="24"/>
          <w:lang w:val="lv-LV"/>
        </w:rPr>
        <w:t xml:space="preserve"> </w:t>
      </w:r>
      <w:r w:rsidR="00C94381" w:rsidRPr="00123C32">
        <w:rPr>
          <w:rFonts w:cs="Times New Roman"/>
          <w:szCs w:val="24"/>
          <w:lang w:val="lv-LV"/>
        </w:rPr>
        <w:t xml:space="preserve">izskatīja </w:t>
      </w:r>
      <w:r w:rsidR="00A63C00" w:rsidRPr="00123C32">
        <w:rPr>
          <w:rFonts w:cs="Times New Roman"/>
          <w:szCs w:val="24"/>
          <w:lang w:val="lv-LV"/>
        </w:rPr>
        <w:t>akciju sabiedrības (turpmāk – AS)</w:t>
      </w:r>
      <w:r w:rsidR="00506075">
        <w:rPr>
          <w:rFonts w:cs="Times New Roman"/>
          <w:szCs w:val="24"/>
          <w:lang w:val="lv-LV"/>
        </w:rPr>
        <w:t> </w:t>
      </w:r>
      <w:r w:rsidR="00A63C00" w:rsidRPr="00123C32">
        <w:rPr>
          <w:rFonts w:cs="Times New Roman"/>
          <w:szCs w:val="24"/>
          <w:lang w:val="lv-LV"/>
        </w:rPr>
        <w:t>„</w:t>
      </w:r>
      <w:proofErr w:type="spellStart"/>
      <w:r w:rsidR="00A63C00" w:rsidRPr="00123C32">
        <w:rPr>
          <w:rFonts w:cs="Times New Roman"/>
          <w:szCs w:val="24"/>
          <w:lang w:val="lv-LV"/>
        </w:rPr>
        <w:t>Latzemes</w:t>
      </w:r>
      <w:proofErr w:type="spellEnd"/>
      <w:r w:rsidR="00A63C00" w:rsidRPr="00123C32">
        <w:rPr>
          <w:rFonts w:cs="Times New Roman"/>
          <w:szCs w:val="24"/>
          <w:lang w:val="lv-LV"/>
        </w:rPr>
        <w:t xml:space="preserve"> aktīvi” un AS „Pilsētas zemes dienests” </w:t>
      </w:r>
      <w:r w:rsidR="00310AE5" w:rsidRPr="00123C32">
        <w:rPr>
          <w:rFonts w:cs="Times New Roman"/>
          <w:szCs w:val="24"/>
          <w:lang w:val="lv-LV"/>
        </w:rPr>
        <w:t>kasācijas sūdzīb</w:t>
      </w:r>
      <w:r w:rsidR="00CF10A1" w:rsidRPr="00123C32">
        <w:rPr>
          <w:rFonts w:cs="Times New Roman"/>
          <w:szCs w:val="24"/>
          <w:lang w:val="lv-LV"/>
        </w:rPr>
        <w:t>u</w:t>
      </w:r>
      <w:r w:rsidR="00910F84" w:rsidRPr="00123C32">
        <w:rPr>
          <w:rFonts w:cs="Times New Roman"/>
          <w:szCs w:val="24"/>
          <w:lang w:val="lv-LV"/>
        </w:rPr>
        <w:t xml:space="preserve"> </w:t>
      </w:r>
      <w:r w:rsidR="004E2BA9" w:rsidRPr="00123C32">
        <w:rPr>
          <w:rFonts w:cs="Times New Roman"/>
          <w:szCs w:val="24"/>
          <w:lang w:val="lv-LV"/>
        </w:rPr>
        <w:t>par</w:t>
      </w:r>
      <w:r w:rsidR="008621B7" w:rsidRPr="00123C32">
        <w:rPr>
          <w:rFonts w:cs="Times New Roman"/>
          <w:szCs w:val="24"/>
          <w:lang w:val="lv-LV"/>
        </w:rPr>
        <w:t xml:space="preserve"> </w:t>
      </w:r>
      <w:r w:rsidR="00370309" w:rsidRPr="00123C32">
        <w:rPr>
          <w:rFonts w:cs="Times New Roman"/>
          <w:szCs w:val="24"/>
          <w:lang w:val="lv-LV"/>
        </w:rPr>
        <w:t>Rīgas</w:t>
      </w:r>
      <w:r w:rsidR="002548FB" w:rsidRPr="00123C32">
        <w:rPr>
          <w:rFonts w:cs="Times New Roman"/>
          <w:szCs w:val="24"/>
          <w:lang w:val="lv-LV"/>
        </w:rPr>
        <w:t xml:space="preserve"> apgabaltiesas</w:t>
      </w:r>
      <w:r w:rsidR="000D2497" w:rsidRPr="00123C32">
        <w:rPr>
          <w:rFonts w:cs="Times New Roman"/>
          <w:szCs w:val="24"/>
          <w:lang w:val="lv-LV"/>
        </w:rPr>
        <w:t xml:space="preserve"> 202</w:t>
      </w:r>
      <w:r w:rsidR="00A63C00" w:rsidRPr="00123C32">
        <w:rPr>
          <w:rFonts w:cs="Times New Roman"/>
          <w:szCs w:val="24"/>
          <w:lang w:val="lv-LV"/>
        </w:rPr>
        <w:t>5</w:t>
      </w:r>
      <w:r w:rsidR="000D2497" w:rsidRPr="00123C32">
        <w:rPr>
          <w:rFonts w:cs="Times New Roman"/>
          <w:szCs w:val="24"/>
          <w:lang w:val="lv-LV"/>
        </w:rPr>
        <w:t xml:space="preserve">. gada </w:t>
      </w:r>
      <w:r w:rsidR="00A63C00" w:rsidRPr="00123C32">
        <w:rPr>
          <w:rFonts w:cs="Times New Roman"/>
          <w:szCs w:val="24"/>
          <w:lang w:val="lv-LV"/>
        </w:rPr>
        <w:t>20. marta</w:t>
      </w:r>
      <w:r w:rsidR="00930171" w:rsidRPr="00123C32">
        <w:rPr>
          <w:rFonts w:cs="Times New Roman"/>
          <w:szCs w:val="24"/>
          <w:lang w:val="lv-LV"/>
        </w:rPr>
        <w:t xml:space="preserve"> </w:t>
      </w:r>
      <w:r w:rsidR="00DD144D" w:rsidRPr="00123C32">
        <w:rPr>
          <w:rFonts w:cs="Times New Roman"/>
          <w:szCs w:val="24"/>
          <w:lang w:val="lv-LV"/>
        </w:rPr>
        <w:t>spriedumu</w:t>
      </w:r>
      <w:r w:rsidR="002548FB" w:rsidRPr="00123C32">
        <w:rPr>
          <w:rFonts w:cs="Times New Roman"/>
          <w:szCs w:val="24"/>
          <w:lang w:val="lv-LV"/>
        </w:rPr>
        <w:t xml:space="preserve"> </w:t>
      </w:r>
      <w:r w:rsidR="00A63C00" w:rsidRPr="00123C32">
        <w:rPr>
          <w:rFonts w:cs="Times New Roman"/>
          <w:szCs w:val="24"/>
          <w:lang w:val="lv-LV"/>
        </w:rPr>
        <w:t>AS</w:t>
      </w:r>
      <w:r w:rsidR="008E7773" w:rsidRPr="00123C32">
        <w:rPr>
          <w:rFonts w:cs="Times New Roman"/>
          <w:szCs w:val="24"/>
          <w:lang w:val="lv-LV"/>
        </w:rPr>
        <w:t> </w:t>
      </w:r>
      <w:r w:rsidR="00A63C00" w:rsidRPr="00123C32">
        <w:rPr>
          <w:rFonts w:cs="Times New Roman"/>
          <w:szCs w:val="24"/>
          <w:lang w:val="lv-LV"/>
        </w:rPr>
        <w:t>„</w:t>
      </w:r>
      <w:proofErr w:type="spellStart"/>
      <w:r w:rsidR="00A63C00" w:rsidRPr="00123C32">
        <w:rPr>
          <w:rFonts w:cs="Times New Roman"/>
          <w:szCs w:val="24"/>
          <w:lang w:val="lv-LV"/>
        </w:rPr>
        <w:t>Latzemes</w:t>
      </w:r>
      <w:proofErr w:type="spellEnd"/>
      <w:r w:rsidR="00A63C00" w:rsidRPr="00123C32">
        <w:rPr>
          <w:rFonts w:cs="Times New Roman"/>
          <w:szCs w:val="24"/>
          <w:lang w:val="lv-LV"/>
        </w:rPr>
        <w:t xml:space="preserve"> aktīvi” prasībā pret AS</w:t>
      </w:r>
      <w:r w:rsidR="008E7773" w:rsidRPr="00123C32">
        <w:rPr>
          <w:rFonts w:cs="Times New Roman"/>
          <w:szCs w:val="24"/>
          <w:lang w:val="lv-LV"/>
        </w:rPr>
        <w:t> </w:t>
      </w:r>
      <w:r w:rsidR="00A63C00" w:rsidRPr="00123C32">
        <w:rPr>
          <w:rFonts w:cs="Times New Roman"/>
          <w:szCs w:val="24"/>
          <w:lang w:val="lv-LV"/>
        </w:rPr>
        <w:t>„Pilsētas zemes dienests” par lietas patiesās vērtības noteikšanu, labojot kļūdu maiņas līgumā.</w:t>
      </w:r>
    </w:p>
    <w:p w14:paraId="1E97B694" w14:textId="19FEA7CA" w:rsidR="00C13A22" w:rsidRPr="00123C32" w:rsidRDefault="00C13A22" w:rsidP="00F10A0A">
      <w:pPr>
        <w:tabs>
          <w:tab w:val="left" w:pos="709"/>
        </w:tabs>
        <w:spacing w:after="0" w:line="276" w:lineRule="auto"/>
        <w:ind w:firstLine="709"/>
        <w:jc w:val="both"/>
        <w:rPr>
          <w:rFonts w:cs="Times New Roman"/>
          <w:szCs w:val="24"/>
          <w:lang w:val="lv-LV"/>
        </w:rPr>
      </w:pPr>
    </w:p>
    <w:p w14:paraId="16242ECF" w14:textId="7FC54ADD" w:rsidR="0044696F" w:rsidRPr="00123C32" w:rsidRDefault="00123C32" w:rsidP="00F10A0A">
      <w:pPr>
        <w:tabs>
          <w:tab w:val="left" w:pos="709"/>
        </w:tabs>
        <w:spacing w:after="0" w:line="276" w:lineRule="auto"/>
        <w:jc w:val="center"/>
        <w:rPr>
          <w:rFonts w:cs="Times New Roman"/>
          <w:b/>
          <w:bCs/>
          <w:szCs w:val="24"/>
          <w:lang w:val="lv-LV"/>
        </w:rPr>
      </w:pPr>
      <w:r w:rsidRPr="00123C32">
        <w:rPr>
          <w:rFonts w:cs="Times New Roman"/>
          <w:b/>
          <w:bCs/>
          <w:szCs w:val="24"/>
          <w:lang w:val="lv-LV"/>
        </w:rPr>
        <w:t>Aprakstošā daļa</w:t>
      </w:r>
    </w:p>
    <w:p w14:paraId="2FEAD404" w14:textId="77777777" w:rsidR="00816A48" w:rsidRPr="00123C32" w:rsidRDefault="00816A48" w:rsidP="00F10A0A">
      <w:pPr>
        <w:tabs>
          <w:tab w:val="left" w:pos="709"/>
        </w:tabs>
        <w:spacing w:after="0" w:line="276" w:lineRule="auto"/>
        <w:ind w:firstLine="709"/>
        <w:jc w:val="both"/>
        <w:rPr>
          <w:rFonts w:cs="Times New Roman"/>
          <w:szCs w:val="24"/>
          <w:lang w:val="lv-LV"/>
        </w:rPr>
      </w:pPr>
    </w:p>
    <w:p w14:paraId="0BD449AA" w14:textId="03A284AF" w:rsidR="0044696F" w:rsidRPr="00123C32" w:rsidRDefault="00C13A22" w:rsidP="00F10A0A">
      <w:pPr>
        <w:tabs>
          <w:tab w:val="left" w:pos="709"/>
        </w:tabs>
        <w:spacing w:after="0" w:line="276" w:lineRule="auto"/>
        <w:ind w:firstLine="709"/>
        <w:jc w:val="both"/>
        <w:rPr>
          <w:rFonts w:cs="Times New Roman"/>
          <w:szCs w:val="24"/>
          <w:lang w:val="lv-LV"/>
        </w:rPr>
      </w:pPr>
      <w:r w:rsidRPr="00123C32">
        <w:rPr>
          <w:rFonts w:cs="Times New Roman"/>
          <w:szCs w:val="24"/>
          <w:lang w:val="lv-LV"/>
        </w:rPr>
        <w:t>[1] </w:t>
      </w:r>
      <w:r w:rsidR="0044696F" w:rsidRPr="00123C32">
        <w:rPr>
          <w:rFonts w:cs="Times New Roman"/>
          <w:szCs w:val="24"/>
          <w:lang w:val="lv-LV"/>
        </w:rPr>
        <w:t>Ar Rīgas apgabaltiesas 2025. gada 20. marta spriedumu pilnībā noraidīta prasītāja</w:t>
      </w:r>
      <w:r w:rsidR="0067214C" w:rsidRPr="00123C32">
        <w:rPr>
          <w:rFonts w:cs="Times New Roman"/>
          <w:szCs w:val="24"/>
          <w:lang w:val="lv-LV"/>
        </w:rPr>
        <w:t>s</w:t>
      </w:r>
      <w:r w:rsidR="0044696F" w:rsidRPr="00123C32">
        <w:rPr>
          <w:rFonts w:cs="Times New Roman"/>
          <w:szCs w:val="24"/>
          <w:lang w:val="lv-LV"/>
        </w:rPr>
        <w:t xml:space="preserve"> AS „</w:t>
      </w:r>
      <w:proofErr w:type="spellStart"/>
      <w:r w:rsidR="0044696F" w:rsidRPr="00123C32">
        <w:rPr>
          <w:rFonts w:cs="Times New Roman"/>
          <w:szCs w:val="24"/>
          <w:lang w:val="lv-LV"/>
        </w:rPr>
        <w:t>Latzemes</w:t>
      </w:r>
      <w:proofErr w:type="spellEnd"/>
      <w:r w:rsidR="0044696F" w:rsidRPr="00123C32">
        <w:rPr>
          <w:rFonts w:cs="Times New Roman"/>
          <w:szCs w:val="24"/>
          <w:lang w:val="lv-LV"/>
        </w:rPr>
        <w:t xml:space="preserve"> aktīvi” prasība pret atbildētāju AS</w:t>
      </w:r>
      <w:r w:rsidR="008E7773" w:rsidRPr="00123C32">
        <w:rPr>
          <w:rFonts w:cs="Times New Roman"/>
          <w:szCs w:val="24"/>
          <w:lang w:val="lv-LV"/>
        </w:rPr>
        <w:t> </w:t>
      </w:r>
      <w:r w:rsidR="0044696F" w:rsidRPr="00123C32">
        <w:rPr>
          <w:rFonts w:cs="Times New Roman"/>
          <w:szCs w:val="24"/>
          <w:lang w:val="lv-LV"/>
        </w:rPr>
        <w:t>„Pilsētas zemes dienests” par lietas patiesās vērtības noteikšanu, labojot kļūdu maiņas līgumā.</w:t>
      </w:r>
    </w:p>
    <w:p w14:paraId="2F17A576" w14:textId="77777777" w:rsidR="00C13A22" w:rsidRPr="00123C32" w:rsidRDefault="00C13A22" w:rsidP="00F10A0A">
      <w:pPr>
        <w:tabs>
          <w:tab w:val="left" w:pos="709"/>
        </w:tabs>
        <w:spacing w:after="0" w:line="276" w:lineRule="auto"/>
        <w:ind w:firstLine="709"/>
        <w:jc w:val="both"/>
        <w:rPr>
          <w:rFonts w:cs="Times New Roman"/>
          <w:szCs w:val="24"/>
          <w:lang w:val="lv-LV"/>
        </w:rPr>
      </w:pPr>
    </w:p>
    <w:p w14:paraId="2960E8B6" w14:textId="4C55FCF2" w:rsidR="0044696F" w:rsidRPr="00123C32" w:rsidRDefault="00C13A22" w:rsidP="00F10A0A">
      <w:pPr>
        <w:tabs>
          <w:tab w:val="left" w:pos="709"/>
        </w:tabs>
        <w:spacing w:after="0" w:line="276" w:lineRule="auto"/>
        <w:ind w:firstLine="709"/>
        <w:jc w:val="both"/>
        <w:rPr>
          <w:rFonts w:cs="Times New Roman"/>
          <w:szCs w:val="24"/>
          <w:lang w:val="lv-LV"/>
        </w:rPr>
      </w:pPr>
      <w:r w:rsidRPr="00123C32">
        <w:rPr>
          <w:rFonts w:cs="Times New Roman"/>
          <w:szCs w:val="24"/>
          <w:lang w:val="lv-LV"/>
        </w:rPr>
        <w:t>[2]</w:t>
      </w:r>
      <w:r w:rsidR="001954AD" w:rsidRPr="00123C32">
        <w:rPr>
          <w:rFonts w:cs="Times New Roman"/>
          <w:szCs w:val="24"/>
          <w:lang w:val="lv-LV"/>
        </w:rPr>
        <w:t> </w:t>
      </w:r>
      <w:r w:rsidRPr="00123C32">
        <w:rPr>
          <w:rFonts w:cs="Times New Roman"/>
          <w:szCs w:val="24"/>
          <w:lang w:val="lv-LV"/>
        </w:rPr>
        <w:t>Par minēto spriedumu p</w:t>
      </w:r>
      <w:r w:rsidR="0044696F" w:rsidRPr="00123C32">
        <w:rPr>
          <w:rFonts w:cs="Times New Roman"/>
          <w:szCs w:val="24"/>
          <w:lang w:val="lv-LV"/>
        </w:rPr>
        <w:t>rasītāj</w:t>
      </w:r>
      <w:r w:rsidRPr="00123C32">
        <w:rPr>
          <w:rFonts w:cs="Times New Roman"/>
          <w:szCs w:val="24"/>
          <w:lang w:val="lv-LV"/>
        </w:rPr>
        <w:t xml:space="preserve">a </w:t>
      </w:r>
      <w:r w:rsidR="0044696F" w:rsidRPr="00123C32">
        <w:rPr>
          <w:rFonts w:cs="Times New Roman"/>
          <w:szCs w:val="24"/>
          <w:lang w:val="lv-LV"/>
        </w:rPr>
        <w:t>un atbildētāj</w:t>
      </w:r>
      <w:r w:rsidRPr="00123C32">
        <w:rPr>
          <w:rFonts w:cs="Times New Roman"/>
          <w:szCs w:val="24"/>
          <w:lang w:val="lv-LV"/>
        </w:rPr>
        <w:t>a</w:t>
      </w:r>
      <w:r w:rsidR="0044696F" w:rsidRPr="00123C32">
        <w:rPr>
          <w:rFonts w:cs="Times New Roman"/>
          <w:szCs w:val="24"/>
          <w:lang w:val="lv-LV"/>
        </w:rPr>
        <w:t xml:space="preserve"> lietā iesnieguš</w:t>
      </w:r>
      <w:r w:rsidR="0067214C" w:rsidRPr="00123C32">
        <w:rPr>
          <w:rFonts w:cs="Times New Roman"/>
          <w:szCs w:val="24"/>
          <w:lang w:val="lv-LV"/>
        </w:rPr>
        <w:t>i</w:t>
      </w:r>
      <w:r w:rsidR="0044696F" w:rsidRPr="00123C32">
        <w:rPr>
          <w:rFonts w:cs="Times New Roman"/>
          <w:szCs w:val="24"/>
          <w:lang w:val="lv-LV"/>
        </w:rPr>
        <w:t xml:space="preserve"> vienu kopīgu kasācijas sūdzību, veicot vienu drošības naudas maksājumu 300 </w:t>
      </w:r>
      <w:proofErr w:type="spellStart"/>
      <w:r w:rsidR="0044696F" w:rsidRPr="00123C32">
        <w:rPr>
          <w:rFonts w:cs="Times New Roman"/>
          <w:i/>
          <w:iCs/>
          <w:szCs w:val="24"/>
          <w:lang w:val="lv-LV"/>
        </w:rPr>
        <w:t>euro</w:t>
      </w:r>
      <w:proofErr w:type="spellEnd"/>
      <w:r w:rsidR="0044696F" w:rsidRPr="00123C32">
        <w:rPr>
          <w:rFonts w:cs="Times New Roman"/>
          <w:szCs w:val="24"/>
          <w:lang w:val="lv-LV"/>
        </w:rPr>
        <w:t>.</w:t>
      </w:r>
    </w:p>
    <w:p w14:paraId="39D14130" w14:textId="77777777" w:rsidR="00123C32" w:rsidRPr="00123C32" w:rsidRDefault="00123C32" w:rsidP="00F10A0A">
      <w:pPr>
        <w:tabs>
          <w:tab w:val="left" w:pos="709"/>
        </w:tabs>
        <w:spacing w:after="0" w:line="276" w:lineRule="auto"/>
        <w:ind w:firstLine="709"/>
        <w:jc w:val="both"/>
        <w:rPr>
          <w:rFonts w:cs="Times New Roman"/>
          <w:szCs w:val="24"/>
          <w:lang w:val="lv-LV"/>
        </w:rPr>
      </w:pPr>
    </w:p>
    <w:p w14:paraId="532818DA" w14:textId="5E9FD63F" w:rsidR="00123C32" w:rsidRPr="00123C32" w:rsidRDefault="00123C32" w:rsidP="00F10A0A">
      <w:pPr>
        <w:tabs>
          <w:tab w:val="left" w:pos="709"/>
        </w:tabs>
        <w:spacing w:after="0" w:line="276" w:lineRule="auto"/>
        <w:jc w:val="center"/>
        <w:rPr>
          <w:rFonts w:cs="Times New Roman"/>
          <w:b/>
          <w:bCs/>
          <w:szCs w:val="24"/>
          <w:lang w:val="lv-LV"/>
        </w:rPr>
      </w:pPr>
      <w:r w:rsidRPr="00123C32">
        <w:rPr>
          <w:rFonts w:cs="Times New Roman"/>
          <w:b/>
          <w:bCs/>
          <w:szCs w:val="24"/>
          <w:lang w:val="lv-LV"/>
        </w:rPr>
        <w:t>Motīvu daļa</w:t>
      </w:r>
    </w:p>
    <w:p w14:paraId="035C0778" w14:textId="77777777" w:rsidR="00123C32" w:rsidRPr="00123C32" w:rsidRDefault="00123C32" w:rsidP="00F10A0A">
      <w:pPr>
        <w:tabs>
          <w:tab w:val="left" w:pos="709"/>
        </w:tabs>
        <w:spacing w:after="0" w:line="276" w:lineRule="auto"/>
        <w:ind w:firstLine="709"/>
        <w:jc w:val="both"/>
        <w:rPr>
          <w:rFonts w:cs="Times New Roman"/>
          <w:szCs w:val="24"/>
          <w:lang w:val="lv-LV"/>
        </w:rPr>
      </w:pPr>
    </w:p>
    <w:p w14:paraId="38C4F528" w14:textId="269DEC0D" w:rsidR="00C13A22" w:rsidRPr="00123C32" w:rsidRDefault="00C13A22" w:rsidP="00F10A0A">
      <w:pPr>
        <w:tabs>
          <w:tab w:val="left" w:pos="709"/>
        </w:tabs>
        <w:spacing w:after="0" w:line="276" w:lineRule="auto"/>
        <w:ind w:firstLine="709"/>
        <w:jc w:val="both"/>
        <w:rPr>
          <w:rFonts w:cs="Times New Roman"/>
          <w:szCs w:val="24"/>
          <w:lang w:val="lv-LV"/>
        </w:rPr>
      </w:pPr>
      <w:r w:rsidRPr="00123C32">
        <w:rPr>
          <w:rFonts w:cs="Times New Roman"/>
          <w:szCs w:val="24"/>
          <w:lang w:val="lv-LV"/>
        </w:rPr>
        <w:t>[3]</w:t>
      </w:r>
      <w:r w:rsidR="001954AD" w:rsidRPr="00123C32">
        <w:rPr>
          <w:rFonts w:cs="Times New Roman"/>
          <w:szCs w:val="24"/>
          <w:lang w:val="lv-LV"/>
        </w:rPr>
        <w:t> </w:t>
      </w:r>
      <w:r w:rsidRPr="00123C32">
        <w:rPr>
          <w:rFonts w:cs="Times New Roman"/>
          <w:szCs w:val="24"/>
          <w:lang w:val="lv-LV"/>
        </w:rPr>
        <w:t xml:space="preserve">Izlemjot jautājumu par kasācijas tiesvedības ierosināšanu, senatoru kolēģija </w:t>
      </w:r>
      <w:r w:rsidR="00123C32" w:rsidRPr="00123C32">
        <w:rPr>
          <w:rFonts w:cs="Times New Roman"/>
          <w:szCs w:val="24"/>
          <w:lang w:val="lv-LV"/>
        </w:rPr>
        <w:t>atzīst</w:t>
      </w:r>
      <w:r w:rsidRPr="00123C32">
        <w:rPr>
          <w:rFonts w:cs="Times New Roman"/>
          <w:szCs w:val="24"/>
          <w:lang w:val="lv-LV"/>
        </w:rPr>
        <w:t>, ka AS</w:t>
      </w:r>
      <w:r w:rsidR="001954AD" w:rsidRPr="00123C32">
        <w:rPr>
          <w:rFonts w:cs="Times New Roman"/>
          <w:szCs w:val="24"/>
          <w:lang w:val="lv-LV"/>
        </w:rPr>
        <w:t> </w:t>
      </w:r>
      <w:r w:rsidRPr="00123C32">
        <w:rPr>
          <w:rFonts w:cs="Times New Roman"/>
          <w:szCs w:val="24"/>
          <w:lang w:val="lv-LV"/>
        </w:rPr>
        <w:t>„Pilsētas zemes dienests” kasācijas sūdzība nosūtāma apelācijas instances tiesai likumā paredzēto darbību izpildei, bet sakarā ar AS</w:t>
      </w:r>
      <w:r w:rsidR="001954AD" w:rsidRPr="00123C32">
        <w:rPr>
          <w:rFonts w:cs="Times New Roman"/>
          <w:szCs w:val="24"/>
          <w:lang w:val="lv-LV"/>
        </w:rPr>
        <w:t> </w:t>
      </w:r>
      <w:r w:rsidRPr="00123C32">
        <w:rPr>
          <w:rFonts w:cs="Times New Roman"/>
          <w:szCs w:val="24"/>
          <w:lang w:val="lv-LV"/>
        </w:rPr>
        <w:t>„</w:t>
      </w:r>
      <w:proofErr w:type="spellStart"/>
      <w:r w:rsidRPr="00123C32">
        <w:rPr>
          <w:rFonts w:cs="Times New Roman"/>
          <w:szCs w:val="24"/>
          <w:lang w:val="lv-LV"/>
        </w:rPr>
        <w:t>Latzemes</w:t>
      </w:r>
      <w:proofErr w:type="spellEnd"/>
      <w:r w:rsidRPr="00123C32">
        <w:rPr>
          <w:rFonts w:cs="Times New Roman"/>
          <w:szCs w:val="24"/>
          <w:lang w:val="lv-LV"/>
        </w:rPr>
        <w:t xml:space="preserve"> aktīvi” kasācijas sūdzību tiesvedības ierosināšana ir atsakāma.</w:t>
      </w:r>
    </w:p>
    <w:p w14:paraId="30CFC682" w14:textId="76FDDB04" w:rsidR="0044696F" w:rsidRPr="00123C32" w:rsidRDefault="0044696F" w:rsidP="00F10A0A">
      <w:pPr>
        <w:tabs>
          <w:tab w:val="left" w:pos="709"/>
        </w:tabs>
        <w:spacing w:after="0" w:line="276" w:lineRule="auto"/>
        <w:ind w:firstLine="709"/>
        <w:jc w:val="both"/>
        <w:rPr>
          <w:rFonts w:cs="Times New Roman"/>
          <w:szCs w:val="24"/>
          <w:lang w:val="lv-LV"/>
        </w:rPr>
      </w:pPr>
    </w:p>
    <w:p w14:paraId="2F8D750F" w14:textId="260D4ED6" w:rsidR="00C13A22" w:rsidRPr="00123C32" w:rsidRDefault="00C13A22" w:rsidP="00F10A0A">
      <w:pPr>
        <w:tabs>
          <w:tab w:val="left" w:pos="709"/>
        </w:tabs>
        <w:spacing w:after="0" w:line="276" w:lineRule="auto"/>
        <w:ind w:firstLine="709"/>
        <w:jc w:val="both"/>
        <w:rPr>
          <w:rFonts w:cs="Times New Roman"/>
          <w:szCs w:val="24"/>
          <w:lang w:val="lv-LV"/>
        </w:rPr>
      </w:pPr>
      <w:r w:rsidRPr="00123C32">
        <w:rPr>
          <w:rFonts w:cs="Times New Roman"/>
          <w:szCs w:val="24"/>
          <w:lang w:val="lv-LV"/>
        </w:rPr>
        <w:t>[4]</w:t>
      </w:r>
      <w:r w:rsidR="001954AD" w:rsidRPr="00123C32">
        <w:rPr>
          <w:rFonts w:cs="Times New Roman"/>
          <w:szCs w:val="24"/>
          <w:lang w:val="lv-LV"/>
        </w:rPr>
        <w:t> </w:t>
      </w:r>
      <w:r w:rsidRPr="00123C32">
        <w:rPr>
          <w:rFonts w:cs="Times New Roman"/>
          <w:szCs w:val="24"/>
          <w:lang w:val="lv-LV"/>
        </w:rPr>
        <w:t>Attiecībā uz pušu kopīgi iesniegto kasācijas sūdzību senatoru kolēģija uzskata par nepieciešamu papildus norādīt turpmāk minēto.</w:t>
      </w:r>
    </w:p>
    <w:p w14:paraId="1FF59B1A" w14:textId="798CC967" w:rsidR="00C13A22" w:rsidRPr="00123C32" w:rsidRDefault="00C13A22" w:rsidP="00F10A0A">
      <w:pPr>
        <w:tabs>
          <w:tab w:val="left" w:pos="709"/>
        </w:tabs>
        <w:spacing w:after="0" w:line="276" w:lineRule="auto"/>
        <w:ind w:firstLine="709"/>
        <w:jc w:val="both"/>
        <w:rPr>
          <w:rFonts w:cs="Times New Roman"/>
          <w:szCs w:val="24"/>
          <w:lang w:val="lv-LV"/>
        </w:rPr>
      </w:pPr>
      <w:r w:rsidRPr="00123C32">
        <w:rPr>
          <w:rFonts w:cs="Times New Roman"/>
          <w:szCs w:val="24"/>
          <w:lang w:val="lv-LV"/>
        </w:rPr>
        <w:t>[4.1]</w:t>
      </w:r>
      <w:r w:rsidR="001954AD" w:rsidRPr="00123C32">
        <w:rPr>
          <w:rFonts w:cs="Times New Roman"/>
          <w:szCs w:val="24"/>
          <w:lang w:val="lv-LV"/>
        </w:rPr>
        <w:t> </w:t>
      </w:r>
      <w:r w:rsidRPr="00123C32">
        <w:rPr>
          <w:rFonts w:cs="Times New Roman"/>
          <w:szCs w:val="24"/>
          <w:lang w:val="lv-LV"/>
        </w:rPr>
        <w:t>Civilprocesa likuma 74.</w:t>
      </w:r>
      <w:r w:rsidR="001954AD" w:rsidRPr="00123C32">
        <w:rPr>
          <w:rFonts w:cs="Times New Roman"/>
          <w:szCs w:val="24"/>
          <w:lang w:val="lv-LV"/>
        </w:rPr>
        <w:t> </w:t>
      </w:r>
      <w:r w:rsidRPr="00123C32">
        <w:rPr>
          <w:rFonts w:cs="Times New Roman"/>
          <w:szCs w:val="24"/>
          <w:lang w:val="lv-LV"/>
        </w:rPr>
        <w:t xml:space="preserve">panta pirmā daļa </w:t>
      </w:r>
      <w:r w:rsidR="006841B5" w:rsidRPr="00123C32">
        <w:rPr>
          <w:rFonts w:cs="Times New Roman"/>
          <w:szCs w:val="24"/>
          <w:lang w:val="lv-LV"/>
        </w:rPr>
        <w:t>noteic</w:t>
      </w:r>
      <w:r w:rsidRPr="00123C32">
        <w:rPr>
          <w:rFonts w:cs="Times New Roman"/>
          <w:szCs w:val="24"/>
          <w:lang w:val="lv-LV"/>
        </w:rPr>
        <w:t>, ka civilprocesā par pusēm – prasītāju un atbildētāju – var būt jebkura fiziskā vai juridiskā persona. Savukārt Civilprocesa likuma 75.</w:t>
      </w:r>
      <w:r w:rsidR="001954AD" w:rsidRPr="00123C32">
        <w:rPr>
          <w:rFonts w:cs="Times New Roman"/>
          <w:szCs w:val="24"/>
          <w:lang w:val="lv-LV"/>
        </w:rPr>
        <w:t> </w:t>
      </w:r>
      <w:r w:rsidRPr="00123C32">
        <w:rPr>
          <w:rFonts w:cs="Times New Roman"/>
          <w:szCs w:val="24"/>
          <w:lang w:val="lv-LV"/>
        </w:rPr>
        <w:t xml:space="preserve">panta otrajā daļā noteikts, ka, īstenojot procesuālo līdzdalību, katrs </w:t>
      </w:r>
      <w:r w:rsidR="006841B5" w:rsidRPr="00123C32">
        <w:rPr>
          <w:rFonts w:cs="Times New Roman"/>
          <w:szCs w:val="24"/>
          <w:lang w:val="lv-LV"/>
        </w:rPr>
        <w:t xml:space="preserve">līdzprasītājs </w:t>
      </w:r>
      <w:r w:rsidR="006841B5" w:rsidRPr="00123C32">
        <w:rPr>
          <w:rFonts w:cs="Times New Roman"/>
          <w:szCs w:val="24"/>
          <w:lang w:val="lv-LV"/>
        </w:rPr>
        <w:lastRenderedPageBreak/>
        <w:t xml:space="preserve">un </w:t>
      </w:r>
      <w:r w:rsidRPr="00123C32">
        <w:rPr>
          <w:rFonts w:cs="Times New Roman"/>
          <w:szCs w:val="24"/>
          <w:lang w:val="lv-LV"/>
        </w:rPr>
        <w:t>līdzatbildētājs attiecībā pret otru pusi un citiem līdzdalībniekiem uzstājas patstāvīgi. Proti, prasītājs un atbildētājs ir tādi tiesību subjekti, kas nav uzskatāmi par līdzdalībniekiem, bet gan par pretējām pusēm lietā.</w:t>
      </w:r>
    </w:p>
    <w:p w14:paraId="2C4BF1AA" w14:textId="732CA753" w:rsidR="00C13A22" w:rsidRPr="00123C32" w:rsidRDefault="00C13A22" w:rsidP="00F10A0A">
      <w:pPr>
        <w:tabs>
          <w:tab w:val="left" w:pos="709"/>
        </w:tabs>
        <w:spacing w:after="0" w:line="276" w:lineRule="auto"/>
        <w:ind w:firstLine="709"/>
        <w:jc w:val="both"/>
        <w:rPr>
          <w:rFonts w:cs="Times New Roman"/>
          <w:szCs w:val="24"/>
          <w:lang w:val="lv-LV"/>
        </w:rPr>
      </w:pPr>
      <w:r w:rsidRPr="00123C32">
        <w:rPr>
          <w:rFonts w:cs="Times New Roman"/>
          <w:szCs w:val="24"/>
          <w:lang w:val="lv-LV"/>
        </w:rPr>
        <w:t>Pusēm saskaņā ar Civilprocesa likuma 74.</w:t>
      </w:r>
      <w:r w:rsidR="001954AD" w:rsidRPr="00123C32">
        <w:rPr>
          <w:rFonts w:cs="Times New Roman"/>
          <w:szCs w:val="24"/>
          <w:lang w:val="lv-LV"/>
        </w:rPr>
        <w:t> </w:t>
      </w:r>
      <w:r w:rsidRPr="00123C32">
        <w:rPr>
          <w:rFonts w:cs="Times New Roman"/>
          <w:szCs w:val="24"/>
          <w:lang w:val="lv-LV"/>
        </w:rPr>
        <w:t>panta otrās daļas 10.</w:t>
      </w:r>
      <w:r w:rsidR="001954AD" w:rsidRPr="00123C32">
        <w:rPr>
          <w:rFonts w:cs="Times New Roman"/>
          <w:szCs w:val="24"/>
          <w:lang w:val="lv-LV"/>
        </w:rPr>
        <w:t> </w:t>
      </w:r>
      <w:r w:rsidRPr="00123C32">
        <w:rPr>
          <w:rFonts w:cs="Times New Roman"/>
          <w:szCs w:val="24"/>
          <w:lang w:val="lv-LV"/>
        </w:rPr>
        <w:t>punktu ir tiesības pārsūdzēt tiesas spriedumu, vienlaikus Civilprocesa likuma 43.</w:t>
      </w:r>
      <w:r w:rsidRPr="00123C32">
        <w:rPr>
          <w:rFonts w:cs="Times New Roman"/>
          <w:szCs w:val="24"/>
          <w:vertAlign w:val="superscript"/>
          <w:lang w:val="lv-LV"/>
        </w:rPr>
        <w:t>1</w:t>
      </w:r>
      <w:r w:rsidRPr="00123C32">
        <w:rPr>
          <w:rFonts w:cs="Times New Roman"/>
          <w:szCs w:val="24"/>
          <w:lang w:val="lv-LV"/>
        </w:rPr>
        <w:t xml:space="preserve"> panta pirmās daļas 2. punkts paredz drošības naudas samaksas pienākumu par kasācijas sūdzības iesniegšanu. </w:t>
      </w:r>
    </w:p>
    <w:p w14:paraId="7882C997" w14:textId="5AD38B87" w:rsidR="00C13A22" w:rsidRPr="00123C32" w:rsidRDefault="00C13A22" w:rsidP="00F10A0A">
      <w:pPr>
        <w:tabs>
          <w:tab w:val="left" w:pos="709"/>
        </w:tabs>
        <w:spacing w:after="0" w:line="276" w:lineRule="auto"/>
        <w:ind w:firstLine="709"/>
        <w:jc w:val="both"/>
        <w:rPr>
          <w:rFonts w:cs="Times New Roman"/>
          <w:szCs w:val="24"/>
          <w:lang w:val="lv-LV"/>
        </w:rPr>
      </w:pPr>
      <w:r w:rsidRPr="00123C32">
        <w:rPr>
          <w:rFonts w:cs="Times New Roman"/>
          <w:szCs w:val="24"/>
          <w:lang w:val="lv-LV"/>
        </w:rPr>
        <w:t>[4.2]</w:t>
      </w:r>
      <w:r w:rsidR="00956CD4">
        <w:rPr>
          <w:rFonts w:cs="Times New Roman"/>
          <w:szCs w:val="24"/>
          <w:lang w:val="lv-LV"/>
        </w:rPr>
        <w:t> </w:t>
      </w:r>
      <w:r w:rsidRPr="00123C32">
        <w:rPr>
          <w:rFonts w:cs="Times New Roman"/>
          <w:szCs w:val="24"/>
          <w:lang w:val="lv-LV"/>
        </w:rPr>
        <w:t>Civilprocesa likuma 461. panta pirmā daļa noteic, ka līdzdalībnieki un trešās personas, kas piedalās procesā tās personas pusē, kura iesniegusi kasācijas sūdzību, var pievienoties iesniegtajai sūdzībai. Tādējādi viena lietas dalībnieka (prasītāja, atbildētāja vai trešās personas) kasācijas sūdzībai var pievienoties citi šīs puses līdzdalībnieki, neveicot papildu drošības naudas samaksu.</w:t>
      </w:r>
    </w:p>
    <w:p w14:paraId="4C7CA6F5" w14:textId="534EF28E" w:rsidR="00C13A22" w:rsidRPr="00123C32" w:rsidRDefault="00C13A22" w:rsidP="00F10A0A">
      <w:pPr>
        <w:tabs>
          <w:tab w:val="left" w:pos="709"/>
        </w:tabs>
        <w:spacing w:after="0" w:line="276" w:lineRule="auto"/>
        <w:ind w:firstLine="709"/>
        <w:jc w:val="both"/>
        <w:rPr>
          <w:rFonts w:cs="Times New Roman"/>
          <w:szCs w:val="24"/>
          <w:lang w:val="lv-LV"/>
        </w:rPr>
      </w:pPr>
      <w:r w:rsidRPr="00123C32">
        <w:rPr>
          <w:rFonts w:cs="Times New Roman"/>
          <w:szCs w:val="24"/>
          <w:lang w:val="lv-LV"/>
        </w:rPr>
        <w:t>Senāts arī atzinis, ka procesuālie līdzdalībnieki, kuriem ir vienota interese, ir tiesīgi iesniegt vienu kopīgu kasācijas sūdzību un tādā gadījumā drošības nauda par kopīgo kasācijas sūdzību maksājama vienu reizi 300</w:t>
      </w:r>
      <w:r w:rsidR="00061F71">
        <w:rPr>
          <w:rFonts w:cs="Times New Roman"/>
          <w:szCs w:val="24"/>
          <w:lang w:val="lv-LV"/>
        </w:rPr>
        <w:t> </w:t>
      </w:r>
      <w:proofErr w:type="spellStart"/>
      <w:r w:rsidRPr="00123C32">
        <w:rPr>
          <w:rFonts w:cs="Times New Roman"/>
          <w:i/>
          <w:iCs/>
          <w:szCs w:val="24"/>
          <w:lang w:val="lv-LV"/>
        </w:rPr>
        <w:t>euro</w:t>
      </w:r>
      <w:proofErr w:type="spellEnd"/>
      <w:r w:rsidRPr="00123C32">
        <w:rPr>
          <w:rFonts w:cs="Times New Roman"/>
          <w:szCs w:val="24"/>
          <w:lang w:val="lv-LV"/>
        </w:rPr>
        <w:t xml:space="preserve"> apmērā (sk.</w:t>
      </w:r>
      <w:r w:rsidR="008E7773" w:rsidRPr="00123C32">
        <w:rPr>
          <w:rFonts w:cs="Times New Roman"/>
          <w:szCs w:val="24"/>
          <w:lang w:val="lv-LV"/>
        </w:rPr>
        <w:t xml:space="preserve"> </w:t>
      </w:r>
      <w:r w:rsidRPr="00123C32">
        <w:rPr>
          <w:rFonts w:cs="Times New Roman"/>
          <w:i/>
          <w:iCs/>
          <w:szCs w:val="24"/>
          <w:lang w:val="lv-LV"/>
        </w:rPr>
        <w:t>Senāta 2024. gada 11. decembra rīcības sēdes lēmum</w:t>
      </w:r>
      <w:r w:rsidR="008E7773" w:rsidRPr="00123C32">
        <w:rPr>
          <w:rFonts w:cs="Times New Roman"/>
          <w:i/>
          <w:iCs/>
          <w:szCs w:val="24"/>
          <w:lang w:val="lv-LV"/>
        </w:rPr>
        <w:t>a</w:t>
      </w:r>
      <w:r w:rsidRPr="00123C32">
        <w:rPr>
          <w:rFonts w:cs="Times New Roman"/>
          <w:i/>
          <w:iCs/>
          <w:szCs w:val="24"/>
          <w:lang w:val="lv-LV"/>
        </w:rPr>
        <w:t xml:space="preserve"> lietā Nr. SKC-930/2024, ECLI:LV:AT:2024:1211.C30538522.18.L, 3.1. punkts</w:t>
      </w:r>
      <w:r w:rsidRPr="00123C32">
        <w:rPr>
          <w:rFonts w:cs="Times New Roman"/>
          <w:szCs w:val="24"/>
          <w:lang w:val="lv-LV"/>
        </w:rPr>
        <w:t xml:space="preserve">). </w:t>
      </w:r>
    </w:p>
    <w:p w14:paraId="71E0C218" w14:textId="009CA139" w:rsidR="00C13A22" w:rsidRPr="00123C32" w:rsidRDefault="00C13A22" w:rsidP="00F10A0A">
      <w:pPr>
        <w:tabs>
          <w:tab w:val="left" w:pos="709"/>
        </w:tabs>
        <w:spacing w:after="0" w:line="276" w:lineRule="auto"/>
        <w:ind w:firstLine="709"/>
        <w:jc w:val="both"/>
        <w:rPr>
          <w:rFonts w:cs="Times New Roman"/>
          <w:szCs w:val="24"/>
          <w:lang w:val="lv-LV"/>
        </w:rPr>
      </w:pPr>
      <w:r w:rsidRPr="00123C32">
        <w:rPr>
          <w:rFonts w:cs="Times New Roman"/>
          <w:szCs w:val="24"/>
          <w:lang w:val="lv-LV"/>
        </w:rPr>
        <w:t>Kaut arī kasācijas sūdzību iesnieguši un parakstījuš</w:t>
      </w:r>
      <w:r w:rsidR="00123C32" w:rsidRPr="00123C32">
        <w:rPr>
          <w:rFonts w:cs="Times New Roman"/>
          <w:szCs w:val="24"/>
          <w:lang w:val="lv-LV"/>
        </w:rPr>
        <w:t>as</w:t>
      </w:r>
      <w:r w:rsidRPr="00123C32">
        <w:rPr>
          <w:rFonts w:cs="Times New Roman"/>
          <w:szCs w:val="24"/>
          <w:lang w:val="lv-LV"/>
        </w:rPr>
        <w:t xml:space="preserve"> prasītāj</w:t>
      </w:r>
      <w:r w:rsidR="00956CD4">
        <w:rPr>
          <w:rFonts w:cs="Times New Roman"/>
          <w:szCs w:val="24"/>
          <w:lang w:val="lv-LV"/>
        </w:rPr>
        <w:t>a</w:t>
      </w:r>
      <w:r w:rsidRPr="00123C32">
        <w:rPr>
          <w:rFonts w:cs="Times New Roman"/>
          <w:szCs w:val="24"/>
          <w:lang w:val="lv-LV"/>
        </w:rPr>
        <w:t xml:space="preserve"> un atbildētāj</w:t>
      </w:r>
      <w:r w:rsidR="00123C32" w:rsidRPr="00123C32">
        <w:rPr>
          <w:rFonts w:cs="Times New Roman"/>
          <w:szCs w:val="24"/>
          <w:lang w:val="lv-LV"/>
        </w:rPr>
        <w:t>a</w:t>
      </w:r>
      <w:r w:rsidRPr="00123C32">
        <w:rPr>
          <w:rFonts w:cs="Times New Roman"/>
          <w:szCs w:val="24"/>
          <w:lang w:val="lv-LV"/>
        </w:rPr>
        <w:t xml:space="preserve"> kopīgi, senatoru kolēģija uzskata, ka jāņem vērā kasācijas sūdzības iesniedzēju atšķirīgais procesuālais statuss lietā – tās ir pretējās puses lietā. Tādēļ atbilstoši Civilprocesa likuma 75. panta otrajai daļai AS</w:t>
      </w:r>
      <w:r w:rsidR="001954AD" w:rsidRPr="00123C32">
        <w:rPr>
          <w:rFonts w:cs="Times New Roman"/>
          <w:szCs w:val="24"/>
          <w:lang w:val="lv-LV"/>
        </w:rPr>
        <w:t> </w:t>
      </w:r>
      <w:r w:rsidRPr="00123C32">
        <w:rPr>
          <w:rFonts w:cs="Times New Roman"/>
          <w:szCs w:val="24"/>
          <w:lang w:val="lv-LV"/>
        </w:rPr>
        <w:t>„</w:t>
      </w:r>
      <w:proofErr w:type="spellStart"/>
      <w:r w:rsidRPr="00123C32">
        <w:rPr>
          <w:rFonts w:cs="Times New Roman"/>
          <w:szCs w:val="24"/>
          <w:lang w:val="lv-LV"/>
        </w:rPr>
        <w:t>Latzemes</w:t>
      </w:r>
      <w:proofErr w:type="spellEnd"/>
      <w:r w:rsidRPr="00123C32">
        <w:rPr>
          <w:rFonts w:cs="Times New Roman"/>
          <w:szCs w:val="24"/>
          <w:lang w:val="lv-LV"/>
        </w:rPr>
        <w:t xml:space="preserve"> aktīvi” attiecībā pret AS</w:t>
      </w:r>
      <w:r w:rsidR="001954AD" w:rsidRPr="00123C32">
        <w:rPr>
          <w:rFonts w:cs="Times New Roman"/>
          <w:szCs w:val="24"/>
          <w:lang w:val="lv-LV"/>
        </w:rPr>
        <w:t> </w:t>
      </w:r>
      <w:r w:rsidRPr="00123C32">
        <w:rPr>
          <w:rFonts w:cs="Times New Roman"/>
          <w:szCs w:val="24"/>
          <w:lang w:val="lv-LV"/>
        </w:rPr>
        <w:t xml:space="preserve">„Pilsētas zemes dienests” uzstājas patstāvīgi un </w:t>
      </w:r>
      <w:r w:rsidR="00CB4A25" w:rsidRPr="00123C32">
        <w:rPr>
          <w:rFonts w:cs="Times New Roman"/>
          <w:szCs w:val="24"/>
          <w:lang w:val="lv-LV"/>
        </w:rPr>
        <w:t xml:space="preserve">lietā iesniegtā </w:t>
      </w:r>
      <w:r w:rsidRPr="00123C32">
        <w:rPr>
          <w:rFonts w:cs="Times New Roman"/>
          <w:szCs w:val="24"/>
          <w:lang w:val="lv-LV"/>
        </w:rPr>
        <w:t>kasācijas sūdzība no procesuālo darbību izpildīšanas viedokļa</w:t>
      </w:r>
      <w:r w:rsidR="00CB4A25" w:rsidRPr="00123C32">
        <w:rPr>
          <w:rFonts w:cs="Times New Roman"/>
          <w:szCs w:val="24"/>
          <w:lang w:val="lv-LV"/>
        </w:rPr>
        <w:t xml:space="preserve"> ir vērtējama kā divas patstāvīgas kasācijas sūdzības.</w:t>
      </w:r>
    </w:p>
    <w:p w14:paraId="7CFB3F2B" w14:textId="77777777" w:rsidR="00C13A22" w:rsidRPr="00123C32" w:rsidRDefault="00C13A22" w:rsidP="00F10A0A">
      <w:pPr>
        <w:tabs>
          <w:tab w:val="left" w:pos="709"/>
        </w:tabs>
        <w:spacing w:after="0" w:line="276" w:lineRule="auto"/>
        <w:ind w:firstLine="709"/>
        <w:jc w:val="both"/>
        <w:rPr>
          <w:rFonts w:cs="Times New Roman"/>
          <w:szCs w:val="24"/>
          <w:lang w:val="lv-LV"/>
        </w:rPr>
      </w:pPr>
    </w:p>
    <w:p w14:paraId="74996495" w14:textId="6995CDCB" w:rsidR="0044696F" w:rsidRPr="00123C32" w:rsidRDefault="00C13A22" w:rsidP="00F10A0A">
      <w:pPr>
        <w:tabs>
          <w:tab w:val="left" w:pos="709"/>
        </w:tabs>
        <w:spacing w:after="0" w:line="276" w:lineRule="auto"/>
        <w:ind w:firstLine="709"/>
        <w:jc w:val="both"/>
        <w:rPr>
          <w:rFonts w:cs="Times New Roman"/>
          <w:szCs w:val="24"/>
          <w:lang w:val="lv-LV"/>
        </w:rPr>
      </w:pPr>
      <w:r w:rsidRPr="00123C32">
        <w:rPr>
          <w:rFonts w:cs="Times New Roman"/>
          <w:szCs w:val="24"/>
          <w:lang w:val="lv-LV"/>
        </w:rPr>
        <w:t>[5]</w:t>
      </w:r>
      <w:r w:rsidR="001954AD" w:rsidRPr="00123C32">
        <w:rPr>
          <w:rFonts w:cs="Times New Roman"/>
          <w:szCs w:val="24"/>
          <w:lang w:val="lv-LV"/>
        </w:rPr>
        <w:t> </w:t>
      </w:r>
      <w:r w:rsidR="0067214C" w:rsidRPr="00123C32">
        <w:rPr>
          <w:rFonts w:cs="Times New Roman"/>
          <w:szCs w:val="24"/>
          <w:lang w:val="lv-LV"/>
        </w:rPr>
        <w:t>L</w:t>
      </w:r>
      <w:r w:rsidR="0044696F" w:rsidRPr="00123C32">
        <w:rPr>
          <w:rFonts w:cs="Times New Roman"/>
          <w:szCs w:val="24"/>
          <w:lang w:val="lv-LV"/>
        </w:rPr>
        <w:t>emjot jautājumu par kasācijas tiesvedības ierosināšanu</w:t>
      </w:r>
      <w:r w:rsidR="0067214C" w:rsidRPr="00123C32">
        <w:rPr>
          <w:rFonts w:cs="Times New Roman"/>
          <w:szCs w:val="24"/>
          <w:lang w:val="lv-LV"/>
        </w:rPr>
        <w:t xml:space="preserve"> sakarā ar AS „Pilsētas zemes dienests” kasācijas sūdzību</w:t>
      </w:r>
      <w:r w:rsidR="0044696F" w:rsidRPr="00123C32">
        <w:rPr>
          <w:rFonts w:cs="Times New Roman"/>
          <w:szCs w:val="24"/>
          <w:lang w:val="lv-LV"/>
        </w:rPr>
        <w:t>, senatoru kolēģija atzīst, ka iesniegtā kasācijas sūdzība</w:t>
      </w:r>
      <w:r w:rsidRPr="00123C32">
        <w:rPr>
          <w:rFonts w:cs="Times New Roman"/>
          <w:szCs w:val="24"/>
          <w:lang w:val="lv-LV"/>
        </w:rPr>
        <w:t xml:space="preserve"> </w:t>
      </w:r>
      <w:r w:rsidR="0044696F" w:rsidRPr="00123C32">
        <w:rPr>
          <w:rFonts w:cs="Times New Roman"/>
          <w:szCs w:val="24"/>
          <w:lang w:val="lv-LV"/>
        </w:rPr>
        <w:t>nosūtāma Rīgas apgabaltiesai likumā paredzēto darbību izpildei.</w:t>
      </w:r>
    </w:p>
    <w:p w14:paraId="324C20DB" w14:textId="56BD53BB" w:rsidR="0044696F" w:rsidRPr="00123C32" w:rsidRDefault="0044696F" w:rsidP="00F10A0A">
      <w:pPr>
        <w:tabs>
          <w:tab w:val="left" w:pos="709"/>
        </w:tabs>
        <w:spacing w:after="0" w:line="276" w:lineRule="auto"/>
        <w:ind w:firstLine="709"/>
        <w:jc w:val="both"/>
        <w:rPr>
          <w:rFonts w:cs="Times New Roman"/>
          <w:szCs w:val="24"/>
          <w:lang w:val="lv-LV"/>
        </w:rPr>
      </w:pPr>
      <w:r w:rsidRPr="00123C32">
        <w:rPr>
          <w:rFonts w:cs="Times New Roman"/>
          <w:szCs w:val="24"/>
          <w:lang w:val="lv-LV"/>
        </w:rPr>
        <w:t>Saskaņā ar Civilprocesa likuma 43.</w:t>
      </w:r>
      <w:r w:rsidRPr="00123C32">
        <w:rPr>
          <w:rFonts w:cs="Times New Roman"/>
          <w:szCs w:val="24"/>
          <w:vertAlign w:val="superscript"/>
          <w:lang w:val="lv-LV"/>
        </w:rPr>
        <w:t>1</w:t>
      </w:r>
      <w:r w:rsidR="0067214C" w:rsidRPr="00123C32">
        <w:rPr>
          <w:rFonts w:cs="Times New Roman"/>
          <w:szCs w:val="24"/>
          <w:lang w:val="lv-LV"/>
        </w:rPr>
        <w:t> </w:t>
      </w:r>
      <w:r w:rsidRPr="00123C32">
        <w:rPr>
          <w:rFonts w:cs="Times New Roman"/>
          <w:szCs w:val="24"/>
          <w:lang w:val="lv-LV"/>
        </w:rPr>
        <w:t>panta pirmās daļas 2.</w:t>
      </w:r>
      <w:r w:rsidR="0067214C" w:rsidRPr="00123C32">
        <w:rPr>
          <w:rFonts w:cs="Times New Roman"/>
          <w:szCs w:val="24"/>
          <w:lang w:val="lv-LV"/>
        </w:rPr>
        <w:t> </w:t>
      </w:r>
      <w:r w:rsidRPr="00123C32">
        <w:rPr>
          <w:rFonts w:cs="Times New Roman"/>
          <w:szCs w:val="24"/>
          <w:lang w:val="lv-LV"/>
        </w:rPr>
        <w:t>punktu, otro daļu un 458.</w:t>
      </w:r>
      <w:r w:rsidR="0067214C" w:rsidRPr="00123C32">
        <w:rPr>
          <w:rFonts w:cs="Times New Roman"/>
          <w:szCs w:val="24"/>
          <w:lang w:val="lv-LV"/>
        </w:rPr>
        <w:t> </w:t>
      </w:r>
      <w:r w:rsidRPr="00123C32">
        <w:rPr>
          <w:rFonts w:cs="Times New Roman"/>
          <w:szCs w:val="24"/>
          <w:lang w:val="lv-LV"/>
        </w:rPr>
        <w:t>panta</w:t>
      </w:r>
      <w:r w:rsidR="00C13A22" w:rsidRPr="00123C32">
        <w:rPr>
          <w:rFonts w:cs="Times New Roman"/>
          <w:szCs w:val="24"/>
          <w:lang w:val="lv-LV"/>
        </w:rPr>
        <w:t xml:space="preserve"> </w:t>
      </w:r>
      <w:r w:rsidRPr="00123C32">
        <w:rPr>
          <w:rFonts w:cs="Times New Roman"/>
          <w:szCs w:val="24"/>
          <w:lang w:val="lv-LV"/>
        </w:rPr>
        <w:t>pirmo daļu, iesniedzot kasācijas sūdzību, Augstākās tiesas depozīta kontā iemaksājama drošības</w:t>
      </w:r>
      <w:r w:rsidR="00C13A22" w:rsidRPr="00123C32">
        <w:rPr>
          <w:rFonts w:cs="Times New Roman"/>
          <w:szCs w:val="24"/>
          <w:lang w:val="lv-LV"/>
        </w:rPr>
        <w:t xml:space="preserve"> </w:t>
      </w:r>
      <w:r w:rsidRPr="00123C32">
        <w:rPr>
          <w:rFonts w:cs="Times New Roman"/>
          <w:szCs w:val="24"/>
          <w:lang w:val="lv-LV"/>
        </w:rPr>
        <w:t xml:space="preserve">nauda 300 </w:t>
      </w:r>
      <w:proofErr w:type="spellStart"/>
      <w:r w:rsidR="0067214C" w:rsidRPr="00123C32">
        <w:rPr>
          <w:rFonts w:cs="Times New Roman"/>
          <w:i/>
          <w:iCs/>
          <w:szCs w:val="24"/>
          <w:lang w:val="lv-LV"/>
        </w:rPr>
        <w:t>euro</w:t>
      </w:r>
      <w:proofErr w:type="spellEnd"/>
      <w:r w:rsidRPr="00123C32">
        <w:rPr>
          <w:rFonts w:cs="Times New Roman"/>
          <w:szCs w:val="24"/>
          <w:lang w:val="lv-LV"/>
        </w:rPr>
        <w:t xml:space="preserve">. </w:t>
      </w:r>
    </w:p>
    <w:p w14:paraId="77289047" w14:textId="1C423226" w:rsidR="0044696F" w:rsidRPr="00123C32" w:rsidRDefault="001954AD" w:rsidP="00F10A0A">
      <w:pPr>
        <w:tabs>
          <w:tab w:val="left" w:pos="709"/>
        </w:tabs>
        <w:spacing w:after="0" w:line="276" w:lineRule="auto"/>
        <w:ind w:firstLine="709"/>
        <w:jc w:val="both"/>
        <w:rPr>
          <w:rFonts w:cs="Times New Roman"/>
          <w:szCs w:val="24"/>
          <w:lang w:val="lv-LV"/>
        </w:rPr>
      </w:pPr>
      <w:r w:rsidRPr="00123C32">
        <w:rPr>
          <w:rFonts w:cs="Times New Roman"/>
          <w:szCs w:val="24"/>
          <w:lang w:val="lv-LV"/>
        </w:rPr>
        <w:t xml:space="preserve">Kasācijas sūdzībai pievienots maksājuma uzdevums no SIA „ZAB ILAW” 300 </w:t>
      </w:r>
      <w:proofErr w:type="spellStart"/>
      <w:r w:rsidRPr="00123C32">
        <w:rPr>
          <w:rFonts w:cs="Times New Roman"/>
          <w:i/>
          <w:iCs/>
          <w:szCs w:val="24"/>
          <w:lang w:val="lv-LV"/>
        </w:rPr>
        <w:t>euro</w:t>
      </w:r>
      <w:proofErr w:type="spellEnd"/>
      <w:r w:rsidRPr="00123C32">
        <w:rPr>
          <w:rFonts w:cs="Times New Roman"/>
          <w:szCs w:val="24"/>
          <w:lang w:val="lv-LV"/>
        </w:rPr>
        <w:t xml:space="preserve"> apmērā, kas ir AS „</w:t>
      </w:r>
      <w:proofErr w:type="spellStart"/>
      <w:r w:rsidRPr="00123C32">
        <w:rPr>
          <w:rFonts w:cs="Times New Roman"/>
          <w:szCs w:val="24"/>
          <w:lang w:val="lv-LV"/>
        </w:rPr>
        <w:t>Latzemes</w:t>
      </w:r>
      <w:proofErr w:type="spellEnd"/>
      <w:r w:rsidRPr="00123C32">
        <w:rPr>
          <w:rFonts w:cs="Times New Roman"/>
          <w:szCs w:val="24"/>
          <w:lang w:val="lv-LV"/>
        </w:rPr>
        <w:t xml:space="preserve"> aktīvi” pilnvarotā pārstāvja zvērināta advokāta Normunda </w:t>
      </w:r>
      <w:proofErr w:type="spellStart"/>
      <w:r w:rsidRPr="00123C32">
        <w:rPr>
          <w:rFonts w:cs="Times New Roman"/>
          <w:szCs w:val="24"/>
          <w:lang w:val="lv-LV"/>
        </w:rPr>
        <w:t>Šlitkes</w:t>
      </w:r>
      <w:proofErr w:type="spellEnd"/>
      <w:r w:rsidRPr="00123C32">
        <w:rPr>
          <w:rFonts w:cs="Times New Roman"/>
          <w:szCs w:val="24"/>
          <w:lang w:val="lv-LV"/>
        </w:rPr>
        <w:t xml:space="preserve"> prakses vieta. Tādējādi </w:t>
      </w:r>
      <w:r w:rsidR="0044696F" w:rsidRPr="00123C32">
        <w:rPr>
          <w:rFonts w:cs="Times New Roman"/>
          <w:szCs w:val="24"/>
          <w:lang w:val="lv-LV"/>
        </w:rPr>
        <w:t xml:space="preserve">konstatējams, ka </w:t>
      </w:r>
      <w:r w:rsidR="00C13A22" w:rsidRPr="00123C32">
        <w:rPr>
          <w:rFonts w:cs="Times New Roman"/>
          <w:szCs w:val="24"/>
          <w:lang w:val="lv-LV"/>
        </w:rPr>
        <w:t>AS</w:t>
      </w:r>
      <w:r w:rsidRPr="00123C32">
        <w:rPr>
          <w:rFonts w:cs="Times New Roman"/>
          <w:szCs w:val="24"/>
          <w:lang w:val="lv-LV"/>
        </w:rPr>
        <w:t> </w:t>
      </w:r>
      <w:r w:rsidR="00C13A22" w:rsidRPr="00123C32">
        <w:rPr>
          <w:rFonts w:cs="Times New Roman"/>
          <w:szCs w:val="24"/>
          <w:lang w:val="lv-LV"/>
        </w:rPr>
        <w:t xml:space="preserve">„Pilsētas zemes dienests” </w:t>
      </w:r>
      <w:r w:rsidR="0044696F" w:rsidRPr="00123C32">
        <w:rPr>
          <w:rFonts w:cs="Times New Roman"/>
          <w:szCs w:val="24"/>
          <w:lang w:val="lv-LV"/>
        </w:rPr>
        <w:t>nav iemaksāj</w:t>
      </w:r>
      <w:r w:rsidR="00123C32" w:rsidRPr="00123C32">
        <w:rPr>
          <w:rFonts w:cs="Times New Roman"/>
          <w:szCs w:val="24"/>
          <w:lang w:val="lv-LV"/>
        </w:rPr>
        <w:t>usi</w:t>
      </w:r>
      <w:r w:rsidR="0044696F" w:rsidRPr="00123C32">
        <w:rPr>
          <w:rFonts w:cs="Times New Roman"/>
          <w:szCs w:val="24"/>
          <w:lang w:val="lv-LV"/>
        </w:rPr>
        <w:t xml:space="preserve"> Civilprocesa likumā noteikto drošības naudu par kasācijas sūdzības iesniegšanu</w:t>
      </w:r>
      <w:r w:rsidRPr="00123C32">
        <w:rPr>
          <w:rFonts w:cs="Times New Roman"/>
          <w:szCs w:val="24"/>
          <w:lang w:val="lv-LV"/>
        </w:rPr>
        <w:t>.</w:t>
      </w:r>
    </w:p>
    <w:p w14:paraId="10A568DA" w14:textId="4C6DAB64" w:rsidR="001954AD" w:rsidRPr="00123C32" w:rsidRDefault="0067214C" w:rsidP="00F10A0A">
      <w:pPr>
        <w:tabs>
          <w:tab w:val="left" w:pos="709"/>
        </w:tabs>
        <w:spacing w:after="0" w:line="276" w:lineRule="auto"/>
        <w:ind w:firstLine="709"/>
        <w:jc w:val="both"/>
        <w:rPr>
          <w:rFonts w:cs="Times New Roman"/>
          <w:szCs w:val="24"/>
          <w:lang w:val="lv-LV"/>
        </w:rPr>
      </w:pPr>
      <w:r w:rsidRPr="00123C32">
        <w:rPr>
          <w:rFonts w:cs="Times New Roman"/>
          <w:szCs w:val="24"/>
          <w:lang w:val="lv-LV"/>
        </w:rPr>
        <w:t>Pastāvot šādiem apstākļiem, saskaņā ar Civilprocesa likuma 459.</w:t>
      </w:r>
      <w:r w:rsidR="001954AD" w:rsidRPr="00123C32">
        <w:rPr>
          <w:rFonts w:cs="Times New Roman"/>
          <w:szCs w:val="24"/>
          <w:lang w:val="lv-LV"/>
        </w:rPr>
        <w:t> </w:t>
      </w:r>
      <w:r w:rsidRPr="00123C32">
        <w:rPr>
          <w:rFonts w:cs="Times New Roman"/>
          <w:szCs w:val="24"/>
          <w:lang w:val="lv-LV"/>
        </w:rPr>
        <w:t>panta piekto daļu lieta kopā ar AS</w:t>
      </w:r>
      <w:r w:rsidR="001954AD" w:rsidRPr="00123C32">
        <w:rPr>
          <w:rFonts w:cs="Times New Roman"/>
          <w:szCs w:val="24"/>
          <w:lang w:val="lv-LV"/>
        </w:rPr>
        <w:t> </w:t>
      </w:r>
      <w:r w:rsidRPr="00123C32">
        <w:rPr>
          <w:rFonts w:cs="Times New Roman"/>
          <w:szCs w:val="24"/>
          <w:lang w:val="lv-LV"/>
        </w:rPr>
        <w:t>„Pilsētas zemes dienests” kasācijas sūdzību nosūtāma Rīgas apgabaltiesa</w:t>
      </w:r>
      <w:r w:rsidR="001954AD" w:rsidRPr="00123C32">
        <w:rPr>
          <w:rFonts w:cs="Times New Roman"/>
          <w:szCs w:val="24"/>
          <w:lang w:val="lv-LV"/>
        </w:rPr>
        <w:t>i</w:t>
      </w:r>
      <w:r w:rsidRPr="00123C32">
        <w:rPr>
          <w:rFonts w:cs="Times New Roman"/>
          <w:szCs w:val="24"/>
          <w:lang w:val="lv-LV"/>
        </w:rPr>
        <w:t xml:space="preserve"> Civilprocesa likuma 453.</w:t>
      </w:r>
      <w:r w:rsidR="001954AD" w:rsidRPr="00123C32">
        <w:rPr>
          <w:rFonts w:cs="Times New Roman"/>
          <w:szCs w:val="24"/>
          <w:lang w:val="lv-LV"/>
        </w:rPr>
        <w:t> </w:t>
      </w:r>
      <w:r w:rsidRPr="00123C32">
        <w:rPr>
          <w:rFonts w:cs="Times New Roman"/>
          <w:szCs w:val="24"/>
          <w:lang w:val="lv-LV"/>
        </w:rPr>
        <w:t>panta sest</w:t>
      </w:r>
      <w:r w:rsidR="00123C32" w:rsidRPr="00123C32">
        <w:rPr>
          <w:rFonts w:cs="Times New Roman"/>
          <w:szCs w:val="24"/>
          <w:lang w:val="lv-LV"/>
        </w:rPr>
        <w:t>ās</w:t>
      </w:r>
      <w:r w:rsidRPr="00123C32">
        <w:rPr>
          <w:rFonts w:cs="Times New Roman"/>
          <w:szCs w:val="24"/>
          <w:lang w:val="lv-LV"/>
        </w:rPr>
        <w:t xml:space="preserve"> daļ</w:t>
      </w:r>
      <w:r w:rsidR="00123C32" w:rsidRPr="00123C32">
        <w:rPr>
          <w:rFonts w:cs="Times New Roman"/>
          <w:szCs w:val="24"/>
          <w:lang w:val="lv-LV"/>
        </w:rPr>
        <w:t>as 1. punktā</w:t>
      </w:r>
      <w:r w:rsidRPr="00123C32">
        <w:rPr>
          <w:rFonts w:cs="Times New Roman"/>
          <w:szCs w:val="24"/>
          <w:lang w:val="lv-LV"/>
        </w:rPr>
        <w:t xml:space="preserve"> noteikto procesuālo darbību </w:t>
      </w:r>
      <w:r w:rsidR="00123C32" w:rsidRPr="00123C32">
        <w:rPr>
          <w:rFonts w:cs="Times New Roman"/>
          <w:szCs w:val="24"/>
          <w:lang w:val="lv-LV"/>
        </w:rPr>
        <w:t>izpildei</w:t>
      </w:r>
      <w:r w:rsidRPr="00123C32">
        <w:rPr>
          <w:rFonts w:cs="Times New Roman"/>
          <w:szCs w:val="24"/>
          <w:lang w:val="lv-LV"/>
        </w:rPr>
        <w:t>.</w:t>
      </w:r>
    </w:p>
    <w:p w14:paraId="1D1DAF5B" w14:textId="77777777" w:rsidR="0067214C" w:rsidRPr="00123C32" w:rsidRDefault="0067214C" w:rsidP="00F10A0A">
      <w:pPr>
        <w:tabs>
          <w:tab w:val="left" w:pos="709"/>
        </w:tabs>
        <w:spacing w:after="0" w:line="276" w:lineRule="auto"/>
        <w:ind w:firstLine="709"/>
        <w:jc w:val="both"/>
        <w:rPr>
          <w:rFonts w:cs="Times New Roman"/>
          <w:szCs w:val="24"/>
          <w:lang w:val="lv-LV"/>
        </w:rPr>
      </w:pPr>
    </w:p>
    <w:p w14:paraId="5849B414" w14:textId="3AB845C5" w:rsidR="009C432E" w:rsidRPr="00123C32" w:rsidRDefault="001954AD" w:rsidP="00F10A0A">
      <w:pPr>
        <w:tabs>
          <w:tab w:val="left" w:pos="709"/>
        </w:tabs>
        <w:spacing w:after="0" w:line="276" w:lineRule="auto"/>
        <w:ind w:firstLine="709"/>
        <w:jc w:val="both"/>
        <w:rPr>
          <w:rFonts w:cs="Times New Roman"/>
          <w:szCs w:val="24"/>
          <w:lang w:val="lv-LV"/>
        </w:rPr>
      </w:pPr>
      <w:r w:rsidRPr="00123C32">
        <w:rPr>
          <w:rFonts w:cs="Times New Roman"/>
          <w:szCs w:val="24"/>
          <w:lang w:val="lv-LV"/>
        </w:rPr>
        <w:t>[6] </w:t>
      </w:r>
      <w:r w:rsidR="0067214C" w:rsidRPr="00123C32">
        <w:rPr>
          <w:rFonts w:cs="Times New Roman"/>
          <w:szCs w:val="24"/>
          <w:lang w:val="lv-LV"/>
        </w:rPr>
        <w:t>Savukārt</w:t>
      </w:r>
      <w:r w:rsidR="00CB4A25" w:rsidRPr="00123C32">
        <w:rPr>
          <w:rFonts w:cs="Times New Roman"/>
          <w:szCs w:val="24"/>
          <w:lang w:val="lv-LV"/>
        </w:rPr>
        <w:t>,</w:t>
      </w:r>
      <w:r w:rsidR="0067214C" w:rsidRPr="00123C32">
        <w:rPr>
          <w:rFonts w:cs="Times New Roman"/>
          <w:szCs w:val="24"/>
          <w:lang w:val="lv-LV"/>
        </w:rPr>
        <w:t xml:space="preserve"> i</w:t>
      </w:r>
      <w:r w:rsidR="009C432E" w:rsidRPr="00123C32">
        <w:rPr>
          <w:rFonts w:cs="Times New Roman"/>
          <w:szCs w:val="24"/>
          <w:lang w:val="lv-LV"/>
        </w:rPr>
        <w:t>zvērtējot AS</w:t>
      </w:r>
      <w:r w:rsidRPr="00123C32">
        <w:rPr>
          <w:rFonts w:cs="Times New Roman"/>
          <w:szCs w:val="24"/>
          <w:lang w:val="lv-LV"/>
        </w:rPr>
        <w:t> </w:t>
      </w:r>
      <w:r w:rsidR="009C432E" w:rsidRPr="00123C32">
        <w:rPr>
          <w:rFonts w:cs="Times New Roman"/>
          <w:szCs w:val="24"/>
          <w:lang w:val="lv-LV"/>
        </w:rPr>
        <w:t>„</w:t>
      </w:r>
      <w:proofErr w:type="spellStart"/>
      <w:r w:rsidR="009C432E" w:rsidRPr="00123C32">
        <w:rPr>
          <w:rFonts w:cs="Times New Roman"/>
          <w:szCs w:val="24"/>
          <w:lang w:val="lv-LV"/>
        </w:rPr>
        <w:t>Latzemes</w:t>
      </w:r>
      <w:proofErr w:type="spellEnd"/>
      <w:r w:rsidR="009C432E" w:rsidRPr="00123C32">
        <w:rPr>
          <w:rFonts w:cs="Times New Roman"/>
          <w:szCs w:val="24"/>
          <w:lang w:val="lv-LV"/>
        </w:rPr>
        <w:t xml:space="preserve"> aktīvi” kasācijas sūdzībā minētos argumentus, senatoru kolēģijai nav acīmredzama pamata uzskatīt, ka pārsūdzētajā spriedumā ietvertais lietas iznākums ir nepareizs un ka izskatāmajai lietai ir būtiska nozīme vienotas prakses nodrošināšanā vai tiesību </w:t>
      </w:r>
      <w:proofErr w:type="spellStart"/>
      <w:r w:rsidR="009C432E" w:rsidRPr="00123C32">
        <w:rPr>
          <w:rFonts w:cs="Times New Roman"/>
          <w:szCs w:val="24"/>
          <w:lang w:val="lv-LV"/>
        </w:rPr>
        <w:t>tālākveidošanā</w:t>
      </w:r>
      <w:proofErr w:type="spellEnd"/>
      <w:r w:rsidR="009C432E" w:rsidRPr="00123C32">
        <w:rPr>
          <w:rFonts w:cs="Times New Roman"/>
          <w:i/>
          <w:iCs/>
          <w:szCs w:val="24"/>
          <w:lang w:val="lv-LV"/>
        </w:rPr>
        <w:t>.</w:t>
      </w:r>
      <w:r w:rsidR="009C432E" w:rsidRPr="00123C32">
        <w:rPr>
          <w:rFonts w:cs="Times New Roman"/>
          <w:szCs w:val="24"/>
          <w:lang w:val="lv-LV"/>
        </w:rPr>
        <w:t xml:space="preserve"> Tādējādi ir Civilprocesa likuma 464.</w:t>
      </w:r>
      <w:r w:rsidR="009C432E" w:rsidRPr="00123C32">
        <w:rPr>
          <w:rFonts w:cs="Times New Roman"/>
          <w:szCs w:val="24"/>
          <w:vertAlign w:val="superscript"/>
          <w:lang w:val="lv-LV"/>
        </w:rPr>
        <w:t>1 </w:t>
      </w:r>
      <w:r w:rsidR="009C432E" w:rsidRPr="00123C32">
        <w:rPr>
          <w:rFonts w:cs="Times New Roman"/>
          <w:szCs w:val="24"/>
          <w:lang w:val="lv-LV"/>
        </w:rPr>
        <w:t>panta otrās daļas 2. punktā paredzētais pamats atteikumam ierosināt kasācijas tiesvedību lietā.</w:t>
      </w:r>
    </w:p>
    <w:p w14:paraId="6600C3A0" w14:textId="77777777" w:rsidR="00C012D5" w:rsidRPr="00123C32" w:rsidRDefault="00C012D5" w:rsidP="00F10A0A">
      <w:pPr>
        <w:pStyle w:val="NoSpacing"/>
        <w:spacing w:line="276" w:lineRule="auto"/>
        <w:ind w:firstLine="709"/>
        <w:rPr>
          <w:rFonts w:cs="Times New Roman"/>
          <w:szCs w:val="24"/>
          <w:lang w:val="lv-LV"/>
        </w:rPr>
      </w:pPr>
    </w:p>
    <w:p w14:paraId="4938E296" w14:textId="29D3A22E" w:rsidR="00123C32" w:rsidRPr="00123C32" w:rsidRDefault="00123C32" w:rsidP="00F10A0A">
      <w:pPr>
        <w:shd w:val="clear" w:color="auto" w:fill="FFFFFF"/>
        <w:spacing w:after="0" w:line="276" w:lineRule="auto"/>
        <w:jc w:val="center"/>
        <w:rPr>
          <w:rFonts w:cs="Times New Roman"/>
          <w:b/>
          <w:szCs w:val="24"/>
          <w:lang w:val="lv-LV"/>
        </w:rPr>
      </w:pPr>
      <w:r w:rsidRPr="00123C32">
        <w:rPr>
          <w:rFonts w:cs="Times New Roman"/>
          <w:b/>
          <w:szCs w:val="24"/>
          <w:lang w:val="lv-LV"/>
        </w:rPr>
        <w:t>Rezolutīvā daļa</w:t>
      </w:r>
    </w:p>
    <w:p w14:paraId="611A4E40" w14:textId="77777777" w:rsidR="00123C32" w:rsidRPr="00123C32" w:rsidRDefault="00123C32" w:rsidP="00F10A0A">
      <w:pPr>
        <w:autoSpaceDE w:val="0"/>
        <w:autoSpaceDN w:val="0"/>
        <w:adjustRightInd w:val="0"/>
        <w:spacing w:after="0" w:line="276" w:lineRule="auto"/>
        <w:ind w:firstLine="709"/>
        <w:jc w:val="both"/>
        <w:rPr>
          <w:rFonts w:cs="Times New Roman"/>
          <w:szCs w:val="24"/>
          <w:lang w:val="lv-LV"/>
        </w:rPr>
      </w:pPr>
    </w:p>
    <w:p w14:paraId="465DCAF5" w14:textId="65A409D6" w:rsidR="006F5269" w:rsidRPr="00123C32" w:rsidRDefault="00150003" w:rsidP="00F10A0A">
      <w:pPr>
        <w:autoSpaceDE w:val="0"/>
        <w:autoSpaceDN w:val="0"/>
        <w:adjustRightInd w:val="0"/>
        <w:spacing w:after="0" w:line="276" w:lineRule="auto"/>
        <w:ind w:firstLine="709"/>
        <w:jc w:val="both"/>
        <w:rPr>
          <w:rFonts w:eastAsia="Times New Roman" w:cs="Times New Roman"/>
          <w:szCs w:val="24"/>
          <w:lang w:val="lv-LV" w:eastAsia="lv-LV"/>
        </w:rPr>
      </w:pPr>
      <w:r w:rsidRPr="00123C32">
        <w:rPr>
          <w:rFonts w:cs="Times New Roman"/>
          <w:szCs w:val="24"/>
          <w:lang w:val="lv-LV"/>
        </w:rPr>
        <w:tab/>
        <w:t>P</w:t>
      </w:r>
      <w:r w:rsidRPr="00123C32">
        <w:rPr>
          <w:rFonts w:eastAsia="Times New Roman" w:cs="Times New Roman"/>
          <w:szCs w:val="24"/>
          <w:lang w:val="lv-LV" w:eastAsia="lv-LV"/>
        </w:rPr>
        <w:t>amatojoties uz Civilprocesa likuma 464.</w:t>
      </w:r>
      <w:r w:rsidR="0031057E" w:rsidRPr="00123C32">
        <w:rPr>
          <w:rFonts w:eastAsia="Times New Roman" w:cs="Times New Roman"/>
          <w:szCs w:val="24"/>
          <w:lang w:val="lv-LV" w:eastAsia="lv-LV"/>
        </w:rPr>
        <w:t> </w:t>
      </w:r>
      <w:r w:rsidRPr="00123C32">
        <w:rPr>
          <w:rFonts w:eastAsia="Times New Roman" w:cs="Times New Roman"/>
          <w:szCs w:val="24"/>
          <w:lang w:val="lv-LV" w:eastAsia="lv-LV"/>
        </w:rPr>
        <w:t>panta trešo</w:t>
      </w:r>
      <w:r w:rsidR="0067214C" w:rsidRPr="00123C32">
        <w:rPr>
          <w:rFonts w:eastAsia="Times New Roman" w:cs="Times New Roman"/>
          <w:szCs w:val="24"/>
          <w:lang w:val="lv-LV" w:eastAsia="lv-LV"/>
        </w:rPr>
        <w:t xml:space="preserve"> un sesto</w:t>
      </w:r>
      <w:r w:rsidRPr="00123C32">
        <w:rPr>
          <w:rFonts w:eastAsia="Times New Roman" w:cs="Times New Roman"/>
          <w:szCs w:val="24"/>
          <w:lang w:val="lv-LV" w:eastAsia="lv-LV"/>
        </w:rPr>
        <w:t xml:space="preserve"> daļu un 464.</w:t>
      </w:r>
      <w:r w:rsidRPr="00123C32">
        <w:rPr>
          <w:rFonts w:eastAsia="Times New Roman" w:cs="Times New Roman"/>
          <w:szCs w:val="24"/>
          <w:vertAlign w:val="superscript"/>
          <w:lang w:val="lv-LV" w:eastAsia="lv-LV"/>
        </w:rPr>
        <w:t>1</w:t>
      </w:r>
      <w:r w:rsidR="0031057E" w:rsidRPr="00123C32">
        <w:rPr>
          <w:rFonts w:eastAsia="Times New Roman" w:cs="Times New Roman"/>
          <w:szCs w:val="24"/>
          <w:lang w:val="lv-LV" w:eastAsia="lv-LV"/>
        </w:rPr>
        <w:t> </w:t>
      </w:r>
      <w:r w:rsidRPr="00123C32">
        <w:rPr>
          <w:rFonts w:eastAsia="Times New Roman" w:cs="Times New Roman"/>
          <w:szCs w:val="24"/>
          <w:lang w:val="lv-LV" w:eastAsia="lv-LV"/>
        </w:rPr>
        <w:t>panta otrās daļas 2.</w:t>
      </w:r>
      <w:r w:rsidR="00C93FF1" w:rsidRPr="00123C32">
        <w:rPr>
          <w:rFonts w:eastAsia="Times New Roman" w:cs="Times New Roman"/>
          <w:szCs w:val="24"/>
          <w:lang w:val="lv-LV" w:eastAsia="lv-LV"/>
        </w:rPr>
        <w:t> </w:t>
      </w:r>
      <w:r w:rsidRPr="00123C32">
        <w:rPr>
          <w:rFonts w:eastAsia="Times New Roman" w:cs="Times New Roman"/>
          <w:szCs w:val="24"/>
          <w:lang w:val="lv-LV" w:eastAsia="lv-LV"/>
        </w:rPr>
        <w:t>punktu, senatoru kolēģija</w:t>
      </w:r>
    </w:p>
    <w:p w14:paraId="3B709071" w14:textId="77777777" w:rsidR="00116688" w:rsidRPr="00123C32" w:rsidRDefault="00116688" w:rsidP="00F10A0A">
      <w:pPr>
        <w:autoSpaceDE w:val="0"/>
        <w:autoSpaceDN w:val="0"/>
        <w:adjustRightInd w:val="0"/>
        <w:spacing w:after="0" w:line="276" w:lineRule="auto"/>
        <w:ind w:firstLine="709"/>
        <w:jc w:val="both"/>
        <w:rPr>
          <w:rFonts w:cs="Times New Roman"/>
          <w:szCs w:val="24"/>
          <w:lang w:val="lv-LV"/>
        </w:rPr>
      </w:pPr>
    </w:p>
    <w:p w14:paraId="1740002F" w14:textId="77777777" w:rsidR="00EB200E" w:rsidRPr="00123C32" w:rsidRDefault="006F5269" w:rsidP="00F10A0A">
      <w:pPr>
        <w:autoSpaceDE w:val="0"/>
        <w:autoSpaceDN w:val="0"/>
        <w:adjustRightInd w:val="0"/>
        <w:spacing w:after="0" w:line="276" w:lineRule="auto"/>
        <w:jc w:val="center"/>
        <w:rPr>
          <w:rFonts w:eastAsia="Times New Roman" w:cs="Times New Roman"/>
          <w:b/>
          <w:bCs/>
          <w:szCs w:val="24"/>
          <w:lang w:val="lv-LV" w:eastAsia="lv-LV"/>
        </w:rPr>
      </w:pPr>
      <w:r w:rsidRPr="00123C32">
        <w:rPr>
          <w:rFonts w:eastAsia="Times New Roman" w:cs="Times New Roman"/>
          <w:b/>
          <w:bCs/>
          <w:szCs w:val="24"/>
          <w:lang w:val="lv-LV" w:eastAsia="lv-LV"/>
        </w:rPr>
        <w:t>n</w:t>
      </w:r>
      <w:r w:rsidR="00586AC2" w:rsidRPr="00123C32">
        <w:rPr>
          <w:rFonts w:eastAsia="Times New Roman" w:cs="Times New Roman"/>
          <w:b/>
          <w:bCs/>
          <w:szCs w:val="24"/>
          <w:lang w:val="lv-LV" w:eastAsia="lv-LV"/>
        </w:rPr>
        <w:t>olēma</w:t>
      </w:r>
    </w:p>
    <w:p w14:paraId="0D53C320" w14:textId="77777777" w:rsidR="006F5269" w:rsidRPr="00123C32" w:rsidRDefault="006F5269" w:rsidP="00F10A0A">
      <w:pPr>
        <w:pStyle w:val="NoSpacing"/>
        <w:spacing w:line="276" w:lineRule="auto"/>
        <w:ind w:firstLine="709"/>
        <w:rPr>
          <w:rFonts w:cs="Times New Roman"/>
          <w:szCs w:val="24"/>
          <w:lang w:val="lv-LV"/>
        </w:rPr>
      </w:pPr>
    </w:p>
    <w:p w14:paraId="7A2FE164" w14:textId="4FE7D1B1" w:rsidR="001954AD" w:rsidRPr="00123C32" w:rsidRDefault="001954AD" w:rsidP="00F10A0A">
      <w:pPr>
        <w:autoSpaceDE w:val="0"/>
        <w:autoSpaceDN w:val="0"/>
        <w:adjustRightInd w:val="0"/>
        <w:spacing w:after="0" w:line="276" w:lineRule="auto"/>
        <w:ind w:firstLine="709"/>
        <w:jc w:val="both"/>
        <w:rPr>
          <w:rFonts w:eastAsia="Times New Roman" w:cs="Times New Roman"/>
          <w:szCs w:val="24"/>
          <w:lang w:val="lv-LV" w:eastAsia="lv-LV"/>
        </w:rPr>
      </w:pPr>
      <w:r w:rsidRPr="00123C32">
        <w:rPr>
          <w:rFonts w:eastAsia="Times New Roman" w:cs="Times New Roman"/>
          <w:szCs w:val="24"/>
          <w:lang w:val="lv-LV" w:eastAsia="lv-LV"/>
        </w:rPr>
        <w:t xml:space="preserve">nosūtīt lietu kopā ar </w:t>
      </w:r>
      <w:r w:rsidRPr="00123C32">
        <w:rPr>
          <w:rFonts w:cs="Times New Roman"/>
          <w:szCs w:val="24"/>
          <w:lang w:val="lv-LV"/>
        </w:rPr>
        <w:t xml:space="preserve">AS „Pilsētas zemes dienests” </w:t>
      </w:r>
      <w:r w:rsidRPr="00123C32">
        <w:rPr>
          <w:rFonts w:eastAsia="Times New Roman" w:cs="Times New Roman"/>
          <w:szCs w:val="24"/>
          <w:lang w:val="lv-LV" w:eastAsia="lv-LV"/>
        </w:rPr>
        <w:t xml:space="preserve">kasācijas sūdzību par Rīgas apgabaltiesas </w:t>
      </w:r>
      <w:r w:rsidRPr="00123C32">
        <w:rPr>
          <w:rFonts w:cs="Times New Roman"/>
          <w:szCs w:val="24"/>
          <w:lang w:val="lv-LV"/>
        </w:rPr>
        <w:t xml:space="preserve">2025. gada 20. marta </w:t>
      </w:r>
      <w:r w:rsidRPr="00123C32">
        <w:rPr>
          <w:rFonts w:eastAsia="Times New Roman" w:cs="Times New Roman"/>
          <w:szCs w:val="24"/>
          <w:lang w:val="lv-LV" w:eastAsia="lv-LV"/>
        </w:rPr>
        <w:t>spriedumu apelācijas instances tiesai likumā paredzēto darbību izpildei</w:t>
      </w:r>
      <w:r w:rsidR="00123C32">
        <w:rPr>
          <w:rFonts w:eastAsia="Times New Roman" w:cs="Times New Roman"/>
          <w:szCs w:val="24"/>
          <w:lang w:val="lv-LV" w:eastAsia="lv-LV"/>
        </w:rPr>
        <w:t>;</w:t>
      </w:r>
    </w:p>
    <w:p w14:paraId="61715101" w14:textId="0CC8D630" w:rsidR="00B473F0" w:rsidRPr="00123C32" w:rsidRDefault="008975CB" w:rsidP="00F10A0A">
      <w:pPr>
        <w:autoSpaceDE w:val="0"/>
        <w:autoSpaceDN w:val="0"/>
        <w:adjustRightInd w:val="0"/>
        <w:spacing w:after="0" w:line="276" w:lineRule="auto"/>
        <w:ind w:firstLine="709"/>
        <w:jc w:val="both"/>
        <w:rPr>
          <w:rFonts w:cs="Times New Roman"/>
          <w:szCs w:val="24"/>
          <w:lang w:val="lv-LV"/>
        </w:rPr>
      </w:pPr>
      <w:r w:rsidRPr="00123C32">
        <w:rPr>
          <w:rFonts w:eastAsia="Times New Roman" w:cs="Times New Roman"/>
          <w:szCs w:val="24"/>
          <w:lang w:val="lv-LV" w:eastAsia="lv-LV"/>
        </w:rPr>
        <w:t xml:space="preserve">atteikt </w:t>
      </w:r>
      <w:r w:rsidR="00586AC2" w:rsidRPr="00123C32">
        <w:rPr>
          <w:rFonts w:cs="Times New Roman"/>
          <w:szCs w:val="24"/>
          <w:lang w:val="lv-LV"/>
        </w:rPr>
        <w:t xml:space="preserve">ierosināt kasācijas tiesvedību sakarā </w:t>
      </w:r>
      <w:r w:rsidR="00B15FD3" w:rsidRPr="00123C32">
        <w:rPr>
          <w:rFonts w:cs="Times New Roman"/>
          <w:szCs w:val="24"/>
          <w:lang w:val="lv-LV"/>
        </w:rPr>
        <w:t xml:space="preserve">ar </w:t>
      </w:r>
      <w:r w:rsidR="007C3983" w:rsidRPr="00123C32">
        <w:rPr>
          <w:rFonts w:cs="Times New Roman"/>
          <w:szCs w:val="24"/>
          <w:lang w:val="lv-LV"/>
        </w:rPr>
        <w:t>AS „</w:t>
      </w:r>
      <w:proofErr w:type="spellStart"/>
      <w:r w:rsidR="007C3983" w:rsidRPr="00123C32">
        <w:rPr>
          <w:rFonts w:cs="Times New Roman"/>
          <w:szCs w:val="24"/>
          <w:lang w:val="lv-LV"/>
        </w:rPr>
        <w:t>Latzemes</w:t>
      </w:r>
      <w:proofErr w:type="spellEnd"/>
      <w:r w:rsidR="007C3983" w:rsidRPr="00123C32">
        <w:rPr>
          <w:rFonts w:cs="Times New Roman"/>
          <w:szCs w:val="24"/>
          <w:lang w:val="lv-LV"/>
        </w:rPr>
        <w:t xml:space="preserve"> aktīvi” </w:t>
      </w:r>
      <w:r w:rsidR="00726F7E" w:rsidRPr="00123C32">
        <w:rPr>
          <w:rFonts w:cs="Times New Roman"/>
          <w:szCs w:val="24"/>
          <w:lang w:val="lv-LV"/>
        </w:rPr>
        <w:t xml:space="preserve">kasācijas sūdzību par </w:t>
      </w:r>
      <w:r w:rsidR="00370309" w:rsidRPr="00123C32">
        <w:rPr>
          <w:rFonts w:cs="Times New Roman"/>
          <w:szCs w:val="24"/>
          <w:lang w:val="lv-LV"/>
        </w:rPr>
        <w:t xml:space="preserve">Rīgas apgabaltiesas </w:t>
      </w:r>
      <w:r w:rsidR="007C3983" w:rsidRPr="00123C32">
        <w:rPr>
          <w:rFonts w:cs="Times New Roman"/>
          <w:szCs w:val="24"/>
          <w:lang w:val="lv-LV"/>
        </w:rPr>
        <w:t xml:space="preserve">2025. gada 20. marta </w:t>
      </w:r>
      <w:r w:rsidR="002548FB" w:rsidRPr="00123C32">
        <w:rPr>
          <w:rFonts w:cs="Times New Roman"/>
          <w:szCs w:val="24"/>
          <w:lang w:val="lv-LV"/>
        </w:rPr>
        <w:t>spriedumu</w:t>
      </w:r>
      <w:r w:rsidR="00726F7E" w:rsidRPr="00123C32">
        <w:rPr>
          <w:rFonts w:cs="Times New Roman"/>
          <w:szCs w:val="24"/>
          <w:lang w:val="lv-LV"/>
        </w:rPr>
        <w:t>.</w:t>
      </w:r>
    </w:p>
    <w:p w14:paraId="533D7DE9" w14:textId="77777777" w:rsidR="00DE2ED8" w:rsidRPr="00123C32" w:rsidRDefault="00DE2ED8" w:rsidP="00F10A0A">
      <w:pPr>
        <w:autoSpaceDE w:val="0"/>
        <w:autoSpaceDN w:val="0"/>
        <w:adjustRightInd w:val="0"/>
        <w:spacing w:after="0" w:line="276" w:lineRule="auto"/>
        <w:ind w:firstLine="709"/>
        <w:jc w:val="both"/>
        <w:rPr>
          <w:rFonts w:cs="Times New Roman"/>
          <w:szCs w:val="24"/>
          <w:lang w:val="lv-LV"/>
        </w:rPr>
      </w:pPr>
    </w:p>
    <w:p w14:paraId="791438B8" w14:textId="77777777" w:rsidR="00D66AB7" w:rsidRPr="00123C32" w:rsidRDefault="008975CB" w:rsidP="00F10A0A">
      <w:pPr>
        <w:pStyle w:val="NoSpacing"/>
        <w:spacing w:line="276" w:lineRule="auto"/>
        <w:ind w:firstLine="709"/>
        <w:rPr>
          <w:rFonts w:cs="Times New Roman"/>
          <w:szCs w:val="24"/>
          <w:lang w:val="lv-LV"/>
        </w:rPr>
      </w:pPr>
      <w:r w:rsidRPr="00123C32">
        <w:rPr>
          <w:rFonts w:cs="Times New Roman"/>
          <w:szCs w:val="24"/>
          <w:lang w:val="lv-LV"/>
        </w:rPr>
        <w:t>Lēmums nav pārsūdzams.</w:t>
      </w:r>
    </w:p>
    <w:sectPr w:rsidR="00D66AB7" w:rsidRPr="00123C32" w:rsidSect="00F10A0A">
      <w:footerReference w:type="default" r:id="rId8"/>
      <w:pgSz w:w="12240" w:h="15840"/>
      <w:pgMar w:top="1134" w:right="1701" w:bottom="1134" w:left="1701" w:header="720" w:footer="4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624C7" w14:textId="77777777" w:rsidR="00DC0770" w:rsidRDefault="00DC0770" w:rsidP="00A17CFE">
      <w:pPr>
        <w:spacing w:after="0" w:line="240" w:lineRule="auto"/>
      </w:pPr>
      <w:r>
        <w:separator/>
      </w:r>
    </w:p>
  </w:endnote>
  <w:endnote w:type="continuationSeparator" w:id="0">
    <w:p w14:paraId="5D932E9F" w14:textId="77777777" w:rsidR="00DC0770" w:rsidRDefault="00DC0770" w:rsidP="00A17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0"/>
      </w:rPr>
      <w:id w:val="-565798110"/>
      <w:docPartObj>
        <w:docPartGallery w:val="Page Numbers (Bottom of Page)"/>
        <w:docPartUnique/>
      </w:docPartObj>
    </w:sdtPr>
    <w:sdtEndPr>
      <w:rPr>
        <w:noProof/>
      </w:rPr>
    </w:sdtEndPr>
    <w:sdtContent>
      <w:p w14:paraId="31D7441F" w14:textId="77777777" w:rsidR="00637F8A" w:rsidRPr="008E7773" w:rsidRDefault="00637F8A" w:rsidP="00637F8A">
        <w:pPr>
          <w:pStyle w:val="Footer"/>
          <w:jc w:val="center"/>
          <w:rPr>
            <w:sz w:val="22"/>
            <w:szCs w:val="20"/>
          </w:rPr>
        </w:pPr>
        <w:r w:rsidRPr="008E7773">
          <w:rPr>
            <w:sz w:val="22"/>
            <w:szCs w:val="20"/>
          </w:rPr>
          <w:fldChar w:fldCharType="begin"/>
        </w:r>
        <w:r w:rsidRPr="008E7773">
          <w:rPr>
            <w:sz w:val="22"/>
            <w:szCs w:val="20"/>
          </w:rPr>
          <w:instrText xml:space="preserve"> PAGE   \* MERGEFORMAT </w:instrText>
        </w:r>
        <w:r w:rsidRPr="008E7773">
          <w:rPr>
            <w:sz w:val="22"/>
            <w:szCs w:val="20"/>
          </w:rPr>
          <w:fldChar w:fldCharType="separate"/>
        </w:r>
        <w:r>
          <w:rPr>
            <w:sz w:val="22"/>
            <w:szCs w:val="20"/>
          </w:rPr>
          <w:t>2</w:t>
        </w:r>
        <w:r w:rsidRPr="008E7773">
          <w:rPr>
            <w:noProof/>
            <w:sz w:val="22"/>
            <w:szCs w:val="20"/>
          </w:rPr>
          <w:fldChar w:fldCharType="end"/>
        </w:r>
        <w:r>
          <w:rPr>
            <w:noProof/>
            <w:sz w:val="22"/>
            <w:szCs w:val="20"/>
          </w:rPr>
          <w:t xml:space="preserve"> no 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11FA0" w14:textId="77777777" w:rsidR="00DC0770" w:rsidRDefault="00DC0770" w:rsidP="00A17CFE">
      <w:pPr>
        <w:spacing w:after="0" w:line="240" w:lineRule="auto"/>
      </w:pPr>
      <w:r>
        <w:separator/>
      </w:r>
    </w:p>
  </w:footnote>
  <w:footnote w:type="continuationSeparator" w:id="0">
    <w:p w14:paraId="6A690510" w14:textId="77777777" w:rsidR="00DC0770" w:rsidRDefault="00DC0770" w:rsidP="00A17C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2F7"/>
    <w:rsid w:val="00004BE7"/>
    <w:rsid w:val="000051D0"/>
    <w:rsid w:val="0000582C"/>
    <w:rsid w:val="00007BA2"/>
    <w:rsid w:val="00010F94"/>
    <w:rsid w:val="00011C00"/>
    <w:rsid w:val="0001201C"/>
    <w:rsid w:val="00013968"/>
    <w:rsid w:val="00021CF3"/>
    <w:rsid w:val="000239D3"/>
    <w:rsid w:val="000245C1"/>
    <w:rsid w:val="00026326"/>
    <w:rsid w:val="000354BC"/>
    <w:rsid w:val="00037B14"/>
    <w:rsid w:val="000411F8"/>
    <w:rsid w:val="000465DC"/>
    <w:rsid w:val="00061F71"/>
    <w:rsid w:val="00063020"/>
    <w:rsid w:val="0006629B"/>
    <w:rsid w:val="0007089D"/>
    <w:rsid w:val="000803E3"/>
    <w:rsid w:val="0008166D"/>
    <w:rsid w:val="000B0174"/>
    <w:rsid w:val="000B2F62"/>
    <w:rsid w:val="000B3C9B"/>
    <w:rsid w:val="000C09DF"/>
    <w:rsid w:val="000C1474"/>
    <w:rsid w:val="000D0D4D"/>
    <w:rsid w:val="000D2497"/>
    <w:rsid w:val="000E64F0"/>
    <w:rsid w:val="000F0E6C"/>
    <w:rsid w:val="001018A8"/>
    <w:rsid w:val="0010489F"/>
    <w:rsid w:val="00111722"/>
    <w:rsid w:val="00116688"/>
    <w:rsid w:val="0012242B"/>
    <w:rsid w:val="00123C32"/>
    <w:rsid w:val="00124E71"/>
    <w:rsid w:val="00131865"/>
    <w:rsid w:val="00132CF6"/>
    <w:rsid w:val="001350B8"/>
    <w:rsid w:val="0014071B"/>
    <w:rsid w:val="0014269A"/>
    <w:rsid w:val="00150003"/>
    <w:rsid w:val="0015186B"/>
    <w:rsid w:val="001526A2"/>
    <w:rsid w:val="00152CD2"/>
    <w:rsid w:val="001628BB"/>
    <w:rsid w:val="001653D9"/>
    <w:rsid w:val="00166087"/>
    <w:rsid w:val="0018110A"/>
    <w:rsid w:val="001822F7"/>
    <w:rsid w:val="00192C9C"/>
    <w:rsid w:val="001954AD"/>
    <w:rsid w:val="001A4326"/>
    <w:rsid w:val="001B5E5A"/>
    <w:rsid w:val="001C118A"/>
    <w:rsid w:val="001C175C"/>
    <w:rsid w:val="001D060C"/>
    <w:rsid w:val="001F78A9"/>
    <w:rsid w:val="00200880"/>
    <w:rsid w:val="002043A6"/>
    <w:rsid w:val="00231CAC"/>
    <w:rsid w:val="00231F93"/>
    <w:rsid w:val="00244FF8"/>
    <w:rsid w:val="00246A6D"/>
    <w:rsid w:val="00247EA4"/>
    <w:rsid w:val="00250B9E"/>
    <w:rsid w:val="002538C5"/>
    <w:rsid w:val="002548FB"/>
    <w:rsid w:val="00262AC7"/>
    <w:rsid w:val="00265644"/>
    <w:rsid w:val="00267A54"/>
    <w:rsid w:val="00267EE2"/>
    <w:rsid w:val="00271A25"/>
    <w:rsid w:val="00274DF8"/>
    <w:rsid w:val="002809F2"/>
    <w:rsid w:val="00285727"/>
    <w:rsid w:val="00291E87"/>
    <w:rsid w:val="00291F96"/>
    <w:rsid w:val="002952A6"/>
    <w:rsid w:val="002A38F4"/>
    <w:rsid w:val="002A3F86"/>
    <w:rsid w:val="002A49C3"/>
    <w:rsid w:val="002A5EDD"/>
    <w:rsid w:val="002B04F4"/>
    <w:rsid w:val="002B639C"/>
    <w:rsid w:val="002B78A3"/>
    <w:rsid w:val="002D0282"/>
    <w:rsid w:val="002D2502"/>
    <w:rsid w:val="002D50AD"/>
    <w:rsid w:val="002D5500"/>
    <w:rsid w:val="002D687C"/>
    <w:rsid w:val="002E0C82"/>
    <w:rsid w:val="002E4978"/>
    <w:rsid w:val="002F533D"/>
    <w:rsid w:val="00300B7D"/>
    <w:rsid w:val="0031057E"/>
    <w:rsid w:val="00310AE5"/>
    <w:rsid w:val="0031290F"/>
    <w:rsid w:val="00314551"/>
    <w:rsid w:val="00314907"/>
    <w:rsid w:val="00345027"/>
    <w:rsid w:val="00355A77"/>
    <w:rsid w:val="00364600"/>
    <w:rsid w:val="00370309"/>
    <w:rsid w:val="00370372"/>
    <w:rsid w:val="0037300E"/>
    <w:rsid w:val="00373BDE"/>
    <w:rsid w:val="00386863"/>
    <w:rsid w:val="0039163A"/>
    <w:rsid w:val="003A6F0E"/>
    <w:rsid w:val="003A7243"/>
    <w:rsid w:val="003B1FF4"/>
    <w:rsid w:val="003C3CAD"/>
    <w:rsid w:val="003C3E88"/>
    <w:rsid w:val="003C61E4"/>
    <w:rsid w:val="003C719E"/>
    <w:rsid w:val="003D191E"/>
    <w:rsid w:val="003E55D3"/>
    <w:rsid w:val="003F4477"/>
    <w:rsid w:val="004015EC"/>
    <w:rsid w:val="00411189"/>
    <w:rsid w:val="00411714"/>
    <w:rsid w:val="00415F4D"/>
    <w:rsid w:val="004163E5"/>
    <w:rsid w:val="004302EB"/>
    <w:rsid w:val="00440632"/>
    <w:rsid w:val="00445766"/>
    <w:rsid w:val="0044696F"/>
    <w:rsid w:val="0045326C"/>
    <w:rsid w:val="00453C09"/>
    <w:rsid w:val="00460202"/>
    <w:rsid w:val="00463AC2"/>
    <w:rsid w:val="0046489F"/>
    <w:rsid w:val="00470517"/>
    <w:rsid w:val="00470F21"/>
    <w:rsid w:val="00481883"/>
    <w:rsid w:val="00485C81"/>
    <w:rsid w:val="0048604D"/>
    <w:rsid w:val="004A5827"/>
    <w:rsid w:val="004A6911"/>
    <w:rsid w:val="004C102A"/>
    <w:rsid w:val="004C28FD"/>
    <w:rsid w:val="004C2A36"/>
    <w:rsid w:val="004C42F1"/>
    <w:rsid w:val="004C5B4D"/>
    <w:rsid w:val="004D10F1"/>
    <w:rsid w:val="004D25DE"/>
    <w:rsid w:val="004D735A"/>
    <w:rsid w:val="004E2BA9"/>
    <w:rsid w:val="004E3B16"/>
    <w:rsid w:val="004F0F35"/>
    <w:rsid w:val="0050231E"/>
    <w:rsid w:val="00504900"/>
    <w:rsid w:val="00504CCA"/>
    <w:rsid w:val="00506075"/>
    <w:rsid w:val="005143D8"/>
    <w:rsid w:val="00523100"/>
    <w:rsid w:val="00527ACC"/>
    <w:rsid w:val="00527C0D"/>
    <w:rsid w:val="005346D1"/>
    <w:rsid w:val="00545AC8"/>
    <w:rsid w:val="005619F4"/>
    <w:rsid w:val="00565901"/>
    <w:rsid w:val="00566231"/>
    <w:rsid w:val="00566DBD"/>
    <w:rsid w:val="005672E6"/>
    <w:rsid w:val="00570198"/>
    <w:rsid w:val="00571AC8"/>
    <w:rsid w:val="00580E41"/>
    <w:rsid w:val="005820F8"/>
    <w:rsid w:val="00582F76"/>
    <w:rsid w:val="00586AC2"/>
    <w:rsid w:val="00587082"/>
    <w:rsid w:val="0059096D"/>
    <w:rsid w:val="00597BD8"/>
    <w:rsid w:val="005A5C8B"/>
    <w:rsid w:val="005A6DB2"/>
    <w:rsid w:val="005B17B7"/>
    <w:rsid w:val="005C1593"/>
    <w:rsid w:val="005C1C19"/>
    <w:rsid w:val="005D1F95"/>
    <w:rsid w:val="005D25DF"/>
    <w:rsid w:val="005D5625"/>
    <w:rsid w:val="005E1994"/>
    <w:rsid w:val="005F4A3A"/>
    <w:rsid w:val="00606591"/>
    <w:rsid w:val="00606DF4"/>
    <w:rsid w:val="00624492"/>
    <w:rsid w:val="0063274C"/>
    <w:rsid w:val="00637F8A"/>
    <w:rsid w:val="00641621"/>
    <w:rsid w:val="006426A8"/>
    <w:rsid w:val="00645514"/>
    <w:rsid w:val="00646270"/>
    <w:rsid w:val="006465D6"/>
    <w:rsid w:val="00651988"/>
    <w:rsid w:val="0066765E"/>
    <w:rsid w:val="0067214C"/>
    <w:rsid w:val="006740E2"/>
    <w:rsid w:val="00675896"/>
    <w:rsid w:val="006841B5"/>
    <w:rsid w:val="00693375"/>
    <w:rsid w:val="006936E4"/>
    <w:rsid w:val="00696F44"/>
    <w:rsid w:val="006A1635"/>
    <w:rsid w:val="006A1A29"/>
    <w:rsid w:val="006D4866"/>
    <w:rsid w:val="006E2D15"/>
    <w:rsid w:val="006F1776"/>
    <w:rsid w:val="006F5136"/>
    <w:rsid w:val="006F5269"/>
    <w:rsid w:val="006F61F7"/>
    <w:rsid w:val="0070041E"/>
    <w:rsid w:val="007037AB"/>
    <w:rsid w:val="007173D4"/>
    <w:rsid w:val="00722209"/>
    <w:rsid w:val="00726F7E"/>
    <w:rsid w:val="00731580"/>
    <w:rsid w:val="00736FB3"/>
    <w:rsid w:val="0074075A"/>
    <w:rsid w:val="0075010F"/>
    <w:rsid w:val="007522B7"/>
    <w:rsid w:val="00752B29"/>
    <w:rsid w:val="00752C16"/>
    <w:rsid w:val="00754ED3"/>
    <w:rsid w:val="00755F9A"/>
    <w:rsid w:val="00767C13"/>
    <w:rsid w:val="00771020"/>
    <w:rsid w:val="00772A61"/>
    <w:rsid w:val="00781E13"/>
    <w:rsid w:val="007A0DD0"/>
    <w:rsid w:val="007A1233"/>
    <w:rsid w:val="007A4793"/>
    <w:rsid w:val="007B0F71"/>
    <w:rsid w:val="007B1298"/>
    <w:rsid w:val="007B1DBE"/>
    <w:rsid w:val="007B24E8"/>
    <w:rsid w:val="007C22CD"/>
    <w:rsid w:val="007C3983"/>
    <w:rsid w:val="007D5D3D"/>
    <w:rsid w:val="007E3AF0"/>
    <w:rsid w:val="007E3D53"/>
    <w:rsid w:val="007E7174"/>
    <w:rsid w:val="0080046A"/>
    <w:rsid w:val="00804E65"/>
    <w:rsid w:val="00805926"/>
    <w:rsid w:val="00813C6E"/>
    <w:rsid w:val="0081506D"/>
    <w:rsid w:val="00816A48"/>
    <w:rsid w:val="00820E0A"/>
    <w:rsid w:val="008318F0"/>
    <w:rsid w:val="0085022E"/>
    <w:rsid w:val="00852A50"/>
    <w:rsid w:val="008575EE"/>
    <w:rsid w:val="008621B7"/>
    <w:rsid w:val="008661CC"/>
    <w:rsid w:val="00866D5F"/>
    <w:rsid w:val="00875310"/>
    <w:rsid w:val="008771DF"/>
    <w:rsid w:val="008805C9"/>
    <w:rsid w:val="008817F4"/>
    <w:rsid w:val="0088301D"/>
    <w:rsid w:val="008861E5"/>
    <w:rsid w:val="00887341"/>
    <w:rsid w:val="0089358D"/>
    <w:rsid w:val="008975CB"/>
    <w:rsid w:val="00897864"/>
    <w:rsid w:val="008A0221"/>
    <w:rsid w:val="008A1D64"/>
    <w:rsid w:val="008B2A5B"/>
    <w:rsid w:val="008D6326"/>
    <w:rsid w:val="008D7BA1"/>
    <w:rsid w:val="008E7137"/>
    <w:rsid w:val="008E7773"/>
    <w:rsid w:val="008F2E3A"/>
    <w:rsid w:val="00905B28"/>
    <w:rsid w:val="00910F84"/>
    <w:rsid w:val="00912886"/>
    <w:rsid w:val="00922528"/>
    <w:rsid w:val="0092275A"/>
    <w:rsid w:val="00930171"/>
    <w:rsid w:val="0093380E"/>
    <w:rsid w:val="00935128"/>
    <w:rsid w:val="0095439A"/>
    <w:rsid w:val="00955914"/>
    <w:rsid w:val="00955EF4"/>
    <w:rsid w:val="00956CD4"/>
    <w:rsid w:val="00975C16"/>
    <w:rsid w:val="0097640F"/>
    <w:rsid w:val="00982C36"/>
    <w:rsid w:val="00984B00"/>
    <w:rsid w:val="00986BD1"/>
    <w:rsid w:val="00995287"/>
    <w:rsid w:val="00995EDE"/>
    <w:rsid w:val="00997DD2"/>
    <w:rsid w:val="009B0C3B"/>
    <w:rsid w:val="009C432E"/>
    <w:rsid w:val="009D27A9"/>
    <w:rsid w:val="009E04F0"/>
    <w:rsid w:val="009F14C3"/>
    <w:rsid w:val="009F3134"/>
    <w:rsid w:val="009F4D72"/>
    <w:rsid w:val="009F5BC1"/>
    <w:rsid w:val="00A07AA8"/>
    <w:rsid w:val="00A07B1C"/>
    <w:rsid w:val="00A17CFE"/>
    <w:rsid w:val="00A23106"/>
    <w:rsid w:val="00A31F70"/>
    <w:rsid w:val="00A410EF"/>
    <w:rsid w:val="00A4274C"/>
    <w:rsid w:val="00A5729F"/>
    <w:rsid w:val="00A63C00"/>
    <w:rsid w:val="00A63D20"/>
    <w:rsid w:val="00A7170B"/>
    <w:rsid w:val="00A723CC"/>
    <w:rsid w:val="00A740BC"/>
    <w:rsid w:val="00A75D94"/>
    <w:rsid w:val="00A91DA2"/>
    <w:rsid w:val="00A9623D"/>
    <w:rsid w:val="00AB41F6"/>
    <w:rsid w:val="00AB6365"/>
    <w:rsid w:val="00AC3516"/>
    <w:rsid w:val="00AD1E14"/>
    <w:rsid w:val="00AE3301"/>
    <w:rsid w:val="00AE54ED"/>
    <w:rsid w:val="00AE5910"/>
    <w:rsid w:val="00AF12FD"/>
    <w:rsid w:val="00AF16BE"/>
    <w:rsid w:val="00B03BE2"/>
    <w:rsid w:val="00B10756"/>
    <w:rsid w:val="00B13E7F"/>
    <w:rsid w:val="00B15FD3"/>
    <w:rsid w:val="00B2080F"/>
    <w:rsid w:val="00B213EE"/>
    <w:rsid w:val="00B2204E"/>
    <w:rsid w:val="00B226BA"/>
    <w:rsid w:val="00B3145B"/>
    <w:rsid w:val="00B3670D"/>
    <w:rsid w:val="00B41A7C"/>
    <w:rsid w:val="00B457C4"/>
    <w:rsid w:val="00B473F0"/>
    <w:rsid w:val="00B52E4A"/>
    <w:rsid w:val="00B56D4A"/>
    <w:rsid w:val="00B60F61"/>
    <w:rsid w:val="00B65392"/>
    <w:rsid w:val="00B66FB0"/>
    <w:rsid w:val="00B74953"/>
    <w:rsid w:val="00B877AA"/>
    <w:rsid w:val="00B94A0D"/>
    <w:rsid w:val="00BA2EEB"/>
    <w:rsid w:val="00BA6223"/>
    <w:rsid w:val="00BA7365"/>
    <w:rsid w:val="00BB0FC1"/>
    <w:rsid w:val="00BB1F43"/>
    <w:rsid w:val="00BB292D"/>
    <w:rsid w:val="00BB52F0"/>
    <w:rsid w:val="00BC0EA4"/>
    <w:rsid w:val="00BC4205"/>
    <w:rsid w:val="00BC4965"/>
    <w:rsid w:val="00BC60DD"/>
    <w:rsid w:val="00BC6BAD"/>
    <w:rsid w:val="00BD06EA"/>
    <w:rsid w:val="00BD08DF"/>
    <w:rsid w:val="00BD2EC4"/>
    <w:rsid w:val="00BE103E"/>
    <w:rsid w:val="00BE3DEC"/>
    <w:rsid w:val="00BE45D4"/>
    <w:rsid w:val="00C012D5"/>
    <w:rsid w:val="00C07A93"/>
    <w:rsid w:val="00C13A22"/>
    <w:rsid w:val="00C2040E"/>
    <w:rsid w:val="00C230CC"/>
    <w:rsid w:val="00C262E9"/>
    <w:rsid w:val="00C31F5F"/>
    <w:rsid w:val="00C351CC"/>
    <w:rsid w:val="00C43319"/>
    <w:rsid w:val="00C44235"/>
    <w:rsid w:val="00C446CA"/>
    <w:rsid w:val="00C472B5"/>
    <w:rsid w:val="00C52608"/>
    <w:rsid w:val="00C53908"/>
    <w:rsid w:val="00C577AF"/>
    <w:rsid w:val="00C6124A"/>
    <w:rsid w:val="00C64D3A"/>
    <w:rsid w:val="00C66056"/>
    <w:rsid w:val="00C85D92"/>
    <w:rsid w:val="00C91CA9"/>
    <w:rsid w:val="00C93FF1"/>
    <w:rsid w:val="00C94381"/>
    <w:rsid w:val="00C9659E"/>
    <w:rsid w:val="00CB130C"/>
    <w:rsid w:val="00CB4A25"/>
    <w:rsid w:val="00CB53AA"/>
    <w:rsid w:val="00CC182E"/>
    <w:rsid w:val="00CC21B0"/>
    <w:rsid w:val="00CC30D7"/>
    <w:rsid w:val="00CD2F32"/>
    <w:rsid w:val="00CD5829"/>
    <w:rsid w:val="00CD6A45"/>
    <w:rsid w:val="00CE26C3"/>
    <w:rsid w:val="00CE35CF"/>
    <w:rsid w:val="00CF10A1"/>
    <w:rsid w:val="00CF37F2"/>
    <w:rsid w:val="00CF507C"/>
    <w:rsid w:val="00CF7648"/>
    <w:rsid w:val="00D00580"/>
    <w:rsid w:val="00D012DC"/>
    <w:rsid w:val="00D4141F"/>
    <w:rsid w:val="00D45ECE"/>
    <w:rsid w:val="00D54E8E"/>
    <w:rsid w:val="00D57D49"/>
    <w:rsid w:val="00D60EF6"/>
    <w:rsid w:val="00D64A75"/>
    <w:rsid w:val="00D64D15"/>
    <w:rsid w:val="00D65528"/>
    <w:rsid w:val="00D66AB7"/>
    <w:rsid w:val="00D67AB6"/>
    <w:rsid w:val="00D77FC9"/>
    <w:rsid w:val="00D80764"/>
    <w:rsid w:val="00D901F1"/>
    <w:rsid w:val="00D92C4A"/>
    <w:rsid w:val="00DA0772"/>
    <w:rsid w:val="00DA18D9"/>
    <w:rsid w:val="00DA4B76"/>
    <w:rsid w:val="00DA58B8"/>
    <w:rsid w:val="00DB098A"/>
    <w:rsid w:val="00DB4752"/>
    <w:rsid w:val="00DB6F63"/>
    <w:rsid w:val="00DC0770"/>
    <w:rsid w:val="00DC28F0"/>
    <w:rsid w:val="00DC6374"/>
    <w:rsid w:val="00DD144D"/>
    <w:rsid w:val="00DD348A"/>
    <w:rsid w:val="00DD7A52"/>
    <w:rsid w:val="00DE0D92"/>
    <w:rsid w:val="00DE2ED8"/>
    <w:rsid w:val="00DE779A"/>
    <w:rsid w:val="00DF778E"/>
    <w:rsid w:val="00E01BC9"/>
    <w:rsid w:val="00E04FBA"/>
    <w:rsid w:val="00E2087F"/>
    <w:rsid w:val="00E21CB7"/>
    <w:rsid w:val="00E273EE"/>
    <w:rsid w:val="00E35B49"/>
    <w:rsid w:val="00E408C1"/>
    <w:rsid w:val="00E4102F"/>
    <w:rsid w:val="00E4484B"/>
    <w:rsid w:val="00E548EB"/>
    <w:rsid w:val="00E70467"/>
    <w:rsid w:val="00E80D3C"/>
    <w:rsid w:val="00E8400D"/>
    <w:rsid w:val="00E870B5"/>
    <w:rsid w:val="00E93F12"/>
    <w:rsid w:val="00E96F37"/>
    <w:rsid w:val="00EA2E1C"/>
    <w:rsid w:val="00EA3B72"/>
    <w:rsid w:val="00EB200E"/>
    <w:rsid w:val="00EB60CE"/>
    <w:rsid w:val="00EB6A62"/>
    <w:rsid w:val="00EB6FB2"/>
    <w:rsid w:val="00EC1A34"/>
    <w:rsid w:val="00EC2E55"/>
    <w:rsid w:val="00EC3DA4"/>
    <w:rsid w:val="00EC4A33"/>
    <w:rsid w:val="00EC6F51"/>
    <w:rsid w:val="00ED3987"/>
    <w:rsid w:val="00EE69D5"/>
    <w:rsid w:val="00EE6F8F"/>
    <w:rsid w:val="00EF3065"/>
    <w:rsid w:val="00EF383E"/>
    <w:rsid w:val="00EF6B60"/>
    <w:rsid w:val="00F00B87"/>
    <w:rsid w:val="00F00EFA"/>
    <w:rsid w:val="00F04FD8"/>
    <w:rsid w:val="00F10A0A"/>
    <w:rsid w:val="00F12188"/>
    <w:rsid w:val="00F146C6"/>
    <w:rsid w:val="00F15840"/>
    <w:rsid w:val="00F15B99"/>
    <w:rsid w:val="00F15F21"/>
    <w:rsid w:val="00F168B9"/>
    <w:rsid w:val="00F17455"/>
    <w:rsid w:val="00F21EA3"/>
    <w:rsid w:val="00F22574"/>
    <w:rsid w:val="00F34AEC"/>
    <w:rsid w:val="00F3620B"/>
    <w:rsid w:val="00F50BD0"/>
    <w:rsid w:val="00F53EEF"/>
    <w:rsid w:val="00F567F7"/>
    <w:rsid w:val="00F63F88"/>
    <w:rsid w:val="00F649C7"/>
    <w:rsid w:val="00F65326"/>
    <w:rsid w:val="00F818A2"/>
    <w:rsid w:val="00F870FB"/>
    <w:rsid w:val="00F95909"/>
    <w:rsid w:val="00FA507C"/>
    <w:rsid w:val="00FC4029"/>
    <w:rsid w:val="00FD3AD7"/>
    <w:rsid w:val="00FD3C0D"/>
    <w:rsid w:val="00FD5A0F"/>
    <w:rsid w:val="00FD6F5E"/>
    <w:rsid w:val="00FF459D"/>
    <w:rsid w:val="00FF6BA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22A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2F7"/>
    <w:pPr>
      <w:spacing w:after="160" w:line="259" w:lineRule="auto"/>
    </w:pPr>
  </w:style>
  <w:style w:type="paragraph" w:styleId="Heading1">
    <w:name w:val="heading 1"/>
    <w:basedOn w:val="Normal"/>
    <w:link w:val="Heading1Char"/>
    <w:uiPriority w:val="9"/>
    <w:qFormat/>
    <w:rsid w:val="00E01BC9"/>
    <w:pPr>
      <w:spacing w:before="100" w:beforeAutospacing="1" w:after="100" w:afterAutospacing="1" w:line="240" w:lineRule="auto"/>
      <w:outlineLvl w:val="0"/>
    </w:pPr>
    <w:rPr>
      <w:rFonts w:eastAsia="Times New Roman" w:cs="Times New Roman"/>
      <w:b/>
      <w:bCs/>
      <w:kern w:val="36"/>
      <w:sz w:val="48"/>
      <w:szCs w:val="4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CFE"/>
    <w:pPr>
      <w:tabs>
        <w:tab w:val="center" w:pos="4320"/>
        <w:tab w:val="right" w:pos="8640"/>
      </w:tabs>
      <w:spacing w:after="0" w:line="240" w:lineRule="auto"/>
    </w:pPr>
  </w:style>
  <w:style w:type="character" w:customStyle="1" w:styleId="HeaderChar">
    <w:name w:val="Header Char"/>
    <w:basedOn w:val="DefaultParagraphFont"/>
    <w:link w:val="Header"/>
    <w:uiPriority w:val="99"/>
    <w:rsid w:val="00A17CFE"/>
  </w:style>
  <w:style w:type="paragraph" w:styleId="Footer">
    <w:name w:val="footer"/>
    <w:basedOn w:val="Normal"/>
    <w:link w:val="FooterChar"/>
    <w:uiPriority w:val="99"/>
    <w:unhideWhenUsed/>
    <w:rsid w:val="00A17CFE"/>
    <w:pPr>
      <w:tabs>
        <w:tab w:val="center" w:pos="4320"/>
        <w:tab w:val="right" w:pos="8640"/>
      </w:tabs>
      <w:spacing w:after="0" w:line="240" w:lineRule="auto"/>
    </w:pPr>
  </w:style>
  <w:style w:type="character" w:customStyle="1" w:styleId="FooterChar">
    <w:name w:val="Footer Char"/>
    <w:basedOn w:val="DefaultParagraphFont"/>
    <w:link w:val="Footer"/>
    <w:uiPriority w:val="99"/>
    <w:rsid w:val="00A17CFE"/>
  </w:style>
  <w:style w:type="paragraph" w:styleId="BalloonText">
    <w:name w:val="Balloon Text"/>
    <w:basedOn w:val="Normal"/>
    <w:link w:val="BalloonTextChar"/>
    <w:uiPriority w:val="99"/>
    <w:semiHidden/>
    <w:unhideWhenUsed/>
    <w:rsid w:val="00E448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84B"/>
    <w:rPr>
      <w:rFonts w:ascii="Segoe UI" w:hAnsi="Segoe UI" w:cs="Segoe UI"/>
      <w:sz w:val="18"/>
      <w:szCs w:val="18"/>
    </w:rPr>
  </w:style>
  <w:style w:type="character" w:customStyle="1" w:styleId="Heading1Char">
    <w:name w:val="Heading 1 Char"/>
    <w:basedOn w:val="DefaultParagraphFont"/>
    <w:link w:val="Heading1"/>
    <w:uiPriority w:val="9"/>
    <w:rsid w:val="00E01BC9"/>
    <w:rPr>
      <w:rFonts w:eastAsia="Times New Roman" w:cs="Times New Roman"/>
      <w:b/>
      <w:bCs/>
      <w:kern w:val="36"/>
      <w:sz w:val="48"/>
      <w:szCs w:val="48"/>
      <w:lang w:val="lv-LV" w:eastAsia="lv-LV"/>
    </w:rPr>
  </w:style>
  <w:style w:type="paragraph" w:styleId="NoSpacing">
    <w:name w:val="No Spacing"/>
    <w:uiPriority w:val="1"/>
    <w:qFormat/>
    <w:rsid w:val="00C472B5"/>
  </w:style>
  <w:style w:type="character" w:styleId="Hyperlink">
    <w:name w:val="Hyperlink"/>
    <w:basedOn w:val="DefaultParagraphFont"/>
    <w:unhideWhenUsed/>
    <w:rsid w:val="00F65326"/>
    <w:rPr>
      <w:color w:val="0000FF"/>
      <w:u w:val="single"/>
    </w:rPr>
  </w:style>
  <w:style w:type="paragraph" w:customStyle="1" w:styleId="Default">
    <w:name w:val="Default"/>
    <w:rsid w:val="00FD5A0F"/>
    <w:pPr>
      <w:autoSpaceDE w:val="0"/>
      <w:autoSpaceDN w:val="0"/>
      <w:adjustRightInd w:val="0"/>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140985">
      <w:bodyDiv w:val="1"/>
      <w:marLeft w:val="0"/>
      <w:marRight w:val="0"/>
      <w:marTop w:val="0"/>
      <w:marBottom w:val="0"/>
      <w:divBdr>
        <w:top w:val="none" w:sz="0" w:space="0" w:color="auto"/>
        <w:left w:val="none" w:sz="0" w:space="0" w:color="auto"/>
        <w:bottom w:val="none" w:sz="0" w:space="0" w:color="auto"/>
        <w:right w:val="none" w:sz="0" w:space="0" w:color="auto"/>
      </w:divBdr>
    </w:div>
    <w:div w:id="810948252">
      <w:bodyDiv w:val="1"/>
      <w:marLeft w:val="0"/>
      <w:marRight w:val="0"/>
      <w:marTop w:val="0"/>
      <w:marBottom w:val="0"/>
      <w:divBdr>
        <w:top w:val="none" w:sz="0" w:space="0" w:color="auto"/>
        <w:left w:val="none" w:sz="0" w:space="0" w:color="auto"/>
        <w:bottom w:val="none" w:sz="0" w:space="0" w:color="auto"/>
        <w:right w:val="none" w:sz="0" w:space="0" w:color="auto"/>
      </w:divBdr>
    </w:div>
    <w:div w:id="148616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ateway.elieta.lv/api/v1/PublicMaterialDownload/bccd8a12-0c7c-46e6-805d-ab7ac983f40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404D1-E56E-4576-B345-1AFAEFC3E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3792</Words>
  <Characters>2163</Characters>
  <Application>Microsoft Office Word</Application>
  <DocSecurity>0</DocSecurity>
  <Lines>18</Lines>
  <Paragraphs>11</Paragraphs>
  <ScaleCrop>false</ScaleCrop>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2025-11-14T12:03:00Z</dcterms:created>
  <dcterms:modified xsi:type="dcterms:W3CDTF">2025-11-26T09:31:00Z</dcterms:modified>
</cp:coreProperties>
</file>