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019E" w14:textId="50F72F49" w:rsidR="002559BD" w:rsidRDefault="008B01ED" w:rsidP="008B01ED">
      <w:pPr>
        <w:spacing w:line="276" w:lineRule="auto"/>
        <w:jc w:val="both"/>
        <w:rPr>
          <w:rFonts w:asciiTheme="majorBidi" w:hAnsiTheme="majorBidi" w:cstheme="majorBidi"/>
        </w:rPr>
      </w:pPr>
      <w:r w:rsidRPr="00A42EB0">
        <w:rPr>
          <w:b/>
          <w:bCs/>
        </w:rPr>
        <w:t>Uzticības operāciju (trasta) veikšanas pamatprincipi kredītiestāžu</w:t>
      </w:r>
      <w:r>
        <w:rPr>
          <w:b/>
          <w:bCs/>
        </w:rPr>
        <w:t xml:space="preserve"> darbībā</w:t>
      </w:r>
    </w:p>
    <w:p w14:paraId="56E4FAF1" w14:textId="7B6CB693" w:rsidR="002559BD" w:rsidRDefault="002559BD" w:rsidP="008B01ED">
      <w:pPr>
        <w:tabs>
          <w:tab w:val="left" w:pos="0"/>
        </w:tabs>
        <w:spacing w:line="276" w:lineRule="auto"/>
        <w:jc w:val="center"/>
        <w:rPr>
          <w:rFonts w:asciiTheme="majorBidi" w:hAnsiTheme="majorBidi" w:cstheme="majorBidi"/>
          <w:b/>
        </w:rPr>
      </w:pPr>
    </w:p>
    <w:p w14:paraId="297BC2CC" w14:textId="2077E7D9" w:rsidR="002559BD" w:rsidRPr="002C0973" w:rsidRDefault="002559BD" w:rsidP="008B01ED">
      <w:pPr>
        <w:tabs>
          <w:tab w:val="left" w:pos="0"/>
        </w:tabs>
        <w:spacing w:line="276" w:lineRule="auto"/>
        <w:jc w:val="center"/>
        <w:rPr>
          <w:rFonts w:asciiTheme="majorBidi" w:hAnsiTheme="majorBidi" w:cstheme="majorBidi"/>
          <w:b/>
        </w:rPr>
      </w:pPr>
      <w:r w:rsidRPr="002C0973">
        <w:rPr>
          <w:rFonts w:asciiTheme="majorBidi" w:hAnsiTheme="majorBidi" w:cstheme="majorBidi"/>
          <w:b/>
        </w:rPr>
        <w:t>Latvijas Republikas Senāt</w:t>
      </w:r>
      <w:r w:rsidR="002C0973" w:rsidRPr="002C0973">
        <w:rPr>
          <w:rFonts w:asciiTheme="majorBidi" w:hAnsiTheme="majorBidi" w:cstheme="majorBidi"/>
          <w:b/>
        </w:rPr>
        <w:t>a</w:t>
      </w:r>
    </w:p>
    <w:p w14:paraId="10B2DAC6" w14:textId="5C19E59C" w:rsidR="002C0973" w:rsidRPr="002C0973" w:rsidRDefault="002C0973" w:rsidP="008B01ED">
      <w:pPr>
        <w:tabs>
          <w:tab w:val="left" w:pos="0"/>
        </w:tabs>
        <w:spacing w:line="276" w:lineRule="auto"/>
        <w:jc w:val="center"/>
        <w:rPr>
          <w:rFonts w:asciiTheme="majorBidi" w:hAnsiTheme="majorBidi" w:cstheme="majorBidi"/>
          <w:b/>
        </w:rPr>
      </w:pPr>
      <w:r w:rsidRPr="002C0973">
        <w:rPr>
          <w:rFonts w:asciiTheme="majorBidi" w:hAnsiTheme="majorBidi" w:cstheme="majorBidi"/>
          <w:b/>
        </w:rPr>
        <w:t>Civillietu departamenta</w:t>
      </w:r>
    </w:p>
    <w:p w14:paraId="217F0FF0" w14:textId="3BF78F94" w:rsidR="002C0973" w:rsidRPr="002C0973" w:rsidRDefault="002C0973" w:rsidP="008B01ED">
      <w:pPr>
        <w:tabs>
          <w:tab w:val="left" w:pos="0"/>
        </w:tabs>
        <w:spacing w:line="276" w:lineRule="auto"/>
        <w:jc w:val="center"/>
        <w:rPr>
          <w:rFonts w:asciiTheme="majorBidi" w:hAnsiTheme="majorBidi" w:cstheme="majorBidi"/>
          <w:b/>
        </w:rPr>
      </w:pPr>
      <w:r w:rsidRPr="002C0973">
        <w:rPr>
          <w:rFonts w:asciiTheme="majorBidi" w:hAnsiTheme="majorBidi" w:cstheme="majorBidi"/>
          <w:b/>
        </w:rPr>
        <w:t>2025. gada 6. novembra</w:t>
      </w:r>
    </w:p>
    <w:p w14:paraId="0BECDE62" w14:textId="77777777" w:rsidR="002559BD" w:rsidRPr="002C0973" w:rsidRDefault="002559BD" w:rsidP="008B01ED">
      <w:pPr>
        <w:tabs>
          <w:tab w:val="left" w:pos="0"/>
        </w:tabs>
        <w:spacing w:line="276" w:lineRule="auto"/>
        <w:jc w:val="center"/>
        <w:rPr>
          <w:rFonts w:asciiTheme="majorBidi" w:hAnsiTheme="majorBidi" w:cstheme="majorBidi"/>
          <w:b/>
        </w:rPr>
      </w:pPr>
      <w:r w:rsidRPr="002C0973">
        <w:rPr>
          <w:rFonts w:asciiTheme="majorBidi" w:hAnsiTheme="majorBidi" w:cstheme="majorBidi"/>
          <w:b/>
        </w:rPr>
        <w:t xml:space="preserve">RĪCĪBAS SĒDES LĒMUMS </w:t>
      </w:r>
    </w:p>
    <w:p w14:paraId="6C0C1802" w14:textId="118CE6C5" w:rsidR="002C0973" w:rsidRPr="002C0973" w:rsidRDefault="002C0973" w:rsidP="008B01ED">
      <w:pPr>
        <w:spacing w:line="276" w:lineRule="auto"/>
        <w:jc w:val="center"/>
        <w:rPr>
          <w:rFonts w:asciiTheme="majorBidi" w:hAnsiTheme="majorBidi" w:cstheme="majorBidi"/>
          <w:b/>
        </w:rPr>
      </w:pPr>
      <w:r w:rsidRPr="002C0973">
        <w:rPr>
          <w:rFonts w:asciiTheme="majorBidi" w:hAnsiTheme="majorBidi" w:cstheme="majorBidi"/>
          <w:b/>
        </w:rPr>
        <w:t>Lieta Nr. C</w:t>
      </w:r>
      <w:r w:rsidRPr="002C0973">
        <w:rPr>
          <w:b/>
        </w:rPr>
        <w:t>75011824; SKC-832/2025</w:t>
      </w:r>
    </w:p>
    <w:p w14:paraId="191C1A04" w14:textId="11E59EFD" w:rsidR="002559BD" w:rsidRPr="00C70FDE" w:rsidRDefault="002C0973" w:rsidP="008B01ED">
      <w:pPr>
        <w:tabs>
          <w:tab w:val="left" w:pos="0"/>
        </w:tabs>
        <w:spacing w:line="276" w:lineRule="auto"/>
        <w:jc w:val="center"/>
      </w:pPr>
      <w:hyperlink r:id="rId6" w:history="1">
        <w:r w:rsidRPr="009537BE">
          <w:rPr>
            <w:rStyle w:val="Hyperlink"/>
            <w:rFonts w:asciiTheme="majorBidi" w:hAnsiTheme="majorBidi" w:cstheme="majorBidi"/>
          </w:rPr>
          <w:t>ECLI:LV:AT:2025:1106.C75011824.8.L</w:t>
        </w:r>
      </w:hyperlink>
    </w:p>
    <w:p w14:paraId="661EB8B5" w14:textId="77777777" w:rsidR="002559BD" w:rsidRPr="00134958" w:rsidRDefault="002559BD" w:rsidP="008B01ED">
      <w:pPr>
        <w:tabs>
          <w:tab w:val="left" w:pos="0"/>
        </w:tabs>
        <w:spacing w:line="276" w:lineRule="auto"/>
        <w:ind w:firstLine="709"/>
        <w:jc w:val="both"/>
        <w:rPr>
          <w:rFonts w:asciiTheme="majorBidi" w:hAnsiTheme="majorBidi" w:cstheme="majorBidi"/>
        </w:rPr>
      </w:pPr>
    </w:p>
    <w:p w14:paraId="43A0ECDE" w14:textId="77777777" w:rsidR="002559BD" w:rsidRPr="00244AA2" w:rsidRDefault="002559BD" w:rsidP="008B01ED">
      <w:pPr>
        <w:tabs>
          <w:tab w:val="left" w:pos="0"/>
        </w:tabs>
        <w:spacing w:line="276" w:lineRule="auto"/>
        <w:ind w:firstLine="709"/>
        <w:jc w:val="both"/>
      </w:pPr>
      <w:r w:rsidRPr="00244AA2">
        <w:t xml:space="preserve">Senatoru kolēģija šādā sastāvā: senators referents Erlens Kalniņš, </w:t>
      </w:r>
      <w:r>
        <w:t>senatori Valerijs Maksimovs un Normunds Salenieks</w:t>
      </w:r>
    </w:p>
    <w:p w14:paraId="0FABD6D2" w14:textId="77777777" w:rsidR="002559BD" w:rsidRPr="00244AA2" w:rsidRDefault="002559BD" w:rsidP="008B01ED">
      <w:pPr>
        <w:tabs>
          <w:tab w:val="left" w:pos="0"/>
        </w:tabs>
        <w:spacing w:line="276" w:lineRule="auto"/>
        <w:ind w:firstLine="709"/>
        <w:jc w:val="both"/>
      </w:pPr>
    </w:p>
    <w:p w14:paraId="4E5CE56B" w14:textId="68D3AEC8" w:rsidR="002559BD" w:rsidRDefault="002559BD" w:rsidP="008B01ED">
      <w:pPr>
        <w:spacing w:line="276" w:lineRule="auto"/>
        <w:ind w:firstLine="709"/>
        <w:jc w:val="both"/>
        <w:rPr>
          <w:rFonts w:asciiTheme="majorBidi" w:hAnsiTheme="majorBidi" w:cstheme="majorBidi"/>
        </w:rPr>
      </w:pPr>
      <w:r w:rsidRPr="00000F85">
        <w:rPr>
          <w:rFonts w:asciiTheme="majorBidi" w:hAnsiTheme="majorBidi" w:cstheme="majorBidi"/>
        </w:rPr>
        <w:t xml:space="preserve">rīcības sēdē izskatīja </w:t>
      </w:r>
      <w:r w:rsidR="002C0973">
        <w:rPr>
          <w:rFonts w:asciiTheme="majorBidi" w:hAnsiTheme="majorBidi" w:cstheme="majorBidi"/>
        </w:rPr>
        <w:t>[pers. A]</w:t>
      </w:r>
      <w:r w:rsidRPr="002559BD">
        <w:rPr>
          <w:rFonts w:asciiTheme="majorBidi" w:hAnsiTheme="majorBidi" w:cstheme="majorBidi"/>
        </w:rPr>
        <w:t xml:space="preserve"> (</w:t>
      </w:r>
      <w:r w:rsidR="002C0973">
        <w:rPr>
          <w:rFonts w:asciiTheme="majorBidi" w:hAnsiTheme="majorBidi" w:cstheme="majorBidi"/>
        </w:rPr>
        <w:t>[</w:t>
      </w:r>
      <w:r w:rsidR="002C0973" w:rsidRPr="002C0973">
        <w:rPr>
          <w:rFonts w:asciiTheme="majorBidi" w:hAnsiTheme="majorBidi" w:cstheme="majorBidi"/>
          <w:i/>
          <w:iCs/>
        </w:rPr>
        <w:t>pers. A</w:t>
      </w:r>
      <w:r w:rsidR="002C0973">
        <w:rPr>
          <w:rFonts w:asciiTheme="majorBidi" w:hAnsiTheme="majorBidi" w:cstheme="majorBidi"/>
        </w:rPr>
        <w:t>]</w:t>
      </w:r>
      <w:r w:rsidRPr="002559BD">
        <w:rPr>
          <w:rFonts w:asciiTheme="majorBidi" w:hAnsiTheme="majorBidi" w:cstheme="majorBidi"/>
        </w:rPr>
        <w:t>)</w:t>
      </w:r>
      <w:r>
        <w:rPr>
          <w:rFonts w:asciiTheme="majorBidi" w:hAnsiTheme="majorBidi" w:cstheme="majorBidi"/>
        </w:rPr>
        <w:t xml:space="preserve"> kasācijas sūdzību par Rīgas apgabaltiesas 2025. gada 18. jūlija spriedumu civillietā </w:t>
      </w:r>
      <w:r w:rsidR="002C0973">
        <w:rPr>
          <w:rFonts w:asciiTheme="majorBidi" w:hAnsiTheme="majorBidi" w:cstheme="majorBidi"/>
        </w:rPr>
        <w:t xml:space="preserve">[pers. A] </w:t>
      </w:r>
      <w:r w:rsidRPr="002559BD">
        <w:rPr>
          <w:rFonts w:asciiTheme="majorBidi" w:hAnsiTheme="majorBidi" w:cstheme="majorBidi"/>
        </w:rPr>
        <w:t xml:space="preserve">prasībā pret maksātnespējīgo </w:t>
      </w:r>
      <w:proofErr w:type="spellStart"/>
      <w:r w:rsidRPr="002559BD">
        <w:rPr>
          <w:rFonts w:asciiTheme="majorBidi" w:hAnsiTheme="majorBidi" w:cstheme="majorBidi"/>
        </w:rPr>
        <w:t>Baltic</w:t>
      </w:r>
      <w:proofErr w:type="spellEnd"/>
      <w:r w:rsidRPr="002559BD">
        <w:rPr>
          <w:rFonts w:asciiTheme="majorBidi" w:hAnsiTheme="majorBidi" w:cstheme="majorBidi"/>
        </w:rPr>
        <w:t xml:space="preserve"> </w:t>
      </w:r>
      <w:proofErr w:type="spellStart"/>
      <w:r w:rsidRPr="002559BD">
        <w:rPr>
          <w:rFonts w:asciiTheme="majorBidi" w:hAnsiTheme="majorBidi" w:cstheme="majorBidi"/>
        </w:rPr>
        <w:t>International</w:t>
      </w:r>
      <w:proofErr w:type="spellEnd"/>
      <w:r w:rsidRPr="002559BD">
        <w:rPr>
          <w:rFonts w:asciiTheme="majorBidi" w:hAnsiTheme="majorBidi" w:cstheme="majorBidi"/>
        </w:rPr>
        <w:t xml:space="preserve"> </w:t>
      </w:r>
      <w:proofErr w:type="spellStart"/>
      <w:r w:rsidRPr="002559BD">
        <w:rPr>
          <w:rFonts w:asciiTheme="majorBidi" w:hAnsiTheme="majorBidi" w:cstheme="majorBidi"/>
        </w:rPr>
        <w:t>Bank</w:t>
      </w:r>
      <w:proofErr w:type="spellEnd"/>
      <w:r w:rsidR="0097697F">
        <w:rPr>
          <w:rFonts w:asciiTheme="majorBidi" w:hAnsiTheme="majorBidi" w:cstheme="majorBidi"/>
        </w:rPr>
        <w:t xml:space="preserve"> </w:t>
      </w:r>
      <w:r w:rsidRPr="002559BD">
        <w:rPr>
          <w:rFonts w:asciiTheme="majorBidi" w:hAnsiTheme="majorBidi" w:cstheme="majorBidi"/>
        </w:rPr>
        <w:t>SE par īpašuma tiesīb</w:t>
      </w:r>
      <w:r w:rsidR="00B236E7">
        <w:rPr>
          <w:rFonts w:asciiTheme="majorBidi" w:hAnsiTheme="majorBidi" w:cstheme="majorBidi"/>
        </w:rPr>
        <w:t>u</w:t>
      </w:r>
      <w:r w:rsidRPr="002559BD">
        <w:rPr>
          <w:rFonts w:asciiTheme="majorBidi" w:hAnsiTheme="majorBidi" w:cstheme="majorBidi"/>
        </w:rPr>
        <w:t xml:space="preserve"> atzīšanu un valdījuma piešķiršanu</w:t>
      </w:r>
      <w:r w:rsidR="00B236E7">
        <w:rPr>
          <w:rFonts w:asciiTheme="majorBidi" w:hAnsiTheme="majorBidi" w:cstheme="majorBidi"/>
        </w:rPr>
        <w:t xml:space="preserve"> uz zelta stieņiem</w:t>
      </w:r>
      <w:r w:rsidR="00B90503">
        <w:rPr>
          <w:rFonts w:asciiTheme="majorBidi" w:hAnsiTheme="majorBidi" w:cstheme="majorBidi"/>
        </w:rPr>
        <w:t>.</w:t>
      </w:r>
    </w:p>
    <w:p w14:paraId="5CDA1D60" w14:textId="77777777" w:rsidR="002559BD" w:rsidRDefault="002559BD" w:rsidP="008B01ED">
      <w:pPr>
        <w:spacing w:line="276" w:lineRule="auto"/>
        <w:ind w:firstLine="709"/>
        <w:jc w:val="both"/>
        <w:rPr>
          <w:rFonts w:asciiTheme="majorBidi" w:hAnsiTheme="majorBidi" w:cstheme="majorBidi"/>
        </w:rPr>
      </w:pPr>
      <w:r w:rsidRPr="002E47F5">
        <w:rPr>
          <w:rFonts w:asciiTheme="majorBidi" w:hAnsiTheme="majorBidi" w:cstheme="majorBidi"/>
        </w:rPr>
        <w:t>Senatoru kolēģija</w:t>
      </w:r>
    </w:p>
    <w:p w14:paraId="36A5CE1B" w14:textId="77777777" w:rsidR="002559BD" w:rsidRDefault="002559BD" w:rsidP="008B01ED">
      <w:pPr>
        <w:tabs>
          <w:tab w:val="left" w:pos="0"/>
        </w:tabs>
        <w:spacing w:line="276" w:lineRule="auto"/>
        <w:jc w:val="center"/>
        <w:rPr>
          <w:rFonts w:asciiTheme="majorBidi" w:hAnsiTheme="majorBidi" w:cstheme="majorBidi"/>
        </w:rPr>
      </w:pPr>
    </w:p>
    <w:p w14:paraId="11E0C0AC" w14:textId="77777777" w:rsidR="002559BD" w:rsidRDefault="002559BD" w:rsidP="008B01ED">
      <w:pPr>
        <w:tabs>
          <w:tab w:val="left" w:pos="0"/>
        </w:tabs>
        <w:spacing w:line="276" w:lineRule="auto"/>
        <w:jc w:val="center"/>
        <w:rPr>
          <w:rFonts w:asciiTheme="majorBidi" w:hAnsiTheme="majorBidi" w:cstheme="majorBidi"/>
          <w:b/>
          <w:bCs/>
        </w:rPr>
      </w:pPr>
      <w:r>
        <w:rPr>
          <w:rFonts w:asciiTheme="majorBidi" w:hAnsiTheme="majorBidi" w:cstheme="majorBidi"/>
          <w:b/>
          <w:bCs/>
        </w:rPr>
        <w:t>k</w:t>
      </w:r>
      <w:r w:rsidRPr="00134958">
        <w:rPr>
          <w:rFonts w:asciiTheme="majorBidi" w:hAnsiTheme="majorBidi" w:cstheme="majorBidi"/>
          <w:b/>
          <w:bCs/>
        </w:rPr>
        <w:t>onstatēja</w:t>
      </w:r>
    </w:p>
    <w:p w14:paraId="764C384F" w14:textId="77777777" w:rsidR="002559BD" w:rsidRDefault="002559BD" w:rsidP="008B01ED">
      <w:pPr>
        <w:tabs>
          <w:tab w:val="left" w:pos="709"/>
        </w:tabs>
        <w:spacing w:line="276" w:lineRule="auto"/>
        <w:jc w:val="center"/>
        <w:rPr>
          <w:rFonts w:asciiTheme="majorBidi" w:hAnsiTheme="majorBidi" w:cstheme="majorBidi"/>
        </w:rPr>
      </w:pPr>
    </w:p>
    <w:p w14:paraId="651926E2" w14:textId="1E3D6DCC" w:rsidR="002559BD" w:rsidRDefault="00171668" w:rsidP="008B01ED">
      <w:pPr>
        <w:spacing w:line="276" w:lineRule="auto"/>
        <w:ind w:firstLine="709"/>
        <w:jc w:val="both"/>
        <w:rPr>
          <w:rFonts w:asciiTheme="majorBidi" w:hAnsiTheme="majorBidi" w:cstheme="majorBidi"/>
        </w:rPr>
      </w:pPr>
      <w:r>
        <w:t>[1] </w:t>
      </w:r>
      <w:r w:rsidR="002C0973">
        <w:rPr>
          <w:rFonts w:asciiTheme="majorBidi" w:hAnsiTheme="majorBidi" w:cstheme="majorBidi"/>
        </w:rPr>
        <w:t xml:space="preserve">[Pers. A] </w:t>
      </w:r>
      <w:r w:rsidR="00B90503">
        <w:t>iesniedzis kasācijas sūdzību par Rīgas apgabaltiesas 2025. gada 18. jūlija spriedumu, ar kuru noraidīta prasība.</w:t>
      </w:r>
    </w:p>
    <w:p w14:paraId="10F5936E" w14:textId="77777777" w:rsidR="002559BD" w:rsidRDefault="002559BD" w:rsidP="008B01ED">
      <w:pPr>
        <w:spacing w:line="276" w:lineRule="auto"/>
        <w:ind w:firstLine="709"/>
        <w:jc w:val="both"/>
        <w:rPr>
          <w:rFonts w:asciiTheme="majorBidi" w:hAnsiTheme="majorBidi" w:cstheme="majorBidi"/>
        </w:rPr>
      </w:pPr>
      <w:r w:rsidRPr="00FE0D06">
        <w:rPr>
          <w:rFonts w:asciiTheme="majorBidi" w:hAnsiTheme="majorBidi" w:cstheme="majorBidi"/>
        </w:rPr>
        <w:t>Senatoru kolēģija atzīst, ka ir Civilprocesa likuma 464.</w:t>
      </w:r>
      <w:r w:rsidRPr="00347D0E">
        <w:rPr>
          <w:rFonts w:asciiTheme="majorBidi" w:hAnsiTheme="majorBidi" w:cstheme="majorBidi"/>
          <w:vertAlign w:val="superscript"/>
        </w:rPr>
        <w:t>1</w:t>
      </w:r>
      <w:r w:rsidRPr="00FE0D06">
        <w:rPr>
          <w:rFonts w:asciiTheme="majorBidi" w:hAnsiTheme="majorBidi" w:cstheme="majorBidi"/>
        </w:rPr>
        <w:t xml:space="preserve"> panta otrās daļas 2. punktā norādītais pamats atteikt ierosināt kasācijas tiesvedību, jo kasācijas sūdzības argumenti nerada pamatu uzskatīt, ka pārsūdzētajā spriedumā ietvertais lietas iznākums ir nepareizs un ka izskatāmajai lietai ir būtiska nozīme vienotas tiesu prakses nodrošināšanā vai tiesību </w:t>
      </w:r>
      <w:proofErr w:type="spellStart"/>
      <w:r w:rsidRPr="00FE0D06">
        <w:rPr>
          <w:rFonts w:asciiTheme="majorBidi" w:hAnsiTheme="majorBidi" w:cstheme="majorBidi"/>
        </w:rPr>
        <w:t>tālākveidošanā</w:t>
      </w:r>
      <w:proofErr w:type="spellEnd"/>
      <w:r w:rsidRPr="00FE0D06">
        <w:rPr>
          <w:rFonts w:asciiTheme="majorBidi" w:hAnsiTheme="majorBidi" w:cstheme="majorBidi"/>
        </w:rPr>
        <w:t>.</w:t>
      </w:r>
    </w:p>
    <w:p w14:paraId="1FF7D535" w14:textId="77777777" w:rsidR="00171668" w:rsidRDefault="00171668" w:rsidP="008B01ED">
      <w:pPr>
        <w:spacing w:line="276" w:lineRule="auto"/>
        <w:ind w:firstLine="709"/>
        <w:jc w:val="both"/>
        <w:rPr>
          <w:rFonts w:asciiTheme="majorBidi" w:hAnsiTheme="majorBidi" w:cstheme="majorBidi"/>
        </w:rPr>
      </w:pPr>
    </w:p>
    <w:p w14:paraId="3CF5C1C0" w14:textId="459B72AF" w:rsidR="00122A7E" w:rsidRDefault="00171668" w:rsidP="008B01ED">
      <w:pPr>
        <w:spacing w:line="276" w:lineRule="auto"/>
        <w:ind w:firstLine="709"/>
        <w:jc w:val="both"/>
        <w:rPr>
          <w:rFonts w:asciiTheme="majorBidi" w:hAnsiTheme="majorBidi" w:cstheme="majorBidi"/>
        </w:rPr>
      </w:pPr>
      <w:r>
        <w:rPr>
          <w:rFonts w:asciiTheme="majorBidi" w:hAnsiTheme="majorBidi" w:cstheme="majorBidi"/>
        </w:rPr>
        <w:t>[2] </w:t>
      </w:r>
      <w:r w:rsidR="00122A7E">
        <w:rPr>
          <w:rFonts w:asciiTheme="majorBidi" w:hAnsiTheme="majorBidi" w:cstheme="majorBidi"/>
        </w:rPr>
        <w:t xml:space="preserve">Nav pamatots kasācijas sūdzībā izteiktais pārmetums, ka tiesa vispār nav pievērsusies starp atbildētāju </w:t>
      </w:r>
      <w:proofErr w:type="spellStart"/>
      <w:r w:rsidR="00122A7E" w:rsidRPr="002559BD">
        <w:rPr>
          <w:rFonts w:asciiTheme="majorBidi" w:hAnsiTheme="majorBidi" w:cstheme="majorBidi"/>
        </w:rPr>
        <w:t>Baltic</w:t>
      </w:r>
      <w:proofErr w:type="spellEnd"/>
      <w:r w:rsidR="00122A7E" w:rsidRPr="002559BD">
        <w:rPr>
          <w:rFonts w:asciiTheme="majorBidi" w:hAnsiTheme="majorBidi" w:cstheme="majorBidi"/>
        </w:rPr>
        <w:t xml:space="preserve"> </w:t>
      </w:r>
      <w:proofErr w:type="spellStart"/>
      <w:r w:rsidR="00122A7E" w:rsidRPr="002559BD">
        <w:rPr>
          <w:rFonts w:asciiTheme="majorBidi" w:hAnsiTheme="majorBidi" w:cstheme="majorBidi"/>
        </w:rPr>
        <w:t>International</w:t>
      </w:r>
      <w:proofErr w:type="spellEnd"/>
      <w:r w:rsidR="00122A7E" w:rsidRPr="002559BD">
        <w:rPr>
          <w:rFonts w:asciiTheme="majorBidi" w:hAnsiTheme="majorBidi" w:cstheme="majorBidi"/>
        </w:rPr>
        <w:t xml:space="preserve"> </w:t>
      </w:r>
      <w:proofErr w:type="spellStart"/>
      <w:r w:rsidR="00122A7E" w:rsidRPr="002559BD">
        <w:rPr>
          <w:rFonts w:asciiTheme="majorBidi" w:hAnsiTheme="majorBidi" w:cstheme="majorBidi"/>
        </w:rPr>
        <w:t>Bank</w:t>
      </w:r>
      <w:proofErr w:type="spellEnd"/>
      <w:r w:rsidR="00122A7E" w:rsidRPr="002559BD">
        <w:rPr>
          <w:rFonts w:asciiTheme="majorBidi" w:hAnsiTheme="majorBidi" w:cstheme="majorBidi"/>
        </w:rPr>
        <w:t xml:space="preserve"> SE </w:t>
      </w:r>
      <w:r w:rsidR="00122A7E">
        <w:rPr>
          <w:rFonts w:asciiTheme="majorBidi" w:hAnsiTheme="majorBidi" w:cstheme="majorBidi"/>
        </w:rPr>
        <w:t xml:space="preserve">(turpmāk – Banka) un </w:t>
      </w:r>
      <w:r w:rsidR="00511DD4">
        <w:rPr>
          <w:rFonts w:asciiTheme="majorBidi" w:hAnsiTheme="majorBidi" w:cstheme="majorBidi"/>
        </w:rPr>
        <w:t xml:space="preserve">prasītāju </w:t>
      </w:r>
      <w:r w:rsidR="002C0973">
        <w:rPr>
          <w:rFonts w:asciiTheme="majorBidi" w:hAnsiTheme="majorBidi" w:cstheme="majorBidi"/>
        </w:rPr>
        <w:t xml:space="preserve">[pers. A] </w:t>
      </w:r>
      <w:r w:rsidR="00122A7E">
        <w:rPr>
          <w:rFonts w:asciiTheme="majorBidi" w:hAnsiTheme="majorBidi" w:cstheme="majorBidi"/>
        </w:rPr>
        <w:t xml:space="preserve">kā </w:t>
      </w:r>
      <w:r w:rsidR="00604E37">
        <w:rPr>
          <w:rFonts w:asciiTheme="majorBidi" w:hAnsiTheme="majorBidi" w:cstheme="majorBidi"/>
        </w:rPr>
        <w:t xml:space="preserve">Bankas </w:t>
      </w:r>
      <w:r w:rsidR="00122A7E">
        <w:rPr>
          <w:rFonts w:asciiTheme="majorBidi" w:hAnsiTheme="majorBidi" w:cstheme="majorBidi"/>
        </w:rPr>
        <w:t>klient</w:t>
      </w:r>
      <w:r w:rsidR="00511DD4">
        <w:rPr>
          <w:rFonts w:asciiTheme="majorBidi" w:hAnsiTheme="majorBidi" w:cstheme="majorBidi"/>
        </w:rPr>
        <w:t>u</w:t>
      </w:r>
      <w:r w:rsidR="00122A7E">
        <w:rPr>
          <w:rFonts w:asciiTheme="majorBidi" w:hAnsiTheme="majorBidi" w:cstheme="majorBidi"/>
        </w:rPr>
        <w:t xml:space="preserve"> 2005. gada 6. jūnijā noslēgtā Aktīvu uzticības pārvaldīšanas līguma Nr. 15/06/05 un 2014. gada 23. jūlijā noslēgtā Aktīvu uzticības pārvaldīšanas līguma Nr. 06/31/14 juridiskajai kvalifikācijai</w:t>
      </w:r>
      <w:r w:rsidR="00511DD4">
        <w:rPr>
          <w:rFonts w:asciiTheme="majorBidi" w:hAnsiTheme="majorBidi" w:cstheme="majorBidi"/>
        </w:rPr>
        <w:t>, tādējādi nonākot pie kļūdaina secinājuma, ka prasītājs nav pierādījis savu īpašuma tiesību uz strīdus zelta stieņiem.</w:t>
      </w:r>
    </w:p>
    <w:p w14:paraId="190085FB" w14:textId="3301AB10" w:rsidR="00511DD4" w:rsidRDefault="006B3215" w:rsidP="008B01ED">
      <w:pPr>
        <w:spacing w:line="276" w:lineRule="auto"/>
        <w:ind w:firstLine="709"/>
        <w:jc w:val="both"/>
        <w:rPr>
          <w:rFonts w:asciiTheme="majorBidi" w:hAnsiTheme="majorBidi" w:cstheme="majorBidi"/>
        </w:rPr>
      </w:pPr>
      <w:r>
        <w:rPr>
          <w:rFonts w:asciiTheme="majorBidi" w:hAnsiTheme="majorBidi" w:cstheme="majorBidi"/>
        </w:rPr>
        <w:t>[2.1] </w:t>
      </w:r>
      <w:r w:rsidR="00511DD4">
        <w:rPr>
          <w:rFonts w:asciiTheme="majorBidi" w:hAnsiTheme="majorBidi" w:cstheme="majorBidi"/>
        </w:rPr>
        <w:t xml:space="preserve">Iztulkojot abu minēto līgumu noteikumus, tiesa ir konstatējusi, ka </w:t>
      </w:r>
      <w:r w:rsidR="0007731E">
        <w:rPr>
          <w:rFonts w:asciiTheme="majorBidi" w:hAnsiTheme="majorBidi" w:cstheme="majorBidi"/>
        </w:rPr>
        <w:t xml:space="preserve">šo līgumu priekšmets ir bijusi prasītājam piederošo aktīvu uzticības (fiduciāra) pārvaldīšana, un abos līgumos ir </w:t>
      </w:r>
      <w:r w:rsidR="00172748">
        <w:rPr>
          <w:rFonts w:asciiTheme="majorBidi" w:hAnsiTheme="majorBidi" w:cstheme="majorBidi"/>
        </w:rPr>
        <w:t>skaidri</w:t>
      </w:r>
      <w:r w:rsidR="0007731E">
        <w:rPr>
          <w:rFonts w:asciiTheme="majorBidi" w:hAnsiTheme="majorBidi" w:cstheme="majorBidi"/>
        </w:rPr>
        <w:t xml:space="preserve"> norādīts, ka ar „aktīviem” saprotami prasītājam piederoši „naudas līdzekļi” un „finanšu instrumenti”, bet nevis arī viņam piederošas ķermeniskas kustamas lietas, piemēram, dārgmetāla stieņi</w:t>
      </w:r>
      <w:r w:rsidR="001C096E">
        <w:rPr>
          <w:rFonts w:asciiTheme="majorBidi" w:hAnsiTheme="majorBidi" w:cstheme="majorBidi"/>
        </w:rPr>
        <w:t>.</w:t>
      </w:r>
      <w:r w:rsidR="0007731E">
        <w:rPr>
          <w:rFonts w:asciiTheme="majorBidi" w:hAnsiTheme="majorBidi" w:cstheme="majorBidi"/>
        </w:rPr>
        <w:t xml:space="preserve"> </w:t>
      </w:r>
      <w:r w:rsidR="00511DD4">
        <w:rPr>
          <w:rFonts w:asciiTheme="majorBidi" w:hAnsiTheme="majorBidi" w:cstheme="majorBidi"/>
        </w:rPr>
        <w:t xml:space="preserve">Kā pamatoti </w:t>
      </w:r>
      <w:r w:rsidR="00172748">
        <w:rPr>
          <w:rFonts w:asciiTheme="majorBidi" w:hAnsiTheme="majorBidi" w:cstheme="majorBidi"/>
        </w:rPr>
        <w:t>uzsvērusi</w:t>
      </w:r>
      <w:r w:rsidR="00511DD4">
        <w:rPr>
          <w:rFonts w:asciiTheme="majorBidi" w:hAnsiTheme="majorBidi" w:cstheme="majorBidi"/>
        </w:rPr>
        <w:t xml:space="preserve"> tiesa, ja Banka prasītāja interesēs un uz viņa rēķina būtu pārvaldījusi strīdus zelta stieņus kā prasītājam piederoš</w:t>
      </w:r>
      <w:r>
        <w:rPr>
          <w:rFonts w:asciiTheme="majorBidi" w:hAnsiTheme="majorBidi" w:cstheme="majorBidi"/>
        </w:rPr>
        <w:t>as kustamas lietas</w:t>
      </w:r>
      <w:r w:rsidR="00511DD4">
        <w:rPr>
          <w:rFonts w:asciiTheme="majorBidi" w:hAnsiTheme="majorBidi" w:cstheme="majorBidi"/>
        </w:rPr>
        <w:t xml:space="preserve">, tad pušu starpā noslēgtajos </w:t>
      </w:r>
      <w:r w:rsidR="0097697F">
        <w:rPr>
          <w:rFonts w:asciiTheme="majorBidi" w:hAnsiTheme="majorBidi" w:cstheme="majorBidi"/>
        </w:rPr>
        <w:t xml:space="preserve">aktīvu uzticības pārvaldīšanas </w:t>
      </w:r>
      <w:r w:rsidR="00511DD4">
        <w:rPr>
          <w:rFonts w:asciiTheme="majorBidi" w:hAnsiTheme="majorBidi" w:cstheme="majorBidi"/>
        </w:rPr>
        <w:t>līgum</w:t>
      </w:r>
      <w:r w:rsidR="0097697F">
        <w:rPr>
          <w:rFonts w:asciiTheme="majorBidi" w:hAnsiTheme="majorBidi" w:cstheme="majorBidi"/>
        </w:rPr>
        <w:t>o</w:t>
      </w:r>
      <w:r w:rsidR="00511DD4">
        <w:rPr>
          <w:rFonts w:asciiTheme="majorBidi" w:hAnsiTheme="majorBidi" w:cstheme="majorBidi"/>
        </w:rPr>
        <w:t xml:space="preserve">s tas tā arī būtu </w:t>
      </w:r>
      <w:r w:rsidR="0007731E">
        <w:rPr>
          <w:rFonts w:asciiTheme="majorBidi" w:hAnsiTheme="majorBidi" w:cstheme="majorBidi"/>
        </w:rPr>
        <w:t xml:space="preserve">skaidri </w:t>
      </w:r>
      <w:r w:rsidR="00511DD4">
        <w:rPr>
          <w:rFonts w:asciiTheme="majorBidi" w:hAnsiTheme="majorBidi" w:cstheme="majorBidi"/>
        </w:rPr>
        <w:t>norādīts, tostarp būtu norādīts</w:t>
      </w:r>
      <w:r w:rsidR="001C096E">
        <w:rPr>
          <w:rFonts w:asciiTheme="majorBidi" w:hAnsiTheme="majorBidi" w:cstheme="majorBidi"/>
        </w:rPr>
        <w:t xml:space="preserve"> </w:t>
      </w:r>
      <w:r w:rsidR="0097697F">
        <w:rPr>
          <w:rFonts w:asciiTheme="majorBidi" w:hAnsiTheme="majorBidi" w:cstheme="majorBidi"/>
        </w:rPr>
        <w:t xml:space="preserve">Bankas </w:t>
      </w:r>
      <w:r w:rsidR="001C096E">
        <w:rPr>
          <w:rFonts w:asciiTheme="majorBidi" w:hAnsiTheme="majorBidi" w:cstheme="majorBidi"/>
        </w:rPr>
        <w:t xml:space="preserve">uzticības pārvaldīšanā esošo </w:t>
      </w:r>
      <w:r w:rsidR="004F0019">
        <w:rPr>
          <w:rFonts w:asciiTheme="majorBidi" w:hAnsiTheme="majorBidi" w:cstheme="majorBidi"/>
        </w:rPr>
        <w:t xml:space="preserve">zelta </w:t>
      </w:r>
      <w:r w:rsidR="00511DD4">
        <w:rPr>
          <w:rFonts w:asciiTheme="majorBidi" w:hAnsiTheme="majorBidi" w:cstheme="majorBidi"/>
        </w:rPr>
        <w:t>stieņu daudzums, to svars un numuri.</w:t>
      </w:r>
      <w:r>
        <w:rPr>
          <w:rFonts w:asciiTheme="majorBidi" w:hAnsiTheme="majorBidi" w:cstheme="majorBidi"/>
        </w:rPr>
        <w:t xml:space="preserve"> Taču</w:t>
      </w:r>
      <w:r w:rsidR="001C096E">
        <w:rPr>
          <w:rFonts w:asciiTheme="majorBidi" w:hAnsiTheme="majorBidi" w:cstheme="majorBidi"/>
        </w:rPr>
        <w:t>, kā konstatējusi tiesa,</w:t>
      </w:r>
      <w:r>
        <w:rPr>
          <w:rFonts w:asciiTheme="majorBidi" w:hAnsiTheme="majorBidi" w:cstheme="majorBidi"/>
        </w:rPr>
        <w:t xml:space="preserve"> nekas tā</w:t>
      </w:r>
      <w:r w:rsidR="001C096E">
        <w:rPr>
          <w:rFonts w:asciiTheme="majorBidi" w:hAnsiTheme="majorBidi" w:cstheme="majorBidi"/>
        </w:rPr>
        <w:t>d</w:t>
      </w:r>
      <w:r>
        <w:rPr>
          <w:rFonts w:asciiTheme="majorBidi" w:hAnsiTheme="majorBidi" w:cstheme="majorBidi"/>
        </w:rPr>
        <w:t xml:space="preserve">s minētajos līgumos </w:t>
      </w:r>
      <w:r w:rsidR="0097697F">
        <w:rPr>
          <w:rFonts w:asciiTheme="majorBidi" w:hAnsiTheme="majorBidi" w:cstheme="majorBidi"/>
        </w:rPr>
        <w:t>nav</w:t>
      </w:r>
      <w:r>
        <w:rPr>
          <w:rFonts w:asciiTheme="majorBidi" w:hAnsiTheme="majorBidi" w:cstheme="majorBidi"/>
        </w:rPr>
        <w:t xml:space="preserve"> </w:t>
      </w:r>
      <w:r w:rsidR="00172748">
        <w:rPr>
          <w:rFonts w:asciiTheme="majorBidi" w:hAnsiTheme="majorBidi" w:cstheme="majorBidi"/>
        </w:rPr>
        <w:t xml:space="preserve">bijis </w:t>
      </w:r>
      <w:r>
        <w:rPr>
          <w:rFonts w:asciiTheme="majorBidi" w:hAnsiTheme="majorBidi" w:cstheme="majorBidi"/>
        </w:rPr>
        <w:t>paredzēts</w:t>
      </w:r>
      <w:r w:rsidR="001C096E">
        <w:rPr>
          <w:rFonts w:asciiTheme="majorBidi" w:hAnsiTheme="majorBidi" w:cstheme="majorBidi"/>
        </w:rPr>
        <w:t>.</w:t>
      </w:r>
    </w:p>
    <w:p w14:paraId="342B7374" w14:textId="69BEC938" w:rsidR="00511DD4" w:rsidRDefault="00511DD4" w:rsidP="008B01ED">
      <w:pPr>
        <w:spacing w:line="276" w:lineRule="auto"/>
        <w:ind w:firstLine="709"/>
        <w:jc w:val="both"/>
        <w:rPr>
          <w:rFonts w:asciiTheme="majorBidi" w:hAnsiTheme="majorBidi" w:cstheme="majorBidi"/>
        </w:rPr>
      </w:pPr>
      <w:r>
        <w:rPr>
          <w:rFonts w:asciiTheme="majorBidi" w:hAnsiTheme="majorBidi" w:cstheme="majorBidi"/>
        </w:rPr>
        <w:t xml:space="preserve">Tāpat tiesa </w:t>
      </w:r>
      <w:r w:rsidR="001C096E">
        <w:rPr>
          <w:rFonts w:asciiTheme="majorBidi" w:hAnsiTheme="majorBidi" w:cstheme="majorBidi"/>
        </w:rPr>
        <w:t xml:space="preserve">ir </w:t>
      </w:r>
      <w:r w:rsidR="004F0019">
        <w:rPr>
          <w:rFonts w:asciiTheme="majorBidi" w:hAnsiTheme="majorBidi" w:cstheme="majorBidi"/>
        </w:rPr>
        <w:t>konstatējusi</w:t>
      </w:r>
      <w:r>
        <w:rPr>
          <w:rFonts w:asciiTheme="majorBidi" w:hAnsiTheme="majorBidi" w:cstheme="majorBidi"/>
        </w:rPr>
        <w:t xml:space="preserve">, ka ar </w:t>
      </w:r>
      <w:r w:rsidR="001C096E">
        <w:rPr>
          <w:rFonts w:asciiTheme="majorBidi" w:hAnsiTheme="majorBidi" w:cstheme="majorBidi"/>
        </w:rPr>
        <w:t xml:space="preserve">Bankai adresēto </w:t>
      </w:r>
      <w:r>
        <w:rPr>
          <w:rFonts w:asciiTheme="majorBidi" w:hAnsiTheme="majorBidi" w:cstheme="majorBidi"/>
        </w:rPr>
        <w:t xml:space="preserve">2015. gada </w:t>
      </w:r>
      <w:r w:rsidR="001C096E">
        <w:rPr>
          <w:rFonts w:asciiTheme="majorBidi" w:hAnsiTheme="majorBidi" w:cstheme="majorBidi"/>
        </w:rPr>
        <w:t xml:space="preserve">26. februāra </w:t>
      </w:r>
      <w:r>
        <w:rPr>
          <w:rFonts w:asciiTheme="majorBidi" w:hAnsiTheme="majorBidi" w:cstheme="majorBidi"/>
        </w:rPr>
        <w:t xml:space="preserve">paziņojumu prasītājs </w:t>
      </w:r>
      <w:r w:rsidR="001C096E">
        <w:rPr>
          <w:rFonts w:asciiTheme="majorBidi" w:hAnsiTheme="majorBidi" w:cstheme="majorBidi"/>
        </w:rPr>
        <w:t xml:space="preserve">ir vienpusēji izbeidzis 2014. gada 23. jūlijā noslēgto Aktīvu </w:t>
      </w:r>
      <w:r w:rsidR="001C096E">
        <w:rPr>
          <w:rFonts w:asciiTheme="majorBidi" w:hAnsiTheme="majorBidi" w:cstheme="majorBidi"/>
        </w:rPr>
        <w:lastRenderedPageBreak/>
        <w:t>uzticības pārvaldīšanas līgum</w:t>
      </w:r>
      <w:r w:rsidR="0094073B">
        <w:rPr>
          <w:rFonts w:asciiTheme="majorBidi" w:hAnsiTheme="majorBidi" w:cstheme="majorBidi"/>
        </w:rPr>
        <w:t>u</w:t>
      </w:r>
      <w:r w:rsidR="001C096E">
        <w:rPr>
          <w:rFonts w:asciiTheme="majorBidi" w:hAnsiTheme="majorBidi" w:cstheme="majorBidi"/>
        </w:rPr>
        <w:t xml:space="preserve"> Nr. 06/31/14, lūdzot visus </w:t>
      </w:r>
      <w:r w:rsidR="0097697F">
        <w:rPr>
          <w:rFonts w:asciiTheme="majorBidi" w:hAnsiTheme="majorBidi" w:cstheme="majorBidi"/>
        </w:rPr>
        <w:t xml:space="preserve">Bankas uzticības pārvaldīšanā bijušos </w:t>
      </w:r>
      <w:r w:rsidR="00696A5A">
        <w:rPr>
          <w:rFonts w:asciiTheme="majorBidi" w:hAnsiTheme="majorBidi" w:cstheme="majorBidi"/>
        </w:rPr>
        <w:t xml:space="preserve">prasītāja </w:t>
      </w:r>
      <w:r w:rsidR="001C096E">
        <w:rPr>
          <w:rFonts w:asciiTheme="majorBidi" w:hAnsiTheme="majorBidi" w:cstheme="majorBidi"/>
        </w:rPr>
        <w:t>aktīvus akciju, obligāciju, XAU un naudas atlikumu veidā pārvest uz Bankā atvērto prasītāja norēķinu kontu</w:t>
      </w:r>
      <w:r w:rsidR="004F0019">
        <w:rPr>
          <w:rFonts w:asciiTheme="majorBidi" w:hAnsiTheme="majorBidi" w:cstheme="majorBidi"/>
        </w:rPr>
        <w:t>;</w:t>
      </w:r>
      <w:r w:rsidR="001C096E">
        <w:rPr>
          <w:rFonts w:asciiTheme="majorBidi" w:hAnsiTheme="majorBidi" w:cstheme="majorBidi"/>
        </w:rPr>
        <w:t xml:space="preserve"> ar šā paziņojuma izdarīšanas brīdi </w:t>
      </w:r>
      <w:r>
        <w:rPr>
          <w:rFonts w:asciiTheme="majorBidi" w:hAnsiTheme="majorBidi" w:cstheme="majorBidi"/>
        </w:rPr>
        <w:t>starp prasītāju un Banku vairs nepastāv</w:t>
      </w:r>
      <w:r w:rsidR="001C096E">
        <w:rPr>
          <w:rFonts w:asciiTheme="majorBidi" w:hAnsiTheme="majorBidi" w:cstheme="majorBidi"/>
        </w:rPr>
        <w:t>ēja</w:t>
      </w:r>
      <w:r>
        <w:rPr>
          <w:rFonts w:asciiTheme="majorBidi" w:hAnsiTheme="majorBidi" w:cstheme="majorBidi"/>
        </w:rPr>
        <w:t xml:space="preserve"> trasta jeb fiduciārās attiecības</w:t>
      </w:r>
      <w:r w:rsidR="004F0019">
        <w:rPr>
          <w:rFonts w:asciiTheme="majorBidi" w:hAnsiTheme="majorBidi" w:cstheme="majorBidi"/>
        </w:rPr>
        <w:t xml:space="preserve"> un v</w:t>
      </w:r>
      <w:r w:rsidR="0094073B">
        <w:rPr>
          <w:rFonts w:asciiTheme="majorBidi" w:hAnsiTheme="majorBidi" w:cstheme="majorBidi"/>
        </w:rPr>
        <w:t xml:space="preserve">iņu starpā turpināja pastāvēt </w:t>
      </w:r>
      <w:r w:rsidR="000430DE">
        <w:rPr>
          <w:rFonts w:asciiTheme="majorBidi" w:hAnsiTheme="majorBidi" w:cstheme="majorBidi"/>
        </w:rPr>
        <w:t xml:space="preserve">vienīgi </w:t>
      </w:r>
      <w:r w:rsidR="0094073B">
        <w:rPr>
          <w:rFonts w:asciiTheme="majorBidi" w:hAnsiTheme="majorBidi" w:cstheme="majorBidi"/>
        </w:rPr>
        <w:t>noguldījuma attiecības</w:t>
      </w:r>
      <w:r>
        <w:rPr>
          <w:rFonts w:asciiTheme="majorBidi" w:hAnsiTheme="majorBidi" w:cstheme="majorBidi"/>
        </w:rPr>
        <w:t>.</w:t>
      </w:r>
    </w:p>
    <w:p w14:paraId="6E05640F" w14:textId="60EDC986" w:rsidR="005601EC" w:rsidRDefault="007D0ADA" w:rsidP="008B01ED">
      <w:pPr>
        <w:spacing w:line="276" w:lineRule="auto"/>
        <w:ind w:firstLine="709"/>
        <w:jc w:val="both"/>
        <w:rPr>
          <w:rFonts w:asciiTheme="majorBidi" w:hAnsiTheme="majorBidi" w:cstheme="majorBidi"/>
        </w:rPr>
      </w:pPr>
      <w:r>
        <w:rPr>
          <w:rFonts w:asciiTheme="majorBidi" w:hAnsiTheme="majorBidi" w:cstheme="majorBidi"/>
        </w:rPr>
        <w:t>[2.2] </w:t>
      </w:r>
      <w:r w:rsidR="005601EC">
        <w:rPr>
          <w:rFonts w:asciiTheme="majorBidi" w:hAnsiTheme="majorBidi" w:cstheme="majorBidi"/>
        </w:rPr>
        <w:t>Iepriekšminētie tiesas konstatējumi un uz to pamata izdarītais secinājums, ka</w:t>
      </w:r>
      <w:r w:rsidR="005F63C0">
        <w:rPr>
          <w:rFonts w:asciiTheme="majorBidi" w:hAnsiTheme="majorBidi" w:cstheme="majorBidi"/>
        </w:rPr>
        <w:t xml:space="preserve"> </w:t>
      </w:r>
      <w:r w:rsidR="005601EC">
        <w:rPr>
          <w:rFonts w:asciiTheme="majorBidi" w:hAnsiTheme="majorBidi" w:cstheme="majorBidi"/>
        </w:rPr>
        <w:t>prasītājs nav pierādījis savu īpašuma tiesību uz strīdus zelta stieņiem,</w:t>
      </w:r>
      <w:r w:rsidR="001F6C9A">
        <w:rPr>
          <w:rFonts w:asciiTheme="majorBidi" w:hAnsiTheme="majorBidi" w:cstheme="majorBidi"/>
        </w:rPr>
        <w:t xml:space="preserve"> </w:t>
      </w:r>
      <w:r w:rsidR="005F63C0">
        <w:rPr>
          <w:rFonts w:asciiTheme="majorBidi" w:hAnsiTheme="majorBidi" w:cstheme="majorBidi"/>
        </w:rPr>
        <w:t xml:space="preserve">kuri atrodas pie Bankas, </w:t>
      </w:r>
      <w:r w:rsidR="001F6C9A">
        <w:rPr>
          <w:rFonts w:asciiTheme="majorBidi" w:hAnsiTheme="majorBidi" w:cstheme="majorBidi"/>
        </w:rPr>
        <w:t xml:space="preserve">atbilst konkrētās lietas apstākļiem piemērojamam </w:t>
      </w:r>
      <w:r w:rsidR="005F63C0">
        <w:rPr>
          <w:rFonts w:asciiTheme="majorBidi" w:hAnsiTheme="majorBidi" w:cstheme="majorBidi"/>
        </w:rPr>
        <w:t xml:space="preserve">tiesiskajam </w:t>
      </w:r>
      <w:r w:rsidR="001F6C9A">
        <w:rPr>
          <w:rFonts w:asciiTheme="majorBidi" w:hAnsiTheme="majorBidi" w:cstheme="majorBidi"/>
        </w:rPr>
        <w:t>regulējumam, uz kuru ir atsaucies arī prasītājs.</w:t>
      </w:r>
    </w:p>
    <w:p w14:paraId="6E5F13F7" w14:textId="3AE85E18" w:rsidR="00EE049E" w:rsidRDefault="00EE049E" w:rsidP="008B01ED">
      <w:pPr>
        <w:spacing w:line="276" w:lineRule="auto"/>
        <w:ind w:firstLine="709"/>
        <w:jc w:val="both"/>
        <w:rPr>
          <w:rFonts w:asciiTheme="majorBidi" w:hAnsiTheme="majorBidi" w:cstheme="majorBidi"/>
        </w:rPr>
      </w:pPr>
      <w:r>
        <w:rPr>
          <w:rFonts w:asciiTheme="majorBidi" w:hAnsiTheme="majorBidi" w:cstheme="majorBidi"/>
        </w:rPr>
        <w:t>[2.2.1] </w:t>
      </w:r>
      <w:r w:rsidR="001F6C9A">
        <w:rPr>
          <w:rFonts w:asciiTheme="majorBidi" w:hAnsiTheme="majorBidi" w:cstheme="majorBidi"/>
        </w:rPr>
        <w:t>Proti, jau savā prasības pieteikumā prasītājs ir atsaucies uz Uzticības operāciju (trasta) veikšanas noteikum</w:t>
      </w:r>
      <w:r w:rsidR="00296F75">
        <w:rPr>
          <w:rFonts w:asciiTheme="majorBidi" w:hAnsiTheme="majorBidi" w:cstheme="majorBidi"/>
        </w:rPr>
        <w:t>u</w:t>
      </w:r>
      <w:r>
        <w:rPr>
          <w:rFonts w:asciiTheme="majorBidi" w:hAnsiTheme="majorBidi" w:cstheme="majorBidi"/>
        </w:rPr>
        <w:t xml:space="preserve">, kas </w:t>
      </w:r>
      <w:r w:rsidR="00937D54" w:rsidRPr="00EE049E">
        <w:rPr>
          <w:rFonts w:asciiTheme="majorBidi" w:hAnsiTheme="majorBidi" w:cstheme="majorBidi"/>
        </w:rPr>
        <w:t>a</w:t>
      </w:r>
      <w:r w:rsidR="001F6C9A" w:rsidRPr="00EE049E">
        <w:rPr>
          <w:rFonts w:asciiTheme="majorBidi" w:hAnsiTheme="majorBidi" w:cstheme="majorBidi"/>
        </w:rPr>
        <w:t>pstiprināti ar Finanšu un kapitāla tirgus komisijas padomes 2001. gada 21. decembra lēmumu Nr. 24/11</w:t>
      </w:r>
      <w:r w:rsidR="00937D54" w:rsidRPr="00937D54">
        <w:rPr>
          <w:rFonts w:asciiTheme="majorBidi" w:hAnsiTheme="majorBidi" w:cstheme="majorBidi"/>
          <w:i/>
          <w:iCs/>
        </w:rPr>
        <w:t xml:space="preserve"> </w:t>
      </w:r>
      <w:r w:rsidRPr="00EE049E">
        <w:rPr>
          <w:rFonts w:asciiTheme="majorBidi" w:hAnsiTheme="majorBidi" w:cstheme="majorBidi"/>
        </w:rPr>
        <w:t>(turpmāk –</w:t>
      </w:r>
      <w:r>
        <w:rPr>
          <w:rFonts w:asciiTheme="majorBidi" w:hAnsiTheme="majorBidi" w:cstheme="majorBidi"/>
        </w:rPr>
        <w:t xml:space="preserve"> Uzticības operāciju n</w:t>
      </w:r>
      <w:r w:rsidRPr="00EE049E">
        <w:rPr>
          <w:rFonts w:asciiTheme="majorBidi" w:hAnsiTheme="majorBidi" w:cstheme="majorBidi"/>
        </w:rPr>
        <w:t>oteikumi</w:t>
      </w:r>
      <w:r w:rsidR="001F6C9A" w:rsidRPr="00EE049E">
        <w:rPr>
          <w:rFonts w:asciiTheme="majorBidi" w:hAnsiTheme="majorBidi" w:cstheme="majorBidi"/>
        </w:rPr>
        <w:t>)</w:t>
      </w:r>
      <w:r w:rsidRPr="00EE049E">
        <w:rPr>
          <w:rFonts w:asciiTheme="majorBidi" w:hAnsiTheme="majorBidi" w:cstheme="majorBidi"/>
        </w:rPr>
        <w:t>,</w:t>
      </w:r>
      <w:r w:rsidR="00296F75">
        <w:rPr>
          <w:rFonts w:asciiTheme="majorBidi" w:hAnsiTheme="majorBidi" w:cstheme="majorBidi"/>
        </w:rPr>
        <w:t xml:space="preserve"> 6. un 7. punktu. </w:t>
      </w:r>
      <w:r w:rsidR="004F0019">
        <w:rPr>
          <w:rFonts w:asciiTheme="majorBidi" w:hAnsiTheme="majorBidi" w:cstheme="majorBidi"/>
        </w:rPr>
        <w:t xml:space="preserve">Jāpiebilst, ka </w:t>
      </w:r>
      <w:r>
        <w:rPr>
          <w:rFonts w:asciiTheme="majorBidi" w:hAnsiTheme="majorBidi" w:cstheme="majorBidi"/>
        </w:rPr>
        <w:t>Uzticības operāciju</w:t>
      </w:r>
      <w:r w:rsidR="00296F75">
        <w:rPr>
          <w:rFonts w:asciiTheme="majorBidi" w:hAnsiTheme="majorBidi" w:cstheme="majorBidi"/>
        </w:rPr>
        <w:t xml:space="preserve"> noteikumos</w:t>
      </w:r>
      <w:r>
        <w:rPr>
          <w:rFonts w:asciiTheme="majorBidi" w:hAnsiTheme="majorBidi" w:cstheme="majorBidi"/>
        </w:rPr>
        <w:t xml:space="preserve"> (</w:t>
      </w:r>
      <w:r w:rsidRPr="00EE049E">
        <w:rPr>
          <w:rFonts w:asciiTheme="majorBidi" w:hAnsiTheme="majorBidi" w:cstheme="majorBidi"/>
          <w:i/>
          <w:iCs/>
        </w:rPr>
        <w:t>spēkā no 2001. gada 21. decembra līdz 2021. gada 12. janvārim</w:t>
      </w:r>
      <w:r>
        <w:rPr>
          <w:rFonts w:asciiTheme="majorBidi" w:hAnsiTheme="majorBidi" w:cstheme="majorBidi"/>
        </w:rPr>
        <w:t>)</w:t>
      </w:r>
      <w:r>
        <w:rPr>
          <w:rFonts w:asciiTheme="majorBidi" w:hAnsiTheme="majorBidi" w:cstheme="majorBidi"/>
          <w:i/>
          <w:iCs/>
        </w:rPr>
        <w:t xml:space="preserve"> </w:t>
      </w:r>
      <w:r w:rsidR="0097697F" w:rsidRPr="0097697F">
        <w:rPr>
          <w:rFonts w:asciiTheme="majorBidi" w:hAnsiTheme="majorBidi" w:cstheme="majorBidi"/>
        </w:rPr>
        <w:t xml:space="preserve">ir </w:t>
      </w:r>
      <w:r w:rsidR="00937D54">
        <w:rPr>
          <w:rFonts w:asciiTheme="majorBidi" w:hAnsiTheme="majorBidi" w:cstheme="majorBidi"/>
        </w:rPr>
        <w:t xml:space="preserve">detalizētāk noregulēts viens no kredītiestādes sniegto finanšu pakalpojumu veidiem, </w:t>
      </w:r>
      <w:r w:rsidR="004F0019">
        <w:rPr>
          <w:rFonts w:asciiTheme="majorBidi" w:hAnsiTheme="majorBidi" w:cstheme="majorBidi"/>
        </w:rPr>
        <w:t>t. i.</w:t>
      </w:r>
      <w:r w:rsidR="00937D54">
        <w:rPr>
          <w:rFonts w:asciiTheme="majorBidi" w:hAnsiTheme="majorBidi" w:cstheme="majorBidi"/>
        </w:rPr>
        <w:t>, „uzticības operācijas (trasts)”,</w:t>
      </w:r>
      <w:r w:rsidR="00296F75">
        <w:rPr>
          <w:rFonts w:asciiTheme="majorBidi" w:hAnsiTheme="majorBidi" w:cstheme="majorBidi"/>
        </w:rPr>
        <w:t xml:space="preserve"> kas definētas kā „</w:t>
      </w:r>
      <w:r w:rsidR="00296F75" w:rsidRPr="00296F75">
        <w:rPr>
          <w:rFonts w:asciiTheme="majorBidi" w:hAnsiTheme="majorBidi" w:cstheme="majorBidi"/>
        </w:rPr>
        <w:t>darījumi, kuros attiecības starp kredītiestādi un klientu balstās uz savstarpēju uzticēšanos un saskaņā ar kuru noteikumiem kredītiestāde uzņemas atbildību par klientam piederoša īpašuma pārvaldīšanu klienta labā, pārvaldot šo īpašumu šķirti no sava īpašuma</w:t>
      </w:r>
      <w:r w:rsidR="00296F75">
        <w:rPr>
          <w:rFonts w:asciiTheme="majorBidi" w:hAnsiTheme="majorBidi" w:cstheme="majorBidi"/>
        </w:rPr>
        <w:t>” (</w:t>
      </w:r>
      <w:r w:rsidR="00937D54" w:rsidRPr="00937D54">
        <w:rPr>
          <w:rFonts w:asciiTheme="majorBidi" w:hAnsiTheme="majorBidi" w:cstheme="majorBidi"/>
          <w:i/>
          <w:iCs/>
        </w:rPr>
        <w:t>Kredītiestāžu likuma 1. panta 14. punkt</w:t>
      </w:r>
      <w:r w:rsidR="00296F75">
        <w:rPr>
          <w:rFonts w:asciiTheme="majorBidi" w:hAnsiTheme="majorBidi" w:cstheme="majorBidi"/>
          <w:i/>
          <w:iCs/>
        </w:rPr>
        <w:t>s</w:t>
      </w:r>
      <w:r w:rsidR="00937D54">
        <w:rPr>
          <w:rFonts w:asciiTheme="majorBidi" w:hAnsiTheme="majorBidi" w:cstheme="majorBidi"/>
        </w:rPr>
        <w:t>)</w:t>
      </w:r>
      <w:r w:rsidR="00296F75">
        <w:rPr>
          <w:rFonts w:asciiTheme="majorBidi" w:hAnsiTheme="majorBidi" w:cstheme="majorBidi"/>
        </w:rPr>
        <w:t xml:space="preserve">. </w:t>
      </w:r>
    </w:p>
    <w:p w14:paraId="45012832" w14:textId="0D6BB613" w:rsidR="001F6C9A" w:rsidRDefault="00296F75" w:rsidP="008B01ED">
      <w:pPr>
        <w:spacing w:line="276" w:lineRule="auto"/>
        <w:ind w:firstLine="709"/>
        <w:jc w:val="both"/>
        <w:rPr>
          <w:rFonts w:asciiTheme="majorBidi" w:hAnsiTheme="majorBidi" w:cstheme="majorBidi"/>
        </w:rPr>
      </w:pPr>
      <w:r>
        <w:rPr>
          <w:rFonts w:asciiTheme="majorBidi" w:hAnsiTheme="majorBidi" w:cstheme="majorBidi"/>
        </w:rPr>
        <w:t xml:space="preserve">Tāpat prasītājs jau savā prasības pieteikumā ir atsaucies uz </w:t>
      </w:r>
      <w:r w:rsidR="00937D54">
        <w:rPr>
          <w:rFonts w:asciiTheme="majorBidi" w:hAnsiTheme="majorBidi" w:cstheme="majorBidi"/>
        </w:rPr>
        <w:t>Kredītiestāžu likuma 172. pant</w:t>
      </w:r>
      <w:r w:rsidR="005F63C0">
        <w:rPr>
          <w:rFonts w:asciiTheme="majorBidi" w:hAnsiTheme="majorBidi" w:cstheme="majorBidi"/>
        </w:rPr>
        <w:t>u</w:t>
      </w:r>
      <w:r w:rsidR="00937D54">
        <w:rPr>
          <w:rFonts w:asciiTheme="majorBidi" w:hAnsiTheme="majorBidi" w:cstheme="majorBidi"/>
        </w:rPr>
        <w:t>, kurā regulēt</w:t>
      </w:r>
      <w:r>
        <w:rPr>
          <w:rFonts w:asciiTheme="majorBidi" w:hAnsiTheme="majorBidi" w:cstheme="majorBidi"/>
        </w:rPr>
        <w:t xml:space="preserve">s </w:t>
      </w:r>
      <w:r w:rsidR="00937D54">
        <w:rPr>
          <w:rFonts w:asciiTheme="majorBidi" w:hAnsiTheme="majorBidi" w:cstheme="majorBidi"/>
        </w:rPr>
        <w:t>„kredītiestādes turējumā esošās trešajām personām piederošās mantas” institūts</w:t>
      </w:r>
      <w:r>
        <w:rPr>
          <w:rFonts w:asciiTheme="majorBidi" w:hAnsiTheme="majorBidi" w:cstheme="majorBidi"/>
        </w:rPr>
        <w:t xml:space="preserve"> un maksātnespējas procesa administratora rīcība </w:t>
      </w:r>
      <w:r w:rsidR="009D74C6">
        <w:rPr>
          <w:rFonts w:asciiTheme="majorBidi" w:hAnsiTheme="majorBidi" w:cstheme="majorBidi"/>
        </w:rPr>
        <w:t>ar šādu mantu</w:t>
      </w:r>
      <w:r w:rsidR="005F63C0">
        <w:rPr>
          <w:rFonts w:asciiTheme="majorBidi" w:hAnsiTheme="majorBidi" w:cstheme="majorBidi"/>
        </w:rPr>
        <w:t xml:space="preserve"> (sk. arī </w:t>
      </w:r>
      <w:r w:rsidR="005F63C0" w:rsidRPr="005F63C0">
        <w:rPr>
          <w:rFonts w:asciiTheme="majorBidi" w:hAnsiTheme="majorBidi" w:cstheme="majorBidi"/>
          <w:i/>
          <w:iCs/>
        </w:rPr>
        <w:t>Kredītiestāžu likuma 157. panta pirmās daļas 3. punktu, 161. panta otrās daļas 2. punktu</w:t>
      </w:r>
      <w:r w:rsidR="0097697F">
        <w:rPr>
          <w:rFonts w:asciiTheme="majorBidi" w:hAnsiTheme="majorBidi" w:cstheme="majorBidi"/>
          <w:i/>
          <w:iCs/>
        </w:rPr>
        <w:t xml:space="preserve"> un</w:t>
      </w:r>
      <w:r w:rsidR="005F63C0" w:rsidRPr="005F63C0">
        <w:rPr>
          <w:rFonts w:asciiTheme="majorBidi" w:hAnsiTheme="majorBidi" w:cstheme="majorBidi"/>
          <w:i/>
          <w:iCs/>
        </w:rPr>
        <w:t xml:space="preserve"> 172.</w:t>
      </w:r>
      <w:r w:rsidR="005F63C0" w:rsidRPr="005F63C0">
        <w:rPr>
          <w:rFonts w:asciiTheme="majorBidi" w:hAnsiTheme="majorBidi" w:cstheme="majorBidi"/>
          <w:i/>
          <w:iCs/>
          <w:vertAlign w:val="superscript"/>
        </w:rPr>
        <w:t>1</w:t>
      </w:r>
      <w:r w:rsidR="005F63C0" w:rsidRPr="005F63C0">
        <w:rPr>
          <w:rFonts w:asciiTheme="majorBidi" w:hAnsiTheme="majorBidi" w:cstheme="majorBidi"/>
          <w:i/>
          <w:iCs/>
        </w:rPr>
        <w:t> pantu</w:t>
      </w:r>
      <w:r w:rsidR="005F63C0">
        <w:rPr>
          <w:rFonts w:asciiTheme="majorBidi" w:hAnsiTheme="majorBidi" w:cstheme="majorBidi"/>
        </w:rPr>
        <w:t>). K</w:t>
      </w:r>
      <w:r w:rsidR="009D74C6">
        <w:rPr>
          <w:rFonts w:asciiTheme="majorBidi" w:hAnsiTheme="majorBidi" w:cstheme="majorBidi"/>
        </w:rPr>
        <w:t xml:space="preserve">ā izriet no </w:t>
      </w:r>
      <w:r w:rsidR="005F63C0">
        <w:rPr>
          <w:rFonts w:asciiTheme="majorBidi" w:hAnsiTheme="majorBidi" w:cstheme="majorBidi"/>
        </w:rPr>
        <w:t xml:space="preserve">Kredītiestāžu likuma 172. panta, </w:t>
      </w:r>
      <w:r w:rsidR="00696A5A">
        <w:rPr>
          <w:rFonts w:asciiTheme="majorBidi" w:hAnsiTheme="majorBidi" w:cstheme="majorBidi"/>
        </w:rPr>
        <w:t>kredītiestādes turējumā esošajā trešajām personām piederošajā</w:t>
      </w:r>
      <w:r w:rsidR="009D74C6">
        <w:rPr>
          <w:rFonts w:asciiTheme="majorBidi" w:hAnsiTheme="majorBidi" w:cstheme="majorBidi"/>
        </w:rPr>
        <w:t xml:space="preserve"> mantā ietilpst </w:t>
      </w:r>
      <w:r>
        <w:rPr>
          <w:rFonts w:asciiTheme="majorBidi" w:hAnsiTheme="majorBidi" w:cstheme="majorBidi"/>
        </w:rPr>
        <w:t>arī tād</w:t>
      </w:r>
      <w:r w:rsidR="009D74C6">
        <w:rPr>
          <w:rFonts w:asciiTheme="majorBidi" w:hAnsiTheme="majorBidi" w:cstheme="majorBidi"/>
        </w:rPr>
        <w:t>i</w:t>
      </w:r>
      <w:r>
        <w:rPr>
          <w:rFonts w:asciiTheme="majorBidi" w:hAnsiTheme="majorBidi" w:cstheme="majorBidi"/>
        </w:rPr>
        <w:t xml:space="preserve"> </w:t>
      </w:r>
      <w:r w:rsidR="009D74C6">
        <w:rPr>
          <w:rFonts w:asciiTheme="majorBidi" w:hAnsiTheme="majorBidi" w:cstheme="majorBidi"/>
        </w:rPr>
        <w:t xml:space="preserve">maksātnespējīgās </w:t>
      </w:r>
      <w:r>
        <w:rPr>
          <w:rFonts w:asciiTheme="majorBidi" w:hAnsiTheme="majorBidi" w:cstheme="majorBidi"/>
        </w:rPr>
        <w:t>kredītiestādes klientiem piederoš</w:t>
      </w:r>
      <w:r w:rsidR="009D74C6">
        <w:rPr>
          <w:rFonts w:asciiTheme="majorBidi" w:hAnsiTheme="majorBidi" w:cstheme="majorBidi"/>
        </w:rPr>
        <w:t>i</w:t>
      </w:r>
      <w:r>
        <w:rPr>
          <w:rFonts w:asciiTheme="majorBidi" w:hAnsiTheme="majorBidi" w:cstheme="majorBidi"/>
        </w:rPr>
        <w:t xml:space="preserve"> mantisk</w:t>
      </w:r>
      <w:r w:rsidR="009D74C6">
        <w:rPr>
          <w:rFonts w:asciiTheme="majorBidi" w:hAnsiTheme="majorBidi" w:cstheme="majorBidi"/>
        </w:rPr>
        <w:t>i</w:t>
      </w:r>
      <w:r>
        <w:rPr>
          <w:rFonts w:asciiTheme="majorBidi" w:hAnsiTheme="majorBidi" w:cstheme="majorBidi"/>
        </w:rPr>
        <w:t xml:space="preserve"> labum</w:t>
      </w:r>
      <w:r w:rsidR="009D74C6">
        <w:rPr>
          <w:rFonts w:asciiTheme="majorBidi" w:hAnsiTheme="majorBidi" w:cstheme="majorBidi"/>
        </w:rPr>
        <w:t>i</w:t>
      </w:r>
      <w:r w:rsidR="005F63C0">
        <w:rPr>
          <w:rFonts w:asciiTheme="majorBidi" w:hAnsiTheme="majorBidi" w:cstheme="majorBidi"/>
        </w:rPr>
        <w:t xml:space="preserve"> (naudas līdzekļi, finanšu instrumenti vai citi aktīvi)</w:t>
      </w:r>
      <w:r>
        <w:rPr>
          <w:rFonts w:asciiTheme="majorBidi" w:hAnsiTheme="majorBidi" w:cstheme="majorBidi"/>
        </w:rPr>
        <w:t>, kuri</w:t>
      </w:r>
      <w:r w:rsidR="0097697F">
        <w:rPr>
          <w:rFonts w:asciiTheme="majorBidi" w:hAnsiTheme="majorBidi" w:cstheme="majorBidi"/>
        </w:rPr>
        <w:t>, kredītiestādei veicot uzticības operācijas,</w:t>
      </w:r>
      <w:r>
        <w:rPr>
          <w:rFonts w:asciiTheme="majorBidi" w:hAnsiTheme="majorBidi" w:cstheme="majorBidi"/>
        </w:rPr>
        <w:t xml:space="preserve"> nonākuši </w:t>
      </w:r>
      <w:r w:rsidR="000E1F5D">
        <w:rPr>
          <w:rFonts w:asciiTheme="majorBidi" w:hAnsiTheme="majorBidi" w:cstheme="majorBidi"/>
        </w:rPr>
        <w:t>kredītiestādes</w:t>
      </w:r>
      <w:r>
        <w:rPr>
          <w:rFonts w:asciiTheme="majorBidi" w:hAnsiTheme="majorBidi" w:cstheme="majorBidi"/>
        </w:rPr>
        <w:t xml:space="preserve"> turējumā un </w:t>
      </w:r>
      <w:r w:rsidR="007A418F">
        <w:rPr>
          <w:rFonts w:asciiTheme="majorBidi" w:hAnsiTheme="majorBidi" w:cstheme="majorBidi"/>
        </w:rPr>
        <w:t xml:space="preserve">līdz maksātnespējas procesa pasludināšanas brīdim </w:t>
      </w:r>
      <w:r>
        <w:rPr>
          <w:rFonts w:asciiTheme="majorBidi" w:hAnsiTheme="majorBidi" w:cstheme="majorBidi"/>
        </w:rPr>
        <w:t xml:space="preserve">tikuši pārvaldīti šķirti no </w:t>
      </w:r>
      <w:r w:rsidR="000E1F5D">
        <w:rPr>
          <w:rFonts w:asciiTheme="majorBidi" w:hAnsiTheme="majorBidi" w:cstheme="majorBidi"/>
        </w:rPr>
        <w:t xml:space="preserve">pašas </w:t>
      </w:r>
      <w:r>
        <w:rPr>
          <w:rFonts w:asciiTheme="majorBidi" w:hAnsiTheme="majorBidi" w:cstheme="majorBidi"/>
        </w:rPr>
        <w:t>kredītiestādes mantas.</w:t>
      </w:r>
    </w:p>
    <w:p w14:paraId="158A4CF6" w14:textId="3964C57D" w:rsidR="00827366" w:rsidRDefault="00EE049E" w:rsidP="008B01ED">
      <w:pPr>
        <w:spacing w:line="276" w:lineRule="auto"/>
        <w:ind w:firstLine="709"/>
        <w:jc w:val="both"/>
        <w:rPr>
          <w:rFonts w:asciiTheme="majorBidi" w:hAnsiTheme="majorBidi" w:cstheme="majorBidi"/>
        </w:rPr>
      </w:pPr>
      <w:r>
        <w:rPr>
          <w:rFonts w:asciiTheme="majorBidi" w:hAnsiTheme="majorBidi" w:cstheme="majorBidi"/>
        </w:rPr>
        <w:t>[2.2.2] Uzticības operāciju noteikumos</w:t>
      </w:r>
      <w:r w:rsidR="008516CF">
        <w:rPr>
          <w:rFonts w:asciiTheme="majorBidi" w:hAnsiTheme="majorBidi" w:cstheme="majorBidi"/>
        </w:rPr>
        <w:t xml:space="preserve"> </w:t>
      </w:r>
      <w:r w:rsidR="00827366">
        <w:rPr>
          <w:rFonts w:asciiTheme="majorBidi" w:hAnsiTheme="majorBidi" w:cstheme="majorBidi"/>
        </w:rPr>
        <w:t xml:space="preserve">paredzēti šādi būtiski uzticības operāciju veikšanas </w:t>
      </w:r>
      <w:r w:rsidR="00291BDE">
        <w:rPr>
          <w:rFonts w:asciiTheme="majorBidi" w:hAnsiTheme="majorBidi" w:cstheme="majorBidi"/>
        </w:rPr>
        <w:t>pamatprincipi</w:t>
      </w:r>
      <w:r w:rsidR="00827366">
        <w:rPr>
          <w:rFonts w:asciiTheme="majorBidi" w:hAnsiTheme="majorBidi" w:cstheme="majorBidi"/>
        </w:rPr>
        <w:t xml:space="preserve">, </w:t>
      </w:r>
      <w:r w:rsidR="00291BDE">
        <w:rPr>
          <w:rFonts w:asciiTheme="majorBidi" w:hAnsiTheme="majorBidi" w:cstheme="majorBidi"/>
        </w:rPr>
        <w:t>ar kuriem</w:t>
      </w:r>
      <w:r w:rsidR="00827366">
        <w:rPr>
          <w:rFonts w:asciiTheme="majorBidi" w:hAnsiTheme="majorBidi" w:cstheme="majorBidi"/>
        </w:rPr>
        <w:t xml:space="preserve"> konkretizēta Kredītiestāžu likuma 1. panta 14. punktā ietvertā </w:t>
      </w:r>
      <w:r w:rsidR="00172748">
        <w:rPr>
          <w:rFonts w:asciiTheme="majorBidi" w:hAnsiTheme="majorBidi" w:cstheme="majorBidi"/>
        </w:rPr>
        <w:t xml:space="preserve">uzticības operāciju (trasta) </w:t>
      </w:r>
      <w:r w:rsidR="00827366">
        <w:rPr>
          <w:rFonts w:asciiTheme="majorBidi" w:hAnsiTheme="majorBidi" w:cstheme="majorBidi"/>
        </w:rPr>
        <w:t>definīcija, proti, 1) „v</w:t>
      </w:r>
      <w:r w:rsidR="00827366" w:rsidRPr="00827366">
        <w:rPr>
          <w:rFonts w:asciiTheme="majorBidi" w:hAnsiTheme="majorBidi" w:cstheme="majorBidi"/>
        </w:rPr>
        <w:t>eicot uzticības operācijas, kredītiestādes un klienta attiecībām jābalstās uz atsevišķu rakstisku trasta līgumu, kurā skaidri jānorāda sniegto pakalpojumu būtība, līgumslēdzēju pušu tiesības, pienākumi un atbildība</w:t>
      </w:r>
      <w:r w:rsidR="00827366">
        <w:rPr>
          <w:rFonts w:asciiTheme="majorBidi" w:hAnsiTheme="majorBidi" w:cstheme="majorBidi"/>
        </w:rPr>
        <w:t>” (</w:t>
      </w:r>
      <w:r>
        <w:rPr>
          <w:rFonts w:asciiTheme="majorBidi" w:hAnsiTheme="majorBidi" w:cstheme="majorBidi"/>
          <w:i/>
          <w:iCs/>
        </w:rPr>
        <w:t>Uzticības operāciju noteikumu</w:t>
      </w:r>
      <w:r w:rsidR="00827366" w:rsidRPr="00827366">
        <w:rPr>
          <w:rFonts w:asciiTheme="majorBidi" w:hAnsiTheme="majorBidi" w:cstheme="majorBidi"/>
          <w:i/>
          <w:iCs/>
        </w:rPr>
        <w:t xml:space="preserve"> 6. punkts</w:t>
      </w:r>
      <w:r w:rsidR="00827366">
        <w:rPr>
          <w:rFonts w:asciiTheme="majorBidi" w:hAnsiTheme="majorBidi" w:cstheme="majorBidi"/>
        </w:rPr>
        <w:t>), un 2) „k</w:t>
      </w:r>
      <w:r w:rsidR="00827366" w:rsidRPr="00827366">
        <w:rPr>
          <w:rFonts w:asciiTheme="majorBidi" w:hAnsiTheme="majorBidi" w:cstheme="majorBidi"/>
        </w:rPr>
        <w:t>redītiestādes uzskaites sistēmā uzticības operāciju uzskaitei ir jābūt nodalītai, nodrošinot klientiem piederošā īpašuma uzskaiti atsevišķas (trasta) bilances ietvaros sadalījumā pa klientiem un pārvaldāmajiem aktīvu veidiem</w:t>
      </w:r>
      <w:r w:rsidR="00827366">
        <w:rPr>
          <w:rFonts w:asciiTheme="majorBidi" w:hAnsiTheme="majorBidi" w:cstheme="majorBidi"/>
        </w:rPr>
        <w:t>” (</w:t>
      </w:r>
      <w:r>
        <w:rPr>
          <w:rFonts w:asciiTheme="majorBidi" w:hAnsiTheme="majorBidi" w:cstheme="majorBidi"/>
          <w:i/>
          <w:iCs/>
        </w:rPr>
        <w:t xml:space="preserve">Uzticības operāciju </w:t>
      </w:r>
      <w:r w:rsidR="00827366" w:rsidRPr="00827366">
        <w:rPr>
          <w:rFonts w:asciiTheme="majorBidi" w:hAnsiTheme="majorBidi" w:cstheme="majorBidi"/>
          <w:i/>
          <w:iCs/>
        </w:rPr>
        <w:t>noteikumu 4. punkts</w:t>
      </w:r>
      <w:r w:rsidR="00827366">
        <w:rPr>
          <w:rFonts w:asciiTheme="majorBidi" w:hAnsiTheme="majorBidi" w:cstheme="majorBidi"/>
        </w:rPr>
        <w:t>).</w:t>
      </w:r>
    </w:p>
    <w:p w14:paraId="3661F0A3" w14:textId="558AAA5C" w:rsidR="00E03C26" w:rsidRDefault="000C3221" w:rsidP="008B01ED">
      <w:pPr>
        <w:spacing w:line="276" w:lineRule="auto"/>
        <w:ind w:firstLine="709"/>
        <w:jc w:val="both"/>
        <w:rPr>
          <w:rFonts w:asciiTheme="majorBidi" w:hAnsiTheme="majorBidi" w:cstheme="majorBidi"/>
        </w:rPr>
      </w:pPr>
      <w:r>
        <w:rPr>
          <w:rFonts w:asciiTheme="majorBidi" w:hAnsiTheme="majorBidi" w:cstheme="majorBidi"/>
        </w:rPr>
        <w:t>Tādējādi</w:t>
      </w:r>
      <w:r w:rsidR="00291BDE">
        <w:rPr>
          <w:rFonts w:asciiTheme="majorBidi" w:hAnsiTheme="majorBidi" w:cstheme="majorBidi"/>
        </w:rPr>
        <w:t>, ņemot vērā kredītiestā</w:t>
      </w:r>
      <w:r w:rsidR="00803B01">
        <w:rPr>
          <w:rFonts w:asciiTheme="majorBidi" w:hAnsiTheme="majorBidi" w:cstheme="majorBidi"/>
        </w:rPr>
        <w:t>žu</w:t>
      </w:r>
      <w:r w:rsidR="00291BDE">
        <w:rPr>
          <w:rFonts w:asciiTheme="majorBidi" w:hAnsiTheme="majorBidi" w:cstheme="majorBidi"/>
        </w:rPr>
        <w:t xml:space="preserve"> īpašo tiesisko statusu</w:t>
      </w:r>
      <w:r w:rsidR="00803B01">
        <w:rPr>
          <w:rFonts w:asciiTheme="majorBidi" w:hAnsiTheme="majorBidi" w:cstheme="majorBidi"/>
        </w:rPr>
        <w:t xml:space="preserve">, </w:t>
      </w:r>
      <w:r w:rsidR="00291BDE">
        <w:rPr>
          <w:rFonts w:asciiTheme="majorBidi" w:hAnsiTheme="majorBidi" w:cstheme="majorBidi"/>
        </w:rPr>
        <w:t>darbības jomu</w:t>
      </w:r>
      <w:r w:rsidR="00803B01">
        <w:rPr>
          <w:rFonts w:asciiTheme="majorBidi" w:hAnsiTheme="majorBidi" w:cstheme="majorBidi"/>
        </w:rPr>
        <w:t xml:space="preserve">, atbildību un </w:t>
      </w:r>
      <w:r w:rsidR="00172748">
        <w:rPr>
          <w:rFonts w:asciiTheme="majorBidi" w:hAnsiTheme="majorBidi" w:cstheme="majorBidi"/>
        </w:rPr>
        <w:t xml:space="preserve">to darbības </w:t>
      </w:r>
      <w:r w:rsidR="00803B01">
        <w:rPr>
          <w:rFonts w:asciiTheme="majorBidi" w:hAnsiTheme="majorBidi" w:cstheme="majorBidi"/>
        </w:rPr>
        <w:t>uzraudzību</w:t>
      </w:r>
      <w:r w:rsidR="00291BDE">
        <w:rPr>
          <w:rFonts w:asciiTheme="majorBidi" w:hAnsiTheme="majorBidi" w:cstheme="majorBidi"/>
        </w:rPr>
        <w:t xml:space="preserve">, </w:t>
      </w:r>
      <w:r w:rsidR="00803B01">
        <w:rPr>
          <w:rFonts w:asciiTheme="majorBidi" w:hAnsiTheme="majorBidi" w:cstheme="majorBidi"/>
        </w:rPr>
        <w:t xml:space="preserve">kredītiestādes un klienta starpā noslēgta „trasta līguma” </w:t>
      </w:r>
      <w:r w:rsidR="00EE049E">
        <w:rPr>
          <w:rFonts w:asciiTheme="majorBidi" w:hAnsiTheme="majorBidi" w:cstheme="majorBidi"/>
        </w:rPr>
        <w:t xml:space="preserve">jeb fiduciārā līguma </w:t>
      </w:r>
      <w:r w:rsidR="00803B01">
        <w:rPr>
          <w:rFonts w:asciiTheme="majorBidi" w:hAnsiTheme="majorBidi" w:cstheme="majorBidi"/>
        </w:rPr>
        <w:t xml:space="preserve">spēkā esībai </w:t>
      </w:r>
      <w:r w:rsidR="000E1F5D">
        <w:rPr>
          <w:rFonts w:asciiTheme="majorBidi" w:hAnsiTheme="majorBidi" w:cstheme="majorBidi"/>
        </w:rPr>
        <w:t xml:space="preserve">obligāti </w:t>
      </w:r>
      <w:r w:rsidR="00803B01">
        <w:rPr>
          <w:rFonts w:asciiTheme="majorBidi" w:hAnsiTheme="majorBidi" w:cstheme="majorBidi"/>
        </w:rPr>
        <w:t>nepieciešama rakstiska forma</w:t>
      </w:r>
      <w:r w:rsidR="00E03C26">
        <w:rPr>
          <w:rFonts w:asciiTheme="majorBidi" w:hAnsiTheme="majorBidi" w:cstheme="majorBidi"/>
        </w:rPr>
        <w:t xml:space="preserve">, jo </w:t>
      </w:r>
      <w:r w:rsidR="00803B01">
        <w:rPr>
          <w:rFonts w:asciiTheme="majorBidi" w:hAnsiTheme="majorBidi" w:cstheme="majorBidi"/>
        </w:rPr>
        <w:t>vienīgi šādā formā noslēgts līgums var būt pamats kredītiestādes klient</w:t>
      </w:r>
      <w:r w:rsidR="00E03C26">
        <w:rPr>
          <w:rFonts w:asciiTheme="majorBidi" w:hAnsiTheme="majorBidi" w:cstheme="majorBidi"/>
        </w:rPr>
        <w:t>am</w:t>
      </w:r>
      <w:r w:rsidR="00803B01">
        <w:rPr>
          <w:rFonts w:asciiTheme="majorBidi" w:hAnsiTheme="majorBidi" w:cstheme="majorBidi"/>
        </w:rPr>
        <w:t xml:space="preserve"> piederošu mantisku labum</w:t>
      </w:r>
      <w:r w:rsidR="00EE049E">
        <w:rPr>
          <w:rFonts w:asciiTheme="majorBidi" w:hAnsiTheme="majorBidi" w:cstheme="majorBidi"/>
        </w:rPr>
        <w:t>u</w:t>
      </w:r>
      <w:r w:rsidR="00803B01">
        <w:rPr>
          <w:rFonts w:asciiTheme="majorBidi" w:hAnsiTheme="majorBidi" w:cstheme="majorBidi"/>
        </w:rPr>
        <w:t xml:space="preserve"> (naudas līdzekļu, finanšu instrumentu vai citu aktīvu) pārvaldīšanai </w:t>
      </w:r>
      <w:r w:rsidR="000E1F5D">
        <w:rPr>
          <w:rFonts w:asciiTheme="majorBidi" w:hAnsiTheme="majorBidi" w:cstheme="majorBidi"/>
        </w:rPr>
        <w:t xml:space="preserve">klienta interesēs un uz viņa rēķina </w:t>
      </w:r>
      <w:r w:rsidR="00803B01">
        <w:rPr>
          <w:rFonts w:asciiTheme="majorBidi" w:hAnsiTheme="majorBidi" w:cstheme="majorBidi"/>
        </w:rPr>
        <w:t>šķirti no pašas kredītiestādes mantas</w:t>
      </w:r>
      <w:r w:rsidR="00E03C26">
        <w:rPr>
          <w:rFonts w:asciiTheme="majorBidi" w:hAnsiTheme="majorBidi" w:cstheme="majorBidi"/>
        </w:rPr>
        <w:t xml:space="preserve">. Turklāt uz šāda </w:t>
      </w:r>
      <w:r w:rsidR="00172748">
        <w:rPr>
          <w:rFonts w:asciiTheme="majorBidi" w:hAnsiTheme="majorBidi" w:cstheme="majorBidi"/>
        </w:rPr>
        <w:t>fiduciārā</w:t>
      </w:r>
      <w:r w:rsidR="00EE049E">
        <w:rPr>
          <w:rFonts w:asciiTheme="majorBidi" w:hAnsiTheme="majorBidi" w:cstheme="majorBidi"/>
        </w:rPr>
        <w:t xml:space="preserve"> </w:t>
      </w:r>
      <w:r w:rsidR="00E03C26">
        <w:rPr>
          <w:rFonts w:asciiTheme="majorBidi" w:hAnsiTheme="majorBidi" w:cstheme="majorBidi"/>
        </w:rPr>
        <w:t>līguma pamata kredītiestādes pienākums ir veikt tās uzticības pārvaldīšanā nodoto klien</w:t>
      </w:r>
      <w:r w:rsidR="00E715EA">
        <w:rPr>
          <w:rFonts w:asciiTheme="majorBidi" w:hAnsiTheme="majorBidi" w:cstheme="majorBidi"/>
        </w:rPr>
        <w:t>tam piederošo</w:t>
      </w:r>
      <w:r w:rsidR="00E03C26">
        <w:rPr>
          <w:rFonts w:asciiTheme="majorBidi" w:hAnsiTheme="majorBidi" w:cstheme="majorBidi"/>
        </w:rPr>
        <w:t xml:space="preserve"> mantisko labumu nodalītu uzskaiti tādā veidā, lai jebkurā brīdī būtu iespējams </w:t>
      </w:r>
      <w:r w:rsidR="00E715EA">
        <w:rPr>
          <w:rFonts w:asciiTheme="majorBidi" w:hAnsiTheme="majorBidi" w:cstheme="majorBidi"/>
        </w:rPr>
        <w:lastRenderedPageBreak/>
        <w:t>precīzi un nekļūdīgi identificēt tos konkrēt</w:t>
      </w:r>
      <w:r w:rsidR="00EE049E">
        <w:rPr>
          <w:rFonts w:asciiTheme="majorBidi" w:hAnsiTheme="majorBidi" w:cstheme="majorBidi"/>
        </w:rPr>
        <w:t xml:space="preserve">ā klienta </w:t>
      </w:r>
      <w:r w:rsidR="00E715EA">
        <w:rPr>
          <w:rFonts w:asciiTheme="majorBidi" w:hAnsiTheme="majorBidi" w:cstheme="majorBidi"/>
        </w:rPr>
        <w:t xml:space="preserve">mantiskos labumus (to veidu, </w:t>
      </w:r>
      <w:r w:rsidR="00EE049E">
        <w:rPr>
          <w:rFonts w:asciiTheme="majorBidi" w:hAnsiTheme="majorBidi" w:cstheme="majorBidi"/>
        </w:rPr>
        <w:t xml:space="preserve">summu, skaitu, </w:t>
      </w:r>
      <w:r w:rsidR="00E715EA">
        <w:rPr>
          <w:rFonts w:asciiTheme="majorBidi" w:hAnsiTheme="majorBidi" w:cstheme="majorBidi"/>
        </w:rPr>
        <w:t>apjomu, īpašās pazīmes u. tml.), k</w:t>
      </w:r>
      <w:r w:rsidR="007A418F">
        <w:rPr>
          <w:rFonts w:asciiTheme="majorBidi" w:hAnsiTheme="majorBidi" w:cstheme="majorBidi"/>
        </w:rPr>
        <w:t>uri</w:t>
      </w:r>
      <w:r w:rsidR="00E715EA">
        <w:rPr>
          <w:rFonts w:asciiTheme="majorBidi" w:hAnsiTheme="majorBidi" w:cstheme="majorBidi"/>
        </w:rPr>
        <w:t xml:space="preserve">, pamatojoties uz spēkā esošu </w:t>
      </w:r>
      <w:r w:rsidR="00172748">
        <w:rPr>
          <w:rFonts w:asciiTheme="majorBidi" w:hAnsiTheme="majorBidi" w:cstheme="majorBidi"/>
        </w:rPr>
        <w:t>fiduciāro</w:t>
      </w:r>
      <w:r w:rsidR="00E715EA">
        <w:rPr>
          <w:rFonts w:asciiTheme="majorBidi" w:hAnsiTheme="majorBidi" w:cstheme="majorBidi"/>
        </w:rPr>
        <w:t xml:space="preserve"> līgumu, atrodas kredītiestādes rīcībā kā tās „turējumā esoš</w:t>
      </w:r>
      <w:r w:rsidR="000E1F5D">
        <w:rPr>
          <w:rFonts w:asciiTheme="majorBidi" w:hAnsiTheme="majorBidi" w:cstheme="majorBidi"/>
        </w:rPr>
        <w:t>a</w:t>
      </w:r>
      <w:r w:rsidR="00E715EA">
        <w:rPr>
          <w:rFonts w:asciiTheme="majorBidi" w:hAnsiTheme="majorBidi" w:cstheme="majorBidi"/>
        </w:rPr>
        <w:t xml:space="preserve"> trešajām personām piederošā manta”</w:t>
      </w:r>
      <w:r w:rsidR="00EE049E">
        <w:rPr>
          <w:rFonts w:asciiTheme="majorBidi" w:hAnsiTheme="majorBidi" w:cstheme="majorBidi"/>
        </w:rPr>
        <w:t>.</w:t>
      </w:r>
    </w:p>
    <w:p w14:paraId="11C8DF4B" w14:textId="25007E64" w:rsidR="00E03C26" w:rsidRDefault="000E1F5D" w:rsidP="008B01ED">
      <w:pPr>
        <w:spacing w:line="276" w:lineRule="auto"/>
        <w:ind w:firstLine="709"/>
        <w:jc w:val="both"/>
        <w:rPr>
          <w:rFonts w:asciiTheme="majorBidi" w:hAnsiTheme="majorBidi" w:cstheme="majorBidi"/>
        </w:rPr>
      </w:pPr>
      <w:r>
        <w:rPr>
          <w:rFonts w:asciiTheme="majorBidi" w:hAnsiTheme="majorBidi" w:cstheme="majorBidi"/>
        </w:rPr>
        <w:t xml:space="preserve">[2.2.3] Būtiski norādīt, ka abi iepriekšminētie pamatprincipi, t. i., trasta jeb fiduciārā līguma obligāta rakstiskā forma un </w:t>
      </w:r>
      <w:r w:rsidR="009E7185">
        <w:rPr>
          <w:rFonts w:asciiTheme="majorBidi" w:hAnsiTheme="majorBidi" w:cstheme="majorBidi"/>
        </w:rPr>
        <w:t xml:space="preserve">uz šāda līguma pamata kredītiestādei uzticēto konkrētā klienta aktīvu </w:t>
      </w:r>
      <w:r w:rsidR="000C3221">
        <w:rPr>
          <w:rFonts w:asciiTheme="majorBidi" w:hAnsiTheme="majorBidi" w:cstheme="majorBidi"/>
        </w:rPr>
        <w:t xml:space="preserve">šķirta pārvaldīšana </w:t>
      </w:r>
      <w:r w:rsidR="009E7185">
        <w:rPr>
          <w:rFonts w:asciiTheme="majorBidi" w:hAnsiTheme="majorBidi" w:cstheme="majorBidi"/>
        </w:rPr>
        <w:t>un ar tiem veikto uzticības operāciju nodalīta uzskaite, i</w:t>
      </w:r>
      <w:r>
        <w:rPr>
          <w:rFonts w:asciiTheme="majorBidi" w:hAnsiTheme="majorBidi" w:cstheme="majorBidi"/>
        </w:rPr>
        <w:t xml:space="preserve">r bijuši paredzēti arī </w:t>
      </w:r>
      <w:r w:rsidR="000C3221">
        <w:rPr>
          <w:rFonts w:asciiTheme="majorBidi" w:hAnsiTheme="majorBidi" w:cstheme="majorBidi"/>
        </w:rPr>
        <w:t>ar Latvijas Bankas padomes 1998. gada 17. septembra lēmumu Nr. 49/3 apstiprināto Uzticības operāciju (trasta) veikšanas noteikumu 3. un 5. punktā (</w:t>
      </w:r>
      <w:r w:rsidR="000C3221" w:rsidRPr="000C3221">
        <w:rPr>
          <w:rFonts w:asciiTheme="majorBidi" w:hAnsiTheme="majorBidi" w:cstheme="majorBidi"/>
          <w:i/>
          <w:iCs/>
        </w:rPr>
        <w:t>spēkā no 1999. gada 1. janvāra līdz 2001. gada 31. decembrim</w:t>
      </w:r>
      <w:r w:rsidR="000C3221">
        <w:rPr>
          <w:rFonts w:asciiTheme="majorBidi" w:hAnsiTheme="majorBidi" w:cstheme="majorBidi"/>
        </w:rPr>
        <w:t xml:space="preserve">) un </w:t>
      </w:r>
      <w:r>
        <w:rPr>
          <w:rFonts w:asciiTheme="majorBidi" w:hAnsiTheme="majorBidi" w:cstheme="majorBidi"/>
        </w:rPr>
        <w:t xml:space="preserve">Finanšu un kapitāla tirgus komisijas 2020. gada 22. decembra Uzticības operāciju (trasta) veikšanas normatīvo noteikumu </w:t>
      </w:r>
      <w:r w:rsidR="009E7185">
        <w:rPr>
          <w:rFonts w:asciiTheme="majorBidi" w:hAnsiTheme="majorBidi" w:cstheme="majorBidi"/>
        </w:rPr>
        <w:t>4. un 6. punktā</w:t>
      </w:r>
      <w:r w:rsidR="000C3221">
        <w:rPr>
          <w:rFonts w:asciiTheme="majorBidi" w:hAnsiTheme="majorBidi" w:cstheme="majorBidi"/>
        </w:rPr>
        <w:t xml:space="preserve"> (</w:t>
      </w:r>
      <w:r w:rsidR="000C3221" w:rsidRPr="000E1F5D">
        <w:rPr>
          <w:rFonts w:asciiTheme="majorBidi" w:hAnsiTheme="majorBidi" w:cstheme="majorBidi"/>
          <w:i/>
          <w:iCs/>
        </w:rPr>
        <w:t>spēkā no 2021. gada 13. janvāra līdz 2024. gada 28. novembrim</w:t>
      </w:r>
      <w:r w:rsidR="000C3221">
        <w:rPr>
          <w:rFonts w:asciiTheme="majorBidi" w:hAnsiTheme="majorBidi" w:cstheme="majorBidi"/>
        </w:rPr>
        <w:t>)</w:t>
      </w:r>
      <w:r w:rsidR="009E7185">
        <w:rPr>
          <w:rFonts w:asciiTheme="majorBidi" w:hAnsiTheme="majorBidi" w:cstheme="majorBidi"/>
        </w:rPr>
        <w:t>.</w:t>
      </w:r>
    </w:p>
    <w:p w14:paraId="67D70145" w14:textId="583AE1DF" w:rsidR="009E7185" w:rsidRDefault="009E7185" w:rsidP="008B01ED">
      <w:pPr>
        <w:spacing w:line="276" w:lineRule="auto"/>
        <w:ind w:firstLine="709"/>
        <w:jc w:val="both"/>
        <w:rPr>
          <w:rFonts w:asciiTheme="majorBidi" w:hAnsiTheme="majorBidi" w:cstheme="majorBidi"/>
        </w:rPr>
      </w:pPr>
      <w:r>
        <w:rPr>
          <w:rFonts w:asciiTheme="majorBidi" w:hAnsiTheme="majorBidi" w:cstheme="majorBidi"/>
        </w:rPr>
        <w:t xml:space="preserve">Tāpat abi </w:t>
      </w:r>
      <w:r w:rsidR="007A418F">
        <w:rPr>
          <w:rFonts w:asciiTheme="majorBidi" w:hAnsiTheme="majorBidi" w:cstheme="majorBidi"/>
        </w:rPr>
        <w:t>minētie</w:t>
      </w:r>
      <w:r>
        <w:rPr>
          <w:rFonts w:asciiTheme="majorBidi" w:hAnsiTheme="majorBidi" w:cstheme="majorBidi"/>
        </w:rPr>
        <w:t xml:space="preserve"> </w:t>
      </w:r>
      <w:r w:rsidR="007A418F">
        <w:rPr>
          <w:rFonts w:asciiTheme="majorBidi" w:hAnsiTheme="majorBidi" w:cstheme="majorBidi"/>
        </w:rPr>
        <w:t xml:space="preserve">kredītiestādes veikto </w:t>
      </w:r>
      <w:r w:rsidR="00FF5B52">
        <w:rPr>
          <w:rFonts w:asciiTheme="majorBidi" w:hAnsiTheme="majorBidi" w:cstheme="majorBidi"/>
        </w:rPr>
        <w:t xml:space="preserve">uzticības operāciju </w:t>
      </w:r>
      <w:r>
        <w:rPr>
          <w:rFonts w:asciiTheme="majorBidi" w:hAnsiTheme="majorBidi" w:cstheme="majorBidi"/>
        </w:rPr>
        <w:t>pamatprincipi ir paredzēt</w:t>
      </w:r>
      <w:r w:rsidR="00FF5B52">
        <w:rPr>
          <w:rFonts w:asciiTheme="majorBidi" w:hAnsiTheme="majorBidi" w:cstheme="majorBidi"/>
        </w:rPr>
        <w:t>i</w:t>
      </w:r>
      <w:r>
        <w:rPr>
          <w:rFonts w:asciiTheme="majorBidi" w:hAnsiTheme="majorBidi" w:cstheme="majorBidi"/>
        </w:rPr>
        <w:t xml:space="preserve"> šobrīd spēkā esošo Latvijas Bankas 2024. gada 25. novembra Uzticības operāciju noteikumu 5. un 9. punktā</w:t>
      </w:r>
      <w:r w:rsidR="000C3221">
        <w:rPr>
          <w:rFonts w:asciiTheme="majorBidi" w:hAnsiTheme="majorBidi" w:cstheme="majorBidi"/>
        </w:rPr>
        <w:t xml:space="preserve"> (</w:t>
      </w:r>
      <w:r w:rsidR="000C3221" w:rsidRPr="009E7185">
        <w:rPr>
          <w:rFonts w:asciiTheme="majorBidi" w:hAnsiTheme="majorBidi" w:cstheme="majorBidi"/>
          <w:i/>
          <w:iCs/>
        </w:rPr>
        <w:t>spēkā no 2024. gada 29. novembra</w:t>
      </w:r>
      <w:r w:rsidR="000C3221">
        <w:rPr>
          <w:rFonts w:asciiTheme="majorBidi" w:hAnsiTheme="majorBidi" w:cstheme="majorBidi"/>
        </w:rPr>
        <w:t>).</w:t>
      </w:r>
    </w:p>
    <w:p w14:paraId="312CFE60" w14:textId="470D9C7C" w:rsidR="00AB4ED5" w:rsidRDefault="009E7185" w:rsidP="008B01ED">
      <w:pPr>
        <w:spacing w:line="276" w:lineRule="auto"/>
        <w:ind w:firstLine="709"/>
        <w:jc w:val="both"/>
        <w:rPr>
          <w:rFonts w:asciiTheme="majorBidi" w:hAnsiTheme="majorBidi" w:cstheme="majorBidi"/>
        </w:rPr>
      </w:pPr>
      <w:r>
        <w:rPr>
          <w:rFonts w:asciiTheme="majorBidi" w:hAnsiTheme="majorBidi" w:cstheme="majorBidi"/>
        </w:rPr>
        <w:t>[2.3] </w:t>
      </w:r>
      <w:r w:rsidR="00C85885">
        <w:rPr>
          <w:rFonts w:asciiTheme="majorBidi" w:hAnsiTheme="majorBidi" w:cstheme="majorBidi"/>
        </w:rPr>
        <w:t xml:space="preserve">Tādējādi vienīgi tad, ja </w:t>
      </w:r>
      <w:r w:rsidR="005C55C7">
        <w:rPr>
          <w:rFonts w:asciiTheme="majorBidi" w:hAnsiTheme="majorBidi" w:cstheme="majorBidi"/>
        </w:rPr>
        <w:t xml:space="preserve">konkrētajā gadījumā izpildās visi </w:t>
      </w:r>
      <w:r w:rsidR="00B754DD">
        <w:rPr>
          <w:rFonts w:asciiTheme="majorBidi" w:hAnsiTheme="majorBidi" w:cstheme="majorBidi"/>
        </w:rPr>
        <w:t xml:space="preserve">iepriekš aplūkotajā tiesiskajā regulējumā paredzētie </w:t>
      </w:r>
      <w:r w:rsidR="005C55C7">
        <w:rPr>
          <w:rFonts w:asciiTheme="majorBidi" w:hAnsiTheme="majorBidi" w:cstheme="majorBidi"/>
        </w:rPr>
        <w:t xml:space="preserve">priekšnoteikumi, lai </w:t>
      </w:r>
      <w:r w:rsidR="000C3221">
        <w:rPr>
          <w:rFonts w:asciiTheme="majorBidi" w:hAnsiTheme="majorBidi" w:cstheme="majorBidi"/>
        </w:rPr>
        <w:t>attiecīgos</w:t>
      </w:r>
      <w:r w:rsidR="005C55C7">
        <w:rPr>
          <w:rFonts w:asciiTheme="majorBidi" w:hAnsiTheme="majorBidi" w:cstheme="majorBidi"/>
        </w:rPr>
        <w:t xml:space="preserve"> </w:t>
      </w:r>
      <w:r w:rsidR="00AB4ED5">
        <w:rPr>
          <w:rFonts w:asciiTheme="majorBidi" w:hAnsiTheme="majorBidi" w:cstheme="majorBidi"/>
        </w:rPr>
        <w:t>mantiskos labumus</w:t>
      </w:r>
      <w:r w:rsidR="005C55C7">
        <w:rPr>
          <w:rFonts w:asciiTheme="majorBidi" w:hAnsiTheme="majorBidi" w:cstheme="majorBidi"/>
        </w:rPr>
        <w:t xml:space="preserve"> varētu juridiski kvalificēt kā </w:t>
      </w:r>
      <w:r w:rsidR="00B754DD">
        <w:rPr>
          <w:rFonts w:asciiTheme="majorBidi" w:hAnsiTheme="majorBidi" w:cstheme="majorBidi"/>
        </w:rPr>
        <w:t xml:space="preserve">tādus </w:t>
      </w:r>
      <w:r w:rsidR="005C55C7">
        <w:rPr>
          <w:rFonts w:asciiTheme="majorBidi" w:hAnsiTheme="majorBidi" w:cstheme="majorBidi"/>
        </w:rPr>
        <w:t>klientam piederošu</w:t>
      </w:r>
      <w:r w:rsidR="00B754DD">
        <w:rPr>
          <w:rFonts w:asciiTheme="majorBidi" w:hAnsiTheme="majorBidi" w:cstheme="majorBidi"/>
        </w:rPr>
        <w:t>s aktīvus, kuri</w:t>
      </w:r>
      <w:r w:rsidR="005C55C7">
        <w:rPr>
          <w:rFonts w:asciiTheme="majorBidi" w:hAnsiTheme="majorBidi" w:cstheme="majorBidi"/>
        </w:rPr>
        <w:t xml:space="preserve"> uz rakstiskā formā noslēgta un spēkā esoša fiduciārā līguma pamata </w:t>
      </w:r>
      <w:r w:rsidR="00B754DD">
        <w:rPr>
          <w:rFonts w:asciiTheme="majorBidi" w:hAnsiTheme="majorBidi" w:cstheme="majorBidi"/>
        </w:rPr>
        <w:t>ir uzticēti kredītiestādei, lai tā tos pārvaldītu savā vārdā, taču klienta interesēs un uz viņa rēķina, turklāt šķirti no pašas kredītiestādes mantas, īstenojot uzticēto aktīvu un ar tiem veikto uzticības operāciju nodalītu uzskaiti</w:t>
      </w:r>
      <w:r w:rsidR="00696A5A">
        <w:rPr>
          <w:rFonts w:asciiTheme="majorBidi" w:hAnsiTheme="majorBidi" w:cstheme="majorBidi"/>
        </w:rPr>
        <w:t xml:space="preserve"> kredītiestādes uzskaites sistēmā</w:t>
      </w:r>
      <w:r w:rsidR="00B754DD">
        <w:rPr>
          <w:rFonts w:asciiTheme="majorBidi" w:hAnsiTheme="majorBidi" w:cstheme="majorBidi"/>
        </w:rPr>
        <w:t xml:space="preserve">, </w:t>
      </w:r>
      <w:r w:rsidR="00852906">
        <w:rPr>
          <w:rFonts w:asciiTheme="majorBidi" w:hAnsiTheme="majorBidi" w:cstheme="majorBidi"/>
        </w:rPr>
        <w:t xml:space="preserve">saskaņā ar </w:t>
      </w:r>
      <w:r w:rsidR="00AB4ED5">
        <w:rPr>
          <w:rFonts w:asciiTheme="majorBidi" w:hAnsiTheme="majorBidi" w:cstheme="majorBidi"/>
        </w:rPr>
        <w:t xml:space="preserve">Kredītiestāžu likuma 172. pantu administrators ir kompetents šādus aktīvus neiekļaut maksātnespējīgās kredītiestādes mantas sarakstā un nodrošināt </w:t>
      </w:r>
      <w:r w:rsidR="007A418F">
        <w:rPr>
          <w:rFonts w:asciiTheme="majorBidi" w:hAnsiTheme="majorBidi" w:cstheme="majorBidi"/>
        </w:rPr>
        <w:t xml:space="preserve">to </w:t>
      </w:r>
      <w:r w:rsidR="00AB4ED5">
        <w:rPr>
          <w:rFonts w:asciiTheme="majorBidi" w:hAnsiTheme="majorBidi" w:cstheme="majorBidi"/>
        </w:rPr>
        <w:t>uzturēšanu uz tiesīgās personas rēķina līdz atdošanai pēc piederības.</w:t>
      </w:r>
    </w:p>
    <w:p w14:paraId="3E9BC7AB" w14:textId="07B43CFB" w:rsidR="00472A42" w:rsidRDefault="00480FAE" w:rsidP="008B01ED">
      <w:pPr>
        <w:spacing w:line="276" w:lineRule="auto"/>
        <w:ind w:firstLine="709"/>
        <w:jc w:val="both"/>
        <w:rPr>
          <w:rFonts w:asciiTheme="majorBidi" w:hAnsiTheme="majorBidi" w:cstheme="majorBidi"/>
        </w:rPr>
      </w:pPr>
      <w:r>
        <w:rPr>
          <w:rFonts w:asciiTheme="majorBidi" w:hAnsiTheme="majorBidi" w:cstheme="majorBidi"/>
        </w:rPr>
        <w:t>[2.4] </w:t>
      </w:r>
      <w:r w:rsidR="0088155D">
        <w:rPr>
          <w:rFonts w:asciiTheme="majorBidi" w:hAnsiTheme="majorBidi" w:cstheme="majorBidi"/>
        </w:rPr>
        <w:t xml:space="preserve">Šajā ziņā </w:t>
      </w:r>
      <w:r w:rsidR="0008486A">
        <w:rPr>
          <w:rFonts w:asciiTheme="majorBidi" w:hAnsiTheme="majorBidi" w:cstheme="majorBidi"/>
        </w:rPr>
        <w:t>ir</w:t>
      </w:r>
      <w:r w:rsidR="0088155D">
        <w:rPr>
          <w:rFonts w:asciiTheme="majorBidi" w:hAnsiTheme="majorBidi" w:cstheme="majorBidi"/>
        </w:rPr>
        <w:t xml:space="preserve"> </w:t>
      </w:r>
      <w:r w:rsidR="0008486A">
        <w:rPr>
          <w:rFonts w:asciiTheme="majorBidi" w:hAnsiTheme="majorBidi" w:cstheme="majorBidi"/>
        </w:rPr>
        <w:t>ne</w:t>
      </w:r>
      <w:r w:rsidR="0088155D">
        <w:rPr>
          <w:rFonts w:asciiTheme="majorBidi" w:hAnsiTheme="majorBidi" w:cstheme="majorBidi"/>
        </w:rPr>
        <w:t xml:space="preserve">pamatots kasācijas sūdzībā izteiktais pārmetums, ka tiesa kļūdaini nav ņēmusi vērā Senāta judikatūras atziņas, kuras veltītas fiduciārā darījuma institūtam. </w:t>
      </w:r>
    </w:p>
    <w:p w14:paraId="3A21F1F0" w14:textId="338FF3FA" w:rsidR="00880F58" w:rsidRDefault="0088155D" w:rsidP="008B01ED">
      <w:pPr>
        <w:spacing w:line="276" w:lineRule="auto"/>
        <w:ind w:firstLine="709"/>
        <w:jc w:val="both"/>
        <w:rPr>
          <w:rFonts w:asciiTheme="majorBidi" w:hAnsiTheme="majorBidi" w:cstheme="majorBidi"/>
        </w:rPr>
      </w:pPr>
      <w:r>
        <w:rPr>
          <w:rFonts w:asciiTheme="majorBidi" w:hAnsiTheme="majorBidi" w:cstheme="majorBidi"/>
        </w:rPr>
        <w:t>Nevienā no kasācijas sūdzībā pieminētajiem spriedumiem Senātam nav bijusi nepieciešamība iztulkot Kredītiestāžu likuma 1. panta 14.</w:t>
      </w:r>
      <w:r>
        <w:t> punkta normu kopsakarā ar šajā normā definētā finanšu pakalpojum</w:t>
      </w:r>
      <w:r w:rsidR="0008486A">
        <w:t>u</w:t>
      </w:r>
      <w:r>
        <w:t xml:space="preserve"> veida – </w:t>
      </w:r>
      <w:r w:rsidR="00472A42">
        <w:t>„</w:t>
      </w:r>
      <w:r>
        <w:t>uzticības operācij</w:t>
      </w:r>
      <w:r w:rsidR="00696A5A">
        <w:t>as</w:t>
      </w:r>
      <w:r>
        <w:t xml:space="preserve"> (trast</w:t>
      </w:r>
      <w:r w:rsidR="00696A5A">
        <w:t>s</w:t>
      </w:r>
      <w:r>
        <w:t>)</w:t>
      </w:r>
      <w:r w:rsidR="00472A42">
        <w:t>”</w:t>
      </w:r>
      <w:r>
        <w:t xml:space="preserve"> – veikšanas speciālo regulējumu, kas ietverts kredītiestāžu darbību uzraugošās iestādes izdotajos normatīvajos noteikumos (konkrētajā gadījumā – </w:t>
      </w:r>
      <w:r>
        <w:rPr>
          <w:rFonts w:asciiTheme="majorBidi" w:hAnsiTheme="majorBidi" w:cstheme="majorBidi"/>
        </w:rPr>
        <w:t xml:space="preserve">Uzticības operāciju noteikumos, kas </w:t>
      </w:r>
      <w:r w:rsidRPr="00EE049E">
        <w:rPr>
          <w:rFonts w:asciiTheme="majorBidi" w:hAnsiTheme="majorBidi" w:cstheme="majorBidi"/>
        </w:rPr>
        <w:t>apstiprināti ar Finanšu un kapitāla tirgus komisijas padomes 2001. gada 21. decembra lēmumu Nr. 24/11</w:t>
      </w:r>
      <w:r>
        <w:rPr>
          <w:rFonts w:asciiTheme="majorBidi" w:hAnsiTheme="majorBidi" w:cstheme="majorBidi"/>
        </w:rPr>
        <w:t>)</w:t>
      </w:r>
      <w:r w:rsidR="007E0E17">
        <w:rPr>
          <w:rFonts w:asciiTheme="majorBidi" w:hAnsiTheme="majorBidi" w:cstheme="majorBidi"/>
        </w:rPr>
        <w:t>. Tāpat nevienā no kasācijas sūdzībā pieminētajiem spriedumiem Senātam nav bijusi nepieciešamība iztulkot Kredītiestāžu likuma 172. panta normu kopsakarā ar iepriekšminēto speciālo regulējumu, kas piemērojams kredītiestādes veiktajām uzticības operācijām</w:t>
      </w:r>
      <w:r w:rsidR="0008486A">
        <w:rPr>
          <w:rFonts w:asciiTheme="majorBidi" w:hAnsiTheme="majorBidi" w:cstheme="majorBidi"/>
        </w:rPr>
        <w:t xml:space="preserve"> (trastam)</w:t>
      </w:r>
      <w:r>
        <w:rPr>
          <w:rFonts w:asciiTheme="majorBidi" w:hAnsiTheme="majorBidi" w:cstheme="majorBidi"/>
        </w:rPr>
        <w:t>.</w:t>
      </w:r>
      <w:r w:rsidR="00F05D89">
        <w:rPr>
          <w:rFonts w:asciiTheme="majorBidi" w:hAnsiTheme="majorBidi" w:cstheme="majorBidi"/>
        </w:rPr>
        <w:t xml:space="preserve"> </w:t>
      </w:r>
    </w:p>
    <w:p w14:paraId="19096BB4" w14:textId="3ED8012F" w:rsidR="00880F58" w:rsidRPr="00880F58" w:rsidRDefault="007E0E17" w:rsidP="008B01ED">
      <w:pPr>
        <w:spacing w:line="276" w:lineRule="auto"/>
        <w:ind w:firstLine="709"/>
        <w:jc w:val="both"/>
        <w:rPr>
          <w:rFonts w:asciiTheme="majorBidi" w:hAnsiTheme="majorBidi" w:cstheme="majorBidi"/>
        </w:rPr>
      </w:pPr>
      <w:r>
        <w:rPr>
          <w:rFonts w:asciiTheme="majorBidi" w:hAnsiTheme="majorBidi" w:cstheme="majorBidi"/>
        </w:rPr>
        <w:t>Turklāt u</w:t>
      </w:r>
      <w:r w:rsidR="00F05D89">
        <w:rPr>
          <w:rFonts w:asciiTheme="majorBidi" w:hAnsiTheme="majorBidi" w:cstheme="majorBidi"/>
        </w:rPr>
        <w:t xml:space="preserve">z </w:t>
      </w:r>
      <w:r w:rsidR="00880F58">
        <w:rPr>
          <w:rFonts w:asciiTheme="majorBidi" w:hAnsiTheme="majorBidi" w:cstheme="majorBidi"/>
        </w:rPr>
        <w:t xml:space="preserve">tādu </w:t>
      </w:r>
      <w:r>
        <w:rPr>
          <w:rFonts w:asciiTheme="majorBidi" w:hAnsiTheme="majorBidi" w:cstheme="majorBidi"/>
        </w:rPr>
        <w:t>trasta jeb fiduciāro līgumu</w:t>
      </w:r>
      <w:r w:rsidR="00880F58">
        <w:rPr>
          <w:rFonts w:asciiTheme="majorBidi" w:hAnsiTheme="majorBidi" w:cstheme="majorBidi"/>
        </w:rPr>
        <w:t xml:space="preserve">, kuru slēdz kredītiestāde ar tās klientu par uzticības operāciju </w:t>
      </w:r>
      <w:r w:rsidR="00472A42">
        <w:rPr>
          <w:rFonts w:asciiTheme="majorBidi" w:hAnsiTheme="majorBidi" w:cstheme="majorBidi"/>
        </w:rPr>
        <w:t xml:space="preserve">(trasta) </w:t>
      </w:r>
      <w:r w:rsidR="00880F58">
        <w:rPr>
          <w:rFonts w:asciiTheme="majorBidi" w:hAnsiTheme="majorBidi" w:cstheme="majorBidi"/>
        </w:rPr>
        <w:t>veikšanu,</w:t>
      </w:r>
      <w:r>
        <w:rPr>
          <w:rFonts w:asciiTheme="majorBidi" w:hAnsiTheme="majorBidi" w:cstheme="majorBidi"/>
        </w:rPr>
        <w:t xml:space="preserve"> tostarp nav attiecināma Senāta judikatūras</w:t>
      </w:r>
      <w:r w:rsidR="00D27E70">
        <w:rPr>
          <w:rFonts w:asciiTheme="majorBidi" w:hAnsiTheme="majorBidi" w:cstheme="majorBidi"/>
        </w:rPr>
        <w:t xml:space="preserve"> </w:t>
      </w:r>
      <w:r>
        <w:rPr>
          <w:rFonts w:asciiTheme="majorBidi" w:hAnsiTheme="majorBidi" w:cstheme="majorBidi"/>
        </w:rPr>
        <w:t xml:space="preserve">atziņa, ka </w:t>
      </w:r>
      <w:r w:rsidR="00880F58">
        <w:rPr>
          <w:rFonts w:asciiTheme="majorBidi" w:hAnsiTheme="majorBidi" w:cstheme="majorBidi"/>
        </w:rPr>
        <w:t xml:space="preserve">atbilstoši līgumu formas brīvības principam </w:t>
      </w:r>
      <w:r w:rsidR="00472A42">
        <w:rPr>
          <w:rFonts w:asciiTheme="majorBidi" w:hAnsiTheme="majorBidi" w:cstheme="majorBidi"/>
        </w:rPr>
        <w:t xml:space="preserve">fiduciārus darījumus </w:t>
      </w:r>
      <w:r w:rsidR="00880F58">
        <w:rPr>
          <w:rFonts w:asciiTheme="majorBidi" w:hAnsiTheme="majorBidi" w:cstheme="majorBidi"/>
        </w:rPr>
        <w:t xml:space="preserve">ir iespējams noslēgt jebkādā formā, arī mutvārdos (sk. </w:t>
      </w:r>
      <w:r w:rsidR="00880F58" w:rsidRPr="00880F58">
        <w:rPr>
          <w:rFonts w:asciiTheme="majorBidi" w:hAnsiTheme="majorBidi" w:cstheme="majorBidi"/>
          <w:i/>
          <w:iCs/>
        </w:rPr>
        <w:t>Senāta 2025. gada 15. maija sprieduma lietā Nr. SKC-131/2025, ECLI:LV:AT:2025:0515.C21048117.44.S, 8.3. punktu</w:t>
      </w:r>
      <w:r w:rsidR="00880F58">
        <w:rPr>
          <w:rFonts w:asciiTheme="majorBidi" w:hAnsiTheme="majorBidi" w:cstheme="majorBidi"/>
        </w:rPr>
        <w:t xml:space="preserve">), jo </w:t>
      </w:r>
      <w:r w:rsidR="00D27E70">
        <w:rPr>
          <w:rFonts w:asciiTheme="majorBidi" w:hAnsiTheme="majorBidi" w:cstheme="majorBidi"/>
        </w:rPr>
        <w:t xml:space="preserve">iepriekšminētajam </w:t>
      </w:r>
      <w:r w:rsidR="00877326">
        <w:rPr>
          <w:rFonts w:asciiTheme="majorBidi" w:hAnsiTheme="majorBidi" w:cstheme="majorBidi"/>
        </w:rPr>
        <w:t>fiduciārajam</w:t>
      </w:r>
      <w:r w:rsidR="00480FAE">
        <w:rPr>
          <w:rFonts w:asciiTheme="majorBidi" w:hAnsiTheme="majorBidi" w:cstheme="majorBidi"/>
        </w:rPr>
        <w:t xml:space="preserve"> </w:t>
      </w:r>
      <w:r w:rsidR="00880F58">
        <w:rPr>
          <w:rFonts w:asciiTheme="majorBidi" w:hAnsiTheme="majorBidi" w:cstheme="majorBidi"/>
        </w:rPr>
        <w:t xml:space="preserve">līgumam </w:t>
      </w:r>
      <w:r w:rsidR="00480FAE">
        <w:rPr>
          <w:rFonts w:asciiTheme="majorBidi" w:hAnsiTheme="majorBidi" w:cstheme="majorBidi"/>
        </w:rPr>
        <w:t xml:space="preserve">starp kredītiestādi un tās klientu </w:t>
      </w:r>
      <w:r w:rsidR="00D27E70">
        <w:rPr>
          <w:rFonts w:asciiTheme="majorBidi" w:hAnsiTheme="majorBidi" w:cstheme="majorBidi"/>
        </w:rPr>
        <w:t xml:space="preserve">ir </w:t>
      </w:r>
      <w:r w:rsidR="00880F58">
        <w:rPr>
          <w:rFonts w:asciiTheme="majorBidi" w:hAnsiTheme="majorBidi" w:cstheme="majorBidi"/>
        </w:rPr>
        <w:t>nepieciešama rakstiska form</w:t>
      </w:r>
      <w:r w:rsidR="00480FAE">
        <w:rPr>
          <w:rFonts w:asciiTheme="majorBidi" w:hAnsiTheme="majorBidi" w:cstheme="majorBidi"/>
        </w:rPr>
        <w:t>a</w:t>
      </w:r>
      <w:r w:rsidR="00880F58">
        <w:rPr>
          <w:rFonts w:asciiTheme="majorBidi" w:hAnsiTheme="majorBidi" w:cstheme="majorBidi"/>
        </w:rPr>
        <w:t xml:space="preserve"> (sk. </w:t>
      </w:r>
      <w:r w:rsidR="00880F58" w:rsidRPr="00480FAE">
        <w:rPr>
          <w:rFonts w:asciiTheme="majorBidi" w:hAnsiTheme="majorBidi" w:cstheme="majorBidi"/>
          <w:i/>
          <w:iCs/>
        </w:rPr>
        <w:t xml:space="preserve">šā lēmuma </w:t>
      </w:r>
      <w:r w:rsidR="00480FAE" w:rsidRPr="00480FAE">
        <w:rPr>
          <w:rFonts w:asciiTheme="majorBidi" w:hAnsiTheme="majorBidi" w:cstheme="majorBidi"/>
          <w:i/>
          <w:iCs/>
        </w:rPr>
        <w:t>2.2.2. un 2.2.3. punktu</w:t>
      </w:r>
      <w:r w:rsidR="00480FAE">
        <w:rPr>
          <w:rFonts w:asciiTheme="majorBidi" w:hAnsiTheme="majorBidi" w:cstheme="majorBidi"/>
        </w:rPr>
        <w:t>).</w:t>
      </w:r>
    </w:p>
    <w:p w14:paraId="48BE68DB" w14:textId="5FDB2F37" w:rsidR="0088155D" w:rsidRDefault="0088155D" w:rsidP="008B01ED">
      <w:pPr>
        <w:spacing w:line="276" w:lineRule="auto"/>
        <w:ind w:firstLine="709"/>
        <w:jc w:val="both"/>
        <w:rPr>
          <w:rFonts w:asciiTheme="majorBidi" w:hAnsiTheme="majorBidi" w:cstheme="majorBidi"/>
        </w:rPr>
      </w:pPr>
      <w:r>
        <w:rPr>
          <w:rFonts w:asciiTheme="majorBidi" w:hAnsiTheme="majorBidi" w:cstheme="majorBidi"/>
        </w:rPr>
        <w:lastRenderedPageBreak/>
        <w:t>[2.</w:t>
      </w:r>
      <w:r w:rsidR="00480FAE">
        <w:rPr>
          <w:rFonts w:asciiTheme="majorBidi" w:hAnsiTheme="majorBidi" w:cstheme="majorBidi"/>
        </w:rPr>
        <w:t>5</w:t>
      </w:r>
      <w:r>
        <w:rPr>
          <w:rFonts w:asciiTheme="majorBidi" w:hAnsiTheme="majorBidi" w:cstheme="majorBidi"/>
        </w:rPr>
        <w:t>] </w:t>
      </w:r>
      <w:r w:rsidR="006904F3">
        <w:rPr>
          <w:rFonts w:asciiTheme="majorBidi" w:hAnsiTheme="majorBidi" w:cstheme="majorBidi"/>
        </w:rPr>
        <w:t xml:space="preserve">Izskatāmajā lietā tiesa, noskaidrojot gan to, ka pušu starpā noslēgtajos aktīvu uzticības pārvaldīšanas līgumos, t. i., sākotnēji 2005. gada 6. jūnijā noslēgtajā līgumā Nr. 15/06/05 un pēc tam 2014. gada 23. jūlijā noslēgtajā līgumā Nr. 06/31/14, bija </w:t>
      </w:r>
      <w:r w:rsidR="00877326">
        <w:rPr>
          <w:rFonts w:asciiTheme="majorBidi" w:hAnsiTheme="majorBidi" w:cstheme="majorBidi"/>
        </w:rPr>
        <w:t>pielīgta</w:t>
      </w:r>
      <w:r w:rsidR="006904F3">
        <w:rPr>
          <w:rFonts w:asciiTheme="majorBidi" w:hAnsiTheme="majorBidi" w:cstheme="majorBidi"/>
        </w:rPr>
        <w:t xml:space="preserve"> vienīgi </w:t>
      </w:r>
      <w:r w:rsidR="00877326">
        <w:rPr>
          <w:rFonts w:asciiTheme="majorBidi" w:hAnsiTheme="majorBidi" w:cstheme="majorBidi"/>
        </w:rPr>
        <w:t xml:space="preserve">prasītāja </w:t>
      </w:r>
      <w:r w:rsidR="006904F3">
        <w:rPr>
          <w:rFonts w:asciiTheme="majorBidi" w:hAnsiTheme="majorBidi" w:cstheme="majorBidi"/>
        </w:rPr>
        <w:t xml:space="preserve">naudas līdzekļu un finanšu instrumentu </w:t>
      </w:r>
      <w:r w:rsidR="00877326">
        <w:rPr>
          <w:rFonts w:asciiTheme="majorBidi" w:hAnsiTheme="majorBidi" w:cstheme="majorBidi"/>
        </w:rPr>
        <w:t xml:space="preserve">– </w:t>
      </w:r>
      <w:r w:rsidR="00480FAE">
        <w:rPr>
          <w:rFonts w:asciiTheme="majorBidi" w:hAnsiTheme="majorBidi" w:cstheme="majorBidi"/>
        </w:rPr>
        <w:t xml:space="preserve">kā </w:t>
      </w:r>
      <w:r w:rsidR="00877326">
        <w:rPr>
          <w:rFonts w:asciiTheme="majorBidi" w:hAnsiTheme="majorBidi" w:cstheme="majorBidi"/>
        </w:rPr>
        <w:t xml:space="preserve">klienta </w:t>
      </w:r>
      <w:r w:rsidR="00480FAE">
        <w:rPr>
          <w:rFonts w:asciiTheme="majorBidi" w:hAnsiTheme="majorBidi" w:cstheme="majorBidi"/>
        </w:rPr>
        <w:t xml:space="preserve">„aktīvu” </w:t>
      </w:r>
      <w:r w:rsidR="00877326">
        <w:rPr>
          <w:rFonts w:asciiTheme="majorBidi" w:hAnsiTheme="majorBidi" w:cstheme="majorBidi"/>
        </w:rPr>
        <w:t xml:space="preserve">– </w:t>
      </w:r>
      <w:r w:rsidR="006904F3">
        <w:rPr>
          <w:rFonts w:asciiTheme="majorBidi" w:hAnsiTheme="majorBidi" w:cstheme="majorBidi"/>
        </w:rPr>
        <w:t xml:space="preserve">uzticības pārvaldīšana, gan to, ka jau 2015. gada 26. februārī pats prasītājs vienpusēji izbeidza 2014. gada 23. jūlijā noslēgto līgumu Nr. 06/31/14, tādējādi izbeidzot līdz tam </w:t>
      </w:r>
      <w:r>
        <w:rPr>
          <w:rFonts w:asciiTheme="majorBidi" w:hAnsiTheme="majorBidi" w:cstheme="majorBidi"/>
        </w:rPr>
        <w:t xml:space="preserve">pušu starpā </w:t>
      </w:r>
      <w:r w:rsidR="006904F3">
        <w:rPr>
          <w:rFonts w:asciiTheme="majorBidi" w:hAnsiTheme="majorBidi" w:cstheme="majorBidi"/>
        </w:rPr>
        <w:t xml:space="preserve">pastāvējušās </w:t>
      </w:r>
      <w:r>
        <w:rPr>
          <w:rFonts w:asciiTheme="majorBidi" w:hAnsiTheme="majorBidi" w:cstheme="majorBidi"/>
        </w:rPr>
        <w:t>trasta jeb fiduciārās attiecības</w:t>
      </w:r>
      <w:r w:rsidR="00D27E70">
        <w:rPr>
          <w:rFonts w:asciiTheme="majorBidi" w:hAnsiTheme="majorBidi" w:cstheme="majorBidi"/>
        </w:rPr>
        <w:t xml:space="preserve"> (sk. </w:t>
      </w:r>
      <w:r w:rsidR="00D27E70" w:rsidRPr="00D27E70">
        <w:rPr>
          <w:rFonts w:asciiTheme="majorBidi" w:hAnsiTheme="majorBidi" w:cstheme="majorBidi"/>
          <w:i/>
          <w:iCs/>
        </w:rPr>
        <w:t>šā lēmuma 2.1. punktu</w:t>
      </w:r>
      <w:r w:rsidR="00D27E70">
        <w:rPr>
          <w:rFonts w:asciiTheme="majorBidi" w:hAnsiTheme="majorBidi" w:cstheme="majorBidi"/>
        </w:rPr>
        <w:t>)</w:t>
      </w:r>
      <w:r>
        <w:rPr>
          <w:rFonts w:asciiTheme="majorBidi" w:hAnsiTheme="majorBidi" w:cstheme="majorBidi"/>
        </w:rPr>
        <w:t xml:space="preserve">, pamatoti ir nonākusi pie secinājuma, ka </w:t>
      </w:r>
      <w:r w:rsidR="00480FAE">
        <w:rPr>
          <w:rFonts w:asciiTheme="majorBidi" w:hAnsiTheme="majorBidi" w:cstheme="majorBidi"/>
        </w:rPr>
        <w:t xml:space="preserve">prasītāja </w:t>
      </w:r>
      <w:r>
        <w:rPr>
          <w:rFonts w:asciiTheme="majorBidi" w:hAnsiTheme="majorBidi" w:cstheme="majorBidi"/>
        </w:rPr>
        <w:t xml:space="preserve">celtā prasība </w:t>
      </w:r>
      <w:r w:rsidR="00480FAE">
        <w:rPr>
          <w:rFonts w:asciiTheme="majorBidi" w:hAnsiTheme="majorBidi" w:cstheme="majorBidi"/>
        </w:rPr>
        <w:t xml:space="preserve">par īpašuma tiesības atzīšanu un valdījuma piešķiršanu uz strīdus zelta stieņiem </w:t>
      </w:r>
      <w:r>
        <w:rPr>
          <w:rFonts w:asciiTheme="majorBidi" w:hAnsiTheme="majorBidi" w:cstheme="majorBidi"/>
        </w:rPr>
        <w:t>ir noraidāma.</w:t>
      </w:r>
    </w:p>
    <w:p w14:paraId="7DE16C0F" w14:textId="77777777" w:rsidR="00480FAE" w:rsidRDefault="00480FAE" w:rsidP="008B01ED">
      <w:pPr>
        <w:spacing w:line="276" w:lineRule="auto"/>
        <w:ind w:firstLine="709"/>
        <w:jc w:val="both"/>
        <w:rPr>
          <w:rFonts w:asciiTheme="majorBidi" w:hAnsiTheme="majorBidi" w:cstheme="majorBidi"/>
        </w:rPr>
      </w:pPr>
    </w:p>
    <w:p w14:paraId="012B0C5A" w14:textId="38309BCF" w:rsidR="00480FAE" w:rsidRDefault="00480FAE" w:rsidP="008B01ED">
      <w:pPr>
        <w:spacing w:line="276" w:lineRule="auto"/>
        <w:ind w:firstLine="709"/>
        <w:jc w:val="both"/>
        <w:rPr>
          <w:rFonts w:asciiTheme="majorBidi" w:hAnsiTheme="majorBidi" w:cstheme="majorBidi"/>
        </w:rPr>
      </w:pPr>
      <w:r>
        <w:rPr>
          <w:rFonts w:asciiTheme="majorBidi" w:hAnsiTheme="majorBidi" w:cstheme="majorBidi"/>
        </w:rPr>
        <w:t>[3] Pārējie k</w:t>
      </w:r>
      <w:r w:rsidR="00B8566D" w:rsidRPr="00B8566D">
        <w:rPr>
          <w:rFonts w:asciiTheme="majorBidi" w:hAnsiTheme="majorBidi" w:cstheme="majorBidi"/>
        </w:rPr>
        <w:t>asācijas sūdzīb</w:t>
      </w:r>
      <w:r w:rsidR="00472A42">
        <w:rPr>
          <w:rFonts w:asciiTheme="majorBidi" w:hAnsiTheme="majorBidi" w:cstheme="majorBidi"/>
        </w:rPr>
        <w:t>as argumenti</w:t>
      </w:r>
      <w:r w:rsidR="00B858E2">
        <w:rPr>
          <w:rFonts w:asciiTheme="majorBidi" w:hAnsiTheme="majorBidi" w:cstheme="majorBidi"/>
        </w:rPr>
        <w:t xml:space="preserve"> par to,</w:t>
      </w:r>
      <w:r w:rsidR="00472A42">
        <w:rPr>
          <w:rFonts w:asciiTheme="majorBidi" w:hAnsiTheme="majorBidi" w:cstheme="majorBidi"/>
        </w:rPr>
        <w:t xml:space="preserve"> ka tiesa, noskaidrojot pušu starpā noslēgto abu līgumu priekšmetu un otrā līguma vienpusējas izbeigšanas tiesiskās sekas, esot kļūdījusies pierādījumu novērtēšanā un sprieduma motivēšanā, </w:t>
      </w:r>
      <w:r w:rsidR="00B8566D" w:rsidRPr="00B8566D">
        <w:rPr>
          <w:rFonts w:asciiTheme="majorBidi" w:hAnsiTheme="majorBidi" w:cstheme="majorBidi"/>
        </w:rPr>
        <w:t xml:space="preserve">būtībā ir vērsti uz pierādījumu pārvērtēšanu un lietas apstākļu izvērtēšanu no jauna, kas atbilstoši Civilprocesa likuma 450. panta trešās daļas, 451. panta un 452. panta noteikumiem nav kasācijas instances tiesas kompetencē. </w:t>
      </w:r>
    </w:p>
    <w:p w14:paraId="777C6662" w14:textId="523CCA55" w:rsidR="00B8566D" w:rsidRPr="00B8566D" w:rsidRDefault="00B8566D" w:rsidP="008B01ED">
      <w:pPr>
        <w:spacing w:line="276" w:lineRule="auto"/>
        <w:ind w:firstLine="709"/>
        <w:jc w:val="both"/>
        <w:rPr>
          <w:rFonts w:asciiTheme="majorBidi" w:hAnsiTheme="majorBidi" w:cstheme="majorBidi"/>
        </w:rPr>
      </w:pPr>
      <w:r w:rsidRPr="00B8566D">
        <w:rPr>
          <w:rFonts w:asciiTheme="majorBidi" w:hAnsiTheme="majorBidi" w:cstheme="majorBidi"/>
        </w:rPr>
        <w:t>Kasācijas sūdzības iesniedzēja subjektīvs redzējums par lietas apstākļiem un to nozīmību strīda pareizā izšķiršanā, kas atšķiras no spriedumā dotā šo pašu apstākļu juridiskā novērtējuma, nerada pamatu tiesas secinājumu apšaubīšanai vai sprieduma atcelšanai.</w:t>
      </w:r>
    </w:p>
    <w:p w14:paraId="7F8A0CB2" w14:textId="77777777" w:rsidR="00480FAE" w:rsidRDefault="00480FAE" w:rsidP="008B01ED">
      <w:pPr>
        <w:spacing w:line="276" w:lineRule="auto"/>
        <w:ind w:firstLine="709"/>
        <w:jc w:val="both"/>
        <w:rPr>
          <w:rFonts w:asciiTheme="majorBidi" w:hAnsiTheme="majorBidi" w:cstheme="majorBidi"/>
        </w:rPr>
      </w:pPr>
    </w:p>
    <w:p w14:paraId="3825A8F2" w14:textId="6B859AA1" w:rsidR="002559BD" w:rsidRPr="00FE0D06" w:rsidRDefault="002559BD" w:rsidP="008B01ED">
      <w:pPr>
        <w:spacing w:line="276" w:lineRule="auto"/>
        <w:ind w:firstLine="709"/>
        <w:jc w:val="both"/>
        <w:rPr>
          <w:rFonts w:asciiTheme="majorBidi" w:hAnsiTheme="majorBidi" w:cstheme="majorBidi"/>
        </w:rPr>
      </w:pPr>
      <w:r w:rsidRPr="00656F89">
        <w:rPr>
          <w:rFonts w:asciiTheme="majorBidi" w:hAnsiTheme="majorBidi" w:cstheme="majorBidi"/>
        </w:rPr>
        <w:t>Pamatojoties uz Civilprocesa likuma 464. panta trešo daļu un 464.</w:t>
      </w:r>
      <w:r w:rsidRPr="00B76F2E">
        <w:rPr>
          <w:rFonts w:asciiTheme="majorBidi" w:hAnsiTheme="majorBidi" w:cstheme="majorBidi"/>
          <w:vertAlign w:val="superscript"/>
        </w:rPr>
        <w:t>1</w:t>
      </w:r>
      <w:r w:rsidRPr="00656F89">
        <w:rPr>
          <w:rFonts w:asciiTheme="majorBidi" w:hAnsiTheme="majorBidi" w:cstheme="majorBidi"/>
        </w:rPr>
        <w:t> panta otrās daļas 2. punktu</w:t>
      </w:r>
      <w:r w:rsidRPr="00FE0D06">
        <w:rPr>
          <w:rFonts w:asciiTheme="majorBidi" w:hAnsiTheme="majorBidi" w:cstheme="majorBidi"/>
        </w:rPr>
        <w:t>, senatoru kolēģija</w:t>
      </w:r>
    </w:p>
    <w:p w14:paraId="17CF186B" w14:textId="77777777" w:rsidR="002559BD" w:rsidRPr="00C51F54" w:rsidRDefault="002559BD" w:rsidP="008B01ED">
      <w:pPr>
        <w:tabs>
          <w:tab w:val="left" w:pos="709"/>
        </w:tabs>
        <w:spacing w:line="276" w:lineRule="auto"/>
        <w:jc w:val="center"/>
      </w:pPr>
    </w:p>
    <w:p w14:paraId="7EE885CD" w14:textId="77777777" w:rsidR="002559BD" w:rsidRDefault="002559BD" w:rsidP="008B01ED">
      <w:pPr>
        <w:tabs>
          <w:tab w:val="left" w:pos="0"/>
        </w:tabs>
        <w:spacing w:line="276" w:lineRule="auto"/>
        <w:jc w:val="center"/>
        <w:rPr>
          <w:rFonts w:asciiTheme="majorBidi" w:eastAsia="Times New Roman" w:hAnsiTheme="majorBidi" w:cstheme="majorBidi"/>
          <w:b/>
          <w:lang w:eastAsia="ru-RU"/>
        </w:rPr>
      </w:pPr>
      <w:r w:rsidRPr="00134958">
        <w:rPr>
          <w:rFonts w:asciiTheme="majorBidi" w:eastAsia="Times New Roman" w:hAnsiTheme="majorBidi" w:cstheme="majorBidi"/>
          <w:b/>
          <w:lang w:eastAsia="ru-RU"/>
        </w:rPr>
        <w:t>nolēma</w:t>
      </w:r>
    </w:p>
    <w:p w14:paraId="39620DDF" w14:textId="77777777" w:rsidR="002559BD" w:rsidRPr="00FE0D06" w:rsidRDefault="002559BD" w:rsidP="008B01ED">
      <w:pPr>
        <w:tabs>
          <w:tab w:val="left" w:pos="0"/>
        </w:tabs>
        <w:spacing w:line="276" w:lineRule="auto"/>
        <w:jc w:val="center"/>
        <w:rPr>
          <w:rFonts w:asciiTheme="majorBidi" w:hAnsiTheme="majorBidi" w:cstheme="majorBidi"/>
        </w:rPr>
      </w:pPr>
    </w:p>
    <w:p w14:paraId="01BAFC5B" w14:textId="58E2BD51" w:rsidR="002559BD" w:rsidRDefault="002559BD" w:rsidP="008B01ED">
      <w:pPr>
        <w:tabs>
          <w:tab w:val="left" w:pos="0"/>
        </w:tabs>
        <w:spacing w:line="276" w:lineRule="auto"/>
        <w:ind w:firstLine="709"/>
        <w:jc w:val="both"/>
        <w:rPr>
          <w:rFonts w:asciiTheme="majorBidi" w:hAnsiTheme="majorBidi" w:cstheme="majorBidi"/>
        </w:rPr>
      </w:pPr>
      <w:r w:rsidRPr="00FE0D06">
        <w:rPr>
          <w:rFonts w:asciiTheme="majorBidi" w:hAnsiTheme="majorBidi" w:cstheme="majorBidi"/>
        </w:rPr>
        <w:t>atteikt ierosināt kasācijas tiesvedību sakarā ar</w:t>
      </w:r>
      <w:r>
        <w:rPr>
          <w:rFonts w:asciiTheme="majorBidi" w:hAnsiTheme="majorBidi" w:cstheme="majorBidi"/>
        </w:rPr>
        <w:t xml:space="preserve"> </w:t>
      </w:r>
      <w:r w:rsidR="002C0973">
        <w:rPr>
          <w:rFonts w:asciiTheme="majorBidi" w:hAnsiTheme="majorBidi" w:cstheme="majorBidi"/>
        </w:rPr>
        <w:t xml:space="preserve">[pers. A] </w:t>
      </w:r>
      <w:r w:rsidR="00B90503">
        <w:rPr>
          <w:rFonts w:asciiTheme="majorBidi" w:hAnsiTheme="majorBidi" w:cstheme="majorBidi"/>
        </w:rPr>
        <w:t>kasācijas sūdzību par Rīgas apgabaltiesas 2025. gada 18. jūlija spriedumu</w:t>
      </w:r>
      <w:r w:rsidR="0005792E">
        <w:rPr>
          <w:rFonts w:asciiTheme="majorBidi" w:hAnsiTheme="majorBidi" w:cstheme="majorBidi"/>
        </w:rPr>
        <w:t>.</w:t>
      </w:r>
    </w:p>
    <w:p w14:paraId="7D6FE873" w14:textId="77777777" w:rsidR="002559BD" w:rsidRDefault="002559BD" w:rsidP="008B01ED">
      <w:pPr>
        <w:tabs>
          <w:tab w:val="left" w:pos="0"/>
        </w:tabs>
        <w:spacing w:line="276" w:lineRule="auto"/>
        <w:ind w:firstLine="709"/>
        <w:jc w:val="both"/>
        <w:rPr>
          <w:rFonts w:asciiTheme="majorBidi" w:hAnsiTheme="majorBidi" w:cstheme="majorBidi"/>
        </w:rPr>
      </w:pPr>
    </w:p>
    <w:p w14:paraId="25DE53CF" w14:textId="0D85C43D" w:rsidR="002559BD" w:rsidRPr="002C0973" w:rsidRDefault="002559BD" w:rsidP="008B01ED">
      <w:pPr>
        <w:tabs>
          <w:tab w:val="left" w:pos="0"/>
        </w:tabs>
        <w:spacing w:line="276" w:lineRule="auto"/>
        <w:ind w:firstLine="709"/>
        <w:jc w:val="both"/>
        <w:rPr>
          <w:rFonts w:asciiTheme="majorBidi" w:hAnsiTheme="majorBidi" w:cstheme="majorBidi"/>
        </w:rPr>
      </w:pPr>
      <w:r w:rsidRPr="00134958">
        <w:rPr>
          <w:rFonts w:asciiTheme="majorBidi" w:hAnsiTheme="majorBidi" w:cstheme="majorBidi"/>
        </w:rPr>
        <w:t>Lēmums nav pārsūdzams.</w:t>
      </w:r>
    </w:p>
    <w:sectPr w:rsidR="002559BD" w:rsidRPr="002C0973" w:rsidSect="008B01ED">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183B" w14:textId="77777777" w:rsidR="00AB4A47" w:rsidRDefault="00AB4A47" w:rsidP="00171668">
      <w:r>
        <w:separator/>
      </w:r>
    </w:p>
  </w:endnote>
  <w:endnote w:type="continuationSeparator" w:id="0">
    <w:p w14:paraId="688F9EA2" w14:textId="77777777" w:rsidR="00AB4A47" w:rsidRDefault="00AB4A47" w:rsidP="0017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2408" w14:textId="77777777" w:rsidR="00003E36" w:rsidRPr="00171668" w:rsidRDefault="00003E36" w:rsidP="00003E36">
    <w:pPr>
      <w:pStyle w:val="Footer"/>
      <w:jc w:val="center"/>
      <w:rPr>
        <w:sz w:val="22"/>
        <w:szCs w:val="22"/>
      </w:rPr>
    </w:pPr>
    <w:r w:rsidRPr="00171668">
      <w:rPr>
        <w:sz w:val="22"/>
        <w:szCs w:val="22"/>
      </w:rPr>
      <w:fldChar w:fldCharType="begin"/>
    </w:r>
    <w:r w:rsidRPr="00171668">
      <w:rPr>
        <w:sz w:val="22"/>
        <w:szCs w:val="22"/>
      </w:rPr>
      <w:instrText xml:space="preserve"> PAGE </w:instrText>
    </w:r>
    <w:r w:rsidRPr="00171668">
      <w:rPr>
        <w:sz w:val="22"/>
        <w:szCs w:val="22"/>
      </w:rPr>
      <w:fldChar w:fldCharType="separate"/>
    </w:r>
    <w:r>
      <w:rPr>
        <w:sz w:val="22"/>
      </w:rPr>
      <w:t>1</w:t>
    </w:r>
    <w:r w:rsidRPr="00171668">
      <w:rPr>
        <w:sz w:val="22"/>
        <w:szCs w:val="22"/>
      </w:rPr>
      <w:fldChar w:fldCharType="end"/>
    </w:r>
    <w:r w:rsidRPr="00171668">
      <w:rPr>
        <w:sz w:val="22"/>
        <w:szCs w:val="22"/>
      </w:rPr>
      <w:t xml:space="preserve"> no </w:t>
    </w:r>
    <w:r w:rsidRPr="00171668">
      <w:rPr>
        <w:sz w:val="22"/>
        <w:szCs w:val="22"/>
      </w:rPr>
      <w:fldChar w:fldCharType="begin"/>
    </w:r>
    <w:r w:rsidRPr="00171668">
      <w:rPr>
        <w:sz w:val="22"/>
        <w:szCs w:val="22"/>
      </w:rPr>
      <w:instrText xml:space="preserve"> NUMPAGES  </w:instrText>
    </w:r>
    <w:r w:rsidRPr="00171668">
      <w:rPr>
        <w:sz w:val="22"/>
        <w:szCs w:val="22"/>
      </w:rPr>
      <w:fldChar w:fldCharType="separate"/>
    </w:r>
    <w:r>
      <w:rPr>
        <w:sz w:val="22"/>
      </w:rPr>
      <w:t>4</w:t>
    </w:r>
    <w:r w:rsidRPr="00171668">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D3BA" w14:textId="77777777" w:rsidR="00AB4A47" w:rsidRDefault="00AB4A47" w:rsidP="00171668">
      <w:r>
        <w:separator/>
      </w:r>
    </w:p>
  </w:footnote>
  <w:footnote w:type="continuationSeparator" w:id="0">
    <w:p w14:paraId="47782345" w14:textId="77777777" w:rsidR="00AB4A47" w:rsidRDefault="00AB4A47" w:rsidP="00171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BD"/>
    <w:rsid w:val="00003E36"/>
    <w:rsid w:val="000214EC"/>
    <w:rsid w:val="000430DE"/>
    <w:rsid w:val="0005792E"/>
    <w:rsid w:val="00072EFB"/>
    <w:rsid w:val="0007731E"/>
    <w:rsid w:val="0008486A"/>
    <w:rsid w:val="000C3221"/>
    <w:rsid w:val="000E1F5D"/>
    <w:rsid w:val="00122A7E"/>
    <w:rsid w:val="00171668"/>
    <w:rsid w:val="00172748"/>
    <w:rsid w:val="001C096E"/>
    <w:rsid w:val="001F6C9A"/>
    <w:rsid w:val="00223F0E"/>
    <w:rsid w:val="002559BD"/>
    <w:rsid w:val="00291BDE"/>
    <w:rsid w:val="00296F75"/>
    <w:rsid w:val="002C0973"/>
    <w:rsid w:val="003132B9"/>
    <w:rsid w:val="003F2DD4"/>
    <w:rsid w:val="00445A8D"/>
    <w:rsid w:val="00472A42"/>
    <w:rsid w:val="00480FAE"/>
    <w:rsid w:val="004F0019"/>
    <w:rsid w:val="00511DD4"/>
    <w:rsid w:val="005601EC"/>
    <w:rsid w:val="00597BD8"/>
    <w:rsid w:val="005C55C7"/>
    <w:rsid w:val="005D02A7"/>
    <w:rsid w:val="005F63C0"/>
    <w:rsid w:val="00604E37"/>
    <w:rsid w:val="006904F3"/>
    <w:rsid w:val="00696A5A"/>
    <w:rsid w:val="006B3215"/>
    <w:rsid w:val="006E7809"/>
    <w:rsid w:val="0076729D"/>
    <w:rsid w:val="00783BEF"/>
    <w:rsid w:val="007A418F"/>
    <w:rsid w:val="007B21E2"/>
    <w:rsid w:val="007D0ADA"/>
    <w:rsid w:val="007E0E17"/>
    <w:rsid w:val="00803B01"/>
    <w:rsid w:val="00812BDB"/>
    <w:rsid w:val="00827366"/>
    <w:rsid w:val="00831B7C"/>
    <w:rsid w:val="008516CF"/>
    <w:rsid w:val="00852906"/>
    <w:rsid w:val="00877326"/>
    <w:rsid w:val="00880F58"/>
    <w:rsid w:val="0088155D"/>
    <w:rsid w:val="008B01ED"/>
    <w:rsid w:val="0092284C"/>
    <w:rsid w:val="00937D54"/>
    <w:rsid w:val="0094073B"/>
    <w:rsid w:val="0097697F"/>
    <w:rsid w:val="009A056A"/>
    <w:rsid w:val="009D74C6"/>
    <w:rsid w:val="009E7185"/>
    <w:rsid w:val="00A63236"/>
    <w:rsid w:val="00AB4A47"/>
    <w:rsid w:val="00AB4ED5"/>
    <w:rsid w:val="00B03C79"/>
    <w:rsid w:val="00B236E7"/>
    <w:rsid w:val="00B754DD"/>
    <w:rsid w:val="00B8566D"/>
    <w:rsid w:val="00B858E2"/>
    <w:rsid w:val="00B90503"/>
    <w:rsid w:val="00BA382F"/>
    <w:rsid w:val="00C85885"/>
    <w:rsid w:val="00D045CC"/>
    <w:rsid w:val="00D20DB3"/>
    <w:rsid w:val="00D27E70"/>
    <w:rsid w:val="00D34C5C"/>
    <w:rsid w:val="00D65E32"/>
    <w:rsid w:val="00D810D9"/>
    <w:rsid w:val="00E03C26"/>
    <w:rsid w:val="00E23CC0"/>
    <w:rsid w:val="00E715EA"/>
    <w:rsid w:val="00EE049E"/>
    <w:rsid w:val="00F05D89"/>
    <w:rsid w:val="00FF5B5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8F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9BD"/>
    <w:pPr>
      <w:spacing w:after="0" w:line="240" w:lineRule="auto"/>
    </w:pPr>
    <w:rPr>
      <w:rFonts w:eastAsia="Calibri" w:cs="Times New Roman"/>
      <w:kern w:val="0"/>
      <w:szCs w:val="24"/>
      <w:lang w:eastAsia="lv-LV"/>
      <w14:ligatures w14:val="none"/>
    </w:rPr>
  </w:style>
  <w:style w:type="paragraph" w:styleId="Heading1">
    <w:name w:val="heading 1"/>
    <w:basedOn w:val="Normal"/>
    <w:next w:val="Normal"/>
    <w:link w:val="Heading1Char"/>
    <w:uiPriority w:val="9"/>
    <w:qFormat/>
    <w:rsid w:val="002559B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559B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559B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559BD"/>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2559BD"/>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2559BD"/>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2559BD"/>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2559BD"/>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2559BD"/>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9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9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59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59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59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59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59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59B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55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9B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559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59BD"/>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2559BD"/>
    <w:rPr>
      <w:i/>
      <w:iCs/>
      <w:color w:val="404040" w:themeColor="text1" w:themeTint="BF"/>
    </w:rPr>
  </w:style>
  <w:style w:type="paragraph" w:styleId="ListParagraph">
    <w:name w:val="List Paragraph"/>
    <w:basedOn w:val="Normal"/>
    <w:uiPriority w:val="34"/>
    <w:qFormat/>
    <w:rsid w:val="002559BD"/>
    <w:pPr>
      <w:spacing w:after="160" w:line="259" w:lineRule="auto"/>
      <w:ind w:left="720"/>
      <w:contextualSpacing/>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2559BD"/>
    <w:rPr>
      <w:i/>
      <w:iCs/>
      <w:color w:val="2F5496" w:themeColor="accent1" w:themeShade="BF"/>
    </w:rPr>
  </w:style>
  <w:style w:type="paragraph" w:styleId="IntenseQuote">
    <w:name w:val="Intense Quote"/>
    <w:basedOn w:val="Normal"/>
    <w:next w:val="Normal"/>
    <w:link w:val="IntenseQuoteChar"/>
    <w:uiPriority w:val="30"/>
    <w:qFormat/>
    <w:rsid w:val="002559B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2559BD"/>
    <w:rPr>
      <w:i/>
      <w:iCs/>
      <w:color w:val="2F5496" w:themeColor="accent1" w:themeShade="BF"/>
    </w:rPr>
  </w:style>
  <w:style w:type="character" w:styleId="IntenseReference">
    <w:name w:val="Intense Reference"/>
    <w:basedOn w:val="DefaultParagraphFont"/>
    <w:uiPriority w:val="32"/>
    <w:qFormat/>
    <w:rsid w:val="002559BD"/>
    <w:rPr>
      <w:b/>
      <w:bCs/>
      <w:smallCaps/>
      <w:color w:val="2F5496" w:themeColor="accent1" w:themeShade="BF"/>
      <w:spacing w:val="5"/>
    </w:rPr>
  </w:style>
  <w:style w:type="paragraph" w:styleId="Header">
    <w:name w:val="header"/>
    <w:basedOn w:val="Normal"/>
    <w:link w:val="HeaderChar"/>
    <w:uiPriority w:val="99"/>
    <w:unhideWhenUsed/>
    <w:rsid w:val="00171668"/>
    <w:pPr>
      <w:tabs>
        <w:tab w:val="center" w:pos="4680"/>
        <w:tab w:val="right" w:pos="9360"/>
      </w:tabs>
    </w:pPr>
  </w:style>
  <w:style w:type="character" w:customStyle="1" w:styleId="HeaderChar">
    <w:name w:val="Header Char"/>
    <w:basedOn w:val="DefaultParagraphFont"/>
    <w:link w:val="Header"/>
    <w:uiPriority w:val="99"/>
    <w:rsid w:val="00171668"/>
    <w:rPr>
      <w:rFonts w:eastAsia="Calibri" w:cs="Times New Roman"/>
      <w:kern w:val="0"/>
      <w:szCs w:val="24"/>
      <w:lang w:eastAsia="lv-LV"/>
      <w14:ligatures w14:val="none"/>
    </w:rPr>
  </w:style>
  <w:style w:type="paragraph" w:styleId="Footer">
    <w:name w:val="footer"/>
    <w:basedOn w:val="Normal"/>
    <w:link w:val="FooterChar"/>
    <w:uiPriority w:val="99"/>
    <w:unhideWhenUsed/>
    <w:rsid w:val="00171668"/>
    <w:pPr>
      <w:tabs>
        <w:tab w:val="center" w:pos="4680"/>
        <w:tab w:val="right" w:pos="9360"/>
      </w:tabs>
    </w:pPr>
  </w:style>
  <w:style w:type="character" w:customStyle="1" w:styleId="FooterChar">
    <w:name w:val="Footer Char"/>
    <w:basedOn w:val="DefaultParagraphFont"/>
    <w:link w:val="Footer"/>
    <w:uiPriority w:val="99"/>
    <w:rsid w:val="00171668"/>
    <w:rPr>
      <w:rFonts w:eastAsia="Calibri" w:cs="Times New Roman"/>
      <w:kern w:val="0"/>
      <w:szCs w:val="24"/>
      <w:lang w:eastAsia="lv-LV"/>
      <w14:ligatures w14:val="none"/>
    </w:rPr>
  </w:style>
  <w:style w:type="character" w:styleId="Hyperlink">
    <w:name w:val="Hyperlink"/>
    <w:basedOn w:val="DefaultParagraphFont"/>
    <w:unhideWhenUsed/>
    <w:rsid w:val="002C09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d0799dcf-bd53-4c59-abac-c30705bb50e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7575</Words>
  <Characters>4318</Characters>
  <Application>Microsoft Office Word</Application>
  <DocSecurity>0</DocSecurity>
  <Lines>35</Lines>
  <Paragraphs>23</Paragraphs>
  <ScaleCrop>false</ScaleCrop>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2025-11-14T07:00:00Z</dcterms:created>
  <dcterms:modified xsi:type="dcterms:W3CDTF">2025-11-26T09:55:00Z</dcterms:modified>
</cp:coreProperties>
</file>