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F9E1" w14:textId="77777777" w:rsidR="00E2638F" w:rsidRPr="006D03F2" w:rsidRDefault="00E2638F" w:rsidP="00F20399">
      <w:pPr>
        <w:spacing w:line="276" w:lineRule="auto"/>
        <w:jc w:val="both"/>
      </w:pPr>
      <w:r>
        <w:rPr>
          <w:b/>
          <w:bCs/>
        </w:rPr>
        <w:t>Š</w:t>
      </w:r>
      <w:r w:rsidRPr="006D03F2">
        <w:rPr>
          <w:b/>
          <w:bCs/>
        </w:rPr>
        <w:t>aujamiero</w:t>
      </w:r>
      <w:r>
        <w:rPr>
          <w:b/>
          <w:bCs/>
        </w:rPr>
        <w:t>ča</w:t>
      </w:r>
      <w:r w:rsidRPr="006D03F2">
        <w:rPr>
          <w:b/>
          <w:bCs/>
        </w:rPr>
        <w:t xml:space="preserve"> un munīcija</w:t>
      </w:r>
      <w:r>
        <w:rPr>
          <w:b/>
          <w:bCs/>
        </w:rPr>
        <w:t xml:space="preserve">s glabāšana bez tiesiska pamata </w:t>
      </w:r>
      <w:r w:rsidRPr="006D03F2">
        <w:rPr>
          <w:b/>
          <w:bCs/>
        </w:rPr>
        <w:t xml:space="preserve">kā Krimināllikuma 233. panta otrajā daļā paredzētais noziedzīgais nodarījums </w:t>
      </w:r>
    </w:p>
    <w:p w14:paraId="4058E336" w14:textId="77777777" w:rsidR="00E2638F" w:rsidRDefault="00E2638F" w:rsidP="00F20399">
      <w:pPr>
        <w:spacing w:line="276" w:lineRule="auto"/>
        <w:jc w:val="both"/>
      </w:pPr>
      <w:r w:rsidRPr="006D03F2">
        <w:t>Krimināllikuma 233.</w:t>
      </w:r>
      <w:r>
        <w:t> </w:t>
      </w:r>
      <w:r w:rsidRPr="006D03F2">
        <w:t>panta otrās daļas izpratnē ar šaujamieroča un munīcijas glabāšanu bez atļaujas saprot to neatļautu turēšanu arī gadījumos, ja glabāšanas atļauja nav pagarināta vai ir anulēta pirms termiņa pēc tam, kad ir beidzies Ieroču aprites likumā paredzētais termiņš to nodošanai Valsts policijai.</w:t>
      </w:r>
    </w:p>
    <w:p w14:paraId="30178E9B" w14:textId="77777777" w:rsidR="00E2638F" w:rsidRDefault="00E2638F" w:rsidP="00F20399">
      <w:pPr>
        <w:spacing w:line="276" w:lineRule="auto"/>
        <w:jc w:val="both"/>
      </w:pPr>
    </w:p>
    <w:p w14:paraId="7269C56A" w14:textId="77777777" w:rsidR="00E2638F" w:rsidRPr="002C0B08" w:rsidRDefault="00E2638F" w:rsidP="00F20399">
      <w:pPr>
        <w:spacing w:line="276" w:lineRule="auto"/>
        <w:jc w:val="both"/>
        <w:rPr>
          <w:b/>
          <w:bCs/>
        </w:rPr>
      </w:pPr>
      <w:r w:rsidRPr="002C0B08">
        <w:rPr>
          <w:b/>
          <w:bCs/>
        </w:rPr>
        <w:t>Noziedzīga nodarījuma priekšmets un noziedzīga nodarījuma izdarīšanas priekšmets</w:t>
      </w:r>
    </w:p>
    <w:p w14:paraId="5EC75690" w14:textId="0B271124" w:rsidR="00E2638F" w:rsidRPr="006D03F2" w:rsidRDefault="00D82CFD" w:rsidP="00F20399">
      <w:pPr>
        <w:spacing w:line="276" w:lineRule="auto"/>
        <w:jc w:val="both"/>
      </w:pPr>
      <w:r>
        <w:t>1. </w:t>
      </w:r>
      <w:r w:rsidR="00E2638F" w:rsidRPr="006D03F2">
        <w:t>Noziedzīga nodarījuma priekšmets, kas ir noziedzīga nodarījuma objekta sastāvdaļa, ir jānorobežo no noziedzīga nodarījuma izdarīšanas priekšmeta – rīkiem un līdzekļiem, ar kuru palīdzību noziedzīgs nodarījums izdarīts. Noziedzīga nodarījuma izdarīšanas priekšmets atšķirībā no noziedzīgā nodarījuma priekšmeta nav saistāms ar Krimināllikuma Sevišķās daļas normā aizsargātās intereses saturu.</w:t>
      </w:r>
    </w:p>
    <w:p w14:paraId="3B40F71D" w14:textId="77777777" w:rsidR="00D82CFD" w:rsidRDefault="00D82CFD" w:rsidP="00F20399">
      <w:pPr>
        <w:spacing w:line="276" w:lineRule="auto"/>
        <w:jc w:val="both"/>
      </w:pPr>
      <w:r>
        <w:t>2. </w:t>
      </w:r>
      <w:r w:rsidR="00E2638F" w:rsidRPr="006D03F2">
        <w:t>Šaujamierocis un munīcija to neatļautas glabāšanas gadījumā ir Krimināllikuma 233.</w:t>
      </w:r>
      <w:r w:rsidR="00E2638F">
        <w:t> </w:t>
      </w:r>
      <w:r w:rsidR="00E2638F" w:rsidRPr="006D03F2">
        <w:t>pantā paredzētā noziedzīgā nodarījuma priekšmets.</w:t>
      </w:r>
    </w:p>
    <w:p w14:paraId="2ED23FB1" w14:textId="7B312100" w:rsidR="00E2638F" w:rsidRDefault="00D82CFD" w:rsidP="00F20399">
      <w:pPr>
        <w:spacing w:line="276" w:lineRule="auto"/>
        <w:jc w:val="both"/>
      </w:pPr>
      <w:r>
        <w:t>3. </w:t>
      </w:r>
      <w:r w:rsidR="00E2638F" w:rsidRPr="006D03F2">
        <w:t>Šaujamierocis un tā munīcija, kas tiek glabāti bez tiesiska pamata, ir uzskatāmi par apgrozībā aizliegtām lietām Ieroču aprites likuma izpratnē un līdz ar to –  arī par mantu, kas saistīta ar noziedzīgu nodarījumu un kuras nonākšana brīvā apritē nav pieļaujama. Ar noziedzīgu nodarījumu saistīta manta ir konfiscējama saskaņā ar Krimināllikuma 70.</w:t>
      </w:r>
      <w:r w:rsidR="00E2638F" w:rsidRPr="006D03F2">
        <w:rPr>
          <w:vertAlign w:val="superscript"/>
        </w:rPr>
        <w:t>13</w:t>
      </w:r>
      <w:r w:rsidR="00E2638F">
        <w:t> </w:t>
      </w:r>
      <w:r w:rsidR="00E2638F" w:rsidRPr="006D03F2">
        <w:t>panta otro daļu</w:t>
      </w:r>
      <w:r w:rsidR="00E2638F">
        <w:t>.</w:t>
      </w:r>
    </w:p>
    <w:p w14:paraId="4DA6A8B5" w14:textId="77777777" w:rsidR="00E2638F" w:rsidRDefault="00E2638F" w:rsidP="00F20399">
      <w:pPr>
        <w:widowControl w:val="0"/>
        <w:spacing w:line="276" w:lineRule="auto"/>
        <w:ind w:firstLine="720"/>
        <w:jc w:val="right"/>
        <w:rPr>
          <w:lang w:eastAsia="lv-LV"/>
        </w:rPr>
      </w:pPr>
    </w:p>
    <w:p w14:paraId="30EF74F0" w14:textId="3E35591D" w:rsidR="00447EE6" w:rsidRPr="00E2638F" w:rsidRDefault="00E2638F" w:rsidP="00F20399">
      <w:pPr>
        <w:widowControl w:val="0"/>
        <w:spacing w:line="276" w:lineRule="auto"/>
        <w:jc w:val="center"/>
        <w:rPr>
          <w:b/>
        </w:rPr>
      </w:pPr>
      <w:r w:rsidRPr="00E2638F">
        <w:rPr>
          <w:b/>
        </w:rPr>
        <w:t>L</w:t>
      </w:r>
      <w:r w:rsidR="00447EE6" w:rsidRPr="00E2638F">
        <w:rPr>
          <w:b/>
        </w:rPr>
        <w:t>atvijas Republikas Senāt</w:t>
      </w:r>
      <w:r w:rsidRPr="00E2638F">
        <w:rPr>
          <w:b/>
        </w:rPr>
        <w:t>a</w:t>
      </w:r>
    </w:p>
    <w:p w14:paraId="45C66641" w14:textId="272A97D3" w:rsidR="00E2638F" w:rsidRPr="00E2638F" w:rsidRDefault="00E2638F" w:rsidP="00F20399">
      <w:pPr>
        <w:widowControl w:val="0"/>
        <w:spacing w:line="276" w:lineRule="auto"/>
        <w:jc w:val="center"/>
        <w:rPr>
          <w:b/>
          <w:lang w:eastAsia="lv-LV"/>
        </w:rPr>
      </w:pPr>
      <w:r w:rsidRPr="00E2638F">
        <w:rPr>
          <w:b/>
          <w:lang w:eastAsia="lv-LV"/>
        </w:rPr>
        <w:t>Krimināllietu departamenta</w:t>
      </w:r>
    </w:p>
    <w:p w14:paraId="2EE2C723" w14:textId="33ADE598" w:rsidR="00E2638F" w:rsidRPr="00E2638F" w:rsidRDefault="00E2638F" w:rsidP="00F20399">
      <w:pPr>
        <w:widowControl w:val="0"/>
        <w:spacing w:line="276" w:lineRule="auto"/>
        <w:jc w:val="center"/>
        <w:rPr>
          <w:b/>
        </w:rPr>
      </w:pPr>
      <w:r w:rsidRPr="00E2638F">
        <w:rPr>
          <w:b/>
        </w:rPr>
        <w:t>2025. gada 14. novembra</w:t>
      </w:r>
    </w:p>
    <w:p w14:paraId="6D65DEB2" w14:textId="21D88A5F" w:rsidR="00447EE6" w:rsidRPr="00E2638F" w:rsidRDefault="00070008" w:rsidP="00F20399">
      <w:pPr>
        <w:widowControl w:val="0"/>
        <w:spacing w:line="276" w:lineRule="auto"/>
        <w:jc w:val="center"/>
        <w:rPr>
          <w:b/>
        </w:rPr>
      </w:pPr>
      <w:r w:rsidRPr="00E2638F">
        <w:rPr>
          <w:b/>
        </w:rPr>
        <w:t>LĒMUMS</w:t>
      </w:r>
    </w:p>
    <w:p w14:paraId="65349AEF" w14:textId="77777777" w:rsidR="001D34C0" w:rsidRDefault="00E2638F" w:rsidP="00F20399">
      <w:pPr>
        <w:widowControl w:val="0"/>
        <w:spacing w:line="276" w:lineRule="auto"/>
        <w:jc w:val="center"/>
        <w:rPr>
          <w:b/>
          <w:lang w:eastAsia="lv-LV"/>
        </w:rPr>
      </w:pPr>
      <w:r w:rsidRPr="00E2638F">
        <w:rPr>
          <w:b/>
          <w:lang w:eastAsia="lv-LV"/>
        </w:rPr>
        <w:t>Lieta Nr. 11087153319, SKK</w:t>
      </w:r>
      <w:r w:rsidRPr="00E2638F">
        <w:rPr>
          <w:b/>
          <w:lang w:eastAsia="lv-LV"/>
        </w:rPr>
        <w:noBreakHyphen/>
        <w:t>431/2025</w:t>
      </w:r>
    </w:p>
    <w:p w14:paraId="0DBD1769" w14:textId="3C32D889" w:rsidR="001D34C0" w:rsidRPr="001D34C0" w:rsidRDefault="001D34C0" w:rsidP="00F20399">
      <w:pPr>
        <w:widowControl w:val="0"/>
        <w:spacing w:line="276" w:lineRule="auto"/>
        <w:jc w:val="center"/>
        <w:rPr>
          <w:b/>
          <w:lang w:eastAsia="lv-LV"/>
        </w:rPr>
      </w:pPr>
      <w:hyperlink r:id="rId8" w:history="1">
        <w:r w:rsidRPr="001D34C0">
          <w:rPr>
            <w:rStyle w:val="Hyperlink"/>
            <w:rFonts w:asciiTheme="majorBidi" w:hAnsiTheme="majorBidi" w:cstheme="majorBidi"/>
          </w:rPr>
          <w:t>ECLI:LV:AT:2025:1114.11</w:t>
        </w:r>
        <w:r w:rsidRPr="001D34C0">
          <w:rPr>
            <w:rStyle w:val="Hyperlink"/>
            <w:rFonts w:asciiTheme="majorBidi" w:hAnsiTheme="majorBidi" w:cstheme="majorBidi"/>
          </w:rPr>
          <w:t>0</w:t>
        </w:r>
        <w:r w:rsidRPr="001D34C0">
          <w:rPr>
            <w:rStyle w:val="Hyperlink"/>
            <w:rFonts w:asciiTheme="majorBidi" w:hAnsiTheme="majorBidi" w:cstheme="majorBidi"/>
          </w:rPr>
          <w:t>87153319.5.L</w:t>
        </w:r>
      </w:hyperlink>
    </w:p>
    <w:p w14:paraId="48EB9CDA" w14:textId="77777777" w:rsidR="00070008" w:rsidRPr="000E340B" w:rsidRDefault="00070008" w:rsidP="00187B8A">
      <w:pPr>
        <w:widowControl w:val="0"/>
        <w:spacing w:line="276" w:lineRule="auto"/>
        <w:ind w:firstLine="720"/>
        <w:jc w:val="both"/>
      </w:pPr>
    </w:p>
    <w:p w14:paraId="1609D6F5" w14:textId="60CFF23E" w:rsidR="00447EE6" w:rsidRPr="000E340B" w:rsidRDefault="00447EE6" w:rsidP="00187B8A">
      <w:pPr>
        <w:widowControl w:val="0"/>
        <w:spacing w:line="276" w:lineRule="auto"/>
        <w:ind w:firstLine="720"/>
        <w:jc w:val="both"/>
      </w:pPr>
      <w:r w:rsidRPr="000E340B">
        <w:t>Senāts šādā sastāvā:</w:t>
      </w:r>
      <w:r w:rsidR="00C62697" w:rsidRPr="000E340B">
        <w:t xml:space="preserve"> </w:t>
      </w:r>
      <w:r w:rsidR="00070008" w:rsidRPr="000E340B">
        <w:t>senators referents Aivars Uminskis, senator</w:t>
      </w:r>
      <w:r w:rsidR="00EA2DAC" w:rsidRPr="000E340B">
        <w:t>es</w:t>
      </w:r>
      <w:r w:rsidR="00070008" w:rsidRPr="000E340B">
        <w:t xml:space="preserve"> </w:t>
      </w:r>
      <w:r w:rsidR="00EA2DAC" w:rsidRPr="000E340B">
        <w:t>Anita Poļakova</w:t>
      </w:r>
      <w:r w:rsidR="00070008" w:rsidRPr="000E340B">
        <w:t xml:space="preserve"> un </w:t>
      </w:r>
      <w:r w:rsidR="00A656FE" w:rsidRPr="000E340B">
        <w:t>Inese Laura Zemīte</w:t>
      </w:r>
    </w:p>
    <w:p w14:paraId="5F6E26E1" w14:textId="77777777" w:rsidR="00070008" w:rsidRPr="000E340B" w:rsidRDefault="00070008" w:rsidP="00187B8A">
      <w:pPr>
        <w:widowControl w:val="0"/>
        <w:spacing w:line="276" w:lineRule="auto"/>
        <w:ind w:firstLine="720"/>
        <w:jc w:val="both"/>
      </w:pPr>
    </w:p>
    <w:p w14:paraId="7F2316AA" w14:textId="260BE315" w:rsidR="00070008" w:rsidRPr="000E340B" w:rsidRDefault="00070008" w:rsidP="00187B8A">
      <w:pPr>
        <w:widowControl w:val="0"/>
        <w:spacing w:line="276" w:lineRule="auto"/>
        <w:ind w:firstLine="720"/>
        <w:jc w:val="both"/>
      </w:pPr>
      <w:r w:rsidRPr="000E340B">
        <w:t xml:space="preserve">rakstveida procesā izskatīja krimināllietu sakarā ar </w:t>
      </w:r>
      <w:r w:rsidR="00606B79" w:rsidRPr="000E340B">
        <w:t xml:space="preserve">apsūdzētā </w:t>
      </w:r>
      <w:r w:rsidR="00F20399">
        <w:t>[pers. A]</w:t>
      </w:r>
      <w:r w:rsidR="00606B79" w:rsidRPr="000E340B">
        <w:t xml:space="preserve"> un viņa aizstāves zvērinātas advokātes Ligitas Pētersones kasācijas sūdzībām</w:t>
      </w:r>
      <w:r w:rsidR="0060505B" w:rsidRPr="000E340B">
        <w:t xml:space="preserve"> par </w:t>
      </w:r>
      <w:r w:rsidR="00A656FE" w:rsidRPr="000E340B">
        <w:t>Rīgas apgabaltiesas</w:t>
      </w:r>
      <w:r w:rsidR="00457CC5" w:rsidRPr="000E340B">
        <w:t> </w:t>
      </w:r>
      <w:r w:rsidR="00A656FE" w:rsidRPr="000E340B">
        <w:t>202</w:t>
      </w:r>
      <w:r w:rsidR="008C483D" w:rsidRPr="000E340B">
        <w:t>5</w:t>
      </w:r>
      <w:r w:rsidR="00A656FE" w:rsidRPr="000E340B">
        <w:t xml:space="preserve">. gada </w:t>
      </w:r>
      <w:r w:rsidR="008C483D" w:rsidRPr="000E340B">
        <w:t>25</w:t>
      </w:r>
      <w:r w:rsidR="00A656FE" w:rsidRPr="000E340B">
        <w:t>. </w:t>
      </w:r>
      <w:r w:rsidR="008C483D" w:rsidRPr="000E340B">
        <w:t>marta spriedumu</w:t>
      </w:r>
      <w:r w:rsidR="00A656FE" w:rsidRPr="000E340B">
        <w:t>.</w:t>
      </w:r>
    </w:p>
    <w:p w14:paraId="553F63C4" w14:textId="77777777" w:rsidR="00070008" w:rsidRPr="000E340B" w:rsidRDefault="00070008" w:rsidP="00187B8A">
      <w:pPr>
        <w:widowControl w:val="0"/>
        <w:spacing w:line="276" w:lineRule="auto"/>
        <w:ind w:firstLine="720"/>
        <w:jc w:val="both"/>
        <w:rPr>
          <w:lang w:eastAsia="lv-LV"/>
        </w:rPr>
      </w:pPr>
    </w:p>
    <w:p w14:paraId="12882064" w14:textId="77777777" w:rsidR="00447EE6" w:rsidRPr="000E340B" w:rsidRDefault="00447EE6" w:rsidP="00187B8A">
      <w:pPr>
        <w:widowControl w:val="0"/>
        <w:spacing w:line="276" w:lineRule="auto"/>
        <w:jc w:val="center"/>
        <w:rPr>
          <w:b/>
          <w:shd w:val="clear" w:color="auto" w:fill="FFFFFF"/>
        </w:rPr>
      </w:pPr>
      <w:r w:rsidRPr="000E340B">
        <w:rPr>
          <w:b/>
          <w:shd w:val="clear" w:color="auto" w:fill="FFFFFF"/>
        </w:rPr>
        <w:t>Aprakstošā daļa</w:t>
      </w:r>
    </w:p>
    <w:p w14:paraId="0D501CCF" w14:textId="77777777" w:rsidR="00A656FE" w:rsidRPr="000E340B" w:rsidRDefault="00A656FE" w:rsidP="00187B8A">
      <w:pPr>
        <w:widowControl w:val="0"/>
        <w:spacing w:line="276" w:lineRule="auto"/>
        <w:ind w:firstLine="720"/>
        <w:jc w:val="both"/>
        <w:rPr>
          <w:bCs/>
          <w:shd w:val="clear" w:color="auto" w:fill="FFFFFF"/>
        </w:rPr>
      </w:pPr>
    </w:p>
    <w:p w14:paraId="0B4F5653" w14:textId="153354A9" w:rsidR="00447EE6" w:rsidRPr="000E340B" w:rsidRDefault="00447EE6"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[1]</w:t>
      </w:r>
      <w:r w:rsidR="00A656FE" w:rsidRPr="000E340B">
        <w:rPr>
          <w:shd w:val="clear" w:color="auto" w:fill="FFFFFF"/>
        </w:rPr>
        <w:t> </w:t>
      </w:r>
      <w:r w:rsidR="004C66FC" w:rsidRPr="000E340B">
        <w:rPr>
          <w:shd w:val="clear" w:color="auto" w:fill="FFFFFF"/>
        </w:rPr>
        <w:t>Ar Rīgas pilsētas tiesas 202</w:t>
      </w:r>
      <w:r w:rsidR="0072027D" w:rsidRPr="000E340B">
        <w:rPr>
          <w:shd w:val="clear" w:color="auto" w:fill="FFFFFF"/>
        </w:rPr>
        <w:t>3</w:t>
      </w:r>
      <w:r w:rsidR="004C66FC" w:rsidRPr="000E340B">
        <w:rPr>
          <w:shd w:val="clear" w:color="auto" w:fill="FFFFFF"/>
        </w:rPr>
        <w:t xml:space="preserve">. gada </w:t>
      </w:r>
      <w:r w:rsidR="0072027D" w:rsidRPr="000E340B">
        <w:rPr>
          <w:shd w:val="clear" w:color="auto" w:fill="FFFFFF"/>
        </w:rPr>
        <w:t>2</w:t>
      </w:r>
      <w:r w:rsidR="004C66FC" w:rsidRPr="000E340B">
        <w:rPr>
          <w:shd w:val="clear" w:color="auto" w:fill="FFFFFF"/>
        </w:rPr>
        <w:t>3. </w:t>
      </w:r>
      <w:r w:rsidR="0072027D" w:rsidRPr="000E340B">
        <w:rPr>
          <w:shd w:val="clear" w:color="auto" w:fill="FFFFFF"/>
        </w:rPr>
        <w:t>oktobr</w:t>
      </w:r>
      <w:r w:rsidR="004C66FC" w:rsidRPr="000E340B">
        <w:rPr>
          <w:shd w:val="clear" w:color="auto" w:fill="FFFFFF"/>
        </w:rPr>
        <w:t>a spriedumu</w:t>
      </w:r>
    </w:p>
    <w:p w14:paraId="3E031914" w14:textId="06F661FA" w:rsidR="004C66FC" w:rsidRPr="000E340B" w:rsidRDefault="00773471"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[1.1]</w:t>
      </w:r>
      <w:r w:rsidR="00E06450" w:rsidRPr="000E340B">
        <w:rPr>
          <w:shd w:val="clear" w:color="auto" w:fill="FFFFFF"/>
        </w:rPr>
        <w:t> </w:t>
      </w:r>
      <w:r w:rsidR="00F20399">
        <w:t>[pers. A]</w:t>
      </w:r>
      <w:r w:rsidR="004C66FC" w:rsidRPr="000E340B">
        <w:rPr>
          <w:shd w:val="clear" w:color="auto" w:fill="FFFFFF"/>
        </w:rPr>
        <w:t xml:space="preserve">, personas kods </w:t>
      </w:r>
      <w:r w:rsidR="00F20399">
        <w:rPr>
          <w:shd w:val="clear" w:color="auto" w:fill="FFFFFF"/>
        </w:rPr>
        <w:t>[..]</w:t>
      </w:r>
      <w:r w:rsidR="004C66FC" w:rsidRPr="000E340B">
        <w:rPr>
          <w:shd w:val="clear" w:color="auto" w:fill="FFFFFF"/>
        </w:rPr>
        <w:t>,</w:t>
      </w:r>
    </w:p>
    <w:p w14:paraId="02E81342" w14:textId="41A5E24D" w:rsidR="004C66FC" w:rsidRPr="000E340B" w:rsidRDefault="004C66FC"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 xml:space="preserve">atzīts par vainīgu Krimināllikuma </w:t>
      </w:r>
      <w:r w:rsidR="00B10BD7" w:rsidRPr="000E340B">
        <w:rPr>
          <w:shd w:val="clear" w:color="auto" w:fill="FFFFFF"/>
        </w:rPr>
        <w:t>233</w:t>
      </w:r>
      <w:r w:rsidRPr="000E340B">
        <w:rPr>
          <w:shd w:val="clear" w:color="auto" w:fill="FFFFFF"/>
        </w:rPr>
        <w:t xml:space="preserve">. panta </w:t>
      </w:r>
      <w:r w:rsidR="00B10BD7" w:rsidRPr="000E340B">
        <w:rPr>
          <w:shd w:val="clear" w:color="auto" w:fill="FFFFFF"/>
        </w:rPr>
        <w:t>otrajā</w:t>
      </w:r>
      <w:r w:rsidRPr="000E340B">
        <w:rPr>
          <w:shd w:val="clear" w:color="auto" w:fill="FFFFFF"/>
        </w:rPr>
        <w:t xml:space="preserve"> daļā paredzētajā noziedzīgajā nodarījumā un</w:t>
      </w:r>
      <w:r w:rsidR="00B10BD7" w:rsidRPr="000E340B">
        <w:rPr>
          <w:shd w:val="clear" w:color="auto" w:fill="FFFFFF"/>
        </w:rPr>
        <w:t xml:space="preserve"> </w:t>
      </w:r>
      <w:r w:rsidRPr="000E340B">
        <w:rPr>
          <w:shd w:val="clear" w:color="auto" w:fill="FFFFFF"/>
        </w:rPr>
        <w:t xml:space="preserve">sodīts ar </w:t>
      </w:r>
      <w:r w:rsidR="00B10BD7" w:rsidRPr="000E340B">
        <w:rPr>
          <w:shd w:val="clear" w:color="auto" w:fill="FFFFFF"/>
        </w:rPr>
        <w:t>sabiedrisko darbu</w:t>
      </w:r>
      <w:r w:rsidRPr="000E340B">
        <w:rPr>
          <w:shd w:val="clear" w:color="auto" w:fill="FFFFFF"/>
        </w:rPr>
        <w:t xml:space="preserve"> uz </w:t>
      </w:r>
      <w:r w:rsidR="00B10BD7" w:rsidRPr="000E340B">
        <w:rPr>
          <w:shd w:val="clear" w:color="auto" w:fill="FFFFFF"/>
        </w:rPr>
        <w:t>100 stundām</w:t>
      </w:r>
      <w:r w:rsidRPr="000E340B">
        <w:rPr>
          <w:shd w:val="clear" w:color="auto" w:fill="FFFFFF"/>
        </w:rPr>
        <w:t>.</w:t>
      </w:r>
    </w:p>
    <w:p w14:paraId="777E4972" w14:textId="2AFE7EA7" w:rsidR="00F773D5" w:rsidRPr="000E340B" w:rsidRDefault="00773471"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[1.2]</w:t>
      </w:r>
      <w:r w:rsidR="00E06450" w:rsidRPr="000E340B">
        <w:rPr>
          <w:shd w:val="clear" w:color="auto" w:fill="FFFFFF"/>
        </w:rPr>
        <w:t> </w:t>
      </w:r>
      <w:r w:rsidR="004B0C59" w:rsidRPr="000E340B">
        <w:rPr>
          <w:shd w:val="clear" w:color="auto" w:fill="FFFFFF"/>
        </w:rPr>
        <w:t>Saskaņā ar Krimināllikuma 70.</w:t>
      </w:r>
      <w:r w:rsidR="004B0C59" w:rsidRPr="000E340B">
        <w:rPr>
          <w:shd w:val="clear" w:color="auto" w:fill="FFFFFF"/>
          <w:vertAlign w:val="superscript"/>
        </w:rPr>
        <w:t>12</w:t>
      </w:r>
      <w:r w:rsidR="004B0C59" w:rsidRPr="000E340B">
        <w:rPr>
          <w:shd w:val="clear" w:color="auto" w:fill="FFFFFF"/>
        </w:rPr>
        <w:t xml:space="preserve"> pantu </w:t>
      </w:r>
      <w:r w:rsidR="00BE407F" w:rsidRPr="000E340B">
        <w:rPr>
          <w:shd w:val="clear" w:color="auto" w:fill="FFFFFF"/>
        </w:rPr>
        <w:t>lietisk</w:t>
      </w:r>
      <w:r w:rsidR="00A66BC3" w:rsidRPr="000E340B">
        <w:rPr>
          <w:shd w:val="clear" w:color="auto" w:fill="FFFFFF"/>
        </w:rPr>
        <w:t>os</w:t>
      </w:r>
      <w:r w:rsidR="00BE407F" w:rsidRPr="000E340B">
        <w:rPr>
          <w:shd w:val="clear" w:color="auto" w:fill="FFFFFF"/>
        </w:rPr>
        <w:t xml:space="preserve"> pierādījumus</w:t>
      </w:r>
      <w:r w:rsidR="00AC67CE" w:rsidRPr="000E340B">
        <w:rPr>
          <w:shd w:val="clear" w:color="auto" w:fill="FFFFFF"/>
        </w:rPr>
        <w:t xml:space="preserve"> –</w:t>
      </w:r>
      <w:r w:rsidR="00FF057E" w:rsidRPr="000E340B">
        <w:rPr>
          <w:shd w:val="clear" w:color="auto" w:fill="FFFFFF"/>
        </w:rPr>
        <w:t xml:space="preserve"> šaujamieročus</w:t>
      </w:r>
      <w:r w:rsidR="00BE407F" w:rsidRPr="000E340B">
        <w:rPr>
          <w:shd w:val="clear" w:color="auto" w:fill="FFFFFF"/>
        </w:rPr>
        <w:t xml:space="preserve"> </w:t>
      </w:r>
      <w:r w:rsidR="00BE407F" w:rsidRPr="000E340B">
        <w:rPr>
          <w:shd w:val="clear" w:color="auto" w:fill="FFFFFF"/>
        </w:rPr>
        <w:lastRenderedPageBreak/>
        <w:t>„</w:t>
      </w:r>
      <w:proofErr w:type="spellStart"/>
      <w:r w:rsidR="00BE407F" w:rsidRPr="000E340B">
        <w:rPr>
          <w:shd w:val="clear" w:color="auto" w:fill="FFFFFF"/>
        </w:rPr>
        <w:t>Benelli</w:t>
      </w:r>
      <w:proofErr w:type="spellEnd"/>
      <w:r w:rsidR="00FF057E" w:rsidRPr="000E340B">
        <w:rPr>
          <w:shd w:val="clear" w:color="auto" w:fill="FFFFFF"/>
        </w:rPr>
        <w:t> </w:t>
      </w:r>
      <w:proofErr w:type="spellStart"/>
      <w:r w:rsidR="00BE407F" w:rsidRPr="000E340B">
        <w:rPr>
          <w:shd w:val="clear" w:color="auto" w:fill="FFFFFF"/>
        </w:rPr>
        <w:t>Ethos</w:t>
      </w:r>
      <w:proofErr w:type="spellEnd"/>
      <w:r w:rsidR="003E1807" w:rsidRPr="000E340B">
        <w:rPr>
          <w:shd w:val="clear" w:color="auto" w:fill="FFFFFF"/>
        </w:rPr>
        <w:t> </w:t>
      </w:r>
      <w:r w:rsidR="00BE407F" w:rsidRPr="000E340B">
        <w:rPr>
          <w:shd w:val="clear" w:color="auto" w:fill="FFFFFF"/>
        </w:rPr>
        <w:t>28”</w:t>
      </w:r>
      <w:r w:rsidR="00B518D2" w:rsidRPr="000E340B">
        <w:rPr>
          <w:shd w:val="clear" w:color="auto" w:fill="FFFFFF"/>
        </w:rPr>
        <w:t xml:space="preserve">, </w:t>
      </w:r>
      <w:r w:rsidR="00BE407F" w:rsidRPr="000E340B">
        <w:rPr>
          <w:shd w:val="clear" w:color="auto" w:fill="FFFFFF"/>
        </w:rPr>
        <w:t>„</w:t>
      </w:r>
      <w:proofErr w:type="spellStart"/>
      <w:r w:rsidR="00BE407F" w:rsidRPr="000E340B">
        <w:rPr>
          <w:shd w:val="clear" w:color="auto" w:fill="FFFFFF"/>
        </w:rPr>
        <w:t>Benelli</w:t>
      </w:r>
      <w:proofErr w:type="spellEnd"/>
      <w:r w:rsidR="0098254D" w:rsidRPr="000E340B">
        <w:rPr>
          <w:shd w:val="clear" w:color="auto" w:fill="FFFFFF"/>
        </w:rPr>
        <w:t> </w:t>
      </w:r>
      <w:proofErr w:type="spellStart"/>
      <w:r w:rsidR="00BE407F" w:rsidRPr="000E340B">
        <w:rPr>
          <w:shd w:val="clear" w:color="auto" w:fill="FFFFFF"/>
        </w:rPr>
        <w:t>Raffaello</w:t>
      </w:r>
      <w:proofErr w:type="spellEnd"/>
      <w:r w:rsidR="0098254D" w:rsidRPr="000E340B">
        <w:rPr>
          <w:shd w:val="clear" w:color="auto" w:fill="FFFFFF"/>
        </w:rPr>
        <w:t> </w:t>
      </w:r>
      <w:r w:rsidR="00BE407F" w:rsidRPr="000E340B">
        <w:rPr>
          <w:shd w:val="clear" w:color="auto" w:fill="FFFFFF"/>
        </w:rPr>
        <w:t>Lord”</w:t>
      </w:r>
      <w:r w:rsidRPr="000E340B">
        <w:rPr>
          <w:shd w:val="clear" w:color="auto" w:fill="FFFFFF"/>
        </w:rPr>
        <w:t>,</w:t>
      </w:r>
      <w:r w:rsidR="00B518D2" w:rsidRPr="000E340B">
        <w:rPr>
          <w:shd w:val="clear" w:color="auto" w:fill="FFFFFF"/>
        </w:rPr>
        <w:t xml:space="preserve"> </w:t>
      </w:r>
      <w:r w:rsidR="00BE407F" w:rsidRPr="000E340B">
        <w:rPr>
          <w:shd w:val="clear" w:color="auto" w:fill="FFFFFF"/>
        </w:rPr>
        <w:t>„</w:t>
      </w:r>
      <w:proofErr w:type="spellStart"/>
      <w:r w:rsidR="00BE407F" w:rsidRPr="000E340B">
        <w:rPr>
          <w:shd w:val="clear" w:color="auto" w:fill="FFFFFF"/>
        </w:rPr>
        <w:t>Benelli</w:t>
      </w:r>
      <w:proofErr w:type="spellEnd"/>
      <w:r w:rsidR="0098254D" w:rsidRPr="000E340B">
        <w:rPr>
          <w:shd w:val="clear" w:color="auto" w:fill="FFFFFF"/>
        </w:rPr>
        <w:t> </w:t>
      </w:r>
      <w:proofErr w:type="spellStart"/>
      <w:r w:rsidR="00BE407F" w:rsidRPr="000E340B">
        <w:rPr>
          <w:shd w:val="clear" w:color="auto" w:fill="FFFFFF"/>
        </w:rPr>
        <w:t>Argo</w:t>
      </w:r>
      <w:proofErr w:type="spellEnd"/>
      <w:r w:rsidR="0098254D" w:rsidRPr="000E340B">
        <w:rPr>
          <w:shd w:val="clear" w:color="auto" w:fill="FFFFFF"/>
        </w:rPr>
        <w:t> </w:t>
      </w:r>
      <w:r w:rsidR="00BE407F" w:rsidRPr="000E340B">
        <w:rPr>
          <w:shd w:val="clear" w:color="auto" w:fill="FFFFFF"/>
        </w:rPr>
        <w:t>E</w:t>
      </w:r>
      <w:r w:rsidR="0098254D" w:rsidRPr="000E340B">
        <w:rPr>
          <w:shd w:val="clear" w:color="auto" w:fill="FFFFFF"/>
        </w:rPr>
        <w:t> </w:t>
      </w:r>
      <w:proofErr w:type="spellStart"/>
      <w:r w:rsidR="00BE407F" w:rsidRPr="000E340B">
        <w:rPr>
          <w:shd w:val="clear" w:color="auto" w:fill="FFFFFF"/>
        </w:rPr>
        <w:t>Pro</w:t>
      </w:r>
      <w:proofErr w:type="spellEnd"/>
      <w:r w:rsidR="00BE407F" w:rsidRPr="000E340B">
        <w:rPr>
          <w:shd w:val="clear" w:color="auto" w:fill="FFFFFF"/>
        </w:rPr>
        <w:t>”</w:t>
      </w:r>
      <w:r w:rsidR="00AC67CE" w:rsidRPr="000E340B">
        <w:rPr>
          <w:shd w:val="clear" w:color="auto" w:fill="FFFFFF"/>
        </w:rPr>
        <w:t xml:space="preserve"> un </w:t>
      </w:r>
      <w:r w:rsidR="00A628EA" w:rsidRPr="000E340B">
        <w:rPr>
          <w:shd w:val="clear" w:color="auto" w:fill="FFFFFF"/>
        </w:rPr>
        <w:t xml:space="preserve">to munīciju – </w:t>
      </w:r>
      <w:r w:rsidR="00BE407F" w:rsidRPr="000E340B">
        <w:rPr>
          <w:shd w:val="clear" w:color="auto" w:fill="FFFFFF"/>
        </w:rPr>
        <w:t>195 patronas</w:t>
      </w:r>
      <w:r w:rsidR="006B41DA" w:rsidRPr="000E340B">
        <w:rPr>
          <w:shd w:val="clear" w:color="auto" w:fill="FFFFFF"/>
        </w:rPr>
        <w:t xml:space="preserve"> – </w:t>
      </w:r>
      <w:r w:rsidR="00A628EA" w:rsidRPr="000E340B">
        <w:rPr>
          <w:shd w:val="clear" w:color="auto" w:fill="FFFFFF"/>
        </w:rPr>
        <w:t xml:space="preserve">nolemts konfiscēt </w:t>
      </w:r>
      <w:r w:rsidR="00AC67CE" w:rsidRPr="000E340B">
        <w:rPr>
          <w:shd w:val="clear" w:color="auto" w:fill="FFFFFF"/>
        </w:rPr>
        <w:t>kā noziedzīga nodarījuma izdarīšanas priekšmetus.</w:t>
      </w:r>
    </w:p>
    <w:p w14:paraId="633AE1D1" w14:textId="77777777" w:rsidR="004C66FC" w:rsidRPr="000E340B" w:rsidRDefault="004C66FC" w:rsidP="00187B8A">
      <w:pPr>
        <w:pStyle w:val="NormalWeb"/>
        <w:widowControl w:val="0"/>
        <w:shd w:val="clear" w:color="auto" w:fill="FFFFFF"/>
        <w:spacing w:before="0" w:beforeAutospacing="0" w:after="0" w:afterAutospacing="0" w:line="276" w:lineRule="auto"/>
        <w:ind w:firstLine="720"/>
        <w:jc w:val="both"/>
        <w:rPr>
          <w:shd w:val="clear" w:color="auto" w:fill="FFFFFF"/>
        </w:rPr>
      </w:pPr>
    </w:p>
    <w:p w14:paraId="4C7BD002" w14:textId="29AE0B04" w:rsidR="004C66FC" w:rsidRPr="000E340B" w:rsidRDefault="004C66FC"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[2] </w:t>
      </w:r>
      <w:r w:rsidR="009102D4" w:rsidRPr="000E340B">
        <w:rPr>
          <w:shd w:val="clear" w:color="auto" w:fill="FFFFFF"/>
        </w:rPr>
        <w:t xml:space="preserve">Ar pirmās instances tiesas spriedumu apsūdzētais </w:t>
      </w:r>
      <w:r w:rsidR="00F20399">
        <w:t>[pers. A]</w:t>
      </w:r>
      <w:r w:rsidR="009102D4" w:rsidRPr="000E340B">
        <w:rPr>
          <w:shd w:val="clear" w:color="auto" w:fill="FFFFFF"/>
        </w:rPr>
        <w:t xml:space="preserve"> atzīts par vainīgu un sodīts pēc Krimināllikuma </w:t>
      </w:r>
      <w:r w:rsidR="00AF77E4" w:rsidRPr="000E340B">
        <w:rPr>
          <w:shd w:val="clear" w:color="auto" w:fill="FFFFFF"/>
        </w:rPr>
        <w:t>233</w:t>
      </w:r>
      <w:r w:rsidR="009102D4" w:rsidRPr="000E340B">
        <w:rPr>
          <w:shd w:val="clear" w:color="auto" w:fill="FFFFFF"/>
        </w:rPr>
        <w:t xml:space="preserve">. panta </w:t>
      </w:r>
      <w:r w:rsidR="00BC2FF6" w:rsidRPr="000E340B">
        <w:rPr>
          <w:shd w:val="clear" w:color="auto" w:fill="FFFFFF"/>
        </w:rPr>
        <w:t>otrās</w:t>
      </w:r>
      <w:r w:rsidR="009102D4" w:rsidRPr="000E340B">
        <w:rPr>
          <w:shd w:val="clear" w:color="auto" w:fill="FFFFFF"/>
        </w:rPr>
        <w:t xml:space="preserve"> daļas par </w:t>
      </w:r>
      <w:r w:rsidR="00BC2FF6" w:rsidRPr="000E340B">
        <w:rPr>
          <w:shd w:val="clear" w:color="auto" w:fill="FFFFFF"/>
        </w:rPr>
        <w:t xml:space="preserve">šaujamieroču un </w:t>
      </w:r>
      <w:r w:rsidR="00A628EA" w:rsidRPr="000E340B">
        <w:rPr>
          <w:shd w:val="clear" w:color="auto" w:fill="FFFFFF"/>
        </w:rPr>
        <w:t xml:space="preserve">to </w:t>
      </w:r>
      <w:r w:rsidR="00BC2FF6" w:rsidRPr="000E340B">
        <w:rPr>
          <w:shd w:val="clear" w:color="auto" w:fill="FFFFFF"/>
        </w:rPr>
        <w:t>munīcijas glabāšanu bez attiecīgas atļaujas</w:t>
      </w:r>
      <w:r w:rsidR="009102D4" w:rsidRPr="000E340B">
        <w:rPr>
          <w:shd w:val="clear" w:color="auto" w:fill="FFFFFF"/>
        </w:rPr>
        <w:t>.</w:t>
      </w:r>
    </w:p>
    <w:p w14:paraId="5B8037BD" w14:textId="77777777" w:rsidR="009102D4" w:rsidRPr="000E340B" w:rsidRDefault="009102D4" w:rsidP="00187B8A">
      <w:pPr>
        <w:pStyle w:val="NormalWeb"/>
        <w:widowControl w:val="0"/>
        <w:shd w:val="clear" w:color="auto" w:fill="FFFFFF"/>
        <w:spacing w:before="0" w:beforeAutospacing="0" w:after="0" w:afterAutospacing="0" w:line="276" w:lineRule="auto"/>
        <w:ind w:firstLine="720"/>
        <w:jc w:val="both"/>
        <w:rPr>
          <w:shd w:val="clear" w:color="auto" w:fill="FFFFFF"/>
        </w:rPr>
      </w:pPr>
    </w:p>
    <w:p w14:paraId="1FB7F89B" w14:textId="12DA4A86" w:rsidR="009102D4" w:rsidRPr="000E340B" w:rsidRDefault="009102D4"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[3] </w:t>
      </w:r>
      <w:r w:rsidR="00356F11" w:rsidRPr="000E340B">
        <w:rPr>
          <w:shd w:val="clear" w:color="auto" w:fill="FFFFFF"/>
        </w:rPr>
        <w:t>Ar Rīgas apgabaltiesas 202</w:t>
      </w:r>
      <w:r w:rsidR="008A26D7" w:rsidRPr="000E340B">
        <w:rPr>
          <w:shd w:val="clear" w:color="auto" w:fill="FFFFFF"/>
        </w:rPr>
        <w:t>5</w:t>
      </w:r>
      <w:r w:rsidR="00356F11" w:rsidRPr="000E340B">
        <w:rPr>
          <w:shd w:val="clear" w:color="auto" w:fill="FFFFFF"/>
        </w:rPr>
        <w:t xml:space="preserve">. gada </w:t>
      </w:r>
      <w:r w:rsidR="008A26D7" w:rsidRPr="000E340B">
        <w:rPr>
          <w:shd w:val="clear" w:color="auto" w:fill="FFFFFF"/>
        </w:rPr>
        <w:t>25</w:t>
      </w:r>
      <w:r w:rsidR="00356F11" w:rsidRPr="000E340B">
        <w:rPr>
          <w:shd w:val="clear" w:color="auto" w:fill="FFFFFF"/>
        </w:rPr>
        <w:t>. </w:t>
      </w:r>
      <w:r w:rsidR="008A26D7" w:rsidRPr="000E340B">
        <w:rPr>
          <w:shd w:val="clear" w:color="auto" w:fill="FFFFFF"/>
        </w:rPr>
        <w:t>marta</w:t>
      </w:r>
      <w:r w:rsidR="00356F11" w:rsidRPr="000E340B">
        <w:rPr>
          <w:shd w:val="clear" w:color="auto" w:fill="FFFFFF"/>
        </w:rPr>
        <w:t xml:space="preserve"> </w:t>
      </w:r>
      <w:r w:rsidR="008A26D7" w:rsidRPr="000E340B">
        <w:rPr>
          <w:shd w:val="clear" w:color="auto" w:fill="FFFFFF"/>
        </w:rPr>
        <w:t>spriedumu</w:t>
      </w:r>
      <w:r w:rsidR="00356F11" w:rsidRPr="000E340B">
        <w:rPr>
          <w:shd w:val="clear" w:color="auto" w:fill="FFFFFF"/>
        </w:rPr>
        <w:t xml:space="preserve">, iztiesājot </w:t>
      </w:r>
      <w:r w:rsidR="0062261A" w:rsidRPr="000E340B">
        <w:rPr>
          <w:shd w:val="clear" w:color="auto" w:fill="FFFFFF"/>
        </w:rPr>
        <w:t>krimināl</w:t>
      </w:r>
      <w:r w:rsidR="00356F11" w:rsidRPr="000E340B">
        <w:rPr>
          <w:shd w:val="clear" w:color="auto" w:fill="FFFFFF"/>
        </w:rPr>
        <w:t xml:space="preserve">lietu </w:t>
      </w:r>
      <w:r w:rsidR="008A26D7" w:rsidRPr="000E340B">
        <w:rPr>
          <w:shd w:val="clear" w:color="auto" w:fill="FFFFFF"/>
        </w:rPr>
        <w:t xml:space="preserve">apelācijas kārtībā </w:t>
      </w:r>
      <w:r w:rsidR="00356F11" w:rsidRPr="000E340B">
        <w:rPr>
          <w:shd w:val="clear" w:color="auto" w:fill="FFFFFF"/>
        </w:rPr>
        <w:t xml:space="preserve">sakarā ar apsūdzētā </w:t>
      </w:r>
      <w:r w:rsidR="008A26D7" w:rsidRPr="000E340B">
        <w:rPr>
          <w:shd w:val="clear" w:color="auto" w:fill="FFFFFF"/>
        </w:rPr>
        <w:t>aizstāves</w:t>
      </w:r>
      <w:r w:rsidR="00356F11" w:rsidRPr="000E340B">
        <w:rPr>
          <w:shd w:val="clear" w:color="auto" w:fill="FFFFFF"/>
        </w:rPr>
        <w:t xml:space="preserve"> </w:t>
      </w:r>
      <w:r w:rsidR="008A26D7" w:rsidRPr="000E340B">
        <w:rPr>
          <w:shd w:val="clear" w:color="auto" w:fill="FFFFFF"/>
        </w:rPr>
        <w:t>L. Pētersones</w:t>
      </w:r>
      <w:r w:rsidR="00356F11" w:rsidRPr="000E340B">
        <w:rPr>
          <w:shd w:val="clear" w:color="auto" w:fill="FFFFFF"/>
        </w:rPr>
        <w:t xml:space="preserve"> </w:t>
      </w:r>
      <w:r w:rsidR="00917E0B" w:rsidRPr="000E340B">
        <w:rPr>
          <w:shd w:val="clear" w:color="auto" w:fill="FFFFFF"/>
        </w:rPr>
        <w:t>apelācijas</w:t>
      </w:r>
      <w:r w:rsidR="00356F11" w:rsidRPr="000E340B">
        <w:rPr>
          <w:shd w:val="clear" w:color="auto" w:fill="FFFFFF"/>
        </w:rPr>
        <w:t xml:space="preserve"> sūdzīb</w:t>
      </w:r>
      <w:r w:rsidR="00B032D0" w:rsidRPr="000E340B">
        <w:rPr>
          <w:shd w:val="clear" w:color="auto" w:fill="FFFFFF"/>
        </w:rPr>
        <w:t>u</w:t>
      </w:r>
      <w:r w:rsidR="00356F11" w:rsidRPr="000E340B">
        <w:rPr>
          <w:shd w:val="clear" w:color="auto" w:fill="FFFFFF"/>
        </w:rPr>
        <w:t>, Rīgas pilsētas tiesas 202</w:t>
      </w:r>
      <w:r w:rsidR="0017398A" w:rsidRPr="000E340B">
        <w:rPr>
          <w:shd w:val="clear" w:color="auto" w:fill="FFFFFF"/>
        </w:rPr>
        <w:t>3</w:t>
      </w:r>
      <w:r w:rsidR="00356F11" w:rsidRPr="000E340B">
        <w:rPr>
          <w:shd w:val="clear" w:color="auto" w:fill="FFFFFF"/>
        </w:rPr>
        <w:t xml:space="preserve">. gada </w:t>
      </w:r>
      <w:r w:rsidR="0017398A" w:rsidRPr="000E340B">
        <w:rPr>
          <w:shd w:val="clear" w:color="auto" w:fill="FFFFFF"/>
        </w:rPr>
        <w:t>2</w:t>
      </w:r>
      <w:r w:rsidR="00356F11" w:rsidRPr="000E340B">
        <w:rPr>
          <w:shd w:val="clear" w:color="auto" w:fill="FFFFFF"/>
        </w:rPr>
        <w:t>3. </w:t>
      </w:r>
      <w:r w:rsidR="0017398A" w:rsidRPr="000E340B">
        <w:rPr>
          <w:shd w:val="clear" w:color="auto" w:fill="FFFFFF"/>
        </w:rPr>
        <w:t>oktobra</w:t>
      </w:r>
      <w:r w:rsidR="00356F11" w:rsidRPr="000E340B">
        <w:rPr>
          <w:shd w:val="clear" w:color="auto" w:fill="FFFFFF"/>
        </w:rPr>
        <w:t xml:space="preserve"> spriedums atcelts </w:t>
      </w:r>
      <w:r w:rsidR="0017398A" w:rsidRPr="000E340B">
        <w:rPr>
          <w:shd w:val="clear" w:color="auto" w:fill="FFFFFF"/>
        </w:rPr>
        <w:t xml:space="preserve">daļā par </w:t>
      </w:r>
      <w:r w:rsidR="0098254D" w:rsidRPr="000E340B">
        <w:rPr>
          <w:shd w:val="clear" w:color="auto" w:fill="FFFFFF"/>
        </w:rPr>
        <w:t>apsūdzētajam</w:t>
      </w:r>
      <w:r w:rsidR="0017398A" w:rsidRPr="000E340B">
        <w:rPr>
          <w:shd w:val="clear" w:color="auto" w:fill="FFFFFF"/>
        </w:rPr>
        <w:t xml:space="preserve"> noteikto sodu pēc Krimināllikuma 233. panta otrās daļas</w:t>
      </w:r>
      <w:r w:rsidR="00356F11" w:rsidRPr="000E340B">
        <w:rPr>
          <w:shd w:val="clear" w:color="auto" w:fill="FFFFFF"/>
        </w:rPr>
        <w:t>.</w:t>
      </w:r>
    </w:p>
    <w:p w14:paraId="1AC24980" w14:textId="363CB521" w:rsidR="003F4FF3" w:rsidRPr="000E340B" w:rsidRDefault="00F20399" w:rsidP="00187B8A">
      <w:pPr>
        <w:pStyle w:val="NormalWeb"/>
        <w:widowControl w:val="0"/>
        <w:shd w:val="clear" w:color="auto" w:fill="FFFFFF"/>
        <w:spacing w:before="0" w:beforeAutospacing="0" w:after="0" w:afterAutospacing="0" w:line="276" w:lineRule="auto"/>
        <w:ind w:firstLine="720"/>
        <w:jc w:val="both"/>
        <w:rPr>
          <w:shd w:val="clear" w:color="auto" w:fill="FFFFFF"/>
        </w:rPr>
      </w:pPr>
      <w:r>
        <w:t>[</w:t>
      </w:r>
      <w:r>
        <w:t>P</w:t>
      </w:r>
      <w:r>
        <w:t>ers. A]</w:t>
      </w:r>
      <w:r w:rsidR="0062261A" w:rsidRPr="000E340B">
        <w:rPr>
          <w:shd w:val="clear" w:color="auto" w:fill="FFFFFF"/>
        </w:rPr>
        <w:t xml:space="preserve"> </w:t>
      </w:r>
      <w:r w:rsidR="0034555C" w:rsidRPr="000E340B">
        <w:rPr>
          <w:shd w:val="clear" w:color="auto" w:fill="FFFFFF"/>
        </w:rPr>
        <w:t>sodīts</w:t>
      </w:r>
      <w:r w:rsidR="0062261A" w:rsidRPr="000E340B">
        <w:rPr>
          <w:shd w:val="clear" w:color="auto" w:fill="FFFFFF"/>
        </w:rPr>
        <w:t>, piemērojot Krimināllikuma 49.</w:t>
      </w:r>
      <w:r w:rsidR="0062261A" w:rsidRPr="000E340B">
        <w:rPr>
          <w:shd w:val="clear" w:color="auto" w:fill="FFFFFF"/>
          <w:vertAlign w:val="superscript"/>
        </w:rPr>
        <w:t>1</w:t>
      </w:r>
      <w:r w:rsidR="0062261A" w:rsidRPr="000E340B">
        <w:rPr>
          <w:shd w:val="clear" w:color="auto" w:fill="FFFFFF"/>
        </w:rPr>
        <w:t xml:space="preserve"> panta pirmās daļas 1. punktu, </w:t>
      </w:r>
      <w:r w:rsidR="0034555C" w:rsidRPr="000E340B">
        <w:rPr>
          <w:shd w:val="clear" w:color="auto" w:fill="FFFFFF"/>
        </w:rPr>
        <w:t xml:space="preserve">ar </w:t>
      </w:r>
      <w:r w:rsidR="0062261A" w:rsidRPr="000E340B">
        <w:rPr>
          <w:shd w:val="clear" w:color="auto" w:fill="FFFFFF"/>
        </w:rPr>
        <w:t>sabiedrisk</w:t>
      </w:r>
      <w:r w:rsidR="0034555C" w:rsidRPr="000E340B">
        <w:rPr>
          <w:shd w:val="clear" w:color="auto" w:fill="FFFFFF"/>
        </w:rPr>
        <w:t>o</w:t>
      </w:r>
      <w:r w:rsidR="0062261A" w:rsidRPr="000E340B">
        <w:rPr>
          <w:shd w:val="clear" w:color="auto" w:fill="FFFFFF"/>
        </w:rPr>
        <w:t xml:space="preserve"> darb</w:t>
      </w:r>
      <w:r w:rsidR="00BC28B4" w:rsidRPr="000E340B">
        <w:rPr>
          <w:shd w:val="clear" w:color="auto" w:fill="FFFFFF"/>
        </w:rPr>
        <w:t>u</w:t>
      </w:r>
      <w:r w:rsidR="0062261A" w:rsidRPr="000E340B">
        <w:rPr>
          <w:shd w:val="clear" w:color="auto" w:fill="FFFFFF"/>
        </w:rPr>
        <w:t xml:space="preserve"> uz 80 stundām.</w:t>
      </w:r>
    </w:p>
    <w:p w14:paraId="001EF3F9" w14:textId="1E53EEA3" w:rsidR="0062261A" w:rsidRPr="000E340B" w:rsidRDefault="0062261A"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 xml:space="preserve">Pārējā daļā </w:t>
      </w:r>
      <w:r w:rsidR="0034555C" w:rsidRPr="000E340B">
        <w:rPr>
          <w:shd w:val="clear" w:color="auto" w:fill="FFFFFF"/>
        </w:rPr>
        <w:t>pirmās instances tiesas</w:t>
      </w:r>
      <w:r w:rsidRPr="000E340B">
        <w:rPr>
          <w:shd w:val="clear" w:color="auto" w:fill="FFFFFF"/>
        </w:rPr>
        <w:t xml:space="preserve"> spriedums atstāts negrozīts.</w:t>
      </w:r>
    </w:p>
    <w:p w14:paraId="54136472" w14:textId="77777777" w:rsidR="00C62697" w:rsidRPr="000E340B" w:rsidRDefault="00C62697" w:rsidP="00187B8A">
      <w:pPr>
        <w:pStyle w:val="NormalWeb"/>
        <w:widowControl w:val="0"/>
        <w:shd w:val="clear" w:color="auto" w:fill="FFFFFF"/>
        <w:spacing w:before="0" w:beforeAutospacing="0" w:after="0" w:afterAutospacing="0" w:line="276" w:lineRule="auto"/>
        <w:ind w:firstLine="720"/>
        <w:jc w:val="both"/>
        <w:rPr>
          <w:shd w:val="clear" w:color="auto" w:fill="FFFFFF"/>
        </w:rPr>
      </w:pPr>
    </w:p>
    <w:p w14:paraId="5695A819" w14:textId="20CCE776" w:rsidR="00356F11" w:rsidRPr="000E340B" w:rsidRDefault="00356F11" w:rsidP="00187B8A">
      <w:pPr>
        <w:pStyle w:val="NormalWeb"/>
        <w:widowControl w:val="0"/>
        <w:shd w:val="clear" w:color="auto" w:fill="FFFFFF"/>
        <w:spacing w:before="0" w:beforeAutospacing="0" w:after="0" w:afterAutospacing="0" w:line="276" w:lineRule="auto"/>
        <w:ind w:firstLine="720"/>
        <w:jc w:val="both"/>
      </w:pPr>
      <w:r w:rsidRPr="000E340B">
        <w:rPr>
          <w:shd w:val="clear" w:color="auto" w:fill="FFFFFF"/>
        </w:rPr>
        <w:t>[4] </w:t>
      </w:r>
      <w:r w:rsidR="00AE3CB0" w:rsidRPr="000E340B">
        <w:rPr>
          <w:shd w:val="clear" w:color="auto" w:fill="FFFFFF"/>
        </w:rPr>
        <w:t>Par Rīgas apgabaltiesas 202</w:t>
      </w:r>
      <w:r w:rsidR="00BC6CD8" w:rsidRPr="000E340B">
        <w:rPr>
          <w:shd w:val="clear" w:color="auto" w:fill="FFFFFF"/>
        </w:rPr>
        <w:t>5</w:t>
      </w:r>
      <w:r w:rsidR="00AE3CB0" w:rsidRPr="000E340B">
        <w:rPr>
          <w:shd w:val="clear" w:color="auto" w:fill="FFFFFF"/>
        </w:rPr>
        <w:t xml:space="preserve">. gada </w:t>
      </w:r>
      <w:r w:rsidR="00BC6CD8" w:rsidRPr="000E340B">
        <w:rPr>
          <w:shd w:val="clear" w:color="auto" w:fill="FFFFFF"/>
        </w:rPr>
        <w:t>25</w:t>
      </w:r>
      <w:r w:rsidR="00AE3CB0" w:rsidRPr="000E340B">
        <w:rPr>
          <w:shd w:val="clear" w:color="auto" w:fill="FFFFFF"/>
        </w:rPr>
        <w:t>. </w:t>
      </w:r>
      <w:r w:rsidR="00BC6CD8" w:rsidRPr="000E340B">
        <w:rPr>
          <w:shd w:val="clear" w:color="auto" w:fill="FFFFFF"/>
        </w:rPr>
        <w:t>marta</w:t>
      </w:r>
      <w:r w:rsidR="00AE3CB0" w:rsidRPr="000E340B">
        <w:rPr>
          <w:shd w:val="clear" w:color="auto" w:fill="FFFFFF"/>
        </w:rPr>
        <w:t xml:space="preserve"> </w:t>
      </w:r>
      <w:r w:rsidR="00BC6CD8" w:rsidRPr="000E340B">
        <w:rPr>
          <w:shd w:val="clear" w:color="auto" w:fill="FFFFFF"/>
        </w:rPr>
        <w:t>spriedumu</w:t>
      </w:r>
      <w:r w:rsidR="00AE3CB0" w:rsidRPr="000E340B">
        <w:rPr>
          <w:shd w:val="clear" w:color="auto" w:fill="FFFFFF"/>
        </w:rPr>
        <w:t xml:space="preserve"> </w:t>
      </w:r>
      <w:r w:rsidR="00B15990" w:rsidRPr="000E340B">
        <w:rPr>
          <w:shd w:val="clear" w:color="auto" w:fill="FFFFFF"/>
        </w:rPr>
        <w:t xml:space="preserve">apsūdzētais </w:t>
      </w:r>
      <w:r w:rsidR="00DE1B21">
        <w:t>[pers. A]</w:t>
      </w:r>
      <w:r w:rsidR="00B15990" w:rsidRPr="000E340B">
        <w:rPr>
          <w:shd w:val="clear" w:color="auto" w:fill="FFFFFF"/>
        </w:rPr>
        <w:t xml:space="preserve"> un viņa aizstāve L. Pētersone iesnieguši </w:t>
      </w:r>
      <w:r w:rsidR="00B46C8F" w:rsidRPr="000E340B">
        <w:rPr>
          <w:shd w:val="clear" w:color="auto" w:fill="FFFFFF"/>
        </w:rPr>
        <w:t>kasācijas sūdzības</w:t>
      </w:r>
      <w:r w:rsidR="00AE3CB0" w:rsidRPr="000E340B">
        <w:t xml:space="preserve">, </w:t>
      </w:r>
      <w:r w:rsidR="00B15990" w:rsidRPr="000E340B">
        <w:t xml:space="preserve">kurās lūguši </w:t>
      </w:r>
      <w:r w:rsidR="00043E5F" w:rsidRPr="000E340B">
        <w:t>atcelt</w:t>
      </w:r>
      <w:r w:rsidR="00AE3CB0" w:rsidRPr="000E340B">
        <w:t xml:space="preserve"> </w:t>
      </w:r>
      <w:r w:rsidR="009E5ABB" w:rsidRPr="000E340B">
        <w:t xml:space="preserve">apelācijas instances tiesas nolēmumu </w:t>
      </w:r>
      <w:r w:rsidR="00AE3CB0" w:rsidRPr="000E340B">
        <w:t>un nosūtīt lietu jaunai izskatīšanai apelācijas instances tiesā.</w:t>
      </w:r>
    </w:p>
    <w:p w14:paraId="32FA4813" w14:textId="5460F8A5" w:rsidR="008E3184" w:rsidRPr="000E340B" w:rsidRDefault="00B46C8F" w:rsidP="00187B8A">
      <w:pPr>
        <w:widowControl w:val="0"/>
        <w:spacing w:line="276" w:lineRule="auto"/>
        <w:ind w:firstLine="720"/>
        <w:jc w:val="both"/>
        <w:rPr>
          <w:shd w:val="clear" w:color="auto" w:fill="FFFFFF"/>
        </w:rPr>
      </w:pPr>
      <w:r w:rsidRPr="000E340B">
        <w:t>[4.1] </w:t>
      </w:r>
      <w:r w:rsidR="00995009" w:rsidRPr="000E340B">
        <w:t>Pamatojot savu lūgumu, a</w:t>
      </w:r>
      <w:r w:rsidR="00D117C4" w:rsidRPr="000E340B">
        <w:t xml:space="preserve">izstāve </w:t>
      </w:r>
      <w:r w:rsidR="00995009" w:rsidRPr="000E340B">
        <w:t xml:space="preserve">norādījusi, ka </w:t>
      </w:r>
      <w:r w:rsidR="00995009" w:rsidRPr="000E340B">
        <w:rPr>
          <w:shd w:val="clear" w:color="auto" w:fill="FFFFFF"/>
        </w:rPr>
        <w:t xml:space="preserve">tiesa </w:t>
      </w:r>
      <w:r w:rsidR="00811DA0" w:rsidRPr="000E340B">
        <w:rPr>
          <w:shd w:val="clear" w:color="auto" w:fill="FFFFFF"/>
        </w:rPr>
        <w:t>nepamatoti</w:t>
      </w:r>
      <w:r w:rsidR="00995009" w:rsidRPr="000E340B">
        <w:rPr>
          <w:shd w:val="clear" w:color="auto" w:fill="FFFFFF"/>
        </w:rPr>
        <w:t xml:space="preserve"> atzinusi apsūdzēto par vainīgu Krimināllikuma 233. panta otrajā daļā paredzēt</w:t>
      </w:r>
      <w:r w:rsidR="00B75F59" w:rsidRPr="000E340B">
        <w:rPr>
          <w:shd w:val="clear" w:color="auto" w:fill="FFFFFF"/>
        </w:rPr>
        <w:t>ajā</w:t>
      </w:r>
      <w:r w:rsidR="00995009" w:rsidRPr="000E340B">
        <w:rPr>
          <w:shd w:val="clear" w:color="auto" w:fill="FFFFFF"/>
        </w:rPr>
        <w:t xml:space="preserve"> noziedzīg</w:t>
      </w:r>
      <w:r w:rsidR="00B75F59" w:rsidRPr="000E340B">
        <w:rPr>
          <w:shd w:val="clear" w:color="auto" w:fill="FFFFFF"/>
        </w:rPr>
        <w:t>ajā</w:t>
      </w:r>
      <w:r w:rsidR="00995009" w:rsidRPr="000E340B">
        <w:rPr>
          <w:shd w:val="clear" w:color="auto" w:fill="FFFFFF"/>
        </w:rPr>
        <w:t xml:space="preserve"> nodarījum</w:t>
      </w:r>
      <w:r w:rsidR="00B75F59" w:rsidRPr="000E340B">
        <w:rPr>
          <w:shd w:val="clear" w:color="auto" w:fill="FFFFFF"/>
        </w:rPr>
        <w:t>ā</w:t>
      </w:r>
      <w:r w:rsidR="00811DA0" w:rsidRPr="000E340B">
        <w:rPr>
          <w:shd w:val="clear" w:color="auto" w:fill="FFFFFF"/>
        </w:rPr>
        <w:t>, jo viņa darbībās nav konstatējam</w:t>
      </w:r>
      <w:r w:rsidR="0089662D" w:rsidRPr="000E340B">
        <w:rPr>
          <w:shd w:val="clear" w:color="auto" w:fill="FFFFFF"/>
        </w:rPr>
        <w:t>s</w:t>
      </w:r>
      <w:r w:rsidR="00811DA0" w:rsidRPr="000E340B">
        <w:rPr>
          <w:shd w:val="clear" w:color="auto" w:fill="FFFFFF"/>
        </w:rPr>
        <w:t xml:space="preserve"> šā </w:t>
      </w:r>
      <w:r w:rsidR="0089662D" w:rsidRPr="000E340B">
        <w:rPr>
          <w:shd w:val="clear" w:color="auto" w:fill="FFFFFF"/>
        </w:rPr>
        <w:t xml:space="preserve">noziedzīgā </w:t>
      </w:r>
      <w:r w:rsidR="00811DA0" w:rsidRPr="000E340B">
        <w:rPr>
          <w:shd w:val="clear" w:color="auto" w:fill="FFFFFF"/>
        </w:rPr>
        <w:t xml:space="preserve">nodarījuma </w:t>
      </w:r>
      <w:r w:rsidR="00CB2CC2" w:rsidRPr="000E340B">
        <w:rPr>
          <w:shd w:val="clear" w:color="auto" w:fill="FFFFFF"/>
        </w:rPr>
        <w:t>sastāvs</w:t>
      </w:r>
      <w:r w:rsidR="00B75F59" w:rsidRPr="000E340B">
        <w:rPr>
          <w:shd w:val="clear" w:color="auto" w:fill="FFFFFF"/>
        </w:rPr>
        <w:t>.</w:t>
      </w:r>
    </w:p>
    <w:p w14:paraId="0EA6FEB9" w14:textId="30233D8E" w:rsidR="005A2C40" w:rsidRPr="000E340B" w:rsidRDefault="00585771"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Apelācijas instances tiesa</w:t>
      </w:r>
      <w:r w:rsidR="0046779D" w:rsidRPr="000E340B">
        <w:rPr>
          <w:shd w:val="clear" w:color="auto" w:fill="FFFFFF"/>
        </w:rPr>
        <w:t xml:space="preserve"> nav </w:t>
      </w:r>
      <w:r w:rsidR="00D62326" w:rsidRPr="000E340B">
        <w:rPr>
          <w:shd w:val="clear" w:color="auto" w:fill="FFFFFF"/>
        </w:rPr>
        <w:t xml:space="preserve">ņēmusi vērā, ka </w:t>
      </w:r>
      <w:r w:rsidR="000B15EB" w:rsidRPr="000E340B">
        <w:rPr>
          <w:shd w:val="clear" w:color="auto" w:fill="FFFFFF"/>
        </w:rPr>
        <w:t>Ieroču aprites likums</w:t>
      </w:r>
      <w:r w:rsidR="00383A1E" w:rsidRPr="000E340B">
        <w:rPr>
          <w:shd w:val="clear" w:color="auto" w:fill="FFFFFF"/>
        </w:rPr>
        <w:t xml:space="preserve">, </w:t>
      </w:r>
      <w:r w:rsidR="000B15EB" w:rsidRPr="000E340B">
        <w:rPr>
          <w:shd w:val="clear" w:color="auto" w:fill="FFFFFF"/>
        </w:rPr>
        <w:t xml:space="preserve">Ministru kabineta 2019. gada 21. maija noteikumi Nr. 211 „Noteikumi par ieroču atļaujām un par ieroču izņemšanu un iznīcināšanu” </w:t>
      </w:r>
      <w:r w:rsidR="00383A1E" w:rsidRPr="000E340B">
        <w:rPr>
          <w:shd w:val="clear" w:color="auto" w:fill="FFFFFF"/>
        </w:rPr>
        <w:t xml:space="preserve">un Nr. 210 „Noteikumi par ieroču un munīcijas apriti” </w:t>
      </w:r>
      <w:r w:rsidR="0098254D" w:rsidRPr="000E340B">
        <w:rPr>
          <w:shd w:val="clear" w:color="auto" w:fill="FFFFFF"/>
        </w:rPr>
        <w:t>pretrunīgi reglamentē</w:t>
      </w:r>
      <w:r w:rsidR="000B15EB" w:rsidRPr="000E340B">
        <w:rPr>
          <w:shd w:val="clear" w:color="auto" w:fill="FFFFFF"/>
        </w:rPr>
        <w:t xml:space="preserve"> persona</w:t>
      </w:r>
      <w:r w:rsidR="0098254D" w:rsidRPr="000E340B">
        <w:rPr>
          <w:shd w:val="clear" w:color="auto" w:fill="FFFFFF"/>
        </w:rPr>
        <w:t xml:space="preserve">s rīcību ar ieročiem pēc </w:t>
      </w:r>
      <w:r w:rsidR="00383A1E" w:rsidRPr="000E340B">
        <w:rPr>
          <w:shd w:val="clear" w:color="auto" w:fill="FFFFFF"/>
        </w:rPr>
        <w:t>ieroču glabāšanas atļauja</w:t>
      </w:r>
      <w:r w:rsidR="0098254D" w:rsidRPr="000E340B">
        <w:rPr>
          <w:shd w:val="clear" w:color="auto" w:fill="FFFFFF"/>
        </w:rPr>
        <w:t>s anulēšanas</w:t>
      </w:r>
      <w:r w:rsidR="00B77BFC" w:rsidRPr="000E340B">
        <w:rPr>
          <w:shd w:val="clear" w:color="auto" w:fill="FFFFFF"/>
        </w:rPr>
        <w:t>, proti,</w:t>
      </w:r>
      <w:r w:rsidR="00E21E3B" w:rsidRPr="000E340B">
        <w:rPr>
          <w:shd w:val="clear" w:color="auto" w:fill="FFFFFF"/>
        </w:rPr>
        <w:t xml:space="preserve"> </w:t>
      </w:r>
      <w:r w:rsidR="00197CF6" w:rsidRPr="000E340B">
        <w:rPr>
          <w:shd w:val="clear" w:color="auto" w:fill="FFFFFF"/>
        </w:rPr>
        <w:t xml:space="preserve">persona nav tiesīga pārvadāt ieročus, </w:t>
      </w:r>
      <w:r w:rsidR="00952DD3" w:rsidRPr="000E340B">
        <w:rPr>
          <w:shd w:val="clear" w:color="auto" w:fill="FFFFFF"/>
        </w:rPr>
        <w:t xml:space="preserve">tomēr </w:t>
      </w:r>
      <w:r w:rsidR="00197CF6" w:rsidRPr="000E340B">
        <w:rPr>
          <w:shd w:val="clear" w:color="auto" w:fill="FFFFFF"/>
        </w:rPr>
        <w:t xml:space="preserve">tai ir pienākums tos nodot noteiktajā termiņā. </w:t>
      </w:r>
      <w:r w:rsidR="003575DC" w:rsidRPr="000E340B">
        <w:rPr>
          <w:shd w:val="clear" w:color="auto" w:fill="FFFFFF"/>
        </w:rPr>
        <w:t xml:space="preserve">Ievērojot minēto, </w:t>
      </w:r>
      <w:r w:rsidR="00B77BFC" w:rsidRPr="000E340B">
        <w:rPr>
          <w:shd w:val="clear" w:color="auto" w:fill="FFFFFF"/>
        </w:rPr>
        <w:t xml:space="preserve">apsūdzētais objektīvi </w:t>
      </w:r>
      <w:r w:rsidR="00EB4E46" w:rsidRPr="000E340B">
        <w:rPr>
          <w:shd w:val="clear" w:color="auto" w:fill="FFFFFF"/>
        </w:rPr>
        <w:t xml:space="preserve">nav </w:t>
      </w:r>
      <w:r w:rsidR="00B77BFC" w:rsidRPr="000E340B">
        <w:rPr>
          <w:shd w:val="clear" w:color="auto" w:fill="FFFFFF"/>
        </w:rPr>
        <w:t>varēj</w:t>
      </w:r>
      <w:r w:rsidR="00EB4E46" w:rsidRPr="000E340B">
        <w:rPr>
          <w:shd w:val="clear" w:color="auto" w:fill="FFFFFF"/>
        </w:rPr>
        <w:t>is</w:t>
      </w:r>
      <w:r w:rsidR="00B77BFC" w:rsidRPr="000E340B">
        <w:rPr>
          <w:shd w:val="clear" w:color="auto" w:fill="FFFFFF"/>
        </w:rPr>
        <w:t xml:space="preserve"> nodot šaujamieročus, jo to pārvadāšana pēc atļaujas anulēšanas </w:t>
      </w:r>
      <w:r w:rsidR="00EB4E46" w:rsidRPr="000E340B">
        <w:rPr>
          <w:shd w:val="clear" w:color="auto" w:fill="FFFFFF"/>
        </w:rPr>
        <w:t xml:space="preserve">pati par sevi </w:t>
      </w:r>
      <w:r w:rsidR="00B77BFC" w:rsidRPr="000E340B">
        <w:rPr>
          <w:shd w:val="clear" w:color="auto" w:fill="FFFFFF"/>
        </w:rPr>
        <w:t>ir krimināltiesiski sodāma darbība</w:t>
      </w:r>
      <w:r w:rsidR="005A2C40" w:rsidRPr="000E340B">
        <w:rPr>
          <w:shd w:val="clear" w:color="auto" w:fill="FFFFFF"/>
        </w:rPr>
        <w:t>.</w:t>
      </w:r>
    </w:p>
    <w:p w14:paraId="78538209" w14:textId="7C42339F" w:rsidR="00317F4F" w:rsidRPr="000E340B" w:rsidRDefault="003575DC"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 xml:space="preserve">Turklāt </w:t>
      </w:r>
      <w:r w:rsidR="007C49A8" w:rsidRPr="000E340B">
        <w:rPr>
          <w:shd w:val="clear" w:color="auto" w:fill="FFFFFF"/>
        </w:rPr>
        <w:t>V</w:t>
      </w:r>
      <w:r w:rsidR="005A2C40" w:rsidRPr="000E340B">
        <w:rPr>
          <w:shd w:val="clear" w:color="auto" w:fill="FFFFFF"/>
        </w:rPr>
        <w:t>alsts policijas lēmumā par šaujamieroču glabāšanas atļaujas anulēšanu nav norādīts, kādā veidā un kam šaujamieroči un to munīcija</w:t>
      </w:r>
      <w:r w:rsidRPr="000E340B">
        <w:rPr>
          <w:shd w:val="clear" w:color="auto" w:fill="FFFFFF"/>
        </w:rPr>
        <w:t xml:space="preserve"> ir nododama</w:t>
      </w:r>
      <w:r w:rsidR="005A2C40" w:rsidRPr="000E340B">
        <w:rPr>
          <w:shd w:val="clear" w:color="auto" w:fill="FFFFFF"/>
        </w:rPr>
        <w:t xml:space="preserve">, kā arī </w:t>
      </w:r>
      <w:r w:rsidRPr="000E340B">
        <w:rPr>
          <w:shd w:val="clear" w:color="auto" w:fill="FFFFFF"/>
        </w:rPr>
        <w:t>nav ietverts b</w:t>
      </w:r>
      <w:r w:rsidR="005A2C40" w:rsidRPr="000E340B">
        <w:rPr>
          <w:shd w:val="clear" w:color="auto" w:fill="FFFFFF"/>
        </w:rPr>
        <w:t xml:space="preserve">rīdinājums par iespējamo kriminālatbildību šī rīkojuma neizpildes gadījumā, aprobežojoties </w:t>
      </w:r>
      <w:r w:rsidRPr="000E340B">
        <w:rPr>
          <w:shd w:val="clear" w:color="auto" w:fill="FFFFFF"/>
        </w:rPr>
        <w:t>vienīgi</w:t>
      </w:r>
      <w:r w:rsidR="005A2C40" w:rsidRPr="000E340B">
        <w:rPr>
          <w:shd w:val="clear" w:color="auto" w:fill="FFFFFF"/>
        </w:rPr>
        <w:t xml:space="preserve"> ar atsauci uz Ieroču aprites likuma 90. panta trešās daļas 3. punktā noteiktajām Valsts policijas darbinieka tiesībām izņemt personai piederošos ieročus un munīciju, ja persona, kurai anulēta ieroča atļauja, tos nav nodevusi noteiktajā termiņā. Tādējādi apsūdzēt</w:t>
      </w:r>
      <w:r w:rsidRPr="000E340B">
        <w:rPr>
          <w:shd w:val="clear" w:color="auto" w:fill="FFFFFF"/>
        </w:rPr>
        <w:t>ais varējis</w:t>
      </w:r>
      <w:r w:rsidR="005A2C40" w:rsidRPr="000E340B">
        <w:rPr>
          <w:shd w:val="clear" w:color="auto" w:fill="FFFFFF"/>
        </w:rPr>
        <w:t xml:space="preserve"> paļau</w:t>
      </w:r>
      <w:r w:rsidRPr="000E340B">
        <w:rPr>
          <w:shd w:val="clear" w:color="auto" w:fill="FFFFFF"/>
        </w:rPr>
        <w:t xml:space="preserve">ties, </w:t>
      </w:r>
      <w:r w:rsidR="009E6D21" w:rsidRPr="000E340B">
        <w:rPr>
          <w:shd w:val="clear" w:color="auto" w:fill="FFFFFF"/>
        </w:rPr>
        <w:t xml:space="preserve">ka </w:t>
      </w:r>
      <w:r w:rsidR="00317F4F" w:rsidRPr="000E340B">
        <w:rPr>
          <w:shd w:val="clear" w:color="auto" w:fill="FFFFFF"/>
        </w:rPr>
        <w:t>V</w:t>
      </w:r>
      <w:r w:rsidR="005A2C40" w:rsidRPr="000E340B">
        <w:rPr>
          <w:shd w:val="clear" w:color="auto" w:fill="FFFFFF"/>
        </w:rPr>
        <w:t>alsts policijas darbinieki izņems šaujamieročus</w:t>
      </w:r>
      <w:r w:rsidRPr="000E340B">
        <w:rPr>
          <w:shd w:val="clear" w:color="auto" w:fill="FFFFFF"/>
        </w:rPr>
        <w:t xml:space="preserve"> pēc noteiktā termiņa beigām. </w:t>
      </w:r>
      <w:r w:rsidR="007C49A8" w:rsidRPr="000E340B">
        <w:rPr>
          <w:shd w:val="clear" w:color="auto" w:fill="FFFFFF"/>
        </w:rPr>
        <w:t>Savukārt t</w:t>
      </w:r>
      <w:r w:rsidRPr="000E340B">
        <w:rPr>
          <w:shd w:val="clear" w:color="auto" w:fill="FFFFFF"/>
        </w:rPr>
        <w:t>iesa nepamatoti secinājusi, ka apsūdzētā juridiskā izglītība un ieroču aprites kārtības kvalifikācijas pārbaudījuma nokārtošana norāda</w:t>
      </w:r>
      <w:r w:rsidR="009E6D21" w:rsidRPr="000E340B">
        <w:rPr>
          <w:shd w:val="clear" w:color="auto" w:fill="FFFFFF"/>
        </w:rPr>
        <w:t xml:space="preserve"> uz to</w:t>
      </w:r>
      <w:r w:rsidRPr="000E340B">
        <w:rPr>
          <w:shd w:val="clear" w:color="auto" w:fill="FFFFFF"/>
        </w:rPr>
        <w:t>, ka apsūdzētais apzinājies kriminālatbildības iestāšan</w:t>
      </w:r>
      <w:r w:rsidR="009E6D21" w:rsidRPr="000E340B">
        <w:rPr>
          <w:shd w:val="clear" w:color="auto" w:fill="FFFFFF"/>
        </w:rPr>
        <w:t>ās iespējamību</w:t>
      </w:r>
      <w:r w:rsidRPr="000E340B">
        <w:rPr>
          <w:shd w:val="clear" w:color="auto" w:fill="FFFFFF"/>
        </w:rPr>
        <w:t>.</w:t>
      </w:r>
      <w:r w:rsidR="00317F4F" w:rsidRPr="000E340B">
        <w:rPr>
          <w:shd w:val="clear" w:color="auto" w:fill="FFFFFF"/>
        </w:rPr>
        <w:t xml:space="preserve"> Apelācijas instances tiesa nepamatoti nav ņēmusi vērā profesores </w:t>
      </w:r>
      <w:proofErr w:type="spellStart"/>
      <w:r w:rsidR="00317F4F" w:rsidRPr="000E340B">
        <w:rPr>
          <w:shd w:val="clear" w:color="auto" w:fill="FFFFFF"/>
        </w:rPr>
        <w:t>V</w:t>
      </w:r>
      <w:r w:rsidR="002762E5" w:rsidRPr="000E340B">
        <w:rPr>
          <w:shd w:val="clear" w:color="auto" w:fill="FFFFFF"/>
        </w:rPr>
        <w:t>alentijas</w:t>
      </w:r>
      <w:proofErr w:type="spellEnd"/>
      <w:r w:rsidR="00317F4F" w:rsidRPr="000E340B">
        <w:rPr>
          <w:shd w:val="clear" w:color="auto" w:fill="FFFFFF"/>
        </w:rPr>
        <w:t> </w:t>
      </w:r>
      <w:proofErr w:type="spellStart"/>
      <w:r w:rsidR="00317F4F" w:rsidRPr="000E340B">
        <w:rPr>
          <w:shd w:val="clear" w:color="auto" w:fill="FFFFFF"/>
        </w:rPr>
        <w:t>Liholajas</w:t>
      </w:r>
      <w:proofErr w:type="spellEnd"/>
      <w:r w:rsidR="00317F4F" w:rsidRPr="000E340B">
        <w:rPr>
          <w:shd w:val="clear" w:color="auto" w:fill="FFFFFF"/>
        </w:rPr>
        <w:t xml:space="preserve"> atzinumu, no kura izriet, ka šaujamieroča nodošanas termiņa pārkāpums nav pietiekams Krimināllikuma 233. panta otrajā daļā paredzētā noziedzīgā nodarījuma subjektīvās puses konstatēšanai situācijā, kad persona paļāvusies, ka pēc ieroču nodošanai noteiktā termiņa notecējuma Valsts policija tos izņems Ieroču aprites </w:t>
      </w:r>
      <w:r w:rsidR="00317F4F" w:rsidRPr="000E340B">
        <w:rPr>
          <w:shd w:val="clear" w:color="auto" w:fill="FFFFFF"/>
        </w:rPr>
        <w:lastRenderedPageBreak/>
        <w:t>likumā noteiktā kārtībā.</w:t>
      </w:r>
    </w:p>
    <w:p w14:paraId="21B4A2DC" w14:textId="1AA0723F" w:rsidR="003575DC" w:rsidRPr="000E340B" w:rsidRDefault="005A2C40"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Apsūdzētais vēlējies nodot šaujamieročus un to munīciju.</w:t>
      </w:r>
      <w:r w:rsidR="00317F4F" w:rsidRPr="000E340B">
        <w:rPr>
          <w:shd w:val="clear" w:color="auto" w:fill="FFFFFF"/>
        </w:rPr>
        <w:t xml:space="preserve"> </w:t>
      </w:r>
      <w:r w:rsidRPr="000E340B">
        <w:rPr>
          <w:shd w:val="clear" w:color="auto" w:fill="FFFFFF"/>
        </w:rPr>
        <w:t xml:space="preserve">No </w:t>
      </w:r>
      <w:r w:rsidR="008F59CC" w:rsidRPr="000E340B">
        <w:rPr>
          <w:shd w:val="clear" w:color="auto" w:fill="FFFFFF"/>
        </w:rPr>
        <w:t>apsūdzētajam piederošā</w:t>
      </w:r>
      <w:r w:rsidRPr="000E340B">
        <w:rPr>
          <w:shd w:val="clear" w:color="auto" w:fill="FFFFFF"/>
        </w:rPr>
        <w:t xml:space="preserve"> telefona zvanu žurnāla izriet, ka apsūdzētais divas reizes sazinājies un vairākkārt mēģinājis sazināties ar Valsts policijas Atļauju sistēmas nodaļas inspektori, lai noskaidrotu kārtību, kādā ieroči ir nododami.</w:t>
      </w:r>
      <w:r w:rsidR="007C49A8" w:rsidRPr="000E340B">
        <w:rPr>
          <w:shd w:val="clear" w:color="auto" w:fill="FFFFFF"/>
        </w:rPr>
        <w:t xml:space="preserve"> </w:t>
      </w:r>
      <w:r w:rsidR="003575DC" w:rsidRPr="000E340B">
        <w:rPr>
          <w:shd w:val="clear" w:color="auto" w:fill="FFFFFF"/>
        </w:rPr>
        <w:t>Šaujamieroču glabāšanai ir bijis pasīvs raksturs, jo apsūdzētais neveica nekādas aktīvas darbības ar tiem</w:t>
      </w:r>
      <w:r w:rsidR="007C49A8" w:rsidRPr="000E340B">
        <w:rPr>
          <w:shd w:val="clear" w:color="auto" w:fill="FFFFFF"/>
        </w:rPr>
        <w:t>.</w:t>
      </w:r>
    </w:p>
    <w:p w14:paraId="75864F45" w14:textId="7AD88077" w:rsidR="00721343" w:rsidRPr="000E340B" w:rsidRDefault="00A66BC3"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 xml:space="preserve">Tiesību normu pretrunīgums un </w:t>
      </w:r>
      <w:r w:rsidR="00317F4F" w:rsidRPr="000E340B">
        <w:rPr>
          <w:shd w:val="clear" w:color="auto" w:fill="FFFFFF"/>
        </w:rPr>
        <w:t>V</w:t>
      </w:r>
      <w:r w:rsidRPr="000E340B">
        <w:rPr>
          <w:shd w:val="clear" w:color="auto" w:fill="FFFFFF"/>
        </w:rPr>
        <w:t>alsts policijas rīcība, neizņemot ieročus pēc noteiktā termiņa beigām, rada saprātīgas šaubas par to, ka apsūdzētais izvairījies no pienākuma nodot šaujamieročus.</w:t>
      </w:r>
    </w:p>
    <w:p w14:paraId="7D665DAA" w14:textId="584718B3" w:rsidR="000A445F" w:rsidRPr="000E340B" w:rsidRDefault="007B66D2"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w:t>
      </w:r>
      <w:r w:rsidR="005966F7" w:rsidRPr="000E340B">
        <w:rPr>
          <w:shd w:val="clear" w:color="auto" w:fill="FFFFFF"/>
        </w:rPr>
        <w:t>4</w:t>
      </w:r>
      <w:r w:rsidRPr="000E340B">
        <w:rPr>
          <w:shd w:val="clear" w:color="auto" w:fill="FFFFFF"/>
        </w:rPr>
        <w:t>.</w:t>
      </w:r>
      <w:r w:rsidR="005966F7" w:rsidRPr="000E340B">
        <w:rPr>
          <w:shd w:val="clear" w:color="auto" w:fill="FFFFFF"/>
        </w:rPr>
        <w:t>2</w:t>
      </w:r>
      <w:r w:rsidR="00E155E7" w:rsidRPr="000E340B">
        <w:rPr>
          <w:shd w:val="clear" w:color="auto" w:fill="FFFFFF"/>
        </w:rPr>
        <w:t>]</w:t>
      </w:r>
      <w:r w:rsidR="00180772" w:rsidRPr="000E340B">
        <w:rPr>
          <w:shd w:val="clear" w:color="auto" w:fill="FFFFFF"/>
        </w:rPr>
        <w:t> </w:t>
      </w:r>
      <w:r w:rsidR="005966F7" w:rsidRPr="000E340B">
        <w:rPr>
          <w:shd w:val="clear" w:color="auto" w:fill="FFFFFF"/>
        </w:rPr>
        <w:t xml:space="preserve">Apsūdzētais </w:t>
      </w:r>
      <w:r w:rsidR="00DE1B21">
        <w:t>[pers. A]</w:t>
      </w:r>
      <w:r w:rsidR="005966F7" w:rsidRPr="000E340B">
        <w:rPr>
          <w:shd w:val="clear" w:color="auto" w:fill="FFFFFF"/>
        </w:rPr>
        <w:t xml:space="preserve"> kasācijas sūdzībā</w:t>
      </w:r>
      <w:r w:rsidR="00612960" w:rsidRPr="000E340B">
        <w:rPr>
          <w:shd w:val="clear" w:color="auto" w:fill="FFFFFF"/>
        </w:rPr>
        <w:t xml:space="preserve"> pamatā atkārtojis</w:t>
      </w:r>
      <w:r w:rsidR="005966F7" w:rsidRPr="000E340B">
        <w:rPr>
          <w:shd w:val="clear" w:color="auto" w:fill="FFFFFF"/>
        </w:rPr>
        <w:t xml:space="preserve"> aizstāves kasācijas </w:t>
      </w:r>
      <w:r w:rsidR="00612960" w:rsidRPr="000E340B">
        <w:rPr>
          <w:shd w:val="clear" w:color="auto" w:fill="FFFFFF"/>
        </w:rPr>
        <w:t xml:space="preserve">sūdzības argumentus, kā arī </w:t>
      </w:r>
      <w:r w:rsidR="005966F7" w:rsidRPr="000E340B">
        <w:rPr>
          <w:shd w:val="clear" w:color="auto" w:fill="FFFFFF"/>
        </w:rPr>
        <w:t>norādījis</w:t>
      </w:r>
      <w:r w:rsidR="00612960" w:rsidRPr="000E340B">
        <w:rPr>
          <w:shd w:val="clear" w:color="auto" w:fill="FFFFFF"/>
        </w:rPr>
        <w:t>, ka</w:t>
      </w:r>
      <w:r w:rsidR="00C62697" w:rsidRPr="000E340B">
        <w:rPr>
          <w:shd w:val="clear" w:color="auto" w:fill="FFFFFF"/>
        </w:rPr>
        <w:t xml:space="preserve"> </w:t>
      </w:r>
      <w:r w:rsidR="00612960" w:rsidRPr="000E340B">
        <w:rPr>
          <w:shd w:val="clear" w:color="auto" w:fill="FFFFFF"/>
        </w:rPr>
        <w:t>a</w:t>
      </w:r>
      <w:r w:rsidR="00994D6F" w:rsidRPr="000E340B">
        <w:rPr>
          <w:shd w:val="clear" w:color="auto" w:fill="FFFFFF"/>
        </w:rPr>
        <w:t xml:space="preserve">pelācijas instances tiesa, </w:t>
      </w:r>
      <w:r w:rsidR="00612960" w:rsidRPr="000E340B">
        <w:rPr>
          <w:shd w:val="clear" w:color="auto" w:fill="FFFFFF"/>
        </w:rPr>
        <w:t>lemjot par apsūdzētā vainīgumu</w:t>
      </w:r>
      <w:r w:rsidR="00994D6F" w:rsidRPr="000E340B">
        <w:rPr>
          <w:shd w:val="clear" w:color="auto" w:fill="FFFFFF"/>
        </w:rPr>
        <w:t xml:space="preserve">, vairākkārt ir norādījusi uz </w:t>
      </w:r>
      <w:r w:rsidR="008C461F" w:rsidRPr="000E340B">
        <w:rPr>
          <w:shd w:val="clear" w:color="auto" w:fill="FFFFFF"/>
        </w:rPr>
        <w:t>apsūdzētā</w:t>
      </w:r>
      <w:r w:rsidR="00994D6F" w:rsidRPr="000E340B">
        <w:rPr>
          <w:shd w:val="clear" w:color="auto" w:fill="FFFFFF"/>
        </w:rPr>
        <w:t xml:space="preserve"> nodarbošanos un izglītību, </w:t>
      </w:r>
      <w:r w:rsidR="00612960" w:rsidRPr="000E340B">
        <w:rPr>
          <w:shd w:val="clear" w:color="auto" w:fill="FFFFFF"/>
        </w:rPr>
        <w:t xml:space="preserve">un </w:t>
      </w:r>
      <w:r w:rsidR="008C461F" w:rsidRPr="000E340B">
        <w:rPr>
          <w:shd w:val="clear" w:color="auto" w:fill="FFFFFF"/>
        </w:rPr>
        <w:t>tādējādi</w:t>
      </w:r>
      <w:r w:rsidR="00994D6F" w:rsidRPr="000E340B">
        <w:rPr>
          <w:shd w:val="clear" w:color="auto" w:fill="FFFFFF"/>
        </w:rPr>
        <w:t xml:space="preserve"> </w:t>
      </w:r>
      <w:r w:rsidR="00612960" w:rsidRPr="000E340B">
        <w:rPr>
          <w:shd w:val="clear" w:color="auto" w:fill="FFFFFF"/>
        </w:rPr>
        <w:t xml:space="preserve">pārkāpusi </w:t>
      </w:r>
      <w:r w:rsidR="00FA1157" w:rsidRPr="000E340B">
        <w:rPr>
          <w:shd w:val="clear" w:color="auto" w:fill="FFFFFF"/>
        </w:rPr>
        <w:t xml:space="preserve">no </w:t>
      </w:r>
      <w:r w:rsidR="00994D6F" w:rsidRPr="000E340B">
        <w:rPr>
          <w:shd w:val="clear" w:color="auto" w:fill="FFFFFF"/>
        </w:rPr>
        <w:t xml:space="preserve">vienlīdzības </w:t>
      </w:r>
      <w:r w:rsidR="00FA1157" w:rsidRPr="000E340B">
        <w:rPr>
          <w:shd w:val="clear" w:color="auto" w:fill="FFFFFF"/>
        </w:rPr>
        <w:t>principa izrietošās garantijas uz</w:t>
      </w:r>
      <w:r w:rsidR="003C240A" w:rsidRPr="000E340B">
        <w:rPr>
          <w:shd w:val="clear" w:color="auto" w:fill="FFFFFF"/>
        </w:rPr>
        <w:t xml:space="preserve"> vienotu procesuālo kārtību visām personām neatkarīgi no šo personu nodarbošanās.</w:t>
      </w:r>
    </w:p>
    <w:p w14:paraId="6476803E" w14:textId="2F0C6AF9" w:rsidR="006803A9" w:rsidRDefault="00A964A3" w:rsidP="00187B8A">
      <w:pPr>
        <w:pStyle w:val="NormalWeb"/>
        <w:widowControl w:val="0"/>
        <w:shd w:val="clear" w:color="auto" w:fill="FFFFFF"/>
        <w:spacing w:before="0" w:beforeAutospacing="0" w:after="0" w:afterAutospacing="0" w:line="276" w:lineRule="auto"/>
        <w:ind w:firstLine="720"/>
        <w:jc w:val="both"/>
        <w:rPr>
          <w:shd w:val="clear" w:color="auto" w:fill="FFFFFF"/>
        </w:rPr>
      </w:pPr>
      <w:r w:rsidRPr="000E340B">
        <w:rPr>
          <w:shd w:val="clear" w:color="auto" w:fill="FFFFFF"/>
        </w:rPr>
        <w:t>T</w:t>
      </w:r>
      <w:r w:rsidR="006E77CB" w:rsidRPr="000E340B">
        <w:rPr>
          <w:shd w:val="clear" w:color="auto" w:fill="FFFFFF"/>
        </w:rPr>
        <w:t>iesa</w:t>
      </w:r>
      <w:r w:rsidR="007B66D2" w:rsidRPr="000E340B">
        <w:rPr>
          <w:shd w:val="clear" w:color="auto" w:fill="FFFFFF"/>
        </w:rPr>
        <w:t xml:space="preserve"> </w:t>
      </w:r>
      <w:r w:rsidRPr="000E340B">
        <w:rPr>
          <w:shd w:val="clear" w:color="auto" w:fill="FFFFFF"/>
        </w:rPr>
        <w:t xml:space="preserve">arī </w:t>
      </w:r>
      <w:r w:rsidR="007B66D2" w:rsidRPr="000E340B">
        <w:rPr>
          <w:shd w:val="clear" w:color="auto" w:fill="FFFFFF"/>
        </w:rPr>
        <w:t xml:space="preserve">nav </w:t>
      </w:r>
      <w:r w:rsidR="002B03C0" w:rsidRPr="000E340B">
        <w:rPr>
          <w:shd w:val="clear" w:color="auto" w:fill="FFFFFF"/>
        </w:rPr>
        <w:t>motivējusi</w:t>
      </w:r>
      <w:r w:rsidR="007B66D2" w:rsidRPr="000E340B">
        <w:rPr>
          <w:shd w:val="clear" w:color="auto" w:fill="FFFFFF"/>
        </w:rPr>
        <w:t xml:space="preserve">, </w:t>
      </w:r>
      <w:r w:rsidR="003175ED" w:rsidRPr="000E340B">
        <w:rPr>
          <w:shd w:val="clear" w:color="auto" w:fill="FFFFFF"/>
        </w:rPr>
        <w:t>k</w:t>
      </w:r>
      <w:r w:rsidR="00286131" w:rsidRPr="000E340B">
        <w:rPr>
          <w:shd w:val="clear" w:color="auto" w:fill="FFFFFF"/>
        </w:rPr>
        <w:t>ā</w:t>
      </w:r>
      <w:r w:rsidRPr="000E340B">
        <w:rPr>
          <w:shd w:val="clear" w:color="auto" w:fill="FFFFFF"/>
        </w:rPr>
        <w:t>dēļ</w:t>
      </w:r>
      <w:r w:rsidR="003175ED" w:rsidRPr="000E340B">
        <w:rPr>
          <w:shd w:val="clear" w:color="auto" w:fill="FFFFFF"/>
        </w:rPr>
        <w:t xml:space="preserve"> </w:t>
      </w:r>
      <w:r w:rsidR="00286131" w:rsidRPr="000E340B">
        <w:rPr>
          <w:shd w:val="clear" w:color="auto" w:fill="FFFFFF"/>
        </w:rPr>
        <w:t>lietiskie pierādījumi</w:t>
      </w:r>
      <w:r w:rsidRPr="000E340B">
        <w:rPr>
          <w:shd w:val="clear" w:color="auto" w:fill="FFFFFF"/>
        </w:rPr>
        <w:t xml:space="preserve"> –</w:t>
      </w:r>
      <w:r w:rsidR="00FA1157" w:rsidRPr="000E340B">
        <w:rPr>
          <w:shd w:val="clear" w:color="auto" w:fill="FFFFFF"/>
        </w:rPr>
        <w:t xml:space="preserve"> </w:t>
      </w:r>
      <w:r w:rsidR="005F76FE" w:rsidRPr="000E340B">
        <w:rPr>
          <w:shd w:val="clear" w:color="auto" w:fill="FFFFFF"/>
        </w:rPr>
        <w:t xml:space="preserve">šaujamieroči un </w:t>
      </w:r>
      <w:r w:rsidR="00AA3AF1" w:rsidRPr="000E340B">
        <w:rPr>
          <w:shd w:val="clear" w:color="auto" w:fill="FFFFFF"/>
        </w:rPr>
        <w:t xml:space="preserve">to </w:t>
      </w:r>
      <w:r w:rsidR="005F76FE" w:rsidRPr="000E340B">
        <w:rPr>
          <w:shd w:val="clear" w:color="auto" w:fill="FFFFFF"/>
        </w:rPr>
        <w:t>munīcija</w:t>
      </w:r>
      <w:r w:rsidR="009E77E9" w:rsidRPr="000E340B">
        <w:rPr>
          <w:shd w:val="clear" w:color="auto" w:fill="FFFFFF"/>
        </w:rPr>
        <w:t xml:space="preserve"> </w:t>
      </w:r>
      <w:r w:rsidRPr="000E340B">
        <w:rPr>
          <w:shd w:val="clear" w:color="auto" w:fill="FFFFFF"/>
        </w:rPr>
        <w:t xml:space="preserve">– atzīti </w:t>
      </w:r>
      <w:r w:rsidR="003175ED" w:rsidRPr="000E340B">
        <w:rPr>
          <w:shd w:val="clear" w:color="auto" w:fill="FFFFFF"/>
        </w:rPr>
        <w:t>par noziedzīga nodarījuma izdarīšanas priekšmetiem</w:t>
      </w:r>
      <w:r w:rsidR="006E77CB" w:rsidRPr="000E340B">
        <w:rPr>
          <w:shd w:val="clear" w:color="auto" w:fill="FFFFFF"/>
        </w:rPr>
        <w:t>.</w:t>
      </w:r>
    </w:p>
    <w:p w14:paraId="12D7113C" w14:textId="77777777" w:rsidR="00DE1B21" w:rsidRPr="000E340B" w:rsidRDefault="00DE1B21" w:rsidP="00187B8A">
      <w:pPr>
        <w:pStyle w:val="NormalWeb"/>
        <w:widowControl w:val="0"/>
        <w:shd w:val="clear" w:color="auto" w:fill="FFFFFF"/>
        <w:spacing w:before="0" w:beforeAutospacing="0" w:after="0" w:afterAutospacing="0" w:line="276" w:lineRule="auto"/>
        <w:ind w:firstLine="720"/>
        <w:jc w:val="both"/>
        <w:rPr>
          <w:shd w:val="clear" w:color="auto" w:fill="FFFFFF"/>
        </w:rPr>
      </w:pPr>
    </w:p>
    <w:p w14:paraId="7DAF7841" w14:textId="77777777" w:rsidR="00447EE6" w:rsidRPr="000E340B" w:rsidRDefault="00447EE6" w:rsidP="00187B8A">
      <w:pPr>
        <w:widowControl w:val="0"/>
        <w:shd w:val="clear" w:color="auto" w:fill="FFFFFF"/>
        <w:spacing w:line="276" w:lineRule="auto"/>
        <w:jc w:val="center"/>
      </w:pPr>
      <w:r w:rsidRPr="000E340B">
        <w:rPr>
          <w:b/>
        </w:rPr>
        <w:t>Motīvu daļa</w:t>
      </w:r>
    </w:p>
    <w:p w14:paraId="1A249D7D" w14:textId="77777777" w:rsidR="00A656FE" w:rsidRPr="000E340B" w:rsidRDefault="00A656FE" w:rsidP="00187B8A">
      <w:pPr>
        <w:widowControl w:val="0"/>
        <w:shd w:val="clear" w:color="auto" w:fill="FFFFFF"/>
        <w:spacing w:line="276" w:lineRule="auto"/>
        <w:ind w:firstLine="720"/>
        <w:jc w:val="both"/>
      </w:pPr>
    </w:p>
    <w:p w14:paraId="081DB7F6" w14:textId="6E4D267C" w:rsidR="00FC64F9" w:rsidRPr="000E340B" w:rsidRDefault="00447EE6" w:rsidP="00187B8A">
      <w:pPr>
        <w:widowControl w:val="0"/>
        <w:shd w:val="clear" w:color="auto" w:fill="FFFFFF"/>
        <w:spacing w:line="276" w:lineRule="auto"/>
        <w:ind w:firstLine="720"/>
        <w:jc w:val="both"/>
      </w:pPr>
      <w:r w:rsidRPr="000E340B">
        <w:t>[</w:t>
      </w:r>
      <w:r w:rsidR="002A61BC" w:rsidRPr="000E340B">
        <w:t>5</w:t>
      </w:r>
      <w:r w:rsidRPr="000E340B">
        <w:t>]</w:t>
      </w:r>
      <w:r w:rsidR="00961F6D" w:rsidRPr="000E340B">
        <w:t> </w:t>
      </w:r>
      <w:r w:rsidR="0056014C" w:rsidRPr="000E340B">
        <w:t xml:space="preserve">Senāts </w:t>
      </w:r>
      <w:r w:rsidR="00851C8A" w:rsidRPr="000E340B">
        <w:t>konstatē</w:t>
      </w:r>
      <w:r w:rsidR="0056014C" w:rsidRPr="000E340B">
        <w:t xml:space="preserve">, ka </w:t>
      </w:r>
      <w:r w:rsidR="00851C8A" w:rsidRPr="000E340B">
        <w:t>kasācijas instances tiesas kompetencē</w:t>
      </w:r>
      <w:r w:rsidR="0056014C" w:rsidRPr="000E340B">
        <w:t xml:space="preserve"> </w:t>
      </w:r>
      <w:r w:rsidR="00FC015B" w:rsidRPr="000E340B">
        <w:t xml:space="preserve">izskatāmajā lietā </w:t>
      </w:r>
      <w:r w:rsidR="0056014C" w:rsidRPr="000E340B">
        <w:t>ir</w:t>
      </w:r>
      <w:r w:rsidR="00FC015B" w:rsidRPr="000E340B">
        <w:t xml:space="preserve"> sniegt atbildi,</w:t>
      </w:r>
      <w:r w:rsidR="000A445F" w:rsidRPr="000E340B">
        <w:t xml:space="preserve"> vai</w:t>
      </w:r>
      <w:r w:rsidR="007704BE" w:rsidRPr="000E340B">
        <w:t>: 1) </w:t>
      </w:r>
      <w:r w:rsidR="00FD22AB" w:rsidRPr="000E340B">
        <w:t>šaujamieroču un to munīcijas glabāšana pēc attiecīgas atļaujas anulēšanas veido Krimināllikuma 233. panta otrajā daļā paredzētā noziedzīgā nodarījuma objektīvo pusi; 2)</w:t>
      </w:r>
      <w:r w:rsidR="00FC648B" w:rsidRPr="000E340B">
        <w:t> </w:t>
      </w:r>
      <w:r w:rsidR="007C1821" w:rsidRPr="000E340B">
        <w:t>apelācijas instances tiesa ir pieļāvusi Krimināllikuma vai Kriminālprocesa likuma būtiskus pārkāpumus, noskaidrojot apsūdzētā nodomu;</w:t>
      </w:r>
      <w:r w:rsidR="00FC648B" w:rsidRPr="000E340B">
        <w:t xml:space="preserve"> </w:t>
      </w:r>
      <w:r w:rsidR="007C1821" w:rsidRPr="000E340B">
        <w:t>3) </w:t>
      </w:r>
      <w:r w:rsidR="007A14BD" w:rsidRPr="000E340B">
        <w:t>apelācijas</w:t>
      </w:r>
      <w:r w:rsidR="000A445F" w:rsidRPr="000E340B">
        <w:t xml:space="preserve"> instances tiesa</w:t>
      </w:r>
      <w:r w:rsidR="0056014C" w:rsidRPr="000E340B">
        <w:t xml:space="preserve"> </w:t>
      </w:r>
      <w:r w:rsidR="000A445F" w:rsidRPr="000E340B">
        <w:t xml:space="preserve">ir </w:t>
      </w:r>
      <w:r w:rsidR="007A14BD" w:rsidRPr="000E340B">
        <w:t>pareizi piemērojusi</w:t>
      </w:r>
      <w:r w:rsidR="000A445F" w:rsidRPr="000E340B">
        <w:t xml:space="preserve"> Krimināllikuma 70.</w:t>
      </w:r>
      <w:r w:rsidR="000A445F" w:rsidRPr="000E340B">
        <w:rPr>
          <w:vertAlign w:val="superscript"/>
        </w:rPr>
        <w:t>1</w:t>
      </w:r>
      <w:r w:rsidR="007A14BD" w:rsidRPr="000E340B">
        <w:rPr>
          <w:vertAlign w:val="superscript"/>
        </w:rPr>
        <w:t>2</w:t>
      </w:r>
      <w:r w:rsidR="000A445F" w:rsidRPr="000E340B">
        <w:t> pant</w:t>
      </w:r>
      <w:r w:rsidR="007A14BD" w:rsidRPr="000E340B">
        <w:t>u</w:t>
      </w:r>
      <w:r w:rsidR="00FD22AB" w:rsidRPr="000E340B">
        <w:t>.</w:t>
      </w:r>
    </w:p>
    <w:p w14:paraId="28F70636" w14:textId="77777777" w:rsidR="007F6472" w:rsidRPr="000E340B" w:rsidRDefault="007F6472" w:rsidP="00187B8A">
      <w:pPr>
        <w:widowControl w:val="0"/>
        <w:shd w:val="clear" w:color="auto" w:fill="FFFFFF"/>
        <w:spacing w:line="276" w:lineRule="auto"/>
        <w:ind w:firstLine="720"/>
        <w:jc w:val="both"/>
      </w:pPr>
    </w:p>
    <w:p w14:paraId="4E8F9441" w14:textId="0356D413" w:rsidR="00CB2CC2" w:rsidRPr="000E340B" w:rsidRDefault="002A61BC" w:rsidP="00187B8A">
      <w:pPr>
        <w:widowControl w:val="0"/>
        <w:shd w:val="clear" w:color="auto" w:fill="FFFFFF"/>
        <w:spacing w:line="276" w:lineRule="auto"/>
        <w:ind w:firstLine="720"/>
        <w:jc w:val="both"/>
      </w:pPr>
      <w:r w:rsidRPr="000E340B">
        <w:rPr>
          <w:shd w:val="clear" w:color="auto" w:fill="FFFFFF"/>
        </w:rPr>
        <w:t>[</w:t>
      </w:r>
      <w:r w:rsidR="007F6472" w:rsidRPr="000E340B">
        <w:rPr>
          <w:shd w:val="clear" w:color="auto" w:fill="FFFFFF"/>
        </w:rPr>
        <w:t>6</w:t>
      </w:r>
      <w:r w:rsidRPr="000E340B">
        <w:rPr>
          <w:shd w:val="clear" w:color="auto" w:fill="FFFFFF"/>
        </w:rPr>
        <w:t>] </w:t>
      </w:r>
      <w:r w:rsidR="0020577B" w:rsidRPr="000E340B">
        <w:rPr>
          <w:shd w:val="clear" w:color="auto" w:fill="FFFFFF"/>
        </w:rPr>
        <w:t>No pārsūdzētā nolēmuma izriet tiesas atzinums</w:t>
      </w:r>
      <w:r w:rsidR="000F0C25" w:rsidRPr="000E340B">
        <w:t xml:space="preserve">, ka </w:t>
      </w:r>
      <w:r w:rsidR="005F3BBE" w:rsidRPr="000E340B">
        <w:t xml:space="preserve">izskatāmajā gadījumā </w:t>
      </w:r>
      <w:r w:rsidR="00CB2CC2" w:rsidRPr="000E340B">
        <w:t xml:space="preserve">šaujamieroču un to munīcijas nenodošana </w:t>
      </w:r>
      <w:r w:rsidR="000F0C25" w:rsidRPr="000E340B">
        <w:t>Valsts policija</w:t>
      </w:r>
      <w:r w:rsidR="00CB2CC2" w:rsidRPr="000E340B">
        <w:t>i tās</w:t>
      </w:r>
      <w:r w:rsidR="000F0C25" w:rsidRPr="000E340B">
        <w:t xml:space="preserve"> paziņojumā noteiktajā termiņā</w:t>
      </w:r>
      <w:r w:rsidR="005F3BBE" w:rsidRPr="000E340B">
        <w:t xml:space="preserve"> veido</w:t>
      </w:r>
      <w:r w:rsidR="00CB2CC2" w:rsidRPr="000E340B">
        <w:t xml:space="preserve"> </w:t>
      </w:r>
      <w:r w:rsidR="000F0C25" w:rsidRPr="000E340B">
        <w:t xml:space="preserve">Krimināllikuma 233. panta otrajā daļā paredzētā noziedzīgā nodarījumā </w:t>
      </w:r>
      <w:r w:rsidR="005F3BBE" w:rsidRPr="000E340B">
        <w:t>objektīvo pusi</w:t>
      </w:r>
      <w:r w:rsidR="0020577B" w:rsidRPr="000E340B">
        <w:t> </w:t>
      </w:r>
      <w:r w:rsidR="005F3BBE" w:rsidRPr="000E340B">
        <w:t>–</w:t>
      </w:r>
      <w:r w:rsidR="00CB2CC2" w:rsidRPr="000E340B">
        <w:t xml:space="preserve"> šaujamieroča un tā munīcijas glabāšan</w:t>
      </w:r>
      <w:r w:rsidR="005F3BBE" w:rsidRPr="000E340B">
        <w:t>u</w:t>
      </w:r>
      <w:r w:rsidR="00CB2CC2" w:rsidRPr="000E340B">
        <w:t xml:space="preserve"> bez attiecīgas atļaujas.</w:t>
      </w:r>
    </w:p>
    <w:p w14:paraId="14BECF81" w14:textId="48A8A5F4" w:rsidR="00FD22AB" w:rsidRPr="000E340B" w:rsidRDefault="00FD22AB" w:rsidP="00187B8A">
      <w:pPr>
        <w:widowControl w:val="0"/>
        <w:shd w:val="clear" w:color="auto" w:fill="FFFFFF"/>
        <w:spacing w:line="276" w:lineRule="auto"/>
        <w:ind w:firstLine="720"/>
        <w:jc w:val="both"/>
      </w:pPr>
      <w:r w:rsidRPr="000E340B">
        <w:t>Krimināllikuma 233. panta otrajā daļā paredzētais noziedzīgais nodarījums no objektīvās puses izpaužas kā šaujamieroča, šaujamieroča būtisko sastāvdaļu, šaujamieroča munīcijas, lielas enerģijas pneimatiskā ieroča, sprāgstvielas vai spridzināšanas ietaises izgatavošana, remontēšana, iegādāšanās, glabāšana, nēsāšana, pārvadāšana, pārsūtīšana vai realizēšana bez attiecīgas atļaujas, kuras nepieciešamību nosaka Ieroču aprites likums.</w:t>
      </w:r>
    </w:p>
    <w:p w14:paraId="772B460D" w14:textId="2286EA28" w:rsidR="00FD22AB" w:rsidRPr="000E340B" w:rsidRDefault="008A5D52" w:rsidP="00187B8A">
      <w:pPr>
        <w:widowControl w:val="0"/>
        <w:shd w:val="clear" w:color="auto" w:fill="FFFFFF"/>
        <w:spacing w:line="276" w:lineRule="auto"/>
        <w:ind w:firstLine="720"/>
        <w:jc w:val="both"/>
      </w:pPr>
      <w:r w:rsidRPr="000E340B">
        <w:t>Š</w:t>
      </w:r>
      <w:r w:rsidR="00FD22AB" w:rsidRPr="000E340B">
        <w:t>aujamieroču glabāšana ir to atrašanās personas faktiskajā valdījumā un to atklāta vai slēpta turēšana kā saliktā, tā izjauktā veidā jebkādā šai personai zināmā vietā (</w:t>
      </w:r>
      <w:r w:rsidR="00FD22AB" w:rsidRPr="000E340B">
        <w:rPr>
          <w:i/>
          <w:iCs/>
        </w:rPr>
        <w:t>Senāta</w:t>
      </w:r>
      <w:r w:rsidR="00FC648B" w:rsidRPr="000E340B">
        <w:rPr>
          <w:i/>
          <w:iCs/>
        </w:rPr>
        <w:t> </w:t>
      </w:r>
      <w:r w:rsidR="00FD22AB" w:rsidRPr="000E340B">
        <w:rPr>
          <w:i/>
          <w:iCs/>
        </w:rPr>
        <w:t>2015. gada 4. jūnija lēmums lietā Nr. </w:t>
      </w:r>
      <w:hyperlink r:id="rId9" w:history="1">
        <w:r w:rsidR="00FD22AB" w:rsidRPr="000E340B">
          <w:rPr>
            <w:rStyle w:val="Hyperlink"/>
            <w:i/>
            <w:iCs/>
          </w:rPr>
          <w:t>SKK</w:t>
        </w:r>
        <w:r w:rsidR="00FD22AB" w:rsidRPr="000E340B">
          <w:rPr>
            <w:rStyle w:val="Hyperlink"/>
            <w:i/>
            <w:iCs/>
          </w:rPr>
          <w:noBreakHyphen/>
          <w:t>246/2015</w:t>
        </w:r>
      </w:hyperlink>
      <w:r w:rsidR="00FD22AB" w:rsidRPr="000E340B">
        <w:rPr>
          <w:i/>
          <w:iCs/>
        </w:rPr>
        <w:t>, 11840002813</w:t>
      </w:r>
      <w:r w:rsidR="00FD22AB" w:rsidRPr="000E340B">
        <w:t>).</w:t>
      </w:r>
    </w:p>
    <w:p w14:paraId="522B57C8" w14:textId="036F17A5" w:rsidR="00FD22AB" w:rsidRPr="000E340B" w:rsidRDefault="00FD22AB" w:rsidP="00187B8A">
      <w:pPr>
        <w:widowControl w:val="0"/>
        <w:shd w:val="clear" w:color="auto" w:fill="FFFFFF"/>
        <w:spacing w:line="276" w:lineRule="auto"/>
        <w:ind w:firstLine="720"/>
        <w:jc w:val="both"/>
      </w:pPr>
      <w:r w:rsidRPr="000E340B">
        <w:t>Neatļauta ieroča glabāšana ir ne tikai gadījumos, ja tas tiek darīts bez atbilstošas atļaujas, bet arī gadījumos, ja glabāšanas atļauja nav pagarināta vai ir anulēta pirms termiņa, bet persona turpina ieroci glabāt (</w:t>
      </w:r>
      <w:r w:rsidRPr="000E340B">
        <w:rPr>
          <w:i/>
          <w:iCs/>
        </w:rPr>
        <w:t>Latvijas Republikas Augstākās tiesas Plēnuma 1997. gada</w:t>
      </w:r>
      <w:r w:rsidR="00FC648B" w:rsidRPr="000E340B">
        <w:rPr>
          <w:i/>
          <w:iCs/>
        </w:rPr>
        <w:t> </w:t>
      </w:r>
      <w:r w:rsidRPr="000E340B">
        <w:rPr>
          <w:i/>
          <w:iCs/>
        </w:rPr>
        <w:t>2. jūnija lēmuma Nr. 5 „</w:t>
      </w:r>
      <w:hyperlink r:id="rId10" w:history="1">
        <w:r w:rsidRPr="000E340B">
          <w:rPr>
            <w:rStyle w:val="Hyperlink"/>
            <w:i/>
            <w:iCs/>
          </w:rPr>
          <w:t>Par tiesu praksi krimināllietās par neatļautām darbībām ar ieročiem, munīciju, sprāgstvielām un speciāliem līdzekļiem</w:t>
        </w:r>
      </w:hyperlink>
      <w:r w:rsidRPr="000E340B">
        <w:rPr>
          <w:i/>
          <w:iCs/>
        </w:rPr>
        <w:t>” 12. punkts</w:t>
      </w:r>
      <w:r w:rsidRPr="000E340B">
        <w:t>).</w:t>
      </w:r>
    </w:p>
    <w:p w14:paraId="78FDA7E0" w14:textId="35129EC4" w:rsidR="00CB2CC2" w:rsidRPr="000E340B" w:rsidRDefault="00FD22AB" w:rsidP="00187B8A">
      <w:pPr>
        <w:widowControl w:val="0"/>
        <w:shd w:val="clear" w:color="auto" w:fill="FFFFFF"/>
        <w:spacing w:line="276" w:lineRule="auto"/>
        <w:ind w:firstLine="720"/>
        <w:jc w:val="both"/>
      </w:pPr>
      <w:r w:rsidRPr="000E340B">
        <w:lastRenderedPageBreak/>
        <w:t>Ieroču aprites likums reglamentē kārtību, kādā izsniedz, aptur vai anulē attiecīgu ieroču aprites atļauju.</w:t>
      </w:r>
      <w:r w:rsidR="00AD2277" w:rsidRPr="000E340B">
        <w:t xml:space="preserve"> Atbilstoši </w:t>
      </w:r>
      <w:r w:rsidR="008A5D52" w:rsidRPr="000E340B">
        <w:t>Ieroču aprites</w:t>
      </w:r>
      <w:r w:rsidRPr="000E340B">
        <w:t xml:space="preserve"> likuma 26. pant</w:t>
      </w:r>
      <w:r w:rsidR="00AD2277" w:rsidRPr="000E340B">
        <w:t>am</w:t>
      </w:r>
      <w:r w:rsidRPr="000E340B">
        <w:t xml:space="preserve">, ja ieroču atļauju anulē, aptur tās darbību vai nepagarina tās termiņu, ierocis, tā </w:t>
      </w:r>
      <w:r w:rsidR="00AD2277" w:rsidRPr="000E340B">
        <w:t xml:space="preserve">maināmā </w:t>
      </w:r>
      <w:r w:rsidRPr="000E340B">
        <w:t>būtiskā sastāvdaļa vai munīcija ir nododama Valsts policijai piecu darba dienu laikā pēc attiecīgā paziņojuma saņemšanas.</w:t>
      </w:r>
    </w:p>
    <w:p w14:paraId="3D155EA5" w14:textId="7110ED5F" w:rsidR="00CF590A" w:rsidRPr="000E340B" w:rsidRDefault="000F0C25" w:rsidP="00187B8A">
      <w:pPr>
        <w:widowControl w:val="0"/>
        <w:shd w:val="clear" w:color="auto" w:fill="FFFFFF"/>
        <w:spacing w:line="276" w:lineRule="auto"/>
        <w:ind w:firstLine="720"/>
        <w:jc w:val="both"/>
      </w:pPr>
      <w:r w:rsidRPr="000E340B">
        <w:t xml:space="preserve">Tādējādi Ieroču aprites </w:t>
      </w:r>
      <w:r w:rsidR="008F59CC" w:rsidRPr="000E340B">
        <w:t>likums noteic</w:t>
      </w:r>
      <w:r w:rsidRPr="000E340B">
        <w:t xml:space="preserve">, ka noteiktu laiku </w:t>
      </w:r>
      <w:r w:rsidR="00CF590A" w:rsidRPr="000E340B">
        <w:t>ieroča glabāšana</w:t>
      </w:r>
      <w:r w:rsidRPr="000E340B">
        <w:t xml:space="preserve"> atzīstama par tiesisku arī bez attiecīgas atļaujas – ja ieroču atļauja ir anulēta, tās darbība ir apturēta vai nav pagarināts tās termiņš.</w:t>
      </w:r>
    </w:p>
    <w:p w14:paraId="2FFE7962" w14:textId="7921D3AE" w:rsidR="00FD22AB" w:rsidRPr="000E340B" w:rsidRDefault="00FD22AB" w:rsidP="00187B8A">
      <w:pPr>
        <w:widowControl w:val="0"/>
        <w:shd w:val="clear" w:color="auto" w:fill="FFFFFF"/>
        <w:spacing w:line="276" w:lineRule="auto"/>
        <w:ind w:firstLine="720"/>
        <w:jc w:val="both"/>
      </w:pPr>
      <w:r w:rsidRPr="000E340B">
        <w:t xml:space="preserve">Ievērojot minēto, Krimināllikuma 233. panta otrās daļas izpratnē ar </w:t>
      </w:r>
      <w:r w:rsidR="00DF3750" w:rsidRPr="000E340B">
        <w:t>šaujam</w:t>
      </w:r>
      <w:r w:rsidRPr="000E340B">
        <w:t>ieroču</w:t>
      </w:r>
      <w:r w:rsidR="007260C0" w:rsidRPr="000E340B">
        <w:t>, to būtisko sastāvdaļu</w:t>
      </w:r>
      <w:r w:rsidRPr="000E340B">
        <w:t xml:space="preserve"> un munīcijas glabāšanu bez atļaujas saprot to </w:t>
      </w:r>
      <w:r w:rsidR="00AD2277" w:rsidRPr="000E340B">
        <w:t xml:space="preserve">neatļautu </w:t>
      </w:r>
      <w:r w:rsidRPr="000E340B">
        <w:t xml:space="preserve">turēšanu valdījumā (faktisku valdījumu) pēc tam, kad ir beidzies </w:t>
      </w:r>
      <w:r w:rsidR="005C5361" w:rsidRPr="000E340B">
        <w:t xml:space="preserve">Ieroču aprites </w:t>
      </w:r>
      <w:r w:rsidR="00AD2277" w:rsidRPr="000E340B">
        <w:t xml:space="preserve">likumā paredzētais termiņš </w:t>
      </w:r>
      <w:r w:rsidR="000F0C25" w:rsidRPr="000E340B">
        <w:t xml:space="preserve">to nodošanai </w:t>
      </w:r>
      <w:r w:rsidRPr="000E340B">
        <w:t>Valsts policija</w:t>
      </w:r>
      <w:r w:rsidR="000F0C25" w:rsidRPr="000E340B">
        <w:t>i</w:t>
      </w:r>
      <w:r w:rsidRPr="000E340B">
        <w:t>.</w:t>
      </w:r>
    </w:p>
    <w:p w14:paraId="7A380662" w14:textId="77777777" w:rsidR="00FC648B" w:rsidRPr="000E340B" w:rsidRDefault="00FC648B" w:rsidP="00187B8A">
      <w:pPr>
        <w:widowControl w:val="0"/>
        <w:shd w:val="clear" w:color="auto" w:fill="FFFFFF"/>
        <w:spacing w:line="276" w:lineRule="auto"/>
        <w:ind w:firstLine="720"/>
        <w:jc w:val="both"/>
      </w:pPr>
    </w:p>
    <w:p w14:paraId="5083785F" w14:textId="6C826B45" w:rsidR="00FD22AB" w:rsidRPr="000E340B" w:rsidRDefault="00A12E57" w:rsidP="00187B8A">
      <w:pPr>
        <w:widowControl w:val="0"/>
        <w:shd w:val="clear" w:color="auto" w:fill="FFFFFF"/>
        <w:spacing w:line="276" w:lineRule="auto"/>
        <w:ind w:firstLine="720"/>
        <w:jc w:val="both"/>
      </w:pPr>
      <w:r w:rsidRPr="000E340B">
        <w:t>[7]</w:t>
      </w:r>
      <w:r w:rsidR="00FC648B" w:rsidRPr="000E340B">
        <w:t> </w:t>
      </w:r>
      <w:r w:rsidR="00FD22AB" w:rsidRPr="000E340B">
        <w:t xml:space="preserve">Apelācijas instances tiesa </w:t>
      </w:r>
      <w:r w:rsidR="0020577B" w:rsidRPr="000E340B">
        <w:t xml:space="preserve">pievienojusies pirmās instances tiesas </w:t>
      </w:r>
      <w:r w:rsidR="00FD22AB" w:rsidRPr="000E340B">
        <w:t>atzin</w:t>
      </w:r>
      <w:r w:rsidR="0020577B" w:rsidRPr="000E340B">
        <w:t xml:space="preserve">umam, ka lietā </w:t>
      </w:r>
      <w:r w:rsidR="000364DC" w:rsidRPr="000E340B">
        <w:t>esošie</w:t>
      </w:r>
      <w:r w:rsidR="0020577B" w:rsidRPr="000E340B">
        <w:t xml:space="preserve"> pierādījum</w:t>
      </w:r>
      <w:r w:rsidR="000364DC" w:rsidRPr="000E340B">
        <w:t>i</w:t>
      </w:r>
      <w:r w:rsidR="0020577B" w:rsidRPr="000E340B">
        <w:t xml:space="preserve"> ārpus saprātīgām šaubām pierāda, ka apsūdzētais </w:t>
      </w:r>
      <w:r w:rsidR="00DE1B21">
        <w:t>[pers. A]</w:t>
      </w:r>
      <w:r w:rsidR="0020577B" w:rsidRPr="000E340B">
        <w:t xml:space="preserve"> bez attiecīgas atļaujas glabāja savā dzīvesvietā apsūdzībā norādītos šaujamieročus un to munīciju</w:t>
      </w:r>
      <w:r w:rsidR="000364DC" w:rsidRPr="000E340B">
        <w:t xml:space="preserve">, </w:t>
      </w:r>
      <w:r w:rsidR="0020577B" w:rsidRPr="000E340B">
        <w:t xml:space="preserve">un </w:t>
      </w:r>
      <w:r w:rsidR="000364DC" w:rsidRPr="000E340B">
        <w:t>viņa</w:t>
      </w:r>
      <w:r w:rsidR="0020577B" w:rsidRPr="000E340B">
        <w:t xml:space="preserve"> darbībās </w:t>
      </w:r>
      <w:r w:rsidR="00FD22AB" w:rsidRPr="000E340B">
        <w:t>ir konstatējamas visas Krimināllikuma 233. panta otrajā daļā paredzētā noziedzīgā nodarījuma sastāva pazīmes</w:t>
      </w:r>
      <w:r w:rsidR="000364DC" w:rsidRPr="000E340B">
        <w:t>, subjektīvo pusi ieskaitot</w:t>
      </w:r>
      <w:r w:rsidR="00FD22AB" w:rsidRPr="000E340B">
        <w:t>.</w:t>
      </w:r>
    </w:p>
    <w:p w14:paraId="302D44F1" w14:textId="34737E1E" w:rsidR="0093258A" w:rsidRPr="000E340B" w:rsidRDefault="00FD22AB" w:rsidP="00187B8A">
      <w:pPr>
        <w:widowControl w:val="0"/>
        <w:shd w:val="clear" w:color="auto" w:fill="FFFFFF"/>
        <w:spacing w:line="276" w:lineRule="auto"/>
        <w:ind w:firstLine="720"/>
        <w:jc w:val="both"/>
      </w:pPr>
      <w:r w:rsidRPr="000E340B">
        <w:t xml:space="preserve">Pamatojoties uz lietā esošajiem pierādījumiem, tajā skaitā Valsts policijas paziņojumu apsūdzētajam par </w:t>
      </w:r>
      <w:r w:rsidR="0020577B" w:rsidRPr="000E340B">
        <w:t xml:space="preserve">pienākumu nodot šaujamieročus un to munīciju Valsts policijai </w:t>
      </w:r>
      <w:r w:rsidRPr="000E340B">
        <w:t xml:space="preserve">piecu darba dienu laikā, liecinieces </w:t>
      </w:r>
      <w:r w:rsidR="00DE1B21">
        <w:t>[pers. B]</w:t>
      </w:r>
      <w:r w:rsidRPr="000E340B">
        <w:t xml:space="preserve"> liecībām par apsūdzētā solījumiem nodot ieročus nākamajā darba dienā, kā arī ziņām par apsūdzētā izglītību</w:t>
      </w:r>
      <w:r w:rsidR="000364DC" w:rsidRPr="000E340B">
        <w:t xml:space="preserve"> un šaujamieroču glabāšanas atļaujas iegūšanas faktu</w:t>
      </w:r>
      <w:r w:rsidRPr="000E340B">
        <w:t xml:space="preserve">, tiesa motivēti </w:t>
      </w:r>
      <w:r w:rsidR="00DB6B40" w:rsidRPr="000E340B">
        <w:t>secinājusi, ka apsūdzētais zinājis par ieroču glabāšanas atļaujas anulēšanu un pienākumu nodot šaujamieročus un to munīciju Valsts policijai, tomēr apzināti turpinājis tos glabāt bez attiecīgas atļaujas savā dzīvesvietā, līdz valsts amatpersonas tos izņēma.</w:t>
      </w:r>
    </w:p>
    <w:p w14:paraId="5EADB132" w14:textId="63FA15C6" w:rsidR="00FD22AB" w:rsidRPr="000E340B" w:rsidRDefault="00FD22AB" w:rsidP="00187B8A">
      <w:pPr>
        <w:widowControl w:val="0"/>
        <w:shd w:val="clear" w:color="auto" w:fill="FFFFFF"/>
        <w:spacing w:line="276" w:lineRule="auto"/>
        <w:ind w:firstLine="720"/>
        <w:jc w:val="both"/>
      </w:pPr>
      <w:r w:rsidRPr="000E340B">
        <w:t xml:space="preserve">Tiesa </w:t>
      </w:r>
      <w:r w:rsidR="00DC0CAD" w:rsidRPr="000E340B">
        <w:t>atzinusi</w:t>
      </w:r>
      <w:r w:rsidRPr="000E340B">
        <w:t>, ka apsūdzētais nav norādījis objektīvus iemeslus, kas būtu kavējuši vai lieguši</w:t>
      </w:r>
      <w:r w:rsidR="002762E5" w:rsidRPr="000E340B">
        <w:t xml:space="preserve"> </w:t>
      </w:r>
      <w:r w:rsidR="00FC648B" w:rsidRPr="000E340B">
        <w:t xml:space="preserve">viņam </w:t>
      </w:r>
      <w:r w:rsidRPr="000E340B">
        <w:t xml:space="preserve">izpildīt likumā noteikto pienākumu. Turklāt, ņemot vērā apsūdzētā izglītību un šaujamieroču glabāšanas atļaujas iegūšanas faktu, </w:t>
      </w:r>
      <w:r w:rsidR="00DC0CAD" w:rsidRPr="000E340B">
        <w:t xml:space="preserve">viņš </w:t>
      </w:r>
      <w:r w:rsidRPr="000E340B">
        <w:t>nav varējis nezināt savus likumā noteiktos pienākumus un to neizpildes sekas</w:t>
      </w:r>
      <w:r w:rsidR="00DF3750" w:rsidRPr="000E340B">
        <w:t xml:space="preserve">. </w:t>
      </w:r>
      <w:r w:rsidR="00DC0CAD" w:rsidRPr="000E340B">
        <w:t>Ievērojot minēto,</w:t>
      </w:r>
      <w:r w:rsidR="00DB6B40" w:rsidRPr="000E340B">
        <w:t xml:space="preserve"> inkriminētās darbības apsūdzētais izdarījis ar tiešu nodomu.</w:t>
      </w:r>
    </w:p>
    <w:p w14:paraId="4873BF74" w14:textId="70DD788B" w:rsidR="00FD22AB" w:rsidRPr="000E340B" w:rsidDel="0093258A" w:rsidRDefault="00DC0CAD" w:rsidP="00187B8A">
      <w:pPr>
        <w:widowControl w:val="0"/>
        <w:shd w:val="clear" w:color="auto" w:fill="FFFFFF"/>
        <w:spacing w:line="276" w:lineRule="auto"/>
        <w:ind w:firstLine="720"/>
        <w:jc w:val="both"/>
      </w:pPr>
      <w:r w:rsidRPr="000E340B">
        <w:t>Savukārt</w:t>
      </w:r>
      <w:r w:rsidR="00FD22AB" w:rsidRPr="000E340B" w:rsidDel="0093258A">
        <w:t xml:space="preserve"> izvērtējusi lietā esošo </w:t>
      </w:r>
      <w:r w:rsidR="00FD22AB" w:rsidRPr="000E340B" w:rsidDel="0093258A">
        <w:rPr>
          <w:shd w:val="clear" w:color="auto" w:fill="FFFFFF"/>
        </w:rPr>
        <w:t>profesores V. </w:t>
      </w:r>
      <w:proofErr w:type="spellStart"/>
      <w:r w:rsidR="00FD22AB" w:rsidRPr="000E340B" w:rsidDel="0093258A">
        <w:rPr>
          <w:shd w:val="clear" w:color="auto" w:fill="FFFFFF"/>
        </w:rPr>
        <w:t>Liholajas</w:t>
      </w:r>
      <w:proofErr w:type="spellEnd"/>
      <w:r w:rsidR="00FD22AB" w:rsidRPr="000E340B" w:rsidDel="0093258A">
        <w:rPr>
          <w:shd w:val="clear" w:color="auto" w:fill="FFFFFF"/>
        </w:rPr>
        <w:t xml:space="preserve"> atzinumu</w:t>
      </w:r>
      <w:r w:rsidRPr="000E340B">
        <w:rPr>
          <w:shd w:val="clear" w:color="auto" w:fill="FFFFFF"/>
        </w:rPr>
        <w:t xml:space="preserve">, </w:t>
      </w:r>
      <w:r w:rsidRPr="000E340B" w:rsidDel="0093258A">
        <w:t xml:space="preserve">apelācijas instances tiesa </w:t>
      </w:r>
      <w:r w:rsidR="00FD22AB" w:rsidRPr="000E340B" w:rsidDel="0093258A">
        <w:rPr>
          <w:shd w:val="clear" w:color="auto" w:fill="FFFFFF"/>
        </w:rPr>
        <w:t xml:space="preserve">norādījusi, ka tas satur vispārīgas atbildes uz aizstāvības jautājumiem, kuras nav saistošas tiesai un neatspēko lietā esošos pierādījumus, kas apstiprina, ka apsūdzētais </w:t>
      </w:r>
      <w:r w:rsidR="00532371">
        <w:t>[pers. A]</w:t>
      </w:r>
      <w:r w:rsidR="00FD22AB" w:rsidRPr="000E340B" w:rsidDel="0093258A">
        <w:t xml:space="preserve"> zinājis, kādā kārtībā īstenojama ieroču nodošana, tomēr apzināti to nav ievērojis.</w:t>
      </w:r>
    </w:p>
    <w:p w14:paraId="790D8218" w14:textId="365FC1A8" w:rsidR="006279EF" w:rsidRPr="000E340B" w:rsidRDefault="006A3C49" w:rsidP="00187B8A">
      <w:pPr>
        <w:widowControl w:val="0"/>
        <w:shd w:val="clear" w:color="auto" w:fill="FFFFFF"/>
        <w:spacing w:line="276" w:lineRule="auto"/>
        <w:ind w:firstLine="720"/>
        <w:jc w:val="both"/>
        <w:rPr>
          <w:shd w:val="clear" w:color="auto" w:fill="FFFFFF"/>
        </w:rPr>
      </w:pPr>
      <w:r w:rsidRPr="000E340B">
        <w:t>S</w:t>
      </w:r>
      <w:r w:rsidR="002762E5" w:rsidRPr="000E340B">
        <w:t>enāts atzīst, ka</w:t>
      </w:r>
      <w:r w:rsidRPr="000E340B">
        <w:t xml:space="preserve"> a</w:t>
      </w:r>
      <w:r w:rsidR="00FD22AB" w:rsidRPr="000E340B">
        <w:t xml:space="preserve">psūdzētā un viņa aizstāves kasācijas sūdzību argumenti </w:t>
      </w:r>
      <w:r w:rsidR="00375E5D" w:rsidRPr="000E340B">
        <w:t xml:space="preserve">šajā daļā </w:t>
      </w:r>
      <w:r w:rsidR="00FD22AB" w:rsidRPr="000E340B">
        <w:t>par apelācijas instances tiesas pieļautiem Krimināllikuma un Kriminālprocesa likuma būtiskiem pārkāpumiem nav guvuši apstiprinājumu</w:t>
      </w:r>
      <w:r w:rsidR="006279EF" w:rsidRPr="000E340B">
        <w:t xml:space="preserve"> un ir pamatoti ar viņu subjektīvo viedokli par lietā iegūto pierādījumu vērtējumu, faktiski pauž sūdzības iesniedzēju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w:t>
      </w:r>
      <w:r w:rsidR="006279EF" w:rsidRPr="000E340B">
        <w:lastRenderedPageBreak/>
        <w:t>569. panta pirmo daļu.</w:t>
      </w:r>
    </w:p>
    <w:p w14:paraId="0A95121D" w14:textId="77777777" w:rsidR="00FD22AB" w:rsidRPr="000E340B" w:rsidRDefault="00FD22AB" w:rsidP="00187B8A">
      <w:pPr>
        <w:widowControl w:val="0"/>
        <w:shd w:val="clear" w:color="auto" w:fill="FFFFFF"/>
        <w:spacing w:line="276" w:lineRule="auto"/>
        <w:ind w:firstLine="720"/>
        <w:jc w:val="both"/>
        <w:rPr>
          <w:shd w:val="clear" w:color="auto" w:fill="FFFFFF"/>
        </w:rPr>
      </w:pPr>
    </w:p>
    <w:p w14:paraId="72700B0E" w14:textId="17A75DE5" w:rsidR="001703D9" w:rsidRPr="000E340B" w:rsidRDefault="0093258A" w:rsidP="00187B8A">
      <w:pPr>
        <w:widowControl w:val="0"/>
        <w:shd w:val="clear" w:color="auto" w:fill="FFFFFF"/>
        <w:spacing w:line="276" w:lineRule="auto"/>
        <w:ind w:firstLine="720"/>
        <w:jc w:val="both"/>
        <w:rPr>
          <w:shd w:val="clear" w:color="auto" w:fill="FFFFFF"/>
        </w:rPr>
      </w:pPr>
      <w:r w:rsidRPr="000E340B">
        <w:rPr>
          <w:shd w:val="clear" w:color="auto" w:fill="FFFFFF"/>
        </w:rPr>
        <w:t>[</w:t>
      </w:r>
      <w:r w:rsidR="00A12E57" w:rsidRPr="000E340B">
        <w:rPr>
          <w:shd w:val="clear" w:color="auto" w:fill="FFFFFF"/>
        </w:rPr>
        <w:t>8</w:t>
      </w:r>
      <w:r w:rsidRPr="000E340B">
        <w:rPr>
          <w:shd w:val="clear" w:color="auto" w:fill="FFFFFF"/>
        </w:rPr>
        <w:t>] </w:t>
      </w:r>
      <w:r w:rsidR="001703D9" w:rsidRPr="000E340B">
        <w:rPr>
          <w:shd w:val="clear" w:color="auto" w:fill="FFFFFF"/>
        </w:rPr>
        <w:t>Apelācijas instances tiesa atzinusi par pareizu p</w:t>
      </w:r>
      <w:r w:rsidR="002A61BC" w:rsidRPr="000E340B">
        <w:rPr>
          <w:shd w:val="clear" w:color="auto" w:fill="FFFFFF"/>
        </w:rPr>
        <w:t xml:space="preserve">irmās instances tiesas </w:t>
      </w:r>
      <w:r w:rsidR="001703D9" w:rsidRPr="000E340B">
        <w:rPr>
          <w:shd w:val="clear" w:color="auto" w:fill="FFFFFF"/>
        </w:rPr>
        <w:t xml:space="preserve">secinājumu, ka </w:t>
      </w:r>
      <w:r w:rsidR="002A61BC" w:rsidRPr="000E340B">
        <w:rPr>
          <w:shd w:val="clear" w:color="auto" w:fill="FFFFFF"/>
        </w:rPr>
        <w:t xml:space="preserve">lietiskie pierādījumi – </w:t>
      </w:r>
      <w:r w:rsidR="001703D9" w:rsidRPr="000E340B">
        <w:rPr>
          <w:shd w:val="clear" w:color="auto" w:fill="FFFFFF"/>
        </w:rPr>
        <w:t>apsūdzētā dzīvesvietā izņemtie šaujamieroči</w:t>
      </w:r>
      <w:r w:rsidR="002A61BC" w:rsidRPr="000E340B">
        <w:rPr>
          <w:shd w:val="clear" w:color="auto" w:fill="FFFFFF"/>
        </w:rPr>
        <w:t xml:space="preserve"> „</w:t>
      </w:r>
      <w:proofErr w:type="spellStart"/>
      <w:r w:rsidR="002A61BC" w:rsidRPr="000E340B">
        <w:rPr>
          <w:shd w:val="clear" w:color="auto" w:fill="FFFFFF"/>
        </w:rPr>
        <w:t>Benelli</w:t>
      </w:r>
      <w:proofErr w:type="spellEnd"/>
      <w:r w:rsidR="001703D9" w:rsidRPr="000E340B">
        <w:rPr>
          <w:shd w:val="clear" w:color="auto" w:fill="FFFFFF"/>
        </w:rPr>
        <w:t> </w:t>
      </w:r>
      <w:proofErr w:type="spellStart"/>
      <w:r w:rsidR="002A61BC" w:rsidRPr="000E340B">
        <w:rPr>
          <w:shd w:val="clear" w:color="auto" w:fill="FFFFFF"/>
        </w:rPr>
        <w:t>Ethos</w:t>
      </w:r>
      <w:proofErr w:type="spellEnd"/>
      <w:r w:rsidR="002A61BC" w:rsidRPr="000E340B">
        <w:rPr>
          <w:shd w:val="clear" w:color="auto" w:fill="FFFFFF"/>
        </w:rPr>
        <w:t> 28”, „</w:t>
      </w:r>
      <w:proofErr w:type="spellStart"/>
      <w:r w:rsidR="002A61BC" w:rsidRPr="000E340B">
        <w:rPr>
          <w:shd w:val="clear" w:color="auto" w:fill="FFFFFF"/>
        </w:rPr>
        <w:t>Benelli</w:t>
      </w:r>
      <w:proofErr w:type="spellEnd"/>
      <w:r w:rsidR="00FE561A" w:rsidRPr="000E340B">
        <w:rPr>
          <w:shd w:val="clear" w:color="auto" w:fill="FFFFFF"/>
        </w:rPr>
        <w:t> </w:t>
      </w:r>
      <w:proofErr w:type="spellStart"/>
      <w:r w:rsidR="002A61BC" w:rsidRPr="000E340B">
        <w:rPr>
          <w:shd w:val="clear" w:color="auto" w:fill="FFFFFF"/>
        </w:rPr>
        <w:t>Raffaello</w:t>
      </w:r>
      <w:proofErr w:type="spellEnd"/>
      <w:r w:rsidR="00FE561A" w:rsidRPr="000E340B">
        <w:rPr>
          <w:shd w:val="clear" w:color="auto" w:fill="FFFFFF"/>
        </w:rPr>
        <w:t> </w:t>
      </w:r>
      <w:r w:rsidR="002A61BC" w:rsidRPr="000E340B">
        <w:rPr>
          <w:shd w:val="clear" w:color="auto" w:fill="FFFFFF"/>
        </w:rPr>
        <w:t>Lord”, „</w:t>
      </w:r>
      <w:proofErr w:type="spellStart"/>
      <w:r w:rsidR="002A61BC" w:rsidRPr="000E340B">
        <w:rPr>
          <w:shd w:val="clear" w:color="auto" w:fill="FFFFFF"/>
        </w:rPr>
        <w:t>Benelli</w:t>
      </w:r>
      <w:proofErr w:type="spellEnd"/>
      <w:r w:rsidR="00DC0CAD" w:rsidRPr="000E340B">
        <w:rPr>
          <w:shd w:val="clear" w:color="auto" w:fill="FFFFFF"/>
        </w:rPr>
        <w:t> </w:t>
      </w:r>
      <w:proofErr w:type="spellStart"/>
      <w:r w:rsidR="002A61BC" w:rsidRPr="000E340B">
        <w:rPr>
          <w:shd w:val="clear" w:color="auto" w:fill="FFFFFF"/>
        </w:rPr>
        <w:t>Argo</w:t>
      </w:r>
      <w:proofErr w:type="spellEnd"/>
      <w:r w:rsidR="009C75B4" w:rsidRPr="000E340B">
        <w:rPr>
          <w:shd w:val="clear" w:color="auto" w:fill="FFFFFF"/>
        </w:rPr>
        <w:t> </w:t>
      </w:r>
      <w:r w:rsidR="002A61BC" w:rsidRPr="000E340B">
        <w:rPr>
          <w:shd w:val="clear" w:color="auto" w:fill="FFFFFF"/>
        </w:rPr>
        <w:t>E</w:t>
      </w:r>
      <w:r w:rsidR="009C75B4" w:rsidRPr="000E340B">
        <w:rPr>
          <w:shd w:val="clear" w:color="auto" w:fill="FFFFFF"/>
        </w:rPr>
        <w:t> </w:t>
      </w:r>
      <w:proofErr w:type="spellStart"/>
      <w:r w:rsidR="002A61BC" w:rsidRPr="000E340B">
        <w:rPr>
          <w:shd w:val="clear" w:color="auto" w:fill="FFFFFF"/>
        </w:rPr>
        <w:t>Pro</w:t>
      </w:r>
      <w:proofErr w:type="spellEnd"/>
      <w:r w:rsidR="002A61BC" w:rsidRPr="000E340B">
        <w:rPr>
          <w:shd w:val="clear" w:color="auto" w:fill="FFFFFF"/>
        </w:rPr>
        <w:t xml:space="preserve">” un </w:t>
      </w:r>
      <w:r w:rsidR="001703D9" w:rsidRPr="000E340B">
        <w:rPr>
          <w:shd w:val="clear" w:color="auto" w:fill="FFFFFF"/>
        </w:rPr>
        <w:t xml:space="preserve">to munīcija – </w:t>
      </w:r>
      <w:r w:rsidR="002A61BC" w:rsidRPr="000E340B">
        <w:rPr>
          <w:shd w:val="clear" w:color="auto" w:fill="FFFFFF"/>
        </w:rPr>
        <w:t>195 patronas –</w:t>
      </w:r>
      <w:r w:rsidR="00DC0CAD" w:rsidRPr="000E340B">
        <w:rPr>
          <w:shd w:val="clear" w:color="auto" w:fill="FFFFFF"/>
        </w:rPr>
        <w:t xml:space="preserve"> </w:t>
      </w:r>
      <w:r w:rsidR="005F155A" w:rsidRPr="000E340B">
        <w:rPr>
          <w:shd w:val="clear" w:color="auto" w:fill="FFFFFF"/>
        </w:rPr>
        <w:t>saskaņā ar Krimināllikuma 70.</w:t>
      </w:r>
      <w:r w:rsidR="005F155A" w:rsidRPr="000E340B">
        <w:rPr>
          <w:shd w:val="clear" w:color="auto" w:fill="FFFFFF"/>
          <w:vertAlign w:val="superscript"/>
        </w:rPr>
        <w:t>12</w:t>
      </w:r>
      <w:r w:rsidR="005F155A" w:rsidRPr="000E340B">
        <w:rPr>
          <w:shd w:val="clear" w:color="auto" w:fill="FFFFFF"/>
        </w:rPr>
        <w:t> panta otro daļu</w:t>
      </w:r>
      <w:r w:rsidR="005F155A" w:rsidRPr="000E340B" w:rsidDel="001703D9">
        <w:rPr>
          <w:shd w:val="clear" w:color="auto" w:fill="FFFFFF"/>
        </w:rPr>
        <w:t xml:space="preserve"> </w:t>
      </w:r>
      <w:r w:rsidR="001703D9" w:rsidRPr="000E340B">
        <w:rPr>
          <w:shd w:val="clear" w:color="auto" w:fill="FFFFFF"/>
        </w:rPr>
        <w:t>atzīstami</w:t>
      </w:r>
      <w:r w:rsidR="002A61BC" w:rsidRPr="000E340B">
        <w:rPr>
          <w:shd w:val="clear" w:color="auto" w:fill="FFFFFF"/>
        </w:rPr>
        <w:t xml:space="preserve"> par </w:t>
      </w:r>
      <w:r w:rsidR="001E49D4" w:rsidRPr="000E340B">
        <w:rPr>
          <w:shd w:val="clear" w:color="auto" w:fill="FFFFFF"/>
        </w:rPr>
        <w:t xml:space="preserve">Krimināllikuma 233. panta otrajā daļā paredzētā </w:t>
      </w:r>
      <w:r w:rsidR="002A61BC" w:rsidRPr="000E340B">
        <w:rPr>
          <w:shd w:val="clear" w:color="auto" w:fill="FFFFFF"/>
        </w:rPr>
        <w:t>noziedzīg</w:t>
      </w:r>
      <w:r w:rsidR="001E49D4" w:rsidRPr="000E340B">
        <w:rPr>
          <w:shd w:val="clear" w:color="auto" w:fill="FFFFFF"/>
        </w:rPr>
        <w:t>ā</w:t>
      </w:r>
      <w:r w:rsidR="00DC0CAD" w:rsidRPr="000E340B">
        <w:rPr>
          <w:shd w:val="clear" w:color="auto" w:fill="FFFFFF"/>
        </w:rPr>
        <w:t xml:space="preserve"> </w:t>
      </w:r>
      <w:r w:rsidR="002A61BC" w:rsidRPr="000E340B">
        <w:rPr>
          <w:shd w:val="clear" w:color="auto" w:fill="FFFFFF"/>
        </w:rPr>
        <w:t>nodarījuma izdarīšanas priekšmetiem</w:t>
      </w:r>
      <w:r w:rsidR="001703D9" w:rsidRPr="000E340B">
        <w:rPr>
          <w:shd w:val="clear" w:color="auto" w:fill="FFFFFF"/>
        </w:rPr>
        <w:t xml:space="preserve"> un </w:t>
      </w:r>
      <w:r w:rsidR="002A61BC" w:rsidRPr="000E340B">
        <w:rPr>
          <w:shd w:val="clear" w:color="auto" w:fill="FFFFFF"/>
        </w:rPr>
        <w:t>konfiscē</w:t>
      </w:r>
      <w:r w:rsidR="001703D9" w:rsidRPr="000E340B">
        <w:rPr>
          <w:shd w:val="clear" w:color="auto" w:fill="FFFFFF"/>
        </w:rPr>
        <w:t>jami.</w:t>
      </w:r>
    </w:p>
    <w:p w14:paraId="00C1CEA4" w14:textId="000C4441" w:rsidR="002A61BC" w:rsidRPr="000E340B" w:rsidRDefault="006D0313" w:rsidP="00187B8A">
      <w:pPr>
        <w:widowControl w:val="0"/>
        <w:shd w:val="clear" w:color="auto" w:fill="FFFFFF"/>
        <w:spacing w:line="276" w:lineRule="auto"/>
        <w:ind w:firstLine="720"/>
        <w:jc w:val="both"/>
        <w:rPr>
          <w:shd w:val="clear" w:color="auto" w:fill="FFFFFF"/>
        </w:rPr>
      </w:pPr>
      <w:r w:rsidRPr="000E340B">
        <w:rPr>
          <w:shd w:val="clear" w:color="auto" w:fill="FFFFFF"/>
        </w:rPr>
        <w:t>[</w:t>
      </w:r>
      <w:r w:rsidR="00A12E57" w:rsidRPr="000E340B">
        <w:rPr>
          <w:shd w:val="clear" w:color="auto" w:fill="FFFFFF"/>
        </w:rPr>
        <w:t>8</w:t>
      </w:r>
      <w:r w:rsidRPr="000E340B">
        <w:rPr>
          <w:shd w:val="clear" w:color="auto" w:fill="FFFFFF"/>
        </w:rPr>
        <w:t>.1] </w:t>
      </w:r>
      <w:r w:rsidR="002A61BC" w:rsidRPr="000E340B">
        <w:rPr>
          <w:shd w:val="clear" w:color="auto" w:fill="FFFFFF"/>
        </w:rPr>
        <w:t>Krimināllikuma 70.</w:t>
      </w:r>
      <w:r w:rsidR="002A61BC" w:rsidRPr="000E340B">
        <w:rPr>
          <w:shd w:val="clear" w:color="auto" w:fill="FFFFFF"/>
          <w:vertAlign w:val="superscript"/>
        </w:rPr>
        <w:t>12</w:t>
      </w:r>
      <w:r w:rsidR="002A61BC" w:rsidRPr="000E340B">
        <w:rPr>
          <w:shd w:val="clear" w:color="auto" w:fill="FFFFFF"/>
        </w:rPr>
        <w:t> pant</w:t>
      </w:r>
      <w:r w:rsidR="005F155A" w:rsidRPr="000E340B">
        <w:rPr>
          <w:shd w:val="clear" w:color="auto" w:fill="FFFFFF"/>
        </w:rPr>
        <w:t>s</w:t>
      </w:r>
      <w:r w:rsidR="002A61BC" w:rsidRPr="000E340B">
        <w:rPr>
          <w:shd w:val="clear" w:color="auto" w:fill="FFFFFF"/>
        </w:rPr>
        <w:t xml:space="preserve"> noteic, ka noziedzīga nodarījuma izdarīšanas priekšmets ir rīki un līdzekļi, kuri bija paredzēti vai tika izmantoti noziedzīga nodarījuma izdarīšanai.</w:t>
      </w:r>
    </w:p>
    <w:p w14:paraId="35FC981F" w14:textId="6A381778" w:rsidR="00DF65D1" w:rsidRPr="000E340B" w:rsidRDefault="00713C73" w:rsidP="00187B8A">
      <w:pPr>
        <w:widowControl w:val="0"/>
        <w:shd w:val="clear" w:color="auto" w:fill="FFFFFF"/>
        <w:spacing w:line="276" w:lineRule="auto"/>
        <w:ind w:firstLine="720"/>
        <w:jc w:val="both"/>
      </w:pPr>
      <w:r w:rsidRPr="000E340B">
        <w:t>Tādēj</w:t>
      </w:r>
      <w:r w:rsidR="00D00D8A" w:rsidRPr="000E340B">
        <w:t>ā</w:t>
      </w:r>
      <w:r w:rsidRPr="000E340B">
        <w:t>di Krimināllikuma 70.</w:t>
      </w:r>
      <w:r w:rsidRPr="000E340B">
        <w:rPr>
          <w:vertAlign w:val="superscript"/>
        </w:rPr>
        <w:t>12</w:t>
      </w:r>
      <w:r w:rsidRPr="000E340B">
        <w:t> pant</w:t>
      </w:r>
      <w:r w:rsidR="004A1B86" w:rsidRPr="000E340B">
        <w:t>ā reglamentēti</w:t>
      </w:r>
      <w:r w:rsidR="00951E02" w:rsidRPr="000E340B">
        <w:t xml:space="preserve"> </w:t>
      </w:r>
      <w:r w:rsidR="00EF459E" w:rsidRPr="000E340B">
        <w:t>noziedzīga nodarījuma izdarīšanas priekšmet</w:t>
      </w:r>
      <w:r w:rsidR="004A1B86" w:rsidRPr="000E340B">
        <w:t>a divi veidi</w:t>
      </w:r>
      <w:r w:rsidR="00951E02" w:rsidRPr="000E340B">
        <w:t xml:space="preserve"> –</w:t>
      </w:r>
      <w:r w:rsidR="00DF65D1" w:rsidRPr="000E340B">
        <w:t>– rīki vai l</w:t>
      </w:r>
      <w:r w:rsidR="00DE12F8" w:rsidRPr="000E340B">
        <w:t>īdzekļi</w:t>
      </w:r>
      <w:r w:rsidR="00DF65D1" w:rsidRPr="000E340B">
        <w:t xml:space="preserve"> –, kā arī </w:t>
      </w:r>
      <w:r w:rsidR="00951E02" w:rsidRPr="000E340B">
        <w:t>div</w:t>
      </w:r>
      <w:r w:rsidR="004A1B86" w:rsidRPr="000E340B">
        <w:t>i</w:t>
      </w:r>
      <w:r w:rsidR="00951E02" w:rsidRPr="000E340B">
        <w:t xml:space="preserve"> to</w:t>
      </w:r>
      <w:r w:rsidR="00DF65D1" w:rsidRPr="000E340B">
        <w:t xml:space="preserve"> izmantošanas nolūka veidi</w:t>
      </w:r>
      <w:r w:rsidR="00A66BC3" w:rsidRPr="000E340B">
        <w:t> </w:t>
      </w:r>
      <w:r w:rsidR="00DF65D1" w:rsidRPr="000E340B">
        <w:t>– paredzēts noziedzīga nodarījuma izdarīšanai vai ticis izmantots noziedzīga nodarījuma izdarīšanai.</w:t>
      </w:r>
    </w:p>
    <w:p w14:paraId="41F7CF72" w14:textId="402247AA" w:rsidR="00FC2711" w:rsidRPr="000E340B" w:rsidRDefault="00F9546A" w:rsidP="00187B8A">
      <w:pPr>
        <w:widowControl w:val="0"/>
        <w:shd w:val="clear" w:color="auto" w:fill="FFFFFF"/>
        <w:spacing w:line="276" w:lineRule="auto"/>
        <w:ind w:firstLine="720"/>
        <w:jc w:val="both"/>
      </w:pPr>
      <w:r w:rsidRPr="000E340B">
        <w:t xml:space="preserve">Senāts ir </w:t>
      </w:r>
      <w:r w:rsidR="00F4605F" w:rsidRPr="000E340B">
        <w:t>norādījis</w:t>
      </w:r>
      <w:r w:rsidRPr="000E340B">
        <w:t>, ka, lai atzītu kādu priekšmetu par noziedzīga nodarījuma izdarīšanas priekšmetu, jāvērtē noziedzīgā nodarījuma faktiskie apstākļi un jānoskaidro, kuram no tiesību normā norādītajiem diviem izmantošanas nolūkiem – bija paredzēts vai tika izmantots noziedzīga nodarījuma izdarīšanai – tas atbilst</w:t>
      </w:r>
      <w:r w:rsidR="00567F3A" w:rsidRPr="000E340B">
        <w:t xml:space="preserve"> </w:t>
      </w:r>
      <w:r w:rsidRPr="000E340B">
        <w:t>(</w:t>
      </w:r>
      <w:r w:rsidRPr="000E340B">
        <w:rPr>
          <w:i/>
          <w:iCs/>
        </w:rPr>
        <w:t>Senāta 2025. gada 12. marta lēmuma lietā Nr. SKK</w:t>
      </w:r>
      <w:r w:rsidRPr="000E340B">
        <w:rPr>
          <w:i/>
          <w:iCs/>
        </w:rPr>
        <w:noBreakHyphen/>
        <w:t xml:space="preserve">29/2025, </w:t>
      </w:r>
      <w:hyperlink r:id="rId11" w:history="1">
        <w:r w:rsidR="004228A7" w:rsidRPr="000E340B">
          <w:rPr>
            <w:rStyle w:val="Hyperlink"/>
            <w:i/>
            <w:iCs/>
          </w:rPr>
          <w:t>ECLI:LV:AT:2025:0312.11903009921.7.L</w:t>
        </w:r>
      </w:hyperlink>
      <w:r w:rsidRPr="000E340B">
        <w:rPr>
          <w:i/>
          <w:iCs/>
        </w:rPr>
        <w:t>, 6. punkts</w:t>
      </w:r>
      <w:r w:rsidRPr="000E340B">
        <w:t>).</w:t>
      </w:r>
    </w:p>
    <w:p w14:paraId="6D5BBEFD" w14:textId="6EE5504E" w:rsidR="007F2A59" w:rsidRPr="000E340B" w:rsidRDefault="009E732F" w:rsidP="00187B8A">
      <w:pPr>
        <w:widowControl w:val="0"/>
        <w:shd w:val="clear" w:color="auto" w:fill="FFFFFF"/>
        <w:spacing w:line="276" w:lineRule="auto"/>
        <w:ind w:firstLine="720"/>
        <w:jc w:val="both"/>
      </w:pPr>
      <w:r w:rsidRPr="000E340B">
        <w:t>Tiesību doktrīnā tiek skaidrots, ka n</w:t>
      </w:r>
      <w:r w:rsidR="00AD12DB" w:rsidRPr="000E340B">
        <w:t>oziedzīgā nodarījuma priekšmets ir tie konkrētie materiālās pasaules priekšmeti (lietas, nauda, vērtspapīri, ieroči, narkotiskas un psihotropas vielas, transportlīdzekļi u.</w:t>
      </w:r>
      <w:r w:rsidR="00682A34" w:rsidRPr="000E340B">
        <w:t> </w:t>
      </w:r>
      <w:r w:rsidR="00AD12DB" w:rsidRPr="000E340B">
        <w:t xml:space="preserve">c.), pret kuriem vērsta noteikta prettiesiska darbība (bezdarbība), tādējādi apdraudot ar </w:t>
      </w:r>
      <w:r w:rsidR="00C92E0E" w:rsidRPr="000E340B">
        <w:t>K</w:t>
      </w:r>
      <w:r w:rsidR="00AD12DB" w:rsidRPr="000E340B">
        <w:t>rimināllikumu aizsargātās intereses</w:t>
      </w:r>
      <w:r w:rsidR="00FC2711" w:rsidRPr="000E340B">
        <w:t xml:space="preserve">. </w:t>
      </w:r>
      <w:r w:rsidR="00AD12DB" w:rsidRPr="000E340B">
        <w:t>Savukārt ar noziedzīga nodarījuma rīkiem un līdzekļiem vainīgais iedarbojas vienīgi uz nodarījuma priekšmetu vai nodarījumā cietušo, tāpēc tie nav noziedzīga nodarījuma objekta sastāvdaļas (nodarījuma priekšmets)</w:t>
      </w:r>
      <w:r w:rsidR="00FB3043" w:rsidRPr="000E340B">
        <w:t xml:space="preserve"> (</w:t>
      </w:r>
      <w:proofErr w:type="spellStart"/>
      <w:r w:rsidR="00FB3043" w:rsidRPr="000E340B">
        <w:rPr>
          <w:i/>
          <w:iCs/>
        </w:rPr>
        <w:t>Liholaja</w:t>
      </w:r>
      <w:proofErr w:type="spellEnd"/>
      <w:r w:rsidR="001A2690" w:rsidRPr="000E340B">
        <w:rPr>
          <w:i/>
          <w:iCs/>
        </w:rPr>
        <w:t> </w:t>
      </w:r>
      <w:r w:rsidR="00FB3043" w:rsidRPr="000E340B">
        <w:rPr>
          <w:i/>
          <w:iCs/>
        </w:rPr>
        <w:t>V. Noziedzīgu nodarījumu kvalifikācija: Likums. Teorija. Prakse. Rīga: Tiesu namu aģentūra, 2003, 25.</w:t>
      </w:r>
      <w:r w:rsidR="00C92E0E" w:rsidRPr="000E340B">
        <w:rPr>
          <w:i/>
          <w:iCs/>
        </w:rPr>
        <w:t>–</w:t>
      </w:r>
      <w:r w:rsidR="00FB3043" w:rsidRPr="000E340B">
        <w:rPr>
          <w:i/>
          <w:iCs/>
        </w:rPr>
        <w:t>26. lpp.</w:t>
      </w:r>
      <w:r w:rsidR="00FB3043" w:rsidRPr="000E340B">
        <w:t>).</w:t>
      </w:r>
    </w:p>
    <w:p w14:paraId="06DB40A1" w14:textId="79660304" w:rsidR="00DC0CAD" w:rsidRPr="000E340B" w:rsidRDefault="00D41D93" w:rsidP="00187B8A">
      <w:pPr>
        <w:widowControl w:val="0"/>
        <w:shd w:val="clear" w:color="auto" w:fill="FFFFFF"/>
        <w:spacing w:line="276" w:lineRule="auto"/>
        <w:ind w:firstLine="720"/>
        <w:jc w:val="both"/>
      </w:pPr>
      <w:r w:rsidRPr="000E340B">
        <w:t>Tādējādi</w:t>
      </w:r>
      <w:r w:rsidR="00DC0CAD" w:rsidRPr="000E340B">
        <w:t xml:space="preserve"> noziedzīga nodarījuma priekšmets ir jānorobežo no </w:t>
      </w:r>
      <w:r w:rsidRPr="000E340B">
        <w:t xml:space="preserve">noziedzīgā nodarījuma izdarīšanas </w:t>
      </w:r>
      <w:r w:rsidR="00CD37D4" w:rsidRPr="000E340B">
        <w:t>priekšmetiem –</w:t>
      </w:r>
      <w:r w:rsidRPr="000E340B">
        <w:t xml:space="preserve"> </w:t>
      </w:r>
      <w:r w:rsidR="00DC0CAD" w:rsidRPr="000E340B">
        <w:t>rīkiem un līdzekļiem</w:t>
      </w:r>
      <w:r w:rsidR="00DE12F8" w:rsidRPr="000E340B">
        <w:t xml:space="preserve"> –</w:t>
      </w:r>
      <w:r w:rsidR="00DC0CAD" w:rsidRPr="000E340B">
        <w:t>, ar kuru palīdzību noziedzīgs nodarījums tiek izdarīts.</w:t>
      </w:r>
    </w:p>
    <w:p w14:paraId="4425B622" w14:textId="00C03EDB" w:rsidR="0084404C" w:rsidRPr="000E340B" w:rsidRDefault="009E732F" w:rsidP="00187B8A">
      <w:pPr>
        <w:widowControl w:val="0"/>
        <w:shd w:val="clear" w:color="auto" w:fill="FFFFFF"/>
        <w:spacing w:line="276" w:lineRule="auto"/>
        <w:ind w:firstLine="720"/>
        <w:jc w:val="both"/>
      </w:pPr>
      <w:r w:rsidRPr="000E340B">
        <w:t>Senāts norāda, ka n</w:t>
      </w:r>
      <w:r w:rsidR="00F91622" w:rsidRPr="000E340B">
        <w:t xml:space="preserve">oziedzīga nodarījuma rīki un līdzekļi, atšķirībā no </w:t>
      </w:r>
      <w:r w:rsidR="00C92E0E" w:rsidRPr="000E340B">
        <w:t xml:space="preserve">noziedzīga </w:t>
      </w:r>
      <w:r w:rsidR="00F91622" w:rsidRPr="000E340B">
        <w:t xml:space="preserve">nodarījuma priekšmeta, </w:t>
      </w:r>
      <w:r w:rsidR="008F59CC" w:rsidRPr="000E340B">
        <w:t>n</w:t>
      </w:r>
      <w:r w:rsidR="00F91622" w:rsidRPr="000E340B">
        <w:t xml:space="preserve">av saistāmi ar </w:t>
      </w:r>
      <w:r w:rsidR="00C92E0E" w:rsidRPr="000E340B">
        <w:t xml:space="preserve">Krimināllikuma Sevišķās daļas normā aizsargātās </w:t>
      </w:r>
      <w:r w:rsidR="00F91622" w:rsidRPr="000E340B">
        <w:t>intereses saturu</w:t>
      </w:r>
      <w:r w:rsidR="00DE12F8" w:rsidRPr="000E340B">
        <w:t>. T</w:t>
      </w:r>
      <w:r w:rsidRPr="000E340B">
        <w:t xml:space="preserve">ādējādi </w:t>
      </w:r>
      <w:r w:rsidR="00F13164" w:rsidRPr="000E340B">
        <w:t>šaujamiero</w:t>
      </w:r>
      <w:r w:rsidR="007171CA" w:rsidRPr="000E340B">
        <w:t>cis tā</w:t>
      </w:r>
      <w:r w:rsidR="00F13164" w:rsidRPr="000E340B">
        <w:t xml:space="preserve"> neatļautas </w:t>
      </w:r>
      <w:r w:rsidR="000279EE" w:rsidRPr="000E340B">
        <w:t>glab</w:t>
      </w:r>
      <w:r w:rsidR="00DC61C0" w:rsidRPr="000E340B">
        <w:t>ā</w:t>
      </w:r>
      <w:r w:rsidR="000279EE" w:rsidRPr="000E340B">
        <w:t>šanas</w:t>
      </w:r>
      <w:r w:rsidR="00F13164" w:rsidRPr="000E340B">
        <w:t xml:space="preserve"> gadījumā </w:t>
      </w:r>
      <w:r w:rsidR="00997D44" w:rsidRPr="000E340B">
        <w:t>būs</w:t>
      </w:r>
      <w:r w:rsidR="00F13164" w:rsidRPr="000E340B">
        <w:t xml:space="preserve"> Krimināllikuma 233. pantā paredzētā noziedzīgā nodarījuma priekšmets, bet</w:t>
      </w:r>
      <w:r w:rsidR="005743A1" w:rsidRPr="000E340B">
        <w:t>, piemēram,</w:t>
      </w:r>
      <w:r w:rsidR="00F13164" w:rsidRPr="000E340B">
        <w:t xml:space="preserve"> šaujamierocis, ar kuru izdarīta slepkavība,</w:t>
      </w:r>
      <w:r w:rsidR="005743A1" w:rsidRPr="000E340B">
        <w:t xml:space="preserve"> būs</w:t>
      </w:r>
      <w:r w:rsidR="00F13164" w:rsidRPr="000E340B">
        <w:t xml:space="preserve"> noziedzīgā nodarījuma izdarīšanas </w:t>
      </w:r>
      <w:r w:rsidR="00DE12F8" w:rsidRPr="000E340B">
        <w:t xml:space="preserve">priekšmets – </w:t>
      </w:r>
      <w:r w:rsidR="00F13164" w:rsidRPr="000E340B">
        <w:t>rīks, ar kuru atņemta citas personas dzīvība.</w:t>
      </w:r>
    </w:p>
    <w:p w14:paraId="5FD58F8C" w14:textId="20F7FCB6" w:rsidR="0084404C" w:rsidRPr="000E340B" w:rsidRDefault="00533BA0" w:rsidP="00187B8A">
      <w:pPr>
        <w:widowControl w:val="0"/>
        <w:shd w:val="clear" w:color="auto" w:fill="FFFFFF"/>
        <w:spacing w:line="276" w:lineRule="auto"/>
        <w:ind w:firstLine="720"/>
        <w:jc w:val="both"/>
      </w:pPr>
      <w:r w:rsidRPr="000E340B">
        <w:t xml:space="preserve">Apelācijas instances tiesa nav ņēmusi vērā, ka apsūdzētā </w:t>
      </w:r>
      <w:r w:rsidR="00532371">
        <w:t>[pers. A]</w:t>
      </w:r>
      <w:r w:rsidRPr="000E340B">
        <w:t xml:space="preserve"> dzīvesvietā izņemtie šaujamieroči un to munīcija ir Krimināllikuma 233. panta otrajā daļā paredzētā noziedzīgā nodarījuma priekšmeti</w:t>
      </w:r>
      <w:r w:rsidR="000F57EA" w:rsidRPr="000E340B">
        <w:t xml:space="preserve">, proti, </w:t>
      </w:r>
      <w:r w:rsidR="00F64ED3" w:rsidRPr="000E340B">
        <w:t>noziedzīga nodarījuma objekta sastāvdaļa</w:t>
      </w:r>
      <w:r w:rsidRPr="000E340B">
        <w:t>.</w:t>
      </w:r>
    </w:p>
    <w:p w14:paraId="7F65CC87" w14:textId="2920B874" w:rsidR="00DA1EF9" w:rsidRPr="000E340B" w:rsidRDefault="007F2A59" w:rsidP="00187B8A">
      <w:pPr>
        <w:widowControl w:val="0"/>
        <w:shd w:val="clear" w:color="auto" w:fill="FFFFFF"/>
        <w:spacing w:line="276" w:lineRule="auto"/>
        <w:ind w:firstLine="720"/>
        <w:jc w:val="both"/>
      </w:pPr>
      <w:r w:rsidRPr="000E340B">
        <w:t>Ievērojot minēto, Senāts atzīst, ka apelācijas instances tiesa nepareizi piemērojusi Krimināllikuma 70.</w:t>
      </w:r>
      <w:r w:rsidRPr="000E340B">
        <w:rPr>
          <w:vertAlign w:val="superscript"/>
        </w:rPr>
        <w:t>12</w:t>
      </w:r>
      <w:r w:rsidRPr="000E340B">
        <w:t> pantu</w:t>
      </w:r>
      <w:r w:rsidR="005F155A" w:rsidRPr="000E340B">
        <w:t>.</w:t>
      </w:r>
    </w:p>
    <w:p w14:paraId="4291549F" w14:textId="1B87CCE2" w:rsidR="00532102" w:rsidRPr="000E340B" w:rsidRDefault="00E82C81" w:rsidP="00187B8A">
      <w:pPr>
        <w:widowControl w:val="0"/>
        <w:shd w:val="clear" w:color="auto" w:fill="FFFFFF"/>
        <w:spacing w:line="276" w:lineRule="auto"/>
        <w:ind w:firstLine="720"/>
        <w:jc w:val="both"/>
      </w:pPr>
      <w:r w:rsidRPr="000E340B">
        <w:t>[</w:t>
      </w:r>
      <w:r w:rsidR="00A12E57" w:rsidRPr="000E340B">
        <w:t>8</w:t>
      </w:r>
      <w:r w:rsidR="007704BE" w:rsidRPr="000E340B">
        <w:t>.2</w:t>
      </w:r>
      <w:r w:rsidRPr="000E340B">
        <w:t>] </w:t>
      </w:r>
      <w:r w:rsidR="00903957" w:rsidRPr="000E340B">
        <w:t>Saskaņā ar Krimināllikuma 70.</w:t>
      </w:r>
      <w:r w:rsidR="00903957" w:rsidRPr="000E340B">
        <w:rPr>
          <w:vertAlign w:val="superscript"/>
        </w:rPr>
        <w:t>13</w:t>
      </w:r>
      <w:r w:rsidR="00903957" w:rsidRPr="000E340B">
        <w:t xml:space="preserve"> panta pirmo daļu ar noziedzīgu nodarījumu </w:t>
      </w:r>
      <w:r w:rsidR="00903957" w:rsidRPr="000E340B">
        <w:lastRenderedPageBreak/>
        <w:t>saistīta manta ir apgrozībā aizliegtas lietas vai lietas, kuru izcelsme vai piederība konkrētajā krimināllietā nav noskaidrota, vai tāda noziedzīgu nodarījumu izdarījušai personai piederoša manta, kas sakarā ar izdarīto noziedzīgo nodarījumu nav atstājama personas īpašumā.</w:t>
      </w:r>
    </w:p>
    <w:p w14:paraId="6062A6E4" w14:textId="17982DFC" w:rsidR="0061451F" w:rsidRPr="000E340B" w:rsidRDefault="00282780" w:rsidP="00187B8A">
      <w:pPr>
        <w:widowControl w:val="0"/>
        <w:shd w:val="clear" w:color="auto" w:fill="FFFFFF"/>
        <w:spacing w:line="276" w:lineRule="auto"/>
        <w:ind w:firstLine="720"/>
        <w:jc w:val="both"/>
      </w:pPr>
      <w:r w:rsidRPr="000E340B">
        <w:t xml:space="preserve">Senāts norāda, ka </w:t>
      </w:r>
      <w:r w:rsidR="00BC2AC8" w:rsidRPr="000E340B">
        <w:t>par apgrozībā aizliegtām atzīstamas tādas</w:t>
      </w:r>
      <w:r w:rsidR="00201A28" w:rsidRPr="000E340B">
        <w:t xml:space="preserve"> lietas</w:t>
      </w:r>
      <w:r w:rsidR="00BC2AC8" w:rsidRPr="000E340B">
        <w:t>, kuras aizskar valsts un iedzīvotāju drošības un tiesiskās kārtības intereses.</w:t>
      </w:r>
    </w:p>
    <w:p w14:paraId="2F6CCEC5" w14:textId="2419A4FC" w:rsidR="007229C0" w:rsidRPr="000E340B" w:rsidRDefault="007229C0" w:rsidP="00187B8A">
      <w:pPr>
        <w:widowControl w:val="0"/>
        <w:shd w:val="clear" w:color="auto" w:fill="FFFFFF"/>
        <w:spacing w:line="276" w:lineRule="auto"/>
        <w:ind w:firstLine="720"/>
        <w:jc w:val="both"/>
      </w:pPr>
      <w:r w:rsidRPr="000E340B">
        <w:t>Ieroču aprites likum</w:t>
      </w:r>
      <w:r w:rsidR="002762E5" w:rsidRPr="000E340B">
        <w:t>ā reglamentēta</w:t>
      </w:r>
      <w:r w:rsidRPr="000E340B">
        <w:t xml:space="preserve"> šaujamieroču un to munīcijas likumīgās aprites kārtīb</w:t>
      </w:r>
      <w:r w:rsidR="002762E5" w:rsidRPr="000E340B">
        <w:t>a</w:t>
      </w:r>
      <w:r w:rsidRPr="000E340B">
        <w:t xml:space="preserve"> un no</w:t>
      </w:r>
      <w:r w:rsidR="002762E5" w:rsidRPr="000E340B">
        <w:t>teikti</w:t>
      </w:r>
      <w:r w:rsidRPr="000E340B">
        <w:t xml:space="preserve"> gadījum</w:t>
      </w:r>
      <w:r w:rsidR="002762E5" w:rsidRPr="000E340B">
        <w:t>i</w:t>
      </w:r>
      <w:r w:rsidRPr="000E340B">
        <w:t>, kad ieroču glabāšana ir pieļaujama vai aizliegta.</w:t>
      </w:r>
    </w:p>
    <w:p w14:paraId="7C4529DD" w14:textId="77777777" w:rsidR="007229C0" w:rsidRPr="000E340B" w:rsidRDefault="007229C0" w:rsidP="00187B8A">
      <w:pPr>
        <w:widowControl w:val="0"/>
        <w:shd w:val="clear" w:color="auto" w:fill="FFFFFF"/>
        <w:spacing w:line="276" w:lineRule="auto"/>
        <w:ind w:firstLine="720"/>
        <w:jc w:val="both"/>
      </w:pPr>
      <w:r w:rsidRPr="000E340B">
        <w:t>Ieroču aprites likuma 2. pants atklāj šā likuma mērķi – noteikt valsts un pašvaldību institūciju un privātpersonu tiesības un pienākumus attiecībā uz ieroču, munīcijas, to sastāvdaļu un speciālo līdzekļu apriti Latvijā, kā arī noteikt šo priekšmetu klasifikāciju, aizliegumus un ierobežojumus attiecībā uz šiem priekšmetiem, lai garantētu personu un sabiedrības drošību.</w:t>
      </w:r>
    </w:p>
    <w:p w14:paraId="0463FC60" w14:textId="77777777" w:rsidR="007229C0" w:rsidRPr="000E340B" w:rsidRDefault="007229C0" w:rsidP="00187B8A">
      <w:pPr>
        <w:widowControl w:val="0"/>
        <w:shd w:val="clear" w:color="auto" w:fill="FFFFFF"/>
        <w:spacing w:line="276" w:lineRule="auto"/>
        <w:ind w:firstLine="720"/>
        <w:jc w:val="both"/>
      </w:pPr>
      <w:r w:rsidRPr="000E340B">
        <w:t>Aplūkojot Ieroču aprites likuma mērķi kopsakarā ar šā likuma 3. nodaļā „Ieroču, munīcijas un to sastāvdaļu, kā arī speciālo līdzekļu aprites aizliegumi” ietverto 12. un 13. panta saturu, secināms, ka šaujamieroču aprite ir pieļaujama tikai tādā apjomā un kārtībā, kāda noteikta likumā, savukārt personas, kurām nav attiecīgas ieroču atļaujas, nav tiesīgas glabāt vai citādi rīkoties ar šaujamieroci.</w:t>
      </w:r>
    </w:p>
    <w:p w14:paraId="43A15BC9" w14:textId="1CE95F88" w:rsidR="007229C0" w:rsidRPr="000E340B" w:rsidRDefault="007229C0" w:rsidP="00187B8A">
      <w:pPr>
        <w:widowControl w:val="0"/>
        <w:shd w:val="clear" w:color="auto" w:fill="FFFFFF"/>
        <w:spacing w:line="276" w:lineRule="auto"/>
        <w:ind w:firstLine="720"/>
        <w:jc w:val="both"/>
      </w:pPr>
      <w:r w:rsidRPr="000E340B">
        <w:t>Tātad prettiesiska šaujamieroča un tā munīcijas glabāšana rada personu un sabiedrības drošības apdraudējumu. Secīgi izriet, ka šaujamierocis un tā munīcija, kas tiek glabāta bez tiesiska pamata, ir uzskatāma par apgrozībā aizliegtu lietu Ieroču aprites likuma izpratnē, un līdz ar to – arī par mantu, kas saistīta ar noziedzīgu nodarījumu, kuru nonākšana brīvā apritē nav pieļaujama.</w:t>
      </w:r>
    </w:p>
    <w:p w14:paraId="0339FFF9" w14:textId="6587D10F" w:rsidR="00DA1B04" w:rsidRPr="000E340B" w:rsidRDefault="00923E5D" w:rsidP="00187B8A">
      <w:pPr>
        <w:widowControl w:val="0"/>
        <w:shd w:val="clear" w:color="auto" w:fill="FFFFFF"/>
        <w:spacing w:line="276" w:lineRule="auto"/>
        <w:ind w:firstLine="720"/>
        <w:jc w:val="both"/>
      </w:pPr>
      <w:r w:rsidRPr="000E340B">
        <w:t>[</w:t>
      </w:r>
      <w:r w:rsidR="00A12E57" w:rsidRPr="000E340B">
        <w:t>8</w:t>
      </w:r>
      <w:r w:rsidRPr="000E340B">
        <w:t>.3] </w:t>
      </w:r>
      <w:r w:rsidR="00DA1B04" w:rsidRPr="000E340B">
        <w:t xml:space="preserve">Apelācijas instances tiesa atzinusi, ka apsūdzētais </w:t>
      </w:r>
      <w:r w:rsidR="00532371">
        <w:t>[pers. A]</w:t>
      </w:r>
      <w:r w:rsidR="00DA1B04" w:rsidRPr="000E340B">
        <w:t xml:space="preserve"> bez attiecīgas atļaujas glabāja šaujamieročus un šaujamieroču munīciju, tādējādi apdraudot vispārējo drošību šaujamieroču un to munīcijas aprites jomā.</w:t>
      </w:r>
    </w:p>
    <w:p w14:paraId="294AE8FF" w14:textId="7119BE71" w:rsidR="00DA1B04" w:rsidRPr="000E340B" w:rsidRDefault="007C1821" w:rsidP="00187B8A">
      <w:pPr>
        <w:widowControl w:val="0"/>
        <w:shd w:val="clear" w:color="auto" w:fill="FFFFFF"/>
        <w:spacing w:line="276" w:lineRule="auto"/>
        <w:ind w:firstLine="720"/>
        <w:jc w:val="both"/>
      </w:pPr>
      <w:r w:rsidRPr="000E340B">
        <w:t>Ievērojot minēto,</w:t>
      </w:r>
      <w:r w:rsidR="00DA1B04" w:rsidRPr="000E340B">
        <w:t xml:space="preserve"> apelācijas instances tiesa faktiski ir konstatējusi, ka šaujamierocis un tā munīcija ir apgrozībā aizliegtas lietas.</w:t>
      </w:r>
    </w:p>
    <w:p w14:paraId="4E4F56DA" w14:textId="631EBD3F" w:rsidR="00DA1B04" w:rsidRPr="000E340B" w:rsidRDefault="00DA1B04" w:rsidP="00187B8A">
      <w:pPr>
        <w:widowControl w:val="0"/>
        <w:shd w:val="clear" w:color="auto" w:fill="FFFFFF"/>
        <w:spacing w:line="276" w:lineRule="auto"/>
        <w:ind w:firstLine="720"/>
        <w:jc w:val="both"/>
      </w:pPr>
      <w:r w:rsidRPr="000E340B">
        <w:t>Krimināllikuma 70.</w:t>
      </w:r>
      <w:r w:rsidRPr="000E340B">
        <w:rPr>
          <w:vertAlign w:val="superscript"/>
        </w:rPr>
        <w:t>13</w:t>
      </w:r>
      <w:r w:rsidRPr="000E340B">
        <w:t xml:space="preserve"> panta </w:t>
      </w:r>
      <w:r w:rsidRPr="000E340B" w:rsidDel="006D4D7C">
        <w:t>otrā daļā noteic, ka ar noziedzīgu nodarījumu saistītu mantu</w:t>
      </w:r>
      <w:r w:rsidRPr="000E340B">
        <w:t>, tai skaitā apgrozībā aizliegtu lietu</w:t>
      </w:r>
      <w:r w:rsidRPr="000E340B" w:rsidDel="006D4D7C">
        <w:t xml:space="preserve"> konfiscē.</w:t>
      </w:r>
    </w:p>
    <w:p w14:paraId="2C6F2D71" w14:textId="16EACD6D" w:rsidR="00DA1B04" w:rsidRPr="000E340B" w:rsidRDefault="00DA1B04" w:rsidP="00187B8A">
      <w:pPr>
        <w:widowControl w:val="0"/>
        <w:shd w:val="clear" w:color="auto" w:fill="FFFFFF"/>
        <w:spacing w:line="276" w:lineRule="auto"/>
        <w:ind w:firstLine="720"/>
        <w:jc w:val="both"/>
      </w:pPr>
      <w:r w:rsidRPr="000E340B">
        <w:t xml:space="preserve">Senāts jau iepriekš ir norādījis, ka konfiscēto apgrozībā aizliegto lietu nodošanai attiecīgajām iestādēm vai to iznīcināšanai ir obligāts raksturs, lai nepieļautu </w:t>
      </w:r>
      <w:r w:rsidR="00CA27AA" w:rsidRPr="000E340B">
        <w:t xml:space="preserve">šādu </w:t>
      </w:r>
      <w:r w:rsidRPr="000E340B">
        <w:t>lietu nonākšanu turpmākā apritē un pasargātu sabiedrības drošību un veselību (</w:t>
      </w:r>
      <w:r w:rsidR="00CA27AA" w:rsidRPr="000E340B">
        <w:t>sk. </w:t>
      </w:r>
      <w:r w:rsidRPr="000E340B">
        <w:rPr>
          <w:i/>
          <w:iCs/>
        </w:rPr>
        <w:t>Senāta 2022. gada 29. septembra lēmuma lietā Nr. SKK</w:t>
      </w:r>
      <w:r w:rsidRPr="000E340B">
        <w:rPr>
          <w:i/>
          <w:iCs/>
        </w:rPr>
        <w:noBreakHyphen/>
        <w:t xml:space="preserve">156/2022, </w:t>
      </w:r>
      <w:hyperlink r:id="rId12" w:history="1">
        <w:r w:rsidRPr="000E340B">
          <w:rPr>
            <w:rStyle w:val="Hyperlink"/>
            <w:i/>
            <w:iCs/>
          </w:rPr>
          <w:t>ECLI:LV:AT:2022:0929.11370014519.7.L</w:t>
        </w:r>
      </w:hyperlink>
      <w:r w:rsidRPr="000E340B">
        <w:rPr>
          <w:i/>
          <w:iCs/>
        </w:rPr>
        <w:t>, 6.3 punkts</w:t>
      </w:r>
      <w:r w:rsidRPr="000E340B">
        <w:t>).</w:t>
      </w:r>
    </w:p>
    <w:p w14:paraId="47C33E8D" w14:textId="78A45641" w:rsidR="008F59CC" w:rsidRPr="000E340B" w:rsidRDefault="0061451F" w:rsidP="00187B8A">
      <w:pPr>
        <w:shd w:val="clear" w:color="auto" w:fill="FFFFFF"/>
        <w:spacing w:line="276" w:lineRule="auto"/>
        <w:ind w:firstLine="720"/>
        <w:jc w:val="both"/>
      </w:pPr>
      <w:r w:rsidRPr="000E340B">
        <w:t>Piemērojot atbilstoš</w:t>
      </w:r>
      <w:r w:rsidR="0051191F" w:rsidRPr="000E340B">
        <w:t>u</w:t>
      </w:r>
      <w:r w:rsidRPr="000E340B">
        <w:t xml:space="preserve"> Krimināllikuma Vispārīgās daļas normu tiem faktiskajiem apstākļiem, kurus konstatējusi apelācijas instances tiesa, nemainīsies rīcības sekas ar lietiskajiem pierādījumiem – </w:t>
      </w:r>
      <w:r w:rsidRPr="000E340B">
        <w:rPr>
          <w:shd w:val="clear" w:color="auto" w:fill="FFFFFF"/>
        </w:rPr>
        <w:t xml:space="preserve">B4 kategorijas </w:t>
      </w:r>
      <w:proofErr w:type="spellStart"/>
      <w:r w:rsidRPr="000E340B">
        <w:rPr>
          <w:shd w:val="clear" w:color="auto" w:fill="FFFFFF"/>
        </w:rPr>
        <w:t>garstobru</w:t>
      </w:r>
      <w:proofErr w:type="spellEnd"/>
      <w:r w:rsidRPr="000E340B">
        <w:rPr>
          <w:shd w:val="clear" w:color="auto" w:fill="FFFFFF"/>
        </w:rPr>
        <w:t xml:space="preserve"> bisi „</w:t>
      </w:r>
      <w:proofErr w:type="spellStart"/>
      <w:r w:rsidRPr="000E340B">
        <w:rPr>
          <w:shd w:val="clear" w:color="auto" w:fill="FFFFFF"/>
        </w:rPr>
        <w:t>Benelli</w:t>
      </w:r>
      <w:proofErr w:type="spellEnd"/>
      <w:r w:rsidRPr="000E340B">
        <w:rPr>
          <w:shd w:val="clear" w:color="auto" w:fill="FFFFFF"/>
        </w:rPr>
        <w:t xml:space="preserve"> </w:t>
      </w:r>
      <w:proofErr w:type="spellStart"/>
      <w:r w:rsidRPr="000E340B">
        <w:rPr>
          <w:shd w:val="clear" w:color="auto" w:fill="FFFFFF"/>
        </w:rPr>
        <w:t>Ethos</w:t>
      </w:r>
      <w:proofErr w:type="spellEnd"/>
      <w:r w:rsidRPr="000E340B">
        <w:rPr>
          <w:shd w:val="clear" w:color="auto" w:fill="FFFFFF"/>
        </w:rPr>
        <w:t xml:space="preserve"> 28”, B4 kategorijas </w:t>
      </w:r>
      <w:proofErr w:type="spellStart"/>
      <w:r w:rsidRPr="000E340B">
        <w:rPr>
          <w:shd w:val="clear" w:color="auto" w:fill="FFFFFF"/>
        </w:rPr>
        <w:t>garstobru</w:t>
      </w:r>
      <w:proofErr w:type="spellEnd"/>
      <w:r w:rsidRPr="000E340B">
        <w:rPr>
          <w:shd w:val="clear" w:color="auto" w:fill="FFFFFF"/>
        </w:rPr>
        <w:t xml:space="preserve"> bisi „</w:t>
      </w:r>
      <w:proofErr w:type="spellStart"/>
      <w:r w:rsidRPr="000E340B">
        <w:rPr>
          <w:shd w:val="clear" w:color="auto" w:fill="FFFFFF"/>
        </w:rPr>
        <w:t>Benelli</w:t>
      </w:r>
      <w:proofErr w:type="spellEnd"/>
      <w:r w:rsidRPr="000E340B">
        <w:rPr>
          <w:shd w:val="clear" w:color="auto" w:fill="FFFFFF"/>
        </w:rPr>
        <w:t xml:space="preserve"> </w:t>
      </w:r>
      <w:proofErr w:type="spellStart"/>
      <w:r w:rsidRPr="000E340B">
        <w:rPr>
          <w:shd w:val="clear" w:color="auto" w:fill="FFFFFF"/>
        </w:rPr>
        <w:t>Raffaello</w:t>
      </w:r>
      <w:proofErr w:type="spellEnd"/>
      <w:r w:rsidRPr="000E340B">
        <w:rPr>
          <w:shd w:val="clear" w:color="auto" w:fill="FFFFFF"/>
        </w:rPr>
        <w:t xml:space="preserve"> Lord”, B4 kategorijas </w:t>
      </w:r>
      <w:proofErr w:type="spellStart"/>
      <w:r w:rsidRPr="000E340B">
        <w:rPr>
          <w:shd w:val="clear" w:color="auto" w:fill="FFFFFF"/>
        </w:rPr>
        <w:t>garstobra</w:t>
      </w:r>
      <w:proofErr w:type="spellEnd"/>
      <w:r w:rsidRPr="000E340B">
        <w:rPr>
          <w:shd w:val="clear" w:color="auto" w:fill="FFFFFF"/>
        </w:rPr>
        <w:noBreakHyphen/>
        <w:t>vītņstobra karabīni „</w:t>
      </w:r>
      <w:proofErr w:type="spellStart"/>
      <w:r w:rsidRPr="000E340B">
        <w:rPr>
          <w:shd w:val="clear" w:color="auto" w:fill="FFFFFF"/>
        </w:rPr>
        <w:t>Benelli</w:t>
      </w:r>
      <w:proofErr w:type="spellEnd"/>
      <w:r w:rsidR="0051191F" w:rsidRPr="000E340B">
        <w:rPr>
          <w:shd w:val="clear" w:color="auto" w:fill="FFFFFF"/>
        </w:rPr>
        <w:t> </w:t>
      </w:r>
      <w:proofErr w:type="spellStart"/>
      <w:r w:rsidRPr="000E340B">
        <w:rPr>
          <w:shd w:val="clear" w:color="auto" w:fill="FFFFFF"/>
        </w:rPr>
        <w:t>Argo</w:t>
      </w:r>
      <w:proofErr w:type="spellEnd"/>
      <w:r w:rsidR="0051191F" w:rsidRPr="000E340B">
        <w:rPr>
          <w:shd w:val="clear" w:color="auto" w:fill="FFFFFF"/>
        </w:rPr>
        <w:t> </w:t>
      </w:r>
      <w:r w:rsidRPr="000E340B">
        <w:rPr>
          <w:shd w:val="clear" w:color="auto" w:fill="FFFFFF"/>
        </w:rPr>
        <w:t>E</w:t>
      </w:r>
      <w:r w:rsidR="0051191F" w:rsidRPr="000E340B">
        <w:rPr>
          <w:shd w:val="clear" w:color="auto" w:fill="FFFFFF"/>
        </w:rPr>
        <w:t> </w:t>
      </w:r>
      <w:proofErr w:type="spellStart"/>
      <w:r w:rsidRPr="000E340B">
        <w:rPr>
          <w:shd w:val="clear" w:color="auto" w:fill="FFFFFF"/>
        </w:rPr>
        <w:t>Pro</w:t>
      </w:r>
      <w:proofErr w:type="spellEnd"/>
      <w:r w:rsidRPr="000E340B">
        <w:rPr>
          <w:shd w:val="clear" w:color="auto" w:fill="FFFFFF"/>
        </w:rPr>
        <w:t>” un 195 patronām</w:t>
      </w:r>
      <w:r w:rsidRPr="000E340B">
        <w:t xml:space="preserve"> –, tādējādi netiks pasliktināts apsūdzētā </w:t>
      </w:r>
      <w:r w:rsidR="008D42EC">
        <w:t>[pers. A]</w:t>
      </w:r>
      <w:r w:rsidRPr="000E340B">
        <w:t xml:space="preserve"> stāvoklis. Senāts norāda, ka tas neattiecas uz apsūdzētajam noteikto sodu un nerada viņam nelabvēlīgas tiesiskas sekas, jo lietisko pierādījumu konfiskācija šajā gadījumā izriet no likumā noteiktā pienākuma nepieļaut apgrozībā aizliegto lietu nonākšanu nelikumīgā apritē. </w:t>
      </w:r>
      <w:r w:rsidRPr="000E340B">
        <w:lastRenderedPageBreak/>
        <w:t>Tādējādi šāda rīcība ir nepieciešama sabiedrības drošības un tiesiskās kārtības nodrošināšanai, un tā netiek vērsta uz apsūdzētā tiesiskā stāvokļa pasliktināšanu.</w:t>
      </w:r>
    </w:p>
    <w:p w14:paraId="2A58B2DE" w14:textId="7EEF2B64" w:rsidR="00127083" w:rsidRPr="000E340B" w:rsidRDefault="0094032C" w:rsidP="00187B8A">
      <w:pPr>
        <w:widowControl w:val="0"/>
        <w:shd w:val="clear" w:color="auto" w:fill="FFFFFF"/>
        <w:spacing w:line="276" w:lineRule="auto"/>
        <w:ind w:firstLine="720"/>
        <w:jc w:val="both"/>
        <w:rPr>
          <w:shd w:val="clear" w:color="auto" w:fill="FFFFFF"/>
        </w:rPr>
      </w:pPr>
      <w:r w:rsidRPr="000E340B">
        <w:t xml:space="preserve">Ievērojot minēto, Senāts atzīst par iespējamu grozīt pārsūdzēto nolēmumu daļā, ar kuru lietiskie pierādījumi – </w:t>
      </w:r>
      <w:r w:rsidRPr="000E340B">
        <w:rPr>
          <w:shd w:val="clear" w:color="auto" w:fill="FFFFFF"/>
        </w:rPr>
        <w:t>šaujamieroči „</w:t>
      </w:r>
      <w:proofErr w:type="spellStart"/>
      <w:r w:rsidRPr="000E340B">
        <w:rPr>
          <w:shd w:val="clear" w:color="auto" w:fill="FFFFFF"/>
        </w:rPr>
        <w:t>Benelli</w:t>
      </w:r>
      <w:proofErr w:type="spellEnd"/>
      <w:r w:rsidRPr="000E340B">
        <w:rPr>
          <w:shd w:val="clear" w:color="auto" w:fill="FFFFFF"/>
        </w:rPr>
        <w:t> </w:t>
      </w:r>
      <w:proofErr w:type="spellStart"/>
      <w:r w:rsidRPr="000E340B">
        <w:rPr>
          <w:shd w:val="clear" w:color="auto" w:fill="FFFFFF"/>
        </w:rPr>
        <w:t>Ethos</w:t>
      </w:r>
      <w:proofErr w:type="spellEnd"/>
      <w:r w:rsidRPr="000E340B">
        <w:rPr>
          <w:shd w:val="clear" w:color="auto" w:fill="FFFFFF"/>
        </w:rPr>
        <w:t> 28”, „</w:t>
      </w:r>
      <w:proofErr w:type="spellStart"/>
      <w:r w:rsidRPr="000E340B">
        <w:rPr>
          <w:shd w:val="clear" w:color="auto" w:fill="FFFFFF"/>
        </w:rPr>
        <w:t>Benelli</w:t>
      </w:r>
      <w:proofErr w:type="spellEnd"/>
      <w:r w:rsidRPr="000E340B">
        <w:rPr>
          <w:shd w:val="clear" w:color="auto" w:fill="FFFFFF"/>
        </w:rPr>
        <w:t> </w:t>
      </w:r>
      <w:proofErr w:type="spellStart"/>
      <w:r w:rsidRPr="000E340B">
        <w:rPr>
          <w:shd w:val="clear" w:color="auto" w:fill="FFFFFF"/>
        </w:rPr>
        <w:t>Raffaello</w:t>
      </w:r>
      <w:proofErr w:type="spellEnd"/>
      <w:r w:rsidRPr="000E340B">
        <w:rPr>
          <w:shd w:val="clear" w:color="auto" w:fill="FFFFFF"/>
        </w:rPr>
        <w:t> Lord”, „</w:t>
      </w:r>
      <w:proofErr w:type="spellStart"/>
      <w:r w:rsidRPr="000E340B">
        <w:rPr>
          <w:shd w:val="clear" w:color="auto" w:fill="FFFFFF"/>
        </w:rPr>
        <w:t>Benelli</w:t>
      </w:r>
      <w:proofErr w:type="spellEnd"/>
      <w:r w:rsidR="00721343" w:rsidRPr="000E340B">
        <w:rPr>
          <w:shd w:val="clear" w:color="auto" w:fill="FFFFFF"/>
        </w:rPr>
        <w:t> </w:t>
      </w:r>
      <w:proofErr w:type="spellStart"/>
      <w:r w:rsidRPr="000E340B">
        <w:rPr>
          <w:shd w:val="clear" w:color="auto" w:fill="FFFFFF"/>
        </w:rPr>
        <w:t>Argo</w:t>
      </w:r>
      <w:proofErr w:type="spellEnd"/>
      <w:r w:rsidR="00721343" w:rsidRPr="000E340B">
        <w:rPr>
          <w:shd w:val="clear" w:color="auto" w:fill="FFFFFF"/>
        </w:rPr>
        <w:t> </w:t>
      </w:r>
      <w:r w:rsidRPr="000E340B">
        <w:rPr>
          <w:shd w:val="clear" w:color="auto" w:fill="FFFFFF"/>
        </w:rPr>
        <w:t>E</w:t>
      </w:r>
      <w:r w:rsidR="00721343" w:rsidRPr="000E340B">
        <w:rPr>
          <w:shd w:val="clear" w:color="auto" w:fill="FFFFFF"/>
        </w:rPr>
        <w:t> </w:t>
      </w:r>
      <w:proofErr w:type="spellStart"/>
      <w:r w:rsidRPr="000E340B">
        <w:rPr>
          <w:shd w:val="clear" w:color="auto" w:fill="FFFFFF"/>
        </w:rPr>
        <w:t>Pro</w:t>
      </w:r>
      <w:proofErr w:type="spellEnd"/>
      <w:r w:rsidRPr="000E340B">
        <w:rPr>
          <w:shd w:val="clear" w:color="auto" w:fill="FFFFFF"/>
        </w:rPr>
        <w:t>” un to munīcija – 195 patron</w:t>
      </w:r>
      <w:r w:rsidR="00252807" w:rsidRPr="000E340B">
        <w:rPr>
          <w:shd w:val="clear" w:color="auto" w:fill="FFFFFF"/>
        </w:rPr>
        <w:t>as</w:t>
      </w:r>
      <w:r w:rsidRPr="000E340B">
        <w:rPr>
          <w:shd w:val="clear" w:color="auto" w:fill="FFFFFF"/>
        </w:rPr>
        <w:t xml:space="preserve"> – atzīti par noziedzīga nodarījuma izdarīšanas priekšmetiem un konfiscēti saskaņā ar Krimināllikuma 70.</w:t>
      </w:r>
      <w:r w:rsidRPr="000E340B">
        <w:rPr>
          <w:shd w:val="clear" w:color="auto" w:fill="FFFFFF"/>
          <w:vertAlign w:val="superscript"/>
        </w:rPr>
        <w:t>12</w:t>
      </w:r>
      <w:r w:rsidRPr="000E340B">
        <w:rPr>
          <w:shd w:val="clear" w:color="auto" w:fill="FFFFFF"/>
        </w:rPr>
        <w:t xml:space="preserve"> panta otro daļu, nosakot, ka minētie priekšmeti atzīstami par </w:t>
      </w:r>
      <w:r w:rsidR="006938F5" w:rsidRPr="000E340B">
        <w:rPr>
          <w:shd w:val="clear" w:color="auto" w:fill="FFFFFF"/>
        </w:rPr>
        <w:t xml:space="preserve">apgrozībā aizliegtiem </w:t>
      </w:r>
      <w:r w:rsidRPr="000E340B">
        <w:rPr>
          <w:shd w:val="clear" w:color="auto" w:fill="FFFFFF"/>
        </w:rPr>
        <w:t>un konfiscējami saskaņā ar Krimināllikuma 70.</w:t>
      </w:r>
      <w:r w:rsidRPr="000E340B">
        <w:rPr>
          <w:shd w:val="clear" w:color="auto" w:fill="FFFFFF"/>
          <w:vertAlign w:val="superscript"/>
        </w:rPr>
        <w:t>13</w:t>
      </w:r>
      <w:r w:rsidRPr="000E340B">
        <w:rPr>
          <w:shd w:val="clear" w:color="auto" w:fill="FFFFFF"/>
        </w:rPr>
        <w:t> panta otro daļu.</w:t>
      </w:r>
    </w:p>
    <w:p w14:paraId="5D7E792F" w14:textId="290BC489" w:rsidR="006D70D1" w:rsidRPr="000E340B" w:rsidRDefault="006D70D1" w:rsidP="00187B8A">
      <w:pPr>
        <w:widowControl w:val="0"/>
        <w:shd w:val="clear" w:color="auto" w:fill="FFFFFF"/>
        <w:spacing w:line="276" w:lineRule="auto"/>
        <w:ind w:firstLine="720"/>
        <w:jc w:val="both"/>
      </w:pPr>
      <w:r w:rsidRPr="000E340B">
        <w:t>Atbilstoši Kriminālprocesa likuma 240.</w:t>
      </w:r>
      <w:r w:rsidR="0051191F" w:rsidRPr="000E340B">
        <w:t> </w:t>
      </w:r>
      <w:r w:rsidRPr="000E340B">
        <w:t>panta pirmās daļas 3.</w:t>
      </w:r>
      <w:r w:rsidR="0051191F" w:rsidRPr="000E340B">
        <w:t> </w:t>
      </w:r>
      <w:r w:rsidRPr="000E340B">
        <w:t xml:space="preserve">punktam lietiskie pierādījumi – </w:t>
      </w:r>
      <w:r w:rsidRPr="000E340B">
        <w:rPr>
          <w:shd w:val="clear" w:color="auto" w:fill="FFFFFF"/>
        </w:rPr>
        <w:t>šaujamieroči „</w:t>
      </w:r>
      <w:proofErr w:type="spellStart"/>
      <w:r w:rsidRPr="000E340B">
        <w:rPr>
          <w:shd w:val="clear" w:color="auto" w:fill="FFFFFF"/>
        </w:rPr>
        <w:t>Benelli</w:t>
      </w:r>
      <w:proofErr w:type="spellEnd"/>
      <w:r w:rsidRPr="000E340B">
        <w:rPr>
          <w:shd w:val="clear" w:color="auto" w:fill="FFFFFF"/>
        </w:rPr>
        <w:t> </w:t>
      </w:r>
      <w:proofErr w:type="spellStart"/>
      <w:r w:rsidRPr="000E340B">
        <w:rPr>
          <w:shd w:val="clear" w:color="auto" w:fill="FFFFFF"/>
        </w:rPr>
        <w:t>Ethos</w:t>
      </w:r>
      <w:proofErr w:type="spellEnd"/>
      <w:r w:rsidRPr="000E340B">
        <w:rPr>
          <w:shd w:val="clear" w:color="auto" w:fill="FFFFFF"/>
        </w:rPr>
        <w:t> 28”, „</w:t>
      </w:r>
      <w:proofErr w:type="spellStart"/>
      <w:r w:rsidRPr="000E340B">
        <w:rPr>
          <w:shd w:val="clear" w:color="auto" w:fill="FFFFFF"/>
        </w:rPr>
        <w:t>Benelli</w:t>
      </w:r>
      <w:proofErr w:type="spellEnd"/>
      <w:r w:rsidRPr="000E340B">
        <w:rPr>
          <w:shd w:val="clear" w:color="auto" w:fill="FFFFFF"/>
        </w:rPr>
        <w:t> </w:t>
      </w:r>
      <w:proofErr w:type="spellStart"/>
      <w:r w:rsidRPr="000E340B">
        <w:rPr>
          <w:shd w:val="clear" w:color="auto" w:fill="FFFFFF"/>
        </w:rPr>
        <w:t>Raffaello</w:t>
      </w:r>
      <w:proofErr w:type="spellEnd"/>
      <w:r w:rsidRPr="000E340B">
        <w:rPr>
          <w:shd w:val="clear" w:color="auto" w:fill="FFFFFF"/>
        </w:rPr>
        <w:t> Lord”, „</w:t>
      </w:r>
      <w:proofErr w:type="spellStart"/>
      <w:r w:rsidRPr="000E340B">
        <w:rPr>
          <w:shd w:val="clear" w:color="auto" w:fill="FFFFFF"/>
        </w:rPr>
        <w:t>Benelli</w:t>
      </w:r>
      <w:proofErr w:type="spellEnd"/>
      <w:r w:rsidRPr="000E340B">
        <w:rPr>
          <w:shd w:val="clear" w:color="auto" w:fill="FFFFFF"/>
        </w:rPr>
        <w:t> </w:t>
      </w:r>
      <w:proofErr w:type="spellStart"/>
      <w:r w:rsidRPr="000E340B">
        <w:rPr>
          <w:shd w:val="clear" w:color="auto" w:fill="FFFFFF"/>
        </w:rPr>
        <w:t>Argo</w:t>
      </w:r>
      <w:proofErr w:type="spellEnd"/>
      <w:r w:rsidRPr="000E340B">
        <w:rPr>
          <w:shd w:val="clear" w:color="auto" w:fill="FFFFFF"/>
        </w:rPr>
        <w:t> E </w:t>
      </w:r>
      <w:proofErr w:type="spellStart"/>
      <w:r w:rsidRPr="000E340B">
        <w:rPr>
          <w:shd w:val="clear" w:color="auto" w:fill="FFFFFF"/>
        </w:rPr>
        <w:t>Pro</w:t>
      </w:r>
      <w:proofErr w:type="spellEnd"/>
      <w:r w:rsidRPr="000E340B">
        <w:rPr>
          <w:shd w:val="clear" w:color="auto" w:fill="FFFFFF"/>
        </w:rPr>
        <w:t>” un to munīcija – 195 patronas – nododam</w:t>
      </w:r>
      <w:r w:rsidR="00127083" w:rsidRPr="000E340B">
        <w:rPr>
          <w:shd w:val="clear" w:color="auto" w:fill="FFFFFF"/>
        </w:rPr>
        <w:t>i</w:t>
      </w:r>
      <w:r w:rsidRPr="000E340B">
        <w:rPr>
          <w:shd w:val="clear" w:color="auto" w:fill="FFFFFF"/>
        </w:rPr>
        <w:t xml:space="preserve"> Val</w:t>
      </w:r>
      <w:r w:rsidR="00127083" w:rsidRPr="000E340B">
        <w:rPr>
          <w:shd w:val="clear" w:color="auto" w:fill="FFFFFF"/>
        </w:rPr>
        <w:t>s</w:t>
      </w:r>
      <w:r w:rsidRPr="000E340B">
        <w:rPr>
          <w:shd w:val="clear" w:color="auto" w:fill="FFFFFF"/>
        </w:rPr>
        <w:t>ts policijai.</w:t>
      </w:r>
    </w:p>
    <w:p w14:paraId="183AEFDC" w14:textId="77777777" w:rsidR="00452AB6" w:rsidRPr="000E340B" w:rsidRDefault="00452AB6" w:rsidP="00187B8A">
      <w:pPr>
        <w:widowControl w:val="0"/>
        <w:shd w:val="clear" w:color="auto" w:fill="FFFFFF"/>
        <w:spacing w:line="276" w:lineRule="auto"/>
        <w:ind w:firstLine="720"/>
        <w:jc w:val="both"/>
        <w:rPr>
          <w:shd w:val="clear" w:color="auto" w:fill="FFFFFF"/>
        </w:rPr>
      </w:pPr>
    </w:p>
    <w:p w14:paraId="12CBFC44" w14:textId="3F813F32" w:rsidR="00447EE6" w:rsidRPr="000E340B" w:rsidRDefault="00447EE6" w:rsidP="00187B8A">
      <w:pPr>
        <w:widowControl w:val="0"/>
        <w:shd w:val="clear" w:color="auto" w:fill="FFFFFF"/>
        <w:spacing w:line="276" w:lineRule="auto"/>
        <w:jc w:val="center"/>
        <w:rPr>
          <w:b/>
        </w:rPr>
      </w:pPr>
      <w:r w:rsidRPr="000E340B">
        <w:rPr>
          <w:b/>
        </w:rPr>
        <w:t>Rezolutīvā daļa</w:t>
      </w:r>
    </w:p>
    <w:p w14:paraId="40FF95B5" w14:textId="77777777" w:rsidR="00A656FE" w:rsidRPr="000E340B" w:rsidRDefault="00A656FE" w:rsidP="00187B8A">
      <w:pPr>
        <w:widowControl w:val="0"/>
        <w:shd w:val="clear" w:color="auto" w:fill="FFFFFF"/>
        <w:spacing w:line="276" w:lineRule="auto"/>
        <w:ind w:firstLine="720"/>
        <w:jc w:val="both"/>
      </w:pPr>
    </w:p>
    <w:p w14:paraId="5CE1399F" w14:textId="5AABB917" w:rsidR="00992963" w:rsidRPr="000E340B" w:rsidRDefault="00992963" w:rsidP="00187B8A">
      <w:pPr>
        <w:pStyle w:val="tv213"/>
        <w:widowControl w:val="0"/>
        <w:spacing w:before="0" w:beforeAutospacing="0" w:after="0" w:afterAutospacing="0" w:line="276" w:lineRule="auto"/>
        <w:ind w:firstLine="720"/>
        <w:jc w:val="both"/>
      </w:pPr>
      <w:r w:rsidRPr="000E340B">
        <w:t>Pamatojoties uz Kriminālprocesa likuma 585.</w:t>
      </w:r>
      <w:r w:rsidR="005C67E3" w:rsidRPr="000E340B">
        <w:t> pantu</w:t>
      </w:r>
      <w:r w:rsidRPr="000E340B">
        <w:t xml:space="preserve"> un 587. panta pirmās daļas </w:t>
      </w:r>
      <w:r w:rsidR="005C67E3" w:rsidRPr="000E340B">
        <w:t>4</w:t>
      </w:r>
      <w:r w:rsidRPr="000E340B">
        <w:t>. punktu, Senāts</w:t>
      </w:r>
    </w:p>
    <w:p w14:paraId="297C80CD" w14:textId="6FF1C7F1" w:rsidR="00447EE6" w:rsidRPr="000E340B" w:rsidRDefault="00447EE6" w:rsidP="00187B8A">
      <w:pPr>
        <w:widowControl w:val="0"/>
        <w:shd w:val="clear" w:color="auto" w:fill="FFFFFF"/>
        <w:spacing w:line="276" w:lineRule="auto"/>
        <w:jc w:val="center"/>
        <w:rPr>
          <w:b/>
        </w:rPr>
      </w:pPr>
      <w:r w:rsidRPr="000E340B">
        <w:rPr>
          <w:b/>
        </w:rPr>
        <w:t>no</w:t>
      </w:r>
      <w:r w:rsidR="00A656FE" w:rsidRPr="000E340B">
        <w:rPr>
          <w:b/>
        </w:rPr>
        <w:t>lēma</w:t>
      </w:r>
    </w:p>
    <w:p w14:paraId="28660F9E" w14:textId="77777777" w:rsidR="00447EE6" w:rsidRPr="000E340B" w:rsidRDefault="00447EE6" w:rsidP="00187B8A">
      <w:pPr>
        <w:widowControl w:val="0"/>
        <w:shd w:val="clear" w:color="auto" w:fill="FFFFFF"/>
        <w:spacing w:line="276" w:lineRule="auto"/>
        <w:ind w:firstLine="720"/>
        <w:jc w:val="both"/>
        <w:rPr>
          <w:bCs/>
        </w:rPr>
      </w:pPr>
    </w:p>
    <w:p w14:paraId="5D83DA62" w14:textId="77777777" w:rsidR="00127083" w:rsidRPr="000E340B" w:rsidRDefault="00B44CBB" w:rsidP="00187B8A">
      <w:pPr>
        <w:widowControl w:val="0"/>
        <w:tabs>
          <w:tab w:val="left" w:pos="709"/>
        </w:tabs>
        <w:spacing w:line="276" w:lineRule="auto"/>
        <w:ind w:firstLine="720"/>
        <w:jc w:val="both"/>
        <w:rPr>
          <w:shd w:val="clear" w:color="auto" w:fill="FFFFFF"/>
        </w:rPr>
      </w:pPr>
      <w:r w:rsidRPr="000E340B">
        <w:t xml:space="preserve">grozīt </w:t>
      </w:r>
      <w:r w:rsidR="001240F0" w:rsidRPr="000E340B">
        <w:t xml:space="preserve">Rīgas apgabaltiesas 2025. gada 25. marta spriedumu daļā, ar kuru lietiskie pierādījumi – </w:t>
      </w:r>
      <w:r w:rsidR="001240F0" w:rsidRPr="000E340B">
        <w:rPr>
          <w:shd w:val="clear" w:color="auto" w:fill="FFFFFF"/>
        </w:rPr>
        <w:t>šaujamieroči „</w:t>
      </w:r>
      <w:proofErr w:type="spellStart"/>
      <w:r w:rsidR="001240F0" w:rsidRPr="000E340B">
        <w:rPr>
          <w:shd w:val="clear" w:color="auto" w:fill="FFFFFF"/>
        </w:rPr>
        <w:t>Benelli</w:t>
      </w:r>
      <w:proofErr w:type="spellEnd"/>
      <w:r w:rsidR="001240F0" w:rsidRPr="000E340B">
        <w:rPr>
          <w:shd w:val="clear" w:color="auto" w:fill="FFFFFF"/>
        </w:rPr>
        <w:t> </w:t>
      </w:r>
      <w:proofErr w:type="spellStart"/>
      <w:r w:rsidR="001240F0" w:rsidRPr="000E340B">
        <w:rPr>
          <w:shd w:val="clear" w:color="auto" w:fill="FFFFFF"/>
        </w:rPr>
        <w:t>Ethos</w:t>
      </w:r>
      <w:proofErr w:type="spellEnd"/>
      <w:r w:rsidR="001240F0" w:rsidRPr="000E340B">
        <w:rPr>
          <w:shd w:val="clear" w:color="auto" w:fill="FFFFFF"/>
        </w:rPr>
        <w:t> 28”, „</w:t>
      </w:r>
      <w:proofErr w:type="spellStart"/>
      <w:r w:rsidR="001240F0" w:rsidRPr="000E340B">
        <w:rPr>
          <w:shd w:val="clear" w:color="auto" w:fill="FFFFFF"/>
        </w:rPr>
        <w:t>Benelli</w:t>
      </w:r>
      <w:proofErr w:type="spellEnd"/>
      <w:r w:rsidR="001240F0" w:rsidRPr="000E340B">
        <w:rPr>
          <w:shd w:val="clear" w:color="auto" w:fill="FFFFFF"/>
        </w:rPr>
        <w:t> </w:t>
      </w:r>
      <w:proofErr w:type="spellStart"/>
      <w:r w:rsidR="001240F0" w:rsidRPr="000E340B">
        <w:rPr>
          <w:shd w:val="clear" w:color="auto" w:fill="FFFFFF"/>
        </w:rPr>
        <w:t>Raffaello</w:t>
      </w:r>
      <w:proofErr w:type="spellEnd"/>
      <w:r w:rsidR="001240F0" w:rsidRPr="000E340B">
        <w:rPr>
          <w:shd w:val="clear" w:color="auto" w:fill="FFFFFF"/>
        </w:rPr>
        <w:t> Lord”, „</w:t>
      </w:r>
      <w:proofErr w:type="spellStart"/>
      <w:r w:rsidR="001240F0" w:rsidRPr="000E340B">
        <w:rPr>
          <w:shd w:val="clear" w:color="auto" w:fill="FFFFFF"/>
        </w:rPr>
        <w:t>Benelli</w:t>
      </w:r>
      <w:proofErr w:type="spellEnd"/>
      <w:r w:rsidR="00721343" w:rsidRPr="000E340B">
        <w:rPr>
          <w:shd w:val="clear" w:color="auto" w:fill="FFFFFF"/>
        </w:rPr>
        <w:t> </w:t>
      </w:r>
      <w:proofErr w:type="spellStart"/>
      <w:r w:rsidR="001240F0" w:rsidRPr="000E340B">
        <w:rPr>
          <w:shd w:val="clear" w:color="auto" w:fill="FFFFFF"/>
        </w:rPr>
        <w:t>Argo</w:t>
      </w:r>
      <w:proofErr w:type="spellEnd"/>
      <w:r w:rsidR="00721343" w:rsidRPr="000E340B">
        <w:rPr>
          <w:shd w:val="clear" w:color="auto" w:fill="FFFFFF"/>
        </w:rPr>
        <w:t> </w:t>
      </w:r>
      <w:r w:rsidR="001240F0" w:rsidRPr="000E340B">
        <w:rPr>
          <w:shd w:val="clear" w:color="auto" w:fill="FFFFFF"/>
        </w:rPr>
        <w:t>E</w:t>
      </w:r>
      <w:r w:rsidR="00721343" w:rsidRPr="000E340B">
        <w:rPr>
          <w:shd w:val="clear" w:color="auto" w:fill="FFFFFF"/>
        </w:rPr>
        <w:t> </w:t>
      </w:r>
      <w:proofErr w:type="spellStart"/>
      <w:r w:rsidR="001240F0" w:rsidRPr="000E340B">
        <w:rPr>
          <w:shd w:val="clear" w:color="auto" w:fill="FFFFFF"/>
        </w:rPr>
        <w:t>Pro</w:t>
      </w:r>
      <w:proofErr w:type="spellEnd"/>
      <w:r w:rsidR="001240F0" w:rsidRPr="000E340B">
        <w:rPr>
          <w:shd w:val="clear" w:color="auto" w:fill="FFFFFF"/>
        </w:rPr>
        <w:t>” un to munīcija – 195 patron</w:t>
      </w:r>
      <w:r w:rsidR="00C051B9" w:rsidRPr="000E340B">
        <w:rPr>
          <w:shd w:val="clear" w:color="auto" w:fill="FFFFFF"/>
        </w:rPr>
        <w:t>as</w:t>
      </w:r>
      <w:r w:rsidR="001240F0" w:rsidRPr="000E340B">
        <w:rPr>
          <w:shd w:val="clear" w:color="auto" w:fill="FFFFFF"/>
        </w:rPr>
        <w:t xml:space="preserve"> – atzīti par noziedzīga nodarījuma izdarīšanas priekšmetiem</w:t>
      </w:r>
      <w:r w:rsidR="00127083" w:rsidRPr="000E340B">
        <w:rPr>
          <w:shd w:val="clear" w:color="auto" w:fill="FFFFFF"/>
        </w:rPr>
        <w:t>;</w:t>
      </w:r>
    </w:p>
    <w:p w14:paraId="681D6772" w14:textId="03B5DBBC" w:rsidR="001240F0" w:rsidRPr="000E340B" w:rsidRDefault="001240F0" w:rsidP="00187B8A">
      <w:pPr>
        <w:widowControl w:val="0"/>
        <w:tabs>
          <w:tab w:val="left" w:pos="709"/>
        </w:tabs>
        <w:spacing w:line="276" w:lineRule="auto"/>
        <w:ind w:firstLine="720"/>
        <w:jc w:val="both"/>
        <w:rPr>
          <w:shd w:val="clear" w:color="auto" w:fill="FFFFFF"/>
        </w:rPr>
      </w:pPr>
      <w:r w:rsidRPr="000E340B">
        <w:rPr>
          <w:shd w:val="clear" w:color="auto" w:fill="FFFFFF"/>
        </w:rPr>
        <w:t>saskaņā ar Krimināllikuma 70.</w:t>
      </w:r>
      <w:r w:rsidRPr="000E340B">
        <w:rPr>
          <w:shd w:val="clear" w:color="auto" w:fill="FFFFFF"/>
          <w:vertAlign w:val="superscript"/>
        </w:rPr>
        <w:t>1</w:t>
      </w:r>
      <w:r w:rsidR="00127083" w:rsidRPr="000E340B">
        <w:rPr>
          <w:shd w:val="clear" w:color="auto" w:fill="FFFFFF"/>
          <w:vertAlign w:val="superscript"/>
        </w:rPr>
        <w:t>3</w:t>
      </w:r>
      <w:r w:rsidRPr="000E340B">
        <w:rPr>
          <w:shd w:val="clear" w:color="auto" w:fill="FFFFFF"/>
        </w:rPr>
        <w:t> panta otro daļu</w:t>
      </w:r>
      <w:r w:rsidR="00127083" w:rsidRPr="000E340B">
        <w:rPr>
          <w:shd w:val="clear" w:color="auto" w:fill="FFFFFF"/>
        </w:rPr>
        <w:t xml:space="preserve"> konfiscēt</w:t>
      </w:r>
      <w:r w:rsidR="00127083" w:rsidRPr="000E340B">
        <w:t xml:space="preserve"> lietiskos pierādījumus – </w:t>
      </w:r>
      <w:r w:rsidR="00127083" w:rsidRPr="000E340B">
        <w:rPr>
          <w:shd w:val="clear" w:color="auto" w:fill="FFFFFF"/>
        </w:rPr>
        <w:t>šaujamieročus „</w:t>
      </w:r>
      <w:proofErr w:type="spellStart"/>
      <w:r w:rsidR="00127083" w:rsidRPr="000E340B">
        <w:rPr>
          <w:shd w:val="clear" w:color="auto" w:fill="FFFFFF"/>
        </w:rPr>
        <w:t>Benelli</w:t>
      </w:r>
      <w:proofErr w:type="spellEnd"/>
      <w:r w:rsidR="00127083" w:rsidRPr="000E340B">
        <w:rPr>
          <w:shd w:val="clear" w:color="auto" w:fill="FFFFFF"/>
        </w:rPr>
        <w:t> </w:t>
      </w:r>
      <w:proofErr w:type="spellStart"/>
      <w:r w:rsidR="00127083" w:rsidRPr="000E340B">
        <w:rPr>
          <w:shd w:val="clear" w:color="auto" w:fill="FFFFFF"/>
        </w:rPr>
        <w:t>Ethos</w:t>
      </w:r>
      <w:proofErr w:type="spellEnd"/>
      <w:r w:rsidR="00127083" w:rsidRPr="000E340B">
        <w:rPr>
          <w:shd w:val="clear" w:color="auto" w:fill="FFFFFF"/>
        </w:rPr>
        <w:t> 28”, „</w:t>
      </w:r>
      <w:proofErr w:type="spellStart"/>
      <w:r w:rsidR="00127083" w:rsidRPr="000E340B">
        <w:rPr>
          <w:shd w:val="clear" w:color="auto" w:fill="FFFFFF"/>
        </w:rPr>
        <w:t>Benelli</w:t>
      </w:r>
      <w:proofErr w:type="spellEnd"/>
      <w:r w:rsidR="00127083" w:rsidRPr="000E340B">
        <w:rPr>
          <w:shd w:val="clear" w:color="auto" w:fill="FFFFFF"/>
        </w:rPr>
        <w:t> </w:t>
      </w:r>
      <w:proofErr w:type="spellStart"/>
      <w:r w:rsidR="00127083" w:rsidRPr="000E340B">
        <w:rPr>
          <w:shd w:val="clear" w:color="auto" w:fill="FFFFFF"/>
        </w:rPr>
        <w:t>Raffaello</w:t>
      </w:r>
      <w:proofErr w:type="spellEnd"/>
      <w:r w:rsidR="00127083" w:rsidRPr="000E340B">
        <w:rPr>
          <w:shd w:val="clear" w:color="auto" w:fill="FFFFFF"/>
        </w:rPr>
        <w:t> Lord”, „</w:t>
      </w:r>
      <w:proofErr w:type="spellStart"/>
      <w:r w:rsidR="00127083" w:rsidRPr="000E340B">
        <w:rPr>
          <w:shd w:val="clear" w:color="auto" w:fill="FFFFFF"/>
        </w:rPr>
        <w:t>Benelli</w:t>
      </w:r>
      <w:proofErr w:type="spellEnd"/>
      <w:r w:rsidR="00127083" w:rsidRPr="000E340B">
        <w:rPr>
          <w:shd w:val="clear" w:color="auto" w:fill="FFFFFF"/>
        </w:rPr>
        <w:t> </w:t>
      </w:r>
      <w:proofErr w:type="spellStart"/>
      <w:r w:rsidR="00127083" w:rsidRPr="000E340B">
        <w:rPr>
          <w:shd w:val="clear" w:color="auto" w:fill="FFFFFF"/>
        </w:rPr>
        <w:t>Argo</w:t>
      </w:r>
      <w:proofErr w:type="spellEnd"/>
      <w:r w:rsidR="00127083" w:rsidRPr="000E340B">
        <w:rPr>
          <w:shd w:val="clear" w:color="auto" w:fill="FFFFFF"/>
        </w:rPr>
        <w:t> E </w:t>
      </w:r>
      <w:proofErr w:type="spellStart"/>
      <w:r w:rsidR="00127083" w:rsidRPr="000E340B">
        <w:rPr>
          <w:shd w:val="clear" w:color="auto" w:fill="FFFFFF"/>
        </w:rPr>
        <w:t>Pro</w:t>
      </w:r>
      <w:proofErr w:type="spellEnd"/>
      <w:r w:rsidR="00127083" w:rsidRPr="000E340B">
        <w:rPr>
          <w:shd w:val="clear" w:color="auto" w:fill="FFFFFF"/>
        </w:rPr>
        <w:t>” un to munīciju – 195 patronas – kā apgrozībā aiz</w:t>
      </w:r>
      <w:r w:rsidR="00A12E57" w:rsidRPr="000E340B">
        <w:rPr>
          <w:shd w:val="clear" w:color="auto" w:fill="FFFFFF"/>
        </w:rPr>
        <w:t xml:space="preserve">liegtas lietas </w:t>
      </w:r>
      <w:r w:rsidR="006D70D1" w:rsidRPr="000E340B">
        <w:rPr>
          <w:shd w:val="clear" w:color="auto" w:fill="FFFFFF"/>
        </w:rPr>
        <w:t>un nodod</w:t>
      </w:r>
      <w:r w:rsidR="00A12E57" w:rsidRPr="000E340B">
        <w:rPr>
          <w:shd w:val="clear" w:color="auto" w:fill="FFFFFF"/>
        </w:rPr>
        <w:t xml:space="preserve"> tos</w:t>
      </w:r>
      <w:r w:rsidR="006D70D1" w:rsidRPr="000E340B">
        <w:rPr>
          <w:shd w:val="clear" w:color="auto" w:fill="FFFFFF"/>
        </w:rPr>
        <w:t xml:space="preserve"> Valsts policijai</w:t>
      </w:r>
      <w:r w:rsidR="00B44CBB" w:rsidRPr="000E340B">
        <w:rPr>
          <w:shd w:val="clear" w:color="auto" w:fill="FFFFFF"/>
        </w:rPr>
        <w:t>;</w:t>
      </w:r>
    </w:p>
    <w:p w14:paraId="0A23402D" w14:textId="77777777" w:rsidR="009B0C6F" w:rsidRPr="000E340B" w:rsidRDefault="00B67064" w:rsidP="00187B8A">
      <w:pPr>
        <w:widowControl w:val="0"/>
        <w:shd w:val="clear" w:color="auto" w:fill="FFFFFF"/>
        <w:spacing w:line="276" w:lineRule="auto"/>
        <w:ind w:firstLine="720"/>
        <w:jc w:val="both"/>
        <w:rPr>
          <w:shd w:val="clear" w:color="auto" w:fill="FFFFFF"/>
        </w:rPr>
      </w:pPr>
      <w:r w:rsidRPr="000E340B">
        <w:rPr>
          <w:shd w:val="clear" w:color="auto" w:fill="FFFFFF"/>
        </w:rPr>
        <w:t>p</w:t>
      </w:r>
      <w:r w:rsidR="005C67E3" w:rsidRPr="000E340B">
        <w:rPr>
          <w:shd w:val="clear" w:color="auto" w:fill="FFFFFF"/>
        </w:rPr>
        <w:t xml:space="preserve">ārējā daļā </w:t>
      </w:r>
      <w:r w:rsidRPr="000E340B">
        <w:rPr>
          <w:shd w:val="clear" w:color="auto" w:fill="FFFFFF"/>
        </w:rPr>
        <w:t>apelācijas instances t</w:t>
      </w:r>
      <w:r w:rsidR="00AF6D0A" w:rsidRPr="000E340B">
        <w:rPr>
          <w:shd w:val="clear" w:color="auto" w:fill="FFFFFF"/>
        </w:rPr>
        <w:t>ie</w:t>
      </w:r>
      <w:r w:rsidRPr="000E340B">
        <w:rPr>
          <w:shd w:val="clear" w:color="auto" w:fill="FFFFFF"/>
        </w:rPr>
        <w:t>sas</w:t>
      </w:r>
      <w:r w:rsidR="005C67E3" w:rsidRPr="000E340B">
        <w:rPr>
          <w:shd w:val="clear" w:color="auto" w:fill="FFFFFF"/>
        </w:rPr>
        <w:t xml:space="preserve"> spriedumu atstāt negrozītu.</w:t>
      </w:r>
    </w:p>
    <w:p w14:paraId="55767824" w14:textId="77777777" w:rsidR="009B0C6F" w:rsidRPr="000E340B" w:rsidRDefault="009B0C6F" w:rsidP="00187B8A">
      <w:pPr>
        <w:widowControl w:val="0"/>
        <w:shd w:val="clear" w:color="auto" w:fill="FFFFFF"/>
        <w:spacing w:line="276" w:lineRule="auto"/>
        <w:ind w:firstLine="720"/>
        <w:jc w:val="both"/>
        <w:rPr>
          <w:shd w:val="clear" w:color="auto" w:fill="FFFFFF"/>
        </w:rPr>
      </w:pPr>
    </w:p>
    <w:p w14:paraId="049D1CB4" w14:textId="3C3DC724" w:rsidR="00447EE6" w:rsidRPr="004C02D8" w:rsidRDefault="00A656FE" w:rsidP="004C02D8">
      <w:pPr>
        <w:widowControl w:val="0"/>
        <w:shd w:val="clear" w:color="auto" w:fill="FFFFFF"/>
        <w:spacing w:line="276" w:lineRule="auto"/>
        <w:ind w:firstLine="720"/>
        <w:jc w:val="both"/>
        <w:rPr>
          <w:bCs/>
        </w:rPr>
      </w:pPr>
      <w:r w:rsidRPr="000E340B">
        <w:rPr>
          <w:bCs/>
        </w:rPr>
        <w:t>Lēmums nav pārsūdzams.</w:t>
      </w:r>
    </w:p>
    <w:sectPr w:rsidR="00447EE6" w:rsidRPr="004C02D8" w:rsidSect="00A73DE4">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E08B" w14:textId="77777777" w:rsidR="007F0F83" w:rsidRDefault="007F0F83" w:rsidP="005A4215">
      <w:r>
        <w:separator/>
      </w:r>
    </w:p>
  </w:endnote>
  <w:endnote w:type="continuationSeparator" w:id="0">
    <w:p w14:paraId="4DE0D154" w14:textId="77777777" w:rsidR="007F0F83" w:rsidRDefault="007F0F83" w:rsidP="005A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2181"/>
      <w:docPartObj>
        <w:docPartGallery w:val="Page Numbers (Bottom of Page)"/>
        <w:docPartUnique/>
      </w:docPartObj>
    </w:sdtPr>
    <w:sdtEndPr/>
    <w:sdtContent>
      <w:sdt>
        <w:sdtPr>
          <w:id w:val="1728636285"/>
          <w:docPartObj>
            <w:docPartGallery w:val="Page Numbers (Top of Page)"/>
            <w:docPartUnique/>
          </w:docPartObj>
        </w:sdtPr>
        <w:sdtEndPr/>
        <w:sdtContent>
          <w:p w14:paraId="6A3D8B32" w14:textId="5EDCA7D0" w:rsidR="00806F18" w:rsidRDefault="00806F18" w:rsidP="00806F18">
            <w:pPr>
              <w:pStyle w:val="Footer"/>
              <w:jc w:val="center"/>
            </w:pPr>
            <w:r w:rsidRPr="00806F18">
              <w:rPr>
                <w:sz w:val="20"/>
                <w:szCs w:val="20"/>
              </w:rPr>
              <w:fldChar w:fldCharType="begin"/>
            </w:r>
            <w:r w:rsidRPr="00806F18">
              <w:rPr>
                <w:sz w:val="20"/>
                <w:szCs w:val="20"/>
              </w:rPr>
              <w:instrText xml:space="preserve"> PAGE </w:instrText>
            </w:r>
            <w:r w:rsidRPr="00806F18">
              <w:rPr>
                <w:sz w:val="20"/>
                <w:szCs w:val="20"/>
              </w:rPr>
              <w:fldChar w:fldCharType="separate"/>
            </w:r>
            <w:r w:rsidRPr="00806F18">
              <w:rPr>
                <w:noProof/>
                <w:sz w:val="20"/>
                <w:szCs w:val="20"/>
              </w:rPr>
              <w:t>2</w:t>
            </w:r>
            <w:r w:rsidRPr="00806F18">
              <w:rPr>
                <w:sz w:val="20"/>
                <w:szCs w:val="20"/>
              </w:rPr>
              <w:fldChar w:fldCharType="end"/>
            </w:r>
            <w:r w:rsidRPr="00806F18">
              <w:rPr>
                <w:sz w:val="20"/>
                <w:szCs w:val="20"/>
              </w:rPr>
              <w:t xml:space="preserve"> no </w:t>
            </w:r>
            <w:r w:rsidRPr="00806F18">
              <w:rPr>
                <w:sz w:val="20"/>
                <w:szCs w:val="20"/>
              </w:rPr>
              <w:fldChar w:fldCharType="begin"/>
            </w:r>
            <w:r w:rsidRPr="00806F18">
              <w:rPr>
                <w:sz w:val="20"/>
                <w:szCs w:val="20"/>
              </w:rPr>
              <w:instrText xml:space="preserve"> NUMPAGES  </w:instrText>
            </w:r>
            <w:r w:rsidRPr="00806F18">
              <w:rPr>
                <w:sz w:val="20"/>
                <w:szCs w:val="20"/>
              </w:rPr>
              <w:fldChar w:fldCharType="separate"/>
            </w:r>
            <w:r w:rsidRPr="00806F18">
              <w:rPr>
                <w:noProof/>
                <w:sz w:val="20"/>
                <w:szCs w:val="20"/>
              </w:rPr>
              <w:t>2</w:t>
            </w:r>
            <w:r w:rsidRPr="00806F1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BF3D" w14:textId="77777777" w:rsidR="007F0F83" w:rsidRDefault="007F0F83" w:rsidP="005A4215">
      <w:r>
        <w:separator/>
      </w:r>
    </w:p>
  </w:footnote>
  <w:footnote w:type="continuationSeparator" w:id="0">
    <w:p w14:paraId="4097CD53" w14:textId="77777777" w:rsidR="007F0F83" w:rsidRDefault="007F0F83" w:rsidP="005A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C35"/>
    <w:multiLevelType w:val="hybridMultilevel"/>
    <w:tmpl w:val="1388BD22"/>
    <w:lvl w:ilvl="0" w:tplc="4FC6EEFA">
      <w:start w:val="1"/>
      <w:numFmt w:val="decimal"/>
      <w:lvlText w:val="%1)"/>
      <w:lvlJc w:val="left"/>
      <w:pPr>
        <w:ind w:left="1020" w:hanging="360"/>
      </w:pPr>
    </w:lvl>
    <w:lvl w:ilvl="1" w:tplc="931CFBC4">
      <w:start w:val="1"/>
      <w:numFmt w:val="decimal"/>
      <w:lvlText w:val="%2)"/>
      <w:lvlJc w:val="left"/>
      <w:pPr>
        <w:ind w:left="1020" w:hanging="360"/>
      </w:pPr>
    </w:lvl>
    <w:lvl w:ilvl="2" w:tplc="298892EE">
      <w:start w:val="1"/>
      <w:numFmt w:val="decimal"/>
      <w:lvlText w:val="%3)"/>
      <w:lvlJc w:val="left"/>
      <w:pPr>
        <w:ind w:left="1020" w:hanging="360"/>
      </w:pPr>
    </w:lvl>
    <w:lvl w:ilvl="3" w:tplc="5E9CDB20">
      <w:start w:val="1"/>
      <w:numFmt w:val="decimal"/>
      <w:lvlText w:val="%4)"/>
      <w:lvlJc w:val="left"/>
      <w:pPr>
        <w:ind w:left="1020" w:hanging="360"/>
      </w:pPr>
    </w:lvl>
    <w:lvl w:ilvl="4" w:tplc="0D0E0DE2">
      <w:start w:val="1"/>
      <w:numFmt w:val="decimal"/>
      <w:lvlText w:val="%5)"/>
      <w:lvlJc w:val="left"/>
      <w:pPr>
        <w:ind w:left="1020" w:hanging="360"/>
      </w:pPr>
    </w:lvl>
    <w:lvl w:ilvl="5" w:tplc="E99A4CE6">
      <w:start w:val="1"/>
      <w:numFmt w:val="decimal"/>
      <w:lvlText w:val="%6)"/>
      <w:lvlJc w:val="left"/>
      <w:pPr>
        <w:ind w:left="1020" w:hanging="360"/>
      </w:pPr>
    </w:lvl>
    <w:lvl w:ilvl="6" w:tplc="7A42D68E">
      <w:start w:val="1"/>
      <w:numFmt w:val="decimal"/>
      <w:lvlText w:val="%7)"/>
      <w:lvlJc w:val="left"/>
      <w:pPr>
        <w:ind w:left="1020" w:hanging="360"/>
      </w:pPr>
    </w:lvl>
    <w:lvl w:ilvl="7" w:tplc="B2A6F7C2">
      <w:start w:val="1"/>
      <w:numFmt w:val="decimal"/>
      <w:lvlText w:val="%8)"/>
      <w:lvlJc w:val="left"/>
      <w:pPr>
        <w:ind w:left="1020" w:hanging="360"/>
      </w:pPr>
    </w:lvl>
    <w:lvl w:ilvl="8" w:tplc="5AD2AB10">
      <w:start w:val="1"/>
      <w:numFmt w:val="decimal"/>
      <w:lvlText w:val="%9)"/>
      <w:lvlJc w:val="left"/>
      <w:pPr>
        <w:ind w:left="1020" w:hanging="36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EFE32E5"/>
    <w:multiLevelType w:val="hybridMultilevel"/>
    <w:tmpl w:val="5602F476"/>
    <w:lvl w:ilvl="0" w:tplc="11FEC41A">
      <w:start w:val="1"/>
      <w:numFmt w:val="decimal"/>
      <w:lvlText w:val="%1)"/>
      <w:lvlJc w:val="left"/>
      <w:pPr>
        <w:ind w:left="1020" w:hanging="360"/>
      </w:pPr>
    </w:lvl>
    <w:lvl w:ilvl="1" w:tplc="B472F348">
      <w:start w:val="1"/>
      <w:numFmt w:val="decimal"/>
      <w:lvlText w:val="%2)"/>
      <w:lvlJc w:val="left"/>
      <w:pPr>
        <w:ind w:left="1020" w:hanging="360"/>
      </w:pPr>
    </w:lvl>
    <w:lvl w:ilvl="2" w:tplc="CC44E964">
      <w:start w:val="1"/>
      <w:numFmt w:val="decimal"/>
      <w:lvlText w:val="%3)"/>
      <w:lvlJc w:val="left"/>
      <w:pPr>
        <w:ind w:left="1020" w:hanging="360"/>
      </w:pPr>
    </w:lvl>
    <w:lvl w:ilvl="3" w:tplc="662637B6">
      <w:start w:val="1"/>
      <w:numFmt w:val="decimal"/>
      <w:lvlText w:val="%4)"/>
      <w:lvlJc w:val="left"/>
      <w:pPr>
        <w:ind w:left="1020" w:hanging="360"/>
      </w:pPr>
    </w:lvl>
    <w:lvl w:ilvl="4" w:tplc="B2B8D036">
      <w:start w:val="1"/>
      <w:numFmt w:val="decimal"/>
      <w:lvlText w:val="%5)"/>
      <w:lvlJc w:val="left"/>
      <w:pPr>
        <w:ind w:left="1020" w:hanging="360"/>
      </w:pPr>
    </w:lvl>
    <w:lvl w:ilvl="5" w:tplc="2752E658">
      <w:start w:val="1"/>
      <w:numFmt w:val="decimal"/>
      <w:lvlText w:val="%6)"/>
      <w:lvlJc w:val="left"/>
      <w:pPr>
        <w:ind w:left="1020" w:hanging="360"/>
      </w:pPr>
    </w:lvl>
    <w:lvl w:ilvl="6" w:tplc="44828A12">
      <w:start w:val="1"/>
      <w:numFmt w:val="decimal"/>
      <w:lvlText w:val="%7)"/>
      <w:lvlJc w:val="left"/>
      <w:pPr>
        <w:ind w:left="1020" w:hanging="360"/>
      </w:pPr>
    </w:lvl>
    <w:lvl w:ilvl="7" w:tplc="5C463FCA">
      <w:start w:val="1"/>
      <w:numFmt w:val="decimal"/>
      <w:lvlText w:val="%8)"/>
      <w:lvlJc w:val="left"/>
      <w:pPr>
        <w:ind w:left="1020" w:hanging="360"/>
      </w:pPr>
    </w:lvl>
    <w:lvl w:ilvl="8" w:tplc="8B8600A2">
      <w:start w:val="1"/>
      <w:numFmt w:val="decimal"/>
      <w:lvlText w:val="%9)"/>
      <w:lvlJc w:val="left"/>
      <w:pPr>
        <w:ind w:left="1020" w:hanging="360"/>
      </w:pPr>
    </w:lvl>
  </w:abstractNum>
  <w:abstractNum w:abstractNumId="3" w15:restartNumberingAfterBreak="0">
    <w:nsid w:val="5C544D67"/>
    <w:multiLevelType w:val="hybridMultilevel"/>
    <w:tmpl w:val="FD4847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00880893">
    <w:abstractNumId w:val="1"/>
  </w:num>
  <w:num w:numId="2" w16cid:durableId="1299725987">
    <w:abstractNumId w:val="2"/>
  </w:num>
  <w:num w:numId="3" w16cid:durableId="301426211">
    <w:abstractNumId w:val="0"/>
  </w:num>
  <w:num w:numId="4" w16cid:durableId="20107914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906"/>
    <w:rsid w:val="00004A45"/>
    <w:rsid w:val="00005075"/>
    <w:rsid w:val="00006F08"/>
    <w:rsid w:val="00012206"/>
    <w:rsid w:val="00015AF5"/>
    <w:rsid w:val="000160A1"/>
    <w:rsid w:val="00016575"/>
    <w:rsid w:val="000166F6"/>
    <w:rsid w:val="0002036F"/>
    <w:rsid w:val="000206F5"/>
    <w:rsid w:val="000245DB"/>
    <w:rsid w:val="00024FA9"/>
    <w:rsid w:val="000279EE"/>
    <w:rsid w:val="0003118E"/>
    <w:rsid w:val="000324C7"/>
    <w:rsid w:val="00032E0B"/>
    <w:rsid w:val="000364DC"/>
    <w:rsid w:val="0003698F"/>
    <w:rsid w:val="000412E4"/>
    <w:rsid w:val="00041CD1"/>
    <w:rsid w:val="0004344E"/>
    <w:rsid w:val="00043E5F"/>
    <w:rsid w:val="00045AC3"/>
    <w:rsid w:val="0005465C"/>
    <w:rsid w:val="00055877"/>
    <w:rsid w:val="000568D9"/>
    <w:rsid w:val="00057408"/>
    <w:rsid w:val="00060B18"/>
    <w:rsid w:val="0006163C"/>
    <w:rsid w:val="00066E0B"/>
    <w:rsid w:val="000675B9"/>
    <w:rsid w:val="00070008"/>
    <w:rsid w:val="00070664"/>
    <w:rsid w:val="00070AF2"/>
    <w:rsid w:val="00070B0E"/>
    <w:rsid w:val="00071619"/>
    <w:rsid w:val="000717F9"/>
    <w:rsid w:val="000747AF"/>
    <w:rsid w:val="00074D16"/>
    <w:rsid w:val="00075434"/>
    <w:rsid w:val="00076043"/>
    <w:rsid w:val="00080EB7"/>
    <w:rsid w:val="00082254"/>
    <w:rsid w:val="00083A68"/>
    <w:rsid w:val="000866B0"/>
    <w:rsid w:val="000905BB"/>
    <w:rsid w:val="00091AF2"/>
    <w:rsid w:val="00091F53"/>
    <w:rsid w:val="00092F50"/>
    <w:rsid w:val="000A133D"/>
    <w:rsid w:val="000A286D"/>
    <w:rsid w:val="000A445F"/>
    <w:rsid w:val="000A6DAE"/>
    <w:rsid w:val="000A6EC6"/>
    <w:rsid w:val="000A74B4"/>
    <w:rsid w:val="000B15EB"/>
    <w:rsid w:val="000B34A5"/>
    <w:rsid w:val="000B4372"/>
    <w:rsid w:val="000B45C1"/>
    <w:rsid w:val="000B52D7"/>
    <w:rsid w:val="000C0A50"/>
    <w:rsid w:val="000C204F"/>
    <w:rsid w:val="000C2C04"/>
    <w:rsid w:val="000C56BE"/>
    <w:rsid w:val="000D0F51"/>
    <w:rsid w:val="000D3D78"/>
    <w:rsid w:val="000D5581"/>
    <w:rsid w:val="000D7893"/>
    <w:rsid w:val="000E0D14"/>
    <w:rsid w:val="000E12E2"/>
    <w:rsid w:val="000E340B"/>
    <w:rsid w:val="000E78C7"/>
    <w:rsid w:val="000F0C25"/>
    <w:rsid w:val="000F131C"/>
    <w:rsid w:val="000F36FF"/>
    <w:rsid w:val="000F42E2"/>
    <w:rsid w:val="000F57EA"/>
    <w:rsid w:val="000F5B25"/>
    <w:rsid w:val="000F68E3"/>
    <w:rsid w:val="000F7270"/>
    <w:rsid w:val="000F7563"/>
    <w:rsid w:val="0010057B"/>
    <w:rsid w:val="00105A4A"/>
    <w:rsid w:val="001148C7"/>
    <w:rsid w:val="001148EE"/>
    <w:rsid w:val="00115806"/>
    <w:rsid w:val="001175FF"/>
    <w:rsid w:val="00117D43"/>
    <w:rsid w:val="00117EE3"/>
    <w:rsid w:val="00122F1A"/>
    <w:rsid w:val="00123302"/>
    <w:rsid w:val="00123890"/>
    <w:rsid w:val="001240F0"/>
    <w:rsid w:val="001253B8"/>
    <w:rsid w:val="00127083"/>
    <w:rsid w:val="00131188"/>
    <w:rsid w:val="00136FF0"/>
    <w:rsid w:val="0014192F"/>
    <w:rsid w:val="00142DEB"/>
    <w:rsid w:val="001467E3"/>
    <w:rsid w:val="001510F5"/>
    <w:rsid w:val="00151B75"/>
    <w:rsid w:val="001527B8"/>
    <w:rsid w:val="001529B4"/>
    <w:rsid w:val="00153590"/>
    <w:rsid w:val="00154984"/>
    <w:rsid w:val="00156072"/>
    <w:rsid w:val="00157387"/>
    <w:rsid w:val="00160552"/>
    <w:rsid w:val="0016085E"/>
    <w:rsid w:val="00161ECF"/>
    <w:rsid w:val="00162A09"/>
    <w:rsid w:val="00163219"/>
    <w:rsid w:val="001658CE"/>
    <w:rsid w:val="00165B85"/>
    <w:rsid w:val="00166FAA"/>
    <w:rsid w:val="00167378"/>
    <w:rsid w:val="001676BA"/>
    <w:rsid w:val="00167DDE"/>
    <w:rsid w:val="001703D9"/>
    <w:rsid w:val="00170838"/>
    <w:rsid w:val="00171C19"/>
    <w:rsid w:val="00172BBB"/>
    <w:rsid w:val="0017398A"/>
    <w:rsid w:val="00173A8D"/>
    <w:rsid w:val="00173EF5"/>
    <w:rsid w:val="00175A3E"/>
    <w:rsid w:val="00177A7F"/>
    <w:rsid w:val="00180107"/>
    <w:rsid w:val="00180772"/>
    <w:rsid w:val="0018106F"/>
    <w:rsid w:val="00183CEA"/>
    <w:rsid w:val="00184257"/>
    <w:rsid w:val="00185180"/>
    <w:rsid w:val="00186683"/>
    <w:rsid w:val="00187B8A"/>
    <w:rsid w:val="00190B21"/>
    <w:rsid w:val="00191E09"/>
    <w:rsid w:val="001937EB"/>
    <w:rsid w:val="00194AF3"/>
    <w:rsid w:val="00194BEE"/>
    <w:rsid w:val="00197CF6"/>
    <w:rsid w:val="001A18B9"/>
    <w:rsid w:val="001A2690"/>
    <w:rsid w:val="001A3377"/>
    <w:rsid w:val="001A3B53"/>
    <w:rsid w:val="001A4491"/>
    <w:rsid w:val="001A45F4"/>
    <w:rsid w:val="001A65AA"/>
    <w:rsid w:val="001B0213"/>
    <w:rsid w:val="001B02B4"/>
    <w:rsid w:val="001B2B35"/>
    <w:rsid w:val="001B3A48"/>
    <w:rsid w:val="001B6789"/>
    <w:rsid w:val="001B6F0C"/>
    <w:rsid w:val="001C091B"/>
    <w:rsid w:val="001C201C"/>
    <w:rsid w:val="001C332B"/>
    <w:rsid w:val="001C4947"/>
    <w:rsid w:val="001C59D3"/>
    <w:rsid w:val="001D16A6"/>
    <w:rsid w:val="001D34C0"/>
    <w:rsid w:val="001D3596"/>
    <w:rsid w:val="001D40AA"/>
    <w:rsid w:val="001D4804"/>
    <w:rsid w:val="001D5171"/>
    <w:rsid w:val="001D5925"/>
    <w:rsid w:val="001D5EAF"/>
    <w:rsid w:val="001D6007"/>
    <w:rsid w:val="001D73ED"/>
    <w:rsid w:val="001E1ECE"/>
    <w:rsid w:val="001E3874"/>
    <w:rsid w:val="001E3E66"/>
    <w:rsid w:val="001E49D4"/>
    <w:rsid w:val="001E6C6C"/>
    <w:rsid w:val="001E6EBE"/>
    <w:rsid w:val="001F087A"/>
    <w:rsid w:val="001F23E9"/>
    <w:rsid w:val="002005AE"/>
    <w:rsid w:val="00201619"/>
    <w:rsid w:val="002018D7"/>
    <w:rsid w:val="00201A28"/>
    <w:rsid w:val="00201A35"/>
    <w:rsid w:val="00201C69"/>
    <w:rsid w:val="0020266A"/>
    <w:rsid w:val="0020577B"/>
    <w:rsid w:val="00205917"/>
    <w:rsid w:val="00205ABD"/>
    <w:rsid w:val="00206227"/>
    <w:rsid w:val="00210F42"/>
    <w:rsid w:val="00211257"/>
    <w:rsid w:val="00212D23"/>
    <w:rsid w:val="00213005"/>
    <w:rsid w:val="002158BA"/>
    <w:rsid w:val="002162BB"/>
    <w:rsid w:val="00216B6F"/>
    <w:rsid w:val="0021752B"/>
    <w:rsid w:val="0022155B"/>
    <w:rsid w:val="002216DD"/>
    <w:rsid w:val="00221F6E"/>
    <w:rsid w:val="002226B5"/>
    <w:rsid w:val="00224DA5"/>
    <w:rsid w:val="00225089"/>
    <w:rsid w:val="00226CCD"/>
    <w:rsid w:val="00227232"/>
    <w:rsid w:val="00227F77"/>
    <w:rsid w:val="00233939"/>
    <w:rsid w:val="00234006"/>
    <w:rsid w:val="0024196B"/>
    <w:rsid w:val="00243623"/>
    <w:rsid w:val="0024378B"/>
    <w:rsid w:val="00244C2C"/>
    <w:rsid w:val="00247F48"/>
    <w:rsid w:val="002512FA"/>
    <w:rsid w:val="00252807"/>
    <w:rsid w:val="002532AA"/>
    <w:rsid w:val="00255FDA"/>
    <w:rsid w:val="0025745A"/>
    <w:rsid w:val="00260B11"/>
    <w:rsid w:val="00261052"/>
    <w:rsid w:val="002630F0"/>
    <w:rsid w:val="00264D76"/>
    <w:rsid w:val="00265517"/>
    <w:rsid w:val="00266C33"/>
    <w:rsid w:val="00267386"/>
    <w:rsid w:val="00267641"/>
    <w:rsid w:val="00271213"/>
    <w:rsid w:val="00271584"/>
    <w:rsid w:val="0027448A"/>
    <w:rsid w:val="002752A7"/>
    <w:rsid w:val="00275774"/>
    <w:rsid w:val="002762E5"/>
    <w:rsid w:val="00276334"/>
    <w:rsid w:val="00277072"/>
    <w:rsid w:val="00277325"/>
    <w:rsid w:val="00277CDB"/>
    <w:rsid w:val="00280544"/>
    <w:rsid w:val="002818E3"/>
    <w:rsid w:val="00282780"/>
    <w:rsid w:val="00282E9F"/>
    <w:rsid w:val="00283650"/>
    <w:rsid w:val="0028485C"/>
    <w:rsid w:val="0028595C"/>
    <w:rsid w:val="00286131"/>
    <w:rsid w:val="00291352"/>
    <w:rsid w:val="00291915"/>
    <w:rsid w:val="00294C1D"/>
    <w:rsid w:val="00294C99"/>
    <w:rsid w:val="00294F0C"/>
    <w:rsid w:val="002967DB"/>
    <w:rsid w:val="00296D5C"/>
    <w:rsid w:val="002A07E6"/>
    <w:rsid w:val="002A0BB2"/>
    <w:rsid w:val="002A254D"/>
    <w:rsid w:val="002A3A2E"/>
    <w:rsid w:val="002A3A6D"/>
    <w:rsid w:val="002A3CFE"/>
    <w:rsid w:val="002A61BC"/>
    <w:rsid w:val="002A642C"/>
    <w:rsid w:val="002A70C1"/>
    <w:rsid w:val="002B03C0"/>
    <w:rsid w:val="002B0F2B"/>
    <w:rsid w:val="002B21F6"/>
    <w:rsid w:val="002B2A8A"/>
    <w:rsid w:val="002B5F13"/>
    <w:rsid w:val="002C0F75"/>
    <w:rsid w:val="002C1172"/>
    <w:rsid w:val="002C486C"/>
    <w:rsid w:val="002C6498"/>
    <w:rsid w:val="002D1373"/>
    <w:rsid w:val="002D38AB"/>
    <w:rsid w:val="002D555F"/>
    <w:rsid w:val="002E19C3"/>
    <w:rsid w:val="002E2F07"/>
    <w:rsid w:val="002E4491"/>
    <w:rsid w:val="002E449C"/>
    <w:rsid w:val="002E5990"/>
    <w:rsid w:val="002E5A76"/>
    <w:rsid w:val="002E7073"/>
    <w:rsid w:val="002E759D"/>
    <w:rsid w:val="002F06BD"/>
    <w:rsid w:val="002F1EBD"/>
    <w:rsid w:val="002F2278"/>
    <w:rsid w:val="002F2769"/>
    <w:rsid w:val="002F4968"/>
    <w:rsid w:val="002F4F62"/>
    <w:rsid w:val="002F5258"/>
    <w:rsid w:val="002F781A"/>
    <w:rsid w:val="0030273F"/>
    <w:rsid w:val="00302AD0"/>
    <w:rsid w:val="00303F0B"/>
    <w:rsid w:val="00305504"/>
    <w:rsid w:val="00306678"/>
    <w:rsid w:val="0030692F"/>
    <w:rsid w:val="00306B32"/>
    <w:rsid w:val="0030798A"/>
    <w:rsid w:val="00307E01"/>
    <w:rsid w:val="003124C2"/>
    <w:rsid w:val="00317296"/>
    <w:rsid w:val="003175ED"/>
    <w:rsid w:val="003176FC"/>
    <w:rsid w:val="00317F4F"/>
    <w:rsid w:val="00320897"/>
    <w:rsid w:val="00320A7E"/>
    <w:rsid w:val="00321E05"/>
    <w:rsid w:val="0032651E"/>
    <w:rsid w:val="003277DC"/>
    <w:rsid w:val="00331654"/>
    <w:rsid w:val="0033169C"/>
    <w:rsid w:val="00332463"/>
    <w:rsid w:val="003325E4"/>
    <w:rsid w:val="00332E4F"/>
    <w:rsid w:val="00333816"/>
    <w:rsid w:val="00335746"/>
    <w:rsid w:val="00335B69"/>
    <w:rsid w:val="00337033"/>
    <w:rsid w:val="00340EBF"/>
    <w:rsid w:val="00341074"/>
    <w:rsid w:val="00341F0C"/>
    <w:rsid w:val="003453FD"/>
    <w:rsid w:val="0034555C"/>
    <w:rsid w:val="0034571A"/>
    <w:rsid w:val="0034615D"/>
    <w:rsid w:val="00346334"/>
    <w:rsid w:val="00352CE6"/>
    <w:rsid w:val="00353818"/>
    <w:rsid w:val="00354AAC"/>
    <w:rsid w:val="00354C1A"/>
    <w:rsid w:val="00356F11"/>
    <w:rsid w:val="003575DC"/>
    <w:rsid w:val="003576A3"/>
    <w:rsid w:val="00362B06"/>
    <w:rsid w:val="00366B29"/>
    <w:rsid w:val="003674F4"/>
    <w:rsid w:val="003675DA"/>
    <w:rsid w:val="00367F55"/>
    <w:rsid w:val="00370616"/>
    <w:rsid w:val="00372A19"/>
    <w:rsid w:val="00372BA3"/>
    <w:rsid w:val="00373AF2"/>
    <w:rsid w:val="00374622"/>
    <w:rsid w:val="00374D68"/>
    <w:rsid w:val="00375E5D"/>
    <w:rsid w:val="00376D18"/>
    <w:rsid w:val="00376E04"/>
    <w:rsid w:val="00377C1C"/>
    <w:rsid w:val="0038172C"/>
    <w:rsid w:val="00383A1E"/>
    <w:rsid w:val="003849EC"/>
    <w:rsid w:val="00390F57"/>
    <w:rsid w:val="00391202"/>
    <w:rsid w:val="00393124"/>
    <w:rsid w:val="0039373C"/>
    <w:rsid w:val="00393936"/>
    <w:rsid w:val="00394FC1"/>
    <w:rsid w:val="0039597F"/>
    <w:rsid w:val="00395D17"/>
    <w:rsid w:val="003978A4"/>
    <w:rsid w:val="003A4CFB"/>
    <w:rsid w:val="003A546C"/>
    <w:rsid w:val="003A56F1"/>
    <w:rsid w:val="003B2B48"/>
    <w:rsid w:val="003B31EF"/>
    <w:rsid w:val="003B4948"/>
    <w:rsid w:val="003B509A"/>
    <w:rsid w:val="003B5494"/>
    <w:rsid w:val="003C1DF3"/>
    <w:rsid w:val="003C20B2"/>
    <w:rsid w:val="003C240A"/>
    <w:rsid w:val="003C2CFD"/>
    <w:rsid w:val="003C36E0"/>
    <w:rsid w:val="003C44BC"/>
    <w:rsid w:val="003D01D6"/>
    <w:rsid w:val="003D0F3F"/>
    <w:rsid w:val="003D2F74"/>
    <w:rsid w:val="003D30E2"/>
    <w:rsid w:val="003D33F2"/>
    <w:rsid w:val="003D5534"/>
    <w:rsid w:val="003D6052"/>
    <w:rsid w:val="003E1807"/>
    <w:rsid w:val="003E234A"/>
    <w:rsid w:val="003E3CD2"/>
    <w:rsid w:val="003E41CB"/>
    <w:rsid w:val="003E4D5B"/>
    <w:rsid w:val="003E5462"/>
    <w:rsid w:val="003F1E34"/>
    <w:rsid w:val="003F2668"/>
    <w:rsid w:val="003F344F"/>
    <w:rsid w:val="003F4682"/>
    <w:rsid w:val="003F4ECE"/>
    <w:rsid w:val="003F4FF3"/>
    <w:rsid w:val="003F52A7"/>
    <w:rsid w:val="003F5BB9"/>
    <w:rsid w:val="003F5DE5"/>
    <w:rsid w:val="003F6A04"/>
    <w:rsid w:val="004005C8"/>
    <w:rsid w:val="0040070A"/>
    <w:rsid w:val="0040094B"/>
    <w:rsid w:val="00401278"/>
    <w:rsid w:val="00401769"/>
    <w:rsid w:val="00407D11"/>
    <w:rsid w:val="004112CE"/>
    <w:rsid w:val="0041144F"/>
    <w:rsid w:val="004114AF"/>
    <w:rsid w:val="00411E86"/>
    <w:rsid w:val="004122CC"/>
    <w:rsid w:val="004140C8"/>
    <w:rsid w:val="004151BA"/>
    <w:rsid w:val="004161A0"/>
    <w:rsid w:val="004172EB"/>
    <w:rsid w:val="004215AB"/>
    <w:rsid w:val="00422336"/>
    <w:rsid w:val="004228A7"/>
    <w:rsid w:val="00422E87"/>
    <w:rsid w:val="00423B21"/>
    <w:rsid w:val="00425987"/>
    <w:rsid w:val="004307A6"/>
    <w:rsid w:val="00431297"/>
    <w:rsid w:val="00432643"/>
    <w:rsid w:val="00434214"/>
    <w:rsid w:val="004346BE"/>
    <w:rsid w:val="004352FB"/>
    <w:rsid w:val="004407FD"/>
    <w:rsid w:val="00441F5C"/>
    <w:rsid w:val="00442441"/>
    <w:rsid w:val="00443814"/>
    <w:rsid w:val="00444B7B"/>
    <w:rsid w:val="004450ED"/>
    <w:rsid w:val="00446537"/>
    <w:rsid w:val="004471E1"/>
    <w:rsid w:val="00447EE6"/>
    <w:rsid w:val="00451521"/>
    <w:rsid w:val="004516D0"/>
    <w:rsid w:val="0045217F"/>
    <w:rsid w:val="00452499"/>
    <w:rsid w:val="00452AB6"/>
    <w:rsid w:val="0045417E"/>
    <w:rsid w:val="0045493B"/>
    <w:rsid w:val="00454CA1"/>
    <w:rsid w:val="00455B32"/>
    <w:rsid w:val="00457AA5"/>
    <w:rsid w:val="00457CC5"/>
    <w:rsid w:val="00466602"/>
    <w:rsid w:val="00467581"/>
    <w:rsid w:val="0046779D"/>
    <w:rsid w:val="00470AC0"/>
    <w:rsid w:val="00470D80"/>
    <w:rsid w:val="00471F0B"/>
    <w:rsid w:val="00473B6F"/>
    <w:rsid w:val="004752F7"/>
    <w:rsid w:val="00475B78"/>
    <w:rsid w:val="00480DB0"/>
    <w:rsid w:val="0048225A"/>
    <w:rsid w:val="00483FBA"/>
    <w:rsid w:val="00483FE0"/>
    <w:rsid w:val="00484190"/>
    <w:rsid w:val="004851DD"/>
    <w:rsid w:val="00491856"/>
    <w:rsid w:val="00493EC8"/>
    <w:rsid w:val="00495A5F"/>
    <w:rsid w:val="00497326"/>
    <w:rsid w:val="004A1B86"/>
    <w:rsid w:val="004A2539"/>
    <w:rsid w:val="004A275E"/>
    <w:rsid w:val="004A344D"/>
    <w:rsid w:val="004A6BAD"/>
    <w:rsid w:val="004A7130"/>
    <w:rsid w:val="004A7B8F"/>
    <w:rsid w:val="004B0C59"/>
    <w:rsid w:val="004B2A94"/>
    <w:rsid w:val="004B2AD6"/>
    <w:rsid w:val="004B2C93"/>
    <w:rsid w:val="004B55A8"/>
    <w:rsid w:val="004B55F3"/>
    <w:rsid w:val="004B6847"/>
    <w:rsid w:val="004B717D"/>
    <w:rsid w:val="004B7706"/>
    <w:rsid w:val="004C02D8"/>
    <w:rsid w:val="004C063B"/>
    <w:rsid w:val="004C2BA1"/>
    <w:rsid w:val="004C49A2"/>
    <w:rsid w:val="004C59FD"/>
    <w:rsid w:val="004C5A7A"/>
    <w:rsid w:val="004C66FC"/>
    <w:rsid w:val="004D1048"/>
    <w:rsid w:val="004D3798"/>
    <w:rsid w:val="004D44A3"/>
    <w:rsid w:val="004D4650"/>
    <w:rsid w:val="004D7585"/>
    <w:rsid w:val="004D7E96"/>
    <w:rsid w:val="004E19A7"/>
    <w:rsid w:val="004E25DE"/>
    <w:rsid w:val="004E362A"/>
    <w:rsid w:val="004E4965"/>
    <w:rsid w:val="004E5A96"/>
    <w:rsid w:val="004E68AE"/>
    <w:rsid w:val="004E71FB"/>
    <w:rsid w:val="004F1FEA"/>
    <w:rsid w:val="004F23CA"/>
    <w:rsid w:val="004F299E"/>
    <w:rsid w:val="00501AAC"/>
    <w:rsid w:val="00501C0F"/>
    <w:rsid w:val="005024FC"/>
    <w:rsid w:val="0050295C"/>
    <w:rsid w:val="0050457F"/>
    <w:rsid w:val="0050524D"/>
    <w:rsid w:val="0050767E"/>
    <w:rsid w:val="00510EB2"/>
    <w:rsid w:val="005115FD"/>
    <w:rsid w:val="0051191F"/>
    <w:rsid w:val="00514981"/>
    <w:rsid w:val="0051611F"/>
    <w:rsid w:val="00517013"/>
    <w:rsid w:val="00522440"/>
    <w:rsid w:val="00524082"/>
    <w:rsid w:val="00524FD9"/>
    <w:rsid w:val="005309CD"/>
    <w:rsid w:val="005317BF"/>
    <w:rsid w:val="00532102"/>
    <w:rsid w:val="00532371"/>
    <w:rsid w:val="005331EA"/>
    <w:rsid w:val="00533BA0"/>
    <w:rsid w:val="00534C67"/>
    <w:rsid w:val="00537913"/>
    <w:rsid w:val="00543002"/>
    <w:rsid w:val="00547C02"/>
    <w:rsid w:val="00550164"/>
    <w:rsid w:val="00550387"/>
    <w:rsid w:val="00554C0F"/>
    <w:rsid w:val="00554C10"/>
    <w:rsid w:val="00556EC3"/>
    <w:rsid w:val="0056014C"/>
    <w:rsid w:val="00560DF7"/>
    <w:rsid w:val="00561CCB"/>
    <w:rsid w:val="005639CA"/>
    <w:rsid w:val="00563B47"/>
    <w:rsid w:val="00563EF5"/>
    <w:rsid w:val="00565B4A"/>
    <w:rsid w:val="00567624"/>
    <w:rsid w:val="00567726"/>
    <w:rsid w:val="00567F3A"/>
    <w:rsid w:val="0057015C"/>
    <w:rsid w:val="00570982"/>
    <w:rsid w:val="0057203D"/>
    <w:rsid w:val="005736B1"/>
    <w:rsid w:val="00573D39"/>
    <w:rsid w:val="005743A1"/>
    <w:rsid w:val="005811BE"/>
    <w:rsid w:val="00581AD9"/>
    <w:rsid w:val="005839A7"/>
    <w:rsid w:val="005849ED"/>
    <w:rsid w:val="00585771"/>
    <w:rsid w:val="00587252"/>
    <w:rsid w:val="00587D9C"/>
    <w:rsid w:val="00590FF6"/>
    <w:rsid w:val="00594756"/>
    <w:rsid w:val="0059626A"/>
    <w:rsid w:val="005966F7"/>
    <w:rsid w:val="005A0087"/>
    <w:rsid w:val="005A1368"/>
    <w:rsid w:val="005A2C40"/>
    <w:rsid w:val="005A3536"/>
    <w:rsid w:val="005A4215"/>
    <w:rsid w:val="005A479C"/>
    <w:rsid w:val="005A5609"/>
    <w:rsid w:val="005A5AF4"/>
    <w:rsid w:val="005A7611"/>
    <w:rsid w:val="005B2E99"/>
    <w:rsid w:val="005B350E"/>
    <w:rsid w:val="005B50B7"/>
    <w:rsid w:val="005B7A12"/>
    <w:rsid w:val="005B7C44"/>
    <w:rsid w:val="005C2761"/>
    <w:rsid w:val="005C4FB5"/>
    <w:rsid w:val="005C5361"/>
    <w:rsid w:val="005C53C8"/>
    <w:rsid w:val="005C5E48"/>
    <w:rsid w:val="005C6449"/>
    <w:rsid w:val="005C67E3"/>
    <w:rsid w:val="005C6A3D"/>
    <w:rsid w:val="005D3753"/>
    <w:rsid w:val="005D47CC"/>
    <w:rsid w:val="005D5444"/>
    <w:rsid w:val="005D55F4"/>
    <w:rsid w:val="005D5633"/>
    <w:rsid w:val="005D5A3E"/>
    <w:rsid w:val="005D5FE5"/>
    <w:rsid w:val="005D6868"/>
    <w:rsid w:val="005E0CE5"/>
    <w:rsid w:val="005E14F9"/>
    <w:rsid w:val="005E22B4"/>
    <w:rsid w:val="005E27DD"/>
    <w:rsid w:val="005E2940"/>
    <w:rsid w:val="005E2A02"/>
    <w:rsid w:val="005E2AB7"/>
    <w:rsid w:val="005E3A59"/>
    <w:rsid w:val="005E3B9A"/>
    <w:rsid w:val="005E3C85"/>
    <w:rsid w:val="005E5310"/>
    <w:rsid w:val="005E5B46"/>
    <w:rsid w:val="005E626F"/>
    <w:rsid w:val="005E73F0"/>
    <w:rsid w:val="005F024A"/>
    <w:rsid w:val="005F0831"/>
    <w:rsid w:val="005F155A"/>
    <w:rsid w:val="005F2F81"/>
    <w:rsid w:val="005F318B"/>
    <w:rsid w:val="005F3BBE"/>
    <w:rsid w:val="005F58DE"/>
    <w:rsid w:val="005F5BB7"/>
    <w:rsid w:val="005F76FE"/>
    <w:rsid w:val="00603277"/>
    <w:rsid w:val="00603BCE"/>
    <w:rsid w:val="006044BF"/>
    <w:rsid w:val="0060505B"/>
    <w:rsid w:val="00605D13"/>
    <w:rsid w:val="00606B79"/>
    <w:rsid w:val="006128A4"/>
    <w:rsid w:val="00612960"/>
    <w:rsid w:val="006136DC"/>
    <w:rsid w:val="0061451F"/>
    <w:rsid w:val="00617242"/>
    <w:rsid w:val="00617A97"/>
    <w:rsid w:val="00617B3C"/>
    <w:rsid w:val="00621BC1"/>
    <w:rsid w:val="0062261A"/>
    <w:rsid w:val="006266C1"/>
    <w:rsid w:val="006279EF"/>
    <w:rsid w:val="00632F13"/>
    <w:rsid w:val="00633226"/>
    <w:rsid w:val="00634CB0"/>
    <w:rsid w:val="0064042F"/>
    <w:rsid w:val="006406D7"/>
    <w:rsid w:val="00644B4A"/>
    <w:rsid w:val="00645693"/>
    <w:rsid w:val="00646957"/>
    <w:rsid w:val="00646E64"/>
    <w:rsid w:val="00652359"/>
    <w:rsid w:val="00655474"/>
    <w:rsid w:val="00657A6B"/>
    <w:rsid w:val="00657CC8"/>
    <w:rsid w:val="006635BD"/>
    <w:rsid w:val="00663E1A"/>
    <w:rsid w:val="00664216"/>
    <w:rsid w:val="006643FC"/>
    <w:rsid w:val="00666429"/>
    <w:rsid w:val="0066680D"/>
    <w:rsid w:val="00667F98"/>
    <w:rsid w:val="00670792"/>
    <w:rsid w:val="006724E1"/>
    <w:rsid w:val="00672B09"/>
    <w:rsid w:val="00674648"/>
    <w:rsid w:val="006803A9"/>
    <w:rsid w:val="00681151"/>
    <w:rsid w:val="006827EE"/>
    <w:rsid w:val="00682A34"/>
    <w:rsid w:val="0068409F"/>
    <w:rsid w:val="00685D62"/>
    <w:rsid w:val="00687713"/>
    <w:rsid w:val="00687E2B"/>
    <w:rsid w:val="00691366"/>
    <w:rsid w:val="006938F5"/>
    <w:rsid w:val="00696CE2"/>
    <w:rsid w:val="006A17A2"/>
    <w:rsid w:val="006A1B47"/>
    <w:rsid w:val="006A2850"/>
    <w:rsid w:val="006A3C49"/>
    <w:rsid w:val="006A7FA6"/>
    <w:rsid w:val="006B0627"/>
    <w:rsid w:val="006B1494"/>
    <w:rsid w:val="006B1F8B"/>
    <w:rsid w:val="006B2AE9"/>
    <w:rsid w:val="006B41DA"/>
    <w:rsid w:val="006B70FC"/>
    <w:rsid w:val="006C0BCB"/>
    <w:rsid w:val="006C15F3"/>
    <w:rsid w:val="006C2431"/>
    <w:rsid w:val="006C33A7"/>
    <w:rsid w:val="006C44B2"/>
    <w:rsid w:val="006C6AF7"/>
    <w:rsid w:val="006C7E4A"/>
    <w:rsid w:val="006D0125"/>
    <w:rsid w:val="006D0313"/>
    <w:rsid w:val="006D3ED3"/>
    <w:rsid w:val="006D4D7C"/>
    <w:rsid w:val="006D70D1"/>
    <w:rsid w:val="006E16E1"/>
    <w:rsid w:val="006E2188"/>
    <w:rsid w:val="006E246A"/>
    <w:rsid w:val="006E3BD1"/>
    <w:rsid w:val="006E5B90"/>
    <w:rsid w:val="006E77CB"/>
    <w:rsid w:val="006E793F"/>
    <w:rsid w:val="006F117E"/>
    <w:rsid w:val="006F159F"/>
    <w:rsid w:val="006F1817"/>
    <w:rsid w:val="006F2587"/>
    <w:rsid w:val="006F473B"/>
    <w:rsid w:val="006F4BE0"/>
    <w:rsid w:val="006F5446"/>
    <w:rsid w:val="006F6EE0"/>
    <w:rsid w:val="006F6FE5"/>
    <w:rsid w:val="0070375C"/>
    <w:rsid w:val="00703BD7"/>
    <w:rsid w:val="00705476"/>
    <w:rsid w:val="00706CC0"/>
    <w:rsid w:val="00707688"/>
    <w:rsid w:val="007137F8"/>
    <w:rsid w:val="007138BC"/>
    <w:rsid w:val="007139CE"/>
    <w:rsid w:val="00713C73"/>
    <w:rsid w:val="00715FAD"/>
    <w:rsid w:val="007165DC"/>
    <w:rsid w:val="007171CA"/>
    <w:rsid w:val="0072027D"/>
    <w:rsid w:val="00721343"/>
    <w:rsid w:val="007229C0"/>
    <w:rsid w:val="00722E53"/>
    <w:rsid w:val="00725422"/>
    <w:rsid w:val="0072594C"/>
    <w:rsid w:val="007260C0"/>
    <w:rsid w:val="007272AA"/>
    <w:rsid w:val="007307C1"/>
    <w:rsid w:val="00730F0E"/>
    <w:rsid w:val="00730F1A"/>
    <w:rsid w:val="0073183F"/>
    <w:rsid w:val="0073594A"/>
    <w:rsid w:val="0073780D"/>
    <w:rsid w:val="00741D79"/>
    <w:rsid w:val="007472A6"/>
    <w:rsid w:val="0074739A"/>
    <w:rsid w:val="00751477"/>
    <w:rsid w:val="00751960"/>
    <w:rsid w:val="00752410"/>
    <w:rsid w:val="00755E2F"/>
    <w:rsid w:val="00755FDF"/>
    <w:rsid w:val="0075675A"/>
    <w:rsid w:val="00757610"/>
    <w:rsid w:val="00760178"/>
    <w:rsid w:val="00762D5E"/>
    <w:rsid w:val="00762F79"/>
    <w:rsid w:val="0076319D"/>
    <w:rsid w:val="00764635"/>
    <w:rsid w:val="00765188"/>
    <w:rsid w:val="00765B9A"/>
    <w:rsid w:val="0076733E"/>
    <w:rsid w:val="007704BE"/>
    <w:rsid w:val="00770896"/>
    <w:rsid w:val="007708C9"/>
    <w:rsid w:val="0077092A"/>
    <w:rsid w:val="00771951"/>
    <w:rsid w:val="00773471"/>
    <w:rsid w:val="007751DC"/>
    <w:rsid w:val="007753E8"/>
    <w:rsid w:val="007819F9"/>
    <w:rsid w:val="00782198"/>
    <w:rsid w:val="007831C3"/>
    <w:rsid w:val="00783C42"/>
    <w:rsid w:val="00785A73"/>
    <w:rsid w:val="00785B4C"/>
    <w:rsid w:val="00786204"/>
    <w:rsid w:val="00794969"/>
    <w:rsid w:val="00795116"/>
    <w:rsid w:val="00796547"/>
    <w:rsid w:val="00797507"/>
    <w:rsid w:val="007A14BD"/>
    <w:rsid w:val="007A225D"/>
    <w:rsid w:val="007A7094"/>
    <w:rsid w:val="007A746F"/>
    <w:rsid w:val="007B00FA"/>
    <w:rsid w:val="007B126C"/>
    <w:rsid w:val="007B19BC"/>
    <w:rsid w:val="007B44A6"/>
    <w:rsid w:val="007B66D2"/>
    <w:rsid w:val="007B7008"/>
    <w:rsid w:val="007B7E57"/>
    <w:rsid w:val="007C1821"/>
    <w:rsid w:val="007C2276"/>
    <w:rsid w:val="007C49A8"/>
    <w:rsid w:val="007C778C"/>
    <w:rsid w:val="007C79AA"/>
    <w:rsid w:val="007D1D66"/>
    <w:rsid w:val="007D201E"/>
    <w:rsid w:val="007D39FA"/>
    <w:rsid w:val="007D3A73"/>
    <w:rsid w:val="007D5BC5"/>
    <w:rsid w:val="007D5DE9"/>
    <w:rsid w:val="007D6A9A"/>
    <w:rsid w:val="007E1205"/>
    <w:rsid w:val="007E1997"/>
    <w:rsid w:val="007E1C39"/>
    <w:rsid w:val="007E2481"/>
    <w:rsid w:val="007E748C"/>
    <w:rsid w:val="007E7A01"/>
    <w:rsid w:val="007F0F83"/>
    <w:rsid w:val="007F2A59"/>
    <w:rsid w:val="007F5264"/>
    <w:rsid w:val="007F5846"/>
    <w:rsid w:val="007F6472"/>
    <w:rsid w:val="007F68F3"/>
    <w:rsid w:val="00801384"/>
    <w:rsid w:val="00802893"/>
    <w:rsid w:val="0080293E"/>
    <w:rsid w:val="00802EA5"/>
    <w:rsid w:val="008063CB"/>
    <w:rsid w:val="00806F18"/>
    <w:rsid w:val="00811DA0"/>
    <w:rsid w:val="008125B6"/>
    <w:rsid w:val="00816E90"/>
    <w:rsid w:val="00817E86"/>
    <w:rsid w:val="00822072"/>
    <w:rsid w:val="00825B60"/>
    <w:rsid w:val="00826B99"/>
    <w:rsid w:val="008306B8"/>
    <w:rsid w:val="00833FF7"/>
    <w:rsid w:val="00835B8C"/>
    <w:rsid w:val="00840D6A"/>
    <w:rsid w:val="00841BCE"/>
    <w:rsid w:val="00843A29"/>
    <w:rsid w:val="00843FA4"/>
    <w:rsid w:val="0084404C"/>
    <w:rsid w:val="00845D20"/>
    <w:rsid w:val="008469FC"/>
    <w:rsid w:val="0085053E"/>
    <w:rsid w:val="00851C8A"/>
    <w:rsid w:val="008555C0"/>
    <w:rsid w:val="00855E76"/>
    <w:rsid w:val="00857455"/>
    <w:rsid w:val="00861148"/>
    <w:rsid w:val="00861BEF"/>
    <w:rsid w:val="008624D9"/>
    <w:rsid w:val="008634F4"/>
    <w:rsid w:val="00863615"/>
    <w:rsid w:val="008649AB"/>
    <w:rsid w:val="00864AD1"/>
    <w:rsid w:val="00864ECD"/>
    <w:rsid w:val="00872133"/>
    <w:rsid w:val="008750EC"/>
    <w:rsid w:val="00882184"/>
    <w:rsid w:val="008856D5"/>
    <w:rsid w:val="00890D24"/>
    <w:rsid w:val="0089154D"/>
    <w:rsid w:val="00891E8F"/>
    <w:rsid w:val="0089222F"/>
    <w:rsid w:val="0089316A"/>
    <w:rsid w:val="008933B1"/>
    <w:rsid w:val="00893B4F"/>
    <w:rsid w:val="0089662D"/>
    <w:rsid w:val="008A032E"/>
    <w:rsid w:val="008A0793"/>
    <w:rsid w:val="008A1288"/>
    <w:rsid w:val="008A26D7"/>
    <w:rsid w:val="008A3D74"/>
    <w:rsid w:val="008A4C1F"/>
    <w:rsid w:val="008A5D52"/>
    <w:rsid w:val="008A688B"/>
    <w:rsid w:val="008A6DF1"/>
    <w:rsid w:val="008B08D1"/>
    <w:rsid w:val="008B2538"/>
    <w:rsid w:val="008B2AA3"/>
    <w:rsid w:val="008B35ED"/>
    <w:rsid w:val="008B39E6"/>
    <w:rsid w:val="008B4DCD"/>
    <w:rsid w:val="008B503D"/>
    <w:rsid w:val="008B54FF"/>
    <w:rsid w:val="008C04D3"/>
    <w:rsid w:val="008C08DA"/>
    <w:rsid w:val="008C0F08"/>
    <w:rsid w:val="008C116B"/>
    <w:rsid w:val="008C1482"/>
    <w:rsid w:val="008C22C9"/>
    <w:rsid w:val="008C2EA7"/>
    <w:rsid w:val="008C348E"/>
    <w:rsid w:val="008C461F"/>
    <w:rsid w:val="008C483D"/>
    <w:rsid w:val="008D0916"/>
    <w:rsid w:val="008D107A"/>
    <w:rsid w:val="008D283B"/>
    <w:rsid w:val="008D36CA"/>
    <w:rsid w:val="008D42EC"/>
    <w:rsid w:val="008E0BB7"/>
    <w:rsid w:val="008E0D16"/>
    <w:rsid w:val="008E0F2A"/>
    <w:rsid w:val="008E3184"/>
    <w:rsid w:val="008E3403"/>
    <w:rsid w:val="008E6C59"/>
    <w:rsid w:val="008F0317"/>
    <w:rsid w:val="008F2A2E"/>
    <w:rsid w:val="008F4913"/>
    <w:rsid w:val="008F55B0"/>
    <w:rsid w:val="008F59CC"/>
    <w:rsid w:val="008F5F94"/>
    <w:rsid w:val="0090149A"/>
    <w:rsid w:val="00901B91"/>
    <w:rsid w:val="00901D46"/>
    <w:rsid w:val="009033A8"/>
    <w:rsid w:val="00903957"/>
    <w:rsid w:val="00907698"/>
    <w:rsid w:val="009102D4"/>
    <w:rsid w:val="00911740"/>
    <w:rsid w:val="0091211B"/>
    <w:rsid w:val="0091294F"/>
    <w:rsid w:val="00912D27"/>
    <w:rsid w:val="00915530"/>
    <w:rsid w:val="00917E0B"/>
    <w:rsid w:val="00921151"/>
    <w:rsid w:val="009217E7"/>
    <w:rsid w:val="00923E5D"/>
    <w:rsid w:val="009311E8"/>
    <w:rsid w:val="0093258A"/>
    <w:rsid w:val="009338B6"/>
    <w:rsid w:val="0093634B"/>
    <w:rsid w:val="00936EE4"/>
    <w:rsid w:val="0094032C"/>
    <w:rsid w:val="00941635"/>
    <w:rsid w:val="009443E2"/>
    <w:rsid w:val="00951E02"/>
    <w:rsid w:val="00952DD3"/>
    <w:rsid w:val="00955729"/>
    <w:rsid w:val="0095622D"/>
    <w:rsid w:val="009565A3"/>
    <w:rsid w:val="00956A9D"/>
    <w:rsid w:val="009579AE"/>
    <w:rsid w:val="00960680"/>
    <w:rsid w:val="00961F6D"/>
    <w:rsid w:val="009649AD"/>
    <w:rsid w:val="00964AC1"/>
    <w:rsid w:val="00964BAF"/>
    <w:rsid w:val="00965466"/>
    <w:rsid w:val="00966253"/>
    <w:rsid w:val="00971DA2"/>
    <w:rsid w:val="00972A1B"/>
    <w:rsid w:val="00972CAE"/>
    <w:rsid w:val="0097437D"/>
    <w:rsid w:val="00980241"/>
    <w:rsid w:val="00980AED"/>
    <w:rsid w:val="0098254D"/>
    <w:rsid w:val="00984BC7"/>
    <w:rsid w:val="00984D71"/>
    <w:rsid w:val="0098514C"/>
    <w:rsid w:val="00985461"/>
    <w:rsid w:val="0098763F"/>
    <w:rsid w:val="009879C4"/>
    <w:rsid w:val="00991EE9"/>
    <w:rsid w:val="00992963"/>
    <w:rsid w:val="00994D6F"/>
    <w:rsid w:val="00995009"/>
    <w:rsid w:val="00997D44"/>
    <w:rsid w:val="009A10D3"/>
    <w:rsid w:val="009A2A63"/>
    <w:rsid w:val="009A4AD5"/>
    <w:rsid w:val="009A72F2"/>
    <w:rsid w:val="009A76A6"/>
    <w:rsid w:val="009B0C6F"/>
    <w:rsid w:val="009B13C7"/>
    <w:rsid w:val="009B3B2E"/>
    <w:rsid w:val="009B4B3D"/>
    <w:rsid w:val="009C0EAF"/>
    <w:rsid w:val="009C0ECE"/>
    <w:rsid w:val="009C3230"/>
    <w:rsid w:val="009C3590"/>
    <w:rsid w:val="009C5B0E"/>
    <w:rsid w:val="009C672D"/>
    <w:rsid w:val="009C688D"/>
    <w:rsid w:val="009C75B4"/>
    <w:rsid w:val="009D12F0"/>
    <w:rsid w:val="009D1688"/>
    <w:rsid w:val="009D2BBB"/>
    <w:rsid w:val="009D2EB7"/>
    <w:rsid w:val="009D4F47"/>
    <w:rsid w:val="009D6806"/>
    <w:rsid w:val="009D75F6"/>
    <w:rsid w:val="009E58AA"/>
    <w:rsid w:val="009E5ABB"/>
    <w:rsid w:val="009E6645"/>
    <w:rsid w:val="009E680B"/>
    <w:rsid w:val="009E6D21"/>
    <w:rsid w:val="009E732F"/>
    <w:rsid w:val="009E77E9"/>
    <w:rsid w:val="009F0137"/>
    <w:rsid w:val="009F1585"/>
    <w:rsid w:val="009F16D0"/>
    <w:rsid w:val="009F2152"/>
    <w:rsid w:val="00A01BB0"/>
    <w:rsid w:val="00A04AF7"/>
    <w:rsid w:val="00A04DFF"/>
    <w:rsid w:val="00A07B75"/>
    <w:rsid w:val="00A12E57"/>
    <w:rsid w:val="00A12FF8"/>
    <w:rsid w:val="00A1397B"/>
    <w:rsid w:val="00A1675E"/>
    <w:rsid w:val="00A26180"/>
    <w:rsid w:val="00A26400"/>
    <w:rsid w:val="00A26D95"/>
    <w:rsid w:val="00A32698"/>
    <w:rsid w:val="00A331FB"/>
    <w:rsid w:val="00A34363"/>
    <w:rsid w:val="00A34866"/>
    <w:rsid w:val="00A35BA9"/>
    <w:rsid w:val="00A35E31"/>
    <w:rsid w:val="00A40000"/>
    <w:rsid w:val="00A40F42"/>
    <w:rsid w:val="00A41AB2"/>
    <w:rsid w:val="00A43543"/>
    <w:rsid w:val="00A45D79"/>
    <w:rsid w:val="00A46373"/>
    <w:rsid w:val="00A554EF"/>
    <w:rsid w:val="00A572B1"/>
    <w:rsid w:val="00A57E7E"/>
    <w:rsid w:val="00A628EA"/>
    <w:rsid w:val="00A656FE"/>
    <w:rsid w:val="00A66BC3"/>
    <w:rsid w:val="00A71473"/>
    <w:rsid w:val="00A72196"/>
    <w:rsid w:val="00A7394E"/>
    <w:rsid w:val="00A73DE4"/>
    <w:rsid w:val="00A75223"/>
    <w:rsid w:val="00A763F2"/>
    <w:rsid w:val="00A76808"/>
    <w:rsid w:val="00A81879"/>
    <w:rsid w:val="00A82928"/>
    <w:rsid w:val="00A82CCB"/>
    <w:rsid w:val="00A8443F"/>
    <w:rsid w:val="00A85ADB"/>
    <w:rsid w:val="00A85B56"/>
    <w:rsid w:val="00A872CB"/>
    <w:rsid w:val="00A87955"/>
    <w:rsid w:val="00A90399"/>
    <w:rsid w:val="00A904E2"/>
    <w:rsid w:val="00A964A3"/>
    <w:rsid w:val="00AA29ED"/>
    <w:rsid w:val="00AA3AF1"/>
    <w:rsid w:val="00AA4D8D"/>
    <w:rsid w:val="00AA67CB"/>
    <w:rsid w:val="00AB5030"/>
    <w:rsid w:val="00AB581A"/>
    <w:rsid w:val="00AB6E66"/>
    <w:rsid w:val="00AB78D9"/>
    <w:rsid w:val="00AB7E00"/>
    <w:rsid w:val="00AC10D4"/>
    <w:rsid w:val="00AC3D89"/>
    <w:rsid w:val="00AC60BF"/>
    <w:rsid w:val="00AC67CE"/>
    <w:rsid w:val="00AC7ABA"/>
    <w:rsid w:val="00AD04D1"/>
    <w:rsid w:val="00AD0C51"/>
    <w:rsid w:val="00AD12DB"/>
    <w:rsid w:val="00AD20D2"/>
    <w:rsid w:val="00AD2277"/>
    <w:rsid w:val="00AD2307"/>
    <w:rsid w:val="00AD266C"/>
    <w:rsid w:val="00AD44B3"/>
    <w:rsid w:val="00AD6006"/>
    <w:rsid w:val="00AD6EA3"/>
    <w:rsid w:val="00AD77D4"/>
    <w:rsid w:val="00AD7FE6"/>
    <w:rsid w:val="00AE0A77"/>
    <w:rsid w:val="00AE1B70"/>
    <w:rsid w:val="00AE38E0"/>
    <w:rsid w:val="00AE3CB0"/>
    <w:rsid w:val="00AE4652"/>
    <w:rsid w:val="00AF07F1"/>
    <w:rsid w:val="00AF0CFD"/>
    <w:rsid w:val="00AF0FCC"/>
    <w:rsid w:val="00AF1DBF"/>
    <w:rsid w:val="00AF286D"/>
    <w:rsid w:val="00AF325A"/>
    <w:rsid w:val="00AF341B"/>
    <w:rsid w:val="00AF45E1"/>
    <w:rsid w:val="00AF4622"/>
    <w:rsid w:val="00AF5141"/>
    <w:rsid w:val="00AF6D0A"/>
    <w:rsid w:val="00AF77E4"/>
    <w:rsid w:val="00B0095C"/>
    <w:rsid w:val="00B00CC5"/>
    <w:rsid w:val="00B032D0"/>
    <w:rsid w:val="00B03FF0"/>
    <w:rsid w:val="00B06C87"/>
    <w:rsid w:val="00B10BD7"/>
    <w:rsid w:val="00B10C79"/>
    <w:rsid w:val="00B113F2"/>
    <w:rsid w:val="00B116D5"/>
    <w:rsid w:val="00B15990"/>
    <w:rsid w:val="00B20D3C"/>
    <w:rsid w:val="00B24C81"/>
    <w:rsid w:val="00B30B7A"/>
    <w:rsid w:val="00B31245"/>
    <w:rsid w:val="00B3159A"/>
    <w:rsid w:val="00B3410C"/>
    <w:rsid w:val="00B356C7"/>
    <w:rsid w:val="00B36281"/>
    <w:rsid w:val="00B362D5"/>
    <w:rsid w:val="00B3789B"/>
    <w:rsid w:val="00B40D0F"/>
    <w:rsid w:val="00B419EC"/>
    <w:rsid w:val="00B42A32"/>
    <w:rsid w:val="00B42AD9"/>
    <w:rsid w:val="00B42BE6"/>
    <w:rsid w:val="00B44CBB"/>
    <w:rsid w:val="00B45E33"/>
    <w:rsid w:val="00B46C8F"/>
    <w:rsid w:val="00B508EA"/>
    <w:rsid w:val="00B518D2"/>
    <w:rsid w:val="00B51ECD"/>
    <w:rsid w:val="00B54F4B"/>
    <w:rsid w:val="00B5574E"/>
    <w:rsid w:val="00B63D76"/>
    <w:rsid w:val="00B67064"/>
    <w:rsid w:val="00B67FA9"/>
    <w:rsid w:val="00B701E5"/>
    <w:rsid w:val="00B7338E"/>
    <w:rsid w:val="00B736F4"/>
    <w:rsid w:val="00B75F59"/>
    <w:rsid w:val="00B76444"/>
    <w:rsid w:val="00B77BFC"/>
    <w:rsid w:val="00B805B7"/>
    <w:rsid w:val="00B80FE8"/>
    <w:rsid w:val="00B820E4"/>
    <w:rsid w:val="00B8293C"/>
    <w:rsid w:val="00B83675"/>
    <w:rsid w:val="00B863CE"/>
    <w:rsid w:val="00B921DB"/>
    <w:rsid w:val="00B92892"/>
    <w:rsid w:val="00B94207"/>
    <w:rsid w:val="00B94EDC"/>
    <w:rsid w:val="00B96B54"/>
    <w:rsid w:val="00B97311"/>
    <w:rsid w:val="00B97729"/>
    <w:rsid w:val="00BA4B28"/>
    <w:rsid w:val="00BA5BF0"/>
    <w:rsid w:val="00BB2C9E"/>
    <w:rsid w:val="00BB2D80"/>
    <w:rsid w:val="00BB3CE4"/>
    <w:rsid w:val="00BB71B6"/>
    <w:rsid w:val="00BC0B43"/>
    <w:rsid w:val="00BC18B5"/>
    <w:rsid w:val="00BC1A05"/>
    <w:rsid w:val="00BC28B4"/>
    <w:rsid w:val="00BC2AC8"/>
    <w:rsid w:val="00BC2FF6"/>
    <w:rsid w:val="00BC3BDD"/>
    <w:rsid w:val="00BC426D"/>
    <w:rsid w:val="00BC5A54"/>
    <w:rsid w:val="00BC6B67"/>
    <w:rsid w:val="00BC6CD8"/>
    <w:rsid w:val="00BD1816"/>
    <w:rsid w:val="00BD4F9A"/>
    <w:rsid w:val="00BE33BA"/>
    <w:rsid w:val="00BE352C"/>
    <w:rsid w:val="00BE407F"/>
    <w:rsid w:val="00BE41F3"/>
    <w:rsid w:val="00BE4481"/>
    <w:rsid w:val="00BE476D"/>
    <w:rsid w:val="00BE7330"/>
    <w:rsid w:val="00BE7C13"/>
    <w:rsid w:val="00BF1709"/>
    <w:rsid w:val="00BF222D"/>
    <w:rsid w:val="00BF2320"/>
    <w:rsid w:val="00BF403E"/>
    <w:rsid w:val="00BF596C"/>
    <w:rsid w:val="00C00ABC"/>
    <w:rsid w:val="00C03B6C"/>
    <w:rsid w:val="00C04026"/>
    <w:rsid w:val="00C04AD2"/>
    <w:rsid w:val="00C051B9"/>
    <w:rsid w:val="00C109CC"/>
    <w:rsid w:val="00C1171E"/>
    <w:rsid w:val="00C124BE"/>
    <w:rsid w:val="00C1273E"/>
    <w:rsid w:val="00C12830"/>
    <w:rsid w:val="00C1339A"/>
    <w:rsid w:val="00C135B6"/>
    <w:rsid w:val="00C1395F"/>
    <w:rsid w:val="00C13E45"/>
    <w:rsid w:val="00C14BC6"/>
    <w:rsid w:val="00C156E9"/>
    <w:rsid w:val="00C17422"/>
    <w:rsid w:val="00C203F6"/>
    <w:rsid w:val="00C20955"/>
    <w:rsid w:val="00C213A1"/>
    <w:rsid w:val="00C25945"/>
    <w:rsid w:val="00C25F91"/>
    <w:rsid w:val="00C26DA7"/>
    <w:rsid w:val="00C3082C"/>
    <w:rsid w:val="00C316F1"/>
    <w:rsid w:val="00C31C9F"/>
    <w:rsid w:val="00C32DA1"/>
    <w:rsid w:val="00C3478D"/>
    <w:rsid w:val="00C352DC"/>
    <w:rsid w:val="00C363C9"/>
    <w:rsid w:val="00C40236"/>
    <w:rsid w:val="00C40EDE"/>
    <w:rsid w:val="00C42FA8"/>
    <w:rsid w:val="00C4318F"/>
    <w:rsid w:val="00C44460"/>
    <w:rsid w:val="00C444FF"/>
    <w:rsid w:val="00C466E6"/>
    <w:rsid w:val="00C5023B"/>
    <w:rsid w:val="00C5212C"/>
    <w:rsid w:val="00C53294"/>
    <w:rsid w:val="00C557D1"/>
    <w:rsid w:val="00C5641F"/>
    <w:rsid w:val="00C56FA5"/>
    <w:rsid w:val="00C57B3F"/>
    <w:rsid w:val="00C60316"/>
    <w:rsid w:val="00C61AD0"/>
    <w:rsid w:val="00C62588"/>
    <w:rsid w:val="00C62697"/>
    <w:rsid w:val="00C62B42"/>
    <w:rsid w:val="00C62E52"/>
    <w:rsid w:val="00C63C7E"/>
    <w:rsid w:val="00C6486B"/>
    <w:rsid w:val="00C65435"/>
    <w:rsid w:val="00C66F37"/>
    <w:rsid w:val="00C7030E"/>
    <w:rsid w:val="00C715E3"/>
    <w:rsid w:val="00C72384"/>
    <w:rsid w:val="00C73011"/>
    <w:rsid w:val="00C738A0"/>
    <w:rsid w:val="00C76E1D"/>
    <w:rsid w:val="00C80896"/>
    <w:rsid w:val="00C8238F"/>
    <w:rsid w:val="00C82DA5"/>
    <w:rsid w:val="00C8397B"/>
    <w:rsid w:val="00C84012"/>
    <w:rsid w:val="00C8434F"/>
    <w:rsid w:val="00C8468A"/>
    <w:rsid w:val="00C869B4"/>
    <w:rsid w:val="00C902A5"/>
    <w:rsid w:val="00C9078A"/>
    <w:rsid w:val="00C91744"/>
    <w:rsid w:val="00C91B81"/>
    <w:rsid w:val="00C9218F"/>
    <w:rsid w:val="00C92C6E"/>
    <w:rsid w:val="00C92E0E"/>
    <w:rsid w:val="00C964C7"/>
    <w:rsid w:val="00C979F2"/>
    <w:rsid w:val="00C97C08"/>
    <w:rsid w:val="00CA0168"/>
    <w:rsid w:val="00CA27AA"/>
    <w:rsid w:val="00CA2DC4"/>
    <w:rsid w:val="00CA3086"/>
    <w:rsid w:val="00CA7B9B"/>
    <w:rsid w:val="00CB2CC2"/>
    <w:rsid w:val="00CB5194"/>
    <w:rsid w:val="00CB6315"/>
    <w:rsid w:val="00CC03E9"/>
    <w:rsid w:val="00CC07AA"/>
    <w:rsid w:val="00CC21FE"/>
    <w:rsid w:val="00CC2CD2"/>
    <w:rsid w:val="00CC30F7"/>
    <w:rsid w:val="00CC3D60"/>
    <w:rsid w:val="00CC4E71"/>
    <w:rsid w:val="00CD1396"/>
    <w:rsid w:val="00CD1F7E"/>
    <w:rsid w:val="00CD2049"/>
    <w:rsid w:val="00CD29C0"/>
    <w:rsid w:val="00CD2F8C"/>
    <w:rsid w:val="00CD31E6"/>
    <w:rsid w:val="00CD37D4"/>
    <w:rsid w:val="00CD40B1"/>
    <w:rsid w:val="00CD53CE"/>
    <w:rsid w:val="00CD76E3"/>
    <w:rsid w:val="00CE33A8"/>
    <w:rsid w:val="00CE5D45"/>
    <w:rsid w:val="00CE5DA4"/>
    <w:rsid w:val="00CF3334"/>
    <w:rsid w:val="00CF3E56"/>
    <w:rsid w:val="00CF4007"/>
    <w:rsid w:val="00CF4DC6"/>
    <w:rsid w:val="00CF590A"/>
    <w:rsid w:val="00D00D8A"/>
    <w:rsid w:val="00D013C8"/>
    <w:rsid w:val="00D042AB"/>
    <w:rsid w:val="00D04600"/>
    <w:rsid w:val="00D04A1F"/>
    <w:rsid w:val="00D05290"/>
    <w:rsid w:val="00D117C4"/>
    <w:rsid w:val="00D11C1D"/>
    <w:rsid w:val="00D11E70"/>
    <w:rsid w:val="00D13A43"/>
    <w:rsid w:val="00D14EB2"/>
    <w:rsid w:val="00D27121"/>
    <w:rsid w:val="00D27AD5"/>
    <w:rsid w:val="00D34071"/>
    <w:rsid w:val="00D35B06"/>
    <w:rsid w:val="00D37A72"/>
    <w:rsid w:val="00D41D93"/>
    <w:rsid w:val="00D439D4"/>
    <w:rsid w:val="00D43C58"/>
    <w:rsid w:val="00D43EDF"/>
    <w:rsid w:val="00D44BDC"/>
    <w:rsid w:val="00D47F06"/>
    <w:rsid w:val="00D50B08"/>
    <w:rsid w:val="00D54100"/>
    <w:rsid w:val="00D54D23"/>
    <w:rsid w:val="00D54E61"/>
    <w:rsid w:val="00D55686"/>
    <w:rsid w:val="00D600F7"/>
    <w:rsid w:val="00D6093E"/>
    <w:rsid w:val="00D620E3"/>
    <w:rsid w:val="00D62326"/>
    <w:rsid w:val="00D632E0"/>
    <w:rsid w:val="00D635F4"/>
    <w:rsid w:val="00D636CB"/>
    <w:rsid w:val="00D66B74"/>
    <w:rsid w:val="00D6782D"/>
    <w:rsid w:val="00D741F5"/>
    <w:rsid w:val="00D74EA6"/>
    <w:rsid w:val="00D74F3E"/>
    <w:rsid w:val="00D7675A"/>
    <w:rsid w:val="00D76E9F"/>
    <w:rsid w:val="00D82722"/>
    <w:rsid w:val="00D82C95"/>
    <w:rsid w:val="00D82CFD"/>
    <w:rsid w:val="00D842F1"/>
    <w:rsid w:val="00D87BB0"/>
    <w:rsid w:val="00D903E3"/>
    <w:rsid w:val="00D90949"/>
    <w:rsid w:val="00D90AD4"/>
    <w:rsid w:val="00D9361F"/>
    <w:rsid w:val="00D940FB"/>
    <w:rsid w:val="00DA0CE0"/>
    <w:rsid w:val="00DA1991"/>
    <w:rsid w:val="00DA1B04"/>
    <w:rsid w:val="00DA1B59"/>
    <w:rsid w:val="00DA1EF9"/>
    <w:rsid w:val="00DA701D"/>
    <w:rsid w:val="00DA703D"/>
    <w:rsid w:val="00DB08E3"/>
    <w:rsid w:val="00DB3296"/>
    <w:rsid w:val="00DB340F"/>
    <w:rsid w:val="00DB46F8"/>
    <w:rsid w:val="00DB4CFE"/>
    <w:rsid w:val="00DB6906"/>
    <w:rsid w:val="00DB6B40"/>
    <w:rsid w:val="00DB7916"/>
    <w:rsid w:val="00DC0017"/>
    <w:rsid w:val="00DC0CAD"/>
    <w:rsid w:val="00DC1F36"/>
    <w:rsid w:val="00DC2C20"/>
    <w:rsid w:val="00DC30A9"/>
    <w:rsid w:val="00DC41D1"/>
    <w:rsid w:val="00DC54E0"/>
    <w:rsid w:val="00DC6013"/>
    <w:rsid w:val="00DC603A"/>
    <w:rsid w:val="00DC61C0"/>
    <w:rsid w:val="00DC690B"/>
    <w:rsid w:val="00DC6966"/>
    <w:rsid w:val="00DD25C3"/>
    <w:rsid w:val="00DD26D2"/>
    <w:rsid w:val="00DD4AB3"/>
    <w:rsid w:val="00DD628F"/>
    <w:rsid w:val="00DD7713"/>
    <w:rsid w:val="00DE0D3C"/>
    <w:rsid w:val="00DE12F8"/>
    <w:rsid w:val="00DE1888"/>
    <w:rsid w:val="00DE1B21"/>
    <w:rsid w:val="00DE209B"/>
    <w:rsid w:val="00DE5441"/>
    <w:rsid w:val="00DF3750"/>
    <w:rsid w:val="00DF3E79"/>
    <w:rsid w:val="00DF5C08"/>
    <w:rsid w:val="00DF65D1"/>
    <w:rsid w:val="00DF6AB6"/>
    <w:rsid w:val="00DF72ED"/>
    <w:rsid w:val="00DF7485"/>
    <w:rsid w:val="00E004EE"/>
    <w:rsid w:val="00E03C91"/>
    <w:rsid w:val="00E044C5"/>
    <w:rsid w:val="00E05BF0"/>
    <w:rsid w:val="00E06450"/>
    <w:rsid w:val="00E06B91"/>
    <w:rsid w:val="00E06BAE"/>
    <w:rsid w:val="00E10B3F"/>
    <w:rsid w:val="00E11010"/>
    <w:rsid w:val="00E11CFF"/>
    <w:rsid w:val="00E12AAB"/>
    <w:rsid w:val="00E14CAD"/>
    <w:rsid w:val="00E155E7"/>
    <w:rsid w:val="00E172A2"/>
    <w:rsid w:val="00E17A86"/>
    <w:rsid w:val="00E21E3B"/>
    <w:rsid w:val="00E22092"/>
    <w:rsid w:val="00E2309E"/>
    <w:rsid w:val="00E23405"/>
    <w:rsid w:val="00E248B2"/>
    <w:rsid w:val="00E2638F"/>
    <w:rsid w:val="00E26B75"/>
    <w:rsid w:val="00E26DA8"/>
    <w:rsid w:val="00E30DA0"/>
    <w:rsid w:val="00E3556D"/>
    <w:rsid w:val="00E35CE2"/>
    <w:rsid w:val="00E36EC2"/>
    <w:rsid w:val="00E41110"/>
    <w:rsid w:val="00E4468F"/>
    <w:rsid w:val="00E608F4"/>
    <w:rsid w:val="00E6195D"/>
    <w:rsid w:val="00E64EEE"/>
    <w:rsid w:val="00E6556B"/>
    <w:rsid w:val="00E6596A"/>
    <w:rsid w:val="00E67073"/>
    <w:rsid w:val="00E73747"/>
    <w:rsid w:val="00E7477E"/>
    <w:rsid w:val="00E75DB0"/>
    <w:rsid w:val="00E76E20"/>
    <w:rsid w:val="00E80786"/>
    <w:rsid w:val="00E80B8B"/>
    <w:rsid w:val="00E82C81"/>
    <w:rsid w:val="00E86C2A"/>
    <w:rsid w:val="00E86EA0"/>
    <w:rsid w:val="00E87AD4"/>
    <w:rsid w:val="00E90D0C"/>
    <w:rsid w:val="00E9525F"/>
    <w:rsid w:val="00E95A45"/>
    <w:rsid w:val="00E96254"/>
    <w:rsid w:val="00E9689A"/>
    <w:rsid w:val="00EA0955"/>
    <w:rsid w:val="00EA0E64"/>
    <w:rsid w:val="00EA16F7"/>
    <w:rsid w:val="00EA1DC2"/>
    <w:rsid w:val="00EA236A"/>
    <w:rsid w:val="00EA2DAC"/>
    <w:rsid w:val="00EA3A2D"/>
    <w:rsid w:val="00EA68C9"/>
    <w:rsid w:val="00EB0F65"/>
    <w:rsid w:val="00EB3911"/>
    <w:rsid w:val="00EB42A3"/>
    <w:rsid w:val="00EB42C4"/>
    <w:rsid w:val="00EB4E46"/>
    <w:rsid w:val="00EC1558"/>
    <w:rsid w:val="00EC2174"/>
    <w:rsid w:val="00EC26A5"/>
    <w:rsid w:val="00EC4BFE"/>
    <w:rsid w:val="00EC4F44"/>
    <w:rsid w:val="00EC58E0"/>
    <w:rsid w:val="00EC76D4"/>
    <w:rsid w:val="00ED0B3F"/>
    <w:rsid w:val="00ED0D6A"/>
    <w:rsid w:val="00ED2616"/>
    <w:rsid w:val="00ED3AA7"/>
    <w:rsid w:val="00ED4915"/>
    <w:rsid w:val="00EE0CD0"/>
    <w:rsid w:val="00EE4419"/>
    <w:rsid w:val="00EE5106"/>
    <w:rsid w:val="00EE588E"/>
    <w:rsid w:val="00EF0E5F"/>
    <w:rsid w:val="00EF459E"/>
    <w:rsid w:val="00EF52AA"/>
    <w:rsid w:val="00EF5B4A"/>
    <w:rsid w:val="00EF7FF9"/>
    <w:rsid w:val="00F01221"/>
    <w:rsid w:val="00F0279C"/>
    <w:rsid w:val="00F048D9"/>
    <w:rsid w:val="00F04B28"/>
    <w:rsid w:val="00F05B72"/>
    <w:rsid w:val="00F05F1C"/>
    <w:rsid w:val="00F06175"/>
    <w:rsid w:val="00F07288"/>
    <w:rsid w:val="00F0769E"/>
    <w:rsid w:val="00F07B1B"/>
    <w:rsid w:val="00F13164"/>
    <w:rsid w:val="00F13A1F"/>
    <w:rsid w:val="00F16833"/>
    <w:rsid w:val="00F16F12"/>
    <w:rsid w:val="00F1797E"/>
    <w:rsid w:val="00F20399"/>
    <w:rsid w:val="00F2453C"/>
    <w:rsid w:val="00F25FA0"/>
    <w:rsid w:val="00F25FC9"/>
    <w:rsid w:val="00F26AFC"/>
    <w:rsid w:val="00F271BF"/>
    <w:rsid w:val="00F27325"/>
    <w:rsid w:val="00F31A99"/>
    <w:rsid w:val="00F32991"/>
    <w:rsid w:val="00F3546C"/>
    <w:rsid w:val="00F35CF7"/>
    <w:rsid w:val="00F45A81"/>
    <w:rsid w:val="00F45BA2"/>
    <w:rsid w:val="00F4605F"/>
    <w:rsid w:val="00F4781B"/>
    <w:rsid w:val="00F47AC0"/>
    <w:rsid w:val="00F47F9E"/>
    <w:rsid w:val="00F51645"/>
    <w:rsid w:val="00F52196"/>
    <w:rsid w:val="00F5649F"/>
    <w:rsid w:val="00F57F21"/>
    <w:rsid w:val="00F602EB"/>
    <w:rsid w:val="00F6072B"/>
    <w:rsid w:val="00F60FDF"/>
    <w:rsid w:val="00F6100C"/>
    <w:rsid w:val="00F612BD"/>
    <w:rsid w:val="00F623E1"/>
    <w:rsid w:val="00F63082"/>
    <w:rsid w:val="00F644E3"/>
    <w:rsid w:val="00F64DEC"/>
    <w:rsid w:val="00F64ED3"/>
    <w:rsid w:val="00F64F73"/>
    <w:rsid w:val="00F6617E"/>
    <w:rsid w:val="00F70BB2"/>
    <w:rsid w:val="00F712F8"/>
    <w:rsid w:val="00F71480"/>
    <w:rsid w:val="00F71BA3"/>
    <w:rsid w:val="00F7483E"/>
    <w:rsid w:val="00F773D5"/>
    <w:rsid w:val="00F8061C"/>
    <w:rsid w:val="00F81120"/>
    <w:rsid w:val="00F81A58"/>
    <w:rsid w:val="00F82B12"/>
    <w:rsid w:val="00F83C7D"/>
    <w:rsid w:val="00F83FFA"/>
    <w:rsid w:val="00F84D41"/>
    <w:rsid w:val="00F85849"/>
    <w:rsid w:val="00F864C7"/>
    <w:rsid w:val="00F86E71"/>
    <w:rsid w:val="00F87CA8"/>
    <w:rsid w:val="00F90041"/>
    <w:rsid w:val="00F903A9"/>
    <w:rsid w:val="00F91622"/>
    <w:rsid w:val="00F9270A"/>
    <w:rsid w:val="00F9350F"/>
    <w:rsid w:val="00F939FB"/>
    <w:rsid w:val="00F93EE2"/>
    <w:rsid w:val="00F94753"/>
    <w:rsid w:val="00F9546A"/>
    <w:rsid w:val="00F955CC"/>
    <w:rsid w:val="00F95DFA"/>
    <w:rsid w:val="00F97BB3"/>
    <w:rsid w:val="00FA10F1"/>
    <w:rsid w:val="00FA1157"/>
    <w:rsid w:val="00FA2A4D"/>
    <w:rsid w:val="00FA6855"/>
    <w:rsid w:val="00FA6E19"/>
    <w:rsid w:val="00FB29BA"/>
    <w:rsid w:val="00FB3043"/>
    <w:rsid w:val="00FB48B5"/>
    <w:rsid w:val="00FB583F"/>
    <w:rsid w:val="00FC015B"/>
    <w:rsid w:val="00FC2711"/>
    <w:rsid w:val="00FC273A"/>
    <w:rsid w:val="00FC648B"/>
    <w:rsid w:val="00FC64F9"/>
    <w:rsid w:val="00FD22AB"/>
    <w:rsid w:val="00FD281E"/>
    <w:rsid w:val="00FD57CF"/>
    <w:rsid w:val="00FD6947"/>
    <w:rsid w:val="00FE149C"/>
    <w:rsid w:val="00FE1C38"/>
    <w:rsid w:val="00FE3D0C"/>
    <w:rsid w:val="00FE561A"/>
    <w:rsid w:val="00FF057E"/>
    <w:rsid w:val="00FF058D"/>
    <w:rsid w:val="00FF4600"/>
    <w:rsid w:val="00FF4994"/>
    <w:rsid w:val="00FF53C3"/>
    <w:rsid w:val="00FF5BBE"/>
    <w:rsid w:val="00FF6AAD"/>
    <w:rsid w:val="00FF7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A656FE"/>
    <w:rPr>
      <w:sz w:val="16"/>
      <w:szCs w:val="16"/>
    </w:rPr>
  </w:style>
  <w:style w:type="paragraph" w:styleId="CommentText">
    <w:name w:val="annotation text"/>
    <w:basedOn w:val="Normal"/>
    <w:link w:val="CommentTextChar"/>
    <w:uiPriority w:val="99"/>
    <w:unhideWhenUsed/>
    <w:rsid w:val="00A656FE"/>
    <w:rPr>
      <w:sz w:val="20"/>
      <w:szCs w:val="20"/>
    </w:rPr>
  </w:style>
  <w:style w:type="character" w:customStyle="1" w:styleId="CommentTextChar">
    <w:name w:val="Comment Text Char"/>
    <w:basedOn w:val="DefaultParagraphFont"/>
    <w:link w:val="CommentText"/>
    <w:uiPriority w:val="99"/>
    <w:rsid w:val="00A656F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656FE"/>
    <w:rPr>
      <w:b/>
      <w:bCs/>
    </w:rPr>
  </w:style>
  <w:style w:type="character" w:customStyle="1" w:styleId="CommentSubjectChar">
    <w:name w:val="Comment Subject Char"/>
    <w:basedOn w:val="CommentTextChar"/>
    <w:link w:val="CommentSubject"/>
    <w:uiPriority w:val="99"/>
    <w:semiHidden/>
    <w:rsid w:val="00A656FE"/>
    <w:rPr>
      <w:rFonts w:eastAsia="Times New Roman" w:cs="Times New Roman"/>
      <w:b/>
      <w:bCs/>
      <w:sz w:val="20"/>
      <w:szCs w:val="20"/>
      <w:lang w:val="lv-LV" w:eastAsia="ru-RU"/>
    </w:rPr>
  </w:style>
  <w:style w:type="paragraph" w:customStyle="1" w:styleId="tv213">
    <w:name w:val="tv213"/>
    <w:basedOn w:val="Normal"/>
    <w:rsid w:val="00992963"/>
    <w:pPr>
      <w:spacing w:before="100" w:beforeAutospacing="1" w:after="100" w:afterAutospacing="1"/>
    </w:pPr>
    <w:rPr>
      <w:lang w:eastAsia="lv-LV"/>
    </w:rPr>
  </w:style>
  <w:style w:type="character" w:styleId="Hyperlink">
    <w:name w:val="Hyperlink"/>
    <w:basedOn w:val="DefaultParagraphFont"/>
    <w:uiPriority w:val="99"/>
    <w:unhideWhenUsed/>
    <w:rsid w:val="00E75DB0"/>
    <w:rPr>
      <w:color w:val="0563C1" w:themeColor="hyperlink"/>
      <w:u w:val="single"/>
    </w:rPr>
  </w:style>
  <w:style w:type="character" w:styleId="UnresolvedMention">
    <w:name w:val="Unresolved Mention"/>
    <w:basedOn w:val="DefaultParagraphFont"/>
    <w:uiPriority w:val="99"/>
    <w:semiHidden/>
    <w:unhideWhenUsed/>
    <w:rsid w:val="00E75DB0"/>
    <w:rPr>
      <w:color w:val="605E5C"/>
      <w:shd w:val="clear" w:color="auto" w:fill="E1DFDD"/>
    </w:rPr>
  </w:style>
  <w:style w:type="paragraph" w:styleId="NoSpacing">
    <w:name w:val="No Spacing"/>
    <w:uiPriority w:val="1"/>
    <w:qFormat/>
    <w:rsid w:val="00E75DB0"/>
    <w:pPr>
      <w:spacing w:after="0" w:line="240" w:lineRule="auto"/>
    </w:pPr>
    <w:rPr>
      <w:lang w:val="lv-LV"/>
    </w:rPr>
  </w:style>
  <w:style w:type="character" w:styleId="FootnoteReference">
    <w:name w:val="footnote reference"/>
    <w:aliases w:val="Footnote Reference Number,Footnote symbol"/>
    <w:basedOn w:val="DefaultParagraphFont"/>
    <w:uiPriority w:val="99"/>
    <w:semiHidden/>
    <w:unhideWhenUsed/>
    <w:rsid w:val="005A4215"/>
    <w:rPr>
      <w:rFonts w:ascii="Times New Roman" w:hAnsi="Times New Roman" w:cs="Times New Roman" w:hint="default"/>
      <w:vertAlign w:val="superscript"/>
    </w:rPr>
  </w:style>
  <w:style w:type="paragraph" w:styleId="Header">
    <w:name w:val="header"/>
    <w:basedOn w:val="Normal"/>
    <w:link w:val="HeaderChar"/>
    <w:uiPriority w:val="99"/>
    <w:unhideWhenUsed/>
    <w:rsid w:val="00806F18"/>
    <w:pPr>
      <w:tabs>
        <w:tab w:val="center" w:pos="4153"/>
        <w:tab w:val="right" w:pos="8306"/>
      </w:tabs>
    </w:pPr>
  </w:style>
  <w:style w:type="character" w:customStyle="1" w:styleId="HeaderChar">
    <w:name w:val="Header Char"/>
    <w:basedOn w:val="DefaultParagraphFont"/>
    <w:link w:val="Header"/>
    <w:uiPriority w:val="99"/>
    <w:rsid w:val="00806F18"/>
    <w:rPr>
      <w:rFonts w:eastAsia="Times New Roman" w:cs="Times New Roman"/>
      <w:szCs w:val="24"/>
      <w:lang w:val="lv-LV" w:eastAsia="ru-RU"/>
    </w:rPr>
  </w:style>
  <w:style w:type="paragraph" w:styleId="Footer">
    <w:name w:val="footer"/>
    <w:basedOn w:val="Normal"/>
    <w:link w:val="FooterChar"/>
    <w:uiPriority w:val="99"/>
    <w:unhideWhenUsed/>
    <w:rsid w:val="00806F18"/>
    <w:pPr>
      <w:tabs>
        <w:tab w:val="center" w:pos="4153"/>
        <w:tab w:val="right" w:pos="8306"/>
      </w:tabs>
    </w:pPr>
  </w:style>
  <w:style w:type="character" w:customStyle="1" w:styleId="FooterChar">
    <w:name w:val="Footer Char"/>
    <w:basedOn w:val="DefaultParagraphFont"/>
    <w:link w:val="Footer"/>
    <w:uiPriority w:val="99"/>
    <w:rsid w:val="00806F18"/>
    <w:rPr>
      <w:rFonts w:eastAsia="Times New Roman" w:cs="Times New Roman"/>
      <w:szCs w:val="24"/>
      <w:lang w:val="lv-LV" w:eastAsia="ru-RU"/>
    </w:rPr>
  </w:style>
  <w:style w:type="paragraph" w:styleId="Revision">
    <w:name w:val="Revision"/>
    <w:hidden/>
    <w:uiPriority w:val="99"/>
    <w:semiHidden/>
    <w:rsid w:val="002E19C3"/>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B76444"/>
    <w:rPr>
      <w:color w:val="954F72" w:themeColor="followedHyperlink"/>
      <w:u w:val="single"/>
    </w:rPr>
  </w:style>
  <w:style w:type="paragraph" w:styleId="ListParagraph">
    <w:name w:val="List Paragraph"/>
    <w:basedOn w:val="Normal"/>
    <w:uiPriority w:val="34"/>
    <w:qFormat/>
    <w:rsid w:val="005D6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2141ad1-4317-4de5-8275-905e755527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86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08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t.gov.lv/files/uploads/files/2_Par_Augstako_tiesu/Plenums/1997-Nr.5-Ieroci.docx" TargetMode="External"/><Relationship Id="rId4" Type="http://schemas.openxmlformats.org/officeDocument/2006/relationships/settings" Target="settings.xml"/><Relationship Id="rId9" Type="http://schemas.openxmlformats.org/officeDocument/2006/relationships/hyperlink" Target="https://www.at.gov.lv/downloadlawfile/36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A03BB-F71B-453B-A1B3-49C8E675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12930</Words>
  <Characters>7371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2025-11-14T06:37:00Z</dcterms:created>
  <dcterms:modified xsi:type="dcterms:W3CDTF">2025-11-27T12:43:00Z</dcterms:modified>
</cp:coreProperties>
</file>