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B529A" w14:textId="77777777" w:rsidR="00263D01" w:rsidRPr="00263D01" w:rsidRDefault="00263D01" w:rsidP="00263D01">
      <w:pPr>
        <w:spacing w:line="276" w:lineRule="auto"/>
        <w:jc w:val="both"/>
        <w:rPr>
          <w:b/>
          <w:bCs/>
          <w:lang w:eastAsia="lv-LV"/>
        </w:rPr>
      </w:pPr>
      <w:r w:rsidRPr="00263D01">
        <w:rPr>
          <w:b/>
          <w:bCs/>
          <w:lang w:eastAsia="lv-LV"/>
        </w:rPr>
        <w:t xml:space="preserve">Tiesa, pārbaudot pārsūdzētā lēmuma tiesiskumu, nav tiesīga mainīt administratīvajā aktā norādīto iestādes pamatojumu </w:t>
      </w:r>
    </w:p>
    <w:p w14:paraId="073DEDF0" w14:textId="23883CCB" w:rsidR="008D30F1" w:rsidRPr="00E71F04" w:rsidRDefault="008D30F1" w:rsidP="001724BE">
      <w:pPr>
        <w:spacing w:line="276" w:lineRule="auto"/>
        <w:jc w:val="center"/>
        <w:rPr>
          <w:lang w:eastAsia="lv-LV"/>
        </w:rPr>
      </w:pPr>
    </w:p>
    <w:p w14:paraId="645338F4" w14:textId="3FEE9FDF" w:rsidR="00447EE6" w:rsidRPr="00F47D19" w:rsidRDefault="00447EE6" w:rsidP="008D30F1">
      <w:pPr>
        <w:spacing w:line="276" w:lineRule="auto"/>
        <w:jc w:val="center"/>
        <w:rPr>
          <w:b/>
          <w:bCs/>
        </w:rPr>
      </w:pPr>
      <w:r w:rsidRPr="00F47D19">
        <w:rPr>
          <w:b/>
          <w:bCs/>
        </w:rPr>
        <w:t>Latvijas Republikas Senāt</w:t>
      </w:r>
      <w:r w:rsidR="00263D01">
        <w:rPr>
          <w:b/>
          <w:bCs/>
        </w:rPr>
        <w:t>a</w:t>
      </w:r>
    </w:p>
    <w:p w14:paraId="17120704" w14:textId="0ECD698F" w:rsidR="00263D01" w:rsidRDefault="00263D01" w:rsidP="008D30F1">
      <w:pPr>
        <w:spacing w:line="276" w:lineRule="auto"/>
        <w:jc w:val="center"/>
        <w:rPr>
          <w:b/>
          <w:bCs/>
        </w:rPr>
      </w:pPr>
      <w:r w:rsidRPr="00263D01">
        <w:rPr>
          <w:b/>
          <w:bCs/>
        </w:rPr>
        <w:t>Administratīvo lietu departament</w:t>
      </w:r>
      <w:r>
        <w:rPr>
          <w:b/>
          <w:bCs/>
        </w:rPr>
        <w:t>a</w:t>
      </w:r>
    </w:p>
    <w:p w14:paraId="35BD930F" w14:textId="009B34B7" w:rsidR="00263D01" w:rsidRPr="00263D01" w:rsidRDefault="00263D01" w:rsidP="00263D01">
      <w:pPr>
        <w:spacing w:line="276" w:lineRule="auto"/>
        <w:jc w:val="center"/>
        <w:rPr>
          <w:b/>
          <w:bCs/>
        </w:rPr>
      </w:pPr>
      <w:proofErr w:type="gramStart"/>
      <w:r w:rsidRPr="00263D01">
        <w:rPr>
          <w:b/>
          <w:bCs/>
        </w:rPr>
        <w:t>2025.gada</w:t>
      </w:r>
      <w:proofErr w:type="gramEnd"/>
      <w:r w:rsidRPr="00263D01">
        <w:rPr>
          <w:b/>
          <w:bCs/>
        </w:rPr>
        <w:t xml:space="preserve"> 27.oktobr</w:t>
      </w:r>
      <w:r>
        <w:rPr>
          <w:b/>
          <w:bCs/>
        </w:rPr>
        <w:t>a</w:t>
      </w:r>
    </w:p>
    <w:p w14:paraId="67BCDFC6" w14:textId="79573B42" w:rsidR="00447EE6" w:rsidRPr="00F47D19" w:rsidRDefault="00793346" w:rsidP="008D30F1">
      <w:pPr>
        <w:spacing w:line="276" w:lineRule="auto"/>
        <w:jc w:val="center"/>
        <w:rPr>
          <w:b/>
          <w:bCs/>
        </w:rPr>
      </w:pPr>
      <w:r w:rsidRPr="00F47D19">
        <w:rPr>
          <w:b/>
          <w:bCs/>
        </w:rPr>
        <w:t>SPRIEDUMS</w:t>
      </w:r>
    </w:p>
    <w:p w14:paraId="4AF555FC" w14:textId="05F85958" w:rsidR="00793346" w:rsidRPr="00263D01" w:rsidRDefault="00263D01" w:rsidP="00263D01">
      <w:pPr>
        <w:spacing w:line="276" w:lineRule="auto"/>
        <w:jc w:val="center"/>
        <w:rPr>
          <w:b/>
          <w:bCs/>
        </w:rPr>
      </w:pPr>
      <w:r w:rsidRPr="00263D01">
        <w:rPr>
          <w:b/>
          <w:bCs/>
        </w:rPr>
        <w:t>Lieta Nr. A420150922, SKA</w:t>
      </w:r>
      <w:r w:rsidRPr="00263D01">
        <w:rPr>
          <w:b/>
          <w:bCs/>
        </w:rPr>
        <w:t>-</w:t>
      </w:r>
      <w:r w:rsidRPr="00263D01">
        <w:rPr>
          <w:b/>
          <w:bCs/>
        </w:rPr>
        <w:t>566/2025</w:t>
      </w:r>
    </w:p>
    <w:p w14:paraId="2077060B" w14:textId="743C95DF" w:rsidR="00263D01" w:rsidRDefault="00263D01" w:rsidP="00263D01">
      <w:pPr>
        <w:spacing w:line="276" w:lineRule="auto"/>
        <w:jc w:val="center"/>
      </w:pPr>
      <w:hyperlink r:id="rId8" w:history="1">
        <w:r w:rsidRPr="00263D01">
          <w:rPr>
            <w:rStyle w:val="Hyperlink"/>
          </w:rPr>
          <w:t>ECLI:LV:AT:2025:1027.A420150922.16.S</w:t>
        </w:r>
      </w:hyperlink>
    </w:p>
    <w:p w14:paraId="38F07E29" w14:textId="77777777" w:rsidR="00263D01" w:rsidRPr="00E71F04" w:rsidRDefault="00263D01" w:rsidP="00263D01">
      <w:pPr>
        <w:spacing w:line="276" w:lineRule="auto"/>
        <w:jc w:val="center"/>
      </w:pPr>
    </w:p>
    <w:p w14:paraId="66FF52C5" w14:textId="2E26EFD6" w:rsidR="00793346" w:rsidRPr="00E71F04" w:rsidRDefault="00447EE6" w:rsidP="008D30F1">
      <w:pPr>
        <w:spacing w:line="276" w:lineRule="auto"/>
        <w:ind w:firstLine="720"/>
        <w:jc w:val="both"/>
      </w:pPr>
      <w:r w:rsidRPr="00E71F04">
        <w:t>Senāts šādā sastāvā:</w:t>
      </w:r>
      <w:r w:rsidR="00793346" w:rsidRPr="00E71F04">
        <w:t xml:space="preserve"> senator</w:t>
      </w:r>
      <w:r w:rsidR="00FF0AAC" w:rsidRPr="00E71F04">
        <w:t>s</w:t>
      </w:r>
      <w:r w:rsidR="00793346" w:rsidRPr="00E71F04">
        <w:t xml:space="preserve"> referent</w:t>
      </w:r>
      <w:r w:rsidR="00FF0AAC" w:rsidRPr="00E71F04">
        <w:t>s</w:t>
      </w:r>
      <w:r w:rsidR="00793346" w:rsidRPr="00E71F04">
        <w:t xml:space="preserve"> </w:t>
      </w:r>
      <w:r w:rsidR="00FF0AAC" w:rsidRPr="00E71F04">
        <w:t>Ermīns Darapoļskis</w:t>
      </w:r>
      <w:r w:rsidR="00793346" w:rsidRPr="00E71F04">
        <w:t>, senatore</w:t>
      </w:r>
      <w:r w:rsidR="00FF0AAC" w:rsidRPr="00E71F04">
        <w:t xml:space="preserve">s </w:t>
      </w:r>
      <w:r w:rsidR="00597D1B">
        <w:t xml:space="preserve">Indra Meldere </w:t>
      </w:r>
      <w:r w:rsidR="00FF0AAC" w:rsidRPr="00E71F04">
        <w:t xml:space="preserve">un </w:t>
      </w:r>
      <w:r w:rsidR="00597D1B">
        <w:t>Rudīte Vīduša</w:t>
      </w:r>
      <w:r w:rsidR="00793346" w:rsidRPr="00E71F04">
        <w:t xml:space="preserve"> </w:t>
      </w:r>
    </w:p>
    <w:p w14:paraId="12EEC9B3" w14:textId="66ABBC6F" w:rsidR="00447EE6" w:rsidRPr="00E71F04" w:rsidRDefault="00447EE6" w:rsidP="005556B3">
      <w:pPr>
        <w:spacing w:line="276" w:lineRule="auto"/>
        <w:ind w:firstLine="720"/>
        <w:jc w:val="both"/>
        <w:rPr>
          <w:lang w:eastAsia="lv-LV"/>
        </w:rPr>
      </w:pPr>
    </w:p>
    <w:p w14:paraId="224AF355" w14:textId="0E2863F4" w:rsidR="000B3B71" w:rsidRPr="00E71F04" w:rsidRDefault="00793346" w:rsidP="00232C77">
      <w:pPr>
        <w:spacing w:line="276" w:lineRule="auto"/>
        <w:ind w:firstLine="720"/>
        <w:jc w:val="both"/>
      </w:pPr>
      <w:r w:rsidRPr="00E71F04">
        <w:t xml:space="preserve">rakstveida procesā izskatīja </w:t>
      </w:r>
      <w:r w:rsidRPr="00232C77">
        <w:t xml:space="preserve">administratīvo lietu, kas ierosināta, pamatojoties uz </w:t>
      </w:r>
      <w:r w:rsidR="00232C77" w:rsidRPr="00232C77">
        <w:t>sabiedrības ar ierobežotu atbildību „</w:t>
      </w:r>
      <w:proofErr w:type="spellStart"/>
      <w:r w:rsidR="00597D1B" w:rsidRPr="00232C77">
        <w:t>Baltic</w:t>
      </w:r>
      <w:proofErr w:type="spellEnd"/>
      <w:r w:rsidR="00597D1B" w:rsidRPr="00232C77">
        <w:t xml:space="preserve"> granulas</w:t>
      </w:r>
      <w:r w:rsidR="00232C77" w:rsidRPr="00232C77">
        <w:t>”</w:t>
      </w:r>
      <w:r w:rsidR="008963DF" w:rsidRPr="00232C77">
        <w:t xml:space="preserve"> pieteikumu </w:t>
      </w:r>
      <w:r w:rsidR="008963DF" w:rsidRPr="008963DF">
        <w:t xml:space="preserve">par </w:t>
      </w:r>
      <w:r w:rsidR="00597D1B">
        <w:t xml:space="preserve">Valsts ieņēmumu dienesta </w:t>
      </w:r>
      <w:proofErr w:type="gramStart"/>
      <w:r w:rsidR="00232C77" w:rsidRPr="00232C77">
        <w:t>2021.gada</w:t>
      </w:r>
      <w:proofErr w:type="gramEnd"/>
      <w:r w:rsidR="00232C77">
        <w:t xml:space="preserve"> </w:t>
      </w:r>
      <w:r w:rsidR="00232C77" w:rsidRPr="00232C77">
        <w:t>22.decembra lēmuma Nr.</w:t>
      </w:r>
      <w:r w:rsidR="00232C77">
        <w:t> </w:t>
      </w:r>
      <w:r w:rsidR="00232C77" w:rsidRPr="00232C77">
        <w:t>30.2-22.8/22.8/11249 atcelšanu daļā</w:t>
      </w:r>
      <w:r w:rsidRPr="00E71F04">
        <w:t xml:space="preserve">, sakarā ar </w:t>
      </w:r>
      <w:r w:rsidR="00232C77" w:rsidRPr="00232C77">
        <w:t>sabiedrības ar ierobežotu atbildību „</w:t>
      </w:r>
      <w:proofErr w:type="spellStart"/>
      <w:r w:rsidR="00232C77" w:rsidRPr="00232C77">
        <w:t>Baltic</w:t>
      </w:r>
      <w:proofErr w:type="spellEnd"/>
      <w:r w:rsidR="00232C77" w:rsidRPr="00232C77">
        <w:t xml:space="preserve"> granulas”</w:t>
      </w:r>
      <w:r w:rsidR="00232C77">
        <w:t xml:space="preserve"> </w:t>
      </w:r>
      <w:r w:rsidRPr="00E71F04">
        <w:t xml:space="preserve">kasācijas sūdzību par Administratīvās </w:t>
      </w:r>
      <w:r w:rsidR="008963DF">
        <w:t>apgabal</w:t>
      </w:r>
      <w:r w:rsidRPr="00E71F04">
        <w:t>tiesas 202</w:t>
      </w:r>
      <w:r w:rsidR="00597D1B">
        <w:t>5</w:t>
      </w:r>
      <w:r w:rsidRPr="00E71F04">
        <w:t>.</w:t>
      </w:r>
      <w:r w:rsidRPr="00232C77">
        <w:t xml:space="preserve">gada </w:t>
      </w:r>
      <w:r w:rsidR="00232C77" w:rsidRPr="00232C77">
        <w:t>2</w:t>
      </w:r>
      <w:r w:rsidR="008963DF" w:rsidRPr="00232C77">
        <w:t>7.februāra</w:t>
      </w:r>
      <w:r w:rsidRPr="00232C77">
        <w:t xml:space="preserve"> spriedumu</w:t>
      </w:r>
      <w:r w:rsidRPr="00E71F04">
        <w:t>.</w:t>
      </w:r>
    </w:p>
    <w:p w14:paraId="772D74D3" w14:textId="77777777" w:rsidR="009E5F77" w:rsidRPr="00E71F04" w:rsidRDefault="009E5F77" w:rsidP="009E5F77">
      <w:pPr>
        <w:spacing w:line="276" w:lineRule="auto"/>
        <w:ind w:firstLine="720"/>
        <w:jc w:val="both"/>
      </w:pPr>
    </w:p>
    <w:p w14:paraId="0AD60069" w14:textId="77777777" w:rsidR="008F79A9" w:rsidRPr="00F47D19" w:rsidRDefault="008F79A9" w:rsidP="009E5F77">
      <w:pPr>
        <w:spacing w:line="276" w:lineRule="auto"/>
        <w:jc w:val="center"/>
        <w:rPr>
          <w:b/>
          <w:bCs/>
          <w:shd w:val="clear" w:color="auto" w:fill="FFFFFF"/>
        </w:rPr>
      </w:pPr>
      <w:r w:rsidRPr="00F47D19">
        <w:rPr>
          <w:b/>
          <w:bCs/>
          <w:shd w:val="clear" w:color="auto" w:fill="FFFFFF"/>
        </w:rPr>
        <w:t>Aprakstošā</w:t>
      </w:r>
      <w:r w:rsidRPr="00F47D19">
        <w:rPr>
          <w:b/>
          <w:bCs/>
          <w:noProof/>
        </w:rPr>
        <w:t xml:space="preserve"> </w:t>
      </w:r>
      <w:r w:rsidRPr="00F47D19">
        <w:rPr>
          <w:b/>
          <w:bCs/>
          <w:shd w:val="clear" w:color="auto" w:fill="FFFFFF"/>
        </w:rPr>
        <w:t>daļa</w:t>
      </w:r>
    </w:p>
    <w:p w14:paraId="30471F53" w14:textId="77777777" w:rsidR="009E5F77" w:rsidRPr="00E71F04" w:rsidRDefault="009E5F77" w:rsidP="009E5F77">
      <w:pPr>
        <w:spacing w:line="276" w:lineRule="auto"/>
        <w:jc w:val="center"/>
        <w:rPr>
          <w:noProof/>
        </w:rPr>
      </w:pPr>
    </w:p>
    <w:p w14:paraId="27062A78" w14:textId="6BE64617" w:rsidR="00232C77" w:rsidRPr="002B439F" w:rsidRDefault="00447EE6" w:rsidP="00E7670E">
      <w:pPr>
        <w:spacing w:line="276" w:lineRule="auto"/>
        <w:ind w:firstLine="709"/>
        <w:jc w:val="both"/>
      </w:pPr>
      <w:r w:rsidRPr="00E71F04">
        <w:rPr>
          <w:shd w:val="clear" w:color="auto" w:fill="FFFFFF"/>
        </w:rPr>
        <w:t>[</w:t>
      </w:r>
      <w:r w:rsidRPr="00445925">
        <w:rPr>
          <w:shd w:val="clear" w:color="auto" w:fill="FFFFFF"/>
        </w:rPr>
        <w:t>1]</w:t>
      </w:r>
      <w:r w:rsidR="00037A32" w:rsidRPr="00445925">
        <w:t> </w:t>
      </w:r>
      <w:r w:rsidR="00232C77" w:rsidRPr="003F0D9C">
        <w:t xml:space="preserve">Pieteicēja </w:t>
      </w:r>
      <w:r w:rsidR="00232C77" w:rsidRPr="00232C77">
        <w:t>sabiedrība</w:t>
      </w:r>
      <w:r w:rsidR="00232C77">
        <w:t xml:space="preserve"> </w:t>
      </w:r>
      <w:r w:rsidR="00232C77" w:rsidRPr="00232C77">
        <w:t>ar ierobežotu atbildību „</w:t>
      </w:r>
      <w:proofErr w:type="spellStart"/>
      <w:r w:rsidR="00232C77" w:rsidRPr="00232C77">
        <w:t>Baltic</w:t>
      </w:r>
      <w:proofErr w:type="spellEnd"/>
      <w:r w:rsidR="00232C77" w:rsidRPr="00232C77">
        <w:t xml:space="preserve"> granulas”</w:t>
      </w:r>
      <w:r w:rsidR="00232C77">
        <w:t xml:space="preserve"> </w:t>
      </w:r>
      <w:proofErr w:type="gramStart"/>
      <w:r w:rsidR="00232C77" w:rsidRPr="003F0D9C">
        <w:t>2018.gada</w:t>
      </w:r>
      <w:proofErr w:type="gramEnd"/>
      <w:r w:rsidR="00232C77" w:rsidRPr="003F0D9C">
        <w:t xml:space="preserve"> jūlijā-decembrī </w:t>
      </w:r>
      <w:r w:rsidR="00E7670E" w:rsidRPr="00E7670E">
        <w:t>no Lietuvas</w:t>
      </w:r>
      <w:r w:rsidR="00E7670E">
        <w:t xml:space="preserve"> uzņēmumiem</w:t>
      </w:r>
      <w:r w:rsidR="00E7670E" w:rsidRPr="00E7670E">
        <w:t xml:space="preserve"> </w:t>
      </w:r>
      <w:r w:rsidR="00E7670E" w:rsidRPr="00E7670E">
        <w:rPr>
          <w:i/>
          <w:iCs/>
        </w:rPr>
        <w:t>UAB</w:t>
      </w:r>
      <w:r w:rsidR="00E7670E">
        <w:rPr>
          <w:i/>
          <w:iCs/>
        </w:rPr>
        <w:t> </w:t>
      </w:r>
      <w:r w:rsidR="00E7670E" w:rsidRPr="00E7670E">
        <w:rPr>
          <w:i/>
          <w:iCs/>
        </w:rPr>
        <w:t xml:space="preserve">ŠILALES MEDIENA </w:t>
      </w:r>
      <w:r w:rsidR="00E7670E" w:rsidRPr="00E7670E">
        <w:t xml:space="preserve">un </w:t>
      </w:r>
      <w:r w:rsidR="00E7670E" w:rsidRPr="00E7670E">
        <w:rPr>
          <w:i/>
          <w:iCs/>
        </w:rPr>
        <w:t>UAB</w:t>
      </w:r>
      <w:r w:rsidR="00E7670E">
        <w:rPr>
          <w:i/>
          <w:iCs/>
        </w:rPr>
        <w:t> </w:t>
      </w:r>
      <w:r w:rsidR="00E7670E" w:rsidRPr="00E7670E">
        <w:rPr>
          <w:i/>
          <w:iCs/>
        </w:rPr>
        <w:t>EUROVESTA</w:t>
      </w:r>
      <w:r w:rsidR="00E7670E">
        <w:rPr>
          <w:i/>
          <w:iCs/>
        </w:rPr>
        <w:t xml:space="preserve"> </w:t>
      </w:r>
      <w:r w:rsidR="00E7670E" w:rsidRPr="00E7670E">
        <w:t>iegādājās</w:t>
      </w:r>
      <w:r w:rsidR="00E7670E" w:rsidRPr="00E7670E">
        <w:rPr>
          <w:i/>
          <w:iCs/>
        </w:rPr>
        <w:t xml:space="preserve"> </w:t>
      </w:r>
      <w:r w:rsidR="00E7670E" w:rsidRPr="00E7670E">
        <w:t>kokskaidu granulas, kuras no</w:t>
      </w:r>
      <w:r w:rsidR="00E7670E">
        <w:t xml:space="preserve"> </w:t>
      </w:r>
      <w:r w:rsidR="00E7670E" w:rsidRPr="00E7670E">
        <w:t>Lietuvas transportētas uz Itāliju to gala saņēmējiem</w:t>
      </w:r>
      <w:r w:rsidR="00E7670E">
        <w:t xml:space="preserve"> – Itālijā reģistrētajiem uzņēmumiem </w:t>
      </w:r>
      <w:r w:rsidR="00E7670E" w:rsidRPr="00E7670E">
        <w:rPr>
          <w:i/>
          <w:iCs/>
        </w:rPr>
        <w:t>NB</w:t>
      </w:r>
      <w:r w:rsidR="00E7670E">
        <w:rPr>
          <w:i/>
          <w:iCs/>
        </w:rPr>
        <w:t> </w:t>
      </w:r>
      <w:r w:rsidR="00E7670E" w:rsidRPr="00E7670E">
        <w:rPr>
          <w:i/>
          <w:iCs/>
        </w:rPr>
        <w:t>TRADESRLS</w:t>
      </w:r>
      <w:r w:rsidR="00E7670E" w:rsidRPr="00E7670E">
        <w:t xml:space="preserve">, </w:t>
      </w:r>
      <w:r w:rsidR="00E7670E" w:rsidRPr="00E7670E">
        <w:rPr>
          <w:i/>
          <w:iCs/>
        </w:rPr>
        <w:t>ARENA VINCENZO</w:t>
      </w:r>
      <w:r w:rsidR="00E7670E" w:rsidRPr="00E7670E">
        <w:t xml:space="preserve">, </w:t>
      </w:r>
      <w:r w:rsidR="00E7670E" w:rsidRPr="00E7670E">
        <w:rPr>
          <w:i/>
          <w:iCs/>
        </w:rPr>
        <w:t xml:space="preserve">FORGIONE LEGNO S.R.L. </w:t>
      </w:r>
      <w:r w:rsidR="00E7670E" w:rsidRPr="00E7670E">
        <w:t xml:space="preserve">un </w:t>
      </w:r>
      <w:r w:rsidR="00E7670E" w:rsidRPr="00E7670E">
        <w:rPr>
          <w:i/>
          <w:iCs/>
        </w:rPr>
        <w:t>M.M. DISTRIBUZIONI DI MALLOMASSIMILIANO</w:t>
      </w:r>
      <w:r w:rsidR="00E7670E">
        <w:t xml:space="preserve"> (turpmāk – Itālijas uzņēmumi). D</w:t>
      </w:r>
      <w:r w:rsidR="00232C77" w:rsidRPr="002B439F">
        <w:t>arījum</w:t>
      </w:r>
      <w:r w:rsidR="005766BD">
        <w:t>us</w:t>
      </w:r>
      <w:r w:rsidR="00E7670E">
        <w:t xml:space="preserve"> </w:t>
      </w:r>
      <w:r w:rsidR="00232C77" w:rsidRPr="002B439F">
        <w:t>ar Itālij</w:t>
      </w:r>
      <w:r w:rsidR="00E7670E">
        <w:t xml:space="preserve">as </w:t>
      </w:r>
      <w:r w:rsidR="00232C77" w:rsidRPr="002B439F">
        <w:t>uzņēmumiem</w:t>
      </w:r>
      <w:r w:rsidR="005766BD">
        <w:t xml:space="preserve"> pieteicēja</w:t>
      </w:r>
      <w:r w:rsidR="00232C77" w:rsidRPr="002B439F">
        <w:t xml:space="preserve"> </w:t>
      </w:r>
      <w:r w:rsidR="00E7670E">
        <w:t>deklarē</w:t>
      </w:r>
      <w:r w:rsidR="005766BD">
        <w:t>jusi</w:t>
      </w:r>
      <w:r w:rsidR="00232C77" w:rsidRPr="002B439F">
        <w:t>, piemērojot pievienotās vērtības nodokļa 0</w:t>
      </w:r>
      <w:r w:rsidR="00EC08E6">
        <w:t> </w:t>
      </w:r>
      <w:r w:rsidR="00232C77" w:rsidRPr="002B439F">
        <w:t>procentu likmi.</w:t>
      </w:r>
    </w:p>
    <w:p w14:paraId="15784048" w14:textId="3782A9B4" w:rsidR="00F02DF7" w:rsidRDefault="00FC04A9" w:rsidP="00391A90">
      <w:pPr>
        <w:spacing w:line="276" w:lineRule="auto"/>
        <w:ind w:firstLine="709"/>
        <w:jc w:val="both"/>
      </w:pPr>
      <w:r w:rsidRPr="002B439F">
        <w:t>Valsts ieņēmumu dienests</w:t>
      </w:r>
      <w:r w:rsidR="00E7670E">
        <w:t xml:space="preserve"> (turpmāk – dienests)</w:t>
      </w:r>
      <w:r w:rsidRPr="002B439F">
        <w:t xml:space="preserve"> veica pieteicējai pievienotās vērtības nodokļa</w:t>
      </w:r>
      <w:r w:rsidR="002B439F" w:rsidRPr="002B439F">
        <w:t xml:space="preserve"> un uzņēmumu ienākuma nodokļa</w:t>
      </w:r>
      <w:r w:rsidRPr="002B439F">
        <w:t xml:space="preserve"> auditu par </w:t>
      </w:r>
      <w:r w:rsidR="00EC08E6">
        <w:t xml:space="preserve">laika periodu no </w:t>
      </w:r>
      <w:proofErr w:type="gramStart"/>
      <w:r w:rsidR="002B439F" w:rsidRPr="002B439F">
        <w:t>2018.gada</w:t>
      </w:r>
      <w:proofErr w:type="gramEnd"/>
      <w:r w:rsidR="002B439F" w:rsidRPr="002B439F">
        <w:t xml:space="preserve"> 1.jūlij</w:t>
      </w:r>
      <w:r w:rsidR="00EC08E6">
        <w:t>a</w:t>
      </w:r>
      <w:r w:rsidR="00166857">
        <w:t xml:space="preserve"> līdz </w:t>
      </w:r>
      <w:r w:rsidR="00CF0D76">
        <w:t>2</w:t>
      </w:r>
      <w:r w:rsidR="002B439F" w:rsidRPr="002B439F">
        <w:t>018.gada 31.decembri</w:t>
      </w:r>
      <w:r w:rsidR="00EC08E6">
        <w:t>m</w:t>
      </w:r>
      <w:r w:rsidRPr="002B439F">
        <w:t>. Auditā secināts, ka</w:t>
      </w:r>
      <w:r w:rsidR="002B439F" w:rsidRPr="002B439F">
        <w:t xml:space="preserve"> Itālijas uzņēmumi ar nodokļu administrāciju nesadarbojas, </w:t>
      </w:r>
      <w:r w:rsidR="00391A90">
        <w:t xml:space="preserve">strīdus </w:t>
      </w:r>
      <w:r w:rsidR="002B439F" w:rsidRPr="002B439F">
        <w:t>darījum</w:t>
      </w:r>
      <w:r w:rsidR="00391A90">
        <w:t>i</w:t>
      </w:r>
      <w:r w:rsidR="002B439F" w:rsidRPr="002B439F">
        <w:t xml:space="preserve"> ar pieteicēju nav deklarē</w:t>
      </w:r>
      <w:r w:rsidR="00391A90">
        <w:t xml:space="preserve">juši un </w:t>
      </w:r>
      <w:r w:rsidR="002B439F" w:rsidRPr="002B439F">
        <w:t xml:space="preserve">nodoklis par </w:t>
      </w:r>
      <w:r w:rsidR="00391A90">
        <w:t>tiem</w:t>
      </w:r>
      <w:r w:rsidR="002B439F" w:rsidRPr="002B439F">
        <w:t xml:space="preserve"> nav samaksā</w:t>
      </w:r>
      <w:r w:rsidR="00391A90">
        <w:t>juši</w:t>
      </w:r>
      <w:r w:rsidR="002B439F" w:rsidRPr="002B439F">
        <w:t xml:space="preserve">, tāpēc </w:t>
      </w:r>
      <w:r w:rsidRPr="002B439F">
        <w:t>par</w:t>
      </w:r>
      <w:r w:rsidR="00DA23B2">
        <w:t xml:space="preserve"> strīdus</w:t>
      </w:r>
      <w:r w:rsidRPr="002B439F">
        <w:t xml:space="preserve"> preču piegādes darījum</w:t>
      </w:r>
      <w:r w:rsidR="002B439F" w:rsidRPr="002B439F">
        <w:t>iem</w:t>
      </w:r>
      <w:r w:rsidRPr="002B439F">
        <w:t xml:space="preserve"> pieteicēja nebija tiesīga</w:t>
      </w:r>
      <w:proofErr w:type="gramStart"/>
      <w:r w:rsidRPr="002B439F">
        <w:t xml:space="preserve"> piemērot</w:t>
      </w:r>
      <w:r w:rsidR="00EC08E6">
        <w:t xml:space="preserve"> </w:t>
      </w:r>
      <w:r w:rsidRPr="002B439F">
        <w:t>nodokļa 0</w:t>
      </w:r>
      <w:r w:rsidR="00EC08E6">
        <w:t> </w:t>
      </w:r>
      <w:r w:rsidRPr="002B439F">
        <w:t>procentu likmi</w:t>
      </w:r>
      <w:proofErr w:type="gramEnd"/>
      <w:r w:rsidRPr="002B439F">
        <w:t>.</w:t>
      </w:r>
      <w:r w:rsidR="002B439F" w:rsidRPr="002B439F">
        <w:t xml:space="preserve"> </w:t>
      </w:r>
    </w:p>
    <w:p w14:paraId="1B9A4A52" w14:textId="53C8ABCC" w:rsidR="00FC04A9" w:rsidRPr="00E7670E" w:rsidRDefault="00F02DF7" w:rsidP="00F02DF7">
      <w:pPr>
        <w:spacing w:line="276" w:lineRule="auto"/>
        <w:ind w:firstLine="709"/>
        <w:jc w:val="both"/>
      </w:pPr>
      <w:r>
        <w:t>A</w:t>
      </w:r>
      <w:r w:rsidR="008B1A43" w:rsidRPr="002B439F">
        <w:t xml:space="preserve">r </w:t>
      </w:r>
      <w:r w:rsidR="00FC04A9" w:rsidRPr="002B439F">
        <w:t xml:space="preserve">dienesta </w:t>
      </w:r>
      <w:proofErr w:type="gramStart"/>
      <w:r w:rsidR="00FC04A9" w:rsidRPr="002B439F">
        <w:t>2021.gada</w:t>
      </w:r>
      <w:proofErr w:type="gramEnd"/>
      <w:r w:rsidR="00FC04A9" w:rsidRPr="002B439F">
        <w:t xml:space="preserve"> 22.decembra lēmum</w:t>
      </w:r>
      <w:r>
        <w:t>u</w:t>
      </w:r>
      <w:r w:rsidR="00FC04A9" w:rsidRPr="002B439F">
        <w:t xml:space="preserve"> Nr. 30.2-22.8/22.8/11249 (turpmāk – pārsūdzētais lēmums) kā administratīvo procesu iestādē noslēdzošo administratīvo aktu pieteicējai papildu samaksai budžetā aprēķināts pievienotās vērtības nodoklis, soda nauda un nokavējuma nauda, kā arī samazināts no budžeta atmaksājamais pievienotās vērtības nodoklis un saistībā ar to aprēķināta soda nauda.</w:t>
      </w:r>
    </w:p>
    <w:p w14:paraId="58AF18E9" w14:textId="40B79779" w:rsidR="00597D1B" w:rsidRDefault="00D752C2" w:rsidP="00D752C2">
      <w:pPr>
        <w:spacing w:line="276" w:lineRule="auto"/>
        <w:ind w:firstLine="709"/>
        <w:jc w:val="both"/>
      </w:pPr>
      <w:r w:rsidRPr="002B439F">
        <w:t xml:space="preserve">Pieteicēja iesniedza tiesā pieteikumu </w:t>
      </w:r>
      <w:r w:rsidR="00297283">
        <w:t>par pārsūdzētā lēmuma</w:t>
      </w:r>
      <w:r w:rsidRPr="00D752C2">
        <w:t xml:space="preserve"> atcelšanu</w:t>
      </w:r>
      <w:r>
        <w:t xml:space="preserve"> daļā.</w:t>
      </w:r>
    </w:p>
    <w:p w14:paraId="1B27642E" w14:textId="77777777" w:rsidR="008963DF" w:rsidRPr="00E71F04" w:rsidRDefault="008963DF" w:rsidP="00FC04A9">
      <w:pPr>
        <w:spacing w:line="276" w:lineRule="auto"/>
        <w:jc w:val="both"/>
      </w:pPr>
    </w:p>
    <w:p w14:paraId="699B9FB9" w14:textId="2AB52B58" w:rsidR="00793346" w:rsidRPr="00E71F04" w:rsidRDefault="00793346" w:rsidP="00391A90">
      <w:pPr>
        <w:spacing w:line="276" w:lineRule="auto"/>
        <w:ind w:firstLine="709"/>
        <w:jc w:val="both"/>
      </w:pPr>
      <w:r w:rsidRPr="00E71F04">
        <w:t>[</w:t>
      </w:r>
      <w:r w:rsidR="003519DE">
        <w:t>2</w:t>
      </w:r>
      <w:r w:rsidRPr="00E71F04">
        <w:t>] </w:t>
      </w:r>
      <w:r w:rsidR="00D752C2">
        <w:t>A</w:t>
      </w:r>
      <w:r w:rsidR="00D752C2" w:rsidRPr="00FC04A9">
        <w:t>dministratīvā apgabaltiesa</w:t>
      </w:r>
      <w:r w:rsidR="00D752C2">
        <w:t>, i</w:t>
      </w:r>
      <w:r w:rsidR="00FC04A9">
        <w:t xml:space="preserve">zskatījusi lietu </w:t>
      </w:r>
      <w:r w:rsidR="00FC04A9" w:rsidRPr="00FC04A9">
        <w:t xml:space="preserve">apelācijas kārtībā, </w:t>
      </w:r>
      <w:r w:rsidRPr="00FC04A9">
        <w:t xml:space="preserve">ar </w:t>
      </w:r>
      <w:proofErr w:type="gramStart"/>
      <w:r w:rsidR="00F7667E" w:rsidRPr="00FC04A9">
        <w:t>202</w:t>
      </w:r>
      <w:r w:rsidR="00FC04A9" w:rsidRPr="00FC04A9">
        <w:t>5</w:t>
      </w:r>
      <w:r w:rsidR="00F7667E" w:rsidRPr="00FC04A9">
        <w:t>.gada</w:t>
      </w:r>
      <w:proofErr w:type="gramEnd"/>
      <w:r w:rsidR="00F7667E" w:rsidRPr="00FC04A9">
        <w:t xml:space="preserve"> </w:t>
      </w:r>
      <w:r w:rsidR="00FC04A9" w:rsidRPr="00FC04A9">
        <w:t>2</w:t>
      </w:r>
      <w:r w:rsidR="008963DF" w:rsidRPr="00FC04A9">
        <w:t>7.februāra</w:t>
      </w:r>
      <w:r w:rsidRPr="00FC04A9">
        <w:t xml:space="preserve"> spriedumu pieteikum</w:t>
      </w:r>
      <w:r w:rsidRPr="00E71F04">
        <w:t>u noraidīja.</w:t>
      </w:r>
      <w:r w:rsidR="008963DF">
        <w:t xml:space="preserve"> </w:t>
      </w:r>
      <w:r w:rsidR="00505D15" w:rsidRPr="00E71F04">
        <w:t>Sprieduma pamatojums ir turpmāk minētie apsvērumi.</w:t>
      </w:r>
    </w:p>
    <w:p w14:paraId="28F186A2" w14:textId="151FA145" w:rsidR="00C1100F" w:rsidRPr="00C1100F" w:rsidRDefault="00793346" w:rsidP="00582914">
      <w:pPr>
        <w:spacing w:line="276" w:lineRule="auto"/>
        <w:ind w:firstLine="709"/>
        <w:jc w:val="both"/>
      </w:pPr>
      <w:r w:rsidRPr="00E71F04">
        <w:lastRenderedPageBreak/>
        <w:t>[</w:t>
      </w:r>
      <w:r w:rsidR="00297283">
        <w:t>2</w:t>
      </w:r>
      <w:r w:rsidRPr="00E71F04">
        <w:t>.1]</w:t>
      </w:r>
      <w:r w:rsidR="00BD7BAC">
        <w:t> </w:t>
      </w:r>
      <w:r w:rsidR="00582914" w:rsidRPr="00582914">
        <w:t xml:space="preserve">Pievienotās vērtības nodokļa likuma </w:t>
      </w:r>
      <w:proofErr w:type="gramStart"/>
      <w:r w:rsidR="00582914" w:rsidRPr="00582914">
        <w:t>125.panta</w:t>
      </w:r>
      <w:proofErr w:type="gramEnd"/>
      <w:r w:rsidR="00582914" w:rsidRPr="00582914">
        <w:t xml:space="preserve"> pirmās daļas 16.punkts</w:t>
      </w:r>
      <w:r w:rsidR="00582914">
        <w:t xml:space="preserve"> </w:t>
      </w:r>
      <w:r w:rsidR="00582914" w:rsidRPr="00582914">
        <w:t>noteic</w:t>
      </w:r>
      <w:r w:rsidR="00582914">
        <w:t>:</w:t>
      </w:r>
      <w:r w:rsidR="00582914" w:rsidRPr="00582914">
        <w:t xml:space="preserve"> ja par nodokļa samaksu ir atbildīgs preču vai pakalpojumu saņēmējs, rēķinā</w:t>
      </w:r>
      <w:r w:rsidR="00582914">
        <w:t xml:space="preserve"> </w:t>
      </w:r>
      <w:r w:rsidR="00582914" w:rsidRPr="00582914">
        <w:t>ietverama norāde „nodokļa apgrieztā maksāšana”.</w:t>
      </w:r>
      <w:r w:rsidR="00582914">
        <w:t xml:space="preserve"> </w:t>
      </w:r>
      <w:r w:rsidR="0053596D">
        <w:t>Tiesa p</w:t>
      </w:r>
      <w:r w:rsidR="00C1100F" w:rsidRPr="00C1100F">
        <w:t>ārbaud</w:t>
      </w:r>
      <w:r w:rsidR="0053596D">
        <w:t xml:space="preserve">īja </w:t>
      </w:r>
      <w:r w:rsidR="00C1100F" w:rsidRPr="00C1100F">
        <w:t>rēķinus, kurus pieteicēja izrakstījusi Itālijas uzņēmumie</w:t>
      </w:r>
      <w:r w:rsidR="0053596D">
        <w:t>m</w:t>
      </w:r>
      <w:r w:rsidR="00C1100F" w:rsidRPr="00C1100F">
        <w:t xml:space="preserve">, </w:t>
      </w:r>
      <w:r w:rsidR="0053596D">
        <w:t xml:space="preserve">un </w:t>
      </w:r>
      <w:r w:rsidR="00C1100F" w:rsidRPr="00C1100F">
        <w:t xml:space="preserve">konstatēja, ka </w:t>
      </w:r>
      <w:r w:rsidR="00E12DED">
        <w:t xml:space="preserve">tajos </w:t>
      </w:r>
      <w:r w:rsidR="00582914">
        <w:t>šād</w:t>
      </w:r>
      <w:r w:rsidR="00E12DED">
        <w:t>as</w:t>
      </w:r>
      <w:r w:rsidR="00582914">
        <w:t xml:space="preserve"> norād</w:t>
      </w:r>
      <w:r w:rsidR="00E12DED">
        <w:t>es nav</w:t>
      </w:r>
      <w:r w:rsidR="00C1100F" w:rsidRPr="00C1100F">
        <w:t>. Rēķinos ietverta</w:t>
      </w:r>
      <w:r w:rsidR="00297283">
        <w:t xml:space="preserve"> </w:t>
      </w:r>
      <w:r w:rsidR="00C1100F" w:rsidRPr="00C1100F">
        <w:t xml:space="preserve">atsauce uz Padomes </w:t>
      </w:r>
      <w:proofErr w:type="gramStart"/>
      <w:r w:rsidR="00C1100F" w:rsidRPr="00C1100F">
        <w:t>2006.gada</w:t>
      </w:r>
      <w:proofErr w:type="gramEnd"/>
      <w:r w:rsidR="00C1100F" w:rsidRPr="00C1100F">
        <w:t xml:space="preserve"> 28.novembra Direktīvas 2006/112/EK par kopējo</w:t>
      </w:r>
      <w:r w:rsidR="00C1100F">
        <w:t xml:space="preserve"> </w:t>
      </w:r>
      <w:r w:rsidR="00C1100F" w:rsidRPr="00C1100F">
        <w:t xml:space="preserve">pievienotās vērtības nodokļa sistēmu (turpmāk – </w:t>
      </w:r>
      <w:r w:rsidR="00E7670E" w:rsidRPr="00F93714">
        <w:t>Pievienotās vērtības nodokļa</w:t>
      </w:r>
      <w:r w:rsidR="00C1100F" w:rsidRPr="00C1100F">
        <w:t xml:space="preserve"> direktīva) 138.panta 1.punktu</w:t>
      </w:r>
      <w:r w:rsidR="00E7670E">
        <w:t>, t</w:t>
      </w:r>
      <w:r w:rsidR="00C1100F" w:rsidRPr="00C1100F">
        <w:t>aču atbilstoši Eiropas Savienības Tiesas judikatūrai trīspusēja darījuma starpposma pircējs nevar aizstāt norādi „</w:t>
      </w:r>
      <w:r w:rsidR="0053596D">
        <w:t>n</w:t>
      </w:r>
      <w:r w:rsidR="00C1100F" w:rsidRPr="00C1100F">
        <w:t>odokļa apgrieztā maksāšana” ar kādu citu norādi. Līdz ar to pieteicēja nav izpildījusi Pievienotās vērtības nodokļa likuma 16.panta ceturtās daļas 2.punkta prasību.</w:t>
      </w:r>
    </w:p>
    <w:p w14:paraId="4973EA2E" w14:textId="2C571D01" w:rsidR="00C1100F" w:rsidRPr="00C1100F" w:rsidRDefault="00C1100F" w:rsidP="00391A90">
      <w:pPr>
        <w:spacing w:line="276" w:lineRule="auto"/>
        <w:ind w:firstLine="709"/>
        <w:jc w:val="both"/>
      </w:pPr>
      <w:r w:rsidRPr="00C1100F">
        <w:t>[</w:t>
      </w:r>
      <w:r w:rsidR="00297283">
        <w:t>2</w:t>
      </w:r>
      <w:r w:rsidRPr="00C1100F">
        <w:t xml:space="preserve">.2] Apstāklim, vai pieteicēja zināja, ka Itālijas uzņēmumi ir uzskatāmi par fiktīviem uzņēmumiem, nav izšķirošas nozīmes. Konkrētajā lietā aplūkotajiem darījumiem piemērots uz trīspusējiem darījumiem attiecināmais izņēmuma regulējums, saskaņā ar kuru nodokļa samaksas pienākums tiek pārnests uz galīgo preču saņēmēju, tādējādi atbrīvojot pieteicēju kā starpnieku no nodokļa samaksas. Proti, Pievienotās vērtības nodokļa likuma </w:t>
      </w:r>
      <w:proofErr w:type="gramStart"/>
      <w:r w:rsidRPr="00C1100F">
        <w:t>16.panta</w:t>
      </w:r>
      <w:proofErr w:type="gramEnd"/>
      <w:r w:rsidRPr="00C1100F">
        <w:t xml:space="preserve"> trešās un ceturtās daļas regulējuma un </w:t>
      </w:r>
      <w:r w:rsidR="00E7670E" w:rsidRPr="00F93714">
        <w:t>Pievienotās vērtības nodokļa</w:t>
      </w:r>
      <w:r w:rsidRPr="00C1100F">
        <w:t xml:space="preserve"> direktīvas 41. un 42.panta mērķis ir nodrošināt trīspusējos darījumos </w:t>
      </w:r>
      <w:r>
        <w:t>pievienotās vērtības nodokļa</w:t>
      </w:r>
      <w:r w:rsidRPr="00C1100F">
        <w:t xml:space="preserve"> nomaksu par iegādi Kopienas iekšienē galīgā pircēja līmenī, izvairoties no šī darījuma dubultas aplikšanas ar nodokli. Taču konkrētajā lietā nav ticis nodrošināts, ka </w:t>
      </w:r>
      <w:r w:rsidR="00E7670E">
        <w:t>p</w:t>
      </w:r>
      <w:r w:rsidR="00E7670E" w:rsidRPr="00F93714">
        <w:t>ievienotās vērtības nodok</w:t>
      </w:r>
      <w:r w:rsidR="00E7670E">
        <w:t>li</w:t>
      </w:r>
      <w:r w:rsidRPr="00C1100F">
        <w:t xml:space="preserve"> par iegādi Eiropas Savienībās samaksā preču gala</w:t>
      </w:r>
      <w:r>
        <w:t xml:space="preserve"> </w:t>
      </w:r>
      <w:r w:rsidRPr="00C1100F">
        <w:t>saņēmējs.</w:t>
      </w:r>
    </w:p>
    <w:p w14:paraId="6DA55C6A" w14:textId="250089E2" w:rsidR="00C1100F" w:rsidRPr="00C1100F" w:rsidRDefault="00C1100F" w:rsidP="00C1100F">
      <w:pPr>
        <w:spacing w:line="276" w:lineRule="auto"/>
        <w:ind w:firstLine="709"/>
        <w:jc w:val="both"/>
      </w:pPr>
      <w:r w:rsidRPr="00C1100F">
        <w:t xml:space="preserve">Līdz ar to, kaut arī ar atšķirīgu pamatojumu, dienests pamatoti saskaņā ar Pievienotās vērtības nodokļa likuma </w:t>
      </w:r>
      <w:proofErr w:type="gramStart"/>
      <w:r w:rsidRPr="00C1100F">
        <w:t>16.panta</w:t>
      </w:r>
      <w:proofErr w:type="gramEnd"/>
      <w:r w:rsidRPr="00C1100F">
        <w:t xml:space="preserve"> trešo daļu un 86.panta pirmo daļu aprēķināja pieteicējai valsts budžetā maksājamo </w:t>
      </w:r>
      <w:r w:rsidR="0053596D">
        <w:t xml:space="preserve">pievienotās vērtības </w:t>
      </w:r>
      <w:r w:rsidRPr="00C1100F">
        <w:t>nodokli.</w:t>
      </w:r>
    </w:p>
    <w:p w14:paraId="5C0D5D4B" w14:textId="77777777" w:rsidR="00E46F0F" w:rsidRDefault="00E46F0F" w:rsidP="00E46F0F">
      <w:pPr>
        <w:spacing w:line="276" w:lineRule="auto"/>
        <w:ind w:firstLine="709"/>
        <w:jc w:val="both"/>
      </w:pPr>
    </w:p>
    <w:p w14:paraId="3FC66FDF" w14:textId="41C3A536" w:rsidR="00793346" w:rsidRPr="00BE5463" w:rsidRDefault="00793346" w:rsidP="00BE5463">
      <w:pPr>
        <w:spacing w:line="276" w:lineRule="auto"/>
        <w:ind w:firstLine="709"/>
        <w:jc w:val="both"/>
      </w:pPr>
      <w:r w:rsidRPr="00E71F04">
        <w:t>[3] Pieteicēj</w:t>
      </w:r>
      <w:r w:rsidR="00E50433" w:rsidRPr="00E71F04">
        <w:t>a</w:t>
      </w:r>
      <w:r w:rsidRPr="00E71F04">
        <w:t xml:space="preserve"> par apgabaltiesas spriedumu iesniedza kasācijas sūdzību</w:t>
      </w:r>
      <w:r w:rsidR="00D30F0D" w:rsidRPr="00E71F04">
        <w:t>, kur</w:t>
      </w:r>
      <w:r w:rsidR="00FC04A9">
        <w:t>ā norāda, ka</w:t>
      </w:r>
      <w:r w:rsidR="00D752C2">
        <w:t xml:space="preserve"> </w:t>
      </w:r>
      <w:r w:rsidR="00D752C2" w:rsidRPr="00D752C2">
        <w:t xml:space="preserve">tiesa ir pārkāpusi Administratīvā procesa likuma </w:t>
      </w:r>
      <w:proofErr w:type="gramStart"/>
      <w:r w:rsidR="00D752C2" w:rsidRPr="00D752C2">
        <w:t>250.panta</w:t>
      </w:r>
      <w:proofErr w:type="gramEnd"/>
      <w:r w:rsidR="00D752C2" w:rsidRPr="00D752C2">
        <w:t xml:space="preserve"> otro daļu</w:t>
      </w:r>
      <w:r w:rsidR="00D752C2">
        <w:t xml:space="preserve">, jo </w:t>
      </w:r>
      <w:r w:rsidR="006C362A" w:rsidRPr="006C362A">
        <w:t>izlēmusi strīdus jautājumu pēc būtības uz cita pamata, nekā tas bijis pārsūdzētajā lēmumā.</w:t>
      </w:r>
      <w:r w:rsidR="00286840">
        <w:t xml:space="preserve"> Pieteicēja argumentē, ka tā nemaz nezināja </w:t>
      </w:r>
      <w:r w:rsidR="00286840" w:rsidRPr="00286840">
        <w:t xml:space="preserve">par nepieciešamību sniegt </w:t>
      </w:r>
      <w:r w:rsidR="00286840">
        <w:t xml:space="preserve">savu </w:t>
      </w:r>
      <w:r w:rsidR="00286840" w:rsidRPr="00286840">
        <w:t xml:space="preserve">skaidrojumu par </w:t>
      </w:r>
      <w:r w:rsidR="00286840">
        <w:t xml:space="preserve">strīdus </w:t>
      </w:r>
      <w:r w:rsidR="00286840" w:rsidRPr="00286840">
        <w:t>rēķin</w:t>
      </w:r>
      <w:r w:rsidR="00286840">
        <w:t xml:space="preserve">os </w:t>
      </w:r>
      <w:r w:rsidR="00286840" w:rsidRPr="00286840">
        <w:t>iekļaut</w:t>
      </w:r>
      <w:r w:rsidR="00286840">
        <w:t>o</w:t>
      </w:r>
      <w:r w:rsidR="00286840" w:rsidRPr="00286840">
        <w:t xml:space="preserve"> tiesību norm</w:t>
      </w:r>
      <w:r w:rsidR="00286840">
        <w:t>u</w:t>
      </w:r>
      <w:r w:rsidR="00286840" w:rsidRPr="00286840">
        <w:t xml:space="preserve"> atsau</w:t>
      </w:r>
      <w:r w:rsidR="00286840">
        <w:t xml:space="preserve">ču </w:t>
      </w:r>
      <w:r w:rsidR="00286840" w:rsidRPr="00286840">
        <w:t>pamatotību</w:t>
      </w:r>
      <w:r w:rsidR="00286840">
        <w:t xml:space="preserve">, jo uz to </w:t>
      </w:r>
      <w:r w:rsidR="00286840" w:rsidRPr="00286840">
        <w:t>netika vērsta</w:t>
      </w:r>
      <w:r w:rsidR="00286840">
        <w:t xml:space="preserve"> pieteicējas uzmanība</w:t>
      </w:r>
      <w:r w:rsidR="00286840" w:rsidRPr="00286840">
        <w:t xml:space="preserve"> ne procesā iestādē, ne pirmās instances tiesā, ne arī apelācijas instances tiesas sēdē.</w:t>
      </w:r>
      <w:r w:rsidR="00286840">
        <w:t xml:space="preserve"> Tāpat pieteicēja argumentē, ka strīdus rēķinos izmantotās atsauces ir bijušas pareizas un atbilstošas </w:t>
      </w:r>
      <w:r w:rsidR="00BE5463">
        <w:t xml:space="preserve">paša </w:t>
      </w:r>
      <w:r w:rsidR="00286840">
        <w:t xml:space="preserve">dienesta izstrādātajām vadlīnijām </w:t>
      </w:r>
      <w:r w:rsidR="00286840" w:rsidRPr="00BE5463">
        <w:t>p</w:t>
      </w:r>
      <w:r w:rsidR="00BE5463" w:rsidRPr="00BE5463">
        <w:t>ar izmantojamām atsaucēm un norādēm pievienotās vērtības nodokļa rēķinā.</w:t>
      </w:r>
    </w:p>
    <w:p w14:paraId="02EB4943" w14:textId="77777777" w:rsidR="00AE1503" w:rsidRDefault="00AE1503" w:rsidP="00AE1503">
      <w:pPr>
        <w:spacing w:line="276" w:lineRule="auto"/>
        <w:ind w:firstLine="709"/>
        <w:jc w:val="both"/>
      </w:pPr>
    </w:p>
    <w:p w14:paraId="381127C8" w14:textId="4BA537EF" w:rsidR="00AA3867" w:rsidRPr="00E71F04" w:rsidRDefault="00793346" w:rsidP="008963DF">
      <w:pPr>
        <w:spacing w:line="276" w:lineRule="auto"/>
        <w:ind w:firstLine="709"/>
        <w:jc w:val="both"/>
      </w:pPr>
      <w:r w:rsidRPr="00E71F04">
        <w:t>[4] </w:t>
      </w:r>
      <w:r w:rsidR="00BE4F66">
        <w:t>D</w:t>
      </w:r>
      <w:r w:rsidR="00E12DED">
        <w:t>ienests</w:t>
      </w:r>
      <w:r w:rsidR="00E12DED" w:rsidRPr="00E71F04">
        <w:t xml:space="preserve"> </w:t>
      </w:r>
      <w:r w:rsidRPr="00E71F04">
        <w:t xml:space="preserve">paskaidrojumos par kasācijas sūdzību </w:t>
      </w:r>
      <w:r w:rsidR="00F314B2" w:rsidRPr="00E71F04">
        <w:t>norāda, ka tā nav pamatota.</w:t>
      </w:r>
      <w:r w:rsidR="00AA3867" w:rsidRPr="00E71F04">
        <w:t xml:space="preserve"> </w:t>
      </w:r>
    </w:p>
    <w:p w14:paraId="69B836B6" w14:textId="77777777" w:rsidR="00E50433" w:rsidRPr="00E71F04" w:rsidRDefault="00E50433" w:rsidP="00E50433">
      <w:pPr>
        <w:spacing w:line="276" w:lineRule="auto"/>
        <w:ind w:firstLine="709"/>
        <w:jc w:val="both"/>
      </w:pPr>
    </w:p>
    <w:p w14:paraId="730CAEB6" w14:textId="77777777" w:rsidR="00375AB5" w:rsidRDefault="008F79A9" w:rsidP="00375AB5">
      <w:pPr>
        <w:spacing w:line="276" w:lineRule="auto"/>
        <w:jc w:val="center"/>
        <w:rPr>
          <w:b/>
          <w:bCs/>
          <w:shd w:val="clear" w:color="auto" w:fill="FFFFFF"/>
        </w:rPr>
      </w:pPr>
      <w:r w:rsidRPr="00816A67">
        <w:rPr>
          <w:b/>
          <w:bCs/>
          <w:shd w:val="clear" w:color="auto" w:fill="FFFFFF"/>
        </w:rPr>
        <w:t>Motīvu daļa</w:t>
      </w:r>
    </w:p>
    <w:p w14:paraId="77919BA3" w14:textId="77777777" w:rsidR="00375AB5" w:rsidRDefault="00375AB5" w:rsidP="00375AB5">
      <w:pPr>
        <w:spacing w:line="276" w:lineRule="auto"/>
        <w:jc w:val="center"/>
        <w:rPr>
          <w:b/>
          <w:bCs/>
          <w:shd w:val="clear" w:color="auto" w:fill="FFFFFF"/>
        </w:rPr>
      </w:pPr>
    </w:p>
    <w:p w14:paraId="60125B28" w14:textId="16764AF4" w:rsidR="0053596D" w:rsidRDefault="00447EE6" w:rsidP="0053596D">
      <w:pPr>
        <w:spacing w:line="276" w:lineRule="auto"/>
        <w:ind w:firstLine="720"/>
        <w:jc w:val="both"/>
      </w:pPr>
      <w:r w:rsidRPr="00E71F04">
        <w:t>[</w:t>
      </w:r>
      <w:r w:rsidR="00793346" w:rsidRPr="00E71F04">
        <w:t>5</w:t>
      </w:r>
      <w:r w:rsidRPr="00E71F04">
        <w:t>]</w:t>
      </w:r>
      <w:r w:rsidR="00793346" w:rsidRPr="00E71F04">
        <w:t> </w:t>
      </w:r>
      <w:r w:rsidR="0053596D" w:rsidRPr="006C362A">
        <w:t xml:space="preserve">Pieteicēja kā kasācijas pamatu norādījusi Administratīvā procesa likuma </w:t>
      </w:r>
      <w:proofErr w:type="gramStart"/>
      <w:r w:rsidR="0053596D" w:rsidRPr="006C362A">
        <w:t>250.panta</w:t>
      </w:r>
      <w:proofErr w:type="gramEnd"/>
      <w:r w:rsidR="0053596D">
        <w:t xml:space="preserve"> </w:t>
      </w:r>
      <w:r w:rsidR="0053596D" w:rsidRPr="006C362A">
        <w:t xml:space="preserve">otrās daļas pārkāpumu, jo, pieteicējas ieskatā, apgabaltiesa pieteikumu noraidījusi uz cita pamata, nekā tas norādīts pārsūdzētajā </w:t>
      </w:r>
      <w:r w:rsidR="0053596D">
        <w:t>lēmumā</w:t>
      </w:r>
      <w:r w:rsidR="0053596D" w:rsidRPr="006C362A">
        <w:t>.</w:t>
      </w:r>
      <w:r w:rsidR="0053596D">
        <w:t xml:space="preserve"> Līdz ar to Senātam kasācijas tiesvedības ietvaros jāpārbauda</w:t>
      </w:r>
      <w:r w:rsidR="0053596D" w:rsidRPr="00E71F04">
        <w:t xml:space="preserve">, </w:t>
      </w:r>
      <w:r w:rsidR="0053596D" w:rsidRPr="001B72DA">
        <w:t xml:space="preserve">vai </w:t>
      </w:r>
      <w:r w:rsidR="005016B3">
        <w:t>apgabaltiesa, izskatot lietu apelācijas kārtībā, ir mainījusi pārsūdzētajā lēmumā norādīto pamatojumu.</w:t>
      </w:r>
    </w:p>
    <w:p w14:paraId="2A4ED2B5" w14:textId="77777777" w:rsidR="00597D1B" w:rsidRDefault="00597D1B" w:rsidP="0053596D">
      <w:pPr>
        <w:spacing w:line="276" w:lineRule="auto"/>
        <w:jc w:val="both"/>
      </w:pPr>
    </w:p>
    <w:p w14:paraId="1F909C08" w14:textId="6D115DF1" w:rsidR="006C362A" w:rsidRPr="006C362A" w:rsidRDefault="00BC6493" w:rsidP="0053596D">
      <w:pPr>
        <w:spacing w:line="276" w:lineRule="auto"/>
        <w:ind w:firstLine="720"/>
        <w:jc w:val="both"/>
      </w:pPr>
      <w:r>
        <w:lastRenderedPageBreak/>
        <w:t>[6] </w:t>
      </w:r>
      <w:r w:rsidR="006C362A" w:rsidRPr="006C362A">
        <w:t xml:space="preserve">Administratīvā procesa likuma </w:t>
      </w:r>
      <w:proofErr w:type="gramStart"/>
      <w:r w:rsidR="006C362A" w:rsidRPr="006C362A">
        <w:t>250.panta</w:t>
      </w:r>
      <w:proofErr w:type="gramEnd"/>
      <w:r w:rsidR="006C362A" w:rsidRPr="006C362A">
        <w:t xml:space="preserve"> otrā daļa noteic, ka tiesa, vērtējot pārsūdzētā</w:t>
      </w:r>
      <w:r w:rsidR="006C362A">
        <w:t xml:space="preserve"> </w:t>
      </w:r>
      <w:r w:rsidR="006C362A" w:rsidRPr="006C362A">
        <w:t>administratīvā akta tiesiskumu, spriedumā ņem vērā tikai to pamatojumu, ko iestāde ietvērusi</w:t>
      </w:r>
      <w:r w:rsidR="006C362A">
        <w:t xml:space="preserve"> </w:t>
      </w:r>
      <w:r w:rsidR="006C362A" w:rsidRPr="006C362A">
        <w:t>administratīvajā aktā.</w:t>
      </w:r>
    </w:p>
    <w:p w14:paraId="5DDCE559" w14:textId="4021F58A" w:rsidR="00506B89" w:rsidRDefault="00506B89" w:rsidP="00506B89">
      <w:pPr>
        <w:spacing w:line="276" w:lineRule="auto"/>
        <w:ind w:firstLine="720"/>
        <w:jc w:val="both"/>
      </w:pPr>
      <w:r w:rsidRPr="00506B89">
        <w:t xml:space="preserve">Šī norma ir daļa no tiesiskā regulējuma, kas nošķir iestādes un tiesas kompetenci administratīvajā procesā. Proti, līdztekus citām normām (piemēram, Administratīvā procesa likuma </w:t>
      </w:r>
      <w:proofErr w:type="gramStart"/>
      <w:r w:rsidRPr="00506B89">
        <w:t>103.panta</w:t>
      </w:r>
      <w:proofErr w:type="gramEnd"/>
      <w:r w:rsidRPr="00506B89">
        <w:t xml:space="preserve"> pirmajai daļai, 253.panta trešajai un sestajai daļai) tā atspoguļo administratīvā procesa tiesā būtību un tiesas kompetences robežas administratīvā akta tiesiskuma kontrolē – to, ka tiesa īsteno kontroli pār iestādes izdotu privātpersonai nelabvēlīgu administratīvo aktu, nevis iestājas iestādes vietā un pati izdod šādu administratīvo aktu. Līdz ar to atbilstoši administratīvās tiesas kompetencei Administratīvā procesa likuma 250.panta otrā daļa liedz tiesai spriedumā mainīt iestādes lēmuma pamatojumu, ar to šīs normas izpratnē saprotot lēmuma pamatu – apstākļus, uz kuriem balstīts iestādes lēmums (</w:t>
      </w:r>
      <w:r w:rsidRPr="00391A90">
        <w:rPr>
          <w:i/>
          <w:iCs/>
        </w:rPr>
        <w:t xml:space="preserve">Senāta 2024.gada 30.septembra sprieduma lietā Nr. SKA-92/2024, </w:t>
      </w:r>
      <w:hyperlink r:id="rId9" w:history="1">
        <w:r w:rsidRPr="00391A90">
          <w:rPr>
            <w:rStyle w:val="Hyperlink"/>
            <w:i/>
            <w:iCs/>
          </w:rPr>
          <w:t>ECLI:LV:AT:2024:0930.A420269220.12.S</w:t>
        </w:r>
      </w:hyperlink>
      <w:r w:rsidRPr="00391A90">
        <w:rPr>
          <w:i/>
          <w:iCs/>
        </w:rPr>
        <w:t>, 7.punkts un tajā minētā judikatūra</w:t>
      </w:r>
      <w:r w:rsidRPr="00506B89">
        <w:t xml:space="preserve">). </w:t>
      </w:r>
    </w:p>
    <w:p w14:paraId="300C909B" w14:textId="4EB66AEE" w:rsidR="003519DE" w:rsidRDefault="006C362A" w:rsidP="00506B89">
      <w:pPr>
        <w:spacing w:line="276" w:lineRule="auto"/>
        <w:ind w:firstLine="720"/>
        <w:jc w:val="both"/>
      </w:pPr>
      <w:r w:rsidRPr="006C362A">
        <w:t>Senāta judikatūrā atzīts, ka ir pieļaujama zināma administratīvā akta pamatojuma</w:t>
      </w:r>
      <w:r>
        <w:t xml:space="preserve"> </w:t>
      </w:r>
      <w:r w:rsidRPr="006C362A">
        <w:t>interpretācija un mazāk būtisku kļūdu izskaidrošana. Piemēram, tiesa atsevišķos gadījumos var</w:t>
      </w:r>
      <w:r>
        <w:t xml:space="preserve"> </w:t>
      </w:r>
      <w:r w:rsidRPr="006C362A">
        <w:t>atzīt, ka, ievērojot iestādes analizētos apstākļus, faktiski kāda norma bija piemērota, pat ja lēmumā</w:t>
      </w:r>
      <w:r>
        <w:t xml:space="preserve"> </w:t>
      </w:r>
      <w:r w:rsidRPr="006C362A">
        <w:t>tā nebija tieši minēta. Tomēr šāda pamatojuma interpretēšana nedrīkst ietvert pēc būtības jaunus</w:t>
      </w:r>
      <w:r>
        <w:t xml:space="preserve"> </w:t>
      </w:r>
      <w:r w:rsidRPr="006C362A">
        <w:t>apstākļus. Pretējā gadījumā tiesa būtībā uzņemtos iestādes kompetenci izdot un pamatot</w:t>
      </w:r>
      <w:r>
        <w:t xml:space="preserve"> </w:t>
      </w:r>
      <w:r w:rsidRPr="006C362A">
        <w:t>administratīvo aktu (</w:t>
      </w:r>
      <w:r w:rsidRPr="006C362A">
        <w:rPr>
          <w:i/>
          <w:iCs/>
        </w:rPr>
        <w:t xml:space="preserve">Senāta </w:t>
      </w:r>
      <w:proofErr w:type="gramStart"/>
      <w:r w:rsidRPr="006C362A">
        <w:rPr>
          <w:i/>
          <w:iCs/>
        </w:rPr>
        <w:t>2017.gada</w:t>
      </w:r>
      <w:proofErr w:type="gramEnd"/>
      <w:r w:rsidRPr="006C362A">
        <w:rPr>
          <w:i/>
          <w:iCs/>
        </w:rPr>
        <w:t xml:space="preserve"> 21.jūnija sprieduma lietā Nr.</w:t>
      </w:r>
      <w:r>
        <w:rPr>
          <w:i/>
          <w:iCs/>
        </w:rPr>
        <w:t> </w:t>
      </w:r>
      <w:r w:rsidRPr="006C362A">
        <w:rPr>
          <w:i/>
          <w:iCs/>
        </w:rPr>
        <w:t>SKA</w:t>
      </w:r>
      <w:r>
        <w:rPr>
          <w:i/>
          <w:iCs/>
        </w:rPr>
        <w:t>-</w:t>
      </w:r>
      <w:r w:rsidRPr="006C362A">
        <w:rPr>
          <w:i/>
          <w:iCs/>
        </w:rPr>
        <w:t>177/2017, A420225414,</w:t>
      </w:r>
      <w:r>
        <w:t xml:space="preserve"> </w:t>
      </w:r>
      <w:r w:rsidRPr="006C362A">
        <w:rPr>
          <w:i/>
          <w:iCs/>
        </w:rPr>
        <w:t>9.punkts</w:t>
      </w:r>
      <w:r w:rsidR="00BE4F66">
        <w:rPr>
          <w:i/>
          <w:iCs/>
        </w:rPr>
        <w:t>;</w:t>
      </w:r>
      <w:r w:rsidR="00BE4F66" w:rsidRPr="006C362A">
        <w:rPr>
          <w:i/>
          <w:iCs/>
        </w:rPr>
        <w:t xml:space="preserve"> </w:t>
      </w:r>
      <w:r w:rsidRPr="006C362A">
        <w:rPr>
          <w:i/>
          <w:iCs/>
        </w:rPr>
        <w:t>2013.gada 31.janvāra sprieduma lietā Nr.</w:t>
      </w:r>
      <w:r>
        <w:rPr>
          <w:i/>
          <w:iCs/>
        </w:rPr>
        <w:t> </w:t>
      </w:r>
      <w:r w:rsidRPr="006C362A">
        <w:rPr>
          <w:i/>
          <w:iCs/>
        </w:rPr>
        <w:t>SKA</w:t>
      </w:r>
      <w:r>
        <w:rPr>
          <w:i/>
          <w:iCs/>
        </w:rPr>
        <w:t>-</w:t>
      </w:r>
      <w:r w:rsidRPr="006C362A">
        <w:rPr>
          <w:i/>
          <w:iCs/>
        </w:rPr>
        <w:t>67/2013, A42735109, 6.punkts</w:t>
      </w:r>
      <w:r w:rsidRPr="006C362A">
        <w:t>).</w:t>
      </w:r>
    </w:p>
    <w:p w14:paraId="3FEE9306" w14:textId="77777777" w:rsidR="003519DE" w:rsidRDefault="003519DE" w:rsidP="003519DE">
      <w:pPr>
        <w:spacing w:line="276" w:lineRule="auto"/>
        <w:ind w:firstLine="720"/>
        <w:jc w:val="both"/>
      </w:pPr>
    </w:p>
    <w:p w14:paraId="46FD5A66" w14:textId="24BC9BCB" w:rsidR="00BC6493" w:rsidRDefault="006C362A" w:rsidP="00A5205E">
      <w:pPr>
        <w:spacing w:line="276" w:lineRule="auto"/>
        <w:ind w:firstLine="720"/>
        <w:jc w:val="both"/>
      </w:pPr>
      <w:r>
        <w:t>[7] </w:t>
      </w:r>
      <w:r w:rsidRPr="006C362A">
        <w:t>Konkrētajā gadījumā dienests pārsūdzēto lēmumu pamatoj</w:t>
      </w:r>
      <w:r w:rsidR="0053596D">
        <w:t>is</w:t>
      </w:r>
      <w:r w:rsidRPr="006C362A">
        <w:t xml:space="preserve"> ar to, </w:t>
      </w:r>
      <w:r w:rsidR="00A5205E" w:rsidRPr="00A5205E">
        <w:t>k</w:t>
      </w:r>
      <w:r w:rsidR="00A5205E" w:rsidRPr="00A5205E">
        <w:rPr>
          <w:lang w:eastAsia="x-none"/>
        </w:rPr>
        <w:t>a auditā konstatēto apstākļu kopums liecina, ka pieteicējas noformētajiem preču realizācijas darījumiem ar Itālijas uzņēmumiem ir mākslīgs raksturs.</w:t>
      </w:r>
      <w:r w:rsidR="00A5205E" w:rsidRPr="00A5205E">
        <w:t xml:space="preserve"> Proti,</w:t>
      </w:r>
      <w:r w:rsidR="00A5205E">
        <w:t xml:space="preserve"> l</w:t>
      </w:r>
      <w:r w:rsidR="003519DE">
        <w:t>ai gan nav strīda par preču faktisko esību un to, ka tās tika transportētas uz Itāliju,</w:t>
      </w:r>
      <w:r w:rsidR="003519DE" w:rsidRPr="00B86B52">
        <w:t xml:space="preserve"> darījumi </w:t>
      </w:r>
      <w:r w:rsidR="003519DE">
        <w:t xml:space="preserve">nav notikuši ar attaisnojuma dokumentos norādītajiem </w:t>
      </w:r>
      <w:r w:rsidR="003519DE" w:rsidRPr="00B86B52">
        <w:t xml:space="preserve">uzņēmumiem: līgumi un rēķini ir formāli, pasūtījumi un preču piegādes fakti nav apstiprināti, </w:t>
      </w:r>
      <w:r w:rsidR="003519DE">
        <w:t>arī</w:t>
      </w:r>
      <w:r w:rsidR="003519DE" w:rsidRPr="00B86B52">
        <w:t xml:space="preserve"> Itālijas nodokļu administrācija šos darījumus neatzīst</w:t>
      </w:r>
      <w:r w:rsidR="002A0EB9">
        <w:t>, turklāt</w:t>
      </w:r>
      <w:r w:rsidR="003519DE" w:rsidRPr="00B86B52">
        <w:t xml:space="preserve"> </w:t>
      </w:r>
      <w:r w:rsidR="00A5205E">
        <w:t>pieteicējas</w:t>
      </w:r>
      <w:r w:rsidR="003519DE" w:rsidRPr="00B86B52">
        <w:t xml:space="preserve"> sniegtie paskaidrojumi ir pretrunīgi un nesaskan ar faktiskajiem apstākļiem.</w:t>
      </w:r>
      <w:r w:rsidR="00A5205E">
        <w:t xml:space="preserve"> Iestāde atzina, ka šādos apstākļos strīdus </w:t>
      </w:r>
      <w:r w:rsidR="00A5205E" w:rsidRPr="00A5205E">
        <w:rPr>
          <w:lang w:eastAsia="x-none"/>
        </w:rPr>
        <w:t>darījumiem Pievienot</w:t>
      </w:r>
      <w:r w:rsidR="00C86BCA">
        <w:rPr>
          <w:lang w:eastAsia="x-none"/>
        </w:rPr>
        <w:t>ā</w:t>
      </w:r>
      <w:r w:rsidR="00A5205E" w:rsidRPr="00A5205E">
        <w:rPr>
          <w:lang w:eastAsia="x-none"/>
        </w:rPr>
        <w:t>s vērtības nodokļa likuma 16.panta ceturtā daļa nav piemērojama.</w:t>
      </w:r>
    </w:p>
    <w:p w14:paraId="0081E695" w14:textId="5CEAF3BA" w:rsidR="00BC6493" w:rsidRDefault="00BC6493" w:rsidP="003519DE">
      <w:pPr>
        <w:spacing w:line="276" w:lineRule="auto"/>
        <w:ind w:firstLine="709"/>
        <w:jc w:val="both"/>
      </w:pPr>
      <w:r>
        <w:t xml:space="preserve">Šādā tvērumā lietu ir skatījusi arī pirmās instances tiesa. Proti, </w:t>
      </w:r>
      <w:r w:rsidR="003519DE">
        <w:t>i</w:t>
      </w:r>
      <w:r>
        <w:t xml:space="preserve">zvērtējusi lietas faktiskos un tiesiskos apstākļus, tiesa </w:t>
      </w:r>
      <w:r w:rsidR="003519DE" w:rsidRPr="002B439F">
        <w:t xml:space="preserve">atzina, ka strīdus darījumu fiktīvo elementu un tādu apstākļu, kas nav izskaidrojami </w:t>
      </w:r>
      <w:r w:rsidR="003519DE" w:rsidRPr="00B86B52">
        <w:t xml:space="preserve">ar nejaušību un sakritību, kopējais apjoms ir tik liels, ka ļauj izslēgt šaubas par to, ka pieteicēja, noformējot dokumentus par piegādēm Itālijas uzņēmumiem, apzinājās, ka iesaistās nodokļu sistēmas ļaunprātīgā izmantošanā. </w:t>
      </w:r>
      <w:r w:rsidR="009736E0">
        <w:t>Rajona tiesa atzina, ka u</w:t>
      </w:r>
      <w:r w:rsidR="003519DE" w:rsidRPr="00B86B52">
        <w:t>z to nepārprotami norāda fiktīvi noslēgtie līgumi, fakts, ka nav identificējamas personas, kuras reāli saņēmušas pasūtījumus un sadarbojušās ar darījumu partneriem, nekorekti aizpildīt</w:t>
      </w:r>
      <w:r w:rsidR="002A0EB9">
        <w:t>ās kravas pavadzīmes</w:t>
      </w:r>
      <w:r w:rsidR="003519DE" w:rsidRPr="00B86B52">
        <w:t>, kā arī pieteicējas nespēja pierādīt, ka preces galapunktā ir saņēmis konkrētās preces pasūtītājs (pircējs) vai tā pārstāvis.</w:t>
      </w:r>
    </w:p>
    <w:p w14:paraId="12778858" w14:textId="71D5823A" w:rsidR="00BC6493" w:rsidRPr="00342ACE" w:rsidRDefault="00BC6493" w:rsidP="00FB381B">
      <w:pPr>
        <w:spacing w:line="276" w:lineRule="auto"/>
        <w:ind w:firstLine="709"/>
        <w:jc w:val="both"/>
      </w:pPr>
      <w:r>
        <w:t>Savukārt apgabaltiesa spriedum</w:t>
      </w:r>
      <w:r w:rsidR="00F07D28">
        <w:t>ā norādījusi, ka</w:t>
      </w:r>
      <w:r w:rsidR="00F02DF7">
        <w:t xml:space="preserve"> tam</w:t>
      </w:r>
      <w:r w:rsidR="00F02DF7" w:rsidRPr="00C1100F">
        <w:t>, vai pieteicēja zināja, ka Itālijas uzņēmumi ir uzskatāmi par fiktīviem, nav nozīmes</w:t>
      </w:r>
      <w:r w:rsidR="00C86BCA">
        <w:t xml:space="preserve">. </w:t>
      </w:r>
      <w:r w:rsidR="00F02DF7">
        <w:t>Spriedums</w:t>
      </w:r>
      <w:r>
        <w:t xml:space="preserve"> pamatots ar </w:t>
      </w:r>
      <w:r w:rsidR="00F02DF7">
        <w:t xml:space="preserve">to, ka </w:t>
      </w:r>
      <w:r w:rsidR="00726716">
        <w:t xml:space="preserve">atbilstoši </w:t>
      </w:r>
      <w:r w:rsidR="00726716" w:rsidRPr="00726716">
        <w:t xml:space="preserve">Pievienotās vērtības nodokļa likuma </w:t>
      </w:r>
      <w:proofErr w:type="gramStart"/>
      <w:r w:rsidR="00726716" w:rsidRPr="00726716">
        <w:t>125.panta</w:t>
      </w:r>
      <w:proofErr w:type="gramEnd"/>
      <w:r w:rsidR="00726716" w:rsidRPr="00726716">
        <w:t xml:space="preserve"> pirmās daļas 16.punkt</w:t>
      </w:r>
      <w:r w:rsidR="00726716">
        <w:t>am</w:t>
      </w:r>
      <w:r w:rsidR="00726716" w:rsidRPr="00726716">
        <w:t>, ja par nodokļa samaksu ir atbildīgs preču vai pakalpojumu saņēmējs, rēķinā</w:t>
      </w:r>
      <w:r w:rsidR="00726716">
        <w:t xml:space="preserve"> </w:t>
      </w:r>
      <w:r w:rsidR="00726716" w:rsidRPr="00726716">
        <w:t xml:space="preserve">ietverama norāde „nodokļa </w:t>
      </w:r>
      <w:r w:rsidR="00726716" w:rsidRPr="00726716">
        <w:lastRenderedPageBreak/>
        <w:t>apgrieztā maksāšana”</w:t>
      </w:r>
      <w:r w:rsidR="00726716">
        <w:t xml:space="preserve">, un Itālijas uzņēmumiem izrakstītie rēķini šādu norādi neietver. Tiesa norādīja, ka </w:t>
      </w:r>
      <w:r w:rsidR="00342ACE">
        <w:t xml:space="preserve">atbilstoši </w:t>
      </w:r>
      <w:r w:rsidR="00342ACE" w:rsidRPr="00342ACE">
        <w:t xml:space="preserve">Eiropas Savienības Tiesas </w:t>
      </w:r>
      <w:proofErr w:type="gramStart"/>
      <w:r w:rsidR="00342ACE" w:rsidRPr="00342ACE">
        <w:t>2022.gada</w:t>
      </w:r>
      <w:proofErr w:type="gramEnd"/>
      <w:r w:rsidR="00342ACE" w:rsidRPr="00342ACE">
        <w:t xml:space="preserve"> 8.decembra sprieduma</w:t>
      </w:r>
      <w:r w:rsidR="00342ACE">
        <w:t>m</w:t>
      </w:r>
      <w:r w:rsidR="00342ACE" w:rsidRPr="00342ACE">
        <w:t xml:space="preserve"> lietā „</w:t>
      </w:r>
      <w:proofErr w:type="spellStart"/>
      <w:r w:rsidR="00342ACE" w:rsidRPr="00342ACE">
        <w:rPr>
          <w:i/>
          <w:iCs/>
        </w:rPr>
        <w:t>Luxury</w:t>
      </w:r>
      <w:proofErr w:type="spellEnd"/>
      <w:r w:rsidR="00342ACE" w:rsidRPr="00342ACE">
        <w:rPr>
          <w:i/>
          <w:iCs/>
        </w:rPr>
        <w:t xml:space="preserve"> </w:t>
      </w:r>
      <w:proofErr w:type="spellStart"/>
      <w:r w:rsidR="00342ACE" w:rsidRPr="00342ACE">
        <w:rPr>
          <w:i/>
          <w:iCs/>
        </w:rPr>
        <w:t>Trust</w:t>
      </w:r>
      <w:proofErr w:type="spellEnd"/>
      <w:r w:rsidR="00342ACE" w:rsidRPr="00342ACE">
        <w:rPr>
          <w:i/>
          <w:iCs/>
        </w:rPr>
        <w:t xml:space="preserve"> </w:t>
      </w:r>
      <w:proofErr w:type="spellStart"/>
      <w:r w:rsidR="00342ACE" w:rsidRPr="00342ACE">
        <w:rPr>
          <w:i/>
          <w:iCs/>
        </w:rPr>
        <w:t>Automobil</w:t>
      </w:r>
      <w:proofErr w:type="spellEnd"/>
      <w:r w:rsidR="00342ACE" w:rsidRPr="00342ACE">
        <w:rPr>
          <w:i/>
          <w:iCs/>
        </w:rPr>
        <w:t xml:space="preserve"> </w:t>
      </w:r>
      <w:proofErr w:type="spellStart"/>
      <w:r w:rsidR="00342ACE" w:rsidRPr="00342ACE">
        <w:rPr>
          <w:i/>
          <w:iCs/>
        </w:rPr>
        <w:t>GmbH</w:t>
      </w:r>
      <w:proofErr w:type="spellEnd"/>
      <w:r w:rsidR="00342ACE" w:rsidRPr="00342ACE">
        <w:rPr>
          <w:i/>
          <w:iCs/>
        </w:rPr>
        <w:t xml:space="preserve"> pret </w:t>
      </w:r>
      <w:proofErr w:type="spellStart"/>
      <w:r w:rsidR="00342ACE" w:rsidRPr="00342ACE">
        <w:rPr>
          <w:i/>
          <w:iCs/>
        </w:rPr>
        <w:t>Finanzamt</w:t>
      </w:r>
      <w:proofErr w:type="spellEnd"/>
      <w:r w:rsidR="00342ACE" w:rsidRPr="00342ACE">
        <w:rPr>
          <w:i/>
          <w:iCs/>
        </w:rPr>
        <w:t xml:space="preserve"> </w:t>
      </w:r>
      <w:proofErr w:type="spellStart"/>
      <w:r w:rsidR="00342ACE" w:rsidRPr="00342ACE">
        <w:rPr>
          <w:i/>
          <w:iCs/>
        </w:rPr>
        <w:t>Österreich</w:t>
      </w:r>
      <w:proofErr w:type="spellEnd"/>
      <w:r w:rsidR="00342ACE" w:rsidRPr="00342ACE">
        <w:t xml:space="preserve">”, C-247/21, </w:t>
      </w:r>
      <w:hyperlink r:id="rId10" w:history="1">
        <w:r w:rsidR="00342ACE" w:rsidRPr="00342ACE">
          <w:rPr>
            <w:rStyle w:val="Hyperlink"/>
          </w:rPr>
          <w:t>ECLI:EU:C:2022:966</w:t>
        </w:r>
      </w:hyperlink>
      <w:r w:rsidR="00342ACE" w:rsidRPr="00342ACE">
        <w:t>, trīspusēja</w:t>
      </w:r>
      <w:r w:rsidR="00342ACE">
        <w:t xml:space="preserve"> </w:t>
      </w:r>
      <w:r w:rsidR="00342ACE" w:rsidRPr="00342ACE">
        <w:t>darījuma starpposma pircējs nevar aizstāt norādi „</w:t>
      </w:r>
      <w:r w:rsidR="00E12DED">
        <w:t>n</w:t>
      </w:r>
      <w:r w:rsidR="00E12DED" w:rsidRPr="00342ACE">
        <w:t xml:space="preserve">odokļa </w:t>
      </w:r>
      <w:r w:rsidR="00342ACE" w:rsidRPr="00342ACE">
        <w:t>apgrieztā maksāšana” ar kādu citu</w:t>
      </w:r>
      <w:r w:rsidR="00342ACE">
        <w:t xml:space="preserve"> </w:t>
      </w:r>
      <w:r w:rsidR="00342ACE" w:rsidRPr="00342ACE">
        <w:t>norādi</w:t>
      </w:r>
      <w:r w:rsidR="00342ACE">
        <w:t>. Līdz ar to</w:t>
      </w:r>
      <w:r w:rsidR="00FB381B">
        <w:t>, ņemot vērā, ka</w:t>
      </w:r>
      <w:r w:rsidR="00342ACE">
        <w:t xml:space="preserve"> Itālijas uzņēmumi </w:t>
      </w:r>
      <w:r w:rsidR="00342ACE" w:rsidRPr="00342ACE">
        <w:t>nebija</w:t>
      </w:r>
      <w:r w:rsidR="00342ACE">
        <w:t xml:space="preserve"> </w:t>
      </w:r>
      <w:r w:rsidR="00342ACE" w:rsidRPr="00342ACE">
        <w:t>atbilstoši noteikt</w:t>
      </w:r>
      <w:r w:rsidR="00342ACE">
        <w:t>i</w:t>
      </w:r>
      <w:r w:rsidR="00342ACE" w:rsidRPr="00342ACE">
        <w:t xml:space="preserve"> kā atbildīg</w:t>
      </w:r>
      <w:r w:rsidR="00342ACE">
        <w:t>ie</w:t>
      </w:r>
      <w:r w:rsidR="00342ACE" w:rsidRPr="00342ACE">
        <w:t xml:space="preserve"> par nodokļa samaksu par iegādi Eiropas Savienībā savas valsts</w:t>
      </w:r>
      <w:r w:rsidR="00342ACE">
        <w:t xml:space="preserve"> </w:t>
      </w:r>
      <w:r w:rsidR="00342ACE" w:rsidRPr="00342ACE">
        <w:t xml:space="preserve">budžetā kā strīdus preču </w:t>
      </w:r>
      <w:proofErr w:type="spellStart"/>
      <w:r w:rsidR="00342ACE" w:rsidRPr="00342ACE">
        <w:t>galasaņēmēj</w:t>
      </w:r>
      <w:r w:rsidR="00342ACE">
        <w:t>i</w:t>
      </w:r>
      <w:proofErr w:type="spellEnd"/>
      <w:r w:rsidR="00FB381B">
        <w:t>, a</w:t>
      </w:r>
      <w:r w:rsidR="00342ACE">
        <w:t xml:space="preserve">tbilstoši </w:t>
      </w:r>
      <w:r w:rsidR="00342ACE" w:rsidRPr="00342ACE">
        <w:t>Pievienotās</w:t>
      </w:r>
      <w:r w:rsidR="00342ACE">
        <w:t xml:space="preserve"> </w:t>
      </w:r>
      <w:r w:rsidR="00342ACE" w:rsidRPr="00342ACE">
        <w:t>vērtības nodokļa likuma 16.panta treš</w:t>
      </w:r>
      <w:r w:rsidR="00342ACE">
        <w:t>ajai</w:t>
      </w:r>
      <w:r w:rsidR="00342ACE" w:rsidRPr="00342ACE">
        <w:t xml:space="preserve"> daļ</w:t>
      </w:r>
      <w:r w:rsidR="00342ACE">
        <w:t xml:space="preserve">ai </w:t>
      </w:r>
      <w:r w:rsidR="00342ACE" w:rsidRPr="00342ACE">
        <w:t xml:space="preserve">tieši pieteicēja ir atzīstama par atbildīgo par </w:t>
      </w:r>
      <w:r w:rsidR="00342ACE">
        <w:t xml:space="preserve">pievienotās vērtības nodokļa </w:t>
      </w:r>
      <w:r w:rsidR="00342ACE" w:rsidRPr="00342ACE">
        <w:t>samaksu Latvijas valsts budžetā.</w:t>
      </w:r>
    </w:p>
    <w:p w14:paraId="3BC0708F" w14:textId="39CC9268" w:rsidR="00286840" w:rsidRPr="009736E0" w:rsidRDefault="00BC6493" w:rsidP="00582914">
      <w:pPr>
        <w:spacing w:line="276" w:lineRule="auto"/>
        <w:ind w:firstLine="720"/>
        <w:jc w:val="both"/>
      </w:pPr>
      <w:r>
        <w:t>Ievērojot minēto,</w:t>
      </w:r>
      <w:r w:rsidR="00F02DF7">
        <w:t xml:space="preserve"> </w:t>
      </w:r>
      <w:r w:rsidR="009736E0" w:rsidRPr="009736E0">
        <w:t xml:space="preserve">apgabaltiesa atzinusi, ka pieteicēja </w:t>
      </w:r>
      <w:r w:rsidR="009736E0">
        <w:t xml:space="preserve">strīdus darījumiem </w:t>
      </w:r>
      <w:r w:rsidR="009736E0" w:rsidRPr="002B439F">
        <w:t>nebija tiesīga piemērot</w:t>
      </w:r>
      <w:r w:rsidR="009736E0">
        <w:t xml:space="preserve"> </w:t>
      </w:r>
      <w:r w:rsidR="009736E0" w:rsidRPr="002B439F">
        <w:t>nodokļa 0</w:t>
      </w:r>
      <w:r w:rsidR="009736E0">
        <w:t> </w:t>
      </w:r>
      <w:r w:rsidR="009736E0" w:rsidRPr="002B439F">
        <w:t>procentu likmi</w:t>
      </w:r>
      <w:r w:rsidR="009736E0" w:rsidRPr="009736E0">
        <w:t xml:space="preserve">, jo </w:t>
      </w:r>
      <w:r w:rsidR="009736E0">
        <w:t>strīdus darījumu attaisnojuma dokumenti</w:t>
      </w:r>
      <w:r w:rsidR="00726716">
        <w:t xml:space="preserve"> </w:t>
      </w:r>
      <w:r w:rsidR="009736E0">
        <w:t xml:space="preserve">neatbilst </w:t>
      </w:r>
      <w:r w:rsidR="00582914" w:rsidRPr="00582914">
        <w:t xml:space="preserve">Pievienotās vērtības nodokļa likuma </w:t>
      </w:r>
      <w:proofErr w:type="gramStart"/>
      <w:r w:rsidR="00582914" w:rsidRPr="00582914">
        <w:t>125.panta</w:t>
      </w:r>
      <w:proofErr w:type="gramEnd"/>
      <w:r w:rsidR="00582914" w:rsidRPr="00582914">
        <w:t xml:space="preserve"> pirmās daļas 16.punkt</w:t>
      </w:r>
      <w:r w:rsidR="00582914">
        <w:t xml:space="preserve">ā </w:t>
      </w:r>
      <w:r w:rsidR="00726716">
        <w:t xml:space="preserve">noteiktajai prasībai </w:t>
      </w:r>
      <w:r w:rsidR="00582914" w:rsidRPr="00582914">
        <w:t>rēķinā</w:t>
      </w:r>
      <w:r w:rsidR="00582914">
        <w:t xml:space="preserve"> </w:t>
      </w:r>
      <w:r w:rsidR="00582914" w:rsidRPr="00582914">
        <w:t>ietver</w:t>
      </w:r>
      <w:r w:rsidR="00582914">
        <w:t xml:space="preserve">t </w:t>
      </w:r>
      <w:r w:rsidR="00582914" w:rsidRPr="00582914">
        <w:t>norād</w:t>
      </w:r>
      <w:r w:rsidR="00582914">
        <w:t>i</w:t>
      </w:r>
      <w:r w:rsidR="00582914" w:rsidRPr="00582914">
        <w:t xml:space="preserve"> „nodokļa apgrieztā maksāšana”</w:t>
      </w:r>
      <w:r w:rsidR="009736E0" w:rsidRPr="009736E0">
        <w:t xml:space="preserve">. Taču dienests šādu apstākli – </w:t>
      </w:r>
      <w:r w:rsidR="009736E0">
        <w:t xml:space="preserve">strīdus rēķinos ietverto atsauču </w:t>
      </w:r>
      <w:r w:rsidR="00726716">
        <w:t xml:space="preserve">atbilstību tiesību normās noteiktajām </w:t>
      </w:r>
      <w:r w:rsidR="00342ACE">
        <w:t xml:space="preserve">rēķina </w:t>
      </w:r>
      <w:r w:rsidR="00726716">
        <w:t>satura prasībām</w:t>
      </w:r>
      <w:r w:rsidR="009736E0" w:rsidRPr="009736E0">
        <w:t xml:space="preserve"> – pārsūdzētajā</w:t>
      </w:r>
      <w:r w:rsidR="009736E0">
        <w:t xml:space="preserve"> </w:t>
      </w:r>
      <w:r w:rsidR="009736E0" w:rsidRPr="009736E0">
        <w:t xml:space="preserve">lēmumā nemaz nav vērtējis. Tātad tiesa, pārbaudot </w:t>
      </w:r>
      <w:r w:rsidR="00342ACE">
        <w:t xml:space="preserve">pārsūdzētā </w:t>
      </w:r>
      <w:r w:rsidR="009736E0" w:rsidRPr="009736E0">
        <w:t xml:space="preserve">lēmuma tiesiskumu, ir ņēmusi vērā tādus apstākļus, kurus iestāde lēmumā </w:t>
      </w:r>
      <w:r w:rsidR="009736E0">
        <w:t xml:space="preserve">nav </w:t>
      </w:r>
      <w:r w:rsidR="009736E0" w:rsidRPr="009736E0">
        <w:t>ietvērusi.</w:t>
      </w:r>
      <w:r w:rsidR="009736E0">
        <w:t xml:space="preserve"> Līdz ar to Senāts </w:t>
      </w:r>
      <w:r w:rsidR="009736E0" w:rsidRPr="009736E0">
        <w:t xml:space="preserve">atzīst, ka tiesa ir mainījusi administratīvā akta pamatojumu un </w:t>
      </w:r>
      <w:r w:rsidR="009736E0">
        <w:t>tādējādi</w:t>
      </w:r>
      <w:r w:rsidR="009736E0" w:rsidRPr="009736E0">
        <w:t xml:space="preserve"> pārkāpusi Administratīvā procesa</w:t>
      </w:r>
      <w:r w:rsidR="009736E0">
        <w:t xml:space="preserve"> </w:t>
      </w:r>
      <w:r w:rsidR="009736E0" w:rsidRPr="009736E0">
        <w:t xml:space="preserve">likuma </w:t>
      </w:r>
      <w:proofErr w:type="gramStart"/>
      <w:r w:rsidR="009736E0" w:rsidRPr="009736E0">
        <w:t>250.panta</w:t>
      </w:r>
      <w:proofErr w:type="gramEnd"/>
      <w:r w:rsidR="009736E0" w:rsidRPr="009736E0">
        <w:t xml:space="preserve"> otro daļu.</w:t>
      </w:r>
    </w:p>
    <w:p w14:paraId="5831DAB1" w14:textId="77777777" w:rsidR="00597D1B" w:rsidRDefault="00597D1B" w:rsidP="009736E0">
      <w:pPr>
        <w:spacing w:line="276" w:lineRule="auto"/>
        <w:jc w:val="both"/>
      </w:pPr>
    </w:p>
    <w:p w14:paraId="06768112" w14:textId="066CBD43" w:rsidR="00597D1B" w:rsidRDefault="00B90F74" w:rsidP="009343C1">
      <w:pPr>
        <w:spacing w:line="276" w:lineRule="auto"/>
        <w:ind w:firstLine="720"/>
        <w:jc w:val="both"/>
      </w:pPr>
      <w:r w:rsidRPr="00B90F74">
        <w:t>[</w:t>
      </w:r>
      <w:r w:rsidR="00034B36">
        <w:t>8</w:t>
      </w:r>
      <w:r w:rsidRPr="00B90F74">
        <w:t>]</w:t>
      </w:r>
      <w:r w:rsidR="009343C1">
        <w:t> </w:t>
      </w:r>
      <w:r w:rsidRPr="00B90F74">
        <w:t>Ievērojot, ka spriedums atceļams sakarā ar administratīvā akta pamatojuma maiņu,</w:t>
      </w:r>
      <w:r w:rsidR="009343C1">
        <w:t xml:space="preserve"> </w:t>
      </w:r>
      <w:r w:rsidRPr="00B90F74">
        <w:t>nav</w:t>
      </w:r>
      <w:r>
        <w:t xml:space="preserve"> </w:t>
      </w:r>
      <w:r w:rsidRPr="00B90F74">
        <w:t xml:space="preserve">lietderīgi vērtēt </w:t>
      </w:r>
      <w:r w:rsidR="009343C1">
        <w:t xml:space="preserve">citus </w:t>
      </w:r>
      <w:r>
        <w:t xml:space="preserve">kasācijas sūdzībā </w:t>
      </w:r>
      <w:r w:rsidR="009343C1">
        <w:t>i</w:t>
      </w:r>
      <w:r>
        <w:t>zteiktos iebildumus</w:t>
      </w:r>
      <w:r w:rsidR="009343C1">
        <w:t xml:space="preserve">, piemēram, </w:t>
      </w:r>
      <w:r w:rsidRPr="00B90F74">
        <w:t xml:space="preserve">par to, </w:t>
      </w:r>
      <w:r>
        <w:t xml:space="preserve">ka </w:t>
      </w:r>
      <w:r w:rsidRPr="00B90F74">
        <w:t xml:space="preserve">procesa dalībniekiem </w:t>
      </w:r>
      <w:r>
        <w:t>ne</w:t>
      </w:r>
      <w:r w:rsidRPr="00B90F74">
        <w:t>bija iespēja par šo jauno pamatojumu</w:t>
      </w:r>
      <w:r>
        <w:t xml:space="preserve"> </w:t>
      </w:r>
      <w:r w:rsidRPr="00B90F74">
        <w:t>izteikties</w:t>
      </w:r>
      <w:r w:rsidR="00BE5463">
        <w:t>, vai par to, ka strīdus rēķinos izmantot</w:t>
      </w:r>
      <w:r w:rsidR="008670CD">
        <w:t xml:space="preserve">ās </w:t>
      </w:r>
      <w:r w:rsidR="00BE5463">
        <w:t xml:space="preserve">atsauces </w:t>
      </w:r>
      <w:r w:rsidR="008670CD">
        <w:t xml:space="preserve">ir atbilstošas </w:t>
      </w:r>
      <w:r>
        <w:t xml:space="preserve">(sal. </w:t>
      </w:r>
      <w:r w:rsidR="009343C1" w:rsidRPr="009343C1">
        <w:rPr>
          <w:i/>
          <w:iCs/>
        </w:rPr>
        <w:t xml:space="preserve">Senāta 2023.gada 19.septembra sprieduma lietā Nr. SKA-145/2023, </w:t>
      </w:r>
      <w:hyperlink r:id="rId11" w:history="1">
        <w:r w:rsidR="009343C1" w:rsidRPr="009343C1">
          <w:rPr>
            <w:rStyle w:val="Hyperlink"/>
            <w:i/>
            <w:iCs/>
          </w:rPr>
          <w:t>ECLI:LV:AT:2023:0919.A420131119.11.S</w:t>
        </w:r>
      </w:hyperlink>
      <w:r w:rsidR="009343C1" w:rsidRPr="009343C1">
        <w:rPr>
          <w:i/>
          <w:iCs/>
        </w:rPr>
        <w:t>, 9.punkts</w:t>
      </w:r>
      <w:r w:rsidR="009343C1">
        <w:t>).</w:t>
      </w:r>
    </w:p>
    <w:p w14:paraId="7726AEB7" w14:textId="77777777" w:rsidR="006C362A" w:rsidRDefault="006C362A" w:rsidP="009343C1">
      <w:pPr>
        <w:spacing w:line="276" w:lineRule="auto"/>
        <w:jc w:val="both"/>
      </w:pPr>
    </w:p>
    <w:p w14:paraId="190169A2" w14:textId="0FB675D5" w:rsidR="00E50433" w:rsidRPr="00B90F74" w:rsidRDefault="00476576" w:rsidP="00B90F74">
      <w:pPr>
        <w:spacing w:line="276" w:lineRule="auto"/>
        <w:ind w:firstLine="720"/>
        <w:jc w:val="both"/>
      </w:pPr>
      <w:r w:rsidRPr="008D30F1">
        <w:rPr>
          <w:bCs/>
          <w:shd w:val="clear" w:color="auto" w:fill="FFFFFF"/>
        </w:rPr>
        <w:t>[</w:t>
      </w:r>
      <w:r w:rsidR="00034B36">
        <w:rPr>
          <w:bCs/>
          <w:shd w:val="clear" w:color="auto" w:fill="FFFFFF"/>
        </w:rPr>
        <w:t>9</w:t>
      </w:r>
      <w:r w:rsidRPr="008D30F1">
        <w:rPr>
          <w:bCs/>
          <w:shd w:val="clear" w:color="auto" w:fill="FFFFFF"/>
        </w:rPr>
        <w:t>]</w:t>
      </w:r>
      <w:r w:rsidR="00375AB5" w:rsidRPr="008D30F1">
        <w:rPr>
          <w:bCs/>
          <w:shd w:val="clear" w:color="auto" w:fill="FFFFFF"/>
        </w:rPr>
        <w:t> </w:t>
      </w:r>
      <w:r w:rsidR="00DE7BC1" w:rsidRPr="00B90F74">
        <w:t>Apkopojot</w:t>
      </w:r>
      <w:r w:rsidR="00375AB5" w:rsidRPr="00B90F74">
        <w:t xml:space="preserve"> minēto, </w:t>
      </w:r>
      <w:r w:rsidR="00AB159F" w:rsidRPr="00B90F74">
        <w:t xml:space="preserve">Senāts atzīst, </w:t>
      </w:r>
      <w:r w:rsidR="000505F6" w:rsidRPr="00B90F74">
        <w:t xml:space="preserve">ka apgabaltiesa ir </w:t>
      </w:r>
      <w:r w:rsidR="00DE7BC1" w:rsidRPr="00B90F74">
        <w:t xml:space="preserve">pārkāpusi Administratīvā procesa likuma </w:t>
      </w:r>
      <w:proofErr w:type="gramStart"/>
      <w:r w:rsidR="00BC6493" w:rsidRPr="00B90F74">
        <w:t>250.pantu</w:t>
      </w:r>
      <w:proofErr w:type="gramEnd"/>
      <w:r w:rsidR="00B90F74" w:rsidRPr="00B90F74">
        <w:t>, jo pieteikumu noraidījusi, nepieļaujami balstoties uz tādiem apstākļiem, ar kuriem nebija pamatots pārsūdzētais administratīvais akts.</w:t>
      </w:r>
      <w:r w:rsidR="00EC7EB4" w:rsidRPr="00B90F74">
        <w:t xml:space="preserve"> </w:t>
      </w:r>
      <w:r w:rsidR="00AB159F" w:rsidRPr="00B90F74">
        <w:t xml:space="preserve">Tāpēc </w:t>
      </w:r>
      <w:r w:rsidR="00375AB5" w:rsidRPr="00B90F74">
        <w:t xml:space="preserve">spriedums ir atceļams un lieta nosūtāma </w:t>
      </w:r>
      <w:r w:rsidR="00226779" w:rsidRPr="00B90F74">
        <w:t>apgabal</w:t>
      </w:r>
      <w:r w:rsidR="00375AB5" w:rsidRPr="00B90F74">
        <w:t>tiesai jaunai izskatīšanai.</w:t>
      </w:r>
    </w:p>
    <w:p w14:paraId="0E474EAE" w14:textId="77777777" w:rsidR="00716B1E" w:rsidRPr="00375AB5" w:rsidRDefault="00716B1E" w:rsidP="00375AB5">
      <w:pPr>
        <w:spacing w:line="276" w:lineRule="auto"/>
        <w:ind w:firstLine="567"/>
        <w:jc w:val="both"/>
      </w:pPr>
    </w:p>
    <w:p w14:paraId="720C66E3" w14:textId="0F53B2DC" w:rsidR="008F79A9" w:rsidRPr="00A00D0A" w:rsidRDefault="008F79A9" w:rsidP="009F7537">
      <w:pPr>
        <w:spacing w:line="276" w:lineRule="auto"/>
        <w:jc w:val="center"/>
        <w:rPr>
          <w:b/>
          <w:bCs/>
          <w:shd w:val="clear" w:color="auto" w:fill="FFFFFF"/>
        </w:rPr>
      </w:pPr>
      <w:r w:rsidRPr="00A00D0A">
        <w:rPr>
          <w:b/>
          <w:bCs/>
          <w:shd w:val="clear" w:color="auto" w:fill="FFFFFF"/>
        </w:rPr>
        <w:t>Rezolutīvā daļa</w:t>
      </w:r>
    </w:p>
    <w:p w14:paraId="26650150" w14:textId="77777777" w:rsidR="009F7537" w:rsidRPr="00E71F04" w:rsidRDefault="009F7537" w:rsidP="009F7537">
      <w:pPr>
        <w:spacing w:line="276" w:lineRule="auto"/>
        <w:jc w:val="center"/>
        <w:rPr>
          <w:shd w:val="clear" w:color="auto" w:fill="FFFFFF"/>
        </w:rPr>
      </w:pPr>
    </w:p>
    <w:p w14:paraId="41E9A568" w14:textId="01D8118A" w:rsidR="00F404BD" w:rsidRPr="00221170" w:rsidRDefault="00F404BD" w:rsidP="00685F5F">
      <w:pPr>
        <w:spacing w:line="276" w:lineRule="auto"/>
        <w:ind w:firstLine="709"/>
        <w:jc w:val="both"/>
      </w:pPr>
      <w:r w:rsidRPr="00E71F04">
        <w:t xml:space="preserve">Pamatojoties uz </w:t>
      </w:r>
      <w:r w:rsidRPr="00221170">
        <w:t xml:space="preserve">Administratīvā procesa likuma </w:t>
      </w:r>
      <w:r w:rsidR="00212CB5" w:rsidRPr="00221170">
        <w:t>129.</w:t>
      </w:r>
      <w:proofErr w:type="gramStart"/>
      <w:r w:rsidR="00212CB5" w:rsidRPr="00221170">
        <w:rPr>
          <w:vertAlign w:val="superscript"/>
        </w:rPr>
        <w:t>1</w:t>
      </w:r>
      <w:r w:rsidR="00212CB5" w:rsidRPr="00221170">
        <w:t>panta</w:t>
      </w:r>
      <w:proofErr w:type="gramEnd"/>
      <w:r w:rsidR="00212CB5" w:rsidRPr="00221170">
        <w:t xml:space="preserve"> pirmās daļas 1.punktu, 348.panta pirmās daļas 2.punktu un 351.pantu, Senāts</w:t>
      </w:r>
    </w:p>
    <w:p w14:paraId="2B0837FE" w14:textId="77777777" w:rsidR="00212CB5" w:rsidRPr="00221170" w:rsidRDefault="00212CB5" w:rsidP="00212CB5">
      <w:pPr>
        <w:spacing w:line="276" w:lineRule="auto"/>
        <w:ind w:firstLine="720"/>
        <w:jc w:val="both"/>
      </w:pPr>
    </w:p>
    <w:p w14:paraId="3B7B518F" w14:textId="77777777" w:rsidR="00F404BD" w:rsidRPr="00221170" w:rsidRDefault="00F404BD" w:rsidP="005556B3">
      <w:pPr>
        <w:spacing w:line="276" w:lineRule="auto"/>
        <w:jc w:val="center"/>
        <w:rPr>
          <w:b/>
          <w:bCs/>
        </w:rPr>
      </w:pPr>
      <w:r w:rsidRPr="00221170">
        <w:rPr>
          <w:b/>
          <w:bCs/>
        </w:rPr>
        <w:t>nosprieda</w:t>
      </w:r>
    </w:p>
    <w:p w14:paraId="04F4BF6F" w14:textId="77777777" w:rsidR="00F404BD" w:rsidRPr="006C362A" w:rsidRDefault="00F404BD" w:rsidP="005556B3">
      <w:pPr>
        <w:spacing w:line="276" w:lineRule="auto"/>
        <w:ind w:firstLine="720"/>
        <w:jc w:val="both"/>
      </w:pPr>
    </w:p>
    <w:p w14:paraId="3C60A8B1" w14:textId="66C9E449" w:rsidR="00F404BD" w:rsidRPr="006C362A" w:rsidRDefault="00374068" w:rsidP="00685F5F">
      <w:pPr>
        <w:spacing w:line="276" w:lineRule="auto"/>
        <w:ind w:firstLine="709"/>
        <w:jc w:val="both"/>
      </w:pPr>
      <w:r w:rsidRPr="006C362A">
        <w:t>atcelt</w:t>
      </w:r>
      <w:r w:rsidR="00F404BD" w:rsidRPr="006C362A">
        <w:t xml:space="preserve"> Administratīvās </w:t>
      </w:r>
      <w:r w:rsidR="00226779" w:rsidRPr="006C362A">
        <w:t>apgabal</w:t>
      </w:r>
      <w:r w:rsidR="00F404BD" w:rsidRPr="006C362A">
        <w:t xml:space="preserve">tiesas </w:t>
      </w:r>
      <w:proofErr w:type="gramStart"/>
      <w:r w:rsidR="00F404BD" w:rsidRPr="006C362A">
        <w:t>202</w:t>
      </w:r>
      <w:r w:rsidR="00BC6493" w:rsidRPr="006C362A">
        <w:t>5</w:t>
      </w:r>
      <w:r w:rsidR="00F404BD" w:rsidRPr="006C362A">
        <w:t>.gada</w:t>
      </w:r>
      <w:proofErr w:type="gramEnd"/>
      <w:r w:rsidR="00F404BD" w:rsidRPr="006C362A">
        <w:t xml:space="preserve"> </w:t>
      </w:r>
      <w:r w:rsidR="006C362A" w:rsidRPr="006C362A">
        <w:t>2</w:t>
      </w:r>
      <w:r w:rsidR="00226779" w:rsidRPr="006C362A">
        <w:t>7.februāra</w:t>
      </w:r>
      <w:r w:rsidR="00F404BD" w:rsidRPr="006C362A">
        <w:t xml:space="preserve"> spriedumu</w:t>
      </w:r>
      <w:r w:rsidRPr="006C362A">
        <w:t xml:space="preserve"> un </w:t>
      </w:r>
      <w:r w:rsidR="00212CB5" w:rsidRPr="006C362A">
        <w:t xml:space="preserve">nosūtīt lietu Administratīvajai </w:t>
      </w:r>
      <w:r w:rsidR="00226779" w:rsidRPr="006C362A">
        <w:t>apgabal</w:t>
      </w:r>
      <w:r w:rsidR="00212CB5" w:rsidRPr="006C362A">
        <w:t>tiesai jaunai izskatīšanai;</w:t>
      </w:r>
    </w:p>
    <w:p w14:paraId="223219D2" w14:textId="7792FF31" w:rsidR="00374068" w:rsidRPr="00E71F04" w:rsidRDefault="00212CB5" w:rsidP="00685F5F">
      <w:pPr>
        <w:spacing w:line="276" w:lineRule="auto"/>
        <w:ind w:firstLine="709"/>
        <w:jc w:val="both"/>
      </w:pPr>
      <w:r w:rsidRPr="00221170">
        <w:t>a</w:t>
      </w:r>
      <w:r w:rsidR="00374068" w:rsidRPr="00221170">
        <w:t>tmaksāt</w:t>
      </w:r>
      <w:r w:rsidRPr="00221170">
        <w:t xml:space="preserve"> </w:t>
      </w:r>
      <w:r w:rsidR="00B90F74">
        <w:t xml:space="preserve">TEGOS zvērinātu advokātu birojs SIA (iepriekšējais nosaukums – TGS BALTIC zvērinātu advokātu birojs SIA) </w:t>
      </w:r>
      <w:r w:rsidR="00635F63" w:rsidRPr="00221170">
        <w:t xml:space="preserve">par </w:t>
      </w:r>
      <w:r w:rsidR="006C362A">
        <w:t xml:space="preserve">sabiedrības ar ierobežotu </w:t>
      </w:r>
      <w:r w:rsidR="006C362A" w:rsidRPr="006C362A">
        <w:t>atbildību „</w:t>
      </w:r>
      <w:proofErr w:type="spellStart"/>
      <w:r w:rsidR="00BC6493" w:rsidRPr="006C362A">
        <w:t>Baltic</w:t>
      </w:r>
      <w:proofErr w:type="spellEnd"/>
      <w:r w:rsidR="00BC6493" w:rsidRPr="006C362A">
        <w:t xml:space="preserve"> granulas</w:t>
      </w:r>
      <w:r w:rsidR="006C362A" w:rsidRPr="006C362A">
        <w:t xml:space="preserve">” </w:t>
      </w:r>
      <w:r w:rsidR="00635F63" w:rsidRPr="006C362A">
        <w:t xml:space="preserve">kasācijas </w:t>
      </w:r>
      <w:r w:rsidR="00635F63" w:rsidRPr="00E71F04">
        <w:t>sūdzību samaksāto</w:t>
      </w:r>
      <w:r w:rsidR="00374068" w:rsidRPr="00E71F04">
        <w:t xml:space="preserve"> drošības naudu</w:t>
      </w:r>
      <w:r w:rsidRPr="00E71F04">
        <w:t xml:space="preserve"> 70</w:t>
      </w:r>
      <w:r w:rsidR="002B00EF">
        <w:t> </w:t>
      </w:r>
      <w:proofErr w:type="spellStart"/>
      <w:r w:rsidRPr="00E71F04">
        <w:rPr>
          <w:i/>
          <w:iCs/>
        </w:rPr>
        <w:t>euro</w:t>
      </w:r>
      <w:proofErr w:type="spellEnd"/>
      <w:r w:rsidRPr="00E71F04">
        <w:t>.</w:t>
      </w:r>
    </w:p>
    <w:p w14:paraId="63345DF3" w14:textId="77777777" w:rsidR="00F404BD" w:rsidRDefault="00F404BD" w:rsidP="005556B3">
      <w:pPr>
        <w:spacing w:line="276" w:lineRule="auto"/>
        <w:ind w:firstLine="720"/>
        <w:jc w:val="both"/>
      </w:pPr>
    </w:p>
    <w:p w14:paraId="561BD467" w14:textId="77777777" w:rsidR="00E4160E" w:rsidRDefault="00E4160E" w:rsidP="005556B3">
      <w:pPr>
        <w:spacing w:line="276" w:lineRule="auto"/>
        <w:ind w:firstLine="720"/>
        <w:jc w:val="both"/>
      </w:pPr>
    </w:p>
    <w:p w14:paraId="50E1328A" w14:textId="77777777" w:rsidR="00E4160E" w:rsidRDefault="00E4160E" w:rsidP="005556B3">
      <w:pPr>
        <w:spacing w:line="276" w:lineRule="auto"/>
        <w:ind w:firstLine="720"/>
        <w:jc w:val="both"/>
      </w:pPr>
    </w:p>
    <w:p w14:paraId="6B051056" w14:textId="77777777" w:rsidR="00F404BD" w:rsidRPr="00E71F04" w:rsidRDefault="00F404BD" w:rsidP="00685F5F">
      <w:pPr>
        <w:spacing w:line="276" w:lineRule="auto"/>
        <w:ind w:firstLine="709"/>
        <w:jc w:val="both"/>
      </w:pPr>
      <w:r w:rsidRPr="00E71F04">
        <w:lastRenderedPageBreak/>
        <w:t>Spriedums nav pārsūdzams.</w:t>
      </w:r>
    </w:p>
    <w:p w14:paraId="5F35DB9C" w14:textId="3036CCA9" w:rsidR="00C93C1A" w:rsidRDefault="00C93C1A" w:rsidP="005556B3">
      <w:pPr>
        <w:spacing w:line="276" w:lineRule="auto"/>
      </w:pPr>
    </w:p>
    <w:sectPr w:rsidR="00C93C1A" w:rsidSect="0091093E">
      <w:footerReference w:type="default" r:id="rId12"/>
      <w:pgSz w:w="11906" w:h="16838" w:code="9"/>
      <w:pgMar w:top="1077" w:right="1644" w:bottom="1077"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4737" w14:textId="77777777" w:rsidR="0079201F" w:rsidRDefault="0079201F" w:rsidP="00C92956">
      <w:r>
        <w:separator/>
      </w:r>
    </w:p>
  </w:endnote>
  <w:endnote w:type="continuationSeparator" w:id="0">
    <w:p w14:paraId="3A92D504" w14:textId="77777777" w:rsidR="0079201F" w:rsidRDefault="0079201F" w:rsidP="00C9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4A07" w14:textId="586CF0F4" w:rsidR="00EF033B" w:rsidRPr="00EF033B" w:rsidRDefault="00EF033B">
    <w:pPr>
      <w:pStyle w:val="Footer"/>
      <w:jc w:val="center"/>
      <w:rPr>
        <w:sz w:val="20"/>
        <w:szCs w:val="20"/>
      </w:rPr>
    </w:pPr>
    <w:r w:rsidRPr="00EF033B">
      <w:rPr>
        <w:sz w:val="20"/>
        <w:szCs w:val="20"/>
      </w:rPr>
      <w:t xml:space="preserve"> </w:t>
    </w:r>
    <w:r w:rsidRPr="00EF033B">
      <w:rPr>
        <w:sz w:val="20"/>
        <w:szCs w:val="20"/>
      </w:rPr>
      <w:fldChar w:fldCharType="begin"/>
    </w:r>
    <w:r w:rsidRPr="00EF033B">
      <w:rPr>
        <w:sz w:val="20"/>
        <w:szCs w:val="20"/>
      </w:rPr>
      <w:instrText xml:space="preserve"> PAGE  \* Arabic  \* MERGEFORMAT </w:instrText>
    </w:r>
    <w:r w:rsidRPr="00EF033B">
      <w:rPr>
        <w:sz w:val="20"/>
        <w:szCs w:val="20"/>
      </w:rPr>
      <w:fldChar w:fldCharType="separate"/>
    </w:r>
    <w:r w:rsidRPr="00EF033B">
      <w:rPr>
        <w:noProof/>
        <w:sz w:val="20"/>
        <w:szCs w:val="20"/>
      </w:rPr>
      <w:t>2</w:t>
    </w:r>
    <w:r w:rsidRPr="00EF033B">
      <w:rPr>
        <w:sz w:val="20"/>
        <w:szCs w:val="20"/>
      </w:rPr>
      <w:fldChar w:fldCharType="end"/>
    </w:r>
    <w:r w:rsidRPr="00EF033B">
      <w:rPr>
        <w:sz w:val="20"/>
        <w:szCs w:val="20"/>
      </w:rPr>
      <w:t xml:space="preserve"> no </w:t>
    </w:r>
    <w:r w:rsidRPr="00EF033B">
      <w:rPr>
        <w:sz w:val="20"/>
        <w:szCs w:val="20"/>
      </w:rPr>
      <w:fldChar w:fldCharType="begin"/>
    </w:r>
    <w:r w:rsidRPr="00EF033B">
      <w:rPr>
        <w:sz w:val="20"/>
        <w:szCs w:val="20"/>
      </w:rPr>
      <w:instrText xml:space="preserve"> NUMPAGES  \* Arabic  \* MERGEFORMAT </w:instrText>
    </w:r>
    <w:r w:rsidRPr="00EF033B">
      <w:rPr>
        <w:sz w:val="20"/>
        <w:szCs w:val="20"/>
      </w:rPr>
      <w:fldChar w:fldCharType="separate"/>
    </w:r>
    <w:r w:rsidRPr="00EF033B">
      <w:rPr>
        <w:noProof/>
        <w:sz w:val="20"/>
        <w:szCs w:val="20"/>
      </w:rPr>
      <w:t>2</w:t>
    </w:r>
    <w:r w:rsidRPr="00EF033B">
      <w:rPr>
        <w:sz w:val="20"/>
        <w:szCs w:val="20"/>
      </w:rPr>
      <w:fldChar w:fldCharType="end"/>
    </w:r>
  </w:p>
  <w:p w14:paraId="5996B25F" w14:textId="36D46F85" w:rsidR="00C92956" w:rsidRPr="004D7B85" w:rsidRDefault="00C92956" w:rsidP="004D7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F13A" w14:textId="77777777" w:rsidR="0079201F" w:rsidRDefault="0079201F" w:rsidP="00C92956">
      <w:r>
        <w:separator/>
      </w:r>
    </w:p>
  </w:footnote>
  <w:footnote w:type="continuationSeparator" w:id="0">
    <w:p w14:paraId="55C6845D" w14:textId="77777777" w:rsidR="0079201F" w:rsidRDefault="0079201F" w:rsidP="00C92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33ED4FE0"/>
    <w:multiLevelType w:val="hybridMultilevel"/>
    <w:tmpl w:val="0B5038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390080"/>
    <w:multiLevelType w:val="hybridMultilevel"/>
    <w:tmpl w:val="0D584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36E73"/>
    <w:multiLevelType w:val="hybridMultilevel"/>
    <w:tmpl w:val="BCA45B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8C17C40"/>
    <w:multiLevelType w:val="hybridMultilevel"/>
    <w:tmpl w:val="7E7000A0"/>
    <w:lvl w:ilvl="0" w:tplc="AABEE80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F04F6"/>
    <w:multiLevelType w:val="hybridMultilevel"/>
    <w:tmpl w:val="BDD41556"/>
    <w:lvl w:ilvl="0" w:tplc="9EF0D756">
      <w:start w:val="15"/>
      <w:numFmt w:val="bullet"/>
      <w:lvlText w:val=""/>
      <w:lvlJc w:val="left"/>
      <w:pPr>
        <w:ind w:left="927" w:hanging="360"/>
      </w:pPr>
      <w:rPr>
        <w:rFonts w:ascii="Symbol" w:eastAsia="Times New Roman" w:hAnsi="Symbol" w:cstheme="maj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79D544BD"/>
    <w:multiLevelType w:val="hybridMultilevel"/>
    <w:tmpl w:val="27962664"/>
    <w:lvl w:ilvl="0" w:tplc="2DC40E0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695882">
    <w:abstractNumId w:val="0"/>
  </w:num>
  <w:num w:numId="2" w16cid:durableId="774446487">
    <w:abstractNumId w:val="5"/>
  </w:num>
  <w:num w:numId="3" w16cid:durableId="548687117">
    <w:abstractNumId w:val="3"/>
  </w:num>
  <w:num w:numId="4" w16cid:durableId="1306623654">
    <w:abstractNumId w:val="4"/>
  </w:num>
  <w:num w:numId="5" w16cid:durableId="347414124">
    <w:abstractNumId w:val="1"/>
  </w:num>
  <w:num w:numId="6" w16cid:durableId="1682581768">
    <w:abstractNumId w:val="6"/>
  </w:num>
  <w:num w:numId="7" w16cid:durableId="2116515123">
    <w:abstractNumId w:val="7"/>
  </w:num>
  <w:num w:numId="8" w16cid:durableId="52012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44C4"/>
    <w:rsid w:val="00005537"/>
    <w:rsid w:val="00010F3D"/>
    <w:rsid w:val="00012265"/>
    <w:rsid w:val="000130BF"/>
    <w:rsid w:val="00014DC2"/>
    <w:rsid w:val="0002071C"/>
    <w:rsid w:val="000310D1"/>
    <w:rsid w:val="0003356F"/>
    <w:rsid w:val="00033C7D"/>
    <w:rsid w:val="00034657"/>
    <w:rsid w:val="00034B36"/>
    <w:rsid w:val="00037A32"/>
    <w:rsid w:val="0004081E"/>
    <w:rsid w:val="00044FE0"/>
    <w:rsid w:val="00046A5D"/>
    <w:rsid w:val="000505F6"/>
    <w:rsid w:val="00055E01"/>
    <w:rsid w:val="000570A8"/>
    <w:rsid w:val="00061233"/>
    <w:rsid w:val="000632C5"/>
    <w:rsid w:val="00071D10"/>
    <w:rsid w:val="00072B9E"/>
    <w:rsid w:val="00073524"/>
    <w:rsid w:val="00073909"/>
    <w:rsid w:val="00081BB4"/>
    <w:rsid w:val="00083FA8"/>
    <w:rsid w:val="0009205B"/>
    <w:rsid w:val="00092DB7"/>
    <w:rsid w:val="0009383E"/>
    <w:rsid w:val="000A3F42"/>
    <w:rsid w:val="000A5890"/>
    <w:rsid w:val="000B1383"/>
    <w:rsid w:val="000B2980"/>
    <w:rsid w:val="000B3B71"/>
    <w:rsid w:val="000B3CDF"/>
    <w:rsid w:val="000C1A0A"/>
    <w:rsid w:val="000C2491"/>
    <w:rsid w:val="000C33AC"/>
    <w:rsid w:val="000C3C41"/>
    <w:rsid w:val="000C541F"/>
    <w:rsid w:val="000C5DA4"/>
    <w:rsid w:val="000C7701"/>
    <w:rsid w:val="000D1FED"/>
    <w:rsid w:val="000D21F0"/>
    <w:rsid w:val="000D26FE"/>
    <w:rsid w:val="000E170E"/>
    <w:rsid w:val="000E1864"/>
    <w:rsid w:val="000E1D57"/>
    <w:rsid w:val="000E3AFC"/>
    <w:rsid w:val="000E7B65"/>
    <w:rsid w:val="000F0CF7"/>
    <w:rsid w:val="000F492B"/>
    <w:rsid w:val="000F637C"/>
    <w:rsid w:val="001114E6"/>
    <w:rsid w:val="00113A01"/>
    <w:rsid w:val="001153A6"/>
    <w:rsid w:val="00117467"/>
    <w:rsid w:val="00120133"/>
    <w:rsid w:val="00125EFA"/>
    <w:rsid w:val="001368BB"/>
    <w:rsid w:val="00137316"/>
    <w:rsid w:val="00142E8E"/>
    <w:rsid w:val="00146C53"/>
    <w:rsid w:val="00147B00"/>
    <w:rsid w:val="0015102A"/>
    <w:rsid w:val="0015396C"/>
    <w:rsid w:val="00153B67"/>
    <w:rsid w:val="00155E1E"/>
    <w:rsid w:val="00157F01"/>
    <w:rsid w:val="00160E1C"/>
    <w:rsid w:val="00161A8D"/>
    <w:rsid w:val="00163747"/>
    <w:rsid w:val="00166857"/>
    <w:rsid w:val="001724BE"/>
    <w:rsid w:val="00176515"/>
    <w:rsid w:val="0018031C"/>
    <w:rsid w:val="00182227"/>
    <w:rsid w:val="00185A38"/>
    <w:rsid w:val="00186F2D"/>
    <w:rsid w:val="001914FE"/>
    <w:rsid w:val="001962BE"/>
    <w:rsid w:val="001972BC"/>
    <w:rsid w:val="001A0369"/>
    <w:rsid w:val="001A268A"/>
    <w:rsid w:val="001A2B3A"/>
    <w:rsid w:val="001A2D31"/>
    <w:rsid w:val="001A5030"/>
    <w:rsid w:val="001A557A"/>
    <w:rsid w:val="001B0980"/>
    <w:rsid w:val="001B5D7D"/>
    <w:rsid w:val="001B6BDC"/>
    <w:rsid w:val="001C44FC"/>
    <w:rsid w:val="001C5B23"/>
    <w:rsid w:val="001C6FF6"/>
    <w:rsid w:val="001D144A"/>
    <w:rsid w:val="001D799A"/>
    <w:rsid w:val="001E0D0F"/>
    <w:rsid w:val="001E1C9C"/>
    <w:rsid w:val="001E50DB"/>
    <w:rsid w:val="001E5C91"/>
    <w:rsid w:val="001F63B4"/>
    <w:rsid w:val="002027CB"/>
    <w:rsid w:val="00204459"/>
    <w:rsid w:val="00212CB5"/>
    <w:rsid w:val="00221170"/>
    <w:rsid w:val="00226779"/>
    <w:rsid w:val="00232C77"/>
    <w:rsid w:val="0023626F"/>
    <w:rsid w:val="00240C40"/>
    <w:rsid w:val="002419A5"/>
    <w:rsid w:val="00244700"/>
    <w:rsid w:val="002448AB"/>
    <w:rsid w:val="00246B1B"/>
    <w:rsid w:val="00261812"/>
    <w:rsid w:val="002623A2"/>
    <w:rsid w:val="00263D01"/>
    <w:rsid w:val="0027200F"/>
    <w:rsid w:val="002729C0"/>
    <w:rsid w:val="00275EE6"/>
    <w:rsid w:val="00276063"/>
    <w:rsid w:val="00276276"/>
    <w:rsid w:val="00280DDA"/>
    <w:rsid w:val="002834B4"/>
    <w:rsid w:val="00285FB9"/>
    <w:rsid w:val="0028618D"/>
    <w:rsid w:val="00286840"/>
    <w:rsid w:val="00286D95"/>
    <w:rsid w:val="00287313"/>
    <w:rsid w:val="002921EC"/>
    <w:rsid w:val="00297283"/>
    <w:rsid w:val="00297935"/>
    <w:rsid w:val="002A0EB9"/>
    <w:rsid w:val="002A57F2"/>
    <w:rsid w:val="002A707A"/>
    <w:rsid w:val="002B00EF"/>
    <w:rsid w:val="002B086C"/>
    <w:rsid w:val="002B439F"/>
    <w:rsid w:val="002B72B0"/>
    <w:rsid w:val="002B72BA"/>
    <w:rsid w:val="002C07F3"/>
    <w:rsid w:val="002C380F"/>
    <w:rsid w:val="002C6066"/>
    <w:rsid w:val="002C7160"/>
    <w:rsid w:val="002D554D"/>
    <w:rsid w:val="002E3A20"/>
    <w:rsid w:val="002E4FE4"/>
    <w:rsid w:val="002E5FEE"/>
    <w:rsid w:val="002E73D0"/>
    <w:rsid w:val="002F0A73"/>
    <w:rsid w:val="002F0F4F"/>
    <w:rsid w:val="002F2F19"/>
    <w:rsid w:val="002F4C2D"/>
    <w:rsid w:val="00301BAA"/>
    <w:rsid w:val="00304E75"/>
    <w:rsid w:val="0030514E"/>
    <w:rsid w:val="003059DE"/>
    <w:rsid w:val="003204F0"/>
    <w:rsid w:val="003268AB"/>
    <w:rsid w:val="00332995"/>
    <w:rsid w:val="0033556D"/>
    <w:rsid w:val="00336103"/>
    <w:rsid w:val="00340A5B"/>
    <w:rsid w:val="00342ACE"/>
    <w:rsid w:val="00344903"/>
    <w:rsid w:val="00344F2D"/>
    <w:rsid w:val="003519DE"/>
    <w:rsid w:val="003606F7"/>
    <w:rsid w:val="00364354"/>
    <w:rsid w:val="00365744"/>
    <w:rsid w:val="00372B79"/>
    <w:rsid w:val="00372D2C"/>
    <w:rsid w:val="00374068"/>
    <w:rsid w:val="00375AB5"/>
    <w:rsid w:val="003802B0"/>
    <w:rsid w:val="00381252"/>
    <w:rsid w:val="00382907"/>
    <w:rsid w:val="00386C23"/>
    <w:rsid w:val="0039026F"/>
    <w:rsid w:val="00391A90"/>
    <w:rsid w:val="00391C79"/>
    <w:rsid w:val="00391D5C"/>
    <w:rsid w:val="00392A75"/>
    <w:rsid w:val="003948D6"/>
    <w:rsid w:val="00396E2D"/>
    <w:rsid w:val="003A1A15"/>
    <w:rsid w:val="003A2C7C"/>
    <w:rsid w:val="003A44EB"/>
    <w:rsid w:val="003A4BE8"/>
    <w:rsid w:val="003A4E0E"/>
    <w:rsid w:val="003B15C6"/>
    <w:rsid w:val="003B46D9"/>
    <w:rsid w:val="003B5403"/>
    <w:rsid w:val="003C1CE1"/>
    <w:rsid w:val="003C4A51"/>
    <w:rsid w:val="003C7834"/>
    <w:rsid w:val="003D0FF1"/>
    <w:rsid w:val="003D2D29"/>
    <w:rsid w:val="003D31D8"/>
    <w:rsid w:val="003D44D4"/>
    <w:rsid w:val="003E07ED"/>
    <w:rsid w:val="003F2FCF"/>
    <w:rsid w:val="003F4CFD"/>
    <w:rsid w:val="003F5E79"/>
    <w:rsid w:val="003F6561"/>
    <w:rsid w:val="004002B1"/>
    <w:rsid w:val="00401A24"/>
    <w:rsid w:val="004023D3"/>
    <w:rsid w:val="00407116"/>
    <w:rsid w:val="004133E0"/>
    <w:rsid w:val="004178F9"/>
    <w:rsid w:val="00417D6A"/>
    <w:rsid w:val="00421500"/>
    <w:rsid w:val="00424E0D"/>
    <w:rsid w:val="00425B3A"/>
    <w:rsid w:val="00436C03"/>
    <w:rsid w:val="0043745A"/>
    <w:rsid w:val="0044298B"/>
    <w:rsid w:val="004432BE"/>
    <w:rsid w:val="00445925"/>
    <w:rsid w:val="00446C6C"/>
    <w:rsid w:val="00447EE6"/>
    <w:rsid w:val="0045462D"/>
    <w:rsid w:val="00462A79"/>
    <w:rsid w:val="00462AF1"/>
    <w:rsid w:val="004639C7"/>
    <w:rsid w:val="00463BFE"/>
    <w:rsid w:val="00465109"/>
    <w:rsid w:val="00465D9E"/>
    <w:rsid w:val="00466301"/>
    <w:rsid w:val="00467381"/>
    <w:rsid w:val="004728A0"/>
    <w:rsid w:val="0047342B"/>
    <w:rsid w:val="00475925"/>
    <w:rsid w:val="00476458"/>
    <w:rsid w:val="00476576"/>
    <w:rsid w:val="00487E30"/>
    <w:rsid w:val="004A0CA1"/>
    <w:rsid w:val="004A7A65"/>
    <w:rsid w:val="004B2A94"/>
    <w:rsid w:val="004B6A70"/>
    <w:rsid w:val="004B73F9"/>
    <w:rsid w:val="004C53B9"/>
    <w:rsid w:val="004C58B9"/>
    <w:rsid w:val="004D0473"/>
    <w:rsid w:val="004D2BF5"/>
    <w:rsid w:val="004D5A52"/>
    <w:rsid w:val="004D7B85"/>
    <w:rsid w:val="004E0802"/>
    <w:rsid w:val="004E7A1E"/>
    <w:rsid w:val="004E7C55"/>
    <w:rsid w:val="004F2977"/>
    <w:rsid w:val="004F60F0"/>
    <w:rsid w:val="005016B3"/>
    <w:rsid w:val="00501BB2"/>
    <w:rsid w:val="00505D15"/>
    <w:rsid w:val="00506A27"/>
    <w:rsid w:val="00506B89"/>
    <w:rsid w:val="0051066F"/>
    <w:rsid w:val="00521194"/>
    <w:rsid w:val="005216EB"/>
    <w:rsid w:val="00522682"/>
    <w:rsid w:val="00523D53"/>
    <w:rsid w:val="005329FF"/>
    <w:rsid w:val="0053596D"/>
    <w:rsid w:val="005406AF"/>
    <w:rsid w:val="00546F91"/>
    <w:rsid w:val="0054788A"/>
    <w:rsid w:val="00547C02"/>
    <w:rsid w:val="00550C5D"/>
    <w:rsid w:val="00550EBB"/>
    <w:rsid w:val="0055424A"/>
    <w:rsid w:val="005556B3"/>
    <w:rsid w:val="005565CF"/>
    <w:rsid w:val="005573A5"/>
    <w:rsid w:val="00571546"/>
    <w:rsid w:val="00572958"/>
    <w:rsid w:val="005755AD"/>
    <w:rsid w:val="005766BD"/>
    <w:rsid w:val="00582079"/>
    <w:rsid w:val="005821AC"/>
    <w:rsid w:val="00582914"/>
    <w:rsid w:val="00584088"/>
    <w:rsid w:val="00584C31"/>
    <w:rsid w:val="005864AB"/>
    <w:rsid w:val="00586CFD"/>
    <w:rsid w:val="0059207C"/>
    <w:rsid w:val="00597D1B"/>
    <w:rsid w:val="005A0ABD"/>
    <w:rsid w:val="005B279F"/>
    <w:rsid w:val="005B77C2"/>
    <w:rsid w:val="005C1C63"/>
    <w:rsid w:val="005C232F"/>
    <w:rsid w:val="005D0EBE"/>
    <w:rsid w:val="005D2096"/>
    <w:rsid w:val="005D5DC8"/>
    <w:rsid w:val="005D6D00"/>
    <w:rsid w:val="005F15F5"/>
    <w:rsid w:val="005F1CA0"/>
    <w:rsid w:val="005F1EEF"/>
    <w:rsid w:val="005F2351"/>
    <w:rsid w:val="0060472E"/>
    <w:rsid w:val="00606426"/>
    <w:rsid w:val="0060649F"/>
    <w:rsid w:val="006065FD"/>
    <w:rsid w:val="00610D29"/>
    <w:rsid w:val="006117C2"/>
    <w:rsid w:val="006134B1"/>
    <w:rsid w:val="00617BD2"/>
    <w:rsid w:val="00623496"/>
    <w:rsid w:val="006266C1"/>
    <w:rsid w:val="00627F5E"/>
    <w:rsid w:val="00635F63"/>
    <w:rsid w:val="006370DD"/>
    <w:rsid w:val="00641999"/>
    <w:rsid w:val="00643453"/>
    <w:rsid w:val="006500DA"/>
    <w:rsid w:val="0065736F"/>
    <w:rsid w:val="0065749C"/>
    <w:rsid w:val="00661AEC"/>
    <w:rsid w:val="0066213A"/>
    <w:rsid w:val="00664B91"/>
    <w:rsid w:val="00667E25"/>
    <w:rsid w:val="00671543"/>
    <w:rsid w:val="00672F00"/>
    <w:rsid w:val="006820D7"/>
    <w:rsid w:val="00685F5F"/>
    <w:rsid w:val="00694FA4"/>
    <w:rsid w:val="006A11EB"/>
    <w:rsid w:val="006B0C81"/>
    <w:rsid w:val="006B13F9"/>
    <w:rsid w:val="006B38F5"/>
    <w:rsid w:val="006B639B"/>
    <w:rsid w:val="006B658B"/>
    <w:rsid w:val="006C2475"/>
    <w:rsid w:val="006C362A"/>
    <w:rsid w:val="006C7023"/>
    <w:rsid w:val="006D3E55"/>
    <w:rsid w:val="006F3EE7"/>
    <w:rsid w:val="006F3FF6"/>
    <w:rsid w:val="0070704C"/>
    <w:rsid w:val="00716160"/>
    <w:rsid w:val="00716B1E"/>
    <w:rsid w:val="00721284"/>
    <w:rsid w:val="00723844"/>
    <w:rsid w:val="00726716"/>
    <w:rsid w:val="00733C8A"/>
    <w:rsid w:val="0074480C"/>
    <w:rsid w:val="00745292"/>
    <w:rsid w:val="00750F97"/>
    <w:rsid w:val="007513BC"/>
    <w:rsid w:val="007546D9"/>
    <w:rsid w:val="00763B8C"/>
    <w:rsid w:val="0076471D"/>
    <w:rsid w:val="00766FF9"/>
    <w:rsid w:val="00770545"/>
    <w:rsid w:val="00775FC4"/>
    <w:rsid w:val="00777A10"/>
    <w:rsid w:val="00780EDD"/>
    <w:rsid w:val="00781F95"/>
    <w:rsid w:val="0078258B"/>
    <w:rsid w:val="0079201F"/>
    <w:rsid w:val="00793346"/>
    <w:rsid w:val="007948C1"/>
    <w:rsid w:val="00794B04"/>
    <w:rsid w:val="00795481"/>
    <w:rsid w:val="007957CF"/>
    <w:rsid w:val="007975A9"/>
    <w:rsid w:val="007A06B4"/>
    <w:rsid w:val="007A0943"/>
    <w:rsid w:val="007A2F81"/>
    <w:rsid w:val="007A4B02"/>
    <w:rsid w:val="007A5C89"/>
    <w:rsid w:val="007A77DB"/>
    <w:rsid w:val="007B2CA9"/>
    <w:rsid w:val="007C0F5C"/>
    <w:rsid w:val="007C7A56"/>
    <w:rsid w:val="007D2E4A"/>
    <w:rsid w:val="007D4C24"/>
    <w:rsid w:val="007E0B43"/>
    <w:rsid w:val="007E41C0"/>
    <w:rsid w:val="007F0574"/>
    <w:rsid w:val="007F22F6"/>
    <w:rsid w:val="007F5D40"/>
    <w:rsid w:val="007F7D9C"/>
    <w:rsid w:val="0080195E"/>
    <w:rsid w:val="00805499"/>
    <w:rsid w:val="0080579E"/>
    <w:rsid w:val="00805868"/>
    <w:rsid w:val="00805FD3"/>
    <w:rsid w:val="00806EEA"/>
    <w:rsid w:val="00811CBC"/>
    <w:rsid w:val="00815C6B"/>
    <w:rsid w:val="008165D0"/>
    <w:rsid w:val="00816A67"/>
    <w:rsid w:val="008179F2"/>
    <w:rsid w:val="00840104"/>
    <w:rsid w:val="008508D3"/>
    <w:rsid w:val="00850FC2"/>
    <w:rsid w:val="00855C7A"/>
    <w:rsid w:val="00861F34"/>
    <w:rsid w:val="00862CD2"/>
    <w:rsid w:val="0086660D"/>
    <w:rsid w:val="008670CD"/>
    <w:rsid w:val="00867777"/>
    <w:rsid w:val="00871963"/>
    <w:rsid w:val="00872512"/>
    <w:rsid w:val="008746C4"/>
    <w:rsid w:val="0089394E"/>
    <w:rsid w:val="008963DF"/>
    <w:rsid w:val="00896769"/>
    <w:rsid w:val="008A1026"/>
    <w:rsid w:val="008A5D91"/>
    <w:rsid w:val="008B097A"/>
    <w:rsid w:val="008B1A43"/>
    <w:rsid w:val="008B4C11"/>
    <w:rsid w:val="008B7E5A"/>
    <w:rsid w:val="008C1227"/>
    <w:rsid w:val="008C202B"/>
    <w:rsid w:val="008C30B9"/>
    <w:rsid w:val="008C50CB"/>
    <w:rsid w:val="008D164F"/>
    <w:rsid w:val="008D30F1"/>
    <w:rsid w:val="008D45D3"/>
    <w:rsid w:val="008D5893"/>
    <w:rsid w:val="008D7748"/>
    <w:rsid w:val="008E02CF"/>
    <w:rsid w:val="008E47F3"/>
    <w:rsid w:val="008E5A89"/>
    <w:rsid w:val="008E5E22"/>
    <w:rsid w:val="008F0317"/>
    <w:rsid w:val="008F49B7"/>
    <w:rsid w:val="008F6C5C"/>
    <w:rsid w:val="008F6E7B"/>
    <w:rsid w:val="008F7912"/>
    <w:rsid w:val="008F79A9"/>
    <w:rsid w:val="00900427"/>
    <w:rsid w:val="0090318B"/>
    <w:rsid w:val="0090604E"/>
    <w:rsid w:val="00906DCB"/>
    <w:rsid w:val="0091093E"/>
    <w:rsid w:val="009113C2"/>
    <w:rsid w:val="00912F3C"/>
    <w:rsid w:val="00913258"/>
    <w:rsid w:val="00913731"/>
    <w:rsid w:val="0092293E"/>
    <w:rsid w:val="009234D8"/>
    <w:rsid w:val="00924E45"/>
    <w:rsid w:val="00927965"/>
    <w:rsid w:val="00930D43"/>
    <w:rsid w:val="00932358"/>
    <w:rsid w:val="00933226"/>
    <w:rsid w:val="00933FC3"/>
    <w:rsid w:val="009343C1"/>
    <w:rsid w:val="00935377"/>
    <w:rsid w:val="009414A6"/>
    <w:rsid w:val="00944C6E"/>
    <w:rsid w:val="00952000"/>
    <w:rsid w:val="009520B3"/>
    <w:rsid w:val="00952BF7"/>
    <w:rsid w:val="00955E84"/>
    <w:rsid w:val="00965193"/>
    <w:rsid w:val="009736E0"/>
    <w:rsid w:val="00975CDE"/>
    <w:rsid w:val="00975D9B"/>
    <w:rsid w:val="00976001"/>
    <w:rsid w:val="0098433D"/>
    <w:rsid w:val="009A0A26"/>
    <w:rsid w:val="009A1B82"/>
    <w:rsid w:val="009A282F"/>
    <w:rsid w:val="009A4AD5"/>
    <w:rsid w:val="009A4CF7"/>
    <w:rsid w:val="009B0050"/>
    <w:rsid w:val="009B0274"/>
    <w:rsid w:val="009C0C25"/>
    <w:rsid w:val="009C114A"/>
    <w:rsid w:val="009C1F2D"/>
    <w:rsid w:val="009C2152"/>
    <w:rsid w:val="009C7844"/>
    <w:rsid w:val="009C78C6"/>
    <w:rsid w:val="009E092E"/>
    <w:rsid w:val="009E377C"/>
    <w:rsid w:val="009E4D09"/>
    <w:rsid w:val="009E576A"/>
    <w:rsid w:val="009E5F77"/>
    <w:rsid w:val="009E6195"/>
    <w:rsid w:val="009F7537"/>
    <w:rsid w:val="00A00D0A"/>
    <w:rsid w:val="00A06AB1"/>
    <w:rsid w:val="00A07C5F"/>
    <w:rsid w:val="00A106C2"/>
    <w:rsid w:val="00A11089"/>
    <w:rsid w:val="00A1287A"/>
    <w:rsid w:val="00A13430"/>
    <w:rsid w:val="00A1521F"/>
    <w:rsid w:val="00A21A24"/>
    <w:rsid w:val="00A2429F"/>
    <w:rsid w:val="00A40288"/>
    <w:rsid w:val="00A41734"/>
    <w:rsid w:val="00A417BA"/>
    <w:rsid w:val="00A41875"/>
    <w:rsid w:val="00A429D5"/>
    <w:rsid w:val="00A5205E"/>
    <w:rsid w:val="00A5303C"/>
    <w:rsid w:val="00A53D65"/>
    <w:rsid w:val="00A54943"/>
    <w:rsid w:val="00A56C42"/>
    <w:rsid w:val="00A6009E"/>
    <w:rsid w:val="00A66EA9"/>
    <w:rsid w:val="00A71B6A"/>
    <w:rsid w:val="00A7225D"/>
    <w:rsid w:val="00A73E04"/>
    <w:rsid w:val="00A802CC"/>
    <w:rsid w:val="00A82C17"/>
    <w:rsid w:val="00A87345"/>
    <w:rsid w:val="00A96722"/>
    <w:rsid w:val="00AA3550"/>
    <w:rsid w:val="00AA3867"/>
    <w:rsid w:val="00AA6412"/>
    <w:rsid w:val="00AB0F8E"/>
    <w:rsid w:val="00AB159F"/>
    <w:rsid w:val="00AB4703"/>
    <w:rsid w:val="00AB7075"/>
    <w:rsid w:val="00AC6F6B"/>
    <w:rsid w:val="00AD7292"/>
    <w:rsid w:val="00AD76AD"/>
    <w:rsid w:val="00AE1503"/>
    <w:rsid w:val="00AE3EB4"/>
    <w:rsid w:val="00AF45C6"/>
    <w:rsid w:val="00AF50CC"/>
    <w:rsid w:val="00AF726E"/>
    <w:rsid w:val="00AF7465"/>
    <w:rsid w:val="00B0063E"/>
    <w:rsid w:val="00B02A1B"/>
    <w:rsid w:val="00B0638B"/>
    <w:rsid w:val="00B06693"/>
    <w:rsid w:val="00B07BEA"/>
    <w:rsid w:val="00B1239E"/>
    <w:rsid w:val="00B12882"/>
    <w:rsid w:val="00B1474E"/>
    <w:rsid w:val="00B15852"/>
    <w:rsid w:val="00B20315"/>
    <w:rsid w:val="00B25BA8"/>
    <w:rsid w:val="00B3124A"/>
    <w:rsid w:val="00B32BF3"/>
    <w:rsid w:val="00B4039A"/>
    <w:rsid w:val="00B41BB8"/>
    <w:rsid w:val="00B46361"/>
    <w:rsid w:val="00B50A92"/>
    <w:rsid w:val="00B51096"/>
    <w:rsid w:val="00B54F4B"/>
    <w:rsid w:val="00B62505"/>
    <w:rsid w:val="00B657FD"/>
    <w:rsid w:val="00B66088"/>
    <w:rsid w:val="00B6646D"/>
    <w:rsid w:val="00B67C85"/>
    <w:rsid w:val="00B717CF"/>
    <w:rsid w:val="00B72E67"/>
    <w:rsid w:val="00B81DC4"/>
    <w:rsid w:val="00B83128"/>
    <w:rsid w:val="00B8673A"/>
    <w:rsid w:val="00B87FD2"/>
    <w:rsid w:val="00B90F74"/>
    <w:rsid w:val="00B924B3"/>
    <w:rsid w:val="00B93301"/>
    <w:rsid w:val="00BA1711"/>
    <w:rsid w:val="00BA21C5"/>
    <w:rsid w:val="00BA2E1F"/>
    <w:rsid w:val="00BA38BF"/>
    <w:rsid w:val="00BA574E"/>
    <w:rsid w:val="00BA6124"/>
    <w:rsid w:val="00BA64D8"/>
    <w:rsid w:val="00BB2BBE"/>
    <w:rsid w:val="00BB726A"/>
    <w:rsid w:val="00BB729D"/>
    <w:rsid w:val="00BC6493"/>
    <w:rsid w:val="00BD4102"/>
    <w:rsid w:val="00BD7BAC"/>
    <w:rsid w:val="00BE3F44"/>
    <w:rsid w:val="00BE4F66"/>
    <w:rsid w:val="00BE5463"/>
    <w:rsid w:val="00BE70B8"/>
    <w:rsid w:val="00BE7A8B"/>
    <w:rsid w:val="00BE7BAA"/>
    <w:rsid w:val="00BF08AF"/>
    <w:rsid w:val="00C01A71"/>
    <w:rsid w:val="00C1100F"/>
    <w:rsid w:val="00C13254"/>
    <w:rsid w:val="00C13946"/>
    <w:rsid w:val="00C23818"/>
    <w:rsid w:val="00C24296"/>
    <w:rsid w:val="00C2637C"/>
    <w:rsid w:val="00C35663"/>
    <w:rsid w:val="00C400FC"/>
    <w:rsid w:val="00C4161B"/>
    <w:rsid w:val="00C43E82"/>
    <w:rsid w:val="00C44691"/>
    <w:rsid w:val="00C44BB1"/>
    <w:rsid w:val="00C5023B"/>
    <w:rsid w:val="00C5333E"/>
    <w:rsid w:val="00C61847"/>
    <w:rsid w:val="00C6557E"/>
    <w:rsid w:val="00C65DB6"/>
    <w:rsid w:val="00C7012B"/>
    <w:rsid w:val="00C705F7"/>
    <w:rsid w:val="00C70B2A"/>
    <w:rsid w:val="00C8176C"/>
    <w:rsid w:val="00C824DA"/>
    <w:rsid w:val="00C859AD"/>
    <w:rsid w:val="00C862C3"/>
    <w:rsid w:val="00C86BCA"/>
    <w:rsid w:val="00C87B58"/>
    <w:rsid w:val="00C87D60"/>
    <w:rsid w:val="00C92956"/>
    <w:rsid w:val="00C93C1A"/>
    <w:rsid w:val="00C94712"/>
    <w:rsid w:val="00CB469E"/>
    <w:rsid w:val="00CC3961"/>
    <w:rsid w:val="00CC6A6E"/>
    <w:rsid w:val="00CE2370"/>
    <w:rsid w:val="00CE2F10"/>
    <w:rsid w:val="00CE4DDF"/>
    <w:rsid w:val="00CF0D76"/>
    <w:rsid w:val="00CF11FD"/>
    <w:rsid w:val="00CF1B56"/>
    <w:rsid w:val="00D02174"/>
    <w:rsid w:val="00D048C3"/>
    <w:rsid w:val="00D04B72"/>
    <w:rsid w:val="00D079DD"/>
    <w:rsid w:val="00D15BAF"/>
    <w:rsid w:val="00D30F0D"/>
    <w:rsid w:val="00D31D7E"/>
    <w:rsid w:val="00D3624C"/>
    <w:rsid w:val="00D36A18"/>
    <w:rsid w:val="00D37221"/>
    <w:rsid w:val="00D40393"/>
    <w:rsid w:val="00D573FE"/>
    <w:rsid w:val="00D72C35"/>
    <w:rsid w:val="00D74E9B"/>
    <w:rsid w:val="00D752C2"/>
    <w:rsid w:val="00D85B27"/>
    <w:rsid w:val="00D86738"/>
    <w:rsid w:val="00D93EE4"/>
    <w:rsid w:val="00D9506B"/>
    <w:rsid w:val="00DA19EC"/>
    <w:rsid w:val="00DA23B2"/>
    <w:rsid w:val="00DA614D"/>
    <w:rsid w:val="00DA633E"/>
    <w:rsid w:val="00DA6CDF"/>
    <w:rsid w:val="00DA779F"/>
    <w:rsid w:val="00DB53E1"/>
    <w:rsid w:val="00DB60D9"/>
    <w:rsid w:val="00DB637E"/>
    <w:rsid w:val="00DB7EA9"/>
    <w:rsid w:val="00DC7CFA"/>
    <w:rsid w:val="00DD011C"/>
    <w:rsid w:val="00DD0FB8"/>
    <w:rsid w:val="00DD1843"/>
    <w:rsid w:val="00DD364F"/>
    <w:rsid w:val="00DD3C7A"/>
    <w:rsid w:val="00DD425D"/>
    <w:rsid w:val="00DD6FE0"/>
    <w:rsid w:val="00DE236E"/>
    <w:rsid w:val="00DE38E0"/>
    <w:rsid w:val="00DE5B25"/>
    <w:rsid w:val="00DE6C7D"/>
    <w:rsid w:val="00DE6E6F"/>
    <w:rsid w:val="00DE7BC1"/>
    <w:rsid w:val="00DF1CB2"/>
    <w:rsid w:val="00DF6D9F"/>
    <w:rsid w:val="00DF7C6A"/>
    <w:rsid w:val="00E01390"/>
    <w:rsid w:val="00E016C9"/>
    <w:rsid w:val="00E03086"/>
    <w:rsid w:val="00E03947"/>
    <w:rsid w:val="00E10627"/>
    <w:rsid w:val="00E12DED"/>
    <w:rsid w:val="00E20386"/>
    <w:rsid w:val="00E2764C"/>
    <w:rsid w:val="00E3040F"/>
    <w:rsid w:val="00E34325"/>
    <w:rsid w:val="00E346B8"/>
    <w:rsid w:val="00E354DA"/>
    <w:rsid w:val="00E375AE"/>
    <w:rsid w:val="00E40A27"/>
    <w:rsid w:val="00E40EE6"/>
    <w:rsid w:val="00E4160E"/>
    <w:rsid w:val="00E43767"/>
    <w:rsid w:val="00E4421B"/>
    <w:rsid w:val="00E4490A"/>
    <w:rsid w:val="00E46F0F"/>
    <w:rsid w:val="00E50433"/>
    <w:rsid w:val="00E509E3"/>
    <w:rsid w:val="00E51010"/>
    <w:rsid w:val="00E53625"/>
    <w:rsid w:val="00E5395F"/>
    <w:rsid w:val="00E56C06"/>
    <w:rsid w:val="00E633AC"/>
    <w:rsid w:val="00E667F2"/>
    <w:rsid w:val="00E71F04"/>
    <w:rsid w:val="00E74A12"/>
    <w:rsid w:val="00E7592B"/>
    <w:rsid w:val="00E7670E"/>
    <w:rsid w:val="00E82F53"/>
    <w:rsid w:val="00E9084C"/>
    <w:rsid w:val="00E93420"/>
    <w:rsid w:val="00E95661"/>
    <w:rsid w:val="00EA12FA"/>
    <w:rsid w:val="00EA21EB"/>
    <w:rsid w:val="00EA2574"/>
    <w:rsid w:val="00EA259B"/>
    <w:rsid w:val="00EB165F"/>
    <w:rsid w:val="00EB627A"/>
    <w:rsid w:val="00EC08E6"/>
    <w:rsid w:val="00EC7EB4"/>
    <w:rsid w:val="00ED0521"/>
    <w:rsid w:val="00ED2C2D"/>
    <w:rsid w:val="00ED7469"/>
    <w:rsid w:val="00ED7C47"/>
    <w:rsid w:val="00EE0D6D"/>
    <w:rsid w:val="00EE1134"/>
    <w:rsid w:val="00EE48A5"/>
    <w:rsid w:val="00EE7A3B"/>
    <w:rsid w:val="00EF033B"/>
    <w:rsid w:val="00EF0C2B"/>
    <w:rsid w:val="00EF3BC3"/>
    <w:rsid w:val="00F01B79"/>
    <w:rsid w:val="00F027BD"/>
    <w:rsid w:val="00F02CB4"/>
    <w:rsid w:val="00F02DCD"/>
    <w:rsid w:val="00F02DF7"/>
    <w:rsid w:val="00F07D28"/>
    <w:rsid w:val="00F10CB2"/>
    <w:rsid w:val="00F14E69"/>
    <w:rsid w:val="00F25B89"/>
    <w:rsid w:val="00F27525"/>
    <w:rsid w:val="00F27B2C"/>
    <w:rsid w:val="00F314B2"/>
    <w:rsid w:val="00F33791"/>
    <w:rsid w:val="00F37AAC"/>
    <w:rsid w:val="00F404BD"/>
    <w:rsid w:val="00F43BF7"/>
    <w:rsid w:val="00F44509"/>
    <w:rsid w:val="00F47D19"/>
    <w:rsid w:val="00F503F0"/>
    <w:rsid w:val="00F56B4F"/>
    <w:rsid w:val="00F6311D"/>
    <w:rsid w:val="00F65BA7"/>
    <w:rsid w:val="00F676D8"/>
    <w:rsid w:val="00F70931"/>
    <w:rsid w:val="00F72A89"/>
    <w:rsid w:val="00F7366A"/>
    <w:rsid w:val="00F73AB3"/>
    <w:rsid w:val="00F742B7"/>
    <w:rsid w:val="00F751D9"/>
    <w:rsid w:val="00F7667E"/>
    <w:rsid w:val="00F803BC"/>
    <w:rsid w:val="00F8120D"/>
    <w:rsid w:val="00F82A0C"/>
    <w:rsid w:val="00F94FEA"/>
    <w:rsid w:val="00FB381B"/>
    <w:rsid w:val="00FC04A9"/>
    <w:rsid w:val="00FC1724"/>
    <w:rsid w:val="00FE0A76"/>
    <w:rsid w:val="00FF09A3"/>
    <w:rsid w:val="00FF0AAC"/>
    <w:rsid w:val="00FF7D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Revision">
    <w:name w:val="Revision"/>
    <w:hidden/>
    <w:uiPriority w:val="99"/>
    <w:semiHidden/>
    <w:rsid w:val="00672F00"/>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3356F"/>
    <w:rPr>
      <w:sz w:val="16"/>
      <w:szCs w:val="16"/>
    </w:rPr>
  </w:style>
  <w:style w:type="paragraph" w:styleId="CommentText">
    <w:name w:val="annotation text"/>
    <w:basedOn w:val="Normal"/>
    <w:link w:val="CommentTextChar"/>
    <w:uiPriority w:val="99"/>
    <w:unhideWhenUsed/>
    <w:rsid w:val="0003356F"/>
    <w:rPr>
      <w:sz w:val="20"/>
      <w:szCs w:val="20"/>
    </w:rPr>
  </w:style>
  <w:style w:type="character" w:customStyle="1" w:styleId="CommentTextChar">
    <w:name w:val="Comment Text Char"/>
    <w:basedOn w:val="DefaultParagraphFont"/>
    <w:link w:val="CommentText"/>
    <w:uiPriority w:val="99"/>
    <w:rsid w:val="000335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3356F"/>
    <w:rPr>
      <w:b/>
      <w:bCs/>
    </w:rPr>
  </w:style>
  <w:style w:type="character" w:customStyle="1" w:styleId="CommentSubjectChar">
    <w:name w:val="Comment Subject Char"/>
    <w:basedOn w:val="CommentTextChar"/>
    <w:link w:val="CommentSubject"/>
    <w:uiPriority w:val="99"/>
    <w:semiHidden/>
    <w:rsid w:val="0003356F"/>
    <w:rPr>
      <w:rFonts w:eastAsia="Times New Roman" w:cs="Times New Roman"/>
      <w:b/>
      <w:bCs/>
      <w:sz w:val="20"/>
      <w:szCs w:val="20"/>
      <w:lang w:val="lv-LV" w:eastAsia="ru-RU"/>
    </w:rPr>
  </w:style>
  <w:style w:type="paragraph" w:styleId="Header">
    <w:name w:val="header"/>
    <w:basedOn w:val="Normal"/>
    <w:link w:val="HeaderChar"/>
    <w:uiPriority w:val="99"/>
    <w:unhideWhenUsed/>
    <w:rsid w:val="00C92956"/>
    <w:pPr>
      <w:tabs>
        <w:tab w:val="center" w:pos="4513"/>
        <w:tab w:val="right" w:pos="9026"/>
      </w:tabs>
    </w:pPr>
  </w:style>
  <w:style w:type="character" w:customStyle="1" w:styleId="HeaderChar">
    <w:name w:val="Header Char"/>
    <w:basedOn w:val="DefaultParagraphFont"/>
    <w:link w:val="Header"/>
    <w:uiPriority w:val="99"/>
    <w:rsid w:val="00C92956"/>
    <w:rPr>
      <w:rFonts w:eastAsia="Times New Roman" w:cs="Times New Roman"/>
      <w:szCs w:val="24"/>
      <w:lang w:val="lv-LV" w:eastAsia="ru-RU"/>
    </w:rPr>
  </w:style>
  <w:style w:type="paragraph" w:styleId="Footer">
    <w:name w:val="footer"/>
    <w:basedOn w:val="Normal"/>
    <w:link w:val="FooterChar"/>
    <w:uiPriority w:val="99"/>
    <w:unhideWhenUsed/>
    <w:rsid w:val="00C92956"/>
    <w:pPr>
      <w:tabs>
        <w:tab w:val="center" w:pos="4513"/>
        <w:tab w:val="right" w:pos="9026"/>
      </w:tabs>
    </w:pPr>
  </w:style>
  <w:style w:type="character" w:customStyle="1" w:styleId="FooterChar">
    <w:name w:val="Footer Char"/>
    <w:basedOn w:val="DefaultParagraphFont"/>
    <w:link w:val="Footer"/>
    <w:uiPriority w:val="99"/>
    <w:rsid w:val="00C92956"/>
    <w:rPr>
      <w:rFonts w:eastAsia="Times New Roman" w:cs="Times New Roman"/>
      <w:szCs w:val="24"/>
      <w:lang w:val="lv-LV" w:eastAsia="ru-RU"/>
    </w:rPr>
  </w:style>
  <w:style w:type="character" w:styleId="Hyperlink">
    <w:name w:val="Hyperlink"/>
    <w:basedOn w:val="DefaultParagraphFont"/>
    <w:uiPriority w:val="99"/>
    <w:unhideWhenUsed/>
    <w:rsid w:val="00DD0FB8"/>
    <w:rPr>
      <w:color w:val="0563C1" w:themeColor="hyperlink"/>
      <w:u w:val="single"/>
    </w:rPr>
  </w:style>
  <w:style w:type="character" w:styleId="UnresolvedMention">
    <w:name w:val="Unresolved Mention"/>
    <w:basedOn w:val="DefaultParagraphFont"/>
    <w:uiPriority w:val="99"/>
    <w:semiHidden/>
    <w:unhideWhenUsed/>
    <w:rsid w:val="00DD0FB8"/>
    <w:rPr>
      <w:color w:val="605E5C"/>
      <w:shd w:val="clear" w:color="auto" w:fill="E1DFDD"/>
    </w:rPr>
  </w:style>
  <w:style w:type="paragraph" w:styleId="ListParagraph">
    <w:name w:val="List Paragraph"/>
    <w:basedOn w:val="Normal"/>
    <w:link w:val="ListParagraphChar"/>
    <w:uiPriority w:val="34"/>
    <w:qFormat/>
    <w:rsid w:val="00775FC4"/>
    <w:pPr>
      <w:spacing w:after="160" w:line="259" w:lineRule="auto"/>
      <w:ind w:left="720"/>
      <w:contextualSpacing/>
    </w:pPr>
    <w:rPr>
      <w:rFonts w:eastAsiaTheme="minorHAnsi" w:cstheme="minorBidi"/>
      <w:szCs w:val="22"/>
      <w:lang w:val="en-US" w:eastAsia="en-US"/>
    </w:rPr>
  </w:style>
  <w:style w:type="paragraph" w:styleId="FootnoteText">
    <w:name w:val="footnote text"/>
    <w:aliases w:val="Char Char Char,Footnote Text1,Footnote Text1 Char Char Char,Footnote Text1 Char,Char Char,Footnote,Fußnote,Char,Char Rakstz. Rakstz. Rakstz. Rakstz. Rakstz. Rakstz. Rakstz.,Char Rakstz. Rakstz. Rakstz. Rakstz. Rakstz. Rakstz.,f"/>
    <w:basedOn w:val="Normal"/>
    <w:link w:val="FootnoteTextChar"/>
    <w:uiPriority w:val="99"/>
    <w:unhideWhenUsed/>
    <w:qFormat/>
    <w:rsid w:val="006D3E55"/>
    <w:rPr>
      <w:rFonts w:asciiTheme="minorHAnsi" w:eastAsiaTheme="minorHAnsi" w:hAnsiTheme="minorHAnsi" w:cstheme="minorBidi"/>
      <w:sz w:val="20"/>
      <w:szCs w:val="20"/>
      <w:lang w:eastAsia="en-US"/>
    </w:rPr>
  </w:style>
  <w:style w:type="character" w:customStyle="1" w:styleId="FootnoteTextChar">
    <w:name w:val="Footnote Text Char"/>
    <w:aliases w:val="Char Char Char Char1,Footnote Text1 Char1,Footnote Text1 Char Char Char Char,Footnote Text1 Char Char,Char Char Char1,Footnote Char,Fußnote Char,Char Char1,Char Rakstz. Rakstz. Rakstz. Rakstz. Rakstz. Rakstz. Rakstz. Char,f Char"/>
    <w:basedOn w:val="DefaultParagraphFont"/>
    <w:link w:val="FootnoteText"/>
    <w:uiPriority w:val="99"/>
    <w:qFormat/>
    <w:rsid w:val="006D3E55"/>
    <w:rPr>
      <w:rFonts w:asciiTheme="minorHAnsi" w:hAnsiTheme="minorHAnsi"/>
      <w:sz w:val="20"/>
      <w:szCs w:val="20"/>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6D3E55"/>
    <w:rPr>
      <w:vertAlign w:val="superscript"/>
    </w:rPr>
  </w:style>
  <w:style w:type="paragraph" w:customStyle="1" w:styleId="CharCharCharChar">
    <w:name w:val="Char Char Char Char"/>
    <w:aliases w:val="Char2"/>
    <w:basedOn w:val="Normal"/>
    <w:next w:val="Normal"/>
    <w:link w:val="FootnoteReference"/>
    <w:uiPriority w:val="99"/>
    <w:rsid w:val="006D3E55"/>
    <w:pPr>
      <w:spacing w:after="160" w:line="240" w:lineRule="exact"/>
      <w:jc w:val="both"/>
      <w:textAlignment w:val="baseline"/>
    </w:pPr>
    <w:rPr>
      <w:rFonts w:eastAsiaTheme="minorHAnsi" w:cstheme="minorBidi"/>
      <w:szCs w:val="22"/>
      <w:vertAlign w:val="superscript"/>
      <w:lang w:val="en-US" w:eastAsia="en-US"/>
    </w:rPr>
  </w:style>
  <w:style w:type="paragraph" w:customStyle="1" w:styleId="tv213">
    <w:name w:val="tv213"/>
    <w:basedOn w:val="Normal"/>
    <w:rsid w:val="006D3E55"/>
    <w:pPr>
      <w:spacing w:before="100" w:beforeAutospacing="1" w:after="100" w:afterAutospacing="1"/>
    </w:pPr>
    <w:rPr>
      <w:lang w:eastAsia="lv-LV"/>
    </w:rPr>
  </w:style>
  <w:style w:type="paragraph" w:customStyle="1" w:styleId="Default">
    <w:name w:val="Default"/>
    <w:rsid w:val="006065FD"/>
    <w:pPr>
      <w:autoSpaceDE w:val="0"/>
      <w:autoSpaceDN w:val="0"/>
      <w:adjustRightInd w:val="0"/>
      <w:spacing w:after="0" w:line="240" w:lineRule="auto"/>
    </w:pPr>
    <w:rPr>
      <w:rFonts w:cs="Times New Roman"/>
      <w:color w:val="000000"/>
      <w:szCs w:val="24"/>
    </w:rPr>
  </w:style>
  <w:style w:type="character" w:styleId="FollowedHyperlink">
    <w:name w:val="FollowedHyperlink"/>
    <w:basedOn w:val="DefaultParagraphFont"/>
    <w:uiPriority w:val="99"/>
    <w:semiHidden/>
    <w:unhideWhenUsed/>
    <w:rsid w:val="002B72B0"/>
    <w:rPr>
      <w:color w:val="954F72" w:themeColor="followedHyperlink"/>
      <w:u w:val="single"/>
    </w:rPr>
  </w:style>
  <w:style w:type="character" w:customStyle="1" w:styleId="ListParagraphChar">
    <w:name w:val="List Paragraph Char"/>
    <w:basedOn w:val="DefaultParagraphFont"/>
    <w:link w:val="ListParagraph"/>
    <w:uiPriority w:val="34"/>
    <w:rsid w:val="00B07BEA"/>
  </w:style>
  <w:style w:type="character" w:styleId="Emphasis">
    <w:name w:val="Emphasis"/>
    <w:basedOn w:val="DefaultParagraphFont"/>
    <w:uiPriority w:val="20"/>
    <w:qFormat/>
    <w:rsid w:val="00301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588">
      <w:bodyDiv w:val="1"/>
      <w:marLeft w:val="0"/>
      <w:marRight w:val="0"/>
      <w:marTop w:val="0"/>
      <w:marBottom w:val="0"/>
      <w:divBdr>
        <w:top w:val="none" w:sz="0" w:space="0" w:color="auto"/>
        <w:left w:val="none" w:sz="0" w:space="0" w:color="auto"/>
        <w:bottom w:val="none" w:sz="0" w:space="0" w:color="auto"/>
        <w:right w:val="none" w:sz="0" w:space="0" w:color="auto"/>
      </w:divBdr>
      <w:divsChild>
        <w:div w:id="1114789590">
          <w:marLeft w:val="0"/>
          <w:marRight w:val="0"/>
          <w:marTop w:val="0"/>
          <w:marBottom w:val="240"/>
          <w:divBdr>
            <w:top w:val="single" w:sz="6" w:space="24" w:color="000000"/>
            <w:left w:val="none" w:sz="0" w:space="0" w:color="auto"/>
            <w:bottom w:val="none" w:sz="0" w:space="0" w:color="auto"/>
            <w:right w:val="none" w:sz="0" w:space="0" w:color="auto"/>
          </w:divBdr>
          <w:divsChild>
            <w:div w:id="164906264">
              <w:marLeft w:val="3360"/>
              <w:marRight w:val="0"/>
              <w:marTop w:val="0"/>
              <w:marBottom w:val="108"/>
              <w:divBdr>
                <w:top w:val="none" w:sz="0" w:space="0" w:color="auto"/>
                <w:left w:val="none" w:sz="0" w:space="0" w:color="auto"/>
                <w:bottom w:val="none" w:sz="0" w:space="0" w:color="auto"/>
                <w:right w:val="none" w:sz="0" w:space="0" w:color="auto"/>
              </w:divBdr>
            </w:div>
          </w:divsChild>
        </w:div>
      </w:divsChild>
    </w:div>
    <w:div w:id="40053860">
      <w:bodyDiv w:val="1"/>
      <w:marLeft w:val="0"/>
      <w:marRight w:val="0"/>
      <w:marTop w:val="0"/>
      <w:marBottom w:val="0"/>
      <w:divBdr>
        <w:top w:val="none" w:sz="0" w:space="0" w:color="auto"/>
        <w:left w:val="none" w:sz="0" w:space="0" w:color="auto"/>
        <w:bottom w:val="none" w:sz="0" w:space="0" w:color="auto"/>
        <w:right w:val="none" w:sz="0" w:space="0" w:color="auto"/>
      </w:divBdr>
    </w:div>
    <w:div w:id="276526967">
      <w:bodyDiv w:val="1"/>
      <w:marLeft w:val="0"/>
      <w:marRight w:val="0"/>
      <w:marTop w:val="0"/>
      <w:marBottom w:val="0"/>
      <w:divBdr>
        <w:top w:val="none" w:sz="0" w:space="0" w:color="auto"/>
        <w:left w:val="none" w:sz="0" w:space="0" w:color="auto"/>
        <w:bottom w:val="none" w:sz="0" w:space="0" w:color="auto"/>
        <w:right w:val="none" w:sz="0" w:space="0" w:color="auto"/>
      </w:divBdr>
    </w:div>
    <w:div w:id="291445466">
      <w:bodyDiv w:val="1"/>
      <w:marLeft w:val="0"/>
      <w:marRight w:val="0"/>
      <w:marTop w:val="0"/>
      <w:marBottom w:val="0"/>
      <w:divBdr>
        <w:top w:val="none" w:sz="0" w:space="0" w:color="auto"/>
        <w:left w:val="none" w:sz="0" w:space="0" w:color="auto"/>
        <w:bottom w:val="none" w:sz="0" w:space="0" w:color="auto"/>
        <w:right w:val="none" w:sz="0" w:space="0" w:color="auto"/>
      </w:divBdr>
    </w:div>
    <w:div w:id="297495432">
      <w:bodyDiv w:val="1"/>
      <w:marLeft w:val="0"/>
      <w:marRight w:val="0"/>
      <w:marTop w:val="0"/>
      <w:marBottom w:val="0"/>
      <w:divBdr>
        <w:top w:val="none" w:sz="0" w:space="0" w:color="auto"/>
        <w:left w:val="none" w:sz="0" w:space="0" w:color="auto"/>
        <w:bottom w:val="none" w:sz="0" w:space="0" w:color="auto"/>
        <w:right w:val="none" w:sz="0" w:space="0" w:color="auto"/>
      </w:divBdr>
    </w:div>
    <w:div w:id="311368758">
      <w:bodyDiv w:val="1"/>
      <w:marLeft w:val="0"/>
      <w:marRight w:val="0"/>
      <w:marTop w:val="0"/>
      <w:marBottom w:val="0"/>
      <w:divBdr>
        <w:top w:val="none" w:sz="0" w:space="0" w:color="auto"/>
        <w:left w:val="none" w:sz="0" w:space="0" w:color="auto"/>
        <w:bottom w:val="none" w:sz="0" w:space="0" w:color="auto"/>
        <w:right w:val="none" w:sz="0" w:space="0" w:color="auto"/>
      </w:divBdr>
    </w:div>
    <w:div w:id="380978250">
      <w:bodyDiv w:val="1"/>
      <w:marLeft w:val="0"/>
      <w:marRight w:val="0"/>
      <w:marTop w:val="0"/>
      <w:marBottom w:val="0"/>
      <w:divBdr>
        <w:top w:val="none" w:sz="0" w:space="0" w:color="auto"/>
        <w:left w:val="none" w:sz="0" w:space="0" w:color="auto"/>
        <w:bottom w:val="none" w:sz="0" w:space="0" w:color="auto"/>
        <w:right w:val="none" w:sz="0" w:space="0" w:color="auto"/>
      </w:divBdr>
    </w:div>
    <w:div w:id="397704374">
      <w:bodyDiv w:val="1"/>
      <w:marLeft w:val="0"/>
      <w:marRight w:val="0"/>
      <w:marTop w:val="0"/>
      <w:marBottom w:val="0"/>
      <w:divBdr>
        <w:top w:val="none" w:sz="0" w:space="0" w:color="auto"/>
        <w:left w:val="none" w:sz="0" w:space="0" w:color="auto"/>
        <w:bottom w:val="none" w:sz="0" w:space="0" w:color="auto"/>
        <w:right w:val="none" w:sz="0" w:space="0" w:color="auto"/>
      </w:divBdr>
    </w:div>
    <w:div w:id="515576166">
      <w:bodyDiv w:val="1"/>
      <w:marLeft w:val="0"/>
      <w:marRight w:val="0"/>
      <w:marTop w:val="0"/>
      <w:marBottom w:val="0"/>
      <w:divBdr>
        <w:top w:val="none" w:sz="0" w:space="0" w:color="auto"/>
        <w:left w:val="none" w:sz="0" w:space="0" w:color="auto"/>
        <w:bottom w:val="none" w:sz="0" w:space="0" w:color="auto"/>
        <w:right w:val="none" w:sz="0" w:space="0" w:color="auto"/>
      </w:divBdr>
    </w:div>
    <w:div w:id="598610986">
      <w:bodyDiv w:val="1"/>
      <w:marLeft w:val="0"/>
      <w:marRight w:val="0"/>
      <w:marTop w:val="0"/>
      <w:marBottom w:val="0"/>
      <w:divBdr>
        <w:top w:val="none" w:sz="0" w:space="0" w:color="auto"/>
        <w:left w:val="none" w:sz="0" w:space="0" w:color="auto"/>
        <w:bottom w:val="none" w:sz="0" w:space="0" w:color="auto"/>
        <w:right w:val="none" w:sz="0" w:space="0" w:color="auto"/>
      </w:divBdr>
    </w:div>
    <w:div w:id="830877123">
      <w:bodyDiv w:val="1"/>
      <w:marLeft w:val="0"/>
      <w:marRight w:val="0"/>
      <w:marTop w:val="0"/>
      <w:marBottom w:val="0"/>
      <w:divBdr>
        <w:top w:val="none" w:sz="0" w:space="0" w:color="auto"/>
        <w:left w:val="none" w:sz="0" w:space="0" w:color="auto"/>
        <w:bottom w:val="none" w:sz="0" w:space="0" w:color="auto"/>
        <w:right w:val="none" w:sz="0" w:space="0" w:color="auto"/>
      </w:divBdr>
    </w:div>
    <w:div w:id="1004286570">
      <w:bodyDiv w:val="1"/>
      <w:marLeft w:val="0"/>
      <w:marRight w:val="0"/>
      <w:marTop w:val="0"/>
      <w:marBottom w:val="0"/>
      <w:divBdr>
        <w:top w:val="none" w:sz="0" w:space="0" w:color="auto"/>
        <w:left w:val="none" w:sz="0" w:space="0" w:color="auto"/>
        <w:bottom w:val="none" w:sz="0" w:space="0" w:color="auto"/>
        <w:right w:val="none" w:sz="0" w:space="0" w:color="auto"/>
      </w:divBdr>
    </w:div>
    <w:div w:id="1045984980">
      <w:bodyDiv w:val="1"/>
      <w:marLeft w:val="0"/>
      <w:marRight w:val="0"/>
      <w:marTop w:val="0"/>
      <w:marBottom w:val="0"/>
      <w:divBdr>
        <w:top w:val="none" w:sz="0" w:space="0" w:color="auto"/>
        <w:left w:val="none" w:sz="0" w:space="0" w:color="auto"/>
        <w:bottom w:val="none" w:sz="0" w:space="0" w:color="auto"/>
        <w:right w:val="none" w:sz="0" w:space="0" w:color="auto"/>
      </w:divBdr>
    </w:div>
    <w:div w:id="1067651425">
      <w:bodyDiv w:val="1"/>
      <w:marLeft w:val="0"/>
      <w:marRight w:val="0"/>
      <w:marTop w:val="0"/>
      <w:marBottom w:val="0"/>
      <w:divBdr>
        <w:top w:val="none" w:sz="0" w:space="0" w:color="auto"/>
        <w:left w:val="none" w:sz="0" w:space="0" w:color="auto"/>
        <w:bottom w:val="none" w:sz="0" w:space="0" w:color="auto"/>
        <w:right w:val="none" w:sz="0" w:space="0" w:color="auto"/>
      </w:divBdr>
    </w:div>
    <w:div w:id="1214123685">
      <w:bodyDiv w:val="1"/>
      <w:marLeft w:val="0"/>
      <w:marRight w:val="0"/>
      <w:marTop w:val="0"/>
      <w:marBottom w:val="0"/>
      <w:divBdr>
        <w:top w:val="none" w:sz="0" w:space="0" w:color="auto"/>
        <w:left w:val="none" w:sz="0" w:space="0" w:color="auto"/>
        <w:bottom w:val="none" w:sz="0" w:space="0" w:color="auto"/>
        <w:right w:val="none" w:sz="0" w:space="0" w:color="auto"/>
      </w:divBdr>
    </w:div>
    <w:div w:id="1278945055">
      <w:bodyDiv w:val="1"/>
      <w:marLeft w:val="0"/>
      <w:marRight w:val="0"/>
      <w:marTop w:val="0"/>
      <w:marBottom w:val="0"/>
      <w:divBdr>
        <w:top w:val="none" w:sz="0" w:space="0" w:color="auto"/>
        <w:left w:val="none" w:sz="0" w:space="0" w:color="auto"/>
        <w:bottom w:val="none" w:sz="0" w:space="0" w:color="auto"/>
        <w:right w:val="none" w:sz="0" w:space="0" w:color="auto"/>
      </w:divBdr>
    </w:div>
    <w:div w:id="1346665740">
      <w:bodyDiv w:val="1"/>
      <w:marLeft w:val="0"/>
      <w:marRight w:val="0"/>
      <w:marTop w:val="0"/>
      <w:marBottom w:val="0"/>
      <w:divBdr>
        <w:top w:val="none" w:sz="0" w:space="0" w:color="auto"/>
        <w:left w:val="none" w:sz="0" w:space="0" w:color="auto"/>
        <w:bottom w:val="none" w:sz="0" w:space="0" w:color="auto"/>
        <w:right w:val="none" w:sz="0" w:space="0" w:color="auto"/>
      </w:divBdr>
      <w:divsChild>
        <w:div w:id="1798064185">
          <w:marLeft w:val="0"/>
          <w:marRight w:val="0"/>
          <w:marTop w:val="0"/>
          <w:marBottom w:val="0"/>
          <w:divBdr>
            <w:top w:val="none" w:sz="0" w:space="0" w:color="auto"/>
            <w:left w:val="none" w:sz="0" w:space="0" w:color="auto"/>
            <w:bottom w:val="none" w:sz="0" w:space="0" w:color="auto"/>
            <w:right w:val="none" w:sz="0" w:space="0" w:color="auto"/>
          </w:divBdr>
          <w:divsChild>
            <w:div w:id="891691543">
              <w:marLeft w:val="0"/>
              <w:marRight w:val="0"/>
              <w:marTop w:val="0"/>
              <w:marBottom w:val="0"/>
              <w:divBdr>
                <w:top w:val="none" w:sz="0" w:space="0" w:color="auto"/>
                <w:left w:val="none" w:sz="0" w:space="0" w:color="auto"/>
                <w:bottom w:val="none" w:sz="0" w:space="0" w:color="auto"/>
                <w:right w:val="none" w:sz="0" w:space="0" w:color="auto"/>
              </w:divBdr>
              <w:divsChild>
                <w:div w:id="873813279">
                  <w:marLeft w:val="0"/>
                  <w:marRight w:val="0"/>
                  <w:marTop w:val="0"/>
                  <w:marBottom w:val="0"/>
                  <w:divBdr>
                    <w:top w:val="none" w:sz="0" w:space="0" w:color="auto"/>
                    <w:left w:val="none" w:sz="0" w:space="0" w:color="auto"/>
                    <w:bottom w:val="none" w:sz="0" w:space="0" w:color="auto"/>
                    <w:right w:val="none" w:sz="0" w:space="0" w:color="auto"/>
                  </w:divBdr>
                  <w:divsChild>
                    <w:div w:id="312368199">
                      <w:marLeft w:val="0"/>
                      <w:marRight w:val="0"/>
                      <w:marTop w:val="0"/>
                      <w:marBottom w:val="0"/>
                      <w:divBdr>
                        <w:top w:val="none" w:sz="0" w:space="0" w:color="auto"/>
                        <w:left w:val="none" w:sz="0" w:space="0" w:color="auto"/>
                        <w:bottom w:val="none" w:sz="0" w:space="0" w:color="auto"/>
                        <w:right w:val="none" w:sz="0" w:space="0" w:color="auto"/>
                      </w:divBdr>
                      <w:divsChild>
                        <w:div w:id="799539557">
                          <w:marLeft w:val="0"/>
                          <w:marRight w:val="0"/>
                          <w:marTop w:val="0"/>
                          <w:marBottom w:val="0"/>
                          <w:divBdr>
                            <w:top w:val="none" w:sz="0" w:space="0" w:color="auto"/>
                            <w:left w:val="none" w:sz="0" w:space="0" w:color="auto"/>
                            <w:bottom w:val="none" w:sz="0" w:space="0" w:color="auto"/>
                            <w:right w:val="none" w:sz="0" w:space="0" w:color="auto"/>
                          </w:divBdr>
                          <w:divsChild>
                            <w:div w:id="12327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83810">
      <w:bodyDiv w:val="1"/>
      <w:marLeft w:val="0"/>
      <w:marRight w:val="0"/>
      <w:marTop w:val="0"/>
      <w:marBottom w:val="0"/>
      <w:divBdr>
        <w:top w:val="none" w:sz="0" w:space="0" w:color="auto"/>
        <w:left w:val="none" w:sz="0" w:space="0" w:color="auto"/>
        <w:bottom w:val="none" w:sz="0" w:space="0" w:color="auto"/>
        <w:right w:val="none" w:sz="0" w:space="0" w:color="auto"/>
      </w:divBdr>
    </w:div>
    <w:div w:id="1490171868">
      <w:bodyDiv w:val="1"/>
      <w:marLeft w:val="0"/>
      <w:marRight w:val="0"/>
      <w:marTop w:val="0"/>
      <w:marBottom w:val="0"/>
      <w:divBdr>
        <w:top w:val="none" w:sz="0" w:space="0" w:color="auto"/>
        <w:left w:val="none" w:sz="0" w:space="0" w:color="auto"/>
        <w:bottom w:val="none" w:sz="0" w:space="0" w:color="auto"/>
        <w:right w:val="none" w:sz="0" w:space="0" w:color="auto"/>
      </w:divBdr>
    </w:div>
    <w:div w:id="1535731865">
      <w:bodyDiv w:val="1"/>
      <w:marLeft w:val="0"/>
      <w:marRight w:val="0"/>
      <w:marTop w:val="0"/>
      <w:marBottom w:val="0"/>
      <w:divBdr>
        <w:top w:val="none" w:sz="0" w:space="0" w:color="auto"/>
        <w:left w:val="none" w:sz="0" w:space="0" w:color="auto"/>
        <w:bottom w:val="none" w:sz="0" w:space="0" w:color="auto"/>
        <w:right w:val="none" w:sz="0" w:space="0" w:color="auto"/>
      </w:divBdr>
    </w:div>
    <w:div w:id="1537111021">
      <w:bodyDiv w:val="1"/>
      <w:marLeft w:val="0"/>
      <w:marRight w:val="0"/>
      <w:marTop w:val="0"/>
      <w:marBottom w:val="0"/>
      <w:divBdr>
        <w:top w:val="none" w:sz="0" w:space="0" w:color="auto"/>
        <w:left w:val="none" w:sz="0" w:space="0" w:color="auto"/>
        <w:bottom w:val="none" w:sz="0" w:space="0" w:color="auto"/>
        <w:right w:val="none" w:sz="0" w:space="0" w:color="auto"/>
      </w:divBdr>
    </w:div>
    <w:div w:id="1561599919">
      <w:bodyDiv w:val="1"/>
      <w:marLeft w:val="0"/>
      <w:marRight w:val="0"/>
      <w:marTop w:val="0"/>
      <w:marBottom w:val="0"/>
      <w:divBdr>
        <w:top w:val="none" w:sz="0" w:space="0" w:color="auto"/>
        <w:left w:val="none" w:sz="0" w:space="0" w:color="auto"/>
        <w:bottom w:val="none" w:sz="0" w:space="0" w:color="auto"/>
        <w:right w:val="none" w:sz="0" w:space="0" w:color="auto"/>
      </w:divBdr>
      <w:divsChild>
        <w:div w:id="690574398">
          <w:marLeft w:val="0"/>
          <w:marRight w:val="0"/>
          <w:marTop w:val="0"/>
          <w:marBottom w:val="0"/>
          <w:divBdr>
            <w:top w:val="none" w:sz="0" w:space="0" w:color="auto"/>
            <w:left w:val="none" w:sz="0" w:space="0" w:color="auto"/>
            <w:bottom w:val="none" w:sz="0" w:space="0" w:color="auto"/>
            <w:right w:val="none" w:sz="0" w:space="0" w:color="auto"/>
          </w:divBdr>
          <w:divsChild>
            <w:div w:id="138963559">
              <w:marLeft w:val="0"/>
              <w:marRight w:val="0"/>
              <w:marTop w:val="0"/>
              <w:marBottom w:val="0"/>
              <w:divBdr>
                <w:top w:val="none" w:sz="0" w:space="0" w:color="auto"/>
                <w:left w:val="none" w:sz="0" w:space="0" w:color="auto"/>
                <w:bottom w:val="none" w:sz="0" w:space="0" w:color="auto"/>
                <w:right w:val="none" w:sz="0" w:space="0" w:color="auto"/>
              </w:divBdr>
              <w:divsChild>
                <w:div w:id="1184171279">
                  <w:marLeft w:val="0"/>
                  <w:marRight w:val="0"/>
                  <w:marTop w:val="0"/>
                  <w:marBottom w:val="0"/>
                  <w:divBdr>
                    <w:top w:val="none" w:sz="0" w:space="0" w:color="auto"/>
                    <w:left w:val="none" w:sz="0" w:space="0" w:color="auto"/>
                    <w:bottom w:val="none" w:sz="0" w:space="0" w:color="auto"/>
                    <w:right w:val="none" w:sz="0" w:space="0" w:color="auto"/>
                  </w:divBdr>
                  <w:divsChild>
                    <w:div w:id="30225824">
                      <w:marLeft w:val="0"/>
                      <w:marRight w:val="0"/>
                      <w:marTop w:val="0"/>
                      <w:marBottom w:val="0"/>
                      <w:divBdr>
                        <w:top w:val="none" w:sz="0" w:space="0" w:color="auto"/>
                        <w:left w:val="none" w:sz="0" w:space="0" w:color="auto"/>
                        <w:bottom w:val="none" w:sz="0" w:space="0" w:color="auto"/>
                        <w:right w:val="none" w:sz="0" w:space="0" w:color="auto"/>
                      </w:divBdr>
                      <w:divsChild>
                        <w:div w:id="198402535">
                          <w:marLeft w:val="0"/>
                          <w:marRight w:val="0"/>
                          <w:marTop w:val="0"/>
                          <w:marBottom w:val="0"/>
                          <w:divBdr>
                            <w:top w:val="none" w:sz="0" w:space="0" w:color="auto"/>
                            <w:left w:val="none" w:sz="0" w:space="0" w:color="auto"/>
                            <w:bottom w:val="none" w:sz="0" w:space="0" w:color="auto"/>
                            <w:right w:val="none" w:sz="0" w:space="0" w:color="auto"/>
                          </w:divBdr>
                          <w:divsChild>
                            <w:div w:id="2793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635412">
      <w:bodyDiv w:val="1"/>
      <w:marLeft w:val="0"/>
      <w:marRight w:val="0"/>
      <w:marTop w:val="0"/>
      <w:marBottom w:val="0"/>
      <w:divBdr>
        <w:top w:val="none" w:sz="0" w:space="0" w:color="auto"/>
        <w:left w:val="none" w:sz="0" w:space="0" w:color="auto"/>
        <w:bottom w:val="none" w:sz="0" w:space="0" w:color="auto"/>
        <w:right w:val="none" w:sz="0" w:space="0" w:color="auto"/>
      </w:divBdr>
    </w:div>
    <w:div w:id="1944072899">
      <w:bodyDiv w:val="1"/>
      <w:marLeft w:val="0"/>
      <w:marRight w:val="0"/>
      <w:marTop w:val="0"/>
      <w:marBottom w:val="0"/>
      <w:divBdr>
        <w:top w:val="none" w:sz="0" w:space="0" w:color="auto"/>
        <w:left w:val="none" w:sz="0" w:space="0" w:color="auto"/>
        <w:bottom w:val="none" w:sz="0" w:space="0" w:color="auto"/>
        <w:right w:val="none" w:sz="0" w:space="0" w:color="auto"/>
      </w:divBdr>
    </w:div>
    <w:div w:id="1988165859">
      <w:bodyDiv w:val="1"/>
      <w:marLeft w:val="0"/>
      <w:marRight w:val="0"/>
      <w:marTop w:val="0"/>
      <w:marBottom w:val="0"/>
      <w:divBdr>
        <w:top w:val="none" w:sz="0" w:space="0" w:color="auto"/>
        <w:left w:val="none" w:sz="0" w:space="0" w:color="auto"/>
        <w:bottom w:val="none" w:sz="0" w:space="0" w:color="auto"/>
        <w:right w:val="none" w:sz="0" w:space="0" w:color="auto"/>
      </w:divBdr>
    </w:div>
    <w:div w:id="200770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4e09719-b8b5-486d-b0be-a2e8f3fc6df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3:0919.A420131119.11.S" TargetMode="External"/><Relationship Id="rId5" Type="http://schemas.openxmlformats.org/officeDocument/2006/relationships/webSettings" Target="webSettings.xml"/><Relationship Id="rId10" Type="http://schemas.openxmlformats.org/officeDocument/2006/relationships/hyperlink" Target="https://curia.europa.eu/juris/document/document.jsf;jsessionid=83FC7349E580128458658824DA90CD48?text=&amp;docid=262968&amp;pageIndex=0&amp;doclang=LV&amp;mode=lst&amp;dir=&amp;occ=first&amp;part=1&amp;cid=16292319" TargetMode="External"/><Relationship Id="rId4" Type="http://schemas.openxmlformats.org/officeDocument/2006/relationships/settings" Target="settings.xml"/><Relationship Id="rId9" Type="http://schemas.openxmlformats.org/officeDocument/2006/relationships/hyperlink" Target="https://manas.tiesas.lv/eTiesasMvc/nolemumi/pdf/53988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82580-6DA8-4B93-9C4A-0730C579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1872</Words>
  <Characters>10676</Characters>
  <Application>Microsoft Office Word</Application>
  <DocSecurity>0</DocSecurity>
  <Lines>88</Lines>
  <Paragraphs>25</Paragraphs>
  <ScaleCrop>false</ScaleCrop>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2025-11-26T10:34:00Z</dcterms:created>
  <dcterms:modified xsi:type="dcterms:W3CDTF">2025-11-26T10:34:00Z</dcterms:modified>
</cp:coreProperties>
</file>