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50CC" w14:textId="77777777" w:rsidR="006D4167" w:rsidRDefault="006D4167" w:rsidP="00A06E81">
      <w:pPr>
        <w:spacing w:line="276" w:lineRule="auto"/>
        <w:jc w:val="both"/>
        <w:rPr>
          <w:lang w:eastAsia="lv-LV"/>
        </w:rPr>
      </w:pPr>
      <w:r>
        <w:rPr>
          <w:b/>
          <w:bCs/>
        </w:rPr>
        <w:t>Jēdziens ,,zāļu reklāma’’</w:t>
      </w:r>
    </w:p>
    <w:p w14:paraId="38A56A31" w14:textId="77777777" w:rsidR="006D4167" w:rsidRDefault="006D4167" w:rsidP="00A06E81">
      <w:pPr>
        <w:spacing w:line="276" w:lineRule="auto"/>
        <w:jc w:val="both"/>
      </w:pPr>
      <w:r>
        <w:t xml:space="preserve">Piemērojot Ministru kabineta 2011.gada 17.maija noteikumus Nr. 378 „Zāļu reklamēšanas kārtība un kārtība, kādā zāļu ražotājs ir tiesīgs nodot ārstiem bezmaksas zāļu paraugus”, ievērojams, ka jēdziens „zāļu reklāma” ir autonoms Eiropas Savienības tiesību jēdziens un jāinterpretē vienādi visā Eiropas Savienībā. „Zāļu reklāmas” definīcija izriet no Eiropas Parlamenta un Padomes 2001.gada 6.novembra Direktīvas 2001/83/EK par Kopienas kodeksu, kas attiecas uz cilvēkiem paredzētām zālēm, 86.panta 1.punkta un šī jēdziena saturs noskaidrojams, interpretējot minēto direktīvu un obligāti ņemot vērā Eiropas Savienības Tiesas judikatūru. </w:t>
      </w:r>
    </w:p>
    <w:p w14:paraId="3CE7A99A" w14:textId="77777777" w:rsidR="006D4167" w:rsidRDefault="006D4167" w:rsidP="00A06E81">
      <w:pPr>
        <w:spacing w:line="276" w:lineRule="auto"/>
        <w:jc w:val="both"/>
      </w:pPr>
      <w:r>
        <w:t xml:space="preserve">Lai kādu izteikumu atzītu par „zāļu reklāmu”, ir jāvērtē, kas ar šo izteikumu objektīvi var tikt sasniegts, proti, vai minētais izteikums var pamudināt personu lūgt izrakstīt, pasūtīt, piegādāt vai patērēt zāles. </w:t>
      </w:r>
    </w:p>
    <w:p w14:paraId="1E623D95" w14:textId="77777777" w:rsidR="006D4167" w:rsidRDefault="006D4167" w:rsidP="00A06E81">
      <w:pPr>
        <w:spacing w:line="276" w:lineRule="auto"/>
        <w:jc w:val="both"/>
      </w:pPr>
      <w:r>
        <w:t>Trešās personas izplatīta informācija par zālēm, proti, to terapeitiskām vai profilaktiskām īpašībām var tikt uzskatīta par reklāmu, pat ja šī trešā persona darbojas pēc savas iniciatīvas un pilnībā juridiski un faktiski neatkarīgi no šādu zāļu ražotāja vai pārdevēja. Tas, vai izteikuma autors vai publicētājs par informācijas izpaušanu ir saņēmis atlīdzību vai darbojies konkrēto zāļu ražotāju uzdevumā, nav obligāti noskaidrojams apstāklis izteikuma atzīšanai par zāļu reklāmu.</w:t>
      </w:r>
    </w:p>
    <w:p w14:paraId="41143825" w14:textId="77777777" w:rsidR="006D4167" w:rsidRDefault="006D4167" w:rsidP="00A06E81">
      <w:pPr>
        <w:spacing w:line="276" w:lineRule="auto"/>
        <w:jc w:val="both"/>
      </w:pPr>
    </w:p>
    <w:p w14:paraId="3FBAAE5F" w14:textId="77777777" w:rsidR="006D4167" w:rsidRDefault="006D4167" w:rsidP="00A06E81">
      <w:pPr>
        <w:spacing w:line="276" w:lineRule="auto"/>
        <w:jc w:val="both"/>
        <w:rPr>
          <w:b/>
          <w:bCs/>
        </w:rPr>
      </w:pPr>
      <w:r>
        <w:rPr>
          <w:b/>
          <w:bCs/>
        </w:rPr>
        <w:t xml:space="preserve">Izteikums (intervija presē) kā „zāļu reklāma’’ </w:t>
      </w:r>
    </w:p>
    <w:p w14:paraId="77C03E90" w14:textId="77777777" w:rsidR="006D4167" w:rsidRDefault="006D4167" w:rsidP="00A06E81">
      <w:pPr>
        <w:spacing w:line="276" w:lineRule="auto"/>
        <w:jc w:val="both"/>
      </w:pPr>
      <w:r>
        <w:t>Arī žurnālista intervijā sniegtā informācija var būt vērsta uz konkrētu zāļu lietošanas un pirkšanas veicināšanu, uz kuru attiecas Ministru kabineta 2011.gada 17.maija noteikumos Nr. 378 „Zāļu reklamēšanas kārtība un kārtība, kādā zāļu ražotājs ir tiesīgs nodot ārstiem bezmaksas zāļu paraugus”</w:t>
      </w:r>
      <w:r>
        <w:rPr>
          <w:b/>
          <w:bCs/>
        </w:rPr>
        <w:t xml:space="preserve"> </w:t>
      </w:r>
      <w:r>
        <w:t xml:space="preserve">paredzētie ierobežojumi un prasības. </w:t>
      </w:r>
    </w:p>
    <w:p w14:paraId="252D022A" w14:textId="77777777" w:rsidR="006D4167" w:rsidRDefault="006D4167" w:rsidP="00A06E81">
      <w:pPr>
        <w:spacing w:line="276" w:lineRule="auto"/>
        <w:jc w:val="both"/>
      </w:pPr>
      <w:r>
        <w:t xml:space="preserve">Medicīnas personu, jomas profesionāļu un uzticības personu izteikumi var veicināt sabiedrības uzticēšanos konkrēto zāļu efektivitātei, iedarbīgumam un drošībai un tādēļ var pamudināt personu lūgt izrakstīt vai iegādāties konkrētās zāles. Tieši minētā iemesla dēļ ir nepamatoti plašsaziņas līdzeklī publicēt vispārējas rekomendācijas par konkrētu zāļu lietošanu vai slavinošus apgalvojumus par konkrēto zāļu iedarbīgumu. </w:t>
      </w:r>
    </w:p>
    <w:p w14:paraId="2FEF23CB" w14:textId="77777777" w:rsidR="006D4167" w:rsidRDefault="006D4167" w:rsidP="00A06E81">
      <w:pPr>
        <w:spacing w:line="276" w:lineRule="auto"/>
        <w:jc w:val="both"/>
      </w:pPr>
    </w:p>
    <w:p w14:paraId="043CE211" w14:textId="77777777" w:rsidR="006D4167" w:rsidRDefault="006D4167" w:rsidP="00A06E81">
      <w:pPr>
        <w:spacing w:line="276" w:lineRule="auto"/>
        <w:jc w:val="both"/>
        <w:rPr>
          <w:b/>
          <w:bCs/>
        </w:rPr>
      </w:pPr>
      <w:r>
        <w:rPr>
          <w:b/>
          <w:bCs/>
        </w:rPr>
        <w:t>Aizlieguma izplatīt normatīvo aktu prasībām neatbilstošu un aizliegtu zāļu reklāmu mērķis</w:t>
      </w:r>
    </w:p>
    <w:p w14:paraId="1CBDC01C" w14:textId="5DB3FEE5" w:rsidR="00191A2F" w:rsidRPr="0082381C" w:rsidRDefault="006D4167" w:rsidP="00A06E81">
      <w:pPr>
        <w:spacing w:line="276" w:lineRule="auto"/>
        <w:jc w:val="both"/>
      </w:pPr>
      <w:r>
        <w:t>Aizliegums izplatīt Ministru kabineta 2011.gada 17.maija noteikumu Nr. 378 „Zāļu reklamēšanas kārtība un kārtība, kādā zāļu ražotājs ir tiesīgs nodot ārstiem bezmaksas zāļu paraugus” prasībām neatbilstošu un aizliegtu zāļu reklāmu ir vērsts uz sabiedrības veselības aizsardzību un citu cilvēku, arī pacientu, tiesību aizsardzību Latvijas Republikas Satversmes 116.panta un Eiropas Savienības tiesību izpratnē.</w:t>
      </w:r>
    </w:p>
    <w:p w14:paraId="367FA6C6" w14:textId="1199FA4D" w:rsidR="00191A2F" w:rsidRPr="0082381C" w:rsidRDefault="00191A2F" w:rsidP="00A06E81">
      <w:pPr>
        <w:pStyle w:val="BodyText2"/>
        <w:spacing w:after="0" w:line="276" w:lineRule="auto"/>
        <w:jc w:val="center"/>
      </w:pPr>
    </w:p>
    <w:p w14:paraId="29A7EA9B" w14:textId="3D142528" w:rsidR="00A06E81" w:rsidRPr="001B05C8" w:rsidRDefault="00191A2F" w:rsidP="00A06E81">
      <w:pPr>
        <w:spacing w:line="276" w:lineRule="auto"/>
        <w:jc w:val="center"/>
        <w:rPr>
          <w:b/>
        </w:rPr>
      </w:pPr>
      <w:r w:rsidRPr="001B05C8">
        <w:rPr>
          <w:b/>
        </w:rPr>
        <w:t>Latvijas Republikas Senāt</w:t>
      </w:r>
      <w:r w:rsidR="00A06E81">
        <w:rPr>
          <w:b/>
        </w:rPr>
        <w:t>a</w:t>
      </w:r>
      <w:r w:rsidR="00A06E81">
        <w:rPr>
          <w:b/>
        </w:rPr>
        <w:br/>
        <w:t>Administratīvo lietu departamenta</w:t>
      </w:r>
      <w:r w:rsidR="00A06E81">
        <w:rPr>
          <w:b/>
        </w:rPr>
        <w:br/>
        <w:t>2025.gada 28.oktobra</w:t>
      </w:r>
    </w:p>
    <w:p w14:paraId="28535E92" w14:textId="77777777" w:rsidR="00191A2F" w:rsidRPr="00F902DB" w:rsidRDefault="00191A2F" w:rsidP="00A06E81">
      <w:pPr>
        <w:spacing w:line="276" w:lineRule="auto"/>
        <w:jc w:val="center"/>
        <w:rPr>
          <w:b/>
        </w:rPr>
      </w:pPr>
      <w:r>
        <w:rPr>
          <w:b/>
        </w:rPr>
        <w:t>SPRIEDUMS</w:t>
      </w:r>
    </w:p>
    <w:p w14:paraId="4C6C25AB" w14:textId="5BD12567" w:rsidR="00A06E81" w:rsidRPr="00A06E81" w:rsidRDefault="00A06E81" w:rsidP="00A06E81">
      <w:pPr>
        <w:spacing w:line="276" w:lineRule="auto"/>
        <w:jc w:val="center"/>
        <w:rPr>
          <w:b/>
          <w:bCs/>
        </w:rPr>
      </w:pPr>
      <w:r w:rsidRPr="00A06E81">
        <w:rPr>
          <w:b/>
          <w:bCs/>
        </w:rPr>
        <w:t>Lieta Nr. A420306619</w:t>
      </w:r>
      <w:r w:rsidRPr="00A06E81">
        <w:rPr>
          <w:b/>
          <w:bCs/>
          <w:lang w:eastAsia="lv-LV"/>
        </w:rPr>
        <w:t xml:space="preserve">, </w:t>
      </w:r>
      <w:r w:rsidRPr="00A06E81">
        <w:rPr>
          <w:b/>
          <w:bCs/>
        </w:rPr>
        <w:t>SKA-110/2025</w:t>
      </w:r>
    </w:p>
    <w:p w14:paraId="215FDAE3" w14:textId="17D590EA" w:rsidR="00191A2F" w:rsidRPr="00A06E81" w:rsidRDefault="00A06E81" w:rsidP="00A06E81">
      <w:pPr>
        <w:spacing w:line="276" w:lineRule="auto"/>
        <w:jc w:val="center"/>
      </w:pPr>
      <w:hyperlink r:id="rId7" w:history="1">
        <w:r w:rsidRPr="00A06E81">
          <w:rPr>
            <w:rStyle w:val="Hyperlink"/>
          </w:rPr>
          <w:t xml:space="preserve"> ECLI:LV:AT:2025:1028.A420306619.14.S</w:t>
        </w:r>
      </w:hyperlink>
    </w:p>
    <w:p w14:paraId="755CF3C1" w14:textId="77777777" w:rsidR="00191A2F" w:rsidRDefault="00191A2F" w:rsidP="00A06E81">
      <w:pPr>
        <w:spacing w:line="276" w:lineRule="auto"/>
        <w:ind w:firstLine="567"/>
        <w:jc w:val="both"/>
      </w:pPr>
    </w:p>
    <w:p w14:paraId="0A002349" w14:textId="76B76B83" w:rsidR="00191A2F" w:rsidRPr="00FF1528" w:rsidRDefault="00191A2F" w:rsidP="00A06E81">
      <w:pPr>
        <w:spacing w:line="276" w:lineRule="auto"/>
        <w:ind w:firstLine="720"/>
        <w:jc w:val="both"/>
      </w:pPr>
      <w:r w:rsidRPr="00FF1528">
        <w:lastRenderedPageBreak/>
        <w:t>Senāts šādā sastāvā: senator</w:t>
      </w:r>
      <w:r w:rsidR="009323B8">
        <w:t>e</w:t>
      </w:r>
      <w:r w:rsidRPr="00FF1528">
        <w:t xml:space="preserve"> referent</w:t>
      </w:r>
      <w:r w:rsidR="009323B8">
        <w:t>e</w:t>
      </w:r>
      <w:r w:rsidRPr="00FF1528">
        <w:t xml:space="preserve"> </w:t>
      </w:r>
      <w:r w:rsidR="009323B8">
        <w:t>Vēsma Kakste</w:t>
      </w:r>
      <w:r w:rsidRPr="00FF1528">
        <w:t>, senator</w:t>
      </w:r>
      <w:r w:rsidR="00EE0B30">
        <w:t>i</w:t>
      </w:r>
      <w:r w:rsidRPr="00FF1528">
        <w:t xml:space="preserve"> </w:t>
      </w:r>
      <w:r w:rsidR="00055483" w:rsidRPr="00475652">
        <w:t xml:space="preserve">Jānis Pleps </w:t>
      </w:r>
      <w:r w:rsidRPr="00475652">
        <w:t xml:space="preserve">un </w:t>
      </w:r>
      <w:r w:rsidR="00055483">
        <w:t>Līvija Slica</w:t>
      </w:r>
      <w:r w:rsidR="00475652">
        <w:t>,</w:t>
      </w:r>
    </w:p>
    <w:p w14:paraId="425657D9" w14:textId="77777777" w:rsidR="00191A2F" w:rsidRPr="0055273F" w:rsidRDefault="00191A2F" w:rsidP="00A06E81">
      <w:pPr>
        <w:spacing w:line="276" w:lineRule="auto"/>
        <w:ind w:firstLine="567"/>
        <w:jc w:val="both"/>
      </w:pPr>
    </w:p>
    <w:p w14:paraId="0574FFBF" w14:textId="787EE38F" w:rsidR="00191A2F" w:rsidRDefault="00191A2F" w:rsidP="00A06E81">
      <w:pPr>
        <w:spacing w:line="276" w:lineRule="auto"/>
        <w:ind w:firstLine="567"/>
        <w:jc w:val="both"/>
      </w:pPr>
      <w:bookmarkStart w:id="0" w:name="_Hlk92890879"/>
      <w:r w:rsidRPr="00891001">
        <w:t xml:space="preserve">rakstveida procesā izskatīja administratīvo lietu, </w:t>
      </w:r>
      <w:r w:rsidR="00002C8C" w:rsidRPr="00002C8C">
        <w:t>kas ierosināta, pamatojoties uz</w:t>
      </w:r>
      <w:r w:rsidR="00002C8C">
        <w:t xml:space="preserve"> </w:t>
      </w:r>
      <w:r w:rsidR="00002C8C" w:rsidRPr="00002C8C">
        <w:t>SIA</w:t>
      </w:r>
      <w:r w:rsidR="00A37710">
        <w:t> </w:t>
      </w:r>
      <w:r w:rsidR="00CF0723">
        <w:t>„</w:t>
      </w:r>
      <w:r w:rsidR="00002C8C" w:rsidRPr="00002C8C">
        <w:t>ŽURNĀLS SANTA” pieteikumu par Veselības inspekcijas 2019.gada 15.novembra lēmuma</w:t>
      </w:r>
      <w:r w:rsidR="00002C8C">
        <w:t xml:space="preserve"> </w:t>
      </w:r>
      <w:r w:rsidR="00002C8C" w:rsidRPr="00002C8C">
        <w:t>Nr.</w:t>
      </w:r>
      <w:r w:rsidR="00A37710">
        <w:t> </w:t>
      </w:r>
      <w:r w:rsidR="00002C8C" w:rsidRPr="00002C8C">
        <w:t>2.1.-2./27526/847 atcelšanu</w:t>
      </w:r>
      <w:r w:rsidRPr="00891001">
        <w:t>, sakarā ar pieteicēj</w:t>
      </w:r>
      <w:r w:rsidR="00002C8C">
        <w:t>as</w:t>
      </w:r>
      <w:r w:rsidRPr="00891001">
        <w:t xml:space="preserve"> </w:t>
      </w:r>
      <w:r>
        <w:t>kasācijas</w:t>
      </w:r>
      <w:r w:rsidRPr="00891001">
        <w:t xml:space="preserve"> sūdzīb</w:t>
      </w:r>
      <w:r w:rsidR="00002C8C">
        <w:t>u</w:t>
      </w:r>
      <w:r w:rsidRPr="00891001">
        <w:t xml:space="preserve"> par Administratīvās </w:t>
      </w:r>
      <w:r>
        <w:t>apgabaltiesas</w:t>
      </w:r>
      <w:r w:rsidRPr="00891001">
        <w:t xml:space="preserve"> 202</w:t>
      </w:r>
      <w:r>
        <w:t>3</w:t>
      </w:r>
      <w:r w:rsidRPr="00891001">
        <w:t xml:space="preserve">.gada </w:t>
      </w:r>
      <w:r>
        <w:t>2</w:t>
      </w:r>
      <w:r w:rsidR="007B2E89">
        <w:t>6</w:t>
      </w:r>
      <w:r w:rsidRPr="00891001">
        <w:t>.</w:t>
      </w:r>
      <w:r w:rsidR="007B2E89">
        <w:t>septembra</w:t>
      </w:r>
      <w:r w:rsidRPr="00891001">
        <w:t xml:space="preserve"> spriedumu</w:t>
      </w:r>
      <w:r>
        <w:t>.</w:t>
      </w:r>
    </w:p>
    <w:bookmarkEnd w:id="0"/>
    <w:p w14:paraId="7483E2AE" w14:textId="77777777" w:rsidR="00191A2F" w:rsidRPr="0082381C" w:rsidRDefault="00191A2F" w:rsidP="00A06E81">
      <w:pPr>
        <w:spacing w:line="276" w:lineRule="auto"/>
        <w:ind w:firstLine="567"/>
        <w:jc w:val="both"/>
      </w:pPr>
    </w:p>
    <w:p w14:paraId="029C1212" w14:textId="77777777" w:rsidR="00191A2F" w:rsidRPr="0082381C" w:rsidRDefault="00191A2F" w:rsidP="00A06E81">
      <w:pPr>
        <w:pStyle w:val="ATpamattesksts"/>
        <w:ind w:firstLine="0"/>
        <w:jc w:val="center"/>
      </w:pPr>
      <w:r w:rsidRPr="0043387D">
        <w:rPr>
          <w:b/>
        </w:rPr>
        <w:t>Aprakstošā</w:t>
      </w:r>
      <w:r w:rsidRPr="0082381C">
        <w:t xml:space="preserve"> </w:t>
      </w:r>
      <w:r w:rsidRPr="0077509E">
        <w:rPr>
          <w:b/>
        </w:rPr>
        <w:t>daļa</w:t>
      </w:r>
    </w:p>
    <w:p w14:paraId="386DDC89" w14:textId="77777777" w:rsidR="00191A2F" w:rsidRPr="0082381C" w:rsidRDefault="00191A2F" w:rsidP="00A06E81">
      <w:pPr>
        <w:spacing w:line="276" w:lineRule="auto"/>
        <w:ind w:firstLine="567"/>
        <w:jc w:val="both"/>
      </w:pPr>
    </w:p>
    <w:p w14:paraId="3605DD9B" w14:textId="7726BA1B" w:rsidR="00C8218E" w:rsidRDefault="00191A2F" w:rsidP="00A06E81">
      <w:pPr>
        <w:spacing w:line="276" w:lineRule="auto"/>
        <w:ind w:firstLine="567"/>
        <w:jc w:val="both"/>
      </w:pPr>
      <w:r w:rsidRPr="0082381C">
        <w:t>[1]</w:t>
      </w:r>
      <w:r w:rsidR="00D70ECC">
        <w:t xml:space="preserve"> </w:t>
      </w:r>
      <w:r w:rsidR="00A37710" w:rsidRPr="00A37710">
        <w:t>Pieteicējas SIA</w:t>
      </w:r>
      <w:r w:rsidR="008D5FC7">
        <w:t> </w:t>
      </w:r>
      <w:r w:rsidR="00CF0723">
        <w:t>„</w:t>
      </w:r>
      <w:r w:rsidR="00A37710" w:rsidRPr="00A37710">
        <w:t xml:space="preserve">ŽURNĀLS SANTA” izdotajā žurnālā </w:t>
      </w:r>
      <w:r w:rsidR="00CF0723">
        <w:t>„</w:t>
      </w:r>
      <w:r w:rsidR="00A37710" w:rsidRPr="00A37710">
        <w:t>Ievas VESELĪBA” (turpmāk</w:t>
      </w:r>
      <w:r w:rsidR="00A37710">
        <w:t xml:space="preserve"> </w:t>
      </w:r>
      <w:r w:rsidR="00A37710" w:rsidRPr="00A37710">
        <w:t>arī – žurnāls) 2019.gada vairākos numuros ietvertajās publikācijās (turpmāk – strīdus publikācijas)</w:t>
      </w:r>
      <w:r w:rsidR="008D5FC7">
        <w:t xml:space="preserve"> </w:t>
      </w:r>
      <w:r w:rsidR="00A37710" w:rsidRPr="00A37710">
        <w:t>sniegta informācija par dažādu zāļu lietošanu</w:t>
      </w:r>
      <w:r w:rsidR="008D5FC7">
        <w:t>.</w:t>
      </w:r>
    </w:p>
    <w:p w14:paraId="7F954613" w14:textId="718A58FD" w:rsidR="008D5FC7" w:rsidRDefault="00D05912" w:rsidP="00A06E81">
      <w:pPr>
        <w:spacing w:line="276" w:lineRule="auto"/>
        <w:ind w:firstLine="567"/>
        <w:jc w:val="both"/>
      </w:pPr>
      <w:r w:rsidRPr="00D05912">
        <w:t>Veselības inspekcija (turpmāk – inspekcija)</w:t>
      </w:r>
      <w:r>
        <w:t xml:space="preserve"> </w:t>
      </w:r>
      <w:r w:rsidR="00F84112" w:rsidRPr="00F84112">
        <w:t>2019.gada 15.novembra lēmum</w:t>
      </w:r>
      <w:r w:rsidR="008A0136">
        <w:t xml:space="preserve">ā </w:t>
      </w:r>
      <w:r w:rsidR="00F84112" w:rsidRPr="00F84112">
        <w:t>Nr.</w:t>
      </w:r>
      <w:r>
        <w:t> </w:t>
      </w:r>
      <w:r w:rsidR="00F84112" w:rsidRPr="00F84112">
        <w:t>2.1.-2./27526/847</w:t>
      </w:r>
      <w:r w:rsidR="00EC00D3">
        <w:t xml:space="preserve"> </w:t>
      </w:r>
      <w:r w:rsidR="00DA2BDE">
        <w:t xml:space="preserve">(turpmāk – pārsūdzētais lēmums) </w:t>
      </w:r>
      <w:r w:rsidR="00373AC6">
        <w:t xml:space="preserve">atzina, ka </w:t>
      </w:r>
      <w:r w:rsidR="008A0136">
        <w:t xml:space="preserve">strīdus </w:t>
      </w:r>
      <w:r w:rsidR="00373AC6">
        <w:t>publikācijas</w:t>
      </w:r>
      <w:r w:rsidR="00373AC6" w:rsidRPr="00367576">
        <w:t xml:space="preserve"> pārkāpj Ministru kabineta 2011.gada 17.maija noteikum</w:t>
      </w:r>
      <w:r w:rsidR="008A0136">
        <w:t>u</w:t>
      </w:r>
      <w:r w:rsidR="00373AC6" w:rsidRPr="00367576">
        <w:t xml:space="preserve"> Nr.</w:t>
      </w:r>
      <w:r w:rsidR="00373AC6">
        <w:t> </w:t>
      </w:r>
      <w:r w:rsidR="00373AC6" w:rsidRPr="00367576">
        <w:t xml:space="preserve">378 </w:t>
      </w:r>
      <w:r w:rsidR="00373AC6">
        <w:t>„</w:t>
      </w:r>
      <w:r w:rsidR="00373AC6" w:rsidRPr="00367576">
        <w:t>Zāļu reklamēšanas kārtība</w:t>
      </w:r>
      <w:r w:rsidR="00373AC6">
        <w:t xml:space="preserve"> </w:t>
      </w:r>
      <w:r w:rsidR="00373AC6" w:rsidRPr="00367576">
        <w:t>un kārtība, kādā zāļu ražotājs ir tiesīgs nodot ārstiem bezmaksas zāļu paraugus” (turpmāk –</w:t>
      </w:r>
      <w:r w:rsidR="00373AC6">
        <w:t xml:space="preserve"> n</w:t>
      </w:r>
      <w:r w:rsidR="00373AC6" w:rsidRPr="00367576">
        <w:t>oteikumi Nr.</w:t>
      </w:r>
      <w:r w:rsidR="00373AC6">
        <w:t> </w:t>
      </w:r>
      <w:r w:rsidR="00373AC6" w:rsidRPr="00367576">
        <w:t>378) prasības attiecībā uz zāļu reklāmu</w:t>
      </w:r>
      <w:r w:rsidR="008A0136">
        <w:t>,</w:t>
      </w:r>
      <w:r w:rsidR="00373AC6">
        <w:t xml:space="preserve"> un </w:t>
      </w:r>
      <w:r w:rsidR="00EC00D3" w:rsidRPr="00EC00D3">
        <w:t>aizliedza pieteicējai</w:t>
      </w:r>
      <w:r w:rsidR="00EC00D3">
        <w:t xml:space="preserve"> </w:t>
      </w:r>
      <w:r w:rsidR="00EC00D3" w:rsidRPr="00EC00D3">
        <w:t>izplatīt normatīvo aktu prasībām neatbilstošu un aizliegtu zāļu reklāmu</w:t>
      </w:r>
      <w:r w:rsidR="00367576">
        <w:t>.</w:t>
      </w:r>
    </w:p>
    <w:p w14:paraId="26191BF8" w14:textId="77777777" w:rsidR="001100B5" w:rsidRDefault="001100B5" w:rsidP="00A06E81">
      <w:pPr>
        <w:spacing w:line="276" w:lineRule="auto"/>
        <w:ind w:firstLine="567"/>
        <w:jc w:val="both"/>
      </w:pPr>
    </w:p>
    <w:p w14:paraId="30BF2079" w14:textId="38C83A4F" w:rsidR="005E3204" w:rsidRDefault="001100B5" w:rsidP="00A06E81">
      <w:pPr>
        <w:spacing w:line="276" w:lineRule="auto"/>
        <w:ind w:firstLine="567"/>
        <w:jc w:val="both"/>
      </w:pPr>
      <w:r>
        <w:t>[</w:t>
      </w:r>
      <w:r w:rsidR="00670272">
        <w:t xml:space="preserve">2] </w:t>
      </w:r>
      <w:r w:rsidR="008D1521">
        <w:t xml:space="preserve">Pieteicēja </w:t>
      </w:r>
      <w:r w:rsidR="005E3204">
        <w:t>iesniedza pieteikumu administratīvajā tiesā.</w:t>
      </w:r>
    </w:p>
    <w:p w14:paraId="37F27D42" w14:textId="77777777" w:rsidR="00F30949" w:rsidRDefault="00F30949" w:rsidP="00A06E81">
      <w:pPr>
        <w:spacing w:line="276" w:lineRule="auto"/>
        <w:ind w:firstLine="567"/>
        <w:jc w:val="both"/>
      </w:pPr>
    </w:p>
    <w:p w14:paraId="617A6059" w14:textId="15AD71F5" w:rsidR="008A0136" w:rsidRDefault="00BE3E9F" w:rsidP="00A06E81">
      <w:pPr>
        <w:spacing w:line="276" w:lineRule="auto"/>
        <w:ind w:firstLine="567"/>
        <w:jc w:val="both"/>
      </w:pPr>
      <w:r>
        <w:t>[</w:t>
      </w:r>
      <w:r w:rsidR="00E836BC">
        <w:t>3</w:t>
      </w:r>
      <w:r>
        <w:t xml:space="preserve">] </w:t>
      </w:r>
      <w:r w:rsidR="00191A2F" w:rsidRPr="009E78FD">
        <w:t>Administratīvā apgabalties</w:t>
      </w:r>
      <w:r w:rsidR="005E3204">
        <w:t xml:space="preserve">a </w:t>
      </w:r>
      <w:r w:rsidR="00191A2F" w:rsidRPr="009E78FD">
        <w:t>ar 202</w:t>
      </w:r>
      <w:r w:rsidR="00191A2F">
        <w:t>3</w:t>
      </w:r>
      <w:r w:rsidR="00191A2F" w:rsidRPr="009E78FD">
        <w:t xml:space="preserve">.gada </w:t>
      </w:r>
      <w:r w:rsidR="00191A2F">
        <w:t>2</w:t>
      </w:r>
      <w:r w:rsidR="003875F0">
        <w:t>6</w:t>
      </w:r>
      <w:r w:rsidR="00191A2F" w:rsidRPr="009E78FD">
        <w:t>.</w:t>
      </w:r>
      <w:r w:rsidR="003875F0">
        <w:t>septembra</w:t>
      </w:r>
      <w:r w:rsidR="00191A2F">
        <w:t xml:space="preserve"> </w:t>
      </w:r>
      <w:r w:rsidR="00191A2F" w:rsidRPr="009E78FD">
        <w:t>spriedumu</w:t>
      </w:r>
      <w:r w:rsidR="00EE0B30">
        <w:t>, tostarp pievienojoties rajona tiesas sprieduma motivācijai,</w:t>
      </w:r>
      <w:r w:rsidR="00191A2F" w:rsidRPr="009E78FD">
        <w:t xml:space="preserve"> pieteikumu noraidīja. </w:t>
      </w:r>
    </w:p>
    <w:p w14:paraId="22F919E7" w14:textId="7A81D2A1" w:rsidR="00162950" w:rsidRDefault="00373AC6" w:rsidP="00A06E81">
      <w:pPr>
        <w:spacing w:line="276" w:lineRule="auto"/>
        <w:ind w:firstLine="567"/>
        <w:jc w:val="both"/>
      </w:pPr>
      <w:r>
        <w:t>T</w:t>
      </w:r>
      <w:r w:rsidR="004A5E33">
        <w:t>iesa atzina, ka s</w:t>
      </w:r>
      <w:r w:rsidR="001100B5" w:rsidRPr="0028277E">
        <w:t>trīdus publikācijās ietvertā informācija par</w:t>
      </w:r>
      <w:r w:rsidR="001100B5">
        <w:t xml:space="preserve"> </w:t>
      </w:r>
      <w:r w:rsidR="001100B5" w:rsidRPr="0028277E">
        <w:t>recepšu un bezrecepšu zālēm ir uzskatāma par zāļu reklāmu Reklāmas likuma 1.panta un</w:t>
      </w:r>
      <w:r w:rsidR="001100B5">
        <w:t xml:space="preserve"> </w:t>
      </w:r>
      <w:r w:rsidR="004A5E33" w:rsidRPr="004A5E33">
        <w:t>Eiropas Parlamenta un Padomes Direktīvas 2001/83/EK (2001.gada 6.novembris) par Kopienas kodeksu, kas attiecas uz cilvēkiem paredzētām zālēm (turpmāk – direktīva 2001/83)</w:t>
      </w:r>
      <w:r w:rsidR="001100B5" w:rsidRPr="0028277E">
        <w:t xml:space="preserve"> 86.panta 1.punkta izpratnē.</w:t>
      </w:r>
      <w:r>
        <w:t xml:space="preserve"> </w:t>
      </w:r>
      <w:r w:rsidR="004A5E33">
        <w:t>Tiesa</w:t>
      </w:r>
      <w:r>
        <w:t xml:space="preserve"> arī atzina, ka a</w:t>
      </w:r>
      <w:r w:rsidR="009E7A0C" w:rsidRPr="009E7A0C">
        <w:t xml:space="preserve">r </w:t>
      </w:r>
      <w:r w:rsidR="005305A7">
        <w:t>pārsūdzēto l</w:t>
      </w:r>
      <w:r w:rsidR="009E7A0C" w:rsidRPr="009E7A0C">
        <w:t>ēmumu</w:t>
      </w:r>
      <w:r w:rsidR="009E7A0C">
        <w:t xml:space="preserve"> </w:t>
      </w:r>
      <w:r w:rsidR="009E7A0C" w:rsidRPr="009E7A0C">
        <w:t xml:space="preserve">pieteicējai noteiktais pienākums ir </w:t>
      </w:r>
      <w:r>
        <w:t xml:space="preserve">samērīgs. </w:t>
      </w:r>
      <w:r w:rsidR="004A5E33">
        <w:t>Tiesa norādīja, ka t</w:t>
      </w:r>
      <w:r w:rsidR="0059414E" w:rsidRPr="0059414E">
        <w:t>iesības uz vārda brīvību, tostarp veidojot un publicējot</w:t>
      </w:r>
      <w:r w:rsidR="0059414E">
        <w:t xml:space="preserve"> </w:t>
      </w:r>
      <w:r w:rsidR="0059414E" w:rsidRPr="0059414E">
        <w:t>plašsaziņas līdzekļos publikācijas, nav absolūtas, tās var tikt ierobežotas, ja tas nepieciešams</w:t>
      </w:r>
      <w:r w:rsidR="0059414E">
        <w:t xml:space="preserve"> </w:t>
      </w:r>
      <w:r w:rsidR="0059414E" w:rsidRPr="0059414E">
        <w:t>sabiedrības interešu aizsardzībai</w:t>
      </w:r>
      <w:r w:rsidR="00A2746F" w:rsidRPr="00A2746F">
        <w:t>.</w:t>
      </w:r>
      <w:r w:rsidR="004A5E33">
        <w:t xml:space="preserve"> </w:t>
      </w:r>
      <w:r w:rsidR="00141E59">
        <w:t>L</w:t>
      </w:r>
      <w:r w:rsidR="00141E59" w:rsidRPr="00141E59">
        <w:t>ikumdevējs sabiedrības veselības aizsardzību ir atzinis</w:t>
      </w:r>
      <w:r w:rsidR="00141E59">
        <w:t xml:space="preserve"> </w:t>
      </w:r>
      <w:r w:rsidR="00141E59" w:rsidRPr="00141E59">
        <w:t>par svarīgu un leģitīmu mērķi, kura dēļ ir nepieciešams noteikt ierobežojumus zāļu reklāmai.</w:t>
      </w:r>
      <w:r w:rsidR="00141E59">
        <w:t xml:space="preserve"> </w:t>
      </w:r>
    </w:p>
    <w:p w14:paraId="0A2BBB99" w14:textId="77777777" w:rsidR="005647A0" w:rsidRDefault="005647A0" w:rsidP="00A06E81">
      <w:pPr>
        <w:spacing w:line="276" w:lineRule="auto"/>
        <w:ind w:firstLine="567"/>
        <w:jc w:val="both"/>
      </w:pPr>
    </w:p>
    <w:p w14:paraId="7B3FF16F" w14:textId="77777777" w:rsidR="008A0136" w:rsidRDefault="008E5241" w:rsidP="00A06E81">
      <w:pPr>
        <w:spacing w:line="276" w:lineRule="auto"/>
        <w:ind w:firstLine="567"/>
        <w:jc w:val="both"/>
      </w:pPr>
      <w:r>
        <w:t xml:space="preserve">[4] </w:t>
      </w:r>
      <w:r w:rsidRPr="00A37710">
        <w:t>Pieteicēja</w:t>
      </w:r>
      <w:r>
        <w:t xml:space="preserve"> </w:t>
      </w:r>
      <w:r w:rsidR="00191A2F">
        <w:t>iesniedza kasācijas sūdzību</w:t>
      </w:r>
      <w:r w:rsidR="00A428C5">
        <w:t xml:space="preserve"> par spriedumu. </w:t>
      </w:r>
    </w:p>
    <w:p w14:paraId="61DE7EF3" w14:textId="1A7A2048" w:rsidR="0018264F" w:rsidRDefault="00373AC6" w:rsidP="00A06E81">
      <w:pPr>
        <w:spacing w:line="276" w:lineRule="auto"/>
        <w:ind w:firstLine="567"/>
        <w:jc w:val="both"/>
      </w:pPr>
      <w:r>
        <w:t>Kas</w:t>
      </w:r>
      <w:r w:rsidR="005E63E7">
        <w:t xml:space="preserve">atore </w:t>
      </w:r>
      <w:r>
        <w:t>norād</w:t>
      </w:r>
      <w:r w:rsidR="005E63E7">
        <w:t>a</w:t>
      </w:r>
      <w:r>
        <w:t>, ka pārsūdzētais s</w:t>
      </w:r>
      <w:r w:rsidR="00E85657" w:rsidRPr="00E85657">
        <w:t xml:space="preserve">priedums ir pretrunā ar </w:t>
      </w:r>
      <w:r w:rsidR="004A5E33">
        <w:t xml:space="preserve">Latvijas </w:t>
      </w:r>
      <w:r w:rsidR="005E63E7">
        <w:t>R</w:t>
      </w:r>
      <w:r w:rsidR="004A5E33">
        <w:t xml:space="preserve">epublikas </w:t>
      </w:r>
      <w:r w:rsidR="00E85657" w:rsidRPr="004A5E33">
        <w:t>Satversmes</w:t>
      </w:r>
      <w:r w:rsidR="00E85657" w:rsidRPr="00E85657">
        <w:t xml:space="preserve"> </w:t>
      </w:r>
      <w:r w:rsidR="004A5E33">
        <w:t xml:space="preserve">(turpmāk – Satversme) </w:t>
      </w:r>
      <w:r w:rsidR="00E85657" w:rsidRPr="00E85657">
        <w:t>100.pant</w:t>
      </w:r>
      <w:r w:rsidR="00735257">
        <w:t>u</w:t>
      </w:r>
      <w:r w:rsidR="00E85657" w:rsidRPr="00E85657">
        <w:t xml:space="preserve"> un </w:t>
      </w:r>
      <w:r w:rsidR="004A5E33">
        <w:t xml:space="preserve">Eiropas </w:t>
      </w:r>
      <w:r w:rsidR="00E85657" w:rsidRPr="00E85657">
        <w:t>Cilvēka tiesību un</w:t>
      </w:r>
      <w:r w:rsidR="00E85657">
        <w:t xml:space="preserve"> </w:t>
      </w:r>
      <w:r w:rsidR="00E85657" w:rsidRPr="00E85657">
        <w:t>pamatbrīvību aizsardzības konvencija</w:t>
      </w:r>
      <w:r w:rsidR="00735257">
        <w:t>s</w:t>
      </w:r>
      <w:r w:rsidR="00E20B45">
        <w:t xml:space="preserve"> (turpmāk</w:t>
      </w:r>
      <w:r w:rsidR="00D70ECC">
        <w:t xml:space="preserve"> </w:t>
      </w:r>
      <w:r w:rsidR="00E20B45">
        <w:t>–</w:t>
      </w:r>
      <w:r w:rsidR="00D70ECC">
        <w:t xml:space="preserve"> </w:t>
      </w:r>
      <w:r w:rsidR="00E20B45">
        <w:t>Konvencija)</w:t>
      </w:r>
      <w:r w:rsidR="00E85657" w:rsidRPr="00E85657">
        <w:t xml:space="preserve"> 10.pant</w:t>
      </w:r>
      <w:r w:rsidR="00735257">
        <w:t>u</w:t>
      </w:r>
      <w:r w:rsidR="00E85657">
        <w:t>.</w:t>
      </w:r>
      <w:r w:rsidR="00735257">
        <w:t xml:space="preserve"> </w:t>
      </w:r>
      <w:r w:rsidR="007E61F4">
        <w:t>Pieteicējas ieskatā, tiesa nav iz</w:t>
      </w:r>
      <w:r w:rsidR="000A1810" w:rsidRPr="000A1810">
        <w:t>vērtēju</w:t>
      </w:r>
      <w:r w:rsidR="007E61F4">
        <w:t xml:space="preserve">si to, </w:t>
      </w:r>
      <w:r w:rsidR="000A1810" w:rsidRPr="000A1810">
        <w:t xml:space="preserve">vai </w:t>
      </w:r>
      <w:r w:rsidR="00EE0B30">
        <w:t xml:space="preserve">tiesību uz </w:t>
      </w:r>
      <w:r w:rsidR="000A1810" w:rsidRPr="000A1810">
        <w:t>vārda brīvīb</w:t>
      </w:r>
      <w:r w:rsidR="00EE0B30">
        <w:t>u</w:t>
      </w:r>
      <w:r w:rsidR="000A1810">
        <w:t xml:space="preserve"> </w:t>
      </w:r>
      <w:r w:rsidR="000A1810" w:rsidRPr="000A1810">
        <w:t>ierobežojums ir noteikts ar pienācīgā kārtā pieņemtu likumu, kam viens no kritērijiem</w:t>
      </w:r>
      <w:r w:rsidR="000A1810">
        <w:t xml:space="preserve"> </w:t>
      </w:r>
      <w:r w:rsidR="000A1810" w:rsidRPr="000A1810">
        <w:t>ir tas, vai likums ir pietiekami skaidri formulēts, lai persona varētu izprast no tā</w:t>
      </w:r>
      <w:r w:rsidR="000A1810">
        <w:t xml:space="preserve"> </w:t>
      </w:r>
      <w:r w:rsidR="000A1810" w:rsidRPr="000A1810">
        <w:t xml:space="preserve">izrietošo tiesību un pienākumu saturu un paredzēt tā piemērošanas sekas, kā arī </w:t>
      </w:r>
      <w:r w:rsidR="00EE0B30">
        <w:t xml:space="preserve">tas, </w:t>
      </w:r>
      <w:r w:rsidR="000A1810" w:rsidRPr="000A1810">
        <w:t>vai</w:t>
      </w:r>
      <w:r w:rsidR="0056068E">
        <w:t xml:space="preserve"> </w:t>
      </w:r>
      <w:r w:rsidR="0056068E" w:rsidRPr="0056068E">
        <w:t>likums nodrošina aizsardzību pret tā patvaļīgu piemērošanu</w:t>
      </w:r>
      <w:r w:rsidR="0056068E">
        <w:t>.</w:t>
      </w:r>
      <w:r w:rsidR="007E61F4">
        <w:t xml:space="preserve"> J</w:t>
      </w:r>
      <w:r w:rsidR="007E0155" w:rsidRPr="007E0155">
        <w:t xml:space="preserve">ēdziena </w:t>
      </w:r>
      <w:r w:rsidR="00A428C5">
        <w:t>„</w:t>
      </w:r>
      <w:r w:rsidR="007E0155" w:rsidRPr="007E0155">
        <w:t>zāļu reklāma” interpretācij</w:t>
      </w:r>
      <w:r w:rsidR="00A428C5">
        <w:t>a</w:t>
      </w:r>
      <w:r w:rsidR="007E0155">
        <w:t xml:space="preserve"> </w:t>
      </w:r>
      <w:r w:rsidR="007E0155" w:rsidRPr="007E0155">
        <w:t>medijiem</w:t>
      </w:r>
      <w:r w:rsidR="007E61F4">
        <w:t xml:space="preserve"> un</w:t>
      </w:r>
      <w:r w:rsidR="007E0155" w:rsidRPr="007E0155">
        <w:t xml:space="preserve"> žurnālistiem</w:t>
      </w:r>
      <w:r w:rsidR="00A428C5">
        <w:t xml:space="preserve"> </w:t>
      </w:r>
      <w:r w:rsidR="007E0155" w:rsidRPr="007E0155">
        <w:t>atstāj</w:t>
      </w:r>
      <w:r w:rsidR="007E61F4">
        <w:t>ot</w:t>
      </w:r>
      <w:r w:rsidR="007E0155" w:rsidRPr="007E0155">
        <w:t xml:space="preserve"> neskaidrību </w:t>
      </w:r>
      <w:r w:rsidR="009D211A">
        <w:t>saistībā ar to</w:t>
      </w:r>
      <w:r w:rsidR="007E0155" w:rsidRPr="007E0155">
        <w:t xml:space="preserve"> profesionālo darbību</w:t>
      </w:r>
      <w:r w:rsidR="004D7542">
        <w:t>.</w:t>
      </w:r>
      <w:r w:rsidR="00245945">
        <w:t xml:space="preserve"> N</w:t>
      </w:r>
      <w:r w:rsidR="007E61F4">
        <w:t>eesot</w:t>
      </w:r>
      <w:r w:rsidR="00245945">
        <w:t xml:space="preserve"> saprotams,</w:t>
      </w:r>
      <w:r w:rsidR="009D211A">
        <w:t xml:space="preserve"> </w:t>
      </w:r>
      <w:r w:rsidR="007521C9">
        <w:t xml:space="preserve">kurā brīdī </w:t>
      </w:r>
      <w:r w:rsidR="009D211A">
        <w:t>atbilstoši</w:t>
      </w:r>
      <w:r w:rsidR="007E0155" w:rsidRPr="007E0155">
        <w:t xml:space="preserve"> likuma </w:t>
      </w:r>
      <w:r w:rsidR="00A428C5">
        <w:t>„</w:t>
      </w:r>
      <w:r w:rsidR="007E0155" w:rsidRPr="007E0155">
        <w:t xml:space="preserve">Par presi un citiem masu informācijas līdzekļiem” 24.panta pirmās </w:t>
      </w:r>
      <w:r w:rsidR="007E0155" w:rsidRPr="007E0155">
        <w:lastRenderedPageBreak/>
        <w:t>daļas 1.punktā noteiktajām tiesībām informācij</w:t>
      </w:r>
      <w:r w:rsidR="004A5E33">
        <w:t xml:space="preserve">as vākšanu </w:t>
      </w:r>
      <w:r w:rsidR="007E0155" w:rsidRPr="007E0155">
        <w:t>jebkādā ar likumu</w:t>
      </w:r>
      <w:r w:rsidR="00760232">
        <w:t xml:space="preserve"> </w:t>
      </w:r>
      <w:r w:rsidR="007E0155" w:rsidRPr="007E0155">
        <w:t>neaizliegtā veidā un no jebkura ar likumu neaizliegta informācijas avota ir jāsāk</w:t>
      </w:r>
      <w:r w:rsidR="00760232">
        <w:t xml:space="preserve"> </w:t>
      </w:r>
      <w:r w:rsidR="007E0155" w:rsidRPr="007E0155">
        <w:t xml:space="preserve">interpretēt kā reklāmas darbību Reklāmas likuma 1.panta un </w:t>
      </w:r>
      <w:r w:rsidR="00A428C5">
        <w:t>n</w:t>
      </w:r>
      <w:r w:rsidR="007E0155" w:rsidRPr="007E0155">
        <w:t>oteikumu Nr.</w:t>
      </w:r>
      <w:r w:rsidR="007521C9">
        <w:t> </w:t>
      </w:r>
      <w:r w:rsidR="007E0155" w:rsidRPr="007E0155">
        <w:t>378</w:t>
      </w:r>
      <w:r w:rsidR="00760232">
        <w:t xml:space="preserve"> </w:t>
      </w:r>
      <w:r w:rsidR="007E0155" w:rsidRPr="007E0155">
        <w:t>normu kontekstā</w:t>
      </w:r>
      <w:r w:rsidR="00760232">
        <w:t>.</w:t>
      </w:r>
      <w:r w:rsidR="007E61F4">
        <w:t xml:space="preserve"> </w:t>
      </w:r>
      <w:r w:rsidR="00A428C5">
        <w:t>T</w:t>
      </w:r>
      <w:r w:rsidR="0058469A">
        <w:t>iesa</w:t>
      </w:r>
      <w:r w:rsidR="00A06214">
        <w:t xml:space="preserve"> </w:t>
      </w:r>
      <w:r w:rsidR="007E61F4">
        <w:t xml:space="preserve">tikai </w:t>
      </w:r>
      <w:r w:rsidR="00A06214">
        <w:t xml:space="preserve">hipotētiski </w:t>
      </w:r>
      <w:r w:rsidR="007E61F4">
        <w:t xml:space="preserve">esot </w:t>
      </w:r>
      <w:r w:rsidR="00A06214">
        <w:t>pieņēmusi, ka strīdus publikācijas mērķis</w:t>
      </w:r>
      <w:r w:rsidR="00984566">
        <w:t xml:space="preserve"> ir</w:t>
      </w:r>
      <w:r w:rsidR="00DF4A8B">
        <w:t xml:space="preserve"> zāļu reklāma</w:t>
      </w:r>
      <w:r w:rsidR="007E61F4">
        <w:t>, jo tie</w:t>
      </w:r>
      <w:r w:rsidR="00F255B1">
        <w:t>sību normās</w:t>
      </w:r>
      <w:r w:rsidR="00F255B1" w:rsidRPr="00F255B1">
        <w:t xml:space="preserve"> tiek nošķirta zāļu reklāma no informēšanas par</w:t>
      </w:r>
      <w:r w:rsidR="00831DF2">
        <w:t xml:space="preserve"> </w:t>
      </w:r>
      <w:r w:rsidR="00F255B1" w:rsidRPr="00F255B1">
        <w:t>konkrētām zālēm</w:t>
      </w:r>
      <w:r w:rsidR="007E61F4">
        <w:t xml:space="preserve">, bet tās </w:t>
      </w:r>
      <w:r w:rsidR="00F255B1" w:rsidRPr="00F255B1">
        <w:t>nekonkretizē, cik plašs drīkst būt</w:t>
      </w:r>
      <w:r w:rsidR="00831DF2">
        <w:t xml:space="preserve"> </w:t>
      </w:r>
      <w:r w:rsidR="00F255B1" w:rsidRPr="00F255B1">
        <w:t>informācijas apjoms par konkrētām zālēm, kas norobežotu žurnālistiskos nolūkos</w:t>
      </w:r>
      <w:r w:rsidR="00831DF2">
        <w:t xml:space="preserve"> </w:t>
      </w:r>
      <w:r w:rsidR="00F255B1" w:rsidRPr="00F255B1">
        <w:t xml:space="preserve">publicētu informāciju no zāļu reklāmas. </w:t>
      </w:r>
      <w:r w:rsidR="000A0C55" w:rsidRPr="000A0C55">
        <w:t>Spriedum</w:t>
      </w:r>
      <w:r w:rsidR="007E61F4">
        <w:t xml:space="preserve">ā arī </w:t>
      </w:r>
      <w:r w:rsidR="000A0C55" w:rsidRPr="000A0C55">
        <w:t>ne</w:t>
      </w:r>
      <w:r w:rsidR="007E61F4">
        <w:t xml:space="preserve">esot </w:t>
      </w:r>
      <w:r w:rsidR="000A0C55" w:rsidRPr="000A0C55">
        <w:t>pienācīg</w:t>
      </w:r>
      <w:r w:rsidR="007E61F4">
        <w:t>as</w:t>
      </w:r>
      <w:r w:rsidR="000A0C55" w:rsidRPr="000A0C55">
        <w:t xml:space="preserve"> argumentācij</w:t>
      </w:r>
      <w:r w:rsidR="007E61F4">
        <w:t>as</w:t>
      </w:r>
      <w:r w:rsidR="000A0C55" w:rsidRPr="000A0C55">
        <w:t>, kā bez strīdus publikāciju tapšanā</w:t>
      </w:r>
      <w:r w:rsidR="000A0C55">
        <w:t xml:space="preserve"> </w:t>
      </w:r>
      <w:r w:rsidR="000A0C55" w:rsidRPr="000A0C55">
        <w:t>iesaistītu personu liecīb</w:t>
      </w:r>
      <w:r w:rsidR="007E61F4">
        <w:t>ām</w:t>
      </w:r>
      <w:r w:rsidR="000A0C55" w:rsidRPr="000A0C55">
        <w:t xml:space="preserve"> ir iespējams secināt, ka strīdus</w:t>
      </w:r>
      <w:r w:rsidR="000A0C55">
        <w:t xml:space="preserve"> </w:t>
      </w:r>
      <w:r w:rsidR="000A0C55" w:rsidRPr="000A0C55">
        <w:t>publikācijās ietvertais vēstījums ir bijis vērsts uz to, lai veicinātu attiecīgo zāļu iegādi</w:t>
      </w:r>
      <w:r w:rsidR="000A0C55">
        <w:t xml:space="preserve"> </w:t>
      </w:r>
      <w:r w:rsidR="000A0C55" w:rsidRPr="000A0C55">
        <w:t>un patērēšanu</w:t>
      </w:r>
      <w:r w:rsidR="000A0C55">
        <w:t>.</w:t>
      </w:r>
    </w:p>
    <w:p w14:paraId="6195BD81" w14:textId="77777777" w:rsidR="0018264F" w:rsidRDefault="0018264F" w:rsidP="00A06E81">
      <w:pPr>
        <w:spacing w:line="276" w:lineRule="auto"/>
        <w:ind w:firstLine="567"/>
        <w:jc w:val="both"/>
      </w:pPr>
    </w:p>
    <w:p w14:paraId="75A0E3B9" w14:textId="2040B820" w:rsidR="00191A2F" w:rsidRDefault="00191A2F" w:rsidP="00A06E81">
      <w:pPr>
        <w:spacing w:line="276" w:lineRule="auto"/>
        <w:ind w:firstLine="567"/>
        <w:jc w:val="both"/>
      </w:pPr>
      <w:r>
        <w:t>[</w:t>
      </w:r>
      <w:r w:rsidR="004C2D93">
        <w:t>5</w:t>
      </w:r>
      <w:r>
        <w:t xml:space="preserve">] </w:t>
      </w:r>
      <w:r w:rsidR="004C2D93">
        <w:t>Inspekcija</w:t>
      </w:r>
      <w:r>
        <w:t xml:space="preserve"> paskaidrojum</w:t>
      </w:r>
      <w:r w:rsidR="004C2D93">
        <w:t>ā</w:t>
      </w:r>
      <w:r>
        <w:t xml:space="preserve"> par kasācijas sūdzīb</w:t>
      </w:r>
      <w:r w:rsidR="004C2D93">
        <w:t>u</w:t>
      </w:r>
      <w:r>
        <w:t xml:space="preserve"> uzskata t</w:t>
      </w:r>
      <w:r w:rsidR="004C2D93">
        <w:t>o</w:t>
      </w:r>
      <w:r>
        <w:t xml:space="preserve"> par nepamatot</w:t>
      </w:r>
      <w:r w:rsidR="004C2D93">
        <w:t>u</w:t>
      </w:r>
      <w:r>
        <w:t>.</w:t>
      </w:r>
    </w:p>
    <w:p w14:paraId="384D373B" w14:textId="77777777" w:rsidR="00191A2F" w:rsidRPr="0082381C" w:rsidRDefault="00191A2F" w:rsidP="00A06E81">
      <w:pPr>
        <w:spacing w:line="276" w:lineRule="auto"/>
        <w:ind w:firstLine="567"/>
        <w:jc w:val="both"/>
      </w:pPr>
    </w:p>
    <w:p w14:paraId="054C9234" w14:textId="77777777" w:rsidR="00191A2F" w:rsidRDefault="00191A2F" w:rsidP="00A06E81">
      <w:pPr>
        <w:spacing w:line="276" w:lineRule="auto"/>
        <w:jc w:val="center"/>
        <w:rPr>
          <w:b/>
        </w:rPr>
      </w:pPr>
      <w:r w:rsidRPr="0082381C">
        <w:rPr>
          <w:b/>
        </w:rPr>
        <w:t>Motīvu daļa</w:t>
      </w:r>
    </w:p>
    <w:p w14:paraId="18FBC2CB" w14:textId="77777777" w:rsidR="00A428C5" w:rsidRDefault="00A428C5" w:rsidP="00A06E81">
      <w:pPr>
        <w:spacing w:line="276" w:lineRule="auto"/>
        <w:jc w:val="center"/>
        <w:rPr>
          <w:b/>
        </w:rPr>
      </w:pPr>
    </w:p>
    <w:p w14:paraId="6D81866E" w14:textId="6E468E89" w:rsidR="00A428C5" w:rsidRPr="00020BD2" w:rsidRDefault="00020BD2" w:rsidP="00A06E81">
      <w:pPr>
        <w:spacing w:line="276" w:lineRule="auto"/>
        <w:ind w:firstLine="567"/>
        <w:jc w:val="both"/>
        <w:rPr>
          <w:bCs/>
        </w:rPr>
      </w:pPr>
      <w:r w:rsidRPr="00020BD2">
        <w:rPr>
          <w:bCs/>
        </w:rPr>
        <w:t xml:space="preserve">[6] </w:t>
      </w:r>
      <w:r w:rsidR="004A5E33">
        <w:rPr>
          <w:bCs/>
        </w:rPr>
        <w:t>Kasācijas kārtībā pārbaudāms</w:t>
      </w:r>
      <w:r w:rsidR="00EE0B30">
        <w:rPr>
          <w:bCs/>
        </w:rPr>
        <w:t>:</w:t>
      </w:r>
      <w:r w:rsidR="004A5E33">
        <w:rPr>
          <w:bCs/>
        </w:rPr>
        <w:t xml:space="preserve"> </w:t>
      </w:r>
      <w:r w:rsidR="00ED0AF5">
        <w:rPr>
          <w:bCs/>
        </w:rPr>
        <w:t>1)</w:t>
      </w:r>
      <w:r w:rsidR="00D70ECC">
        <w:rPr>
          <w:bCs/>
        </w:rPr>
        <w:t xml:space="preserve"> </w:t>
      </w:r>
      <w:r w:rsidR="00EE0B30">
        <w:rPr>
          <w:bCs/>
        </w:rPr>
        <w:t xml:space="preserve">vai </w:t>
      </w:r>
      <w:r w:rsidR="00ED0AF5">
        <w:rPr>
          <w:bCs/>
        </w:rPr>
        <w:t xml:space="preserve">strīdus publikācijas ir atzīstamas par zāļu reklāmu; 2) vai pamatoti ir ierobežotas </w:t>
      </w:r>
      <w:r w:rsidR="004A5E33">
        <w:rPr>
          <w:bCs/>
        </w:rPr>
        <w:t xml:space="preserve">pieteicējas </w:t>
      </w:r>
      <w:r w:rsidR="00ED0AF5">
        <w:rPr>
          <w:bCs/>
        </w:rPr>
        <w:t xml:space="preserve">tiesības uz </w:t>
      </w:r>
      <w:r w:rsidR="00EE0B30">
        <w:rPr>
          <w:bCs/>
        </w:rPr>
        <w:t>vārda (</w:t>
      </w:r>
      <w:r w:rsidR="00ED0AF5">
        <w:rPr>
          <w:bCs/>
        </w:rPr>
        <w:t>izpausmes</w:t>
      </w:r>
      <w:r w:rsidR="00EE0B30">
        <w:rPr>
          <w:bCs/>
        </w:rPr>
        <w:t>)</w:t>
      </w:r>
      <w:r w:rsidR="00ED0AF5">
        <w:rPr>
          <w:bCs/>
        </w:rPr>
        <w:t xml:space="preserve"> brīvību.</w:t>
      </w:r>
    </w:p>
    <w:p w14:paraId="6591781B" w14:textId="77777777" w:rsidR="00191A2F" w:rsidRDefault="00191A2F" w:rsidP="00A06E81">
      <w:pPr>
        <w:spacing w:line="276" w:lineRule="auto"/>
        <w:jc w:val="center"/>
        <w:rPr>
          <w:b/>
        </w:rPr>
      </w:pPr>
    </w:p>
    <w:p w14:paraId="1CA57607" w14:textId="00C9A86D" w:rsidR="00327859" w:rsidRDefault="00327859" w:rsidP="00A06E81">
      <w:pPr>
        <w:spacing w:line="276" w:lineRule="auto"/>
        <w:jc w:val="center"/>
        <w:rPr>
          <w:b/>
        </w:rPr>
      </w:pPr>
      <w:r>
        <w:rPr>
          <w:b/>
        </w:rPr>
        <w:t>I</w:t>
      </w:r>
    </w:p>
    <w:p w14:paraId="5DD6F3A3" w14:textId="001ECB43" w:rsidR="006D4ED4" w:rsidRDefault="0022040D" w:rsidP="00A06E81">
      <w:pPr>
        <w:spacing w:line="276" w:lineRule="auto"/>
        <w:jc w:val="center"/>
        <w:rPr>
          <w:bCs/>
          <w:i/>
          <w:iCs/>
        </w:rPr>
      </w:pPr>
      <w:r w:rsidRPr="00327859">
        <w:rPr>
          <w:bCs/>
          <w:i/>
          <w:iCs/>
        </w:rPr>
        <w:t>Strīdus publikāciju</w:t>
      </w:r>
      <w:r w:rsidR="00327859" w:rsidRPr="00327859">
        <w:rPr>
          <w:bCs/>
          <w:i/>
          <w:iCs/>
        </w:rPr>
        <w:t xml:space="preserve"> atbilstība </w:t>
      </w:r>
      <w:r w:rsidR="00197E03">
        <w:rPr>
          <w:bCs/>
          <w:i/>
          <w:iCs/>
        </w:rPr>
        <w:t xml:space="preserve">zāļu </w:t>
      </w:r>
      <w:r w:rsidR="00327859" w:rsidRPr="00327859">
        <w:rPr>
          <w:bCs/>
          <w:i/>
          <w:iCs/>
        </w:rPr>
        <w:t>reklāmas jēdzienam</w:t>
      </w:r>
    </w:p>
    <w:p w14:paraId="398A5D76" w14:textId="77777777" w:rsidR="00327859" w:rsidRPr="00327859" w:rsidRDefault="00327859" w:rsidP="00A06E81">
      <w:pPr>
        <w:spacing w:line="276" w:lineRule="auto"/>
        <w:rPr>
          <w:bCs/>
          <w:i/>
          <w:iCs/>
        </w:rPr>
      </w:pPr>
    </w:p>
    <w:p w14:paraId="59EB35E2" w14:textId="7F51DF26" w:rsidR="00020BD2" w:rsidRDefault="00191A2F" w:rsidP="00A06E81">
      <w:pPr>
        <w:spacing w:line="276" w:lineRule="auto"/>
        <w:ind w:firstLine="567"/>
        <w:jc w:val="both"/>
        <w:rPr>
          <w:bCs/>
        </w:rPr>
      </w:pPr>
      <w:r w:rsidRPr="005B1BA9">
        <w:rPr>
          <w:bCs/>
        </w:rPr>
        <w:t>[</w:t>
      </w:r>
      <w:r w:rsidR="00ED0AF5">
        <w:rPr>
          <w:bCs/>
        </w:rPr>
        <w:t>7</w:t>
      </w:r>
      <w:r w:rsidRPr="005B1BA9">
        <w:rPr>
          <w:bCs/>
        </w:rPr>
        <w:t>]</w:t>
      </w:r>
      <w:r w:rsidR="00D70ECC">
        <w:rPr>
          <w:bCs/>
        </w:rPr>
        <w:t xml:space="preserve"> </w:t>
      </w:r>
      <w:r w:rsidR="00235D72">
        <w:rPr>
          <w:bCs/>
        </w:rPr>
        <w:t xml:space="preserve">Reklāmas likuma </w:t>
      </w:r>
      <w:r w:rsidR="007E5541">
        <w:rPr>
          <w:bCs/>
        </w:rPr>
        <w:t xml:space="preserve">1.pants </w:t>
      </w:r>
      <w:r w:rsidR="00CC53A5">
        <w:rPr>
          <w:bCs/>
        </w:rPr>
        <w:t xml:space="preserve">definē, kas ir </w:t>
      </w:r>
      <w:r w:rsidR="007E5541">
        <w:rPr>
          <w:bCs/>
        </w:rPr>
        <w:t>reklāma</w:t>
      </w:r>
      <w:r w:rsidR="00CC53A5">
        <w:rPr>
          <w:bCs/>
        </w:rPr>
        <w:t xml:space="preserve"> šā likuma izpratnē</w:t>
      </w:r>
      <w:r w:rsidR="007E5541">
        <w:rPr>
          <w:bCs/>
        </w:rPr>
        <w:t xml:space="preserve">, savukārt </w:t>
      </w:r>
      <w:r w:rsidR="00235D72">
        <w:rPr>
          <w:bCs/>
        </w:rPr>
        <w:t>2.panta 1., 2. un 3.punkts noteic, ka š</w:t>
      </w:r>
      <w:r w:rsidR="00020BD2">
        <w:rPr>
          <w:bCs/>
        </w:rPr>
        <w:t>ā</w:t>
      </w:r>
      <w:r w:rsidR="00235D72">
        <w:rPr>
          <w:bCs/>
        </w:rPr>
        <w:t xml:space="preserve"> likuma mērķis ir</w:t>
      </w:r>
      <w:r w:rsidR="00EE0B30">
        <w:rPr>
          <w:bCs/>
        </w:rPr>
        <w:t>:</w:t>
      </w:r>
      <w:r w:rsidR="00235D72">
        <w:rPr>
          <w:bCs/>
        </w:rPr>
        <w:t xml:space="preserve"> </w:t>
      </w:r>
      <w:r w:rsidR="00020BD2">
        <w:rPr>
          <w:bCs/>
        </w:rPr>
        <w:t>1) </w:t>
      </w:r>
      <w:r w:rsidR="00235D72" w:rsidRPr="00235D72">
        <w:rPr>
          <w:bCs/>
        </w:rPr>
        <w:t>reglamentēt reklāmas izgatavošanu un izplatīšanu, kā arī noteikt reklāmas izgatavošanā un izplatīšanā iesaistīto personu tiesības, pienākumus un atbildību;</w:t>
      </w:r>
      <w:r w:rsidR="00235D72">
        <w:rPr>
          <w:bCs/>
        </w:rPr>
        <w:t xml:space="preserve"> </w:t>
      </w:r>
      <w:r w:rsidR="00235D72" w:rsidRPr="00235D72">
        <w:rPr>
          <w:bCs/>
        </w:rPr>
        <w:t>2)</w:t>
      </w:r>
      <w:r w:rsidR="00020BD2">
        <w:rPr>
          <w:bCs/>
        </w:rPr>
        <w:t> </w:t>
      </w:r>
      <w:r w:rsidR="00235D72" w:rsidRPr="00235D72">
        <w:rPr>
          <w:bCs/>
        </w:rPr>
        <w:t>aizsargāt personu, kā arī kopumā visas sabiedrības intereses reklāmas jomā;</w:t>
      </w:r>
      <w:r w:rsidR="00235D72">
        <w:rPr>
          <w:bCs/>
        </w:rPr>
        <w:t xml:space="preserve"> </w:t>
      </w:r>
      <w:r w:rsidR="00235D72" w:rsidRPr="00235D72">
        <w:rPr>
          <w:bCs/>
        </w:rPr>
        <w:t>3)</w:t>
      </w:r>
      <w:r w:rsidR="00020BD2">
        <w:rPr>
          <w:bCs/>
        </w:rPr>
        <w:t> </w:t>
      </w:r>
      <w:r w:rsidR="00235D72" w:rsidRPr="00235D72">
        <w:rPr>
          <w:bCs/>
        </w:rPr>
        <w:t>veicināt godīgu konkurenci.</w:t>
      </w:r>
      <w:r w:rsidR="00235D72">
        <w:rPr>
          <w:bCs/>
        </w:rPr>
        <w:t xml:space="preserve"> </w:t>
      </w:r>
    </w:p>
    <w:p w14:paraId="582DECBB" w14:textId="23253D63" w:rsidR="00235D72" w:rsidRDefault="008A0136" w:rsidP="00A06E81">
      <w:pPr>
        <w:spacing w:line="276" w:lineRule="auto"/>
        <w:ind w:firstLine="567"/>
        <w:jc w:val="both"/>
        <w:rPr>
          <w:bCs/>
        </w:rPr>
      </w:pPr>
      <w:r>
        <w:rPr>
          <w:bCs/>
        </w:rPr>
        <w:t>Tādējādi</w:t>
      </w:r>
      <w:r w:rsidR="00235D72">
        <w:rPr>
          <w:bCs/>
        </w:rPr>
        <w:t xml:space="preserve"> Reklāmas likums ne vien nosaka reklāmas vispārīgo jēdzienu, bet arī regulē reklāmas jomā iesaistīto personu pienākumus un atbildīb</w:t>
      </w:r>
      <w:r>
        <w:rPr>
          <w:bCs/>
        </w:rPr>
        <w:t xml:space="preserve">u, lai aizsargātu </w:t>
      </w:r>
      <w:r w:rsidR="007E5541">
        <w:rPr>
          <w:bCs/>
        </w:rPr>
        <w:t xml:space="preserve">citu personu </w:t>
      </w:r>
      <w:r w:rsidR="00EE0B30">
        <w:rPr>
          <w:bCs/>
        </w:rPr>
        <w:t xml:space="preserve">un </w:t>
      </w:r>
      <w:r w:rsidR="00235D72" w:rsidRPr="00235D72">
        <w:rPr>
          <w:bCs/>
        </w:rPr>
        <w:t xml:space="preserve">sabiedrības </w:t>
      </w:r>
      <w:r w:rsidR="00EE0B30">
        <w:rPr>
          <w:bCs/>
        </w:rPr>
        <w:t xml:space="preserve">kopumā </w:t>
      </w:r>
      <w:r w:rsidR="00235D72" w:rsidRPr="00235D72">
        <w:rPr>
          <w:bCs/>
        </w:rPr>
        <w:t>intere</w:t>
      </w:r>
      <w:r w:rsidR="007E5541">
        <w:rPr>
          <w:bCs/>
        </w:rPr>
        <w:t xml:space="preserve">ses </w:t>
      </w:r>
      <w:r w:rsidR="00235D72">
        <w:rPr>
          <w:bCs/>
        </w:rPr>
        <w:t>(</w:t>
      </w:r>
      <w:r w:rsidR="00235D72" w:rsidRPr="00020BD2">
        <w:rPr>
          <w:bCs/>
        </w:rPr>
        <w:t>Reklāmas likuma IV un V</w:t>
      </w:r>
      <w:r w:rsidR="000E723B">
        <w:rPr>
          <w:bCs/>
        </w:rPr>
        <w:t> </w:t>
      </w:r>
      <w:r w:rsidR="00235D72" w:rsidRPr="00020BD2">
        <w:rPr>
          <w:bCs/>
        </w:rPr>
        <w:t>nodaļ</w:t>
      </w:r>
      <w:r w:rsidR="00020BD2">
        <w:rPr>
          <w:bCs/>
        </w:rPr>
        <w:t>a</w:t>
      </w:r>
      <w:r w:rsidR="00235D72">
        <w:rPr>
          <w:bCs/>
        </w:rPr>
        <w:t>)</w:t>
      </w:r>
      <w:r w:rsidR="00DA3A01">
        <w:rPr>
          <w:bCs/>
        </w:rPr>
        <w:t xml:space="preserve">. Šis </w:t>
      </w:r>
      <w:r w:rsidR="007E5541">
        <w:rPr>
          <w:bCs/>
        </w:rPr>
        <w:t xml:space="preserve">regulējums </w:t>
      </w:r>
      <w:r w:rsidR="00DA3A01">
        <w:rPr>
          <w:bCs/>
        </w:rPr>
        <w:t xml:space="preserve">par reklāmas jomā iesaistīto personu pienākumu sadali ir piemērojams arī </w:t>
      </w:r>
      <w:r w:rsidR="008735FE">
        <w:rPr>
          <w:bCs/>
        </w:rPr>
        <w:t>reklām</w:t>
      </w:r>
      <w:r w:rsidR="00033C34">
        <w:rPr>
          <w:bCs/>
        </w:rPr>
        <w:t>as</w:t>
      </w:r>
      <w:r w:rsidR="008735FE">
        <w:rPr>
          <w:bCs/>
        </w:rPr>
        <w:t xml:space="preserve"> </w:t>
      </w:r>
      <w:r w:rsidR="00033C34">
        <w:rPr>
          <w:bCs/>
        </w:rPr>
        <w:t>speciālajās nozarēs</w:t>
      </w:r>
      <w:r w:rsidR="0066483B">
        <w:rPr>
          <w:bCs/>
        </w:rPr>
        <w:t xml:space="preserve"> gadījumā</w:t>
      </w:r>
      <w:r w:rsidR="00033C34">
        <w:rPr>
          <w:bCs/>
        </w:rPr>
        <w:t xml:space="preserve"> </w:t>
      </w:r>
      <w:r w:rsidR="00DA3A01">
        <w:rPr>
          <w:bCs/>
        </w:rPr>
        <w:t>(</w:t>
      </w:r>
      <w:r w:rsidR="00DA3A01" w:rsidRPr="00020BD2">
        <w:rPr>
          <w:bCs/>
        </w:rPr>
        <w:t>Reklāmas likuma 7.pants, 10.panta trešā daļa, 11.panta otrā daļa, 12.panta trešā daļa</w:t>
      </w:r>
      <w:r w:rsidR="0066483B">
        <w:rPr>
          <w:bCs/>
        </w:rPr>
        <w:t>)</w:t>
      </w:r>
      <w:r w:rsidR="00020BD2">
        <w:rPr>
          <w:bCs/>
        </w:rPr>
        <w:t>.</w:t>
      </w:r>
    </w:p>
    <w:p w14:paraId="4DF1D9FB" w14:textId="7D61BEB6" w:rsidR="00BE7278" w:rsidRDefault="00235D72" w:rsidP="00A06E81">
      <w:pPr>
        <w:spacing w:line="276" w:lineRule="auto"/>
        <w:ind w:firstLine="567"/>
        <w:jc w:val="both"/>
        <w:rPr>
          <w:bCs/>
        </w:rPr>
      </w:pPr>
      <w:r>
        <w:rPr>
          <w:bCs/>
        </w:rPr>
        <w:t xml:space="preserve">Reklāmas likuma 1.pants noteic, ka reklāma </w:t>
      </w:r>
      <w:r w:rsidRPr="005E3D84">
        <w:rPr>
          <w:bCs/>
        </w:rPr>
        <w:t>ir ar saimniecisko vai profesionālo darbību saistīts jebkuras formas vai jebkura veida paziņojums vai pasākums, kura nolūks ir veicināt preču vai pakalpojumu (arī nekustamā īpašuma, tiesību un saistību) popularitāti vai pieprasījumu pēc tiem</w:t>
      </w:r>
      <w:r>
        <w:rPr>
          <w:bCs/>
        </w:rPr>
        <w:t xml:space="preserve">. </w:t>
      </w:r>
    </w:p>
    <w:p w14:paraId="74ED65B3" w14:textId="393908C8" w:rsidR="000E723B" w:rsidRDefault="000E723B" w:rsidP="00A06E81">
      <w:pPr>
        <w:spacing w:line="276" w:lineRule="auto"/>
        <w:ind w:firstLine="567"/>
        <w:jc w:val="both"/>
        <w:rPr>
          <w:bCs/>
        </w:rPr>
      </w:pPr>
      <w:r>
        <w:rPr>
          <w:bCs/>
        </w:rPr>
        <w:t xml:space="preserve">Reklāmas likuma 7.panta </w:t>
      </w:r>
      <w:r w:rsidR="00EE1350">
        <w:rPr>
          <w:bCs/>
        </w:rPr>
        <w:t>otrā daļa noteic, ka p</w:t>
      </w:r>
      <w:r w:rsidR="00EE1350" w:rsidRPr="00EE1350">
        <w:rPr>
          <w:bCs/>
        </w:rPr>
        <w:t>apildu prasības attiecībā uz atsevišķu preču, preču grupu vai pakalpojumu reklāmas saturu, noformējumu vai izplatīšanas kārtību (arī reklāmas izplatīšanas kārtību atsevišķos masu informācijas līdzekļos) nosaka Ministru kabinets</w:t>
      </w:r>
      <w:r w:rsidR="00EE1350">
        <w:rPr>
          <w:bCs/>
        </w:rPr>
        <w:t>.</w:t>
      </w:r>
    </w:p>
    <w:p w14:paraId="5A90D5E8" w14:textId="65FA1CD7" w:rsidR="009766F5" w:rsidRDefault="00CC6BCC" w:rsidP="00A06E81">
      <w:pPr>
        <w:spacing w:line="276" w:lineRule="auto"/>
        <w:ind w:firstLine="567"/>
        <w:jc w:val="both"/>
      </w:pPr>
      <w:r>
        <w:rPr>
          <w:bCs/>
        </w:rPr>
        <w:t xml:space="preserve">Eiropas Savienības </w:t>
      </w:r>
      <w:r w:rsidR="00527062">
        <w:rPr>
          <w:bCs/>
        </w:rPr>
        <w:t>T</w:t>
      </w:r>
      <w:r>
        <w:rPr>
          <w:bCs/>
        </w:rPr>
        <w:t xml:space="preserve">iesa </w:t>
      </w:r>
      <w:r w:rsidR="008A0136">
        <w:rPr>
          <w:bCs/>
        </w:rPr>
        <w:t xml:space="preserve">ir </w:t>
      </w:r>
      <w:r>
        <w:rPr>
          <w:bCs/>
        </w:rPr>
        <w:t>atzin</w:t>
      </w:r>
      <w:r w:rsidR="00020BD2">
        <w:rPr>
          <w:bCs/>
        </w:rPr>
        <w:t>usi</w:t>
      </w:r>
      <w:r>
        <w:rPr>
          <w:bCs/>
        </w:rPr>
        <w:t xml:space="preserve">, ka </w:t>
      </w:r>
      <w:r w:rsidRPr="00424EBD">
        <w:t>direktīvas</w:t>
      </w:r>
      <w:r w:rsidR="00D70ECC">
        <w:t xml:space="preserve"> </w:t>
      </w:r>
      <w:r w:rsidRPr="00424EBD">
        <w:t>2001/83</w:t>
      </w:r>
      <w:r w:rsidR="0000237A">
        <w:t xml:space="preserve"> </w:t>
      </w:r>
      <w:r w:rsidRPr="0098386D">
        <w:t xml:space="preserve">86.panta 1.punktā </w:t>
      </w:r>
      <w:r>
        <w:t xml:space="preserve">jēdziens </w:t>
      </w:r>
      <w:r w:rsidR="000E723B">
        <w:t>„</w:t>
      </w:r>
      <w:r w:rsidRPr="0098386D">
        <w:t xml:space="preserve">zāļu reklāma” ir jāuzskata par autonomu Savienības tiesību jēdzienu, kas Savienības teritorijā ir jāinterpretē vienveidīgi, ņemot vērā ne tikai šīs tiesību normas formulējumu, bet arī kontekstu un tā tiesiskā regulējuma mērķus, kurā šī norma ir ietverta </w:t>
      </w:r>
      <w:r w:rsidR="000E723B">
        <w:t>(</w:t>
      </w:r>
      <w:r w:rsidR="008B447D" w:rsidRPr="002B4CA2">
        <w:rPr>
          <w:i/>
          <w:iCs/>
        </w:rPr>
        <w:t xml:space="preserve">Eiropas Savienības Tiesas 2022.gada 22.decembra sprieduma lietā </w:t>
      </w:r>
      <w:r w:rsidR="000E723B">
        <w:rPr>
          <w:i/>
          <w:iCs/>
        </w:rPr>
        <w:t>„</w:t>
      </w:r>
      <w:r w:rsidR="008B447D" w:rsidRPr="008B447D">
        <w:rPr>
          <w:i/>
          <w:iCs/>
        </w:rPr>
        <w:t>EUROAPTIEKA</w:t>
      </w:r>
      <w:r w:rsidR="008B447D">
        <w:rPr>
          <w:i/>
          <w:iCs/>
        </w:rPr>
        <w:t>”,</w:t>
      </w:r>
      <w:r w:rsidR="00D70ECC">
        <w:rPr>
          <w:i/>
          <w:iCs/>
        </w:rPr>
        <w:t xml:space="preserve"> </w:t>
      </w:r>
      <w:r w:rsidR="008B447D" w:rsidRPr="002B4CA2">
        <w:rPr>
          <w:i/>
          <w:iCs/>
        </w:rPr>
        <w:t>C-530/20</w:t>
      </w:r>
      <w:r w:rsidR="008B447D">
        <w:rPr>
          <w:i/>
          <w:iCs/>
        </w:rPr>
        <w:t xml:space="preserve">, </w:t>
      </w:r>
      <w:hyperlink r:id="rId8" w:history="1">
        <w:r w:rsidR="008B447D" w:rsidRPr="008B447D">
          <w:rPr>
            <w:rStyle w:val="Hyperlink"/>
            <w:i/>
            <w:iCs/>
          </w:rPr>
          <w:t>ECLI:EU:C:2022:1014</w:t>
        </w:r>
      </w:hyperlink>
      <w:r w:rsidRPr="00FE5DA0">
        <w:rPr>
          <w:i/>
          <w:iCs/>
        </w:rPr>
        <w:t xml:space="preserve">, </w:t>
      </w:r>
      <w:r>
        <w:rPr>
          <w:i/>
          <w:iCs/>
        </w:rPr>
        <w:t>30.</w:t>
      </w:r>
      <w:r w:rsidR="007E5541">
        <w:rPr>
          <w:i/>
          <w:iCs/>
        </w:rPr>
        <w:t>–</w:t>
      </w:r>
      <w:r>
        <w:rPr>
          <w:i/>
          <w:iCs/>
        </w:rPr>
        <w:t>31</w:t>
      </w:r>
      <w:r w:rsidRPr="00FE5DA0">
        <w:rPr>
          <w:i/>
          <w:iCs/>
        </w:rPr>
        <w:t>.punkt</w:t>
      </w:r>
      <w:r w:rsidR="000E723B">
        <w:rPr>
          <w:i/>
          <w:iCs/>
        </w:rPr>
        <w:t>s</w:t>
      </w:r>
      <w:r w:rsidR="000E723B">
        <w:t>)</w:t>
      </w:r>
      <w:r w:rsidRPr="0098386D">
        <w:t>.</w:t>
      </w:r>
      <w:r>
        <w:t xml:space="preserve"> </w:t>
      </w:r>
      <w:r>
        <w:rPr>
          <w:bCs/>
        </w:rPr>
        <w:t xml:space="preserve">Šī direktīva </w:t>
      </w:r>
      <w:r w:rsidR="00676EA7">
        <w:rPr>
          <w:bCs/>
        </w:rPr>
        <w:t xml:space="preserve">attiecībā uz </w:t>
      </w:r>
      <w:r w:rsidR="000E723B">
        <w:rPr>
          <w:bCs/>
        </w:rPr>
        <w:t>„</w:t>
      </w:r>
      <w:r w:rsidR="00676EA7">
        <w:rPr>
          <w:bCs/>
        </w:rPr>
        <w:t xml:space="preserve">zāļu </w:t>
      </w:r>
      <w:r w:rsidR="00676EA7">
        <w:rPr>
          <w:bCs/>
        </w:rPr>
        <w:lastRenderedPageBreak/>
        <w:t xml:space="preserve">reklāmas” jēdzienu </w:t>
      </w:r>
      <w:r>
        <w:rPr>
          <w:bCs/>
        </w:rPr>
        <w:t>Latvijas tiesību sistēmā</w:t>
      </w:r>
      <w:r w:rsidR="00805B3B">
        <w:rPr>
          <w:bCs/>
        </w:rPr>
        <w:t xml:space="preserve"> </w:t>
      </w:r>
      <w:r>
        <w:rPr>
          <w:bCs/>
        </w:rPr>
        <w:t xml:space="preserve">ir ieviesta ar </w:t>
      </w:r>
      <w:r w:rsidR="000E723B">
        <w:rPr>
          <w:bCs/>
        </w:rPr>
        <w:t>n</w:t>
      </w:r>
      <w:r w:rsidR="008735FE">
        <w:t>oteikumiem</w:t>
      </w:r>
      <w:r w:rsidR="008735FE" w:rsidRPr="008735FE">
        <w:t xml:space="preserve"> </w:t>
      </w:r>
      <w:r w:rsidR="008735FE">
        <w:t xml:space="preserve">Nr. 378, </w:t>
      </w:r>
      <w:r w:rsidR="008735FE" w:rsidRPr="00EE1350">
        <w:t xml:space="preserve">kas pieņemti, balstoties uz </w:t>
      </w:r>
      <w:r w:rsidR="003C6FBC" w:rsidRPr="00EE1350">
        <w:rPr>
          <w:bCs/>
        </w:rPr>
        <w:t>Farmācijas likuma 5.panta 5.punkt</w:t>
      </w:r>
      <w:r w:rsidR="008735FE" w:rsidRPr="00EE1350">
        <w:rPr>
          <w:bCs/>
        </w:rPr>
        <w:t>a deleģējumu</w:t>
      </w:r>
      <w:r>
        <w:t xml:space="preserve">. </w:t>
      </w:r>
    </w:p>
    <w:p w14:paraId="38B60C26" w14:textId="14F38435" w:rsidR="00CC6BCC" w:rsidRPr="00CC6BCC" w:rsidRDefault="009766F5" w:rsidP="00A06E81">
      <w:pPr>
        <w:spacing w:line="276" w:lineRule="auto"/>
        <w:ind w:firstLine="567"/>
        <w:jc w:val="both"/>
      </w:pPr>
      <w:r>
        <w:t>Tādē</w:t>
      </w:r>
      <w:r w:rsidR="007E5541">
        <w:t>jādi</w:t>
      </w:r>
      <w:r w:rsidR="00CC6BCC">
        <w:t xml:space="preserve"> </w:t>
      </w:r>
      <w:r w:rsidR="000E723B">
        <w:t>n</w:t>
      </w:r>
      <w:r w:rsidR="003C6FBC">
        <w:t>oteikum</w:t>
      </w:r>
      <w:r w:rsidR="00AA2DF3">
        <w:t>u</w:t>
      </w:r>
      <w:r w:rsidR="003C6FBC">
        <w:t xml:space="preserve"> Nr. 378 </w:t>
      </w:r>
      <w:r w:rsidR="00235D72">
        <w:t xml:space="preserve">2. un </w:t>
      </w:r>
      <w:r w:rsidR="003C6FBC">
        <w:t xml:space="preserve">3.punktā </w:t>
      </w:r>
      <w:r w:rsidR="00A54D3B">
        <w:t>noteiktais ir speciālais</w:t>
      </w:r>
      <w:r w:rsidR="003C6FBC">
        <w:t xml:space="preserve"> </w:t>
      </w:r>
      <w:r w:rsidR="00CC6BCC">
        <w:t>regulējums</w:t>
      </w:r>
      <w:r w:rsidR="00A54D3B">
        <w:t xml:space="preserve"> (</w:t>
      </w:r>
      <w:r w:rsidR="00A54D3B" w:rsidRPr="007E5541">
        <w:rPr>
          <w:bCs/>
        </w:rPr>
        <w:t>Reklāmas</w:t>
      </w:r>
      <w:r w:rsidR="00A54D3B" w:rsidRPr="000E723B">
        <w:rPr>
          <w:bCs/>
        </w:rPr>
        <w:t xml:space="preserve"> likuma 7.panta otrā daļa</w:t>
      </w:r>
      <w:r w:rsidR="00A54D3B">
        <w:rPr>
          <w:bCs/>
        </w:rPr>
        <w:t>)</w:t>
      </w:r>
      <w:r w:rsidR="00CC6BCC">
        <w:t xml:space="preserve"> </w:t>
      </w:r>
      <w:r w:rsidR="00A54D3B">
        <w:t>iepretim</w:t>
      </w:r>
      <w:r w:rsidR="00CC6BCC">
        <w:t xml:space="preserve"> vispārēj</w:t>
      </w:r>
      <w:r w:rsidR="00A54D3B">
        <w:t>am</w:t>
      </w:r>
      <w:r w:rsidR="00CC6BCC">
        <w:t xml:space="preserve"> </w:t>
      </w:r>
      <w:r w:rsidR="000E723B">
        <w:t>„</w:t>
      </w:r>
      <w:r w:rsidR="00CC6BCC">
        <w:t>reklāmas” jēdzien</w:t>
      </w:r>
      <w:r w:rsidR="00A54D3B">
        <w:t>am</w:t>
      </w:r>
      <w:r w:rsidR="00CC6BCC">
        <w:t>,</w:t>
      </w:r>
      <w:r w:rsidR="003C6FBC">
        <w:t xml:space="preserve"> kas izteikts </w:t>
      </w:r>
      <w:r w:rsidR="003C6FBC">
        <w:rPr>
          <w:bCs/>
        </w:rPr>
        <w:t>Reklāmas likuma 1.pantā</w:t>
      </w:r>
      <w:r w:rsidR="00235D72">
        <w:rPr>
          <w:bCs/>
        </w:rPr>
        <w:t xml:space="preserve">. </w:t>
      </w:r>
      <w:r w:rsidR="007E5541">
        <w:rPr>
          <w:bCs/>
        </w:rPr>
        <w:t>Ie</w:t>
      </w:r>
      <w:r w:rsidR="00235D72">
        <w:rPr>
          <w:bCs/>
        </w:rPr>
        <w:t>vēr</w:t>
      </w:r>
      <w:r w:rsidR="007E5541">
        <w:rPr>
          <w:bCs/>
        </w:rPr>
        <w:t>ojot</w:t>
      </w:r>
      <w:r w:rsidR="00235D72">
        <w:rPr>
          <w:bCs/>
        </w:rPr>
        <w:t xml:space="preserve"> minēto,</w:t>
      </w:r>
      <w:r w:rsidR="00CC6BCC">
        <w:t xml:space="preserve"> </w:t>
      </w:r>
      <w:r w:rsidR="008735FE">
        <w:t>izvērtējumam par to, vai konkrēts izteikums ir atzīstams par zāļu reklāmu,</w:t>
      </w:r>
      <w:r w:rsidR="003C6FBC">
        <w:t xml:space="preserve"> ir jāpiemēro </w:t>
      </w:r>
      <w:r w:rsidR="00EE1350">
        <w:t>n</w:t>
      </w:r>
      <w:r w:rsidR="003C6FBC">
        <w:t xml:space="preserve">oteikumu Nr. 378 </w:t>
      </w:r>
      <w:r w:rsidR="007022D9">
        <w:t>2</w:t>
      </w:r>
      <w:r w:rsidR="003C6FBC">
        <w:t>.</w:t>
      </w:r>
      <w:r w:rsidR="007022D9">
        <w:t xml:space="preserve"> </w:t>
      </w:r>
      <w:r w:rsidR="00805B3B">
        <w:t>u</w:t>
      </w:r>
      <w:r w:rsidR="007022D9">
        <w:t>n 3.</w:t>
      </w:r>
      <w:r w:rsidR="003C6FBC">
        <w:t>punkts, kas interpretējams kops</w:t>
      </w:r>
      <w:r w:rsidR="007E5541">
        <w:t>akarā</w:t>
      </w:r>
      <w:r w:rsidR="003C6FBC">
        <w:t xml:space="preserve"> ar d</w:t>
      </w:r>
      <w:r w:rsidR="003C6FBC" w:rsidRPr="0098386D">
        <w:t>irektīvas</w:t>
      </w:r>
      <w:r w:rsidR="00D70ECC">
        <w:t xml:space="preserve"> </w:t>
      </w:r>
      <w:r w:rsidR="003C6FBC" w:rsidRPr="0098386D">
        <w:t>2001/83 86.</w:t>
      </w:r>
      <w:r w:rsidR="007E5541">
        <w:t>–</w:t>
      </w:r>
      <w:r w:rsidR="000A373D">
        <w:t>100</w:t>
      </w:r>
      <w:r w:rsidR="00805B3B">
        <w:t>.</w:t>
      </w:r>
      <w:r w:rsidR="003C6FBC" w:rsidRPr="0098386D">
        <w:t>pant</w:t>
      </w:r>
      <w:r w:rsidR="007022D9">
        <w:t>u</w:t>
      </w:r>
      <w:r w:rsidR="00033C34">
        <w:t xml:space="preserve"> un </w:t>
      </w:r>
      <w:r w:rsidR="003C6FBC">
        <w:t xml:space="preserve">Eiropas Savienības </w:t>
      </w:r>
      <w:r w:rsidR="00527062">
        <w:t>T</w:t>
      </w:r>
      <w:r w:rsidR="003C6FBC">
        <w:t>iesas judikatūru, kurā interpretēt</w:t>
      </w:r>
      <w:r w:rsidR="00AA2DF3">
        <w:t>a</w:t>
      </w:r>
      <w:r w:rsidR="00033C34">
        <w:t>s</w:t>
      </w:r>
      <w:r w:rsidR="003C6FBC">
        <w:t xml:space="preserve"> šī</w:t>
      </w:r>
      <w:r>
        <w:t>s</w:t>
      </w:r>
      <w:r w:rsidR="003C6FBC">
        <w:t xml:space="preserve"> </w:t>
      </w:r>
      <w:r w:rsidR="007E5541">
        <w:t>direktīvas</w:t>
      </w:r>
      <w:r w:rsidR="003C6FBC">
        <w:t xml:space="preserve"> norma</w:t>
      </w:r>
      <w:r>
        <w:t>s</w:t>
      </w:r>
      <w:r w:rsidR="003C6FBC">
        <w:t xml:space="preserve">, nevis </w:t>
      </w:r>
      <w:r w:rsidR="00BB16DB">
        <w:t xml:space="preserve">kopsakarā </w:t>
      </w:r>
      <w:r w:rsidR="00CC53A5" w:rsidRPr="00BB16DB">
        <w:t>vienīgi</w:t>
      </w:r>
      <w:r w:rsidR="00CC53A5">
        <w:t xml:space="preserve"> </w:t>
      </w:r>
      <w:r w:rsidR="00BB16DB">
        <w:t xml:space="preserve">ar </w:t>
      </w:r>
      <w:r w:rsidR="003C6FBC">
        <w:rPr>
          <w:bCs/>
        </w:rPr>
        <w:t>Reklāmas likuma 1.pant</w:t>
      </w:r>
      <w:r w:rsidR="00AA2DF3">
        <w:rPr>
          <w:bCs/>
        </w:rPr>
        <w:t>ā izteikt</w:t>
      </w:r>
      <w:r w:rsidR="00BB16DB">
        <w:rPr>
          <w:bCs/>
        </w:rPr>
        <w:t xml:space="preserve">o </w:t>
      </w:r>
      <w:r w:rsidR="00EE1350">
        <w:rPr>
          <w:bCs/>
        </w:rPr>
        <w:t>„</w:t>
      </w:r>
      <w:r w:rsidR="00AA2DF3">
        <w:rPr>
          <w:bCs/>
        </w:rPr>
        <w:t>reklāmas” jēdzien</w:t>
      </w:r>
      <w:r w:rsidR="00BB16DB">
        <w:rPr>
          <w:bCs/>
        </w:rPr>
        <w:t>u</w:t>
      </w:r>
      <w:r>
        <w:rPr>
          <w:bCs/>
        </w:rPr>
        <w:t>.</w:t>
      </w:r>
    </w:p>
    <w:p w14:paraId="1842DC9A" w14:textId="77777777" w:rsidR="000C5EDD" w:rsidRDefault="000C5EDD" w:rsidP="00A06E81">
      <w:pPr>
        <w:spacing w:line="276" w:lineRule="auto"/>
        <w:ind w:firstLine="567"/>
        <w:jc w:val="both"/>
        <w:rPr>
          <w:bCs/>
        </w:rPr>
      </w:pPr>
    </w:p>
    <w:p w14:paraId="25EB7154" w14:textId="2617099E" w:rsidR="007022D9" w:rsidRDefault="00EC2391" w:rsidP="00A06E81">
      <w:pPr>
        <w:spacing w:line="276" w:lineRule="auto"/>
        <w:ind w:firstLine="567"/>
        <w:jc w:val="both"/>
        <w:rPr>
          <w:bCs/>
        </w:rPr>
      </w:pPr>
      <w:r>
        <w:rPr>
          <w:bCs/>
        </w:rPr>
        <w:t>[</w:t>
      </w:r>
      <w:r w:rsidR="00ED0AF5">
        <w:rPr>
          <w:bCs/>
        </w:rPr>
        <w:t>8</w:t>
      </w:r>
      <w:r>
        <w:rPr>
          <w:bCs/>
        </w:rPr>
        <w:t xml:space="preserve">] </w:t>
      </w:r>
      <w:r w:rsidR="007022D9">
        <w:t xml:space="preserve">Noteikumu Nr. 378 2.punkts noteic, ka </w:t>
      </w:r>
      <w:r w:rsidR="00EE1350">
        <w:t xml:space="preserve">šie </w:t>
      </w:r>
      <w:r w:rsidR="007022D9">
        <w:t>noteikumi attiecas uz jebkura veida paziņojumu, darbību un pasākumu, ja tā mērķis ir veicināt zāļu izrakstīšanu, izplatīšanu vai lietošanu, tajā skaitā: 2.1.</w:t>
      </w:r>
      <w:r w:rsidR="00CC53A5">
        <w:t> </w:t>
      </w:r>
      <w:r w:rsidR="007022D9">
        <w:t>uz sabiedrībai paredzēto zāļu reklāmu; 2.2.</w:t>
      </w:r>
      <w:r w:rsidR="00CC53A5">
        <w:t> </w:t>
      </w:r>
      <w:r w:rsidR="007022D9">
        <w:t>uz tām personām paredzēto zāļu reklāmu, kurām ir tiesības izrakstīt vai izplatīt zāles, ietverot: 2.2.1.</w:t>
      </w:r>
      <w:r w:rsidR="00CC53A5">
        <w:t> </w:t>
      </w:r>
      <w:r w:rsidR="007022D9">
        <w:t>informācijas sniegšanu par zālēm, ko veic reklāmas devēja pilnvarota persona; 2.2.2.</w:t>
      </w:r>
      <w:r w:rsidR="00CC53A5">
        <w:t> </w:t>
      </w:r>
      <w:r w:rsidR="007022D9">
        <w:t>medicīnisko pārstāvju vizītes pie speciālistiem; 2.2.3.</w:t>
      </w:r>
      <w:r w:rsidR="00CC53A5">
        <w:t> </w:t>
      </w:r>
      <w:r w:rsidR="007022D9">
        <w:t>zāļu bezmaksas paraugu nodošanu; 2.2.4.</w:t>
      </w:r>
      <w:r w:rsidR="00CC53A5">
        <w:t> </w:t>
      </w:r>
      <w:r w:rsidR="007022D9">
        <w:t>pamudinājumu izrakstīt vai izplatīt konkrētas zāles, piedāvājot dāvanas vai jebkādu materiālo vai cita veida atlīdzību; 2.2.5.</w:t>
      </w:r>
      <w:r w:rsidR="00CC53A5">
        <w:t> </w:t>
      </w:r>
      <w:r w:rsidR="007022D9">
        <w:t>tādu reklāmas un zinātnisku pasākumu organizēšanu un sponsorēšanu, kuros piedalās speciālisti, jo īpaši ar to saistīto ceļa un izmitināšanas izdevumu samaksu minētajām personām; 2.2.6.</w:t>
      </w:r>
      <w:r w:rsidR="00CC53A5">
        <w:t> </w:t>
      </w:r>
      <w:r w:rsidR="007022D9">
        <w:t>biedrībām un nodibinājumiem, kas apvieno speciālistus, ārstniecības iestādēm un farmaceitiskās darbības subjektiem sniegto materiālo vai cita veida atbalstu dalībai pasākumos ar zinātnisku un profesionālu ievirzi; 2.2.7.</w:t>
      </w:r>
      <w:r w:rsidR="00CC53A5">
        <w:t> </w:t>
      </w:r>
      <w:r w:rsidR="007022D9">
        <w:t>jebkuru vizuālu, rakstisku vai mutvārdu reklāmu, kuru izmanto šo noteikumu 35.punktā minētajos gadījumos; 2.2.8.</w:t>
      </w:r>
      <w:r w:rsidR="00CC53A5">
        <w:t> </w:t>
      </w:r>
      <w:r w:rsidR="007022D9">
        <w:t>informāciju par zāļu reģistrācijas īpašnieku vai tā pilnvaroto pārstāvju pētījumiem un attīstībai izlietotajām finansēm un informāciju par publikāciju apmaksu speciālistiem.</w:t>
      </w:r>
    </w:p>
    <w:p w14:paraId="02A6D8E0" w14:textId="05C651C7" w:rsidR="00286581" w:rsidRPr="00491032" w:rsidRDefault="007022D9" w:rsidP="00A06E81">
      <w:pPr>
        <w:spacing w:line="276" w:lineRule="auto"/>
        <w:ind w:firstLine="567"/>
        <w:jc w:val="both"/>
      </w:pPr>
      <w:r>
        <w:rPr>
          <w:bCs/>
        </w:rPr>
        <w:t xml:space="preserve">Savukārt </w:t>
      </w:r>
      <w:r w:rsidR="00EE1350">
        <w:rPr>
          <w:bCs/>
        </w:rPr>
        <w:t>n</w:t>
      </w:r>
      <w:r w:rsidR="00286581">
        <w:t>oteikum</w:t>
      </w:r>
      <w:r w:rsidR="009D5B18">
        <w:t>u</w:t>
      </w:r>
      <w:r w:rsidR="00286581">
        <w:t xml:space="preserve"> Nr. 378 3.punkts noteic, ka </w:t>
      </w:r>
      <w:r w:rsidR="00EE1350">
        <w:t xml:space="preserve">šie </w:t>
      </w:r>
      <w:r w:rsidR="00286581">
        <w:t>n</w:t>
      </w:r>
      <w:r w:rsidR="00286581" w:rsidRPr="00491032">
        <w:t>oteikumi neattiecas uz:</w:t>
      </w:r>
      <w:r w:rsidR="00DC3EDD">
        <w:t xml:space="preserve"> </w:t>
      </w:r>
      <w:r w:rsidR="009C4083">
        <w:t>3.1.</w:t>
      </w:r>
      <w:r w:rsidR="00EE1350">
        <w:t> </w:t>
      </w:r>
      <w:r w:rsidR="00286581" w:rsidRPr="00491032">
        <w:t>zāļu marķējumu un lietošanas instrukcijām, kas atbilst normatīvajos aktos par zāļu marķēšanu noteiktajām prasībām, ja tās netiek izmantotas atsevišķi no zālēm, lai tās reklamētu;</w:t>
      </w:r>
      <w:r w:rsidR="00286581">
        <w:t xml:space="preserve"> </w:t>
      </w:r>
      <w:r w:rsidR="009C4083">
        <w:t>3.2.</w:t>
      </w:r>
      <w:r w:rsidR="00EE1350">
        <w:t> </w:t>
      </w:r>
      <w:r w:rsidR="00286581" w:rsidRPr="00491032">
        <w:t>korespondenci, ja tai nav reklāmas rakstura un tā ir nepieciešama, lai atbildētu uz specifisku jautājumu par konkrētām zālēm;</w:t>
      </w:r>
      <w:r w:rsidR="00286581">
        <w:t xml:space="preserve"> 3</w:t>
      </w:r>
      <w:r w:rsidR="009C4083">
        <w:t>.3.</w:t>
      </w:r>
      <w:r w:rsidR="00EE1350">
        <w:t> </w:t>
      </w:r>
      <w:r w:rsidR="00286581" w:rsidRPr="00491032">
        <w:t>datus saturošiem informatīviem paziņojumiem un uzziņas materiāliem, kas attiecas, piemēram, uz iesaiņojuma maiņu, brīdinājumu par blakusparādībām kā vienu no vispārīgiem zāļu lietošanas piesardzības pasākumiem, kā arī uz tirdzniecības katalogiem, cenrāžiem, kuros nav norādītas preparātu indikācijas vai kuros nav zāļu reklāmas;</w:t>
      </w:r>
      <w:r w:rsidR="00286581">
        <w:t xml:space="preserve"> </w:t>
      </w:r>
      <w:r w:rsidR="009C4083">
        <w:t>3.</w:t>
      </w:r>
      <w:r w:rsidR="00286581">
        <w:t>4</w:t>
      </w:r>
      <w:r w:rsidR="009C4083">
        <w:t>.</w:t>
      </w:r>
      <w:r w:rsidR="00EE1350">
        <w:t> </w:t>
      </w:r>
      <w:r w:rsidR="00286581" w:rsidRPr="00491032">
        <w:t>paziņojumiem par cilvēku veselību vai slimībām, ja tajos nav pat netiešas norādes uz zālēm;</w:t>
      </w:r>
      <w:r w:rsidR="00286581">
        <w:t xml:space="preserve"> </w:t>
      </w:r>
      <w:r w:rsidR="009C4083">
        <w:t>3.5.</w:t>
      </w:r>
      <w:r w:rsidR="00EE1350">
        <w:t> </w:t>
      </w:r>
      <w:r w:rsidR="00286581" w:rsidRPr="00491032">
        <w:t>informāciju, ko speciālists sniedz individuālam pacientam par konkrētām zālēm, kuras viņam ir nepieciešamas</w:t>
      </w:r>
      <w:r w:rsidR="00286581">
        <w:t>.</w:t>
      </w:r>
    </w:p>
    <w:p w14:paraId="097E3543" w14:textId="622F081D" w:rsidR="00546594" w:rsidRDefault="000F47F3" w:rsidP="00A06E81">
      <w:pPr>
        <w:spacing w:line="276" w:lineRule="auto"/>
        <w:ind w:firstLine="567"/>
        <w:jc w:val="both"/>
        <w:rPr>
          <w:bCs/>
        </w:rPr>
      </w:pPr>
      <w:r>
        <w:rPr>
          <w:bCs/>
        </w:rPr>
        <w:t xml:space="preserve">No </w:t>
      </w:r>
      <w:r w:rsidR="00EE1350">
        <w:rPr>
          <w:bCs/>
        </w:rPr>
        <w:t xml:space="preserve">noteikumu 3.punkta </w:t>
      </w:r>
      <w:r>
        <w:rPr>
          <w:bCs/>
        </w:rPr>
        <w:t xml:space="preserve">negatīvās definīcijas secināms, ka </w:t>
      </w:r>
      <w:r w:rsidR="00D419A3">
        <w:rPr>
          <w:bCs/>
        </w:rPr>
        <w:t xml:space="preserve">šajā </w:t>
      </w:r>
      <w:r w:rsidR="00E20B45">
        <w:rPr>
          <w:bCs/>
        </w:rPr>
        <w:t xml:space="preserve">tiesību </w:t>
      </w:r>
      <w:r>
        <w:rPr>
          <w:bCs/>
        </w:rPr>
        <w:t xml:space="preserve">normā </w:t>
      </w:r>
      <w:r w:rsidR="0029521E">
        <w:rPr>
          <w:bCs/>
        </w:rPr>
        <w:t>uzskaitītajos</w:t>
      </w:r>
      <w:r>
        <w:rPr>
          <w:bCs/>
        </w:rPr>
        <w:t xml:space="preserve"> gadījumos</w:t>
      </w:r>
      <w:r w:rsidR="0029521E">
        <w:rPr>
          <w:bCs/>
        </w:rPr>
        <w:t xml:space="preserve"> sniegtā informācija nav uzskatāma par reklāmu</w:t>
      </w:r>
      <w:r w:rsidR="00F6309C">
        <w:rPr>
          <w:bCs/>
        </w:rPr>
        <w:t>. Savukārt</w:t>
      </w:r>
      <w:r w:rsidR="00D87FF4">
        <w:rPr>
          <w:bCs/>
        </w:rPr>
        <w:t xml:space="preserve"> attiecībā uz gadījumiem, kas neatbilst </w:t>
      </w:r>
      <w:r w:rsidR="00EE1350">
        <w:rPr>
          <w:bCs/>
        </w:rPr>
        <w:t>n</w:t>
      </w:r>
      <w:r w:rsidR="00D87FF4">
        <w:t>oteikumu Nr. 378 3.punkt</w:t>
      </w:r>
      <w:r w:rsidR="00EE1350">
        <w:t>a</w:t>
      </w:r>
      <w:r w:rsidR="00F02967">
        <w:t>m, ir jāvērtē</w:t>
      </w:r>
      <w:r w:rsidR="003144C6">
        <w:t xml:space="preserve"> </w:t>
      </w:r>
      <w:r w:rsidR="009D7841">
        <w:t>izteikuma</w:t>
      </w:r>
      <w:r w:rsidR="003144C6">
        <w:t xml:space="preserve"> </w:t>
      </w:r>
      <w:r w:rsidR="009C4083" w:rsidRPr="006C2975">
        <w:t>mērķis</w:t>
      </w:r>
      <w:r w:rsidR="003144C6">
        <w:t>.</w:t>
      </w:r>
      <w:r w:rsidR="003144C6">
        <w:rPr>
          <w:bCs/>
        </w:rPr>
        <w:t xml:space="preserve"> </w:t>
      </w:r>
      <w:r w:rsidR="003C6FBC">
        <w:rPr>
          <w:bCs/>
        </w:rPr>
        <w:t>Vienlaikus,</w:t>
      </w:r>
      <w:r w:rsidR="009766F5">
        <w:rPr>
          <w:bCs/>
        </w:rPr>
        <w:t xml:space="preserve"> kā izriet no tālāk izklāstītās </w:t>
      </w:r>
      <w:r w:rsidR="009766F5">
        <w:t>direktīvas 2001/83 interpretācijas un Eiropas Savienības Tiesas prakses,</w:t>
      </w:r>
      <w:r w:rsidR="003C6FBC">
        <w:rPr>
          <w:bCs/>
        </w:rPr>
        <w:t xml:space="preserve"> </w:t>
      </w:r>
      <w:r w:rsidR="00D419A3">
        <w:rPr>
          <w:bCs/>
        </w:rPr>
        <w:t xml:space="preserve">šajā gadījumā tas nav </w:t>
      </w:r>
      <w:r w:rsidR="003C6FBC">
        <w:rPr>
          <w:bCs/>
        </w:rPr>
        <w:t xml:space="preserve">saprotams </w:t>
      </w:r>
      <w:r w:rsidR="00D419A3">
        <w:rPr>
          <w:bCs/>
        </w:rPr>
        <w:t xml:space="preserve">kā </w:t>
      </w:r>
      <w:r w:rsidR="00F35F99">
        <w:rPr>
          <w:bCs/>
        </w:rPr>
        <w:t>izteikuma</w:t>
      </w:r>
      <w:r w:rsidR="003C6FBC">
        <w:rPr>
          <w:bCs/>
        </w:rPr>
        <w:t xml:space="preserve"> autora vai tā</w:t>
      </w:r>
      <w:r w:rsidR="009766F5">
        <w:rPr>
          <w:bCs/>
        </w:rPr>
        <w:t xml:space="preserve"> izplatītāja </w:t>
      </w:r>
      <w:r w:rsidR="003C6FBC">
        <w:rPr>
          <w:bCs/>
        </w:rPr>
        <w:t>subjektīv</w:t>
      </w:r>
      <w:r w:rsidR="007C4447">
        <w:rPr>
          <w:bCs/>
        </w:rPr>
        <w:t xml:space="preserve">s izteikšanas </w:t>
      </w:r>
      <w:r w:rsidR="009D7841" w:rsidRPr="00AD121B">
        <w:rPr>
          <w:bCs/>
        </w:rPr>
        <w:t>nodoms</w:t>
      </w:r>
      <w:r w:rsidR="003C6FBC">
        <w:rPr>
          <w:bCs/>
        </w:rPr>
        <w:t xml:space="preserve">, bet </w:t>
      </w:r>
      <w:r w:rsidR="00527062">
        <w:rPr>
          <w:bCs/>
        </w:rPr>
        <w:t xml:space="preserve">gan </w:t>
      </w:r>
      <w:r w:rsidR="003C6FBC">
        <w:rPr>
          <w:bCs/>
        </w:rPr>
        <w:t>tas</w:t>
      </w:r>
      <w:r w:rsidR="009C4083">
        <w:rPr>
          <w:bCs/>
        </w:rPr>
        <w:t>,</w:t>
      </w:r>
      <w:r w:rsidR="003C6FBC">
        <w:rPr>
          <w:bCs/>
        </w:rPr>
        <w:t xml:space="preserve"> k</w:t>
      </w:r>
      <w:r w:rsidR="002B60F1">
        <w:rPr>
          <w:bCs/>
        </w:rPr>
        <w:t>as</w:t>
      </w:r>
      <w:r w:rsidR="00D419A3">
        <w:rPr>
          <w:bCs/>
        </w:rPr>
        <w:t xml:space="preserve"> </w:t>
      </w:r>
      <w:r w:rsidR="009C4083">
        <w:rPr>
          <w:bCs/>
        </w:rPr>
        <w:t xml:space="preserve">ar </w:t>
      </w:r>
      <w:r w:rsidR="00D419A3">
        <w:rPr>
          <w:bCs/>
        </w:rPr>
        <w:t xml:space="preserve">šo izteikumu </w:t>
      </w:r>
      <w:r w:rsidR="007C4447">
        <w:rPr>
          <w:bCs/>
        </w:rPr>
        <w:t>objektīvi var tikt s</w:t>
      </w:r>
      <w:r w:rsidR="00D419A3">
        <w:rPr>
          <w:bCs/>
        </w:rPr>
        <w:t>asniegts</w:t>
      </w:r>
      <w:r w:rsidR="003C6FBC">
        <w:rPr>
          <w:bCs/>
        </w:rPr>
        <w:t xml:space="preserve">, proti, </w:t>
      </w:r>
      <w:r w:rsidR="002B60F1">
        <w:rPr>
          <w:bCs/>
        </w:rPr>
        <w:t>k</w:t>
      </w:r>
      <w:r w:rsidR="003C6FBC">
        <w:rPr>
          <w:bCs/>
        </w:rPr>
        <w:t>ādu ie</w:t>
      </w:r>
      <w:r w:rsidR="003C2F8F">
        <w:rPr>
          <w:bCs/>
        </w:rPr>
        <w:t>spaidu</w:t>
      </w:r>
      <w:r w:rsidR="003C6FBC">
        <w:rPr>
          <w:bCs/>
        </w:rPr>
        <w:t xml:space="preserve"> </w:t>
      </w:r>
      <w:r w:rsidR="00F35F99">
        <w:rPr>
          <w:bCs/>
        </w:rPr>
        <w:t>izteikums</w:t>
      </w:r>
      <w:r w:rsidR="003C6FBC">
        <w:rPr>
          <w:bCs/>
        </w:rPr>
        <w:t xml:space="preserve"> radīs</w:t>
      </w:r>
      <w:r w:rsidR="009D7841">
        <w:rPr>
          <w:bCs/>
        </w:rPr>
        <w:t xml:space="preserve"> sabiedrībai</w:t>
      </w:r>
      <w:r w:rsidR="003C6FBC">
        <w:rPr>
          <w:bCs/>
        </w:rPr>
        <w:t>.</w:t>
      </w:r>
      <w:r w:rsidR="00020A5C">
        <w:rPr>
          <w:bCs/>
        </w:rPr>
        <w:t xml:space="preserve"> </w:t>
      </w:r>
    </w:p>
    <w:p w14:paraId="7B35985F" w14:textId="77777777" w:rsidR="00F15C23" w:rsidRDefault="00F15C23" w:rsidP="00A06E81">
      <w:pPr>
        <w:spacing w:line="276" w:lineRule="auto"/>
        <w:ind w:firstLine="567"/>
        <w:jc w:val="both"/>
        <w:rPr>
          <w:bCs/>
        </w:rPr>
      </w:pPr>
    </w:p>
    <w:p w14:paraId="66F83922" w14:textId="39704A1A" w:rsidR="001B7AC5" w:rsidRDefault="000663D2" w:rsidP="00A06E81">
      <w:pPr>
        <w:spacing w:line="276" w:lineRule="auto"/>
        <w:ind w:firstLine="567"/>
        <w:jc w:val="both"/>
      </w:pPr>
      <w:r>
        <w:rPr>
          <w:bCs/>
        </w:rPr>
        <w:lastRenderedPageBreak/>
        <w:t>[</w:t>
      </w:r>
      <w:r w:rsidR="00ED0AF5">
        <w:rPr>
          <w:bCs/>
        </w:rPr>
        <w:t>9</w:t>
      </w:r>
      <w:r>
        <w:rPr>
          <w:bCs/>
        </w:rPr>
        <w:t xml:space="preserve">] </w:t>
      </w:r>
      <w:r w:rsidR="00527062">
        <w:rPr>
          <w:bCs/>
        </w:rPr>
        <w:t xml:space="preserve">Lai noskaidrotu </w:t>
      </w:r>
      <w:r w:rsidR="00D70ECC">
        <w:rPr>
          <w:bCs/>
        </w:rPr>
        <w:t>d</w:t>
      </w:r>
      <w:r w:rsidR="00C22185" w:rsidRPr="009868A8">
        <w:t>irektīva</w:t>
      </w:r>
      <w:r w:rsidR="00C22185">
        <w:t>s</w:t>
      </w:r>
      <w:r w:rsidR="00C22185" w:rsidRPr="009868A8">
        <w:t xml:space="preserve"> 2001/83</w:t>
      </w:r>
      <w:r w:rsidR="00C22185">
        <w:t xml:space="preserve"> </w:t>
      </w:r>
      <w:r w:rsidR="003C6FBC">
        <w:t xml:space="preserve">86.panta </w:t>
      </w:r>
      <w:r w:rsidR="00527062">
        <w:t>saturu</w:t>
      </w:r>
      <w:r w:rsidR="00EE1350">
        <w:t>,</w:t>
      </w:r>
      <w:r w:rsidR="00527062">
        <w:t xml:space="preserve"> tas ir jāinterpretē</w:t>
      </w:r>
      <w:r w:rsidR="00D24B5C">
        <w:t xml:space="preserve"> un šajā interpretācijā ir jāņem</w:t>
      </w:r>
      <w:r w:rsidR="00527062">
        <w:t xml:space="preserve"> vērā </w:t>
      </w:r>
      <w:r w:rsidR="00C22185">
        <w:t xml:space="preserve">Eiropas Savienības </w:t>
      </w:r>
      <w:r w:rsidR="00D24B5C">
        <w:t>T</w:t>
      </w:r>
      <w:r w:rsidR="00C22185">
        <w:t>iesas judikatūr</w:t>
      </w:r>
      <w:r w:rsidR="00D24B5C">
        <w:t>a</w:t>
      </w:r>
      <w:r w:rsidR="00C22185">
        <w:t>.</w:t>
      </w:r>
    </w:p>
    <w:p w14:paraId="6C48DAF0" w14:textId="49267C74" w:rsidR="00D24B5C" w:rsidRPr="00553750" w:rsidRDefault="00D24B5C" w:rsidP="00A06E81">
      <w:pPr>
        <w:spacing w:line="276" w:lineRule="auto"/>
        <w:ind w:firstLine="567"/>
        <w:jc w:val="both"/>
      </w:pPr>
      <w:r w:rsidRPr="00D24B5C">
        <w:t>D</w:t>
      </w:r>
      <w:r w:rsidR="008B0B48" w:rsidRPr="00D24B5C">
        <w:t>irektīvas 2001/83 86.panta 1.punkt</w:t>
      </w:r>
      <w:r w:rsidRPr="00D24B5C">
        <w:t>s tā redakcijā latviešu valodā no</w:t>
      </w:r>
      <w:r>
        <w:t>teic</w:t>
      </w:r>
      <w:r w:rsidRPr="00D24B5C">
        <w:t>:</w:t>
      </w:r>
      <w:r w:rsidR="008B0B48" w:rsidRPr="00D24B5C">
        <w:t xml:space="preserve"> </w:t>
      </w:r>
      <w:r w:rsidR="00EE1350">
        <w:t>š</w:t>
      </w:r>
      <w:r w:rsidRPr="00553750">
        <w:t xml:space="preserve">ajā sadaļā zāļu reklāma nozīmē jebkāda veida informācijas izplatīšanu, apstaigājot klientus, aģitējot vai pamudinot viņus, </w:t>
      </w:r>
      <w:r w:rsidRPr="009F51D5">
        <w:rPr>
          <w:i/>
          <w:iCs/>
        </w:rPr>
        <w:t>nolūkā</w:t>
      </w:r>
      <w:r w:rsidRPr="00553750">
        <w:t xml:space="preserve"> veicināt zāļu parakstīšanu, piegādi, tirdzniecību vai patērēšanu; tā jo īpaši ietver:</w:t>
      </w:r>
    </w:p>
    <w:p w14:paraId="420413BC" w14:textId="6A4E214B" w:rsidR="00D24B5C" w:rsidRDefault="00D24B5C" w:rsidP="00A06E81">
      <w:pPr>
        <w:pStyle w:val="ListParagraph"/>
        <w:numPr>
          <w:ilvl w:val="0"/>
          <w:numId w:val="3"/>
        </w:numPr>
        <w:spacing w:line="276" w:lineRule="auto"/>
        <w:jc w:val="both"/>
      </w:pPr>
      <w:r w:rsidRPr="00553750">
        <w:t>zāļu reklamēšanu iedzīvotājiem,</w:t>
      </w:r>
    </w:p>
    <w:p w14:paraId="3175F887" w14:textId="7E443563" w:rsidR="00D24B5C" w:rsidRDefault="00D24B5C" w:rsidP="00A06E81">
      <w:pPr>
        <w:pStyle w:val="ListParagraph"/>
        <w:numPr>
          <w:ilvl w:val="0"/>
          <w:numId w:val="3"/>
        </w:numPr>
        <w:spacing w:line="276" w:lineRule="auto"/>
        <w:jc w:val="both"/>
      </w:pPr>
      <w:r w:rsidRPr="00553750">
        <w:t>zāļu reklamēšanu personām, kas ir kvalificētas tos parakstīt vai piegādāt,</w:t>
      </w:r>
    </w:p>
    <w:p w14:paraId="15CC15BB" w14:textId="5F8AB2D0" w:rsidR="00D24B5C" w:rsidRDefault="00D24B5C" w:rsidP="00A06E81">
      <w:pPr>
        <w:pStyle w:val="ListParagraph"/>
        <w:numPr>
          <w:ilvl w:val="0"/>
          <w:numId w:val="3"/>
        </w:numPr>
        <w:spacing w:line="276" w:lineRule="auto"/>
        <w:jc w:val="both"/>
      </w:pPr>
      <w:r w:rsidRPr="00553750">
        <w:t>zāļu izplatītāju vizītes pie personām, kas ir kvalificētas parakstīt zāles,</w:t>
      </w:r>
    </w:p>
    <w:p w14:paraId="516A73BC" w14:textId="4BDD7F68" w:rsidR="00D24B5C" w:rsidRDefault="00D24B5C" w:rsidP="00A06E81">
      <w:pPr>
        <w:pStyle w:val="ListParagraph"/>
        <w:numPr>
          <w:ilvl w:val="0"/>
          <w:numId w:val="3"/>
        </w:numPr>
        <w:spacing w:line="276" w:lineRule="auto"/>
        <w:jc w:val="both"/>
      </w:pPr>
      <w:r w:rsidRPr="00553750">
        <w:t>paraugu piegādi,</w:t>
      </w:r>
    </w:p>
    <w:p w14:paraId="7BE6D41A" w14:textId="25A0D3E0" w:rsidR="00D24B5C" w:rsidRDefault="00D24B5C" w:rsidP="00A06E81">
      <w:pPr>
        <w:pStyle w:val="ListParagraph"/>
        <w:numPr>
          <w:ilvl w:val="0"/>
          <w:numId w:val="3"/>
        </w:numPr>
        <w:spacing w:line="276" w:lineRule="auto"/>
        <w:jc w:val="both"/>
      </w:pPr>
      <w:r w:rsidRPr="00553750">
        <w:t>pamudinājumu parakstīt vai piegādāt zāles kā dāvanu, piedāvājot vai solot kādu labumu vai balvu naudā vai atvietojamās lietās, izņemot gadījumus, kad zāļu īstā vērtība ir niecīga,</w:t>
      </w:r>
    </w:p>
    <w:p w14:paraId="6163DD5C" w14:textId="43D91C5C" w:rsidR="00D24B5C" w:rsidRDefault="00D24B5C" w:rsidP="00A06E81">
      <w:pPr>
        <w:pStyle w:val="ListParagraph"/>
        <w:numPr>
          <w:ilvl w:val="0"/>
          <w:numId w:val="3"/>
        </w:numPr>
        <w:spacing w:line="276" w:lineRule="auto"/>
        <w:jc w:val="both"/>
      </w:pPr>
      <w:r w:rsidRPr="00553750">
        <w:t>tādu reklāmas pasākumu sponsorēšanu, kuros piedalās personas, kas ir kvalificētas parakstīt vai piegādāt zāles,</w:t>
      </w:r>
    </w:p>
    <w:p w14:paraId="2CCEF290" w14:textId="083E97C8" w:rsidR="008B0B48" w:rsidRPr="00CF0723" w:rsidRDefault="00D24B5C" w:rsidP="00A06E81">
      <w:pPr>
        <w:pStyle w:val="ListParagraph"/>
        <w:numPr>
          <w:ilvl w:val="0"/>
          <w:numId w:val="3"/>
        </w:numPr>
        <w:spacing w:line="276" w:lineRule="auto"/>
        <w:jc w:val="both"/>
      </w:pPr>
      <w:r w:rsidRPr="00553750">
        <w:t>tādu zinātnisku kongresu sponsorēšanu, kuros piedalās personas, kas ir kvalificētas parakstīt vai piegādāt zāles, un jo īpaši ar to saistīto ceļa un izmitināšanas izdevumu apmaksu minētajām personām.</w:t>
      </w:r>
    </w:p>
    <w:p w14:paraId="42B530AD" w14:textId="6D5C32A6" w:rsidR="005D5A80" w:rsidRDefault="00020A5C" w:rsidP="00A06E81">
      <w:pPr>
        <w:spacing w:line="276" w:lineRule="auto"/>
        <w:ind w:firstLine="567"/>
        <w:jc w:val="both"/>
        <w:rPr>
          <w:bCs/>
        </w:rPr>
      </w:pPr>
      <w:r>
        <w:t xml:space="preserve">Lai gan </w:t>
      </w:r>
      <w:r w:rsidRPr="009868A8">
        <w:t>direktīva</w:t>
      </w:r>
      <w:r>
        <w:t>s</w:t>
      </w:r>
      <w:r w:rsidRPr="009868A8">
        <w:t xml:space="preserve"> 2001/83</w:t>
      </w:r>
      <w:r>
        <w:t xml:space="preserve"> 86.panta 1.punkta redakcijā latviešu valodā lietots vārds </w:t>
      </w:r>
      <w:r w:rsidR="00EE1350">
        <w:t>„</w:t>
      </w:r>
      <w:r>
        <w:t xml:space="preserve">nolūks”, Senāts atzīst, ka tas nav lietots tā parastajā nozīmē Latvijas tiesību sistēmā. Eiropas Savienības </w:t>
      </w:r>
      <w:r w:rsidR="009766F5">
        <w:t>T</w:t>
      </w:r>
      <w:r>
        <w:t>iesa jau ir paskaidrojusi, ka, interpretējot Eiropas Savienības tiesību aktus, ir jāaplūko konkrētās tiesību normas izpausme vairākās</w:t>
      </w:r>
      <w:r w:rsidR="007065A5" w:rsidRPr="007065A5">
        <w:t xml:space="preserve"> </w:t>
      </w:r>
      <w:r w:rsidR="007065A5">
        <w:t>Eiropas Savienības oficiālajās</w:t>
      </w:r>
      <w:r>
        <w:t xml:space="preserve"> valodās</w:t>
      </w:r>
      <w:r w:rsidR="00527062">
        <w:t xml:space="preserve"> (</w:t>
      </w:r>
      <w:r w:rsidR="00527062" w:rsidRPr="00553750">
        <w:rPr>
          <w:i/>
          <w:iCs/>
        </w:rPr>
        <w:t>Eiropas Savienības Tiesas spriedum</w:t>
      </w:r>
      <w:r w:rsidR="009766F5">
        <w:rPr>
          <w:i/>
          <w:iCs/>
        </w:rPr>
        <w:t>a lietā</w:t>
      </w:r>
      <w:r w:rsidR="008B447D">
        <w:rPr>
          <w:i/>
          <w:iCs/>
        </w:rPr>
        <w:t xml:space="preserve"> </w:t>
      </w:r>
      <w:r w:rsidR="009F51D5">
        <w:rPr>
          <w:i/>
          <w:iCs/>
        </w:rPr>
        <w:t>„</w:t>
      </w:r>
      <w:r w:rsidR="008B447D" w:rsidRPr="008B447D">
        <w:rPr>
          <w:i/>
          <w:iCs/>
        </w:rPr>
        <w:t>Consorzio Italian Management e Catania Multiservizi un Catania Multiservizi</w:t>
      </w:r>
      <w:r w:rsidR="008B447D">
        <w:rPr>
          <w:i/>
          <w:iCs/>
        </w:rPr>
        <w:t>”,</w:t>
      </w:r>
      <w:r w:rsidR="00527062" w:rsidRPr="00553750">
        <w:rPr>
          <w:i/>
          <w:iCs/>
        </w:rPr>
        <w:t xml:space="preserve"> C-561/19,</w:t>
      </w:r>
      <w:r w:rsidR="008B447D">
        <w:rPr>
          <w:i/>
          <w:iCs/>
        </w:rPr>
        <w:t xml:space="preserve"> </w:t>
      </w:r>
      <w:hyperlink r:id="rId9" w:history="1">
        <w:r w:rsidR="008B447D" w:rsidRPr="008B447D">
          <w:rPr>
            <w:rStyle w:val="Hyperlink"/>
            <w:i/>
            <w:iCs/>
          </w:rPr>
          <w:t>ECLI:EU:C:2021:799</w:t>
        </w:r>
      </w:hyperlink>
      <w:r w:rsidR="008B447D">
        <w:rPr>
          <w:i/>
          <w:iCs/>
        </w:rPr>
        <w:t>,</w:t>
      </w:r>
      <w:r w:rsidR="00527062" w:rsidRPr="00553750">
        <w:rPr>
          <w:i/>
          <w:iCs/>
        </w:rPr>
        <w:t xml:space="preserve"> 42.</w:t>
      </w:r>
      <w:r w:rsidR="00D419A3">
        <w:rPr>
          <w:i/>
          <w:iCs/>
        </w:rPr>
        <w:t>–</w:t>
      </w:r>
      <w:r w:rsidR="007065A5" w:rsidRPr="00553750">
        <w:rPr>
          <w:i/>
          <w:iCs/>
        </w:rPr>
        <w:t>44.punkt</w:t>
      </w:r>
      <w:r w:rsidR="009F51D5">
        <w:rPr>
          <w:i/>
          <w:iCs/>
        </w:rPr>
        <w:t>s</w:t>
      </w:r>
      <w:r w:rsidR="00527062">
        <w:t>)</w:t>
      </w:r>
      <w:r>
        <w:t xml:space="preserve">. Šis vārds citās Eiropas Savienības oficiālajās valodās izteiktajās redakcijās nav iekļauts un citās valodās </w:t>
      </w:r>
      <w:r w:rsidR="001D22A1">
        <w:t xml:space="preserve">ir lietoti </w:t>
      </w:r>
      <w:r>
        <w:t>jēdzieni</w:t>
      </w:r>
      <w:r w:rsidR="001D22A1">
        <w:t>, kas izpauž citu domu</w:t>
      </w:r>
      <w:r w:rsidR="003C2F8F">
        <w:rPr>
          <w:bCs/>
        </w:rPr>
        <w:t>.</w:t>
      </w:r>
      <w:r w:rsidR="001D22A1">
        <w:rPr>
          <w:bCs/>
        </w:rPr>
        <w:t xml:space="preserve"> </w:t>
      </w:r>
    </w:p>
    <w:p w14:paraId="472CBA73" w14:textId="5F39262D" w:rsidR="003C6FBC" w:rsidRPr="00E75206" w:rsidRDefault="001D22A1" w:rsidP="00A06E81">
      <w:pPr>
        <w:spacing w:line="276" w:lineRule="auto"/>
        <w:ind w:firstLine="567"/>
        <w:jc w:val="both"/>
      </w:pPr>
      <w:r w:rsidRPr="009F3748">
        <w:rPr>
          <w:bCs/>
        </w:rPr>
        <w:t>F</w:t>
      </w:r>
      <w:r w:rsidR="003C2F8F" w:rsidRPr="009F3748">
        <w:rPr>
          <w:bCs/>
        </w:rPr>
        <w:t>ormulējum</w:t>
      </w:r>
      <w:r w:rsidR="001C08D6" w:rsidRPr="009F3748">
        <w:rPr>
          <w:bCs/>
        </w:rPr>
        <w:t>s</w:t>
      </w:r>
      <w:r w:rsidR="003C2F8F" w:rsidRPr="009F3748">
        <w:rPr>
          <w:bCs/>
        </w:rPr>
        <w:t xml:space="preserve"> </w:t>
      </w:r>
      <w:r w:rsidR="001C08D6" w:rsidRPr="009F3748">
        <w:rPr>
          <w:bCs/>
        </w:rPr>
        <w:t xml:space="preserve">citās Eiropas Savienības oficiālajās valodās ir izteikts šādi: </w:t>
      </w:r>
      <w:r w:rsidR="003C2F8F" w:rsidRPr="009F3748">
        <w:rPr>
          <w:bCs/>
        </w:rPr>
        <w:t>angļu valod</w:t>
      </w:r>
      <w:r w:rsidR="00D82C42" w:rsidRPr="009F3748">
        <w:rPr>
          <w:bCs/>
        </w:rPr>
        <w:t>ā</w:t>
      </w:r>
      <w:r w:rsidR="003C2F8F" w:rsidRPr="009F3748">
        <w:rPr>
          <w:bCs/>
        </w:rPr>
        <w:t xml:space="preserve"> </w:t>
      </w:r>
      <w:r w:rsidR="00B03F47" w:rsidRPr="009F3748">
        <w:rPr>
          <w:bCs/>
        </w:rPr>
        <w:t>– „</w:t>
      </w:r>
      <w:r w:rsidR="00E75206" w:rsidRPr="009F3748">
        <w:rPr>
          <w:bCs/>
          <w:i/>
          <w:iCs/>
        </w:rPr>
        <w:t>shall include any form of door-to-door information, canvassing activity or</w:t>
      </w:r>
      <w:r w:rsidR="003C2F8F" w:rsidRPr="009F3748">
        <w:rPr>
          <w:bCs/>
          <w:i/>
          <w:iCs/>
        </w:rPr>
        <w:t xml:space="preserve"> inducement designed to promote</w:t>
      </w:r>
      <w:r w:rsidR="00D82C42" w:rsidRPr="009F3748">
        <w:rPr>
          <w:bCs/>
          <w:i/>
          <w:iCs/>
        </w:rPr>
        <w:t xml:space="preserve"> </w:t>
      </w:r>
      <w:r w:rsidR="00B03F47" w:rsidRPr="009F3748">
        <w:rPr>
          <w:bCs/>
          <w:i/>
          <w:iCs/>
        </w:rPr>
        <w:t>(..)</w:t>
      </w:r>
      <w:r w:rsidR="003C2F8F" w:rsidRPr="009F3748">
        <w:rPr>
          <w:bCs/>
        </w:rPr>
        <w:t>”</w:t>
      </w:r>
      <w:r w:rsidR="00B03F47" w:rsidRPr="009F3748">
        <w:rPr>
          <w:bCs/>
        </w:rPr>
        <w:t>;</w:t>
      </w:r>
      <w:r w:rsidR="003C2F8F" w:rsidRPr="009F3748">
        <w:rPr>
          <w:bCs/>
        </w:rPr>
        <w:t xml:space="preserve"> franču valodā </w:t>
      </w:r>
      <w:r w:rsidR="00B03F47" w:rsidRPr="009F3748">
        <w:rPr>
          <w:bCs/>
        </w:rPr>
        <w:t>– „</w:t>
      </w:r>
      <w:r w:rsidR="006B5BEE" w:rsidRPr="009F3748">
        <w:rPr>
          <w:bCs/>
          <w:i/>
          <w:iCs/>
        </w:rPr>
        <w:t>toute forme de</w:t>
      </w:r>
      <w:r w:rsidR="00D82C42" w:rsidRPr="009F3748">
        <w:rPr>
          <w:bCs/>
        </w:rPr>
        <w:t xml:space="preserve"> </w:t>
      </w:r>
      <w:r w:rsidR="00D82C42" w:rsidRPr="009F3748">
        <w:rPr>
          <w:bCs/>
          <w:i/>
          <w:iCs/>
        </w:rPr>
        <w:t>démarchage d'information</w:t>
      </w:r>
      <w:r w:rsidR="002B60F1" w:rsidRPr="009F3748">
        <w:rPr>
          <w:bCs/>
          <w:i/>
          <w:iCs/>
        </w:rPr>
        <w:t>,</w:t>
      </w:r>
      <w:r w:rsidR="00D82C42" w:rsidRPr="009F3748">
        <w:rPr>
          <w:bCs/>
          <w:i/>
          <w:iCs/>
        </w:rPr>
        <w:t xml:space="preserve"> </w:t>
      </w:r>
      <w:r w:rsidR="006B5BEE" w:rsidRPr="009F3748">
        <w:rPr>
          <w:bCs/>
          <w:i/>
          <w:iCs/>
        </w:rPr>
        <w:t>de prospection ou</w:t>
      </w:r>
      <w:r w:rsidR="00D82C42" w:rsidRPr="009F3748">
        <w:rPr>
          <w:bCs/>
          <w:i/>
          <w:iCs/>
        </w:rPr>
        <w:t xml:space="preserve"> d'incitation qui vise à promouvoir </w:t>
      </w:r>
      <w:r w:rsidR="00B03F47" w:rsidRPr="009F3748">
        <w:rPr>
          <w:bCs/>
          <w:i/>
          <w:iCs/>
        </w:rPr>
        <w:t>(..)</w:t>
      </w:r>
      <w:r w:rsidR="00D82C42" w:rsidRPr="009F3748">
        <w:rPr>
          <w:bCs/>
        </w:rPr>
        <w:t>”</w:t>
      </w:r>
      <w:r w:rsidR="00B03F47" w:rsidRPr="009F3748">
        <w:rPr>
          <w:bCs/>
        </w:rPr>
        <w:t>;</w:t>
      </w:r>
      <w:r w:rsidR="00D82C42" w:rsidRPr="009F3748">
        <w:rPr>
          <w:bCs/>
        </w:rPr>
        <w:t xml:space="preserve"> vācu valodā </w:t>
      </w:r>
      <w:r w:rsidR="00B03F47" w:rsidRPr="009F3748">
        <w:rPr>
          <w:bCs/>
        </w:rPr>
        <w:t>– „</w:t>
      </w:r>
      <w:r w:rsidR="0029648D" w:rsidRPr="009F3748">
        <w:rPr>
          <w:bCs/>
          <w:i/>
          <w:iCs/>
        </w:rPr>
        <w:t xml:space="preserve">alle Maßnahmen zur Information, zur Marktuntersuchung und zur Schaffung von Anreizen mit dem Ziel </w:t>
      </w:r>
      <w:r w:rsidR="00B03F47" w:rsidRPr="009F3748">
        <w:rPr>
          <w:bCs/>
          <w:i/>
          <w:iCs/>
        </w:rPr>
        <w:t>(..)</w:t>
      </w:r>
      <w:r w:rsidR="002B60F1" w:rsidRPr="009F3748">
        <w:rPr>
          <w:bCs/>
          <w:i/>
          <w:iCs/>
        </w:rPr>
        <w:t xml:space="preserve"> </w:t>
      </w:r>
      <w:r w:rsidR="0029648D" w:rsidRPr="009F3748">
        <w:rPr>
          <w:bCs/>
          <w:i/>
          <w:iCs/>
        </w:rPr>
        <w:t>zu fördern</w:t>
      </w:r>
      <w:r w:rsidR="0029648D" w:rsidRPr="009F3748">
        <w:rPr>
          <w:bCs/>
        </w:rPr>
        <w:t>”</w:t>
      </w:r>
      <w:r w:rsidR="00D82C42" w:rsidRPr="009F3748">
        <w:rPr>
          <w:bCs/>
        </w:rPr>
        <w:t xml:space="preserve">. </w:t>
      </w:r>
      <w:r w:rsidR="0000237A" w:rsidRPr="009F3748">
        <w:rPr>
          <w:bCs/>
        </w:rPr>
        <w:t xml:space="preserve">Minētie formulējumi citās </w:t>
      </w:r>
      <w:r w:rsidR="0000237A" w:rsidRPr="009F3748">
        <w:t xml:space="preserve">Eiropas Savienības oficiālajās valodās liecina, ka nosakošais faktors ir, vai </w:t>
      </w:r>
      <w:r w:rsidR="004559BC" w:rsidRPr="009F3748">
        <w:t xml:space="preserve">izteikumā ietvertā </w:t>
      </w:r>
      <w:r w:rsidR="0000237A" w:rsidRPr="009F3748">
        <w:t xml:space="preserve">ziņa pēc tās izteikšanas veida un satura var pamudināt </w:t>
      </w:r>
      <w:r w:rsidR="005B770A" w:rsidRPr="009F3748">
        <w:t>(</w:t>
      </w:r>
      <w:r w:rsidR="005B770A" w:rsidRPr="009F3748">
        <w:rPr>
          <w:i/>
          <w:iCs/>
        </w:rPr>
        <w:t xml:space="preserve">induce, </w:t>
      </w:r>
      <w:r w:rsidR="0029648D" w:rsidRPr="009F3748">
        <w:rPr>
          <w:i/>
          <w:iCs/>
        </w:rPr>
        <w:t>inciter</w:t>
      </w:r>
      <w:r w:rsidR="0029648D" w:rsidRPr="009F3748">
        <w:t>)</w:t>
      </w:r>
      <w:r w:rsidR="005B770A" w:rsidRPr="009F3748">
        <w:rPr>
          <w:i/>
          <w:iCs/>
        </w:rPr>
        <w:t xml:space="preserve"> </w:t>
      </w:r>
      <w:r w:rsidR="0000237A" w:rsidRPr="009F3748">
        <w:t>personu lūgt izrakstīt, pasūtīt</w:t>
      </w:r>
      <w:r w:rsidR="00763640" w:rsidRPr="009F3748">
        <w:t xml:space="preserve">, piegādāt </w:t>
      </w:r>
      <w:r w:rsidR="0000237A" w:rsidRPr="009F3748">
        <w:t>vai patērēt zāles.</w:t>
      </w:r>
      <w:r w:rsidR="0029648D" w:rsidRPr="009F3748">
        <w:t xml:space="preserve"> </w:t>
      </w:r>
      <w:r w:rsidR="00E75206" w:rsidRPr="009F3748">
        <w:t xml:space="preserve">Lai gan angļu valodas formulējums šķietami sašaurina reklamēšanas formu veidus, nosakot, ka par tādiem uzskatāmi tikai </w:t>
      </w:r>
      <w:r w:rsidR="00B03F47" w:rsidRPr="009F3748">
        <w:t>„</w:t>
      </w:r>
      <w:r w:rsidR="00E75206" w:rsidRPr="009F3748">
        <w:rPr>
          <w:bCs/>
          <w:i/>
          <w:iCs/>
        </w:rPr>
        <w:t>door-to-door information</w:t>
      </w:r>
      <w:r w:rsidR="00E75206" w:rsidRPr="009F3748">
        <w:rPr>
          <w:bCs/>
        </w:rPr>
        <w:t xml:space="preserve">” un </w:t>
      </w:r>
      <w:r w:rsidR="00B03F47" w:rsidRPr="009F3748">
        <w:rPr>
          <w:bCs/>
        </w:rPr>
        <w:t>„</w:t>
      </w:r>
      <w:r w:rsidR="00E75206" w:rsidRPr="009F3748">
        <w:rPr>
          <w:bCs/>
          <w:i/>
          <w:iCs/>
        </w:rPr>
        <w:t>canvassing activity</w:t>
      </w:r>
      <w:r w:rsidR="00E75206" w:rsidRPr="009F3748">
        <w:rPr>
          <w:bCs/>
        </w:rPr>
        <w:t>”, k</w:t>
      </w:r>
      <w:r w:rsidR="0029648D" w:rsidRPr="009F3748">
        <w:t>ā redzams no vācu</w:t>
      </w:r>
      <w:r w:rsidR="0047767D" w:rsidRPr="009F3748">
        <w:t xml:space="preserve"> </w:t>
      </w:r>
      <w:r w:rsidR="0029648D" w:rsidRPr="009F3748">
        <w:t xml:space="preserve">un franču valodas versijām, </w:t>
      </w:r>
      <w:r w:rsidR="006B5BEE" w:rsidRPr="009F3748">
        <w:t>reklamēšanas formu uzska</w:t>
      </w:r>
      <w:r w:rsidR="00B03F47" w:rsidRPr="009F3748">
        <w:t>i</w:t>
      </w:r>
      <w:r w:rsidR="006B5BEE" w:rsidRPr="009F3748">
        <w:t xml:space="preserve">tījums pēc </w:t>
      </w:r>
      <w:r w:rsidR="00B03F47" w:rsidRPr="009F3748">
        <w:t>vārdiem „i</w:t>
      </w:r>
      <w:r w:rsidR="006B5BEE" w:rsidRPr="009F3748">
        <w:t xml:space="preserve">nformācijas izplatīšanu” ir indikatīvs un paskaidro vārdus </w:t>
      </w:r>
      <w:r w:rsidR="00B03F47" w:rsidRPr="009F3748">
        <w:t>„</w:t>
      </w:r>
      <w:r w:rsidR="006B5BEE" w:rsidRPr="009F3748">
        <w:t>jebkāda veida informācijas izplatīšanu”, nevis šo jēdzienu sašaurina</w:t>
      </w:r>
      <w:r w:rsidR="00E75206" w:rsidRPr="009F3748">
        <w:rPr>
          <w:bCs/>
        </w:rPr>
        <w:t xml:space="preserve">. Turklāt gramatiskās vienības </w:t>
      </w:r>
      <w:r w:rsidR="00B03F47" w:rsidRPr="009F3748">
        <w:rPr>
          <w:bCs/>
        </w:rPr>
        <w:t>„</w:t>
      </w:r>
      <w:bookmarkStart w:id="1" w:name="_Hlk207788411"/>
      <w:r w:rsidR="00E75206" w:rsidRPr="009F3748">
        <w:rPr>
          <w:bCs/>
          <w:i/>
          <w:iCs/>
        </w:rPr>
        <w:t>door-to-door information</w:t>
      </w:r>
      <w:bookmarkEnd w:id="1"/>
      <w:r w:rsidR="00E75206" w:rsidRPr="009F3748">
        <w:rPr>
          <w:bCs/>
        </w:rPr>
        <w:t xml:space="preserve">” un </w:t>
      </w:r>
      <w:r w:rsidR="00B03F47" w:rsidRPr="009F3748">
        <w:rPr>
          <w:bCs/>
        </w:rPr>
        <w:t>„</w:t>
      </w:r>
      <w:r w:rsidR="00E75206" w:rsidRPr="009F3748">
        <w:rPr>
          <w:bCs/>
          <w:i/>
          <w:iCs/>
        </w:rPr>
        <w:t>canvassing activity</w:t>
      </w:r>
      <w:r w:rsidR="00E75206" w:rsidRPr="009F3748">
        <w:rPr>
          <w:bCs/>
        </w:rPr>
        <w:t xml:space="preserve">” ir angļu valodas frazeoloģismi (sk. </w:t>
      </w:r>
      <w:r w:rsidR="00E75206" w:rsidRPr="009F3748">
        <w:rPr>
          <w:bCs/>
          <w:i/>
          <w:iCs/>
        </w:rPr>
        <w:t xml:space="preserve">Kembridžas Universitātes elektronisko vārdnīcas šķirkli par </w:t>
      </w:r>
      <w:r w:rsidR="00B03F47" w:rsidRPr="009F3748">
        <w:rPr>
          <w:bCs/>
          <w:i/>
          <w:iCs/>
        </w:rPr>
        <w:t>„</w:t>
      </w:r>
      <w:hyperlink r:id="rId10" w:history="1">
        <w:r w:rsidR="00E75206" w:rsidRPr="009F3748">
          <w:rPr>
            <w:rStyle w:val="Hyperlink"/>
            <w:bCs/>
            <w:i/>
            <w:iCs/>
          </w:rPr>
          <w:t>door-to-door information</w:t>
        </w:r>
      </w:hyperlink>
      <w:r w:rsidR="00E75206" w:rsidRPr="009F3748">
        <w:rPr>
          <w:bCs/>
          <w:i/>
          <w:iCs/>
        </w:rPr>
        <w:t xml:space="preserve">” un </w:t>
      </w:r>
      <w:r w:rsidR="00B03F47" w:rsidRPr="009F3748">
        <w:rPr>
          <w:bCs/>
          <w:i/>
          <w:iCs/>
        </w:rPr>
        <w:t>„</w:t>
      </w:r>
      <w:hyperlink r:id="rId11" w:history="1">
        <w:r w:rsidR="00E75206" w:rsidRPr="009F3748">
          <w:rPr>
            <w:rStyle w:val="Hyperlink"/>
            <w:bCs/>
            <w:i/>
            <w:iCs/>
          </w:rPr>
          <w:t>canvassing activity</w:t>
        </w:r>
      </w:hyperlink>
      <w:r w:rsidR="00E75206" w:rsidRPr="009F3748">
        <w:rPr>
          <w:bCs/>
          <w:i/>
          <w:iCs/>
        </w:rPr>
        <w:t>”</w:t>
      </w:r>
      <w:r w:rsidR="00E75206" w:rsidRPr="009F3748">
        <w:rPr>
          <w:bCs/>
        </w:rPr>
        <w:t>) un tādēļ nav jāsaprot burtiski, bet gan ievērojot domu, kuru tie izpauž</w:t>
      </w:r>
      <w:r w:rsidR="00B03F47" w:rsidRPr="009F3748">
        <w:rPr>
          <w:bCs/>
        </w:rPr>
        <w:t>.</w:t>
      </w:r>
      <w:r w:rsidR="00B03F47">
        <w:rPr>
          <w:bCs/>
        </w:rPr>
        <w:t xml:space="preserve"> Š</w:t>
      </w:r>
      <w:r w:rsidR="005D5A80">
        <w:rPr>
          <w:bCs/>
        </w:rPr>
        <w:t>ī doma apstiprina secinājumu, ka ar tiesību normu ir paredzēts aptver</w:t>
      </w:r>
      <w:r w:rsidR="00A3368D">
        <w:rPr>
          <w:bCs/>
        </w:rPr>
        <w:t>t</w:t>
      </w:r>
      <w:r w:rsidR="005D5A80">
        <w:rPr>
          <w:bCs/>
        </w:rPr>
        <w:t xml:space="preserve"> visa veida m</w:t>
      </w:r>
      <w:r w:rsidR="00EE0B30">
        <w:rPr>
          <w:bCs/>
        </w:rPr>
        <w:t>ā</w:t>
      </w:r>
      <w:r w:rsidR="005D5A80">
        <w:rPr>
          <w:bCs/>
        </w:rPr>
        <w:t xml:space="preserve">rketingu un informācijas nodošanu par produktu, ar mērķi </w:t>
      </w:r>
      <w:r w:rsidR="00E20B45">
        <w:rPr>
          <w:bCs/>
        </w:rPr>
        <w:t>veicināt tā pārdošanu, izrakstīšanu un lietošanu</w:t>
      </w:r>
      <w:r w:rsidR="00E75206">
        <w:rPr>
          <w:bCs/>
        </w:rPr>
        <w:t>.</w:t>
      </w:r>
    </w:p>
    <w:p w14:paraId="65E3E584" w14:textId="77777777" w:rsidR="003C6FBC" w:rsidRDefault="003C6FBC" w:rsidP="00A06E81">
      <w:pPr>
        <w:spacing w:line="276" w:lineRule="auto"/>
        <w:ind w:firstLine="567"/>
        <w:jc w:val="both"/>
      </w:pPr>
    </w:p>
    <w:p w14:paraId="52570632" w14:textId="6EBF80C1" w:rsidR="00F35F99" w:rsidRDefault="003F5182" w:rsidP="00A06E81">
      <w:pPr>
        <w:spacing w:line="276" w:lineRule="auto"/>
        <w:ind w:firstLine="720"/>
        <w:jc w:val="both"/>
      </w:pPr>
      <w:r>
        <w:rPr>
          <w:bCs/>
        </w:rPr>
        <w:t>[</w:t>
      </w:r>
      <w:r w:rsidR="00ED0AF5">
        <w:rPr>
          <w:bCs/>
        </w:rPr>
        <w:t>10</w:t>
      </w:r>
      <w:r>
        <w:rPr>
          <w:bCs/>
        </w:rPr>
        <w:t xml:space="preserve">] </w:t>
      </w:r>
      <w:r w:rsidR="004559BC">
        <w:t xml:space="preserve">Minēto </w:t>
      </w:r>
      <w:r w:rsidR="004559BC" w:rsidRPr="009868A8">
        <w:t>direktīva</w:t>
      </w:r>
      <w:r w:rsidR="004559BC">
        <w:t>s</w:t>
      </w:r>
      <w:r w:rsidR="004559BC" w:rsidRPr="009868A8">
        <w:t xml:space="preserve"> 2001/83</w:t>
      </w:r>
      <w:r w:rsidR="004559BC">
        <w:t xml:space="preserve"> 86.panta 1.punkta interpretāciju apstiprina arī Eiropas Savienības Tiesa</w:t>
      </w:r>
      <w:r w:rsidR="006C2975">
        <w:t>s</w:t>
      </w:r>
      <w:r w:rsidR="004559BC">
        <w:t xml:space="preserve"> judikatūra. </w:t>
      </w:r>
      <w:r w:rsidR="008B0B48">
        <w:t xml:space="preserve">Eiropas Savienības </w:t>
      </w:r>
      <w:r w:rsidR="004559BC">
        <w:t>Tie</w:t>
      </w:r>
      <w:r w:rsidR="008B0B48">
        <w:t xml:space="preserve">sa ir norādījusi, ka </w:t>
      </w:r>
      <w:r w:rsidR="008B0B48" w:rsidRPr="00093A1D">
        <w:t xml:space="preserve">jēdziens </w:t>
      </w:r>
      <w:r w:rsidR="00B03F47">
        <w:t>„</w:t>
      </w:r>
      <w:r w:rsidR="008B0B48" w:rsidRPr="00093A1D">
        <w:t xml:space="preserve">zāļu reklāma” minētajā tiesību normā ir ļoti plaši definēts </w:t>
      </w:r>
      <w:r w:rsidR="008B0B48" w:rsidRPr="00545C45">
        <w:t xml:space="preserve">kā tāds, kas aptver </w:t>
      </w:r>
      <w:r w:rsidR="00B03F47">
        <w:t>„</w:t>
      </w:r>
      <w:r w:rsidR="008B0B48" w:rsidRPr="00545C45">
        <w:t>jebkāda veida” informācijas izplatīšanu</w:t>
      </w:r>
      <w:r w:rsidR="0000237A">
        <w:t xml:space="preserve">, ja vien konkrētais informācijas izplatīšanas veids neatbilst direktīvas </w:t>
      </w:r>
      <w:r w:rsidR="0000237A" w:rsidRPr="009868A8">
        <w:t>2001/83</w:t>
      </w:r>
      <w:r w:rsidR="0000237A">
        <w:t xml:space="preserve"> 86.panta 2.punktam </w:t>
      </w:r>
      <w:r w:rsidR="00B03F47">
        <w:t>(</w:t>
      </w:r>
      <w:r w:rsidR="008B447D" w:rsidRPr="002B4CA2">
        <w:rPr>
          <w:i/>
          <w:iCs/>
        </w:rPr>
        <w:t xml:space="preserve">Eiropas Savienības Tiesas 2022.gada 22.decembra sprieduma lietā </w:t>
      </w:r>
      <w:r w:rsidR="00B03F47">
        <w:rPr>
          <w:i/>
          <w:iCs/>
        </w:rPr>
        <w:t>„</w:t>
      </w:r>
      <w:r w:rsidR="008B447D" w:rsidRPr="008B447D">
        <w:rPr>
          <w:i/>
          <w:iCs/>
        </w:rPr>
        <w:t>EUROAPTIEKA</w:t>
      </w:r>
      <w:r w:rsidR="008B447D">
        <w:rPr>
          <w:i/>
          <w:iCs/>
        </w:rPr>
        <w:t>”,</w:t>
      </w:r>
      <w:r w:rsidR="00D70ECC">
        <w:rPr>
          <w:i/>
          <w:iCs/>
        </w:rPr>
        <w:t xml:space="preserve"> </w:t>
      </w:r>
      <w:r w:rsidR="008B447D" w:rsidRPr="002B4CA2">
        <w:rPr>
          <w:i/>
          <w:iCs/>
        </w:rPr>
        <w:t>C-530/20</w:t>
      </w:r>
      <w:r w:rsidR="008B447D">
        <w:rPr>
          <w:i/>
          <w:iCs/>
        </w:rPr>
        <w:t xml:space="preserve">, </w:t>
      </w:r>
      <w:hyperlink r:id="rId12" w:history="1">
        <w:r w:rsidR="008B447D" w:rsidRPr="008B447D">
          <w:rPr>
            <w:rStyle w:val="Hyperlink"/>
            <w:i/>
            <w:iCs/>
          </w:rPr>
          <w:t>ECLI:EU:C:2022:1014</w:t>
        </w:r>
      </w:hyperlink>
      <w:r w:rsidR="008B0B48" w:rsidRPr="00FE5DA0">
        <w:rPr>
          <w:i/>
          <w:iCs/>
        </w:rPr>
        <w:t>, 32.punkt</w:t>
      </w:r>
      <w:r w:rsidR="00B03F47">
        <w:rPr>
          <w:i/>
          <w:iCs/>
        </w:rPr>
        <w:t>s</w:t>
      </w:r>
      <w:r w:rsidR="00B03F47">
        <w:t>)</w:t>
      </w:r>
      <w:r w:rsidR="008B0B48" w:rsidRPr="00545C45">
        <w:t>.</w:t>
      </w:r>
      <w:r w:rsidR="00805B3B">
        <w:t xml:space="preserve"> </w:t>
      </w:r>
      <w:r w:rsidR="000A373D">
        <w:t xml:space="preserve">Tādējādi, ja vien </w:t>
      </w:r>
      <w:r w:rsidR="00F35F99">
        <w:t>nepastāv pamats piemērot</w:t>
      </w:r>
      <w:r w:rsidR="00F35F99" w:rsidRPr="00F35F99">
        <w:t xml:space="preserve"> </w:t>
      </w:r>
      <w:r w:rsidR="00B03F47">
        <w:t>n</w:t>
      </w:r>
      <w:r w:rsidR="00F35F99">
        <w:t>oteikumu Nr. 378 3.punktā izklāstītos izņēmumus,</w:t>
      </w:r>
      <w:r w:rsidR="0022168D">
        <w:t xml:space="preserve"> kas atspoguļo direktīvas 86.panta 2.punktu, </w:t>
      </w:r>
      <w:r w:rsidR="000A373D">
        <w:t>nav nozīmes formai (izteikšanas veidam)</w:t>
      </w:r>
      <w:r w:rsidR="007419B9">
        <w:t>,</w:t>
      </w:r>
      <w:r w:rsidR="000A373D">
        <w:t xml:space="preserve"> kādā </w:t>
      </w:r>
      <w:r w:rsidR="00F35F99">
        <w:t>izteikums ietverts.</w:t>
      </w:r>
    </w:p>
    <w:p w14:paraId="395660C0" w14:textId="0135D6CE" w:rsidR="00197E03" w:rsidRDefault="000F7FE9" w:rsidP="00A06E81">
      <w:pPr>
        <w:spacing w:line="276" w:lineRule="auto"/>
        <w:ind w:firstLine="567"/>
        <w:jc w:val="both"/>
        <w:rPr>
          <w:bCs/>
        </w:rPr>
      </w:pPr>
      <w:r>
        <w:rPr>
          <w:bCs/>
        </w:rPr>
        <w:t xml:space="preserve">Eiropas Savienības </w:t>
      </w:r>
      <w:r w:rsidR="004559BC">
        <w:rPr>
          <w:bCs/>
        </w:rPr>
        <w:t>T</w:t>
      </w:r>
      <w:r>
        <w:rPr>
          <w:bCs/>
        </w:rPr>
        <w:t xml:space="preserve">iesa </w:t>
      </w:r>
      <w:r w:rsidR="001B211C">
        <w:rPr>
          <w:bCs/>
        </w:rPr>
        <w:t xml:space="preserve">ir </w:t>
      </w:r>
      <w:r>
        <w:rPr>
          <w:bCs/>
        </w:rPr>
        <w:t>atzin</w:t>
      </w:r>
      <w:r w:rsidR="001B211C">
        <w:rPr>
          <w:bCs/>
        </w:rPr>
        <w:t>usi</w:t>
      </w:r>
      <w:r>
        <w:rPr>
          <w:bCs/>
        </w:rPr>
        <w:t xml:space="preserve">, ka šis jēdziens aptver jebkādas formas aicinājumu </w:t>
      </w:r>
      <w:r w:rsidR="001D22A1">
        <w:rPr>
          <w:bCs/>
        </w:rPr>
        <w:t>iegūt</w:t>
      </w:r>
      <w:r w:rsidR="00763640">
        <w:rPr>
          <w:bCs/>
        </w:rPr>
        <w:t xml:space="preserve"> (</w:t>
      </w:r>
      <w:r w:rsidR="00985B0F">
        <w:rPr>
          <w:bCs/>
        </w:rPr>
        <w:t xml:space="preserve">franču valodā </w:t>
      </w:r>
      <w:r w:rsidR="001B211C">
        <w:rPr>
          <w:bCs/>
        </w:rPr>
        <w:t>„</w:t>
      </w:r>
      <w:r w:rsidR="00985B0F" w:rsidRPr="00553750">
        <w:rPr>
          <w:bCs/>
          <w:i/>
          <w:iCs/>
        </w:rPr>
        <w:t>démarchage</w:t>
      </w:r>
      <w:r w:rsidR="00985B0F">
        <w:rPr>
          <w:bCs/>
        </w:rPr>
        <w:t xml:space="preserve">”, </w:t>
      </w:r>
      <w:r w:rsidR="00763640">
        <w:rPr>
          <w:bCs/>
        </w:rPr>
        <w:t xml:space="preserve">angļu valodā </w:t>
      </w:r>
      <w:r w:rsidR="001B211C">
        <w:rPr>
          <w:bCs/>
        </w:rPr>
        <w:t>„</w:t>
      </w:r>
      <w:r w:rsidR="00763640" w:rsidRPr="00553750">
        <w:rPr>
          <w:bCs/>
          <w:i/>
          <w:iCs/>
        </w:rPr>
        <w:t>solict</w:t>
      </w:r>
      <w:r w:rsidR="00763640">
        <w:rPr>
          <w:bCs/>
        </w:rPr>
        <w:t>”)</w:t>
      </w:r>
      <w:r w:rsidR="001D22A1">
        <w:rPr>
          <w:bCs/>
        </w:rPr>
        <w:t xml:space="preserve"> izteikumā </w:t>
      </w:r>
      <w:r>
        <w:rPr>
          <w:bCs/>
        </w:rPr>
        <w:t>identificēt</w:t>
      </w:r>
      <w:r w:rsidR="001D22A1">
        <w:rPr>
          <w:bCs/>
        </w:rPr>
        <w:t>as</w:t>
      </w:r>
      <w:r w:rsidR="001B211C">
        <w:rPr>
          <w:bCs/>
        </w:rPr>
        <w:t>,</w:t>
      </w:r>
      <w:r>
        <w:rPr>
          <w:bCs/>
        </w:rPr>
        <w:t xml:space="preserve"> kā arī</w:t>
      </w:r>
      <w:r w:rsidR="001D22A1">
        <w:rPr>
          <w:bCs/>
        </w:rPr>
        <w:t xml:space="preserve"> </w:t>
      </w:r>
      <w:r w:rsidR="001C08D6">
        <w:rPr>
          <w:bCs/>
        </w:rPr>
        <w:t>tieši</w:t>
      </w:r>
      <w:r>
        <w:rPr>
          <w:bCs/>
        </w:rPr>
        <w:t xml:space="preserve"> neidentificēt</w:t>
      </w:r>
      <w:r w:rsidR="001D22A1">
        <w:rPr>
          <w:bCs/>
        </w:rPr>
        <w:t>as zāl</w:t>
      </w:r>
      <w:r w:rsidR="001B211C">
        <w:rPr>
          <w:bCs/>
        </w:rPr>
        <w:t>e</w:t>
      </w:r>
      <w:r w:rsidR="001D22A1">
        <w:rPr>
          <w:bCs/>
        </w:rPr>
        <w:t>s</w:t>
      </w:r>
      <w:r>
        <w:rPr>
          <w:bCs/>
        </w:rPr>
        <w:t xml:space="preserve"> (</w:t>
      </w:r>
      <w:r w:rsidRPr="00FE5DA0">
        <w:rPr>
          <w:i/>
          <w:iCs/>
        </w:rPr>
        <w:t>Eiropas Savienības tiesas spriedum</w:t>
      </w:r>
      <w:r w:rsidR="001B211C">
        <w:rPr>
          <w:i/>
          <w:iCs/>
        </w:rPr>
        <w:t>a</w:t>
      </w:r>
      <w:r w:rsidRPr="00FE5DA0">
        <w:rPr>
          <w:i/>
          <w:iCs/>
        </w:rPr>
        <w:t xml:space="preserve"> lietā</w:t>
      </w:r>
      <w:r w:rsidR="008B447D">
        <w:rPr>
          <w:i/>
          <w:iCs/>
        </w:rPr>
        <w:t xml:space="preserve"> </w:t>
      </w:r>
      <w:r w:rsidR="008B447D" w:rsidRPr="000F7FE9">
        <w:rPr>
          <w:bCs/>
          <w:i/>
          <w:iCs/>
        </w:rPr>
        <w:t>Apothekerkammer Nordrhein</w:t>
      </w:r>
      <w:r w:rsidR="008B447D">
        <w:rPr>
          <w:i/>
          <w:iCs/>
        </w:rPr>
        <w:t xml:space="preserve">, </w:t>
      </w:r>
      <w:r w:rsidRPr="000F7FE9">
        <w:rPr>
          <w:i/>
          <w:iCs/>
        </w:rPr>
        <w:t>C‑517/23</w:t>
      </w:r>
      <w:r w:rsidRPr="00FE5DA0">
        <w:rPr>
          <w:i/>
          <w:iCs/>
        </w:rPr>
        <w:t>,</w:t>
      </w:r>
      <w:r w:rsidR="008B447D">
        <w:rPr>
          <w:i/>
          <w:iCs/>
        </w:rPr>
        <w:t xml:space="preserve"> </w:t>
      </w:r>
      <w:hyperlink r:id="rId13" w:history="1">
        <w:r w:rsidR="008B447D" w:rsidRPr="008B447D">
          <w:rPr>
            <w:rStyle w:val="Hyperlink"/>
            <w:i/>
            <w:iCs/>
          </w:rPr>
          <w:t>ECLI:EU:C:2025:122</w:t>
        </w:r>
      </w:hyperlink>
      <w:r w:rsidR="008B447D">
        <w:rPr>
          <w:i/>
          <w:iCs/>
        </w:rPr>
        <w:t>,</w:t>
      </w:r>
      <w:r w:rsidRPr="00FE5DA0">
        <w:rPr>
          <w:i/>
          <w:iCs/>
        </w:rPr>
        <w:t xml:space="preserve"> 3</w:t>
      </w:r>
      <w:r>
        <w:rPr>
          <w:i/>
          <w:iCs/>
        </w:rPr>
        <w:t>4</w:t>
      </w:r>
      <w:r w:rsidRPr="00FE5DA0">
        <w:rPr>
          <w:i/>
          <w:iCs/>
        </w:rPr>
        <w:t>.punkts</w:t>
      </w:r>
      <w:r>
        <w:t>)</w:t>
      </w:r>
      <w:r w:rsidR="001D22A1">
        <w:t xml:space="preserve">. </w:t>
      </w:r>
      <w:r w:rsidR="001B211C">
        <w:t>Z</w:t>
      </w:r>
      <w:r w:rsidR="001D22A1">
        <w:t>iņas mērķis ir izšķirošā</w:t>
      </w:r>
      <w:r w:rsidR="00763640">
        <w:t xml:space="preserve"> pazīme</w:t>
      </w:r>
      <w:r w:rsidR="001B211C">
        <w:t>,</w:t>
      </w:r>
      <w:r w:rsidR="00763640">
        <w:t xml:space="preserve"> pēc kuras var nošķirt reklāmu no vienkāršas informācijas. Ja ziņa ir veidota tā, lai veicinātu </w:t>
      </w:r>
      <w:r w:rsidR="00AA2DF3">
        <w:t xml:space="preserve">to, ka zāles tiek </w:t>
      </w:r>
      <w:r w:rsidR="00763640">
        <w:t>izrakstīt</w:t>
      </w:r>
      <w:r w:rsidR="00AA2DF3">
        <w:t>as</w:t>
      </w:r>
      <w:r w:rsidR="00763640">
        <w:t>, pasūtīt</w:t>
      </w:r>
      <w:r w:rsidR="00AA2DF3">
        <w:t>as</w:t>
      </w:r>
      <w:r w:rsidR="00763640">
        <w:t xml:space="preserve"> vai patērēt</w:t>
      </w:r>
      <w:r w:rsidR="00AA2DF3">
        <w:t>as</w:t>
      </w:r>
      <w:r w:rsidR="00763640">
        <w:t>, tad tā ir uzskatāma par zāļu reklāmu (</w:t>
      </w:r>
      <w:r w:rsidR="00763640" w:rsidRPr="00553750">
        <w:rPr>
          <w:i/>
          <w:iCs/>
        </w:rPr>
        <w:t>turpat, 35.punkts</w:t>
      </w:r>
      <w:r w:rsidR="00763640">
        <w:t>).</w:t>
      </w:r>
    </w:p>
    <w:p w14:paraId="7A73453E" w14:textId="1CE2A572" w:rsidR="00197E03" w:rsidRDefault="00CB5F90" w:rsidP="00A06E81">
      <w:pPr>
        <w:spacing w:line="276" w:lineRule="auto"/>
        <w:ind w:firstLine="567"/>
        <w:jc w:val="both"/>
        <w:rPr>
          <w:bCs/>
        </w:rPr>
      </w:pPr>
      <w:r w:rsidRPr="00CB5F90">
        <w:rPr>
          <w:bCs/>
        </w:rPr>
        <w:t>Direktīvas</w:t>
      </w:r>
      <w:r w:rsidR="00D70ECC">
        <w:rPr>
          <w:bCs/>
        </w:rPr>
        <w:t xml:space="preserve"> </w:t>
      </w:r>
      <w:r w:rsidRPr="00CB5F90">
        <w:rPr>
          <w:bCs/>
        </w:rPr>
        <w:t>2001/83 87.pant</w:t>
      </w:r>
      <w:r w:rsidR="002D1498">
        <w:rPr>
          <w:bCs/>
        </w:rPr>
        <w:t>a mērķis ir nodrošināt šīs d</w:t>
      </w:r>
      <w:r w:rsidR="002D1498" w:rsidRPr="002D1498">
        <w:rPr>
          <w:bCs/>
        </w:rPr>
        <w:t>irektīvas </w:t>
      </w:r>
      <w:r w:rsidR="002D1498">
        <w:rPr>
          <w:bCs/>
        </w:rPr>
        <w:t xml:space="preserve">mērķa – aizsargāt </w:t>
      </w:r>
      <w:r w:rsidR="002D1498" w:rsidRPr="002D1498">
        <w:rPr>
          <w:bCs/>
        </w:rPr>
        <w:t>cilvēku veselīb</w:t>
      </w:r>
      <w:r w:rsidR="002D1498">
        <w:rPr>
          <w:bCs/>
        </w:rPr>
        <w:t xml:space="preserve">u – </w:t>
      </w:r>
      <w:r w:rsidRPr="00CB5F90">
        <w:rPr>
          <w:bCs/>
        </w:rPr>
        <w:t>sasniegšanu zāļu reklāmas regulējumā, pirmkārt, aizliedzot vai ierobežojot tādas informācijas izmantošanu, kas varētu maldināt tās adresātu vai kas būtu nepareiza vai nepārbaudīta un tāpēc varētu izraisīt nepareizu zāļu lietošanu, un, otrkārt, paredzot, ka ir obligāti jānorāda zināma svarīga informācija</w:t>
      </w:r>
      <w:r w:rsidR="001B211C">
        <w:rPr>
          <w:bCs/>
        </w:rPr>
        <w:t xml:space="preserve"> </w:t>
      </w:r>
      <w:r>
        <w:rPr>
          <w:bCs/>
        </w:rPr>
        <w:t>(</w:t>
      </w:r>
      <w:r w:rsidRPr="001C08D6">
        <w:rPr>
          <w:i/>
          <w:iCs/>
        </w:rPr>
        <w:t xml:space="preserve">Eiropas Savienības </w:t>
      </w:r>
      <w:r w:rsidR="001C08D6" w:rsidRPr="001C08D6">
        <w:rPr>
          <w:i/>
          <w:iCs/>
        </w:rPr>
        <w:t>T</w:t>
      </w:r>
      <w:r w:rsidRPr="001C08D6">
        <w:rPr>
          <w:i/>
          <w:iCs/>
        </w:rPr>
        <w:t>iesas spriedum</w:t>
      </w:r>
      <w:r w:rsidR="00AD121B">
        <w:rPr>
          <w:i/>
          <w:iCs/>
        </w:rPr>
        <w:t>a</w:t>
      </w:r>
      <w:r w:rsidRPr="001C08D6">
        <w:rPr>
          <w:i/>
          <w:iCs/>
        </w:rPr>
        <w:t xml:space="preserve"> lietā</w:t>
      </w:r>
      <w:r w:rsidR="003767A8">
        <w:rPr>
          <w:i/>
          <w:iCs/>
        </w:rPr>
        <w:t xml:space="preserve"> </w:t>
      </w:r>
      <w:r w:rsidR="001B211C">
        <w:rPr>
          <w:i/>
          <w:iCs/>
        </w:rPr>
        <w:t>„</w:t>
      </w:r>
      <w:r w:rsidR="003767A8" w:rsidRPr="003767A8">
        <w:rPr>
          <w:i/>
          <w:iCs/>
        </w:rPr>
        <w:t>Novo Nordisk</w:t>
      </w:r>
      <w:r w:rsidR="003767A8">
        <w:rPr>
          <w:i/>
          <w:iCs/>
        </w:rPr>
        <w:t>”</w:t>
      </w:r>
      <w:r w:rsidRPr="001C08D6">
        <w:rPr>
          <w:i/>
          <w:iCs/>
        </w:rPr>
        <w:t xml:space="preserve"> </w:t>
      </w:r>
      <w:r w:rsidR="003767A8">
        <w:rPr>
          <w:i/>
          <w:iCs/>
        </w:rPr>
        <w:t>C-</w:t>
      </w:r>
      <w:r w:rsidRPr="00553750">
        <w:rPr>
          <w:bCs/>
          <w:i/>
          <w:iCs/>
        </w:rPr>
        <w:t>249/09</w:t>
      </w:r>
      <w:r w:rsidR="001C08D6" w:rsidRPr="00553750">
        <w:rPr>
          <w:bCs/>
          <w:i/>
          <w:iCs/>
        </w:rPr>
        <w:t>,</w:t>
      </w:r>
      <w:r w:rsidR="003767A8">
        <w:rPr>
          <w:bCs/>
          <w:i/>
          <w:iCs/>
        </w:rPr>
        <w:t xml:space="preserve"> </w:t>
      </w:r>
      <w:hyperlink r:id="rId14" w:history="1">
        <w:r w:rsidR="003767A8" w:rsidRPr="003767A8">
          <w:rPr>
            <w:rStyle w:val="Hyperlink"/>
            <w:bCs/>
            <w:i/>
            <w:iCs/>
          </w:rPr>
          <w:t>ECLI:EU:C:2011:272</w:t>
        </w:r>
      </w:hyperlink>
      <w:r w:rsidR="003767A8">
        <w:rPr>
          <w:bCs/>
          <w:i/>
          <w:iCs/>
        </w:rPr>
        <w:t>,</w:t>
      </w:r>
      <w:r w:rsidR="001C08D6" w:rsidRPr="00553750">
        <w:rPr>
          <w:bCs/>
          <w:i/>
          <w:iCs/>
        </w:rPr>
        <w:t xml:space="preserve"> </w:t>
      </w:r>
      <w:r w:rsidR="002D1498">
        <w:rPr>
          <w:bCs/>
          <w:i/>
          <w:iCs/>
        </w:rPr>
        <w:t>32.–</w:t>
      </w:r>
      <w:r w:rsidRPr="001C08D6">
        <w:rPr>
          <w:bCs/>
          <w:i/>
          <w:iCs/>
        </w:rPr>
        <w:t>33</w:t>
      </w:r>
      <w:r w:rsidR="00167302" w:rsidRPr="00553750">
        <w:rPr>
          <w:bCs/>
          <w:i/>
          <w:iCs/>
        </w:rPr>
        <w:t>.punkts</w:t>
      </w:r>
      <w:r w:rsidR="00167302">
        <w:rPr>
          <w:bCs/>
        </w:rPr>
        <w:t>)</w:t>
      </w:r>
      <w:r>
        <w:rPr>
          <w:bCs/>
        </w:rPr>
        <w:t xml:space="preserve">. Turklāt </w:t>
      </w:r>
      <w:r w:rsidRPr="00CB5F90">
        <w:rPr>
          <w:bCs/>
        </w:rPr>
        <w:t>zāļu reklāmas daļās nekad nedrīkst norādīt it īpaši terapeitiskās indikācijas, farmakoloģiskās īpašības vai citas īpašības, kas ir pretrunā zāļu aprakstam, kuru ir apstiprinājusi kompetentā iestāde, izdodot šo zāļu tirdzniecības atļauju</w:t>
      </w:r>
      <w:r>
        <w:rPr>
          <w:bCs/>
        </w:rPr>
        <w:t xml:space="preserve"> (</w:t>
      </w:r>
      <w:r w:rsidRPr="00553750">
        <w:rPr>
          <w:bCs/>
          <w:i/>
          <w:iCs/>
        </w:rPr>
        <w:t>turpat, 42.punkts</w:t>
      </w:r>
      <w:r>
        <w:rPr>
          <w:bCs/>
        </w:rPr>
        <w:t>).</w:t>
      </w:r>
    </w:p>
    <w:p w14:paraId="0A9309DA" w14:textId="6119AE78" w:rsidR="001C08D6" w:rsidRDefault="001C08D6" w:rsidP="00A06E81">
      <w:pPr>
        <w:spacing w:line="276" w:lineRule="auto"/>
        <w:ind w:firstLine="567"/>
        <w:jc w:val="both"/>
      </w:pPr>
      <w:r>
        <w:t xml:space="preserve">Eiropas Savienības </w:t>
      </w:r>
      <w:r w:rsidR="009766F5">
        <w:t>T</w:t>
      </w:r>
      <w:r>
        <w:t>iesa</w:t>
      </w:r>
      <w:r w:rsidR="009766F5">
        <w:t xml:space="preserve"> tāpat</w:t>
      </w:r>
      <w:r>
        <w:t xml:space="preserve"> ir atzinusi, ka d</w:t>
      </w:r>
      <w:r w:rsidRPr="00DA2591">
        <w:t>irektīvas</w:t>
      </w:r>
      <w:r w:rsidR="00D70ECC">
        <w:t xml:space="preserve"> </w:t>
      </w:r>
      <w:r w:rsidRPr="00DA2591">
        <w:t xml:space="preserve">2001/83 88.panta 1.punkta </w:t>
      </w:r>
      <w:r w:rsidR="001B211C">
        <w:t>„</w:t>
      </w:r>
      <w:r w:rsidRPr="00DA2591">
        <w:t>a</w:t>
      </w:r>
      <w:r w:rsidR="001B211C">
        <w:t>”</w:t>
      </w:r>
      <w:r w:rsidRPr="00DA2591">
        <w:t xml:space="preserve"> apakšpunkts jāinterpretē tādējādi, ka tas neaizliedz informācijas par zālēm, kurām nepieciešama ārsta recepte, izplatīšanu interneta vietnē, ja šī informācija šajā vietnē ir pieejama tikai personai, kas pati to meklē, un šo izplatīšanu veido vienīgi precīza </w:t>
      </w:r>
      <w:r w:rsidR="00D357B2">
        <w:t>iesaiņojuma</w:t>
      </w:r>
      <w:r w:rsidR="00527062">
        <w:t xml:space="preserve"> </w:t>
      </w:r>
      <w:r w:rsidRPr="00DA2591">
        <w:t>attēlošana, kas atbilst šīs direktīvas 62.pantam, kā arī kompetento iestāžu zāļu jomā apstiprinātas lietošanas instrukcijas vai produkta īpašību apraksta burtiska un pilnīga atveidošana. Savukārt ir aizliegta tādas informācijas par zālēm izplatīšana šādā vietnē, kuru ražotājs ir atlasījis vai pārstrādājis, jo tas var tikt izskaidrots vienīgi ar reklāmas mērķi</w:t>
      </w:r>
      <w:r>
        <w:t xml:space="preserve"> </w:t>
      </w:r>
      <w:r w:rsidR="001B211C">
        <w:t>(</w:t>
      </w:r>
      <w:r w:rsidRPr="00FE5DA0">
        <w:rPr>
          <w:i/>
          <w:iCs/>
        </w:rPr>
        <w:t xml:space="preserve">Eiropas Savienības </w:t>
      </w:r>
      <w:r>
        <w:rPr>
          <w:i/>
          <w:iCs/>
        </w:rPr>
        <w:t>T</w:t>
      </w:r>
      <w:r w:rsidRPr="00FE5DA0">
        <w:rPr>
          <w:i/>
          <w:iCs/>
        </w:rPr>
        <w:t>iesas spriedum</w:t>
      </w:r>
      <w:r w:rsidR="00AD121B">
        <w:rPr>
          <w:i/>
          <w:iCs/>
        </w:rPr>
        <w:t>a</w:t>
      </w:r>
      <w:r w:rsidRPr="00FE5DA0">
        <w:rPr>
          <w:i/>
          <w:iCs/>
        </w:rPr>
        <w:t xml:space="preserve"> lietā</w:t>
      </w:r>
      <w:r w:rsidR="003767A8">
        <w:rPr>
          <w:i/>
          <w:iCs/>
        </w:rPr>
        <w:t xml:space="preserve"> </w:t>
      </w:r>
      <w:r w:rsidR="001B211C">
        <w:rPr>
          <w:i/>
          <w:iCs/>
        </w:rPr>
        <w:t>„</w:t>
      </w:r>
      <w:r w:rsidR="003767A8" w:rsidRPr="003767A8">
        <w:rPr>
          <w:i/>
          <w:iCs/>
        </w:rPr>
        <w:t>MSD Sharp &amp; Dohme</w:t>
      </w:r>
      <w:r w:rsidR="003767A8">
        <w:rPr>
          <w:i/>
          <w:iCs/>
        </w:rPr>
        <w:t xml:space="preserve">”, </w:t>
      </w:r>
      <w:r w:rsidRPr="00553750">
        <w:rPr>
          <w:i/>
          <w:iCs/>
        </w:rPr>
        <w:t>C-316/09</w:t>
      </w:r>
      <w:r w:rsidRPr="001C08D6">
        <w:rPr>
          <w:i/>
          <w:iCs/>
        </w:rPr>
        <w:t>,</w:t>
      </w:r>
      <w:r w:rsidR="003767A8">
        <w:rPr>
          <w:i/>
          <w:iCs/>
        </w:rPr>
        <w:t xml:space="preserve"> </w:t>
      </w:r>
      <w:hyperlink r:id="rId15" w:history="1">
        <w:r w:rsidR="003767A8" w:rsidRPr="003767A8">
          <w:rPr>
            <w:rStyle w:val="Hyperlink"/>
            <w:i/>
            <w:iCs/>
          </w:rPr>
          <w:t>ECLI:EU:C:2011:275</w:t>
        </w:r>
      </w:hyperlink>
      <w:r w:rsidR="003767A8">
        <w:rPr>
          <w:i/>
          <w:iCs/>
        </w:rPr>
        <w:t>,</w:t>
      </w:r>
      <w:r w:rsidRPr="001C08D6">
        <w:rPr>
          <w:i/>
          <w:iCs/>
        </w:rPr>
        <w:t xml:space="preserve"> 48.punkts</w:t>
      </w:r>
      <w:r w:rsidR="001B211C">
        <w:t>)</w:t>
      </w:r>
      <w:r>
        <w:t>.</w:t>
      </w:r>
    </w:p>
    <w:p w14:paraId="3078F540" w14:textId="4B34FD10" w:rsidR="001D22A1" w:rsidRDefault="001D22A1" w:rsidP="00A06E81">
      <w:pPr>
        <w:spacing w:line="276" w:lineRule="auto"/>
        <w:ind w:firstLine="567"/>
        <w:jc w:val="both"/>
        <w:rPr>
          <w:bCs/>
        </w:rPr>
      </w:pPr>
      <w:r>
        <w:rPr>
          <w:bCs/>
        </w:rPr>
        <w:t>Tātad</w:t>
      </w:r>
      <w:r w:rsidR="00D357B2">
        <w:rPr>
          <w:bCs/>
        </w:rPr>
        <w:t xml:space="preserve"> atbilstoši minētajai Eiropas Savienības Tiesas </w:t>
      </w:r>
      <w:r w:rsidR="00EE0B30">
        <w:rPr>
          <w:bCs/>
        </w:rPr>
        <w:t>judikatūrai</w:t>
      </w:r>
      <w:r w:rsidR="00D357B2">
        <w:rPr>
          <w:bCs/>
        </w:rPr>
        <w:t>,</w:t>
      </w:r>
      <w:r>
        <w:rPr>
          <w:bCs/>
        </w:rPr>
        <w:t xml:space="preserve"> lai atzītu kādu izteikumu par zāļu reklāmu, </w:t>
      </w:r>
      <w:r>
        <w:t xml:space="preserve">ir jānoskaidro tas, kādu </w:t>
      </w:r>
      <w:r>
        <w:rPr>
          <w:bCs/>
        </w:rPr>
        <w:t xml:space="preserve">iespaidu </w:t>
      </w:r>
      <w:r w:rsidR="00F35F99">
        <w:rPr>
          <w:bCs/>
        </w:rPr>
        <w:t>izteikums rada un vai tas</w:t>
      </w:r>
      <w:r>
        <w:rPr>
          <w:bCs/>
        </w:rPr>
        <w:t xml:space="preserve"> </w:t>
      </w:r>
      <w:r w:rsidR="00F61AD5">
        <w:t>var pamudināt personu lūgt izrakstīt, pasūtīt, piegādāt vai patērēt zāles</w:t>
      </w:r>
      <w:r>
        <w:rPr>
          <w:bCs/>
        </w:rPr>
        <w:t>.</w:t>
      </w:r>
      <w:r w:rsidR="00B43A2D">
        <w:rPr>
          <w:bCs/>
        </w:rPr>
        <w:t xml:space="preserve"> Šajā izvērtējumā nav jānoskaidro</w:t>
      </w:r>
      <w:r w:rsidR="00F61AD5">
        <w:rPr>
          <w:bCs/>
        </w:rPr>
        <w:t xml:space="preserve"> konkrēto personu subjektīvais nodoms</w:t>
      </w:r>
      <w:r w:rsidR="001B211C">
        <w:rPr>
          <w:bCs/>
        </w:rPr>
        <w:t>,</w:t>
      </w:r>
      <w:r w:rsidR="00F61AD5">
        <w:rPr>
          <w:bCs/>
        </w:rPr>
        <w:t xml:space="preserve"> izsakot izteikumu</w:t>
      </w:r>
      <w:r w:rsidR="0022168D">
        <w:rPr>
          <w:bCs/>
        </w:rPr>
        <w:t>.</w:t>
      </w:r>
      <w:r w:rsidR="00F61AD5">
        <w:rPr>
          <w:bCs/>
        </w:rPr>
        <w:t xml:space="preserve"> </w:t>
      </w:r>
    </w:p>
    <w:p w14:paraId="4961E7A0" w14:textId="77777777" w:rsidR="001D22A1" w:rsidRDefault="001D22A1" w:rsidP="00A06E81">
      <w:pPr>
        <w:spacing w:line="276" w:lineRule="auto"/>
        <w:ind w:firstLine="567"/>
        <w:jc w:val="both"/>
        <w:rPr>
          <w:bCs/>
        </w:rPr>
      </w:pPr>
    </w:p>
    <w:p w14:paraId="070D78E2" w14:textId="60064AF9" w:rsidR="002309F6" w:rsidRDefault="003F5182" w:rsidP="00A06E81">
      <w:pPr>
        <w:spacing w:line="276" w:lineRule="auto"/>
        <w:ind w:firstLine="567"/>
        <w:jc w:val="both"/>
      </w:pPr>
      <w:r w:rsidRPr="00553750">
        <w:rPr>
          <w:bCs/>
        </w:rPr>
        <w:t>[1</w:t>
      </w:r>
      <w:r w:rsidR="00ED0AF5">
        <w:rPr>
          <w:bCs/>
        </w:rPr>
        <w:t>1</w:t>
      </w:r>
      <w:r w:rsidRPr="00553750">
        <w:rPr>
          <w:bCs/>
        </w:rPr>
        <w:t xml:space="preserve">] </w:t>
      </w:r>
      <w:r w:rsidR="006463C8">
        <w:rPr>
          <w:bCs/>
        </w:rPr>
        <w:t>L</w:t>
      </w:r>
      <w:r w:rsidR="00197E03">
        <w:rPr>
          <w:bCs/>
        </w:rPr>
        <w:t xml:space="preserve">ietā nav strīda par to, ka </w:t>
      </w:r>
      <w:r w:rsidR="00ED0391">
        <w:t xml:space="preserve">publikācijas, kurās minēti konkrēti recepšu un bezrecepšu zāļu komercnosaukumi un norādīta to labvēlīgā terapeitiskā iedarbība, neattiecas uz </w:t>
      </w:r>
      <w:r w:rsidR="00CD5482">
        <w:t>n</w:t>
      </w:r>
      <w:r w:rsidR="00ED0391">
        <w:t xml:space="preserve">oteikumu Nr. 378 3.punktā un direktīvas </w:t>
      </w:r>
      <w:r w:rsidR="00ED0391" w:rsidRPr="009868A8">
        <w:t>2001/83</w:t>
      </w:r>
      <w:r w:rsidR="00ED0391">
        <w:t xml:space="preserve"> 86.panta 2.punktā norādītajiem gadījumiem, kas uzskatāmi par vienkāršas informācijas sniegšanu. </w:t>
      </w:r>
      <w:r w:rsidR="007022D9">
        <w:rPr>
          <w:bCs/>
        </w:rPr>
        <w:t xml:space="preserve">Līdz ar </w:t>
      </w:r>
      <w:r w:rsidR="007022D9">
        <w:rPr>
          <w:bCs/>
        </w:rPr>
        <w:lastRenderedPageBreak/>
        <w:t xml:space="preserve">to šajā lietā bija jāpiemēro </w:t>
      </w:r>
      <w:r w:rsidR="00CD5482">
        <w:rPr>
          <w:bCs/>
        </w:rPr>
        <w:t>n</w:t>
      </w:r>
      <w:r w:rsidR="007022D9">
        <w:t>oteikumu Nr. 378 2.1.</w:t>
      </w:r>
      <w:r w:rsidR="00CD5482">
        <w:t>apakš</w:t>
      </w:r>
      <w:r w:rsidR="007022D9">
        <w:t>punkts, proti, jānoskaidro, vai publikācijās paustā informācija ir uzskatāma par s</w:t>
      </w:r>
      <w:r w:rsidR="007022D9" w:rsidRPr="007022D9">
        <w:t>abiedrībai paredzēt</w:t>
      </w:r>
      <w:r w:rsidR="007022D9">
        <w:t>u</w:t>
      </w:r>
      <w:r w:rsidR="007022D9" w:rsidRPr="007022D9">
        <w:t xml:space="preserve"> zāļu reklāmu</w:t>
      </w:r>
      <w:r w:rsidR="007022D9">
        <w:t>.</w:t>
      </w:r>
    </w:p>
    <w:p w14:paraId="193E069B" w14:textId="417BA0AF" w:rsidR="00197E03" w:rsidRDefault="007022D9" w:rsidP="00A06E81">
      <w:pPr>
        <w:spacing w:line="276" w:lineRule="auto"/>
        <w:ind w:firstLine="567"/>
        <w:jc w:val="both"/>
        <w:rPr>
          <w:bCs/>
        </w:rPr>
      </w:pPr>
      <w:r>
        <w:t>L</w:t>
      </w:r>
      <w:r w:rsidR="00197E03" w:rsidRPr="00604B89">
        <w:t>ai atklātu informācijas sniegšanas mērķi, ir jāanalizē</w:t>
      </w:r>
      <w:r w:rsidR="00197E03">
        <w:t xml:space="preserve"> </w:t>
      </w:r>
      <w:r w:rsidR="00197E03" w:rsidRPr="00F9017A">
        <w:t>tas, kā tādu informāciju, kāda ir ietverta strīdus publikācijās,</w:t>
      </w:r>
      <w:r w:rsidR="00197E03">
        <w:t xml:space="preserve"> varētu </w:t>
      </w:r>
      <w:r w:rsidR="00197E03" w:rsidRPr="00F9017A">
        <w:t>uztver</w:t>
      </w:r>
      <w:r w:rsidR="00197E03">
        <w:t>t</w:t>
      </w:r>
      <w:r w:rsidR="00197E03" w:rsidRPr="00F9017A">
        <w:t xml:space="preserve"> publikāciju lasītāji</w:t>
      </w:r>
      <w:r w:rsidR="00197E03">
        <w:t>, proti, vai izteikumi pēc to izteikšanas veida un satura var pamudināt personu lūgt izrakstīt, pasūtīt vai patērēt zāles. Š</w:t>
      </w:r>
      <w:r w:rsidR="00CD5482">
        <w:t>i</w:t>
      </w:r>
      <w:r w:rsidR="00197E03">
        <w:t>s izvērtējums ir objektīvs</w:t>
      </w:r>
      <w:r w:rsidR="00CD5482">
        <w:t>,</w:t>
      </w:r>
      <w:r w:rsidR="00197E03">
        <w:t xml:space="preserve"> un tā ietvaros </w:t>
      </w:r>
      <w:r w:rsidR="001C08D6">
        <w:t xml:space="preserve">jāpārbauda </w:t>
      </w:r>
      <w:r w:rsidR="00197E03" w:rsidRPr="00604B89">
        <w:t xml:space="preserve">strīdus publikāciju </w:t>
      </w:r>
      <w:r w:rsidR="00804F0D">
        <w:t>vēstījum</w:t>
      </w:r>
      <w:r w:rsidR="00EE0B30">
        <w:t>s</w:t>
      </w:r>
      <w:r w:rsidR="00804F0D">
        <w:t xml:space="preserve"> </w:t>
      </w:r>
      <w:r w:rsidR="00197E03">
        <w:t xml:space="preserve">un </w:t>
      </w:r>
      <w:r w:rsidR="00AA2DF3">
        <w:t>iespaid</w:t>
      </w:r>
      <w:r w:rsidR="00EE0B30">
        <w:t>s</w:t>
      </w:r>
      <w:r w:rsidR="00AA2DF3">
        <w:t>, ko tās var radīt lasītājiem</w:t>
      </w:r>
      <w:r w:rsidR="00197E03">
        <w:t xml:space="preserve">. </w:t>
      </w:r>
      <w:r w:rsidR="00197E03" w:rsidRPr="00604B89">
        <w:t>Ja tiek konstatēts, ka pēc būtības</w:t>
      </w:r>
      <w:r w:rsidR="00197E03">
        <w:t xml:space="preserve"> </w:t>
      </w:r>
      <w:r w:rsidR="00197E03" w:rsidRPr="00604B89">
        <w:t xml:space="preserve">vēstījuma mērķis ir veicināt zāļu </w:t>
      </w:r>
      <w:r w:rsidR="00197E03">
        <w:t>izrakstī</w:t>
      </w:r>
      <w:r w:rsidR="0012635A">
        <w:t>šanu</w:t>
      </w:r>
      <w:r w:rsidR="00197E03">
        <w:t>, pasūtī</w:t>
      </w:r>
      <w:r w:rsidR="0012635A">
        <w:t>šanu</w:t>
      </w:r>
      <w:r w:rsidR="00197E03">
        <w:t xml:space="preserve"> vai</w:t>
      </w:r>
      <w:r w:rsidR="00197E03" w:rsidRPr="00604B89">
        <w:t xml:space="preserve"> patēr</w:t>
      </w:r>
      <w:r w:rsidR="0012635A">
        <w:t>iņu</w:t>
      </w:r>
      <w:r w:rsidR="00197E03" w:rsidRPr="00604B89">
        <w:t>, ir</w:t>
      </w:r>
      <w:r w:rsidR="00197E03">
        <w:t xml:space="preserve"> </w:t>
      </w:r>
      <w:r w:rsidR="00197E03" w:rsidRPr="00604B89">
        <w:t>pamats secināt, ka publikācij</w:t>
      </w:r>
      <w:r w:rsidR="00CD5482">
        <w:t>ās</w:t>
      </w:r>
      <w:r w:rsidR="00197E03" w:rsidRPr="00604B89">
        <w:t xml:space="preserve"> </w:t>
      </w:r>
      <w:r w:rsidR="00CD5482">
        <w:t xml:space="preserve">ir </w:t>
      </w:r>
      <w:r w:rsidR="00197E03" w:rsidRPr="00604B89">
        <w:t>zāļu reklām</w:t>
      </w:r>
      <w:r w:rsidR="00CD5482">
        <w:t>a</w:t>
      </w:r>
      <w:r w:rsidR="00197E03">
        <w:t>.</w:t>
      </w:r>
    </w:p>
    <w:p w14:paraId="266E62B2" w14:textId="77777777" w:rsidR="001B7AC5" w:rsidRDefault="001B7AC5" w:rsidP="00A06E81">
      <w:pPr>
        <w:spacing w:line="276" w:lineRule="auto"/>
        <w:ind w:firstLine="567"/>
        <w:jc w:val="both"/>
        <w:rPr>
          <w:bCs/>
        </w:rPr>
      </w:pPr>
    </w:p>
    <w:p w14:paraId="6909BC97" w14:textId="7092BA08" w:rsidR="00DB6DD3" w:rsidRDefault="003F5182" w:rsidP="00A06E81">
      <w:pPr>
        <w:spacing w:line="276" w:lineRule="auto"/>
        <w:ind w:firstLine="567"/>
        <w:jc w:val="both"/>
      </w:pPr>
      <w:r>
        <w:rPr>
          <w:bCs/>
        </w:rPr>
        <w:t>[1</w:t>
      </w:r>
      <w:r w:rsidR="00ED0AF5">
        <w:rPr>
          <w:bCs/>
        </w:rPr>
        <w:t>2</w:t>
      </w:r>
      <w:r>
        <w:rPr>
          <w:bCs/>
        </w:rPr>
        <w:t>]</w:t>
      </w:r>
      <w:r w:rsidR="00D70ECC">
        <w:rPr>
          <w:bCs/>
        </w:rPr>
        <w:t xml:space="preserve"> T</w:t>
      </w:r>
      <w:r w:rsidR="006463C8">
        <w:t xml:space="preserve">iesa </w:t>
      </w:r>
      <w:r w:rsidR="00DB6DD3">
        <w:t>ir novērtēju</w:t>
      </w:r>
      <w:r w:rsidR="00D70ECC">
        <w:t>si</w:t>
      </w:r>
      <w:r w:rsidR="00D31428">
        <w:t xml:space="preserve"> katru</w:t>
      </w:r>
      <w:r w:rsidR="00DB6DD3">
        <w:t xml:space="preserve"> strīdus publikācij</w:t>
      </w:r>
      <w:r w:rsidR="00D31428">
        <w:t>u</w:t>
      </w:r>
      <w:r w:rsidR="00D70ECC">
        <w:t xml:space="preserve"> un tad </w:t>
      </w:r>
      <w:r w:rsidR="00DB6DD3">
        <w:t>secin</w:t>
      </w:r>
      <w:r w:rsidR="00D70ECC">
        <w:t>ājusi</w:t>
      </w:r>
      <w:r w:rsidR="00DB6DD3">
        <w:t>, ka informācija</w:t>
      </w:r>
      <w:r w:rsidR="00DB6DD3" w:rsidRPr="003A72C8">
        <w:t xml:space="preserve"> par bezrecepšu un recepšu </w:t>
      </w:r>
      <w:r w:rsidR="00DB6DD3">
        <w:t>zālēm</w:t>
      </w:r>
      <w:r w:rsidR="00DB6DD3" w:rsidRPr="003A72C8">
        <w:t xml:space="preserve"> ir vērsta uz to, lai veicinātu konkrēto preču popularitāti un pieprasījumu pēc tām. </w:t>
      </w:r>
      <w:r w:rsidR="00D70ECC">
        <w:t>T</w:t>
      </w:r>
      <w:r w:rsidR="009766F5">
        <w:t>iesa atzinusi, ka</w:t>
      </w:r>
      <w:r w:rsidR="009766F5" w:rsidRPr="00BE1448">
        <w:t xml:space="preserve"> publicētās</w:t>
      </w:r>
      <w:r w:rsidR="009766F5">
        <w:t xml:space="preserve"> </w:t>
      </w:r>
      <w:r w:rsidR="009766F5" w:rsidRPr="00BE1448">
        <w:t>informācijas saturs</w:t>
      </w:r>
      <w:r w:rsidR="00EE0B30">
        <w:t xml:space="preserve"> un</w:t>
      </w:r>
      <w:r w:rsidR="009766F5" w:rsidRPr="00BE1448">
        <w:t xml:space="preserve"> tās pasniegšanas veids veicina un ietekmē patērētāja izvēli par labu tieši strīdus</w:t>
      </w:r>
      <w:r w:rsidR="009766F5">
        <w:t xml:space="preserve"> </w:t>
      </w:r>
      <w:r w:rsidR="009766F5" w:rsidRPr="00BE1448">
        <w:t>publikācijās norādītajām zālēm</w:t>
      </w:r>
      <w:r w:rsidR="009766F5">
        <w:t xml:space="preserve">. </w:t>
      </w:r>
      <w:r w:rsidR="00DB6DD3" w:rsidRPr="003A72C8">
        <w:t>Strīdus publikācijās attiecīgās zāles iesaka lietot konkrētu saslimšanu vai</w:t>
      </w:r>
      <w:r w:rsidR="00DB6DD3">
        <w:t xml:space="preserve"> </w:t>
      </w:r>
      <w:r w:rsidR="00DB6DD3" w:rsidRPr="003A72C8">
        <w:t>veselības traucējumu gadījumā, to iesaka veselības aprūpes darbinieki vai arī tādas personas, kuras</w:t>
      </w:r>
      <w:r w:rsidR="00DB6DD3">
        <w:t xml:space="preserve"> </w:t>
      </w:r>
      <w:r w:rsidR="00DB6DD3" w:rsidRPr="003A72C8">
        <w:t xml:space="preserve">savas popularitātes dēļ varētu veicināt zāļu lietošanu. </w:t>
      </w:r>
      <w:r w:rsidR="006463C8">
        <w:t>Pieteicēja šos secinājum</w:t>
      </w:r>
      <w:r w:rsidR="00CD5482">
        <w:t>u</w:t>
      </w:r>
      <w:r w:rsidR="006463C8">
        <w:t xml:space="preserve">s neapšauba, taču </w:t>
      </w:r>
      <w:r w:rsidR="00D31428">
        <w:t xml:space="preserve">vērš </w:t>
      </w:r>
      <w:r w:rsidR="006463C8">
        <w:t>iebildum</w:t>
      </w:r>
      <w:r w:rsidR="00CD5482">
        <w:t>u</w:t>
      </w:r>
      <w:r w:rsidR="006463C8">
        <w:t>s pret inspekcijas un tiesas veikto strīdus publikāciju nolūka izvērtējumu ar apsvērumu, ka pieteicējai nav bijis no</w:t>
      </w:r>
      <w:r w:rsidR="00D31428">
        <w:t>lūks</w:t>
      </w:r>
      <w:r w:rsidR="006463C8">
        <w:t xml:space="preserve"> reklamēt strīdus publikācijās norādītās zāles</w:t>
      </w:r>
      <w:r w:rsidR="00D357B2">
        <w:rPr>
          <w:bCs/>
        </w:rPr>
        <w:t>.</w:t>
      </w:r>
    </w:p>
    <w:p w14:paraId="78DA3B29" w14:textId="158F6FF0" w:rsidR="0012635A" w:rsidRDefault="00DB6DD3" w:rsidP="00A06E81">
      <w:pPr>
        <w:spacing w:line="276" w:lineRule="auto"/>
        <w:ind w:firstLine="567"/>
        <w:jc w:val="both"/>
      </w:pPr>
      <w:r>
        <w:rPr>
          <w:bCs/>
        </w:rPr>
        <w:t xml:space="preserve">Senāts </w:t>
      </w:r>
      <w:r w:rsidR="00CD5482">
        <w:rPr>
          <w:bCs/>
        </w:rPr>
        <w:t>atzīst</w:t>
      </w:r>
      <w:r>
        <w:rPr>
          <w:bCs/>
        </w:rPr>
        <w:t xml:space="preserve">, ka </w:t>
      </w:r>
      <w:r w:rsidR="009766F5">
        <w:rPr>
          <w:bCs/>
        </w:rPr>
        <w:t>apgabaltiesa ir pareizi atzinusi, ka publikācijās ietverto ziņu mērķis ir</w:t>
      </w:r>
      <w:r>
        <w:t xml:space="preserve"> </w:t>
      </w:r>
      <w:r>
        <w:rPr>
          <w:bCs/>
        </w:rPr>
        <w:t xml:space="preserve">informēt sabiedrību par zāļu lietošanu, </w:t>
      </w:r>
      <w:r w:rsidRPr="00BC7424">
        <w:rPr>
          <w:bCs/>
        </w:rPr>
        <w:t xml:space="preserve">lai </w:t>
      </w:r>
      <w:r w:rsidR="00D31428">
        <w:rPr>
          <w:bCs/>
        </w:rPr>
        <w:t>veicinātu</w:t>
      </w:r>
      <w:r w:rsidRPr="00BC7424">
        <w:rPr>
          <w:bCs/>
        </w:rPr>
        <w:t xml:space="preserve"> zāļu</w:t>
      </w:r>
      <w:r w:rsidR="00D31428">
        <w:rPr>
          <w:bCs/>
        </w:rPr>
        <w:t xml:space="preserve"> izrakstīšanu,</w:t>
      </w:r>
      <w:r w:rsidRPr="00BC7424">
        <w:rPr>
          <w:bCs/>
        </w:rPr>
        <w:t xml:space="preserve"> pir</w:t>
      </w:r>
      <w:r w:rsidR="00D31428">
        <w:rPr>
          <w:bCs/>
        </w:rPr>
        <w:t>kšanu</w:t>
      </w:r>
      <w:r w:rsidR="006444AF">
        <w:rPr>
          <w:bCs/>
        </w:rPr>
        <w:t xml:space="preserve"> vai patēriņu</w:t>
      </w:r>
      <w:r w:rsidR="009766F5">
        <w:rPr>
          <w:bCs/>
        </w:rPr>
        <w:t xml:space="preserve">. </w:t>
      </w:r>
      <w:r w:rsidR="00CD5482" w:rsidRPr="006B66F2">
        <w:t xml:space="preserve">Kā secināms no </w:t>
      </w:r>
      <w:r w:rsidR="001647E3" w:rsidRPr="006B66F2">
        <w:t xml:space="preserve">pārsūdzētā </w:t>
      </w:r>
      <w:r w:rsidR="00CD5482" w:rsidRPr="006B66F2">
        <w:t>sprieduma</w:t>
      </w:r>
      <w:r w:rsidR="00CD5482">
        <w:t xml:space="preserve">, iestādes </w:t>
      </w:r>
      <w:r w:rsidR="009766F5">
        <w:t>lēmums pamatots ar inspekcijas amatpersonas sastādītajiem kontroles aktiem, kuros sniegts detalizēts</w:t>
      </w:r>
      <w:r w:rsidR="006463C8">
        <w:t xml:space="preserve"> un individuāls</w:t>
      </w:r>
      <w:r w:rsidR="009766F5">
        <w:t xml:space="preserve"> strīdus publikācij</w:t>
      </w:r>
      <w:r w:rsidR="006463C8">
        <w:t>ās ietverto izteikumu</w:t>
      </w:r>
      <w:r w:rsidR="009766F5">
        <w:t xml:space="preserve"> izvērtējums. </w:t>
      </w:r>
      <w:r w:rsidR="009766F5">
        <w:rPr>
          <w:bCs/>
        </w:rPr>
        <w:t>S</w:t>
      </w:r>
      <w:r>
        <w:rPr>
          <w:bCs/>
        </w:rPr>
        <w:t>trīdus publikācijās ir norādīti konkrēti recepšu un bezrecepšu zāļu komercnosaukumi ar to labvēlīgajām terapeitiskajām īpašībām</w:t>
      </w:r>
      <w:r w:rsidR="006463C8">
        <w:rPr>
          <w:bCs/>
        </w:rPr>
        <w:t xml:space="preserve">, </w:t>
      </w:r>
      <w:r w:rsidR="00D31428">
        <w:rPr>
          <w:bCs/>
        </w:rPr>
        <w:t xml:space="preserve">kas pārsniedz iesaiņojumā norādīto informāciju, </w:t>
      </w:r>
      <w:r w:rsidR="006463C8">
        <w:rPr>
          <w:bCs/>
        </w:rPr>
        <w:t>sniegti padomi to lietošanā</w:t>
      </w:r>
      <w:r w:rsidR="0022168D">
        <w:rPr>
          <w:bCs/>
        </w:rPr>
        <w:t>, tostarp ieteikum</w:t>
      </w:r>
      <w:r w:rsidR="00CD5482">
        <w:rPr>
          <w:bCs/>
        </w:rPr>
        <w:t>i</w:t>
      </w:r>
      <w:r w:rsidR="0022168D">
        <w:rPr>
          <w:bCs/>
        </w:rPr>
        <w:t xml:space="preserve"> par to dozēšanu, kas neatbilst lietošanas instrukcijā norādītajam</w:t>
      </w:r>
      <w:r w:rsidR="00EE0B30">
        <w:rPr>
          <w:bCs/>
        </w:rPr>
        <w:t>,</w:t>
      </w:r>
      <w:r w:rsidR="0022168D">
        <w:rPr>
          <w:bCs/>
        </w:rPr>
        <w:t xml:space="preserve"> </w:t>
      </w:r>
      <w:r w:rsidR="006463C8">
        <w:rPr>
          <w:bCs/>
        </w:rPr>
        <w:t xml:space="preserve">un </w:t>
      </w:r>
      <w:r w:rsidR="0022168D">
        <w:rPr>
          <w:bCs/>
        </w:rPr>
        <w:t xml:space="preserve">medicīnas personu </w:t>
      </w:r>
      <w:r w:rsidR="006463C8">
        <w:rPr>
          <w:bCs/>
        </w:rPr>
        <w:t xml:space="preserve">izteikti </w:t>
      </w:r>
      <w:r w:rsidR="00D31428">
        <w:rPr>
          <w:bCs/>
        </w:rPr>
        <w:t>zāļu</w:t>
      </w:r>
      <w:r w:rsidR="006463C8">
        <w:rPr>
          <w:bCs/>
        </w:rPr>
        <w:t xml:space="preserve"> iedarbīgumu</w:t>
      </w:r>
      <w:r w:rsidR="003F2E0B">
        <w:rPr>
          <w:bCs/>
        </w:rPr>
        <w:t xml:space="preserve"> un drošību</w:t>
      </w:r>
      <w:r w:rsidR="006463C8">
        <w:rPr>
          <w:bCs/>
        </w:rPr>
        <w:t xml:space="preserve"> slavinoši epiteti</w:t>
      </w:r>
      <w:r w:rsidR="009766F5">
        <w:rPr>
          <w:bCs/>
        </w:rPr>
        <w:t xml:space="preserve">. </w:t>
      </w:r>
      <w:r w:rsidR="006444AF">
        <w:rPr>
          <w:bCs/>
        </w:rPr>
        <w:t>Šīs pazīmes</w:t>
      </w:r>
      <w:r>
        <w:rPr>
          <w:bCs/>
        </w:rPr>
        <w:t xml:space="preserve"> norāda</w:t>
      </w:r>
      <w:r w:rsidR="0012635A">
        <w:rPr>
          <w:bCs/>
        </w:rPr>
        <w:t xml:space="preserve">, ka </w:t>
      </w:r>
      <w:r w:rsidR="006444AF">
        <w:rPr>
          <w:bCs/>
        </w:rPr>
        <w:t>izteikumu</w:t>
      </w:r>
      <w:r w:rsidR="0012635A">
        <w:rPr>
          <w:bCs/>
        </w:rPr>
        <w:t xml:space="preserve"> mērķis ir </w:t>
      </w:r>
      <w:r>
        <w:rPr>
          <w:bCs/>
        </w:rPr>
        <w:t>reklamēt attiecīgās zāles</w:t>
      </w:r>
      <w:r>
        <w:t>.</w:t>
      </w:r>
      <w:r w:rsidR="00451CE1">
        <w:t xml:space="preserve"> </w:t>
      </w:r>
      <w:r w:rsidR="006463C8">
        <w:t>Turklāt r</w:t>
      </w:r>
      <w:r w:rsidR="009766F5">
        <w:t>eklāmas aspekts</w:t>
      </w:r>
      <w:r w:rsidR="003767A8">
        <w:t xml:space="preserve"> </w:t>
      </w:r>
      <w:r w:rsidR="009766F5">
        <w:t xml:space="preserve">šāda veida izpausmēs izpaužas </w:t>
      </w:r>
      <w:r w:rsidR="006463C8">
        <w:t xml:space="preserve">jau </w:t>
      </w:r>
      <w:r w:rsidR="009766F5">
        <w:t xml:space="preserve">tādējādi, ka informācija par zālēm tiek prezentēta </w:t>
      </w:r>
      <w:r w:rsidR="009766F5" w:rsidRPr="00DA2591">
        <w:t>atlasī</w:t>
      </w:r>
      <w:r w:rsidR="009766F5">
        <w:t>tā</w:t>
      </w:r>
      <w:r w:rsidR="009766F5" w:rsidRPr="00DA2591">
        <w:t xml:space="preserve"> vai pārstrādā</w:t>
      </w:r>
      <w:r w:rsidR="009766F5">
        <w:t xml:space="preserve">tā veidā. </w:t>
      </w:r>
    </w:p>
    <w:p w14:paraId="2952186C" w14:textId="54BEA9CA" w:rsidR="00DB6DD3" w:rsidRPr="00553750" w:rsidRDefault="009766F5" w:rsidP="00A06E81">
      <w:pPr>
        <w:spacing w:line="276" w:lineRule="auto"/>
        <w:ind w:firstLine="567"/>
        <w:jc w:val="both"/>
      </w:pPr>
      <w:r>
        <w:t>Pieteicēja nav piedāvājusi pretargumentus</w:t>
      </w:r>
      <w:r w:rsidR="00DB4104">
        <w:t>,</w:t>
      </w:r>
      <w:r>
        <w:t xml:space="preserve"> un </w:t>
      </w:r>
      <w:r w:rsidR="000717CF">
        <w:t xml:space="preserve">Senātam </w:t>
      </w:r>
      <w:r>
        <w:t xml:space="preserve">nav šaubu par to, ka </w:t>
      </w:r>
      <w:r w:rsidR="0022168D">
        <w:t>medicīnas personu</w:t>
      </w:r>
      <w:r w:rsidR="00CD5482">
        <w:t>,</w:t>
      </w:r>
      <w:r w:rsidR="00D70ECC">
        <w:t xml:space="preserve"> </w:t>
      </w:r>
      <w:r w:rsidR="0022168D">
        <w:t>j</w:t>
      </w:r>
      <w:r>
        <w:t>omas profesionāļu</w:t>
      </w:r>
      <w:r w:rsidR="003F2E0B">
        <w:t xml:space="preserve"> un </w:t>
      </w:r>
      <w:r>
        <w:t>uzticības personu</w:t>
      </w:r>
      <w:r w:rsidR="0022168D">
        <w:t xml:space="preserve"> </w:t>
      </w:r>
      <w:r>
        <w:t>izteikumi</w:t>
      </w:r>
      <w:r w:rsidR="003F2E0B">
        <w:t>,</w:t>
      </w:r>
      <w:r>
        <w:t xml:space="preserve"> jo īpaši, ka konkrētās zāles</w:t>
      </w:r>
      <w:r w:rsidRPr="00BE1448">
        <w:t xml:space="preserve"> ir </w:t>
      </w:r>
      <w:r w:rsidR="00CD5482">
        <w:t>„</w:t>
      </w:r>
      <w:r w:rsidRPr="00BE1448">
        <w:t>brīnumlīdzeklis”</w:t>
      </w:r>
      <w:r>
        <w:t>, ka konkrēt</w:t>
      </w:r>
      <w:r w:rsidR="00DB4104">
        <w:t>ā</w:t>
      </w:r>
      <w:r>
        <w:t>s</w:t>
      </w:r>
      <w:r w:rsidRPr="00BE1448">
        <w:t xml:space="preserve"> recepšu zāles </w:t>
      </w:r>
      <w:r>
        <w:t xml:space="preserve">ir </w:t>
      </w:r>
      <w:r w:rsidRPr="00BE1448">
        <w:t>attiecīgā</w:t>
      </w:r>
      <w:r w:rsidR="0022168D">
        <w:t>s</w:t>
      </w:r>
      <w:r w:rsidRPr="00BE1448">
        <w:t xml:space="preserve"> </w:t>
      </w:r>
      <w:r w:rsidR="0022168D">
        <w:t xml:space="preserve">medicīnas personas </w:t>
      </w:r>
      <w:r w:rsidRPr="00BE1448">
        <w:t>favorīts</w:t>
      </w:r>
      <w:r w:rsidR="002F344B">
        <w:t>,</w:t>
      </w:r>
      <w:r w:rsidRPr="00BE1448">
        <w:t xml:space="preserve"> </w:t>
      </w:r>
      <w:r w:rsidR="00FE446C">
        <w:t xml:space="preserve">kuram </w:t>
      </w:r>
      <w:r w:rsidR="0022168D">
        <w:t>tā</w:t>
      </w:r>
      <w:r w:rsidR="00FE446C">
        <w:t xml:space="preserve"> </w:t>
      </w:r>
      <w:r w:rsidR="00CD5482">
        <w:t>„</w:t>
      </w:r>
      <w:r w:rsidR="00FE446C">
        <w:t>arī tagad tic”</w:t>
      </w:r>
      <w:r w:rsidR="002F344B">
        <w:t>,</w:t>
      </w:r>
      <w:r w:rsidR="00FE446C">
        <w:t xml:space="preserve"> </w:t>
      </w:r>
      <w:r w:rsidRPr="00BE1448">
        <w:t xml:space="preserve">vai </w:t>
      </w:r>
      <w:r w:rsidR="007040C2">
        <w:t>ka tās ir</w:t>
      </w:r>
      <w:r w:rsidRPr="00BE1448">
        <w:t xml:space="preserve"> </w:t>
      </w:r>
      <w:r w:rsidR="00CD5482">
        <w:t>„</w:t>
      </w:r>
      <w:r w:rsidRPr="00BE1448">
        <w:t>daudzu gadu desmitu laikā pārbaudīta formula</w:t>
      </w:r>
      <w:r>
        <w:t>”</w:t>
      </w:r>
      <w:r w:rsidR="007040C2">
        <w:t>,</w:t>
      </w:r>
      <w:r>
        <w:t xml:space="preserve"> </w:t>
      </w:r>
      <w:r w:rsidR="0022168D">
        <w:t xml:space="preserve">var </w:t>
      </w:r>
      <w:r>
        <w:t>veicin</w:t>
      </w:r>
      <w:r w:rsidR="0022168D">
        <w:t>āt</w:t>
      </w:r>
      <w:r>
        <w:t xml:space="preserve"> sabiedrības uzticēšanos konkrēto zāļu efektivitātei, iedarbīgumam un drošībai un tādēļ var pamudināt tās lūgt izrakstīt vai iegādāties</w:t>
      </w:r>
      <w:r w:rsidR="000717CF">
        <w:t>, jo t</w:t>
      </w:r>
      <w:r w:rsidR="003D4193">
        <w:t>ādējādi</w:t>
      </w:r>
      <w:r>
        <w:t xml:space="preserve"> </w:t>
      </w:r>
      <w:r w:rsidR="003F2E0B">
        <w:t>personas, kurām sabiedrība uzticas to profesionāl</w:t>
      </w:r>
      <w:r w:rsidR="002F344B">
        <w:t>ā</w:t>
      </w:r>
      <w:r w:rsidR="003F2E0B">
        <w:t>s darbības vai reputācijas dēļ</w:t>
      </w:r>
      <w:r w:rsidR="00DB4104">
        <w:t>,</w:t>
      </w:r>
      <w:r w:rsidR="003F2E0B">
        <w:t xml:space="preserve"> </w:t>
      </w:r>
      <w:r>
        <w:t>izsaka paziņojumus, kas</w:t>
      </w:r>
      <w:r w:rsidR="003F2E0B">
        <w:t xml:space="preserve"> parasti</w:t>
      </w:r>
      <w:r>
        <w:t xml:space="preserve"> tiek izteikti tikai pēc tam, kad reģistrācijas procesā izvērtēti laboratoriskie pierādījumi par zāļu īpašībām un klīnisko pārbaužu rezultātiem (sk. </w:t>
      </w:r>
      <w:r w:rsidR="00AF69A2" w:rsidRPr="00AF69A2">
        <w:rPr>
          <w:i/>
          <w:iCs/>
        </w:rPr>
        <w:t>d</w:t>
      </w:r>
      <w:r w:rsidRPr="00AF69A2">
        <w:rPr>
          <w:i/>
          <w:iCs/>
        </w:rPr>
        <w:t>irektīva</w:t>
      </w:r>
      <w:r w:rsidR="00AF69A2" w:rsidRPr="00AF69A2">
        <w:rPr>
          <w:i/>
          <w:iCs/>
        </w:rPr>
        <w:t>s</w:t>
      </w:r>
      <w:r w:rsidRPr="001A658D">
        <w:rPr>
          <w:i/>
          <w:iCs/>
        </w:rPr>
        <w:t xml:space="preserve"> 2001/83/EK 1.pantā noteikto </w:t>
      </w:r>
      <w:r w:rsidR="00CD5482">
        <w:rPr>
          <w:i/>
          <w:iCs/>
        </w:rPr>
        <w:t>„</w:t>
      </w:r>
      <w:r w:rsidRPr="001A658D">
        <w:rPr>
          <w:i/>
          <w:iCs/>
        </w:rPr>
        <w:t>Sabiedrības veselības apdraudējums” definīciju</w:t>
      </w:r>
      <w:r>
        <w:rPr>
          <w:i/>
          <w:iCs/>
        </w:rPr>
        <w:t xml:space="preserve">, 90.panta </w:t>
      </w:r>
      <w:r w:rsidR="00CD5482">
        <w:rPr>
          <w:i/>
          <w:iCs/>
        </w:rPr>
        <w:t>„</w:t>
      </w:r>
      <w:r>
        <w:rPr>
          <w:i/>
          <w:iCs/>
        </w:rPr>
        <w:t>f</w:t>
      </w:r>
      <w:r w:rsidR="00CD5482">
        <w:rPr>
          <w:i/>
          <w:iCs/>
        </w:rPr>
        <w:t>”</w:t>
      </w:r>
      <w:r w:rsidR="00D70ECC">
        <w:rPr>
          <w:i/>
          <w:iCs/>
        </w:rPr>
        <w:t xml:space="preserve"> </w:t>
      </w:r>
      <w:r>
        <w:rPr>
          <w:i/>
          <w:iCs/>
        </w:rPr>
        <w:t>punktu</w:t>
      </w:r>
      <w:r>
        <w:t xml:space="preserve"> </w:t>
      </w:r>
      <w:r w:rsidRPr="001A658D">
        <w:rPr>
          <w:i/>
          <w:iCs/>
        </w:rPr>
        <w:t>un šīs direktīvas 7.</w:t>
      </w:r>
      <w:r>
        <w:rPr>
          <w:i/>
          <w:iCs/>
        </w:rPr>
        <w:t>,</w:t>
      </w:r>
      <w:r w:rsidRPr="001A658D">
        <w:rPr>
          <w:i/>
          <w:iCs/>
        </w:rPr>
        <w:t xml:space="preserve"> 12.</w:t>
      </w:r>
      <w:r>
        <w:rPr>
          <w:i/>
          <w:iCs/>
        </w:rPr>
        <w:t>, 45.</w:t>
      </w:r>
      <w:r w:rsidR="00AF69A2">
        <w:rPr>
          <w:i/>
          <w:iCs/>
        </w:rPr>
        <w:t>–</w:t>
      </w:r>
      <w:r>
        <w:rPr>
          <w:i/>
          <w:iCs/>
        </w:rPr>
        <w:t>53.</w:t>
      </w:r>
      <w:r w:rsidRPr="001A658D">
        <w:rPr>
          <w:i/>
          <w:iCs/>
        </w:rPr>
        <w:t>apsvērumu</w:t>
      </w:r>
      <w:r>
        <w:t xml:space="preserve">). Šādi izteikumi atbilst </w:t>
      </w:r>
      <w:r w:rsidR="000717CF">
        <w:t>d</w:t>
      </w:r>
      <w:r w:rsidR="000717CF" w:rsidRPr="00CB5F90">
        <w:rPr>
          <w:bCs/>
        </w:rPr>
        <w:t>irektīvas</w:t>
      </w:r>
      <w:r w:rsidR="00D70ECC">
        <w:rPr>
          <w:bCs/>
        </w:rPr>
        <w:t xml:space="preserve"> </w:t>
      </w:r>
      <w:r w:rsidR="000717CF" w:rsidRPr="00CB5F90">
        <w:rPr>
          <w:bCs/>
        </w:rPr>
        <w:t>2001/83</w:t>
      </w:r>
      <w:r>
        <w:t xml:space="preserve"> 90.panta </w:t>
      </w:r>
      <w:r w:rsidR="00CD5482">
        <w:t>„</w:t>
      </w:r>
      <w:r>
        <w:t>b</w:t>
      </w:r>
      <w:r w:rsidR="00CD5482">
        <w:t>”</w:t>
      </w:r>
      <w:r>
        <w:t xml:space="preserve"> un </w:t>
      </w:r>
      <w:r w:rsidR="00CD5482">
        <w:t>„</w:t>
      </w:r>
      <w:r>
        <w:t>f</w:t>
      </w:r>
      <w:r w:rsidR="00CD5482">
        <w:t>”</w:t>
      </w:r>
      <w:r w:rsidR="00D70ECC">
        <w:t> </w:t>
      </w:r>
      <w:r w:rsidR="0074512B">
        <w:t>apakšp</w:t>
      </w:r>
      <w:r>
        <w:t xml:space="preserve">unktam un </w:t>
      </w:r>
      <w:r w:rsidR="00CD5482">
        <w:t>n</w:t>
      </w:r>
      <w:r>
        <w:t>oteikumu Nr. 378 18.2. un 18.6.</w:t>
      </w:r>
      <w:r w:rsidR="00CD5482">
        <w:t>apakšpunkt</w:t>
      </w:r>
      <w:r>
        <w:t xml:space="preserve">am. </w:t>
      </w:r>
      <w:r w:rsidR="003F2E0B">
        <w:t>K</w:t>
      </w:r>
      <w:r>
        <w:t>onkrētu zāļu pieminēšana vien nozīmē, ka netiek nosauktas citas zāles, kas ir pieejamas Latvijas tirgū</w:t>
      </w:r>
      <w:r w:rsidR="000717CF">
        <w:t xml:space="preserve">, tostarp tādas, kuru tirdzniecības </w:t>
      </w:r>
      <w:r w:rsidR="000717CF">
        <w:lastRenderedPageBreak/>
        <w:t>atļauja</w:t>
      </w:r>
      <w:r w:rsidR="003F2E0B">
        <w:t xml:space="preserve"> vai likums</w:t>
      </w:r>
      <w:r w:rsidR="000717CF">
        <w:t xml:space="preserve"> atļauj to piedāvāšanu Latvijā</w:t>
      </w:r>
      <w:r w:rsidR="007040C2">
        <w:t>, k</w:t>
      </w:r>
      <w:r w:rsidR="00CD5482">
        <w:t>urā</w:t>
      </w:r>
      <w:r w:rsidR="007040C2">
        <w:t xml:space="preserve"> </w:t>
      </w:r>
      <w:r>
        <w:t xml:space="preserve">vai </w:t>
      </w:r>
      <w:r w:rsidR="00CD5482">
        <w:t xml:space="preserve">ir tā pati </w:t>
      </w:r>
      <w:r>
        <w:t>aktīv</w:t>
      </w:r>
      <w:r w:rsidR="00CD5482">
        <w:t>ā</w:t>
      </w:r>
      <w:r>
        <w:t xml:space="preserve"> viel</w:t>
      </w:r>
      <w:r w:rsidR="00CD5482">
        <w:t>a</w:t>
      </w:r>
      <w:r>
        <w:t>, taču tiek pārdotas ar citu komercnosaukumu</w:t>
      </w:r>
      <w:r w:rsidR="00CD5482">
        <w:t>,</w:t>
      </w:r>
      <w:r>
        <w:t xml:space="preserve"> vai </w:t>
      </w:r>
      <w:r w:rsidR="00CD5482">
        <w:t xml:space="preserve">kurās ir </w:t>
      </w:r>
      <w:r>
        <w:t>cit</w:t>
      </w:r>
      <w:r w:rsidR="00CD5482">
        <w:t>a</w:t>
      </w:r>
      <w:r>
        <w:t xml:space="preserve"> aktīv</w:t>
      </w:r>
      <w:r w:rsidR="00CD5482">
        <w:t>ā</w:t>
      </w:r>
      <w:r>
        <w:t xml:space="preserve"> viel</w:t>
      </w:r>
      <w:r w:rsidR="00CD5482">
        <w:t>a</w:t>
      </w:r>
      <w:r>
        <w:t>, taču sniedz to</w:t>
      </w:r>
      <w:r w:rsidR="00FE446C">
        <w:t xml:space="preserve"> pašu</w:t>
      </w:r>
      <w:r>
        <w:t xml:space="preserve"> terapeitisko efektu, kuras personas tādēļ</w:t>
      </w:r>
      <w:r w:rsidR="00FE446C">
        <w:t xml:space="preserve">, ka tās netiek pieminētas, </w:t>
      </w:r>
      <w:r>
        <w:t>var uzskatīt par mazāk efektīvām vai iedarbīgām.</w:t>
      </w:r>
    </w:p>
    <w:p w14:paraId="12046BDB" w14:textId="77777777" w:rsidR="00197E03" w:rsidRDefault="00197E03" w:rsidP="00A06E81">
      <w:pPr>
        <w:spacing w:line="276" w:lineRule="auto"/>
        <w:ind w:firstLine="567"/>
        <w:jc w:val="both"/>
        <w:rPr>
          <w:bCs/>
        </w:rPr>
      </w:pPr>
    </w:p>
    <w:p w14:paraId="77B85194" w14:textId="6BFA00F2" w:rsidR="006463C8" w:rsidRDefault="008E04E2" w:rsidP="00A06E81">
      <w:pPr>
        <w:spacing w:line="276" w:lineRule="auto"/>
        <w:ind w:firstLine="567"/>
        <w:jc w:val="both"/>
        <w:rPr>
          <w:bCs/>
        </w:rPr>
      </w:pPr>
      <w:r>
        <w:rPr>
          <w:bCs/>
        </w:rPr>
        <w:t>[1</w:t>
      </w:r>
      <w:r w:rsidR="00ED0AF5">
        <w:rPr>
          <w:bCs/>
        </w:rPr>
        <w:t>3</w:t>
      </w:r>
      <w:r>
        <w:rPr>
          <w:bCs/>
        </w:rPr>
        <w:t xml:space="preserve">] </w:t>
      </w:r>
      <w:r w:rsidR="00D77F5F">
        <w:rPr>
          <w:bCs/>
        </w:rPr>
        <w:t>Pieteicējas argumenti kopumā pauž uzskatu, ka strīdus publikācijas nav reklāma, jo tās ir žurnālista sagatavotas intervijas ar medicīnas personām un citām</w:t>
      </w:r>
      <w:r w:rsidR="003D4193">
        <w:rPr>
          <w:bCs/>
        </w:rPr>
        <w:t xml:space="preserve"> sabiedrībā pazīstamām</w:t>
      </w:r>
      <w:r w:rsidR="00D77F5F">
        <w:rPr>
          <w:bCs/>
        </w:rPr>
        <w:t xml:space="preserve"> </w:t>
      </w:r>
      <w:r w:rsidR="00D77F5F" w:rsidRPr="003A72C8">
        <w:t>person</w:t>
      </w:r>
      <w:r w:rsidR="00D77F5F">
        <w:t>ām</w:t>
      </w:r>
      <w:r w:rsidR="00D77F5F">
        <w:rPr>
          <w:bCs/>
        </w:rPr>
        <w:t>.</w:t>
      </w:r>
    </w:p>
    <w:p w14:paraId="55A69630" w14:textId="63ED786C" w:rsidR="00D77F5F" w:rsidRPr="00553750" w:rsidRDefault="00D77F5F" w:rsidP="00A06E81">
      <w:pPr>
        <w:spacing w:line="276" w:lineRule="auto"/>
        <w:ind w:firstLine="567"/>
        <w:jc w:val="both"/>
        <w:rPr>
          <w:bCs/>
        </w:rPr>
      </w:pPr>
      <w:r>
        <w:rPr>
          <w:bCs/>
        </w:rPr>
        <w:t xml:space="preserve">Eiropas Savienības Tiesa </w:t>
      </w:r>
      <w:r w:rsidR="007D29C9">
        <w:rPr>
          <w:bCs/>
        </w:rPr>
        <w:t>ir atzinusi</w:t>
      </w:r>
      <w:r>
        <w:rPr>
          <w:bCs/>
        </w:rPr>
        <w:t>, ka arī no zāļu ražotāja neatkarīga trešā persona var reklamēt zāles (</w:t>
      </w:r>
      <w:r w:rsidR="004E0A2F" w:rsidRPr="002B4CA2">
        <w:rPr>
          <w:i/>
          <w:iCs/>
        </w:rPr>
        <w:t>Eiropas Savienības Tiesas</w:t>
      </w:r>
      <w:r w:rsidR="004E0A2F">
        <w:rPr>
          <w:i/>
          <w:iCs/>
        </w:rPr>
        <w:t xml:space="preserve"> </w:t>
      </w:r>
      <w:r w:rsidR="004E0A2F" w:rsidRPr="002B4CA2">
        <w:rPr>
          <w:i/>
          <w:iCs/>
        </w:rPr>
        <w:t xml:space="preserve">2009.gada 2.aprīļa sprieduma lietā </w:t>
      </w:r>
      <w:r w:rsidR="007D29C9">
        <w:rPr>
          <w:i/>
          <w:iCs/>
        </w:rPr>
        <w:t>„</w:t>
      </w:r>
      <w:r w:rsidR="004E0A2F" w:rsidRPr="008B447D">
        <w:rPr>
          <w:i/>
          <w:iCs/>
        </w:rPr>
        <w:t>Damgaard</w:t>
      </w:r>
      <w:r w:rsidR="004E0A2F">
        <w:rPr>
          <w:i/>
          <w:iCs/>
        </w:rPr>
        <w:t xml:space="preserve">”, </w:t>
      </w:r>
      <w:r w:rsidR="004E0A2F" w:rsidRPr="002B4CA2">
        <w:rPr>
          <w:i/>
          <w:iCs/>
        </w:rPr>
        <w:t>C-421/07</w:t>
      </w:r>
      <w:r w:rsidR="004E0A2F">
        <w:rPr>
          <w:i/>
          <w:iCs/>
        </w:rPr>
        <w:t xml:space="preserve">, </w:t>
      </w:r>
      <w:hyperlink r:id="rId16" w:history="1">
        <w:r w:rsidR="004E0A2F" w:rsidRPr="008B447D">
          <w:rPr>
            <w:rStyle w:val="Hyperlink"/>
            <w:i/>
            <w:iCs/>
          </w:rPr>
          <w:t>ECLI:EU:C:2009:222</w:t>
        </w:r>
      </w:hyperlink>
      <w:r w:rsidR="004E0A2F">
        <w:rPr>
          <w:i/>
          <w:iCs/>
        </w:rPr>
        <w:t>,</w:t>
      </w:r>
      <w:r w:rsidR="004E0A2F" w:rsidRPr="002B4CA2">
        <w:rPr>
          <w:i/>
          <w:iCs/>
        </w:rPr>
        <w:t xml:space="preserve"> 21.punkt</w:t>
      </w:r>
      <w:r w:rsidR="007D29C9">
        <w:rPr>
          <w:i/>
          <w:iCs/>
        </w:rPr>
        <w:t>s</w:t>
      </w:r>
      <w:r>
        <w:rPr>
          <w:bCs/>
        </w:rPr>
        <w:t>). Turklāt, lai atzītu kādu ziņu par reklāmu, nav nepieciešams tas, ka tā tiek izteikta komerciālā vai industriālā kontekstā (</w:t>
      </w:r>
      <w:r w:rsidRPr="00093A93">
        <w:rPr>
          <w:bCs/>
          <w:i/>
          <w:iCs/>
        </w:rPr>
        <w:t>turpat</w:t>
      </w:r>
      <w:r>
        <w:rPr>
          <w:bCs/>
        </w:rPr>
        <w:t>).</w:t>
      </w:r>
      <w:r w:rsidRPr="00F61AD5">
        <w:rPr>
          <w:bCs/>
        </w:rPr>
        <w:t xml:space="preserve"> </w:t>
      </w:r>
      <w:r>
        <w:rPr>
          <w:bCs/>
        </w:rPr>
        <w:t xml:space="preserve">Savukārt tam, vai izteikuma autors vai publicētājs ir saistīts ar zāļu ražotājiem vai ieinteresēts konkrēto zāļu patēriņā, var būt nozīme, taču šis aspekts nav izšķirošs un jāvērtē kontekstā ar citiem apstākļiem, piemēram, konkrētās rīcības dabu un ziņas saturu </w:t>
      </w:r>
      <w:r>
        <w:t>(</w:t>
      </w:r>
      <w:r w:rsidRPr="00093A93">
        <w:rPr>
          <w:i/>
          <w:iCs/>
        </w:rPr>
        <w:t>turpat</w:t>
      </w:r>
      <w:r w:rsidRPr="00093A93">
        <w:rPr>
          <w:bCs/>
          <w:i/>
          <w:iCs/>
        </w:rPr>
        <w:t>, 24.punkt</w:t>
      </w:r>
      <w:r w:rsidR="007D29C9">
        <w:rPr>
          <w:bCs/>
          <w:i/>
          <w:iCs/>
        </w:rPr>
        <w:t>s</w:t>
      </w:r>
      <w:r>
        <w:rPr>
          <w:bCs/>
        </w:rPr>
        <w:t>). T</w:t>
      </w:r>
      <w:r w:rsidRPr="006F3AE1">
        <w:t>ādējādi</w:t>
      </w:r>
      <w:r>
        <w:t xml:space="preserve"> </w:t>
      </w:r>
      <w:r w:rsidRPr="006F3AE1">
        <w:t>trešās personas izplatīta informācija par zālēm, proti, to terapeitiskām vai profilaktiskām īpašībām var tikt uzskatīta par reklāmu š</w:t>
      </w:r>
      <w:r w:rsidR="007D29C9">
        <w:t>ā</w:t>
      </w:r>
      <w:r w:rsidRPr="006F3AE1">
        <w:t xml:space="preserve"> panta izpratnē, pat ja šī trešā persona darbojas pēc savas iniciatīvas un pilnībā juridiski un faktiski neatkarīgi no šādu zāļu ražotāja vai pārdevēja</w:t>
      </w:r>
      <w:r w:rsidR="0022168D">
        <w:t xml:space="preserve"> </w:t>
      </w:r>
      <w:r w:rsidR="007D29C9">
        <w:t>(</w:t>
      </w:r>
      <w:r>
        <w:rPr>
          <w:i/>
          <w:iCs/>
        </w:rPr>
        <w:t>turpat</w:t>
      </w:r>
      <w:r w:rsidR="00DB4104">
        <w:rPr>
          <w:i/>
          <w:iCs/>
        </w:rPr>
        <w:t>,</w:t>
      </w:r>
      <w:r>
        <w:rPr>
          <w:i/>
          <w:iCs/>
        </w:rPr>
        <w:t xml:space="preserve"> </w:t>
      </w:r>
      <w:r w:rsidRPr="00BC680F">
        <w:rPr>
          <w:i/>
          <w:iCs/>
        </w:rPr>
        <w:t>29.punkt</w:t>
      </w:r>
      <w:r w:rsidR="00AD121B">
        <w:rPr>
          <w:i/>
          <w:iCs/>
        </w:rPr>
        <w:t>s</w:t>
      </w:r>
      <w:r w:rsidR="007D29C9">
        <w:t>)</w:t>
      </w:r>
      <w:r>
        <w:t>.</w:t>
      </w:r>
      <w:r w:rsidR="0022168D" w:rsidRPr="0022168D">
        <w:rPr>
          <w:bCs/>
        </w:rPr>
        <w:t xml:space="preserve"> </w:t>
      </w:r>
      <w:r w:rsidR="0022168D">
        <w:rPr>
          <w:bCs/>
        </w:rPr>
        <w:t>Tātad tas, vai izteikuma autors vai publicētājs par tā izpaušanu ir saņēmis atlīdzību vai darbojies konkrēto zāļu ražotāju uzdevumā</w:t>
      </w:r>
      <w:r w:rsidR="00DB4104">
        <w:rPr>
          <w:bCs/>
        </w:rPr>
        <w:t>,</w:t>
      </w:r>
      <w:r w:rsidR="0022168D">
        <w:rPr>
          <w:bCs/>
        </w:rPr>
        <w:t xml:space="preserve"> nav obligāti noskaidrojams apstāklis.</w:t>
      </w:r>
    </w:p>
    <w:p w14:paraId="68FF5A9C" w14:textId="52422BD2" w:rsidR="006463C8" w:rsidRPr="00553750" w:rsidRDefault="006463C8" w:rsidP="00A06E81">
      <w:pPr>
        <w:spacing w:line="276" w:lineRule="auto"/>
        <w:ind w:firstLine="567"/>
        <w:jc w:val="both"/>
      </w:pPr>
      <w:r>
        <w:rPr>
          <w:bCs/>
        </w:rPr>
        <w:t>Atbilstoši Reklāmas likuma 12.panta otrajai daļai r</w:t>
      </w:r>
      <w:r w:rsidRPr="00676EA7">
        <w:rPr>
          <w:bCs/>
        </w:rPr>
        <w:t>eklāmas izplatītājs ir tiesīgs izplatīt reklāmu jebkādā veidā, ja tā atbilst šā likuma un citu normatīvo aktu prasībām, kā arī līgumam, kas noslēgts starp reklāmas izplatītāju un reklāmas devēju vai tā pilnvarotu personu</w:t>
      </w:r>
      <w:r w:rsidR="00DB4104">
        <w:rPr>
          <w:bCs/>
        </w:rPr>
        <w:t>. S</w:t>
      </w:r>
      <w:r>
        <w:rPr>
          <w:bCs/>
        </w:rPr>
        <w:t>avukārt š</w:t>
      </w:r>
      <w:r w:rsidR="007D29C9">
        <w:rPr>
          <w:bCs/>
        </w:rPr>
        <w:t>ā</w:t>
      </w:r>
      <w:r>
        <w:rPr>
          <w:bCs/>
        </w:rPr>
        <w:t xml:space="preserve"> panta ceturtajā daļā paredzēts, ka r</w:t>
      </w:r>
      <w:r w:rsidRPr="00676EA7">
        <w:rPr>
          <w:bCs/>
        </w:rPr>
        <w:t>eklāmas izplatītājam ir aizliegts izplatīt reklāmu, par kuras izplatīšanas aizliegumu viņš zina vai viņam vajadzēja zināt</w:t>
      </w:r>
      <w:r>
        <w:rPr>
          <w:bCs/>
        </w:rPr>
        <w:t xml:space="preserve">. Kā jau Senāts atzina iepriekš </w:t>
      </w:r>
      <w:r w:rsidRPr="006B66F2">
        <w:rPr>
          <w:bCs/>
        </w:rPr>
        <w:t>š</w:t>
      </w:r>
      <w:r w:rsidR="006B66F2" w:rsidRPr="006B66F2">
        <w:rPr>
          <w:bCs/>
        </w:rPr>
        <w:t>ā</w:t>
      </w:r>
      <w:r w:rsidRPr="006B66F2">
        <w:rPr>
          <w:bCs/>
        </w:rPr>
        <w:t xml:space="preserve"> sprieduma</w:t>
      </w:r>
      <w:r w:rsidR="00BB16DB">
        <w:rPr>
          <w:bCs/>
        </w:rPr>
        <w:t xml:space="preserve"> </w:t>
      </w:r>
      <w:r w:rsidR="00BB16DB" w:rsidRPr="00222D13">
        <w:rPr>
          <w:bCs/>
        </w:rPr>
        <w:t>7</w:t>
      </w:r>
      <w:r w:rsidRPr="00222D13">
        <w:rPr>
          <w:bCs/>
        </w:rPr>
        <w:t>.punkt</w:t>
      </w:r>
      <w:r w:rsidR="00BB16DB" w:rsidRPr="00222D13">
        <w:rPr>
          <w:bCs/>
        </w:rPr>
        <w:t>ā</w:t>
      </w:r>
      <w:r>
        <w:rPr>
          <w:bCs/>
        </w:rPr>
        <w:t xml:space="preserve">, Reklāmas likuma vispārīgie noteikumi par atbildības sadali ir attiecināmi arī </w:t>
      </w:r>
      <w:r w:rsidR="00BB16DB">
        <w:rPr>
          <w:bCs/>
        </w:rPr>
        <w:t xml:space="preserve">uz gadījumiem par </w:t>
      </w:r>
      <w:r>
        <w:rPr>
          <w:bCs/>
        </w:rPr>
        <w:t xml:space="preserve">speciālajiem reklāmas veidiem. Pieteicēja ir </w:t>
      </w:r>
      <w:r w:rsidR="00AF69BF">
        <w:rPr>
          <w:bCs/>
        </w:rPr>
        <w:t>apstrīdējusi</w:t>
      </w:r>
      <w:r>
        <w:rPr>
          <w:bCs/>
        </w:rPr>
        <w:t xml:space="preserve"> tikai to, ka </w:t>
      </w:r>
      <w:r w:rsidR="0022168D">
        <w:rPr>
          <w:bCs/>
        </w:rPr>
        <w:t xml:space="preserve">strīdus </w:t>
      </w:r>
      <w:r>
        <w:rPr>
          <w:bCs/>
        </w:rPr>
        <w:t>publikācij</w:t>
      </w:r>
      <w:r w:rsidR="00AF69BF">
        <w:rPr>
          <w:bCs/>
        </w:rPr>
        <w:t>ā</w:t>
      </w:r>
      <w:r>
        <w:rPr>
          <w:bCs/>
        </w:rPr>
        <w:t xml:space="preserve">s </w:t>
      </w:r>
      <w:r w:rsidR="00AF69BF">
        <w:rPr>
          <w:bCs/>
        </w:rPr>
        <w:t>bij</w:t>
      </w:r>
      <w:r w:rsidR="00BB16DB">
        <w:rPr>
          <w:bCs/>
        </w:rPr>
        <w:t>usi</w:t>
      </w:r>
      <w:r>
        <w:rPr>
          <w:bCs/>
        </w:rPr>
        <w:t xml:space="preserve"> reklāma,</w:t>
      </w:r>
      <w:r w:rsidR="0022168D">
        <w:rPr>
          <w:bCs/>
        </w:rPr>
        <w:t xml:space="preserve"> jo tās</w:t>
      </w:r>
      <w:r w:rsidR="00BB16DB">
        <w:rPr>
          <w:bCs/>
        </w:rPr>
        <w:t xml:space="preserve"> esot </w:t>
      </w:r>
      <w:r w:rsidR="0022168D">
        <w:rPr>
          <w:bCs/>
        </w:rPr>
        <w:t>bij</w:t>
      </w:r>
      <w:r w:rsidR="00BB16DB">
        <w:rPr>
          <w:bCs/>
        </w:rPr>
        <w:t>ušas</w:t>
      </w:r>
      <w:r w:rsidR="0022168D">
        <w:rPr>
          <w:bCs/>
        </w:rPr>
        <w:t xml:space="preserve"> intervijas ar ārstiem un citiem sabiedrībā zināmiem cilvēkiem,</w:t>
      </w:r>
      <w:r>
        <w:rPr>
          <w:bCs/>
        </w:rPr>
        <w:t xml:space="preserve"> taču nav apšaubījusi to, ka</w:t>
      </w:r>
      <w:r w:rsidR="000717CF">
        <w:rPr>
          <w:bCs/>
        </w:rPr>
        <w:t>, ja tiesa atzītu, ka publikācij</w:t>
      </w:r>
      <w:r w:rsidR="00AF69BF">
        <w:rPr>
          <w:bCs/>
        </w:rPr>
        <w:t>ā</w:t>
      </w:r>
      <w:r w:rsidR="000717CF">
        <w:rPr>
          <w:bCs/>
        </w:rPr>
        <w:t xml:space="preserve">s </w:t>
      </w:r>
      <w:r w:rsidR="00AF69BF">
        <w:rPr>
          <w:bCs/>
        </w:rPr>
        <w:t>ir</w:t>
      </w:r>
      <w:r w:rsidR="000717CF">
        <w:rPr>
          <w:bCs/>
        </w:rPr>
        <w:t xml:space="preserve"> zāļu reklām</w:t>
      </w:r>
      <w:r w:rsidR="00AF69BF">
        <w:rPr>
          <w:bCs/>
        </w:rPr>
        <w:t>a</w:t>
      </w:r>
      <w:r w:rsidR="000717CF">
        <w:rPr>
          <w:bCs/>
        </w:rPr>
        <w:t xml:space="preserve">, </w:t>
      </w:r>
      <w:r>
        <w:rPr>
          <w:bCs/>
        </w:rPr>
        <w:t>tā nav atbildīga par reklāmas izplatīšan</w:t>
      </w:r>
      <w:r w:rsidR="009F2B0E">
        <w:rPr>
          <w:bCs/>
        </w:rPr>
        <w:t>as noteikumu pārkāpumiem</w:t>
      </w:r>
      <w:r>
        <w:rPr>
          <w:bCs/>
        </w:rPr>
        <w:t>.</w:t>
      </w:r>
      <w:r w:rsidR="003D4193">
        <w:rPr>
          <w:bCs/>
        </w:rPr>
        <w:t xml:space="preserve"> </w:t>
      </w:r>
      <w:r w:rsidR="0022168D">
        <w:rPr>
          <w:bCs/>
        </w:rPr>
        <w:t xml:space="preserve">Tā kā publikācijās iekļautie medicīnas personu un citu sabiedrībā pazīstamu </w:t>
      </w:r>
      <w:r w:rsidR="0022168D" w:rsidRPr="003A72C8">
        <w:t>person</w:t>
      </w:r>
      <w:r w:rsidR="0022168D">
        <w:t>u izteikumi ir atzīstami par zāļu reklāmu, pieteicēja kā reklāmas izplatītāja ir atbildīga par aizliegtas reklāmas izplatīšanu.</w:t>
      </w:r>
    </w:p>
    <w:p w14:paraId="4D7FABCB" w14:textId="46F668CF" w:rsidR="00DB6DD3" w:rsidRDefault="00DB6DD3" w:rsidP="00A06E81">
      <w:pPr>
        <w:spacing w:line="276" w:lineRule="auto"/>
        <w:ind w:firstLine="567"/>
        <w:jc w:val="both"/>
        <w:rPr>
          <w:bCs/>
        </w:rPr>
      </w:pPr>
      <w:r>
        <w:rPr>
          <w:bCs/>
        </w:rPr>
        <w:t xml:space="preserve">Senāts atzīst par pamatotu </w:t>
      </w:r>
      <w:r w:rsidR="003F5182">
        <w:rPr>
          <w:bCs/>
        </w:rPr>
        <w:t>a</w:t>
      </w:r>
      <w:r>
        <w:rPr>
          <w:bCs/>
        </w:rPr>
        <w:t>pgabaltiesas norādi, ka k</w:t>
      </w:r>
      <w:r w:rsidRPr="000D1B77">
        <w:rPr>
          <w:bCs/>
        </w:rPr>
        <w:t>atra sabiedrības indivīda veselības aprūpe ir šīs personas ārstējošā ārsta, nevis žurnālistu</w:t>
      </w:r>
      <w:r>
        <w:rPr>
          <w:bCs/>
        </w:rPr>
        <w:t xml:space="preserve"> </w:t>
      </w:r>
      <w:r w:rsidRPr="000D1B77">
        <w:rPr>
          <w:bCs/>
        </w:rPr>
        <w:t>vai plašsaziņas līdzekļu kompetencē. Tikai ārstējošais ārsts ir kompetents novērtēt katru individuālo</w:t>
      </w:r>
      <w:r>
        <w:rPr>
          <w:bCs/>
        </w:rPr>
        <w:t xml:space="preserve"> </w:t>
      </w:r>
      <w:r w:rsidRPr="000D1B77">
        <w:rPr>
          <w:bCs/>
        </w:rPr>
        <w:t>gadījumu, tostarp personas vispārējo veselības stāvokli, nepieciešamību lietot konkrēto</w:t>
      </w:r>
      <w:r>
        <w:rPr>
          <w:bCs/>
        </w:rPr>
        <w:t xml:space="preserve"> </w:t>
      </w:r>
      <w:r w:rsidRPr="000D1B77">
        <w:rPr>
          <w:bCs/>
        </w:rPr>
        <w:t>medikamentu (arī bezrecepšu), tā lietošanas devas, zāļu lietošanas ilgumu un iespējamās blaknes.</w:t>
      </w:r>
      <w:r>
        <w:rPr>
          <w:bCs/>
        </w:rPr>
        <w:t xml:space="preserve"> </w:t>
      </w:r>
      <w:r w:rsidR="007065A5">
        <w:rPr>
          <w:bCs/>
        </w:rPr>
        <w:t>Tieši m</w:t>
      </w:r>
      <w:r w:rsidRPr="000D1B77">
        <w:rPr>
          <w:bCs/>
        </w:rPr>
        <w:t>inētā iemesla dēļ ir nepamatoti plašsaziņas līdzeklī publicēt vispārējas rekomendācijas par</w:t>
      </w:r>
      <w:r>
        <w:rPr>
          <w:bCs/>
        </w:rPr>
        <w:t xml:space="preserve"> </w:t>
      </w:r>
      <w:r w:rsidRPr="000D1B77">
        <w:rPr>
          <w:bCs/>
        </w:rPr>
        <w:t>konkrētu zāļu lietošanu</w:t>
      </w:r>
      <w:r w:rsidR="0022168D">
        <w:rPr>
          <w:bCs/>
        </w:rPr>
        <w:t xml:space="preserve"> vai slavinošus apgalvojumus par konkrēto zāļu iedarbīgumu</w:t>
      </w:r>
      <w:r w:rsidRPr="000D1B77">
        <w:rPr>
          <w:bCs/>
        </w:rPr>
        <w:t>, žurnālista intervijā sniegtā informācija nedrīkst būt vērsta uz konkrētu zāļu</w:t>
      </w:r>
      <w:r>
        <w:rPr>
          <w:bCs/>
        </w:rPr>
        <w:t xml:space="preserve"> </w:t>
      </w:r>
      <w:r w:rsidRPr="000D1B77">
        <w:rPr>
          <w:bCs/>
        </w:rPr>
        <w:t>lietošanas un pirkšanas veicināšanu (kā to paskaidro pieteicēja), uz kuru</w:t>
      </w:r>
      <w:r>
        <w:rPr>
          <w:bCs/>
        </w:rPr>
        <w:t xml:space="preserve"> </w:t>
      </w:r>
      <w:r w:rsidRPr="000D1B77">
        <w:rPr>
          <w:bCs/>
        </w:rPr>
        <w:t xml:space="preserve">attiecas </w:t>
      </w:r>
      <w:r w:rsidR="00AF69BF">
        <w:rPr>
          <w:bCs/>
        </w:rPr>
        <w:t>n</w:t>
      </w:r>
      <w:r w:rsidR="0074512B">
        <w:t xml:space="preserve">oteikumu Nr. 378 </w:t>
      </w:r>
      <w:r w:rsidRPr="000D1B77">
        <w:rPr>
          <w:bCs/>
        </w:rPr>
        <w:t>norādītie ierobežojumi</w:t>
      </w:r>
      <w:r w:rsidR="0074512B">
        <w:rPr>
          <w:bCs/>
        </w:rPr>
        <w:t xml:space="preserve"> un prasības</w:t>
      </w:r>
      <w:r w:rsidR="003D4193">
        <w:rPr>
          <w:bCs/>
        </w:rPr>
        <w:t>.</w:t>
      </w:r>
      <w:r w:rsidR="003D4193" w:rsidRPr="003D4193">
        <w:rPr>
          <w:bCs/>
        </w:rPr>
        <w:t xml:space="preserve"> </w:t>
      </w:r>
    </w:p>
    <w:p w14:paraId="676985E9" w14:textId="77777777" w:rsidR="00D76D43" w:rsidRDefault="00D76D43" w:rsidP="00A06E81">
      <w:pPr>
        <w:spacing w:line="276" w:lineRule="auto"/>
        <w:ind w:firstLine="567"/>
        <w:jc w:val="both"/>
      </w:pPr>
    </w:p>
    <w:p w14:paraId="0606EC5D" w14:textId="0FE9D664" w:rsidR="00A10A1F" w:rsidRDefault="00B005E0" w:rsidP="00A06E81">
      <w:pPr>
        <w:spacing w:line="276" w:lineRule="auto"/>
        <w:ind w:firstLine="567"/>
        <w:jc w:val="both"/>
      </w:pPr>
      <w:r>
        <w:lastRenderedPageBreak/>
        <w:t>[1</w:t>
      </w:r>
      <w:r w:rsidR="00ED0AF5">
        <w:t>4</w:t>
      </w:r>
      <w:r>
        <w:t xml:space="preserve">] </w:t>
      </w:r>
      <w:r w:rsidR="00D30CC0">
        <w:t>Senāts nepiekrīt kasācijas sūdzībā norādītajam argumentam, ka</w:t>
      </w:r>
      <w:r w:rsidR="004A2DA2">
        <w:t xml:space="preserve"> </w:t>
      </w:r>
      <w:r w:rsidR="00A10A1F" w:rsidRPr="000A0C55">
        <w:t>bez strīdus publikāciju tapšanā</w:t>
      </w:r>
      <w:r w:rsidR="00A10A1F">
        <w:t xml:space="preserve"> </w:t>
      </w:r>
      <w:r w:rsidR="00A10A1F" w:rsidRPr="000A0C55">
        <w:t xml:space="preserve">iesaistītu personu liecību iegūšanas un izvērtēšanas </w:t>
      </w:r>
      <w:r w:rsidR="004A2DA2">
        <w:t>nav</w:t>
      </w:r>
      <w:r w:rsidR="00A10A1F" w:rsidRPr="000A0C55">
        <w:t xml:space="preserve"> iespējams secināt, ka strīdus</w:t>
      </w:r>
      <w:r w:rsidR="00A10A1F">
        <w:t xml:space="preserve"> </w:t>
      </w:r>
      <w:r w:rsidR="00A10A1F" w:rsidRPr="000A0C55">
        <w:t>publikācijās ietvertais vēstījums ir bijis vērsts uz to, lai veicinātu attiecīgo zāļu iegādi</w:t>
      </w:r>
      <w:r w:rsidR="00A10A1F">
        <w:t xml:space="preserve"> </w:t>
      </w:r>
      <w:r w:rsidR="00A10A1F" w:rsidRPr="000A0C55">
        <w:t>un patērēšanu</w:t>
      </w:r>
      <w:r w:rsidR="00A10A1F">
        <w:t>.</w:t>
      </w:r>
    </w:p>
    <w:p w14:paraId="2345C49E" w14:textId="43789DB4" w:rsidR="00A10A1F" w:rsidRDefault="000B015A" w:rsidP="00A06E81">
      <w:pPr>
        <w:spacing w:line="276" w:lineRule="auto"/>
        <w:ind w:firstLine="567"/>
        <w:jc w:val="both"/>
      </w:pPr>
      <w:r>
        <w:rPr>
          <w:bCs/>
        </w:rPr>
        <w:t>Ievērojot iepriekš minēto, š</w:t>
      </w:r>
      <w:r w:rsidRPr="000B015A">
        <w:rPr>
          <w:bCs/>
        </w:rPr>
        <w:t xml:space="preserve">ajā gadījumā </w:t>
      </w:r>
      <w:r>
        <w:rPr>
          <w:bCs/>
        </w:rPr>
        <w:t xml:space="preserve">nav vērtējams personas subjektīvais nodoms, bet gan </w:t>
      </w:r>
      <w:r w:rsidR="00BF189E">
        <w:rPr>
          <w:bCs/>
        </w:rPr>
        <w:t>objektīvu pazīmju kopum</w:t>
      </w:r>
      <w:r>
        <w:rPr>
          <w:bCs/>
        </w:rPr>
        <w:t>s</w:t>
      </w:r>
      <w:r w:rsidR="00805B3B">
        <w:rPr>
          <w:bCs/>
        </w:rPr>
        <w:t xml:space="preserve"> par izteikumā ietvertās ziņas dabu</w:t>
      </w:r>
      <w:r w:rsidR="003C765A">
        <w:rPr>
          <w:bCs/>
        </w:rPr>
        <w:t xml:space="preserve">. </w:t>
      </w:r>
      <w:r>
        <w:rPr>
          <w:bCs/>
        </w:rPr>
        <w:t>T</w:t>
      </w:r>
      <w:r w:rsidR="00402277">
        <w:t xml:space="preserve">iesa </w:t>
      </w:r>
      <w:r>
        <w:t xml:space="preserve">pārsūdzētajā spriedumā </w:t>
      </w:r>
      <w:r w:rsidR="00402277">
        <w:t>pamatoti atzinusi, ka, ņ</w:t>
      </w:r>
      <w:r w:rsidR="00402277" w:rsidRPr="00402277">
        <w:t>emot vērā, ka nolūks var būt arī slēpts (apzināti vai neapzināti), pieteicēja kļūdaini</w:t>
      </w:r>
      <w:r w:rsidR="00402277">
        <w:t xml:space="preserve"> </w:t>
      </w:r>
      <w:r w:rsidR="00402277" w:rsidRPr="00402277">
        <w:t>uzskata, ka galvenā nozīme būtu jāpiešķir iesaistīto personu (pašas pieteicējas, žurnālistu, intervēto</w:t>
      </w:r>
      <w:r w:rsidR="00402277">
        <w:t xml:space="preserve"> </w:t>
      </w:r>
      <w:r w:rsidR="00402277" w:rsidRPr="00402277">
        <w:t xml:space="preserve">personu) viedoklim par to, kāds bija viņu </w:t>
      </w:r>
      <w:r w:rsidR="00805B3B" w:rsidRPr="00402277">
        <w:t>no</w:t>
      </w:r>
      <w:r w:rsidR="00805B3B">
        <w:t>doms</w:t>
      </w:r>
      <w:r w:rsidR="00402277" w:rsidRPr="00402277">
        <w:t>, veidojot un publicējot strīdus publikācijas. Tāda pieeja būtu pretrunā ar piemērojam</w:t>
      </w:r>
      <w:r>
        <w:t>o</w:t>
      </w:r>
      <w:r w:rsidR="00402277" w:rsidRPr="00402277">
        <w:t xml:space="preserve"> tiesību</w:t>
      </w:r>
      <w:r w:rsidR="006807B6">
        <w:t xml:space="preserve"> </w:t>
      </w:r>
      <w:r w:rsidR="00402277" w:rsidRPr="00402277">
        <w:t>norm</w:t>
      </w:r>
      <w:r>
        <w:t>u</w:t>
      </w:r>
      <w:r w:rsidR="00402277" w:rsidRPr="00402277">
        <w:t xml:space="preserve"> jēgu un mērķi</w:t>
      </w:r>
      <w:r w:rsidR="00805B3B">
        <w:t>. K</w:t>
      </w:r>
      <w:r w:rsidR="007065A5">
        <w:t>onkrēto personu motivācija vai nodoms, tāpat kā attiecības ar konkrēto zāļu ražotājiem vai tirgotājiem, lai gan var būt nozīmīgs, nav izšķirošs</w:t>
      </w:r>
      <w:r w:rsidR="00805B3B">
        <w:t xml:space="preserve"> </w:t>
      </w:r>
      <w:r w:rsidR="007040C2">
        <w:t>apstāklis un tādēļ pierādījum</w:t>
      </w:r>
      <w:r w:rsidR="009F2B0E">
        <w:t>i</w:t>
      </w:r>
      <w:r w:rsidR="007040C2">
        <w:t xml:space="preserve"> par šādu attiecību</w:t>
      </w:r>
      <w:r w:rsidR="009F2B0E">
        <w:t xml:space="preserve"> esību vai neesību,</w:t>
      </w:r>
      <w:r w:rsidR="007040C2">
        <w:t xml:space="preserve"> tāpat kā konkrēto personu nodomiem</w:t>
      </w:r>
      <w:r w:rsidR="009F2B0E">
        <w:t>,</w:t>
      </w:r>
      <w:r w:rsidR="007040C2">
        <w:t xml:space="preserve"> nav nepieciešami</w:t>
      </w:r>
      <w:r w:rsidR="007065A5">
        <w:t>, lai atzītu kādu izteikumu par zāļu reklāmu</w:t>
      </w:r>
      <w:r w:rsidR="006807B6">
        <w:t>. Līdz ar to</w:t>
      </w:r>
      <w:r w:rsidR="00F9017A" w:rsidRPr="00F9017A">
        <w:t xml:space="preserve"> apstāklis, ka pieteicēja noliedz </w:t>
      </w:r>
      <w:r w:rsidR="007040C2" w:rsidRPr="00F9017A">
        <w:t>no</w:t>
      </w:r>
      <w:r w:rsidR="007040C2">
        <w:t xml:space="preserve">domu </w:t>
      </w:r>
      <w:r w:rsidR="00F9017A" w:rsidRPr="00F9017A">
        <w:t>reklamēt publikācijās minētās preces</w:t>
      </w:r>
      <w:r w:rsidR="009F2B0E">
        <w:t xml:space="preserve"> un lietā nav </w:t>
      </w:r>
      <w:r w:rsidR="00FE446C">
        <w:t>vērtēt</w:t>
      </w:r>
      <w:r w:rsidR="00915066">
        <w:t>a</w:t>
      </w:r>
      <w:r w:rsidR="009F2B0E">
        <w:t xml:space="preserve"> konkrēto personu vai pieteicējas saistīb</w:t>
      </w:r>
      <w:r w:rsidR="00FE446C">
        <w:t>a</w:t>
      </w:r>
      <w:r w:rsidR="009F2B0E">
        <w:t xml:space="preserve"> ar zāļu ražotājiem vai to pilnvarotajām personām</w:t>
      </w:r>
      <w:r w:rsidR="00F9017A" w:rsidRPr="00F9017A">
        <w:t xml:space="preserve">, nemaina </w:t>
      </w:r>
      <w:r w:rsidR="003A4CD4">
        <w:t xml:space="preserve">ne kompetentās iestādes, ne </w:t>
      </w:r>
      <w:r w:rsidR="00F9017A" w:rsidRPr="00F9017A">
        <w:t xml:space="preserve">tiesas secinājumu pamatotību. </w:t>
      </w:r>
    </w:p>
    <w:p w14:paraId="56970F49" w14:textId="77777777" w:rsidR="00A10A1F" w:rsidRDefault="00A10A1F" w:rsidP="00A06E81">
      <w:pPr>
        <w:spacing w:line="276" w:lineRule="auto"/>
        <w:ind w:firstLine="567"/>
        <w:jc w:val="both"/>
      </w:pPr>
    </w:p>
    <w:p w14:paraId="369732B4" w14:textId="7DC42D32" w:rsidR="006F0D20" w:rsidRPr="00553750" w:rsidRDefault="006F0D20" w:rsidP="00A06E81">
      <w:pPr>
        <w:spacing w:line="276" w:lineRule="auto"/>
        <w:jc w:val="center"/>
        <w:rPr>
          <w:b/>
          <w:bCs/>
        </w:rPr>
      </w:pPr>
      <w:r w:rsidRPr="00553750">
        <w:rPr>
          <w:b/>
          <w:bCs/>
        </w:rPr>
        <w:t>II</w:t>
      </w:r>
    </w:p>
    <w:p w14:paraId="65C8D70D" w14:textId="5F880FEC" w:rsidR="006F0D20" w:rsidRDefault="00634043" w:rsidP="00A06E81">
      <w:pPr>
        <w:spacing w:line="276" w:lineRule="auto"/>
        <w:jc w:val="center"/>
        <w:rPr>
          <w:i/>
          <w:iCs/>
        </w:rPr>
      </w:pPr>
      <w:r w:rsidRPr="00F12953">
        <w:rPr>
          <w:i/>
          <w:iCs/>
        </w:rPr>
        <w:t xml:space="preserve">Pieteicējas tiesību uz </w:t>
      </w:r>
      <w:r w:rsidR="00EE0B30">
        <w:rPr>
          <w:i/>
          <w:iCs/>
        </w:rPr>
        <w:t>vārda (</w:t>
      </w:r>
      <w:r w:rsidR="00157DBF">
        <w:rPr>
          <w:i/>
          <w:iCs/>
        </w:rPr>
        <w:t>izpausmes</w:t>
      </w:r>
      <w:r w:rsidR="00EE0B30">
        <w:rPr>
          <w:i/>
          <w:iCs/>
        </w:rPr>
        <w:t>)</w:t>
      </w:r>
      <w:r w:rsidR="00157DBF">
        <w:rPr>
          <w:i/>
          <w:iCs/>
        </w:rPr>
        <w:t xml:space="preserve"> brīvību</w:t>
      </w:r>
      <w:r w:rsidRPr="00F12953">
        <w:rPr>
          <w:i/>
          <w:iCs/>
        </w:rPr>
        <w:t xml:space="preserve"> ierobežojuma</w:t>
      </w:r>
      <w:r w:rsidR="00F12953" w:rsidRPr="00F12953">
        <w:rPr>
          <w:i/>
          <w:iCs/>
        </w:rPr>
        <w:t xml:space="preserve"> pamatojums</w:t>
      </w:r>
    </w:p>
    <w:p w14:paraId="742764CF" w14:textId="77777777" w:rsidR="00915066" w:rsidRDefault="00915066" w:rsidP="00A06E81">
      <w:pPr>
        <w:spacing w:line="276" w:lineRule="auto"/>
        <w:jc w:val="center"/>
      </w:pPr>
    </w:p>
    <w:p w14:paraId="1C7DB8C1" w14:textId="34C4DB16" w:rsidR="00E5503E" w:rsidRDefault="006D3D52" w:rsidP="00A06E81">
      <w:pPr>
        <w:spacing w:line="276" w:lineRule="auto"/>
        <w:ind w:firstLine="567"/>
        <w:jc w:val="both"/>
      </w:pPr>
      <w:r>
        <w:rPr>
          <w:bCs/>
        </w:rPr>
        <w:t>[1</w:t>
      </w:r>
      <w:r w:rsidR="00ED0AF5">
        <w:rPr>
          <w:bCs/>
        </w:rPr>
        <w:t>5</w:t>
      </w:r>
      <w:r>
        <w:rPr>
          <w:bCs/>
        </w:rPr>
        <w:t xml:space="preserve">] </w:t>
      </w:r>
      <w:r w:rsidR="00571436">
        <w:t>Pieteicēja norād</w:t>
      </w:r>
      <w:r w:rsidR="00D70ECC">
        <w:t>a</w:t>
      </w:r>
      <w:r w:rsidR="00571436">
        <w:t xml:space="preserve">, ka </w:t>
      </w:r>
      <w:r w:rsidR="00222D13">
        <w:t xml:space="preserve">pārsūdzētajā </w:t>
      </w:r>
      <w:r w:rsidR="00571436">
        <w:t>s</w:t>
      </w:r>
      <w:r w:rsidR="00571436" w:rsidRPr="000A1810">
        <w:t>priedum</w:t>
      </w:r>
      <w:r w:rsidR="00E5503E">
        <w:t>ā</w:t>
      </w:r>
      <w:r w:rsidR="00571436" w:rsidRPr="000A1810">
        <w:t xml:space="preserve"> </w:t>
      </w:r>
      <w:r w:rsidR="00571436" w:rsidRPr="003406F8">
        <w:t>n</w:t>
      </w:r>
      <w:r w:rsidR="00E5503E">
        <w:t>av</w:t>
      </w:r>
      <w:r w:rsidR="00571436" w:rsidRPr="003406F8">
        <w:t xml:space="preserve"> pietiekam</w:t>
      </w:r>
      <w:r w:rsidR="00E5503E">
        <w:t>a</w:t>
      </w:r>
      <w:r w:rsidR="00571436" w:rsidRPr="003406F8">
        <w:t xml:space="preserve"> pamatojum</w:t>
      </w:r>
      <w:r w:rsidR="00E5503E">
        <w:t>a</w:t>
      </w:r>
      <w:r w:rsidR="00571436">
        <w:t xml:space="preserve"> </w:t>
      </w:r>
      <w:r w:rsidR="00EE0B30">
        <w:t>vārda (</w:t>
      </w:r>
      <w:r w:rsidR="00157DBF" w:rsidRPr="00157DBF">
        <w:t>izpausmes</w:t>
      </w:r>
      <w:r w:rsidR="00EE0B30">
        <w:t>)</w:t>
      </w:r>
      <w:r w:rsidR="00157DBF" w:rsidRPr="00157DBF">
        <w:t xml:space="preserve"> brīvīb</w:t>
      </w:r>
      <w:r w:rsidR="00157DBF">
        <w:t>as</w:t>
      </w:r>
      <w:r w:rsidR="00157DBF" w:rsidRPr="00157DBF">
        <w:t xml:space="preserve"> </w:t>
      </w:r>
      <w:r w:rsidR="00571436" w:rsidRPr="003406F8">
        <w:t>ierobežošanai</w:t>
      </w:r>
      <w:r w:rsidR="00571436" w:rsidRPr="000A1810">
        <w:t xml:space="preserve"> </w:t>
      </w:r>
      <w:r w:rsidR="00571436">
        <w:t xml:space="preserve">un </w:t>
      </w:r>
      <w:r w:rsidR="00571436" w:rsidRPr="000A1810">
        <w:t xml:space="preserve">bez izvērtējuma atstāts jautājums par to, vai </w:t>
      </w:r>
      <w:r w:rsidR="00EE0B30">
        <w:t>vārda (</w:t>
      </w:r>
      <w:r w:rsidR="00157DBF" w:rsidRPr="00157DBF">
        <w:t>izpausmes</w:t>
      </w:r>
      <w:r w:rsidR="00EE0B30">
        <w:t>)</w:t>
      </w:r>
      <w:r w:rsidR="00157DBF" w:rsidRPr="00157DBF">
        <w:t xml:space="preserve"> brīv</w:t>
      </w:r>
      <w:r w:rsidR="00157DBF">
        <w:t>ības</w:t>
      </w:r>
      <w:r w:rsidR="00571436">
        <w:t xml:space="preserve"> </w:t>
      </w:r>
      <w:r w:rsidR="00571436" w:rsidRPr="000A1810">
        <w:t>ierobežojums ir noteikts ar pienācīgā kārtā pieņemtu likumu</w:t>
      </w:r>
      <w:r w:rsidR="00571436">
        <w:t xml:space="preserve">. </w:t>
      </w:r>
    </w:p>
    <w:p w14:paraId="46CFB769" w14:textId="1018A4FA" w:rsidR="00571436" w:rsidRDefault="00571436" w:rsidP="00A06E81">
      <w:pPr>
        <w:spacing w:line="276" w:lineRule="auto"/>
        <w:ind w:firstLine="567"/>
        <w:jc w:val="both"/>
      </w:pPr>
      <w:r>
        <w:t>Senāts minētajiem argumentiem nepiekrīt turpmāk norādīto apsvērumu dēļ.</w:t>
      </w:r>
    </w:p>
    <w:p w14:paraId="79B9F34B" w14:textId="29BC20CC" w:rsidR="00571436" w:rsidRDefault="00571436" w:rsidP="00A06E81">
      <w:pPr>
        <w:spacing w:line="276" w:lineRule="auto"/>
        <w:ind w:firstLine="567"/>
        <w:jc w:val="both"/>
        <w:rPr>
          <w:bCs/>
        </w:rPr>
      </w:pPr>
    </w:p>
    <w:p w14:paraId="2B7725D5" w14:textId="1C68C47F" w:rsidR="006B6E30" w:rsidRDefault="00A054AC" w:rsidP="00A06E81">
      <w:pPr>
        <w:spacing w:line="276" w:lineRule="auto"/>
        <w:ind w:firstLine="567"/>
        <w:jc w:val="both"/>
        <w:rPr>
          <w:bCs/>
        </w:rPr>
      </w:pPr>
      <w:r>
        <w:rPr>
          <w:bCs/>
        </w:rPr>
        <w:t>[1</w:t>
      </w:r>
      <w:r w:rsidR="00ED0AF5">
        <w:rPr>
          <w:bCs/>
        </w:rPr>
        <w:t>6</w:t>
      </w:r>
      <w:r>
        <w:rPr>
          <w:bCs/>
        </w:rPr>
        <w:t xml:space="preserve">] </w:t>
      </w:r>
      <w:r w:rsidR="006B6E30" w:rsidRPr="006B6E30">
        <w:rPr>
          <w:bCs/>
        </w:rPr>
        <w:t>Satversmes 100.pants paredz, ka ikvienam ir tiesības uz vārda brīvību, kas ietver arī tiesības brīvi paust savus uzskatus. Līdzīgi arī</w:t>
      </w:r>
      <w:r w:rsidR="006B6E30">
        <w:rPr>
          <w:bCs/>
        </w:rPr>
        <w:t xml:space="preserve"> </w:t>
      </w:r>
      <w:r w:rsidR="006B6E30" w:rsidRPr="006B6E30">
        <w:rPr>
          <w:bCs/>
        </w:rPr>
        <w:t xml:space="preserve">starptautiskajos cilvēktiesību </w:t>
      </w:r>
      <w:r w:rsidR="006B66F2">
        <w:rPr>
          <w:bCs/>
        </w:rPr>
        <w:t>dokum</w:t>
      </w:r>
      <w:r w:rsidR="00222D13">
        <w:rPr>
          <w:bCs/>
        </w:rPr>
        <w:t>en</w:t>
      </w:r>
      <w:r w:rsidR="006B66F2">
        <w:rPr>
          <w:bCs/>
        </w:rPr>
        <w:t>tos</w:t>
      </w:r>
      <w:r w:rsidR="006B6E30" w:rsidRPr="006B6E30">
        <w:rPr>
          <w:bCs/>
        </w:rPr>
        <w:t xml:space="preserve">, tostarp jo īpaši </w:t>
      </w:r>
      <w:r w:rsidR="00756F47">
        <w:rPr>
          <w:bCs/>
        </w:rPr>
        <w:t>K</w:t>
      </w:r>
      <w:r w:rsidR="006B6E30" w:rsidRPr="006B6E30">
        <w:rPr>
          <w:bCs/>
        </w:rPr>
        <w:t>onvencija</w:t>
      </w:r>
      <w:r w:rsidR="004E0A2F">
        <w:rPr>
          <w:bCs/>
        </w:rPr>
        <w:t>s</w:t>
      </w:r>
      <w:r w:rsidR="006B6E30">
        <w:rPr>
          <w:bCs/>
        </w:rPr>
        <w:t xml:space="preserve"> </w:t>
      </w:r>
      <w:r w:rsidR="006B6E30" w:rsidRPr="006B6E30">
        <w:rPr>
          <w:bCs/>
        </w:rPr>
        <w:t>10.pantā</w:t>
      </w:r>
      <w:r w:rsidR="00222D13">
        <w:rPr>
          <w:bCs/>
        </w:rPr>
        <w:t>,</w:t>
      </w:r>
      <w:r w:rsidR="006B6E30" w:rsidRPr="006B6E30">
        <w:rPr>
          <w:bCs/>
        </w:rPr>
        <w:t xml:space="preserve"> ietvertas ikviena tiesības brīvi paust savus uzskatus.</w:t>
      </w:r>
    </w:p>
    <w:p w14:paraId="1CCE514A" w14:textId="67AB8B7F" w:rsidR="00FB50DC" w:rsidRDefault="00FB50DC" w:rsidP="00A06E81">
      <w:pPr>
        <w:spacing w:line="276" w:lineRule="auto"/>
        <w:ind w:firstLine="567"/>
        <w:jc w:val="both"/>
        <w:rPr>
          <w:bCs/>
        </w:rPr>
      </w:pPr>
      <w:r>
        <w:rPr>
          <w:bCs/>
        </w:rPr>
        <w:t xml:space="preserve">Atbilstoši </w:t>
      </w:r>
      <w:r w:rsidR="006448A8">
        <w:rPr>
          <w:bCs/>
        </w:rPr>
        <w:t xml:space="preserve">Satversmes </w:t>
      </w:r>
      <w:r>
        <w:rPr>
          <w:bCs/>
        </w:rPr>
        <w:t>116.pantam personas tiesības</w:t>
      </w:r>
      <w:r w:rsidR="003D2064">
        <w:rPr>
          <w:bCs/>
        </w:rPr>
        <w:t xml:space="preserve">, kas tostarp noteiktas Satversmes 100.pantā, </w:t>
      </w:r>
      <w:r w:rsidRPr="00FB50DC">
        <w:rPr>
          <w:bCs/>
        </w:rPr>
        <w:t>var ierobežot likumā paredzētajos gadījumos, lai aizsargātu citu cilvēku tiesības, demokrātisko valsts iekārtu, sabiedrības drošību, labklājību un tikumību</w:t>
      </w:r>
      <w:r w:rsidR="003D2064">
        <w:rPr>
          <w:bCs/>
        </w:rPr>
        <w:t>.</w:t>
      </w:r>
      <w:r w:rsidR="00756F47">
        <w:rPr>
          <w:bCs/>
        </w:rPr>
        <w:t xml:space="preserve"> Arī Konvencijas 10.panta</w:t>
      </w:r>
      <w:r w:rsidR="00092302">
        <w:rPr>
          <w:bCs/>
        </w:rPr>
        <w:t xml:space="preserve"> otrajā daļā noteikts, ka</w:t>
      </w:r>
      <w:r w:rsidR="00E5503E">
        <w:rPr>
          <w:bCs/>
        </w:rPr>
        <w:t>,</w:t>
      </w:r>
      <w:r w:rsidR="00092302">
        <w:rPr>
          <w:bCs/>
        </w:rPr>
        <w:t xml:space="preserve"> t</w:t>
      </w:r>
      <w:r w:rsidR="00092302" w:rsidRPr="00092302">
        <w:rPr>
          <w:bCs/>
        </w:rPr>
        <w:t>ā kā šo brīvību īstenošana ir saistīta ar pienākumiem un atbildību, tā var tikt pakļauta tādām prasībām, nosacījumiem, ierobežojumiem vai sodiem, kas paredzēti likumā un nepieciešami demokrātiskā sabiedrībā, lai aizsargātu valsts drošības, teritoriālās vienotības vai sabiedriskās drošības intereses, nepieļautu nekārtības vai noziedzīgus nodarījumus, aizsargātu veselību vai tikumību, aizsargātu citu cilvēku cieņu vai tiesības, nepieļautu konfidenciālas informācijas izpaušanu vai lai saglabātu tiesu varas autoritāti un objektivitāti.</w:t>
      </w:r>
    </w:p>
    <w:p w14:paraId="5FAC63FA" w14:textId="77777777" w:rsidR="00717A7A" w:rsidRDefault="00717A7A" w:rsidP="00A06E81">
      <w:pPr>
        <w:spacing w:line="276" w:lineRule="auto"/>
        <w:ind w:firstLine="567"/>
        <w:jc w:val="both"/>
        <w:rPr>
          <w:bCs/>
        </w:rPr>
      </w:pPr>
    </w:p>
    <w:p w14:paraId="164D9136" w14:textId="2E42B061" w:rsidR="00AF58A5" w:rsidRDefault="00C25E03" w:rsidP="00A06E81">
      <w:pPr>
        <w:spacing w:line="276" w:lineRule="auto"/>
        <w:ind w:firstLine="567"/>
        <w:jc w:val="both"/>
      </w:pPr>
      <w:r>
        <w:t>[1</w:t>
      </w:r>
      <w:r w:rsidR="00ED0AF5">
        <w:t>7</w:t>
      </w:r>
      <w:r>
        <w:t xml:space="preserve">] </w:t>
      </w:r>
      <w:r w:rsidR="00F15F30">
        <w:t xml:space="preserve">Lietā piemērojamās tiesību normas noteic </w:t>
      </w:r>
      <w:r w:rsidR="00720BE3">
        <w:t>recepšu zāļu</w:t>
      </w:r>
      <w:r w:rsidR="00AF58A5">
        <w:t xml:space="preserve"> reklamēšanas aizliegumu, savukārt bezrecepšu zāļu reklamēšana ir atļauta</w:t>
      </w:r>
      <w:r w:rsidR="00EE0B30">
        <w:t xml:space="preserve">, ievērojot </w:t>
      </w:r>
      <w:r w:rsidR="00AF58A5">
        <w:t>normās noteikto nosacījumu ievērošanu.</w:t>
      </w:r>
    </w:p>
    <w:p w14:paraId="7BD850DC" w14:textId="57375262" w:rsidR="00571436" w:rsidRPr="00E5503E" w:rsidRDefault="00AF58A5" w:rsidP="00A06E81">
      <w:pPr>
        <w:spacing w:line="276" w:lineRule="auto"/>
        <w:ind w:firstLine="567"/>
        <w:jc w:val="both"/>
        <w:rPr>
          <w:bCs/>
          <w:i/>
          <w:iCs/>
        </w:rPr>
      </w:pPr>
      <w:r>
        <w:lastRenderedPageBreak/>
        <w:t>Proti</w:t>
      </w:r>
      <w:r w:rsidR="00D43A71">
        <w:t xml:space="preserve">, </w:t>
      </w:r>
      <w:r w:rsidR="00E5503E">
        <w:t>n</w:t>
      </w:r>
      <w:r w:rsidR="00571436">
        <w:rPr>
          <w:bCs/>
        </w:rPr>
        <w:t>oteikumu Nr.</w:t>
      </w:r>
      <w:r w:rsidR="004E0A2F">
        <w:rPr>
          <w:bCs/>
        </w:rPr>
        <w:t> </w:t>
      </w:r>
      <w:r w:rsidR="00571436">
        <w:rPr>
          <w:bCs/>
        </w:rPr>
        <w:t xml:space="preserve">378 11.punkts paredz aizliegumu sabiedrībai reklamēt </w:t>
      </w:r>
      <w:r w:rsidR="00571436" w:rsidRPr="004714F9">
        <w:rPr>
          <w:bCs/>
        </w:rPr>
        <w:t>zāles, kuras saskaņā ar normatīvajiem aktiem par zāļu klasifikāciju ir noteiktas kā zāles, kuru lietošanai nepieciešams ārstniecības personas rakstiski noformēts norādījums</w:t>
      </w:r>
      <w:r w:rsidR="00E5503E">
        <w:rPr>
          <w:bCs/>
        </w:rPr>
        <w:t xml:space="preserve"> (</w:t>
      </w:r>
      <w:r w:rsidR="00571436" w:rsidRPr="00EB5F25">
        <w:rPr>
          <w:bCs/>
        </w:rPr>
        <w:t>11.1.</w:t>
      </w:r>
      <w:r w:rsidR="00E5503E" w:rsidRPr="00EB5F25">
        <w:rPr>
          <w:bCs/>
        </w:rPr>
        <w:t>apakšp</w:t>
      </w:r>
      <w:r w:rsidR="00571436" w:rsidRPr="00EB5F25">
        <w:rPr>
          <w:bCs/>
        </w:rPr>
        <w:t>unkts</w:t>
      </w:r>
      <w:r w:rsidR="00E113FD">
        <w:rPr>
          <w:bCs/>
        </w:rPr>
        <w:t>);</w:t>
      </w:r>
      <w:r w:rsidR="00571436">
        <w:rPr>
          <w:bCs/>
        </w:rPr>
        <w:t xml:space="preserve"> </w:t>
      </w:r>
      <w:r w:rsidR="00571436" w:rsidRPr="004714F9">
        <w:rPr>
          <w:bCs/>
        </w:rPr>
        <w:t>zāles, k</w:t>
      </w:r>
      <w:r w:rsidR="00E5503E">
        <w:rPr>
          <w:bCs/>
        </w:rPr>
        <w:t>urās ir</w:t>
      </w:r>
      <w:r w:rsidR="00571436" w:rsidRPr="004714F9">
        <w:rPr>
          <w:bCs/>
        </w:rPr>
        <w:t xml:space="preserve"> Latvijā kontrolējamās narkotiskās un psihotropās vielas, dopinga vielas, zāles, kuras Zāļu valsts aģentūra ir atzinusi par narkotiskiem analgētiskiem līdzekļiem, un zāles, kur</w:t>
      </w:r>
      <w:r w:rsidR="00E5503E">
        <w:rPr>
          <w:bCs/>
        </w:rPr>
        <w:t>ās ir</w:t>
      </w:r>
      <w:r w:rsidR="00571436" w:rsidRPr="004714F9">
        <w:rPr>
          <w:bCs/>
        </w:rPr>
        <w:t xml:space="preserve"> aktīvās vielas ar augstu farmakovigilances risku, – saskaņā ar normatīvajiem aktiem par recepšu veidlapu izgatavošanas un uzglabāšanas, kā arī recepšu izrakstīšanas un uzglabāšanas noteikumiem</w:t>
      </w:r>
      <w:r w:rsidR="00E5503E">
        <w:rPr>
          <w:bCs/>
        </w:rPr>
        <w:t xml:space="preserve"> (</w:t>
      </w:r>
      <w:r w:rsidR="00571436" w:rsidRPr="00EB5F25">
        <w:rPr>
          <w:bCs/>
        </w:rPr>
        <w:t>11.2.</w:t>
      </w:r>
      <w:r w:rsidR="00E5503E" w:rsidRPr="00EB5F25">
        <w:rPr>
          <w:bCs/>
        </w:rPr>
        <w:t>apakš</w:t>
      </w:r>
      <w:r w:rsidR="00571436" w:rsidRPr="00EB5F25">
        <w:rPr>
          <w:bCs/>
        </w:rPr>
        <w:t>punkts</w:t>
      </w:r>
      <w:r w:rsidR="00E113FD">
        <w:rPr>
          <w:bCs/>
        </w:rPr>
        <w:t>)</w:t>
      </w:r>
      <w:r w:rsidR="00571436">
        <w:rPr>
          <w:bCs/>
        </w:rPr>
        <w:t>.</w:t>
      </w:r>
      <w:r w:rsidR="00D43A71">
        <w:rPr>
          <w:bCs/>
        </w:rPr>
        <w:t xml:space="preserve"> </w:t>
      </w:r>
    </w:p>
    <w:p w14:paraId="4E45CD47" w14:textId="34D27C07" w:rsidR="00571436" w:rsidRDefault="00571436" w:rsidP="00A06E81">
      <w:pPr>
        <w:spacing w:line="276" w:lineRule="auto"/>
        <w:ind w:firstLine="567"/>
        <w:jc w:val="both"/>
        <w:rPr>
          <w:bCs/>
        </w:rPr>
      </w:pPr>
      <w:r>
        <w:rPr>
          <w:bCs/>
        </w:rPr>
        <w:t>Noteikumu Nr.</w:t>
      </w:r>
      <w:r w:rsidR="004E0A2F">
        <w:rPr>
          <w:bCs/>
        </w:rPr>
        <w:t> </w:t>
      </w:r>
      <w:r>
        <w:rPr>
          <w:bCs/>
        </w:rPr>
        <w:t xml:space="preserve">378 normas atļauj bezrecepšu zāļu reklamēšanu, </w:t>
      </w:r>
      <w:r w:rsidR="00074D52">
        <w:rPr>
          <w:bCs/>
        </w:rPr>
        <w:t xml:space="preserve">7. un 16.punktā </w:t>
      </w:r>
      <w:r>
        <w:rPr>
          <w:bCs/>
        </w:rPr>
        <w:t xml:space="preserve">paredzot nosacījumus, ka </w:t>
      </w:r>
      <w:r w:rsidRPr="004714F9">
        <w:rPr>
          <w:bCs/>
        </w:rPr>
        <w:t>reklāmā sniegtā informācija atbilst zāļu aprakstā norādītajām ziņām;</w:t>
      </w:r>
      <w:r>
        <w:rPr>
          <w:bCs/>
        </w:rPr>
        <w:t xml:space="preserve"> </w:t>
      </w:r>
      <w:r w:rsidRPr="004714F9">
        <w:rPr>
          <w:bCs/>
        </w:rPr>
        <w:t>reklāmā sniegtā informācija veicina racionālu zāļu lietošanu, ir objektīva un nepārspīlē zāļu īpašības;</w:t>
      </w:r>
      <w:r>
        <w:rPr>
          <w:bCs/>
        </w:rPr>
        <w:t xml:space="preserve"> </w:t>
      </w:r>
      <w:r w:rsidRPr="004714F9">
        <w:rPr>
          <w:bCs/>
        </w:rPr>
        <w:t>reklāma nav maldinoša;</w:t>
      </w:r>
      <w:r>
        <w:rPr>
          <w:bCs/>
        </w:rPr>
        <w:t xml:space="preserve"> s</w:t>
      </w:r>
      <w:r w:rsidRPr="00032E75">
        <w:rPr>
          <w:bCs/>
        </w:rPr>
        <w:t>abiedrībai paredzētajā zāļu reklāmā, ja tiek reklamētas konkrētas zāles, norāda vismaz šādu informāciju:</w:t>
      </w:r>
      <w:r>
        <w:rPr>
          <w:bCs/>
        </w:rPr>
        <w:t xml:space="preserve"> </w:t>
      </w:r>
      <w:r w:rsidRPr="00032E75">
        <w:rPr>
          <w:bCs/>
        </w:rPr>
        <w:t>zāļu nosaukumu, kā arī normatīvajos aktos par zāļu marķēšanas kārtību un zāļu lietošanas instrukcijai izvirzāmajām prasībām noteikto vispārīgo nosaukumu, ja zāles satur tikai vienu aktīvo vielu;</w:t>
      </w:r>
      <w:r>
        <w:rPr>
          <w:bCs/>
        </w:rPr>
        <w:t xml:space="preserve"> </w:t>
      </w:r>
      <w:r w:rsidRPr="00032E75">
        <w:rPr>
          <w:bCs/>
        </w:rPr>
        <w:t>informāciju, kas nepieciešama pareizai zāļu lietošanai;</w:t>
      </w:r>
      <w:r>
        <w:rPr>
          <w:bCs/>
        </w:rPr>
        <w:t xml:space="preserve"> </w:t>
      </w:r>
      <w:r w:rsidRPr="00032E75">
        <w:rPr>
          <w:bCs/>
        </w:rPr>
        <w:t>skaidru un salasāmu aicinājumu uzmanīgi izlasīt lietošanas instrukciju vai atbilstošu informāciju uz iepakojuma;</w:t>
      </w:r>
      <w:r>
        <w:rPr>
          <w:bCs/>
        </w:rPr>
        <w:t xml:space="preserve"> </w:t>
      </w:r>
      <w:r w:rsidRPr="00032E75">
        <w:rPr>
          <w:bCs/>
        </w:rPr>
        <w:t>aicinājumu konsultēties ar ārstu vai farmaceitu par zāļu lietošanu;</w:t>
      </w:r>
      <w:r>
        <w:rPr>
          <w:bCs/>
        </w:rPr>
        <w:t xml:space="preserve"> </w:t>
      </w:r>
      <w:r w:rsidRPr="00032E75">
        <w:rPr>
          <w:bCs/>
        </w:rPr>
        <w:t xml:space="preserve">brīdinājumu </w:t>
      </w:r>
      <w:r w:rsidR="00074D52">
        <w:rPr>
          <w:bCs/>
        </w:rPr>
        <w:t>„</w:t>
      </w:r>
      <w:r w:rsidRPr="00032E75">
        <w:rPr>
          <w:bCs/>
        </w:rPr>
        <w:t>Zāļu nepamatota lietošana ir kaitīga veselībai</w:t>
      </w:r>
      <w:r>
        <w:rPr>
          <w:bCs/>
        </w:rPr>
        <w:t>”</w:t>
      </w:r>
      <w:r w:rsidRPr="00032E75">
        <w:rPr>
          <w:bCs/>
        </w:rPr>
        <w:t>. Šāds brīdinājums aizņem ne mazāk kā 10</w:t>
      </w:r>
      <w:r>
        <w:rPr>
          <w:bCs/>
        </w:rPr>
        <w:t> </w:t>
      </w:r>
      <w:r w:rsidRPr="00032E75">
        <w:rPr>
          <w:bCs/>
        </w:rPr>
        <w:t>procentu</w:t>
      </w:r>
      <w:r w:rsidR="00222D13">
        <w:rPr>
          <w:bCs/>
        </w:rPr>
        <w:t>s</w:t>
      </w:r>
      <w:r w:rsidRPr="00032E75">
        <w:rPr>
          <w:bCs/>
        </w:rPr>
        <w:t xml:space="preserve"> no vizuālā reklāmas apjoma. Burtu izmēram jābūt tādam, lai uzraksts aizņemtu lielāko tehniski iespējamo daļu no brīdinājuma tekstam paredzētā laukuma. </w:t>
      </w:r>
    </w:p>
    <w:p w14:paraId="66E0F6A1" w14:textId="040D52EC" w:rsidR="00571436" w:rsidRDefault="00571436" w:rsidP="00A06E81">
      <w:pPr>
        <w:spacing w:line="276" w:lineRule="auto"/>
        <w:ind w:firstLine="567"/>
        <w:jc w:val="both"/>
        <w:rPr>
          <w:bCs/>
        </w:rPr>
      </w:pPr>
      <w:r>
        <w:rPr>
          <w:bCs/>
        </w:rPr>
        <w:t>Noteikumi Nr.</w:t>
      </w:r>
      <w:r w:rsidR="004E0A2F">
        <w:rPr>
          <w:bCs/>
        </w:rPr>
        <w:t> </w:t>
      </w:r>
      <w:r>
        <w:rPr>
          <w:bCs/>
        </w:rPr>
        <w:t>378 arī paredz, ka s</w:t>
      </w:r>
      <w:r w:rsidRPr="00B40C60">
        <w:rPr>
          <w:bCs/>
        </w:rPr>
        <w:t>abiedrībai paredzētajā zāļu reklāmā aizliegts iekļaut informāciju, k</w:t>
      </w:r>
      <w:r w:rsidR="00EB5F25">
        <w:rPr>
          <w:bCs/>
        </w:rPr>
        <w:t xml:space="preserve">urā ir </w:t>
      </w:r>
      <w:r w:rsidRPr="0007583B">
        <w:rPr>
          <w:bCs/>
        </w:rPr>
        <w:t>atsauc</w:t>
      </w:r>
      <w:r w:rsidR="00EB5F25">
        <w:rPr>
          <w:bCs/>
        </w:rPr>
        <w:t>e</w:t>
      </w:r>
      <w:r w:rsidRPr="0007583B">
        <w:rPr>
          <w:bCs/>
        </w:rPr>
        <w:t xml:space="preserve"> uz zinātnieku, veselības aprūpes darbinieku vai tādu personu ieteikumiem, kuras nepieder pie minētajām kategorijām, bet savas popularitātes dēļ varētu veicināt zāļu lietošanu</w:t>
      </w:r>
      <w:r>
        <w:rPr>
          <w:bCs/>
        </w:rPr>
        <w:t xml:space="preserve"> </w:t>
      </w:r>
      <w:r w:rsidRPr="00EB5F25">
        <w:rPr>
          <w:bCs/>
        </w:rPr>
        <w:t>(18.6.</w:t>
      </w:r>
      <w:r w:rsidR="00EB5F25" w:rsidRPr="00EB5F25">
        <w:rPr>
          <w:bCs/>
        </w:rPr>
        <w:t>apakš</w:t>
      </w:r>
      <w:r w:rsidRPr="00EB5F25">
        <w:rPr>
          <w:bCs/>
        </w:rPr>
        <w:t>punkts)</w:t>
      </w:r>
      <w:r w:rsidRPr="0007583B">
        <w:rPr>
          <w:bCs/>
        </w:rPr>
        <w:t>;</w:t>
      </w:r>
      <w:r>
        <w:rPr>
          <w:bCs/>
        </w:rPr>
        <w:t xml:space="preserve"> kā arī r</w:t>
      </w:r>
      <w:r w:rsidRPr="0017466F">
        <w:rPr>
          <w:bCs/>
        </w:rPr>
        <w:t>eklāmas devējs 15 dienas pirms šo noteikumu</w:t>
      </w:r>
      <w:r w:rsidR="00D70ECC">
        <w:rPr>
          <w:bCs/>
        </w:rPr>
        <w:t xml:space="preserve"> </w:t>
      </w:r>
      <w:hyperlink r:id="rId17" w:anchor="p12" w:history="1">
        <w:r w:rsidRPr="00BB1EBC">
          <w:rPr>
            <w:rStyle w:val="Hyperlink"/>
            <w:bCs/>
            <w:color w:val="auto"/>
            <w:u w:val="none"/>
          </w:rPr>
          <w:t>12.punktā</w:t>
        </w:r>
      </w:hyperlink>
      <w:r w:rsidR="00D70ECC">
        <w:t xml:space="preserve"> </w:t>
      </w:r>
      <w:r w:rsidRPr="0017466F">
        <w:rPr>
          <w:bCs/>
        </w:rPr>
        <w:t>minētās vakcinācijas kampaņas uzsākšanas iesniedz inspekcijā vakcīnas reklāmas materiālu, kas sagatavots atbilstoši šo noteikumu prasībām, ja ir saņemts Slimību profilakses un kontroles centra apstiprinājums attiecīgajai vakcinācijas kampaņai</w:t>
      </w:r>
      <w:r>
        <w:rPr>
          <w:bCs/>
        </w:rPr>
        <w:t xml:space="preserve"> </w:t>
      </w:r>
      <w:r w:rsidRPr="00EB5F25">
        <w:rPr>
          <w:bCs/>
        </w:rPr>
        <w:t>(33.punkts)</w:t>
      </w:r>
      <w:r w:rsidRPr="0017466F">
        <w:rPr>
          <w:bCs/>
        </w:rPr>
        <w:t>.</w:t>
      </w:r>
    </w:p>
    <w:p w14:paraId="2D1EE7C5" w14:textId="13A3F098" w:rsidR="009F2B0E" w:rsidRDefault="009F2B0E" w:rsidP="00A06E81">
      <w:pPr>
        <w:spacing w:line="276" w:lineRule="auto"/>
        <w:ind w:firstLine="567"/>
        <w:jc w:val="both"/>
        <w:rPr>
          <w:bCs/>
        </w:rPr>
      </w:pPr>
      <w:r>
        <w:rPr>
          <w:bCs/>
        </w:rPr>
        <w:t>Tātad</w:t>
      </w:r>
      <w:r w:rsidR="00EB5F25">
        <w:rPr>
          <w:bCs/>
        </w:rPr>
        <w:t xml:space="preserve"> n</w:t>
      </w:r>
      <w:r>
        <w:rPr>
          <w:bCs/>
        </w:rPr>
        <w:t>oteikum</w:t>
      </w:r>
      <w:r w:rsidR="00EB5F25">
        <w:rPr>
          <w:bCs/>
        </w:rPr>
        <w:t>u</w:t>
      </w:r>
      <w:r>
        <w:rPr>
          <w:bCs/>
        </w:rPr>
        <w:t xml:space="preserve"> Nr.</w:t>
      </w:r>
      <w:r w:rsidR="004E0A2F">
        <w:rPr>
          <w:bCs/>
        </w:rPr>
        <w:t> </w:t>
      </w:r>
      <w:r>
        <w:rPr>
          <w:bCs/>
        </w:rPr>
        <w:t xml:space="preserve">378 normas vispārīgi neparedz aizliegumu veidot zāļu reklāmu, bet gan </w:t>
      </w:r>
      <w:r w:rsidR="00FE446C">
        <w:rPr>
          <w:bCs/>
        </w:rPr>
        <w:t xml:space="preserve">vairumam zāļu kategoriju </w:t>
      </w:r>
      <w:r>
        <w:rPr>
          <w:bCs/>
        </w:rPr>
        <w:t>noteic nosacījumus un noteikumus, kas jāievēro, lai zāles varētu reklamēt</w:t>
      </w:r>
      <w:r w:rsidRPr="009F2B0E">
        <w:rPr>
          <w:bCs/>
        </w:rPr>
        <w:t xml:space="preserve"> </w:t>
      </w:r>
      <w:r>
        <w:rPr>
          <w:bCs/>
        </w:rPr>
        <w:t>tiesiski</w:t>
      </w:r>
      <w:r w:rsidR="00FE446C">
        <w:rPr>
          <w:bCs/>
        </w:rPr>
        <w:t>, aizliedzot reklamēt tikai tādas zāles, kuru nepamatota vai pārmērīga lietošana varētu radīt visbūtiskāko</w:t>
      </w:r>
      <w:r w:rsidR="00333819">
        <w:rPr>
          <w:bCs/>
        </w:rPr>
        <w:t>s</w:t>
      </w:r>
      <w:r w:rsidR="00FE446C">
        <w:rPr>
          <w:bCs/>
        </w:rPr>
        <w:t xml:space="preserve"> sabiedriskās veselības </w:t>
      </w:r>
      <w:r w:rsidR="00333819">
        <w:rPr>
          <w:bCs/>
        </w:rPr>
        <w:t>riskus</w:t>
      </w:r>
      <w:r>
        <w:rPr>
          <w:bCs/>
        </w:rPr>
        <w:t xml:space="preserve">. </w:t>
      </w:r>
    </w:p>
    <w:p w14:paraId="5F69CC11" w14:textId="77777777" w:rsidR="00571436" w:rsidRDefault="00571436" w:rsidP="00A06E81">
      <w:pPr>
        <w:spacing w:line="276" w:lineRule="auto"/>
        <w:ind w:firstLine="567"/>
        <w:jc w:val="both"/>
        <w:rPr>
          <w:bCs/>
        </w:rPr>
      </w:pPr>
    </w:p>
    <w:p w14:paraId="14DB410F" w14:textId="5F2667A7" w:rsidR="00571436" w:rsidRPr="00F072FB" w:rsidRDefault="00571436" w:rsidP="00A06E81">
      <w:pPr>
        <w:spacing w:line="276" w:lineRule="auto"/>
        <w:ind w:firstLine="567"/>
        <w:jc w:val="both"/>
        <w:rPr>
          <w:bCs/>
        </w:rPr>
      </w:pPr>
      <w:r>
        <w:rPr>
          <w:bCs/>
        </w:rPr>
        <w:t>[1</w:t>
      </w:r>
      <w:r w:rsidR="00ED0AF5">
        <w:rPr>
          <w:bCs/>
        </w:rPr>
        <w:t>8</w:t>
      </w:r>
      <w:r>
        <w:rPr>
          <w:bCs/>
        </w:rPr>
        <w:t>] Noteikum</w:t>
      </w:r>
      <w:r w:rsidR="00EB5F25">
        <w:rPr>
          <w:bCs/>
        </w:rPr>
        <w:t>os</w:t>
      </w:r>
      <w:r>
        <w:rPr>
          <w:bCs/>
        </w:rPr>
        <w:t xml:space="preserve"> Nr.</w:t>
      </w:r>
      <w:r w:rsidR="004E0A2F">
        <w:rPr>
          <w:bCs/>
        </w:rPr>
        <w:t> </w:t>
      </w:r>
      <w:r>
        <w:rPr>
          <w:bCs/>
        </w:rPr>
        <w:t xml:space="preserve">378 </w:t>
      </w:r>
      <w:r w:rsidRPr="00015E26">
        <w:rPr>
          <w:bCs/>
        </w:rPr>
        <w:t>iekļautas tiesību normas, kas izriet no</w:t>
      </w:r>
      <w:r>
        <w:rPr>
          <w:bCs/>
        </w:rPr>
        <w:t xml:space="preserve"> direktīvas 2001/83. Kā norādīts iepriekš, direktīva 2001/83 paredz harmonizētas prasības attiecībā uz zāļu reklāmu.</w:t>
      </w:r>
      <w:r w:rsidR="00CB4008">
        <w:rPr>
          <w:bCs/>
        </w:rPr>
        <w:t xml:space="preserve"> </w:t>
      </w:r>
      <w:r>
        <w:rPr>
          <w:bCs/>
        </w:rPr>
        <w:t>Direktīvas 2001/83 88.panta 1.punkts noteic, ka d</w:t>
      </w:r>
      <w:r w:rsidRPr="003D36D0">
        <w:rPr>
          <w:bCs/>
        </w:rPr>
        <w:t>alībvalstis aizliedz reklamēt iedzīvotājiem zāles, kas</w:t>
      </w:r>
      <w:r>
        <w:rPr>
          <w:bCs/>
        </w:rPr>
        <w:t xml:space="preserve"> </w:t>
      </w:r>
      <w:r w:rsidRPr="003D36D0">
        <w:rPr>
          <w:bCs/>
        </w:rPr>
        <w:t>saskaņā ar VI sadaļu ir pieejamas tikai ar ārsta recepti</w:t>
      </w:r>
      <w:r>
        <w:rPr>
          <w:bCs/>
        </w:rPr>
        <w:t xml:space="preserve">; </w:t>
      </w:r>
      <w:r w:rsidRPr="003D36D0">
        <w:rPr>
          <w:bCs/>
        </w:rPr>
        <w:t>satur psihotropas vai narkotiskas vielas</w:t>
      </w:r>
      <w:r>
        <w:rPr>
          <w:bCs/>
        </w:rPr>
        <w:t xml:space="preserve">; </w:t>
      </w:r>
      <w:r w:rsidRPr="003D36D0">
        <w:rPr>
          <w:bCs/>
        </w:rPr>
        <w:t>saskaņā ar 2.punkta otro daļu nedrīkst tikt reklamētas iedzīvotājiem</w:t>
      </w:r>
      <w:r>
        <w:rPr>
          <w:bCs/>
        </w:rPr>
        <w:t>.</w:t>
      </w:r>
      <w:r w:rsidR="00CB4008">
        <w:rPr>
          <w:bCs/>
        </w:rPr>
        <w:t xml:space="preserve"> Savukārt </w:t>
      </w:r>
      <w:r w:rsidR="009F2B0E">
        <w:rPr>
          <w:bCs/>
        </w:rPr>
        <w:t>d</w:t>
      </w:r>
      <w:r>
        <w:rPr>
          <w:bCs/>
        </w:rPr>
        <w:t>irektīvas 2001/83 88.panta 2.punkts noteic, ka i</w:t>
      </w:r>
      <w:r w:rsidRPr="00F072FB">
        <w:rPr>
          <w:bCs/>
        </w:rPr>
        <w:t>edzīvotājiem var reklamēt zāles, kas to sastāva un mērķa dēļ ir paredzētas un piemērotas lietošanai bez praktizējoša mediķa palīdzības, kurš nosaka diagnozi, paraksta ārstēšanas kursu vai uzrauga ārstēšanas gaitu, bet vajadzības gadījumā apspriežoties ar farmaceitu.</w:t>
      </w:r>
      <w:r>
        <w:rPr>
          <w:bCs/>
        </w:rPr>
        <w:t xml:space="preserve"> </w:t>
      </w:r>
      <w:r w:rsidRPr="00F072FB">
        <w:rPr>
          <w:bCs/>
        </w:rPr>
        <w:lastRenderedPageBreak/>
        <w:t>Iedzīvotājiem paredzētā reklāmā dalībvalstis aizliedz pieminēt šādas terapeitiskas indikācijas: tuberkuloze,</w:t>
      </w:r>
      <w:r>
        <w:rPr>
          <w:bCs/>
        </w:rPr>
        <w:t xml:space="preserve"> </w:t>
      </w:r>
      <w:r w:rsidRPr="00F072FB">
        <w:rPr>
          <w:bCs/>
        </w:rPr>
        <w:t>seksuāli transmisīvās slimības,</w:t>
      </w:r>
      <w:r>
        <w:rPr>
          <w:bCs/>
        </w:rPr>
        <w:t xml:space="preserve"> </w:t>
      </w:r>
      <w:r w:rsidRPr="00F072FB">
        <w:rPr>
          <w:bCs/>
        </w:rPr>
        <w:t>citas smagas infekcijas slimības,</w:t>
      </w:r>
      <w:r>
        <w:rPr>
          <w:bCs/>
        </w:rPr>
        <w:t xml:space="preserve"> </w:t>
      </w:r>
      <w:r w:rsidRPr="00F072FB">
        <w:rPr>
          <w:bCs/>
        </w:rPr>
        <w:t>vēzis un citi audzēji,</w:t>
      </w:r>
      <w:r>
        <w:rPr>
          <w:bCs/>
        </w:rPr>
        <w:t xml:space="preserve"> </w:t>
      </w:r>
      <w:r w:rsidRPr="00F072FB">
        <w:rPr>
          <w:bCs/>
        </w:rPr>
        <w:t>hronisks bezmiegs,</w:t>
      </w:r>
      <w:r>
        <w:rPr>
          <w:bCs/>
        </w:rPr>
        <w:t xml:space="preserve"> </w:t>
      </w:r>
      <w:r w:rsidRPr="00F072FB">
        <w:rPr>
          <w:bCs/>
        </w:rPr>
        <w:t>cukurslimība un citas vielmaiņas slimības.</w:t>
      </w:r>
    </w:p>
    <w:p w14:paraId="178C94AB" w14:textId="77777777" w:rsidR="00D9277E" w:rsidRDefault="00D9277E" w:rsidP="00A06E81">
      <w:pPr>
        <w:spacing w:line="276" w:lineRule="auto"/>
        <w:ind w:firstLine="567"/>
        <w:jc w:val="both"/>
        <w:rPr>
          <w:bCs/>
        </w:rPr>
      </w:pPr>
    </w:p>
    <w:p w14:paraId="0A861473" w14:textId="35ACC42C" w:rsidR="00CB4008" w:rsidRDefault="00CB4008" w:rsidP="00A06E81">
      <w:pPr>
        <w:spacing w:line="276" w:lineRule="auto"/>
        <w:ind w:firstLine="567"/>
        <w:jc w:val="both"/>
        <w:rPr>
          <w:bCs/>
        </w:rPr>
      </w:pPr>
      <w:r>
        <w:rPr>
          <w:bCs/>
        </w:rPr>
        <w:t>[1</w:t>
      </w:r>
      <w:r w:rsidR="00ED0AF5">
        <w:rPr>
          <w:bCs/>
        </w:rPr>
        <w:t>9</w:t>
      </w:r>
      <w:r>
        <w:rPr>
          <w:bCs/>
        </w:rPr>
        <w:t xml:space="preserve">] </w:t>
      </w:r>
      <w:r w:rsidR="00571436">
        <w:rPr>
          <w:bCs/>
        </w:rPr>
        <w:t xml:space="preserve">Izvērtējot piemērojamās </w:t>
      </w:r>
      <w:r w:rsidR="001242BB">
        <w:rPr>
          <w:bCs/>
        </w:rPr>
        <w:t>n</w:t>
      </w:r>
      <w:r w:rsidR="00571436">
        <w:rPr>
          <w:bCs/>
        </w:rPr>
        <w:t>oteikumu Nr.</w:t>
      </w:r>
      <w:r w:rsidR="004E0A2F">
        <w:rPr>
          <w:bCs/>
        </w:rPr>
        <w:t> </w:t>
      </w:r>
      <w:r w:rsidR="00571436">
        <w:rPr>
          <w:bCs/>
        </w:rPr>
        <w:t xml:space="preserve">378 normas kopsakarā ar direktīvas 2001/83 normām, Senāts </w:t>
      </w:r>
      <w:r w:rsidR="001242BB">
        <w:rPr>
          <w:bCs/>
        </w:rPr>
        <w:t xml:space="preserve">turpmāk norādīto apsvērumu dēļ </w:t>
      </w:r>
      <w:r w:rsidR="00571436">
        <w:rPr>
          <w:bCs/>
        </w:rPr>
        <w:t xml:space="preserve">nesaskata </w:t>
      </w:r>
      <w:r w:rsidR="002E1DFC">
        <w:rPr>
          <w:bCs/>
        </w:rPr>
        <w:t>apstākļus, kas norādītu uz piemērojamo normu neskaidrību</w:t>
      </w:r>
      <w:r w:rsidR="0024360D">
        <w:rPr>
          <w:bCs/>
        </w:rPr>
        <w:t xml:space="preserve"> vai to piemērošanas neparedzamību</w:t>
      </w:r>
      <w:r w:rsidR="002E1DFC">
        <w:rPr>
          <w:bCs/>
        </w:rPr>
        <w:t>.</w:t>
      </w:r>
    </w:p>
    <w:p w14:paraId="3DA0EAE9" w14:textId="77777777" w:rsidR="001242BB" w:rsidRDefault="001242BB" w:rsidP="00A06E81">
      <w:pPr>
        <w:spacing w:line="276" w:lineRule="auto"/>
        <w:ind w:firstLine="567"/>
        <w:jc w:val="both"/>
        <w:rPr>
          <w:bCs/>
        </w:rPr>
      </w:pPr>
    </w:p>
    <w:p w14:paraId="10763FA2" w14:textId="5E7D52F6" w:rsidR="002E1DFC" w:rsidRPr="00333819" w:rsidRDefault="001242BB" w:rsidP="00A06E81">
      <w:pPr>
        <w:spacing w:line="276" w:lineRule="auto"/>
        <w:ind w:firstLine="567"/>
        <w:jc w:val="both"/>
        <w:rPr>
          <w:bCs/>
        </w:rPr>
      </w:pPr>
      <w:r>
        <w:rPr>
          <w:bCs/>
        </w:rPr>
        <w:t xml:space="preserve">[20] </w:t>
      </w:r>
      <w:r w:rsidR="002E1DFC">
        <w:rPr>
          <w:bCs/>
        </w:rPr>
        <w:t>Eiropas Cilvēktiesību tiesa</w:t>
      </w:r>
      <w:r w:rsidR="00242EB1">
        <w:rPr>
          <w:bCs/>
        </w:rPr>
        <w:t xml:space="preserve"> </w:t>
      </w:r>
      <w:r w:rsidR="00366DEE">
        <w:rPr>
          <w:bCs/>
        </w:rPr>
        <w:t xml:space="preserve">vispārīgi ir skaidrojusi </w:t>
      </w:r>
      <w:r w:rsidR="00242EB1">
        <w:rPr>
          <w:bCs/>
        </w:rPr>
        <w:t>tiesību normas kvalit</w:t>
      </w:r>
      <w:r w:rsidR="00F41698">
        <w:rPr>
          <w:bCs/>
        </w:rPr>
        <w:t>ā</w:t>
      </w:r>
      <w:r w:rsidR="00242EB1">
        <w:rPr>
          <w:bCs/>
        </w:rPr>
        <w:t>t</w:t>
      </w:r>
      <w:r w:rsidR="00F41698">
        <w:rPr>
          <w:bCs/>
        </w:rPr>
        <w:t>es</w:t>
      </w:r>
      <w:r w:rsidR="00242EB1">
        <w:rPr>
          <w:bCs/>
        </w:rPr>
        <w:t xml:space="preserve"> prasības un personu tiesības uz tiesību normu piemērošanas paredzamību</w:t>
      </w:r>
      <w:r w:rsidR="00366DEE">
        <w:rPr>
          <w:bCs/>
        </w:rPr>
        <w:t xml:space="preserve">. Proti, </w:t>
      </w:r>
      <w:r w:rsidR="00242EB1" w:rsidRPr="00AD121B">
        <w:rPr>
          <w:bCs/>
        </w:rPr>
        <w:t>likumam ir skaidri jādefinē pārkāpumi un attiecīgie sodi. Šī prasība ir izpildīta, ja persona var, vajadzības gadījumā ar tiesas palīdzību, interpretējot attiecīgo normu, un pēc atbilstošas juridiskas konsultācijas, no tās formulējuma saprast, kādas darbības un bezdarbība viņam uzliek kriminālatbildību un kāds sods viņam par to draud.</w:t>
      </w:r>
      <w:r w:rsidR="00242EB1">
        <w:rPr>
          <w:bCs/>
        </w:rPr>
        <w:t xml:space="preserve"> </w:t>
      </w:r>
      <w:r w:rsidR="00242EB1" w:rsidRPr="00242EB1">
        <w:rPr>
          <w:bCs/>
        </w:rPr>
        <w:t>Principa, ka likumi ir vispār</w:t>
      </w:r>
      <w:r w:rsidR="00F41698">
        <w:rPr>
          <w:bCs/>
        </w:rPr>
        <w:t>ēji piemērojami</w:t>
      </w:r>
      <w:r w:rsidR="00242EB1" w:rsidRPr="00242EB1">
        <w:rPr>
          <w:bCs/>
        </w:rPr>
        <w:t xml:space="preserve">, loģiskās sekas ir tādas, ka likumu formulējumi ne vienmēr ir precīzi. Viena no standarta </w:t>
      </w:r>
      <w:r w:rsidR="00157DBF" w:rsidRPr="00242EB1">
        <w:rPr>
          <w:bCs/>
        </w:rPr>
        <w:t>juridisk</w:t>
      </w:r>
      <w:r w:rsidR="00331251">
        <w:rPr>
          <w:bCs/>
        </w:rPr>
        <w:t>ā</w:t>
      </w:r>
      <w:r w:rsidR="00157DBF" w:rsidRPr="00242EB1">
        <w:rPr>
          <w:bCs/>
        </w:rPr>
        <w:t>s</w:t>
      </w:r>
      <w:r w:rsidR="00242EB1" w:rsidRPr="00242EB1">
        <w:rPr>
          <w:bCs/>
        </w:rPr>
        <w:t xml:space="preserve"> tehnikas metodēm, kad </w:t>
      </w:r>
      <w:r w:rsidR="00F41698">
        <w:rPr>
          <w:bCs/>
        </w:rPr>
        <w:t>kāds</w:t>
      </w:r>
      <w:r w:rsidR="00242EB1" w:rsidRPr="00242EB1">
        <w:rPr>
          <w:bCs/>
        </w:rPr>
        <w:t xml:space="preserve"> jautājums tiek </w:t>
      </w:r>
      <w:r w:rsidR="00333819">
        <w:rPr>
          <w:bCs/>
        </w:rPr>
        <w:t xml:space="preserve">regulēts </w:t>
      </w:r>
      <w:r w:rsidR="00F41698">
        <w:rPr>
          <w:bCs/>
        </w:rPr>
        <w:t>likumos</w:t>
      </w:r>
      <w:r w:rsidR="00242EB1" w:rsidRPr="00242EB1">
        <w:rPr>
          <w:bCs/>
        </w:rPr>
        <w:t xml:space="preserve">, ir vispārīgu kategoriju izmantošana iepretim izsmeļošu sarakstu veidošanai. Tādējādi daudzi likumi neizbēgami ir formulēti vairāk vai mazāk neskaidri, un to interpretācija un piemērošana ir prakses jautājums. Neatkarīgi no tā, cik skaidri ir formulēts tiesību akts, jebkurā tiesību sistēmā, tostarp krimināltiesībās, </w:t>
      </w:r>
      <w:r w:rsidR="007419B9">
        <w:rPr>
          <w:bCs/>
        </w:rPr>
        <w:t xml:space="preserve">kā </w:t>
      </w:r>
      <w:r w:rsidR="00FB0C62" w:rsidRPr="00242EB1">
        <w:rPr>
          <w:bCs/>
        </w:rPr>
        <w:t xml:space="preserve">neizbēgama </w:t>
      </w:r>
      <w:r w:rsidR="00FB0C62">
        <w:rPr>
          <w:bCs/>
        </w:rPr>
        <w:t xml:space="preserve">to </w:t>
      </w:r>
      <w:r w:rsidR="00FB0C62" w:rsidRPr="00242EB1">
        <w:rPr>
          <w:bCs/>
        </w:rPr>
        <w:t xml:space="preserve">sastāvdaļa </w:t>
      </w:r>
      <w:r w:rsidR="00242EB1" w:rsidRPr="00242EB1">
        <w:rPr>
          <w:bCs/>
        </w:rPr>
        <w:t xml:space="preserve">pastāv </w:t>
      </w:r>
      <w:r w:rsidR="00333819" w:rsidRPr="00242EB1">
        <w:rPr>
          <w:bCs/>
        </w:rPr>
        <w:t>tiesu</w:t>
      </w:r>
      <w:r w:rsidR="00333819">
        <w:rPr>
          <w:bCs/>
        </w:rPr>
        <w:t xml:space="preserve"> īstenota</w:t>
      </w:r>
      <w:r w:rsidR="00333819" w:rsidRPr="00242EB1">
        <w:rPr>
          <w:bCs/>
        </w:rPr>
        <w:t xml:space="preserve"> interpretācija</w:t>
      </w:r>
      <w:r w:rsidR="00242EB1" w:rsidRPr="00242EB1">
        <w:rPr>
          <w:bCs/>
        </w:rPr>
        <w:t>. Vienmēr būs nepieciešams skaidrot neskaidrus jautājumus un pielāgoties mainīgajiem apstākļiem.</w:t>
      </w:r>
      <w:r w:rsidR="00FB0C62">
        <w:rPr>
          <w:bCs/>
        </w:rPr>
        <w:t xml:space="preserve"> L</w:t>
      </w:r>
      <w:r w:rsidR="00242EB1" w:rsidRPr="00242EB1">
        <w:rPr>
          <w:bCs/>
        </w:rPr>
        <w:t>ai gan noteiktība ir ļoti vēlama, tā var radīt pārmērīgu stingrību, un likumam jāspēj turēt</w:t>
      </w:r>
      <w:r w:rsidR="00F41698">
        <w:rPr>
          <w:bCs/>
        </w:rPr>
        <w:t>ies</w:t>
      </w:r>
      <w:r w:rsidR="00242EB1" w:rsidRPr="00242EB1">
        <w:rPr>
          <w:bCs/>
        </w:rPr>
        <w:t xml:space="preserve"> līdzi mainīgajiem apstākļiem.</w:t>
      </w:r>
      <w:r w:rsidR="00242EB1" w:rsidRPr="00242EB1" w:rsidDel="00242EB1">
        <w:rPr>
          <w:bCs/>
        </w:rPr>
        <w:t xml:space="preserve"> </w:t>
      </w:r>
      <w:r w:rsidR="00242EB1" w:rsidRPr="00242EB1">
        <w:rPr>
          <w:bCs/>
        </w:rPr>
        <w:t>Iztiesāšanas funkcijas, kur</w:t>
      </w:r>
      <w:r>
        <w:rPr>
          <w:bCs/>
        </w:rPr>
        <w:t>u</w:t>
      </w:r>
      <w:r w:rsidR="00242EB1" w:rsidRPr="00242EB1">
        <w:rPr>
          <w:bCs/>
        </w:rPr>
        <w:t xml:space="preserve"> pilda tiesas, loma ir tieši tāda </w:t>
      </w:r>
      <w:r>
        <w:rPr>
          <w:bCs/>
        </w:rPr>
        <w:t>–</w:t>
      </w:r>
      <w:r w:rsidR="00242EB1" w:rsidRPr="00242EB1">
        <w:rPr>
          <w:bCs/>
        </w:rPr>
        <w:t xml:space="preserve"> kliedēt interpretācijas šaubas, kas pastāv. Krimināltiesību progresīva attīstība, izmantojot judikatūru, ir labi iesakņojusies un nepieciešama Konvencijas dalībvalstu tiesību tradīciju sastāvdaļa. Konvencijas 7.pantu nevar interpretēt kā tādu, kas aizliedz pakāpeniski precizēt kriminālatbildības normas, izmantojot tiesu praksi, ja šāda attīstība ir saskaņā ar noziedzīgā nodarījuma būtību un ir saprātīgi paredzama</w:t>
      </w:r>
      <w:r w:rsidR="001D0422">
        <w:rPr>
          <w:bCs/>
        </w:rPr>
        <w:t xml:space="preserve"> </w:t>
      </w:r>
      <w:r>
        <w:rPr>
          <w:bCs/>
        </w:rPr>
        <w:t>(</w:t>
      </w:r>
      <w:r w:rsidR="00993442" w:rsidRPr="00553750">
        <w:rPr>
          <w:bCs/>
          <w:i/>
          <w:iCs/>
        </w:rPr>
        <w:t>Eiropas Cilvēktiesību tiesa</w:t>
      </w:r>
      <w:r w:rsidR="004E0A2F">
        <w:rPr>
          <w:bCs/>
          <w:i/>
          <w:iCs/>
        </w:rPr>
        <w:t>s</w:t>
      </w:r>
      <w:r w:rsidR="00993442" w:rsidRPr="00553750">
        <w:rPr>
          <w:bCs/>
          <w:i/>
          <w:iCs/>
        </w:rPr>
        <w:t xml:space="preserve"> </w:t>
      </w:r>
      <w:r w:rsidR="004E0A2F">
        <w:rPr>
          <w:bCs/>
          <w:i/>
          <w:iCs/>
        </w:rPr>
        <w:t xml:space="preserve">(Lielās palāta) </w:t>
      </w:r>
      <w:r w:rsidR="00993442" w:rsidRPr="00553750">
        <w:rPr>
          <w:bCs/>
          <w:i/>
          <w:iCs/>
        </w:rPr>
        <w:t>20</w:t>
      </w:r>
      <w:r w:rsidR="00C0548C" w:rsidRPr="00553750">
        <w:rPr>
          <w:bCs/>
          <w:i/>
          <w:iCs/>
        </w:rPr>
        <w:t>13</w:t>
      </w:r>
      <w:r w:rsidR="00993442" w:rsidRPr="00553750">
        <w:rPr>
          <w:bCs/>
          <w:i/>
          <w:iCs/>
        </w:rPr>
        <w:t>.gada 2</w:t>
      </w:r>
      <w:r w:rsidR="00C0548C" w:rsidRPr="00553750">
        <w:rPr>
          <w:bCs/>
          <w:i/>
          <w:iCs/>
        </w:rPr>
        <w:t>1</w:t>
      </w:r>
      <w:r w:rsidR="00993442" w:rsidRPr="00553750">
        <w:rPr>
          <w:bCs/>
          <w:i/>
          <w:iCs/>
        </w:rPr>
        <w:t>.oktobra sprieduma</w:t>
      </w:r>
      <w:r w:rsidR="00C0548C" w:rsidRPr="00553750">
        <w:rPr>
          <w:bCs/>
          <w:i/>
          <w:iCs/>
        </w:rPr>
        <w:t xml:space="preserve"> </w:t>
      </w:r>
      <w:r w:rsidR="004E0A2F">
        <w:rPr>
          <w:bCs/>
          <w:i/>
          <w:iCs/>
        </w:rPr>
        <w:t xml:space="preserve">lietā </w:t>
      </w:r>
      <w:r>
        <w:rPr>
          <w:bCs/>
          <w:i/>
          <w:iCs/>
        </w:rPr>
        <w:t>„</w:t>
      </w:r>
      <w:r w:rsidR="00C0548C" w:rsidRPr="00C0548C">
        <w:rPr>
          <w:bCs/>
          <w:i/>
          <w:iCs/>
        </w:rPr>
        <w:t>Del Río Prada pret Spāniju</w:t>
      </w:r>
      <w:r w:rsidR="004E0A2F">
        <w:rPr>
          <w:bCs/>
          <w:i/>
          <w:iCs/>
        </w:rPr>
        <w:t>”,</w:t>
      </w:r>
      <w:r w:rsidR="00C0548C" w:rsidRPr="00C0548C">
        <w:rPr>
          <w:bCs/>
          <w:i/>
          <w:iCs/>
        </w:rPr>
        <w:t xml:space="preserve"> iesniegums Nr.</w:t>
      </w:r>
      <w:r w:rsidR="004E0A2F">
        <w:t> </w:t>
      </w:r>
      <w:hyperlink r:id="rId18" w:history="1">
        <w:r w:rsidR="00C0548C" w:rsidRPr="004E0A2F">
          <w:rPr>
            <w:rStyle w:val="Hyperlink"/>
            <w:bCs/>
            <w:i/>
            <w:iCs/>
          </w:rPr>
          <w:t>42750/09</w:t>
        </w:r>
      </w:hyperlink>
      <w:r w:rsidR="004E0A2F">
        <w:rPr>
          <w:bCs/>
          <w:i/>
          <w:iCs/>
        </w:rPr>
        <w:t>,</w:t>
      </w:r>
      <w:r w:rsidR="00C0548C" w:rsidRPr="00553750">
        <w:rPr>
          <w:bCs/>
          <w:i/>
          <w:iCs/>
        </w:rPr>
        <w:t xml:space="preserve"> 79</w:t>
      </w:r>
      <w:r>
        <w:rPr>
          <w:bCs/>
          <w:i/>
          <w:iCs/>
        </w:rPr>
        <w:t>.</w:t>
      </w:r>
      <w:r w:rsidR="00C0548C" w:rsidRPr="00553750">
        <w:rPr>
          <w:bCs/>
          <w:i/>
          <w:iCs/>
        </w:rPr>
        <w:t xml:space="preserve"> un 9</w:t>
      </w:r>
      <w:r w:rsidR="00242EB1">
        <w:rPr>
          <w:bCs/>
          <w:i/>
          <w:iCs/>
        </w:rPr>
        <w:t>1</w:t>
      </w:r>
      <w:r w:rsidR="00C0548C" w:rsidRPr="00553750">
        <w:rPr>
          <w:bCs/>
          <w:i/>
          <w:iCs/>
        </w:rPr>
        <w:t>.</w:t>
      </w:r>
      <w:r>
        <w:rPr>
          <w:bCs/>
          <w:i/>
          <w:iCs/>
        </w:rPr>
        <w:t>–</w:t>
      </w:r>
      <w:r w:rsidR="00C0548C" w:rsidRPr="00553750">
        <w:rPr>
          <w:bCs/>
          <w:i/>
          <w:iCs/>
        </w:rPr>
        <w:t>93</w:t>
      </w:r>
      <w:r w:rsidR="00993442" w:rsidRPr="00553750">
        <w:rPr>
          <w:bCs/>
          <w:i/>
          <w:iCs/>
        </w:rPr>
        <w:t>.punkts</w:t>
      </w:r>
      <w:r w:rsidR="00660D40" w:rsidRPr="00553750">
        <w:rPr>
          <w:bCs/>
        </w:rPr>
        <w:t xml:space="preserve">; </w:t>
      </w:r>
      <w:r w:rsidR="00E35C9B" w:rsidRPr="00553750">
        <w:rPr>
          <w:bCs/>
          <w:i/>
          <w:iCs/>
        </w:rPr>
        <w:t>2018.gada 30.janvāra spriedum</w:t>
      </w:r>
      <w:r w:rsidR="004E0A2F">
        <w:rPr>
          <w:bCs/>
          <w:i/>
          <w:iCs/>
        </w:rPr>
        <w:t>a</w:t>
      </w:r>
      <w:r w:rsidR="00E35C9B" w:rsidRPr="00553750">
        <w:rPr>
          <w:bCs/>
          <w:i/>
          <w:iCs/>
        </w:rPr>
        <w:t xml:space="preserve"> </w:t>
      </w:r>
      <w:r w:rsidR="004E0A2F">
        <w:rPr>
          <w:bCs/>
          <w:i/>
          <w:iCs/>
        </w:rPr>
        <w:t xml:space="preserve">lietā </w:t>
      </w:r>
      <w:r>
        <w:rPr>
          <w:bCs/>
          <w:i/>
          <w:iCs/>
        </w:rPr>
        <w:t>„</w:t>
      </w:r>
      <w:r w:rsidR="00E35C9B" w:rsidRPr="00553750">
        <w:rPr>
          <w:bCs/>
          <w:i/>
          <w:iCs/>
        </w:rPr>
        <w:t>Sekmadienis Ltd pret Lietuvu</w:t>
      </w:r>
      <w:r w:rsidR="004E0A2F">
        <w:rPr>
          <w:bCs/>
          <w:i/>
          <w:iCs/>
        </w:rPr>
        <w:t>”,</w:t>
      </w:r>
      <w:r w:rsidR="00E35C9B" w:rsidRPr="00553750">
        <w:rPr>
          <w:bCs/>
          <w:i/>
          <w:iCs/>
        </w:rPr>
        <w:t xml:space="preserve"> iesniegums Nr.</w:t>
      </w:r>
      <w:r w:rsidR="004E0A2F">
        <w:rPr>
          <w:bCs/>
          <w:i/>
          <w:iCs/>
        </w:rPr>
        <w:t> </w:t>
      </w:r>
      <w:hyperlink r:id="rId19" w:anchor="{%22appno%22:[%2269317/14%22]}" w:history="1">
        <w:r w:rsidR="00E35C9B" w:rsidRPr="00553750">
          <w:rPr>
            <w:rStyle w:val="Hyperlink"/>
            <w:i/>
            <w:iCs/>
          </w:rPr>
          <w:t>69317/14</w:t>
        </w:r>
      </w:hyperlink>
      <w:r w:rsidR="00E35C9B" w:rsidRPr="00553750">
        <w:rPr>
          <w:bCs/>
          <w:i/>
          <w:iCs/>
        </w:rPr>
        <w:t>, 64.</w:t>
      </w:r>
      <w:r>
        <w:rPr>
          <w:bCs/>
          <w:i/>
          <w:iCs/>
        </w:rPr>
        <w:t>–</w:t>
      </w:r>
      <w:r w:rsidR="00E35C9B" w:rsidRPr="00553750">
        <w:rPr>
          <w:bCs/>
          <w:i/>
          <w:iCs/>
        </w:rPr>
        <w:t>67.punkt</w:t>
      </w:r>
      <w:r>
        <w:rPr>
          <w:bCs/>
          <w:i/>
          <w:iCs/>
        </w:rPr>
        <w:t>s</w:t>
      </w:r>
      <w:r w:rsidR="00E35C9B">
        <w:rPr>
          <w:bCs/>
        </w:rPr>
        <w:t xml:space="preserve">; </w:t>
      </w:r>
      <w:r w:rsidR="00660D40">
        <w:rPr>
          <w:bCs/>
          <w:i/>
          <w:iCs/>
        </w:rPr>
        <w:t>2020.gada 28.aprīļa spriedum</w:t>
      </w:r>
      <w:r w:rsidR="004E0A2F">
        <w:rPr>
          <w:bCs/>
          <w:i/>
          <w:iCs/>
        </w:rPr>
        <w:t xml:space="preserve">a lietā </w:t>
      </w:r>
      <w:r>
        <w:rPr>
          <w:bCs/>
          <w:i/>
          <w:iCs/>
        </w:rPr>
        <w:t>„</w:t>
      </w:r>
      <w:r w:rsidR="00660D40" w:rsidRPr="00660D40">
        <w:rPr>
          <w:bCs/>
          <w:i/>
          <w:iCs/>
        </w:rPr>
        <w:t>ATV Zrt</w:t>
      </w:r>
      <w:r w:rsidR="00660D40">
        <w:rPr>
          <w:bCs/>
          <w:i/>
          <w:iCs/>
        </w:rPr>
        <w:t xml:space="preserve"> pret Ungāriju</w:t>
      </w:r>
      <w:r w:rsidR="004E0A2F">
        <w:rPr>
          <w:bCs/>
          <w:i/>
          <w:iCs/>
        </w:rPr>
        <w:t>”</w:t>
      </w:r>
      <w:r w:rsidR="00660D40">
        <w:rPr>
          <w:bCs/>
          <w:i/>
          <w:iCs/>
        </w:rPr>
        <w:t>,</w:t>
      </w:r>
      <w:r w:rsidR="004E0A2F">
        <w:rPr>
          <w:bCs/>
          <w:i/>
          <w:iCs/>
        </w:rPr>
        <w:t xml:space="preserve"> iesniegums</w:t>
      </w:r>
      <w:r>
        <w:rPr>
          <w:bCs/>
          <w:i/>
          <w:iCs/>
        </w:rPr>
        <w:t xml:space="preserve"> </w:t>
      </w:r>
      <w:r w:rsidR="004E0A2F">
        <w:rPr>
          <w:bCs/>
          <w:i/>
          <w:iCs/>
        </w:rPr>
        <w:t>Nr.</w:t>
      </w:r>
      <w:r w:rsidR="004E0A2F">
        <w:t> </w:t>
      </w:r>
      <w:hyperlink r:id="rId20" w:anchor="{%22appno%22:[%2261178/14%22]}" w:tgtFrame="_blank" w:history="1">
        <w:r w:rsidR="004E0A2F" w:rsidRPr="004E0A2F">
          <w:rPr>
            <w:rStyle w:val="Hyperlink"/>
            <w:bCs/>
            <w:i/>
            <w:iCs/>
          </w:rPr>
          <w:t>61178/14</w:t>
        </w:r>
      </w:hyperlink>
      <w:r w:rsidR="004E0A2F">
        <w:rPr>
          <w:bCs/>
          <w:i/>
          <w:iCs/>
        </w:rPr>
        <w:t>,</w:t>
      </w:r>
      <w:r w:rsidR="00660D40">
        <w:rPr>
          <w:bCs/>
          <w:i/>
          <w:iCs/>
        </w:rPr>
        <w:t xml:space="preserve"> 32.punkts</w:t>
      </w:r>
      <w:r>
        <w:rPr>
          <w:bCs/>
        </w:rPr>
        <w:t>)</w:t>
      </w:r>
      <w:r w:rsidR="002E1DFC">
        <w:rPr>
          <w:bCs/>
        </w:rPr>
        <w:t>.</w:t>
      </w:r>
      <w:r w:rsidR="00333819">
        <w:rPr>
          <w:bCs/>
        </w:rPr>
        <w:t xml:space="preserve"> Tas, ka tiesību norma tiek konkrētajā tiesību sistēmā piemērota pirmo reizi, nav iemesls uzskatīt, ka ir pārkāpts paredzamības kritērijs, jo vienmēr kādreiz ir jāpienāk pirmajai reizei, kad konkrētā tiesību norma tiek piemērota (</w:t>
      </w:r>
      <w:r w:rsidR="00333819" w:rsidRPr="007C5299">
        <w:rPr>
          <w:bCs/>
          <w:i/>
          <w:iCs/>
        </w:rPr>
        <w:t>Eiropas Cilvēktiesību tiesas 201</w:t>
      </w:r>
      <w:r w:rsidR="00333819">
        <w:rPr>
          <w:bCs/>
          <w:i/>
          <w:iCs/>
        </w:rPr>
        <w:t>8</w:t>
      </w:r>
      <w:r w:rsidR="00333819" w:rsidRPr="007C5299">
        <w:rPr>
          <w:bCs/>
          <w:i/>
          <w:iCs/>
        </w:rPr>
        <w:t xml:space="preserve">.gada </w:t>
      </w:r>
      <w:r w:rsidR="00333819">
        <w:rPr>
          <w:bCs/>
          <w:i/>
          <w:iCs/>
        </w:rPr>
        <w:t>30</w:t>
      </w:r>
      <w:r w:rsidR="00333819" w:rsidRPr="007C5299">
        <w:rPr>
          <w:bCs/>
          <w:i/>
          <w:iCs/>
        </w:rPr>
        <w:t>.</w:t>
      </w:r>
      <w:r w:rsidR="00333819">
        <w:rPr>
          <w:bCs/>
          <w:i/>
          <w:iCs/>
        </w:rPr>
        <w:t>janvāra</w:t>
      </w:r>
      <w:r w:rsidR="00333819" w:rsidRPr="007C5299">
        <w:rPr>
          <w:bCs/>
          <w:i/>
          <w:iCs/>
        </w:rPr>
        <w:t xml:space="preserve"> sprieduma </w:t>
      </w:r>
      <w:r w:rsidR="004E0A2F">
        <w:rPr>
          <w:bCs/>
          <w:i/>
          <w:iCs/>
        </w:rPr>
        <w:t xml:space="preserve">lietā </w:t>
      </w:r>
      <w:r>
        <w:rPr>
          <w:bCs/>
          <w:i/>
          <w:iCs/>
        </w:rPr>
        <w:t>„</w:t>
      </w:r>
      <w:r w:rsidR="004E0A2F" w:rsidRPr="005239C3">
        <w:rPr>
          <w:bCs/>
          <w:i/>
          <w:iCs/>
        </w:rPr>
        <w:t>Sekmadienis Ltd pret Lietuvu</w:t>
      </w:r>
      <w:r w:rsidR="004E0A2F">
        <w:rPr>
          <w:bCs/>
          <w:i/>
          <w:iCs/>
        </w:rPr>
        <w:t xml:space="preserve">”, </w:t>
      </w:r>
      <w:r w:rsidR="00333819" w:rsidRPr="00C0548C">
        <w:rPr>
          <w:bCs/>
          <w:i/>
          <w:iCs/>
        </w:rPr>
        <w:t>iesniegums Nr.</w:t>
      </w:r>
      <w:r w:rsidR="00D70ECC">
        <w:t> </w:t>
      </w:r>
      <w:hyperlink r:id="rId21" w:anchor="{%22appno%22:[%2269317/14%22]}" w:tgtFrame="_blank" w:history="1">
        <w:r w:rsidR="00333819" w:rsidRPr="00333819">
          <w:rPr>
            <w:rStyle w:val="Hyperlink"/>
            <w:bCs/>
            <w:i/>
            <w:iCs/>
          </w:rPr>
          <w:t>69317/14</w:t>
        </w:r>
      </w:hyperlink>
      <w:r w:rsidR="004E0A2F">
        <w:rPr>
          <w:bCs/>
          <w:i/>
          <w:iCs/>
        </w:rPr>
        <w:t>,</w:t>
      </w:r>
      <w:r w:rsidR="00333819">
        <w:rPr>
          <w:bCs/>
          <w:i/>
          <w:iCs/>
        </w:rPr>
        <w:t xml:space="preserve"> 67</w:t>
      </w:r>
      <w:r w:rsidR="00333819" w:rsidRPr="007C5299">
        <w:rPr>
          <w:bCs/>
          <w:i/>
          <w:iCs/>
        </w:rPr>
        <w:t>.punkts</w:t>
      </w:r>
      <w:r w:rsidR="00333819">
        <w:rPr>
          <w:bCs/>
        </w:rPr>
        <w:t>)</w:t>
      </w:r>
      <w:r w:rsidR="00AC4114">
        <w:rPr>
          <w:bCs/>
        </w:rPr>
        <w:t xml:space="preserve">. </w:t>
      </w:r>
      <w:r w:rsidR="00AC4114" w:rsidRPr="00AC4114">
        <w:rPr>
          <w:bCs/>
        </w:rPr>
        <w:t>Likumiem un tiesību normām, kas ierobežo personas pamattiesības, jābūt gan pienācīgi saprotamām, gan paredzamām. Proti, normai jābūt formulētai pietiekami precīzi, lai indivīds, nepieciešamības gadījumā atbilstoši konsultējoties, varētu regulēt savu rīcīb</w:t>
      </w:r>
      <w:r w:rsidR="00AC4114">
        <w:rPr>
          <w:bCs/>
        </w:rPr>
        <w:t>u (</w:t>
      </w:r>
      <w:r w:rsidR="00AC4114" w:rsidRPr="00553750">
        <w:rPr>
          <w:bCs/>
          <w:i/>
          <w:iCs/>
        </w:rPr>
        <w:t>Satversmes tiesas 2021.gada 19.februāra spriedum</w:t>
      </w:r>
      <w:r w:rsidR="00D70ECC">
        <w:rPr>
          <w:bCs/>
          <w:i/>
          <w:iCs/>
        </w:rPr>
        <w:t>a</w:t>
      </w:r>
      <w:r w:rsidR="00AC4114" w:rsidRPr="00553750">
        <w:rPr>
          <w:bCs/>
          <w:i/>
          <w:iCs/>
        </w:rPr>
        <w:t xml:space="preserve"> lietā Nr.</w:t>
      </w:r>
      <w:r w:rsidR="004E0A2F">
        <w:rPr>
          <w:bCs/>
          <w:i/>
          <w:iCs/>
        </w:rPr>
        <w:t> </w:t>
      </w:r>
      <w:hyperlink r:id="rId22" w:history="1">
        <w:r w:rsidR="00AC4114" w:rsidRPr="00553750">
          <w:rPr>
            <w:rStyle w:val="Hyperlink"/>
            <w:i/>
            <w:iCs/>
          </w:rPr>
          <w:t>2020-23-01</w:t>
        </w:r>
      </w:hyperlink>
      <w:r w:rsidR="00AC4114" w:rsidRPr="00553750">
        <w:rPr>
          <w:bCs/>
          <w:i/>
          <w:iCs/>
        </w:rPr>
        <w:t xml:space="preserve"> 11.punkts</w:t>
      </w:r>
      <w:r w:rsidR="00AC4114">
        <w:rPr>
          <w:bCs/>
        </w:rPr>
        <w:t>)</w:t>
      </w:r>
      <w:r w:rsidR="00131C86">
        <w:rPr>
          <w:bCs/>
        </w:rPr>
        <w:t>.</w:t>
      </w:r>
    </w:p>
    <w:p w14:paraId="38C4A77C" w14:textId="517F6B9E" w:rsidR="009F2B0E" w:rsidRDefault="00924A7A" w:rsidP="00A06E81">
      <w:pPr>
        <w:spacing w:line="276" w:lineRule="auto"/>
        <w:ind w:firstLine="567"/>
        <w:jc w:val="both"/>
        <w:rPr>
          <w:bCs/>
        </w:rPr>
      </w:pPr>
      <w:r>
        <w:rPr>
          <w:bCs/>
        </w:rPr>
        <w:t xml:space="preserve">Eiropas Cilvēktiesību tiesa, </w:t>
      </w:r>
      <w:r w:rsidR="00D85B8C">
        <w:rPr>
          <w:bCs/>
        </w:rPr>
        <w:t>izvērtējot</w:t>
      </w:r>
      <w:r w:rsidR="009F2B0E">
        <w:rPr>
          <w:bCs/>
        </w:rPr>
        <w:t xml:space="preserve"> tiesību normu</w:t>
      </w:r>
      <w:r w:rsidR="00DB0B54">
        <w:rPr>
          <w:bCs/>
        </w:rPr>
        <w:t xml:space="preserve"> skaidrību</w:t>
      </w:r>
      <w:r w:rsidR="009F2B0E">
        <w:rPr>
          <w:bCs/>
        </w:rPr>
        <w:t>, kas pieņemtas, ieviešot Eiropas Savienības direktīvas</w:t>
      </w:r>
      <w:r>
        <w:rPr>
          <w:bCs/>
        </w:rPr>
        <w:t xml:space="preserve"> kapitāla tirgus regulēšanas jomā</w:t>
      </w:r>
      <w:r w:rsidR="009F2B0E">
        <w:rPr>
          <w:bCs/>
        </w:rPr>
        <w:t xml:space="preserve"> </w:t>
      </w:r>
      <w:r w:rsidR="001C7C68">
        <w:rPr>
          <w:bCs/>
        </w:rPr>
        <w:t>un izteiktas nenoteiktā formā</w:t>
      </w:r>
      <w:r>
        <w:rPr>
          <w:bCs/>
        </w:rPr>
        <w:t xml:space="preserve">, proti, </w:t>
      </w:r>
      <w:r w:rsidRPr="001C7C68">
        <w:rPr>
          <w:bCs/>
        </w:rPr>
        <w:t>izmantoj</w:t>
      </w:r>
      <w:r w:rsidR="00331251">
        <w:rPr>
          <w:bCs/>
        </w:rPr>
        <w:t>ot</w:t>
      </w:r>
      <w:r w:rsidRPr="001C7C68">
        <w:rPr>
          <w:bCs/>
        </w:rPr>
        <w:t xml:space="preserve"> izteicienu „jebkādā veidā”</w:t>
      </w:r>
      <w:r w:rsidR="00331251">
        <w:rPr>
          <w:bCs/>
        </w:rPr>
        <w:t xml:space="preserve"> un</w:t>
      </w:r>
      <w:r w:rsidR="005F4A85">
        <w:rPr>
          <w:bCs/>
        </w:rPr>
        <w:t xml:space="preserve"> </w:t>
      </w:r>
      <w:r w:rsidR="00D85B8C">
        <w:rPr>
          <w:bCs/>
        </w:rPr>
        <w:t>norādot</w:t>
      </w:r>
      <w:r w:rsidR="005F4A85">
        <w:rPr>
          <w:bCs/>
        </w:rPr>
        <w:t xml:space="preserve"> tikai </w:t>
      </w:r>
      <w:r w:rsidR="00D85B8C">
        <w:rPr>
          <w:bCs/>
        </w:rPr>
        <w:t xml:space="preserve">uz </w:t>
      </w:r>
      <w:r w:rsidR="005F4A85">
        <w:rPr>
          <w:bCs/>
        </w:rPr>
        <w:t>aizlieguma mērķi – novērst kapitāla tirgus manipulāciju</w:t>
      </w:r>
      <w:r w:rsidR="009F2B0E">
        <w:rPr>
          <w:bCs/>
        </w:rPr>
        <w:t>,</w:t>
      </w:r>
      <w:r>
        <w:rPr>
          <w:bCs/>
        </w:rPr>
        <w:t xml:space="preserve"> neuzskatīja, ka šāda juridiskā </w:t>
      </w:r>
      <w:r>
        <w:rPr>
          <w:bCs/>
        </w:rPr>
        <w:lastRenderedPageBreak/>
        <w:t>tehnika būtu pretrunā ar tiesību normu kvalit</w:t>
      </w:r>
      <w:r w:rsidR="00331251">
        <w:rPr>
          <w:bCs/>
        </w:rPr>
        <w:t>ātes</w:t>
      </w:r>
      <w:r>
        <w:rPr>
          <w:bCs/>
        </w:rPr>
        <w:t xml:space="preserve"> prasībām</w:t>
      </w:r>
      <w:r w:rsidR="00993442">
        <w:rPr>
          <w:bCs/>
        </w:rPr>
        <w:t xml:space="preserve"> </w:t>
      </w:r>
      <w:r w:rsidR="001242BB">
        <w:rPr>
          <w:bCs/>
        </w:rPr>
        <w:t>(</w:t>
      </w:r>
      <w:r w:rsidR="00993442" w:rsidRPr="00553750">
        <w:rPr>
          <w:bCs/>
          <w:i/>
          <w:iCs/>
        </w:rPr>
        <w:t>Eiropas Cilvēktiesību tiesas 2020.gada 28.maija spriedum</w:t>
      </w:r>
      <w:r w:rsidR="00EF278B">
        <w:rPr>
          <w:bCs/>
          <w:i/>
          <w:iCs/>
        </w:rPr>
        <w:t>a lietā</w:t>
      </w:r>
      <w:r w:rsidR="00993442" w:rsidRPr="00553750">
        <w:rPr>
          <w:bCs/>
          <w:i/>
          <w:iCs/>
        </w:rPr>
        <w:t xml:space="preserve"> </w:t>
      </w:r>
      <w:r w:rsidR="001242BB">
        <w:rPr>
          <w:bCs/>
          <w:i/>
          <w:iCs/>
        </w:rPr>
        <w:t>„</w:t>
      </w:r>
      <w:r w:rsidR="00993442" w:rsidRPr="00993442">
        <w:rPr>
          <w:bCs/>
          <w:i/>
          <w:iCs/>
        </w:rPr>
        <w:t>Georgouleas un Nestoras pret Grieķiju</w:t>
      </w:r>
      <w:r w:rsidR="00EF278B">
        <w:rPr>
          <w:bCs/>
          <w:i/>
          <w:iCs/>
        </w:rPr>
        <w:t>”,</w:t>
      </w:r>
      <w:r w:rsidR="00993442" w:rsidRPr="00993442">
        <w:rPr>
          <w:bCs/>
          <w:i/>
          <w:iCs/>
        </w:rPr>
        <w:t xml:space="preserve"> </w:t>
      </w:r>
      <w:r w:rsidR="00993442" w:rsidRPr="00553750">
        <w:rPr>
          <w:bCs/>
          <w:i/>
          <w:iCs/>
        </w:rPr>
        <w:t>iesniegumi Nr. </w:t>
      </w:r>
      <w:hyperlink r:id="rId23" w:history="1">
        <w:r w:rsidR="00993442" w:rsidRPr="00553750">
          <w:rPr>
            <w:rStyle w:val="Hyperlink"/>
            <w:i/>
            <w:iCs/>
          </w:rPr>
          <w:t>44612/13 un 45831/13</w:t>
        </w:r>
      </w:hyperlink>
      <w:r w:rsidR="00993442" w:rsidRPr="00553750">
        <w:rPr>
          <w:bCs/>
          <w:i/>
          <w:iCs/>
        </w:rPr>
        <w:t>, 61.</w:t>
      </w:r>
      <w:r w:rsidR="001242BB">
        <w:rPr>
          <w:bCs/>
          <w:i/>
          <w:iCs/>
        </w:rPr>
        <w:t>–</w:t>
      </w:r>
      <w:r w:rsidR="00993442" w:rsidRPr="00553750">
        <w:rPr>
          <w:bCs/>
          <w:i/>
          <w:iCs/>
        </w:rPr>
        <w:t>63</w:t>
      </w:r>
      <w:r>
        <w:rPr>
          <w:bCs/>
          <w:i/>
          <w:iCs/>
        </w:rPr>
        <w:t>.</w:t>
      </w:r>
      <w:r w:rsidR="00EF278B">
        <w:rPr>
          <w:bCs/>
          <w:i/>
          <w:iCs/>
        </w:rPr>
        <w:t>punkts</w:t>
      </w:r>
      <w:r w:rsidR="001242BB">
        <w:rPr>
          <w:bCs/>
        </w:rPr>
        <w:t>)</w:t>
      </w:r>
      <w:r w:rsidR="009F2B0E">
        <w:rPr>
          <w:bCs/>
        </w:rPr>
        <w:t>.</w:t>
      </w:r>
    </w:p>
    <w:p w14:paraId="1C55DC0F" w14:textId="30B5A9AF" w:rsidR="009F2B0E" w:rsidRDefault="009F2B0E" w:rsidP="00A06E81">
      <w:pPr>
        <w:spacing w:line="276" w:lineRule="auto"/>
        <w:ind w:firstLine="567"/>
        <w:jc w:val="both"/>
        <w:rPr>
          <w:bCs/>
        </w:rPr>
      </w:pPr>
      <w:r>
        <w:rPr>
          <w:bCs/>
        </w:rPr>
        <w:t xml:space="preserve">Savukārt attiecībā uz </w:t>
      </w:r>
      <w:r w:rsidR="00934495">
        <w:rPr>
          <w:bCs/>
        </w:rPr>
        <w:t xml:space="preserve">ierobežojumiem zāļu </w:t>
      </w:r>
      <w:r w:rsidR="00D24B5C">
        <w:rPr>
          <w:bCs/>
        </w:rPr>
        <w:t>pārdošanas</w:t>
      </w:r>
      <w:r w:rsidR="00934495">
        <w:rPr>
          <w:bCs/>
        </w:rPr>
        <w:t xml:space="preserve"> jomā lietā, kurā vērtēts tas, vai jēdziena </w:t>
      </w:r>
      <w:r w:rsidR="001242BB">
        <w:rPr>
          <w:bCs/>
        </w:rPr>
        <w:t>„</w:t>
      </w:r>
      <w:r w:rsidR="00934495">
        <w:rPr>
          <w:bCs/>
        </w:rPr>
        <w:t>zāles”, kas Francijas tiesīb</w:t>
      </w:r>
      <w:r w:rsidR="001242BB">
        <w:rPr>
          <w:bCs/>
        </w:rPr>
        <w:t>ā</w:t>
      </w:r>
      <w:r w:rsidR="00934495">
        <w:rPr>
          <w:bCs/>
        </w:rPr>
        <w:t xml:space="preserve">s ieviests, balstoties uz Eiropas Savienības direktīvu, </w:t>
      </w:r>
      <w:r w:rsidR="00DB0B54">
        <w:rPr>
          <w:bCs/>
        </w:rPr>
        <w:t xml:space="preserve">noskaidrošana, </w:t>
      </w:r>
      <w:r w:rsidR="00934495">
        <w:rPr>
          <w:bCs/>
        </w:rPr>
        <w:t xml:space="preserve">Francijas tiesām </w:t>
      </w:r>
      <w:r w:rsidR="00DB0B54">
        <w:rPr>
          <w:bCs/>
        </w:rPr>
        <w:t xml:space="preserve">laika gaitā </w:t>
      </w:r>
      <w:r w:rsidR="001242BB">
        <w:rPr>
          <w:bCs/>
        </w:rPr>
        <w:t>veidojot savu judikatūru</w:t>
      </w:r>
      <w:r w:rsidR="00DB0B54">
        <w:rPr>
          <w:bCs/>
        </w:rPr>
        <w:t xml:space="preserve"> saskaņā ar Eiropas Savienības Tiesas atziņām</w:t>
      </w:r>
      <w:r w:rsidR="001242BB">
        <w:rPr>
          <w:bCs/>
        </w:rPr>
        <w:t xml:space="preserve">, </w:t>
      </w:r>
      <w:r w:rsidR="005F4A85">
        <w:rPr>
          <w:bCs/>
        </w:rPr>
        <w:t>izpilda paredzamības kritēriju,</w:t>
      </w:r>
      <w:r w:rsidR="00934495">
        <w:rPr>
          <w:bCs/>
        </w:rPr>
        <w:t xml:space="preserve"> </w:t>
      </w:r>
      <w:r w:rsidR="001242BB">
        <w:rPr>
          <w:bCs/>
        </w:rPr>
        <w:t xml:space="preserve">Eiropas Cilvēktiesību tiesa </w:t>
      </w:r>
      <w:r w:rsidR="00934495" w:rsidRPr="00DB0B54">
        <w:rPr>
          <w:bCs/>
        </w:rPr>
        <w:t>atzina</w:t>
      </w:r>
      <w:r w:rsidR="00DB0B54">
        <w:rPr>
          <w:bCs/>
        </w:rPr>
        <w:t xml:space="preserve"> turpmāk minēto.</w:t>
      </w:r>
      <w:r w:rsidR="00934495">
        <w:rPr>
          <w:bCs/>
        </w:rPr>
        <w:t xml:space="preserve"> </w:t>
      </w:r>
      <w:r w:rsidR="00D15B85">
        <w:rPr>
          <w:bCs/>
        </w:rPr>
        <w:t xml:space="preserve">Kā daudzas citas legāldefinīcijas, </w:t>
      </w:r>
      <w:r w:rsidR="00331251">
        <w:rPr>
          <w:bCs/>
        </w:rPr>
        <w:t xml:space="preserve">arī </w:t>
      </w:r>
      <w:r w:rsidR="00D15B85">
        <w:rPr>
          <w:bCs/>
        </w:rPr>
        <w:t xml:space="preserve">zāļu legāldefinīcija </w:t>
      </w:r>
      <w:r w:rsidR="001D0422">
        <w:rPr>
          <w:bCs/>
        </w:rPr>
        <w:t>piemērojamā tiesību normā</w:t>
      </w:r>
      <w:r w:rsidR="00D15B85">
        <w:rPr>
          <w:bCs/>
        </w:rPr>
        <w:t xml:space="preserve"> </w:t>
      </w:r>
      <w:r w:rsidR="001D0422">
        <w:rPr>
          <w:bCs/>
        </w:rPr>
        <w:t xml:space="preserve">konkrētajā lietā </w:t>
      </w:r>
      <w:r w:rsidR="00D15B85">
        <w:rPr>
          <w:bCs/>
        </w:rPr>
        <w:t xml:space="preserve">ir diezgan vispārīga. Ja tiek izmantota juridiskā tehnika – kategorizēšana, daļa no tās piemērošanas gadījumiem vienmēr paliks pelēkajā zonā. </w:t>
      </w:r>
      <w:r w:rsidR="005F4A85" w:rsidRPr="005F4A85">
        <w:rPr>
          <w:bCs/>
        </w:rPr>
        <w:t xml:space="preserve">Šī šaubu ēna saistībā ar </w:t>
      </w:r>
      <w:r w:rsidR="00AC4114">
        <w:rPr>
          <w:bCs/>
        </w:rPr>
        <w:t xml:space="preserve">piemērošanas </w:t>
      </w:r>
      <w:r w:rsidR="005F4A85" w:rsidRPr="005F4A85">
        <w:rPr>
          <w:bCs/>
        </w:rPr>
        <w:t>robežgadījumiem pati par sevi nepadara</w:t>
      </w:r>
      <w:r w:rsidR="005F4A85">
        <w:rPr>
          <w:bCs/>
        </w:rPr>
        <w:t xml:space="preserve"> tiesību normu</w:t>
      </w:r>
      <w:r w:rsidR="005F4A85" w:rsidRPr="005F4A85">
        <w:rPr>
          <w:bCs/>
        </w:rPr>
        <w:t xml:space="preserve"> nesaderīgu ar </w:t>
      </w:r>
      <w:r w:rsidR="005F4A85">
        <w:rPr>
          <w:bCs/>
        </w:rPr>
        <w:t>Konvencijas</w:t>
      </w:r>
      <w:r w:rsidR="00D70ECC">
        <w:rPr>
          <w:bCs/>
        </w:rPr>
        <w:t xml:space="preserve"> </w:t>
      </w:r>
      <w:r w:rsidR="005F4A85" w:rsidRPr="005F4A85">
        <w:rPr>
          <w:bCs/>
        </w:rPr>
        <w:t>7.pantu, ja vien t</w:t>
      </w:r>
      <w:r w:rsidR="005B770A">
        <w:rPr>
          <w:bCs/>
        </w:rPr>
        <w:t>ā</w:t>
      </w:r>
      <w:r w:rsidR="005F4A85" w:rsidRPr="005F4A85">
        <w:rPr>
          <w:bCs/>
        </w:rPr>
        <w:t xml:space="preserve"> izrādās pietiekami skaidr</w:t>
      </w:r>
      <w:r w:rsidR="005B770A">
        <w:rPr>
          <w:bCs/>
        </w:rPr>
        <w:t>a</w:t>
      </w:r>
      <w:r w:rsidR="005F4A85" w:rsidRPr="005F4A85">
        <w:rPr>
          <w:bCs/>
        </w:rPr>
        <w:t xml:space="preserve"> lielākajā daļā gadījumu</w:t>
      </w:r>
      <w:r w:rsidR="005F4A85" w:rsidRPr="00242EB1">
        <w:rPr>
          <w:bCs/>
        </w:rPr>
        <w:t>.</w:t>
      </w:r>
      <w:r w:rsidR="005F4A85" w:rsidRPr="00242EB1" w:rsidDel="00242EB1">
        <w:rPr>
          <w:bCs/>
        </w:rPr>
        <w:t xml:space="preserve"> </w:t>
      </w:r>
      <w:r w:rsidR="005F4A85" w:rsidRPr="00242EB1">
        <w:rPr>
          <w:bCs/>
        </w:rPr>
        <w:t xml:space="preserve">Iztiesāšanas funkcijas, kuru pilda tiesas, loma ir tieši </w:t>
      </w:r>
      <w:r w:rsidR="005B770A">
        <w:rPr>
          <w:bCs/>
        </w:rPr>
        <w:t>šāda</w:t>
      </w:r>
      <w:r w:rsidR="00D70ECC">
        <w:rPr>
          <w:bCs/>
        </w:rPr>
        <w:t xml:space="preserve"> </w:t>
      </w:r>
      <w:r w:rsidR="005B770A">
        <w:rPr>
          <w:bCs/>
        </w:rPr>
        <w:t>–</w:t>
      </w:r>
      <w:r w:rsidR="00D70ECC">
        <w:rPr>
          <w:bCs/>
        </w:rPr>
        <w:t xml:space="preserve"> </w:t>
      </w:r>
      <w:r w:rsidR="005B770A">
        <w:rPr>
          <w:bCs/>
        </w:rPr>
        <w:t>kl</w:t>
      </w:r>
      <w:r w:rsidR="005F4A85" w:rsidRPr="00242EB1">
        <w:rPr>
          <w:bCs/>
        </w:rPr>
        <w:t>iedēt interpretācijas šaubas</w:t>
      </w:r>
      <w:r w:rsidR="005F4A85" w:rsidRPr="005F4A85">
        <w:rPr>
          <w:bCs/>
        </w:rPr>
        <w:t>, ņemot vērā izmaiņas ikdienas praksē</w:t>
      </w:r>
      <w:r w:rsidR="00D15B85">
        <w:rPr>
          <w:bCs/>
        </w:rPr>
        <w:t xml:space="preserve">. </w:t>
      </w:r>
      <w:r w:rsidR="005B770A" w:rsidRPr="005B770A">
        <w:rPr>
          <w:bCs/>
        </w:rPr>
        <w:t xml:space="preserve">Tādējādi </w:t>
      </w:r>
      <w:r w:rsidR="001D0422">
        <w:rPr>
          <w:bCs/>
        </w:rPr>
        <w:t>t</w:t>
      </w:r>
      <w:r w:rsidR="005B770A" w:rsidRPr="005B770A">
        <w:rPr>
          <w:bCs/>
        </w:rPr>
        <w:t>iesai ir jāpārliecinās, vai šajā lietā normatīvā akta teksts, ņemot vērā to skaidrojošo judikatūru, lietai būtiskajā laikā atbilda šim kritērijam.</w:t>
      </w:r>
      <w:r w:rsidR="005B770A">
        <w:rPr>
          <w:bCs/>
        </w:rPr>
        <w:t xml:space="preserve"> </w:t>
      </w:r>
      <w:r w:rsidR="00DB0B54">
        <w:rPr>
          <w:bCs/>
        </w:rPr>
        <w:t>P</w:t>
      </w:r>
      <w:r w:rsidR="005B770A" w:rsidRPr="005B770A">
        <w:rPr>
          <w:bCs/>
        </w:rPr>
        <w:t>aredzamības jēdziena apjoms ievērojami atkarīgs no attiecīgā teksta satura, jomas, uz kuru tas attiecas, un to personu skaita un statusa, kam tas ir adresēts. Likums var atbilst paredzamības prasībai pat tad, ja attiecīgajai personai</w:t>
      </w:r>
      <w:r w:rsidR="00AC4114" w:rsidRPr="005B770A">
        <w:rPr>
          <w:bCs/>
        </w:rPr>
        <w:t xml:space="preserve"> apstākļiem atbilstošā apjomā </w:t>
      </w:r>
      <w:r w:rsidR="005B770A" w:rsidRPr="005B770A">
        <w:rPr>
          <w:bCs/>
        </w:rPr>
        <w:t>ir jākonsultējas ar juristu</w:t>
      </w:r>
      <w:r w:rsidR="00AC4114">
        <w:rPr>
          <w:bCs/>
        </w:rPr>
        <w:t xml:space="preserve"> </w:t>
      </w:r>
      <w:r w:rsidR="005B770A" w:rsidRPr="005B770A">
        <w:rPr>
          <w:bCs/>
        </w:rPr>
        <w:t xml:space="preserve">par to, kādas būs konkrētās rīcības sekas. Tas jo īpaši attiecas uz personām, kas veic profesionālu darbību un ir pieradušas savā darbā rīkoties ar lielu piesardzību. Tādēļ no tām var sagaidīt, ka tās īpaši rūpīgi izvērtēs ar </w:t>
      </w:r>
      <w:r w:rsidR="00331251">
        <w:rPr>
          <w:bCs/>
        </w:rPr>
        <w:t xml:space="preserve">savu </w:t>
      </w:r>
      <w:r w:rsidR="005B770A" w:rsidRPr="005B770A">
        <w:rPr>
          <w:bCs/>
        </w:rPr>
        <w:t>darbību saistītos riskus.</w:t>
      </w:r>
      <w:r w:rsidR="00AC4114">
        <w:rPr>
          <w:bCs/>
        </w:rPr>
        <w:t xml:space="preserve"> </w:t>
      </w:r>
      <w:r w:rsidR="005B770A">
        <w:rPr>
          <w:bCs/>
        </w:rPr>
        <w:t xml:space="preserve">Saņemot </w:t>
      </w:r>
      <w:r w:rsidR="005B770A" w:rsidRPr="005B770A">
        <w:rPr>
          <w:bCs/>
        </w:rPr>
        <w:t>atbilstoš</w:t>
      </w:r>
      <w:r w:rsidR="005B770A">
        <w:rPr>
          <w:bCs/>
        </w:rPr>
        <w:t>as</w:t>
      </w:r>
      <w:r w:rsidR="005B770A" w:rsidRPr="005B770A">
        <w:rPr>
          <w:bCs/>
        </w:rPr>
        <w:t xml:space="preserve"> juridiskā</w:t>
      </w:r>
      <w:r w:rsidR="005B770A">
        <w:rPr>
          <w:bCs/>
        </w:rPr>
        <w:t>s</w:t>
      </w:r>
      <w:r w:rsidR="005B770A" w:rsidRPr="005B770A">
        <w:rPr>
          <w:bCs/>
        </w:rPr>
        <w:t xml:space="preserve"> konsultācij</w:t>
      </w:r>
      <w:r w:rsidR="005B770A">
        <w:rPr>
          <w:bCs/>
        </w:rPr>
        <w:t>as</w:t>
      </w:r>
      <w:r w:rsidR="001D0422">
        <w:rPr>
          <w:bCs/>
        </w:rPr>
        <w:t xml:space="preserve"> attiecīgā persona var </w:t>
      </w:r>
      <w:r w:rsidR="005B770A" w:rsidRPr="005B770A">
        <w:rPr>
          <w:bCs/>
        </w:rPr>
        <w:t>apzinā</w:t>
      </w:r>
      <w:r w:rsidR="001D0422">
        <w:rPr>
          <w:bCs/>
        </w:rPr>
        <w:t xml:space="preserve">ties, </w:t>
      </w:r>
      <w:r w:rsidR="005B770A" w:rsidRPr="005B770A">
        <w:rPr>
          <w:bCs/>
        </w:rPr>
        <w:t xml:space="preserve">ka, ņemot vērā </w:t>
      </w:r>
      <w:r w:rsidR="001D0422" w:rsidRPr="001D0422">
        <w:rPr>
          <w:bCs/>
        </w:rPr>
        <w:t>kasācijas</w:t>
      </w:r>
      <w:r w:rsidR="001D0422">
        <w:rPr>
          <w:bCs/>
          <w:i/>
          <w:iCs/>
        </w:rPr>
        <w:t xml:space="preserve"> </w:t>
      </w:r>
      <w:r w:rsidR="005B770A" w:rsidRPr="005B770A">
        <w:rPr>
          <w:bCs/>
        </w:rPr>
        <w:t xml:space="preserve">un zemāko instanču tiesu judikatūru, </w:t>
      </w:r>
      <w:r w:rsidR="001D0422">
        <w:rPr>
          <w:bCs/>
        </w:rPr>
        <w:t xml:space="preserve">var pastāvēt </w:t>
      </w:r>
      <w:r w:rsidR="005B770A" w:rsidRPr="005B770A">
        <w:rPr>
          <w:bCs/>
        </w:rPr>
        <w:t>reāls risks tikt saukta</w:t>
      </w:r>
      <w:r w:rsidR="00331251">
        <w:rPr>
          <w:bCs/>
        </w:rPr>
        <w:t>i</w:t>
      </w:r>
      <w:r w:rsidR="005B770A" w:rsidRPr="005B770A">
        <w:rPr>
          <w:bCs/>
        </w:rPr>
        <w:t xml:space="preserve"> pie atbildības par nelikumīgu zāļu tirdzniecību</w:t>
      </w:r>
      <w:r w:rsidR="001242BB">
        <w:rPr>
          <w:bCs/>
        </w:rPr>
        <w:t xml:space="preserve"> </w:t>
      </w:r>
      <w:r w:rsidR="00D15B85">
        <w:rPr>
          <w:bCs/>
        </w:rPr>
        <w:t>(</w:t>
      </w:r>
      <w:r w:rsidR="00D15B85" w:rsidRPr="00553750">
        <w:rPr>
          <w:bCs/>
          <w:i/>
          <w:iCs/>
        </w:rPr>
        <w:t>Eiropas Cilvēktiesību tiesas</w:t>
      </w:r>
      <w:r w:rsidR="00EF278B">
        <w:rPr>
          <w:bCs/>
          <w:i/>
          <w:iCs/>
        </w:rPr>
        <w:t xml:space="preserve"> (Lielā palāta)</w:t>
      </w:r>
      <w:r w:rsidR="00D15B85" w:rsidRPr="00553750">
        <w:rPr>
          <w:bCs/>
          <w:i/>
          <w:iCs/>
        </w:rPr>
        <w:t xml:space="preserve"> 1996.gada 11.novembra spriedum</w:t>
      </w:r>
      <w:r w:rsidR="00EF278B">
        <w:rPr>
          <w:bCs/>
          <w:i/>
          <w:iCs/>
        </w:rPr>
        <w:t>a lietā</w:t>
      </w:r>
      <w:r w:rsidR="00D15B85" w:rsidRPr="00553750">
        <w:rPr>
          <w:bCs/>
          <w:i/>
          <w:iCs/>
        </w:rPr>
        <w:t xml:space="preserve"> </w:t>
      </w:r>
      <w:r w:rsidR="001242BB">
        <w:rPr>
          <w:bCs/>
          <w:i/>
          <w:iCs/>
        </w:rPr>
        <w:t>„</w:t>
      </w:r>
      <w:r w:rsidR="00D15B85" w:rsidRPr="00993442">
        <w:rPr>
          <w:bCs/>
          <w:i/>
          <w:iCs/>
        </w:rPr>
        <w:t>Cantoni pret Franciju</w:t>
      </w:r>
      <w:r w:rsidR="00EF278B">
        <w:rPr>
          <w:bCs/>
          <w:i/>
          <w:iCs/>
        </w:rPr>
        <w:t>”,</w:t>
      </w:r>
      <w:r w:rsidR="00D15B85" w:rsidRPr="00553750">
        <w:rPr>
          <w:bCs/>
          <w:i/>
          <w:iCs/>
        </w:rPr>
        <w:t xml:space="preserve"> iesniegums Nr.</w:t>
      </w:r>
      <w:r w:rsidR="00993442">
        <w:rPr>
          <w:i/>
          <w:iCs/>
        </w:rPr>
        <w:t> </w:t>
      </w:r>
      <w:hyperlink r:id="rId24" w:history="1">
        <w:r w:rsidR="00993442" w:rsidRPr="00553750">
          <w:rPr>
            <w:rStyle w:val="Hyperlink"/>
            <w:i/>
            <w:iCs/>
          </w:rPr>
          <w:t>17862/91</w:t>
        </w:r>
      </w:hyperlink>
      <w:r w:rsidR="00EF278B">
        <w:rPr>
          <w:bCs/>
          <w:i/>
          <w:iCs/>
        </w:rPr>
        <w:t xml:space="preserve">, </w:t>
      </w:r>
      <w:r w:rsidR="00D15B85" w:rsidRPr="00553750">
        <w:rPr>
          <w:bCs/>
          <w:i/>
          <w:iCs/>
        </w:rPr>
        <w:t>32.</w:t>
      </w:r>
      <w:r w:rsidR="005B770A">
        <w:rPr>
          <w:bCs/>
          <w:i/>
          <w:iCs/>
        </w:rPr>
        <w:t xml:space="preserve"> un </w:t>
      </w:r>
      <w:r w:rsidR="00D15B85" w:rsidRPr="00553750">
        <w:rPr>
          <w:bCs/>
          <w:i/>
          <w:iCs/>
        </w:rPr>
        <w:t>35.</w:t>
      </w:r>
      <w:r w:rsidR="00EF278B">
        <w:rPr>
          <w:bCs/>
          <w:i/>
          <w:iCs/>
        </w:rPr>
        <w:t>punkts</w:t>
      </w:r>
      <w:r w:rsidR="00D15B85">
        <w:rPr>
          <w:bCs/>
        </w:rPr>
        <w:t>)</w:t>
      </w:r>
      <w:r w:rsidR="00660D40">
        <w:rPr>
          <w:bCs/>
        </w:rPr>
        <w:t>.</w:t>
      </w:r>
    </w:p>
    <w:p w14:paraId="0AC9268A" w14:textId="77777777" w:rsidR="001242BB" w:rsidRDefault="001242BB" w:rsidP="00A06E81">
      <w:pPr>
        <w:spacing w:line="276" w:lineRule="auto"/>
        <w:ind w:firstLine="567"/>
        <w:jc w:val="both"/>
        <w:rPr>
          <w:bCs/>
        </w:rPr>
      </w:pPr>
    </w:p>
    <w:p w14:paraId="753A34EC" w14:textId="51B4FA7F" w:rsidR="00993442" w:rsidRDefault="001242BB" w:rsidP="00A06E81">
      <w:pPr>
        <w:spacing w:line="276" w:lineRule="auto"/>
        <w:ind w:firstLine="567"/>
        <w:jc w:val="both"/>
      </w:pPr>
      <w:r>
        <w:rPr>
          <w:bCs/>
        </w:rPr>
        <w:t xml:space="preserve">[21] </w:t>
      </w:r>
      <w:r w:rsidR="00C35447">
        <w:rPr>
          <w:bCs/>
        </w:rPr>
        <w:t xml:space="preserve">Izskatāmajā gadījumā pieteicēja </w:t>
      </w:r>
      <w:r w:rsidR="00B77F88">
        <w:rPr>
          <w:bCs/>
        </w:rPr>
        <w:t xml:space="preserve">ir </w:t>
      </w:r>
      <w:r w:rsidR="00C35447">
        <w:rPr>
          <w:bCs/>
        </w:rPr>
        <w:t>uzskatāma par profesionālu</w:t>
      </w:r>
      <w:r w:rsidR="0019191C">
        <w:rPr>
          <w:bCs/>
        </w:rPr>
        <w:t xml:space="preserve"> izdevēju</w:t>
      </w:r>
      <w:r w:rsidR="009321D4">
        <w:rPr>
          <w:bCs/>
        </w:rPr>
        <w:t xml:space="preserve">, kas </w:t>
      </w:r>
      <w:r w:rsidR="007740E5">
        <w:rPr>
          <w:bCs/>
        </w:rPr>
        <w:t xml:space="preserve">darbojas </w:t>
      </w:r>
      <w:r w:rsidR="007740E5" w:rsidRPr="007E0155">
        <w:t xml:space="preserve">likuma </w:t>
      </w:r>
      <w:r w:rsidR="00B77F88">
        <w:t>„</w:t>
      </w:r>
      <w:r w:rsidR="007740E5" w:rsidRPr="007E0155">
        <w:t xml:space="preserve">Par presi un citiem masu informācijas līdzekļiem” </w:t>
      </w:r>
      <w:r w:rsidR="00535B48">
        <w:t>ietvaros un kurai ir</w:t>
      </w:r>
      <w:r w:rsidR="00801C2E">
        <w:t xml:space="preserve"> </w:t>
      </w:r>
      <w:r w:rsidR="00801C2E" w:rsidRPr="00BC5462">
        <w:t xml:space="preserve">jāpiemēro </w:t>
      </w:r>
      <w:r w:rsidR="00801C2E" w:rsidRPr="00543D39">
        <w:t xml:space="preserve">šā </w:t>
      </w:r>
      <w:r w:rsidR="00801C2E" w:rsidRPr="00BC5462">
        <w:t>likuma 17.pants.</w:t>
      </w:r>
      <w:r w:rsidR="00934495">
        <w:t xml:space="preserve"> Tāpat pieteicējai kā reklāmas izplatītājai atbilstoši Reklāmas likuma 12.panta </w:t>
      </w:r>
      <w:r w:rsidR="009A55BA">
        <w:rPr>
          <w:bCs/>
        </w:rPr>
        <w:t>ceturtajai daļai ir jāpārbauda, vai tā nepublicē aizliegtu reklāmu</w:t>
      </w:r>
      <w:r w:rsidR="00EE105F">
        <w:rPr>
          <w:bCs/>
        </w:rPr>
        <w:t xml:space="preserve"> (</w:t>
      </w:r>
      <w:r w:rsidR="0066483B">
        <w:rPr>
          <w:bCs/>
        </w:rPr>
        <w:t xml:space="preserve">sal. </w:t>
      </w:r>
      <w:r w:rsidR="00EE105F" w:rsidRPr="00553750">
        <w:rPr>
          <w:bCs/>
          <w:i/>
          <w:iCs/>
        </w:rPr>
        <w:t xml:space="preserve">Eiropas Cilvēktiesību tiesas </w:t>
      </w:r>
      <w:r w:rsidR="00EF278B">
        <w:rPr>
          <w:bCs/>
          <w:i/>
          <w:iCs/>
        </w:rPr>
        <w:t>(</w:t>
      </w:r>
      <w:r w:rsidR="00EF278B" w:rsidRPr="00520F4E">
        <w:rPr>
          <w:bCs/>
          <w:i/>
          <w:iCs/>
        </w:rPr>
        <w:t>Lielās palāta</w:t>
      </w:r>
      <w:r w:rsidR="00EF278B">
        <w:rPr>
          <w:bCs/>
          <w:i/>
          <w:iCs/>
        </w:rPr>
        <w:t>)</w:t>
      </w:r>
      <w:r w:rsidR="00EF278B" w:rsidRPr="00520F4E">
        <w:rPr>
          <w:bCs/>
          <w:i/>
          <w:iCs/>
        </w:rPr>
        <w:t xml:space="preserve"> </w:t>
      </w:r>
      <w:r w:rsidR="00EE105F" w:rsidRPr="00553750">
        <w:rPr>
          <w:bCs/>
          <w:i/>
          <w:iCs/>
        </w:rPr>
        <w:t>2015.gada 16.jūnija spriedum</w:t>
      </w:r>
      <w:r w:rsidR="001C7C68" w:rsidRPr="00553750">
        <w:rPr>
          <w:bCs/>
          <w:i/>
          <w:iCs/>
        </w:rPr>
        <w:t>a</w:t>
      </w:r>
      <w:r w:rsidR="00EE105F" w:rsidRPr="00553750">
        <w:rPr>
          <w:bCs/>
          <w:i/>
          <w:iCs/>
        </w:rPr>
        <w:t xml:space="preserve"> lietā </w:t>
      </w:r>
      <w:r w:rsidR="00B77F88">
        <w:rPr>
          <w:bCs/>
          <w:i/>
          <w:iCs/>
        </w:rPr>
        <w:t>„</w:t>
      </w:r>
      <w:r w:rsidR="00EE105F" w:rsidRPr="00553750">
        <w:rPr>
          <w:bCs/>
          <w:i/>
          <w:iCs/>
        </w:rPr>
        <w:t>Delfi AS pret Igauniju</w:t>
      </w:r>
      <w:r w:rsidR="00EF278B">
        <w:rPr>
          <w:bCs/>
          <w:i/>
          <w:iCs/>
        </w:rPr>
        <w:t>”,</w:t>
      </w:r>
      <w:r w:rsidR="00EE105F" w:rsidRPr="00553750">
        <w:rPr>
          <w:bCs/>
          <w:i/>
          <w:iCs/>
        </w:rPr>
        <w:t xml:space="preserve"> iesniegums Nr.</w:t>
      </w:r>
      <w:r w:rsidR="00AF5BBF">
        <w:rPr>
          <w:i/>
          <w:iCs/>
        </w:rPr>
        <w:t> </w:t>
      </w:r>
      <w:hyperlink r:id="rId25" w:history="1">
        <w:r w:rsidR="00EE105F" w:rsidRPr="00553750">
          <w:rPr>
            <w:rStyle w:val="Hyperlink"/>
            <w:i/>
            <w:iCs/>
          </w:rPr>
          <w:t>64569/09</w:t>
        </w:r>
      </w:hyperlink>
      <w:r w:rsidR="00EF278B">
        <w:rPr>
          <w:bCs/>
          <w:i/>
          <w:iCs/>
        </w:rPr>
        <w:t>,</w:t>
      </w:r>
      <w:r w:rsidR="00EE105F" w:rsidRPr="00553750">
        <w:rPr>
          <w:bCs/>
          <w:i/>
          <w:iCs/>
        </w:rPr>
        <w:t xml:space="preserve"> </w:t>
      </w:r>
      <w:r w:rsidR="001C7C68" w:rsidRPr="00553750">
        <w:rPr>
          <w:bCs/>
          <w:i/>
          <w:iCs/>
        </w:rPr>
        <w:t>129.punkt</w:t>
      </w:r>
      <w:r w:rsidR="00543D39">
        <w:rPr>
          <w:bCs/>
          <w:i/>
          <w:iCs/>
        </w:rPr>
        <w:t>s</w:t>
      </w:r>
      <w:r w:rsidR="001C7C68">
        <w:rPr>
          <w:bCs/>
        </w:rPr>
        <w:t>)</w:t>
      </w:r>
      <w:r w:rsidR="00934495">
        <w:t>.</w:t>
      </w:r>
      <w:r w:rsidR="00801C2E">
        <w:t xml:space="preserve"> </w:t>
      </w:r>
      <w:r w:rsidR="00B77F88">
        <w:t>Tādējādi p</w:t>
      </w:r>
      <w:r w:rsidR="00801C2E">
        <w:t>ieteicējai</w:t>
      </w:r>
      <w:r w:rsidR="00C36CD9">
        <w:t xml:space="preserve"> bija jābūt saprotam</w:t>
      </w:r>
      <w:r w:rsidR="009A55BA">
        <w:t>am</w:t>
      </w:r>
      <w:r w:rsidR="00C36CD9">
        <w:t xml:space="preserve"> Reklāmas likuma un </w:t>
      </w:r>
      <w:r w:rsidR="00B77F88">
        <w:t>n</w:t>
      </w:r>
      <w:r w:rsidR="007740E5" w:rsidRPr="007E0155">
        <w:t>oteikumu Nr.</w:t>
      </w:r>
      <w:r w:rsidR="00EF278B">
        <w:t> </w:t>
      </w:r>
      <w:r w:rsidR="007740E5" w:rsidRPr="007E0155">
        <w:t>378</w:t>
      </w:r>
      <w:r w:rsidR="007740E5">
        <w:t xml:space="preserve"> </w:t>
      </w:r>
      <w:r w:rsidR="00993442">
        <w:t>saturam, tostarp tam, ka</w:t>
      </w:r>
      <w:r w:rsidR="00B77F88">
        <w:t>,</w:t>
      </w:r>
      <w:r w:rsidR="00993442">
        <w:t xml:space="preserve"> lai izprastu </w:t>
      </w:r>
      <w:r w:rsidR="00B77F88">
        <w:t>„</w:t>
      </w:r>
      <w:r w:rsidR="00993442">
        <w:t xml:space="preserve">zāļu reklāmas” jēdzienu, ir nepieciešams </w:t>
      </w:r>
      <w:r w:rsidR="00B77F88">
        <w:t xml:space="preserve">interpretēt </w:t>
      </w:r>
      <w:r w:rsidR="00AC4114">
        <w:t xml:space="preserve">direktīvas 2001/83 </w:t>
      </w:r>
      <w:r w:rsidR="00B77F88">
        <w:t xml:space="preserve">normas, tostarp nepieciešamības gadījumā to </w:t>
      </w:r>
      <w:r w:rsidR="00AC4114">
        <w:t xml:space="preserve">tekstu </w:t>
      </w:r>
      <w:r w:rsidR="00B77F88">
        <w:t xml:space="preserve">aplūkojot </w:t>
      </w:r>
      <w:r w:rsidR="00AC4114">
        <w:t xml:space="preserve">dažādās Eiropas Savienības </w:t>
      </w:r>
      <w:r w:rsidR="00036078">
        <w:t xml:space="preserve">oficiālajās </w:t>
      </w:r>
      <w:r w:rsidR="00AC4114">
        <w:t>valodās un</w:t>
      </w:r>
      <w:r w:rsidR="00993442">
        <w:t xml:space="preserve"> </w:t>
      </w:r>
      <w:r w:rsidR="00036078">
        <w:t xml:space="preserve">obligāti </w:t>
      </w:r>
      <w:r w:rsidR="00B77F88">
        <w:t xml:space="preserve">izmantojot </w:t>
      </w:r>
      <w:r w:rsidR="00036078">
        <w:t xml:space="preserve">atbilstošo </w:t>
      </w:r>
      <w:r w:rsidR="00993442">
        <w:t>Eiropas Savienības Tiesas judikatūru</w:t>
      </w:r>
      <w:r w:rsidR="00B77F88">
        <w:t xml:space="preserve">. Attiecīgo </w:t>
      </w:r>
      <w:r w:rsidR="00660D40">
        <w:t>jēdzienu nozīmi varēja iz</w:t>
      </w:r>
      <w:r w:rsidR="00B77F88">
        <w:t>prast</w:t>
      </w:r>
      <w:r w:rsidR="00660D40">
        <w:t xml:space="preserve">, </w:t>
      </w:r>
      <w:r w:rsidR="00B77F88">
        <w:t xml:space="preserve">to darot </w:t>
      </w:r>
      <w:r w:rsidR="00660D40">
        <w:t>pašai vai lūdzot</w:t>
      </w:r>
      <w:r w:rsidR="00387827">
        <w:t xml:space="preserve"> juridisko padomu</w:t>
      </w:r>
      <w:r w:rsidR="00C36CD9">
        <w:t>.</w:t>
      </w:r>
      <w:r w:rsidR="00387827">
        <w:t xml:space="preserve"> Šajā ziņā Senāts atzīmē, ka apgabaltiesa pamatoti atzina, ka lietas materiālos esošajiem atzinumiem, kurus sagatavojusi Mediju ētikas padome un Valsts valodas centrs</w:t>
      </w:r>
      <w:r w:rsidR="00036078">
        <w:t>,</w:t>
      </w:r>
      <w:r w:rsidR="00387827">
        <w:t xml:space="preserve"> nav piešķirama nozīme, jo tajos netiek piemērotas </w:t>
      </w:r>
      <w:r w:rsidR="00036078">
        <w:t xml:space="preserve">tiesību normu </w:t>
      </w:r>
      <w:r w:rsidR="00387827">
        <w:t>interpretācijas metodes</w:t>
      </w:r>
      <w:r w:rsidR="0066483B">
        <w:t xml:space="preserve">, lai interpretētu </w:t>
      </w:r>
      <w:r w:rsidR="00B77F88">
        <w:t>n</w:t>
      </w:r>
      <w:r w:rsidR="0066483B" w:rsidRPr="007E0155">
        <w:t>oteikum</w:t>
      </w:r>
      <w:r w:rsidR="0066483B">
        <w:t xml:space="preserve">us </w:t>
      </w:r>
      <w:r w:rsidR="0066483B" w:rsidRPr="007E0155">
        <w:t>Nr.</w:t>
      </w:r>
      <w:r w:rsidR="0066483B">
        <w:t> </w:t>
      </w:r>
      <w:r w:rsidR="0066483B" w:rsidRPr="007E0155">
        <w:t>378</w:t>
      </w:r>
      <w:r w:rsidR="0066483B">
        <w:t xml:space="preserve"> un direktīvas 2001/83 86.</w:t>
      </w:r>
      <w:r w:rsidR="00B77F88">
        <w:t>–</w:t>
      </w:r>
      <w:r w:rsidR="0066483B">
        <w:t>89.pantu</w:t>
      </w:r>
      <w:r w:rsidR="00131C86">
        <w:t xml:space="preserve">. Arī </w:t>
      </w:r>
      <w:r w:rsidR="005B770A">
        <w:t xml:space="preserve">pašas </w:t>
      </w:r>
      <w:r w:rsidR="00AC4114">
        <w:t xml:space="preserve">tos sagatavojošās </w:t>
      </w:r>
      <w:r w:rsidR="005B770A">
        <w:t>institūcijas</w:t>
      </w:r>
      <w:r w:rsidR="0066483B">
        <w:t xml:space="preserve"> atzīst, ka tie</w:t>
      </w:r>
      <w:r w:rsidR="005B770A">
        <w:t xml:space="preserve"> </w:t>
      </w:r>
      <w:r w:rsidR="00387827">
        <w:t>nav uzskatāmi par juridiskajiem atzinumiem.</w:t>
      </w:r>
      <w:r w:rsidR="00076B05">
        <w:t xml:space="preserve"> Turklāt atzinumi </w:t>
      </w:r>
      <w:r w:rsidR="00B77F88">
        <w:t>ir</w:t>
      </w:r>
      <w:r w:rsidR="00076B05">
        <w:t xml:space="preserve"> </w:t>
      </w:r>
      <w:r w:rsidR="005B770A">
        <w:t>iegūti</w:t>
      </w:r>
      <w:r w:rsidR="00B07F08">
        <w:t>,</w:t>
      </w:r>
      <w:r w:rsidR="005B770A">
        <w:t xml:space="preserve"> </w:t>
      </w:r>
      <w:r w:rsidR="00B77F88">
        <w:t xml:space="preserve">nevis </w:t>
      </w:r>
      <w:r w:rsidR="00076B05">
        <w:t>pirms attiecīgās darbības</w:t>
      </w:r>
      <w:r w:rsidR="00AF5BBF">
        <w:t xml:space="preserve"> </w:t>
      </w:r>
      <w:r w:rsidR="00076B05">
        <w:t>–</w:t>
      </w:r>
      <w:r w:rsidR="00AF5BBF">
        <w:t xml:space="preserve"> </w:t>
      </w:r>
      <w:r w:rsidR="00076B05">
        <w:t xml:space="preserve">publikāciju sagatavošanas un </w:t>
      </w:r>
      <w:r w:rsidR="0066483B">
        <w:t xml:space="preserve">to </w:t>
      </w:r>
      <w:r w:rsidR="00076B05">
        <w:t>redakcionālās apstiprināšanas</w:t>
      </w:r>
      <w:r w:rsidR="00B77F88">
        <w:t xml:space="preserve"> –,</w:t>
      </w:r>
      <w:r w:rsidR="005B770A">
        <w:t xml:space="preserve"> bet gan </w:t>
      </w:r>
      <w:r w:rsidR="00B77F88">
        <w:t>tikai</w:t>
      </w:r>
      <w:r w:rsidR="005B770A">
        <w:t xml:space="preserve"> tiesvedības vajadzībām</w:t>
      </w:r>
      <w:r w:rsidR="00076B05">
        <w:t>.</w:t>
      </w:r>
    </w:p>
    <w:p w14:paraId="1B129E5A" w14:textId="2CBEE90F" w:rsidR="00EA0099" w:rsidRDefault="00993442" w:rsidP="00A06E81">
      <w:pPr>
        <w:spacing w:line="276" w:lineRule="auto"/>
        <w:ind w:firstLine="567"/>
        <w:jc w:val="both"/>
      </w:pPr>
      <w:r>
        <w:lastRenderedPageBreak/>
        <w:t>Tā</w:t>
      </w:r>
      <w:r w:rsidR="00B77F88">
        <w:t xml:space="preserve">dējādi ir atzīstams, ka </w:t>
      </w:r>
      <w:r>
        <w:t xml:space="preserve">piemērotās </w:t>
      </w:r>
      <w:r w:rsidR="00B77F88">
        <w:t>n</w:t>
      </w:r>
      <w:r w:rsidRPr="007E0155">
        <w:t>oteikum</w:t>
      </w:r>
      <w:r w:rsidR="00B77F88">
        <w:t>u</w:t>
      </w:r>
      <w:r>
        <w:t xml:space="preserve"> </w:t>
      </w:r>
      <w:r w:rsidRPr="007E0155">
        <w:t>Nr.</w:t>
      </w:r>
      <w:r w:rsidR="00EF278B">
        <w:t> </w:t>
      </w:r>
      <w:r w:rsidRPr="007E0155">
        <w:t>378</w:t>
      </w:r>
      <w:r>
        <w:t xml:space="preserve"> normas</w:t>
      </w:r>
      <w:r w:rsidR="00376FD1">
        <w:t xml:space="preserve"> </w:t>
      </w:r>
      <w:r w:rsidR="00B77F88">
        <w:t xml:space="preserve">objektīvi </w:t>
      </w:r>
      <w:r>
        <w:t xml:space="preserve">ir pietiekami skaidras, </w:t>
      </w:r>
      <w:r w:rsidR="00B77F88">
        <w:t xml:space="preserve">un </w:t>
      </w:r>
      <w:r>
        <w:t xml:space="preserve">šajā gadījumā nav pamata uzskatīt, ka pieteicēja nevarēja paredzēt to, ka tās rīcība tiks atzīta par </w:t>
      </w:r>
      <w:r w:rsidR="00B77F88">
        <w:t xml:space="preserve">šo normu </w:t>
      </w:r>
      <w:r>
        <w:t>pārkāpumu.</w:t>
      </w:r>
    </w:p>
    <w:p w14:paraId="7B1280F0" w14:textId="77777777" w:rsidR="00E34020" w:rsidRDefault="00E34020" w:rsidP="00A06E81">
      <w:pPr>
        <w:spacing w:line="276" w:lineRule="auto"/>
        <w:ind w:firstLine="567"/>
        <w:jc w:val="both"/>
      </w:pPr>
    </w:p>
    <w:p w14:paraId="31676DB1" w14:textId="60E7915F" w:rsidR="00E34020" w:rsidRDefault="00003D22" w:rsidP="00A06E81">
      <w:pPr>
        <w:spacing w:line="276" w:lineRule="auto"/>
        <w:ind w:firstLine="567"/>
        <w:jc w:val="both"/>
      </w:pPr>
      <w:r>
        <w:t>[</w:t>
      </w:r>
      <w:r w:rsidR="00ED0AF5">
        <w:t>2</w:t>
      </w:r>
      <w:r w:rsidR="00B77F88">
        <w:t>2</w:t>
      </w:r>
      <w:r>
        <w:t>]</w:t>
      </w:r>
      <w:r w:rsidR="00AF5BBF">
        <w:t xml:space="preserve"> </w:t>
      </w:r>
      <w:r w:rsidR="00F26012">
        <w:t>Pieteicēja kasācijas sūdzībā iebil</w:t>
      </w:r>
      <w:r w:rsidR="00B77F88">
        <w:t>st</w:t>
      </w:r>
      <w:r w:rsidR="00F26012">
        <w:t xml:space="preserve">, ka </w:t>
      </w:r>
      <w:r w:rsidR="00B77F88">
        <w:t xml:space="preserve">pārsūdzētajā </w:t>
      </w:r>
      <w:r w:rsidR="00F26012">
        <w:t>s</w:t>
      </w:r>
      <w:r w:rsidR="00F26012" w:rsidRPr="003406F8">
        <w:t>priedum</w:t>
      </w:r>
      <w:r w:rsidR="00B77F88">
        <w:t>ā</w:t>
      </w:r>
      <w:r w:rsidR="00F26012" w:rsidRPr="003406F8">
        <w:t xml:space="preserve"> n</w:t>
      </w:r>
      <w:r w:rsidR="00B77F88">
        <w:t xml:space="preserve">av </w:t>
      </w:r>
      <w:r w:rsidR="00F26012" w:rsidRPr="003406F8">
        <w:t>pietiekam</w:t>
      </w:r>
      <w:r w:rsidR="00B77F88">
        <w:t>a</w:t>
      </w:r>
      <w:r w:rsidR="00F26012" w:rsidRPr="003406F8">
        <w:t xml:space="preserve"> pamatojum</w:t>
      </w:r>
      <w:r w:rsidR="00B77F88">
        <w:t>a</w:t>
      </w:r>
      <w:r w:rsidR="00F26012">
        <w:t xml:space="preserve"> </w:t>
      </w:r>
      <w:r w:rsidR="00036078">
        <w:t>vārda (</w:t>
      </w:r>
      <w:r w:rsidR="00AC4114">
        <w:t>izpausmes</w:t>
      </w:r>
      <w:r w:rsidR="00036078">
        <w:t>)</w:t>
      </w:r>
      <w:r w:rsidR="00AC4114">
        <w:t xml:space="preserve"> brīvības</w:t>
      </w:r>
      <w:r w:rsidR="00F26012" w:rsidRPr="003406F8">
        <w:t xml:space="preserve"> ierobežošanai</w:t>
      </w:r>
      <w:r w:rsidR="00B77F88">
        <w:t xml:space="preserve">. </w:t>
      </w:r>
      <w:r w:rsidR="00F26012">
        <w:t>Sen</w:t>
      </w:r>
      <w:r w:rsidR="00654A7B">
        <w:t>ā</w:t>
      </w:r>
      <w:r w:rsidR="00F26012">
        <w:t xml:space="preserve">ts </w:t>
      </w:r>
      <w:r w:rsidR="00B77F88">
        <w:t xml:space="preserve">turpmāk minēto apsvērumu dēļ šo </w:t>
      </w:r>
      <w:r w:rsidR="00F26012">
        <w:t>argumentu atzīst par nepamatotu.</w:t>
      </w:r>
    </w:p>
    <w:p w14:paraId="1CC62C0B" w14:textId="77777777" w:rsidR="00F26012" w:rsidRDefault="00F26012" w:rsidP="00A06E81">
      <w:pPr>
        <w:spacing w:line="276" w:lineRule="auto"/>
        <w:ind w:firstLine="567"/>
        <w:jc w:val="both"/>
      </w:pPr>
    </w:p>
    <w:p w14:paraId="6FD8D334" w14:textId="28317896" w:rsidR="00F26012" w:rsidRDefault="00F26012" w:rsidP="00A06E81">
      <w:pPr>
        <w:spacing w:line="276" w:lineRule="auto"/>
        <w:ind w:firstLine="567"/>
        <w:jc w:val="both"/>
        <w:rPr>
          <w:lang w:eastAsia="en-US"/>
        </w:rPr>
      </w:pPr>
      <w:r>
        <w:t>[2</w:t>
      </w:r>
      <w:r w:rsidR="00B77F88">
        <w:t>3</w:t>
      </w:r>
      <w:r>
        <w:t>]</w:t>
      </w:r>
      <w:r w:rsidR="00AF5BBF">
        <w:t xml:space="preserve"> </w:t>
      </w:r>
      <w:r w:rsidR="00B77F88">
        <w:t>P</w:t>
      </w:r>
      <w:r w:rsidR="00B07669">
        <w:t>ieteicējai ar pārsūdzēto lēmumu noteiktais pienākums</w:t>
      </w:r>
      <w:r w:rsidR="00AF5BBF">
        <w:t xml:space="preserve"> </w:t>
      </w:r>
      <w:r w:rsidR="00B07669">
        <w:t xml:space="preserve">– </w:t>
      </w:r>
      <w:r w:rsidR="00E07771" w:rsidRPr="00EC00D3">
        <w:t>aizlie</w:t>
      </w:r>
      <w:r w:rsidR="00E07771">
        <w:t xml:space="preserve">gums </w:t>
      </w:r>
      <w:r w:rsidR="00E07771" w:rsidRPr="00EC00D3">
        <w:t>izplatīt normatīvo aktu prasībām neatbilstošu un aizliegtu zāļu reklāmu</w:t>
      </w:r>
      <w:r w:rsidR="00E07771">
        <w:t xml:space="preserve"> – </w:t>
      </w:r>
      <w:r w:rsidR="00AB09F0">
        <w:t>ir vērsts uz sabiedrības veselības aizsardzību</w:t>
      </w:r>
      <w:r w:rsidR="000026F9">
        <w:t xml:space="preserve"> un </w:t>
      </w:r>
      <w:r w:rsidR="00DF5F32">
        <w:t>citu cilvēku</w:t>
      </w:r>
      <w:r w:rsidR="003763A7">
        <w:t xml:space="preserve">, arī </w:t>
      </w:r>
      <w:r w:rsidR="000026F9">
        <w:t>pacientu</w:t>
      </w:r>
      <w:r w:rsidR="00036078">
        <w:t>,</w:t>
      </w:r>
      <w:r w:rsidR="000026F9">
        <w:t xml:space="preserve"> tiesīb</w:t>
      </w:r>
      <w:r w:rsidR="009D6EFA">
        <w:t>u aizsardzību</w:t>
      </w:r>
      <w:r w:rsidR="000026F9">
        <w:t xml:space="preserve"> Satversmes 116.panta un </w:t>
      </w:r>
      <w:r w:rsidR="00B77F88">
        <w:t>K</w:t>
      </w:r>
      <w:r w:rsidR="00B07669" w:rsidRPr="00183D44">
        <w:rPr>
          <w:lang w:eastAsia="en-US"/>
        </w:rPr>
        <w:t>onvencijas 10.panta 2.punkta izpratnē</w:t>
      </w:r>
      <w:r w:rsidR="000026F9">
        <w:rPr>
          <w:lang w:eastAsia="en-US"/>
        </w:rPr>
        <w:t>.</w:t>
      </w:r>
    </w:p>
    <w:p w14:paraId="0E8C173C" w14:textId="77777777" w:rsidR="00003D22" w:rsidRDefault="00003D22" w:rsidP="00A06E81">
      <w:pPr>
        <w:spacing w:line="276" w:lineRule="auto"/>
        <w:ind w:firstLine="567"/>
        <w:jc w:val="both"/>
      </w:pPr>
    </w:p>
    <w:p w14:paraId="29BE6C4B" w14:textId="08DD648B" w:rsidR="00AC4114" w:rsidRDefault="00B60C1C" w:rsidP="00A06E81">
      <w:pPr>
        <w:spacing w:line="276" w:lineRule="auto"/>
        <w:ind w:firstLine="567"/>
        <w:jc w:val="both"/>
        <w:rPr>
          <w:lang w:eastAsia="en-US"/>
        </w:rPr>
      </w:pPr>
      <w:r>
        <w:t>[2</w:t>
      </w:r>
      <w:r w:rsidR="00B77F88">
        <w:t>4</w:t>
      </w:r>
      <w:r>
        <w:t>]</w:t>
      </w:r>
      <w:r w:rsidR="00AF5BBF">
        <w:t xml:space="preserve"> </w:t>
      </w:r>
      <w:r w:rsidR="00C737B5">
        <w:rPr>
          <w:lang w:eastAsia="en-US"/>
        </w:rPr>
        <w:t xml:space="preserve">Kā Senāts atzina iepriekš, ierobežojumi pieteicējas </w:t>
      </w:r>
      <w:r w:rsidR="00036078">
        <w:t>vārda (izpausmes) brīvībai</w:t>
      </w:r>
      <w:r w:rsidR="00036078" w:rsidRPr="003406F8">
        <w:t xml:space="preserve"> </w:t>
      </w:r>
      <w:r w:rsidR="00C737B5">
        <w:rPr>
          <w:lang w:eastAsia="en-US"/>
        </w:rPr>
        <w:t xml:space="preserve">ir noteikti likumā, kas ir skaidrs un saprotams. </w:t>
      </w:r>
    </w:p>
    <w:p w14:paraId="0842EFFC" w14:textId="01703BE6" w:rsidR="00744872" w:rsidRDefault="003A07FD" w:rsidP="00A06E81">
      <w:pPr>
        <w:spacing w:line="276" w:lineRule="auto"/>
        <w:ind w:firstLine="567"/>
        <w:jc w:val="both"/>
        <w:rPr>
          <w:lang w:eastAsia="en-US"/>
        </w:rPr>
      </w:pPr>
      <w:r>
        <w:rPr>
          <w:lang w:eastAsia="en-US"/>
        </w:rPr>
        <w:t>Likumam un arī ar pārsūdzēto lēmumu uzliktajam pienākumam ir leģitīms mērķis</w:t>
      </w:r>
      <w:r w:rsidR="00744872">
        <w:rPr>
          <w:lang w:eastAsia="en-US"/>
        </w:rPr>
        <w:t xml:space="preserve">, kas vairākkārt ir skaidrots arī Eiropas Savienības </w:t>
      </w:r>
      <w:r w:rsidR="00AC4114">
        <w:rPr>
          <w:lang w:eastAsia="en-US"/>
        </w:rPr>
        <w:t>T</w:t>
      </w:r>
      <w:r w:rsidR="00744872">
        <w:rPr>
          <w:lang w:eastAsia="en-US"/>
        </w:rPr>
        <w:t>iesas judikatūrā.</w:t>
      </w:r>
      <w:r w:rsidR="00AC4114">
        <w:rPr>
          <w:bCs/>
        </w:rPr>
        <w:t xml:space="preserve"> </w:t>
      </w:r>
      <w:r w:rsidR="00943C9A">
        <w:rPr>
          <w:bCs/>
        </w:rPr>
        <w:t>Proti,</w:t>
      </w:r>
      <w:r w:rsidR="00744872">
        <w:rPr>
          <w:lang w:eastAsia="en-US"/>
        </w:rPr>
        <w:t xml:space="preserve"> direktīvas 2001/83 preambulas 2.apsvērumā norādīts, ka s</w:t>
      </w:r>
      <w:r w:rsidR="00744872" w:rsidRPr="00AC62CC">
        <w:rPr>
          <w:lang w:eastAsia="en-US"/>
        </w:rPr>
        <w:t>abiedrības veselības aizsardzībai jābūt visu to noteikumu pamatmērķim, kas reglamentē zāļu ražošanu, sadali un izmantošanu</w:t>
      </w:r>
      <w:r w:rsidR="00744872">
        <w:rPr>
          <w:lang w:eastAsia="en-US"/>
        </w:rPr>
        <w:t xml:space="preserve">. </w:t>
      </w:r>
    </w:p>
    <w:p w14:paraId="0AFD4861" w14:textId="3450E2D1" w:rsidR="00744872" w:rsidRPr="00E124C8" w:rsidRDefault="00744872" w:rsidP="00A06E81">
      <w:pPr>
        <w:spacing w:line="276" w:lineRule="auto"/>
        <w:ind w:firstLine="567"/>
        <w:jc w:val="both"/>
        <w:rPr>
          <w:bCs/>
        </w:rPr>
      </w:pPr>
      <w:r w:rsidRPr="00D45211">
        <w:rPr>
          <w:bCs/>
        </w:rPr>
        <w:t xml:space="preserve">Atbilstoši Eiropas Savienības </w:t>
      </w:r>
      <w:r w:rsidR="00AC4114">
        <w:rPr>
          <w:bCs/>
        </w:rPr>
        <w:t>T</w:t>
      </w:r>
      <w:r w:rsidRPr="00D45211">
        <w:rPr>
          <w:bCs/>
        </w:rPr>
        <w:t>iesas judikatūrai direktīvas 2001/83 galvenais mērķis ir</w:t>
      </w:r>
      <w:r>
        <w:rPr>
          <w:bCs/>
        </w:rPr>
        <w:t xml:space="preserve"> </w:t>
      </w:r>
      <w:r w:rsidRPr="00D45211">
        <w:rPr>
          <w:bCs/>
        </w:rPr>
        <w:t>sabiedrības veselības aizsardzība, jo zāļu reklāma var kaitēt cilvēku veselībai, ņemot vērā smagās</w:t>
      </w:r>
      <w:r>
        <w:rPr>
          <w:bCs/>
        </w:rPr>
        <w:t xml:space="preserve"> </w:t>
      </w:r>
      <w:r w:rsidRPr="00D45211">
        <w:rPr>
          <w:bCs/>
        </w:rPr>
        <w:t>sekas veselībai, kādas var radīt recepšu zāļu nepareiza vai pārmērīga lietošana, un riskus, kas arī var</w:t>
      </w:r>
      <w:r>
        <w:rPr>
          <w:bCs/>
        </w:rPr>
        <w:t xml:space="preserve"> </w:t>
      </w:r>
      <w:r w:rsidRPr="00D45211">
        <w:rPr>
          <w:bCs/>
        </w:rPr>
        <w:t>būt saistīti ar pārmērīgu un nepārdomātu bezrecepšu zāļu lietošanu. Terapeitiskā iedarbība tās</w:t>
      </w:r>
      <w:r>
        <w:rPr>
          <w:bCs/>
        </w:rPr>
        <w:t xml:space="preserve"> </w:t>
      </w:r>
      <w:r w:rsidRPr="00D45211">
        <w:rPr>
          <w:bCs/>
        </w:rPr>
        <w:t>būtiski atšķir no citām precēm. Terapeitiskās iedarbības dēļ zāles, ja tās tiek lietotas bez vajadzības</w:t>
      </w:r>
      <w:r>
        <w:rPr>
          <w:bCs/>
        </w:rPr>
        <w:t xml:space="preserve"> </w:t>
      </w:r>
      <w:r w:rsidRPr="00D45211">
        <w:rPr>
          <w:bCs/>
        </w:rPr>
        <w:t>vai nepareizā veidā, var būtiski apdraudēt veselību, par ko pacients var nezināt zāļu lietošanas laikā.</w:t>
      </w:r>
      <w:r>
        <w:rPr>
          <w:bCs/>
        </w:rPr>
        <w:t xml:space="preserve"> </w:t>
      </w:r>
      <w:r w:rsidRPr="00D45211">
        <w:rPr>
          <w:bCs/>
        </w:rPr>
        <w:t>Turklāt zāļu pārmērīga vai nepareiza lietošana rada risku valstu sociālā nodrošinājuma sistēmu</w:t>
      </w:r>
      <w:r>
        <w:rPr>
          <w:bCs/>
        </w:rPr>
        <w:t xml:space="preserve"> </w:t>
      </w:r>
      <w:r w:rsidRPr="00D45211">
        <w:rPr>
          <w:bCs/>
        </w:rPr>
        <w:t xml:space="preserve">finansiālajam līdzsvaram </w:t>
      </w:r>
      <w:r w:rsidR="00B77F88">
        <w:rPr>
          <w:bCs/>
        </w:rPr>
        <w:t>(</w:t>
      </w:r>
      <w:r w:rsidR="00EF278B" w:rsidRPr="002B4CA2">
        <w:rPr>
          <w:i/>
          <w:iCs/>
        </w:rPr>
        <w:t xml:space="preserve">Eiropas Savienības Tiesas 2022.gada 22.decembra sprieduma lietā </w:t>
      </w:r>
      <w:r w:rsidR="00B77F88">
        <w:rPr>
          <w:i/>
          <w:iCs/>
        </w:rPr>
        <w:t>„</w:t>
      </w:r>
      <w:r w:rsidR="00EF278B" w:rsidRPr="008B447D">
        <w:rPr>
          <w:i/>
          <w:iCs/>
        </w:rPr>
        <w:t>EUROAPTIEKA</w:t>
      </w:r>
      <w:r w:rsidR="00EF278B">
        <w:rPr>
          <w:i/>
          <w:iCs/>
        </w:rPr>
        <w:t>”,</w:t>
      </w:r>
      <w:r w:rsidR="00AF5BBF">
        <w:rPr>
          <w:i/>
          <w:iCs/>
        </w:rPr>
        <w:t xml:space="preserve"> </w:t>
      </w:r>
      <w:r w:rsidR="00EF278B" w:rsidRPr="002B4CA2">
        <w:rPr>
          <w:i/>
          <w:iCs/>
        </w:rPr>
        <w:t>C-530/20</w:t>
      </w:r>
      <w:r w:rsidR="00EF278B">
        <w:rPr>
          <w:i/>
          <w:iCs/>
        </w:rPr>
        <w:t xml:space="preserve">, </w:t>
      </w:r>
      <w:hyperlink r:id="rId26" w:history="1">
        <w:r w:rsidR="00EF278B" w:rsidRPr="008B447D">
          <w:rPr>
            <w:rStyle w:val="Hyperlink"/>
            <w:i/>
            <w:iCs/>
          </w:rPr>
          <w:t>ECLI:EU:C:2022:1014</w:t>
        </w:r>
      </w:hyperlink>
      <w:r w:rsidR="00EF278B">
        <w:rPr>
          <w:i/>
          <w:iCs/>
        </w:rPr>
        <w:t xml:space="preserve">, </w:t>
      </w:r>
      <w:r w:rsidRPr="00E959BB">
        <w:rPr>
          <w:bCs/>
          <w:i/>
          <w:iCs/>
        </w:rPr>
        <w:t>39.</w:t>
      </w:r>
      <w:r w:rsidR="00413A95">
        <w:rPr>
          <w:bCs/>
          <w:i/>
          <w:iCs/>
        </w:rPr>
        <w:t>–</w:t>
      </w:r>
      <w:r w:rsidRPr="00E959BB">
        <w:rPr>
          <w:bCs/>
          <w:i/>
          <w:iCs/>
        </w:rPr>
        <w:t xml:space="preserve">41.punkts </w:t>
      </w:r>
      <w:r w:rsidR="00B07F08">
        <w:rPr>
          <w:bCs/>
          <w:i/>
          <w:iCs/>
        </w:rPr>
        <w:t xml:space="preserve">un </w:t>
      </w:r>
      <w:r>
        <w:rPr>
          <w:bCs/>
          <w:i/>
          <w:iCs/>
        </w:rPr>
        <w:t>tajā minēt</w:t>
      </w:r>
      <w:r w:rsidR="00B07F08">
        <w:rPr>
          <w:bCs/>
          <w:i/>
          <w:iCs/>
        </w:rPr>
        <w:t>ā</w:t>
      </w:r>
      <w:r w:rsidRPr="00E959BB">
        <w:rPr>
          <w:bCs/>
          <w:i/>
          <w:iCs/>
        </w:rPr>
        <w:t xml:space="preserve"> judikatūr</w:t>
      </w:r>
      <w:r w:rsidR="00B07F08">
        <w:rPr>
          <w:bCs/>
          <w:i/>
          <w:iCs/>
        </w:rPr>
        <w:t>a</w:t>
      </w:r>
      <w:r w:rsidR="00B07F08">
        <w:rPr>
          <w:bCs/>
        </w:rPr>
        <w:t>)</w:t>
      </w:r>
      <w:r>
        <w:rPr>
          <w:bCs/>
        </w:rPr>
        <w:t>.</w:t>
      </w:r>
    </w:p>
    <w:p w14:paraId="31CE5CB3" w14:textId="65CB3F0F" w:rsidR="00744872" w:rsidRPr="00001CF4" w:rsidRDefault="00744872" w:rsidP="00A06E81">
      <w:pPr>
        <w:spacing w:line="276" w:lineRule="auto"/>
        <w:ind w:firstLine="567"/>
        <w:jc w:val="both"/>
        <w:rPr>
          <w:bCs/>
        </w:rPr>
      </w:pPr>
      <w:r>
        <w:rPr>
          <w:bCs/>
        </w:rPr>
        <w:t xml:space="preserve">Eiropas Savienības </w:t>
      </w:r>
      <w:r w:rsidR="00AC4114">
        <w:rPr>
          <w:bCs/>
        </w:rPr>
        <w:t>T</w:t>
      </w:r>
      <w:r>
        <w:rPr>
          <w:bCs/>
        </w:rPr>
        <w:t xml:space="preserve">iesa </w:t>
      </w:r>
      <w:r w:rsidR="00413A95">
        <w:rPr>
          <w:bCs/>
        </w:rPr>
        <w:t xml:space="preserve">ir </w:t>
      </w:r>
      <w:r>
        <w:rPr>
          <w:bCs/>
        </w:rPr>
        <w:t>atzinusi, ka d</w:t>
      </w:r>
      <w:r w:rsidRPr="00001CF4">
        <w:rPr>
          <w:bCs/>
        </w:rPr>
        <w:t>irektīvas</w:t>
      </w:r>
      <w:r w:rsidR="00AF5BBF">
        <w:rPr>
          <w:bCs/>
        </w:rPr>
        <w:t xml:space="preserve"> </w:t>
      </w:r>
      <w:r w:rsidRPr="00001CF4">
        <w:rPr>
          <w:bCs/>
        </w:rPr>
        <w:t xml:space="preserve">2001/83 88.panta 1.punkta </w:t>
      </w:r>
      <w:r w:rsidR="00413A95">
        <w:rPr>
          <w:bCs/>
        </w:rPr>
        <w:t>„</w:t>
      </w:r>
      <w:r w:rsidRPr="00001CF4">
        <w:rPr>
          <w:bCs/>
        </w:rPr>
        <w:t>a</w:t>
      </w:r>
      <w:r w:rsidR="00413A95">
        <w:rPr>
          <w:bCs/>
        </w:rPr>
        <w:t>”</w:t>
      </w:r>
      <w:r w:rsidRPr="00001CF4">
        <w:rPr>
          <w:bCs/>
        </w:rPr>
        <w:t> apakšpunktā bez izņēmuma ir aizliegta attiecīgi jebkāda reklāma iedzīvotājiem attiecībā uz zālēm, kuras var tikt izsniegtas tikai ar ārsta recepti.</w:t>
      </w:r>
      <w:r w:rsidR="00AF5BBF">
        <w:rPr>
          <w:bCs/>
        </w:rPr>
        <w:t xml:space="preserve"> </w:t>
      </w:r>
      <w:r w:rsidRPr="00001CF4">
        <w:rPr>
          <w:bCs/>
        </w:rPr>
        <w:t xml:space="preserve">Tāpat būtiskajam mērķim aizsargāt sabiedrības veselību atbilst minētās direktīvas 88.panta 2.punkts kopsakarā ar tās 45.apsvērumu, saskaņā ar kuru ir atļauta bezrecepšu zāļu reklāma iedzīvotājiem, ja tiek ievēroti šajā pašā direktīvā paredzētie nosacījumi un ierobežojumi </w:t>
      </w:r>
      <w:r w:rsidR="00413A95">
        <w:rPr>
          <w:bCs/>
        </w:rPr>
        <w:t>(</w:t>
      </w:r>
      <w:r>
        <w:rPr>
          <w:bCs/>
          <w:i/>
          <w:iCs/>
        </w:rPr>
        <w:t>turpat,</w:t>
      </w:r>
      <w:r w:rsidRPr="00196197">
        <w:rPr>
          <w:bCs/>
          <w:i/>
          <w:iCs/>
        </w:rPr>
        <w:t xml:space="preserve"> 42.</w:t>
      </w:r>
      <w:r w:rsidR="00413A95">
        <w:rPr>
          <w:bCs/>
          <w:i/>
          <w:iCs/>
        </w:rPr>
        <w:t>–</w:t>
      </w:r>
      <w:r w:rsidRPr="00196197">
        <w:rPr>
          <w:bCs/>
          <w:i/>
          <w:iCs/>
        </w:rPr>
        <w:t xml:space="preserve">43.punkts </w:t>
      </w:r>
      <w:r w:rsidR="00B07F08">
        <w:rPr>
          <w:bCs/>
          <w:i/>
          <w:iCs/>
        </w:rPr>
        <w:t xml:space="preserve">un </w:t>
      </w:r>
      <w:r w:rsidRPr="00196197">
        <w:rPr>
          <w:bCs/>
          <w:i/>
          <w:iCs/>
        </w:rPr>
        <w:t>tajā minēt</w:t>
      </w:r>
      <w:r w:rsidR="00B07F08">
        <w:rPr>
          <w:bCs/>
          <w:i/>
          <w:iCs/>
        </w:rPr>
        <w:t>ā</w:t>
      </w:r>
      <w:r w:rsidRPr="00196197">
        <w:rPr>
          <w:bCs/>
          <w:i/>
          <w:iCs/>
        </w:rPr>
        <w:t xml:space="preserve"> judikatūr</w:t>
      </w:r>
      <w:r w:rsidR="00B07F08">
        <w:rPr>
          <w:bCs/>
          <w:i/>
          <w:iCs/>
        </w:rPr>
        <w:t>a</w:t>
      </w:r>
      <w:r w:rsidR="00B07F08">
        <w:rPr>
          <w:bCs/>
        </w:rPr>
        <w:t>)</w:t>
      </w:r>
      <w:r w:rsidRPr="00001CF4">
        <w:rPr>
          <w:bCs/>
        </w:rPr>
        <w:t>, jo šī reklāma, kā izriet no šī 45.apsvēruma, ja tā ir pārmērīga un nepārdomāta, var ietekmēt sabiedrības veselību</w:t>
      </w:r>
      <w:r>
        <w:rPr>
          <w:bCs/>
        </w:rPr>
        <w:t>.</w:t>
      </w:r>
    </w:p>
    <w:p w14:paraId="54C6FFFD" w14:textId="4021D4E5" w:rsidR="00744872" w:rsidRDefault="00744872" w:rsidP="00A06E81">
      <w:pPr>
        <w:spacing w:line="276" w:lineRule="auto"/>
        <w:ind w:firstLine="567"/>
        <w:jc w:val="both"/>
        <w:rPr>
          <w:bCs/>
        </w:rPr>
      </w:pPr>
      <w:r>
        <w:rPr>
          <w:bCs/>
        </w:rPr>
        <w:t xml:space="preserve">Eiropas Savienības </w:t>
      </w:r>
      <w:r w:rsidR="00AC4114">
        <w:rPr>
          <w:bCs/>
        </w:rPr>
        <w:t>T</w:t>
      </w:r>
      <w:r>
        <w:rPr>
          <w:bCs/>
        </w:rPr>
        <w:t>iesa ir noteikusi, ka</w:t>
      </w:r>
      <w:r w:rsidR="00413A95">
        <w:rPr>
          <w:bCs/>
        </w:rPr>
        <w:t>,</w:t>
      </w:r>
      <w:r>
        <w:rPr>
          <w:bCs/>
        </w:rPr>
        <w:t xml:space="preserve"> </w:t>
      </w:r>
      <w:r w:rsidRPr="001202D1">
        <w:rPr>
          <w:bCs/>
        </w:rPr>
        <w:t xml:space="preserve">tā kā zāļu reklāma, tostarp bezrecepšu zāļu reklāma, var kaitēt sabiedrības veselībai, uz šādu reklāmu attiecas </w:t>
      </w:r>
      <w:r>
        <w:rPr>
          <w:bCs/>
        </w:rPr>
        <w:t>d</w:t>
      </w:r>
      <w:r w:rsidRPr="001202D1">
        <w:rPr>
          <w:bCs/>
        </w:rPr>
        <w:t>irektīvā 2001/83 paredzētie aizliegumi, nosacījumi un ierobežojumi.</w:t>
      </w:r>
      <w:r>
        <w:rPr>
          <w:bCs/>
        </w:rPr>
        <w:t xml:space="preserve"> </w:t>
      </w:r>
      <w:r w:rsidRPr="001202D1">
        <w:rPr>
          <w:bCs/>
        </w:rPr>
        <w:t>Turklāt ar šo direktīvu zāļu reklāmas jomā ir veikta pilnīga saskaņošana. Līdz ar to</w:t>
      </w:r>
      <w:r w:rsidR="00AF5BBF">
        <w:rPr>
          <w:bCs/>
        </w:rPr>
        <w:t xml:space="preserve"> </w:t>
      </w:r>
      <w:r w:rsidRPr="001202D1">
        <w:rPr>
          <w:bCs/>
        </w:rPr>
        <w:t xml:space="preserve">– ja dalībvalstīm nav skaidri paredzētas tiesības paredzēt atšķirīgus noteikumus, vienīgās prasības, ko tās var izvirzīt zāļu reklāmai, ir minētajā direktīvā noteiktās prasības </w:t>
      </w:r>
      <w:r w:rsidR="00413A95">
        <w:rPr>
          <w:bCs/>
        </w:rPr>
        <w:t>(</w:t>
      </w:r>
      <w:r>
        <w:rPr>
          <w:bCs/>
          <w:i/>
          <w:iCs/>
        </w:rPr>
        <w:t>turpat,</w:t>
      </w:r>
      <w:r w:rsidRPr="00571B9A">
        <w:rPr>
          <w:bCs/>
          <w:i/>
          <w:iCs/>
        </w:rPr>
        <w:t xml:space="preserve"> 59.</w:t>
      </w:r>
      <w:r w:rsidR="00413A95">
        <w:rPr>
          <w:bCs/>
          <w:i/>
          <w:iCs/>
        </w:rPr>
        <w:t>–</w:t>
      </w:r>
      <w:r w:rsidRPr="00571B9A">
        <w:rPr>
          <w:bCs/>
          <w:i/>
          <w:iCs/>
        </w:rPr>
        <w:t xml:space="preserve">60.punkts </w:t>
      </w:r>
      <w:r w:rsidR="00B07F08">
        <w:rPr>
          <w:bCs/>
          <w:i/>
          <w:iCs/>
        </w:rPr>
        <w:t xml:space="preserve">un </w:t>
      </w:r>
      <w:r w:rsidRPr="00571B9A">
        <w:rPr>
          <w:bCs/>
          <w:i/>
          <w:iCs/>
        </w:rPr>
        <w:t>tajā minēt</w:t>
      </w:r>
      <w:r w:rsidR="00B07F08">
        <w:rPr>
          <w:bCs/>
          <w:i/>
          <w:iCs/>
        </w:rPr>
        <w:t>ā</w:t>
      </w:r>
      <w:r w:rsidRPr="00571B9A">
        <w:rPr>
          <w:bCs/>
          <w:i/>
          <w:iCs/>
        </w:rPr>
        <w:t xml:space="preserve"> judikatūr</w:t>
      </w:r>
      <w:r w:rsidR="00B07F08">
        <w:rPr>
          <w:bCs/>
          <w:i/>
          <w:iCs/>
        </w:rPr>
        <w:t>a</w:t>
      </w:r>
      <w:r w:rsidR="00413A95">
        <w:rPr>
          <w:bCs/>
        </w:rPr>
        <w:t>)</w:t>
      </w:r>
      <w:r w:rsidRPr="001202D1">
        <w:rPr>
          <w:bCs/>
        </w:rPr>
        <w:t>.</w:t>
      </w:r>
    </w:p>
    <w:p w14:paraId="43D3A57A" w14:textId="7DDAAB77" w:rsidR="00744872" w:rsidRDefault="00744872" w:rsidP="00A06E81">
      <w:pPr>
        <w:spacing w:line="276" w:lineRule="auto"/>
        <w:ind w:firstLine="567"/>
        <w:jc w:val="both"/>
        <w:rPr>
          <w:lang w:eastAsia="en-US"/>
        </w:rPr>
      </w:pPr>
      <w:r>
        <w:rPr>
          <w:bCs/>
        </w:rPr>
        <w:lastRenderedPageBreak/>
        <w:t xml:space="preserve">Ņemot vērā </w:t>
      </w:r>
      <w:r w:rsidR="00413A95">
        <w:rPr>
          <w:bCs/>
        </w:rPr>
        <w:t>minēto</w:t>
      </w:r>
      <w:r>
        <w:rPr>
          <w:bCs/>
        </w:rPr>
        <w:t xml:space="preserve">, </w:t>
      </w:r>
      <w:r w:rsidR="00413A95">
        <w:rPr>
          <w:bCs/>
        </w:rPr>
        <w:t>n</w:t>
      </w:r>
      <w:r>
        <w:rPr>
          <w:bCs/>
        </w:rPr>
        <w:t>oteikumu Nr.</w:t>
      </w:r>
      <w:r w:rsidR="00AF5BBF">
        <w:rPr>
          <w:bCs/>
        </w:rPr>
        <w:t> </w:t>
      </w:r>
      <w:r>
        <w:rPr>
          <w:bCs/>
        </w:rPr>
        <w:t>378 normu, kurās iekļautas direktīvas</w:t>
      </w:r>
      <w:r w:rsidR="00AF5BBF">
        <w:rPr>
          <w:bCs/>
        </w:rPr>
        <w:t> </w:t>
      </w:r>
      <w:r>
        <w:rPr>
          <w:bCs/>
        </w:rPr>
        <w:t xml:space="preserve">2001/83 normas, </w:t>
      </w:r>
      <w:r w:rsidR="00036078">
        <w:rPr>
          <w:bCs/>
        </w:rPr>
        <w:t xml:space="preserve">leģitīmais </w:t>
      </w:r>
      <w:r>
        <w:rPr>
          <w:bCs/>
        </w:rPr>
        <w:t xml:space="preserve">mērķis ir </w:t>
      </w:r>
      <w:r w:rsidRPr="00C2198F">
        <w:rPr>
          <w:lang w:eastAsia="en-US"/>
        </w:rPr>
        <w:t xml:space="preserve">sociāla vajadzība aizsargāt </w:t>
      </w:r>
      <w:r>
        <w:rPr>
          <w:lang w:eastAsia="en-US"/>
        </w:rPr>
        <w:t>s</w:t>
      </w:r>
      <w:r w:rsidRPr="00AC62CC">
        <w:rPr>
          <w:lang w:eastAsia="en-US"/>
        </w:rPr>
        <w:t>abiedrības veselīb</w:t>
      </w:r>
      <w:r w:rsidR="00B07F08">
        <w:rPr>
          <w:lang w:eastAsia="en-US"/>
        </w:rPr>
        <w:t>u</w:t>
      </w:r>
      <w:r w:rsidRPr="00C2198F">
        <w:rPr>
          <w:lang w:eastAsia="en-US"/>
        </w:rPr>
        <w:t>.</w:t>
      </w:r>
    </w:p>
    <w:p w14:paraId="26B30B96" w14:textId="77777777" w:rsidR="00744872" w:rsidRDefault="00744872" w:rsidP="00A06E81">
      <w:pPr>
        <w:spacing w:line="276" w:lineRule="auto"/>
        <w:ind w:firstLine="567"/>
        <w:jc w:val="both"/>
      </w:pPr>
    </w:p>
    <w:p w14:paraId="66352EEE" w14:textId="6B11EED1" w:rsidR="003F6195" w:rsidRDefault="005B4F71" w:rsidP="00A06E81">
      <w:pPr>
        <w:spacing w:line="276" w:lineRule="auto"/>
        <w:ind w:firstLine="567"/>
        <w:jc w:val="both"/>
        <w:rPr>
          <w:rFonts w:ascii="TimesNewRomanPSMT" w:hAnsi="TimesNewRomanPSMT"/>
        </w:rPr>
      </w:pPr>
      <w:r>
        <w:t>[2</w:t>
      </w:r>
      <w:r w:rsidR="00413A95">
        <w:t>5</w:t>
      </w:r>
      <w:r>
        <w:t>]</w:t>
      </w:r>
      <w:r w:rsidR="00AF5BBF">
        <w:t xml:space="preserve"> </w:t>
      </w:r>
      <w:r w:rsidR="00413A95">
        <w:t xml:space="preserve">Turklāt </w:t>
      </w:r>
      <w:r w:rsidR="009A55BA">
        <w:rPr>
          <w:bCs/>
        </w:rPr>
        <w:t xml:space="preserve">Senāts paskaidro, ka </w:t>
      </w:r>
      <w:r w:rsidR="009A55BA">
        <w:rPr>
          <w:rFonts w:ascii="TimesNewRomanPSMT" w:hAnsi="TimesNewRomanPSMT"/>
        </w:rPr>
        <w:t>kasatoram kasācijas sūdzībā ir jāizvirza skaidri un precīzi argumenti par pieļauto pārkāpumu. Ar argumentu tiek saprasts ne tikai apgalvojums par iespējamu pārkāpumu, bet arī šā apgalvojuma pamatojums</w:t>
      </w:r>
      <w:r w:rsidR="00AF5BBF">
        <w:rPr>
          <w:rFonts w:ascii="TimesNewRomanPSMT" w:hAnsi="TimesNewRomanPSMT"/>
        </w:rPr>
        <w:t xml:space="preserve"> </w:t>
      </w:r>
      <w:r w:rsidR="009A55BA">
        <w:rPr>
          <w:rFonts w:ascii="TimesNewRomanPSMT" w:hAnsi="TimesNewRomanPSMT"/>
        </w:rPr>
        <w:t>–</w:t>
      </w:r>
      <w:r w:rsidR="00AF5BBF">
        <w:rPr>
          <w:rFonts w:ascii="TimesNewRomanPSMT" w:hAnsi="TimesNewRomanPSMT"/>
        </w:rPr>
        <w:t xml:space="preserve"> </w:t>
      </w:r>
      <w:r w:rsidR="009A55BA">
        <w:rPr>
          <w:rFonts w:ascii="TimesNewRomanPSMT" w:hAnsi="TimesNewRomanPSMT"/>
        </w:rPr>
        <w:t>pārkāptā tiesību norma un kā šis pārkāpums ir izpaudies konkrētajā spriedumā</w:t>
      </w:r>
      <w:r w:rsidR="00B07F08">
        <w:rPr>
          <w:rFonts w:ascii="TimesNewRomanPSMT" w:hAnsi="TimesNewRomanPSMT"/>
        </w:rPr>
        <w:t xml:space="preserve">. Par argumentu nav uzskatāmi vispārīgi iebildumi </w:t>
      </w:r>
      <w:r w:rsidR="009A55BA">
        <w:rPr>
          <w:rFonts w:ascii="TimesNewRomanPSMT" w:hAnsi="TimesNewRomanPSMT"/>
        </w:rPr>
        <w:t>(</w:t>
      </w:r>
      <w:r w:rsidR="009A55BA" w:rsidRPr="00173BCC">
        <w:rPr>
          <w:rFonts w:ascii="TimesNewRomanPSMT" w:hAnsi="TimesNewRomanPSMT"/>
          <w:i/>
          <w:iCs/>
        </w:rPr>
        <w:t>Senāta 2023.gada 28.novembra spriedums lietā Nr.</w:t>
      </w:r>
      <w:r w:rsidR="009A55BA">
        <w:rPr>
          <w:rFonts w:ascii="TimesNewRomanPSMT" w:hAnsi="TimesNewRomanPSMT"/>
          <w:i/>
          <w:iCs/>
        </w:rPr>
        <w:t> </w:t>
      </w:r>
      <w:r w:rsidR="009A55BA" w:rsidRPr="00173BCC">
        <w:rPr>
          <w:rFonts w:ascii="TimesNewRomanPSMT" w:hAnsi="TimesNewRomanPSMT"/>
          <w:i/>
          <w:iCs/>
        </w:rPr>
        <w:t xml:space="preserve">SKA-71/2023 </w:t>
      </w:r>
      <w:hyperlink r:id="rId27" w:history="1">
        <w:r w:rsidR="009A55BA" w:rsidRPr="00173BCC">
          <w:rPr>
            <w:rStyle w:val="Hyperlink"/>
            <w:rFonts w:ascii="TimesNewRomanPSMT" w:eastAsiaTheme="minorHAnsi" w:hAnsi="TimesNewRomanPSMT" w:cs="TimesNewRomanPSMT"/>
            <w:i/>
            <w:iCs/>
            <w:lang w:eastAsia="en-US"/>
          </w:rPr>
          <w:t>ECLI:LV:AT:2023:1128.A420341117.19.S</w:t>
        </w:r>
      </w:hyperlink>
      <w:r w:rsidR="009A55BA" w:rsidRPr="00173BCC">
        <w:rPr>
          <w:i/>
          <w:iCs/>
        </w:rPr>
        <w:t xml:space="preserve"> 6.punkts</w:t>
      </w:r>
      <w:r w:rsidR="009A55BA">
        <w:t>)</w:t>
      </w:r>
      <w:r w:rsidR="009A55BA">
        <w:rPr>
          <w:rFonts w:ascii="TimesNewRomanPSMT" w:hAnsi="TimesNewRomanPSMT"/>
        </w:rPr>
        <w:t xml:space="preserve">. </w:t>
      </w:r>
    </w:p>
    <w:p w14:paraId="2E133F76" w14:textId="65F21748" w:rsidR="001C7C68" w:rsidRDefault="003F6195" w:rsidP="00A06E81">
      <w:pPr>
        <w:spacing w:line="276" w:lineRule="auto"/>
        <w:ind w:firstLine="567"/>
        <w:jc w:val="both"/>
      </w:pPr>
      <w:r>
        <w:rPr>
          <w:rFonts w:ascii="TimesNewRomanPSMT" w:hAnsi="TimesNewRomanPSMT"/>
        </w:rPr>
        <w:t xml:space="preserve">Pieteicēja </w:t>
      </w:r>
      <w:r w:rsidR="00B07F08">
        <w:rPr>
          <w:rFonts w:ascii="TimesNewRomanPSMT" w:hAnsi="TimesNewRomanPSMT"/>
        </w:rPr>
        <w:t xml:space="preserve">tikai </w:t>
      </w:r>
      <w:r>
        <w:rPr>
          <w:rFonts w:ascii="TimesNewRomanPSMT" w:hAnsi="TimesNewRomanPSMT"/>
        </w:rPr>
        <w:t xml:space="preserve">vērš Senāta uzmanību </w:t>
      </w:r>
      <w:r>
        <w:t>uz</w:t>
      </w:r>
      <w:r w:rsidR="0068100C">
        <w:t xml:space="preserve"> Eiropas Cilvēktiesību tiesas spriedumu lietā </w:t>
      </w:r>
      <w:r w:rsidR="0068100C" w:rsidRPr="00553750">
        <w:rPr>
          <w:i/>
          <w:iCs/>
        </w:rPr>
        <w:t>Autronic AG pret Šveici</w:t>
      </w:r>
      <w:r w:rsidR="0068100C">
        <w:t xml:space="preserve">, kurā </w:t>
      </w:r>
      <w:r w:rsidR="00660D40">
        <w:t>t</w:t>
      </w:r>
      <w:r w:rsidR="00B07F08">
        <w:t>iesa</w:t>
      </w:r>
      <w:r w:rsidR="00660D40">
        <w:t xml:space="preserve"> </w:t>
      </w:r>
      <w:r w:rsidR="0068100C">
        <w:t>atz</w:t>
      </w:r>
      <w:r w:rsidR="00660D40">
        <w:t>ina</w:t>
      </w:r>
      <w:r w:rsidR="0068100C">
        <w:t>, ka arī juridiskās personas var atsaukties uz Konvencijas 10.pantā garantētajām tiesībām.</w:t>
      </w:r>
      <w:r>
        <w:t xml:space="preserve"> </w:t>
      </w:r>
      <w:r w:rsidR="001C7C68">
        <w:t xml:space="preserve">Pieteicēja nav norādījusi konkrētus argumentus par to, kā izpaužas pieteicējas </w:t>
      </w:r>
      <w:r w:rsidR="00036078">
        <w:t>vārda (izpausmes) brīvības</w:t>
      </w:r>
      <w:r w:rsidR="00036078" w:rsidRPr="003406F8">
        <w:t xml:space="preserve"> </w:t>
      </w:r>
      <w:r w:rsidR="001C7C68">
        <w:t>ierobežojuma nesamērīgums.</w:t>
      </w:r>
      <w:r w:rsidR="0066483B">
        <w:t xml:space="preserve"> Šāds arguments ir vispārīgs, tādēļ nav </w:t>
      </w:r>
      <w:r w:rsidR="00B07F08">
        <w:t>vairāk izvērtējams</w:t>
      </w:r>
      <w:r w:rsidR="0066483B">
        <w:t>.</w:t>
      </w:r>
    </w:p>
    <w:p w14:paraId="1BCD7BCA" w14:textId="70CC5F43" w:rsidR="00AC5EF3" w:rsidRDefault="0068100C" w:rsidP="00A06E81">
      <w:pPr>
        <w:spacing w:line="276" w:lineRule="auto"/>
        <w:ind w:firstLine="567"/>
        <w:jc w:val="both"/>
      </w:pPr>
      <w:r>
        <w:rPr>
          <w:lang w:eastAsia="en-US"/>
        </w:rPr>
        <w:t xml:space="preserve">Senāts neapšauba to, ka arī juridiska persona var atsaukties uz tiesībām uz </w:t>
      </w:r>
      <w:r w:rsidR="00036078">
        <w:t xml:space="preserve">vārda (izpausmes) </w:t>
      </w:r>
      <w:r>
        <w:rPr>
          <w:lang w:eastAsia="en-US"/>
        </w:rPr>
        <w:t xml:space="preserve">brīvību. Taču </w:t>
      </w:r>
      <w:r w:rsidR="00413A95">
        <w:rPr>
          <w:lang w:eastAsia="en-US"/>
        </w:rPr>
        <w:t>izskatāmajā</w:t>
      </w:r>
      <w:r>
        <w:rPr>
          <w:lang w:eastAsia="en-US"/>
        </w:rPr>
        <w:t xml:space="preserve"> lietā </w:t>
      </w:r>
      <w:r w:rsidR="00AC4114">
        <w:rPr>
          <w:lang w:eastAsia="en-US"/>
        </w:rPr>
        <w:t xml:space="preserve">tiek īstenota </w:t>
      </w:r>
      <w:r>
        <w:rPr>
          <w:lang w:eastAsia="en-US"/>
        </w:rPr>
        <w:t>komerciālu izteikumu (</w:t>
      </w:r>
      <w:r w:rsidR="009C2E04">
        <w:rPr>
          <w:lang w:eastAsia="en-US"/>
        </w:rPr>
        <w:t xml:space="preserve">angļu valodā </w:t>
      </w:r>
      <w:r>
        <w:rPr>
          <w:i/>
          <w:iCs/>
          <w:lang w:eastAsia="en-US"/>
        </w:rPr>
        <w:t>commercial speech</w:t>
      </w:r>
      <w:r>
        <w:rPr>
          <w:lang w:eastAsia="en-US"/>
        </w:rPr>
        <w:t>) pārbaud</w:t>
      </w:r>
      <w:r w:rsidR="00AC4114">
        <w:rPr>
          <w:lang w:eastAsia="en-US"/>
        </w:rPr>
        <w:t>e</w:t>
      </w:r>
      <w:r>
        <w:rPr>
          <w:lang w:eastAsia="en-US"/>
        </w:rPr>
        <w:t xml:space="preserve"> un šādu izteikumu gadījumā </w:t>
      </w:r>
      <w:r w:rsidR="00036078">
        <w:t>vārda (izpausmes) brīvības</w:t>
      </w:r>
      <w:r w:rsidR="00036078" w:rsidRPr="003406F8">
        <w:t xml:space="preserve"> </w:t>
      </w:r>
      <w:r>
        <w:rPr>
          <w:lang w:eastAsia="en-US"/>
        </w:rPr>
        <w:t>ierobežojumi var būt daudz būtiskāki, nekā attiecībā uz cita veida izpausmēm (</w:t>
      </w:r>
      <w:r w:rsidRPr="002A0D4E">
        <w:rPr>
          <w:i/>
          <w:iCs/>
          <w:lang w:eastAsia="en-US"/>
        </w:rPr>
        <w:t>Eiropas Cilvēktiesību tiesas 2002.gada 5.novembra spriedum</w:t>
      </w:r>
      <w:r w:rsidR="00EF278B">
        <w:rPr>
          <w:i/>
          <w:iCs/>
          <w:lang w:eastAsia="en-US"/>
        </w:rPr>
        <w:t>a lietā</w:t>
      </w:r>
      <w:r w:rsidRPr="002A0D4E">
        <w:rPr>
          <w:i/>
          <w:iCs/>
          <w:lang w:eastAsia="en-US"/>
        </w:rPr>
        <w:t xml:space="preserve"> </w:t>
      </w:r>
      <w:r w:rsidR="00413A95">
        <w:rPr>
          <w:i/>
          <w:iCs/>
          <w:lang w:eastAsia="en-US"/>
        </w:rPr>
        <w:t>„</w:t>
      </w:r>
      <w:r w:rsidRPr="002A0D4E">
        <w:rPr>
          <w:i/>
          <w:iCs/>
          <w:lang w:eastAsia="en-US"/>
        </w:rPr>
        <w:t>Demuth pret Šveici</w:t>
      </w:r>
      <w:r w:rsidR="00EF278B">
        <w:rPr>
          <w:i/>
          <w:iCs/>
          <w:lang w:eastAsia="en-US"/>
        </w:rPr>
        <w:t>”,</w:t>
      </w:r>
      <w:r w:rsidRPr="00AC5EF3">
        <w:rPr>
          <w:i/>
          <w:iCs/>
          <w:lang w:eastAsia="en-US"/>
        </w:rPr>
        <w:t xml:space="preserve"> </w:t>
      </w:r>
      <w:r w:rsidRPr="002A0D4E">
        <w:rPr>
          <w:i/>
          <w:iCs/>
          <w:lang w:eastAsia="en-US"/>
        </w:rPr>
        <w:t>iesniegums Nr.</w:t>
      </w:r>
      <w:r>
        <w:rPr>
          <w:i/>
          <w:iCs/>
        </w:rPr>
        <w:t> </w:t>
      </w:r>
      <w:hyperlink r:id="rId28" w:history="1">
        <w:r w:rsidRPr="00EF278B">
          <w:rPr>
            <w:rStyle w:val="Hyperlink"/>
            <w:i/>
            <w:iCs/>
            <w:lang w:eastAsia="en-US"/>
          </w:rPr>
          <w:t>38743/97</w:t>
        </w:r>
      </w:hyperlink>
      <w:r w:rsidRPr="002A0D4E">
        <w:rPr>
          <w:i/>
          <w:iCs/>
          <w:lang w:eastAsia="en-US"/>
        </w:rPr>
        <w:t>, 42.punkts</w:t>
      </w:r>
      <w:r>
        <w:rPr>
          <w:lang w:eastAsia="en-US"/>
        </w:rPr>
        <w:t xml:space="preserve">). </w:t>
      </w:r>
      <w:r w:rsidR="00AC5EF3">
        <w:rPr>
          <w:lang w:eastAsia="en-US"/>
        </w:rPr>
        <w:t>Eiropas Cilvēktiesību tiesa jau ir atzinusi, ka valstīm ir plaša rīcības brīvība regulē</w:t>
      </w:r>
      <w:r w:rsidR="00841C19">
        <w:rPr>
          <w:lang w:eastAsia="en-US"/>
        </w:rPr>
        <w:t>t</w:t>
      </w:r>
      <w:r w:rsidR="00AC5EF3">
        <w:rPr>
          <w:lang w:eastAsia="en-US"/>
        </w:rPr>
        <w:t xml:space="preserve"> komerciālos izteikumus (</w:t>
      </w:r>
      <w:r w:rsidR="00AC5EF3" w:rsidRPr="00770758">
        <w:rPr>
          <w:i/>
          <w:iCs/>
          <w:lang w:eastAsia="en-US"/>
        </w:rPr>
        <w:t>Eiropas Cilvēktiesību tiesas 20</w:t>
      </w:r>
      <w:r w:rsidR="00AC5EF3">
        <w:rPr>
          <w:i/>
          <w:iCs/>
          <w:lang w:eastAsia="en-US"/>
        </w:rPr>
        <w:t>13</w:t>
      </w:r>
      <w:r w:rsidR="00AC5EF3" w:rsidRPr="00770758">
        <w:rPr>
          <w:i/>
          <w:iCs/>
          <w:lang w:eastAsia="en-US"/>
        </w:rPr>
        <w:t xml:space="preserve">.gada </w:t>
      </w:r>
      <w:r w:rsidR="00AC5EF3">
        <w:rPr>
          <w:i/>
          <w:iCs/>
          <w:lang w:eastAsia="en-US"/>
        </w:rPr>
        <w:t>16</w:t>
      </w:r>
      <w:r w:rsidR="00AC5EF3" w:rsidRPr="00770758">
        <w:rPr>
          <w:i/>
          <w:iCs/>
          <w:lang w:eastAsia="en-US"/>
        </w:rPr>
        <w:t>.</w:t>
      </w:r>
      <w:r w:rsidR="00AC5EF3">
        <w:rPr>
          <w:i/>
          <w:iCs/>
          <w:lang w:eastAsia="en-US"/>
        </w:rPr>
        <w:t>jūlija</w:t>
      </w:r>
      <w:r w:rsidR="00AC5EF3" w:rsidRPr="00770758">
        <w:rPr>
          <w:i/>
          <w:iCs/>
          <w:lang w:eastAsia="en-US"/>
        </w:rPr>
        <w:t xml:space="preserve"> spriedum</w:t>
      </w:r>
      <w:r w:rsidR="00EF278B">
        <w:rPr>
          <w:i/>
          <w:iCs/>
          <w:lang w:eastAsia="en-US"/>
        </w:rPr>
        <w:t>a lietā</w:t>
      </w:r>
      <w:r w:rsidR="00AC5EF3" w:rsidRPr="00770758">
        <w:rPr>
          <w:i/>
          <w:iCs/>
          <w:lang w:eastAsia="en-US"/>
        </w:rPr>
        <w:t xml:space="preserve"> </w:t>
      </w:r>
      <w:r w:rsidR="00413A95">
        <w:rPr>
          <w:i/>
          <w:iCs/>
          <w:lang w:eastAsia="en-US"/>
        </w:rPr>
        <w:t>„</w:t>
      </w:r>
      <w:r w:rsidR="00AC5EF3" w:rsidRPr="00AC5EF3">
        <w:rPr>
          <w:i/>
          <w:iCs/>
          <w:lang w:eastAsia="en-US"/>
        </w:rPr>
        <w:t>Remuszko</w:t>
      </w:r>
      <w:r w:rsidR="00AC5EF3" w:rsidRPr="00770758">
        <w:rPr>
          <w:i/>
          <w:iCs/>
          <w:lang w:eastAsia="en-US"/>
        </w:rPr>
        <w:t xml:space="preserve"> pret </w:t>
      </w:r>
      <w:r w:rsidR="00AC5EF3">
        <w:rPr>
          <w:i/>
          <w:iCs/>
          <w:lang w:eastAsia="en-US"/>
        </w:rPr>
        <w:t>Poliju</w:t>
      </w:r>
      <w:r w:rsidR="00EF278B">
        <w:rPr>
          <w:i/>
          <w:iCs/>
          <w:lang w:eastAsia="en-US"/>
        </w:rPr>
        <w:t>,”</w:t>
      </w:r>
      <w:r w:rsidR="00AC5EF3" w:rsidRPr="00AC5EF3">
        <w:rPr>
          <w:i/>
          <w:iCs/>
          <w:lang w:eastAsia="en-US"/>
        </w:rPr>
        <w:t xml:space="preserve"> </w:t>
      </w:r>
      <w:r w:rsidR="00AC5EF3" w:rsidRPr="00770758">
        <w:rPr>
          <w:i/>
          <w:iCs/>
          <w:lang w:eastAsia="en-US"/>
        </w:rPr>
        <w:t>iesniegums Nr.</w:t>
      </w:r>
      <w:r w:rsidR="00AC5EF3">
        <w:rPr>
          <w:i/>
          <w:iCs/>
        </w:rPr>
        <w:t> </w:t>
      </w:r>
      <w:hyperlink r:id="rId29" w:history="1">
        <w:r w:rsidR="00AC5EF3" w:rsidRPr="00373AC6">
          <w:rPr>
            <w:rStyle w:val="Hyperlink"/>
            <w:i/>
            <w:iCs/>
            <w:lang w:eastAsia="en-US"/>
          </w:rPr>
          <w:t>1562/10</w:t>
        </w:r>
      </w:hyperlink>
      <w:r w:rsidR="00AC5EF3" w:rsidRPr="00770758">
        <w:rPr>
          <w:i/>
          <w:iCs/>
          <w:lang w:eastAsia="en-US"/>
        </w:rPr>
        <w:t xml:space="preserve">, </w:t>
      </w:r>
      <w:r w:rsidR="00AC5EF3">
        <w:rPr>
          <w:i/>
          <w:iCs/>
          <w:lang w:eastAsia="en-US"/>
        </w:rPr>
        <w:t>6</w:t>
      </w:r>
      <w:r w:rsidR="00AC5EF3" w:rsidRPr="00770758">
        <w:rPr>
          <w:i/>
          <w:iCs/>
          <w:lang w:eastAsia="en-US"/>
        </w:rPr>
        <w:t>4.punkts</w:t>
      </w:r>
      <w:r w:rsidR="009A55BA">
        <w:rPr>
          <w:i/>
          <w:iCs/>
          <w:lang w:eastAsia="en-US"/>
        </w:rPr>
        <w:t xml:space="preserve">; </w:t>
      </w:r>
      <w:r w:rsidR="00660D40">
        <w:rPr>
          <w:i/>
          <w:iCs/>
          <w:lang w:eastAsia="en-US"/>
        </w:rPr>
        <w:t>2019.gada 4.jūnija lēmum</w:t>
      </w:r>
      <w:r w:rsidR="00EF278B">
        <w:rPr>
          <w:i/>
          <w:iCs/>
          <w:lang w:eastAsia="en-US"/>
        </w:rPr>
        <w:t>a saistībā ar sūdzību</w:t>
      </w:r>
      <w:r w:rsidR="00660D40">
        <w:rPr>
          <w:i/>
          <w:iCs/>
          <w:lang w:eastAsia="en-US"/>
        </w:rPr>
        <w:t xml:space="preserve"> </w:t>
      </w:r>
      <w:r w:rsidR="00413A95">
        <w:rPr>
          <w:i/>
          <w:iCs/>
          <w:lang w:eastAsia="en-US"/>
        </w:rPr>
        <w:t>„</w:t>
      </w:r>
      <w:r w:rsidR="00660D40">
        <w:rPr>
          <w:i/>
          <w:iCs/>
          <w:lang w:eastAsia="en-US"/>
        </w:rPr>
        <w:t>Barna CISBI pret Rumāniju</w:t>
      </w:r>
      <w:r w:rsidR="00EF278B">
        <w:rPr>
          <w:i/>
          <w:iCs/>
          <w:lang w:eastAsia="en-US"/>
        </w:rPr>
        <w:t>”,</w:t>
      </w:r>
      <w:r w:rsidR="00660D40">
        <w:rPr>
          <w:i/>
          <w:iCs/>
          <w:lang w:eastAsia="en-US"/>
        </w:rPr>
        <w:t xml:space="preserve"> iesniegums Nr. </w:t>
      </w:r>
      <w:hyperlink r:id="rId30" w:history="1">
        <w:r w:rsidR="00660D40" w:rsidRPr="007E6D4D">
          <w:rPr>
            <w:rStyle w:val="Hyperlink"/>
            <w:i/>
            <w:iCs/>
            <w:lang w:eastAsia="en-US"/>
          </w:rPr>
          <w:t>16632/12</w:t>
        </w:r>
      </w:hyperlink>
      <w:r w:rsidR="00EF278B" w:rsidRPr="007E6D4D">
        <w:rPr>
          <w:i/>
          <w:iCs/>
          <w:lang w:eastAsia="en-US"/>
        </w:rPr>
        <w:t>,</w:t>
      </w:r>
      <w:r w:rsidR="00660D40" w:rsidRPr="007E6D4D">
        <w:rPr>
          <w:i/>
          <w:iCs/>
          <w:lang w:eastAsia="en-US"/>
        </w:rPr>
        <w:t xml:space="preserve"> </w:t>
      </w:r>
      <w:r w:rsidR="00660D40">
        <w:rPr>
          <w:i/>
          <w:iCs/>
          <w:lang w:eastAsia="en-US"/>
        </w:rPr>
        <w:t>40.punkts</w:t>
      </w:r>
      <w:r w:rsidR="00AC5EF3">
        <w:rPr>
          <w:lang w:eastAsia="en-US"/>
        </w:rPr>
        <w:t>) un</w:t>
      </w:r>
      <w:r w:rsidR="00841C19">
        <w:rPr>
          <w:lang w:eastAsia="en-US"/>
        </w:rPr>
        <w:t xml:space="preserve"> arī rīkoties </w:t>
      </w:r>
      <w:r w:rsidR="00841C19" w:rsidRPr="000D3A80">
        <w:rPr>
          <w:lang w:eastAsia="en-US"/>
        </w:rPr>
        <w:t>sabiedrības veselības un morāles aizsardzības jomā</w:t>
      </w:r>
      <w:r w:rsidR="00841C19" w:rsidRPr="003B19F9">
        <w:rPr>
          <w:i/>
          <w:iCs/>
          <w:lang w:eastAsia="en-US"/>
        </w:rPr>
        <w:t xml:space="preserve"> </w:t>
      </w:r>
      <w:r w:rsidR="00413A95">
        <w:rPr>
          <w:lang w:eastAsia="en-US"/>
        </w:rPr>
        <w:t>(</w:t>
      </w:r>
      <w:r w:rsidR="00841C19" w:rsidRPr="00660D40">
        <w:rPr>
          <w:i/>
          <w:iCs/>
          <w:lang w:eastAsia="en-US"/>
        </w:rPr>
        <w:t>Eiropas Cilvēktiesību tiesas 2006.gada 3.oktobra lēmum</w:t>
      </w:r>
      <w:r w:rsidR="007E6D4D">
        <w:rPr>
          <w:i/>
          <w:iCs/>
          <w:lang w:eastAsia="en-US"/>
        </w:rPr>
        <w:t>s</w:t>
      </w:r>
      <w:r w:rsidR="00EF278B">
        <w:rPr>
          <w:i/>
          <w:iCs/>
          <w:lang w:eastAsia="en-US"/>
        </w:rPr>
        <w:t xml:space="preserve"> saistībā ar sūdzību</w:t>
      </w:r>
      <w:r w:rsidR="00660D40" w:rsidRPr="00553750">
        <w:rPr>
          <w:i/>
          <w:iCs/>
          <w:lang w:eastAsia="en-US"/>
        </w:rPr>
        <w:t xml:space="preserve"> </w:t>
      </w:r>
      <w:r w:rsidR="00413A95">
        <w:rPr>
          <w:i/>
          <w:iCs/>
          <w:lang w:eastAsia="en-US"/>
        </w:rPr>
        <w:t>„</w:t>
      </w:r>
      <w:r w:rsidR="00660D40" w:rsidRPr="00553750">
        <w:rPr>
          <w:i/>
          <w:iCs/>
          <w:lang w:eastAsia="en-US"/>
        </w:rPr>
        <w:t>Palusiński pret Poliju</w:t>
      </w:r>
      <w:r w:rsidR="00413A95">
        <w:rPr>
          <w:i/>
          <w:iCs/>
          <w:lang w:eastAsia="en-US"/>
        </w:rPr>
        <w:t>”</w:t>
      </w:r>
      <w:r w:rsidR="00EF278B">
        <w:rPr>
          <w:i/>
          <w:iCs/>
          <w:lang w:eastAsia="en-US"/>
        </w:rPr>
        <w:t>,</w:t>
      </w:r>
      <w:r w:rsidR="00660D40" w:rsidRPr="00553750">
        <w:rPr>
          <w:i/>
          <w:iCs/>
          <w:lang w:eastAsia="en-US"/>
        </w:rPr>
        <w:t xml:space="preserve"> iesniegums </w:t>
      </w:r>
      <w:r w:rsidR="00841C19" w:rsidRPr="00660D40">
        <w:rPr>
          <w:i/>
          <w:iCs/>
          <w:lang w:eastAsia="en-US"/>
        </w:rPr>
        <w:t>Nr. </w:t>
      </w:r>
      <w:hyperlink r:id="rId31" w:history="1">
        <w:r w:rsidR="00841C19" w:rsidRPr="00EF278B">
          <w:rPr>
            <w:rStyle w:val="Hyperlink"/>
            <w:i/>
            <w:iCs/>
            <w:lang w:eastAsia="en-US"/>
          </w:rPr>
          <w:t>62414/00</w:t>
        </w:r>
      </w:hyperlink>
      <w:r w:rsidR="00841C19" w:rsidRPr="003B19F9">
        <w:rPr>
          <w:i/>
          <w:iCs/>
          <w:lang w:eastAsia="en-US"/>
        </w:rPr>
        <w:t>)</w:t>
      </w:r>
      <w:r w:rsidR="00841C19">
        <w:rPr>
          <w:lang w:eastAsia="en-US"/>
        </w:rPr>
        <w:t>.</w:t>
      </w:r>
      <w:r w:rsidR="003F6195">
        <w:rPr>
          <w:lang w:eastAsia="en-US"/>
        </w:rPr>
        <w:t xml:space="preserve"> Tāpat ir nepamatota pieteicēja</w:t>
      </w:r>
      <w:r w:rsidR="001C7C68">
        <w:rPr>
          <w:lang w:eastAsia="en-US"/>
        </w:rPr>
        <w:t>s</w:t>
      </w:r>
      <w:r w:rsidR="003F6195">
        <w:rPr>
          <w:lang w:eastAsia="en-US"/>
        </w:rPr>
        <w:t xml:space="preserve"> norād</w:t>
      </w:r>
      <w:r w:rsidR="001C7C68">
        <w:rPr>
          <w:lang w:eastAsia="en-US"/>
        </w:rPr>
        <w:t>e</w:t>
      </w:r>
      <w:r w:rsidR="003F6195">
        <w:rPr>
          <w:lang w:eastAsia="en-US"/>
        </w:rPr>
        <w:t xml:space="preserve"> uz žurnālistu tiesībām iegūt informāciju, jo šīs tiesības ar </w:t>
      </w:r>
      <w:r w:rsidR="0066483B">
        <w:rPr>
          <w:lang w:eastAsia="en-US"/>
        </w:rPr>
        <w:t xml:space="preserve">tiesību normām, kas paredz </w:t>
      </w:r>
      <w:r w:rsidR="003F6195">
        <w:rPr>
          <w:lang w:eastAsia="en-US"/>
        </w:rPr>
        <w:t>noteikum</w:t>
      </w:r>
      <w:r w:rsidR="0066483B">
        <w:rPr>
          <w:lang w:eastAsia="en-US"/>
        </w:rPr>
        <w:t>us</w:t>
      </w:r>
      <w:r w:rsidR="003F6195">
        <w:rPr>
          <w:lang w:eastAsia="en-US"/>
        </w:rPr>
        <w:t>, nosacījum</w:t>
      </w:r>
      <w:r w:rsidR="0066483B">
        <w:rPr>
          <w:lang w:eastAsia="en-US"/>
        </w:rPr>
        <w:t>us</w:t>
      </w:r>
      <w:r w:rsidR="003F6195">
        <w:rPr>
          <w:lang w:eastAsia="en-US"/>
        </w:rPr>
        <w:t xml:space="preserve"> un </w:t>
      </w:r>
      <w:r w:rsidR="0066483B">
        <w:rPr>
          <w:lang w:eastAsia="en-US"/>
        </w:rPr>
        <w:t>aizliegumus reklamēt noteikta veida zāles,</w:t>
      </w:r>
      <w:r w:rsidR="003F6195">
        <w:rPr>
          <w:lang w:eastAsia="en-US"/>
        </w:rPr>
        <w:t xml:space="preserve"> netiek aizskartas</w:t>
      </w:r>
      <w:r w:rsidR="0066483B">
        <w:rPr>
          <w:lang w:eastAsia="en-US"/>
        </w:rPr>
        <w:t xml:space="preserve">. Vienlaikus </w:t>
      </w:r>
      <w:r>
        <w:rPr>
          <w:lang w:eastAsia="en-US"/>
        </w:rPr>
        <w:t xml:space="preserve">informācijas iegūšanas veids noteiktos gadījumos tiek ņemts vērā iejaukšanās samērīguma izvērtējumā (šajā ziņā, sk. </w:t>
      </w:r>
      <w:r w:rsidRPr="00553750">
        <w:rPr>
          <w:i/>
          <w:iCs/>
          <w:lang w:eastAsia="en-US"/>
        </w:rPr>
        <w:t>Eiropas Cilvēktiesību tiesas 2017.gada 5.decembra spriedum</w:t>
      </w:r>
      <w:r>
        <w:rPr>
          <w:i/>
          <w:iCs/>
          <w:lang w:eastAsia="en-US"/>
        </w:rPr>
        <w:t>a</w:t>
      </w:r>
      <w:r w:rsidRPr="00553750">
        <w:rPr>
          <w:i/>
          <w:iCs/>
          <w:lang w:eastAsia="en-US"/>
        </w:rPr>
        <w:t xml:space="preserve"> lietā </w:t>
      </w:r>
      <w:r w:rsidR="00413A95">
        <w:rPr>
          <w:i/>
          <w:iCs/>
          <w:lang w:eastAsia="en-US"/>
        </w:rPr>
        <w:t>„</w:t>
      </w:r>
      <w:r w:rsidRPr="00553750">
        <w:rPr>
          <w:i/>
          <w:iCs/>
          <w:lang w:eastAsia="en-US"/>
        </w:rPr>
        <w:t>Frisk un Jensen pret Dāniju</w:t>
      </w:r>
      <w:r w:rsidR="00EF278B">
        <w:rPr>
          <w:i/>
          <w:iCs/>
          <w:lang w:eastAsia="en-US"/>
        </w:rPr>
        <w:t>”,</w:t>
      </w:r>
      <w:r w:rsidRPr="00553750">
        <w:rPr>
          <w:i/>
          <w:iCs/>
          <w:lang w:eastAsia="en-US"/>
        </w:rPr>
        <w:t xml:space="preserve"> iesniegums Nr. </w:t>
      </w:r>
      <w:hyperlink r:id="rId32" w:history="1">
        <w:r w:rsidRPr="00553750">
          <w:rPr>
            <w:rStyle w:val="Hyperlink"/>
            <w:i/>
            <w:iCs/>
          </w:rPr>
          <w:t>19657/12</w:t>
        </w:r>
      </w:hyperlink>
      <w:r w:rsidRPr="00553750">
        <w:rPr>
          <w:i/>
          <w:iCs/>
          <w:lang w:eastAsia="en-US"/>
        </w:rPr>
        <w:t>, 70.</w:t>
      </w:r>
      <w:r w:rsidR="00413A95">
        <w:rPr>
          <w:i/>
          <w:iCs/>
          <w:lang w:eastAsia="en-US"/>
        </w:rPr>
        <w:t>–</w:t>
      </w:r>
      <w:r w:rsidRPr="00553750">
        <w:rPr>
          <w:i/>
          <w:iCs/>
          <w:lang w:eastAsia="en-US"/>
        </w:rPr>
        <w:t>73.punktu</w:t>
      </w:r>
      <w:r w:rsidRPr="0068100C">
        <w:rPr>
          <w:lang w:eastAsia="en-US"/>
        </w:rPr>
        <w:t>)</w:t>
      </w:r>
      <w:r w:rsidR="003F6195">
        <w:rPr>
          <w:lang w:eastAsia="en-US"/>
        </w:rPr>
        <w:t>.</w:t>
      </w:r>
    </w:p>
    <w:p w14:paraId="17079A5E" w14:textId="1A94DAD5" w:rsidR="00777FEE" w:rsidRDefault="003F6195" w:rsidP="00A06E81">
      <w:pPr>
        <w:spacing w:line="276" w:lineRule="auto"/>
        <w:ind w:firstLine="567"/>
        <w:jc w:val="both"/>
        <w:rPr>
          <w:lang w:eastAsia="en-US"/>
        </w:rPr>
      </w:pPr>
      <w:r>
        <w:t xml:space="preserve">Senāts neuzskata, ka </w:t>
      </w:r>
      <w:r w:rsidR="006E78EB">
        <w:t xml:space="preserve">šajā gadījumā </w:t>
      </w:r>
      <w:r>
        <w:t xml:space="preserve">pastāv apstākļi, kas liktu šaubīties par to, ka tiesību uz </w:t>
      </w:r>
      <w:r w:rsidR="006D2C8E">
        <w:t xml:space="preserve">vārda (izpausmes) </w:t>
      </w:r>
      <w:r w:rsidR="00157DBF" w:rsidRPr="00157DBF">
        <w:t>brīvīb</w:t>
      </w:r>
      <w:r w:rsidR="00157DBF">
        <w:t>u</w:t>
      </w:r>
      <w:r>
        <w:t xml:space="preserve"> ierobežojums </w:t>
      </w:r>
      <w:r w:rsidR="00660D40">
        <w:t>ir</w:t>
      </w:r>
      <w:r>
        <w:t xml:space="preserve"> samērīgs</w:t>
      </w:r>
      <w:r w:rsidR="0095793F">
        <w:t xml:space="preserve"> </w:t>
      </w:r>
      <w:r w:rsidR="0095793F">
        <w:rPr>
          <w:lang w:eastAsia="en-US"/>
        </w:rPr>
        <w:t xml:space="preserve">(sk. </w:t>
      </w:r>
      <w:r w:rsidR="0095793F" w:rsidRPr="00553750">
        <w:rPr>
          <w:bCs/>
          <w:i/>
          <w:iCs/>
        </w:rPr>
        <w:t>Eiropas Cilvēktiesību tiesas 2011.gada 21.jūlija spriedum</w:t>
      </w:r>
      <w:r w:rsidR="006E78EB">
        <w:rPr>
          <w:bCs/>
          <w:i/>
          <w:iCs/>
        </w:rPr>
        <w:t>a</w:t>
      </w:r>
      <w:r w:rsidR="0095793F" w:rsidRPr="00553750">
        <w:rPr>
          <w:bCs/>
          <w:i/>
          <w:iCs/>
        </w:rPr>
        <w:t xml:space="preserve"> lietā </w:t>
      </w:r>
      <w:r w:rsidR="00AF5BBF">
        <w:rPr>
          <w:bCs/>
          <w:i/>
          <w:iCs/>
        </w:rPr>
        <w:t>„</w:t>
      </w:r>
      <w:r w:rsidR="0095793F" w:rsidRPr="00CF0723">
        <w:rPr>
          <w:bCs/>
          <w:i/>
          <w:iCs/>
        </w:rPr>
        <w:t>Sigma Radio Television Ltd</w:t>
      </w:r>
      <w:r w:rsidR="0095793F" w:rsidRPr="0095793F">
        <w:rPr>
          <w:bCs/>
          <w:i/>
          <w:iCs/>
        </w:rPr>
        <w:t xml:space="preserve"> pret Kipru</w:t>
      </w:r>
      <w:r w:rsidR="00EF278B">
        <w:rPr>
          <w:bCs/>
          <w:i/>
          <w:iCs/>
        </w:rPr>
        <w:t>”,</w:t>
      </w:r>
      <w:r w:rsidR="0095793F">
        <w:rPr>
          <w:bCs/>
          <w:i/>
          <w:iCs/>
        </w:rPr>
        <w:t xml:space="preserve"> iesniegumi Nr. </w:t>
      </w:r>
      <w:hyperlink r:id="rId33" w:history="1">
        <w:r w:rsidR="0095793F" w:rsidRPr="00CF0723">
          <w:rPr>
            <w:rStyle w:val="Hyperlink"/>
            <w:bCs/>
            <w:i/>
            <w:iCs/>
          </w:rPr>
          <w:t>32181/04 un 35122/05</w:t>
        </w:r>
      </w:hyperlink>
      <w:r w:rsidR="0095793F" w:rsidRPr="00CF0723">
        <w:rPr>
          <w:bCs/>
          <w:i/>
          <w:iCs/>
        </w:rPr>
        <w:t>,</w:t>
      </w:r>
      <w:r w:rsidR="0095793F" w:rsidRPr="0095793F">
        <w:rPr>
          <w:bCs/>
          <w:i/>
          <w:iCs/>
        </w:rPr>
        <w:t xml:space="preserve"> </w:t>
      </w:r>
      <w:r w:rsidR="0095793F" w:rsidRPr="00553750">
        <w:rPr>
          <w:bCs/>
          <w:i/>
          <w:iCs/>
        </w:rPr>
        <w:t>200</w:t>
      </w:r>
      <w:r w:rsidR="00AF5BBF">
        <w:rPr>
          <w:bCs/>
          <w:i/>
          <w:iCs/>
        </w:rPr>
        <w:t>.–</w:t>
      </w:r>
      <w:r w:rsidR="0095793F" w:rsidRPr="00553750">
        <w:rPr>
          <w:bCs/>
          <w:i/>
          <w:iCs/>
        </w:rPr>
        <w:t>201.punkt</w:t>
      </w:r>
      <w:r w:rsidR="00EF278B">
        <w:rPr>
          <w:bCs/>
          <w:i/>
          <w:iCs/>
        </w:rPr>
        <w:t>u</w:t>
      </w:r>
      <w:r w:rsidR="0095793F">
        <w:rPr>
          <w:bCs/>
        </w:rPr>
        <w:t>)</w:t>
      </w:r>
      <w:r>
        <w:rPr>
          <w:lang w:eastAsia="en-US"/>
        </w:rPr>
        <w:t>.</w:t>
      </w:r>
      <w:r w:rsidR="00AC5EF3">
        <w:rPr>
          <w:lang w:eastAsia="en-US"/>
        </w:rPr>
        <w:t xml:space="preserve"> </w:t>
      </w:r>
      <w:r w:rsidR="00841C19">
        <w:rPr>
          <w:lang w:eastAsia="en-US"/>
        </w:rPr>
        <w:t xml:space="preserve">Kā </w:t>
      </w:r>
      <w:r w:rsidR="006E78EB">
        <w:rPr>
          <w:lang w:eastAsia="en-US"/>
        </w:rPr>
        <w:t>secināms no pārsūdzētā sprieduma</w:t>
      </w:r>
      <w:r w:rsidR="00841C19">
        <w:rPr>
          <w:lang w:eastAsia="en-US"/>
        </w:rPr>
        <w:t>, s</w:t>
      </w:r>
      <w:r w:rsidR="00777FEE">
        <w:rPr>
          <w:lang w:eastAsia="en-US"/>
        </w:rPr>
        <w:t>trīdus publikācijās</w:t>
      </w:r>
      <w:r w:rsidR="00492575">
        <w:rPr>
          <w:lang w:eastAsia="en-US"/>
        </w:rPr>
        <w:t xml:space="preserve"> tika reklamētas</w:t>
      </w:r>
      <w:r w:rsidR="00C308D4">
        <w:rPr>
          <w:lang w:eastAsia="en-US"/>
        </w:rPr>
        <w:t xml:space="preserve"> recepšu un bezrecepšu zāles, norādot </w:t>
      </w:r>
      <w:r w:rsidR="00B64AF9">
        <w:rPr>
          <w:lang w:eastAsia="en-US"/>
        </w:rPr>
        <w:t xml:space="preserve">tikai </w:t>
      </w:r>
      <w:r w:rsidR="00C308D4">
        <w:rPr>
          <w:lang w:eastAsia="en-US"/>
        </w:rPr>
        <w:t xml:space="preserve">to </w:t>
      </w:r>
      <w:r w:rsidR="009F4A34">
        <w:rPr>
          <w:lang w:eastAsia="en-US"/>
        </w:rPr>
        <w:t xml:space="preserve">labvēlīgo </w:t>
      </w:r>
      <w:r w:rsidR="00C308D4">
        <w:rPr>
          <w:lang w:eastAsia="en-US"/>
        </w:rPr>
        <w:t>terapeitisk</w:t>
      </w:r>
      <w:r w:rsidR="00F644A4">
        <w:rPr>
          <w:lang w:eastAsia="en-US"/>
        </w:rPr>
        <w:t xml:space="preserve">o iedarbību, </w:t>
      </w:r>
      <w:r w:rsidR="00F644A4" w:rsidRPr="003F5FD4">
        <w:t>kas var veicināt minēto zāļu popularitāti un pieprasījumu</w:t>
      </w:r>
      <w:r w:rsidR="00F644A4">
        <w:t xml:space="preserve"> </w:t>
      </w:r>
      <w:r w:rsidR="00F644A4" w:rsidRPr="003F5FD4">
        <w:t>pēc tām</w:t>
      </w:r>
      <w:r w:rsidR="009F4A34">
        <w:t>, turklāt atsevišķās publikācijās</w:t>
      </w:r>
      <w:r w:rsidR="0009019A">
        <w:rPr>
          <w:lang w:eastAsia="en-US"/>
        </w:rPr>
        <w:t xml:space="preserve"> </w:t>
      </w:r>
      <w:r w:rsidR="00777FEE" w:rsidRPr="003F5FD4">
        <w:t>informācija par šo zāļu</w:t>
      </w:r>
      <w:r w:rsidR="00777FEE">
        <w:t xml:space="preserve"> </w:t>
      </w:r>
      <w:r w:rsidR="00777FEE" w:rsidRPr="003F5FD4">
        <w:t xml:space="preserve">terapeitiskajām indikācijām neatbilst zāļu aprakstā norādītajam, tāpēc </w:t>
      </w:r>
      <w:r w:rsidR="00F206DF">
        <w:t xml:space="preserve">strīdus publikācijas apdraud </w:t>
      </w:r>
      <w:r w:rsidR="00B435B4">
        <w:t xml:space="preserve">racionālu zāļu lietošanu un </w:t>
      </w:r>
      <w:r w:rsidR="00F206DF">
        <w:t>sabiedrības veselību</w:t>
      </w:r>
      <w:r w:rsidR="00B93099">
        <w:t>.</w:t>
      </w:r>
      <w:r w:rsidR="00924A7A">
        <w:t xml:space="preserve"> </w:t>
      </w:r>
      <w:r w:rsidR="00924A7A" w:rsidRPr="00157DBF">
        <w:t>Eiropas Cilvēktiesību tiesa jau ir atzinusi</w:t>
      </w:r>
      <w:r w:rsidR="00157DBF" w:rsidRPr="00553750">
        <w:t xml:space="preserve"> par acīmredzami nepamatotu sūdzību</w:t>
      </w:r>
      <w:r w:rsidR="00924A7A" w:rsidRPr="00157DBF">
        <w:t>, k</w:t>
      </w:r>
      <w:r w:rsidR="0066483B">
        <w:t>urā iesniedzējs vērsās pret</w:t>
      </w:r>
      <w:r w:rsidR="00157DBF" w:rsidRPr="00553750">
        <w:t xml:space="preserve"> aizliegumu</w:t>
      </w:r>
      <w:r w:rsidR="00924A7A" w:rsidRPr="00157DBF">
        <w:t xml:space="preserve"> </w:t>
      </w:r>
      <w:r w:rsidR="00157DBF" w:rsidRPr="00553750">
        <w:t xml:space="preserve">medicīnas personām reklamēt savu praksi, </w:t>
      </w:r>
      <w:r w:rsidR="0066483B">
        <w:t>jo Eiropas Cilvēktiesību tiesa nesaskatīja par nepamatotu aizlieguma pamatojumu</w:t>
      </w:r>
      <w:r w:rsidR="00AF5BBF">
        <w:t xml:space="preserve"> </w:t>
      </w:r>
      <w:r w:rsidR="0066483B">
        <w:t>–</w:t>
      </w:r>
      <w:r w:rsidR="00AF5BBF">
        <w:t xml:space="preserve"> </w:t>
      </w:r>
      <w:r w:rsidR="0066483B">
        <w:t>med</w:t>
      </w:r>
      <w:r w:rsidR="00BB1059" w:rsidRPr="00157DBF">
        <w:t xml:space="preserve">icīnas profesijas un misijas aizsardzība </w:t>
      </w:r>
      <w:r w:rsidR="00924A7A" w:rsidRPr="00157DBF">
        <w:t>(</w:t>
      </w:r>
      <w:r w:rsidR="00924A7A" w:rsidRPr="00553750">
        <w:rPr>
          <w:i/>
          <w:iCs/>
        </w:rPr>
        <w:t>Eiropas Cilvēktiesību tiesas 2008.gada 29.janvāra lēmum</w:t>
      </w:r>
      <w:r w:rsidR="006E78EB">
        <w:rPr>
          <w:i/>
          <w:iCs/>
        </w:rPr>
        <w:t>s</w:t>
      </w:r>
      <w:r w:rsidR="00EF278B">
        <w:rPr>
          <w:i/>
          <w:iCs/>
        </w:rPr>
        <w:t xml:space="preserve"> saistībā ar sūdzību </w:t>
      </w:r>
      <w:r w:rsidR="00AF5BBF">
        <w:rPr>
          <w:i/>
          <w:iCs/>
        </w:rPr>
        <w:t>„</w:t>
      </w:r>
      <w:r w:rsidR="00924A7A" w:rsidRPr="00553750">
        <w:rPr>
          <w:i/>
          <w:iCs/>
        </w:rPr>
        <w:t xml:space="preserve">Villnow pret </w:t>
      </w:r>
      <w:r w:rsidR="00924A7A" w:rsidRPr="00157DBF">
        <w:rPr>
          <w:i/>
          <w:iCs/>
        </w:rPr>
        <w:t>Belģiju</w:t>
      </w:r>
      <w:r w:rsidR="00EF278B">
        <w:rPr>
          <w:i/>
          <w:iCs/>
        </w:rPr>
        <w:t>”,</w:t>
      </w:r>
      <w:r w:rsidR="00924A7A" w:rsidRPr="00553750">
        <w:rPr>
          <w:i/>
          <w:iCs/>
        </w:rPr>
        <w:t xml:space="preserve"> iesniegums Nr.</w:t>
      </w:r>
      <w:r w:rsidR="00AF5BBF">
        <w:rPr>
          <w:i/>
          <w:iCs/>
        </w:rPr>
        <w:t> </w:t>
      </w:r>
      <w:hyperlink r:id="rId34" w:history="1">
        <w:r w:rsidR="00924A7A" w:rsidRPr="00553750">
          <w:rPr>
            <w:rStyle w:val="Hyperlink"/>
            <w:i/>
            <w:iCs/>
          </w:rPr>
          <w:t>16938/05</w:t>
        </w:r>
      </w:hyperlink>
      <w:r w:rsidR="00BB1059" w:rsidRPr="00157DBF">
        <w:t xml:space="preserve">). </w:t>
      </w:r>
    </w:p>
    <w:p w14:paraId="7822F5F9" w14:textId="36D24145" w:rsidR="006C1879" w:rsidRDefault="001B71AE" w:rsidP="00A06E81">
      <w:pPr>
        <w:spacing w:line="276" w:lineRule="auto"/>
        <w:ind w:firstLine="567"/>
        <w:jc w:val="both"/>
        <w:rPr>
          <w:lang w:eastAsia="en-US"/>
        </w:rPr>
      </w:pPr>
      <w:r>
        <w:rPr>
          <w:lang w:eastAsia="en-US"/>
        </w:rPr>
        <w:lastRenderedPageBreak/>
        <w:t xml:space="preserve">Pārsūdzētajā lēmumā </w:t>
      </w:r>
      <w:r w:rsidRPr="001B71AE">
        <w:rPr>
          <w:lang w:eastAsia="en-US"/>
        </w:rPr>
        <w:t>tika konstatēti pieteicējas pieļautie pārkāpumi zāļu reklāmas jomā un</w:t>
      </w:r>
      <w:r>
        <w:rPr>
          <w:lang w:eastAsia="en-US"/>
        </w:rPr>
        <w:t xml:space="preserve"> </w:t>
      </w:r>
      <w:r w:rsidRPr="001B71AE">
        <w:rPr>
          <w:lang w:eastAsia="en-US"/>
        </w:rPr>
        <w:t>pieteicējai tika aizlie</w:t>
      </w:r>
      <w:r w:rsidR="004906A4">
        <w:rPr>
          <w:lang w:eastAsia="en-US"/>
        </w:rPr>
        <w:t>gts</w:t>
      </w:r>
      <w:r w:rsidRPr="001B71AE">
        <w:rPr>
          <w:lang w:eastAsia="en-US"/>
        </w:rPr>
        <w:t xml:space="preserve"> izplatīt normatīvo aktu prasībām neatbilstošu</w:t>
      </w:r>
      <w:r w:rsidR="004906A4">
        <w:rPr>
          <w:lang w:eastAsia="en-US"/>
        </w:rPr>
        <w:t xml:space="preserve"> </w:t>
      </w:r>
      <w:r w:rsidRPr="001B71AE">
        <w:rPr>
          <w:lang w:eastAsia="en-US"/>
        </w:rPr>
        <w:t>reklāmu</w:t>
      </w:r>
      <w:r w:rsidR="004906A4">
        <w:rPr>
          <w:lang w:eastAsia="en-US"/>
        </w:rPr>
        <w:t>.</w:t>
      </w:r>
      <w:r w:rsidR="00624509">
        <w:rPr>
          <w:lang w:eastAsia="en-US"/>
        </w:rPr>
        <w:t xml:space="preserve"> Apgabaltiesa atzina, ka in</w:t>
      </w:r>
      <w:r w:rsidR="00F5393B">
        <w:rPr>
          <w:lang w:eastAsia="en-US"/>
        </w:rPr>
        <w:t xml:space="preserve">spekcija veikusi pamatotus </w:t>
      </w:r>
      <w:r w:rsidR="0066483B">
        <w:rPr>
          <w:lang w:eastAsia="en-US"/>
        </w:rPr>
        <w:t>samērī</w:t>
      </w:r>
      <w:r w:rsidR="006D2C8E">
        <w:rPr>
          <w:lang w:eastAsia="en-US"/>
        </w:rPr>
        <w:t>guma</w:t>
      </w:r>
      <w:r w:rsidR="0066483B">
        <w:rPr>
          <w:lang w:eastAsia="en-US"/>
        </w:rPr>
        <w:t xml:space="preserve"> </w:t>
      </w:r>
      <w:r w:rsidR="00F5393B">
        <w:rPr>
          <w:lang w:eastAsia="en-US"/>
        </w:rPr>
        <w:t>apsvērumus</w:t>
      </w:r>
      <w:r w:rsidR="005A7F45">
        <w:rPr>
          <w:lang w:eastAsia="en-US"/>
        </w:rPr>
        <w:t xml:space="preserve">, jo </w:t>
      </w:r>
      <w:r w:rsidR="00F5393B" w:rsidRPr="00F5393B">
        <w:rPr>
          <w:lang w:eastAsia="en-US"/>
        </w:rPr>
        <w:t>pieteicējai noteiktais pienākums ir nepieciešams, lai panāktu zāļu reklāmas atbilstību normatīvo</w:t>
      </w:r>
      <w:r w:rsidR="005A7F45">
        <w:rPr>
          <w:lang w:eastAsia="en-US"/>
        </w:rPr>
        <w:t xml:space="preserve"> </w:t>
      </w:r>
      <w:r w:rsidR="00F5393B" w:rsidRPr="00F5393B">
        <w:rPr>
          <w:lang w:eastAsia="en-US"/>
        </w:rPr>
        <w:t>aktu prasībām un tādējādi nodrošinātu sabiedrības veselības aizsardzību, kas ir leģitīms mērķis.</w:t>
      </w:r>
      <w:r w:rsidR="005A7F45">
        <w:rPr>
          <w:lang w:eastAsia="en-US"/>
        </w:rPr>
        <w:t xml:space="preserve"> </w:t>
      </w:r>
      <w:r w:rsidR="00F5393B" w:rsidRPr="00F5393B">
        <w:rPr>
          <w:lang w:eastAsia="en-US"/>
        </w:rPr>
        <w:t>Tiesa secināja, ka minēto mērķi nav</w:t>
      </w:r>
      <w:r w:rsidR="005A7F45">
        <w:rPr>
          <w:lang w:eastAsia="en-US"/>
        </w:rPr>
        <w:t xml:space="preserve"> </w:t>
      </w:r>
      <w:r w:rsidR="00F5393B" w:rsidRPr="00F5393B">
        <w:rPr>
          <w:lang w:eastAsia="en-US"/>
        </w:rPr>
        <w:t>iespējams sasniegt ar pieteicēju mazāk ierobežojošiem līdzekļiem, jo, veicot pārbaudes iepriekš un</w:t>
      </w:r>
      <w:r w:rsidR="005A7F45">
        <w:rPr>
          <w:lang w:eastAsia="en-US"/>
        </w:rPr>
        <w:t xml:space="preserve"> </w:t>
      </w:r>
      <w:r w:rsidR="00F5393B" w:rsidRPr="00F5393B">
        <w:rPr>
          <w:lang w:eastAsia="en-US"/>
        </w:rPr>
        <w:t>konstatējot pārkāpumus pieteicējas darbībās, inspekcijai neizdevās panākt, lai pieteicēja ievēro zāļu</w:t>
      </w:r>
      <w:r w:rsidR="005A7F45">
        <w:rPr>
          <w:lang w:eastAsia="en-US"/>
        </w:rPr>
        <w:t xml:space="preserve"> </w:t>
      </w:r>
      <w:r w:rsidR="00F5393B" w:rsidRPr="00F5393B">
        <w:rPr>
          <w:lang w:eastAsia="en-US"/>
        </w:rPr>
        <w:t>reklamēšanas prasības</w:t>
      </w:r>
      <w:r w:rsidR="005A7F45">
        <w:rPr>
          <w:lang w:eastAsia="en-US"/>
        </w:rPr>
        <w:t>.</w:t>
      </w:r>
      <w:r w:rsidR="00EE105F">
        <w:rPr>
          <w:lang w:eastAsia="en-US"/>
        </w:rPr>
        <w:t xml:space="preserve"> Turklāt pieteicējai par pārkāpumiem netika piemērots sods</w:t>
      </w:r>
      <w:r w:rsidR="0066483B">
        <w:rPr>
          <w:lang w:eastAsia="en-US"/>
        </w:rPr>
        <w:t xml:space="preserve">, bet gan tikai aizliegums turpmāk publicēt </w:t>
      </w:r>
      <w:r w:rsidR="00AF5BBF">
        <w:rPr>
          <w:lang w:eastAsia="en-US"/>
        </w:rPr>
        <w:t>n</w:t>
      </w:r>
      <w:r w:rsidR="0066483B">
        <w:rPr>
          <w:bCs/>
        </w:rPr>
        <w:t>oteikumiem Nr.</w:t>
      </w:r>
      <w:r w:rsidR="00EF278B">
        <w:rPr>
          <w:bCs/>
        </w:rPr>
        <w:t> </w:t>
      </w:r>
      <w:r w:rsidR="0066483B">
        <w:rPr>
          <w:bCs/>
        </w:rPr>
        <w:t>378 neatbilstošas reklāmas</w:t>
      </w:r>
      <w:r w:rsidR="00EE105F">
        <w:rPr>
          <w:lang w:eastAsia="en-US"/>
        </w:rPr>
        <w:t>.</w:t>
      </w:r>
      <w:r w:rsidR="008265B6">
        <w:rPr>
          <w:lang w:eastAsia="en-US"/>
        </w:rPr>
        <w:t xml:space="preserve"> Līdz ar to </w:t>
      </w:r>
      <w:r w:rsidR="0066483B">
        <w:rPr>
          <w:lang w:eastAsia="en-US"/>
        </w:rPr>
        <w:t>a</w:t>
      </w:r>
      <w:r w:rsidR="008265B6">
        <w:rPr>
          <w:lang w:eastAsia="en-US"/>
        </w:rPr>
        <w:t>pgabaltiesa ir veikusi pietiekamu</w:t>
      </w:r>
      <w:r w:rsidR="00310274">
        <w:rPr>
          <w:lang w:eastAsia="en-US"/>
        </w:rPr>
        <w:t xml:space="preserve"> izvērtējumu, secinot, ka pārsūdzētais lēmums ir nepieciešams </w:t>
      </w:r>
      <w:r w:rsidR="006D2C8E">
        <w:rPr>
          <w:lang w:eastAsia="en-US"/>
        </w:rPr>
        <w:t xml:space="preserve">demokrātiskā sabiedrībā </w:t>
      </w:r>
      <w:r w:rsidR="00310274">
        <w:rPr>
          <w:lang w:eastAsia="en-US"/>
        </w:rPr>
        <w:t>un samērīgs</w:t>
      </w:r>
      <w:r w:rsidR="00EE2CED">
        <w:rPr>
          <w:lang w:eastAsia="en-US"/>
        </w:rPr>
        <w:t>.</w:t>
      </w:r>
    </w:p>
    <w:p w14:paraId="32714270" w14:textId="77777777" w:rsidR="00191A2F" w:rsidRDefault="00191A2F" w:rsidP="00A06E81">
      <w:pPr>
        <w:shd w:val="clear" w:color="auto" w:fill="FFFFFF"/>
        <w:spacing w:line="276" w:lineRule="auto"/>
        <w:ind w:firstLine="567"/>
        <w:jc w:val="both"/>
      </w:pPr>
    </w:p>
    <w:p w14:paraId="3E0E80F4" w14:textId="1CD562B4" w:rsidR="00191A2F" w:rsidRDefault="00191A2F" w:rsidP="00A06E81">
      <w:pPr>
        <w:shd w:val="clear" w:color="auto" w:fill="FFFFFF"/>
        <w:spacing w:line="276" w:lineRule="auto"/>
        <w:ind w:firstLine="567"/>
        <w:jc w:val="both"/>
      </w:pPr>
      <w:r>
        <w:t>[</w:t>
      </w:r>
      <w:r w:rsidR="009E57B6">
        <w:t>2</w:t>
      </w:r>
      <w:r w:rsidR="00AF5BBF">
        <w:t>6</w:t>
      </w:r>
      <w:r>
        <w:t>]</w:t>
      </w:r>
      <w:r w:rsidR="00AF5BBF">
        <w:t xml:space="preserve"> </w:t>
      </w:r>
      <w:r w:rsidR="00C76917" w:rsidRPr="00C76917">
        <w:t xml:space="preserve">Apkopojot minēto, Senāts atzīst, ka nav konstatējamas kļūdas </w:t>
      </w:r>
      <w:r w:rsidR="006E78EB">
        <w:t>a</w:t>
      </w:r>
      <w:r w:rsidR="00C76917" w:rsidRPr="00C76917">
        <w:t>pgabaltiesas spriedumā, savukārt pieteicēja</w:t>
      </w:r>
      <w:r w:rsidR="00C76917">
        <w:t>s</w:t>
      </w:r>
      <w:r w:rsidR="00C76917" w:rsidRPr="00C76917">
        <w:t xml:space="preserve"> kasācijas sūdzība ir noraidāma</w:t>
      </w:r>
      <w:r>
        <w:t>.</w:t>
      </w:r>
    </w:p>
    <w:p w14:paraId="66B94447" w14:textId="77777777" w:rsidR="009E57B6" w:rsidRDefault="009E57B6" w:rsidP="00A06E81">
      <w:pPr>
        <w:shd w:val="clear" w:color="auto" w:fill="FFFFFF"/>
        <w:spacing w:line="276" w:lineRule="auto"/>
        <w:ind w:firstLine="567"/>
        <w:jc w:val="both"/>
      </w:pPr>
    </w:p>
    <w:p w14:paraId="1051779F" w14:textId="77777777" w:rsidR="00191A2F" w:rsidRPr="00274284" w:rsidRDefault="00191A2F" w:rsidP="00A06E81">
      <w:pPr>
        <w:pStyle w:val="ATvirsraksts"/>
      </w:pPr>
      <w:r w:rsidRPr="00274284">
        <w:t>Rezolutīvā daļa</w:t>
      </w:r>
    </w:p>
    <w:p w14:paraId="2066D220" w14:textId="77777777" w:rsidR="00191A2F" w:rsidRPr="00274284" w:rsidRDefault="00191A2F" w:rsidP="00A06E81">
      <w:pPr>
        <w:spacing w:line="276" w:lineRule="auto"/>
        <w:ind w:firstLine="567"/>
        <w:jc w:val="both"/>
        <w:rPr>
          <w:noProof/>
        </w:rPr>
      </w:pPr>
    </w:p>
    <w:p w14:paraId="2397D46B" w14:textId="2D907EF0" w:rsidR="00191A2F" w:rsidRPr="001B05C8" w:rsidRDefault="00191A2F" w:rsidP="00A06E81">
      <w:pPr>
        <w:tabs>
          <w:tab w:val="left" w:pos="6660"/>
        </w:tabs>
        <w:spacing w:line="276" w:lineRule="auto"/>
        <w:ind w:firstLine="567"/>
        <w:jc w:val="both"/>
      </w:pPr>
      <w:r w:rsidRPr="00621917">
        <w:t xml:space="preserve">Pamatojoties uz </w:t>
      </w:r>
      <w:r w:rsidR="005B3E5A" w:rsidRPr="005B3E5A">
        <w:t>Administratīvā procesa likuma 348.panta pirmās daļas 1.punktu un 351.pantu, Senāts</w:t>
      </w:r>
    </w:p>
    <w:p w14:paraId="12BCC898" w14:textId="77777777" w:rsidR="00191A2F" w:rsidRDefault="00191A2F" w:rsidP="00A06E81">
      <w:pPr>
        <w:keepNext/>
        <w:spacing w:line="276" w:lineRule="auto"/>
        <w:jc w:val="center"/>
        <w:rPr>
          <w:b/>
        </w:rPr>
      </w:pPr>
    </w:p>
    <w:p w14:paraId="6F6819C7" w14:textId="77777777" w:rsidR="00191A2F" w:rsidRPr="00621917" w:rsidRDefault="00191A2F" w:rsidP="00A06E81">
      <w:pPr>
        <w:keepNext/>
        <w:spacing w:line="276" w:lineRule="auto"/>
        <w:jc w:val="center"/>
        <w:rPr>
          <w:b/>
        </w:rPr>
      </w:pPr>
      <w:r w:rsidRPr="00621917">
        <w:rPr>
          <w:b/>
        </w:rPr>
        <w:t>nosprieda</w:t>
      </w:r>
    </w:p>
    <w:p w14:paraId="07B1C7BB" w14:textId="77777777" w:rsidR="00191A2F" w:rsidRPr="001F7C4C" w:rsidRDefault="00191A2F" w:rsidP="00A06E81">
      <w:pPr>
        <w:keepNext/>
        <w:spacing w:line="276" w:lineRule="auto"/>
        <w:jc w:val="center"/>
        <w:rPr>
          <w:b/>
          <w:highlight w:val="yellow"/>
        </w:rPr>
      </w:pPr>
    </w:p>
    <w:p w14:paraId="33108D00" w14:textId="0E4F5B7A" w:rsidR="00191A2F" w:rsidRDefault="001374D5" w:rsidP="00A06E81">
      <w:pPr>
        <w:spacing w:line="276" w:lineRule="auto"/>
        <w:ind w:firstLine="567"/>
        <w:jc w:val="both"/>
        <w:rPr>
          <w:color w:val="000000"/>
        </w:rPr>
      </w:pPr>
      <w:r w:rsidRPr="001374D5">
        <w:rPr>
          <w:color w:val="000000"/>
        </w:rPr>
        <w:t xml:space="preserve">atstāt negrozītu </w:t>
      </w:r>
      <w:r w:rsidRPr="00891001">
        <w:t xml:space="preserve">Administratīvās </w:t>
      </w:r>
      <w:r>
        <w:t>apgabaltiesas</w:t>
      </w:r>
      <w:r w:rsidRPr="00891001">
        <w:t xml:space="preserve"> 202</w:t>
      </w:r>
      <w:r>
        <w:t>3</w:t>
      </w:r>
      <w:r w:rsidRPr="00891001">
        <w:t xml:space="preserve">.gada </w:t>
      </w:r>
      <w:r>
        <w:t>26</w:t>
      </w:r>
      <w:r w:rsidRPr="00891001">
        <w:t>.</w:t>
      </w:r>
      <w:r>
        <w:t>septembra</w:t>
      </w:r>
      <w:r w:rsidRPr="00891001">
        <w:t xml:space="preserve"> spriedumu</w:t>
      </w:r>
      <w:r w:rsidRPr="001374D5">
        <w:rPr>
          <w:color w:val="000000"/>
        </w:rPr>
        <w:t xml:space="preserve">, bet </w:t>
      </w:r>
      <w:r w:rsidR="001F6161" w:rsidRPr="00002C8C">
        <w:t>SIA</w:t>
      </w:r>
      <w:r w:rsidR="001F6161">
        <w:t> </w:t>
      </w:r>
      <w:r w:rsidR="00413A95">
        <w:t>„</w:t>
      </w:r>
      <w:r w:rsidR="001F6161" w:rsidRPr="00002C8C">
        <w:t xml:space="preserve">ŽURNĀLS SANTA” </w:t>
      </w:r>
      <w:r w:rsidRPr="001374D5">
        <w:rPr>
          <w:color w:val="000000"/>
        </w:rPr>
        <w:t>kasācijas sūdzību noraidīt</w:t>
      </w:r>
      <w:r w:rsidR="001F6161">
        <w:rPr>
          <w:color w:val="000000"/>
        </w:rPr>
        <w:t>.</w:t>
      </w:r>
    </w:p>
    <w:p w14:paraId="77359049" w14:textId="3AD77D8F" w:rsidR="001F6161" w:rsidRDefault="001F6161" w:rsidP="00A06E81">
      <w:pPr>
        <w:spacing w:line="276" w:lineRule="auto"/>
        <w:ind w:firstLine="567"/>
        <w:jc w:val="both"/>
        <w:rPr>
          <w:color w:val="000000"/>
        </w:rPr>
      </w:pPr>
      <w:r>
        <w:rPr>
          <w:color w:val="000000"/>
        </w:rPr>
        <w:t>Spriedums nav pārsūdzams.</w:t>
      </w:r>
    </w:p>
    <w:p w14:paraId="5494C4DE" w14:textId="77777777" w:rsidR="00413A95" w:rsidRDefault="00413A95" w:rsidP="00191A2F">
      <w:pPr>
        <w:spacing w:line="276" w:lineRule="auto"/>
        <w:ind w:firstLine="567"/>
        <w:jc w:val="both"/>
        <w:rPr>
          <w:bCs/>
        </w:rPr>
      </w:pPr>
    </w:p>
    <w:p w14:paraId="1CFE0222" w14:textId="77777777" w:rsidR="00191A2F" w:rsidRDefault="00191A2F" w:rsidP="00191A2F">
      <w:pPr>
        <w:spacing w:line="276" w:lineRule="auto"/>
        <w:jc w:val="both"/>
        <w:rPr>
          <w:bCs/>
        </w:rPr>
      </w:pPr>
    </w:p>
    <w:p w14:paraId="2196B496" w14:textId="650F7296" w:rsidR="00191A2F" w:rsidRPr="0082381C" w:rsidRDefault="00191A2F" w:rsidP="00A06E81">
      <w:pPr>
        <w:tabs>
          <w:tab w:val="center" w:pos="1276"/>
          <w:tab w:val="center" w:pos="4678"/>
          <w:tab w:val="center" w:pos="8080"/>
        </w:tabs>
        <w:spacing w:line="276" w:lineRule="auto"/>
        <w:jc w:val="both"/>
        <w:rPr>
          <w:color w:val="000000"/>
        </w:rPr>
      </w:pPr>
      <w:r>
        <w:rPr>
          <w:color w:val="000000"/>
        </w:rPr>
        <w:tab/>
      </w:r>
    </w:p>
    <w:p w14:paraId="2D9A95F1" w14:textId="77777777" w:rsidR="00191A2F" w:rsidRDefault="00191A2F" w:rsidP="00191A2F"/>
    <w:sectPr w:rsidR="00191A2F" w:rsidSect="00191A2F">
      <w:footerReference w:type="default" r:id="rId35"/>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BC4A" w14:textId="77777777" w:rsidR="00D16119" w:rsidRDefault="00D16119">
      <w:r>
        <w:separator/>
      </w:r>
    </w:p>
  </w:endnote>
  <w:endnote w:type="continuationSeparator" w:id="0">
    <w:p w14:paraId="16F16B93" w14:textId="77777777" w:rsidR="00D16119" w:rsidRDefault="00D1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11A4" w14:textId="02AE934A" w:rsidR="001D11DE" w:rsidRPr="001B05C8" w:rsidRDefault="004A2DA2" w:rsidP="00F43FAD">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670D87">
      <w:rPr>
        <w:rStyle w:val="PageNumber"/>
        <w:noProof/>
        <w:sz w:val="20"/>
        <w:szCs w:val="20"/>
      </w:rPr>
      <w:t>15</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E8B5" w14:textId="77777777" w:rsidR="00D16119" w:rsidRDefault="00D16119">
      <w:r>
        <w:separator/>
      </w:r>
    </w:p>
  </w:footnote>
  <w:footnote w:type="continuationSeparator" w:id="0">
    <w:p w14:paraId="1579D055" w14:textId="77777777" w:rsidR="00D16119" w:rsidRDefault="00D1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1833113"/>
    <w:multiLevelType w:val="hybridMultilevel"/>
    <w:tmpl w:val="7ED2B78C"/>
    <w:lvl w:ilvl="0" w:tplc="C7B62930">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E8635E0"/>
    <w:multiLevelType w:val="hybridMultilevel"/>
    <w:tmpl w:val="6CA8F110"/>
    <w:lvl w:ilvl="0" w:tplc="15E2D6AE">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30396930">
    <w:abstractNumId w:val="0"/>
  </w:num>
  <w:num w:numId="2" w16cid:durableId="294071064">
    <w:abstractNumId w:val="1"/>
  </w:num>
  <w:num w:numId="3" w16cid:durableId="842865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F"/>
    <w:rsid w:val="00000A77"/>
    <w:rsid w:val="00001CF4"/>
    <w:rsid w:val="0000237A"/>
    <w:rsid w:val="000026F9"/>
    <w:rsid w:val="00002C8C"/>
    <w:rsid w:val="00003D22"/>
    <w:rsid w:val="00004679"/>
    <w:rsid w:val="00004CD3"/>
    <w:rsid w:val="00011B82"/>
    <w:rsid w:val="0001470B"/>
    <w:rsid w:val="00015E26"/>
    <w:rsid w:val="0001769A"/>
    <w:rsid w:val="00020A5C"/>
    <w:rsid w:val="00020BD2"/>
    <w:rsid w:val="0002117F"/>
    <w:rsid w:val="000217E7"/>
    <w:rsid w:val="00021FC5"/>
    <w:rsid w:val="000240A3"/>
    <w:rsid w:val="00024823"/>
    <w:rsid w:val="00025348"/>
    <w:rsid w:val="000322DA"/>
    <w:rsid w:val="00032E75"/>
    <w:rsid w:val="00033C34"/>
    <w:rsid w:val="000354A6"/>
    <w:rsid w:val="00036078"/>
    <w:rsid w:val="00037401"/>
    <w:rsid w:val="00042031"/>
    <w:rsid w:val="00044ACB"/>
    <w:rsid w:val="000469B3"/>
    <w:rsid w:val="0004779E"/>
    <w:rsid w:val="000517B4"/>
    <w:rsid w:val="00052C75"/>
    <w:rsid w:val="00052FD2"/>
    <w:rsid w:val="00055177"/>
    <w:rsid w:val="00055483"/>
    <w:rsid w:val="00057438"/>
    <w:rsid w:val="0005774D"/>
    <w:rsid w:val="0005786C"/>
    <w:rsid w:val="00060F8B"/>
    <w:rsid w:val="000663D2"/>
    <w:rsid w:val="000717CF"/>
    <w:rsid w:val="00074D52"/>
    <w:rsid w:val="0007583B"/>
    <w:rsid w:val="00076674"/>
    <w:rsid w:val="00076B05"/>
    <w:rsid w:val="00076B81"/>
    <w:rsid w:val="00080586"/>
    <w:rsid w:val="00081EFC"/>
    <w:rsid w:val="0009019A"/>
    <w:rsid w:val="00092302"/>
    <w:rsid w:val="00093A1D"/>
    <w:rsid w:val="00095157"/>
    <w:rsid w:val="0009799A"/>
    <w:rsid w:val="000A0C55"/>
    <w:rsid w:val="000A1810"/>
    <w:rsid w:val="000A373D"/>
    <w:rsid w:val="000A51EE"/>
    <w:rsid w:val="000A5E31"/>
    <w:rsid w:val="000B015A"/>
    <w:rsid w:val="000B58E2"/>
    <w:rsid w:val="000B5BBC"/>
    <w:rsid w:val="000C0B29"/>
    <w:rsid w:val="000C421E"/>
    <w:rsid w:val="000C44FA"/>
    <w:rsid w:val="000C48FD"/>
    <w:rsid w:val="000C4BD8"/>
    <w:rsid w:val="000C5EDD"/>
    <w:rsid w:val="000D1B77"/>
    <w:rsid w:val="000D2935"/>
    <w:rsid w:val="000D2C84"/>
    <w:rsid w:val="000D3A80"/>
    <w:rsid w:val="000D3EBF"/>
    <w:rsid w:val="000D4031"/>
    <w:rsid w:val="000D532C"/>
    <w:rsid w:val="000D56D3"/>
    <w:rsid w:val="000D76A9"/>
    <w:rsid w:val="000E039F"/>
    <w:rsid w:val="000E2ED2"/>
    <w:rsid w:val="000E3747"/>
    <w:rsid w:val="000E6B2E"/>
    <w:rsid w:val="000E723B"/>
    <w:rsid w:val="000F065A"/>
    <w:rsid w:val="000F0F16"/>
    <w:rsid w:val="000F47F3"/>
    <w:rsid w:val="000F4A71"/>
    <w:rsid w:val="000F5671"/>
    <w:rsid w:val="000F712B"/>
    <w:rsid w:val="000F7FE9"/>
    <w:rsid w:val="001007C1"/>
    <w:rsid w:val="001015C3"/>
    <w:rsid w:val="00103CB8"/>
    <w:rsid w:val="00105127"/>
    <w:rsid w:val="00105D48"/>
    <w:rsid w:val="00106934"/>
    <w:rsid w:val="00107D56"/>
    <w:rsid w:val="001100B5"/>
    <w:rsid w:val="001123D9"/>
    <w:rsid w:val="00112710"/>
    <w:rsid w:val="001129BC"/>
    <w:rsid w:val="00113086"/>
    <w:rsid w:val="00114244"/>
    <w:rsid w:val="001202D1"/>
    <w:rsid w:val="00121034"/>
    <w:rsid w:val="001242BB"/>
    <w:rsid w:val="0012635A"/>
    <w:rsid w:val="00130E17"/>
    <w:rsid w:val="00131C86"/>
    <w:rsid w:val="0013741E"/>
    <w:rsid w:val="001374D5"/>
    <w:rsid w:val="001409A4"/>
    <w:rsid w:val="00141E59"/>
    <w:rsid w:val="00142137"/>
    <w:rsid w:val="00144BA2"/>
    <w:rsid w:val="001562F0"/>
    <w:rsid w:val="00157DBF"/>
    <w:rsid w:val="00160795"/>
    <w:rsid w:val="00161C6F"/>
    <w:rsid w:val="001623EF"/>
    <w:rsid w:val="00162950"/>
    <w:rsid w:val="001647E3"/>
    <w:rsid w:val="00167302"/>
    <w:rsid w:val="00172A01"/>
    <w:rsid w:val="0017466F"/>
    <w:rsid w:val="0018264F"/>
    <w:rsid w:val="00182A42"/>
    <w:rsid w:val="0018303A"/>
    <w:rsid w:val="00183D44"/>
    <w:rsid w:val="00184D8D"/>
    <w:rsid w:val="00187D7E"/>
    <w:rsid w:val="0019191C"/>
    <w:rsid w:val="00191A2F"/>
    <w:rsid w:val="00194630"/>
    <w:rsid w:val="00196197"/>
    <w:rsid w:val="00197E03"/>
    <w:rsid w:val="001A2B9C"/>
    <w:rsid w:val="001A3BC1"/>
    <w:rsid w:val="001A5191"/>
    <w:rsid w:val="001B0CA4"/>
    <w:rsid w:val="001B188D"/>
    <w:rsid w:val="001B211C"/>
    <w:rsid w:val="001B5E92"/>
    <w:rsid w:val="001B71AE"/>
    <w:rsid w:val="001B7AC5"/>
    <w:rsid w:val="001C08D6"/>
    <w:rsid w:val="001C3369"/>
    <w:rsid w:val="001C4BC2"/>
    <w:rsid w:val="001C75D2"/>
    <w:rsid w:val="001C7C68"/>
    <w:rsid w:val="001D0422"/>
    <w:rsid w:val="001D11DE"/>
    <w:rsid w:val="001D22A1"/>
    <w:rsid w:val="001D66C9"/>
    <w:rsid w:val="001D6956"/>
    <w:rsid w:val="001D6DE1"/>
    <w:rsid w:val="001D6E0B"/>
    <w:rsid w:val="001E02F5"/>
    <w:rsid w:val="001E0A3E"/>
    <w:rsid w:val="001F0B63"/>
    <w:rsid w:val="001F5B3A"/>
    <w:rsid w:val="001F6161"/>
    <w:rsid w:val="001F69CF"/>
    <w:rsid w:val="001F7CF1"/>
    <w:rsid w:val="0020017A"/>
    <w:rsid w:val="00204AFE"/>
    <w:rsid w:val="00205701"/>
    <w:rsid w:val="00205AEA"/>
    <w:rsid w:val="00212B0D"/>
    <w:rsid w:val="0021425F"/>
    <w:rsid w:val="0022040D"/>
    <w:rsid w:val="002212ED"/>
    <w:rsid w:val="0022168D"/>
    <w:rsid w:val="00221A92"/>
    <w:rsid w:val="00222611"/>
    <w:rsid w:val="00222D13"/>
    <w:rsid w:val="0022605F"/>
    <w:rsid w:val="00226890"/>
    <w:rsid w:val="002271A4"/>
    <w:rsid w:val="002309F6"/>
    <w:rsid w:val="00230DA1"/>
    <w:rsid w:val="00233CC1"/>
    <w:rsid w:val="00235D72"/>
    <w:rsid w:val="00237B32"/>
    <w:rsid w:val="00237E90"/>
    <w:rsid w:val="002407BF"/>
    <w:rsid w:val="0024174E"/>
    <w:rsid w:val="00241DCA"/>
    <w:rsid w:val="00242EB1"/>
    <w:rsid w:val="0024360D"/>
    <w:rsid w:val="002443DD"/>
    <w:rsid w:val="00245945"/>
    <w:rsid w:val="002501FC"/>
    <w:rsid w:val="00251084"/>
    <w:rsid w:val="00251241"/>
    <w:rsid w:val="00257B96"/>
    <w:rsid w:val="00257DB6"/>
    <w:rsid w:val="00264A6A"/>
    <w:rsid w:val="002757F5"/>
    <w:rsid w:val="0028277E"/>
    <w:rsid w:val="002837DE"/>
    <w:rsid w:val="00286581"/>
    <w:rsid w:val="00291A72"/>
    <w:rsid w:val="0029521E"/>
    <w:rsid w:val="0029648D"/>
    <w:rsid w:val="00297925"/>
    <w:rsid w:val="002A4510"/>
    <w:rsid w:val="002A52EF"/>
    <w:rsid w:val="002A7AEC"/>
    <w:rsid w:val="002B18C4"/>
    <w:rsid w:val="002B2875"/>
    <w:rsid w:val="002B4295"/>
    <w:rsid w:val="002B4CA2"/>
    <w:rsid w:val="002B5087"/>
    <w:rsid w:val="002B60F1"/>
    <w:rsid w:val="002C354B"/>
    <w:rsid w:val="002C6BD8"/>
    <w:rsid w:val="002D0574"/>
    <w:rsid w:val="002D1498"/>
    <w:rsid w:val="002D1858"/>
    <w:rsid w:val="002D2D8D"/>
    <w:rsid w:val="002D2EBB"/>
    <w:rsid w:val="002D4372"/>
    <w:rsid w:val="002D4BEE"/>
    <w:rsid w:val="002D502C"/>
    <w:rsid w:val="002D57A5"/>
    <w:rsid w:val="002D60D5"/>
    <w:rsid w:val="002E1DFC"/>
    <w:rsid w:val="002F344B"/>
    <w:rsid w:val="002F5AC2"/>
    <w:rsid w:val="002F633B"/>
    <w:rsid w:val="002F6652"/>
    <w:rsid w:val="00300241"/>
    <w:rsid w:val="00300487"/>
    <w:rsid w:val="003007E5"/>
    <w:rsid w:val="003014AB"/>
    <w:rsid w:val="0030215B"/>
    <w:rsid w:val="00302A57"/>
    <w:rsid w:val="00303734"/>
    <w:rsid w:val="003039E8"/>
    <w:rsid w:val="00307677"/>
    <w:rsid w:val="00310274"/>
    <w:rsid w:val="003122FE"/>
    <w:rsid w:val="00312A85"/>
    <w:rsid w:val="0031400D"/>
    <w:rsid w:val="003144C6"/>
    <w:rsid w:val="00317E3D"/>
    <w:rsid w:val="00327859"/>
    <w:rsid w:val="00327D20"/>
    <w:rsid w:val="00330100"/>
    <w:rsid w:val="00330F1D"/>
    <w:rsid w:val="00331251"/>
    <w:rsid w:val="00333383"/>
    <w:rsid w:val="00333819"/>
    <w:rsid w:val="0033425E"/>
    <w:rsid w:val="00337B3C"/>
    <w:rsid w:val="003406F8"/>
    <w:rsid w:val="0034713F"/>
    <w:rsid w:val="00366DEE"/>
    <w:rsid w:val="00367576"/>
    <w:rsid w:val="00367927"/>
    <w:rsid w:val="00370BEB"/>
    <w:rsid w:val="00371B6D"/>
    <w:rsid w:val="003724BF"/>
    <w:rsid w:val="00373AC6"/>
    <w:rsid w:val="00374BAF"/>
    <w:rsid w:val="00375331"/>
    <w:rsid w:val="003763A7"/>
    <w:rsid w:val="003767A8"/>
    <w:rsid w:val="00376FD1"/>
    <w:rsid w:val="00380D63"/>
    <w:rsid w:val="003810DC"/>
    <w:rsid w:val="003863F7"/>
    <w:rsid w:val="003875F0"/>
    <w:rsid w:val="003876E3"/>
    <w:rsid w:val="00387827"/>
    <w:rsid w:val="003907FE"/>
    <w:rsid w:val="00396B07"/>
    <w:rsid w:val="003A07FD"/>
    <w:rsid w:val="003A1C30"/>
    <w:rsid w:val="003A2842"/>
    <w:rsid w:val="003A4CD4"/>
    <w:rsid w:val="003A6521"/>
    <w:rsid w:val="003A6E9A"/>
    <w:rsid w:val="003A72C8"/>
    <w:rsid w:val="003B02E1"/>
    <w:rsid w:val="003B186D"/>
    <w:rsid w:val="003B19F9"/>
    <w:rsid w:val="003B37DF"/>
    <w:rsid w:val="003C1863"/>
    <w:rsid w:val="003C2F8F"/>
    <w:rsid w:val="003C3A6D"/>
    <w:rsid w:val="003C48DF"/>
    <w:rsid w:val="003C59BD"/>
    <w:rsid w:val="003C6417"/>
    <w:rsid w:val="003C6FBC"/>
    <w:rsid w:val="003C759A"/>
    <w:rsid w:val="003C765A"/>
    <w:rsid w:val="003D0D5E"/>
    <w:rsid w:val="003D2064"/>
    <w:rsid w:val="003D36D0"/>
    <w:rsid w:val="003D4193"/>
    <w:rsid w:val="003D4AA1"/>
    <w:rsid w:val="003D552C"/>
    <w:rsid w:val="003D7892"/>
    <w:rsid w:val="003E0352"/>
    <w:rsid w:val="003E5493"/>
    <w:rsid w:val="003F257C"/>
    <w:rsid w:val="003F28B5"/>
    <w:rsid w:val="003F2E0B"/>
    <w:rsid w:val="003F5182"/>
    <w:rsid w:val="003F5FD4"/>
    <w:rsid w:val="003F6195"/>
    <w:rsid w:val="0040149D"/>
    <w:rsid w:val="00401DB2"/>
    <w:rsid w:val="00402277"/>
    <w:rsid w:val="00404EC0"/>
    <w:rsid w:val="00406F21"/>
    <w:rsid w:val="00413A95"/>
    <w:rsid w:val="004149E9"/>
    <w:rsid w:val="00416351"/>
    <w:rsid w:val="00420760"/>
    <w:rsid w:val="0042108F"/>
    <w:rsid w:val="004230EF"/>
    <w:rsid w:val="00424435"/>
    <w:rsid w:val="00424EBD"/>
    <w:rsid w:val="00426444"/>
    <w:rsid w:val="004307B9"/>
    <w:rsid w:val="0043325D"/>
    <w:rsid w:val="0043691C"/>
    <w:rsid w:val="0044176A"/>
    <w:rsid w:val="0044778F"/>
    <w:rsid w:val="00447BEB"/>
    <w:rsid w:val="0045125B"/>
    <w:rsid w:val="00451BD2"/>
    <w:rsid w:val="00451CE1"/>
    <w:rsid w:val="00452FDD"/>
    <w:rsid w:val="004559BC"/>
    <w:rsid w:val="0046285F"/>
    <w:rsid w:val="00462E51"/>
    <w:rsid w:val="00463FDA"/>
    <w:rsid w:val="00467DC4"/>
    <w:rsid w:val="004714F9"/>
    <w:rsid w:val="004747E2"/>
    <w:rsid w:val="00475652"/>
    <w:rsid w:val="0047767D"/>
    <w:rsid w:val="004813B1"/>
    <w:rsid w:val="004822D6"/>
    <w:rsid w:val="00482640"/>
    <w:rsid w:val="00486DDD"/>
    <w:rsid w:val="004906A4"/>
    <w:rsid w:val="00491032"/>
    <w:rsid w:val="00491A9C"/>
    <w:rsid w:val="00492575"/>
    <w:rsid w:val="00494C50"/>
    <w:rsid w:val="004A2DA2"/>
    <w:rsid w:val="004A5E33"/>
    <w:rsid w:val="004B079E"/>
    <w:rsid w:val="004B0FA0"/>
    <w:rsid w:val="004B135D"/>
    <w:rsid w:val="004B29B4"/>
    <w:rsid w:val="004B29C7"/>
    <w:rsid w:val="004B53CB"/>
    <w:rsid w:val="004C2D93"/>
    <w:rsid w:val="004C502E"/>
    <w:rsid w:val="004C56E8"/>
    <w:rsid w:val="004D00B2"/>
    <w:rsid w:val="004D0588"/>
    <w:rsid w:val="004D1CAD"/>
    <w:rsid w:val="004D2CDB"/>
    <w:rsid w:val="004D7542"/>
    <w:rsid w:val="004E0A2F"/>
    <w:rsid w:val="004E0E3E"/>
    <w:rsid w:val="004E147E"/>
    <w:rsid w:val="004E3C89"/>
    <w:rsid w:val="004E43CF"/>
    <w:rsid w:val="004E447F"/>
    <w:rsid w:val="004E5E90"/>
    <w:rsid w:val="004F2026"/>
    <w:rsid w:val="004F34F9"/>
    <w:rsid w:val="00505150"/>
    <w:rsid w:val="00506D76"/>
    <w:rsid w:val="0051729D"/>
    <w:rsid w:val="00520322"/>
    <w:rsid w:val="0052301B"/>
    <w:rsid w:val="00526DF8"/>
    <w:rsid w:val="00527062"/>
    <w:rsid w:val="00527169"/>
    <w:rsid w:val="005305A7"/>
    <w:rsid w:val="00530C57"/>
    <w:rsid w:val="00532168"/>
    <w:rsid w:val="00533B24"/>
    <w:rsid w:val="00535B48"/>
    <w:rsid w:val="00543D39"/>
    <w:rsid w:val="00545C45"/>
    <w:rsid w:val="00546594"/>
    <w:rsid w:val="00553750"/>
    <w:rsid w:val="00553A98"/>
    <w:rsid w:val="00554608"/>
    <w:rsid w:val="0056068E"/>
    <w:rsid w:val="0056181B"/>
    <w:rsid w:val="00561CAD"/>
    <w:rsid w:val="00562BFE"/>
    <w:rsid w:val="005647A0"/>
    <w:rsid w:val="00571436"/>
    <w:rsid w:val="00571B9A"/>
    <w:rsid w:val="00572B34"/>
    <w:rsid w:val="0057409F"/>
    <w:rsid w:val="005768EA"/>
    <w:rsid w:val="0058457A"/>
    <w:rsid w:val="0058469A"/>
    <w:rsid w:val="0059203E"/>
    <w:rsid w:val="0059414E"/>
    <w:rsid w:val="00594C56"/>
    <w:rsid w:val="00595361"/>
    <w:rsid w:val="005A3EC8"/>
    <w:rsid w:val="005A7B43"/>
    <w:rsid w:val="005A7F45"/>
    <w:rsid w:val="005B0F9C"/>
    <w:rsid w:val="005B3E5A"/>
    <w:rsid w:val="005B4F71"/>
    <w:rsid w:val="005B5173"/>
    <w:rsid w:val="005B5AAC"/>
    <w:rsid w:val="005B770A"/>
    <w:rsid w:val="005C0D84"/>
    <w:rsid w:val="005C0F82"/>
    <w:rsid w:val="005C4294"/>
    <w:rsid w:val="005C481B"/>
    <w:rsid w:val="005C5430"/>
    <w:rsid w:val="005D09D4"/>
    <w:rsid w:val="005D1540"/>
    <w:rsid w:val="005D15C8"/>
    <w:rsid w:val="005D1C31"/>
    <w:rsid w:val="005D2713"/>
    <w:rsid w:val="005D349B"/>
    <w:rsid w:val="005D5A80"/>
    <w:rsid w:val="005D5B1B"/>
    <w:rsid w:val="005D6721"/>
    <w:rsid w:val="005E08B5"/>
    <w:rsid w:val="005E3204"/>
    <w:rsid w:val="005E3D84"/>
    <w:rsid w:val="005E62E6"/>
    <w:rsid w:val="005E63E7"/>
    <w:rsid w:val="005F1159"/>
    <w:rsid w:val="005F4A85"/>
    <w:rsid w:val="00600F70"/>
    <w:rsid w:val="00604B89"/>
    <w:rsid w:val="0060689A"/>
    <w:rsid w:val="00607BDE"/>
    <w:rsid w:val="0061422C"/>
    <w:rsid w:val="006151CD"/>
    <w:rsid w:val="00621C05"/>
    <w:rsid w:val="0062316E"/>
    <w:rsid w:val="0062350D"/>
    <w:rsid w:val="00624152"/>
    <w:rsid w:val="006241D4"/>
    <w:rsid w:val="00624509"/>
    <w:rsid w:val="00626EA3"/>
    <w:rsid w:val="00627D20"/>
    <w:rsid w:val="00632D00"/>
    <w:rsid w:val="00634043"/>
    <w:rsid w:val="00636B02"/>
    <w:rsid w:val="00637DFC"/>
    <w:rsid w:val="0064163F"/>
    <w:rsid w:val="006425E6"/>
    <w:rsid w:val="006427D6"/>
    <w:rsid w:val="0064441B"/>
    <w:rsid w:val="006444AF"/>
    <w:rsid w:val="006448A8"/>
    <w:rsid w:val="006463C8"/>
    <w:rsid w:val="00653B8D"/>
    <w:rsid w:val="00653D40"/>
    <w:rsid w:val="00654A4A"/>
    <w:rsid w:val="00654A7B"/>
    <w:rsid w:val="00660D40"/>
    <w:rsid w:val="006617B5"/>
    <w:rsid w:val="00663B79"/>
    <w:rsid w:val="00664726"/>
    <w:rsid w:val="0066483B"/>
    <w:rsid w:val="0066484E"/>
    <w:rsid w:val="0066499B"/>
    <w:rsid w:val="00665FB0"/>
    <w:rsid w:val="00670272"/>
    <w:rsid w:val="00670D87"/>
    <w:rsid w:val="006710A3"/>
    <w:rsid w:val="00676EA7"/>
    <w:rsid w:val="006807B6"/>
    <w:rsid w:val="0068100C"/>
    <w:rsid w:val="006825D8"/>
    <w:rsid w:val="00682BCB"/>
    <w:rsid w:val="00683502"/>
    <w:rsid w:val="00684045"/>
    <w:rsid w:val="006900F9"/>
    <w:rsid w:val="00691540"/>
    <w:rsid w:val="006941FB"/>
    <w:rsid w:val="0069716E"/>
    <w:rsid w:val="006A1D7C"/>
    <w:rsid w:val="006A5839"/>
    <w:rsid w:val="006A5BB6"/>
    <w:rsid w:val="006B1FC7"/>
    <w:rsid w:val="006B5BEE"/>
    <w:rsid w:val="006B66F2"/>
    <w:rsid w:val="006B6E30"/>
    <w:rsid w:val="006C1879"/>
    <w:rsid w:val="006C1BC2"/>
    <w:rsid w:val="006C2975"/>
    <w:rsid w:val="006C6C06"/>
    <w:rsid w:val="006D1DDE"/>
    <w:rsid w:val="006D2C8E"/>
    <w:rsid w:val="006D3D52"/>
    <w:rsid w:val="006D4167"/>
    <w:rsid w:val="006D4A41"/>
    <w:rsid w:val="006D4ED4"/>
    <w:rsid w:val="006E78EB"/>
    <w:rsid w:val="006F0D20"/>
    <w:rsid w:val="006F1149"/>
    <w:rsid w:val="006F3AE1"/>
    <w:rsid w:val="006F3D27"/>
    <w:rsid w:val="006F4AF0"/>
    <w:rsid w:val="006F5E7D"/>
    <w:rsid w:val="006F6595"/>
    <w:rsid w:val="006F7261"/>
    <w:rsid w:val="006F737C"/>
    <w:rsid w:val="006F7D5E"/>
    <w:rsid w:val="007022D9"/>
    <w:rsid w:val="007023AC"/>
    <w:rsid w:val="007037B6"/>
    <w:rsid w:val="00703D2F"/>
    <w:rsid w:val="007040C2"/>
    <w:rsid w:val="007058AB"/>
    <w:rsid w:val="007059E8"/>
    <w:rsid w:val="007065A5"/>
    <w:rsid w:val="00707C87"/>
    <w:rsid w:val="00711428"/>
    <w:rsid w:val="007127BE"/>
    <w:rsid w:val="0071523D"/>
    <w:rsid w:val="0071665F"/>
    <w:rsid w:val="00717A7A"/>
    <w:rsid w:val="00720BE3"/>
    <w:rsid w:val="00722184"/>
    <w:rsid w:val="00722745"/>
    <w:rsid w:val="00732352"/>
    <w:rsid w:val="007326B7"/>
    <w:rsid w:val="00735257"/>
    <w:rsid w:val="00736CB1"/>
    <w:rsid w:val="0073704A"/>
    <w:rsid w:val="007419B9"/>
    <w:rsid w:val="00743782"/>
    <w:rsid w:val="00744872"/>
    <w:rsid w:val="0074512B"/>
    <w:rsid w:val="007451A6"/>
    <w:rsid w:val="007521C9"/>
    <w:rsid w:val="00756F47"/>
    <w:rsid w:val="00757E8C"/>
    <w:rsid w:val="00760232"/>
    <w:rsid w:val="00760ADA"/>
    <w:rsid w:val="00763640"/>
    <w:rsid w:val="0076614F"/>
    <w:rsid w:val="00767063"/>
    <w:rsid w:val="00772955"/>
    <w:rsid w:val="007740E5"/>
    <w:rsid w:val="00775A9D"/>
    <w:rsid w:val="00777FEE"/>
    <w:rsid w:val="00781A5A"/>
    <w:rsid w:val="007904EE"/>
    <w:rsid w:val="007912D8"/>
    <w:rsid w:val="00795A17"/>
    <w:rsid w:val="00796AD3"/>
    <w:rsid w:val="007975E9"/>
    <w:rsid w:val="007A3526"/>
    <w:rsid w:val="007B1E28"/>
    <w:rsid w:val="007B27CC"/>
    <w:rsid w:val="007B2E89"/>
    <w:rsid w:val="007B68A0"/>
    <w:rsid w:val="007C101A"/>
    <w:rsid w:val="007C1F8A"/>
    <w:rsid w:val="007C4447"/>
    <w:rsid w:val="007C4595"/>
    <w:rsid w:val="007D29C9"/>
    <w:rsid w:val="007D6AF9"/>
    <w:rsid w:val="007D76E9"/>
    <w:rsid w:val="007E0155"/>
    <w:rsid w:val="007E241A"/>
    <w:rsid w:val="007E4EC1"/>
    <w:rsid w:val="007E5541"/>
    <w:rsid w:val="007E598E"/>
    <w:rsid w:val="007E61F4"/>
    <w:rsid w:val="007E6D4D"/>
    <w:rsid w:val="007E7A49"/>
    <w:rsid w:val="007F0D85"/>
    <w:rsid w:val="007F11C3"/>
    <w:rsid w:val="007F1A39"/>
    <w:rsid w:val="0080147D"/>
    <w:rsid w:val="00801C2E"/>
    <w:rsid w:val="0080388D"/>
    <w:rsid w:val="008047AA"/>
    <w:rsid w:val="00804F0D"/>
    <w:rsid w:val="00805B3B"/>
    <w:rsid w:val="00813DD2"/>
    <w:rsid w:val="00816A95"/>
    <w:rsid w:val="00821D1E"/>
    <w:rsid w:val="00823421"/>
    <w:rsid w:val="00823FD4"/>
    <w:rsid w:val="008265B6"/>
    <w:rsid w:val="00831DF2"/>
    <w:rsid w:val="00837730"/>
    <w:rsid w:val="00841C19"/>
    <w:rsid w:val="008438A5"/>
    <w:rsid w:val="00847B2F"/>
    <w:rsid w:val="00850A22"/>
    <w:rsid w:val="00854683"/>
    <w:rsid w:val="00855434"/>
    <w:rsid w:val="0086085C"/>
    <w:rsid w:val="00866F5A"/>
    <w:rsid w:val="0086719F"/>
    <w:rsid w:val="00867ED2"/>
    <w:rsid w:val="008735FE"/>
    <w:rsid w:val="00874A97"/>
    <w:rsid w:val="00876C10"/>
    <w:rsid w:val="00876FB4"/>
    <w:rsid w:val="00881D6F"/>
    <w:rsid w:val="0088315F"/>
    <w:rsid w:val="00884690"/>
    <w:rsid w:val="00885696"/>
    <w:rsid w:val="00886ABC"/>
    <w:rsid w:val="00890154"/>
    <w:rsid w:val="00892961"/>
    <w:rsid w:val="008933B4"/>
    <w:rsid w:val="008942FA"/>
    <w:rsid w:val="00895ABD"/>
    <w:rsid w:val="008A0136"/>
    <w:rsid w:val="008A3C22"/>
    <w:rsid w:val="008A7D8B"/>
    <w:rsid w:val="008B0613"/>
    <w:rsid w:val="008B0867"/>
    <w:rsid w:val="008B0B48"/>
    <w:rsid w:val="008B3156"/>
    <w:rsid w:val="008B447D"/>
    <w:rsid w:val="008B62AA"/>
    <w:rsid w:val="008C11B5"/>
    <w:rsid w:val="008C4FD3"/>
    <w:rsid w:val="008D1521"/>
    <w:rsid w:val="008D390A"/>
    <w:rsid w:val="008D5FC7"/>
    <w:rsid w:val="008D7C8C"/>
    <w:rsid w:val="008E04E2"/>
    <w:rsid w:val="008E0F2E"/>
    <w:rsid w:val="008E2732"/>
    <w:rsid w:val="008E5241"/>
    <w:rsid w:val="008E6A38"/>
    <w:rsid w:val="008E7458"/>
    <w:rsid w:val="008F0EBB"/>
    <w:rsid w:val="008F314B"/>
    <w:rsid w:val="008F327A"/>
    <w:rsid w:val="008F5790"/>
    <w:rsid w:val="008F5CD4"/>
    <w:rsid w:val="00901335"/>
    <w:rsid w:val="009018FC"/>
    <w:rsid w:val="00901F0F"/>
    <w:rsid w:val="009022FB"/>
    <w:rsid w:val="00903808"/>
    <w:rsid w:val="00903F7E"/>
    <w:rsid w:val="009041B5"/>
    <w:rsid w:val="00906B13"/>
    <w:rsid w:val="00911975"/>
    <w:rsid w:val="00914C2B"/>
    <w:rsid w:val="00915066"/>
    <w:rsid w:val="00915769"/>
    <w:rsid w:val="00916B3D"/>
    <w:rsid w:val="00921BA8"/>
    <w:rsid w:val="00922851"/>
    <w:rsid w:val="00924A7A"/>
    <w:rsid w:val="00930054"/>
    <w:rsid w:val="009321D4"/>
    <w:rsid w:val="00932238"/>
    <w:rsid w:val="009323B8"/>
    <w:rsid w:val="00934495"/>
    <w:rsid w:val="00940172"/>
    <w:rsid w:val="00940497"/>
    <w:rsid w:val="009416B3"/>
    <w:rsid w:val="00943C9A"/>
    <w:rsid w:val="00944EDB"/>
    <w:rsid w:val="0095126E"/>
    <w:rsid w:val="00956167"/>
    <w:rsid w:val="0095746B"/>
    <w:rsid w:val="0095793F"/>
    <w:rsid w:val="00961501"/>
    <w:rsid w:val="00962018"/>
    <w:rsid w:val="00964011"/>
    <w:rsid w:val="00964882"/>
    <w:rsid w:val="00964957"/>
    <w:rsid w:val="00965972"/>
    <w:rsid w:val="00971692"/>
    <w:rsid w:val="009717C4"/>
    <w:rsid w:val="0097338A"/>
    <w:rsid w:val="00975332"/>
    <w:rsid w:val="009766F5"/>
    <w:rsid w:val="00976F2E"/>
    <w:rsid w:val="009808D3"/>
    <w:rsid w:val="009808D4"/>
    <w:rsid w:val="0098386D"/>
    <w:rsid w:val="00983A95"/>
    <w:rsid w:val="00984566"/>
    <w:rsid w:val="00985B0F"/>
    <w:rsid w:val="009868A8"/>
    <w:rsid w:val="009904B4"/>
    <w:rsid w:val="00993442"/>
    <w:rsid w:val="00994EA7"/>
    <w:rsid w:val="00995EB8"/>
    <w:rsid w:val="0099654A"/>
    <w:rsid w:val="00997CF6"/>
    <w:rsid w:val="009A3186"/>
    <w:rsid w:val="009A3922"/>
    <w:rsid w:val="009A55BA"/>
    <w:rsid w:val="009A5795"/>
    <w:rsid w:val="009A5853"/>
    <w:rsid w:val="009A607F"/>
    <w:rsid w:val="009A6765"/>
    <w:rsid w:val="009A78D7"/>
    <w:rsid w:val="009B2177"/>
    <w:rsid w:val="009C2321"/>
    <w:rsid w:val="009C2E04"/>
    <w:rsid w:val="009C3AFA"/>
    <w:rsid w:val="009C4083"/>
    <w:rsid w:val="009C5377"/>
    <w:rsid w:val="009C76D7"/>
    <w:rsid w:val="009D021B"/>
    <w:rsid w:val="009D0915"/>
    <w:rsid w:val="009D211A"/>
    <w:rsid w:val="009D246F"/>
    <w:rsid w:val="009D599E"/>
    <w:rsid w:val="009D5B18"/>
    <w:rsid w:val="009D6EFA"/>
    <w:rsid w:val="009D7841"/>
    <w:rsid w:val="009E065E"/>
    <w:rsid w:val="009E57B6"/>
    <w:rsid w:val="009E790A"/>
    <w:rsid w:val="009E7A0C"/>
    <w:rsid w:val="009F19D6"/>
    <w:rsid w:val="009F2B0E"/>
    <w:rsid w:val="009F3748"/>
    <w:rsid w:val="009F4A34"/>
    <w:rsid w:val="009F51D5"/>
    <w:rsid w:val="009F5F68"/>
    <w:rsid w:val="009F7301"/>
    <w:rsid w:val="00A005FD"/>
    <w:rsid w:val="00A0281A"/>
    <w:rsid w:val="00A037DE"/>
    <w:rsid w:val="00A054AC"/>
    <w:rsid w:val="00A06214"/>
    <w:rsid w:val="00A06E81"/>
    <w:rsid w:val="00A10A1F"/>
    <w:rsid w:val="00A1196F"/>
    <w:rsid w:val="00A147E5"/>
    <w:rsid w:val="00A24D0E"/>
    <w:rsid w:val="00A26B0A"/>
    <w:rsid w:val="00A2746F"/>
    <w:rsid w:val="00A3368D"/>
    <w:rsid w:val="00A3742D"/>
    <w:rsid w:val="00A37710"/>
    <w:rsid w:val="00A41DEE"/>
    <w:rsid w:val="00A428C5"/>
    <w:rsid w:val="00A4406F"/>
    <w:rsid w:val="00A528FE"/>
    <w:rsid w:val="00A533F6"/>
    <w:rsid w:val="00A54D3B"/>
    <w:rsid w:val="00A64BCE"/>
    <w:rsid w:val="00A7068E"/>
    <w:rsid w:val="00A77ED3"/>
    <w:rsid w:val="00A81341"/>
    <w:rsid w:val="00A81B64"/>
    <w:rsid w:val="00A83FF3"/>
    <w:rsid w:val="00A85CEE"/>
    <w:rsid w:val="00A869E9"/>
    <w:rsid w:val="00A86F32"/>
    <w:rsid w:val="00A90CC9"/>
    <w:rsid w:val="00A91500"/>
    <w:rsid w:val="00A9455E"/>
    <w:rsid w:val="00AA2DF3"/>
    <w:rsid w:val="00AA503A"/>
    <w:rsid w:val="00AA55C3"/>
    <w:rsid w:val="00AA5977"/>
    <w:rsid w:val="00AA5D8A"/>
    <w:rsid w:val="00AB02A4"/>
    <w:rsid w:val="00AB09F0"/>
    <w:rsid w:val="00AB15BA"/>
    <w:rsid w:val="00AB1F06"/>
    <w:rsid w:val="00AB2438"/>
    <w:rsid w:val="00AB5B00"/>
    <w:rsid w:val="00AC2C6F"/>
    <w:rsid w:val="00AC35D8"/>
    <w:rsid w:val="00AC4114"/>
    <w:rsid w:val="00AC5EF3"/>
    <w:rsid w:val="00AC62CC"/>
    <w:rsid w:val="00AD024B"/>
    <w:rsid w:val="00AD121B"/>
    <w:rsid w:val="00AD63B2"/>
    <w:rsid w:val="00AE11C5"/>
    <w:rsid w:val="00AE1658"/>
    <w:rsid w:val="00AE243F"/>
    <w:rsid w:val="00AE42DB"/>
    <w:rsid w:val="00AE5A68"/>
    <w:rsid w:val="00AE61DA"/>
    <w:rsid w:val="00AE6FE8"/>
    <w:rsid w:val="00AE70FD"/>
    <w:rsid w:val="00AE7E4F"/>
    <w:rsid w:val="00AE7E7C"/>
    <w:rsid w:val="00AF0C2D"/>
    <w:rsid w:val="00AF2C8B"/>
    <w:rsid w:val="00AF3365"/>
    <w:rsid w:val="00AF58A5"/>
    <w:rsid w:val="00AF5BBF"/>
    <w:rsid w:val="00AF69A2"/>
    <w:rsid w:val="00AF69BF"/>
    <w:rsid w:val="00B005E0"/>
    <w:rsid w:val="00B018CC"/>
    <w:rsid w:val="00B022E9"/>
    <w:rsid w:val="00B02D91"/>
    <w:rsid w:val="00B03EE1"/>
    <w:rsid w:val="00B03F47"/>
    <w:rsid w:val="00B07669"/>
    <w:rsid w:val="00B07F08"/>
    <w:rsid w:val="00B10CFA"/>
    <w:rsid w:val="00B3075C"/>
    <w:rsid w:val="00B30784"/>
    <w:rsid w:val="00B318FC"/>
    <w:rsid w:val="00B3477F"/>
    <w:rsid w:val="00B37AE3"/>
    <w:rsid w:val="00B40C60"/>
    <w:rsid w:val="00B435B4"/>
    <w:rsid w:val="00B43A2D"/>
    <w:rsid w:val="00B44C86"/>
    <w:rsid w:val="00B44C99"/>
    <w:rsid w:val="00B45E94"/>
    <w:rsid w:val="00B46470"/>
    <w:rsid w:val="00B466FC"/>
    <w:rsid w:val="00B50403"/>
    <w:rsid w:val="00B509FD"/>
    <w:rsid w:val="00B5137E"/>
    <w:rsid w:val="00B605AE"/>
    <w:rsid w:val="00B607D8"/>
    <w:rsid w:val="00B60C1C"/>
    <w:rsid w:val="00B61E05"/>
    <w:rsid w:val="00B64AF9"/>
    <w:rsid w:val="00B725AD"/>
    <w:rsid w:val="00B73570"/>
    <w:rsid w:val="00B7433C"/>
    <w:rsid w:val="00B7444A"/>
    <w:rsid w:val="00B77F88"/>
    <w:rsid w:val="00B8797F"/>
    <w:rsid w:val="00B9088F"/>
    <w:rsid w:val="00B925AF"/>
    <w:rsid w:val="00B92FC7"/>
    <w:rsid w:val="00B93099"/>
    <w:rsid w:val="00B948F0"/>
    <w:rsid w:val="00B94A20"/>
    <w:rsid w:val="00BA0152"/>
    <w:rsid w:val="00BA0AC7"/>
    <w:rsid w:val="00BA7318"/>
    <w:rsid w:val="00BB1059"/>
    <w:rsid w:val="00BB16DB"/>
    <w:rsid w:val="00BB1EBC"/>
    <w:rsid w:val="00BB413A"/>
    <w:rsid w:val="00BB7E84"/>
    <w:rsid w:val="00BC3A36"/>
    <w:rsid w:val="00BC5462"/>
    <w:rsid w:val="00BC57A1"/>
    <w:rsid w:val="00BC680F"/>
    <w:rsid w:val="00BC7424"/>
    <w:rsid w:val="00BD11BD"/>
    <w:rsid w:val="00BD1633"/>
    <w:rsid w:val="00BD4786"/>
    <w:rsid w:val="00BD5582"/>
    <w:rsid w:val="00BE1448"/>
    <w:rsid w:val="00BE1CE7"/>
    <w:rsid w:val="00BE3E9F"/>
    <w:rsid w:val="00BE419D"/>
    <w:rsid w:val="00BE4B14"/>
    <w:rsid w:val="00BE7278"/>
    <w:rsid w:val="00BF189E"/>
    <w:rsid w:val="00BF3818"/>
    <w:rsid w:val="00BF40A6"/>
    <w:rsid w:val="00BF49D0"/>
    <w:rsid w:val="00C00326"/>
    <w:rsid w:val="00C01BB5"/>
    <w:rsid w:val="00C01C4F"/>
    <w:rsid w:val="00C04EF0"/>
    <w:rsid w:val="00C0548C"/>
    <w:rsid w:val="00C07C5D"/>
    <w:rsid w:val="00C1047E"/>
    <w:rsid w:val="00C13024"/>
    <w:rsid w:val="00C13D7E"/>
    <w:rsid w:val="00C14989"/>
    <w:rsid w:val="00C22185"/>
    <w:rsid w:val="00C24656"/>
    <w:rsid w:val="00C25E03"/>
    <w:rsid w:val="00C26503"/>
    <w:rsid w:val="00C26605"/>
    <w:rsid w:val="00C308D4"/>
    <w:rsid w:val="00C31010"/>
    <w:rsid w:val="00C33BA0"/>
    <w:rsid w:val="00C33EF7"/>
    <w:rsid w:val="00C35447"/>
    <w:rsid w:val="00C35903"/>
    <w:rsid w:val="00C36CD9"/>
    <w:rsid w:val="00C40967"/>
    <w:rsid w:val="00C41255"/>
    <w:rsid w:val="00C41E44"/>
    <w:rsid w:val="00C43347"/>
    <w:rsid w:val="00C44F90"/>
    <w:rsid w:val="00C461B6"/>
    <w:rsid w:val="00C522FC"/>
    <w:rsid w:val="00C53124"/>
    <w:rsid w:val="00C535FA"/>
    <w:rsid w:val="00C537FC"/>
    <w:rsid w:val="00C54E03"/>
    <w:rsid w:val="00C57623"/>
    <w:rsid w:val="00C600EF"/>
    <w:rsid w:val="00C637D6"/>
    <w:rsid w:val="00C639F1"/>
    <w:rsid w:val="00C64F53"/>
    <w:rsid w:val="00C66ED9"/>
    <w:rsid w:val="00C704C4"/>
    <w:rsid w:val="00C721CC"/>
    <w:rsid w:val="00C72266"/>
    <w:rsid w:val="00C737B5"/>
    <w:rsid w:val="00C76917"/>
    <w:rsid w:val="00C771DA"/>
    <w:rsid w:val="00C80168"/>
    <w:rsid w:val="00C801A9"/>
    <w:rsid w:val="00C8218E"/>
    <w:rsid w:val="00C9540B"/>
    <w:rsid w:val="00CA1482"/>
    <w:rsid w:val="00CA21B0"/>
    <w:rsid w:val="00CB0A45"/>
    <w:rsid w:val="00CB0CEA"/>
    <w:rsid w:val="00CB4008"/>
    <w:rsid w:val="00CB5F90"/>
    <w:rsid w:val="00CB6CEA"/>
    <w:rsid w:val="00CB7238"/>
    <w:rsid w:val="00CB7F9E"/>
    <w:rsid w:val="00CC53A5"/>
    <w:rsid w:val="00CC6BCC"/>
    <w:rsid w:val="00CC70C6"/>
    <w:rsid w:val="00CC717F"/>
    <w:rsid w:val="00CD0CCA"/>
    <w:rsid w:val="00CD4F55"/>
    <w:rsid w:val="00CD5482"/>
    <w:rsid w:val="00CD75B7"/>
    <w:rsid w:val="00CE1127"/>
    <w:rsid w:val="00CE17BC"/>
    <w:rsid w:val="00CE3B4C"/>
    <w:rsid w:val="00CE4C09"/>
    <w:rsid w:val="00CE5F21"/>
    <w:rsid w:val="00CF0723"/>
    <w:rsid w:val="00CF42D5"/>
    <w:rsid w:val="00CF47AD"/>
    <w:rsid w:val="00CF5EED"/>
    <w:rsid w:val="00D005B5"/>
    <w:rsid w:val="00D02620"/>
    <w:rsid w:val="00D03F86"/>
    <w:rsid w:val="00D05912"/>
    <w:rsid w:val="00D07E5D"/>
    <w:rsid w:val="00D12396"/>
    <w:rsid w:val="00D15B85"/>
    <w:rsid w:val="00D16119"/>
    <w:rsid w:val="00D16A0E"/>
    <w:rsid w:val="00D17139"/>
    <w:rsid w:val="00D2418A"/>
    <w:rsid w:val="00D24B5C"/>
    <w:rsid w:val="00D2505C"/>
    <w:rsid w:val="00D30CC0"/>
    <w:rsid w:val="00D31428"/>
    <w:rsid w:val="00D31A3B"/>
    <w:rsid w:val="00D32ACB"/>
    <w:rsid w:val="00D32DF2"/>
    <w:rsid w:val="00D348B0"/>
    <w:rsid w:val="00D357B2"/>
    <w:rsid w:val="00D36B59"/>
    <w:rsid w:val="00D3743A"/>
    <w:rsid w:val="00D40582"/>
    <w:rsid w:val="00D419A3"/>
    <w:rsid w:val="00D43A71"/>
    <w:rsid w:val="00D44F26"/>
    <w:rsid w:val="00D45211"/>
    <w:rsid w:val="00D45397"/>
    <w:rsid w:val="00D461CF"/>
    <w:rsid w:val="00D46537"/>
    <w:rsid w:val="00D5408C"/>
    <w:rsid w:val="00D60C45"/>
    <w:rsid w:val="00D61247"/>
    <w:rsid w:val="00D62308"/>
    <w:rsid w:val="00D65398"/>
    <w:rsid w:val="00D70ECC"/>
    <w:rsid w:val="00D71C80"/>
    <w:rsid w:val="00D71E9E"/>
    <w:rsid w:val="00D73B9A"/>
    <w:rsid w:val="00D76336"/>
    <w:rsid w:val="00D76D43"/>
    <w:rsid w:val="00D77F5F"/>
    <w:rsid w:val="00D80327"/>
    <w:rsid w:val="00D807E5"/>
    <w:rsid w:val="00D80E05"/>
    <w:rsid w:val="00D81309"/>
    <w:rsid w:val="00D815C3"/>
    <w:rsid w:val="00D82C42"/>
    <w:rsid w:val="00D846A8"/>
    <w:rsid w:val="00D85B8C"/>
    <w:rsid w:val="00D87FF4"/>
    <w:rsid w:val="00D90AC5"/>
    <w:rsid w:val="00D91544"/>
    <w:rsid w:val="00D9277E"/>
    <w:rsid w:val="00D955DE"/>
    <w:rsid w:val="00D97307"/>
    <w:rsid w:val="00D979B5"/>
    <w:rsid w:val="00DA0F8B"/>
    <w:rsid w:val="00DA102A"/>
    <w:rsid w:val="00DA126F"/>
    <w:rsid w:val="00DA2591"/>
    <w:rsid w:val="00DA2BDE"/>
    <w:rsid w:val="00DA3A01"/>
    <w:rsid w:val="00DA6B5E"/>
    <w:rsid w:val="00DA7958"/>
    <w:rsid w:val="00DB0B54"/>
    <w:rsid w:val="00DB4104"/>
    <w:rsid w:val="00DB6DD3"/>
    <w:rsid w:val="00DB734F"/>
    <w:rsid w:val="00DC31FC"/>
    <w:rsid w:val="00DC3EDD"/>
    <w:rsid w:val="00DC6BF6"/>
    <w:rsid w:val="00DD3566"/>
    <w:rsid w:val="00DD65E3"/>
    <w:rsid w:val="00DE2055"/>
    <w:rsid w:val="00DE24B2"/>
    <w:rsid w:val="00DE2B48"/>
    <w:rsid w:val="00DE2BC2"/>
    <w:rsid w:val="00DE2BE1"/>
    <w:rsid w:val="00DF23CF"/>
    <w:rsid w:val="00DF32A0"/>
    <w:rsid w:val="00DF3EEB"/>
    <w:rsid w:val="00DF4257"/>
    <w:rsid w:val="00DF43A9"/>
    <w:rsid w:val="00DF4A8B"/>
    <w:rsid w:val="00DF5F32"/>
    <w:rsid w:val="00E002D5"/>
    <w:rsid w:val="00E004C3"/>
    <w:rsid w:val="00E00703"/>
    <w:rsid w:val="00E01F7E"/>
    <w:rsid w:val="00E03781"/>
    <w:rsid w:val="00E039C5"/>
    <w:rsid w:val="00E06481"/>
    <w:rsid w:val="00E07771"/>
    <w:rsid w:val="00E113FD"/>
    <w:rsid w:val="00E114F1"/>
    <w:rsid w:val="00E124C8"/>
    <w:rsid w:val="00E130DB"/>
    <w:rsid w:val="00E13ACB"/>
    <w:rsid w:val="00E13FE5"/>
    <w:rsid w:val="00E1755F"/>
    <w:rsid w:val="00E20B45"/>
    <w:rsid w:val="00E27023"/>
    <w:rsid w:val="00E32896"/>
    <w:rsid w:val="00E34020"/>
    <w:rsid w:val="00E35C9B"/>
    <w:rsid w:val="00E3680B"/>
    <w:rsid w:val="00E40F4D"/>
    <w:rsid w:val="00E42862"/>
    <w:rsid w:val="00E45133"/>
    <w:rsid w:val="00E51DCA"/>
    <w:rsid w:val="00E520E6"/>
    <w:rsid w:val="00E5503E"/>
    <w:rsid w:val="00E55EBB"/>
    <w:rsid w:val="00E60025"/>
    <w:rsid w:val="00E62EA0"/>
    <w:rsid w:val="00E654F7"/>
    <w:rsid w:val="00E71137"/>
    <w:rsid w:val="00E7409D"/>
    <w:rsid w:val="00E75206"/>
    <w:rsid w:val="00E758AB"/>
    <w:rsid w:val="00E77C6C"/>
    <w:rsid w:val="00E8006A"/>
    <w:rsid w:val="00E836BC"/>
    <w:rsid w:val="00E84AD6"/>
    <w:rsid w:val="00E84B2F"/>
    <w:rsid w:val="00E851FE"/>
    <w:rsid w:val="00E855F9"/>
    <w:rsid w:val="00E85657"/>
    <w:rsid w:val="00E91CDC"/>
    <w:rsid w:val="00E92587"/>
    <w:rsid w:val="00E959BB"/>
    <w:rsid w:val="00EA0099"/>
    <w:rsid w:val="00EA1EC8"/>
    <w:rsid w:val="00EA2E5B"/>
    <w:rsid w:val="00EA41FF"/>
    <w:rsid w:val="00EA44A4"/>
    <w:rsid w:val="00EA581E"/>
    <w:rsid w:val="00EB5F25"/>
    <w:rsid w:val="00EB62F0"/>
    <w:rsid w:val="00EB6E21"/>
    <w:rsid w:val="00EC00D3"/>
    <w:rsid w:val="00EC2391"/>
    <w:rsid w:val="00EC37A1"/>
    <w:rsid w:val="00EC5738"/>
    <w:rsid w:val="00EC6B6D"/>
    <w:rsid w:val="00ED0391"/>
    <w:rsid w:val="00ED0AF5"/>
    <w:rsid w:val="00ED4462"/>
    <w:rsid w:val="00ED51B1"/>
    <w:rsid w:val="00ED631A"/>
    <w:rsid w:val="00EE0B30"/>
    <w:rsid w:val="00EE105F"/>
    <w:rsid w:val="00EE1350"/>
    <w:rsid w:val="00EE2CED"/>
    <w:rsid w:val="00EE2D40"/>
    <w:rsid w:val="00EE35F8"/>
    <w:rsid w:val="00EE4A7B"/>
    <w:rsid w:val="00EE6360"/>
    <w:rsid w:val="00EE71C7"/>
    <w:rsid w:val="00EF046D"/>
    <w:rsid w:val="00EF155E"/>
    <w:rsid w:val="00EF24F4"/>
    <w:rsid w:val="00EF278B"/>
    <w:rsid w:val="00EF640F"/>
    <w:rsid w:val="00EF65CA"/>
    <w:rsid w:val="00F01420"/>
    <w:rsid w:val="00F02967"/>
    <w:rsid w:val="00F072FB"/>
    <w:rsid w:val="00F07493"/>
    <w:rsid w:val="00F12953"/>
    <w:rsid w:val="00F15C23"/>
    <w:rsid w:val="00F15F30"/>
    <w:rsid w:val="00F206DF"/>
    <w:rsid w:val="00F213F7"/>
    <w:rsid w:val="00F23973"/>
    <w:rsid w:val="00F23D49"/>
    <w:rsid w:val="00F255B1"/>
    <w:rsid w:val="00F26012"/>
    <w:rsid w:val="00F260AF"/>
    <w:rsid w:val="00F30500"/>
    <w:rsid w:val="00F30949"/>
    <w:rsid w:val="00F30B8F"/>
    <w:rsid w:val="00F35F99"/>
    <w:rsid w:val="00F3629C"/>
    <w:rsid w:val="00F41645"/>
    <w:rsid w:val="00F41698"/>
    <w:rsid w:val="00F44708"/>
    <w:rsid w:val="00F45341"/>
    <w:rsid w:val="00F5393B"/>
    <w:rsid w:val="00F53F6F"/>
    <w:rsid w:val="00F55655"/>
    <w:rsid w:val="00F61AD5"/>
    <w:rsid w:val="00F62EEA"/>
    <w:rsid w:val="00F6309C"/>
    <w:rsid w:val="00F644A4"/>
    <w:rsid w:val="00F70AB2"/>
    <w:rsid w:val="00F74594"/>
    <w:rsid w:val="00F84112"/>
    <w:rsid w:val="00F84DC4"/>
    <w:rsid w:val="00F85088"/>
    <w:rsid w:val="00F85565"/>
    <w:rsid w:val="00F8581D"/>
    <w:rsid w:val="00F86ABF"/>
    <w:rsid w:val="00F87CB7"/>
    <w:rsid w:val="00F9017A"/>
    <w:rsid w:val="00F912A1"/>
    <w:rsid w:val="00F930BD"/>
    <w:rsid w:val="00FA0CEF"/>
    <w:rsid w:val="00FA26F3"/>
    <w:rsid w:val="00FA72D0"/>
    <w:rsid w:val="00FA7FF6"/>
    <w:rsid w:val="00FB03E6"/>
    <w:rsid w:val="00FB0C62"/>
    <w:rsid w:val="00FB50DC"/>
    <w:rsid w:val="00FB5F56"/>
    <w:rsid w:val="00FC3D49"/>
    <w:rsid w:val="00FC6B8F"/>
    <w:rsid w:val="00FC7842"/>
    <w:rsid w:val="00FD64BC"/>
    <w:rsid w:val="00FE04AB"/>
    <w:rsid w:val="00FE446C"/>
    <w:rsid w:val="00FE5DA0"/>
    <w:rsid w:val="00FF13BC"/>
    <w:rsid w:val="00FF7B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AEF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2F"/>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191A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91A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91A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91A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91A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91A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91A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91A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91A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91A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9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2F"/>
    <w:rPr>
      <w:rFonts w:eastAsiaTheme="majorEastAsia" w:cstheme="majorBidi"/>
      <w:color w:val="272727" w:themeColor="text1" w:themeTint="D8"/>
    </w:rPr>
  </w:style>
  <w:style w:type="paragraph" w:styleId="Title">
    <w:name w:val="Title"/>
    <w:basedOn w:val="Normal"/>
    <w:next w:val="Normal"/>
    <w:link w:val="TitleChar"/>
    <w:uiPriority w:val="10"/>
    <w:qFormat/>
    <w:rsid w:val="00191A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1A2F"/>
    <w:rPr>
      <w:i/>
      <w:iCs/>
      <w:color w:val="404040" w:themeColor="text1" w:themeTint="BF"/>
    </w:rPr>
  </w:style>
  <w:style w:type="paragraph" w:styleId="ListParagraph">
    <w:name w:val="List Paragraph"/>
    <w:basedOn w:val="Normal"/>
    <w:uiPriority w:val="34"/>
    <w:qFormat/>
    <w:rsid w:val="00191A2F"/>
    <w:pPr>
      <w:ind w:left="720"/>
      <w:contextualSpacing/>
    </w:pPr>
  </w:style>
  <w:style w:type="character" w:styleId="IntenseEmphasis">
    <w:name w:val="Intense Emphasis"/>
    <w:basedOn w:val="DefaultParagraphFont"/>
    <w:uiPriority w:val="21"/>
    <w:qFormat/>
    <w:rsid w:val="00191A2F"/>
    <w:rPr>
      <w:i/>
      <w:iCs/>
      <w:color w:val="365F91" w:themeColor="accent1" w:themeShade="BF"/>
    </w:rPr>
  </w:style>
  <w:style w:type="paragraph" w:styleId="IntenseQuote">
    <w:name w:val="Intense Quote"/>
    <w:basedOn w:val="Normal"/>
    <w:next w:val="Normal"/>
    <w:link w:val="IntenseQuoteChar"/>
    <w:uiPriority w:val="30"/>
    <w:qFormat/>
    <w:rsid w:val="00191A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1A2F"/>
    <w:rPr>
      <w:i/>
      <w:iCs/>
      <w:color w:val="365F91" w:themeColor="accent1" w:themeShade="BF"/>
    </w:rPr>
  </w:style>
  <w:style w:type="character" w:styleId="IntenseReference">
    <w:name w:val="Intense Reference"/>
    <w:basedOn w:val="DefaultParagraphFont"/>
    <w:uiPriority w:val="32"/>
    <w:qFormat/>
    <w:rsid w:val="00191A2F"/>
    <w:rPr>
      <w:b/>
      <w:bCs/>
      <w:smallCaps/>
      <w:color w:val="365F91" w:themeColor="accent1" w:themeShade="BF"/>
      <w:spacing w:val="5"/>
    </w:rPr>
  </w:style>
  <w:style w:type="paragraph" w:styleId="BodyText2">
    <w:name w:val="Body Text 2"/>
    <w:basedOn w:val="Normal"/>
    <w:link w:val="BodyText2Char"/>
    <w:rsid w:val="00191A2F"/>
    <w:pPr>
      <w:spacing w:after="120" w:line="480" w:lineRule="auto"/>
    </w:pPr>
    <w:rPr>
      <w:lang w:val="x-none"/>
    </w:rPr>
  </w:style>
  <w:style w:type="character" w:customStyle="1" w:styleId="BodyText2Char">
    <w:name w:val="Body Text 2 Char"/>
    <w:basedOn w:val="DefaultParagraphFont"/>
    <w:link w:val="BodyText2"/>
    <w:rsid w:val="00191A2F"/>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191A2F"/>
    <w:pPr>
      <w:tabs>
        <w:tab w:val="center" w:pos="4153"/>
        <w:tab w:val="right" w:pos="8306"/>
      </w:tabs>
    </w:pPr>
  </w:style>
  <w:style w:type="character" w:customStyle="1" w:styleId="FooterChar">
    <w:name w:val="Footer Char"/>
    <w:basedOn w:val="DefaultParagraphFont"/>
    <w:link w:val="Footer"/>
    <w:rsid w:val="00191A2F"/>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191A2F"/>
  </w:style>
  <w:style w:type="paragraph" w:customStyle="1" w:styleId="ATpamattesksts">
    <w:name w:val="AT pamattesksts"/>
    <w:basedOn w:val="BodyText2"/>
    <w:link w:val="ATpamatteskstsChar"/>
    <w:qFormat/>
    <w:rsid w:val="00191A2F"/>
    <w:pPr>
      <w:spacing w:after="0" w:line="276" w:lineRule="auto"/>
      <w:ind w:firstLine="567"/>
      <w:jc w:val="both"/>
    </w:pPr>
  </w:style>
  <w:style w:type="character" w:customStyle="1" w:styleId="ATpamatteskstsChar">
    <w:name w:val="AT pamattesksts Char"/>
    <w:basedOn w:val="BodyText2Char"/>
    <w:link w:val="ATpamattesksts"/>
    <w:rsid w:val="00191A2F"/>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191A2F"/>
    <w:pPr>
      <w:spacing w:line="276" w:lineRule="auto"/>
      <w:jc w:val="center"/>
      <w:outlineLvl w:val="0"/>
    </w:pPr>
    <w:rPr>
      <w:b/>
    </w:rPr>
  </w:style>
  <w:style w:type="character" w:customStyle="1" w:styleId="ATvirsrakstsChar">
    <w:name w:val="AT virsraksts Char"/>
    <w:basedOn w:val="DefaultParagraphFont"/>
    <w:link w:val="ATvirsraksts"/>
    <w:rsid w:val="00191A2F"/>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191A2F"/>
    <w:rPr>
      <w:color w:val="0000FF" w:themeColor="hyperlink"/>
      <w:u w:val="single"/>
    </w:rPr>
  </w:style>
  <w:style w:type="paragraph" w:styleId="NormalWeb">
    <w:name w:val="Normal (Web)"/>
    <w:basedOn w:val="Normal"/>
    <w:uiPriority w:val="99"/>
    <w:rsid w:val="00191A2F"/>
    <w:pPr>
      <w:spacing w:before="100" w:beforeAutospacing="1" w:after="100" w:afterAutospacing="1"/>
    </w:pPr>
    <w:rPr>
      <w:lang w:eastAsia="lv-LV"/>
    </w:rPr>
  </w:style>
  <w:style w:type="paragraph" w:styleId="ListBullet">
    <w:name w:val="List Bullet"/>
    <w:basedOn w:val="Normal"/>
    <w:uiPriority w:val="99"/>
    <w:unhideWhenUsed/>
    <w:rsid w:val="00191A2F"/>
    <w:pPr>
      <w:numPr>
        <w:numId w:val="1"/>
      </w:numPr>
      <w:contextualSpacing/>
    </w:pPr>
  </w:style>
  <w:style w:type="character" w:styleId="UnresolvedMention">
    <w:name w:val="Unresolved Mention"/>
    <w:basedOn w:val="DefaultParagraphFont"/>
    <w:uiPriority w:val="99"/>
    <w:semiHidden/>
    <w:unhideWhenUsed/>
    <w:rsid w:val="00FB50DC"/>
    <w:rPr>
      <w:color w:val="605E5C"/>
      <w:shd w:val="clear" w:color="auto" w:fill="E1DFDD"/>
    </w:rPr>
  </w:style>
  <w:style w:type="paragraph" w:styleId="HTMLPreformatted">
    <w:name w:val="HTML Preformatted"/>
    <w:basedOn w:val="Normal"/>
    <w:link w:val="HTMLPreformattedChar"/>
    <w:uiPriority w:val="99"/>
    <w:semiHidden/>
    <w:unhideWhenUsed/>
    <w:rsid w:val="005D1C3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1C31"/>
    <w:rPr>
      <w:rFonts w:ascii="Consolas" w:eastAsia="Times New Roman" w:hAnsi="Consolas" w:cs="Times New Roman"/>
      <w:kern w:val="0"/>
      <w:sz w:val="20"/>
      <w:szCs w:val="20"/>
      <w:lang w:eastAsia="ru-RU"/>
      <w14:ligatures w14:val="none"/>
    </w:rPr>
  </w:style>
  <w:style w:type="character" w:customStyle="1" w:styleId="y2iqfc">
    <w:name w:val="y2iqfc"/>
    <w:basedOn w:val="DefaultParagraphFont"/>
    <w:rsid w:val="004C502E"/>
  </w:style>
  <w:style w:type="paragraph" w:styleId="Revision">
    <w:name w:val="Revision"/>
    <w:hidden/>
    <w:uiPriority w:val="99"/>
    <w:semiHidden/>
    <w:rsid w:val="002309F6"/>
    <w:pPr>
      <w:spacing w:after="0" w:line="240" w:lineRule="auto"/>
    </w:pPr>
    <w:rPr>
      <w:rFonts w:ascii="Times New Roman" w:eastAsia="Times New Roman" w:hAnsi="Times New Roman" w:cs="Times New Roman"/>
      <w:kern w:val="0"/>
      <w:sz w:val="24"/>
      <w:szCs w:val="24"/>
      <w:lang w:eastAsia="ru-RU"/>
      <w14:ligatures w14:val="none"/>
    </w:rPr>
  </w:style>
  <w:style w:type="character" w:styleId="FollowedHyperlink">
    <w:name w:val="FollowedHyperlink"/>
    <w:basedOn w:val="DefaultParagraphFont"/>
    <w:uiPriority w:val="99"/>
    <w:semiHidden/>
    <w:unhideWhenUsed/>
    <w:rsid w:val="005D5A80"/>
    <w:rPr>
      <w:color w:val="800080" w:themeColor="followedHyperlink"/>
      <w:u w:val="single"/>
    </w:rPr>
  </w:style>
  <w:style w:type="paragraph" w:styleId="Header">
    <w:name w:val="header"/>
    <w:basedOn w:val="Normal"/>
    <w:link w:val="HeaderChar"/>
    <w:uiPriority w:val="99"/>
    <w:unhideWhenUsed/>
    <w:rsid w:val="00964957"/>
    <w:pPr>
      <w:tabs>
        <w:tab w:val="center" w:pos="4680"/>
        <w:tab w:val="right" w:pos="9360"/>
      </w:tabs>
    </w:pPr>
  </w:style>
  <w:style w:type="character" w:customStyle="1" w:styleId="HeaderChar">
    <w:name w:val="Header Char"/>
    <w:basedOn w:val="DefaultParagraphFont"/>
    <w:link w:val="Header"/>
    <w:uiPriority w:val="99"/>
    <w:rsid w:val="00964957"/>
    <w:rPr>
      <w:rFonts w:ascii="Times New Roman" w:eastAsia="Times New Roman" w:hAnsi="Times New Roman" w:cs="Times New Roman"/>
      <w:kern w:val="0"/>
      <w:sz w:val="24"/>
      <w:szCs w:val="24"/>
      <w:lang w:eastAsia="ru-RU"/>
      <w14:ligatures w14:val="none"/>
    </w:rPr>
  </w:style>
  <w:style w:type="paragraph" w:customStyle="1" w:styleId="Default">
    <w:name w:val="Default"/>
    <w:rsid w:val="00A06E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9124">
      <w:bodyDiv w:val="1"/>
      <w:marLeft w:val="0"/>
      <w:marRight w:val="0"/>
      <w:marTop w:val="0"/>
      <w:marBottom w:val="0"/>
      <w:divBdr>
        <w:top w:val="none" w:sz="0" w:space="0" w:color="auto"/>
        <w:left w:val="none" w:sz="0" w:space="0" w:color="auto"/>
        <w:bottom w:val="none" w:sz="0" w:space="0" w:color="auto"/>
        <w:right w:val="none" w:sz="0" w:space="0" w:color="auto"/>
      </w:divBdr>
    </w:div>
    <w:div w:id="40594498">
      <w:bodyDiv w:val="1"/>
      <w:marLeft w:val="0"/>
      <w:marRight w:val="0"/>
      <w:marTop w:val="0"/>
      <w:marBottom w:val="0"/>
      <w:divBdr>
        <w:top w:val="none" w:sz="0" w:space="0" w:color="auto"/>
        <w:left w:val="none" w:sz="0" w:space="0" w:color="auto"/>
        <w:bottom w:val="none" w:sz="0" w:space="0" w:color="auto"/>
        <w:right w:val="none" w:sz="0" w:space="0" w:color="auto"/>
      </w:divBdr>
    </w:div>
    <w:div w:id="86970946">
      <w:bodyDiv w:val="1"/>
      <w:marLeft w:val="0"/>
      <w:marRight w:val="0"/>
      <w:marTop w:val="0"/>
      <w:marBottom w:val="0"/>
      <w:divBdr>
        <w:top w:val="none" w:sz="0" w:space="0" w:color="auto"/>
        <w:left w:val="none" w:sz="0" w:space="0" w:color="auto"/>
        <w:bottom w:val="none" w:sz="0" w:space="0" w:color="auto"/>
        <w:right w:val="none" w:sz="0" w:space="0" w:color="auto"/>
      </w:divBdr>
    </w:div>
    <w:div w:id="113719915">
      <w:bodyDiv w:val="1"/>
      <w:marLeft w:val="0"/>
      <w:marRight w:val="0"/>
      <w:marTop w:val="0"/>
      <w:marBottom w:val="0"/>
      <w:divBdr>
        <w:top w:val="none" w:sz="0" w:space="0" w:color="auto"/>
        <w:left w:val="none" w:sz="0" w:space="0" w:color="auto"/>
        <w:bottom w:val="none" w:sz="0" w:space="0" w:color="auto"/>
        <w:right w:val="none" w:sz="0" w:space="0" w:color="auto"/>
      </w:divBdr>
    </w:div>
    <w:div w:id="117652478">
      <w:bodyDiv w:val="1"/>
      <w:marLeft w:val="0"/>
      <w:marRight w:val="0"/>
      <w:marTop w:val="0"/>
      <w:marBottom w:val="0"/>
      <w:divBdr>
        <w:top w:val="none" w:sz="0" w:space="0" w:color="auto"/>
        <w:left w:val="none" w:sz="0" w:space="0" w:color="auto"/>
        <w:bottom w:val="none" w:sz="0" w:space="0" w:color="auto"/>
        <w:right w:val="none" w:sz="0" w:space="0" w:color="auto"/>
      </w:divBdr>
    </w:div>
    <w:div w:id="119615144">
      <w:bodyDiv w:val="1"/>
      <w:marLeft w:val="0"/>
      <w:marRight w:val="0"/>
      <w:marTop w:val="0"/>
      <w:marBottom w:val="0"/>
      <w:divBdr>
        <w:top w:val="none" w:sz="0" w:space="0" w:color="auto"/>
        <w:left w:val="none" w:sz="0" w:space="0" w:color="auto"/>
        <w:bottom w:val="none" w:sz="0" w:space="0" w:color="auto"/>
        <w:right w:val="none" w:sz="0" w:space="0" w:color="auto"/>
      </w:divBdr>
    </w:div>
    <w:div w:id="125203798">
      <w:bodyDiv w:val="1"/>
      <w:marLeft w:val="0"/>
      <w:marRight w:val="0"/>
      <w:marTop w:val="0"/>
      <w:marBottom w:val="0"/>
      <w:divBdr>
        <w:top w:val="none" w:sz="0" w:space="0" w:color="auto"/>
        <w:left w:val="none" w:sz="0" w:space="0" w:color="auto"/>
        <w:bottom w:val="none" w:sz="0" w:space="0" w:color="auto"/>
        <w:right w:val="none" w:sz="0" w:space="0" w:color="auto"/>
      </w:divBdr>
    </w:div>
    <w:div w:id="185218378">
      <w:bodyDiv w:val="1"/>
      <w:marLeft w:val="0"/>
      <w:marRight w:val="0"/>
      <w:marTop w:val="0"/>
      <w:marBottom w:val="0"/>
      <w:divBdr>
        <w:top w:val="none" w:sz="0" w:space="0" w:color="auto"/>
        <w:left w:val="none" w:sz="0" w:space="0" w:color="auto"/>
        <w:bottom w:val="none" w:sz="0" w:space="0" w:color="auto"/>
        <w:right w:val="none" w:sz="0" w:space="0" w:color="auto"/>
      </w:divBdr>
    </w:div>
    <w:div w:id="257715923">
      <w:bodyDiv w:val="1"/>
      <w:marLeft w:val="0"/>
      <w:marRight w:val="0"/>
      <w:marTop w:val="0"/>
      <w:marBottom w:val="0"/>
      <w:divBdr>
        <w:top w:val="none" w:sz="0" w:space="0" w:color="auto"/>
        <w:left w:val="none" w:sz="0" w:space="0" w:color="auto"/>
        <w:bottom w:val="none" w:sz="0" w:space="0" w:color="auto"/>
        <w:right w:val="none" w:sz="0" w:space="0" w:color="auto"/>
      </w:divBdr>
    </w:div>
    <w:div w:id="271477425">
      <w:bodyDiv w:val="1"/>
      <w:marLeft w:val="0"/>
      <w:marRight w:val="0"/>
      <w:marTop w:val="0"/>
      <w:marBottom w:val="0"/>
      <w:divBdr>
        <w:top w:val="none" w:sz="0" w:space="0" w:color="auto"/>
        <w:left w:val="none" w:sz="0" w:space="0" w:color="auto"/>
        <w:bottom w:val="none" w:sz="0" w:space="0" w:color="auto"/>
        <w:right w:val="none" w:sz="0" w:space="0" w:color="auto"/>
      </w:divBdr>
    </w:div>
    <w:div w:id="277613119">
      <w:bodyDiv w:val="1"/>
      <w:marLeft w:val="0"/>
      <w:marRight w:val="0"/>
      <w:marTop w:val="0"/>
      <w:marBottom w:val="0"/>
      <w:divBdr>
        <w:top w:val="none" w:sz="0" w:space="0" w:color="auto"/>
        <w:left w:val="none" w:sz="0" w:space="0" w:color="auto"/>
        <w:bottom w:val="none" w:sz="0" w:space="0" w:color="auto"/>
        <w:right w:val="none" w:sz="0" w:space="0" w:color="auto"/>
      </w:divBdr>
    </w:div>
    <w:div w:id="290210583">
      <w:bodyDiv w:val="1"/>
      <w:marLeft w:val="0"/>
      <w:marRight w:val="0"/>
      <w:marTop w:val="0"/>
      <w:marBottom w:val="0"/>
      <w:divBdr>
        <w:top w:val="none" w:sz="0" w:space="0" w:color="auto"/>
        <w:left w:val="none" w:sz="0" w:space="0" w:color="auto"/>
        <w:bottom w:val="none" w:sz="0" w:space="0" w:color="auto"/>
        <w:right w:val="none" w:sz="0" w:space="0" w:color="auto"/>
      </w:divBdr>
    </w:div>
    <w:div w:id="318122732">
      <w:bodyDiv w:val="1"/>
      <w:marLeft w:val="0"/>
      <w:marRight w:val="0"/>
      <w:marTop w:val="0"/>
      <w:marBottom w:val="0"/>
      <w:divBdr>
        <w:top w:val="none" w:sz="0" w:space="0" w:color="auto"/>
        <w:left w:val="none" w:sz="0" w:space="0" w:color="auto"/>
        <w:bottom w:val="none" w:sz="0" w:space="0" w:color="auto"/>
        <w:right w:val="none" w:sz="0" w:space="0" w:color="auto"/>
      </w:divBdr>
    </w:div>
    <w:div w:id="333069122">
      <w:bodyDiv w:val="1"/>
      <w:marLeft w:val="0"/>
      <w:marRight w:val="0"/>
      <w:marTop w:val="0"/>
      <w:marBottom w:val="0"/>
      <w:divBdr>
        <w:top w:val="none" w:sz="0" w:space="0" w:color="auto"/>
        <w:left w:val="none" w:sz="0" w:space="0" w:color="auto"/>
        <w:bottom w:val="none" w:sz="0" w:space="0" w:color="auto"/>
        <w:right w:val="none" w:sz="0" w:space="0" w:color="auto"/>
      </w:divBdr>
    </w:div>
    <w:div w:id="334495764">
      <w:bodyDiv w:val="1"/>
      <w:marLeft w:val="0"/>
      <w:marRight w:val="0"/>
      <w:marTop w:val="0"/>
      <w:marBottom w:val="0"/>
      <w:divBdr>
        <w:top w:val="none" w:sz="0" w:space="0" w:color="auto"/>
        <w:left w:val="none" w:sz="0" w:space="0" w:color="auto"/>
        <w:bottom w:val="none" w:sz="0" w:space="0" w:color="auto"/>
        <w:right w:val="none" w:sz="0" w:space="0" w:color="auto"/>
      </w:divBdr>
    </w:div>
    <w:div w:id="374932791">
      <w:bodyDiv w:val="1"/>
      <w:marLeft w:val="0"/>
      <w:marRight w:val="0"/>
      <w:marTop w:val="0"/>
      <w:marBottom w:val="0"/>
      <w:divBdr>
        <w:top w:val="none" w:sz="0" w:space="0" w:color="auto"/>
        <w:left w:val="none" w:sz="0" w:space="0" w:color="auto"/>
        <w:bottom w:val="none" w:sz="0" w:space="0" w:color="auto"/>
        <w:right w:val="none" w:sz="0" w:space="0" w:color="auto"/>
      </w:divBdr>
    </w:div>
    <w:div w:id="392505965">
      <w:bodyDiv w:val="1"/>
      <w:marLeft w:val="0"/>
      <w:marRight w:val="0"/>
      <w:marTop w:val="0"/>
      <w:marBottom w:val="0"/>
      <w:divBdr>
        <w:top w:val="none" w:sz="0" w:space="0" w:color="auto"/>
        <w:left w:val="none" w:sz="0" w:space="0" w:color="auto"/>
        <w:bottom w:val="none" w:sz="0" w:space="0" w:color="auto"/>
        <w:right w:val="none" w:sz="0" w:space="0" w:color="auto"/>
      </w:divBdr>
    </w:div>
    <w:div w:id="404567651">
      <w:bodyDiv w:val="1"/>
      <w:marLeft w:val="0"/>
      <w:marRight w:val="0"/>
      <w:marTop w:val="0"/>
      <w:marBottom w:val="0"/>
      <w:divBdr>
        <w:top w:val="none" w:sz="0" w:space="0" w:color="auto"/>
        <w:left w:val="none" w:sz="0" w:space="0" w:color="auto"/>
        <w:bottom w:val="none" w:sz="0" w:space="0" w:color="auto"/>
        <w:right w:val="none" w:sz="0" w:space="0" w:color="auto"/>
      </w:divBdr>
    </w:div>
    <w:div w:id="437330712">
      <w:bodyDiv w:val="1"/>
      <w:marLeft w:val="0"/>
      <w:marRight w:val="0"/>
      <w:marTop w:val="0"/>
      <w:marBottom w:val="0"/>
      <w:divBdr>
        <w:top w:val="none" w:sz="0" w:space="0" w:color="auto"/>
        <w:left w:val="none" w:sz="0" w:space="0" w:color="auto"/>
        <w:bottom w:val="none" w:sz="0" w:space="0" w:color="auto"/>
        <w:right w:val="none" w:sz="0" w:space="0" w:color="auto"/>
      </w:divBdr>
    </w:div>
    <w:div w:id="477504098">
      <w:bodyDiv w:val="1"/>
      <w:marLeft w:val="0"/>
      <w:marRight w:val="0"/>
      <w:marTop w:val="0"/>
      <w:marBottom w:val="0"/>
      <w:divBdr>
        <w:top w:val="none" w:sz="0" w:space="0" w:color="auto"/>
        <w:left w:val="none" w:sz="0" w:space="0" w:color="auto"/>
        <w:bottom w:val="none" w:sz="0" w:space="0" w:color="auto"/>
        <w:right w:val="none" w:sz="0" w:space="0" w:color="auto"/>
      </w:divBdr>
    </w:div>
    <w:div w:id="512649980">
      <w:bodyDiv w:val="1"/>
      <w:marLeft w:val="0"/>
      <w:marRight w:val="0"/>
      <w:marTop w:val="0"/>
      <w:marBottom w:val="0"/>
      <w:divBdr>
        <w:top w:val="none" w:sz="0" w:space="0" w:color="auto"/>
        <w:left w:val="none" w:sz="0" w:space="0" w:color="auto"/>
        <w:bottom w:val="none" w:sz="0" w:space="0" w:color="auto"/>
        <w:right w:val="none" w:sz="0" w:space="0" w:color="auto"/>
      </w:divBdr>
    </w:div>
    <w:div w:id="524296267">
      <w:bodyDiv w:val="1"/>
      <w:marLeft w:val="0"/>
      <w:marRight w:val="0"/>
      <w:marTop w:val="0"/>
      <w:marBottom w:val="0"/>
      <w:divBdr>
        <w:top w:val="none" w:sz="0" w:space="0" w:color="auto"/>
        <w:left w:val="none" w:sz="0" w:space="0" w:color="auto"/>
        <w:bottom w:val="none" w:sz="0" w:space="0" w:color="auto"/>
        <w:right w:val="none" w:sz="0" w:space="0" w:color="auto"/>
      </w:divBdr>
    </w:div>
    <w:div w:id="572542521">
      <w:bodyDiv w:val="1"/>
      <w:marLeft w:val="0"/>
      <w:marRight w:val="0"/>
      <w:marTop w:val="0"/>
      <w:marBottom w:val="0"/>
      <w:divBdr>
        <w:top w:val="none" w:sz="0" w:space="0" w:color="auto"/>
        <w:left w:val="none" w:sz="0" w:space="0" w:color="auto"/>
        <w:bottom w:val="none" w:sz="0" w:space="0" w:color="auto"/>
        <w:right w:val="none" w:sz="0" w:space="0" w:color="auto"/>
      </w:divBdr>
    </w:div>
    <w:div w:id="576404503">
      <w:bodyDiv w:val="1"/>
      <w:marLeft w:val="0"/>
      <w:marRight w:val="0"/>
      <w:marTop w:val="0"/>
      <w:marBottom w:val="0"/>
      <w:divBdr>
        <w:top w:val="none" w:sz="0" w:space="0" w:color="auto"/>
        <w:left w:val="none" w:sz="0" w:space="0" w:color="auto"/>
        <w:bottom w:val="none" w:sz="0" w:space="0" w:color="auto"/>
        <w:right w:val="none" w:sz="0" w:space="0" w:color="auto"/>
      </w:divBdr>
    </w:div>
    <w:div w:id="577204944">
      <w:bodyDiv w:val="1"/>
      <w:marLeft w:val="0"/>
      <w:marRight w:val="0"/>
      <w:marTop w:val="0"/>
      <w:marBottom w:val="0"/>
      <w:divBdr>
        <w:top w:val="none" w:sz="0" w:space="0" w:color="auto"/>
        <w:left w:val="none" w:sz="0" w:space="0" w:color="auto"/>
        <w:bottom w:val="none" w:sz="0" w:space="0" w:color="auto"/>
        <w:right w:val="none" w:sz="0" w:space="0" w:color="auto"/>
      </w:divBdr>
    </w:div>
    <w:div w:id="590043641">
      <w:bodyDiv w:val="1"/>
      <w:marLeft w:val="0"/>
      <w:marRight w:val="0"/>
      <w:marTop w:val="0"/>
      <w:marBottom w:val="0"/>
      <w:divBdr>
        <w:top w:val="none" w:sz="0" w:space="0" w:color="auto"/>
        <w:left w:val="none" w:sz="0" w:space="0" w:color="auto"/>
        <w:bottom w:val="none" w:sz="0" w:space="0" w:color="auto"/>
        <w:right w:val="none" w:sz="0" w:space="0" w:color="auto"/>
      </w:divBdr>
    </w:div>
    <w:div w:id="610935447">
      <w:bodyDiv w:val="1"/>
      <w:marLeft w:val="0"/>
      <w:marRight w:val="0"/>
      <w:marTop w:val="0"/>
      <w:marBottom w:val="0"/>
      <w:divBdr>
        <w:top w:val="none" w:sz="0" w:space="0" w:color="auto"/>
        <w:left w:val="none" w:sz="0" w:space="0" w:color="auto"/>
        <w:bottom w:val="none" w:sz="0" w:space="0" w:color="auto"/>
        <w:right w:val="none" w:sz="0" w:space="0" w:color="auto"/>
      </w:divBdr>
    </w:div>
    <w:div w:id="634262226">
      <w:bodyDiv w:val="1"/>
      <w:marLeft w:val="0"/>
      <w:marRight w:val="0"/>
      <w:marTop w:val="0"/>
      <w:marBottom w:val="0"/>
      <w:divBdr>
        <w:top w:val="none" w:sz="0" w:space="0" w:color="auto"/>
        <w:left w:val="none" w:sz="0" w:space="0" w:color="auto"/>
        <w:bottom w:val="none" w:sz="0" w:space="0" w:color="auto"/>
        <w:right w:val="none" w:sz="0" w:space="0" w:color="auto"/>
      </w:divBdr>
    </w:div>
    <w:div w:id="636183236">
      <w:bodyDiv w:val="1"/>
      <w:marLeft w:val="0"/>
      <w:marRight w:val="0"/>
      <w:marTop w:val="0"/>
      <w:marBottom w:val="0"/>
      <w:divBdr>
        <w:top w:val="none" w:sz="0" w:space="0" w:color="auto"/>
        <w:left w:val="none" w:sz="0" w:space="0" w:color="auto"/>
        <w:bottom w:val="none" w:sz="0" w:space="0" w:color="auto"/>
        <w:right w:val="none" w:sz="0" w:space="0" w:color="auto"/>
      </w:divBdr>
    </w:div>
    <w:div w:id="646277187">
      <w:bodyDiv w:val="1"/>
      <w:marLeft w:val="0"/>
      <w:marRight w:val="0"/>
      <w:marTop w:val="0"/>
      <w:marBottom w:val="0"/>
      <w:divBdr>
        <w:top w:val="none" w:sz="0" w:space="0" w:color="auto"/>
        <w:left w:val="none" w:sz="0" w:space="0" w:color="auto"/>
        <w:bottom w:val="none" w:sz="0" w:space="0" w:color="auto"/>
        <w:right w:val="none" w:sz="0" w:space="0" w:color="auto"/>
      </w:divBdr>
    </w:div>
    <w:div w:id="647049145">
      <w:bodyDiv w:val="1"/>
      <w:marLeft w:val="0"/>
      <w:marRight w:val="0"/>
      <w:marTop w:val="0"/>
      <w:marBottom w:val="0"/>
      <w:divBdr>
        <w:top w:val="none" w:sz="0" w:space="0" w:color="auto"/>
        <w:left w:val="none" w:sz="0" w:space="0" w:color="auto"/>
        <w:bottom w:val="none" w:sz="0" w:space="0" w:color="auto"/>
        <w:right w:val="none" w:sz="0" w:space="0" w:color="auto"/>
      </w:divBdr>
    </w:div>
    <w:div w:id="672100408">
      <w:bodyDiv w:val="1"/>
      <w:marLeft w:val="0"/>
      <w:marRight w:val="0"/>
      <w:marTop w:val="0"/>
      <w:marBottom w:val="0"/>
      <w:divBdr>
        <w:top w:val="none" w:sz="0" w:space="0" w:color="auto"/>
        <w:left w:val="none" w:sz="0" w:space="0" w:color="auto"/>
        <w:bottom w:val="none" w:sz="0" w:space="0" w:color="auto"/>
        <w:right w:val="none" w:sz="0" w:space="0" w:color="auto"/>
      </w:divBdr>
    </w:div>
    <w:div w:id="682442700">
      <w:bodyDiv w:val="1"/>
      <w:marLeft w:val="0"/>
      <w:marRight w:val="0"/>
      <w:marTop w:val="0"/>
      <w:marBottom w:val="0"/>
      <w:divBdr>
        <w:top w:val="none" w:sz="0" w:space="0" w:color="auto"/>
        <w:left w:val="none" w:sz="0" w:space="0" w:color="auto"/>
        <w:bottom w:val="none" w:sz="0" w:space="0" w:color="auto"/>
        <w:right w:val="none" w:sz="0" w:space="0" w:color="auto"/>
      </w:divBdr>
    </w:div>
    <w:div w:id="685328051">
      <w:bodyDiv w:val="1"/>
      <w:marLeft w:val="0"/>
      <w:marRight w:val="0"/>
      <w:marTop w:val="0"/>
      <w:marBottom w:val="0"/>
      <w:divBdr>
        <w:top w:val="none" w:sz="0" w:space="0" w:color="auto"/>
        <w:left w:val="none" w:sz="0" w:space="0" w:color="auto"/>
        <w:bottom w:val="none" w:sz="0" w:space="0" w:color="auto"/>
        <w:right w:val="none" w:sz="0" w:space="0" w:color="auto"/>
      </w:divBdr>
    </w:div>
    <w:div w:id="687759436">
      <w:bodyDiv w:val="1"/>
      <w:marLeft w:val="0"/>
      <w:marRight w:val="0"/>
      <w:marTop w:val="0"/>
      <w:marBottom w:val="0"/>
      <w:divBdr>
        <w:top w:val="none" w:sz="0" w:space="0" w:color="auto"/>
        <w:left w:val="none" w:sz="0" w:space="0" w:color="auto"/>
        <w:bottom w:val="none" w:sz="0" w:space="0" w:color="auto"/>
        <w:right w:val="none" w:sz="0" w:space="0" w:color="auto"/>
      </w:divBdr>
    </w:div>
    <w:div w:id="696080144">
      <w:bodyDiv w:val="1"/>
      <w:marLeft w:val="0"/>
      <w:marRight w:val="0"/>
      <w:marTop w:val="0"/>
      <w:marBottom w:val="0"/>
      <w:divBdr>
        <w:top w:val="none" w:sz="0" w:space="0" w:color="auto"/>
        <w:left w:val="none" w:sz="0" w:space="0" w:color="auto"/>
        <w:bottom w:val="none" w:sz="0" w:space="0" w:color="auto"/>
        <w:right w:val="none" w:sz="0" w:space="0" w:color="auto"/>
      </w:divBdr>
    </w:div>
    <w:div w:id="698623050">
      <w:bodyDiv w:val="1"/>
      <w:marLeft w:val="0"/>
      <w:marRight w:val="0"/>
      <w:marTop w:val="0"/>
      <w:marBottom w:val="0"/>
      <w:divBdr>
        <w:top w:val="none" w:sz="0" w:space="0" w:color="auto"/>
        <w:left w:val="none" w:sz="0" w:space="0" w:color="auto"/>
        <w:bottom w:val="none" w:sz="0" w:space="0" w:color="auto"/>
        <w:right w:val="none" w:sz="0" w:space="0" w:color="auto"/>
      </w:divBdr>
    </w:div>
    <w:div w:id="698631692">
      <w:bodyDiv w:val="1"/>
      <w:marLeft w:val="0"/>
      <w:marRight w:val="0"/>
      <w:marTop w:val="0"/>
      <w:marBottom w:val="0"/>
      <w:divBdr>
        <w:top w:val="none" w:sz="0" w:space="0" w:color="auto"/>
        <w:left w:val="none" w:sz="0" w:space="0" w:color="auto"/>
        <w:bottom w:val="none" w:sz="0" w:space="0" w:color="auto"/>
        <w:right w:val="none" w:sz="0" w:space="0" w:color="auto"/>
      </w:divBdr>
    </w:div>
    <w:div w:id="720861071">
      <w:bodyDiv w:val="1"/>
      <w:marLeft w:val="0"/>
      <w:marRight w:val="0"/>
      <w:marTop w:val="0"/>
      <w:marBottom w:val="0"/>
      <w:divBdr>
        <w:top w:val="none" w:sz="0" w:space="0" w:color="auto"/>
        <w:left w:val="none" w:sz="0" w:space="0" w:color="auto"/>
        <w:bottom w:val="none" w:sz="0" w:space="0" w:color="auto"/>
        <w:right w:val="none" w:sz="0" w:space="0" w:color="auto"/>
      </w:divBdr>
    </w:div>
    <w:div w:id="759105250">
      <w:bodyDiv w:val="1"/>
      <w:marLeft w:val="0"/>
      <w:marRight w:val="0"/>
      <w:marTop w:val="0"/>
      <w:marBottom w:val="0"/>
      <w:divBdr>
        <w:top w:val="none" w:sz="0" w:space="0" w:color="auto"/>
        <w:left w:val="none" w:sz="0" w:space="0" w:color="auto"/>
        <w:bottom w:val="none" w:sz="0" w:space="0" w:color="auto"/>
        <w:right w:val="none" w:sz="0" w:space="0" w:color="auto"/>
      </w:divBdr>
    </w:div>
    <w:div w:id="765006583">
      <w:bodyDiv w:val="1"/>
      <w:marLeft w:val="0"/>
      <w:marRight w:val="0"/>
      <w:marTop w:val="0"/>
      <w:marBottom w:val="0"/>
      <w:divBdr>
        <w:top w:val="none" w:sz="0" w:space="0" w:color="auto"/>
        <w:left w:val="none" w:sz="0" w:space="0" w:color="auto"/>
        <w:bottom w:val="none" w:sz="0" w:space="0" w:color="auto"/>
        <w:right w:val="none" w:sz="0" w:space="0" w:color="auto"/>
      </w:divBdr>
    </w:div>
    <w:div w:id="768624403">
      <w:bodyDiv w:val="1"/>
      <w:marLeft w:val="0"/>
      <w:marRight w:val="0"/>
      <w:marTop w:val="0"/>
      <w:marBottom w:val="0"/>
      <w:divBdr>
        <w:top w:val="none" w:sz="0" w:space="0" w:color="auto"/>
        <w:left w:val="none" w:sz="0" w:space="0" w:color="auto"/>
        <w:bottom w:val="none" w:sz="0" w:space="0" w:color="auto"/>
        <w:right w:val="none" w:sz="0" w:space="0" w:color="auto"/>
      </w:divBdr>
    </w:div>
    <w:div w:id="775103366">
      <w:bodyDiv w:val="1"/>
      <w:marLeft w:val="0"/>
      <w:marRight w:val="0"/>
      <w:marTop w:val="0"/>
      <w:marBottom w:val="0"/>
      <w:divBdr>
        <w:top w:val="none" w:sz="0" w:space="0" w:color="auto"/>
        <w:left w:val="none" w:sz="0" w:space="0" w:color="auto"/>
        <w:bottom w:val="none" w:sz="0" w:space="0" w:color="auto"/>
        <w:right w:val="none" w:sz="0" w:space="0" w:color="auto"/>
      </w:divBdr>
    </w:div>
    <w:div w:id="784466018">
      <w:bodyDiv w:val="1"/>
      <w:marLeft w:val="0"/>
      <w:marRight w:val="0"/>
      <w:marTop w:val="0"/>
      <w:marBottom w:val="0"/>
      <w:divBdr>
        <w:top w:val="none" w:sz="0" w:space="0" w:color="auto"/>
        <w:left w:val="none" w:sz="0" w:space="0" w:color="auto"/>
        <w:bottom w:val="none" w:sz="0" w:space="0" w:color="auto"/>
        <w:right w:val="none" w:sz="0" w:space="0" w:color="auto"/>
      </w:divBdr>
    </w:div>
    <w:div w:id="790704135">
      <w:bodyDiv w:val="1"/>
      <w:marLeft w:val="0"/>
      <w:marRight w:val="0"/>
      <w:marTop w:val="0"/>
      <w:marBottom w:val="0"/>
      <w:divBdr>
        <w:top w:val="none" w:sz="0" w:space="0" w:color="auto"/>
        <w:left w:val="none" w:sz="0" w:space="0" w:color="auto"/>
        <w:bottom w:val="none" w:sz="0" w:space="0" w:color="auto"/>
        <w:right w:val="none" w:sz="0" w:space="0" w:color="auto"/>
      </w:divBdr>
    </w:div>
    <w:div w:id="790780960">
      <w:bodyDiv w:val="1"/>
      <w:marLeft w:val="0"/>
      <w:marRight w:val="0"/>
      <w:marTop w:val="0"/>
      <w:marBottom w:val="0"/>
      <w:divBdr>
        <w:top w:val="none" w:sz="0" w:space="0" w:color="auto"/>
        <w:left w:val="none" w:sz="0" w:space="0" w:color="auto"/>
        <w:bottom w:val="none" w:sz="0" w:space="0" w:color="auto"/>
        <w:right w:val="none" w:sz="0" w:space="0" w:color="auto"/>
      </w:divBdr>
    </w:div>
    <w:div w:id="794756243">
      <w:bodyDiv w:val="1"/>
      <w:marLeft w:val="0"/>
      <w:marRight w:val="0"/>
      <w:marTop w:val="0"/>
      <w:marBottom w:val="0"/>
      <w:divBdr>
        <w:top w:val="none" w:sz="0" w:space="0" w:color="auto"/>
        <w:left w:val="none" w:sz="0" w:space="0" w:color="auto"/>
        <w:bottom w:val="none" w:sz="0" w:space="0" w:color="auto"/>
        <w:right w:val="none" w:sz="0" w:space="0" w:color="auto"/>
      </w:divBdr>
    </w:div>
    <w:div w:id="803080197">
      <w:bodyDiv w:val="1"/>
      <w:marLeft w:val="0"/>
      <w:marRight w:val="0"/>
      <w:marTop w:val="0"/>
      <w:marBottom w:val="0"/>
      <w:divBdr>
        <w:top w:val="none" w:sz="0" w:space="0" w:color="auto"/>
        <w:left w:val="none" w:sz="0" w:space="0" w:color="auto"/>
        <w:bottom w:val="none" w:sz="0" w:space="0" w:color="auto"/>
        <w:right w:val="none" w:sz="0" w:space="0" w:color="auto"/>
      </w:divBdr>
    </w:div>
    <w:div w:id="826752613">
      <w:bodyDiv w:val="1"/>
      <w:marLeft w:val="0"/>
      <w:marRight w:val="0"/>
      <w:marTop w:val="0"/>
      <w:marBottom w:val="0"/>
      <w:divBdr>
        <w:top w:val="none" w:sz="0" w:space="0" w:color="auto"/>
        <w:left w:val="none" w:sz="0" w:space="0" w:color="auto"/>
        <w:bottom w:val="none" w:sz="0" w:space="0" w:color="auto"/>
        <w:right w:val="none" w:sz="0" w:space="0" w:color="auto"/>
      </w:divBdr>
    </w:div>
    <w:div w:id="838235999">
      <w:bodyDiv w:val="1"/>
      <w:marLeft w:val="0"/>
      <w:marRight w:val="0"/>
      <w:marTop w:val="0"/>
      <w:marBottom w:val="0"/>
      <w:divBdr>
        <w:top w:val="none" w:sz="0" w:space="0" w:color="auto"/>
        <w:left w:val="none" w:sz="0" w:space="0" w:color="auto"/>
        <w:bottom w:val="none" w:sz="0" w:space="0" w:color="auto"/>
        <w:right w:val="none" w:sz="0" w:space="0" w:color="auto"/>
      </w:divBdr>
    </w:div>
    <w:div w:id="850291824">
      <w:bodyDiv w:val="1"/>
      <w:marLeft w:val="0"/>
      <w:marRight w:val="0"/>
      <w:marTop w:val="0"/>
      <w:marBottom w:val="0"/>
      <w:divBdr>
        <w:top w:val="none" w:sz="0" w:space="0" w:color="auto"/>
        <w:left w:val="none" w:sz="0" w:space="0" w:color="auto"/>
        <w:bottom w:val="none" w:sz="0" w:space="0" w:color="auto"/>
        <w:right w:val="none" w:sz="0" w:space="0" w:color="auto"/>
      </w:divBdr>
    </w:div>
    <w:div w:id="865489428">
      <w:bodyDiv w:val="1"/>
      <w:marLeft w:val="0"/>
      <w:marRight w:val="0"/>
      <w:marTop w:val="0"/>
      <w:marBottom w:val="0"/>
      <w:divBdr>
        <w:top w:val="none" w:sz="0" w:space="0" w:color="auto"/>
        <w:left w:val="none" w:sz="0" w:space="0" w:color="auto"/>
        <w:bottom w:val="none" w:sz="0" w:space="0" w:color="auto"/>
        <w:right w:val="none" w:sz="0" w:space="0" w:color="auto"/>
      </w:divBdr>
    </w:div>
    <w:div w:id="874851226">
      <w:bodyDiv w:val="1"/>
      <w:marLeft w:val="0"/>
      <w:marRight w:val="0"/>
      <w:marTop w:val="0"/>
      <w:marBottom w:val="0"/>
      <w:divBdr>
        <w:top w:val="none" w:sz="0" w:space="0" w:color="auto"/>
        <w:left w:val="none" w:sz="0" w:space="0" w:color="auto"/>
        <w:bottom w:val="none" w:sz="0" w:space="0" w:color="auto"/>
        <w:right w:val="none" w:sz="0" w:space="0" w:color="auto"/>
      </w:divBdr>
    </w:div>
    <w:div w:id="891575736">
      <w:bodyDiv w:val="1"/>
      <w:marLeft w:val="0"/>
      <w:marRight w:val="0"/>
      <w:marTop w:val="0"/>
      <w:marBottom w:val="0"/>
      <w:divBdr>
        <w:top w:val="none" w:sz="0" w:space="0" w:color="auto"/>
        <w:left w:val="none" w:sz="0" w:space="0" w:color="auto"/>
        <w:bottom w:val="none" w:sz="0" w:space="0" w:color="auto"/>
        <w:right w:val="none" w:sz="0" w:space="0" w:color="auto"/>
      </w:divBdr>
    </w:div>
    <w:div w:id="902063398">
      <w:bodyDiv w:val="1"/>
      <w:marLeft w:val="0"/>
      <w:marRight w:val="0"/>
      <w:marTop w:val="0"/>
      <w:marBottom w:val="0"/>
      <w:divBdr>
        <w:top w:val="none" w:sz="0" w:space="0" w:color="auto"/>
        <w:left w:val="none" w:sz="0" w:space="0" w:color="auto"/>
        <w:bottom w:val="none" w:sz="0" w:space="0" w:color="auto"/>
        <w:right w:val="none" w:sz="0" w:space="0" w:color="auto"/>
      </w:divBdr>
    </w:div>
    <w:div w:id="929121022">
      <w:bodyDiv w:val="1"/>
      <w:marLeft w:val="0"/>
      <w:marRight w:val="0"/>
      <w:marTop w:val="0"/>
      <w:marBottom w:val="0"/>
      <w:divBdr>
        <w:top w:val="none" w:sz="0" w:space="0" w:color="auto"/>
        <w:left w:val="none" w:sz="0" w:space="0" w:color="auto"/>
        <w:bottom w:val="none" w:sz="0" w:space="0" w:color="auto"/>
        <w:right w:val="none" w:sz="0" w:space="0" w:color="auto"/>
      </w:divBdr>
    </w:div>
    <w:div w:id="937180545">
      <w:bodyDiv w:val="1"/>
      <w:marLeft w:val="0"/>
      <w:marRight w:val="0"/>
      <w:marTop w:val="0"/>
      <w:marBottom w:val="0"/>
      <w:divBdr>
        <w:top w:val="none" w:sz="0" w:space="0" w:color="auto"/>
        <w:left w:val="none" w:sz="0" w:space="0" w:color="auto"/>
        <w:bottom w:val="none" w:sz="0" w:space="0" w:color="auto"/>
        <w:right w:val="none" w:sz="0" w:space="0" w:color="auto"/>
      </w:divBdr>
    </w:div>
    <w:div w:id="944847387">
      <w:bodyDiv w:val="1"/>
      <w:marLeft w:val="0"/>
      <w:marRight w:val="0"/>
      <w:marTop w:val="0"/>
      <w:marBottom w:val="0"/>
      <w:divBdr>
        <w:top w:val="none" w:sz="0" w:space="0" w:color="auto"/>
        <w:left w:val="none" w:sz="0" w:space="0" w:color="auto"/>
        <w:bottom w:val="none" w:sz="0" w:space="0" w:color="auto"/>
        <w:right w:val="none" w:sz="0" w:space="0" w:color="auto"/>
      </w:divBdr>
    </w:div>
    <w:div w:id="973948467">
      <w:bodyDiv w:val="1"/>
      <w:marLeft w:val="0"/>
      <w:marRight w:val="0"/>
      <w:marTop w:val="0"/>
      <w:marBottom w:val="0"/>
      <w:divBdr>
        <w:top w:val="none" w:sz="0" w:space="0" w:color="auto"/>
        <w:left w:val="none" w:sz="0" w:space="0" w:color="auto"/>
        <w:bottom w:val="none" w:sz="0" w:space="0" w:color="auto"/>
        <w:right w:val="none" w:sz="0" w:space="0" w:color="auto"/>
      </w:divBdr>
    </w:div>
    <w:div w:id="983579629">
      <w:bodyDiv w:val="1"/>
      <w:marLeft w:val="0"/>
      <w:marRight w:val="0"/>
      <w:marTop w:val="0"/>
      <w:marBottom w:val="0"/>
      <w:divBdr>
        <w:top w:val="none" w:sz="0" w:space="0" w:color="auto"/>
        <w:left w:val="none" w:sz="0" w:space="0" w:color="auto"/>
        <w:bottom w:val="none" w:sz="0" w:space="0" w:color="auto"/>
        <w:right w:val="none" w:sz="0" w:space="0" w:color="auto"/>
      </w:divBdr>
    </w:div>
    <w:div w:id="1026098942">
      <w:bodyDiv w:val="1"/>
      <w:marLeft w:val="0"/>
      <w:marRight w:val="0"/>
      <w:marTop w:val="0"/>
      <w:marBottom w:val="0"/>
      <w:divBdr>
        <w:top w:val="none" w:sz="0" w:space="0" w:color="auto"/>
        <w:left w:val="none" w:sz="0" w:space="0" w:color="auto"/>
        <w:bottom w:val="none" w:sz="0" w:space="0" w:color="auto"/>
        <w:right w:val="none" w:sz="0" w:space="0" w:color="auto"/>
      </w:divBdr>
    </w:div>
    <w:div w:id="1034309152">
      <w:bodyDiv w:val="1"/>
      <w:marLeft w:val="0"/>
      <w:marRight w:val="0"/>
      <w:marTop w:val="0"/>
      <w:marBottom w:val="0"/>
      <w:divBdr>
        <w:top w:val="none" w:sz="0" w:space="0" w:color="auto"/>
        <w:left w:val="none" w:sz="0" w:space="0" w:color="auto"/>
        <w:bottom w:val="none" w:sz="0" w:space="0" w:color="auto"/>
        <w:right w:val="none" w:sz="0" w:space="0" w:color="auto"/>
      </w:divBdr>
    </w:div>
    <w:div w:id="1046027510">
      <w:bodyDiv w:val="1"/>
      <w:marLeft w:val="0"/>
      <w:marRight w:val="0"/>
      <w:marTop w:val="0"/>
      <w:marBottom w:val="0"/>
      <w:divBdr>
        <w:top w:val="none" w:sz="0" w:space="0" w:color="auto"/>
        <w:left w:val="none" w:sz="0" w:space="0" w:color="auto"/>
        <w:bottom w:val="none" w:sz="0" w:space="0" w:color="auto"/>
        <w:right w:val="none" w:sz="0" w:space="0" w:color="auto"/>
      </w:divBdr>
    </w:div>
    <w:div w:id="1075274988">
      <w:bodyDiv w:val="1"/>
      <w:marLeft w:val="0"/>
      <w:marRight w:val="0"/>
      <w:marTop w:val="0"/>
      <w:marBottom w:val="0"/>
      <w:divBdr>
        <w:top w:val="none" w:sz="0" w:space="0" w:color="auto"/>
        <w:left w:val="none" w:sz="0" w:space="0" w:color="auto"/>
        <w:bottom w:val="none" w:sz="0" w:space="0" w:color="auto"/>
        <w:right w:val="none" w:sz="0" w:space="0" w:color="auto"/>
      </w:divBdr>
    </w:div>
    <w:div w:id="1102992515">
      <w:bodyDiv w:val="1"/>
      <w:marLeft w:val="0"/>
      <w:marRight w:val="0"/>
      <w:marTop w:val="0"/>
      <w:marBottom w:val="0"/>
      <w:divBdr>
        <w:top w:val="none" w:sz="0" w:space="0" w:color="auto"/>
        <w:left w:val="none" w:sz="0" w:space="0" w:color="auto"/>
        <w:bottom w:val="none" w:sz="0" w:space="0" w:color="auto"/>
        <w:right w:val="none" w:sz="0" w:space="0" w:color="auto"/>
      </w:divBdr>
    </w:div>
    <w:div w:id="1103960664">
      <w:bodyDiv w:val="1"/>
      <w:marLeft w:val="0"/>
      <w:marRight w:val="0"/>
      <w:marTop w:val="0"/>
      <w:marBottom w:val="0"/>
      <w:divBdr>
        <w:top w:val="none" w:sz="0" w:space="0" w:color="auto"/>
        <w:left w:val="none" w:sz="0" w:space="0" w:color="auto"/>
        <w:bottom w:val="none" w:sz="0" w:space="0" w:color="auto"/>
        <w:right w:val="none" w:sz="0" w:space="0" w:color="auto"/>
      </w:divBdr>
    </w:div>
    <w:div w:id="1111701439">
      <w:bodyDiv w:val="1"/>
      <w:marLeft w:val="0"/>
      <w:marRight w:val="0"/>
      <w:marTop w:val="0"/>
      <w:marBottom w:val="0"/>
      <w:divBdr>
        <w:top w:val="none" w:sz="0" w:space="0" w:color="auto"/>
        <w:left w:val="none" w:sz="0" w:space="0" w:color="auto"/>
        <w:bottom w:val="none" w:sz="0" w:space="0" w:color="auto"/>
        <w:right w:val="none" w:sz="0" w:space="0" w:color="auto"/>
      </w:divBdr>
    </w:div>
    <w:div w:id="1120146722">
      <w:bodyDiv w:val="1"/>
      <w:marLeft w:val="0"/>
      <w:marRight w:val="0"/>
      <w:marTop w:val="0"/>
      <w:marBottom w:val="0"/>
      <w:divBdr>
        <w:top w:val="none" w:sz="0" w:space="0" w:color="auto"/>
        <w:left w:val="none" w:sz="0" w:space="0" w:color="auto"/>
        <w:bottom w:val="none" w:sz="0" w:space="0" w:color="auto"/>
        <w:right w:val="none" w:sz="0" w:space="0" w:color="auto"/>
      </w:divBdr>
    </w:div>
    <w:div w:id="1130318398">
      <w:bodyDiv w:val="1"/>
      <w:marLeft w:val="0"/>
      <w:marRight w:val="0"/>
      <w:marTop w:val="0"/>
      <w:marBottom w:val="0"/>
      <w:divBdr>
        <w:top w:val="none" w:sz="0" w:space="0" w:color="auto"/>
        <w:left w:val="none" w:sz="0" w:space="0" w:color="auto"/>
        <w:bottom w:val="none" w:sz="0" w:space="0" w:color="auto"/>
        <w:right w:val="none" w:sz="0" w:space="0" w:color="auto"/>
      </w:divBdr>
    </w:div>
    <w:div w:id="1131899318">
      <w:bodyDiv w:val="1"/>
      <w:marLeft w:val="0"/>
      <w:marRight w:val="0"/>
      <w:marTop w:val="0"/>
      <w:marBottom w:val="0"/>
      <w:divBdr>
        <w:top w:val="none" w:sz="0" w:space="0" w:color="auto"/>
        <w:left w:val="none" w:sz="0" w:space="0" w:color="auto"/>
        <w:bottom w:val="none" w:sz="0" w:space="0" w:color="auto"/>
        <w:right w:val="none" w:sz="0" w:space="0" w:color="auto"/>
      </w:divBdr>
    </w:div>
    <w:div w:id="1161694776">
      <w:bodyDiv w:val="1"/>
      <w:marLeft w:val="0"/>
      <w:marRight w:val="0"/>
      <w:marTop w:val="0"/>
      <w:marBottom w:val="0"/>
      <w:divBdr>
        <w:top w:val="none" w:sz="0" w:space="0" w:color="auto"/>
        <w:left w:val="none" w:sz="0" w:space="0" w:color="auto"/>
        <w:bottom w:val="none" w:sz="0" w:space="0" w:color="auto"/>
        <w:right w:val="none" w:sz="0" w:space="0" w:color="auto"/>
      </w:divBdr>
    </w:div>
    <w:div w:id="1161888105">
      <w:bodyDiv w:val="1"/>
      <w:marLeft w:val="0"/>
      <w:marRight w:val="0"/>
      <w:marTop w:val="0"/>
      <w:marBottom w:val="0"/>
      <w:divBdr>
        <w:top w:val="none" w:sz="0" w:space="0" w:color="auto"/>
        <w:left w:val="none" w:sz="0" w:space="0" w:color="auto"/>
        <w:bottom w:val="none" w:sz="0" w:space="0" w:color="auto"/>
        <w:right w:val="none" w:sz="0" w:space="0" w:color="auto"/>
      </w:divBdr>
    </w:div>
    <w:div w:id="1171023876">
      <w:bodyDiv w:val="1"/>
      <w:marLeft w:val="0"/>
      <w:marRight w:val="0"/>
      <w:marTop w:val="0"/>
      <w:marBottom w:val="0"/>
      <w:divBdr>
        <w:top w:val="none" w:sz="0" w:space="0" w:color="auto"/>
        <w:left w:val="none" w:sz="0" w:space="0" w:color="auto"/>
        <w:bottom w:val="none" w:sz="0" w:space="0" w:color="auto"/>
        <w:right w:val="none" w:sz="0" w:space="0" w:color="auto"/>
      </w:divBdr>
    </w:div>
    <w:div w:id="1199664092">
      <w:bodyDiv w:val="1"/>
      <w:marLeft w:val="0"/>
      <w:marRight w:val="0"/>
      <w:marTop w:val="0"/>
      <w:marBottom w:val="0"/>
      <w:divBdr>
        <w:top w:val="none" w:sz="0" w:space="0" w:color="auto"/>
        <w:left w:val="none" w:sz="0" w:space="0" w:color="auto"/>
        <w:bottom w:val="none" w:sz="0" w:space="0" w:color="auto"/>
        <w:right w:val="none" w:sz="0" w:space="0" w:color="auto"/>
      </w:divBdr>
    </w:div>
    <w:div w:id="1227954531">
      <w:bodyDiv w:val="1"/>
      <w:marLeft w:val="0"/>
      <w:marRight w:val="0"/>
      <w:marTop w:val="0"/>
      <w:marBottom w:val="0"/>
      <w:divBdr>
        <w:top w:val="none" w:sz="0" w:space="0" w:color="auto"/>
        <w:left w:val="none" w:sz="0" w:space="0" w:color="auto"/>
        <w:bottom w:val="none" w:sz="0" w:space="0" w:color="auto"/>
        <w:right w:val="none" w:sz="0" w:space="0" w:color="auto"/>
      </w:divBdr>
    </w:div>
    <w:div w:id="1241911135">
      <w:bodyDiv w:val="1"/>
      <w:marLeft w:val="0"/>
      <w:marRight w:val="0"/>
      <w:marTop w:val="0"/>
      <w:marBottom w:val="0"/>
      <w:divBdr>
        <w:top w:val="none" w:sz="0" w:space="0" w:color="auto"/>
        <w:left w:val="none" w:sz="0" w:space="0" w:color="auto"/>
        <w:bottom w:val="none" w:sz="0" w:space="0" w:color="auto"/>
        <w:right w:val="none" w:sz="0" w:space="0" w:color="auto"/>
      </w:divBdr>
    </w:div>
    <w:div w:id="1254245937">
      <w:bodyDiv w:val="1"/>
      <w:marLeft w:val="0"/>
      <w:marRight w:val="0"/>
      <w:marTop w:val="0"/>
      <w:marBottom w:val="0"/>
      <w:divBdr>
        <w:top w:val="none" w:sz="0" w:space="0" w:color="auto"/>
        <w:left w:val="none" w:sz="0" w:space="0" w:color="auto"/>
        <w:bottom w:val="none" w:sz="0" w:space="0" w:color="auto"/>
        <w:right w:val="none" w:sz="0" w:space="0" w:color="auto"/>
      </w:divBdr>
    </w:div>
    <w:div w:id="1254626379">
      <w:bodyDiv w:val="1"/>
      <w:marLeft w:val="0"/>
      <w:marRight w:val="0"/>
      <w:marTop w:val="0"/>
      <w:marBottom w:val="0"/>
      <w:divBdr>
        <w:top w:val="none" w:sz="0" w:space="0" w:color="auto"/>
        <w:left w:val="none" w:sz="0" w:space="0" w:color="auto"/>
        <w:bottom w:val="none" w:sz="0" w:space="0" w:color="auto"/>
        <w:right w:val="none" w:sz="0" w:space="0" w:color="auto"/>
      </w:divBdr>
    </w:div>
    <w:div w:id="1281303369">
      <w:bodyDiv w:val="1"/>
      <w:marLeft w:val="0"/>
      <w:marRight w:val="0"/>
      <w:marTop w:val="0"/>
      <w:marBottom w:val="0"/>
      <w:divBdr>
        <w:top w:val="none" w:sz="0" w:space="0" w:color="auto"/>
        <w:left w:val="none" w:sz="0" w:space="0" w:color="auto"/>
        <w:bottom w:val="none" w:sz="0" w:space="0" w:color="auto"/>
        <w:right w:val="none" w:sz="0" w:space="0" w:color="auto"/>
      </w:divBdr>
    </w:div>
    <w:div w:id="1295864178">
      <w:bodyDiv w:val="1"/>
      <w:marLeft w:val="0"/>
      <w:marRight w:val="0"/>
      <w:marTop w:val="0"/>
      <w:marBottom w:val="0"/>
      <w:divBdr>
        <w:top w:val="none" w:sz="0" w:space="0" w:color="auto"/>
        <w:left w:val="none" w:sz="0" w:space="0" w:color="auto"/>
        <w:bottom w:val="none" w:sz="0" w:space="0" w:color="auto"/>
        <w:right w:val="none" w:sz="0" w:space="0" w:color="auto"/>
      </w:divBdr>
    </w:div>
    <w:div w:id="1326661589">
      <w:bodyDiv w:val="1"/>
      <w:marLeft w:val="0"/>
      <w:marRight w:val="0"/>
      <w:marTop w:val="0"/>
      <w:marBottom w:val="0"/>
      <w:divBdr>
        <w:top w:val="none" w:sz="0" w:space="0" w:color="auto"/>
        <w:left w:val="none" w:sz="0" w:space="0" w:color="auto"/>
        <w:bottom w:val="none" w:sz="0" w:space="0" w:color="auto"/>
        <w:right w:val="none" w:sz="0" w:space="0" w:color="auto"/>
      </w:divBdr>
    </w:div>
    <w:div w:id="1337921836">
      <w:bodyDiv w:val="1"/>
      <w:marLeft w:val="0"/>
      <w:marRight w:val="0"/>
      <w:marTop w:val="0"/>
      <w:marBottom w:val="0"/>
      <w:divBdr>
        <w:top w:val="none" w:sz="0" w:space="0" w:color="auto"/>
        <w:left w:val="none" w:sz="0" w:space="0" w:color="auto"/>
        <w:bottom w:val="none" w:sz="0" w:space="0" w:color="auto"/>
        <w:right w:val="none" w:sz="0" w:space="0" w:color="auto"/>
      </w:divBdr>
    </w:div>
    <w:div w:id="1338926713">
      <w:bodyDiv w:val="1"/>
      <w:marLeft w:val="0"/>
      <w:marRight w:val="0"/>
      <w:marTop w:val="0"/>
      <w:marBottom w:val="0"/>
      <w:divBdr>
        <w:top w:val="none" w:sz="0" w:space="0" w:color="auto"/>
        <w:left w:val="none" w:sz="0" w:space="0" w:color="auto"/>
        <w:bottom w:val="none" w:sz="0" w:space="0" w:color="auto"/>
        <w:right w:val="none" w:sz="0" w:space="0" w:color="auto"/>
      </w:divBdr>
    </w:div>
    <w:div w:id="1366558341">
      <w:bodyDiv w:val="1"/>
      <w:marLeft w:val="0"/>
      <w:marRight w:val="0"/>
      <w:marTop w:val="0"/>
      <w:marBottom w:val="0"/>
      <w:divBdr>
        <w:top w:val="none" w:sz="0" w:space="0" w:color="auto"/>
        <w:left w:val="none" w:sz="0" w:space="0" w:color="auto"/>
        <w:bottom w:val="none" w:sz="0" w:space="0" w:color="auto"/>
        <w:right w:val="none" w:sz="0" w:space="0" w:color="auto"/>
      </w:divBdr>
    </w:div>
    <w:div w:id="1390566571">
      <w:bodyDiv w:val="1"/>
      <w:marLeft w:val="0"/>
      <w:marRight w:val="0"/>
      <w:marTop w:val="0"/>
      <w:marBottom w:val="0"/>
      <w:divBdr>
        <w:top w:val="none" w:sz="0" w:space="0" w:color="auto"/>
        <w:left w:val="none" w:sz="0" w:space="0" w:color="auto"/>
        <w:bottom w:val="none" w:sz="0" w:space="0" w:color="auto"/>
        <w:right w:val="none" w:sz="0" w:space="0" w:color="auto"/>
      </w:divBdr>
    </w:div>
    <w:div w:id="1400251855">
      <w:bodyDiv w:val="1"/>
      <w:marLeft w:val="0"/>
      <w:marRight w:val="0"/>
      <w:marTop w:val="0"/>
      <w:marBottom w:val="0"/>
      <w:divBdr>
        <w:top w:val="none" w:sz="0" w:space="0" w:color="auto"/>
        <w:left w:val="none" w:sz="0" w:space="0" w:color="auto"/>
        <w:bottom w:val="none" w:sz="0" w:space="0" w:color="auto"/>
        <w:right w:val="none" w:sz="0" w:space="0" w:color="auto"/>
      </w:divBdr>
    </w:div>
    <w:div w:id="1434207726">
      <w:bodyDiv w:val="1"/>
      <w:marLeft w:val="0"/>
      <w:marRight w:val="0"/>
      <w:marTop w:val="0"/>
      <w:marBottom w:val="0"/>
      <w:divBdr>
        <w:top w:val="none" w:sz="0" w:space="0" w:color="auto"/>
        <w:left w:val="none" w:sz="0" w:space="0" w:color="auto"/>
        <w:bottom w:val="none" w:sz="0" w:space="0" w:color="auto"/>
        <w:right w:val="none" w:sz="0" w:space="0" w:color="auto"/>
      </w:divBdr>
    </w:div>
    <w:div w:id="1436746774">
      <w:bodyDiv w:val="1"/>
      <w:marLeft w:val="0"/>
      <w:marRight w:val="0"/>
      <w:marTop w:val="0"/>
      <w:marBottom w:val="0"/>
      <w:divBdr>
        <w:top w:val="none" w:sz="0" w:space="0" w:color="auto"/>
        <w:left w:val="none" w:sz="0" w:space="0" w:color="auto"/>
        <w:bottom w:val="none" w:sz="0" w:space="0" w:color="auto"/>
        <w:right w:val="none" w:sz="0" w:space="0" w:color="auto"/>
      </w:divBdr>
    </w:div>
    <w:div w:id="1481262786">
      <w:bodyDiv w:val="1"/>
      <w:marLeft w:val="0"/>
      <w:marRight w:val="0"/>
      <w:marTop w:val="0"/>
      <w:marBottom w:val="0"/>
      <w:divBdr>
        <w:top w:val="none" w:sz="0" w:space="0" w:color="auto"/>
        <w:left w:val="none" w:sz="0" w:space="0" w:color="auto"/>
        <w:bottom w:val="none" w:sz="0" w:space="0" w:color="auto"/>
        <w:right w:val="none" w:sz="0" w:space="0" w:color="auto"/>
      </w:divBdr>
    </w:div>
    <w:div w:id="1491750331">
      <w:bodyDiv w:val="1"/>
      <w:marLeft w:val="0"/>
      <w:marRight w:val="0"/>
      <w:marTop w:val="0"/>
      <w:marBottom w:val="0"/>
      <w:divBdr>
        <w:top w:val="none" w:sz="0" w:space="0" w:color="auto"/>
        <w:left w:val="none" w:sz="0" w:space="0" w:color="auto"/>
        <w:bottom w:val="none" w:sz="0" w:space="0" w:color="auto"/>
        <w:right w:val="none" w:sz="0" w:space="0" w:color="auto"/>
      </w:divBdr>
    </w:div>
    <w:div w:id="1493527003">
      <w:bodyDiv w:val="1"/>
      <w:marLeft w:val="0"/>
      <w:marRight w:val="0"/>
      <w:marTop w:val="0"/>
      <w:marBottom w:val="0"/>
      <w:divBdr>
        <w:top w:val="none" w:sz="0" w:space="0" w:color="auto"/>
        <w:left w:val="none" w:sz="0" w:space="0" w:color="auto"/>
        <w:bottom w:val="none" w:sz="0" w:space="0" w:color="auto"/>
        <w:right w:val="none" w:sz="0" w:space="0" w:color="auto"/>
      </w:divBdr>
    </w:div>
    <w:div w:id="1527478630">
      <w:bodyDiv w:val="1"/>
      <w:marLeft w:val="0"/>
      <w:marRight w:val="0"/>
      <w:marTop w:val="0"/>
      <w:marBottom w:val="0"/>
      <w:divBdr>
        <w:top w:val="none" w:sz="0" w:space="0" w:color="auto"/>
        <w:left w:val="none" w:sz="0" w:space="0" w:color="auto"/>
        <w:bottom w:val="none" w:sz="0" w:space="0" w:color="auto"/>
        <w:right w:val="none" w:sz="0" w:space="0" w:color="auto"/>
      </w:divBdr>
    </w:div>
    <w:div w:id="1577396460">
      <w:bodyDiv w:val="1"/>
      <w:marLeft w:val="0"/>
      <w:marRight w:val="0"/>
      <w:marTop w:val="0"/>
      <w:marBottom w:val="0"/>
      <w:divBdr>
        <w:top w:val="none" w:sz="0" w:space="0" w:color="auto"/>
        <w:left w:val="none" w:sz="0" w:space="0" w:color="auto"/>
        <w:bottom w:val="none" w:sz="0" w:space="0" w:color="auto"/>
        <w:right w:val="none" w:sz="0" w:space="0" w:color="auto"/>
      </w:divBdr>
    </w:div>
    <w:div w:id="1633750921">
      <w:bodyDiv w:val="1"/>
      <w:marLeft w:val="0"/>
      <w:marRight w:val="0"/>
      <w:marTop w:val="0"/>
      <w:marBottom w:val="0"/>
      <w:divBdr>
        <w:top w:val="none" w:sz="0" w:space="0" w:color="auto"/>
        <w:left w:val="none" w:sz="0" w:space="0" w:color="auto"/>
        <w:bottom w:val="none" w:sz="0" w:space="0" w:color="auto"/>
        <w:right w:val="none" w:sz="0" w:space="0" w:color="auto"/>
      </w:divBdr>
    </w:div>
    <w:div w:id="1708749595">
      <w:bodyDiv w:val="1"/>
      <w:marLeft w:val="0"/>
      <w:marRight w:val="0"/>
      <w:marTop w:val="0"/>
      <w:marBottom w:val="0"/>
      <w:divBdr>
        <w:top w:val="none" w:sz="0" w:space="0" w:color="auto"/>
        <w:left w:val="none" w:sz="0" w:space="0" w:color="auto"/>
        <w:bottom w:val="none" w:sz="0" w:space="0" w:color="auto"/>
        <w:right w:val="none" w:sz="0" w:space="0" w:color="auto"/>
      </w:divBdr>
    </w:div>
    <w:div w:id="1736660129">
      <w:bodyDiv w:val="1"/>
      <w:marLeft w:val="0"/>
      <w:marRight w:val="0"/>
      <w:marTop w:val="0"/>
      <w:marBottom w:val="0"/>
      <w:divBdr>
        <w:top w:val="none" w:sz="0" w:space="0" w:color="auto"/>
        <w:left w:val="none" w:sz="0" w:space="0" w:color="auto"/>
        <w:bottom w:val="none" w:sz="0" w:space="0" w:color="auto"/>
        <w:right w:val="none" w:sz="0" w:space="0" w:color="auto"/>
      </w:divBdr>
    </w:div>
    <w:div w:id="1774746156">
      <w:bodyDiv w:val="1"/>
      <w:marLeft w:val="0"/>
      <w:marRight w:val="0"/>
      <w:marTop w:val="0"/>
      <w:marBottom w:val="0"/>
      <w:divBdr>
        <w:top w:val="none" w:sz="0" w:space="0" w:color="auto"/>
        <w:left w:val="none" w:sz="0" w:space="0" w:color="auto"/>
        <w:bottom w:val="none" w:sz="0" w:space="0" w:color="auto"/>
        <w:right w:val="none" w:sz="0" w:space="0" w:color="auto"/>
      </w:divBdr>
    </w:div>
    <w:div w:id="1820490799">
      <w:bodyDiv w:val="1"/>
      <w:marLeft w:val="0"/>
      <w:marRight w:val="0"/>
      <w:marTop w:val="0"/>
      <w:marBottom w:val="0"/>
      <w:divBdr>
        <w:top w:val="none" w:sz="0" w:space="0" w:color="auto"/>
        <w:left w:val="none" w:sz="0" w:space="0" w:color="auto"/>
        <w:bottom w:val="none" w:sz="0" w:space="0" w:color="auto"/>
        <w:right w:val="none" w:sz="0" w:space="0" w:color="auto"/>
      </w:divBdr>
    </w:div>
    <w:div w:id="1831098755">
      <w:bodyDiv w:val="1"/>
      <w:marLeft w:val="0"/>
      <w:marRight w:val="0"/>
      <w:marTop w:val="0"/>
      <w:marBottom w:val="0"/>
      <w:divBdr>
        <w:top w:val="none" w:sz="0" w:space="0" w:color="auto"/>
        <w:left w:val="none" w:sz="0" w:space="0" w:color="auto"/>
        <w:bottom w:val="none" w:sz="0" w:space="0" w:color="auto"/>
        <w:right w:val="none" w:sz="0" w:space="0" w:color="auto"/>
      </w:divBdr>
    </w:div>
    <w:div w:id="1860855223">
      <w:bodyDiv w:val="1"/>
      <w:marLeft w:val="0"/>
      <w:marRight w:val="0"/>
      <w:marTop w:val="0"/>
      <w:marBottom w:val="0"/>
      <w:divBdr>
        <w:top w:val="none" w:sz="0" w:space="0" w:color="auto"/>
        <w:left w:val="none" w:sz="0" w:space="0" w:color="auto"/>
        <w:bottom w:val="none" w:sz="0" w:space="0" w:color="auto"/>
        <w:right w:val="none" w:sz="0" w:space="0" w:color="auto"/>
      </w:divBdr>
    </w:div>
    <w:div w:id="1865173150">
      <w:bodyDiv w:val="1"/>
      <w:marLeft w:val="0"/>
      <w:marRight w:val="0"/>
      <w:marTop w:val="0"/>
      <w:marBottom w:val="0"/>
      <w:divBdr>
        <w:top w:val="none" w:sz="0" w:space="0" w:color="auto"/>
        <w:left w:val="none" w:sz="0" w:space="0" w:color="auto"/>
        <w:bottom w:val="none" w:sz="0" w:space="0" w:color="auto"/>
        <w:right w:val="none" w:sz="0" w:space="0" w:color="auto"/>
      </w:divBdr>
    </w:div>
    <w:div w:id="1865941606">
      <w:bodyDiv w:val="1"/>
      <w:marLeft w:val="0"/>
      <w:marRight w:val="0"/>
      <w:marTop w:val="0"/>
      <w:marBottom w:val="0"/>
      <w:divBdr>
        <w:top w:val="none" w:sz="0" w:space="0" w:color="auto"/>
        <w:left w:val="none" w:sz="0" w:space="0" w:color="auto"/>
        <w:bottom w:val="none" w:sz="0" w:space="0" w:color="auto"/>
        <w:right w:val="none" w:sz="0" w:space="0" w:color="auto"/>
      </w:divBdr>
    </w:div>
    <w:div w:id="1869564773">
      <w:bodyDiv w:val="1"/>
      <w:marLeft w:val="0"/>
      <w:marRight w:val="0"/>
      <w:marTop w:val="0"/>
      <w:marBottom w:val="0"/>
      <w:divBdr>
        <w:top w:val="none" w:sz="0" w:space="0" w:color="auto"/>
        <w:left w:val="none" w:sz="0" w:space="0" w:color="auto"/>
        <w:bottom w:val="none" w:sz="0" w:space="0" w:color="auto"/>
        <w:right w:val="none" w:sz="0" w:space="0" w:color="auto"/>
      </w:divBdr>
    </w:div>
    <w:div w:id="1921326895">
      <w:bodyDiv w:val="1"/>
      <w:marLeft w:val="0"/>
      <w:marRight w:val="0"/>
      <w:marTop w:val="0"/>
      <w:marBottom w:val="0"/>
      <w:divBdr>
        <w:top w:val="none" w:sz="0" w:space="0" w:color="auto"/>
        <w:left w:val="none" w:sz="0" w:space="0" w:color="auto"/>
        <w:bottom w:val="none" w:sz="0" w:space="0" w:color="auto"/>
        <w:right w:val="none" w:sz="0" w:space="0" w:color="auto"/>
      </w:divBdr>
    </w:div>
    <w:div w:id="1972442132">
      <w:bodyDiv w:val="1"/>
      <w:marLeft w:val="0"/>
      <w:marRight w:val="0"/>
      <w:marTop w:val="0"/>
      <w:marBottom w:val="0"/>
      <w:divBdr>
        <w:top w:val="none" w:sz="0" w:space="0" w:color="auto"/>
        <w:left w:val="none" w:sz="0" w:space="0" w:color="auto"/>
        <w:bottom w:val="none" w:sz="0" w:space="0" w:color="auto"/>
        <w:right w:val="none" w:sz="0" w:space="0" w:color="auto"/>
      </w:divBdr>
    </w:div>
    <w:div w:id="1988625868">
      <w:bodyDiv w:val="1"/>
      <w:marLeft w:val="0"/>
      <w:marRight w:val="0"/>
      <w:marTop w:val="0"/>
      <w:marBottom w:val="0"/>
      <w:divBdr>
        <w:top w:val="none" w:sz="0" w:space="0" w:color="auto"/>
        <w:left w:val="none" w:sz="0" w:space="0" w:color="auto"/>
        <w:bottom w:val="none" w:sz="0" w:space="0" w:color="auto"/>
        <w:right w:val="none" w:sz="0" w:space="0" w:color="auto"/>
      </w:divBdr>
    </w:div>
    <w:div w:id="2010717431">
      <w:bodyDiv w:val="1"/>
      <w:marLeft w:val="0"/>
      <w:marRight w:val="0"/>
      <w:marTop w:val="0"/>
      <w:marBottom w:val="0"/>
      <w:divBdr>
        <w:top w:val="none" w:sz="0" w:space="0" w:color="auto"/>
        <w:left w:val="none" w:sz="0" w:space="0" w:color="auto"/>
        <w:bottom w:val="none" w:sz="0" w:space="0" w:color="auto"/>
        <w:right w:val="none" w:sz="0" w:space="0" w:color="auto"/>
      </w:divBdr>
    </w:div>
    <w:div w:id="2056345191">
      <w:bodyDiv w:val="1"/>
      <w:marLeft w:val="0"/>
      <w:marRight w:val="0"/>
      <w:marTop w:val="0"/>
      <w:marBottom w:val="0"/>
      <w:divBdr>
        <w:top w:val="none" w:sz="0" w:space="0" w:color="auto"/>
        <w:left w:val="none" w:sz="0" w:space="0" w:color="auto"/>
        <w:bottom w:val="none" w:sz="0" w:space="0" w:color="auto"/>
        <w:right w:val="none" w:sz="0" w:space="0" w:color="auto"/>
      </w:divBdr>
    </w:div>
    <w:div w:id="2077050699">
      <w:bodyDiv w:val="1"/>
      <w:marLeft w:val="0"/>
      <w:marRight w:val="0"/>
      <w:marTop w:val="0"/>
      <w:marBottom w:val="0"/>
      <w:divBdr>
        <w:top w:val="none" w:sz="0" w:space="0" w:color="auto"/>
        <w:left w:val="none" w:sz="0" w:space="0" w:color="auto"/>
        <w:bottom w:val="none" w:sz="0" w:space="0" w:color="auto"/>
        <w:right w:val="none" w:sz="0" w:space="0" w:color="auto"/>
      </w:divBdr>
    </w:div>
    <w:div w:id="2088764290">
      <w:bodyDiv w:val="1"/>
      <w:marLeft w:val="0"/>
      <w:marRight w:val="0"/>
      <w:marTop w:val="0"/>
      <w:marBottom w:val="0"/>
      <w:divBdr>
        <w:top w:val="none" w:sz="0" w:space="0" w:color="auto"/>
        <w:left w:val="none" w:sz="0" w:space="0" w:color="auto"/>
        <w:bottom w:val="none" w:sz="0" w:space="0" w:color="auto"/>
        <w:right w:val="none" w:sz="0" w:space="0" w:color="auto"/>
      </w:divBdr>
    </w:div>
    <w:div w:id="2092189205">
      <w:bodyDiv w:val="1"/>
      <w:marLeft w:val="0"/>
      <w:marRight w:val="0"/>
      <w:marTop w:val="0"/>
      <w:marBottom w:val="0"/>
      <w:divBdr>
        <w:top w:val="none" w:sz="0" w:space="0" w:color="auto"/>
        <w:left w:val="none" w:sz="0" w:space="0" w:color="auto"/>
        <w:bottom w:val="none" w:sz="0" w:space="0" w:color="auto"/>
        <w:right w:val="none" w:sz="0" w:space="0" w:color="auto"/>
      </w:divBdr>
    </w:div>
    <w:div w:id="213990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ia.europa.eu/juris/document/document.jsf?text=&amp;docid=295844&amp;pageIndex=0&amp;doclang=lv&amp;mode=lst&amp;dir=&amp;occ=first&amp;part=1&amp;cid=7729833" TargetMode="External"/><Relationship Id="rId18" Type="http://schemas.openxmlformats.org/officeDocument/2006/relationships/hyperlink" Target="https://hudoc.echr.coe.int/?i=001-127697" TargetMode="External"/><Relationship Id="rId26" Type="http://schemas.openxmlformats.org/officeDocument/2006/relationships/hyperlink" Target="https://curia.europa.eu/juris/document/document.jsf?text=&amp;docid=268784&amp;pageIndex=0&amp;doclang=LV&amp;mode=lst&amp;dir=&amp;occ=first&amp;part=1&amp;cid=7724749" TargetMode="External"/><Relationship Id="rId21" Type="http://schemas.openxmlformats.org/officeDocument/2006/relationships/hyperlink" Target="https://hudoc.echr.coe.int/eng" TargetMode="External"/><Relationship Id="rId34" Type="http://schemas.openxmlformats.org/officeDocument/2006/relationships/hyperlink" Target="https://hudoc.echr.coe.int/?i=001-84963" TargetMode="External"/><Relationship Id="rId7" Type="http://schemas.openxmlformats.org/officeDocument/2006/relationships/hyperlink" Target="https://gateway.elieta.lv/api/v1/PublicMaterialDownload/91c3a308-bcd1-40fc-8e53-cec674aa11e4" TargetMode="External"/><Relationship Id="rId12" Type="http://schemas.openxmlformats.org/officeDocument/2006/relationships/hyperlink" Target="https://curia.europa.eu/juris/document/document.jsf?text=&amp;docid=268784&amp;pageIndex=0&amp;doclang=LV&amp;mode=lst&amp;dir=&amp;occ=first&amp;part=1&amp;cid=7724749" TargetMode="External"/><Relationship Id="rId17" Type="http://schemas.openxmlformats.org/officeDocument/2006/relationships/hyperlink" Target="https://likumi.lv/ta/id/230392" TargetMode="External"/><Relationship Id="rId25" Type="http://schemas.openxmlformats.org/officeDocument/2006/relationships/hyperlink" Target="https://hudoc.echr.coe.int/?i=001-155105" TargetMode="External"/><Relationship Id="rId33" Type="http://schemas.openxmlformats.org/officeDocument/2006/relationships/hyperlink" Target="https://hudoc.echr.coe.int/?i=001-105766" TargetMode="External"/><Relationship Id="rId2" Type="http://schemas.openxmlformats.org/officeDocument/2006/relationships/styles" Target="styles.xml"/><Relationship Id="rId16" Type="http://schemas.openxmlformats.org/officeDocument/2006/relationships/hyperlink" Target="https://curia.europa.eu/juris/document/document.jsf?text=&amp;docid=73642&amp;pageIndex=0&amp;doclang=lv&amp;mode=lst&amp;dir=&amp;occ=first&amp;part=1&amp;cid=7724749" TargetMode="External"/><Relationship Id="rId20" Type="http://schemas.openxmlformats.org/officeDocument/2006/relationships/hyperlink" Target="https://hudoc.echr.coe.int/eng" TargetMode="External"/><Relationship Id="rId29" Type="http://schemas.openxmlformats.org/officeDocument/2006/relationships/hyperlink" Target="https://hudoc.echr.coe.int/?i=001-1223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canvass?q=canvassing" TargetMode="External"/><Relationship Id="rId24" Type="http://schemas.openxmlformats.org/officeDocument/2006/relationships/hyperlink" Target="https://hudoc.echr.coe.int/?i=001-58068" TargetMode="External"/><Relationship Id="rId32" Type="http://schemas.openxmlformats.org/officeDocument/2006/relationships/hyperlink" Target="https://hudoc.echr.coe.int/?i=001-179443"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uria.europa.eu/juris/document/document.jsf?text=&amp;docid=82120&amp;pageIndex=0&amp;doclang=lv&amp;mode=lst&amp;dir=&amp;occ=first&amp;part=1&amp;cid=7732727" TargetMode="External"/><Relationship Id="rId23" Type="http://schemas.openxmlformats.org/officeDocument/2006/relationships/hyperlink" Target="https://hudoc.echr.coe.int/?i=001-202883" TargetMode="External"/><Relationship Id="rId28" Type="http://schemas.openxmlformats.org/officeDocument/2006/relationships/hyperlink" Target="https://hudoc.echr.coe.int/?i=001-60724" TargetMode="External"/><Relationship Id="rId36" Type="http://schemas.openxmlformats.org/officeDocument/2006/relationships/fontTable" Target="fontTable.xml"/><Relationship Id="rId10" Type="http://schemas.openxmlformats.org/officeDocument/2006/relationships/hyperlink" Target="https://dictionary.cambridge.org/dictionary/english/door-to-door" TargetMode="External"/><Relationship Id="rId19" Type="http://schemas.openxmlformats.org/officeDocument/2006/relationships/hyperlink" Target="https://hudoc.echr.coe.int/eng" TargetMode="External"/><Relationship Id="rId31" Type="http://schemas.openxmlformats.org/officeDocument/2006/relationships/hyperlink" Target="https://hudoc.echr.coe.int/?i=001-77537" TargetMode="External"/><Relationship Id="rId4" Type="http://schemas.openxmlformats.org/officeDocument/2006/relationships/webSettings" Target="webSettings.xml"/><Relationship Id="rId9" Type="http://schemas.openxmlformats.org/officeDocument/2006/relationships/hyperlink" Target="http://curia.europa.eu/juris/document/document.jsf?text=&amp;docid=247052&amp;pageIndex=0&amp;doclang=lv&amp;mode=lst&amp;dir=&amp;occ=first&amp;part=1&amp;cid=7728554" TargetMode="External"/><Relationship Id="rId14" Type="http://schemas.openxmlformats.org/officeDocument/2006/relationships/hyperlink" Target="https://curia.europa.eu/juris/document/document.jsf?text=&amp;docid=82126&amp;pageIndex=0&amp;doclang=lv&amp;mode=lst&amp;dir=&amp;occ=first&amp;part=1&amp;cid=7730682" TargetMode="External"/><Relationship Id="rId22" Type="http://schemas.openxmlformats.org/officeDocument/2006/relationships/hyperlink" Target="https://likumi.lv/ta/id/321147" TargetMode="External"/><Relationship Id="rId27" Type="http://schemas.openxmlformats.org/officeDocument/2006/relationships/hyperlink" Target="https://manas.tiesas.lv/eTiesasMvc/nolemumi/pdf/519241.pdf" TargetMode="External"/><Relationship Id="rId30" Type="http://schemas.openxmlformats.org/officeDocument/2006/relationships/hyperlink" Target="https://hudoc.echr.coe.int/?i=001-194383" TargetMode="External"/><Relationship Id="rId35" Type="http://schemas.openxmlformats.org/officeDocument/2006/relationships/footer" Target="footer1.xml"/><Relationship Id="rId8" Type="http://schemas.openxmlformats.org/officeDocument/2006/relationships/hyperlink" Target="https://curia.europa.eu/juris/document/document.jsf?text=&amp;docid=268784&amp;pageIndex=0&amp;doclang=LV&amp;mode=lst&amp;dir=&amp;occ=first&amp;part=1&amp;cid=772474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33107</Words>
  <Characters>18871</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2025-12-11T14:28:00Z</dcterms:created>
  <dcterms:modified xsi:type="dcterms:W3CDTF">2025-12-12T09:45:00Z</dcterms:modified>
</cp:coreProperties>
</file>