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8EB" w14:textId="77777777" w:rsidR="006664E5" w:rsidRPr="00247B06" w:rsidRDefault="006664E5" w:rsidP="006664E5">
      <w:pPr>
        <w:spacing w:line="276" w:lineRule="auto"/>
        <w:jc w:val="both"/>
        <w:rPr>
          <w:b/>
          <w:bCs/>
        </w:rPr>
      </w:pPr>
      <w:r w:rsidRPr="00247B06">
        <w:rPr>
          <w:b/>
          <w:bCs/>
        </w:rPr>
        <w:t xml:space="preserve">Rīcība ar mirušas personas bankas kontā esošajiem naudas līdzekļiem kā Krimināllikuma 193. pantā paredzētais noziedzīgais nodarījums (nelikumīgas darbības ar finanšu instrumentiem un maksāšanas līdzekļiem) </w:t>
      </w:r>
    </w:p>
    <w:p w14:paraId="2ADE9611" w14:textId="77777777" w:rsidR="006664E5" w:rsidRPr="00247B06" w:rsidRDefault="006664E5" w:rsidP="006664E5">
      <w:pPr>
        <w:spacing w:line="276" w:lineRule="auto"/>
        <w:jc w:val="both"/>
      </w:pPr>
      <w:r w:rsidRPr="00247B06">
        <w:t>Rīcība ar mirušas personas bankas kontā esošajiem naudas līdzekļiem ir rīcība ar svešu mantu, proti, ar mantojuma masu kā juridisku personu. Šāda rīcība, ja tai nav tiesiska pamata, samazina mantojuma masu</w:t>
      </w:r>
      <w:r>
        <w:t>.</w:t>
      </w:r>
      <w:r w:rsidRPr="00247B06">
        <w:t xml:space="preserve"> </w:t>
      </w:r>
    </w:p>
    <w:p w14:paraId="382FC3B9" w14:textId="77777777" w:rsidR="006664E5" w:rsidRPr="00247B06" w:rsidRDefault="006664E5" w:rsidP="006664E5">
      <w:pPr>
        <w:spacing w:line="276" w:lineRule="auto"/>
        <w:jc w:val="both"/>
      </w:pPr>
      <w:r w:rsidRPr="00247B06">
        <w:t>Ja tiesa personas rīcībā konstatē visas Krimināllikuma 193. pantā paredzētā noziedzīgā nodarījuma sastāva pazīmes, nav izšķirošas nozīmes apstākļiem, kas iestājas pēc šī nodarījuma izdarīšanas, piemēram, tam, ka mantinieks atsakās no mantojuma, tiek atzīts par mantot necienīgu, testaments, ar kuru viņš iecelts, tiek atzīts par spēkā neesošu, vai kreditors atsakās no sava prasījuma.</w:t>
      </w:r>
    </w:p>
    <w:p w14:paraId="5678F4A6" w14:textId="77777777" w:rsidR="00D11DFE" w:rsidRDefault="00D11DFE" w:rsidP="006664E5">
      <w:pPr>
        <w:spacing w:line="276" w:lineRule="auto"/>
        <w:contextualSpacing/>
        <w:jc w:val="right"/>
        <w:rPr>
          <w:lang w:eastAsia="lv-LV"/>
        </w:rPr>
      </w:pPr>
    </w:p>
    <w:p w14:paraId="65FCD4FF" w14:textId="000A6EC5" w:rsidR="00881FD9" w:rsidRPr="00117112" w:rsidRDefault="00881FD9" w:rsidP="006664E5">
      <w:pPr>
        <w:spacing w:line="276" w:lineRule="auto"/>
        <w:jc w:val="center"/>
        <w:rPr>
          <w:b/>
        </w:rPr>
      </w:pPr>
      <w:r w:rsidRPr="00117112">
        <w:rPr>
          <w:b/>
        </w:rPr>
        <w:t>Latvijas Republikas Senāt</w:t>
      </w:r>
      <w:r w:rsidR="00117112" w:rsidRPr="00117112">
        <w:rPr>
          <w:b/>
        </w:rPr>
        <w:t>a</w:t>
      </w:r>
    </w:p>
    <w:p w14:paraId="53664026" w14:textId="6A7985B2" w:rsidR="00117112" w:rsidRPr="00117112" w:rsidRDefault="00117112" w:rsidP="006664E5">
      <w:pPr>
        <w:spacing w:line="276" w:lineRule="auto"/>
        <w:contextualSpacing/>
        <w:jc w:val="center"/>
        <w:rPr>
          <w:b/>
          <w:lang w:eastAsia="lv-LV"/>
        </w:rPr>
      </w:pPr>
      <w:r w:rsidRPr="00117112">
        <w:rPr>
          <w:b/>
          <w:lang w:eastAsia="lv-LV"/>
        </w:rPr>
        <w:t>Krimināllietu departamenta</w:t>
      </w:r>
    </w:p>
    <w:p w14:paraId="08CC06FF" w14:textId="1A3455EB" w:rsidR="00117112" w:rsidRPr="00117112" w:rsidRDefault="00117112" w:rsidP="006664E5">
      <w:pPr>
        <w:spacing w:line="276" w:lineRule="auto"/>
        <w:jc w:val="center"/>
        <w:rPr>
          <w:b/>
        </w:rPr>
      </w:pPr>
      <w:r w:rsidRPr="00117112">
        <w:rPr>
          <w:b/>
        </w:rPr>
        <w:t>2025. gada 26. novembra</w:t>
      </w:r>
    </w:p>
    <w:p w14:paraId="2F842017" w14:textId="54587CD9" w:rsidR="00881FD9" w:rsidRPr="00117112" w:rsidRDefault="00881FD9" w:rsidP="006664E5">
      <w:pPr>
        <w:spacing w:line="276" w:lineRule="auto"/>
        <w:jc w:val="center"/>
        <w:rPr>
          <w:b/>
        </w:rPr>
      </w:pPr>
      <w:r w:rsidRPr="00117112">
        <w:rPr>
          <w:b/>
        </w:rPr>
        <w:t>LĒMUMS</w:t>
      </w:r>
    </w:p>
    <w:p w14:paraId="7ACFE9F2" w14:textId="6AD3A471" w:rsidR="00881FD9" w:rsidRDefault="00117112" w:rsidP="006664E5">
      <w:pPr>
        <w:spacing w:line="276" w:lineRule="auto"/>
        <w:contextualSpacing/>
        <w:jc w:val="center"/>
        <w:rPr>
          <w:b/>
          <w:lang w:eastAsia="lv-LV"/>
        </w:rPr>
      </w:pPr>
      <w:r w:rsidRPr="00117112">
        <w:rPr>
          <w:b/>
          <w:lang w:eastAsia="lv-LV"/>
        </w:rPr>
        <w:t>Lieta Nr. 11092075317, SKK-330/2025</w:t>
      </w:r>
    </w:p>
    <w:p w14:paraId="71CB1756" w14:textId="141C8EC0" w:rsidR="00117112" w:rsidRPr="00117112" w:rsidRDefault="00117112" w:rsidP="006664E5">
      <w:pPr>
        <w:spacing w:line="276" w:lineRule="auto"/>
        <w:contextualSpacing/>
        <w:jc w:val="center"/>
        <w:rPr>
          <w:bCs/>
          <w:lang w:eastAsia="lv-LV"/>
        </w:rPr>
      </w:pPr>
      <w:hyperlink r:id="rId8" w:history="1">
        <w:r w:rsidRPr="00117112">
          <w:rPr>
            <w:rStyle w:val="Hyperlink"/>
            <w:bCs/>
            <w:lang w:eastAsia="lv-LV"/>
          </w:rPr>
          <w:t>ECLI:LV:AT:2025:1126.11092075317.7.L</w:t>
        </w:r>
      </w:hyperlink>
    </w:p>
    <w:p w14:paraId="0FE55197" w14:textId="77777777" w:rsidR="006E716C" w:rsidRDefault="006E716C" w:rsidP="006E716C">
      <w:pPr>
        <w:spacing w:before="360" w:line="276" w:lineRule="auto"/>
        <w:ind w:firstLine="720"/>
        <w:contextualSpacing/>
        <w:jc w:val="both"/>
      </w:pPr>
    </w:p>
    <w:p w14:paraId="7110528E" w14:textId="0E23D66A" w:rsidR="006E716C" w:rsidRDefault="00881FD9" w:rsidP="006E716C">
      <w:pPr>
        <w:spacing w:before="360" w:line="276" w:lineRule="auto"/>
        <w:ind w:firstLine="720"/>
        <w:contextualSpacing/>
        <w:jc w:val="both"/>
      </w:pPr>
      <w:r>
        <w:t xml:space="preserve">Senāts </w:t>
      </w:r>
      <w:r w:rsidRPr="00011547">
        <w:t>šādā sastāvā</w:t>
      </w:r>
      <w:r>
        <w:t>: senators referents Māris Leja, senatore</w:t>
      </w:r>
      <w:r w:rsidR="00A03ADE">
        <w:t>s Aija Branta un Sandra Kaija</w:t>
      </w:r>
    </w:p>
    <w:p w14:paraId="6973E6DB" w14:textId="77777777" w:rsidR="006E716C" w:rsidRDefault="006E716C" w:rsidP="006E716C">
      <w:pPr>
        <w:spacing w:before="360" w:line="276" w:lineRule="auto"/>
        <w:ind w:firstLine="720"/>
        <w:contextualSpacing/>
        <w:jc w:val="both"/>
      </w:pPr>
    </w:p>
    <w:p w14:paraId="0B83816A" w14:textId="448BAB90" w:rsidR="00881FD9" w:rsidRDefault="00881FD9" w:rsidP="00A03ADE">
      <w:pPr>
        <w:spacing w:before="360" w:line="276" w:lineRule="auto"/>
        <w:ind w:firstLine="720"/>
        <w:contextualSpacing/>
        <w:jc w:val="both"/>
      </w:pPr>
      <w:r w:rsidRPr="00141872">
        <w:t>rakstveida procesā izskatīja krimināllietu sakarā</w:t>
      </w:r>
      <w:r>
        <w:t xml:space="preserve"> ar </w:t>
      </w:r>
      <w:r w:rsidR="00A03ADE" w:rsidRPr="00A03ADE">
        <w:t>Rīgas tiesas apgabala prokuratūras prokurora</w:t>
      </w:r>
      <w:r w:rsidR="00A03ADE">
        <w:t xml:space="preserve"> </w:t>
      </w:r>
      <w:r w:rsidR="00A03ADE" w:rsidRPr="00A03ADE">
        <w:t xml:space="preserve">Jāņa Baumaņa iesniegto </w:t>
      </w:r>
      <w:r w:rsidR="00A03ADE">
        <w:t>kasācijas</w:t>
      </w:r>
      <w:r w:rsidR="00A03ADE" w:rsidRPr="00A03ADE">
        <w:t xml:space="preserve"> protestu</w:t>
      </w:r>
      <w:r w:rsidR="00A03ADE">
        <w:t xml:space="preserve"> par Rīgas apgabaltiesas 2025. gada 21. janvāra lēmumu.</w:t>
      </w:r>
    </w:p>
    <w:p w14:paraId="6D00F491" w14:textId="77777777" w:rsidR="006E716C" w:rsidRDefault="006E716C" w:rsidP="00A03ADE">
      <w:pPr>
        <w:spacing w:before="360" w:line="276" w:lineRule="auto"/>
        <w:ind w:firstLine="720"/>
        <w:contextualSpacing/>
        <w:jc w:val="both"/>
      </w:pPr>
    </w:p>
    <w:p w14:paraId="4F08827E" w14:textId="77777777" w:rsidR="00881FD9" w:rsidRPr="00011547" w:rsidRDefault="00881FD9" w:rsidP="00881FD9">
      <w:pPr>
        <w:spacing w:before="360" w:after="360" w:line="276" w:lineRule="auto"/>
        <w:contextualSpacing/>
        <w:jc w:val="center"/>
        <w:rPr>
          <w:shd w:val="clear" w:color="auto" w:fill="FFFFFF"/>
        </w:rPr>
      </w:pPr>
      <w:r w:rsidRPr="00011547">
        <w:rPr>
          <w:b/>
          <w:shd w:val="clear" w:color="auto" w:fill="FFFFFF"/>
        </w:rPr>
        <w:t>Aprakstošā daļa</w:t>
      </w:r>
    </w:p>
    <w:p w14:paraId="475DE50E" w14:textId="77777777" w:rsidR="00D11DFE" w:rsidRDefault="00881FD9" w:rsidP="00D11DFE">
      <w:pPr>
        <w:pStyle w:val="NormalWeb"/>
        <w:shd w:val="clear" w:color="auto" w:fill="FFFFFF"/>
        <w:spacing w:before="0" w:beforeAutospacing="0" w:after="0" w:afterAutospacing="0" w:line="276" w:lineRule="auto"/>
        <w:ind w:firstLine="720"/>
        <w:contextualSpacing/>
        <w:jc w:val="both"/>
        <w:rPr>
          <w:shd w:val="clear" w:color="auto" w:fill="FFFFFF"/>
        </w:rPr>
      </w:pPr>
      <w:r w:rsidRPr="00B66CF3">
        <w:rPr>
          <w:shd w:val="clear" w:color="auto" w:fill="FFFFFF"/>
        </w:rPr>
        <w:t>[1]</w:t>
      </w:r>
      <w:r w:rsidR="001A04CD">
        <w:rPr>
          <w:shd w:val="clear" w:color="auto" w:fill="FFFFFF"/>
        </w:rPr>
        <w:t xml:space="preserve"> </w:t>
      </w:r>
      <w:r w:rsidR="001A04CD" w:rsidRPr="001A04CD">
        <w:rPr>
          <w:shd w:val="clear" w:color="auto" w:fill="FFFFFF"/>
        </w:rPr>
        <w:t>Ar Rīgas pilsētas tiesas 2023.</w:t>
      </w:r>
      <w:r w:rsidR="001A04CD">
        <w:rPr>
          <w:shd w:val="clear" w:color="auto" w:fill="FFFFFF"/>
        </w:rPr>
        <w:t> </w:t>
      </w:r>
      <w:r w:rsidR="001A04CD" w:rsidRPr="001A04CD">
        <w:rPr>
          <w:shd w:val="clear" w:color="auto" w:fill="FFFFFF"/>
        </w:rPr>
        <w:t>gada 22.</w:t>
      </w:r>
      <w:r w:rsidR="001A04CD">
        <w:rPr>
          <w:shd w:val="clear" w:color="auto" w:fill="FFFFFF"/>
        </w:rPr>
        <w:t> </w:t>
      </w:r>
      <w:r w:rsidR="001A04CD" w:rsidRPr="001A04CD">
        <w:rPr>
          <w:shd w:val="clear" w:color="auto" w:fill="FFFFFF"/>
        </w:rPr>
        <w:t>decembra spriedumu</w:t>
      </w:r>
    </w:p>
    <w:p w14:paraId="6FB7388F" w14:textId="43F6CD89" w:rsidR="00D11DFE" w:rsidRDefault="00117112" w:rsidP="00117112">
      <w:pPr>
        <w:pStyle w:val="NormalWeb"/>
        <w:shd w:val="clear" w:color="auto" w:fill="FFFFFF"/>
        <w:spacing w:before="0" w:beforeAutospacing="0" w:after="0" w:afterAutospacing="0" w:line="276" w:lineRule="auto"/>
        <w:ind w:firstLine="720"/>
        <w:contextualSpacing/>
        <w:jc w:val="both"/>
        <w:rPr>
          <w:shd w:val="clear" w:color="auto" w:fill="FFFFFF"/>
        </w:rPr>
      </w:pPr>
      <w:r>
        <w:rPr>
          <w:shd w:val="clear" w:color="auto" w:fill="FFFFFF"/>
        </w:rPr>
        <w:t>[pers. A]</w:t>
      </w:r>
      <w:r w:rsidR="001A04CD">
        <w:rPr>
          <w:shd w:val="clear" w:color="auto" w:fill="FFFFFF"/>
        </w:rPr>
        <w:t xml:space="preserve"> </w:t>
      </w:r>
      <w:r w:rsidR="001A04CD" w:rsidRPr="001A04CD">
        <w:rPr>
          <w:shd w:val="clear" w:color="auto" w:fill="FFFFFF"/>
        </w:rPr>
        <w:t>(</w:t>
      </w:r>
      <w:r>
        <w:rPr>
          <w:i/>
          <w:iCs/>
          <w:shd w:val="clear" w:color="auto" w:fill="FFFFFF"/>
        </w:rPr>
        <w:t>[pers. A]</w:t>
      </w:r>
      <w:r w:rsidR="001A04CD" w:rsidRPr="001A04CD">
        <w:rPr>
          <w:shd w:val="clear" w:color="auto" w:fill="FFFFFF"/>
        </w:rPr>
        <w:t>)</w:t>
      </w:r>
      <w:r w:rsidR="001A04CD">
        <w:rPr>
          <w:shd w:val="clear" w:color="auto" w:fill="FFFFFF"/>
        </w:rPr>
        <w:t xml:space="preserve">, </w:t>
      </w:r>
      <w:r w:rsidR="001A04CD" w:rsidRPr="001A04CD">
        <w:rPr>
          <w:shd w:val="clear" w:color="auto" w:fill="FFFFFF"/>
        </w:rPr>
        <w:t xml:space="preserve">personas kods </w:t>
      </w:r>
      <w:r>
        <w:rPr>
          <w:shd w:val="clear" w:color="auto" w:fill="FFFFFF"/>
        </w:rPr>
        <w:t>[..]</w:t>
      </w:r>
      <w:r w:rsidR="001A04CD">
        <w:rPr>
          <w:shd w:val="clear" w:color="auto" w:fill="FFFFFF"/>
        </w:rPr>
        <w:t>,</w:t>
      </w:r>
    </w:p>
    <w:p w14:paraId="14830474" w14:textId="72101C5D" w:rsidR="00881FD9" w:rsidRDefault="001A04CD" w:rsidP="003F58FE">
      <w:pPr>
        <w:pStyle w:val="NormalWeb"/>
        <w:shd w:val="clear" w:color="auto" w:fill="FFFFFF"/>
        <w:spacing w:before="0" w:beforeAutospacing="0" w:after="0" w:afterAutospacing="0" w:line="276" w:lineRule="auto"/>
        <w:ind w:firstLine="720"/>
        <w:contextualSpacing/>
        <w:jc w:val="both"/>
        <w:rPr>
          <w:shd w:val="clear" w:color="auto" w:fill="FFFFFF"/>
        </w:rPr>
      </w:pPr>
      <w:r w:rsidRPr="001A04CD">
        <w:rPr>
          <w:shd w:val="clear" w:color="auto" w:fill="FFFFFF"/>
        </w:rPr>
        <w:t>atzīta par nevainīgu pret viņu celtajā apsūdzībā pēc Krimināllikuma</w:t>
      </w:r>
      <w:r w:rsidR="00D11DFE">
        <w:rPr>
          <w:shd w:val="clear" w:color="auto" w:fill="FFFFFF"/>
        </w:rPr>
        <w:t xml:space="preserve"> </w:t>
      </w:r>
      <w:r w:rsidRPr="001A04CD">
        <w:rPr>
          <w:shd w:val="clear" w:color="auto" w:fill="FFFFFF"/>
        </w:rPr>
        <w:t>193.</w:t>
      </w:r>
      <w:r>
        <w:rPr>
          <w:shd w:val="clear" w:color="auto" w:fill="FFFFFF"/>
        </w:rPr>
        <w:t> </w:t>
      </w:r>
      <w:r w:rsidRPr="001A04CD">
        <w:rPr>
          <w:shd w:val="clear" w:color="auto" w:fill="FFFFFF"/>
        </w:rPr>
        <w:t>panta ceturtās daļas un attaisnota.</w:t>
      </w:r>
    </w:p>
    <w:p w14:paraId="4EE0A6D2" w14:textId="77777777" w:rsidR="008017F8" w:rsidRDefault="008017F8" w:rsidP="00D11DFE">
      <w:pPr>
        <w:pStyle w:val="NormalWeb"/>
        <w:shd w:val="clear" w:color="auto" w:fill="FFFFFF"/>
        <w:spacing w:before="0" w:beforeAutospacing="0" w:after="0" w:afterAutospacing="0" w:line="276" w:lineRule="auto"/>
        <w:ind w:firstLine="720"/>
        <w:contextualSpacing/>
        <w:jc w:val="both"/>
        <w:rPr>
          <w:shd w:val="clear" w:color="auto" w:fill="FFFFFF"/>
        </w:rPr>
      </w:pPr>
    </w:p>
    <w:p w14:paraId="33B0E3FD" w14:textId="6B763F6B" w:rsidR="00BF0AB8" w:rsidRDefault="001A04CD" w:rsidP="00117112">
      <w:pPr>
        <w:pStyle w:val="NormalWeb"/>
        <w:shd w:val="clear" w:color="auto" w:fill="FFFFFF"/>
        <w:spacing w:line="276" w:lineRule="auto"/>
        <w:ind w:firstLine="720"/>
        <w:contextualSpacing/>
        <w:jc w:val="both"/>
        <w:rPr>
          <w:shd w:val="clear" w:color="auto" w:fill="FFFFFF"/>
        </w:rPr>
      </w:pPr>
      <w:r>
        <w:rPr>
          <w:shd w:val="clear" w:color="auto" w:fill="FFFFFF"/>
        </w:rPr>
        <w:t>[2]</w:t>
      </w:r>
      <w:r w:rsidR="008A1458">
        <w:rPr>
          <w:shd w:val="clear" w:color="auto" w:fill="FFFFFF"/>
        </w:rPr>
        <w:t xml:space="preserve"> Pirmās instances tiesa </w:t>
      </w:r>
      <w:r w:rsidR="00BF0AB8">
        <w:rPr>
          <w:shd w:val="clear" w:color="auto" w:fill="FFFFFF"/>
        </w:rPr>
        <w:t xml:space="preserve">atzinusi par </w:t>
      </w:r>
      <w:r w:rsidR="005B0F5B">
        <w:rPr>
          <w:shd w:val="clear" w:color="auto" w:fill="FFFFFF"/>
        </w:rPr>
        <w:t>ne</w:t>
      </w:r>
      <w:r w:rsidR="00BF0AB8">
        <w:rPr>
          <w:shd w:val="clear" w:color="auto" w:fill="FFFFFF"/>
        </w:rPr>
        <w:t xml:space="preserve">pierādītu </w:t>
      </w:r>
      <w:r w:rsidR="00117112">
        <w:rPr>
          <w:shd w:val="clear" w:color="auto" w:fill="FFFFFF"/>
        </w:rPr>
        <w:t>[pers. A]</w:t>
      </w:r>
      <w:r w:rsidR="00BF0AB8">
        <w:rPr>
          <w:shd w:val="clear" w:color="auto" w:fill="FFFFFF"/>
        </w:rPr>
        <w:t xml:space="preserve"> </w:t>
      </w:r>
      <w:proofErr w:type="spellStart"/>
      <w:r w:rsidR="00BF0AB8">
        <w:rPr>
          <w:shd w:val="clear" w:color="auto" w:fill="FFFFFF"/>
        </w:rPr>
        <w:t>pirmstiesas</w:t>
      </w:r>
      <w:proofErr w:type="spellEnd"/>
      <w:r w:rsidR="00BF0AB8">
        <w:rPr>
          <w:shd w:val="clear" w:color="auto" w:fill="FFFFFF"/>
        </w:rPr>
        <w:t xml:space="preserve"> procesā celto apsūdzību par sveša maksāšanas līdzekļa nelikumīgu izmantošanu lielā apmērā, proti, ka</w:t>
      </w:r>
      <w:r w:rsidR="00F11061">
        <w:rPr>
          <w:shd w:val="clear" w:color="auto" w:fill="FFFFFF"/>
        </w:rPr>
        <w:t xml:space="preserve"> </w:t>
      </w:r>
      <w:r w:rsidR="00117112">
        <w:rPr>
          <w:shd w:val="clear" w:color="auto" w:fill="FFFFFF"/>
        </w:rPr>
        <w:t>[pers. A]</w:t>
      </w:r>
      <w:r w:rsidR="008A1458" w:rsidRPr="008A1458">
        <w:rPr>
          <w:shd w:val="clear" w:color="auto" w:fill="FFFFFF"/>
        </w:rPr>
        <w:t>, zinot,</w:t>
      </w:r>
      <w:r w:rsidR="008A1458">
        <w:rPr>
          <w:shd w:val="clear" w:color="auto" w:fill="FFFFFF"/>
        </w:rPr>
        <w:t xml:space="preserve"> </w:t>
      </w:r>
      <w:r w:rsidR="008A1458" w:rsidRPr="008A1458">
        <w:rPr>
          <w:shd w:val="clear" w:color="auto" w:fill="FFFFFF"/>
        </w:rPr>
        <w:t xml:space="preserve">ka </w:t>
      </w:r>
      <w:r w:rsidR="005B0F5B">
        <w:rPr>
          <w:shd w:val="clear" w:color="auto" w:fill="FFFFFF"/>
        </w:rPr>
        <w:t xml:space="preserve">viņas </w:t>
      </w:r>
      <w:r w:rsidR="008A1458" w:rsidRPr="008A1458">
        <w:rPr>
          <w:shd w:val="clear" w:color="auto" w:fill="FFFFFF"/>
        </w:rPr>
        <w:t xml:space="preserve">vīrs </w:t>
      </w:r>
      <w:r w:rsidR="00117112">
        <w:rPr>
          <w:shd w:val="clear" w:color="auto" w:fill="FFFFFF"/>
        </w:rPr>
        <w:t>[pers. B]</w:t>
      </w:r>
      <w:r w:rsidR="008A1458" w:rsidRPr="008A1458">
        <w:rPr>
          <w:shd w:val="clear" w:color="auto" w:fill="FFFFFF"/>
        </w:rPr>
        <w:t xml:space="preserve"> 2011.</w:t>
      </w:r>
      <w:r w:rsidR="008A1458">
        <w:rPr>
          <w:shd w:val="clear" w:color="auto" w:fill="FFFFFF"/>
        </w:rPr>
        <w:t> </w:t>
      </w:r>
      <w:r w:rsidR="008A1458" w:rsidRPr="008A1458">
        <w:rPr>
          <w:shd w:val="clear" w:color="auto" w:fill="FFFFFF"/>
        </w:rPr>
        <w:t xml:space="preserve">gada </w:t>
      </w:r>
      <w:r w:rsidR="00117112">
        <w:rPr>
          <w:shd w:val="clear" w:color="auto" w:fill="FFFFFF"/>
        </w:rPr>
        <w:t>[..]</w:t>
      </w:r>
      <w:r w:rsidR="008A1458" w:rsidRPr="008A1458">
        <w:rPr>
          <w:shd w:val="clear" w:color="auto" w:fill="FFFFFF"/>
        </w:rPr>
        <w:t xml:space="preserve"> miris, apejot mirušā divu bērnu </w:t>
      </w:r>
      <w:r w:rsidR="00117112">
        <w:rPr>
          <w:shd w:val="clear" w:color="auto" w:fill="FFFFFF"/>
        </w:rPr>
        <w:t>[pers. C]</w:t>
      </w:r>
      <w:r w:rsidR="008A1458" w:rsidRPr="008A1458">
        <w:rPr>
          <w:shd w:val="clear" w:color="auto" w:fill="FFFFFF"/>
        </w:rPr>
        <w:t xml:space="preserve"> un </w:t>
      </w:r>
      <w:r w:rsidR="00117112">
        <w:rPr>
          <w:shd w:val="clear" w:color="auto" w:fill="FFFFFF"/>
        </w:rPr>
        <w:t>[pers. D]</w:t>
      </w:r>
      <w:r w:rsidR="008A1458" w:rsidRPr="008A1458">
        <w:rPr>
          <w:shd w:val="clear" w:color="auto" w:fill="FFFFFF"/>
        </w:rPr>
        <w:t xml:space="preserve"> tiesības pretendēt uz mirušā atstāto mantojumu, no </w:t>
      </w:r>
      <w:r w:rsidR="00117112">
        <w:rPr>
          <w:shd w:val="clear" w:color="auto" w:fill="FFFFFF"/>
        </w:rPr>
        <w:t>[pers. B]</w:t>
      </w:r>
      <w:r w:rsidR="008A1458" w:rsidRPr="008A1458">
        <w:rPr>
          <w:shd w:val="clear" w:color="auto" w:fill="FFFFFF"/>
        </w:rPr>
        <w:t xml:space="preserve"> bankas </w:t>
      </w:r>
      <w:r w:rsidR="004C7271">
        <w:rPr>
          <w:shd w:val="clear" w:color="auto" w:fill="FFFFFF"/>
        </w:rPr>
        <w:t>„</w:t>
      </w:r>
      <w:r w:rsidR="008A1458" w:rsidRPr="008A1458">
        <w:rPr>
          <w:shd w:val="clear" w:color="auto" w:fill="FFFFFF"/>
        </w:rPr>
        <w:t xml:space="preserve">Nordea </w:t>
      </w:r>
      <w:proofErr w:type="spellStart"/>
      <w:r w:rsidR="008A1458" w:rsidRPr="008A1458">
        <w:rPr>
          <w:shd w:val="clear" w:color="auto" w:fill="FFFFFF"/>
        </w:rPr>
        <w:t>Bank</w:t>
      </w:r>
      <w:proofErr w:type="spellEnd"/>
      <w:r w:rsidR="008A1458" w:rsidRPr="008A1458">
        <w:rPr>
          <w:shd w:val="clear" w:color="auto" w:fill="FFFFFF"/>
        </w:rPr>
        <w:t xml:space="preserve"> AB Latvijas filiāle” (tagad AS</w:t>
      </w:r>
      <w:r w:rsidR="00683B04">
        <w:rPr>
          <w:shd w:val="clear" w:color="auto" w:fill="FFFFFF"/>
        </w:rPr>
        <w:t> </w:t>
      </w:r>
      <w:r w:rsidR="004C7271">
        <w:rPr>
          <w:shd w:val="clear" w:color="auto" w:fill="FFFFFF"/>
        </w:rPr>
        <w:t>„</w:t>
      </w:r>
      <w:proofErr w:type="spellStart"/>
      <w:r w:rsidR="008A1458" w:rsidRPr="008A1458">
        <w:rPr>
          <w:shd w:val="clear" w:color="auto" w:fill="FFFFFF"/>
        </w:rPr>
        <w:t>Luminor</w:t>
      </w:r>
      <w:proofErr w:type="spellEnd"/>
      <w:r w:rsidR="00882D16">
        <w:rPr>
          <w:shd w:val="clear" w:color="auto" w:fill="FFFFFF"/>
        </w:rPr>
        <w:t xml:space="preserve"> </w:t>
      </w:r>
      <w:proofErr w:type="spellStart"/>
      <w:r w:rsidR="008A1458" w:rsidRPr="008A1458">
        <w:rPr>
          <w:shd w:val="clear" w:color="auto" w:fill="FFFFFF"/>
        </w:rPr>
        <w:t>Bank</w:t>
      </w:r>
      <w:proofErr w:type="spellEnd"/>
      <w:r w:rsidR="008A1458" w:rsidRPr="008A1458">
        <w:rPr>
          <w:shd w:val="clear" w:color="auto" w:fill="FFFFFF"/>
        </w:rPr>
        <w:t>”) konta,</w:t>
      </w:r>
      <w:r w:rsidR="00BF0AB8">
        <w:rPr>
          <w:shd w:val="clear" w:color="auto" w:fill="FFFFFF"/>
        </w:rPr>
        <w:t xml:space="preserve"> </w:t>
      </w:r>
      <w:r w:rsidR="008A1458" w:rsidRPr="008A1458">
        <w:rPr>
          <w:shd w:val="clear" w:color="auto" w:fill="FFFFFF"/>
        </w:rPr>
        <w:t xml:space="preserve">izmantojot </w:t>
      </w:r>
      <w:r w:rsidR="00117112">
        <w:rPr>
          <w:shd w:val="clear" w:color="auto" w:fill="FFFFFF"/>
        </w:rPr>
        <w:t>[pers. B]</w:t>
      </w:r>
      <w:r w:rsidR="008A1458" w:rsidRPr="008A1458">
        <w:rPr>
          <w:shd w:val="clear" w:color="auto" w:fill="FFFFFF"/>
        </w:rPr>
        <w:t xml:space="preserve"> piešķirto</w:t>
      </w:r>
      <w:r w:rsidR="008A1458">
        <w:rPr>
          <w:shd w:val="clear" w:color="auto" w:fill="FFFFFF"/>
        </w:rPr>
        <w:t xml:space="preserve"> </w:t>
      </w:r>
      <w:r w:rsidR="008A1458" w:rsidRPr="008A1458">
        <w:rPr>
          <w:shd w:val="clear" w:color="auto" w:fill="FFFFFF"/>
        </w:rPr>
        <w:t>pieeju internetbankai,</w:t>
      </w:r>
      <w:r w:rsidR="008A1458">
        <w:rPr>
          <w:shd w:val="clear" w:color="auto" w:fill="FFFFFF"/>
        </w:rPr>
        <w:t xml:space="preserve"> </w:t>
      </w:r>
      <w:r w:rsidR="008A1458" w:rsidRPr="008A1458">
        <w:rPr>
          <w:shd w:val="clear" w:color="auto" w:fill="FFFFFF"/>
        </w:rPr>
        <w:t>2011.</w:t>
      </w:r>
      <w:r w:rsidR="008A1458">
        <w:rPr>
          <w:shd w:val="clear" w:color="auto" w:fill="FFFFFF"/>
        </w:rPr>
        <w:t> </w:t>
      </w:r>
      <w:r w:rsidR="008A1458" w:rsidRPr="008A1458">
        <w:rPr>
          <w:shd w:val="clear" w:color="auto" w:fill="FFFFFF"/>
        </w:rPr>
        <w:t>gada 22.</w:t>
      </w:r>
      <w:r w:rsidR="008A1458">
        <w:rPr>
          <w:shd w:val="clear" w:color="auto" w:fill="FFFFFF"/>
        </w:rPr>
        <w:t> </w:t>
      </w:r>
      <w:r w:rsidR="008A1458" w:rsidRPr="008A1458">
        <w:rPr>
          <w:shd w:val="clear" w:color="auto" w:fill="FFFFFF"/>
        </w:rPr>
        <w:t>jūlijā plkst.</w:t>
      </w:r>
      <w:r w:rsidR="008A1458">
        <w:rPr>
          <w:shd w:val="clear" w:color="auto" w:fill="FFFFFF"/>
        </w:rPr>
        <w:t> </w:t>
      </w:r>
      <w:r w:rsidR="008A1458" w:rsidRPr="008A1458">
        <w:rPr>
          <w:shd w:val="clear" w:color="auto" w:fill="FFFFFF"/>
        </w:rPr>
        <w:t>16.23</w:t>
      </w:r>
      <w:r w:rsidR="008A1458">
        <w:rPr>
          <w:shd w:val="clear" w:color="auto" w:fill="FFFFFF"/>
        </w:rPr>
        <w:t xml:space="preserve"> </w:t>
      </w:r>
      <w:r w:rsidR="00891A41">
        <w:rPr>
          <w:shd w:val="clear" w:color="auto" w:fill="FFFFFF"/>
        </w:rPr>
        <w:t xml:space="preserve">pārskaitīja </w:t>
      </w:r>
      <w:r w:rsidR="008A1458" w:rsidRPr="008A1458">
        <w:rPr>
          <w:shd w:val="clear" w:color="auto" w:fill="FFFFFF"/>
        </w:rPr>
        <w:t>uz savu bankas kontu AS</w:t>
      </w:r>
      <w:r w:rsidR="008017F8">
        <w:rPr>
          <w:shd w:val="clear" w:color="auto" w:fill="FFFFFF"/>
        </w:rPr>
        <w:t> „</w:t>
      </w:r>
      <w:r w:rsidR="008A1458" w:rsidRPr="008A1458">
        <w:rPr>
          <w:shd w:val="clear" w:color="auto" w:fill="FFFFFF"/>
        </w:rPr>
        <w:t>Rietumu Bank</w:t>
      </w:r>
      <w:r w:rsidR="008017F8">
        <w:rPr>
          <w:shd w:val="clear" w:color="auto" w:fill="FFFFFF"/>
        </w:rPr>
        <w:t>a</w:t>
      </w:r>
      <w:r w:rsidR="008A1458" w:rsidRPr="008A1458">
        <w:rPr>
          <w:shd w:val="clear" w:color="auto" w:fill="FFFFFF"/>
        </w:rPr>
        <w:t>” 16</w:t>
      </w:r>
      <w:r w:rsidR="008017F8">
        <w:rPr>
          <w:shd w:val="clear" w:color="auto" w:fill="FFFFFF"/>
        </w:rPr>
        <w:t> </w:t>
      </w:r>
      <w:r w:rsidR="008A1458" w:rsidRPr="008A1458">
        <w:rPr>
          <w:shd w:val="clear" w:color="auto" w:fill="FFFFFF"/>
        </w:rPr>
        <w:t>000</w:t>
      </w:r>
      <w:r w:rsidR="008017F8">
        <w:rPr>
          <w:shd w:val="clear" w:color="auto" w:fill="FFFFFF"/>
        </w:rPr>
        <w:t> </w:t>
      </w:r>
      <w:proofErr w:type="spellStart"/>
      <w:r w:rsidR="008A1458" w:rsidRPr="008A1458">
        <w:rPr>
          <w:i/>
          <w:iCs/>
          <w:shd w:val="clear" w:color="auto" w:fill="FFFFFF"/>
        </w:rPr>
        <w:t>euro</w:t>
      </w:r>
      <w:proofErr w:type="spellEnd"/>
      <w:r w:rsidR="008A1458" w:rsidRPr="008A1458">
        <w:rPr>
          <w:shd w:val="clear" w:color="auto" w:fill="FFFFFF"/>
        </w:rPr>
        <w:t>, kas pārsniedza 50 ta</w:t>
      </w:r>
      <w:r w:rsidR="004C7271">
        <w:rPr>
          <w:shd w:val="clear" w:color="auto" w:fill="FFFFFF"/>
        </w:rPr>
        <w:t>jā</w:t>
      </w:r>
      <w:r w:rsidR="008A1458" w:rsidRPr="008A1458">
        <w:rPr>
          <w:shd w:val="clear" w:color="auto" w:fill="FFFFFF"/>
        </w:rPr>
        <w:t xml:space="preserve"> laikā Latvijas Republikā noteikto minimālo</w:t>
      </w:r>
      <w:r w:rsidR="008A1458">
        <w:rPr>
          <w:shd w:val="clear" w:color="auto" w:fill="FFFFFF"/>
        </w:rPr>
        <w:t xml:space="preserve"> </w:t>
      </w:r>
      <w:r w:rsidR="008A1458" w:rsidRPr="008A1458">
        <w:rPr>
          <w:shd w:val="clear" w:color="auto" w:fill="FFFFFF"/>
        </w:rPr>
        <w:t xml:space="preserve">mēnešalgu kopsummu, lai turpmāk ar </w:t>
      </w:r>
      <w:r w:rsidR="00B21128">
        <w:rPr>
          <w:shd w:val="clear" w:color="auto" w:fill="FFFFFF"/>
        </w:rPr>
        <w:t>tiem</w:t>
      </w:r>
      <w:r w:rsidR="008A1458" w:rsidRPr="008A1458">
        <w:rPr>
          <w:shd w:val="clear" w:color="auto" w:fill="FFFFFF"/>
        </w:rPr>
        <w:t xml:space="preserve"> rīkotos pēc saviem ieskatiem.</w:t>
      </w:r>
    </w:p>
    <w:p w14:paraId="0BFAD7FC" w14:textId="77777777" w:rsidR="00BF0AB8" w:rsidRDefault="00BF0AB8" w:rsidP="00BF0AB8">
      <w:pPr>
        <w:pStyle w:val="NormalWeb"/>
        <w:shd w:val="clear" w:color="auto" w:fill="FFFFFF"/>
        <w:spacing w:line="276" w:lineRule="auto"/>
        <w:ind w:firstLine="720"/>
        <w:contextualSpacing/>
        <w:jc w:val="both"/>
        <w:rPr>
          <w:shd w:val="clear" w:color="auto" w:fill="FFFFFF"/>
        </w:rPr>
      </w:pPr>
    </w:p>
    <w:p w14:paraId="24705E37" w14:textId="38B46529" w:rsidR="001A04CD" w:rsidRDefault="001A04CD" w:rsidP="00BF0AB8">
      <w:pPr>
        <w:pStyle w:val="NormalWeb"/>
        <w:shd w:val="clear" w:color="auto" w:fill="FFFFFF"/>
        <w:spacing w:line="276" w:lineRule="auto"/>
        <w:ind w:firstLine="720"/>
        <w:contextualSpacing/>
        <w:jc w:val="both"/>
        <w:rPr>
          <w:shd w:val="clear" w:color="auto" w:fill="FFFFFF"/>
        </w:rPr>
      </w:pPr>
      <w:r>
        <w:rPr>
          <w:shd w:val="clear" w:color="auto" w:fill="FFFFFF"/>
        </w:rPr>
        <w:lastRenderedPageBreak/>
        <w:t>[3] Ar Rīgas apgabaltiesas 2025. gada 21. janvāra lēmumu</w:t>
      </w:r>
      <w:r w:rsidRPr="00E73356">
        <w:rPr>
          <w:shd w:val="clear" w:color="auto" w:fill="FFFFFF"/>
        </w:rPr>
        <w:t>, izties</w:t>
      </w:r>
      <w:r w:rsidRPr="00E73356">
        <w:rPr>
          <w:rFonts w:hint="eastAsia"/>
          <w:shd w:val="clear" w:color="auto" w:fill="FFFFFF"/>
        </w:rPr>
        <w:t>ā</w:t>
      </w:r>
      <w:r w:rsidRPr="00E73356">
        <w:rPr>
          <w:shd w:val="clear" w:color="auto" w:fill="FFFFFF"/>
        </w:rPr>
        <w:t>jot lietu sakar</w:t>
      </w:r>
      <w:r w:rsidRPr="00E73356">
        <w:rPr>
          <w:rFonts w:hint="eastAsia"/>
          <w:shd w:val="clear" w:color="auto" w:fill="FFFFFF"/>
        </w:rPr>
        <w:t>ā</w:t>
      </w:r>
      <w:r w:rsidRPr="00E73356">
        <w:rPr>
          <w:shd w:val="clear" w:color="auto" w:fill="FFFFFF"/>
        </w:rPr>
        <w:t xml:space="preserve"> ar</w:t>
      </w:r>
      <w:r>
        <w:rPr>
          <w:shd w:val="clear" w:color="auto" w:fill="FFFFFF"/>
        </w:rPr>
        <w:t xml:space="preserve"> Rīgas tiesas apgabala</w:t>
      </w:r>
      <w:r w:rsidR="00882D16">
        <w:rPr>
          <w:shd w:val="clear" w:color="auto" w:fill="FFFFFF"/>
        </w:rPr>
        <w:t xml:space="preserve"> prokuratūras</w:t>
      </w:r>
      <w:r>
        <w:rPr>
          <w:shd w:val="clear" w:color="auto" w:fill="FFFFFF"/>
        </w:rPr>
        <w:t xml:space="preserve"> prokurora J. Baumaņa </w:t>
      </w:r>
      <w:r w:rsidRPr="00E73356">
        <w:rPr>
          <w:shd w:val="clear" w:color="auto" w:fill="FFFFFF"/>
        </w:rPr>
        <w:t>apel</w:t>
      </w:r>
      <w:r w:rsidRPr="00E73356">
        <w:rPr>
          <w:rFonts w:hint="eastAsia"/>
          <w:shd w:val="clear" w:color="auto" w:fill="FFFFFF"/>
        </w:rPr>
        <w:t>ā</w:t>
      </w:r>
      <w:r w:rsidRPr="00E73356">
        <w:rPr>
          <w:shd w:val="clear" w:color="auto" w:fill="FFFFFF"/>
        </w:rPr>
        <w:t>cijas</w:t>
      </w:r>
      <w:r w:rsidR="00027DDD">
        <w:rPr>
          <w:shd w:val="clear" w:color="auto" w:fill="FFFFFF"/>
        </w:rPr>
        <w:t xml:space="preserve"> protestu</w:t>
      </w:r>
      <w:r w:rsidRPr="00E73356">
        <w:rPr>
          <w:shd w:val="clear" w:color="auto" w:fill="FFFFFF"/>
        </w:rPr>
        <w:t xml:space="preserve">, </w:t>
      </w:r>
      <w:r>
        <w:rPr>
          <w:shd w:val="clear" w:color="auto" w:fill="FFFFFF"/>
        </w:rPr>
        <w:t xml:space="preserve">pirmās instances tiesas </w:t>
      </w:r>
      <w:r w:rsidRPr="00E73356">
        <w:rPr>
          <w:shd w:val="clear" w:color="auto" w:fill="FFFFFF"/>
        </w:rPr>
        <w:t>spriedums atst</w:t>
      </w:r>
      <w:r w:rsidRPr="00E73356">
        <w:rPr>
          <w:rFonts w:hint="eastAsia"/>
          <w:shd w:val="clear" w:color="auto" w:fill="FFFFFF"/>
        </w:rPr>
        <w:t>ā</w:t>
      </w:r>
      <w:r w:rsidRPr="00E73356">
        <w:rPr>
          <w:shd w:val="clear" w:color="auto" w:fill="FFFFFF"/>
        </w:rPr>
        <w:t>ts</w:t>
      </w:r>
      <w:r>
        <w:rPr>
          <w:shd w:val="clear" w:color="auto" w:fill="FFFFFF"/>
        </w:rPr>
        <w:t xml:space="preserve"> </w:t>
      </w:r>
      <w:r w:rsidRPr="00E73356">
        <w:rPr>
          <w:shd w:val="clear" w:color="auto" w:fill="FFFFFF"/>
        </w:rPr>
        <w:t>negroz</w:t>
      </w:r>
      <w:r w:rsidRPr="00E73356">
        <w:rPr>
          <w:rFonts w:hint="eastAsia"/>
          <w:shd w:val="clear" w:color="auto" w:fill="FFFFFF"/>
        </w:rPr>
        <w:t>ī</w:t>
      </w:r>
      <w:r w:rsidRPr="00E73356">
        <w:rPr>
          <w:shd w:val="clear" w:color="auto" w:fill="FFFFFF"/>
        </w:rPr>
        <w:t>ts</w:t>
      </w:r>
      <w:r>
        <w:rPr>
          <w:shd w:val="clear" w:color="auto" w:fill="FFFFFF"/>
        </w:rPr>
        <w:t>.</w:t>
      </w:r>
    </w:p>
    <w:p w14:paraId="5AB6070E" w14:textId="77777777" w:rsidR="001A04CD" w:rsidRDefault="001A04CD" w:rsidP="001A04CD">
      <w:pPr>
        <w:pStyle w:val="NormalWeb"/>
        <w:shd w:val="clear" w:color="auto" w:fill="FFFFFF"/>
        <w:spacing w:before="0" w:beforeAutospacing="0" w:after="0" w:afterAutospacing="0" w:line="276" w:lineRule="auto"/>
        <w:ind w:firstLine="720"/>
        <w:jc w:val="both"/>
        <w:rPr>
          <w:shd w:val="clear" w:color="auto" w:fill="FFFFFF"/>
        </w:rPr>
      </w:pPr>
    </w:p>
    <w:p w14:paraId="316123B8" w14:textId="637E5189" w:rsidR="001A04CD" w:rsidRDefault="001A04CD" w:rsidP="001A04CD">
      <w:pPr>
        <w:pStyle w:val="NormalWeb"/>
        <w:shd w:val="clear" w:color="auto" w:fill="FFFFFF"/>
        <w:spacing w:line="276" w:lineRule="auto"/>
        <w:ind w:firstLine="720"/>
        <w:contextualSpacing/>
        <w:jc w:val="both"/>
      </w:pPr>
      <w:r>
        <w:rPr>
          <w:shd w:val="clear" w:color="auto" w:fill="FFFFFF"/>
        </w:rPr>
        <w:t xml:space="preserve">[4] </w:t>
      </w:r>
      <w:r w:rsidR="00810410">
        <w:t xml:space="preserve">Rīgas tiesas apgabala </w:t>
      </w:r>
      <w:r w:rsidR="00882D16">
        <w:t xml:space="preserve">prokuratūras </w:t>
      </w:r>
      <w:r w:rsidR="00810410">
        <w:t xml:space="preserve">prokurors J. Baumanis </w:t>
      </w:r>
      <w:r w:rsidRPr="00ED6FB0">
        <w:t xml:space="preserve">iesniedzis kasācijas </w:t>
      </w:r>
      <w:r w:rsidR="00810410">
        <w:t>protestu</w:t>
      </w:r>
      <w:r w:rsidRPr="00ED6FB0">
        <w:t xml:space="preserve">, </w:t>
      </w:r>
      <w:r>
        <w:t>kurā</w:t>
      </w:r>
      <w:r w:rsidRPr="00ED6FB0">
        <w:t xml:space="preserve"> lūdz </w:t>
      </w:r>
      <w:r w:rsidR="00C04D8A">
        <w:t xml:space="preserve">atcelt </w:t>
      </w:r>
      <w:r>
        <w:t xml:space="preserve">apelācijas instances tiesas </w:t>
      </w:r>
      <w:r w:rsidR="00810410">
        <w:t>lēmumu</w:t>
      </w:r>
      <w:r>
        <w:t xml:space="preserve"> un</w:t>
      </w:r>
      <w:r w:rsidR="00810410">
        <w:t xml:space="preserve"> nosūtīt lietu jaunai izskatīšanai apelācijas instances tiesā.</w:t>
      </w:r>
    </w:p>
    <w:p w14:paraId="4F04FE70" w14:textId="77777777" w:rsidR="004B5667" w:rsidRDefault="001A04CD" w:rsidP="004B5667">
      <w:pPr>
        <w:pStyle w:val="NormalWeb"/>
        <w:shd w:val="clear" w:color="auto" w:fill="FFFFFF"/>
        <w:spacing w:line="276" w:lineRule="auto"/>
        <w:ind w:firstLine="720"/>
        <w:contextualSpacing/>
        <w:jc w:val="both"/>
      </w:pPr>
      <w:r>
        <w:t xml:space="preserve">Kasācijas </w:t>
      </w:r>
      <w:r w:rsidR="00810410">
        <w:t>protests</w:t>
      </w:r>
      <w:r>
        <w:t xml:space="preserve"> pamatot</w:t>
      </w:r>
      <w:r w:rsidR="00810410">
        <w:t>s</w:t>
      </w:r>
      <w:r>
        <w:t xml:space="preserve"> ar šādiem argumentiem.</w:t>
      </w:r>
    </w:p>
    <w:p w14:paraId="39198AA4" w14:textId="64E91919" w:rsidR="00C754E6" w:rsidRDefault="00CB746D" w:rsidP="00401811">
      <w:pPr>
        <w:pStyle w:val="NormalWeb"/>
        <w:shd w:val="clear" w:color="auto" w:fill="FFFFFF"/>
        <w:spacing w:line="276" w:lineRule="auto"/>
        <w:ind w:firstLine="720"/>
        <w:contextualSpacing/>
        <w:jc w:val="both"/>
      </w:pPr>
      <w:r>
        <w:t>[4.1]</w:t>
      </w:r>
      <w:r w:rsidR="00C754E6">
        <w:t xml:space="preserve"> </w:t>
      </w:r>
      <w:r w:rsidR="00C754E6" w:rsidRPr="00C754E6">
        <w:t>Apelācijas instances tiesa</w:t>
      </w:r>
      <w:r w:rsidR="00EE538C">
        <w:t>, neizvērtējot</w:t>
      </w:r>
      <w:r w:rsidR="000D5221">
        <w:t xml:space="preserve"> prokurora apelācijas protestā norādītos argumentus par</w:t>
      </w:r>
      <w:r w:rsidR="00EE538C" w:rsidRPr="00C754E6">
        <w:t xml:space="preserve"> </w:t>
      </w:r>
      <w:r w:rsidR="00EE538C">
        <w:t>lietai pievienoto</w:t>
      </w:r>
      <w:r w:rsidR="00EE538C" w:rsidRPr="00C754E6">
        <w:t xml:space="preserve"> pierādījumu – AS</w:t>
      </w:r>
      <w:r w:rsidR="00EE538C">
        <w:t> </w:t>
      </w:r>
      <w:r w:rsidR="00EE538C" w:rsidRPr="00C754E6">
        <w:t>„Rietumu Banka” konta izrakstu</w:t>
      </w:r>
      <w:r w:rsidR="00EE538C">
        <w:t xml:space="preserve"> –</w:t>
      </w:r>
      <w:r w:rsidR="000D5221">
        <w:t xml:space="preserve"> un tajā ietvertās ziņas</w:t>
      </w:r>
      <w:r w:rsidR="00EE538C" w:rsidRPr="00C754E6">
        <w:t xml:space="preserve">, </w:t>
      </w:r>
      <w:r w:rsidR="00EE538C">
        <w:t>nepareizi piemērojusi</w:t>
      </w:r>
      <w:r w:rsidR="006B19CE">
        <w:t xml:space="preserve"> Kriminālprocesa likuma </w:t>
      </w:r>
      <w:r w:rsidR="000D5221">
        <w:t xml:space="preserve">511., 512. panta otro daļu un </w:t>
      </w:r>
      <w:r w:rsidR="006B19CE">
        <w:t xml:space="preserve">564. panta </w:t>
      </w:r>
      <w:r w:rsidR="000D5221">
        <w:t xml:space="preserve">ceturto </w:t>
      </w:r>
      <w:r w:rsidR="006B19CE">
        <w:t>daļu</w:t>
      </w:r>
      <w:r w:rsidR="00C754E6" w:rsidRPr="00C754E6">
        <w:t>,</w:t>
      </w:r>
      <w:r w:rsidR="000D5221">
        <w:t xml:space="preserve"> kas novedis pie nelikumīga nolēmuma.</w:t>
      </w:r>
    </w:p>
    <w:p w14:paraId="4FB8B30C" w14:textId="77777777" w:rsidR="005B0F5B" w:rsidRDefault="003D0F0F" w:rsidP="002C75D2">
      <w:pPr>
        <w:pStyle w:val="NormalWeb"/>
        <w:shd w:val="clear" w:color="auto" w:fill="FFFFFF"/>
        <w:spacing w:line="276" w:lineRule="auto"/>
        <w:ind w:firstLine="720"/>
        <w:contextualSpacing/>
        <w:jc w:val="both"/>
        <w:rPr>
          <w:rFonts w:eastAsiaTheme="majorEastAsia"/>
        </w:rPr>
      </w:pPr>
      <w:r>
        <w:rPr>
          <w:rFonts w:eastAsiaTheme="majorEastAsia"/>
        </w:rPr>
        <w:t>Minētajā</w:t>
      </w:r>
      <w:r w:rsidR="00B75E25">
        <w:rPr>
          <w:rFonts w:eastAsiaTheme="majorEastAsia"/>
        </w:rPr>
        <w:t xml:space="preserve"> bankas konta izrakstā esošā informācija attiecināma uz izskatāmo krimināllietu, jo </w:t>
      </w:r>
      <w:r>
        <w:rPr>
          <w:rFonts w:eastAsiaTheme="majorEastAsia"/>
        </w:rPr>
        <w:t>tā</w:t>
      </w:r>
      <w:r w:rsidR="00B75E25">
        <w:rPr>
          <w:rFonts w:eastAsiaTheme="majorEastAsia"/>
        </w:rPr>
        <w:t xml:space="preserve"> pierāda, </w:t>
      </w:r>
      <w:r w:rsidR="006D57C4">
        <w:rPr>
          <w:rFonts w:eastAsiaTheme="majorEastAsia"/>
        </w:rPr>
        <w:t>ka</w:t>
      </w:r>
      <w:r w:rsidR="006D57C4" w:rsidRPr="00401811">
        <w:rPr>
          <w:rFonts w:eastAsiaTheme="majorEastAsia"/>
        </w:rPr>
        <w:t xml:space="preserve"> </w:t>
      </w:r>
      <w:r w:rsidR="006D57C4">
        <w:rPr>
          <w:rFonts w:eastAsiaTheme="majorEastAsia"/>
        </w:rPr>
        <w:t xml:space="preserve">konts tika atvērts tieši apsūdzībā norādītajam darījumam, </w:t>
      </w:r>
      <w:r w:rsidR="00B75E25">
        <w:rPr>
          <w:rFonts w:eastAsiaTheme="majorEastAsia"/>
        </w:rPr>
        <w:t>proti,</w:t>
      </w:r>
      <w:r w:rsidR="003A5328" w:rsidRPr="003A5328">
        <w:rPr>
          <w:rFonts w:eastAsiaTheme="majorEastAsia"/>
        </w:rPr>
        <w:t xml:space="preserve"> 16</w:t>
      </w:r>
      <w:r w:rsidR="003F58FE">
        <w:rPr>
          <w:rFonts w:eastAsiaTheme="majorEastAsia"/>
        </w:rPr>
        <w:t> </w:t>
      </w:r>
      <w:r w:rsidR="003A5328" w:rsidRPr="003A5328">
        <w:rPr>
          <w:rFonts w:eastAsiaTheme="majorEastAsia"/>
        </w:rPr>
        <w:t>000</w:t>
      </w:r>
      <w:r w:rsidR="003F58FE">
        <w:rPr>
          <w:rFonts w:eastAsiaTheme="majorEastAsia"/>
        </w:rPr>
        <w:t> </w:t>
      </w:r>
      <w:proofErr w:type="spellStart"/>
      <w:r w:rsidR="003A5328" w:rsidRPr="003A5328">
        <w:rPr>
          <w:rFonts w:eastAsiaTheme="majorEastAsia"/>
          <w:i/>
          <w:iCs/>
        </w:rPr>
        <w:t>euro</w:t>
      </w:r>
      <w:proofErr w:type="spellEnd"/>
      <w:r w:rsidR="003A5328" w:rsidRPr="003A5328">
        <w:rPr>
          <w:rFonts w:eastAsiaTheme="majorEastAsia"/>
        </w:rPr>
        <w:t xml:space="preserve"> bija pirmā apsūdzētās kontā ieskaitītā naudas summa, no kuras banka ieturēja </w:t>
      </w:r>
      <w:r>
        <w:rPr>
          <w:rFonts w:eastAsiaTheme="majorEastAsia"/>
        </w:rPr>
        <w:t xml:space="preserve">komisijas </w:t>
      </w:r>
      <w:r w:rsidR="003A5328" w:rsidRPr="003A5328">
        <w:rPr>
          <w:rFonts w:eastAsiaTheme="majorEastAsia"/>
        </w:rPr>
        <w:t>maksu par konta atvēršanu</w:t>
      </w:r>
      <w:r w:rsidR="006D57C4">
        <w:rPr>
          <w:rFonts w:eastAsiaTheme="majorEastAsia"/>
        </w:rPr>
        <w:t>.</w:t>
      </w:r>
      <w:r w:rsidR="002C75D2">
        <w:rPr>
          <w:rFonts w:eastAsiaTheme="majorEastAsia"/>
        </w:rPr>
        <w:t xml:space="preserve"> </w:t>
      </w:r>
    </w:p>
    <w:p w14:paraId="5019D27A" w14:textId="233656E1" w:rsidR="002C75D2" w:rsidRPr="00D429F4" w:rsidRDefault="005B0F5B" w:rsidP="002C75D2">
      <w:pPr>
        <w:pStyle w:val="NormalWeb"/>
        <w:shd w:val="clear" w:color="auto" w:fill="FFFFFF"/>
        <w:spacing w:line="276" w:lineRule="auto"/>
        <w:ind w:firstLine="720"/>
        <w:contextualSpacing/>
        <w:jc w:val="both"/>
        <w:rPr>
          <w:rFonts w:eastAsiaTheme="majorEastAsia"/>
        </w:rPr>
      </w:pPr>
      <w:r>
        <w:rPr>
          <w:rFonts w:eastAsiaTheme="majorEastAsia"/>
        </w:rPr>
        <w:t>T</w:t>
      </w:r>
      <w:r w:rsidR="002C75D2">
        <w:rPr>
          <w:rFonts w:eastAsiaTheme="majorEastAsia"/>
        </w:rPr>
        <w:t xml:space="preserve">iesa nav izvērtējusi apelācijas protestā norādīto, ka konta izrakstā norādītās ziņas apstiprina, ka apsūdzētā </w:t>
      </w:r>
      <w:r w:rsidR="002C75D2" w:rsidRPr="00D429F4">
        <w:rPr>
          <w:rFonts w:eastAsiaTheme="majorEastAsia"/>
        </w:rPr>
        <w:t xml:space="preserve">atvēra bankas kontu, un, izmantojot grāmatvedes palīdzību (pastarpinātā izdarīšana) vai bez tās (tiešā izdarīšana), nodrošināja naudas līdzekļu pārskaitīšanu uz </w:t>
      </w:r>
      <w:r w:rsidR="002C75D2">
        <w:rPr>
          <w:rFonts w:eastAsiaTheme="majorEastAsia"/>
        </w:rPr>
        <w:t>savu kontu</w:t>
      </w:r>
      <w:r w:rsidR="00A27C97">
        <w:rPr>
          <w:rFonts w:eastAsiaTheme="majorEastAsia"/>
        </w:rPr>
        <w:t>, slēpjot to no mantiniekiem</w:t>
      </w:r>
      <w:r w:rsidR="002C75D2" w:rsidRPr="00D429F4">
        <w:rPr>
          <w:rFonts w:eastAsiaTheme="majorEastAsia"/>
        </w:rPr>
        <w:t>.</w:t>
      </w:r>
    </w:p>
    <w:p w14:paraId="73601669" w14:textId="643CA6EC" w:rsidR="004B5667" w:rsidRDefault="006D57C4" w:rsidP="006D57C4">
      <w:pPr>
        <w:pStyle w:val="NormalWeb"/>
        <w:shd w:val="clear" w:color="auto" w:fill="FFFFFF"/>
        <w:spacing w:line="276" w:lineRule="auto"/>
        <w:ind w:firstLine="720"/>
        <w:contextualSpacing/>
        <w:jc w:val="both"/>
        <w:rPr>
          <w:rFonts w:eastAsiaTheme="majorEastAsia"/>
        </w:rPr>
      </w:pPr>
      <w:r>
        <w:rPr>
          <w:rFonts w:eastAsiaTheme="majorEastAsia"/>
        </w:rPr>
        <w:t xml:space="preserve"> </w:t>
      </w:r>
      <w:r w:rsidR="003D0F0F">
        <w:rPr>
          <w:rFonts w:eastAsiaTheme="majorEastAsia"/>
        </w:rPr>
        <w:t>G</w:t>
      </w:r>
      <w:r w:rsidR="003A5328" w:rsidRPr="003A5328">
        <w:rPr>
          <w:rFonts w:eastAsiaTheme="majorEastAsia"/>
        </w:rPr>
        <w:t xml:space="preserve">rāmatvedei </w:t>
      </w:r>
      <w:r w:rsidR="00F062EF">
        <w:rPr>
          <w:rFonts w:eastAsiaTheme="majorEastAsia"/>
        </w:rPr>
        <w:t>[pers. E]</w:t>
      </w:r>
      <w:r w:rsidR="003A5328" w:rsidRPr="003A5328">
        <w:rPr>
          <w:rFonts w:eastAsiaTheme="majorEastAsia"/>
        </w:rPr>
        <w:t xml:space="preserve"> nevarēja būt zināms</w:t>
      </w:r>
      <w:r w:rsidR="005B0F5B">
        <w:rPr>
          <w:rFonts w:eastAsiaTheme="majorEastAsia"/>
        </w:rPr>
        <w:t xml:space="preserve"> šī</w:t>
      </w:r>
      <w:r w:rsidR="00183D20">
        <w:rPr>
          <w:rFonts w:eastAsiaTheme="majorEastAsia"/>
        </w:rPr>
        <w:t xml:space="preserve"> </w:t>
      </w:r>
      <w:proofErr w:type="spellStart"/>
      <w:r w:rsidR="00183D20">
        <w:rPr>
          <w:rFonts w:eastAsiaTheme="majorEastAsia"/>
        </w:rPr>
        <w:t>jaunizveidotā</w:t>
      </w:r>
      <w:proofErr w:type="spellEnd"/>
      <w:r w:rsidR="00183D20">
        <w:rPr>
          <w:rFonts w:eastAsiaTheme="majorEastAsia"/>
        </w:rPr>
        <w:t xml:space="preserve"> </w:t>
      </w:r>
      <w:r w:rsidR="003A5328" w:rsidRPr="003A5328">
        <w:rPr>
          <w:rFonts w:eastAsiaTheme="majorEastAsia"/>
        </w:rPr>
        <w:t>konta numurs</w:t>
      </w:r>
      <w:r>
        <w:rPr>
          <w:rFonts w:eastAsiaTheme="majorEastAsia"/>
        </w:rPr>
        <w:t>,</w:t>
      </w:r>
      <w:r w:rsidR="003A5328" w:rsidRPr="003A5328">
        <w:rPr>
          <w:rFonts w:eastAsiaTheme="majorEastAsia"/>
        </w:rPr>
        <w:t xml:space="preserve"> un viņa nevarēja bez apsūdzētās </w:t>
      </w:r>
      <w:r w:rsidR="00117112">
        <w:rPr>
          <w:rFonts w:eastAsiaTheme="majorEastAsia"/>
        </w:rPr>
        <w:t>[pers. A]</w:t>
      </w:r>
      <w:r w:rsidR="00401811">
        <w:rPr>
          <w:rFonts w:eastAsiaTheme="majorEastAsia"/>
        </w:rPr>
        <w:t xml:space="preserve"> </w:t>
      </w:r>
      <w:r w:rsidR="003A5328" w:rsidRPr="003A5328">
        <w:rPr>
          <w:rFonts w:eastAsiaTheme="majorEastAsia"/>
        </w:rPr>
        <w:t>ziņas veikt attiecīgo pārskaitījumu</w:t>
      </w:r>
      <w:r>
        <w:rPr>
          <w:rFonts w:eastAsiaTheme="majorEastAsia"/>
        </w:rPr>
        <w:t xml:space="preserve">, </w:t>
      </w:r>
      <w:r w:rsidR="005B0F5B">
        <w:rPr>
          <w:rFonts w:eastAsiaTheme="majorEastAsia"/>
        </w:rPr>
        <w:t>līdz ar to</w:t>
      </w:r>
      <w:r w:rsidR="00183D20">
        <w:rPr>
          <w:rFonts w:eastAsiaTheme="majorEastAsia"/>
        </w:rPr>
        <w:t xml:space="preserve"> </w:t>
      </w:r>
      <w:r>
        <w:rPr>
          <w:rFonts w:eastAsiaTheme="majorEastAsia"/>
        </w:rPr>
        <w:t>apsūdzētās</w:t>
      </w:r>
      <w:r w:rsidR="00882D16">
        <w:rPr>
          <w:rFonts w:eastAsiaTheme="majorEastAsia"/>
        </w:rPr>
        <w:t xml:space="preserve"> </w:t>
      </w:r>
      <w:r>
        <w:rPr>
          <w:rFonts w:eastAsiaTheme="majorEastAsia"/>
        </w:rPr>
        <w:t xml:space="preserve">liecības, ka viņa </w:t>
      </w:r>
      <w:r w:rsidR="004B5667" w:rsidRPr="006B5DDD">
        <w:rPr>
          <w:rFonts w:eastAsiaTheme="majorEastAsia"/>
        </w:rPr>
        <w:t xml:space="preserve">nav devusi </w:t>
      </w:r>
      <w:r w:rsidR="005B0F5B">
        <w:rPr>
          <w:rFonts w:eastAsiaTheme="majorEastAsia"/>
        </w:rPr>
        <w:t xml:space="preserve">grāmatvedei </w:t>
      </w:r>
      <w:r w:rsidR="004B5667" w:rsidRPr="006B5DDD">
        <w:rPr>
          <w:rFonts w:eastAsiaTheme="majorEastAsia"/>
        </w:rPr>
        <w:t>norādījumus, uz kuru bankas kontu pārskaitīt naudu,</w:t>
      </w:r>
      <w:r w:rsidR="003D0F0F">
        <w:rPr>
          <w:rFonts w:eastAsiaTheme="majorEastAsia"/>
        </w:rPr>
        <w:t xml:space="preserve"> </w:t>
      </w:r>
      <w:r w:rsidR="004B5667" w:rsidRPr="006B5DDD">
        <w:rPr>
          <w:rFonts w:eastAsiaTheme="majorEastAsia"/>
        </w:rPr>
        <w:t>neatbilst faktiskajiem apstākļiem.</w:t>
      </w:r>
    </w:p>
    <w:p w14:paraId="0C3BE2A0" w14:textId="1014FA7C" w:rsidR="003A5328" w:rsidRDefault="00EE538C" w:rsidP="00F062EF">
      <w:pPr>
        <w:pStyle w:val="NormalWeb"/>
        <w:shd w:val="clear" w:color="auto" w:fill="FFFFFF"/>
        <w:spacing w:line="276" w:lineRule="auto"/>
        <w:ind w:firstLine="720"/>
        <w:contextualSpacing/>
        <w:jc w:val="both"/>
        <w:rPr>
          <w:rFonts w:eastAsiaTheme="majorEastAsia"/>
        </w:rPr>
      </w:pPr>
      <w:r>
        <w:rPr>
          <w:rFonts w:eastAsiaTheme="majorEastAsia"/>
        </w:rPr>
        <w:t>Turklāt, atzīstot par ticamu apsūdzētās liecināto, ka 16 000 </w:t>
      </w:r>
      <w:proofErr w:type="spellStart"/>
      <w:r w:rsidRPr="00401811">
        <w:rPr>
          <w:rFonts w:eastAsiaTheme="majorEastAsia"/>
          <w:i/>
          <w:iCs/>
        </w:rPr>
        <w:t>euro</w:t>
      </w:r>
      <w:proofErr w:type="spellEnd"/>
      <w:r>
        <w:rPr>
          <w:rFonts w:eastAsiaTheme="majorEastAsia"/>
        </w:rPr>
        <w:t xml:space="preserve"> </w:t>
      </w:r>
      <w:r w:rsidR="005B0F5B">
        <w:rPr>
          <w:rFonts w:eastAsiaTheme="majorEastAsia"/>
        </w:rPr>
        <w:t xml:space="preserve">uz viņas bankas kontu </w:t>
      </w:r>
      <w:r>
        <w:rPr>
          <w:rFonts w:eastAsiaTheme="majorEastAsia"/>
        </w:rPr>
        <w:t xml:space="preserve">pārskaitīja </w:t>
      </w:r>
      <w:r w:rsidR="00F062EF">
        <w:rPr>
          <w:rFonts w:eastAsiaTheme="majorEastAsia"/>
        </w:rPr>
        <w:t>[pers. E]</w:t>
      </w:r>
      <w:r>
        <w:rPr>
          <w:rFonts w:eastAsiaTheme="majorEastAsia"/>
        </w:rPr>
        <w:t>,</w:t>
      </w:r>
      <w:r w:rsidRPr="001D3F78">
        <w:rPr>
          <w:rFonts w:eastAsiaTheme="majorEastAsia"/>
        </w:rPr>
        <w:t xml:space="preserve"> </w:t>
      </w:r>
      <w:r w:rsidR="001D3F78" w:rsidRPr="001D3F78">
        <w:rPr>
          <w:rFonts w:eastAsiaTheme="majorEastAsia"/>
        </w:rPr>
        <w:t>tiesa n</w:t>
      </w:r>
      <w:r w:rsidR="004C7271">
        <w:rPr>
          <w:rFonts w:eastAsiaTheme="majorEastAsia"/>
        </w:rPr>
        <w:t xml:space="preserve">av </w:t>
      </w:r>
      <w:r w:rsidR="00BC748E">
        <w:rPr>
          <w:rFonts w:eastAsiaTheme="majorEastAsia"/>
        </w:rPr>
        <w:t>norādījusi</w:t>
      </w:r>
      <w:r w:rsidR="001D3F78" w:rsidRPr="001D3F78">
        <w:rPr>
          <w:rFonts w:eastAsiaTheme="majorEastAsia"/>
        </w:rPr>
        <w:t>, kā trešās personas, t</w:t>
      </w:r>
      <w:r w:rsidR="003A5328">
        <w:rPr>
          <w:rFonts w:eastAsiaTheme="majorEastAsia"/>
        </w:rPr>
        <w:t>ajā skaitā</w:t>
      </w:r>
      <w:r w:rsidR="001D3F78" w:rsidRPr="001D3F78">
        <w:rPr>
          <w:rFonts w:eastAsiaTheme="majorEastAsia"/>
        </w:rPr>
        <w:t xml:space="preserve"> grāmatvede, varēja iegūt informāciju par jauno bankas kontu, uz kuru</w:t>
      </w:r>
      <w:r w:rsidR="004C7271">
        <w:rPr>
          <w:rFonts w:eastAsiaTheme="majorEastAsia"/>
        </w:rPr>
        <w:t xml:space="preserve"> </w:t>
      </w:r>
      <w:r w:rsidR="001D3F78" w:rsidRPr="001D3F78">
        <w:rPr>
          <w:rFonts w:eastAsiaTheme="majorEastAsia"/>
        </w:rPr>
        <w:t>pārskaitīta nauda.</w:t>
      </w:r>
      <w:r w:rsidR="001D3F78">
        <w:rPr>
          <w:rFonts w:eastAsiaTheme="majorEastAsia"/>
        </w:rPr>
        <w:t xml:space="preserve"> </w:t>
      </w:r>
      <w:r w:rsidR="007C5010">
        <w:rPr>
          <w:rFonts w:eastAsiaTheme="majorEastAsia"/>
        </w:rPr>
        <w:t>Tiesa f</w:t>
      </w:r>
      <w:r w:rsidR="001D3F78" w:rsidRPr="001D3F78">
        <w:rPr>
          <w:rFonts w:eastAsiaTheme="majorEastAsia"/>
        </w:rPr>
        <w:t>aktiski</w:t>
      </w:r>
      <w:r w:rsidR="007C5010">
        <w:rPr>
          <w:rFonts w:eastAsiaTheme="majorEastAsia"/>
        </w:rPr>
        <w:t xml:space="preserve"> ir</w:t>
      </w:r>
      <w:r w:rsidR="001D3F78" w:rsidRPr="001D3F78">
        <w:rPr>
          <w:rFonts w:eastAsiaTheme="majorEastAsia"/>
        </w:rPr>
        <w:t xml:space="preserve"> pieņēmusi, ka grāmatvede </w:t>
      </w:r>
      <w:r w:rsidR="00215457">
        <w:rPr>
          <w:rFonts w:eastAsiaTheme="majorEastAsia"/>
        </w:rPr>
        <w:t xml:space="preserve">ir </w:t>
      </w:r>
      <w:r w:rsidR="001D3F78" w:rsidRPr="001D3F78">
        <w:rPr>
          <w:rFonts w:eastAsiaTheme="majorEastAsia"/>
        </w:rPr>
        <w:t xml:space="preserve">uzminējusi konta numuru vai pati </w:t>
      </w:r>
      <w:r w:rsidR="007C5010">
        <w:rPr>
          <w:rFonts w:eastAsiaTheme="majorEastAsia"/>
        </w:rPr>
        <w:t xml:space="preserve">to </w:t>
      </w:r>
      <w:r w:rsidR="001D3F78" w:rsidRPr="001D3F78">
        <w:rPr>
          <w:rFonts w:eastAsiaTheme="majorEastAsia"/>
        </w:rPr>
        <w:t xml:space="preserve">atvērusi, </w:t>
      </w:r>
      <w:r w:rsidR="007C5010">
        <w:rPr>
          <w:rFonts w:eastAsiaTheme="majorEastAsia"/>
        </w:rPr>
        <w:t>taču tas</w:t>
      </w:r>
      <w:r w:rsidR="001D3F78" w:rsidRPr="001D3F78">
        <w:rPr>
          <w:rFonts w:eastAsiaTheme="majorEastAsia"/>
        </w:rPr>
        <w:t xml:space="preserve"> nav ticam</w:t>
      </w:r>
      <w:r w:rsidR="00683B04">
        <w:rPr>
          <w:rFonts w:eastAsiaTheme="majorEastAsia"/>
        </w:rPr>
        <w:t>i</w:t>
      </w:r>
      <w:r w:rsidR="001D3F78" w:rsidRPr="001D3F78">
        <w:rPr>
          <w:rFonts w:eastAsiaTheme="majorEastAsia"/>
        </w:rPr>
        <w:t>.</w:t>
      </w:r>
    </w:p>
    <w:p w14:paraId="7DD6CA8A" w14:textId="5D74BC02" w:rsidR="00D17EF2" w:rsidRDefault="00E5395A" w:rsidP="00D17EF2">
      <w:pPr>
        <w:pStyle w:val="NormalWeb"/>
        <w:shd w:val="clear" w:color="auto" w:fill="FFFFFF"/>
        <w:spacing w:line="276" w:lineRule="auto"/>
        <w:ind w:firstLine="720"/>
        <w:contextualSpacing/>
        <w:jc w:val="both"/>
        <w:rPr>
          <w:rFonts w:eastAsiaTheme="majorEastAsia"/>
        </w:rPr>
      </w:pPr>
      <w:r>
        <w:rPr>
          <w:rFonts w:eastAsiaTheme="majorEastAsia"/>
        </w:rPr>
        <w:t>[4.2]</w:t>
      </w:r>
      <w:r w:rsidR="00D17EF2">
        <w:rPr>
          <w:rFonts w:eastAsiaTheme="majorEastAsia"/>
        </w:rPr>
        <w:t xml:space="preserve"> </w:t>
      </w:r>
      <w:r w:rsidR="00894EC6">
        <w:rPr>
          <w:rFonts w:eastAsiaTheme="majorEastAsia"/>
        </w:rPr>
        <w:t>Apelācijas instances tiesa</w:t>
      </w:r>
      <w:r w:rsidR="00A450D5" w:rsidRPr="00A450D5">
        <w:rPr>
          <w:rFonts w:eastAsiaTheme="majorEastAsia"/>
        </w:rPr>
        <w:t xml:space="preserve">, neraugoties uz to, ka apsūdzētā liecības sniegusi vairākkārt un tās savstarpēji būtiski atšķiras, nolēmumā </w:t>
      </w:r>
      <w:r w:rsidR="00A450D5">
        <w:rPr>
          <w:rFonts w:eastAsiaTheme="majorEastAsia"/>
        </w:rPr>
        <w:t>izklāstījusi</w:t>
      </w:r>
      <w:r w:rsidR="00A450D5" w:rsidRPr="00A450D5">
        <w:rPr>
          <w:rFonts w:eastAsiaTheme="majorEastAsia"/>
        </w:rPr>
        <w:t xml:space="preserve"> tikai vien</w:t>
      </w:r>
      <w:r w:rsidR="005B0F5B">
        <w:rPr>
          <w:rFonts w:eastAsiaTheme="majorEastAsia"/>
        </w:rPr>
        <w:t>as</w:t>
      </w:r>
      <w:r w:rsidR="00A450D5" w:rsidRPr="00A450D5">
        <w:rPr>
          <w:rFonts w:eastAsiaTheme="majorEastAsia"/>
        </w:rPr>
        <w:t xml:space="preserve"> no</w:t>
      </w:r>
      <w:r w:rsidR="005B0F5B">
        <w:rPr>
          <w:rFonts w:eastAsiaTheme="majorEastAsia"/>
        </w:rPr>
        <w:t xml:space="preserve"> tām</w:t>
      </w:r>
      <w:r w:rsidR="00A450D5" w:rsidRPr="00A450D5">
        <w:rPr>
          <w:rFonts w:eastAsiaTheme="majorEastAsia"/>
        </w:rPr>
        <w:t>.</w:t>
      </w:r>
    </w:p>
    <w:p w14:paraId="3BD9A738" w14:textId="0FDA2876" w:rsidR="00A450D5" w:rsidRDefault="00A450D5" w:rsidP="00D17EF2">
      <w:pPr>
        <w:pStyle w:val="NormalWeb"/>
        <w:shd w:val="clear" w:color="auto" w:fill="FFFFFF"/>
        <w:spacing w:line="276" w:lineRule="auto"/>
        <w:ind w:firstLine="720"/>
        <w:contextualSpacing/>
        <w:jc w:val="both"/>
        <w:rPr>
          <w:rFonts w:eastAsiaTheme="majorEastAsia"/>
        </w:rPr>
      </w:pPr>
      <w:r w:rsidRPr="00A450D5">
        <w:rPr>
          <w:rFonts w:eastAsiaTheme="majorEastAsia"/>
        </w:rPr>
        <w:t xml:space="preserve">Neizvērtējot </w:t>
      </w:r>
      <w:r w:rsidR="00D17EF2">
        <w:rPr>
          <w:rFonts w:eastAsiaTheme="majorEastAsia"/>
        </w:rPr>
        <w:t xml:space="preserve">šīs </w:t>
      </w:r>
      <w:r w:rsidRPr="00A450D5">
        <w:rPr>
          <w:rFonts w:eastAsiaTheme="majorEastAsia"/>
        </w:rPr>
        <w:t>liecības kopumā, kā arī to atbilstību citiem lietā esošajiem pierādījumiem, tai skaitā bankas konta izrakstos norādītajām ziņām, tiesa nepamatoti piešķīrusi ticamību apsūdzētās apgalvojumam, ka pārskaitījumu uz viņas bankas kontu pēc savas iniciatīvas</w:t>
      </w:r>
      <w:r w:rsidR="00D17EF2">
        <w:rPr>
          <w:rFonts w:eastAsiaTheme="majorEastAsia"/>
        </w:rPr>
        <w:t xml:space="preserve">, bez apsūdzētās </w:t>
      </w:r>
      <w:r w:rsidR="00117112">
        <w:rPr>
          <w:rFonts w:eastAsiaTheme="majorEastAsia"/>
        </w:rPr>
        <w:t>[pers. A]</w:t>
      </w:r>
      <w:r w:rsidR="007E2DA0">
        <w:rPr>
          <w:rFonts w:eastAsiaTheme="majorEastAsia"/>
        </w:rPr>
        <w:t xml:space="preserve"> </w:t>
      </w:r>
      <w:r w:rsidR="00D17EF2">
        <w:rPr>
          <w:rFonts w:eastAsiaTheme="majorEastAsia"/>
        </w:rPr>
        <w:t>iesaistes,</w:t>
      </w:r>
      <w:r w:rsidRPr="00A450D5">
        <w:rPr>
          <w:rFonts w:eastAsiaTheme="majorEastAsia"/>
        </w:rPr>
        <w:t xml:space="preserve"> veikusi grāmatvede. </w:t>
      </w:r>
      <w:r>
        <w:rPr>
          <w:rFonts w:eastAsiaTheme="majorEastAsia"/>
        </w:rPr>
        <w:t xml:space="preserve">Tādējādi tiesa </w:t>
      </w:r>
      <w:r w:rsidRPr="00C7271F">
        <w:rPr>
          <w:rFonts w:eastAsiaTheme="majorEastAsia"/>
        </w:rPr>
        <w:t>pārkāp</w:t>
      </w:r>
      <w:r>
        <w:rPr>
          <w:rFonts w:eastAsiaTheme="majorEastAsia"/>
        </w:rPr>
        <w:t>usi</w:t>
      </w:r>
      <w:r w:rsidRPr="00C7271F">
        <w:rPr>
          <w:rFonts w:eastAsiaTheme="majorEastAsia"/>
        </w:rPr>
        <w:t xml:space="preserve"> Kriminālprocesa likuma 128.</w:t>
      </w:r>
      <w:r>
        <w:rPr>
          <w:rFonts w:eastAsiaTheme="majorEastAsia"/>
        </w:rPr>
        <w:t> </w:t>
      </w:r>
      <w:r w:rsidRPr="00C7271F">
        <w:rPr>
          <w:rFonts w:eastAsiaTheme="majorEastAsia"/>
        </w:rPr>
        <w:t>panta otro daļu.</w:t>
      </w:r>
    </w:p>
    <w:p w14:paraId="26DDA84C" w14:textId="2CB62367" w:rsidR="00F879F8" w:rsidRDefault="00F879F8" w:rsidP="00894EC6">
      <w:pPr>
        <w:pStyle w:val="NormalWeb"/>
        <w:shd w:val="clear" w:color="auto" w:fill="FFFFFF"/>
        <w:spacing w:line="276" w:lineRule="auto"/>
        <w:ind w:firstLine="720"/>
        <w:contextualSpacing/>
        <w:jc w:val="both"/>
        <w:rPr>
          <w:rFonts w:eastAsiaTheme="majorEastAsia"/>
        </w:rPr>
      </w:pPr>
      <w:r w:rsidRPr="00534149">
        <w:rPr>
          <w:rFonts w:eastAsiaTheme="majorEastAsia"/>
        </w:rPr>
        <w:t>[4.</w:t>
      </w:r>
      <w:r>
        <w:rPr>
          <w:rFonts w:eastAsiaTheme="majorEastAsia"/>
        </w:rPr>
        <w:t>3</w:t>
      </w:r>
      <w:r w:rsidRPr="00534149">
        <w:rPr>
          <w:rFonts w:eastAsiaTheme="majorEastAsia"/>
        </w:rPr>
        <w:t>] Apelācijas instances tiesa</w:t>
      </w:r>
      <w:r>
        <w:rPr>
          <w:rFonts w:eastAsiaTheme="majorEastAsia"/>
        </w:rPr>
        <w:t xml:space="preserve">s atzinums, ka naudu </w:t>
      </w:r>
      <w:r w:rsidRPr="009B7F1D">
        <w:rPr>
          <w:rFonts w:eastAsiaTheme="majorEastAsia"/>
        </w:rPr>
        <w:t>nav pārskaitījusi apsūdzētā, bet gan grāmatvede</w:t>
      </w:r>
      <w:r>
        <w:rPr>
          <w:rFonts w:eastAsiaTheme="majorEastAsia"/>
        </w:rPr>
        <w:t xml:space="preserve">, ir pretrunā pirmās instances tiesas konstatētajam </w:t>
      </w:r>
      <w:r w:rsidRPr="00F879F8">
        <w:rPr>
          <w:rFonts w:eastAsiaTheme="majorEastAsia"/>
        </w:rPr>
        <w:t>Kriminālprocesa likuma 519.</w:t>
      </w:r>
      <w:r>
        <w:rPr>
          <w:rFonts w:eastAsiaTheme="majorEastAsia"/>
        </w:rPr>
        <w:t> </w:t>
      </w:r>
      <w:r w:rsidRPr="00F879F8">
        <w:rPr>
          <w:rFonts w:eastAsiaTheme="majorEastAsia"/>
        </w:rPr>
        <w:t>panta 1.</w:t>
      </w:r>
      <w:r>
        <w:rPr>
          <w:rFonts w:eastAsiaTheme="majorEastAsia"/>
        </w:rPr>
        <w:t> </w:t>
      </w:r>
      <w:r w:rsidRPr="00F879F8">
        <w:rPr>
          <w:rFonts w:eastAsiaTheme="majorEastAsia"/>
        </w:rPr>
        <w:t>punktā paredzēt</w:t>
      </w:r>
      <w:r>
        <w:rPr>
          <w:rFonts w:eastAsiaTheme="majorEastAsia"/>
        </w:rPr>
        <w:t>ajam attaisnojoša sprieduma taisīšanas</w:t>
      </w:r>
      <w:r w:rsidRPr="00F879F8">
        <w:rPr>
          <w:rFonts w:eastAsiaTheme="majorEastAsia"/>
        </w:rPr>
        <w:t xml:space="preserve"> pama</w:t>
      </w:r>
      <w:r>
        <w:rPr>
          <w:rFonts w:eastAsiaTheme="majorEastAsia"/>
        </w:rPr>
        <w:t>tam.</w:t>
      </w:r>
      <w:r w:rsidR="00894EC6">
        <w:rPr>
          <w:rFonts w:eastAsiaTheme="majorEastAsia"/>
        </w:rPr>
        <w:t xml:space="preserve"> Proti, t</w:t>
      </w:r>
      <w:r>
        <w:rPr>
          <w:rFonts w:eastAsiaTheme="majorEastAsia"/>
        </w:rPr>
        <w:t>iesai</w:t>
      </w:r>
      <w:r w:rsidRPr="00534149">
        <w:rPr>
          <w:rFonts w:eastAsiaTheme="majorEastAsia"/>
        </w:rPr>
        <w:t xml:space="preserve"> bija jāsecina, ka noziedzīgs nodarījums ir izdarīts, taču apsūdzētās </w:t>
      </w:r>
      <w:r>
        <w:rPr>
          <w:rFonts w:eastAsiaTheme="majorEastAsia"/>
        </w:rPr>
        <w:t>piedalīšanās noziedzīgā nodarījumā</w:t>
      </w:r>
      <w:r w:rsidRPr="00534149">
        <w:rPr>
          <w:rFonts w:eastAsiaTheme="majorEastAsia"/>
        </w:rPr>
        <w:t xml:space="preserve"> nav pierādīta.</w:t>
      </w:r>
      <w:r>
        <w:rPr>
          <w:rFonts w:eastAsiaTheme="majorEastAsia"/>
        </w:rPr>
        <w:t xml:space="preserve"> Tādējādi apelācijas instances tiesa nepareizi piemērojusi Kriminālprocesa likuma 519. pantu.</w:t>
      </w:r>
    </w:p>
    <w:p w14:paraId="3DEE63EE" w14:textId="680B5060" w:rsidR="00683B04" w:rsidRDefault="00E5395A" w:rsidP="00683B04">
      <w:pPr>
        <w:pStyle w:val="NormalWeb"/>
        <w:shd w:val="clear" w:color="auto" w:fill="FFFFFF"/>
        <w:spacing w:line="276" w:lineRule="auto"/>
        <w:ind w:firstLine="720"/>
        <w:contextualSpacing/>
        <w:jc w:val="both"/>
        <w:rPr>
          <w:rFonts w:eastAsiaTheme="majorEastAsia"/>
        </w:rPr>
      </w:pPr>
      <w:r>
        <w:rPr>
          <w:rFonts w:eastAsiaTheme="majorEastAsia"/>
        </w:rPr>
        <w:lastRenderedPageBreak/>
        <w:t>[4.</w:t>
      </w:r>
      <w:r w:rsidR="00F879F8">
        <w:rPr>
          <w:rFonts w:eastAsiaTheme="majorEastAsia"/>
        </w:rPr>
        <w:t>4</w:t>
      </w:r>
      <w:r>
        <w:rPr>
          <w:rFonts w:eastAsiaTheme="majorEastAsia"/>
        </w:rPr>
        <w:t>]</w:t>
      </w:r>
      <w:r w:rsidR="00FA4425">
        <w:rPr>
          <w:rFonts w:eastAsiaTheme="majorEastAsia"/>
        </w:rPr>
        <w:t xml:space="preserve"> </w:t>
      </w:r>
      <w:r w:rsidR="00683B04" w:rsidRPr="00683B04">
        <w:rPr>
          <w:rFonts w:eastAsiaTheme="majorEastAsia"/>
        </w:rPr>
        <w:t xml:space="preserve">Apelācijas instances tiesa kļūdaini atzinusi, ka nav </w:t>
      </w:r>
      <w:r w:rsidR="00215FE5" w:rsidRPr="00683B04">
        <w:rPr>
          <w:rFonts w:eastAsiaTheme="majorEastAsia"/>
        </w:rPr>
        <w:t xml:space="preserve">nozīmes </w:t>
      </w:r>
      <w:r w:rsidR="00683B04" w:rsidRPr="00683B04">
        <w:rPr>
          <w:rFonts w:eastAsiaTheme="majorEastAsia"/>
        </w:rPr>
        <w:t>tam, vai sveša maksāšanas līdzekļa nelikumīga izmantošana ir formāla vai materiāla sastāva noziedzīgs nodarījums.</w:t>
      </w:r>
    </w:p>
    <w:p w14:paraId="0D8202AF" w14:textId="6278EC53" w:rsidR="00A33696" w:rsidRPr="00534149" w:rsidRDefault="009B7F1D" w:rsidP="006C4DE8">
      <w:pPr>
        <w:pStyle w:val="NormalWeb"/>
        <w:shd w:val="clear" w:color="auto" w:fill="FFFFFF"/>
        <w:spacing w:line="276" w:lineRule="auto"/>
        <w:ind w:firstLine="720"/>
        <w:contextualSpacing/>
        <w:jc w:val="both"/>
        <w:rPr>
          <w:rFonts w:eastAsiaTheme="majorEastAsia"/>
        </w:rPr>
      </w:pPr>
      <w:r w:rsidRPr="00683B04">
        <w:rPr>
          <w:rFonts w:eastAsiaTheme="majorEastAsia"/>
        </w:rPr>
        <w:t>Krimināllikuma 193.</w:t>
      </w:r>
      <w:r>
        <w:rPr>
          <w:rFonts w:eastAsiaTheme="majorEastAsia"/>
        </w:rPr>
        <w:t> </w:t>
      </w:r>
      <w:r w:rsidRPr="00683B04">
        <w:rPr>
          <w:rFonts w:eastAsiaTheme="majorEastAsia"/>
        </w:rPr>
        <w:t>panta ceturtajā daļā paredzētais noziedzīgais nodarījums ir formāla sastāva</w:t>
      </w:r>
      <w:r w:rsidR="00683B04" w:rsidRPr="00683B04">
        <w:rPr>
          <w:rFonts w:eastAsiaTheme="majorEastAsia"/>
        </w:rPr>
        <w:t>.</w:t>
      </w:r>
    </w:p>
    <w:p w14:paraId="44C8F14A" w14:textId="3F4F004C" w:rsidR="00534149" w:rsidRDefault="009D4FF7" w:rsidP="00534149">
      <w:pPr>
        <w:widowControl w:val="0"/>
        <w:spacing w:line="276" w:lineRule="auto"/>
        <w:ind w:firstLine="720"/>
        <w:jc w:val="both"/>
        <w:rPr>
          <w:rFonts w:asciiTheme="majorBidi" w:hAnsiTheme="majorBidi" w:cstheme="majorBidi"/>
        </w:rPr>
      </w:pPr>
      <w:r>
        <w:rPr>
          <w:rFonts w:asciiTheme="majorBidi" w:hAnsiTheme="majorBidi" w:cstheme="majorBidi"/>
        </w:rPr>
        <w:t>[5]</w:t>
      </w:r>
      <w:r w:rsidR="00534149">
        <w:rPr>
          <w:rFonts w:asciiTheme="majorBidi" w:hAnsiTheme="majorBidi" w:cstheme="majorBidi"/>
        </w:rPr>
        <w:t xml:space="preserve"> </w:t>
      </w:r>
      <w:r w:rsidR="00534149" w:rsidRPr="00534149">
        <w:rPr>
          <w:rFonts w:asciiTheme="majorBidi" w:hAnsiTheme="majorBidi" w:cstheme="majorBidi"/>
        </w:rPr>
        <w:t xml:space="preserve">Par prokurora kasācijas protestu rakstveida iebildumus iesniegusi apsūdzētās </w:t>
      </w:r>
      <w:r w:rsidR="00117112">
        <w:rPr>
          <w:rFonts w:eastAsiaTheme="majorEastAsia"/>
        </w:rPr>
        <w:t>[pers. A]</w:t>
      </w:r>
      <w:r w:rsidR="00CA7928">
        <w:rPr>
          <w:rFonts w:eastAsiaTheme="majorEastAsia"/>
        </w:rPr>
        <w:t xml:space="preserve"> </w:t>
      </w:r>
      <w:r w:rsidR="00534149" w:rsidRPr="00534149">
        <w:rPr>
          <w:rFonts w:asciiTheme="majorBidi" w:hAnsiTheme="majorBidi" w:cstheme="majorBidi"/>
        </w:rPr>
        <w:t xml:space="preserve">aizstāve zvērināta advokāte Alla </w:t>
      </w:r>
      <w:proofErr w:type="spellStart"/>
      <w:r w:rsidR="00534149" w:rsidRPr="00534149">
        <w:rPr>
          <w:rFonts w:asciiTheme="majorBidi" w:hAnsiTheme="majorBidi" w:cstheme="majorBidi"/>
        </w:rPr>
        <w:t>Barbaša</w:t>
      </w:r>
      <w:proofErr w:type="spellEnd"/>
      <w:r w:rsidR="00534149" w:rsidRPr="00534149">
        <w:rPr>
          <w:rFonts w:asciiTheme="majorBidi" w:hAnsiTheme="majorBidi" w:cstheme="majorBidi"/>
        </w:rPr>
        <w:t>, lūdzot</w:t>
      </w:r>
      <w:r w:rsidR="009E14DD">
        <w:rPr>
          <w:rFonts w:asciiTheme="majorBidi" w:hAnsiTheme="majorBidi" w:cstheme="majorBidi"/>
        </w:rPr>
        <w:t xml:space="preserve"> </w:t>
      </w:r>
      <w:r w:rsidR="00534149" w:rsidRPr="00534149">
        <w:rPr>
          <w:rFonts w:asciiTheme="majorBidi" w:hAnsiTheme="majorBidi" w:cstheme="majorBidi"/>
        </w:rPr>
        <w:t>kasācijas protestu noraidīt</w:t>
      </w:r>
      <w:r w:rsidR="00534149">
        <w:rPr>
          <w:rFonts w:asciiTheme="majorBidi" w:hAnsiTheme="majorBidi" w:cstheme="majorBidi"/>
        </w:rPr>
        <w:t>.</w:t>
      </w:r>
    </w:p>
    <w:p w14:paraId="014E801B" w14:textId="77777777" w:rsidR="00881FD9" w:rsidRPr="00011547" w:rsidRDefault="00881FD9" w:rsidP="00881FD9">
      <w:pPr>
        <w:shd w:val="clear" w:color="auto" w:fill="FFFFFF"/>
        <w:spacing w:before="360" w:after="360" w:line="276" w:lineRule="auto"/>
        <w:jc w:val="center"/>
      </w:pPr>
      <w:r w:rsidRPr="00011547">
        <w:rPr>
          <w:b/>
        </w:rPr>
        <w:t>Motīvu daļa</w:t>
      </w:r>
    </w:p>
    <w:p w14:paraId="13567827" w14:textId="0D816961" w:rsidR="00A1669F" w:rsidRDefault="00A1669F" w:rsidP="00A1669F">
      <w:pPr>
        <w:widowControl w:val="0"/>
        <w:shd w:val="clear" w:color="auto" w:fill="FFFFFF"/>
        <w:spacing w:line="276" w:lineRule="auto"/>
        <w:ind w:firstLine="720"/>
        <w:jc w:val="both"/>
        <w:rPr>
          <w:rFonts w:asciiTheme="majorBidi" w:hAnsiTheme="majorBidi" w:cstheme="majorBidi"/>
        </w:rPr>
      </w:pPr>
      <w:r>
        <w:t>[</w:t>
      </w:r>
      <w:r w:rsidR="009D4FF7">
        <w:t>6</w:t>
      </w:r>
      <w:r>
        <w:t xml:space="preserve">] </w:t>
      </w:r>
      <w:r w:rsidRPr="00534149">
        <w:rPr>
          <w:rFonts w:asciiTheme="majorBidi" w:hAnsiTheme="majorBidi" w:cstheme="majorBidi"/>
        </w:rPr>
        <w:t>Senāts atzīst</w:t>
      </w:r>
      <w:r w:rsidR="00B074F3" w:rsidRPr="00534149">
        <w:rPr>
          <w:rFonts w:asciiTheme="majorBidi" w:hAnsiTheme="majorBidi" w:cstheme="majorBidi"/>
        </w:rPr>
        <w:t xml:space="preserve">, ka </w:t>
      </w:r>
      <w:r w:rsidR="00534149">
        <w:t>k</w:t>
      </w:r>
      <w:r w:rsidR="00534149" w:rsidRPr="00534149">
        <w:t xml:space="preserve">asācijas </w:t>
      </w:r>
      <w:r w:rsidR="00555598">
        <w:t>instances tiesas kompetencē ir izvērtēt</w:t>
      </w:r>
      <w:r w:rsidR="00534149" w:rsidRPr="00534149">
        <w:t>,</w:t>
      </w:r>
      <w:r w:rsidRPr="00534149">
        <w:rPr>
          <w:rFonts w:asciiTheme="majorBidi" w:hAnsiTheme="majorBidi" w:cstheme="majorBidi"/>
        </w:rPr>
        <w:t xml:space="preserve"> vai apelācijas instances tiesa pieļāvusi kasācijas </w:t>
      </w:r>
      <w:r w:rsidR="004519A6" w:rsidRPr="00534149">
        <w:rPr>
          <w:rFonts w:asciiTheme="majorBidi" w:hAnsiTheme="majorBidi" w:cstheme="majorBidi"/>
        </w:rPr>
        <w:t>protestā</w:t>
      </w:r>
      <w:r w:rsidRPr="00534149">
        <w:rPr>
          <w:rFonts w:asciiTheme="majorBidi" w:hAnsiTheme="majorBidi" w:cstheme="majorBidi"/>
        </w:rPr>
        <w:t xml:space="preserve"> norādī</w:t>
      </w:r>
      <w:r w:rsidR="00B21128">
        <w:rPr>
          <w:rFonts w:asciiTheme="majorBidi" w:hAnsiTheme="majorBidi" w:cstheme="majorBidi"/>
        </w:rPr>
        <w:t>to</w:t>
      </w:r>
      <w:r w:rsidRPr="00534149">
        <w:rPr>
          <w:rFonts w:asciiTheme="majorBidi" w:hAnsiTheme="majorBidi" w:cstheme="majorBidi"/>
        </w:rPr>
        <w:t xml:space="preserve"> Kriminālprocesa likuma 564. panta ceturtās daļas pārkāpum</w:t>
      </w:r>
      <w:r w:rsidR="00B21128">
        <w:rPr>
          <w:rFonts w:asciiTheme="majorBidi" w:hAnsiTheme="majorBidi" w:cstheme="majorBidi"/>
        </w:rPr>
        <w:t>u</w:t>
      </w:r>
      <w:r w:rsidRPr="00534149">
        <w:rPr>
          <w:rFonts w:asciiTheme="majorBidi" w:hAnsiTheme="majorBidi" w:cstheme="majorBidi"/>
        </w:rPr>
        <w:t xml:space="preserve"> sprieduma pamatošanā</w:t>
      </w:r>
      <w:r w:rsidRPr="00561852">
        <w:rPr>
          <w:rFonts w:asciiTheme="majorBidi" w:hAnsiTheme="majorBidi" w:cstheme="majorBidi"/>
        </w:rPr>
        <w:t>.</w:t>
      </w:r>
    </w:p>
    <w:p w14:paraId="0B5B3A56" w14:textId="35A21A9E" w:rsidR="00C266C2" w:rsidRPr="00C266C2" w:rsidRDefault="00B074F3" w:rsidP="008C058B">
      <w:pPr>
        <w:widowControl w:val="0"/>
        <w:spacing w:line="276" w:lineRule="auto"/>
        <w:ind w:firstLine="720"/>
        <w:jc w:val="both"/>
        <w:rPr>
          <w:rFonts w:asciiTheme="majorBidi" w:hAnsiTheme="majorBidi" w:cstheme="majorBidi"/>
        </w:rPr>
      </w:pPr>
      <w:bookmarkStart w:id="0" w:name="_Hlk211786729"/>
      <w:r>
        <w:rPr>
          <w:rFonts w:asciiTheme="majorBidi" w:hAnsiTheme="majorBidi" w:cstheme="majorBidi"/>
        </w:rPr>
        <w:t>[</w:t>
      </w:r>
      <w:r w:rsidR="009D4FF7">
        <w:rPr>
          <w:rFonts w:asciiTheme="majorBidi" w:hAnsiTheme="majorBidi" w:cstheme="majorBidi"/>
        </w:rPr>
        <w:t>6</w:t>
      </w:r>
      <w:r>
        <w:rPr>
          <w:rFonts w:asciiTheme="majorBidi" w:hAnsiTheme="majorBidi" w:cstheme="majorBidi"/>
        </w:rPr>
        <w:t>.</w:t>
      </w:r>
      <w:r w:rsidR="00DF66D5">
        <w:rPr>
          <w:rFonts w:asciiTheme="majorBidi" w:hAnsiTheme="majorBidi" w:cstheme="majorBidi"/>
        </w:rPr>
        <w:t>1</w:t>
      </w:r>
      <w:r>
        <w:rPr>
          <w:rFonts w:asciiTheme="majorBidi" w:hAnsiTheme="majorBidi" w:cstheme="majorBidi"/>
        </w:rPr>
        <w:t xml:space="preserve">] </w:t>
      </w:r>
      <w:r w:rsidR="008C058B" w:rsidRPr="008C058B">
        <w:rPr>
          <w:rFonts w:asciiTheme="majorBidi" w:hAnsiTheme="majorBidi" w:cstheme="majorBidi"/>
        </w:rPr>
        <w:t xml:space="preserve">Apelācijas instances tiesa, izskatot prokurora apelācijas protestu, atzina, ka pirmās instances tiesa </w:t>
      </w:r>
      <w:r w:rsidR="00894EC6">
        <w:rPr>
          <w:rFonts w:asciiTheme="majorBidi" w:hAnsiTheme="majorBidi" w:cstheme="majorBidi"/>
        </w:rPr>
        <w:t xml:space="preserve">ir </w:t>
      </w:r>
      <w:r w:rsidR="008C058B" w:rsidRPr="008C058B">
        <w:rPr>
          <w:rFonts w:asciiTheme="majorBidi" w:hAnsiTheme="majorBidi" w:cstheme="majorBidi"/>
        </w:rPr>
        <w:t>pareizi konstatējusi lietā nozīmīgos apstākļus, un, pamatojoties uz Kriminālprocesa likuma 564.</w:t>
      </w:r>
      <w:r w:rsidR="006F79E4">
        <w:rPr>
          <w:rFonts w:asciiTheme="majorBidi" w:hAnsiTheme="majorBidi" w:cstheme="majorBidi"/>
        </w:rPr>
        <w:t> </w:t>
      </w:r>
      <w:r w:rsidR="008C058B" w:rsidRPr="008C058B">
        <w:rPr>
          <w:rFonts w:asciiTheme="majorBidi" w:hAnsiTheme="majorBidi" w:cstheme="majorBidi"/>
        </w:rPr>
        <w:t xml:space="preserve">panta sesto daļu, pievienojās tās </w:t>
      </w:r>
      <w:r w:rsidR="008C058B">
        <w:rPr>
          <w:rFonts w:asciiTheme="majorBidi" w:hAnsiTheme="majorBidi" w:cstheme="majorBidi"/>
        </w:rPr>
        <w:t>konstatējumiem</w:t>
      </w:r>
      <w:r w:rsidR="008C058B" w:rsidRPr="008C058B">
        <w:rPr>
          <w:rFonts w:asciiTheme="majorBidi" w:hAnsiTheme="majorBidi" w:cstheme="majorBidi"/>
        </w:rPr>
        <w:t>, ka</w:t>
      </w:r>
      <w:r w:rsidR="00C266C2" w:rsidRPr="00C266C2">
        <w:rPr>
          <w:rFonts w:asciiTheme="majorBidi" w:hAnsiTheme="majorBidi" w:cstheme="majorBidi"/>
        </w:rPr>
        <w:t>:</w:t>
      </w:r>
    </w:p>
    <w:p w14:paraId="43142E1C" w14:textId="55776CC4" w:rsidR="00C266C2" w:rsidRDefault="00C266C2" w:rsidP="00F062EF">
      <w:pPr>
        <w:pStyle w:val="ListParagraph"/>
        <w:widowControl w:val="0"/>
        <w:numPr>
          <w:ilvl w:val="0"/>
          <w:numId w:val="1"/>
        </w:numPr>
        <w:shd w:val="clear" w:color="auto" w:fill="FFFFFF"/>
        <w:spacing w:line="276" w:lineRule="auto"/>
        <w:jc w:val="both"/>
        <w:rPr>
          <w:rFonts w:asciiTheme="majorBidi" w:hAnsiTheme="majorBidi" w:cstheme="majorBidi"/>
        </w:rPr>
      </w:pPr>
      <w:r w:rsidRPr="00A3782C">
        <w:rPr>
          <w:rFonts w:asciiTheme="majorBidi" w:hAnsiTheme="majorBidi" w:cstheme="majorBidi"/>
        </w:rPr>
        <w:t>kodu karte</w:t>
      </w:r>
      <w:r w:rsidR="00DF66D5">
        <w:rPr>
          <w:rFonts w:asciiTheme="majorBidi" w:hAnsiTheme="majorBidi" w:cstheme="majorBidi"/>
        </w:rPr>
        <w:t xml:space="preserve">, </w:t>
      </w:r>
      <w:r w:rsidR="00DF66D5" w:rsidRPr="00DF66D5">
        <w:rPr>
          <w:rFonts w:asciiTheme="majorBidi" w:hAnsiTheme="majorBidi" w:cstheme="majorBidi"/>
        </w:rPr>
        <w:t>kas nodrošin</w:t>
      </w:r>
      <w:r w:rsidR="00DF66D5">
        <w:rPr>
          <w:rFonts w:asciiTheme="majorBidi" w:hAnsiTheme="majorBidi" w:cstheme="majorBidi"/>
        </w:rPr>
        <w:t>āja</w:t>
      </w:r>
      <w:r w:rsidR="00DF66D5" w:rsidRPr="00DF66D5">
        <w:rPr>
          <w:rFonts w:asciiTheme="majorBidi" w:hAnsiTheme="majorBidi" w:cstheme="majorBidi"/>
        </w:rPr>
        <w:t xml:space="preserve"> pi</w:t>
      </w:r>
      <w:r w:rsidR="00DF66D5">
        <w:rPr>
          <w:rFonts w:asciiTheme="majorBidi" w:hAnsiTheme="majorBidi" w:cstheme="majorBidi"/>
        </w:rPr>
        <w:t xml:space="preserve">ekļuvi </w:t>
      </w:r>
      <w:r w:rsidR="00F062EF">
        <w:rPr>
          <w:rFonts w:asciiTheme="majorBidi" w:hAnsiTheme="majorBidi" w:cstheme="majorBidi"/>
        </w:rPr>
        <w:t>[pers. B]</w:t>
      </w:r>
      <w:r w:rsidR="00DF66D5" w:rsidRPr="00DF66D5">
        <w:rPr>
          <w:rFonts w:asciiTheme="majorBidi" w:hAnsiTheme="majorBidi" w:cstheme="majorBidi"/>
        </w:rPr>
        <w:t xml:space="preserve"> internetbankai, </w:t>
      </w:r>
      <w:r w:rsidRPr="00A3782C">
        <w:rPr>
          <w:rFonts w:asciiTheme="majorBidi" w:hAnsiTheme="majorBidi" w:cstheme="majorBidi"/>
        </w:rPr>
        <w:t>glab</w:t>
      </w:r>
      <w:r w:rsidRPr="00A3782C">
        <w:rPr>
          <w:rFonts w:asciiTheme="majorBidi" w:hAnsiTheme="majorBidi" w:cstheme="majorBidi" w:hint="eastAsia"/>
        </w:rPr>
        <w:t>ā</w:t>
      </w:r>
      <w:r w:rsidRPr="00A3782C">
        <w:rPr>
          <w:rFonts w:asciiTheme="majorBidi" w:hAnsiTheme="majorBidi" w:cstheme="majorBidi"/>
        </w:rPr>
        <w:t>j</w:t>
      </w:r>
      <w:r w:rsidR="00DF66D5">
        <w:rPr>
          <w:rFonts w:asciiTheme="majorBidi" w:hAnsiTheme="majorBidi" w:cstheme="majorBidi"/>
        </w:rPr>
        <w:t>ās</w:t>
      </w:r>
      <w:r w:rsidRPr="00A3782C">
        <w:rPr>
          <w:rFonts w:asciiTheme="majorBidi" w:hAnsiTheme="majorBidi" w:cstheme="majorBidi"/>
        </w:rPr>
        <w:t xml:space="preserve"> pie liecinieces </w:t>
      </w:r>
      <w:r w:rsidR="00F062EF">
        <w:rPr>
          <w:rFonts w:asciiTheme="majorBidi" w:hAnsiTheme="majorBidi" w:cstheme="majorBidi"/>
        </w:rPr>
        <w:t>[pers. E]</w:t>
      </w:r>
      <w:r w:rsidR="00DF66D5">
        <w:rPr>
          <w:rFonts w:asciiTheme="majorBidi" w:hAnsiTheme="majorBidi" w:cstheme="majorBidi"/>
        </w:rPr>
        <w:t>;</w:t>
      </w:r>
    </w:p>
    <w:p w14:paraId="2D8CD0B3" w14:textId="0BE96335" w:rsidR="00C266C2" w:rsidRPr="00C266C2" w:rsidRDefault="00C266C2" w:rsidP="00F062EF">
      <w:pPr>
        <w:pStyle w:val="ListParagraph"/>
        <w:widowControl w:val="0"/>
        <w:numPr>
          <w:ilvl w:val="0"/>
          <w:numId w:val="1"/>
        </w:numPr>
        <w:shd w:val="clear" w:color="auto" w:fill="FFFFFF"/>
        <w:spacing w:line="276" w:lineRule="auto"/>
        <w:jc w:val="both"/>
        <w:rPr>
          <w:rFonts w:asciiTheme="majorBidi" w:hAnsiTheme="majorBidi" w:cstheme="majorBidi"/>
        </w:rPr>
      </w:pPr>
      <w:r w:rsidRPr="00C266C2">
        <w:rPr>
          <w:rFonts w:asciiTheme="majorBidi" w:hAnsiTheme="majorBidi" w:cstheme="majorBidi"/>
        </w:rPr>
        <w:t>aps</w:t>
      </w:r>
      <w:r w:rsidRPr="00C266C2">
        <w:rPr>
          <w:rFonts w:asciiTheme="majorBidi" w:hAnsiTheme="majorBidi" w:cstheme="majorBidi" w:hint="eastAsia"/>
        </w:rPr>
        <w:t>ū</w:t>
      </w:r>
      <w:r w:rsidRPr="00C266C2">
        <w:rPr>
          <w:rFonts w:asciiTheme="majorBidi" w:hAnsiTheme="majorBidi" w:cstheme="majorBidi"/>
        </w:rPr>
        <w:t>dz</w:t>
      </w:r>
      <w:r w:rsidRPr="00C266C2">
        <w:rPr>
          <w:rFonts w:asciiTheme="majorBidi" w:hAnsiTheme="majorBidi" w:cstheme="majorBidi" w:hint="eastAsia"/>
        </w:rPr>
        <w:t>ē</w:t>
      </w:r>
      <w:r w:rsidRPr="00C266C2">
        <w:rPr>
          <w:rFonts w:asciiTheme="majorBidi" w:hAnsiTheme="majorBidi" w:cstheme="majorBidi"/>
        </w:rPr>
        <w:t>t</w:t>
      </w:r>
      <w:r w:rsidRPr="00C266C2">
        <w:rPr>
          <w:rFonts w:asciiTheme="majorBidi" w:hAnsiTheme="majorBidi" w:cstheme="majorBidi" w:hint="eastAsia"/>
        </w:rPr>
        <w:t>ā</w:t>
      </w:r>
      <w:r w:rsidRPr="00C266C2">
        <w:rPr>
          <w:rFonts w:asciiTheme="majorBidi" w:hAnsiTheme="majorBidi" w:cstheme="majorBidi"/>
        </w:rPr>
        <w:t xml:space="preserve"> nav l</w:t>
      </w:r>
      <w:r w:rsidRPr="00C266C2">
        <w:rPr>
          <w:rFonts w:asciiTheme="majorBidi" w:hAnsiTheme="majorBidi" w:cstheme="majorBidi" w:hint="eastAsia"/>
        </w:rPr>
        <w:t>ū</w:t>
      </w:r>
      <w:r w:rsidRPr="00C266C2">
        <w:rPr>
          <w:rFonts w:asciiTheme="majorBidi" w:hAnsiTheme="majorBidi" w:cstheme="majorBidi"/>
        </w:rPr>
        <w:t xml:space="preserve">gusi </w:t>
      </w:r>
      <w:r w:rsidR="00F062EF">
        <w:rPr>
          <w:rFonts w:asciiTheme="majorBidi" w:hAnsiTheme="majorBidi" w:cstheme="majorBidi"/>
        </w:rPr>
        <w:t>[pers.</w:t>
      </w:r>
      <w:r w:rsidR="003A7219">
        <w:rPr>
          <w:rFonts w:asciiTheme="majorBidi" w:hAnsiTheme="majorBidi" w:cstheme="majorBidi"/>
        </w:rPr>
        <w:t> </w:t>
      </w:r>
      <w:r w:rsidR="00F062EF">
        <w:rPr>
          <w:rFonts w:asciiTheme="majorBidi" w:hAnsiTheme="majorBidi" w:cstheme="majorBidi"/>
        </w:rPr>
        <w:t>E]</w:t>
      </w:r>
      <w:r w:rsidRPr="00C266C2">
        <w:rPr>
          <w:rFonts w:asciiTheme="majorBidi" w:hAnsiTheme="majorBidi" w:cstheme="majorBidi"/>
        </w:rPr>
        <w:t xml:space="preserve"> veikt p</w:t>
      </w:r>
      <w:r w:rsidRPr="00C266C2">
        <w:rPr>
          <w:rFonts w:asciiTheme="majorBidi" w:hAnsiTheme="majorBidi" w:cstheme="majorBidi" w:hint="eastAsia"/>
        </w:rPr>
        <w:t>ā</w:t>
      </w:r>
      <w:r w:rsidRPr="00C266C2">
        <w:rPr>
          <w:rFonts w:asciiTheme="majorBidi" w:hAnsiTheme="majorBidi" w:cstheme="majorBidi"/>
        </w:rPr>
        <w:t>rskait</w:t>
      </w:r>
      <w:r w:rsidRPr="00C266C2">
        <w:rPr>
          <w:rFonts w:asciiTheme="majorBidi" w:hAnsiTheme="majorBidi" w:cstheme="majorBidi" w:hint="eastAsia"/>
        </w:rPr>
        <w:t>ī</w:t>
      </w:r>
      <w:r w:rsidRPr="00C266C2">
        <w:rPr>
          <w:rFonts w:asciiTheme="majorBidi" w:hAnsiTheme="majorBidi" w:cstheme="majorBidi"/>
        </w:rPr>
        <w:t xml:space="preserve">jumu uz </w:t>
      </w:r>
      <w:r w:rsidR="00DF66D5">
        <w:rPr>
          <w:rFonts w:asciiTheme="majorBidi" w:hAnsiTheme="majorBidi" w:cstheme="majorBidi"/>
        </w:rPr>
        <w:t>savu</w:t>
      </w:r>
      <w:r w:rsidRPr="00C266C2">
        <w:rPr>
          <w:rFonts w:asciiTheme="majorBidi" w:hAnsiTheme="majorBidi" w:cstheme="majorBidi"/>
        </w:rPr>
        <w:t xml:space="preserve"> </w:t>
      </w:r>
      <w:r w:rsidR="00555598">
        <w:rPr>
          <w:rFonts w:asciiTheme="majorBidi" w:hAnsiTheme="majorBidi" w:cstheme="majorBidi"/>
        </w:rPr>
        <w:t xml:space="preserve">bankas </w:t>
      </w:r>
      <w:r w:rsidRPr="00C266C2">
        <w:rPr>
          <w:rFonts w:asciiTheme="majorBidi" w:hAnsiTheme="majorBidi" w:cstheme="majorBidi"/>
        </w:rPr>
        <w:t>kontu, bet gan v</w:t>
      </w:r>
      <w:r w:rsidRPr="00C266C2">
        <w:rPr>
          <w:rFonts w:asciiTheme="majorBidi" w:hAnsiTheme="majorBidi" w:cstheme="majorBidi" w:hint="eastAsia"/>
        </w:rPr>
        <w:t>ē</w:t>
      </w:r>
      <w:r w:rsidRPr="00C266C2">
        <w:rPr>
          <w:rFonts w:asciiTheme="majorBidi" w:hAnsiTheme="majorBidi" w:cstheme="majorBidi"/>
        </w:rPr>
        <w:t xml:space="preserve">rsusies pie viņas </w:t>
      </w:r>
      <w:r>
        <w:rPr>
          <w:rFonts w:asciiTheme="majorBidi" w:hAnsiTheme="majorBidi" w:cstheme="majorBidi"/>
        </w:rPr>
        <w:t>ar jautājumu, kā rīkoties</w:t>
      </w:r>
      <w:r w:rsidRPr="00C266C2">
        <w:rPr>
          <w:rFonts w:asciiTheme="majorBidi" w:hAnsiTheme="majorBidi" w:cstheme="majorBidi"/>
        </w:rPr>
        <w:t>;</w:t>
      </w:r>
    </w:p>
    <w:p w14:paraId="0E2F3EAB" w14:textId="43DD5535" w:rsidR="00C266C2" w:rsidRDefault="00C266C2" w:rsidP="00C266C2">
      <w:pPr>
        <w:pStyle w:val="ListParagraph"/>
        <w:widowControl w:val="0"/>
        <w:numPr>
          <w:ilvl w:val="0"/>
          <w:numId w:val="1"/>
        </w:numPr>
        <w:shd w:val="clear" w:color="auto" w:fill="FFFFFF"/>
        <w:spacing w:line="276" w:lineRule="auto"/>
        <w:jc w:val="both"/>
        <w:rPr>
          <w:rFonts w:asciiTheme="majorBidi" w:hAnsiTheme="majorBidi" w:cstheme="majorBidi"/>
        </w:rPr>
      </w:pPr>
      <w:r w:rsidRPr="00A3782C">
        <w:rPr>
          <w:rFonts w:asciiTheme="majorBidi" w:hAnsiTheme="majorBidi" w:cstheme="majorBidi"/>
        </w:rPr>
        <w:t>tikai 2011. gada beig</w:t>
      </w:r>
      <w:r w:rsidRPr="00A3782C">
        <w:rPr>
          <w:rFonts w:asciiTheme="majorBidi" w:hAnsiTheme="majorBidi" w:cstheme="majorBidi" w:hint="eastAsia"/>
        </w:rPr>
        <w:t>ā</w:t>
      </w:r>
      <w:r w:rsidRPr="00A3782C">
        <w:rPr>
          <w:rFonts w:asciiTheme="majorBidi" w:hAnsiTheme="majorBidi" w:cstheme="majorBidi"/>
        </w:rPr>
        <w:t>s vai 2012. gada s</w:t>
      </w:r>
      <w:r w:rsidRPr="00A3782C">
        <w:rPr>
          <w:rFonts w:asciiTheme="majorBidi" w:hAnsiTheme="majorBidi" w:cstheme="majorBidi" w:hint="eastAsia"/>
        </w:rPr>
        <w:t>ā</w:t>
      </w:r>
      <w:r w:rsidRPr="00A3782C">
        <w:rPr>
          <w:rFonts w:asciiTheme="majorBidi" w:hAnsiTheme="majorBidi" w:cstheme="majorBidi"/>
        </w:rPr>
        <w:t>kum</w:t>
      </w:r>
      <w:r w:rsidRPr="00A3782C">
        <w:rPr>
          <w:rFonts w:asciiTheme="majorBidi" w:hAnsiTheme="majorBidi" w:cstheme="majorBidi" w:hint="eastAsia"/>
        </w:rPr>
        <w:t>ā</w:t>
      </w:r>
      <w:r w:rsidRPr="00A3782C">
        <w:rPr>
          <w:rFonts w:asciiTheme="majorBidi" w:hAnsiTheme="majorBidi" w:cstheme="majorBidi"/>
        </w:rPr>
        <w:t xml:space="preserve"> aps</w:t>
      </w:r>
      <w:r w:rsidRPr="00A3782C">
        <w:rPr>
          <w:rFonts w:asciiTheme="majorBidi" w:hAnsiTheme="majorBidi" w:cstheme="majorBidi" w:hint="eastAsia"/>
        </w:rPr>
        <w:t>ū</w:t>
      </w:r>
      <w:r w:rsidRPr="00A3782C">
        <w:rPr>
          <w:rFonts w:asciiTheme="majorBidi" w:hAnsiTheme="majorBidi" w:cstheme="majorBidi"/>
        </w:rPr>
        <w:t>dz</w:t>
      </w:r>
      <w:r w:rsidRPr="00A3782C">
        <w:rPr>
          <w:rFonts w:asciiTheme="majorBidi" w:hAnsiTheme="majorBidi" w:cstheme="majorBidi" w:hint="eastAsia"/>
        </w:rPr>
        <w:t>ē</w:t>
      </w:r>
      <w:r w:rsidRPr="00A3782C">
        <w:rPr>
          <w:rFonts w:asciiTheme="majorBidi" w:hAnsiTheme="majorBidi" w:cstheme="majorBidi"/>
        </w:rPr>
        <w:t>t</w:t>
      </w:r>
      <w:r w:rsidRPr="00A3782C">
        <w:rPr>
          <w:rFonts w:asciiTheme="majorBidi" w:hAnsiTheme="majorBidi" w:cstheme="majorBidi" w:hint="eastAsia"/>
        </w:rPr>
        <w:t>ā</w:t>
      </w:r>
      <w:r w:rsidRPr="00A3782C">
        <w:rPr>
          <w:rFonts w:asciiTheme="majorBidi" w:hAnsiTheme="majorBidi" w:cstheme="majorBidi"/>
        </w:rPr>
        <w:t xml:space="preserve"> </w:t>
      </w:r>
      <w:r w:rsidR="00DF66D5">
        <w:rPr>
          <w:rFonts w:asciiTheme="majorBidi" w:hAnsiTheme="majorBidi" w:cstheme="majorBidi"/>
        </w:rPr>
        <w:t>uz</w:t>
      </w:r>
      <w:r w:rsidRPr="00A3782C">
        <w:rPr>
          <w:rFonts w:asciiTheme="majorBidi" w:hAnsiTheme="majorBidi" w:cstheme="majorBidi"/>
        </w:rPr>
        <w:t>s</w:t>
      </w:r>
      <w:r w:rsidRPr="00A3782C">
        <w:rPr>
          <w:rFonts w:asciiTheme="majorBidi" w:hAnsiTheme="majorBidi" w:cstheme="majorBidi" w:hint="eastAsia"/>
        </w:rPr>
        <w:t>ā</w:t>
      </w:r>
      <w:r>
        <w:rPr>
          <w:rFonts w:asciiTheme="majorBidi" w:hAnsiTheme="majorBidi" w:cstheme="majorBidi"/>
        </w:rPr>
        <w:t>ka apgūt</w:t>
      </w:r>
      <w:r w:rsidRPr="00A3782C">
        <w:rPr>
          <w:rFonts w:asciiTheme="majorBidi" w:hAnsiTheme="majorBidi" w:cstheme="majorBidi"/>
        </w:rPr>
        <w:t xml:space="preserve"> internetbank</w:t>
      </w:r>
      <w:r>
        <w:rPr>
          <w:rFonts w:asciiTheme="majorBidi" w:hAnsiTheme="majorBidi" w:cstheme="majorBidi"/>
        </w:rPr>
        <w:t>as lietošanu</w:t>
      </w:r>
      <w:r w:rsidRPr="00A3782C">
        <w:rPr>
          <w:rFonts w:asciiTheme="majorBidi" w:hAnsiTheme="majorBidi" w:cstheme="majorBidi"/>
        </w:rPr>
        <w:t>, l</w:t>
      </w:r>
      <w:r w:rsidRPr="00A3782C">
        <w:rPr>
          <w:rFonts w:asciiTheme="majorBidi" w:hAnsiTheme="majorBidi" w:cstheme="majorBidi" w:hint="eastAsia"/>
        </w:rPr>
        <w:t>ī</w:t>
      </w:r>
      <w:r w:rsidRPr="00A3782C">
        <w:rPr>
          <w:rFonts w:asciiTheme="majorBidi" w:hAnsiTheme="majorBidi" w:cstheme="majorBidi"/>
        </w:rPr>
        <w:t>dz ar to aps</w:t>
      </w:r>
      <w:r w:rsidRPr="00A3782C">
        <w:rPr>
          <w:rFonts w:asciiTheme="majorBidi" w:hAnsiTheme="majorBidi" w:cstheme="majorBidi" w:hint="eastAsia"/>
        </w:rPr>
        <w:t>ū</w:t>
      </w:r>
      <w:r w:rsidRPr="00A3782C">
        <w:rPr>
          <w:rFonts w:asciiTheme="majorBidi" w:hAnsiTheme="majorBidi" w:cstheme="majorBidi"/>
        </w:rPr>
        <w:t>dz</w:t>
      </w:r>
      <w:r w:rsidRPr="00A3782C">
        <w:rPr>
          <w:rFonts w:asciiTheme="majorBidi" w:hAnsiTheme="majorBidi" w:cstheme="majorBidi" w:hint="eastAsia"/>
        </w:rPr>
        <w:t>ī</w:t>
      </w:r>
      <w:r w:rsidRPr="00A3782C">
        <w:rPr>
          <w:rFonts w:asciiTheme="majorBidi" w:hAnsiTheme="majorBidi" w:cstheme="majorBidi"/>
        </w:rPr>
        <w:t>b</w:t>
      </w:r>
      <w:r w:rsidRPr="00A3782C">
        <w:rPr>
          <w:rFonts w:asciiTheme="majorBidi" w:hAnsiTheme="majorBidi" w:cstheme="majorBidi" w:hint="eastAsia"/>
        </w:rPr>
        <w:t>ā</w:t>
      </w:r>
      <w:r w:rsidRPr="00A3782C">
        <w:rPr>
          <w:rFonts w:asciiTheme="majorBidi" w:hAnsiTheme="majorBidi" w:cstheme="majorBidi"/>
        </w:rPr>
        <w:t xml:space="preserve"> nor</w:t>
      </w:r>
      <w:r w:rsidRPr="00A3782C">
        <w:rPr>
          <w:rFonts w:asciiTheme="majorBidi" w:hAnsiTheme="majorBidi" w:cstheme="majorBidi" w:hint="eastAsia"/>
        </w:rPr>
        <w:t>ā</w:t>
      </w:r>
      <w:r w:rsidRPr="00A3782C">
        <w:rPr>
          <w:rFonts w:asciiTheme="majorBidi" w:hAnsiTheme="majorBidi" w:cstheme="majorBidi"/>
        </w:rPr>
        <w:t>d</w:t>
      </w:r>
      <w:r w:rsidRPr="00A3782C">
        <w:rPr>
          <w:rFonts w:asciiTheme="majorBidi" w:hAnsiTheme="majorBidi" w:cstheme="majorBidi" w:hint="eastAsia"/>
        </w:rPr>
        <w:t>ī</w:t>
      </w:r>
      <w:r w:rsidRPr="00A3782C">
        <w:rPr>
          <w:rFonts w:asciiTheme="majorBidi" w:hAnsiTheme="majorBidi" w:cstheme="majorBidi"/>
        </w:rPr>
        <w:t>taj</w:t>
      </w:r>
      <w:r w:rsidRPr="00A3782C">
        <w:rPr>
          <w:rFonts w:asciiTheme="majorBidi" w:hAnsiTheme="majorBidi" w:cstheme="majorBidi" w:hint="eastAsia"/>
        </w:rPr>
        <w:t>ā</w:t>
      </w:r>
      <w:r w:rsidRPr="00A3782C">
        <w:rPr>
          <w:rFonts w:asciiTheme="majorBidi" w:hAnsiTheme="majorBidi" w:cstheme="majorBidi"/>
        </w:rPr>
        <w:t xml:space="preserve"> laik</w:t>
      </w:r>
      <w:r w:rsidRPr="00A3782C">
        <w:rPr>
          <w:rFonts w:asciiTheme="majorBidi" w:hAnsiTheme="majorBidi" w:cstheme="majorBidi" w:hint="eastAsia"/>
        </w:rPr>
        <w:t>ā</w:t>
      </w:r>
      <w:r w:rsidR="004519A6">
        <w:rPr>
          <w:rFonts w:asciiTheme="majorBidi" w:hAnsiTheme="majorBidi" w:cstheme="majorBidi"/>
        </w:rPr>
        <w:t xml:space="preserve"> </w:t>
      </w:r>
      <w:r w:rsidR="00DF66D5">
        <w:rPr>
          <w:rFonts w:asciiTheme="majorBidi" w:hAnsiTheme="majorBidi" w:cstheme="majorBidi"/>
        </w:rPr>
        <w:t xml:space="preserve">– 2011. gada 22. jūlijā – </w:t>
      </w:r>
      <w:r w:rsidR="004519A6">
        <w:rPr>
          <w:rFonts w:asciiTheme="majorBidi" w:hAnsiTheme="majorBidi" w:cstheme="majorBidi"/>
        </w:rPr>
        <w:t>viņa</w:t>
      </w:r>
      <w:r>
        <w:rPr>
          <w:rFonts w:asciiTheme="majorBidi" w:hAnsiTheme="majorBidi" w:cstheme="majorBidi"/>
        </w:rPr>
        <w:t xml:space="preserve"> </w:t>
      </w:r>
      <w:r w:rsidRPr="00A3782C">
        <w:rPr>
          <w:rFonts w:asciiTheme="majorBidi" w:hAnsiTheme="majorBidi" w:cstheme="majorBidi"/>
        </w:rPr>
        <w:t xml:space="preserve">neprata </w:t>
      </w:r>
      <w:r w:rsidR="00DF66D5">
        <w:rPr>
          <w:rFonts w:asciiTheme="majorBidi" w:hAnsiTheme="majorBidi" w:cstheme="majorBidi"/>
        </w:rPr>
        <w:t xml:space="preserve">to </w:t>
      </w:r>
      <w:r w:rsidRPr="00A3782C">
        <w:rPr>
          <w:rFonts w:asciiTheme="majorBidi" w:hAnsiTheme="majorBidi" w:cstheme="majorBidi"/>
        </w:rPr>
        <w:t xml:space="preserve">lietot </w:t>
      </w:r>
      <w:r>
        <w:rPr>
          <w:rFonts w:asciiTheme="majorBidi" w:hAnsiTheme="majorBidi" w:cstheme="majorBidi"/>
        </w:rPr>
        <w:t xml:space="preserve">un </w:t>
      </w:r>
      <w:r w:rsidR="00DF66D5">
        <w:rPr>
          <w:rFonts w:asciiTheme="majorBidi" w:hAnsiTheme="majorBidi" w:cstheme="majorBidi"/>
        </w:rPr>
        <w:t xml:space="preserve">tādēļ </w:t>
      </w:r>
      <w:r w:rsidRPr="00A3782C">
        <w:rPr>
          <w:rFonts w:asciiTheme="majorBidi" w:hAnsiTheme="majorBidi" w:cstheme="majorBidi"/>
        </w:rPr>
        <w:t>naudas pārskaitījumu</w:t>
      </w:r>
      <w:r w:rsidR="00BB450C">
        <w:rPr>
          <w:rFonts w:asciiTheme="majorBidi" w:hAnsiTheme="majorBidi" w:cstheme="majorBidi"/>
        </w:rPr>
        <w:t xml:space="preserve"> veikt nevarēja</w:t>
      </w:r>
      <w:r>
        <w:rPr>
          <w:rFonts w:asciiTheme="majorBidi" w:hAnsiTheme="majorBidi" w:cstheme="majorBidi"/>
        </w:rPr>
        <w:t>.</w:t>
      </w:r>
    </w:p>
    <w:p w14:paraId="43A71691" w14:textId="77777777" w:rsidR="00D221B3" w:rsidRDefault="008C058B" w:rsidP="008C058B">
      <w:pPr>
        <w:widowControl w:val="0"/>
        <w:shd w:val="clear" w:color="auto" w:fill="FFFFFF"/>
        <w:spacing w:line="276" w:lineRule="auto"/>
        <w:ind w:firstLine="720"/>
        <w:jc w:val="both"/>
      </w:pPr>
      <w:r w:rsidRPr="008C058B">
        <w:rPr>
          <w:rFonts w:asciiTheme="majorBidi" w:hAnsiTheme="majorBidi" w:cstheme="majorBidi"/>
        </w:rPr>
        <w:t xml:space="preserve">Tāpat apelācijas instances tiesa pievienojās </w:t>
      </w:r>
      <w:r w:rsidR="00534149">
        <w:t xml:space="preserve">pirmās instances </w:t>
      </w:r>
      <w:r w:rsidR="00C266C2" w:rsidRPr="00C266C2">
        <w:t>tiesa</w:t>
      </w:r>
      <w:r>
        <w:t>s atzinumam,</w:t>
      </w:r>
      <w:r w:rsidR="00C266C2">
        <w:t xml:space="preserve"> ka</w:t>
      </w:r>
      <w:r w:rsidR="00D221B3">
        <w:t>:</w:t>
      </w:r>
    </w:p>
    <w:p w14:paraId="2BD58B94" w14:textId="089EDB49" w:rsidR="00D221B3" w:rsidRDefault="008C058B" w:rsidP="00D221B3">
      <w:pPr>
        <w:pStyle w:val="ListParagraph"/>
        <w:widowControl w:val="0"/>
        <w:numPr>
          <w:ilvl w:val="0"/>
          <w:numId w:val="9"/>
        </w:numPr>
        <w:shd w:val="clear" w:color="auto" w:fill="FFFFFF"/>
        <w:spacing w:line="276" w:lineRule="auto"/>
        <w:jc w:val="both"/>
      </w:pPr>
      <w:r>
        <w:t xml:space="preserve">lietā </w:t>
      </w:r>
      <w:r w:rsidR="00586A20" w:rsidRPr="00586A20">
        <w:t>nav pier</w:t>
      </w:r>
      <w:r w:rsidR="00586A20" w:rsidRPr="00586A20">
        <w:rPr>
          <w:rFonts w:hint="eastAsia"/>
        </w:rPr>
        <w:t>ā</w:t>
      </w:r>
      <w:r w:rsidR="00586A20" w:rsidRPr="00586A20">
        <w:t>d</w:t>
      </w:r>
      <w:r w:rsidR="00586A20" w:rsidRPr="00586A20">
        <w:rPr>
          <w:rFonts w:hint="eastAsia"/>
        </w:rPr>
        <w:t>ī</w:t>
      </w:r>
      <w:r w:rsidR="00586A20" w:rsidRPr="00586A20">
        <w:t>t</w:t>
      </w:r>
      <w:r w:rsidR="00586A20">
        <w:t>s</w:t>
      </w:r>
      <w:r w:rsidR="00586A20" w:rsidRPr="00586A20">
        <w:t>, ka aps</w:t>
      </w:r>
      <w:r w:rsidR="00586A20" w:rsidRPr="00586A20">
        <w:rPr>
          <w:rFonts w:hint="eastAsia"/>
        </w:rPr>
        <w:t>ū</w:t>
      </w:r>
      <w:r w:rsidR="00586A20" w:rsidRPr="00586A20">
        <w:t>dz</w:t>
      </w:r>
      <w:r w:rsidR="00586A20" w:rsidRPr="00586A20">
        <w:rPr>
          <w:rFonts w:hint="eastAsia"/>
        </w:rPr>
        <w:t>ē</w:t>
      </w:r>
      <w:r w:rsidR="00586A20" w:rsidRPr="00586A20">
        <w:t>t</w:t>
      </w:r>
      <w:r w:rsidR="00586A20" w:rsidRPr="00586A20">
        <w:rPr>
          <w:rFonts w:hint="eastAsia"/>
        </w:rPr>
        <w:t>ā</w:t>
      </w:r>
      <w:r w:rsidR="00586A20" w:rsidRPr="00586A20">
        <w:t xml:space="preserve">, izmantojot </w:t>
      </w:r>
      <w:r w:rsidR="00F062EF">
        <w:t>[pers. B]</w:t>
      </w:r>
      <w:r w:rsidR="00586A20" w:rsidRPr="00586A20">
        <w:t xml:space="preserve"> pie</w:t>
      </w:r>
      <w:r w:rsidR="00586A20" w:rsidRPr="00586A20">
        <w:rPr>
          <w:rFonts w:hint="eastAsia"/>
        </w:rPr>
        <w:t>šķ</w:t>
      </w:r>
      <w:r w:rsidR="00586A20" w:rsidRPr="00586A20">
        <w:t>irto</w:t>
      </w:r>
      <w:r w:rsidR="00555598">
        <w:t>s</w:t>
      </w:r>
      <w:r w:rsidR="00586A20" w:rsidRPr="00586A20">
        <w:t xml:space="preserve"> internetbanka</w:t>
      </w:r>
      <w:r w:rsidR="00555598">
        <w:t>s pieejas kodus</w:t>
      </w:r>
      <w:r w:rsidR="00586A20" w:rsidRPr="00586A20">
        <w:t xml:space="preserve">, veikusi </w:t>
      </w:r>
      <w:r w:rsidR="00555598">
        <w:t>naudas līdzekļu 16 000 </w:t>
      </w:r>
      <w:proofErr w:type="spellStart"/>
      <w:r w:rsidR="00555598" w:rsidRPr="00D221B3">
        <w:rPr>
          <w:i/>
          <w:iCs/>
        </w:rPr>
        <w:t>euro</w:t>
      </w:r>
      <w:proofErr w:type="spellEnd"/>
      <w:r w:rsidR="00586A20" w:rsidRPr="00586A20">
        <w:t xml:space="preserve"> p</w:t>
      </w:r>
      <w:r w:rsidR="00586A20" w:rsidRPr="00586A20">
        <w:rPr>
          <w:rFonts w:hint="eastAsia"/>
        </w:rPr>
        <w:t>ā</w:t>
      </w:r>
      <w:r w:rsidR="00586A20" w:rsidRPr="00586A20">
        <w:t>rskait</w:t>
      </w:r>
      <w:r w:rsidR="00586A20" w:rsidRPr="00586A20">
        <w:rPr>
          <w:rFonts w:hint="eastAsia"/>
        </w:rPr>
        <w:t>ī</w:t>
      </w:r>
      <w:r w:rsidR="00586A20" w:rsidRPr="00586A20">
        <w:t>jumu uz savu nor</w:t>
      </w:r>
      <w:r w:rsidR="00586A20" w:rsidRPr="00586A20">
        <w:rPr>
          <w:rFonts w:hint="eastAsia"/>
        </w:rPr>
        <w:t>ēķ</w:t>
      </w:r>
      <w:r w:rsidR="00586A20" w:rsidRPr="00586A20">
        <w:t>inu</w:t>
      </w:r>
      <w:r w:rsidR="00586A20">
        <w:t xml:space="preserve"> </w:t>
      </w:r>
      <w:r w:rsidR="00586A20" w:rsidRPr="00586A20">
        <w:t>kontu</w:t>
      </w:r>
      <w:r w:rsidR="00D221B3">
        <w:t>;</w:t>
      </w:r>
    </w:p>
    <w:p w14:paraId="4B1C52FC" w14:textId="2EAB8ECB" w:rsidR="00D221B3" w:rsidRDefault="00D221B3" w:rsidP="00D221B3">
      <w:pPr>
        <w:pStyle w:val="ListParagraph"/>
        <w:widowControl w:val="0"/>
        <w:numPr>
          <w:ilvl w:val="0"/>
          <w:numId w:val="9"/>
        </w:numPr>
        <w:shd w:val="clear" w:color="auto" w:fill="FFFFFF"/>
        <w:spacing w:line="276" w:lineRule="auto"/>
        <w:jc w:val="both"/>
      </w:pPr>
      <w:r w:rsidRPr="00D221B3">
        <w:rPr>
          <w:rFonts w:asciiTheme="majorBidi" w:hAnsiTheme="majorBidi" w:cstheme="majorBidi"/>
        </w:rPr>
        <w:t xml:space="preserve">AS „Rietumu Banka” </w:t>
      </w:r>
      <w:r w:rsidR="008C058B" w:rsidRPr="008C058B">
        <w:t>konta izrakst</w:t>
      </w:r>
      <w:r>
        <w:t>s</w:t>
      </w:r>
      <w:r w:rsidR="008C058B" w:rsidRPr="008C058B">
        <w:t xml:space="preserve"> ir izsniegts par periodu no 2011.</w:t>
      </w:r>
      <w:r w:rsidR="006F79E4">
        <w:t> </w:t>
      </w:r>
      <w:r w:rsidR="008C058B" w:rsidRPr="008C058B">
        <w:t>gada 26.</w:t>
      </w:r>
      <w:r>
        <w:t> </w:t>
      </w:r>
      <w:r w:rsidR="008C058B" w:rsidRPr="008C058B">
        <w:t>jūlija līdz 31.</w:t>
      </w:r>
      <w:r w:rsidR="006F79E4">
        <w:t> </w:t>
      </w:r>
      <w:r w:rsidR="008C058B" w:rsidRPr="008C058B">
        <w:t>decembrim (</w:t>
      </w:r>
      <w:r w:rsidR="008C058B" w:rsidRPr="00D221B3">
        <w:rPr>
          <w:i/>
          <w:iCs/>
        </w:rPr>
        <w:t>lietas 3.</w:t>
      </w:r>
      <w:r w:rsidR="006F79E4">
        <w:rPr>
          <w:i/>
          <w:iCs/>
        </w:rPr>
        <w:t> </w:t>
      </w:r>
      <w:r w:rsidR="008C058B" w:rsidRPr="00D221B3">
        <w:rPr>
          <w:i/>
          <w:iCs/>
        </w:rPr>
        <w:t>sējuma 60.–61.</w:t>
      </w:r>
      <w:r w:rsidR="006F79E4">
        <w:rPr>
          <w:i/>
          <w:iCs/>
        </w:rPr>
        <w:t> </w:t>
      </w:r>
      <w:r w:rsidR="008C058B" w:rsidRPr="00D221B3">
        <w:rPr>
          <w:i/>
          <w:iCs/>
        </w:rPr>
        <w:t>lapa</w:t>
      </w:r>
      <w:r w:rsidR="008C058B" w:rsidRPr="008C058B">
        <w:t xml:space="preserve">), </w:t>
      </w:r>
      <w:r>
        <w:t>savukārt</w:t>
      </w:r>
      <w:r w:rsidR="008C058B" w:rsidRPr="008C058B">
        <w:t xml:space="preserve"> saskaņā ar apsūdzību pārskaitījums veikts 2011.</w:t>
      </w:r>
      <w:r w:rsidR="006F79E4">
        <w:t> </w:t>
      </w:r>
      <w:r w:rsidR="008C058B" w:rsidRPr="008C058B">
        <w:t>gada 22.</w:t>
      </w:r>
      <w:r w:rsidR="006F79E4">
        <w:t> </w:t>
      </w:r>
      <w:r w:rsidR="008C058B" w:rsidRPr="008C058B">
        <w:t>jūlijā</w:t>
      </w:r>
      <w:r>
        <w:t>;</w:t>
      </w:r>
    </w:p>
    <w:p w14:paraId="7433D200" w14:textId="247BC477" w:rsidR="00D221B3" w:rsidRPr="00882D16" w:rsidRDefault="008C058B" w:rsidP="00882D16">
      <w:pPr>
        <w:pStyle w:val="ListParagraph"/>
        <w:widowControl w:val="0"/>
        <w:numPr>
          <w:ilvl w:val="0"/>
          <w:numId w:val="9"/>
        </w:numPr>
        <w:shd w:val="clear" w:color="auto" w:fill="FFFFFF"/>
        <w:spacing w:line="276" w:lineRule="auto"/>
        <w:jc w:val="both"/>
      </w:pPr>
      <w:r w:rsidRPr="008C058B">
        <w:t xml:space="preserve">no </w:t>
      </w:r>
      <w:r w:rsidR="00D221B3">
        <w:t xml:space="preserve">šī </w:t>
      </w:r>
      <w:r w:rsidRPr="008C058B">
        <w:t>izraksta nav iespējams noteikt precīzu konta atvēršanas datumu, līdz ar to nav nozīmes tam, ka komisijas maksa par konta atvēršanu ieturēta 2011.</w:t>
      </w:r>
      <w:r w:rsidR="006F79E4">
        <w:t> </w:t>
      </w:r>
      <w:r w:rsidRPr="008C058B">
        <w:t>gada 26.</w:t>
      </w:r>
      <w:r w:rsidR="006F79E4">
        <w:t> </w:t>
      </w:r>
      <w:r w:rsidRPr="008C058B">
        <w:t>jūlijā</w:t>
      </w:r>
      <w:r w:rsidR="00D221B3">
        <w:t>.</w:t>
      </w:r>
    </w:p>
    <w:p w14:paraId="2705B307" w14:textId="40D9E033" w:rsidR="0044291B" w:rsidRPr="0044291B" w:rsidRDefault="00620F99" w:rsidP="0044291B">
      <w:pPr>
        <w:widowControl w:val="0"/>
        <w:shd w:val="clear" w:color="auto" w:fill="FFFFFF"/>
        <w:spacing w:line="276" w:lineRule="auto"/>
        <w:ind w:firstLine="720"/>
        <w:jc w:val="both"/>
      </w:pPr>
      <w:r>
        <w:t>[6.</w:t>
      </w:r>
      <w:r w:rsidR="00530653">
        <w:t>2</w:t>
      </w:r>
      <w:r>
        <w:t xml:space="preserve">] </w:t>
      </w:r>
      <w:r w:rsidR="0044291B" w:rsidRPr="0044291B">
        <w:t>Senāts konstatē, ka prokurors kasācijas protestā nav lūdzis pārvērtēt tos pierādījumus, kurus apelācijas instances tiesa jau ir izvērtējusi, bet gan pamatoti norādījis uz konkrēta</w:t>
      </w:r>
      <w:r w:rsidR="0044291B">
        <w:t xml:space="preserve"> </w:t>
      </w:r>
      <w:r w:rsidR="0044291B" w:rsidRPr="0044291B">
        <w:t>pierādījuma neizvērtēšanu, proti, tiesa nav sniegusi vērtējumu apelācijas protestā izvirzītajiem argumentiem par AS</w:t>
      </w:r>
      <w:r w:rsidR="006F79E4">
        <w:t> </w:t>
      </w:r>
      <w:r w:rsidR="00882D16">
        <w:t>„</w:t>
      </w:r>
      <w:r w:rsidR="0044291B" w:rsidRPr="0044291B">
        <w:t>Rietumu Banka” konta izrakstā ietverto ziņu nozīmi lietas izspriešanā.</w:t>
      </w:r>
    </w:p>
    <w:p w14:paraId="649FB496" w14:textId="47DF1747" w:rsidR="00A45223" w:rsidRPr="00561852" w:rsidDel="00744229" w:rsidRDefault="00530653" w:rsidP="00981076">
      <w:pPr>
        <w:widowControl w:val="0"/>
        <w:spacing w:line="276" w:lineRule="auto"/>
        <w:ind w:firstLine="720"/>
        <w:jc w:val="both"/>
        <w:rPr>
          <w:rFonts w:asciiTheme="majorBidi" w:hAnsiTheme="majorBidi" w:cstheme="majorBidi"/>
        </w:rPr>
      </w:pPr>
      <w:r>
        <w:rPr>
          <w:rFonts w:asciiTheme="majorBidi" w:hAnsiTheme="majorBidi" w:cstheme="majorBidi"/>
        </w:rPr>
        <w:t>Senāts jau agrāk ir atzinis, ka f</w:t>
      </w:r>
      <w:r w:rsidR="00A45223" w:rsidRPr="00561852" w:rsidDel="00744229">
        <w:rPr>
          <w:rFonts w:asciiTheme="majorBidi" w:hAnsiTheme="majorBidi" w:cstheme="majorBidi"/>
        </w:rPr>
        <w:t xml:space="preserve">ormāla piekrišana pirmās instances </w:t>
      </w:r>
      <w:r w:rsidR="00A45223" w:rsidDel="00744229">
        <w:rPr>
          <w:rFonts w:asciiTheme="majorBidi" w:hAnsiTheme="majorBidi" w:cstheme="majorBidi"/>
        </w:rPr>
        <w:t xml:space="preserve">tiesas </w:t>
      </w:r>
      <w:r w:rsidR="00A45223" w:rsidRPr="00561852" w:rsidDel="00744229">
        <w:rPr>
          <w:rFonts w:asciiTheme="majorBidi" w:hAnsiTheme="majorBidi" w:cstheme="majorBidi"/>
        </w:rPr>
        <w:t>pierādījumu vērtējumam, nepamatojot to ar pierādījumiem un neizvērtējot apelācijas sūdzības vai protesta svarīgākos argumentus, ir uzskatāms par Kriminālprocesa likuma 564. panta ceturtās daļas pārkāpumu (</w:t>
      </w:r>
      <w:r w:rsidR="00A45223" w:rsidRPr="00561852" w:rsidDel="00744229">
        <w:rPr>
          <w:rFonts w:asciiTheme="majorBidi" w:hAnsiTheme="majorBidi" w:cstheme="majorBidi"/>
          <w:i/>
          <w:iCs/>
        </w:rPr>
        <w:t>Senāta 2022. gada 7.</w:t>
      </w:r>
      <w:r w:rsidR="00A45223" w:rsidRPr="00561852" w:rsidDel="00744229">
        <w:rPr>
          <w:rFonts w:asciiTheme="majorBidi" w:hAnsiTheme="majorBidi" w:cstheme="majorBidi"/>
        </w:rPr>
        <w:t> </w:t>
      </w:r>
      <w:r w:rsidR="00A45223" w:rsidRPr="00561852" w:rsidDel="00744229">
        <w:rPr>
          <w:rFonts w:asciiTheme="majorBidi" w:hAnsiTheme="majorBidi" w:cstheme="majorBidi"/>
          <w:i/>
          <w:iCs/>
        </w:rPr>
        <w:t xml:space="preserve">aprīļa lēmuma lietā Nr. SKK-124/2022, </w:t>
      </w:r>
      <w:hyperlink r:id="rId9" w:history="1">
        <w:r w:rsidR="00A45223" w:rsidRPr="00561852" w:rsidDel="00744229">
          <w:rPr>
            <w:rStyle w:val="Hyperlink"/>
            <w:rFonts w:asciiTheme="majorBidi" w:hAnsiTheme="majorBidi" w:cstheme="majorBidi"/>
            <w:i/>
            <w:iCs/>
            <w:shd w:val="clear" w:color="auto" w:fill="FFFFFF"/>
          </w:rPr>
          <w:t>ECLI:LV:AT:2022:0407.16870001820.9.L</w:t>
        </w:r>
      </w:hyperlink>
      <w:r w:rsidR="00A45223" w:rsidRPr="00561852" w:rsidDel="00744229">
        <w:rPr>
          <w:rFonts w:asciiTheme="majorBidi" w:hAnsiTheme="majorBidi" w:cstheme="majorBidi"/>
          <w:i/>
          <w:iCs/>
        </w:rPr>
        <w:t>, 11.1. punkts</w:t>
      </w:r>
      <w:r w:rsidR="00A45223" w:rsidRPr="00561852" w:rsidDel="00744229">
        <w:rPr>
          <w:rFonts w:asciiTheme="majorBidi" w:hAnsiTheme="majorBidi" w:cstheme="majorBidi"/>
        </w:rPr>
        <w:t>).</w:t>
      </w:r>
    </w:p>
    <w:p w14:paraId="0769AFFB" w14:textId="63E7275C" w:rsidR="00620F99" w:rsidRDefault="00620F99" w:rsidP="00620F99">
      <w:pPr>
        <w:widowControl w:val="0"/>
        <w:shd w:val="clear" w:color="auto" w:fill="FFFFFF"/>
        <w:spacing w:line="276" w:lineRule="auto"/>
        <w:ind w:firstLine="720"/>
        <w:jc w:val="both"/>
      </w:pPr>
      <w:r>
        <w:lastRenderedPageBreak/>
        <w:t xml:space="preserve">Ievērojot minēto, Senāts secina, ka apelācijas instances tiesa </w:t>
      </w:r>
      <w:r w:rsidR="00BB450C">
        <w:t xml:space="preserve">ir </w:t>
      </w:r>
      <w:r>
        <w:t xml:space="preserve">pieļāvusi </w:t>
      </w:r>
      <w:r w:rsidRPr="00561852">
        <w:rPr>
          <w:rFonts w:asciiTheme="majorBidi" w:hAnsiTheme="majorBidi" w:cstheme="majorBidi"/>
        </w:rPr>
        <w:t>Kriminālprocesa likuma 564. panta ceturtās daļas pārkāpumu</w:t>
      </w:r>
      <w:r>
        <w:rPr>
          <w:rFonts w:asciiTheme="majorBidi" w:hAnsiTheme="majorBidi" w:cstheme="majorBidi"/>
        </w:rPr>
        <w:t>.</w:t>
      </w:r>
    </w:p>
    <w:p w14:paraId="78189451" w14:textId="1983AEE9" w:rsidR="00DB5216" w:rsidRDefault="00620F99" w:rsidP="00620F99">
      <w:pPr>
        <w:widowControl w:val="0"/>
        <w:shd w:val="clear" w:color="auto" w:fill="FFFFFF"/>
        <w:spacing w:line="276" w:lineRule="auto"/>
        <w:ind w:firstLine="720"/>
        <w:jc w:val="both"/>
      </w:pPr>
      <w:r>
        <w:t>[6.</w:t>
      </w:r>
      <w:r w:rsidR="00E23B70">
        <w:t>3</w:t>
      </w:r>
      <w:r>
        <w:t xml:space="preserve">] </w:t>
      </w:r>
      <w:r w:rsidR="00DB5216">
        <w:t xml:space="preserve">Tālāk Senāts izvērtēs, vai konstatētais pārkāpums ir pamats tiesas nolēmuma atcelšanai. </w:t>
      </w:r>
    </w:p>
    <w:p w14:paraId="14865AC9" w14:textId="76888104" w:rsidR="00620F99" w:rsidRPr="00620F99" w:rsidRDefault="00DB5216" w:rsidP="00620F99">
      <w:pPr>
        <w:widowControl w:val="0"/>
        <w:shd w:val="clear" w:color="auto" w:fill="FFFFFF"/>
        <w:spacing w:line="276" w:lineRule="auto"/>
        <w:ind w:firstLine="720"/>
        <w:jc w:val="both"/>
      </w:pPr>
      <w:r>
        <w:rPr>
          <w:rFonts w:eastAsia="Aptos"/>
          <w:bCs/>
          <w:kern w:val="2"/>
          <w14:ligatures w14:val="standardContextual"/>
        </w:rPr>
        <w:t>S</w:t>
      </w:r>
      <w:r w:rsidR="004B6F88">
        <w:rPr>
          <w:rFonts w:eastAsia="Aptos"/>
          <w:bCs/>
          <w:kern w:val="2"/>
          <w14:ligatures w14:val="standardContextual"/>
        </w:rPr>
        <w:t>askaņā ar Kriminālprocesa likuma 575. panta trešo daļu p</w:t>
      </w:r>
      <w:r w:rsidR="004B6F88" w:rsidRPr="004B6F88">
        <w:rPr>
          <w:rFonts w:eastAsia="Aptos"/>
          <w:bCs/>
          <w:kern w:val="2"/>
          <w14:ligatures w14:val="standardContextual"/>
        </w:rPr>
        <w:t xml:space="preserve">ar šā likuma būtisku pārkāpumu var atzīt </w:t>
      </w:r>
      <w:r w:rsidR="00E67F54">
        <w:rPr>
          <w:rFonts w:eastAsia="Aptos"/>
          <w:bCs/>
          <w:kern w:val="2"/>
          <w14:ligatures w14:val="standardContextual"/>
        </w:rPr>
        <w:t xml:space="preserve">citus </w:t>
      </w:r>
      <w:r w:rsidR="004B6F88" w:rsidRPr="004B6F88">
        <w:rPr>
          <w:rFonts w:eastAsia="Aptos"/>
          <w:bCs/>
          <w:kern w:val="2"/>
          <w14:ligatures w14:val="standardContextual"/>
        </w:rPr>
        <w:t>šā likuma pārkāpumus, kas noveduši pie nelikumīga vai netaisnīga nolēmuma.</w:t>
      </w:r>
    </w:p>
    <w:p w14:paraId="5AE43287" w14:textId="1DC0FC0F" w:rsidR="004B6F88" w:rsidRPr="0044291B" w:rsidRDefault="004B6F88" w:rsidP="0044291B">
      <w:pPr>
        <w:widowControl w:val="0"/>
        <w:shd w:val="clear" w:color="auto" w:fill="FFFFFF"/>
        <w:spacing w:line="276" w:lineRule="auto"/>
        <w:ind w:firstLine="720"/>
        <w:jc w:val="both"/>
        <w:rPr>
          <w:rFonts w:eastAsia="Aptos"/>
          <w:bCs/>
          <w:kern w:val="2"/>
          <w14:ligatures w14:val="standardContextual"/>
        </w:rPr>
      </w:pPr>
      <w:r w:rsidRPr="004B6F88">
        <w:t>Procesuāla rakstura kļūdas un to ietekme uz nolēmuma likumīgumu ir vērtējamas saprātīgi, samērīgi un taisnīgi. Lai zemākas instances tiesas nolēmumu atzītu par nelikumīgu procesuāla pārkāpuma dēļ, jābūt pamatotām šaubām, ka gadījumā, ja procesuālā kārtība tiktu ievērota, tiktu pieņemts atšķirīgs nolēmums (</w:t>
      </w:r>
      <w:r w:rsidRPr="004B6F88">
        <w:rPr>
          <w:i/>
          <w:iCs/>
        </w:rPr>
        <w:t>Senāta 2020. gada 30. oktobra lēmum</w:t>
      </w:r>
      <w:r w:rsidR="00620F99">
        <w:rPr>
          <w:i/>
          <w:iCs/>
        </w:rPr>
        <w:t>a</w:t>
      </w:r>
      <w:r w:rsidRPr="004B6F88">
        <w:rPr>
          <w:i/>
          <w:iCs/>
        </w:rPr>
        <w:t xml:space="preserve"> lietā Nr. SKK-59/2020, </w:t>
      </w:r>
      <w:hyperlink r:id="rId10" w:history="1">
        <w:r w:rsidRPr="004B6F88">
          <w:rPr>
            <w:rStyle w:val="Hyperlink"/>
            <w:i/>
            <w:iCs/>
            <w:color w:val="auto"/>
            <w:u w:val="none"/>
            <w:shd w:val="clear" w:color="auto" w:fill="FFFFFF"/>
          </w:rPr>
          <w:t>ECLI:LV:AT:2020:1030.3870001003.3.L</w:t>
        </w:r>
      </w:hyperlink>
      <w:r w:rsidRPr="004B6F88">
        <w:rPr>
          <w:i/>
          <w:iCs/>
        </w:rPr>
        <w:t>, 35.1.</w:t>
      </w:r>
      <w:r w:rsidR="00DB5216">
        <w:rPr>
          <w:i/>
          <w:iCs/>
        </w:rPr>
        <w:t> </w:t>
      </w:r>
      <w:r w:rsidRPr="004B6F88">
        <w:rPr>
          <w:i/>
          <w:iCs/>
        </w:rPr>
        <w:t>punkts</w:t>
      </w:r>
      <w:r w:rsidRPr="004B6F88">
        <w:t>).</w:t>
      </w:r>
      <w:bookmarkStart w:id="1" w:name="_Hlk214904328"/>
      <w:r w:rsidR="0044291B">
        <w:rPr>
          <w:rFonts w:eastAsia="Aptos"/>
          <w:bCs/>
          <w:kern w:val="2"/>
          <w14:ligatures w14:val="standardContextual"/>
        </w:rPr>
        <w:t xml:space="preserve"> </w:t>
      </w:r>
      <w:r w:rsidR="00BA235F">
        <w:rPr>
          <w:rFonts w:asciiTheme="majorBidi" w:eastAsia="Aptos" w:hAnsiTheme="majorBidi" w:cstheme="majorBidi"/>
          <w:kern w:val="2"/>
          <w14:ligatures w14:val="standardContextual"/>
        </w:rPr>
        <w:t xml:space="preserve">Piemēram, </w:t>
      </w:r>
      <w:r w:rsidRPr="00620F99">
        <w:t>tas, ka apelācijas instances tiesa atsevišķus faktus un notikumus nav vērtējusi, nevar būt par pamatu apelācijas instances tiesas sprieduma atcelšanai vai grozīšanai, ja tiem nav izšķirošas nozīmes konkrēt</w:t>
      </w:r>
      <w:r w:rsidR="0044291B">
        <w:t>ās</w:t>
      </w:r>
      <w:r w:rsidRPr="00620F99">
        <w:t xml:space="preserve"> lietas taisnīgā izskatīšanā (</w:t>
      </w:r>
      <w:r w:rsidRPr="00620F99">
        <w:rPr>
          <w:i/>
          <w:iCs/>
        </w:rPr>
        <w:t>Senāta 2019.</w:t>
      </w:r>
      <w:r w:rsidR="00DB5216">
        <w:rPr>
          <w:i/>
          <w:iCs/>
        </w:rPr>
        <w:t> </w:t>
      </w:r>
      <w:r w:rsidRPr="00620F99">
        <w:rPr>
          <w:i/>
          <w:iCs/>
        </w:rPr>
        <w:t>gada 25.</w:t>
      </w:r>
      <w:r w:rsidR="00DB5216">
        <w:rPr>
          <w:i/>
          <w:iCs/>
        </w:rPr>
        <w:t> </w:t>
      </w:r>
      <w:r w:rsidRPr="00620F99">
        <w:rPr>
          <w:i/>
          <w:iCs/>
        </w:rPr>
        <w:t>aprīļa lēmuma lietā Nr. SKK-</w:t>
      </w:r>
      <w:r w:rsidR="00215FE5">
        <w:rPr>
          <w:i/>
          <w:iCs/>
        </w:rPr>
        <w:t> </w:t>
      </w:r>
      <w:r w:rsidRPr="00620F99">
        <w:rPr>
          <w:i/>
          <w:iCs/>
        </w:rPr>
        <w:t xml:space="preserve">33/2019, </w:t>
      </w:r>
      <w:hyperlink r:id="rId11" w:history="1">
        <w:r w:rsidRPr="00620F99">
          <w:rPr>
            <w:rStyle w:val="Hyperlink"/>
            <w:i/>
            <w:iCs/>
            <w:color w:val="auto"/>
            <w:u w:val="none"/>
            <w:shd w:val="clear" w:color="auto" w:fill="FFFFFF"/>
          </w:rPr>
          <w:t>ECLI:LV:AT:2019:0425.12812000713.2.L</w:t>
        </w:r>
      </w:hyperlink>
      <w:r w:rsidRPr="00620F99">
        <w:rPr>
          <w:i/>
          <w:iCs/>
        </w:rPr>
        <w:t>, 32. punkts</w:t>
      </w:r>
      <w:r w:rsidRPr="00620F99">
        <w:t>).</w:t>
      </w:r>
    </w:p>
    <w:bookmarkEnd w:id="1"/>
    <w:p w14:paraId="1FE87D67" w14:textId="0FFA52B4" w:rsidR="00DD7B3F" w:rsidRPr="00DD7B3F" w:rsidRDefault="00DD7B3F" w:rsidP="00DD7B3F">
      <w:pPr>
        <w:widowControl w:val="0"/>
        <w:shd w:val="clear" w:color="auto" w:fill="FFFFFF"/>
        <w:spacing w:line="276" w:lineRule="auto"/>
        <w:ind w:firstLine="720"/>
        <w:jc w:val="both"/>
      </w:pPr>
      <w:r w:rsidRPr="00DD7B3F">
        <w:t xml:space="preserve">Izvērtējot kasācijas protestā norādītos argumentus un </w:t>
      </w:r>
      <w:r w:rsidR="00215FE5">
        <w:t>abu</w:t>
      </w:r>
      <w:r w:rsidR="00215FE5" w:rsidRPr="00DD7B3F">
        <w:t xml:space="preserve"> </w:t>
      </w:r>
      <w:r w:rsidRPr="00DD7B3F">
        <w:t>instanču tiesu nolēmumus, Senāts secina, ka AS</w:t>
      </w:r>
      <w:r w:rsidR="00215FE5">
        <w:t> „</w:t>
      </w:r>
      <w:r w:rsidRPr="00DD7B3F">
        <w:t>Rietumu Banka” konta izraksts, ko apelācijas instances tiesa neizvērtēja, ir būtisks, lai noskaidrotu naudas pārskaitījuma apstākļus un tajā iesaistītās personas, kā arī izšķirtu jautājumu par apsūdzētās saistību ar viņai inkriminēto naudas pārskaitījumu, īpaši gadījumā, ja tiktu atzīts par pierādītu, ka grāmatvede bez apsūdzētās</w:t>
      </w:r>
      <w:r w:rsidR="00AE05E6">
        <w:t xml:space="preserve"> </w:t>
      </w:r>
      <w:r w:rsidR="00117112">
        <w:t>[pers. A]</w:t>
      </w:r>
      <w:r w:rsidRPr="00DD7B3F">
        <w:t xml:space="preserve"> iesaistes šo pārskaitījumu pēc savas iniciatīvas</w:t>
      </w:r>
      <w:r w:rsidR="00AE05E6">
        <w:t xml:space="preserve"> veikt nevarēja</w:t>
      </w:r>
      <w:r w:rsidRPr="00DD7B3F">
        <w:t>.</w:t>
      </w:r>
    </w:p>
    <w:p w14:paraId="728F0DEB" w14:textId="074ED49A" w:rsidR="00A45223" w:rsidRDefault="00E23B70" w:rsidP="00A45223">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[6.4] </w:t>
      </w:r>
      <w:r w:rsidR="00DB5216">
        <w:rPr>
          <w:rFonts w:asciiTheme="majorBidi" w:hAnsiTheme="majorBidi" w:cstheme="majorBidi"/>
        </w:rPr>
        <w:t>Ievērojot</w:t>
      </w:r>
      <w:r w:rsidR="00A45223">
        <w:rPr>
          <w:rFonts w:asciiTheme="majorBidi" w:hAnsiTheme="majorBidi" w:cstheme="majorBidi"/>
        </w:rPr>
        <w:t xml:space="preserve"> minēto,</w:t>
      </w:r>
      <w:r w:rsidR="00C879B4">
        <w:rPr>
          <w:rFonts w:asciiTheme="majorBidi" w:hAnsiTheme="majorBidi" w:cstheme="majorBidi"/>
        </w:rPr>
        <w:t xml:space="preserve"> </w:t>
      </w:r>
      <w:r w:rsidR="00A45223">
        <w:rPr>
          <w:rFonts w:asciiTheme="majorBidi" w:hAnsiTheme="majorBidi" w:cstheme="majorBidi"/>
        </w:rPr>
        <w:t>Senāts atzīst, ka</w:t>
      </w:r>
      <w:r w:rsidR="00A45223" w:rsidRPr="00561852">
        <w:rPr>
          <w:rFonts w:asciiTheme="majorBidi" w:hAnsiTheme="majorBidi" w:cstheme="majorBidi"/>
        </w:rPr>
        <w:t xml:space="preserve"> </w:t>
      </w:r>
      <w:r w:rsidR="00A45223">
        <w:rPr>
          <w:rFonts w:asciiTheme="majorBidi" w:hAnsiTheme="majorBidi" w:cstheme="majorBidi"/>
        </w:rPr>
        <w:t>apelācijas instances tiesas pieļaut</w:t>
      </w:r>
      <w:r w:rsidR="0052249C">
        <w:rPr>
          <w:rFonts w:asciiTheme="majorBidi" w:hAnsiTheme="majorBidi" w:cstheme="majorBidi"/>
        </w:rPr>
        <w:t>ais</w:t>
      </w:r>
      <w:r w:rsidR="00A45223">
        <w:rPr>
          <w:rFonts w:asciiTheme="majorBidi" w:hAnsiTheme="majorBidi" w:cstheme="majorBidi"/>
        </w:rPr>
        <w:t xml:space="preserve"> </w:t>
      </w:r>
      <w:r w:rsidR="00A45223" w:rsidRPr="00B21128">
        <w:rPr>
          <w:rFonts w:asciiTheme="majorBidi" w:hAnsiTheme="majorBidi" w:cstheme="majorBidi"/>
        </w:rPr>
        <w:t>procesuāl</w:t>
      </w:r>
      <w:r w:rsidR="00D21594" w:rsidRPr="00B21128">
        <w:rPr>
          <w:rFonts w:asciiTheme="majorBidi" w:hAnsiTheme="majorBidi" w:cstheme="majorBidi"/>
        </w:rPr>
        <w:t>ās</w:t>
      </w:r>
      <w:r w:rsidR="00A45223" w:rsidRPr="00B21128">
        <w:rPr>
          <w:rFonts w:asciiTheme="majorBidi" w:hAnsiTheme="majorBidi" w:cstheme="majorBidi"/>
        </w:rPr>
        <w:t xml:space="preserve"> norm</w:t>
      </w:r>
      <w:r w:rsidR="00DB5216" w:rsidRPr="00B21128">
        <w:rPr>
          <w:rFonts w:asciiTheme="majorBidi" w:hAnsiTheme="majorBidi" w:cstheme="majorBidi"/>
        </w:rPr>
        <w:t>u</w:t>
      </w:r>
      <w:r w:rsidR="00A45223" w:rsidRPr="00B21128">
        <w:rPr>
          <w:rFonts w:asciiTheme="majorBidi" w:hAnsiTheme="majorBidi" w:cstheme="majorBidi"/>
        </w:rPr>
        <w:t xml:space="preserve"> pārkāpum</w:t>
      </w:r>
      <w:r w:rsidR="0052249C" w:rsidRPr="00B21128">
        <w:rPr>
          <w:rFonts w:asciiTheme="majorBidi" w:hAnsiTheme="majorBidi" w:cstheme="majorBidi"/>
        </w:rPr>
        <w:t>s</w:t>
      </w:r>
      <w:r w:rsidR="00A45223" w:rsidRPr="00B24C5D">
        <w:rPr>
          <w:rFonts w:asciiTheme="majorBidi" w:hAnsiTheme="majorBidi" w:cstheme="majorBidi"/>
        </w:rPr>
        <w:t xml:space="preserve"> ir </w:t>
      </w:r>
      <w:r w:rsidR="00DB5216" w:rsidRPr="00B24C5D">
        <w:rPr>
          <w:rFonts w:asciiTheme="majorBidi" w:hAnsiTheme="majorBidi" w:cstheme="majorBidi"/>
        </w:rPr>
        <w:t>atzīstam</w:t>
      </w:r>
      <w:r w:rsidR="0052249C" w:rsidRPr="00B24C5D">
        <w:rPr>
          <w:rFonts w:asciiTheme="majorBidi" w:hAnsiTheme="majorBidi" w:cstheme="majorBidi"/>
        </w:rPr>
        <w:t>s</w:t>
      </w:r>
      <w:r w:rsidR="00DB5216" w:rsidRPr="00B24C5D">
        <w:rPr>
          <w:rFonts w:asciiTheme="majorBidi" w:hAnsiTheme="majorBidi" w:cstheme="majorBidi"/>
        </w:rPr>
        <w:t xml:space="preserve"> par Kriminālprocesa likuma būtisku pārkāpumu šā likuma 575.</w:t>
      </w:r>
      <w:r w:rsidR="00A377B5" w:rsidRPr="00B24C5D">
        <w:rPr>
          <w:rFonts w:asciiTheme="majorBidi" w:hAnsiTheme="majorBidi" w:cstheme="majorBidi"/>
        </w:rPr>
        <w:t> </w:t>
      </w:r>
      <w:r w:rsidR="00DB5216" w:rsidRPr="00B24C5D">
        <w:rPr>
          <w:rFonts w:asciiTheme="majorBidi" w:hAnsiTheme="majorBidi" w:cstheme="majorBidi"/>
        </w:rPr>
        <w:t>panta trešās daļas izpratnē</w:t>
      </w:r>
      <w:r w:rsidR="00B21128">
        <w:rPr>
          <w:rFonts w:asciiTheme="majorBidi" w:hAnsiTheme="majorBidi" w:cstheme="majorBidi"/>
        </w:rPr>
        <w:t>,</w:t>
      </w:r>
      <w:r w:rsidR="00DB5216" w:rsidRPr="00B24C5D">
        <w:rPr>
          <w:rFonts w:asciiTheme="majorBidi" w:hAnsiTheme="majorBidi" w:cstheme="majorBidi"/>
        </w:rPr>
        <w:t xml:space="preserve"> un</w:t>
      </w:r>
      <w:r w:rsidR="00A45223" w:rsidRPr="00B24C5D">
        <w:rPr>
          <w:rFonts w:asciiTheme="majorBidi" w:hAnsiTheme="majorBidi" w:cstheme="majorBidi"/>
        </w:rPr>
        <w:t xml:space="preserve"> tādēļ tās nolēmums atceļams</w:t>
      </w:r>
      <w:r w:rsidR="00A377B5" w:rsidRPr="00B24C5D">
        <w:rPr>
          <w:rFonts w:asciiTheme="majorBidi" w:hAnsiTheme="majorBidi" w:cstheme="majorBidi"/>
        </w:rPr>
        <w:t xml:space="preserve"> pilnībā un lieta nosūtāma jaunai izskatīšanai apelācijas instances tiesā</w:t>
      </w:r>
      <w:r w:rsidR="00A45223" w:rsidRPr="00B24C5D">
        <w:rPr>
          <w:rFonts w:asciiTheme="majorBidi" w:hAnsiTheme="majorBidi" w:cstheme="majorBidi"/>
        </w:rPr>
        <w:t>.</w:t>
      </w:r>
    </w:p>
    <w:p w14:paraId="2FA0D6A6" w14:textId="514F2608" w:rsidR="00580377" w:rsidRDefault="00403FFB" w:rsidP="00580377">
      <w:pPr>
        <w:widowControl w:val="0"/>
        <w:shd w:val="clear" w:color="auto" w:fill="FFFFFF"/>
        <w:spacing w:line="276" w:lineRule="auto"/>
        <w:ind w:firstLine="720"/>
        <w:jc w:val="both"/>
        <w:rPr>
          <w:rFonts w:eastAsiaTheme="majorEastAsia"/>
        </w:rPr>
      </w:pPr>
      <w:r w:rsidRPr="00403FFB">
        <w:rPr>
          <w:rFonts w:eastAsiaTheme="majorEastAsia"/>
        </w:rPr>
        <w:t xml:space="preserve">Kasācijas protestā </w:t>
      </w:r>
      <w:r w:rsidR="000E78A0">
        <w:rPr>
          <w:rFonts w:eastAsiaTheme="majorEastAsia"/>
        </w:rPr>
        <w:t>norādītais arguments par to</w:t>
      </w:r>
      <w:r w:rsidRPr="00403FFB">
        <w:rPr>
          <w:rFonts w:eastAsiaTheme="majorEastAsia"/>
        </w:rPr>
        <w:t xml:space="preserve">, ka </w:t>
      </w:r>
      <w:r w:rsidR="000E78A0">
        <w:rPr>
          <w:rFonts w:eastAsiaTheme="majorEastAsia"/>
        </w:rPr>
        <w:t xml:space="preserve">tiesa nav kopsakarībā ar citiem pierādījumiem izvērtējusi apsūdzētās </w:t>
      </w:r>
      <w:r w:rsidR="00117112">
        <w:rPr>
          <w:rFonts w:eastAsiaTheme="majorEastAsia"/>
        </w:rPr>
        <w:t>[pers. A]</w:t>
      </w:r>
      <w:r w:rsidR="00DD7B3F" w:rsidRPr="00C7271F">
        <w:rPr>
          <w:rFonts w:eastAsiaTheme="majorEastAsia"/>
        </w:rPr>
        <w:t xml:space="preserve"> liecības</w:t>
      </w:r>
      <w:r w:rsidR="000E78A0">
        <w:rPr>
          <w:rFonts w:eastAsiaTheme="majorEastAsia"/>
        </w:rPr>
        <w:t>, ir jāizvērtē apelācijas instances tiesai, izskatot lietu no jauna.</w:t>
      </w:r>
    </w:p>
    <w:p w14:paraId="153E2A6E" w14:textId="720359D8" w:rsidR="00580377" w:rsidRDefault="00C879B4" w:rsidP="00580377">
      <w:pPr>
        <w:widowControl w:val="0"/>
        <w:shd w:val="clear" w:color="auto" w:fill="FFFFFF"/>
        <w:spacing w:line="276" w:lineRule="auto"/>
        <w:ind w:firstLine="720"/>
        <w:jc w:val="both"/>
        <w:rPr>
          <w:rFonts w:eastAsiaTheme="majorEastAsia"/>
        </w:rPr>
      </w:pPr>
      <w:r>
        <w:rPr>
          <w:rFonts w:eastAsiaTheme="majorEastAsia"/>
        </w:rPr>
        <w:t xml:space="preserve">[6.5] </w:t>
      </w:r>
      <w:r w:rsidR="00580377" w:rsidRPr="00580377">
        <w:rPr>
          <w:rFonts w:eastAsiaTheme="majorEastAsia"/>
        </w:rPr>
        <w:t>Atceļot apelācijas instances tiesas lēmumu, Senāts vērš uzmanību</w:t>
      </w:r>
      <w:r>
        <w:rPr>
          <w:rFonts w:eastAsiaTheme="majorEastAsia"/>
        </w:rPr>
        <w:t xml:space="preserve"> arī uz to</w:t>
      </w:r>
      <w:r w:rsidR="00580377" w:rsidRPr="00580377">
        <w:rPr>
          <w:rFonts w:eastAsiaTheme="majorEastAsia"/>
        </w:rPr>
        <w:t xml:space="preserve">, ka </w:t>
      </w:r>
      <w:r w:rsidR="00580377">
        <w:rPr>
          <w:rFonts w:eastAsiaTheme="majorEastAsia"/>
        </w:rPr>
        <w:t xml:space="preserve">apelācijas instances </w:t>
      </w:r>
      <w:r w:rsidR="00580377" w:rsidRPr="00580377">
        <w:rPr>
          <w:rFonts w:eastAsiaTheme="majorEastAsia"/>
        </w:rPr>
        <w:t>tiesai ir tiesības piemērot Kriminālprocesa likuma 455.</w:t>
      </w:r>
      <w:r w:rsidR="00580377">
        <w:rPr>
          <w:rFonts w:eastAsiaTheme="majorEastAsia"/>
        </w:rPr>
        <w:t> </w:t>
      </w:r>
      <w:r w:rsidR="00580377" w:rsidRPr="00580377">
        <w:rPr>
          <w:rFonts w:eastAsiaTheme="majorEastAsia"/>
        </w:rPr>
        <w:t>panta trešo daļu, proti, atzīt par pierādītiem no apsūdzības atšķirīgus noziedzīgā nodarījuma faktiskos apstākļus, ja ar to netiek pasliktināts apsūdzētā stāvoklis un netiek aizskartas viņa tiesības uz aizstāvību (</w:t>
      </w:r>
      <w:r w:rsidR="00580377" w:rsidRPr="00580377">
        <w:rPr>
          <w:rFonts w:eastAsiaTheme="majorEastAsia"/>
          <w:i/>
          <w:iCs/>
        </w:rPr>
        <w:t>Senāta 2021.</w:t>
      </w:r>
      <w:r w:rsidR="006F79E4">
        <w:rPr>
          <w:rFonts w:eastAsiaTheme="majorEastAsia"/>
          <w:i/>
          <w:iCs/>
        </w:rPr>
        <w:t> </w:t>
      </w:r>
      <w:r w:rsidR="00580377" w:rsidRPr="00580377">
        <w:rPr>
          <w:rFonts w:eastAsiaTheme="majorEastAsia"/>
          <w:i/>
          <w:iCs/>
        </w:rPr>
        <w:t>gada 17.</w:t>
      </w:r>
      <w:r w:rsidR="006F79E4">
        <w:rPr>
          <w:rFonts w:eastAsiaTheme="majorEastAsia"/>
          <w:i/>
          <w:iCs/>
        </w:rPr>
        <w:t> </w:t>
      </w:r>
      <w:r w:rsidR="00580377" w:rsidRPr="00580377">
        <w:rPr>
          <w:rFonts w:eastAsiaTheme="majorEastAsia"/>
          <w:i/>
          <w:iCs/>
        </w:rPr>
        <w:t>marta lēmuma lietā Nr.</w:t>
      </w:r>
      <w:r w:rsidR="006F79E4">
        <w:rPr>
          <w:rFonts w:eastAsiaTheme="majorEastAsia"/>
          <w:i/>
          <w:iCs/>
        </w:rPr>
        <w:t> </w:t>
      </w:r>
      <w:r w:rsidR="00580377" w:rsidRPr="00580377">
        <w:rPr>
          <w:rFonts w:eastAsiaTheme="majorEastAsia"/>
          <w:i/>
          <w:iCs/>
        </w:rPr>
        <w:t>SKK</w:t>
      </w:r>
      <w:r w:rsidR="006F79E4">
        <w:rPr>
          <w:rFonts w:eastAsiaTheme="majorEastAsia"/>
          <w:i/>
          <w:iCs/>
        </w:rPr>
        <w:t>-</w:t>
      </w:r>
      <w:r w:rsidR="00580377" w:rsidRPr="00580377">
        <w:rPr>
          <w:rFonts w:eastAsiaTheme="majorEastAsia"/>
          <w:i/>
          <w:iCs/>
        </w:rPr>
        <w:t>40/2021, ECLI:LV:AT:2021:0317.12814009511.6.L, 13.</w:t>
      </w:r>
      <w:r w:rsidR="006F79E4">
        <w:rPr>
          <w:rFonts w:eastAsiaTheme="majorEastAsia"/>
          <w:i/>
          <w:iCs/>
        </w:rPr>
        <w:t> </w:t>
      </w:r>
      <w:r w:rsidR="00580377" w:rsidRPr="00580377">
        <w:rPr>
          <w:rFonts w:eastAsiaTheme="majorEastAsia"/>
          <w:i/>
          <w:iCs/>
        </w:rPr>
        <w:t>punkts</w:t>
      </w:r>
      <w:r w:rsidR="00580377" w:rsidRPr="00580377">
        <w:rPr>
          <w:rFonts w:eastAsiaTheme="majorEastAsia"/>
        </w:rPr>
        <w:t xml:space="preserve">). </w:t>
      </w:r>
    </w:p>
    <w:p w14:paraId="27BFEB1A" w14:textId="6430F2C0" w:rsidR="00580377" w:rsidRPr="00C879B4" w:rsidRDefault="00C879B4" w:rsidP="00C879B4">
      <w:pPr>
        <w:widowControl w:val="0"/>
        <w:shd w:val="clear" w:color="auto" w:fill="FFFFFF"/>
        <w:spacing w:line="276" w:lineRule="auto"/>
        <w:ind w:firstLine="720"/>
        <w:jc w:val="both"/>
      </w:pPr>
      <w:r>
        <w:rPr>
          <w:rFonts w:eastAsiaTheme="majorEastAsia"/>
        </w:rPr>
        <w:t xml:space="preserve">Tomēr šī norma piemērojama </w:t>
      </w:r>
      <w:r w:rsidR="00580377" w:rsidRPr="00580377">
        <w:rPr>
          <w:rFonts w:eastAsiaTheme="majorEastAsia"/>
        </w:rPr>
        <w:t>vien tad</w:t>
      </w:r>
      <w:r w:rsidR="00580377" w:rsidRPr="00C35FD6">
        <w:t>, ja no apsūdzības atšķirīgais faktiskais apstāklis nav pamats bargāka soda</w:t>
      </w:r>
      <w:r>
        <w:t xml:space="preserve"> noteikšanai</w:t>
      </w:r>
      <w:r w:rsidR="00580377" w:rsidRPr="00C35FD6">
        <w:t xml:space="preserve"> un apsūdzētaja</w:t>
      </w:r>
      <w:r>
        <w:t>m</w:t>
      </w:r>
      <w:r w:rsidR="00580377" w:rsidRPr="00C35FD6">
        <w:t xml:space="preserve"> </w:t>
      </w:r>
      <w:r w:rsidR="00580377">
        <w:t>bija</w:t>
      </w:r>
      <w:r w:rsidR="00580377" w:rsidRPr="00C35FD6">
        <w:t xml:space="preserve"> reāla iespēja pret </w:t>
      </w:r>
      <w:r w:rsidR="00580377">
        <w:t>to aizstāvēties.</w:t>
      </w:r>
    </w:p>
    <w:p w14:paraId="0E826619" w14:textId="2ABB893C" w:rsidR="00523479" w:rsidRDefault="000E78A0" w:rsidP="00523479">
      <w:pPr>
        <w:pStyle w:val="NormalWeb"/>
        <w:shd w:val="clear" w:color="auto" w:fill="FFFFFF"/>
        <w:spacing w:line="276" w:lineRule="auto"/>
        <w:ind w:firstLine="720"/>
        <w:contextualSpacing/>
        <w:jc w:val="both"/>
        <w:rPr>
          <w:rFonts w:eastAsiaTheme="majorEastAsia"/>
        </w:rPr>
      </w:pPr>
      <w:bookmarkStart w:id="2" w:name="_Hlk214983599"/>
      <w:r>
        <w:rPr>
          <w:rFonts w:eastAsiaTheme="majorEastAsia"/>
        </w:rPr>
        <w:t xml:space="preserve">[7] </w:t>
      </w:r>
      <w:r w:rsidR="00523479" w:rsidRPr="00523479">
        <w:rPr>
          <w:rFonts w:eastAsiaTheme="majorEastAsia"/>
        </w:rPr>
        <w:t>Senāts konstatē, ka prokurors kasācijas protestā, izvirzot jautājumu, vai Krimināllikuma 193.</w:t>
      </w:r>
      <w:r w:rsidR="006F79E4">
        <w:rPr>
          <w:rFonts w:eastAsiaTheme="majorEastAsia"/>
        </w:rPr>
        <w:t> </w:t>
      </w:r>
      <w:r w:rsidR="00523479" w:rsidRPr="00523479">
        <w:rPr>
          <w:rFonts w:eastAsiaTheme="majorEastAsia"/>
        </w:rPr>
        <w:t>pantā paredzēt</w:t>
      </w:r>
      <w:r w:rsidR="00E96E87">
        <w:rPr>
          <w:rFonts w:eastAsiaTheme="majorEastAsia"/>
        </w:rPr>
        <w:t>ais</w:t>
      </w:r>
      <w:r w:rsidR="00523479" w:rsidRPr="00523479">
        <w:rPr>
          <w:rFonts w:eastAsiaTheme="majorEastAsia"/>
        </w:rPr>
        <w:t xml:space="preserve"> noziedzīg</w:t>
      </w:r>
      <w:r w:rsidR="00E96E87">
        <w:rPr>
          <w:rFonts w:eastAsiaTheme="majorEastAsia"/>
        </w:rPr>
        <w:t>ais</w:t>
      </w:r>
      <w:r w:rsidR="00523479" w:rsidRPr="00523479">
        <w:rPr>
          <w:rFonts w:eastAsiaTheme="majorEastAsia"/>
        </w:rPr>
        <w:t xml:space="preserve"> nodarījum</w:t>
      </w:r>
      <w:r w:rsidR="00E96E87">
        <w:rPr>
          <w:rFonts w:eastAsiaTheme="majorEastAsia"/>
        </w:rPr>
        <w:t>s</w:t>
      </w:r>
      <w:r w:rsidR="00523479" w:rsidRPr="00523479">
        <w:rPr>
          <w:rFonts w:eastAsiaTheme="majorEastAsia"/>
        </w:rPr>
        <w:t xml:space="preserve"> ir formāl</w:t>
      </w:r>
      <w:r w:rsidR="00E96E87">
        <w:rPr>
          <w:rFonts w:eastAsiaTheme="majorEastAsia"/>
        </w:rPr>
        <w:t>a</w:t>
      </w:r>
      <w:r w:rsidR="00FE7477">
        <w:rPr>
          <w:rFonts w:eastAsiaTheme="majorEastAsia"/>
        </w:rPr>
        <w:t xml:space="preserve"> vai materiāla</w:t>
      </w:r>
      <w:r w:rsidR="00E96E87">
        <w:rPr>
          <w:rFonts w:eastAsiaTheme="majorEastAsia"/>
        </w:rPr>
        <w:t xml:space="preserve"> </w:t>
      </w:r>
      <w:r w:rsidR="00E96E87">
        <w:rPr>
          <w:rFonts w:eastAsiaTheme="majorEastAsia"/>
        </w:rPr>
        <w:lastRenderedPageBreak/>
        <w:t>sastāva</w:t>
      </w:r>
      <w:r w:rsidR="00523479" w:rsidRPr="00523479">
        <w:rPr>
          <w:rFonts w:eastAsiaTheme="majorEastAsia"/>
        </w:rPr>
        <w:t>, pēc būtības apstrīdējis apelācijas instances tiesas sniegto Krimināllikuma 193.</w:t>
      </w:r>
      <w:r w:rsidR="00E96E87">
        <w:rPr>
          <w:rFonts w:eastAsiaTheme="majorEastAsia"/>
        </w:rPr>
        <w:t> </w:t>
      </w:r>
      <w:r w:rsidR="00523479" w:rsidRPr="00523479">
        <w:rPr>
          <w:rFonts w:eastAsiaTheme="majorEastAsia"/>
        </w:rPr>
        <w:t>panta interpretāciju</w:t>
      </w:r>
      <w:r w:rsidR="00D21594">
        <w:rPr>
          <w:rFonts w:eastAsiaTheme="majorEastAsia"/>
        </w:rPr>
        <w:t>.</w:t>
      </w:r>
    </w:p>
    <w:p w14:paraId="6D7FCE06" w14:textId="7A873AAD" w:rsidR="00E96E87" w:rsidRDefault="00523479" w:rsidP="00E96E87">
      <w:pPr>
        <w:pStyle w:val="NormalWeb"/>
        <w:shd w:val="clear" w:color="auto" w:fill="FFFFFF"/>
        <w:spacing w:line="276" w:lineRule="auto"/>
        <w:ind w:firstLine="720"/>
        <w:contextualSpacing/>
        <w:jc w:val="both"/>
        <w:rPr>
          <w:rFonts w:eastAsiaTheme="majorEastAsia"/>
        </w:rPr>
      </w:pPr>
      <w:r>
        <w:rPr>
          <w:rFonts w:eastAsiaTheme="majorEastAsia"/>
        </w:rPr>
        <w:t xml:space="preserve">[7.1] </w:t>
      </w:r>
      <w:r w:rsidR="00E96E87" w:rsidRPr="00E96E87">
        <w:rPr>
          <w:rFonts w:eastAsiaTheme="majorEastAsia"/>
        </w:rPr>
        <w:t xml:space="preserve">Apelācijas instances tiesa pievienojās pirmās instances tiesas </w:t>
      </w:r>
      <w:r w:rsidR="00C0778D">
        <w:rPr>
          <w:rFonts w:eastAsiaTheme="majorEastAsia"/>
        </w:rPr>
        <w:t xml:space="preserve">secinājumiem </w:t>
      </w:r>
      <w:r w:rsidR="00E96E87" w:rsidRPr="00E96E87">
        <w:rPr>
          <w:rFonts w:eastAsiaTheme="majorEastAsia"/>
        </w:rPr>
        <w:t xml:space="preserve">par </w:t>
      </w:r>
      <w:r w:rsidR="00E96E87">
        <w:rPr>
          <w:rFonts w:eastAsiaTheme="majorEastAsia"/>
        </w:rPr>
        <w:t>to, ka</w:t>
      </w:r>
      <w:r w:rsidR="00C0778D">
        <w:rPr>
          <w:rFonts w:eastAsiaTheme="majorEastAsia"/>
        </w:rPr>
        <w:t>: 1)</w:t>
      </w:r>
      <w:r w:rsidR="006F79E4">
        <w:rPr>
          <w:rFonts w:eastAsiaTheme="majorEastAsia"/>
        </w:rPr>
        <w:t> </w:t>
      </w:r>
      <w:r w:rsidR="00E96E87">
        <w:rPr>
          <w:rFonts w:eastAsiaTheme="majorEastAsia"/>
        </w:rPr>
        <w:t>Krimināllikuma 193. panta ceturtajā daļā paredzētais noziedzīgais nodarījums ir ar materiālu sastāvu</w:t>
      </w:r>
      <w:r w:rsidR="00C0778D">
        <w:rPr>
          <w:rFonts w:eastAsiaTheme="majorEastAsia"/>
        </w:rPr>
        <w:t>; 2)</w:t>
      </w:r>
      <w:r w:rsidR="006F79E4">
        <w:rPr>
          <w:rFonts w:eastAsiaTheme="majorEastAsia"/>
        </w:rPr>
        <w:t> </w:t>
      </w:r>
      <w:r w:rsidR="00E96E87" w:rsidRPr="00E96E87">
        <w:rPr>
          <w:rFonts w:eastAsiaTheme="majorEastAsia"/>
        </w:rPr>
        <w:t>nav piemērojamas Senāta 2013.</w:t>
      </w:r>
      <w:r w:rsidR="00C0778D">
        <w:rPr>
          <w:rFonts w:eastAsiaTheme="majorEastAsia"/>
        </w:rPr>
        <w:t> </w:t>
      </w:r>
      <w:r w:rsidR="00E96E87" w:rsidRPr="00E96E87">
        <w:rPr>
          <w:rFonts w:eastAsiaTheme="majorEastAsia"/>
        </w:rPr>
        <w:t>gada 19.</w:t>
      </w:r>
      <w:r w:rsidR="00C0778D">
        <w:rPr>
          <w:rFonts w:eastAsiaTheme="majorEastAsia"/>
        </w:rPr>
        <w:t> </w:t>
      </w:r>
      <w:r w:rsidR="00E96E87" w:rsidRPr="00E96E87">
        <w:rPr>
          <w:rFonts w:eastAsiaTheme="majorEastAsia"/>
        </w:rPr>
        <w:t>jūnija lēmumā lietā Nr.</w:t>
      </w:r>
      <w:r w:rsidR="006F79E4">
        <w:rPr>
          <w:rFonts w:eastAsiaTheme="majorEastAsia"/>
        </w:rPr>
        <w:t> </w:t>
      </w:r>
      <w:r w:rsidR="00E96E87" w:rsidRPr="00E96E87">
        <w:rPr>
          <w:rFonts w:eastAsiaTheme="majorEastAsia"/>
        </w:rPr>
        <w:t>SKK-</w:t>
      </w:r>
      <w:r w:rsidR="006F79E4">
        <w:rPr>
          <w:rFonts w:eastAsiaTheme="majorEastAsia"/>
        </w:rPr>
        <w:t> </w:t>
      </w:r>
      <w:r w:rsidR="00E96E87" w:rsidRPr="00E96E87">
        <w:rPr>
          <w:rFonts w:eastAsiaTheme="majorEastAsia"/>
        </w:rPr>
        <w:t>238/2013 izteiktās atziņas</w:t>
      </w:r>
      <w:r w:rsidR="001317E3">
        <w:rPr>
          <w:rFonts w:eastAsiaTheme="majorEastAsia"/>
        </w:rPr>
        <w:t>.</w:t>
      </w:r>
    </w:p>
    <w:p w14:paraId="4FBD74B0" w14:textId="30E2F3F6" w:rsidR="00E96E87" w:rsidRDefault="00FE7477" w:rsidP="00E96E87">
      <w:pPr>
        <w:pStyle w:val="NormalWeb"/>
        <w:shd w:val="clear" w:color="auto" w:fill="FFFFFF"/>
        <w:spacing w:line="276" w:lineRule="auto"/>
        <w:ind w:firstLine="720"/>
        <w:contextualSpacing/>
        <w:jc w:val="both"/>
        <w:rPr>
          <w:rFonts w:eastAsiaTheme="majorEastAsia"/>
        </w:rPr>
      </w:pPr>
      <w:r>
        <w:rPr>
          <w:rFonts w:eastAsiaTheme="majorEastAsia"/>
        </w:rPr>
        <w:t xml:space="preserve">[7.2] </w:t>
      </w:r>
      <w:r w:rsidR="00E96E87">
        <w:rPr>
          <w:rFonts w:eastAsiaTheme="majorEastAsia"/>
        </w:rPr>
        <w:t>Senāts atzīst, ka apelācijas instances tiesa nepareizi piemērojusi Krimināllikuma 193. pantu.</w:t>
      </w:r>
    </w:p>
    <w:p w14:paraId="7EC62922" w14:textId="7C55B793" w:rsidR="00077FA8" w:rsidRDefault="00E96E87" w:rsidP="00077FA8">
      <w:pPr>
        <w:pStyle w:val="NormalWeb"/>
        <w:shd w:val="clear" w:color="auto" w:fill="FFFFFF"/>
        <w:spacing w:line="276" w:lineRule="auto"/>
        <w:ind w:firstLine="720"/>
        <w:contextualSpacing/>
        <w:jc w:val="both"/>
      </w:pPr>
      <w:r>
        <w:t>T</w:t>
      </w:r>
      <w:r w:rsidR="00264450">
        <w:t xml:space="preserve">iesas uzdevums ir, </w:t>
      </w:r>
      <w:r w:rsidR="00264450" w:rsidRPr="001E63DF">
        <w:t xml:space="preserve">izmantojot </w:t>
      </w:r>
      <w:r w:rsidR="00264450">
        <w:t xml:space="preserve">tiesību </w:t>
      </w:r>
      <w:r w:rsidR="00264450" w:rsidRPr="001E63DF">
        <w:t xml:space="preserve">normu iztulkošanas metodes, </w:t>
      </w:r>
      <w:r w:rsidR="00264450">
        <w:t>no</w:t>
      </w:r>
      <w:r w:rsidR="00077FA8">
        <w:t>skaidrot</w:t>
      </w:r>
      <w:r w:rsidR="00264450" w:rsidRPr="00264450">
        <w:t>, vai</w:t>
      </w:r>
      <w:r w:rsidR="001317E3">
        <w:t xml:space="preserve"> iztiesāšanā </w:t>
      </w:r>
      <w:r w:rsidR="00264450" w:rsidRPr="00264450">
        <w:t>konstatēt</w:t>
      </w:r>
      <w:r w:rsidR="00F677E0">
        <w:t>ais</w:t>
      </w:r>
      <w:r w:rsidR="001317E3">
        <w:t xml:space="preserve"> apsūdzētā izdarītais</w:t>
      </w:r>
      <w:r w:rsidR="00264450">
        <w:t xml:space="preserve"> nodarījum</w:t>
      </w:r>
      <w:r w:rsidR="00F677E0">
        <w:t>s</w:t>
      </w:r>
      <w:r w:rsidR="00264450" w:rsidRPr="00264450">
        <w:t xml:space="preserve"> atbilst visām </w:t>
      </w:r>
      <w:r w:rsidR="00077FA8">
        <w:t xml:space="preserve">attiecīgajā </w:t>
      </w:r>
      <w:r w:rsidR="00F677E0">
        <w:t xml:space="preserve">Krimināllikuma normā </w:t>
      </w:r>
      <w:r w:rsidR="00264450" w:rsidRPr="00264450">
        <w:t xml:space="preserve">paredzētajām </w:t>
      </w:r>
      <w:r w:rsidR="00F677E0">
        <w:t xml:space="preserve">noziedzīgā nodarījuma </w:t>
      </w:r>
      <w:r w:rsidR="00264450" w:rsidRPr="00264450">
        <w:t>sastāva pazīmēm</w:t>
      </w:r>
      <w:r w:rsidR="00F677E0">
        <w:t xml:space="preserve"> (sk. arī Krimināl</w:t>
      </w:r>
      <w:r w:rsidR="004C1971">
        <w:t>procesa likuma</w:t>
      </w:r>
      <w:r w:rsidR="00F677E0">
        <w:t xml:space="preserve"> 514. panta pirmās daļas 2.</w:t>
      </w:r>
      <w:r w:rsidR="004C1971">
        <w:t> </w:t>
      </w:r>
      <w:r w:rsidR="00F677E0">
        <w:t>punktu).</w:t>
      </w:r>
    </w:p>
    <w:p w14:paraId="3D9876FD" w14:textId="1A937116" w:rsidR="00DC6147" w:rsidRDefault="00077FA8" w:rsidP="004C1971">
      <w:pPr>
        <w:pStyle w:val="NormalWeb"/>
        <w:shd w:val="clear" w:color="auto" w:fill="FFFFFF"/>
        <w:spacing w:line="276" w:lineRule="auto"/>
        <w:ind w:firstLine="720"/>
        <w:contextualSpacing/>
        <w:jc w:val="both"/>
      </w:pPr>
      <w:r>
        <w:t>T</w:t>
      </w:r>
      <w:r w:rsidRPr="00077FA8">
        <w:t xml:space="preserve">iesību normu </w:t>
      </w:r>
      <w:r>
        <w:t>iztulkošanas</w:t>
      </w:r>
      <w:r w:rsidRPr="00077FA8">
        <w:t xml:space="preserve"> metodes</w:t>
      </w:r>
      <w:r>
        <w:t xml:space="preserve"> – tāpat kā citas juridiskās metodes –</w:t>
      </w:r>
      <w:r w:rsidRPr="00077FA8">
        <w:t>, tiek uzskatītas par vispārējiem tiesību principiem (</w:t>
      </w:r>
      <w:proofErr w:type="spellStart"/>
      <w:r w:rsidRPr="00077FA8">
        <w:rPr>
          <w:i/>
          <w:iCs/>
        </w:rPr>
        <w:t>Rezevska</w:t>
      </w:r>
      <w:proofErr w:type="spellEnd"/>
      <w:r w:rsidRPr="00077FA8">
        <w:rPr>
          <w:i/>
          <w:iCs/>
        </w:rPr>
        <w:t xml:space="preserve"> D. Vispārējo tiesību principu nozīme un piemērošana. 2.</w:t>
      </w:r>
      <w:r>
        <w:rPr>
          <w:i/>
          <w:iCs/>
        </w:rPr>
        <w:t> </w:t>
      </w:r>
      <w:r w:rsidRPr="00077FA8">
        <w:rPr>
          <w:i/>
          <w:iCs/>
        </w:rPr>
        <w:t xml:space="preserve">izdevums. Rīga: D. </w:t>
      </w:r>
      <w:proofErr w:type="spellStart"/>
      <w:r w:rsidRPr="00077FA8">
        <w:rPr>
          <w:i/>
          <w:iCs/>
        </w:rPr>
        <w:t>Rezevskas</w:t>
      </w:r>
      <w:proofErr w:type="spellEnd"/>
      <w:r w:rsidRPr="00077FA8">
        <w:rPr>
          <w:i/>
          <w:iCs/>
        </w:rPr>
        <w:t xml:space="preserve"> izdevums, 2015, 31</w:t>
      </w:r>
      <w:r w:rsidR="00882D16">
        <w:rPr>
          <w:i/>
          <w:iCs/>
        </w:rPr>
        <w:t>.</w:t>
      </w:r>
      <w:r>
        <w:rPr>
          <w:i/>
          <w:iCs/>
        </w:rPr>
        <w:t>–</w:t>
      </w:r>
      <w:r w:rsidRPr="00077FA8">
        <w:rPr>
          <w:i/>
          <w:iCs/>
        </w:rPr>
        <w:t>32.</w:t>
      </w:r>
      <w:r w:rsidR="00882D16">
        <w:rPr>
          <w:i/>
          <w:iCs/>
        </w:rPr>
        <w:t> </w:t>
      </w:r>
      <w:r w:rsidRPr="00077FA8">
        <w:rPr>
          <w:i/>
          <w:iCs/>
        </w:rPr>
        <w:t>lpp</w:t>
      </w:r>
      <w:r w:rsidRPr="00077FA8">
        <w:t>.).</w:t>
      </w:r>
      <w:r w:rsidR="004C1971">
        <w:t xml:space="preserve"> </w:t>
      </w:r>
    </w:p>
    <w:p w14:paraId="10D66910" w14:textId="77777777" w:rsidR="00E96E87" w:rsidRDefault="00DC6147" w:rsidP="005C7B30">
      <w:pPr>
        <w:pStyle w:val="NormalWeb"/>
        <w:shd w:val="clear" w:color="auto" w:fill="FFFFFF"/>
        <w:spacing w:line="276" w:lineRule="auto"/>
        <w:ind w:firstLine="720"/>
        <w:contextualSpacing/>
        <w:jc w:val="both"/>
      </w:pPr>
      <w:r w:rsidRPr="00DC6147">
        <w:t>Savukārt noziedzīgā nodarījuma sastāvu dalījums materiālā vai formālā sastāvā ir tiesību doktrīn</w:t>
      </w:r>
      <w:r w:rsidR="00D53275">
        <w:t>ā pieņemts nošķīrums</w:t>
      </w:r>
      <w:r w:rsidRPr="00DC6147">
        <w:t xml:space="preserve">. </w:t>
      </w:r>
    </w:p>
    <w:p w14:paraId="254E40D9" w14:textId="217916B7" w:rsidR="00D53275" w:rsidRDefault="00D53275" w:rsidP="007928BF">
      <w:pPr>
        <w:pStyle w:val="NormalWeb"/>
        <w:shd w:val="clear" w:color="auto" w:fill="FFFFFF"/>
        <w:spacing w:line="276" w:lineRule="auto"/>
        <w:ind w:firstLine="720"/>
        <w:contextualSpacing/>
        <w:jc w:val="both"/>
        <w:rPr>
          <w:lang w:eastAsia="ru-RU"/>
        </w:rPr>
      </w:pPr>
      <w:r w:rsidRPr="00D53275">
        <w:t xml:space="preserve">Tā kā tiesību doktrīna tiesību normu interpretācijā kalpo vienīgi kā </w:t>
      </w:r>
      <w:proofErr w:type="spellStart"/>
      <w:r w:rsidRPr="00D53275">
        <w:t>palīgavots</w:t>
      </w:r>
      <w:proofErr w:type="spellEnd"/>
      <w:r w:rsidRPr="00D53275">
        <w:t>, tā nav nostādāma vienā līmenī ar vispārējiem tiesību principiem</w:t>
      </w:r>
      <w:r>
        <w:t>.</w:t>
      </w:r>
      <w:r w:rsidRPr="00D53275">
        <w:rPr>
          <w:lang w:eastAsia="ru-RU"/>
        </w:rPr>
        <w:t xml:space="preserve"> </w:t>
      </w:r>
      <w:bookmarkStart w:id="3" w:name="_Hlk214990720"/>
      <w:r w:rsidR="007928BF">
        <w:rPr>
          <w:lang w:eastAsia="ru-RU"/>
        </w:rPr>
        <w:t xml:space="preserve">Līdz ar to </w:t>
      </w:r>
      <w:r w:rsidR="00E96E87">
        <w:rPr>
          <w:lang w:eastAsia="ru-RU"/>
        </w:rPr>
        <w:t>tiesām ir pienākums izmantot</w:t>
      </w:r>
      <w:r w:rsidR="006F79E4">
        <w:rPr>
          <w:lang w:eastAsia="ru-RU"/>
        </w:rPr>
        <w:t xml:space="preserve"> tiesību normu</w:t>
      </w:r>
      <w:r w:rsidR="00E96E87">
        <w:rPr>
          <w:lang w:eastAsia="ru-RU"/>
        </w:rPr>
        <w:t xml:space="preserve"> iztulkošanas metodes, savukārt </w:t>
      </w:r>
      <w:r w:rsidR="00E96E87">
        <w:t>t</w:t>
      </w:r>
      <w:r w:rsidRPr="00D53275">
        <w:t xml:space="preserve">iesību </w:t>
      </w:r>
      <w:proofErr w:type="spellStart"/>
      <w:r w:rsidRPr="00D53275">
        <w:t>palīgavotu</w:t>
      </w:r>
      <w:proofErr w:type="spellEnd"/>
      <w:r w:rsidRPr="00D53275">
        <w:t xml:space="preserve"> izmantošana ir tikai fakultatīva.</w:t>
      </w:r>
      <w:bookmarkEnd w:id="3"/>
    </w:p>
    <w:p w14:paraId="00863CE8" w14:textId="64828641" w:rsidR="001317E3" w:rsidRDefault="007928BF" w:rsidP="007928BF">
      <w:pPr>
        <w:pStyle w:val="NormalWeb"/>
        <w:shd w:val="clear" w:color="auto" w:fill="FFFFFF"/>
        <w:spacing w:line="276" w:lineRule="auto"/>
        <w:ind w:firstLine="720"/>
        <w:contextualSpacing/>
        <w:jc w:val="both"/>
      </w:pPr>
      <w:r>
        <w:t>[7.</w:t>
      </w:r>
      <w:r w:rsidR="00882D16">
        <w:t>3</w:t>
      </w:r>
      <w:r>
        <w:t xml:space="preserve">] </w:t>
      </w:r>
      <w:r w:rsidR="00C0778D">
        <w:t xml:space="preserve">Senāts konstatē, ka </w:t>
      </w:r>
      <w:r w:rsidR="00F062EF">
        <w:t>[pers. A]</w:t>
      </w:r>
      <w:r w:rsidR="001317E3">
        <w:t xml:space="preserve"> izvirzītajā apsūdzībā norādītās darbības atbilst Krimināllikuma 193. panta ceturtās daļas objektīvās puses pazīm</w:t>
      </w:r>
      <w:r>
        <w:t>ēm</w:t>
      </w:r>
      <w:r w:rsidR="001317E3">
        <w:t xml:space="preserve"> – maksāšanas līdzekļa nelikumīga izmantošana.</w:t>
      </w:r>
    </w:p>
    <w:p w14:paraId="24063939" w14:textId="2ECABB3C" w:rsidR="001317E3" w:rsidRPr="005C7B30" w:rsidRDefault="001317E3" w:rsidP="001317E3">
      <w:pPr>
        <w:pStyle w:val="NormalWeb"/>
        <w:shd w:val="clear" w:color="auto" w:fill="FFFFFF"/>
        <w:spacing w:line="276" w:lineRule="auto"/>
        <w:ind w:firstLine="720"/>
        <w:contextualSpacing/>
        <w:jc w:val="both"/>
      </w:pPr>
      <w:r>
        <w:t>P</w:t>
      </w:r>
      <w:r w:rsidRPr="005C7B30">
        <w:t>ersonas atzīšana par vainīgu un sodīšana ir uzskatāma par neatbilstošu vainas principam</w:t>
      </w:r>
      <w:r w:rsidR="007928BF">
        <w:t xml:space="preserve"> </w:t>
      </w:r>
      <w:r w:rsidR="00C0778D">
        <w:t>tādā gadījumā</w:t>
      </w:r>
      <w:r w:rsidRPr="005C7B30">
        <w:t xml:space="preserve">, ja, neskatoties uz nodarījuma formālo atbilstību noziedzīga nodarījuma pazīmēm, konkrētajā gadījumā tas ir acīmredzami nekaitīgs un nodarījuma nekaitīgums bija saskatāms jau tā izdarīšanas laikā. Tas, kas no paša sākuma nerada nekādu apdraudējumu, neattaisno soda piemērošanu (sk. </w:t>
      </w:r>
      <w:r w:rsidRPr="005C7B30">
        <w:rPr>
          <w:i/>
          <w:iCs/>
        </w:rPr>
        <w:t>Senāta 2022.</w:t>
      </w:r>
      <w:r w:rsidR="00882D16">
        <w:rPr>
          <w:i/>
          <w:iCs/>
        </w:rPr>
        <w:t> </w:t>
      </w:r>
      <w:r w:rsidRPr="005C7B30">
        <w:rPr>
          <w:i/>
          <w:iCs/>
        </w:rPr>
        <w:t>gada lēmum</w:t>
      </w:r>
      <w:r w:rsidR="007928BF">
        <w:rPr>
          <w:i/>
          <w:iCs/>
        </w:rPr>
        <w:t>a</w:t>
      </w:r>
      <w:r w:rsidRPr="005C7B30">
        <w:rPr>
          <w:i/>
          <w:iCs/>
        </w:rPr>
        <w:t xml:space="preserve"> lietā Nr.</w:t>
      </w:r>
      <w:r w:rsidR="00882D16">
        <w:rPr>
          <w:i/>
          <w:iCs/>
        </w:rPr>
        <w:t> </w:t>
      </w:r>
      <w:r w:rsidRPr="005C7B30">
        <w:rPr>
          <w:i/>
          <w:iCs/>
        </w:rPr>
        <w:t>SKK-</w:t>
      </w:r>
      <w:r w:rsidR="00882D16">
        <w:rPr>
          <w:i/>
          <w:iCs/>
        </w:rPr>
        <w:t> </w:t>
      </w:r>
      <w:r w:rsidRPr="005C7B30">
        <w:rPr>
          <w:i/>
          <w:iCs/>
        </w:rPr>
        <w:t>[E], 8.3. punkt</w:t>
      </w:r>
      <w:r w:rsidR="007928BF">
        <w:rPr>
          <w:i/>
          <w:iCs/>
        </w:rPr>
        <w:t>u</w:t>
      </w:r>
      <w:r w:rsidRPr="005C7B30">
        <w:rPr>
          <w:i/>
          <w:iCs/>
        </w:rPr>
        <w:t>, pieejams Augstākās tiesas tīmekļvietnē</w:t>
      </w:r>
      <w:r w:rsidRPr="005C7B30">
        <w:t>).</w:t>
      </w:r>
    </w:p>
    <w:p w14:paraId="1DCE0013" w14:textId="6292FE59" w:rsidR="001317E3" w:rsidRDefault="001317E3" w:rsidP="001317E3">
      <w:pPr>
        <w:pStyle w:val="NormalWeb"/>
        <w:shd w:val="clear" w:color="auto" w:fill="FFFFFF"/>
        <w:spacing w:line="276" w:lineRule="auto"/>
        <w:ind w:firstLine="720"/>
        <w:contextualSpacing/>
        <w:jc w:val="both"/>
      </w:pPr>
      <w:r w:rsidRPr="00136E75">
        <w:t>Minēto nevar attiecināt uz rīcību ar mirušas personas bankas kontā esošajiem naudas līdzekļiem bez leģitīma pamata</w:t>
      </w:r>
      <w:r w:rsidR="007928BF">
        <w:t>.</w:t>
      </w:r>
    </w:p>
    <w:p w14:paraId="43476A2D" w14:textId="4335B569" w:rsidR="00DC6147" w:rsidRDefault="001317E3" w:rsidP="007928BF">
      <w:pPr>
        <w:pStyle w:val="NormalWeb"/>
        <w:shd w:val="clear" w:color="auto" w:fill="FFFFFF"/>
        <w:spacing w:line="276" w:lineRule="auto"/>
        <w:ind w:firstLine="720"/>
        <w:contextualSpacing/>
        <w:jc w:val="both"/>
      </w:pPr>
      <w:r>
        <w:t xml:space="preserve"> </w:t>
      </w:r>
      <w:r w:rsidR="007928BF">
        <w:t>[7.</w:t>
      </w:r>
      <w:r w:rsidR="00882D16">
        <w:t>4</w:t>
      </w:r>
      <w:r w:rsidR="007928BF">
        <w:t>]</w:t>
      </w:r>
      <w:r w:rsidR="00C31C7E">
        <w:t xml:space="preserve"> </w:t>
      </w:r>
      <w:bookmarkStart w:id="4" w:name="_Hlk214990964"/>
      <w:r w:rsidR="00DC6147" w:rsidRPr="009D6325">
        <w:t>Piemērojot tiesību normu</w:t>
      </w:r>
      <w:r w:rsidR="0092493E">
        <w:t xml:space="preserve"> teleoloģisko</w:t>
      </w:r>
      <w:r w:rsidR="00DC6147" w:rsidRPr="009D6325">
        <w:t xml:space="preserve"> iztulkošanas metod</w:t>
      </w:r>
      <w:r w:rsidR="0092493E">
        <w:t>i</w:t>
      </w:r>
      <w:r w:rsidR="002110D7">
        <w:t xml:space="preserve"> krimināltiesībās</w:t>
      </w:r>
      <w:r w:rsidR="00DC6147" w:rsidRPr="009D6325">
        <w:t xml:space="preserve">, </w:t>
      </w:r>
      <w:r w:rsidR="0092493E">
        <w:t xml:space="preserve">būtiska nozīme </w:t>
      </w:r>
      <w:r w:rsidR="00DC6147" w:rsidRPr="009D6325">
        <w:t>ir tam, vai konkrētā rīcība aizskar tās tiesiskās intereses, kuras aizsargā attiecīgā Krimināllikuma norma.</w:t>
      </w:r>
      <w:bookmarkEnd w:id="4"/>
    </w:p>
    <w:p w14:paraId="25C1158B" w14:textId="56D2DAB3" w:rsidR="00DC6147" w:rsidRDefault="00DC6147" w:rsidP="00D53275">
      <w:pPr>
        <w:pStyle w:val="NormalWeb"/>
        <w:shd w:val="clear" w:color="auto" w:fill="FFFFFF"/>
        <w:spacing w:line="276" w:lineRule="auto"/>
        <w:ind w:firstLine="720"/>
        <w:contextualSpacing/>
        <w:jc w:val="both"/>
        <w:rPr>
          <w:color w:val="000000" w:themeColor="text1"/>
        </w:rPr>
      </w:pPr>
      <w:bookmarkStart w:id="5" w:name="_Hlk214990867"/>
      <w:r w:rsidRPr="0062593C">
        <w:rPr>
          <w:color w:val="000000" w:themeColor="text1"/>
        </w:rPr>
        <w:t>Krimināllikuma 193.</w:t>
      </w:r>
      <w:r>
        <w:rPr>
          <w:color w:val="000000" w:themeColor="text1"/>
        </w:rPr>
        <w:t> </w:t>
      </w:r>
      <w:r w:rsidRPr="0062593C">
        <w:rPr>
          <w:color w:val="000000" w:themeColor="text1"/>
        </w:rPr>
        <w:t>pants ir ietverts</w:t>
      </w:r>
      <w:r>
        <w:rPr>
          <w:color w:val="000000" w:themeColor="text1"/>
        </w:rPr>
        <w:t xml:space="preserve"> Krimināllikuma</w:t>
      </w:r>
      <w:r w:rsidRPr="0062593C">
        <w:rPr>
          <w:color w:val="000000" w:themeColor="text1"/>
        </w:rPr>
        <w:t xml:space="preserve"> XIX nodaļā </w:t>
      </w:r>
      <w:r w:rsidR="00882D16">
        <w:rPr>
          <w:color w:val="000000" w:themeColor="text1"/>
        </w:rPr>
        <w:t>„</w:t>
      </w:r>
      <w:r w:rsidRPr="0062593C">
        <w:rPr>
          <w:color w:val="000000" w:themeColor="text1"/>
        </w:rPr>
        <w:t>Noziedzīgi nodarījumi tautsaimniecībā”</w:t>
      </w:r>
      <w:r w:rsidR="005C7B30">
        <w:rPr>
          <w:color w:val="000000" w:themeColor="text1"/>
        </w:rPr>
        <w:t>, tomēr</w:t>
      </w:r>
      <w:r w:rsidR="00D53275">
        <w:rPr>
          <w:color w:val="000000" w:themeColor="text1"/>
        </w:rPr>
        <w:t xml:space="preserve"> tas</w:t>
      </w:r>
      <w:r>
        <w:rPr>
          <w:color w:val="000000" w:themeColor="text1"/>
        </w:rPr>
        <w:t xml:space="preserve"> aizsargā</w:t>
      </w:r>
      <w:r w:rsidR="00D53275">
        <w:rPr>
          <w:color w:val="000000" w:themeColor="text1"/>
        </w:rPr>
        <w:t xml:space="preserve"> ne vien</w:t>
      </w:r>
      <w:r>
        <w:rPr>
          <w:color w:val="000000" w:themeColor="text1"/>
        </w:rPr>
        <w:t xml:space="preserve"> tautsaimniecības inter</w:t>
      </w:r>
      <w:r w:rsidR="00D53275">
        <w:rPr>
          <w:color w:val="000000" w:themeColor="text1"/>
        </w:rPr>
        <w:t>eses finanšu-kredīta sfērā, bet arī atsevišķ</w:t>
      </w:r>
      <w:r w:rsidR="005C7B30">
        <w:rPr>
          <w:color w:val="000000" w:themeColor="text1"/>
        </w:rPr>
        <w:t>u</w:t>
      </w:r>
      <w:r w:rsidR="00D53275">
        <w:rPr>
          <w:color w:val="000000" w:themeColor="text1"/>
        </w:rPr>
        <w:t xml:space="preserve"> fizisko un juridisko</w:t>
      </w:r>
      <w:r w:rsidRPr="0062593C">
        <w:rPr>
          <w:color w:val="000000" w:themeColor="text1"/>
        </w:rPr>
        <w:t xml:space="preserve"> personu </w:t>
      </w:r>
      <w:r>
        <w:rPr>
          <w:color w:val="000000" w:themeColor="text1"/>
        </w:rPr>
        <w:t>mantiskās</w:t>
      </w:r>
      <w:r w:rsidRPr="0062593C">
        <w:rPr>
          <w:color w:val="000000" w:themeColor="text1"/>
        </w:rPr>
        <w:t xml:space="preserve"> intereses</w:t>
      </w:r>
      <w:r>
        <w:rPr>
          <w:color w:val="000000" w:themeColor="text1"/>
        </w:rPr>
        <w:t>.</w:t>
      </w:r>
    </w:p>
    <w:p w14:paraId="4574B01B" w14:textId="49D24E26" w:rsidR="00715330" w:rsidRDefault="0092493E" w:rsidP="00715330">
      <w:pPr>
        <w:pStyle w:val="NormalWeb"/>
        <w:shd w:val="clear" w:color="auto" w:fill="FFFFFF"/>
        <w:spacing w:line="276" w:lineRule="auto"/>
        <w:ind w:firstLine="720"/>
        <w:contextualSpacing/>
        <w:jc w:val="both"/>
      </w:pPr>
      <w:bookmarkStart w:id="6" w:name="_Hlk214991553"/>
      <w:r>
        <w:t>R</w:t>
      </w:r>
      <w:r w:rsidR="009D6325" w:rsidRPr="009D6325">
        <w:t>īcība ar mirušā</w:t>
      </w:r>
      <w:r w:rsidR="005C7B30">
        <w:t>s personas</w:t>
      </w:r>
      <w:r w:rsidR="009D6325" w:rsidRPr="009D6325">
        <w:t xml:space="preserve"> kontā esošajiem naudas līdzekļiem ir rīcība ar svešu mantu, proti, ar mantojuma masu kā juridisku personu</w:t>
      </w:r>
      <w:r w:rsidR="009D6325">
        <w:t>.</w:t>
      </w:r>
      <w:r w:rsidR="009D6325" w:rsidRPr="009D6325">
        <w:t xml:space="preserve"> </w:t>
      </w:r>
      <w:r w:rsidR="009D6325">
        <w:t>Š</w:t>
      </w:r>
      <w:r w:rsidR="009D6325" w:rsidRPr="009D6325">
        <w:t>āda rīcība</w:t>
      </w:r>
      <w:r w:rsidR="00D53275">
        <w:t>, ja tai nav tiesiska pamata,</w:t>
      </w:r>
      <w:r w:rsidR="009D6325" w:rsidRPr="009D6325">
        <w:t xml:space="preserve"> samazina mantojuma masu un apdraud visu mantinieku un kreditoru intereses.</w:t>
      </w:r>
      <w:r w:rsidR="00715330">
        <w:t xml:space="preserve"> </w:t>
      </w:r>
      <w:r w:rsidR="00715330" w:rsidRPr="0092493E">
        <w:t xml:space="preserve">Līdz ar to, </w:t>
      </w:r>
      <w:r w:rsidR="00715330" w:rsidRPr="0092493E">
        <w:lastRenderedPageBreak/>
        <w:t>nosakot nodarījuma kaitīgumu, jā</w:t>
      </w:r>
      <w:r w:rsidR="001159D4">
        <w:t>ņem vērā</w:t>
      </w:r>
      <w:r w:rsidR="00715330" w:rsidRPr="0092493E">
        <w:t xml:space="preserve"> mantojuma masa</w:t>
      </w:r>
      <w:r w:rsidR="00C0778D">
        <w:t>i nodarītais kaitējums</w:t>
      </w:r>
      <w:r w:rsidR="00715330" w:rsidRPr="0092493E">
        <w:t xml:space="preserve"> un visu </w:t>
      </w:r>
      <w:r w:rsidR="001159D4">
        <w:t xml:space="preserve">mantinieku un kreditoru </w:t>
      </w:r>
      <w:r w:rsidR="00715330" w:rsidRPr="0092493E">
        <w:t>interešu apdraudējum</w:t>
      </w:r>
      <w:r w:rsidR="00C0778D">
        <w:t>s</w:t>
      </w:r>
      <w:r w:rsidR="001159D4">
        <w:t xml:space="preserve"> kopumā (neatkarīgi no tā, vai tie ir zināmi)</w:t>
      </w:r>
      <w:r w:rsidR="00715330" w:rsidRPr="0092493E">
        <w:t>.</w:t>
      </w:r>
    </w:p>
    <w:bookmarkEnd w:id="6"/>
    <w:bookmarkEnd w:id="5"/>
    <w:p w14:paraId="733FC154" w14:textId="77777777" w:rsidR="00FE664E" w:rsidRDefault="00FE664E" w:rsidP="00FE664E">
      <w:pPr>
        <w:pStyle w:val="NormalWeb"/>
        <w:shd w:val="clear" w:color="auto" w:fill="FFFFFF"/>
        <w:spacing w:line="276" w:lineRule="auto"/>
        <w:ind w:firstLine="720"/>
        <w:contextualSpacing/>
        <w:jc w:val="both"/>
      </w:pPr>
      <w:r w:rsidRPr="00DB15A0">
        <w:t>Civillikuma 383.</w:t>
      </w:r>
      <w:r>
        <w:t> </w:t>
      </w:r>
      <w:r w:rsidRPr="00DB15A0">
        <w:t xml:space="preserve">pants paredz, ka mantojums ir juridiska persona, kas var iegūt tiesības un uzņemties saistības. </w:t>
      </w:r>
    </w:p>
    <w:p w14:paraId="6FE89C7D" w14:textId="4A3A2168" w:rsidR="00FE664E" w:rsidRDefault="00FE664E" w:rsidP="00FE664E">
      <w:pPr>
        <w:pStyle w:val="NormalWeb"/>
        <w:shd w:val="clear" w:color="auto" w:fill="FFFFFF"/>
        <w:spacing w:line="276" w:lineRule="auto"/>
        <w:ind w:firstLine="720"/>
        <w:contextualSpacing/>
        <w:jc w:val="both"/>
      </w:pPr>
      <w:r w:rsidRPr="00DB15A0">
        <w:t>Atbilstoši Civillikuma 655.</w:t>
      </w:r>
      <w:r>
        <w:t> </w:t>
      </w:r>
      <w:r w:rsidRPr="00DB15A0">
        <w:t>pantam mantojums atklājas ar mantojuma atstājēja nāvi. Tas nozīmē, ka mantojuma atstājēja nāves brīdī jeb brīdī, kad mantojums atklājas, mantojums kļūst par juridisko personu, un saskaņā ar Civillikuma 701.</w:t>
      </w:r>
      <w:r>
        <w:t> </w:t>
      </w:r>
      <w:r w:rsidRPr="00DB15A0">
        <w:t>pantu tas turpina pastāvēt līdz tam laikam, kad mantinieki to ir pieņēmuši un ieguvuši</w:t>
      </w:r>
      <w:r>
        <w:t xml:space="preserve"> [..]</w:t>
      </w:r>
      <w:r w:rsidRPr="00DB15A0">
        <w:t>.</w:t>
      </w:r>
      <w:r w:rsidR="0092493E">
        <w:t xml:space="preserve"> </w:t>
      </w:r>
      <w:r>
        <w:t>Š</w:t>
      </w:r>
      <w:r w:rsidRPr="00DB15A0">
        <w:t xml:space="preserve">ādas juridiskās personas konstrukcijas mērķis ir apvienot visu mantojuma masu vienā personā un ļaut tam piedalīties civiltiesiskajā apgrozībā. Tādējādi mantojuma juridiskās personas statuss ļauj arī aizsargāt mantojuma atstājēja kreditorus, kas var vērst savus prasījumus pret mantojumu kā tiesību subjektu, tāpat arī ļauj juridiski atvieglot mantojuma aizgādnim vai testamenta izpildītājam mantojuma masas pārvaldīšanu </w:t>
      </w:r>
      <w:r w:rsidRPr="00892658">
        <w:t>(</w:t>
      </w:r>
      <w:r w:rsidRPr="00892658">
        <w:rPr>
          <w:bCs/>
          <w:i/>
          <w:iCs/>
        </w:rPr>
        <w:t>Senāta 2020. gada 27. marta sprieduma lietā Nr.</w:t>
      </w:r>
      <w:r w:rsidR="0062593C">
        <w:rPr>
          <w:bCs/>
          <w:i/>
          <w:iCs/>
        </w:rPr>
        <w:t> </w:t>
      </w:r>
      <w:r w:rsidRPr="00892658">
        <w:rPr>
          <w:bCs/>
          <w:i/>
          <w:iCs/>
        </w:rPr>
        <w:t>SKA-</w:t>
      </w:r>
      <w:r w:rsidR="006F79E4">
        <w:rPr>
          <w:bCs/>
          <w:i/>
          <w:iCs/>
        </w:rPr>
        <w:t> </w:t>
      </w:r>
      <w:r w:rsidRPr="00892658">
        <w:rPr>
          <w:bCs/>
          <w:i/>
          <w:iCs/>
        </w:rPr>
        <w:t xml:space="preserve">733/2020 </w:t>
      </w:r>
      <w:hyperlink r:id="rId12" w:history="1">
        <w:r w:rsidRPr="00892658">
          <w:rPr>
            <w:rStyle w:val="Hyperlink"/>
            <w:rFonts w:eastAsiaTheme="majorEastAsia"/>
            <w:bCs/>
            <w:i/>
            <w:iCs/>
            <w:color w:val="auto"/>
            <w:u w:val="none"/>
          </w:rPr>
          <w:t>ECLI:LV:AT:2020:0327.A420202416.18.S</w:t>
        </w:r>
      </w:hyperlink>
      <w:r w:rsidRPr="00892658">
        <w:rPr>
          <w:bCs/>
          <w:i/>
          <w:iCs/>
        </w:rPr>
        <w:t>, 7. punkts</w:t>
      </w:r>
      <w:r w:rsidRPr="00892658">
        <w:t>).</w:t>
      </w:r>
    </w:p>
    <w:p w14:paraId="253F262F" w14:textId="787B244B" w:rsidR="00FE664E" w:rsidRDefault="00FE664E" w:rsidP="00FE664E">
      <w:pPr>
        <w:pStyle w:val="NormalWeb"/>
        <w:shd w:val="clear" w:color="auto" w:fill="FFFFFF"/>
        <w:spacing w:line="276" w:lineRule="auto"/>
        <w:ind w:firstLine="720"/>
        <w:contextualSpacing/>
        <w:jc w:val="both"/>
      </w:pPr>
      <w:bookmarkStart w:id="7" w:name="_Hlk214990898"/>
      <w:r>
        <w:t>M</w:t>
      </w:r>
      <w:r w:rsidRPr="004458F5">
        <w:t>antojuma masa</w:t>
      </w:r>
      <w:r>
        <w:t xml:space="preserve">s </w:t>
      </w:r>
      <w:r w:rsidRPr="004458F5">
        <w:t xml:space="preserve">sastāvā ietilpstošā kustamā manta ir sveša </w:t>
      </w:r>
      <w:r>
        <w:t xml:space="preserve">arī </w:t>
      </w:r>
      <w:r w:rsidRPr="004458F5">
        <w:t xml:space="preserve">aizgādnim līdzmantiniekam, kamēr tā nav sadalīta starp mantiniekiem un tiem nodota </w:t>
      </w:r>
      <w:bookmarkEnd w:id="7"/>
      <w:r w:rsidRPr="004458F5">
        <w:t>(</w:t>
      </w:r>
      <w:proofErr w:type="spellStart"/>
      <w:r w:rsidRPr="004458F5">
        <w:rPr>
          <w:i/>
          <w:iCs/>
        </w:rPr>
        <w:t>Mincs</w:t>
      </w:r>
      <w:proofErr w:type="spellEnd"/>
      <w:r w:rsidR="006F79E4">
        <w:rPr>
          <w:i/>
          <w:iCs/>
        </w:rPr>
        <w:t> </w:t>
      </w:r>
      <w:r w:rsidRPr="004458F5">
        <w:rPr>
          <w:i/>
          <w:iCs/>
        </w:rPr>
        <w:t>P., Lauva</w:t>
      </w:r>
      <w:r w:rsidR="006F79E4">
        <w:rPr>
          <w:i/>
          <w:iCs/>
        </w:rPr>
        <w:t> </w:t>
      </w:r>
      <w:r w:rsidRPr="004458F5">
        <w:rPr>
          <w:i/>
          <w:iCs/>
        </w:rPr>
        <w:t>J. Sodu likums ar komentāriem. Rīga: Valsts tipogrāfijas izdevums, 1936, 275.</w:t>
      </w:r>
      <w:r w:rsidR="006F79E4">
        <w:rPr>
          <w:i/>
          <w:iCs/>
        </w:rPr>
        <w:t> </w:t>
      </w:r>
      <w:r w:rsidRPr="004458F5">
        <w:rPr>
          <w:i/>
          <w:iCs/>
        </w:rPr>
        <w:t>lpp</w:t>
      </w:r>
      <w:r w:rsidRPr="004458F5">
        <w:t>.</w:t>
      </w:r>
      <w:r w:rsidRPr="004458F5">
        <w:rPr>
          <w:i/>
          <w:iCs/>
        </w:rPr>
        <w:t xml:space="preserve"> ar atsauci uz Senāta 1929. gada 29. maija spriedumu Dances lietā</w:t>
      </w:r>
      <w:r w:rsidRPr="004458F5">
        <w:t>).</w:t>
      </w:r>
    </w:p>
    <w:p w14:paraId="1E19A72D" w14:textId="022D3315" w:rsidR="007928BF" w:rsidRDefault="007928BF" w:rsidP="007928BF">
      <w:pPr>
        <w:pStyle w:val="NormalWeb"/>
        <w:shd w:val="clear" w:color="auto" w:fill="FFFFFF"/>
        <w:spacing w:line="276" w:lineRule="auto"/>
        <w:ind w:firstLine="720"/>
        <w:contextualSpacing/>
        <w:jc w:val="both"/>
      </w:pPr>
      <w:r>
        <w:rPr>
          <w:color w:val="000000" w:themeColor="text1"/>
        </w:rPr>
        <w:t>[7.</w:t>
      </w:r>
      <w:r w:rsidR="00882D16">
        <w:rPr>
          <w:color w:val="000000" w:themeColor="text1"/>
        </w:rPr>
        <w:t>5</w:t>
      </w:r>
      <w:r>
        <w:rPr>
          <w:color w:val="000000" w:themeColor="text1"/>
        </w:rPr>
        <w:t xml:space="preserve">] </w:t>
      </w:r>
      <w:r w:rsidRPr="00715330">
        <w:t xml:space="preserve">Ja tiesa personas rīcībā konstatē visas </w:t>
      </w:r>
      <w:r>
        <w:t>Krimināllikuma 193.</w:t>
      </w:r>
      <w:r w:rsidR="00882D16">
        <w:t> </w:t>
      </w:r>
      <w:r>
        <w:t xml:space="preserve">pantā paredzētā noziedzīgā nodarījuma </w:t>
      </w:r>
      <w:r w:rsidRPr="00715330">
        <w:t>sastāva pazīmes, nav izšķirošas nozīmes nejaušiem apstākļiem, kas iestājas pēc</w:t>
      </w:r>
      <w:r>
        <w:t xml:space="preserve"> šī nodarījuma</w:t>
      </w:r>
      <w:r w:rsidRPr="00715330">
        <w:t xml:space="preserve">, piemēram, tam, ka mantinieks atsakās no mantojuma, tiek atzīts par mantot necienīgu, testaments, ar kuru viņš iecelts, tiek atzīts par spēkā neesošu, vai kreditors atsakās no sava prasījuma. </w:t>
      </w:r>
    </w:p>
    <w:p w14:paraId="592F31E1" w14:textId="77777777" w:rsidR="007928BF" w:rsidRDefault="007928BF" w:rsidP="007928BF">
      <w:pPr>
        <w:pStyle w:val="NormalWeb"/>
        <w:shd w:val="clear" w:color="auto" w:fill="FFFFFF"/>
        <w:spacing w:line="276" w:lineRule="auto"/>
        <w:ind w:firstLine="720"/>
        <w:contextualSpacing/>
        <w:jc w:val="both"/>
      </w:pPr>
      <w:r w:rsidRPr="00EA45C2">
        <w:t>Minētais balstās atziņā, ka noziedzīgā nodarījuma sastāvs, reiz izpildījies, nevar tikt atcelts ar turpmākiem nejaušiem apstākļiem.</w:t>
      </w:r>
    </w:p>
    <w:p w14:paraId="44A4057E" w14:textId="1B0D4D9A" w:rsidR="007928BF" w:rsidRPr="00D36EAA" w:rsidRDefault="007928BF" w:rsidP="007928BF">
      <w:pPr>
        <w:pStyle w:val="NormalWeb"/>
        <w:shd w:val="clear" w:color="auto" w:fill="FFFFFF"/>
        <w:spacing w:line="276" w:lineRule="auto"/>
        <w:ind w:firstLine="720"/>
        <w:contextualSpacing/>
        <w:jc w:val="both"/>
      </w:pPr>
      <w:bookmarkStart w:id="8" w:name="_Hlk214907195"/>
      <w:r>
        <w:t>[7.</w:t>
      </w:r>
      <w:r w:rsidR="00882D16">
        <w:t>6</w:t>
      </w:r>
      <w:r>
        <w:t xml:space="preserve">] </w:t>
      </w:r>
      <w:r w:rsidRPr="00D36EAA">
        <w:t>Senāts v</w:t>
      </w:r>
      <w:r>
        <w:t>ispārīgi piekrīt,</w:t>
      </w:r>
      <w:r w:rsidRPr="00D36EAA">
        <w:t xml:space="preserve"> ka tiesai ir tiesības atkāpties no judikatūrā nostiprinātām atziņām, taču tādā gadījumā ir jāveic apskatāmā jautājuma rūpīga analīze un pamatojums (</w:t>
      </w:r>
      <w:r w:rsidRPr="00D36EAA">
        <w:rPr>
          <w:i/>
          <w:iCs/>
        </w:rPr>
        <w:t xml:space="preserve">Senāta </w:t>
      </w:r>
      <w:r w:rsidRPr="00D36EAA">
        <w:rPr>
          <w:rFonts w:eastAsia="Calibri"/>
          <w:i/>
          <w:iCs/>
        </w:rPr>
        <w:t xml:space="preserve">2020. gada 5. marta lēmuma lietā Nr. SKK-52/2020, </w:t>
      </w:r>
      <w:hyperlink r:id="rId13" w:history="1">
        <w:r w:rsidRPr="00D36EAA">
          <w:rPr>
            <w:rStyle w:val="Hyperlink"/>
            <w:rFonts w:eastAsiaTheme="majorEastAsia"/>
            <w:bCs/>
            <w:i/>
            <w:iCs/>
            <w:color w:val="auto"/>
            <w:u w:val="none"/>
            <w:shd w:val="clear" w:color="auto" w:fill="FFFFFF"/>
          </w:rPr>
          <w:t>ECLI:LV:AT:2020:0305.11352011918.6.L</w:t>
        </w:r>
      </w:hyperlink>
      <w:r w:rsidRPr="00D36EAA">
        <w:rPr>
          <w:i/>
          <w:iCs/>
        </w:rPr>
        <w:t xml:space="preserve">, </w:t>
      </w:r>
      <w:r w:rsidRPr="00D36EAA">
        <w:rPr>
          <w:rFonts w:eastAsia="Calibri"/>
          <w:i/>
          <w:iCs/>
        </w:rPr>
        <w:t>7.3. punkts</w:t>
      </w:r>
      <w:r w:rsidRPr="00D36EAA">
        <w:rPr>
          <w:rFonts w:eastAsia="Calibri"/>
        </w:rPr>
        <w:t>).</w:t>
      </w:r>
    </w:p>
    <w:p w14:paraId="63739899" w14:textId="77777777" w:rsidR="007928BF" w:rsidRDefault="007928BF" w:rsidP="007928BF">
      <w:pPr>
        <w:pStyle w:val="NormalWeb"/>
        <w:shd w:val="clear" w:color="auto" w:fill="FFFFFF"/>
        <w:spacing w:line="276" w:lineRule="auto"/>
        <w:ind w:firstLine="720"/>
        <w:contextualSpacing/>
        <w:jc w:val="both"/>
      </w:pPr>
      <w:r>
        <w:t>Konkrētajā lietā šīs prasības nav ievērotas.</w:t>
      </w:r>
    </w:p>
    <w:p w14:paraId="20830BA7" w14:textId="578E836F" w:rsidR="007928BF" w:rsidRDefault="007928BF" w:rsidP="00EB6B89">
      <w:pPr>
        <w:pStyle w:val="NormalWeb"/>
        <w:shd w:val="clear" w:color="auto" w:fill="FFFFFF"/>
        <w:spacing w:line="276" w:lineRule="auto"/>
        <w:ind w:firstLine="720"/>
        <w:contextualSpacing/>
        <w:jc w:val="both"/>
        <w:rPr>
          <w:color w:val="000000" w:themeColor="text1"/>
        </w:rPr>
      </w:pPr>
      <w:r w:rsidRPr="008B4566">
        <w:t>Senāts 2013.</w:t>
      </w:r>
      <w:r>
        <w:t> </w:t>
      </w:r>
      <w:r w:rsidRPr="008B4566">
        <w:t>gada 19.</w:t>
      </w:r>
      <w:r>
        <w:t> </w:t>
      </w:r>
      <w:r w:rsidRPr="008B4566">
        <w:t>jūnija lēmumā lietā Nr.</w:t>
      </w:r>
      <w:r>
        <w:t> </w:t>
      </w:r>
      <w:r w:rsidRPr="008B4566">
        <w:t>SKK-238/2013</w:t>
      </w:r>
      <w:r>
        <w:t xml:space="preserve"> norādījis, ka </w:t>
      </w:r>
      <w:r>
        <w:rPr>
          <w:color w:val="000000" w:themeColor="text1"/>
        </w:rPr>
        <w:t>n</w:t>
      </w:r>
      <w:r w:rsidRPr="00BB09CF">
        <w:rPr>
          <w:color w:val="000000" w:themeColor="text1"/>
        </w:rPr>
        <w:t>epamatot</w:t>
      </w:r>
      <w:r>
        <w:rPr>
          <w:color w:val="000000" w:themeColor="text1"/>
        </w:rPr>
        <w:t>s ir</w:t>
      </w:r>
      <w:r w:rsidRPr="00BB09CF">
        <w:rPr>
          <w:color w:val="000000" w:themeColor="text1"/>
        </w:rPr>
        <w:t xml:space="preserve"> secināju</w:t>
      </w:r>
      <w:r>
        <w:rPr>
          <w:color w:val="000000" w:themeColor="text1"/>
        </w:rPr>
        <w:t>ms</w:t>
      </w:r>
      <w:r w:rsidRPr="00BB09CF">
        <w:rPr>
          <w:color w:val="000000" w:themeColor="text1"/>
        </w:rPr>
        <w:t>, ka internetbankas izmantošanas kodu karte ar kartes lietotāja nāves brīdi nevar būt nozieguma priekšmets Krimināllikuma 193.</w:t>
      </w:r>
      <w:r>
        <w:rPr>
          <w:color w:val="000000" w:themeColor="text1"/>
        </w:rPr>
        <w:t> </w:t>
      </w:r>
      <w:r w:rsidRPr="00BB09CF">
        <w:rPr>
          <w:color w:val="000000" w:themeColor="text1"/>
        </w:rPr>
        <w:t>panta otrās daļas izpratnē</w:t>
      </w:r>
      <w:r>
        <w:rPr>
          <w:color w:val="000000" w:themeColor="text1"/>
        </w:rPr>
        <w:t>, jo k</w:t>
      </w:r>
      <w:r w:rsidRPr="00BB09CF">
        <w:rPr>
          <w:color w:val="000000" w:themeColor="text1"/>
        </w:rPr>
        <w:t>odu karte ir derīga līdz tās derīguma termiņa beigām un pēc lietotāja nāves pastāv iespēja, ka svešo maksāšanas līdzekli var nelikumīgi izmantot cita persona</w:t>
      </w:r>
      <w:r>
        <w:rPr>
          <w:color w:val="000000" w:themeColor="text1"/>
        </w:rPr>
        <w:t>.</w:t>
      </w:r>
      <w:r w:rsidR="00EB6B89">
        <w:t xml:space="preserve"> </w:t>
      </w:r>
      <w:r w:rsidRPr="009514B3">
        <w:t xml:space="preserve">Tāpat Senāts norādījis, ka </w:t>
      </w:r>
      <w:r>
        <w:rPr>
          <w:color w:val="000000" w:themeColor="text1"/>
        </w:rPr>
        <w:t>m</w:t>
      </w:r>
      <w:r w:rsidRPr="00BB09CF">
        <w:rPr>
          <w:color w:val="000000" w:themeColor="text1"/>
        </w:rPr>
        <w:t xml:space="preserve">antkārīga motīva neesamība pati par sevi </w:t>
      </w:r>
      <w:r>
        <w:rPr>
          <w:color w:val="000000" w:themeColor="text1"/>
        </w:rPr>
        <w:t>nav</w:t>
      </w:r>
      <w:r w:rsidRPr="00BB09CF">
        <w:rPr>
          <w:color w:val="000000" w:themeColor="text1"/>
        </w:rPr>
        <w:t xml:space="preserve"> </w:t>
      </w:r>
      <w:r>
        <w:rPr>
          <w:color w:val="000000" w:themeColor="text1"/>
        </w:rPr>
        <w:t>iemesls</w:t>
      </w:r>
      <w:r w:rsidRPr="00BB09CF">
        <w:rPr>
          <w:color w:val="000000" w:themeColor="text1"/>
        </w:rPr>
        <w:t xml:space="preserve"> apsūdzētās personas attaisnošanai, jo svešu internetbankas izmantošanas kodu karti persona var nelikumīgi izmantot ne tikai mantkārīgā nolūkā, bet arī citu motīvu vadīta</w:t>
      </w:r>
      <w:r>
        <w:rPr>
          <w:color w:val="000000" w:themeColor="text1"/>
        </w:rPr>
        <w:t>.</w:t>
      </w:r>
    </w:p>
    <w:p w14:paraId="5B73A47C" w14:textId="61BD00A2" w:rsidR="005500B4" w:rsidRPr="00FE7477" w:rsidRDefault="005500B4" w:rsidP="005500B4">
      <w:pPr>
        <w:pStyle w:val="NormalWeb"/>
        <w:shd w:val="clear" w:color="auto" w:fill="FFFFFF"/>
        <w:spacing w:line="276" w:lineRule="auto"/>
        <w:ind w:firstLine="720"/>
        <w:contextualSpacing/>
        <w:jc w:val="both"/>
        <w:rPr>
          <w:color w:val="000000" w:themeColor="text1"/>
        </w:rPr>
      </w:pPr>
      <w:r>
        <w:rPr>
          <w:color w:val="000000" w:themeColor="text1"/>
        </w:rPr>
        <w:t xml:space="preserve">Pretēji pirmās instances tiesas viedoklim, kuram pievienojās arī apelācijas instances tiesa, </w:t>
      </w:r>
      <w:r w:rsidR="00FE7477" w:rsidRPr="00FE7477">
        <w:rPr>
          <w:color w:val="000000" w:themeColor="text1"/>
        </w:rPr>
        <w:t xml:space="preserve">Senāts </w:t>
      </w:r>
      <w:r w:rsidRPr="008B4566">
        <w:t>2013.</w:t>
      </w:r>
      <w:r>
        <w:t> </w:t>
      </w:r>
      <w:r w:rsidRPr="008B4566">
        <w:t>gada 19.</w:t>
      </w:r>
      <w:r>
        <w:t> </w:t>
      </w:r>
      <w:r w:rsidRPr="008B4566">
        <w:t>jūnija lēmumā</w:t>
      </w:r>
      <w:r w:rsidR="00FE7477">
        <w:rPr>
          <w:color w:val="000000" w:themeColor="text1"/>
        </w:rPr>
        <w:t>,</w:t>
      </w:r>
      <w:r w:rsidR="00FE7477" w:rsidRPr="00FE7477">
        <w:rPr>
          <w:color w:val="000000" w:themeColor="text1"/>
        </w:rPr>
        <w:t xml:space="preserve"> atceļot apelācijas instances tiesas nolēmumu, neuzlika</w:t>
      </w:r>
      <w:r w:rsidR="00834385">
        <w:rPr>
          <w:color w:val="000000" w:themeColor="text1"/>
        </w:rPr>
        <w:t xml:space="preserve"> tiesai</w:t>
      </w:r>
      <w:r w:rsidR="00FE7477" w:rsidRPr="00FE7477">
        <w:rPr>
          <w:color w:val="000000" w:themeColor="text1"/>
        </w:rPr>
        <w:t xml:space="preserve"> pienākumu obligāti atrast kādu konkrētu alternatīvu motīvu</w:t>
      </w:r>
      <w:r>
        <w:rPr>
          <w:color w:val="000000" w:themeColor="text1"/>
        </w:rPr>
        <w:t>.</w:t>
      </w:r>
    </w:p>
    <w:p w14:paraId="0A470CFD" w14:textId="77777777" w:rsidR="001159D4" w:rsidRDefault="00C0778D" w:rsidP="001159D4">
      <w:pPr>
        <w:pStyle w:val="NormalWeb"/>
        <w:shd w:val="clear" w:color="auto" w:fill="FFFFFF"/>
        <w:spacing w:line="276" w:lineRule="auto"/>
        <w:ind w:firstLine="720"/>
        <w:contextualSpacing/>
        <w:jc w:val="both"/>
      </w:pPr>
      <w:r>
        <w:lastRenderedPageBreak/>
        <w:t xml:space="preserve">Senāts vērš uzmanību uz to, ka </w:t>
      </w:r>
      <w:r w:rsidR="007928BF" w:rsidRPr="001E63DF">
        <w:t>Krimināllikuma 193. panta dispozīcijā kā noziedzīgā nodarījuma sastāva pazīmes nav paredzēti īpaši motīvi vai nolūki.</w:t>
      </w:r>
    </w:p>
    <w:p w14:paraId="0F15AE56" w14:textId="79B3C8E4" w:rsidR="001159D4" w:rsidRPr="006F79E4" w:rsidRDefault="001159D4" w:rsidP="006F79E4">
      <w:pPr>
        <w:pStyle w:val="NormalWeb"/>
        <w:shd w:val="clear" w:color="auto" w:fill="FFFFFF"/>
        <w:spacing w:line="276" w:lineRule="auto"/>
        <w:ind w:firstLine="720"/>
        <w:contextualSpacing/>
        <w:jc w:val="both"/>
      </w:pPr>
      <w:r>
        <w:rPr>
          <w:rFonts w:asciiTheme="majorBidi" w:hAnsiTheme="majorBidi" w:cstheme="majorBidi"/>
        </w:rPr>
        <w:t>[7.</w:t>
      </w:r>
      <w:r w:rsidR="00882D16">
        <w:rPr>
          <w:rFonts w:asciiTheme="majorBidi" w:hAnsiTheme="majorBidi" w:cstheme="majorBidi"/>
        </w:rPr>
        <w:t>7</w:t>
      </w:r>
      <w:r>
        <w:rPr>
          <w:rFonts w:asciiTheme="majorBidi" w:hAnsiTheme="majorBidi" w:cstheme="majorBidi"/>
        </w:rPr>
        <w:t>] Ievērojot minēto, Senāts atzīst, ka</w:t>
      </w:r>
      <w:r w:rsidRPr="00561852">
        <w:rPr>
          <w:rFonts w:asciiTheme="majorBidi" w:hAnsiTheme="majorBidi" w:cstheme="majorBidi"/>
        </w:rPr>
        <w:t xml:space="preserve"> </w:t>
      </w:r>
      <w:r>
        <w:rPr>
          <w:rFonts w:asciiTheme="majorBidi" w:hAnsiTheme="majorBidi" w:cstheme="majorBidi"/>
        </w:rPr>
        <w:t>apelācijas instances tiesa ir pieļāvusi Krimināllikuma 193. panta ceturtās daļas pārkāpumu.</w:t>
      </w:r>
      <w:bookmarkStart w:id="9" w:name="_Hlk211970948"/>
      <w:bookmarkStart w:id="10" w:name="_Hlk212913255"/>
      <w:bookmarkEnd w:id="8"/>
      <w:bookmarkEnd w:id="2"/>
    </w:p>
    <w:p w14:paraId="02FBD68C" w14:textId="7E654B85" w:rsidR="006C4DE8" w:rsidRPr="00B44DB9" w:rsidRDefault="00D02BCB" w:rsidP="001159D4">
      <w:pPr>
        <w:widowControl w:val="0"/>
        <w:shd w:val="clear" w:color="auto" w:fill="FFFFFF"/>
        <w:spacing w:line="276" w:lineRule="auto"/>
        <w:ind w:firstLine="720"/>
        <w:jc w:val="both"/>
        <w:rPr>
          <w:rFonts w:asciiTheme="majorBidi" w:hAnsiTheme="majorBidi" w:cstheme="majorBidi"/>
          <w:shd w:val="clear" w:color="auto" w:fill="FFFFFF"/>
          <w:lang w:eastAsia="lv-LV"/>
        </w:rPr>
      </w:pPr>
      <w:r>
        <w:t>[</w:t>
      </w:r>
      <w:r w:rsidR="000E78A0">
        <w:t>8</w:t>
      </w:r>
      <w:r>
        <w:t xml:space="preserve">] </w:t>
      </w:r>
      <w:r w:rsidR="006C4DE8" w:rsidRPr="003B3D47">
        <w:rPr>
          <w:rFonts w:asciiTheme="majorBidi" w:hAnsiTheme="majorBidi" w:cstheme="majorBidi"/>
          <w:shd w:val="clear" w:color="auto" w:fill="FFFFFF"/>
          <w:lang w:eastAsia="lv-LV"/>
        </w:rPr>
        <w:t>Drošības līdzeklis apsūdzētaja</w:t>
      </w:r>
      <w:r w:rsidR="006C4DE8">
        <w:rPr>
          <w:rFonts w:asciiTheme="majorBidi" w:hAnsiTheme="majorBidi" w:cstheme="majorBidi"/>
          <w:shd w:val="clear" w:color="auto" w:fill="FFFFFF"/>
          <w:lang w:eastAsia="lv-LV"/>
        </w:rPr>
        <w:t>i</w:t>
      </w:r>
      <w:r w:rsidR="006C4DE8" w:rsidRPr="003B3D47">
        <w:rPr>
          <w:rFonts w:asciiTheme="majorBidi" w:hAnsiTheme="majorBidi" w:cstheme="majorBidi"/>
          <w:shd w:val="clear" w:color="auto" w:fill="FFFFFF"/>
          <w:lang w:eastAsia="lv-LV"/>
        </w:rPr>
        <w:t xml:space="preserve"> </w:t>
      </w:r>
      <w:r w:rsidR="00117112">
        <w:rPr>
          <w:rFonts w:asciiTheme="majorBidi" w:hAnsiTheme="majorBidi" w:cstheme="majorBidi"/>
          <w:shd w:val="clear" w:color="auto" w:fill="FFFFFF"/>
          <w:lang w:eastAsia="lv-LV"/>
        </w:rPr>
        <w:t>[pers. A]</w:t>
      </w:r>
      <w:r w:rsidR="006C4DE8" w:rsidRPr="003B3D47">
        <w:rPr>
          <w:rFonts w:asciiTheme="majorBidi" w:hAnsiTheme="majorBidi" w:cstheme="majorBidi"/>
          <w:shd w:val="clear" w:color="auto" w:fill="FFFFFF"/>
          <w:lang w:eastAsia="lv-LV"/>
        </w:rPr>
        <w:t xml:space="preserve"> nav piemērots.</w:t>
      </w:r>
    </w:p>
    <w:p w14:paraId="52FE1C30" w14:textId="2A4C2CAB" w:rsidR="005C3368" w:rsidRPr="00B44DB9" w:rsidRDefault="006C4DE8" w:rsidP="00B44DB9">
      <w:pPr>
        <w:widowControl w:val="0"/>
        <w:shd w:val="clear" w:color="auto" w:fill="FFFFFF"/>
        <w:spacing w:line="276" w:lineRule="auto"/>
        <w:ind w:firstLine="720"/>
        <w:contextualSpacing/>
        <w:jc w:val="both"/>
        <w:rPr>
          <w:rFonts w:asciiTheme="majorBidi" w:hAnsiTheme="majorBidi" w:cstheme="majorBidi"/>
          <w:shd w:val="clear" w:color="auto" w:fill="FFFFFF"/>
        </w:rPr>
      </w:pPr>
      <w:r w:rsidRPr="003B3D47">
        <w:rPr>
          <w:rFonts w:asciiTheme="majorBidi" w:hAnsiTheme="majorBidi" w:cstheme="majorBidi"/>
          <w:shd w:val="clear" w:color="auto" w:fill="FFFFFF"/>
          <w:lang w:eastAsia="lv-LV"/>
        </w:rPr>
        <w:t>Senāts atzīst, ka drošības līdzekļa piemērošanai apsūdzētaja</w:t>
      </w:r>
      <w:r>
        <w:rPr>
          <w:rFonts w:asciiTheme="majorBidi" w:hAnsiTheme="majorBidi" w:cstheme="majorBidi"/>
          <w:shd w:val="clear" w:color="auto" w:fill="FFFFFF"/>
          <w:lang w:eastAsia="lv-LV"/>
        </w:rPr>
        <w:t>i</w:t>
      </w:r>
      <w:r w:rsidRPr="003B3D47">
        <w:rPr>
          <w:rFonts w:asciiTheme="majorBidi" w:hAnsiTheme="majorBidi" w:cstheme="majorBidi"/>
          <w:shd w:val="clear" w:color="auto" w:fill="FFFFFF"/>
          <w:lang w:eastAsia="lv-LV"/>
        </w:rPr>
        <w:t xml:space="preserve"> šajā kriminālprocesa stadijā nav tiesiska pamata.</w:t>
      </w:r>
    </w:p>
    <w:bookmarkEnd w:id="0"/>
    <w:bookmarkEnd w:id="9"/>
    <w:bookmarkEnd w:id="10"/>
    <w:p w14:paraId="660BB7D0" w14:textId="77777777" w:rsidR="00881FD9" w:rsidRPr="00847F44" w:rsidRDefault="00881FD9" w:rsidP="00881FD9">
      <w:pPr>
        <w:shd w:val="clear" w:color="auto" w:fill="FFFFFF"/>
        <w:spacing w:before="360" w:after="360" w:line="276" w:lineRule="auto"/>
        <w:jc w:val="center"/>
        <w:rPr>
          <w:b/>
        </w:rPr>
      </w:pPr>
      <w:r w:rsidRPr="00847F44">
        <w:rPr>
          <w:b/>
        </w:rPr>
        <w:t xml:space="preserve">Rezolutīvā daļa </w:t>
      </w:r>
    </w:p>
    <w:p w14:paraId="6A979D66" w14:textId="29014C36" w:rsidR="00881FD9" w:rsidRDefault="00881FD9" w:rsidP="00881FD9">
      <w:pPr>
        <w:spacing w:line="276" w:lineRule="auto"/>
        <w:ind w:firstLine="720"/>
        <w:jc w:val="both"/>
      </w:pPr>
      <w:r w:rsidRPr="00F765F8">
        <w:t xml:space="preserve">Pamatojoties uz Kriminālprocesa likuma 585. pantu un 587. panta pirmās daļas </w:t>
      </w:r>
      <w:r w:rsidR="008A0F21">
        <w:t>2</w:t>
      </w:r>
      <w:r w:rsidRPr="00F765F8">
        <w:t>. punktu, Senāts</w:t>
      </w:r>
    </w:p>
    <w:p w14:paraId="64DF7C6E" w14:textId="77777777" w:rsidR="00881FD9" w:rsidRDefault="00881FD9" w:rsidP="006C4DE8">
      <w:pPr>
        <w:shd w:val="clear" w:color="auto" w:fill="FFFFFF"/>
        <w:spacing w:line="276" w:lineRule="auto"/>
        <w:rPr>
          <w:b/>
        </w:rPr>
      </w:pPr>
    </w:p>
    <w:p w14:paraId="6CB57414" w14:textId="77777777" w:rsidR="00881FD9" w:rsidRDefault="00881FD9" w:rsidP="00881FD9">
      <w:pPr>
        <w:shd w:val="clear" w:color="auto" w:fill="FFFFFF"/>
        <w:spacing w:line="276" w:lineRule="auto"/>
        <w:jc w:val="center"/>
        <w:rPr>
          <w:b/>
        </w:rPr>
      </w:pPr>
      <w:r w:rsidRPr="00A53E41">
        <w:rPr>
          <w:b/>
        </w:rPr>
        <w:t>no</w:t>
      </w:r>
      <w:r>
        <w:rPr>
          <w:b/>
        </w:rPr>
        <w:t>lēma</w:t>
      </w:r>
    </w:p>
    <w:p w14:paraId="08332798" w14:textId="77777777" w:rsidR="00881FD9" w:rsidRDefault="00881FD9" w:rsidP="00881FD9">
      <w:pPr>
        <w:shd w:val="clear" w:color="auto" w:fill="FFFFFF"/>
        <w:spacing w:line="276" w:lineRule="auto"/>
        <w:jc w:val="center"/>
        <w:rPr>
          <w:b/>
        </w:rPr>
      </w:pPr>
    </w:p>
    <w:p w14:paraId="65594398" w14:textId="25C89243" w:rsidR="004D5798" w:rsidRPr="00A53E41" w:rsidRDefault="004D5798" w:rsidP="006C4DE8">
      <w:pPr>
        <w:spacing w:line="276" w:lineRule="auto"/>
        <w:ind w:firstLine="709"/>
        <w:jc w:val="both"/>
        <w:rPr>
          <w:b/>
        </w:rPr>
      </w:pPr>
      <w:r w:rsidRPr="00124C4D">
        <w:t xml:space="preserve">atcelt </w:t>
      </w:r>
      <w:r>
        <w:t>Rīgas</w:t>
      </w:r>
      <w:r w:rsidRPr="00124C4D">
        <w:t xml:space="preserve"> apgabaltiesas </w:t>
      </w:r>
      <w:r>
        <w:rPr>
          <w:shd w:val="clear" w:color="auto" w:fill="FFFFFF"/>
        </w:rPr>
        <w:t>2025. gada 21. janvāra lēmumu</w:t>
      </w:r>
      <w:r w:rsidRPr="00124C4D">
        <w:t xml:space="preserve"> pilnībā un nosūtīt lietu jaunai</w:t>
      </w:r>
      <w:r>
        <w:t xml:space="preserve"> </w:t>
      </w:r>
      <w:r w:rsidRPr="00124C4D">
        <w:t xml:space="preserve">izskatīšanai </w:t>
      </w:r>
      <w:r>
        <w:t>Rīgas</w:t>
      </w:r>
      <w:r w:rsidRPr="00124C4D">
        <w:t xml:space="preserve"> apgabaltiesā.</w:t>
      </w:r>
    </w:p>
    <w:p w14:paraId="2D829D4E" w14:textId="77777777" w:rsidR="00881FD9" w:rsidRDefault="00881FD9" w:rsidP="00881FD9">
      <w:pPr>
        <w:spacing w:line="276" w:lineRule="auto"/>
        <w:ind w:firstLine="709"/>
      </w:pPr>
    </w:p>
    <w:p w14:paraId="4F47776B" w14:textId="0F0F1A57" w:rsidR="00881FD9" w:rsidRPr="005E392D" w:rsidRDefault="00881FD9" w:rsidP="00F062EF">
      <w:pPr>
        <w:spacing w:line="276" w:lineRule="auto"/>
        <w:ind w:firstLine="720"/>
        <w:jc w:val="both"/>
      </w:pPr>
      <w:r w:rsidRPr="00F765F8">
        <w:t>Lēmums nav pārsūdzams.</w:t>
      </w:r>
    </w:p>
    <w:p w14:paraId="15F95A02" w14:textId="77777777" w:rsidR="006300E8" w:rsidRDefault="006300E8"/>
    <w:sectPr w:rsidR="006300E8" w:rsidSect="00881FD9">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65C1" w14:textId="77777777" w:rsidR="00D90E79" w:rsidRDefault="00D90E79" w:rsidP="00AB0D56">
      <w:r>
        <w:separator/>
      </w:r>
    </w:p>
  </w:endnote>
  <w:endnote w:type="continuationSeparator" w:id="0">
    <w:p w14:paraId="387F2CDD" w14:textId="77777777" w:rsidR="00D90E79" w:rsidRDefault="00D90E79" w:rsidP="00AB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032496"/>
      <w:docPartObj>
        <w:docPartGallery w:val="Page Numbers (Bottom of Page)"/>
        <w:docPartUnique/>
      </w:docPartObj>
    </w:sdtPr>
    <w:sdtEndPr/>
    <w:sdtContent>
      <w:sdt>
        <w:sdtPr>
          <w:id w:val="1728636285"/>
          <w:docPartObj>
            <w:docPartGallery w:val="Page Numbers (Top of Page)"/>
            <w:docPartUnique/>
          </w:docPartObj>
        </w:sdtPr>
        <w:sdtEndPr/>
        <w:sdtContent>
          <w:p w14:paraId="69941E9F" w14:textId="6BC817E1" w:rsidR="004C779E" w:rsidRDefault="004C779E">
            <w:pPr>
              <w:pStyle w:val="Footer"/>
              <w:jc w:val="center"/>
            </w:pPr>
            <w:r w:rsidRPr="004C779E">
              <w:rPr>
                <w:sz w:val="20"/>
                <w:szCs w:val="20"/>
              </w:rPr>
              <w:fldChar w:fldCharType="begin"/>
            </w:r>
            <w:r w:rsidRPr="004C779E">
              <w:rPr>
                <w:sz w:val="20"/>
                <w:szCs w:val="20"/>
              </w:rPr>
              <w:instrText xml:space="preserve"> PAGE </w:instrText>
            </w:r>
            <w:r w:rsidRPr="004C779E">
              <w:rPr>
                <w:sz w:val="20"/>
                <w:szCs w:val="20"/>
              </w:rPr>
              <w:fldChar w:fldCharType="separate"/>
            </w:r>
            <w:r w:rsidRPr="004C779E">
              <w:rPr>
                <w:noProof/>
                <w:sz w:val="20"/>
                <w:szCs w:val="20"/>
              </w:rPr>
              <w:t>2</w:t>
            </w:r>
            <w:r w:rsidRPr="004C779E">
              <w:rPr>
                <w:sz w:val="20"/>
                <w:szCs w:val="20"/>
              </w:rPr>
              <w:fldChar w:fldCharType="end"/>
            </w:r>
            <w:r w:rsidRPr="004C779E">
              <w:rPr>
                <w:sz w:val="20"/>
                <w:szCs w:val="20"/>
              </w:rPr>
              <w:t xml:space="preserve"> no </w:t>
            </w:r>
            <w:r w:rsidRPr="004C779E">
              <w:rPr>
                <w:sz w:val="20"/>
                <w:szCs w:val="20"/>
              </w:rPr>
              <w:fldChar w:fldCharType="begin"/>
            </w:r>
            <w:r w:rsidRPr="004C779E">
              <w:rPr>
                <w:sz w:val="20"/>
                <w:szCs w:val="20"/>
              </w:rPr>
              <w:instrText xml:space="preserve"> NUMPAGES  </w:instrText>
            </w:r>
            <w:r w:rsidRPr="004C779E">
              <w:rPr>
                <w:sz w:val="20"/>
                <w:szCs w:val="20"/>
              </w:rPr>
              <w:fldChar w:fldCharType="separate"/>
            </w:r>
            <w:r w:rsidRPr="004C779E">
              <w:rPr>
                <w:noProof/>
                <w:sz w:val="20"/>
                <w:szCs w:val="20"/>
              </w:rPr>
              <w:t>2</w:t>
            </w:r>
            <w:r w:rsidRPr="004C779E">
              <w:rPr>
                <w:sz w:val="20"/>
                <w:szCs w:val="20"/>
              </w:rPr>
              <w:fldChar w:fldCharType="end"/>
            </w:r>
          </w:p>
        </w:sdtContent>
      </w:sdt>
    </w:sdtContent>
  </w:sdt>
  <w:p w14:paraId="34C7EC0A" w14:textId="77777777" w:rsidR="004C779E" w:rsidRDefault="004C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AF5A" w14:textId="77777777" w:rsidR="00D90E79" w:rsidRDefault="00D90E79" w:rsidP="00AB0D56">
      <w:r>
        <w:separator/>
      </w:r>
    </w:p>
  </w:footnote>
  <w:footnote w:type="continuationSeparator" w:id="0">
    <w:p w14:paraId="42FB1038" w14:textId="77777777" w:rsidR="00D90E79" w:rsidRDefault="00D90E79" w:rsidP="00AB0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112"/>
    <w:multiLevelType w:val="multilevel"/>
    <w:tmpl w:val="89A2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43F5D"/>
    <w:multiLevelType w:val="multilevel"/>
    <w:tmpl w:val="3342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A30EF"/>
    <w:multiLevelType w:val="multilevel"/>
    <w:tmpl w:val="0B5E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52C55"/>
    <w:multiLevelType w:val="hybridMultilevel"/>
    <w:tmpl w:val="D02251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8201E9"/>
    <w:multiLevelType w:val="multilevel"/>
    <w:tmpl w:val="043E2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D1D75"/>
    <w:multiLevelType w:val="hybridMultilevel"/>
    <w:tmpl w:val="71FC3818"/>
    <w:lvl w:ilvl="0" w:tplc="37A402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5779B8"/>
    <w:multiLevelType w:val="hybridMultilevel"/>
    <w:tmpl w:val="32820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66CAF"/>
    <w:multiLevelType w:val="multilevel"/>
    <w:tmpl w:val="93F4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06667"/>
    <w:multiLevelType w:val="hybridMultilevel"/>
    <w:tmpl w:val="9E30367C"/>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8425A0"/>
    <w:multiLevelType w:val="hybridMultilevel"/>
    <w:tmpl w:val="E286CEC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3364569">
    <w:abstractNumId w:val="9"/>
  </w:num>
  <w:num w:numId="2" w16cid:durableId="185757190">
    <w:abstractNumId w:val="5"/>
  </w:num>
  <w:num w:numId="3" w16cid:durableId="1426151918">
    <w:abstractNumId w:val="8"/>
  </w:num>
  <w:num w:numId="4" w16cid:durableId="1017847884">
    <w:abstractNumId w:val="2"/>
  </w:num>
  <w:num w:numId="5" w16cid:durableId="1070543376">
    <w:abstractNumId w:val="0"/>
  </w:num>
  <w:num w:numId="6" w16cid:durableId="1614555348">
    <w:abstractNumId w:val="1"/>
  </w:num>
  <w:num w:numId="7" w16cid:durableId="1979872244">
    <w:abstractNumId w:val="4"/>
  </w:num>
  <w:num w:numId="8" w16cid:durableId="1351368388">
    <w:abstractNumId w:val="6"/>
  </w:num>
  <w:num w:numId="9" w16cid:durableId="1025448778">
    <w:abstractNumId w:val="3"/>
  </w:num>
  <w:num w:numId="10" w16cid:durableId="1492526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D9"/>
    <w:rsid w:val="00010BF8"/>
    <w:rsid w:val="00015A00"/>
    <w:rsid w:val="00027DDD"/>
    <w:rsid w:val="00027FD6"/>
    <w:rsid w:val="00057B41"/>
    <w:rsid w:val="00067F01"/>
    <w:rsid w:val="000712A6"/>
    <w:rsid w:val="00077FA8"/>
    <w:rsid w:val="000B228B"/>
    <w:rsid w:val="000C34AA"/>
    <w:rsid w:val="000C7A7A"/>
    <w:rsid w:val="000D5221"/>
    <w:rsid w:val="000E28CD"/>
    <w:rsid w:val="000E2D59"/>
    <w:rsid w:val="000E78A0"/>
    <w:rsid w:val="00102B87"/>
    <w:rsid w:val="00104A78"/>
    <w:rsid w:val="001122E1"/>
    <w:rsid w:val="001159D4"/>
    <w:rsid w:val="00117112"/>
    <w:rsid w:val="001317E3"/>
    <w:rsid w:val="00136E75"/>
    <w:rsid w:val="001656EA"/>
    <w:rsid w:val="00183D20"/>
    <w:rsid w:val="00184089"/>
    <w:rsid w:val="001A04CD"/>
    <w:rsid w:val="001A421A"/>
    <w:rsid w:val="001D3F78"/>
    <w:rsid w:val="001E63DF"/>
    <w:rsid w:val="002008FA"/>
    <w:rsid w:val="002110D7"/>
    <w:rsid w:val="00215457"/>
    <w:rsid w:val="00215FE5"/>
    <w:rsid w:val="00216FEA"/>
    <w:rsid w:val="00221165"/>
    <w:rsid w:val="00247E25"/>
    <w:rsid w:val="00252DD7"/>
    <w:rsid w:val="00254ACD"/>
    <w:rsid w:val="00261645"/>
    <w:rsid w:val="00264450"/>
    <w:rsid w:val="00267940"/>
    <w:rsid w:val="00277403"/>
    <w:rsid w:val="00296725"/>
    <w:rsid w:val="002C75D2"/>
    <w:rsid w:val="002C774E"/>
    <w:rsid w:val="002D1B87"/>
    <w:rsid w:val="002D3394"/>
    <w:rsid w:val="002E03B6"/>
    <w:rsid w:val="002F65E9"/>
    <w:rsid w:val="002F7C65"/>
    <w:rsid w:val="00306739"/>
    <w:rsid w:val="00340437"/>
    <w:rsid w:val="003525FE"/>
    <w:rsid w:val="00365207"/>
    <w:rsid w:val="003A5328"/>
    <w:rsid w:val="003A7219"/>
    <w:rsid w:val="003D0F0F"/>
    <w:rsid w:val="003F58FE"/>
    <w:rsid w:val="00401811"/>
    <w:rsid w:val="0040314E"/>
    <w:rsid w:val="00403FFB"/>
    <w:rsid w:val="00407295"/>
    <w:rsid w:val="00434B13"/>
    <w:rsid w:val="0044291B"/>
    <w:rsid w:val="004458F5"/>
    <w:rsid w:val="004519A6"/>
    <w:rsid w:val="004861C3"/>
    <w:rsid w:val="004A02CD"/>
    <w:rsid w:val="004B5667"/>
    <w:rsid w:val="004B6F88"/>
    <w:rsid w:val="004C1971"/>
    <w:rsid w:val="004C7271"/>
    <w:rsid w:val="004C779E"/>
    <w:rsid w:val="004D5798"/>
    <w:rsid w:val="004D7764"/>
    <w:rsid w:val="004E0B3D"/>
    <w:rsid w:val="00500402"/>
    <w:rsid w:val="00511064"/>
    <w:rsid w:val="00511459"/>
    <w:rsid w:val="0052249C"/>
    <w:rsid w:val="00523479"/>
    <w:rsid w:val="00530653"/>
    <w:rsid w:val="00534149"/>
    <w:rsid w:val="005500B4"/>
    <w:rsid w:val="00555598"/>
    <w:rsid w:val="00570DE1"/>
    <w:rsid w:val="00574275"/>
    <w:rsid w:val="00577AB9"/>
    <w:rsid w:val="00580377"/>
    <w:rsid w:val="005847F7"/>
    <w:rsid w:val="00586A20"/>
    <w:rsid w:val="00587194"/>
    <w:rsid w:val="00590DDD"/>
    <w:rsid w:val="00596C4E"/>
    <w:rsid w:val="005B0F5B"/>
    <w:rsid w:val="005C3368"/>
    <w:rsid w:val="005C5F63"/>
    <w:rsid w:val="005C7B30"/>
    <w:rsid w:val="005D653F"/>
    <w:rsid w:val="005E2232"/>
    <w:rsid w:val="005E70AE"/>
    <w:rsid w:val="00612ACD"/>
    <w:rsid w:val="00613F62"/>
    <w:rsid w:val="00620F99"/>
    <w:rsid w:val="0062593C"/>
    <w:rsid w:val="006300E8"/>
    <w:rsid w:val="00643070"/>
    <w:rsid w:val="00643C07"/>
    <w:rsid w:val="00656F70"/>
    <w:rsid w:val="006664E5"/>
    <w:rsid w:val="00683B04"/>
    <w:rsid w:val="006A47EB"/>
    <w:rsid w:val="006B19CE"/>
    <w:rsid w:val="006C4DE8"/>
    <w:rsid w:val="006C6922"/>
    <w:rsid w:val="006D57C4"/>
    <w:rsid w:val="006E716C"/>
    <w:rsid w:val="006F79E4"/>
    <w:rsid w:val="00715330"/>
    <w:rsid w:val="00744229"/>
    <w:rsid w:val="0074599B"/>
    <w:rsid w:val="007928BF"/>
    <w:rsid w:val="007A4967"/>
    <w:rsid w:val="007B3CE1"/>
    <w:rsid w:val="007B7B35"/>
    <w:rsid w:val="007C057D"/>
    <w:rsid w:val="007C5010"/>
    <w:rsid w:val="007D4E78"/>
    <w:rsid w:val="007E2DA0"/>
    <w:rsid w:val="008017F8"/>
    <w:rsid w:val="00805351"/>
    <w:rsid w:val="00810410"/>
    <w:rsid w:val="00834385"/>
    <w:rsid w:val="008519EF"/>
    <w:rsid w:val="00881FD9"/>
    <w:rsid w:val="00882D16"/>
    <w:rsid w:val="00891A41"/>
    <w:rsid w:val="00892658"/>
    <w:rsid w:val="008929F7"/>
    <w:rsid w:val="00894EC6"/>
    <w:rsid w:val="008A0B5B"/>
    <w:rsid w:val="008A0F21"/>
    <w:rsid w:val="008A1458"/>
    <w:rsid w:val="008A1F9B"/>
    <w:rsid w:val="008B4566"/>
    <w:rsid w:val="008C058B"/>
    <w:rsid w:val="008C2417"/>
    <w:rsid w:val="008C55C1"/>
    <w:rsid w:val="008D786E"/>
    <w:rsid w:val="008E0798"/>
    <w:rsid w:val="008E1AD4"/>
    <w:rsid w:val="008F3F9E"/>
    <w:rsid w:val="00921DA5"/>
    <w:rsid w:val="00922B05"/>
    <w:rsid w:val="0092493E"/>
    <w:rsid w:val="00926A14"/>
    <w:rsid w:val="00931BE4"/>
    <w:rsid w:val="00960D72"/>
    <w:rsid w:val="0096341E"/>
    <w:rsid w:val="00981076"/>
    <w:rsid w:val="00986E85"/>
    <w:rsid w:val="009B2828"/>
    <w:rsid w:val="009B7F1D"/>
    <w:rsid w:val="009D4FF7"/>
    <w:rsid w:val="009D6325"/>
    <w:rsid w:val="009E14DD"/>
    <w:rsid w:val="009E3175"/>
    <w:rsid w:val="00A03ADE"/>
    <w:rsid w:val="00A1113B"/>
    <w:rsid w:val="00A1117A"/>
    <w:rsid w:val="00A1669F"/>
    <w:rsid w:val="00A27C97"/>
    <w:rsid w:val="00A33696"/>
    <w:rsid w:val="00A377B5"/>
    <w:rsid w:val="00A3782C"/>
    <w:rsid w:val="00A450D5"/>
    <w:rsid w:val="00A45223"/>
    <w:rsid w:val="00A563B0"/>
    <w:rsid w:val="00A8474C"/>
    <w:rsid w:val="00A86CD3"/>
    <w:rsid w:val="00AB0D56"/>
    <w:rsid w:val="00AD4788"/>
    <w:rsid w:val="00AD7E89"/>
    <w:rsid w:val="00AE05E6"/>
    <w:rsid w:val="00AE18C0"/>
    <w:rsid w:val="00AF37F3"/>
    <w:rsid w:val="00B074F3"/>
    <w:rsid w:val="00B21128"/>
    <w:rsid w:val="00B221D1"/>
    <w:rsid w:val="00B2255E"/>
    <w:rsid w:val="00B24C5D"/>
    <w:rsid w:val="00B42CFC"/>
    <w:rsid w:val="00B44DB9"/>
    <w:rsid w:val="00B5677E"/>
    <w:rsid w:val="00B759E2"/>
    <w:rsid w:val="00B75E25"/>
    <w:rsid w:val="00B83713"/>
    <w:rsid w:val="00B84C2B"/>
    <w:rsid w:val="00B920DF"/>
    <w:rsid w:val="00BA235F"/>
    <w:rsid w:val="00BB09CF"/>
    <w:rsid w:val="00BB09D1"/>
    <w:rsid w:val="00BB450C"/>
    <w:rsid w:val="00BC25D1"/>
    <w:rsid w:val="00BC748E"/>
    <w:rsid w:val="00BD0157"/>
    <w:rsid w:val="00BF0AB8"/>
    <w:rsid w:val="00C04D8A"/>
    <w:rsid w:val="00C0778D"/>
    <w:rsid w:val="00C266C2"/>
    <w:rsid w:val="00C31C7E"/>
    <w:rsid w:val="00C34026"/>
    <w:rsid w:val="00C35FD6"/>
    <w:rsid w:val="00C67DFF"/>
    <w:rsid w:val="00C7271F"/>
    <w:rsid w:val="00C754E6"/>
    <w:rsid w:val="00C81176"/>
    <w:rsid w:val="00C879B4"/>
    <w:rsid w:val="00CA2F90"/>
    <w:rsid w:val="00CA4D42"/>
    <w:rsid w:val="00CA7928"/>
    <w:rsid w:val="00CB3B7B"/>
    <w:rsid w:val="00CB746D"/>
    <w:rsid w:val="00CC0D0B"/>
    <w:rsid w:val="00CC40B8"/>
    <w:rsid w:val="00D02BCB"/>
    <w:rsid w:val="00D039C0"/>
    <w:rsid w:val="00D056AD"/>
    <w:rsid w:val="00D11DFE"/>
    <w:rsid w:val="00D17EF2"/>
    <w:rsid w:val="00D21594"/>
    <w:rsid w:val="00D221B3"/>
    <w:rsid w:val="00D26ECF"/>
    <w:rsid w:val="00D36EAA"/>
    <w:rsid w:val="00D429F4"/>
    <w:rsid w:val="00D53275"/>
    <w:rsid w:val="00D645A1"/>
    <w:rsid w:val="00D90E79"/>
    <w:rsid w:val="00D957C4"/>
    <w:rsid w:val="00D975A3"/>
    <w:rsid w:val="00DA42B2"/>
    <w:rsid w:val="00DB15A0"/>
    <w:rsid w:val="00DB5216"/>
    <w:rsid w:val="00DC408C"/>
    <w:rsid w:val="00DC5A08"/>
    <w:rsid w:val="00DC6147"/>
    <w:rsid w:val="00DD7B3F"/>
    <w:rsid w:val="00DF66D5"/>
    <w:rsid w:val="00E13234"/>
    <w:rsid w:val="00E23B70"/>
    <w:rsid w:val="00E50A57"/>
    <w:rsid w:val="00E5395A"/>
    <w:rsid w:val="00E62677"/>
    <w:rsid w:val="00E67F54"/>
    <w:rsid w:val="00E825BC"/>
    <w:rsid w:val="00E93735"/>
    <w:rsid w:val="00E96E87"/>
    <w:rsid w:val="00EA45C2"/>
    <w:rsid w:val="00EA4BA6"/>
    <w:rsid w:val="00EB6B89"/>
    <w:rsid w:val="00EC502E"/>
    <w:rsid w:val="00EC6248"/>
    <w:rsid w:val="00EE538C"/>
    <w:rsid w:val="00EF55B5"/>
    <w:rsid w:val="00EF781D"/>
    <w:rsid w:val="00F062EF"/>
    <w:rsid w:val="00F11061"/>
    <w:rsid w:val="00F55843"/>
    <w:rsid w:val="00F573F1"/>
    <w:rsid w:val="00F60A5F"/>
    <w:rsid w:val="00F677E0"/>
    <w:rsid w:val="00F879F8"/>
    <w:rsid w:val="00FA4425"/>
    <w:rsid w:val="00FA7F5B"/>
    <w:rsid w:val="00FC0C62"/>
    <w:rsid w:val="00FC36E7"/>
    <w:rsid w:val="00FE664E"/>
    <w:rsid w:val="00FE6B37"/>
    <w:rsid w:val="00FE7477"/>
    <w:rsid w:val="00FF0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F5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FD9"/>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881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F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F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1F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1F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F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F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F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F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F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1F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1F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F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F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F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F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F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FD9"/>
    <w:pPr>
      <w:spacing w:before="160"/>
      <w:jc w:val="center"/>
    </w:pPr>
    <w:rPr>
      <w:i/>
      <w:iCs/>
      <w:color w:val="404040" w:themeColor="text1" w:themeTint="BF"/>
    </w:rPr>
  </w:style>
  <w:style w:type="character" w:customStyle="1" w:styleId="QuoteChar">
    <w:name w:val="Quote Char"/>
    <w:basedOn w:val="DefaultParagraphFont"/>
    <w:link w:val="Quote"/>
    <w:uiPriority w:val="29"/>
    <w:rsid w:val="00881FD9"/>
    <w:rPr>
      <w:i/>
      <w:iCs/>
      <w:color w:val="404040" w:themeColor="text1" w:themeTint="BF"/>
    </w:rPr>
  </w:style>
  <w:style w:type="paragraph" w:styleId="ListParagraph">
    <w:name w:val="List Paragraph"/>
    <w:basedOn w:val="Normal"/>
    <w:link w:val="ListParagraphChar"/>
    <w:uiPriority w:val="34"/>
    <w:qFormat/>
    <w:rsid w:val="00881FD9"/>
    <w:pPr>
      <w:ind w:left="720"/>
      <w:contextualSpacing/>
    </w:pPr>
  </w:style>
  <w:style w:type="character" w:styleId="IntenseEmphasis">
    <w:name w:val="Intense Emphasis"/>
    <w:basedOn w:val="DefaultParagraphFont"/>
    <w:uiPriority w:val="21"/>
    <w:qFormat/>
    <w:rsid w:val="00881FD9"/>
    <w:rPr>
      <w:i/>
      <w:iCs/>
      <w:color w:val="2F5496" w:themeColor="accent1" w:themeShade="BF"/>
    </w:rPr>
  </w:style>
  <w:style w:type="paragraph" w:styleId="IntenseQuote">
    <w:name w:val="Intense Quote"/>
    <w:basedOn w:val="Normal"/>
    <w:next w:val="Normal"/>
    <w:link w:val="IntenseQuoteChar"/>
    <w:uiPriority w:val="30"/>
    <w:qFormat/>
    <w:rsid w:val="00881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FD9"/>
    <w:rPr>
      <w:i/>
      <w:iCs/>
      <w:color w:val="2F5496" w:themeColor="accent1" w:themeShade="BF"/>
    </w:rPr>
  </w:style>
  <w:style w:type="character" w:styleId="IntenseReference">
    <w:name w:val="Intense Reference"/>
    <w:basedOn w:val="DefaultParagraphFont"/>
    <w:uiPriority w:val="32"/>
    <w:qFormat/>
    <w:rsid w:val="00881FD9"/>
    <w:rPr>
      <w:b/>
      <w:bCs/>
      <w:smallCaps/>
      <w:color w:val="2F5496" w:themeColor="accent1" w:themeShade="BF"/>
      <w:spacing w:val="5"/>
    </w:rPr>
  </w:style>
  <w:style w:type="table" w:styleId="TableGrid">
    <w:name w:val="Table Grid"/>
    <w:basedOn w:val="TableNormal"/>
    <w:rsid w:val="00881FD9"/>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1FD9"/>
    <w:pPr>
      <w:spacing w:before="100" w:beforeAutospacing="1" w:after="100" w:afterAutospacing="1"/>
    </w:pPr>
    <w:rPr>
      <w:lang w:eastAsia="lv-LV"/>
    </w:rPr>
  </w:style>
  <w:style w:type="character" w:styleId="Hyperlink">
    <w:name w:val="Hyperlink"/>
    <w:basedOn w:val="DefaultParagraphFont"/>
    <w:uiPriority w:val="99"/>
    <w:unhideWhenUsed/>
    <w:rsid w:val="00A1669F"/>
    <w:rPr>
      <w:color w:val="0563C1" w:themeColor="hyperlink"/>
      <w:u w:val="single"/>
    </w:rPr>
  </w:style>
  <w:style w:type="paragraph" w:styleId="NoSpacing">
    <w:name w:val="No Spacing"/>
    <w:link w:val="NoSpacingChar"/>
    <w:uiPriority w:val="1"/>
    <w:qFormat/>
    <w:rsid w:val="004B6F88"/>
    <w:pPr>
      <w:spacing w:after="0" w:line="240" w:lineRule="auto"/>
    </w:pPr>
    <w:rPr>
      <w:rFonts w:asciiTheme="minorHAnsi" w:hAnsiTheme="minorHAnsi"/>
      <w:kern w:val="0"/>
      <w:sz w:val="21"/>
      <w:szCs w:val="21"/>
      <w:lang w:val="lv-LV"/>
      <w14:ligatures w14:val="none"/>
    </w:rPr>
  </w:style>
  <w:style w:type="character" w:customStyle="1" w:styleId="NoSpacingChar">
    <w:name w:val="No Spacing Char"/>
    <w:link w:val="NoSpacing"/>
    <w:uiPriority w:val="1"/>
    <w:locked/>
    <w:rsid w:val="004B6F88"/>
    <w:rPr>
      <w:rFonts w:asciiTheme="minorHAnsi" w:hAnsiTheme="minorHAnsi"/>
      <w:kern w:val="0"/>
      <w:sz w:val="21"/>
      <w:szCs w:val="21"/>
      <w:lang w:val="lv-LV"/>
      <w14:ligatures w14:val="none"/>
    </w:rPr>
  </w:style>
  <w:style w:type="character" w:styleId="UnresolvedMention">
    <w:name w:val="Unresolved Mention"/>
    <w:basedOn w:val="DefaultParagraphFont"/>
    <w:uiPriority w:val="99"/>
    <w:semiHidden/>
    <w:unhideWhenUsed/>
    <w:rsid w:val="007C057D"/>
    <w:rPr>
      <w:color w:val="605E5C"/>
      <w:shd w:val="clear" w:color="auto" w:fill="E1DFDD"/>
    </w:rPr>
  </w:style>
  <w:style w:type="character" w:customStyle="1" w:styleId="ListParagraphChar">
    <w:name w:val="List Paragraph Char"/>
    <w:basedOn w:val="DefaultParagraphFont"/>
    <w:link w:val="ListParagraph"/>
    <w:uiPriority w:val="34"/>
    <w:rsid w:val="007C057D"/>
    <w:rPr>
      <w:rFonts w:eastAsia="Times New Roman" w:cs="Times New Roman"/>
      <w:kern w:val="0"/>
      <w:lang w:val="lv-LV" w:eastAsia="ru-RU"/>
      <w14:ligatures w14:val="none"/>
    </w:rPr>
  </w:style>
  <w:style w:type="paragraph" w:styleId="FootnoteText">
    <w:name w:val="footnote text"/>
    <w:aliases w:val="Fußnote"/>
    <w:basedOn w:val="Normal"/>
    <w:link w:val="FootnoteTextChar"/>
    <w:rsid w:val="00DB15A0"/>
    <w:pPr>
      <w:suppressAutoHyphens/>
    </w:pPr>
    <w:rPr>
      <w:rFonts w:eastAsia="Calibri" w:cstheme="minorBidi"/>
      <w:sz w:val="18"/>
      <w:szCs w:val="20"/>
      <w:lang w:val="en-US" w:eastAsia="zh-CN"/>
    </w:rPr>
  </w:style>
  <w:style w:type="character" w:customStyle="1" w:styleId="FootnoteTextChar">
    <w:name w:val="Footnote Text Char"/>
    <w:aliases w:val="Fußnote Char"/>
    <w:basedOn w:val="DefaultParagraphFont"/>
    <w:link w:val="FootnoteText"/>
    <w:rsid w:val="00DB15A0"/>
    <w:rPr>
      <w:rFonts w:eastAsia="Calibri"/>
      <w:kern w:val="0"/>
      <w:sz w:val="18"/>
      <w:szCs w:val="20"/>
      <w:lang w:eastAsia="zh-CN"/>
      <w14:ligatures w14:val="none"/>
    </w:rPr>
  </w:style>
  <w:style w:type="character" w:customStyle="1" w:styleId="EndnoteCharacters">
    <w:name w:val="Endnote Characters"/>
    <w:rsid w:val="00AB0D56"/>
    <w:rPr>
      <w:vertAlign w:val="superscript"/>
    </w:rPr>
  </w:style>
  <w:style w:type="character" w:styleId="CommentReference">
    <w:name w:val="annotation reference"/>
    <w:basedOn w:val="DefaultParagraphFont"/>
    <w:uiPriority w:val="99"/>
    <w:semiHidden/>
    <w:unhideWhenUsed/>
    <w:rsid w:val="00F11061"/>
    <w:rPr>
      <w:sz w:val="16"/>
      <w:szCs w:val="16"/>
    </w:rPr>
  </w:style>
  <w:style w:type="paragraph" w:styleId="CommentText">
    <w:name w:val="annotation text"/>
    <w:basedOn w:val="Normal"/>
    <w:link w:val="CommentTextChar"/>
    <w:uiPriority w:val="99"/>
    <w:unhideWhenUsed/>
    <w:rsid w:val="00F11061"/>
    <w:rPr>
      <w:sz w:val="20"/>
      <w:szCs w:val="20"/>
    </w:rPr>
  </w:style>
  <w:style w:type="character" w:customStyle="1" w:styleId="CommentTextChar">
    <w:name w:val="Comment Text Char"/>
    <w:basedOn w:val="DefaultParagraphFont"/>
    <w:link w:val="CommentText"/>
    <w:uiPriority w:val="99"/>
    <w:rsid w:val="00F1106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F11061"/>
    <w:rPr>
      <w:b/>
      <w:bCs/>
    </w:rPr>
  </w:style>
  <w:style w:type="character" w:customStyle="1" w:styleId="CommentSubjectChar">
    <w:name w:val="Comment Subject Char"/>
    <w:basedOn w:val="CommentTextChar"/>
    <w:link w:val="CommentSubject"/>
    <w:uiPriority w:val="99"/>
    <w:semiHidden/>
    <w:rsid w:val="00F11061"/>
    <w:rPr>
      <w:rFonts w:eastAsia="Times New Roman" w:cs="Times New Roman"/>
      <w:b/>
      <w:bCs/>
      <w:kern w:val="0"/>
      <w:sz w:val="20"/>
      <w:szCs w:val="20"/>
      <w:lang w:val="lv-LV" w:eastAsia="ru-RU"/>
      <w14:ligatures w14:val="none"/>
    </w:rPr>
  </w:style>
  <w:style w:type="character" w:styleId="FootnoteReference">
    <w:name w:val="footnote reference"/>
    <w:aliases w:val="Footnote Reference Number,Footnote symbol"/>
    <w:basedOn w:val="DefaultParagraphFont"/>
    <w:uiPriority w:val="99"/>
    <w:unhideWhenUsed/>
    <w:rsid w:val="00D02BCB"/>
    <w:rPr>
      <w:vertAlign w:val="superscript"/>
    </w:rPr>
  </w:style>
  <w:style w:type="paragraph" w:styleId="Header">
    <w:name w:val="header"/>
    <w:basedOn w:val="Normal"/>
    <w:link w:val="HeaderChar"/>
    <w:uiPriority w:val="99"/>
    <w:unhideWhenUsed/>
    <w:rsid w:val="004C779E"/>
    <w:pPr>
      <w:tabs>
        <w:tab w:val="center" w:pos="4320"/>
        <w:tab w:val="right" w:pos="8640"/>
      </w:tabs>
    </w:pPr>
  </w:style>
  <w:style w:type="character" w:customStyle="1" w:styleId="HeaderChar">
    <w:name w:val="Header Char"/>
    <w:basedOn w:val="DefaultParagraphFont"/>
    <w:link w:val="Header"/>
    <w:uiPriority w:val="99"/>
    <w:rsid w:val="004C779E"/>
    <w:rPr>
      <w:rFonts w:eastAsia="Times New Roman" w:cs="Times New Roman"/>
      <w:kern w:val="0"/>
      <w:lang w:val="lv-LV" w:eastAsia="ru-RU"/>
      <w14:ligatures w14:val="none"/>
    </w:rPr>
  </w:style>
  <w:style w:type="paragraph" w:styleId="Footer">
    <w:name w:val="footer"/>
    <w:basedOn w:val="Normal"/>
    <w:link w:val="FooterChar"/>
    <w:uiPriority w:val="99"/>
    <w:unhideWhenUsed/>
    <w:rsid w:val="004C779E"/>
    <w:pPr>
      <w:tabs>
        <w:tab w:val="center" w:pos="4320"/>
        <w:tab w:val="right" w:pos="8640"/>
      </w:tabs>
    </w:pPr>
  </w:style>
  <w:style w:type="character" w:customStyle="1" w:styleId="FooterChar">
    <w:name w:val="Footer Char"/>
    <w:basedOn w:val="DefaultParagraphFont"/>
    <w:link w:val="Footer"/>
    <w:uiPriority w:val="99"/>
    <w:rsid w:val="004C779E"/>
    <w:rPr>
      <w:rFonts w:eastAsia="Times New Roman" w:cs="Times New Roman"/>
      <w:kern w:val="0"/>
      <w:lang w:val="lv-LV" w:eastAsia="ru-RU"/>
      <w14:ligatures w14:val="none"/>
    </w:rPr>
  </w:style>
  <w:style w:type="paragraph" w:styleId="Revision">
    <w:name w:val="Revision"/>
    <w:hidden/>
    <w:uiPriority w:val="99"/>
    <w:semiHidden/>
    <w:rsid w:val="00D11DFE"/>
    <w:pPr>
      <w:spacing w:after="0" w:line="240" w:lineRule="auto"/>
    </w:pPr>
    <w:rPr>
      <w:rFonts w:eastAsia="Times New Roman" w:cs="Times New Roman"/>
      <w:kern w:val="0"/>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af2f959-62e5-4802-a780-aff01b56d147" TargetMode="External"/><Relationship Id="rId13" Type="http://schemas.openxmlformats.org/officeDocument/2006/relationships/hyperlink" Target="https://manas.tiesas.lv/eTiesasMvc/nolemumi/pdf/4072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0:0327.A420202416.18.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425.12812000713.2.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gov.lv/downloadlawfile/7007" TargetMode="External"/><Relationship Id="rId4" Type="http://schemas.openxmlformats.org/officeDocument/2006/relationships/settings" Target="settings.xml"/><Relationship Id="rId9" Type="http://schemas.openxmlformats.org/officeDocument/2006/relationships/hyperlink" Target="https://manas.tiesas.lv/eTiesasMvc/nolemumi/pdf/47540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6504-30A2-4007-B9B6-50585033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11877</Words>
  <Characters>6770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2025-12-17T14:30:00Z</dcterms:created>
  <dcterms:modified xsi:type="dcterms:W3CDTF">2025-12-19T07:56:00Z</dcterms:modified>
</cp:coreProperties>
</file>