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218CC" w14:textId="77777777" w:rsidR="000D6B37" w:rsidRPr="000D6B37" w:rsidRDefault="000D6B37" w:rsidP="00F10C34">
      <w:pPr>
        <w:spacing w:after="0" w:line="276" w:lineRule="auto"/>
        <w:jc w:val="both"/>
        <w:rPr>
          <w:b/>
          <w:bCs/>
        </w:rPr>
      </w:pPr>
      <w:r w:rsidRPr="000D6B37">
        <w:rPr>
          <w:b/>
          <w:bCs/>
        </w:rPr>
        <w:t>Aizstāvja klātbūtne atteikšanās no aizstāvja un aizstāvja maiņas gadījumā</w:t>
      </w:r>
    </w:p>
    <w:p w14:paraId="7FFE065A" w14:textId="77777777" w:rsidR="000D6B37" w:rsidRPr="000D6B37" w:rsidRDefault="000D6B37" w:rsidP="00F10C34">
      <w:pPr>
        <w:spacing w:after="0" w:line="276" w:lineRule="auto"/>
        <w:jc w:val="both"/>
      </w:pPr>
      <w:r w:rsidRPr="000D6B37">
        <w:t>Personas, kurai ir tiesības uz aizstāvību, lūgums par aizstāvja nomaiņu ir norobežojams no viņa atteikšanās no aizstāvja. Tādēļ, lemjot par aizstāvja nomaiņu, Kriminālprocesa likuma 88. panta otrās daļas trešajā teikumā ietvertā prasība nav piemērojama, proti, līdzšinējā aizstāvja klātbūtne nav obligāta.</w:t>
      </w:r>
    </w:p>
    <w:p w14:paraId="7D036E46" w14:textId="77777777" w:rsidR="000D6B37" w:rsidRDefault="000D6B37" w:rsidP="00F10C34">
      <w:pPr>
        <w:spacing w:after="0" w:line="276" w:lineRule="auto"/>
        <w:jc w:val="both"/>
        <w:rPr>
          <w:b/>
          <w:bCs/>
        </w:rPr>
      </w:pPr>
    </w:p>
    <w:p w14:paraId="0F39C36F" w14:textId="54D7FCA0" w:rsidR="000D6B37" w:rsidRPr="000D6B37" w:rsidRDefault="000D6B37" w:rsidP="00F10C34">
      <w:pPr>
        <w:spacing w:after="0" w:line="276" w:lineRule="auto"/>
        <w:jc w:val="both"/>
        <w:rPr>
          <w:b/>
          <w:bCs/>
        </w:rPr>
      </w:pPr>
      <w:r w:rsidRPr="000D6B37">
        <w:rPr>
          <w:b/>
          <w:bCs/>
        </w:rPr>
        <w:t>Pirmās instances tiesas notiesājošs spriedums, kurš vēl nav stājies spēkā, kā apcietinājuma pamats</w:t>
      </w:r>
    </w:p>
    <w:p w14:paraId="63E55B9C" w14:textId="77777777" w:rsidR="000D6B37" w:rsidRPr="000D6B37" w:rsidRDefault="000D6B37" w:rsidP="00F10C34">
      <w:pPr>
        <w:spacing w:after="0" w:line="276" w:lineRule="auto"/>
        <w:jc w:val="both"/>
        <w:rPr>
          <w:b/>
          <w:bCs/>
        </w:rPr>
      </w:pPr>
    </w:p>
    <w:p w14:paraId="70F868FA" w14:textId="77777777" w:rsidR="000D6B37" w:rsidRPr="000D6B37" w:rsidRDefault="000D6B37" w:rsidP="00F10C34">
      <w:pPr>
        <w:spacing w:after="0" w:line="276" w:lineRule="auto"/>
        <w:jc w:val="both"/>
        <w:rPr>
          <w:b/>
          <w:bCs/>
        </w:rPr>
      </w:pPr>
      <w:r w:rsidRPr="000D6B37">
        <w:rPr>
          <w:b/>
          <w:bCs/>
        </w:rPr>
        <w:t xml:space="preserve">Tiesas sēdes fiksēšanas tikai </w:t>
      </w:r>
      <w:proofErr w:type="spellStart"/>
      <w:r w:rsidRPr="000D6B37">
        <w:rPr>
          <w:b/>
          <w:bCs/>
        </w:rPr>
        <w:t>rakstveidā</w:t>
      </w:r>
      <w:proofErr w:type="spellEnd"/>
      <w:r w:rsidRPr="000D6B37">
        <w:rPr>
          <w:b/>
          <w:bCs/>
        </w:rPr>
        <w:t xml:space="preserve"> pieļaujamība</w:t>
      </w:r>
    </w:p>
    <w:p w14:paraId="2A4EB5F6" w14:textId="77777777" w:rsidR="000D6B37" w:rsidRPr="000D6B37" w:rsidRDefault="000D6B37" w:rsidP="00F10C34">
      <w:pPr>
        <w:spacing w:after="0" w:line="276" w:lineRule="auto"/>
        <w:jc w:val="both"/>
        <w:rPr>
          <w:b/>
          <w:bCs/>
        </w:rPr>
      </w:pPr>
    </w:p>
    <w:p w14:paraId="28A75810" w14:textId="77777777" w:rsidR="000D6B37" w:rsidRPr="000D6B37" w:rsidRDefault="000D6B37" w:rsidP="00F10C34">
      <w:pPr>
        <w:spacing w:after="0" w:line="276" w:lineRule="auto"/>
        <w:jc w:val="both"/>
        <w:rPr>
          <w:b/>
          <w:bCs/>
        </w:rPr>
      </w:pPr>
      <w:r w:rsidRPr="000D6B37">
        <w:rPr>
          <w:b/>
          <w:bCs/>
        </w:rPr>
        <w:t>Prasības pierādījumu vērtējumam tiesas nolēmumā</w:t>
      </w:r>
    </w:p>
    <w:p w14:paraId="2F0B2B76" w14:textId="77777777" w:rsidR="000D6B37" w:rsidRDefault="000D6B37" w:rsidP="00916120">
      <w:pPr>
        <w:spacing w:after="0" w:line="276" w:lineRule="auto"/>
        <w:jc w:val="center"/>
        <w:rPr>
          <w:b/>
          <w:bCs/>
        </w:rPr>
      </w:pPr>
    </w:p>
    <w:p w14:paraId="191807CD" w14:textId="3F049D16" w:rsidR="00BE7377" w:rsidRPr="00916120" w:rsidRDefault="00BE7377" w:rsidP="00916120">
      <w:pPr>
        <w:spacing w:after="0" w:line="276" w:lineRule="auto"/>
        <w:jc w:val="center"/>
        <w:rPr>
          <w:b/>
          <w:bCs/>
        </w:rPr>
      </w:pPr>
      <w:r w:rsidRPr="00916120">
        <w:rPr>
          <w:b/>
          <w:bCs/>
        </w:rPr>
        <w:t>Latvijas Republikas Senāt</w:t>
      </w:r>
      <w:r w:rsidR="00916120" w:rsidRPr="00916120">
        <w:rPr>
          <w:b/>
          <w:bCs/>
        </w:rPr>
        <w:t>a</w:t>
      </w:r>
    </w:p>
    <w:p w14:paraId="365132C3" w14:textId="1ADD3261" w:rsidR="00916120" w:rsidRPr="00916120" w:rsidRDefault="00916120" w:rsidP="00916120">
      <w:pPr>
        <w:spacing w:after="0" w:line="276" w:lineRule="auto"/>
        <w:jc w:val="center"/>
        <w:rPr>
          <w:b/>
          <w:bCs/>
        </w:rPr>
      </w:pPr>
      <w:r w:rsidRPr="00916120">
        <w:rPr>
          <w:b/>
          <w:bCs/>
        </w:rPr>
        <w:t>Krimināllietu departamenta</w:t>
      </w:r>
    </w:p>
    <w:p w14:paraId="20AEA81C" w14:textId="77777777" w:rsidR="00F2189D" w:rsidRDefault="00916120" w:rsidP="00F2189D">
      <w:pPr>
        <w:spacing w:after="0" w:line="276" w:lineRule="auto"/>
        <w:jc w:val="center"/>
        <w:rPr>
          <w:b/>
          <w:bCs/>
        </w:rPr>
      </w:pPr>
      <w:r w:rsidRPr="00916120">
        <w:rPr>
          <w:b/>
          <w:bCs/>
        </w:rPr>
        <w:t>2025. gada [..]</w:t>
      </w:r>
    </w:p>
    <w:p w14:paraId="0190C375" w14:textId="134D89DD" w:rsidR="00F2189D" w:rsidRPr="00195D00" w:rsidRDefault="00F2189D" w:rsidP="00F2189D">
      <w:pPr>
        <w:spacing w:after="0" w:line="276" w:lineRule="auto"/>
        <w:jc w:val="center"/>
        <w:rPr>
          <w:b/>
          <w:bCs/>
          <w:color w:val="000000" w:themeColor="text1"/>
        </w:rPr>
      </w:pPr>
      <w:r w:rsidRPr="00916120">
        <w:rPr>
          <w:b/>
          <w:bCs/>
          <w:color w:val="000000" w:themeColor="text1"/>
        </w:rPr>
        <w:t>LĒMUMS</w:t>
      </w:r>
      <w:r>
        <w:rPr>
          <w:rStyle w:val="FootnoteReference"/>
          <w:b/>
          <w:bCs/>
          <w:color w:val="000000" w:themeColor="text1"/>
        </w:rPr>
        <w:footnoteReference w:id="1"/>
      </w:r>
    </w:p>
    <w:p w14:paraId="4C86CB38" w14:textId="6293CADB" w:rsidR="00916120" w:rsidRPr="00916120" w:rsidRDefault="00916120" w:rsidP="00916120">
      <w:pPr>
        <w:spacing w:after="0" w:line="276" w:lineRule="auto"/>
        <w:jc w:val="center"/>
        <w:rPr>
          <w:b/>
          <w:bCs/>
        </w:rPr>
      </w:pPr>
      <w:r w:rsidRPr="00916120">
        <w:rPr>
          <w:b/>
          <w:bCs/>
        </w:rPr>
        <w:t>Lieta Nr. [..], SKK-[G]/2025</w:t>
      </w:r>
    </w:p>
    <w:p w14:paraId="268B20C6" w14:textId="3129344F" w:rsidR="00916120" w:rsidRPr="008D188F" w:rsidRDefault="00916120" w:rsidP="00916120">
      <w:pPr>
        <w:spacing w:after="0" w:line="276" w:lineRule="auto"/>
        <w:jc w:val="center"/>
        <w:rPr>
          <w:b/>
          <w:bCs/>
        </w:rPr>
      </w:pPr>
      <w:r w:rsidRPr="00916120">
        <w:t>ECLI:LV:AT:2025:</w:t>
      </w:r>
      <w:r>
        <w:t>[..]</w:t>
      </w:r>
    </w:p>
    <w:p w14:paraId="0EA9A0CC" w14:textId="77777777" w:rsidR="00BE7377" w:rsidRDefault="00BE7377" w:rsidP="00BE7377">
      <w:pPr>
        <w:spacing w:after="0" w:line="276" w:lineRule="auto"/>
        <w:jc w:val="both"/>
      </w:pPr>
    </w:p>
    <w:p w14:paraId="1C8A74F3" w14:textId="522AA9F7" w:rsidR="00BE7377" w:rsidRDefault="00BE7377" w:rsidP="008D188F">
      <w:pPr>
        <w:spacing w:after="0" w:line="276" w:lineRule="auto"/>
        <w:ind w:firstLine="720"/>
        <w:jc w:val="both"/>
      </w:pPr>
      <w:r>
        <w:t>Senāts šādā sastāvā: senator</w:t>
      </w:r>
      <w:r w:rsidR="009D23D9">
        <w:t>s</w:t>
      </w:r>
      <w:r>
        <w:t xml:space="preserve"> </w:t>
      </w:r>
      <w:r w:rsidR="009450B1">
        <w:t xml:space="preserve">referents </w:t>
      </w:r>
      <w:r w:rsidR="009D23D9">
        <w:t>Māris Leja,</w:t>
      </w:r>
      <w:r w:rsidR="009450B1">
        <w:t xml:space="preserve"> senatori Sandra Kaija un Aivars Uminskis </w:t>
      </w:r>
    </w:p>
    <w:p w14:paraId="06B542A8" w14:textId="77777777" w:rsidR="00BE7377" w:rsidRDefault="00BE7377" w:rsidP="00BE7377">
      <w:pPr>
        <w:spacing w:after="0" w:line="276" w:lineRule="auto"/>
        <w:jc w:val="both"/>
      </w:pPr>
    </w:p>
    <w:p w14:paraId="72CAD93B" w14:textId="61E89D70" w:rsidR="00BE7377" w:rsidRDefault="00195D00" w:rsidP="008D188F">
      <w:pPr>
        <w:spacing w:after="0" w:line="276" w:lineRule="auto"/>
        <w:ind w:firstLine="720"/>
        <w:jc w:val="both"/>
      </w:pPr>
      <w:r>
        <w:t xml:space="preserve">izskatīja </w:t>
      </w:r>
      <w:r w:rsidR="00BE7377">
        <w:t xml:space="preserve">rakstveida procesā krimināllietu sakarā ar apsūdzētā </w:t>
      </w:r>
      <w:r w:rsidR="000D6B37">
        <w:t>[pers. A]</w:t>
      </w:r>
      <w:r>
        <w:t>,</w:t>
      </w:r>
      <w:r w:rsidR="00740929">
        <w:t xml:space="preserve"> viņa </w:t>
      </w:r>
      <w:r w:rsidR="008D188F">
        <w:t xml:space="preserve">aizstāvja </w:t>
      </w:r>
      <w:r>
        <w:t xml:space="preserve">zvērināta advokāta </w:t>
      </w:r>
      <w:r w:rsidR="008D188F">
        <w:t>Valda Krama</w:t>
      </w:r>
      <w:r w:rsidR="00A57D0B">
        <w:t xml:space="preserve"> un </w:t>
      </w:r>
      <w:r w:rsidR="00740929">
        <w:t xml:space="preserve">apsūdzētā </w:t>
      </w:r>
      <w:r w:rsidR="000D6B37">
        <w:t>[pers. B]</w:t>
      </w:r>
      <w:r w:rsidR="00BE7377">
        <w:t xml:space="preserve"> kasācijas sūdzīb</w:t>
      </w:r>
      <w:r w:rsidR="00740929">
        <w:t>ām</w:t>
      </w:r>
      <w:r w:rsidR="00BE7377">
        <w:t xml:space="preserve"> par </w:t>
      </w:r>
      <w:r w:rsidR="000D6B37">
        <w:t>[..]</w:t>
      </w:r>
      <w:r w:rsidR="00740929">
        <w:t xml:space="preserve"> </w:t>
      </w:r>
      <w:r w:rsidR="00BE7377">
        <w:t>apgabaltiesas 2024.</w:t>
      </w:r>
      <w:r w:rsidR="00740929">
        <w:t> </w:t>
      </w:r>
      <w:r w:rsidR="00BE7377">
        <w:t xml:space="preserve">gada </w:t>
      </w:r>
      <w:r w:rsidR="000D6B37">
        <w:t>[..]</w:t>
      </w:r>
      <w:r w:rsidR="00BE7377">
        <w:t xml:space="preserve"> </w:t>
      </w:r>
      <w:r w:rsidR="00740929">
        <w:t>spriedumu</w:t>
      </w:r>
      <w:r w:rsidR="00BE7377">
        <w:t>.</w:t>
      </w:r>
    </w:p>
    <w:p w14:paraId="6AFCA118" w14:textId="77777777" w:rsidR="00BE7377" w:rsidRDefault="00BE7377" w:rsidP="00BE7377">
      <w:pPr>
        <w:spacing w:after="0" w:line="276" w:lineRule="auto"/>
        <w:jc w:val="both"/>
      </w:pPr>
    </w:p>
    <w:p w14:paraId="78BD0EE0" w14:textId="4FDE2FD8" w:rsidR="00BE7377" w:rsidRPr="00740929" w:rsidRDefault="00BE7377" w:rsidP="00740929">
      <w:pPr>
        <w:spacing w:after="0" w:line="276" w:lineRule="auto"/>
        <w:jc w:val="center"/>
        <w:rPr>
          <w:b/>
          <w:bCs/>
        </w:rPr>
      </w:pPr>
      <w:r w:rsidRPr="00740929">
        <w:rPr>
          <w:b/>
          <w:bCs/>
        </w:rPr>
        <w:t>Aprakstošā daļa</w:t>
      </w:r>
    </w:p>
    <w:p w14:paraId="344766E2" w14:textId="77777777" w:rsidR="00723DBB" w:rsidRDefault="00BE7377" w:rsidP="00723DBB">
      <w:pPr>
        <w:spacing w:after="0" w:line="276" w:lineRule="auto"/>
        <w:jc w:val="both"/>
      </w:pPr>
      <w:r>
        <w:tab/>
      </w:r>
      <w:bookmarkStart w:id="0" w:name="_Hlk204089358"/>
      <w:bookmarkStart w:id="1" w:name="_Hlk202379078"/>
      <w:bookmarkStart w:id="2" w:name="_Hlk213757496"/>
    </w:p>
    <w:p w14:paraId="7D6719F7" w14:textId="1D7CA713" w:rsidR="00723DBB" w:rsidRDefault="00723DBB" w:rsidP="00723DBB">
      <w:pPr>
        <w:spacing w:after="0" w:line="276" w:lineRule="auto"/>
        <w:ind w:firstLine="720"/>
        <w:jc w:val="both"/>
      </w:pPr>
      <w:r>
        <w:t xml:space="preserve">[1] Ar </w:t>
      </w:r>
      <w:r w:rsidR="000D6B37">
        <w:t>[rajona (pilsētas)]</w:t>
      </w:r>
      <w:r>
        <w:t xml:space="preserve"> tiesas 2022. gada </w:t>
      </w:r>
      <w:r w:rsidR="000D6B37">
        <w:t>[..]</w:t>
      </w:r>
      <w:r>
        <w:t xml:space="preserve"> spriedumu</w:t>
      </w:r>
    </w:p>
    <w:p w14:paraId="775C1AE1" w14:textId="17C1081F" w:rsidR="00723DBB" w:rsidRDefault="00723DBB" w:rsidP="00723DBB">
      <w:pPr>
        <w:spacing w:after="0" w:line="276" w:lineRule="auto"/>
        <w:ind w:firstLine="720"/>
        <w:jc w:val="both"/>
      </w:pPr>
      <w:r>
        <w:t xml:space="preserve">[1.1] </w:t>
      </w:r>
      <w:r w:rsidR="000D6B37">
        <w:t>[pers. A]</w:t>
      </w:r>
      <w:r>
        <w:t xml:space="preserve">, personas kods </w:t>
      </w:r>
      <w:r w:rsidR="000D6B37">
        <w:t>[..]</w:t>
      </w:r>
      <w:r>
        <w:t xml:space="preserve">, </w:t>
      </w:r>
    </w:p>
    <w:p w14:paraId="23801736" w14:textId="77777777" w:rsidR="00723DBB" w:rsidRDefault="00723DBB" w:rsidP="00723DBB">
      <w:pPr>
        <w:spacing w:after="0" w:line="276" w:lineRule="auto"/>
        <w:ind w:firstLine="720"/>
        <w:jc w:val="both"/>
      </w:pPr>
      <w:r>
        <w:t xml:space="preserve">atzīts par vainīgu Krimināllikuma 177. panta trešajā daļā paredzētajā noziedzīgajā nodarījumā un sodīts ar brīvības atņemšanu uz </w:t>
      </w:r>
      <w:r w:rsidRPr="00195D00">
        <w:rPr>
          <w:color w:val="000000" w:themeColor="text1"/>
        </w:rPr>
        <w:t>2</w:t>
      </w:r>
      <w:r w:rsidRPr="00AD7162">
        <w:rPr>
          <w:color w:val="FF0000"/>
        </w:rPr>
        <w:t xml:space="preserve"> </w:t>
      </w:r>
      <w:r>
        <w:t>gadiem;</w:t>
      </w:r>
    </w:p>
    <w:p w14:paraId="040734A2" w14:textId="77777777" w:rsidR="00723DBB" w:rsidRDefault="00723DBB" w:rsidP="00723DBB">
      <w:pPr>
        <w:spacing w:after="0" w:line="276" w:lineRule="auto"/>
        <w:ind w:firstLine="720"/>
        <w:jc w:val="both"/>
      </w:pPr>
      <w:r>
        <w:t xml:space="preserve">atzīts par vainīgu Krimināllikuma 195. panta pirmajā daļā paredzētajā noziedzīgajā nodarījumā un sodīts ar brīvības atņemšanu uz </w:t>
      </w:r>
      <w:r w:rsidRPr="00195D00">
        <w:rPr>
          <w:color w:val="000000" w:themeColor="text1"/>
        </w:rPr>
        <w:t>6</w:t>
      </w:r>
      <w:r w:rsidRPr="00AD7162">
        <w:rPr>
          <w:color w:val="FF0000"/>
        </w:rPr>
        <w:t xml:space="preserve"> </w:t>
      </w:r>
      <w:r>
        <w:t>mēnešiem;</w:t>
      </w:r>
    </w:p>
    <w:p w14:paraId="237ADF4E" w14:textId="77777777" w:rsidR="00723DBB" w:rsidRDefault="00723DBB" w:rsidP="00723DBB">
      <w:pPr>
        <w:spacing w:after="0" w:line="276" w:lineRule="auto"/>
        <w:ind w:firstLine="720"/>
        <w:jc w:val="both"/>
      </w:pPr>
      <w:r>
        <w:t>atzīts par vainīgu Krimināllikuma 217. panta otrajā daļā (</w:t>
      </w:r>
      <w:r w:rsidRPr="00323EA2">
        <w:t>redakcijā</w:t>
      </w:r>
      <w:r>
        <w:t xml:space="preserve"> </w:t>
      </w:r>
      <w:r w:rsidRPr="00323EA2">
        <w:t xml:space="preserve">līdz 2013. gada </w:t>
      </w:r>
      <w:r w:rsidRPr="00323EA2">
        <w:rPr>
          <w:color w:val="000000" w:themeColor="text1"/>
        </w:rPr>
        <w:t>31. martam</w:t>
      </w:r>
      <w:r>
        <w:t>) paredzētajā noziedzīgajā nodarījumā un sodīts ar brīvības atņemšanu uz 5 mēnešiem.</w:t>
      </w:r>
    </w:p>
    <w:p w14:paraId="3BD56C82" w14:textId="78DAC4E5" w:rsidR="00723DBB" w:rsidRPr="00195D00" w:rsidRDefault="00723DBB" w:rsidP="00723DBB">
      <w:pPr>
        <w:spacing w:after="0" w:line="276" w:lineRule="auto"/>
        <w:ind w:firstLine="720"/>
        <w:jc w:val="both"/>
        <w:rPr>
          <w:color w:val="000000" w:themeColor="text1"/>
        </w:rPr>
      </w:pPr>
      <w:r>
        <w:t xml:space="preserve">Saskaņā ar Krimināllikuma 50. panta pirmo un trešo daļu </w:t>
      </w:r>
      <w:r w:rsidR="000D6B37">
        <w:t>[pers. A]</w:t>
      </w:r>
      <w:r>
        <w:t xml:space="preserve"> galīgais sods noteikts brīvības atņemšana uz </w:t>
      </w:r>
      <w:r w:rsidRPr="00195D00">
        <w:rPr>
          <w:color w:val="000000" w:themeColor="text1"/>
        </w:rPr>
        <w:t>2 gadiem 2 mēnešiem.</w:t>
      </w:r>
    </w:p>
    <w:p w14:paraId="05B08169" w14:textId="7B070617" w:rsidR="00723DBB" w:rsidRDefault="00723DBB" w:rsidP="00723DBB">
      <w:pPr>
        <w:spacing w:after="0" w:line="276" w:lineRule="auto"/>
        <w:ind w:firstLine="720"/>
        <w:jc w:val="both"/>
      </w:pPr>
      <w:r>
        <w:t xml:space="preserve">Saskaņā ar Krimināllikuma 52. pantu brīvības atņemšanas soda termiņā ieskaitīta aizturēšana no 2011. gada </w:t>
      </w:r>
      <w:r w:rsidR="000D6B37">
        <w:t>[..]</w:t>
      </w:r>
      <w:r>
        <w:t xml:space="preserve"> līdz </w:t>
      </w:r>
      <w:r w:rsidR="000D6B37">
        <w:t>[..]</w:t>
      </w:r>
      <w:r>
        <w:t xml:space="preserve">, kas atbilst </w:t>
      </w:r>
      <w:r w:rsidRPr="00195D00">
        <w:rPr>
          <w:color w:val="000000" w:themeColor="text1"/>
        </w:rPr>
        <w:t>2</w:t>
      </w:r>
      <w:r w:rsidRPr="00657E9D">
        <w:rPr>
          <w:color w:val="FF0000"/>
        </w:rPr>
        <w:t xml:space="preserve"> </w:t>
      </w:r>
      <w:r>
        <w:t>brīvības atņemšanas dienām.</w:t>
      </w:r>
    </w:p>
    <w:p w14:paraId="5F6145E0" w14:textId="27CABCD2" w:rsidR="00723DBB" w:rsidRDefault="000D6B37" w:rsidP="00723DBB">
      <w:pPr>
        <w:spacing w:after="0" w:line="276" w:lineRule="auto"/>
        <w:ind w:firstLine="720"/>
        <w:jc w:val="both"/>
      </w:pPr>
      <w:r>
        <w:t>[Pers. A]</w:t>
      </w:r>
      <w:r w:rsidR="00723DBB">
        <w:t xml:space="preserve"> piemērotie drošības līdzekļi – uzturēšanās noteiktā vietā un aizliegums tuvoties noteiktai personai – atstāti negrozīti līdz sprieduma spēkā stāšanās dienai.</w:t>
      </w:r>
    </w:p>
    <w:p w14:paraId="31C28D13" w14:textId="022A45F8" w:rsidR="00723DBB" w:rsidRDefault="00723DBB" w:rsidP="00723DBB">
      <w:pPr>
        <w:spacing w:after="0" w:line="276" w:lineRule="auto"/>
        <w:ind w:firstLine="720"/>
        <w:jc w:val="both"/>
      </w:pPr>
      <w:r>
        <w:lastRenderedPageBreak/>
        <w:t xml:space="preserve">[1.2] </w:t>
      </w:r>
      <w:r w:rsidR="000D6B37">
        <w:t>[Pers. B]</w:t>
      </w:r>
      <w:r>
        <w:t xml:space="preserve">, personas kods </w:t>
      </w:r>
      <w:r w:rsidR="000D6B37">
        <w:t>[..]</w:t>
      </w:r>
      <w:r>
        <w:t xml:space="preserve">, </w:t>
      </w:r>
    </w:p>
    <w:p w14:paraId="0FAADE8F" w14:textId="77777777" w:rsidR="00723DBB" w:rsidRDefault="00723DBB" w:rsidP="00723DBB">
      <w:pPr>
        <w:spacing w:after="0" w:line="276" w:lineRule="auto"/>
        <w:ind w:firstLine="720"/>
        <w:jc w:val="both"/>
      </w:pPr>
      <w:r>
        <w:t xml:space="preserve">atzīts par vainīgu Krimināllikuma 177. panta trešajā daļā paredzētajā noziedzīgajā nodarījumā un sodīts ar brīvības atņemšanu uz </w:t>
      </w:r>
      <w:r w:rsidRPr="00195D00">
        <w:rPr>
          <w:color w:val="000000" w:themeColor="text1"/>
        </w:rPr>
        <w:t xml:space="preserve">2 </w:t>
      </w:r>
      <w:r>
        <w:t>gadiem;</w:t>
      </w:r>
    </w:p>
    <w:p w14:paraId="2928C075" w14:textId="77777777" w:rsidR="00723DBB" w:rsidRDefault="00723DBB" w:rsidP="00723DBB">
      <w:pPr>
        <w:spacing w:after="0" w:line="276" w:lineRule="auto"/>
        <w:ind w:firstLine="720"/>
        <w:jc w:val="both"/>
      </w:pPr>
      <w:r>
        <w:t xml:space="preserve">atzīts par vainīgu Krimināllikuma 177. panta pirmajā daļā paredzētajā noziedzīgajā nodarījumā un sodīts ar brīvības atņemšanu uz </w:t>
      </w:r>
      <w:r w:rsidRPr="00195D00">
        <w:rPr>
          <w:color w:val="000000" w:themeColor="text1"/>
        </w:rPr>
        <w:t xml:space="preserve">4 </w:t>
      </w:r>
      <w:r>
        <w:t>mēnešiem.</w:t>
      </w:r>
    </w:p>
    <w:p w14:paraId="1B6C1E4D" w14:textId="29DD7D80" w:rsidR="00723DBB" w:rsidRDefault="00723DBB" w:rsidP="00723DBB">
      <w:pPr>
        <w:spacing w:after="0" w:line="276" w:lineRule="auto"/>
        <w:ind w:firstLine="720"/>
        <w:jc w:val="both"/>
      </w:pPr>
      <w:r>
        <w:t xml:space="preserve">Saskaņā ar Krimināllikuma 50. panta pirmo un trešo daļu </w:t>
      </w:r>
      <w:r w:rsidR="000D6B37">
        <w:t>[pers. B]</w:t>
      </w:r>
      <w:r>
        <w:t xml:space="preserve"> galīgais sods noteikts brīvības atņemšana </w:t>
      </w:r>
      <w:r w:rsidRPr="00195D00">
        <w:rPr>
          <w:color w:val="000000" w:themeColor="text1"/>
        </w:rPr>
        <w:t>uz 2 gadiem 1 mēnesi</w:t>
      </w:r>
      <w:r>
        <w:t>.</w:t>
      </w:r>
    </w:p>
    <w:p w14:paraId="1DD322A0" w14:textId="327CA18C" w:rsidR="00723DBB" w:rsidRDefault="00723DBB" w:rsidP="00723DBB">
      <w:pPr>
        <w:spacing w:after="0" w:line="276" w:lineRule="auto"/>
        <w:ind w:firstLine="720"/>
        <w:jc w:val="both"/>
      </w:pPr>
      <w:r>
        <w:t xml:space="preserve">Saskaņā ar Krimināllikuma 52. pantu brīvības atņemšanas soda termiņā ieskaitīta aizturēšana no 2016. gada </w:t>
      </w:r>
      <w:r w:rsidR="000D6B37">
        <w:t>[..]</w:t>
      </w:r>
      <w:r>
        <w:t xml:space="preserve"> līdz </w:t>
      </w:r>
      <w:r w:rsidR="000D6B37">
        <w:t>[..]</w:t>
      </w:r>
      <w:r>
        <w:t xml:space="preserve">, kas atbilst 2 brīvības atņemšanas dienām. </w:t>
      </w:r>
    </w:p>
    <w:p w14:paraId="47E425DF" w14:textId="09A5460C" w:rsidR="00723DBB" w:rsidRPr="00195D00" w:rsidRDefault="009F16C3" w:rsidP="00723DBB">
      <w:pPr>
        <w:spacing w:after="0" w:line="276" w:lineRule="auto"/>
        <w:ind w:firstLine="720"/>
        <w:jc w:val="both"/>
        <w:rPr>
          <w:color w:val="000000" w:themeColor="text1"/>
        </w:rPr>
      </w:pPr>
      <w:r>
        <w:t xml:space="preserve">[Pers. B] </w:t>
      </w:r>
      <w:r w:rsidR="00723DBB" w:rsidRPr="00195D00">
        <w:rPr>
          <w:color w:val="000000" w:themeColor="text1"/>
        </w:rPr>
        <w:t xml:space="preserve">piemērotie drošības līdzekļi </w:t>
      </w:r>
      <w:r w:rsidR="00723DBB">
        <w:rPr>
          <w:color w:val="000000" w:themeColor="text1"/>
        </w:rPr>
        <w:t>–</w:t>
      </w:r>
      <w:r w:rsidR="00723DBB" w:rsidRPr="00195D00">
        <w:rPr>
          <w:color w:val="000000" w:themeColor="text1"/>
        </w:rPr>
        <w:t xml:space="preserve"> uzturēšanās noteiktā vietā un aizliegums izbraukt no valsts </w:t>
      </w:r>
      <w:r w:rsidR="00723DBB">
        <w:rPr>
          <w:color w:val="000000" w:themeColor="text1"/>
        </w:rPr>
        <w:t>–</w:t>
      </w:r>
      <w:r w:rsidR="00723DBB" w:rsidRPr="00195D00">
        <w:rPr>
          <w:color w:val="000000" w:themeColor="text1"/>
        </w:rPr>
        <w:t xml:space="preserve"> grozīti uz apcietinājum</w:t>
      </w:r>
      <w:r w:rsidR="00723DBB">
        <w:rPr>
          <w:color w:val="000000" w:themeColor="text1"/>
        </w:rPr>
        <w:t>u, apcietinot viņu tiesas sēžu zālē.</w:t>
      </w:r>
    </w:p>
    <w:p w14:paraId="168DBC5F" w14:textId="73D6E2D6" w:rsidR="00723DBB" w:rsidRDefault="00723DBB" w:rsidP="00723DBB">
      <w:pPr>
        <w:spacing w:after="0" w:line="276" w:lineRule="auto"/>
        <w:ind w:firstLine="720"/>
        <w:jc w:val="both"/>
      </w:pPr>
      <w:r>
        <w:t xml:space="preserve">[1.3] </w:t>
      </w:r>
      <w:r w:rsidR="009F16C3">
        <w:t>[Pers. C]</w:t>
      </w:r>
      <w:r>
        <w:t xml:space="preserve">, personas kods </w:t>
      </w:r>
      <w:r w:rsidR="009F16C3">
        <w:t>[..]</w:t>
      </w:r>
      <w:r>
        <w:t xml:space="preserve">, </w:t>
      </w:r>
    </w:p>
    <w:p w14:paraId="5680529D" w14:textId="77777777" w:rsidR="00723DBB" w:rsidRDefault="00723DBB" w:rsidP="00723DBB">
      <w:pPr>
        <w:spacing w:after="0" w:line="276" w:lineRule="auto"/>
        <w:ind w:firstLine="720"/>
        <w:jc w:val="both"/>
      </w:pPr>
      <w:r>
        <w:t>atzīts par vainīgu Krimināllikuma 177. panta trešajā daļā paredzētajā noziedzīgajā</w:t>
      </w:r>
    </w:p>
    <w:p w14:paraId="13EE4387" w14:textId="77777777" w:rsidR="00723DBB" w:rsidRDefault="00723DBB" w:rsidP="00723DBB">
      <w:pPr>
        <w:spacing w:after="0" w:line="276" w:lineRule="auto"/>
        <w:jc w:val="both"/>
      </w:pPr>
      <w:r>
        <w:t>nodarījumā un atbrīvots no soda.</w:t>
      </w:r>
    </w:p>
    <w:p w14:paraId="36A15A80" w14:textId="1A46F8CD" w:rsidR="00723DBB" w:rsidRDefault="009F16C3" w:rsidP="00723DBB">
      <w:pPr>
        <w:spacing w:after="0" w:line="276" w:lineRule="auto"/>
        <w:ind w:firstLine="720"/>
        <w:jc w:val="both"/>
      </w:pPr>
      <w:r>
        <w:t>[Pers. C]</w:t>
      </w:r>
      <w:r w:rsidR="00723DBB">
        <w:t xml:space="preserve"> noteikts medicīniska rakstura piespiedu līdzeklis – ārstēšana vispārēja tipa psihiatriskajā slimnīcā (nodaļā).</w:t>
      </w:r>
    </w:p>
    <w:p w14:paraId="3A1258B3" w14:textId="6713A5D5" w:rsidR="002B3297" w:rsidRDefault="009F16C3" w:rsidP="002B3297">
      <w:pPr>
        <w:spacing w:after="0" w:line="276" w:lineRule="auto"/>
        <w:ind w:firstLine="720"/>
        <w:jc w:val="both"/>
      </w:pPr>
      <w:r>
        <w:t>[Pers. C]</w:t>
      </w:r>
      <w:r w:rsidR="002B3297">
        <w:t xml:space="preserve"> piemērotie drošības līdzekļi – uzturēšanās noteiktā vietā un aizliegums tuvoties noteiktai personai – atstāti negrozīti līdz sprieduma spēkā stāšanās dienai.</w:t>
      </w:r>
    </w:p>
    <w:p w14:paraId="6719ACC6" w14:textId="27F0523C" w:rsidR="00723DBB" w:rsidRPr="001501D8" w:rsidRDefault="00723DBB" w:rsidP="00723DBB">
      <w:pPr>
        <w:spacing w:after="0" w:line="276" w:lineRule="auto"/>
        <w:ind w:firstLine="720"/>
        <w:jc w:val="both"/>
      </w:pPr>
      <w:r w:rsidRPr="00FB53F2">
        <w:rPr>
          <w:color w:val="000000" w:themeColor="text1"/>
        </w:rPr>
        <w:t xml:space="preserve">[1.4] </w:t>
      </w:r>
      <w:r>
        <w:t>SIA „</w:t>
      </w:r>
      <w:r w:rsidR="00707368">
        <w:t>[Nosaukums A]</w:t>
      </w:r>
      <w:r>
        <w:t>” mantiskā kaitējuma kompensācijas pieteikums apmierināts daļēji.</w:t>
      </w:r>
    </w:p>
    <w:p w14:paraId="5F0624AF" w14:textId="23857948" w:rsidR="00723DBB" w:rsidRDefault="00723DBB" w:rsidP="00723DBB">
      <w:pPr>
        <w:spacing w:after="0" w:line="276" w:lineRule="auto"/>
        <w:ind w:firstLine="720"/>
        <w:jc w:val="both"/>
      </w:pPr>
      <w:r>
        <w:t xml:space="preserve">No </w:t>
      </w:r>
      <w:r w:rsidR="00707368">
        <w:t>[pers. A]</w:t>
      </w:r>
      <w:r>
        <w:t xml:space="preserve">, </w:t>
      </w:r>
      <w:r w:rsidR="00707368">
        <w:t>[pers. B]</w:t>
      </w:r>
      <w:r>
        <w:t xml:space="preserve"> un </w:t>
      </w:r>
      <w:r w:rsidR="00707368">
        <w:t>[pers. C]</w:t>
      </w:r>
      <w:r>
        <w:t xml:space="preserve"> cietušās SIA „</w:t>
      </w:r>
      <w:r w:rsidR="00707368">
        <w:t>[Nosaukums A]</w:t>
      </w:r>
      <w:r>
        <w:t>” labā solidāri piedzīta mantiskā kaitējuma kompensācija 25 933,05 </w:t>
      </w:r>
      <w:r w:rsidRPr="001501D8">
        <w:rPr>
          <w:i/>
          <w:iCs/>
        </w:rPr>
        <w:t>euro</w:t>
      </w:r>
      <w:r>
        <w:t xml:space="preserve">. Pārējā daļā mantiskā kaitējuma kompensācija nav noteikta. </w:t>
      </w:r>
    </w:p>
    <w:p w14:paraId="09BA37FA" w14:textId="3FF52A35" w:rsidR="00723DBB" w:rsidRDefault="00723DBB" w:rsidP="00723DBB">
      <w:pPr>
        <w:spacing w:after="0" w:line="276" w:lineRule="auto"/>
        <w:ind w:firstLine="720"/>
        <w:jc w:val="both"/>
      </w:pPr>
      <w:r>
        <w:t xml:space="preserve">[1.5] No </w:t>
      </w:r>
      <w:r w:rsidR="00707368">
        <w:t>[pers. B]</w:t>
      </w:r>
      <w:r>
        <w:t xml:space="preserve"> cietušā </w:t>
      </w:r>
      <w:r w:rsidR="00707368">
        <w:t>[pers. D]</w:t>
      </w:r>
      <w:r>
        <w:t xml:space="preserve"> (</w:t>
      </w:r>
      <w:r w:rsidR="00707368" w:rsidRPr="00707368">
        <w:rPr>
          <w:i/>
          <w:iCs/>
        </w:rPr>
        <w:t>[pers. D]</w:t>
      </w:r>
      <w:r w:rsidR="00707368">
        <w:t>)</w:t>
      </w:r>
      <w:r>
        <w:t xml:space="preserve"> labā piedzīta </w:t>
      </w:r>
      <w:r w:rsidRPr="00BE73F7">
        <w:rPr>
          <w:color w:val="000000" w:themeColor="text1"/>
        </w:rPr>
        <w:t xml:space="preserve">mantiskā </w:t>
      </w:r>
      <w:r>
        <w:t>kaitējuma kompensācija 2515,85 </w:t>
      </w:r>
      <w:r w:rsidRPr="001501D8">
        <w:rPr>
          <w:i/>
          <w:iCs/>
        </w:rPr>
        <w:t>euro</w:t>
      </w:r>
      <w:r>
        <w:t xml:space="preserve">. </w:t>
      </w:r>
    </w:p>
    <w:p w14:paraId="48022299" w14:textId="77777777" w:rsidR="00723DBB" w:rsidRDefault="00723DBB" w:rsidP="00723DBB">
      <w:pPr>
        <w:spacing w:after="0" w:line="276" w:lineRule="auto"/>
        <w:ind w:firstLine="720"/>
        <w:jc w:val="both"/>
      </w:pPr>
    </w:p>
    <w:p w14:paraId="14F62AF1" w14:textId="47D1F9B9" w:rsidR="00723DBB" w:rsidRDefault="00723DBB" w:rsidP="00707368">
      <w:pPr>
        <w:spacing w:after="0" w:line="276" w:lineRule="auto"/>
        <w:ind w:firstLine="720"/>
        <w:jc w:val="both"/>
      </w:pPr>
      <w:r>
        <w:t>[2]</w:t>
      </w:r>
      <w:r w:rsidR="004458AC">
        <w:t xml:space="preserve"> </w:t>
      </w:r>
      <w:r>
        <w:t xml:space="preserve">Ar pirmās instances tiesas spriedumu </w:t>
      </w:r>
      <w:r w:rsidR="00707368">
        <w:t>[pers. A],</w:t>
      </w:r>
      <w:r w:rsidR="00707368" w:rsidRPr="00707368">
        <w:t xml:space="preserve"> </w:t>
      </w:r>
      <w:r w:rsidR="00707368">
        <w:t>[pers. B] un [pers. B]</w:t>
      </w:r>
      <w:r>
        <w:t xml:space="preserve"> atzīti par vainīgiem un sodīti pēc Krimināllikuma 177.</w:t>
      </w:r>
      <w:r w:rsidR="00C57C6A">
        <w:t> </w:t>
      </w:r>
      <w:r>
        <w:t xml:space="preserve">panta trešās daļas par to, ka 2009. gada rudenī </w:t>
      </w:r>
      <w:r w:rsidRPr="002D7578">
        <w:t>personu grupā pēc iepriekšējas vienošanās, ļaunprātīgi izmantojot SIA</w:t>
      </w:r>
      <w:r>
        <w:t> „</w:t>
      </w:r>
      <w:r w:rsidR="00707368">
        <w:t>[Nosaukums A]</w:t>
      </w:r>
      <w:r w:rsidRPr="002D7578">
        <w:t xml:space="preserve">” </w:t>
      </w:r>
      <w:r>
        <w:t xml:space="preserve">pārstāvju </w:t>
      </w:r>
      <w:r w:rsidRPr="002D7578">
        <w:t>uzticēšanos un ar viltu – maldinot par savu nodomu norēķināties par preci –</w:t>
      </w:r>
      <w:r>
        <w:t>,</w:t>
      </w:r>
      <w:r w:rsidRPr="002D7578">
        <w:t xml:space="preserve"> ieguva akmeņogles</w:t>
      </w:r>
      <w:r>
        <w:t xml:space="preserve"> 21 612,62 LVL (30 751,99 </w:t>
      </w:r>
      <w:r w:rsidRPr="00A00D63">
        <w:rPr>
          <w:i/>
          <w:iCs/>
        </w:rPr>
        <w:t>euro</w:t>
      </w:r>
      <w:r w:rsidRPr="00A00D63">
        <w:t>)</w:t>
      </w:r>
      <w:r>
        <w:t xml:space="preserve"> vērtībā</w:t>
      </w:r>
      <w:r w:rsidRPr="002D7578">
        <w:t>.</w:t>
      </w:r>
    </w:p>
    <w:p w14:paraId="42DA0D7B" w14:textId="044165E4" w:rsidR="00723DBB" w:rsidRDefault="00707368" w:rsidP="00723DBB">
      <w:pPr>
        <w:spacing w:after="0" w:line="276" w:lineRule="auto"/>
        <w:ind w:firstLine="720"/>
        <w:jc w:val="both"/>
      </w:pPr>
      <w:bookmarkStart w:id="3" w:name="_Hlk201859069"/>
      <w:r>
        <w:t>[Pers. A]</w:t>
      </w:r>
      <w:r w:rsidR="00723DBB">
        <w:t> </w:t>
      </w:r>
      <w:r w:rsidR="00723DBB" w:rsidRPr="002D7578">
        <w:t xml:space="preserve">atzīts par vainīgu </w:t>
      </w:r>
      <w:r w:rsidR="00723DBB">
        <w:t xml:space="preserve">un sodīts pēc </w:t>
      </w:r>
      <w:r w:rsidR="00723DBB" w:rsidRPr="002D7578">
        <w:t>Krimināllikuma 195.</w:t>
      </w:r>
      <w:r w:rsidR="00723DBB">
        <w:t> </w:t>
      </w:r>
      <w:r w:rsidR="00723DBB" w:rsidRPr="002D7578">
        <w:t>panta pirm</w:t>
      </w:r>
      <w:r w:rsidR="00723DBB">
        <w:t>ās</w:t>
      </w:r>
      <w:r w:rsidR="00723DBB" w:rsidRPr="002D7578">
        <w:t xml:space="preserve"> daļ</w:t>
      </w:r>
      <w:r w:rsidR="00723DBB">
        <w:t xml:space="preserve">as </w:t>
      </w:r>
      <w:r w:rsidR="00723DBB" w:rsidRPr="002D7578">
        <w:t xml:space="preserve">par to, ka legalizēja noziedzīgi iegūtu mantu, proti, </w:t>
      </w:r>
      <w:r w:rsidR="00723DBB">
        <w:t xml:space="preserve">2009. gada rudenī </w:t>
      </w:r>
      <w:r w:rsidR="00723DBB" w:rsidRPr="00067DB9">
        <w:t xml:space="preserve">organizēja </w:t>
      </w:r>
      <w:r w:rsidR="00723DBB" w:rsidRPr="0006446E">
        <w:t>fiktīv</w:t>
      </w:r>
      <w:r w:rsidR="00723DBB">
        <w:t>as</w:t>
      </w:r>
      <w:r w:rsidR="00723DBB" w:rsidRPr="0006446E">
        <w:t xml:space="preserve"> pavadzīm</w:t>
      </w:r>
      <w:r w:rsidR="00723DBB">
        <w:t xml:space="preserve">es sagatavošanu par nenotikušu darījumu, saskaņā ar kuru </w:t>
      </w:r>
      <w:r w:rsidR="00723DBB" w:rsidRPr="0006446E">
        <w:t>SIA </w:t>
      </w:r>
      <w:r w:rsidR="00723DBB">
        <w:t>„</w:t>
      </w:r>
      <w:r>
        <w:t>[Nosaukums B]</w:t>
      </w:r>
      <w:r w:rsidR="00723DBB">
        <w:t>”</w:t>
      </w:r>
      <w:r w:rsidR="00723DBB" w:rsidRPr="0006446E">
        <w:t xml:space="preserve"> piegādā</w:t>
      </w:r>
      <w:r w:rsidR="00723DBB">
        <w:t>ja</w:t>
      </w:r>
      <w:r w:rsidR="00723DBB" w:rsidRPr="0006446E">
        <w:t xml:space="preserve"> SIA</w:t>
      </w:r>
      <w:r w:rsidR="00C57C6A">
        <w:t> </w:t>
      </w:r>
      <w:r w:rsidR="00723DBB">
        <w:t>„</w:t>
      </w:r>
      <w:r>
        <w:t>[Nosaukums C]</w:t>
      </w:r>
      <w:r w:rsidR="00723DBB" w:rsidRPr="0006446E">
        <w:t xml:space="preserve">” akmeņogles. Turpmāk </w:t>
      </w:r>
      <w:r>
        <w:t>[pers. A]</w:t>
      </w:r>
      <w:r w:rsidR="00723DBB" w:rsidRPr="0006446E">
        <w:t xml:space="preserve"> uzdevumā</w:t>
      </w:r>
      <w:r w:rsidR="00723DBB">
        <w:t xml:space="preserve"> trešā persona</w:t>
      </w:r>
      <w:r w:rsidR="00723DBB" w:rsidRPr="0006446E">
        <w:t xml:space="preserve"> </w:t>
      </w:r>
      <w:r w:rsidR="00723DBB">
        <w:t>šo pavadzīmi</w:t>
      </w:r>
      <w:r w:rsidR="00723DBB" w:rsidRPr="0006446E">
        <w:t xml:space="preserve"> iegrāmatoja </w:t>
      </w:r>
      <w:r w:rsidR="002B3297">
        <w:t>SIA </w:t>
      </w:r>
      <w:r w:rsidR="00723DBB" w:rsidRPr="0006446E">
        <w:t>„</w:t>
      </w:r>
      <w:r>
        <w:t>[Nosaukums C]</w:t>
      </w:r>
      <w:r w:rsidR="00723DBB" w:rsidRPr="0006446E">
        <w:t xml:space="preserve">” grāmatvedībā. Tādējādi </w:t>
      </w:r>
      <w:r>
        <w:t>[pers. A]</w:t>
      </w:r>
      <w:r w:rsidR="00723DBB">
        <w:t xml:space="preserve"> maskēja </w:t>
      </w:r>
      <w:r w:rsidR="00723DBB" w:rsidRPr="0006446E">
        <w:t xml:space="preserve">akmeņogļu, kas iegūtas krāpšanas </w:t>
      </w:r>
      <w:r w:rsidR="00723DBB">
        <w:t xml:space="preserve">ceļā no </w:t>
      </w:r>
      <w:r w:rsidR="00723DBB" w:rsidRPr="002D7578">
        <w:t>SIA</w:t>
      </w:r>
      <w:r w:rsidR="00723DBB">
        <w:t> „</w:t>
      </w:r>
      <w:r>
        <w:t>[Nosaukums A]</w:t>
      </w:r>
      <w:r w:rsidR="00723DBB" w:rsidRPr="002D7578">
        <w:t>”</w:t>
      </w:r>
      <w:r w:rsidR="00723DBB">
        <w:t xml:space="preserve">, </w:t>
      </w:r>
      <w:r w:rsidR="00723DBB" w:rsidRPr="0006446E">
        <w:t>patieso piederību</w:t>
      </w:r>
      <w:r w:rsidR="00723DBB">
        <w:t>.</w:t>
      </w:r>
    </w:p>
    <w:bookmarkEnd w:id="3"/>
    <w:p w14:paraId="42440EC9" w14:textId="6DB74032" w:rsidR="00723DBB" w:rsidRDefault="00707368" w:rsidP="00723DBB">
      <w:pPr>
        <w:spacing w:after="0" w:line="276" w:lineRule="auto"/>
        <w:ind w:firstLine="720"/>
        <w:jc w:val="both"/>
      </w:pPr>
      <w:r>
        <w:t>[Pers. A]</w:t>
      </w:r>
      <w:r w:rsidR="00723DBB">
        <w:t xml:space="preserve"> atzīts par vainīgu un sodīts pēc Krimināllikuma 217. panta otrās daļas </w:t>
      </w:r>
      <w:r w:rsidR="00723DBB" w:rsidRPr="00103E40">
        <w:rPr>
          <w:color w:val="000000" w:themeColor="text1"/>
        </w:rPr>
        <w:t>(</w:t>
      </w:r>
      <w:r w:rsidR="00723DBB" w:rsidRPr="00323EA2">
        <w:rPr>
          <w:color w:val="000000" w:themeColor="text1"/>
        </w:rPr>
        <w:t>redakcijā</w:t>
      </w:r>
      <w:r w:rsidR="00723DBB">
        <w:rPr>
          <w:color w:val="000000" w:themeColor="text1"/>
        </w:rPr>
        <w:t xml:space="preserve"> </w:t>
      </w:r>
      <w:r w:rsidR="00723DBB" w:rsidRPr="00323EA2">
        <w:rPr>
          <w:color w:val="000000" w:themeColor="text1"/>
        </w:rPr>
        <w:t>līdz 2013. gada 31. martam</w:t>
      </w:r>
      <w:r w:rsidR="00723DBB" w:rsidRPr="00103E40">
        <w:rPr>
          <w:color w:val="000000" w:themeColor="text1"/>
        </w:rPr>
        <w:t>)</w:t>
      </w:r>
      <w:r w:rsidR="00723DBB" w:rsidRPr="00DB7CD6">
        <w:rPr>
          <w:color w:val="FF0000"/>
        </w:rPr>
        <w:t xml:space="preserve"> </w:t>
      </w:r>
      <w:r w:rsidR="00723DBB">
        <w:t xml:space="preserve">par uzņēmumam (uzņēmējsabiedrībai) likumos noteikto grāmatvedības dokumentu viltošanu, tas ir, par to, ka, iesaistot trešās personas, </w:t>
      </w:r>
      <w:r w:rsidR="00723DBB" w:rsidRPr="00D40EF6">
        <w:t>panā</w:t>
      </w:r>
      <w:r w:rsidR="00723DBB">
        <w:t>ca</w:t>
      </w:r>
      <w:r w:rsidR="00723DBB" w:rsidRPr="00D40EF6">
        <w:t xml:space="preserve"> fiktīvas pavadzīmes izgatavošanu par akmeņogļu iegādi no </w:t>
      </w:r>
      <w:r w:rsidR="00723DBB" w:rsidRPr="00323B98">
        <w:t>SIA</w:t>
      </w:r>
      <w:r w:rsidR="00723DBB">
        <w:t> „</w:t>
      </w:r>
      <w:r w:rsidR="00910BA4">
        <w:t>[Nosaukums B]</w:t>
      </w:r>
      <w:r w:rsidR="00723DBB">
        <w:t>”.</w:t>
      </w:r>
    </w:p>
    <w:p w14:paraId="47F80C76" w14:textId="7FCE361A" w:rsidR="00723DBB" w:rsidRDefault="00910BA4" w:rsidP="00723DBB">
      <w:pPr>
        <w:spacing w:after="0" w:line="276" w:lineRule="auto"/>
        <w:ind w:firstLine="720"/>
        <w:jc w:val="both"/>
      </w:pPr>
      <w:r>
        <w:t>[Pers. B]</w:t>
      </w:r>
      <w:r w:rsidR="00723DBB">
        <w:t xml:space="preserve"> atzīts par vainīgu un sodīts pēc Krimināllikuma 177. panta pirmās daļas</w:t>
      </w:r>
      <w:r w:rsidR="00723DBB" w:rsidRPr="002D7578">
        <w:t xml:space="preserve"> par to, ka</w:t>
      </w:r>
      <w:r w:rsidR="00723DBB">
        <w:t xml:space="preserve"> 2011. gada </w:t>
      </w:r>
      <w:r>
        <w:t>[..]</w:t>
      </w:r>
      <w:r w:rsidR="00723DBB" w:rsidRPr="002D7578">
        <w:t xml:space="preserve">, ļaunprātīgi izmantojot cietušā </w:t>
      </w:r>
      <w:r>
        <w:t>[pers. D]</w:t>
      </w:r>
      <w:r w:rsidR="00723DBB">
        <w:t xml:space="preserve"> </w:t>
      </w:r>
      <w:r w:rsidR="00723DBB" w:rsidRPr="002D7578">
        <w:t xml:space="preserve">uzticēšanos un ar viltu </w:t>
      </w:r>
      <w:r w:rsidR="00723DBB" w:rsidRPr="002D7578">
        <w:lastRenderedPageBreak/>
        <w:t>– maldinot par savu nodomu piegādāt būvmateriālus –</w:t>
      </w:r>
      <w:r w:rsidR="00723DBB">
        <w:t>,</w:t>
      </w:r>
      <w:r w:rsidR="00723DBB" w:rsidRPr="002D7578">
        <w:t xml:space="preserve"> ieguva naudu 1768,15</w:t>
      </w:r>
      <w:r w:rsidR="002B3297">
        <w:t> </w:t>
      </w:r>
      <w:r w:rsidR="00723DBB" w:rsidRPr="002D7578">
        <w:t>LVL (2515,85</w:t>
      </w:r>
      <w:r w:rsidR="00723DBB">
        <w:t> </w:t>
      </w:r>
      <w:r w:rsidR="00723DBB" w:rsidRPr="0014078A">
        <w:rPr>
          <w:i/>
          <w:iCs/>
        </w:rPr>
        <w:t>euro</w:t>
      </w:r>
      <w:r w:rsidR="00723DBB" w:rsidRPr="002D7578">
        <w:t>) .</w:t>
      </w:r>
    </w:p>
    <w:p w14:paraId="1202E3BC" w14:textId="77777777" w:rsidR="00723DBB" w:rsidRDefault="00723DBB" w:rsidP="00723DBB">
      <w:pPr>
        <w:spacing w:after="0" w:line="276" w:lineRule="auto"/>
        <w:ind w:firstLine="720"/>
        <w:jc w:val="both"/>
      </w:pPr>
    </w:p>
    <w:p w14:paraId="13E7671C" w14:textId="5AA49DC2" w:rsidR="00723DBB" w:rsidRDefault="00723DBB" w:rsidP="00723DBB">
      <w:pPr>
        <w:spacing w:after="0" w:line="276" w:lineRule="auto"/>
        <w:ind w:firstLine="720"/>
        <w:jc w:val="both"/>
      </w:pPr>
      <w:r>
        <w:t xml:space="preserve">[3] Ar </w:t>
      </w:r>
      <w:r w:rsidR="00910BA4">
        <w:t xml:space="preserve">[..] </w:t>
      </w:r>
      <w:r>
        <w:t xml:space="preserve">apgabaltiesas 2024. gada </w:t>
      </w:r>
      <w:r w:rsidR="00910BA4">
        <w:t>[..]</w:t>
      </w:r>
      <w:r>
        <w:t xml:space="preserve"> spriedumu, iztiesājot lietu apelācijas kārtībā sakarā ar </w:t>
      </w:r>
      <w:r w:rsidR="00910BA4">
        <w:t>[pers. A]</w:t>
      </w:r>
      <w:r>
        <w:t xml:space="preserve"> un </w:t>
      </w:r>
      <w:r w:rsidR="00910BA4">
        <w:t>[pers. B]</w:t>
      </w:r>
      <w:r>
        <w:t xml:space="preserve"> apelācijas sūdzībām,</w:t>
      </w:r>
      <w:r w:rsidRPr="004A3359">
        <w:t xml:space="preserve"> </w:t>
      </w:r>
      <w:r w:rsidR="00910BA4">
        <w:t>[rajona (pilsētas)]</w:t>
      </w:r>
      <w:r>
        <w:t xml:space="preserve"> tiesas 2022. gada </w:t>
      </w:r>
      <w:r w:rsidR="00910BA4">
        <w:t>[..]</w:t>
      </w:r>
      <w:r>
        <w:t xml:space="preserve"> spriedums atcelts daļā par </w:t>
      </w:r>
      <w:r w:rsidR="00910BA4">
        <w:t>[pers. A]</w:t>
      </w:r>
      <w:r>
        <w:t xml:space="preserve"> </w:t>
      </w:r>
      <w:r w:rsidRPr="00D92500">
        <w:t>piespriesto sodu</w:t>
      </w:r>
      <w:r>
        <w:t xml:space="preserve"> pēc Krimināllikuma 177. panta trešās daļas, 195. panta pirmās daļas, 217. panta otrās daļas </w:t>
      </w:r>
      <w:r w:rsidRPr="008121C9">
        <w:t>(</w:t>
      </w:r>
      <w:r w:rsidRPr="00323EA2">
        <w:t>redakcijā līdz 2013. gada 31. martam</w:t>
      </w:r>
      <w:r w:rsidRPr="008121C9">
        <w:t>)</w:t>
      </w:r>
      <w:r>
        <w:t xml:space="preserve"> un par </w:t>
      </w:r>
      <w:r w:rsidR="00910BA4">
        <w:t>[pers. B]</w:t>
      </w:r>
      <w:r>
        <w:t xml:space="preserve"> piespriesto sodu pēc Krimināllikuma 177. panta pirmās un trešās daļas, kā arī par </w:t>
      </w:r>
      <w:r w:rsidR="00910BA4">
        <w:t>[pers. A]</w:t>
      </w:r>
      <w:r>
        <w:t xml:space="preserve"> un </w:t>
      </w:r>
      <w:r w:rsidR="00910BA4">
        <w:t>[pers. B]</w:t>
      </w:r>
      <w:r>
        <w:t xml:space="preserve"> noteikto galīgo sodu, un</w:t>
      </w:r>
    </w:p>
    <w:p w14:paraId="2F6B5F69" w14:textId="7B88971E" w:rsidR="00723DBB" w:rsidRDefault="00723DBB" w:rsidP="00723DBB">
      <w:pPr>
        <w:spacing w:after="0" w:line="276" w:lineRule="auto"/>
        <w:ind w:firstLine="720"/>
      </w:pPr>
      <w:r>
        <w:t xml:space="preserve">[3.1] </w:t>
      </w:r>
      <w:r w:rsidR="00910BA4">
        <w:t>[Pers. A]</w:t>
      </w:r>
      <w:r>
        <w:t xml:space="preserve"> </w:t>
      </w:r>
    </w:p>
    <w:p w14:paraId="45380880" w14:textId="77777777" w:rsidR="00723DBB" w:rsidRDefault="00723DBB" w:rsidP="00723DBB">
      <w:pPr>
        <w:spacing w:after="0" w:line="276" w:lineRule="auto"/>
        <w:ind w:firstLine="720"/>
        <w:jc w:val="both"/>
      </w:pPr>
      <w:r>
        <w:t>par Krimināllikuma 177. panta trešajā daļā paredzēto noziedzīgo nodarījumu, piemērojot Krimināllikuma 49.</w:t>
      </w:r>
      <w:r w:rsidRPr="004A3359">
        <w:rPr>
          <w:vertAlign w:val="superscript"/>
        </w:rPr>
        <w:t>1</w:t>
      </w:r>
      <w:r>
        <w:rPr>
          <w:vertAlign w:val="superscript"/>
        </w:rPr>
        <w:t> </w:t>
      </w:r>
      <w:r>
        <w:t xml:space="preserve">panta pirmās daļas 1. punktu, sodīts ar brīvības atņemšanu </w:t>
      </w:r>
      <w:r w:rsidRPr="007F05F1">
        <w:rPr>
          <w:color w:val="000000" w:themeColor="text1"/>
        </w:rPr>
        <w:t>uz 1 gadu 6 m</w:t>
      </w:r>
      <w:r>
        <w:t>ēnešiem;</w:t>
      </w:r>
    </w:p>
    <w:p w14:paraId="11AAE9AC" w14:textId="77777777" w:rsidR="00723DBB" w:rsidRDefault="00723DBB" w:rsidP="00723DBB">
      <w:pPr>
        <w:spacing w:after="0" w:line="276" w:lineRule="auto"/>
        <w:ind w:firstLine="720"/>
        <w:jc w:val="both"/>
      </w:pPr>
      <w:r>
        <w:t>par Krimināllikuma 195. panta pirmajā daļā paredzēto noziedzīgo nodarījumu, piemērojot Krimināllikuma 49.</w:t>
      </w:r>
      <w:r w:rsidRPr="0006168D">
        <w:rPr>
          <w:vertAlign w:val="superscript"/>
        </w:rPr>
        <w:t>1</w:t>
      </w:r>
      <w:r>
        <w:rPr>
          <w:vertAlign w:val="superscript"/>
        </w:rPr>
        <w:t> </w:t>
      </w:r>
      <w:r>
        <w:t xml:space="preserve">panta pirmās daļas 1. punktu, sodīts ar brīvības atņemšanu </w:t>
      </w:r>
      <w:r w:rsidRPr="007F05F1">
        <w:rPr>
          <w:color w:val="000000" w:themeColor="text1"/>
        </w:rPr>
        <w:t>uz 4</w:t>
      </w:r>
      <w:r w:rsidRPr="00DB7CD6">
        <w:rPr>
          <w:color w:val="000000" w:themeColor="text1"/>
        </w:rPr>
        <w:t xml:space="preserve"> </w:t>
      </w:r>
      <w:r>
        <w:t>mēnešiem;</w:t>
      </w:r>
    </w:p>
    <w:p w14:paraId="64D336C9" w14:textId="77777777" w:rsidR="00723DBB" w:rsidRDefault="00723DBB" w:rsidP="00723DBB">
      <w:pPr>
        <w:spacing w:after="0" w:line="276" w:lineRule="auto"/>
        <w:ind w:firstLine="720"/>
        <w:jc w:val="both"/>
      </w:pPr>
      <w:r>
        <w:t xml:space="preserve">par Krimināllikuma 217. panta otrajā daļā </w:t>
      </w:r>
      <w:r w:rsidRPr="008121C9">
        <w:t>(</w:t>
      </w:r>
      <w:r w:rsidRPr="00323EA2">
        <w:t>redakcijā</w:t>
      </w:r>
      <w:r>
        <w:t xml:space="preserve"> </w:t>
      </w:r>
      <w:r w:rsidRPr="00323EA2">
        <w:t>līdz 2013. gada 31. martam</w:t>
      </w:r>
      <w:r w:rsidRPr="008121C9">
        <w:t>)</w:t>
      </w:r>
      <w:r>
        <w:t xml:space="preserve"> paredzēto noziedzīgo nodarījumu, piemērojot Krimināllikuma 49.</w:t>
      </w:r>
      <w:r w:rsidRPr="0006168D">
        <w:rPr>
          <w:vertAlign w:val="superscript"/>
        </w:rPr>
        <w:t>1</w:t>
      </w:r>
      <w:r>
        <w:t xml:space="preserve"> panta pirmās daļas 1. punktu, sodīts ar brīvības atņemšanu uz </w:t>
      </w:r>
      <w:r w:rsidRPr="007F05F1">
        <w:rPr>
          <w:color w:val="000000" w:themeColor="text1"/>
        </w:rPr>
        <w:t xml:space="preserve">3 </w:t>
      </w:r>
      <w:r>
        <w:t>mēnešiem.</w:t>
      </w:r>
    </w:p>
    <w:p w14:paraId="15E9ABEB" w14:textId="5D38D4BC" w:rsidR="00723DBB" w:rsidRDefault="00723DBB" w:rsidP="00723DBB">
      <w:pPr>
        <w:spacing w:after="0" w:line="276" w:lineRule="auto"/>
        <w:ind w:firstLine="720"/>
        <w:jc w:val="both"/>
      </w:pPr>
      <w:r>
        <w:t xml:space="preserve">Saskaņā ar Krimināllikuma 50. panta pirmo daļu galīgais sods </w:t>
      </w:r>
      <w:r w:rsidR="008A4EE6">
        <w:t>[pers. A]</w:t>
      </w:r>
      <w:r>
        <w:t xml:space="preserve"> noteikts brīvības atņemšana </w:t>
      </w:r>
      <w:r w:rsidRPr="007F05F1">
        <w:rPr>
          <w:color w:val="000000" w:themeColor="text1"/>
        </w:rPr>
        <w:t>uz 1 gadu 8 mēnešiem</w:t>
      </w:r>
      <w:r>
        <w:t>.</w:t>
      </w:r>
    </w:p>
    <w:p w14:paraId="40750341" w14:textId="31F7DEB3" w:rsidR="00723DBB" w:rsidRDefault="00723DBB" w:rsidP="00723DBB">
      <w:pPr>
        <w:spacing w:after="0" w:line="276" w:lineRule="auto"/>
        <w:ind w:firstLine="720"/>
        <w:jc w:val="both"/>
      </w:pPr>
      <w:r>
        <w:t xml:space="preserve">[3.2] </w:t>
      </w:r>
      <w:r w:rsidR="00612FC2">
        <w:t>[Pers. B]</w:t>
      </w:r>
    </w:p>
    <w:p w14:paraId="640AA6E2" w14:textId="77777777" w:rsidR="00723DBB" w:rsidRDefault="00723DBB" w:rsidP="00723DBB">
      <w:pPr>
        <w:spacing w:after="0" w:line="276" w:lineRule="auto"/>
        <w:ind w:firstLine="720"/>
        <w:jc w:val="both"/>
      </w:pPr>
      <w:r>
        <w:t>par Krimināllikuma 177. panta trešajā daļā paredzēto noziedzīgo nodarījumu, piemērojot Krimināllikuma 49.</w:t>
      </w:r>
      <w:r w:rsidRPr="00112A53">
        <w:rPr>
          <w:vertAlign w:val="superscript"/>
        </w:rPr>
        <w:t>1</w:t>
      </w:r>
      <w:r>
        <w:rPr>
          <w:vertAlign w:val="superscript"/>
        </w:rPr>
        <w:t> </w:t>
      </w:r>
      <w:r>
        <w:t xml:space="preserve">panta pirmās daļas 1. punktu, sodīts ar brīvības atņemšanu uz </w:t>
      </w:r>
      <w:r w:rsidRPr="007F05F1">
        <w:rPr>
          <w:color w:val="000000" w:themeColor="text1"/>
        </w:rPr>
        <w:t xml:space="preserve">1 gadu 6 </w:t>
      </w:r>
      <w:r>
        <w:t>mēnešiem;</w:t>
      </w:r>
    </w:p>
    <w:p w14:paraId="07B116E1" w14:textId="77777777" w:rsidR="00723DBB" w:rsidRDefault="00723DBB" w:rsidP="00723DBB">
      <w:pPr>
        <w:spacing w:after="0" w:line="276" w:lineRule="auto"/>
        <w:ind w:firstLine="720"/>
        <w:jc w:val="both"/>
      </w:pPr>
      <w:r>
        <w:t>par Krimināllikuma 177. panta pirmajā daļā paredzēto noziedzīgo nodarījumu, piemērojot Krimināllikuma 49.</w:t>
      </w:r>
      <w:r w:rsidRPr="00112A53">
        <w:rPr>
          <w:vertAlign w:val="superscript"/>
        </w:rPr>
        <w:t>1</w:t>
      </w:r>
      <w:r>
        <w:t xml:space="preserve"> panta pirmās daļas 1. punktu, sodīts ar brīvības atņemšanu uz </w:t>
      </w:r>
      <w:r w:rsidRPr="007F05F1">
        <w:rPr>
          <w:color w:val="000000" w:themeColor="text1"/>
        </w:rPr>
        <w:t xml:space="preserve">3 </w:t>
      </w:r>
      <w:r>
        <w:t>mēnešiem.</w:t>
      </w:r>
    </w:p>
    <w:p w14:paraId="2FC762FF" w14:textId="5251A903" w:rsidR="00723DBB" w:rsidRDefault="00723DBB" w:rsidP="00723DBB">
      <w:pPr>
        <w:spacing w:after="0" w:line="276" w:lineRule="auto"/>
        <w:ind w:firstLine="720"/>
        <w:jc w:val="both"/>
      </w:pPr>
      <w:r>
        <w:t xml:space="preserve">Saskaņā ar Krimināllikuma 50. panta pirmo daļu galīgais sods </w:t>
      </w:r>
      <w:r w:rsidR="003A2404">
        <w:t>[pers. B]</w:t>
      </w:r>
      <w:r>
        <w:t xml:space="preserve"> noteikts brīvības atņemšana uz 1 gadu 7 mēnešiem.</w:t>
      </w:r>
    </w:p>
    <w:p w14:paraId="0F2D9F64" w14:textId="0370CB41" w:rsidR="00723DBB" w:rsidRDefault="00723DBB" w:rsidP="00723DBB">
      <w:pPr>
        <w:spacing w:after="0" w:line="276" w:lineRule="auto"/>
        <w:ind w:firstLine="720"/>
        <w:jc w:val="both"/>
      </w:pPr>
      <w:r>
        <w:t xml:space="preserve">Pārējā daļā </w:t>
      </w:r>
      <w:r w:rsidR="004A390B">
        <w:t>[rajona (pilsētas)]</w:t>
      </w:r>
      <w:r>
        <w:t xml:space="preserve"> tiesas 2022. gada </w:t>
      </w:r>
      <w:r w:rsidR="004A390B">
        <w:t>[..]</w:t>
      </w:r>
      <w:r>
        <w:t xml:space="preserve"> spriedums atstāts negrozīts.</w:t>
      </w:r>
    </w:p>
    <w:p w14:paraId="64486F21" w14:textId="77777777" w:rsidR="00723DBB" w:rsidRDefault="00723DBB" w:rsidP="00723DBB">
      <w:pPr>
        <w:spacing w:after="0" w:line="276" w:lineRule="auto"/>
        <w:ind w:firstLine="720"/>
        <w:jc w:val="both"/>
      </w:pPr>
    </w:p>
    <w:p w14:paraId="49DC40D8" w14:textId="06F578E9" w:rsidR="00723DBB" w:rsidRDefault="00723DBB" w:rsidP="00723DBB">
      <w:pPr>
        <w:spacing w:after="0" w:line="276" w:lineRule="auto"/>
        <w:ind w:firstLine="720"/>
        <w:jc w:val="both"/>
      </w:pPr>
      <w:r>
        <w:t xml:space="preserve">[4] Par </w:t>
      </w:r>
      <w:r w:rsidR="004A390B">
        <w:t>[..]</w:t>
      </w:r>
      <w:r>
        <w:t xml:space="preserve"> apgabaltiesas 2024. gada </w:t>
      </w:r>
      <w:r w:rsidR="004A390B">
        <w:t>[..]</w:t>
      </w:r>
      <w:r>
        <w:t xml:space="preserve"> spriedumu apsūdzētais </w:t>
      </w:r>
      <w:r w:rsidR="004A390B">
        <w:t>[pers. A]</w:t>
      </w:r>
      <w:r>
        <w:t xml:space="preserve"> iesniedzis kasācijas sūdzību, kurā</w:t>
      </w:r>
      <w:r w:rsidRPr="00FE0477">
        <w:t xml:space="preserve"> lūdz atcelt šo spriedumu</w:t>
      </w:r>
      <w:r>
        <w:t>.</w:t>
      </w:r>
    </w:p>
    <w:p w14:paraId="21B081FA" w14:textId="60E0B080" w:rsidR="00723DBB" w:rsidRDefault="00723DBB" w:rsidP="00723DBB">
      <w:pPr>
        <w:spacing w:after="0" w:line="276" w:lineRule="auto"/>
        <w:ind w:firstLine="720"/>
        <w:jc w:val="both"/>
      </w:pPr>
      <w:r>
        <w:t xml:space="preserve">Apsūdzētais </w:t>
      </w:r>
      <w:r w:rsidR="004A390B">
        <w:t>[pers. A]</w:t>
      </w:r>
      <w:r>
        <w:t xml:space="preserve"> uzskata, ka apelācijas instances tiesa pieļāvusi Kriminālprocesa likuma 128. panta, 511. panta otrās daļas un 564. panta ceturtās daļas pārkāpumus, kas atzīstami par Kriminālprocesa likuma būtiskiem pārkāpumiem šā likuma 575. panta trešās daļas izpratnē un noveduši pie nelikumīga nolēmuma. </w:t>
      </w:r>
    </w:p>
    <w:p w14:paraId="0B770FB1" w14:textId="77777777" w:rsidR="00723DBB" w:rsidRDefault="00723DBB" w:rsidP="00723DBB">
      <w:pPr>
        <w:widowControl w:val="0"/>
        <w:spacing w:after="0" w:line="276" w:lineRule="auto"/>
        <w:ind w:firstLine="720"/>
        <w:jc w:val="both"/>
        <w:rPr>
          <w:rFonts w:asciiTheme="majorBidi" w:hAnsiTheme="majorBidi" w:cstheme="majorBidi"/>
          <w:shd w:val="clear" w:color="auto" w:fill="FFFFFF"/>
          <w:lang w:eastAsia="lv-LV"/>
        </w:rPr>
      </w:pPr>
      <w:r w:rsidRPr="00561852">
        <w:rPr>
          <w:rFonts w:asciiTheme="majorBidi" w:hAnsiTheme="majorBidi" w:cstheme="majorBidi"/>
          <w:shd w:val="clear" w:color="auto" w:fill="FFFFFF"/>
          <w:lang w:eastAsia="lv-LV"/>
        </w:rPr>
        <w:t>Kasācijas sūdzība pamatota ar šādiem argumentiem.</w:t>
      </w:r>
    </w:p>
    <w:p w14:paraId="71A1B1CB" w14:textId="1F3A4DAC" w:rsidR="00723DBB" w:rsidRPr="0019460B" w:rsidRDefault="00723DBB" w:rsidP="00723DBB">
      <w:pPr>
        <w:widowControl w:val="0"/>
        <w:spacing w:after="0" w:line="276" w:lineRule="auto"/>
        <w:ind w:firstLine="720"/>
        <w:jc w:val="both"/>
        <w:rPr>
          <w:rFonts w:asciiTheme="majorBidi" w:hAnsiTheme="majorBidi" w:cstheme="majorBidi"/>
          <w:shd w:val="clear" w:color="auto" w:fill="FFFFFF"/>
          <w:lang w:eastAsia="lv-LV"/>
        </w:rPr>
      </w:pPr>
      <w:r>
        <w:t xml:space="preserve">[4.1] </w:t>
      </w:r>
      <w:bookmarkStart w:id="4" w:name="_Hlk214185880"/>
      <w:r>
        <w:t>Tiesas spriedumā</w:t>
      </w:r>
      <w:r w:rsidRPr="00187FE0">
        <w:t xml:space="preserve"> pierādīt</w:t>
      </w:r>
      <w:r>
        <w:t>ā</w:t>
      </w:r>
      <w:r w:rsidRPr="00187FE0">
        <w:t xml:space="preserve"> noziedzīg</w:t>
      </w:r>
      <w:r>
        <w:t xml:space="preserve">ā </w:t>
      </w:r>
      <w:r w:rsidRPr="00187FE0">
        <w:t>nodarījuma aprakstā</w:t>
      </w:r>
      <w:r>
        <w:t xml:space="preserve"> norādītais, ka </w:t>
      </w:r>
      <w:r w:rsidR="004A390B">
        <w:t xml:space="preserve">[pers. A] </w:t>
      </w:r>
      <w:r w:rsidRPr="00187FE0">
        <w:t>2009.</w:t>
      </w:r>
      <w:r>
        <w:t> </w:t>
      </w:r>
      <w:r w:rsidRPr="00187FE0">
        <w:t xml:space="preserve">gada </w:t>
      </w:r>
      <w:r w:rsidR="00620776">
        <w:t>[..]</w:t>
      </w:r>
      <w:r>
        <w:t xml:space="preserve"> </w:t>
      </w:r>
      <w:r w:rsidRPr="00187FE0">
        <w:t>rad</w:t>
      </w:r>
      <w:r>
        <w:t>ies</w:t>
      </w:r>
      <w:r w:rsidRPr="00187FE0">
        <w:t xml:space="preserve"> nodoms </w:t>
      </w:r>
      <w:r>
        <w:t>izdarīt</w:t>
      </w:r>
      <w:r w:rsidRPr="00187FE0">
        <w:t xml:space="preserve"> krāpšanu pret</w:t>
      </w:r>
      <w:r>
        <w:t xml:space="preserve"> </w:t>
      </w:r>
      <w:r w:rsidRPr="00187FE0">
        <w:t>personu, kas pārdos akmeņogles ar pēcmaksu</w:t>
      </w:r>
      <w:r>
        <w:t>, un šajā n</w:t>
      </w:r>
      <w:r w:rsidRPr="00187FE0">
        <w:t xml:space="preserve">olūkā </w:t>
      </w:r>
      <w:r>
        <w:t xml:space="preserve">kopīgi ar </w:t>
      </w:r>
      <w:r w:rsidR="004A390B">
        <w:t>[pers. C]</w:t>
      </w:r>
      <w:r w:rsidRPr="00187FE0">
        <w:t xml:space="preserve"> </w:t>
      </w:r>
      <w:r>
        <w:t xml:space="preserve">nozieguma izdarīšanā viņš </w:t>
      </w:r>
      <w:r w:rsidRPr="00187FE0">
        <w:t>iesaistīj</w:t>
      </w:r>
      <w:r>
        <w:t>is</w:t>
      </w:r>
      <w:r w:rsidRPr="00187FE0">
        <w:t xml:space="preserve"> </w:t>
      </w:r>
      <w:r w:rsidR="004A390B">
        <w:t>[pers. B]</w:t>
      </w:r>
      <w:r>
        <w:t>, nav pamatots ar pierādījumiem.</w:t>
      </w:r>
      <w:bookmarkEnd w:id="4"/>
    </w:p>
    <w:p w14:paraId="632EB74C" w14:textId="7CBA0566" w:rsidR="00723DBB" w:rsidRDefault="00723DBB" w:rsidP="00723DBB">
      <w:pPr>
        <w:spacing w:after="0" w:line="276" w:lineRule="auto"/>
        <w:ind w:firstLine="720"/>
        <w:jc w:val="both"/>
      </w:pPr>
      <w:r w:rsidRPr="00ED0204">
        <w:t xml:space="preserve">[4.2] </w:t>
      </w:r>
      <w:r>
        <w:t>T</w:t>
      </w:r>
      <w:r w:rsidRPr="00ED0204">
        <w:t>iesa</w:t>
      </w:r>
      <w:r>
        <w:t xml:space="preserve"> nav pamatojusi savu </w:t>
      </w:r>
      <w:r w:rsidRPr="00ED0204">
        <w:t>atzinu</w:t>
      </w:r>
      <w:r>
        <w:t>mu</w:t>
      </w:r>
      <w:r w:rsidRPr="00ED0204">
        <w:t xml:space="preserve">, ka apsūdzētā </w:t>
      </w:r>
      <w:r w:rsidR="004A390B">
        <w:t>[pers. A]</w:t>
      </w:r>
      <w:r w:rsidRPr="00ED0204">
        <w:t xml:space="preserve"> liecības</w:t>
      </w:r>
      <w:r>
        <w:t xml:space="preserve"> </w:t>
      </w:r>
      <w:r w:rsidRPr="00ED0204">
        <w:t xml:space="preserve">uzskatāmas par aizstāvības taktikas īstenošanas paņēmienu un ir sniegtas ar mērķi izvairīties no atbildības. </w:t>
      </w:r>
      <w:r>
        <w:t xml:space="preserve">Tāpat tiesa nav pamatojusi, kāpēc tā piešķīrusi ticamību </w:t>
      </w:r>
      <w:r>
        <w:lastRenderedPageBreak/>
        <w:t xml:space="preserve">apsūdzētā </w:t>
      </w:r>
      <w:r w:rsidR="004A390B">
        <w:t>[pers. B]</w:t>
      </w:r>
      <w:r>
        <w:t xml:space="preserve"> liecībām, kā arī nav ņēmusi vērā, ka </w:t>
      </w:r>
      <w:r w:rsidR="004A390B">
        <w:t>[pers. B]</w:t>
      </w:r>
      <w:r>
        <w:t xml:space="preserve"> tikai 2011. gada </w:t>
      </w:r>
      <w:r w:rsidR="004A390B">
        <w:t xml:space="preserve">[..] </w:t>
      </w:r>
      <w:r>
        <w:t xml:space="preserve">liecībās norādījis uz </w:t>
      </w:r>
      <w:r w:rsidR="004A390B">
        <w:t>[pers. A]</w:t>
      </w:r>
      <w:r>
        <w:t xml:space="preserve"> kā iespējamo „krāpnieku”. Turklāt </w:t>
      </w:r>
      <w:r w:rsidR="004A390B">
        <w:t>[pers. B]</w:t>
      </w:r>
      <w:r>
        <w:t xml:space="preserve"> sniedzis pretrunīgas</w:t>
      </w:r>
      <w:r w:rsidRPr="00ED0204">
        <w:t xml:space="preserve"> liecīb</w:t>
      </w:r>
      <w:r>
        <w:t>a</w:t>
      </w:r>
      <w:r w:rsidRPr="00ED0204">
        <w:t>s</w:t>
      </w:r>
      <w:r>
        <w:t xml:space="preserve">, kas </w:t>
      </w:r>
      <w:r w:rsidRPr="00ED0204">
        <w:t xml:space="preserve">neatbilst </w:t>
      </w:r>
      <w:r>
        <w:t xml:space="preserve">lietā esošiem </w:t>
      </w:r>
      <w:r w:rsidRPr="00ED0204">
        <w:t>pierādījumiem</w:t>
      </w:r>
      <w:r>
        <w:t>.</w:t>
      </w:r>
      <w:bookmarkStart w:id="5" w:name="_Hlk214185937"/>
    </w:p>
    <w:p w14:paraId="123AD6DF" w14:textId="40E35CE4" w:rsidR="00723DBB" w:rsidRDefault="00723DBB" w:rsidP="00723DBB">
      <w:pPr>
        <w:spacing w:after="0" w:line="276" w:lineRule="auto"/>
        <w:ind w:firstLine="720"/>
        <w:jc w:val="both"/>
      </w:pPr>
      <w:bookmarkStart w:id="6" w:name="_Hlk215040672"/>
      <w:r w:rsidRPr="00ED0204">
        <w:t>[4.</w:t>
      </w:r>
      <w:r>
        <w:t>3</w:t>
      </w:r>
      <w:r w:rsidRPr="00ED0204">
        <w:t xml:space="preserve">] </w:t>
      </w:r>
      <w:r>
        <w:t>T</w:t>
      </w:r>
      <w:r w:rsidRPr="00ED0204">
        <w:t>iesa nav izvērtējusi apelācijas sūdzīb</w:t>
      </w:r>
      <w:r>
        <w:t xml:space="preserve">as </w:t>
      </w:r>
      <w:r w:rsidRPr="00ED0204">
        <w:t xml:space="preserve">argumentu par to, ka liecinieka </w:t>
      </w:r>
      <w:r w:rsidR="004A390B">
        <w:t>[pers. E]</w:t>
      </w:r>
      <w:r w:rsidRPr="00ED0204">
        <w:t xml:space="preserve"> </w:t>
      </w:r>
      <w:proofErr w:type="spellStart"/>
      <w:r w:rsidRPr="00ED0204">
        <w:t>pirmstiesas</w:t>
      </w:r>
      <w:proofErr w:type="spellEnd"/>
      <w:r w:rsidRPr="00ED0204">
        <w:t xml:space="preserve"> </w:t>
      </w:r>
      <w:r>
        <w:t>kriminālprocesā</w:t>
      </w:r>
      <w:r w:rsidRPr="00ED0204">
        <w:t xml:space="preserve"> sniegtā</w:t>
      </w:r>
      <w:r>
        <w:t>s</w:t>
      </w:r>
      <w:r w:rsidRPr="00ED0204">
        <w:t xml:space="preserve"> liecība</w:t>
      </w:r>
      <w:r>
        <w:t>s</w:t>
      </w:r>
      <w:r w:rsidRPr="00ED0204">
        <w:t xml:space="preserve"> par SIA</w:t>
      </w:r>
      <w:r>
        <w:t> </w:t>
      </w:r>
      <w:r w:rsidR="00A55549">
        <w:t>„</w:t>
      </w:r>
      <w:r w:rsidR="004A390B">
        <w:t>[Nosaukums B]</w:t>
      </w:r>
      <w:r>
        <w:t>”</w:t>
      </w:r>
      <w:r w:rsidR="008C77F4">
        <w:t xml:space="preserve"> </w:t>
      </w:r>
      <w:r w:rsidRPr="00ED0204">
        <w:t xml:space="preserve">pavadzīmes nodošanu </w:t>
      </w:r>
      <w:r w:rsidR="004A390B">
        <w:t>[pers. A]</w:t>
      </w:r>
      <w:r w:rsidRPr="00ED0204">
        <w:t xml:space="preserve"> un </w:t>
      </w:r>
      <w:r>
        <w:t>uzrādīšanā</w:t>
      </w:r>
      <w:r w:rsidRPr="00ED0204">
        <w:t xml:space="preserve"> atpazīšanai iegūtās ziņas atzīstamas par nepieļaujamām.</w:t>
      </w:r>
      <w:r>
        <w:t xml:space="preserve"> </w:t>
      </w:r>
    </w:p>
    <w:bookmarkEnd w:id="6"/>
    <w:p w14:paraId="7651F0F1" w14:textId="117E7DBB" w:rsidR="00723DBB" w:rsidRPr="008A20F9" w:rsidRDefault="00723DBB" w:rsidP="00723DBB">
      <w:pPr>
        <w:spacing w:after="0" w:line="276" w:lineRule="auto"/>
        <w:ind w:firstLine="720"/>
        <w:jc w:val="both"/>
        <w:rPr>
          <w:color w:val="000000" w:themeColor="text1"/>
        </w:rPr>
      </w:pPr>
      <w:r>
        <w:t xml:space="preserve">Tiesa nav ņēmusi vērā, ka uzrādīšanā atpazīšanai pēc fotogrāfijām </w:t>
      </w:r>
      <w:r w:rsidR="004A390B">
        <w:t>[pers. E]</w:t>
      </w:r>
      <w:r>
        <w:t xml:space="preserve"> sākotnēji nav atpazinis </w:t>
      </w:r>
      <w:r w:rsidR="004A390B">
        <w:t>[pers. A]</w:t>
      </w:r>
      <w:r>
        <w:t xml:space="preserve"> </w:t>
      </w:r>
      <w:r w:rsidRPr="008A20F9">
        <w:rPr>
          <w:color w:val="000000" w:themeColor="text1"/>
        </w:rPr>
        <w:t>(</w:t>
      </w:r>
      <w:r w:rsidRPr="004D3574">
        <w:rPr>
          <w:i/>
          <w:iCs/>
          <w:color w:val="000000" w:themeColor="text1"/>
        </w:rPr>
        <w:t xml:space="preserve">lietas </w:t>
      </w:r>
      <w:r w:rsidRPr="008A20F9">
        <w:rPr>
          <w:i/>
          <w:iCs/>
          <w:color w:val="000000" w:themeColor="text1"/>
        </w:rPr>
        <w:t>1. sējuma 150–151. lappuse</w:t>
      </w:r>
      <w:r w:rsidRPr="008A20F9">
        <w:rPr>
          <w:color w:val="000000" w:themeColor="text1"/>
        </w:rPr>
        <w:t>)</w:t>
      </w:r>
      <w:r>
        <w:rPr>
          <w:color w:val="000000" w:themeColor="text1"/>
        </w:rPr>
        <w:t xml:space="preserve">. Tikai vēlāk, kad </w:t>
      </w:r>
      <w:r w:rsidR="004A390B">
        <w:t xml:space="preserve">[pers. E] </w:t>
      </w:r>
      <w:r>
        <w:rPr>
          <w:color w:val="000000" w:themeColor="text1"/>
        </w:rPr>
        <w:t xml:space="preserve">no jauna uzrādītas </w:t>
      </w:r>
      <w:r w:rsidRPr="008A20F9">
        <w:rPr>
          <w:color w:val="000000" w:themeColor="text1"/>
        </w:rPr>
        <w:t>fotogrāfij</w:t>
      </w:r>
      <w:r>
        <w:rPr>
          <w:color w:val="000000" w:themeColor="text1"/>
        </w:rPr>
        <w:t>as</w:t>
      </w:r>
      <w:r w:rsidRPr="008A20F9">
        <w:rPr>
          <w:color w:val="000000" w:themeColor="text1"/>
        </w:rPr>
        <w:t xml:space="preserve"> datorā</w:t>
      </w:r>
      <w:r>
        <w:rPr>
          <w:color w:val="000000" w:themeColor="text1"/>
        </w:rPr>
        <w:t>, viņš</w:t>
      </w:r>
      <w:r w:rsidRPr="008A20F9">
        <w:rPr>
          <w:color w:val="000000" w:themeColor="text1"/>
        </w:rPr>
        <w:t xml:space="preserve"> atpazin</w:t>
      </w:r>
      <w:r>
        <w:rPr>
          <w:color w:val="000000" w:themeColor="text1"/>
        </w:rPr>
        <w:t>is</w:t>
      </w:r>
      <w:r w:rsidRPr="008A20F9">
        <w:rPr>
          <w:color w:val="000000" w:themeColor="text1"/>
        </w:rPr>
        <w:t xml:space="preserve"> </w:t>
      </w:r>
      <w:r w:rsidR="004A390B">
        <w:t>[pers. A]</w:t>
      </w:r>
      <w:r w:rsidRPr="008A20F9">
        <w:rPr>
          <w:color w:val="000000" w:themeColor="text1"/>
        </w:rPr>
        <w:t xml:space="preserve"> kā personu, kuram nodev</w:t>
      </w:r>
      <w:r>
        <w:rPr>
          <w:color w:val="000000" w:themeColor="text1"/>
        </w:rPr>
        <w:t>is</w:t>
      </w:r>
      <w:r w:rsidRPr="008A20F9">
        <w:rPr>
          <w:color w:val="000000" w:themeColor="text1"/>
        </w:rPr>
        <w:t xml:space="preserve"> pavadzīmi</w:t>
      </w:r>
      <w:r>
        <w:rPr>
          <w:color w:val="000000" w:themeColor="text1"/>
        </w:rPr>
        <w:t>.</w:t>
      </w:r>
    </w:p>
    <w:bookmarkEnd w:id="5"/>
    <w:p w14:paraId="409535C7" w14:textId="4C2CA011" w:rsidR="00723DBB" w:rsidRDefault="00723DBB" w:rsidP="00F374F2">
      <w:pPr>
        <w:spacing w:after="0" w:line="276" w:lineRule="auto"/>
        <w:ind w:firstLine="720"/>
        <w:jc w:val="both"/>
        <w:rPr>
          <w:color w:val="000000" w:themeColor="text1"/>
        </w:rPr>
      </w:pPr>
      <w:r>
        <w:t xml:space="preserve">[4.4] Tiesa spriedumu pamatojusi ar liecinieku </w:t>
      </w:r>
      <w:r w:rsidR="00F374F2">
        <w:t>[pers. F]</w:t>
      </w:r>
      <w:r>
        <w:t xml:space="preserve"> un </w:t>
      </w:r>
      <w:r w:rsidR="00F374F2">
        <w:t>[pers. G]</w:t>
      </w:r>
      <w:r>
        <w:t xml:space="preserve"> liecībām, taču nav norādījusi, kā šo liecinieku liecībās norādītās ziņas attiecināmas uz izskatāmo lietu. Turklāt </w:t>
      </w:r>
      <w:r>
        <w:rPr>
          <w:color w:val="000000" w:themeColor="text1"/>
        </w:rPr>
        <w:t>t</w:t>
      </w:r>
      <w:r w:rsidRPr="00ED0204">
        <w:rPr>
          <w:color w:val="000000" w:themeColor="text1"/>
        </w:rPr>
        <w:t xml:space="preserve">iesa spriedumu pamatojusi ar </w:t>
      </w:r>
      <w:r>
        <w:rPr>
          <w:color w:val="000000" w:themeColor="text1"/>
        </w:rPr>
        <w:t xml:space="preserve">tādām </w:t>
      </w:r>
      <w:r w:rsidRPr="00ED0204">
        <w:rPr>
          <w:color w:val="000000" w:themeColor="text1"/>
        </w:rPr>
        <w:t xml:space="preserve">liecinieka </w:t>
      </w:r>
      <w:r w:rsidR="00691B77">
        <w:rPr>
          <w:color w:val="000000" w:themeColor="text1"/>
        </w:rPr>
        <w:t>[pers. H]</w:t>
      </w:r>
      <w:r w:rsidRPr="00ED0204">
        <w:rPr>
          <w:color w:val="000000" w:themeColor="text1"/>
        </w:rPr>
        <w:t xml:space="preserve"> liecībām, kādas minētais liecinieks nav sniedzis.</w:t>
      </w:r>
    </w:p>
    <w:p w14:paraId="373CE03F" w14:textId="0BF01C47" w:rsidR="00723DBB" w:rsidRDefault="00723DBB" w:rsidP="00723DBB">
      <w:pPr>
        <w:spacing w:after="0" w:line="276" w:lineRule="auto"/>
        <w:ind w:firstLine="720"/>
        <w:jc w:val="both"/>
      </w:pPr>
      <w:r>
        <w:t>T</w:t>
      </w:r>
      <w:r w:rsidRPr="00ED0204">
        <w:t xml:space="preserve">iesa nav </w:t>
      </w:r>
      <w:r>
        <w:t>ņēmusi vērā arī pirmās instances tiesas pārkāpumu, kura selektīvi izvērtējusi</w:t>
      </w:r>
      <w:r w:rsidRPr="00ED0204">
        <w:t xml:space="preserve"> liecinieka </w:t>
      </w:r>
      <w:r w:rsidR="0006351B">
        <w:t>[pers. I]</w:t>
      </w:r>
      <w:r w:rsidRPr="00ED0204">
        <w:t xml:space="preserve"> liecības</w:t>
      </w:r>
      <w:r>
        <w:t xml:space="preserve">. Tāpat tiesa </w:t>
      </w:r>
      <w:r w:rsidRPr="00ED0204">
        <w:t>nav izvērtē</w:t>
      </w:r>
      <w:r>
        <w:t>jusi</w:t>
      </w:r>
      <w:r w:rsidRPr="00ED0204">
        <w:t xml:space="preserve"> apelācijas sūdzības papildinājumos norādītās pretrunas minētā liecinieka</w:t>
      </w:r>
      <w:r>
        <w:t xml:space="preserve"> un</w:t>
      </w:r>
      <w:r w:rsidRPr="00ED0204">
        <w:t xml:space="preserve"> apsūdzēt</w:t>
      </w:r>
      <w:r>
        <w:t>o</w:t>
      </w:r>
      <w:r w:rsidRPr="00ED0204">
        <w:t xml:space="preserve"> </w:t>
      </w:r>
      <w:r w:rsidR="0006351B">
        <w:t>[pers. B]</w:t>
      </w:r>
      <w:r w:rsidRPr="00ED0204">
        <w:t xml:space="preserve"> un </w:t>
      </w:r>
      <w:r w:rsidR="0006351B">
        <w:t>[pers. C]</w:t>
      </w:r>
      <w:r w:rsidRPr="00ED0204">
        <w:t xml:space="preserve"> liecībās. </w:t>
      </w:r>
    </w:p>
    <w:p w14:paraId="35739945" w14:textId="3159BED7" w:rsidR="00723DBB" w:rsidRDefault="00723DBB" w:rsidP="00723DBB">
      <w:pPr>
        <w:spacing w:after="0" w:line="276" w:lineRule="auto"/>
        <w:ind w:firstLine="720"/>
        <w:jc w:val="both"/>
      </w:pPr>
      <w:bookmarkStart w:id="7" w:name="_Hlk204334833"/>
      <w:r w:rsidRPr="000E75F3">
        <w:t>[4.</w:t>
      </w:r>
      <w:r>
        <w:t>5</w:t>
      </w:r>
      <w:r w:rsidRPr="000E75F3">
        <w:t>] Tiesa nepamatoti norādījusi, ka apsūdzēto vainīgums ir pierādīts ar to, ka SIA </w:t>
      </w:r>
      <w:r>
        <w:t>„</w:t>
      </w:r>
      <w:r w:rsidR="0006351B">
        <w:t>[Nosaukums C]</w:t>
      </w:r>
      <w:r w:rsidRPr="000E75F3">
        <w:t xml:space="preserve">” nav </w:t>
      </w:r>
      <w:r>
        <w:t>ap</w:t>
      </w:r>
      <w:r w:rsidRPr="000E75F3">
        <w:t xml:space="preserve">maksājusi 2009. gada </w:t>
      </w:r>
      <w:r w:rsidR="0006351B">
        <w:t>[..]</w:t>
      </w:r>
      <w:r w:rsidRPr="000E75F3">
        <w:t xml:space="preserve"> rēķinu par auto pacēlāju un teritorijas nomu</w:t>
      </w:r>
      <w:r>
        <w:t>. Tiesa nav ņēmusi vērā, ka</w:t>
      </w:r>
      <w:r w:rsidRPr="000E75F3">
        <w:t xml:space="preserve"> SIA</w:t>
      </w:r>
      <w:r>
        <w:t> „</w:t>
      </w:r>
      <w:r w:rsidR="0006351B">
        <w:t>[Nosaukums C]</w:t>
      </w:r>
      <w:r w:rsidRPr="000E75F3">
        <w:t xml:space="preserve">” </w:t>
      </w:r>
      <w:r>
        <w:t xml:space="preserve">nebija pienākuma </w:t>
      </w:r>
      <w:r w:rsidRPr="000E75F3">
        <w:t>šo rēķinu</w:t>
      </w:r>
      <w:r>
        <w:t xml:space="preserve"> maksāt</w:t>
      </w:r>
      <w:r w:rsidRPr="000E75F3">
        <w:t>.</w:t>
      </w:r>
      <w:bookmarkEnd w:id="7"/>
    </w:p>
    <w:p w14:paraId="2ECBB160" w14:textId="77777777" w:rsidR="00723DBB" w:rsidRDefault="00723DBB" w:rsidP="00723DBB">
      <w:pPr>
        <w:spacing w:after="0" w:line="276" w:lineRule="auto"/>
        <w:ind w:firstLine="720"/>
        <w:jc w:val="both"/>
      </w:pPr>
      <w:bookmarkStart w:id="8" w:name="_Hlk204085392"/>
      <w:r>
        <w:t>[4.6] Tiesa nepareizi piemērojusi Krimināllikuma 195. panta pirmo daļu un 217. panta otro daļu, jo abu noziedzīgo nodarījumu aprakstos ir norādījusi vienas un tās pašas darbības.</w:t>
      </w:r>
    </w:p>
    <w:p w14:paraId="57608A63" w14:textId="6BE9C692" w:rsidR="00723DBB" w:rsidRDefault="00723DBB" w:rsidP="00723DBB">
      <w:pPr>
        <w:spacing w:after="0" w:line="276" w:lineRule="auto"/>
        <w:ind w:firstLine="720"/>
        <w:jc w:val="both"/>
      </w:pPr>
      <w:bookmarkStart w:id="9" w:name="_Hlk214185988"/>
      <w:bookmarkEnd w:id="8"/>
      <w:r>
        <w:t xml:space="preserve">[4.7] Nosakot apsūdzētajam </w:t>
      </w:r>
      <w:r w:rsidR="0006351B">
        <w:t>[pers. A]</w:t>
      </w:r>
      <w:r>
        <w:t xml:space="preserve"> soda veidu un mēru, tiesa nepareizi piemērojusi Krimināllikuma 46. panta otro un ceturto daļu, jo nav izvērtējusi inkriminēto noziedzīgo nodarījumu raksturu un radīto kaitējumu. Turklāt, nosakot sodu par mazāk smagiem noziegumiem, tiesa nav izvērtējusi, vai soda mērķis nav sasniedzams, nosakot kādu no attiecīgā panta sankcijā paredzētajiem vieglāka soda veidiem.</w:t>
      </w:r>
    </w:p>
    <w:p w14:paraId="2DA9E1FD" w14:textId="77777777" w:rsidR="00723DBB" w:rsidRDefault="00723DBB" w:rsidP="00723DBB">
      <w:pPr>
        <w:spacing w:after="0" w:line="276" w:lineRule="auto"/>
        <w:ind w:firstLine="720"/>
        <w:jc w:val="both"/>
      </w:pPr>
      <w:r>
        <w:t>[4.8] Tiesa konstatējusi apsūdzētā tiesību uz kriminālprocesa pabeigšanu saprātīgā termiņā pārkāpumu apelācijas instances tiesā, taču nav izvērtējusi apelācijas sūdzības argumentus, ka šāds pārkāpums pieļauts arī pirmstiesas procesā un pirmās instances tiesā.</w:t>
      </w:r>
    </w:p>
    <w:bookmarkEnd w:id="9"/>
    <w:p w14:paraId="694F8192" w14:textId="77777777" w:rsidR="00723DBB" w:rsidRDefault="00723DBB" w:rsidP="00723DBB">
      <w:pPr>
        <w:spacing w:after="0" w:line="276" w:lineRule="auto"/>
        <w:ind w:firstLine="720"/>
        <w:jc w:val="both"/>
      </w:pPr>
    </w:p>
    <w:p w14:paraId="2A2AB600" w14:textId="0ED6DD7C" w:rsidR="00723DBB" w:rsidRDefault="00723DBB" w:rsidP="00723DBB">
      <w:pPr>
        <w:spacing w:after="0" w:line="276" w:lineRule="auto"/>
        <w:ind w:firstLine="720"/>
        <w:jc w:val="both"/>
      </w:pPr>
      <w:r>
        <w:t xml:space="preserve">[5] Par </w:t>
      </w:r>
      <w:r w:rsidR="001D21D7">
        <w:t>[..]</w:t>
      </w:r>
      <w:r>
        <w:t xml:space="preserve"> apgabaltiesas 2024. gada </w:t>
      </w:r>
      <w:r w:rsidR="001D21D7">
        <w:t>[..]</w:t>
      </w:r>
      <w:r>
        <w:t xml:space="preserve"> spriedumu kasācijas sūdzību iesniedzis </w:t>
      </w:r>
      <w:bookmarkStart w:id="10" w:name="_Hlk204085463"/>
      <w:r>
        <w:t xml:space="preserve">apsūdzētā </w:t>
      </w:r>
      <w:bookmarkStart w:id="11" w:name="_Hlk202379408"/>
      <w:r w:rsidR="0006351B">
        <w:t>[pers. A]</w:t>
      </w:r>
      <w:r>
        <w:t xml:space="preserve"> aizstāvis V. Krams</w:t>
      </w:r>
      <w:bookmarkEnd w:id="10"/>
      <w:r>
        <w:t xml:space="preserve">, </w:t>
      </w:r>
      <w:bookmarkEnd w:id="11"/>
      <w:r>
        <w:t xml:space="preserve">lūdzot atcelt apelācijas instances tiesas spriedumu pilnībā un nosūtīt lietu jaunai izskatīšanai pirmās instances tiesā. </w:t>
      </w:r>
    </w:p>
    <w:p w14:paraId="4394F06C" w14:textId="77777777" w:rsidR="00723DBB" w:rsidRDefault="00723DBB" w:rsidP="00723DBB">
      <w:pPr>
        <w:spacing w:after="0" w:line="276" w:lineRule="auto"/>
        <w:ind w:firstLine="720"/>
        <w:jc w:val="both"/>
      </w:pPr>
      <w:r>
        <w:t>Aizstāvis uzskata, ka tiesa pieļāvusi Kriminālprocesa likuma 14. panta pirmās daļas, 19. panta otrās daļas, 27. panta pirmās daļas 5. punkta, 483. panta pirmās daļas, kā arī Krimināllikuma 177. panta trešās daļas, 195. panta pirmās daļas un 217. panta otrās daļas pārkāpumus.</w:t>
      </w:r>
    </w:p>
    <w:p w14:paraId="43D83195" w14:textId="77777777" w:rsidR="00723DBB" w:rsidRPr="00097323" w:rsidRDefault="00723DBB" w:rsidP="00723DBB">
      <w:pPr>
        <w:spacing w:after="0" w:line="276" w:lineRule="auto"/>
        <w:ind w:firstLine="720"/>
        <w:jc w:val="both"/>
        <w:rPr>
          <w:b/>
          <w:bCs/>
        </w:rPr>
      </w:pPr>
      <w:r w:rsidRPr="00561852">
        <w:rPr>
          <w:rFonts w:asciiTheme="majorBidi" w:hAnsiTheme="majorBidi" w:cstheme="majorBidi"/>
          <w:shd w:val="clear" w:color="auto" w:fill="FFFFFF"/>
          <w:lang w:eastAsia="lv-LV"/>
        </w:rPr>
        <w:t>Kasācijas sūdzība pamatota ar šādiem argumentiem.</w:t>
      </w:r>
    </w:p>
    <w:p w14:paraId="57F2EC81" w14:textId="0E285865" w:rsidR="00723DBB" w:rsidRDefault="00723DBB" w:rsidP="00723DBB">
      <w:pPr>
        <w:spacing w:after="0" w:line="276" w:lineRule="auto"/>
        <w:ind w:firstLine="720"/>
        <w:jc w:val="both"/>
      </w:pPr>
      <w:r>
        <w:t xml:space="preserve">[5.1] Lietā nav </w:t>
      </w:r>
      <w:r w:rsidRPr="00FE0477">
        <w:t>vairāku</w:t>
      </w:r>
      <w:r>
        <w:t xml:space="preserve"> pirmās instances tiesas sēžu skaņu ierakstu, lai gan pirmo reizi tiesas sēde skaņu ierakstā fiksēta 2015. gada </w:t>
      </w:r>
      <w:r w:rsidR="001D21D7">
        <w:t>[..]</w:t>
      </w:r>
      <w:r>
        <w:t xml:space="preserve">, kas apstiprina to, ka kopš šīs dienas </w:t>
      </w:r>
      <w:r>
        <w:lastRenderedPageBreak/>
        <w:t xml:space="preserve">tiesai ir bija pieejams nepieciešamais tehniskais nodrošinājums tiesas sēžu fiksēšanai ar tehniskiem līdzekļiem. </w:t>
      </w:r>
    </w:p>
    <w:p w14:paraId="1D6806BA" w14:textId="204CFFA8" w:rsidR="00723DBB" w:rsidRDefault="00723DBB" w:rsidP="005363B2">
      <w:pPr>
        <w:spacing w:after="0" w:line="276" w:lineRule="auto"/>
        <w:ind w:firstLine="720"/>
        <w:jc w:val="both"/>
      </w:pPr>
      <w:r>
        <w:t xml:space="preserve">Lietas materiāliem pievienots 2017. gada </w:t>
      </w:r>
      <w:r w:rsidR="005363B2">
        <w:t>[..]</w:t>
      </w:r>
      <w:r>
        <w:t xml:space="preserve"> tiesas sēdes protokols, kurā fiksēta liecinieku </w:t>
      </w:r>
      <w:r w:rsidR="005363B2">
        <w:t>[pers. I]</w:t>
      </w:r>
      <w:r>
        <w:t xml:space="preserve">, </w:t>
      </w:r>
      <w:r w:rsidR="005363B2">
        <w:t>[pers. E]</w:t>
      </w:r>
      <w:r>
        <w:t xml:space="preserve"> un </w:t>
      </w:r>
      <w:r w:rsidR="005363B2">
        <w:t>[pers. J]</w:t>
      </w:r>
      <w:r>
        <w:t xml:space="preserve"> liecību nolasīšana, kā arī cietušā</w:t>
      </w:r>
      <w:r w:rsidR="005363B2">
        <w:t xml:space="preserve"> [pers. D]</w:t>
      </w:r>
      <w:r>
        <w:t xml:space="preserve"> pratināšana, taču tajā nav norādes, kāpēc tiesas sēde netiek fiksēta ar tehniskiem līdzekļiem, lai gan likums to noteica kā obligātu. Šajā </w:t>
      </w:r>
      <w:r w:rsidRPr="00F9544D">
        <w:t>tiesas sēdē bija nepiecieša</w:t>
      </w:r>
      <w:r>
        <w:t>ms</w:t>
      </w:r>
      <w:r w:rsidRPr="00F9544D">
        <w:t xml:space="preserve"> pēc iespējas pilnīgāk fiksēt personu liecības, procesa dalībnieku viedokļus un paskaidrojumus par liecību nolasīšanu</w:t>
      </w:r>
      <w:r>
        <w:t>.</w:t>
      </w:r>
    </w:p>
    <w:p w14:paraId="3AD6DCB2" w14:textId="77777777" w:rsidR="00723DBB" w:rsidRDefault="00723DBB" w:rsidP="00723DBB">
      <w:pPr>
        <w:spacing w:after="0" w:line="276" w:lineRule="auto"/>
        <w:ind w:firstLine="720"/>
        <w:jc w:val="both"/>
        <w:rPr>
          <w:shd w:val="clear" w:color="auto" w:fill="FFFFFF"/>
        </w:rPr>
      </w:pPr>
      <w:r>
        <w:rPr>
          <w:shd w:val="clear" w:color="auto" w:fill="FFFFFF"/>
        </w:rPr>
        <w:t xml:space="preserve">Līdz ar to zemāko instanču tiesas ir pieļāvušas </w:t>
      </w:r>
      <w:r w:rsidRPr="00D11FE4">
        <w:t>Kriminālprocesa likuma būtisku pārkāpumu, kas katrā ziņā izraisa tiesas nolēmuma atcelšanu,</w:t>
      </w:r>
      <w:r>
        <w:t xml:space="preserve"> proti, </w:t>
      </w:r>
      <w:r w:rsidRPr="00D11FE4">
        <w:rPr>
          <w:shd w:val="clear" w:color="auto" w:fill="FFFFFF"/>
        </w:rPr>
        <w:t xml:space="preserve">lietā nav tiesas sēdes protokola, </w:t>
      </w:r>
      <w:r>
        <w:rPr>
          <w:shd w:val="clear" w:color="auto" w:fill="FFFFFF"/>
        </w:rPr>
        <w:t>kad</w:t>
      </w:r>
      <w:r w:rsidRPr="00D11FE4">
        <w:rPr>
          <w:shd w:val="clear" w:color="auto" w:fill="FFFFFF"/>
        </w:rPr>
        <w:t xml:space="preserve"> tas ir obligāts</w:t>
      </w:r>
      <w:r>
        <w:rPr>
          <w:shd w:val="clear" w:color="auto" w:fill="FFFFFF"/>
        </w:rPr>
        <w:t xml:space="preserve"> (</w:t>
      </w:r>
      <w:r w:rsidRPr="00D11FE4">
        <w:t>K</w:t>
      </w:r>
      <w:r>
        <w:t xml:space="preserve">riminālprocesa likuma </w:t>
      </w:r>
      <w:r w:rsidRPr="00D11FE4">
        <w:t>575.</w:t>
      </w:r>
      <w:r>
        <w:t> </w:t>
      </w:r>
      <w:r w:rsidRPr="00D11FE4">
        <w:t>panta</w:t>
      </w:r>
      <w:r>
        <w:t xml:space="preserve"> pirmās daļas</w:t>
      </w:r>
      <w:r w:rsidRPr="00D11FE4">
        <w:t xml:space="preserve"> </w:t>
      </w:r>
      <w:r w:rsidRPr="00D11FE4">
        <w:rPr>
          <w:shd w:val="clear" w:color="auto" w:fill="FFFFFF"/>
        </w:rPr>
        <w:t>6.</w:t>
      </w:r>
      <w:r>
        <w:rPr>
          <w:shd w:val="clear" w:color="auto" w:fill="FFFFFF"/>
        </w:rPr>
        <w:t> </w:t>
      </w:r>
      <w:r w:rsidRPr="00D11FE4">
        <w:rPr>
          <w:shd w:val="clear" w:color="auto" w:fill="FFFFFF"/>
        </w:rPr>
        <w:t>punkt</w:t>
      </w:r>
      <w:r>
        <w:rPr>
          <w:shd w:val="clear" w:color="auto" w:fill="FFFFFF"/>
        </w:rPr>
        <w:t xml:space="preserve">s). </w:t>
      </w:r>
    </w:p>
    <w:p w14:paraId="053968DA" w14:textId="4B558CFE" w:rsidR="00390661" w:rsidRDefault="00390661" w:rsidP="00390661">
      <w:pPr>
        <w:spacing w:after="0" w:line="276" w:lineRule="auto"/>
        <w:ind w:firstLine="720"/>
        <w:jc w:val="both"/>
      </w:pPr>
      <w:r>
        <w:t xml:space="preserve">[5.2] Noraidot </w:t>
      </w:r>
      <w:r w:rsidR="006A72C3">
        <w:t>[pers. A]</w:t>
      </w:r>
      <w:r>
        <w:t xml:space="preserve"> lūgumus, </w:t>
      </w:r>
      <w:r w:rsidR="00607F59">
        <w:t xml:space="preserve">apelācijas instances </w:t>
      </w:r>
      <w:r>
        <w:t>tiesa pieļāvusi Kriminālprocesa likuma 27. panta pirmās daļas 5. punkta pārkāpum</w:t>
      </w:r>
      <w:r w:rsidR="00D04E56">
        <w:t>u</w:t>
      </w:r>
      <w:r>
        <w:t xml:space="preserve">. </w:t>
      </w:r>
    </w:p>
    <w:p w14:paraId="4D41280C" w14:textId="48A17D77" w:rsidR="00390661" w:rsidRDefault="00412C5E" w:rsidP="00390661">
      <w:pPr>
        <w:spacing w:after="0" w:line="276" w:lineRule="auto"/>
        <w:ind w:firstLine="720"/>
        <w:jc w:val="both"/>
        <w:rPr>
          <w:shd w:val="clear" w:color="auto" w:fill="FFFFFF"/>
        </w:rPr>
      </w:pPr>
      <w:r>
        <w:t>T</w:t>
      </w:r>
      <w:r w:rsidR="00390661">
        <w:t xml:space="preserve">iesa nepamatoti ierobežojusi apsūdzētā </w:t>
      </w:r>
      <w:r w:rsidR="006A72C3">
        <w:t>[pers. A]</w:t>
      </w:r>
      <w:r w:rsidR="00390661">
        <w:t xml:space="preserve"> tiesības uz aizstāvību, jo nav </w:t>
      </w:r>
      <w:r w:rsidR="00D04E56">
        <w:t>no</w:t>
      </w:r>
      <w:r w:rsidR="00390661">
        <w:t xml:space="preserve">pratinājusi liecinieku </w:t>
      </w:r>
      <w:r w:rsidR="006A72C3">
        <w:t>[pers. K]</w:t>
      </w:r>
      <w:r w:rsidR="00390661">
        <w:t xml:space="preserve">, kura </w:t>
      </w:r>
      <w:proofErr w:type="spellStart"/>
      <w:r w:rsidR="00CB1228">
        <w:t>pirmstiesas</w:t>
      </w:r>
      <w:proofErr w:type="spellEnd"/>
      <w:r w:rsidR="00CB1228">
        <w:t xml:space="preserve"> kriminālprocesā sniegtā </w:t>
      </w:r>
      <w:r w:rsidR="00390661">
        <w:t xml:space="preserve">liecība apstiprina, ka </w:t>
      </w:r>
      <w:r w:rsidR="006A72C3">
        <w:t>[pers. A]</w:t>
      </w:r>
      <w:r w:rsidR="00390661">
        <w:t xml:space="preserve"> nav personu grupā pēc iepriekšējas vienošanās ar </w:t>
      </w:r>
      <w:r w:rsidR="006A72C3">
        <w:t>[pers. C]</w:t>
      </w:r>
      <w:r w:rsidR="00390661">
        <w:t xml:space="preserve"> un </w:t>
      </w:r>
      <w:r w:rsidR="006A72C3">
        <w:t>[pers. B]</w:t>
      </w:r>
      <w:r w:rsidR="00390661">
        <w:t xml:space="preserve"> izkrāpis akmeņogles no SIA</w:t>
      </w:r>
      <w:r w:rsidR="00396BCC">
        <w:t> </w:t>
      </w:r>
      <w:r w:rsidR="00390661">
        <w:t>„</w:t>
      </w:r>
      <w:r w:rsidR="006A72C3">
        <w:t>[Nosaukums A]</w:t>
      </w:r>
      <w:r w:rsidR="00390661">
        <w:t>”.</w:t>
      </w:r>
    </w:p>
    <w:bookmarkEnd w:id="0"/>
    <w:p w14:paraId="029D0534" w14:textId="7226E6BB" w:rsidR="00563C0B" w:rsidRDefault="00406CA2" w:rsidP="005004E0">
      <w:pPr>
        <w:spacing w:after="0" w:line="276" w:lineRule="auto"/>
        <w:ind w:firstLine="720"/>
        <w:jc w:val="both"/>
      </w:pPr>
      <w:r>
        <w:t>[5.</w:t>
      </w:r>
      <w:r w:rsidR="00390661">
        <w:t>3</w:t>
      </w:r>
      <w:r>
        <w:t>] T</w:t>
      </w:r>
      <w:r w:rsidR="00112A53">
        <w:t xml:space="preserve">iesa </w:t>
      </w:r>
      <w:r w:rsidR="006A72C3">
        <w:t>[pers. A]</w:t>
      </w:r>
      <w:r w:rsidR="005004E0">
        <w:t xml:space="preserve"> darbībās </w:t>
      </w:r>
      <w:r w:rsidR="002E308E">
        <w:t xml:space="preserve">nepamatoti </w:t>
      </w:r>
      <w:r w:rsidR="005004E0">
        <w:t xml:space="preserve">konstatējusi </w:t>
      </w:r>
      <w:r w:rsidR="00112A53">
        <w:t>Krimināllikuma 177.</w:t>
      </w:r>
      <w:r>
        <w:t> </w:t>
      </w:r>
      <w:r w:rsidR="00112A53">
        <w:t>panta treš</w:t>
      </w:r>
      <w:r w:rsidR="005004E0">
        <w:t>ajā</w:t>
      </w:r>
      <w:r w:rsidR="00112A53">
        <w:t xml:space="preserve"> daļ</w:t>
      </w:r>
      <w:r w:rsidR="005004E0">
        <w:t>ā paredzētā noziedzīgā nodarījuma sastāvu</w:t>
      </w:r>
      <w:r w:rsidR="002E308E">
        <w:t>, jo</w:t>
      </w:r>
      <w:r w:rsidR="00701B09">
        <w:t>:</w:t>
      </w:r>
    </w:p>
    <w:p w14:paraId="483667C6" w14:textId="258D9F7B" w:rsidR="00563C0B" w:rsidRDefault="006A72C3" w:rsidP="007F2BF8">
      <w:pPr>
        <w:pStyle w:val="ListParagraph"/>
        <w:numPr>
          <w:ilvl w:val="0"/>
          <w:numId w:val="25"/>
        </w:numPr>
        <w:spacing w:after="0" w:line="276" w:lineRule="auto"/>
        <w:jc w:val="both"/>
      </w:pPr>
      <w:r>
        <w:t>[pers. A]</w:t>
      </w:r>
      <w:r w:rsidR="00112A53">
        <w:t xml:space="preserve"> piedalīšanās krāpšanā nav pierādīta</w:t>
      </w:r>
      <w:r w:rsidR="002E308E">
        <w:t xml:space="preserve"> – viņš </w:t>
      </w:r>
      <w:r w:rsidR="003F6555">
        <w:t xml:space="preserve">neapzinājās, ka apsūdzētie </w:t>
      </w:r>
      <w:r>
        <w:t xml:space="preserve">[pers. C] </w:t>
      </w:r>
      <w:r w:rsidR="003F6555">
        <w:t xml:space="preserve">un </w:t>
      </w:r>
      <w:r>
        <w:t>[pers. B]</w:t>
      </w:r>
      <w:r w:rsidR="003F6555">
        <w:t xml:space="preserve"> izdara noziedzīgu nodarījumu pret SIA </w:t>
      </w:r>
      <w:r w:rsidR="00082756">
        <w:t>„</w:t>
      </w:r>
      <w:r>
        <w:t>[Nosaukums A]</w:t>
      </w:r>
      <w:r w:rsidR="003F6555">
        <w:t xml:space="preserve">”; </w:t>
      </w:r>
      <w:r w:rsidR="00112A53">
        <w:t xml:space="preserve"> </w:t>
      </w:r>
    </w:p>
    <w:p w14:paraId="28665D8F" w14:textId="5B5F48E3" w:rsidR="00701B09" w:rsidRDefault="006A72C3" w:rsidP="007F2BF8">
      <w:pPr>
        <w:pStyle w:val="ListParagraph"/>
        <w:numPr>
          <w:ilvl w:val="0"/>
          <w:numId w:val="25"/>
        </w:numPr>
        <w:spacing w:after="0" w:line="276" w:lineRule="auto"/>
        <w:jc w:val="both"/>
      </w:pPr>
      <w:bookmarkStart w:id="12" w:name="_Hlk204085424"/>
      <w:r>
        <w:t>[pers. A]</w:t>
      </w:r>
      <w:r w:rsidR="00112A53">
        <w:t xml:space="preserve"> nav šī noziedzīgā nodarījuma izdarītāj</w:t>
      </w:r>
      <w:r w:rsidR="00C37CF0">
        <w:t>s</w:t>
      </w:r>
      <w:r w:rsidR="00112A53">
        <w:t>, jo nav izmantojis SIA</w:t>
      </w:r>
      <w:r w:rsidR="00390661">
        <w:t> </w:t>
      </w:r>
      <w:r w:rsidR="00082756">
        <w:t>„</w:t>
      </w:r>
      <w:r>
        <w:t>[Nosaukums A]</w:t>
      </w:r>
      <w:r w:rsidR="00112A53">
        <w:t>” darbinieku uzticēšanos vai pielietojis viltu</w:t>
      </w:r>
      <w:r w:rsidR="00D04E56">
        <w:t xml:space="preserve">; krāpšanas izdarīšanai </w:t>
      </w:r>
      <w:r w:rsidR="00112A53">
        <w:t>nav</w:t>
      </w:r>
      <w:r w:rsidR="00D04E56">
        <w:t xml:space="preserve"> </w:t>
      </w:r>
      <w:r w:rsidR="00112A53">
        <w:t>izmantojis</w:t>
      </w:r>
      <w:r w:rsidR="00D04E56">
        <w:t xml:space="preserve"> arī</w:t>
      </w:r>
      <w:r w:rsidR="00112A53">
        <w:t xml:space="preserve"> citas personas</w:t>
      </w:r>
      <w:r w:rsidR="00701B09">
        <w:t>;</w:t>
      </w:r>
    </w:p>
    <w:p w14:paraId="6B1F32E3" w14:textId="26568FDA" w:rsidR="00563C0B" w:rsidRPr="00701B09" w:rsidRDefault="00701B09" w:rsidP="007F2BF8">
      <w:pPr>
        <w:pStyle w:val="ListParagraph"/>
        <w:numPr>
          <w:ilvl w:val="0"/>
          <w:numId w:val="25"/>
        </w:numPr>
        <w:spacing w:after="0" w:line="276" w:lineRule="auto"/>
        <w:jc w:val="both"/>
        <w:rPr>
          <w:color w:val="000000" w:themeColor="text1"/>
        </w:rPr>
      </w:pPr>
      <w:r w:rsidRPr="002B7239">
        <w:rPr>
          <w:color w:val="000000" w:themeColor="text1"/>
        </w:rPr>
        <w:t>nav novērstas šaubas par apsūdzībā norādīto izkrāpto akmeņogļu daudzumu un vērtību</w:t>
      </w:r>
      <w:r>
        <w:rPr>
          <w:color w:val="000000" w:themeColor="text1"/>
        </w:rPr>
        <w:t>.</w:t>
      </w:r>
      <w:r w:rsidR="00112A53">
        <w:t xml:space="preserve"> </w:t>
      </w:r>
    </w:p>
    <w:bookmarkEnd w:id="12"/>
    <w:p w14:paraId="66025971" w14:textId="5D5CF251" w:rsidR="00406CA2" w:rsidRDefault="00406CA2" w:rsidP="00406CA2">
      <w:pPr>
        <w:spacing w:after="0" w:line="276" w:lineRule="auto"/>
        <w:ind w:firstLine="720"/>
        <w:jc w:val="both"/>
      </w:pPr>
      <w:r>
        <w:t>[5.</w:t>
      </w:r>
      <w:r w:rsidR="002E308E">
        <w:t>4</w:t>
      </w:r>
      <w:r>
        <w:t>]</w:t>
      </w:r>
      <w:r w:rsidR="00112A53">
        <w:t xml:space="preserve"> </w:t>
      </w:r>
      <w:r w:rsidR="006A72C3">
        <w:t>[Pers. A]</w:t>
      </w:r>
      <w:r w:rsidR="00112A53">
        <w:t xml:space="preserve"> darbībās nav Krimināllikuma 217.</w:t>
      </w:r>
      <w:r>
        <w:t> </w:t>
      </w:r>
      <w:r w:rsidR="00112A53">
        <w:t>panta otrajā daļā</w:t>
      </w:r>
      <w:r>
        <w:t xml:space="preserve"> </w:t>
      </w:r>
      <w:r w:rsidRPr="00406CA2">
        <w:rPr>
          <w:color w:val="000000" w:themeColor="text1"/>
        </w:rPr>
        <w:t>paredzētā noziedzīgā nodarījuma sastāva</w:t>
      </w:r>
      <w:r w:rsidR="00112A53" w:rsidRPr="00406CA2">
        <w:rPr>
          <w:color w:val="000000" w:themeColor="text1"/>
        </w:rPr>
        <w:t xml:space="preserve">, </w:t>
      </w:r>
      <w:r w:rsidR="00112A53">
        <w:t>jo lietā nav pierādījumu, ka</w:t>
      </w:r>
      <w:r w:rsidR="00866FED">
        <w:t xml:space="preserve"> viņš</w:t>
      </w:r>
      <w:r w:rsidR="00D04E56">
        <w:t>: 1)</w:t>
      </w:r>
      <w:r w:rsidR="00112A53">
        <w:t xml:space="preserve"> </w:t>
      </w:r>
      <w:r w:rsidR="004D3574">
        <w:t xml:space="preserve">būtu </w:t>
      </w:r>
      <w:r w:rsidR="00112A53">
        <w:t>viltojis vai devis norādījumus kādam viltot SIA</w:t>
      </w:r>
      <w:r w:rsidR="00396BCC">
        <w:t> </w:t>
      </w:r>
      <w:r w:rsidR="00A55549">
        <w:t>„</w:t>
      </w:r>
      <w:r w:rsidR="006A72C3">
        <w:t>[Nosaukums B]</w:t>
      </w:r>
      <w:r w:rsidR="00016904">
        <w:t xml:space="preserve">” </w:t>
      </w:r>
      <w:r w:rsidR="00112A53">
        <w:t>pavadzīmi</w:t>
      </w:r>
      <w:r w:rsidR="00A55549">
        <w:t>;</w:t>
      </w:r>
      <w:r w:rsidR="00112A53">
        <w:t xml:space="preserve"> </w:t>
      </w:r>
      <w:r w:rsidR="00D04E56">
        <w:t xml:space="preserve">2) būtu </w:t>
      </w:r>
      <w:r w:rsidR="00112A53">
        <w:t>zinājis, ka šī pavadzīme ir viltota</w:t>
      </w:r>
      <w:r>
        <w:t>.</w:t>
      </w:r>
    </w:p>
    <w:p w14:paraId="2DC01CA7" w14:textId="0FF36383" w:rsidR="00701B09" w:rsidRDefault="00701B09" w:rsidP="00701B09">
      <w:pPr>
        <w:spacing w:after="0" w:line="276" w:lineRule="auto"/>
        <w:ind w:firstLine="720"/>
        <w:jc w:val="both"/>
      </w:pPr>
      <w:r>
        <w:t>[5.</w:t>
      </w:r>
      <w:r w:rsidR="00390661">
        <w:t>5</w:t>
      </w:r>
      <w:r>
        <w:t xml:space="preserve">] Apsūdzētā </w:t>
      </w:r>
      <w:r w:rsidR="006A72C3">
        <w:t>[pers. A]</w:t>
      </w:r>
      <w:r>
        <w:t xml:space="preserve"> darbības nepamatoti kvalificētas pēc Krimināllikuma 195. panta pirmās daļas, jo lietā nav pierādīts, ka </w:t>
      </w:r>
      <w:r w:rsidR="00C37CF0">
        <w:t>SIA</w:t>
      </w:r>
      <w:r w:rsidR="00396BCC">
        <w:t> </w:t>
      </w:r>
      <w:r w:rsidR="00A55549">
        <w:t>„</w:t>
      </w:r>
      <w:r w:rsidR="006A72C3">
        <w:t>[Nosaukums B]</w:t>
      </w:r>
      <w:r w:rsidR="00016904">
        <w:t>”</w:t>
      </w:r>
      <w:r w:rsidR="00C37CF0">
        <w:t xml:space="preserve"> </w:t>
      </w:r>
      <w:r>
        <w:t xml:space="preserve">pavadzīmes izgatavošanas vai ogļu piegādes laikā </w:t>
      </w:r>
      <w:r w:rsidR="00C37CF0">
        <w:t>viņš</w:t>
      </w:r>
      <w:r>
        <w:t xml:space="preserve"> būtu zinājis, ka akmeņogles iegūtas krāpšanas ceļā.</w:t>
      </w:r>
    </w:p>
    <w:p w14:paraId="263B7F3E" w14:textId="1C24DC0E" w:rsidR="00112A53" w:rsidRDefault="0099547C" w:rsidP="0099547C">
      <w:pPr>
        <w:spacing w:after="0" w:line="276" w:lineRule="auto"/>
        <w:ind w:firstLine="720"/>
        <w:jc w:val="both"/>
      </w:pPr>
      <w:bookmarkStart w:id="13" w:name="_Hlk214186037"/>
      <w:r>
        <w:t>[5.</w:t>
      </w:r>
      <w:r w:rsidR="002B7239">
        <w:t>6</w:t>
      </w:r>
      <w:r>
        <w:t>]</w:t>
      </w:r>
      <w:r w:rsidR="00112A53">
        <w:t xml:space="preserve"> </w:t>
      </w:r>
      <w:r>
        <w:t>A</w:t>
      </w:r>
      <w:r w:rsidR="00112A53">
        <w:t xml:space="preserve">pelācijas instances tiesa nav pienācīgi pamatojusi, kādēļ, konstatējot </w:t>
      </w:r>
      <w:r w:rsidR="00D04E56">
        <w:t xml:space="preserve">apsūdzētā </w:t>
      </w:r>
      <w:r w:rsidR="006A72C3">
        <w:t>[pers. A]</w:t>
      </w:r>
      <w:r w:rsidR="00112A53">
        <w:t xml:space="preserve"> tiesību uz kriminālprocesa pabeigšanu saprātīgā termiņā</w:t>
      </w:r>
      <w:r>
        <w:t xml:space="preserve"> pārkāpumu</w:t>
      </w:r>
      <w:r w:rsidR="00112A53">
        <w:t xml:space="preserve">, </w:t>
      </w:r>
      <w:r w:rsidR="004D3574">
        <w:t>tā</w:t>
      </w:r>
      <w:r w:rsidR="00112A53">
        <w:t xml:space="preserve"> piemērojusi </w:t>
      </w:r>
      <w:r w:rsidR="00D04E56">
        <w:t xml:space="preserve">viņam </w:t>
      </w:r>
      <w:r w:rsidR="00112A53">
        <w:t>vi</w:t>
      </w:r>
      <w:r w:rsidR="00D04E56">
        <w:t xml:space="preserve">smazāk labvēlīgo </w:t>
      </w:r>
      <w:r w:rsidR="00112A53">
        <w:t>šī pārkāpuma kompensēšanas veid</w:t>
      </w:r>
      <w:r w:rsidR="00D04E56">
        <w:t>u</w:t>
      </w:r>
      <w:r w:rsidR="00112A53">
        <w:t xml:space="preserve"> – Krimināllikuma 49.</w:t>
      </w:r>
      <w:r w:rsidR="00112A53" w:rsidRPr="0099547C">
        <w:rPr>
          <w:vertAlign w:val="superscript"/>
        </w:rPr>
        <w:t>1</w:t>
      </w:r>
      <w:r w:rsidR="00D7754B">
        <w:t> </w:t>
      </w:r>
      <w:r w:rsidR="00112A53">
        <w:t>panta pirmās daļas 1.</w:t>
      </w:r>
      <w:r>
        <w:t> </w:t>
      </w:r>
      <w:r w:rsidR="00112A53">
        <w:t xml:space="preserve">punkta nosacījumu –, </w:t>
      </w:r>
      <w:r>
        <w:t>neņemot vērā, ka</w:t>
      </w:r>
      <w:r w:rsidR="00112A53">
        <w:t xml:space="preserve"> kriminālprocess ilgst 15 gadus, turklāt </w:t>
      </w:r>
      <w:r w:rsidR="006A72C3">
        <w:t xml:space="preserve">[pers. A] </w:t>
      </w:r>
      <w:r w:rsidR="00112A53">
        <w:t>ilgstoši piemēroti drošības līdzekļi – uzturēšanās noteiktā vietā un aizliegums tuvoties noteiktai personai.</w:t>
      </w:r>
    </w:p>
    <w:bookmarkEnd w:id="13"/>
    <w:p w14:paraId="538D37A0" w14:textId="77777777" w:rsidR="00112A53" w:rsidRDefault="00112A53" w:rsidP="00112A53">
      <w:pPr>
        <w:spacing w:after="0" w:line="276" w:lineRule="auto"/>
        <w:ind w:firstLine="720"/>
      </w:pPr>
    </w:p>
    <w:p w14:paraId="06E26B9B" w14:textId="666EF420" w:rsidR="0099547C" w:rsidRDefault="0099547C" w:rsidP="00D44A84">
      <w:pPr>
        <w:spacing w:after="0" w:line="276" w:lineRule="auto"/>
        <w:ind w:firstLine="720"/>
        <w:jc w:val="both"/>
      </w:pPr>
      <w:r>
        <w:t xml:space="preserve">[6] Par </w:t>
      </w:r>
      <w:r w:rsidR="006A72C3">
        <w:t>[..]</w:t>
      </w:r>
      <w:r>
        <w:t xml:space="preserve"> apgabaltiesas 2024. gada </w:t>
      </w:r>
      <w:r w:rsidR="006A72C3">
        <w:t>[..]</w:t>
      </w:r>
      <w:r>
        <w:t xml:space="preserve"> spriedumu kasācijas sūdzību iesniedzis a</w:t>
      </w:r>
      <w:r w:rsidR="00112A53">
        <w:t xml:space="preserve">psūdzētais </w:t>
      </w:r>
      <w:r w:rsidR="006A72C3">
        <w:t>[pers. B]</w:t>
      </w:r>
      <w:r>
        <w:t>, lūdz</w:t>
      </w:r>
      <w:r w:rsidR="00D44A84">
        <w:t>ot</w:t>
      </w:r>
      <w:r>
        <w:t xml:space="preserve"> atcelt</w:t>
      </w:r>
      <w:r w:rsidR="00112A53">
        <w:t xml:space="preserve"> abu instanču tiesu nolēmumus pilnībā un nosūtīt lietu jaunai izskatīšanai</w:t>
      </w:r>
      <w:r w:rsidR="00453E10">
        <w:t xml:space="preserve"> pirmās instances tiesā</w:t>
      </w:r>
      <w:r w:rsidR="00D44A84">
        <w:t>, jo</w:t>
      </w:r>
      <w:r w:rsidR="00453E10">
        <w:t xml:space="preserve"> </w:t>
      </w:r>
      <w:r w:rsidR="00394DD6">
        <w:t>tiesa pieļāvu</w:t>
      </w:r>
      <w:r w:rsidR="003B7A9D">
        <w:t>si</w:t>
      </w:r>
      <w:r w:rsidR="00394DD6">
        <w:t xml:space="preserve"> Kriminālprocesa likuma 19., </w:t>
      </w:r>
      <w:r w:rsidR="00453E10">
        <w:t xml:space="preserve">86., </w:t>
      </w:r>
      <w:r w:rsidR="00390661">
        <w:t xml:space="preserve">130., </w:t>
      </w:r>
      <w:r w:rsidR="00453E10">
        <w:t>138.,</w:t>
      </w:r>
      <w:r w:rsidR="00390661">
        <w:t xml:space="preserve"> </w:t>
      </w:r>
      <w:r w:rsidR="00453E10">
        <w:t xml:space="preserve">272., </w:t>
      </w:r>
      <w:r w:rsidR="00394DD6">
        <w:t>512.</w:t>
      </w:r>
      <w:r w:rsidR="00453E10">
        <w:t>,</w:t>
      </w:r>
      <w:r w:rsidR="00394DD6">
        <w:t xml:space="preserve"> 513.</w:t>
      </w:r>
      <w:r w:rsidR="00390661">
        <w:t xml:space="preserve"> un</w:t>
      </w:r>
      <w:r w:rsidR="00453E10">
        <w:t xml:space="preserve"> 575.</w:t>
      </w:r>
      <w:r w:rsidR="00394DD6">
        <w:t> panta</w:t>
      </w:r>
      <w:r w:rsidR="00453E10">
        <w:t xml:space="preserve">, </w:t>
      </w:r>
      <w:r w:rsidR="00390661">
        <w:t>kā arī</w:t>
      </w:r>
      <w:r w:rsidR="00EE6537">
        <w:t xml:space="preserve"> </w:t>
      </w:r>
      <w:r w:rsidR="00453E10">
        <w:t>Krimināllikuma 49</w:t>
      </w:r>
      <w:r w:rsidR="00453E10" w:rsidRPr="00453E10">
        <w:rPr>
          <w:vertAlign w:val="superscript"/>
        </w:rPr>
        <w:t>1</w:t>
      </w:r>
      <w:r w:rsidR="00EE6537">
        <w:t xml:space="preserve">. un </w:t>
      </w:r>
      <w:r w:rsidR="00453E10">
        <w:t>52.</w:t>
      </w:r>
      <w:r w:rsidR="00EE6537">
        <w:t> panta</w:t>
      </w:r>
      <w:r w:rsidR="00394DD6">
        <w:t xml:space="preserve"> pārkāpumus.</w:t>
      </w:r>
    </w:p>
    <w:p w14:paraId="4C023B19" w14:textId="77777777" w:rsidR="00D44A84" w:rsidRPr="00AE4D63" w:rsidRDefault="00D44A84" w:rsidP="00D44A84">
      <w:pPr>
        <w:spacing w:after="0" w:line="276" w:lineRule="auto"/>
        <w:ind w:firstLine="720"/>
        <w:jc w:val="both"/>
        <w:rPr>
          <w:b/>
          <w:bCs/>
        </w:rPr>
      </w:pPr>
      <w:r w:rsidRPr="00AE4D63">
        <w:rPr>
          <w:rFonts w:asciiTheme="majorBidi" w:hAnsiTheme="majorBidi" w:cstheme="majorBidi"/>
          <w:shd w:val="clear" w:color="auto" w:fill="FFFFFF"/>
          <w:lang w:eastAsia="lv-LV"/>
        </w:rPr>
        <w:lastRenderedPageBreak/>
        <w:t>Kasācijas sūdzība pamatota ar šādiem argumentiem.</w:t>
      </w:r>
    </w:p>
    <w:p w14:paraId="5D9362F9" w14:textId="51C83735" w:rsidR="004871D8" w:rsidRPr="003B7A9D" w:rsidRDefault="00981F68" w:rsidP="00453E10">
      <w:pPr>
        <w:spacing w:after="0" w:line="276" w:lineRule="auto"/>
        <w:ind w:firstLine="720"/>
        <w:jc w:val="both"/>
      </w:pPr>
      <w:bookmarkStart w:id="14" w:name="_Hlk204089401"/>
      <w:r w:rsidRPr="00AE4D63">
        <w:t>[6.</w:t>
      </w:r>
      <w:r w:rsidR="00D04E56" w:rsidRPr="00AE4D63">
        <w:t>1</w:t>
      </w:r>
      <w:r w:rsidRPr="00AE4D63">
        <w:t xml:space="preserve">] </w:t>
      </w:r>
      <w:r w:rsidR="004871D8" w:rsidRPr="003B7A9D">
        <w:t>Apelācijas instances tiesa nepamatoti nav konstatējusi šādus pirmās instances tiesas pieļautos</w:t>
      </w:r>
      <w:r w:rsidR="003B7A9D">
        <w:t xml:space="preserve"> pārkāpumus</w:t>
      </w:r>
      <w:r w:rsidR="004871D8" w:rsidRPr="003B7A9D">
        <w:t>.</w:t>
      </w:r>
    </w:p>
    <w:p w14:paraId="1215C32E" w14:textId="3EC1D800" w:rsidR="00453E10" w:rsidRPr="00AE4D63" w:rsidRDefault="00981F68" w:rsidP="00453E10">
      <w:pPr>
        <w:spacing w:after="0" w:line="276" w:lineRule="auto"/>
        <w:ind w:firstLine="720"/>
        <w:jc w:val="both"/>
      </w:pPr>
      <w:r w:rsidRPr="00AE4D63">
        <w:t>P</w:t>
      </w:r>
      <w:r w:rsidR="00453E10" w:rsidRPr="00AE4D63">
        <w:t>irmās instances tiesa vairākkārt pārtraukusi apsūdzēto</w:t>
      </w:r>
      <w:r w:rsidR="00D04E56" w:rsidRPr="00AE4D63">
        <w:t xml:space="preserve"> </w:t>
      </w:r>
      <w:r w:rsidR="006A72C3">
        <w:t>[pers. B]</w:t>
      </w:r>
      <w:r w:rsidR="00453E10" w:rsidRPr="00AE4D63">
        <w:t xml:space="preserve"> pēdējā vārdā, lai arī viņš runājis par lietā būtiskiem apstākļiem.</w:t>
      </w:r>
    </w:p>
    <w:bookmarkEnd w:id="14"/>
    <w:p w14:paraId="67ED7E3F" w14:textId="7E786BE3" w:rsidR="00453E10" w:rsidRPr="00AE4D63" w:rsidRDefault="00453E10" w:rsidP="00453E10">
      <w:pPr>
        <w:spacing w:after="0" w:line="276" w:lineRule="auto"/>
        <w:ind w:firstLine="720"/>
        <w:jc w:val="both"/>
      </w:pPr>
      <w:r w:rsidRPr="00AE4D63">
        <w:t xml:space="preserve">Pirmās instances tiesa pārkāpusi Kriminālprocesa likuma 512. un 513. pantu, jo spriedumu sagatavojusi pirms apsūdzētā </w:t>
      </w:r>
      <w:r w:rsidR="006A72C3">
        <w:t>[pers. B]</w:t>
      </w:r>
      <w:r w:rsidRPr="00AE4D63">
        <w:t xml:space="preserve"> pēdējā vārda, </w:t>
      </w:r>
      <w:r w:rsidR="00320B8D" w:rsidRPr="00AE4D63">
        <w:t xml:space="preserve">par ko liecina tas, ka </w:t>
      </w:r>
      <w:r w:rsidRPr="00AE4D63">
        <w:t xml:space="preserve">pēc pēdējā vārda tiesas darba laiks bija beidzies. </w:t>
      </w:r>
      <w:bookmarkStart w:id="15" w:name="_Hlk204091629"/>
      <w:r w:rsidRPr="00AE4D63">
        <w:t>Turklāt lietā nav pirmās instances</w:t>
      </w:r>
      <w:r w:rsidR="00320B8D" w:rsidRPr="00AE4D63">
        <w:t xml:space="preserve"> tiesas</w:t>
      </w:r>
      <w:r w:rsidRPr="00AE4D63">
        <w:t xml:space="preserve"> 2022. gada </w:t>
      </w:r>
      <w:r w:rsidR="006A72C3">
        <w:t>[..]</w:t>
      </w:r>
      <w:r w:rsidRPr="00AE4D63">
        <w:t xml:space="preserve"> sēdes protokola, jo audioieraksts netika veikts, savukārt rakstveida protokolā nav norādīts saīsinātā sprieduma saturs</w:t>
      </w:r>
      <w:r w:rsidR="00320B8D" w:rsidRPr="00AE4D63">
        <w:t>.</w:t>
      </w:r>
      <w:r w:rsidRPr="00AE4D63">
        <w:t xml:space="preserve"> </w:t>
      </w:r>
      <w:r w:rsidR="00320B8D" w:rsidRPr="00AE4D63">
        <w:t>L</w:t>
      </w:r>
      <w:r w:rsidRPr="00AE4D63">
        <w:t>īdz ar to nav zināms, kādu spriedumu tiesa pasludināja.</w:t>
      </w:r>
    </w:p>
    <w:p w14:paraId="000FA3D7" w14:textId="7B176114" w:rsidR="00D04E56" w:rsidRPr="00AE4D63" w:rsidRDefault="00D04E56" w:rsidP="00D04E56">
      <w:pPr>
        <w:spacing w:after="0" w:line="276" w:lineRule="auto"/>
        <w:ind w:firstLine="720"/>
        <w:jc w:val="both"/>
      </w:pPr>
      <w:r w:rsidRPr="00AE4D63">
        <w:t xml:space="preserve">Apsūdzētajam </w:t>
      </w:r>
      <w:r w:rsidR="006A72C3">
        <w:t>[pers. B]</w:t>
      </w:r>
      <w:r w:rsidRPr="00AE4D63">
        <w:t xml:space="preserve"> </w:t>
      </w:r>
      <w:r w:rsidR="00BD3A2E" w:rsidRPr="003B7A9D">
        <w:t xml:space="preserve">pirmās instances tiesā </w:t>
      </w:r>
      <w:r w:rsidRPr="00AE4D63">
        <w:t>tika liegtas tiesības uz aizstāvību, jo aizstāvis Einārs Amoliņš</w:t>
      </w:r>
      <w:r w:rsidR="007F2BF8">
        <w:t xml:space="preserve"> </w:t>
      </w:r>
      <w:r w:rsidRPr="00AE4D63">
        <w:t xml:space="preserve">nav pildījis Kriminālprocesa likuma 86. pantā norādītos pienākumus, proti, nav sniedzis apsūdzētajam konsultācijas, nav sagatavojis apelācijas sūdzību, turklāt atteikšanās no aizstāvja nav notikusi viņa klātbūtnē. </w:t>
      </w:r>
    </w:p>
    <w:bookmarkEnd w:id="15"/>
    <w:p w14:paraId="10E320E6" w14:textId="11A69BA0" w:rsidR="00AE4D63" w:rsidRDefault="00453E10" w:rsidP="00AE4D63">
      <w:pPr>
        <w:spacing w:after="0" w:line="276" w:lineRule="auto"/>
        <w:ind w:firstLine="720"/>
        <w:jc w:val="both"/>
      </w:pPr>
      <w:r w:rsidRPr="00AE4D63">
        <w:t>[6.</w:t>
      </w:r>
      <w:r w:rsidR="003B7A9D">
        <w:t>2</w:t>
      </w:r>
      <w:r w:rsidRPr="00AE4D63">
        <w:t>]</w:t>
      </w:r>
      <w:r w:rsidR="00BD3A2E" w:rsidRPr="000A2F4B">
        <w:t xml:space="preserve"> </w:t>
      </w:r>
      <w:r w:rsidR="003B7A9D">
        <w:t>Apelācijas instances tiesa</w:t>
      </w:r>
      <w:r w:rsidR="00112A53" w:rsidRPr="00AE4D63">
        <w:t xml:space="preserve"> savus atzinumus par apsūdzēto vainīgumu pamatojusi vienīgi ar apsūdzētā </w:t>
      </w:r>
      <w:r w:rsidR="006A72C3">
        <w:t>[pers. B]</w:t>
      </w:r>
      <w:r w:rsidR="00112A53" w:rsidRPr="00AE4D63">
        <w:t xml:space="preserve"> </w:t>
      </w:r>
      <w:proofErr w:type="spellStart"/>
      <w:r w:rsidR="00112A53" w:rsidRPr="00AE4D63">
        <w:t>pirmstiesas</w:t>
      </w:r>
      <w:proofErr w:type="spellEnd"/>
      <w:r w:rsidR="00112A53" w:rsidRPr="00AE4D63">
        <w:t xml:space="preserve"> </w:t>
      </w:r>
      <w:r w:rsidR="00367A88" w:rsidRPr="00AE4D63">
        <w:t>kriminālprocesā</w:t>
      </w:r>
      <w:r w:rsidR="00112A53" w:rsidRPr="00AE4D63">
        <w:t xml:space="preserve"> sniegtajām liecībām, no kurām </w:t>
      </w:r>
      <w:r w:rsidR="00A64F90" w:rsidRPr="00AE4D63">
        <w:t>viņš</w:t>
      </w:r>
      <w:r w:rsidR="00112A53" w:rsidRPr="00AE4D63">
        <w:t xml:space="preserve"> atteicies pirmās instances tiesā</w:t>
      </w:r>
      <w:r w:rsidR="007F2BF8">
        <w:t xml:space="preserve"> </w:t>
      </w:r>
      <w:r w:rsidR="007F2BF8" w:rsidRPr="00AE4D63">
        <w:t>pēdējā vārdā</w:t>
      </w:r>
      <w:r w:rsidR="00AE4D63">
        <w:t xml:space="preserve">. </w:t>
      </w:r>
    </w:p>
    <w:p w14:paraId="2B933569" w14:textId="5557AE97" w:rsidR="00AE4D63" w:rsidRPr="000A2F4B" w:rsidRDefault="00AE4D63" w:rsidP="00AE4D63">
      <w:pPr>
        <w:spacing w:after="0" w:line="276" w:lineRule="auto"/>
        <w:ind w:firstLine="720"/>
        <w:jc w:val="both"/>
      </w:pPr>
      <w:r w:rsidRPr="000A2F4B">
        <w:t xml:space="preserve">Turklāt </w:t>
      </w:r>
      <w:r w:rsidR="000A2F4B">
        <w:t xml:space="preserve">tiesa </w:t>
      </w:r>
      <w:r w:rsidR="00394DD6" w:rsidRPr="00AE4D63">
        <w:t>nav izvērtēju</w:t>
      </w:r>
      <w:r w:rsidR="003B7A9D">
        <w:t>si</w:t>
      </w:r>
      <w:r w:rsidR="00394DD6" w:rsidRPr="00AE4D63">
        <w:t xml:space="preserve"> </w:t>
      </w:r>
      <w:r w:rsidR="000A2F4B">
        <w:t>to</w:t>
      </w:r>
      <w:r w:rsidR="00394DD6" w:rsidRPr="00AE4D63">
        <w:t>, ka</w:t>
      </w:r>
      <w:r w:rsidRPr="000A2F4B">
        <w:t>:</w:t>
      </w:r>
    </w:p>
    <w:p w14:paraId="28F776E6" w14:textId="76DAD007" w:rsidR="00AE4D63" w:rsidRPr="00AE4D63" w:rsidRDefault="00394DD6" w:rsidP="000A2F4B">
      <w:pPr>
        <w:pStyle w:val="ListParagraph"/>
        <w:numPr>
          <w:ilvl w:val="0"/>
          <w:numId w:val="21"/>
        </w:numPr>
        <w:spacing w:after="0" w:line="276" w:lineRule="auto"/>
        <w:jc w:val="both"/>
      </w:pPr>
      <w:r w:rsidRPr="00AE4D63">
        <w:t xml:space="preserve">pirmstiesas </w:t>
      </w:r>
      <w:r w:rsidR="00367A88" w:rsidRPr="00AE4D63">
        <w:t>procesā</w:t>
      </w:r>
      <w:r w:rsidRPr="00AE4D63">
        <w:t xml:space="preserve"> apsūdzētais savu vainīgumu inkriminētajā noziedzīgajā nodarījumā atzinis policijas darbinieku </w:t>
      </w:r>
      <w:r w:rsidR="00367A88" w:rsidRPr="00AE4D63">
        <w:t xml:space="preserve">prettiesiskās rīcības </w:t>
      </w:r>
      <w:r w:rsidRPr="00AE4D63">
        <w:t xml:space="preserve">ietekmē, ko apstiprina liecinieka </w:t>
      </w:r>
      <w:r w:rsidR="006A72C3">
        <w:t>[pers. L]</w:t>
      </w:r>
      <w:r w:rsidRPr="00AE4D63">
        <w:t xml:space="preserve"> liecība, ka policijas darbinieki viņu fiziski ietekmējuši</w:t>
      </w:r>
      <w:r w:rsidR="00AE4D63" w:rsidRPr="000A2F4B">
        <w:t>;</w:t>
      </w:r>
    </w:p>
    <w:p w14:paraId="2F75AFD4" w14:textId="69FA34E0" w:rsidR="00394DD6" w:rsidRPr="003B7A9D" w:rsidRDefault="00112A53" w:rsidP="000A2F4B">
      <w:pPr>
        <w:pStyle w:val="ListParagraph"/>
        <w:numPr>
          <w:ilvl w:val="0"/>
          <w:numId w:val="21"/>
        </w:numPr>
        <w:spacing w:after="0" w:line="276" w:lineRule="auto"/>
        <w:jc w:val="both"/>
      </w:pPr>
      <w:bookmarkStart w:id="16" w:name="_Hlk214186077"/>
      <w:r w:rsidRPr="00AE4D63">
        <w:t xml:space="preserve">apsūdzētā </w:t>
      </w:r>
      <w:r w:rsidR="006A72C3">
        <w:t>[pers. A]</w:t>
      </w:r>
      <w:r w:rsidRPr="00AE4D63">
        <w:t xml:space="preserve"> uzrādīšana atpazīšanai notikusi, pārkāpjot Kriminālprocesa likuma normas</w:t>
      </w:r>
      <w:r w:rsidR="000E388E">
        <w:t>, proti,</w:t>
      </w:r>
      <w:r w:rsidRPr="00AE4D63">
        <w:t xml:space="preserve"> </w:t>
      </w:r>
      <w:r w:rsidR="006A72C3">
        <w:t>[pers. B]</w:t>
      </w:r>
      <w:r w:rsidRPr="00AE4D63">
        <w:t xml:space="preserve"> uzrādītas</w:t>
      </w:r>
      <w:r w:rsidR="00BD3A2E" w:rsidRPr="000A2F4B">
        <w:t xml:space="preserve"> pēc izskata atšķirīgas</w:t>
      </w:r>
      <w:r w:rsidRPr="00AE4D63">
        <w:t xml:space="preserve"> </w:t>
      </w:r>
      <w:r w:rsidRPr="003B7A9D">
        <w:t>personas, turklāt policijas darbinieki norādījuši, kura persona ir jāatpazīst</w:t>
      </w:r>
      <w:r w:rsidR="00D7754B" w:rsidRPr="003B7A9D">
        <w:t>.</w:t>
      </w:r>
    </w:p>
    <w:bookmarkEnd w:id="16"/>
    <w:p w14:paraId="392C608E" w14:textId="0424A410" w:rsidR="00130939" w:rsidRPr="003B7A9D" w:rsidRDefault="00130939" w:rsidP="00130939">
      <w:pPr>
        <w:spacing w:after="0" w:line="276" w:lineRule="auto"/>
        <w:ind w:firstLine="720"/>
        <w:jc w:val="both"/>
      </w:pPr>
      <w:r w:rsidRPr="003B7A9D">
        <w:t>[6.</w:t>
      </w:r>
      <w:r w:rsidR="003B7A9D">
        <w:t>3</w:t>
      </w:r>
      <w:r w:rsidRPr="003B7A9D">
        <w:t xml:space="preserve">] </w:t>
      </w:r>
      <w:r w:rsidR="003B7A9D">
        <w:t>Apelācijas instances t</w:t>
      </w:r>
      <w:r w:rsidRPr="000A2F4B">
        <w:t>iesa</w:t>
      </w:r>
      <w:r w:rsidRPr="003B7A9D">
        <w:t xml:space="preserve"> </w:t>
      </w:r>
      <w:r w:rsidR="0010085C" w:rsidRPr="003B7A9D">
        <w:t>krāpšan</w:t>
      </w:r>
      <w:r w:rsidR="004126EA" w:rsidRPr="003B7A9D">
        <w:t>ā</w:t>
      </w:r>
      <w:r w:rsidR="0010085C" w:rsidRPr="003B7A9D">
        <w:t xml:space="preserve"> pret </w:t>
      </w:r>
      <w:r w:rsidR="006A72C3">
        <w:t>[pers. D]</w:t>
      </w:r>
      <w:r w:rsidR="0010085C" w:rsidRPr="003B7A9D">
        <w:t xml:space="preserve"> </w:t>
      </w:r>
      <w:r w:rsidRPr="003B7A9D">
        <w:t>nepamatoti konstatēju</w:t>
      </w:r>
      <w:r w:rsidR="003B7A9D">
        <w:t>si</w:t>
      </w:r>
      <w:r w:rsidRPr="003B7A9D">
        <w:t xml:space="preserve">, ka apsūdzētais </w:t>
      </w:r>
      <w:r w:rsidR="006A72C3">
        <w:t>[pers. B]</w:t>
      </w:r>
      <w:r w:rsidRPr="003B7A9D">
        <w:t xml:space="preserve"> pārreģistrējis SIA </w:t>
      </w:r>
      <w:r w:rsidR="00082756" w:rsidRPr="003B7A9D">
        <w:t>„</w:t>
      </w:r>
      <w:r w:rsidR="006A72C3">
        <w:t>[Nosaukums D]</w:t>
      </w:r>
      <w:r w:rsidRPr="003B7A9D">
        <w:t>” un atvēris šim uzņēmumam norēķinu kontu AS</w:t>
      </w:r>
      <w:r w:rsidR="00396BCC" w:rsidRPr="003B7A9D">
        <w:t> </w:t>
      </w:r>
      <w:r w:rsidR="00DB34BF" w:rsidRPr="003B7A9D">
        <w:t>„</w:t>
      </w:r>
      <w:r w:rsidRPr="003B7A9D">
        <w:t xml:space="preserve">SEB </w:t>
      </w:r>
      <w:r w:rsidR="000E388E">
        <w:t>b</w:t>
      </w:r>
      <w:r w:rsidR="000E388E" w:rsidRPr="003B7A9D">
        <w:t>anka</w:t>
      </w:r>
      <w:r w:rsidRPr="003B7A9D">
        <w:t xml:space="preserve">”, jo to izdarījusi </w:t>
      </w:r>
      <w:r w:rsidR="006A72C3">
        <w:t>[pers. M]</w:t>
      </w:r>
      <w:r w:rsidRPr="003B7A9D">
        <w:t>.</w:t>
      </w:r>
      <w:r w:rsidR="00DB34BF" w:rsidRPr="003B7A9D">
        <w:t xml:space="preserve"> </w:t>
      </w:r>
    </w:p>
    <w:p w14:paraId="04C3EB29" w14:textId="60958A82" w:rsidR="001464CD" w:rsidRPr="003B7A9D" w:rsidRDefault="001464CD" w:rsidP="001464CD">
      <w:pPr>
        <w:spacing w:after="0" w:line="276" w:lineRule="auto"/>
        <w:ind w:firstLine="720"/>
        <w:jc w:val="both"/>
      </w:pPr>
      <w:bookmarkStart w:id="17" w:name="_Hlk214186111"/>
      <w:r w:rsidRPr="003B7A9D">
        <w:t>[6.</w:t>
      </w:r>
      <w:r w:rsidR="003B7A9D">
        <w:t>4</w:t>
      </w:r>
      <w:r w:rsidRPr="003B7A9D">
        <w:t xml:space="preserve">] Nosakot apsūdzētajam </w:t>
      </w:r>
      <w:r w:rsidR="006A72C3">
        <w:t xml:space="preserve">[pers. B] </w:t>
      </w:r>
      <w:r w:rsidRPr="003B7A9D">
        <w:t xml:space="preserve">sodu, </w:t>
      </w:r>
      <w:r w:rsidR="00BD3A2E" w:rsidRPr="003B7A9D">
        <w:t xml:space="preserve">apelācijas instances </w:t>
      </w:r>
      <w:r w:rsidRPr="003B7A9D">
        <w:t>tiesa</w:t>
      </w:r>
      <w:r w:rsidR="00367A88" w:rsidRPr="003B7A9D">
        <w:t>:</w:t>
      </w:r>
      <w:r w:rsidRPr="003B7A9D">
        <w:t xml:space="preserve"> 1)</w:t>
      </w:r>
      <w:r w:rsidR="00396BCC" w:rsidRPr="003B7A9D">
        <w:t> </w:t>
      </w:r>
      <w:r w:rsidRPr="003B7A9D">
        <w:t>nav izvērtējusi viņa ģimenes stāvokli</w:t>
      </w:r>
      <w:r w:rsidR="00320B8D" w:rsidRPr="003B7A9D">
        <w:t xml:space="preserve"> un </w:t>
      </w:r>
      <w:r w:rsidRPr="003B7A9D">
        <w:t>Valsts probācijas dienesta ziņojumā ietvertās ziņas; 2)</w:t>
      </w:r>
      <w:r w:rsidR="00396BCC" w:rsidRPr="003B7A9D">
        <w:t> </w:t>
      </w:r>
      <w:r w:rsidRPr="003B7A9D">
        <w:t xml:space="preserve"> konstatējot, ka kriminālprocess ilgst vairāk nekā 15 gadus, </w:t>
      </w:r>
      <w:r w:rsidR="00666B27">
        <w:t>nepamatoti</w:t>
      </w:r>
      <w:r w:rsidR="00485998">
        <w:t xml:space="preserve"> nav</w:t>
      </w:r>
      <w:r w:rsidR="00666B27">
        <w:t xml:space="preserve"> to </w:t>
      </w:r>
      <w:r w:rsidR="00485998">
        <w:t>izbeigusi</w:t>
      </w:r>
      <w:r w:rsidRPr="003B7A9D">
        <w:t>; 3)</w:t>
      </w:r>
      <w:r w:rsidR="00C512A8">
        <w:t> </w:t>
      </w:r>
      <w:r w:rsidRPr="003B7A9D">
        <w:t>nav noteikusi apsūdzētajam galīgo sodu pēc vairākiem spriedumiem un pretēji Krimināllikuma 52. panta prasībām nav ieskaitījusi soda termiņā apsūdzētā atrašanos apcietinājumā cit</w:t>
      </w:r>
      <w:r w:rsidR="004126EA" w:rsidRPr="003B7A9D">
        <w:t>os</w:t>
      </w:r>
      <w:r w:rsidRPr="003B7A9D">
        <w:t xml:space="preserve"> krimināl</w:t>
      </w:r>
      <w:r w:rsidR="004126EA" w:rsidRPr="003B7A9D">
        <w:t>procesos</w:t>
      </w:r>
      <w:r w:rsidRPr="003B7A9D">
        <w:t>.</w:t>
      </w:r>
    </w:p>
    <w:bookmarkEnd w:id="17"/>
    <w:p w14:paraId="5D33FFB8" w14:textId="19A0A076" w:rsidR="001464CD" w:rsidRPr="003B7A9D" w:rsidRDefault="00453E10" w:rsidP="003B7A9D">
      <w:pPr>
        <w:spacing w:after="0" w:line="276" w:lineRule="auto"/>
        <w:ind w:firstLine="720"/>
        <w:jc w:val="both"/>
      </w:pPr>
      <w:r w:rsidRPr="003B7A9D">
        <w:t>[6.</w:t>
      </w:r>
      <w:r w:rsidR="003B7A9D">
        <w:t>5</w:t>
      </w:r>
      <w:r w:rsidRPr="003B7A9D">
        <w:t>]</w:t>
      </w:r>
      <w:r w:rsidR="003B7A9D">
        <w:t xml:space="preserve"> Apelācijas instances tiesa bez ievērības atstājusi to, ka</w:t>
      </w:r>
      <w:r w:rsidRPr="003B7A9D">
        <w:t xml:space="preserve"> </w:t>
      </w:r>
      <w:r w:rsidR="003B7A9D">
        <w:t>p</w:t>
      </w:r>
      <w:r w:rsidR="00112A53" w:rsidRPr="003B7A9D">
        <w:t xml:space="preserve">irmās instances tiesa nepamatoti piemērojusi apsūdzētajam </w:t>
      </w:r>
      <w:r w:rsidR="006A72C3">
        <w:t>[pers. B]</w:t>
      </w:r>
      <w:r w:rsidR="00112A53" w:rsidRPr="003B7A9D">
        <w:t xml:space="preserve"> drošības līdzekli</w:t>
      </w:r>
      <w:r w:rsidR="0099547C" w:rsidRPr="003B7A9D">
        <w:t> </w:t>
      </w:r>
      <w:r w:rsidR="00112A53" w:rsidRPr="003B7A9D">
        <w:t>– apcietinājumu –, jo</w:t>
      </w:r>
      <w:r w:rsidR="008C7759" w:rsidRPr="003B7A9D">
        <w:t xml:space="preserve"> </w:t>
      </w:r>
      <w:r w:rsidR="001464CD" w:rsidRPr="003B7A9D">
        <w:t>tā</w:t>
      </w:r>
      <w:r w:rsidR="00112A53" w:rsidRPr="003B7A9D">
        <w:t xml:space="preserve"> piemērošana, atsaucoties tikai uz Kriminālprocesa likuma 272.</w:t>
      </w:r>
      <w:r w:rsidR="0099547C" w:rsidRPr="003B7A9D">
        <w:t> </w:t>
      </w:r>
      <w:r w:rsidR="00112A53" w:rsidRPr="003B7A9D">
        <w:t>panta ceturto daļu bez papildu pamatojuma</w:t>
      </w:r>
      <w:r w:rsidR="007D1AC0" w:rsidRPr="003B7A9D">
        <w:t>,</w:t>
      </w:r>
      <w:r w:rsidR="00112A53" w:rsidRPr="003B7A9D">
        <w:t xml:space="preserve"> ir nelikumīg</w:t>
      </w:r>
      <w:r w:rsidR="008C7759" w:rsidRPr="003B7A9D">
        <w:t>a</w:t>
      </w:r>
      <w:r w:rsidR="001464CD" w:rsidRPr="003B7A9D">
        <w:t>.</w:t>
      </w:r>
      <w:r w:rsidR="003B7A9D">
        <w:t xml:space="preserve"> </w:t>
      </w:r>
      <w:r w:rsidR="001464CD" w:rsidRPr="003B7A9D">
        <w:t>Savukārt apelācijas instances tiesa, pārkāpjot Kriminālprocesa likuma 281. panta piektās daļas 2. punktu, ne reizi nav izvērtējusi apcietinājuma piemērošanas pamatotību</w:t>
      </w:r>
      <w:r w:rsidR="00DB34BF" w:rsidRPr="003B7A9D">
        <w:t>.</w:t>
      </w:r>
    </w:p>
    <w:p w14:paraId="26D1D4E4" w14:textId="7426A89C" w:rsidR="008C7759" w:rsidRPr="003B7A9D" w:rsidRDefault="001464CD" w:rsidP="0099547C">
      <w:pPr>
        <w:spacing w:after="0" w:line="276" w:lineRule="auto"/>
        <w:ind w:firstLine="720"/>
        <w:jc w:val="both"/>
      </w:pPr>
      <w:r w:rsidRPr="003B7A9D">
        <w:t>A</w:t>
      </w:r>
      <w:r w:rsidR="00112A53" w:rsidRPr="003B7A9D">
        <w:t>pcietinājuma piemērošana lie</w:t>
      </w:r>
      <w:r w:rsidR="00320B8D" w:rsidRPr="003B7A9D">
        <w:t>gusi</w:t>
      </w:r>
      <w:r w:rsidR="00112A53" w:rsidRPr="003B7A9D">
        <w:t xml:space="preserve"> tiesības uz nosacītu pirmstermiņa atbrīvošanu un resocializāciju</w:t>
      </w:r>
      <w:r w:rsidR="008C7759" w:rsidRPr="003B7A9D">
        <w:t>.</w:t>
      </w:r>
    </w:p>
    <w:p w14:paraId="21C3C887" w14:textId="19A308AA" w:rsidR="00453E10" w:rsidRDefault="00453E10" w:rsidP="0099547C">
      <w:pPr>
        <w:spacing w:after="0" w:line="276" w:lineRule="auto"/>
        <w:ind w:firstLine="720"/>
        <w:jc w:val="both"/>
      </w:pPr>
      <w:r w:rsidRPr="003B7A9D">
        <w:t xml:space="preserve">Gadījumā, ja </w:t>
      </w:r>
      <w:r w:rsidR="00082756" w:rsidRPr="003B7A9D">
        <w:t xml:space="preserve">kasācijas instances tiesa </w:t>
      </w:r>
      <w:r w:rsidRPr="003B7A9D">
        <w:t>apcietinājum</w:t>
      </w:r>
      <w:r w:rsidR="00840291" w:rsidRPr="003B7A9D">
        <w:t>a piemērošanu</w:t>
      </w:r>
      <w:r w:rsidRPr="003B7A9D">
        <w:t xml:space="preserve"> atzīs par pamatotu, apsūdzētais lūdz vērsties </w:t>
      </w:r>
      <w:r w:rsidR="00CE03B3" w:rsidRPr="003B7A9D">
        <w:t xml:space="preserve">ar pieteikumu </w:t>
      </w:r>
      <w:r w:rsidRPr="003B7A9D">
        <w:t>Satversmes tiesā</w:t>
      </w:r>
      <w:r w:rsidR="00CE03B3" w:rsidRPr="003B7A9D">
        <w:t>, lai izvērtētu</w:t>
      </w:r>
      <w:r w:rsidRPr="003B7A9D">
        <w:t xml:space="preserve"> Kriminālprocesa likuma 281.</w:t>
      </w:r>
      <w:r w:rsidR="00840291" w:rsidRPr="003B7A9D">
        <w:t> </w:t>
      </w:r>
      <w:r w:rsidRPr="003B7A9D">
        <w:t xml:space="preserve">panta </w:t>
      </w:r>
      <w:r w:rsidR="00840291" w:rsidRPr="003B7A9D">
        <w:t xml:space="preserve">piektās daļas 2. punkta un 272. panta ceturtās daļas atbilstību </w:t>
      </w:r>
      <w:r w:rsidR="004126EA" w:rsidRPr="003B7A9D">
        <w:t xml:space="preserve">Latvijas Republikas </w:t>
      </w:r>
      <w:r w:rsidR="00840291" w:rsidRPr="003B7A9D">
        <w:t>Satversmei</w:t>
      </w:r>
      <w:r w:rsidR="007D4150" w:rsidRPr="003B7A9D">
        <w:t xml:space="preserve"> (tur</w:t>
      </w:r>
      <w:r w:rsidR="00BD3A2E" w:rsidRPr="003B7A9D">
        <w:t>p</w:t>
      </w:r>
      <w:r w:rsidR="007D4150" w:rsidRPr="003B7A9D">
        <w:t>māk</w:t>
      </w:r>
      <w:r w:rsidR="00BD3A2E" w:rsidRPr="003B7A9D">
        <w:t xml:space="preserve"> </w:t>
      </w:r>
      <w:r w:rsidR="007F2BF8">
        <w:t>–</w:t>
      </w:r>
      <w:r w:rsidR="00BD3A2E" w:rsidRPr="003B7A9D">
        <w:t xml:space="preserve"> Satversme</w:t>
      </w:r>
      <w:r w:rsidR="007D4150" w:rsidRPr="003B7A9D">
        <w:t>)</w:t>
      </w:r>
      <w:r w:rsidR="00840291" w:rsidRPr="003B7A9D">
        <w:t>.</w:t>
      </w:r>
    </w:p>
    <w:bookmarkEnd w:id="1"/>
    <w:bookmarkEnd w:id="2"/>
    <w:p w14:paraId="2C401106" w14:textId="77777777" w:rsidR="008C7759" w:rsidRDefault="008C7759" w:rsidP="0099547C">
      <w:pPr>
        <w:spacing w:after="0" w:line="276" w:lineRule="auto"/>
        <w:ind w:firstLine="720"/>
        <w:jc w:val="center"/>
        <w:rPr>
          <w:b/>
          <w:bCs/>
        </w:rPr>
      </w:pPr>
    </w:p>
    <w:p w14:paraId="50BD7DE9" w14:textId="2103DCF3" w:rsidR="00112A53" w:rsidRDefault="0099547C" w:rsidP="0099547C">
      <w:pPr>
        <w:spacing w:after="0" w:line="276" w:lineRule="auto"/>
        <w:ind w:firstLine="720"/>
        <w:jc w:val="center"/>
        <w:rPr>
          <w:b/>
          <w:bCs/>
        </w:rPr>
      </w:pPr>
      <w:r w:rsidRPr="0099547C">
        <w:rPr>
          <w:b/>
          <w:bCs/>
        </w:rPr>
        <w:t>Motīvu daļa</w:t>
      </w:r>
    </w:p>
    <w:p w14:paraId="4E884880" w14:textId="77777777" w:rsidR="001549E4" w:rsidRDefault="001549E4" w:rsidP="008C7759">
      <w:pPr>
        <w:spacing w:after="0" w:line="276" w:lineRule="auto"/>
        <w:jc w:val="lowKashida"/>
      </w:pPr>
    </w:p>
    <w:p w14:paraId="0E7045FF" w14:textId="38DA66CE" w:rsidR="00B160E9" w:rsidRPr="00B160E9" w:rsidRDefault="00B160E9" w:rsidP="00B160E9">
      <w:pPr>
        <w:spacing w:after="0" w:line="276" w:lineRule="auto"/>
        <w:ind w:left="709" w:firstLine="142"/>
        <w:jc w:val="center"/>
        <w:rPr>
          <w:b/>
          <w:bCs/>
        </w:rPr>
      </w:pPr>
      <w:r w:rsidRPr="00B160E9">
        <w:rPr>
          <w:b/>
          <w:bCs/>
        </w:rPr>
        <w:t>I</w:t>
      </w:r>
    </w:p>
    <w:p w14:paraId="2AF91D97" w14:textId="6CF4B3FC" w:rsidR="00B160E9" w:rsidRPr="00651AE3" w:rsidRDefault="00B160E9" w:rsidP="00B160E9">
      <w:pPr>
        <w:spacing w:after="0" w:line="276" w:lineRule="auto"/>
        <w:ind w:left="709" w:firstLine="142"/>
        <w:jc w:val="center"/>
        <w:rPr>
          <w:i/>
          <w:iCs/>
        </w:rPr>
      </w:pPr>
      <w:r w:rsidRPr="00651AE3">
        <w:rPr>
          <w:i/>
          <w:iCs/>
        </w:rPr>
        <w:t>Par Kriminālprocesa likuma būtiskiem pārkāpumiem</w:t>
      </w:r>
      <w:r w:rsidR="00BD3A2E" w:rsidRPr="00016904">
        <w:rPr>
          <w:i/>
          <w:iCs/>
        </w:rPr>
        <w:t>, kas katrā ziņā izraisa tiesas nolēmuma atcelšanu</w:t>
      </w:r>
      <w:r w:rsidRPr="00651AE3">
        <w:rPr>
          <w:i/>
          <w:iCs/>
        </w:rPr>
        <w:t xml:space="preserve"> </w:t>
      </w:r>
    </w:p>
    <w:p w14:paraId="253CC3FF" w14:textId="77777777" w:rsidR="00B160E9" w:rsidRPr="00651AE3" w:rsidRDefault="00B160E9" w:rsidP="00947015">
      <w:pPr>
        <w:spacing w:after="0" w:line="276" w:lineRule="auto"/>
        <w:ind w:firstLine="720"/>
        <w:jc w:val="lowKashida"/>
      </w:pPr>
    </w:p>
    <w:p w14:paraId="19121029" w14:textId="6E888B42" w:rsidR="00651AE3" w:rsidRDefault="00A30D16" w:rsidP="00651AE3">
      <w:pPr>
        <w:spacing w:after="0" w:line="276" w:lineRule="auto"/>
        <w:ind w:firstLine="709"/>
        <w:jc w:val="lowKashida"/>
      </w:pPr>
      <w:r w:rsidRPr="00651AE3">
        <w:t xml:space="preserve">[7] </w:t>
      </w:r>
      <w:r w:rsidR="00E5320A" w:rsidRPr="00651AE3">
        <w:t xml:space="preserve">Vispirms </w:t>
      </w:r>
      <w:r w:rsidR="00947015" w:rsidRPr="00651AE3">
        <w:t>Senāts pārbaudīs, vai</w:t>
      </w:r>
      <w:r w:rsidR="00651AE3">
        <w:t xml:space="preserve"> </w:t>
      </w:r>
      <w:r w:rsidR="00DC51B1" w:rsidRPr="00651AE3">
        <w:t>apelācijas instances tiesa, nekonstatējot Kriminālprocesa likuma 575. panta pirmās daļas 6. punkta pārkāpumu pirmās instances tiesā –</w:t>
      </w:r>
      <w:r w:rsidR="005D4F61" w:rsidRPr="00651AE3">
        <w:t xml:space="preserve"> lietā</w:t>
      </w:r>
      <w:r w:rsidR="00DC51B1" w:rsidRPr="00651AE3">
        <w:t xml:space="preserve"> nav tiesas sēdes protokola, ka</w:t>
      </w:r>
      <w:r w:rsidR="00651AE3">
        <w:t>d</w:t>
      </w:r>
      <w:r w:rsidR="00DC51B1" w:rsidRPr="00651AE3">
        <w:t xml:space="preserve"> tas ir obligāts</w:t>
      </w:r>
      <w:r w:rsidR="00651AE3">
        <w:t xml:space="preserve"> –</w:t>
      </w:r>
      <w:r w:rsidR="00DC51B1" w:rsidRPr="00651AE3">
        <w:t>, pieļāvusi šā likuma 566. panta pārkāpumu.</w:t>
      </w:r>
    </w:p>
    <w:p w14:paraId="62B8220E" w14:textId="2760FC1E" w:rsidR="00D80F7D" w:rsidRDefault="00D80F7D" w:rsidP="00651AE3">
      <w:pPr>
        <w:spacing w:after="0" w:line="276" w:lineRule="auto"/>
        <w:ind w:firstLine="720"/>
        <w:jc w:val="lowKashida"/>
      </w:pPr>
      <w:r w:rsidRPr="00651AE3">
        <w:t xml:space="preserve">[7.1] Apsūdzētā </w:t>
      </w:r>
      <w:r w:rsidR="004934D6">
        <w:t>[pers. A]</w:t>
      </w:r>
      <w:r w:rsidRPr="00651AE3">
        <w:t xml:space="preserve"> aizstāvis kasācijas sūdzībā norādījis</w:t>
      </w:r>
      <w:r w:rsidR="004B701D" w:rsidRPr="00651AE3">
        <w:t>, ka liet</w:t>
      </w:r>
      <w:r w:rsidR="00B160E9" w:rsidRPr="00651AE3">
        <w:t>as materiālos</w:t>
      </w:r>
      <w:r w:rsidR="004B701D" w:rsidRPr="00651AE3">
        <w:t xml:space="preserve"> nav </w:t>
      </w:r>
      <w:r w:rsidRPr="00651AE3">
        <w:t xml:space="preserve">vairāku pirmās instances tiesas sēžu skaņu ierakstu, lai gan kopš 2015. gada </w:t>
      </w:r>
      <w:r w:rsidR="004934D6">
        <w:t>[..]</w:t>
      </w:r>
      <w:r w:rsidRPr="00651AE3">
        <w:t xml:space="preserve"> tiesai bija tehniska iespēja šādus ierakstus</w:t>
      </w:r>
      <w:r w:rsidR="00B160E9" w:rsidRPr="00651AE3">
        <w:t xml:space="preserve"> veikt</w:t>
      </w:r>
      <w:r w:rsidRPr="00651AE3">
        <w:t xml:space="preserve">. Savukārt apsūdzētais </w:t>
      </w:r>
      <w:r w:rsidR="004934D6">
        <w:t>[pers. B]</w:t>
      </w:r>
      <w:r w:rsidRPr="00651AE3">
        <w:t xml:space="preserve"> kasācijas sūdzībā norādījis, ka 2022. gada </w:t>
      </w:r>
      <w:r w:rsidR="004934D6">
        <w:t>[..]</w:t>
      </w:r>
      <w:r w:rsidRPr="00651AE3">
        <w:t xml:space="preserve"> tiesas sēdē netika veikts skaņu ieraksts un protokols nesatur saīsinātā sprieduma saturu. </w:t>
      </w:r>
    </w:p>
    <w:p w14:paraId="68772D3F" w14:textId="34DC3C6D" w:rsidR="00DC116B" w:rsidRPr="00DC116B" w:rsidRDefault="00DC116B" w:rsidP="00DC116B">
      <w:pPr>
        <w:spacing w:after="0" w:line="276" w:lineRule="auto"/>
        <w:ind w:firstLine="720"/>
        <w:jc w:val="lowKashida"/>
      </w:pPr>
      <w:r w:rsidRPr="00DC116B">
        <w:t>Ņemot vērā šos kasācijas sūdzības argumentus, Kriminālprocesa likuma 575.</w:t>
      </w:r>
      <w:r>
        <w:t> </w:t>
      </w:r>
      <w:r w:rsidRPr="00DC116B">
        <w:t>panta pirmās daļas 6.</w:t>
      </w:r>
      <w:r w:rsidR="00C57C6A">
        <w:t> </w:t>
      </w:r>
      <w:r w:rsidRPr="00DC116B">
        <w:t>punkta pārkāpuma pārbaude ir veicama kopsakarībā ar Kriminālprocesa likuma 482.</w:t>
      </w:r>
      <w:r>
        <w:t>, 483, un 484.</w:t>
      </w:r>
      <w:r w:rsidR="00C57C6A">
        <w:t> </w:t>
      </w:r>
      <w:r w:rsidRPr="00DC116B">
        <w:t>pant</w:t>
      </w:r>
      <w:r w:rsidR="002F16D6">
        <w:t>u</w:t>
      </w:r>
      <w:r w:rsidRPr="00DC116B">
        <w:t xml:space="preserve">, proti, noskaidrojot, vai tiesiskais regulējums pieļāva tiesas sēdes gaitas fiksēšanu </w:t>
      </w:r>
      <w:r>
        <w:t xml:space="preserve">tikai </w:t>
      </w:r>
      <w:r w:rsidRPr="00DC116B">
        <w:t>rakstveidā pēc tam, kad tiesai bija</w:t>
      </w:r>
      <w:r>
        <w:t xml:space="preserve"> nodrošinātas</w:t>
      </w:r>
      <w:r w:rsidRPr="00DC116B">
        <w:t xml:space="preserve"> tehniskas iespējas veikt skaņu un video ierakstu.</w:t>
      </w:r>
    </w:p>
    <w:p w14:paraId="72AFAB03" w14:textId="70DF005A" w:rsidR="00B160E9" w:rsidRPr="00651AE3" w:rsidRDefault="00B160E9" w:rsidP="00B160E9">
      <w:pPr>
        <w:spacing w:after="0" w:line="276" w:lineRule="auto"/>
        <w:ind w:firstLine="720"/>
        <w:jc w:val="both"/>
      </w:pPr>
      <w:r w:rsidRPr="00651AE3">
        <w:t>[7.2] Senāts</w:t>
      </w:r>
      <w:r w:rsidR="002017CD">
        <w:t xml:space="preserve"> minēto procesuālo normu</w:t>
      </w:r>
      <w:r w:rsidR="00651AE3">
        <w:t xml:space="preserve"> pārkāpumu</w:t>
      </w:r>
      <w:r w:rsidR="002017CD">
        <w:t>s</w:t>
      </w:r>
      <w:r w:rsidR="00651AE3">
        <w:t xml:space="preserve"> nekonstatē</w:t>
      </w:r>
      <w:r w:rsidRPr="00651AE3">
        <w:t>.</w:t>
      </w:r>
    </w:p>
    <w:p w14:paraId="79B56C13" w14:textId="2161DE20" w:rsidR="00D80F7D" w:rsidRPr="00651AE3" w:rsidRDefault="00D80F7D" w:rsidP="00D80F7D">
      <w:pPr>
        <w:spacing w:after="0" w:line="276" w:lineRule="auto"/>
        <w:ind w:firstLine="720"/>
        <w:jc w:val="both"/>
      </w:pPr>
      <w:r w:rsidRPr="00651AE3">
        <w:t>[7.</w:t>
      </w:r>
      <w:r w:rsidR="001427A9" w:rsidRPr="00651AE3">
        <w:t>2</w:t>
      </w:r>
      <w:r w:rsidRPr="00651AE3">
        <w:t xml:space="preserve">.1] Līdz 2021. gada 1. novembrim Kriminālprocesa likums noteica, ka tiesas sēdes protokols ir procesuāls dokuments, kurā fiksē lietas iztiesāšanas gaitu un tiesas sēdē pieņemtos lēmumus (482. panta pirmā daļa). Iztiesāšanas laikā tiesas sēdes gaitu pilnā apjomā fiksē, izmantojot skaņu vai attēlu ierakstus vai citus tehniskos līdzekļus, un par to izdara atzīmi tiesas sēdes protokolā (483. panta pirmā daļa). Minēto tehnisko līdzekļu izmantošanas rezultātā iegūto materiālu pievieno krimināllietai </w:t>
      </w:r>
      <w:r w:rsidR="000E388E">
        <w:t>vai</w:t>
      </w:r>
      <w:r w:rsidR="000E388E" w:rsidRPr="00651AE3">
        <w:t xml:space="preserve"> </w:t>
      </w:r>
      <w:r w:rsidRPr="00651AE3">
        <w:t>uzglabā tiesu informatīvajā sistēmā (483. panta otrā daļa).</w:t>
      </w:r>
    </w:p>
    <w:p w14:paraId="40001F25" w14:textId="77777777" w:rsidR="00D80F7D" w:rsidRPr="00651AE3" w:rsidRDefault="00D80F7D" w:rsidP="00D80F7D">
      <w:pPr>
        <w:spacing w:after="0" w:line="276" w:lineRule="auto"/>
        <w:ind w:firstLine="720"/>
        <w:jc w:val="both"/>
      </w:pPr>
      <w:r w:rsidRPr="00651AE3">
        <w:t>Kriminālprocesa likuma 484. pants noteica tiesas sēdes protokola saturu, noformēšanas laiku, iepazīšanos ar protokolu un piezīmju iesniegšanu un to izskatīšanas kārtību. Savukārt panta ceturtā daļa noteica, ka gadījumos, kad tiesas sēdes gaita netiek fiksēta, izmantojot skaņu un attēlu ierakstus vai citus tehniskos līdzekļus, tiesas sēdes protokolā ieraksta arī apsūdzētā, cietušā, liecinieka, ekspertu liecības un citu procesā iesaistīto personu paskaidrojumus, tiesas debašu runas, replikas, apsūdzētā pēdējo vārdu.</w:t>
      </w:r>
    </w:p>
    <w:p w14:paraId="70E5D246" w14:textId="33681FDC" w:rsidR="001427A9" w:rsidRPr="00651AE3" w:rsidRDefault="001427A9" w:rsidP="001427A9">
      <w:pPr>
        <w:spacing w:after="0" w:line="276" w:lineRule="auto"/>
        <w:ind w:firstLine="720"/>
        <w:jc w:val="both"/>
      </w:pPr>
      <w:r w:rsidRPr="00651AE3">
        <w:t>No šī tiesiskā regulējuma izriet, ka līdz 2021.</w:t>
      </w:r>
      <w:r w:rsidR="00396BCC" w:rsidRPr="00651AE3">
        <w:t> </w:t>
      </w:r>
      <w:r w:rsidRPr="00651AE3">
        <w:t>gada 1.</w:t>
      </w:r>
      <w:r w:rsidR="00396BCC" w:rsidRPr="00651AE3">
        <w:t> </w:t>
      </w:r>
      <w:r w:rsidRPr="00651AE3">
        <w:t>novembrim nebija</w:t>
      </w:r>
      <w:r w:rsidR="009E55E8" w:rsidRPr="00651AE3">
        <w:t xml:space="preserve"> izšķirošas nozīmes</w:t>
      </w:r>
      <w:r w:rsidRPr="00651AE3">
        <w:t xml:space="preserve"> tam, kādā veidā fiksēta lietas iztiesāšanas gaita – tikai skaņ</w:t>
      </w:r>
      <w:r w:rsidR="009E55E8" w:rsidRPr="00651AE3">
        <w:t>u ierakstā</w:t>
      </w:r>
      <w:r w:rsidRPr="00651AE3">
        <w:t>, skaņ</w:t>
      </w:r>
      <w:r w:rsidR="009E55E8" w:rsidRPr="00651AE3">
        <w:t>u</w:t>
      </w:r>
      <w:r w:rsidRPr="00651AE3">
        <w:t xml:space="preserve"> un attēl</w:t>
      </w:r>
      <w:r w:rsidR="009E55E8" w:rsidRPr="00651AE3">
        <w:t>u ierakstā</w:t>
      </w:r>
      <w:r w:rsidRPr="00651AE3">
        <w:t xml:space="preserve"> vai rakstveidā. Būtiski bija tas, lai noklausoties, noskatoties vai izlasot procesuālajā dokumentā fiksēto, procesa dalībniekiem būtu saprotams tiesā veikto procesuālo darbību saturs, izskatītie lūgumi un pieņemtie nolēmumi.</w:t>
      </w:r>
    </w:p>
    <w:p w14:paraId="5C6B2192" w14:textId="0A6B3A01" w:rsidR="004B701D" w:rsidRPr="00016904" w:rsidRDefault="001427A9" w:rsidP="001427A9">
      <w:pPr>
        <w:spacing w:after="0" w:line="276" w:lineRule="auto"/>
        <w:ind w:firstLine="720"/>
        <w:jc w:val="both"/>
      </w:pPr>
      <w:r w:rsidRPr="00651AE3">
        <w:t xml:space="preserve">Norādītais atbilst arī </w:t>
      </w:r>
      <w:r w:rsidRPr="00016904">
        <w:t>judikatūrai:</w:t>
      </w:r>
      <w:r w:rsidR="006A586F" w:rsidRPr="00016904">
        <w:t xml:space="preserve"> </w:t>
      </w:r>
      <w:r w:rsidR="00057FBD" w:rsidRPr="00016904">
        <w:t>a</w:t>
      </w:r>
      <w:r w:rsidR="004B701D" w:rsidRPr="00016904">
        <w:t>rī tad, ja tiesas sēdē tiek veikts skaņu ieraksts, tiesas sēdes gaita tiek fiksēta protokolā, vienīgi atbilstoši Kriminālprocesa likuma 484. pantam atšķiras tiesas sēdes protokolā fiksējamās informācijas apjoms apstākļos, kad netiek veikts tiesas sēdes audioieraksts</w:t>
      </w:r>
      <w:r w:rsidR="004B701D" w:rsidRPr="00016904">
        <w:rPr>
          <w:rFonts w:eastAsia="Aptos"/>
          <w:sz w:val="20"/>
          <w:szCs w:val="20"/>
        </w:rPr>
        <w:t xml:space="preserve"> </w:t>
      </w:r>
      <w:r w:rsidR="004B701D" w:rsidRPr="00016904">
        <w:rPr>
          <w:rFonts w:asciiTheme="majorBidi" w:eastAsia="Aptos" w:hAnsiTheme="majorBidi" w:cstheme="majorBidi"/>
          <w:bCs/>
        </w:rPr>
        <w:t>(</w:t>
      </w:r>
      <w:bookmarkStart w:id="18" w:name="_Hlk217297274"/>
      <w:r w:rsidR="004B701D" w:rsidRPr="00016904">
        <w:rPr>
          <w:rFonts w:asciiTheme="majorBidi" w:eastAsia="Aptos" w:hAnsiTheme="majorBidi" w:cstheme="majorBidi"/>
          <w:bCs/>
          <w:i/>
          <w:iCs/>
        </w:rPr>
        <w:t>Senāta 2019. gada 27. novembra lēmuma</w:t>
      </w:r>
      <w:r w:rsidR="008C77F4">
        <w:rPr>
          <w:rFonts w:asciiTheme="majorBidi" w:eastAsia="Aptos" w:hAnsiTheme="majorBidi" w:cstheme="majorBidi"/>
          <w:bCs/>
          <w:i/>
          <w:iCs/>
        </w:rPr>
        <w:t xml:space="preserve"> </w:t>
      </w:r>
      <w:r w:rsidR="004B701D" w:rsidRPr="00016904">
        <w:rPr>
          <w:rFonts w:asciiTheme="majorBidi" w:eastAsia="Aptos" w:hAnsiTheme="majorBidi" w:cstheme="majorBidi"/>
          <w:bCs/>
          <w:i/>
          <w:iCs/>
        </w:rPr>
        <w:t xml:space="preserve">lietā Nr. SKK-371/2019, </w:t>
      </w:r>
      <w:hyperlink r:id="rId8" w:history="1">
        <w:r w:rsidR="004B701D" w:rsidRPr="00016904">
          <w:rPr>
            <w:rFonts w:asciiTheme="majorBidi" w:eastAsia="Aptos" w:hAnsiTheme="majorBidi" w:cstheme="majorBidi"/>
            <w:bCs/>
            <w:i/>
            <w:iCs/>
            <w:shd w:val="clear" w:color="auto" w:fill="FFFFFF"/>
          </w:rPr>
          <w:t>ECLI:LV:AT:2019:1127.11221119213.5.L</w:t>
        </w:r>
      </w:hyperlink>
      <w:r w:rsidR="004B701D" w:rsidRPr="00016904">
        <w:rPr>
          <w:rFonts w:asciiTheme="majorBidi" w:hAnsiTheme="majorBidi" w:cstheme="majorBidi"/>
          <w:i/>
          <w:iCs/>
        </w:rPr>
        <w:t>, 7. punkts</w:t>
      </w:r>
      <w:bookmarkEnd w:id="18"/>
      <w:r w:rsidR="004B701D" w:rsidRPr="00016904">
        <w:rPr>
          <w:rFonts w:asciiTheme="majorBidi" w:eastAsia="Aptos" w:hAnsiTheme="majorBidi" w:cstheme="majorBidi"/>
          <w:bCs/>
        </w:rPr>
        <w:t>)</w:t>
      </w:r>
      <w:r w:rsidR="004B701D" w:rsidRPr="00016904">
        <w:rPr>
          <w:rFonts w:asciiTheme="majorBidi" w:hAnsiTheme="majorBidi" w:cstheme="majorBidi"/>
        </w:rPr>
        <w:t>.</w:t>
      </w:r>
      <w:r w:rsidR="004B701D" w:rsidRPr="00016904">
        <w:t xml:space="preserve"> </w:t>
      </w:r>
    </w:p>
    <w:p w14:paraId="40900C37" w14:textId="260FAD45" w:rsidR="006A586F" w:rsidRDefault="00D80F7D" w:rsidP="00D80F7D">
      <w:pPr>
        <w:spacing w:after="0" w:line="276" w:lineRule="auto"/>
        <w:ind w:firstLine="720"/>
        <w:jc w:val="both"/>
      </w:pPr>
      <w:r w:rsidRPr="00016904">
        <w:lastRenderedPageBreak/>
        <w:t>Minēt</w:t>
      </w:r>
      <w:r w:rsidR="00DC116B">
        <w:t>o</w:t>
      </w:r>
      <w:r w:rsidR="006A586F" w:rsidRPr="00016904">
        <w:t xml:space="preserve"> secinājum</w:t>
      </w:r>
      <w:r w:rsidR="00DC116B">
        <w:t xml:space="preserve">u </w:t>
      </w:r>
      <w:r w:rsidR="00F76344" w:rsidRPr="00016904">
        <w:t>apstiprin</w:t>
      </w:r>
      <w:r w:rsidR="00DC116B">
        <w:t>a</w:t>
      </w:r>
      <w:r w:rsidR="00F76344" w:rsidRPr="00016904">
        <w:t xml:space="preserve"> </w:t>
      </w:r>
      <w:r w:rsidR="006A586F" w:rsidRPr="00016904">
        <w:t>arī</w:t>
      </w:r>
      <w:r w:rsidRPr="00016904">
        <w:t xml:space="preserve"> </w:t>
      </w:r>
      <w:r w:rsidR="00F76344" w:rsidRPr="00016904">
        <w:t>tiesisk</w:t>
      </w:r>
      <w:r w:rsidR="00DC116B">
        <w:t>ais</w:t>
      </w:r>
      <w:r w:rsidR="00F76344" w:rsidRPr="00016904">
        <w:t xml:space="preserve"> regulējum</w:t>
      </w:r>
      <w:r w:rsidR="00DC116B">
        <w:t>s</w:t>
      </w:r>
      <w:r w:rsidR="00F76344" w:rsidRPr="00016904">
        <w:t xml:space="preserve">, kas ietverts </w:t>
      </w:r>
      <w:r w:rsidRPr="00016904">
        <w:t>2021. gada 7. oktobra likum</w:t>
      </w:r>
      <w:r w:rsidR="00F76344" w:rsidRPr="00016904">
        <w:t>ā</w:t>
      </w:r>
      <w:r w:rsidRPr="00016904">
        <w:t xml:space="preserve"> </w:t>
      </w:r>
      <w:r w:rsidR="00224CD8" w:rsidRPr="00016904">
        <w:t>„</w:t>
      </w:r>
      <w:r w:rsidRPr="00016904">
        <w:t>Grozījumi Kriminālprocesa likumā”</w:t>
      </w:r>
      <w:r w:rsidR="00F76344" w:rsidRPr="00016904">
        <w:t xml:space="preserve"> (</w:t>
      </w:r>
      <w:r w:rsidRPr="00016904">
        <w:t>spēkā</w:t>
      </w:r>
      <w:r w:rsidR="00F76344" w:rsidRPr="00016904">
        <w:t xml:space="preserve"> no</w:t>
      </w:r>
      <w:r w:rsidRPr="00016904">
        <w:t xml:space="preserve"> 2021. gada 2. novembr</w:t>
      </w:r>
      <w:r w:rsidR="00F76344" w:rsidRPr="00016904">
        <w:t>a)</w:t>
      </w:r>
      <w:r w:rsidR="006A586F" w:rsidRPr="00016904">
        <w:t>.</w:t>
      </w:r>
    </w:p>
    <w:p w14:paraId="78242230" w14:textId="3C25B4BE" w:rsidR="00D80F7D" w:rsidRPr="00016904" w:rsidRDefault="006A586F" w:rsidP="006A586F">
      <w:pPr>
        <w:spacing w:after="0" w:line="276" w:lineRule="auto"/>
        <w:ind w:firstLine="720"/>
        <w:jc w:val="both"/>
      </w:pPr>
      <w:r w:rsidRPr="00016904">
        <w:t xml:space="preserve">Ar šo likumu </w:t>
      </w:r>
      <w:r w:rsidR="00D80F7D" w:rsidRPr="00016904">
        <w:t xml:space="preserve">Kriminālprocesa likuma 482. panta pirmā daļā papildināta ar otro teikumu šādā redakcijā: </w:t>
      </w:r>
      <w:r w:rsidR="00224CD8" w:rsidRPr="00016904">
        <w:t>„</w:t>
      </w:r>
      <w:r w:rsidR="00D80F7D" w:rsidRPr="00016904">
        <w:t>Tiesas sēdi pilnā apjomā fiksē, izmantojot skaņu vai skaņu un attēlu ierakstu vai citus tehniskos līdzekļus, bet, ja tas nav iespējams, tiesas sēdi fiksē rakstveidā.”</w:t>
      </w:r>
    </w:p>
    <w:p w14:paraId="4FF64B94" w14:textId="77777777" w:rsidR="0031154E" w:rsidRPr="00651AE3" w:rsidRDefault="00D80F7D" w:rsidP="0031154E">
      <w:pPr>
        <w:spacing w:after="0" w:line="276" w:lineRule="auto"/>
        <w:ind w:firstLine="720"/>
        <w:jc w:val="both"/>
      </w:pPr>
      <w:r w:rsidRPr="00016904">
        <w:t>Likumprojek</w:t>
      </w:r>
      <w:r w:rsidR="00E74D44" w:rsidRPr="00016904">
        <w:t>t</w:t>
      </w:r>
      <w:r w:rsidRPr="00016904">
        <w:t xml:space="preserve">a anotācijā norādīts, ka grozījumi Kriminālprocesa likuma 482., 483. un 484. pantā ir savstarpēji saistīti un vērsti uz tiesas sēžu protokola regulējuma precizēšanu. Ņemot vērā, ka tiesas sēdes protokoli praksē tiek fiksēti divos veidos – rakstveidā vai ar tehniskajiem līdzekļiem – nepieciešams pilnveidot regulējumu. Grozījumi Kriminālprocesa likuma 482. panta pirmajā daļā paredz noteikt tiesas sēdes protokola definīciju. Atbilstoši grozījumiem tiesas sēdes protokols ir procesuāls dokuments, kuru var veidot divos veidos – rakstveidā fiksējot lietas iztiesāšanas gaitu un tiesas sēdē pieņemtos lēmumus vai pilnā apjomā tiesas sēdes gaitu fiksējot skaņu vai skaņu un attēla ierakstā, tostarp izmantojot audio un video protokolu rīku (Pieejams: </w:t>
      </w:r>
      <w:hyperlink r:id="rId9" w:anchor="B" w:history="1">
        <w:r w:rsidR="00886E1F" w:rsidRPr="00016904">
          <w:rPr>
            <w:rStyle w:val="Hyperlink"/>
            <w:i/>
            <w:iCs/>
          </w:rPr>
          <w:t>https://titania.saeima.lv/LIVS13/SaeimaLIVS13.nsf/0/2E0516CD0CED0C40C225865B002AB9BF?OpenDocument#B</w:t>
        </w:r>
      </w:hyperlink>
      <w:r w:rsidRPr="00651AE3">
        <w:t>).</w:t>
      </w:r>
    </w:p>
    <w:p w14:paraId="161CFF5D" w14:textId="75D0DC2C" w:rsidR="0000060A" w:rsidRDefault="00886E1F" w:rsidP="0000060A">
      <w:pPr>
        <w:pStyle w:val="NormalWeb"/>
        <w:shd w:val="clear" w:color="auto" w:fill="FFFFFF"/>
        <w:spacing w:line="276" w:lineRule="auto"/>
        <w:ind w:firstLine="720"/>
        <w:contextualSpacing/>
        <w:jc w:val="both"/>
      </w:pPr>
      <w:r w:rsidRPr="00651AE3">
        <w:t>Rezumējot minēto,</w:t>
      </w:r>
      <w:r w:rsidR="0031154E" w:rsidRPr="00651AE3">
        <w:t xml:space="preserve"> </w:t>
      </w:r>
      <w:r w:rsidR="00224CD8" w:rsidRPr="00651AE3">
        <w:t>Senāts secina</w:t>
      </w:r>
      <w:r w:rsidR="00F76344" w:rsidRPr="00651AE3">
        <w:t>:</w:t>
      </w:r>
      <w:r w:rsidR="00D80F7D" w:rsidRPr="00651AE3">
        <w:t xml:space="preserve"> </w:t>
      </w:r>
      <w:bookmarkStart w:id="19" w:name="_Hlk215045610"/>
      <w:bookmarkStart w:id="20" w:name="_Hlk215046004"/>
      <w:r w:rsidR="0000060A">
        <w:t xml:space="preserve">Kriminālprocesa likuma </w:t>
      </w:r>
      <w:r w:rsidR="0000060A" w:rsidRPr="00651AE3">
        <w:t xml:space="preserve">tiesiskais regulējums </w:t>
      </w:r>
      <w:r w:rsidR="0000060A">
        <w:t xml:space="preserve">gan </w:t>
      </w:r>
      <w:r w:rsidR="0000060A" w:rsidRPr="00651AE3">
        <w:t>līdz 2021. gada 1. novembrim</w:t>
      </w:r>
      <w:r w:rsidR="002F16D6">
        <w:t>,</w:t>
      </w:r>
      <w:r w:rsidR="0000060A" w:rsidRPr="00651AE3">
        <w:t xml:space="preserve"> gan </w:t>
      </w:r>
      <w:r w:rsidR="0000060A">
        <w:t>pēc minētā datuma</w:t>
      </w:r>
      <w:r w:rsidR="0000060A" w:rsidRPr="00651AE3">
        <w:t xml:space="preserve"> pieļā</w:t>
      </w:r>
      <w:r w:rsidR="0000060A">
        <w:t>va</w:t>
      </w:r>
      <w:r w:rsidR="0000060A" w:rsidRPr="00651AE3">
        <w:t xml:space="preserve"> tiesas sēdes gaitu fiksē</w:t>
      </w:r>
      <w:bookmarkEnd w:id="19"/>
      <w:r w:rsidR="0000060A">
        <w:t xml:space="preserve">t tikai rakstveida protokolā, kaut arī </w:t>
      </w:r>
      <w:r w:rsidR="0000060A" w:rsidRPr="0000060A">
        <w:t xml:space="preserve">vispārīgi tiesās </w:t>
      </w:r>
      <w:r w:rsidR="0000060A">
        <w:t>tika</w:t>
      </w:r>
      <w:r w:rsidR="0000060A" w:rsidRPr="0000060A">
        <w:t xml:space="preserve"> veikti pasākumi, lai nodrošinātu iespēju tiesas sēdes gaitu fiksēt arī audio un video ierakstā</w:t>
      </w:r>
      <w:r w:rsidR="0000060A">
        <w:t>.</w:t>
      </w:r>
      <w:bookmarkEnd w:id="20"/>
    </w:p>
    <w:p w14:paraId="403D36A4" w14:textId="67E75582" w:rsidR="0000060A" w:rsidRDefault="00D80F7D" w:rsidP="0000060A">
      <w:pPr>
        <w:pStyle w:val="NormalWeb"/>
        <w:shd w:val="clear" w:color="auto" w:fill="FFFFFF"/>
        <w:spacing w:after="0" w:line="276" w:lineRule="auto"/>
        <w:ind w:firstLine="720"/>
        <w:contextualSpacing/>
        <w:jc w:val="both"/>
      </w:pPr>
      <w:r w:rsidRPr="00651AE3">
        <w:t>[7.</w:t>
      </w:r>
      <w:r w:rsidR="001427A9" w:rsidRPr="00651AE3">
        <w:t>2</w:t>
      </w:r>
      <w:r w:rsidRPr="00651AE3">
        <w:t>.</w:t>
      </w:r>
      <w:r w:rsidR="001427A9" w:rsidRPr="00651AE3">
        <w:t>2</w:t>
      </w:r>
      <w:r w:rsidRPr="00651AE3">
        <w:t>]</w:t>
      </w:r>
      <w:r w:rsidR="00B6430E" w:rsidRPr="00651AE3">
        <w:t xml:space="preserve"> Senāts konstatē, ka</w:t>
      </w:r>
      <w:r w:rsidRPr="00651AE3">
        <w:t xml:space="preserve"> </w:t>
      </w:r>
      <w:r w:rsidR="00B6430E" w:rsidRPr="00651AE3">
        <w:t>i</w:t>
      </w:r>
      <w:r w:rsidR="001427A9" w:rsidRPr="00651AE3">
        <w:t xml:space="preserve">zskatāmajā lietā </w:t>
      </w:r>
      <w:r w:rsidRPr="00651AE3">
        <w:t>tiesas sēdes</w:t>
      </w:r>
      <w:r w:rsidR="00DC116B">
        <w:t xml:space="preserve"> </w:t>
      </w:r>
      <w:r w:rsidR="00DC116B" w:rsidRPr="00651AE3">
        <w:t>vairumā gadījumu</w:t>
      </w:r>
      <w:r w:rsidR="00224CD8" w:rsidRPr="00651AE3">
        <w:t xml:space="preserve">, tajā skaitā 2017. gada </w:t>
      </w:r>
      <w:r w:rsidR="00804998">
        <w:t>[..]</w:t>
      </w:r>
      <w:r w:rsidR="00224CD8" w:rsidRPr="00651AE3">
        <w:t xml:space="preserve"> tiesas sēde,</w:t>
      </w:r>
      <w:r w:rsidR="00B6430E" w:rsidRPr="00651AE3">
        <w:t xml:space="preserve"> </w:t>
      </w:r>
      <w:r w:rsidR="006074BC" w:rsidRPr="00651AE3">
        <w:t xml:space="preserve">kas norādīta </w:t>
      </w:r>
      <w:r w:rsidR="00DC116B">
        <w:t xml:space="preserve">apsūdzētā </w:t>
      </w:r>
      <w:r w:rsidR="00804998">
        <w:t>[pers. A]</w:t>
      </w:r>
      <w:r w:rsidR="00DC116B">
        <w:t xml:space="preserve"> </w:t>
      </w:r>
      <w:r w:rsidR="006074BC" w:rsidRPr="00651AE3">
        <w:t>aizstāvja</w:t>
      </w:r>
      <w:r w:rsidR="00B6430E" w:rsidRPr="00651AE3">
        <w:t xml:space="preserve"> kasācijas sūdzībā</w:t>
      </w:r>
      <w:r w:rsidR="000B167F">
        <w:t>,</w:t>
      </w:r>
      <w:r w:rsidR="006A586F" w:rsidRPr="00651AE3">
        <w:t xml:space="preserve"> </w:t>
      </w:r>
      <w:r w:rsidRPr="00651AE3">
        <w:t>fiksēta</w:t>
      </w:r>
      <w:r w:rsidR="009E55E8" w:rsidRPr="00651AE3">
        <w:t>s</w:t>
      </w:r>
      <w:r w:rsidRPr="00651AE3">
        <w:t xml:space="preserve"> tikai rakstveidā, iekļaujot </w:t>
      </w:r>
      <w:r w:rsidR="00325BCF" w:rsidRPr="00651AE3">
        <w:t xml:space="preserve">tiesas sēžu protokolos </w:t>
      </w:r>
      <w:r w:rsidRPr="00651AE3">
        <w:t xml:space="preserve">Kriminālprocesa likuma 484. panta ceturtajā daļā norādīto informāciju. </w:t>
      </w:r>
    </w:p>
    <w:p w14:paraId="67DCFAF3" w14:textId="43EFCEA8" w:rsidR="00D80F7D" w:rsidRPr="00651AE3" w:rsidRDefault="00D80F7D" w:rsidP="0000060A">
      <w:pPr>
        <w:pStyle w:val="NormalWeb"/>
        <w:shd w:val="clear" w:color="auto" w:fill="FFFFFF"/>
        <w:spacing w:after="0" w:line="276" w:lineRule="auto"/>
        <w:ind w:firstLine="720"/>
        <w:contextualSpacing/>
        <w:jc w:val="both"/>
      </w:pPr>
      <w:r w:rsidRPr="00651AE3">
        <w:t>[7.</w:t>
      </w:r>
      <w:r w:rsidR="001427A9" w:rsidRPr="00651AE3">
        <w:t>2</w:t>
      </w:r>
      <w:r w:rsidRPr="00651AE3">
        <w:t>.</w:t>
      </w:r>
      <w:r w:rsidR="00E904F0" w:rsidRPr="00651AE3">
        <w:t>3</w:t>
      </w:r>
      <w:r w:rsidRPr="00651AE3">
        <w:t xml:space="preserve">] </w:t>
      </w:r>
      <w:r w:rsidR="000B167F">
        <w:t>Arī a</w:t>
      </w:r>
      <w:r w:rsidRPr="00651AE3">
        <w:t xml:space="preserve">psūdzētā </w:t>
      </w:r>
      <w:r w:rsidR="00804998">
        <w:t>[pers. B]</w:t>
      </w:r>
      <w:r w:rsidR="00B6430E" w:rsidRPr="00651AE3">
        <w:t xml:space="preserve"> kasācijas sūdzībā</w:t>
      </w:r>
      <w:r w:rsidR="00CE59D3" w:rsidRPr="00651AE3">
        <w:t xml:space="preserve"> </w:t>
      </w:r>
      <w:r w:rsidR="00B6430E" w:rsidRPr="00651AE3">
        <w:t>norādīt</w:t>
      </w:r>
      <w:r w:rsidR="000B167F">
        <w:t>ajā</w:t>
      </w:r>
      <w:r w:rsidRPr="00651AE3">
        <w:t xml:space="preserve"> 2022. gada </w:t>
      </w:r>
      <w:r w:rsidR="00804998">
        <w:t>[..]</w:t>
      </w:r>
      <w:r w:rsidRPr="00651AE3">
        <w:t xml:space="preserve"> tiesas sēdē netika veikts skaņu ierakst</w:t>
      </w:r>
      <w:r w:rsidR="00CE59D3" w:rsidRPr="00651AE3">
        <w:t>s</w:t>
      </w:r>
      <w:r w:rsidR="00911786" w:rsidRPr="00651AE3">
        <w:t>. Vienlaikus Senāts konstatē, ka</w:t>
      </w:r>
      <w:r w:rsidR="00AF2F0B" w:rsidRPr="00651AE3">
        <w:t xml:space="preserve"> </w:t>
      </w:r>
      <w:r w:rsidRPr="00651AE3">
        <w:t>tiesas sēdes protokola saturs</w:t>
      </w:r>
      <w:r w:rsidR="00E904F0" w:rsidRPr="00651AE3">
        <w:t xml:space="preserve"> (</w:t>
      </w:r>
      <w:r w:rsidR="00E904F0" w:rsidRPr="00651AE3">
        <w:rPr>
          <w:i/>
          <w:iCs/>
        </w:rPr>
        <w:t>lietas 11. sējuma 222. lapa</w:t>
      </w:r>
      <w:r w:rsidR="00E904F0" w:rsidRPr="00651AE3">
        <w:t>)</w:t>
      </w:r>
      <w:r w:rsidRPr="00651AE3">
        <w:t xml:space="preserve"> atbilst Kriminālprocesa likuma 484. pantā noteiktaj</w:t>
      </w:r>
      <w:r w:rsidR="00AF2F0B" w:rsidRPr="00651AE3">
        <w:t>am</w:t>
      </w:r>
      <w:r w:rsidRPr="00651AE3">
        <w:t xml:space="preserve">. </w:t>
      </w:r>
    </w:p>
    <w:p w14:paraId="39BA1AF9" w14:textId="585AD655" w:rsidR="000745E2" w:rsidRPr="00651AE3" w:rsidRDefault="009E55E8" w:rsidP="0000060A">
      <w:pPr>
        <w:spacing w:after="0" w:line="276" w:lineRule="auto"/>
        <w:ind w:firstLine="720"/>
        <w:jc w:val="both"/>
      </w:pPr>
      <w:r w:rsidRPr="00651AE3">
        <w:t>Pretēji kasācijas sūdzībā norādītajam n</w:t>
      </w:r>
      <w:r w:rsidR="000745E2" w:rsidRPr="00651AE3">
        <w:t>o minētās tiesību normas neizriet prasība rakstveida protokolā fiksēt tiesas sēdē pasludinātā saīsinātā sprieduma saturu</w:t>
      </w:r>
      <w:r w:rsidR="006074BC" w:rsidRPr="00651AE3">
        <w:t xml:space="preserve"> – t</w:t>
      </w:r>
      <w:r w:rsidR="000745E2" w:rsidRPr="00651AE3">
        <w:t>as</w:t>
      </w:r>
      <w:r w:rsidR="006074BC" w:rsidRPr="00651AE3">
        <w:t xml:space="preserve"> ir</w:t>
      </w:r>
      <w:r w:rsidR="000745E2" w:rsidRPr="00651AE3">
        <w:t xml:space="preserve"> atspoguļojams saīsinātajā spriedumā (sk. Kriminālprocesa likuma 320. pantu un 530. panta pirmo daļu).</w:t>
      </w:r>
    </w:p>
    <w:p w14:paraId="067E6247" w14:textId="44D633AE" w:rsidR="00DC51B1" w:rsidRPr="00651AE3" w:rsidRDefault="002A2695" w:rsidP="00DC51B1">
      <w:pPr>
        <w:spacing w:after="0" w:line="276" w:lineRule="auto"/>
        <w:ind w:firstLine="720"/>
        <w:jc w:val="both"/>
        <w:rPr>
          <w:strike/>
        </w:rPr>
      </w:pPr>
      <w:r w:rsidRPr="00651AE3">
        <w:t>Ievērojo</w:t>
      </w:r>
      <w:r w:rsidR="00D80F7D" w:rsidRPr="00651AE3">
        <w:t xml:space="preserve">t minēto, </w:t>
      </w:r>
      <w:r w:rsidR="00911786" w:rsidRPr="00651AE3">
        <w:t>Senāts</w:t>
      </w:r>
      <w:r w:rsidR="006074BC" w:rsidRPr="00651AE3">
        <w:t xml:space="preserve"> atzīst</w:t>
      </w:r>
      <w:r w:rsidR="00DC51B1" w:rsidRPr="00651AE3">
        <w:t xml:space="preserve">, ka apelācijas instances tiesa, nav pieļāvusi </w:t>
      </w:r>
      <w:r w:rsidR="00D80F7D" w:rsidRPr="00651AE3">
        <w:t xml:space="preserve">Kriminālprocesa likuma </w:t>
      </w:r>
      <w:r w:rsidR="00DC51B1" w:rsidRPr="00651AE3">
        <w:t xml:space="preserve">566. panta pārkāpumu. </w:t>
      </w:r>
    </w:p>
    <w:p w14:paraId="7301DCCF" w14:textId="77777777" w:rsidR="000745E2" w:rsidRPr="00651AE3" w:rsidRDefault="000745E2" w:rsidP="00E34A01">
      <w:pPr>
        <w:spacing w:after="0" w:line="276" w:lineRule="auto"/>
        <w:ind w:firstLine="709"/>
        <w:jc w:val="both"/>
        <w:rPr>
          <w:color w:val="000000" w:themeColor="text1"/>
        </w:rPr>
      </w:pPr>
    </w:p>
    <w:p w14:paraId="7FB54D8C" w14:textId="7C5A05B1" w:rsidR="00DC51B1" w:rsidRPr="00651AE3" w:rsidRDefault="00E34A01" w:rsidP="00016904">
      <w:pPr>
        <w:spacing w:after="0" w:line="276" w:lineRule="auto"/>
        <w:ind w:firstLine="709"/>
        <w:jc w:val="both"/>
        <w:rPr>
          <w:color w:val="000000" w:themeColor="text1"/>
        </w:rPr>
      </w:pPr>
      <w:r w:rsidRPr="00651AE3">
        <w:rPr>
          <w:color w:val="000000" w:themeColor="text1"/>
        </w:rPr>
        <w:t>[</w:t>
      </w:r>
      <w:r w:rsidR="000745E2" w:rsidRPr="00651AE3">
        <w:rPr>
          <w:color w:val="000000" w:themeColor="text1"/>
        </w:rPr>
        <w:t>8</w:t>
      </w:r>
      <w:r w:rsidRPr="00651AE3">
        <w:rPr>
          <w:color w:val="000000" w:themeColor="text1"/>
        </w:rPr>
        <w:t xml:space="preserve">] </w:t>
      </w:r>
      <w:r w:rsidR="009E55E8" w:rsidRPr="00651AE3">
        <w:rPr>
          <w:color w:val="000000" w:themeColor="text1"/>
        </w:rPr>
        <w:t>Tālāk Senāts pārbaudīs, vai</w:t>
      </w:r>
      <w:r w:rsidR="00474E11">
        <w:rPr>
          <w:color w:val="000000" w:themeColor="text1"/>
        </w:rPr>
        <w:t xml:space="preserve"> </w:t>
      </w:r>
      <w:r w:rsidR="00DC51B1" w:rsidRPr="00651AE3">
        <w:t>apelācijas instances tiesa, nekonstatējot apsūdzētā tiesību uz pēdējo vārdu pārkāpumu</w:t>
      </w:r>
      <w:r w:rsidR="005D4F61" w:rsidRPr="00651AE3">
        <w:t xml:space="preserve"> pirmās instances tiesā (Kriminālprocesa likuma 575. panta pirmās daļas 5. punkts)</w:t>
      </w:r>
      <w:r w:rsidR="00DC51B1" w:rsidRPr="00651AE3">
        <w:t>, ir pieļāvusi šā likuma 566. panta pārkāpumu.</w:t>
      </w:r>
    </w:p>
    <w:p w14:paraId="5DEBA4BC" w14:textId="3E39ECFD" w:rsidR="000745E2" w:rsidRPr="00651AE3" w:rsidRDefault="00D91279" w:rsidP="008A2A60">
      <w:pPr>
        <w:spacing w:after="0" w:line="276" w:lineRule="auto"/>
        <w:ind w:firstLine="709"/>
        <w:jc w:val="both"/>
      </w:pPr>
      <w:r w:rsidRPr="00651AE3">
        <w:rPr>
          <w:color w:val="000000" w:themeColor="text1"/>
        </w:rPr>
        <w:t xml:space="preserve">[8.1] </w:t>
      </w:r>
      <w:r w:rsidR="009E55E8" w:rsidRPr="00651AE3">
        <w:rPr>
          <w:color w:val="000000" w:themeColor="text1"/>
        </w:rPr>
        <w:t xml:space="preserve">Senāts konstatē, ka apsūdzētais </w:t>
      </w:r>
      <w:r w:rsidR="007C74F4">
        <w:t>[pers. B]</w:t>
      </w:r>
      <w:r w:rsidR="009E55E8" w:rsidRPr="00651AE3">
        <w:rPr>
          <w:color w:val="000000" w:themeColor="text1"/>
        </w:rPr>
        <w:t xml:space="preserve"> pēdējo vārdu ir teicis 2022. gada </w:t>
      </w:r>
      <w:r w:rsidR="007C74F4">
        <w:rPr>
          <w:color w:val="000000" w:themeColor="text1"/>
        </w:rPr>
        <w:t>[..]</w:t>
      </w:r>
      <w:r w:rsidR="009E55E8" w:rsidRPr="00651AE3">
        <w:rPr>
          <w:color w:val="000000" w:themeColor="text1"/>
        </w:rPr>
        <w:t xml:space="preserve"> tiesas sēdē</w:t>
      </w:r>
      <w:r w:rsidR="008A2A60" w:rsidRPr="00651AE3">
        <w:rPr>
          <w:color w:val="000000" w:themeColor="text1"/>
        </w:rPr>
        <w:t xml:space="preserve">, tā </w:t>
      </w:r>
      <w:r w:rsidR="000745E2" w:rsidRPr="00651AE3">
        <w:rPr>
          <w:color w:val="000000" w:themeColor="text1"/>
        </w:rPr>
        <w:t>ilgums bija vairāk nekā stunda</w:t>
      </w:r>
      <w:r w:rsidR="009E55E8" w:rsidRPr="00651AE3">
        <w:t>.</w:t>
      </w:r>
    </w:p>
    <w:p w14:paraId="5C3D136B" w14:textId="4E16657C" w:rsidR="00320B8D" w:rsidRPr="00651AE3" w:rsidRDefault="008328C2" w:rsidP="00320B8D">
      <w:pPr>
        <w:spacing w:after="0" w:line="276" w:lineRule="auto"/>
        <w:ind w:firstLine="720"/>
        <w:jc w:val="both"/>
      </w:pPr>
      <w:r w:rsidRPr="00651AE3">
        <w:t>P</w:t>
      </w:r>
      <w:r w:rsidR="00F46572" w:rsidRPr="00651AE3">
        <w:t>ēdējā vārd</w:t>
      </w:r>
      <w:r w:rsidRPr="00651AE3">
        <w:t>ā</w:t>
      </w:r>
      <w:r w:rsidR="00F46572" w:rsidRPr="00651AE3">
        <w:t xml:space="preserve"> tiesas sēdes priekšsēdētājs </w:t>
      </w:r>
      <w:r w:rsidR="00320B8D" w:rsidRPr="00651AE3">
        <w:t xml:space="preserve">apsūdzēto </w:t>
      </w:r>
      <w:r w:rsidRPr="00651AE3">
        <w:t xml:space="preserve">pārtraucis </w:t>
      </w:r>
      <w:r w:rsidR="00320B8D" w:rsidRPr="00651AE3">
        <w:t>trīs reizes.</w:t>
      </w:r>
    </w:p>
    <w:p w14:paraId="7EF75D95" w14:textId="3AE10747" w:rsidR="00F46572" w:rsidRPr="003057B8" w:rsidRDefault="00320B8D" w:rsidP="003057B8">
      <w:pPr>
        <w:spacing w:after="0" w:line="276" w:lineRule="auto"/>
        <w:ind w:firstLine="720"/>
        <w:jc w:val="both"/>
        <w:rPr>
          <w:i/>
          <w:iCs/>
        </w:rPr>
      </w:pPr>
      <w:r w:rsidRPr="00651AE3">
        <w:t xml:space="preserve">Vispirms tiesas sēdes priekšsēdētājs </w:t>
      </w:r>
      <w:r w:rsidR="00F46572" w:rsidRPr="00651AE3">
        <w:t>aicinājis apsūdzēto neatkārtot vienreiz</w:t>
      </w:r>
      <w:r w:rsidR="0013650D" w:rsidRPr="00651AE3">
        <w:t xml:space="preserve"> jau</w:t>
      </w:r>
      <w:r w:rsidR="00F46572" w:rsidRPr="00651AE3">
        <w:t xml:space="preserve"> izteiktos argumentus, </w:t>
      </w:r>
      <w:r w:rsidR="0000060A">
        <w:t>rosinot</w:t>
      </w:r>
      <w:r w:rsidR="00F46572" w:rsidRPr="00651AE3">
        <w:t xml:space="preserve"> apsūdzēto turpināt teikt pēdējo vārdu (</w:t>
      </w:r>
      <w:r w:rsidR="00F46572" w:rsidRPr="00651AE3">
        <w:rPr>
          <w:i/>
          <w:iCs/>
        </w:rPr>
        <w:t xml:space="preserve">tiesas sēdes </w:t>
      </w:r>
      <w:proofErr w:type="spellStart"/>
      <w:r w:rsidR="00F46572" w:rsidRPr="00651AE3">
        <w:rPr>
          <w:i/>
          <w:iCs/>
        </w:rPr>
        <w:t>audioprotokols</w:t>
      </w:r>
      <w:proofErr w:type="spellEnd"/>
      <w:r w:rsidR="00F46572" w:rsidRPr="00651AE3">
        <w:rPr>
          <w:i/>
          <w:iCs/>
        </w:rPr>
        <w:t>, 00:14:04</w:t>
      </w:r>
      <w:r w:rsidR="003057B8">
        <w:rPr>
          <w:i/>
          <w:iCs/>
        </w:rPr>
        <w:t>–</w:t>
      </w:r>
      <w:r w:rsidR="00F46572" w:rsidRPr="00651AE3">
        <w:rPr>
          <w:i/>
          <w:iCs/>
        </w:rPr>
        <w:t>00:14:15</w:t>
      </w:r>
      <w:r w:rsidR="00F46572" w:rsidRPr="00651AE3">
        <w:t xml:space="preserve">). </w:t>
      </w:r>
      <w:r w:rsidRPr="00651AE3">
        <w:t xml:space="preserve">Turpmāk </w:t>
      </w:r>
      <w:r w:rsidR="00F46572" w:rsidRPr="00651AE3">
        <w:t xml:space="preserve">tiesas sēdes priekšsēdētājs pārtraucis </w:t>
      </w:r>
      <w:r w:rsidR="00F46572" w:rsidRPr="00651AE3">
        <w:lastRenderedPageBreak/>
        <w:t xml:space="preserve">apsūdzēto, norādot, ka </w:t>
      </w:r>
      <w:r w:rsidRPr="00651AE3">
        <w:t>no jauna</w:t>
      </w:r>
      <w:r w:rsidR="0013650D" w:rsidRPr="00651AE3">
        <w:t xml:space="preserve"> tiek</w:t>
      </w:r>
      <w:r w:rsidR="00F46572" w:rsidRPr="00651AE3">
        <w:t xml:space="preserve"> atkārto</w:t>
      </w:r>
      <w:r w:rsidR="0013650D" w:rsidRPr="00651AE3">
        <w:t>ti</w:t>
      </w:r>
      <w:r w:rsidR="00F46572" w:rsidRPr="00651AE3">
        <w:t xml:space="preserve"> iepriekš izteikt</w:t>
      </w:r>
      <w:r w:rsidR="0013650D" w:rsidRPr="00651AE3">
        <w:t>ie</w:t>
      </w:r>
      <w:r w:rsidR="00F46572" w:rsidRPr="00651AE3">
        <w:t xml:space="preserve"> argument</w:t>
      </w:r>
      <w:r w:rsidR="0013650D" w:rsidRPr="00651AE3">
        <w:t>i</w:t>
      </w:r>
      <w:r w:rsidR="00F46572" w:rsidRPr="00651AE3">
        <w:t xml:space="preserve"> (</w:t>
      </w:r>
      <w:r w:rsidR="00F46572" w:rsidRPr="00651AE3">
        <w:rPr>
          <w:i/>
          <w:iCs/>
        </w:rPr>
        <w:t xml:space="preserve">tiesas sēdes </w:t>
      </w:r>
      <w:proofErr w:type="spellStart"/>
      <w:r w:rsidR="00F46572" w:rsidRPr="00651AE3">
        <w:rPr>
          <w:i/>
          <w:iCs/>
        </w:rPr>
        <w:t>audioprotokols</w:t>
      </w:r>
      <w:proofErr w:type="spellEnd"/>
      <w:r w:rsidR="00F46572" w:rsidRPr="00651AE3">
        <w:rPr>
          <w:i/>
          <w:iCs/>
        </w:rPr>
        <w:t>, 00:36:20</w:t>
      </w:r>
      <w:r w:rsidR="003057B8">
        <w:rPr>
          <w:i/>
          <w:iCs/>
        </w:rPr>
        <w:t>–</w:t>
      </w:r>
      <w:r w:rsidR="00F46572" w:rsidRPr="00651AE3">
        <w:rPr>
          <w:i/>
          <w:iCs/>
        </w:rPr>
        <w:t>00:37:03</w:t>
      </w:r>
      <w:r w:rsidR="00F46572" w:rsidRPr="00651AE3">
        <w:t>). Trešo reizi tiesas sēdes priekšsēdētājs apsūdzēto pārtraucis, izskaidrojot Kriminālprocesa likuma 508. panta trešo daļu un norādot, ka apsūdzēt</w:t>
      </w:r>
      <w:r w:rsidR="0013650D" w:rsidRPr="00651AE3">
        <w:t>ā</w:t>
      </w:r>
      <w:r w:rsidR="00F46572" w:rsidRPr="00651AE3">
        <w:t xml:space="preserve"> biogrāfijas </w:t>
      </w:r>
      <w:r w:rsidR="00CE7D1C" w:rsidRPr="00651AE3">
        <w:t>izklāstam nav sakara</w:t>
      </w:r>
      <w:r w:rsidR="00F46572" w:rsidRPr="00651AE3">
        <w:t xml:space="preserve"> ar lietu (</w:t>
      </w:r>
      <w:r w:rsidR="00F46572" w:rsidRPr="00651AE3">
        <w:rPr>
          <w:i/>
          <w:iCs/>
        </w:rPr>
        <w:t xml:space="preserve">tiesas sēdes </w:t>
      </w:r>
      <w:proofErr w:type="spellStart"/>
      <w:r w:rsidR="00F46572" w:rsidRPr="00651AE3">
        <w:rPr>
          <w:i/>
          <w:iCs/>
        </w:rPr>
        <w:t>audioprotokols</w:t>
      </w:r>
      <w:proofErr w:type="spellEnd"/>
      <w:r w:rsidR="00F46572" w:rsidRPr="00651AE3">
        <w:rPr>
          <w:i/>
          <w:iCs/>
        </w:rPr>
        <w:t>, 01:02:31</w:t>
      </w:r>
      <w:r w:rsidR="003057B8">
        <w:rPr>
          <w:i/>
          <w:iCs/>
        </w:rPr>
        <w:t>–</w:t>
      </w:r>
      <w:r w:rsidR="00F46572" w:rsidRPr="00651AE3">
        <w:rPr>
          <w:i/>
          <w:iCs/>
        </w:rPr>
        <w:t>01:05:48</w:t>
      </w:r>
      <w:r w:rsidR="00F46572" w:rsidRPr="00651AE3">
        <w:t xml:space="preserve">). </w:t>
      </w:r>
    </w:p>
    <w:p w14:paraId="1251BA36" w14:textId="22043006" w:rsidR="008A2A60" w:rsidRPr="00651AE3" w:rsidRDefault="00D91279" w:rsidP="008A2A60">
      <w:pPr>
        <w:spacing w:after="0" w:line="276" w:lineRule="auto"/>
        <w:ind w:firstLine="709"/>
        <w:jc w:val="both"/>
        <w:rPr>
          <w:color w:val="000000" w:themeColor="text1"/>
        </w:rPr>
      </w:pPr>
      <w:r w:rsidRPr="00651AE3">
        <w:t xml:space="preserve">[8.2] </w:t>
      </w:r>
      <w:r w:rsidR="008A2A60" w:rsidRPr="00651AE3">
        <w:t xml:space="preserve">Kriminālprocesa likuma 508. panta trešā daļa noteic, ka tiesas sēdes priekšsēdētājs var pārtraukt apsūdzētā pēdējo vārdu, ja viņš runā par apstākļiem, kam nav sakara ar lietu, atkārto vienus un tos pašus argumentus par vieniem un tiem pašiem faktiem, novilcina lietas iztiesāšanu vai izrāda necieņu tiesai vai lietas dalībniekiem. </w:t>
      </w:r>
    </w:p>
    <w:p w14:paraId="68E27294" w14:textId="646160D6" w:rsidR="008A31C7" w:rsidRPr="00651AE3" w:rsidRDefault="008328C2" w:rsidP="008A31C7">
      <w:pPr>
        <w:spacing w:after="0" w:line="276" w:lineRule="auto"/>
        <w:ind w:firstLine="720"/>
        <w:jc w:val="both"/>
      </w:pPr>
      <w:r w:rsidRPr="00651AE3">
        <w:t>Senāts atzīst, ka t</w:t>
      </w:r>
      <w:r w:rsidR="008A31C7" w:rsidRPr="00651AE3">
        <w:t xml:space="preserve">iesas sēdes priekšsēdētāja rīcība, pārtraucot apsūdzēto minētajās situācijās un norādot uz pienākumu ievērot Kriminālprocesa likuma 508. panta trešās daļas prasības, ir </w:t>
      </w:r>
      <w:r w:rsidR="002C3017" w:rsidRPr="00651AE3">
        <w:t xml:space="preserve">vērtējama kā </w:t>
      </w:r>
      <w:r w:rsidR="008A31C7" w:rsidRPr="00651AE3">
        <w:t>likumam atbilstoša.</w:t>
      </w:r>
    </w:p>
    <w:p w14:paraId="07959A69" w14:textId="664C8CB3" w:rsidR="00651AE3" w:rsidRDefault="00C517DC" w:rsidP="00511A04">
      <w:pPr>
        <w:spacing w:after="0" w:line="276" w:lineRule="auto"/>
        <w:ind w:firstLine="720"/>
        <w:jc w:val="both"/>
      </w:pPr>
      <w:r w:rsidRPr="00651AE3">
        <w:t xml:space="preserve">Ievērojot minēto, Senāts atzīst, ka apelācijas instances tiesa, nekonstatējot apsūdzētā </w:t>
      </w:r>
      <w:r w:rsidR="007C74F4">
        <w:t>[pers. B]</w:t>
      </w:r>
      <w:r w:rsidRPr="00651AE3">
        <w:t xml:space="preserve"> tiesību uz pēdējo vārdu </w:t>
      </w:r>
      <w:r w:rsidR="002F16D6">
        <w:t>nepamatotu ierobežošanu</w:t>
      </w:r>
      <w:r w:rsidRPr="00651AE3">
        <w:t xml:space="preserve">, nav pieļāvusi Kriminālprocesa likuma 566. panta pārkāpumu. </w:t>
      </w:r>
    </w:p>
    <w:p w14:paraId="3E1F2D47" w14:textId="77777777" w:rsidR="00651AE3" w:rsidRDefault="00651AE3" w:rsidP="00511A04">
      <w:pPr>
        <w:spacing w:after="0" w:line="276" w:lineRule="auto"/>
        <w:ind w:firstLine="720"/>
        <w:jc w:val="both"/>
      </w:pPr>
    </w:p>
    <w:p w14:paraId="2CD6A6DF" w14:textId="758DE96A" w:rsidR="00C01440" w:rsidRPr="00651AE3" w:rsidRDefault="00511A04" w:rsidP="0078476E">
      <w:pPr>
        <w:spacing w:after="0" w:line="276" w:lineRule="auto"/>
        <w:ind w:firstLine="720"/>
        <w:jc w:val="both"/>
        <w:rPr>
          <w:color w:val="000000" w:themeColor="text1"/>
        </w:rPr>
      </w:pPr>
      <w:r w:rsidRPr="00651AE3">
        <w:rPr>
          <w:color w:val="000000" w:themeColor="text1"/>
        </w:rPr>
        <w:t>[</w:t>
      </w:r>
      <w:r w:rsidR="008328C2" w:rsidRPr="00651AE3">
        <w:rPr>
          <w:color w:val="000000" w:themeColor="text1"/>
        </w:rPr>
        <w:t>9</w:t>
      </w:r>
      <w:r w:rsidRPr="00651AE3">
        <w:rPr>
          <w:color w:val="000000" w:themeColor="text1"/>
        </w:rPr>
        <w:t xml:space="preserve">] </w:t>
      </w:r>
      <w:r w:rsidR="0078476E">
        <w:rPr>
          <w:color w:val="000000" w:themeColor="text1"/>
        </w:rPr>
        <w:t xml:space="preserve">Tālāk </w:t>
      </w:r>
      <w:r w:rsidR="005D4F61" w:rsidRPr="00651AE3">
        <w:rPr>
          <w:color w:val="000000" w:themeColor="text1"/>
        </w:rPr>
        <w:t xml:space="preserve">Senāts pārbaudīs, vai </w:t>
      </w:r>
      <w:r w:rsidR="005D4F61" w:rsidRPr="00651AE3">
        <w:t>apelācijas instances tiesa, nekonstatējot tiesas apspriedes istabas noslēpuma pārkāpumu pirmās instances tiesā (Kriminālprocesa likuma 575. panta pirmās daļas 7. punkts), ir pieļāvusi šā likuma 566. panta pārkāpumu.</w:t>
      </w:r>
    </w:p>
    <w:p w14:paraId="12924CAB" w14:textId="17087D7B" w:rsidR="008328C2" w:rsidRPr="00651AE3" w:rsidRDefault="00D91279" w:rsidP="00497D81">
      <w:pPr>
        <w:spacing w:after="0" w:line="276" w:lineRule="auto"/>
        <w:ind w:firstLine="720"/>
        <w:jc w:val="both"/>
        <w:rPr>
          <w:i/>
          <w:iCs/>
          <w:color w:val="000000" w:themeColor="text1"/>
        </w:rPr>
      </w:pPr>
      <w:r w:rsidRPr="00651AE3">
        <w:rPr>
          <w:color w:val="000000" w:themeColor="text1"/>
        </w:rPr>
        <w:t xml:space="preserve">[9.1] </w:t>
      </w:r>
      <w:r w:rsidR="008328C2" w:rsidRPr="00651AE3">
        <w:rPr>
          <w:color w:val="000000" w:themeColor="text1"/>
        </w:rPr>
        <w:t xml:space="preserve">No lietas materiāliem izriet, ka 2022. gada </w:t>
      </w:r>
      <w:r w:rsidR="007C74F4">
        <w:rPr>
          <w:color w:val="000000" w:themeColor="text1"/>
        </w:rPr>
        <w:t>[..]</w:t>
      </w:r>
      <w:r w:rsidR="008328C2" w:rsidRPr="00651AE3">
        <w:rPr>
          <w:color w:val="000000" w:themeColor="text1"/>
        </w:rPr>
        <w:t xml:space="preserve"> plkst. 15.54 pēc apsūdzētā </w:t>
      </w:r>
      <w:r w:rsidR="007C74F4">
        <w:t xml:space="preserve">[pers. B] </w:t>
      </w:r>
      <w:r w:rsidR="008328C2" w:rsidRPr="00651AE3">
        <w:rPr>
          <w:color w:val="000000" w:themeColor="text1"/>
        </w:rPr>
        <w:t xml:space="preserve">pēdējā vārda tiesa devusies apspriežu istabā pieņemt nolēmumu un atgriezusies tiesas sēžu zālē 2022. gada </w:t>
      </w:r>
      <w:r w:rsidR="007C74F4">
        <w:rPr>
          <w:color w:val="000000" w:themeColor="text1"/>
        </w:rPr>
        <w:t>[nākamajā dienā]</w:t>
      </w:r>
      <w:r w:rsidR="008328C2" w:rsidRPr="00651AE3">
        <w:rPr>
          <w:color w:val="000000" w:themeColor="text1"/>
        </w:rPr>
        <w:t xml:space="preserve"> plkst. 9.00</w:t>
      </w:r>
      <w:r w:rsidR="00162C66">
        <w:rPr>
          <w:color w:val="000000" w:themeColor="text1"/>
        </w:rPr>
        <w:t>,</w:t>
      </w:r>
      <w:r w:rsidR="008328C2" w:rsidRPr="00651AE3">
        <w:rPr>
          <w:color w:val="000000" w:themeColor="text1"/>
        </w:rPr>
        <w:t xml:space="preserve"> un pasludinājusi saīsināto spriedumu (</w:t>
      </w:r>
      <w:r w:rsidR="008328C2" w:rsidRPr="00651AE3">
        <w:rPr>
          <w:i/>
          <w:iCs/>
          <w:color w:val="000000" w:themeColor="text1"/>
        </w:rPr>
        <w:t>lietas 11. sējuma 220.</w:t>
      </w:r>
      <w:r w:rsidR="00497D81" w:rsidRPr="00651AE3">
        <w:rPr>
          <w:i/>
          <w:iCs/>
          <w:color w:val="000000" w:themeColor="text1"/>
        </w:rPr>
        <w:t>–</w:t>
      </w:r>
      <w:r w:rsidR="008328C2" w:rsidRPr="00651AE3">
        <w:rPr>
          <w:i/>
          <w:iCs/>
          <w:color w:val="000000" w:themeColor="text1"/>
        </w:rPr>
        <w:t>221., 222. lapa</w:t>
      </w:r>
      <w:r w:rsidR="008328C2" w:rsidRPr="00651AE3">
        <w:rPr>
          <w:color w:val="000000" w:themeColor="text1"/>
        </w:rPr>
        <w:t xml:space="preserve">). </w:t>
      </w:r>
    </w:p>
    <w:p w14:paraId="41CC72C8" w14:textId="5947BA02" w:rsidR="00C01440" w:rsidRDefault="00D91279" w:rsidP="00C01440">
      <w:pPr>
        <w:spacing w:after="0" w:line="276" w:lineRule="auto"/>
        <w:ind w:firstLine="720"/>
        <w:jc w:val="both"/>
        <w:rPr>
          <w:color w:val="000000" w:themeColor="text1"/>
        </w:rPr>
      </w:pPr>
      <w:r w:rsidRPr="00651AE3">
        <w:rPr>
          <w:color w:val="000000" w:themeColor="text1"/>
        </w:rPr>
        <w:t xml:space="preserve">[9.2] </w:t>
      </w:r>
      <w:r w:rsidR="00C01440" w:rsidRPr="00651AE3">
        <w:rPr>
          <w:color w:val="000000" w:themeColor="text1"/>
        </w:rPr>
        <w:t xml:space="preserve">Saskaņā ar Kriminālprocesa likuma 510. panta pirmo daļu pēc apsūdzētā pēdējā vārda tiesa aiziet apspriežu istabā taisīt spriedumu, un par to tiesas sēdes priekšsēdētājs paziņo tiesas sēdē klātesošajiem, nosakot sprieduma pasludināšanas laiku tuvākajās 14 dienās un vietu. Atbilstoši Kriminālprocesa likuma 513. panta pirmajai daļai tiesas apspriede notiek apspriežu istabā. </w:t>
      </w:r>
    </w:p>
    <w:p w14:paraId="7196F10D" w14:textId="6B2D5AD0" w:rsidR="00273891" w:rsidRPr="00651AE3" w:rsidRDefault="00C01440" w:rsidP="00273891">
      <w:pPr>
        <w:spacing w:after="0" w:line="276" w:lineRule="auto"/>
        <w:ind w:firstLine="720"/>
        <w:jc w:val="both"/>
        <w:rPr>
          <w:rFonts w:eastAsia="Times New Roman" w:cs="Times New Roman"/>
        </w:rPr>
      </w:pPr>
      <w:bookmarkStart w:id="21" w:name="_Hlk215047477"/>
      <w:r w:rsidRPr="00651AE3">
        <w:rPr>
          <w:rFonts w:eastAsia="Times New Roman" w:cs="Times New Roman"/>
        </w:rPr>
        <w:t>Kriminālprocesa likumā nav noteikts laiks, kāds tiesai jāpavada apspriežu istabā</w:t>
      </w:r>
      <w:r w:rsidR="00FC6FE6">
        <w:rPr>
          <w:rFonts w:eastAsia="Times New Roman" w:cs="Times New Roman"/>
        </w:rPr>
        <w:t xml:space="preserve"> nolēmuma pieņemšanai</w:t>
      </w:r>
      <w:r w:rsidR="00273891">
        <w:rPr>
          <w:rFonts w:eastAsia="Times New Roman" w:cs="Times New Roman"/>
        </w:rPr>
        <w:t>.</w:t>
      </w:r>
      <w:r w:rsidRPr="00651AE3">
        <w:rPr>
          <w:rFonts w:eastAsia="Times New Roman" w:cs="Times New Roman"/>
        </w:rPr>
        <w:t xml:space="preserve"> </w:t>
      </w:r>
      <w:r w:rsidR="00273891">
        <w:rPr>
          <w:rFonts w:eastAsia="Times New Roman" w:cs="Times New Roman"/>
        </w:rPr>
        <w:t xml:space="preserve">Turklāt to </w:t>
      </w:r>
      <w:r w:rsidR="00273891" w:rsidRPr="00651AE3">
        <w:rPr>
          <w:rFonts w:eastAsia="Times New Roman" w:cs="Times New Roman"/>
        </w:rPr>
        <w:t>neierobežo tiesā noteiktais oficiālais darba laiks.</w:t>
      </w:r>
    </w:p>
    <w:p w14:paraId="1D766EE4" w14:textId="15912CFE" w:rsidR="00273891" w:rsidRDefault="00273891" w:rsidP="00273891">
      <w:pPr>
        <w:spacing w:after="0" w:line="276" w:lineRule="auto"/>
        <w:ind w:firstLine="720"/>
        <w:jc w:val="both"/>
        <w:rPr>
          <w:rFonts w:eastAsia="Times New Roman" w:cs="Times New Roman"/>
        </w:rPr>
      </w:pPr>
      <w:r>
        <w:rPr>
          <w:rFonts w:eastAsia="Times New Roman" w:cs="Times New Roman"/>
        </w:rPr>
        <w:t>Senāta judikatūrā ir atzīts, ka l</w:t>
      </w:r>
      <w:r w:rsidR="00C01440" w:rsidRPr="00651AE3">
        <w:rPr>
          <w:rFonts w:eastAsia="Times New Roman" w:cs="Times New Roman"/>
        </w:rPr>
        <w:t>aika sprīdim, kādā ir pieņemts nolēmums, pašam par sevi nevajadzētu būt noteicošam apstāklim, kas rada šaubas par tiesas objektivitāti, neatkarību un godīgumu. Katrā gadījumā ir jāņem vērā visi apstākļi, kas var ietekmēt nolēmuma taisīšanas ilgumu (</w:t>
      </w:r>
      <w:r>
        <w:rPr>
          <w:rFonts w:eastAsia="Times New Roman" w:cs="Times New Roman"/>
        </w:rPr>
        <w:t xml:space="preserve">sk. </w:t>
      </w:r>
      <w:bookmarkStart w:id="22" w:name="_Hlk217297453"/>
      <w:r w:rsidR="008328C2" w:rsidRPr="00651AE3">
        <w:rPr>
          <w:rFonts w:eastAsia="Times New Roman" w:cs="Times New Roman"/>
          <w:i/>
          <w:iCs/>
        </w:rPr>
        <w:t xml:space="preserve">Senāta </w:t>
      </w:r>
      <w:r w:rsidR="00C01440" w:rsidRPr="00651AE3">
        <w:rPr>
          <w:rFonts w:eastAsia="Times New Roman" w:cs="Times New Roman"/>
          <w:i/>
          <w:iCs/>
        </w:rPr>
        <w:t>2018. gada 31. oktobra lēmuma lietā Nr. SKK-</w:t>
      </w:r>
      <w:r w:rsidR="008852E6">
        <w:rPr>
          <w:rFonts w:eastAsia="Times New Roman" w:cs="Times New Roman"/>
          <w:i/>
          <w:iCs/>
        </w:rPr>
        <w:t> </w:t>
      </w:r>
      <w:r w:rsidR="00C01440" w:rsidRPr="00651AE3">
        <w:rPr>
          <w:rFonts w:eastAsia="Times New Roman" w:cs="Times New Roman"/>
          <w:i/>
          <w:iCs/>
        </w:rPr>
        <w:t>412/2018, ECLI:LV:AT:2018:1031. 11092073616.2.L, 16. punkt</w:t>
      </w:r>
      <w:r>
        <w:rPr>
          <w:rFonts w:eastAsia="Times New Roman" w:cs="Times New Roman"/>
          <w:i/>
          <w:iCs/>
        </w:rPr>
        <w:t>u</w:t>
      </w:r>
      <w:bookmarkEnd w:id="22"/>
      <w:r w:rsidR="00C01440" w:rsidRPr="00651AE3">
        <w:rPr>
          <w:rFonts w:eastAsia="Times New Roman" w:cs="Times New Roman"/>
        </w:rPr>
        <w:t>).</w:t>
      </w:r>
    </w:p>
    <w:p w14:paraId="6FEBDE97" w14:textId="2882791D" w:rsidR="00273891" w:rsidRDefault="00273891" w:rsidP="00FC6FE6">
      <w:pPr>
        <w:spacing w:after="0" w:line="276" w:lineRule="auto"/>
        <w:ind w:firstLine="720"/>
        <w:jc w:val="both"/>
        <w:rPr>
          <w:snapToGrid w:val="0"/>
        </w:rPr>
      </w:pPr>
      <w:r>
        <w:rPr>
          <w:rFonts w:eastAsia="Times New Roman" w:cs="Times New Roman"/>
        </w:rPr>
        <w:t xml:space="preserve">Šajā vērtējumā ir jāņem vērā arī </w:t>
      </w:r>
      <w:r w:rsidRPr="00273891">
        <w:rPr>
          <w:rFonts w:eastAsia="Times New Roman" w:cs="Times New Roman"/>
        </w:rPr>
        <w:t>Tiesnešu ētikas komisijas 2018.</w:t>
      </w:r>
      <w:r>
        <w:rPr>
          <w:rFonts w:eastAsia="Times New Roman" w:cs="Times New Roman"/>
        </w:rPr>
        <w:t xml:space="preserve"> </w:t>
      </w:r>
      <w:r w:rsidRPr="00273891">
        <w:rPr>
          <w:rFonts w:eastAsia="Times New Roman" w:cs="Times New Roman"/>
        </w:rPr>
        <w:t>gada 31.</w:t>
      </w:r>
      <w:r w:rsidR="003057B8">
        <w:rPr>
          <w:rFonts w:eastAsia="Times New Roman" w:cs="Times New Roman"/>
        </w:rPr>
        <w:t> </w:t>
      </w:r>
      <w:r w:rsidRPr="00273891">
        <w:rPr>
          <w:rFonts w:eastAsia="Times New Roman" w:cs="Times New Roman"/>
        </w:rPr>
        <w:t>august</w:t>
      </w:r>
      <w:r>
        <w:rPr>
          <w:rFonts w:eastAsia="Times New Roman" w:cs="Times New Roman"/>
        </w:rPr>
        <w:t>a</w:t>
      </w:r>
      <w:r w:rsidRPr="00273891">
        <w:rPr>
          <w:rFonts w:eastAsia="Times New Roman" w:cs="Times New Roman"/>
        </w:rPr>
        <w:t xml:space="preserve"> lēmumā</w:t>
      </w:r>
      <w:r>
        <w:rPr>
          <w:rFonts w:eastAsia="Times New Roman" w:cs="Times New Roman"/>
        </w:rPr>
        <w:t xml:space="preserve"> norādītais par to, ka </w:t>
      </w:r>
      <w:bookmarkStart w:id="23" w:name="_Hlk215046390"/>
      <w:r w:rsidRPr="00651AE3">
        <w:rPr>
          <w:rFonts w:eastAsia="Times New Roman" w:cs="Times New Roman"/>
        </w:rPr>
        <w:t xml:space="preserve">tiesnesis ir pienācīgi sagatavojies lietas izskatīšanai tiesas sēdē tikai tad, ja viņš pirms sēdes ir rūpīgi iepazinies ar visiem lietas materiāliem. Līdz ar to </w:t>
      </w:r>
      <w:proofErr w:type="spellStart"/>
      <w:r w:rsidRPr="00651AE3">
        <w:rPr>
          <w:rFonts w:eastAsia="Times New Roman" w:cs="Times New Roman"/>
        </w:rPr>
        <w:t>pirmsšķietama</w:t>
      </w:r>
      <w:proofErr w:type="spellEnd"/>
      <w:r w:rsidRPr="00651AE3">
        <w:rPr>
          <w:rFonts w:eastAsia="Times New Roman" w:cs="Times New Roman"/>
        </w:rPr>
        <w:t xml:space="preserve"> priekšstata veidošanās par lietas rezultātu, tiesnesim izdarot savus iekšējos apsvērumus, kas balstīti uz lietas faktiem un juridiskiem apsvērumiem, ir neizbēgama, un šādā ziņā nevar pārmest aizspriedumainu izturēšanos</w:t>
      </w:r>
      <w:bookmarkEnd w:id="23"/>
      <w:r w:rsidRPr="00651AE3">
        <w:rPr>
          <w:rFonts w:eastAsia="Times New Roman" w:cs="Times New Roman"/>
        </w:rPr>
        <w:t>.</w:t>
      </w:r>
      <w:r>
        <w:rPr>
          <w:snapToGrid w:val="0"/>
        </w:rPr>
        <w:t xml:space="preserve"> </w:t>
      </w:r>
    </w:p>
    <w:bookmarkEnd w:id="21"/>
    <w:p w14:paraId="7A9C2026" w14:textId="025E48AA" w:rsidR="005D4F61" w:rsidRDefault="005D4F61" w:rsidP="00694B6F">
      <w:pPr>
        <w:spacing w:after="0" w:line="276" w:lineRule="auto"/>
        <w:ind w:firstLine="720"/>
        <w:jc w:val="both"/>
      </w:pPr>
      <w:r w:rsidRPr="00651AE3">
        <w:t>Ievērojot minēto, Senāts atzīst, ka apelācijas instances tiesa, nekonstatējot tiesas apspriedes noslēpuma pārkāpumu pirmās instances tiesā, nav pieļāvusi Kriminālprocesa likuma 566. panta pārkāpumu.</w:t>
      </w:r>
    </w:p>
    <w:p w14:paraId="18A8443E" w14:textId="77777777" w:rsidR="00552BB0" w:rsidRPr="00651AE3" w:rsidRDefault="00552BB0" w:rsidP="00C01440">
      <w:pPr>
        <w:spacing w:after="0" w:line="276" w:lineRule="auto"/>
        <w:ind w:firstLine="720"/>
        <w:jc w:val="both"/>
        <w:rPr>
          <w:color w:val="000000" w:themeColor="text1"/>
        </w:rPr>
      </w:pPr>
    </w:p>
    <w:p w14:paraId="08BFF55D" w14:textId="48B6D9B6" w:rsidR="008328C2" w:rsidRPr="00651AE3" w:rsidRDefault="008328C2" w:rsidP="008328C2">
      <w:pPr>
        <w:spacing w:after="0" w:line="276" w:lineRule="auto"/>
        <w:ind w:firstLine="720"/>
        <w:jc w:val="center"/>
        <w:rPr>
          <w:b/>
          <w:bCs/>
          <w:color w:val="000000" w:themeColor="text1"/>
        </w:rPr>
      </w:pPr>
      <w:r w:rsidRPr="00651AE3">
        <w:rPr>
          <w:b/>
          <w:bCs/>
          <w:color w:val="000000" w:themeColor="text1"/>
        </w:rPr>
        <w:t>II</w:t>
      </w:r>
    </w:p>
    <w:p w14:paraId="644DA10C" w14:textId="6D3C993C" w:rsidR="008328C2" w:rsidRPr="00651AE3" w:rsidRDefault="008328C2" w:rsidP="0091180E">
      <w:pPr>
        <w:spacing w:after="0" w:line="276" w:lineRule="auto"/>
        <w:ind w:firstLine="720"/>
        <w:jc w:val="center"/>
        <w:rPr>
          <w:b/>
          <w:bCs/>
          <w:color w:val="000000" w:themeColor="text1"/>
        </w:rPr>
      </w:pPr>
      <w:r w:rsidRPr="00651AE3">
        <w:rPr>
          <w:i/>
          <w:iCs/>
          <w:color w:val="000000" w:themeColor="text1"/>
        </w:rPr>
        <w:lastRenderedPageBreak/>
        <w:t xml:space="preserve">Par </w:t>
      </w:r>
      <w:r w:rsidR="0091180E" w:rsidRPr="00651AE3">
        <w:rPr>
          <w:i/>
          <w:iCs/>
          <w:color w:val="000000" w:themeColor="text1"/>
        </w:rPr>
        <w:t>aizstāvja procesuālo pienākumu nepildīšanu</w:t>
      </w:r>
      <w:r w:rsidR="00FD1C62" w:rsidRPr="00651AE3">
        <w:rPr>
          <w:i/>
          <w:iCs/>
          <w:color w:val="000000" w:themeColor="text1"/>
        </w:rPr>
        <w:t xml:space="preserve"> </w:t>
      </w:r>
    </w:p>
    <w:p w14:paraId="6A6649B3" w14:textId="77777777" w:rsidR="008328C2" w:rsidRPr="00651AE3" w:rsidRDefault="008328C2" w:rsidP="00C01440">
      <w:pPr>
        <w:spacing w:after="0" w:line="276" w:lineRule="auto"/>
        <w:ind w:firstLine="720"/>
        <w:jc w:val="both"/>
        <w:rPr>
          <w:color w:val="000000" w:themeColor="text1"/>
        </w:rPr>
      </w:pPr>
    </w:p>
    <w:p w14:paraId="266F8F18" w14:textId="6D5CFE32" w:rsidR="00533013" w:rsidRDefault="00552BB0" w:rsidP="00533013">
      <w:pPr>
        <w:tabs>
          <w:tab w:val="left" w:pos="1134"/>
        </w:tabs>
        <w:spacing w:after="0" w:line="276" w:lineRule="auto"/>
        <w:ind w:firstLine="709"/>
        <w:jc w:val="both"/>
      </w:pPr>
      <w:r w:rsidRPr="00651AE3">
        <w:rPr>
          <w:color w:val="000000" w:themeColor="text1"/>
        </w:rPr>
        <w:t>[</w:t>
      </w:r>
      <w:r w:rsidR="008328C2" w:rsidRPr="00651AE3">
        <w:rPr>
          <w:color w:val="000000" w:themeColor="text1"/>
        </w:rPr>
        <w:t>10</w:t>
      </w:r>
      <w:r w:rsidRPr="00651AE3">
        <w:rPr>
          <w:color w:val="000000" w:themeColor="text1"/>
        </w:rPr>
        <w:t xml:space="preserve">] </w:t>
      </w:r>
      <w:r w:rsidR="00781003" w:rsidRPr="0078476E">
        <w:rPr>
          <w:color w:val="000000" w:themeColor="text1"/>
        </w:rPr>
        <w:t>Senāts</w:t>
      </w:r>
      <w:r w:rsidR="00DE0C61">
        <w:rPr>
          <w:color w:val="000000" w:themeColor="text1"/>
        </w:rPr>
        <w:t>,</w:t>
      </w:r>
      <w:r w:rsidR="00781003" w:rsidRPr="0078476E">
        <w:rPr>
          <w:color w:val="000000" w:themeColor="text1"/>
        </w:rPr>
        <w:t xml:space="preserve"> pārbaud</w:t>
      </w:r>
      <w:r w:rsidR="008852E6">
        <w:rPr>
          <w:color w:val="000000" w:themeColor="text1"/>
        </w:rPr>
        <w:t>ot</w:t>
      </w:r>
      <w:r w:rsidR="00781003" w:rsidRPr="0078476E">
        <w:rPr>
          <w:color w:val="000000" w:themeColor="text1"/>
        </w:rPr>
        <w:t xml:space="preserve">, vai </w:t>
      </w:r>
      <w:r w:rsidR="00781003" w:rsidRPr="0078476E">
        <w:t>apelācijas instances tiesa, nekonstatējot apsūdzētā</w:t>
      </w:r>
      <w:r w:rsidR="0078476E">
        <w:t xml:space="preserve"> </w:t>
      </w:r>
      <w:r w:rsidR="007C74F4">
        <w:t>[pers. B]</w:t>
      </w:r>
      <w:r w:rsidR="00781003" w:rsidRPr="0078476E">
        <w:t xml:space="preserve"> tiesību uz aizstāvību pārkāpumu pirmās instances tiesā (Kriminālprocesa likuma 20. pants), ir pieļāvusi šā likuma 566. panta pārkāpumu, </w:t>
      </w:r>
      <w:r w:rsidR="00533013">
        <w:t>un</w:t>
      </w:r>
      <w:r w:rsidR="00781003" w:rsidRPr="0078476E">
        <w:t xml:space="preserve">, vai </w:t>
      </w:r>
      <w:r w:rsidR="003057B8">
        <w:t xml:space="preserve">apsūdzētā tiesību uz aizstāvību pārkāpumu </w:t>
      </w:r>
      <w:r w:rsidR="00533013">
        <w:t xml:space="preserve">nav </w:t>
      </w:r>
      <w:r w:rsidR="00781003" w:rsidRPr="0078476E">
        <w:t xml:space="preserve">pieļāvusi </w:t>
      </w:r>
      <w:r w:rsidR="00533013">
        <w:t>arī</w:t>
      </w:r>
      <w:r w:rsidR="00781003" w:rsidRPr="0078476E">
        <w:t xml:space="preserve"> apelācijas instances ties</w:t>
      </w:r>
      <w:r w:rsidR="00533013">
        <w:t xml:space="preserve">a, </w:t>
      </w:r>
      <w:r w:rsidR="00533013" w:rsidRPr="00533013">
        <w:t>secina, ka pārkāpumi nav konstatējami.</w:t>
      </w:r>
    </w:p>
    <w:p w14:paraId="74F87E43" w14:textId="3ED89C6A" w:rsidR="00772240" w:rsidRPr="0078476E" w:rsidRDefault="00552BB0" w:rsidP="00533013">
      <w:pPr>
        <w:tabs>
          <w:tab w:val="left" w:pos="1134"/>
        </w:tabs>
        <w:spacing w:after="0" w:line="276" w:lineRule="auto"/>
        <w:ind w:firstLine="709"/>
        <w:jc w:val="both"/>
        <w:rPr>
          <w:color w:val="000000" w:themeColor="text1"/>
        </w:rPr>
      </w:pPr>
      <w:r w:rsidRPr="0078476E">
        <w:rPr>
          <w:color w:val="000000" w:themeColor="text1"/>
        </w:rPr>
        <w:t>[</w:t>
      </w:r>
      <w:r w:rsidR="0091180E" w:rsidRPr="0078476E">
        <w:rPr>
          <w:color w:val="000000" w:themeColor="text1"/>
        </w:rPr>
        <w:t>10</w:t>
      </w:r>
      <w:r w:rsidRPr="0078476E">
        <w:rPr>
          <w:color w:val="000000" w:themeColor="text1"/>
        </w:rPr>
        <w:t xml:space="preserve">.1] </w:t>
      </w:r>
      <w:r w:rsidR="00772240" w:rsidRPr="0078476E">
        <w:rPr>
          <w:color w:val="000000" w:themeColor="text1"/>
        </w:rPr>
        <w:t>Katrai personai, par kuru izteikts pieņēmums vai apgalvojums, ka tā izdarījusi noziedzīgu nodarījumu, ir tiesības uz aizstāvību. Minētās tiesības persona var īstenot pati vai uzaicinot aizstāvi (sk. Kriminālprocesa likuma 20. panta pirmo un otro daļu).</w:t>
      </w:r>
    </w:p>
    <w:p w14:paraId="01734F71" w14:textId="1D2AE140" w:rsidR="00552BB0" w:rsidRPr="0078476E" w:rsidRDefault="00552BB0" w:rsidP="0091180E">
      <w:pPr>
        <w:tabs>
          <w:tab w:val="left" w:pos="1134"/>
        </w:tabs>
        <w:spacing w:after="0" w:line="276" w:lineRule="auto"/>
        <w:ind w:firstLine="709"/>
        <w:jc w:val="both"/>
        <w:rPr>
          <w:color w:val="000000" w:themeColor="text1"/>
        </w:rPr>
      </w:pPr>
      <w:r w:rsidRPr="0078476E">
        <w:rPr>
          <w:color w:val="000000" w:themeColor="text1"/>
        </w:rPr>
        <w:t xml:space="preserve">No lietas materiāliem izriet, ka apsūdzētais </w:t>
      </w:r>
      <w:r w:rsidR="007C74F4">
        <w:t>[pers. B]</w:t>
      </w:r>
      <w:r w:rsidRPr="0078476E">
        <w:rPr>
          <w:color w:val="000000" w:themeColor="text1"/>
        </w:rPr>
        <w:t xml:space="preserve"> ir izmantojis valsts nodrošināto juridisko palīdzību, un viņa aizstāvību kriminālprocesā pirmās instances tiesā no 2013. gada </w:t>
      </w:r>
      <w:r w:rsidR="007C74F4">
        <w:rPr>
          <w:color w:val="000000" w:themeColor="text1"/>
        </w:rPr>
        <w:t>[..]</w:t>
      </w:r>
      <w:r w:rsidRPr="0078476E">
        <w:rPr>
          <w:color w:val="000000" w:themeColor="text1"/>
        </w:rPr>
        <w:t xml:space="preserve"> veicis zvērināts advokāts E. Amoliņš (</w:t>
      </w:r>
      <w:r w:rsidRPr="0078476E">
        <w:rPr>
          <w:i/>
          <w:iCs/>
          <w:color w:val="000000" w:themeColor="text1"/>
        </w:rPr>
        <w:t>lietas 8. sējuma 24. lapa</w:t>
      </w:r>
      <w:r w:rsidRPr="0078476E">
        <w:rPr>
          <w:color w:val="000000" w:themeColor="text1"/>
        </w:rPr>
        <w:t xml:space="preserve">). </w:t>
      </w:r>
    </w:p>
    <w:p w14:paraId="3FBB44D1" w14:textId="5629439D" w:rsidR="00552BB0" w:rsidRPr="0078476E" w:rsidRDefault="00552BB0" w:rsidP="00296B0D">
      <w:pPr>
        <w:tabs>
          <w:tab w:val="left" w:pos="1134"/>
        </w:tabs>
        <w:spacing w:after="0" w:line="276" w:lineRule="auto"/>
        <w:ind w:firstLine="709"/>
        <w:jc w:val="both"/>
        <w:rPr>
          <w:color w:val="000000" w:themeColor="text1"/>
        </w:rPr>
      </w:pPr>
      <w:r w:rsidRPr="0078476E">
        <w:rPr>
          <w:color w:val="000000" w:themeColor="text1"/>
        </w:rPr>
        <w:t xml:space="preserve">2013. gada </w:t>
      </w:r>
      <w:r w:rsidR="007C74F4">
        <w:rPr>
          <w:color w:val="000000" w:themeColor="text1"/>
        </w:rPr>
        <w:t>[..]</w:t>
      </w:r>
      <w:r w:rsidRPr="0078476E">
        <w:rPr>
          <w:color w:val="000000" w:themeColor="text1"/>
        </w:rPr>
        <w:t xml:space="preserve"> tiesas sēdē apsūdzētais </w:t>
      </w:r>
      <w:r w:rsidR="007C74F4">
        <w:rPr>
          <w:color w:val="000000" w:themeColor="text1"/>
        </w:rPr>
        <w:t>[pers. B]</w:t>
      </w:r>
      <w:r w:rsidRPr="0078476E">
        <w:rPr>
          <w:color w:val="000000" w:themeColor="text1"/>
        </w:rPr>
        <w:t xml:space="preserve"> norādījis, ka aizstāvi sev nodrošinās pats (</w:t>
      </w:r>
      <w:r w:rsidRPr="0078476E">
        <w:rPr>
          <w:i/>
          <w:iCs/>
          <w:color w:val="000000" w:themeColor="text1"/>
        </w:rPr>
        <w:t>lietas 8. sējuma 79.</w:t>
      </w:r>
      <w:r w:rsidR="00296B0D" w:rsidRPr="0078476E">
        <w:rPr>
          <w:i/>
          <w:iCs/>
          <w:color w:val="000000" w:themeColor="text1"/>
        </w:rPr>
        <w:t>–</w:t>
      </w:r>
      <w:r w:rsidRPr="0078476E">
        <w:rPr>
          <w:i/>
          <w:iCs/>
          <w:color w:val="000000" w:themeColor="text1"/>
        </w:rPr>
        <w:t>80. lapa</w:t>
      </w:r>
      <w:r w:rsidRPr="0078476E">
        <w:rPr>
          <w:color w:val="000000" w:themeColor="text1"/>
        </w:rPr>
        <w:t xml:space="preserve">), taču līdz nākamajai tiesas sēdei vienošanos ar aizstāvi nebija noslēdzis, </w:t>
      </w:r>
      <w:r w:rsidR="0091180E" w:rsidRPr="0078476E">
        <w:rPr>
          <w:color w:val="000000" w:themeColor="text1"/>
        </w:rPr>
        <w:t>un</w:t>
      </w:r>
      <w:r w:rsidRPr="0078476E">
        <w:rPr>
          <w:color w:val="000000" w:themeColor="text1"/>
        </w:rPr>
        <w:t xml:space="preserve"> viņa aizstāvību turpinājis veikt aizstāvis E. Amoliņš (</w:t>
      </w:r>
      <w:r w:rsidRPr="0078476E">
        <w:rPr>
          <w:i/>
          <w:iCs/>
          <w:color w:val="000000" w:themeColor="text1"/>
        </w:rPr>
        <w:t>lietas 8. sējuma 107., 135., 140. lap</w:t>
      </w:r>
      <w:r w:rsidR="00C979E1" w:rsidRPr="0078476E">
        <w:rPr>
          <w:i/>
          <w:iCs/>
          <w:color w:val="000000" w:themeColor="text1"/>
        </w:rPr>
        <w:t>a</w:t>
      </w:r>
      <w:r w:rsidRPr="0078476E">
        <w:rPr>
          <w:i/>
          <w:iCs/>
          <w:color w:val="000000" w:themeColor="text1"/>
        </w:rPr>
        <w:t>, 9.</w:t>
      </w:r>
      <w:r w:rsidR="00296B0D" w:rsidRPr="0078476E">
        <w:rPr>
          <w:i/>
          <w:iCs/>
          <w:color w:val="000000" w:themeColor="text1"/>
        </w:rPr>
        <w:t> </w:t>
      </w:r>
      <w:r w:rsidRPr="0078476E">
        <w:rPr>
          <w:i/>
          <w:iCs/>
          <w:color w:val="000000" w:themeColor="text1"/>
        </w:rPr>
        <w:t>sējuma 163., 206. 239. lap</w:t>
      </w:r>
      <w:r w:rsidR="00C979E1" w:rsidRPr="0078476E">
        <w:rPr>
          <w:i/>
          <w:iCs/>
          <w:color w:val="000000" w:themeColor="text1"/>
        </w:rPr>
        <w:t>a</w:t>
      </w:r>
      <w:r w:rsidRPr="0078476E">
        <w:rPr>
          <w:i/>
          <w:iCs/>
          <w:color w:val="000000" w:themeColor="text1"/>
        </w:rPr>
        <w:t>, 10.</w:t>
      </w:r>
      <w:r w:rsidR="00C979E1" w:rsidRPr="0078476E">
        <w:rPr>
          <w:i/>
          <w:iCs/>
          <w:color w:val="000000" w:themeColor="text1"/>
        </w:rPr>
        <w:t> </w:t>
      </w:r>
      <w:r w:rsidRPr="0078476E">
        <w:rPr>
          <w:i/>
          <w:iCs/>
          <w:color w:val="000000" w:themeColor="text1"/>
        </w:rPr>
        <w:t>sējuma 7., 16., 150., 164., 212. lap</w:t>
      </w:r>
      <w:r w:rsidR="00C979E1" w:rsidRPr="0078476E">
        <w:rPr>
          <w:i/>
          <w:iCs/>
          <w:color w:val="000000" w:themeColor="text1"/>
        </w:rPr>
        <w:t>a</w:t>
      </w:r>
      <w:r w:rsidRPr="0078476E">
        <w:rPr>
          <w:i/>
          <w:iCs/>
          <w:color w:val="000000" w:themeColor="text1"/>
        </w:rPr>
        <w:t>, 11.</w:t>
      </w:r>
      <w:r w:rsidR="00296B0D" w:rsidRPr="0078476E">
        <w:rPr>
          <w:i/>
          <w:iCs/>
          <w:color w:val="000000" w:themeColor="text1"/>
        </w:rPr>
        <w:t> </w:t>
      </w:r>
      <w:r w:rsidRPr="0078476E">
        <w:rPr>
          <w:i/>
          <w:iCs/>
          <w:color w:val="000000" w:themeColor="text1"/>
        </w:rPr>
        <w:t>sējuma 24., 61. lap</w:t>
      </w:r>
      <w:r w:rsidR="00C979E1" w:rsidRPr="0078476E">
        <w:rPr>
          <w:i/>
          <w:iCs/>
          <w:color w:val="000000" w:themeColor="text1"/>
        </w:rPr>
        <w:t>a</w:t>
      </w:r>
      <w:r w:rsidRPr="0078476E">
        <w:rPr>
          <w:color w:val="000000" w:themeColor="text1"/>
        </w:rPr>
        <w:t>).</w:t>
      </w:r>
    </w:p>
    <w:p w14:paraId="0E4BEA8F" w14:textId="0FCEA514" w:rsidR="00552BB0" w:rsidRDefault="00552BB0" w:rsidP="00552BB0">
      <w:pPr>
        <w:tabs>
          <w:tab w:val="left" w:pos="1134"/>
        </w:tabs>
        <w:spacing w:after="0" w:line="276" w:lineRule="auto"/>
        <w:ind w:firstLine="709"/>
        <w:jc w:val="both"/>
        <w:rPr>
          <w:color w:val="000000" w:themeColor="text1"/>
        </w:rPr>
      </w:pPr>
      <w:r w:rsidRPr="0078476E">
        <w:rPr>
          <w:color w:val="000000" w:themeColor="text1"/>
        </w:rPr>
        <w:t>Aizstāvis E. Amoliņš</w:t>
      </w:r>
      <w:r w:rsidR="0091180E" w:rsidRPr="0078476E">
        <w:rPr>
          <w:color w:val="000000" w:themeColor="text1"/>
        </w:rPr>
        <w:t xml:space="preserve"> </w:t>
      </w:r>
      <w:r w:rsidRPr="0078476E">
        <w:rPr>
          <w:color w:val="000000" w:themeColor="text1"/>
        </w:rPr>
        <w:t>pirmās instances tiesā uzdevis jautājumus lieciniekiem (</w:t>
      </w:r>
      <w:r w:rsidRPr="0078476E">
        <w:rPr>
          <w:i/>
          <w:iCs/>
          <w:color w:val="000000" w:themeColor="text1"/>
        </w:rPr>
        <w:t>lietas 8.</w:t>
      </w:r>
      <w:r w:rsidR="00296B0D" w:rsidRPr="0078476E">
        <w:rPr>
          <w:i/>
          <w:iCs/>
          <w:color w:val="000000" w:themeColor="text1"/>
        </w:rPr>
        <w:t> </w:t>
      </w:r>
      <w:r w:rsidRPr="0078476E">
        <w:rPr>
          <w:i/>
          <w:iCs/>
          <w:color w:val="000000" w:themeColor="text1"/>
        </w:rPr>
        <w:t>sējuma 153. lapa</w:t>
      </w:r>
      <w:r w:rsidRPr="0078476E">
        <w:rPr>
          <w:color w:val="000000" w:themeColor="text1"/>
        </w:rPr>
        <w:t xml:space="preserve">, </w:t>
      </w:r>
      <w:r w:rsidRPr="0078476E">
        <w:rPr>
          <w:i/>
          <w:iCs/>
          <w:color w:val="000000" w:themeColor="text1"/>
        </w:rPr>
        <w:t>9.</w:t>
      </w:r>
      <w:r w:rsidR="00296B0D" w:rsidRPr="0078476E">
        <w:rPr>
          <w:i/>
          <w:iCs/>
          <w:color w:val="000000" w:themeColor="text1"/>
        </w:rPr>
        <w:t> </w:t>
      </w:r>
      <w:r w:rsidRPr="0078476E">
        <w:rPr>
          <w:i/>
          <w:iCs/>
          <w:color w:val="000000" w:themeColor="text1"/>
        </w:rPr>
        <w:t>sējuma 95.</w:t>
      </w:r>
      <w:r w:rsidR="00296B0D" w:rsidRPr="0078476E">
        <w:rPr>
          <w:i/>
          <w:iCs/>
          <w:color w:val="000000" w:themeColor="text1"/>
        </w:rPr>
        <w:t>–</w:t>
      </w:r>
      <w:r w:rsidRPr="0078476E">
        <w:rPr>
          <w:i/>
          <w:iCs/>
          <w:color w:val="000000" w:themeColor="text1"/>
        </w:rPr>
        <w:t>96. lapa</w:t>
      </w:r>
      <w:r w:rsidRPr="0078476E">
        <w:rPr>
          <w:color w:val="000000" w:themeColor="text1"/>
        </w:rPr>
        <w:t>), izteicies par tiesas sēdē izlemjamiem jautājumiem (</w:t>
      </w:r>
      <w:r w:rsidRPr="0078476E">
        <w:rPr>
          <w:i/>
          <w:iCs/>
          <w:color w:val="000000" w:themeColor="text1"/>
        </w:rPr>
        <w:t>lietas 10. sējuma 104.</w:t>
      </w:r>
      <w:r w:rsidR="00296B0D" w:rsidRPr="0078476E">
        <w:rPr>
          <w:i/>
          <w:iCs/>
          <w:color w:val="000000" w:themeColor="text1"/>
        </w:rPr>
        <w:t>–</w:t>
      </w:r>
      <w:r w:rsidRPr="0078476E">
        <w:rPr>
          <w:i/>
          <w:iCs/>
          <w:color w:val="000000" w:themeColor="text1"/>
        </w:rPr>
        <w:t>105., 202. lapa</w:t>
      </w:r>
      <w:r w:rsidRPr="0078476E">
        <w:rPr>
          <w:color w:val="000000" w:themeColor="text1"/>
        </w:rPr>
        <w:t xml:space="preserve">), iebildis pret drošības līdzekļa grozīšanu </w:t>
      </w:r>
      <w:r w:rsidR="007C74F4">
        <w:t>[pers. B]</w:t>
      </w:r>
      <w:r w:rsidRPr="0078476E">
        <w:rPr>
          <w:color w:val="000000" w:themeColor="text1"/>
        </w:rPr>
        <w:t xml:space="preserve"> (</w:t>
      </w:r>
      <w:r w:rsidRPr="0078476E">
        <w:rPr>
          <w:i/>
          <w:iCs/>
          <w:color w:val="000000" w:themeColor="text1"/>
        </w:rPr>
        <w:t>lietas 8. sējuma 162. lapa</w:t>
      </w:r>
      <w:r w:rsidRPr="0078476E">
        <w:rPr>
          <w:color w:val="000000" w:themeColor="text1"/>
        </w:rPr>
        <w:t xml:space="preserve">), pieteicis lūgumu noteikt </w:t>
      </w:r>
      <w:r w:rsidR="007C74F4">
        <w:t>[pers. B]</w:t>
      </w:r>
      <w:r w:rsidRPr="0078476E">
        <w:rPr>
          <w:color w:val="000000" w:themeColor="text1"/>
        </w:rPr>
        <w:t xml:space="preserve"> ambulatoro tiesu psihiatrisko ekspertīzi</w:t>
      </w:r>
      <w:r w:rsidR="00296B0D" w:rsidRPr="0078476E">
        <w:rPr>
          <w:color w:val="000000" w:themeColor="text1"/>
        </w:rPr>
        <w:t xml:space="preserve"> </w:t>
      </w:r>
      <w:r w:rsidRPr="0078476E">
        <w:rPr>
          <w:color w:val="000000" w:themeColor="text1"/>
        </w:rPr>
        <w:t>(</w:t>
      </w:r>
      <w:r w:rsidRPr="0078476E">
        <w:rPr>
          <w:i/>
          <w:iCs/>
          <w:color w:val="000000" w:themeColor="text1"/>
        </w:rPr>
        <w:t>lietas 11. sējuma 25.</w:t>
      </w:r>
      <w:r w:rsidR="00296B0D" w:rsidRPr="0078476E">
        <w:rPr>
          <w:i/>
          <w:iCs/>
          <w:color w:val="000000" w:themeColor="text1"/>
        </w:rPr>
        <w:t>–</w:t>
      </w:r>
      <w:r w:rsidRPr="0078476E">
        <w:rPr>
          <w:i/>
          <w:iCs/>
          <w:color w:val="000000" w:themeColor="text1"/>
        </w:rPr>
        <w:t>26. lapa</w:t>
      </w:r>
      <w:r w:rsidRPr="0078476E">
        <w:rPr>
          <w:color w:val="000000" w:themeColor="text1"/>
        </w:rPr>
        <w:t>)</w:t>
      </w:r>
      <w:r w:rsidRPr="0078476E">
        <w:rPr>
          <w:i/>
          <w:iCs/>
          <w:color w:val="000000" w:themeColor="text1"/>
        </w:rPr>
        <w:t xml:space="preserve">, </w:t>
      </w:r>
      <w:r w:rsidRPr="0078476E">
        <w:rPr>
          <w:color w:val="000000" w:themeColor="text1"/>
        </w:rPr>
        <w:t>lūdzis pratināt ekspertu, kurš veicis</w:t>
      </w:r>
      <w:r w:rsidR="0091180E" w:rsidRPr="0078476E">
        <w:rPr>
          <w:color w:val="000000" w:themeColor="text1"/>
        </w:rPr>
        <w:t xml:space="preserve"> </w:t>
      </w:r>
      <w:r w:rsidR="000F08D1">
        <w:rPr>
          <w:color w:val="000000" w:themeColor="text1"/>
        </w:rPr>
        <w:t>minēto</w:t>
      </w:r>
      <w:r w:rsidRPr="0078476E">
        <w:rPr>
          <w:color w:val="000000" w:themeColor="text1"/>
        </w:rPr>
        <w:t xml:space="preserve"> ekspertīzi (</w:t>
      </w:r>
      <w:r w:rsidRPr="0078476E">
        <w:rPr>
          <w:i/>
          <w:iCs/>
          <w:color w:val="000000" w:themeColor="text1"/>
        </w:rPr>
        <w:t>lietas 11. sējuma 100. lapa</w:t>
      </w:r>
      <w:r w:rsidRPr="0078476E">
        <w:rPr>
          <w:color w:val="000000" w:themeColor="text1"/>
        </w:rPr>
        <w:t>)</w:t>
      </w:r>
      <w:r w:rsidR="006074BC" w:rsidRPr="0078476E">
        <w:rPr>
          <w:color w:val="000000" w:themeColor="text1"/>
        </w:rPr>
        <w:t>.</w:t>
      </w:r>
    </w:p>
    <w:p w14:paraId="1706D3AF" w14:textId="0BF20D84" w:rsidR="00533013" w:rsidRPr="0078476E" w:rsidRDefault="00533013" w:rsidP="00552BB0">
      <w:pPr>
        <w:tabs>
          <w:tab w:val="left" w:pos="1134"/>
        </w:tabs>
        <w:spacing w:after="0" w:line="276" w:lineRule="auto"/>
        <w:ind w:firstLine="709"/>
        <w:jc w:val="both"/>
        <w:rPr>
          <w:color w:val="000000" w:themeColor="text1"/>
        </w:rPr>
      </w:pPr>
      <w:r>
        <w:rPr>
          <w:color w:val="000000" w:themeColor="text1"/>
        </w:rPr>
        <w:t>Ievērojot minēto, Senāts konstatē, ka apsūdzētā aizstāvis aktīvi iesaistījies tiesību uz aizstāvību realizācijā.</w:t>
      </w:r>
    </w:p>
    <w:p w14:paraId="642A4E3B" w14:textId="0149565B" w:rsidR="00552BB0" w:rsidRPr="0078476E" w:rsidRDefault="00552BB0" w:rsidP="0091180E">
      <w:pPr>
        <w:tabs>
          <w:tab w:val="left" w:pos="1134"/>
        </w:tabs>
        <w:spacing w:after="0" w:line="276" w:lineRule="auto"/>
        <w:ind w:firstLine="709"/>
        <w:jc w:val="both"/>
      </w:pPr>
      <w:r w:rsidRPr="0078476E">
        <w:t>[</w:t>
      </w:r>
      <w:r w:rsidR="0091180E" w:rsidRPr="0078476E">
        <w:t>10</w:t>
      </w:r>
      <w:r w:rsidRPr="0078476E">
        <w:t xml:space="preserve">.2] </w:t>
      </w:r>
      <w:r w:rsidR="00533013">
        <w:t>Turklāt, v</w:t>
      </w:r>
      <w:r w:rsidR="0091180E" w:rsidRPr="0078476E">
        <w:t>ērtējot aizstāvja procesuāl</w:t>
      </w:r>
      <w:r w:rsidR="00B140B3" w:rsidRPr="0078476E">
        <w:t>o</w:t>
      </w:r>
      <w:r w:rsidR="0091180E" w:rsidRPr="0078476E">
        <w:t xml:space="preserve"> pienākum</w:t>
      </w:r>
      <w:r w:rsidR="00B140B3" w:rsidRPr="0078476E">
        <w:t>u</w:t>
      </w:r>
      <w:r w:rsidR="0091180E" w:rsidRPr="0078476E">
        <w:t xml:space="preserve"> izpildi</w:t>
      </w:r>
      <w:r w:rsidR="0089325E" w:rsidRPr="0078476E">
        <w:t xml:space="preserve"> pirmās instances tiesā</w:t>
      </w:r>
      <w:r w:rsidR="0091180E" w:rsidRPr="0078476E">
        <w:t>, n</w:t>
      </w:r>
      <w:r w:rsidRPr="0078476E">
        <w:t>ozīme piešķirama</w:t>
      </w:r>
      <w:r w:rsidR="0091180E" w:rsidRPr="0078476E">
        <w:t xml:space="preserve"> arī</w:t>
      </w:r>
      <w:r w:rsidRPr="0078476E">
        <w:t xml:space="preserve"> tam, ka apsūdzētais </w:t>
      </w:r>
      <w:r w:rsidR="00762C7A">
        <w:t>[pers. B]</w:t>
      </w:r>
      <w:r w:rsidRPr="0078476E">
        <w:t xml:space="preserve"> </w:t>
      </w:r>
      <w:r w:rsidR="0089325E" w:rsidRPr="0078476E">
        <w:t xml:space="preserve">šajā procesa stadijā </w:t>
      </w:r>
      <w:r w:rsidRPr="0078476E">
        <w:t>savu vain</w:t>
      </w:r>
      <w:r w:rsidR="002017CD">
        <w:t>īgumu</w:t>
      </w:r>
      <w:r w:rsidRPr="0078476E">
        <w:t xml:space="preserve"> atzina pilnībā (</w:t>
      </w:r>
      <w:r w:rsidRPr="0078476E">
        <w:rPr>
          <w:i/>
          <w:iCs/>
        </w:rPr>
        <w:t>lietas 8. sējuma 119. lapa</w:t>
      </w:r>
      <w:r w:rsidRPr="0078476E">
        <w:t xml:space="preserve">, </w:t>
      </w:r>
      <w:r w:rsidRPr="0078476E">
        <w:rPr>
          <w:i/>
          <w:iCs/>
        </w:rPr>
        <w:t>11. sējuma 24., 195. lapa</w:t>
      </w:r>
      <w:r w:rsidRPr="0078476E">
        <w:t>).</w:t>
      </w:r>
    </w:p>
    <w:p w14:paraId="3AEA6887" w14:textId="4533A2D9" w:rsidR="0089325E" w:rsidRPr="0078476E" w:rsidRDefault="00552BB0" w:rsidP="0089325E">
      <w:pPr>
        <w:tabs>
          <w:tab w:val="left" w:pos="1134"/>
        </w:tabs>
        <w:spacing w:after="0" w:line="276" w:lineRule="auto"/>
        <w:ind w:firstLine="709"/>
        <w:jc w:val="both"/>
      </w:pPr>
      <w:bookmarkStart w:id="24" w:name="_Hlk215047991"/>
      <w:r w:rsidRPr="0078476E">
        <w:t xml:space="preserve">Vainas atzīšana ietekmē aizstāvības stratēģijas izvēli un apjomu tiesas procesā.  Proti, ja apsūdzētais pilnībā atzīst savu vainu, aizstāvības stratēģija parasti nebalstās uz centieniem pierādīt viņa nevainīgumu. </w:t>
      </w:r>
      <w:r w:rsidR="0089325E" w:rsidRPr="0078476E">
        <w:t xml:space="preserve">Tādēļ aizstāvim galvenā uzmanība jāvērš uz sodu </w:t>
      </w:r>
      <w:r w:rsidR="002017CD">
        <w:t>ietekmējošiem</w:t>
      </w:r>
      <w:r w:rsidR="0089325E" w:rsidRPr="0078476E">
        <w:t>, tajā skaitā atbildību mīkstinošiem apstākļiem, lai panāktu iespējami vieglāku sodu.</w:t>
      </w:r>
    </w:p>
    <w:bookmarkEnd w:id="24"/>
    <w:p w14:paraId="3626071D" w14:textId="6C548134" w:rsidR="00BD448B" w:rsidRDefault="002017CD" w:rsidP="00BD448B">
      <w:pPr>
        <w:tabs>
          <w:tab w:val="left" w:pos="1134"/>
        </w:tabs>
        <w:spacing w:after="0" w:line="276" w:lineRule="auto"/>
        <w:ind w:firstLine="709"/>
        <w:jc w:val="both"/>
      </w:pPr>
      <w:r>
        <w:t xml:space="preserve">Izskatāmajā </w:t>
      </w:r>
      <w:r w:rsidR="00552BB0" w:rsidRPr="0078476E">
        <w:t xml:space="preserve">lietā, kā iepriekš konstatēts, aizstāvis bija pieteicis lūgumu </w:t>
      </w:r>
      <w:r w:rsidR="00B4098A" w:rsidRPr="0078476E">
        <w:t xml:space="preserve">noteikt </w:t>
      </w:r>
      <w:r w:rsidR="00082B38">
        <w:t>[pers. B]</w:t>
      </w:r>
      <w:r w:rsidR="00552BB0" w:rsidRPr="0078476E">
        <w:t xml:space="preserve"> ambulatoro tiesu psihiatrisko ekspertīzi, lai noskaidrotu, vai pastāv pamats medicīniska rakstura piespiedu </w:t>
      </w:r>
      <w:r w:rsidR="003057B8" w:rsidRPr="0078476E">
        <w:t>līdzekļ</w:t>
      </w:r>
      <w:r w:rsidR="003057B8">
        <w:t>a</w:t>
      </w:r>
      <w:r w:rsidR="003057B8" w:rsidRPr="0078476E">
        <w:t xml:space="preserve"> </w:t>
      </w:r>
      <w:r w:rsidR="00D11A7F" w:rsidRPr="0078476E">
        <w:t>noteikšanai</w:t>
      </w:r>
      <w:r w:rsidR="00552BB0" w:rsidRPr="0078476E">
        <w:t>. Tā kā ekspertīz</w:t>
      </w:r>
      <w:r w:rsidR="0089325E" w:rsidRPr="0078476E">
        <w:t xml:space="preserve">ē tas netika </w:t>
      </w:r>
      <w:r w:rsidR="00552BB0" w:rsidRPr="0078476E">
        <w:t>konstatē</w:t>
      </w:r>
      <w:r w:rsidR="0089325E" w:rsidRPr="0078476E">
        <w:t>ts</w:t>
      </w:r>
      <w:r w:rsidR="00552BB0" w:rsidRPr="0078476E">
        <w:t>, tiesas debatēs aizstāvis pievērsās jautājumam par piemērojamo sodu, norādot virkni apstākļu, kuri tiesai jāņem vērā, nosakot sodu.</w:t>
      </w:r>
    </w:p>
    <w:p w14:paraId="5CCC6771" w14:textId="56BB693D" w:rsidR="00552BB0" w:rsidRDefault="00BD448B" w:rsidP="00BD448B">
      <w:pPr>
        <w:tabs>
          <w:tab w:val="left" w:pos="1134"/>
        </w:tabs>
        <w:spacing w:after="0" w:line="276" w:lineRule="auto"/>
        <w:ind w:firstLine="709"/>
        <w:jc w:val="both"/>
      </w:pPr>
      <w:r>
        <w:t>[10.3]</w:t>
      </w:r>
      <w:r w:rsidR="00533013">
        <w:t xml:space="preserve"> Senāts ņem vērā arī to, ka</w:t>
      </w:r>
      <w:r w:rsidR="002017CD">
        <w:t xml:space="preserve"> ne pirmās instances tiesā, ne</w:t>
      </w:r>
      <w:r w:rsidR="00533013">
        <w:t xml:space="preserve"> a</w:t>
      </w:r>
      <w:r w:rsidR="0089325E" w:rsidRPr="00D4281C">
        <w:rPr>
          <w:color w:val="000000" w:themeColor="text1"/>
        </w:rPr>
        <w:t>pelācijas sūdzībā apsūdzētais nebija izteicis iebildumus par aizstāvja sniegtās juridiskās palīdzības kvalitāti pirmās instances tiesā</w:t>
      </w:r>
      <w:r w:rsidR="0089325E">
        <w:t xml:space="preserve"> (</w:t>
      </w:r>
      <w:r w:rsidR="0089325E" w:rsidRPr="00F932F0">
        <w:rPr>
          <w:i/>
          <w:iCs/>
        </w:rPr>
        <w:t>lietas 12. sējuma 72. lapa</w:t>
      </w:r>
      <w:r w:rsidR="0089325E">
        <w:t>)</w:t>
      </w:r>
      <w:r w:rsidR="003A71A5">
        <w:t>.</w:t>
      </w:r>
      <w:r>
        <w:t xml:space="preserve"> </w:t>
      </w:r>
    </w:p>
    <w:p w14:paraId="7E6F210A" w14:textId="7ABCCF3C" w:rsidR="00552BB0" w:rsidRDefault="00BD448B" w:rsidP="00552BB0">
      <w:pPr>
        <w:tabs>
          <w:tab w:val="left" w:pos="1134"/>
        </w:tabs>
        <w:spacing w:after="0" w:line="276" w:lineRule="auto"/>
        <w:ind w:firstLine="709"/>
        <w:jc w:val="both"/>
      </w:pPr>
      <w:r>
        <w:t xml:space="preserve">[10.4] </w:t>
      </w:r>
      <w:r w:rsidR="00552BB0" w:rsidRPr="0017499B">
        <w:t xml:space="preserve">Tikai </w:t>
      </w:r>
      <w:r w:rsidR="0089325E">
        <w:t xml:space="preserve">apelācijas instances </w:t>
      </w:r>
      <w:r w:rsidR="00B140B3">
        <w:t>ties</w:t>
      </w:r>
      <w:r>
        <w:t xml:space="preserve">ā </w:t>
      </w:r>
      <w:r w:rsidRPr="0017499B">
        <w:t xml:space="preserve">2023. gada </w:t>
      </w:r>
      <w:r w:rsidR="00082B38">
        <w:t>[..]</w:t>
      </w:r>
      <w:r>
        <w:t xml:space="preserve"> </w:t>
      </w:r>
      <w:r w:rsidR="00552BB0" w:rsidRPr="0017499B">
        <w:t xml:space="preserve">apsūdzētais </w:t>
      </w:r>
      <w:r w:rsidR="00082B38">
        <w:t>[pers. B]</w:t>
      </w:r>
      <w:r w:rsidR="00552BB0" w:rsidRPr="0017499B">
        <w:t xml:space="preserve"> paudis neapmierinātību </w:t>
      </w:r>
      <w:r w:rsidR="00DE0C61">
        <w:t>p</w:t>
      </w:r>
      <w:r w:rsidR="00552BB0" w:rsidRPr="0017499B">
        <w:t xml:space="preserve">ar valsts nodrošinātās juridiskās palīdzības kvalitāti, lūdzot tiesu rast iespēju nodrošināt citu aizstāvi </w:t>
      </w:r>
      <w:r w:rsidR="00B140B3">
        <w:t>un norādot uz to, ka</w:t>
      </w:r>
      <w:r w:rsidR="00552BB0" w:rsidRPr="0017499B">
        <w:t xml:space="preserve"> aizstāvis E. Amoliņš neesot sniedzis </w:t>
      </w:r>
      <w:r w:rsidR="00552BB0" w:rsidRPr="0017499B">
        <w:lastRenderedPageBreak/>
        <w:t>konsultācijas ārpus tiesas sēdes, nav uzdevis jautājumus lieciniekiem, nav pārsūdzējis nolēmumu (</w:t>
      </w:r>
      <w:r w:rsidR="00552BB0" w:rsidRPr="0017499B">
        <w:rPr>
          <w:i/>
          <w:iCs/>
        </w:rPr>
        <w:t>lietas 12. sējuma 200. lapa</w:t>
      </w:r>
      <w:r w:rsidR="00552BB0" w:rsidRPr="0017499B">
        <w:t xml:space="preserve">). </w:t>
      </w:r>
    </w:p>
    <w:p w14:paraId="3B1C9E57" w14:textId="2C728574" w:rsidR="00B140B3" w:rsidRPr="0017499B" w:rsidRDefault="0089325E" w:rsidP="00B140B3">
      <w:pPr>
        <w:tabs>
          <w:tab w:val="left" w:pos="1134"/>
        </w:tabs>
        <w:spacing w:after="0" w:line="276" w:lineRule="auto"/>
        <w:ind w:firstLine="709"/>
        <w:jc w:val="both"/>
      </w:pPr>
      <w:r>
        <w:t>T</w:t>
      </w:r>
      <w:r w:rsidR="00B140B3">
        <w:t>urpmāk</w:t>
      </w:r>
      <w:r w:rsidR="00B140B3" w:rsidRPr="0017499B">
        <w:t xml:space="preserve"> no 2023. gada </w:t>
      </w:r>
      <w:r w:rsidR="00082B38">
        <w:t>[..]</w:t>
      </w:r>
      <w:r w:rsidR="00B140B3" w:rsidRPr="0017499B">
        <w:t xml:space="preserve"> apsūdzētajam valsts nodrošināto aizstāvību </w:t>
      </w:r>
      <w:r w:rsidR="00F63090">
        <w:t>sniedza</w:t>
      </w:r>
      <w:r w:rsidR="00B140B3" w:rsidRPr="0017499B">
        <w:t xml:space="preserve"> zvērināta advokāte Rūta </w:t>
      </w:r>
      <w:proofErr w:type="spellStart"/>
      <w:r w:rsidR="00B140B3" w:rsidRPr="0017499B">
        <w:t>Randare</w:t>
      </w:r>
      <w:proofErr w:type="spellEnd"/>
      <w:r w:rsidR="00B140B3" w:rsidRPr="0017499B">
        <w:t xml:space="preserve"> (</w:t>
      </w:r>
      <w:r w:rsidR="00B140B3" w:rsidRPr="0017499B">
        <w:rPr>
          <w:i/>
          <w:iCs/>
        </w:rPr>
        <w:t>lietas 12. sējuma 207. lapa</w:t>
      </w:r>
      <w:r w:rsidR="00B140B3" w:rsidRPr="0017499B">
        <w:t>).</w:t>
      </w:r>
    </w:p>
    <w:p w14:paraId="038059E8" w14:textId="3CDECFC4" w:rsidR="00D80F7D" w:rsidRDefault="00B140B3" w:rsidP="00D80F7D">
      <w:pPr>
        <w:tabs>
          <w:tab w:val="left" w:pos="1134"/>
        </w:tabs>
        <w:spacing w:after="0" w:line="276" w:lineRule="auto"/>
        <w:ind w:firstLine="709"/>
        <w:jc w:val="both"/>
      </w:pPr>
      <w:r>
        <w:t xml:space="preserve">Vienlaikus </w:t>
      </w:r>
      <w:r w:rsidR="00D80F7D">
        <w:t xml:space="preserve">Senāts konstatē, ka </w:t>
      </w:r>
      <w:r w:rsidR="003A71A5">
        <w:t xml:space="preserve">pretēji apsūdzētā apgalvotajam </w:t>
      </w:r>
      <w:r w:rsidR="00D80F7D">
        <w:t>z</w:t>
      </w:r>
      <w:r w:rsidR="00D80F7D" w:rsidRPr="00010FDC">
        <w:t>iņas, kas ietvertas paziņojumos par valsts nodrošinātās juridiskās palīdzības sniegšanu kriminālprocesā, apstiprin</w:t>
      </w:r>
      <w:r>
        <w:t>a</w:t>
      </w:r>
      <w:r w:rsidR="00D80F7D" w:rsidRPr="00010FDC">
        <w:t xml:space="preserve">, ka </w:t>
      </w:r>
      <w:r>
        <w:t>aizstāvis E.</w:t>
      </w:r>
      <w:r w:rsidR="00FD1C62">
        <w:t> </w:t>
      </w:r>
      <w:r>
        <w:t xml:space="preserve">Amoliņš </w:t>
      </w:r>
      <w:r w:rsidR="00D80F7D" w:rsidRPr="00010FDC">
        <w:t xml:space="preserve">pirms tiesas sēdēm </w:t>
      </w:r>
      <w:r w:rsidRPr="00010FDC">
        <w:t xml:space="preserve">apsūdzētajam </w:t>
      </w:r>
      <w:r w:rsidR="00082B38">
        <w:t>[pers. B]</w:t>
      </w:r>
      <w:r>
        <w:t xml:space="preserve"> sniedzis</w:t>
      </w:r>
      <w:r w:rsidR="00D80F7D" w:rsidRPr="00010FDC">
        <w:t xml:space="preserve"> arī juridiskās konsultācijas (</w:t>
      </w:r>
      <w:r w:rsidR="00D80F7D" w:rsidRPr="00296B0D">
        <w:t>sk.</w:t>
      </w:r>
      <w:r w:rsidR="00D80F7D" w:rsidRPr="00010FDC">
        <w:rPr>
          <w:i/>
          <w:iCs/>
        </w:rPr>
        <w:t xml:space="preserve"> 10. sējuma 15., 133. lapu, 11. sējuma 27., 99., 134. lapu</w:t>
      </w:r>
      <w:r w:rsidR="00D80F7D" w:rsidRPr="00010FDC">
        <w:t xml:space="preserve">). </w:t>
      </w:r>
    </w:p>
    <w:p w14:paraId="059B52E9" w14:textId="7BA8C593" w:rsidR="00552BB0" w:rsidRDefault="00552BB0" w:rsidP="00552BB0">
      <w:pPr>
        <w:tabs>
          <w:tab w:val="left" w:pos="1134"/>
        </w:tabs>
        <w:spacing w:after="0" w:line="276" w:lineRule="auto"/>
        <w:ind w:firstLine="709"/>
        <w:jc w:val="both"/>
      </w:pPr>
      <w:r>
        <w:t>[</w:t>
      </w:r>
      <w:r w:rsidR="00FD1C62">
        <w:t>10</w:t>
      </w:r>
      <w:r>
        <w:t>.5] Rezumējot minēto,</w:t>
      </w:r>
      <w:r w:rsidR="00531418">
        <w:t xml:space="preserve"> Senāts atzīst, ka</w:t>
      </w:r>
      <w:r>
        <w:t xml:space="preserve"> a</w:t>
      </w:r>
      <w:r w:rsidRPr="009465A8">
        <w:t>psūdzēt</w:t>
      </w:r>
      <w:r w:rsidR="003A71A5">
        <w:t>ā</w:t>
      </w:r>
      <w:r w:rsidRPr="009465A8">
        <w:t xml:space="preserve"> </w:t>
      </w:r>
      <w:r w:rsidR="0064697D">
        <w:t>[pers. B]</w:t>
      </w:r>
      <w:r w:rsidRPr="009465A8">
        <w:t xml:space="preserve"> kasācijas sūdzībā norādīt</w:t>
      </w:r>
      <w:r w:rsidR="003A71A5">
        <w:t>ais</w:t>
      </w:r>
      <w:r w:rsidRPr="009465A8">
        <w:t xml:space="preserve"> tiesību uz aizstāvību pārkāpum</w:t>
      </w:r>
      <w:r w:rsidR="003A71A5">
        <w:t>s</w:t>
      </w:r>
      <w:r>
        <w:t xml:space="preserve"> pirmās un apelācijas instances tiesā</w:t>
      </w:r>
      <w:r w:rsidRPr="009465A8">
        <w:t xml:space="preserve"> ir </w:t>
      </w:r>
      <w:r w:rsidR="003A71A5">
        <w:t xml:space="preserve">nepamatots. </w:t>
      </w:r>
    </w:p>
    <w:p w14:paraId="0ADDCA0D" w14:textId="77777777" w:rsidR="00FD1C62" w:rsidRDefault="00FD1C62" w:rsidP="00552BB0">
      <w:pPr>
        <w:tabs>
          <w:tab w:val="left" w:pos="1134"/>
        </w:tabs>
        <w:spacing w:after="0" w:line="276" w:lineRule="auto"/>
        <w:ind w:firstLine="709"/>
        <w:jc w:val="both"/>
      </w:pPr>
    </w:p>
    <w:p w14:paraId="192DB43E" w14:textId="6C5BB6A3" w:rsidR="00FD1C62" w:rsidRPr="00FD1C62" w:rsidRDefault="00FD1C62" w:rsidP="00FD1C62">
      <w:pPr>
        <w:tabs>
          <w:tab w:val="left" w:pos="1134"/>
        </w:tabs>
        <w:spacing w:after="0" w:line="276" w:lineRule="auto"/>
        <w:ind w:firstLine="709"/>
        <w:jc w:val="center"/>
        <w:rPr>
          <w:b/>
          <w:bCs/>
        </w:rPr>
      </w:pPr>
      <w:r w:rsidRPr="00FD1C62">
        <w:rPr>
          <w:b/>
          <w:bCs/>
        </w:rPr>
        <w:t>III</w:t>
      </w:r>
    </w:p>
    <w:p w14:paraId="152FE87E" w14:textId="159678C2" w:rsidR="00FD1C62" w:rsidRPr="00FD1C62" w:rsidRDefault="00FD1C62" w:rsidP="00FD1C62">
      <w:pPr>
        <w:tabs>
          <w:tab w:val="left" w:pos="1134"/>
        </w:tabs>
        <w:spacing w:after="0" w:line="276" w:lineRule="auto"/>
        <w:ind w:firstLine="709"/>
        <w:jc w:val="center"/>
        <w:rPr>
          <w:i/>
          <w:iCs/>
        </w:rPr>
      </w:pPr>
      <w:r w:rsidRPr="00FD1C62">
        <w:rPr>
          <w:i/>
          <w:iCs/>
        </w:rPr>
        <w:t>Par apsūdzētā atteikšanās no aizstāvja procedūras ievērošanu</w:t>
      </w:r>
    </w:p>
    <w:p w14:paraId="32C863DA" w14:textId="77777777" w:rsidR="00552BB0" w:rsidRDefault="00552BB0" w:rsidP="00552BB0">
      <w:pPr>
        <w:tabs>
          <w:tab w:val="left" w:pos="1134"/>
        </w:tabs>
        <w:spacing w:after="0" w:line="276" w:lineRule="auto"/>
        <w:ind w:firstLine="709"/>
        <w:jc w:val="both"/>
      </w:pPr>
    </w:p>
    <w:p w14:paraId="7C887BFC" w14:textId="34A4E10E" w:rsidR="00147362" w:rsidRDefault="00552BB0" w:rsidP="00147362">
      <w:pPr>
        <w:tabs>
          <w:tab w:val="left" w:pos="1134"/>
        </w:tabs>
        <w:spacing w:after="0" w:line="276" w:lineRule="auto"/>
        <w:ind w:firstLine="709"/>
        <w:jc w:val="both"/>
      </w:pPr>
      <w:bookmarkStart w:id="25" w:name="_Hlk215050922"/>
      <w:r>
        <w:t>[</w:t>
      </w:r>
      <w:r w:rsidR="00FD1C62">
        <w:t>11</w:t>
      </w:r>
      <w:r>
        <w:t xml:space="preserve">] </w:t>
      </w:r>
      <w:r w:rsidR="00D36C87">
        <w:rPr>
          <w:color w:val="000000" w:themeColor="text1"/>
        </w:rPr>
        <w:t>Kā nākamo</w:t>
      </w:r>
      <w:r w:rsidR="00147362" w:rsidRPr="00552BB0">
        <w:rPr>
          <w:color w:val="000000" w:themeColor="text1"/>
        </w:rPr>
        <w:t xml:space="preserve"> Senāts izvērtēs apsūdzētā </w:t>
      </w:r>
      <w:r w:rsidR="0064697D">
        <w:t>[pers. B]</w:t>
      </w:r>
      <w:r w:rsidR="00147362" w:rsidRPr="00552BB0">
        <w:rPr>
          <w:color w:val="000000" w:themeColor="text1"/>
        </w:rPr>
        <w:t xml:space="preserve"> izvirzīto argumentu</w:t>
      </w:r>
      <w:r w:rsidR="00147362">
        <w:rPr>
          <w:color w:val="000000" w:themeColor="text1"/>
        </w:rPr>
        <w:t xml:space="preserve"> par to</w:t>
      </w:r>
      <w:r w:rsidR="00147362" w:rsidRPr="00552BB0">
        <w:rPr>
          <w:color w:val="000000" w:themeColor="text1"/>
        </w:rPr>
        <w:t>, ka viņa</w:t>
      </w:r>
      <w:r w:rsidR="00147362">
        <w:t xml:space="preserve"> </w:t>
      </w:r>
      <w:r>
        <w:t>atteikšanās no aizstāvja apelācijas instances tiesā nav notikusi aizstāvja klātbūtnē</w:t>
      </w:r>
      <w:r w:rsidR="00D36C87">
        <w:t>.</w:t>
      </w:r>
    </w:p>
    <w:p w14:paraId="02A6C78B" w14:textId="50597736" w:rsidR="00552BB0" w:rsidRDefault="00D11A7F" w:rsidP="00147362">
      <w:pPr>
        <w:tabs>
          <w:tab w:val="left" w:pos="1134"/>
        </w:tabs>
        <w:spacing w:after="0" w:line="276" w:lineRule="auto"/>
        <w:ind w:firstLine="709"/>
        <w:jc w:val="both"/>
      </w:pPr>
      <w:r>
        <w:t xml:space="preserve">[11.1] </w:t>
      </w:r>
      <w:r w:rsidR="00147362">
        <w:t>Atbildot uz šo kasācijas sūdzības argumentu,</w:t>
      </w:r>
      <w:r w:rsidR="00552BB0">
        <w:t xml:space="preserve"> Senāts vispirms vērš uzmanību uz tiesisko regulējumu.</w:t>
      </w:r>
    </w:p>
    <w:p w14:paraId="4CAB664E" w14:textId="66D766E6" w:rsidR="00552BB0" w:rsidRDefault="00552BB0" w:rsidP="00552BB0">
      <w:pPr>
        <w:tabs>
          <w:tab w:val="left" w:pos="1134"/>
        </w:tabs>
        <w:spacing w:after="0" w:line="276" w:lineRule="auto"/>
        <w:ind w:firstLine="709"/>
        <w:jc w:val="both"/>
      </w:pPr>
      <w:r>
        <w:t xml:space="preserve">Saskaņā ar Kriminālprocesa likuma 88. panta pirmo daļu persona, kurai ir tiesības uz aizstāvību, ir tiesīga atteikties no aizstāvja. Šāda atteikšanās pieļaujama tikai pēc pašas personas iniciatīvas. </w:t>
      </w:r>
      <w:r w:rsidR="00451AD2">
        <w:t>Savukārt šī</w:t>
      </w:r>
      <w:r>
        <w:t xml:space="preserve"> panta otrā daļa noteic, ka gadījumā, ja persona, kurai ir tiesības uz aizstāvību, atsakās no aizstāvja, tai izskaidro, ka turpmāk persona pati īstenos savu aizstāvību. Ja persona, kurai ir tiesības uz aizstāvību, bija izteikusi lūgumu par aizstāvja piedalīšanos, atteikšanās no aizstāvja var notikt vienīgi aizstāvja klātbūtnē.</w:t>
      </w:r>
    </w:p>
    <w:p w14:paraId="4E3542D8" w14:textId="703110AA" w:rsidR="00D11A7F" w:rsidRDefault="00D11A7F" w:rsidP="00552BB0">
      <w:pPr>
        <w:tabs>
          <w:tab w:val="left" w:pos="1134"/>
        </w:tabs>
        <w:spacing w:after="0" w:line="276" w:lineRule="auto"/>
        <w:ind w:firstLine="709"/>
        <w:jc w:val="both"/>
      </w:pPr>
      <w:r>
        <w:t xml:space="preserve">No minētās normas izriet, ka aizstāvja klātbūtne ir nepieciešama gadījumos, kad persona paudusi gribu </w:t>
      </w:r>
      <w:r w:rsidR="00B4098A">
        <w:t xml:space="preserve">turpmāk </w:t>
      </w:r>
      <w:r>
        <w:t xml:space="preserve">aizstāvību īstenot pati. </w:t>
      </w:r>
    </w:p>
    <w:p w14:paraId="44D5CF61" w14:textId="6EE0F12A" w:rsidR="00D11A7F" w:rsidRPr="00D11A7F" w:rsidRDefault="00D11A7F" w:rsidP="00D11A7F">
      <w:pPr>
        <w:tabs>
          <w:tab w:val="left" w:pos="1134"/>
        </w:tabs>
        <w:spacing w:after="0" w:line="276" w:lineRule="auto"/>
        <w:ind w:firstLine="709"/>
        <w:jc w:val="both"/>
      </w:pPr>
      <w:r w:rsidRPr="00D11A7F">
        <w:t>Š</w:t>
      </w:r>
      <w:r w:rsidR="000A2F4B">
        <w:t>ādas kārtības</w:t>
      </w:r>
      <w:r w:rsidRPr="00D11A7F">
        <w:t xml:space="preserve"> mērķis ir nodrošināt, lai tiesa pārliecinātos, ka atteikšanās no aizstāvja ir brīvprātīga un nav notikusi </w:t>
      </w:r>
      <w:r w:rsidR="003A71A5">
        <w:t xml:space="preserve">apsūdzētā </w:t>
      </w:r>
      <w:r w:rsidRPr="00D11A7F">
        <w:t>mantiskā stāvokļa dēļ.</w:t>
      </w:r>
    </w:p>
    <w:p w14:paraId="73404DB3" w14:textId="2AC9ABDC" w:rsidR="00FD1C62" w:rsidRDefault="00D11A7F" w:rsidP="00552BB0">
      <w:pPr>
        <w:tabs>
          <w:tab w:val="left" w:pos="1134"/>
        </w:tabs>
        <w:spacing w:after="0" w:line="276" w:lineRule="auto"/>
        <w:ind w:firstLine="709"/>
        <w:jc w:val="both"/>
      </w:pPr>
      <w:r>
        <w:t xml:space="preserve">[11.2] </w:t>
      </w:r>
      <w:r w:rsidR="009E3796">
        <w:t xml:space="preserve">Senāts konstatē, ka </w:t>
      </w:r>
      <w:r w:rsidR="00556124">
        <w:t>izskatāmajā lietā</w:t>
      </w:r>
      <w:r w:rsidR="00FD1C62">
        <w:t xml:space="preserve"> </w:t>
      </w:r>
      <w:r w:rsidR="00552BB0">
        <w:t xml:space="preserve">apsūdzētais </w:t>
      </w:r>
      <w:r w:rsidR="0064697D">
        <w:t>[pers. B]</w:t>
      </w:r>
      <w:r w:rsidR="00552BB0">
        <w:t xml:space="preserve"> n</w:t>
      </w:r>
      <w:r>
        <w:t>ebija</w:t>
      </w:r>
      <w:r w:rsidR="00552BB0">
        <w:t xml:space="preserve"> atteicies no aizstāvja</w:t>
      </w:r>
      <w:r w:rsidR="008F1C0F">
        <w:t xml:space="preserve"> </w:t>
      </w:r>
      <w:r w:rsidR="00552BB0">
        <w:t>palīdzības kriminālprocesā un n</w:t>
      </w:r>
      <w:r>
        <w:t>ebija</w:t>
      </w:r>
      <w:r w:rsidR="00552BB0">
        <w:t xml:space="preserve"> izvēlējies realizēt savu aizstāvību kriminālprocesā pats, bet gan lūdzis</w:t>
      </w:r>
      <w:r w:rsidR="00FD1C62">
        <w:t xml:space="preserve"> tiesai</w:t>
      </w:r>
      <w:r w:rsidR="00552BB0">
        <w:t xml:space="preserve"> nodrošināt viņam citu aizstāvi</w:t>
      </w:r>
      <w:r w:rsidR="00FD1C62">
        <w:t>.</w:t>
      </w:r>
    </w:p>
    <w:p w14:paraId="66809C72" w14:textId="2CD627A4" w:rsidR="00552BB0" w:rsidRDefault="00FD1C62" w:rsidP="00552BB0">
      <w:pPr>
        <w:tabs>
          <w:tab w:val="left" w:pos="1134"/>
        </w:tabs>
        <w:spacing w:after="0" w:line="276" w:lineRule="auto"/>
        <w:ind w:firstLine="709"/>
        <w:jc w:val="both"/>
      </w:pPr>
      <w:r>
        <w:t xml:space="preserve">Kā šajā lēmumā konstatēts iepriekš, minētais lūgums tika apmierināts un turpmāk </w:t>
      </w:r>
      <w:r w:rsidR="00552BB0">
        <w:t>apsūdzētā aizstāvību veikusi zvērināta advokāte R. </w:t>
      </w:r>
      <w:proofErr w:type="spellStart"/>
      <w:r w:rsidR="00552BB0">
        <w:t>Randare</w:t>
      </w:r>
      <w:proofErr w:type="spellEnd"/>
      <w:r w:rsidR="00552BB0">
        <w:t>.</w:t>
      </w:r>
    </w:p>
    <w:p w14:paraId="1F5C14F8" w14:textId="4230BBF6" w:rsidR="001A31C1" w:rsidRPr="004458AC" w:rsidRDefault="00451AD2" w:rsidP="004458AC">
      <w:pPr>
        <w:tabs>
          <w:tab w:val="left" w:pos="1134"/>
        </w:tabs>
        <w:spacing w:after="0" w:line="276" w:lineRule="auto"/>
        <w:ind w:firstLine="709"/>
        <w:jc w:val="both"/>
      </w:pPr>
      <w:r w:rsidRPr="00451AD2">
        <w:t>Ievērojot minēto, lietā nav konstatēti tādi faktiskie apstākļi, kas būt</w:t>
      </w:r>
      <w:r>
        <w:t>u</w:t>
      </w:r>
      <w:r w:rsidRPr="00451AD2">
        <w:t xml:space="preserve"> par pamatu Kriminālprocesa likuma 88.</w:t>
      </w:r>
      <w:r>
        <w:t> </w:t>
      </w:r>
      <w:r w:rsidRPr="00451AD2">
        <w:t xml:space="preserve">panta otrās daļas piemērošanai, līdz ar to </w:t>
      </w:r>
      <w:r>
        <w:t>Senāts nekonstatē šī</w:t>
      </w:r>
      <w:r w:rsidR="00FE41C9">
        <w:t>s</w:t>
      </w:r>
      <w:r>
        <w:t xml:space="preserve"> normas pārkāpumu.</w:t>
      </w:r>
      <w:bookmarkEnd w:id="25"/>
    </w:p>
    <w:p w14:paraId="489FC334" w14:textId="75BB39DF" w:rsidR="00FD1C62" w:rsidRDefault="00FD1C62" w:rsidP="00FD1C62">
      <w:pPr>
        <w:spacing w:after="0" w:line="276" w:lineRule="auto"/>
        <w:ind w:firstLine="720"/>
        <w:jc w:val="center"/>
        <w:rPr>
          <w:b/>
          <w:bCs/>
          <w:color w:val="000000" w:themeColor="text1"/>
        </w:rPr>
      </w:pPr>
      <w:r w:rsidRPr="00FD1C62">
        <w:rPr>
          <w:b/>
          <w:bCs/>
          <w:color w:val="000000" w:themeColor="text1"/>
        </w:rPr>
        <w:t>IV</w:t>
      </w:r>
    </w:p>
    <w:p w14:paraId="3907E679" w14:textId="77777777" w:rsidR="00FD1C62" w:rsidRPr="00E533B5" w:rsidRDefault="00FD1C62" w:rsidP="00FD1C62">
      <w:pPr>
        <w:spacing w:after="0" w:line="276" w:lineRule="auto"/>
        <w:ind w:firstLine="720"/>
        <w:jc w:val="center"/>
        <w:rPr>
          <w:i/>
          <w:iCs/>
        </w:rPr>
      </w:pPr>
      <w:r w:rsidRPr="00E533B5">
        <w:rPr>
          <w:i/>
          <w:iCs/>
        </w:rPr>
        <w:t xml:space="preserve">Par sprieduma atbilstību Kriminālprocesa likuma prasībām </w:t>
      </w:r>
      <w:r>
        <w:rPr>
          <w:i/>
          <w:iCs/>
        </w:rPr>
        <w:t xml:space="preserve">par </w:t>
      </w:r>
      <w:r w:rsidRPr="00E533B5">
        <w:rPr>
          <w:i/>
          <w:iCs/>
        </w:rPr>
        <w:t>pierādījumu vērtēšanu un nolēmuma motivēšanu</w:t>
      </w:r>
    </w:p>
    <w:p w14:paraId="0EE0100B" w14:textId="77777777" w:rsidR="00FD1C62" w:rsidRPr="00FD1C62" w:rsidRDefault="00FD1C62" w:rsidP="00FD1C62">
      <w:pPr>
        <w:spacing w:after="0" w:line="276" w:lineRule="auto"/>
        <w:ind w:firstLine="720"/>
        <w:jc w:val="center"/>
        <w:rPr>
          <w:b/>
          <w:bCs/>
          <w:color w:val="000000" w:themeColor="text1"/>
        </w:rPr>
      </w:pPr>
    </w:p>
    <w:p w14:paraId="52550868" w14:textId="5FA87581" w:rsidR="006D48CC" w:rsidRDefault="00F371AF" w:rsidP="006D48CC">
      <w:pPr>
        <w:widowControl w:val="0"/>
        <w:shd w:val="clear" w:color="auto" w:fill="FFFFFF"/>
        <w:spacing w:after="0" w:line="276" w:lineRule="auto"/>
        <w:ind w:firstLine="720"/>
        <w:jc w:val="both"/>
        <w:rPr>
          <w:rFonts w:asciiTheme="majorBidi" w:hAnsiTheme="majorBidi" w:cstheme="majorBidi"/>
        </w:rPr>
      </w:pPr>
      <w:r>
        <w:t>[</w:t>
      </w:r>
      <w:r w:rsidR="00147362">
        <w:t>1</w:t>
      </w:r>
      <w:r w:rsidR="00FD1C62">
        <w:t>2</w:t>
      </w:r>
      <w:r>
        <w:t xml:space="preserve">] </w:t>
      </w:r>
      <w:bookmarkStart w:id="26" w:name="_Hlk204685525"/>
      <w:r w:rsidR="001A31C1">
        <w:t xml:space="preserve">Tālāk Senāts pārbaudīs, </w:t>
      </w:r>
      <w:r w:rsidR="006D48CC" w:rsidRPr="00561852">
        <w:rPr>
          <w:rFonts w:asciiTheme="majorBidi" w:hAnsiTheme="majorBidi" w:cstheme="majorBidi"/>
        </w:rPr>
        <w:t>vai apelācijas instances tiesa ir pieļāvusi Kriminālprocesa likuma 511. panta otrās daļas un 564. panta ceturtās daļas pārkāpumus sprieduma pamatošanā un pierādījumu novērtēšanā</w:t>
      </w:r>
      <w:r w:rsidR="00451AD2">
        <w:rPr>
          <w:rFonts w:asciiTheme="majorBidi" w:hAnsiTheme="majorBidi" w:cstheme="majorBidi"/>
        </w:rPr>
        <w:t>.</w:t>
      </w:r>
    </w:p>
    <w:p w14:paraId="44225E2C" w14:textId="6F8F93A4" w:rsidR="006D48CC" w:rsidRDefault="006950E1" w:rsidP="006D48CC">
      <w:pPr>
        <w:widowControl w:val="0"/>
        <w:shd w:val="clear" w:color="auto" w:fill="FFFFFF"/>
        <w:spacing w:after="0" w:line="276" w:lineRule="auto"/>
        <w:ind w:firstLine="720"/>
        <w:jc w:val="both"/>
        <w:rPr>
          <w:rFonts w:asciiTheme="majorBidi" w:hAnsiTheme="majorBidi" w:cstheme="majorBidi"/>
        </w:rPr>
      </w:pPr>
      <w:r>
        <w:rPr>
          <w:rFonts w:asciiTheme="majorBidi" w:hAnsiTheme="majorBidi" w:cstheme="majorBidi"/>
        </w:rPr>
        <w:t xml:space="preserve">Minētajās tiesību normās noteikto </w:t>
      </w:r>
      <w:r w:rsidR="006D48CC" w:rsidRPr="00561852">
        <w:rPr>
          <w:rFonts w:asciiTheme="majorBidi" w:hAnsiTheme="majorBidi" w:cstheme="majorBidi"/>
        </w:rPr>
        <w:t xml:space="preserve">prasību ievērošana cieši saistīta arī ar pienākumu ievērot Kriminālprocesa likuma 128. panta otrajā </w:t>
      </w:r>
      <w:r w:rsidR="006D48CC">
        <w:rPr>
          <w:rFonts w:asciiTheme="majorBidi" w:hAnsiTheme="majorBidi" w:cstheme="majorBidi"/>
        </w:rPr>
        <w:t xml:space="preserve">un trešajā </w:t>
      </w:r>
      <w:r w:rsidR="006D48CC" w:rsidRPr="00561852">
        <w:rPr>
          <w:rFonts w:asciiTheme="majorBidi" w:hAnsiTheme="majorBidi" w:cstheme="majorBidi"/>
        </w:rPr>
        <w:t xml:space="preserve">daļā un 527. panta </w:t>
      </w:r>
      <w:r w:rsidR="006D48CC" w:rsidRPr="00561852">
        <w:rPr>
          <w:rFonts w:asciiTheme="majorBidi" w:hAnsiTheme="majorBidi" w:cstheme="majorBidi"/>
        </w:rPr>
        <w:lastRenderedPageBreak/>
        <w:t>otrās daļas 1. un 2.</w:t>
      </w:r>
      <w:r w:rsidR="006D48CC">
        <w:rPr>
          <w:rFonts w:asciiTheme="majorBidi" w:hAnsiTheme="majorBidi" w:cstheme="majorBidi"/>
        </w:rPr>
        <w:t> </w:t>
      </w:r>
      <w:r w:rsidR="006D48CC" w:rsidRPr="00561852">
        <w:rPr>
          <w:rFonts w:asciiTheme="majorBidi" w:hAnsiTheme="majorBidi" w:cstheme="majorBidi"/>
        </w:rPr>
        <w:t>punktā noteiktās prasības</w:t>
      </w:r>
      <w:r w:rsidR="00451AD2">
        <w:rPr>
          <w:rFonts w:asciiTheme="majorBidi" w:hAnsiTheme="majorBidi" w:cstheme="majorBidi"/>
        </w:rPr>
        <w:t>.</w:t>
      </w:r>
    </w:p>
    <w:p w14:paraId="66C65650" w14:textId="2FB6539C" w:rsidR="00D36C87" w:rsidRDefault="00451AD2" w:rsidP="00233AE3">
      <w:pPr>
        <w:spacing w:after="0"/>
        <w:ind w:firstLine="720"/>
        <w:jc w:val="both"/>
        <w:rPr>
          <w:rFonts w:asciiTheme="majorBidi" w:hAnsiTheme="majorBidi" w:cstheme="majorBidi"/>
        </w:rPr>
      </w:pPr>
      <w:r>
        <w:rPr>
          <w:rFonts w:asciiTheme="majorBidi" w:hAnsiTheme="majorBidi" w:cstheme="majorBidi"/>
        </w:rPr>
        <w:t xml:space="preserve">[12.1] </w:t>
      </w:r>
      <w:r w:rsidR="00D36C87" w:rsidRPr="00DA21F7">
        <w:t xml:space="preserve">Senāts norāda, ka </w:t>
      </w:r>
      <w:r w:rsidR="00D36C87">
        <w:t>t</w:t>
      </w:r>
      <w:r w:rsidR="00D36C87" w:rsidRPr="00DA21F7">
        <w:t>iesas, kas izskata lietu pēc būtības, pārliecībai par apsūdzētā vain</w:t>
      </w:r>
      <w:r w:rsidR="00D36C87">
        <w:t>īgumu</w:t>
      </w:r>
      <w:r w:rsidR="00D36C87" w:rsidRPr="00DA21F7">
        <w:t xml:space="preserve"> ir jābūt pamatotai ar pierādījumu kopumu, kura vērtējums atbilst Kriminālprocesa likuma prasībām. </w:t>
      </w:r>
      <w:bookmarkStart w:id="27" w:name="_Hlk214266067"/>
      <w:r w:rsidR="00D36C87">
        <w:t>Turklāt š</w:t>
      </w:r>
      <w:r w:rsidR="00D36C87" w:rsidRPr="00DA21F7">
        <w:t xml:space="preserve">ādam vērtējumam ir jānodrošina likumā noteiktais </w:t>
      </w:r>
      <w:r w:rsidR="003A71A5">
        <w:t>pietiekamības</w:t>
      </w:r>
      <w:r w:rsidR="00D36C87" w:rsidRPr="00DA21F7">
        <w:t xml:space="preserve"> līmenis: nav saprātīgu šaubu par vain</w:t>
      </w:r>
      <w:r w:rsidR="00D36C87">
        <w:t>īgumu</w:t>
      </w:r>
      <w:r w:rsidR="00D36C87" w:rsidRPr="00DA21F7">
        <w:t>.</w:t>
      </w:r>
      <w:bookmarkEnd w:id="27"/>
    </w:p>
    <w:p w14:paraId="5EE87433" w14:textId="5E3B3AE3" w:rsidR="007E70B8" w:rsidRDefault="007E70B8" w:rsidP="00233AE3">
      <w:pPr>
        <w:spacing w:after="0"/>
        <w:ind w:firstLine="720"/>
        <w:jc w:val="both"/>
        <w:rPr>
          <w:rFonts w:cs="Times New Roman"/>
          <w:bCs/>
          <w:lang w:eastAsia="lv-LV"/>
        </w:rPr>
      </w:pPr>
      <w:bookmarkStart w:id="28" w:name="_Hlk214266153"/>
      <w:r w:rsidRPr="000F5CAB">
        <w:rPr>
          <w:rFonts w:cs="Times New Roman"/>
          <w:bCs/>
          <w:lang w:eastAsia="lv-LV"/>
        </w:rPr>
        <w:t>Šāda pārliecība nedrīkst būt balstīta pieņēmumos</w:t>
      </w:r>
      <w:r>
        <w:rPr>
          <w:rFonts w:cs="Times New Roman"/>
          <w:bCs/>
          <w:lang w:eastAsia="lv-LV"/>
        </w:rPr>
        <w:t xml:space="preserve">, </w:t>
      </w:r>
      <w:r w:rsidRPr="000F5CAB">
        <w:rPr>
          <w:rFonts w:cs="Times New Roman"/>
          <w:bCs/>
          <w:lang w:eastAsia="lv-LV"/>
        </w:rPr>
        <w:t>spekulācijās</w:t>
      </w:r>
      <w:r>
        <w:rPr>
          <w:rFonts w:cs="Times New Roman"/>
          <w:bCs/>
          <w:lang w:eastAsia="lv-LV"/>
        </w:rPr>
        <w:t xml:space="preserve"> vai nemotivētos apgalvojumos</w:t>
      </w:r>
      <w:r w:rsidRPr="000F5CAB">
        <w:rPr>
          <w:rFonts w:cs="Times New Roman"/>
          <w:bCs/>
          <w:lang w:eastAsia="lv-LV"/>
        </w:rPr>
        <w:t>. Tādēļ</w:t>
      </w:r>
      <w:r>
        <w:rPr>
          <w:rFonts w:cs="Times New Roman"/>
          <w:bCs/>
          <w:lang w:eastAsia="lv-LV"/>
        </w:rPr>
        <w:t xml:space="preserve"> </w:t>
      </w:r>
      <w:bookmarkStart w:id="29" w:name="_Hlk215051745"/>
      <w:r>
        <w:rPr>
          <w:rFonts w:cs="Times New Roman"/>
          <w:bCs/>
          <w:lang w:eastAsia="lv-LV"/>
        </w:rPr>
        <w:t>p</w:t>
      </w:r>
      <w:r w:rsidRPr="00D27918">
        <w:rPr>
          <w:rFonts w:cs="Times New Roman"/>
          <w:bCs/>
          <w:lang w:eastAsia="lv-LV"/>
        </w:rPr>
        <w:t>ierādījumu analīzei</w:t>
      </w:r>
      <w:r w:rsidR="00D36C87">
        <w:rPr>
          <w:rFonts w:cs="Times New Roman"/>
          <w:bCs/>
          <w:lang w:eastAsia="lv-LV"/>
        </w:rPr>
        <w:t xml:space="preserve"> spriedumā</w:t>
      </w:r>
      <w:r w:rsidRPr="00D27918">
        <w:rPr>
          <w:rFonts w:cs="Times New Roman"/>
          <w:bCs/>
          <w:lang w:eastAsia="lv-LV"/>
        </w:rPr>
        <w:t xml:space="preserve"> jābūt</w:t>
      </w:r>
      <w:r w:rsidR="00D36C87">
        <w:rPr>
          <w:rFonts w:cs="Times New Roman"/>
          <w:bCs/>
          <w:lang w:eastAsia="lv-LV"/>
        </w:rPr>
        <w:t xml:space="preserve"> izklāstītai </w:t>
      </w:r>
      <w:r w:rsidRPr="00D27918">
        <w:rPr>
          <w:rFonts w:cs="Times New Roman"/>
          <w:bCs/>
          <w:lang w:eastAsia="lv-LV"/>
        </w:rPr>
        <w:t xml:space="preserve">tik pilnīgi un vispusīgi, lai kasācijas instances tiesa, veicot </w:t>
      </w:r>
      <w:r w:rsidR="003A71A5">
        <w:rPr>
          <w:rFonts w:cs="Times New Roman"/>
          <w:bCs/>
          <w:lang w:eastAsia="lv-LV"/>
        </w:rPr>
        <w:t>apelācijas instances tiesas nolēmuma tiesiskum</w:t>
      </w:r>
      <w:r w:rsidR="00E512BD">
        <w:rPr>
          <w:rFonts w:cs="Times New Roman"/>
          <w:bCs/>
          <w:lang w:eastAsia="lv-LV"/>
        </w:rPr>
        <w:t>a</w:t>
      </w:r>
      <w:r w:rsidRPr="00D27918">
        <w:rPr>
          <w:rFonts w:cs="Times New Roman"/>
          <w:bCs/>
          <w:lang w:eastAsia="lv-LV"/>
        </w:rPr>
        <w:t xml:space="preserve"> kontroli, varētu pārliecināties, </w:t>
      </w:r>
      <w:r>
        <w:rPr>
          <w:rFonts w:cs="Times New Roman"/>
          <w:bCs/>
          <w:lang w:eastAsia="lv-LV"/>
        </w:rPr>
        <w:t xml:space="preserve">kā tiesa </w:t>
      </w:r>
      <w:r w:rsidRPr="00D27918">
        <w:rPr>
          <w:rFonts w:cs="Times New Roman"/>
          <w:bCs/>
          <w:lang w:eastAsia="lv-LV"/>
        </w:rPr>
        <w:t xml:space="preserve">ir nonākusi pie </w:t>
      </w:r>
      <w:r w:rsidR="00474E11">
        <w:rPr>
          <w:rFonts w:cs="Times New Roman"/>
          <w:bCs/>
          <w:lang w:eastAsia="lv-LV"/>
        </w:rPr>
        <w:t xml:space="preserve">savas </w:t>
      </w:r>
      <w:r w:rsidRPr="00D27918">
        <w:rPr>
          <w:rFonts w:cs="Times New Roman"/>
          <w:bCs/>
          <w:lang w:eastAsia="lv-LV"/>
        </w:rPr>
        <w:t>pārliecības par apsūdzētā vainīgumu</w:t>
      </w:r>
      <w:r>
        <w:rPr>
          <w:rFonts w:cs="Times New Roman"/>
          <w:bCs/>
          <w:lang w:eastAsia="lv-LV"/>
        </w:rPr>
        <w:t>.</w:t>
      </w:r>
    </w:p>
    <w:p w14:paraId="2A2D2968" w14:textId="28DC7703" w:rsidR="00ED0250" w:rsidRDefault="00ED0250" w:rsidP="00ED0250">
      <w:pPr>
        <w:spacing w:after="0"/>
        <w:ind w:firstLine="720"/>
        <w:jc w:val="both"/>
        <w:rPr>
          <w:rFonts w:cs="Times New Roman"/>
          <w:bCs/>
          <w:lang w:eastAsia="lv-LV"/>
        </w:rPr>
      </w:pPr>
      <w:r w:rsidRPr="00ED0250">
        <w:rPr>
          <w:rFonts w:cs="Times New Roman"/>
          <w:bCs/>
          <w:lang w:eastAsia="lv-LV"/>
        </w:rPr>
        <w:t xml:space="preserve">Pierādījumu vērtējuma detalizācijas pakāpe un izklāsta veids tiesas nolēmumā ir atkarīgs no konkrētās lietas apstākļiem, tajā skaitā apsūdzības sarežģītības, pierādījumu apjoma un aizstāvības pozīcijas. Izšķirošais kritērijs pierādījumu izklāsta pietiekamībai ir tas, vai no nolēmuma ir iespējams izsekot </w:t>
      </w:r>
      <w:r w:rsidR="00E512BD">
        <w:rPr>
          <w:rFonts w:cs="Times New Roman"/>
          <w:bCs/>
          <w:lang w:eastAsia="lv-LV"/>
        </w:rPr>
        <w:t xml:space="preserve">tiesas </w:t>
      </w:r>
      <w:r w:rsidR="003A71A5">
        <w:rPr>
          <w:rFonts w:cs="Times New Roman"/>
          <w:bCs/>
          <w:lang w:eastAsia="lv-LV"/>
        </w:rPr>
        <w:t>argumentācijai</w:t>
      </w:r>
      <w:r w:rsidRPr="00ED0250">
        <w:rPr>
          <w:rFonts w:cs="Times New Roman"/>
          <w:bCs/>
          <w:lang w:eastAsia="lv-LV"/>
        </w:rPr>
        <w:t xml:space="preserve"> un saprast, kā tā nonākusi pie konkrētiem secinājumiem. </w:t>
      </w:r>
    </w:p>
    <w:bookmarkEnd w:id="28"/>
    <w:bookmarkEnd w:id="29"/>
    <w:p w14:paraId="08657634" w14:textId="271C9C51" w:rsidR="005904CF" w:rsidRPr="00ED0250" w:rsidRDefault="005904CF" w:rsidP="00ED0250">
      <w:pPr>
        <w:spacing w:after="0" w:line="276" w:lineRule="auto"/>
        <w:ind w:firstLine="720"/>
        <w:jc w:val="lowKashida"/>
      </w:pPr>
      <w:r w:rsidRPr="0021633A">
        <w:t>Senāts jau iepriekš atzinis, ka Kriminālprocesa likuma prasība par motivētu nolēmumu ir ievērota, ja tiesa ir motivējusi visus būtiskos atzinumus, kuriem ir nozīme lietas taisnīgā izspriešanā, un motīvu izklāsta apjoms ļauj saprast, kā tiesa nonākusi pie šiem atzinumiem</w:t>
      </w:r>
      <w:r w:rsidR="0047656C">
        <w:t xml:space="preserve"> </w:t>
      </w:r>
      <w:r w:rsidRPr="0021633A">
        <w:t>(</w:t>
      </w:r>
      <w:bookmarkStart w:id="30" w:name="_Hlk217297612"/>
      <w:r w:rsidRPr="0021633A">
        <w:rPr>
          <w:i/>
          <w:iCs/>
        </w:rPr>
        <w:t>Senāta 2022. gada 5. jūlija lēmuma lietā Nr. SKK-1/2022, ECLI:LV:AT:2022:0705.11816006914.4.L, 18. punkts</w:t>
      </w:r>
      <w:bookmarkEnd w:id="30"/>
      <w:r w:rsidRPr="0021633A">
        <w:t>).</w:t>
      </w:r>
      <w:r>
        <w:t xml:space="preserve"> </w:t>
      </w:r>
      <w:r w:rsidRPr="0021633A">
        <w:t xml:space="preserve">Ja starp pierādījumiem ir pretrunas, tiesai spriedumā jāanalizē šo pretrunu iemesli un jānorāda, kādus tiesas sēdē pārbaudītos pierādījumus tā atzinusi par apšaubāmiem un kādu iemeslu dēļ. </w:t>
      </w:r>
      <w:r w:rsidR="00ED0250">
        <w:t>J</w:t>
      </w:r>
      <w:r w:rsidRPr="0021633A">
        <w:t xml:space="preserve">a apsūdzētais sevis aizstāvībai izvirzījis versiju, tiesai spriedumā </w:t>
      </w:r>
      <w:r>
        <w:t>tā</w:t>
      </w:r>
      <w:r w:rsidRPr="0021633A">
        <w:t xml:space="preserve"> rūpīgi jāanalizē un savi secinājumi par tās pamatotību vai nepamatotību jāmotivē</w:t>
      </w:r>
      <w:r>
        <w:t xml:space="preserve"> </w:t>
      </w:r>
      <w:r w:rsidRPr="0021633A">
        <w:t>(</w:t>
      </w:r>
      <w:bookmarkStart w:id="31" w:name="_Hlk217297617"/>
      <w:r w:rsidRPr="0021633A">
        <w:rPr>
          <w:i/>
          <w:iCs/>
        </w:rPr>
        <w:t>Senāta 2021. gada 26. februāra lēmuma lietā Nr. SKK4/2021, ECLI:LV:AT:2021:0226.15830014213.11.L, 9.1. punkts</w:t>
      </w:r>
      <w:r w:rsidRPr="0021633A">
        <w:t>).</w:t>
      </w:r>
      <w:bookmarkEnd w:id="31"/>
    </w:p>
    <w:p w14:paraId="67443460" w14:textId="72200032" w:rsidR="00D6631F" w:rsidRDefault="00ED2611" w:rsidP="00ED0250">
      <w:pPr>
        <w:spacing w:after="0"/>
        <w:ind w:firstLine="720"/>
        <w:jc w:val="both"/>
      </w:pPr>
      <w:bookmarkStart w:id="32" w:name="OLE_LINK77"/>
      <w:bookmarkEnd w:id="26"/>
      <w:r>
        <w:t>[</w:t>
      </w:r>
      <w:r w:rsidR="00147362">
        <w:t>1</w:t>
      </w:r>
      <w:r w:rsidR="00FD1C62">
        <w:t>2</w:t>
      </w:r>
      <w:r>
        <w:t>.</w:t>
      </w:r>
      <w:r w:rsidR="007E70B8">
        <w:t>2</w:t>
      </w:r>
      <w:r>
        <w:t xml:space="preserve">] </w:t>
      </w:r>
      <w:r w:rsidR="00ED0250">
        <w:t xml:space="preserve">Par </w:t>
      </w:r>
      <w:r w:rsidR="00ED0250" w:rsidRPr="00ED0250">
        <w:t>kasācijas instances</w:t>
      </w:r>
      <w:r w:rsidR="00ED0250">
        <w:t xml:space="preserve"> tiesas</w:t>
      </w:r>
      <w:r w:rsidR="00ED0250" w:rsidRPr="00ED0250">
        <w:t xml:space="preserve"> kompetenci Senāts </w:t>
      </w:r>
      <w:r w:rsidR="00ED0250">
        <w:t xml:space="preserve">atgādina, ka </w:t>
      </w:r>
      <w:r w:rsidR="00583F31">
        <w:t>tas</w:t>
      </w:r>
      <w:r w:rsidRPr="001E644C">
        <w:t xml:space="preserve">, vai lietā esošie pierādījumi ir vai nav pietiekami apsūdzētā vainīguma konstatēšanai, ir būtības jautājums, kas kasācijas kārtībā nav pārbaudāms </w:t>
      </w:r>
      <w:r w:rsidRPr="001E644C">
        <w:rPr>
          <w:bCs/>
        </w:rPr>
        <w:t>(</w:t>
      </w:r>
      <w:bookmarkStart w:id="33" w:name="_Hlk217297625"/>
      <w:r w:rsidRPr="001E644C">
        <w:rPr>
          <w:bCs/>
          <w:i/>
          <w:iCs/>
        </w:rPr>
        <w:t>Senāta 2020. gada 10. novembra lēmum</w:t>
      </w:r>
      <w:r>
        <w:rPr>
          <w:bCs/>
          <w:i/>
          <w:iCs/>
        </w:rPr>
        <w:t>a</w:t>
      </w:r>
      <w:r w:rsidRPr="001E644C">
        <w:rPr>
          <w:bCs/>
          <w:i/>
          <w:iCs/>
        </w:rPr>
        <w:t xml:space="preserve"> lietā Nr. SKK-127/2020</w:t>
      </w:r>
      <w:r w:rsidR="00E164C2">
        <w:rPr>
          <w:bCs/>
          <w:i/>
          <w:iCs/>
        </w:rPr>
        <w:t xml:space="preserve">, </w:t>
      </w:r>
      <w:hyperlink r:id="rId10" w:history="1">
        <w:r w:rsidRPr="001E644C">
          <w:rPr>
            <w:rStyle w:val="Hyperlink"/>
            <w:bCs/>
            <w:i/>
            <w:iCs/>
          </w:rPr>
          <w:t>ECLI:LV:AT:2020:1110.15890007015.20.L</w:t>
        </w:r>
      </w:hyperlink>
      <w:r w:rsidR="00E164C2">
        <w:rPr>
          <w:bCs/>
          <w:i/>
          <w:iCs/>
        </w:rPr>
        <w:t>,</w:t>
      </w:r>
      <w:r w:rsidRPr="001E644C">
        <w:rPr>
          <w:bCs/>
          <w:i/>
          <w:iCs/>
        </w:rPr>
        <w:t xml:space="preserve"> 5.3.</w:t>
      </w:r>
      <w:r w:rsidR="00DE0C61">
        <w:rPr>
          <w:bCs/>
          <w:i/>
          <w:iCs/>
        </w:rPr>
        <w:t> </w:t>
      </w:r>
      <w:r w:rsidRPr="001E644C">
        <w:rPr>
          <w:bCs/>
          <w:i/>
          <w:iCs/>
        </w:rPr>
        <w:t>punkts</w:t>
      </w:r>
      <w:r w:rsidRPr="001E644C">
        <w:rPr>
          <w:bCs/>
        </w:rPr>
        <w:t>)</w:t>
      </w:r>
      <w:bookmarkEnd w:id="33"/>
      <w:r w:rsidRPr="001E644C">
        <w:t xml:space="preserve">. Kasācijas instances tiesas kompetencē nav, pārbaudot pierādījumus, pārliecināties, ka izslēgta jebkura iespējamība, ka pierādījumu pārbaudes rezultātā varētu izdarīt kasatoram labvēlīgāku secinājumu. Tā būtu atkārtota pierādījumu novērtēšana pēc būtības, ko veic pirmās un apelācijas instances tiesa </w:t>
      </w:r>
      <w:bookmarkStart w:id="34" w:name="OLE_LINK67"/>
      <w:r w:rsidRPr="001E644C">
        <w:t>(</w:t>
      </w:r>
      <w:bookmarkStart w:id="35" w:name="_Hlk217297631"/>
      <w:r w:rsidR="00FD1C62">
        <w:rPr>
          <w:i/>
          <w:iCs/>
        </w:rPr>
        <w:t xml:space="preserve">Senāta </w:t>
      </w:r>
      <w:r w:rsidRPr="001E644C">
        <w:rPr>
          <w:i/>
          <w:iCs/>
        </w:rPr>
        <w:t xml:space="preserve">2018. gada 13. februāra spriedums lietā </w:t>
      </w:r>
      <w:r w:rsidR="00E164C2">
        <w:rPr>
          <w:i/>
          <w:iCs/>
        </w:rPr>
        <w:t>Nr. </w:t>
      </w:r>
      <w:r w:rsidRPr="001E644C">
        <w:rPr>
          <w:i/>
          <w:iCs/>
        </w:rPr>
        <w:t>SKA-92</w:t>
      </w:r>
      <w:r w:rsidR="000F5CAB">
        <w:rPr>
          <w:i/>
          <w:iCs/>
        </w:rPr>
        <w:t>/2018</w:t>
      </w:r>
      <w:r w:rsidR="00E164C2">
        <w:rPr>
          <w:i/>
          <w:iCs/>
        </w:rPr>
        <w:t xml:space="preserve">, </w:t>
      </w:r>
      <w:r w:rsidRPr="001E644C">
        <w:rPr>
          <w:i/>
          <w:iCs/>
        </w:rPr>
        <w:t>ECLI:LV:AT:2018:0213.A420433513.2.S</w:t>
      </w:r>
      <w:r w:rsidR="00E164C2">
        <w:rPr>
          <w:i/>
          <w:iCs/>
        </w:rPr>
        <w:t>,</w:t>
      </w:r>
      <w:r w:rsidRPr="001E644C">
        <w:rPr>
          <w:i/>
          <w:iCs/>
        </w:rPr>
        <w:t xml:space="preserve"> 7.</w:t>
      </w:r>
      <w:r w:rsidR="00C57C6A">
        <w:rPr>
          <w:i/>
          <w:iCs/>
        </w:rPr>
        <w:t> </w:t>
      </w:r>
      <w:bookmarkEnd w:id="35"/>
      <w:r w:rsidRPr="001E644C">
        <w:rPr>
          <w:i/>
          <w:iCs/>
        </w:rPr>
        <w:t>punkts</w:t>
      </w:r>
      <w:r w:rsidRPr="001E644C">
        <w:t>).</w:t>
      </w:r>
      <w:bookmarkEnd w:id="32"/>
      <w:bookmarkEnd w:id="34"/>
      <w:r w:rsidRPr="001E644C">
        <w:t xml:space="preserve"> </w:t>
      </w:r>
    </w:p>
    <w:p w14:paraId="3E5C2677" w14:textId="77777777" w:rsidR="00583F31" w:rsidRDefault="00583F31" w:rsidP="00583F31">
      <w:pPr>
        <w:spacing w:after="0"/>
        <w:ind w:firstLine="720"/>
        <w:jc w:val="both"/>
      </w:pPr>
      <w:bookmarkStart w:id="36" w:name="_Hlk214348991"/>
      <w:r w:rsidRPr="00583F31">
        <w:t xml:space="preserve">Tomēr no minētā neizriet, ka kasācijas instances tiesai pilnībā liegts </w:t>
      </w:r>
      <w:r>
        <w:t>pārbaudīt</w:t>
      </w:r>
      <w:r w:rsidRPr="00583F31">
        <w:t xml:space="preserve"> apelācijas instances tiesas veikto pierādījumu vērtēšanu</w:t>
      </w:r>
      <w:r>
        <w:t>.</w:t>
      </w:r>
    </w:p>
    <w:p w14:paraId="1EA76337" w14:textId="1E2A2FF5" w:rsidR="00583F31" w:rsidRDefault="00583F31" w:rsidP="00583F31">
      <w:pPr>
        <w:spacing w:after="0"/>
        <w:ind w:firstLine="720"/>
        <w:jc w:val="both"/>
      </w:pPr>
      <w:r>
        <w:t>Lai gan k</w:t>
      </w:r>
      <w:r w:rsidRPr="00C11586">
        <w:t>asācijas instances tiesa nevar pārvērtēt apelācijas instances tiesas iekšējo pārliecību vai tiesisko apziņu pierādījumu novērtēšanā</w:t>
      </w:r>
      <w:r>
        <w:t>, t</w:t>
      </w:r>
      <w:r w:rsidRPr="00C11586">
        <w:t>omēr tās kompetencē ir pārbaudīt procesuālo tiesību normu piemērošanas pareizību, t</w:t>
      </w:r>
      <w:r>
        <w:t xml:space="preserve">ai </w:t>
      </w:r>
      <w:r w:rsidRPr="00C11586">
        <w:t>sk</w:t>
      </w:r>
      <w:r>
        <w:t>aitā</w:t>
      </w:r>
      <w:r w:rsidRPr="00C11586">
        <w:t xml:space="preserve"> normu, kas reglamentē pierādījumu vērtēšanas kārtību</w:t>
      </w:r>
      <w:r w:rsidRPr="00C11586">
        <w:rPr>
          <w:b/>
          <w:bCs/>
          <w:lang w:eastAsia="zh-CN"/>
        </w:rPr>
        <w:t xml:space="preserve"> </w:t>
      </w:r>
      <w:r w:rsidRPr="001B2FC7">
        <w:rPr>
          <w:lang w:eastAsia="zh-CN"/>
        </w:rPr>
        <w:t>(</w:t>
      </w:r>
      <w:bookmarkStart w:id="37" w:name="_Hlk217297639"/>
      <w:r w:rsidRPr="00C11586">
        <w:rPr>
          <w:i/>
          <w:iCs/>
          <w:lang w:eastAsia="zh-CN"/>
        </w:rPr>
        <w:t>Senāta 2008. gada 26.</w:t>
      </w:r>
      <w:r>
        <w:rPr>
          <w:i/>
          <w:iCs/>
          <w:lang w:eastAsia="zh-CN"/>
        </w:rPr>
        <w:t> </w:t>
      </w:r>
      <w:r w:rsidRPr="00C11586">
        <w:rPr>
          <w:i/>
          <w:iCs/>
          <w:lang w:eastAsia="zh-CN"/>
        </w:rPr>
        <w:t>februāra sprieduma lietā Nr. SKA-73/2008 10. un 11. punkt</w:t>
      </w:r>
      <w:r>
        <w:rPr>
          <w:i/>
          <w:iCs/>
          <w:lang w:eastAsia="zh-CN"/>
        </w:rPr>
        <w:t>s</w:t>
      </w:r>
      <w:bookmarkEnd w:id="37"/>
      <w:r w:rsidRPr="001B2FC7">
        <w:rPr>
          <w:lang w:eastAsia="zh-CN"/>
        </w:rPr>
        <w:t>)</w:t>
      </w:r>
      <w:r w:rsidRPr="00C11586">
        <w:rPr>
          <w:i/>
          <w:iCs/>
          <w:lang w:eastAsia="zh-CN"/>
        </w:rPr>
        <w:t>.</w:t>
      </w:r>
      <w:bookmarkEnd w:id="36"/>
      <w:r>
        <w:t xml:space="preserve"> K</w:t>
      </w:r>
      <w:r w:rsidR="00ED2611" w:rsidRPr="001E644C">
        <w:rPr>
          <w:lang w:eastAsia="zh-CN"/>
        </w:rPr>
        <w:t>asācijas instances tiesas kompetencē ir pārbaudīt, vai apelācijas instances tiesa ir vērtējusi pierādījumus un vai vērtējums atbilst likumā izvirzītajām prasībām (</w:t>
      </w:r>
      <w:bookmarkStart w:id="38" w:name="_Hlk217297647"/>
      <w:r w:rsidR="00ED2611" w:rsidRPr="001E644C">
        <w:rPr>
          <w:i/>
          <w:iCs/>
          <w:lang w:eastAsia="zh-CN"/>
        </w:rPr>
        <w:t>Senāta 2006.</w:t>
      </w:r>
      <w:r w:rsidR="00A3440B">
        <w:rPr>
          <w:i/>
          <w:iCs/>
          <w:lang w:eastAsia="zh-CN"/>
        </w:rPr>
        <w:t> </w:t>
      </w:r>
      <w:r w:rsidR="00ED2611" w:rsidRPr="001E644C">
        <w:rPr>
          <w:i/>
          <w:iCs/>
          <w:lang w:eastAsia="zh-CN"/>
        </w:rPr>
        <w:t xml:space="preserve">gada 2. oktobra lēmums lietā Nr. SKK-568. Latvijas </w:t>
      </w:r>
      <w:r w:rsidR="00ED2611" w:rsidRPr="001E644C">
        <w:rPr>
          <w:i/>
          <w:iCs/>
          <w:lang w:eastAsia="zh-CN"/>
        </w:rPr>
        <w:lastRenderedPageBreak/>
        <w:t>Republikas Augstākās tiesas Senāta krimināllietu departamenta lēmumi 2006. Rīga: Latvijas Tiesnešu mācību centrs, 2007, 87. lpp</w:t>
      </w:r>
      <w:bookmarkEnd w:id="38"/>
      <w:r w:rsidR="00ED2611" w:rsidRPr="001E644C">
        <w:rPr>
          <w:lang w:eastAsia="zh-CN"/>
        </w:rPr>
        <w:t>.).</w:t>
      </w:r>
      <w:r w:rsidR="00ED2611" w:rsidRPr="001E644C">
        <w:t xml:space="preserve"> </w:t>
      </w:r>
    </w:p>
    <w:p w14:paraId="61BC8BBF" w14:textId="4E71B671" w:rsidR="00987418" w:rsidRDefault="00ED2611" w:rsidP="00E512BD">
      <w:pPr>
        <w:spacing w:after="0"/>
        <w:ind w:firstLine="720"/>
        <w:jc w:val="both"/>
      </w:pPr>
      <w:r w:rsidRPr="001E644C">
        <w:t>Kasācijas instances tiesa var atzīt par pārkāptu normu par pierādījumu vērtēšanu, ja, piemēram</w:t>
      </w:r>
      <w:bookmarkStart w:id="39" w:name="OLE_LINK68"/>
      <w:r w:rsidRPr="001E644C">
        <w:t>, tiesas izdarītie secinājumi vai nu vispār nebalstās uz pierādījumiem, bet tikai uz pieņēmumiem, vai ja secinājumi loģiski nevar izrietēt no novērtētajiem pierādījumiem, vai ja kāda pierādījuma saturs ir acīmredzami nepareizi noskaidrots</w:t>
      </w:r>
      <w:r w:rsidR="001878CE">
        <w:t xml:space="preserve">, </w:t>
      </w:r>
      <w:r w:rsidRPr="001E644C">
        <w:t xml:space="preserve">piemēram, tiesa vispār nepareizi izlasījusi rakstveida dokumentu vai izlaidusi no vērtējuma kādu dokumenta vai liecības daļu </w:t>
      </w:r>
      <w:bookmarkStart w:id="40" w:name="OLE_LINK69"/>
      <w:bookmarkEnd w:id="39"/>
      <w:r w:rsidRPr="001E644C">
        <w:t>(</w:t>
      </w:r>
      <w:bookmarkStart w:id="41" w:name="_Hlk217297657"/>
      <w:r w:rsidR="00FD1C62">
        <w:rPr>
          <w:i/>
          <w:iCs/>
        </w:rPr>
        <w:t xml:space="preserve">Senāta </w:t>
      </w:r>
      <w:r w:rsidRPr="001E644C">
        <w:rPr>
          <w:i/>
          <w:iCs/>
        </w:rPr>
        <w:t>2018.</w:t>
      </w:r>
      <w:r w:rsidR="00C57C6A">
        <w:rPr>
          <w:i/>
          <w:iCs/>
        </w:rPr>
        <w:t> </w:t>
      </w:r>
      <w:r w:rsidRPr="001E644C">
        <w:rPr>
          <w:i/>
          <w:iCs/>
        </w:rPr>
        <w:t xml:space="preserve">gada </w:t>
      </w:r>
      <w:r w:rsidRPr="00A670EC">
        <w:rPr>
          <w:i/>
          <w:iCs/>
        </w:rPr>
        <w:t>13.</w:t>
      </w:r>
      <w:r w:rsidR="00C57C6A">
        <w:rPr>
          <w:i/>
          <w:iCs/>
        </w:rPr>
        <w:t> </w:t>
      </w:r>
      <w:r w:rsidRPr="00A670EC">
        <w:rPr>
          <w:i/>
          <w:iCs/>
        </w:rPr>
        <w:t>februāra spriedum</w:t>
      </w:r>
      <w:r w:rsidR="00D6631F" w:rsidRPr="00A670EC">
        <w:rPr>
          <w:i/>
          <w:iCs/>
        </w:rPr>
        <w:t>a</w:t>
      </w:r>
      <w:r w:rsidRPr="00A670EC">
        <w:rPr>
          <w:i/>
          <w:iCs/>
        </w:rPr>
        <w:t xml:space="preserve"> lietā </w:t>
      </w:r>
      <w:r w:rsidR="00D6631F" w:rsidRPr="00A670EC">
        <w:rPr>
          <w:i/>
          <w:iCs/>
        </w:rPr>
        <w:t>Nr. </w:t>
      </w:r>
      <w:r w:rsidRPr="00A670EC">
        <w:rPr>
          <w:i/>
          <w:iCs/>
        </w:rPr>
        <w:t>SKA-92</w:t>
      </w:r>
      <w:r w:rsidR="000F5CAB">
        <w:rPr>
          <w:i/>
          <w:iCs/>
        </w:rPr>
        <w:t>/2018</w:t>
      </w:r>
      <w:r w:rsidR="00FE4C1E">
        <w:rPr>
          <w:i/>
          <w:iCs/>
        </w:rPr>
        <w:t xml:space="preserve">, </w:t>
      </w:r>
      <w:r w:rsidR="00D6631F" w:rsidRPr="00A670EC">
        <w:rPr>
          <w:i/>
          <w:iCs/>
        </w:rPr>
        <w:t>ECLI:LV:AT:2018:0213.A420433513.2.S</w:t>
      </w:r>
      <w:r w:rsidR="00FE4C1E">
        <w:rPr>
          <w:i/>
          <w:iCs/>
        </w:rPr>
        <w:t>,</w:t>
      </w:r>
      <w:r w:rsidR="008C77F4">
        <w:rPr>
          <w:i/>
          <w:iCs/>
        </w:rPr>
        <w:t xml:space="preserve"> </w:t>
      </w:r>
      <w:r w:rsidRPr="00A670EC">
        <w:rPr>
          <w:i/>
          <w:iCs/>
        </w:rPr>
        <w:t>7. punkts</w:t>
      </w:r>
      <w:bookmarkEnd w:id="41"/>
      <w:r w:rsidRPr="00A670EC">
        <w:t>)</w:t>
      </w:r>
      <w:bookmarkEnd w:id="40"/>
      <w:r w:rsidR="00A670EC">
        <w:t>,</w:t>
      </w:r>
      <w:r w:rsidR="00A670EC" w:rsidRPr="00A670EC">
        <w:t xml:space="preserve"> </w:t>
      </w:r>
      <w:bookmarkStart w:id="42" w:name="_Hlk204168667"/>
      <w:r w:rsidR="00A670EC" w:rsidRPr="00A670EC">
        <w:t xml:space="preserve">vai ja pierādījumu vērtējums ir </w:t>
      </w:r>
      <w:r w:rsidR="00A670EC" w:rsidRPr="00A670EC">
        <w:rPr>
          <w:rFonts w:cs="Times New Roman"/>
          <w:bCs/>
          <w:lang w:eastAsia="lv-LV"/>
        </w:rPr>
        <w:t xml:space="preserve">pretrunīgs un acīmredzami nepilnīgs </w:t>
      </w:r>
      <w:r w:rsidR="00A670EC" w:rsidRPr="00A670EC">
        <w:rPr>
          <w:rFonts w:cs="Times New Roman"/>
          <w:bCs/>
        </w:rPr>
        <w:t>(</w:t>
      </w:r>
      <w:bookmarkStart w:id="43" w:name="_Hlk217297662"/>
      <w:r w:rsidR="00A670EC" w:rsidRPr="00A670EC">
        <w:rPr>
          <w:rFonts w:cs="Times New Roman"/>
          <w:bCs/>
          <w:i/>
          <w:iCs/>
        </w:rPr>
        <w:t xml:space="preserve">Senāta 2021. gada 23. septembra sprieduma </w:t>
      </w:r>
      <w:r w:rsidR="00A670EC" w:rsidRPr="00A670EC">
        <w:rPr>
          <w:rFonts w:eastAsiaTheme="minorEastAsia" w:cs="Times New Roman"/>
          <w:bCs/>
          <w:i/>
          <w:iCs/>
        </w:rPr>
        <w:t>lietā Nr. SKA-138/2021,</w:t>
      </w:r>
      <w:r w:rsidR="00A670EC" w:rsidRPr="00A670EC">
        <w:rPr>
          <w:rFonts w:cs="Times New Roman"/>
          <w:bCs/>
          <w:i/>
          <w:iCs/>
        </w:rPr>
        <w:t xml:space="preserve"> </w:t>
      </w:r>
      <w:hyperlink r:id="rId11" w:history="1">
        <w:r w:rsidR="00A670EC" w:rsidRPr="00A670EC">
          <w:rPr>
            <w:rStyle w:val="Hyperlink"/>
            <w:rFonts w:eastAsiaTheme="minorEastAsia" w:cs="Times New Roman"/>
            <w:bCs/>
            <w:i/>
            <w:iCs/>
            <w:color w:val="auto"/>
            <w:u w:val="none"/>
          </w:rPr>
          <w:t>ECLI:LV:AT:2021:0923.A43009415.14.S</w:t>
        </w:r>
      </w:hyperlink>
      <w:r w:rsidR="00A670EC" w:rsidRPr="00A670EC">
        <w:rPr>
          <w:rFonts w:eastAsiaTheme="minorEastAsia" w:cs="Times New Roman"/>
          <w:bCs/>
          <w:i/>
          <w:iCs/>
        </w:rPr>
        <w:t>, 13. un 23. punkts</w:t>
      </w:r>
      <w:r w:rsidR="00A670EC" w:rsidRPr="00A670EC">
        <w:rPr>
          <w:rFonts w:eastAsiaTheme="minorEastAsia" w:cs="Times New Roman"/>
          <w:bCs/>
        </w:rPr>
        <w:t>)</w:t>
      </w:r>
      <w:r w:rsidR="00A670EC" w:rsidRPr="00A670EC">
        <w:rPr>
          <w:rFonts w:cs="Times New Roman"/>
          <w:bCs/>
          <w:lang w:eastAsia="lv-LV"/>
        </w:rPr>
        <w:t>.</w:t>
      </w:r>
      <w:bookmarkEnd w:id="42"/>
    </w:p>
    <w:p w14:paraId="335BAAC5" w14:textId="6694DBD3" w:rsidR="00987418" w:rsidRDefault="001E1610" w:rsidP="00987418">
      <w:pPr>
        <w:spacing w:after="0" w:line="276" w:lineRule="auto"/>
        <w:ind w:firstLine="720"/>
        <w:jc w:val="both"/>
      </w:pPr>
      <w:bookmarkStart w:id="44" w:name="_Hlk214518389"/>
      <w:bookmarkEnd w:id="43"/>
      <w:r>
        <w:t>[</w:t>
      </w:r>
      <w:r w:rsidR="00EA2F44">
        <w:t>12.3</w:t>
      </w:r>
      <w:r>
        <w:t xml:space="preserve">] </w:t>
      </w:r>
      <w:r w:rsidR="00987418">
        <w:t>Senāts konstatē, ka a</w:t>
      </w:r>
      <w:r w:rsidR="00F46459">
        <w:t xml:space="preserve">psūdzētais </w:t>
      </w:r>
      <w:r w:rsidR="0045022E">
        <w:t>[pers. A]</w:t>
      </w:r>
      <w:r w:rsidR="00583F31">
        <w:t xml:space="preserve"> </w:t>
      </w:r>
      <w:r w:rsidR="007B0184">
        <w:t>apelācijas sūdzīb</w:t>
      </w:r>
      <w:r w:rsidR="006D2820">
        <w:t>ā</w:t>
      </w:r>
      <w:r w:rsidR="00583F31">
        <w:t xml:space="preserve"> par pirmās instances tiesas spriedumu</w:t>
      </w:r>
      <w:r w:rsidR="00016904">
        <w:t xml:space="preserve"> </w:t>
      </w:r>
      <w:r w:rsidR="00F46459" w:rsidRPr="003B0A0F">
        <w:t>apstrīdēj</w:t>
      </w:r>
      <w:r w:rsidR="007B0184">
        <w:t>is</w:t>
      </w:r>
      <w:r w:rsidR="006D2820">
        <w:t xml:space="preserve"> viņa dalību</w:t>
      </w:r>
      <w:r w:rsidR="00F56825">
        <w:t xml:space="preserve"> inkriminētajos noziedzīgajos nodarījumos </w:t>
      </w:r>
      <w:r w:rsidR="00F56825" w:rsidRPr="00F56825">
        <w:t>un norād</w:t>
      </w:r>
      <w:r w:rsidR="00F56825">
        <w:t>ījis</w:t>
      </w:r>
      <w:r w:rsidR="00F56825" w:rsidRPr="00F56825">
        <w:t xml:space="preserve"> uz apstākļiem, k</w:t>
      </w:r>
      <w:r w:rsidR="005E3C0B">
        <w:t>uri</w:t>
      </w:r>
      <w:r w:rsidR="00F56825" w:rsidRPr="00F56825">
        <w:t>, viņaprāt, apliecina viņa nevainīgumu.</w:t>
      </w:r>
    </w:p>
    <w:p w14:paraId="4A8D5A88" w14:textId="660F6E50" w:rsidR="003A71A5" w:rsidRDefault="003A71A5" w:rsidP="003A71A5">
      <w:pPr>
        <w:spacing w:after="0" w:line="276" w:lineRule="auto"/>
        <w:ind w:firstLine="720"/>
        <w:jc w:val="both"/>
      </w:pPr>
      <w:r>
        <w:t>Kriminālprocesa likuma 564. panta ceturtā daļa noteic: n</w:t>
      </w:r>
      <w:r w:rsidRPr="003A71A5">
        <w:t>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3D28ED33" w14:textId="6E41D9F2" w:rsidR="00103FAD" w:rsidRPr="006D2820" w:rsidRDefault="00016904" w:rsidP="006D2820">
      <w:pPr>
        <w:spacing w:after="0" w:line="276" w:lineRule="auto"/>
        <w:ind w:firstLine="720"/>
        <w:jc w:val="both"/>
        <w:rPr>
          <w:b/>
          <w:bCs/>
        </w:rPr>
      </w:pPr>
      <w:r>
        <w:t>Ņemot vērā</w:t>
      </w:r>
      <w:r w:rsidR="00987418">
        <w:t xml:space="preserve"> apelācijas sūdzībā norādītos argumentus, </w:t>
      </w:r>
      <w:r w:rsidR="001878CE">
        <w:t xml:space="preserve">apelācijas instances </w:t>
      </w:r>
      <w:r w:rsidR="00F46459">
        <w:t>tiesai</w:t>
      </w:r>
      <w:r w:rsidR="006D2820">
        <w:t xml:space="preserve"> bija pienākums </w:t>
      </w:r>
      <w:r w:rsidR="005E3C0B">
        <w:t>izvērtē</w:t>
      </w:r>
      <w:r w:rsidR="006D2820">
        <w:t xml:space="preserve">t </w:t>
      </w:r>
      <w:r w:rsidR="006D2820" w:rsidRPr="008634D2">
        <w:t>pierādījumus, kuri attiecas uz</w:t>
      </w:r>
      <w:r w:rsidR="006D2820">
        <w:t xml:space="preserve"> šādiem </w:t>
      </w:r>
      <w:r w:rsidR="006D2820" w:rsidRPr="008634D2">
        <w:t>trim pamatjautājumiem</w:t>
      </w:r>
      <w:r w:rsidR="006D2820">
        <w:t>, proti, kāds pierādījumu kopums apstiprina</w:t>
      </w:r>
      <w:r w:rsidR="00F46459">
        <w:t>:</w:t>
      </w:r>
      <w:r w:rsidR="006D2820">
        <w:t xml:space="preserve"> </w:t>
      </w:r>
      <w:r w:rsidR="00F46459">
        <w:t>1)</w:t>
      </w:r>
      <w:r w:rsidR="00A3440B">
        <w:t> </w:t>
      </w:r>
      <w:r w:rsidR="0045022E">
        <w:t>[pers. A]</w:t>
      </w:r>
      <w:r w:rsidR="00F46459">
        <w:t xml:space="preserve"> piedalīšanos krāpšanā</w:t>
      </w:r>
      <w:r w:rsidR="00103FAD">
        <w:t xml:space="preserve">, tajā skaitā noziedzīgās vienošanās pastāvēšanu </w:t>
      </w:r>
      <w:r w:rsidR="006D2820">
        <w:t xml:space="preserve">ar pārējiem </w:t>
      </w:r>
      <w:r w:rsidR="00103FAD">
        <w:t>apsūdzētajiem</w:t>
      </w:r>
      <w:r w:rsidR="009E3796">
        <w:t>;</w:t>
      </w:r>
      <w:r w:rsidR="00F46459">
        <w:t xml:space="preserve"> 2)</w:t>
      </w:r>
      <w:r w:rsidR="00A3440B">
        <w:t> </w:t>
      </w:r>
      <w:r w:rsidR="00F46459">
        <w:t xml:space="preserve">to, ka pavadzīmes izgatavošanas laikā </w:t>
      </w:r>
      <w:r w:rsidR="0045022E">
        <w:t xml:space="preserve">[pers. A] </w:t>
      </w:r>
      <w:r w:rsidR="00F46459">
        <w:t>zināj</w:t>
      </w:r>
      <w:r w:rsidR="005E3C0B">
        <w:t>a</w:t>
      </w:r>
      <w:r w:rsidR="00F46459">
        <w:t>, ka akmeņogles iegūtas krāpšanas ceļā</w:t>
      </w:r>
      <w:r w:rsidR="006D2820">
        <w:t>;</w:t>
      </w:r>
      <w:r w:rsidR="00F46459">
        <w:t xml:space="preserve"> 3)</w:t>
      </w:r>
      <w:r w:rsidR="00A3440B">
        <w:t> </w:t>
      </w:r>
      <w:r w:rsidR="00F46459">
        <w:t xml:space="preserve">to, ka </w:t>
      </w:r>
      <w:r w:rsidR="0045022E">
        <w:t>[pers. A]</w:t>
      </w:r>
      <w:r w:rsidR="00233AE3">
        <w:t xml:space="preserve"> </w:t>
      </w:r>
      <w:r w:rsidR="005E3C0B">
        <w:t xml:space="preserve">personīgi </w:t>
      </w:r>
      <w:r w:rsidR="00F46459" w:rsidRPr="00D92935">
        <w:t>viltoj</w:t>
      </w:r>
      <w:r w:rsidR="005E3C0B">
        <w:t xml:space="preserve">a </w:t>
      </w:r>
      <w:r w:rsidR="005E3C0B" w:rsidRPr="00D92935">
        <w:t>pavadzīmi</w:t>
      </w:r>
      <w:r w:rsidR="005E3C0B">
        <w:t xml:space="preserve"> par ogļu piegādi no SIA </w:t>
      </w:r>
      <w:r w:rsidR="007B77DF">
        <w:t>„</w:t>
      </w:r>
      <w:r w:rsidR="0045022E">
        <w:t>[Nosaukums B]</w:t>
      </w:r>
      <w:r w:rsidR="005E3C0B">
        <w:t xml:space="preserve">” </w:t>
      </w:r>
      <w:r w:rsidR="00F46459" w:rsidRPr="00D92935">
        <w:t>vai dev</w:t>
      </w:r>
      <w:r w:rsidR="005E3C0B">
        <w:t>a</w:t>
      </w:r>
      <w:r w:rsidR="00F46459" w:rsidRPr="00D92935">
        <w:t xml:space="preserve"> norādījumus </w:t>
      </w:r>
      <w:r w:rsidR="005E3C0B">
        <w:t xml:space="preserve">to viltot </w:t>
      </w:r>
      <w:r w:rsidR="00F46459">
        <w:t>cita</w:t>
      </w:r>
      <w:r w:rsidR="00797D57">
        <w:t>i personai</w:t>
      </w:r>
      <w:r w:rsidR="0067796D">
        <w:t xml:space="preserve">. </w:t>
      </w:r>
    </w:p>
    <w:p w14:paraId="61D69054" w14:textId="1C6A52B3" w:rsidR="006D2820" w:rsidRDefault="00233AE3" w:rsidP="006D2820">
      <w:pPr>
        <w:spacing w:after="0" w:line="276" w:lineRule="auto"/>
        <w:ind w:firstLine="720"/>
        <w:jc w:val="both"/>
      </w:pPr>
      <w:r w:rsidRPr="00233AE3">
        <w:t>Senāts konstatē, ka apelācijas instances tiesa</w:t>
      </w:r>
      <w:r w:rsidR="006D2820">
        <w:t xml:space="preserve"> to nav izpildījusi. </w:t>
      </w:r>
    </w:p>
    <w:p w14:paraId="28F9C956" w14:textId="1A48476D" w:rsidR="00B17F70" w:rsidRDefault="005E3C0B" w:rsidP="00B17F70">
      <w:pPr>
        <w:spacing w:after="0" w:line="276" w:lineRule="auto"/>
        <w:ind w:firstLine="720"/>
        <w:jc w:val="both"/>
      </w:pPr>
      <w:r>
        <w:t>[</w:t>
      </w:r>
      <w:r w:rsidR="00EA2F44">
        <w:t>12.</w:t>
      </w:r>
      <w:r w:rsidR="009C2F60">
        <w:t>4</w:t>
      </w:r>
      <w:r>
        <w:t xml:space="preserve">] </w:t>
      </w:r>
      <w:bookmarkStart w:id="45" w:name="_Hlk214269661"/>
      <w:bookmarkStart w:id="46" w:name="_Hlk214268272"/>
      <w:r w:rsidR="00B17F70">
        <w:t xml:space="preserve">Pievēršoties </w:t>
      </w:r>
      <w:r w:rsidR="001878CE">
        <w:t xml:space="preserve">tiesas pieļautajiem </w:t>
      </w:r>
      <w:r w:rsidR="00B17F70">
        <w:t>pārkāpumiem, Senāts visupirms konstatē, ka s</w:t>
      </w:r>
      <w:r w:rsidR="00B17F70" w:rsidRPr="00233AE3">
        <w:t>priedumā</w:t>
      </w:r>
      <w:r w:rsidR="00B17F70">
        <w:t xml:space="preserve"> tiesa</w:t>
      </w:r>
      <w:r w:rsidR="00B17F70" w:rsidRPr="00233AE3">
        <w:t xml:space="preserve"> </w:t>
      </w:r>
      <w:r w:rsidR="00B17F70">
        <w:t xml:space="preserve">pārsvarā </w:t>
      </w:r>
      <w:r w:rsidR="00B17F70" w:rsidRPr="00233AE3">
        <w:t xml:space="preserve">aprobežojusies ar pierādījumu satura </w:t>
      </w:r>
      <w:r w:rsidR="00B17F70">
        <w:t>atstāstījumu</w:t>
      </w:r>
      <w:r w:rsidR="00B17F70" w:rsidRPr="00233AE3">
        <w:t xml:space="preserve"> un vispārīgiem apgalvojumiem.</w:t>
      </w:r>
    </w:p>
    <w:p w14:paraId="11ADA11E" w14:textId="37781607" w:rsidR="00B17F70" w:rsidRDefault="00B17F70" w:rsidP="00B17F70">
      <w:pPr>
        <w:spacing w:after="0" w:line="276" w:lineRule="auto"/>
        <w:ind w:firstLine="720"/>
        <w:jc w:val="lowKashida"/>
      </w:pPr>
      <w:r>
        <w:t>Kā Senāts atzinis jau agrāk, t</w:t>
      </w:r>
      <w:r w:rsidRPr="00EB0C9F">
        <w:t>iesai</w:t>
      </w:r>
      <w:r>
        <w:t xml:space="preserve"> </w:t>
      </w:r>
      <w:r w:rsidRPr="00EB0C9F">
        <w:t>ne tikai jāizklāsta lietā iegūto pierādījumu būtība, bet jāmin konkrētas ziņas par faktiem, kas iegūtas no lietā nopratināto personu liecībām un citiem pierādījumiem, norādot, ko tieši ar šīm ziņām par faktiem tiesa atzīst par pierādītu</w:t>
      </w:r>
      <w:r>
        <w:t xml:space="preserve"> (</w:t>
      </w:r>
      <w:bookmarkStart w:id="47" w:name="_Hlk217297679"/>
      <w:r w:rsidRPr="00EB0C9F">
        <w:rPr>
          <w:i/>
          <w:iCs/>
        </w:rPr>
        <w:t xml:space="preserve">Senāta 2021. gada 26. februāra lēmuma lietā Nr. SKK-4/2021, </w:t>
      </w:r>
      <w:hyperlink r:id="rId12" w:history="1">
        <w:r w:rsidRPr="00EB0C9F">
          <w:rPr>
            <w:rStyle w:val="Hyperlink"/>
            <w:i/>
            <w:iCs/>
          </w:rPr>
          <w:t>ECLI:LV:AT:2021:0226.15830014213.11.L</w:t>
        </w:r>
      </w:hyperlink>
      <w:r w:rsidRPr="00EB0C9F">
        <w:rPr>
          <w:i/>
          <w:iCs/>
        </w:rPr>
        <w:t>, 9.1. punkts</w:t>
      </w:r>
      <w:bookmarkEnd w:id="47"/>
      <w:r>
        <w:t>).</w:t>
      </w:r>
    </w:p>
    <w:p w14:paraId="15167D72" w14:textId="1C06352C" w:rsidR="000035CA" w:rsidRDefault="00274DAB" w:rsidP="00274DAB">
      <w:pPr>
        <w:spacing w:after="0" w:line="276" w:lineRule="auto"/>
        <w:ind w:firstLine="720"/>
        <w:jc w:val="lowKashida"/>
      </w:pPr>
      <w:r>
        <w:t>[</w:t>
      </w:r>
      <w:r w:rsidR="00EA2F44">
        <w:t>12.</w:t>
      </w:r>
      <w:r w:rsidR="009C2F60">
        <w:t>5</w:t>
      </w:r>
      <w:r>
        <w:t xml:space="preserve">] </w:t>
      </w:r>
      <w:r w:rsidR="0032232B">
        <w:t xml:space="preserve">Senāts </w:t>
      </w:r>
      <w:r w:rsidR="000035CA">
        <w:t>atzīst, ka viens no</w:t>
      </w:r>
      <w:r w:rsidR="000035CA" w:rsidRPr="008634D2">
        <w:t xml:space="preserve"> </w:t>
      </w:r>
      <w:r w:rsidR="000035CA">
        <w:t xml:space="preserve">pārsūdzētā </w:t>
      </w:r>
      <w:r w:rsidR="000035CA" w:rsidRPr="008634D2">
        <w:t xml:space="preserve">sprieduma </w:t>
      </w:r>
      <w:r w:rsidR="000035CA">
        <w:t>galvenajiem</w:t>
      </w:r>
      <w:r w:rsidR="000035CA" w:rsidRPr="008634D2">
        <w:t xml:space="preserve"> trūkumiem </w:t>
      </w:r>
      <w:r w:rsidR="000035CA">
        <w:t xml:space="preserve">ir tas, ka </w:t>
      </w:r>
      <w:r w:rsidR="000035CA" w:rsidRPr="008634D2">
        <w:t xml:space="preserve">tiesa nav </w:t>
      </w:r>
      <w:r w:rsidR="009D539C">
        <w:t>pienācīgi pamatojusi</w:t>
      </w:r>
      <w:r w:rsidR="000035CA">
        <w:t>,</w:t>
      </w:r>
      <w:r w:rsidR="000035CA" w:rsidRPr="008634D2">
        <w:t xml:space="preserve"> </w:t>
      </w:r>
      <w:r w:rsidR="000035CA">
        <w:t xml:space="preserve">kāds pierādījumu kopums apstiprina faktu, ka apsūdzētie </w:t>
      </w:r>
      <w:r w:rsidR="0045022E">
        <w:t>[pers. A]</w:t>
      </w:r>
      <w:r w:rsidR="000035CA">
        <w:t xml:space="preserve">, </w:t>
      </w:r>
      <w:r w:rsidR="0045022E">
        <w:t>[pers. B]</w:t>
      </w:r>
      <w:r w:rsidR="000035CA">
        <w:t xml:space="preserve"> un </w:t>
      </w:r>
      <w:r w:rsidR="0045022E">
        <w:t>[pers. C]</w:t>
      </w:r>
      <w:r w:rsidR="000035CA">
        <w:t xml:space="preserve"> vienojušies kopīgi izdarīt krāpšanu lielā apmērā (Krimināllikuma 177. panta trešā daļa).  </w:t>
      </w:r>
    </w:p>
    <w:p w14:paraId="0E692B51" w14:textId="7E29C43E" w:rsidR="00D3199F" w:rsidRDefault="00D3199F" w:rsidP="00D3199F">
      <w:pPr>
        <w:widowControl w:val="0"/>
        <w:shd w:val="clear" w:color="auto" w:fill="FFFFFF"/>
        <w:spacing w:after="0" w:line="276" w:lineRule="auto"/>
        <w:ind w:firstLine="720"/>
        <w:jc w:val="both"/>
      </w:pPr>
      <w:r>
        <w:t xml:space="preserve">Ievērojot minēto, par pamatotu ir uzskatāms apsūdzētā </w:t>
      </w:r>
      <w:r w:rsidR="00301829">
        <w:t>[pers. A]</w:t>
      </w:r>
      <w:r>
        <w:t xml:space="preserve"> kasācijas sūdzības arguments, ka t</w:t>
      </w:r>
      <w:r w:rsidRPr="00B035F5">
        <w:t xml:space="preserve">iesas spriedumā norādītais, ka </w:t>
      </w:r>
      <w:r w:rsidR="00301829">
        <w:t>[pers. A]</w:t>
      </w:r>
      <w:r w:rsidRPr="00B035F5">
        <w:t xml:space="preserve"> radies nodoms izdarīt krāpšanu pret personu, kas pārdos akmeņogles ar pēcmaksu, un šajā nolūkā kopīgi ar </w:t>
      </w:r>
      <w:r w:rsidR="00301829">
        <w:t>[pers. C]</w:t>
      </w:r>
      <w:r w:rsidRPr="00B035F5">
        <w:t xml:space="preserve"> nozieguma izdarīšanā viņš iesaistījis </w:t>
      </w:r>
      <w:r w:rsidR="00301829">
        <w:t>[pers. C]</w:t>
      </w:r>
      <w:r w:rsidRPr="00B035F5">
        <w:t>, nav pamatots ar pierādījumiem.</w:t>
      </w:r>
    </w:p>
    <w:p w14:paraId="2FC50F8A" w14:textId="08857F5A" w:rsidR="009C2F60" w:rsidRDefault="000035CA" w:rsidP="009C2F60">
      <w:pPr>
        <w:widowControl w:val="0"/>
        <w:shd w:val="clear" w:color="auto" w:fill="FFFFFF"/>
        <w:spacing w:after="0" w:line="276" w:lineRule="auto"/>
        <w:ind w:firstLine="720"/>
        <w:jc w:val="both"/>
      </w:pPr>
      <w:r>
        <w:t>Šis</w:t>
      </w:r>
      <w:r w:rsidRPr="00766C4A">
        <w:t xml:space="preserve"> trūkums</w:t>
      </w:r>
      <w:r>
        <w:t xml:space="preserve"> būtiski </w:t>
      </w:r>
      <w:r w:rsidRPr="00766C4A">
        <w:t xml:space="preserve">ietekmē </w:t>
      </w:r>
      <w:r>
        <w:t xml:space="preserve">sprieduma pamatotību </w:t>
      </w:r>
      <w:r w:rsidRPr="00766C4A">
        <w:t xml:space="preserve">arī </w:t>
      </w:r>
      <w:r>
        <w:t xml:space="preserve">attiecībā uz </w:t>
      </w:r>
      <w:r w:rsidRPr="00766C4A">
        <w:t>pārēj</w:t>
      </w:r>
      <w:r>
        <w:t>iem</w:t>
      </w:r>
      <w:r w:rsidRPr="00766C4A">
        <w:t xml:space="preserve"> </w:t>
      </w:r>
      <w:r w:rsidR="00301829">
        <w:t>[pers. A]</w:t>
      </w:r>
      <w:r w:rsidRPr="00766C4A">
        <w:t xml:space="preserve"> inkriminēt</w:t>
      </w:r>
      <w:r>
        <w:t>ajiem</w:t>
      </w:r>
      <w:r w:rsidRPr="00766C4A">
        <w:t xml:space="preserve"> noziedzīg</w:t>
      </w:r>
      <w:r>
        <w:t>ajiem</w:t>
      </w:r>
      <w:r w:rsidRPr="00766C4A">
        <w:t xml:space="preserve"> nodarījum</w:t>
      </w:r>
      <w:r>
        <w:t xml:space="preserve">iem, jo </w:t>
      </w:r>
      <w:r w:rsidR="00FE41C9">
        <w:t>konstatējums</w:t>
      </w:r>
      <w:r>
        <w:t xml:space="preserve"> </w:t>
      </w:r>
      <w:r w:rsidRPr="00F81F86">
        <w:t>par</w:t>
      </w:r>
      <w:r>
        <w:t xml:space="preserve"> noziedzīgo</w:t>
      </w:r>
      <w:r w:rsidRPr="00F81F86">
        <w:t xml:space="preserve"> </w:t>
      </w:r>
      <w:r w:rsidRPr="00F81F86">
        <w:lastRenderedPageBreak/>
        <w:t>vienošanos izdarīt krāpšanu</w:t>
      </w:r>
      <w:r w:rsidR="006059B7">
        <w:t xml:space="preserve"> </w:t>
      </w:r>
      <w:r w:rsidR="00FE41C9">
        <w:t xml:space="preserve">kopā </w:t>
      </w:r>
      <w:r w:rsidR="006059B7">
        <w:t>ar citām personām</w:t>
      </w:r>
      <w:r w:rsidRPr="00F81F86">
        <w:t xml:space="preserve"> </w:t>
      </w:r>
      <w:r>
        <w:t>ir būtisks</w:t>
      </w:r>
      <w:r w:rsidR="00D3199F">
        <w:t xml:space="preserve">, vērtējot pierādījumus </w:t>
      </w:r>
      <w:r>
        <w:t xml:space="preserve">arī par </w:t>
      </w:r>
      <w:r w:rsidR="009C2F60">
        <w:t xml:space="preserve">citiem </w:t>
      </w:r>
      <w:r w:rsidR="00D3199F">
        <w:t>noziedzīgajiem nodarījumiem</w:t>
      </w:r>
      <w:r w:rsidR="009C2F60">
        <w:t xml:space="preserve">, </w:t>
      </w:r>
      <w:r w:rsidR="009C2F60" w:rsidRPr="009C2F60">
        <w:t>ņemot vērā to ciešo saistību ar krāpšanu</w:t>
      </w:r>
      <w:r w:rsidR="009C2F60">
        <w:t>.</w:t>
      </w:r>
    </w:p>
    <w:p w14:paraId="49A36FF4" w14:textId="74A3B846" w:rsidR="00B17F70" w:rsidRDefault="00B17F70" w:rsidP="00B17F70">
      <w:pPr>
        <w:widowControl w:val="0"/>
        <w:shd w:val="clear" w:color="auto" w:fill="FFFFFF"/>
        <w:spacing w:after="0" w:line="276" w:lineRule="auto"/>
        <w:ind w:firstLine="720"/>
        <w:jc w:val="both"/>
      </w:pPr>
      <w:r>
        <w:t>[</w:t>
      </w:r>
      <w:r w:rsidR="00EA2F44">
        <w:t>12.</w:t>
      </w:r>
      <w:r w:rsidR="009C2F60">
        <w:t>6</w:t>
      </w:r>
      <w:r>
        <w:t xml:space="preserve">] </w:t>
      </w:r>
      <w:r w:rsidRPr="00694CA2">
        <w:t>Senāts</w:t>
      </w:r>
      <w:r>
        <w:t xml:space="preserve"> neatstāj bez ievērības to</w:t>
      </w:r>
      <w:r w:rsidRPr="00694CA2">
        <w:t xml:space="preserve">, ka spriedumā </w:t>
      </w:r>
      <w:r>
        <w:t>vietām ir izdarīti arī atsevišķi secinājumi un izteikti vispārīgi apgalvojumi</w:t>
      </w:r>
      <w:r w:rsidRPr="00694CA2">
        <w:t>, tomēr tiem lielākoties trūkst skaidras, loģiski izsekojamas sasaistes ar iepriekš izklāstīto pierādījumu saturu.</w:t>
      </w:r>
    </w:p>
    <w:p w14:paraId="1E0AB7F0" w14:textId="29BA8D82" w:rsidR="00B17F70" w:rsidRDefault="00B17F70" w:rsidP="00301829">
      <w:pPr>
        <w:widowControl w:val="0"/>
        <w:shd w:val="clear" w:color="auto" w:fill="FFFFFF"/>
        <w:spacing w:after="0" w:line="276" w:lineRule="auto"/>
        <w:ind w:firstLine="720"/>
        <w:jc w:val="both"/>
      </w:pPr>
      <w:r>
        <w:t xml:space="preserve">Piemēram, </w:t>
      </w:r>
      <w:r w:rsidRPr="00723CA5">
        <w:t>p</w:t>
      </w:r>
      <w:r>
        <w:t xml:space="preserve">ēc tiesas konstatējuma, ka nomas </w:t>
      </w:r>
      <w:r w:rsidRPr="00723CA5">
        <w:t>l</w:t>
      </w:r>
      <w:r w:rsidRPr="00723CA5">
        <w:rPr>
          <w:rFonts w:hint="eastAsia"/>
        </w:rPr>
        <w:t>ī</w:t>
      </w:r>
      <w:r w:rsidRPr="00723CA5">
        <w:t>gumu p</w:t>
      </w:r>
      <w:r w:rsidRPr="00723CA5">
        <w:rPr>
          <w:rFonts w:hint="eastAsia"/>
        </w:rPr>
        <w:t>ē</w:t>
      </w:r>
      <w:r w:rsidRPr="00723CA5">
        <w:t xml:space="preserve">c </w:t>
      </w:r>
      <w:r>
        <w:t xml:space="preserve">apsūdzētā </w:t>
      </w:r>
      <w:r w:rsidR="00301829">
        <w:t>[pers. A]</w:t>
      </w:r>
      <w:r w:rsidRPr="00723CA5">
        <w:t xml:space="preserve"> nor</w:t>
      </w:r>
      <w:r w:rsidRPr="00723CA5">
        <w:rPr>
          <w:rFonts w:hint="eastAsia"/>
        </w:rPr>
        <w:t>ā</w:t>
      </w:r>
      <w:r w:rsidRPr="00723CA5">
        <w:t>d</w:t>
      </w:r>
      <w:r w:rsidRPr="00723CA5">
        <w:rPr>
          <w:rFonts w:hint="eastAsia"/>
        </w:rPr>
        <w:t>ī</w:t>
      </w:r>
      <w:r w:rsidRPr="00723CA5">
        <w:t>juma parakst</w:t>
      </w:r>
      <w:r w:rsidRPr="00723CA5">
        <w:rPr>
          <w:rFonts w:hint="eastAsia"/>
        </w:rPr>
        <w:t>ī</w:t>
      </w:r>
      <w:r w:rsidRPr="00723CA5">
        <w:t xml:space="preserve">ja </w:t>
      </w:r>
      <w:r w:rsidR="00301829">
        <w:t>[pers. N]</w:t>
      </w:r>
      <w:r>
        <w:t xml:space="preserve">, </w:t>
      </w:r>
      <w:r w:rsidRPr="004707CD">
        <w:t>t</w:t>
      </w:r>
      <w:r w:rsidRPr="00723CA5">
        <w:t>iesa</w:t>
      </w:r>
      <w:r w:rsidRPr="004707CD">
        <w:t xml:space="preserve"> izdarījusi secinājumu</w:t>
      </w:r>
      <w:r w:rsidRPr="00723CA5">
        <w:t>, ka</w:t>
      </w:r>
      <w:r>
        <w:t>:</w:t>
      </w:r>
      <w:r w:rsidRPr="00723CA5">
        <w:t xml:space="preserve"> </w:t>
      </w:r>
      <w:r w:rsidR="007B77DF">
        <w:t>„</w:t>
      </w:r>
      <w:r w:rsidR="00301829">
        <w:t>[Pers. A]</w:t>
      </w:r>
      <w:r w:rsidRPr="00723CA5">
        <w:t xml:space="preserve"> apzin</w:t>
      </w:r>
      <w:r w:rsidRPr="00723CA5">
        <w:rPr>
          <w:rFonts w:hint="eastAsia"/>
        </w:rPr>
        <w:t>ā</w:t>
      </w:r>
      <w:r w:rsidRPr="00723CA5">
        <w:t>j</w:t>
      </w:r>
      <w:r w:rsidRPr="00723CA5">
        <w:rPr>
          <w:rFonts w:hint="eastAsia"/>
        </w:rPr>
        <w:t>ā</w:t>
      </w:r>
      <w:r w:rsidRPr="00723CA5">
        <w:t>s izrakst</w:t>
      </w:r>
      <w:r w:rsidRPr="00723CA5">
        <w:rPr>
          <w:rFonts w:hint="eastAsia"/>
        </w:rPr>
        <w:t>ī</w:t>
      </w:r>
      <w:r w:rsidRPr="00723CA5">
        <w:t>to r</w:t>
      </w:r>
      <w:r w:rsidRPr="00723CA5">
        <w:rPr>
          <w:rFonts w:hint="eastAsia"/>
        </w:rPr>
        <w:t>ēķ</w:t>
      </w:r>
      <w:r w:rsidRPr="00723CA5">
        <w:t>inu un vi</w:t>
      </w:r>
      <w:r w:rsidRPr="00723CA5">
        <w:rPr>
          <w:rFonts w:hint="eastAsia"/>
        </w:rPr>
        <w:t>ņ</w:t>
      </w:r>
      <w:r w:rsidRPr="00723CA5">
        <w:t>a</w:t>
      </w:r>
      <w:r>
        <w:t xml:space="preserve"> </w:t>
      </w:r>
      <w:r w:rsidRPr="00723CA5">
        <w:t>uzdevum</w:t>
      </w:r>
      <w:r w:rsidRPr="00723CA5">
        <w:rPr>
          <w:rFonts w:hint="eastAsia"/>
        </w:rPr>
        <w:t>ā</w:t>
      </w:r>
      <w:r w:rsidRPr="00723CA5">
        <w:t xml:space="preserve"> </w:t>
      </w:r>
      <w:r w:rsidR="00301829">
        <w:t>[pers. N]</w:t>
      </w:r>
      <w:r w:rsidRPr="00723CA5">
        <w:t xml:space="preserve"> ar SIA</w:t>
      </w:r>
      <w:r w:rsidR="00C57C6A">
        <w:t> </w:t>
      </w:r>
      <w:r w:rsidR="007B77DF">
        <w:rPr>
          <w:rFonts w:asciiTheme="majorBidi" w:hAnsiTheme="majorBidi" w:cstheme="majorBidi"/>
        </w:rPr>
        <w:t>„</w:t>
      </w:r>
      <w:r w:rsidR="00301829">
        <w:rPr>
          <w:rFonts w:asciiTheme="majorBidi" w:hAnsiTheme="majorBidi" w:cstheme="majorBidi"/>
        </w:rPr>
        <w:t>[Nosaukums A]</w:t>
      </w:r>
      <w:r>
        <w:t>”</w:t>
      </w:r>
      <w:r w:rsidRPr="00723CA5">
        <w:t xml:space="preserve"> parakst</w:t>
      </w:r>
      <w:r w:rsidRPr="00723CA5">
        <w:rPr>
          <w:rFonts w:hint="eastAsia"/>
        </w:rPr>
        <w:t>ī</w:t>
      </w:r>
      <w:r w:rsidRPr="00723CA5">
        <w:t>t</w:t>
      </w:r>
      <w:r w:rsidRPr="00723CA5">
        <w:rPr>
          <w:rFonts w:hint="eastAsia"/>
        </w:rPr>
        <w:t>ā</w:t>
      </w:r>
      <w:r w:rsidRPr="00723CA5">
        <w:t xml:space="preserve"> l</w:t>
      </w:r>
      <w:r w:rsidRPr="00723CA5">
        <w:rPr>
          <w:rFonts w:hint="eastAsia"/>
        </w:rPr>
        <w:t>ī</w:t>
      </w:r>
      <w:r w:rsidRPr="00723CA5">
        <w:t>guma fikt</w:t>
      </w:r>
      <w:r w:rsidRPr="00723CA5">
        <w:rPr>
          <w:rFonts w:hint="eastAsia"/>
        </w:rPr>
        <w:t>ī</w:t>
      </w:r>
      <w:r w:rsidRPr="00723CA5">
        <w:t>vo raksturu un, ka</w:t>
      </w:r>
      <w:r>
        <w:t xml:space="preserve"> </w:t>
      </w:r>
      <w:r w:rsidRPr="00723CA5">
        <w:t>augst</w:t>
      </w:r>
      <w:r w:rsidRPr="00723CA5">
        <w:rPr>
          <w:rFonts w:hint="eastAsia"/>
        </w:rPr>
        <w:t>ā</w:t>
      </w:r>
      <w:r w:rsidRPr="00723CA5">
        <w:t>k nor</w:t>
      </w:r>
      <w:r w:rsidRPr="00723CA5">
        <w:rPr>
          <w:rFonts w:hint="eastAsia"/>
        </w:rPr>
        <w:t>ā</w:t>
      </w:r>
      <w:r w:rsidRPr="00723CA5">
        <w:t>d</w:t>
      </w:r>
      <w:r w:rsidRPr="00723CA5">
        <w:rPr>
          <w:rFonts w:hint="eastAsia"/>
        </w:rPr>
        <w:t>ī</w:t>
      </w:r>
      <w:r w:rsidRPr="00723CA5">
        <w:t>t</w:t>
      </w:r>
      <w:r w:rsidRPr="00723CA5">
        <w:rPr>
          <w:rFonts w:hint="eastAsia"/>
        </w:rPr>
        <w:t>ā</w:t>
      </w:r>
      <w:r w:rsidRPr="00723CA5">
        <w:t>s ogles ir izkr</w:t>
      </w:r>
      <w:r w:rsidRPr="00723CA5">
        <w:rPr>
          <w:rFonts w:hint="eastAsia"/>
        </w:rPr>
        <w:t>ā</w:t>
      </w:r>
      <w:r w:rsidRPr="00723CA5">
        <w:t>ptas, jo par t</w:t>
      </w:r>
      <w:r w:rsidRPr="00723CA5">
        <w:rPr>
          <w:rFonts w:hint="eastAsia"/>
        </w:rPr>
        <w:t>ā</w:t>
      </w:r>
      <w:r w:rsidRPr="00723CA5">
        <w:t>m nav bijis nodoma samaks</w:t>
      </w:r>
      <w:r w:rsidRPr="00723CA5">
        <w:rPr>
          <w:rFonts w:hint="eastAsia"/>
        </w:rPr>
        <w:t>ā</w:t>
      </w:r>
      <w:r w:rsidRPr="00723CA5">
        <w:t>t, k</w:t>
      </w:r>
      <w:r w:rsidRPr="00723CA5">
        <w:rPr>
          <w:rFonts w:hint="eastAsia"/>
        </w:rPr>
        <w:t>ā</w:t>
      </w:r>
      <w:r w:rsidRPr="00723CA5">
        <w:t xml:space="preserve"> par to</w:t>
      </w:r>
      <w:r>
        <w:t xml:space="preserve"> </w:t>
      </w:r>
      <w:r w:rsidRPr="004707CD">
        <w:t>bija vienoju</w:t>
      </w:r>
      <w:r w:rsidRPr="004707CD">
        <w:rPr>
          <w:rFonts w:hint="eastAsia"/>
        </w:rPr>
        <w:t>š</w:t>
      </w:r>
      <w:r w:rsidRPr="004707CD">
        <w:t>ies grupas dal</w:t>
      </w:r>
      <w:r w:rsidRPr="004707CD">
        <w:rPr>
          <w:rFonts w:hint="eastAsia"/>
        </w:rPr>
        <w:t>ī</w:t>
      </w:r>
      <w:r w:rsidRPr="004707CD">
        <w:t>bnieki</w:t>
      </w:r>
      <w:r>
        <w:t>” (</w:t>
      </w:r>
      <w:r w:rsidRPr="003B5D34">
        <w:rPr>
          <w:i/>
          <w:iCs/>
        </w:rPr>
        <w:t>sk. sprieduma 18.</w:t>
      </w:r>
      <w:r>
        <w:rPr>
          <w:i/>
          <w:iCs/>
        </w:rPr>
        <w:t> </w:t>
      </w:r>
      <w:r w:rsidRPr="003B5D34">
        <w:rPr>
          <w:i/>
          <w:iCs/>
        </w:rPr>
        <w:t>lappusi</w:t>
      </w:r>
      <w:r>
        <w:t>)</w:t>
      </w:r>
      <w:r w:rsidRPr="004707CD">
        <w:t>.</w:t>
      </w:r>
    </w:p>
    <w:p w14:paraId="1C3F32EE" w14:textId="7A81D1FE" w:rsidR="00B17F70" w:rsidRDefault="00B17F70" w:rsidP="00B17F70">
      <w:pPr>
        <w:widowControl w:val="0"/>
        <w:shd w:val="clear" w:color="auto" w:fill="FFFFFF"/>
        <w:spacing w:after="0" w:line="276" w:lineRule="auto"/>
        <w:ind w:firstLine="720"/>
        <w:jc w:val="both"/>
      </w:pPr>
      <w:r>
        <w:t xml:space="preserve">Tomēr, kā konstatēts iepriekš, tiesa nav skaidri identificējusi pierādījumu kopumu, kas apstiprina faktu, ka apsūdzētie </w:t>
      </w:r>
      <w:r w:rsidR="00301829">
        <w:t>[pers. A]</w:t>
      </w:r>
      <w:r>
        <w:t xml:space="preserve">, </w:t>
      </w:r>
      <w:r w:rsidR="00301829">
        <w:t>[pers. B]</w:t>
      </w:r>
      <w:r>
        <w:t xml:space="preserve"> un </w:t>
      </w:r>
      <w:r w:rsidR="00301829">
        <w:t>[pers. C]</w:t>
      </w:r>
      <w:r>
        <w:t xml:space="preserve"> iepriekš vienojušies kopīgi izdarīt krāpšanu. </w:t>
      </w:r>
    </w:p>
    <w:p w14:paraId="4009CD03" w14:textId="58506229" w:rsidR="00A602CB" w:rsidRDefault="005E3C0B" w:rsidP="00EA2F44">
      <w:pPr>
        <w:spacing w:after="0" w:line="276" w:lineRule="auto"/>
        <w:ind w:firstLine="720"/>
        <w:jc w:val="both"/>
      </w:pPr>
      <w:r w:rsidRPr="005E3C0B">
        <w:t>Minēt</w:t>
      </w:r>
      <w:r w:rsidR="00933EDD">
        <w:t>o</w:t>
      </w:r>
      <w:r w:rsidRPr="005E3C0B">
        <w:t xml:space="preserve"> trūkum</w:t>
      </w:r>
      <w:r w:rsidR="00933EDD">
        <w:t>u kopums</w:t>
      </w:r>
      <w:r w:rsidR="00A15BF7">
        <w:t>, kas norād</w:t>
      </w:r>
      <w:r w:rsidR="00150841">
        <w:t>īti</w:t>
      </w:r>
      <w:r w:rsidR="00A15BF7">
        <w:t xml:space="preserve"> šā lēmuma </w:t>
      </w:r>
      <w:r w:rsidR="00827974">
        <w:t>12.</w:t>
      </w:r>
      <w:r w:rsidR="00C512A8">
        <w:t>4</w:t>
      </w:r>
      <w:r w:rsidR="00827974">
        <w:t>.–12.</w:t>
      </w:r>
      <w:r w:rsidR="009C2F60">
        <w:t>6</w:t>
      </w:r>
      <w:r w:rsidR="00827974">
        <w:t>.</w:t>
      </w:r>
      <w:r w:rsidR="00C512A8">
        <w:t> </w:t>
      </w:r>
      <w:r w:rsidR="00A15BF7">
        <w:t>punktā</w:t>
      </w:r>
      <w:r w:rsidR="007B77DF">
        <w:t>,</w:t>
      </w:r>
      <w:r w:rsidRPr="005E3C0B">
        <w:t xml:space="preserve"> liedz kasācijas instance</w:t>
      </w:r>
      <w:r w:rsidR="007B77DF">
        <w:t>s tiesai</w:t>
      </w:r>
      <w:r w:rsidRPr="005E3C0B">
        <w:t xml:space="preserve"> noteikt, kād</w:t>
      </w:r>
      <w:r>
        <w:t>us pierādījumus un no tiem izrietošos faktus</w:t>
      </w:r>
      <w:r w:rsidRPr="005E3C0B">
        <w:t xml:space="preserve"> </w:t>
      </w:r>
      <w:r>
        <w:t>tiesa ņēmusi vērā, izdarot secinājumus</w:t>
      </w:r>
      <w:r w:rsidR="000B1BBA">
        <w:t xml:space="preserve"> par katru no noziedzīgajiem nodarījumiem</w:t>
      </w:r>
      <w:r>
        <w:t>.</w:t>
      </w:r>
      <w:r w:rsidR="00933EDD">
        <w:t xml:space="preserve"> </w:t>
      </w:r>
      <w:r w:rsidR="00A602CB">
        <w:t xml:space="preserve">Tādējādi tiesa </w:t>
      </w:r>
      <w:r w:rsidR="003F3BDA">
        <w:t>pieļāvusi</w:t>
      </w:r>
      <w:r w:rsidR="00A602CB">
        <w:t xml:space="preserve"> Kriminālprocesa likuma 511. panta otr</w:t>
      </w:r>
      <w:r w:rsidR="003F3BDA">
        <w:t xml:space="preserve">ās </w:t>
      </w:r>
      <w:r w:rsidR="00A602CB">
        <w:t>daļ</w:t>
      </w:r>
      <w:r w:rsidR="003F3BDA">
        <w:t xml:space="preserve">as </w:t>
      </w:r>
      <w:r w:rsidR="00D3199F">
        <w:t xml:space="preserve">un 564. panta ceturtās daļas </w:t>
      </w:r>
      <w:r w:rsidR="003F3BDA">
        <w:t>pārkāpumu</w:t>
      </w:r>
      <w:r w:rsidR="00D3199F">
        <w:t>s</w:t>
      </w:r>
      <w:r w:rsidR="003F3BDA">
        <w:t>.</w:t>
      </w:r>
    </w:p>
    <w:bookmarkEnd w:id="44"/>
    <w:bookmarkEnd w:id="45"/>
    <w:bookmarkEnd w:id="46"/>
    <w:p w14:paraId="08321D24" w14:textId="50079E89" w:rsidR="005E3C0B" w:rsidRDefault="00933EDD" w:rsidP="009353AF">
      <w:pPr>
        <w:spacing w:after="0" w:line="276" w:lineRule="auto"/>
        <w:ind w:firstLine="720"/>
        <w:jc w:val="lowKashida"/>
      </w:pPr>
      <w:r>
        <w:t>[1</w:t>
      </w:r>
      <w:r w:rsidR="00EA2F44">
        <w:t>2.</w:t>
      </w:r>
      <w:r w:rsidR="009C2F60">
        <w:t>7</w:t>
      </w:r>
      <w:r>
        <w:t xml:space="preserve">] </w:t>
      </w:r>
      <w:r w:rsidR="005E3C0B">
        <w:t>Senāts atzīst par pamatot</w:t>
      </w:r>
      <w:r w:rsidR="000054A1">
        <w:t>iem</w:t>
      </w:r>
      <w:r w:rsidR="005E3C0B">
        <w:t xml:space="preserve"> apsūdzētā </w:t>
      </w:r>
      <w:r w:rsidR="009353AF">
        <w:t>[pers. A]</w:t>
      </w:r>
      <w:r w:rsidR="005E3C0B">
        <w:t xml:space="preserve"> kasācijas sūdzībā norādītos argumentus, ka tiesa spriedumā nav norādījusi apsvērumus</w:t>
      </w:r>
      <w:r w:rsidR="005E3C0B" w:rsidRPr="005213CB">
        <w:t>, kas</w:t>
      </w:r>
      <w:r w:rsidR="005E3C0B">
        <w:t xml:space="preserve"> </w:t>
      </w:r>
      <w:r w:rsidR="000054A1">
        <w:t xml:space="preserve">dotu iespēju </w:t>
      </w:r>
      <w:r w:rsidR="005E3C0B">
        <w:t xml:space="preserve">kasācijas instances tiesai </w:t>
      </w:r>
      <w:r w:rsidR="005E3C0B" w:rsidRPr="005213CB">
        <w:t>pār</w:t>
      </w:r>
      <w:r w:rsidR="005E3C0B">
        <w:t>baudīt</w:t>
      </w:r>
      <w:r w:rsidR="005E3C0B" w:rsidRPr="005213CB">
        <w:t xml:space="preserve">, </w:t>
      </w:r>
      <w:r w:rsidR="005E3C0B">
        <w:t>kā: 1)</w:t>
      </w:r>
      <w:r w:rsidR="00C57C6A">
        <w:t> </w:t>
      </w:r>
      <w:r w:rsidR="005E3C0B">
        <w:t>t</w:t>
      </w:r>
      <w:r w:rsidR="00934EE4">
        <w:t>ā ir</w:t>
      </w:r>
      <w:r w:rsidR="005E3C0B">
        <w:t xml:space="preserve"> nonākusi pie secinājuma, ka</w:t>
      </w:r>
      <w:r w:rsidR="005E3C0B" w:rsidRPr="00C42C80">
        <w:t xml:space="preserve"> apsūdzētā </w:t>
      </w:r>
      <w:r w:rsidR="009353AF">
        <w:t>[pers. A]</w:t>
      </w:r>
      <w:r w:rsidR="005E3C0B" w:rsidRPr="00C42C80">
        <w:t xml:space="preserve"> liecīb</w:t>
      </w:r>
      <w:r w:rsidR="005E3C0B">
        <w:t xml:space="preserve">as nav ticamas </w:t>
      </w:r>
      <w:r w:rsidR="00723CA5">
        <w:t>(</w:t>
      </w:r>
      <w:r w:rsidR="00723CA5" w:rsidRPr="00723CA5">
        <w:rPr>
          <w:i/>
          <w:iCs/>
        </w:rPr>
        <w:t>sk. sprieduma 16.1. punktu</w:t>
      </w:r>
      <w:r w:rsidR="00723CA5">
        <w:t xml:space="preserve">) </w:t>
      </w:r>
      <w:r w:rsidR="005E3C0B">
        <w:t>un 2)</w:t>
      </w:r>
      <w:r w:rsidR="00C57C6A">
        <w:t> </w:t>
      </w:r>
      <w:r w:rsidR="005E3C0B">
        <w:t xml:space="preserve">kādēļ par ticamām tiesa atzinusi apsūdzētā </w:t>
      </w:r>
      <w:r w:rsidR="009353AF">
        <w:t>[pers. B]</w:t>
      </w:r>
      <w:r w:rsidR="005E3C0B">
        <w:t xml:space="preserve"> </w:t>
      </w:r>
      <w:proofErr w:type="spellStart"/>
      <w:r w:rsidR="005E3C0B">
        <w:t>pirmstiesas</w:t>
      </w:r>
      <w:proofErr w:type="spellEnd"/>
      <w:r w:rsidR="005E3C0B">
        <w:t xml:space="preserve"> kriminālprocesā sniegtās liecības</w:t>
      </w:r>
      <w:r w:rsidR="00723CA5">
        <w:t xml:space="preserve"> (</w:t>
      </w:r>
      <w:r w:rsidR="00723CA5" w:rsidRPr="0001648F">
        <w:rPr>
          <w:i/>
          <w:iCs/>
        </w:rPr>
        <w:t>sk. sprieduma 12. punktu</w:t>
      </w:r>
      <w:r w:rsidR="00723CA5">
        <w:t>)</w:t>
      </w:r>
      <w:r w:rsidR="0001648F">
        <w:t xml:space="preserve">. </w:t>
      </w:r>
    </w:p>
    <w:p w14:paraId="0594A60E" w14:textId="04CA9F16" w:rsidR="005E3C0B" w:rsidRDefault="00F81F86" w:rsidP="005E3C0B">
      <w:pPr>
        <w:spacing w:after="0" w:line="276" w:lineRule="auto"/>
        <w:ind w:firstLine="720"/>
        <w:jc w:val="lowKashida"/>
      </w:pPr>
      <w:r>
        <w:t>Senāts konstatē, ka t</w:t>
      </w:r>
      <w:r w:rsidR="005E3C0B">
        <w:t>iesa</w:t>
      </w:r>
      <w:r w:rsidR="005E3C0B" w:rsidRPr="00C42C80">
        <w:t xml:space="preserve"> spriedumā </w:t>
      </w:r>
      <w:r w:rsidR="005E3C0B">
        <w:t>izklāstījusi</w:t>
      </w:r>
      <w:r w:rsidR="005E3C0B" w:rsidRPr="00C42C80">
        <w:t xml:space="preserve"> apsūdzētā </w:t>
      </w:r>
      <w:r w:rsidR="009353AF">
        <w:t>[pers. B]</w:t>
      </w:r>
      <w:r w:rsidR="005E3C0B" w:rsidRPr="00C42C80">
        <w:t xml:space="preserve"> </w:t>
      </w:r>
      <w:proofErr w:type="spellStart"/>
      <w:r w:rsidR="00AA5A8E">
        <w:t>pirmstiesas</w:t>
      </w:r>
      <w:proofErr w:type="spellEnd"/>
      <w:r w:rsidR="00AA5A8E">
        <w:t xml:space="preserve"> izmeklēšanā sniegtās </w:t>
      </w:r>
      <w:r w:rsidR="005E3C0B" w:rsidRPr="00C42C80">
        <w:t>liecības un atzinusi tās par ticamām</w:t>
      </w:r>
      <w:r>
        <w:t xml:space="preserve"> tādēļ, ka tās</w:t>
      </w:r>
      <w:r w:rsidR="005E3C0B" w:rsidRPr="008409D6">
        <w:t xml:space="preserve"> saskan ar </w:t>
      </w:r>
      <w:r w:rsidR="005E3C0B">
        <w:t xml:space="preserve">citiem </w:t>
      </w:r>
      <w:r w:rsidR="005E3C0B" w:rsidRPr="008409D6">
        <w:t>lietā esošiem pierādījumiem</w:t>
      </w:r>
      <w:r w:rsidR="00723CA5">
        <w:t xml:space="preserve">. </w:t>
      </w:r>
      <w:r w:rsidR="005E3C0B" w:rsidRPr="008409D6">
        <w:t>Tomēr tiesa nav norādījusi, kā tā nonākusi pie šāda secinājuma</w:t>
      </w:r>
      <w:r>
        <w:t>.</w:t>
      </w:r>
    </w:p>
    <w:p w14:paraId="37CA7C3C" w14:textId="6118C037" w:rsidR="00A24E4D" w:rsidRDefault="00F81F86" w:rsidP="00A24E4D">
      <w:pPr>
        <w:pStyle w:val="NormalWeb"/>
        <w:spacing w:after="0" w:line="276" w:lineRule="auto"/>
        <w:ind w:firstLine="720"/>
        <w:jc w:val="both"/>
      </w:pPr>
      <w:bookmarkStart w:id="48" w:name="_Hlk215053439"/>
      <w:r>
        <w:t>G</w:t>
      </w:r>
      <w:r w:rsidR="005E3C0B" w:rsidRPr="004D498C">
        <w:t>adījumos, kad tiesa apsūdzētā</w:t>
      </w:r>
      <w:r w:rsidR="00023FEC">
        <w:t>s personas</w:t>
      </w:r>
      <w:r w:rsidR="005E3C0B" w:rsidRPr="004D498C">
        <w:t xml:space="preserve"> </w:t>
      </w:r>
      <w:r w:rsidR="00023FEC">
        <w:t xml:space="preserve">sniegto </w:t>
      </w:r>
      <w:r w:rsidR="005E3C0B" w:rsidRPr="004D498C">
        <w:t xml:space="preserve">liecību ticamību pamato ar to atbilstību citiem pierādījumiem, </w:t>
      </w:r>
      <w:r w:rsidR="005E3C0B" w:rsidRPr="00FC71EE">
        <w:t xml:space="preserve">vismaz sarežģītākos gadījumos – kad pierādījumu kopums ir </w:t>
      </w:r>
      <w:r w:rsidR="00306FB3">
        <w:t>apjomīgs</w:t>
      </w:r>
      <w:r w:rsidR="005E3C0B" w:rsidRPr="00FC71EE">
        <w:t xml:space="preserve">, pretrunīgs </w:t>
      </w:r>
      <w:r w:rsidR="00306FB3">
        <w:t>vai citādi komplicēts</w:t>
      </w:r>
      <w:r w:rsidR="005E3C0B" w:rsidRPr="00FC71EE">
        <w:t xml:space="preserve"> –</w:t>
      </w:r>
      <w:r w:rsidR="00306FB3">
        <w:t xml:space="preserve">, kā tas konstatēts arī izskatāmajā lietā, </w:t>
      </w:r>
      <w:r w:rsidR="005E3C0B" w:rsidRPr="00FC71EE">
        <w:t>spriedumā skaidri jānorāda</w:t>
      </w:r>
      <w:r w:rsidR="005E3C0B" w:rsidRPr="004D498C">
        <w:t xml:space="preserve">, kuri ir šie pierādījumi un kādā jautājumā tie apstiprina </w:t>
      </w:r>
      <w:r w:rsidR="00306FB3">
        <w:t xml:space="preserve">apsūdzētā </w:t>
      </w:r>
      <w:r w:rsidR="005E3C0B" w:rsidRPr="004D498C">
        <w:t>liecību saturu.</w:t>
      </w:r>
    </w:p>
    <w:bookmarkEnd w:id="48"/>
    <w:p w14:paraId="65DF70E6" w14:textId="438EEED0" w:rsidR="00306FB3" w:rsidRDefault="00306FB3" w:rsidP="00306FB3">
      <w:pPr>
        <w:pStyle w:val="NormalWeb"/>
        <w:spacing w:after="0" w:line="276" w:lineRule="auto"/>
        <w:ind w:firstLine="720"/>
        <w:jc w:val="both"/>
      </w:pPr>
      <w:r>
        <w:t xml:space="preserve">Neizpildot šo pienākumu, </w:t>
      </w:r>
      <w:r w:rsidR="00E41A4F">
        <w:t>tiesa ir p</w:t>
      </w:r>
      <w:r w:rsidR="003F3BDA">
        <w:t>ieļāvusi</w:t>
      </w:r>
      <w:r w:rsidR="00E41A4F">
        <w:t xml:space="preserve"> Kriminālprocesa likuma 564. panta ceturt</w:t>
      </w:r>
      <w:r w:rsidR="003F3BDA">
        <w:t>ās</w:t>
      </w:r>
      <w:r w:rsidR="00E41A4F">
        <w:t xml:space="preserve"> daļ</w:t>
      </w:r>
      <w:r w:rsidR="003F3BDA">
        <w:t>as pārkāpumu</w:t>
      </w:r>
      <w:r w:rsidR="00E41A4F">
        <w:t>.</w:t>
      </w:r>
    </w:p>
    <w:p w14:paraId="4083EEF6" w14:textId="6B239AED" w:rsidR="00AA5A8E" w:rsidRDefault="00FC71EE" w:rsidP="00AA5A8E">
      <w:pPr>
        <w:spacing w:after="0" w:line="276" w:lineRule="auto"/>
        <w:ind w:firstLine="720"/>
        <w:jc w:val="lowKashida"/>
      </w:pPr>
      <w:r>
        <w:t>[1</w:t>
      </w:r>
      <w:r w:rsidR="00EA2F44">
        <w:t>2</w:t>
      </w:r>
      <w:r>
        <w:t>.</w:t>
      </w:r>
      <w:r w:rsidR="009C2F60">
        <w:t>8</w:t>
      </w:r>
      <w:r>
        <w:t xml:space="preserve">] </w:t>
      </w:r>
      <w:r w:rsidR="00AA5A8E">
        <w:t>Senāts atzīst</w:t>
      </w:r>
      <w:r w:rsidR="000860C9">
        <w:t xml:space="preserve"> par </w:t>
      </w:r>
      <w:r w:rsidR="00AA5A8E">
        <w:t>pamato</w:t>
      </w:r>
      <w:r w:rsidR="000860C9">
        <w:t>tu</w:t>
      </w:r>
      <w:r w:rsidR="00AA5A8E">
        <w:t xml:space="preserve"> apsūdzētā </w:t>
      </w:r>
      <w:r w:rsidR="009353AF">
        <w:t>[pers. A]</w:t>
      </w:r>
      <w:r w:rsidR="00AA5A8E">
        <w:t xml:space="preserve"> kasācijas sūdzībā norādīt</w:t>
      </w:r>
      <w:r w:rsidR="000860C9">
        <w:t>o</w:t>
      </w:r>
      <w:r w:rsidR="00AA5A8E">
        <w:t xml:space="preserve"> argument</w:t>
      </w:r>
      <w:r w:rsidR="000860C9">
        <w:t>u</w:t>
      </w:r>
      <w:r w:rsidR="00AA5A8E">
        <w:t xml:space="preserve">, ka tiesa nav izvērtējusi pretrunas apsūdzēto </w:t>
      </w:r>
      <w:r w:rsidR="009353AF">
        <w:t>[pers. B]</w:t>
      </w:r>
      <w:r w:rsidR="00AA5A8E">
        <w:t xml:space="preserve"> un </w:t>
      </w:r>
      <w:r w:rsidR="009353AF">
        <w:t>[pers. C]</w:t>
      </w:r>
      <w:r w:rsidR="00AA5A8E">
        <w:t xml:space="preserve"> liecībās.</w:t>
      </w:r>
    </w:p>
    <w:p w14:paraId="7523DC5D" w14:textId="19FB80FE" w:rsidR="003F3BDA" w:rsidRDefault="00E512BD" w:rsidP="00F35A33">
      <w:pPr>
        <w:spacing w:after="0" w:line="276" w:lineRule="auto"/>
        <w:ind w:firstLine="720"/>
        <w:jc w:val="lowKashida"/>
      </w:pPr>
      <w:r>
        <w:t xml:space="preserve">Lai arī spriedumā nav obligāti detalizēti jāizklāsta katras personas liecības, un šādas informācijas neietveršana </w:t>
      </w:r>
      <w:r w:rsidR="007B7B43">
        <w:t xml:space="preserve">pati par sevi neveido procesuālo pārkāpumu, ja tiesa ir izvērtējusi visus lietā esošos pierādījumus, </w:t>
      </w:r>
      <w:r w:rsidR="003F3BDA" w:rsidRPr="003F3BDA">
        <w:t xml:space="preserve">Senāts </w:t>
      </w:r>
      <w:r w:rsidR="007B7B43">
        <w:t>konstatē</w:t>
      </w:r>
      <w:r w:rsidR="003F3BDA" w:rsidRPr="003F3BDA">
        <w:t>, ka apelācijas instances tiesa spriedumā</w:t>
      </w:r>
      <w:r w:rsidR="00F35A33">
        <w:t xml:space="preserve"> </w:t>
      </w:r>
      <w:r w:rsidR="00F35A33" w:rsidRPr="00F35A33">
        <w:t>nav atspoguļojusi</w:t>
      </w:r>
      <w:r w:rsidR="00F35A33">
        <w:t xml:space="preserve"> vismaz būtiskākos apstākļus, par kuriem liecinājis</w:t>
      </w:r>
      <w:r w:rsidR="00C512A8">
        <w:t xml:space="preserve"> </w:t>
      </w:r>
      <w:r w:rsidR="003F3BDA" w:rsidRPr="003F3BDA">
        <w:t>apsūdzēt</w:t>
      </w:r>
      <w:r w:rsidR="00F35A33">
        <w:t>ais</w:t>
      </w:r>
      <w:r w:rsidR="003F3BDA" w:rsidRPr="003F3BDA">
        <w:t xml:space="preserve"> </w:t>
      </w:r>
      <w:r w:rsidR="009353AF">
        <w:t>[pers. C]</w:t>
      </w:r>
      <w:r w:rsidR="004458AC">
        <w:t>,</w:t>
      </w:r>
      <w:r w:rsidR="003F3BDA">
        <w:t xml:space="preserve"> u</w:t>
      </w:r>
      <w:r w:rsidR="003F3BDA" w:rsidRPr="003F3BDA">
        <w:t xml:space="preserve">n līdz ar to nav </w:t>
      </w:r>
      <w:r w:rsidR="00F35A33">
        <w:t>šīs liecības</w:t>
      </w:r>
      <w:r w:rsidR="003F3BDA" w:rsidRPr="003F3BDA">
        <w:t xml:space="preserve"> vērtējusi kopsakarā ar </w:t>
      </w:r>
      <w:r w:rsidR="00934EE4">
        <w:t>citiem</w:t>
      </w:r>
      <w:r w:rsidR="003F3BDA" w:rsidRPr="003F3BDA">
        <w:t xml:space="preserve"> pierādījumiem.</w:t>
      </w:r>
    </w:p>
    <w:p w14:paraId="7AE286AF" w14:textId="366AA45B" w:rsidR="00AA5A8E" w:rsidRDefault="00E41A4F" w:rsidP="00E41A4F">
      <w:pPr>
        <w:spacing w:after="0" w:line="276" w:lineRule="auto"/>
        <w:ind w:firstLine="720"/>
        <w:jc w:val="lowKashida"/>
      </w:pPr>
      <w:r>
        <w:t>Senāts norāda</w:t>
      </w:r>
      <w:bookmarkStart w:id="49" w:name="_Hlk215053584"/>
      <w:r>
        <w:t>: j</w:t>
      </w:r>
      <w:r w:rsidR="00AA5A8E">
        <w:t>a apelācijas instances tiesai ir jāizlemj pret vairākām personām celt</w:t>
      </w:r>
      <w:r w:rsidR="003F3BDA">
        <w:t>u</w:t>
      </w:r>
      <w:r w:rsidR="00AA5A8E">
        <w:t xml:space="preserve"> apsūdzību par personu grupā vai līdzdalībā izdarītu noziedzīgu nodarījumu, </w:t>
      </w:r>
      <w:r w:rsidR="00AA5A8E" w:rsidRPr="000054A1">
        <w:t xml:space="preserve">pierādījumu vērtēšanā ir </w:t>
      </w:r>
      <w:r w:rsidR="003F3BDA">
        <w:t>svarīgi</w:t>
      </w:r>
      <w:r w:rsidR="00AA5A8E" w:rsidRPr="000054A1">
        <w:t xml:space="preserve"> izvērtēt visu apsūdzēto liecības. Nav pieļaujams šādu </w:t>
      </w:r>
      <w:r w:rsidR="00AA5A8E" w:rsidRPr="000054A1">
        <w:lastRenderedPageBreak/>
        <w:t>izvērtējumu nesniegt tikai tā</w:t>
      </w:r>
      <w:r w:rsidR="00AA5A8E">
        <w:t>dēļ</w:t>
      </w:r>
      <w:r w:rsidR="00AA5A8E" w:rsidRPr="000054A1">
        <w:t xml:space="preserve">, ka kāds no apsūdzētajiem </w:t>
      </w:r>
      <w:r w:rsidR="003F3BDA">
        <w:t xml:space="preserve">(izskatāmajā lietā – </w:t>
      </w:r>
      <w:r w:rsidR="009353AF">
        <w:t>[pers. C]</w:t>
      </w:r>
      <w:r w:rsidR="003F3BDA">
        <w:t xml:space="preserve">) </w:t>
      </w:r>
      <w:r w:rsidR="00AA5A8E" w:rsidRPr="000054A1">
        <w:t xml:space="preserve">nav pārsūdzējis </w:t>
      </w:r>
      <w:r w:rsidR="00AA5A8E">
        <w:t xml:space="preserve">pirmās instances tiesas </w:t>
      </w:r>
      <w:r w:rsidR="00AA5A8E" w:rsidRPr="000054A1">
        <w:t>spriedumu</w:t>
      </w:r>
      <w:r w:rsidR="00934EE4">
        <w:t xml:space="preserve">, ja pārējie apsūdzētie </w:t>
      </w:r>
      <w:r w:rsidR="00433E94">
        <w:t>vainīgumu</w:t>
      </w:r>
      <w:r w:rsidR="00934EE4">
        <w:t xml:space="preserve"> neatzīst.</w:t>
      </w:r>
      <w:bookmarkEnd w:id="49"/>
    </w:p>
    <w:p w14:paraId="3B4394E1" w14:textId="22997E94" w:rsidR="00E41A4F" w:rsidRDefault="00E41A4F" w:rsidP="00E41A4F">
      <w:pPr>
        <w:pStyle w:val="NormalWeb"/>
        <w:spacing w:after="0" w:line="276" w:lineRule="auto"/>
        <w:ind w:firstLine="720"/>
        <w:jc w:val="both"/>
      </w:pPr>
      <w:r>
        <w:t>Tādējādi tiesa p</w:t>
      </w:r>
      <w:r w:rsidR="003F3BDA">
        <w:t xml:space="preserve">ieļāvusi </w:t>
      </w:r>
      <w:r>
        <w:t>Kriminālprocesa likuma 564. panta ceturt</w:t>
      </w:r>
      <w:r w:rsidR="003F3BDA">
        <w:t>ās</w:t>
      </w:r>
      <w:r>
        <w:t xml:space="preserve"> daļ</w:t>
      </w:r>
      <w:r w:rsidR="003F3BDA">
        <w:t>as pārkāpumu</w:t>
      </w:r>
      <w:r>
        <w:t>.</w:t>
      </w:r>
    </w:p>
    <w:p w14:paraId="23637CEC" w14:textId="0F7591E5" w:rsidR="00CA57D3" w:rsidRPr="00DE6E43" w:rsidRDefault="00FC71EE" w:rsidP="00DE6E43">
      <w:pPr>
        <w:widowControl w:val="0"/>
        <w:shd w:val="clear" w:color="auto" w:fill="FFFFFF"/>
        <w:spacing w:after="0" w:line="276" w:lineRule="auto"/>
        <w:ind w:firstLine="720"/>
        <w:jc w:val="both"/>
        <w:rPr>
          <w:rFonts w:asciiTheme="majorBidi" w:hAnsiTheme="majorBidi" w:cstheme="majorBidi"/>
        </w:rPr>
      </w:pPr>
      <w:r>
        <w:t>[</w:t>
      </w:r>
      <w:r w:rsidR="00B168DA">
        <w:t>12.</w:t>
      </w:r>
      <w:r w:rsidR="009C2F60">
        <w:t>9</w:t>
      </w:r>
      <w:r>
        <w:t xml:space="preserve">] </w:t>
      </w:r>
      <w:r w:rsidR="00E41A4F">
        <w:t>Senāts atzīst</w:t>
      </w:r>
      <w:r w:rsidR="000860C9">
        <w:t xml:space="preserve"> par</w:t>
      </w:r>
      <w:r w:rsidR="00E41A4F">
        <w:t xml:space="preserve"> p</w:t>
      </w:r>
      <w:r w:rsidR="00DC7D93">
        <w:t>amatot</w:t>
      </w:r>
      <w:r w:rsidR="000860C9">
        <w:t>u</w:t>
      </w:r>
      <w:r w:rsidR="00DC7D93">
        <w:t xml:space="preserve"> apsūdzētā </w:t>
      </w:r>
      <w:r w:rsidR="00506892">
        <w:t>[pers. A]</w:t>
      </w:r>
      <w:r w:rsidR="00DC7D93">
        <w:t xml:space="preserve"> kasācijas sūdzībā norādīt</w:t>
      </w:r>
      <w:r w:rsidR="000860C9">
        <w:t>o</w:t>
      </w:r>
      <w:r w:rsidR="00884595">
        <w:t xml:space="preserve"> argument</w:t>
      </w:r>
      <w:r w:rsidR="000860C9">
        <w:t>u</w:t>
      </w:r>
      <w:r w:rsidR="00DC7D93">
        <w:t xml:space="preserve">, ka </w:t>
      </w:r>
      <w:r w:rsidR="00DC7D93">
        <w:rPr>
          <w:color w:val="000000" w:themeColor="text1"/>
        </w:rPr>
        <w:t>t</w:t>
      </w:r>
      <w:r w:rsidR="00DC7D93" w:rsidRPr="009C00BF">
        <w:rPr>
          <w:color w:val="000000" w:themeColor="text1"/>
        </w:rPr>
        <w:t xml:space="preserve">iesa spriedumu pamatojusi ar </w:t>
      </w:r>
      <w:r w:rsidR="00DC7D93">
        <w:rPr>
          <w:color w:val="000000" w:themeColor="text1"/>
        </w:rPr>
        <w:t xml:space="preserve">tādām </w:t>
      </w:r>
      <w:r w:rsidR="00DC7D93" w:rsidRPr="009C00BF">
        <w:rPr>
          <w:color w:val="000000" w:themeColor="text1"/>
        </w:rPr>
        <w:t xml:space="preserve">liecinieka </w:t>
      </w:r>
      <w:r w:rsidR="00506892">
        <w:t>[pers.</w:t>
      </w:r>
      <w:r w:rsidR="00692D3C">
        <w:t> </w:t>
      </w:r>
      <w:r w:rsidR="00506892">
        <w:t>H]</w:t>
      </w:r>
      <w:r w:rsidR="00DC7D93" w:rsidRPr="009C00BF">
        <w:rPr>
          <w:color w:val="000000" w:themeColor="text1"/>
        </w:rPr>
        <w:t xml:space="preserve"> liecībām</w:t>
      </w:r>
      <w:r w:rsidR="00DC7D93">
        <w:rPr>
          <w:color w:val="000000" w:themeColor="text1"/>
        </w:rPr>
        <w:t>, kādas liecinieks nav sniedzis.</w:t>
      </w:r>
    </w:p>
    <w:p w14:paraId="46410E79" w14:textId="335979C4" w:rsidR="00DC7D93" w:rsidRPr="003F3BDA" w:rsidRDefault="00CA57D3" w:rsidP="003F3BDA">
      <w:pPr>
        <w:spacing w:after="0" w:line="276" w:lineRule="auto"/>
        <w:ind w:firstLine="720"/>
        <w:jc w:val="lowKashida"/>
      </w:pPr>
      <w:r>
        <w:t>A</w:t>
      </w:r>
      <w:r w:rsidR="00DC7D93" w:rsidRPr="003C1F85">
        <w:t xml:space="preserve">pelācijas instances </w:t>
      </w:r>
      <w:r w:rsidR="003F3BDA">
        <w:t>t</w:t>
      </w:r>
      <w:r w:rsidR="00DC7D93" w:rsidRPr="003C1F85">
        <w:t>iesa</w:t>
      </w:r>
      <w:r w:rsidR="00884595">
        <w:t xml:space="preserve"> </w:t>
      </w:r>
      <w:r>
        <w:t>spriedumā norādījusi</w:t>
      </w:r>
      <w:r w:rsidR="00DC7D93" w:rsidRPr="003C1F85">
        <w:t xml:space="preserve">, ka no </w:t>
      </w:r>
      <w:r w:rsidR="00934EE4">
        <w:t xml:space="preserve">liecinieka </w:t>
      </w:r>
      <w:r w:rsidR="00506892">
        <w:t>[pers. H]</w:t>
      </w:r>
      <w:r w:rsidR="00DC7D93" w:rsidRPr="003C1F85">
        <w:t xml:space="preserve"> liecīb</w:t>
      </w:r>
      <w:r w:rsidR="00DC7D93">
        <w:t>ām</w:t>
      </w:r>
      <w:r w:rsidR="00DC7D93" w:rsidRPr="003C1F85">
        <w:t xml:space="preserve"> izriet, ka</w:t>
      </w:r>
      <w:r w:rsidR="00DC7D93">
        <w:t xml:space="preserve"> viņš a</w:t>
      </w:r>
      <w:r w:rsidR="00DC7D93" w:rsidRPr="003C1F85">
        <w:t>tpazin</w:t>
      </w:r>
      <w:r w:rsidR="00DC7D93">
        <w:t>is</w:t>
      </w:r>
      <w:r w:rsidR="00DC7D93" w:rsidRPr="003C1F85">
        <w:t xml:space="preserve"> </w:t>
      </w:r>
      <w:r w:rsidR="00506892">
        <w:t>[pers. B]</w:t>
      </w:r>
      <w:r w:rsidR="00DC7D93" w:rsidRPr="003C1F85">
        <w:t xml:space="preserve">, </w:t>
      </w:r>
      <w:r w:rsidR="00506892">
        <w:t>[pers. C]</w:t>
      </w:r>
      <w:r w:rsidR="00DC7D93" w:rsidRPr="003C1F85">
        <w:t>, kuri darbojās kopā</w:t>
      </w:r>
      <w:r w:rsidR="00421755">
        <w:t>,</w:t>
      </w:r>
      <w:r w:rsidR="00DC7D93" w:rsidRPr="003C1F85">
        <w:t xml:space="preserve"> un </w:t>
      </w:r>
      <w:r w:rsidR="00506892">
        <w:t>[pers. A]</w:t>
      </w:r>
      <w:r w:rsidR="00DC7D93" w:rsidRPr="003C1F85">
        <w:t>, kuram liecinieks atdevis pavadzīmi</w:t>
      </w:r>
      <w:r>
        <w:t xml:space="preserve">. Tāpat </w:t>
      </w:r>
      <w:r w:rsidR="00506892">
        <w:t>[pers. H]</w:t>
      </w:r>
      <w:r>
        <w:t xml:space="preserve"> </w:t>
      </w:r>
      <w:r w:rsidR="00DC7D93">
        <w:t>norādījis,</w:t>
      </w:r>
      <w:r w:rsidR="00DC7D93" w:rsidRPr="003C1F85">
        <w:t xml:space="preserve"> ka </w:t>
      </w:r>
      <w:r w:rsidR="00DC7D93">
        <w:t xml:space="preserve">ir saticis </w:t>
      </w:r>
      <w:r w:rsidR="00DC7D93" w:rsidRPr="003C1F85">
        <w:t xml:space="preserve">apsūdzēto </w:t>
      </w:r>
      <w:r w:rsidR="00506892">
        <w:t>[pers. A]</w:t>
      </w:r>
      <w:r w:rsidR="00DC7D93" w:rsidRPr="003C1F85">
        <w:t xml:space="preserve"> saistībā ar SIA</w:t>
      </w:r>
      <w:r w:rsidR="00A3440B">
        <w:t> </w:t>
      </w:r>
      <w:r w:rsidR="00574622">
        <w:t>„</w:t>
      </w:r>
      <w:r w:rsidR="00506892">
        <w:t>[Nosaukums B]</w:t>
      </w:r>
      <w:r w:rsidR="00016904">
        <w:t xml:space="preserve">” </w:t>
      </w:r>
      <w:r w:rsidR="00DC7D93" w:rsidRPr="003C1F85">
        <w:t>dokumentu nodošanu (</w:t>
      </w:r>
      <w:r w:rsidR="00DC7D93" w:rsidRPr="00FE4F78">
        <w:rPr>
          <w:i/>
          <w:iCs/>
        </w:rPr>
        <w:t>sprieduma 20. l</w:t>
      </w:r>
      <w:r w:rsidR="00884595">
        <w:rPr>
          <w:i/>
          <w:iCs/>
        </w:rPr>
        <w:t>appuse</w:t>
      </w:r>
      <w:r w:rsidR="00DC7D93" w:rsidRPr="003C1F85">
        <w:t>).</w:t>
      </w:r>
      <w:r w:rsidR="00D553F4">
        <w:rPr>
          <w:color w:val="000000" w:themeColor="text1"/>
        </w:rPr>
        <w:t xml:space="preserve"> </w:t>
      </w:r>
      <w:r w:rsidR="00421755">
        <w:t>Turpretim</w:t>
      </w:r>
      <w:r w:rsidR="0017373D">
        <w:t xml:space="preserve"> liecinieka </w:t>
      </w:r>
      <w:r w:rsidR="00506892">
        <w:t>[pers. H]</w:t>
      </w:r>
      <w:r w:rsidR="0017373D">
        <w:t xml:space="preserve"> pratināšanas protokolā ir </w:t>
      </w:r>
      <w:r w:rsidR="00DC7D93">
        <w:t xml:space="preserve">fiksēts, ka persona </w:t>
      </w:r>
      <w:r w:rsidR="00506892">
        <w:t>[pers. A]</w:t>
      </w:r>
      <w:r w:rsidR="00DC7D93">
        <w:t xml:space="preserve"> viņam neko neizsaka (</w:t>
      </w:r>
      <w:r w:rsidR="00DC7D93" w:rsidRPr="00AC7C85">
        <w:rPr>
          <w:i/>
          <w:iCs/>
        </w:rPr>
        <w:t>lietas</w:t>
      </w:r>
      <w:r w:rsidR="00DC7D93">
        <w:t xml:space="preserve"> </w:t>
      </w:r>
      <w:r w:rsidR="00DC7D93" w:rsidRPr="00540BAF">
        <w:rPr>
          <w:i/>
          <w:iCs/>
        </w:rPr>
        <w:t>1. sējuma 132. lappuse</w:t>
      </w:r>
      <w:r w:rsidR="00DC7D93">
        <w:t xml:space="preserve">). Arī uzrādīšanā atpazīšanai pēc fotogrāfijām </w:t>
      </w:r>
      <w:r w:rsidR="00506892">
        <w:t>[pers. H]</w:t>
      </w:r>
      <w:r w:rsidR="00DC7D93">
        <w:t xml:space="preserve"> </w:t>
      </w:r>
      <w:r w:rsidR="00506892">
        <w:t>[pers. A]</w:t>
      </w:r>
      <w:r w:rsidR="00DC7D93">
        <w:t xml:space="preserve"> atpazīt</w:t>
      </w:r>
      <w:r w:rsidR="007E70B8">
        <w:t xml:space="preserve"> </w:t>
      </w:r>
      <w:r w:rsidR="0017373D">
        <w:t>n</w:t>
      </w:r>
      <w:r w:rsidR="00421755">
        <w:t>evarēja</w:t>
      </w:r>
      <w:r w:rsidR="00DC7D93">
        <w:t xml:space="preserve"> (</w:t>
      </w:r>
      <w:r w:rsidR="00DC7D93" w:rsidRPr="00AC7C85">
        <w:rPr>
          <w:i/>
          <w:iCs/>
        </w:rPr>
        <w:t xml:space="preserve">lietas </w:t>
      </w:r>
      <w:r w:rsidR="00DC7D93" w:rsidRPr="00540BAF">
        <w:rPr>
          <w:i/>
          <w:iCs/>
        </w:rPr>
        <w:t>1. sējuma 143.</w:t>
      </w:r>
      <w:r w:rsidR="00170F43">
        <w:rPr>
          <w:i/>
          <w:iCs/>
        </w:rPr>
        <w:t>–</w:t>
      </w:r>
      <w:r w:rsidR="00574622">
        <w:rPr>
          <w:i/>
          <w:iCs/>
        </w:rPr>
        <w:t> 1</w:t>
      </w:r>
      <w:r w:rsidR="00DC7D93" w:rsidRPr="00540BAF">
        <w:rPr>
          <w:i/>
          <w:iCs/>
        </w:rPr>
        <w:t>44. lappuse</w:t>
      </w:r>
      <w:r w:rsidR="00DC7D93">
        <w:t>).</w:t>
      </w:r>
      <w:r w:rsidR="00421755">
        <w:rPr>
          <w:color w:val="000000" w:themeColor="text1"/>
        </w:rPr>
        <w:t xml:space="preserve"> </w:t>
      </w:r>
    </w:p>
    <w:p w14:paraId="379A071C" w14:textId="7430ABA9" w:rsidR="00FC71EE" w:rsidRDefault="000860C9" w:rsidP="000860C9">
      <w:pPr>
        <w:spacing w:after="0" w:line="276" w:lineRule="auto"/>
        <w:ind w:firstLine="720"/>
        <w:jc w:val="lowKashida"/>
      </w:pPr>
      <w:r>
        <w:rPr>
          <w:color w:val="000000" w:themeColor="text1"/>
        </w:rPr>
        <w:t xml:space="preserve">Tādējādi </w:t>
      </w:r>
      <w:r>
        <w:t xml:space="preserve">tiesa </w:t>
      </w:r>
      <w:r w:rsidR="003F3BDA">
        <w:t xml:space="preserve">pieļāvusi </w:t>
      </w:r>
      <w:r w:rsidR="00FC71EE" w:rsidRPr="00390217">
        <w:t>Kriminālprocesa likuma 527. panta otrās daļas 2.</w:t>
      </w:r>
      <w:r w:rsidR="00FC71EE">
        <w:t> </w:t>
      </w:r>
      <w:r w:rsidR="00FC71EE" w:rsidRPr="00390217">
        <w:t>punkt</w:t>
      </w:r>
      <w:r w:rsidR="003F3BDA">
        <w:t>a</w:t>
      </w:r>
      <w:r w:rsidR="00FC71EE" w:rsidRPr="00390217">
        <w:t xml:space="preserve"> un 564.</w:t>
      </w:r>
      <w:r w:rsidR="00FC71EE">
        <w:t> </w:t>
      </w:r>
      <w:r w:rsidR="00FC71EE" w:rsidRPr="00390217">
        <w:t>panta ceturt</w:t>
      </w:r>
      <w:r w:rsidR="003F3BDA">
        <w:t>ās</w:t>
      </w:r>
      <w:r w:rsidR="00FC71EE" w:rsidRPr="00390217">
        <w:t xml:space="preserve"> daļ</w:t>
      </w:r>
      <w:r w:rsidR="003F3BDA">
        <w:t>as pārkāpumus</w:t>
      </w:r>
      <w:r w:rsidR="00FC71EE" w:rsidRPr="00390217">
        <w:t>.</w:t>
      </w:r>
    </w:p>
    <w:p w14:paraId="589FFEE4" w14:textId="0B4A7738" w:rsidR="003F0B41" w:rsidRDefault="003F0B41" w:rsidP="003F0B41">
      <w:pPr>
        <w:widowControl w:val="0"/>
        <w:shd w:val="clear" w:color="auto" w:fill="FFFFFF"/>
        <w:spacing w:after="0" w:line="276" w:lineRule="auto"/>
        <w:ind w:firstLine="720"/>
        <w:jc w:val="both"/>
      </w:pPr>
      <w:r>
        <w:t>[</w:t>
      </w:r>
      <w:r w:rsidR="00B168DA">
        <w:t>12.1</w:t>
      </w:r>
      <w:r w:rsidR="009C2F60">
        <w:t>0</w:t>
      </w:r>
      <w:r>
        <w:t xml:space="preserve">] </w:t>
      </w:r>
      <w:r w:rsidRPr="000918C0">
        <w:t xml:space="preserve">Senāts konstatē, ka, attiecībā uz </w:t>
      </w:r>
      <w:r w:rsidR="00506892">
        <w:t>[pers. B]</w:t>
      </w:r>
      <w:r w:rsidRPr="000918C0">
        <w:t xml:space="preserve"> vainīgumu krāpšanā pret cietušo </w:t>
      </w:r>
      <w:r w:rsidR="00506892">
        <w:t>[pers. D]</w:t>
      </w:r>
      <w:r w:rsidRPr="000918C0">
        <w:t xml:space="preserve"> (Krimināllikuma 177.</w:t>
      </w:r>
      <w:r w:rsidR="00C57C6A">
        <w:t> </w:t>
      </w:r>
      <w:r w:rsidRPr="000918C0">
        <w:t>panta pirmā daļa), tiesa ir</w:t>
      </w:r>
      <w:r>
        <w:t xml:space="preserve"> tikai</w:t>
      </w:r>
      <w:r w:rsidRPr="000918C0">
        <w:t xml:space="preserve"> izklāstījusi pierādījumus</w:t>
      </w:r>
      <w:r>
        <w:t>.</w:t>
      </w:r>
    </w:p>
    <w:p w14:paraId="558B35E9" w14:textId="560751D0" w:rsidR="003F0B41" w:rsidRPr="003F0B41" w:rsidRDefault="003F0B41" w:rsidP="003F0B41">
      <w:pPr>
        <w:widowControl w:val="0"/>
        <w:shd w:val="clear" w:color="auto" w:fill="FFFFFF"/>
        <w:spacing w:after="0" w:line="276" w:lineRule="auto"/>
        <w:ind w:firstLine="720"/>
        <w:jc w:val="both"/>
      </w:pPr>
      <w:r>
        <w:t>Kā šajā lēmumā norādīts iepriekš, t</w:t>
      </w:r>
      <w:r w:rsidRPr="00EB0C9F">
        <w:t>iesai</w:t>
      </w:r>
      <w:r>
        <w:t xml:space="preserve"> </w:t>
      </w:r>
      <w:r w:rsidRPr="00EB0C9F">
        <w:t xml:space="preserve">ne tikai jāizklāsta lietā </w:t>
      </w:r>
      <w:r w:rsidR="00D704C1">
        <w:t xml:space="preserve">esošo </w:t>
      </w:r>
      <w:r w:rsidRPr="00EB0C9F">
        <w:t>pierādījumu būtība, bet jāmin konkrētas ziņas par faktiem, kas iegūtas no lietā nopratināto personu liecībām un citiem pierādījumiem, norādot, ko tieši ar šīm ziņām par faktiem tiesa atzīst par pierādītu</w:t>
      </w:r>
      <w:r>
        <w:t>.</w:t>
      </w:r>
    </w:p>
    <w:p w14:paraId="187F9960" w14:textId="7D1122B5" w:rsidR="00B95F95" w:rsidRDefault="0067796D" w:rsidP="0067796D">
      <w:pPr>
        <w:spacing w:after="0" w:line="276" w:lineRule="auto"/>
        <w:ind w:firstLine="720"/>
        <w:jc w:val="both"/>
      </w:pPr>
      <w:r w:rsidRPr="00FC7737">
        <w:rPr>
          <w:color w:val="000000" w:themeColor="text1"/>
        </w:rPr>
        <w:t>[</w:t>
      </w:r>
      <w:r w:rsidR="00B168DA">
        <w:rPr>
          <w:color w:val="000000" w:themeColor="text1"/>
        </w:rPr>
        <w:t>12.1</w:t>
      </w:r>
      <w:r w:rsidR="009C2F60">
        <w:rPr>
          <w:color w:val="000000" w:themeColor="text1"/>
        </w:rPr>
        <w:t>1</w:t>
      </w:r>
      <w:r w:rsidRPr="00FC7737">
        <w:rPr>
          <w:color w:val="000000" w:themeColor="text1"/>
        </w:rPr>
        <w:t>]</w:t>
      </w:r>
      <w:r w:rsidR="000860C9" w:rsidRPr="00FC7737">
        <w:rPr>
          <w:rFonts w:asciiTheme="majorBidi" w:hAnsiTheme="majorBidi" w:cstheme="majorBidi"/>
          <w:color w:val="000000" w:themeColor="text1"/>
          <w:shd w:val="clear" w:color="auto" w:fill="FFFFFF"/>
          <w:lang w:eastAsia="lv-LV"/>
        </w:rPr>
        <w:t xml:space="preserve"> </w:t>
      </w:r>
      <w:r w:rsidR="000860C9">
        <w:rPr>
          <w:rFonts w:asciiTheme="majorBidi" w:hAnsiTheme="majorBidi" w:cstheme="majorBidi"/>
          <w:shd w:val="clear" w:color="auto" w:fill="FFFFFF"/>
          <w:lang w:eastAsia="lv-LV"/>
        </w:rPr>
        <w:t>Rezumējot minēto</w:t>
      </w:r>
      <w:r w:rsidR="00B95F95">
        <w:rPr>
          <w:rFonts w:asciiTheme="majorBidi" w:hAnsiTheme="majorBidi" w:cstheme="majorBidi"/>
          <w:shd w:val="clear" w:color="auto" w:fill="FFFFFF"/>
          <w:lang w:eastAsia="lv-LV"/>
        </w:rPr>
        <w:t xml:space="preserve">, </w:t>
      </w:r>
      <w:r w:rsidR="00B95F95" w:rsidRPr="00561852">
        <w:rPr>
          <w:rFonts w:asciiTheme="majorBidi" w:hAnsiTheme="majorBidi" w:cstheme="majorBidi"/>
          <w:shd w:val="clear" w:color="auto" w:fill="FFFFFF"/>
          <w:lang w:eastAsia="lv-LV"/>
        </w:rPr>
        <w:t>Senāts atzīst, ka apelācijas instances tiesa</w:t>
      </w:r>
      <w:r w:rsidR="00B95F95">
        <w:rPr>
          <w:rFonts w:asciiTheme="majorBidi" w:hAnsiTheme="majorBidi" w:cstheme="majorBidi"/>
          <w:shd w:val="clear" w:color="auto" w:fill="FFFFFF"/>
          <w:lang w:eastAsia="lv-LV"/>
        </w:rPr>
        <w:t xml:space="preserve"> ir pieļāvusi</w:t>
      </w:r>
      <w:r w:rsidR="007B7B43">
        <w:rPr>
          <w:rFonts w:asciiTheme="majorBidi" w:hAnsiTheme="majorBidi" w:cstheme="majorBidi"/>
          <w:shd w:val="clear" w:color="auto" w:fill="FFFFFF"/>
          <w:lang w:eastAsia="lv-LV"/>
        </w:rPr>
        <w:t xml:space="preserve"> </w:t>
      </w:r>
      <w:r w:rsidR="00D704C1">
        <w:rPr>
          <w:rFonts w:asciiTheme="majorBidi" w:hAnsiTheme="majorBidi" w:cstheme="majorBidi"/>
          <w:shd w:val="clear" w:color="auto" w:fill="FFFFFF"/>
          <w:lang w:eastAsia="lv-LV"/>
        </w:rPr>
        <w:t xml:space="preserve">iepriekš konstatētos </w:t>
      </w:r>
      <w:r w:rsidR="00B95F95" w:rsidRPr="00561852">
        <w:rPr>
          <w:rFonts w:asciiTheme="majorBidi" w:hAnsiTheme="majorBidi" w:cstheme="majorBidi"/>
          <w:shd w:val="clear" w:color="auto" w:fill="FFFFFF"/>
          <w:lang w:eastAsia="lv-LV"/>
        </w:rPr>
        <w:t>Kriminālprocesa likuma</w:t>
      </w:r>
      <w:r w:rsidR="00B95F95">
        <w:rPr>
          <w:rFonts w:asciiTheme="majorBidi" w:hAnsiTheme="majorBidi" w:cstheme="majorBidi"/>
          <w:shd w:val="clear" w:color="auto" w:fill="FFFFFF"/>
          <w:lang w:eastAsia="lv-LV"/>
        </w:rPr>
        <w:t xml:space="preserve"> pārkāpumus</w:t>
      </w:r>
      <w:r w:rsidR="00B95F95" w:rsidRPr="00B95F95">
        <w:t>, kas noveduši pie nelikumīga nolēmuma.</w:t>
      </w:r>
    </w:p>
    <w:p w14:paraId="4F99B281" w14:textId="1226E2D5" w:rsidR="0066753C" w:rsidRDefault="00480F27" w:rsidP="00485998">
      <w:pPr>
        <w:spacing w:after="0" w:line="276" w:lineRule="auto"/>
        <w:ind w:firstLine="720"/>
        <w:jc w:val="both"/>
      </w:pPr>
      <w:r w:rsidRPr="00480F27">
        <w:t xml:space="preserve">Ņemot vērā, ka Senāts konstatē apelācijas instances tiesas pieļautus procesuālos pārkāpumus pierādījumu novērtēšanā un nolēmuma pamatošanā attiecībā uz visiem noziedzīgajiem nodarījumiem un </w:t>
      </w:r>
      <w:r w:rsidR="00485998">
        <w:t>turklāt viens no tiem saskaņā ar apsūdzību ir izdarīts personu grupā pēc iepriekšējas vienošanās,</w:t>
      </w:r>
      <w:r w:rsidR="00C512A8">
        <w:t xml:space="preserve"> </w:t>
      </w:r>
      <w:r w:rsidR="00DC7D93" w:rsidRPr="0017373D">
        <w:t>Senāts uzskata par nepieciešamu pārsniegt kasācijas sūdzībās izteikto prasību apjomu un ietvarus</w:t>
      </w:r>
      <w:r w:rsidR="00737615" w:rsidRPr="0017373D">
        <w:t>,</w:t>
      </w:r>
      <w:r w:rsidR="00DC7D93" w:rsidRPr="0017373D">
        <w:t xml:space="preserve"> un atcelt </w:t>
      </w:r>
      <w:r w:rsidR="0066753C" w:rsidRPr="0017373D">
        <w:t>apelācijas instances tiesas spriedum</w:t>
      </w:r>
      <w:r w:rsidR="00DC7D93" w:rsidRPr="0017373D">
        <w:t>u</w:t>
      </w:r>
      <w:r w:rsidR="0066753C" w:rsidRPr="0017373D">
        <w:t xml:space="preserve"> gan daļā par apsūdzēto </w:t>
      </w:r>
      <w:r w:rsidR="00C908CF">
        <w:t>[pers. B]</w:t>
      </w:r>
      <w:r w:rsidR="0066753C" w:rsidRPr="0017373D">
        <w:t xml:space="preserve"> un </w:t>
      </w:r>
      <w:r w:rsidR="00C908CF">
        <w:t>[pers. A]</w:t>
      </w:r>
      <w:r w:rsidR="0066753C" w:rsidRPr="0017373D">
        <w:t xml:space="preserve"> atzīšanu par vainīgiem un viņiem piemēroto sodu, gan daļā, kurā atstāts negrozīts pirmās instances tiesas spriedums attiecībā uz </w:t>
      </w:r>
      <w:r w:rsidR="00C908CF">
        <w:t>[pers. C]</w:t>
      </w:r>
      <w:r w:rsidR="0066753C" w:rsidRPr="0017373D">
        <w:t xml:space="preserve">, </w:t>
      </w:r>
      <w:r w:rsidR="007B7B43" w:rsidRPr="0017373D">
        <w:t>k</w:t>
      </w:r>
      <w:r w:rsidR="007B7B43">
        <w:t xml:space="preserve">uram </w:t>
      </w:r>
      <w:r w:rsidR="0066753C" w:rsidRPr="0017373D">
        <w:t>piemērots medicīniska rakstura piespiedu līdzeklis.</w:t>
      </w:r>
    </w:p>
    <w:p w14:paraId="1724D6D1" w14:textId="5AFC281F" w:rsidR="00B970CE" w:rsidRDefault="005E3DBB" w:rsidP="005E3DBB">
      <w:pPr>
        <w:spacing w:after="0" w:line="276" w:lineRule="auto"/>
        <w:ind w:firstLine="720"/>
        <w:jc w:val="both"/>
      </w:pPr>
      <w:r>
        <w:t>[</w:t>
      </w:r>
      <w:r w:rsidR="00B168DA">
        <w:t>12.1</w:t>
      </w:r>
      <w:r w:rsidR="009C2F60">
        <w:t>2</w:t>
      </w:r>
      <w:r>
        <w:t xml:space="preserve">] </w:t>
      </w:r>
      <w:r w:rsidR="00FC7737">
        <w:t xml:space="preserve">Vienlaikus </w:t>
      </w:r>
      <w:r w:rsidR="00B970CE">
        <w:t xml:space="preserve">Senāts atzīst, ka apelācijas instances tiesa ir motivēti izvērtējusi </w:t>
      </w:r>
      <w:r w:rsidR="00AC4EA8">
        <w:t xml:space="preserve">un noraidījusi </w:t>
      </w:r>
      <w:r w:rsidR="00B970CE" w:rsidRPr="00730966">
        <w:t xml:space="preserve">apsūdzētā </w:t>
      </w:r>
      <w:r w:rsidR="007A0C65">
        <w:t>[pers. B]</w:t>
      </w:r>
      <w:r w:rsidR="00B970CE" w:rsidRPr="00730966">
        <w:t xml:space="preserve"> argumentu par to, ka viņš savu vainu</w:t>
      </w:r>
      <w:r w:rsidR="00AC4EA8">
        <w:t xml:space="preserve"> pirmstiesas izmeklēšanā</w:t>
      </w:r>
      <w:r w:rsidR="00B970CE" w:rsidRPr="00730966">
        <w:t xml:space="preserve"> atzinis policijas darbinieku prettiesiskas ietekmēšanas rezultātā</w:t>
      </w:r>
      <w:r w:rsidR="00B970CE">
        <w:t>.</w:t>
      </w:r>
    </w:p>
    <w:p w14:paraId="12E5AA1A" w14:textId="486D0BF8" w:rsidR="00B970CE" w:rsidRDefault="00B970CE" w:rsidP="00B970CE">
      <w:pPr>
        <w:spacing w:after="0" w:line="276" w:lineRule="auto"/>
        <w:ind w:firstLine="720"/>
        <w:jc w:val="both"/>
      </w:pPr>
      <w:r>
        <w:t>Tiesa ir secinājusi, ka šiem</w:t>
      </w:r>
      <w:r w:rsidRPr="00730966">
        <w:t xml:space="preserve"> apgalvojumiem ir deklaratīvs raksturs</w:t>
      </w:r>
      <w:r>
        <w:t>: apsūdzētais</w:t>
      </w:r>
      <w:r w:rsidRPr="00730966">
        <w:t xml:space="preserve"> nav spējis konkretizēt, kam </w:t>
      </w:r>
      <w:r>
        <w:t>ir</w:t>
      </w:r>
      <w:r w:rsidRPr="00730966">
        <w:t xml:space="preserve"> sūdzējies</w:t>
      </w:r>
      <w:r>
        <w:t xml:space="preserve"> par policijas darbinieku prettiesisko rīcību</w:t>
      </w:r>
      <w:r w:rsidRPr="00730966">
        <w:t>, kā arī nav</w:t>
      </w:r>
      <w:r>
        <w:t xml:space="preserve"> varējis</w:t>
      </w:r>
      <w:r w:rsidRPr="00730966">
        <w:t xml:space="preserve"> norādī</w:t>
      </w:r>
      <w:r>
        <w:t>t</w:t>
      </w:r>
      <w:r w:rsidRPr="00730966">
        <w:t>, kā notikusi šo sūdzību virzība vai kāds būt</w:t>
      </w:r>
      <w:r>
        <w:t>u</w:t>
      </w:r>
      <w:r w:rsidRPr="00730966">
        <w:t xml:space="preserve"> procesa virzītāju iespējamais motīvs panākt viņam nelabvēlīgu </w:t>
      </w:r>
      <w:r>
        <w:t xml:space="preserve">kriminālprocesa </w:t>
      </w:r>
      <w:r w:rsidRPr="00730966">
        <w:t>iznākumu</w:t>
      </w:r>
      <w:r w:rsidR="00494B42">
        <w:t xml:space="preserve"> (</w:t>
      </w:r>
      <w:r w:rsidR="00494B42" w:rsidRPr="00494B42">
        <w:rPr>
          <w:i/>
          <w:iCs/>
        </w:rPr>
        <w:t>sk. sprieduma 16. lappusi</w:t>
      </w:r>
      <w:r w:rsidR="00494B42">
        <w:t>)</w:t>
      </w:r>
      <w:r w:rsidRPr="00730966">
        <w:t xml:space="preserve">. </w:t>
      </w:r>
    </w:p>
    <w:p w14:paraId="125230CD" w14:textId="1385D58E" w:rsidR="00FC7737" w:rsidRPr="00FC7737" w:rsidRDefault="00574622" w:rsidP="00FC7737">
      <w:pPr>
        <w:spacing w:after="0" w:line="276" w:lineRule="auto"/>
        <w:ind w:firstLine="720"/>
        <w:jc w:val="both"/>
      </w:pPr>
      <w:r>
        <w:t>Senāts konstatē, ka k</w:t>
      </w:r>
      <w:r w:rsidR="00B970CE">
        <w:t>asācijas sūdzībā nav norādīti tādi argumenti, kas dotu pamatu šo vērtējumu atzīt par Kriminālprocesa likuma prasībām neatbilstošu.</w:t>
      </w:r>
    </w:p>
    <w:p w14:paraId="236D8C75" w14:textId="657B9E7A" w:rsidR="00B970CE" w:rsidRDefault="00B970CE" w:rsidP="00B970CE">
      <w:pPr>
        <w:spacing w:after="0" w:line="276" w:lineRule="auto"/>
        <w:ind w:firstLine="720"/>
        <w:jc w:val="both"/>
      </w:pPr>
      <w:r w:rsidRPr="00FC7737">
        <w:t xml:space="preserve">Pretēji apsūdzētā </w:t>
      </w:r>
      <w:r w:rsidR="007A0C65">
        <w:t>[pers. B]</w:t>
      </w:r>
      <w:r w:rsidRPr="00FC7737">
        <w:t xml:space="preserve"> kasācijas sūdzībā norādītajam pirmās instances tiesas spriedumā izklāstītās liecinieka</w:t>
      </w:r>
      <w:r w:rsidR="007A0C65">
        <w:t xml:space="preserve"> [pers. L]</w:t>
      </w:r>
      <w:r w:rsidRPr="00FC7737">
        <w:t xml:space="preserve"> liecības nesatur ziņas par to, ka </w:t>
      </w:r>
      <w:r w:rsidR="00AB4657">
        <w:t xml:space="preserve">policijas </w:t>
      </w:r>
      <w:r w:rsidR="00AB4657">
        <w:lastRenderedPageBreak/>
        <w:t xml:space="preserve">darbinieki </w:t>
      </w:r>
      <w:r w:rsidR="006D32DF" w:rsidRPr="00FC7737">
        <w:t xml:space="preserve">viņu ir </w:t>
      </w:r>
      <w:r w:rsidRPr="00FC7737">
        <w:t xml:space="preserve">fiziski ietekmējuši, piespiežot sniegt liecības pret apsūdzēto </w:t>
      </w:r>
      <w:r w:rsidR="007A0C65">
        <w:t>[pers. B]</w:t>
      </w:r>
      <w:r w:rsidRPr="00FC7737">
        <w:t xml:space="preserve"> (</w:t>
      </w:r>
      <w:r w:rsidRPr="00FC7737">
        <w:rPr>
          <w:i/>
          <w:iCs/>
        </w:rPr>
        <w:t>sk. sprieduma 7. lappusi</w:t>
      </w:r>
      <w:r w:rsidRPr="00FC7737">
        <w:t>).</w:t>
      </w:r>
    </w:p>
    <w:p w14:paraId="5F3D6010" w14:textId="40F15974" w:rsidR="00D704C1" w:rsidRDefault="00D704C1" w:rsidP="00D704C1">
      <w:pPr>
        <w:spacing w:after="0" w:line="276" w:lineRule="auto"/>
        <w:ind w:firstLine="720"/>
        <w:jc w:val="both"/>
      </w:pPr>
      <w:r w:rsidRPr="00433E94">
        <w:t>[</w:t>
      </w:r>
      <w:r w:rsidR="00B168DA">
        <w:t>12.1</w:t>
      </w:r>
      <w:r w:rsidR="009C2F60">
        <w:t>3</w:t>
      </w:r>
      <w:r w:rsidR="001A667C">
        <w:t>]</w:t>
      </w:r>
      <w:r w:rsidRPr="00433E94">
        <w:t xml:space="preserve"> </w:t>
      </w:r>
      <w:r w:rsidRPr="00DE1B64">
        <w:t xml:space="preserve">Senāts konstatē, ka, lai gan kasācijas sūdzībās apgalvots, ka pieļauto pārkāpumu dēļ atsevišķi personu atpazīšanas rezultāti ir uzskatāmi par nepieļaujamiem pierādījumiem, tomēr argumenti, ar kuriem tas pamatots, nav pietiekami šāda secinājuma izdarīšanai. </w:t>
      </w:r>
    </w:p>
    <w:p w14:paraId="13C012E3" w14:textId="77777777" w:rsidR="006663DB" w:rsidRDefault="006663DB" w:rsidP="00B970CE">
      <w:pPr>
        <w:spacing w:after="0" w:line="276" w:lineRule="auto"/>
        <w:ind w:firstLine="720"/>
        <w:jc w:val="both"/>
      </w:pPr>
    </w:p>
    <w:p w14:paraId="5E3F7922" w14:textId="77777777" w:rsidR="00940254" w:rsidRPr="00940254" w:rsidRDefault="00940254" w:rsidP="00940254">
      <w:pPr>
        <w:spacing w:after="0" w:line="276" w:lineRule="auto"/>
        <w:ind w:firstLine="720"/>
        <w:jc w:val="center"/>
        <w:rPr>
          <w:b/>
          <w:bCs/>
        </w:rPr>
      </w:pPr>
      <w:r w:rsidRPr="00940254">
        <w:rPr>
          <w:b/>
          <w:bCs/>
        </w:rPr>
        <w:t>V</w:t>
      </w:r>
    </w:p>
    <w:p w14:paraId="4416F760" w14:textId="77777777" w:rsidR="00940254" w:rsidRPr="006663DB" w:rsidRDefault="00940254" w:rsidP="00940254">
      <w:pPr>
        <w:spacing w:after="0" w:line="276" w:lineRule="auto"/>
        <w:ind w:firstLine="720"/>
        <w:jc w:val="center"/>
        <w:rPr>
          <w:i/>
          <w:iCs/>
        </w:rPr>
      </w:pPr>
      <w:r w:rsidRPr="006663DB">
        <w:rPr>
          <w:i/>
          <w:iCs/>
        </w:rPr>
        <w:t>Par noziedzīgo nodarījumu juridisko kvalifikāciju</w:t>
      </w:r>
    </w:p>
    <w:p w14:paraId="401CF88A" w14:textId="77777777" w:rsidR="00940254" w:rsidRDefault="00940254" w:rsidP="00940254">
      <w:pPr>
        <w:spacing w:after="0" w:line="276" w:lineRule="auto"/>
        <w:ind w:firstLine="720"/>
        <w:jc w:val="both"/>
      </w:pPr>
    </w:p>
    <w:p w14:paraId="327797BB" w14:textId="3FB35657" w:rsidR="00940254" w:rsidRDefault="00940254" w:rsidP="00A059ED">
      <w:pPr>
        <w:spacing w:after="0" w:line="276" w:lineRule="auto"/>
        <w:ind w:firstLine="720"/>
        <w:jc w:val="both"/>
      </w:pPr>
      <w:r>
        <w:t>[</w:t>
      </w:r>
      <w:r w:rsidR="00B168DA">
        <w:t>13</w:t>
      </w:r>
      <w:r>
        <w:t xml:space="preserve">] Senāts konstatē, ka apelācijas instances tiesa nav izvērtējusi, vai apsūdzētajam </w:t>
      </w:r>
      <w:r w:rsidR="007A0C65">
        <w:t>[pers. A]</w:t>
      </w:r>
      <w:r w:rsidRPr="00A13651">
        <w:t xml:space="preserve"> </w:t>
      </w:r>
      <w:r>
        <w:t xml:space="preserve">inkriminētā </w:t>
      </w:r>
      <w:r w:rsidRPr="00A13651">
        <w:t>grāmatvedības dokumentu viltošana (</w:t>
      </w:r>
      <w:r w:rsidRPr="00323EA2">
        <w:t>Krimināllikuma 217.</w:t>
      </w:r>
      <w:r>
        <w:t> </w:t>
      </w:r>
      <w:r w:rsidRPr="00323EA2">
        <w:t>panta otrā daļa redakcij</w:t>
      </w:r>
      <w:r>
        <w:t xml:space="preserve">ā </w:t>
      </w:r>
      <w:r w:rsidRPr="00323EA2">
        <w:t>līdz 2013.</w:t>
      </w:r>
      <w:r>
        <w:t> </w:t>
      </w:r>
      <w:r w:rsidRPr="00323EA2">
        <w:t>gada 1.</w:t>
      </w:r>
      <w:r>
        <w:t> </w:t>
      </w:r>
      <w:r w:rsidRPr="00323EA2">
        <w:t>aprīlim</w:t>
      </w:r>
      <w:r w:rsidRPr="00A13651">
        <w:t>) un noziedzīgi iegūtas mantas legalizēšana (Krimināllikuma 195.</w:t>
      </w:r>
      <w:r>
        <w:t> </w:t>
      </w:r>
      <w:r w:rsidRPr="00A13651">
        <w:t>panta pirmā daļa) veido noziedzīgu nodarījumu kopību, kā t</w:t>
      </w:r>
      <w:r>
        <w:t>as norādīts</w:t>
      </w:r>
      <w:r w:rsidRPr="00A13651">
        <w:t xml:space="preserve"> </w:t>
      </w:r>
      <w:r>
        <w:t>apsūdzībā</w:t>
      </w:r>
      <w:r w:rsidRPr="00A13651">
        <w:t>, vai arī pastāv normu konkurence</w:t>
      </w:r>
      <w:r>
        <w:t>.</w:t>
      </w:r>
    </w:p>
    <w:p w14:paraId="3104B35B" w14:textId="25AB6587" w:rsidR="00940254" w:rsidRDefault="00A059ED" w:rsidP="00A059ED">
      <w:pPr>
        <w:spacing w:after="0" w:line="276" w:lineRule="auto"/>
        <w:ind w:firstLine="720"/>
        <w:jc w:val="both"/>
      </w:pPr>
      <w:r>
        <w:t xml:space="preserve">Kā tas pamatoti </w:t>
      </w:r>
      <w:r w:rsidR="00AC4EA8">
        <w:t>norādīts</w:t>
      </w:r>
      <w:r>
        <w:t xml:space="preserve"> apsūdzētā </w:t>
      </w:r>
      <w:r w:rsidR="007A0C65">
        <w:t>[pers. A]</w:t>
      </w:r>
      <w:r>
        <w:t xml:space="preserve"> kasācijas sūdzībā, š</w:t>
      </w:r>
      <w:r w:rsidR="00940254" w:rsidRPr="009C00BF">
        <w:t>āda izvērtējuma nepieciešamību no</w:t>
      </w:r>
      <w:r w:rsidR="00940254">
        <w:t>teica</w:t>
      </w:r>
      <w:r w:rsidR="00940254" w:rsidRPr="009C00BF">
        <w:t xml:space="preserve"> tas, ka ab</w:t>
      </w:r>
      <w:r w:rsidR="00940254">
        <w:t>u</w:t>
      </w:r>
      <w:r w:rsidR="00940254" w:rsidRPr="009C00BF">
        <w:t xml:space="preserve"> noziedzīg</w:t>
      </w:r>
      <w:r w:rsidR="00940254">
        <w:t>o</w:t>
      </w:r>
      <w:r w:rsidR="00940254" w:rsidRPr="009C00BF">
        <w:t xml:space="preserve"> nodarījum</w:t>
      </w:r>
      <w:r w:rsidR="00940254">
        <w:t>u aprakstos</w:t>
      </w:r>
      <w:r w:rsidR="00940254" w:rsidRPr="009C00BF">
        <w:t xml:space="preserve"> pēc būtības</w:t>
      </w:r>
      <w:r w:rsidR="00940254">
        <w:t xml:space="preserve"> norādītas</w:t>
      </w:r>
      <w:r w:rsidR="00940254" w:rsidRPr="009C00BF">
        <w:t xml:space="preserve"> vienas un tās pašas darbības</w:t>
      </w:r>
      <w:r>
        <w:t>.</w:t>
      </w:r>
      <w:r w:rsidR="00940254">
        <w:t xml:space="preserve"> </w:t>
      </w:r>
      <w:r>
        <w:t>A</w:t>
      </w:r>
      <w:r w:rsidR="00940254" w:rsidRPr="009C00BF">
        <w:t>tšķirība</w:t>
      </w:r>
      <w:r w:rsidR="00940254">
        <w:t>s</w:t>
      </w:r>
      <w:r w:rsidR="00940254" w:rsidRPr="009C00BF">
        <w:t xml:space="preserve"> izpaužas vien atsevišķās detaļās.</w:t>
      </w:r>
      <w:r w:rsidR="00940254">
        <w:t xml:space="preserve"> Turklāt Krimināllikuma 217. panta otrā</w:t>
      </w:r>
      <w:r w:rsidR="00494B42">
        <w:t>s</w:t>
      </w:r>
      <w:r w:rsidR="00940254">
        <w:t xml:space="preserve"> daļa</w:t>
      </w:r>
      <w:r w:rsidR="00494B42">
        <w:t>s</w:t>
      </w:r>
      <w:r w:rsidR="00940254">
        <w:t xml:space="preserve"> </w:t>
      </w:r>
      <w:r w:rsidR="00940254" w:rsidRPr="004C39F1">
        <w:t>redakcij</w:t>
      </w:r>
      <w:r w:rsidR="00494B42">
        <w:t>a</w:t>
      </w:r>
      <w:r w:rsidR="00940254" w:rsidRPr="004C39F1">
        <w:t>, kas bija spēkā līdz 2013.</w:t>
      </w:r>
      <w:r w:rsidR="00940254">
        <w:t> </w:t>
      </w:r>
      <w:r w:rsidR="00940254" w:rsidRPr="004C39F1">
        <w:t>gada 1.</w:t>
      </w:r>
      <w:r w:rsidR="00940254">
        <w:t> </w:t>
      </w:r>
      <w:r w:rsidR="00940254" w:rsidRPr="004C39F1">
        <w:t>aprīlim</w:t>
      </w:r>
      <w:r w:rsidR="00940254">
        <w:t>, paredzēja vieglāku sodu, nekā Krimināllikuma 195. panta pirmā daļa.</w:t>
      </w:r>
    </w:p>
    <w:p w14:paraId="62EE6D28" w14:textId="60B5F15D" w:rsidR="00940254" w:rsidRPr="00A059ED" w:rsidRDefault="00A059ED" w:rsidP="00A059ED">
      <w:pPr>
        <w:shd w:val="clear" w:color="auto" w:fill="FFFFFF"/>
        <w:spacing w:after="0" w:line="276" w:lineRule="auto"/>
        <w:ind w:firstLine="720"/>
        <w:jc w:val="both"/>
        <w:rPr>
          <w:b/>
          <w:bCs/>
        </w:rPr>
      </w:pPr>
      <w:bookmarkStart w:id="50" w:name="_Hlk207704824"/>
      <w:r>
        <w:rPr>
          <w:bCs/>
        </w:rPr>
        <w:t>N</w:t>
      </w:r>
      <w:r w:rsidR="00940254">
        <w:rPr>
          <w:bCs/>
        </w:rPr>
        <w:t>ormu konkurence pastāv tādos gadījumos</w:t>
      </w:r>
      <w:r w:rsidR="00940254" w:rsidRPr="00827BD0">
        <w:rPr>
          <w:bCs/>
        </w:rPr>
        <w:t xml:space="preserve">, </w:t>
      </w:r>
      <w:r w:rsidR="00940254">
        <w:rPr>
          <w:bCs/>
        </w:rPr>
        <w:t xml:space="preserve">kad viena norma </w:t>
      </w:r>
      <w:r w:rsidR="00940254" w:rsidRPr="00827BD0">
        <w:rPr>
          <w:bCs/>
        </w:rPr>
        <w:t>pilnībā aptver gan vainīgās personas rīcību, gan nodarīto kaitējumu</w:t>
      </w:r>
      <w:r w:rsidR="00940254">
        <w:rPr>
          <w:bCs/>
        </w:rPr>
        <w:t xml:space="preserve"> (kaitīgās sekas vai aizsargāto interešu apdraudējumu). Savukārt n</w:t>
      </w:r>
      <w:r w:rsidR="00940254" w:rsidRPr="00D974F3">
        <w:rPr>
          <w:bCs/>
        </w:rPr>
        <w:t>oziedzīg</w:t>
      </w:r>
      <w:r w:rsidR="00940254">
        <w:rPr>
          <w:bCs/>
        </w:rPr>
        <w:t>u</w:t>
      </w:r>
      <w:r w:rsidR="00940254" w:rsidRPr="00D974F3">
        <w:rPr>
          <w:bCs/>
        </w:rPr>
        <w:t xml:space="preserve"> nodarījumu kopība – gan ideālā, gan reālā – pastāv tad, ja vienas normas piemērošana neaptver </w:t>
      </w:r>
      <w:r w:rsidR="00940254">
        <w:rPr>
          <w:bCs/>
        </w:rPr>
        <w:t xml:space="preserve">pilnībā </w:t>
      </w:r>
      <w:r w:rsidR="00940254" w:rsidRPr="00D974F3">
        <w:rPr>
          <w:bCs/>
        </w:rPr>
        <w:t>personas noziedzīg</w:t>
      </w:r>
      <w:r w:rsidR="00940254">
        <w:rPr>
          <w:bCs/>
        </w:rPr>
        <w:t>o</w:t>
      </w:r>
      <w:r w:rsidR="00940254" w:rsidRPr="00D974F3">
        <w:rPr>
          <w:bCs/>
        </w:rPr>
        <w:t xml:space="preserve"> rīcīb</w:t>
      </w:r>
      <w:r w:rsidR="00940254">
        <w:rPr>
          <w:bCs/>
        </w:rPr>
        <w:t>u</w:t>
      </w:r>
      <w:r w:rsidR="00940254" w:rsidRPr="00D974F3">
        <w:rPr>
          <w:bCs/>
        </w:rPr>
        <w:t xml:space="preserve"> vai</w:t>
      </w:r>
      <w:r w:rsidR="00940254">
        <w:rPr>
          <w:bCs/>
        </w:rPr>
        <w:t xml:space="preserve"> tās</w:t>
      </w:r>
      <w:r w:rsidR="00940254" w:rsidRPr="00D974F3">
        <w:rPr>
          <w:bCs/>
        </w:rPr>
        <w:t xml:space="preserve"> radīto kaitējumu</w:t>
      </w:r>
      <w:r>
        <w:rPr>
          <w:bCs/>
        </w:rPr>
        <w:t xml:space="preserve"> </w:t>
      </w:r>
      <w:r w:rsidRPr="00A059ED">
        <w:rPr>
          <w:bCs/>
        </w:rPr>
        <w:t>(</w:t>
      </w:r>
      <w:bookmarkStart w:id="51" w:name="_Hlk217297875"/>
      <w:r w:rsidRPr="00A059ED">
        <w:rPr>
          <w:bCs/>
          <w:i/>
          <w:iCs/>
        </w:rPr>
        <w:t xml:space="preserve">Senāta 2025. gada 3. septembra lēmuma lietā Nr. SKK-77/2025, </w:t>
      </w:r>
      <w:hyperlink r:id="rId13" w:history="1">
        <w:r w:rsidRPr="00A059ED">
          <w:rPr>
            <w:rStyle w:val="Hyperlink"/>
            <w:bCs/>
            <w:i/>
            <w:iCs/>
          </w:rPr>
          <w:t>ECLI:LV:AT:2025:0903.11514002414.6.L</w:t>
        </w:r>
      </w:hyperlink>
      <w:bookmarkEnd w:id="50"/>
      <w:r w:rsidRPr="00A059ED">
        <w:rPr>
          <w:bCs/>
          <w:i/>
          <w:iCs/>
        </w:rPr>
        <w:t>, 8. punkts</w:t>
      </w:r>
      <w:bookmarkEnd w:id="51"/>
      <w:r w:rsidRPr="00A059ED">
        <w:rPr>
          <w:bCs/>
        </w:rPr>
        <w:t>).</w:t>
      </w:r>
    </w:p>
    <w:p w14:paraId="4C7C39F2" w14:textId="5BD6EE22" w:rsidR="001D5D14" w:rsidRDefault="00940254" w:rsidP="00940254">
      <w:pPr>
        <w:shd w:val="clear" w:color="auto" w:fill="FFFFFF"/>
        <w:spacing w:after="0" w:line="276" w:lineRule="auto"/>
        <w:ind w:firstLine="720"/>
        <w:jc w:val="both"/>
      </w:pPr>
      <w:r>
        <w:rPr>
          <w:color w:val="000000" w:themeColor="text1"/>
        </w:rPr>
        <w:t xml:space="preserve">Ievērojot minēto, </w:t>
      </w:r>
      <w:r w:rsidR="00574622">
        <w:rPr>
          <w:color w:val="000000" w:themeColor="text1"/>
        </w:rPr>
        <w:t xml:space="preserve">Senāts atzīst, ka </w:t>
      </w:r>
      <w:r>
        <w:rPr>
          <w:color w:val="000000" w:themeColor="text1"/>
        </w:rPr>
        <w:t xml:space="preserve">apelācijas instances tiesa nav </w:t>
      </w:r>
      <w:r w:rsidRPr="00FE5558">
        <w:t>izpildījusi Kriminālprocesa likuma 514.</w:t>
      </w:r>
      <w:r>
        <w:t> </w:t>
      </w:r>
      <w:r w:rsidRPr="00FE5558">
        <w:t>panta pirmās daļas 2.</w:t>
      </w:r>
      <w:r w:rsidR="00C57C6A">
        <w:t> </w:t>
      </w:r>
      <w:r w:rsidRPr="00FE5558">
        <w:t>punktā noteikto pienākumu motivēt konstatētā noziedzīgā nodarījuma juridisko kvalifikāciju</w:t>
      </w:r>
      <w:r w:rsidR="001D5D14">
        <w:t xml:space="preserve"> un līdz ar to pārkāpusi šā likuma 564. panta ceturto daļu</w:t>
      </w:r>
      <w:r w:rsidR="001A667C">
        <w:t>.</w:t>
      </w:r>
    </w:p>
    <w:p w14:paraId="70EE6692" w14:textId="7D273533" w:rsidR="00940254" w:rsidRPr="001A667C" w:rsidRDefault="001D5D14" w:rsidP="001A667C">
      <w:pPr>
        <w:shd w:val="clear" w:color="auto" w:fill="FFFFFF"/>
        <w:spacing w:after="0" w:line="276" w:lineRule="auto"/>
        <w:ind w:firstLine="720"/>
        <w:jc w:val="both"/>
        <w:rPr>
          <w:bCs/>
        </w:rPr>
      </w:pPr>
      <w:r>
        <w:t xml:space="preserve">Minētais pārkāpums ir atzīstams par Kriminālprocesa </w:t>
      </w:r>
      <w:r w:rsidRPr="001D5D14">
        <w:t>likuma būtisku pārkāpumu</w:t>
      </w:r>
      <w:r>
        <w:t>, jo</w:t>
      </w:r>
      <w:r w:rsidRPr="001D5D14">
        <w:t xml:space="preserve"> </w:t>
      </w:r>
      <w:r w:rsidR="00FB0A60">
        <w:t xml:space="preserve">tas varēja </w:t>
      </w:r>
      <w:r w:rsidR="00FB0A60" w:rsidRPr="00FB0A60">
        <w:t xml:space="preserve">ietekmēt apsūdzētajam </w:t>
      </w:r>
      <w:r w:rsidR="007A0C65">
        <w:t>[pers. A]</w:t>
      </w:r>
      <w:r w:rsidR="00FB0A60" w:rsidRPr="00FB0A60">
        <w:t xml:space="preserve"> nosakāmo galīgo sodu</w:t>
      </w:r>
      <w:r w:rsidR="00FB0A60">
        <w:t>.</w:t>
      </w:r>
    </w:p>
    <w:p w14:paraId="62C52471" w14:textId="77777777" w:rsidR="006663DB" w:rsidRDefault="006663DB" w:rsidP="00465C13">
      <w:pPr>
        <w:spacing w:after="0" w:line="276" w:lineRule="auto"/>
        <w:jc w:val="both"/>
      </w:pPr>
    </w:p>
    <w:p w14:paraId="6F534E6E" w14:textId="67723DF3" w:rsidR="00950E05" w:rsidRDefault="00950E05" w:rsidP="00950E05">
      <w:pPr>
        <w:spacing w:after="0" w:line="276" w:lineRule="auto"/>
        <w:jc w:val="center"/>
        <w:rPr>
          <w:b/>
          <w:bCs/>
        </w:rPr>
      </w:pPr>
      <w:bookmarkStart w:id="52" w:name="_Hlk213698178"/>
      <w:r w:rsidRPr="00950E05">
        <w:rPr>
          <w:b/>
          <w:bCs/>
        </w:rPr>
        <w:t>VI</w:t>
      </w:r>
    </w:p>
    <w:p w14:paraId="34ED06BD" w14:textId="32F5FCB0" w:rsidR="00950E05" w:rsidRPr="00950E05" w:rsidRDefault="00950E05" w:rsidP="00950E05">
      <w:pPr>
        <w:spacing w:after="0" w:line="276" w:lineRule="auto"/>
        <w:jc w:val="center"/>
        <w:rPr>
          <w:i/>
          <w:iCs/>
        </w:rPr>
      </w:pPr>
      <w:r w:rsidRPr="00950E05">
        <w:rPr>
          <w:i/>
          <w:iCs/>
        </w:rPr>
        <w:t>Par apcietinājuma piemērošanu apsūdzētajam</w:t>
      </w:r>
      <w:r w:rsidRPr="007A0C65">
        <w:rPr>
          <w:i/>
          <w:iCs/>
        </w:rPr>
        <w:t xml:space="preserve"> </w:t>
      </w:r>
      <w:r w:rsidR="007A0C65" w:rsidRPr="007A0C65">
        <w:rPr>
          <w:i/>
          <w:iCs/>
        </w:rPr>
        <w:t>[pers. B]</w:t>
      </w:r>
      <w:r w:rsidRPr="00950E05">
        <w:rPr>
          <w:i/>
          <w:iCs/>
        </w:rPr>
        <w:t xml:space="preserve"> </w:t>
      </w:r>
    </w:p>
    <w:p w14:paraId="02A29E9F" w14:textId="77777777" w:rsidR="00950E05" w:rsidRDefault="00950E05" w:rsidP="00B26E8F">
      <w:pPr>
        <w:spacing w:after="0" w:line="276" w:lineRule="auto"/>
        <w:ind w:firstLine="720"/>
        <w:jc w:val="both"/>
      </w:pPr>
    </w:p>
    <w:p w14:paraId="2366A866" w14:textId="1E08A73F" w:rsidR="00EC6FEA" w:rsidRDefault="009E58C2" w:rsidP="00EC6FEA">
      <w:pPr>
        <w:spacing w:after="0" w:line="276" w:lineRule="auto"/>
        <w:ind w:firstLine="720"/>
        <w:jc w:val="both"/>
        <w:rPr>
          <w:rFonts w:asciiTheme="majorBidi" w:hAnsiTheme="majorBidi" w:cstheme="majorBidi"/>
        </w:rPr>
      </w:pPr>
      <w:bookmarkStart w:id="53" w:name="_Hlk214276549"/>
      <w:r w:rsidRPr="0078476E">
        <w:t>[</w:t>
      </w:r>
      <w:r w:rsidR="00B168DA">
        <w:t>14</w:t>
      </w:r>
      <w:r w:rsidRPr="0078476E">
        <w:t>]</w:t>
      </w:r>
      <w:r w:rsidR="00DC30A3">
        <w:t xml:space="preserve"> </w:t>
      </w:r>
      <w:r w:rsidR="00DC02B5">
        <w:t>Izvērtējusi</w:t>
      </w:r>
      <w:r w:rsidR="00DC30A3">
        <w:t xml:space="preserve"> apsūdzētā </w:t>
      </w:r>
      <w:r w:rsidR="007A0C65">
        <w:t>[pers. B]</w:t>
      </w:r>
      <w:r w:rsidR="00DC30A3">
        <w:t xml:space="preserve"> kasācijas sūdzībā </w:t>
      </w:r>
      <w:r w:rsidR="00DC02B5">
        <w:t xml:space="preserve">norādītos </w:t>
      </w:r>
      <w:r w:rsidR="008147EA">
        <w:t xml:space="preserve">argumentus </w:t>
      </w:r>
      <w:r w:rsidR="003B4413">
        <w:t xml:space="preserve">par </w:t>
      </w:r>
      <w:r w:rsidR="00DC30A3">
        <w:t xml:space="preserve">drošības līdzekļa – apcietinājuma – piemērošanu </w:t>
      </w:r>
      <w:r w:rsidR="008B614F" w:rsidRPr="008B614F">
        <w:t>lietas iztiesāšanas laikā</w:t>
      </w:r>
      <w:r w:rsidR="00DC30A3">
        <w:t xml:space="preserve">, Senāts </w:t>
      </w:r>
      <w:r w:rsidR="00EC6FEA">
        <w:rPr>
          <w:rFonts w:asciiTheme="majorBidi" w:hAnsiTheme="majorBidi" w:cstheme="majorBidi"/>
        </w:rPr>
        <w:t>nekonstatē apelācijas instances tiesa</w:t>
      </w:r>
      <w:r w:rsidR="00DC02B5">
        <w:rPr>
          <w:rFonts w:asciiTheme="majorBidi" w:hAnsiTheme="majorBidi" w:cstheme="majorBidi"/>
        </w:rPr>
        <w:t>s</w:t>
      </w:r>
      <w:r w:rsidR="00EC6FEA">
        <w:rPr>
          <w:rFonts w:asciiTheme="majorBidi" w:hAnsiTheme="majorBidi" w:cstheme="majorBidi"/>
        </w:rPr>
        <w:t xml:space="preserve"> </w:t>
      </w:r>
      <w:r w:rsidR="00DC02B5">
        <w:rPr>
          <w:rFonts w:asciiTheme="majorBidi" w:hAnsiTheme="majorBidi" w:cstheme="majorBidi"/>
        </w:rPr>
        <w:t>pieļautus</w:t>
      </w:r>
      <w:r w:rsidR="004F5675">
        <w:rPr>
          <w:rFonts w:asciiTheme="majorBidi" w:hAnsiTheme="majorBidi" w:cstheme="majorBidi"/>
        </w:rPr>
        <w:t xml:space="preserve"> </w:t>
      </w:r>
      <w:r w:rsidR="00EC6FEA">
        <w:rPr>
          <w:rFonts w:asciiTheme="majorBidi" w:hAnsiTheme="majorBidi" w:cstheme="majorBidi"/>
        </w:rPr>
        <w:t>Kriminālprocesa likuma 272.</w:t>
      </w:r>
      <w:r w:rsidR="00C57C6A">
        <w:rPr>
          <w:rFonts w:asciiTheme="majorBidi" w:hAnsiTheme="majorBidi" w:cstheme="majorBidi"/>
        </w:rPr>
        <w:t> </w:t>
      </w:r>
      <w:r w:rsidR="00EC6FEA">
        <w:rPr>
          <w:rFonts w:asciiTheme="majorBidi" w:hAnsiTheme="majorBidi" w:cstheme="majorBidi"/>
        </w:rPr>
        <w:t>panta ceturt</w:t>
      </w:r>
      <w:r w:rsidR="00DC02B5">
        <w:rPr>
          <w:rFonts w:asciiTheme="majorBidi" w:hAnsiTheme="majorBidi" w:cstheme="majorBidi"/>
        </w:rPr>
        <w:t>ās</w:t>
      </w:r>
      <w:r w:rsidR="00EC6FEA">
        <w:rPr>
          <w:rFonts w:asciiTheme="majorBidi" w:hAnsiTheme="majorBidi" w:cstheme="majorBidi"/>
        </w:rPr>
        <w:t xml:space="preserve"> daļ</w:t>
      </w:r>
      <w:r w:rsidR="00DC02B5">
        <w:rPr>
          <w:rFonts w:asciiTheme="majorBidi" w:hAnsiTheme="majorBidi" w:cstheme="majorBidi"/>
        </w:rPr>
        <w:t>as</w:t>
      </w:r>
      <w:r w:rsidR="00EC6FEA">
        <w:rPr>
          <w:rFonts w:asciiTheme="majorBidi" w:hAnsiTheme="majorBidi" w:cstheme="majorBidi"/>
        </w:rPr>
        <w:t xml:space="preserve"> vai </w:t>
      </w:r>
      <w:r w:rsidR="0078049F">
        <w:rPr>
          <w:rFonts w:asciiTheme="majorBidi" w:hAnsiTheme="majorBidi" w:cstheme="majorBidi"/>
        </w:rPr>
        <w:t>šā</w:t>
      </w:r>
      <w:r w:rsidR="00EC6FEA">
        <w:rPr>
          <w:rFonts w:asciiTheme="majorBidi" w:hAnsiTheme="majorBidi" w:cstheme="majorBidi"/>
        </w:rPr>
        <w:t xml:space="preserve"> likuma 281. panta piektās un 5.</w:t>
      </w:r>
      <w:r w:rsidR="00EC6FEA" w:rsidRPr="00D9393B">
        <w:rPr>
          <w:rFonts w:asciiTheme="majorBidi" w:hAnsiTheme="majorBidi" w:cstheme="majorBidi"/>
          <w:vertAlign w:val="superscript"/>
        </w:rPr>
        <w:t>2</w:t>
      </w:r>
      <w:r w:rsidR="00EC6FEA">
        <w:rPr>
          <w:rFonts w:asciiTheme="majorBidi" w:hAnsiTheme="majorBidi" w:cstheme="majorBidi"/>
        </w:rPr>
        <w:t> daļas pārkāpumu</w:t>
      </w:r>
      <w:r w:rsidR="00DC02B5">
        <w:rPr>
          <w:rFonts w:asciiTheme="majorBidi" w:hAnsiTheme="majorBidi" w:cstheme="majorBidi"/>
        </w:rPr>
        <w:t>s</w:t>
      </w:r>
      <w:r w:rsidR="00EC6FEA">
        <w:rPr>
          <w:rFonts w:asciiTheme="majorBidi" w:hAnsiTheme="majorBidi" w:cstheme="majorBidi"/>
        </w:rPr>
        <w:t>.</w:t>
      </w:r>
    </w:p>
    <w:p w14:paraId="0222C9C7" w14:textId="29A8EAC3" w:rsidR="003B4413" w:rsidRDefault="00D24779" w:rsidP="00EC6FEA">
      <w:pPr>
        <w:spacing w:after="0" w:line="276" w:lineRule="auto"/>
        <w:ind w:firstLine="720"/>
        <w:jc w:val="both"/>
      </w:pPr>
      <w:r>
        <w:t>[</w:t>
      </w:r>
      <w:r w:rsidR="00B168DA">
        <w:t>14</w:t>
      </w:r>
      <w:r>
        <w:t xml:space="preserve">.1] </w:t>
      </w:r>
      <w:r w:rsidR="003B4413">
        <w:t>A</w:t>
      </w:r>
      <w:r w:rsidR="003B4413" w:rsidRPr="003B4413">
        <w:t xml:space="preserve">r </w:t>
      </w:r>
      <w:r w:rsidR="007A0C65">
        <w:t>[rajona (pilsētas)]</w:t>
      </w:r>
      <w:r w:rsidR="003B4413" w:rsidRPr="003B4413">
        <w:t xml:space="preserve"> tiesas 2022. gada </w:t>
      </w:r>
      <w:r w:rsidR="007A0C65">
        <w:t>[..]</w:t>
      </w:r>
      <w:r w:rsidR="003B4413" w:rsidRPr="003B4413">
        <w:t xml:space="preserve"> spriedumu apsūdzētajam </w:t>
      </w:r>
      <w:r w:rsidR="007A0C65">
        <w:t>[pers. B]</w:t>
      </w:r>
      <w:r w:rsidR="003B4413" w:rsidRPr="003B4413">
        <w:t xml:space="preserve"> piemērotie drošības līdzekļi – uzturēšanās noteiktā dzīvesvietā un aizliegums izbraukt no valsts – grozīti uz apcietinājumu.</w:t>
      </w:r>
    </w:p>
    <w:p w14:paraId="54DEC109" w14:textId="6EE4C3D6" w:rsidR="00EC6FEA" w:rsidRDefault="00EC6FEA" w:rsidP="00C57C6A">
      <w:pPr>
        <w:spacing w:after="0" w:line="276" w:lineRule="auto"/>
        <w:ind w:firstLine="720"/>
        <w:jc w:val="both"/>
      </w:pPr>
      <w:r w:rsidRPr="00C04414">
        <w:t>Saskaņā ar Kriminālprocesa likuma 241.</w:t>
      </w:r>
      <w:r w:rsidR="00C57C6A">
        <w:t> </w:t>
      </w:r>
      <w:r w:rsidRPr="00C04414">
        <w:t>panta trešo daļu un 272.</w:t>
      </w:r>
      <w:r w:rsidR="00C57C6A">
        <w:t> </w:t>
      </w:r>
      <w:r w:rsidRPr="00C04414">
        <w:t>panta ceturto daļu notiesājošs spriedums par smaga vai sevišķi smaga nozieguma izdarīšanu var būt pamats apcietinājumam</w:t>
      </w:r>
      <w:r>
        <w:t>.</w:t>
      </w:r>
    </w:p>
    <w:p w14:paraId="64A7AA53" w14:textId="13207E07" w:rsidR="00271012" w:rsidRDefault="00271012" w:rsidP="00EC6FEA">
      <w:pPr>
        <w:spacing w:after="0" w:line="276" w:lineRule="auto"/>
        <w:ind w:firstLine="720"/>
        <w:jc w:val="both"/>
      </w:pPr>
      <w:r w:rsidRPr="00271012">
        <w:rPr>
          <w:color w:val="000000" w:themeColor="text1"/>
        </w:rPr>
        <w:lastRenderedPageBreak/>
        <w:t xml:space="preserve">Senāts konstatē, ka apsūdzētajam </w:t>
      </w:r>
      <w:r w:rsidR="007A0C65">
        <w:t>[pers. B]</w:t>
      </w:r>
      <w:r w:rsidRPr="00271012">
        <w:rPr>
          <w:color w:val="000000" w:themeColor="text1"/>
        </w:rPr>
        <w:t xml:space="preserve"> piemērotie drošības līdzekļi tika grozīti uz apcietinājumu ar mērķi nodrošināt sprieduma izpildi, un šāds pamatojums atbilst Kriminālprocesa likuma 241. panta trešās daļas un 272. panta ceturtās daļas jēgai</w:t>
      </w:r>
      <w:r>
        <w:rPr>
          <w:color w:val="000000" w:themeColor="text1"/>
        </w:rPr>
        <w:t>.</w:t>
      </w:r>
    </w:p>
    <w:p w14:paraId="7EEA9AFB" w14:textId="1DD006CF" w:rsidR="00271012" w:rsidRPr="00271012" w:rsidRDefault="00271012" w:rsidP="00271012">
      <w:pPr>
        <w:spacing w:after="0" w:line="276" w:lineRule="auto"/>
        <w:ind w:firstLine="720"/>
        <w:jc w:val="both"/>
      </w:pPr>
      <w:r w:rsidRPr="00271012">
        <w:t>Arī judikatūrā atzī</w:t>
      </w:r>
      <w:r w:rsidR="0078049F">
        <w:t>ts</w:t>
      </w:r>
      <w:r w:rsidRPr="00271012">
        <w:t>, ka brīvības atņemšanas soda piemērošana par sevišķi smaga nozieguma izdarīšanu saskaņā ar Kriminālprocesa likuma 272. panta ceturto daļu ir pamats apcietinājuma piemērošanai (</w:t>
      </w:r>
      <w:bookmarkStart w:id="54" w:name="_Hlk217297966"/>
      <w:r w:rsidRPr="00271012">
        <w:rPr>
          <w:i/>
          <w:iCs/>
        </w:rPr>
        <w:t>Senāta 2011. gada 9. jūnija lēmums lietā Nr. SKK-</w:t>
      </w:r>
      <w:r w:rsidR="00612207">
        <w:rPr>
          <w:i/>
          <w:iCs/>
        </w:rPr>
        <w:t> </w:t>
      </w:r>
      <w:r w:rsidRPr="00271012">
        <w:rPr>
          <w:i/>
          <w:iCs/>
        </w:rPr>
        <w:t>201/2011, 11290023207</w:t>
      </w:r>
      <w:bookmarkEnd w:id="54"/>
      <w:r w:rsidRPr="00271012">
        <w:t xml:space="preserve">).  </w:t>
      </w:r>
    </w:p>
    <w:p w14:paraId="36F5C1A5" w14:textId="2C79E028" w:rsidR="00813051" w:rsidRDefault="00680FD4" w:rsidP="00271012">
      <w:pPr>
        <w:spacing w:after="0" w:line="276" w:lineRule="auto"/>
        <w:ind w:firstLine="720"/>
        <w:jc w:val="both"/>
      </w:pPr>
      <w:r>
        <w:t>P</w:t>
      </w:r>
      <w:r w:rsidR="00271012" w:rsidRPr="0078049F">
        <w:t xml:space="preserve">ersonai par smaga vai sevišķi smaga nozieguma izdarīšanu piespriestais viņu nozīmīgi ierobežojošais sods – brīvības atņemšana – pats par sevi var būt pamats secinājumam, ka personai var rasties vēlme no šī soda izvairīties, </w:t>
      </w:r>
      <w:r w:rsidR="001A667C">
        <w:t>taču</w:t>
      </w:r>
      <w:r w:rsidR="001A667C" w:rsidRPr="0078049F">
        <w:t xml:space="preserve"> </w:t>
      </w:r>
      <w:r w:rsidR="00271012" w:rsidRPr="0078049F">
        <w:t>pēc sprieduma</w:t>
      </w:r>
      <w:r w:rsidR="001A667C">
        <w:t> </w:t>
      </w:r>
      <w:r w:rsidR="00271012" w:rsidRPr="0078049F">
        <w:t>– iespējamība kļūst aizvien reālāka</w:t>
      </w:r>
      <w:r w:rsidR="001A667C">
        <w:t>.</w:t>
      </w:r>
      <w:r w:rsidR="00271012" w:rsidRPr="0078049F">
        <w:t xml:space="preserve"> </w:t>
      </w:r>
    </w:p>
    <w:p w14:paraId="2A07E879" w14:textId="51C5138B" w:rsidR="006E4E08" w:rsidRPr="006E4E08" w:rsidRDefault="006E4E08" w:rsidP="006E4E08">
      <w:pPr>
        <w:spacing w:after="0" w:line="276" w:lineRule="auto"/>
        <w:ind w:firstLine="720"/>
        <w:jc w:val="both"/>
      </w:pPr>
      <w:r w:rsidRPr="006E4E08">
        <w:t xml:space="preserve">Senāts atzīmē, ka arī piespriestā brīvības atņemšanas soda ilgums </w:t>
      </w:r>
      <w:r w:rsidR="00680FD4">
        <w:t xml:space="preserve">varēja tikt ņemts </w:t>
      </w:r>
      <w:r w:rsidRPr="006E4E08">
        <w:t>vērā, lemjot par drošības līdzekļa grozīšanu uz apcietinājumu, jo tas pastiprina risku, ka apsūdzētais varētu izvairīties no sprieduma izpildes.</w:t>
      </w:r>
    </w:p>
    <w:p w14:paraId="628C660A" w14:textId="6A505F51" w:rsidR="0078049F" w:rsidRDefault="006E4E08" w:rsidP="006E4E08">
      <w:pPr>
        <w:spacing w:after="0" w:line="276" w:lineRule="auto"/>
        <w:ind w:firstLine="720"/>
        <w:jc w:val="both"/>
      </w:pPr>
      <w:r>
        <w:t>Konkrētajā gadījumā a</w:t>
      </w:r>
      <w:r w:rsidR="0078049F">
        <w:t xml:space="preserve">r pirmās instances tiesas spriedumu saskaņā ar Krimināllikuma 50. panta pirmo un trešo daļu </w:t>
      </w:r>
      <w:r w:rsidR="007A0C65">
        <w:t xml:space="preserve">[pers. B] </w:t>
      </w:r>
      <w:r w:rsidR="0078049F">
        <w:t xml:space="preserve">galīgais sods noteikts brīvības atņemšana </w:t>
      </w:r>
      <w:r w:rsidR="0078049F" w:rsidRPr="00195D00">
        <w:rPr>
          <w:color w:val="000000" w:themeColor="text1"/>
        </w:rPr>
        <w:t>uz 2 gadiem 1 mēnesi</w:t>
      </w:r>
      <w:r w:rsidR="0078049F">
        <w:t>.</w:t>
      </w:r>
    </w:p>
    <w:p w14:paraId="7C2B7E71" w14:textId="675760AE" w:rsidR="00271012" w:rsidRPr="00271012" w:rsidRDefault="00271012" w:rsidP="00271012">
      <w:pPr>
        <w:spacing w:after="0" w:line="276" w:lineRule="auto"/>
        <w:ind w:firstLine="720"/>
        <w:jc w:val="both"/>
        <w:rPr>
          <w:highlight w:val="yellow"/>
        </w:rPr>
      </w:pPr>
    </w:p>
    <w:p w14:paraId="057ECA2E" w14:textId="3390A1CC" w:rsidR="009E58C2" w:rsidRDefault="009E58C2" w:rsidP="00D24779">
      <w:pPr>
        <w:spacing w:after="0" w:line="276" w:lineRule="auto"/>
        <w:ind w:firstLine="720"/>
        <w:jc w:val="both"/>
      </w:pPr>
      <w:r w:rsidRPr="009E58C2">
        <w:t>[1</w:t>
      </w:r>
      <w:r w:rsidR="00B168DA">
        <w:t>4</w:t>
      </w:r>
      <w:r w:rsidR="00B7048A">
        <w:t>.</w:t>
      </w:r>
      <w:r w:rsidR="00D24779">
        <w:t>2</w:t>
      </w:r>
      <w:r w:rsidRPr="009E58C2">
        <w:t xml:space="preserve">] Nepamatots ir apsūdzētā </w:t>
      </w:r>
      <w:r w:rsidR="007A0C65">
        <w:t>[pers. B]</w:t>
      </w:r>
      <w:r w:rsidRPr="009E58C2">
        <w:t xml:space="preserve"> kasācijas sūdzībā paustais apgalvojumus, ka apelācijas instance tiesa ir pieļāvusi Kriminālprocesa likuma 281. panta piektās daļas 2. punkta pārkāpumu</w:t>
      </w:r>
      <w:r w:rsidR="00D24779">
        <w:t xml:space="preserve">, neizvērtējot viņam piemērotā drošības līdzekļa – apcietinājuma – </w:t>
      </w:r>
      <w:r w:rsidR="00612207">
        <w:t xml:space="preserve">turpmāko </w:t>
      </w:r>
      <w:r w:rsidR="00D24779">
        <w:t>nepieciešamību.</w:t>
      </w:r>
    </w:p>
    <w:p w14:paraId="6C1EEA60" w14:textId="24B8A2B7" w:rsidR="009E58C2" w:rsidRDefault="009E58C2" w:rsidP="009E58C2">
      <w:pPr>
        <w:spacing w:after="0" w:line="276" w:lineRule="auto"/>
        <w:ind w:firstLine="720"/>
        <w:jc w:val="both"/>
      </w:pPr>
      <w:r w:rsidRPr="009E58C2">
        <w:t>Kriminālprocesa likuma 281. panta piektā daļa noteic, ka pieteikumu par apcietinājuma atcelšanu vai grozīšanu, vai turpmākas nepieciešamības izvērtēšanu pēc lietas nodošanas apelācijas instances tiesai līdz iztiesāšanas uzsākšanai va</w:t>
      </w:r>
      <w:r w:rsidR="001A3DB3">
        <w:t>r</w:t>
      </w:r>
      <w:r w:rsidRPr="009E58C2">
        <w:t xml:space="preserve"> iesniegt tikai tad, ja: 1)</w:t>
      </w:r>
      <w:r w:rsidR="00A3440B">
        <w:t> </w:t>
      </w:r>
      <w:r w:rsidRPr="009E58C2">
        <w:t>radušies tādi veselības vai ģimenes apstākļi, kas var būt par pamatu apcietinājuma atcelšanai vai grozīšanai, un šos faktus apliecina dokumenti; 2)</w:t>
      </w:r>
      <w:r w:rsidR="00A3440B">
        <w:t> </w:t>
      </w:r>
      <w:r w:rsidRPr="009E58C2">
        <w:t>lietas iztiesāšana tiek noteikta uz laiku, kas ir ilgāks par diviem mēnešiem pēc lietas saņemšanas tiesā.</w:t>
      </w:r>
    </w:p>
    <w:p w14:paraId="3C723C28" w14:textId="3831721F" w:rsidR="00573305" w:rsidRDefault="00927CDC" w:rsidP="006E5A73">
      <w:pPr>
        <w:spacing w:after="0" w:line="276" w:lineRule="auto"/>
        <w:ind w:firstLine="720"/>
        <w:jc w:val="both"/>
      </w:pPr>
      <w:r>
        <w:t>Senāts konstatē, ka lieta a</w:t>
      </w:r>
      <w:r w:rsidR="009E58C2" w:rsidRPr="009E58C2">
        <w:t xml:space="preserve">pelācijas instances tiesā </w:t>
      </w:r>
      <w:r>
        <w:t>tika</w:t>
      </w:r>
      <w:r w:rsidR="009E58C2" w:rsidRPr="009E58C2">
        <w:t xml:space="preserve"> saņemta 2023. gada </w:t>
      </w:r>
      <w:r w:rsidR="00620776">
        <w:t>[..]</w:t>
      </w:r>
      <w:r w:rsidR="009E58C2" w:rsidRPr="009E58C2">
        <w:t xml:space="preserve"> (</w:t>
      </w:r>
      <w:r w:rsidR="009E58C2" w:rsidRPr="009E58C2">
        <w:rPr>
          <w:i/>
          <w:iCs/>
        </w:rPr>
        <w:t>lietas 12. sējuma 134. lapa</w:t>
      </w:r>
      <w:r w:rsidR="009E58C2" w:rsidRPr="009E58C2">
        <w:t>),</w:t>
      </w:r>
      <w:r w:rsidR="00B16BA2">
        <w:t xml:space="preserve"> savukārt</w:t>
      </w:r>
      <w:r w:rsidR="009E58C2" w:rsidRPr="009E58C2">
        <w:t xml:space="preserve"> tiesas sēde lietas iztiesāšanai no</w:t>
      </w:r>
      <w:r w:rsidR="00B16BA2">
        <w:t>zīmēta</w:t>
      </w:r>
      <w:r>
        <w:t xml:space="preserve"> uz </w:t>
      </w:r>
      <w:r w:rsidR="009E58C2" w:rsidRPr="009E58C2">
        <w:t xml:space="preserve">2023. gada </w:t>
      </w:r>
      <w:r w:rsidR="00620776">
        <w:t>[..]</w:t>
      </w:r>
      <w:r w:rsidR="009E58C2" w:rsidRPr="009E58C2">
        <w:t xml:space="preserve"> (</w:t>
      </w:r>
      <w:r w:rsidR="009E58C2" w:rsidRPr="009E58C2">
        <w:rPr>
          <w:i/>
          <w:iCs/>
        </w:rPr>
        <w:t>lietas 12. sējuma 137.</w:t>
      </w:r>
      <w:r w:rsidR="00573305">
        <w:rPr>
          <w:i/>
          <w:iCs/>
        </w:rPr>
        <w:t>–</w:t>
      </w:r>
      <w:r w:rsidR="009E58C2" w:rsidRPr="009E58C2">
        <w:rPr>
          <w:i/>
          <w:iCs/>
        </w:rPr>
        <w:t>138. lapa</w:t>
      </w:r>
      <w:r w:rsidR="009E58C2" w:rsidRPr="009E58C2">
        <w:t xml:space="preserve">). </w:t>
      </w:r>
    </w:p>
    <w:p w14:paraId="1C52FBB4" w14:textId="4DE349BA" w:rsidR="006E5A73" w:rsidRDefault="00573305" w:rsidP="006E5A73">
      <w:pPr>
        <w:spacing w:after="0" w:line="276" w:lineRule="auto"/>
        <w:ind w:firstLine="720"/>
        <w:jc w:val="both"/>
      </w:pPr>
      <w:r w:rsidRPr="009E58C2">
        <w:t xml:space="preserve">2023. gada </w:t>
      </w:r>
      <w:r w:rsidR="00620776">
        <w:t>[..]</w:t>
      </w:r>
      <w:r w:rsidRPr="009E58C2">
        <w:t xml:space="preserve"> </w:t>
      </w:r>
      <w:r>
        <w:t>a</w:t>
      </w:r>
      <w:r w:rsidR="009E58C2" w:rsidRPr="009E58C2">
        <w:t xml:space="preserve">pelācijas instances tiesas tiesnese, pamatojoties uz Kriminālprocesa likuma 281. panta piektās daļas 2. punktu, </w:t>
      </w:r>
      <w:r>
        <w:t xml:space="preserve">ir </w:t>
      </w:r>
      <w:r w:rsidR="009E58C2" w:rsidRPr="009E58C2">
        <w:t xml:space="preserve">vērtējusi apsūdzētajam </w:t>
      </w:r>
      <w:r w:rsidR="007A0C65">
        <w:t xml:space="preserve">[pers. B] </w:t>
      </w:r>
      <w:r w:rsidR="009E58C2" w:rsidRPr="009E58C2">
        <w:t>piemērotā drošības līdzekļa – apcietinājuma – turpmāku nepieciešamību un secinājusi, ka jāturpina piemērot</w:t>
      </w:r>
      <w:r>
        <w:t xml:space="preserve"> </w:t>
      </w:r>
      <w:r w:rsidR="00927CDC">
        <w:t xml:space="preserve">šis </w:t>
      </w:r>
      <w:r>
        <w:t>drošības līdzekli</w:t>
      </w:r>
      <w:r w:rsidR="00927CDC">
        <w:t>s</w:t>
      </w:r>
      <w:r w:rsidR="009E58C2" w:rsidRPr="009E58C2">
        <w:t xml:space="preserve"> (</w:t>
      </w:r>
      <w:r w:rsidR="009E58C2" w:rsidRPr="009E58C2">
        <w:rPr>
          <w:i/>
          <w:iCs/>
        </w:rPr>
        <w:t>lietas 12. sējuma 152.</w:t>
      </w:r>
      <w:r>
        <w:rPr>
          <w:i/>
          <w:iCs/>
        </w:rPr>
        <w:t>–</w:t>
      </w:r>
      <w:r w:rsidR="009E58C2" w:rsidRPr="009E58C2">
        <w:rPr>
          <w:i/>
          <w:iCs/>
        </w:rPr>
        <w:t>153. lapa</w:t>
      </w:r>
      <w:r w:rsidR="009E58C2" w:rsidRPr="009E58C2">
        <w:t>).</w:t>
      </w:r>
    </w:p>
    <w:p w14:paraId="4EA325B5" w14:textId="14C6B3DF" w:rsidR="009E58C2" w:rsidRDefault="009E58C2" w:rsidP="006E5A73">
      <w:pPr>
        <w:spacing w:after="0" w:line="276" w:lineRule="auto"/>
        <w:ind w:firstLine="720"/>
        <w:jc w:val="both"/>
      </w:pPr>
      <w:r w:rsidRPr="009E58C2">
        <w:t xml:space="preserve">Ņemot vērā, ka </w:t>
      </w:r>
      <w:r w:rsidR="00573305">
        <w:t>turpmāk</w:t>
      </w:r>
      <w:r w:rsidR="00F57651">
        <w:t xml:space="preserve"> </w:t>
      </w:r>
      <w:r w:rsidR="00573305">
        <w:t xml:space="preserve">iesniegtajās </w:t>
      </w:r>
      <w:r w:rsidRPr="009E58C2">
        <w:t xml:space="preserve">2023. gada </w:t>
      </w:r>
      <w:r w:rsidR="007A0C65">
        <w:t>[..]</w:t>
      </w:r>
      <w:r w:rsidRPr="009E58C2">
        <w:t xml:space="preserve"> un 2023. gada </w:t>
      </w:r>
      <w:r w:rsidR="007A0C65">
        <w:t>[..]</w:t>
      </w:r>
      <w:r w:rsidRPr="009E58C2">
        <w:t xml:space="preserve"> </w:t>
      </w:r>
      <w:r w:rsidR="00927CDC" w:rsidRPr="009E58C2">
        <w:t xml:space="preserve">apsūdzētā </w:t>
      </w:r>
      <w:r w:rsidR="007A0C65">
        <w:t>[pers. B]</w:t>
      </w:r>
      <w:r w:rsidR="00927CDC">
        <w:t xml:space="preserve"> </w:t>
      </w:r>
      <w:r w:rsidRPr="009E58C2">
        <w:t>sūdzībā</w:t>
      </w:r>
      <w:r w:rsidR="006E5A73">
        <w:t>s</w:t>
      </w:r>
      <w:r w:rsidRPr="009E58C2">
        <w:t xml:space="preserve"> nebija norādīts uz tādiem veselības vai ģimenes apstākļiem, kas varē</w:t>
      </w:r>
      <w:r w:rsidR="001A3DB3">
        <w:t>tu</w:t>
      </w:r>
      <w:r w:rsidRPr="009E58C2">
        <w:t xml:space="preserve"> būt pamats apcietinājuma atcelšanai vai grozīšanai, un šādus faktus apsūdzētais neapliecināja </w:t>
      </w:r>
      <w:r w:rsidR="00927CDC">
        <w:t xml:space="preserve">ar </w:t>
      </w:r>
      <w:r w:rsidRPr="009E58C2">
        <w:t>dokumenti</w:t>
      </w:r>
      <w:r w:rsidR="00927CDC">
        <w:t>em</w:t>
      </w:r>
      <w:r w:rsidRPr="009E58C2">
        <w:t xml:space="preserve"> (</w:t>
      </w:r>
      <w:r w:rsidRPr="009E58C2">
        <w:rPr>
          <w:i/>
          <w:iCs/>
        </w:rPr>
        <w:t>lietas 12. sējuma 189., 194. lapa</w:t>
      </w:r>
      <w:r w:rsidRPr="009E58C2">
        <w:t>), apelācijas instances tiesas tiesnese apsūdzētajam</w:t>
      </w:r>
      <w:r w:rsidR="00573305">
        <w:t xml:space="preserve"> </w:t>
      </w:r>
      <w:r w:rsidR="00573305" w:rsidRPr="009E58C2">
        <w:t>sniegusi atbildi</w:t>
      </w:r>
      <w:r w:rsidRPr="009E58C2">
        <w:t>, ka saskaņā ar Kriminālprocesa likuma 281. panta piektās daļas 2. punktu nav tiesiska pamata vērtēt piemēroto drošības līdzekli (</w:t>
      </w:r>
      <w:r w:rsidRPr="009E58C2">
        <w:rPr>
          <w:i/>
          <w:iCs/>
        </w:rPr>
        <w:t>lietas 12. sējuma 191., 196.</w:t>
      </w:r>
      <w:r w:rsidR="00416B12">
        <w:rPr>
          <w:i/>
          <w:iCs/>
        </w:rPr>
        <w:t>–197.</w:t>
      </w:r>
      <w:r w:rsidRPr="009E58C2">
        <w:rPr>
          <w:i/>
          <w:iCs/>
        </w:rPr>
        <w:t> lapa</w:t>
      </w:r>
      <w:r w:rsidRPr="009E58C2">
        <w:t>).</w:t>
      </w:r>
    </w:p>
    <w:p w14:paraId="378C42E0" w14:textId="667C2BEF" w:rsidR="006E5A73" w:rsidRDefault="00323EC8" w:rsidP="006E5A73">
      <w:pPr>
        <w:spacing w:after="0" w:line="276" w:lineRule="auto"/>
        <w:ind w:firstLine="720"/>
        <w:jc w:val="both"/>
      </w:pPr>
      <w:r>
        <w:t>Ievērojot minēto, Senāts secina, ka</w:t>
      </w:r>
      <w:r w:rsidR="006E5A73">
        <w:t xml:space="preserve"> līdz iztiesāšanas uzsākšanai</w:t>
      </w:r>
      <w:r w:rsidR="00235DCE">
        <w:t xml:space="preserve"> apelācijas instances tiesā</w:t>
      </w:r>
      <w:r w:rsidR="00B16BA2">
        <w:t xml:space="preserve"> nav pieļauts likuma pārkāpums</w:t>
      </w:r>
      <w:r w:rsidR="00EC6FEA">
        <w:t>.</w:t>
      </w:r>
      <w:r w:rsidR="002436B9">
        <w:t xml:space="preserve"> </w:t>
      </w:r>
    </w:p>
    <w:p w14:paraId="561482DD" w14:textId="3033A335" w:rsidR="00323EC8" w:rsidRDefault="006E5A73" w:rsidP="006213AF">
      <w:pPr>
        <w:spacing w:after="0" w:line="276" w:lineRule="auto"/>
        <w:ind w:firstLine="720"/>
        <w:jc w:val="both"/>
      </w:pPr>
      <w:r>
        <w:lastRenderedPageBreak/>
        <w:t>[1</w:t>
      </w:r>
      <w:r w:rsidR="00B168DA">
        <w:t>4</w:t>
      </w:r>
      <w:r>
        <w:t>.</w:t>
      </w:r>
      <w:r w:rsidR="00D24779">
        <w:t>3</w:t>
      </w:r>
      <w:r>
        <w:t xml:space="preserve">] </w:t>
      </w:r>
      <w:r w:rsidR="00323EC8">
        <w:t>Senāts nekonstatē pārkāpumus arī pēc iztiesāšanas uzsākšanas</w:t>
      </w:r>
      <w:r w:rsidR="00D508D2">
        <w:t xml:space="preserve"> apelācijas instances tiesā</w:t>
      </w:r>
      <w:r w:rsidR="00323EC8">
        <w:t>.</w:t>
      </w:r>
    </w:p>
    <w:p w14:paraId="55279A98" w14:textId="7E6D0C92" w:rsidR="006213AF" w:rsidRDefault="006213AF" w:rsidP="006213AF">
      <w:pPr>
        <w:spacing w:after="0" w:line="276" w:lineRule="auto"/>
        <w:ind w:firstLine="720"/>
        <w:jc w:val="both"/>
      </w:pPr>
      <w:r>
        <w:t>Saskaņā ar</w:t>
      </w:r>
      <w:r w:rsidR="006E5A73" w:rsidRPr="006E5A73">
        <w:t xml:space="preserve"> </w:t>
      </w:r>
      <w:r w:rsidR="009E58C2" w:rsidRPr="006E5A73">
        <w:t>Kriminālprocesa likuma 281. panta 5.</w:t>
      </w:r>
      <w:r w:rsidR="009E58C2" w:rsidRPr="006E5A73">
        <w:rPr>
          <w:vertAlign w:val="superscript"/>
        </w:rPr>
        <w:t>2</w:t>
      </w:r>
      <w:r w:rsidR="009E58C2" w:rsidRPr="006E5A73">
        <w:t> daļ</w:t>
      </w:r>
      <w:r>
        <w:t>u,</w:t>
      </w:r>
      <w:r w:rsidR="006E5A73" w:rsidRPr="006E5A73">
        <w:t xml:space="preserve"> </w:t>
      </w:r>
      <w:r>
        <w:t>j</w:t>
      </w:r>
      <w:r w:rsidRPr="006213AF">
        <w:t>a pēc lietas iztiesāšanas uzsākšanas apelācijas instances tiesā lietas iztiesāšana tiek atlikta vai pasludināts pārtraukums uz laiku, ilgāku par diviem mēnešiem, tiesa vienlaikus izvērtē apcietinājuma turpmākas piemērošanas nepieciešamību</w:t>
      </w:r>
      <w:r>
        <w:t>.</w:t>
      </w:r>
    </w:p>
    <w:p w14:paraId="2EEE43D7" w14:textId="5D96C5C9" w:rsidR="00EC6FEA" w:rsidRDefault="00EC6FEA" w:rsidP="006213AF">
      <w:pPr>
        <w:spacing w:after="0" w:line="276" w:lineRule="auto"/>
        <w:ind w:firstLine="720"/>
        <w:jc w:val="both"/>
      </w:pPr>
      <w:r>
        <w:rPr>
          <w:rFonts w:asciiTheme="majorBidi" w:hAnsiTheme="majorBidi" w:cstheme="majorBidi"/>
        </w:rPr>
        <w:t>Tas nozīmē, ka normā noteiktais divu mēnešu termiņš ir saistāms vienīgi ar laika periodu, uz kādu apelācijas instances tiesa lēmusi atlikt lietas iztiesāšanu vai pasludināt pārtraukumu, nevis noteic apsūdzētajam piemērotā apcietinājuma izvērtēšanas periodiskumu (</w:t>
      </w:r>
      <w:bookmarkStart w:id="55" w:name="_Hlk217298008"/>
      <w:r w:rsidRPr="002436B9">
        <w:rPr>
          <w:i/>
          <w:iCs/>
        </w:rPr>
        <w:t>Senāta 2024. gada lēmum</w:t>
      </w:r>
      <w:r w:rsidR="006E4E08">
        <w:rPr>
          <w:i/>
          <w:iCs/>
        </w:rPr>
        <w:t>s</w:t>
      </w:r>
      <w:r w:rsidRPr="002436B9">
        <w:rPr>
          <w:i/>
          <w:iCs/>
        </w:rPr>
        <w:t xml:space="preserve"> lietā Nr. SKK-[G]/2024, pieejams Augstākās tiesas tīmekļvietnē</w:t>
      </w:r>
      <w:bookmarkEnd w:id="55"/>
      <w:r>
        <w:t>).</w:t>
      </w:r>
    </w:p>
    <w:p w14:paraId="37AE6847" w14:textId="1293C221" w:rsidR="009E58C2" w:rsidRPr="009E58C2" w:rsidRDefault="00323EC8" w:rsidP="00B16BA2">
      <w:pPr>
        <w:spacing w:after="0" w:line="276" w:lineRule="auto"/>
        <w:ind w:firstLine="720"/>
        <w:jc w:val="both"/>
      </w:pPr>
      <w:r>
        <w:t>L</w:t>
      </w:r>
      <w:r w:rsidR="009E58C2" w:rsidRPr="009E58C2">
        <w:t xml:space="preserve">ietas izskatīšana apelācijas instances tiesā uzsākta 2023. gada </w:t>
      </w:r>
      <w:r w:rsidR="007A0C65">
        <w:t>[..]</w:t>
      </w:r>
      <w:r w:rsidR="009E58C2" w:rsidRPr="009E58C2">
        <w:t xml:space="preserve">, taču tā atlikta sakarā ar prokurora neierašanos, nosakot nākamo tiesas sēdi 2023. gada </w:t>
      </w:r>
      <w:r w:rsidR="007A0C65">
        <w:t>[..]</w:t>
      </w:r>
      <w:r w:rsidR="009E58C2" w:rsidRPr="009E58C2">
        <w:t>. Tiesas sēde minētajā datumā n</w:t>
      </w:r>
      <w:r w:rsidR="00B16BA2">
        <w:t>enotika</w:t>
      </w:r>
      <w:r w:rsidR="009E58C2" w:rsidRPr="009E58C2">
        <w:t xml:space="preserve"> sakarā ar tiesas sastāvā esošā tiesneša prombūtni</w:t>
      </w:r>
      <w:r w:rsidR="006213AF">
        <w:t>.</w:t>
      </w:r>
      <w:r w:rsidR="009E58C2" w:rsidRPr="009E58C2">
        <w:t xml:space="preserve"> </w:t>
      </w:r>
      <w:r w:rsidR="006213AF">
        <w:t>N</w:t>
      </w:r>
      <w:r w:rsidR="009E58C2" w:rsidRPr="009E58C2">
        <w:t>ākamā</w:t>
      </w:r>
      <w:r w:rsidR="00B16BA2">
        <w:t>s</w:t>
      </w:r>
      <w:r w:rsidR="009E58C2" w:rsidRPr="009E58C2">
        <w:t xml:space="preserve"> tiesas sēde</w:t>
      </w:r>
      <w:r w:rsidR="00B16BA2">
        <w:t>s</w:t>
      </w:r>
      <w:r w:rsidR="009E58C2" w:rsidRPr="009E58C2">
        <w:t xml:space="preserve"> no</w:t>
      </w:r>
      <w:r w:rsidR="00B16BA2">
        <w:t>zīmētas</w:t>
      </w:r>
      <w:r w:rsidR="009E58C2" w:rsidRPr="009E58C2">
        <w:t xml:space="preserve"> 2023. gada </w:t>
      </w:r>
      <w:r w:rsidR="007A0C65">
        <w:t>[..]</w:t>
      </w:r>
      <w:r w:rsidR="009E58C2" w:rsidRPr="009E58C2">
        <w:t xml:space="preserve"> (</w:t>
      </w:r>
      <w:r w:rsidR="009E58C2" w:rsidRPr="009E58C2">
        <w:rPr>
          <w:i/>
          <w:iCs/>
        </w:rPr>
        <w:t>lietas 12. sējuma 217., 232. lapa</w:t>
      </w:r>
      <w:r w:rsidR="009E58C2" w:rsidRPr="009E58C2">
        <w:t>)</w:t>
      </w:r>
      <w:r w:rsidR="00B16BA2">
        <w:t xml:space="preserve">, </w:t>
      </w:r>
      <w:r w:rsidR="009E58C2" w:rsidRPr="009E58C2">
        <w:t xml:space="preserve">2023. gada </w:t>
      </w:r>
      <w:r w:rsidR="007A0C65">
        <w:t>[..]</w:t>
      </w:r>
      <w:r w:rsidR="009E58C2" w:rsidRPr="009E58C2">
        <w:t xml:space="preserve"> un 2024. gada </w:t>
      </w:r>
      <w:r w:rsidR="007A0C65">
        <w:t>[..]</w:t>
      </w:r>
      <w:r w:rsidR="009E58C2" w:rsidRPr="009E58C2">
        <w:t xml:space="preserve"> (</w:t>
      </w:r>
      <w:r w:rsidR="009E58C2" w:rsidRPr="009E58C2">
        <w:rPr>
          <w:i/>
          <w:iCs/>
        </w:rPr>
        <w:t>lietas 13. sējuma 10.</w:t>
      </w:r>
      <w:r w:rsidR="00F57651">
        <w:rPr>
          <w:i/>
          <w:iCs/>
        </w:rPr>
        <w:t>–</w:t>
      </w:r>
      <w:r w:rsidR="009E58C2" w:rsidRPr="009E58C2">
        <w:rPr>
          <w:i/>
          <w:iCs/>
        </w:rPr>
        <w:t>11. , 40.</w:t>
      </w:r>
      <w:r w:rsidR="00F57651">
        <w:rPr>
          <w:i/>
          <w:iCs/>
        </w:rPr>
        <w:t>–</w:t>
      </w:r>
      <w:r w:rsidR="009E58C2" w:rsidRPr="009E58C2">
        <w:rPr>
          <w:i/>
          <w:iCs/>
        </w:rPr>
        <w:t>42. lapa</w:t>
      </w:r>
      <w:r w:rsidR="009E58C2" w:rsidRPr="009E58C2">
        <w:t>).</w:t>
      </w:r>
    </w:p>
    <w:p w14:paraId="483BE7F8" w14:textId="4801B9B0" w:rsidR="002436B9" w:rsidRDefault="009E58C2" w:rsidP="002436B9">
      <w:pPr>
        <w:spacing w:after="0" w:line="276" w:lineRule="auto"/>
        <w:ind w:firstLine="720"/>
        <w:jc w:val="both"/>
      </w:pPr>
      <w:r w:rsidRPr="009E58C2">
        <w:t>Senāts konstatē, ka apelācijas instances tiesa ir atlikusi tiesas sēdes, nepārsniedzot Kriminālprocesa likuma 281. panta 5.</w:t>
      </w:r>
      <w:r w:rsidRPr="009E58C2">
        <w:rPr>
          <w:vertAlign w:val="superscript"/>
        </w:rPr>
        <w:t>2</w:t>
      </w:r>
      <w:r w:rsidR="00C57C6A">
        <w:t> </w:t>
      </w:r>
      <w:r w:rsidRPr="009E58C2">
        <w:t xml:space="preserve">daļā noteikto divu mēnešu termiņu, un līdz ar to tiesai nebija </w:t>
      </w:r>
      <w:r w:rsidR="0020323C" w:rsidRPr="009E58C2">
        <w:t>pienākum</w:t>
      </w:r>
      <w:r w:rsidR="0020323C">
        <w:t>a</w:t>
      </w:r>
      <w:r w:rsidR="0020323C" w:rsidRPr="009E58C2">
        <w:t xml:space="preserve"> </w:t>
      </w:r>
      <w:r w:rsidR="00F57651">
        <w:t>pār</w:t>
      </w:r>
      <w:r w:rsidRPr="009E58C2">
        <w:t>vērtēt apsūdzētajam piemērot</w:t>
      </w:r>
      <w:r w:rsidR="00F57651">
        <w:t>ā</w:t>
      </w:r>
      <w:r w:rsidRPr="009E58C2">
        <w:t xml:space="preserve"> drošības līdzek</w:t>
      </w:r>
      <w:r w:rsidR="00F57651">
        <w:t>ļa nepieciešamību</w:t>
      </w:r>
      <w:r w:rsidRPr="009E58C2">
        <w:t>.</w:t>
      </w:r>
      <w:r w:rsidR="002436B9">
        <w:t xml:space="preserve"> </w:t>
      </w:r>
    </w:p>
    <w:p w14:paraId="7F577D37" w14:textId="77777777" w:rsidR="00D508D2" w:rsidRDefault="00D508D2" w:rsidP="002436B9">
      <w:pPr>
        <w:spacing w:after="0" w:line="276" w:lineRule="auto"/>
        <w:ind w:firstLine="720"/>
        <w:jc w:val="both"/>
      </w:pPr>
    </w:p>
    <w:p w14:paraId="1217503F" w14:textId="42E10F29" w:rsidR="00A87640" w:rsidRDefault="00893BAF" w:rsidP="00A87640">
      <w:pPr>
        <w:spacing w:after="0" w:line="276" w:lineRule="auto"/>
        <w:ind w:firstLine="720"/>
        <w:jc w:val="both"/>
      </w:pPr>
      <w:r w:rsidRPr="00893BAF">
        <w:t>[</w:t>
      </w:r>
      <w:r w:rsidR="00B168DA">
        <w:t>15</w:t>
      </w:r>
      <w:r w:rsidRPr="00893BAF">
        <w:t xml:space="preserve">] </w:t>
      </w:r>
      <w:r w:rsidR="00A87640" w:rsidRPr="00A87640">
        <w:t xml:space="preserve">Senāts </w:t>
      </w:r>
      <w:r w:rsidR="00A8477E">
        <w:t>atzīst</w:t>
      </w:r>
      <w:r w:rsidR="00A87640" w:rsidRPr="00A87640">
        <w:t>, ka nav pamata vērsties Satversmes tiesā par Kriminālprocesa likuma 272.</w:t>
      </w:r>
      <w:r w:rsidR="00A87640">
        <w:t> </w:t>
      </w:r>
      <w:r w:rsidR="00A87640" w:rsidRPr="00A87640">
        <w:t>panta ceturtās daļas un 281.</w:t>
      </w:r>
      <w:r w:rsidR="00A87640">
        <w:t> </w:t>
      </w:r>
      <w:r w:rsidR="00A87640" w:rsidRPr="00A87640">
        <w:t>panta piektās daļas 2.</w:t>
      </w:r>
      <w:r w:rsidR="00A87640">
        <w:t> </w:t>
      </w:r>
      <w:r w:rsidR="00A87640" w:rsidRPr="00A87640">
        <w:t>punkta iespējamu neatbilstību Satversmei.</w:t>
      </w:r>
    </w:p>
    <w:p w14:paraId="1E26F82A" w14:textId="7EC8CAF7" w:rsidR="00D508D2" w:rsidRPr="0078476E" w:rsidRDefault="00D508D2" w:rsidP="00D508D2">
      <w:pPr>
        <w:spacing w:after="0" w:line="276" w:lineRule="auto"/>
        <w:ind w:firstLine="720"/>
        <w:jc w:val="both"/>
        <w:rPr>
          <w:color w:val="000000" w:themeColor="text1"/>
        </w:rPr>
      </w:pPr>
      <w:r>
        <w:t>[1</w:t>
      </w:r>
      <w:r w:rsidR="00B168DA">
        <w:t>5</w:t>
      </w:r>
      <w:r>
        <w:t xml:space="preserve">.1] Minētās normas </w:t>
      </w:r>
      <w:r w:rsidRPr="0078476E">
        <w:rPr>
          <w:color w:val="000000" w:themeColor="text1"/>
        </w:rPr>
        <w:t xml:space="preserve">atbilst </w:t>
      </w:r>
      <w:bookmarkStart w:id="56" w:name="_Hlk215056161"/>
      <w:r w:rsidRPr="0078476E">
        <w:rPr>
          <w:color w:val="000000" w:themeColor="text1"/>
        </w:rPr>
        <w:t xml:space="preserve">Eiropas Cilvēka tiesību un pamatbrīvību aizsardzības konvencijas </w:t>
      </w:r>
      <w:bookmarkEnd w:id="56"/>
      <w:r w:rsidRPr="0078476E">
        <w:rPr>
          <w:color w:val="000000" w:themeColor="text1"/>
        </w:rPr>
        <w:t>(turpmāk – Konvencija) standartam, saskaņā ar kuru ir jānošķir apcietinājums, kas piemērojams līdz sprieduma pasludināšanai, no apcietinājuma, kas turpinās vai tiek piemērots uz notiesājoša sprieduma pamata.</w:t>
      </w:r>
    </w:p>
    <w:p w14:paraId="580B2681" w14:textId="77777777" w:rsidR="00D508D2" w:rsidRPr="0078476E" w:rsidRDefault="00D508D2" w:rsidP="00D508D2">
      <w:pPr>
        <w:spacing w:after="0" w:line="276" w:lineRule="auto"/>
        <w:ind w:firstLine="720"/>
        <w:jc w:val="both"/>
      </w:pPr>
      <w:r w:rsidRPr="0078476E">
        <w:t>Konvencijas 5. panta 1. punkta „a” apakšpunkts noteic, ka nevienam nedrīkst atņemt brīvību, izņemot, ja persona tiek tiesiski aizturēta uz kompetentas tiesas sprieduma pamata.</w:t>
      </w:r>
    </w:p>
    <w:p w14:paraId="3ED110BF" w14:textId="0061175F" w:rsidR="00D508D2" w:rsidRPr="0078476E" w:rsidRDefault="00D508D2" w:rsidP="00D508D2">
      <w:pPr>
        <w:spacing w:after="0" w:line="276" w:lineRule="auto"/>
        <w:ind w:firstLine="720"/>
        <w:jc w:val="both"/>
      </w:pPr>
      <w:r w:rsidRPr="0078476E">
        <w:t>Eiropas Cilvēktiesību tiesa atzinusi, ka persona tiek uzskatīta par aizturētu 5. panta 1. punkta „a” apakšpunkta izpratnē pēc pirmās instances</w:t>
      </w:r>
      <w:r w:rsidR="006E4E08">
        <w:t xml:space="preserve"> tiesas</w:t>
      </w:r>
      <w:r w:rsidRPr="0078476E">
        <w:t xml:space="preserve"> sprieduma pasludināšanas (</w:t>
      </w:r>
      <w:bookmarkStart w:id="57" w:name="_Hlk217298018"/>
      <w:r w:rsidRPr="0078476E">
        <w:rPr>
          <w:i/>
          <w:iCs/>
        </w:rPr>
        <w:t xml:space="preserve">Eiropas Cilvēktiesību tiesas 2015. gada 4. jūnija sprieduma lietā „Ruslan </w:t>
      </w:r>
      <w:proofErr w:type="spellStart"/>
      <w:r w:rsidRPr="0078476E">
        <w:rPr>
          <w:i/>
          <w:iCs/>
        </w:rPr>
        <w:t>Yakovenko</w:t>
      </w:r>
      <w:proofErr w:type="spellEnd"/>
      <w:r w:rsidRPr="0078476E">
        <w:rPr>
          <w:i/>
          <w:iCs/>
        </w:rPr>
        <w:t xml:space="preserve"> pret Ukrainu”, iesnieguma Nr. 5425/11, 51., 46</w:t>
      </w:r>
      <w:bookmarkEnd w:id="57"/>
      <w:r w:rsidRPr="0078476E">
        <w:rPr>
          <w:i/>
          <w:iCs/>
        </w:rPr>
        <w:t>.</w:t>
      </w:r>
      <w:r w:rsidR="00C57C6A">
        <w:rPr>
          <w:i/>
          <w:iCs/>
        </w:rPr>
        <w:t> </w:t>
      </w:r>
      <w:r w:rsidRPr="0078476E">
        <w:rPr>
          <w:i/>
          <w:iCs/>
        </w:rPr>
        <w:t>punkts</w:t>
      </w:r>
      <w:r w:rsidRPr="0078476E">
        <w:t>). Pat ja dalībvalsts tiesību aktos paredzēts, ka spriedums kļūst galīgs tikai pēc apelācijas procesa noslēguma, no Konvencijas skatpunkta pirmstiesas apcietinājums beidzas ar vainas konstatēšanu un soda noteikšanu pirm</w:t>
      </w:r>
      <w:r w:rsidR="006E4E08">
        <w:t>ās</w:t>
      </w:r>
      <w:r w:rsidRPr="0078476E">
        <w:t xml:space="preserve"> instanc</w:t>
      </w:r>
      <w:r w:rsidR="006E4E08">
        <w:t>es tiesā</w:t>
      </w:r>
      <w:r w:rsidRPr="0078476E">
        <w:t xml:space="preserve"> (</w:t>
      </w:r>
      <w:r w:rsidRPr="0078476E">
        <w:rPr>
          <w:i/>
          <w:iCs/>
        </w:rPr>
        <w:t>Turpat, 47.</w:t>
      </w:r>
      <w:r w:rsidR="00C57C6A">
        <w:rPr>
          <w:i/>
          <w:iCs/>
        </w:rPr>
        <w:t> </w:t>
      </w:r>
      <w:r w:rsidRPr="0078476E">
        <w:rPr>
          <w:i/>
          <w:iCs/>
        </w:rPr>
        <w:t>punkts</w:t>
      </w:r>
      <w:r w:rsidRPr="0078476E">
        <w:t>).</w:t>
      </w:r>
    </w:p>
    <w:p w14:paraId="757C4481" w14:textId="3CC859A0" w:rsidR="00D508D2" w:rsidRDefault="00D508D2" w:rsidP="00D508D2">
      <w:pPr>
        <w:spacing w:after="0" w:line="276" w:lineRule="auto"/>
        <w:ind w:firstLine="720"/>
        <w:jc w:val="both"/>
      </w:pPr>
      <w:r w:rsidRPr="0078476E">
        <w:t xml:space="preserve">Izšķirošs šajā ziņā ir viens apsvērums: persona, kas notiesāta pirmās instances tiesā, neatkarīgi no tā, vai līdz tam </w:t>
      </w:r>
      <w:r w:rsidR="006E4E08">
        <w:t xml:space="preserve">viņa ir </w:t>
      </w:r>
      <w:r w:rsidRPr="0078476E">
        <w:t xml:space="preserve">bijusi apcietinājumā, nonāk situācijā, kas paredzēta Konvencijas 5. panta 1. punkta „a” apakšpunktā, kas paredz tiesības atņemt brīvību „pēc notiesāšanas”. Šo pēdējo frāzi nevar interpretēt tā, it kā tā attiektos tikai uz galīgo notiesāšanu, jo tādā gadījumā tiktu izslēgta iespēja arestēt personu tiesas procesa laikā, ja tā uz tiesu ieradusies, atrazdamās brīvībā, pat ja tai vēl pieejami pārsūdzības līdzekļi. Turklāt nevar ignorēt to, ka personas, kas tiek aizturētas apelācijas vai kasācijas procesa laikā, vaina ir jau atzīta procesā, kas atbilst Konvencijas 6. panta prasībām </w:t>
      </w:r>
      <w:r w:rsidRPr="0078476E">
        <w:lastRenderedPageBreak/>
        <w:t>(</w:t>
      </w:r>
      <w:bookmarkStart w:id="58" w:name="_Hlk217298028"/>
      <w:r w:rsidRPr="0078476E">
        <w:rPr>
          <w:i/>
          <w:iCs/>
        </w:rPr>
        <w:t>Eiropas Cilvēktiesību tiesas 1968. gada 27. jūnija sprieduma lietā „</w:t>
      </w:r>
      <w:proofErr w:type="spellStart"/>
      <w:r w:rsidRPr="0078476E">
        <w:rPr>
          <w:i/>
          <w:iCs/>
        </w:rPr>
        <w:t>Wemhoff</w:t>
      </w:r>
      <w:proofErr w:type="spellEnd"/>
      <w:r w:rsidRPr="0078476E">
        <w:rPr>
          <w:i/>
          <w:iCs/>
        </w:rPr>
        <w:t xml:space="preserve"> pret Vāciju”, 9. </w:t>
      </w:r>
      <w:bookmarkEnd w:id="58"/>
      <w:r w:rsidRPr="0078476E">
        <w:rPr>
          <w:i/>
          <w:iCs/>
        </w:rPr>
        <w:t>punkts</w:t>
      </w:r>
      <w:r w:rsidRPr="0078476E">
        <w:t>).</w:t>
      </w:r>
      <w:r>
        <w:t xml:space="preserve"> </w:t>
      </w:r>
    </w:p>
    <w:p w14:paraId="3B5CEFE4" w14:textId="1CA45799" w:rsidR="00D508D2" w:rsidRPr="00D24779" w:rsidRDefault="00D508D2" w:rsidP="00D508D2">
      <w:pPr>
        <w:spacing w:after="0" w:line="276" w:lineRule="auto"/>
        <w:ind w:firstLine="720"/>
        <w:jc w:val="both"/>
      </w:pPr>
      <w:r w:rsidRPr="00D24779">
        <w:t xml:space="preserve">Ievērojot minēto, pēc </w:t>
      </w:r>
      <w:bookmarkStart w:id="59" w:name="_Hlk215056121"/>
      <w:r w:rsidRPr="00D24779">
        <w:t>notiesājošā sprieduma prasības apcietinājuma pamatojumam var būt mazāk stingras nekā pirmstiesas</w:t>
      </w:r>
      <w:r w:rsidR="00FB0A60">
        <w:t xml:space="preserve"> procesa</w:t>
      </w:r>
      <w:r w:rsidRPr="00D24779">
        <w:t xml:space="preserve"> stadijā </w:t>
      </w:r>
      <w:bookmarkEnd w:id="59"/>
      <w:r w:rsidRPr="00D24779">
        <w:t>(sk.</w:t>
      </w:r>
      <w:r>
        <w:t xml:space="preserve"> arī</w:t>
      </w:r>
      <w:r w:rsidRPr="00D24779">
        <w:rPr>
          <w:i/>
          <w:iCs/>
        </w:rPr>
        <w:t xml:space="preserve"> tiesībsarga viedokli 2021. gada 9. jūlija atzinum</w:t>
      </w:r>
      <w:r>
        <w:rPr>
          <w:i/>
          <w:iCs/>
        </w:rPr>
        <w:t>a</w:t>
      </w:r>
      <w:r w:rsidRPr="00D24779">
        <w:rPr>
          <w:i/>
          <w:iCs/>
        </w:rPr>
        <w:t xml:space="preserve"> 7. lpp. Pieejams: </w:t>
      </w:r>
      <w:hyperlink r:id="rId14" w:history="1">
        <w:r w:rsidRPr="00D24779">
          <w:rPr>
            <w:rStyle w:val="Hyperlink"/>
            <w:i/>
            <w:iCs/>
            <w:color w:val="auto"/>
            <w:u w:val="none"/>
          </w:rPr>
          <w:t>https://www.tiesibsargs.lv/wp-content/uploads/migrate_2022/content/anonomizeta_atzinuma_nr_2021_26_3e_kopija_1641298771.pdf</w:t>
        </w:r>
      </w:hyperlink>
      <w:r w:rsidRPr="00D24779">
        <w:t xml:space="preserve">). </w:t>
      </w:r>
    </w:p>
    <w:p w14:paraId="2A835D95" w14:textId="35A2D2C5" w:rsidR="00D508D2" w:rsidRDefault="00D508D2" w:rsidP="00D508D2">
      <w:pPr>
        <w:spacing w:after="0" w:line="276" w:lineRule="auto"/>
        <w:ind w:firstLine="720"/>
        <w:jc w:val="both"/>
      </w:pPr>
      <w:r>
        <w:t>[1</w:t>
      </w:r>
      <w:r w:rsidR="00B168DA">
        <w:t>5</w:t>
      </w:r>
      <w:r>
        <w:t xml:space="preserve">.2] Vērtējot Kriminālprocesa likuma </w:t>
      </w:r>
      <w:r w:rsidRPr="00A87640">
        <w:t>281.</w:t>
      </w:r>
      <w:r>
        <w:t> </w:t>
      </w:r>
      <w:r w:rsidRPr="00A87640">
        <w:t>panta piektās daļas 2.</w:t>
      </w:r>
      <w:r>
        <w:t> </w:t>
      </w:r>
      <w:r w:rsidRPr="00A87640">
        <w:t>punkta</w:t>
      </w:r>
      <w:r>
        <w:t xml:space="preserve"> atbilstību Satversmei, Senāts </w:t>
      </w:r>
      <w:r w:rsidR="00FB0A60">
        <w:t xml:space="preserve">piekrīt </w:t>
      </w:r>
      <w:r>
        <w:t>tiesībsarga 2021. gada 9. jūlija atzinumā secināt</w:t>
      </w:r>
      <w:r w:rsidR="00FB0A60">
        <w:t>ajam</w:t>
      </w:r>
      <w:r>
        <w:t xml:space="preserve">, ka </w:t>
      </w:r>
      <w:r w:rsidRPr="006A697D">
        <w:t>K</w:t>
      </w:r>
      <w:r>
        <w:t>riminālprocesa likuma</w:t>
      </w:r>
      <w:r w:rsidRPr="006A697D">
        <w:t xml:space="preserve"> normas kopumā nodrošina pienācīgu apcietinājuma kontroli </w:t>
      </w:r>
      <w:r>
        <w:t xml:space="preserve">arī </w:t>
      </w:r>
      <w:r w:rsidRPr="006A697D">
        <w:t>pēc pirmās instances tiesas notiesājoša tiesas sprieduma pieņemšanas</w:t>
      </w:r>
      <w:r>
        <w:t xml:space="preserve"> (Pieejams:</w:t>
      </w:r>
      <w:r w:rsidRPr="006A697D">
        <w:rPr>
          <w:i/>
          <w:iCs/>
        </w:rPr>
        <w:t xml:space="preserve"> </w:t>
      </w:r>
      <w:hyperlink r:id="rId15" w:history="1">
        <w:r w:rsidRPr="00323EC8">
          <w:rPr>
            <w:rStyle w:val="Hyperlink"/>
            <w:i/>
            <w:iCs/>
            <w:color w:val="auto"/>
            <w:u w:val="none"/>
          </w:rPr>
          <w:t>https://www.tiesibsargs.lv/wp-content/uploads/migrate_2022/content/anonomizeta_atzinuma_nr_2021_26_3e_kopija_1641298771.pdf</w:t>
        </w:r>
      </w:hyperlink>
      <w:r w:rsidRPr="00323EC8">
        <w:t xml:space="preserve">). </w:t>
      </w:r>
    </w:p>
    <w:bookmarkEnd w:id="53"/>
    <w:p w14:paraId="4DB247F6" w14:textId="77777777" w:rsidR="00D04B03" w:rsidRDefault="00D04B03" w:rsidP="00EE5916">
      <w:pPr>
        <w:widowControl w:val="0"/>
        <w:shd w:val="clear" w:color="auto" w:fill="FFFFFF"/>
        <w:spacing w:line="276" w:lineRule="auto"/>
        <w:ind w:firstLine="720"/>
        <w:jc w:val="both"/>
        <w:rPr>
          <w:b/>
          <w:bCs/>
        </w:rPr>
      </w:pPr>
    </w:p>
    <w:bookmarkEnd w:id="52"/>
    <w:p w14:paraId="25582E76" w14:textId="57AED2B4" w:rsidR="00D04B03" w:rsidRPr="00323EA2" w:rsidRDefault="00D04B03" w:rsidP="00D04B03">
      <w:pPr>
        <w:spacing w:after="0" w:line="276" w:lineRule="auto"/>
        <w:ind w:firstLine="720"/>
        <w:jc w:val="center"/>
        <w:rPr>
          <w:b/>
          <w:bCs/>
          <w:color w:val="000000" w:themeColor="text1"/>
        </w:rPr>
      </w:pPr>
      <w:r w:rsidRPr="00323EA2">
        <w:rPr>
          <w:b/>
          <w:bCs/>
          <w:color w:val="000000" w:themeColor="text1"/>
        </w:rPr>
        <w:t>VII</w:t>
      </w:r>
    </w:p>
    <w:p w14:paraId="434A93CC" w14:textId="2BE90456" w:rsidR="00D04B03" w:rsidRDefault="00D04B03" w:rsidP="00D04B03">
      <w:pPr>
        <w:spacing w:after="0" w:line="276" w:lineRule="auto"/>
        <w:ind w:firstLine="720"/>
        <w:jc w:val="center"/>
        <w:rPr>
          <w:i/>
          <w:iCs/>
          <w:color w:val="000000" w:themeColor="text1"/>
        </w:rPr>
      </w:pPr>
      <w:r w:rsidRPr="00225E2E">
        <w:rPr>
          <w:i/>
          <w:iCs/>
          <w:color w:val="000000" w:themeColor="text1"/>
        </w:rPr>
        <w:t>Citi jautājumi</w:t>
      </w:r>
    </w:p>
    <w:p w14:paraId="0B8B1638" w14:textId="77777777" w:rsidR="00D04B03" w:rsidRDefault="00D04B03" w:rsidP="00D04B03">
      <w:pPr>
        <w:spacing w:after="0" w:line="276" w:lineRule="auto"/>
        <w:ind w:firstLine="720"/>
        <w:contextualSpacing/>
        <w:jc w:val="center"/>
        <w:rPr>
          <w:i/>
          <w:iCs/>
          <w:color w:val="000000" w:themeColor="text1"/>
        </w:rPr>
      </w:pPr>
    </w:p>
    <w:p w14:paraId="36C2FA04" w14:textId="57785EE2" w:rsidR="00A8035E" w:rsidRDefault="00D04B03" w:rsidP="00A8035E">
      <w:pPr>
        <w:spacing w:after="0" w:line="276" w:lineRule="auto"/>
        <w:ind w:firstLine="720"/>
        <w:jc w:val="both"/>
      </w:pPr>
      <w:r w:rsidRPr="00323EA2">
        <w:rPr>
          <w:color w:val="000000" w:themeColor="text1"/>
        </w:rPr>
        <w:t>[1</w:t>
      </w:r>
      <w:r w:rsidR="00B168DA">
        <w:rPr>
          <w:color w:val="000000" w:themeColor="text1"/>
        </w:rPr>
        <w:t>6</w:t>
      </w:r>
      <w:r w:rsidRPr="00323EA2">
        <w:rPr>
          <w:color w:val="000000" w:themeColor="text1"/>
        </w:rPr>
        <w:t>]</w:t>
      </w:r>
      <w:r w:rsidR="00A8035E">
        <w:rPr>
          <w:color w:val="000000" w:themeColor="text1"/>
        </w:rPr>
        <w:t xml:space="preserve"> </w:t>
      </w:r>
      <w:r w:rsidR="00A8035E" w:rsidRPr="00FB0A60">
        <w:t>Ievērojot to, ka lieta apelācijas instances tiesā jāizskata no jauna atbilstoši Kriminālprocesa likuma 53.</w:t>
      </w:r>
      <w:r w:rsidR="00A8035E">
        <w:t> </w:t>
      </w:r>
      <w:r w:rsidR="00A8035E" w:rsidRPr="00FB0A60">
        <w:t>nodaļas prasībām, pārējie kasācijas sūdzību argumenti</w:t>
      </w:r>
      <w:r w:rsidR="003057B8">
        <w:t xml:space="preserve">, tajā skaitā par apsūdzētajiem </w:t>
      </w:r>
      <w:r w:rsidR="007A0C65">
        <w:t>[pers. A]</w:t>
      </w:r>
      <w:r w:rsidR="003057B8">
        <w:t xml:space="preserve"> un </w:t>
      </w:r>
      <w:r w:rsidR="007A0C65">
        <w:t>[pers. B]</w:t>
      </w:r>
      <w:r w:rsidR="003057B8">
        <w:t xml:space="preserve"> noteikto sodu,</w:t>
      </w:r>
      <w:r w:rsidR="00A8035E" w:rsidRPr="00FB0A60">
        <w:t xml:space="preserve"> ir izvērtējami apelācijas instances tiesā, izskatot lietu atkārtoti</w:t>
      </w:r>
      <w:r w:rsidR="00A8035E">
        <w:t>.</w:t>
      </w:r>
    </w:p>
    <w:p w14:paraId="4D8B5E08" w14:textId="77777777" w:rsidR="00A8035E" w:rsidRDefault="00A8035E" w:rsidP="00A8035E">
      <w:pPr>
        <w:spacing w:after="0" w:line="276" w:lineRule="auto"/>
        <w:ind w:firstLine="720"/>
        <w:jc w:val="both"/>
      </w:pPr>
    </w:p>
    <w:p w14:paraId="32F55C59" w14:textId="19188D2A" w:rsidR="00A8035E" w:rsidRDefault="00A8035E" w:rsidP="00A8035E">
      <w:pPr>
        <w:spacing w:after="0" w:line="276" w:lineRule="auto"/>
        <w:ind w:firstLine="720"/>
        <w:jc w:val="both"/>
        <w:rPr>
          <w:color w:val="000000" w:themeColor="text1"/>
        </w:rPr>
      </w:pPr>
      <w:r>
        <w:t>[1</w:t>
      </w:r>
      <w:r w:rsidR="00B168DA">
        <w:t>7</w:t>
      </w:r>
      <w:r>
        <w:t>]</w:t>
      </w:r>
      <w:r w:rsidR="00D04B03">
        <w:rPr>
          <w:color w:val="000000" w:themeColor="text1"/>
        </w:rPr>
        <w:t xml:space="preserve"> </w:t>
      </w:r>
      <w:r w:rsidRPr="00A8035E">
        <w:rPr>
          <w:color w:val="000000" w:themeColor="text1"/>
        </w:rPr>
        <w:t>Kriminālprocesa likuma 588.</w:t>
      </w:r>
      <w:r w:rsidR="00C57C6A">
        <w:rPr>
          <w:color w:val="000000" w:themeColor="text1"/>
        </w:rPr>
        <w:t> </w:t>
      </w:r>
      <w:r w:rsidRPr="00A8035E">
        <w:rPr>
          <w:color w:val="000000" w:themeColor="text1"/>
        </w:rPr>
        <w:t>panta 3.</w:t>
      </w:r>
      <w:r w:rsidRPr="00485998">
        <w:rPr>
          <w:color w:val="000000" w:themeColor="text1"/>
          <w:vertAlign w:val="superscript"/>
        </w:rPr>
        <w:t>1</w:t>
      </w:r>
      <w:r w:rsidR="00C57C6A">
        <w:rPr>
          <w:color w:val="000000" w:themeColor="text1"/>
        </w:rPr>
        <w:t> </w:t>
      </w:r>
      <w:r w:rsidRPr="00A8035E">
        <w:rPr>
          <w:color w:val="000000" w:themeColor="text1"/>
        </w:rPr>
        <w:t>daļa noteic, ka gadījumā, ja kasācijas instances tiesa pieņem šā likuma 587.</w:t>
      </w:r>
      <w:r w:rsidR="00C57C6A">
        <w:rPr>
          <w:color w:val="000000" w:themeColor="text1"/>
        </w:rPr>
        <w:t> </w:t>
      </w:r>
      <w:r w:rsidRPr="00A8035E">
        <w:rPr>
          <w:color w:val="000000" w:themeColor="text1"/>
        </w:rPr>
        <w:t>panta pirmās daļas 2.</w:t>
      </w:r>
      <w:r w:rsidR="00C57C6A">
        <w:rPr>
          <w:color w:val="000000" w:themeColor="text1"/>
        </w:rPr>
        <w:t> </w:t>
      </w:r>
      <w:r w:rsidRPr="00A8035E">
        <w:rPr>
          <w:color w:val="000000" w:themeColor="text1"/>
        </w:rPr>
        <w:t>punktā paredzēto lēmumu, tā izlemj jautājumu arī par drošības līdzekli.</w:t>
      </w:r>
    </w:p>
    <w:p w14:paraId="7520B85C" w14:textId="1895A9EF" w:rsidR="00624D72" w:rsidRDefault="00A8035E" w:rsidP="007A0C65">
      <w:pPr>
        <w:spacing w:after="0" w:line="276" w:lineRule="auto"/>
        <w:ind w:firstLine="720"/>
        <w:jc w:val="both"/>
      </w:pPr>
      <w:r>
        <w:rPr>
          <w:color w:val="000000" w:themeColor="text1"/>
        </w:rPr>
        <w:t>[1</w:t>
      </w:r>
      <w:r w:rsidR="00B168DA">
        <w:rPr>
          <w:color w:val="000000" w:themeColor="text1"/>
        </w:rPr>
        <w:t>7</w:t>
      </w:r>
      <w:r>
        <w:rPr>
          <w:color w:val="000000" w:themeColor="text1"/>
        </w:rPr>
        <w:t xml:space="preserve">.1] </w:t>
      </w:r>
      <w:r w:rsidR="00624D72">
        <w:t xml:space="preserve">Senāts konstatē, ka saskaņā ar </w:t>
      </w:r>
      <w:r w:rsidR="007A0C65">
        <w:t>[Nosaukums]</w:t>
      </w:r>
      <w:r w:rsidR="00624D72">
        <w:t xml:space="preserve"> cietuma paziņojumu, apsūdzētais </w:t>
      </w:r>
      <w:r w:rsidR="007A0C65">
        <w:t>[pers. B]</w:t>
      </w:r>
      <w:r w:rsidR="00624D72">
        <w:t xml:space="preserve"> 2024. gada </w:t>
      </w:r>
      <w:r w:rsidR="007A0C65">
        <w:t>[..]</w:t>
      </w:r>
      <w:r w:rsidR="00624D72">
        <w:t xml:space="preserve"> ir atbrīvots no </w:t>
      </w:r>
      <w:r w:rsidR="007A0C65">
        <w:t>[Nosaukums]</w:t>
      </w:r>
      <w:r w:rsidR="00624D72">
        <w:t xml:space="preserve"> cietuma Izmeklēšanas cietuma nodaļas sakarā ar brīvības atņemšanas soda termiņa beigām pēc</w:t>
      </w:r>
      <w:r w:rsidR="007A0C65">
        <w:t xml:space="preserve"> [rajona (pilsētas)]</w:t>
      </w:r>
      <w:r w:rsidR="00624D72">
        <w:t xml:space="preserve"> tiesas 2022. gada </w:t>
      </w:r>
      <w:r w:rsidR="007A0C65">
        <w:t>[..]</w:t>
      </w:r>
      <w:r w:rsidR="00624D72">
        <w:t xml:space="preserve"> sprieduma (</w:t>
      </w:r>
      <w:r w:rsidR="00624D72" w:rsidRPr="005C5504">
        <w:rPr>
          <w:i/>
          <w:iCs/>
        </w:rPr>
        <w:t>lietas 13. sējuma 192.</w:t>
      </w:r>
      <w:r w:rsidR="00C57C6A">
        <w:rPr>
          <w:i/>
          <w:iCs/>
        </w:rPr>
        <w:t> </w:t>
      </w:r>
      <w:r w:rsidR="00624D72" w:rsidRPr="005C5504">
        <w:rPr>
          <w:i/>
          <w:iCs/>
        </w:rPr>
        <w:t>lapa</w:t>
      </w:r>
      <w:r w:rsidR="00624D72">
        <w:t>).</w:t>
      </w:r>
    </w:p>
    <w:p w14:paraId="034D8B60" w14:textId="78F3F903" w:rsidR="00624D72" w:rsidRDefault="00624D72" w:rsidP="00624D72">
      <w:pPr>
        <w:widowControl w:val="0"/>
        <w:shd w:val="clear" w:color="auto" w:fill="FFFFFF"/>
        <w:spacing w:line="276" w:lineRule="auto"/>
        <w:ind w:firstLine="720"/>
        <w:contextualSpacing/>
        <w:jc w:val="both"/>
        <w:rPr>
          <w:b/>
          <w:bCs/>
        </w:rPr>
      </w:pPr>
      <w:r w:rsidRPr="00561852">
        <w:rPr>
          <w:rFonts w:asciiTheme="majorBidi" w:hAnsiTheme="majorBidi" w:cstheme="majorBidi"/>
          <w:shd w:val="clear" w:color="auto" w:fill="FFFFFF"/>
          <w:lang w:eastAsia="lv-LV"/>
        </w:rPr>
        <w:t>Senāts atzīst, ka drošības līdzekļa piemērošanai apsūdzētaja</w:t>
      </w:r>
      <w:r>
        <w:rPr>
          <w:rFonts w:asciiTheme="majorBidi" w:hAnsiTheme="majorBidi" w:cstheme="majorBidi"/>
          <w:shd w:val="clear" w:color="auto" w:fill="FFFFFF"/>
          <w:lang w:eastAsia="lv-LV"/>
        </w:rPr>
        <w:t>m</w:t>
      </w:r>
      <w:r w:rsidR="003057B8">
        <w:rPr>
          <w:rFonts w:asciiTheme="majorBidi" w:hAnsiTheme="majorBidi" w:cstheme="majorBidi"/>
          <w:shd w:val="clear" w:color="auto" w:fill="FFFFFF"/>
          <w:lang w:eastAsia="lv-LV"/>
        </w:rPr>
        <w:t xml:space="preserve"> </w:t>
      </w:r>
      <w:r w:rsidR="007A0C65">
        <w:t>[pers. B]</w:t>
      </w:r>
      <w:r w:rsidRPr="00561852">
        <w:rPr>
          <w:rFonts w:asciiTheme="majorBidi" w:hAnsiTheme="majorBidi" w:cstheme="majorBidi"/>
          <w:shd w:val="clear" w:color="auto" w:fill="FFFFFF"/>
          <w:lang w:eastAsia="lv-LV"/>
        </w:rPr>
        <w:t xml:space="preserve"> šajā kriminālprocesa stadijā nav tiesiska pamata.</w:t>
      </w:r>
    </w:p>
    <w:p w14:paraId="6B14EBDE" w14:textId="1362590C" w:rsidR="00D04B03" w:rsidRDefault="00A8035E" w:rsidP="003057B8">
      <w:pPr>
        <w:spacing w:after="0" w:line="276" w:lineRule="auto"/>
        <w:ind w:firstLine="720"/>
        <w:contextualSpacing/>
        <w:jc w:val="both"/>
        <w:rPr>
          <w:color w:val="000000" w:themeColor="text1"/>
        </w:rPr>
      </w:pPr>
      <w:r>
        <w:rPr>
          <w:color w:val="000000" w:themeColor="text1"/>
        </w:rPr>
        <w:t>[1</w:t>
      </w:r>
      <w:r w:rsidR="00B168DA">
        <w:rPr>
          <w:color w:val="000000" w:themeColor="text1"/>
        </w:rPr>
        <w:t>7</w:t>
      </w:r>
      <w:r>
        <w:rPr>
          <w:color w:val="000000" w:themeColor="text1"/>
        </w:rPr>
        <w:t xml:space="preserve">.2] </w:t>
      </w:r>
      <w:r w:rsidR="009E4B3F">
        <w:rPr>
          <w:color w:val="000000" w:themeColor="text1"/>
        </w:rPr>
        <w:t>A</w:t>
      </w:r>
      <w:r w:rsidR="00D65EC7">
        <w:rPr>
          <w:color w:val="000000" w:themeColor="text1"/>
        </w:rPr>
        <w:t xml:space="preserve">psūdzētajiem </w:t>
      </w:r>
      <w:r w:rsidR="007A0C65">
        <w:t>[pers. A]</w:t>
      </w:r>
      <w:r w:rsidR="00D65EC7">
        <w:rPr>
          <w:color w:val="000000" w:themeColor="text1"/>
        </w:rPr>
        <w:t xml:space="preserve"> piemēroti drošības līdzekļi – uzturēšanās noteiktā vietā un aizliegums tuvoties noteiktai personai</w:t>
      </w:r>
      <w:r w:rsidR="003057B8">
        <w:rPr>
          <w:color w:val="000000" w:themeColor="text1"/>
        </w:rPr>
        <w:t xml:space="preserve"> –</w:t>
      </w:r>
      <w:r w:rsidR="00D65EC7">
        <w:rPr>
          <w:color w:val="000000" w:themeColor="text1"/>
        </w:rPr>
        <w:t>,</w:t>
      </w:r>
      <w:r w:rsidR="009E4B3F">
        <w:rPr>
          <w:color w:val="000000" w:themeColor="text1"/>
        </w:rPr>
        <w:t xml:space="preserve"> </w:t>
      </w:r>
      <w:r w:rsidR="00D65EC7">
        <w:rPr>
          <w:color w:val="000000" w:themeColor="text1"/>
        </w:rPr>
        <w:t>kuri ar pirmās un apelācijas instances tiesas spriedumu atstāti negrozīti.</w:t>
      </w:r>
    </w:p>
    <w:p w14:paraId="5842186C" w14:textId="4C79E588" w:rsidR="00A4555E" w:rsidRDefault="00D65EC7" w:rsidP="00323EA2">
      <w:pPr>
        <w:spacing w:after="0" w:line="276" w:lineRule="auto"/>
        <w:ind w:firstLine="720"/>
        <w:contextualSpacing/>
        <w:jc w:val="both"/>
        <w:rPr>
          <w:color w:val="000000" w:themeColor="text1"/>
        </w:rPr>
      </w:pPr>
      <w:r w:rsidRPr="00D65EC7">
        <w:rPr>
          <w:color w:val="000000" w:themeColor="text1"/>
        </w:rPr>
        <w:t>Senāts atzīst, ka apsūdzētaj</w:t>
      </w:r>
      <w:r w:rsidR="009E4B3F">
        <w:rPr>
          <w:color w:val="000000" w:themeColor="text1"/>
        </w:rPr>
        <w:t>a</w:t>
      </w:r>
      <w:r w:rsidRPr="00D65EC7">
        <w:rPr>
          <w:color w:val="000000" w:themeColor="text1"/>
        </w:rPr>
        <w:t xml:space="preserve">m </w:t>
      </w:r>
      <w:r w:rsidR="007A0C65">
        <w:t>[pers. A]</w:t>
      </w:r>
      <w:r w:rsidR="00624D72">
        <w:rPr>
          <w:color w:val="000000" w:themeColor="text1"/>
        </w:rPr>
        <w:t xml:space="preserve"> </w:t>
      </w:r>
      <w:r w:rsidRPr="00D65EC7">
        <w:rPr>
          <w:color w:val="000000" w:themeColor="text1"/>
        </w:rPr>
        <w:t>noteikto drošības līdzekļu piemērošana turpināma</w:t>
      </w:r>
      <w:r>
        <w:rPr>
          <w:color w:val="000000" w:themeColor="text1"/>
        </w:rPr>
        <w:t xml:space="preserve">, </w:t>
      </w:r>
      <w:r w:rsidRPr="00D65EC7">
        <w:rPr>
          <w:color w:val="000000" w:themeColor="text1"/>
        </w:rPr>
        <w:t>jo nav zudis vai mainījies t</w:t>
      </w:r>
      <w:r>
        <w:rPr>
          <w:color w:val="000000" w:themeColor="text1"/>
        </w:rPr>
        <w:t>o</w:t>
      </w:r>
      <w:r w:rsidRPr="00D65EC7">
        <w:rPr>
          <w:color w:val="000000" w:themeColor="text1"/>
        </w:rPr>
        <w:t xml:space="preserve"> piemērošanas pamats</w:t>
      </w:r>
      <w:r>
        <w:rPr>
          <w:color w:val="000000" w:themeColor="text1"/>
        </w:rPr>
        <w:t>.</w:t>
      </w:r>
      <w:r w:rsidRPr="00D65EC7">
        <w:rPr>
          <w:color w:val="000000" w:themeColor="text1"/>
        </w:rPr>
        <w:t xml:space="preserve"> Piemērotie drošības līdzekļi atzīstami par samērīgiem</w:t>
      </w:r>
      <w:r w:rsidR="00485998">
        <w:rPr>
          <w:color w:val="000000" w:themeColor="text1"/>
        </w:rPr>
        <w:t>.</w:t>
      </w:r>
      <w:r>
        <w:rPr>
          <w:color w:val="000000" w:themeColor="text1"/>
        </w:rPr>
        <w:t xml:space="preserve"> </w:t>
      </w:r>
    </w:p>
    <w:p w14:paraId="71951404" w14:textId="6B46A6FC" w:rsidR="00061FF7" w:rsidRDefault="009E4B3F" w:rsidP="009E4B3F">
      <w:pPr>
        <w:spacing w:after="0" w:line="276" w:lineRule="auto"/>
        <w:ind w:firstLine="720"/>
        <w:contextualSpacing/>
        <w:jc w:val="both"/>
        <w:rPr>
          <w:color w:val="000000" w:themeColor="text1"/>
        </w:rPr>
      </w:pPr>
      <w:r>
        <w:rPr>
          <w:color w:val="000000" w:themeColor="text1"/>
        </w:rPr>
        <w:t>[1</w:t>
      </w:r>
      <w:r w:rsidR="00B168DA">
        <w:rPr>
          <w:color w:val="000000" w:themeColor="text1"/>
        </w:rPr>
        <w:t>7</w:t>
      </w:r>
      <w:r>
        <w:rPr>
          <w:color w:val="000000" w:themeColor="text1"/>
        </w:rPr>
        <w:t>.3] A</w:t>
      </w:r>
      <w:r w:rsidR="003057B8">
        <w:rPr>
          <w:color w:val="000000" w:themeColor="text1"/>
        </w:rPr>
        <w:t>rī a</w:t>
      </w:r>
      <w:r w:rsidR="00AA1B63">
        <w:rPr>
          <w:color w:val="000000" w:themeColor="text1"/>
        </w:rPr>
        <w:t xml:space="preserve">psūdzētajam </w:t>
      </w:r>
      <w:r w:rsidR="007A0C65">
        <w:t>[pers. C]</w:t>
      </w:r>
      <w:r w:rsidR="00AA1B63">
        <w:rPr>
          <w:color w:val="000000" w:themeColor="text1"/>
        </w:rPr>
        <w:t xml:space="preserve"> piemēroti drošības līdzekļi – uzturēšanās noteiktā vietā un aizliegums tuvoties noteiktai personai </w:t>
      </w:r>
      <w:r>
        <w:rPr>
          <w:color w:val="000000" w:themeColor="text1"/>
        </w:rPr>
        <w:t>–, kuri ar pirmās un apelācijas instances tiesas spriedumu atstāti negrozīti.</w:t>
      </w:r>
    </w:p>
    <w:p w14:paraId="15063CAE" w14:textId="3AF37FD1" w:rsidR="001116ED" w:rsidRDefault="004D5B6F" w:rsidP="00AA1B63">
      <w:pPr>
        <w:spacing w:after="0" w:line="276" w:lineRule="auto"/>
        <w:ind w:firstLine="720"/>
        <w:contextualSpacing/>
        <w:jc w:val="both"/>
        <w:rPr>
          <w:color w:val="000000" w:themeColor="text1"/>
        </w:rPr>
      </w:pPr>
      <w:r>
        <w:rPr>
          <w:color w:val="000000" w:themeColor="text1"/>
        </w:rPr>
        <w:t xml:space="preserve">Ņemot vērā, ka lietas iztiesāšanas laikā apsūdzētajam </w:t>
      </w:r>
      <w:r w:rsidR="007A0C65">
        <w:t>[pers. C]</w:t>
      </w:r>
      <w:r>
        <w:rPr>
          <w:color w:val="000000" w:themeColor="text1"/>
        </w:rPr>
        <w:t xml:space="preserve"> konstatēti organiski uzvedības un personības traucējumi, pirmās instances tiesa </w:t>
      </w:r>
      <w:r w:rsidR="001116ED">
        <w:rPr>
          <w:color w:val="000000" w:themeColor="text1"/>
        </w:rPr>
        <w:t xml:space="preserve"> </w:t>
      </w:r>
      <w:r>
        <w:rPr>
          <w:color w:val="000000" w:themeColor="text1"/>
        </w:rPr>
        <w:t xml:space="preserve">apsūdzētajam </w:t>
      </w:r>
      <w:r w:rsidR="007A0C65">
        <w:t>[pers. C]</w:t>
      </w:r>
      <w:r w:rsidR="001116ED">
        <w:rPr>
          <w:color w:val="000000" w:themeColor="text1"/>
        </w:rPr>
        <w:t xml:space="preserve"> </w:t>
      </w:r>
      <w:r>
        <w:rPr>
          <w:color w:val="000000" w:themeColor="text1"/>
        </w:rPr>
        <w:t xml:space="preserve">noteikusi </w:t>
      </w:r>
      <w:r w:rsidR="001116ED">
        <w:rPr>
          <w:color w:val="000000" w:themeColor="text1"/>
        </w:rPr>
        <w:t xml:space="preserve">medicīniska rakstura piespiedu līdzekli – </w:t>
      </w:r>
      <w:r>
        <w:rPr>
          <w:color w:val="000000" w:themeColor="text1"/>
        </w:rPr>
        <w:t xml:space="preserve">ārstēšanos </w:t>
      </w:r>
      <w:r w:rsidR="001116ED">
        <w:rPr>
          <w:color w:val="000000" w:themeColor="text1"/>
        </w:rPr>
        <w:t>vispārējā tipa psihiatriskajā slimnīcā (nodaļā).</w:t>
      </w:r>
      <w:r w:rsidR="00061FF7">
        <w:rPr>
          <w:color w:val="000000" w:themeColor="text1"/>
        </w:rPr>
        <w:t xml:space="preserve"> </w:t>
      </w:r>
    </w:p>
    <w:p w14:paraId="27698E2B" w14:textId="15F186C6" w:rsidR="00373E53" w:rsidRDefault="004D5B6F" w:rsidP="00A1098F">
      <w:pPr>
        <w:spacing w:after="0" w:line="276" w:lineRule="auto"/>
        <w:ind w:firstLine="720"/>
        <w:contextualSpacing/>
        <w:jc w:val="both"/>
        <w:rPr>
          <w:color w:val="000000" w:themeColor="text1"/>
        </w:rPr>
      </w:pPr>
      <w:r>
        <w:rPr>
          <w:color w:val="000000" w:themeColor="text1"/>
        </w:rPr>
        <w:lastRenderedPageBreak/>
        <w:t>Saskaņā ar</w:t>
      </w:r>
      <w:r w:rsidR="00373E53" w:rsidRPr="00373E53">
        <w:rPr>
          <w:color w:val="000000" w:themeColor="text1"/>
        </w:rPr>
        <w:t xml:space="preserve"> Kriminālprocesa likuma 599.</w:t>
      </w:r>
      <w:r w:rsidR="00373E53">
        <w:rPr>
          <w:color w:val="000000" w:themeColor="text1"/>
        </w:rPr>
        <w:t> </w:t>
      </w:r>
      <w:r w:rsidR="00373E53" w:rsidRPr="00373E53">
        <w:rPr>
          <w:color w:val="000000" w:themeColor="text1"/>
        </w:rPr>
        <w:t>panta pirmo daļu,</w:t>
      </w:r>
      <w:r w:rsidR="009E4B3F">
        <w:rPr>
          <w:color w:val="000000" w:themeColor="text1"/>
        </w:rPr>
        <w:t xml:space="preserve"> </w:t>
      </w:r>
      <w:r w:rsidR="00373E53" w:rsidRPr="00373E53">
        <w:rPr>
          <w:color w:val="000000" w:themeColor="text1"/>
        </w:rPr>
        <w:t xml:space="preserve">uzsākot procesu medicīniska rakstura piespiedu līdzekļu noteikšanai, personai izraudzītais drošības līdzeklis jāatceļ. </w:t>
      </w:r>
    </w:p>
    <w:p w14:paraId="24A25888" w14:textId="38EC69BE" w:rsidR="00A1098F" w:rsidRDefault="004D5B6F" w:rsidP="00A1098F">
      <w:pPr>
        <w:spacing w:after="0" w:line="276" w:lineRule="auto"/>
        <w:ind w:firstLine="720"/>
        <w:contextualSpacing/>
        <w:jc w:val="both"/>
        <w:rPr>
          <w:color w:val="000000" w:themeColor="text1"/>
        </w:rPr>
      </w:pPr>
      <w:r>
        <w:rPr>
          <w:color w:val="000000" w:themeColor="text1"/>
        </w:rPr>
        <w:t>Ievērojot minēto</w:t>
      </w:r>
      <w:r w:rsidR="00A1098F">
        <w:rPr>
          <w:color w:val="000000" w:themeColor="text1"/>
        </w:rPr>
        <w:t>, Senāts atzīst, ka</w:t>
      </w:r>
      <w:r>
        <w:rPr>
          <w:color w:val="000000" w:themeColor="text1"/>
        </w:rPr>
        <w:t xml:space="preserve">, nosakot apsūdzētajam </w:t>
      </w:r>
      <w:r w:rsidR="007A0C65">
        <w:t xml:space="preserve">[pers. C] </w:t>
      </w:r>
      <w:r>
        <w:rPr>
          <w:color w:val="000000" w:themeColor="text1"/>
        </w:rPr>
        <w:t>medicīniska rakstura piespiedu līdzekli,</w:t>
      </w:r>
      <w:r w:rsidR="00485998">
        <w:rPr>
          <w:color w:val="000000" w:themeColor="text1"/>
        </w:rPr>
        <w:t xml:space="preserve"> </w:t>
      </w:r>
      <w:r>
        <w:rPr>
          <w:color w:val="000000" w:themeColor="text1"/>
        </w:rPr>
        <w:t xml:space="preserve">viņam piemēroto </w:t>
      </w:r>
      <w:r w:rsidR="00A1098F">
        <w:rPr>
          <w:color w:val="000000" w:themeColor="text1"/>
        </w:rPr>
        <w:t xml:space="preserve">drošības līdzekļu </w:t>
      </w:r>
      <w:r>
        <w:rPr>
          <w:color w:val="000000" w:themeColor="text1"/>
        </w:rPr>
        <w:t xml:space="preserve">turpmākai </w:t>
      </w:r>
      <w:r w:rsidR="00A1098F">
        <w:rPr>
          <w:color w:val="000000" w:themeColor="text1"/>
        </w:rPr>
        <w:t>piemērošanai nav tiesiska pamata</w:t>
      </w:r>
      <w:r>
        <w:rPr>
          <w:color w:val="000000" w:themeColor="text1"/>
        </w:rPr>
        <w:t xml:space="preserve"> un tie ir atceļami. </w:t>
      </w:r>
    </w:p>
    <w:p w14:paraId="3D386780" w14:textId="77777777" w:rsidR="00D04B03" w:rsidRDefault="00D04B03" w:rsidP="005B1715">
      <w:pPr>
        <w:spacing w:after="0" w:line="276" w:lineRule="auto"/>
        <w:contextualSpacing/>
        <w:rPr>
          <w:b/>
          <w:bCs/>
        </w:rPr>
      </w:pPr>
    </w:p>
    <w:p w14:paraId="58B6228D" w14:textId="2D8EBEFF" w:rsidR="00EA1CE4" w:rsidRDefault="00EA1CE4" w:rsidP="00EA1CE4">
      <w:pPr>
        <w:spacing w:after="0" w:line="276" w:lineRule="auto"/>
        <w:jc w:val="center"/>
        <w:rPr>
          <w:b/>
          <w:bCs/>
        </w:rPr>
      </w:pPr>
      <w:r w:rsidRPr="00EA1CE4">
        <w:rPr>
          <w:b/>
          <w:bCs/>
        </w:rPr>
        <w:t>Rezolutīvā daļa</w:t>
      </w:r>
    </w:p>
    <w:p w14:paraId="3F3C380F" w14:textId="77777777" w:rsidR="00EA1CE4" w:rsidRDefault="00EA1CE4" w:rsidP="00EA1CE4">
      <w:pPr>
        <w:spacing w:after="0" w:line="276" w:lineRule="auto"/>
        <w:jc w:val="center"/>
        <w:rPr>
          <w:b/>
          <w:bCs/>
        </w:rPr>
      </w:pPr>
    </w:p>
    <w:p w14:paraId="1034DDB5" w14:textId="15519332" w:rsidR="00EA1CE4" w:rsidRDefault="00EA1CE4" w:rsidP="00EA1CE4">
      <w:pPr>
        <w:spacing w:after="0" w:line="276" w:lineRule="auto"/>
        <w:ind w:firstLine="720"/>
        <w:jc w:val="both"/>
      </w:pPr>
      <w:r>
        <w:t>Pamatojoties uz Kriminālprocesa likuma 585. pantu un 587. panta pirmās daļas 2. punktu, Senāts</w:t>
      </w:r>
    </w:p>
    <w:p w14:paraId="1784F886" w14:textId="77777777" w:rsidR="00EA1CE4" w:rsidRDefault="00EA1CE4" w:rsidP="00EA1CE4">
      <w:pPr>
        <w:spacing w:after="0" w:line="276" w:lineRule="auto"/>
        <w:ind w:firstLine="720"/>
        <w:jc w:val="both"/>
      </w:pPr>
    </w:p>
    <w:p w14:paraId="00F31022" w14:textId="740570A3" w:rsidR="00EA1CE4" w:rsidRPr="00EA1CE4" w:rsidRDefault="00EA1CE4" w:rsidP="00EA1CE4">
      <w:pPr>
        <w:spacing w:after="0" w:line="276" w:lineRule="auto"/>
        <w:ind w:firstLine="720"/>
        <w:jc w:val="center"/>
        <w:rPr>
          <w:b/>
          <w:bCs/>
        </w:rPr>
      </w:pPr>
      <w:r w:rsidRPr="00EA1CE4">
        <w:rPr>
          <w:b/>
          <w:bCs/>
        </w:rPr>
        <w:t>nolēma</w:t>
      </w:r>
    </w:p>
    <w:p w14:paraId="4A3127EF" w14:textId="77777777" w:rsidR="00EA1CE4" w:rsidRDefault="00EA1CE4" w:rsidP="00EA1CE4">
      <w:pPr>
        <w:spacing w:after="0" w:line="276" w:lineRule="auto"/>
        <w:ind w:firstLine="720"/>
        <w:jc w:val="center"/>
      </w:pPr>
    </w:p>
    <w:p w14:paraId="4E9E8F6F" w14:textId="0F137CC8" w:rsidR="003F4D68" w:rsidRPr="00323EA2" w:rsidRDefault="00EA1CE4" w:rsidP="00EA1CE4">
      <w:pPr>
        <w:spacing w:after="0" w:line="276" w:lineRule="auto"/>
        <w:ind w:firstLine="720"/>
        <w:jc w:val="both"/>
        <w:rPr>
          <w:rFonts w:asciiTheme="majorBidi" w:hAnsiTheme="majorBidi" w:cstheme="majorBidi"/>
        </w:rPr>
      </w:pPr>
      <w:r w:rsidRPr="00323EA2">
        <w:rPr>
          <w:rFonts w:asciiTheme="majorBidi" w:hAnsiTheme="majorBidi" w:cstheme="majorBidi"/>
        </w:rPr>
        <w:t xml:space="preserve">atcelt </w:t>
      </w:r>
      <w:r w:rsidR="007A0C65">
        <w:rPr>
          <w:rFonts w:asciiTheme="majorBidi" w:hAnsiTheme="majorBidi" w:cstheme="majorBidi"/>
        </w:rPr>
        <w:t>[..]</w:t>
      </w:r>
      <w:r w:rsidRPr="00323EA2">
        <w:rPr>
          <w:rFonts w:asciiTheme="majorBidi" w:hAnsiTheme="majorBidi" w:cstheme="majorBidi"/>
        </w:rPr>
        <w:t xml:space="preserve"> apgabaltiesas</w:t>
      </w:r>
      <w:r w:rsidR="003851E5" w:rsidRPr="00323EA2">
        <w:rPr>
          <w:rFonts w:asciiTheme="majorBidi" w:hAnsiTheme="majorBidi" w:cstheme="majorBidi"/>
        </w:rPr>
        <w:t xml:space="preserve"> 2024. gada </w:t>
      </w:r>
      <w:r w:rsidR="007A0C65">
        <w:rPr>
          <w:rFonts w:asciiTheme="majorBidi" w:hAnsiTheme="majorBidi" w:cstheme="majorBidi"/>
        </w:rPr>
        <w:t xml:space="preserve">[..] </w:t>
      </w:r>
      <w:r w:rsidR="003851E5" w:rsidRPr="00323EA2">
        <w:rPr>
          <w:rFonts w:asciiTheme="majorBidi" w:hAnsiTheme="majorBidi" w:cstheme="majorBidi"/>
        </w:rPr>
        <w:t xml:space="preserve">spriedumu pilnībā un lietu nosūtīt jaunai izskatīšanai </w:t>
      </w:r>
      <w:r w:rsidR="007A0C65">
        <w:rPr>
          <w:rFonts w:asciiTheme="majorBidi" w:hAnsiTheme="majorBidi" w:cstheme="majorBidi"/>
        </w:rPr>
        <w:t>[..]</w:t>
      </w:r>
      <w:r w:rsidR="003851E5" w:rsidRPr="00323EA2">
        <w:rPr>
          <w:rFonts w:asciiTheme="majorBidi" w:hAnsiTheme="majorBidi" w:cstheme="majorBidi"/>
        </w:rPr>
        <w:t xml:space="preserve"> apgabaltiesā</w:t>
      </w:r>
      <w:r w:rsidR="003F4D68" w:rsidRPr="00323EA2">
        <w:rPr>
          <w:rFonts w:asciiTheme="majorBidi" w:hAnsiTheme="majorBidi" w:cstheme="majorBidi"/>
        </w:rPr>
        <w:t>;</w:t>
      </w:r>
    </w:p>
    <w:p w14:paraId="36859443" w14:textId="50B6EA98" w:rsidR="00D65EC7" w:rsidRPr="00323EA2" w:rsidRDefault="00D65EC7" w:rsidP="00EA1CE4">
      <w:pPr>
        <w:spacing w:after="0" w:line="276" w:lineRule="auto"/>
        <w:ind w:firstLine="720"/>
        <w:jc w:val="both"/>
        <w:rPr>
          <w:rFonts w:asciiTheme="majorBidi" w:hAnsiTheme="majorBidi" w:cstheme="majorBidi"/>
        </w:rPr>
      </w:pPr>
      <w:r w:rsidRPr="00323EA2">
        <w:rPr>
          <w:rFonts w:asciiTheme="majorBidi" w:hAnsiTheme="majorBidi" w:cstheme="majorBidi"/>
        </w:rPr>
        <w:t xml:space="preserve">apsūdzētajam </w:t>
      </w:r>
      <w:r w:rsidR="007A0C65">
        <w:t>[pers. A]</w:t>
      </w:r>
      <w:r w:rsidRPr="00323EA2">
        <w:rPr>
          <w:rFonts w:asciiTheme="majorBidi" w:hAnsiTheme="majorBidi" w:cstheme="majorBidi"/>
        </w:rPr>
        <w:t xml:space="preserve"> turpināt piemērot drošības līdzekļus </w:t>
      </w:r>
      <w:r w:rsidR="00A711AB" w:rsidRPr="00323EA2">
        <w:rPr>
          <w:rFonts w:asciiTheme="majorBidi" w:hAnsiTheme="majorBidi" w:cstheme="majorBidi"/>
        </w:rPr>
        <w:t>–</w:t>
      </w:r>
      <w:r w:rsidRPr="00323EA2">
        <w:rPr>
          <w:rFonts w:asciiTheme="majorBidi" w:hAnsiTheme="majorBidi" w:cstheme="majorBidi"/>
        </w:rPr>
        <w:t xml:space="preserve"> </w:t>
      </w:r>
      <w:r w:rsidR="00A711AB" w:rsidRPr="00323EA2">
        <w:rPr>
          <w:rFonts w:asciiTheme="majorBidi" w:hAnsiTheme="majorBidi" w:cstheme="majorBidi"/>
        </w:rPr>
        <w:t>uzturēšanos noteiktā vietā un aizliegumu izbraukt no valsts;</w:t>
      </w:r>
    </w:p>
    <w:p w14:paraId="45746550" w14:textId="645731C2" w:rsidR="00A711AB" w:rsidRPr="00323EA2" w:rsidRDefault="00A711AB" w:rsidP="00A711AB">
      <w:pPr>
        <w:spacing w:after="0" w:line="276" w:lineRule="auto"/>
        <w:ind w:firstLine="720"/>
        <w:jc w:val="both"/>
        <w:rPr>
          <w:rFonts w:asciiTheme="majorBidi" w:hAnsiTheme="majorBidi" w:cstheme="majorBidi"/>
        </w:rPr>
      </w:pPr>
      <w:r w:rsidRPr="00323EA2">
        <w:rPr>
          <w:rFonts w:asciiTheme="majorBidi" w:hAnsiTheme="majorBidi" w:cstheme="majorBidi"/>
        </w:rPr>
        <w:t xml:space="preserve">apsūdzētajam </w:t>
      </w:r>
      <w:r w:rsidR="007A0C65">
        <w:t>[pers. C]</w:t>
      </w:r>
      <w:r w:rsidRPr="00323EA2">
        <w:rPr>
          <w:rFonts w:asciiTheme="majorBidi" w:hAnsiTheme="majorBidi" w:cstheme="majorBidi"/>
          <w:kern w:val="0"/>
        </w:rPr>
        <w:t xml:space="preserve"> </w:t>
      </w:r>
      <w:r w:rsidR="00061FF7">
        <w:rPr>
          <w:rFonts w:asciiTheme="majorBidi" w:hAnsiTheme="majorBidi" w:cstheme="majorBidi"/>
        </w:rPr>
        <w:t>atcelt piemērotos</w:t>
      </w:r>
      <w:r w:rsidRPr="00323EA2">
        <w:rPr>
          <w:rFonts w:asciiTheme="majorBidi" w:hAnsiTheme="majorBidi" w:cstheme="majorBidi"/>
        </w:rPr>
        <w:t xml:space="preserve"> drošības līdzekļus – uzturēšanos noteiktā vietā un aizliegumu izbraukt no valsts.</w:t>
      </w:r>
    </w:p>
    <w:p w14:paraId="58753514" w14:textId="77777777" w:rsidR="00C512A8" w:rsidRDefault="00C512A8" w:rsidP="00A711AB">
      <w:pPr>
        <w:spacing w:after="0" w:line="276" w:lineRule="auto"/>
        <w:jc w:val="both"/>
      </w:pPr>
    </w:p>
    <w:p w14:paraId="7DD2D116" w14:textId="25EB1F73" w:rsidR="00117277" w:rsidRPr="00EA1CE4" w:rsidRDefault="003851E5" w:rsidP="000259BA">
      <w:pPr>
        <w:spacing w:after="0" w:line="276" w:lineRule="auto"/>
        <w:ind w:firstLine="720"/>
        <w:jc w:val="both"/>
      </w:pPr>
      <w:r>
        <w:t>Lēmums nav pārsūdzams.</w:t>
      </w:r>
    </w:p>
    <w:sectPr w:rsidR="00117277" w:rsidRPr="00EA1CE4" w:rsidSect="004458AC">
      <w:footerReference w:type="default" r:id="rId16"/>
      <w:pgSz w:w="11906" w:h="16838"/>
      <w:pgMar w:top="993"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B9654" w14:textId="77777777" w:rsidR="009B0C12" w:rsidRDefault="009B0C12" w:rsidP="006633DF">
      <w:pPr>
        <w:spacing w:after="0" w:line="240" w:lineRule="auto"/>
      </w:pPr>
      <w:r>
        <w:separator/>
      </w:r>
    </w:p>
  </w:endnote>
  <w:endnote w:type="continuationSeparator" w:id="0">
    <w:p w14:paraId="0FE37BCE" w14:textId="77777777" w:rsidR="009B0C12" w:rsidRDefault="009B0C12" w:rsidP="00663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869281"/>
      <w:docPartObj>
        <w:docPartGallery w:val="Page Numbers (Bottom of Page)"/>
        <w:docPartUnique/>
      </w:docPartObj>
    </w:sdtPr>
    <w:sdtEndPr/>
    <w:sdtContent>
      <w:sdt>
        <w:sdtPr>
          <w:id w:val="1728636285"/>
          <w:docPartObj>
            <w:docPartGallery w:val="Page Numbers (Top of Page)"/>
            <w:docPartUnique/>
          </w:docPartObj>
        </w:sdtPr>
        <w:sdtEndPr/>
        <w:sdtContent>
          <w:p w14:paraId="0AC1BA1B" w14:textId="5D29E36E" w:rsidR="00EE42B1" w:rsidRDefault="00EE42B1">
            <w:pPr>
              <w:pStyle w:val="Footer"/>
              <w:jc w:val="center"/>
            </w:pPr>
            <w:r w:rsidRPr="00EE42B1">
              <w:rPr>
                <w:sz w:val="20"/>
                <w:szCs w:val="20"/>
              </w:rPr>
              <w:fldChar w:fldCharType="begin"/>
            </w:r>
            <w:r w:rsidRPr="00EE42B1">
              <w:rPr>
                <w:sz w:val="20"/>
                <w:szCs w:val="20"/>
              </w:rPr>
              <w:instrText xml:space="preserve"> PAGE </w:instrText>
            </w:r>
            <w:r w:rsidRPr="00EE42B1">
              <w:rPr>
                <w:sz w:val="20"/>
                <w:szCs w:val="20"/>
              </w:rPr>
              <w:fldChar w:fldCharType="separate"/>
            </w:r>
            <w:r w:rsidRPr="00EE42B1">
              <w:rPr>
                <w:noProof/>
                <w:sz w:val="20"/>
                <w:szCs w:val="20"/>
              </w:rPr>
              <w:t>2</w:t>
            </w:r>
            <w:r w:rsidRPr="00EE42B1">
              <w:rPr>
                <w:sz w:val="20"/>
                <w:szCs w:val="20"/>
              </w:rPr>
              <w:fldChar w:fldCharType="end"/>
            </w:r>
            <w:r w:rsidRPr="00EE42B1">
              <w:rPr>
                <w:sz w:val="20"/>
                <w:szCs w:val="20"/>
              </w:rPr>
              <w:t xml:space="preserve"> no </w:t>
            </w:r>
            <w:r w:rsidRPr="00EE42B1">
              <w:rPr>
                <w:sz w:val="20"/>
                <w:szCs w:val="20"/>
              </w:rPr>
              <w:fldChar w:fldCharType="begin"/>
            </w:r>
            <w:r w:rsidRPr="00EE42B1">
              <w:rPr>
                <w:sz w:val="20"/>
                <w:szCs w:val="20"/>
              </w:rPr>
              <w:instrText xml:space="preserve"> NUMPAGES  </w:instrText>
            </w:r>
            <w:r w:rsidRPr="00EE42B1">
              <w:rPr>
                <w:sz w:val="20"/>
                <w:szCs w:val="20"/>
              </w:rPr>
              <w:fldChar w:fldCharType="separate"/>
            </w:r>
            <w:r w:rsidRPr="00EE42B1">
              <w:rPr>
                <w:noProof/>
                <w:sz w:val="20"/>
                <w:szCs w:val="20"/>
              </w:rPr>
              <w:t>2</w:t>
            </w:r>
            <w:r w:rsidRPr="00EE42B1">
              <w:rPr>
                <w:sz w:val="20"/>
                <w:szCs w:val="20"/>
              </w:rPr>
              <w:fldChar w:fldCharType="end"/>
            </w:r>
          </w:p>
        </w:sdtContent>
      </w:sdt>
    </w:sdtContent>
  </w:sdt>
  <w:p w14:paraId="4B0CC084" w14:textId="77777777" w:rsidR="006633DF" w:rsidRDefault="00663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8F142" w14:textId="77777777" w:rsidR="009B0C12" w:rsidRDefault="009B0C12" w:rsidP="006633DF">
      <w:pPr>
        <w:spacing w:after="0" w:line="240" w:lineRule="auto"/>
      </w:pPr>
      <w:r>
        <w:separator/>
      </w:r>
    </w:p>
  </w:footnote>
  <w:footnote w:type="continuationSeparator" w:id="0">
    <w:p w14:paraId="25041D74" w14:textId="77777777" w:rsidR="009B0C12" w:rsidRDefault="009B0C12" w:rsidP="006633DF">
      <w:pPr>
        <w:spacing w:after="0" w:line="240" w:lineRule="auto"/>
      </w:pPr>
      <w:r>
        <w:continuationSeparator/>
      </w:r>
    </w:p>
  </w:footnote>
  <w:footnote w:id="1">
    <w:p w14:paraId="068ABBA6" w14:textId="77777777" w:rsidR="00F2189D" w:rsidRDefault="00F2189D" w:rsidP="00F2189D">
      <w:pPr>
        <w:pStyle w:val="FootnoteText"/>
      </w:pPr>
      <w:r>
        <w:rPr>
          <w:rStyle w:val="FootnoteReference"/>
        </w:rPr>
        <w:footnoteRef/>
      </w:r>
      <w:r>
        <w:t xml:space="preserve"> </w:t>
      </w:r>
      <w:r w:rsidRPr="00916120">
        <w:t>Slēgtas lietas statuss.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D2E9A5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F36FCA"/>
    <w:multiLevelType w:val="multilevel"/>
    <w:tmpl w:val="CD62A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5B7767"/>
    <w:multiLevelType w:val="hybridMultilevel"/>
    <w:tmpl w:val="7EA62A2A"/>
    <w:lvl w:ilvl="0" w:tplc="4C9A3A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79B4D21"/>
    <w:multiLevelType w:val="hybridMultilevel"/>
    <w:tmpl w:val="692AF57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26F7E"/>
    <w:multiLevelType w:val="hybridMultilevel"/>
    <w:tmpl w:val="256E4030"/>
    <w:lvl w:ilvl="0" w:tplc="D946FB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4041E6"/>
    <w:multiLevelType w:val="hybridMultilevel"/>
    <w:tmpl w:val="EB0CF0EE"/>
    <w:lvl w:ilvl="0" w:tplc="079E7FD8">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58062BD"/>
    <w:multiLevelType w:val="hybridMultilevel"/>
    <w:tmpl w:val="95044C0E"/>
    <w:lvl w:ilvl="0" w:tplc="85E651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36D1D75"/>
    <w:multiLevelType w:val="hybridMultilevel"/>
    <w:tmpl w:val="71FC3818"/>
    <w:lvl w:ilvl="0" w:tplc="37A4025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39C1A96"/>
    <w:multiLevelType w:val="hybridMultilevel"/>
    <w:tmpl w:val="11DC6EF2"/>
    <w:lvl w:ilvl="0" w:tplc="795888E4">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398A1EDF"/>
    <w:multiLevelType w:val="hybridMultilevel"/>
    <w:tmpl w:val="80C23BCC"/>
    <w:lvl w:ilvl="0" w:tplc="04090011">
      <w:start w:val="1"/>
      <w:numFmt w:val="decimal"/>
      <w:lvlText w:val="%1)"/>
      <w:lvlJc w:val="left"/>
      <w:pPr>
        <w:ind w:left="720" w:hanging="360"/>
      </w:pPr>
      <w:rPr>
        <w:rFonts w:hint="default"/>
      </w:rPr>
    </w:lvl>
    <w:lvl w:ilvl="1" w:tplc="FFFFFFFF">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0" w15:restartNumberingAfterBreak="0">
    <w:nsid w:val="3CF41D46"/>
    <w:multiLevelType w:val="multilevel"/>
    <w:tmpl w:val="A0CC1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AF6E70"/>
    <w:multiLevelType w:val="hybridMultilevel"/>
    <w:tmpl w:val="2C204E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DE47FD"/>
    <w:multiLevelType w:val="hybridMultilevel"/>
    <w:tmpl w:val="C88069D0"/>
    <w:lvl w:ilvl="0" w:tplc="5EEE44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52B4AB7"/>
    <w:multiLevelType w:val="multilevel"/>
    <w:tmpl w:val="444A1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9D00B9"/>
    <w:multiLevelType w:val="multilevel"/>
    <w:tmpl w:val="C9F07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72357C"/>
    <w:multiLevelType w:val="hybridMultilevel"/>
    <w:tmpl w:val="1654E2BA"/>
    <w:lvl w:ilvl="0" w:tplc="5E6A82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BC62918"/>
    <w:multiLevelType w:val="hybridMultilevel"/>
    <w:tmpl w:val="2FA2BD72"/>
    <w:lvl w:ilvl="0" w:tplc="85E651A2">
      <w:start w:val="1"/>
      <w:numFmt w:val="bullet"/>
      <w:lvlText w:val=""/>
      <w:lvlJc w:val="left"/>
      <w:pPr>
        <w:ind w:left="360" w:hanging="360"/>
      </w:pPr>
      <w:rPr>
        <w:rFonts w:ascii="Symbol" w:hAnsi="Symbol" w:hint="default"/>
      </w:rPr>
    </w:lvl>
    <w:lvl w:ilvl="1" w:tplc="FFFFFFFF">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17" w15:restartNumberingAfterBreak="0">
    <w:nsid w:val="54FA4E36"/>
    <w:multiLevelType w:val="hybridMultilevel"/>
    <w:tmpl w:val="52A4CFD8"/>
    <w:lvl w:ilvl="0" w:tplc="A928172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57B46281"/>
    <w:multiLevelType w:val="hybridMultilevel"/>
    <w:tmpl w:val="E4EA8AAA"/>
    <w:lvl w:ilvl="0" w:tplc="B3847488">
      <w:start w:val="1"/>
      <w:numFmt w:val="upperLetter"/>
      <w:lvlText w:val="%1."/>
      <w:lvlJc w:val="left"/>
      <w:pPr>
        <w:ind w:left="1130" w:hanging="36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9" w15:restartNumberingAfterBreak="0">
    <w:nsid w:val="583E0767"/>
    <w:multiLevelType w:val="hybridMultilevel"/>
    <w:tmpl w:val="92E2674A"/>
    <w:lvl w:ilvl="0" w:tplc="85742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DE97044"/>
    <w:multiLevelType w:val="multilevel"/>
    <w:tmpl w:val="5B542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B95602"/>
    <w:multiLevelType w:val="hybridMultilevel"/>
    <w:tmpl w:val="8C621178"/>
    <w:lvl w:ilvl="0" w:tplc="390A9A30">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2" w15:restartNumberingAfterBreak="0">
    <w:nsid w:val="6EF33319"/>
    <w:multiLevelType w:val="hybridMultilevel"/>
    <w:tmpl w:val="E4CE565A"/>
    <w:lvl w:ilvl="0" w:tplc="85E651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FA13ADA"/>
    <w:multiLevelType w:val="multilevel"/>
    <w:tmpl w:val="D5AEF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6025DA"/>
    <w:multiLevelType w:val="multilevel"/>
    <w:tmpl w:val="8AA8B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913561">
    <w:abstractNumId w:val="2"/>
  </w:num>
  <w:num w:numId="2" w16cid:durableId="603197829">
    <w:abstractNumId w:val="8"/>
  </w:num>
  <w:num w:numId="3" w16cid:durableId="632832234">
    <w:abstractNumId w:val="5"/>
  </w:num>
  <w:num w:numId="4" w16cid:durableId="113525728">
    <w:abstractNumId w:val="0"/>
  </w:num>
  <w:num w:numId="5" w16cid:durableId="1945767705">
    <w:abstractNumId w:val="17"/>
  </w:num>
  <w:num w:numId="6" w16cid:durableId="494304825">
    <w:abstractNumId w:val="12"/>
  </w:num>
  <w:num w:numId="7" w16cid:durableId="1655330016">
    <w:abstractNumId w:val="21"/>
  </w:num>
  <w:num w:numId="8" w16cid:durableId="1914730996">
    <w:abstractNumId w:val="18"/>
  </w:num>
  <w:num w:numId="9" w16cid:durableId="794328323">
    <w:abstractNumId w:val="15"/>
  </w:num>
  <w:num w:numId="10" w16cid:durableId="63915825">
    <w:abstractNumId w:val="9"/>
  </w:num>
  <w:num w:numId="11" w16cid:durableId="1510365370">
    <w:abstractNumId w:val="13"/>
  </w:num>
  <w:num w:numId="12" w16cid:durableId="764882744">
    <w:abstractNumId w:val="19"/>
  </w:num>
  <w:num w:numId="13" w16cid:durableId="736591220">
    <w:abstractNumId w:val="11"/>
  </w:num>
  <w:num w:numId="14" w16cid:durableId="104543585">
    <w:abstractNumId w:val="3"/>
  </w:num>
  <w:num w:numId="15" w16cid:durableId="185757190">
    <w:abstractNumId w:val="7"/>
  </w:num>
  <w:num w:numId="16" w16cid:durableId="775910290">
    <w:abstractNumId w:val="4"/>
  </w:num>
  <w:num w:numId="17" w16cid:durableId="1802769277">
    <w:abstractNumId w:val="10"/>
  </w:num>
  <w:num w:numId="18" w16cid:durableId="872814315">
    <w:abstractNumId w:val="22"/>
  </w:num>
  <w:num w:numId="19" w16cid:durableId="750932301">
    <w:abstractNumId w:val="23"/>
  </w:num>
  <w:num w:numId="20" w16cid:durableId="1457794641">
    <w:abstractNumId w:val="1"/>
  </w:num>
  <w:num w:numId="21" w16cid:durableId="165364384">
    <w:abstractNumId w:val="6"/>
  </w:num>
  <w:num w:numId="22" w16cid:durableId="610743400">
    <w:abstractNumId w:val="20"/>
  </w:num>
  <w:num w:numId="23" w16cid:durableId="1570916757">
    <w:abstractNumId w:val="14"/>
  </w:num>
  <w:num w:numId="24" w16cid:durableId="2035886973">
    <w:abstractNumId w:val="24"/>
  </w:num>
  <w:num w:numId="25" w16cid:durableId="9783883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377"/>
    <w:rsid w:val="00000330"/>
    <w:rsid w:val="0000060A"/>
    <w:rsid w:val="00000A2D"/>
    <w:rsid w:val="00000C46"/>
    <w:rsid w:val="000035CA"/>
    <w:rsid w:val="000042F2"/>
    <w:rsid w:val="00004470"/>
    <w:rsid w:val="000050B4"/>
    <w:rsid w:val="000054A1"/>
    <w:rsid w:val="00005E84"/>
    <w:rsid w:val="00010FDC"/>
    <w:rsid w:val="0001648F"/>
    <w:rsid w:val="00016904"/>
    <w:rsid w:val="00020E48"/>
    <w:rsid w:val="00023FEC"/>
    <w:rsid w:val="00024610"/>
    <w:rsid w:val="00025583"/>
    <w:rsid w:val="000259BA"/>
    <w:rsid w:val="00027E59"/>
    <w:rsid w:val="00032184"/>
    <w:rsid w:val="00032E07"/>
    <w:rsid w:val="00036A9A"/>
    <w:rsid w:val="00041120"/>
    <w:rsid w:val="000431F1"/>
    <w:rsid w:val="0004479B"/>
    <w:rsid w:val="00046CAA"/>
    <w:rsid w:val="000521ED"/>
    <w:rsid w:val="00053FFD"/>
    <w:rsid w:val="00054A0C"/>
    <w:rsid w:val="00054A9B"/>
    <w:rsid w:val="00054F74"/>
    <w:rsid w:val="00056D8F"/>
    <w:rsid w:val="00056F93"/>
    <w:rsid w:val="00057F63"/>
    <w:rsid w:val="00057FBD"/>
    <w:rsid w:val="00060D3B"/>
    <w:rsid w:val="0006123B"/>
    <w:rsid w:val="0006168D"/>
    <w:rsid w:val="00061FF7"/>
    <w:rsid w:val="0006351B"/>
    <w:rsid w:val="0006446E"/>
    <w:rsid w:val="0006558A"/>
    <w:rsid w:val="00067DB9"/>
    <w:rsid w:val="00071C44"/>
    <w:rsid w:val="000728F2"/>
    <w:rsid w:val="000745E2"/>
    <w:rsid w:val="00075884"/>
    <w:rsid w:val="00081CDB"/>
    <w:rsid w:val="00081DF9"/>
    <w:rsid w:val="00081EBA"/>
    <w:rsid w:val="0008224D"/>
    <w:rsid w:val="00082756"/>
    <w:rsid w:val="00082B38"/>
    <w:rsid w:val="000860C9"/>
    <w:rsid w:val="000908A0"/>
    <w:rsid w:val="000918C0"/>
    <w:rsid w:val="0009328F"/>
    <w:rsid w:val="00093922"/>
    <w:rsid w:val="00097323"/>
    <w:rsid w:val="00097B56"/>
    <w:rsid w:val="000A0146"/>
    <w:rsid w:val="000A1A11"/>
    <w:rsid w:val="000A2F4B"/>
    <w:rsid w:val="000A3311"/>
    <w:rsid w:val="000A5054"/>
    <w:rsid w:val="000A5B2B"/>
    <w:rsid w:val="000B0094"/>
    <w:rsid w:val="000B0686"/>
    <w:rsid w:val="000B167F"/>
    <w:rsid w:val="000B1BBA"/>
    <w:rsid w:val="000B32AA"/>
    <w:rsid w:val="000B5280"/>
    <w:rsid w:val="000B6C1A"/>
    <w:rsid w:val="000B7A56"/>
    <w:rsid w:val="000C0729"/>
    <w:rsid w:val="000C2365"/>
    <w:rsid w:val="000D2100"/>
    <w:rsid w:val="000D3F56"/>
    <w:rsid w:val="000D6214"/>
    <w:rsid w:val="000D6827"/>
    <w:rsid w:val="000D6B37"/>
    <w:rsid w:val="000E0C7B"/>
    <w:rsid w:val="000E0E95"/>
    <w:rsid w:val="000E1887"/>
    <w:rsid w:val="000E221E"/>
    <w:rsid w:val="000E2382"/>
    <w:rsid w:val="000E28BE"/>
    <w:rsid w:val="000E2EBC"/>
    <w:rsid w:val="000E388E"/>
    <w:rsid w:val="000E7089"/>
    <w:rsid w:val="000E731B"/>
    <w:rsid w:val="000E75F3"/>
    <w:rsid w:val="000F08D1"/>
    <w:rsid w:val="000F39E5"/>
    <w:rsid w:val="000F5CAB"/>
    <w:rsid w:val="000F6E2B"/>
    <w:rsid w:val="000F7C96"/>
    <w:rsid w:val="0010085C"/>
    <w:rsid w:val="00101AB7"/>
    <w:rsid w:val="00103123"/>
    <w:rsid w:val="00103E40"/>
    <w:rsid w:val="00103FAD"/>
    <w:rsid w:val="00105042"/>
    <w:rsid w:val="00105708"/>
    <w:rsid w:val="00110676"/>
    <w:rsid w:val="001116ED"/>
    <w:rsid w:val="00112A53"/>
    <w:rsid w:val="00112D2D"/>
    <w:rsid w:val="001138D5"/>
    <w:rsid w:val="001145C3"/>
    <w:rsid w:val="00114EEC"/>
    <w:rsid w:val="00116611"/>
    <w:rsid w:val="00117277"/>
    <w:rsid w:val="00120810"/>
    <w:rsid w:val="0012168E"/>
    <w:rsid w:val="00123C4E"/>
    <w:rsid w:val="00127259"/>
    <w:rsid w:val="00130939"/>
    <w:rsid w:val="00130E64"/>
    <w:rsid w:val="001331A5"/>
    <w:rsid w:val="00133C57"/>
    <w:rsid w:val="00135471"/>
    <w:rsid w:val="00135799"/>
    <w:rsid w:val="00136155"/>
    <w:rsid w:val="0013650D"/>
    <w:rsid w:val="00137CE4"/>
    <w:rsid w:val="00137E96"/>
    <w:rsid w:val="0014078A"/>
    <w:rsid w:val="0014090A"/>
    <w:rsid w:val="001422DB"/>
    <w:rsid w:val="001427A9"/>
    <w:rsid w:val="001431A5"/>
    <w:rsid w:val="00143ADC"/>
    <w:rsid w:val="00145747"/>
    <w:rsid w:val="001464CD"/>
    <w:rsid w:val="00147362"/>
    <w:rsid w:val="00147E4A"/>
    <w:rsid w:val="001501D8"/>
    <w:rsid w:val="00150841"/>
    <w:rsid w:val="001549E4"/>
    <w:rsid w:val="001550D1"/>
    <w:rsid w:val="001558CA"/>
    <w:rsid w:val="001559B9"/>
    <w:rsid w:val="001566B3"/>
    <w:rsid w:val="001569F9"/>
    <w:rsid w:val="00162C66"/>
    <w:rsid w:val="00162DD3"/>
    <w:rsid w:val="001668A9"/>
    <w:rsid w:val="00170D1B"/>
    <w:rsid w:val="00170F43"/>
    <w:rsid w:val="0017373D"/>
    <w:rsid w:val="0017499B"/>
    <w:rsid w:val="00174E57"/>
    <w:rsid w:val="00177FC7"/>
    <w:rsid w:val="0018081C"/>
    <w:rsid w:val="00181D51"/>
    <w:rsid w:val="001849F3"/>
    <w:rsid w:val="00184A1F"/>
    <w:rsid w:val="00185ED9"/>
    <w:rsid w:val="001878CE"/>
    <w:rsid w:val="00187FE0"/>
    <w:rsid w:val="0019460B"/>
    <w:rsid w:val="00195D00"/>
    <w:rsid w:val="001965D3"/>
    <w:rsid w:val="001A0042"/>
    <w:rsid w:val="001A19AB"/>
    <w:rsid w:val="001A31C1"/>
    <w:rsid w:val="001A38BB"/>
    <w:rsid w:val="001A3C00"/>
    <w:rsid w:val="001A3DB3"/>
    <w:rsid w:val="001A58B8"/>
    <w:rsid w:val="001A5A76"/>
    <w:rsid w:val="001A60BC"/>
    <w:rsid w:val="001A667C"/>
    <w:rsid w:val="001B34E6"/>
    <w:rsid w:val="001B3FEC"/>
    <w:rsid w:val="001B4B47"/>
    <w:rsid w:val="001B635E"/>
    <w:rsid w:val="001B72D5"/>
    <w:rsid w:val="001C02A7"/>
    <w:rsid w:val="001C1BC4"/>
    <w:rsid w:val="001C7C0C"/>
    <w:rsid w:val="001D0058"/>
    <w:rsid w:val="001D0795"/>
    <w:rsid w:val="001D1253"/>
    <w:rsid w:val="001D2129"/>
    <w:rsid w:val="001D21D7"/>
    <w:rsid w:val="001D3BAA"/>
    <w:rsid w:val="001D3DC2"/>
    <w:rsid w:val="001D53F2"/>
    <w:rsid w:val="001D54C7"/>
    <w:rsid w:val="001D5D14"/>
    <w:rsid w:val="001E1610"/>
    <w:rsid w:val="001E45A3"/>
    <w:rsid w:val="001E609A"/>
    <w:rsid w:val="001F40EB"/>
    <w:rsid w:val="00200A39"/>
    <w:rsid w:val="002017CD"/>
    <w:rsid w:val="00202017"/>
    <w:rsid w:val="0020309F"/>
    <w:rsid w:val="00203217"/>
    <w:rsid w:val="0020323C"/>
    <w:rsid w:val="00206DE1"/>
    <w:rsid w:val="00213949"/>
    <w:rsid w:val="00214AFA"/>
    <w:rsid w:val="00215D20"/>
    <w:rsid w:val="0021633A"/>
    <w:rsid w:val="00220923"/>
    <w:rsid w:val="00222EB1"/>
    <w:rsid w:val="00224249"/>
    <w:rsid w:val="00224C05"/>
    <w:rsid w:val="00224CD8"/>
    <w:rsid w:val="00231341"/>
    <w:rsid w:val="00232633"/>
    <w:rsid w:val="00233AE3"/>
    <w:rsid w:val="002348DA"/>
    <w:rsid w:val="00235DCE"/>
    <w:rsid w:val="00237BA6"/>
    <w:rsid w:val="002436B9"/>
    <w:rsid w:val="00246955"/>
    <w:rsid w:val="00246DE3"/>
    <w:rsid w:val="00246ED0"/>
    <w:rsid w:val="0025151D"/>
    <w:rsid w:val="002551AF"/>
    <w:rsid w:val="00261EEC"/>
    <w:rsid w:val="00262189"/>
    <w:rsid w:val="00262B49"/>
    <w:rsid w:val="0026412B"/>
    <w:rsid w:val="00271012"/>
    <w:rsid w:val="00272ECF"/>
    <w:rsid w:val="00273891"/>
    <w:rsid w:val="0027487D"/>
    <w:rsid w:val="00274DAB"/>
    <w:rsid w:val="00276D5D"/>
    <w:rsid w:val="00277E8E"/>
    <w:rsid w:val="00280311"/>
    <w:rsid w:val="00280DC3"/>
    <w:rsid w:val="00281CDE"/>
    <w:rsid w:val="0028267E"/>
    <w:rsid w:val="00283FE4"/>
    <w:rsid w:val="002842CF"/>
    <w:rsid w:val="00285D7C"/>
    <w:rsid w:val="00286514"/>
    <w:rsid w:val="002869A8"/>
    <w:rsid w:val="00287227"/>
    <w:rsid w:val="0028736C"/>
    <w:rsid w:val="0028749B"/>
    <w:rsid w:val="002943EB"/>
    <w:rsid w:val="00294403"/>
    <w:rsid w:val="00294AE6"/>
    <w:rsid w:val="00296B0D"/>
    <w:rsid w:val="00297E6A"/>
    <w:rsid w:val="002A1B38"/>
    <w:rsid w:val="002A2695"/>
    <w:rsid w:val="002A3CB7"/>
    <w:rsid w:val="002A3E46"/>
    <w:rsid w:val="002A5F43"/>
    <w:rsid w:val="002A7947"/>
    <w:rsid w:val="002A795C"/>
    <w:rsid w:val="002B06A8"/>
    <w:rsid w:val="002B097E"/>
    <w:rsid w:val="002B24BA"/>
    <w:rsid w:val="002B3297"/>
    <w:rsid w:val="002B4226"/>
    <w:rsid w:val="002B5A8A"/>
    <w:rsid w:val="002B7239"/>
    <w:rsid w:val="002C3017"/>
    <w:rsid w:val="002C58C1"/>
    <w:rsid w:val="002C58D1"/>
    <w:rsid w:val="002D47C4"/>
    <w:rsid w:val="002D4F08"/>
    <w:rsid w:val="002D7578"/>
    <w:rsid w:val="002E308E"/>
    <w:rsid w:val="002E4F82"/>
    <w:rsid w:val="002F09C1"/>
    <w:rsid w:val="002F16D6"/>
    <w:rsid w:val="002F1763"/>
    <w:rsid w:val="002F4AA7"/>
    <w:rsid w:val="002F5C26"/>
    <w:rsid w:val="002F678D"/>
    <w:rsid w:val="0030002B"/>
    <w:rsid w:val="00301829"/>
    <w:rsid w:val="00301D00"/>
    <w:rsid w:val="00302F0A"/>
    <w:rsid w:val="00302F93"/>
    <w:rsid w:val="0030520C"/>
    <w:rsid w:val="003055EE"/>
    <w:rsid w:val="003057B8"/>
    <w:rsid w:val="003064EE"/>
    <w:rsid w:val="00306FB3"/>
    <w:rsid w:val="0031154E"/>
    <w:rsid w:val="00311EFC"/>
    <w:rsid w:val="0031403F"/>
    <w:rsid w:val="00315206"/>
    <w:rsid w:val="003155DE"/>
    <w:rsid w:val="00317F4C"/>
    <w:rsid w:val="003202C7"/>
    <w:rsid w:val="00320458"/>
    <w:rsid w:val="00320B8D"/>
    <w:rsid w:val="003214AE"/>
    <w:rsid w:val="0032232B"/>
    <w:rsid w:val="00323143"/>
    <w:rsid w:val="00323AD3"/>
    <w:rsid w:val="00323EA2"/>
    <w:rsid w:val="00323EC8"/>
    <w:rsid w:val="00325BCF"/>
    <w:rsid w:val="003329C2"/>
    <w:rsid w:val="00340421"/>
    <w:rsid w:val="003449DD"/>
    <w:rsid w:val="003503F0"/>
    <w:rsid w:val="00350DB2"/>
    <w:rsid w:val="00354620"/>
    <w:rsid w:val="00361BF4"/>
    <w:rsid w:val="00362C41"/>
    <w:rsid w:val="00365E9B"/>
    <w:rsid w:val="003677A6"/>
    <w:rsid w:val="00367A88"/>
    <w:rsid w:val="003708A5"/>
    <w:rsid w:val="003708BE"/>
    <w:rsid w:val="00373E53"/>
    <w:rsid w:val="00374B0C"/>
    <w:rsid w:val="003768B2"/>
    <w:rsid w:val="0037766E"/>
    <w:rsid w:val="00380304"/>
    <w:rsid w:val="00381355"/>
    <w:rsid w:val="00382F71"/>
    <w:rsid w:val="003831F7"/>
    <w:rsid w:val="00384C46"/>
    <w:rsid w:val="003851E5"/>
    <w:rsid w:val="00385CC3"/>
    <w:rsid w:val="00390132"/>
    <w:rsid w:val="00390217"/>
    <w:rsid w:val="00390661"/>
    <w:rsid w:val="00391E46"/>
    <w:rsid w:val="0039211A"/>
    <w:rsid w:val="0039393C"/>
    <w:rsid w:val="00393E43"/>
    <w:rsid w:val="00394DD6"/>
    <w:rsid w:val="003963BA"/>
    <w:rsid w:val="00396BCC"/>
    <w:rsid w:val="003A2404"/>
    <w:rsid w:val="003A36E5"/>
    <w:rsid w:val="003A39A8"/>
    <w:rsid w:val="003A3E08"/>
    <w:rsid w:val="003A3F2B"/>
    <w:rsid w:val="003A5F70"/>
    <w:rsid w:val="003A667C"/>
    <w:rsid w:val="003A71A5"/>
    <w:rsid w:val="003A7227"/>
    <w:rsid w:val="003A74BB"/>
    <w:rsid w:val="003B0A0F"/>
    <w:rsid w:val="003B1006"/>
    <w:rsid w:val="003B2032"/>
    <w:rsid w:val="003B37FF"/>
    <w:rsid w:val="003B4233"/>
    <w:rsid w:val="003B4273"/>
    <w:rsid w:val="003B4413"/>
    <w:rsid w:val="003B5D34"/>
    <w:rsid w:val="003B6E6A"/>
    <w:rsid w:val="003B7A9D"/>
    <w:rsid w:val="003B7DCB"/>
    <w:rsid w:val="003C1F85"/>
    <w:rsid w:val="003C2E56"/>
    <w:rsid w:val="003D08BD"/>
    <w:rsid w:val="003D2B4C"/>
    <w:rsid w:val="003D38EC"/>
    <w:rsid w:val="003D5904"/>
    <w:rsid w:val="003D675D"/>
    <w:rsid w:val="003E31A6"/>
    <w:rsid w:val="003E7550"/>
    <w:rsid w:val="003F0B41"/>
    <w:rsid w:val="003F2839"/>
    <w:rsid w:val="003F3BDA"/>
    <w:rsid w:val="003F4D68"/>
    <w:rsid w:val="003F6555"/>
    <w:rsid w:val="003F727D"/>
    <w:rsid w:val="00400AE4"/>
    <w:rsid w:val="0040466C"/>
    <w:rsid w:val="00406CA2"/>
    <w:rsid w:val="004126EA"/>
    <w:rsid w:val="00412C5E"/>
    <w:rsid w:val="00414D72"/>
    <w:rsid w:val="0041621C"/>
    <w:rsid w:val="00416B12"/>
    <w:rsid w:val="00420905"/>
    <w:rsid w:val="00420EFE"/>
    <w:rsid w:val="00420FAA"/>
    <w:rsid w:val="00421755"/>
    <w:rsid w:val="00425001"/>
    <w:rsid w:val="004322B3"/>
    <w:rsid w:val="00433E94"/>
    <w:rsid w:val="00434016"/>
    <w:rsid w:val="004351DD"/>
    <w:rsid w:val="00436282"/>
    <w:rsid w:val="0043716D"/>
    <w:rsid w:val="00437758"/>
    <w:rsid w:val="004412D3"/>
    <w:rsid w:val="00444964"/>
    <w:rsid w:val="004458AC"/>
    <w:rsid w:val="0045022E"/>
    <w:rsid w:val="00450E24"/>
    <w:rsid w:val="00451508"/>
    <w:rsid w:val="00451AD2"/>
    <w:rsid w:val="004522C6"/>
    <w:rsid w:val="00453E10"/>
    <w:rsid w:val="004544E1"/>
    <w:rsid w:val="00455D79"/>
    <w:rsid w:val="00457126"/>
    <w:rsid w:val="00461AFC"/>
    <w:rsid w:val="00463C98"/>
    <w:rsid w:val="00465C13"/>
    <w:rsid w:val="004674FB"/>
    <w:rsid w:val="004707CD"/>
    <w:rsid w:val="004714CA"/>
    <w:rsid w:val="0047152C"/>
    <w:rsid w:val="00471668"/>
    <w:rsid w:val="00472E73"/>
    <w:rsid w:val="00474E11"/>
    <w:rsid w:val="0047656C"/>
    <w:rsid w:val="00476986"/>
    <w:rsid w:val="004769EE"/>
    <w:rsid w:val="004778FA"/>
    <w:rsid w:val="00480F27"/>
    <w:rsid w:val="00482A77"/>
    <w:rsid w:val="00482D53"/>
    <w:rsid w:val="004854C6"/>
    <w:rsid w:val="00485998"/>
    <w:rsid w:val="004871D8"/>
    <w:rsid w:val="00487CFF"/>
    <w:rsid w:val="00491802"/>
    <w:rsid w:val="004928BD"/>
    <w:rsid w:val="004934D6"/>
    <w:rsid w:val="00494B42"/>
    <w:rsid w:val="00495D8A"/>
    <w:rsid w:val="0049627A"/>
    <w:rsid w:val="004963DA"/>
    <w:rsid w:val="0049667A"/>
    <w:rsid w:val="00497AD2"/>
    <w:rsid w:val="00497D81"/>
    <w:rsid w:val="004A1F41"/>
    <w:rsid w:val="004A2019"/>
    <w:rsid w:val="004A3359"/>
    <w:rsid w:val="004A390B"/>
    <w:rsid w:val="004A7ED3"/>
    <w:rsid w:val="004B0F29"/>
    <w:rsid w:val="004B12A5"/>
    <w:rsid w:val="004B5077"/>
    <w:rsid w:val="004B54A0"/>
    <w:rsid w:val="004B701D"/>
    <w:rsid w:val="004C18B5"/>
    <w:rsid w:val="004C208B"/>
    <w:rsid w:val="004C29C3"/>
    <w:rsid w:val="004C39F1"/>
    <w:rsid w:val="004C3A31"/>
    <w:rsid w:val="004C51D2"/>
    <w:rsid w:val="004D2753"/>
    <w:rsid w:val="004D3574"/>
    <w:rsid w:val="004D3AFA"/>
    <w:rsid w:val="004D498C"/>
    <w:rsid w:val="004D4E3F"/>
    <w:rsid w:val="004D5B6F"/>
    <w:rsid w:val="004D6254"/>
    <w:rsid w:val="004D7626"/>
    <w:rsid w:val="004E118A"/>
    <w:rsid w:val="004E2295"/>
    <w:rsid w:val="004E310F"/>
    <w:rsid w:val="004E4F03"/>
    <w:rsid w:val="004E6F52"/>
    <w:rsid w:val="004F081E"/>
    <w:rsid w:val="004F1519"/>
    <w:rsid w:val="004F3E70"/>
    <w:rsid w:val="004F400E"/>
    <w:rsid w:val="004F4AC5"/>
    <w:rsid w:val="004F5675"/>
    <w:rsid w:val="004F6059"/>
    <w:rsid w:val="005004E0"/>
    <w:rsid w:val="005010AD"/>
    <w:rsid w:val="00502CDF"/>
    <w:rsid w:val="00502D8F"/>
    <w:rsid w:val="00502EBB"/>
    <w:rsid w:val="00504229"/>
    <w:rsid w:val="00505E5F"/>
    <w:rsid w:val="005064CF"/>
    <w:rsid w:val="00506892"/>
    <w:rsid w:val="0050791D"/>
    <w:rsid w:val="0051059D"/>
    <w:rsid w:val="00511A04"/>
    <w:rsid w:val="00512E15"/>
    <w:rsid w:val="00513DBC"/>
    <w:rsid w:val="00516A5C"/>
    <w:rsid w:val="0051748B"/>
    <w:rsid w:val="005213CB"/>
    <w:rsid w:val="0052369B"/>
    <w:rsid w:val="00523CBB"/>
    <w:rsid w:val="00524528"/>
    <w:rsid w:val="0053129A"/>
    <w:rsid w:val="00531418"/>
    <w:rsid w:val="005328BF"/>
    <w:rsid w:val="00532FB2"/>
    <w:rsid w:val="00533013"/>
    <w:rsid w:val="0053618D"/>
    <w:rsid w:val="005363B2"/>
    <w:rsid w:val="005375B1"/>
    <w:rsid w:val="005377D5"/>
    <w:rsid w:val="00537F30"/>
    <w:rsid w:val="0054047E"/>
    <w:rsid w:val="00540BAF"/>
    <w:rsid w:val="00541EE8"/>
    <w:rsid w:val="00542886"/>
    <w:rsid w:val="005458D2"/>
    <w:rsid w:val="0054658E"/>
    <w:rsid w:val="00550748"/>
    <w:rsid w:val="005513A8"/>
    <w:rsid w:val="00552BB0"/>
    <w:rsid w:val="00556124"/>
    <w:rsid w:val="00556F90"/>
    <w:rsid w:val="00562A4A"/>
    <w:rsid w:val="00563C0B"/>
    <w:rsid w:val="00566EE1"/>
    <w:rsid w:val="005703E5"/>
    <w:rsid w:val="00571CF9"/>
    <w:rsid w:val="00572A65"/>
    <w:rsid w:val="00573305"/>
    <w:rsid w:val="00574622"/>
    <w:rsid w:val="005754E0"/>
    <w:rsid w:val="005757BB"/>
    <w:rsid w:val="00577BF7"/>
    <w:rsid w:val="00577E54"/>
    <w:rsid w:val="00580080"/>
    <w:rsid w:val="005803AC"/>
    <w:rsid w:val="00583F31"/>
    <w:rsid w:val="005861B0"/>
    <w:rsid w:val="00586E06"/>
    <w:rsid w:val="005904CF"/>
    <w:rsid w:val="00590AE2"/>
    <w:rsid w:val="00592C95"/>
    <w:rsid w:val="0059540D"/>
    <w:rsid w:val="005966C7"/>
    <w:rsid w:val="00596A81"/>
    <w:rsid w:val="00596E96"/>
    <w:rsid w:val="005973C2"/>
    <w:rsid w:val="0059757F"/>
    <w:rsid w:val="00597ACA"/>
    <w:rsid w:val="005A1A31"/>
    <w:rsid w:val="005A357F"/>
    <w:rsid w:val="005A4A4C"/>
    <w:rsid w:val="005A54B5"/>
    <w:rsid w:val="005A7ED0"/>
    <w:rsid w:val="005B10B7"/>
    <w:rsid w:val="005B1342"/>
    <w:rsid w:val="005B1715"/>
    <w:rsid w:val="005B3435"/>
    <w:rsid w:val="005B61F2"/>
    <w:rsid w:val="005B744B"/>
    <w:rsid w:val="005B7CB6"/>
    <w:rsid w:val="005C27E0"/>
    <w:rsid w:val="005C3193"/>
    <w:rsid w:val="005C3ACB"/>
    <w:rsid w:val="005C5504"/>
    <w:rsid w:val="005C5531"/>
    <w:rsid w:val="005D02B3"/>
    <w:rsid w:val="005D2F0C"/>
    <w:rsid w:val="005D3A57"/>
    <w:rsid w:val="005D41CD"/>
    <w:rsid w:val="005D45E4"/>
    <w:rsid w:val="005D4F61"/>
    <w:rsid w:val="005D57C9"/>
    <w:rsid w:val="005D5FA7"/>
    <w:rsid w:val="005E0B8C"/>
    <w:rsid w:val="005E104B"/>
    <w:rsid w:val="005E123D"/>
    <w:rsid w:val="005E3C0B"/>
    <w:rsid w:val="005E3DBB"/>
    <w:rsid w:val="005E4F9D"/>
    <w:rsid w:val="005E5B00"/>
    <w:rsid w:val="005E70AE"/>
    <w:rsid w:val="005F00FE"/>
    <w:rsid w:val="005F4F32"/>
    <w:rsid w:val="005F51BD"/>
    <w:rsid w:val="005F7EFB"/>
    <w:rsid w:val="00600973"/>
    <w:rsid w:val="00602080"/>
    <w:rsid w:val="00602214"/>
    <w:rsid w:val="006059B7"/>
    <w:rsid w:val="00605E0E"/>
    <w:rsid w:val="006074BC"/>
    <w:rsid w:val="006075E5"/>
    <w:rsid w:val="00607F59"/>
    <w:rsid w:val="00610F82"/>
    <w:rsid w:val="00612207"/>
    <w:rsid w:val="00612DD2"/>
    <w:rsid w:val="00612FC2"/>
    <w:rsid w:val="006133D9"/>
    <w:rsid w:val="0061424F"/>
    <w:rsid w:val="0061543D"/>
    <w:rsid w:val="00615A57"/>
    <w:rsid w:val="00615E44"/>
    <w:rsid w:val="00616D19"/>
    <w:rsid w:val="00620776"/>
    <w:rsid w:val="006213AF"/>
    <w:rsid w:val="00624D72"/>
    <w:rsid w:val="00624E04"/>
    <w:rsid w:val="00624E14"/>
    <w:rsid w:val="00626470"/>
    <w:rsid w:val="00627C85"/>
    <w:rsid w:val="006305B8"/>
    <w:rsid w:val="00633E2E"/>
    <w:rsid w:val="0063527D"/>
    <w:rsid w:val="006355C6"/>
    <w:rsid w:val="00635603"/>
    <w:rsid w:val="006362E4"/>
    <w:rsid w:val="0063682D"/>
    <w:rsid w:val="00636F51"/>
    <w:rsid w:val="0064066E"/>
    <w:rsid w:val="00640DA5"/>
    <w:rsid w:val="006444ED"/>
    <w:rsid w:val="00644F3C"/>
    <w:rsid w:val="0064697D"/>
    <w:rsid w:val="006473FD"/>
    <w:rsid w:val="00650618"/>
    <w:rsid w:val="0065082A"/>
    <w:rsid w:val="00651AE3"/>
    <w:rsid w:val="00651B6A"/>
    <w:rsid w:val="00656CDC"/>
    <w:rsid w:val="006575D0"/>
    <w:rsid w:val="00657E9D"/>
    <w:rsid w:val="00661857"/>
    <w:rsid w:val="00661EEF"/>
    <w:rsid w:val="00662862"/>
    <w:rsid w:val="006632FE"/>
    <w:rsid w:val="006633DF"/>
    <w:rsid w:val="00665FB9"/>
    <w:rsid w:val="006663DB"/>
    <w:rsid w:val="00666B27"/>
    <w:rsid w:val="00667262"/>
    <w:rsid w:val="0066753C"/>
    <w:rsid w:val="0067211A"/>
    <w:rsid w:val="00673C03"/>
    <w:rsid w:val="0067441B"/>
    <w:rsid w:val="006762BB"/>
    <w:rsid w:val="0067691E"/>
    <w:rsid w:val="00676F0A"/>
    <w:rsid w:val="0067796D"/>
    <w:rsid w:val="00680FD4"/>
    <w:rsid w:val="00684E2A"/>
    <w:rsid w:val="006909FC"/>
    <w:rsid w:val="006919EE"/>
    <w:rsid w:val="00691B77"/>
    <w:rsid w:val="00692C1A"/>
    <w:rsid w:val="00692D3C"/>
    <w:rsid w:val="00692E53"/>
    <w:rsid w:val="00694B6F"/>
    <w:rsid w:val="00694CA2"/>
    <w:rsid w:val="00694E36"/>
    <w:rsid w:val="006950E1"/>
    <w:rsid w:val="006A0EE2"/>
    <w:rsid w:val="006A4973"/>
    <w:rsid w:val="006A5774"/>
    <w:rsid w:val="006A586F"/>
    <w:rsid w:val="006A625B"/>
    <w:rsid w:val="006A697D"/>
    <w:rsid w:val="006A72C3"/>
    <w:rsid w:val="006B54ED"/>
    <w:rsid w:val="006B5B4D"/>
    <w:rsid w:val="006C1CD9"/>
    <w:rsid w:val="006C2404"/>
    <w:rsid w:val="006C412A"/>
    <w:rsid w:val="006C6E5B"/>
    <w:rsid w:val="006D09C7"/>
    <w:rsid w:val="006D182F"/>
    <w:rsid w:val="006D2275"/>
    <w:rsid w:val="006D2820"/>
    <w:rsid w:val="006D32DF"/>
    <w:rsid w:val="006D3CEE"/>
    <w:rsid w:val="006D48CC"/>
    <w:rsid w:val="006E0DB4"/>
    <w:rsid w:val="006E3069"/>
    <w:rsid w:val="006E4E08"/>
    <w:rsid w:val="006E5570"/>
    <w:rsid w:val="006E5A73"/>
    <w:rsid w:val="006E5AEA"/>
    <w:rsid w:val="006E5C55"/>
    <w:rsid w:val="006E7556"/>
    <w:rsid w:val="006E78F6"/>
    <w:rsid w:val="006E7A50"/>
    <w:rsid w:val="006F12AB"/>
    <w:rsid w:val="006F3A6E"/>
    <w:rsid w:val="006F4BA8"/>
    <w:rsid w:val="00700AC0"/>
    <w:rsid w:val="00701732"/>
    <w:rsid w:val="00701B09"/>
    <w:rsid w:val="00703200"/>
    <w:rsid w:val="00703F70"/>
    <w:rsid w:val="00707368"/>
    <w:rsid w:val="00710262"/>
    <w:rsid w:val="007109CC"/>
    <w:rsid w:val="00711337"/>
    <w:rsid w:val="00712CE5"/>
    <w:rsid w:val="00715F10"/>
    <w:rsid w:val="00717212"/>
    <w:rsid w:val="00717D75"/>
    <w:rsid w:val="00723BF0"/>
    <w:rsid w:val="00723CA5"/>
    <w:rsid w:val="00723DBB"/>
    <w:rsid w:val="0072506B"/>
    <w:rsid w:val="00730966"/>
    <w:rsid w:val="00730AD6"/>
    <w:rsid w:val="00733E0B"/>
    <w:rsid w:val="00734539"/>
    <w:rsid w:val="007346FB"/>
    <w:rsid w:val="00734865"/>
    <w:rsid w:val="007355F4"/>
    <w:rsid w:val="00737615"/>
    <w:rsid w:val="00740929"/>
    <w:rsid w:val="007437FF"/>
    <w:rsid w:val="007450BD"/>
    <w:rsid w:val="00745ADC"/>
    <w:rsid w:val="00745D49"/>
    <w:rsid w:val="0075613B"/>
    <w:rsid w:val="00756149"/>
    <w:rsid w:val="007569F1"/>
    <w:rsid w:val="0075769A"/>
    <w:rsid w:val="00761427"/>
    <w:rsid w:val="00762C7A"/>
    <w:rsid w:val="00763332"/>
    <w:rsid w:val="00765F2B"/>
    <w:rsid w:val="007665F9"/>
    <w:rsid w:val="007669A2"/>
    <w:rsid w:val="00766C4A"/>
    <w:rsid w:val="0077166A"/>
    <w:rsid w:val="00771E04"/>
    <w:rsid w:val="00772240"/>
    <w:rsid w:val="007745B2"/>
    <w:rsid w:val="0077567E"/>
    <w:rsid w:val="007769A9"/>
    <w:rsid w:val="0078049F"/>
    <w:rsid w:val="00781003"/>
    <w:rsid w:val="0078476E"/>
    <w:rsid w:val="00786DF4"/>
    <w:rsid w:val="007959A6"/>
    <w:rsid w:val="0079652A"/>
    <w:rsid w:val="00797D57"/>
    <w:rsid w:val="007A0C65"/>
    <w:rsid w:val="007A5180"/>
    <w:rsid w:val="007A67F5"/>
    <w:rsid w:val="007B0084"/>
    <w:rsid w:val="007B0184"/>
    <w:rsid w:val="007B0860"/>
    <w:rsid w:val="007B1C24"/>
    <w:rsid w:val="007B3B48"/>
    <w:rsid w:val="007B4AD8"/>
    <w:rsid w:val="007B77DF"/>
    <w:rsid w:val="007B7B43"/>
    <w:rsid w:val="007C0213"/>
    <w:rsid w:val="007C0D8D"/>
    <w:rsid w:val="007C38CD"/>
    <w:rsid w:val="007C448B"/>
    <w:rsid w:val="007C4EAD"/>
    <w:rsid w:val="007C54B9"/>
    <w:rsid w:val="007C601B"/>
    <w:rsid w:val="007C6793"/>
    <w:rsid w:val="007C685B"/>
    <w:rsid w:val="007C74F4"/>
    <w:rsid w:val="007D075B"/>
    <w:rsid w:val="007D1AC0"/>
    <w:rsid w:val="007D2230"/>
    <w:rsid w:val="007D2DC7"/>
    <w:rsid w:val="007D4150"/>
    <w:rsid w:val="007D45E5"/>
    <w:rsid w:val="007D4731"/>
    <w:rsid w:val="007D4A44"/>
    <w:rsid w:val="007D4D21"/>
    <w:rsid w:val="007D7C93"/>
    <w:rsid w:val="007E18FE"/>
    <w:rsid w:val="007E1B23"/>
    <w:rsid w:val="007E1E0A"/>
    <w:rsid w:val="007E2119"/>
    <w:rsid w:val="007E6035"/>
    <w:rsid w:val="007E63B3"/>
    <w:rsid w:val="007E70B8"/>
    <w:rsid w:val="007F05F1"/>
    <w:rsid w:val="007F2A6D"/>
    <w:rsid w:val="007F2BF8"/>
    <w:rsid w:val="007F3543"/>
    <w:rsid w:val="007F778A"/>
    <w:rsid w:val="007F7929"/>
    <w:rsid w:val="0080214C"/>
    <w:rsid w:val="00802E40"/>
    <w:rsid w:val="008036C9"/>
    <w:rsid w:val="0080392D"/>
    <w:rsid w:val="00804998"/>
    <w:rsid w:val="00805FC2"/>
    <w:rsid w:val="008121C9"/>
    <w:rsid w:val="00812345"/>
    <w:rsid w:val="00813051"/>
    <w:rsid w:val="008147EA"/>
    <w:rsid w:val="00815C7C"/>
    <w:rsid w:val="00820011"/>
    <w:rsid w:val="00821882"/>
    <w:rsid w:val="00822B68"/>
    <w:rsid w:val="00823A70"/>
    <w:rsid w:val="008269AF"/>
    <w:rsid w:val="00827974"/>
    <w:rsid w:val="008309CB"/>
    <w:rsid w:val="00831355"/>
    <w:rsid w:val="008328C2"/>
    <w:rsid w:val="00832D0D"/>
    <w:rsid w:val="00833E6B"/>
    <w:rsid w:val="00836323"/>
    <w:rsid w:val="00840291"/>
    <w:rsid w:val="00843869"/>
    <w:rsid w:val="008443EF"/>
    <w:rsid w:val="00844C3C"/>
    <w:rsid w:val="00845985"/>
    <w:rsid w:val="008463B7"/>
    <w:rsid w:val="00847A4E"/>
    <w:rsid w:val="00855BEE"/>
    <w:rsid w:val="0085696A"/>
    <w:rsid w:val="008571AE"/>
    <w:rsid w:val="008612DF"/>
    <w:rsid w:val="0086171C"/>
    <w:rsid w:val="00862C82"/>
    <w:rsid w:val="00863C01"/>
    <w:rsid w:val="00864163"/>
    <w:rsid w:val="00866FED"/>
    <w:rsid w:val="0086787F"/>
    <w:rsid w:val="0087007B"/>
    <w:rsid w:val="0087016A"/>
    <w:rsid w:val="00870AD8"/>
    <w:rsid w:val="00874E27"/>
    <w:rsid w:val="00876805"/>
    <w:rsid w:val="00876B24"/>
    <w:rsid w:val="00876E99"/>
    <w:rsid w:val="00877C56"/>
    <w:rsid w:val="00877DD6"/>
    <w:rsid w:val="00884595"/>
    <w:rsid w:val="008852E6"/>
    <w:rsid w:val="008861F9"/>
    <w:rsid w:val="00886E1F"/>
    <w:rsid w:val="00891A80"/>
    <w:rsid w:val="0089325E"/>
    <w:rsid w:val="00893356"/>
    <w:rsid w:val="00893BAF"/>
    <w:rsid w:val="00894147"/>
    <w:rsid w:val="0089459A"/>
    <w:rsid w:val="008954AC"/>
    <w:rsid w:val="00896A15"/>
    <w:rsid w:val="008A09B9"/>
    <w:rsid w:val="008A0EA9"/>
    <w:rsid w:val="008A20F9"/>
    <w:rsid w:val="008A2A60"/>
    <w:rsid w:val="008A2CFA"/>
    <w:rsid w:val="008A31C7"/>
    <w:rsid w:val="008A34BA"/>
    <w:rsid w:val="008A4EE6"/>
    <w:rsid w:val="008A6AE3"/>
    <w:rsid w:val="008A6CAE"/>
    <w:rsid w:val="008B0970"/>
    <w:rsid w:val="008B0D50"/>
    <w:rsid w:val="008B11B1"/>
    <w:rsid w:val="008B22C4"/>
    <w:rsid w:val="008B4982"/>
    <w:rsid w:val="008B4E9D"/>
    <w:rsid w:val="008B57BC"/>
    <w:rsid w:val="008B614F"/>
    <w:rsid w:val="008B6B6C"/>
    <w:rsid w:val="008C22AE"/>
    <w:rsid w:val="008C2307"/>
    <w:rsid w:val="008C3317"/>
    <w:rsid w:val="008C441C"/>
    <w:rsid w:val="008C653D"/>
    <w:rsid w:val="008C7759"/>
    <w:rsid w:val="008C77F4"/>
    <w:rsid w:val="008D10E0"/>
    <w:rsid w:val="008D188F"/>
    <w:rsid w:val="008D298C"/>
    <w:rsid w:val="008D69EC"/>
    <w:rsid w:val="008D7AF1"/>
    <w:rsid w:val="008E3D8D"/>
    <w:rsid w:val="008E4C85"/>
    <w:rsid w:val="008E5992"/>
    <w:rsid w:val="008E6024"/>
    <w:rsid w:val="008E6AA9"/>
    <w:rsid w:val="008F1C0F"/>
    <w:rsid w:val="008F1CC8"/>
    <w:rsid w:val="008F5EB1"/>
    <w:rsid w:val="008F666D"/>
    <w:rsid w:val="00901499"/>
    <w:rsid w:val="00902678"/>
    <w:rsid w:val="00906208"/>
    <w:rsid w:val="00906769"/>
    <w:rsid w:val="00907BC5"/>
    <w:rsid w:val="00910937"/>
    <w:rsid w:val="00910BA4"/>
    <w:rsid w:val="00911786"/>
    <w:rsid w:val="0091180E"/>
    <w:rsid w:val="00912AB7"/>
    <w:rsid w:val="00916120"/>
    <w:rsid w:val="00920307"/>
    <w:rsid w:val="00922863"/>
    <w:rsid w:val="00923417"/>
    <w:rsid w:val="00924942"/>
    <w:rsid w:val="00925BF0"/>
    <w:rsid w:val="00927CDC"/>
    <w:rsid w:val="0093197F"/>
    <w:rsid w:val="00932AD5"/>
    <w:rsid w:val="00933EDD"/>
    <w:rsid w:val="00934EE4"/>
    <w:rsid w:val="009353AF"/>
    <w:rsid w:val="00935B16"/>
    <w:rsid w:val="00936F22"/>
    <w:rsid w:val="00937505"/>
    <w:rsid w:val="00940254"/>
    <w:rsid w:val="00940BEE"/>
    <w:rsid w:val="00941083"/>
    <w:rsid w:val="009421D9"/>
    <w:rsid w:val="00942982"/>
    <w:rsid w:val="00942BED"/>
    <w:rsid w:val="00943E3A"/>
    <w:rsid w:val="00944E5D"/>
    <w:rsid w:val="009450B1"/>
    <w:rsid w:val="009465A8"/>
    <w:rsid w:val="00947015"/>
    <w:rsid w:val="009473DF"/>
    <w:rsid w:val="00947838"/>
    <w:rsid w:val="00950DE0"/>
    <w:rsid w:val="00950E05"/>
    <w:rsid w:val="00951C43"/>
    <w:rsid w:val="00951EBF"/>
    <w:rsid w:val="00953486"/>
    <w:rsid w:val="009536B0"/>
    <w:rsid w:val="00953F15"/>
    <w:rsid w:val="00954983"/>
    <w:rsid w:val="009554DD"/>
    <w:rsid w:val="009600FD"/>
    <w:rsid w:val="00961515"/>
    <w:rsid w:val="0096332D"/>
    <w:rsid w:val="00963699"/>
    <w:rsid w:val="0096401F"/>
    <w:rsid w:val="00967A62"/>
    <w:rsid w:val="009706E8"/>
    <w:rsid w:val="009708EE"/>
    <w:rsid w:val="00971F80"/>
    <w:rsid w:val="00973E54"/>
    <w:rsid w:val="009744CE"/>
    <w:rsid w:val="009763CF"/>
    <w:rsid w:val="00976643"/>
    <w:rsid w:val="00976F0C"/>
    <w:rsid w:val="0097761D"/>
    <w:rsid w:val="00980425"/>
    <w:rsid w:val="009804DB"/>
    <w:rsid w:val="009818E9"/>
    <w:rsid w:val="00981F68"/>
    <w:rsid w:val="00984A15"/>
    <w:rsid w:val="00984B4F"/>
    <w:rsid w:val="00987418"/>
    <w:rsid w:val="00991EE3"/>
    <w:rsid w:val="0099547C"/>
    <w:rsid w:val="009A0429"/>
    <w:rsid w:val="009A1D26"/>
    <w:rsid w:val="009A48BA"/>
    <w:rsid w:val="009A5367"/>
    <w:rsid w:val="009A5CA8"/>
    <w:rsid w:val="009B0C12"/>
    <w:rsid w:val="009B0F6C"/>
    <w:rsid w:val="009B16E2"/>
    <w:rsid w:val="009B17C9"/>
    <w:rsid w:val="009B3490"/>
    <w:rsid w:val="009B7F9A"/>
    <w:rsid w:val="009C00BF"/>
    <w:rsid w:val="009C0F73"/>
    <w:rsid w:val="009C1E1A"/>
    <w:rsid w:val="009C2F60"/>
    <w:rsid w:val="009C3FE9"/>
    <w:rsid w:val="009C4E2B"/>
    <w:rsid w:val="009C7750"/>
    <w:rsid w:val="009D0369"/>
    <w:rsid w:val="009D1211"/>
    <w:rsid w:val="009D2232"/>
    <w:rsid w:val="009D23D9"/>
    <w:rsid w:val="009D2A30"/>
    <w:rsid w:val="009D3C3B"/>
    <w:rsid w:val="009D4062"/>
    <w:rsid w:val="009D48B0"/>
    <w:rsid w:val="009D539C"/>
    <w:rsid w:val="009E0DF9"/>
    <w:rsid w:val="009E197D"/>
    <w:rsid w:val="009E313F"/>
    <w:rsid w:val="009E3796"/>
    <w:rsid w:val="009E4B3F"/>
    <w:rsid w:val="009E55E8"/>
    <w:rsid w:val="009E58C2"/>
    <w:rsid w:val="009E6123"/>
    <w:rsid w:val="009F16C3"/>
    <w:rsid w:val="009F21CC"/>
    <w:rsid w:val="009F462D"/>
    <w:rsid w:val="009F5F8B"/>
    <w:rsid w:val="009F6450"/>
    <w:rsid w:val="009F7461"/>
    <w:rsid w:val="00A0031A"/>
    <w:rsid w:val="00A00D63"/>
    <w:rsid w:val="00A023CC"/>
    <w:rsid w:val="00A0339E"/>
    <w:rsid w:val="00A03EBD"/>
    <w:rsid w:val="00A051AC"/>
    <w:rsid w:val="00A059ED"/>
    <w:rsid w:val="00A07392"/>
    <w:rsid w:val="00A1098F"/>
    <w:rsid w:val="00A115CC"/>
    <w:rsid w:val="00A117BE"/>
    <w:rsid w:val="00A1332E"/>
    <w:rsid w:val="00A13651"/>
    <w:rsid w:val="00A1562C"/>
    <w:rsid w:val="00A15750"/>
    <w:rsid w:val="00A15BF7"/>
    <w:rsid w:val="00A16E09"/>
    <w:rsid w:val="00A175D3"/>
    <w:rsid w:val="00A24E4D"/>
    <w:rsid w:val="00A25989"/>
    <w:rsid w:val="00A27A66"/>
    <w:rsid w:val="00A30D16"/>
    <w:rsid w:val="00A31053"/>
    <w:rsid w:val="00A33B1D"/>
    <w:rsid w:val="00A341D4"/>
    <w:rsid w:val="00A3440B"/>
    <w:rsid w:val="00A36126"/>
    <w:rsid w:val="00A36EB5"/>
    <w:rsid w:val="00A409AA"/>
    <w:rsid w:val="00A442F1"/>
    <w:rsid w:val="00A446E9"/>
    <w:rsid w:val="00A45315"/>
    <w:rsid w:val="00A4555E"/>
    <w:rsid w:val="00A45913"/>
    <w:rsid w:val="00A4649C"/>
    <w:rsid w:val="00A46B91"/>
    <w:rsid w:val="00A53779"/>
    <w:rsid w:val="00A545C0"/>
    <w:rsid w:val="00A55549"/>
    <w:rsid w:val="00A5675E"/>
    <w:rsid w:val="00A57D0B"/>
    <w:rsid w:val="00A602CB"/>
    <w:rsid w:val="00A63C34"/>
    <w:rsid w:val="00A64F90"/>
    <w:rsid w:val="00A653CA"/>
    <w:rsid w:val="00A65D8D"/>
    <w:rsid w:val="00A65EE4"/>
    <w:rsid w:val="00A66974"/>
    <w:rsid w:val="00A670EC"/>
    <w:rsid w:val="00A707EA"/>
    <w:rsid w:val="00A711AB"/>
    <w:rsid w:val="00A72BED"/>
    <w:rsid w:val="00A72CCC"/>
    <w:rsid w:val="00A73148"/>
    <w:rsid w:val="00A764E5"/>
    <w:rsid w:val="00A77047"/>
    <w:rsid w:val="00A8035E"/>
    <w:rsid w:val="00A8284A"/>
    <w:rsid w:val="00A8477E"/>
    <w:rsid w:val="00A84FB8"/>
    <w:rsid w:val="00A85AE1"/>
    <w:rsid w:val="00A87640"/>
    <w:rsid w:val="00A87A64"/>
    <w:rsid w:val="00A902D6"/>
    <w:rsid w:val="00A906B0"/>
    <w:rsid w:val="00A93BA7"/>
    <w:rsid w:val="00A95AAA"/>
    <w:rsid w:val="00A97258"/>
    <w:rsid w:val="00A97B4B"/>
    <w:rsid w:val="00A97BEB"/>
    <w:rsid w:val="00AA1B63"/>
    <w:rsid w:val="00AA577F"/>
    <w:rsid w:val="00AA5A8E"/>
    <w:rsid w:val="00AA615D"/>
    <w:rsid w:val="00AA767D"/>
    <w:rsid w:val="00AA7D0E"/>
    <w:rsid w:val="00AB1D65"/>
    <w:rsid w:val="00AB2844"/>
    <w:rsid w:val="00AB3114"/>
    <w:rsid w:val="00AB44CD"/>
    <w:rsid w:val="00AB4657"/>
    <w:rsid w:val="00AB5D7B"/>
    <w:rsid w:val="00AC4EA8"/>
    <w:rsid w:val="00AC664C"/>
    <w:rsid w:val="00AC6E3A"/>
    <w:rsid w:val="00AC70DD"/>
    <w:rsid w:val="00AC746F"/>
    <w:rsid w:val="00AC7C85"/>
    <w:rsid w:val="00AD065A"/>
    <w:rsid w:val="00AD0C4A"/>
    <w:rsid w:val="00AD1521"/>
    <w:rsid w:val="00AD1BEE"/>
    <w:rsid w:val="00AD31D1"/>
    <w:rsid w:val="00AD42EC"/>
    <w:rsid w:val="00AD4797"/>
    <w:rsid w:val="00AD69BE"/>
    <w:rsid w:val="00AD7162"/>
    <w:rsid w:val="00AD776A"/>
    <w:rsid w:val="00AE090D"/>
    <w:rsid w:val="00AE4D63"/>
    <w:rsid w:val="00AF2F0B"/>
    <w:rsid w:val="00AF37F3"/>
    <w:rsid w:val="00AF4285"/>
    <w:rsid w:val="00AF5E7F"/>
    <w:rsid w:val="00AF7A14"/>
    <w:rsid w:val="00B006B5"/>
    <w:rsid w:val="00B048DC"/>
    <w:rsid w:val="00B13628"/>
    <w:rsid w:val="00B140B3"/>
    <w:rsid w:val="00B1596A"/>
    <w:rsid w:val="00B160E9"/>
    <w:rsid w:val="00B168DA"/>
    <w:rsid w:val="00B16AB8"/>
    <w:rsid w:val="00B16BA2"/>
    <w:rsid w:val="00B1762B"/>
    <w:rsid w:val="00B1769D"/>
    <w:rsid w:val="00B17F70"/>
    <w:rsid w:val="00B236D9"/>
    <w:rsid w:val="00B238B6"/>
    <w:rsid w:val="00B23B32"/>
    <w:rsid w:val="00B26E8F"/>
    <w:rsid w:val="00B27D32"/>
    <w:rsid w:val="00B30AF7"/>
    <w:rsid w:val="00B30B67"/>
    <w:rsid w:val="00B311C6"/>
    <w:rsid w:val="00B313A2"/>
    <w:rsid w:val="00B3261B"/>
    <w:rsid w:val="00B35DE0"/>
    <w:rsid w:val="00B4098A"/>
    <w:rsid w:val="00B40B1A"/>
    <w:rsid w:val="00B41119"/>
    <w:rsid w:val="00B41543"/>
    <w:rsid w:val="00B422A7"/>
    <w:rsid w:val="00B42AE6"/>
    <w:rsid w:val="00B42FFA"/>
    <w:rsid w:val="00B43F7C"/>
    <w:rsid w:val="00B54FE9"/>
    <w:rsid w:val="00B5519B"/>
    <w:rsid w:val="00B55949"/>
    <w:rsid w:val="00B56960"/>
    <w:rsid w:val="00B61B34"/>
    <w:rsid w:val="00B6430E"/>
    <w:rsid w:val="00B6618B"/>
    <w:rsid w:val="00B7048A"/>
    <w:rsid w:val="00B710B2"/>
    <w:rsid w:val="00B721EB"/>
    <w:rsid w:val="00B73460"/>
    <w:rsid w:val="00B77420"/>
    <w:rsid w:val="00B81475"/>
    <w:rsid w:val="00B83F45"/>
    <w:rsid w:val="00B906B5"/>
    <w:rsid w:val="00B91D8A"/>
    <w:rsid w:val="00B95565"/>
    <w:rsid w:val="00B95F95"/>
    <w:rsid w:val="00B961D3"/>
    <w:rsid w:val="00B970CE"/>
    <w:rsid w:val="00BA0E45"/>
    <w:rsid w:val="00BA21CC"/>
    <w:rsid w:val="00BA2C17"/>
    <w:rsid w:val="00BA2EF9"/>
    <w:rsid w:val="00BA3831"/>
    <w:rsid w:val="00BA6690"/>
    <w:rsid w:val="00BA7B2E"/>
    <w:rsid w:val="00BA7BEF"/>
    <w:rsid w:val="00BB13FC"/>
    <w:rsid w:val="00BC182B"/>
    <w:rsid w:val="00BC184F"/>
    <w:rsid w:val="00BC3B47"/>
    <w:rsid w:val="00BD0CC3"/>
    <w:rsid w:val="00BD28CB"/>
    <w:rsid w:val="00BD3A2E"/>
    <w:rsid w:val="00BD448B"/>
    <w:rsid w:val="00BD4CA7"/>
    <w:rsid w:val="00BD5207"/>
    <w:rsid w:val="00BD6700"/>
    <w:rsid w:val="00BD6B39"/>
    <w:rsid w:val="00BD7190"/>
    <w:rsid w:val="00BD7BD1"/>
    <w:rsid w:val="00BE28A9"/>
    <w:rsid w:val="00BE2FC2"/>
    <w:rsid w:val="00BE44B3"/>
    <w:rsid w:val="00BE44E4"/>
    <w:rsid w:val="00BE7377"/>
    <w:rsid w:val="00BE73F7"/>
    <w:rsid w:val="00BF060B"/>
    <w:rsid w:val="00BF1874"/>
    <w:rsid w:val="00BF4112"/>
    <w:rsid w:val="00BF51CF"/>
    <w:rsid w:val="00BF5A6F"/>
    <w:rsid w:val="00C01440"/>
    <w:rsid w:val="00C02B32"/>
    <w:rsid w:val="00C04D09"/>
    <w:rsid w:val="00C05A7A"/>
    <w:rsid w:val="00C073A2"/>
    <w:rsid w:val="00C11509"/>
    <w:rsid w:val="00C12742"/>
    <w:rsid w:val="00C136F2"/>
    <w:rsid w:val="00C16B36"/>
    <w:rsid w:val="00C21E4C"/>
    <w:rsid w:val="00C22E79"/>
    <w:rsid w:val="00C23389"/>
    <w:rsid w:val="00C24964"/>
    <w:rsid w:val="00C24F7C"/>
    <w:rsid w:val="00C25631"/>
    <w:rsid w:val="00C3526D"/>
    <w:rsid w:val="00C36EF6"/>
    <w:rsid w:val="00C37CF0"/>
    <w:rsid w:val="00C402E8"/>
    <w:rsid w:val="00C403F6"/>
    <w:rsid w:val="00C43C4C"/>
    <w:rsid w:val="00C46A2E"/>
    <w:rsid w:val="00C475F7"/>
    <w:rsid w:val="00C47A19"/>
    <w:rsid w:val="00C50BC0"/>
    <w:rsid w:val="00C512A8"/>
    <w:rsid w:val="00C517DC"/>
    <w:rsid w:val="00C56C4C"/>
    <w:rsid w:val="00C57C6A"/>
    <w:rsid w:val="00C64138"/>
    <w:rsid w:val="00C668A1"/>
    <w:rsid w:val="00C67E6F"/>
    <w:rsid w:val="00C70338"/>
    <w:rsid w:val="00C72E72"/>
    <w:rsid w:val="00C73147"/>
    <w:rsid w:val="00C748F6"/>
    <w:rsid w:val="00C77FDE"/>
    <w:rsid w:val="00C8145D"/>
    <w:rsid w:val="00C828E1"/>
    <w:rsid w:val="00C842EB"/>
    <w:rsid w:val="00C8611F"/>
    <w:rsid w:val="00C9017D"/>
    <w:rsid w:val="00C904F2"/>
    <w:rsid w:val="00C908CF"/>
    <w:rsid w:val="00C922CE"/>
    <w:rsid w:val="00C93280"/>
    <w:rsid w:val="00C948E6"/>
    <w:rsid w:val="00C94E88"/>
    <w:rsid w:val="00C958C5"/>
    <w:rsid w:val="00C979E1"/>
    <w:rsid w:val="00CA0FCC"/>
    <w:rsid w:val="00CA39C8"/>
    <w:rsid w:val="00CA57D3"/>
    <w:rsid w:val="00CA58BB"/>
    <w:rsid w:val="00CB0774"/>
    <w:rsid w:val="00CB1228"/>
    <w:rsid w:val="00CB2C87"/>
    <w:rsid w:val="00CB3B67"/>
    <w:rsid w:val="00CB5435"/>
    <w:rsid w:val="00CB68DB"/>
    <w:rsid w:val="00CC00F1"/>
    <w:rsid w:val="00CC4304"/>
    <w:rsid w:val="00CC58DD"/>
    <w:rsid w:val="00CC6C7F"/>
    <w:rsid w:val="00CC7E42"/>
    <w:rsid w:val="00CD07D0"/>
    <w:rsid w:val="00CD0DA2"/>
    <w:rsid w:val="00CD4AED"/>
    <w:rsid w:val="00CD78D1"/>
    <w:rsid w:val="00CE03B3"/>
    <w:rsid w:val="00CE2379"/>
    <w:rsid w:val="00CE2837"/>
    <w:rsid w:val="00CE300C"/>
    <w:rsid w:val="00CE59D3"/>
    <w:rsid w:val="00CE7363"/>
    <w:rsid w:val="00CE7584"/>
    <w:rsid w:val="00CE7D1C"/>
    <w:rsid w:val="00CF05B0"/>
    <w:rsid w:val="00CF1EFF"/>
    <w:rsid w:val="00CF2EDC"/>
    <w:rsid w:val="00CF3298"/>
    <w:rsid w:val="00CF53A3"/>
    <w:rsid w:val="00CF5965"/>
    <w:rsid w:val="00CF5A79"/>
    <w:rsid w:val="00CF68AE"/>
    <w:rsid w:val="00CF6D46"/>
    <w:rsid w:val="00CF6FDB"/>
    <w:rsid w:val="00D00E02"/>
    <w:rsid w:val="00D01EFA"/>
    <w:rsid w:val="00D0293F"/>
    <w:rsid w:val="00D04B03"/>
    <w:rsid w:val="00D04E56"/>
    <w:rsid w:val="00D11A7F"/>
    <w:rsid w:val="00D11B5F"/>
    <w:rsid w:val="00D11FE4"/>
    <w:rsid w:val="00D13628"/>
    <w:rsid w:val="00D13823"/>
    <w:rsid w:val="00D209D9"/>
    <w:rsid w:val="00D21D59"/>
    <w:rsid w:val="00D24779"/>
    <w:rsid w:val="00D26AB4"/>
    <w:rsid w:val="00D272DD"/>
    <w:rsid w:val="00D2740F"/>
    <w:rsid w:val="00D27918"/>
    <w:rsid w:val="00D3199F"/>
    <w:rsid w:val="00D32412"/>
    <w:rsid w:val="00D331CF"/>
    <w:rsid w:val="00D337D5"/>
    <w:rsid w:val="00D34D71"/>
    <w:rsid w:val="00D36C87"/>
    <w:rsid w:val="00D40EF6"/>
    <w:rsid w:val="00D4281C"/>
    <w:rsid w:val="00D44A84"/>
    <w:rsid w:val="00D45F5B"/>
    <w:rsid w:val="00D47721"/>
    <w:rsid w:val="00D50102"/>
    <w:rsid w:val="00D508D2"/>
    <w:rsid w:val="00D50FD7"/>
    <w:rsid w:val="00D51EF0"/>
    <w:rsid w:val="00D52578"/>
    <w:rsid w:val="00D5512E"/>
    <w:rsid w:val="00D553F4"/>
    <w:rsid w:val="00D56AB1"/>
    <w:rsid w:val="00D57873"/>
    <w:rsid w:val="00D57A06"/>
    <w:rsid w:val="00D64589"/>
    <w:rsid w:val="00D65EC7"/>
    <w:rsid w:val="00D6631F"/>
    <w:rsid w:val="00D66F4C"/>
    <w:rsid w:val="00D704C1"/>
    <w:rsid w:val="00D707B6"/>
    <w:rsid w:val="00D722D5"/>
    <w:rsid w:val="00D73417"/>
    <w:rsid w:val="00D7394B"/>
    <w:rsid w:val="00D7422E"/>
    <w:rsid w:val="00D75949"/>
    <w:rsid w:val="00D75BAF"/>
    <w:rsid w:val="00D7754B"/>
    <w:rsid w:val="00D7769E"/>
    <w:rsid w:val="00D80078"/>
    <w:rsid w:val="00D80F7D"/>
    <w:rsid w:val="00D817B5"/>
    <w:rsid w:val="00D83864"/>
    <w:rsid w:val="00D86984"/>
    <w:rsid w:val="00D91279"/>
    <w:rsid w:val="00D926AB"/>
    <w:rsid w:val="00D939DC"/>
    <w:rsid w:val="00D94BF7"/>
    <w:rsid w:val="00D9672B"/>
    <w:rsid w:val="00D970FF"/>
    <w:rsid w:val="00DA1FBA"/>
    <w:rsid w:val="00DA27F4"/>
    <w:rsid w:val="00DB14D8"/>
    <w:rsid w:val="00DB34BF"/>
    <w:rsid w:val="00DB7758"/>
    <w:rsid w:val="00DB7CD6"/>
    <w:rsid w:val="00DC02B5"/>
    <w:rsid w:val="00DC116B"/>
    <w:rsid w:val="00DC3006"/>
    <w:rsid w:val="00DC30A3"/>
    <w:rsid w:val="00DC3BCD"/>
    <w:rsid w:val="00DC51B1"/>
    <w:rsid w:val="00DC62C6"/>
    <w:rsid w:val="00DC72F7"/>
    <w:rsid w:val="00DC7D93"/>
    <w:rsid w:val="00DD0DFE"/>
    <w:rsid w:val="00DD76E5"/>
    <w:rsid w:val="00DD77FF"/>
    <w:rsid w:val="00DE0C61"/>
    <w:rsid w:val="00DE1B64"/>
    <w:rsid w:val="00DE1D17"/>
    <w:rsid w:val="00DE3C73"/>
    <w:rsid w:val="00DE654B"/>
    <w:rsid w:val="00DE67DA"/>
    <w:rsid w:val="00DE6E43"/>
    <w:rsid w:val="00DE6F7E"/>
    <w:rsid w:val="00DF1092"/>
    <w:rsid w:val="00DF3407"/>
    <w:rsid w:val="00DF3F93"/>
    <w:rsid w:val="00DF5178"/>
    <w:rsid w:val="00DF7E06"/>
    <w:rsid w:val="00E01886"/>
    <w:rsid w:val="00E02FCE"/>
    <w:rsid w:val="00E15916"/>
    <w:rsid w:val="00E15EEC"/>
    <w:rsid w:val="00E164C2"/>
    <w:rsid w:val="00E20328"/>
    <w:rsid w:val="00E22891"/>
    <w:rsid w:val="00E2349F"/>
    <w:rsid w:val="00E23CD2"/>
    <w:rsid w:val="00E24430"/>
    <w:rsid w:val="00E24544"/>
    <w:rsid w:val="00E27335"/>
    <w:rsid w:val="00E300C1"/>
    <w:rsid w:val="00E30E6C"/>
    <w:rsid w:val="00E34054"/>
    <w:rsid w:val="00E34A01"/>
    <w:rsid w:val="00E41A4F"/>
    <w:rsid w:val="00E43599"/>
    <w:rsid w:val="00E512BD"/>
    <w:rsid w:val="00E513B0"/>
    <w:rsid w:val="00E5320A"/>
    <w:rsid w:val="00E54009"/>
    <w:rsid w:val="00E55EBA"/>
    <w:rsid w:val="00E61182"/>
    <w:rsid w:val="00E6478C"/>
    <w:rsid w:val="00E65BF0"/>
    <w:rsid w:val="00E66380"/>
    <w:rsid w:val="00E721C2"/>
    <w:rsid w:val="00E721EA"/>
    <w:rsid w:val="00E74689"/>
    <w:rsid w:val="00E74D44"/>
    <w:rsid w:val="00E8418A"/>
    <w:rsid w:val="00E862CC"/>
    <w:rsid w:val="00E902D9"/>
    <w:rsid w:val="00E904F0"/>
    <w:rsid w:val="00E91EC7"/>
    <w:rsid w:val="00E925EC"/>
    <w:rsid w:val="00E9361F"/>
    <w:rsid w:val="00E95E59"/>
    <w:rsid w:val="00E9754D"/>
    <w:rsid w:val="00EA1CE4"/>
    <w:rsid w:val="00EA1DC3"/>
    <w:rsid w:val="00EA2889"/>
    <w:rsid w:val="00EA2F44"/>
    <w:rsid w:val="00EA4093"/>
    <w:rsid w:val="00EA43FE"/>
    <w:rsid w:val="00EA7EB6"/>
    <w:rsid w:val="00EB0C9F"/>
    <w:rsid w:val="00EB3DF8"/>
    <w:rsid w:val="00EB663F"/>
    <w:rsid w:val="00EC046C"/>
    <w:rsid w:val="00EC0C59"/>
    <w:rsid w:val="00EC3573"/>
    <w:rsid w:val="00EC59AA"/>
    <w:rsid w:val="00EC5EFE"/>
    <w:rsid w:val="00EC6FEA"/>
    <w:rsid w:val="00ED0204"/>
    <w:rsid w:val="00ED0250"/>
    <w:rsid w:val="00ED0D90"/>
    <w:rsid w:val="00ED2611"/>
    <w:rsid w:val="00ED29EA"/>
    <w:rsid w:val="00ED3ADD"/>
    <w:rsid w:val="00ED7DCA"/>
    <w:rsid w:val="00EE42B1"/>
    <w:rsid w:val="00EE544B"/>
    <w:rsid w:val="00EE5916"/>
    <w:rsid w:val="00EE6537"/>
    <w:rsid w:val="00EF0001"/>
    <w:rsid w:val="00EF20B0"/>
    <w:rsid w:val="00EF22A1"/>
    <w:rsid w:val="00EF3442"/>
    <w:rsid w:val="00EF4487"/>
    <w:rsid w:val="00EF525B"/>
    <w:rsid w:val="00EF60C1"/>
    <w:rsid w:val="00EF62D4"/>
    <w:rsid w:val="00EF7534"/>
    <w:rsid w:val="00F018D8"/>
    <w:rsid w:val="00F032C4"/>
    <w:rsid w:val="00F0441A"/>
    <w:rsid w:val="00F048E6"/>
    <w:rsid w:val="00F06157"/>
    <w:rsid w:val="00F06AFA"/>
    <w:rsid w:val="00F10C34"/>
    <w:rsid w:val="00F13681"/>
    <w:rsid w:val="00F14B53"/>
    <w:rsid w:val="00F15E63"/>
    <w:rsid w:val="00F2189D"/>
    <w:rsid w:val="00F22F37"/>
    <w:rsid w:val="00F23190"/>
    <w:rsid w:val="00F2441F"/>
    <w:rsid w:val="00F25715"/>
    <w:rsid w:val="00F25B00"/>
    <w:rsid w:val="00F25B17"/>
    <w:rsid w:val="00F30433"/>
    <w:rsid w:val="00F33980"/>
    <w:rsid w:val="00F35A33"/>
    <w:rsid w:val="00F3607F"/>
    <w:rsid w:val="00F371AF"/>
    <w:rsid w:val="00F374F2"/>
    <w:rsid w:val="00F37DF1"/>
    <w:rsid w:val="00F405A4"/>
    <w:rsid w:val="00F409D0"/>
    <w:rsid w:val="00F40E9F"/>
    <w:rsid w:val="00F42877"/>
    <w:rsid w:val="00F43EFA"/>
    <w:rsid w:val="00F45A0F"/>
    <w:rsid w:val="00F46459"/>
    <w:rsid w:val="00F46572"/>
    <w:rsid w:val="00F46A86"/>
    <w:rsid w:val="00F52202"/>
    <w:rsid w:val="00F5263B"/>
    <w:rsid w:val="00F52711"/>
    <w:rsid w:val="00F52DCE"/>
    <w:rsid w:val="00F54C80"/>
    <w:rsid w:val="00F564CA"/>
    <w:rsid w:val="00F56825"/>
    <w:rsid w:val="00F57651"/>
    <w:rsid w:val="00F62707"/>
    <w:rsid w:val="00F63090"/>
    <w:rsid w:val="00F67B9A"/>
    <w:rsid w:val="00F7061B"/>
    <w:rsid w:val="00F713CF"/>
    <w:rsid w:val="00F7215A"/>
    <w:rsid w:val="00F72337"/>
    <w:rsid w:val="00F76007"/>
    <w:rsid w:val="00F76344"/>
    <w:rsid w:val="00F77D08"/>
    <w:rsid w:val="00F802C2"/>
    <w:rsid w:val="00F80ACF"/>
    <w:rsid w:val="00F814A3"/>
    <w:rsid w:val="00F81F86"/>
    <w:rsid w:val="00F83485"/>
    <w:rsid w:val="00F85B07"/>
    <w:rsid w:val="00F86044"/>
    <w:rsid w:val="00F862B8"/>
    <w:rsid w:val="00F863A2"/>
    <w:rsid w:val="00F8757A"/>
    <w:rsid w:val="00F90071"/>
    <w:rsid w:val="00F90832"/>
    <w:rsid w:val="00F91886"/>
    <w:rsid w:val="00F932F0"/>
    <w:rsid w:val="00F96DC5"/>
    <w:rsid w:val="00F97412"/>
    <w:rsid w:val="00F97C7B"/>
    <w:rsid w:val="00F97F2E"/>
    <w:rsid w:val="00FA2923"/>
    <w:rsid w:val="00FA3C4E"/>
    <w:rsid w:val="00FB0A60"/>
    <w:rsid w:val="00FB22EB"/>
    <w:rsid w:val="00FB5031"/>
    <w:rsid w:val="00FB53F2"/>
    <w:rsid w:val="00FC0352"/>
    <w:rsid w:val="00FC145B"/>
    <w:rsid w:val="00FC37C9"/>
    <w:rsid w:val="00FC6FE6"/>
    <w:rsid w:val="00FC71EE"/>
    <w:rsid w:val="00FC7737"/>
    <w:rsid w:val="00FD0975"/>
    <w:rsid w:val="00FD1C62"/>
    <w:rsid w:val="00FD231F"/>
    <w:rsid w:val="00FD41E6"/>
    <w:rsid w:val="00FD7E58"/>
    <w:rsid w:val="00FE0477"/>
    <w:rsid w:val="00FE205F"/>
    <w:rsid w:val="00FE2514"/>
    <w:rsid w:val="00FE2B8B"/>
    <w:rsid w:val="00FE32B7"/>
    <w:rsid w:val="00FE3745"/>
    <w:rsid w:val="00FE41C9"/>
    <w:rsid w:val="00FE4C1E"/>
    <w:rsid w:val="00FE4F78"/>
    <w:rsid w:val="00FE5496"/>
    <w:rsid w:val="00FE666A"/>
    <w:rsid w:val="00FE6A02"/>
    <w:rsid w:val="00FF19AF"/>
    <w:rsid w:val="00FF773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953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73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73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737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737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E737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E737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E737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E737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E737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3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73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737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737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E737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E737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E737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E737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E737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E73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3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37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737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E7377"/>
    <w:pPr>
      <w:spacing w:before="160"/>
      <w:jc w:val="center"/>
    </w:pPr>
    <w:rPr>
      <w:i/>
      <w:iCs/>
      <w:color w:val="404040" w:themeColor="text1" w:themeTint="BF"/>
    </w:rPr>
  </w:style>
  <w:style w:type="character" w:customStyle="1" w:styleId="QuoteChar">
    <w:name w:val="Quote Char"/>
    <w:basedOn w:val="DefaultParagraphFont"/>
    <w:link w:val="Quote"/>
    <w:uiPriority w:val="29"/>
    <w:rsid w:val="00BE7377"/>
    <w:rPr>
      <w:i/>
      <w:iCs/>
      <w:color w:val="404040" w:themeColor="text1" w:themeTint="BF"/>
    </w:rPr>
  </w:style>
  <w:style w:type="paragraph" w:styleId="ListParagraph">
    <w:name w:val="List Paragraph"/>
    <w:basedOn w:val="Normal"/>
    <w:link w:val="ListParagraphChar"/>
    <w:uiPriority w:val="34"/>
    <w:qFormat/>
    <w:rsid w:val="00BE7377"/>
    <w:pPr>
      <w:ind w:left="720"/>
      <w:contextualSpacing/>
    </w:pPr>
  </w:style>
  <w:style w:type="character" w:styleId="IntenseEmphasis">
    <w:name w:val="Intense Emphasis"/>
    <w:basedOn w:val="DefaultParagraphFont"/>
    <w:uiPriority w:val="21"/>
    <w:qFormat/>
    <w:rsid w:val="00BE7377"/>
    <w:rPr>
      <w:i/>
      <w:iCs/>
      <w:color w:val="0F4761" w:themeColor="accent1" w:themeShade="BF"/>
    </w:rPr>
  </w:style>
  <w:style w:type="paragraph" w:styleId="IntenseQuote">
    <w:name w:val="Intense Quote"/>
    <w:basedOn w:val="Normal"/>
    <w:next w:val="Normal"/>
    <w:link w:val="IntenseQuoteChar"/>
    <w:uiPriority w:val="30"/>
    <w:qFormat/>
    <w:rsid w:val="00BE73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7377"/>
    <w:rPr>
      <w:i/>
      <w:iCs/>
      <w:color w:val="0F4761" w:themeColor="accent1" w:themeShade="BF"/>
    </w:rPr>
  </w:style>
  <w:style w:type="character" w:styleId="IntenseReference">
    <w:name w:val="Intense Reference"/>
    <w:basedOn w:val="DefaultParagraphFont"/>
    <w:uiPriority w:val="32"/>
    <w:qFormat/>
    <w:rsid w:val="00BE7377"/>
    <w:rPr>
      <w:b/>
      <w:bCs/>
      <w:smallCaps/>
      <w:color w:val="0F4761" w:themeColor="accent1" w:themeShade="BF"/>
      <w:spacing w:val="5"/>
    </w:rPr>
  </w:style>
  <w:style w:type="paragraph" w:styleId="Header">
    <w:name w:val="header"/>
    <w:basedOn w:val="Normal"/>
    <w:link w:val="HeaderChar"/>
    <w:uiPriority w:val="99"/>
    <w:unhideWhenUsed/>
    <w:rsid w:val="006633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3DF"/>
  </w:style>
  <w:style w:type="paragraph" w:styleId="Footer">
    <w:name w:val="footer"/>
    <w:basedOn w:val="Normal"/>
    <w:link w:val="FooterChar"/>
    <w:uiPriority w:val="99"/>
    <w:unhideWhenUsed/>
    <w:rsid w:val="00663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33DF"/>
  </w:style>
  <w:style w:type="paragraph" w:styleId="ListBullet">
    <w:name w:val="List Bullet"/>
    <w:basedOn w:val="Normal"/>
    <w:uiPriority w:val="99"/>
    <w:unhideWhenUsed/>
    <w:rsid w:val="00F46A86"/>
    <w:pPr>
      <w:numPr>
        <w:numId w:val="4"/>
      </w:numPr>
      <w:contextualSpacing/>
    </w:pPr>
  </w:style>
  <w:style w:type="character" w:styleId="Hyperlink">
    <w:name w:val="Hyperlink"/>
    <w:basedOn w:val="DefaultParagraphFont"/>
    <w:uiPriority w:val="99"/>
    <w:unhideWhenUsed/>
    <w:rsid w:val="00BE2FC2"/>
    <w:rPr>
      <w:color w:val="467886" w:themeColor="hyperlink"/>
      <w:u w:val="single"/>
    </w:rPr>
  </w:style>
  <w:style w:type="character" w:styleId="UnresolvedMention">
    <w:name w:val="Unresolved Mention"/>
    <w:basedOn w:val="DefaultParagraphFont"/>
    <w:uiPriority w:val="99"/>
    <w:semiHidden/>
    <w:unhideWhenUsed/>
    <w:rsid w:val="00BE2FC2"/>
    <w:rPr>
      <w:color w:val="605E5C"/>
      <w:shd w:val="clear" w:color="auto" w:fill="E1DFDD"/>
    </w:rPr>
  </w:style>
  <w:style w:type="character" w:styleId="CommentReference">
    <w:name w:val="annotation reference"/>
    <w:basedOn w:val="DefaultParagraphFont"/>
    <w:uiPriority w:val="99"/>
    <w:semiHidden/>
    <w:unhideWhenUsed/>
    <w:rsid w:val="00A1332E"/>
    <w:rPr>
      <w:sz w:val="16"/>
      <w:szCs w:val="16"/>
    </w:rPr>
  </w:style>
  <w:style w:type="paragraph" w:styleId="CommentText">
    <w:name w:val="annotation text"/>
    <w:basedOn w:val="Normal"/>
    <w:link w:val="CommentTextChar"/>
    <w:uiPriority w:val="99"/>
    <w:unhideWhenUsed/>
    <w:rsid w:val="00A1332E"/>
    <w:pPr>
      <w:spacing w:line="240" w:lineRule="auto"/>
    </w:pPr>
    <w:rPr>
      <w:sz w:val="20"/>
      <w:szCs w:val="20"/>
    </w:rPr>
  </w:style>
  <w:style w:type="character" w:customStyle="1" w:styleId="CommentTextChar">
    <w:name w:val="Comment Text Char"/>
    <w:basedOn w:val="DefaultParagraphFont"/>
    <w:link w:val="CommentText"/>
    <w:uiPriority w:val="99"/>
    <w:rsid w:val="00A1332E"/>
    <w:rPr>
      <w:sz w:val="20"/>
      <w:szCs w:val="20"/>
    </w:rPr>
  </w:style>
  <w:style w:type="paragraph" w:styleId="CommentSubject">
    <w:name w:val="annotation subject"/>
    <w:basedOn w:val="CommentText"/>
    <w:next w:val="CommentText"/>
    <w:link w:val="CommentSubjectChar"/>
    <w:uiPriority w:val="99"/>
    <w:semiHidden/>
    <w:unhideWhenUsed/>
    <w:rsid w:val="00A1332E"/>
    <w:rPr>
      <w:b/>
      <w:bCs/>
    </w:rPr>
  </w:style>
  <w:style w:type="character" w:customStyle="1" w:styleId="CommentSubjectChar">
    <w:name w:val="Comment Subject Char"/>
    <w:basedOn w:val="CommentTextChar"/>
    <w:link w:val="CommentSubject"/>
    <w:uiPriority w:val="99"/>
    <w:semiHidden/>
    <w:rsid w:val="00A1332E"/>
    <w:rPr>
      <w:b/>
      <w:bCs/>
      <w:sz w:val="20"/>
      <w:szCs w:val="20"/>
    </w:rPr>
  </w:style>
  <w:style w:type="paragraph" w:styleId="BodyText2">
    <w:name w:val="Body Text 2"/>
    <w:basedOn w:val="Normal"/>
    <w:link w:val="BodyText2Char"/>
    <w:rsid w:val="00F90832"/>
    <w:pPr>
      <w:spacing w:after="0" w:line="240" w:lineRule="auto"/>
      <w:jc w:val="right"/>
    </w:pPr>
    <w:rPr>
      <w:rFonts w:ascii="Garamond" w:eastAsia="Times New Roman" w:hAnsi="Garamond" w:cs="Times New Roman"/>
      <w:kern w:val="0"/>
      <w:sz w:val="28"/>
      <w:szCs w:val="28"/>
      <w14:ligatures w14:val="none"/>
    </w:rPr>
  </w:style>
  <w:style w:type="character" w:customStyle="1" w:styleId="BodyText2Char">
    <w:name w:val="Body Text 2 Char"/>
    <w:basedOn w:val="DefaultParagraphFont"/>
    <w:link w:val="BodyText2"/>
    <w:rsid w:val="00F90832"/>
    <w:rPr>
      <w:rFonts w:ascii="Garamond" w:eastAsia="Times New Roman" w:hAnsi="Garamond" w:cs="Times New Roman"/>
      <w:kern w:val="0"/>
      <w:sz w:val="28"/>
      <w:szCs w:val="28"/>
      <w14:ligatures w14:val="none"/>
    </w:rPr>
  </w:style>
  <w:style w:type="character" w:customStyle="1" w:styleId="ListParagraphChar">
    <w:name w:val="List Paragraph Char"/>
    <w:basedOn w:val="DefaultParagraphFont"/>
    <w:link w:val="ListParagraph"/>
    <w:uiPriority w:val="34"/>
    <w:rsid w:val="000F39E5"/>
  </w:style>
  <w:style w:type="paragraph" w:styleId="NormalWeb">
    <w:name w:val="Normal (Web)"/>
    <w:basedOn w:val="Normal"/>
    <w:uiPriority w:val="99"/>
    <w:unhideWhenUsed/>
    <w:rsid w:val="00954983"/>
    <w:rPr>
      <w:rFonts w:cs="Times New Roman"/>
    </w:rPr>
  </w:style>
  <w:style w:type="character" w:styleId="Emphasis">
    <w:name w:val="Emphasis"/>
    <w:basedOn w:val="DefaultParagraphFont"/>
    <w:uiPriority w:val="20"/>
    <w:qFormat/>
    <w:rsid w:val="00894147"/>
    <w:rPr>
      <w:i/>
      <w:iCs/>
      <w:color w:val="000000" w:themeColor="text1"/>
    </w:rPr>
  </w:style>
  <w:style w:type="character" w:customStyle="1" w:styleId="st">
    <w:name w:val="st"/>
    <w:basedOn w:val="DefaultParagraphFont"/>
    <w:rsid w:val="00894147"/>
  </w:style>
  <w:style w:type="paragraph" w:styleId="FootnoteText">
    <w:name w:val="footnote text"/>
    <w:basedOn w:val="Normal"/>
    <w:link w:val="FootnoteTextChar"/>
    <w:uiPriority w:val="99"/>
    <w:semiHidden/>
    <w:unhideWhenUsed/>
    <w:rsid w:val="00081E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1EBA"/>
    <w:rPr>
      <w:sz w:val="20"/>
      <w:szCs w:val="20"/>
    </w:rPr>
  </w:style>
  <w:style w:type="character" w:styleId="FootnoteReference">
    <w:name w:val="footnote reference"/>
    <w:basedOn w:val="DefaultParagraphFont"/>
    <w:uiPriority w:val="99"/>
    <w:semiHidden/>
    <w:unhideWhenUsed/>
    <w:rsid w:val="00081EBA"/>
    <w:rPr>
      <w:vertAlign w:val="superscript"/>
    </w:rPr>
  </w:style>
  <w:style w:type="paragraph" w:styleId="Revision">
    <w:name w:val="Revision"/>
    <w:hidden/>
    <w:uiPriority w:val="99"/>
    <w:semiHidden/>
    <w:rsid w:val="000E2382"/>
    <w:pPr>
      <w:spacing w:after="0" w:line="240" w:lineRule="auto"/>
    </w:pPr>
  </w:style>
  <w:style w:type="character" w:styleId="Strong">
    <w:name w:val="Strong"/>
    <w:basedOn w:val="DefaultParagraphFont"/>
    <w:uiPriority w:val="22"/>
    <w:qFormat/>
    <w:rsid w:val="004D498C"/>
    <w:rPr>
      <w:b/>
      <w:bCs/>
    </w:rPr>
  </w:style>
  <w:style w:type="character" w:styleId="EndnoteReference">
    <w:name w:val="endnote reference"/>
    <w:basedOn w:val="DefaultParagraphFont"/>
    <w:unhideWhenUsed/>
    <w:rsid w:val="00162C66"/>
    <w:rPr>
      <w:vertAlign w:val="superscript"/>
    </w:rPr>
  </w:style>
  <w:style w:type="table" w:styleId="TableGrid">
    <w:name w:val="Table Grid"/>
    <w:basedOn w:val="TableNormal"/>
    <w:rsid w:val="00B6618B"/>
    <w:pPr>
      <w:spacing w:after="0" w:line="240" w:lineRule="auto"/>
    </w:pPr>
    <w:rPr>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6904">
      <w:bodyDiv w:val="1"/>
      <w:marLeft w:val="0"/>
      <w:marRight w:val="0"/>
      <w:marTop w:val="0"/>
      <w:marBottom w:val="0"/>
      <w:divBdr>
        <w:top w:val="none" w:sz="0" w:space="0" w:color="auto"/>
        <w:left w:val="none" w:sz="0" w:space="0" w:color="auto"/>
        <w:bottom w:val="none" w:sz="0" w:space="0" w:color="auto"/>
        <w:right w:val="none" w:sz="0" w:space="0" w:color="auto"/>
      </w:divBdr>
    </w:div>
    <w:div w:id="64380484">
      <w:bodyDiv w:val="1"/>
      <w:marLeft w:val="0"/>
      <w:marRight w:val="0"/>
      <w:marTop w:val="0"/>
      <w:marBottom w:val="0"/>
      <w:divBdr>
        <w:top w:val="none" w:sz="0" w:space="0" w:color="auto"/>
        <w:left w:val="none" w:sz="0" w:space="0" w:color="auto"/>
        <w:bottom w:val="none" w:sz="0" w:space="0" w:color="auto"/>
        <w:right w:val="none" w:sz="0" w:space="0" w:color="auto"/>
      </w:divBdr>
    </w:div>
    <w:div w:id="130559558">
      <w:bodyDiv w:val="1"/>
      <w:marLeft w:val="0"/>
      <w:marRight w:val="0"/>
      <w:marTop w:val="0"/>
      <w:marBottom w:val="0"/>
      <w:divBdr>
        <w:top w:val="none" w:sz="0" w:space="0" w:color="auto"/>
        <w:left w:val="none" w:sz="0" w:space="0" w:color="auto"/>
        <w:bottom w:val="none" w:sz="0" w:space="0" w:color="auto"/>
        <w:right w:val="none" w:sz="0" w:space="0" w:color="auto"/>
      </w:divBdr>
      <w:divsChild>
        <w:div w:id="990139541">
          <w:marLeft w:val="0"/>
          <w:marRight w:val="0"/>
          <w:marTop w:val="0"/>
          <w:marBottom w:val="0"/>
          <w:divBdr>
            <w:top w:val="none" w:sz="0" w:space="0" w:color="auto"/>
            <w:left w:val="none" w:sz="0" w:space="0" w:color="auto"/>
            <w:bottom w:val="none" w:sz="0" w:space="0" w:color="auto"/>
            <w:right w:val="none" w:sz="0" w:space="0" w:color="auto"/>
          </w:divBdr>
          <w:divsChild>
            <w:div w:id="1911889944">
              <w:marLeft w:val="0"/>
              <w:marRight w:val="0"/>
              <w:marTop w:val="0"/>
              <w:marBottom w:val="0"/>
              <w:divBdr>
                <w:top w:val="none" w:sz="0" w:space="0" w:color="auto"/>
                <w:left w:val="none" w:sz="0" w:space="0" w:color="auto"/>
                <w:bottom w:val="none" w:sz="0" w:space="0" w:color="auto"/>
                <w:right w:val="none" w:sz="0" w:space="0" w:color="auto"/>
              </w:divBdr>
              <w:divsChild>
                <w:div w:id="183790033">
                  <w:marLeft w:val="0"/>
                  <w:marRight w:val="0"/>
                  <w:marTop w:val="0"/>
                  <w:marBottom w:val="0"/>
                  <w:divBdr>
                    <w:top w:val="none" w:sz="0" w:space="0" w:color="auto"/>
                    <w:left w:val="none" w:sz="0" w:space="0" w:color="auto"/>
                    <w:bottom w:val="none" w:sz="0" w:space="0" w:color="auto"/>
                    <w:right w:val="none" w:sz="0" w:space="0" w:color="auto"/>
                  </w:divBdr>
                  <w:divsChild>
                    <w:div w:id="1549992490">
                      <w:marLeft w:val="0"/>
                      <w:marRight w:val="0"/>
                      <w:marTop w:val="0"/>
                      <w:marBottom w:val="0"/>
                      <w:divBdr>
                        <w:top w:val="none" w:sz="0" w:space="0" w:color="auto"/>
                        <w:left w:val="none" w:sz="0" w:space="0" w:color="auto"/>
                        <w:bottom w:val="none" w:sz="0" w:space="0" w:color="auto"/>
                        <w:right w:val="none" w:sz="0" w:space="0" w:color="auto"/>
                      </w:divBdr>
                      <w:divsChild>
                        <w:div w:id="830870201">
                          <w:marLeft w:val="0"/>
                          <w:marRight w:val="0"/>
                          <w:marTop w:val="0"/>
                          <w:marBottom w:val="0"/>
                          <w:divBdr>
                            <w:top w:val="none" w:sz="0" w:space="0" w:color="auto"/>
                            <w:left w:val="none" w:sz="0" w:space="0" w:color="auto"/>
                            <w:bottom w:val="none" w:sz="0" w:space="0" w:color="auto"/>
                            <w:right w:val="none" w:sz="0" w:space="0" w:color="auto"/>
                          </w:divBdr>
                          <w:divsChild>
                            <w:div w:id="203680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124654">
                  <w:marLeft w:val="0"/>
                  <w:marRight w:val="0"/>
                  <w:marTop w:val="0"/>
                  <w:marBottom w:val="0"/>
                  <w:divBdr>
                    <w:top w:val="none" w:sz="0" w:space="0" w:color="auto"/>
                    <w:left w:val="none" w:sz="0" w:space="0" w:color="auto"/>
                    <w:bottom w:val="none" w:sz="0" w:space="0" w:color="auto"/>
                    <w:right w:val="none" w:sz="0" w:space="0" w:color="auto"/>
                  </w:divBdr>
                  <w:divsChild>
                    <w:div w:id="21397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03145">
      <w:bodyDiv w:val="1"/>
      <w:marLeft w:val="0"/>
      <w:marRight w:val="0"/>
      <w:marTop w:val="0"/>
      <w:marBottom w:val="0"/>
      <w:divBdr>
        <w:top w:val="none" w:sz="0" w:space="0" w:color="auto"/>
        <w:left w:val="none" w:sz="0" w:space="0" w:color="auto"/>
        <w:bottom w:val="none" w:sz="0" w:space="0" w:color="auto"/>
        <w:right w:val="none" w:sz="0" w:space="0" w:color="auto"/>
      </w:divBdr>
    </w:div>
    <w:div w:id="219827088">
      <w:bodyDiv w:val="1"/>
      <w:marLeft w:val="0"/>
      <w:marRight w:val="0"/>
      <w:marTop w:val="0"/>
      <w:marBottom w:val="0"/>
      <w:divBdr>
        <w:top w:val="none" w:sz="0" w:space="0" w:color="auto"/>
        <w:left w:val="none" w:sz="0" w:space="0" w:color="auto"/>
        <w:bottom w:val="none" w:sz="0" w:space="0" w:color="auto"/>
        <w:right w:val="none" w:sz="0" w:space="0" w:color="auto"/>
      </w:divBdr>
    </w:div>
    <w:div w:id="246963547">
      <w:bodyDiv w:val="1"/>
      <w:marLeft w:val="0"/>
      <w:marRight w:val="0"/>
      <w:marTop w:val="0"/>
      <w:marBottom w:val="0"/>
      <w:divBdr>
        <w:top w:val="none" w:sz="0" w:space="0" w:color="auto"/>
        <w:left w:val="none" w:sz="0" w:space="0" w:color="auto"/>
        <w:bottom w:val="none" w:sz="0" w:space="0" w:color="auto"/>
        <w:right w:val="none" w:sz="0" w:space="0" w:color="auto"/>
      </w:divBdr>
    </w:div>
    <w:div w:id="262299384">
      <w:bodyDiv w:val="1"/>
      <w:marLeft w:val="0"/>
      <w:marRight w:val="0"/>
      <w:marTop w:val="0"/>
      <w:marBottom w:val="0"/>
      <w:divBdr>
        <w:top w:val="none" w:sz="0" w:space="0" w:color="auto"/>
        <w:left w:val="none" w:sz="0" w:space="0" w:color="auto"/>
        <w:bottom w:val="none" w:sz="0" w:space="0" w:color="auto"/>
        <w:right w:val="none" w:sz="0" w:space="0" w:color="auto"/>
      </w:divBdr>
    </w:div>
    <w:div w:id="272641301">
      <w:bodyDiv w:val="1"/>
      <w:marLeft w:val="0"/>
      <w:marRight w:val="0"/>
      <w:marTop w:val="0"/>
      <w:marBottom w:val="0"/>
      <w:divBdr>
        <w:top w:val="none" w:sz="0" w:space="0" w:color="auto"/>
        <w:left w:val="none" w:sz="0" w:space="0" w:color="auto"/>
        <w:bottom w:val="none" w:sz="0" w:space="0" w:color="auto"/>
        <w:right w:val="none" w:sz="0" w:space="0" w:color="auto"/>
      </w:divBdr>
    </w:div>
    <w:div w:id="291525476">
      <w:bodyDiv w:val="1"/>
      <w:marLeft w:val="0"/>
      <w:marRight w:val="0"/>
      <w:marTop w:val="0"/>
      <w:marBottom w:val="0"/>
      <w:divBdr>
        <w:top w:val="none" w:sz="0" w:space="0" w:color="auto"/>
        <w:left w:val="none" w:sz="0" w:space="0" w:color="auto"/>
        <w:bottom w:val="none" w:sz="0" w:space="0" w:color="auto"/>
        <w:right w:val="none" w:sz="0" w:space="0" w:color="auto"/>
      </w:divBdr>
    </w:div>
    <w:div w:id="323901835">
      <w:bodyDiv w:val="1"/>
      <w:marLeft w:val="0"/>
      <w:marRight w:val="0"/>
      <w:marTop w:val="0"/>
      <w:marBottom w:val="0"/>
      <w:divBdr>
        <w:top w:val="none" w:sz="0" w:space="0" w:color="auto"/>
        <w:left w:val="none" w:sz="0" w:space="0" w:color="auto"/>
        <w:bottom w:val="none" w:sz="0" w:space="0" w:color="auto"/>
        <w:right w:val="none" w:sz="0" w:space="0" w:color="auto"/>
      </w:divBdr>
    </w:div>
    <w:div w:id="360519942">
      <w:bodyDiv w:val="1"/>
      <w:marLeft w:val="0"/>
      <w:marRight w:val="0"/>
      <w:marTop w:val="0"/>
      <w:marBottom w:val="0"/>
      <w:divBdr>
        <w:top w:val="none" w:sz="0" w:space="0" w:color="auto"/>
        <w:left w:val="none" w:sz="0" w:space="0" w:color="auto"/>
        <w:bottom w:val="none" w:sz="0" w:space="0" w:color="auto"/>
        <w:right w:val="none" w:sz="0" w:space="0" w:color="auto"/>
      </w:divBdr>
    </w:div>
    <w:div w:id="402871630">
      <w:bodyDiv w:val="1"/>
      <w:marLeft w:val="0"/>
      <w:marRight w:val="0"/>
      <w:marTop w:val="0"/>
      <w:marBottom w:val="0"/>
      <w:divBdr>
        <w:top w:val="none" w:sz="0" w:space="0" w:color="auto"/>
        <w:left w:val="none" w:sz="0" w:space="0" w:color="auto"/>
        <w:bottom w:val="none" w:sz="0" w:space="0" w:color="auto"/>
        <w:right w:val="none" w:sz="0" w:space="0" w:color="auto"/>
      </w:divBdr>
    </w:div>
    <w:div w:id="414128372">
      <w:bodyDiv w:val="1"/>
      <w:marLeft w:val="0"/>
      <w:marRight w:val="0"/>
      <w:marTop w:val="0"/>
      <w:marBottom w:val="0"/>
      <w:divBdr>
        <w:top w:val="none" w:sz="0" w:space="0" w:color="auto"/>
        <w:left w:val="none" w:sz="0" w:space="0" w:color="auto"/>
        <w:bottom w:val="none" w:sz="0" w:space="0" w:color="auto"/>
        <w:right w:val="none" w:sz="0" w:space="0" w:color="auto"/>
      </w:divBdr>
    </w:div>
    <w:div w:id="443230740">
      <w:bodyDiv w:val="1"/>
      <w:marLeft w:val="0"/>
      <w:marRight w:val="0"/>
      <w:marTop w:val="0"/>
      <w:marBottom w:val="0"/>
      <w:divBdr>
        <w:top w:val="none" w:sz="0" w:space="0" w:color="auto"/>
        <w:left w:val="none" w:sz="0" w:space="0" w:color="auto"/>
        <w:bottom w:val="none" w:sz="0" w:space="0" w:color="auto"/>
        <w:right w:val="none" w:sz="0" w:space="0" w:color="auto"/>
      </w:divBdr>
    </w:div>
    <w:div w:id="513803674">
      <w:bodyDiv w:val="1"/>
      <w:marLeft w:val="0"/>
      <w:marRight w:val="0"/>
      <w:marTop w:val="0"/>
      <w:marBottom w:val="0"/>
      <w:divBdr>
        <w:top w:val="none" w:sz="0" w:space="0" w:color="auto"/>
        <w:left w:val="none" w:sz="0" w:space="0" w:color="auto"/>
        <w:bottom w:val="none" w:sz="0" w:space="0" w:color="auto"/>
        <w:right w:val="none" w:sz="0" w:space="0" w:color="auto"/>
      </w:divBdr>
    </w:div>
    <w:div w:id="545484678">
      <w:bodyDiv w:val="1"/>
      <w:marLeft w:val="0"/>
      <w:marRight w:val="0"/>
      <w:marTop w:val="0"/>
      <w:marBottom w:val="0"/>
      <w:divBdr>
        <w:top w:val="none" w:sz="0" w:space="0" w:color="auto"/>
        <w:left w:val="none" w:sz="0" w:space="0" w:color="auto"/>
        <w:bottom w:val="none" w:sz="0" w:space="0" w:color="auto"/>
        <w:right w:val="none" w:sz="0" w:space="0" w:color="auto"/>
      </w:divBdr>
    </w:div>
    <w:div w:id="603345238">
      <w:bodyDiv w:val="1"/>
      <w:marLeft w:val="0"/>
      <w:marRight w:val="0"/>
      <w:marTop w:val="0"/>
      <w:marBottom w:val="0"/>
      <w:divBdr>
        <w:top w:val="none" w:sz="0" w:space="0" w:color="auto"/>
        <w:left w:val="none" w:sz="0" w:space="0" w:color="auto"/>
        <w:bottom w:val="none" w:sz="0" w:space="0" w:color="auto"/>
        <w:right w:val="none" w:sz="0" w:space="0" w:color="auto"/>
      </w:divBdr>
    </w:div>
    <w:div w:id="622149950">
      <w:bodyDiv w:val="1"/>
      <w:marLeft w:val="0"/>
      <w:marRight w:val="0"/>
      <w:marTop w:val="0"/>
      <w:marBottom w:val="0"/>
      <w:divBdr>
        <w:top w:val="none" w:sz="0" w:space="0" w:color="auto"/>
        <w:left w:val="none" w:sz="0" w:space="0" w:color="auto"/>
        <w:bottom w:val="none" w:sz="0" w:space="0" w:color="auto"/>
        <w:right w:val="none" w:sz="0" w:space="0" w:color="auto"/>
      </w:divBdr>
    </w:div>
    <w:div w:id="717515348">
      <w:bodyDiv w:val="1"/>
      <w:marLeft w:val="0"/>
      <w:marRight w:val="0"/>
      <w:marTop w:val="0"/>
      <w:marBottom w:val="0"/>
      <w:divBdr>
        <w:top w:val="none" w:sz="0" w:space="0" w:color="auto"/>
        <w:left w:val="none" w:sz="0" w:space="0" w:color="auto"/>
        <w:bottom w:val="none" w:sz="0" w:space="0" w:color="auto"/>
        <w:right w:val="none" w:sz="0" w:space="0" w:color="auto"/>
      </w:divBdr>
    </w:div>
    <w:div w:id="765150752">
      <w:bodyDiv w:val="1"/>
      <w:marLeft w:val="0"/>
      <w:marRight w:val="0"/>
      <w:marTop w:val="0"/>
      <w:marBottom w:val="0"/>
      <w:divBdr>
        <w:top w:val="none" w:sz="0" w:space="0" w:color="auto"/>
        <w:left w:val="none" w:sz="0" w:space="0" w:color="auto"/>
        <w:bottom w:val="none" w:sz="0" w:space="0" w:color="auto"/>
        <w:right w:val="none" w:sz="0" w:space="0" w:color="auto"/>
      </w:divBdr>
    </w:div>
    <w:div w:id="790436865">
      <w:bodyDiv w:val="1"/>
      <w:marLeft w:val="0"/>
      <w:marRight w:val="0"/>
      <w:marTop w:val="0"/>
      <w:marBottom w:val="0"/>
      <w:divBdr>
        <w:top w:val="none" w:sz="0" w:space="0" w:color="auto"/>
        <w:left w:val="none" w:sz="0" w:space="0" w:color="auto"/>
        <w:bottom w:val="none" w:sz="0" w:space="0" w:color="auto"/>
        <w:right w:val="none" w:sz="0" w:space="0" w:color="auto"/>
      </w:divBdr>
    </w:div>
    <w:div w:id="807936194">
      <w:bodyDiv w:val="1"/>
      <w:marLeft w:val="0"/>
      <w:marRight w:val="0"/>
      <w:marTop w:val="0"/>
      <w:marBottom w:val="0"/>
      <w:divBdr>
        <w:top w:val="none" w:sz="0" w:space="0" w:color="auto"/>
        <w:left w:val="none" w:sz="0" w:space="0" w:color="auto"/>
        <w:bottom w:val="none" w:sz="0" w:space="0" w:color="auto"/>
        <w:right w:val="none" w:sz="0" w:space="0" w:color="auto"/>
      </w:divBdr>
    </w:div>
    <w:div w:id="866869785">
      <w:bodyDiv w:val="1"/>
      <w:marLeft w:val="0"/>
      <w:marRight w:val="0"/>
      <w:marTop w:val="0"/>
      <w:marBottom w:val="0"/>
      <w:divBdr>
        <w:top w:val="none" w:sz="0" w:space="0" w:color="auto"/>
        <w:left w:val="none" w:sz="0" w:space="0" w:color="auto"/>
        <w:bottom w:val="none" w:sz="0" w:space="0" w:color="auto"/>
        <w:right w:val="none" w:sz="0" w:space="0" w:color="auto"/>
      </w:divBdr>
    </w:div>
    <w:div w:id="875964149">
      <w:bodyDiv w:val="1"/>
      <w:marLeft w:val="0"/>
      <w:marRight w:val="0"/>
      <w:marTop w:val="0"/>
      <w:marBottom w:val="0"/>
      <w:divBdr>
        <w:top w:val="none" w:sz="0" w:space="0" w:color="auto"/>
        <w:left w:val="none" w:sz="0" w:space="0" w:color="auto"/>
        <w:bottom w:val="none" w:sz="0" w:space="0" w:color="auto"/>
        <w:right w:val="none" w:sz="0" w:space="0" w:color="auto"/>
      </w:divBdr>
    </w:div>
    <w:div w:id="894700978">
      <w:bodyDiv w:val="1"/>
      <w:marLeft w:val="0"/>
      <w:marRight w:val="0"/>
      <w:marTop w:val="0"/>
      <w:marBottom w:val="0"/>
      <w:divBdr>
        <w:top w:val="none" w:sz="0" w:space="0" w:color="auto"/>
        <w:left w:val="none" w:sz="0" w:space="0" w:color="auto"/>
        <w:bottom w:val="none" w:sz="0" w:space="0" w:color="auto"/>
        <w:right w:val="none" w:sz="0" w:space="0" w:color="auto"/>
      </w:divBdr>
    </w:div>
    <w:div w:id="938830291">
      <w:bodyDiv w:val="1"/>
      <w:marLeft w:val="0"/>
      <w:marRight w:val="0"/>
      <w:marTop w:val="0"/>
      <w:marBottom w:val="0"/>
      <w:divBdr>
        <w:top w:val="none" w:sz="0" w:space="0" w:color="auto"/>
        <w:left w:val="none" w:sz="0" w:space="0" w:color="auto"/>
        <w:bottom w:val="none" w:sz="0" w:space="0" w:color="auto"/>
        <w:right w:val="none" w:sz="0" w:space="0" w:color="auto"/>
      </w:divBdr>
    </w:div>
    <w:div w:id="960501702">
      <w:bodyDiv w:val="1"/>
      <w:marLeft w:val="0"/>
      <w:marRight w:val="0"/>
      <w:marTop w:val="0"/>
      <w:marBottom w:val="0"/>
      <w:divBdr>
        <w:top w:val="none" w:sz="0" w:space="0" w:color="auto"/>
        <w:left w:val="none" w:sz="0" w:space="0" w:color="auto"/>
        <w:bottom w:val="none" w:sz="0" w:space="0" w:color="auto"/>
        <w:right w:val="none" w:sz="0" w:space="0" w:color="auto"/>
      </w:divBdr>
    </w:div>
    <w:div w:id="974797463">
      <w:bodyDiv w:val="1"/>
      <w:marLeft w:val="0"/>
      <w:marRight w:val="0"/>
      <w:marTop w:val="0"/>
      <w:marBottom w:val="0"/>
      <w:divBdr>
        <w:top w:val="none" w:sz="0" w:space="0" w:color="auto"/>
        <w:left w:val="none" w:sz="0" w:space="0" w:color="auto"/>
        <w:bottom w:val="none" w:sz="0" w:space="0" w:color="auto"/>
        <w:right w:val="none" w:sz="0" w:space="0" w:color="auto"/>
      </w:divBdr>
    </w:div>
    <w:div w:id="1007291429">
      <w:bodyDiv w:val="1"/>
      <w:marLeft w:val="0"/>
      <w:marRight w:val="0"/>
      <w:marTop w:val="0"/>
      <w:marBottom w:val="0"/>
      <w:divBdr>
        <w:top w:val="none" w:sz="0" w:space="0" w:color="auto"/>
        <w:left w:val="none" w:sz="0" w:space="0" w:color="auto"/>
        <w:bottom w:val="none" w:sz="0" w:space="0" w:color="auto"/>
        <w:right w:val="none" w:sz="0" w:space="0" w:color="auto"/>
      </w:divBdr>
    </w:div>
    <w:div w:id="1035155349">
      <w:bodyDiv w:val="1"/>
      <w:marLeft w:val="0"/>
      <w:marRight w:val="0"/>
      <w:marTop w:val="0"/>
      <w:marBottom w:val="0"/>
      <w:divBdr>
        <w:top w:val="none" w:sz="0" w:space="0" w:color="auto"/>
        <w:left w:val="none" w:sz="0" w:space="0" w:color="auto"/>
        <w:bottom w:val="none" w:sz="0" w:space="0" w:color="auto"/>
        <w:right w:val="none" w:sz="0" w:space="0" w:color="auto"/>
      </w:divBdr>
    </w:div>
    <w:div w:id="1071847948">
      <w:bodyDiv w:val="1"/>
      <w:marLeft w:val="0"/>
      <w:marRight w:val="0"/>
      <w:marTop w:val="0"/>
      <w:marBottom w:val="0"/>
      <w:divBdr>
        <w:top w:val="none" w:sz="0" w:space="0" w:color="auto"/>
        <w:left w:val="none" w:sz="0" w:space="0" w:color="auto"/>
        <w:bottom w:val="none" w:sz="0" w:space="0" w:color="auto"/>
        <w:right w:val="none" w:sz="0" w:space="0" w:color="auto"/>
      </w:divBdr>
      <w:divsChild>
        <w:div w:id="390005912">
          <w:marLeft w:val="0"/>
          <w:marRight w:val="0"/>
          <w:marTop w:val="0"/>
          <w:marBottom w:val="0"/>
          <w:divBdr>
            <w:top w:val="none" w:sz="0" w:space="0" w:color="auto"/>
            <w:left w:val="none" w:sz="0" w:space="0" w:color="auto"/>
            <w:bottom w:val="none" w:sz="0" w:space="0" w:color="auto"/>
            <w:right w:val="none" w:sz="0" w:space="0" w:color="auto"/>
          </w:divBdr>
          <w:divsChild>
            <w:div w:id="1068769730">
              <w:marLeft w:val="0"/>
              <w:marRight w:val="0"/>
              <w:marTop w:val="0"/>
              <w:marBottom w:val="0"/>
              <w:divBdr>
                <w:top w:val="none" w:sz="0" w:space="0" w:color="auto"/>
                <w:left w:val="none" w:sz="0" w:space="0" w:color="auto"/>
                <w:bottom w:val="none" w:sz="0" w:space="0" w:color="auto"/>
                <w:right w:val="none" w:sz="0" w:space="0" w:color="auto"/>
              </w:divBdr>
              <w:divsChild>
                <w:div w:id="2121801195">
                  <w:marLeft w:val="0"/>
                  <w:marRight w:val="0"/>
                  <w:marTop w:val="0"/>
                  <w:marBottom w:val="0"/>
                  <w:divBdr>
                    <w:top w:val="none" w:sz="0" w:space="0" w:color="auto"/>
                    <w:left w:val="none" w:sz="0" w:space="0" w:color="auto"/>
                    <w:bottom w:val="none" w:sz="0" w:space="0" w:color="auto"/>
                    <w:right w:val="none" w:sz="0" w:space="0" w:color="auto"/>
                  </w:divBdr>
                  <w:divsChild>
                    <w:div w:id="192502980">
                      <w:marLeft w:val="0"/>
                      <w:marRight w:val="0"/>
                      <w:marTop w:val="0"/>
                      <w:marBottom w:val="0"/>
                      <w:divBdr>
                        <w:top w:val="none" w:sz="0" w:space="0" w:color="auto"/>
                        <w:left w:val="none" w:sz="0" w:space="0" w:color="auto"/>
                        <w:bottom w:val="none" w:sz="0" w:space="0" w:color="auto"/>
                        <w:right w:val="none" w:sz="0" w:space="0" w:color="auto"/>
                      </w:divBdr>
                      <w:divsChild>
                        <w:div w:id="1958025765">
                          <w:marLeft w:val="0"/>
                          <w:marRight w:val="0"/>
                          <w:marTop w:val="0"/>
                          <w:marBottom w:val="0"/>
                          <w:divBdr>
                            <w:top w:val="none" w:sz="0" w:space="0" w:color="auto"/>
                            <w:left w:val="none" w:sz="0" w:space="0" w:color="auto"/>
                            <w:bottom w:val="none" w:sz="0" w:space="0" w:color="auto"/>
                            <w:right w:val="none" w:sz="0" w:space="0" w:color="auto"/>
                          </w:divBdr>
                          <w:divsChild>
                            <w:div w:id="11179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799371">
                  <w:marLeft w:val="0"/>
                  <w:marRight w:val="0"/>
                  <w:marTop w:val="0"/>
                  <w:marBottom w:val="0"/>
                  <w:divBdr>
                    <w:top w:val="none" w:sz="0" w:space="0" w:color="auto"/>
                    <w:left w:val="none" w:sz="0" w:space="0" w:color="auto"/>
                    <w:bottom w:val="none" w:sz="0" w:space="0" w:color="auto"/>
                    <w:right w:val="none" w:sz="0" w:space="0" w:color="auto"/>
                  </w:divBdr>
                  <w:divsChild>
                    <w:div w:id="136081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082564">
      <w:bodyDiv w:val="1"/>
      <w:marLeft w:val="0"/>
      <w:marRight w:val="0"/>
      <w:marTop w:val="0"/>
      <w:marBottom w:val="0"/>
      <w:divBdr>
        <w:top w:val="none" w:sz="0" w:space="0" w:color="auto"/>
        <w:left w:val="none" w:sz="0" w:space="0" w:color="auto"/>
        <w:bottom w:val="none" w:sz="0" w:space="0" w:color="auto"/>
        <w:right w:val="none" w:sz="0" w:space="0" w:color="auto"/>
      </w:divBdr>
    </w:div>
    <w:div w:id="1146822008">
      <w:bodyDiv w:val="1"/>
      <w:marLeft w:val="0"/>
      <w:marRight w:val="0"/>
      <w:marTop w:val="0"/>
      <w:marBottom w:val="0"/>
      <w:divBdr>
        <w:top w:val="none" w:sz="0" w:space="0" w:color="auto"/>
        <w:left w:val="none" w:sz="0" w:space="0" w:color="auto"/>
        <w:bottom w:val="none" w:sz="0" w:space="0" w:color="auto"/>
        <w:right w:val="none" w:sz="0" w:space="0" w:color="auto"/>
      </w:divBdr>
    </w:div>
    <w:div w:id="1160343908">
      <w:bodyDiv w:val="1"/>
      <w:marLeft w:val="0"/>
      <w:marRight w:val="0"/>
      <w:marTop w:val="0"/>
      <w:marBottom w:val="0"/>
      <w:divBdr>
        <w:top w:val="none" w:sz="0" w:space="0" w:color="auto"/>
        <w:left w:val="none" w:sz="0" w:space="0" w:color="auto"/>
        <w:bottom w:val="none" w:sz="0" w:space="0" w:color="auto"/>
        <w:right w:val="none" w:sz="0" w:space="0" w:color="auto"/>
      </w:divBdr>
    </w:div>
    <w:div w:id="1187209265">
      <w:bodyDiv w:val="1"/>
      <w:marLeft w:val="0"/>
      <w:marRight w:val="0"/>
      <w:marTop w:val="0"/>
      <w:marBottom w:val="0"/>
      <w:divBdr>
        <w:top w:val="none" w:sz="0" w:space="0" w:color="auto"/>
        <w:left w:val="none" w:sz="0" w:space="0" w:color="auto"/>
        <w:bottom w:val="none" w:sz="0" w:space="0" w:color="auto"/>
        <w:right w:val="none" w:sz="0" w:space="0" w:color="auto"/>
      </w:divBdr>
    </w:div>
    <w:div w:id="1190490409">
      <w:bodyDiv w:val="1"/>
      <w:marLeft w:val="0"/>
      <w:marRight w:val="0"/>
      <w:marTop w:val="0"/>
      <w:marBottom w:val="0"/>
      <w:divBdr>
        <w:top w:val="none" w:sz="0" w:space="0" w:color="auto"/>
        <w:left w:val="none" w:sz="0" w:space="0" w:color="auto"/>
        <w:bottom w:val="none" w:sz="0" w:space="0" w:color="auto"/>
        <w:right w:val="none" w:sz="0" w:space="0" w:color="auto"/>
      </w:divBdr>
    </w:div>
    <w:div w:id="1215004587">
      <w:bodyDiv w:val="1"/>
      <w:marLeft w:val="0"/>
      <w:marRight w:val="0"/>
      <w:marTop w:val="0"/>
      <w:marBottom w:val="0"/>
      <w:divBdr>
        <w:top w:val="none" w:sz="0" w:space="0" w:color="auto"/>
        <w:left w:val="none" w:sz="0" w:space="0" w:color="auto"/>
        <w:bottom w:val="none" w:sz="0" w:space="0" w:color="auto"/>
        <w:right w:val="none" w:sz="0" w:space="0" w:color="auto"/>
      </w:divBdr>
    </w:div>
    <w:div w:id="1222598868">
      <w:bodyDiv w:val="1"/>
      <w:marLeft w:val="0"/>
      <w:marRight w:val="0"/>
      <w:marTop w:val="0"/>
      <w:marBottom w:val="0"/>
      <w:divBdr>
        <w:top w:val="none" w:sz="0" w:space="0" w:color="auto"/>
        <w:left w:val="none" w:sz="0" w:space="0" w:color="auto"/>
        <w:bottom w:val="none" w:sz="0" w:space="0" w:color="auto"/>
        <w:right w:val="none" w:sz="0" w:space="0" w:color="auto"/>
      </w:divBdr>
    </w:div>
    <w:div w:id="1252858610">
      <w:bodyDiv w:val="1"/>
      <w:marLeft w:val="0"/>
      <w:marRight w:val="0"/>
      <w:marTop w:val="0"/>
      <w:marBottom w:val="0"/>
      <w:divBdr>
        <w:top w:val="none" w:sz="0" w:space="0" w:color="auto"/>
        <w:left w:val="none" w:sz="0" w:space="0" w:color="auto"/>
        <w:bottom w:val="none" w:sz="0" w:space="0" w:color="auto"/>
        <w:right w:val="none" w:sz="0" w:space="0" w:color="auto"/>
      </w:divBdr>
    </w:div>
    <w:div w:id="1254364278">
      <w:bodyDiv w:val="1"/>
      <w:marLeft w:val="0"/>
      <w:marRight w:val="0"/>
      <w:marTop w:val="0"/>
      <w:marBottom w:val="0"/>
      <w:divBdr>
        <w:top w:val="none" w:sz="0" w:space="0" w:color="auto"/>
        <w:left w:val="none" w:sz="0" w:space="0" w:color="auto"/>
        <w:bottom w:val="none" w:sz="0" w:space="0" w:color="auto"/>
        <w:right w:val="none" w:sz="0" w:space="0" w:color="auto"/>
      </w:divBdr>
    </w:div>
    <w:div w:id="1268737966">
      <w:bodyDiv w:val="1"/>
      <w:marLeft w:val="0"/>
      <w:marRight w:val="0"/>
      <w:marTop w:val="0"/>
      <w:marBottom w:val="0"/>
      <w:divBdr>
        <w:top w:val="none" w:sz="0" w:space="0" w:color="auto"/>
        <w:left w:val="none" w:sz="0" w:space="0" w:color="auto"/>
        <w:bottom w:val="none" w:sz="0" w:space="0" w:color="auto"/>
        <w:right w:val="none" w:sz="0" w:space="0" w:color="auto"/>
      </w:divBdr>
    </w:div>
    <w:div w:id="1302423693">
      <w:bodyDiv w:val="1"/>
      <w:marLeft w:val="0"/>
      <w:marRight w:val="0"/>
      <w:marTop w:val="0"/>
      <w:marBottom w:val="0"/>
      <w:divBdr>
        <w:top w:val="none" w:sz="0" w:space="0" w:color="auto"/>
        <w:left w:val="none" w:sz="0" w:space="0" w:color="auto"/>
        <w:bottom w:val="none" w:sz="0" w:space="0" w:color="auto"/>
        <w:right w:val="none" w:sz="0" w:space="0" w:color="auto"/>
      </w:divBdr>
    </w:div>
    <w:div w:id="1306815829">
      <w:bodyDiv w:val="1"/>
      <w:marLeft w:val="0"/>
      <w:marRight w:val="0"/>
      <w:marTop w:val="0"/>
      <w:marBottom w:val="0"/>
      <w:divBdr>
        <w:top w:val="none" w:sz="0" w:space="0" w:color="auto"/>
        <w:left w:val="none" w:sz="0" w:space="0" w:color="auto"/>
        <w:bottom w:val="none" w:sz="0" w:space="0" w:color="auto"/>
        <w:right w:val="none" w:sz="0" w:space="0" w:color="auto"/>
      </w:divBdr>
    </w:div>
    <w:div w:id="1329670369">
      <w:bodyDiv w:val="1"/>
      <w:marLeft w:val="0"/>
      <w:marRight w:val="0"/>
      <w:marTop w:val="0"/>
      <w:marBottom w:val="0"/>
      <w:divBdr>
        <w:top w:val="none" w:sz="0" w:space="0" w:color="auto"/>
        <w:left w:val="none" w:sz="0" w:space="0" w:color="auto"/>
        <w:bottom w:val="none" w:sz="0" w:space="0" w:color="auto"/>
        <w:right w:val="none" w:sz="0" w:space="0" w:color="auto"/>
      </w:divBdr>
    </w:div>
    <w:div w:id="1350833490">
      <w:bodyDiv w:val="1"/>
      <w:marLeft w:val="0"/>
      <w:marRight w:val="0"/>
      <w:marTop w:val="0"/>
      <w:marBottom w:val="0"/>
      <w:divBdr>
        <w:top w:val="none" w:sz="0" w:space="0" w:color="auto"/>
        <w:left w:val="none" w:sz="0" w:space="0" w:color="auto"/>
        <w:bottom w:val="none" w:sz="0" w:space="0" w:color="auto"/>
        <w:right w:val="none" w:sz="0" w:space="0" w:color="auto"/>
      </w:divBdr>
    </w:div>
    <w:div w:id="1359504891">
      <w:bodyDiv w:val="1"/>
      <w:marLeft w:val="0"/>
      <w:marRight w:val="0"/>
      <w:marTop w:val="0"/>
      <w:marBottom w:val="0"/>
      <w:divBdr>
        <w:top w:val="none" w:sz="0" w:space="0" w:color="auto"/>
        <w:left w:val="none" w:sz="0" w:space="0" w:color="auto"/>
        <w:bottom w:val="none" w:sz="0" w:space="0" w:color="auto"/>
        <w:right w:val="none" w:sz="0" w:space="0" w:color="auto"/>
      </w:divBdr>
    </w:div>
    <w:div w:id="1376585605">
      <w:bodyDiv w:val="1"/>
      <w:marLeft w:val="0"/>
      <w:marRight w:val="0"/>
      <w:marTop w:val="0"/>
      <w:marBottom w:val="0"/>
      <w:divBdr>
        <w:top w:val="none" w:sz="0" w:space="0" w:color="auto"/>
        <w:left w:val="none" w:sz="0" w:space="0" w:color="auto"/>
        <w:bottom w:val="none" w:sz="0" w:space="0" w:color="auto"/>
        <w:right w:val="none" w:sz="0" w:space="0" w:color="auto"/>
      </w:divBdr>
    </w:div>
    <w:div w:id="1412504183">
      <w:bodyDiv w:val="1"/>
      <w:marLeft w:val="0"/>
      <w:marRight w:val="0"/>
      <w:marTop w:val="0"/>
      <w:marBottom w:val="0"/>
      <w:divBdr>
        <w:top w:val="none" w:sz="0" w:space="0" w:color="auto"/>
        <w:left w:val="none" w:sz="0" w:space="0" w:color="auto"/>
        <w:bottom w:val="none" w:sz="0" w:space="0" w:color="auto"/>
        <w:right w:val="none" w:sz="0" w:space="0" w:color="auto"/>
      </w:divBdr>
    </w:div>
    <w:div w:id="1427187931">
      <w:bodyDiv w:val="1"/>
      <w:marLeft w:val="0"/>
      <w:marRight w:val="0"/>
      <w:marTop w:val="0"/>
      <w:marBottom w:val="0"/>
      <w:divBdr>
        <w:top w:val="none" w:sz="0" w:space="0" w:color="auto"/>
        <w:left w:val="none" w:sz="0" w:space="0" w:color="auto"/>
        <w:bottom w:val="none" w:sz="0" w:space="0" w:color="auto"/>
        <w:right w:val="none" w:sz="0" w:space="0" w:color="auto"/>
      </w:divBdr>
    </w:div>
    <w:div w:id="1443300603">
      <w:bodyDiv w:val="1"/>
      <w:marLeft w:val="0"/>
      <w:marRight w:val="0"/>
      <w:marTop w:val="0"/>
      <w:marBottom w:val="0"/>
      <w:divBdr>
        <w:top w:val="none" w:sz="0" w:space="0" w:color="auto"/>
        <w:left w:val="none" w:sz="0" w:space="0" w:color="auto"/>
        <w:bottom w:val="none" w:sz="0" w:space="0" w:color="auto"/>
        <w:right w:val="none" w:sz="0" w:space="0" w:color="auto"/>
      </w:divBdr>
    </w:div>
    <w:div w:id="1525902721">
      <w:bodyDiv w:val="1"/>
      <w:marLeft w:val="0"/>
      <w:marRight w:val="0"/>
      <w:marTop w:val="0"/>
      <w:marBottom w:val="0"/>
      <w:divBdr>
        <w:top w:val="none" w:sz="0" w:space="0" w:color="auto"/>
        <w:left w:val="none" w:sz="0" w:space="0" w:color="auto"/>
        <w:bottom w:val="none" w:sz="0" w:space="0" w:color="auto"/>
        <w:right w:val="none" w:sz="0" w:space="0" w:color="auto"/>
      </w:divBdr>
    </w:div>
    <w:div w:id="1535264932">
      <w:bodyDiv w:val="1"/>
      <w:marLeft w:val="0"/>
      <w:marRight w:val="0"/>
      <w:marTop w:val="0"/>
      <w:marBottom w:val="0"/>
      <w:divBdr>
        <w:top w:val="none" w:sz="0" w:space="0" w:color="auto"/>
        <w:left w:val="none" w:sz="0" w:space="0" w:color="auto"/>
        <w:bottom w:val="none" w:sz="0" w:space="0" w:color="auto"/>
        <w:right w:val="none" w:sz="0" w:space="0" w:color="auto"/>
      </w:divBdr>
    </w:div>
    <w:div w:id="1578831304">
      <w:bodyDiv w:val="1"/>
      <w:marLeft w:val="0"/>
      <w:marRight w:val="0"/>
      <w:marTop w:val="0"/>
      <w:marBottom w:val="0"/>
      <w:divBdr>
        <w:top w:val="none" w:sz="0" w:space="0" w:color="auto"/>
        <w:left w:val="none" w:sz="0" w:space="0" w:color="auto"/>
        <w:bottom w:val="none" w:sz="0" w:space="0" w:color="auto"/>
        <w:right w:val="none" w:sz="0" w:space="0" w:color="auto"/>
      </w:divBdr>
    </w:div>
    <w:div w:id="1594046589">
      <w:bodyDiv w:val="1"/>
      <w:marLeft w:val="0"/>
      <w:marRight w:val="0"/>
      <w:marTop w:val="0"/>
      <w:marBottom w:val="0"/>
      <w:divBdr>
        <w:top w:val="none" w:sz="0" w:space="0" w:color="auto"/>
        <w:left w:val="none" w:sz="0" w:space="0" w:color="auto"/>
        <w:bottom w:val="none" w:sz="0" w:space="0" w:color="auto"/>
        <w:right w:val="none" w:sz="0" w:space="0" w:color="auto"/>
      </w:divBdr>
    </w:div>
    <w:div w:id="1656686359">
      <w:bodyDiv w:val="1"/>
      <w:marLeft w:val="0"/>
      <w:marRight w:val="0"/>
      <w:marTop w:val="0"/>
      <w:marBottom w:val="0"/>
      <w:divBdr>
        <w:top w:val="none" w:sz="0" w:space="0" w:color="auto"/>
        <w:left w:val="none" w:sz="0" w:space="0" w:color="auto"/>
        <w:bottom w:val="none" w:sz="0" w:space="0" w:color="auto"/>
        <w:right w:val="none" w:sz="0" w:space="0" w:color="auto"/>
      </w:divBdr>
    </w:div>
    <w:div w:id="1673141650">
      <w:bodyDiv w:val="1"/>
      <w:marLeft w:val="0"/>
      <w:marRight w:val="0"/>
      <w:marTop w:val="0"/>
      <w:marBottom w:val="0"/>
      <w:divBdr>
        <w:top w:val="none" w:sz="0" w:space="0" w:color="auto"/>
        <w:left w:val="none" w:sz="0" w:space="0" w:color="auto"/>
        <w:bottom w:val="none" w:sz="0" w:space="0" w:color="auto"/>
        <w:right w:val="none" w:sz="0" w:space="0" w:color="auto"/>
      </w:divBdr>
    </w:div>
    <w:div w:id="1761022166">
      <w:bodyDiv w:val="1"/>
      <w:marLeft w:val="0"/>
      <w:marRight w:val="0"/>
      <w:marTop w:val="0"/>
      <w:marBottom w:val="0"/>
      <w:divBdr>
        <w:top w:val="none" w:sz="0" w:space="0" w:color="auto"/>
        <w:left w:val="none" w:sz="0" w:space="0" w:color="auto"/>
        <w:bottom w:val="none" w:sz="0" w:space="0" w:color="auto"/>
        <w:right w:val="none" w:sz="0" w:space="0" w:color="auto"/>
      </w:divBdr>
    </w:div>
    <w:div w:id="1778479556">
      <w:bodyDiv w:val="1"/>
      <w:marLeft w:val="0"/>
      <w:marRight w:val="0"/>
      <w:marTop w:val="0"/>
      <w:marBottom w:val="0"/>
      <w:divBdr>
        <w:top w:val="none" w:sz="0" w:space="0" w:color="auto"/>
        <w:left w:val="none" w:sz="0" w:space="0" w:color="auto"/>
        <w:bottom w:val="none" w:sz="0" w:space="0" w:color="auto"/>
        <w:right w:val="none" w:sz="0" w:space="0" w:color="auto"/>
      </w:divBdr>
    </w:div>
    <w:div w:id="1796362820">
      <w:bodyDiv w:val="1"/>
      <w:marLeft w:val="0"/>
      <w:marRight w:val="0"/>
      <w:marTop w:val="0"/>
      <w:marBottom w:val="0"/>
      <w:divBdr>
        <w:top w:val="none" w:sz="0" w:space="0" w:color="auto"/>
        <w:left w:val="none" w:sz="0" w:space="0" w:color="auto"/>
        <w:bottom w:val="none" w:sz="0" w:space="0" w:color="auto"/>
        <w:right w:val="none" w:sz="0" w:space="0" w:color="auto"/>
      </w:divBdr>
    </w:div>
    <w:div w:id="1866822997">
      <w:bodyDiv w:val="1"/>
      <w:marLeft w:val="0"/>
      <w:marRight w:val="0"/>
      <w:marTop w:val="0"/>
      <w:marBottom w:val="0"/>
      <w:divBdr>
        <w:top w:val="none" w:sz="0" w:space="0" w:color="auto"/>
        <w:left w:val="none" w:sz="0" w:space="0" w:color="auto"/>
        <w:bottom w:val="none" w:sz="0" w:space="0" w:color="auto"/>
        <w:right w:val="none" w:sz="0" w:space="0" w:color="auto"/>
      </w:divBdr>
    </w:div>
    <w:div w:id="1895658919">
      <w:bodyDiv w:val="1"/>
      <w:marLeft w:val="0"/>
      <w:marRight w:val="0"/>
      <w:marTop w:val="0"/>
      <w:marBottom w:val="0"/>
      <w:divBdr>
        <w:top w:val="none" w:sz="0" w:space="0" w:color="auto"/>
        <w:left w:val="none" w:sz="0" w:space="0" w:color="auto"/>
        <w:bottom w:val="none" w:sz="0" w:space="0" w:color="auto"/>
        <w:right w:val="none" w:sz="0" w:space="0" w:color="auto"/>
      </w:divBdr>
    </w:div>
    <w:div w:id="1914773125">
      <w:bodyDiv w:val="1"/>
      <w:marLeft w:val="0"/>
      <w:marRight w:val="0"/>
      <w:marTop w:val="0"/>
      <w:marBottom w:val="0"/>
      <w:divBdr>
        <w:top w:val="none" w:sz="0" w:space="0" w:color="auto"/>
        <w:left w:val="none" w:sz="0" w:space="0" w:color="auto"/>
        <w:bottom w:val="none" w:sz="0" w:space="0" w:color="auto"/>
        <w:right w:val="none" w:sz="0" w:space="0" w:color="auto"/>
      </w:divBdr>
    </w:div>
    <w:div w:id="1943881555">
      <w:bodyDiv w:val="1"/>
      <w:marLeft w:val="0"/>
      <w:marRight w:val="0"/>
      <w:marTop w:val="0"/>
      <w:marBottom w:val="0"/>
      <w:divBdr>
        <w:top w:val="none" w:sz="0" w:space="0" w:color="auto"/>
        <w:left w:val="none" w:sz="0" w:space="0" w:color="auto"/>
        <w:bottom w:val="none" w:sz="0" w:space="0" w:color="auto"/>
        <w:right w:val="none" w:sz="0" w:space="0" w:color="auto"/>
      </w:divBdr>
    </w:div>
    <w:div w:id="2024428882">
      <w:bodyDiv w:val="1"/>
      <w:marLeft w:val="0"/>
      <w:marRight w:val="0"/>
      <w:marTop w:val="0"/>
      <w:marBottom w:val="0"/>
      <w:divBdr>
        <w:top w:val="none" w:sz="0" w:space="0" w:color="auto"/>
        <w:left w:val="none" w:sz="0" w:space="0" w:color="auto"/>
        <w:bottom w:val="none" w:sz="0" w:space="0" w:color="auto"/>
        <w:right w:val="none" w:sz="0" w:space="0" w:color="auto"/>
      </w:divBdr>
    </w:div>
    <w:div w:id="2027709305">
      <w:bodyDiv w:val="1"/>
      <w:marLeft w:val="0"/>
      <w:marRight w:val="0"/>
      <w:marTop w:val="0"/>
      <w:marBottom w:val="0"/>
      <w:divBdr>
        <w:top w:val="none" w:sz="0" w:space="0" w:color="auto"/>
        <w:left w:val="none" w:sz="0" w:space="0" w:color="auto"/>
        <w:bottom w:val="none" w:sz="0" w:space="0" w:color="auto"/>
        <w:right w:val="none" w:sz="0" w:space="0" w:color="auto"/>
      </w:divBdr>
    </w:div>
    <w:div w:id="213008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396079.pdf" TargetMode="External"/><Relationship Id="rId13" Type="http://schemas.openxmlformats.org/officeDocument/2006/relationships/hyperlink" Target="https://gateway.elieta.lv/api/v1/PublicMaterialDownload/b36c4480-7b12-4407-9a69-32dbad46415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nas.tiesas.lv/eTiesasMvc/nolemumi/pdf/440664.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LV:AT:2021:0923.A43009415.14.S" TargetMode="External"/><Relationship Id="rId5" Type="http://schemas.openxmlformats.org/officeDocument/2006/relationships/webSettings" Target="webSettings.xml"/><Relationship Id="rId15" Type="http://schemas.openxmlformats.org/officeDocument/2006/relationships/hyperlink" Target="https://www.tiesibsargs.lv/wp-content/uploads/migrate_2022/content/anonomizeta_atzinuma_nr_2021_26_3e_kopija_1641298771.pdf" TargetMode="External"/><Relationship Id="rId10" Type="http://schemas.openxmlformats.org/officeDocument/2006/relationships/hyperlink" Target="https://manas.tiesas.lv/eTiesasMvc/nolemumi/pdf/425014.pdf" TargetMode="External"/><Relationship Id="rId4" Type="http://schemas.openxmlformats.org/officeDocument/2006/relationships/settings" Target="settings.xml"/><Relationship Id="rId9" Type="http://schemas.openxmlformats.org/officeDocument/2006/relationships/hyperlink" Target="https://titania.saeima.lv/LIVS13/SaeimaLIVS13.nsf/0/2E0516CD0CED0C40C225865B002AB9BF?OpenDocument" TargetMode="External"/><Relationship Id="rId14" Type="http://schemas.openxmlformats.org/officeDocument/2006/relationships/hyperlink" Target="https://www.tiesibsargs.lv/wp-content/uploads/migrate_2022/content/anonomizeta_atzinuma_nr_2021_26_3e_kopija_164129877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6574D-007C-4E7D-847A-D3A845749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39462</Words>
  <Characters>22494</Characters>
  <Application>Microsoft Office Word</Application>
  <DocSecurity>0</DocSecurity>
  <Lines>187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2026-03-03T14:20:00Z</dcterms:created>
  <dcterms:modified xsi:type="dcterms:W3CDTF">2026-03-03T14:20:00Z</dcterms:modified>
</cp:coreProperties>
</file>