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77C94" w14:textId="77777777" w:rsidR="00C545F4" w:rsidRPr="00C545F4" w:rsidRDefault="00C545F4" w:rsidP="00C545F4">
      <w:pPr>
        <w:spacing w:after="0" w:line="276" w:lineRule="auto"/>
        <w:jc w:val="both"/>
        <w:rPr>
          <w:b/>
          <w:bCs/>
        </w:rPr>
      </w:pPr>
      <w:r w:rsidRPr="00C545F4">
        <w:rPr>
          <w:b/>
          <w:bCs/>
        </w:rPr>
        <w:t>Apsūdzības saturs</w:t>
      </w:r>
    </w:p>
    <w:p w14:paraId="42D2DAE2" w14:textId="77777777" w:rsidR="00C545F4" w:rsidRPr="00C545F4" w:rsidRDefault="00C545F4" w:rsidP="00C545F4">
      <w:pPr>
        <w:spacing w:after="0" w:line="276" w:lineRule="auto"/>
        <w:jc w:val="both"/>
      </w:pPr>
      <w:r w:rsidRPr="00C545F4">
        <w:t>Apsūdzībā norādāmi faktiskie apstākļi, kas konkretizē katru inkriminētā noziedzīgā nodarījuma sastāva pazīmi.</w:t>
      </w:r>
    </w:p>
    <w:p w14:paraId="2E23F4E2" w14:textId="77777777" w:rsidR="00C545F4" w:rsidRPr="00C545F4" w:rsidRDefault="00C545F4" w:rsidP="00C545F4">
      <w:pPr>
        <w:spacing w:after="0" w:line="276" w:lineRule="auto"/>
        <w:jc w:val="both"/>
      </w:pPr>
      <w:r w:rsidRPr="00C545F4">
        <w:t>Atsevišķos gadījumos, ja: 1) sīkākas detaļas objektīvi nav noskaidrojamas un 2) nenoskaidrotās detaļas nav šķērslis konstatēt visas attiecīgā noziedzīgā nodarījuma sastāva pazīmes, nodarījuma individualizēšanai (konkretizēšanai) ir pieļaujamas mazāk stingras prasības.</w:t>
      </w:r>
    </w:p>
    <w:p w14:paraId="34765858" w14:textId="77777777" w:rsidR="00C545F4" w:rsidRPr="00C545F4" w:rsidRDefault="00C545F4" w:rsidP="00C545F4">
      <w:pPr>
        <w:spacing w:after="0" w:line="276" w:lineRule="auto"/>
        <w:jc w:val="both"/>
      </w:pPr>
      <w:r w:rsidRPr="00C545F4">
        <w:t>Noziedzīgā nodarījuma objekts tā abstraktā rakstura dēļ apsūdzībā parasti netiek konkretizēts faktu līmenī.</w:t>
      </w:r>
    </w:p>
    <w:p w14:paraId="6F95F5B2" w14:textId="77777777" w:rsidR="00C545F4" w:rsidRDefault="00C545F4" w:rsidP="00C545F4">
      <w:pPr>
        <w:spacing w:after="0" w:line="276" w:lineRule="auto"/>
        <w:jc w:val="both"/>
        <w:rPr>
          <w:b/>
          <w:bCs/>
        </w:rPr>
      </w:pPr>
    </w:p>
    <w:p w14:paraId="1166C570" w14:textId="3BDB854F" w:rsidR="00C545F4" w:rsidRPr="00C545F4" w:rsidRDefault="00C545F4" w:rsidP="00C545F4">
      <w:pPr>
        <w:spacing w:after="0" w:line="276" w:lineRule="auto"/>
        <w:jc w:val="both"/>
        <w:rPr>
          <w:b/>
          <w:bCs/>
          <w:i/>
          <w:iCs/>
        </w:rPr>
      </w:pPr>
      <w:r w:rsidRPr="00C545F4">
        <w:rPr>
          <w:b/>
          <w:bCs/>
        </w:rPr>
        <w:t>Apsūdzība par izvairīšanos no uzņēmumu ienākuma nodokļa nomaksas un tiesības uz aizstāvību</w:t>
      </w:r>
    </w:p>
    <w:p w14:paraId="2EB112A2" w14:textId="77777777" w:rsidR="00C545F4" w:rsidRPr="00C545F4" w:rsidRDefault="00C545F4" w:rsidP="00C545F4">
      <w:pPr>
        <w:spacing w:after="0" w:line="276" w:lineRule="auto"/>
        <w:jc w:val="both"/>
      </w:pPr>
      <w:bookmarkStart w:id="0" w:name="_Hlk214608364"/>
      <w:r w:rsidRPr="00C545F4">
        <w:t>Tiesības uz aizstāvību netiek ierobežotas, ja apsūdzībā pietiekami skaidri identificēts nepatiesās informācijas saturs, kas bijis pamats samazināt ar nodokli apliekamo objektu.</w:t>
      </w:r>
      <w:bookmarkEnd w:id="0"/>
    </w:p>
    <w:p w14:paraId="3141941A" w14:textId="77777777" w:rsidR="00C545F4" w:rsidRDefault="00C545F4" w:rsidP="00C545F4">
      <w:pPr>
        <w:spacing w:after="0" w:line="276" w:lineRule="auto"/>
        <w:jc w:val="both"/>
        <w:rPr>
          <w:b/>
          <w:bCs/>
        </w:rPr>
      </w:pPr>
    </w:p>
    <w:p w14:paraId="34FE1842" w14:textId="616D1814" w:rsidR="00C545F4" w:rsidRPr="00C545F4" w:rsidRDefault="00C545F4" w:rsidP="00C545F4">
      <w:pPr>
        <w:spacing w:after="0" w:line="276" w:lineRule="auto"/>
        <w:jc w:val="both"/>
        <w:rPr>
          <w:b/>
          <w:bCs/>
        </w:rPr>
      </w:pPr>
      <w:r w:rsidRPr="00C545F4">
        <w:rPr>
          <w:b/>
          <w:bCs/>
        </w:rPr>
        <w:t>Kriminālprocesa likuma 125. panta pirmās daļas 4. un 5. punktā paredzētās fakta legālās prezumpcijas piemērošana noziedzīgā nodarījuma subjektīvās puses konstatēšanā</w:t>
      </w:r>
    </w:p>
    <w:p w14:paraId="12F5596C" w14:textId="77777777" w:rsidR="00C545F4" w:rsidRPr="00C545F4" w:rsidRDefault="00C545F4" w:rsidP="00C545F4">
      <w:pPr>
        <w:spacing w:after="0" w:line="276" w:lineRule="auto"/>
        <w:jc w:val="both"/>
        <w:rPr>
          <w:b/>
          <w:bCs/>
        </w:rPr>
      </w:pPr>
      <w:r w:rsidRPr="00C545F4">
        <w:t xml:space="preserve">Kriminālprocesa likuma 125. panta pirmās daļas 4. un 5. punktā paredzētās prezumpcijas piemērošana, vērtējot noziedzīgā nodarījuma subjektīvās puses esību, nozīmē, ka nav jāpierāda, ka persona zina vai ka tai vajadzēja zināt savus normatīvajos aktos paredzētos pienākumus vai profesionālos un amata pienākumus. Tādēļ </w:t>
      </w:r>
      <w:proofErr w:type="spellStart"/>
      <w:r w:rsidRPr="00C545F4">
        <w:t>prezumējams</w:t>
      </w:r>
      <w:proofErr w:type="spellEnd"/>
      <w:r w:rsidRPr="00C545F4">
        <w:t xml:space="preserve"> ir tikai fakts par pienākuma zināšanu, taču tālākais – apzināta nepildīšana, nolaidīga pildīšana, pilnvaru pārkāpšana konkrētajā situācijā – ir pierādāms Kriminālprocesa likumā noteiktajā kārtībā.</w:t>
      </w:r>
    </w:p>
    <w:p w14:paraId="61DC7478" w14:textId="77777777" w:rsidR="00C545F4" w:rsidRDefault="00C545F4" w:rsidP="00C545F4">
      <w:pPr>
        <w:spacing w:after="0" w:line="276" w:lineRule="auto"/>
        <w:jc w:val="both"/>
        <w:rPr>
          <w:b/>
          <w:bCs/>
        </w:rPr>
      </w:pPr>
    </w:p>
    <w:p w14:paraId="40958859" w14:textId="3E8A7CA4" w:rsidR="00C545F4" w:rsidRPr="00C545F4" w:rsidRDefault="00C545F4" w:rsidP="00C545F4">
      <w:pPr>
        <w:spacing w:after="0" w:line="276" w:lineRule="auto"/>
        <w:jc w:val="both"/>
        <w:rPr>
          <w:b/>
          <w:bCs/>
        </w:rPr>
      </w:pPr>
      <w:r w:rsidRPr="00C545F4">
        <w:rPr>
          <w:b/>
          <w:bCs/>
        </w:rPr>
        <w:t>Nepamatota prezumpcijas piemērošana</w:t>
      </w:r>
    </w:p>
    <w:p w14:paraId="439C9194" w14:textId="77777777" w:rsidR="00C545F4" w:rsidRPr="00C545F4" w:rsidRDefault="00C545F4" w:rsidP="00C545F4">
      <w:pPr>
        <w:spacing w:after="0" w:line="276" w:lineRule="auto"/>
        <w:jc w:val="both"/>
      </w:pPr>
      <w:r w:rsidRPr="00C545F4">
        <w:t>Apgalvojums, ka persona (grāmatvedis), kas ikdienā strādā uzņēmumā, nevar kļūdīties, neatbilst fakta legālās prezumpcijas būtībai.</w:t>
      </w:r>
    </w:p>
    <w:p w14:paraId="62003F55" w14:textId="77777777" w:rsidR="00C545F4" w:rsidRDefault="00C545F4" w:rsidP="00C545F4">
      <w:pPr>
        <w:spacing w:after="0" w:line="276" w:lineRule="auto"/>
        <w:jc w:val="both"/>
        <w:rPr>
          <w:b/>
          <w:bCs/>
        </w:rPr>
      </w:pPr>
    </w:p>
    <w:p w14:paraId="4115BF9E" w14:textId="678B31BE" w:rsidR="00C545F4" w:rsidRPr="00C545F4" w:rsidRDefault="00C545F4" w:rsidP="00C545F4">
      <w:pPr>
        <w:spacing w:after="0" w:line="276" w:lineRule="auto"/>
        <w:jc w:val="both"/>
        <w:rPr>
          <w:b/>
          <w:bCs/>
        </w:rPr>
      </w:pPr>
      <w:r w:rsidRPr="00C545F4">
        <w:rPr>
          <w:b/>
          <w:bCs/>
        </w:rPr>
        <w:t>Paļaušanās princips</w:t>
      </w:r>
    </w:p>
    <w:p w14:paraId="7A64D6E7" w14:textId="77777777" w:rsidR="00C545F4" w:rsidRPr="00C545F4" w:rsidRDefault="00C545F4" w:rsidP="00C545F4">
      <w:pPr>
        <w:spacing w:after="0" w:line="276" w:lineRule="auto"/>
        <w:jc w:val="both"/>
      </w:pPr>
      <w:r w:rsidRPr="00C545F4">
        <w:t xml:space="preserve">Saskaņā ar paļaušanās principu persona, kura rīkojas atbilstoši noteikumiem, var paļauties, ka arī citi tos ievēros. Izņēmums ir piemērojams tad, ja: 1) persona zina, ka nav pamata paļauties uz citu personu tiesisku rīcību (šādā gadījumā ir iespējams konstatēt nodomu), vai arī 2) pastāv konkrētas pazīmes, kas liecina, ka uz citas personas tiesisku rīcību paļauties nevar (šādā gadījumā ir iespējams konstatēt neuzmanību). </w:t>
      </w:r>
    </w:p>
    <w:p w14:paraId="745477F7" w14:textId="77777777" w:rsidR="00C545F4" w:rsidRDefault="00C545F4" w:rsidP="00C545F4">
      <w:pPr>
        <w:spacing w:after="0" w:line="276" w:lineRule="auto"/>
        <w:jc w:val="both"/>
        <w:rPr>
          <w:b/>
          <w:bCs/>
        </w:rPr>
      </w:pPr>
    </w:p>
    <w:p w14:paraId="76E4D0BB" w14:textId="78BFE22B" w:rsidR="00C545F4" w:rsidRPr="00C545F4" w:rsidRDefault="00C545F4" w:rsidP="00C545F4">
      <w:pPr>
        <w:spacing w:after="0" w:line="276" w:lineRule="auto"/>
        <w:jc w:val="both"/>
        <w:rPr>
          <w:b/>
          <w:bCs/>
        </w:rPr>
      </w:pPr>
      <w:r w:rsidRPr="00C545F4">
        <w:rPr>
          <w:b/>
          <w:bCs/>
        </w:rPr>
        <w:t>Uzņēmuma vadītāja un grāmatveža nodoma izvairīties no nodokļu nomaksas konstatēšana</w:t>
      </w:r>
    </w:p>
    <w:p w14:paraId="1552B2EC" w14:textId="39404315" w:rsidR="00824ECD" w:rsidRDefault="00824ECD" w:rsidP="001F56D0">
      <w:pPr>
        <w:spacing w:after="0" w:line="276" w:lineRule="auto"/>
        <w:jc w:val="both"/>
      </w:pPr>
    </w:p>
    <w:p w14:paraId="6C499A14" w14:textId="792CEDEE" w:rsidR="003B2289" w:rsidRPr="00C545F4" w:rsidRDefault="003B2289" w:rsidP="00C545F4">
      <w:pPr>
        <w:spacing w:after="0" w:line="276" w:lineRule="auto"/>
        <w:jc w:val="center"/>
        <w:rPr>
          <w:b/>
          <w:bCs/>
        </w:rPr>
      </w:pPr>
      <w:r w:rsidRPr="00C545F4">
        <w:rPr>
          <w:b/>
          <w:bCs/>
        </w:rPr>
        <w:t>Latvijas Republikas Senāt</w:t>
      </w:r>
      <w:r w:rsidR="00C545F4" w:rsidRPr="00C545F4">
        <w:rPr>
          <w:b/>
          <w:bCs/>
        </w:rPr>
        <w:t>a</w:t>
      </w:r>
    </w:p>
    <w:p w14:paraId="193154EB" w14:textId="7A3AE808" w:rsidR="00C545F4" w:rsidRPr="00C545F4" w:rsidRDefault="00C545F4" w:rsidP="00C545F4">
      <w:pPr>
        <w:spacing w:after="0" w:line="276" w:lineRule="auto"/>
        <w:jc w:val="center"/>
        <w:rPr>
          <w:b/>
          <w:bCs/>
        </w:rPr>
      </w:pPr>
      <w:r w:rsidRPr="00C545F4">
        <w:rPr>
          <w:b/>
          <w:bCs/>
        </w:rPr>
        <w:t>Krimināllietu departamenta</w:t>
      </w:r>
    </w:p>
    <w:p w14:paraId="6C7E4824" w14:textId="63652A35" w:rsidR="00C545F4" w:rsidRPr="00C545F4" w:rsidRDefault="00C545F4" w:rsidP="00C545F4">
      <w:pPr>
        <w:spacing w:after="0" w:line="276" w:lineRule="auto"/>
        <w:jc w:val="center"/>
        <w:rPr>
          <w:b/>
          <w:bCs/>
        </w:rPr>
      </w:pPr>
      <w:r w:rsidRPr="00C545F4">
        <w:rPr>
          <w:b/>
          <w:bCs/>
        </w:rPr>
        <w:t>2025. gada 19. novembr</w:t>
      </w:r>
      <w:r>
        <w:rPr>
          <w:b/>
          <w:bCs/>
        </w:rPr>
        <w:t>a</w:t>
      </w:r>
    </w:p>
    <w:p w14:paraId="5EA8E81A" w14:textId="77777777" w:rsidR="003B2289" w:rsidRPr="00C545F4" w:rsidRDefault="003B2289" w:rsidP="00C545F4">
      <w:pPr>
        <w:spacing w:after="0" w:line="276" w:lineRule="auto"/>
        <w:jc w:val="center"/>
        <w:rPr>
          <w:b/>
          <w:bCs/>
        </w:rPr>
      </w:pPr>
      <w:r w:rsidRPr="00C545F4">
        <w:rPr>
          <w:b/>
          <w:bCs/>
        </w:rPr>
        <w:t>LĒMUMS</w:t>
      </w:r>
    </w:p>
    <w:p w14:paraId="657EF7F9" w14:textId="77777777" w:rsidR="00C545F4" w:rsidRPr="00C545F4" w:rsidRDefault="00C545F4" w:rsidP="00C545F4">
      <w:pPr>
        <w:spacing w:after="0" w:line="276" w:lineRule="auto"/>
        <w:jc w:val="center"/>
        <w:rPr>
          <w:b/>
          <w:bCs/>
        </w:rPr>
      </w:pPr>
      <w:r w:rsidRPr="00C545F4">
        <w:rPr>
          <w:b/>
          <w:bCs/>
        </w:rPr>
        <w:t>Lieta Nr. 11904007418, SKK-73/2025</w:t>
      </w:r>
    </w:p>
    <w:p w14:paraId="0AEBC781" w14:textId="1E24E3DD" w:rsidR="003B2289" w:rsidRDefault="00C545F4" w:rsidP="00C545F4">
      <w:pPr>
        <w:spacing w:after="0" w:line="276" w:lineRule="auto"/>
        <w:jc w:val="center"/>
      </w:pPr>
      <w:hyperlink r:id="rId8" w:history="1">
        <w:r w:rsidRPr="00861A0D">
          <w:rPr>
            <w:rStyle w:val="Hyperlink"/>
          </w:rPr>
          <w:t>ECLI:LV:AT:2025:1119.11904007418.6.L</w:t>
        </w:r>
      </w:hyperlink>
    </w:p>
    <w:p w14:paraId="25DA57CC" w14:textId="77777777" w:rsidR="00C545F4" w:rsidRDefault="00C545F4" w:rsidP="00C545F4">
      <w:pPr>
        <w:spacing w:after="0" w:line="276" w:lineRule="auto"/>
        <w:jc w:val="center"/>
      </w:pPr>
    </w:p>
    <w:p w14:paraId="26F46644" w14:textId="48381C7B" w:rsidR="00F542DF" w:rsidRDefault="003B2289" w:rsidP="001F56D0">
      <w:pPr>
        <w:spacing w:after="0" w:line="276" w:lineRule="auto"/>
        <w:ind w:firstLine="720"/>
        <w:jc w:val="both"/>
        <w:rPr>
          <w:color w:val="EE0000"/>
        </w:rPr>
      </w:pPr>
      <w:r>
        <w:t>Senāts šādā sastāvā: senator</w:t>
      </w:r>
      <w:r w:rsidR="00A15544">
        <w:t xml:space="preserve">s referents </w:t>
      </w:r>
      <w:r w:rsidR="00F542DF" w:rsidRPr="00B117FE">
        <w:t xml:space="preserve">Māris Leja, </w:t>
      </w:r>
      <w:r w:rsidR="00A15544" w:rsidRPr="00B117FE">
        <w:t xml:space="preserve">senatori </w:t>
      </w:r>
      <w:r w:rsidR="00F542DF" w:rsidRPr="00B117FE">
        <w:t>Aija Branta</w:t>
      </w:r>
      <w:r w:rsidR="00A15544" w:rsidRPr="00B117FE">
        <w:t xml:space="preserve"> un</w:t>
      </w:r>
      <w:r w:rsidR="00F542DF" w:rsidRPr="00B117FE">
        <w:t xml:space="preserve"> Aivars Uminskis</w:t>
      </w:r>
    </w:p>
    <w:p w14:paraId="301B0D4F" w14:textId="77777777" w:rsidR="00A15544" w:rsidRDefault="00A15544" w:rsidP="001F56D0">
      <w:pPr>
        <w:spacing w:after="0" w:line="276" w:lineRule="auto"/>
        <w:ind w:firstLine="720"/>
        <w:jc w:val="both"/>
      </w:pPr>
    </w:p>
    <w:p w14:paraId="5BFAA488" w14:textId="79D7F9B5" w:rsidR="003B2289" w:rsidRDefault="003B2289" w:rsidP="001F56D0">
      <w:pPr>
        <w:spacing w:after="0" w:line="276" w:lineRule="auto"/>
        <w:ind w:firstLine="720"/>
        <w:jc w:val="both"/>
      </w:pPr>
      <w:r>
        <w:t xml:space="preserve">rakstveida procesā izskatīja krimināllietu sakarā ar </w:t>
      </w:r>
      <w:r w:rsidR="00A15544">
        <w:t xml:space="preserve">apsūdzēto </w:t>
      </w:r>
      <w:r w:rsidR="003A0771">
        <w:t>[pers. A]</w:t>
      </w:r>
      <w:r w:rsidR="00FE0377">
        <w:t xml:space="preserve"> (</w:t>
      </w:r>
      <w:r w:rsidR="003A0771" w:rsidRPr="003A0771">
        <w:rPr>
          <w:i/>
          <w:iCs/>
        </w:rPr>
        <w:t>[pers. A]</w:t>
      </w:r>
      <w:r w:rsidR="00FE0377">
        <w:t>),</w:t>
      </w:r>
      <w:r w:rsidR="00824ECD">
        <w:t xml:space="preserve"> </w:t>
      </w:r>
      <w:r w:rsidR="003A0771">
        <w:t>[pers. B]</w:t>
      </w:r>
      <w:r w:rsidR="00824ECD">
        <w:t xml:space="preserve"> </w:t>
      </w:r>
      <w:r w:rsidR="00FE0377">
        <w:t xml:space="preserve">un viņu </w:t>
      </w:r>
      <w:r w:rsidR="00824ECD">
        <w:t xml:space="preserve">aizstāvja </w:t>
      </w:r>
      <w:r>
        <w:t>zvērināt</w:t>
      </w:r>
      <w:r w:rsidR="00824ECD">
        <w:t>a</w:t>
      </w:r>
      <w:r>
        <w:t xml:space="preserve"> advokāt</w:t>
      </w:r>
      <w:r w:rsidR="00824ECD">
        <w:t xml:space="preserve">a Jāņa Dambīša </w:t>
      </w:r>
      <w:r>
        <w:t>kasācijas sūdzīb</w:t>
      </w:r>
      <w:r w:rsidR="00FE0377">
        <w:t>ām</w:t>
      </w:r>
      <w:r>
        <w:t xml:space="preserve"> par </w:t>
      </w:r>
      <w:r w:rsidR="00FE0377">
        <w:t>Rīgas apgabaltiesas 20</w:t>
      </w:r>
      <w:r w:rsidR="00A309D7">
        <w:t>2</w:t>
      </w:r>
      <w:r w:rsidR="00FE0377">
        <w:t xml:space="preserve">4. gada 17. aprīļa </w:t>
      </w:r>
      <w:r w:rsidR="00AC4FDD">
        <w:t>spriedumu</w:t>
      </w:r>
      <w:r w:rsidR="00FE0377">
        <w:t>.</w:t>
      </w:r>
    </w:p>
    <w:p w14:paraId="3986CF79" w14:textId="77777777" w:rsidR="003B2289" w:rsidRDefault="003B2289" w:rsidP="001F56D0">
      <w:pPr>
        <w:spacing w:after="0" w:line="276" w:lineRule="auto"/>
        <w:jc w:val="both"/>
      </w:pPr>
    </w:p>
    <w:p w14:paraId="03D2152D" w14:textId="77777777" w:rsidR="003B2289" w:rsidRPr="00FE0377" w:rsidRDefault="003B2289" w:rsidP="00A477E2">
      <w:pPr>
        <w:spacing w:after="0" w:line="276" w:lineRule="auto"/>
        <w:jc w:val="center"/>
        <w:rPr>
          <w:b/>
          <w:bCs/>
        </w:rPr>
      </w:pPr>
      <w:r w:rsidRPr="00FE0377">
        <w:rPr>
          <w:b/>
          <w:bCs/>
        </w:rPr>
        <w:t>Aprakstošā daļa</w:t>
      </w:r>
    </w:p>
    <w:p w14:paraId="2D830603" w14:textId="77777777" w:rsidR="003B2289" w:rsidRDefault="003B2289" w:rsidP="00A477E2">
      <w:pPr>
        <w:spacing w:after="0" w:line="276" w:lineRule="auto"/>
        <w:jc w:val="center"/>
      </w:pPr>
    </w:p>
    <w:p w14:paraId="168A7071" w14:textId="4023D59E" w:rsidR="003B2289" w:rsidRDefault="003B2289" w:rsidP="001F56D0">
      <w:pPr>
        <w:spacing w:after="0" w:line="276" w:lineRule="auto"/>
        <w:ind w:firstLine="720"/>
        <w:jc w:val="both"/>
      </w:pPr>
      <w:r>
        <w:t xml:space="preserve">[1] Ar </w:t>
      </w:r>
      <w:r w:rsidR="003058C3">
        <w:t xml:space="preserve">Ekonomisko lietu tiesas 2022. gada 19. septembra spriedumu </w:t>
      </w:r>
    </w:p>
    <w:p w14:paraId="2DA328C2" w14:textId="768E2A01" w:rsidR="003058C3" w:rsidRDefault="003058C3" w:rsidP="00CC06BC">
      <w:pPr>
        <w:spacing w:after="0" w:line="276" w:lineRule="auto"/>
        <w:ind w:firstLine="720"/>
        <w:jc w:val="both"/>
      </w:pPr>
      <w:r>
        <w:t xml:space="preserve">[1.1] </w:t>
      </w:r>
      <w:r w:rsidR="00CC06BC">
        <w:t>[Pers. A]</w:t>
      </w:r>
      <w:r>
        <w:t xml:space="preserve">, personas identifikācijas numurs </w:t>
      </w:r>
      <w:r w:rsidR="00CC06BC">
        <w:t>[..]</w:t>
      </w:r>
      <w:r>
        <w:t>,</w:t>
      </w:r>
    </w:p>
    <w:p w14:paraId="1E628335" w14:textId="309375CF" w:rsidR="00C3029C" w:rsidRDefault="003B2289" w:rsidP="001F56D0">
      <w:pPr>
        <w:spacing w:after="0" w:line="276" w:lineRule="auto"/>
        <w:ind w:firstLine="720"/>
        <w:jc w:val="both"/>
      </w:pPr>
      <w:r>
        <w:t>atzīts</w:t>
      </w:r>
      <w:r w:rsidR="007A3B59">
        <w:t xml:space="preserve"> par nevainīgu pret viņu celtajā apsūdzībā </w:t>
      </w:r>
      <w:r w:rsidR="00AC4FDD">
        <w:t>pēc Krimināllikuma 218. panta otrās daļas</w:t>
      </w:r>
      <w:r w:rsidR="00B27FB6" w:rsidRPr="00B27FB6">
        <w:t xml:space="preserve"> </w:t>
      </w:r>
      <w:r w:rsidR="00B27FB6">
        <w:t xml:space="preserve">par divu noziedzīgo nodarījumu izdarīšanu, kā arī Krimināllikuma </w:t>
      </w:r>
      <w:r w:rsidR="007A3B59">
        <w:t>195. panta trešās daļas</w:t>
      </w:r>
      <w:r w:rsidR="00460429">
        <w:t>,</w:t>
      </w:r>
      <w:r w:rsidR="007A3B59">
        <w:t xml:space="preserve"> un attaisnots.</w:t>
      </w:r>
    </w:p>
    <w:p w14:paraId="4A6DDDB7" w14:textId="5F7746AD" w:rsidR="00B27FB6" w:rsidRDefault="0059026C" w:rsidP="00B27FB6">
      <w:pPr>
        <w:spacing w:after="0" w:line="276" w:lineRule="auto"/>
        <w:ind w:firstLine="720"/>
        <w:jc w:val="both"/>
      </w:pPr>
      <w:r>
        <w:t>[1.</w:t>
      </w:r>
      <w:r w:rsidR="00FA58A7">
        <w:t>2</w:t>
      </w:r>
      <w:r>
        <w:t xml:space="preserve">] </w:t>
      </w:r>
      <w:r w:rsidR="00CC06BC">
        <w:t>[Pers. B]</w:t>
      </w:r>
      <w:r w:rsidR="00B27FB6">
        <w:t xml:space="preserve">, personas kods </w:t>
      </w:r>
      <w:r w:rsidR="00CC06BC">
        <w:t>[..]</w:t>
      </w:r>
      <w:r w:rsidR="00B27FB6">
        <w:t xml:space="preserve">, </w:t>
      </w:r>
    </w:p>
    <w:p w14:paraId="73DF9C81" w14:textId="461C983F" w:rsidR="00B27FB6" w:rsidRDefault="00B27FB6" w:rsidP="00B27FB6">
      <w:pPr>
        <w:spacing w:after="0" w:line="276" w:lineRule="auto"/>
        <w:ind w:firstLine="720"/>
        <w:jc w:val="both"/>
      </w:pPr>
      <w:r>
        <w:t>atzīta par nevainīgu pret viņu celtajā apsūdzībā pēc Krimināllikuma 20. panta ceturtās daļas un 218. panta otrās daļas, kā arī Krimināllikuma 217. panta pirmās daļas</w:t>
      </w:r>
      <w:r w:rsidR="0079664E">
        <w:t>,</w:t>
      </w:r>
      <w:r>
        <w:t xml:space="preserve"> un attaisnota.</w:t>
      </w:r>
    </w:p>
    <w:p w14:paraId="6C188D9F" w14:textId="4AF2C071" w:rsidR="006000E6" w:rsidRDefault="00B27FB6" w:rsidP="001F56D0">
      <w:pPr>
        <w:spacing w:after="0" w:line="276" w:lineRule="auto"/>
        <w:ind w:firstLine="720"/>
        <w:jc w:val="both"/>
      </w:pPr>
      <w:r>
        <w:t xml:space="preserve">[1.3] </w:t>
      </w:r>
      <w:r w:rsidR="00CC06BC">
        <w:t>[Pers. C]</w:t>
      </w:r>
      <w:r w:rsidR="0059026C">
        <w:t xml:space="preserve"> (</w:t>
      </w:r>
      <w:r w:rsidR="00CC06BC" w:rsidRPr="00CC06BC">
        <w:rPr>
          <w:i/>
          <w:iCs/>
        </w:rPr>
        <w:t>[pers. C]</w:t>
      </w:r>
      <w:r w:rsidR="0059026C">
        <w:t xml:space="preserve">), personas identifikācijas numurs </w:t>
      </w:r>
      <w:r w:rsidR="00CC06BC">
        <w:t>[..]</w:t>
      </w:r>
      <w:r w:rsidR="0059026C">
        <w:t>,</w:t>
      </w:r>
    </w:p>
    <w:p w14:paraId="564D837D" w14:textId="65F6732E" w:rsidR="00FA58A7" w:rsidRDefault="0059026C" w:rsidP="00B27FB6">
      <w:pPr>
        <w:spacing w:after="0" w:line="276" w:lineRule="auto"/>
        <w:ind w:firstLine="720"/>
        <w:jc w:val="both"/>
      </w:pPr>
      <w:r>
        <w:t>atzīts par nevainīgu pret viņu celtajā apsūdzībā pēc Krimināllikuma 20. panta ceturtās daļas un 218. panta otrās daļas</w:t>
      </w:r>
      <w:r w:rsidR="00AC4FDD">
        <w:t xml:space="preserve">, kā arī </w:t>
      </w:r>
      <w:r>
        <w:t>pēc Krimināllikuma 195. panta trešās daļas</w:t>
      </w:r>
      <w:r w:rsidR="0066602C">
        <w:t>,</w:t>
      </w:r>
      <w:r>
        <w:t xml:space="preserve"> un attaisnots.</w:t>
      </w:r>
    </w:p>
    <w:p w14:paraId="7F6EAB98" w14:textId="6F7EF890" w:rsidR="007D2058" w:rsidRDefault="007D2058" w:rsidP="007D2058">
      <w:pPr>
        <w:spacing w:after="0" w:line="276" w:lineRule="auto"/>
        <w:ind w:firstLine="720"/>
        <w:jc w:val="both"/>
      </w:pPr>
      <w:r>
        <w:t xml:space="preserve">[1.4] </w:t>
      </w:r>
      <w:r w:rsidRPr="007D2058">
        <w:t>Atstāt</w:t>
      </w:r>
      <w:r>
        <w:t>a</w:t>
      </w:r>
      <w:r w:rsidRPr="007D2058">
        <w:t xml:space="preserve"> bez izskatīšanas Valsts ieņēmum</w:t>
      </w:r>
      <w:r w:rsidR="00B12962">
        <w:t>u</w:t>
      </w:r>
      <w:r w:rsidRPr="007D2058">
        <w:t xml:space="preserve"> dienesta </w:t>
      </w:r>
      <w:r>
        <w:t>pieteiktā</w:t>
      </w:r>
      <w:r w:rsidRPr="007D2058">
        <w:t xml:space="preserve"> kaitējuma</w:t>
      </w:r>
      <w:r>
        <w:t xml:space="preserve"> kompensācija</w:t>
      </w:r>
      <w:r w:rsidRPr="007D2058">
        <w:t xml:space="preserve"> 105 950 </w:t>
      </w:r>
      <w:r w:rsidRPr="00003875">
        <w:rPr>
          <w:i/>
          <w:iCs/>
        </w:rPr>
        <w:t>euro</w:t>
      </w:r>
      <w:r>
        <w:t>.</w:t>
      </w:r>
    </w:p>
    <w:p w14:paraId="2F029DAD" w14:textId="77777777" w:rsidR="00B27FB6" w:rsidRDefault="00B27FB6" w:rsidP="00B27FB6">
      <w:pPr>
        <w:spacing w:after="0" w:line="276" w:lineRule="auto"/>
        <w:ind w:firstLine="720"/>
        <w:jc w:val="both"/>
      </w:pPr>
    </w:p>
    <w:p w14:paraId="189E3C42" w14:textId="0B91AD95" w:rsidR="00DD6A05" w:rsidRDefault="003B2289" w:rsidP="001F56D0">
      <w:pPr>
        <w:spacing w:after="0" w:line="276" w:lineRule="auto"/>
        <w:ind w:firstLine="720"/>
        <w:jc w:val="both"/>
      </w:pPr>
      <w:r>
        <w:t>[</w:t>
      </w:r>
      <w:r w:rsidR="00C91B82">
        <w:t>2</w:t>
      </w:r>
      <w:r>
        <w:t xml:space="preserve">] Ar </w:t>
      </w:r>
      <w:r w:rsidR="008639C0">
        <w:t>Rīgas apgabaltiesa</w:t>
      </w:r>
      <w:r>
        <w:t>s 2024.</w:t>
      </w:r>
      <w:r w:rsidR="00372C6A">
        <w:t> </w:t>
      </w:r>
      <w:r>
        <w:t xml:space="preserve">gada </w:t>
      </w:r>
      <w:r w:rsidR="00372C6A">
        <w:t>17. aprīļa spriedumu</w:t>
      </w:r>
      <w:r>
        <w:t>, iztiesājot lietu sakarā ar</w:t>
      </w:r>
      <w:r w:rsidR="00383052">
        <w:t xml:space="preserve"> cietušā Valsts ieņēmumu dienesta apelācijas sūdzību un prokurora </w:t>
      </w:r>
      <w:r w:rsidR="004625CC">
        <w:t xml:space="preserve">Sergeja Medvedeva </w:t>
      </w:r>
      <w:r w:rsidR="00383052">
        <w:t xml:space="preserve">apelācijas protestu, Ekonomisko lietu </w:t>
      </w:r>
      <w:r>
        <w:t xml:space="preserve">tiesas </w:t>
      </w:r>
      <w:r w:rsidR="00383052">
        <w:t>2022. gada 19. septembra spriedums atcelts daļā par</w:t>
      </w:r>
      <w:r w:rsidR="00DD6A05">
        <w:t xml:space="preserve"> </w:t>
      </w:r>
      <w:r w:rsidR="00CC06BC">
        <w:t>[pers. A]</w:t>
      </w:r>
      <w:r w:rsidR="00DD6A05">
        <w:t xml:space="preserve"> atzīšanu par nevainīgu un attaisnošanu apsūdzībā pēc Krimināllikuma 218.</w:t>
      </w:r>
      <w:r w:rsidR="004625CC">
        <w:t> </w:t>
      </w:r>
      <w:r w:rsidR="00DD6A05">
        <w:t xml:space="preserve">panta otrās daļas (zaudējums valstij nenomaksātā nodokļa veidā 58 650 </w:t>
      </w:r>
      <w:proofErr w:type="spellStart"/>
      <w:r w:rsidR="00DD6A05" w:rsidRPr="00DD6A05">
        <w:rPr>
          <w:i/>
          <w:iCs/>
        </w:rPr>
        <w:t>euro</w:t>
      </w:r>
      <w:proofErr w:type="spellEnd"/>
      <w:r w:rsidR="00DD6A05">
        <w:t xml:space="preserve">) un </w:t>
      </w:r>
      <w:r w:rsidR="00CC06BC">
        <w:t>[pers. B]</w:t>
      </w:r>
      <w:r w:rsidR="00DD6A05">
        <w:t xml:space="preserve"> atzīšanu par nevainīgu un attaisnošanu apsūdzībā pēc Krimināllikuma 20. panta ceturtās daļas un 218. panta otrās daļas </w:t>
      </w:r>
      <w:r w:rsidR="004D6E35" w:rsidRPr="00E61A40">
        <w:t xml:space="preserve">par </w:t>
      </w:r>
      <w:r w:rsidR="002F1057">
        <w:t>šī</w:t>
      </w:r>
      <w:r w:rsidR="004D6E35" w:rsidRPr="00E61A40">
        <w:t xml:space="preserve"> nozie</w:t>
      </w:r>
      <w:r w:rsidR="00890433">
        <w:t>guma</w:t>
      </w:r>
      <w:r w:rsidR="004D6E35" w:rsidRPr="00E61A40">
        <w:t xml:space="preserve"> atbalstīšanu.</w:t>
      </w:r>
    </w:p>
    <w:p w14:paraId="69BAD2AA" w14:textId="2FBA66D5" w:rsidR="00DD6A05" w:rsidRDefault="00DD6A05" w:rsidP="001F56D0">
      <w:pPr>
        <w:spacing w:after="0" w:line="276" w:lineRule="auto"/>
        <w:ind w:firstLine="720"/>
        <w:jc w:val="both"/>
      </w:pPr>
      <w:r>
        <w:t>[</w:t>
      </w:r>
      <w:r w:rsidR="00C91B82">
        <w:t>2</w:t>
      </w:r>
      <w:r>
        <w:t xml:space="preserve">.1] </w:t>
      </w:r>
      <w:r w:rsidR="00CC06BC">
        <w:t>[</w:t>
      </w:r>
      <w:r w:rsidR="00BB404B">
        <w:t>P</w:t>
      </w:r>
      <w:r w:rsidR="00CC06BC">
        <w:t>ers. A]</w:t>
      </w:r>
      <w:r>
        <w:t xml:space="preserve"> atzīts par vainīgu Krimināllikuma 218. panta otrajā daļā paredzēt</w:t>
      </w:r>
      <w:r w:rsidR="001904F9">
        <w:t>ajā noziedzīgajā</w:t>
      </w:r>
      <w:r>
        <w:t xml:space="preserve"> </w:t>
      </w:r>
      <w:r w:rsidR="001904F9">
        <w:t xml:space="preserve">nodarījumā </w:t>
      </w:r>
      <w:r>
        <w:t>(zaudējums valstij nenomaksātā nodokļa veidā 58</w:t>
      </w:r>
      <w:r w:rsidR="001904F9">
        <w:t> </w:t>
      </w:r>
      <w:r>
        <w:t xml:space="preserve">650 </w:t>
      </w:r>
      <w:r w:rsidRPr="00DD6A05">
        <w:rPr>
          <w:i/>
          <w:iCs/>
        </w:rPr>
        <w:t>euro</w:t>
      </w:r>
      <w:r>
        <w:t>) un sodīts ar naudas sodu 20 minimālo mēnešalgu apmērā, tas ir,</w:t>
      </w:r>
      <w:r w:rsidR="004625CC">
        <w:t xml:space="preserve"> </w:t>
      </w:r>
      <w:r>
        <w:t>14</w:t>
      </w:r>
      <w:r w:rsidR="007F6478">
        <w:t> </w:t>
      </w:r>
      <w:r>
        <w:t xml:space="preserve">000 </w:t>
      </w:r>
      <w:r w:rsidRPr="00DD6A05">
        <w:rPr>
          <w:i/>
          <w:iCs/>
        </w:rPr>
        <w:t>euro</w:t>
      </w:r>
      <w:r>
        <w:t>, atņemot tiesības ieņemt uzņēmuma valdes locekļa amatu uz 2 gadiem.</w:t>
      </w:r>
    </w:p>
    <w:p w14:paraId="25B3EACD" w14:textId="4E677239" w:rsidR="00DD6A05" w:rsidRDefault="00DD6A05" w:rsidP="00F30121">
      <w:pPr>
        <w:spacing w:after="0" w:line="276" w:lineRule="auto"/>
        <w:ind w:firstLine="720"/>
        <w:jc w:val="both"/>
      </w:pPr>
      <w:r>
        <w:t>[</w:t>
      </w:r>
      <w:r w:rsidR="00C91B82">
        <w:t>2</w:t>
      </w:r>
      <w:r>
        <w:t xml:space="preserve">.2] </w:t>
      </w:r>
      <w:r w:rsidR="00CC06BC">
        <w:t>[</w:t>
      </w:r>
      <w:r w:rsidR="00BB404B">
        <w:t>P</w:t>
      </w:r>
      <w:r w:rsidR="00CC06BC">
        <w:t>ers. B]</w:t>
      </w:r>
      <w:r>
        <w:t xml:space="preserve"> atzīta par vainīgu Krimināllikuma 20. panta ceturtajā daļā un 218. panta otrajā daļā </w:t>
      </w:r>
      <w:r w:rsidR="001904F9">
        <w:t>paredzētajā noziedzīgajā nodarījumā</w:t>
      </w:r>
      <w:r>
        <w:t xml:space="preserve"> (zaudējums valstij nenomaksātā nodokļa veidā 58</w:t>
      </w:r>
      <w:r w:rsidR="00896EA0">
        <w:t> </w:t>
      </w:r>
      <w:r>
        <w:t xml:space="preserve">650 </w:t>
      </w:r>
      <w:r w:rsidRPr="00DD6A05">
        <w:rPr>
          <w:i/>
          <w:iCs/>
        </w:rPr>
        <w:t>euro</w:t>
      </w:r>
      <w:r>
        <w:t>) un sodīta ar naudas sodu 15 minimālo mēnešalgu apmērā, tas ir, 10</w:t>
      </w:r>
      <w:r w:rsidR="00896EA0">
        <w:t> </w:t>
      </w:r>
      <w:r>
        <w:t xml:space="preserve">500 </w:t>
      </w:r>
      <w:r w:rsidRPr="00DD6A05">
        <w:rPr>
          <w:i/>
          <w:iCs/>
        </w:rPr>
        <w:t>euro</w:t>
      </w:r>
      <w:r>
        <w:t>, atņemot tiesības ieņemt grāmatvedes amatu uz 2 gadiem.</w:t>
      </w:r>
    </w:p>
    <w:p w14:paraId="23B2BD3E" w14:textId="7195E5C5" w:rsidR="005726E5" w:rsidRDefault="00DD6A05" w:rsidP="005726E5">
      <w:pPr>
        <w:spacing w:after="0" w:line="276" w:lineRule="auto"/>
        <w:ind w:firstLine="720"/>
        <w:jc w:val="both"/>
      </w:pPr>
      <w:r>
        <w:t xml:space="preserve">Saskaņā ar Krimināllikuma 52. panta trešo daļu </w:t>
      </w:r>
      <w:r w:rsidR="00CC06BC">
        <w:t>[pers. B]</w:t>
      </w:r>
      <w:r>
        <w:t xml:space="preserve"> piespriestais sods mīkstināts un noteikts naudas sod</w:t>
      </w:r>
      <w:r w:rsidR="004625CC">
        <w:t>s</w:t>
      </w:r>
      <w:r>
        <w:t xml:space="preserve"> 10 minimālo mēnešalgu apmērā, tas ir, 7000 </w:t>
      </w:r>
      <w:r w:rsidRPr="00DD6A05">
        <w:rPr>
          <w:i/>
          <w:iCs/>
        </w:rPr>
        <w:t>euro</w:t>
      </w:r>
      <w:r>
        <w:t>, atņemot tiesības ieņemt grāmatvedes amatu uz 2 gadiem.</w:t>
      </w:r>
    </w:p>
    <w:p w14:paraId="026F67BA" w14:textId="06EB0877" w:rsidR="00852B52" w:rsidRDefault="00852B52" w:rsidP="001F56D0">
      <w:pPr>
        <w:spacing w:after="0" w:line="276" w:lineRule="auto"/>
        <w:ind w:firstLine="720"/>
        <w:jc w:val="both"/>
      </w:pPr>
      <w:r>
        <w:lastRenderedPageBreak/>
        <w:t>Pārējā daļā Ekonomisko lietu tiesas 2022. gada 19. septembra spriedums atstāts negrozīts.</w:t>
      </w:r>
    </w:p>
    <w:p w14:paraId="7D0B1A1D" w14:textId="55CD23CE" w:rsidR="005071F8" w:rsidRDefault="005726E5" w:rsidP="00460429">
      <w:pPr>
        <w:spacing w:after="0" w:line="276" w:lineRule="auto"/>
        <w:ind w:firstLine="720"/>
        <w:jc w:val="both"/>
      </w:pPr>
      <w:bookmarkStart w:id="1" w:name="_Hlk207717572"/>
      <w:r>
        <w:t>[</w:t>
      </w:r>
      <w:r w:rsidR="00C91B82">
        <w:t>2</w:t>
      </w:r>
      <w:r>
        <w:t xml:space="preserve">.3] Atzīstot </w:t>
      </w:r>
      <w:r w:rsidR="00CC06BC">
        <w:t>[pers. A]</w:t>
      </w:r>
      <w:r w:rsidRPr="00F542DF">
        <w:t xml:space="preserve"> par vainīg</w:t>
      </w:r>
      <w:r>
        <w:t xml:space="preserve">u </w:t>
      </w:r>
      <w:r w:rsidRPr="00F542DF">
        <w:t>Krimināllikuma 218.</w:t>
      </w:r>
      <w:r w:rsidR="00896EA0">
        <w:t> </w:t>
      </w:r>
      <w:r w:rsidRPr="00F542DF">
        <w:t>panta otr</w:t>
      </w:r>
      <w:r>
        <w:t>ajā</w:t>
      </w:r>
      <w:r w:rsidRPr="00F542DF">
        <w:t xml:space="preserve"> daļ</w:t>
      </w:r>
      <w:r>
        <w:t>ā</w:t>
      </w:r>
      <w:r w:rsidR="0008249C">
        <w:t xml:space="preserve">, savukārt </w:t>
      </w:r>
      <w:r w:rsidR="00BB404B">
        <w:rPr>
          <w:rFonts w:asciiTheme="majorBidi" w:hAnsiTheme="majorBidi" w:cstheme="majorBidi"/>
        </w:rPr>
        <w:t>[pers. B]</w:t>
      </w:r>
      <w:r w:rsidRPr="00C75FA7">
        <w:rPr>
          <w:rFonts w:asciiTheme="majorBidi" w:hAnsiTheme="majorBidi" w:cstheme="majorBidi"/>
        </w:rPr>
        <w:t xml:space="preserve"> par vainīgu Krimināllikuma </w:t>
      </w:r>
      <w:r>
        <w:rPr>
          <w:rFonts w:asciiTheme="majorBidi" w:hAnsiTheme="majorBidi" w:cstheme="majorBidi"/>
        </w:rPr>
        <w:t>20</w:t>
      </w:r>
      <w:r w:rsidRPr="00C75FA7">
        <w:rPr>
          <w:rFonts w:asciiTheme="majorBidi" w:hAnsiTheme="majorBidi" w:cstheme="majorBidi"/>
        </w:rPr>
        <w:t xml:space="preserve">. panta </w:t>
      </w:r>
      <w:r>
        <w:rPr>
          <w:rFonts w:asciiTheme="majorBidi" w:hAnsiTheme="majorBidi" w:cstheme="majorBidi"/>
        </w:rPr>
        <w:t>ceturtajā daļā un 218. panta otrajā</w:t>
      </w:r>
      <w:r w:rsidRPr="00C75FA7">
        <w:rPr>
          <w:rFonts w:asciiTheme="majorBidi" w:hAnsiTheme="majorBidi" w:cstheme="majorBidi"/>
        </w:rPr>
        <w:t xml:space="preserve"> daļā </w:t>
      </w:r>
      <w:r w:rsidR="0079664E" w:rsidRPr="00C75FA7">
        <w:rPr>
          <w:rFonts w:asciiTheme="majorBidi" w:hAnsiTheme="majorBidi" w:cstheme="majorBidi"/>
        </w:rPr>
        <w:t>paredzēt</w:t>
      </w:r>
      <w:r w:rsidR="0079664E">
        <w:rPr>
          <w:rFonts w:asciiTheme="majorBidi" w:hAnsiTheme="majorBidi" w:cstheme="majorBidi"/>
        </w:rPr>
        <w:t>o</w:t>
      </w:r>
      <w:r w:rsidR="0079664E" w:rsidRPr="00C75FA7">
        <w:rPr>
          <w:rFonts w:asciiTheme="majorBidi" w:hAnsiTheme="majorBidi" w:cstheme="majorBidi"/>
        </w:rPr>
        <w:t xml:space="preserve"> n</w:t>
      </w:r>
      <w:r w:rsidR="0079664E">
        <w:rPr>
          <w:rFonts w:asciiTheme="majorBidi" w:hAnsiTheme="majorBidi" w:cstheme="majorBidi"/>
        </w:rPr>
        <w:t xml:space="preserve">oziedzīgo nodarījumu </w:t>
      </w:r>
      <w:r w:rsidRPr="00C75FA7">
        <w:rPr>
          <w:rFonts w:asciiTheme="majorBidi" w:hAnsiTheme="majorBidi" w:cstheme="majorBidi"/>
        </w:rPr>
        <w:t xml:space="preserve">izdarīšanā, </w:t>
      </w:r>
      <w:r>
        <w:rPr>
          <w:rFonts w:asciiTheme="majorBidi" w:hAnsiTheme="majorBidi" w:cstheme="majorBidi"/>
        </w:rPr>
        <w:t xml:space="preserve">apelācijas instances tiesa </w:t>
      </w:r>
      <w:r w:rsidR="0008249C">
        <w:rPr>
          <w:rFonts w:asciiTheme="majorBidi" w:hAnsiTheme="majorBidi" w:cstheme="majorBidi"/>
        </w:rPr>
        <w:t>konstatējusi</w:t>
      </w:r>
      <w:r>
        <w:rPr>
          <w:rFonts w:asciiTheme="majorBidi" w:hAnsiTheme="majorBidi" w:cstheme="majorBidi"/>
        </w:rPr>
        <w:t xml:space="preserve">, ka </w:t>
      </w:r>
      <w:r w:rsidR="005071F8" w:rsidRPr="00886509">
        <w:t>SIA</w:t>
      </w:r>
      <w:r w:rsidR="00896EA0">
        <w:t> </w:t>
      </w:r>
      <w:r w:rsidR="0008249C">
        <w:t>„</w:t>
      </w:r>
      <w:r w:rsidR="0067609C">
        <w:t>[Nosaukums A]</w:t>
      </w:r>
      <w:r w:rsidR="005071F8">
        <w:t>”</w:t>
      </w:r>
      <w:r w:rsidR="005071F8" w:rsidRPr="00886509">
        <w:t xml:space="preserve"> valdes loceklis </w:t>
      </w:r>
      <w:r w:rsidR="00CC06BC">
        <w:t>[pers. A]</w:t>
      </w:r>
      <w:r w:rsidR="005071F8" w:rsidRPr="00886509">
        <w:t xml:space="preserve">, saņemot </w:t>
      </w:r>
      <w:r w:rsidR="005071F8">
        <w:t>no Igaunijā reģistrētā uzņēmuma</w:t>
      </w:r>
      <w:r w:rsidR="00B12962">
        <w:t xml:space="preserve"> </w:t>
      </w:r>
      <w:r w:rsidR="0008249C">
        <w:t>„</w:t>
      </w:r>
      <w:r w:rsidR="0067609C">
        <w:t>[Nosaukums B]</w:t>
      </w:r>
      <w:r w:rsidR="005071F8" w:rsidRPr="00886509">
        <w:t xml:space="preserve">” </w:t>
      </w:r>
      <w:r w:rsidR="00634811">
        <w:t xml:space="preserve">(reģistrācijas kods </w:t>
      </w:r>
      <w:r w:rsidR="00BB404B">
        <w:t>[..]</w:t>
      </w:r>
      <w:r w:rsidR="00634811">
        <w:t xml:space="preserve">) </w:t>
      </w:r>
      <w:r w:rsidR="005071F8" w:rsidRPr="00886509">
        <w:t>rēķinu</w:t>
      </w:r>
      <w:r w:rsidR="005071F8">
        <w:t xml:space="preserve"> </w:t>
      </w:r>
      <w:r w:rsidR="005071F8" w:rsidRPr="00886509">
        <w:t>par 391</w:t>
      </w:r>
      <w:r w:rsidR="00460429">
        <w:t> </w:t>
      </w:r>
      <w:r w:rsidR="005071F8" w:rsidRPr="00886509">
        <w:t>000</w:t>
      </w:r>
      <w:r w:rsidR="0079664E">
        <w:t> </w:t>
      </w:r>
      <w:proofErr w:type="spellStart"/>
      <w:r w:rsidR="005071F8" w:rsidRPr="00886509">
        <w:rPr>
          <w:i/>
          <w:iCs/>
        </w:rPr>
        <w:t>euro</w:t>
      </w:r>
      <w:proofErr w:type="spellEnd"/>
      <w:r w:rsidR="005071F8" w:rsidRPr="00886509">
        <w:t xml:space="preserve"> saistībā ar plānoto tirdzniecības centra </w:t>
      </w:r>
      <w:r w:rsidR="00E86F52">
        <w:t>būvniecību</w:t>
      </w:r>
      <w:r w:rsidR="005071F8">
        <w:t xml:space="preserve"> </w:t>
      </w:r>
      <w:r w:rsidR="00BB404B">
        <w:t>[Nosaukums]</w:t>
      </w:r>
      <w:r w:rsidR="005071F8">
        <w:t xml:space="preserve">, </w:t>
      </w:r>
      <w:r w:rsidR="005071F8" w:rsidRPr="00886509">
        <w:t>un zinot, ka</w:t>
      </w:r>
      <w:r w:rsidR="00D82686">
        <w:t xml:space="preserve"> tas </w:t>
      </w:r>
      <w:r w:rsidR="005071F8" w:rsidRPr="00886509">
        <w:t>nav apmaksāts,</w:t>
      </w:r>
      <w:r w:rsidR="005071F8">
        <w:t xml:space="preserve"> </w:t>
      </w:r>
      <w:r w:rsidR="005071F8" w:rsidRPr="00886509">
        <w:t>nolēma nepamatoti palielināt SIA</w:t>
      </w:r>
      <w:r w:rsidR="00896EA0">
        <w:t> </w:t>
      </w:r>
      <w:r w:rsidR="0008249C">
        <w:t>„</w:t>
      </w:r>
      <w:r w:rsidR="0067609C">
        <w:t>[Nosaukums A]</w:t>
      </w:r>
      <w:r w:rsidR="005071F8">
        <w:t>”</w:t>
      </w:r>
      <w:r w:rsidR="005071F8" w:rsidRPr="00886509">
        <w:t xml:space="preserve"> izdevumus, iekļaujot grāmatvedībā nepatiesu informāciju par pakalpojuma saņemšanu no</w:t>
      </w:r>
      <w:r w:rsidR="005071F8">
        <w:t xml:space="preserve"> </w:t>
      </w:r>
      <w:r w:rsidR="00896EA0">
        <w:t>„</w:t>
      </w:r>
      <w:r w:rsidR="0067609C">
        <w:t>[Nosaukums B]</w:t>
      </w:r>
      <w:r w:rsidR="002F405C">
        <w:t>”</w:t>
      </w:r>
      <w:r w:rsidR="005071F8" w:rsidRPr="00886509">
        <w:t>, tādējādi</w:t>
      </w:r>
      <w:r w:rsidR="005071F8">
        <w:t xml:space="preserve"> </w:t>
      </w:r>
      <w:r w:rsidR="005071F8" w:rsidRPr="00886509">
        <w:t xml:space="preserve">samazinot </w:t>
      </w:r>
      <w:r w:rsidR="00D82686">
        <w:t xml:space="preserve">uzņēmuma </w:t>
      </w:r>
      <w:r w:rsidR="005071F8" w:rsidRPr="00886509">
        <w:t xml:space="preserve">peļņu un </w:t>
      </w:r>
      <w:r w:rsidR="00D82686">
        <w:t xml:space="preserve">ar </w:t>
      </w:r>
      <w:r w:rsidR="00E86F52">
        <w:t>uzņēmumu ienākuma nodok</w:t>
      </w:r>
      <w:r w:rsidR="00D82686">
        <w:t>li</w:t>
      </w:r>
      <w:r w:rsidR="005071F8" w:rsidRPr="00886509">
        <w:t xml:space="preserve"> apliekamo objektu.</w:t>
      </w:r>
    </w:p>
    <w:p w14:paraId="4467D86C" w14:textId="76D54D79" w:rsidR="005071F8" w:rsidRDefault="005071F8" w:rsidP="005071F8">
      <w:pPr>
        <w:spacing w:after="0" w:line="276" w:lineRule="auto"/>
        <w:ind w:firstLine="720"/>
        <w:jc w:val="both"/>
      </w:pPr>
      <w:r w:rsidRPr="00886509">
        <w:t xml:space="preserve">Īstenojot noziedzīgo nodomu, </w:t>
      </w:r>
      <w:r w:rsidR="00CC06BC">
        <w:t>[pers. A]</w:t>
      </w:r>
      <w:r w:rsidRPr="00886509">
        <w:t xml:space="preserve"> vienojās ar SIA</w:t>
      </w:r>
      <w:r w:rsidR="00896EA0">
        <w:t> </w:t>
      </w:r>
      <w:r w:rsidR="0008249C">
        <w:t>„</w:t>
      </w:r>
      <w:r w:rsidR="0067609C">
        <w:t>[Nosaukums A]</w:t>
      </w:r>
      <w:r>
        <w:t>”</w:t>
      </w:r>
      <w:r w:rsidRPr="00886509">
        <w:t xml:space="preserve"> grāmatvedi </w:t>
      </w:r>
      <w:r w:rsidR="0067609C">
        <w:t>[pers. B]</w:t>
      </w:r>
      <w:r w:rsidRPr="00886509">
        <w:t xml:space="preserve"> par</w:t>
      </w:r>
      <w:r>
        <w:t xml:space="preserve"> </w:t>
      </w:r>
      <w:r w:rsidR="00D82686">
        <w:t>minētā</w:t>
      </w:r>
      <w:r>
        <w:t xml:space="preserve"> </w:t>
      </w:r>
      <w:r w:rsidRPr="00886509">
        <w:t>rēķina</w:t>
      </w:r>
      <w:r>
        <w:t xml:space="preserve"> </w:t>
      </w:r>
      <w:r w:rsidRPr="00886509">
        <w:t>iegrāmatošanu SIA</w:t>
      </w:r>
      <w:r w:rsidR="00896EA0">
        <w:t> </w:t>
      </w:r>
      <w:r w:rsidR="0008249C">
        <w:t>„</w:t>
      </w:r>
      <w:r w:rsidR="0067609C">
        <w:t>[Nosaukums A]</w:t>
      </w:r>
      <w:r>
        <w:t>”</w:t>
      </w:r>
      <w:r w:rsidRPr="00886509">
        <w:t xml:space="preserve"> grāmatvedības reģistros un darījuma ar</w:t>
      </w:r>
      <w:r>
        <w:t xml:space="preserve"> </w:t>
      </w:r>
      <w:r w:rsidR="002F405C">
        <w:t>„</w:t>
      </w:r>
      <w:r w:rsidR="0067609C">
        <w:t>[Nosaukums B]</w:t>
      </w:r>
      <w:r w:rsidR="002F405C">
        <w:t>”</w:t>
      </w:r>
      <w:r w:rsidR="00A8717D">
        <w:t xml:space="preserve"> </w:t>
      </w:r>
      <w:r w:rsidRPr="00886509">
        <w:t xml:space="preserve">iekļaušanu </w:t>
      </w:r>
      <w:r w:rsidR="00E86F52" w:rsidRPr="00886509">
        <w:t>SIA</w:t>
      </w:r>
      <w:r w:rsidR="00896EA0">
        <w:t> </w:t>
      </w:r>
      <w:r w:rsidR="0008249C">
        <w:t>„</w:t>
      </w:r>
      <w:r w:rsidR="0067609C">
        <w:t>[Nosaukums A]</w:t>
      </w:r>
      <w:r w:rsidR="00E86F52">
        <w:t>”</w:t>
      </w:r>
      <w:r>
        <w:t xml:space="preserve"> </w:t>
      </w:r>
      <w:r w:rsidRPr="00886509">
        <w:t>gada pārskatā par 2017.</w:t>
      </w:r>
      <w:r>
        <w:t> </w:t>
      </w:r>
      <w:r w:rsidRPr="00886509">
        <w:t>gadu.</w:t>
      </w:r>
    </w:p>
    <w:p w14:paraId="5EE6863E" w14:textId="39E383C2" w:rsidR="005071F8" w:rsidRDefault="005071F8" w:rsidP="005071F8">
      <w:pPr>
        <w:spacing w:after="0" w:line="276" w:lineRule="auto"/>
        <w:ind w:firstLine="720"/>
        <w:jc w:val="both"/>
      </w:pPr>
      <w:r>
        <w:t xml:space="preserve">Turpmāk </w:t>
      </w:r>
      <w:r w:rsidR="00CC06BC">
        <w:t>[pers. B]</w:t>
      </w:r>
      <w:r w:rsidRPr="00886509">
        <w:t>, apzinoties, ka</w:t>
      </w:r>
      <w:r>
        <w:t xml:space="preserve"> </w:t>
      </w:r>
      <w:r w:rsidR="00D82686">
        <w:t xml:space="preserve">šī </w:t>
      </w:r>
      <w:r>
        <w:t>rēķina</w:t>
      </w:r>
      <w:r w:rsidRPr="00886509">
        <w:t xml:space="preserve"> </w:t>
      </w:r>
      <w:r w:rsidR="008C59A2">
        <w:t>apmaksa</w:t>
      </w:r>
      <w:r>
        <w:t xml:space="preserve"> </w:t>
      </w:r>
      <w:r w:rsidRPr="00886509">
        <w:t xml:space="preserve">nav </w:t>
      </w:r>
      <w:r w:rsidR="008C59A2">
        <w:t>veikta</w:t>
      </w:r>
      <w:r w:rsidRPr="00886509">
        <w:t>,</w:t>
      </w:r>
      <w:r>
        <w:t xml:space="preserve"> </w:t>
      </w:r>
      <w:r w:rsidRPr="00886509">
        <w:t>ne vēlāk kā 2018.</w:t>
      </w:r>
      <w:r>
        <w:t> </w:t>
      </w:r>
      <w:r w:rsidRPr="00886509">
        <w:t>gada 22.</w:t>
      </w:r>
      <w:r>
        <w:t> </w:t>
      </w:r>
      <w:r w:rsidRPr="00886509">
        <w:t>janvārī veica ierakstu</w:t>
      </w:r>
      <w:r>
        <w:t xml:space="preserve"> </w:t>
      </w:r>
      <w:r w:rsidRPr="00886509">
        <w:t>SIA</w:t>
      </w:r>
      <w:r w:rsidR="00896EA0">
        <w:t> „</w:t>
      </w:r>
      <w:r w:rsidR="0067609C">
        <w:t>[Nosaukums A]</w:t>
      </w:r>
      <w:r>
        <w:t>”</w:t>
      </w:r>
      <w:r w:rsidRPr="00886509">
        <w:t xml:space="preserve"> grāmatvedības reģistros, iegrāmatojot </w:t>
      </w:r>
      <w:r w:rsidR="008C59A2">
        <w:t>šo</w:t>
      </w:r>
      <w:r w:rsidRPr="00886509">
        <w:t xml:space="preserve"> rēķinu kā SIA</w:t>
      </w:r>
      <w:r w:rsidR="00896EA0">
        <w:t> </w:t>
      </w:r>
      <w:r w:rsidR="0008249C">
        <w:t>„</w:t>
      </w:r>
      <w:r w:rsidR="0067609C">
        <w:t>[Nosaukums A]</w:t>
      </w:r>
      <w:r>
        <w:t>”</w:t>
      </w:r>
      <w:r w:rsidRPr="00886509">
        <w:t xml:space="preserve"> izdevumus, kā arī sagatavoja un pēc</w:t>
      </w:r>
      <w:r>
        <w:t xml:space="preserve"> </w:t>
      </w:r>
      <w:r w:rsidR="00CC06BC">
        <w:t>[pers. A]</w:t>
      </w:r>
      <w:r w:rsidRPr="00886509">
        <w:t xml:space="preserve"> parakstīšanas iesniedza V</w:t>
      </w:r>
      <w:r w:rsidR="00E86F52">
        <w:t>alsts ieņēmumu dienesta</w:t>
      </w:r>
      <w:r w:rsidRPr="00886509">
        <w:t xml:space="preserve"> Elektroniskās deklarēšanas sistēmā SIA</w:t>
      </w:r>
      <w:r w:rsidR="00D57D37">
        <w:t> </w:t>
      </w:r>
      <w:r w:rsidR="0008249C">
        <w:t>„</w:t>
      </w:r>
      <w:r w:rsidR="0067609C">
        <w:t>[Nosaukums A]</w:t>
      </w:r>
      <w:r>
        <w:t>”</w:t>
      </w:r>
      <w:r w:rsidRPr="00886509">
        <w:t xml:space="preserve"> gada pārskatu par 2017.</w:t>
      </w:r>
      <w:r>
        <w:t> </w:t>
      </w:r>
      <w:r w:rsidRPr="00886509">
        <w:t>gadu, kurā peļņas (zaudējumu) aprēķina postenī</w:t>
      </w:r>
      <w:r>
        <w:t xml:space="preserve"> </w:t>
      </w:r>
      <w:r w:rsidR="0008249C">
        <w:t>„</w:t>
      </w:r>
      <w:r w:rsidRPr="00886509">
        <w:t xml:space="preserve">Pārdotās produkcijas ražošanas izmaksas” iekļāva darījumu ar </w:t>
      </w:r>
      <w:r w:rsidR="002F405C">
        <w:t>„</w:t>
      </w:r>
      <w:r w:rsidR="0067609C">
        <w:t>[Nosaukums B]</w:t>
      </w:r>
      <w:r w:rsidR="002F405C">
        <w:t xml:space="preserve">” </w:t>
      </w:r>
      <w:r w:rsidRPr="00886509">
        <w:t>, attiecinot to</w:t>
      </w:r>
      <w:r>
        <w:t xml:space="preserve"> </w:t>
      </w:r>
      <w:r w:rsidRPr="00886509">
        <w:t>uz 2017.</w:t>
      </w:r>
      <w:r>
        <w:t> </w:t>
      </w:r>
      <w:r w:rsidRPr="00886509">
        <w:t xml:space="preserve">gada izdevumiem, tādējādi novērsa šķēršļus, lai atvieglotu </w:t>
      </w:r>
      <w:r w:rsidR="00CC06BC">
        <w:t>[pers. A]</w:t>
      </w:r>
      <w:r w:rsidRPr="00886509">
        <w:t xml:space="preserve"> nepamatoti</w:t>
      </w:r>
      <w:r>
        <w:t xml:space="preserve"> </w:t>
      </w:r>
      <w:r w:rsidRPr="00886509">
        <w:t>palielināt</w:t>
      </w:r>
      <w:r>
        <w:t xml:space="preserve"> uzņēmuma</w:t>
      </w:r>
      <w:r w:rsidRPr="00886509">
        <w:t xml:space="preserve"> izmaksas par 391</w:t>
      </w:r>
      <w:r w:rsidR="008C59A2">
        <w:t> </w:t>
      </w:r>
      <w:r w:rsidRPr="00886509">
        <w:t>000</w:t>
      </w:r>
      <w:r w:rsidR="008C59A2">
        <w:t> </w:t>
      </w:r>
      <w:r w:rsidRPr="00886509">
        <w:rPr>
          <w:i/>
          <w:iCs/>
        </w:rPr>
        <w:t>euro</w:t>
      </w:r>
      <w:r w:rsidRPr="00886509">
        <w:t xml:space="preserve">, samazinot </w:t>
      </w:r>
      <w:r>
        <w:t>tā</w:t>
      </w:r>
      <w:r w:rsidRPr="00886509">
        <w:t xml:space="preserve"> peļņu.</w:t>
      </w:r>
    </w:p>
    <w:p w14:paraId="4CB8DEA6" w14:textId="6F4E0144" w:rsidR="005071F8" w:rsidRDefault="008C59A2" w:rsidP="005071F8">
      <w:pPr>
        <w:spacing w:after="0" w:line="276" w:lineRule="auto"/>
        <w:ind w:firstLine="720"/>
        <w:jc w:val="both"/>
      </w:pPr>
      <w:r>
        <w:t>A</w:t>
      </w:r>
      <w:r w:rsidR="00E86F52">
        <w:t xml:space="preserve">r šādām apsūdzēto darbībām tika </w:t>
      </w:r>
      <w:r w:rsidR="005071F8" w:rsidRPr="00886509">
        <w:t>samazinā</w:t>
      </w:r>
      <w:r w:rsidR="00E86F52">
        <w:t>ts</w:t>
      </w:r>
      <w:r w:rsidR="005071F8" w:rsidRPr="00886509">
        <w:t xml:space="preserve"> ar </w:t>
      </w:r>
      <w:r w:rsidR="005071F8">
        <w:t xml:space="preserve">uzņēmumu ienākuma nodokli </w:t>
      </w:r>
      <w:r w:rsidR="005071F8" w:rsidRPr="00886509">
        <w:t>apliekam</w:t>
      </w:r>
      <w:r w:rsidR="00E86F52">
        <w:t>ais</w:t>
      </w:r>
      <w:r w:rsidR="005071F8" w:rsidRPr="00886509">
        <w:t xml:space="preserve"> objekt</w:t>
      </w:r>
      <w:r w:rsidR="00E86F52">
        <w:t>s un</w:t>
      </w:r>
      <w:r w:rsidR="005071F8" w:rsidRPr="00886509">
        <w:t xml:space="preserve"> nodar</w:t>
      </w:r>
      <w:r w:rsidR="00E86F52">
        <w:t>īti</w:t>
      </w:r>
      <w:r w:rsidR="005071F8" w:rsidRPr="00886509">
        <w:t xml:space="preserve"> zaudējum</w:t>
      </w:r>
      <w:r w:rsidR="00E86F52">
        <w:t>i</w:t>
      </w:r>
      <w:r w:rsidR="005071F8" w:rsidRPr="00886509">
        <w:t xml:space="preserve"> valstij nenomaksātā </w:t>
      </w:r>
      <w:r w:rsidR="005071F8">
        <w:t xml:space="preserve">uzņēmumu ienākuma nodokļa </w:t>
      </w:r>
      <w:r w:rsidR="005071F8" w:rsidRPr="00886509">
        <w:t>veidā 58</w:t>
      </w:r>
      <w:r w:rsidR="00D57D37">
        <w:t> </w:t>
      </w:r>
      <w:r w:rsidR="005071F8" w:rsidRPr="00886509">
        <w:t>650</w:t>
      </w:r>
      <w:r w:rsidR="00D57D37">
        <w:t> </w:t>
      </w:r>
      <w:r w:rsidR="005071F8" w:rsidRPr="00886509">
        <w:rPr>
          <w:i/>
          <w:iCs/>
        </w:rPr>
        <w:t>euro</w:t>
      </w:r>
      <w:r w:rsidR="005071F8">
        <w:t>.</w:t>
      </w:r>
    </w:p>
    <w:bookmarkEnd w:id="1"/>
    <w:p w14:paraId="6791757E" w14:textId="77777777" w:rsidR="005071F8" w:rsidRPr="00886509" w:rsidRDefault="005071F8" w:rsidP="005071F8">
      <w:pPr>
        <w:spacing w:after="0" w:line="276" w:lineRule="auto"/>
        <w:ind w:firstLine="720"/>
        <w:jc w:val="both"/>
      </w:pPr>
    </w:p>
    <w:p w14:paraId="3D5DD377" w14:textId="68426EDC" w:rsidR="003B2289" w:rsidRDefault="003B2289" w:rsidP="002A12D3">
      <w:pPr>
        <w:spacing w:after="0" w:line="276" w:lineRule="auto"/>
        <w:ind w:firstLine="720"/>
        <w:jc w:val="both"/>
        <w:rPr>
          <w:color w:val="000000" w:themeColor="text1"/>
        </w:rPr>
      </w:pPr>
      <w:bookmarkStart w:id="2" w:name="_Hlk207720391"/>
      <w:r>
        <w:t>[</w:t>
      </w:r>
      <w:r w:rsidR="00C91B82">
        <w:t>3</w:t>
      </w:r>
      <w:r>
        <w:t xml:space="preserve">] Par </w:t>
      </w:r>
      <w:r w:rsidR="00DD6A05">
        <w:t>Rīgas</w:t>
      </w:r>
      <w:r>
        <w:t xml:space="preserve"> apgabaltiesas </w:t>
      </w:r>
      <w:r w:rsidR="00DD6A05">
        <w:t>2024. gada 17. aprīļa spriedumu</w:t>
      </w:r>
      <w:r>
        <w:t xml:space="preserve"> apsūdzēt</w:t>
      </w:r>
      <w:r w:rsidR="00DD6A05">
        <w:t xml:space="preserve">o </w:t>
      </w:r>
      <w:r w:rsidR="00CC06BC">
        <w:t>[pers. A]</w:t>
      </w:r>
      <w:r w:rsidR="00DD6A05">
        <w:t xml:space="preserve"> un </w:t>
      </w:r>
      <w:r w:rsidR="00CC06BC">
        <w:t>[pers. B]</w:t>
      </w:r>
      <w:r w:rsidR="00DD6A05">
        <w:t xml:space="preserve"> aizstāvis </w:t>
      </w:r>
      <w:r w:rsidR="00AC0A1C">
        <w:t xml:space="preserve">J. Dambītis iesniedzis kasācijas sūdzību, </w:t>
      </w:r>
      <w:r w:rsidR="0008249C">
        <w:t>kurā lūdz atcelt apelācijas instances tiesas spriedumu daļā par apsūdzēto atzīšanu par vainīgiem un sodīšanu</w:t>
      </w:r>
      <w:r w:rsidR="002A12D3">
        <w:t xml:space="preserve">, </w:t>
      </w:r>
      <w:r w:rsidR="00AC0A1C">
        <w:t xml:space="preserve">un </w:t>
      </w:r>
      <w:r>
        <w:t xml:space="preserve">nosūtīt lietu jaunai izskatīšanai, norādot, ka apelācijas instances tiesa pieļāvusi </w:t>
      </w:r>
      <w:r w:rsidRPr="009124FA">
        <w:rPr>
          <w:color w:val="000000" w:themeColor="text1"/>
        </w:rPr>
        <w:t>Kriminālprocesa likuma</w:t>
      </w:r>
      <w:r w:rsidR="00E804D3">
        <w:rPr>
          <w:color w:val="000000" w:themeColor="text1"/>
        </w:rPr>
        <w:t xml:space="preserve"> 23. panta,</w:t>
      </w:r>
      <w:r w:rsidRPr="009124FA">
        <w:rPr>
          <w:color w:val="000000" w:themeColor="text1"/>
        </w:rPr>
        <w:t xml:space="preserve"> </w:t>
      </w:r>
      <w:r w:rsidR="00AC0A1C" w:rsidRPr="009124FA">
        <w:rPr>
          <w:color w:val="000000" w:themeColor="text1"/>
        </w:rPr>
        <w:t xml:space="preserve">124. panta pirmās, otrās, trešās un piektās daļas, </w:t>
      </w:r>
      <w:r w:rsidR="00717BCF">
        <w:rPr>
          <w:color w:val="000000" w:themeColor="text1"/>
        </w:rPr>
        <w:t xml:space="preserve">128. panta otrās daļas, </w:t>
      </w:r>
      <w:r w:rsidR="009124FA" w:rsidRPr="009124FA">
        <w:rPr>
          <w:color w:val="000000" w:themeColor="text1"/>
        </w:rPr>
        <w:t xml:space="preserve">511. panta otrās daļas, </w:t>
      </w:r>
      <w:r w:rsidR="002936A9">
        <w:rPr>
          <w:color w:val="000000" w:themeColor="text1"/>
        </w:rPr>
        <w:t xml:space="preserve">512. panta, </w:t>
      </w:r>
      <w:r w:rsidR="00AC0A1C" w:rsidRPr="009124FA">
        <w:rPr>
          <w:color w:val="000000" w:themeColor="text1"/>
        </w:rPr>
        <w:t>527.</w:t>
      </w:r>
      <w:r w:rsidR="00011A4E" w:rsidRPr="009124FA">
        <w:rPr>
          <w:color w:val="000000" w:themeColor="text1"/>
        </w:rPr>
        <w:t> </w:t>
      </w:r>
      <w:r w:rsidR="00AC0A1C" w:rsidRPr="009124FA">
        <w:rPr>
          <w:color w:val="000000" w:themeColor="text1"/>
        </w:rPr>
        <w:t>panta otrās daļas 1. punkta</w:t>
      </w:r>
      <w:r w:rsidR="009124FA" w:rsidRPr="009124FA">
        <w:rPr>
          <w:color w:val="000000" w:themeColor="text1"/>
        </w:rPr>
        <w:t>,</w:t>
      </w:r>
      <w:r w:rsidR="00011A4E" w:rsidRPr="009124FA">
        <w:rPr>
          <w:color w:val="000000" w:themeColor="text1"/>
        </w:rPr>
        <w:t xml:space="preserve"> </w:t>
      </w:r>
      <w:r w:rsidRPr="009124FA">
        <w:rPr>
          <w:color w:val="000000" w:themeColor="text1"/>
        </w:rPr>
        <w:t>564.</w:t>
      </w:r>
      <w:r w:rsidR="009124FA" w:rsidRPr="009124FA">
        <w:rPr>
          <w:color w:val="000000" w:themeColor="text1"/>
        </w:rPr>
        <w:t> </w:t>
      </w:r>
      <w:r w:rsidRPr="009124FA">
        <w:rPr>
          <w:color w:val="000000" w:themeColor="text1"/>
        </w:rPr>
        <w:t xml:space="preserve">panta </w:t>
      </w:r>
      <w:r w:rsidR="009124FA" w:rsidRPr="009124FA">
        <w:rPr>
          <w:color w:val="000000" w:themeColor="text1"/>
        </w:rPr>
        <w:t xml:space="preserve">ceturtās un </w:t>
      </w:r>
      <w:r w:rsidR="00011A4E" w:rsidRPr="009124FA">
        <w:rPr>
          <w:color w:val="000000" w:themeColor="text1"/>
        </w:rPr>
        <w:t>astotās</w:t>
      </w:r>
      <w:r w:rsidRPr="009124FA">
        <w:rPr>
          <w:color w:val="000000" w:themeColor="text1"/>
        </w:rPr>
        <w:t xml:space="preserve"> daļas pārkāpumus</w:t>
      </w:r>
      <w:r w:rsidR="009124FA" w:rsidRPr="009124FA">
        <w:rPr>
          <w:color w:val="000000" w:themeColor="text1"/>
        </w:rPr>
        <w:t>.</w:t>
      </w:r>
      <w:r w:rsidR="00470BE5" w:rsidRPr="009124FA">
        <w:rPr>
          <w:color w:val="000000" w:themeColor="text1"/>
        </w:rPr>
        <w:t xml:space="preserve"> </w:t>
      </w:r>
    </w:p>
    <w:p w14:paraId="09CF73B2" w14:textId="2BD4B4A2" w:rsidR="007D4731" w:rsidRDefault="003B2289" w:rsidP="001F56D0">
      <w:pPr>
        <w:spacing w:after="0" w:line="276" w:lineRule="auto"/>
        <w:ind w:firstLine="720"/>
        <w:jc w:val="both"/>
      </w:pPr>
      <w:r>
        <w:t xml:space="preserve">Savu lūgumu </w:t>
      </w:r>
      <w:r w:rsidR="00011A4E">
        <w:t>aizstāvis</w:t>
      </w:r>
      <w:r>
        <w:t xml:space="preserve"> pamatoj</w:t>
      </w:r>
      <w:r w:rsidR="00011A4E">
        <w:t>is</w:t>
      </w:r>
      <w:r>
        <w:t xml:space="preserve"> ar šādiem argumentiem.</w:t>
      </w:r>
    </w:p>
    <w:p w14:paraId="587D9A45" w14:textId="3D68407C" w:rsidR="00470BE5" w:rsidRPr="008E6FF0" w:rsidRDefault="00011A4E" w:rsidP="008E6FF0">
      <w:pPr>
        <w:spacing w:after="0" w:line="276" w:lineRule="auto"/>
        <w:ind w:firstLine="720"/>
        <w:jc w:val="both"/>
      </w:pPr>
      <w:r>
        <w:t>[</w:t>
      </w:r>
      <w:r w:rsidR="00C91B82">
        <w:t>3</w:t>
      </w:r>
      <w:r>
        <w:t>.1]</w:t>
      </w:r>
      <w:r w:rsidR="00470BE5">
        <w:t xml:space="preserve"> Apelācijas instances tiesa</w:t>
      </w:r>
      <w:r w:rsidR="00E804D3">
        <w:t xml:space="preserve"> nav </w:t>
      </w:r>
      <w:r w:rsidR="00A75C6A">
        <w:t xml:space="preserve">izpildījusi </w:t>
      </w:r>
      <w:r w:rsidR="00E804D3">
        <w:t>Kriminālprocesa likuma 23. pant</w:t>
      </w:r>
      <w:r w:rsidR="00A75C6A">
        <w:t>a</w:t>
      </w:r>
      <w:r w:rsidR="00637B1E">
        <w:t xml:space="preserve"> prasības</w:t>
      </w:r>
      <w:r w:rsidR="00E804D3">
        <w:t>,</w:t>
      </w:r>
      <w:r w:rsidR="00A75C6A">
        <w:t xml:space="preserve"> proti,</w:t>
      </w:r>
      <w:r w:rsidR="00E804D3">
        <w:t xml:space="preserve"> </w:t>
      </w:r>
      <w:r w:rsidR="00470BE5">
        <w:t>pārbaudīt celt</w:t>
      </w:r>
      <w:r w:rsidR="00E804D3">
        <w:t>o</w:t>
      </w:r>
      <w:r w:rsidR="00470BE5">
        <w:t xml:space="preserve"> apsūdzīb</w:t>
      </w:r>
      <w:r w:rsidR="00CB1B3B">
        <w:t>u</w:t>
      </w:r>
      <w:r w:rsidR="00E804D3">
        <w:t xml:space="preserve"> atbilstību šā likuma 405. panta pirmās daļas </w:t>
      </w:r>
      <w:r w:rsidR="00A75C6A">
        <w:t>no</w:t>
      </w:r>
      <w:r w:rsidR="00C83F5E">
        <w:t>teikumiem</w:t>
      </w:r>
      <w:r w:rsidR="00470BE5">
        <w:t xml:space="preserve">. </w:t>
      </w:r>
      <w:r w:rsidR="00CB1B3B" w:rsidRPr="00614D71">
        <w:t>Apsūdzības</w:t>
      </w:r>
      <w:r w:rsidR="00470BE5" w:rsidRPr="00614D71">
        <w:t xml:space="preserve"> nav iespējams izprast bez iepazīšanās ar lietas materiāliem un tas ierobežo</w:t>
      </w:r>
      <w:r w:rsidR="007F6478">
        <w:t>jis</w:t>
      </w:r>
      <w:r w:rsidR="00470BE5" w:rsidRPr="00614D71">
        <w:t xml:space="preserve"> tiesīb</w:t>
      </w:r>
      <w:r w:rsidR="008A1347" w:rsidRPr="00614D71">
        <w:t>as</w:t>
      </w:r>
      <w:r w:rsidR="00470BE5" w:rsidRPr="00614D71">
        <w:t xml:space="preserve"> uz aizstāvību</w:t>
      </w:r>
      <w:r w:rsidR="008A1347" w:rsidRPr="00614D71">
        <w:t xml:space="preserve">. </w:t>
      </w:r>
      <w:r w:rsidR="008A1347" w:rsidRPr="00E61A40">
        <w:rPr>
          <w:color w:val="000000" w:themeColor="text1"/>
        </w:rPr>
        <w:t>L</w:t>
      </w:r>
      <w:r w:rsidR="00470BE5" w:rsidRPr="00E61A40">
        <w:rPr>
          <w:color w:val="000000" w:themeColor="text1"/>
        </w:rPr>
        <w:t xml:space="preserve">ai </w:t>
      </w:r>
      <w:r w:rsidR="007F6478">
        <w:rPr>
          <w:color w:val="000000" w:themeColor="text1"/>
        </w:rPr>
        <w:t>gan</w:t>
      </w:r>
      <w:r w:rsidR="00470BE5" w:rsidRPr="00E61A40">
        <w:rPr>
          <w:color w:val="000000" w:themeColor="text1"/>
        </w:rPr>
        <w:t xml:space="preserve"> uz to </w:t>
      </w:r>
      <w:r w:rsidR="00B714E2">
        <w:rPr>
          <w:color w:val="000000" w:themeColor="text1"/>
        </w:rPr>
        <w:t xml:space="preserve">tika </w:t>
      </w:r>
      <w:r w:rsidR="00470BE5" w:rsidRPr="00E61A40">
        <w:rPr>
          <w:color w:val="000000" w:themeColor="text1"/>
        </w:rPr>
        <w:t>norādī</w:t>
      </w:r>
      <w:r w:rsidR="00B714E2">
        <w:rPr>
          <w:color w:val="000000" w:themeColor="text1"/>
        </w:rPr>
        <w:t>t</w:t>
      </w:r>
      <w:r w:rsidR="009C541B">
        <w:rPr>
          <w:color w:val="000000" w:themeColor="text1"/>
        </w:rPr>
        <w:t>s ie</w:t>
      </w:r>
      <w:r w:rsidR="00750059" w:rsidRPr="00E61A40">
        <w:rPr>
          <w:color w:val="000000" w:themeColor="text1"/>
        </w:rPr>
        <w:t xml:space="preserve">bildumos </w:t>
      </w:r>
      <w:r w:rsidR="00470BE5" w:rsidRPr="00E61A40">
        <w:rPr>
          <w:color w:val="000000" w:themeColor="text1"/>
        </w:rPr>
        <w:t>par apelācijas sūdzību un</w:t>
      </w:r>
      <w:r w:rsidR="008A1347" w:rsidRPr="00E61A40">
        <w:rPr>
          <w:color w:val="000000" w:themeColor="text1"/>
        </w:rPr>
        <w:t xml:space="preserve"> </w:t>
      </w:r>
      <w:r w:rsidR="00470BE5" w:rsidRPr="00E61A40">
        <w:rPr>
          <w:color w:val="000000" w:themeColor="text1"/>
        </w:rPr>
        <w:t>protestu, tiesa šos argumentus nav vērtējusi</w:t>
      </w:r>
      <w:r w:rsidR="00AA5B3E" w:rsidRPr="00E61A40">
        <w:rPr>
          <w:color w:val="000000" w:themeColor="text1"/>
        </w:rPr>
        <w:t xml:space="preserve"> un tāpēc pieļāvusi</w:t>
      </w:r>
      <w:r w:rsidR="00470BE5" w:rsidRPr="00E61A40">
        <w:rPr>
          <w:color w:val="000000" w:themeColor="text1"/>
        </w:rPr>
        <w:t xml:space="preserve"> Kriminālprocesa likuma 511. panta otrās daļas un 564. panta ceturtās daļas pārkāpumus.</w:t>
      </w:r>
    </w:p>
    <w:p w14:paraId="11427660" w14:textId="57A3CF67" w:rsidR="00B714E2" w:rsidRDefault="00B714E2" w:rsidP="00B714E2">
      <w:pPr>
        <w:spacing w:after="0" w:line="276" w:lineRule="auto"/>
        <w:ind w:firstLine="720"/>
        <w:jc w:val="both"/>
      </w:pPr>
      <w:r>
        <w:rPr>
          <w:color w:val="000000" w:themeColor="text1"/>
        </w:rPr>
        <w:t>A</w:t>
      </w:r>
      <w:r w:rsidR="00915A83" w:rsidRPr="00E61A40">
        <w:rPr>
          <w:color w:val="000000" w:themeColor="text1"/>
        </w:rPr>
        <w:t>psūdzība</w:t>
      </w:r>
      <w:r>
        <w:rPr>
          <w:color w:val="000000" w:themeColor="text1"/>
        </w:rPr>
        <w:t xml:space="preserve"> </w:t>
      </w:r>
      <w:r w:rsidR="00CC06BC">
        <w:rPr>
          <w:color w:val="000000" w:themeColor="text1"/>
        </w:rPr>
        <w:t>[pers. A]</w:t>
      </w:r>
      <w:r>
        <w:rPr>
          <w:color w:val="000000" w:themeColor="text1"/>
        </w:rPr>
        <w:t xml:space="preserve"> ir</w:t>
      </w:r>
      <w:r w:rsidR="00915A83" w:rsidRPr="00E61A40">
        <w:rPr>
          <w:color w:val="000000" w:themeColor="text1"/>
        </w:rPr>
        <w:t xml:space="preserve"> celta par izvairīšanos no uzņēmumu ienākum</w:t>
      </w:r>
      <w:r w:rsidR="008A1347" w:rsidRPr="00E61A40">
        <w:rPr>
          <w:color w:val="000000" w:themeColor="text1"/>
        </w:rPr>
        <w:t>a</w:t>
      </w:r>
      <w:r w:rsidR="00915A83" w:rsidRPr="00E61A40">
        <w:rPr>
          <w:color w:val="000000" w:themeColor="text1"/>
        </w:rPr>
        <w:t xml:space="preserve"> nodokļa </w:t>
      </w:r>
      <w:r w:rsidR="00A61F9B">
        <w:rPr>
          <w:color w:val="000000" w:themeColor="text1"/>
        </w:rPr>
        <w:t>nomaksas</w:t>
      </w:r>
      <w:r>
        <w:rPr>
          <w:color w:val="000000" w:themeColor="text1"/>
        </w:rPr>
        <w:t>, bet</w:t>
      </w:r>
      <w:r w:rsidR="00915A83" w:rsidRPr="00E61A40">
        <w:rPr>
          <w:color w:val="000000" w:themeColor="text1"/>
        </w:rPr>
        <w:t xml:space="preserve"> </w:t>
      </w:r>
      <w:r w:rsidR="00CC06BC">
        <w:rPr>
          <w:color w:val="000000" w:themeColor="text1"/>
        </w:rPr>
        <w:t>[pers. B]</w:t>
      </w:r>
      <w:r w:rsidR="00915A83" w:rsidRPr="00E61A40">
        <w:rPr>
          <w:color w:val="000000" w:themeColor="text1"/>
        </w:rPr>
        <w:t xml:space="preserve"> </w:t>
      </w:r>
      <w:r w:rsidR="001A418E" w:rsidRPr="00E61A40">
        <w:rPr>
          <w:color w:val="000000" w:themeColor="text1"/>
        </w:rPr>
        <w:t xml:space="preserve">– </w:t>
      </w:r>
      <w:r w:rsidR="00915A83" w:rsidRPr="00E61A40">
        <w:rPr>
          <w:color w:val="000000" w:themeColor="text1"/>
        </w:rPr>
        <w:t xml:space="preserve">par </w:t>
      </w:r>
      <w:r w:rsidR="001A418E" w:rsidRPr="00E61A40">
        <w:rPr>
          <w:color w:val="000000" w:themeColor="text1"/>
        </w:rPr>
        <w:t>šī nozie</w:t>
      </w:r>
      <w:r w:rsidR="007F6478">
        <w:rPr>
          <w:color w:val="000000" w:themeColor="text1"/>
        </w:rPr>
        <w:t>guma</w:t>
      </w:r>
      <w:r w:rsidR="00750059" w:rsidRPr="00E61A40">
        <w:rPr>
          <w:color w:val="000000" w:themeColor="text1"/>
        </w:rPr>
        <w:t xml:space="preserve"> </w:t>
      </w:r>
      <w:r w:rsidR="00915A83">
        <w:t>atbalstīšanu</w:t>
      </w:r>
      <w:r>
        <w:t>. Tomēr</w:t>
      </w:r>
      <w:r w:rsidR="009124FA">
        <w:t xml:space="preserve"> </w:t>
      </w:r>
      <w:r w:rsidR="00915A83">
        <w:t xml:space="preserve">apsūdzētajiem nav </w:t>
      </w:r>
      <w:r w:rsidR="00915A83">
        <w:lastRenderedPageBreak/>
        <w:t>inkriminēta neviena</w:t>
      </w:r>
      <w:r>
        <w:t>s</w:t>
      </w:r>
      <w:r w:rsidR="00915A83">
        <w:t xml:space="preserve"> </w:t>
      </w:r>
      <w:r w:rsidR="00C83F5E">
        <w:t xml:space="preserve">konkrētas </w:t>
      </w:r>
      <w:r w:rsidR="00915A83">
        <w:t xml:space="preserve">nodokļu tiesību normas neievērošana, </w:t>
      </w:r>
      <w:r w:rsidR="00637B1E">
        <w:t xml:space="preserve">tajā skaitā </w:t>
      </w:r>
      <w:r>
        <w:t>tādas</w:t>
      </w:r>
      <w:r w:rsidR="00915A83">
        <w:t xml:space="preserve"> norm</w:t>
      </w:r>
      <w:r>
        <w:t>as</w:t>
      </w:r>
      <w:r w:rsidR="00915A83">
        <w:t>, kas no</w:t>
      </w:r>
      <w:r w:rsidR="00C83F5E">
        <w:t>teic</w:t>
      </w:r>
      <w:r w:rsidR="00915A83">
        <w:t xml:space="preserve"> uzņēmumu ienākum</w:t>
      </w:r>
      <w:r w:rsidR="008A1347">
        <w:t>a</w:t>
      </w:r>
      <w:r w:rsidR="00915A83">
        <w:t xml:space="preserve"> nodokļa maksāšanas pienākumu noteiktā termiņā un apmērā.</w:t>
      </w:r>
      <w:r w:rsidR="00E6142C">
        <w:t xml:space="preserve"> </w:t>
      </w:r>
      <w:r w:rsidRPr="00B714E2">
        <w:t>Līdz ar to nav iespējams noteikt noziedzīgā nodarījuma pabeigšanas brīdi.</w:t>
      </w:r>
    </w:p>
    <w:p w14:paraId="5B45EEF3" w14:textId="1E93788E" w:rsidR="00822299" w:rsidRDefault="00F531ED" w:rsidP="00EE3368">
      <w:pPr>
        <w:spacing w:after="0" w:line="276" w:lineRule="auto"/>
        <w:ind w:firstLine="720"/>
        <w:jc w:val="both"/>
      </w:pPr>
      <w:r>
        <w:t>[</w:t>
      </w:r>
      <w:r w:rsidR="00C91B82">
        <w:t>3</w:t>
      </w:r>
      <w:r>
        <w:t>.</w:t>
      </w:r>
      <w:r w:rsidR="00CE7A63">
        <w:t>2</w:t>
      </w:r>
      <w:r>
        <w:t xml:space="preserve">] </w:t>
      </w:r>
      <w:r w:rsidR="00E6142C">
        <w:t>A</w:t>
      </w:r>
      <w:r w:rsidR="00EE3368">
        <w:t xml:space="preserve">rī </w:t>
      </w:r>
      <w:r w:rsidR="00E6142C">
        <w:t>tiesa</w:t>
      </w:r>
      <w:r w:rsidR="00AA5B3E">
        <w:t xml:space="preserve"> </w:t>
      </w:r>
      <w:r w:rsidR="00E6142C">
        <w:t>nozie</w:t>
      </w:r>
      <w:r w:rsidR="007F6478">
        <w:t>guma</w:t>
      </w:r>
      <w:r w:rsidR="00E6142C">
        <w:t xml:space="preserve"> pabeigtības brīdi</w:t>
      </w:r>
      <w:r w:rsidR="00E86F52">
        <w:t xml:space="preserve"> nav konstatējusi</w:t>
      </w:r>
      <w:r w:rsidR="00AA5B3E">
        <w:t>.</w:t>
      </w:r>
    </w:p>
    <w:p w14:paraId="292F1CF1" w14:textId="25F49BDD" w:rsidR="00A61F9B" w:rsidRDefault="00E804D3" w:rsidP="008E6FF0">
      <w:pPr>
        <w:spacing w:after="0" w:line="276" w:lineRule="auto"/>
        <w:ind w:firstLine="720"/>
        <w:jc w:val="both"/>
      </w:pPr>
      <w:r>
        <w:t xml:space="preserve">Nodokļu nomaksas termiņš ir atkarīgs no komercsabiedrības formas un citiem kritērijiem. </w:t>
      </w:r>
      <w:r w:rsidR="00C9091D">
        <w:t>T</w:t>
      </w:r>
      <w:r w:rsidR="00161429">
        <w:t>iesa</w:t>
      </w:r>
      <w:r w:rsidR="00CB1B3B">
        <w:t xml:space="preserve"> nav </w:t>
      </w:r>
      <w:r w:rsidR="00D520A1">
        <w:t>izvērtējusi</w:t>
      </w:r>
      <w:r w:rsidR="00161429">
        <w:t>, vai bija iestājies nodokļa samaksas termiņš</w:t>
      </w:r>
      <w:r w:rsidR="00CB1B3B">
        <w:t xml:space="preserve">, </w:t>
      </w:r>
      <w:r w:rsidR="00646EAC">
        <w:t>un</w:t>
      </w:r>
      <w:r w:rsidR="009124FA">
        <w:t>,</w:t>
      </w:r>
      <w:r w:rsidR="00161429">
        <w:t xml:space="preserve"> balstoties uz pieņēmumiem</w:t>
      </w:r>
      <w:r w:rsidR="00EE3368">
        <w:t>,</w:t>
      </w:r>
      <w:r w:rsidR="00161429">
        <w:t xml:space="preserve"> </w:t>
      </w:r>
      <w:r w:rsidR="00D520A1">
        <w:t>secinājusi</w:t>
      </w:r>
      <w:r w:rsidR="00161429">
        <w:t xml:space="preserve">, ka </w:t>
      </w:r>
      <w:r w:rsidR="00B714E2">
        <w:t xml:space="preserve">labojumi </w:t>
      </w:r>
      <w:r w:rsidR="00161429">
        <w:t>gada pārskat</w:t>
      </w:r>
      <w:r w:rsidR="00B714E2">
        <w:t>ā un</w:t>
      </w:r>
      <w:r w:rsidR="00161429">
        <w:t xml:space="preserve"> uzņēmumu ienākuma nodokļa deklarācij</w:t>
      </w:r>
      <w:r w:rsidR="00B714E2">
        <w:t>ā</w:t>
      </w:r>
      <w:r w:rsidR="00C83F5E">
        <w:t xml:space="preserve"> </w:t>
      </w:r>
      <w:r w:rsidR="00161429">
        <w:t>notikusi pēc tam, kad Krimināllikuma 218. panta otrajā daļā paredzētais nozi</w:t>
      </w:r>
      <w:r w:rsidR="007F6478">
        <w:t>egums</w:t>
      </w:r>
      <w:r w:rsidR="00161429">
        <w:t xml:space="preserve"> bija pabeigts un sekas</w:t>
      </w:r>
      <w:r w:rsidR="002936A9">
        <w:t xml:space="preserve"> </w:t>
      </w:r>
      <w:r w:rsidR="00161429">
        <w:t>jau iestājušās.</w:t>
      </w:r>
      <w:r w:rsidR="00C16066">
        <w:t xml:space="preserve"> </w:t>
      </w:r>
    </w:p>
    <w:p w14:paraId="0FD5A306" w14:textId="20A0AA60" w:rsidR="008E6FF0" w:rsidRDefault="00DB39BC" w:rsidP="008E6FF0">
      <w:pPr>
        <w:spacing w:after="0" w:line="276" w:lineRule="auto"/>
        <w:ind w:firstLine="720"/>
        <w:jc w:val="both"/>
      </w:pPr>
      <w:r>
        <w:rPr>
          <w:rFonts w:cs="Times New Roman"/>
        </w:rPr>
        <w:t>Saskaņā ar judikatūru</w:t>
      </w:r>
      <w:r w:rsidRPr="002F683E">
        <w:rPr>
          <w:rFonts w:cs="Times New Roman"/>
        </w:rPr>
        <w:t xml:space="preserve"> atzinumu par nozieguma pabeigtību </w:t>
      </w:r>
      <w:r w:rsidR="00D520A1">
        <w:rPr>
          <w:rFonts w:cs="Times New Roman"/>
        </w:rPr>
        <w:t xml:space="preserve">tiesai </w:t>
      </w:r>
      <w:r w:rsidRPr="00E51B00">
        <w:rPr>
          <w:rFonts w:cs="Times New Roman"/>
        </w:rPr>
        <w:t>ir jāpamato ar likumu un pierādījumiem</w:t>
      </w:r>
      <w:r>
        <w:t xml:space="preserve">. Līdz ar to </w:t>
      </w:r>
      <w:r w:rsidR="00C16066">
        <w:t>tiesa nav ievērojusi Senāta 2019. gada 5. novembra lēmum</w:t>
      </w:r>
      <w:r w:rsidR="007F6478">
        <w:t>a</w:t>
      </w:r>
      <w:r w:rsidR="00C16066">
        <w:t xml:space="preserve"> lietā Nr. SKK-372/2019 6.3. un 6.4. punktā</w:t>
      </w:r>
      <w:r w:rsidR="00D520A1">
        <w:t>, kā arī</w:t>
      </w:r>
      <w:r w:rsidR="00C16066">
        <w:t xml:space="preserve"> 2019. gada 17. decembra lēmum</w:t>
      </w:r>
      <w:r w:rsidR="007F6478">
        <w:t>a</w:t>
      </w:r>
      <w:r w:rsidR="00C16066">
        <w:t xml:space="preserve"> lietā Nr. SKK-577/2019 11. punktā paustās atziņas.</w:t>
      </w:r>
      <w:r w:rsidR="008E6FF0">
        <w:t xml:space="preserve"> </w:t>
      </w:r>
    </w:p>
    <w:p w14:paraId="4E702444" w14:textId="06C5854E" w:rsidR="00734763" w:rsidRDefault="00734763" w:rsidP="00734763">
      <w:pPr>
        <w:spacing w:after="0" w:line="276" w:lineRule="auto"/>
        <w:ind w:firstLine="720"/>
        <w:jc w:val="both"/>
        <w:rPr>
          <w:color w:val="000000" w:themeColor="text1"/>
        </w:rPr>
      </w:pPr>
      <w:r>
        <w:rPr>
          <w:color w:val="000000" w:themeColor="text1"/>
        </w:rPr>
        <w:t>T</w:t>
      </w:r>
      <w:r w:rsidRPr="004E3E1D">
        <w:rPr>
          <w:color w:val="000000" w:themeColor="text1"/>
        </w:rPr>
        <w:t xml:space="preserve">iesa nav vērtējusi </w:t>
      </w:r>
      <w:r w:rsidR="00B12962">
        <w:rPr>
          <w:color w:val="000000" w:themeColor="text1"/>
        </w:rPr>
        <w:t xml:space="preserve">arī </w:t>
      </w:r>
      <w:r w:rsidRPr="004E3E1D">
        <w:rPr>
          <w:color w:val="000000" w:themeColor="text1"/>
        </w:rPr>
        <w:t xml:space="preserve">faktu, ka apsūdzībās norādītais par to, ka </w:t>
      </w:r>
      <w:r w:rsidR="00CC06BC">
        <w:rPr>
          <w:color w:val="000000" w:themeColor="text1"/>
        </w:rPr>
        <w:t>[pers. A]</w:t>
      </w:r>
      <w:r w:rsidRPr="004E3E1D">
        <w:rPr>
          <w:color w:val="000000" w:themeColor="text1"/>
        </w:rPr>
        <w:t xml:space="preserve"> un </w:t>
      </w:r>
      <w:r w:rsidR="00CC06BC">
        <w:rPr>
          <w:color w:val="000000" w:themeColor="text1"/>
        </w:rPr>
        <w:t>[pers. B]</w:t>
      </w:r>
      <w:r w:rsidRPr="004E3E1D">
        <w:rPr>
          <w:color w:val="000000" w:themeColor="text1"/>
        </w:rPr>
        <w:t xml:space="preserve"> nozie</w:t>
      </w:r>
      <w:r>
        <w:rPr>
          <w:color w:val="000000" w:themeColor="text1"/>
        </w:rPr>
        <w:t>gumus</w:t>
      </w:r>
      <w:r w:rsidRPr="004E3E1D">
        <w:rPr>
          <w:color w:val="000000" w:themeColor="text1"/>
        </w:rPr>
        <w:t xml:space="preserve"> izdarījuši ar nodomu samazināt ar nodokli apliekamo objektu, iekļaujot gada pārskatā neatbilstošu informāciju, atbilst darbībām, par k</w:t>
      </w:r>
      <w:r>
        <w:rPr>
          <w:color w:val="000000" w:themeColor="text1"/>
        </w:rPr>
        <w:t>urām</w:t>
      </w:r>
      <w:r w:rsidRPr="004E3E1D">
        <w:rPr>
          <w:color w:val="000000" w:themeColor="text1"/>
        </w:rPr>
        <w:t xml:space="preserve"> atbildība paredzēta Krimināllikuma 217. panta trešajā daļā.</w:t>
      </w:r>
    </w:p>
    <w:p w14:paraId="17AC2116" w14:textId="282557B2" w:rsidR="00D87C9A" w:rsidRDefault="00D87C9A" w:rsidP="00734763">
      <w:pPr>
        <w:spacing w:after="0" w:line="276" w:lineRule="auto"/>
        <w:ind w:firstLine="720"/>
        <w:jc w:val="both"/>
      </w:pPr>
      <w:r>
        <w:rPr>
          <w:rFonts w:cs="Times New Roman"/>
        </w:rPr>
        <w:t>Turklāt tiesa spriedumā</w:t>
      </w:r>
      <w:r w:rsidRPr="002F683E">
        <w:rPr>
          <w:rFonts w:cs="Times New Roman"/>
        </w:rPr>
        <w:t xml:space="preserve"> konstatējusi no apsūdzības atšķirīgus </w:t>
      </w:r>
      <w:r w:rsidR="00B12962">
        <w:rPr>
          <w:rFonts w:cs="Times New Roman"/>
        </w:rPr>
        <w:t xml:space="preserve">faktiskos </w:t>
      </w:r>
      <w:r w:rsidRPr="002F683E">
        <w:rPr>
          <w:rFonts w:cs="Times New Roman"/>
        </w:rPr>
        <w:t>apstākļus,</w:t>
      </w:r>
      <w:r>
        <w:rPr>
          <w:rFonts w:cs="Times New Roman"/>
        </w:rPr>
        <w:t xml:space="preserve"> k</w:t>
      </w:r>
      <w:r w:rsidR="00B12962">
        <w:rPr>
          <w:rFonts w:cs="Times New Roman"/>
        </w:rPr>
        <w:t>as</w:t>
      </w:r>
      <w:r w:rsidRPr="002F683E">
        <w:rPr>
          <w:rFonts w:cs="Times New Roman"/>
        </w:rPr>
        <w:t xml:space="preserve"> pasliktina apsūdzētā stāvokli</w:t>
      </w:r>
      <w:r w:rsidR="003E13B8">
        <w:rPr>
          <w:rFonts w:cs="Times New Roman"/>
        </w:rPr>
        <w:t>,</w:t>
      </w:r>
      <w:r>
        <w:rPr>
          <w:rFonts w:cs="Times New Roman"/>
        </w:rPr>
        <w:t xml:space="preserve"> un</w:t>
      </w:r>
      <w:r w:rsidR="008548D5">
        <w:rPr>
          <w:rFonts w:cs="Times New Roman"/>
        </w:rPr>
        <w:t xml:space="preserve"> izmantojusi tos apsūdzēto vainīguma pierādīšanā</w:t>
      </w:r>
      <w:r>
        <w:rPr>
          <w:rFonts w:cs="Times New Roman"/>
        </w:rPr>
        <w:t>.</w:t>
      </w:r>
    </w:p>
    <w:p w14:paraId="7F6CFEAF" w14:textId="4EAFAD07" w:rsidR="00734763" w:rsidRDefault="009E4989" w:rsidP="00734763">
      <w:pPr>
        <w:spacing w:after="0" w:line="276" w:lineRule="auto"/>
        <w:ind w:firstLine="720"/>
        <w:jc w:val="both"/>
      </w:pPr>
      <w:r w:rsidRPr="00E61A40">
        <w:t>[</w:t>
      </w:r>
      <w:r w:rsidR="00C91B82">
        <w:t>3</w:t>
      </w:r>
      <w:r w:rsidRPr="00E61A40">
        <w:t>.</w:t>
      </w:r>
      <w:r w:rsidR="00CE7A63">
        <w:t>3</w:t>
      </w:r>
      <w:r w:rsidRPr="00E61A40">
        <w:t xml:space="preserve">] </w:t>
      </w:r>
      <w:r w:rsidR="00734763" w:rsidRPr="00734763">
        <w:t xml:space="preserve">Pretēji likuma </w:t>
      </w:r>
      <w:r w:rsidR="00637B1E">
        <w:t>„</w:t>
      </w:r>
      <w:r w:rsidR="00734763" w:rsidRPr="00734763">
        <w:t xml:space="preserve">Par uzņēmumu ienākuma nodokli” </w:t>
      </w:r>
      <w:r w:rsidR="00734763" w:rsidRPr="00C91B82">
        <w:t>(redakcijā līdz 2017.</w:t>
      </w:r>
      <w:r w:rsidR="00637B1E" w:rsidRPr="00C91B82">
        <w:t> </w:t>
      </w:r>
      <w:r w:rsidR="00734763" w:rsidRPr="00C91B82">
        <w:t xml:space="preserve">gada 31. decembrim) </w:t>
      </w:r>
      <w:r w:rsidR="00734763" w:rsidRPr="00734763">
        <w:t>3. un 22.</w:t>
      </w:r>
      <w:r w:rsidR="00896EA0">
        <w:t> </w:t>
      </w:r>
      <w:r w:rsidR="00734763" w:rsidRPr="00734763">
        <w:t>pantam tiesa kļūdaini secināj</w:t>
      </w:r>
      <w:r w:rsidR="00637B1E">
        <w:t>usi</w:t>
      </w:r>
      <w:r w:rsidR="00734763" w:rsidRPr="00734763">
        <w:t>, ka gada pārskats ir dokuments, ar kuru uzņēmums informē Valsts ieņēmumu dienestu par</w:t>
      </w:r>
      <w:r w:rsidR="003E13B8">
        <w:t xml:space="preserve"> valsts budžetā</w:t>
      </w:r>
      <w:r w:rsidR="00734763" w:rsidRPr="00734763">
        <w:t xml:space="preserve"> maksājamo nodokli. </w:t>
      </w:r>
      <w:r w:rsidR="008813A6">
        <w:t>Par šādu dokumentu a</w:t>
      </w:r>
      <w:r w:rsidR="00BA33DB">
        <w:t>t</w:t>
      </w:r>
      <w:r w:rsidR="008813A6">
        <w:t>zīstama</w:t>
      </w:r>
      <w:r w:rsidR="00734763" w:rsidRPr="00734763">
        <w:t xml:space="preserve"> tikai uzņēmumu ienākuma nodokļa deklarācija. </w:t>
      </w:r>
      <w:r w:rsidR="00734763">
        <w:t>S</w:t>
      </w:r>
      <w:r w:rsidR="00734763" w:rsidRPr="00734763">
        <w:t xml:space="preserve">askaņā ar likuma </w:t>
      </w:r>
      <w:r w:rsidR="00637B1E">
        <w:t>„</w:t>
      </w:r>
      <w:r w:rsidR="00734763" w:rsidRPr="00734763">
        <w:t>Par nodokļiem un nodevām” 1.</w:t>
      </w:r>
      <w:r w:rsidR="00896EA0">
        <w:t> </w:t>
      </w:r>
      <w:r w:rsidR="00734763" w:rsidRPr="00734763">
        <w:t>panta 14.</w:t>
      </w:r>
      <w:r w:rsidR="00734763">
        <w:t> </w:t>
      </w:r>
      <w:r w:rsidR="00734763" w:rsidRPr="00734763">
        <w:t xml:space="preserve">punktu izvairīšanās no nodokļu maksāšanas ir apzināti nepatiesas informācijas sniegšana </w:t>
      </w:r>
      <w:r w:rsidR="00734763">
        <w:t xml:space="preserve">nodokļu </w:t>
      </w:r>
      <w:r w:rsidR="00734763" w:rsidRPr="00734763">
        <w:t>deklarācijā, nevis gada pārskatā</w:t>
      </w:r>
      <w:r w:rsidR="00734763">
        <w:t>.</w:t>
      </w:r>
    </w:p>
    <w:p w14:paraId="5942EC7A" w14:textId="07854AC9" w:rsidR="0014688E" w:rsidRDefault="0014688E" w:rsidP="008813A6">
      <w:pPr>
        <w:spacing w:after="0" w:line="276" w:lineRule="auto"/>
        <w:ind w:firstLine="720"/>
        <w:jc w:val="both"/>
      </w:pPr>
      <w:r>
        <w:t>[</w:t>
      </w:r>
      <w:r w:rsidR="00C91B82">
        <w:t>3</w:t>
      </w:r>
      <w:r>
        <w:t>.</w:t>
      </w:r>
      <w:r w:rsidR="00744AA7">
        <w:t>4</w:t>
      </w:r>
      <w:r>
        <w:t xml:space="preserve">] </w:t>
      </w:r>
      <w:r w:rsidR="00C9091D">
        <w:t>T</w:t>
      </w:r>
      <w:r>
        <w:t>iesa</w:t>
      </w:r>
      <w:r w:rsidR="00AA5B3E">
        <w:t xml:space="preserve"> </w:t>
      </w:r>
      <w:r w:rsidR="008813A6">
        <w:t xml:space="preserve">apsūdzēto darbībās </w:t>
      </w:r>
      <w:r w:rsidR="00D520A1">
        <w:t xml:space="preserve">nepamatoti </w:t>
      </w:r>
      <w:r w:rsidR="008813A6">
        <w:t>konstatējusi viņiem inkriminēto noziedzīgo nodarījumu subjektīvo pusi.</w:t>
      </w:r>
      <w:r w:rsidR="00CB1B3B">
        <w:t xml:space="preserve"> </w:t>
      </w:r>
    </w:p>
    <w:p w14:paraId="730C7C94" w14:textId="42588852" w:rsidR="001710B1" w:rsidRDefault="001710B1" w:rsidP="001710B1">
      <w:pPr>
        <w:spacing w:after="0" w:line="276" w:lineRule="auto"/>
        <w:ind w:firstLine="720"/>
        <w:jc w:val="both"/>
        <w:rPr>
          <w:color w:val="000000" w:themeColor="text1"/>
        </w:rPr>
      </w:pPr>
      <w:r w:rsidRPr="00126C56">
        <w:rPr>
          <w:color w:val="000000" w:themeColor="text1"/>
        </w:rPr>
        <w:t>[</w:t>
      </w:r>
      <w:r w:rsidR="00C91B82">
        <w:rPr>
          <w:color w:val="000000" w:themeColor="text1"/>
        </w:rPr>
        <w:t>3</w:t>
      </w:r>
      <w:r>
        <w:rPr>
          <w:color w:val="000000" w:themeColor="text1"/>
        </w:rPr>
        <w:t>.4.1</w:t>
      </w:r>
      <w:r w:rsidRPr="00126C56">
        <w:rPr>
          <w:color w:val="000000" w:themeColor="text1"/>
        </w:rPr>
        <w:t xml:space="preserve">] </w:t>
      </w:r>
      <w:r>
        <w:rPr>
          <w:color w:val="000000" w:themeColor="text1"/>
        </w:rPr>
        <w:t xml:space="preserve">Tiesa </w:t>
      </w:r>
      <w:r w:rsidRPr="00126C56">
        <w:rPr>
          <w:color w:val="000000" w:themeColor="text1"/>
        </w:rPr>
        <w:t>nav norādījusi, kādi pierādījumi apstiprina</w:t>
      </w:r>
      <w:r>
        <w:rPr>
          <w:color w:val="000000" w:themeColor="text1"/>
        </w:rPr>
        <w:t xml:space="preserve"> to</w:t>
      </w:r>
      <w:r w:rsidRPr="00126C56">
        <w:rPr>
          <w:color w:val="000000" w:themeColor="text1"/>
        </w:rPr>
        <w:t xml:space="preserve">, ka </w:t>
      </w:r>
      <w:r>
        <w:rPr>
          <w:color w:val="000000" w:themeColor="text1"/>
        </w:rPr>
        <w:t xml:space="preserve">apsūdzētie </w:t>
      </w:r>
      <w:r w:rsidR="00D520A1">
        <w:rPr>
          <w:color w:val="000000" w:themeColor="text1"/>
        </w:rPr>
        <w:t xml:space="preserve">bija </w:t>
      </w:r>
      <w:r>
        <w:rPr>
          <w:color w:val="000000" w:themeColor="text1"/>
        </w:rPr>
        <w:t xml:space="preserve">vienojušies par </w:t>
      </w:r>
      <w:r w:rsidR="002F405C">
        <w:t>„</w:t>
      </w:r>
      <w:r w:rsidR="0067609C">
        <w:t>[Nosaukums B]</w:t>
      </w:r>
      <w:r w:rsidR="002F405C">
        <w:t>”</w:t>
      </w:r>
      <w:r w:rsidR="00A8717D">
        <w:t xml:space="preserve"> </w:t>
      </w:r>
      <w:r>
        <w:rPr>
          <w:color w:val="000000" w:themeColor="text1"/>
        </w:rPr>
        <w:t xml:space="preserve">rēķina </w:t>
      </w:r>
      <w:r w:rsidR="003E13B8">
        <w:rPr>
          <w:color w:val="000000" w:themeColor="text1"/>
        </w:rPr>
        <w:t xml:space="preserve">par nenotikušu darījumu </w:t>
      </w:r>
      <w:r>
        <w:rPr>
          <w:color w:val="000000" w:themeColor="text1"/>
        </w:rPr>
        <w:t>iegrāmatošanu SIA</w:t>
      </w:r>
      <w:r w:rsidR="008548D5">
        <w:rPr>
          <w:color w:val="000000" w:themeColor="text1"/>
        </w:rPr>
        <w:t> </w:t>
      </w:r>
      <w:r w:rsidR="00637B1E">
        <w:rPr>
          <w:color w:val="000000" w:themeColor="text1"/>
        </w:rPr>
        <w:t>„</w:t>
      </w:r>
      <w:r w:rsidR="0067609C">
        <w:rPr>
          <w:color w:val="000000" w:themeColor="text1"/>
        </w:rPr>
        <w:t>[Nosaukums A]</w:t>
      </w:r>
      <w:r>
        <w:rPr>
          <w:color w:val="000000" w:themeColor="text1"/>
        </w:rPr>
        <w:t>” grāmatvedības reģistros un attiecīgā darījuma iekļaušanu gada pārskatā.</w:t>
      </w:r>
    </w:p>
    <w:p w14:paraId="5CC3A125" w14:textId="59728CD3" w:rsidR="00744AA7" w:rsidRDefault="001710B1" w:rsidP="001710B1">
      <w:pPr>
        <w:spacing w:after="0" w:line="276" w:lineRule="auto"/>
        <w:ind w:firstLine="720"/>
        <w:jc w:val="both"/>
      </w:pPr>
      <w:r>
        <w:t>[</w:t>
      </w:r>
      <w:r w:rsidR="00C91B82">
        <w:t>3</w:t>
      </w:r>
      <w:r>
        <w:t xml:space="preserve">.4.2] </w:t>
      </w:r>
      <w:r w:rsidR="00744AA7">
        <w:t>T</w:t>
      </w:r>
      <w:r w:rsidR="00744AA7" w:rsidRPr="0061695E">
        <w:t xml:space="preserve">iesa nav ņēmusi vērā, ka tas vien, ka darījums netika īstenots līdz galam un par to netika </w:t>
      </w:r>
      <w:r w:rsidR="00D520A1">
        <w:t xml:space="preserve">veikta samaksa </w:t>
      </w:r>
      <w:r w:rsidR="002F405C">
        <w:t>„</w:t>
      </w:r>
      <w:r w:rsidR="0067609C">
        <w:t>[Nosaukums B]</w:t>
      </w:r>
      <w:r w:rsidR="00A8717D">
        <w:t>”</w:t>
      </w:r>
      <w:r w:rsidR="00744AA7" w:rsidRPr="0061695E">
        <w:t>, neliecina, ka darījums ir fiktīvs. Tiesa ignorējusi</w:t>
      </w:r>
      <w:r w:rsidR="00744AA7">
        <w:t xml:space="preserve"> to</w:t>
      </w:r>
      <w:r w:rsidR="00744AA7" w:rsidRPr="0061695E">
        <w:t xml:space="preserve">, ka fiktīva darījuma pamatā ir </w:t>
      </w:r>
      <w:r w:rsidR="00744AA7">
        <w:t>tas</w:t>
      </w:r>
      <w:r w:rsidR="00744AA7" w:rsidRPr="0061695E">
        <w:t xml:space="preserve">, ka darījums tiek noslēgts tikai </w:t>
      </w:r>
      <w:r w:rsidR="00744AA7" w:rsidRPr="00B27FB6">
        <w:t>skata pēc</w:t>
      </w:r>
      <w:r w:rsidR="00744AA7" w:rsidRPr="0061695E">
        <w:t xml:space="preserve">, </w:t>
      </w:r>
      <w:r w:rsidR="00D520A1">
        <w:t>taču</w:t>
      </w:r>
      <w:r w:rsidR="00744AA7" w:rsidRPr="0061695E">
        <w:t xml:space="preserve"> darījumu par fiktīvu nepadara tā iznākums. Uz minēto norādīts </w:t>
      </w:r>
      <w:r w:rsidR="00744AA7">
        <w:t xml:space="preserve">arī </w:t>
      </w:r>
      <w:r w:rsidR="00744AA7" w:rsidRPr="0061695E">
        <w:t>Senāta 2018. gada 19. februāra spriedumā lietā Nr. </w:t>
      </w:r>
      <w:bookmarkStart w:id="3" w:name="_Hlk202171656"/>
      <w:r w:rsidR="00744AA7" w:rsidRPr="0061695E">
        <w:t>SKC-7/2018</w:t>
      </w:r>
      <w:bookmarkEnd w:id="3"/>
      <w:r w:rsidR="00744AA7" w:rsidRPr="0061695E">
        <w:t xml:space="preserve">. </w:t>
      </w:r>
    </w:p>
    <w:p w14:paraId="3C23F9B0" w14:textId="4D5A15C0" w:rsidR="00E618E9" w:rsidRDefault="00744AA7" w:rsidP="00E618E9">
      <w:pPr>
        <w:spacing w:after="0" w:line="276" w:lineRule="auto"/>
        <w:ind w:firstLine="720"/>
        <w:jc w:val="both"/>
        <w:rPr>
          <w:color w:val="000000" w:themeColor="text1"/>
        </w:rPr>
      </w:pPr>
      <w:r w:rsidRPr="0061695E">
        <w:rPr>
          <w:color w:val="000000" w:themeColor="text1"/>
        </w:rPr>
        <w:t xml:space="preserve">Tikai tad, ja darījums ir fiktīvs, var </w:t>
      </w:r>
      <w:r w:rsidR="00E618E9">
        <w:rPr>
          <w:color w:val="000000" w:themeColor="text1"/>
        </w:rPr>
        <w:t>apgalvot</w:t>
      </w:r>
      <w:r w:rsidRPr="0061695E">
        <w:rPr>
          <w:color w:val="000000" w:themeColor="text1"/>
        </w:rPr>
        <w:t xml:space="preserve">, ka valdes loceklis un grāmatvedis nevarēja nezināt, ka </w:t>
      </w:r>
      <w:r w:rsidR="00E618E9" w:rsidRPr="00E618E9">
        <w:rPr>
          <w:color w:val="000000" w:themeColor="text1"/>
        </w:rPr>
        <w:t xml:space="preserve">grāmatvedībā nepamatoti uzrādītie fiktīvie </w:t>
      </w:r>
      <w:r w:rsidRPr="00E618E9">
        <w:rPr>
          <w:color w:val="000000" w:themeColor="text1"/>
        </w:rPr>
        <w:t>izdevumi nelikumīgi samazinās peļņu un no tā</w:t>
      </w:r>
      <w:r w:rsidR="00D520A1" w:rsidRPr="00E618E9">
        <w:rPr>
          <w:color w:val="000000" w:themeColor="text1"/>
        </w:rPr>
        <w:t>s</w:t>
      </w:r>
      <w:r w:rsidRPr="00E618E9">
        <w:rPr>
          <w:color w:val="000000" w:themeColor="text1"/>
        </w:rPr>
        <w:t xml:space="preserve"> maksājamo uzņēmumu ienākuma nodokli</w:t>
      </w:r>
      <w:r w:rsidR="00E618E9" w:rsidRPr="00E618E9">
        <w:rPr>
          <w:color w:val="000000" w:themeColor="text1"/>
        </w:rPr>
        <w:t>. Tomēr šajā lietā fiktīvs darījums nav konstatēts.</w:t>
      </w:r>
    </w:p>
    <w:p w14:paraId="490F65D7" w14:textId="2ADEDF05" w:rsidR="00646EAC" w:rsidRDefault="001710B1" w:rsidP="001710B1">
      <w:pPr>
        <w:spacing w:after="0" w:line="276" w:lineRule="auto"/>
        <w:ind w:firstLine="720"/>
        <w:jc w:val="both"/>
      </w:pPr>
      <w:r>
        <w:t>[</w:t>
      </w:r>
      <w:r w:rsidR="00C91B82">
        <w:t>3</w:t>
      </w:r>
      <w:r>
        <w:t xml:space="preserve">.4.3] </w:t>
      </w:r>
      <w:r>
        <w:rPr>
          <w:color w:val="000000" w:themeColor="text1"/>
        </w:rPr>
        <w:t>T</w:t>
      </w:r>
      <w:r w:rsidRPr="00717BCF">
        <w:rPr>
          <w:color w:val="000000" w:themeColor="text1"/>
        </w:rPr>
        <w:t>iesa</w:t>
      </w:r>
      <w:r>
        <w:rPr>
          <w:color w:val="000000" w:themeColor="text1"/>
        </w:rPr>
        <w:t xml:space="preserve"> nav </w:t>
      </w:r>
      <w:r w:rsidRPr="00717BCF">
        <w:rPr>
          <w:color w:val="000000" w:themeColor="text1"/>
        </w:rPr>
        <w:t>vērtēj</w:t>
      </w:r>
      <w:r>
        <w:rPr>
          <w:color w:val="000000" w:themeColor="text1"/>
        </w:rPr>
        <w:t>usi</w:t>
      </w:r>
      <w:r w:rsidRPr="00717BCF">
        <w:rPr>
          <w:color w:val="000000" w:themeColor="text1"/>
        </w:rPr>
        <w:t xml:space="preserve"> liet</w:t>
      </w:r>
      <w:r>
        <w:rPr>
          <w:color w:val="000000" w:themeColor="text1"/>
        </w:rPr>
        <w:t>ā esošos pierādījumus</w:t>
      </w:r>
      <w:r w:rsidRPr="00717BCF">
        <w:rPr>
          <w:color w:val="000000" w:themeColor="text1"/>
        </w:rPr>
        <w:t xml:space="preserve">, bet </w:t>
      </w:r>
      <w:r>
        <w:rPr>
          <w:color w:val="000000" w:themeColor="text1"/>
        </w:rPr>
        <w:t xml:space="preserve">gan </w:t>
      </w:r>
      <w:r w:rsidRPr="00717BCF">
        <w:rPr>
          <w:color w:val="000000" w:themeColor="text1"/>
        </w:rPr>
        <w:t>vispārīgi apgalvoj</w:t>
      </w:r>
      <w:r>
        <w:rPr>
          <w:color w:val="000000" w:themeColor="text1"/>
        </w:rPr>
        <w:t>usi</w:t>
      </w:r>
      <w:r w:rsidRPr="00717BCF">
        <w:rPr>
          <w:color w:val="000000" w:themeColor="text1"/>
        </w:rPr>
        <w:t xml:space="preserve">, </w:t>
      </w:r>
      <w:r>
        <w:rPr>
          <w:color w:val="000000" w:themeColor="text1"/>
        </w:rPr>
        <w:t xml:space="preserve">ka </w:t>
      </w:r>
      <w:r w:rsidRPr="00717BCF">
        <w:rPr>
          <w:color w:val="000000" w:themeColor="text1"/>
        </w:rPr>
        <w:t xml:space="preserve">apsūdzētie nevarēja nezināt, ka iekļauj gada pārskatā </w:t>
      </w:r>
      <w:r w:rsidR="00B57114">
        <w:rPr>
          <w:color w:val="000000" w:themeColor="text1"/>
        </w:rPr>
        <w:t>neapmaksātu</w:t>
      </w:r>
      <w:r w:rsidR="00B57114" w:rsidRPr="00717BCF">
        <w:rPr>
          <w:color w:val="000000" w:themeColor="text1"/>
        </w:rPr>
        <w:t xml:space="preserve"> </w:t>
      </w:r>
      <w:r w:rsidRPr="00717BCF">
        <w:rPr>
          <w:color w:val="000000" w:themeColor="text1"/>
        </w:rPr>
        <w:t>rēķinu</w:t>
      </w:r>
      <w:r w:rsidR="00B57114">
        <w:rPr>
          <w:color w:val="000000" w:themeColor="text1"/>
        </w:rPr>
        <w:t xml:space="preserve"> par faktiski nenotikušu darījumu</w:t>
      </w:r>
      <w:r>
        <w:rPr>
          <w:color w:val="000000" w:themeColor="text1"/>
        </w:rPr>
        <w:t xml:space="preserve">. </w:t>
      </w:r>
      <w:r w:rsidRPr="00744AA7">
        <w:t xml:space="preserve">Tiesa nav atsaukusies uz pierādījumiem, kas apstiprina, ka </w:t>
      </w:r>
      <w:r w:rsidR="00CC06BC">
        <w:t>[pers. A]</w:t>
      </w:r>
      <w:r w:rsidRPr="00744AA7">
        <w:t xml:space="preserve"> </w:t>
      </w:r>
      <w:r w:rsidRPr="00744AA7">
        <w:lastRenderedPageBreak/>
        <w:t>zināja vai viņam vajadzēja rasties aizdomām, ka gada pārskatā ir iekļauts tāds rēķins, kas tajā nav iekļaujams.</w:t>
      </w:r>
      <w:r>
        <w:t xml:space="preserve"> </w:t>
      </w:r>
    </w:p>
    <w:p w14:paraId="34EB27FC" w14:textId="52F53B36" w:rsidR="000075B1" w:rsidRDefault="001710B1" w:rsidP="001710B1">
      <w:pPr>
        <w:spacing w:after="0" w:line="276" w:lineRule="auto"/>
        <w:ind w:firstLine="720"/>
        <w:jc w:val="both"/>
      </w:pPr>
      <w:r w:rsidRPr="00744AA7">
        <w:t xml:space="preserve">Tiesa nav ņēmusi vērā, ka </w:t>
      </w:r>
      <w:r w:rsidR="00CC06BC">
        <w:t>[pers. A]</w:t>
      </w:r>
      <w:r w:rsidRPr="00744AA7">
        <w:t xml:space="preserve"> nepārvalda latviešu valodu, tāpēc viņš nevarēja konstatēt, kuri dokumentos iekļautie darījumi veido peļņas kopsummu, no kuras jāmaksā uzņēmumu ienākuma nodoklis.</w:t>
      </w:r>
      <w:r>
        <w:t xml:space="preserve"> Tāpat </w:t>
      </w:r>
      <w:r>
        <w:rPr>
          <w:color w:val="000000" w:themeColor="text1"/>
        </w:rPr>
        <w:t>t</w:t>
      </w:r>
      <w:r w:rsidR="00126C56">
        <w:rPr>
          <w:color w:val="000000" w:themeColor="text1"/>
        </w:rPr>
        <w:t>iesa nav atspēkojusi aizstāvības argumentu</w:t>
      </w:r>
      <w:r w:rsidR="00734763">
        <w:rPr>
          <w:color w:val="000000" w:themeColor="text1"/>
        </w:rPr>
        <w:t xml:space="preserve"> par to</w:t>
      </w:r>
      <w:r w:rsidR="00126C56">
        <w:rPr>
          <w:color w:val="000000" w:themeColor="text1"/>
        </w:rPr>
        <w:t xml:space="preserve">, ka </w:t>
      </w:r>
      <w:r w:rsidR="00CC06BC">
        <w:rPr>
          <w:color w:val="000000" w:themeColor="text1"/>
        </w:rPr>
        <w:t>[pers. A]</w:t>
      </w:r>
      <w:r w:rsidR="00734763">
        <w:rPr>
          <w:color w:val="000000" w:themeColor="text1"/>
        </w:rPr>
        <w:t>, lai nodrošinātu</w:t>
      </w:r>
      <w:r w:rsidR="00126C56">
        <w:rPr>
          <w:color w:val="000000" w:themeColor="text1"/>
        </w:rPr>
        <w:t xml:space="preserve"> likumu ievērošan</w:t>
      </w:r>
      <w:r w:rsidR="00734763">
        <w:rPr>
          <w:color w:val="000000" w:themeColor="text1"/>
        </w:rPr>
        <w:t>u,</w:t>
      </w:r>
      <w:r w:rsidR="00126C56">
        <w:rPr>
          <w:color w:val="000000" w:themeColor="text1"/>
        </w:rPr>
        <w:t xml:space="preserve"> algoja grāmatvežus un piesaistīja revidentus grāmatvedības pārbaudei</w:t>
      </w:r>
      <w:r w:rsidR="000075B1">
        <w:t xml:space="preserve">. </w:t>
      </w:r>
    </w:p>
    <w:p w14:paraId="731E467B" w14:textId="4499B7A5" w:rsidR="000075B1" w:rsidRPr="000075B1" w:rsidRDefault="000075B1" w:rsidP="000075B1">
      <w:pPr>
        <w:spacing w:after="0" w:line="276" w:lineRule="auto"/>
        <w:ind w:firstLine="720"/>
        <w:jc w:val="both"/>
        <w:rPr>
          <w:color w:val="000000" w:themeColor="text1"/>
        </w:rPr>
      </w:pPr>
      <w:r>
        <w:t>Saskaņā ar Revīzijas pakalpojum</w:t>
      </w:r>
      <w:r w:rsidR="00D520A1">
        <w:t>u</w:t>
      </w:r>
      <w:r>
        <w:t xml:space="preserve"> likuma 1. panta 1. un 8. apakšpunktu, 2. panta pirmo daļu revidenta atzinumam par gada pārskatu jāsniedz patiess un skaidrs priekšstats par klienta finansiālo stāvokli un peļņu. Apsūdzētais </w:t>
      </w:r>
      <w:r w:rsidR="00CC06BC">
        <w:t>[pers. A]</w:t>
      </w:r>
      <w:r>
        <w:t xml:space="preserve"> bija pārliecināts, ka gada pārskats ir pareizs. </w:t>
      </w:r>
      <w:r w:rsidR="00744AA7">
        <w:t>T</w:t>
      </w:r>
      <w:r>
        <w:t xml:space="preserve">iesa nav norādījusi nevienu Revīzijas pakalpojumu likuma 26. panta otrajā daļā uzskaitīto apstākli, kas </w:t>
      </w:r>
      <w:r w:rsidR="008813A6">
        <w:t>liktu</w:t>
      </w:r>
      <w:r>
        <w:t xml:space="preserve"> apsūdzētajiem </w:t>
      </w:r>
      <w:r w:rsidR="00734763">
        <w:t>šaubīties par</w:t>
      </w:r>
      <w:r w:rsidR="00744AA7">
        <w:t xml:space="preserve"> </w:t>
      </w:r>
      <w:r>
        <w:t xml:space="preserve">revidenta atzinumā ietvertajām ziņām. </w:t>
      </w:r>
    </w:p>
    <w:p w14:paraId="4C710C8A" w14:textId="6F322C05" w:rsidR="000075B1" w:rsidRPr="000075B1" w:rsidRDefault="001710B1" w:rsidP="000075B1">
      <w:pPr>
        <w:spacing w:after="0" w:line="276" w:lineRule="auto"/>
        <w:ind w:firstLine="720"/>
        <w:jc w:val="both"/>
        <w:rPr>
          <w:color w:val="000000" w:themeColor="text1"/>
        </w:rPr>
      </w:pPr>
      <w:r>
        <w:t>[</w:t>
      </w:r>
      <w:r w:rsidR="00C91B82">
        <w:t>3</w:t>
      </w:r>
      <w:r>
        <w:t xml:space="preserve">.4.4] </w:t>
      </w:r>
      <w:r w:rsidR="00C9091D">
        <w:t>T</w:t>
      </w:r>
      <w:r w:rsidR="000075B1">
        <w:t xml:space="preserve">iesa norādījusi, ka </w:t>
      </w:r>
      <w:r w:rsidR="00CC06BC">
        <w:t>[pers. A]</w:t>
      </w:r>
      <w:r w:rsidR="000075B1">
        <w:t xml:space="preserve"> dzīves pieredze un profesionālās zināšanas bija pietiekamas, lai zinātu par gada pārskatā nepareizi iekļautajiem izdevumiem, tomēr nav norādījusi kritērijus, </w:t>
      </w:r>
      <w:r w:rsidR="00637B1E">
        <w:t>ar kuriem pamatots šāds secinājums</w:t>
      </w:r>
      <w:r w:rsidR="000075B1">
        <w:t xml:space="preserve">. Tiesa nav ņēmusi vērā, ka apsūdzētajam ir pamatizglītība un nav izglītības finanšu jomā. Tobrīd spēkā esošā likuma </w:t>
      </w:r>
      <w:r w:rsidR="00637B1E">
        <w:t>„</w:t>
      </w:r>
      <w:r w:rsidR="000075B1">
        <w:t>Par grāmatvedību” 3. panta pirmā da</w:t>
      </w:r>
      <w:r w:rsidR="004A7D99">
        <w:t>ļa (spēkā līdz 2022. gada 1. janvārim)</w:t>
      </w:r>
      <w:r w:rsidR="000075B1">
        <w:t xml:space="preserve"> noteica, ka grāmatvedību uzņēmumā kārto grāmatvedis, ar ko uzņēmuma vadītājs noslēdzis rakstveida līgumu. </w:t>
      </w:r>
    </w:p>
    <w:p w14:paraId="601B0EFC" w14:textId="2FD2BCFB" w:rsidR="0083575B" w:rsidRDefault="0083575B" w:rsidP="0083575B">
      <w:pPr>
        <w:spacing w:after="0" w:line="276" w:lineRule="auto"/>
        <w:ind w:firstLine="720"/>
        <w:jc w:val="both"/>
        <w:rPr>
          <w:color w:val="000000" w:themeColor="text1"/>
        </w:rPr>
      </w:pPr>
      <w:r>
        <w:rPr>
          <w:color w:val="000000" w:themeColor="text1"/>
        </w:rPr>
        <w:t>[</w:t>
      </w:r>
      <w:r w:rsidR="00C91B82">
        <w:rPr>
          <w:color w:val="000000" w:themeColor="text1"/>
        </w:rPr>
        <w:t>3</w:t>
      </w:r>
      <w:r>
        <w:rPr>
          <w:color w:val="000000" w:themeColor="text1"/>
        </w:rPr>
        <w:t>.</w:t>
      </w:r>
      <w:r w:rsidR="001710B1">
        <w:rPr>
          <w:color w:val="000000" w:themeColor="text1"/>
        </w:rPr>
        <w:t>4.5</w:t>
      </w:r>
      <w:r>
        <w:rPr>
          <w:color w:val="000000" w:themeColor="text1"/>
        </w:rPr>
        <w:t>] Tiesa bez ievērības atstājusi pierādījumus par to, ka</w:t>
      </w:r>
      <w:r>
        <w:rPr>
          <w:rStyle w:val="CharStyle3"/>
          <w:rFonts w:cs="Times New Roman"/>
          <w:color w:val="EE0000"/>
          <w:sz w:val="24"/>
          <w:szCs w:val="24"/>
        </w:rPr>
        <w:t xml:space="preserve"> </w:t>
      </w:r>
      <w:r w:rsidRPr="0083575B">
        <w:rPr>
          <w:rStyle w:val="CharStyle3"/>
          <w:rFonts w:cs="Times New Roman"/>
          <w:sz w:val="24"/>
          <w:szCs w:val="24"/>
        </w:rPr>
        <w:t xml:space="preserve">apsūdzētās </w:t>
      </w:r>
      <w:r w:rsidR="00CC06BC">
        <w:rPr>
          <w:rStyle w:val="CharStyle3"/>
          <w:rFonts w:cs="Times New Roman"/>
          <w:sz w:val="24"/>
          <w:szCs w:val="24"/>
        </w:rPr>
        <w:t>[pers. B]</w:t>
      </w:r>
      <w:r w:rsidRPr="0083575B">
        <w:rPr>
          <w:rStyle w:val="CharStyle3"/>
          <w:rFonts w:cs="Times New Roman"/>
          <w:sz w:val="24"/>
          <w:szCs w:val="24"/>
        </w:rPr>
        <w:t xml:space="preserve"> rīcībā bija bankas kontu izdrukas, pēc kurām </w:t>
      </w:r>
      <w:r w:rsidR="001710B1">
        <w:rPr>
          <w:rStyle w:val="CharStyle3"/>
          <w:rFonts w:cs="Times New Roman"/>
          <w:sz w:val="24"/>
          <w:szCs w:val="24"/>
        </w:rPr>
        <w:t xml:space="preserve">viņa </w:t>
      </w:r>
      <w:r w:rsidRPr="0083575B">
        <w:rPr>
          <w:rStyle w:val="CharStyle3"/>
          <w:rFonts w:cs="Times New Roman"/>
          <w:sz w:val="24"/>
          <w:szCs w:val="24"/>
        </w:rPr>
        <w:t xml:space="preserve">varēja pārbaudīt rēķina apmaksas faktu. </w:t>
      </w:r>
      <w:r w:rsidR="00637B1E">
        <w:rPr>
          <w:rStyle w:val="CharStyle3"/>
          <w:rFonts w:cs="Times New Roman"/>
          <w:sz w:val="24"/>
          <w:szCs w:val="24"/>
        </w:rPr>
        <w:t xml:space="preserve">Tādējādi </w:t>
      </w:r>
      <w:r w:rsidRPr="0083575B">
        <w:rPr>
          <w:rStyle w:val="CharStyle3"/>
          <w:rFonts w:cs="Times New Roman"/>
          <w:sz w:val="24"/>
          <w:szCs w:val="24"/>
        </w:rPr>
        <w:t>tiesa</w:t>
      </w:r>
      <w:r w:rsidR="00637B1E">
        <w:rPr>
          <w:rStyle w:val="CharStyle3"/>
          <w:rFonts w:cs="Times New Roman"/>
          <w:sz w:val="24"/>
          <w:szCs w:val="24"/>
        </w:rPr>
        <w:t xml:space="preserve"> kļūdaini</w:t>
      </w:r>
      <w:r w:rsidR="0039405F">
        <w:rPr>
          <w:rStyle w:val="CharStyle3"/>
          <w:rFonts w:cs="Times New Roman"/>
          <w:sz w:val="24"/>
          <w:szCs w:val="24"/>
        </w:rPr>
        <w:t xml:space="preserve"> </w:t>
      </w:r>
      <w:r w:rsidR="00637B1E" w:rsidRPr="0083575B">
        <w:rPr>
          <w:rStyle w:val="CharStyle3"/>
          <w:rFonts w:cs="Times New Roman"/>
          <w:sz w:val="24"/>
          <w:szCs w:val="24"/>
        </w:rPr>
        <w:t>secināju</w:t>
      </w:r>
      <w:r w:rsidR="00637B1E">
        <w:rPr>
          <w:rStyle w:val="CharStyle3"/>
          <w:rFonts w:cs="Times New Roman"/>
          <w:sz w:val="24"/>
          <w:szCs w:val="24"/>
        </w:rPr>
        <w:t>si</w:t>
      </w:r>
      <w:r w:rsidRPr="0083575B">
        <w:rPr>
          <w:rStyle w:val="CharStyle3"/>
          <w:rFonts w:cs="Times New Roman"/>
          <w:sz w:val="24"/>
          <w:szCs w:val="24"/>
        </w:rPr>
        <w:t xml:space="preserve">, ka </w:t>
      </w:r>
      <w:r w:rsidR="00CC06BC">
        <w:rPr>
          <w:rStyle w:val="CharStyle3"/>
          <w:rFonts w:cs="Times New Roman"/>
          <w:sz w:val="24"/>
          <w:szCs w:val="24"/>
        </w:rPr>
        <w:t>[pers. A]</w:t>
      </w:r>
      <w:r w:rsidRPr="0083575B">
        <w:rPr>
          <w:rStyle w:val="CharStyle3"/>
          <w:rFonts w:cs="Times New Roman"/>
          <w:sz w:val="24"/>
          <w:szCs w:val="24"/>
        </w:rPr>
        <w:t xml:space="preserve"> vajadzējis īpaši informēt </w:t>
      </w:r>
      <w:r w:rsidR="0067609C">
        <w:rPr>
          <w:rStyle w:val="CharStyle3"/>
          <w:rFonts w:cs="Times New Roman"/>
          <w:sz w:val="24"/>
          <w:szCs w:val="24"/>
        </w:rPr>
        <w:t>[pers. B]</w:t>
      </w:r>
      <w:r w:rsidRPr="0083575B">
        <w:rPr>
          <w:rStyle w:val="CharStyle3"/>
          <w:rFonts w:cs="Times New Roman"/>
          <w:sz w:val="24"/>
          <w:szCs w:val="24"/>
        </w:rPr>
        <w:t xml:space="preserve"> par to, ka </w:t>
      </w:r>
      <w:r w:rsidR="002F405C">
        <w:rPr>
          <w:rStyle w:val="CharStyle3"/>
          <w:rFonts w:cs="Times New Roman"/>
          <w:sz w:val="24"/>
          <w:szCs w:val="24"/>
        </w:rPr>
        <w:t>„</w:t>
      </w:r>
      <w:r w:rsidR="0067609C">
        <w:rPr>
          <w:rStyle w:val="CharStyle3"/>
          <w:rFonts w:cs="Times New Roman"/>
          <w:sz w:val="24"/>
          <w:szCs w:val="24"/>
        </w:rPr>
        <w:t>[Nosaukums B]</w:t>
      </w:r>
      <w:r w:rsidR="002F405C">
        <w:rPr>
          <w:rStyle w:val="CharStyle3"/>
          <w:rFonts w:cs="Times New Roman"/>
          <w:sz w:val="24"/>
          <w:szCs w:val="24"/>
        </w:rPr>
        <w:t xml:space="preserve">” </w:t>
      </w:r>
      <w:r w:rsidR="00003875">
        <w:rPr>
          <w:rStyle w:val="CharStyle3"/>
          <w:rFonts w:cs="Times New Roman"/>
          <w:sz w:val="24"/>
          <w:szCs w:val="24"/>
        </w:rPr>
        <w:t xml:space="preserve">rēķins </w:t>
      </w:r>
      <w:r w:rsidRPr="0083575B">
        <w:rPr>
          <w:rStyle w:val="CharStyle3"/>
          <w:rFonts w:cs="Times New Roman"/>
          <w:sz w:val="24"/>
          <w:szCs w:val="24"/>
        </w:rPr>
        <w:t>nav apmaksāts</w:t>
      </w:r>
      <w:r w:rsidR="00637B1E">
        <w:rPr>
          <w:rStyle w:val="CharStyle3"/>
          <w:rFonts w:cs="Times New Roman"/>
          <w:sz w:val="24"/>
          <w:szCs w:val="24"/>
        </w:rPr>
        <w:t>.</w:t>
      </w:r>
    </w:p>
    <w:p w14:paraId="0765D59D" w14:textId="37F5ED0E" w:rsidR="00140A8A" w:rsidRPr="0001425A" w:rsidRDefault="00A23FCD" w:rsidP="00E27F2F">
      <w:pPr>
        <w:spacing w:after="0" w:line="276" w:lineRule="auto"/>
        <w:ind w:firstLine="720"/>
        <w:jc w:val="both"/>
        <w:rPr>
          <w:color w:val="EE0000"/>
        </w:rPr>
      </w:pPr>
      <w:r>
        <w:rPr>
          <w:color w:val="000000" w:themeColor="text1"/>
        </w:rPr>
        <w:t>[</w:t>
      </w:r>
      <w:r w:rsidR="00C91B82">
        <w:rPr>
          <w:color w:val="000000" w:themeColor="text1"/>
        </w:rPr>
        <w:t>3</w:t>
      </w:r>
      <w:r>
        <w:rPr>
          <w:color w:val="000000" w:themeColor="text1"/>
        </w:rPr>
        <w:t>.</w:t>
      </w:r>
      <w:r w:rsidR="001710B1">
        <w:rPr>
          <w:color w:val="000000" w:themeColor="text1"/>
        </w:rPr>
        <w:t>4.6</w:t>
      </w:r>
      <w:r>
        <w:rPr>
          <w:color w:val="000000" w:themeColor="text1"/>
        </w:rPr>
        <w:t xml:space="preserve">] </w:t>
      </w:r>
      <w:r w:rsidR="00C9091D">
        <w:rPr>
          <w:color w:val="000000" w:themeColor="text1"/>
        </w:rPr>
        <w:t>T</w:t>
      </w:r>
      <w:r w:rsidR="00140A8A">
        <w:rPr>
          <w:color w:val="000000" w:themeColor="text1"/>
        </w:rPr>
        <w:t>iesa</w:t>
      </w:r>
      <w:r w:rsidR="00396B82">
        <w:rPr>
          <w:color w:val="000000" w:themeColor="text1"/>
        </w:rPr>
        <w:t xml:space="preserve"> </w:t>
      </w:r>
      <w:r w:rsidR="00140A8A">
        <w:rPr>
          <w:color w:val="000000" w:themeColor="text1"/>
        </w:rPr>
        <w:t>nav izvē</w:t>
      </w:r>
      <w:r w:rsidR="00140A8A" w:rsidRPr="00D520A1">
        <w:t xml:space="preserve">rtējusi </w:t>
      </w:r>
      <w:r w:rsidR="00C9091D" w:rsidRPr="00D520A1">
        <w:t xml:space="preserve">arī citus </w:t>
      </w:r>
      <w:r w:rsidR="00396B82" w:rsidRPr="00D520A1">
        <w:t xml:space="preserve">lietā esošos </w:t>
      </w:r>
      <w:r w:rsidR="00140A8A" w:rsidRPr="00D520A1">
        <w:t>pierādījumus</w:t>
      </w:r>
      <w:r w:rsidR="00312AAC" w:rsidRPr="00D520A1">
        <w:t xml:space="preserve">, kas </w:t>
      </w:r>
      <w:r w:rsidR="005A261C" w:rsidRPr="00D520A1">
        <w:t xml:space="preserve">detalizētāk </w:t>
      </w:r>
      <w:r w:rsidR="00312AAC" w:rsidRPr="00D520A1">
        <w:t xml:space="preserve">uzskaitīti </w:t>
      </w:r>
      <w:r w:rsidR="005A261C" w:rsidRPr="00D520A1">
        <w:t>kasācijas sūdzībā</w:t>
      </w:r>
      <w:r w:rsidR="00312AAC" w:rsidRPr="00D520A1">
        <w:t>.</w:t>
      </w:r>
    </w:p>
    <w:p w14:paraId="6A3BAC05" w14:textId="77777777" w:rsidR="00855BD1" w:rsidRDefault="00855BD1" w:rsidP="00E27F2F">
      <w:pPr>
        <w:spacing w:after="0" w:line="276" w:lineRule="auto"/>
        <w:ind w:firstLine="720"/>
        <w:jc w:val="both"/>
        <w:rPr>
          <w:color w:val="000000" w:themeColor="text1"/>
        </w:rPr>
      </w:pPr>
    </w:p>
    <w:p w14:paraId="1C475976" w14:textId="2EF0BE1E" w:rsidR="004F1EE2" w:rsidRDefault="004F1EE2" w:rsidP="004D2486">
      <w:pPr>
        <w:spacing w:after="0" w:line="276" w:lineRule="auto"/>
        <w:ind w:firstLine="720"/>
        <w:jc w:val="both"/>
      </w:pPr>
      <w:r>
        <w:t>[</w:t>
      </w:r>
      <w:r w:rsidR="00C91B82">
        <w:t>4</w:t>
      </w:r>
      <w:r>
        <w:t xml:space="preserve">] </w:t>
      </w:r>
      <w:r w:rsidR="004D2486">
        <w:t xml:space="preserve">Par Rīgas apgabaltiesas 2024. gada 17. aprīļa spriedumu apsūdzētā </w:t>
      </w:r>
      <w:r w:rsidR="00CC06BC">
        <w:t>[pers. B]</w:t>
      </w:r>
      <w:r w:rsidR="004D2486">
        <w:t xml:space="preserve"> iesniegusi kasācijas sūdzību,</w:t>
      </w:r>
      <w:r w:rsidR="0039405F" w:rsidRPr="0039405F">
        <w:t xml:space="preserve"> </w:t>
      </w:r>
      <w:r w:rsidR="0039405F">
        <w:t>kurā lūdz atcelt apelācijas instances tiesas spriedumu daļā par viņas atzīšanu par vainīgu un sodīšanu</w:t>
      </w:r>
      <w:r w:rsidR="004D2486">
        <w:t xml:space="preserve"> </w:t>
      </w:r>
      <w:r w:rsidR="00373FBF" w:rsidRPr="00373FBF">
        <w:t>un nosūtīt lietu jaunai izskatīšanai, norādot, ka apelācijas instances tiesa pieļāvusi Kriminālprocesa likuma 124.</w:t>
      </w:r>
      <w:r w:rsidR="003807C2">
        <w:t> </w:t>
      </w:r>
      <w:r w:rsidR="00373FBF" w:rsidRPr="00373FBF">
        <w:t xml:space="preserve">panta pirmās, otrās, trešās un piektās daļas, </w:t>
      </w:r>
      <w:r w:rsidR="00946154" w:rsidRPr="00373FBF">
        <w:t>511.</w:t>
      </w:r>
      <w:r w:rsidR="003807C2">
        <w:t> </w:t>
      </w:r>
      <w:r w:rsidR="00946154" w:rsidRPr="00373FBF">
        <w:t>panta otrās daļas</w:t>
      </w:r>
      <w:r w:rsidR="00946154">
        <w:t>,</w:t>
      </w:r>
      <w:r w:rsidR="00946154" w:rsidRPr="00373FBF">
        <w:t xml:space="preserve"> </w:t>
      </w:r>
      <w:r w:rsidR="003807C2">
        <w:t xml:space="preserve">512. panta pirmās daļas, </w:t>
      </w:r>
      <w:r w:rsidR="00946154" w:rsidRPr="00373FBF">
        <w:t>564.</w:t>
      </w:r>
      <w:r w:rsidR="003807C2">
        <w:t> </w:t>
      </w:r>
      <w:r w:rsidR="00946154" w:rsidRPr="00373FBF">
        <w:t xml:space="preserve">panta ceturtās </w:t>
      </w:r>
      <w:r w:rsidR="00946154">
        <w:t xml:space="preserve">un </w:t>
      </w:r>
      <w:r w:rsidR="003807C2">
        <w:t xml:space="preserve">astotās </w:t>
      </w:r>
      <w:r w:rsidR="00946154" w:rsidRPr="00373FBF">
        <w:t>daļas</w:t>
      </w:r>
      <w:r w:rsidR="003807C2">
        <w:t xml:space="preserve"> pārkāpumu</w:t>
      </w:r>
      <w:r w:rsidR="00B57114">
        <w:t>s</w:t>
      </w:r>
      <w:r w:rsidR="003807C2">
        <w:t>.</w:t>
      </w:r>
    </w:p>
    <w:p w14:paraId="09103F16" w14:textId="5BC5F65C" w:rsidR="003807C2" w:rsidRDefault="003807C2" w:rsidP="001F56D0">
      <w:pPr>
        <w:spacing w:after="0" w:line="276" w:lineRule="auto"/>
        <w:ind w:firstLine="720"/>
        <w:jc w:val="both"/>
      </w:pPr>
      <w:r>
        <w:t xml:space="preserve">Apsūdzētā </w:t>
      </w:r>
      <w:r w:rsidR="00CC06BC">
        <w:t>[pers. B]</w:t>
      </w:r>
      <w:r>
        <w:t xml:space="preserve"> kasācijas sūdzību pamatojusi ar šādiem argumentiem.</w:t>
      </w:r>
    </w:p>
    <w:p w14:paraId="63DF25B9" w14:textId="42A8AB58" w:rsidR="00A85051" w:rsidRDefault="003807C2" w:rsidP="00A85051">
      <w:pPr>
        <w:spacing w:after="0" w:line="276" w:lineRule="auto"/>
        <w:ind w:firstLine="720"/>
        <w:jc w:val="both"/>
      </w:pPr>
      <w:r>
        <w:t>[</w:t>
      </w:r>
      <w:r w:rsidR="00C91B82">
        <w:t>4</w:t>
      </w:r>
      <w:r>
        <w:t xml:space="preserve">.1] </w:t>
      </w:r>
      <w:r w:rsidR="00744AA7">
        <w:t>T</w:t>
      </w:r>
      <w:r w:rsidR="00AB54E4" w:rsidRPr="00AB54E4">
        <w:t xml:space="preserve">iesa </w:t>
      </w:r>
      <w:r w:rsidR="00B82CD7">
        <w:t>secinājusi</w:t>
      </w:r>
      <w:r w:rsidR="00AB54E4" w:rsidRPr="00AB54E4">
        <w:t>, ka</w:t>
      </w:r>
      <w:r w:rsidR="001710B1">
        <w:t xml:space="preserve"> </w:t>
      </w:r>
      <w:r w:rsidR="002F405C">
        <w:rPr>
          <w:rStyle w:val="CharStyle3"/>
          <w:rFonts w:cs="Times New Roman"/>
          <w:sz w:val="24"/>
          <w:szCs w:val="24"/>
        </w:rPr>
        <w:t>„</w:t>
      </w:r>
      <w:r w:rsidR="0067609C">
        <w:rPr>
          <w:rStyle w:val="CharStyle3"/>
          <w:rFonts w:cs="Times New Roman"/>
          <w:sz w:val="24"/>
          <w:szCs w:val="24"/>
        </w:rPr>
        <w:t>[Nosaukums B]</w:t>
      </w:r>
      <w:r w:rsidR="002F405C">
        <w:rPr>
          <w:rStyle w:val="CharStyle3"/>
          <w:rFonts w:cs="Times New Roman"/>
          <w:sz w:val="24"/>
          <w:szCs w:val="24"/>
        </w:rPr>
        <w:t>”</w:t>
      </w:r>
      <w:r w:rsidR="00A8717D">
        <w:t xml:space="preserve"> </w:t>
      </w:r>
      <w:r w:rsidR="00AB54E4" w:rsidRPr="00AB54E4">
        <w:t xml:space="preserve">rēķina iekļaušana grāmatvedības dokumentos un tā attiecināšana uz uzņēmuma izdevumiem ir apzinātas darbības, kas liecina par tiešu nodomu </w:t>
      </w:r>
      <w:r w:rsidR="007455F2">
        <w:t xml:space="preserve">atbalstīt </w:t>
      </w:r>
      <w:r w:rsidR="00AB54E4" w:rsidRPr="00AB54E4">
        <w:t>ar nodokli apliekam</w:t>
      </w:r>
      <w:r w:rsidR="007455F2">
        <w:t>ā</w:t>
      </w:r>
      <w:r w:rsidR="00AB54E4" w:rsidRPr="00AB54E4">
        <w:t xml:space="preserve"> objekt</w:t>
      </w:r>
      <w:r w:rsidR="007455F2">
        <w:t>a samazināšanu</w:t>
      </w:r>
      <w:r w:rsidR="00A85051">
        <w:t xml:space="preserve">, un </w:t>
      </w:r>
      <w:r w:rsidR="00CC06BC">
        <w:t>[pers. B]</w:t>
      </w:r>
      <w:r w:rsidR="00AB54E4" w:rsidRPr="00AB54E4">
        <w:t xml:space="preserve"> gada pārskata noformēšanas laikā zināja, ka </w:t>
      </w:r>
      <w:r w:rsidR="00404A27">
        <w:t>tas</w:t>
      </w:r>
      <w:r w:rsidR="00AB54E4" w:rsidRPr="00AB54E4">
        <w:t xml:space="preserve"> ir avansa rēķins</w:t>
      </w:r>
      <w:r w:rsidR="00A85051">
        <w:t>.</w:t>
      </w:r>
    </w:p>
    <w:p w14:paraId="3EE521FF" w14:textId="1C036CFC" w:rsidR="00AB54E4" w:rsidRDefault="00A85051" w:rsidP="00A85051">
      <w:pPr>
        <w:spacing w:after="0" w:line="276" w:lineRule="auto"/>
        <w:ind w:firstLine="720"/>
        <w:jc w:val="both"/>
      </w:pPr>
      <w:r>
        <w:t>Šāds</w:t>
      </w:r>
      <w:r w:rsidR="007455F2">
        <w:t xml:space="preserve"> secinājums izdarīts, ne</w:t>
      </w:r>
      <w:r w:rsidR="00D520A1">
        <w:t>iz</w:t>
      </w:r>
      <w:r w:rsidR="007455F2">
        <w:t xml:space="preserve">vērtējot </w:t>
      </w:r>
      <w:r w:rsidR="0084417E">
        <w:t>turpmāk uzskaitītos</w:t>
      </w:r>
      <w:r w:rsidR="007455F2">
        <w:t xml:space="preserve"> pierādījumus</w:t>
      </w:r>
      <w:r>
        <w:t xml:space="preserve"> un tajos ietvertās ziņas:</w:t>
      </w:r>
    </w:p>
    <w:p w14:paraId="2C27CD28" w14:textId="547D3278" w:rsidR="004506B7" w:rsidRDefault="00A85051" w:rsidP="00744AA7">
      <w:pPr>
        <w:pStyle w:val="ListParagraph"/>
        <w:numPr>
          <w:ilvl w:val="0"/>
          <w:numId w:val="4"/>
        </w:numPr>
        <w:spacing w:after="0" w:line="276" w:lineRule="auto"/>
        <w:jc w:val="both"/>
      </w:pPr>
      <w:r>
        <w:t>z</w:t>
      </w:r>
      <w:r w:rsidR="009C10CA">
        <w:t xml:space="preserve">iņas par </w:t>
      </w:r>
      <w:r w:rsidR="00F079D2">
        <w:t>apsūdzētās veselības stāvokli</w:t>
      </w:r>
      <w:r w:rsidR="0001259A">
        <w:t xml:space="preserve"> </w:t>
      </w:r>
      <w:r w:rsidR="00EF7505">
        <w:t>–</w:t>
      </w:r>
      <w:r w:rsidR="0001259A">
        <w:t xml:space="preserve"> </w:t>
      </w:r>
      <w:r w:rsidR="00F079D2">
        <w:t>ilgstošām galvassāpēm</w:t>
      </w:r>
      <w:r w:rsidR="008E3ADE">
        <w:t xml:space="preserve"> un adenomu</w:t>
      </w:r>
      <w:r w:rsidR="007F4289">
        <w:t xml:space="preserve"> </w:t>
      </w:r>
      <w:r w:rsidR="00EF7505">
        <w:t>–</w:t>
      </w:r>
      <w:r w:rsidR="00F079D2">
        <w:t xml:space="preserve">, </w:t>
      </w:r>
      <w:r w:rsidR="00F068B9">
        <w:t>kas ietekmēja spēju koncentrēt</w:t>
      </w:r>
      <w:r w:rsidR="008E3ADE">
        <w:t xml:space="preserve">ies un </w:t>
      </w:r>
      <w:r w:rsidR="004A7D99">
        <w:t>rūpīgi</w:t>
      </w:r>
      <w:r w:rsidR="008E3ADE">
        <w:t xml:space="preserve"> veikt grāmatvedes pienākumus</w:t>
      </w:r>
      <w:r>
        <w:t>;</w:t>
      </w:r>
    </w:p>
    <w:p w14:paraId="4E340BC3" w14:textId="27CF47D5" w:rsidR="007F4289" w:rsidRDefault="00A85051" w:rsidP="00C9091D">
      <w:pPr>
        <w:pStyle w:val="ListParagraph"/>
        <w:numPr>
          <w:ilvl w:val="0"/>
          <w:numId w:val="4"/>
        </w:numPr>
        <w:spacing w:after="0" w:line="276" w:lineRule="auto"/>
        <w:jc w:val="both"/>
      </w:pPr>
      <w:r>
        <w:t>z</w:t>
      </w:r>
      <w:r w:rsidR="0084417E">
        <w:t>iņas par to, ka rēķins bija</w:t>
      </w:r>
      <w:r w:rsidR="007F4289">
        <w:t xml:space="preserve"> igauņu valodā</w:t>
      </w:r>
      <w:r w:rsidR="00C9091D">
        <w:t xml:space="preserve"> un</w:t>
      </w:r>
      <w:r w:rsidR="007F4289">
        <w:t xml:space="preserve"> tā nosaukums ir </w:t>
      </w:r>
      <w:r w:rsidR="0039405F">
        <w:t>„</w:t>
      </w:r>
      <w:proofErr w:type="spellStart"/>
      <w:r w:rsidR="007F4289" w:rsidRPr="00C9091D">
        <w:rPr>
          <w:i/>
          <w:iCs/>
        </w:rPr>
        <w:t>arve</w:t>
      </w:r>
      <w:proofErr w:type="spellEnd"/>
      <w:r w:rsidR="007F4289">
        <w:t>”</w:t>
      </w:r>
      <w:r>
        <w:t>;</w:t>
      </w:r>
    </w:p>
    <w:p w14:paraId="3D5794E3" w14:textId="6023AD95" w:rsidR="007F4289" w:rsidRDefault="00A85051" w:rsidP="00C9091D">
      <w:pPr>
        <w:pStyle w:val="ListParagraph"/>
        <w:numPr>
          <w:ilvl w:val="0"/>
          <w:numId w:val="4"/>
        </w:numPr>
        <w:spacing w:after="0" w:line="276" w:lineRule="auto"/>
        <w:jc w:val="both"/>
      </w:pPr>
      <w:r>
        <w:lastRenderedPageBreak/>
        <w:t>l</w:t>
      </w:r>
      <w:r w:rsidR="007F4289">
        <w:t xml:space="preserve">iecinieces </w:t>
      </w:r>
      <w:r w:rsidR="009E1632">
        <w:t>[pers. D]</w:t>
      </w:r>
      <w:r w:rsidR="001D187E">
        <w:t xml:space="preserve"> </w:t>
      </w:r>
      <w:r w:rsidRPr="00C9091D">
        <w:rPr>
          <w:color w:val="000000" w:themeColor="text1"/>
        </w:rPr>
        <w:t xml:space="preserve">(nodokļu inspektores) </w:t>
      </w:r>
      <w:r w:rsidR="0080478C">
        <w:t>liec</w:t>
      </w:r>
      <w:r w:rsidR="0084417E">
        <w:t>ības par to</w:t>
      </w:r>
      <w:r w:rsidR="0080478C">
        <w:t xml:space="preserve">, ka </w:t>
      </w:r>
      <w:r>
        <w:t>viņa</w:t>
      </w:r>
      <w:r w:rsidR="007F4289">
        <w:t xml:space="preserve"> nevarēja izskaidrot, vai </w:t>
      </w:r>
      <w:r w:rsidR="001827B1">
        <w:rPr>
          <w:rStyle w:val="CharStyle3"/>
          <w:rFonts w:cs="Times New Roman"/>
          <w:sz w:val="24"/>
          <w:szCs w:val="24"/>
        </w:rPr>
        <w:t>„</w:t>
      </w:r>
      <w:r w:rsidR="0067609C">
        <w:rPr>
          <w:rStyle w:val="CharStyle3"/>
          <w:rFonts w:cs="Times New Roman"/>
          <w:sz w:val="24"/>
          <w:szCs w:val="24"/>
        </w:rPr>
        <w:t>[Nosaukums B]</w:t>
      </w:r>
      <w:r w:rsidR="001827B1">
        <w:rPr>
          <w:rStyle w:val="CharStyle3"/>
          <w:rFonts w:cs="Times New Roman"/>
          <w:sz w:val="24"/>
          <w:szCs w:val="24"/>
        </w:rPr>
        <w:t>”</w:t>
      </w:r>
      <w:r w:rsidR="007F4289">
        <w:t xml:space="preserve"> rēķins ir avansa vai fakta rēķins, </w:t>
      </w:r>
      <w:r w:rsidR="0080478C">
        <w:t>un</w:t>
      </w:r>
      <w:r w:rsidR="0001259A">
        <w:t xml:space="preserve"> </w:t>
      </w:r>
      <w:r w:rsidR="007F4289">
        <w:t xml:space="preserve">nevarēja pamatot, pēc kādām pazīmēm jāizdara secinājums, ka </w:t>
      </w:r>
      <w:r w:rsidR="0080478C">
        <w:t>rēķins</w:t>
      </w:r>
      <w:r w:rsidR="007F4289">
        <w:t xml:space="preserve"> ir avansa rēķins</w:t>
      </w:r>
      <w:r>
        <w:t>;</w:t>
      </w:r>
    </w:p>
    <w:p w14:paraId="1122C344" w14:textId="7DDEFD31" w:rsidR="00A85051" w:rsidRDefault="001C0CA9" w:rsidP="00C9091D">
      <w:pPr>
        <w:pStyle w:val="ListParagraph"/>
        <w:numPr>
          <w:ilvl w:val="0"/>
          <w:numId w:val="4"/>
        </w:numPr>
        <w:spacing w:after="0" w:line="276" w:lineRule="auto"/>
        <w:jc w:val="both"/>
      </w:pPr>
      <w:r>
        <w:t>a</w:t>
      </w:r>
      <w:r w:rsidR="007F4289">
        <w:t xml:space="preserve">psūdzētās </w:t>
      </w:r>
      <w:r w:rsidR="00CC06BC">
        <w:t>[pers. B]</w:t>
      </w:r>
      <w:r w:rsidR="007F4289">
        <w:t xml:space="preserve"> liecības par to, ka viņas rīcībā nebija SIA </w:t>
      </w:r>
      <w:r w:rsidR="0039405F">
        <w:t>„</w:t>
      </w:r>
      <w:r w:rsidR="0067609C">
        <w:t>[Nosaukums A]</w:t>
      </w:r>
      <w:r w:rsidR="007F4289">
        <w:t xml:space="preserve">” un </w:t>
      </w:r>
      <w:r w:rsidR="002F405C">
        <w:t>„</w:t>
      </w:r>
      <w:r w:rsidR="0067609C">
        <w:t>[Nosaukums B]</w:t>
      </w:r>
      <w:r w:rsidR="002F405C">
        <w:t xml:space="preserve">” </w:t>
      </w:r>
      <w:r w:rsidR="007F4289">
        <w:t>noslēgt</w:t>
      </w:r>
      <w:r w:rsidR="00F01C66">
        <w:t>ais</w:t>
      </w:r>
      <w:r w:rsidR="007F4289">
        <w:t xml:space="preserve"> līgum</w:t>
      </w:r>
      <w:r w:rsidR="00F01C66">
        <w:t>s</w:t>
      </w:r>
      <w:r w:rsidR="007455F2">
        <w:t>,</w:t>
      </w:r>
      <w:r w:rsidR="0001259A">
        <w:t xml:space="preserve"> </w:t>
      </w:r>
      <w:r w:rsidR="001E19D5">
        <w:t>taču</w:t>
      </w:r>
      <w:r w:rsidR="0001259A">
        <w:t xml:space="preserve"> tikai</w:t>
      </w:r>
      <w:r w:rsidR="007F4289">
        <w:t xml:space="preserve"> </w:t>
      </w:r>
      <w:r w:rsidR="007455F2">
        <w:t>tajā</w:t>
      </w:r>
      <w:r w:rsidR="0001259A">
        <w:t xml:space="preserve"> bija ziņas, ka</w:t>
      </w:r>
      <w:r w:rsidR="007F4289">
        <w:t xml:space="preserve"> rēķins uzskatāms par avansa rēķinu.</w:t>
      </w:r>
    </w:p>
    <w:p w14:paraId="7A7753E8" w14:textId="56A1DDED" w:rsidR="001C0CA9" w:rsidRDefault="001C0CA9" w:rsidP="001C0CA9">
      <w:pPr>
        <w:spacing w:after="0" w:line="276" w:lineRule="auto"/>
        <w:ind w:firstLine="720"/>
        <w:jc w:val="both"/>
      </w:pPr>
      <w:r>
        <w:t>[</w:t>
      </w:r>
      <w:r w:rsidR="00C91B82">
        <w:t>4</w:t>
      </w:r>
      <w:r>
        <w:t xml:space="preserve">.2] </w:t>
      </w:r>
      <w:r w:rsidR="00C9091D">
        <w:t>T</w:t>
      </w:r>
      <w:r w:rsidR="00BC2B04">
        <w:t xml:space="preserve">iesa apsūdzētās </w:t>
      </w:r>
      <w:r w:rsidR="00CC06BC">
        <w:t>[pers. B]</w:t>
      </w:r>
      <w:r w:rsidR="00BC2B04">
        <w:t xml:space="preserve"> liecības vērtējusi selektīvi, </w:t>
      </w:r>
      <w:r w:rsidR="00F01C66">
        <w:t>bez ievērības atstājot</w:t>
      </w:r>
      <w:r w:rsidR="00BC2B04">
        <w:t xml:space="preserve"> pirmstiesas kriminālprocesā sniegtās liecības par to, ka </w:t>
      </w:r>
      <w:r w:rsidR="00F01C66">
        <w:t>viņa</w:t>
      </w:r>
      <w:r w:rsidR="00BC2B04">
        <w:t xml:space="preserve"> </w:t>
      </w:r>
      <w:r w:rsidR="004A7D99">
        <w:t xml:space="preserve">bija </w:t>
      </w:r>
      <w:r w:rsidR="002318C0">
        <w:t>redzēj</w:t>
      </w:r>
      <w:r w:rsidR="004A7D99">
        <w:t>usi</w:t>
      </w:r>
      <w:r w:rsidR="002318C0">
        <w:t xml:space="preserve"> zemes gabalā </w:t>
      </w:r>
      <w:r w:rsidR="00BE222E">
        <w:t>[adrese]</w:t>
      </w:r>
      <w:r w:rsidR="000E4992">
        <w:t>, notiekošos labiekārtošanas darbus</w:t>
      </w:r>
      <w:r w:rsidR="00092819">
        <w:t>.</w:t>
      </w:r>
      <w:r w:rsidR="00A85051">
        <w:t xml:space="preserve"> </w:t>
      </w:r>
      <w:r w:rsidR="00CC06BC">
        <w:t>[pers. B]</w:t>
      </w:r>
      <w:r w:rsidR="00A85051">
        <w:t xml:space="preserve"> nebija iemesla apšaubīt ne rēķinu, ne to, ka tas </w:t>
      </w:r>
      <w:r w:rsidR="00C9091D">
        <w:t xml:space="preserve">ir </w:t>
      </w:r>
      <w:r w:rsidR="00A85051">
        <w:t>saistāms ar iecerēto būvniecību</w:t>
      </w:r>
      <w:r>
        <w:t>.</w:t>
      </w:r>
    </w:p>
    <w:p w14:paraId="3E5E83D6" w14:textId="62D53431" w:rsidR="00140501" w:rsidRDefault="001C0CA9" w:rsidP="00A40A0E">
      <w:pPr>
        <w:spacing w:after="0" w:line="276" w:lineRule="auto"/>
        <w:ind w:firstLine="720"/>
        <w:jc w:val="both"/>
      </w:pPr>
      <w:r>
        <w:t>Minēto apstiprina l</w:t>
      </w:r>
      <w:r w:rsidR="00AB54E4">
        <w:t>ieciniek</w:t>
      </w:r>
      <w:r>
        <w:t>a</w:t>
      </w:r>
      <w:r w:rsidR="00AB54E4">
        <w:t xml:space="preserve"> </w:t>
      </w:r>
      <w:r w:rsidR="00BE222E">
        <w:t>[pers. E]</w:t>
      </w:r>
      <w:r w:rsidR="00AB54E4">
        <w:t xml:space="preserve"> liecības par </w:t>
      </w:r>
      <w:r w:rsidR="00FA62E0">
        <w:t>zemes gabala pielāgošanu būvniecībai</w:t>
      </w:r>
      <w:r>
        <w:t xml:space="preserve">. Tāpat to apstiprina </w:t>
      </w:r>
      <w:r w:rsidR="00B57114">
        <w:t xml:space="preserve">liecinieku </w:t>
      </w:r>
      <w:r w:rsidR="00A40A0E">
        <w:t>[pers. F]</w:t>
      </w:r>
      <w:r w:rsidR="007F4289">
        <w:t xml:space="preserve">, </w:t>
      </w:r>
      <w:r w:rsidR="00A40A0E">
        <w:t>[pers. G]</w:t>
      </w:r>
      <w:r w:rsidR="00B57114">
        <w:t xml:space="preserve"> (</w:t>
      </w:r>
      <w:r w:rsidR="00A40A0E" w:rsidRPr="00A40A0E">
        <w:rPr>
          <w:i/>
          <w:iCs/>
        </w:rPr>
        <w:t>[pers. G]</w:t>
      </w:r>
      <w:r w:rsidR="00B57114">
        <w:t xml:space="preserve">) un </w:t>
      </w:r>
      <w:r w:rsidR="007F4289">
        <w:t xml:space="preserve">apsūdzētā </w:t>
      </w:r>
      <w:r w:rsidR="00CC06BC">
        <w:t>[pers. A]</w:t>
      </w:r>
      <w:r w:rsidR="007F4289">
        <w:t xml:space="preserve"> liecīb</w:t>
      </w:r>
      <w:r w:rsidR="007455F2">
        <w:t>as</w:t>
      </w:r>
      <w:r w:rsidR="00B57114">
        <w:t>, kā arī</w:t>
      </w:r>
      <w:r w:rsidR="00AB54E4">
        <w:t xml:space="preserve"> </w:t>
      </w:r>
      <w:r w:rsidR="007F4289">
        <w:t>projekta vizualizācijas attēl</w:t>
      </w:r>
      <w:r w:rsidR="00F01C66">
        <w:t>i</w:t>
      </w:r>
      <w:r w:rsidR="007F4289">
        <w:t xml:space="preserve"> par tirdzniecības centra būvniecības ieceri</w:t>
      </w:r>
      <w:r w:rsidR="00092819">
        <w:t xml:space="preserve">. Līdz ar to tiesa </w:t>
      </w:r>
      <w:r w:rsidR="007F4289">
        <w:t>kļūdaini secinājusi, ka darījums starp SIA</w:t>
      </w:r>
      <w:r w:rsidR="00896EA0">
        <w:t> </w:t>
      </w:r>
      <w:r w:rsidR="0039405F">
        <w:t>„</w:t>
      </w:r>
      <w:r w:rsidR="0067609C">
        <w:t>[Nosaukums A]</w:t>
      </w:r>
      <w:r w:rsidR="007F4289">
        <w:t xml:space="preserve">” un </w:t>
      </w:r>
      <w:r w:rsidR="002F405C">
        <w:t>„</w:t>
      </w:r>
      <w:r w:rsidR="0067609C">
        <w:t>[Nosaukums B]</w:t>
      </w:r>
      <w:r w:rsidR="002F405C">
        <w:t>”</w:t>
      </w:r>
      <w:r w:rsidR="007F4289">
        <w:t xml:space="preserve"> bija fiktīvs</w:t>
      </w:r>
      <w:r w:rsidR="00F01C66">
        <w:t xml:space="preserve"> un apsūdzētie </w:t>
      </w:r>
      <w:r w:rsidR="00C9091D">
        <w:t xml:space="preserve">par to </w:t>
      </w:r>
      <w:r w:rsidR="00F01C66">
        <w:t>zināj</w:t>
      </w:r>
      <w:r w:rsidR="00C9091D">
        <w:t>a</w:t>
      </w:r>
      <w:r w:rsidR="00F01C66">
        <w:t>.</w:t>
      </w:r>
    </w:p>
    <w:p w14:paraId="31FE46AF" w14:textId="5E29C53D" w:rsidR="002A700A" w:rsidRDefault="009332CA" w:rsidP="00AB54E4">
      <w:pPr>
        <w:spacing w:after="0" w:line="276" w:lineRule="auto"/>
        <w:ind w:firstLine="720"/>
        <w:jc w:val="both"/>
      </w:pPr>
      <w:r>
        <w:t>[</w:t>
      </w:r>
      <w:r w:rsidR="00C91B82">
        <w:t>4</w:t>
      </w:r>
      <w:r>
        <w:t>.</w:t>
      </w:r>
      <w:r w:rsidR="00744AA7">
        <w:t>3</w:t>
      </w:r>
      <w:r>
        <w:t xml:space="preserve">] </w:t>
      </w:r>
      <w:r w:rsidR="002A700A">
        <w:t>Apelācijas instances tiesa pieļāvusi arī</w:t>
      </w:r>
      <w:r w:rsidR="00EF4EA0">
        <w:t xml:space="preserve"> </w:t>
      </w:r>
      <w:r w:rsidR="0001425A">
        <w:t>šādus pārkāpumus.</w:t>
      </w:r>
    </w:p>
    <w:p w14:paraId="33376379" w14:textId="41FBA05F" w:rsidR="00106F43" w:rsidRPr="00C8146D" w:rsidRDefault="00E761DB" w:rsidP="00C8146D">
      <w:pPr>
        <w:spacing w:after="0" w:line="276" w:lineRule="auto"/>
        <w:ind w:firstLine="720"/>
        <w:jc w:val="both"/>
        <w:rPr>
          <w:rFonts w:cs="Times New Roman"/>
        </w:rPr>
      </w:pPr>
      <w:r>
        <w:t>[</w:t>
      </w:r>
      <w:r w:rsidR="00C91B82">
        <w:t>4</w:t>
      </w:r>
      <w:r>
        <w:t>.</w:t>
      </w:r>
      <w:r w:rsidR="00744AA7">
        <w:t>3</w:t>
      </w:r>
      <w:r>
        <w:t xml:space="preserve">.1] </w:t>
      </w:r>
      <w:r w:rsidR="00C8146D" w:rsidRPr="00C8146D">
        <w:rPr>
          <w:rFonts w:cs="Times New Roman"/>
        </w:rPr>
        <w:t>Tiesa nepamatoti atzinusi, ka 391</w:t>
      </w:r>
      <w:r w:rsidR="00D57D37">
        <w:rPr>
          <w:rFonts w:cs="Times New Roman"/>
        </w:rPr>
        <w:t> </w:t>
      </w:r>
      <w:r w:rsidR="00C8146D" w:rsidRPr="00C8146D">
        <w:rPr>
          <w:rFonts w:cs="Times New Roman"/>
        </w:rPr>
        <w:t>000</w:t>
      </w:r>
      <w:r w:rsidR="00D57D37">
        <w:rPr>
          <w:rFonts w:cs="Times New Roman"/>
        </w:rPr>
        <w:t> </w:t>
      </w:r>
      <w:r w:rsidR="00C8146D" w:rsidRPr="00C8146D">
        <w:rPr>
          <w:rFonts w:cs="Times New Roman"/>
          <w:i/>
          <w:iCs/>
        </w:rPr>
        <w:t>euro</w:t>
      </w:r>
      <w:r w:rsidR="00C8146D" w:rsidRPr="00C8146D">
        <w:rPr>
          <w:rFonts w:cs="Times New Roman"/>
        </w:rPr>
        <w:t xml:space="preserve"> izslēgšana no gada pārskata un uzņēmumu ienākuma nodokļa samaksa pēc kriminālprocesa uzsākšanas neizslēdz noziedzīgā nodarījuma </w:t>
      </w:r>
      <w:r w:rsidR="00C91B82">
        <w:rPr>
          <w:rFonts w:cs="Times New Roman"/>
        </w:rPr>
        <w:t>izdarīšanas faktu</w:t>
      </w:r>
      <w:r w:rsidR="00C8146D">
        <w:rPr>
          <w:rFonts w:cs="Times New Roman"/>
        </w:rPr>
        <w:t xml:space="preserve">. </w:t>
      </w:r>
      <w:r w:rsidR="00E74E58">
        <w:t xml:space="preserve">Pretēji tiesas secinātajam </w:t>
      </w:r>
      <w:r w:rsidR="00202601">
        <w:t>apsūdzēto rīcība, labojot pieļauto kļūdu, liecina</w:t>
      </w:r>
      <w:r w:rsidR="00E3335B">
        <w:t xml:space="preserve">, ka ne </w:t>
      </w:r>
      <w:r w:rsidR="00CC06BC">
        <w:t>[pers. A]</w:t>
      </w:r>
      <w:r w:rsidR="00E3335B">
        <w:t xml:space="preserve">, ne </w:t>
      </w:r>
      <w:r w:rsidR="00CC06BC">
        <w:t>[pers. B]</w:t>
      </w:r>
      <w:r w:rsidR="00E3335B">
        <w:t xml:space="preserve"> nebija nodom</w:t>
      </w:r>
      <w:r w:rsidR="001C0CA9">
        <w:t>a</w:t>
      </w:r>
      <w:r w:rsidR="00E3335B">
        <w:t xml:space="preserve"> izvairīties no nodokļu nomaksas.</w:t>
      </w:r>
    </w:p>
    <w:p w14:paraId="45AE7346" w14:textId="7D6BEA4D" w:rsidR="00865AD7" w:rsidRDefault="000412EC" w:rsidP="0033188A">
      <w:pPr>
        <w:spacing w:after="0" w:line="276" w:lineRule="auto"/>
        <w:ind w:firstLine="720"/>
        <w:jc w:val="both"/>
      </w:pPr>
      <w:r>
        <w:t>[</w:t>
      </w:r>
      <w:r w:rsidR="00C91B82">
        <w:t>4</w:t>
      </w:r>
      <w:r>
        <w:t>.</w:t>
      </w:r>
      <w:r w:rsidR="00744AA7">
        <w:t>3</w:t>
      </w:r>
      <w:r w:rsidR="00E761DB">
        <w:t>.2</w:t>
      </w:r>
      <w:r>
        <w:t>]</w:t>
      </w:r>
      <w:r w:rsidR="002E5D20">
        <w:t xml:space="preserve"> </w:t>
      </w:r>
      <w:r w:rsidR="00C9091D">
        <w:t>T</w:t>
      </w:r>
      <w:r w:rsidR="001C0CA9">
        <w:t>iesas</w:t>
      </w:r>
      <w:r w:rsidR="007455F2">
        <w:t xml:space="preserve"> secinājums, ka</w:t>
      </w:r>
      <w:r w:rsidR="00E22555">
        <w:t xml:space="preserve"> apsūdzēt</w:t>
      </w:r>
      <w:r w:rsidR="001E19D5">
        <w:t>ie</w:t>
      </w:r>
      <w:r w:rsidR="00E22555">
        <w:t xml:space="preserve"> </w:t>
      </w:r>
      <w:r w:rsidR="00353C1E">
        <w:t>ne</w:t>
      </w:r>
      <w:r w:rsidR="00C9091D">
        <w:t>drīkstēja</w:t>
      </w:r>
      <w:r w:rsidR="00353C1E">
        <w:t xml:space="preserve"> paļauties uz revidenta atzinumu, jo revidents nepiedalās grāmatvedības kārtošanā ikdienā un tāpēc varēja kļūdīties,</w:t>
      </w:r>
      <w:r w:rsidR="007455F2">
        <w:t xml:space="preserve"> nav pamatots, jo </w:t>
      </w:r>
      <w:r w:rsidR="00E975EA">
        <w:t>saskaņā ar Revīzijas pakalpojumu likum</w:t>
      </w:r>
      <w:r w:rsidR="0033188A">
        <w:t xml:space="preserve">a normām </w:t>
      </w:r>
      <w:r w:rsidR="00E975EA">
        <w:t xml:space="preserve">revidents ir </w:t>
      </w:r>
      <w:r w:rsidR="00F94C52">
        <w:t>kvalificēts speciālists</w:t>
      </w:r>
      <w:r w:rsidR="007D7423">
        <w:t xml:space="preserve"> un </w:t>
      </w:r>
      <w:r w:rsidR="00E761DB">
        <w:t>viņa</w:t>
      </w:r>
      <w:r w:rsidR="007D7423">
        <w:t xml:space="preserve"> piesaistīšana grāmatvedības pārbaudē liecina, ka </w:t>
      </w:r>
      <w:r w:rsidR="00865AD7">
        <w:t>apsūdzētajiem nebija nodom</w:t>
      </w:r>
      <w:r w:rsidR="001E19D5">
        <w:t>a</w:t>
      </w:r>
      <w:r w:rsidR="00865AD7">
        <w:t xml:space="preserve"> izvairīties no nodokļu nomaksas</w:t>
      </w:r>
      <w:r w:rsidR="0033188A">
        <w:t>.</w:t>
      </w:r>
    </w:p>
    <w:p w14:paraId="5452AD7C" w14:textId="296DA64B" w:rsidR="007455F2" w:rsidRDefault="007455F2" w:rsidP="0033188A">
      <w:pPr>
        <w:spacing w:after="0" w:line="276" w:lineRule="auto"/>
        <w:ind w:firstLine="720"/>
        <w:jc w:val="both"/>
      </w:pPr>
      <w:r>
        <w:t>[</w:t>
      </w:r>
      <w:r w:rsidR="00C91B82">
        <w:t>4</w:t>
      </w:r>
      <w:r>
        <w:t>.</w:t>
      </w:r>
      <w:r w:rsidR="00744AA7">
        <w:t>3</w:t>
      </w:r>
      <w:r w:rsidR="00E761DB">
        <w:t>.3</w:t>
      </w:r>
      <w:r>
        <w:t>] A</w:t>
      </w:r>
      <w:r w:rsidRPr="007455F2">
        <w:t xml:space="preserve">tzinumu par to, ka </w:t>
      </w:r>
      <w:r w:rsidR="00E761DB">
        <w:t xml:space="preserve">apsūdzētā </w:t>
      </w:r>
      <w:r w:rsidR="00CC06BC">
        <w:t>[pers. B]</w:t>
      </w:r>
      <w:r w:rsidRPr="007455F2">
        <w:t xml:space="preserve"> nedrīkstēja</w:t>
      </w:r>
      <w:r w:rsidR="00C9091D" w:rsidRPr="00C9091D">
        <w:t xml:space="preserve"> </w:t>
      </w:r>
      <w:r w:rsidR="00C9091D" w:rsidRPr="007455F2">
        <w:t>grāmatvedības dokumentos</w:t>
      </w:r>
      <w:r w:rsidR="00C9091D">
        <w:t xml:space="preserve"> iekļaut</w:t>
      </w:r>
      <w:r w:rsidRPr="007455F2">
        <w:t xml:space="preserve"> neapmaksātu rēķinu kā izdevumu apliecinošu dokumentu, tiesa nav pamatojusi ar </w:t>
      </w:r>
      <w:r w:rsidR="00404A27">
        <w:t>tiesību</w:t>
      </w:r>
      <w:r w:rsidRPr="007455F2">
        <w:t xml:space="preserve"> normu.</w:t>
      </w:r>
    </w:p>
    <w:p w14:paraId="4615D2E3" w14:textId="6D442258" w:rsidR="00BA024E" w:rsidRDefault="00865AD7" w:rsidP="00BA024E">
      <w:pPr>
        <w:spacing w:after="0" w:line="276" w:lineRule="auto"/>
        <w:ind w:firstLine="720"/>
        <w:jc w:val="both"/>
      </w:pPr>
      <w:r>
        <w:t>[</w:t>
      </w:r>
      <w:r w:rsidR="00C91B82">
        <w:t>4</w:t>
      </w:r>
      <w:r>
        <w:t>.</w:t>
      </w:r>
      <w:r w:rsidR="00744AA7">
        <w:t>3</w:t>
      </w:r>
      <w:r w:rsidR="00E761DB">
        <w:t>.4</w:t>
      </w:r>
      <w:r>
        <w:t xml:space="preserve">] </w:t>
      </w:r>
      <w:r w:rsidR="009B7E1C">
        <w:t>T</w:t>
      </w:r>
      <w:r>
        <w:t>iesa, nosakot sodu</w:t>
      </w:r>
      <w:r w:rsidR="00AB54E4">
        <w:t xml:space="preserve"> apsūdzētajai </w:t>
      </w:r>
      <w:r w:rsidR="00CC06BC">
        <w:t>[pers. B]</w:t>
      </w:r>
      <w:r>
        <w:t xml:space="preserve">, nav </w:t>
      </w:r>
      <w:r w:rsidR="00AB54E4">
        <w:t>iz</w:t>
      </w:r>
      <w:r>
        <w:t xml:space="preserve">vērtējusi ziņas par </w:t>
      </w:r>
      <w:r w:rsidR="0039405F">
        <w:t xml:space="preserve">viņas </w:t>
      </w:r>
      <w:r>
        <w:t xml:space="preserve">veselības stāvokli, tai skaitā </w:t>
      </w:r>
      <w:r w:rsidR="0033188A">
        <w:t xml:space="preserve">ziņas </w:t>
      </w:r>
      <w:r>
        <w:t>par invalidi</w:t>
      </w:r>
      <w:r w:rsidR="00ED0F9C">
        <w:t xml:space="preserve">tāti, līdz ar to </w:t>
      </w:r>
      <w:r w:rsidR="006C6EE2">
        <w:t>soda noteikšanā nav ievēro</w:t>
      </w:r>
      <w:r w:rsidR="00356059">
        <w:t>ti</w:t>
      </w:r>
      <w:r w:rsidR="006C6EE2">
        <w:t xml:space="preserve"> Krimināllikuma 35. panta nosacījum</w:t>
      </w:r>
      <w:r w:rsidR="00356059">
        <w:t>i</w:t>
      </w:r>
      <w:r w:rsidR="007455F2">
        <w:t>.</w:t>
      </w:r>
    </w:p>
    <w:p w14:paraId="441C0908" w14:textId="77777777" w:rsidR="00BA024E" w:rsidRDefault="00BA024E" w:rsidP="00BA024E">
      <w:pPr>
        <w:spacing w:after="0" w:line="276" w:lineRule="auto"/>
        <w:ind w:firstLine="720"/>
        <w:jc w:val="both"/>
      </w:pPr>
    </w:p>
    <w:p w14:paraId="42F4554E" w14:textId="66EB8D30" w:rsidR="00BC69C1" w:rsidRDefault="00BC69C1" w:rsidP="001C0CA9">
      <w:pPr>
        <w:spacing w:after="0" w:line="276" w:lineRule="auto"/>
        <w:ind w:firstLine="720"/>
        <w:jc w:val="both"/>
      </w:pPr>
      <w:r>
        <w:t>[</w:t>
      </w:r>
      <w:r w:rsidR="00C91B82">
        <w:t>5</w:t>
      </w:r>
      <w:r>
        <w:t xml:space="preserve">] </w:t>
      </w:r>
      <w:r w:rsidRPr="00BC69C1">
        <w:t>Par</w:t>
      </w:r>
      <w:r w:rsidR="00C91B82">
        <w:t xml:space="preserve"> Rīgas apgabaltiesas 2024. gada 17. aprīļa spriedumu </w:t>
      </w:r>
      <w:r w:rsidRPr="00BC69C1">
        <w:t>apsūdzē</w:t>
      </w:r>
      <w:r w:rsidR="00B53E14">
        <w:t xml:space="preserve">tais </w:t>
      </w:r>
      <w:r w:rsidR="00CC06BC">
        <w:t>[pers. A]</w:t>
      </w:r>
      <w:r w:rsidRPr="00BC69C1">
        <w:t xml:space="preserve"> </w:t>
      </w:r>
      <w:r w:rsidR="00B53E14">
        <w:t>iesniedzis</w:t>
      </w:r>
      <w:r w:rsidRPr="00BC69C1">
        <w:t xml:space="preserve"> kasācijas sūdzību, lūdz</w:t>
      </w:r>
      <w:r w:rsidR="002D4D6A">
        <w:t xml:space="preserve">ot </w:t>
      </w:r>
      <w:r w:rsidRPr="00BC69C1">
        <w:t>atcelt</w:t>
      </w:r>
      <w:r w:rsidR="002D4D6A">
        <w:t xml:space="preserve"> spriedumu</w:t>
      </w:r>
      <w:r w:rsidRPr="00BC69C1">
        <w:t xml:space="preserve"> daļā</w:t>
      </w:r>
      <w:r w:rsidR="002D4D6A">
        <w:t xml:space="preserve"> par viņa atzīšanu par vainīgu un sodīšanu</w:t>
      </w:r>
      <w:r w:rsidR="001C0CA9">
        <w:t xml:space="preserve"> </w:t>
      </w:r>
      <w:r w:rsidR="001C0CA9" w:rsidRPr="00373FBF">
        <w:t>un nosūtīt lietu jaunai izskatīšanai</w:t>
      </w:r>
      <w:r w:rsidR="001C0CA9">
        <w:t xml:space="preserve"> </w:t>
      </w:r>
      <w:r w:rsidR="002D4D6A">
        <w:t>sakarā ar tiesas pieļautiem</w:t>
      </w:r>
      <w:r w:rsidRPr="00BC69C1">
        <w:t xml:space="preserve"> Kriminālprocesa likuma 124.</w:t>
      </w:r>
      <w:r w:rsidR="0033188A">
        <w:t> </w:t>
      </w:r>
      <w:r w:rsidRPr="00BC69C1">
        <w:t>panta, 511.</w:t>
      </w:r>
      <w:r w:rsidR="0033188A">
        <w:t> </w:t>
      </w:r>
      <w:r w:rsidRPr="00BC69C1">
        <w:t>panta otrās daļas, 512.</w:t>
      </w:r>
      <w:r w:rsidR="0033188A">
        <w:t> </w:t>
      </w:r>
      <w:r w:rsidRPr="00BC69C1">
        <w:t xml:space="preserve">panta </w:t>
      </w:r>
      <w:r w:rsidR="00E74E58">
        <w:t>un</w:t>
      </w:r>
      <w:r w:rsidR="00E74E58" w:rsidRPr="00BC69C1">
        <w:t xml:space="preserve"> </w:t>
      </w:r>
      <w:r w:rsidR="00AA1409">
        <w:t xml:space="preserve">527. panta otrās daļas 1. punkta </w:t>
      </w:r>
      <w:r w:rsidR="002D4D6A" w:rsidRPr="00BC69C1">
        <w:t>pārkāpum</w:t>
      </w:r>
      <w:r w:rsidR="002D4D6A">
        <w:t>iem</w:t>
      </w:r>
      <w:r w:rsidRPr="00BC69C1">
        <w:t>.</w:t>
      </w:r>
    </w:p>
    <w:p w14:paraId="47ED4005" w14:textId="5778E205" w:rsidR="009B7E1C" w:rsidRDefault="009B7E1C" w:rsidP="009B7E1C">
      <w:pPr>
        <w:spacing w:after="0" w:line="276" w:lineRule="auto"/>
        <w:ind w:firstLine="720"/>
        <w:jc w:val="both"/>
      </w:pPr>
      <w:r>
        <w:t xml:space="preserve">Apsūdzētais </w:t>
      </w:r>
      <w:r w:rsidR="00CC06BC">
        <w:t>[pers. A]</w:t>
      </w:r>
      <w:r>
        <w:t xml:space="preserve"> kasācijas sūdzību pamatojis ar šādiem argumentiem.</w:t>
      </w:r>
    </w:p>
    <w:p w14:paraId="3FC29E78" w14:textId="7FDD76B3" w:rsidR="0090740E" w:rsidRPr="0033188A" w:rsidRDefault="00470BE5" w:rsidP="0033188A">
      <w:pPr>
        <w:spacing w:after="0" w:line="276" w:lineRule="auto"/>
        <w:ind w:firstLine="720"/>
        <w:jc w:val="both"/>
      </w:pPr>
      <w:r>
        <w:t>[</w:t>
      </w:r>
      <w:r w:rsidR="00C91B82">
        <w:t>5</w:t>
      </w:r>
      <w:r>
        <w:t>.</w:t>
      </w:r>
      <w:r w:rsidR="0090740E">
        <w:t>1</w:t>
      </w:r>
      <w:r>
        <w:t xml:space="preserve">] </w:t>
      </w:r>
      <w:r w:rsidR="00356059">
        <w:t>T</w:t>
      </w:r>
      <w:r w:rsidR="00F910A3">
        <w:t>iesa</w:t>
      </w:r>
      <w:r w:rsidR="0033188A">
        <w:t xml:space="preserve">, konstatējot </w:t>
      </w:r>
      <w:r w:rsidR="00CC06BC">
        <w:t>[pers. A]</w:t>
      </w:r>
      <w:r w:rsidR="0033188A">
        <w:t xml:space="preserve"> </w:t>
      </w:r>
      <w:r w:rsidR="00094DDD">
        <w:t xml:space="preserve">darbībās </w:t>
      </w:r>
      <w:r w:rsidR="002D4D6A">
        <w:t xml:space="preserve">Krimināllikuma 218. panta otrajā daļā paredzētā noziedzīgā nodarījuma </w:t>
      </w:r>
      <w:r w:rsidR="00404A27">
        <w:t xml:space="preserve">sastāva </w:t>
      </w:r>
      <w:r w:rsidR="0033188A">
        <w:t xml:space="preserve">subjektīvo pusi, </w:t>
      </w:r>
      <w:r w:rsidR="00F910A3">
        <w:t xml:space="preserve">nav </w:t>
      </w:r>
      <w:r w:rsidR="00421A36">
        <w:t xml:space="preserve">atspēkojusi </w:t>
      </w:r>
      <w:r w:rsidR="00421A36" w:rsidRPr="0033188A">
        <w:rPr>
          <w:color w:val="000000" w:themeColor="text1"/>
        </w:rPr>
        <w:t xml:space="preserve">aizstāvības argumentu par </w:t>
      </w:r>
      <w:r w:rsidR="00421A36" w:rsidRPr="00421A36">
        <w:rPr>
          <w:color w:val="000000" w:themeColor="text1"/>
        </w:rPr>
        <w:t xml:space="preserve">to, ka </w:t>
      </w:r>
      <w:r w:rsidR="0083351F">
        <w:rPr>
          <w:color w:val="000000" w:themeColor="text1"/>
        </w:rPr>
        <w:t xml:space="preserve">apsūdzētais, rūpējoties par pareizu nodokļu nomaksu, </w:t>
      </w:r>
      <w:r w:rsidR="006140BC">
        <w:rPr>
          <w:color w:val="000000" w:themeColor="text1"/>
        </w:rPr>
        <w:t xml:space="preserve">algoja grāmatvedi, kā arī piesaistīja revidentu, kas liecina, ka </w:t>
      </w:r>
      <w:r w:rsidR="001C0CA9">
        <w:rPr>
          <w:color w:val="000000" w:themeColor="text1"/>
        </w:rPr>
        <w:t>viņam</w:t>
      </w:r>
      <w:r w:rsidR="006140BC">
        <w:rPr>
          <w:color w:val="000000" w:themeColor="text1"/>
        </w:rPr>
        <w:t xml:space="preserve"> nebija nodoma</w:t>
      </w:r>
      <w:r w:rsidR="00501EB2">
        <w:rPr>
          <w:color w:val="000000" w:themeColor="text1"/>
        </w:rPr>
        <w:t xml:space="preserve"> izvairīties no nodokļ</w:t>
      </w:r>
      <w:r w:rsidR="00932866">
        <w:rPr>
          <w:color w:val="000000" w:themeColor="text1"/>
        </w:rPr>
        <w:t xml:space="preserve">u </w:t>
      </w:r>
      <w:r w:rsidR="009B7E1C">
        <w:rPr>
          <w:color w:val="000000" w:themeColor="text1"/>
        </w:rPr>
        <w:t>nomaksas</w:t>
      </w:r>
      <w:r w:rsidR="00932866">
        <w:rPr>
          <w:color w:val="000000" w:themeColor="text1"/>
        </w:rPr>
        <w:t>.</w:t>
      </w:r>
    </w:p>
    <w:p w14:paraId="5852463A" w14:textId="7A6B637D" w:rsidR="00881C5D" w:rsidRDefault="00932866" w:rsidP="00881C5D">
      <w:pPr>
        <w:spacing w:after="0" w:line="276" w:lineRule="auto"/>
        <w:ind w:firstLine="720"/>
        <w:jc w:val="both"/>
        <w:rPr>
          <w:color w:val="000000" w:themeColor="text1"/>
        </w:rPr>
      </w:pPr>
      <w:r>
        <w:rPr>
          <w:color w:val="000000" w:themeColor="text1"/>
        </w:rPr>
        <w:lastRenderedPageBreak/>
        <w:t>[</w:t>
      </w:r>
      <w:r w:rsidR="00C91B82">
        <w:rPr>
          <w:color w:val="000000" w:themeColor="text1"/>
        </w:rPr>
        <w:t>5</w:t>
      </w:r>
      <w:r>
        <w:rPr>
          <w:color w:val="000000" w:themeColor="text1"/>
        </w:rPr>
        <w:t xml:space="preserve">.2] </w:t>
      </w:r>
      <w:r w:rsidR="00E761DB">
        <w:rPr>
          <w:color w:val="000000" w:themeColor="text1"/>
        </w:rPr>
        <w:t>T</w:t>
      </w:r>
      <w:r w:rsidR="001C0CA9">
        <w:rPr>
          <w:color w:val="000000" w:themeColor="text1"/>
        </w:rPr>
        <w:t>iesa</w:t>
      </w:r>
      <w:r>
        <w:rPr>
          <w:color w:val="000000" w:themeColor="text1"/>
        </w:rPr>
        <w:t xml:space="preserve"> nav vērtējusi </w:t>
      </w:r>
      <w:r w:rsidR="00881C5D">
        <w:rPr>
          <w:color w:val="000000" w:themeColor="text1"/>
        </w:rPr>
        <w:t>apsūdzētā izvirzīto argumentu</w:t>
      </w:r>
      <w:r w:rsidR="0088751F">
        <w:rPr>
          <w:color w:val="000000" w:themeColor="text1"/>
        </w:rPr>
        <w:t xml:space="preserve">, ka </w:t>
      </w:r>
      <w:r w:rsidR="00881C5D">
        <w:rPr>
          <w:color w:val="000000" w:themeColor="text1"/>
        </w:rPr>
        <w:t>viņš ir</w:t>
      </w:r>
      <w:r w:rsidR="002D4D6A">
        <w:rPr>
          <w:color w:val="000000" w:themeColor="text1"/>
        </w:rPr>
        <w:t xml:space="preserve"> paļāv</w:t>
      </w:r>
      <w:r w:rsidR="000274A1">
        <w:rPr>
          <w:color w:val="000000" w:themeColor="text1"/>
        </w:rPr>
        <w:t>ie</w:t>
      </w:r>
      <w:r w:rsidR="002D4D6A">
        <w:rPr>
          <w:color w:val="000000" w:themeColor="text1"/>
        </w:rPr>
        <w:t>s uz grāmatvedi</w:t>
      </w:r>
      <w:r w:rsidR="00881C5D">
        <w:rPr>
          <w:color w:val="000000" w:themeColor="text1"/>
        </w:rPr>
        <w:t xml:space="preserve"> un</w:t>
      </w:r>
      <w:r w:rsidR="002D4D6A">
        <w:rPr>
          <w:color w:val="000000" w:themeColor="text1"/>
        </w:rPr>
        <w:t xml:space="preserve"> revidenta atzinumā iekļauto informāciju, jo</w:t>
      </w:r>
      <w:r w:rsidR="0088751F">
        <w:rPr>
          <w:color w:val="000000" w:themeColor="text1"/>
        </w:rPr>
        <w:t xml:space="preserve"> nepārvalda latviešu valodu, kā arī nepārzina grāmatvedības noteikumus Latvijā</w:t>
      </w:r>
      <w:r w:rsidR="00881C5D">
        <w:rPr>
          <w:color w:val="000000" w:themeColor="text1"/>
        </w:rPr>
        <w:t>.</w:t>
      </w:r>
      <w:r w:rsidR="00881C5D" w:rsidRPr="00881C5D">
        <w:rPr>
          <w:color w:val="000000" w:themeColor="text1"/>
        </w:rPr>
        <w:t xml:space="preserve"> Tāpat spriedumā nav pamatots, kādēļ apsūdzētā paļaušanās šādos apstākļos būtu uzskatāma par nepamatotu.</w:t>
      </w:r>
    </w:p>
    <w:p w14:paraId="7437A40D" w14:textId="6D73867C" w:rsidR="00140342" w:rsidRDefault="005D7032" w:rsidP="00140342">
      <w:pPr>
        <w:spacing w:after="0" w:line="276" w:lineRule="auto"/>
        <w:ind w:firstLine="720"/>
        <w:jc w:val="both"/>
        <w:rPr>
          <w:color w:val="000000" w:themeColor="text1"/>
        </w:rPr>
      </w:pPr>
      <w:r>
        <w:rPr>
          <w:color w:val="000000" w:themeColor="text1"/>
        </w:rPr>
        <w:t>[</w:t>
      </w:r>
      <w:r w:rsidR="00C91B82">
        <w:rPr>
          <w:color w:val="000000" w:themeColor="text1"/>
        </w:rPr>
        <w:t>5</w:t>
      </w:r>
      <w:r>
        <w:rPr>
          <w:color w:val="000000" w:themeColor="text1"/>
        </w:rPr>
        <w:t xml:space="preserve">.3] </w:t>
      </w:r>
      <w:r w:rsidR="00140342" w:rsidRPr="00140342">
        <w:rPr>
          <w:color w:val="000000" w:themeColor="text1"/>
        </w:rPr>
        <w:t>Nosakot sodu apsūdzētajam, tiesa nav ievērojusi Krimināllikuma 46.</w:t>
      </w:r>
      <w:r w:rsidR="00896EA0">
        <w:rPr>
          <w:color w:val="000000" w:themeColor="text1"/>
        </w:rPr>
        <w:t> </w:t>
      </w:r>
      <w:r w:rsidR="00140342" w:rsidRPr="00140342">
        <w:rPr>
          <w:color w:val="000000" w:themeColor="text1"/>
        </w:rPr>
        <w:t xml:space="preserve">panta otrās un trešās daļas prasības, jo nav izvērtējusi apsūdzētā norādīto par viņa apgādībā esošajiem nepilngadīgajiem bērniem, lai gan šim apstāklim ir </w:t>
      </w:r>
      <w:r w:rsidR="00140342">
        <w:rPr>
          <w:color w:val="000000" w:themeColor="text1"/>
        </w:rPr>
        <w:t xml:space="preserve">būtiska </w:t>
      </w:r>
      <w:r w:rsidR="00140342" w:rsidRPr="00140342">
        <w:rPr>
          <w:color w:val="000000" w:themeColor="text1"/>
        </w:rPr>
        <w:t>nozīme soda individualizācijā.</w:t>
      </w:r>
    </w:p>
    <w:bookmarkEnd w:id="2"/>
    <w:p w14:paraId="27439B71" w14:textId="77777777" w:rsidR="0090740E" w:rsidRDefault="0090740E" w:rsidP="001F56D0">
      <w:pPr>
        <w:spacing w:after="0" w:line="276" w:lineRule="auto"/>
        <w:ind w:firstLine="720"/>
        <w:jc w:val="both"/>
      </w:pPr>
    </w:p>
    <w:p w14:paraId="3F20E672" w14:textId="1BCD9BF1" w:rsidR="0090740E" w:rsidRDefault="001A0EF0" w:rsidP="001F56D0">
      <w:pPr>
        <w:spacing w:after="0" w:line="276" w:lineRule="auto"/>
        <w:ind w:firstLine="720"/>
        <w:jc w:val="center"/>
        <w:rPr>
          <w:b/>
          <w:bCs/>
        </w:rPr>
      </w:pPr>
      <w:r w:rsidRPr="001A0EF0">
        <w:rPr>
          <w:b/>
          <w:bCs/>
        </w:rPr>
        <w:t>Motīvu daļa</w:t>
      </w:r>
    </w:p>
    <w:p w14:paraId="7F77600B" w14:textId="77777777" w:rsidR="001D3A43" w:rsidRPr="001A0EF0" w:rsidRDefault="001D3A43" w:rsidP="001F56D0">
      <w:pPr>
        <w:spacing w:after="0" w:line="276" w:lineRule="auto"/>
        <w:ind w:firstLine="720"/>
        <w:jc w:val="both"/>
        <w:rPr>
          <w:b/>
          <w:bCs/>
        </w:rPr>
      </w:pPr>
    </w:p>
    <w:p w14:paraId="41AB9553" w14:textId="69E66EE5" w:rsidR="00D048B4" w:rsidRDefault="001A0EF0" w:rsidP="00D048B4">
      <w:pPr>
        <w:spacing w:after="0" w:line="276" w:lineRule="auto"/>
        <w:ind w:firstLine="720"/>
        <w:jc w:val="both"/>
      </w:pPr>
      <w:r w:rsidRPr="00E02A94">
        <w:t>[</w:t>
      </w:r>
      <w:r w:rsidR="003047C8">
        <w:t>6</w:t>
      </w:r>
      <w:r w:rsidRPr="00E02A94">
        <w:t xml:space="preserve">] </w:t>
      </w:r>
      <w:bookmarkStart w:id="4" w:name="_Hlk202971662"/>
      <w:r w:rsidR="00E02A94" w:rsidRPr="00E02A94">
        <w:t>Senāts atzīst, ka izskatāmajā lietā</w:t>
      </w:r>
      <w:r w:rsidR="00844341">
        <w:t xml:space="preserve"> kasācijas instances tiesas kompetencē</w:t>
      </w:r>
      <w:r w:rsidR="00E02A94" w:rsidRPr="00E02A94">
        <w:t xml:space="preserve"> ir </w:t>
      </w:r>
      <w:bookmarkEnd w:id="4"/>
      <w:r w:rsidR="008A22CC">
        <w:t>sniegt atbildi</w:t>
      </w:r>
      <w:r w:rsidR="00E02A94" w:rsidRPr="00E02A94">
        <w:t>: 1)</w:t>
      </w:r>
      <w:r w:rsidR="00896EA0">
        <w:t> </w:t>
      </w:r>
      <w:r w:rsidR="00E02A94" w:rsidRPr="00E02A94">
        <w:t xml:space="preserve">vai </w:t>
      </w:r>
      <w:r w:rsidR="00CC06BC">
        <w:t>[pers. A]</w:t>
      </w:r>
      <w:r w:rsidR="00E02A94" w:rsidRPr="00E02A94">
        <w:t xml:space="preserve"> un </w:t>
      </w:r>
      <w:r w:rsidR="00CC06BC">
        <w:t>[pers. B]</w:t>
      </w:r>
      <w:r w:rsidR="00E02A94" w:rsidRPr="00E02A94">
        <w:t xml:space="preserve"> celtās apsūdzības atbilst Kriminālprocesa likuma 405. panta</w:t>
      </w:r>
      <w:r w:rsidR="00C94D37">
        <w:t xml:space="preserve"> pirmās daļas</w:t>
      </w:r>
      <w:r w:rsidR="00E02A94" w:rsidRPr="00E02A94">
        <w:t xml:space="preserve"> prasībām; 2)</w:t>
      </w:r>
      <w:r w:rsidR="00896EA0">
        <w:t> </w:t>
      </w:r>
      <w:r w:rsidR="00D625D2">
        <w:t>v</w:t>
      </w:r>
      <w:r w:rsidR="00D625D2" w:rsidRPr="00D625D2">
        <w:t>ai</w:t>
      </w:r>
      <w:r w:rsidR="00D62DCD">
        <w:t xml:space="preserve"> </w:t>
      </w:r>
      <w:r w:rsidR="00D62DCD" w:rsidRPr="00D62DCD">
        <w:t>apelācijas instances tiesa</w:t>
      </w:r>
      <w:r w:rsidR="00D048B4">
        <w:t xml:space="preserve">, konstatējot, ka </w:t>
      </w:r>
      <w:r w:rsidR="00CC06BC">
        <w:t>[pers. A]</w:t>
      </w:r>
      <w:r w:rsidR="0001425A">
        <w:t xml:space="preserve"> tīši</w:t>
      </w:r>
      <w:r w:rsidR="00C94D37">
        <w:t xml:space="preserve"> izvairīj</w:t>
      </w:r>
      <w:r w:rsidR="00EF4EA0">
        <w:t>i</w:t>
      </w:r>
      <w:r w:rsidR="00C94D37">
        <w:t>es</w:t>
      </w:r>
      <w:r w:rsidR="00604E66">
        <w:t xml:space="preserve"> </w:t>
      </w:r>
      <w:r w:rsidR="00D048B4">
        <w:t>no nodokļu nomaksas</w:t>
      </w:r>
      <w:r w:rsidR="0001425A">
        <w:t xml:space="preserve">, bet </w:t>
      </w:r>
      <w:r w:rsidR="00CC06BC">
        <w:t>[pers. B]</w:t>
      </w:r>
      <w:r w:rsidR="0001425A">
        <w:t xml:space="preserve"> tīši atbalstījusi</w:t>
      </w:r>
      <w:r w:rsidR="003047C8">
        <w:t xml:space="preserve"> šo noziegumu</w:t>
      </w:r>
      <w:r w:rsidR="00D048B4">
        <w:t>, ir</w:t>
      </w:r>
      <w:r w:rsidR="00D62DCD" w:rsidRPr="00D62DCD">
        <w:t xml:space="preserve"> </w:t>
      </w:r>
      <w:r w:rsidR="00D048B4" w:rsidRPr="00D048B4">
        <w:t xml:space="preserve">pieļāvusi Kriminālprocesa likuma 511. panta otrās daļas un 564. panta ceturtās </w:t>
      </w:r>
      <w:r w:rsidR="00CB44BC">
        <w:t xml:space="preserve">un astotās </w:t>
      </w:r>
      <w:r w:rsidR="00D048B4" w:rsidRPr="00D048B4">
        <w:t>daļas pārkāpumus.</w:t>
      </w:r>
    </w:p>
    <w:p w14:paraId="2A685298" w14:textId="77777777" w:rsidR="00C94D37" w:rsidRDefault="00C94D37" w:rsidP="00466E5D">
      <w:pPr>
        <w:spacing w:after="0" w:line="276" w:lineRule="auto"/>
        <w:ind w:firstLine="720"/>
        <w:jc w:val="center"/>
        <w:rPr>
          <w:b/>
          <w:bCs/>
        </w:rPr>
      </w:pPr>
    </w:p>
    <w:p w14:paraId="6898A5A7" w14:textId="1992D390" w:rsidR="00466E5D" w:rsidRPr="00B33787" w:rsidRDefault="00466E5D" w:rsidP="00466E5D">
      <w:pPr>
        <w:spacing w:after="0" w:line="276" w:lineRule="auto"/>
        <w:ind w:firstLine="720"/>
        <w:jc w:val="center"/>
        <w:rPr>
          <w:b/>
          <w:bCs/>
        </w:rPr>
      </w:pPr>
      <w:r w:rsidRPr="00B33787">
        <w:rPr>
          <w:b/>
          <w:bCs/>
        </w:rPr>
        <w:t>I</w:t>
      </w:r>
    </w:p>
    <w:p w14:paraId="7619868A" w14:textId="61EBEA11" w:rsidR="00466E5D" w:rsidRPr="00466E5D" w:rsidRDefault="00466E5D" w:rsidP="00466E5D">
      <w:pPr>
        <w:spacing w:after="0" w:line="276" w:lineRule="auto"/>
        <w:ind w:firstLine="720"/>
        <w:jc w:val="center"/>
        <w:rPr>
          <w:i/>
          <w:iCs/>
        </w:rPr>
      </w:pPr>
      <w:r w:rsidRPr="00466E5D">
        <w:rPr>
          <w:i/>
          <w:iCs/>
        </w:rPr>
        <w:t>Par apsūdzības atbilstību Kriminālprocesa likuma 405.</w:t>
      </w:r>
      <w:r>
        <w:rPr>
          <w:i/>
          <w:iCs/>
        </w:rPr>
        <w:t> </w:t>
      </w:r>
      <w:r w:rsidRPr="00466E5D">
        <w:rPr>
          <w:i/>
          <w:iCs/>
        </w:rPr>
        <w:t>panta prasībām</w:t>
      </w:r>
    </w:p>
    <w:p w14:paraId="1BF23843" w14:textId="77777777" w:rsidR="00466E5D" w:rsidRDefault="00466E5D" w:rsidP="00466E5D">
      <w:pPr>
        <w:spacing w:after="0" w:line="276" w:lineRule="auto"/>
        <w:ind w:firstLine="720"/>
        <w:jc w:val="both"/>
      </w:pPr>
    </w:p>
    <w:p w14:paraId="51D08C6E" w14:textId="1BC0EF2A" w:rsidR="00984F93" w:rsidRDefault="005E1970" w:rsidP="00466E5D">
      <w:pPr>
        <w:spacing w:after="0" w:line="276" w:lineRule="auto"/>
        <w:ind w:firstLine="720"/>
        <w:jc w:val="both"/>
      </w:pPr>
      <w:r w:rsidRPr="00E562F6">
        <w:rPr>
          <w:color w:val="000000" w:themeColor="text1"/>
        </w:rPr>
        <w:t>[</w:t>
      </w:r>
      <w:r w:rsidR="003047C8">
        <w:rPr>
          <w:color w:val="000000" w:themeColor="text1"/>
        </w:rPr>
        <w:t>7</w:t>
      </w:r>
      <w:r w:rsidRPr="00E562F6">
        <w:rPr>
          <w:color w:val="000000" w:themeColor="text1"/>
        </w:rPr>
        <w:t xml:space="preserve">] </w:t>
      </w:r>
      <w:r w:rsidR="0049325D">
        <w:t>V</w:t>
      </w:r>
      <w:r w:rsidR="00984F93">
        <w:t>is</w:t>
      </w:r>
      <w:r w:rsidR="0049325D">
        <w:t>u</w:t>
      </w:r>
      <w:r w:rsidR="00984F93">
        <w:t>pirms</w:t>
      </w:r>
      <w:r w:rsidR="0049325D">
        <w:t xml:space="preserve"> Senāts</w:t>
      </w:r>
      <w:r w:rsidR="00984F93">
        <w:t xml:space="preserve"> konstatē, ka a</w:t>
      </w:r>
      <w:r w:rsidR="00984F93" w:rsidRPr="002E3957">
        <w:t>psūdzēto aizstāvja kasācijas sūdzībā i</w:t>
      </w:r>
      <w:r w:rsidR="005B542B">
        <w:t>zteiktais</w:t>
      </w:r>
      <w:r w:rsidR="003C122A">
        <w:t xml:space="preserve"> apgalvojums par to</w:t>
      </w:r>
      <w:r w:rsidR="00984F93" w:rsidRPr="002E3957">
        <w:t xml:space="preserve">, ka tiesa </w:t>
      </w:r>
      <w:r w:rsidR="003C122A">
        <w:t xml:space="preserve">ir </w:t>
      </w:r>
      <w:r w:rsidR="00984F93" w:rsidRPr="002E3957">
        <w:t>konstatējusi no apsūdzīb</w:t>
      </w:r>
      <w:r w:rsidR="00984F93">
        <w:t>ām</w:t>
      </w:r>
      <w:r w:rsidR="00984F93" w:rsidRPr="002E3957">
        <w:t xml:space="preserve"> atšķirīgus</w:t>
      </w:r>
      <w:r w:rsidR="00984F93">
        <w:t xml:space="preserve"> nozie</w:t>
      </w:r>
      <w:r w:rsidR="00744AA7">
        <w:t>guma</w:t>
      </w:r>
      <w:r w:rsidR="00984F93">
        <w:t xml:space="preserve"> faktiskos</w:t>
      </w:r>
      <w:r w:rsidR="00984F93" w:rsidRPr="002E3957">
        <w:t xml:space="preserve"> apstākļu</w:t>
      </w:r>
      <w:r w:rsidR="00984F93">
        <w:t xml:space="preserve">s, </w:t>
      </w:r>
      <w:r w:rsidR="00984F93" w:rsidRPr="002E3957">
        <w:t xml:space="preserve">nav </w:t>
      </w:r>
      <w:r w:rsidR="000274A1" w:rsidRPr="002E3957">
        <w:t>pamatot</w:t>
      </w:r>
      <w:r w:rsidR="000274A1">
        <w:t>s</w:t>
      </w:r>
      <w:r w:rsidR="00984F93" w:rsidRPr="002E3957">
        <w:t xml:space="preserve">. </w:t>
      </w:r>
    </w:p>
    <w:p w14:paraId="48A834CC" w14:textId="1B13CFE1" w:rsidR="00984F93" w:rsidRDefault="003C122A" w:rsidP="00984F93">
      <w:pPr>
        <w:spacing w:after="0" w:line="276" w:lineRule="auto"/>
        <w:ind w:firstLine="720"/>
        <w:jc w:val="both"/>
      </w:pPr>
      <w:r>
        <w:t>Apelācijas instances t</w:t>
      </w:r>
      <w:r w:rsidR="00984F93" w:rsidRPr="008D0310">
        <w:t>iesas par pierādītu atzīt</w:t>
      </w:r>
      <w:r w:rsidR="00984F93">
        <w:t>ais</w:t>
      </w:r>
      <w:r w:rsidR="00984F93" w:rsidRPr="008D0310">
        <w:t xml:space="preserve"> nozie</w:t>
      </w:r>
      <w:r w:rsidR="00744AA7">
        <w:t>gums</w:t>
      </w:r>
      <w:r w:rsidR="00984F93" w:rsidRPr="008D0310">
        <w:t xml:space="preserve"> </w:t>
      </w:r>
      <w:r w:rsidR="00F562EB">
        <w:t xml:space="preserve">kopumā </w:t>
      </w:r>
      <w:r w:rsidR="00984F93" w:rsidRPr="008D0310">
        <w:t xml:space="preserve">atbilst </w:t>
      </w:r>
      <w:r>
        <w:t xml:space="preserve">abās </w:t>
      </w:r>
      <w:r w:rsidR="00984F93" w:rsidRPr="008D0310">
        <w:t>apsūdzībās</w:t>
      </w:r>
      <w:r w:rsidR="009D7C52">
        <w:t xml:space="preserve"> </w:t>
      </w:r>
      <w:r w:rsidR="00984F93" w:rsidRPr="008D0310">
        <w:t>norādītajiem nozie</w:t>
      </w:r>
      <w:r w:rsidR="00744AA7">
        <w:t>guma</w:t>
      </w:r>
      <w:r w:rsidR="00984F93" w:rsidRPr="008D0310">
        <w:t xml:space="preserve"> faktiskajiem apstākļiem un juridiskajai kvalifikācijai</w:t>
      </w:r>
      <w:r w:rsidR="00984F93">
        <w:t>.</w:t>
      </w:r>
    </w:p>
    <w:p w14:paraId="2F74D6F3" w14:textId="1AC134CE" w:rsidR="00D87C9A" w:rsidRDefault="00D87C9A" w:rsidP="00984F93">
      <w:pPr>
        <w:spacing w:after="0" w:line="276" w:lineRule="auto"/>
        <w:ind w:firstLine="720"/>
        <w:jc w:val="both"/>
        <w:rPr>
          <w:rFonts w:cs="Times New Roman"/>
          <w:spacing w:val="-2"/>
        </w:rPr>
      </w:pPr>
      <w:r>
        <w:t xml:space="preserve">Papildus Senāts atzīmē, ka </w:t>
      </w:r>
      <w:r w:rsidRPr="005F3669">
        <w:rPr>
          <w:rFonts w:cs="Times New Roman"/>
        </w:rPr>
        <w:t>tiesas sprieduma motīvu daļā izteiktie atzinumi nav pierādītā noziedzīgā nodarījuma apraksts Kriminālprocesa likuma 527.</w:t>
      </w:r>
      <w:r>
        <w:rPr>
          <w:rFonts w:cs="Times New Roman"/>
        </w:rPr>
        <w:t> </w:t>
      </w:r>
      <w:r w:rsidRPr="005F3669">
        <w:rPr>
          <w:rFonts w:cs="Times New Roman"/>
        </w:rPr>
        <w:t xml:space="preserve">panta pirmās daļas izpratnē. Tiesas sprieduma motīvu daļā tiesas izteiktie motīvi un atzinumi nepaplašina pret personu celto apsūdzību. </w:t>
      </w:r>
      <w:r w:rsidR="000B24EE">
        <w:rPr>
          <w:rFonts w:cs="Times New Roman"/>
        </w:rPr>
        <w:t>Tos</w:t>
      </w:r>
      <w:r w:rsidRPr="005F3669">
        <w:rPr>
          <w:rFonts w:cs="Times New Roman"/>
        </w:rPr>
        <w:t xml:space="preserve"> var vērtēt pēc būtības, cik tie ir pamatoti un attiecināmi uz konkrētās apsūdzības pierādīšanu, bet nevar tos vērtēt kā daļu no apsūdzības (</w:t>
      </w:r>
      <w:bookmarkStart w:id="5" w:name="_Hlk217306053"/>
      <w:r w:rsidRPr="000B24EE">
        <w:rPr>
          <w:rFonts w:cs="Times New Roman"/>
          <w:i/>
          <w:iCs/>
        </w:rPr>
        <w:t>Senāta 2014. gada 6. novembra lēmums lietā Nr. SKK-505/2014,</w:t>
      </w:r>
      <w:r w:rsidR="000B24EE">
        <w:rPr>
          <w:i/>
          <w:iCs/>
          <w:szCs w:val="28"/>
        </w:rPr>
        <w:t xml:space="preserve"> </w:t>
      </w:r>
      <w:r w:rsidR="000B24EE" w:rsidRPr="000B24EE">
        <w:rPr>
          <w:i/>
          <w:iCs/>
          <w:spacing w:val="-2"/>
        </w:rPr>
        <w:t>11240010812, 2019.</w:t>
      </w:r>
      <w:r w:rsidR="000B24EE">
        <w:rPr>
          <w:i/>
          <w:iCs/>
          <w:spacing w:val="-2"/>
        </w:rPr>
        <w:t> </w:t>
      </w:r>
      <w:r w:rsidR="000B24EE" w:rsidRPr="000B24EE">
        <w:rPr>
          <w:i/>
          <w:iCs/>
          <w:spacing w:val="-2"/>
        </w:rPr>
        <w:t>gada 25.</w:t>
      </w:r>
      <w:r w:rsidR="000B24EE">
        <w:rPr>
          <w:i/>
          <w:iCs/>
          <w:spacing w:val="-2"/>
        </w:rPr>
        <w:t> </w:t>
      </w:r>
      <w:r w:rsidR="000B24EE" w:rsidRPr="000B24EE">
        <w:rPr>
          <w:i/>
          <w:iCs/>
          <w:spacing w:val="-2"/>
        </w:rPr>
        <w:t>aprīļa lēmuma lietā Nr.</w:t>
      </w:r>
      <w:r w:rsidR="000B24EE">
        <w:rPr>
          <w:i/>
          <w:iCs/>
          <w:spacing w:val="-2"/>
        </w:rPr>
        <w:t> </w:t>
      </w:r>
      <w:r w:rsidR="000B24EE" w:rsidRPr="000B24EE">
        <w:rPr>
          <w:i/>
          <w:iCs/>
          <w:spacing w:val="-2"/>
        </w:rPr>
        <w:t xml:space="preserve">SKK-33/2025, </w:t>
      </w:r>
      <w:hyperlink r:id="rId9" w:history="1">
        <w:r w:rsidR="000B24EE" w:rsidRPr="000B24EE">
          <w:rPr>
            <w:rStyle w:val="Hyperlink"/>
            <w:i/>
            <w:iCs/>
            <w:shd w:val="clear" w:color="auto" w:fill="FFFFFF"/>
          </w:rPr>
          <w:t>ECLI:LV:AT:2019:0425.12812000713.2.L</w:t>
        </w:r>
      </w:hyperlink>
      <w:r w:rsidR="000B24EE" w:rsidRPr="000B24EE">
        <w:rPr>
          <w:i/>
          <w:iCs/>
          <w:color w:val="000000"/>
          <w:shd w:val="clear" w:color="auto" w:fill="FFFFFF"/>
        </w:rPr>
        <w:t xml:space="preserve">, </w:t>
      </w:r>
      <w:r w:rsidR="000B24EE" w:rsidRPr="000B24EE">
        <w:rPr>
          <w:i/>
          <w:iCs/>
          <w:spacing w:val="-2"/>
        </w:rPr>
        <w:t>21</w:t>
      </w:r>
      <w:bookmarkEnd w:id="5"/>
      <w:r w:rsidR="000B24EE" w:rsidRPr="000B24EE">
        <w:rPr>
          <w:i/>
          <w:iCs/>
          <w:spacing w:val="-2"/>
        </w:rPr>
        <w:t>.</w:t>
      </w:r>
      <w:r w:rsidR="000B24EE">
        <w:rPr>
          <w:i/>
          <w:iCs/>
          <w:spacing w:val="-2"/>
        </w:rPr>
        <w:t> </w:t>
      </w:r>
      <w:r w:rsidR="000B24EE" w:rsidRPr="000B24EE">
        <w:rPr>
          <w:i/>
          <w:iCs/>
          <w:spacing w:val="-2"/>
        </w:rPr>
        <w:t>punkts</w:t>
      </w:r>
      <w:r w:rsidR="000B24EE">
        <w:rPr>
          <w:rFonts w:cs="Times New Roman"/>
        </w:rPr>
        <w:t>)</w:t>
      </w:r>
      <w:r w:rsidRPr="005F3669">
        <w:rPr>
          <w:rFonts w:cs="Times New Roman"/>
          <w:spacing w:val="-2"/>
        </w:rPr>
        <w:t>.</w:t>
      </w:r>
    </w:p>
    <w:p w14:paraId="5E17FF32" w14:textId="6EFE0C63" w:rsidR="003C122A" w:rsidRDefault="00E82926" w:rsidP="003C122A">
      <w:pPr>
        <w:spacing w:after="0" w:line="276" w:lineRule="auto"/>
        <w:ind w:firstLine="720"/>
        <w:jc w:val="both"/>
      </w:pPr>
      <w:r>
        <w:t>[</w:t>
      </w:r>
      <w:r w:rsidR="003047C8">
        <w:t>7</w:t>
      </w:r>
      <w:r>
        <w:t xml:space="preserve">.1] </w:t>
      </w:r>
      <w:r w:rsidR="003C122A" w:rsidRPr="003C122A">
        <w:t>Pārbaudot pārējos aizstāvja kasācijas sūdzībā norādītos argumentus, Senāts atzīst, ka apsūdzībās, aprakstot nozie</w:t>
      </w:r>
      <w:r w:rsidR="00744AA7">
        <w:t>guma</w:t>
      </w:r>
      <w:r w:rsidR="003C122A" w:rsidRPr="003C122A">
        <w:t xml:space="preserve"> objektīvo pusi, pieļauta nepilnība un līdz ar to pārkāpts Kriminālprocesa likuma 405.</w:t>
      </w:r>
      <w:r w:rsidR="00B16CB4">
        <w:t> </w:t>
      </w:r>
      <w:r w:rsidR="003C122A" w:rsidRPr="003C122A">
        <w:t>panta pirmās daļas 2.</w:t>
      </w:r>
      <w:r w:rsidR="003C122A">
        <w:t> </w:t>
      </w:r>
      <w:r w:rsidR="003C122A" w:rsidRPr="003C122A">
        <w:t>punkts. Tomēr šī nepilnība nav ietekmējusi apsūdzēt</w:t>
      </w:r>
      <w:r w:rsidR="003047C8">
        <w:t>o</w:t>
      </w:r>
      <w:r w:rsidR="003C122A" w:rsidRPr="003C122A">
        <w:t xml:space="preserve"> tiesības uz aizstāvību.</w:t>
      </w:r>
    </w:p>
    <w:p w14:paraId="77178FAB" w14:textId="2E5161AE" w:rsidR="000B24EE" w:rsidRDefault="000B24EE" w:rsidP="000B24EE">
      <w:pPr>
        <w:spacing w:after="0" w:line="276" w:lineRule="auto"/>
        <w:ind w:firstLine="720"/>
        <w:jc w:val="both"/>
      </w:pPr>
      <w:r w:rsidRPr="000B24EE">
        <w:t xml:space="preserve">Pamatojot </w:t>
      </w:r>
      <w:r w:rsidR="005B542B">
        <w:t>šo atzinumu</w:t>
      </w:r>
      <w:r w:rsidRPr="000B24EE">
        <w:t xml:space="preserve">, Senāts turpmāk izklāstīs vispārīgās prasības apsūdzības saturam un </w:t>
      </w:r>
      <w:r>
        <w:t>izskaidros</w:t>
      </w:r>
      <w:r w:rsidRPr="000B24EE">
        <w:t>, kā konstatētā nepilnība</w:t>
      </w:r>
      <w:r w:rsidR="00A6533D">
        <w:t xml:space="preserve"> izpaudusies izskatāmajā lietā</w:t>
      </w:r>
      <w:r w:rsidRPr="000B24EE">
        <w:t>.</w:t>
      </w:r>
    </w:p>
    <w:p w14:paraId="1F9E82D5" w14:textId="04F2D7F5" w:rsidR="009C0B8B" w:rsidRDefault="00984F93" w:rsidP="00984F93">
      <w:pPr>
        <w:spacing w:after="0" w:line="276" w:lineRule="auto"/>
        <w:ind w:firstLine="720"/>
        <w:jc w:val="both"/>
      </w:pPr>
      <w:r>
        <w:t>[</w:t>
      </w:r>
      <w:r w:rsidR="003047C8">
        <w:t>7</w:t>
      </w:r>
      <w:r>
        <w:t xml:space="preserve">.2] </w:t>
      </w:r>
      <w:r w:rsidR="009C0B8B" w:rsidRPr="009C0B8B">
        <w:t>Kriminālprocesa likuma 405. panta pirmās daļas 2. punkts noteic, ka lēmumā par personas saukšanu pie kriminālatbildības prokurors norāda katra inkriminētā noziedzīga nodarījuma faktiskos apstākļus, kas nosaka juridisko kvalifikāciju</w:t>
      </w:r>
      <w:r w:rsidR="009C0B8B">
        <w:t>.</w:t>
      </w:r>
    </w:p>
    <w:p w14:paraId="3BC0AA8B" w14:textId="2C0BC508" w:rsidR="005B542B" w:rsidRPr="00A8717D" w:rsidRDefault="00A6533D" w:rsidP="00A6533D">
      <w:pPr>
        <w:spacing w:after="0" w:line="276" w:lineRule="auto"/>
        <w:ind w:firstLine="720"/>
        <w:jc w:val="both"/>
      </w:pPr>
      <w:r w:rsidRPr="00A8717D">
        <w:lastRenderedPageBreak/>
        <w:t>No šīs normas izriet, ka apsūdzībā ir jānorāda faktiskie apstākļi, kas konkretizē katru inkriminētā noziedzīgā nodarījuma sastāva pazīmi. Izņēmums praksē ir pieņemts attiecībā uz noziedzīgā nodarījuma objekta aprakstu, kas, ņemot vērā tā abstrakto raksturu, apsūdzībā parasti netiek konkretizēts faktu līmenī.</w:t>
      </w:r>
    </w:p>
    <w:p w14:paraId="68411E31" w14:textId="24BA1FAF" w:rsidR="00E82926" w:rsidRPr="001821A0" w:rsidRDefault="00AA08AF" w:rsidP="00404A27">
      <w:pPr>
        <w:spacing w:after="0" w:line="276" w:lineRule="auto"/>
        <w:ind w:firstLine="720"/>
        <w:jc w:val="both"/>
      </w:pPr>
      <w:r>
        <w:t>Īpaša nozīme</w:t>
      </w:r>
      <w:r w:rsidR="0006427C">
        <w:t xml:space="preserve">, sastādot apsūdzību, </w:t>
      </w:r>
      <w:r>
        <w:t>jāpievērš noziedzīg</w:t>
      </w:r>
      <w:r w:rsidR="003047C8">
        <w:t>ā</w:t>
      </w:r>
      <w:r>
        <w:t xml:space="preserve"> nodarījuma objektīvās puses aprakstam.</w:t>
      </w:r>
      <w:r w:rsidR="00404A27">
        <w:t xml:space="preserve"> T</w:t>
      </w:r>
      <w:r w:rsidR="003C122A">
        <w:t>omēr p</w:t>
      </w:r>
      <w:r w:rsidR="00E82926">
        <w:t>rasības apsūdzības detalizācijas pakāpei nedrīkst pārspīlēt.</w:t>
      </w:r>
    </w:p>
    <w:p w14:paraId="5564900F" w14:textId="77777777" w:rsidR="00E82926" w:rsidRDefault="00E82926" w:rsidP="00E82926">
      <w:pPr>
        <w:widowControl w:val="0"/>
        <w:spacing w:after="0" w:line="276" w:lineRule="auto"/>
        <w:ind w:firstLine="720"/>
        <w:jc w:val="both"/>
      </w:pPr>
      <w:r w:rsidRPr="002E3957">
        <w:t>Eiropas Cilvēktiesību tiesa norādījusi, ka tas, cik detalizēti apsūdzībā norādāma informācija, atkarīgs no katras lietas apstākļiem (</w:t>
      </w:r>
      <w:bookmarkStart w:id="6" w:name="_Hlk217306098"/>
      <w:r w:rsidRPr="002E3957">
        <w:rPr>
          <w:i/>
          <w:iCs/>
        </w:rPr>
        <w:t>Eiropas Cilvēktiesību tiesas 2000.</w:t>
      </w:r>
      <w:r>
        <w:rPr>
          <w:i/>
          <w:iCs/>
        </w:rPr>
        <w:t> </w:t>
      </w:r>
      <w:r w:rsidRPr="002E3957">
        <w:rPr>
          <w:i/>
          <w:iCs/>
        </w:rPr>
        <w:t>gada 25.</w:t>
      </w:r>
      <w:r>
        <w:rPr>
          <w:i/>
          <w:iCs/>
        </w:rPr>
        <w:t> </w:t>
      </w:r>
      <w:r w:rsidRPr="002E3957">
        <w:rPr>
          <w:i/>
          <w:iCs/>
        </w:rPr>
        <w:t>jūlija sprieduma lietā „</w:t>
      </w:r>
      <w:proofErr w:type="spellStart"/>
      <w:r w:rsidRPr="002E3957">
        <w:rPr>
          <w:i/>
          <w:iCs/>
        </w:rPr>
        <w:t>Mattoccia</w:t>
      </w:r>
      <w:proofErr w:type="spellEnd"/>
      <w:r w:rsidRPr="002E3957">
        <w:rPr>
          <w:i/>
          <w:iCs/>
        </w:rPr>
        <w:t xml:space="preserve"> v. </w:t>
      </w:r>
      <w:proofErr w:type="spellStart"/>
      <w:r w:rsidRPr="002E3957">
        <w:rPr>
          <w:i/>
          <w:iCs/>
        </w:rPr>
        <w:t>Italy</w:t>
      </w:r>
      <w:proofErr w:type="spellEnd"/>
      <w:r w:rsidRPr="002E3957">
        <w:rPr>
          <w:i/>
          <w:iCs/>
        </w:rPr>
        <w:t>”, iesnieguma Nr.</w:t>
      </w:r>
      <w:r>
        <w:rPr>
          <w:i/>
          <w:iCs/>
        </w:rPr>
        <w:t> </w:t>
      </w:r>
      <w:hyperlink r:id="rId10" w:history="1">
        <w:r w:rsidRPr="00FA15E2">
          <w:rPr>
            <w:rStyle w:val="Hyperlink"/>
            <w:i/>
            <w:iCs/>
          </w:rPr>
          <w:t>23969/94</w:t>
        </w:r>
      </w:hyperlink>
      <w:r w:rsidRPr="002E3957">
        <w:rPr>
          <w:i/>
          <w:iCs/>
        </w:rPr>
        <w:t xml:space="preserve">, </w:t>
      </w:r>
      <w:bookmarkEnd w:id="6"/>
      <w:r w:rsidRPr="002E3957">
        <w:rPr>
          <w:i/>
          <w:iCs/>
        </w:rPr>
        <w:t>60.</w:t>
      </w:r>
      <w:r>
        <w:rPr>
          <w:i/>
          <w:iCs/>
        </w:rPr>
        <w:t> </w:t>
      </w:r>
      <w:r w:rsidRPr="002E3957">
        <w:rPr>
          <w:i/>
          <w:iCs/>
        </w:rPr>
        <w:t>punkts</w:t>
      </w:r>
      <w:r w:rsidRPr="002E3957">
        <w:t>)</w:t>
      </w:r>
      <w:r>
        <w:t xml:space="preserve">, </w:t>
      </w:r>
      <w:r w:rsidRPr="002E3957">
        <w:t>apsūdzība</w:t>
      </w:r>
      <w:r>
        <w:t>s</w:t>
      </w:r>
      <w:r w:rsidRPr="002E3957">
        <w:t xml:space="preserve"> pēc būtības tiek izteikta</w:t>
      </w:r>
      <w:r>
        <w:t>s</w:t>
      </w:r>
      <w:r w:rsidRPr="002E3957">
        <w:t xml:space="preserve"> kodolīgi un sīkāka informācija par nodarījumu parasti izriet no citiem lietas materiāliem (</w:t>
      </w:r>
      <w:bookmarkStart w:id="7" w:name="_Hlk217306102"/>
      <w:r w:rsidRPr="002E3957">
        <w:rPr>
          <w:i/>
          <w:iCs/>
        </w:rPr>
        <w:t>Eiropas Cilvēktiesību tiesas 2009.</w:t>
      </w:r>
      <w:r>
        <w:rPr>
          <w:i/>
          <w:iCs/>
        </w:rPr>
        <w:t> </w:t>
      </w:r>
      <w:r w:rsidRPr="002E3957">
        <w:rPr>
          <w:i/>
          <w:iCs/>
        </w:rPr>
        <w:t>gada 8.</w:t>
      </w:r>
      <w:r>
        <w:rPr>
          <w:i/>
          <w:iCs/>
        </w:rPr>
        <w:t> </w:t>
      </w:r>
      <w:r w:rsidRPr="002E3957">
        <w:rPr>
          <w:i/>
          <w:iCs/>
        </w:rPr>
        <w:t>decembra lēmuma lietā „</w:t>
      </w:r>
      <w:proofErr w:type="spellStart"/>
      <w:r w:rsidRPr="002E3957">
        <w:rPr>
          <w:i/>
          <w:iCs/>
        </w:rPr>
        <w:t>Previti</w:t>
      </w:r>
      <w:proofErr w:type="spellEnd"/>
      <w:r w:rsidRPr="002E3957">
        <w:rPr>
          <w:i/>
          <w:iCs/>
        </w:rPr>
        <w:t xml:space="preserve"> c. </w:t>
      </w:r>
      <w:proofErr w:type="spellStart"/>
      <w:r w:rsidRPr="002E3957">
        <w:rPr>
          <w:i/>
          <w:iCs/>
        </w:rPr>
        <w:t>Italie</w:t>
      </w:r>
      <w:proofErr w:type="spellEnd"/>
      <w:r w:rsidRPr="002E3957">
        <w:rPr>
          <w:i/>
          <w:iCs/>
        </w:rPr>
        <w:t>”, iesnieguma Nr.</w:t>
      </w:r>
      <w:r>
        <w:rPr>
          <w:i/>
          <w:iCs/>
        </w:rPr>
        <w:t> </w:t>
      </w:r>
      <w:hyperlink r:id="rId11" w:history="1">
        <w:r w:rsidRPr="00FA15E2">
          <w:rPr>
            <w:rStyle w:val="Hyperlink"/>
            <w:i/>
            <w:iCs/>
          </w:rPr>
          <w:t>45291/06</w:t>
        </w:r>
      </w:hyperlink>
      <w:bookmarkEnd w:id="7"/>
      <w:r w:rsidRPr="002E3957">
        <w:rPr>
          <w:i/>
          <w:iCs/>
        </w:rPr>
        <w:t>, 208.</w:t>
      </w:r>
      <w:r>
        <w:rPr>
          <w:i/>
          <w:iCs/>
        </w:rPr>
        <w:t> </w:t>
      </w:r>
      <w:r w:rsidRPr="002E3957">
        <w:rPr>
          <w:i/>
          <w:iCs/>
        </w:rPr>
        <w:t>punkts</w:t>
      </w:r>
      <w:r w:rsidRPr="002E3957">
        <w:t>).</w:t>
      </w:r>
    </w:p>
    <w:p w14:paraId="42354030" w14:textId="0FBC1F8A" w:rsidR="002E3957" w:rsidRPr="002E3957" w:rsidRDefault="002E3957" w:rsidP="00E82926">
      <w:pPr>
        <w:widowControl w:val="0"/>
        <w:spacing w:after="0" w:line="276" w:lineRule="auto"/>
        <w:ind w:firstLine="720"/>
        <w:jc w:val="both"/>
      </w:pPr>
      <w:r w:rsidRPr="002E3957">
        <w:t>Lemjot par to, cik detalizēti apsūdzībā aprakstāms katrs no Kriminālprocesa likuma 405</w:t>
      </w:r>
      <w:r w:rsidR="005F76C5">
        <w:t>. </w:t>
      </w:r>
      <w:r w:rsidRPr="002E3957">
        <w:t>panta pirmās daļas 2.</w:t>
      </w:r>
      <w:r>
        <w:t> </w:t>
      </w:r>
      <w:r w:rsidRPr="002E3957">
        <w:t>punktā minētajiem apstākļiem, Senāts jau iepriekš vairākkārt norādījis, ka Kriminālprocesa likuma 405.</w:t>
      </w:r>
      <w:r>
        <w:t> </w:t>
      </w:r>
      <w:r w:rsidRPr="002E3957">
        <w:t>pants</w:t>
      </w:r>
      <w:r w:rsidR="005F76C5">
        <w:t xml:space="preserve"> ir </w:t>
      </w:r>
      <w:r w:rsidRPr="002E3957">
        <w:t xml:space="preserve">jāaplūko kopsakarā ar </w:t>
      </w:r>
      <w:r w:rsidR="003C122A">
        <w:t>šā</w:t>
      </w:r>
      <w:r w:rsidRPr="002E3957">
        <w:t xml:space="preserve"> likuma 20.</w:t>
      </w:r>
      <w:r>
        <w:t> </w:t>
      </w:r>
      <w:r w:rsidRPr="002E3957">
        <w:t>panta pirmo daļu, kas paredz personas tiesības uz aizstāvību, proti, apsūdzībai jābūt tādai, lai apsūdzētā persona varētu zināt ne tikai par kāda noziedzīga nodarījuma izdarīšanu tā tiek apsūdzēta, bet arī kādas konkrēti un kādos apstākļos izdarītas darbības tai tiek inkriminētas uzrādītās apsūdzības ietvaros (</w:t>
      </w:r>
      <w:bookmarkStart w:id="8" w:name="_Hlk217306115"/>
      <w:r w:rsidRPr="002E3957">
        <w:rPr>
          <w:i/>
          <w:iCs/>
        </w:rPr>
        <w:t>Senāta 2009.</w:t>
      </w:r>
      <w:r>
        <w:rPr>
          <w:i/>
          <w:iCs/>
        </w:rPr>
        <w:t> </w:t>
      </w:r>
      <w:r w:rsidRPr="002E3957">
        <w:rPr>
          <w:i/>
          <w:iCs/>
        </w:rPr>
        <w:t>gada 21.</w:t>
      </w:r>
      <w:r>
        <w:rPr>
          <w:i/>
          <w:iCs/>
        </w:rPr>
        <w:t> </w:t>
      </w:r>
      <w:r w:rsidRPr="002E3957">
        <w:rPr>
          <w:i/>
          <w:iCs/>
        </w:rPr>
        <w:t>oktobra lēmums lietā Nr.</w:t>
      </w:r>
      <w:r>
        <w:rPr>
          <w:i/>
          <w:iCs/>
        </w:rPr>
        <w:t> </w:t>
      </w:r>
      <w:r w:rsidRPr="002E3957">
        <w:rPr>
          <w:i/>
          <w:iCs/>
        </w:rPr>
        <w:t>SKK-520/2009, 11096325006, 2011.</w:t>
      </w:r>
      <w:r>
        <w:rPr>
          <w:i/>
          <w:iCs/>
        </w:rPr>
        <w:t> </w:t>
      </w:r>
      <w:r w:rsidRPr="002E3957">
        <w:rPr>
          <w:i/>
          <w:iCs/>
        </w:rPr>
        <w:t>gada 28.</w:t>
      </w:r>
      <w:r>
        <w:rPr>
          <w:i/>
          <w:iCs/>
        </w:rPr>
        <w:t> </w:t>
      </w:r>
      <w:r w:rsidRPr="002E3957">
        <w:rPr>
          <w:i/>
          <w:iCs/>
        </w:rPr>
        <w:t>janvāra lēmums lietā Nr.</w:t>
      </w:r>
      <w:r>
        <w:rPr>
          <w:i/>
          <w:iCs/>
        </w:rPr>
        <w:t> </w:t>
      </w:r>
      <w:r w:rsidRPr="002E3957">
        <w:rPr>
          <w:i/>
          <w:iCs/>
        </w:rPr>
        <w:t>SKK-22/2011, 11331032409</w:t>
      </w:r>
      <w:r w:rsidRPr="002E3957">
        <w:t>)</w:t>
      </w:r>
      <w:bookmarkEnd w:id="8"/>
      <w:r w:rsidRPr="002E3957">
        <w:t>.</w:t>
      </w:r>
    </w:p>
    <w:p w14:paraId="3CAB2F8C" w14:textId="5B32AD07" w:rsidR="001821A0" w:rsidRDefault="002E3957" w:rsidP="00896EA0">
      <w:pPr>
        <w:spacing w:after="0" w:line="276" w:lineRule="auto"/>
        <w:ind w:firstLine="720"/>
        <w:jc w:val="both"/>
      </w:pPr>
      <w:r w:rsidRPr="002E3957">
        <w:t xml:space="preserve">No šīs atziņas izriet, ka galvenais faktisko apstākļu konkretizācijas </w:t>
      </w:r>
      <w:r w:rsidR="005F76C5">
        <w:t xml:space="preserve">pakāpes </w:t>
      </w:r>
      <w:r w:rsidRPr="002E3957">
        <w:t>kritērijs ir tas, vai apsūdzība pilda tās norobežojošo un informatīvo funkciju, proti: 1)</w:t>
      </w:r>
      <w:r w:rsidR="00896EA0">
        <w:t> </w:t>
      </w:r>
      <w:r w:rsidRPr="002E3957">
        <w:t>vai konkretizācija ir pietiekama, lai inkriminēto noziedzīgo nodarījumu norobežotu no citiem iespējamiem līdzīgiem tās pašas personas noziedzīgajiem nodarījumiem; 2)</w:t>
      </w:r>
      <w:r w:rsidR="00896EA0">
        <w:t> </w:t>
      </w:r>
      <w:r w:rsidRPr="002E3957">
        <w:t xml:space="preserve">vai konkretizācija ir pietiekama, lai apsūdzētais varētu pilnvērtīgi īstenot savas tiesības uz aizstāvību. Tas nozīmē, ka gadījumā, ja kāds no apstākļiem izmeklēšanā nav noskaidrots vai nav noskaidrots pietiekami detalizēti, ir jāizvērtē, vai tas nav šķērslis, lai atzītu, ka apsūdzība pilda tās norobežojošo un informatīvo funkciju. Vienlaikus jāņem vērā, ka, </w:t>
      </w:r>
      <w:bookmarkStart w:id="9" w:name="_Hlk207974349"/>
      <w:r w:rsidRPr="002E3957">
        <w:t>lai nodrošinātu krimināltiesību normu efektīvu piemērošanu, ievērojot noteiktu apstākļu noskaidrošanas iespēju, no valsts apsūdzību uzturošās iestādes nevar ikreiz prasīt tādu faktisko apstākļu izklāstu, kas sīkāk nav konkretizējams (</w:t>
      </w:r>
      <w:bookmarkStart w:id="10" w:name="_Hlk217306156"/>
      <w:r w:rsidRPr="002E3957">
        <w:rPr>
          <w:i/>
          <w:iCs/>
        </w:rPr>
        <w:t>Senāta 2025.</w:t>
      </w:r>
      <w:r>
        <w:rPr>
          <w:i/>
          <w:iCs/>
        </w:rPr>
        <w:t> </w:t>
      </w:r>
      <w:r w:rsidRPr="002E3957">
        <w:rPr>
          <w:i/>
          <w:iCs/>
        </w:rPr>
        <w:t>gada 15.</w:t>
      </w:r>
      <w:r>
        <w:rPr>
          <w:i/>
          <w:iCs/>
        </w:rPr>
        <w:t> </w:t>
      </w:r>
      <w:r w:rsidRPr="002E3957">
        <w:rPr>
          <w:i/>
          <w:iCs/>
        </w:rPr>
        <w:t>februāra lēmuma lietā Nr</w:t>
      </w:r>
      <w:r w:rsidR="005F76C5">
        <w:rPr>
          <w:i/>
          <w:iCs/>
        </w:rPr>
        <w:t>. </w:t>
      </w:r>
      <w:r w:rsidRPr="002E3957">
        <w:rPr>
          <w:i/>
          <w:iCs/>
        </w:rPr>
        <w:t>SKK-6/2024</w:t>
      </w:r>
      <w:r w:rsidR="00D048B4">
        <w:rPr>
          <w:i/>
          <w:iCs/>
        </w:rPr>
        <w:t xml:space="preserve">, </w:t>
      </w:r>
      <w:r w:rsidRPr="002E3957">
        <w:rPr>
          <w:i/>
          <w:iCs/>
        </w:rPr>
        <w:t>ECLI:LV:AT:2024:0215.11120047317.16.L</w:t>
      </w:r>
      <w:r w:rsidR="00D048B4">
        <w:rPr>
          <w:i/>
          <w:iCs/>
        </w:rPr>
        <w:t>,</w:t>
      </w:r>
      <w:r w:rsidRPr="002E3957">
        <w:rPr>
          <w:i/>
          <w:iCs/>
        </w:rPr>
        <w:t xml:space="preserve"> 9.</w:t>
      </w:r>
      <w:bookmarkEnd w:id="10"/>
      <w:r w:rsidRPr="002E3957">
        <w:rPr>
          <w:i/>
          <w:iCs/>
        </w:rPr>
        <w:t>1.</w:t>
      </w:r>
      <w:r w:rsidR="00D625D2">
        <w:rPr>
          <w:i/>
          <w:iCs/>
        </w:rPr>
        <w:t> </w:t>
      </w:r>
      <w:r w:rsidRPr="002E3957">
        <w:rPr>
          <w:i/>
          <w:iCs/>
        </w:rPr>
        <w:t>punkt</w:t>
      </w:r>
      <w:r>
        <w:rPr>
          <w:i/>
          <w:iCs/>
        </w:rPr>
        <w:t>s</w:t>
      </w:r>
      <w:r w:rsidRPr="002E3957">
        <w:t>).</w:t>
      </w:r>
      <w:r w:rsidR="001863FD">
        <w:t xml:space="preserve"> </w:t>
      </w:r>
      <w:bookmarkStart w:id="11" w:name="_Hlk213942549"/>
      <w:r w:rsidR="001863FD">
        <w:t>Tādēļ, l</w:t>
      </w:r>
      <w:r w:rsidR="001821A0" w:rsidRPr="001821A0">
        <w:t>ai novērstu iespējamos robus kriminālvajāšanā, atsevišķos</w:t>
      </w:r>
      <w:r w:rsidR="001863FD">
        <w:t xml:space="preserve"> </w:t>
      </w:r>
      <w:r w:rsidR="001821A0" w:rsidRPr="001821A0">
        <w:t>gadījumos</w:t>
      </w:r>
      <w:r w:rsidR="003047C8">
        <w:t xml:space="preserve"> </w:t>
      </w:r>
      <w:r w:rsidR="001821A0" w:rsidRPr="001821A0">
        <w:t>nodarījuma individualizēšanai (norobežošanai)</w:t>
      </w:r>
      <w:r w:rsidR="009E0092">
        <w:t xml:space="preserve"> apsūdzībā ir</w:t>
      </w:r>
      <w:r w:rsidR="001821A0" w:rsidRPr="001821A0">
        <w:t xml:space="preserve"> pieļaujamas mazāk stingras prasības. Tomēr minētais izņēmums pieļaujams tikai tad, ja sīkākas detaļas objektīvi</w:t>
      </w:r>
      <w:r w:rsidR="003C122A">
        <w:t xml:space="preserve"> nav</w:t>
      </w:r>
      <w:r w:rsidR="001821A0" w:rsidRPr="001821A0">
        <w:t xml:space="preserve"> noskaidrojamas (</w:t>
      </w:r>
      <w:bookmarkStart w:id="12" w:name="_Hlk217306165"/>
      <w:r w:rsidR="001821A0" w:rsidRPr="001821A0">
        <w:rPr>
          <w:i/>
          <w:iCs/>
        </w:rPr>
        <w:t>A</w:t>
      </w:r>
      <w:r w:rsidR="001863FD">
        <w:rPr>
          <w:i/>
          <w:iCs/>
        </w:rPr>
        <w:t>ugstākās tiesas</w:t>
      </w:r>
      <w:r w:rsidR="001821A0" w:rsidRPr="001821A0">
        <w:rPr>
          <w:i/>
          <w:iCs/>
        </w:rPr>
        <w:t xml:space="preserve"> Krimināllietu tiesu palātas 2012.</w:t>
      </w:r>
      <w:r w:rsidR="001863FD">
        <w:rPr>
          <w:i/>
          <w:iCs/>
        </w:rPr>
        <w:t> </w:t>
      </w:r>
      <w:r w:rsidR="001821A0" w:rsidRPr="001821A0">
        <w:rPr>
          <w:i/>
          <w:iCs/>
        </w:rPr>
        <w:t>gada 5.</w:t>
      </w:r>
      <w:r w:rsidR="001863FD">
        <w:rPr>
          <w:i/>
          <w:iCs/>
        </w:rPr>
        <w:t> </w:t>
      </w:r>
      <w:r w:rsidR="001821A0" w:rsidRPr="001821A0">
        <w:rPr>
          <w:i/>
          <w:iCs/>
        </w:rPr>
        <w:t>aprīļa spriedums lietā</w:t>
      </w:r>
      <w:r w:rsidR="001863FD">
        <w:rPr>
          <w:i/>
          <w:iCs/>
        </w:rPr>
        <w:t xml:space="preserve"> Nr. </w:t>
      </w:r>
      <w:r w:rsidR="001821A0" w:rsidRPr="001821A0">
        <w:rPr>
          <w:i/>
          <w:iCs/>
        </w:rPr>
        <w:t>PAC-108, 11380021209</w:t>
      </w:r>
      <w:bookmarkEnd w:id="12"/>
      <w:r w:rsidR="001821A0" w:rsidRPr="001821A0">
        <w:t>)</w:t>
      </w:r>
      <w:r w:rsidR="001863FD">
        <w:t xml:space="preserve"> un nenoskaidrotie </w:t>
      </w:r>
      <w:r w:rsidR="00844341">
        <w:t xml:space="preserve">apstākļi </w:t>
      </w:r>
      <w:r w:rsidR="001863FD">
        <w:t>vai detaļas nav šķērslis konstatēt visas attiecīgā noziedzīg</w:t>
      </w:r>
      <w:r w:rsidR="00844341">
        <w:t>ā</w:t>
      </w:r>
      <w:r w:rsidR="001863FD">
        <w:t xml:space="preserve"> nodarījuma pazīmes.</w:t>
      </w:r>
      <w:bookmarkEnd w:id="11"/>
    </w:p>
    <w:bookmarkEnd w:id="9"/>
    <w:p w14:paraId="6CE988FE" w14:textId="0594F9D3" w:rsidR="00AA08AF" w:rsidRDefault="00BC19C5" w:rsidP="00AA08AF">
      <w:pPr>
        <w:spacing w:after="0" w:line="276" w:lineRule="auto"/>
        <w:ind w:firstLine="720"/>
        <w:jc w:val="both"/>
      </w:pPr>
      <w:r>
        <w:t>[</w:t>
      </w:r>
      <w:r w:rsidR="003047C8">
        <w:t>7</w:t>
      </w:r>
      <w:r>
        <w:t xml:space="preserve">.3] </w:t>
      </w:r>
      <w:r w:rsidR="00AA08AF" w:rsidRPr="00AA08AF">
        <w:t>Ja apsūdzībā nav ievērotas Kriminālprocesa likuma 405.</w:t>
      </w:r>
      <w:r w:rsidR="00AA08AF">
        <w:t> </w:t>
      </w:r>
      <w:r w:rsidR="00AA08AF" w:rsidRPr="00AA08AF">
        <w:t>panta prasības, tiesai ir pienākums izvērtēt pārkāpuma ietekm</w:t>
      </w:r>
      <w:r w:rsidR="00AA08AF">
        <w:t>i</w:t>
      </w:r>
      <w:r w:rsidR="00AA08AF" w:rsidRPr="00AA08AF">
        <w:t xml:space="preserve"> uz apsūdzētā tiesībām</w:t>
      </w:r>
      <w:r w:rsidR="00AA08AF">
        <w:t xml:space="preserve">, proti, vai tas ir </w:t>
      </w:r>
      <w:r w:rsidR="00AA08AF" w:rsidRPr="00AA08AF">
        <w:t>apgrūtinā</w:t>
      </w:r>
      <w:r w:rsidR="00AA08AF">
        <w:t>jis</w:t>
      </w:r>
      <w:r w:rsidR="00AA08AF" w:rsidRPr="00AA08AF">
        <w:t xml:space="preserve"> vai ierobežo</w:t>
      </w:r>
      <w:r w:rsidR="00AA08AF">
        <w:t>jis</w:t>
      </w:r>
      <w:r w:rsidR="009E0092">
        <w:t xml:space="preserve"> </w:t>
      </w:r>
      <w:r w:rsidR="00AA08AF">
        <w:t>tiesības</w:t>
      </w:r>
      <w:r w:rsidR="00AA08AF" w:rsidRPr="00AA08AF">
        <w:t xml:space="preserve"> pilnvērtīgi īstenot tiesības uz aizstāvību</w:t>
      </w:r>
      <w:r w:rsidR="00AA08AF">
        <w:t>.</w:t>
      </w:r>
    </w:p>
    <w:p w14:paraId="6D6D6356" w14:textId="1D7A10FC" w:rsidR="00C772BD" w:rsidRDefault="00C772BD" w:rsidP="00B8036B">
      <w:pPr>
        <w:spacing w:after="0" w:line="276" w:lineRule="auto"/>
        <w:ind w:firstLine="720"/>
        <w:jc w:val="both"/>
      </w:pPr>
      <w:r w:rsidRPr="00C772BD">
        <w:t>Šād</w:t>
      </w:r>
      <w:r w:rsidR="0007351D">
        <w:t>as</w:t>
      </w:r>
      <w:r w:rsidRPr="00C772BD">
        <w:t xml:space="preserve"> pārbaud</w:t>
      </w:r>
      <w:r w:rsidR="0007351D">
        <w:t>es</w:t>
      </w:r>
      <w:r w:rsidRPr="00C772BD">
        <w:t xml:space="preserve"> vei</w:t>
      </w:r>
      <w:r w:rsidR="0007351D">
        <w:t>kšana i</w:t>
      </w:r>
      <w:r w:rsidR="0006427C">
        <w:t>etilpst</w:t>
      </w:r>
      <w:r w:rsidRPr="00C772BD">
        <w:t xml:space="preserve"> arī Senāt</w:t>
      </w:r>
      <w:r w:rsidR="0007351D">
        <w:t>a kompetencē</w:t>
      </w:r>
      <w:r>
        <w:t xml:space="preserve"> (</w:t>
      </w:r>
      <w:r w:rsidRPr="00C772BD">
        <w:rPr>
          <w:i/>
          <w:iCs/>
        </w:rPr>
        <w:t xml:space="preserve">sk. piemēram, </w:t>
      </w:r>
      <w:bookmarkStart w:id="13" w:name="_Hlk217306177"/>
      <w:r w:rsidRPr="00C772BD">
        <w:rPr>
          <w:i/>
          <w:iCs/>
        </w:rPr>
        <w:t xml:space="preserve">Senāta 2020. gada 19. jūnija lēmuma lietā Nr. SKK-62/2020, </w:t>
      </w:r>
      <w:r w:rsidR="00B8036B" w:rsidRPr="00B8036B">
        <w:rPr>
          <w:i/>
          <w:iCs/>
        </w:rPr>
        <w:t>ECLI:LV:AT:2020:0619.11810014307.5.L,</w:t>
      </w:r>
      <w:r w:rsidRPr="00C772BD">
        <w:rPr>
          <w:i/>
          <w:iCs/>
        </w:rPr>
        <w:t>7.1</w:t>
      </w:r>
      <w:r w:rsidR="004F5704" w:rsidRPr="00C772BD">
        <w:rPr>
          <w:i/>
          <w:iCs/>
        </w:rPr>
        <w:t>.</w:t>
      </w:r>
      <w:r w:rsidR="004F5704">
        <w:rPr>
          <w:i/>
          <w:iCs/>
        </w:rPr>
        <w:t xml:space="preserve">, </w:t>
      </w:r>
      <w:r w:rsidRPr="00C772BD">
        <w:rPr>
          <w:i/>
          <w:iCs/>
        </w:rPr>
        <w:t>7.2. punktu</w:t>
      </w:r>
      <w:r>
        <w:t>).</w:t>
      </w:r>
    </w:p>
    <w:bookmarkEnd w:id="13"/>
    <w:p w14:paraId="69E2E985" w14:textId="4D027642" w:rsidR="007F6130" w:rsidRDefault="00BC19C5" w:rsidP="00BC19C5">
      <w:pPr>
        <w:spacing w:after="0" w:line="276" w:lineRule="auto"/>
        <w:ind w:firstLine="720"/>
        <w:jc w:val="both"/>
      </w:pPr>
      <w:r>
        <w:lastRenderedPageBreak/>
        <w:t>[</w:t>
      </w:r>
      <w:r w:rsidR="003047C8">
        <w:t>7</w:t>
      </w:r>
      <w:r>
        <w:t xml:space="preserve">.3.1] </w:t>
      </w:r>
      <w:bookmarkStart w:id="14" w:name="_Hlk201241341"/>
      <w:r w:rsidR="003208A5">
        <w:t>I</w:t>
      </w:r>
      <w:r w:rsidR="00BC4A78" w:rsidRPr="00BC4A78">
        <w:t xml:space="preserve">zskatāmajā </w:t>
      </w:r>
      <w:r w:rsidR="007D2EA3">
        <w:t>l</w:t>
      </w:r>
      <w:r w:rsidR="007D2EA3" w:rsidRPr="007D2EA3">
        <w:t>ietā apsūdzības celtas par izvairīšanos no nodokļu nomaksas kā pabeigtu nozie</w:t>
      </w:r>
      <w:r w:rsidR="00744AA7">
        <w:t>gumu</w:t>
      </w:r>
      <w:r w:rsidR="007D2EA3">
        <w:t>.</w:t>
      </w:r>
    </w:p>
    <w:p w14:paraId="59B37C76" w14:textId="399EB4DE" w:rsidR="00BC19C5" w:rsidRDefault="008539E8" w:rsidP="00BC19C5">
      <w:pPr>
        <w:spacing w:after="0" w:line="276" w:lineRule="auto"/>
        <w:ind w:firstLine="720"/>
        <w:jc w:val="both"/>
      </w:pPr>
      <w:r w:rsidRPr="008539E8">
        <w:t>Saskaņā ar apsūdzīb</w:t>
      </w:r>
      <w:r>
        <w:t>ām</w:t>
      </w:r>
      <w:r w:rsidRPr="008539E8">
        <w:t xml:space="preserve"> nozie</w:t>
      </w:r>
      <w:r w:rsidR="00744AA7">
        <w:t>gums</w:t>
      </w:r>
      <w:r w:rsidRPr="008539E8">
        <w:t xml:space="preserve"> izpaudies </w:t>
      </w:r>
      <w:r>
        <w:t xml:space="preserve">kā </w:t>
      </w:r>
      <w:r w:rsidR="002F405C">
        <w:t>„</w:t>
      </w:r>
      <w:r w:rsidR="0067609C">
        <w:t>[Nosaukums B]</w:t>
      </w:r>
      <w:r w:rsidR="002F405C">
        <w:t>”</w:t>
      </w:r>
      <w:r w:rsidR="00A8717D">
        <w:t xml:space="preserve"> </w:t>
      </w:r>
      <w:r w:rsidRPr="008539E8">
        <w:t>rēķina</w:t>
      </w:r>
      <w:r w:rsidR="00D62DCD">
        <w:t xml:space="preserve"> </w:t>
      </w:r>
      <w:r w:rsidR="00BC19C5" w:rsidRPr="008539E8">
        <w:t>par faktiski nenotikušu darījum</w:t>
      </w:r>
      <w:r w:rsidR="00BC19C5">
        <w:t xml:space="preserve">u </w:t>
      </w:r>
      <w:r w:rsidR="00D62DCD">
        <w:t xml:space="preserve">apzināta </w:t>
      </w:r>
      <w:r w:rsidR="00D62DCD" w:rsidRPr="008539E8">
        <w:t xml:space="preserve">iekļaušana </w:t>
      </w:r>
      <w:r w:rsidR="003C122A" w:rsidRPr="002E3957">
        <w:t>SIA</w:t>
      </w:r>
      <w:r w:rsidR="00896EA0">
        <w:t> </w:t>
      </w:r>
      <w:r w:rsidR="00C93135">
        <w:t>„</w:t>
      </w:r>
      <w:r w:rsidR="0067609C">
        <w:t>[Nosaukums A]</w:t>
      </w:r>
      <w:r w:rsidR="003C122A" w:rsidRPr="002E3957">
        <w:t>”</w:t>
      </w:r>
      <w:r w:rsidR="003C122A">
        <w:t xml:space="preserve"> </w:t>
      </w:r>
      <w:r w:rsidR="00D62DCD" w:rsidRPr="008539E8">
        <w:t>grāmatvedībā</w:t>
      </w:r>
      <w:r w:rsidR="00BC19C5">
        <w:t>,</w:t>
      </w:r>
      <w:r w:rsidRPr="008539E8">
        <w:t xml:space="preserve"> </w:t>
      </w:r>
      <w:r w:rsidR="00F17576">
        <w:t>kā</w:t>
      </w:r>
      <w:r w:rsidRPr="008539E8">
        <w:t xml:space="preserve"> arī šī darījuma attiecināšana uz 2017.</w:t>
      </w:r>
      <w:r w:rsidR="00F17576">
        <w:t> </w:t>
      </w:r>
      <w:r w:rsidRPr="008539E8">
        <w:t xml:space="preserve">gada izdevumiem, to atspoguļojot </w:t>
      </w:r>
      <w:r w:rsidR="00F17576" w:rsidRPr="002E3957">
        <w:t>SIA</w:t>
      </w:r>
      <w:r w:rsidR="00896EA0">
        <w:t> </w:t>
      </w:r>
      <w:r w:rsidR="004F5704">
        <w:t>„</w:t>
      </w:r>
      <w:r w:rsidR="0067609C">
        <w:t>[Nosaukums A]</w:t>
      </w:r>
      <w:r w:rsidR="00F17576" w:rsidRPr="002E3957">
        <w:t>”</w:t>
      </w:r>
      <w:r w:rsidR="00F17576">
        <w:t xml:space="preserve"> </w:t>
      </w:r>
      <w:r w:rsidRPr="008539E8">
        <w:t>gada pārskatā</w:t>
      </w:r>
      <w:r w:rsidR="00B16CB4">
        <w:t>,</w:t>
      </w:r>
      <w:r w:rsidR="00BC19C5">
        <w:t xml:space="preserve"> un attiecīgās informācijas iesniegšana Valsts ieņēmumu dienestam, tādējādi </w:t>
      </w:r>
      <w:r w:rsidR="007D2EA3" w:rsidRPr="007D2EA3">
        <w:t>nodar</w:t>
      </w:r>
      <w:r w:rsidR="00BC19C5">
        <w:t>ot</w:t>
      </w:r>
      <w:r w:rsidR="007D2EA3" w:rsidRPr="007D2EA3">
        <w:t xml:space="preserve"> </w:t>
      </w:r>
      <w:r w:rsidR="00BC19C5">
        <w:t xml:space="preserve">valstij </w:t>
      </w:r>
      <w:r w:rsidR="007D2EA3">
        <w:t>zaudējum</w:t>
      </w:r>
      <w:r w:rsidR="00BC19C5">
        <w:t>us</w:t>
      </w:r>
      <w:r w:rsidR="007D2EA3">
        <w:t xml:space="preserve"> </w:t>
      </w:r>
      <w:r w:rsidR="007D2EA3" w:rsidRPr="007D2EA3">
        <w:t>58</w:t>
      </w:r>
      <w:r w:rsidR="00D57D37">
        <w:t> </w:t>
      </w:r>
      <w:r w:rsidR="007D2EA3" w:rsidRPr="007D2EA3">
        <w:t>650</w:t>
      </w:r>
      <w:r w:rsidR="00D57D37">
        <w:t> </w:t>
      </w:r>
      <w:r w:rsidR="007D2EA3" w:rsidRPr="007D2EA3">
        <w:rPr>
          <w:i/>
          <w:iCs/>
        </w:rPr>
        <w:t>euro</w:t>
      </w:r>
      <w:r w:rsidR="007D2EA3" w:rsidRPr="007D2EA3">
        <w:t xml:space="preserve"> nenomaksāt</w:t>
      </w:r>
      <w:r w:rsidR="007D2EA3">
        <w:t xml:space="preserve">ā </w:t>
      </w:r>
      <w:r w:rsidR="007D2EA3" w:rsidRPr="007D2EA3">
        <w:t xml:space="preserve">uzņēmumu ienākuma nodokļa </w:t>
      </w:r>
      <w:r w:rsidRPr="008539E8">
        <w:t>veidā.</w:t>
      </w:r>
      <w:bookmarkStart w:id="15" w:name="_Hlk206081307"/>
    </w:p>
    <w:p w14:paraId="58CDB0D0" w14:textId="16F9E6DD" w:rsidR="00E82926" w:rsidRDefault="00C93135" w:rsidP="00BC19C5">
      <w:pPr>
        <w:spacing w:after="0" w:line="276" w:lineRule="auto"/>
        <w:ind w:firstLine="720"/>
        <w:jc w:val="both"/>
      </w:pPr>
      <w:r>
        <w:t>Senāts atzīst, ka a</w:t>
      </w:r>
      <w:r w:rsidR="00B73CE5" w:rsidRPr="00B73CE5">
        <w:t>psūdzībā</w:t>
      </w:r>
      <w:r w:rsidR="00B73CE5">
        <w:t>s</w:t>
      </w:r>
      <w:r w:rsidR="00B73CE5" w:rsidRPr="00B73CE5">
        <w:t xml:space="preserve"> ir norādīti faktiskie apstākļi, kas pamato apsūdzētā </w:t>
      </w:r>
      <w:r w:rsidR="00CC06BC">
        <w:t>[pers. A]</w:t>
      </w:r>
      <w:r w:rsidR="00B73CE5" w:rsidRPr="002E3957">
        <w:t xml:space="preserve"> kā SIA</w:t>
      </w:r>
      <w:r w:rsidR="00844341">
        <w:t> </w:t>
      </w:r>
      <w:r w:rsidR="00B73CE5" w:rsidRPr="002E3957">
        <w:t>,,</w:t>
      </w:r>
      <w:r w:rsidR="0067609C">
        <w:t>[Nosaukums A]</w:t>
      </w:r>
      <w:r w:rsidR="00B73CE5" w:rsidRPr="002E3957">
        <w:t xml:space="preserve">” </w:t>
      </w:r>
      <w:r w:rsidR="00B73CE5" w:rsidRPr="00B73CE5">
        <w:t>valdes locekļa pienākumu nodrošināt uzņēmuma grāmatvedības kārtošanu atbilstoši normatīvajos aktos noteiktajām prasībām</w:t>
      </w:r>
      <w:r w:rsidR="00B73CE5">
        <w:t xml:space="preserve"> un pienākumu </w:t>
      </w:r>
      <w:r w:rsidR="007D2EA3">
        <w:t>no</w:t>
      </w:r>
      <w:r w:rsidR="00B73CE5">
        <w:t>maksāt nodokļus</w:t>
      </w:r>
      <w:bookmarkEnd w:id="14"/>
      <w:r w:rsidR="002E3957" w:rsidRPr="002E3957">
        <w:t>, tajā</w:t>
      </w:r>
      <w:r w:rsidR="00550F68">
        <w:t xml:space="preserve">s </w:t>
      </w:r>
      <w:r w:rsidR="00E82926">
        <w:t xml:space="preserve">vispārīgi </w:t>
      </w:r>
      <w:r w:rsidR="00550F68">
        <w:t>ir</w:t>
      </w:r>
      <w:r w:rsidR="002E3957" w:rsidRPr="002E3957">
        <w:t xml:space="preserve"> atspoguļots, </w:t>
      </w:r>
      <w:r w:rsidR="00EB710E">
        <w:t>kad</w:t>
      </w:r>
      <w:r w:rsidR="00D62DCD">
        <w:t>, kādā veidā</w:t>
      </w:r>
      <w:r w:rsidR="002E3957" w:rsidRPr="002E3957">
        <w:t xml:space="preserve"> un kādā apmērā</w:t>
      </w:r>
      <w:r w:rsidR="00C27075">
        <w:t xml:space="preserve"> apsūdzētais </w:t>
      </w:r>
      <w:r w:rsidR="00CC06BC">
        <w:t>[pers. A]</w:t>
      </w:r>
      <w:r w:rsidR="00C27075">
        <w:t xml:space="preserve"> </w:t>
      </w:r>
      <w:r w:rsidR="002E3957" w:rsidRPr="002E3957">
        <w:t xml:space="preserve">izvairījies no </w:t>
      </w:r>
      <w:r w:rsidR="00B53485">
        <w:t xml:space="preserve">uzņēmumu ienākuma </w:t>
      </w:r>
      <w:r w:rsidR="002E3957" w:rsidRPr="002E3957">
        <w:t xml:space="preserve">nodokļa </w:t>
      </w:r>
      <w:r w:rsidR="00C27075">
        <w:t>nomaksas</w:t>
      </w:r>
      <w:r w:rsidR="002E3957" w:rsidRPr="002E3957">
        <w:t xml:space="preserve">, </w:t>
      </w:r>
      <w:r w:rsidR="00772CEA">
        <w:t xml:space="preserve">un </w:t>
      </w:r>
      <w:r w:rsidR="002E3957" w:rsidRPr="002E3957">
        <w:t>k</w:t>
      </w:r>
      <w:r w:rsidR="00550F68">
        <w:t>ād</w:t>
      </w:r>
      <w:r w:rsidR="00EB710E">
        <w:t>ā veidā š</w:t>
      </w:r>
      <w:r w:rsidR="00C27075">
        <w:t>īs</w:t>
      </w:r>
      <w:r w:rsidR="00EB710E">
        <w:t xml:space="preserve"> darbības </w:t>
      </w:r>
      <w:r w:rsidR="002E3957" w:rsidRPr="002E3957">
        <w:t xml:space="preserve">atbalstījusi apsūdzētā </w:t>
      </w:r>
      <w:r w:rsidR="00CC06BC">
        <w:t>[pers. B]</w:t>
      </w:r>
      <w:r w:rsidR="002E3957" w:rsidRPr="002E3957">
        <w:t>.</w:t>
      </w:r>
    </w:p>
    <w:p w14:paraId="2AE7F957" w14:textId="0C8F33B4" w:rsidR="00C27075" w:rsidRDefault="00D62DCD" w:rsidP="00D62DCD">
      <w:pPr>
        <w:spacing w:after="0" w:line="276" w:lineRule="auto"/>
        <w:ind w:firstLine="720"/>
        <w:jc w:val="both"/>
      </w:pPr>
      <w:r>
        <w:t>Tāpat a</w:t>
      </w:r>
      <w:r w:rsidR="00C27075" w:rsidRPr="00C27075">
        <w:t>psūdzībā</w:t>
      </w:r>
      <w:r w:rsidR="00C27075">
        <w:t>s</w:t>
      </w:r>
      <w:r w:rsidR="00C27075" w:rsidRPr="00C27075">
        <w:t xml:space="preserve"> norādīts, kāda </w:t>
      </w:r>
      <w:r w:rsidR="007D2EA3">
        <w:t xml:space="preserve">satura </w:t>
      </w:r>
      <w:r w:rsidR="00C27075" w:rsidRPr="00C27075">
        <w:t xml:space="preserve">nepatiesa informācija ir ietverta </w:t>
      </w:r>
      <w:r w:rsidR="007D2EA3">
        <w:t xml:space="preserve">gada pārskatā </w:t>
      </w:r>
      <w:r w:rsidR="00C27075" w:rsidRPr="00C27075">
        <w:t>un kā</w:t>
      </w:r>
      <w:r w:rsidR="00FA17B0">
        <w:t>dā veidā</w:t>
      </w:r>
      <w:r w:rsidR="00C27075" w:rsidRPr="00C27075">
        <w:t xml:space="preserve"> </w:t>
      </w:r>
      <w:r>
        <w:t>rēķina</w:t>
      </w:r>
      <w:r w:rsidR="00C27075" w:rsidRPr="00C27075">
        <w:t xml:space="preserve"> nepamatota iegrāmatošana </w:t>
      </w:r>
      <w:r w:rsidR="00CC0A1F">
        <w:t>ir</w:t>
      </w:r>
      <w:r w:rsidR="00C27075" w:rsidRPr="00C27075">
        <w:t xml:space="preserve"> ietekmējusi ar nodokli apliekamā objekta apmēru</w:t>
      </w:r>
      <w:r w:rsidR="00C27075">
        <w:t>.</w:t>
      </w:r>
    </w:p>
    <w:p w14:paraId="3466075C" w14:textId="7793A578" w:rsidR="006225A5" w:rsidRDefault="00BC19C5" w:rsidP="006225A5">
      <w:pPr>
        <w:spacing w:after="0" w:line="276" w:lineRule="auto"/>
        <w:ind w:firstLine="720"/>
        <w:jc w:val="both"/>
      </w:pPr>
      <w:r>
        <w:t>[</w:t>
      </w:r>
      <w:r w:rsidR="003047C8">
        <w:t>7</w:t>
      </w:r>
      <w:r>
        <w:t xml:space="preserve">.3.2] </w:t>
      </w:r>
      <w:r w:rsidR="006225A5" w:rsidRPr="006225A5">
        <w:t>Vienlaikus Senāts konstatē, ka apsūdzībās nozie</w:t>
      </w:r>
      <w:r w:rsidR="00744AA7">
        <w:t>guma</w:t>
      </w:r>
      <w:r w:rsidR="006225A5" w:rsidRPr="006225A5">
        <w:t xml:space="preserve"> objektīvās puses aprakstā nav norādīta informācija par uzņēmumu ienākuma nodokļa deklarācijas nepatieso saturu un</w:t>
      </w:r>
      <w:r w:rsidR="006225A5">
        <w:t xml:space="preserve"> tās</w:t>
      </w:r>
      <w:r w:rsidR="006225A5" w:rsidRPr="006225A5">
        <w:t xml:space="preserve"> iesniegšanu Valsts ieņēmumu dienestam.</w:t>
      </w:r>
    </w:p>
    <w:p w14:paraId="5086F3EF" w14:textId="2F6F5168" w:rsidR="006225A5" w:rsidRDefault="006225A5" w:rsidP="006225A5">
      <w:pPr>
        <w:spacing w:after="0" w:line="276" w:lineRule="auto"/>
        <w:ind w:firstLine="720"/>
        <w:jc w:val="both"/>
      </w:pPr>
      <w:r w:rsidRPr="006225A5">
        <w:t>Minētās informācijas iekļaušana apsūdzībā bija nepieciešama, jo nepastāvēja objektīvi šķēršļi tās noskaidrošana</w:t>
      </w:r>
      <w:r w:rsidR="009E0092">
        <w:t>i –</w:t>
      </w:r>
      <w:r w:rsidRPr="006225A5">
        <w:t xml:space="preserve"> tā lietā bija </w:t>
      </w:r>
      <w:r>
        <w:t xml:space="preserve">arī faktiski </w:t>
      </w:r>
      <w:r w:rsidRPr="006225A5">
        <w:t xml:space="preserve">noskaidrota </w:t>
      </w:r>
      <w:r w:rsidR="009E0092">
        <w:t>–</w:t>
      </w:r>
      <w:r w:rsidRPr="006225A5">
        <w:t xml:space="preserve"> un </w:t>
      </w:r>
      <w:r w:rsidR="00375F43">
        <w:t>attiecīgā darbība ir</w:t>
      </w:r>
      <w:r w:rsidRPr="006225A5">
        <w:t xml:space="preserve"> Krimināllikuma 218.</w:t>
      </w:r>
      <w:r w:rsidR="00896EA0">
        <w:t> </w:t>
      </w:r>
      <w:r w:rsidRPr="006225A5">
        <w:t>panta otrajā daļā paredzētā nozie</w:t>
      </w:r>
      <w:r w:rsidR="00890433">
        <w:t>guma</w:t>
      </w:r>
      <w:r w:rsidRPr="006225A5">
        <w:t xml:space="preserve"> objektīv</w:t>
      </w:r>
      <w:r w:rsidR="00375F43">
        <w:t>ās</w:t>
      </w:r>
      <w:r w:rsidRPr="006225A5">
        <w:t xml:space="preserve"> pus</w:t>
      </w:r>
      <w:r w:rsidR="00375F43">
        <w:t>es elements</w:t>
      </w:r>
      <w:r>
        <w:t>.</w:t>
      </w:r>
    </w:p>
    <w:p w14:paraId="01834ED9" w14:textId="18900BC6" w:rsidR="006225A5" w:rsidRDefault="006225A5" w:rsidP="006225A5">
      <w:pPr>
        <w:spacing w:after="0" w:line="276" w:lineRule="auto"/>
        <w:ind w:firstLine="720"/>
        <w:jc w:val="both"/>
      </w:pPr>
      <w:r w:rsidRPr="006225A5">
        <w:t>Minētais secinājums tiek pamatots ar šādiem argumentiem</w:t>
      </w:r>
      <w:r>
        <w:t>.</w:t>
      </w:r>
    </w:p>
    <w:p w14:paraId="3C332EC4" w14:textId="763FDA23" w:rsidR="00466E5D" w:rsidRDefault="00466E5D" w:rsidP="002643D9">
      <w:pPr>
        <w:spacing w:after="0" w:line="276" w:lineRule="auto"/>
        <w:ind w:firstLine="720"/>
        <w:jc w:val="both"/>
      </w:pPr>
      <w:r>
        <w:t>Krimināllikuma 218. panta otr</w:t>
      </w:r>
      <w:r w:rsidR="002643D9">
        <w:t xml:space="preserve">ajā daļā paredzētais noziegums </w:t>
      </w:r>
      <w:r w:rsidRPr="00466E5D">
        <w:t xml:space="preserve">var izpausties ne </w:t>
      </w:r>
      <w:r w:rsidR="006225A5">
        <w:t>vien</w:t>
      </w:r>
      <w:r w:rsidRPr="00466E5D">
        <w:t xml:space="preserve"> kā bezdarbība, bet arī kā aktīvas darbības, </w:t>
      </w:r>
      <w:smartTag w:uri="schemas-tilde-lv/tildestengine" w:element="veidnes">
        <w:smartTagPr>
          <w:attr w:name="baseform" w:val="deklarācij|a"/>
          <w:attr w:name="id" w:val="-1"/>
          <w:attr w:name="text" w:val="deklarācijās"/>
        </w:smartTagPr>
        <w:r w:rsidRPr="00466E5D">
          <w:t>deklarācijās</w:t>
        </w:r>
      </w:smartTag>
      <w:r w:rsidRPr="00466E5D">
        <w:t xml:space="preserve"> vai nodokļu aprēķinos noslēpjot vai samazinot nodokļu bāzi (ar nodokli apliekamo objektu) un no tās aprēķināto nodokļu summu (</w:t>
      </w:r>
      <w:r w:rsidRPr="00694A50">
        <w:rPr>
          <w:i/>
          <w:iCs/>
        </w:rPr>
        <w:t>tiesu prakses apkopojums</w:t>
      </w:r>
      <w:r w:rsidRPr="00466E5D">
        <w:t xml:space="preserve"> </w:t>
      </w:r>
      <w:r w:rsidR="00E00D68">
        <w:t>„</w:t>
      </w:r>
      <w:r w:rsidRPr="00466E5D">
        <w:rPr>
          <w:bCs/>
          <w:i/>
          <w:iCs/>
        </w:rPr>
        <w:t>Tiesu prakse lietās par noziedzīgi iegūtu līdzekļu legalizēšanu un par izvairīšanos no nodokļu maksāšanas”</w:t>
      </w:r>
      <w:r w:rsidR="004D50E5">
        <w:rPr>
          <w:bCs/>
          <w:i/>
          <w:iCs/>
        </w:rPr>
        <w:t>.</w:t>
      </w:r>
      <w:r w:rsidRPr="00466E5D">
        <w:rPr>
          <w:bCs/>
          <w:i/>
          <w:iCs/>
        </w:rPr>
        <w:t xml:space="preserve"> Latvijas Republikas Augstākā tiesa. 2013, kopsavilkuma 2.1. un 2.2. punkts, 88.</w:t>
      </w:r>
      <w:r>
        <w:rPr>
          <w:bCs/>
          <w:i/>
          <w:iCs/>
        </w:rPr>
        <w:t xml:space="preserve"> </w:t>
      </w:r>
      <w:r w:rsidRPr="00466E5D">
        <w:rPr>
          <w:bCs/>
          <w:i/>
          <w:iCs/>
        </w:rPr>
        <w:t>lappuse</w:t>
      </w:r>
      <w:r w:rsidRPr="00466E5D">
        <w:rPr>
          <w:bCs/>
        </w:rPr>
        <w:t>)</w:t>
      </w:r>
      <w:r w:rsidRPr="00466E5D">
        <w:t>.</w:t>
      </w:r>
    </w:p>
    <w:p w14:paraId="57799802" w14:textId="0AB4C35C" w:rsidR="004E105B" w:rsidRPr="009377C4" w:rsidRDefault="00313365" w:rsidP="00313365">
      <w:pPr>
        <w:spacing w:after="0" w:line="276" w:lineRule="auto"/>
        <w:ind w:firstLine="720"/>
        <w:jc w:val="both"/>
      </w:pPr>
      <w:r w:rsidRPr="009377C4">
        <w:t xml:space="preserve">Likuma </w:t>
      </w:r>
      <w:r w:rsidR="00E00D68">
        <w:t>„</w:t>
      </w:r>
      <w:r w:rsidRPr="009377C4">
        <w:t xml:space="preserve">Par nodokļiem un nodevām” </w:t>
      </w:r>
      <w:r w:rsidR="004E105B" w:rsidRPr="009377C4">
        <w:t>19. punkts noteic, ka nodokļa deklarācija ir nodokļu administrācijai iesniedzamā nodokļu maksātāja nodokļa deklarācija (arī tās pielikumi), pārskats, nodokļa aprēķins, ziņojums vai paziņojums, kurā norādāmi budžetā maksājamie nodokļi un no budžeta atmaksājamās nodokļu summas.</w:t>
      </w:r>
    </w:p>
    <w:p w14:paraId="11F2D0F3" w14:textId="4594D616" w:rsidR="008455D8" w:rsidRDefault="003208A5" w:rsidP="008455D8">
      <w:pPr>
        <w:spacing w:after="0" w:line="276" w:lineRule="auto"/>
        <w:ind w:firstLine="720"/>
        <w:jc w:val="both"/>
      </w:pPr>
      <w:r>
        <w:rPr>
          <w:rFonts w:eastAsia="Times New Roman"/>
          <w:lang w:eastAsia="lv-LV"/>
        </w:rPr>
        <w:t>Judikatūrā ir skaidrots, ka n</w:t>
      </w:r>
      <w:r w:rsidR="008455D8" w:rsidRPr="008F7FEA">
        <w:rPr>
          <w:rFonts w:eastAsia="Times New Roman"/>
          <w:lang w:eastAsia="lv-LV"/>
        </w:rPr>
        <w:t>odokļa d</w:t>
      </w:r>
      <w:r w:rsidR="008455D8" w:rsidRPr="008F7FEA">
        <w:t>eklarācija ir vienpusējs akts, ar kuru persona paziņo Valsts ieņēmumu dienestam par gūtajiem ienākumiem un par maksājamo nodokli</w:t>
      </w:r>
      <w:r w:rsidR="008455D8">
        <w:t xml:space="preserve"> (sk. </w:t>
      </w:r>
      <w:bookmarkStart w:id="16" w:name="_Hlk217306239"/>
      <w:r w:rsidR="008455D8" w:rsidRPr="004E105B">
        <w:rPr>
          <w:i/>
          <w:iCs/>
        </w:rPr>
        <w:t>Senāta 2015.</w:t>
      </w:r>
      <w:r w:rsidR="008455D8">
        <w:rPr>
          <w:i/>
          <w:iCs/>
        </w:rPr>
        <w:t> </w:t>
      </w:r>
      <w:r w:rsidR="008455D8" w:rsidRPr="004E105B">
        <w:rPr>
          <w:i/>
          <w:iCs/>
        </w:rPr>
        <w:t>gada 30.</w:t>
      </w:r>
      <w:r w:rsidR="008455D8">
        <w:rPr>
          <w:i/>
          <w:iCs/>
        </w:rPr>
        <w:t> </w:t>
      </w:r>
      <w:r w:rsidR="008455D8" w:rsidRPr="004E105B">
        <w:rPr>
          <w:i/>
          <w:iCs/>
        </w:rPr>
        <w:t>marta spriedum</w:t>
      </w:r>
      <w:r w:rsidR="008455D8">
        <w:rPr>
          <w:i/>
          <w:iCs/>
        </w:rPr>
        <w:t>a</w:t>
      </w:r>
      <w:r w:rsidR="008455D8" w:rsidRPr="004E105B">
        <w:rPr>
          <w:i/>
          <w:iCs/>
        </w:rPr>
        <w:t xml:space="preserve"> lietā Nr.</w:t>
      </w:r>
      <w:r w:rsidR="00D57D37">
        <w:rPr>
          <w:i/>
          <w:iCs/>
        </w:rPr>
        <w:t> </w:t>
      </w:r>
      <w:r w:rsidR="008455D8" w:rsidRPr="004E105B">
        <w:rPr>
          <w:i/>
          <w:iCs/>
        </w:rPr>
        <w:t>SKA-26/2015, 21.</w:t>
      </w:r>
      <w:r w:rsidR="00896EA0">
        <w:rPr>
          <w:i/>
          <w:iCs/>
        </w:rPr>
        <w:t> </w:t>
      </w:r>
      <w:r w:rsidR="008455D8" w:rsidRPr="004E105B">
        <w:rPr>
          <w:i/>
          <w:iCs/>
        </w:rPr>
        <w:t>punkt</w:t>
      </w:r>
      <w:r w:rsidR="008455D8">
        <w:rPr>
          <w:i/>
          <w:iCs/>
        </w:rPr>
        <w:t xml:space="preserve">u, </w:t>
      </w:r>
      <w:r w:rsidR="008455D8" w:rsidRPr="00ED05AE">
        <w:rPr>
          <w:i/>
          <w:iCs/>
        </w:rPr>
        <w:t>2017. gada 26. oktobra spriedum</w:t>
      </w:r>
      <w:r w:rsidR="008455D8">
        <w:rPr>
          <w:i/>
          <w:iCs/>
        </w:rPr>
        <w:t>a</w:t>
      </w:r>
      <w:r w:rsidR="008455D8" w:rsidRPr="00ED05AE">
        <w:rPr>
          <w:i/>
          <w:iCs/>
        </w:rPr>
        <w:t xml:space="preserve"> lietā Nr. SKA-98/2017</w:t>
      </w:r>
      <w:r w:rsidR="009377C4">
        <w:rPr>
          <w:i/>
          <w:iCs/>
        </w:rPr>
        <w:t xml:space="preserve">, </w:t>
      </w:r>
      <w:r w:rsidR="008455D8" w:rsidRPr="00ED05AE">
        <w:rPr>
          <w:i/>
          <w:iCs/>
        </w:rPr>
        <w:t>ECLI:LV:AT:2017:1026.A420575812.1.S, 10.</w:t>
      </w:r>
      <w:r w:rsidR="00896EA0">
        <w:rPr>
          <w:i/>
          <w:iCs/>
        </w:rPr>
        <w:t> </w:t>
      </w:r>
      <w:r w:rsidR="008455D8" w:rsidRPr="00ED05AE">
        <w:rPr>
          <w:i/>
          <w:iCs/>
        </w:rPr>
        <w:t>punkt</w:t>
      </w:r>
      <w:r w:rsidR="008455D8">
        <w:rPr>
          <w:i/>
          <w:iCs/>
        </w:rPr>
        <w:t xml:space="preserve">u, </w:t>
      </w:r>
      <w:r w:rsidR="008455D8" w:rsidRPr="004E105B">
        <w:rPr>
          <w:i/>
          <w:iCs/>
        </w:rPr>
        <w:t>2018.</w:t>
      </w:r>
      <w:r w:rsidR="008455D8">
        <w:rPr>
          <w:i/>
          <w:iCs/>
        </w:rPr>
        <w:t> </w:t>
      </w:r>
      <w:r w:rsidR="008455D8" w:rsidRPr="004E105B">
        <w:rPr>
          <w:i/>
          <w:iCs/>
        </w:rPr>
        <w:t>gada 17.</w:t>
      </w:r>
      <w:r w:rsidR="008455D8">
        <w:rPr>
          <w:i/>
          <w:iCs/>
        </w:rPr>
        <w:t> </w:t>
      </w:r>
      <w:r w:rsidR="008455D8" w:rsidRPr="004E105B">
        <w:rPr>
          <w:i/>
          <w:iCs/>
        </w:rPr>
        <w:t>maija rīcības sēdes lēmum</w:t>
      </w:r>
      <w:r w:rsidR="008455D8">
        <w:rPr>
          <w:i/>
          <w:iCs/>
        </w:rPr>
        <w:t>a</w:t>
      </w:r>
      <w:r w:rsidR="008455D8" w:rsidRPr="004E105B">
        <w:rPr>
          <w:i/>
          <w:iCs/>
        </w:rPr>
        <w:t xml:space="preserve"> lietā Nr.</w:t>
      </w:r>
      <w:r w:rsidR="008455D8">
        <w:rPr>
          <w:i/>
          <w:iCs/>
        </w:rPr>
        <w:t> </w:t>
      </w:r>
      <w:r w:rsidR="008455D8" w:rsidRPr="004E105B">
        <w:rPr>
          <w:i/>
          <w:iCs/>
        </w:rPr>
        <w:t>SKA-78/2018</w:t>
      </w:r>
      <w:r w:rsidR="008455D8">
        <w:rPr>
          <w:i/>
          <w:iCs/>
        </w:rPr>
        <w:t xml:space="preserve">, </w:t>
      </w:r>
      <w:r w:rsidR="008455D8" w:rsidRPr="004E105B">
        <w:rPr>
          <w:i/>
          <w:iCs/>
        </w:rPr>
        <w:t>ECLI:LV:AT:2018:0517.A420533612.1</w:t>
      </w:r>
      <w:bookmarkEnd w:id="16"/>
      <w:r w:rsidR="008455D8" w:rsidRPr="004E105B">
        <w:rPr>
          <w:i/>
          <w:iCs/>
        </w:rPr>
        <w:t>.L, 7.</w:t>
      </w:r>
      <w:r w:rsidR="008455D8">
        <w:rPr>
          <w:i/>
          <w:iCs/>
        </w:rPr>
        <w:t> </w:t>
      </w:r>
      <w:r w:rsidR="008455D8" w:rsidRPr="004E105B">
        <w:rPr>
          <w:i/>
          <w:iCs/>
        </w:rPr>
        <w:t>punk</w:t>
      </w:r>
      <w:r w:rsidR="008455D8">
        <w:rPr>
          <w:i/>
          <w:iCs/>
        </w:rPr>
        <w:t>t</w:t>
      </w:r>
      <w:r w:rsidR="00E00D68">
        <w:rPr>
          <w:i/>
          <w:iCs/>
        </w:rPr>
        <w:t>u</w:t>
      </w:r>
      <w:r w:rsidR="008455D8" w:rsidRPr="003C0DE8">
        <w:t>).</w:t>
      </w:r>
    </w:p>
    <w:p w14:paraId="617308AA" w14:textId="408F6F97" w:rsidR="0018078B" w:rsidRPr="00666155" w:rsidRDefault="0018078B" w:rsidP="00666155">
      <w:pPr>
        <w:spacing w:after="0" w:line="276" w:lineRule="auto"/>
        <w:ind w:firstLine="720"/>
        <w:jc w:val="both"/>
        <w:rPr>
          <w:bCs/>
          <w:i/>
          <w:iCs/>
        </w:rPr>
      </w:pPr>
      <w:r>
        <w:t>Tiesu prakses apkopojumā norādīts, ka, f</w:t>
      </w:r>
      <w:r w:rsidRPr="00A40A98">
        <w:t>ormulējot apsūdzību, jāņem vērā</w:t>
      </w:r>
      <w:r>
        <w:t xml:space="preserve"> </w:t>
      </w:r>
      <w:r w:rsidRPr="00A40A98">
        <w:t>likuma „Par nodokļiem un nodevām” 1.</w:t>
      </w:r>
      <w:r>
        <w:t> </w:t>
      </w:r>
      <w:r w:rsidRPr="00A40A98">
        <w:t>panta 14.</w:t>
      </w:r>
      <w:r>
        <w:t> </w:t>
      </w:r>
      <w:r w:rsidRPr="00A40A98">
        <w:t xml:space="preserve">punktā </w:t>
      </w:r>
      <w:r>
        <w:t>sniegt</w:t>
      </w:r>
      <w:r w:rsidR="009E0092">
        <w:t>ais</w:t>
      </w:r>
      <w:r>
        <w:t xml:space="preserve"> skaidrojum</w:t>
      </w:r>
      <w:r w:rsidR="009E0092">
        <w:t>s</w:t>
      </w:r>
      <w:r>
        <w:t xml:space="preserve"> par to</w:t>
      </w:r>
      <w:r w:rsidRPr="00A40A98">
        <w:t>, ka izvairīšanās no nodokļu vai nodevu maksāšanas ir</w:t>
      </w:r>
      <w:r w:rsidR="009E0092">
        <w:t>:</w:t>
      </w:r>
      <w:r w:rsidRPr="00A40A98">
        <w:t xml:space="preserve"> 1)</w:t>
      </w:r>
      <w:r w:rsidR="00896EA0">
        <w:t> </w:t>
      </w:r>
      <w:r w:rsidRPr="00A40A98">
        <w:t xml:space="preserve">apzināta nepatiesas informācijas sniegšana nodokļu </w:t>
      </w:r>
      <w:smartTag w:uri="schemas-tilde-lv/tildestengine" w:element="veidnes">
        <w:smartTagPr>
          <w:attr w:name="baseform" w:val="deklarācij|a"/>
          <w:attr w:name="id" w:val="-1"/>
          <w:attr w:name="text" w:val="deklarācijās"/>
        </w:smartTagPr>
        <w:r w:rsidRPr="00A40A98">
          <w:t>deklarācijās</w:t>
        </w:r>
      </w:smartTag>
      <w:r w:rsidRPr="00A40A98">
        <w:t>; 2)</w:t>
      </w:r>
      <w:r w:rsidR="00896EA0">
        <w:t> </w:t>
      </w:r>
      <w:r w:rsidRPr="00A40A98">
        <w:t xml:space="preserve">nodokļu </w:t>
      </w:r>
      <w:smartTag w:uri="schemas-tilde-lv/tildestengine" w:element="veidnes">
        <w:smartTagPr>
          <w:attr w:name="baseform" w:val="deklarācij|a"/>
          <w:attr w:name="id" w:val="-1"/>
          <w:attr w:name="text" w:val="deklarāciju"/>
        </w:smartTagPr>
        <w:r w:rsidRPr="00A40A98">
          <w:t>deklarāciju</w:t>
        </w:r>
      </w:smartTag>
      <w:r w:rsidRPr="00A40A98">
        <w:t xml:space="preserve">, informatīvo </w:t>
      </w:r>
      <w:smartTag w:uri="schemas-tilde-lv/tildestengine" w:element="veidnes">
        <w:smartTagPr>
          <w:attr w:name="baseform" w:val="deklarācij|a"/>
          <w:attr w:name="id" w:val="-1"/>
          <w:attr w:name="text" w:val="deklarāciju"/>
        </w:smartTagPr>
        <w:r w:rsidRPr="00A40A98">
          <w:t>deklarāciju</w:t>
        </w:r>
      </w:smartTag>
      <w:r w:rsidRPr="00A40A98">
        <w:t xml:space="preserve"> vai </w:t>
      </w:r>
      <w:r w:rsidRPr="00A40A98">
        <w:lastRenderedPageBreak/>
        <w:t>nodokļu administrēšanai un kontrolei nepieciešamās pieprasītās informācijas neiesniegšana; 3)</w:t>
      </w:r>
      <w:r w:rsidR="00896EA0">
        <w:t> </w:t>
      </w:r>
      <w:r w:rsidRPr="00A40A98">
        <w:t>nelikumīga nodokļu atvieglojumu, priekšrocību un atlaižu piemērošana vai 4)</w:t>
      </w:r>
      <w:r w:rsidR="00896EA0">
        <w:t> </w:t>
      </w:r>
      <w:r w:rsidRPr="00A40A98">
        <w:t xml:space="preserve">jebkura cita apzināta darbība vai bezdarbība, kuras dēļ nodokļi vai nodevas nav samaksātas pilnā apmērā vai daļēji </w:t>
      </w:r>
      <w:bookmarkStart w:id="17" w:name="_Hlk206184566"/>
      <w:r w:rsidR="00666155" w:rsidRPr="00466E5D">
        <w:t>(</w:t>
      </w:r>
      <w:r w:rsidR="00666155" w:rsidRPr="00694A50">
        <w:rPr>
          <w:i/>
          <w:iCs/>
        </w:rPr>
        <w:t>tiesu prakses apkopojums</w:t>
      </w:r>
      <w:r w:rsidR="00666155" w:rsidRPr="00466E5D">
        <w:t xml:space="preserve"> </w:t>
      </w:r>
      <w:r w:rsidR="00666155">
        <w:t>„</w:t>
      </w:r>
      <w:r w:rsidR="00666155" w:rsidRPr="00466E5D">
        <w:rPr>
          <w:bCs/>
          <w:i/>
          <w:iCs/>
        </w:rPr>
        <w:t>Tiesu prakse lietās par noziedzīgi iegūtu līdzekļu legalizēšanu un par izvairīšanos no nodokļu maksāšanas”</w:t>
      </w:r>
      <w:r w:rsidR="00666155">
        <w:rPr>
          <w:bCs/>
          <w:i/>
          <w:iCs/>
        </w:rPr>
        <w:t>.</w:t>
      </w:r>
      <w:r w:rsidR="00666155" w:rsidRPr="00466E5D">
        <w:rPr>
          <w:bCs/>
          <w:i/>
          <w:iCs/>
        </w:rPr>
        <w:t xml:space="preserve"> Latvijas Republikas Augstākā tiesa. 2013, </w:t>
      </w:r>
      <w:r>
        <w:rPr>
          <w:bCs/>
          <w:i/>
          <w:iCs/>
        </w:rPr>
        <w:t>kopsavilkuma 3. punkts, 89</w:t>
      </w:r>
      <w:r w:rsidRPr="00A40A98">
        <w:rPr>
          <w:bCs/>
          <w:i/>
          <w:iCs/>
        </w:rPr>
        <w:t>.</w:t>
      </w:r>
      <w:r>
        <w:rPr>
          <w:bCs/>
          <w:i/>
          <w:iCs/>
        </w:rPr>
        <w:t> </w:t>
      </w:r>
      <w:r w:rsidRPr="00A40A98">
        <w:rPr>
          <w:bCs/>
          <w:i/>
          <w:iCs/>
        </w:rPr>
        <w:t>lappuse</w:t>
      </w:r>
      <w:r w:rsidRPr="00A40A98">
        <w:rPr>
          <w:bCs/>
        </w:rPr>
        <w:t>).</w:t>
      </w:r>
      <w:bookmarkEnd w:id="17"/>
    </w:p>
    <w:p w14:paraId="66DF7A0D" w14:textId="77777777" w:rsidR="009E0092" w:rsidRDefault="00E00D68" w:rsidP="00412FA0">
      <w:pPr>
        <w:spacing w:after="0" w:line="276" w:lineRule="auto"/>
        <w:ind w:firstLine="720"/>
        <w:jc w:val="both"/>
        <w:rPr>
          <w:bCs/>
        </w:rPr>
      </w:pPr>
      <w:r>
        <w:rPr>
          <w:bCs/>
        </w:rPr>
        <w:t>Senāts norāda, ka p</w:t>
      </w:r>
      <w:r w:rsidR="0018078B" w:rsidRPr="002643D9">
        <w:rPr>
          <w:bCs/>
        </w:rPr>
        <w:t xml:space="preserve">azīme </w:t>
      </w:r>
      <w:r>
        <w:rPr>
          <w:bCs/>
        </w:rPr>
        <w:t>„</w:t>
      </w:r>
      <w:r w:rsidR="0018078B" w:rsidRPr="002643D9">
        <w:rPr>
          <w:bCs/>
        </w:rPr>
        <w:t xml:space="preserve">jebkura cita apzināta darbība vai bezdarbība” attiecināma uz tādu </w:t>
      </w:r>
      <w:r w:rsidR="009377C4">
        <w:rPr>
          <w:bCs/>
        </w:rPr>
        <w:t xml:space="preserve">nodokļa maksātāja </w:t>
      </w:r>
      <w:r w:rsidR="0018078B" w:rsidRPr="002643D9">
        <w:rPr>
          <w:bCs/>
        </w:rPr>
        <w:t>rīcību, ko neaptver iepriekš uzskaitītās kategorijas</w:t>
      </w:r>
      <w:r w:rsidR="009E0092">
        <w:rPr>
          <w:bCs/>
        </w:rPr>
        <w:t>.</w:t>
      </w:r>
    </w:p>
    <w:p w14:paraId="6CB7C7A5" w14:textId="5D085BEA" w:rsidR="0018078B" w:rsidRDefault="009E0092" w:rsidP="00412FA0">
      <w:pPr>
        <w:spacing w:after="0" w:line="276" w:lineRule="auto"/>
        <w:ind w:firstLine="720"/>
        <w:jc w:val="both"/>
      </w:pPr>
      <w:r>
        <w:rPr>
          <w:bCs/>
        </w:rPr>
        <w:t xml:space="preserve">Ievērojot minēto, </w:t>
      </w:r>
      <w:bookmarkStart w:id="18" w:name="_Hlk213943189"/>
      <w:r>
        <w:rPr>
          <w:bCs/>
        </w:rPr>
        <w:t>sastādot apsūdzīb</w:t>
      </w:r>
      <w:r w:rsidR="007F1B6D">
        <w:rPr>
          <w:bCs/>
        </w:rPr>
        <w:t>u,</w:t>
      </w:r>
      <w:r>
        <w:rPr>
          <w:bCs/>
        </w:rPr>
        <w:t xml:space="preserve"> prokurors nav ņēmis vērā, ka tajā bija jānorāda</w:t>
      </w:r>
      <w:r>
        <w:t>, kādas nepatiesas ziņas ietvertas</w:t>
      </w:r>
      <w:r w:rsidRPr="006225A5">
        <w:t xml:space="preserve"> uzņēmumu ienākuma nodokļa deklarācij</w:t>
      </w:r>
      <w:r>
        <w:t>ā</w:t>
      </w:r>
      <w:r w:rsidR="001453D2">
        <w:t xml:space="preserve">, kā arī tas, </w:t>
      </w:r>
      <w:r>
        <w:t>ka</w:t>
      </w:r>
      <w:r w:rsidR="007F1B6D">
        <w:t xml:space="preserve"> </w:t>
      </w:r>
      <w:r>
        <w:t>nepatiesā deklarācija iesniegta</w:t>
      </w:r>
      <w:r w:rsidRPr="006225A5">
        <w:t xml:space="preserve"> Valsts ieņēmumu dienestam</w:t>
      </w:r>
      <w:r>
        <w:t>.</w:t>
      </w:r>
    </w:p>
    <w:p w14:paraId="15BD1C2D" w14:textId="11A4684E" w:rsidR="007D2EA3" w:rsidRDefault="00412FA0" w:rsidP="009E2C6C">
      <w:pPr>
        <w:spacing w:after="0" w:line="276" w:lineRule="auto"/>
        <w:ind w:firstLine="720"/>
        <w:jc w:val="both"/>
      </w:pPr>
      <w:r>
        <w:t>[</w:t>
      </w:r>
      <w:r w:rsidR="003047C8">
        <w:t>7</w:t>
      </w:r>
      <w:r>
        <w:t>.</w:t>
      </w:r>
      <w:r w:rsidR="00BC19C5">
        <w:t>3.3</w:t>
      </w:r>
      <w:r>
        <w:t xml:space="preserve">] </w:t>
      </w:r>
      <w:r w:rsidR="006635EF">
        <w:t xml:space="preserve">Tomēr </w:t>
      </w:r>
      <w:r w:rsidR="001821A0">
        <w:t>minētā nepilnība</w:t>
      </w:r>
      <w:r w:rsidR="005D19F4" w:rsidRPr="005D19F4">
        <w:t xml:space="preserve"> nav uzskatāma par tādu, kas</w:t>
      </w:r>
      <w:r w:rsidR="00375F43">
        <w:t xml:space="preserve"> </w:t>
      </w:r>
      <w:r w:rsidR="005D19F4" w:rsidRPr="005D19F4">
        <w:t>ietekmēj</w:t>
      </w:r>
      <w:r w:rsidR="00DE21B5">
        <w:t>usi</w:t>
      </w:r>
      <w:r w:rsidR="005D19F4" w:rsidRPr="005D19F4">
        <w:t xml:space="preserve"> apsūdzēto tiesības uz aizstāvību. </w:t>
      </w:r>
    </w:p>
    <w:p w14:paraId="2A37DB2A" w14:textId="6D6B1E52" w:rsidR="001453D2" w:rsidRDefault="001453D2" w:rsidP="001453D2">
      <w:pPr>
        <w:spacing w:after="0" w:line="276" w:lineRule="auto"/>
        <w:ind w:firstLine="720"/>
        <w:jc w:val="both"/>
      </w:pPr>
      <w:r w:rsidRPr="001453D2">
        <w:t xml:space="preserve">Izšķiroša nozīme ir tam, ka apsūdzībās </w:t>
      </w:r>
      <w:r>
        <w:t xml:space="preserve">ir </w:t>
      </w:r>
      <w:r w:rsidRPr="001453D2">
        <w:t>norādīts, kāda tieši nepatiesa informācija bijusi pamats nepamatoti samazināt ar nodokli apliekamo objektu, proti – SIA</w:t>
      </w:r>
      <w:r w:rsidR="00A8717D">
        <w:t> </w:t>
      </w:r>
      <w:r>
        <w:t>„</w:t>
      </w:r>
      <w:r w:rsidR="0067609C">
        <w:t>[Nosaukums A]</w:t>
      </w:r>
      <w:r w:rsidRPr="001453D2">
        <w:t xml:space="preserve">” izdevumos iekļauta informācija par faktiski nenotikušu darījumu ar </w:t>
      </w:r>
      <w:r w:rsidR="00A8717D">
        <w:t>„</w:t>
      </w:r>
      <w:r w:rsidR="0067609C">
        <w:t>[Nosaukums B]</w:t>
      </w:r>
      <w:r>
        <w:t>”.</w:t>
      </w:r>
    </w:p>
    <w:bookmarkEnd w:id="18"/>
    <w:p w14:paraId="37B715D0" w14:textId="692B9731" w:rsidR="004B4C3E" w:rsidRDefault="003527D9" w:rsidP="00375F43">
      <w:pPr>
        <w:spacing w:after="0" w:line="276" w:lineRule="auto"/>
        <w:ind w:firstLine="720"/>
        <w:jc w:val="both"/>
      </w:pPr>
      <w:r>
        <w:t xml:space="preserve">Šī informācija </w:t>
      </w:r>
      <w:r w:rsidR="007F1B6D">
        <w:t>bija</w:t>
      </w:r>
      <w:r>
        <w:t xml:space="preserve"> pietiekama, lai</w:t>
      </w:r>
      <w:r w:rsidRPr="003527D9">
        <w:t xml:space="preserve"> apsūdzētaj</w:t>
      </w:r>
      <w:r w:rsidR="004F5704">
        <w:t>ie</w:t>
      </w:r>
      <w:r w:rsidRPr="003527D9">
        <w:t xml:space="preserve">m </w:t>
      </w:r>
      <w:r>
        <w:t>būtu</w:t>
      </w:r>
      <w:r w:rsidRPr="003527D9">
        <w:t xml:space="preserve"> iespējams īstenot tiesības uz aizstāvību</w:t>
      </w:r>
      <w:r>
        <w:t>.</w:t>
      </w:r>
    </w:p>
    <w:p w14:paraId="21B16DA8" w14:textId="1CE8EF81" w:rsidR="00917B59" w:rsidRDefault="00DE66B3" w:rsidP="00DE66B3">
      <w:pPr>
        <w:spacing w:after="0" w:line="276" w:lineRule="auto"/>
        <w:ind w:firstLine="720"/>
        <w:jc w:val="both"/>
      </w:pPr>
      <w:r>
        <w:t xml:space="preserve">To, ka </w:t>
      </w:r>
      <w:r w:rsidR="003527D9">
        <w:t xml:space="preserve">šīs tiesības </w:t>
      </w:r>
      <w:r>
        <w:t>n</w:t>
      </w:r>
      <w:r w:rsidR="00DE058D">
        <w:t>etika</w:t>
      </w:r>
      <w:r>
        <w:t xml:space="preserve"> </w:t>
      </w:r>
      <w:r w:rsidR="00DE058D">
        <w:t>ierobežotas</w:t>
      </w:r>
      <w:r>
        <w:t xml:space="preserve">, </w:t>
      </w:r>
      <w:r w:rsidR="00917B59" w:rsidRPr="00917B59">
        <w:t xml:space="preserve">apstiprina arī </w:t>
      </w:r>
      <w:r w:rsidR="003208A5">
        <w:t>apsūdzēto</w:t>
      </w:r>
      <w:r w:rsidR="00917B59" w:rsidRPr="00917B59">
        <w:t xml:space="preserve"> paskaidrojumi un liecības</w:t>
      </w:r>
      <w:r w:rsidR="005D19F4">
        <w:t>.</w:t>
      </w:r>
    </w:p>
    <w:bookmarkEnd w:id="15"/>
    <w:p w14:paraId="5A8FBC85" w14:textId="4535FE8C" w:rsidR="005872D2" w:rsidRDefault="0060389D" w:rsidP="00255525">
      <w:pPr>
        <w:spacing w:after="0" w:line="276" w:lineRule="auto"/>
        <w:ind w:firstLine="720"/>
        <w:jc w:val="both"/>
      </w:pPr>
      <w:r w:rsidRPr="002E3957">
        <w:t xml:space="preserve">No lietas materiāliem </w:t>
      </w:r>
      <w:r>
        <w:t>izriet</w:t>
      </w:r>
      <w:r w:rsidRPr="002E3957">
        <w:t xml:space="preserve">, ka </w:t>
      </w:r>
      <w:r w:rsidR="00C27075" w:rsidRPr="002E3957">
        <w:t>2020.</w:t>
      </w:r>
      <w:r w:rsidR="00C27075">
        <w:t> </w:t>
      </w:r>
      <w:r w:rsidR="00C27075" w:rsidRPr="002E3957">
        <w:t>gada 28.</w:t>
      </w:r>
      <w:r w:rsidR="00C27075">
        <w:t> </w:t>
      </w:r>
      <w:r w:rsidR="00C27075" w:rsidRPr="002E3957">
        <w:t>oktobrī</w:t>
      </w:r>
      <w:r w:rsidR="00C27075">
        <w:t xml:space="preserve"> </w:t>
      </w:r>
      <w:r w:rsidRPr="002E3957">
        <w:t xml:space="preserve">apsūdzētais </w:t>
      </w:r>
      <w:r w:rsidR="00CC06BC">
        <w:t>[pers. A]</w:t>
      </w:r>
      <w:r w:rsidRPr="002E3957">
        <w:t xml:space="preserve"> </w:t>
      </w:r>
      <w:r>
        <w:t xml:space="preserve">un </w:t>
      </w:r>
      <w:r w:rsidR="00C27075" w:rsidRPr="002E3957">
        <w:t>2020.</w:t>
      </w:r>
      <w:r w:rsidR="00C27075">
        <w:t> </w:t>
      </w:r>
      <w:r w:rsidR="00C27075" w:rsidRPr="002E3957">
        <w:t>gada 21.</w:t>
      </w:r>
      <w:r w:rsidR="00C27075">
        <w:t> </w:t>
      </w:r>
      <w:r w:rsidR="00C27075" w:rsidRPr="002E3957">
        <w:t xml:space="preserve">aprīlī </w:t>
      </w:r>
      <w:r w:rsidRPr="002E3957">
        <w:t xml:space="preserve">apsūdzētā </w:t>
      </w:r>
      <w:r w:rsidR="00CC06BC">
        <w:t>[pers. B]</w:t>
      </w:r>
      <w:r w:rsidRPr="002E3957">
        <w:t xml:space="preserve"> nav izteikuši</w:t>
      </w:r>
      <w:r>
        <w:t xml:space="preserve"> </w:t>
      </w:r>
      <w:r w:rsidR="00C27075" w:rsidRPr="002E3957">
        <w:t>iebildumus pret apsūdzības sa</w:t>
      </w:r>
      <w:r w:rsidR="003208A5">
        <w:t xml:space="preserve">turu </w:t>
      </w:r>
      <w:r>
        <w:t>(</w:t>
      </w:r>
      <w:r w:rsidR="005872D2" w:rsidRPr="005872D2">
        <w:rPr>
          <w:i/>
          <w:iCs/>
        </w:rPr>
        <w:t xml:space="preserve">lietas </w:t>
      </w:r>
      <w:r>
        <w:rPr>
          <w:i/>
          <w:iCs/>
        </w:rPr>
        <w:t>9. sējuma 114.</w:t>
      </w:r>
      <w:r w:rsidR="00094B9E">
        <w:rPr>
          <w:i/>
          <w:iCs/>
        </w:rPr>
        <w:t>–</w:t>
      </w:r>
      <w:r>
        <w:rPr>
          <w:i/>
          <w:iCs/>
        </w:rPr>
        <w:t xml:space="preserve">116. lappuse, </w:t>
      </w:r>
      <w:r w:rsidRPr="000C7519">
        <w:rPr>
          <w:i/>
          <w:iCs/>
        </w:rPr>
        <w:t>7. sējuma 133. lap</w:t>
      </w:r>
      <w:r>
        <w:rPr>
          <w:i/>
          <w:iCs/>
        </w:rPr>
        <w:t>puse</w:t>
      </w:r>
      <w:r>
        <w:t>)</w:t>
      </w:r>
      <w:r w:rsidRPr="002E3957">
        <w:t xml:space="preserve">. </w:t>
      </w:r>
      <w:r w:rsidR="005872D2">
        <w:t>A</w:t>
      </w:r>
      <w:r w:rsidR="005872D2" w:rsidRPr="002E3957">
        <w:t>psūdzētie</w:t>
      </w:r>
      <w:r w:rsidR="005872D2">
        <w:t xml:space="preserve"> </w:t>
      </w:r>
      <w:r w:rsidR="005872D2" w:rsidRPr="002E3957">
        <w:t>pirmstiesas kriminālprocesā</w:t>
      </w:r>
      <w:r w:rsidR="005872D2">
        <w:t xml:space="preserve"> </w:t>
      </w:r>
      <w:r w:rsidR="005872D2" w:rsidRPr="002E3957">
        <w:t xml:space="preserve">snieguši </w:t>
      </w:r>
      <w:r w:rsidR="005872D2">
        <w:t xml:space="preserve">arī </w:t>
      </w:r>
      <w:r w:rsidR="005872D2" w:rsidRPr="002E3957">
        <w:t>liecības</w:t>
      </w:r>
      <w:r w:rsidR="005872D2">
        <w:t xml:space="preserve"> </w:t>
      </w:r>
      <w:r w:rsidR="005872D2" w:rsidRPr="002E3957">
        <w:t>par apsūdzībā</w:t>
      </w:r>
      <w:r w:rsidR="005872D2">
        <w:t>s</w:t>
      </w:r>
      <w:r w:rsidR="005872D2" w:rsidRPr="002E3957">
        <w:t xml:space="preserve"> norādītajiem apstākļiem</w:t>
      </w:r>
      <w:r w:rsidR="005872D2">
        <w:t>, apstrīdot nodoma izvairīties no nodokļa nomaksas</w:t>
      </w:r>
      <w:r w:rsidR="00174C55">
        <w:t> </w:t>
      </w:r>
      <w:r w:rsidR="005872D2">
        <w:t>esību.</w:t>
      </w:r>
    </w:p>
    <w:p w14:paraId="2190F6F2" w14:textId="51421535" w:rsidR="0060389D" w:rsidRDefault="005872D2" w:rsidP="00255525">
      <w:pPr>
        <w:spacing w:after="0" w:line="276" w:lineRule="auto"/>
        <w:ind w:firstLine="720"/>
        <w:jc w:val="both"/>
      </w:pPr>
      <w:r>
        <w:t>Arī n</w:t>
      </w:r>
      <w:r w:rsidR="0060389D" w:rsidRPr="002E3957">
        <w:t>o pirmās instances tiesas sēdes protokola izriet, ka apsūdzīb</w:t>
      </w:r>
      <w:r>
        <w:t>u</w:t>
      </w:r>
      <w:r w:rsidR="00DE058D">
        <w:t xml:space="preserve"> saturs</w:t>
      </w:r>
      <w:r w:rsidR="0060389D" w:rsidRPr="002E3957">
        <w:t xml:space="preserve"> </w:t>
      </w:r>
      <w:r w:rsidR="00DE058D" w:rsidRPr="002E3957">
        <w:t xml:space="preserve">apsūdzētajiem </w:t>
      </w:r>
      <w:r w:rsidR="0060389D" w:rsidRPr="002E3957">
        <w:t>bija saprotam</w:t>
      </w:r>
      <w:r w:rsidR="00DE058D">
        <w:t>s</w:t>
      </w:r>
      <w:r w:rsidR="0060389D">
        <w:t xml:space="preserve"> (</w:t>
      </w:r>
      <w:r w:rsidRPr="005872D2">
        <w:rPr>
          <w:i/>
          <w:iCs/>
        </w:rPr>
        <w:t>lietas</w:t>
      </w:r>
      <w:r>
        <w:t xml:space="preserve"> </w:t>
      </w:r>
      <w:r w:rsidR="0060389D" w:rsidRPr="0060389D">
        <w:rPr>
          <w:i/>
          <w:iCs/>
        </w:rPr>
        <w:t>11.</w:t>
      </w:r>
      <w:r w:rsidR="0060389D">
        <w:rPr>
          <w:i/>
          <w:iCs/>
        </w:rPr>
        <w:t> </w:t>
      </w:r>
      <w:r w:rsidR="0060389D" w:rsidRPr="0060389D">
        <w:rPr>
          <w:i/>
          <w:iCs/>
        </w:rPr>
        <w:t>sējuma 59.</w:t>
      </w:r>
      <w:r w:rsidR="00094B9E">
        <w:rPr>
          <w:i/>
          <w:iCs/>
        </w:rPr>
        <w:t>–</w:t>
      </w:r>
      <w:r w:rsidR="0060389D" w:rsidRPr="0060389D">
        <w:rPr>
          <w:i/>
          <w:iCs/>
        </w:rPr>
        <w:t>60. lappuse</w:t>
      </w:r>
      <w:r w:rsidR="0060389D">
        <w:t>)</w:t>
      </w:r>
      <w:r w:rsidR="0060389D" w:rsidRPr="002E3957">
        <w:t xml:space="preserve">. </w:t>
      </w:r>
    </w:p>
    <w:p w14:paraId="325191BA" w14:textId="77777777" w:rsidR="003208A5" w:rsidRPr="003208A5" w:rsidRDefault="003208A5" w:rsidP="003208A5">
      <w:pPr>
        <w:spacing w:after="0" w:line="276" w:lineRule="auto"/>
        <w:ind w:firstLine="720"/>
        <w:jc w:val="both"/>
      </w:pPr>
      <w:r w:rsidRPr="003208A5">
        <w:t>Arī kasācijas sūdzībās nav paskaidrots, kā informācijas trūkums apsūdzībā par uzņēmumu ienākuma nodokļa deklarāciju ietekmējis apsūdzēto tiesības uz aizstāvību.</w:t>
      </w:r>
    </w:p>
    <w:p w14:paraId="4B8E162A" w14:textId="77777777" w:rsidR="003208A5" w:rsidRDefault="003208A5" w:rsidP="00255525">
      <w:pPr>
        <w:spacing w:after="0" w:line="276" w:lineRule="auto"/>
        <w:ind w:firstLine="720"/>
        <w:jc w:val="both"/>
      </w:pPr>
    </w:p>
    <w:p w14:paraId="0E36B2D0" w14:textId="59C01522" w:rsidR="00AD75A7" w:rsidRDefault="00124139" w:rsidP="00676CB3">
      <w:pPr>
        <w:spacing w:after="0" w:line="276" w:lineRule="auto"/>
        <w:ind w:firstLine="720"/>
        <w:jc w:val="both"/>
      </w:pPr>
      <w:r>
        <w:t>[</w:t>
      </w:r>
      <w:r w:rsidR="007F1B6D">
        <w:t>8</w:t>
      </w:r>
      <w:r>
        <w:t xml:space="preserve">] </w:t>
      </w:r>
      <w:r w:rsidR="00676CB3" w:rsidRPr="00676CB3">
        <w:t>Iebilstot pret apsūdzīb</w:t>
      </w:r>
      <w:r w:rsidR="007F1B6D">
        <w:t>u</w:t>
      </w:r>
      <w:r w:rsidR="00676CB3" w:rsidRPr="00676CB3">
        <w:t xml:space="preserve"> atbilstību Kriminālprocesa likuma 405.</w:t>
      </w:r>
      <w:r w:rsidR="00676CB3">
        <w:t> </w:t>
      </w:r>
      <w:r w:rsidR="00676CB3" w:rsidRPr="00676CB3">
        <w:t xml:space="preserve">panta </w:t>
      </w:r>
      <w:r w:rsidR="00C772BD">
        <w:t xml:space="preserve">pirmās daļas 2. punkta </w:t>
      </w:r>
      <w:r w:rsidR="00676CB3" w:rsidRPr="00676CB3">
        <w:t>prasībām, aizstāvis kasācijas sūdzībā norād</w:t>
      </w:r>
      <w:r w:rsidR="00676CB3">
        <w:t>ījis</w:t>
      </w:r>
      <w:r w:rsidR="00676CB3" w:rsidRPr="00676CB3">
        <w:t xml:space="preserve"> arī to, ka nav iespējams noteikt laiku, kad saskaņā ar apsūdzībām nozie</w:t>
      </w:r>
      <w:r w:rsidR="00890433">
        <w:t>gums</w:t>
      </w:r>
      <w:r w:rsidR="00676CB3" w:rsidRPr="00676CB3">
        <w:t xml:space="preserve"> ir pabeigts, jo tajās nav norādīta neviena tiesību norma, kas noteic uzņēmumu ienākuma nodokļa maksāšanas pienākumu konkrētā termiņā un apmērā</w:t>
      </w:r>
      <w:r w:rsidR="00676CB3">
        <w:t>.</w:t>
      </w:r>
    </w:p>
    <w:p w14:paraId="55E4002D" w14:textId="6C3AF6A0" w:rsidR="004224D4" w:rsidRDefault="00984F93" w:rsidP="004224D4">
      <w:pPr>
        <w:spacing w:after="0" w:line="276" w:lineRule="auto"/>
        <w:ind w:firstLine="720"/>
        <w:jc w:val="both"/>
      </w:pPr>
      <w:r>
        <w:t>[</w:t>
      </w:r>
      <w:r w:rsidR="007F1B6D">
        <w:t>8</w:t>
      </w:r>
      <w:r>
        <w:t xml:space="preserve">.1] </w:t>
      </w:r>
      <w:r w:rsidR="00AD75A7">
        <w:t xml:space="preserve">Senāta </w:t>
      </w:r>
      <w:r w:rsidR="003208A5">
        <w:t>atzīst, ka</w:t>
      </w:r>
      <w:r w:rsidR="00AD75A7">
        <w:t xml:space="preserve"> š</w:t>
      </w:r>
      <w:r w:rsidR="00AD75A7" w:rsidRPr="00AD75A7">
        <w:t xml:space="preserve">āds arguments balstās uz pieņēmumu, ka prokuroram, ceļot apsūdzību, </w:t>
      </w:r>
      <w:r w:rsidR="00B53485">
        <w:t>ir</w:t>
      </w:r>
      <w:r w:rsidR="00AD75A7" w:rsidRPr="00AD75A7">
        <w:t xml:space="preserve"> pienākums atsaukties uz attiecīgajām tiesību normām</w:t>
      </w:r>
      <w:r w:rsidR="004224D4">
        <w:t xml:space="preserve">, lai </w:t>
      </w:r>
      <w:r w:rsidR="00AD75A7" w:rsidRPr="00AD75A7">
        <w:t>pamatot</w:t>
      </w:r>
      <w:r w:rsidR="004224D4">
        <w:t>u</w:t>
      </w:r>
      <w:r w:rsidR="00AD75A7" w:rsidRPr="00AD75A7">
        <w:t xml:space="preserve">, </w:t>
      </w:r>
      <w:r w:rsidR="004224D4">
        <w:t>ka</w:t>
      </w:r>
      <w:r w:rsidR="00AD75A7" w:rsidRPr="00AD75A7">
        <w:t xml:space="preserve"> </w:t>
      </w:r>
      <w:r w:rsidR="00676CB3">
        <w:t xml:space="preserve">inkriminētais </w:t>
      </w:r>
      <w:r w:rsidR="00AD75A7" w:rsidRPr="00AD75A7">
        <w:t>noziedzīgais nodarījums uzskatāms par pabeigtu.</w:t>
      </w:r>
      <w:r w:rsidR="00AD75A7">
        <w:t xml:space="preserve"> </w:t>
      </w:r>
      <w:r w:rsidR="004224D4">
        <w:t xml:space="preserve">Tomēr </w:t>
      </w:r>
      <w:r w:rsidR="004224D4" w:rsidRPr="00AD75A7">
        <w:t>Kriminālprocesa likuma 405.</w:t>
      </w:r>
      <w:r w:rsidR="004224D4">
        <w:t> </w:t>
      </w:r>
      <w:r w:rsidR="004224D4" w:rsidRPr="00AD75A7">
        <w:t>pants šādu pienākumu neparedz.</w:t>
      </w:r>
    </w:p>
    <w:p w14:paraId="3B153CA6" w14:textId="4854340D" w:rsidR="004224D4" w:rsidRDefault="00B53485" w:rsidP="004224D4">
      <w:pPr>
        <w:spacing w:after="0" w:line="276" w:lineRule="auto"/>
        <w:ind w:firstLine="720"/>
        <w:jc w:val="both"/>
      </w:pPr>
      <w:bookmarkStart w:id="19" w:name="_Hlk213943457"/>
      <w:r>
        <w:t>N</w:t>
      </w:r>
      <w:r w:rsidR="004224D4">
        <w:t>o šīs tiesību normas izriet, ka</w:t>
      </w:r>
      <w:r w:rsidR="004224D4" w:rsidRPr="004224D4">
        <w:t xml:space="preserve"> apsūdzībā </w:t>
      </w:r>
      <w:r w:rsidR="004224D4">
        <w:t xml:space="preserve">ir </w:t>
      </w:r>
      <w:r w:rsidR="004224D4" w:rsidRPr="004224D4">
        <w:t xml:space="preserve">jāatklāj faktiskie apstākļi, kas </w:t>
      </w:r>
      <w:r w:rsidR="004224D4">
        <w:t xml:space="preserve">veido katru </w:t>
      </w:r>
      <w:r w:rsidR="004224D4" w:rsidRPr="004224D4">
        <w:t>noziedzīga nodarījuma sastāv</w:t>
      </w:r>
      <w:r w:rsidR="004224D4">
        <w:t>a pazīmi</w:t>
      </w:r>
      <w:r w:rsidR="004224D4" w:rsidRPr="004224D4">
        <w:t xml:space="preserve">, </w:t>
      </w:r>
      <w:r w:rsidR="004224D4">
        <w:t>t</w:t>
      </w:r>
      <w:r>
        <w:t>omēr tā</w:t>
      </w:r>
      <w:r w:rsidR="004224D4">
        <w:t xml:space="preserve"> </w:t>
      </w:r>
      <w:r w:rsidR="004224D4" w:rsidRPr="004224D4">
        <w:t xml:space="preserve">neparedz prokuroram pienākumu </w:t>
      </w:r>
      <w:r w:rsidR="004224D4">
        <w:t xml:space="preserve">pamatot </w:t>
      </w:r>
      <w:r w:rsidR="004224D4" w:rsidRPr="004224D4">
        <w:t xml:space="preserve">katra </w:t>
      </w:r>
      <w:r w:rsidR="004224D4">
        <w:t xml:space="preserve">faktiskā </w:t>
      </w:r>
      <w:r w:rsidR="004224D4" w:rsidRPr="004224D4">
        <w:t>apstākļa atbilstību attiecīgai sastāva pazīmei</w:t>
      </w:r>
      <w:r w:rsidR="004224D4">
        <w:t>. Par š</w:t>
      </w:r>
      <w:r>
        <w:t>iem</w:t>
      </w:r>
      <w:r w:rsidR="004224D4">
        <w:t xml:space="preserve"> jautājum</w:t>
      </w:r>
      <w:r>
        <w:t>iem</w:t>
      </w:r>
      <w:r w:rsidR="004224D4">
        <w:t xml:space="preserve"> </w:t>
      </w:r>
      <w:r w:rsidR="004224D4" w:rsidRPr="004224D4">
        <w:t>prokuror</w:t>
      </w:r>
      <w:r w:rsidR="004224D4">
        <w:t>am jāizsakās tiesas debatēs (sk. Kriminālprocesa likuma 506. panta pirmo daļu)</w:t>
      </w:r>
      <w:r w:rsidR="002C2520">
        <w:t>.</w:t>
      </w:r>
    </w:p>
    <w:p w14:paraId="629E08A2" w14:textId="209F7E51" w:rsidR="0086448F" w:rsidRDefault="0086448F" w:rsidP="0086448F">
      <w:pPr>
        <w:spacing w:after="0" w:line="276" w:lineRule="auto"/>
        <w:ind w:firstLine="720"/>
        <w:jc w:val="both"/>
      </w:pPr>
      <w:r w:rsidRPr="0086448F">
        <w:lastRenderedPageBreak/>
        <w:t>Minētais attiec</w:t>
      </w:r>
      <w:r w:rsidR="009E7469">
        <w:t>as</w:t>
      </w:r>
      <w:r w:rsidRPr="0086448F">
        <w:t xml:space="preserve"> arī uz </w:t>
      </w:r>
      <w:r w:rsidR="009E7469">
        <w:t>noziedzīg</w:t>
      </w:r>
      <w:r w:rsidR="006F149D">
        <w:t>ā</w:t>
      </w:r>
      <w:r w:rsidR="009E7469">
        <w:t xml:space="preserve"> nodarījuma </w:t>
      </w:r>
      <w:r w:rsidRPr="0086448F">
        <w:t>stadijas – pabeigt</w:t>
      </w:r>
      <w:r>
        <w:t>s</w:t>
      </w:r>
      <w:r w:rsidRPr="0086448F">
        <w:t xml:space="preserve"> vai nepabeig</w:t>
      </w:r>
      <w:r>
        <w:t>ts</w:t>
      </w:r>
      <w:r w:rsidR="009E7469">
        <w:t xml:space="preserve"> noziedzīgs nodarījums</w:t>
      </w:r>
      <w:r w:rsidRPr="0086448F">
        <w:t xml:space="preserve"> – pamatojumu. </w:t>
      </w:r>
    </w:p>
    <w:p w14:paraId="7510CCAD" w14:textId="2CB840C1" w:rsidR="0086448F" w:rsidRDefault="0086448F" w:rsidP="0086448F">
      <w:pPr>
        <w:spacing w:after="0" w:line="276" w:lineRule="auto"/>
        <w:ind w:firstLine="720"/>
        <w:jc w:val="both"/>
      </w:pPr>
      <w:bookmarkStart w:id="20" w:name="_Hlk213943521"/>
      <w:bookmarkEnd w:id="19"/>
      <w:r w:rsidRPr="0086448F">
        <w:t xml:space="preserve">Ievērojot minēto, </w:t>
      </w:r>
      <w:r w:rsidR="00174C55">
        <w:t>Senāts atzīst par pietiekamu</w:t>
      </w:r>
      <w:r w:rsidRPr="0086448F">
        <w:t xml:space="preserve"> apsūdzības </w:t>
      </w:r>
      <w:r w:rsidR="00174C55" w:rsidRPr="0086448F">
        <w:t>formulējum</w:t>
      </w:r>
      <w:r w:rsidR="00174C55">
        <w:t>ā</w:t>
      </w:r>
      <w:r w:rsidR="00174C55" w:rsidRPr="0086448F">
        <w:t xml:space="preserve"> </w:t>
      </w:r>
      <w:r w:rsidR="00B53485">
        <w:t>skaidri</w:t>
      </w:r>
      <w:r w:rsidRPr="0086448F">
        <w:t xml:space="preserve"> </w:t>
      </w:r>
      <w:r w:rsidR="00174C55" w:rsidRPr="0086448F">
        <w:t>norād</w:t>
      </w:r>
      <w:r w:rsidR="00174C55">
        <w:t xml:space="preserve">īt </w:t>
      </w:r>
      <w:r w:rsidR="00676CB3">
        <w:t>uz to</w:t>
      </w:r>
      <w:r w:rsidRPr="0086448F">
        <w:t xml:space="preserve">, ka apsūdzētajam </w:t>
      </w:r>
      <w:r w:rsidR="00C772BD">
        <w:t xml:space="preserve">tiek </w:t>
      </w:r>
      <w:r w:rsidRPr="0086448F">
        <w:t>inkriminēts pabeigts noziedzīgs nodarījums</w:t>
      </w:r>
      <w:r>
        <w:t xml:space="preserve">. </w:t>
      </w:r>
      <w:r w:rsidRPr="0086448F">
        <w:t xml:space="preserve">Savukārt juridiskie argumenti, ar kuriem </w:t>
      </w:r>
      <w:r w:rsidR="006F149D">
        <w:t>tiek</w:t>
      </w:r>
      <w:r w:rsidRPr="0086448F">
        <w:t xml:space="preserve"> pamato</w:t>
      </w:r>
      <w:r w:rsidR="006F149D">
        <w:t>ta</w:t>
      </w:r>
      <w:r w:rsidRPr="0086448F">
        <w:t xml:space="preserve"> noziedzīgā nodarījuma pabeigtīb</w:t>
      </w:r>
      <w:r w:rsidR="006F149D">
        <w:t>a</w:t>
      </w:r>
      <w:r w:rsidR="009E7469">
        <w:t xml:space="preserve">, </w:t>
      </w:r>
      <w:r w:rsidR="00D10897">
        <w:t xml:space="preserve">tajā skaitā </w:t>
      </w:r>
      <w:r w:rsidRPr="0086448F">
        <w:t>tiesību norm</w:t>
      </w:r>
      <w:r w:rsidR="003527D9">
        <w:t>as,</w:t>
      </w:r>
      <w:r w:rsidRPr="0086448F">
        <w:t xml:space="preserve"> no kurām šāds secinājums izriet</w:t>
      </w:r>
      <w:r w:rsidR="009E7469">
        <w:t>,</w:t>
      </w:r>
      <w:r w:rsidR="003527D9">
        <w:t xml:space="preserve"> </w:t>
      </w:r>
      <w:r w:rsidR="006F149D">
        <w:t xml:space="preserve">prokuroram </w:t>
      </w:r>
      <w:r w:rsidR="002C2520">
        <w:t>ir</w:t>
      </w:r>
      <w:r w:rsidR="00AD75A7">
        <w:t xml:space="preserve"> </w:t>
      </w:r>
      <w:r w:rsidR="002C2520">
        <w:t>jāizklāsta</w:t>
      </w:r>
      <w:r w:rsidR="00AD75A7">
        <w:t xml:space="preserve"> </w:t>
      </w:r>
      <w:r w:rsidRPr="0086448F">
        <w:t xml:space="preserve">tiesas debatēs, </w:t>
      </w:r>
      <w:r w:rsidR="006F149D">
        <w:t>savukārt</w:t>
      </w:r>
      <w:r w:rsidR="00255525">
        <w:t xml:space="preserve"> </w:t>
      </w:r>
      <w:r w:rsidRPr="0086448F">
        <w:t xml:space="preserve">tiesai </w:t>
      </w:r>
      <w:r w:rsidR="00AD75A7">
        <w:t>attiecīgie argumenti</w:t>
      </w:r>
      <w:r w:rsidRPr="0086448F">
        <w:t xml:space="preserve"> ir jāizvērtē, taisot spriedumu.</w:t>
      </w:r>
    </w:p>
    <w:bookmarkEnd w:id="20"/>
    <w:p w14:paraId="1587DE54" w14:textId="7C5490E3" w:rsidR="00D10897" w:rsidRDefault="003527D9" w:rsidP="00D10897">
      <w:pPr>
        <w:spacing w:after="0" w:line="276" w:lineRule="auto"/>
        <w:ind w:firstLine="720"/>
        <w:jc w:val="both"/>
      </w:pPr>
      <w:r>
        <w:t>[</w:t>
      </w:r>
      <w:r w:rsidR="007F1B6D">
        <w:t>8</w:t>
      </w:r>
      <w:r>
        <w:t xml:space="preserve">.2] </w:t>
      </w:r>
      <w:r w:rsidR="00D10897" w:rsidRPr="00D10897">
        <w:t>Konkrētajā lietā apsūdzībās ietvertais nozie</w:t>
      </w:r>
      <w:r w:rsidR="00890433">
        <w:t>guma</w:t>
      </w:r>
      <w:r w:rsidR="00D10897" w:rsidRPr="00D10897">
        <w:t xml:space="preserve"> faktisko apstākļu apraksts un sniegtā juridiskā kvalifikācija nepārprotami norāda, ka apsūdzība</w:t>
      </w:r>
      <w:r w:rsidR="00D10897">
        <w:t>s</w:t>
      </w:r>
      <w:r w:rsidR="00D10897" w:rsidRPr="00D10897">
        <w:t xml:space="preserve"> celta</w:t>
      </w:r>
      <w:r w:rsidR="00D10897">
        <w:t>s</w:t>
      </w:r>
      <w:r w:rsidR="00D10897" w:rsidRPr="00D10897">
        <w:t xml:space="preserve"> par pabeigtu nozie</w:t>
      </w:r>
      <w:r w:rsidR="00890433">
        <w:t>gumu</w:t>
      </w:r>
      <w:r w:rsidR="00D10897">
        <w:t>.</w:t>
      </w:r>
    </w:p>
    <w:p w14:paraId="0234B16B" w14:textId="27CD5CE8" w:rsidR="00124139" w:rsidRDefault="005872D2" w:rsidP="00382BBB">
      <w:pPr>
        <w:spacing w:after="0" w:line="276" w:lineRule="auto"/>
        <w:ind w:firstLine="720"/>
        <w:jc w:val="both"/>
      </w:pPr>
      <w:r>
        <w:t>Minētā</w:t>
      </w:r>
      <w:r w:rsidR="00124139" w:rsidRPr="00124139">
        <w:t xml:space="preserve"> informācij</w:t>
      </w:r>
      <w:r w:rsidR="00255525">
        <w:t>a</w:t>
      </w:r>
      <w:r w:rsidR="00124139" w:rsidRPr="00124139">
        <w:t xml:space="preserve"> </w:t>
      </w:r>
      <w:r w:rsidR="00D10897">
        <w:t>ir</w:t>
      </w:r>
      <w:r w:rsidR="00124139" w:rsidRPr="00124139">
        <w:t xml:space="preserve"> pietiek</w:t>
      </w:r>
      <w:r w:rsidR="005F6C9E">
        <w:t>oš</w:t>
      </w:r>
      <w:r w:rsidR="00255525">
        <w:t>a</w:t>
      </w:r>
      <w:r w:rsidR="00124139" w:rsidRPr="00124139">
        <w:t xml:space="preserve">, lai </w:t>
      </w:r>
      <w:r w:rsidR="009E7469">
        <w:t>apsūdzētie</w:t>
      </w:r>
      <w:r w:rsidR="00124139" w:rsidRPr="00124139">
        <w:t xml:space="preserve"> varētu pilnvērtīgi </w:t>
      </w:r>
      <w:r w:rsidR="007F1B6D">
        <w:t>īsteno</w:t>
      </w:r>
      <w:r w:rsidR="00124139" w:rsidRPr="00124139">
        <w:t>t savas tiesības</w:t>
      </w:r>
      <w:r w:rsidR="005F6C9E">
        <w:t xml:space="preserve"> uz aizstāvību</w:t>
      </w:r>
      <w:r w:rsidR="00124139" w:rsidRPr="00124139">
        <w:t>, t</w:t>
      </w:r>
      <w:r w:rsidR="007F1B6D">
        <w:t>ajā skaitā</w:t>
      </w:r>
      <w:r w:rsidR="00124139" w:rsidRPr="00124139">
        <w:t xml:space="preserve"> apstrīdēt pieņēmumu par nozie</w:t>
      </w:r>
      <w:r w:rsidR="00890433">
        <w:t>guma</w:t>
      </w:r>
      <w:r w:rsidR="00124139" w:rsidRPr="00124139">
        <w:t xml:space="preserve"> pabeigtību</w:t>
      </w:r>
      <w:r w:rsidR="00255525">
        <w:t>.</w:t>
      </w:r>
    </w:p>
    <w:p w14:paraId="61816BA6" w14:textId="77777777" w:rsidR="00984F93" w:rsidRDefault="00984F93" w:rsidP="00FD6074">
      <w:pPr>
        <w:spacing w:after="0" w:line="276" w:lineRule="auto"/>
        <w:ind w:firstLine="720"/>
        <w:jc w:val="both"/>
        <w:rPr>
          <w:rFonts w:cs="Times New Roman"/>
        </w:rPr>
      </w:pPr>
    </w:p>
    <w:p w14:paraId="58A7E002" w14:textId="204558E7" w:rsidR="004E3E1D" w:rsidRPr="004E3E1D" w:rsidRDefault="009358AB" w:rsidP="009358AB">
      <w:pPr>
        <w:spacing w:after="0" w:line="276" w:lineRule="auto"/>
        <w:ind w:firstLine="720"/>
        <w:jc w:val="both"/>
      </w:pPr>
      <w:r>
        <w:t>[</w:t>
      </w:r>
      <w:r w:rsidR="007F1B6D">
        <w:t>9</w:t>
      </w:r>
      <w:r>
        <w:t xml:space="preserve">] </w:t>
      </w:r>
      <w:r w:rsidR="004E3E1D" w:rsidRPr="004E3E1D">
        <w:t>Nepamatots ir apsūdzēto aizstāvja kasācijas sūdzības arguments, ka</w:t>
      </w:r>
      <w:r w:rsidR="004E3E1D">
        <w:t xml:space="preserve"> </w:t>
      </w:r>
      <w:r w:rsidR="004E3E1D" w:rsidRPr="004E3E1D">
        <w:t>apsūdzībās norādīt</w:t>
      </w:r>
      <w:r>
        <w:t>ie noziedzīgā nodarījuma faktiskie apstākļi</w:t>
      </w:r>
      <w:r w:rsidR="004E3E1D" w:rsidRPr="004E3E1D">
        <w:t xml:space="preserve"> atbilst darbībām, par k</w:t>
      </w:r>
      <w:r w:rsidR="009170ED">
        <w:t>urām</w:t>
      </w:r>
      <w:r w:rsidR="004E3E1D" w:rsidRPr="004E3E1D">
        <w:t xml:space="preserve"> kriminālatbildība paredzēta Krimināllikuma 217. panta trešajā daļā. </w:t>
      </w:r>
    </w:p>
    <w:p w14:paraId="51441BB2" w14:textId="61A7810D" w:rsidR="005F6C9E" w:rsidRDefault="004E3E1D" w:rsidP="0068721B">
      <w:pPr>
        <w:spacing w:after="0" w:line="276" w:lineRule="auto"/>
        <w:ind w:firstLine="720"/>
        <w:jc w:val="both"/>
      </w:pPr>
      <w:r w:rsidRPr="004E3E1D">
        <w:t xml:space="preserve">Saskaņā ar </w:t>
      </w:r>
      <w:r w:rsidR="00DE058D">
        <w:t>judikatūru</w:t>
      </w:r>
      <w:r w:rsidRPr="004E3E1D">
        <w:t xml:space="preserve"> Krimināllikuma 218. un 217.</w:t>
      </w:r>
      <w:r w:rsidR="009358AB">
        <w:t> </w:t>
      </w:r>
      <w:r w:rsidRPr="004E3E1D">
        <w:t>pantā paredzēto noziedzīgo nodarījumu kopība nav jāveido, jo visas uz izvairīšanos no nodokļu un tiem pielīdzināto maksājumu nomaksas virzītās darbības veido atsevišķu (vienotu) noziedzīgu nodarījumu, kas atbilst Krimināllikuma 23.</w:t>
      </w:r>
      <w:r w:rsidR="009170ED">
        <w:t> </w:t>
      </w:r>
      <w:r w:rsidRPr="004E3E1D">
        <w:t>panta pirmajā daļā noteiktajam, ka atsevišķu (vienotu) noziedzīgu nodarījumu var veidot vairāki savstarpēji saistīti noziedzīgi nodarījumi, kurus aptver vainīgās personas vienots nodoms un kuri atbilst tikai viena noziedzīga nodarījuma sastāva pazīmēm (</w:t>
      </w:r>
      <w:bookmarkStart w:id="21" w:name="_Hlk217306460"/>
      <w:r w:rsidRPr="004E3E1D">
        <w:rPr>
          <w:i/>
          <w:iCs/>
        </w:rPr>
        <w:t>Senāta 2014.</w:t>
      </w:r>
      <w:r w:rsidR="009170ED">
        <w:rPr>
          <w:i/>
          <w:iCs/>
        </w:rPr>
        <w:t> </w:t>
      </w:r>
      <w:r w:rsidRPr="004E3E1D">
        <w:rPr>
          <w:i/>
          <w:iCs/>
        </w:rPr>
        <w:t>gada 19.</w:t>
      </w:r>
      <w:r w:rsidR="009170ED">
        <w:rPr>
          <w:i/>
          <w:iCs/>
        </w:rPr>
        <w:t> </w:t>
      </w:r>
      <w:r w:rsidRPr="004E3E1D">
        <w:rPr>
          <w:i/>
          <w:iCs/>
        </w:rPr>
        <w:t>jūnija lēmums lietā Nr. </w:t>
      </w:r>
      <w:hyperlink r:id="rId12" w:history="1">
        <w:r w:rsidRPr="004E3E1D">
          <w:rPr>
            <w:rStyle w:val="Hyperlink"/>
            <w:i/>
            <w:iCs/>
            <w:color w:val="auto"/>
            <w:u w:val="none"/>
          </w:rPr>
          <w:t>SKK-</w:t>
        </w:r>
        <w:r w:rsidR="002C2E5F">
          <w:rPr>
            <w:rStyle w:val="Hyperlink"/>
            <w:i/>
            <w:iCs/>
            <w:color w:val="auto"/>
            <w:u w:val="none"/>
          </w:rPr>
          <w:t> </w:t>
        </w:r>
        <w:r w:rsidRPr="004E3E1D">
          <w:rPr>
            <w:rStyle w:val="Hyperlink"/>
            <w:i/>
            <w:iCs/>
            <w:color w:val="auto"/>
            <w:u w:val="none"/>
          </w:rPr>
          <w:t>77/2014</w:t>
        </w:r>
      </w:hyperlink>
      <w:r w:rsidR="00B1074E">
        <w:rPr>
          <w:i/>
          <w:iCs/>
        </w:rPr>
        <w:t>,</w:t>
      </w:r>
      <w:r w:rsidRPr="004E3E1D">
        <w:rPr>
          <w:i/>
          <w:iCs/>
        </w:rPr>
        <w:t> 15830313209, 2015.</w:t>
      </w:r>
      <w:r w:rsidR="009170ED">
        <w:rPr>
          <w:i/>
          <w:iCs/>
        </w:rPr>
        <w:t> </w:t>
      </w:r>
      <w:r w:rsidRPr="004E3E1D">
        <w:rPr>
          <w:i/>
          <w:iCs/>
        </w:rPr>
        <w:t>gada 21.</w:t>
      </w:r>
      <w:r w:rsidR="009170ED">
        <w:rPr>
          <w:i/>
          <w:iCs/>
        </w:rPr>
        <w:t> </w:t>
      </w:r>
      <w:r w:rsidRPr="004E3E1D">
        <w:rPr>
          <w:i/>
          <w:iCs/>
        </w:rPr>
        <w:t>maija lēmums lietā Nr.</w:t>
      </w:r>
      <w:r w:rsidR="009170ED">
        <w:rPr>
          <w:i/>
          <w:iCs/>
        </w:rPr>
        <w:t> </w:t>
      </w:r>
      <w:hyperlink r:id="rId13" w:history="1">
        <w:r w:rsidRPr="004E3E1D">
          <w:rPr>
            <w:rStyle w:val="Hyperlink"/>
            <w:i/>
            <w:iCs/>
            <w:color w:val="auto"/>
            <w:u w:val="none"/>
          </w:rPr>
          <w:t>SKK-126/2015</w:t>
        </w:r>
      </w:hyperlink>
      <w:r w:rsidR="00B1074E">
        <w:rPr>
          <w:i/>
          <w:iCs/>
        </w:rPr>
        <w:t xml:space="preserve">, </w:t>
      </w:r>
      <w:r w:rsidRPr="004E3E1D">
        <w:rPr>
          <w:i/>
          <w:iCs/>
        </w:rPr>
        <w:t>11840005209</w:t>
      </w:r>
      <w:r w:rsidRPr="004E3E1D">
        <w:t>).</w:t>
      </w:r>
      <w:bookmarkEnd w:id="21"/>
      <w:r w:rsidRPr="004E3E1D">
        <w:t xml:space="preserve"> </w:t>
      </w:r>
      <w:r w:rsidR="005F6C9E" w:rsidRPr="002E3957">
        <w:t>Izvairīšanās no nodokļu un tiem pielīdzināto maksājumu nomaksas ir vienots process, kas ietver manipulācijas ar grāmatvedības datiem, iegrāmatojot nepatiesas ziņas, šīs nepatiesās informācijas pārnešanu uz nodokļu deklarācijām un to pielikumiem un to iesniegšanu nodokļu administrācijai (</w:t>
      </w:r>
      <w:bookmarkStart w:id="22" w:name="_Hlk217306470"/>
      <w:r w:rsidR="00FD6074" w:rsidRPr="00FD6074">
        <w:rPr>
          <w:i/>
          <w:iCs/>
        </w:rPr>
        <w:t xml:space="preserve">Senāta </w:t>
      </w:r>
      <w:r w:rsidR="005872D2" w:rsidRPr="002E3957">
        <w:rPr>
          <w:i/>
          <w:iCs/>
        </w:rPr>
        <w:t>2014.</w:t>
      </w:r>
      <w:r w:rsidR="005872D2">
        <w:rPr>
          <w:i/>
          <w:iCs/>
        </w:rPr>
        <w:t> </w:t>
      </w:r>
      <w:r w:rsidR="005872D2" w:rsidRPr="002E3957">
        <w:rPr>
          <w:i/>
          <w:iCs/>
        </w:rPr>
        <w:t>gada 19.</w:t>
      </w:r>
      <w:r w:rsidR="005872D2">
        <w:rPr>
          <w:i/>
          <w:iCs/>
        </w:rPr>
        <w:t> </w:t>
      </w:r>
      <w:r w:rsidR="005872D2" w:rsidRPr="002E3957">
        <w:rPr>
          <w:i/>
          <w:iCs/>
        </w:rPr>
        <w:t>jūnija lēmums lietā Nr.</w:t>
      </w:r>
      <w:r w:rsidR="005872D2">
        <w:rPr>
          <w:i/>
          <w:iCs/>
        </w:rPr>
        <w:t> </w:t>
      </w:r>
      <w:r w:rsidR="005872D2" w:rsidRPr="002E3957">
        <w:rPr>
          <w:i/>
          <w:iCs/>
        </w:rPr>
        <w:t>SKK-77/2014, 15830313209</w:t>
      </w:r>
      <w:r w:rsidR="005872D2">
        <w:rPr>
          <w:i/>
          <w:iCs/>
        </w:rPr>
        <w:t xml:space="preserve">, </w:t>
      </w:r>
      <w:r w:rsidR="005F6C9E" w:rsidRPr="002E3957">
        <w:rPr>
          <w:i/>
          <w:iCs/>
        </w:rPr>
        <w:t>2015.</w:t>
      </w:r>
      <w:r w:rsidR="005F6C9E">
        <w:rPr>
          <w:i/>
          <w:iCs/>
        </w:rPr>
        <w:t> </w:t>
      </w:r>
      <w:r w:rsidR="005F6C9E" w:rsidRPr="002E3957">
        <w:rPr>
          <w:i/>
          <w:iCs/>
        </w:rPr>
        <w:t>gada 21.</w:t>
      </w:r>
      <w:r w:rsidR="005F6C9E">
        <w:rPr>
          <w:i/>
          <w:iCs/>
        </w:rPr>
        <w:t> </w:t>
      </w:r>
      <w:r w:rsidR="005F6C9E" w:rsidRPr="002E3957">
        <w:rPr>
          <w:i/>
          <w:iCs/>
        </w:rPr>
        <w:t>maija lēmums lietā Nr.</w:t>
      </w:r>
      <w:r w:rsidR="005F6C9E">
        <w:rPr>
          <w:i/>
          <w:iCs/>
        </w:rPr>
        <w:t> </w:t>
      </w:r>
      <w:r w:rsidR="005F6C9E" w:rsidRPr="002E3957">
        <w:rPr>
          <w:i/>
          <w:iCs/>
        </w:rPr>
        <w:t xml:space="preserve">SKK-126/2015, 11840005209, </w:t>
      </w:r>
      <w:r w:rsidR="005872D2" w:rsidRPr="002E3957">
        <w:rPr>
          <w:i/>
          <w:iCs/>
        </w:rPr>
        <w:t>2022.</w:t>
      </w:r>
      <w:r w:rsidR="005872D2">
        <w:rPr>
          <w:i/>
          <w:iCs/>
        </w:rPr>
        <w:t> </w:t>
      </w:r>
      <w:r w:rsidR="005872D2" w:rsidRPr="002E3957">
        <w:rPr>
          <w:i/>
          <w:iCs/>
        </w:rPr>
        <w:t>gada 20.</w:t>
      </w:r>
      <w:r w:rsidR="005872D2">
        <w:rPr>
          <w:i/>
          <w:iCs/>
        </w:rPr>
        <w:t> </w:t>
      </w:r>
      <w:r w:rsidR="005872D2" w:rsidRPr="002E3957">
        <w:rPr>
          <w:i/>
          <w:iCs/>
        </w:rPr>
        <w:t>janvāra lēmums lietā Nr.</w:t>
      </w:r>
      <w:r w:rsidR="005872D2">
        <w:rPr>
          <w:i/>
          <w:iCs/>
        </w:rPr>
        <w:t> </w:t>
      </w:r>
      <w:r w:rsidR="005872D2" w:rsidRPr="002E3957">
        <w:rPr>
          <w:i/>
          <w:iCs/>
        </w:rPr>
        <w:t>SKK-</w:t>
      </w:r>
      <w:r w:rsidR="00174C55">
        <w:rPr>
          <w:i/>
          <w:iCs/>
        </w:rPr>
        <w:t> </w:t>
      </w:r>
      <w:r w:rsidR="005872D2" w:rsidRPr="002E3957">
        <w:rPr>
          <w:i/>
          <w:iCs/>
        </w:rPr>
        <w:t>12/2022</w:t>
      </w:r>
      <w:r w:rsidR="005872D2">
        <w:rPr>
          <w:i/>
          <w:iCs/>
        </w:rPr>
        <w:t xml:space="preserve">, </w:t>
      </w:r>
      <w:r w:rsidR="005872D2" w:rsidRPr="002E3957">
        <w:rPr>
          <w:i/>
          <w:iCs/>
        </w:rPr>
        <w:t>ECLI:LV:AT:2022:0120.15830204510.4.</w:t>
      </w:r>
      <w:bookmarkEnd w:id="22"/>
      <w:r w:rsidR="005872D2" w:rsidRPr="002E3957">
        <w:rPr>
          <w:i/>
          <w:iCs/>
        </w:rPr>
        <w:t>L</w:t>
      </w:r>
      <w:r w:rsidR="005F6C9E" w:rsidRPr="002E3957">
        <w:t>).</w:t>
      </w:r>
    </w:p>
    <w:p w14:paraId="5F41F63F" w14:textId="562CEDB7" w:rsidR="0023560C" w:rsidRDefault="0023560C" w:rsidP="0023560C">
      <w:pPr>
        <w:spacing w:after="0" w:line="276" w:lineRule="auto"/>
        <w:ind w:firstLine="720"/>
        <w:jc w:val="both"/>
      </w:pPr>
      <w:r w:rsidRPr="0023560C">
        <w:t>Ievērojot minēto, ja apsūdzība celta par Krimināllikuma 218.</w:t>
      </w:r>
      <w:r>
        <w:t> </w:t>
      </w:r>
      <w:r w:rsidRPr="0023560C">
        <w:t>panta otr</w:t>
      </w:r>
      <w:r w:rsidR="003527D9">
        <w:t>ajā</w:t>
      </w:r>
      <w:r w:rsidRPr="0023560C">
        <w:t xml:space="preserve"> daļ</w:t>
      </w:r>
      <w:r w:rsidR="003527D9">
        <w:t>ā paredzēto nozie</w:t>
      </w:r>
      <w:r w:rsidR="00890433">
        <w:t>gumu</w:t>
      </w:r>
      <w:r w:rsidRPr="0023560C">
        <w:t>, darbības, k</w:t>
      </w:r>
      <w:r w:rsidR="005872D2">
        <w:t>as</w:t>
      </w:r>
      <w:r w:rsidRPr="0023560C">
        <w:t xml:space="preserve"> vērstas uz izvairīšanos no nodokļu nomaksas un kurās saskatāmas arī Krimināllikuma 217.</w:t>
      </w:r>
      <w:r>
        <w:t> </w:t>
      </w:r>
      <w:r w:rsidRPr="0023560C">
        <w:t xml:space="preserve">pantā paredzētā </w:t>
      </w:r>
      <w:r w:rsidR="007F1B6D">
        <w:t xml:space="preserve">noziedzīgā nodarījuma </w:t>
      </w:r>
      <w:r>
        <w:t>sastāva</w:t>
      </w:r>
      <w:r w:rsidRPr="0023560C">
        <w:t xml:space="preserve"> pazīmes, nav kvalificējamas kā patstāvīgs noziedzīgs nodarījums. Šādas darbības ir uzskatāmas par vienota noziedzīga nodarījuma sastāvdaļu un iekļaujamas</w:t>
      </w:r>
      <w:r>
        <w:t xml:space="preserve"> apsūdzībā pēc</w:t>
      </w:r>
      <w:r w:rsidRPr="0023560C">
        <w:t xml:space="preserve"> Krimināllikuma 218.</w:t>
      </w:r>
      <w:r>
        <w:t> </w:t>
      </w:r>
      <w:r w:rsidRPr="0023560C">
        <w:t>panta otrās daļas.</w:t>
      </w:r>
    </w:p>
    <w:p w14:paraId="5761A947" w14:textId="77777777" w:rsidR="004E3E1D" w:rsidRDefault="004E3E1D" w:rsidP="00E95EAA">
      <w:pPr>
        <w:spacing w:after="0" w:line="276" w:lineRule="auto"/>
        <w:ind w:firstLine="720"/>
        <w:jc w:val="both"/>
      </w:pPr>
    </w:p>
    <w:p w14:paraId="1B39C8C9" w14:textId="198381E9" w:rsidR="00E533B5" w:rsidRPr="00B33787" w:rsidRDefault="00E533B5" w:rsidP="00E533B5">
      <w:pPr>
        <w:spacing w:after="0" w:line="276" w:lineRule="auto"/>
        <w:ind w:firstLine="720"/>
        <w:jc w:val="center"/>
        <w:rPr>
          <w:b/>
          <w:bCs/>
        </w:rPr>
      </w:pPr>
      <w:r w:rsidRPr="00B33787">
        <w:rPr>
          <w:b/>
          <w:bCs/>
        </w:rPr>
        <w:t>II</w:t>
      </w:r>
    </w:p>
    <w:p w14:paraId="0D1A9BB3" w14:textId="4D5A75DA" w:rsidR="0082463E" w:rsidRPr="00E533B5" w:rsidRDefault="00E533B5" w:rsidP="0082463E">
      <w:pPr>
        <w:spacing w:after="0" w:line="276" w:lineRule="auto"/>
        <w:ind w:firstLine="720"/>
        <w:jc w:val="center"/>
        <w:rPr>
          <w:i/>
          <w:iCs/>
        </w:rPr>
      </w:pPr>
      <w:r w:rsidRPr="00E533B5">
        <w:rPr>
          <w:i/>
          <w:iCs/>
        </w:rPr>
        <w:t>Par</w:t>
      </w:r>
      <w:r w:rsidR="0082463E" w:rsidRPr="00E533B5">
        <w:rPr>
          <w:i/>
          <w:iCs/>
        </w:rPr>
        <w:t xml:space="preserve"> sprieduma atbilstību Kriminālprocesa likuma prasībām</w:t>
      </w:r>
      <w:r w:rsidR="0082463E">
        <w:rPr>
          <w:i/>
          <w:iCs/>
        </w:rPr>
        <w:t>, pamatojot</w:t>
      </w:r>
      <w:r w:rsidR="002C2E5F">
        <w:rPr>
          <w:i/>
          <w:iCs/>
        </w:rPr>
        <w:t xml:space="preserve"> </w:t>
      </w:r>
      <w:r w:rsidR="0082463E">
        <w:rPr>
          <w:i/>
          <w:iCs/>
        </w:rPr>
        <w:t>nozieguma subjektīvo pusi</w:t>
      </w:r>
    </w:p>
    <w:p w14:paraId="6B5D59C6" w14:textId="50D3D8B9" w:rsidR="00E533B5" w:rsidRPr="00E533B5" w:rsidRDefault="00E533B5" w:rsidP="00E533B5">
      <w:pPr>
        <w:spacing w:after="0" w:line="276" w:lineRule="auto"/>
        <w:ind w:firstLine="720"/>
        <w:jc w:val="center"/>
        <w:rPr>
          <w:i/>
          <w:iCs/>
        </w:rPr>
      </w:pPr>
    </w:p>
    <w:p w14:paraId="5C4FAA87" w14:textId="77777777" w:rsidR="00E533B5" w:rsidRDefault="00E533B5" w:rsidP="00E533B5">
      <w:pPr>
        <w:spacing w:after="0" w:line="276" w:lineRule="auto"/>
        <w:ind w:firstLine="720"/>
        <w:jc w:val="center"/>
      </w:pPr>
      <w:bookmarkStart w:id="23" w:name="_Hlk207985187"/>
    </w:p>
    <w:p w14:paraId="371D801A" w14:textId="20673756" w:rsidR="005117D9" w:rsidRPr="00380651" w:rsidRDefault="00BB62BE" w:rsidP="00380651">
      <w:pPr>
        <w:spacing w:after="0" w:line="276" w:lineRule="auto"/>
        <w:ind w:firstLine="720"/>
        <w:jc w:val="both"/>
      </w:pPr>
      <w:bookmarkStart w:id="24" w:name="_Hlk206247238"/>
      <w:r w:rsidRPr="00AD1261">
        <w:t>[</w:t>
      </w:r>
      <w:r w:rsidR="00984F93" w:rsidRPr="00AD1261">
        <w:t>1</w:t>
      </w:r>
      <w:r w:rsidR="007F1B6D" w:rsidRPr="00AD1261">
        <w:t>0</w:t>
      </w:r>
      <w:r w:rsidRPr="00AD1261">
        <w:t>]</w:t>
      </w:r>
      <w:r w:rsidR="00AD1261">
        <w:t xml:space="preserve"> </w:t>
      </w:r>
      <w:r w:rsidR="00B703A5" w:rsidRPr="00B703A5">
        <w:t xml:space="preserve">Lietā </w:t>
      </w:r>
      <w:r w:rsidR="00380651">
        <w:t xml:space="preserve">ir </w:t>
      </w:r>
      <w:r w:rsidR="00BE5CEE">
        <w:t>konstatēts</w:t>
      </w:r>
      <w:r w:rsidR="00380651">
        <w:t xml:space="preserve"> un netiek apstrīdēts</w:t>
      </w:r>
      <w:r w:rsidR="00B703A5" w:rsidRPr="00B703A5">
        <w:t>, ka Valsts ieņēmumu dienestam iesniegtajos dokumentos</w:t>
      </w:r>
      <w:r w:rsidR="00C94D37">
        <w:t xml:space="preserve"> tika ietverta</w:t>
      </w:r>
      <w:r w:rsidR="00B703A5" w:rsidRPr="00B703A5">
        <w:t xml:space="preserve"> objektīvi nepatiesa informācija par </w:t>
      </w:r>
      <w:r w:rsidR="00B703A5" w:rsidRPr="00B703A5">
        <w:lastRenderedPageBreak/>
        <w:t>SIA</w:t>
      </w:r>
      <w:r w:rsidR="00896EA0">
        <w:t> </w:t>
      </w:r>
      <w:r w:rsidR="00634C30">
        <w:t>„</w:t>
      </w:r>
      <w:r w:rsidR="0067609C">
        <w:t>[Nosaukums A]</w:t>
      </w:r>
      <w:r w:rsidR="00B703A5" w:rsidRPr="00B703A5">
        <w:t xml:space="preserve">” ar uzņēmumu ienākuma nodokli apliekamo objektu. </w:t>
      </w:r>
      <w:r w:rsidR="003157DB">
        <w:t xml:space="preserve">Tādēļ </w:t>
      </w:r>
      <w:r w:rsidR="00F24CF6" w:rsidRPr="00EE04A8">
        <w:t xml:space="preserve">iespējamo procesuālo </w:t>
      </w:r>
      <w:r w:rsidR="005A12B8">
        <w:t xml:space="preserve">tiesību </w:t>
      </w:r>
      <w:r w:rsidR="00F24CF6" w:rsidRPr="00EE04A8">
        <w:t xml:space="preserve">normu pārkāpumu izvērtējums Senātam jāveic </w:t>
      </w:r>
      <w:r w:rsidR="005A12B8">
        <w:t xml:space="preserve">tikai </w:t>
      </w:r>
      <w:r w:rsidR="00F24CF6">
        <w:t>jautājumā par to,</w:t>
      </w:r>
      <w:r w:rsidR="00B703A5" w:rsidRPr="00B703A5">
        <w:t xml:space="preserve"> vai </w:t>
      </w:r>
      <w:r w:rsidR="00B703A5">
        <w:t>apsūdzētie</w:t>
      </w:r>
      <w:r w:rsidR="00B703A5" w:rsidRPr="00B703A5">
        <w:t xml:space="preserve"> </w:t>
      </w:r>
      <w:r w:rsidR="005A12B8">
        <w:t xml:space="preserve">ir </w:t>
      </w:r>
      <w:r w:rsidR="00B703A5" w:rsidRPr="00B703A5">
        <w:t>apzinājušies šīs informācijas nepatiesumu un</w:t>
      </w:r>
      <w:r w:rsidR="00E9246F">
        <w:t>, veicot apsūdzībās norādītās darbības, ir</w:t>
      </w:r>
      <w:r w:rsidR="00B703A5" w:rsidRPr="00B703A5">
        <w:t xml:space="preserve"> vēlējušies</w:t>
      </w:r>
      <w:r w:rsidR="00B703A5">
        <w:t xml:space="preserve"> izvairīties no nodokļa nomaksas</w:t>
      </w:r>
      <w:r w:rsidR="00B703A5" w:rsidRPr="00B703A5">
        <w:t>.</w:t>
      </w:r>
      <w:r w:rsidR="00B703A5">
        <w:t xml:space="preserve"> </w:t>
      </w:r>
    </w:p>
    <w:p w14:paraId="35E79072" w14:textId="1DFBB6CE" w:rsidR="004B1B49" w:rsidRDefault="00A12169" w:rsidP="004B1B49">
      <w:pPr>
        <w:spacing w:after="0" w:line="276" w:lineRule="auto"/>
        <w:ind w:firstLine="720"/>
        <w:jc w:val="both"/>
      </w:pPr>
      <w:r>
        <w:t>[1</w:t>
      </w:r>
      <w:r w:rsidR="007F1B6D">
        <w:t>0</w:t>
      </w:r>
      <w:r>
        <w:t xml:space="preserve">.1] </w:t>
      </w:r>
      <w:r w:rsidR="005117D9" w:rsidRPr="002E1BE8">
        <w:t>No subjektīvās puses Krimināllikuma 218. pantā paredzētais noziedzīgais nodarījums ir tīšs noziegums, ko raksturo tiešs nodoms. Personas uzvedība raksturojas ar konkrētu mērķi – izvairīties no nodokļu un tiem pielīdzināto maksājumu nomaksas (</w:t>
      </w:r>
      <w:r w:rsidR="005117D9" w:rsidRPr="002E1BE8">
        <w:rPr>
          <w:i/>
          <w:iCs/>
        </w:rPr>
        <w:t xml:space="preserve">Krastiņš U., </w:t>
      </w:r>
      <w:proofErr w:type="spellStart"/>
      <w:r w:rsidR="005117D9" w:rsidRPr="002E1BE8">
        <w:rPr>
          <w:i/>
          <w:iCs/>
        </w:rPr>
        <w:t>Liholaja</w:t>
      </w:r>
      <w:proofErr w:type="spellEnd"/>
      <w:r w:rsidR="005117D9" w:rsidRPr="002E1BE8">
        <w:rPr>
          <w:i/>
          <w:iCs/>
        </w:rPr>
        <w:t xml:space="preserve"> V., </w:t>
      </w:r>
      <w:proofErr w:type="spellStart"/>
      <w:r w:rsidR="005117D9" w:rsidRPr="002E1BE8">
        <w:rPr>
          <w:i/>
          <w:iCs/>
        </w:rPr>
        <w:t>Hamkova</w:t>
      </w:r>
      <w:proofErr w:type="spellEnd"/>
      <w:r w:rsidR="005117D9" w:rsidRPr="002E1BE8">
        <w:rPr>
          <w:i/>
          <w:iCs/>
        </w:rPr>
        <w:t xml:space="preserve"> D., Krimināllikuma komentāri. Trešā daļa. Trešais papildinātais izdevums. Rīga: Tiesu namu aģentūra, 2023, 234.</w:t>
      </w:r>
      <w:r w:rsidR="005117D9">
        <w:rPr>
          <w:i/>
          <w:iCs/>
        </w:rPr>
        <w:t> </w:t>
      </w:r>
      <w:r w:rsidR="005117D9" w:rsidRPr="002E1BE8">
        <w:rPr>
          <w:i/>
          <w:iCs/>
        </w:rPr>
        <w:t>lpp.</w:t>
      </w:r>
      <w:r w:rsidR="005117D9" w:rsidRPr="002E1BE8">
        <w:t>).</w:t>
      </w:r>
      <w:bookmarkStart w:id="25" w:name="_Hlk206787577"/>
    </w:p>
    <w:p w14:paraId="4228131A" w14:textId="5D9D5EF9" w:rsidR="00C70F63" w:rsidRDefault="005117D9" w:rsidP="004B1B49">
      <w:pPr>
        <w:spacing w:after="0" w:line="276" w:lineRule="auto"/>
        <w:ind w:firstLine="720"/>
        <w:jc w:val="both"/>
      </w:pPr>
      <w:r w:rsidRPr="00EE04A8">
        <w:t>Ņemot vērā lietā celtās apsūdzības, tiesai</w:t>
      </w:r>
      <w:r w:rsidR="00936665">
        <w:t>,</w:t>
      </w:r>
      <w:r w:rsidRPr="00EE04A8">
        <w:t xml:space="preserve"> taisot notiesājošu spriedumu, </w:t>
      </w:r>
      <w:r w:rsidR="00936665">
        <w:t>bija</w:t>
      </w:r>
      <w:r w:rsidRPr="00EE04A8">
        <w:t xml:space="preserve"> jāgūst pārliecība, ka</w:t>
      </w:r>
      <w:r w:rsidR="00A12169">
        <w:t>:</w:t>
      </w:r>
      <w:r w:rsidR="00C9644C">
        <w:t xml:space="preserve"> 1) </w:t>
      </w:r>
      <w:r w:rsidRPr="00EE04A8">
        <w:t>apsūdzēt</w:t>
      </w:r>
      <w:r w:rsidR="00F43499">
        <w:t>ie</w:t>
      </w:r>
      <w:r w:rsidRPr="00EE04A8">
        <w:t xml:space="preserve"> zināja, ka </w:t>
      </w:r>
      <w:r w:rsidR="002F405C">
        <w:t>„</w:t>
      </w:r>
      <w:r w:rsidR="0067609C">
        <w:t>[Nosaukums B]</w:t>
      </w:r>
      <w:r w:rsidR="002F405C">
        <w:t xml:space="preserve">” </w:t>
      </w:r>
      <w:r w:rsidRPr="00EE04A8">
        <w:t xml:space="preserve">rēķins nav ticis apmaksāts, taču, neraugoties uz to, apsūdzētā </w:t>
      </w:r>
      <w:r w:rsidR="00CC06BC">
        <w:t>[pers. B]</w:t>
      </w:r>
      <w:r w:rsidRPr="00EE04A8">
        <w:t xml:space="preserve"> to iegrāmatoja ar mērķi samazināt ar nodokli apliekamo objektu, bet apsūdzētais </w:t>
      </w:r>
      <w:r w:rsidR="00CC06BC">
        <w:t>[pers. A]</w:t>
      </w:r>
      <w:r w:rsidRPr="00EE04A8">
        <w:t xml:space="preserve">, apzinoties neapmaksātā </w:t>
      </w:r>
      <w:r w:rsidR="00936665">
        <w:t>rēķina</w:t>
      </w:r>
      <w:r w:rsidRPr="00EE04A8">
        <w:t xml:space="preserve"> iekļaušanu Valsts ieņēmumu dienestam iesniedzamajos dokumentos, tos parakstīja</w:t>
      </w:r>
      <w:r w:rsidR="00A12169">
        <w:t>;</w:t>
      </w:r>
      <w:r w:rsidR="00C9644C">
        <w:t xml:space="preserve"> 2) </w:t>
      </w:r>
      <w:r w:rsidR="00A12169" w:rsidRPr="00C70F63">
        <w:t>minētās darbības apsūdzēt</w:t>
      </w:r>
      <w:r w:rsidR="00A12169">
        <w:t>ie</w:t>
      </w:r>
      <w:r w:rsidR="00A12169" w:rsidRPr="00C70F63">
        <w:t xml:space="preserve"> </w:t>
      </w:r>
      <w:r w:rsidR="00A12169">
        <w:t>veikuši savstarpēji saskaņoti</w:t>
      </w:r>
      <w:r w:rsidR="00936665">
        <w:t xml:space="preserve"> (Krimināllikuma 18. pant</w:t>
      </w:r>
      <w:r w:rsidR="00F43499">
        <w:t>s</w:t>
      </w:r>
      <w:r w:rsidR="00936665">
        <w:t>)</w:t>
      </w:r>
      <w:r w:rsidR="00A12169">
        <w:t>.</w:t>
      </w:r>
    </w:p>
    <w:p w14:paraId="7930271E" w14:textId="5E1450E2" w:rsidR="00DE303F" w:rsidRDefault="00A12169" w:rsidP="00C70F63">
      <w:pPr>
        <w:spacing w:after="0" w:line="276" w:lineRule="auto"/>
        <w:ind w:firstLine="720"/>
        <w:jc w:val="both"/>
      </w:pPr>
      <w:bookmarkStart w:id="26" w:name="_Hlk214294724"/>
      <w:r>
        <w:t>[1</w:t>
      </w:r>
      <w:r w:rsidR="007F1B6D">
        <w:t>0</w:t>
      </w:r>
      <w:r>
        <w:t>.</w:t>
      </w:r>
      <w:r w:rsidR="00F43499">
        <w:t>2</w:t>
      </w:r>
      <w:r>
        <w:t xml:space="preserve">] </w:t>
      </w:r>
      <w:r w:rsidR="00DE303F" w:rsidRPr="00765A08">
        <w:t xml:space="preserve">Lai </w:t>
      </w:r>
      <w:r w:rsidR="00DE303F">
        <w:t>atzītu</w:t>
      </w:r>
      <w:r w:rsidR="00DE303F" w:rsidRPr="00765A08">
        <w:t xml:space="preserve"> </w:t>
      </w:r>
      <w:r>
        <w:t xml:space="preserve">par pierādītu </w:t>
      </w:r>
      <w:proofErr w:type="spellStart"/>
      <w:r>
        <w:t>konkl</w:t>
      </w:r>
      <w:r w:rsidR="003157DB">
        <w:t>u</w:t>
      </w:r>
      <w:r>
        <w:t>dentu</w:t>
      </w:r>
      <w:proofErr w:type="spellEnd"/>
      <w:r w:rsidR="00DE303F" w:rsidRPr="00765A08">
        <w:t xml:space="preserve"> vienošanos </w:t>
      </w:r>
      <w:r w:rsidR="00DE303F">
        <w:t>kopīgi piedalīties</w:t>
      </w:r>
      <w:r w:rsidR="00DE303F" w:rsidRPr="00765A08">
        <w:t xml:space="preserve"> </w:t>
      </w:r>
      <w:r w:rsidR="00DE303F">
        <w:t xml:space="preserve">tīšā </w:t>
      </w:r>
      <w:r w:rsidR="00DE303F" w:rsidRPr="00765A08">
        <w:t>noziedzīg</w:t>
      </w:r>
      <w:r w:rsidR="00DE303F">
        <w:t>ā</w:t>
      </w:r>
      <w:r w:rsidR="00DE303F" w:rsidRPr="00765A08">
        <w:t xml:space="preserve"> nodarījum</w:t>
      </w:r>
      <w:r w:rsidR="00DE303F">
        <w:t>ā</w:t>
      </w:r>
      <w:r w:rsidR="00DE303F" w:rsidRPr="00765A08">
        <w:t>, ir jākonstatē, ka</w:t>
      </w:r>
      <w:r w:rsidR="00634C30">
        <w:t>:</w:t>
      </w:r>
      <w:r w:rsidR="00DE303F" w:rsidRPr="00765A08">
        <w:t xml:space="preserve"> </w:t>
      </w:r>
      <w:r w:rsidR="00DE303F">
        <w:t>1)</w:t>
      </w:r>
      <w:r w:rsidR="00896EA0">
        <w:t> </w:t>
      </w:r>
      <w:r w:rsidR="00DE303F" w:rsidRPr="00765A08">
        <w:t>noziedzīgs nodoms</w:t>
      </w:r>
      <w:r w:rsidR="00DE303F">
        <w:t xml:space="preserve"> bija </w:t>
      </w:r>
      <w:r w:rsidR="00DE303F" w:rsidRPr="00765A08">
        <w:t>katra</w:t>
      </w:r>
      <w:r w:rsidR="00DE303F">
        <w:t>m</w:t>
      </w:r>
      <w:r w:rsidR="00DE303F" w:rsidRPr="00765A08">
        <w:t xml:space="preserve"> </w:t>
      </w:r>
      <w:r w:rsidR="00DE303F">
        <w:t>apsūdzētajam;</w:t>
      </w:r>
      <w:r w:rsidR="00DE303F" w:rsidRPr="00765A08">
        <w:t xml:space="preserve"> </w:t>
      </w:r>
      <w:r w:rsidR="00DE303F">
        <w:t>2)</w:t>
      </w:r>
      <w:r w:rsidR="00896EA0">
        <w:t> </w:t>
      </w:r>
      <w:r w:rsidR="00DE303F" w:rsidRPr="00765A08">
        <w:t>katr</w:t>
      </w:r>
      <w:r w:rsidR="00DE303F">
        <w:t>s</w:t>
      </w:r>
      <w:r w:rsidR="00DE303F" w:rsidRPr="00765A08">
        <w:t xml:space="preserve"> no t</w:t>
      </w:r>
      <w:r w:rsidR="00DE303F">
        <w:t>iem</w:t>
      </w:r>
      <w:r w:rsidR="00DE303F" w:rsidRPr="00765A08">
        <w:t xml:space="preserve"> apzinājies</w:t>
      </w:r>
      <w:r w:rsidR="005A12B8">
        <w:t xml:space="preserve">, ka arī </w:t>
      </w:r>
      <w:r w:rsidR="00DA66EE">
        <w:t>cit</w:t>
      </w:r>
      <w:r w:rsidR="005A12B8">
        <w:t>i</w:t>
      </w:r>
      <w:r w:rsidR="00DE303F">
        <w:t xml:space="preserve"> apsūdzēt</w:t>
      </w:r>
      <w:r w:rsidR="005A12B8">
        <w:t>ie rīkojas</w:t>
      </w:r>
      <w:r w:rsidR="00DE303F" w:rsidRPr="00765A08">
        <w:t xml:space="preserve"> </w:t>
      </w:r>
      <w:r w:rsidR="005A12B8">
        <w:t>ar</w:t>
      </w:r>
      <w:r w:rsidR="00DE303F">
        <w:t xml:space="preserve"> </w:t>
      </w:r>
      <w:r w:rsidR="00DE303F" w:rsidRPr="00765A08">
        <w:t>nodomu</w:t>
      </w:r>
      <w:r w:rsidR="00DE303F">
        <w:t>;</w:t>
      </w:r>
      <w:r w:rsidR="00DE303F" w:rsidRPr="00765A08">
        <w:t xml:space="preserve"> </w:t>
      </w:r>
      <w:r w:rsidR="00DE303F">
        <w:t>3)</w:t>
      </w:r>
      <w:r w:rsidR="00896EA0">
        <w:t> </w:t>
      </w:r>
      <w:r w:rsidR="00DE303F" w:rsidRPr="006D01C2">
        <w:t>katr</w:t>
      </w:r>
      <w:r w:rsidR="00DE303F">
        <w:t>s</w:t>
      </w:r>
      <w:r w:rsidR="00DE303F" w:rsidRPr="006D01C2">
        <w:t xml:space="preserve"> no </w:t>
      </w:r>
      <w:r w:rsidR="00DE303F">
        <w:t xml:space="preserve">tiem </w:t>
      </w:r>
      <w:r w:rsidR="00DE303F" w:rsidRPr="006D01C2">
        <w:t>bez tiešas komunikācijas vārdos, rakstos vai zīmēs</w:t>
      </w:r>
      <w:r w:rsidR="00DE303F">
        <w:t xml:space="preserve"> apzināti piedalījies kopīgā noziedzīgā nodarījum</w:t>
      </w:r>
      <w:r w:rsidR="00F43499">
        <w:t>a izdarīšanā</w:t>
      </w:r>
      <w:r w:rsidR="00DE303F">
        <w:t>.</w:t>
      </w:r>
    </w:p>
    <w:bookmarkEnd w:id="25"/>
    <w:bookmarkEnd w:id="26"/>
    <w:p w14:paraId="2000DD70" w14:textId="77777777" w:rsidR="005A1CE2" w:rsidRDefault="005A1CE2" w:rsidP="00F02AD5">
      <w:pPr>
        <w:spacing w:after="0" w:line="276" w:lineRule="auto"/>
        <w:ind w:firstLine="720"/>
        <w:jc w:val="both"/>
        <w:rPr>
          <w:rFonts w:cs="Times New Roman"/>
          <w:bCs/>
        </w:rPr>
      </w:pPr>
    </w:p>
    <w:p w14:paraId="66D7C6DA" w14:textId="79E5ECBF" w:rsidR="005A1CE2" w:rsidRDefault="005A1CE2" w:rsidP="005A1CE2">
      <w:pPr>
        <w:spacing w:after="0"/>
        <w:ind w:firstLine="720"/>
        <w:jc w:val="both"/>
        <w:rPr>
          <w:rFonts w:asciiTheme="majorBidi" w:hAnsiTheme="majorBidi" w:cstheme="majorBidi"/>
        </w:rPr>
      </w:pPr>
      <w:bookmarkStart w:id="27" w:name="OLE_LINK77"/>
      <w:r>
        <w:t>[1</w:t>
      </w:r>
      <w:r w:rsidR="0082463E">
        <w:t>1</w:t>
      </w:r>
      <w:r>
        <w:t xml:space="preserve">] </w:t>
      </w:r>
      <w:r w:rsidRPr="00BF1296">
        <w:t xml:space="preserve">Jautājums, vai lietā esošie pierādījumi ir pietiekami apsūdzētā vainīguma konstatēšanai, ir būtības jautājums, kas kasācijas kārtībā nav pārbaudāms </w:t>
      </w:r>
      <w:r w:rsidRPr="00BF1296">
        <w:rPr>
          <w:bCs/>
        </w:rPr>
        <w:t>(</w:t>
      </w:r>
      <w:bookmarkStart w:id="28" w:name="_Hlk217306527"/>
      <w:r w:rsidRPr="00BF1296">
        <w:rPr>
          <w:bCs/>
          <w:i/>
          <w:iCs/>
        </w:rPr>
        <w:t>Senāta 2020. gada 10. novembra lēmuma lietā Nr.</w:t>
      </w:r>
      <w:r w:rsidR="00460429">
        <w:rPr>
          <w:bCs/>
          <w:i/>
          <w:iCs/>
        </w:rPr>
        <w:t> </w:t>
      </w:r>
      <w:r w:rsidRPr="00BF1296">
        <w:rPr>
          <w:bCs/>
          <w:i/>
          <w:iCs/>
        </w:rPr>
        <w:t xml:space="preserve">SKK-127/2020, </w:t>
      </w:r>
      <w:hyperlink r:id="rId14" w:history="1">
        <w:r w:rsidRPr="00BF1296">
          <w:rPr>
            <w:rStyle w:val="Hyperlink"/>
            <w:bCs/>
            <w:i/>
            <w:iCs/>
            <w:color w:val="auto"/>
            <w:u w:val="none"/>
          </w:rPr>
          <w:t>ECLI:LV:AT:2020:1110.15890007015.20.L</w:t>
        </w:r>
      </w:hyperlink>
      <w:r w:rsidRPr="00BF1296">
        <w:rPr>
          <w:bCs/>
          <w:i/>
          <w:iCs/>
        </w:rPr>
        <w:t>, 5.3.</w:t>
      </w:r>
      <w:r w:rsidR="00896EA0">
        <w:rPr>
          <w:bCs/>
          <w:i/>
          <w:iCs/>
        </w:rPr>
        <w:t> </w:t>
      </w:r>
      <w:r w:rsidRPr="00BF1296">
        <w:rPr>
          <w:bCs/>
          <w:i/>
          <w:iCs/>
        </w:rPr>
        <w:t>punkts</w:t>
      </w:r>
      <w:bookmarkEnd w:id="28"/>
      <w:r w:rsidRPr="00BF1296">
        <w:rPr>
          <w:bCs/>
        </w:rPr>
        <w:t>)</w:t>
      </w:r>
      <w:r w:rsidRPr="00BF1296">
        <w:t xml:space="preserve">. </w:t>
      </w:r>
      <w:r w:rsidRPr="00BF1296">
        <w:rPr>
          <w:rFonts w:asciiTheme="majorBidi" w:hAnsiTheme="majorBidi" w:cstheme="majorBidi"/>
        </w:rPr>
        <w:t>Pierādījumu pietiekamības kritērijs ir saprātīgu šaubu esamība vai neesamība par apsūdzētā vainīgumu, kura izvērtēšana ir tās tiesas kompetencē, kas izskata lietu pēc būtības (</w:t>
      </w:r>
      <w:bookmarkStart w:id="29" w:name="_Hlk217306534"/>
      <w:r w:rsidRPr="00BF1296">
        <w:rPr>
          <w:rFonts w:asciiTheme="majorBidi" w:hAnsiTheme="majorBidi" w:cstheme="majorBidi"/>
          <w:i/>
        </w:rPr>
        <w:t>Senāta 2013. gada 3. jūlija lēmums lietā Nr. SKK-333/2013, 15890002407</w:t>
      </w:r>
      <w:r w:rsidRPr="00BF1296">
        <w:rPr>
          <w:rFonts w:asciiTheme="majorBidi" w:hAnsiTheme="majorBidi" w:cstheme="majorBidi"/>
        </w:rPr>
        <w:t>).</w:t>
      </w:r>
    </w:p>
    <w:bookmarkEnd w:id="29"/>
    <w:p w14:paraId="7EF48025" w14:textId="049DAB99" w:rsidR="005A1CE2" w:rsidRDefault="005A1CE2" w:rsidP="005A1CE2">
      <w:pPr>
        <w:spacing w:after="0"/>
        <w:ind w:firstLine="720"/>
        <w:jc w:val="both"/>
        <w:rPr>
          <w:strike/>
        </w:rPr>
      </w:pPr>
      <w:r w:rsidRPr="00BF1296">
        <w:t xml:space="preserve">Kasācijas instances tiesas kompetencē nav, pārbaudot pierādījumus, pārliecināties, ka izslēgta jebkura iespējamība, ka pierādījumu pārbaudes rezultātā varētu izdarīt kasatoram labvēlīgāku secinājumu. Tā būtu atkārtota pierādījumu novērtēšana pēc būtības, ko veic pirmās un apelācijas instances tiesa </w:t>
      </w:r>
      <w:bookmarkStart w:id="30" w:name="OLE_LINK67"/>
      <w:bookmarkEnd w:id="27"/>
      <w:r w:rsidRPr="00BF1296">
        <w:t>(</w:t>
      </w:r>
      <w:bookmarkStart w:id="31" w:name="_Hlk217306543"/>
      <w:r w:rsidRPr="00BF1296">
        <w:rPr>
          <w:i/>
          <w:iCs/>
        </w:rPr>
        <w:t>Senāta 2018. gada 13. februāra sprieduma lietā Nr. SKA-92/2018, ECLI:LV:AT:2018:0213.A420433513.2.S, 7.</w:t>
      </w:r>
      <w:r w:rsidR="00896EA0">
        <w:rPr>
          <w:i/>
          <w:iCs/>
        </w:rPr>
        <w:t> </w:t>
      </w:r>
      <w:r w:rsidRPr="00BF1296">
        <w:rPr>
          <w:i/>
          <w:iCs/>
        </w:rPr>
        <w:t xml:space="preserve">punkts, </w:t>
      </w:r>
      <w:r w:rsidRPr="00BF1296">
        <w:rPr>
          <w:rFonts w:cs="Times New Roman"/>
          <w:i/>
          <w:iCs/>
        </w:rPr>
        <w:t>2021. gada 5. novembra</w:t>
      </w:r>
      <w:r w:rsidR="00460429">
        <w:rPr>
          <w:rFonts w:cs="Times New Roman"/>
          <w:i/>
          <w:iCs/>
        </w:rPr>
        <w:t xml:space="preserve"> </w:t>
      </w:r>
      <w:r w:rsidRPr="00BF1296">
        <w:rPr>
          <w:rFonts w:cs="Times New Roman"/>
          <w:i/>
          <w:iCs/>
        </w:rPr>
        <w:t xml:space="preserve">sprieduma lietā Nr. SKA-698/2021, </w:t>
      </w:r>
      <w:hyperlink r:id="rId15" w:history="1">
        <w:r w:rsidRPr="00BF1296">
          <w:rPr>
            <w:rStyle w:val="Hyperlink"/>
            <w:rFonts w:cs="Times New Roman"/>
            <w:i/>
            <w:iCs/>
          </w:rPr>
          <w:t>ECLI:LV:AT:2021:1105.A420278019.11.S</w:t>
        </w:r>
      </w:hyperlink>
      <w:r w:rsidRPr="00BF1296">
        <w:rPr>
          <w:i/>
          <w:iCs/>
        </w:rPr>
        <w:t>, 6. punkts</w:t>
      </w:r>
      <w:bookmarkEnd w:id="30"/>
      <w:r w:rsidRPr="00BF1296">
        <w:rPr>
          <w:i/>
          <w:iCs/>
        </w:rPr>
        <w:t xml:space="preserve">, </w:t>
      </w:r>
      <w:r w:rsidRPr="00BF1296">
        <w:rPr>
          <w:rFonts w:cs="Times New Roman"/>
          <w:i/>
          <w:iCs/>
        </w:rPr>
        <w:t>2023. gada 24. novembra rīcības sēdes lēmuma lietā Nr. SKA-852/2023</w:t>
      </w:r>
      <w:r w:rsidR="00460429">
        <w:rPr>
          <w:rFonts w:cs="Times New Roman"/>
          <w:i/>
          <w:iCs/>
        </w:rPr>
        <w:t xml:space="preserve">, </w:t>
      </w:r>
      <w:hyperlink r:id="rId16" w:history="1">
        <w:r w:rsidRPr="00BF1296">
          <w:rPr>
            <w:rStyle w:val="Hyperlink"/>
            <w:rFonts w:cs="Times New Roman"/>
            <w:i/>
            <w:iCs/>
          </w:rPr>
          <w:t>ECLI:LV:AT:2023:1124.A420160422.12.L</w:t>
        </w:r>
      </w:hyperlink>
      <w:r w:rsidRPr="00BF1296">
        <w:rPr>
          <w:i/>
          <w:iCs/>
        </w:rPr>
        <w:t>, 3. punkts</w:t>
      </w:r>
      <w:r w:rsidRPr="00BF1296">
        <w:t>)</w:t>
      </w:r>
      <w:r w:rsidRPr="00BF1296">
        <w:rPr>
          <w:i/>
          <w:iCs/>
        </w:rPr>
        <w:t>.</w:t>
      </w:r>
    </w:p>
    <w:bookmarkEnd w:id="31"/>
    <w:p w14:paraId="5C185CE6" w14:textId="74944D16" w:rsidR="00AA10A7" w:rsidRPr="00BF1296" w:rsidRDefault="00AA10A7" w:rsidP="005A1CE2">
      <w:pPr>
        <w:spacing w:after="0"/>
        <w:ind w:firstLine="720"/>
        <w:jc w:val="both"/>
        <w:rPr>
          <w:strike/>
        </w:rPr>
      </w:pPr>
      <w:r w:rsidRPr="00583F31">
        <w:t xml:space="preserve">Tomēr no minētā neizriet, ka kasācijas instances tiesai pilnībā liegts </w:t>
      </w:r>
      <w:r>
        <w:t>pārbaudīt</w:t>
      </w:r>
      <w:r w:rsidRPr="00583F31">
        <w:t xml:space="preserve"> apelācijas instances tiesas veikto pierādījumu vērtēšanu</w:t>
      </w:r>
      <w:r>
        <w:t>.</w:t>
      </w:r>
    </w:p>
    <w:p w14:paraId="139D3899" w14:textId="2C2EE92D" w:rsidR="006E10BA" w:rsidRDefault="005A1CE2" w:rsidP="006E10BA">
      <w:pPr>
        <w:spacing w:after="0"/>
        <w:ind w:firstLine="720"/>
        <w:jc w:val="both"/>
      </w:pPr>
      <w:bookmarkStart w:id="32" w:name="_Hlk214349075"/>
      <w:r>
        <w:t>Lai gan k</w:t>
      </w:r>
      <w:r w:rsidRPr="00C11586">
        <w:t>asācijas instances tiesa nevar pārvērtēt apelācijas instances tiesas iekšējo pārliecību vai tiesisko apziņu pierādījumu novērtēšanā</w:t>
      </w:r>
      <w:r>
        <w:t>, t</w:t>
      </w:r>
      <w:r w:rsidRPr="00C11586">
        <w:t>omēr tās kompetencē ir pārbaudīt procesuālo tiesību normu piemērošanas pareizību, t</w:t>
      </w:r>
      <w:r>
        <w:t xml:space="preserve">ai </w:t>
      </w:r>
      <w:r w:rsidRPr="00C11586">
        <w:t>sk</w:t>
      </w:r>
      <w:r>
        <w:t>aitā</w:t>
      </w:r>
      <w:r w:rsidRPr="00C11586">
        <w:t xml:space="preserve"> normu, kas reglamentē pierādījumu vērtēšanas kārtību</w:t>
      </w:r>
      <w:r w:rsidRPr="00C11586">
        <w:rPr>
          <w:b/>
          <w:bCs/>
          <w:lang w:eastAsia="zh-CN"/>
        </w:rPr>
        <w:t xml:space="preserve"> </w:t>
      </w:r>
      <w:r w:rsidRPr="001B2FC7">
        <w:rPr>
          <w:lang w:eastAsia="zh-CN"/>
        </w:rPr>
        <w:t>(</w:t>
      </w:r>
      <w:bookmarkStart w:id="33" w:name="_Hlk217306564"/>
      <w:r w:rsidRPr="00C11586">
        <w:rPr>
          <w:i/>
          <w:iCs/>
          <w:lang w:eastAsia="zh-CN"/>
        </w:rPr>
        <w:t>Senāta 2008. gada 26.</w:t>
      </w:r>
      <w:r>
        <w:rPr>
          <w:i/>
          <w:iCs/>
          <w:lang w:eastAsia="zh-CN"/>
        </w:rPr>
        <w:t> </w:t>
      </w:r>
      <w:r w:rsidRPr="00C11586">
        <w:rPr>
          <w:i/>
          <w:iCs/>
          <w:lang w:eastAsia="zh-CN"/>
        </w:rPr>
        <w:t>februāra sprieduma lietā Nr. SKA-73/2008 10. un 11. punkt</w:t>
      </w:r>
      <w:r>
        <w:rPr>
          <w:i/>
          <w:iCs/>
          <w:lang w:eastAsia="zh-CN"/>
        </w:rPr>
        <w:t>s</w:t>
      </w:r>
      <w:r w:rsidRPr="001B2FC7">
        <w:rPr>
          <w:lang w:eastAsia="zh-CN"/>
        </w:rPr>
        <w:t>)</w:t>
      </w:r>
      <w:r w:rsidRPr="00C11586">
        <w:rPr>
          <w:i/>
          <w:iCs/>
          <w:lang w:eastAsia="zh-CN"/>
        </w:rPr>
        <w:t>.</w:t>
      </w:r>
      <w:bookmarkEnd w:id="33"/>
      <w:r>
        <w:t xml:space="preserve"> </w:t>
      </w:r>
      <w:bookmarkEnd w:id="32"/>
      <w:r>
        <w:rPr>
          <w:lang w:eastAsia="zh-CN"/>
        </w:rPr>
        <w:t>K</w:t>
      </w:r>
      <w:r w:rsidRPr="001E644C">
        <w:rPr>
          <w:lang w:eastAsia="zh-CN"/>
        </w:rPr>
        <w:t xml:space="preserve">asācijas instances tiesas kompetencē ir pārbaudīt, vai apelācijas instances tiesa ir vērtējusi pierādījumus un vai vērtējums atbilst likumā </w:t>
      </w:r>
      <w:r w:rsidRPr="001E644C">
        <w:rPr>
          <w:lang w:eastAsia="zh-CN"/>
        </w:rPr>
        <w:lastRenderedPageBreak/>
        <w:t>izvirzītajām prasībām (</w:t>
      </w:r>
      <w:bookmarkStart w:id="34" w:name="_Hlk217306576"/>
      <w:r w:rsidRPr="001E644C">
        <w:rPr>
          <w:i/>
          <w:iCs/>
          <w:lang w:eastAsia="zh-CN"/>
        </w:rPr>
        <w:t xml:space="preserve">Senāta 2006. gada 2. oktobra lēmums lietā Nr. SKK-568. Latvijas Republikas Augstākās tiesas Senāta </w:t>
      </w:r>
      <w:r>
        <w:rPr>
          <w:i/>
          <w:iCs/>
          <w:lang w:eastAsia="zh-CN"/>
        </w:rPr>
        <w:t>K</w:t>
      </w:r>
      <w:r w:rsidRPr="001E644C">
        <w:rPr>
          <w:i/>
          <w:iCs/>
          <w:lang w:eastAsia="zh-CN"/>
        </w:rPr>
        <w:t>rimināllietu departamenta lēmumi 2006. Rīga:</w:t>
      </w:r>
      <w:r w:rsidR="00460429">
        <w:rPr>
          <w:i/>
          <w:iCs/>
          <w:lang w:eastAsia="zh-CN"/>
        </w:rPr>
        <w:t xml:space="preserve"> </w:t>
      </w:r>
      <w:r w:rsidRPr="001E644C">
        <w:rPr>
          <w:i/>
          <w:iCs/>
          <w:lang w:eastAsia="zh-CN"/>
        </w:rPr>
        <w:t>Latvijas Tiesnešu mācību centrs, 2007, 87. lpp</w:t>
      </w:r>
      <w:r w:rsidRPr="001E644C">
        <w:rPr>
          <w:lang w:eastAsia="zh-CN"/>
        </w:rPr>
        <w:t>.</w:t>
      </w:r>
      <w:r w:rsidR="006E10BA">
        <w:rPr>
          <w:lang w:eastAsia="zh-CN"/>
        </w:rPr>
        <w:t>,</w:t>
      </w:r>
      <w:r w:rsidR="006E10BA">
        <w:rPr>
          <w:b/>
          <w:bCs/>
        </w:rPr>
        <w:t xml:space="preserve"> </w:t>
      </w:r>
      <w:r w:rsidR="006E10BA">
        <w:rPr>
          <w:bCs/>
          <w:i/>
          <w:iCs/>
        </w:rPr>
        <w:t xml:space="preserve">Senāta </w:t>
      </w:r>
      <w:r w:rsidR="006E10BA" w:rsidRPr="00831C49">
        <w:rPr>
          <w:bCs/>
          <w:i/>
          <w:iCs/>
        </w:rPr>
        <w:t>2015.</w:t>
      </w:r>
      <w:r w:rsidR="006E10BA">
        <w:rPr>
          <w:bCs/>
          <w:i/>
          <w:iCs/>
        </w:rPr>
        <w:t> </w:t>
      </w:r>
      <w:r w:rsidR="006E10BA" w:rsidRPr="00831C49">
        <w:rPr>
          <w:bCs/>
          <w:i/>
          <w:iCs/>
        </w:rPr>
        <w:t>gada 27.</w:t>
      </w:r>
      <w:r w:rsidR="006E10BA">
        <w:rPr>
          <w:bCs/>
          <w:i/>
          <w:iCs/>
        </w:rPr>
        <w:t> </w:t>
      </w:r>
      <w:r w:rsidR="006E10BA" w:rsidRPr="00831C49">
        <w:rPr>
          <w:bCs/>
          <w:i/>
          <w:iCs/>
        </w:rPr>
        <w:t>maija</w:t>
      </w:r>
      <w:r w:rsidR="006E10BA">
        <w:rPr>
          <w:bCs/>
          <w:i/>
          <w:iCs/>
        </w:rPr>
        <w:t xml:space="preserve"> lēmums</w:t>
      </w:r>
      <w:r w:rsidR="006E10BA" w:rsidRPr="00831C49">
        <w:rPr>
          <w:bCs/>
          <w:i/>
          <w:iCs/>
        </w:rPr>
        <w:t xml:space="preserve"> </w:t>
      </w:r>
      <w:r w:rsidR="006E10BA">
        <w:rPr>
          <w:bCs/>
          <w:i/>
          <w:iCs/>
        </w:rPr>
        <w:t>l</w:t>
      </w:r>
      <w:r w:rsidR="006E10BA" w:rsidRPr="00831C49">
        <w:rPr>
          <w:bCs/>
          <w:i/>
          <w:iCs/>
        </w:rPr>
        <w:t>ietā Nr.</w:t>
      </w:r>
      <w:r w:rsidR="00D57D37">
        <w:rPr>
          <w:bCs/>
          <w:i/>
          <w:iCs/>
        </w:rPr>
        <w:t> </w:t>
      </w:r>
      <w:r w:rsidR="006E10BA" w:rsidRPr="00831C49">
        <w:rPr>
          <w:bCs/>
          <w:i/>
          <w:iCs/>
        </w:rPr>
        <w:t>SKK</w:t>
      </w:r>
      <w:r w:rsidR="002C2E5F">
        <w:rPr>
          <w:bCs/>
          <w:i/>
          <w:iCs/>
        </w:rPr>
        <w:t>-</w:t>
      </w:r>
      <w:r w:rsidR="006E10BA" w:rsidRPr="00831C49">
        <w:rPr>
          <w:bCs/>
          <w:i/>
          <w:iCs/>
        </w:rPr>
        <w:t>325/2015</w:t>
      </w:r>
      <w:r w:rsidR="006E10BA">
        <w:rPr>
          <w:bCs/>
          <w:i/>
          <w:iCs/>
        </w:rPr>
        <w:t>,</w:t>
      </w:r>
      <w:r w:rsidR="006E10BA" w:rsidRPr="00831C49">
        <w:rPr>
          <w:bCs/>
          <w:i/>
          <w:iCs/>
        </w:rPr>
        <w:t xml:space="preserve"> 11815000609</w:t>
      </w:r>
      <w:r w:rsidR="006E10BA" w:rsidRPr="00831C49">
        <w:rPr>
          <w:bCs/>
        </w:rPr>
        <w:t>)</w:t>
      </w:r>
      <w:r w:rsidR="006E10BA">
        <w:rPr>
          <w:bCs/>
          <w:i/>
          <w:iCs/>
        </w:rPr>
        <w:t>.</w:t>
      </w:r>
    </w:p>
    <w:bookmarkEnd w:id="34"/>
    <w:p w14:paraId="62FC5F1A" w14:textId="06A5B436" w:rsidR="005A1CE2" w:rsidRDefault="005A1CE2" w:rsidP="00BC23B6">
      <w:pPr>
        <w:tabs>
          <w:tab w:val="left" w:pos="1418"/>
        </w:tabs>
        <w:spacing w:after="0"/>
        <w:ind w:firstLine="720"/>
        <w:jc w:val="both"/>
      </w:pPr>
      <w:r w:rsidRPr="001E644C">
        <w:t xml:space="preserve">Kasācijas instances tiesa var </w:t>
      </w:r>
      <w:r w:rsidR="00B27FB6">
        <w:t>atzīt tiesas pieļautu pārkāpumu pierādījumu vērtēšanā</w:t>
      </w:r>
      <w:r w:rsidRPr="001E644C">
        <w:t>, ja, piemēram</w:t>
      </w:r>
      <w:bookmarkStart w:id="35" w:name="OLE_LINK68"/>
      <w:r w:rsidRPr="001E644C">
        <w:t xml:space="preserve">, tiesas izdarītie secinājumi vai nu vispār nebalstās uz pierādījumiem, bet tikai uz pieņēmumiem, vai ja secinājumi loģiski nevar izrietēt no novērtētajiem pierādījumiem, vai ja kāda pierādījuma saturs </w:t>
      </w:r>
      <w:r w:rsidRPr="00BF1296">
        <w:t>ir</w:t>
      </w:r>
      <w:r w:rsidRPr="001E644C">
        <w:t xml:space="preserve"> acīmredzami nepareizi noskaidrots</w:t>
      </w:r>
      <w:r>
        <w:t xml:space="preserve">, </w:t>
      </w:r>
      <w:r w:rsidRPr="001E644C">
        <w:t xml:space="preserve">piemēram, tiesa vispār nepareizi izlasījusi rakstveida dokumentu vai izlaidusi no vērtējuma kādu dokumenta vai liecības daļu </w:t>
      </w:r>
      <w:bookmarkStart w:id="36" w:name="OLE_LINK69"/>
      <w:bookmarkEnd w:id="35"/>
      <w:r w:rsidRPr="001E644C">
        <w:t>(</w:t>
      </w:r>
      <w:bookmarkStart w:id="37" w:name="_Hlk217306588"/>
      <w:r>
        <w:rPr>
          <w:i/>
          <w:iCs/>
        </w:rPr>
        <w:t xml:space="preserve">Senāta </w:t>
      </w:r>
      <w:r w:rsidRPr="001E644C">
        <w:rPr>
          <w:i/>
          <w:iCs/>
        </w:rPr>
        <w:t>2018.</w:t>
      </w:r>
      <w:r w:rsidR="00BC23B6">
        <w:rPr>
          <w:i/>
          <w:iCs/>
        </w:rPr>
        <w:t> </w:t>
      </w:r>
      <w:r w:rsidRPr="001E644C">
        <w:rPr>
          <w:i/>
          <w:iCs/>
        </w:rPr>
        <w:t>gada 13.</w:t>
      </w:r>
      <w:r w:rsidR="00BC23B6">
        <w:rPr>
          <w:i/>
          <w:iCs/>
        </w:rPr>
        <w:t> </w:t>
      </w:r>
      <w:r w:rsidRPr="001E644C">
        <w:rPr>
          <w:i/>
          <w:iCs/>
        </w:rPr>
        <w:t>februāra spriedum</w:t>
      </w:r>
      <w:r>
        <w:rPr>
          <w:i/>
          <w:iCs/>
        </w:rPr>
        <w:t>a</w:t>
      </w:r>
      <w:r w:rsidRPr="001E644C">
        <w:rPr>
          <w:i/>
          <w:iCs/>
        </w:rPr>
        <w:t xml:space="preserve"> lietā </w:t>
      </w:r>
      <w:r>
        <w:rPr>
          <w:i/>
          <w:iCs/>
        </w:rPr>
        <w:t>Nr. </w:t>
      </w:r>
      <w:r w:rsidRPr="001E644C">
        <w:rPr>
          <w:i/>
          <w:iCs/>
        </w:rPr>
        <w:t>SKA-92</w:t>
      </w:r>
      <w:r>
        <w:rPr>
          <w:i/>
          <w:iCs/>
        </w:rPr>
        <w:t xml:space="preserve">, </w:t>
      </w:r>
      <w:r w:rsidRPr="001E644C">
        <w:rPr>
          <w:i/>
          <w:iCs/>
        </w:rPr>
        <w:t>ECLI:LV:AT:2018:0213.A420433513.2.S</w:t>
      </w:r>
      <w:bookmarkEnd w:id="37"/>
      <w:r>
        <w:rPr>
          <w:i/>
          <w:iCs/>
        </w:rPr>
        <w:t>,</w:t>
      </w:r>
      <w:r w:rsidRPr="001E644C">
        <w:rPr>
          <w:i/>
          <w:iCs/>
        </w:rPr>
        <w:t xml:space="preserve"> 7. punkts</w:t>
      </w:r>
      <w:r w:rsidRPr="001E644C">
        <w:t>)</w:t>
      </w:r>
      <w:bookmarkEnd w:id="36"/>
      <w:r>
        <w:t xml:space="preserve">, </w:t>
      </w:r>
      <w:r w:rsidRPr="00A670EC">
        <w:t xml:space="preserve">vai ja pierādījumu vērtējums ir </w:t>
      </w:r>
      <w:r w:rsidRPr="00A670EC">
        <w:rPr>
          <w:rFonts w:cs="Times New Roman"/>
          <w:bCs/>
          <w:lang w:eastAsia="lv-LV"/>
        </w:rPr>
        <w:t>pretrunīgs un acīmredzami nepilnīgs</w:t>
      </w:r>
      <w:r>
        <w:rPr>
          <w:rFonts w:cs="Times New Roman"/>
          <w:bCs/>
          <w:lang w:eastAsia="lv-LV"/>
        </w:rPr>
        <w:t xml:space="preserve"> </w:t>
      </w:r>
      <w:r w:rsidRPr="00A670EC">
        <w:rPr>
          <w:rFonts w:cs="Times New Roman"/>
          <w:bCs/>
        </w:rPr>
        <w:t>(</w:t>
      </w:r>
      <w:bookmarkStart w:id="38" w:name="_Hlk217306593"/>
      <w:r w:rsidRPr="00A670EC">
        <w:rPr>
          <w:rFonts w:cs="Times New Roman"/>
          <w:bCs/>
          <w:i/>
          <w:iCs/>
        </w:rPr>
        <w:t>Senāta 2021.</w:t>
      </w:r>
      <w:r>
        <w:rPr>
          <w:rFonts w:cs="Times New Roman"/>
          <w:bCs/>
          <w:i/>
          <w:iCs/>
        </w:rPr>
        <w:t> </w:t>
      </w:r>
      <w:r w:rsidRPr="00A670EC">
        <w:rPr>
          <w:rFonts w:cs="Times New Roman"/>
          <w:bCs/>
          <w:i/>
          <w:iCs/>
        </w:rPr>
        <w:t>gada 23.</w:t>
      </w:r>
      <w:r>
        <w:rPr>
          <w:rFonts w:cs="Times New Roman"/>
          <w:bCs/>
          <w:i/>
          <w:iCs/>
        </w:rPr>
        <w:t> </w:t>
      </w:r>
      <w:r w:rsidRPr="00A670EC">
        <w:rPr>
          <w:rFonts w:cs="Times New Roman"/>
          <w:bCs/>
          <w:i/>
          <w:iCs/>
        </w:rPr>
        <w:t xml:space="preserve">septembra sprieduma </w:t>
      </w:r>
      <w:r w:rsidRPr="00A670EC">
        <w:rPr>
          <w:rFonts w:eastAsiaTheme="minorEastAsia" w:cs="Times New Roman"/>
          <w:bCs/>
          <w:i/>
          <w:iCs/>
        </w:rPr>
        <w:t>lietā Nr.</w:t>
      </w:r>
      <w:r>
        <w:rPr>
          <w:rFonts w:eastAsiaTheme="minorEastAsia" w:cs="Times New Roman"/>
          <w:bCs/>
          <w:i/>
          <w:iCs/>
        </w:rPr>
        <w:t> </w:t>
      </w:r>
      <w:r w:rsidRPr="00A670EC">
        <w:rPr>
          <w:rFonts w:eastAsiaTheme="minorEastAsia" w:cs="Times New Roman"/>
          <w:bCs/>
          <w:i/>
          <w:iCs/>
        </w:rPr>
        <w:t>SKA-138/2021,</w:t>
      </w:r>
      <w:r w:rsidRPr="00A670EC">
        <w:rPr>
          <w:rFonts w:cs="Times New Roman"/>
          <w:bCs/>
          <w:i/>
          <w:iCs/>
        </w:rPr>
        <w:t xml:space="preserve"> </w:t>
      </w:r>
      <w:hyperlink r:id="rId17" w:history="1">
        <w:r w:rsidRPr="00A670EC">
          <w:rPr>
            <w:rStyle w:val="Hyperlink"/>
            <w:rFonts w:eastAsiaTheme="minorEastAsia" w:cs="Times New Roman"/>
            <w:bCs/>
            <w:i/>
            <w:iCs/>
          </w:rPr>
          <w:t>ECLI:LV:AT:2021:0923.A43009415.14.S</w:t>
        </w:r>
      </w:hyperlink>
      <w:r w:rsidRPr="00A670EC">
        <w:rPr>
          <w:rFonts w:eastAsiaTheme="minorEastAsia" w:cs="Times New Roman"/>
          <w:bCs/>
          <w:i/>
          <w:iCs/>
        </w:rPr>
        <w:t>, 13.</w:t>
      </w:r>
      <w:r>
        <w:rPr>
          <w:rFonts w:eastAsiaTheme="minorEastAsia" w:cs="Times New Roman"/>
          <w:bCs/>
          <w:i/>
          <w:iCs/>
        </w:rPr>
        <w:t xml:space="preserve"> un </w:t>
      </w:r>
      <w:r w:rsidRPr="00A670EC">
        <w:rPr>
          <w:rFonts w:eastAsiaTheme="minorEastAsia" w:cs="Times New Roman"/>
          <w:bCs/>
          <w:i/>
          <w:iCs/>
        </w:rPr>
        <w:t>23. punkts</w:t>
      </w:r>
      <w:r w:rsidRPr="00A670EC">
        <w:rPr>
          <w:rFonts w:eastAsiaTheme="minorEastAsia" w:cs="Times New Roman"/>
          <w:bCs/>
        </w:rPr>
        <w:t>)</w:t>
      </w:r>
      <w:r w:rsidRPr="00A670EC">
        <w:rPr>
          <w:rFonts w:cs="Times New Roman"/>
          <w:bCs/>
          <w:lang w:eastAsia="lv-LV"/>
        </w:rPr>
        <w:t>.</w:t>
      </w:r>
    </w:p>
    <w:bookmarkEnd w:id="24"/>
    <w:bookmarkEnd w:id="38"/>
    <w:p w14:paraId="50273AF0" w14:textId="77777777" w:rsidR="00C6562D" w:rsidRDefault="00C6562D" w:rsidP="00E533B5">
      <w:pPr>
        <w:spacing w:after="0" w:line="276" w:lineRule="auto"/>
        <w:ind w:firstLine="720"/>
        <w:jc w:val="both"/>
      </w:pPr>
    </w:p>
    <w:p w14:paraId="4554B37E" w14:textId="24867312" w:rsidR="003935D3" w:rsidRDefault="003935D3" w:rsidP="003935D3">
      <w:pPr>
        <w:spacing w:after="0" w:line="276" w:lineRule="auto"/>
        <w:ind w:firstLine="720"/>
        <w:jc w:val="both"/>
      </w:pPr>
      <w:bookmarkStart w:id="39" w:name="_Hlk207979965"/>
      <w:bookmarkStart w:id="40" w:name="_Hlk206786118"/>
      <w:bookmarkStart w:id="41" w:name="_Hlk206787361"/>
      <w:r>
        <w:t>[1</w:t>
      </w:r>
      <w:r w:rsidR="00B653D6">
        <w:t>2</w:t>
      </w:r>
      <w:r>
        <w:t>] Atzinumu par to, ka apsūdzētie</w:t>
      </w:r>
      <w:r w:rsidR="00B27FB6">
        <w:t xml:space="preserve"> </w:t>
      </w:r>
      <w:r w:rsidR="00CC06BC">
        <w:t>[pers. A]</w:t>
      </w:r>
      <w:r w:rsidR="00B27FB6">
        <w:t xml:space="preserve"> un </w:t>
      </w:r>
      <w:r w:rsidR="00CC06BC">
        <w:t>[pers. B]</w:t>
      </w:r>
      <w:r>
        <w:t xml:space="preserve"> viņiem inkriminētās darbības ir veikuši ar tiešu nodomu, apelācijas instances tiesa ir pamatojusi ar šādiem apsvērumiem.</w:t>
      </w:r>
    </w:p>
    <w:p w14:paraId="5D76D3B2" w14:textId="36991A1F" w:rsidR="003935D3" w:rsidRDefault="003935D3" w:rsidP="003935D3">
      <w:pPr>
        <w:spacing w:after="0" w:line="276" w:lineRule="auto"/>
        <w:ind w:firstLine="720"/>
        <w:jc w:val="both"/>
      </w:pPr>
      <w:r>
        <w:t>S</w:t>
      </w:r>
      <w:r w:rsidRPr="00A65B77">
        <w:t xml:space="preserve">prieduma motīvu daļas ievadā </w:t>
      </w:r>
      <w:r>
        <w:t xml:space="preserve">tiesa ir </w:t>
      </w:r>
      <w:r w:rsidRPr="00A65B77">
        <w:t xml:space="preserve">norādījusi, ka </w:t>
      </w:r>
      <w:r w:rsidR="00B27FB6">
        <w:t>„</w:t>
      </w:r>
      <w:r w:rsidRPr="00A65B77">
        <w:t>avansa rēķina iekļaušana grāmatvedības dokumentos un tā attiecināšana uz uzņēmuma izdevumiem ir apzinātas darbības, kuras liecina par tiešu nodomu samazināt ar nodokli apliekamo objektu. Neapmaksātu avansa rēķinu nevarēja nejauši, aiz neuzmanības iekļaut grāmatvedības dokumentos kā izdevumus pamatojošu dokumentu.”</w:t>
      </w:r>
    </w:p>
    <w:p w14:paraId="32A43539" w14:textId="77777777" w:rsidR="003935D3" w:rsidRDefault="003935D3" w:rsidP="003935D3">
      <w:pPr>
        <w:spacing w:after="0" w:line="276" w:lineRule="auto"/>
        <w:ind w:firstLine="720"/>
        <w:jc w:val="both"/>
      </w:pPr>
      <w:r>
        <w:t>Tālāk tiesa ir norādījusi šādus apsvērumus:</w:t>
      </w:r>
    </w:p>
    <w:p w14:paraId="609A9237" w14:textId="6D5A8472" w:rsidR="003935D3" w:rsidRDefault="003935D3" w:rsidP="003935D3">
      <w:pPr>
        <w:pStyle w:val="ListParagraph"/>
        <w:numPr>
          <w:ilvl w:val="0"/>
          <w:numId w:val="23"/>
        </w:numPr>
        <w:spacing w:after="0" w:line="276" w:lineRule="auto"/>
        <w:jc w:val="both"/>
      </w:pPr>
      <w:r w:rsidRPr="004D1789">
        <w:t>2019.</w:t>
      </w:r>
      <w:r w:rsidR="00BC23B6">
        <w:t> </w:t>
      </w:r>
      <w:r w:rsidRPr="004D1789">
        <w:t>gada 12.</w:t>
      </w:r>
      <w:r w:rsidR="00BC23B6">
        <w:t> </w:t>
      </w:r>
      <w:r w:rsidRPr="004D1789">
        <w:t>martā veik</w:t>
      </w:r>
      <w:r>
        <w:t>tā</w:t>
      </w:r>
      <w:r w:rsidRPr="004D1789">
        <w:t xml:space="preserve"> </w:t>
      </w:r>
      <w:r>
        <w:t>nodokļu</w:t>
      </w:r>
      <w:r w:rsidRPr="004D1789">
        <w:t xml:space="preserve"> deklarācijas korekcij</w:t>
      </w:r>
      <w:r>
        <w:t>a</w:t>
      </w:r>
      <w:r w:rsidRPr="004D1789">
        <w:t xml:space="preserve"> un</w:t>
      </w:r>
      <w:r>
        <w:t xml:space="preserve"> nodokļa samaksa neizslēdz nozieguma izdarīšanas faktu, jo šie pasākumi veikti pēc tam, kad kriminālprocesā </w:t>
      </w:r>
      <w:r w:rsidR="000F7D28">
        <w:t xml:space="preserve">tika </w:t>
      </w:r>
      <w:r>
        <w:t>konstatēt</w:t>
      </w:r>
      <w:r w:rsidR="005A12B8">
        <w:t xml:space="preserve">s, ka </w:t>
      </w:r>
      <w:r>
        <w:t>darījum</w:t>
      </w:r>
      <w:r w:rsidR="005A12B8">
        <w:t>s</w:t>
      </w:r>
      <w:r>
        <w:t xml:space="preserve"> ar </w:t>
      </w:r>
      <w:r w:rsidR="002F405C">
        <w:t>„</w:t>
      </w:r>
      <w:r w:rsidR="0067609C">
        <w:t>[Nosaukums B]</w:t>
      </w:r>
      <w:r w:rsidR="00A8717D">
        <w:t>”</w:t>
      </w:r>
      <w:r>
        <w:t xml:space="preserve"> nepamatot</w:t>
      </w:r>
      <w:r w:rsidR="005A12B8">
        <w:t>i</w:t>
      </w:r>
      <w:r>
        <w:t xml:space="preserve"> iekļau</w:t>
      </w:r>
      <w:r w:rsidR="005A12B8">
        <w:t>ts</w:t>
      </w:r>
      <w:r>
        <w:t xml:space="preserve"> uzņēmuma izdevumos</w:t>
      </w:r>
      <w:r w:rsidR="0015105E">
        <w:t xml:space="preserve"> un noziegums bij</w:t>
      </w:r>
      <w:r w:rsidR="005A12B8">
        <w:t>a</w:t>
      </w:r>
      <w:r w:rsidR="0015105E">
        <w:t xml:space="preserve"> pabeigts</w:t>
      </w:r>
      <w:r>
        <w:t>;</w:t>
      </w:r>
    </w:p>
    <w:p w14:paraId="24E81EE6" w14:textId="44980C8A" w:rsidR="003935D3" w:rsidRDefault="003935D3" w:rsidP="003935D3">
      <w:pPr>
        <w:pStyle w:val="ListParagraph"/>
        <w:numPr>
          <w:ilvl w:val="0"/>
          <w:numId w:val="23"/>
        </w:numPr>
        <w:spacing w:after="0" w:line="276" w:lineRule="auto"/>
        <w:jc w:val="both"/>
      </w:pPr>
      <w:r>
        <w:t>a</w:t>
      </w:r>
      <w:r w:rsidRPr="004D1789">
        <w:t>psūdzēt</w:t>
      </w:r>
      <w:r>
        <w:t xml:space="preserve">ā </w:t>
      </w:r>
      <w:r w:rsidR="00CC06BC">
        <w:t>[pers. A]</w:t>
      </w:r>
      <w:r>
        <w:t xml:space="preserve"> pieredze uzņēmējdarbībā un</w:t>
      </w:r>
      <w:r w:rsidRPr="004D1789">
        <w:t xml:space="preserve"> </w:t>
      </w:r>
      <w:r w:rsidR="00CC06BC">
        <w:t>[pers. B]</w:t>
      </w:r>
      <w:r>
        <w:t xml:space="preserve"> pieredze</w:t>
      </w:r>
      <w:r w:rsidRPr="004D1789">
        <w:t xml:space="preserve"> grāmatvedībā ļāva </w:t>
      </w:r>
      <w:r>
        <w:t xml:space="preserve">tiem </w:t>
      </w:r>
      <w:r w:rsidRPr="004D1789">
        <w:t>paredzēt, ka</w:t>
      </w:r>
      <w:r w:rsidR="000F7D28">
        <w:t xml:space="preserve"> grāmatvedības dokumentos</w:t>
      </w:r>
      <w:r w:rsidRPr="004D1789">
        <w:t xml:space="preserve"> nepamatoti iekļauti izdevumi samazina ar </w:t>
      </w:r>
      <w:r>
        <w:t xml:space="preserve">nodokli </w:t>
      </w:r>
      <w:r w:rsidRPr="004D1789">
        <w:t>apliekamo bāzi;</w:t>
      </w:r>
    </w:p>
    <w:p w14:paraId="77F62C00" w14:textId="77777777" w:rsidR="003935D3" w:rsidRDefault="003935D3" w:rsidP="003935D3">
      <w:pPr>
        <w:pStyle w:val="ListParagraph"/>
        <w:numPr>
          <w:ilvl w:val="0"/>
          <w:numId w:val="23"/>
        </w:numPr>
        <w:spacing w:after="0" w:line="276" w:lineRule="auto"/>
        <w:jc w:val="both"/>
      </w:pPr>
      <w:r w:rsidRPr="004D1789">
        <w:t xml:space="preserve">apsūdzētie veikuši visas nepieciešamās darbības, lai neapmaksātais rēķins tiktu iekļauts </w:t>
      </w:r>
      <w:r>
        <w:t xml:space="preserve">gada </w:t>
      </w:r>
      <w:r w:rsidRPr="004D1789">
        <w:t>pārskatā un</w:t>
      </w:r>
      <w:r>
        <w:t xml:space="preserve"> tiktu</w:t>
      </w:r>
      <w:r w:rsidRPr="004D1789">
        <w:t xml:space="preserve"> samazināt</w:t>
      </w:r>
      <w:r>
        <w:t>a ar nodokli apliekamā</w:t>
      </w:r>
      <w:r w:rsidRPr="004D1789">
        <w:t xml:space="preserve"> bāz</w:t>
      </w:r>
      <w:r>
        <w:t>e</w:t>
      </w:r>
      <w:r w:rsidRPr="004D1789">
        <w:t>;</w:t>
      </w:r>
    </w:p>
    <w:p w14:paraId="3A030305" w14:textId="1C418819" w:rsidR="003935D3" w:rsidRDefault="003935D3" w:rsidP="003935D3">
      <w:pPr>
        <w:pStyle w:val="ListParagraph"/>
        <w:numPr>
          <w:ilvl w:val="0"/>
          <w:numId w:val="23"/>
        </w:numPr>
        <w:spacing w:after="0" w:line="276" w:lineRule="auto"/>
        <w:jc w:val="both"/>
      </w:pPr>
      <w:r w:rsidRPr="004D1789">
        <w:t>revidentes neuzmanība</w:t>
      </w:r>
      <w:r>
        <w:t>, nekonstatējot kļūdu gada pārskatā,</w:t>
      </w:r>
      <w:r w:rsidRPr="004D1789">
        <w:t xml:space="preserve"> neizslēdz kriminālatbildību, jo revidente nepiedal</w:t>
      </w:r>
      <w:r w:rsidR="0015105E">
        <w:t>ījās</w:t>
      </w:r>
      <w:r w:rsidRPr="004D1789">
        <w:t xml:space="preserve"> </w:t>
      </w:r>
      <w:r w:rsidR="00881867">
        <w:t xml:space="preserve">uzņēmuma </w:t>
      </w:r>
      <w:r w:rsidRPr="004D1789">
        <w:t>ikdienas</w:t>
      </w:r>
      <w:r>
        <w:t xml:space="preserve"> </w:t>
      </w:r>
      <w:r w:rsidR="00881867">
        <w:t>darbā</w:t>
      </w:r>
      <w:r w:rsidRPr="004D1789">
        <w:t>;</w:t>
      </w:r>
    </w:p>
    <w:p w14:paraId="2097BCF2" w14:textId="1DCB6E2D" w:rsidR="003935D3" w:rsidRDefault="00CC06BC" w:rsidP="003935D3">
      <w:pPr>
        <w:pStyle w:val="ListParagraph"/>
        <w:numPr>
          <w:ilvl w:val="0"/>
          <w:numId w:val="23"/>
        </w:numPr>
        <w:spacing w:after="0" w:line="276" w:lineRule="auto"/>
        <w:jc w:val="both"/>
      </w:pPr>
      <w:r>
        <w:t>[pers. A]</w:t>
      </w:r>
      <w:r w:rsidR="003935D3" w:rsidRPr="004D1789">
        <w:t xml:space="preserve"> zināja, ka rēķins nav apmaksāts</w:t>
      </w:r>
      <w:r w:rsidR="003935D3">
        <w:t xml:space="preserve">, bet </w:t>
      </w:r>
      <w:r>
        <w:t>[pers. B]</w:t>
      </w:r>
      <w:r w:rsidR="003935D3" w:rsidRPr="004D1789">
        <w:t xml:space="preserve"> zināja, ka </w:t>
      </w:r>
      <w:r w:rsidR="003935D3">
        <w:t xml:space="preserve">grāmatvedībā </w:t>
      </w:r>
      <w:r w:rsidR="003935D3" w:rsidRPr="004D1789">
        <w:t xml:space="preserve">drīkst iekļaut tikai </w:t>
      </w:r>
      <w:r w:rsidR="003935D3">
        <w:t>tos dokumentus, kas objektīvi atspoguļo saimniecisko darbību;</w:t>
      </w:r>
    </w:p>
    <w:p w14:paraId="7838597E" w14:textId="7FEFA167" w:rsidR="003935D3" w:rsidRPr="004D1789" w:rsidRDefault="002F405C" w:rsidP="003935D3">
      <w:pPr>
        <w:pStyle w:val="ListParagraph"/>
        <w:numPr>
          <w:ilvl w:val="0"/>
          <w:numId w:val="23"/>
        </w:numPr>
        <w:spacing w:after="0" w:line="276" w:lineRule="auto"/>
        <w:jc w:val="both"/>
      </w:pPr>
      <w:r>
        <w:t>„</w:t>
      </w:r>
      <w:r w:rsidR="0067609C">
        <w:t>[Nosaukums B]</w:t>
      </w:r>
      <w:r>
        <w:t>”</w:t>
      </w:r>
      <w:r w:rsidR="00A8717D">
        <w:t xml:space="preserve"> </w:t>
      </w:r>
      <w:r w:rsidR="0015105E">
        <w:t xml:space="preserve">rēķinā norādītā summa </w:t>
      </w:r>
      <w:r w:rsidR="003935D3" w:rsidRPr="004D1789">
        <w:t>391</w:t>
      </w:r>
      <w:r w:rsidR="00BC23B6">
        <w:t> </w:t>
      </w:r>
      <w:r w:rsidR="003935D3" w:rsidRPr="004D1789">
        <w:t xml:space="preserve">000 </w:t>
      </w:r>
      <w:r w:rsidR="003935D3" w:rsidRPr="003935D3">
        <w:rPr>
          <w:i/>
          <w:iCs/>
        </w:rPr>
        <w:t>euro</w:t>
      </w:r>
      <w:r w:rsidR="003935D3" w:rsidRPr="0015105E">
        <w:t xml:space="preserve"> ir</w:t>
      </w:r>
      <w:r w:rsidR="003935D3" w:rsidRPr="004D1789">
        <w:t xml:space="preserve"> </w:t>
      </w:r>
      <w:r w:rsidR="0015105E">
        <w:t>ievērojama</w:t>
      </w:r>
      <w:r w:rsidR="003935D3" w:rsidRPr="004D1789">
        <w:t xml:space="preserve">, </w:t>
      </w:r>
      <w:r w:rsidR="0015105E">
        <w:t>tādēļ nav ticams</w:t>
      </w:r>
      <w:r w:rsidR="003935D3">
        <w:t xml:space="preserve">, ka </w:t>
      </w:r>
      <w:r w:rsidR="00CC06BC">
        <w:t>[pers. A]</w:t>
      </w:r>
      <w:r w:rsidR="003935D3">
        <w:t xml:space="preserve"> </w:t>
      </w:r>
      <w:r w:rsidR="0082463E">
        <w:t xml:space="preserve">par šo darījumu </w:t>
      </w:r>
      <w:r w:rsidR="003935D3">
        <w:t xml:space="preserve">nav sniedzis informāciju </w:t>
      </w:r>
      <w:r w:rsidR="00CC06BC">
        <w:t>[pers. B]</w:t>
      </w:r>
      <w:r w:rsidR="003935D3">
        <w:t xml:space="preserve">, bet </w:t>
      </w:r>
      <w:r w:rsidR="00CC06BC">
        <w:t>[pers. B]</w:t>
      </w:r>
      <w:r w:rsidR="003935D3">
        <w:t xml:space="preserve"> </w:t>
      </w:r>
      <w:r w:rsidR="0015105E">
        <w:t>nav skaidrojusi, vai rēķins ir apmaksāts.</w:t>
      </w:r>
    </w:p>
    <w:p w14:paraId="1C3581D1" w14:textId="270FE761" w:rsidR="006D2D65" w:rsidRDefault="00CA490D" w:rsidP="00DB05DC">
      <w:pPr>
        <w:spacing w:after="0" w:line="276" w:lineRule="auto"/>
        <w:ind w:firstLine="720"/>
        <w:jc w:val="both"/>
      </w:pPr>
      <w:r>
        <w:t>Ievērojot minēto</w:t>
      </w:r>
      <w:r w:rsidR="00F02AD5">
        <w:t>,</w:t>
      </w:r>
      <w:r>
        <w:t xml:space="preserve"> </w:t>
      </w:r>
      <w:r w:rsidR="006D2D65" w:rsidRPr="006D2D65">
        <w:t>tiesa</w:t>
      </w:r>
      <w:r>
        <w:t xml:space="preserve"> secinājusi, </w:t>
      </w:r>
      <w:r w:rsidR="006D2D65" w:rsidRPr="006D2D65">
        <w:t>ka apsūdzētajiem</w:t>
      </w:r>
      <w:r w:rsidR="006D2D65">
        <w:t xml:space="preserve"> </w:t>
      </w:r>
      <w:r w:rsidR="006D2D65" w:rsidRPr="006D2D65">
        <w:t>bija saprotams darījuma fiktīvais raksturs</w:t>
      </w:r>
      <w:r w:rsidR="006D2D65">
        <w:t xml:space="preserve">, </w:t>
      </w:r>
      <w:r w:rsidR="006D2D65" w:rsidRPr="006D2D65">
        <w:t>proti, ka</w:t>
      </w:r>
      <w:r w:rsidR="006D2D65">
        <w:t xml:space="preserve"> </w:t>
      </w:r>
      <w:r w:rsidR="006D2D65" w:rsidRPr="006D2D65">
        <w:t>darījums faktiski nav noticis</w:t>
      </w:r>
      <w:r w:rsidR="00205670">
        <w:t>,</w:t>
      </w:r>
      <w:r w:rsidR="006D2D65" w:rsidRPr="006D2D65">
        <w:t xml:space="preserve"> un ka avansa rēķinu nedrīkst attiecināt uz uzņēmuma</w:t>
      </w:r>
      <w:r w:rsidR="006D2D65">
        <w:t xml:space="preserve"> </w:t>
      </w:r>
      <w:r w:rsidR="006D2D65" w:rsidRPr="006D2D65">
        <w:t>izdevumiem.</w:t>
      </w:r>
      <w:r w:rsidR="0015105E">
        <w:t xml:space="preserve"> </w:t>
      </w:r>
      <w:r w:rsidR="0015105E" w:rsidRPr="00047B88">
        <w:t>Tād</w:t>
      </w:r>
      <w:r w:rsidR="0015105E">
        <w:t>ēļ</w:t>
      </w:r>
      <w:r w:rsidR="0015105E" w:rsidRPr="00047B88">
        <w:t xml:space="preserve"> nav ticamas </w:t>
      </w:r>
      <w:r w:rsidR="0015105E">
        <w:t xml:space="preserve">apsūdzēto </w:t>
      </w:r>
      <w:r w:rsidR="0015105E" w:rsidRPr="00047B88">
        <w:t>liecības par</w:t>
      </w:r>
      <w:r w:rsidR="00DB05DC">
        <w:t xml:space="preserve"> to, </w:t>
      </w:r>
      <w:r w:rsidR="0082463E">
        <w:t>ka</w:t>
      </w:r>
      <w:r w:rsidR="00896EA0">
        <w:t xml:space="preserve"> </w:t>
      </w:r>
      <w:r w:rsidR="002F405C">
        <w:t>„</w:t>
      </w:r>
      <w:r w:rsidR="0067609C">
        <w:t>[Nosaukums B]</w:t>
      </w:r>
      <w:r w:rsidR="002F405C">
        <w:t>”</w:t>
      </w:r>
      <w:r w:rsidR="00DB05DC">
        <w:t xml:space="preserve"> </w:t>
      </w:r>
      <w:r w:rsidR="00DB05DC" w:rsidRPr="00424421">
        <w:t>rēķin</w:t>
      </w:r>
      <w:r w:rsidR="005A12B8">
        <w:t>s</w:t>
      </w:r>
      <w:r w:rsidR="00DB05DC" w:rsidRPr="00424421">
        <w:t xml:space="preserve"> iekļ</w:t>
      </w:r>
      <w:r w:rsidR="005A12B8">
        <w:t>auts</w:t>
      </w:r>
      <w:r w:rsidR="00DB05DC" w:rsidRPr="00424421">
        <w:t xml:space="preserve"> grāmatvedības dokumentos kļūdas </w:t>
      </w:r>
      <w:r w:rsidR="000F7D28">
        <w:t>rezultātā</w:t>
      </w:r>
      <w:r w:rsidR="00DB05DC">
        <w:t>.</w:t>
      </w:r>
    </w:p>
    <w:p w14:paraId="08AAE126" w14:textId="4FCF59F5" w:rsidR="00047B88" w:rsidRDefault="00047B88" w:rsidP="000F1C49">
      <w:pPr>
        <w:spacing w:after="0" w:line="276" w:lineRule="auto"/>
        <w:ind w:firstLine="720"/>
        <w:jc w:val="both"/>
      </w:pPr>
      <w:r w:rsidRPr="00CA490D">
        <w:lastRenderedPageBreak/>
        <w:t xml:space="preserve">Tālāk </w:t>
      </w:r>
      <w:r w:rsidR="00DB05DC">
        <w:t>apelācijas instances tiesa spriedumā uzskaitījusi vairākus pierādījumus</w:t>
      </w:r>
      <w:r w:rsidR="00CA490D" w:rsidRPr="00CA490D">
        <w:t>, ne</w:t>
      </w:r>
      <w:r w:rsidR="001A0F30">
        <w:t>vērtējot</w:t>
      </w:r>
      <w:r w:rsidR="00CA490D" w:rsidRPr="00CA490D">
        <w:t xml:space="preserve"> to nozīmi vainas formas noteikšanā. Savukārt,</w:t>
      </w:r>
      <w:r w:rsidRPr="00CA490D">
        <w:t xml:space="preserve"> vērtējot apsūdzētā </w:t>
      </w:r>
      <w:r w:rsidR="00CC06BC">
        <w:t>[pers. A]</w:t>
      </w:r>
      <w:r w:rsidRPr="00CA490D">
        <w:t xml:space="preserve"> liecības</w:t>
      </w:r>
      <w:r w:rsidR="006F5398">
        <w:t>,</w:t>
      </w:r>
      <w:r w:rsidRPr="00CA490D">
        <w:t xml:space="preserve"> </w:t>
      </w:r>
      <w:r w:rsidR="0082463E">
        <w:t xml:space="preserve">tiesa </w:t>
      </w:r>
      <w:r w:rsidRPr="00CA490D">
        <w:t>norādī</w:t>
      </w:r>
      <w:r w:rsidR="0082463E">
        <w:t>jusi</w:t>
      </w:r>
      <w:r w:rsidRPr="00CA490D">
        <w:t xml:space="preserve">, ka </w:t>
      </w:r>
      <w:r w:rsidR="001A0F30">
        <w:t xml:space="preserve">viņam </w:t>
      </w:r>
      <w:r w:rsidRPr="00CA490D">
        <w:t xml:space="preserve">bija zināms, ka uzņēmumam nav radušies izdevumi, jo </w:t>
      </w:r>
      <w:r w:rsidR="006F5398">
        <w:t>rēķins</w:t>
      </w:r>
      <w:r w:rsidRPr="00CA490D">
        <w:t xml:space="preserve"> ne</w:t>
      </w:r>
      <w:r w:rsidR="000F7D28">
        <w:t>bija</w:t>
      </w:r>
      <w:r w:rsidRPr="00CA490D">
        <w:t xml:space="preserve"> apmaksāts. </w:t>
      </w:r>
      <w:r w:rsidR="0015105E">
        <w:t>V</w:t>
      </w:r>
      <w:r w:rsidR="00F02AD5">
        <w:t>iņam</w:t>
      </w:r>
      <w:r w:rsidRPr="00CA490D">
        <w:t xml:space="preserve"> ne</w:t>
      </w:r>
      <w:r w:rsidR="0015105E">
        <w:t>bija</w:t>
      </w:r>
      <w:r w:rsidRPr="00CA490D">
        <w:t xml:space="preserve"> šķēršļu, nododot avansa rēķinu </w:t>
      </w:r>
      <w:r w:rsidR="00CC06BC">
        <w:t>[pers. B]</w:t>
      </w:r>
      <w:r w:rsidRPr="00CA490D">
        <w:t>, informēt viņu par to, ka tas iekļaujams izdevumos tikai</w:t>
      </w:r>
      <w:r w:rsidR="008642F2">
        <w:t xml:space="preserve"> pēc tā apmaksas</w:t>
      </w:r>
      <w:r w:rsidRPr="00CA490D">
        <w:t xml:space="preserve">. Tāpat </w:t>
      </w:r>
      <w:r w:rsidR="00CC06BC">
        <w:t>[pers. A]</w:t>
      </w:r>
      <w:r w:rsidRPr="00CA490D">
        <w:t xml:space="preserve"> nebija šķēršļu informēt </w:t>
      </w:r>
      <w:r w:rsidR="000F1C49">
        <w:t>[pers. B]</w:t>
      </w:r>
      <w:r w:rsidRPr="00CA490D">
        <w:t>, ka darījums nav noticis un nav pamats to iekļaut grāmatvedības dokumentos</w:t>
      </w:r>
      <w:r w:rsidR="000F7D28">
        <w:t>.</w:t>
      </w:r>
    </w:p>
    <w:p w14:paraId="2BC676F7" w14:textId="77777777" w:rsidR="003157DB" w:rsidRDefault="003157DB" w:rsidP="00CA490D">
      <w:pPr>
        <w:spacing w:after="0" w:line="276" w:lineRule="auto"/>
        <w:ind w:firstLine="720"/>
        <w:jc w:val="both"/>
      </w:pPr>
    </w:p>
    <w:bookmarkEnd w:id="39"/>
    <w:p w14:paraId="7D5259B7" w14:textId="79FBA62A" w:rsidR="0015105E" w:rsidRPr="00DA21F7" w:rsidRDefault="005A1CE2" w:rsidP="00855C34">
      <w:pPr>
        <w:spacing w:after="0"/>
        <w:ind w:firstLine="720"/>
        <w:jc w:val="both"/>
      </w:pPr>
      <w:r w:rsidRPr="00DA21F7">
        <w:t>[1</w:t>
      </w:r>
      <w:r w:rsidR="00B653D6">
        <w:t>3</w:t>
      </w:r>
      <w:r w:rsidRPr="00DA21F7">
        <w:t xml:space="preserve">] </w:t>
      </w:r>
      <w:bookmarkStart w:id="42" w:name="_Hlk214347904"/>
      <w:r w:rsidRPr="00DA21F7">
        <w:t xml:space="preserve">Senāts norāda, ka </w:t>
      </w:r>
      <w:bookmarkEnd w:id="42"/>
      <w:r w:rsidRPr="00DA21F7">
        <w:t>tiesas</w:t>
      </w:r>
      <w:r w:rsidR="00EA45EF" w:rsidRPr="00DA21F7">
        <w:t>, kas izskata lietu pēc būtības,</w:t>
      </w:r>
      <w:r w:rsidRPr="00DA21F7">
        <w:t xml:space="preserve"> pārliecībai par apsūdzētā vain</w:t>
      </w:r>
      <w:r w:rsidR="00B9194F">
        <w:t>īgumu</w:t>
      </w:r>
      <w:r w:rsidRPr="00DA21F7">
        <w:t xml:space="preserve"> ir jābūt pamatotai ar pierādījumu </w:t>
      </w:r>
      <w:r w:rsidR="003157DB" w:rsidRPr="00DA21F7">
        <w:t>kopumu</w:t>
      </w:r>
      <w:r w:rsidRPr="00DA21F7">
        <w:t>, k</w:t>
      </w:r>
      <w:r w:rsidR="003157DB" w:rsidRPr="00DA21F7">
        <w:t>ura vērtējums</w:t>
      </w:r>
      <w:r w:rsidRPr="00DA21F7">
        <w:t xml:space="preserve"> atbilst Kriminālprocesa likuma prasībām. </w:t>
      </w:r>
      <w:bookmarkStart w:id="43" w:name="_Hlk214266067"/>
      <w:r w:rsidR="008642F2">
        <w:t>Turklāt š</w:t>
      </w:r>
      <w:r w:rsidRPr="00DA21F7">
        <w:t>ādam vērtējumam ir jānodrošina likumā noteiktais ticamības līmenis</w:t>
      </w:r>
      <w:r w:rsidR="00855C34">
        <w:t xml:space="preserve"> –</w:t>
      </w:r>
      <w:r w:rsidR="003157DB" w:rsidRPr="00DA21F7">
        <w:t xml:space="preserve"> nav saprātīgu šaubu par vain</w:t>
      </w:r>
      <w:r w:rsidR="00E959AB">
        <w:t>īgumu</w:t>
      </w:r>
      <w:r w:rsidRPr="00DA21F7">
        <w:t xml:space="preserve">. </w:t>
      </w:r>
      <w:bookmarkEnd w:id="43"/>
    </w:p>
    <w:p w14:paraId="10A11ECF" w14:textId="0A9E30FC" w:rsidR="005A1CE2" w:rsidRDefault="0015105E" w:rsidP="0015105E">
      <w:pPr>
        <w:spacing w:after="0"/>
        <w:ind w:firstLine="720"/>
        <w:jc w:val="both"/>
      </w:pPr>
      <w:r w:rsidRPr="00DA21F7">
        <w:t>Izpildot minēto, t</w:t>
      </w:r>
      <w:r w:rsidR="005A1CE2" w:rsidRPr="00DA21F7">
        <w:t xml:space="preserve">iesai ir pienākums </w:t>
      </w:r>
      <w:r w:rsidRPr="00DA21F7">
        <w:t xml:space="preserve">spriedumā </w:t>
      </w:r>
      <w:r w:rsidR="005A1CE2" w:rsidRPr="00DA21F7">
        <w:t>uzskatāmi pamatot, ka pierādījumu kopums ir vispusīgi izvērtēts un no tā</w:t>
      </w:r>
      <w:r w:rsidRPr="00DA21F7">
        <w:t xml:space="preserve"> izdarītais</w:t>
      </w:r>
      <w:r w:rsidR="005A1CE2" w:rsidRPr="00DA21F7">
        <w:t xml:space="preserve"> secinājums par vain</w:t>
      </w:r>
      <w:r w:rsidR="00E959AB">
        <w:t>īgumu</w:t>
      </w:r>
      <w:r w:rsidR="005A1CE2" w:rsidRPr="00DA21F7">
        <w:t xml:space="preserve"> nav balstīts vienīgi uz pieņēmumiem vai aizdomām. </w:t>
      </w:r>
    </w:p>
    <w:p w14:paraId="70A16C0A" w14:textId="5F9D37DF" w:rsidR="00DA21F7" w:rsidRDefault="00DA21F7" w:rsidP="00DA21F7">
      <w:pPr>
        <w:spacing w:after="0" w:line="276" w:lineRule="auto"/>
        <w:ind w:firstLine="720"/>
        <w:jc w:val="both"/>
        <w:rPr>
          <w:rFonts w:cs="Times New Roman"/>
          <w:bCs/>
        </w:rPr>
      </w:pPr>
      <w:r w:rsidRPr="00DA21F7">
        <w:rPr>
          <w:rFonts w:cs="Times New Roman"/>
          <w:bCs/>
        </w:rPr>
        <w:t>Likums noteic tiesai pienākumu pamatot spriedumu, sniedzot izvērstu un nepārprotamu juridisko argumentāciju, kurā atspoguļots konkrētā</w:t>
      </w:r>
      <w:r>
        <w:rPr>
          <w:rFonts w:cs="Times New Roman"/>
          <w:bCs/>
        </w:rPr>
        <w:t xml:space="preserve">s lietas izlemšanā </w:t>
      </w:r>
      <w:r w:rsidRPr="00DA21F7">
        <w:rPr>
          <w:rFonts w:cs="Times New Roman"/>
          <w:bCs/>
        </w:rPr>
        <w:t>piemērojamo materiālo tiesību normu izvēles process, sākot ar lietā būtisku faktisko apstākļu noskaidrošanu, kas balstīta uz pierādījumu objektīvu novērtējumu to kopumā, un beidzot ar loģiskā secībā izdarīta gala slēdziena formulēšanu. Svarīgi, lai nolēmuma motīvu daļā ietvertā informācija, arī argumentu un pretargumentu vērtējums, viena vai otra argumenta noraidīšanas iemesli un izvērtēšanas kritēriji, pēc iespējas pilnīgāk un saprotamāk atspoguļotu tiesneša domu gaitu. Pilnīgs tiesneša domu gaitas izklāsts ikvienam nodrošina iespēju saskatīt lēmuma iemeslus un novērtēt risinājuma objektivitāti un pareizību (sk.</w:t>
      </w:r>
      <w:r w:rsidRPr="00DA21F7">
        <w:rPr>
          <w:rFonts w:cs="Times New Roman"/>
          <w:bCs/>
          <w:i/>
          <w:iCs/>
        </w:rPr>
        <w:t> Gaidele I., Nolēmumu argumentācija: teorija un prakse. Likums un tiesības, 2002, 4.</w:t>
      </w:r>
      <w:r>
        <w:rPr>
          <w:rFonts w:cs="Times New Roman"/>
          <w:bCs/>
          <w:i/>
          <w:iCs/>
        </w:rPr>
        <w:t> </w:t>
      </w:r>
      <w:r w:rsidRPr="00DA21F7">
        <w:rPr>
          <w:rFonts w:cs="Times New Roman"/>
          <w:bCs/>
          <w:i/>
          <w:iCs/>
        </w:rPr>
        <w:t>sēj., Nr. 36, 241.</w:t>
      </w:r>
      <w:r>
        <w:rPr>
          <w:rFonts w:cs="Times New Roman"/>
          <w:bCs/>
          <w:i/>
          <w:iCs/>
        </w:rPr>
        <w:t> </w:t>
      </w:r>
      <w:r w:rsidRPr="00DA21F7">
        <w:rPr>
          <w:rFonts w:cs="Times New Roman"/>
          <w:bCs/>
          <w:i/>
          <w:iCs/>
        </w:rPr>
        <w:t>lpp. un Senāta 2016.</w:t>
      </w:r>
      <w:r>
        <w:rPr>
          <w:rFonts w:cs="Times New Roman"/>
          <w:bCs/>
          <w:i/>
          <w:iCs/>
        </w:rPr>
        <w:t> </w:t>
      </w:r>
      <w:r w:rsidRPr="00DA21F7">
        <w:rPr>
          <w:rFonts w:cs="Times New Roman"/>
          <w:bCs/>
          <w:i/>
          <w:iCs/>
        </w:rPr>
        <w:t>gada 16.</w:t>
      </w:r>
      <w:r>
        <w:rPr>
          <w:rFonts w:cs="Times New Roman"/>
          <w:bCs/>
          <w:i/>
          <w:iCs/>
        </w:rPr>
        <w:t> </w:t>
      </w:r>
      <w:r w:rsidRPr="00DA21F7">
        <w:rPr>
          <w:rFonts w:cs="Times New Roman"/>
          <w:bCs/>
          <w:i/>
          <w:iCs/>
        </w:rPr>
        <w:t>septembra sprieduma lietā Nr. SKC-270/2016 9.1.</w:t>
      </w:r>
      <w:r>
        <w:rPr>
          <w:rFonts w:cs="Times New Roman"/>
          <w:bCs/>
          <w:i/>
          <w:iCs/>
        </w:rPr>
        <w:t> </w:t>
      </w:r>
      <w:r w:rsidRPr="00DA21F7">
        <w:rPr>
          <w:rFonts w:cs="Times New Roman"/>
          <w:bCs/>
          <w:i/>
          <w:iCs/>
        </w:rPr>
        <w:t>punktu, 2017.</w:t>
      </w:r>
      <w:r>
        <w:rPr>
          <w:rFonts w:cs="Times New Roman"/>
          <w:bCs/>
          <w:i/>
          <w:iCs/>
        </w:rPr>
        <w:t> </w:t>
      </w:r>
      <w:r w:rsidRPr="00DA21F7">
        <w:rPr>
          <w:rFonts w:cs="Times New Roman"/>
          <w:bCs/>
          <w:i/>
          <w:iCs/>
        </w:rPr>
        <w:t>gada 16.</w:t>
      </w:r>
      <w:r>
        <w:rPr>
          <w:rFonts w:cs="Times New Roman"/>
          <w:bCs/>
          <w:i/>
          <w:iCs/>
        </w:rPr>
        <w:t> </w:t>
      </w:r>
      <w:r w:rsidRPr="00DA21F7">
        <w:rPr>
          <w:rFonts w:cs="Times New Roman"/>
          <w:bCs/>
          <w:i/>
          <w:iCs/>
        </w:rPr>
        <w:t>augusta sprieduma lietā Nr.</w:t>
      </w:r>
      <w:r>
        <w:rPr>
          <w:rFonts w:cs="Times New Roman"/>
          <w:bCs/>
          <w:i/>
          <w:iCs/>
        </w:rPr>
        <w:t> </w:t>
      </w:r>
      <w:r w:rsidRPr="00DA21F7">
        <w:rPr>
          <w:rFonts w:cs="Times New Roman"/>
          <w:bCs/>
          <w:i/>
          <w:iCs/>
        </w:rPr>
        <w:t>SKC-</w:t>
      </w:r>
      <w:r w:rsidR="00205670">
        <w:rPr>
          <w:rFonts w:cs="Times New Roman"/>
          <w:bCs/>
          <w:i/>
          <w:iCs/>
        </w:rPr>
        <w:t> </w:t>
      </w:r>
      <w:r w:rsidRPr="00DA21F7">
        <w:rPr>
          <w:rFonts w:cs="Times New Roman"/>
          <w:bCs/>
          <w:i/>
          <w:iCs/>
        </w:rPr>
        <w:t>190/2017 7.</w:t>
      </w:r>
      <w:r>
        <w:rPr>
          <w:rFonts w:cs="Times New Roman"/>
          <w:bCs/>
          <w:i/>
          <w:iCs/>
        </w:rPr>
        <w:t> </w:t>
      </w:r>
      <w:r w:rsidRPr="00DA21F7">
        <w:rPr>
          <w:rFonts w:cs="Times New Roman"/>
          <w:bCs/>
          <w:i/>
          <w:iCs/>
        </w:rPr>
        <w:t>punktu</w:t>
      </w:r>
      <w:r w:rsidRPr="00DA21F7">
        <w:rPr>
          <w:rFonts w:cs="Times New Roman"/>
          <w:bCs/>
        </w:rPr>
        <w:t xml:space="preserve">). </w:t>
      </w:r>
    </w:p>
    <w:p w14:paraId="0A153E32" w14:textId="2D0C4287" w:rsidR="0015105E" w:rsidRPr="00DA21F7" w:rsidRDefault="0015105E" w:rsidP="005A1CE2">
      <w:pPr>
        <w:spacing w:after="0"/>
        <w:ind w:firstLine="720"/>
        <w:jc w:val="both"/>
      </w:pPr>
      <w:r w:rsidRPr="00DA21F7">
        <w:t>[1</w:t>
      </w:r>
      <w:r w:rsidR="00B653D6">
        <w:t>3</w:t>
      </w:r>
      <w:r w:rsidRPr="00DA21F7">
        <w:t xml:space="preserve">.1] </w:t>
      </w:r>
      <w:bookmarkStart w:id="44" w:name="_Hlk213944446"/>
      <w:r w:rsidR="00881867">
        <w:t>P</w:t>
      </w:r>
      <w:r w:rsidR="005A1CE2" w:rsidRPr="00DA21F7">
        <w:t>ierādījumu kopums</w:t>
      </w:r>
      <w:r w:rsidR="00881867">
        <w:t>, kas attiecas uz pierādīšanas priekšmetu,</w:t>
      </w:r>
      <w:r w:rsidR="005A1CE2" w:rsidRPr="00DA21F7">
        <w:t xml:space="preserve"> tiesai ir jānosaka patstāvīgi, neatkarīgi no citu procesa dalībnieku viedokļa. </w:t>
      </w:r>
    </w:p>
    <w:p w14:paraId="387A0FD3" w14:textId="0884D8A9" w:rsidR="0015105E" w:rsidRPr="00DA21F7" w:rsidRDefault="008642F2" w:rsidP="005A1CE2">
      <w:pPr>
        <w:spacing w:after="0"/>
        <w:ind w:firstLine="720"/>
        <w:jc w:val="both"/>
      </w:pPr>
      <w:r>
        <w:t>Šāda prasība</w:t>
      </w:r>
      <w:r w:rsidR="005A1CE2" w:rsidRPr="00DA21F7">
        <w:t xml:space="preserve"> izriet no tiesas neatkarības principa, kā arī no Kriminālprocesa likuma normām, jo īpaši </w:t>
      </w:r>
      <w:r w:rsidR="009635C3">
        <w:t xml:space="preserve">šā </w:t>
      </w:r>
      <w:r w:rsidR="005A1CE2" w:rsidRPr="00DA21F7">
        <w:t xml:space="preserve">likuma 512. panta otrās daļas, kurā uzskaitīti pierādījumi, ar kuriem tiesai ir jāpamato spriedums. </w:t>
      </w:r>
    </w:p>
    <w:p w14:paraId="1027B0E3" w14:textId="162AC84F" w:rsidR="005A1CE2" w:rsidRPr="00DA21F7" w:rsidRDefault="0015105E" w:rsidP="00B653D6">
      <w:pPr>
        <w:spacing w:after="0"/>
        <w:ind w:firstLine="720"/>
        <w:jc w:val="both"/>
      </w:pPr>
      <w:bookmarkStart w:id="45" w:name="_Hlk213944566"/>
      <w:r w:rsidRPr="00DA21F7">
        <w:t xml:space="preserve">Ievērojot minēto, </w:t>
      </w:r>
      <w:r w:rsidR="005A1CE2" w:rsidRPr="00DA21F7">
        <w:t xml:space="preserve">tiesai ir pienākums ņemt vērā arī tādus lietā esošos pierādījumus, uz kuriem procesa dalībnieki nav </w:t>
      </w:r>
      <w:r w:rsidRPr="00DA21F7">
        <w:t xml:space="preserve">tieši </w:t>
      </w:r>
      <w:r w:rsidR="005A1CE2" w:rsidRPr="00DA21F7">
        <w:t xml:space="preserve">atsaukušies, ja vien </w:t>
      </w:r>
      <w:r w:rsidRPr="00DA21F7">
        <w:t>tie</w:t>
      </w:r>
      <w:r w:rsidR="00B653D6">
        <w:t>: 1)</w:t>
      </w:r>
      <w:r w:rsidR="00BC23B6">
        <w:t> </w:t>
      </w:r>
      <w:r w:rsidR="00B653D6">
        <w:t>ir pārbaudīti Kriminālprocesa likumā noteiktajā kārtībā</w:t>
      </w:r>
      <w:r w:rsidR="00205670">
        <w:t>;</w:t>
      </w:r>
      <w:r w:rsidR="00B653D6">
        <w:t xml:space="preserve"> 2)</w:t>
      </w:r>
      <w:r w:rsidR="00BC23B6">
        <w:t> </w:t>
      </w:r>
      <w:r w:rsidR="005A1CE2" w:rsidRPr="00DA21F7">
        <w:t>attiecas uz pierādīšanas priekšmetu</w:t>
      </w:r>
      <w:r w:rsidR="00205670">
        <w:t>;</w:t>
      </w:r>
      <w:r w:rsidR="00DA21F7" w:rsidRPr="00DA21F7">
        <w:t xml:space="preserve"> </w:t>
      </w:r>
      <w:r w:rsidR="00B653D6">
        <w:t>3)</w:t>
      </w:r>
      <w:r w:rsidR="00BC23B6">
        <w:t> </w:t>
      </w:r>
      <w:r w:rsidR="00B653D6">
        <w:t>nav konstatēti apstākļi, kas liedz tos</w:t>
      </w:r>
      <w:r w:rsidR="00DA21F7" w:rsidRPr="00DA21F7">
        <w:t xml:space="preserve"> izmantot pierādīšanā</w:t>
      </w:r>
      <w:r w:rsidRPr="00DA21F7">
        <w:t xml:space="preserve"> (sk. Kriminālprocesa likuma 130. pantu)</w:t>
      </w:r>
    </w:p>
    <w:bookmarkEnd w:id="44"/>
    <w:bookmarkEnd w:id="45"/>
    <w:p w14:paraId="5DB9A518" w14:textId="08D5F1B4" w:rsidR="005A1CE2" w:rsidRPr="00DA21F7" w:rsidRDefault="005A1CE2" w:rsidP="005A1CE2">
      <w:pPr>
        <w:spacing w:after="0" w:line="276" w:lineRule="auto"/>
        <w:ind w:firstLine="720"/>
        <w:jc w:val="both"/>
      </w:pPr>
      <w:r w:rsidRPr="00DA21F7">
        <w:t>[1</w:t>
      </w:r>
      <w:r w:rsidR="00B653D6">
        <w:t>3</w:t>
      </w:r>
      <w:r w:rsidRPr="00DA21F7">
        <w:t xml:space="preserve">.2] Notiesājošu spriedumu tiesa ir tiesīga pamatot arī ar netiešo pierādījumu kopumu. Izšķiroši ir vien tas, </w:t>
      </w:r>
      <w:r w:rsidR="00881867">
        <w:t>ka</w:t>
      </w:r>
      <w:r w:rsidRPr="00DA21F7">
        <w:t xml:space="preserve"> no šī kopuma </w:t>
      </w:r>
      <w:r w:rsidR="00881867">
        <w:t xml:space="preserve">ir </w:t>
      </w:r>
      <w:r w:rsidRPr="00DA21F7">
        <w:t>iespējams izdarīt pamatotu secinājumu par kriminālprocesā pierādāmiem faktiem ar tādu ticamības pakāpi, kas izslēdz saprātīgas šaubas par apsūdzētā vain</w:t>
      </w:r>
      <w:r w:rsidR="008642F2">
        <w:t>īgumu</w:t>
      </w:r>
      <w:r w:rsidRPr="00DA21F7">
        <w:t>.</w:t>
      </w:r>
    </w:p>
    <w:p w14:paraId="35FF5F23" w14:textId="77777777" w:rsidR="005A1CE2" w:rsidRPr="00DA21F7" w:rsidRDefault="005A1CE2" w:rsidP="005A1CE2">
      <w:pPr>
        <w:spacing w:after="0" w:line="276" w:lineRule="auto"/>
        <w:ind w:firstLine="720"/>
        <w:jc w:val="both"/>
        <w:rPr>
          <w:rFonts w:cs="Times New Roman"/>
          <w:bCs/>
        </w:rPr>
      </w:pPr>
      <w:r w:rsidRPr="00DA21F7">
        <w:rPr>
          <w:rFonts w:cs="Times New Roman"/>
          <w:bCs/>
        </w:rPr>
        <w:t xml:space="preserve">Senāts jau iepriekš ir norādījis, ka kriminālprocesā pierādāmo apstākļu esības vai neesības apstiprināšanai var izmantot arī netiešos pierādījumus, kas ar saistīto faktu starpniecību dod pamatu izdarīt secinājumu par pierādāmiem apstākļiem, un nav </w:t>
      </w:r>
      <w:r w:rsidRPr="00DA21F7">
        <w:rPr>
          <w:rFonts w:cs="Times New Roman"/>
          <w:bCs/>
        </w:rPr>
        <w:lastRenderedPageBreak/>
        <w:t>izšķirošas nozīmes, kādi pierādījumi – tiešie vai netiešie – tiek izmantoti apsūdzētā vainīguma pierādīšanai, bet nozīme ir tam, vai pierādījumu kopums nerada saprātīgas šaubas par vainīgumu (</w:t>
      </w:r>
      <w:r w:rsidRPr="00DA21F7">
        <w:rPr>
          <w:rFonts w:cs="Times New Roman"/>
          <w:bCs/>
          <w:i/>
          <w:iCs/>
        </w:rPr>
        <w:t>Senāta 2021. gada 13. maija lēmuma lietā Nr. SKK</w:t>
      </w:r>
      <w:r w:rsidRPr="00DA21F7">
        <w:rPr>
          <w:rFonts w:cs="Times New Roman"/>
          <w:bCs/>
          <w:i/>
          <w:iCs/>
        </w:rPr>
        <w:noBreakHyphen/>
        <w:t xml:space="preserve">89/2021, </w:t>
      </w:r>
      <w:hyperlink r:id="rId18" w:history="1">
        <w:r w:rsidRPr="00DA21F7">
          <w:rPr>
            <w:rStyle w:val="Hyperlink"/>
            <w:rFonts w:cs="Times New Roman"/>
            <w:bCs/>
            <w:i/>
            <w:iCs/>
            <w:color w:val="auto"/>
            <w:u w:val="none"/>
          </w:rPr>
          <w:t>ECLI:LV:AT:2021:0513.11091099518.5.L</w:t>
        </w:r>
      </w:hyperlink>
      <w:r w:rsidRPr="00DA21F7">
        <w:t>,</w:t>
      </w:r>
      <w:r w:rsidRPr="00DA21F7">
        <w:rPr>
          <w:rFonts w:cs="Times New Roman"/>
          <w:bCs/>
          <w:i/>
          <w:iCs/>
        </w:rPr>
        <w:t xml:space="preserve"> 5.1. punkts, </w:t>
      </w:r>
      <w:r w:rsidRPr="00DA21F7">
        <w:rPr>
          <w:rFonts w:eastAsia="Times New Roman" w:cs="Times New Roman"/>
          <w:bCs/>
          <w:i/>
          <w:iCs/>
        </w:rPr>
        <w:t>2025. gada 28. marta lēmuma lietā Nr. SKK</w:t>
      </w:r>
      <w:r w:rsidRPr="00DA21F7">
        <w:rPr>
          <w:rFonts w:eastAsia="Times New Roman" w:cs="Times New Roman"/>
          <w:bCs/>
          <w:i/>
          <w:iCs/>
        </w:rPr>
        <w:noBreakHyphen/>
        <w:t>176/2025, ECLI:LV:AT:2025:0328.11380028422.4.L, 8.2.1. punkts</w:t>
      </w:r>
      <w:r w:rsidRPr="00DA21F7">
        <w:rPr>
          <w:rFonts w:cs="Times New Roman"/>
          <w:bCs/>
        </w:rPr>
        <w:t>).</w:t>
      </w:r>
    </w:p>
    <w:p w14:paraId="20F19E41" w14:textId="1463FCA2" w:rsidR="005A1CE2" w:rsidRPr="00DA21F7" w:rsidRDefault="005A1CE2" w:rsidP="005A1CE2">
      <w:pPr>
        <w:spacing w:after="0" w:line="276" w:lineRule="auto"/>
        <w:ind w:firstLine="720"/>
        <w:jc w:val="both"/>
        <w:rPr>
          <w:rFonts w:cs="Times New Roman"/>
          <w:bCs/>
        </w:rPr>
      </w:pPr>
      <w:r w:rsidRPr="00DA21F7">
        <w:rPr>
          <w:rFonts w:cs="Times New Roman"/>
          <w:bCs/>
        </w:rPr>
        <w:t>[1</w:t>
      </w:r>
      <w:r w:rsidR="00B653D6">
        <w:rPr>
          <w:rFonts w:cs="Times New Roman"/>
          <w:bCs/>
        </w:rPr>
        <w:t>3</w:t>
      </w:r>
      <w:r w:rsidRPr="00DA21F7">
        <w:rPr>
          <w:rFonts w:cs="Times New Roman"/>
          <w:bCs/>
        </w:rPr>
        <w:t xml:space="preserve">.3] Tomēr netiešo pierādījumu kopumam, kas var būt pietiekams </w:t>
      </w:r>
      <w:r w:rsidR="008642F2">
        <w:rPr>
          <w:rFonts w:cs="Times New Roman"/>
          <w:bCs/>
        </w:rPr>
        <w:t>apsūdzētā</w:t>
      </w:r>
      <w:r w:rsidR="00896EA0">
        <w:rPr>
          <w:rFonts w:cs="Times New Roman"/>
          <w:bCs/>
        </w:rPr>
        <w:t xml:space="preserve"> </w:t>
      </w:r>
      <w:r w:rsidRPr="00DA21F7">
        <w:rPr>
          <w:rFonts w:cs="Times New Roman"/>
          <w:bCs/>
        </w:rPr>
        <w:t xml:space="preserve">vainīguma konstatēšanai, jābūt balstītam uz faktiem, kas izriet no lietā esošiem pierādījumiem. Netiešo pierādījumu kopums nedrīkst tikt aizstāts ar pieņēmumu vai minējumu kopumu. </w:t>
      </w:r>
    </w:p>
    <w:p w14:paraId="7050E399" w14:textId="174985D5" w:rsidR="005A1CE2" w:rsidRPr="00DA21F7" w:rsidRDefault="005A1CE2" w:rsidP="005A1CE2">
      <w:pPr>
        <w:spacing w:after="0" w:line="276" w:lineRule="auto"/>
        <w:ind w:firstLine="720"/>
        <w:jc w:val="both"/>
        <w:rPr>
          <w:rFonts w:cs="Times New Roman"/>
          <w:bCs/>
        </w:rPr>
      </w:pPr>
      <w:r w:rsidRPr="00DA21F7">
        <w:rPr>
          <w:rFonts w:cs="Times New Roman"/>
          <w:bCs/>
        </w:rPr>
        <w:t xml:space="preserve">Turklāt, </w:t>
      </w:r>
      <w:bookmarkStart w:id="46" w:name="_Hlk214295557"/>
      <w:bookmarkStart w:id="47" w:name="_Hlk213944695"/>
      <w:r w:rsidRPr="00DA21F7">
        <w:rPr>
          <w:rFonts w:cs="Times New Roman"/>
          <w:bCs/>
        </w:rPr>
        <w:t>ja pierādīšanas priekšmetā ietilpstošais fakts tiek pamatots tikai ar netiešiem pierādījumiem, to vērtējumam jābūt rūpīgam</w:t>
      </w:r>
      <w:r w:rsidR="00EA45EF" w:rsidRPr="00DA21F7">
        <w:rPr>
          <w:rFonts w:cs="Times New Roman"/>
          <w:bCs/>
        </w:rPr>
        <w:t xml:space="preserve"> un vispusīgam</w:t>
      </w:r>
      <w:r w:rsidRPr="00DA21F7">
        <w:rPr>
          <w:rFonts w:cs="Times New Roman"/>
          <w:bCs/>
        </w:rPr>
        <w:t xml:space="preserve">. </w:t>
      </w:r>
      <w:r w:rsidR="008642F2">
        <w:rPr>
          <w:rFonts w:cs="Times New Roman"/>
          <w:bCs/>
        </w:rPr>
        <w:t xml:space="preserve">Proti, tiesai </w:t>
      </w:r>
      <w:r w:rsidRPr="00DA21F7">
        <w:rPr>
          <w:rFonts w:cs="Times New Roman"/>
          <w:bCs/>
        </w:rPr>
        <w:t>jāizvērtē gan netiešie pierādījumi, kas var apstiprināt apsūdzības pamatotību, gan tie, kas var radīt šaubas par to, un tie savstarpēji jā</w:t>
      </w:r>
      <w:r w:rsidR="00881867">
        <w:rPr>
          <w:rFonts w:cs="Times New Roman"/>
          <w:bCs/>
        </w:rPr>
        <w:t>salīdzina, izvērtējot</w:t>
      </w:r>
      <w:r w:rsidR="00205670">
        <w:rPr>
          <w:rFonts w:cs="Times New Roman"/>
          <w:bCs/>
        </w:rPr>
        <w:t>,</w:t>
      </w:r>
      <w:r w:rsidR="00881867">
        <w:rPr>
          <w:rFonts w:cs="Times New Roman"/>
          <w:bCs/>
        </w:rPr>
        <w:t xml:space="preserve"> kura šo pierādījumu grupa iegūst </w:t>
      </w:r>
      <w:r w:rsidR="00681145">
        <w:rPr>
          <w:rFonts w:cs="Times New Roman"/>
          <w:bCs/>
        </w:rPr>
        <w:t xml:space="preserve">izšķirošu </w:t>
      </w:r>
      <w:r w:rsidR="00881867">
        <w:rPr>
          <w:rFonts w:cs="Times New Roman"/>
          <w:bCs/>
        </w:rPr>
        <w:t>nozīmi</w:t>
      </w:r>
      <w:r w:rsidRPr="00DA21F7">
        <w:rPr>
          <w:rFonts w:cs="Times New Roman"/>
          <w:bCs/>
        </w:rPr>
        <w:t>. Tikai pēc šāda kopvērtējuma tiesa var pamatoti secināt, vai konkrētais izmeklēšanā nozīmīgais fakts ir pierādīts ārpus saprātīgām šaubām.</w:t>
      </w:r>
      <w:bookmarkEnd w:id="46"/>
    </w:p>
    <w:p w14:paraId="6556A102" w14:textId="026DF72C" w:rsidR="00DA21F7" w:rsidRDefault="00B653D6" w:rsidP="00DA21F7">
      <w:pPr>
        <w:spacing w:after="0" w:line="276" w:lineRule="auto"/>
        <w:ind w:firstLine="720"/>
        <w:jc w:val="both"/>
        <w:rPr>
          <w:rFonts w:cs="Times New Roman"/>
          <w:bCs/>
        </w:rPr>
      </w:pPr>
      <w:r>
        <w:rPr>
          <w:rFonts w:cs="Times New Roman"/>
          <w:bCs/>
        </w:rPr>
        <w:t xml:space="preserve">Minētais </w:t>
      </w:r>
      <w:r w:rsidR="005A1CE2" w:rsidRPr="00DA21F7">
        <w:rPr>
          <w:rFonts w:cs="Times New Roman"/>
          <w:bCs/>
        </w:rPr>
        <w:t>attiecas arī uz noziedzīg</w:t>
      </w:r>
      <w:r w:rsidR="00881867">
        <w:rPr>
          <w:rFonts w:cs="Times New Roman"/>
          <w:bCs/>
        </w:rPr>
        <w:t>ā</w:t>
      </w:r>
      <w:r w:rsidR="005A1CE2" w:rsidRPr="00DA21F7">
        <w:rPr>
          <w:rFonts w:cs="Times New Roman"/>
          <w:bCs/>
        </w:rPr>
        <w:t xml:space="preserve"> nodarījuma subjektīvās puses izvērtējumu.</w:t>
      </w:r>
    </w:p>
    <w:bookmarkEnd w:id="47"/>
    <w:p w14:paraId="13AD5F58" w14:textId="77777777" w:rsidR="005A1CE2" w:rsidRPr="00CA490D" w:rsidRDefault="005A1CE2" w:rsidP="00CA490D">
      <w:pPr>
        <w:spacing w:after="0" w:line="276" w:lineRule="auto"/>
        <w:ind w:firstLine="720"/>
        <w:jc w:val="both"/>
      </w:pPr>
    </w:p>
    <w:bookmarkEnd w:id="40"/>
    <w:p w14:paraId="2636CAA9" w14:textId="4F36DD4F" w:rsidR="006273D1" w:rsidRPr="006622A1" w:rsidRDefault="002A679A" w:rsidP="00424421">
      <w:pPr>
        <w:spacing w:after="0" w:line="276" w:lineRule="auto"/>
        <w:ind w:firstLine="720"/>
        <w:jc w:val="both"/>
        <w:rPr>
          <w:color w:val="000000" w:themeColor="text1"/>
        </w:rPr>
      </w:pPr>
      <w:r>
        <w:rPr>
          <w:rFonts w:cs="Times New Roman"/>
          <w:bCs/>
        </w:rPr>
        <w:t>[1</w:t>
      </w:r>
      <w:r w:rsidR="00B653D6">
        <w:rPr>
          <w:rFonts w:cs="Times New Roman"/>
          <w:bCs/>
        </w:rPr>
        <w:t>4</w:t>
      </w:r>
      <w:r>
        <w:rPr>
          <w:rFonts w:cs="Times New Roman"/>
          <w:bCs/>
        </w:rPr>
        <w:t>]</w:t>
      </w:r>
      <w:r w:rsidR="00587E3C">
        <w:rPr>
          <w:rFonts w:cs="Times New Roman"/>
          <w:bCs/>
        </w:rPr>
        <w:t xml:space="preserve"> </w:t>
      </w:r>
      <w:r w:rsidR="00587E3C" w:rsidRPr="00587E3C">
        <w:rPr>
          <w:rFonts w:cs="Times New Roman"/>
          <w:bCs/>
        </w:rPr>
        <w:t>Senāts vispārīgi piekrīt apelācijas instances tiesas atzinumiem</w:t>
      </w:r>
      <w:r w:rsidR="006622A1">
        <w:rPr>
          <w:rFonts w:cs="Times New Roman"/>
          <w:bCs/>
        </w:rPr>
        <w:t xml:space="preserve">, ka: </w:t>
      </w:r>
      <w:r w:rsidR="006622A1">
        <w:rPr>
          <w:color w:val="000000" w:themeColor="text1"/>
        </w:rPr>
        <w:t>1) </w:t>
      </w:r>
      <w:r w:rsidR="001A0F30" w:rsidRPr="00424421">
        <w:rPr>
          <w:color w:val="000000" w:themeColor="text1"/>
        </w:rPr>
        <w:t>labojums</w:t>
      </w:r>
      <w:r w:rsidR="00F7243A" w:rsidRPr="00424421">
        <w:rPr>
          <w:color w:val="000000" w:themeColor="text1"/>
        </w:rPr>
        <w:t xml:space="preserve"> grāmatvedības dokumentos un nodokļu parāda samaksa neizslēdz nozi</w:t>
      </w:r>
      <w:r w:rsidR="00704E4F" w:rsidRPr="00424421">
        <w:rPr>
          <w:color w:val="000000" w:themeColor="text1"/>
        </w:rPr>
        <w:t>eguma</w:t>
      </w:r>
      <w:r w:rsidR="00F7243A" w:rsidRPr="00424421">
        <w:rPr>
          <w:color w:val="000000" w:themeColor="text1"/>
        </w:rPr>
        <w:t xml:space="preserve"> izdarīšanas faktu, ja izvairīšanās no nodokļu nomaksas </w:t>
      </w:r>
      <w:r w:rsidR="00BE5E48" w:rsidRPr="00424421">
        <w:rPr>
          <w:color w:val="000000" w:themeColor="text1"/>
        </w:rPr>
        <w:t>iepriekš</w:t>
      </w:r>
      <w:r w:rsidR="00F7243A" w:rsidRPr="00424421">
        <w:rPr>
          <w:color w:val="000000" w:themeColor="text1"/>
        </w:rPr>
        <w:t xml:space="preserve"> </w:t>
      </w:r>
      <w:r w:rsidR="00DA21F7" w:rsidRPr="00424421">
        <w:rPr>
          <w:color w:val="000000" w:themeColor="text1"/>
        </w:rPr>
        <w:t>jau ir pabeigta</w:t>
      </w:r>
      <w:r w:rsidR="00BE5E48" w:rsidRPr="00424421">
        <w:rPr>
          <w:color w:val="000000" w:themeColor="text1"/>
        </w:rPr>
        <w:t>;</w:t>
      </w:r>
      <w:r w:rsidR="006622A1">
        <w:rPr>
          <w:color w:val="000000" w:themeColor="text1"/>
        </w:rPr>
        <w:t xml:space="preserve"> 2) </w:t>
      </w:r>
      <w:r w:rsidR="001A0F30" w:rsidRPr="00424421">
        <w:rPr>
          <w:color w:val="000000" w:themeColor="text1"/>
        </w:rPr>
        <w:t xml:space="preserve">paļaušanās uz revidenta atzinumu </w:t>
      </w:r>
      <w:r w:rsidR="00587E3C" w:rsidRPr="00424421">
        <w:rPr>
          <w:color w:val="000000" w:themeColor="text1"/>
        </w:rPr>
        <w:t xml:space="preserve">neizslēdz </w:t>
      </w:r>
      <w:r w:rsidR="001A0F30" w:rsidRPr="00424421">
        <w:rPr>
          <w:color w:val="000000" w:themeColor="text1"/>
        </w:rPr>
        <w:t xml:space="preserve">tieša nodoma </w:t>
      </w:r>
      <w:r w:rsidR="00DA21F7" w:rsidRPr="00424421">
        <w:rPr>
          <w:color w:val="000000" w:themeColor="text1"/>
        </w:rPr>
        <w:t>konstatēšanu</w:t>
      </w:r>
      <w:r w:rsidR="00BE5E48" w:rsidRPr="00424421">
        <w:rPr>
          <w:color w:val="000000" w:themeColor="text1"/>
        </w:rPr>
        <w:t>;</w:t>
      </w:r>
      <w:r w:rsidR="006622A1">
        <w:t xml:space="preserve"> 3)</w:t>
      </w:r>
      <w:r w:rsidR="00BC23B6">
        <w:t> </w:t>
      </w:r>
      <w:r w:rsidR="006273D1" w:rsidRPr="009A55AA">
        <w:t>apsūdzētie</w:t>
      </w:r>
      <w:r w:rsidR="006273D1">
        <w:t xml:space="preserve">, ņemot vērā </w:t>
      </w:r>
      <w:r w:rsidR="002B7BCC">
        <w:t>savu</w:t>
      </w:r>
      <w:r w:rsidR="006273D1">
        <w:t xml:space="preserve"> profesionālo pieredzi,</w:t>
      </w:r>
      <w:r w:rsidR="006273D1" w:rsidRPr="009A55AA">
        <w:t xml:space="preserve"> </w:t>
      </w:r>
      <w:r w:rsidR="00704E4F">
        <w:t xml:space="preserve">varēja </w:t>
      </w:r>
      <w:r w:rsidR="006273D1" w:rsidRPr="009A55AA">
        <w:t>paredzēt, ka gada pārskatā nepamatoti</w:t>
      </w:r>
      <w:r w:rsidR="00BE5E48">
        <w:t xml:space="preserve"> iekļauti</w:t>
      </w:r>
      <w:r w:rsidR="00922061">
        <w:t>e</w:t>
      </w:r>
      <w:r w:rsidR="006273D1" w:rsidRPr="009A55AA">
        <w:t xml:space="preserve"> izdevumi samazina ar uzņēmumu ienākuma nodok</w:t>
      </w:r>
      <w:r w:rsidR="002B7BCC">
        <w:t>li</w:t>
      </w:r>
      <w:r w:rsidR="006273D1" w:rsidRPr="009A55AA">
        <w:t xml:space="preserve"> apliekamo bāzi</w:t>
      </w:r>
      <w:r w:rsidR="006273D1">
        <w:t>.</w:t>
      </w:r>
    </w:p>
    <w:p w14:paraId="1A9BE261" w14:textId="7F374D3B" w:rsidR="00BE5E48" w:rsidRDefault="00BE5E48" w:rsidP="00587E3C">
      <w:pPr>
        <w:spacing w:after="0" w:line="276" w:lineRule="auto"/>
        <w:ind w:firstLine="720"/>
        <w:jc w:val="both"/>
      </w:pPr>
      <w:r>
        <w:t>Tomēr izskatāmajā lietā</w:t>
      </w:r>
      <w:r w:rsidR="008D7848">
        <w:t xml:space="preserve"> šiem vispārīgajiem</w:t>
      </w:r>
      <w:r w:rsidR="008D7848" w:rsidRPr="00AC29C1">
        <w:t xml:space="preserve"> a</w:t>
      </w:r>
      <w:r w:rsidR="008D7848">
        <w:t>tzinumiem</w:t>
      </w:r>
      <w:r>
        <w:t xml:space="preserve"> būtu nozīme</w:t>
      </w:r>
      <w:r w:rsidR="00947D25">
        <w:t xml:space="preserve"> tikai tad</w:t>
      </w:r>
      <w:r w:rsidRPr="00AC29C1">
        <w:t>, ja</w:t>
      </w:r>
      <w:r w:rsidR="00947D25">
        <w:t xml:space="preserve"> tiesa</w:t>
      </w:r>
      <w:r w:rsidR="00B36E81">
        <w:t>, nepieļaujot procesuāl</w:t>
      </w:r>
      <w:r w:rsidR="00EA45EF">
        <w:t xml:space="preserve">o normu </w:t>
      </w:r>
      <w:r w:rsidR="00B36E81">
        <w:t>pārkāpumus,</w:t>
      </w:r>
      <w:r w:rsidR="00587E3C">
        <w:t xml:space="preserve"> nodom</w:t>
      </w:r>
      <w:r w:rsidR="00947D25">
        <w:t>a esību</w:t>
      </w:r>
      <w:r w:rsidR="00587E3C">
        <w:t xml:space="preserve"> </w:t>
      </w:r>
      <w:r w:rsidR="00947D25">
        <w:t xml:space="preserve">būtu pamatojusi attiecībā </w:t>
      </w:r>
      <w:r w:rsidR="008642F2">
        <w:t>uz</w:t>
      </w:r>
      <w:r w:rsidR="00587E3C">
        <w:t xml:space="preserve"> pašu darbību – nepatiesās informācijas iekļaušanu dokumentos</w:t>
      </w:r>
      <w:r w:rsidR="00922061">
        <w:t>, kas iesniedzami Valsts ieņēmumu dienestam</w:t>
      </w:r>
      <w:r w:rsidR="00587E3C">
        <w:t xml:space="preserve"> </w:t>
      </w:r>
      <w:r w:rsidR="00947D25">
        <w:t>(sk. Krimināllikuma 8. panta otro daļu)</w:t>
      </w:r>
      <w:r w:rsidR="00B36E81">
        <w:t>.</w:t>
      </w:r>
    </w:p>
    <w:p w14:paraId="04B9125C" w14:textId="147AAB40" w:rsidR="00704E4F" w:rsidRDefault="003650AE" w:rsidP="00BC23B6">
      <w:pPr>
        <w:spacing w:after="0" w:line="276" w:lineRule="auto"/>
        <w:ind w:firstLine="720"/>
        <w:jc w:val="both"/>
        <w:rPr>
          <w:color w:val="000000" w:themeColor="text1"/>
        </w:rPr>
      </w:pPr>
      <w:r>
        <w:rPr>
          <w:color w:val="000000" w:themeColor="text1"/>
        </w:rPr>
        <w:t>[1</w:t>
      </w:r>
      <w:r w:rsidR="00B653D6">
        <w:rPr>
          <w:color w:val="000000" w:themeColor="text1"/>
        </w:rPr>
        <w:t>4</w:t>
      </w:r>
      <w:r>
        <w:rPr>
          <w:color w:val="000000" w:themeColor="text1"/>
        </w:rPr>
        <w:t xml:space="preserve">.1] </w:t>
      </w:r>
      <w:r w:rsidR="002B7BCC">
        <w:rPr>
          <w:color w:val="000000" w:themeColor="text1"/>
        </w:rPr>
        <w:t>Apelācijas instances tiesa</w:t>
      </w:r>
      <w:r w:rsidR="00947D25">
        <w:rPr>
          <w:color w:val="000000" w:themeColor="text1"/>
        </w:rPr>
        <w:t xml:space="preserve"> šo pienākumu nav izpildījusi</w:t>
      </w:r>
      <w:r w:rsidR="00704E4F">
        <w:rPr>
          <w:color w:val="000000" w:themeColor="text1"/>
        </w:rPr>
        <w:t xml:space="preserve">, </w:t>
      </w:r>
      <w:r w:rsidR="002B7BCC">
        <w:rPr>
          <w:color w:val="000000" w:themeColor="text1"/>
        </w:rPr>
        <w:t>jo</w:t>
      </w:r>
      <w:r w:rsidR="002F64C3">
        <w:rPr>
          <w:color w:val="000000" w:themeColor="text1"/>
        </w:rPr>
        <w:t>:</w:t>
      </w:r>
      <w:r>
        <w:rPr>
          <w:color w:val="000000" w:themeColor="text1"/>
        </w:rPr>
        <w:t xml:space="preserve"> </w:t>
      </w:r>
      <w:r w:rsidR="00704E4F">
        <w:rPr>
          <w:color w:val="000000" w:themeColor="text1"/>
        </w:rPr>
        <w:t>1)</w:t>
      </w:r>
      <w:r w:rsidR="00BC23B6">
        <w:rPr>
          <w:color w:val="000000" w:themeColor="text1"/>
        </w:rPr>
        <w:t> </w:t>
      </w:r>
      <w:r w:rsidR="001E4370">
        <w:rPr>
          <w:color w:val="000000" w:themeColor="text1"/>
        </w:rPr>
        <w:t>pamatā ir aprobežojusies ar vispārīgiem pieņēmumiem; 2)</w:t>
      </w:r>
      <w:r w:rsidR="00BC23B6">
        <w:rPr>
          <w:color w:val="000000" w:themeColor="text1"/>
        </w:rPr>
        <w:t> </w:t>
      </w:r>
      <w:r w:rsidR="00704E4F">
        <w:rPr>
          <w:color w:val="000000" w:themeColor="text1"/>
        </w:rPr>
        <w:t>bez ievērības atstā</w:t>
      </w:r>
      <w:r w:rsidR="00844947">
        <w:rPr>
          <w:color w:val="000000" w:themeColor="text1"/>
        </w:rPr>
        <w:t>jusi</w:t>
      </w:r>
      <w:r w:rsidR="00704E4F" w:rsidRPr="00704E4F">
        <w:rPr>
          <w:color w:val="000000" w:themeColor="text1"/>
        </w:rPr>
        <w:t xml:space="preserve"> apstākļ</w:t>
      </w:r>
      <w:r w:rsidR="00844947">
        <w:rPr>
          <w:color w:val="000000" w:themeColor="text1"/>
        </w:rPr>
        <w:t>us</w:t>
      </w:r>
      <w:r w:rsidR="00704E4F" w:rsidRPr="00704E4F">
        <w:rPr>
          <w:color w:val="000000" w:themeColor="text1"/>
        </w:rPr>
        <w:t>, k</w:t>
      </w:r>
      <w:r w:rsidR="00844947">
        <w:rPr>
          <w:color w:val="000000" w:themeColor="text1"/>
        </w:rPr>
        <w:t>uriem</w:t>
      </w:r>
      <w:r w:rsidR="00704E4F" w:rsidRPr="00704E4F">
        <w:rPr>
          <w:color w:val="000000" w:themeColor="text1"/>
        </w:rPr>
        <w:t xml:space="preserve"> var būt nozīm</w:t>
      </w:r>
      <w:r w:rsidR="00704E4F">
        <w:rPr>
          <w:color w:val="000000" w:themeColor="text1"/>
        </w:rPr>
        <w:t>e</w:t>
      </w:r>
      <w:r w:rsidR="00704E4F" w:rsidRPr="00704E4F">
        <w:rPr>
          <w:color w:val="000000" w:themeColor="text1"/>
        </w:rPr>
        <w:t xml:space="preserve"> vainas formas noteikšanā</w:t>
      </w:r>
      <w:r w:rsidR="002F64C3">
        <w:rPr>
          <w:color w:val="000000" w:themeColor="text1"/>
        </w:rPr>
        <w:t>;</w:t>
      </w:r>
      <w:r w:rsidR="00704E4F" w:rsidRPr="00704E4F">
        <w:rPr>
          <w:color w:val="000000" w:themeColor="text1"/>
        </w:rPr>
        <w:t xml:space="preserve"> </w:t>
      </w:r>
      <w:r w:rsidR="007B2299">
        <w:rPr>
          <w:color w:val="000000" w:themeColor="text1"/>
        </w:rPr>
        <w:t>3</w:t>
      </w:r>
      <w:r w:rsidR="00704E4F">
        <w:rPr>
          <w:color w:val="000000" w:themeColor="text1"/>
        </w:rPr>
        <w:t>)</w:t>
      </w:r>
      <w:r w:rsidR="00BC23B6">
        <w:rPr>
          <w:color w:val="000000" w:themeColor="text1"/>
        </w:rPr>
        <w:t> </w:t>
      </w:r>
      <w:r w:rsidR="00704E4F" w:rsidRPr="00704E4F">
        <w:rPr>
          <w:color w:val="000000" w:themeColor="text1"/>
        </w:rPr>
        <w:t>spriedumā ietv</w:t>
      </w:r>
      <w:r w:rsidR="00844947">
        <w:rPr>
          <w:color w:val="000000" w:themeColor="text1"/>
        </w:rPr>
        <w:t>ērusi</w:t>
      </w:r>
      <w:r w:rsidR="00704E4F" w:rsidRPr="00704E4F">
        <w:rPr>
          <w:color w:val="000000" w:themeColor="text1"/>
        </w:rPr>
        <w:t xml:space="preserve"> pretrunīg</w:t>
      </w:r>
      <w:r w:rsidR="00844947">
        <w:rPr>
          <w:color w:val="000000" w:themeColor="text1"/>
        </w:rPr>
        <w:t>us</w:t>
      </w:r>
      <w:r w:rsidR="00704E4F" w:rsidRPr="00704E4F">
        <w:rPr>
          <w:color w:val="000000" w:themeColor="text1"/>
        </w:rPr>
        <w:t xml:space="preserve"> secinājum</w:t>
      </w:r>
      <w:r w:rsidR="00844947">
        <w:rPr>
          <w:color w:val="000000" w:themeColor="text1"/>
        </w:rPr>
        <w:t>us</w:t>
      </w:r>
      <w:r w:rsidR="002F64C3">
        <w:rPr>
          <w:color w:val="000000" w:themeColor="text1"/>
        </w:rPr>
        <w:t>;</w:t>
      </w:r>
      <w:r w:rsidR="00704E4F" w:rsidRPr="00704E4F">
        <w:rPr>
          <w:color w:val="000000" w:themeColor="text1"/>
        </w:rPr>
        <w:t xml:space="preserve"> </w:t>
      </w:r>
      <w:r w:rsidR="007B2299">
        <w:rPr>
          <w:color w:val="000000" w:themeColor="text1"/>
        </w:rPr>
        <w:t>4</w:t>
      </w:r>
      <w:r w:rsidR="00704E4F">
        <w:rPr>
          <w:color w:val="000000" w:themeColor="text1"/>
        </w:rPr>
        <w:t>)</w:t>
      </w:r>
      <w:r w:rsidR="00BC23B6">
        <w:rPr>
          <w:color w:val="000000" w:themeColor="text1"/>
        </w:rPr>
        <w:t> </w:t>
      </w:r>
      <w:r w:rsidR="00704E4F" w:rsidRPr="00704E4F">
        <w:rPr>
          <w:color w:val="000000" w:themeColor="text1"/>
        </w:rPr>
        <w:t>daļ</w:t>
      </w:r>
      <w:r w:rsidR="00844947">
        <w:rPr>
          <w:color w:val="000000" w:themeColor="text1"/>
        </w:rPr>
        <w:t>u</w:t>
      </w:r>
      <w:r w:rsidR="00704E4F" w:rsidRPr="00704E4F">
        <w:rPr>
          <w:color w:val="000000" w:themeColor="text1"/>
        </w:rPr>
        <w:t xml:space="preserve"> </w:t>
      </w:r>
      <w:r w:rsidR="00B653D6">
        <w:rPr>
          <w:color w:val="000000" w:themeColor="text1"/>
        </w:rPr>
        <w:t xml:space="preserve">no </w:t>
      </w:r>
      <w:r w:rsidR="00704E4F" w:rsidRPr="00704E4F">
        <w:rPr>
          <w:color w:val="000000" w:themeColor="text1"/>
        </w:rPr>
        <w:t>pierādījum</w:t>
      </w:r>
      <w:r w:rsidR="00B653D6">
        <w:rPr>
          <w:color w:val="000000" w:themeColor="text1"/>
        </w:rPr>
        <w:t>iem</w:t>
      </w:r>
      <w:r w:rsidR="00704E4F" w:rsidRPr="00704E4F">
        <w:rPr>
          <w:color w:val="000000" w:themeColor="text1"/>
        </w:rPr>
        <w:t xml:space="preserve"> tikai uzskaitī</w:t>
      </w:r>
      <w:r w:rsidR="00844947">
        <w:rPr>
          <w:color w:val="000000" w:themeColor="text1"/>
        </w:rPr>
        <w:t>jusi</w:t>
      </w:r>
      <w:r w:rsidR="00704E4F" w:rsidRPr="00704E4F">
        <w:rPr>
          <w:color w:val="000000" w:themeColor="text1"/>
        </w:rPr>
        <w:t xml:space="preserve">, </w:t>
      </w:r>
      <w:r w:rsidR="00704E4F">
        <w:rPr>
          <w:color w:val="000000" w:themeColor="text1"/>
        </w:rPr>
        <w:t>bet nav</w:t>
      </w:r>
      <w:r w:rsidR="00704E4F" w:rsidRPr="00704E4F">
        <w:rPr>
          <w:color w:val="000000" w:themeColor="text1"/>
        </w:rPr>
        <w:t xml:space="preserve"> vērtē</w:t>
      </w:r>
      <w:r w:rsidR="00844947">
        <w:rPr>
          <w:color w:val="000000" w:themeColor="text1"/>
        </w:rPr>
        <w:t>jusi</w:t>
      </w:r>
      <w:r w:rsidR="00D94DBE">
        <w:rPr>
          <w:color w:val="000000" w:themeColor="text1"/>
        </w:rPr>
        <w:t>;</w:t>
      </w:r>
      <w:r w:rsidR="00704E4F" w:rsidRPr="00704E4F">
        <w:rPr>
          <w:color w:val="000000" w:themeColor="text1"/>
        </w:rPr>
        <w:t xml:space="preserve"> </w:t>
      </w:r>
      <w:r w:rsidR="007B2299">
        <w:rPr>
          <w:color w:val="000000" w:themeColor="text1"/>
        </w:rPr>
        <w:t>5</w:t>
      </w:r>
      <w:r w:rsidR="00704E4F">
        <w:rPr>
          <w:color w:val="000000" w:themeColor="text1"/>
        </w:rPr>
        <w:t>)</w:t>
      </w:r>
      <w:r w:rsidR="002F64C3">
        <w:rPr>
          <w:color w:val="000000" w:themeColor="text1"/>
        </w:rPr>
        <w:t> </w:t>
      </w:r>
      <w:r w:rsidR="00704E4F" w:rsidRPr="00704E4F">
        <w:rPr>
          <w:color w:val="000000" w:themeColor="text1"/>
        </w:rPr>
        <w:t>nav atklā</w:t>
      </w:r>
      <w:r w:rsidR="00844947">
        <w:rPr>
          <w:color w:val="000000" w:themeColor="text1"/>
        </w:rPr>
        <w:t>jusi</w:t>
      </w:r>
      <w:r w:rsidR="00704E4F" w:rsidRPr="00704E4F">
        <w:rPr>
          <w:color w:val="000000" w:themeColor="text1"/>
        </w:rPr>
        <w:t xml:space="preserve">, </w:t>
      </w:r>
      <w:r w:rsidR="00B36E81">
        <w:rPr>
          <w:color w:val="000000" w:themeColor="text1"/>
        </w:rPr>
        <w:t>kādi pierādījumi apliecina to, ka apsūdzēti</w:t>
      </w:r>
      <w:r w:rsidR="00EA45EF">
        <w:rPr>
          <w:color w:val="000000" w:themeColor="text1"/>
        </w:rPr>
        <w:t>e</w:t>
      </w:r>
      <w:r w:rsidR="00704E4F" w:rsidRPr="00704E4F">
        <w:rPr>
          <w:color w:val="000000" w:themeColor="text1"/>
        </w:rPr>
        <w:t xml:space="preserve"> vieno</w:t>
      </w:r>
      <w:r w:rsidR="00EA45EF">
        <w:rPr>
          <w:color w:val="000000" w:themeColor="text1"/>
        </w:rPr>
        <w:t>jušies</w:t>
      </w:r>
      <w:r w:rsidR="00704E4F" w:rsidRPr="00704E4F">
        <w:rPr>
          <w:color w:val="000000" w:themeColor="text1"/>
        </w:rPr>
        <w:t xml:space="preserve"> par nozie</w:t>
      </w:r>
      <w:r w:rsidR="00704E4F">
        <w:rPr>
          <w:color w:val="000000" w:themeColor="text1"/>
        </w:rPr>
        <w:t>guma</w:t>
      </w:r>
      <w:r w:rsidR="00704E4F" w:rsidRPr="00704E4F">
        <w:rPr>
          <w:color w:val="000000" w:themeColor="text1"/>
        </w:rPr>
        <w:t xml:space="preserve"> </w:t>
      </w:r>
      <w:r w:rsidR="00B36E81">
        <w:rPr>
          <w:color w:val="000000" w:themeColor="text1"/>
        </w:rPr>
        <w:t xml:space="preserve">kopīgu </w:t>
      </w:r>
      <w:r w:rsidR="00704E4F" w:rsidRPr="00704E4F">
        <w:rPr>
          <w:color w:val="000000" w:themeColor="text1"/>
        </w:rPr>
        <w:t>izdarīšanu</w:t>
      </w:r>
      <w:r w:rsidR="00704E4F">
        <w:rPr>
          <w:color w:val="000000" w:themeColor="text1"/>
        </w:rPr>
        <w:t>.</w:t>
      </w:r>
    </w:p>
    <w:p w14:paraId="6B66EBC5" w14:textId="41086262" w:rsidR="00E378CE" w:rsidRDefault="00844947" w:rsidP="00470883">
      <w:pPr>
        <w:spacing w:after="0" w:line="276" w:lineRule="auto"/>
        <w:ind w:firstLine="720"/>
        <w:jc w:val="both"/>
      </w:pPr>
      <w:bookmarkStart w:id="48" w:name="_Hlk207042650"/>
      <w:r w:rsidRPr="00844947">
        <w:t xml:space="preserve">Turpmāk Senāts sniegs detalizētāku skaidrojumu </w:t>
      </w:r>
      <w:r w:rsidR="008D7848">
        <w:t xml:space="preserve">par </w:t>
      </w:r>
      <w:r w:rsidR="00EA45EF">
        <w:t>šiem</w:t>
      </w:r>
      <w:r w:rsidR="008D7848">
        <w:t xml:space="preserve"> pārkāpumiem</w:t>
      </w:r>
      <w:r w:rsidR="005A1CE2">
        <w:t>.</w:t>
      </w:r>
    </w:p>
    <w:p w14:paraId="72931B51" w14:textId="11070F77" w:rsidR="0048554A" w:rsidRDefault="006844F4" w:rsidP="0048554A">
      <w:pPr>
        <w:spacing w:after="0" w:line="276" w:lineRule="auto"/>
        <w:ind w:firstLine="720"/>
        <w:jc w:val="both"/>
      </w:pPr>
      <w:bookmarkStart w:id="49" w:name="_Hlk207721934"/>
      <w:bookmarkStart w:id="50" w:name="_Hlk207304490"/>
      <w:r>
        <w:t>[1</w:t>
      </w:r>
      <w:r w:rsidR="00B653D6">
        <w:t>4</w:t>
      </w:r>
      <w:r>
        <w:t>.</w:t>
      </w:r>
      <w:r w:rsidR="003650AE">
        <w:t>2</w:t>
      </w:r>
      <w:r>
        <w:t xml:space="preserve">] </w:t>
      </w:r>
      <w:r w:rsidR="0048554A">
        <w:t>S</w:t>
      </w:r>
      <w:r w:rsidR="002C3837" w:rsidRPr="002C3837">
        <w:t>ecinājumu par apsūdzēto</w:t>
      </w:r>
      <w:r w:rsidR="00922061">
        <w:t xml:space="preserve"> </w:t>
      </w:r>
      <w:r w:rsidR="00CC06BC">
        <w:t>[pers. A]</w:t>
      </w:r>
      <w:r w:rsidR="00922061">
        <w:t xml:space="preserve"> un </w:t>
      </w:r>
      <w:r w:rsidR="00CC06BC">
        <w:t>[pers. B]</w:t>
      </w:r>
      <w:r w:rsidR="002C3837" w:rsidRPr="002C3837">
        <w:t xml:space="preserve"> </w:t>
      </w:r>
      <w:r w:rsidR="00922061">
        <w:t xml:space="preserve">noziedzīgo </w:t>
      </w:r>
      <w:r w:rsidR="002C3837" w:rsidRPr="002C3837">
        <w:t>vienošanos kopīgi izvairīties no uzņēmumu ienākuma nodokļa nomaksas</w:t>
      </w:r>
      <w:r w:rsidR="0092270F">
        <w:t xml:space="preserve"> apelācijas instances </w:t>
      </w:r>
      <w:r w:rsidR="0048554A">
        <w:t xml:space="preserve">tiesa </w:t>
      </w:r>
      <w:r w:rsidR="002C3837" w:rsidRPr="002C3837">
        <w:t xml:space="preserve">pamatojusi ar norādi, ka apsūdzēto darbību kopums liecina par viņu apzinātu un saskaņotu rīcību. </w:t>
      </w:r>
    </w:p>
    <w:p w14:paraId="17319BD8" w14:textId="56A3B970" w:rsidR="00EC7B23" w:rsidRDefault="0048554A" w:rsidP="00DE303F">
      <w:pPr>
        <w:spacing w:after="0" w:line="276" w:lineRule="auto"/>
        <w:ind w:firstLine="720"/>
        <w:jc w:val="both"/>
      </w:pPr>
      <w:r>
        <w:t xml:space="preserve">Senāts atzīst, ka </w:t>
      </w:r>
      <w:r w:rsidR="00DE303F" w:rsidRPr="00DE303F">
        <w:t>apsūdzēto darbību kopum</w:t>
      </w:r>
      <w:r w:rsidR="00DE303F">
        <w:t>s</w:t>
      </w:r>
      <w:r w:rsidR="00DE303F" w:rsidRPr="00DE303F">
        <w:t xml:space="preserve"> kā kritērijs noziedzīgās vienošanās pārbaudē vispārīgi ir pareiz</w:t>
      </w:r>
      <w:r w:rsidR="00DE303F">
        <w:t xml:space="preserve">s. </w:t>
      </w:r>
      <w:r w:rsidR="00F32786">
        <w:t>Vienlaikus Senāts konstatē, ka tiesa</w:t>
      </w:r>
      <w:r w:rsidR="00F32786" w:rsidRPr="002C3837">
        <w:t xml:space="preserve"> </w:t>
      </w:r>
      <w:r w:rsidR="002C3837" w:rsidRPr="002C3837">
        <w:t xml:space="preserve">spriedumā nav </w:t>
      </w:r>
      <w:r w:rsidR="00F32786" w:rsidRPr="002C3837">
        <w:t>konkretizē</w:t>
      </w:r>
      <w:r w:rsidR="00F32786">
        <w:t>jusi</w:t>
      </w:r>
      <w:r w:rsidR="002C3837" w:rsidRPr="002C3837">
        <w:t>, k</w:t>
      </w:r>
      <w:r w:rsidR="008A7679">
        <w:t xml:space="preserve">ādas tieši </w:t>
      </w:r>
      <w:r w:rsidR="00B36E81">
        <w:t>apsūdzēto</w:t>
      </w:r>
      <w:r w:rsidR="002C3837" w:rsidRPr="002C3837">
        <w:t xml:space="preserve"> darbības</w:t>
      </w:r>
      <w:r w:rsidR="008A7679">
        <w:t xml:space="preserve"> ietilpst</w:t>
      </w:r>
      <w:r w:rsidR="002C3837" w:rsidRPr="002C3837">
        <w:t xml:space="preserve"> šajā </w:t>
      </w:r>
      <w:r w:rsidR="002F64C3">
        <w:t>„</w:t>
      </w:r>
      <w:r w:rsidR="002C3837" w:rsidRPr="002C3837">
        <w:t>kopumā</w:t>
      </w:r>
      <w:r w:rsidR="002C3837">
        <w:t>”</w:t>
      </w:r>
      <w:r w:rsidR="002C3837" w:rsidRPr="002C3837">
        <w:t xml:space="preserve">. </w:t>
      </w:r>
    </w:p>
    <w:p w14:paraId="45490604" w14:textId="44D90BBC" w:rsidR="00113100" w:rsidRDefault="006844F4" w:rsidP="006844F4">
      <w:pPr>
        <w:spacing w:after="0" w:line="276" w:lineRule="auto"/>
        <w:ind w:firstLine="720"/>
        <w:jc w:val="both"/>
      </w:pPr>
      <w:r w:rsidRPr="00527689">
        <w:t>No s</w:t>
      </w:r>
      <w:r>
        <w:t xml:space="preserve">priedumā </w:t>
      </w:r>
      <w:r w:rsidR="0034209C">
        <w:t>izklāstītajām</w:t>
      </w:r>
      <w:r w:rsidR="00113100">
        <w:t xml:space="preserve"> apsūdzēto</w:t>
      </w:r>
      <w:r>
        <w:t xml:space="preserve"> liecībām</w:t>
      </w:r>
      <w:r w:rsidR="00B135B9">
        <w:t xml:space="preserve"> </w:t>
      </w:r>
      <w:r w:rsidRPr="00527689">
        <w:t xml:space="preserve">izriet </w:t>
      </w:r>
      <w:r>
        <w:t>vien</w:t>
      </w:r>
      <w:r w:rsidRPr="00527689">
        <w:t xml:space="preserve"> tas, ka </w:t>
      </w:r>
      <w:r w:rsidR="00CC06BC">
        <w:t>[pers. A]</w:t>
      </w:r>
      <w:r>
        <w:t xml:space="preserve"> ir</w:t>
      </w:r>
      <w:r w:rsidRPr="00527689">
        <w:t xml:space="preserve"> nodevis</w:t>
      </w:r>
      <w:r w:rsidR="00DE303F">
        <w:t xml:space="preserve"> </w:t>
      </w:r>
      <w:r w:rsidR="002F405C">
        <w:t>„</w:t>
      </w:r>
      <w:r w:rsidR="0067609C">
        <w:t>[Nosaukums B]</w:t>
      </w:r>
      <w:r w:rsidR="002F405C">
        <w:t>”</w:t>
      </w:r>
      <w:r w:rsidRPr="00527689">
        <w:t xml:space="preserve"> rēķinu </w:t>
      </w:r>
      <w:r w:rsidR="00CC06BC">
        <w:t>[pers. B]</w:t>
      </w:r>
      <w:r>
        <w:t xml:space="preserve">. </w:t>
      </w:r>
      <w:r w:rsidRPr="005E5091">
        <w:t>T</w:t>
      </w:r>
      <w:r>
        <w:t>omēr t</w:t>
      </w:r>
      <w:r w:rsidRPr="005E5091">
        <w:t xml:space="preserve">iesa nav konstatējusi, ka </w:t>
      </w:r>
      <w:r w:rsidR="008A7679">
        <w:t>šī rīcība</w:t>
      </w:r>
      <w:r w:rsidRPr="005E5091">
        <w:t xml:space="preserve"> </w:t>
      </w:r>
      <w:r w:rsidR="00922061">
        <w:t xml:space="preserve">bija </w:t>
      </w:r>
      <w:r w:rsidRPr="005E5091">
        <w:t>saist</w:t>
      </w:r>
      <w:r>
        <w:t>īta</w:t>
      </w:r>
      <w:r w:rsidRPr="005E5091">
        <w:t xml:space="preserve"> ar noziedzīg</w:t>
      </w:r>
      <w:r>
        <w:t>u</w:t>
      </w:r>
      <w:r w:rsidRPr="005E5091">
        <w:t xml:space="preserve"> vienošanos. </w:t>
      </w:r>
      <w:bookmarkStart w:id="51" w:name="_Hlk207037884"/>
    </w:p>
    <w:p w14:paraId="7B92CFE9" w14:textId="211C2891" w:rsidR="00AC17A7" w:rsidRDefault="00D413A5" w:rsidP="00AC17A7">
      <w:pPr>
        <w:spacing w:after="0" w:line="276" w:lineRule="auto"/>
        <w:ind w:firstLine="720"/>
        <w:jc w:val="both"/>
      </w:pPr>
      <w:r w:rsidRPr="008A7679">
        <w:lastRenderedPageBreak/>
        <w:t>No tiesas argumentiem</w:t>
      </w:r>
      <w:r w:rsidR="00DE303F">
        <w:t xml:space="preserve"> </w:t>
      </w:r>
      <w:r w:rsidR="00F32786">
        <w:t>secināms</w:t>
      </w:r>
      <w:r w:rsidRPr="008A7679">
        <w:t>, ka</w:t>
      </w:r>
      <w:r w:rsidR="00F32786">
        <w:t xml:space="preserve"> </w:t>
      </w:r>
      <w:r w:rsidR="0029788A">
        <w:t>[pers. B]</w:t>
      </w:r>
      <w:r w:rsidR="0034209C">
        <w:t xml:space="preserve"> </w:t>
      </w:r>
      <w:r w:rsidR="00F32786">
        <w:t>par vienīgo informācijas avotu, ka darījums nav apmaksāts,</w:t>
      </w:r>
      <w:r w:rsidR="00DE303F">
        <w:t xml:space="preserve"> </w:t>
      </w:r>
      <w:r w:rsidR="008A7679">
        <w:t>varēja būt</w:t>
      </w:r>
      <w:r w:rsidR="008A7679" w:rsidRPr="008A7679">
        <w:t xml:space="preserve"> </w:t>
      </w:r>
      <w:r w:rsidR="00CC06BC">
        <w:t>[pers. A]</w:t>
      </w:r>
      <w:r w:rsidR="008A7679" w:rsidRPr="008A7679">
        <w:t xml:space="preserve"> sniegtā informācija.</w:t>
      </w:r>
      <w:r w:rsidRPr="00D413A5">
        <w:t xml:space="preserve"> </w:t>
      </w:r>
      <w:r w:rsidR="00AC17A7" w:rsidRPr="00AC17A7">
        <w:t>Tomēr tiesa nav pamatojusi, kāpēc tā nonākusi pie šāda secinājuma, jo īpaši</w:t>
      </w:r>
      <w:r w:rsidR="00AC17A7">
        <w:t>,</w:t>
      </w:r>
      <w:r w:rsidR="00AC17A7" w:rsidRPr="00AC17A7">
        <w:t xml:space="preserve"> kādēļ </w:t>
      </w:r>
      <w:r w:rsidR="00CC06BC">
        <w:t>[pers. B]</w:t>
      </w:r>
      <w:r w:rsidR="00AC17A7" w:rsidRPr="00AC17A7">
        <w:t xml:space="preserve"> nebija iespējams to noskaidrot</w:t>
      </w:r>
      <w:r w:rsidR="003650AE">
        <w:t xml:space="preserve">, piemēram, </w:t>
      </w:r>
      <w:r w:rsidR="00EA45EF">
        <w:t>pēc</w:t>
      </w:r>
      <w:r w:rsidR="00922061">
        <w:t xml:space="preserve"> uzņēmuma</w:t>
      </w:r>
      <w:r w:rsidR="00EA45EF">
        <w:t xml:space="preserve"> </w:t>
      </w:r>
      <w:r w:rsidR="00AC17A7" w:rsidRPr="00AC17A7">
        <w:t>bankas konta izrakstiem.</w:t>
      </w:r>
    </w:p>
    <w:p w14:paraId="22664197" w14:textId="62A2CC13" w:rsidR="00993CE5" w:rsidRDefault="00993CE5" w:rsidP="008A7679">
      <w:pPr>
        <w:spacing w:after="0" w:line="276" w:lineRule="auto"/>
        <w:ind w:firstLine="720"/>
        <w:jc w:val="both"/>
      </w:pPr>
      <w:r>
        <w:t>C</w:t>
      </w:r>
      <w:r w:rsidRPr="00993CE5">
        <w:t>itas apsūdzēto darbības, kas liecin</w:t>
      </w:r>
      <w:r w:rsidR="00AC17A7">
        <w:t>a</w:t>
      </w:r>
      <w:r w:rsidRPr="00993CE5">
        <w:t xml:space="preserve"> par viņu savstarpējo komunikāciju un iespējam</w:t>
      </w:r>
      <w:r w:rsidR="00EA45EF">
        <w:t>o</w:t>
      </w:r>
      <w:r w:rsidRPr="00993CE5">
        <w:t xml:space="preserve"> noziedzīg</w:t>
      </w:r>
      <w:r w:rsidR="00EA45EF">
        <w:t>o</w:t>
      </w:r>
      <w:r w:rsidRPr="00993CE5">
        <w:t xml:space="preserve"> vienošanos</w:t>
      </w:r>
      <w:r>
        <w:t xml:space="preserve">, </w:t>
      </w:r>
      <w:r w:rsidR="00F32786">
        <w:t>tiesa spriedumā nav norādījusi</w:t>
      </w:r>
      <w:r>
        <w:t>.</w:t>
      </w:r>
    </w:p>
    <w:p w14:paraId="708DD989" w14:textId="68D3BDEB" w:rsidR="008A7679" w:rsidRDefault="00EC7B23" w:rsidP="00F32786">
      <w:pPr>
        <w:spacing w:after="0" w:line="276" w:lineRule="auto"/>
        <w:ind w:firstLine="720"/>
        <w:jc w:val="both"/>
      </w:pPr>
      <w:r>
        <w:t xml:space="preserve">Ievērojot minēto, </w:t>
      </w:r>
      <w:r w:rsidR="00F32786">
        <w:t xml:space="preserve">Senāts </w:t>
      </w:r>
      <w:r>
        <w:t>t</w:t>
      </w:r>
      <w:r w:rsidRPr="00B36E81">
        <w:t xml:space="preserve">iesas </w:t>
      </w:r>
      <w:r w:rsidR="00F32786" w:rsidRPr="00B36E81">
        <w:t>secinājum</w:t>
      </w:r>
      <w:r w:rsidR="00F32786">
        <w:t xml:space="preserve">u </w:t>
      </w:r>
      <w:r>
        <w:t xml:space="preserve">par apsūdzēto </w:t>
      </w:r>
      <w:r w:rsidR="00993CE5">
        <w:t xml:space="preserve">noziedzīgo </w:t>
      </w:r>
      <w:r>
        <w:t xml:space="preserve">vienošanos </w:t>
      </w:r>
      <w:r w:rsidR="00F32786">
        <w:t>atzīst</w:t>
      </w:r>
      <w:r w:rsidRPr="002C3837">
        <w:t xml:space="preserve"> par neargumentēt</w:t>
      </w:r>
      <w:r w:rsidR="00993CE5">
        <w:t xml:space="preserve">u un </w:t>
      </w:r>
      <w:r w:rsidR="008A7679">
        <w:t>tādēļ</w:t>
      </w:r>
      <w:r w:rsidR="00F32786">
        <w:t xml:space="preserve"> –</w:t>
      </w:r>
      <w:r w:rsidR="00993CE5">
        <w:t xml:space="preserve"> </w:t>
      </w:r>
      <w:r w:rsidR="00F32786">
        <w:t>priekšlaicīgu</w:t>
      </w:r>
      <w:r>
        <w:t>.</w:t>
      </w:r>
      <w:bookmarkEnd w:id="49"/>
    </w:p>
    <w:bookmarkEnd w:id="51"/>
    <w:bookmarkEnd w:id="50"/>
    <w:p w14:paraId="0556024B" w14:textId="7EAC3019" w:rsidR="004B322B" w:rsidRDefault="006844F4" w:rsidP="004B322B">
      <w:pPr>
        <w:spacing w:after="0" w:line="276" w:lineRule="auto"/>
        <w:ind w:firstLine="720"/>
        <w:jc w:val="both"/>
      </w:pPr>
      <w:r>
        <w:t>[1</w:t>
      </w:r>
      <w:r w:rsidR="00B653D6">
        <w:t>4</w:t>
      </w:r>
      <w:r>
        <w:t xml:space="preserve">.3] </w:t>
      </w:r>
      <w:r w:rsidR="004B322B">
        <w:t xml:space="preserve">Arī </w:t>
      </w:r>
      <w:r w:rsidR="004B322B" w:rsidRPr="004B322B">
        <w:t>tiesas secinājums, ka katr</w:t>
      </w:r>
      <w:r w:rsidR="00D07633">
        <w:t>s</w:t>
      </w:r>
      <w:r w:rsidR="004B322B" w:rsidRPr="004B322B">
        <w:t xml:space="preserve"> apsūdzēta</w:t>
      </w:r>
      <w:r w:rsidR="00D07633">
        <w:t>is</w:t>
      </w:r>
      <w:r w:rsidR="004B322B" w:rsidRPr="004B322B">
        <w:t xml:space="preserve"> atsevišķi </w:t>
      </w:r>
      <w:r w:rsidR="0034209C">
        <w:t xml:space="preserve">ir </w:t>
      </w:r>
      <w:r w:rsidR="00D07633">
        <w:t>rīkojies ar</w:t>
      </w:r>
      <w:r w:rsidR="004B322B" w:rsidRPr="004B322B">
        <w:t xml:space="preserve"> nodom</w:t>
      </w:r>
      <w:r w:rsidR="00D07633">
        <w:t>u</w:t>
      </w:r>
      <w:r w:rsidR="004B322B" w:rsidRPr="004B322B">
        <w:t xml:space="preserve"> izvairīties no uzņēmumu ienākuma nodokļa</w:t>
      </w:r>
      <w:r w:rsidR="0034209C">
        <w:t xml:space="preserve"> nomaksas</w:t>
      </w:r>
      <w:r w:rsidR="004B322B" w:rsidRPr="004B322B">
        <w:t>, n</w:t>
      </w:r>
      <w:r w:rsidR="0034209C">
        <w:t>av pamatots atbilstoši</w:t>
      </w:r>
      <w:r w:rsidR="004B322B" w:rsidRPr="004B322B">
        <w:t xml:space="preserve"> Kriminālprocesa likuma prasībām</w:t>
      </w:r>
      <w:r w:rsidR="003650AE">
        <w:t>.</w:t>
      </w:r>
    </w:p>
    <w:p w14:paraId="5CED95FF" w14:textId="504D141F" w:rsidR="00922061" w:rsidRDefault="0092270F" w:rsidP="00FF3670">
      <w:pPr>
        <w:spacing w:after="0" w:line="276" w:lineRule="auto"/>
        <w:ind w:firstLine="720"/>
        <w:jc w:val="both"/>
        <w:rPr>
          <w:rFonts w:cs="Times New Roman"/>
          <w:bCs/>
        </w:rPr>
      </w:pPr>
      <w:r>
        <w:t>[1</w:t>
      </w:r>
      <w:r w:rsidR="00B653D6">
        <w:t>4</w:t>
      </w:r>
      <w:r>
        <w:t xml:space="preserve">.3.1] </w:t>
      </w:r>
      <w:r w:rsidR="004B322B">
        <w:t xml:space="preserve">Senāts konstatē, ka </w:t>
      </w:r>
      <w:r w:rsidR="004B322B">
        <w:rPr>
          <w:rFonts w:cs="Times New Roman"/>
          <w:bCs/>
        </w:rPr>
        <w:t>v</w:t>
      </w:r>
      <w:r w:rsidR="00FF3670" w:rsidRPr="00C62B44">
        <w:rPr>
          <w:rFonts w:cs="Times New Roman"/>
          <w:bCs/>
        </w:rPr>
        <w:t>ienīgais ar konkrēto situāciju tieši saistītais fakts, uz kuru</w:t>
      </w:r>
      <w:r w:rsidR="00FF3670">
        <w:rPr>
          <w:rFonts w:cs="Times New Roman"/>
          <w:bCs/>
        </w:rPr>
        <w:t xml:space="preserve"> </w:t>
      </w:r>
      <w:r w:rsidR="00FF3670" w:rsidRPr="00C62B44">
        <w:rPr>
          <w:rFonts w:cs="Times New Roman"/>
          <w:bCs/>
        </w:rPr>
        <w:t>atsaukusies tiesa, ir</w:t>
      </w:r>
      <w:r w:rsidR="00FF3670">
        <w:rPr>
          <w:rFonts w:cs="Times New Roman"/>
          <w:bCs/>
        </w:rPr>
        <w:t xml:space="preserve"> </w:t>
      </w:r>
      <w:r w:rsidR="002F405C">
        <w:t>„</w:t>
      </w:r>
      <w:r w:rsidR="0067609C">
        <w:t>[Nosaukums B]</w:t>
      </w:r>
      <w:r w:rsidR="002F405C">
        <w:t xml:space="preserve">” </w:t>
      </w:r>
      <w:r w:rsidR="00FF3670">
        <w:t>rēķina</w:t>
      </w:r>
      <w:r w:rsidR="00FF3670" w:rsidRPr="00527689">
        <w:t xml:space="preserve"> </w:t>
      </w:r>
      <w:r w:rsidR="00FF3670" w:rsidRPr="00C62B44">
        <w:rPr>
          <w:rFonts w:cs="Times New Roman"/>
          <w:bCs/>
        </w:rPr>
        <w:t>ievērojamā summa</w:t>
      </w:r>
      <w:r w:rsidR="00D94DBE">
        <w:rPr>
          <w:rFonts w:cs="Times New Roman"/>
          <w:bCs/>
        </w:rPr>
        <w:t> </w:t>
      </w:r>
      <w:r w:rsidR="00FF3670" w:rsidRPr="00C62B44">
        <w:rPr>
          <w:rFonts w:cs="Times New Roman"/>
          <w:bCs/>
        </w:rPr>
        <w:t>– 391</w:t>
      </w:r>
      <w:r w:rsidR="00BC23B6">
        <w:rPr>
          <w:rFonts w:cs="Times New Roman"/>
          <w:bCs/>
        </w:rPr>
        <w:t> </w:t>
      </w:r>
      <w:r w:rsidR="00FF3670" w:rsidRPr="00C62B44">
        <w:rPr>
          <w:rFonts w:cs="Times New Roman"/>
          <w:bCs/>
        </w:rPr>
        <w:t xml:space="preserve">000 </w:t>
      </w:r>
      <w:r w:rsidR="00FF3670" w:rsidRPr="00C62B44">
        <w:rPr>
          <w:rFonts w:cs="Times New Roman"/>
          <w:bCs/>
          <w:i/>
          <w:iCs/>
        </w:rPr>
        <w:t>euro</w:t>
      </w:r>
      <w:r w:rsidR="00FF3670" w:rsidRPr="00C62B44">
        <w:rPr>
          <w:rFonts w:cs="Times New Roman"/>
          <w:bCs/>
        </w:rPr>
        <w:t>.</w:t>
      </w:r>
      <w:r w:rsidR="00FF3670">
        <w:rPr>
          <w:rFonts w:cs="Times New Roman"/>
          <w:bCs/>
        </w:rPr>
        <w:t xml:space="preserve"> </w:t>
      </w:r>
    </w:p>
    <w:p w14:paraId="752EC987" w14:textId="490332EC" w:rsidR="002C3837" w:rsidRPr="00FF3670" w:rsidRDefault="00922061" w:rsidP="00922061">
      <w:pPr>
        <w:spacing w:after="0" w:line="276" w:lineRule="auto"/>
        <w:ind w:firstLine="720"/>
        <w:jc w:val="both"/>
        <w:rPr>
          <w:rFonts w:cs="Times New Roman"/>
          <w:bCs/>
        </w:rPr>
      </w:pPr>
      <w:r>
        <w:rPr>
          <w:rFonts w:cs="Times New Roman"/>
          <w:bCs/>
        </w:rPr>
        <w:t>Minēt</w:t>
      </w:r>
      <w:r w:rsidR="00821E23">
        <w:rPr>
          <w:rFonts w:cs="Times New Roman"/>
          <w:bCs/>
        </w:rPr>
        <w:t>o</w:t>
      </w:r>
      <w:r>
        <w:rPr>
          <w:rFonts w:cs="Times New Roman"/>
          <w:bCs/>
        </w:rPr>
        <w:t xml:space="preserve"> apstākli</w:t>
      </w:r>
      <w:r w:rsidR="00821E23">
        <w:rPr>
          <w:rFonts w:cs="Times New Roman"/>
          <w:bCs/>
        </w:rPr>
        <w:t xml:space="preserve"> tiesa</w:t>
      </w:r>
      <w:r>
        <w:rPr>
          <w:rFonts w:cs="Times New Roman"/>
          <w:bCs/>
        </w:rPr>
        <w:t xml:space="preserve"> pamatoti atz</w:t>
      </w:r>
      <w:r w:rsidR="00821E23">
        <w:rPr>
          <w:rFonts w:cs="Times New Roman"/>
          <w:bCs/>
        </w:rPr>
        <w:t>inusi</w:t>
      </w:r>
      <w:r>
        <w:rPr>
          <w:rFonts w:cs="Times New Roman"/>
          <w:bCs/>
        </w:rPr>
        <w:t xml:space="preserve"> par tādu, kas jāņem vērā, vērtējot </w:t>
      </w:r>
      <w:r w:rsidR="00B135B9">
        <w:rPr>
          <w:rFonts w:cs="Times New Roman"/>
          <w:bCs/>
        </w:rPr>
        <w:t>noziedzīgā nodarījuma subjektīvo pusi</w:t>
      </w:r>
      <w:r>
        <w:rPr>
          <w:rFonts w:cs="Times New Roman"/>
          <w:bCs/>
        </w:rPr>
        <w:t xml:space="preserve">, taču </w:t>
      </w:r>
      <w:r w:rsidR="006D0D29">
        <w:rPr>
          <w:rFonts w:cs="Times New Roman"/>
          <w:bCs/>
        </w:rPr>
        <w:t>tas vien</w:t>
      </w:r>
      <w:r w:rsidR="00C34317">
        <w:rPr>
          <w:rFonts w:cs="Times New Roman"/>
          <w:bCs/>
        </w:rPr>
        <w:t xml:space="preserve"> šajā lietā </w:t>
      </w:r>
      <w:r w:rsidR="006D0D29">
        <w:rPr>
          <w:rFonts w:cs="Times New Roman"/>
          <w:bCs/>
        </w:rPr>
        <w:t xml:space="preserve">nevarēja būt pietiekošs pamats nodoma konstatēšanai, savukārt </w:t>
      </w:r>
      <w:r>
        <w:rPr>
          <w:rFonts w:cs="Times New Roman"/>
          <w:bCs/>
        </w:rPr>
        <w:t>p</w:t>
      </w:r>
      <w:r w:rsidR="00FF3670">
        <w:rPr>
          <w:rFonts w:cs="Times New Roman"/>
          <w:bCs/>
        </w:rPr>
        <w:t>ārējie</w:t>
      </w:r>
      <w:r w:rsidR="00821E23">
        <w:rPr>
          <w:rFonts w:cs="Times New Roman"/>
          <w:bCs/>
        </w:rPr>
        <w:t xml:space="preserve"> tiesas</w:t>
      </w:r>
      <w:r w:rsidR="00FF3670">
        <w:rPr>
          <w:rFonts w:cs="Times New Roman"/>
          <w:bCs/>
        </w:rPr>
        <w:t xml:space="preserve"> argumenti </w:t>
      </w:r>
      <w:r w:rsidR="00FF3670">
        <w:t xml:space="preserve">pamatā ir </w:t>
      </w:r>
      <w:r w:rsidR="0092270F">
        <w:t>dzīvē gūti</w:t>
      </w:r>
      <w:r w:rsidR="00470883">
        <w:t>e</w:t>
      </w:r>
      <w:r w:rsidR="0092270F" w:rsidRPr="0092270F">
        <w:t xml:space="preserve"> </w:t>
      </w:r>
      <w:r w:rsidR="0092270F">
        <w:t xml:space="preserve">novērojumi un </w:t>
      </w:r>
      <w:r w:rsidR="0092270F" w:rsidRPr="005C6BB6">
        <w:rPr>
          <w:rFonts w:cs="Times New Roman"/>
          <w:bCs/>
        </w:rPr>
        <w:t>priekšstati par to, kādai vajadzētu bū</w:t>
      </w:r>
      <w:r w:rsidR="0092270F" w:rsidRPr="00124D35">
        <w:rPr>
          <w:rFonts w:cs="Times New Roman"/>
          <w:bCs/>
        </w:rPr>
        <w:t xml:space="preserve">t grāmatvedes un uzņēmuma vadītāja </w:t>
      </w:r>
      <w:r w:rsidR="00124D35" w:rsidRPr="00124D35">
        <w:rPr>
          <w:rFonts w:cs="Times New Roman"/>
          <w:bCs/>
        </w:rPr>
        <w:t xml:space="preserve">profesionālai </w:t>
      </w:r>
      <w:r w:rsidR="0092270F" w:rsidRPr="00124D35">
        <w:rPr>
          <w:rFonts w:cs="Times New Roman"/>
          <w:bCs/>
        </w:rPr>
        <w:t>rīcībai</w:t>
      </w:r>
      <w:r w:rsidR="0092270F" w:rsidRPr="00124D35">
        <w:t>.</w:t>
      </w:r>
    </w:p>
    <w:p w14:paraId="1EF63E26" w14:textId="6ECDBC31" w:rsidR="002C3837" w:rsidRDefault="002C3837" w:rsidP="00D57D37">
      <w:pPr>
        <w:spacing w:after="0" w:line="276" w:lineRule="auto"/>
        <w:ind w:firstLine="720"/>
        <w:jc w:val="both"/>
      </w:pPr>
      <w:r>
        <w:t>Senāt</w:t>
      </w:r>
      <w:r w:rsidR="0088312F">
        <w:t>s</w:t>
      </w:r>
      <w:r>
        <w:t xml:space="preserve"> </w:t>
      </w:r>
      <w:r w:rsidR="004B322B">
        <w:t>atzīst</w:t>
      </w:r>
      <w:r w:rsidR="00F748A8">
        <w:t>, ka</w:t>
      </w:r>
      <w:r>
        <w:t xml:space="preserve"> tiesa bija tiesīga notiesājoša sprieduma pamatošanai</w:t>
      </w:r>
      <w:r w:rsidR="00230B22">
        <w:t xml:space="preserve"> </w:t>
      </w:r>
      <w:r>
        <w:t>izmantot arī</w:t>
      </w:r>
      <w:r w:rsidR="00FF3670">
        <w:t xml:space="preserve"> šādus</w:t>
      </w:r>
      <w:r w:rsidR="0092270F">
        <w:t xml:space="preserve"> vispārīgus</w:t>
      </w:r>
      <w:r>
        <w:t xml:space="preserve"> apsvērumus</w:t>
      </w:r>
      <w:r w:rsidR="004B322B">
        <w:t xml:space="preserve"> (sk.</w:t>
      </w:r>
      <w:r w:rsidR="00D57D37">
        <w:t> </w:t>
      </w:r>
      <w:r w:rsidR="004B322B">
        <w:t>Kriminālprocesa likuma 124. panta trešo un ceturto daļu)</w:t>
      </w:r>
      <w:r>
        <w:t>, t</w:t>
      </w:r>
      <w:r w:rsidRPr="002039AA">
        <w:t>omēr tas neatbrīvoja no pienākuma izvērtēt</w:t>
      </w:r>
      <w:r>
        <w:t xml:space="preserve"> </w:t>
      </w:r>
      <w:r w:rsidRPr="002039AA">
        <w:t>pierādījumu</w:t>
      </w:r>
      <w:r w:rsidR="00230B22">
        <w:t>s</w:t>
      </w:r>
      <w:r w:rsidR="004B322B">
        <w:t xml:space="preserve">, kas var ietekmēt tiesas </w:t>
      </w:r>
      <w:r w:rsidR="003650AE">
        <w:t>secinājumu</w:t>
      </w:r>
      <w:r w:rsidR="004B322B">
        <w:t xml:space="preserve"> par apsūdzēto rīcības subjektīvo pusi,</w:t>
      </w:r>
      <w:r w:rsidR="00FF3670">
        <w:t xml:space="preserve"> un </w:t>
      </w:r>
      <w:r w:rsidR="00230B22">
        <w:t>nepieļau</w:t>
      </w:r>
      <w:r w:rsidR="00FF3670">
        <w:t>t</w:t>
      </w:r>
      <w:r w:rsidR="00230B22">
        <w:t xml:space="preserve"> </w:t>
      </w:r>
      <w:r w:rsidR="00F748A8">
        <w:t>pretrunīgus secinājumus.</w:t>
      </w:r>
    </w:p>
    <w:p w14:paraId="3BFA514A" w14:textId="4637C014" w:rsidR="00230B22" w:rsidRDefault="006844F4" w:rsidP="00230B22">
      <w:pPr>
        <w:spacing w:after="0" w:line="276" w:lineRule="auto"/>
        <w:ind w:firstLine="720"/>
        <w:jc w:val="both"/>
      </w:pPr>
      <w:r w:rsidRPr="00424D29">
        <w:t>[</w:t>
      </w:r>
      <w:r>
        <w:t>1</w:t>
      </w:r>
      <w:r w:rsidR="00B653D6">
        <w:t>4</w:t>
      </w:r>
      <w:r>
        <w:t>.3.</w:t>
      </w:r>
      <w:r w:rsidR="00F748A8">
        <w:t>2</w:t>
      </w:r>
      <w:r w:rsidRPr="00424D29">
        <w:t xml:space="preserve">] </w:t>
      </w:r>
      <w:r w:rsidR="00D56CB8" w:rsidRPr="00D56CB8">
        <w:t xml:space="preserve">Senāta ieskatā </w:t>
      </w:r>
      <w:bookmarkStart w:id="52" w:name="_Hlk214099000"/>
      <w:r w:rsidR="00D56CB8">
        <w:t xml:space="preserve">fiktīva </w:t>
      </w:r>
      <w:r w:rsidR="00D56CB8" w:rsidRPr="00D56CB8">
        <w:t>darījuma atspoguļošana grāmatvedībā</w:t>
      </w:r>
      <w:r w:rsidR="00D56CB8">
        <w:t>, apzinoties tā fikt</w:t>
      </w:r>
      <w:r w:rsidR="00424421">
        <w:t>īvo raksturu</w:t>
      </w:r>
      <w:r w:rsidR="00470883">
        <w:t>,</w:t>
      </w:r>
      <w:r w:rsidR="00D56CB8" w:rsidRPr="00D56CB8">
        <w:t xml:space="preserve"> </w:t>
      </w:r>
      <w:r w:rsidR="00D56CB8">
        <w:t>var tikt atzīta par</w:t>
      </w:r>
      <w:r w:rsidR="00D56CB8" w:rsidRPr="00D56CB8">
        <w:t xml:space="preserve"> </w:t>
      </w:r>
      <w:r w:rsidR="00D56CB8">
        <w:t>svarīgu</w:t>
      </w:r>
      <w:r w:rsidR="00D56CB8" w:rsidRPr="00D56CB8">
        <w:t xml:space="preserve"> </w:t>
      </w:r>
      <w:r w:rsidR="00D56CB8">
        <w:t xml:space="preserve">vai pat izšķirošu </w:t>
      </w:r>
      <w:r w:rsidR="00D56CB8" w:rsidRPr="00D56CB8">
        <w:t xml:space="preserve">apstākli, kas norāda uz nodomu samazināt ar nodokli apliekamo objektu. </w:t>
      </w:r>
      <w:bookmarkEnd w:id="52"/>
      <w:r w:rsidR="00D56CB8" w:rsidRPr="00D56CB8">
        <w:t xml:space="preserve">Tomēr </w:t>
      </w:r>
      <w:r w:rsidR="00230B22">
        <w:t>izskatāmajā</w:t>
      </w:r>
      <w:r w:rsidR="00D56CB8" w:rsidRPr="00D56CB8">
        <w:t xml:space="preserve"> lietā tiesas secinājums par šādu apzināšanos ir pretrunā vairākiem spriedumā </w:t>
      </w:r>
      <w:r w:rsidR="00230B22">
        <w:t>norādītiem</w:t>
      </w:r>
      <w:r w:rsidR="00D56CB8" w:rsidRPr="00D56CB8">
        <w:t xml:space="preserve"> pierādījumiem, kas</w:t>
      </w:r>
      <w:r w:rsidR="00230B22" w:rsidRPr="00230B22">
        <w:t xml:space="preserve"> </w:t>
      </w:r>
      <w:r w:rsidR="0034209C">
        <w:t>norāda uz to, ka tika veikti</w:t>
      </w:r>
      <w:r w:rsidR="00230B22" w:rsidRPr="00230B22">
        <w:t xml:space="preserve"> </w:t>
      </w:r>
      <w:r w:rsidR="0034209C">
        <w:t xml:space="preserve">konkrēti </w:t>
      </w:r>
      <w:r w:rsidR="00230B22" w:rsidRPr="00230B22">
        <w:t>pasākum</w:t>
      </w:r>
      <w:r w:rsidR="0034209C">
        <w:t xml:space="preserve">i, lai </w:t>
      </w:r>
      <w:r w:rsidR="009D3D16">
        <w:t xml:space="preserve">darījumu pildītu, proti, lai </w:t>
      </w:r>
      <w:r w:rsidR="0034209C">
        <w:t>uzsāktu</w:t>
      </w:r>
      <w:r w:rsidR="00230B22" w:rsidRPr="00230B22">
        <w:t xml:space="preserve"> tirdzniecības centra izbūvi</w:t>
      </w:r>
      <w:r w:rsidR="00230B22">
        <w:t>.</w:t>
      </w:r>
    </w:p>
    <w:p w14:paraId="658220A4" w14:textId="17A31700" w:rsidR="006844F4" w:rsidRDefault="006844F4" w:rsidP="00EC0648">
      <w:pPr>
        <w:spacing w:after="0" w:line="276" w:lineRule="auto"/>
        <w:ind w:firstLine="720"/>
        <w:jc w:val="both"/>
      </w:pPr>
      <w:r>
        <w:t xml:space="preserve">Piemēram, liecinieks </w:t>
      </w:r>
      <w:r w:rsidR="00CD410F">
        <w:t>[pers. F]</w:t>
      </w:r>
      <w:r w:rsidR="00EC0648">
        <w:t xml:space="preserve">, </w:t>
      </w:r>
      <w:r w:rsidR="00CD410F">
        <w:t>[Nosaukums]</w:t>
      </w:r>
      <w:r w:rsidR="00EC0648" w:rsidRPr="00EC0648">
        <w:t xml:space="preserve"> novada domes priekšsēdētājs</w:t>
      </w:r>
      <w:r w:rsidR="00EC0648">
        <w:t>,</w:t>
      </w:r>
      <w:r>
        <w:t xml:space="preserve"> liecināja, ka 2017. gada decembrī </w:t>
      </w:r>
      <w:r w:rsidR="00CC06BC">
        <w:t>[pers. A]</w:t>
      </w:r>
      <w:r>
        <w:t xml:space="preserve"> bija ieradies domē un informējis par ieceri būvēt alkohola</w:t>
      </w:r>
      <w:r w:rsidR="00EC0648">
        <w:t xml:space="preserve"> tirdzniecības</w:t>
      </w:r>
      <w:r>
        <w:t xml:space="preserve"> veikalu un parādījis iecerētā veikala ēkas skices. 2018. gadā </w:t>
      </w:r>
      <w:r w:rsidR="00EC0648">
        <w:t xml:space="preserve">liecinieks </w:t>
      </w:r>
      <w:r>
        <w:t>vair</w:t>
      </w:r>
      <w:r w:rsidR="00D94DBE">
        <w:t>ā</w:t>
      </w:r>
      <w:r>
        <w:t xml:space="preserve">kkārt ticies ar </w:t>
      </w:r>
      <w:r w:rsidR="00CC06BC">
        <w:t>[pers. A]</w:t>
      </w:r>
      <w:r>
        <w:t xml:space="preserve"> un </w:t>
      </w:r>
      <w:r w:rsidR="0006173E">
        <w:t>[pers. C]</w:t>
      </w:r>
      <w:r>
        <w:t xml:space="preserve">, lai apspriestu tirdzniecības centra </w:t>
      </w:r>
      <w:r w:rsidR="0034209C">
        <w:t xml:space="preserve">būvniecības </w:t>
      </w:r>
      <w:r>
        <w:t xml:space="preserve">ieceri. 2018. gada novembrī </w:t>
      </w:r>
      <w:r w:rsidR="00CD410F">
        <w:t>[Nosaukums]</w:t>
      </w:r>
      <w:r>
        <w:t xml:space="preserve"> novada domes sēdē lemts par konceptuālu atbalstu kopuzņēmum</w:t>
      </w:r>
      <w:r w:rsidR="00B42C41">
        <w:t>a veido</w:t>
      </w:r>
      <w:r w:rsidR="0034209C">
        <w:t>šanai</w:t>
      </w:r>
      <w:r>
        <w:t xml:space="preserve"> ar potenciālo investoru, lai </w:t>
      </w:r>
      <w:r w:rsidR="00EC0648">
        <w:t>būvētu</w:t>
      </w:r>
      <w:r>
        <w:t xml:space="preserve"> tirdzniecības centru.</w:t>
      </w:r>
      <w:r w:rsidR="00BC23B6">
        <w:rPr>
          <w:color w:val="EE0000"/>
        </w:rPr>
        <w:t xml:space="preserve"> </w:t>
      </w:r>
      <w:r w:rsidRPr="00007C8D">
        <w:rPr>
          <w:color w:val="000000" w:themeColor="text1"/>
        </w:rPr>
        <w:t xml:space="preserve">Savukārt liecinieks </w:t>
      </w:r>
      <w:r w:rsidR="00CD410F">
        <w:rPr>
          <w:color w:val="000000" w:themeColor="text1"/>
        </w:rPr>
        <w:t>[pers. G]</w:t>
      </w:r>
      <w:r>
        <w:t xml:space="preserve"> liecināja, ka 2017. gada 28. decembrī </w:t>
      </w:r>
      <w:r w:rsidR="002F405C">
        <w:t>„</w:t>
      </w:r>
      <w:r w:rsidR="0067609C">
        <w:t>[Nosaukums B]</w:t>
      </w:r>
      <w:r w:rsidR="002F405C">
        <w:t>”</w:t>
      </w:r>
      <w:r>
        <w:t xml:space="preserve"> un SIA</w:t>
      </w:r>
      <w:r w:rsidR="00BC23B6">
        <w:t> </w:t>
      </w:r>
      <w:r w:rsidR="00C20A84">
        <w:t>„</w:t>
      </w:r>
      <w:r w:rsidR="0067609C">
        <w:t>[Nosaukums A]</w:t>
      </w:r>
      <w:r>
        <w:t xml:space="preserve">” noslēdza darba (uzņēmuma) līgumu par tirdzniecības centra celtniecību </w:t>
      </w:r>
      <w:r w:rsidR="00CD410F">
        <w:t>[adrese]</w:t>
      </w:r>
      <w:r>
        <w:t>.</w:t>
      </w:r>
    </w:p>
    <w:p w14:paraId="56DD7B43" w14:textId="77777777" w:rsidR="00751F40" w:rsidRDefault="006844F4" w:rsidP="006844F4">
      <w:pPr>
        <w:spacing w:after="0" w:line="276" w:lineRule="auto"/>
        <w:ind w:firstLine="720"/>
        <w:jc w:val="both"/>
      </w:pPr>
      <w:r w:rsidRPr="00A02206">
        <w:t>Kā norādīts Civillikuma 1438.</w:t>
      </w:r>
      <w:r>
        <w:t> </w:t>
      </w:r>
      <w:r w:rsidRPr="00A02206">
        <w:t>pantā, ja griba izteikta izskata pēc, tad tai nav nekādu tiesisku seku, ja vien ar to nav saistīts prettiesisks trešās personas maldinājums.</w:t>
      </w:r>
    </w:p>
    <w:p w14:paraId="306E5154" w14:textId="0B49D073" w:rsidR="006844F4" w:rsidRDefault="006844F4" w:rsidP="006844F4">
      <w:pPr>
        <w:spacing w:after="0" w:line="276" w:lineRule="auto"/>
        <w:ind w:firstLine="720"/>
        <w:jc w:val="both"/>
      </w:pPr>
      <w:r w:rsidRPr="00A02206">
        <w:t>Minētais pants regulē šķietamus jeb fiktīvus darījumus (gribas izteikumus). Šķietamiem darījumiem ir raksturīgs tas, ka to dalībnieki nevēlas tiesisko seku iestāšanos, taču mēģina radīt paties</w:t>
      </w:r>
      <w:r>
        <w:t>i</w:t>
      </w:r>
      <w:r w:rsidRPr="00A02206">
        <w:t xml:space="preserve"> gribēta un reāli notikuša tiesiska darījuma šķietamību. Šķietamā darījuma mērķis parasti ir iegūt personisku mantisku vai nemantisku labumu, maldinot valsts iestādes par kādiem juridiski nozīmīgiem faktiem (</w:t>
      </w:r>
      <w:r w:rsidRPr="00A02206">
        <w:rPr>
          <w:i/>
          <w:iCs/>
        </w:rPr>
        <w:t>Balodis K. Ievads Civiltiesībās. Rīga: Zvaigzne ABC, 2007, 246.</w:t>
      </w:r>
      <w:r w:rsidR="00BC23B6">
        <w:rPr>
          <w:i/>
          <w:iCs/>
        </w:rPr>
        <w:t> </w:t>
      </w:r>
      <w:r w:rsidRPr="00A02206">
        <w:rPr>
          <w:i/>
          <w:iCs/>
        </w:rPr>
        <w:t>lpp.</w:t>
      </w:r>
      <w:r w:rsidRPr="00A02206">
        <w:t>).</w:t>
      </w:r>
    </w:p>
    <w:p w14:paraId="4E091D2B" w14:textId="462295A4" w:rsidR="00CD27B6" w:rsidRDefault="00CD27B6" w:rsidP="00CD27B6">
      <w:pPr>
        <w:spacing w:after="0" w:line="276" w:lineRule="auto"/>
        <w:ind w:firstLine="720"/>
        <w:jc w:val="both"/>
      </w:pPr>
      <w:r>
        <w:lastRenderedPageBreak/>
        <w:t xml:space="preserve">No minētā izriet, ka </w:t>
      </w:r>
      <w:bookmarkStart w:id="53" w:name="_Hlk213945565"/>
      <w:r w:rsidR="00424421">
        <w:t>patiesi</w:t>
      </w:r>
      <w:r w:rsidR="00470883">
        <w:t xml:space="preserve"> </w:t>
      </w:r>
      <w:r>
        <w:t>gribēts, bet līdz galam nerealizēts darījums</w:t>
      </w:r>
      <w:r w:rsidR="00855C34">
        <w:t>,</w:t>
      </w:r>
      <w:r>
        <w:t xml:space="preserve"> nav uzskatāms par fiktīvu.</w:t>
      </w:r>
      <w:bookmarkEnd w:id="53"/>
    </w:p>
    <w:p w14:paraId="351312DA" w14:textId="6BAAB9BC" w:rsidR="00CD27B6" w:rsidRDefault="00EC0648" w:rsidP="00CD27B6">
      <w:pPr>
        <w:spacing w:after="0" w:line="276" w:lineRule="auto"/>
        <w:ind w:firstLine="720"/>
        <w:jc w:val="both"/>
      </w:pPr>
      <w:r w:rsidRPr="00EC0648">
        <w:t>Apelācijas instances tiesas spriedumā norādītie fakti</w:t>
      </w:r>
      <w:r>
        <w:t>, tajā skaitā</w:t>
      </w:r>
      <w:r w:rsidRPr="00EC0648">
        <w:t xml:space="preserve"> liecinieku liecības par reālu interesi īstenot darījumu, dokumentu sagatavošana un pašvaldības iesaiste projekta apspriešanā</w:t>
      </w:r>
      <w:r>
        <w:t xml:space="preserve">, </w:t>
      </w:r>
      <w:r w:rsidRPr="00EC0648">
        <w:t>neatbilst fiktīva darījuma pazīmēm.</w:t>
      </w:r>
      <w:r>
        <w:t xml:space="preserve"> </w:t>
      </w:r>
      <w:r w:rsidRPr="00EC0648">
        <w:t>Tādēļ tiesas secinājums, ka apsūdzētie apzinājās darījuma fikt</w:t>
      </w:r>
      <w:r w:rsidR="00424421">
        <w:t>īvo raksturu</w:t>
      </w:r>
      <w:r w:rsidRPr="00EC0648">
        <w:t xml:space="preserve"> </w:t>
      </w:r>
      <w:r w:rsidR="00C20A84">
        <w:t>neatbilst</w:t>
      </w:r>
      <w:r w:rsidR="00D56CB8">
        <w:t xml:space="preserve"> </w:t>
      </w:r>
      <w:r w:rsidR="009D3D16">
        <w:t xml:space="preserve">vairākiem </w:t>
      </w:r>
      <w:r w:rsidRPr="00EC0648">
        <w:t>spriedumā minētajiem pierādījumiem</w:t>
      </w:r>
      <w:r w:rsidR="009D3D16">
        <w:t>, kuru nozīmi tiesa nav izvērtējusi.</w:t>
      </w:r>
    </w:p>
    <w:p w14:paraId="2D961C40" w14:textId="37D37C23" w:rsidR="00CD27B6" w:rsidRDefault="00230B22" w:rsidP="00132BB0">
      <w:pPr>
        <w:spacing w:after="0" w:line="276" w:lineRule="auto"/>
        <w:ind w:firstLine="720"/>
        <w:jc w:val="both"/>
      </w:pPr>
      <w:bookmarkStart w:id="54" w:name="_Hlk214099170"/>
      <w:r>
        <w:t>[1</w:t>
      </w:r>
      <w:r w:rsidR="00B653D6">
        <w:t>4</w:t>
      </w:r>
      <w:r>
        <w:t xml:space="preserve">.3.3] </w:t>
      </w:r>
      <w:r w:rsidR="003650AE">
        <w:t xml:space="preserve">Neatkarīgi </w:t>
      </w:r>
      <w:r w:rsidR="009D3D16">
        <w:t>no</w:t>
      </w:r>
      <w:r w:rsidR="003650AE">
        <w:t xml:space="preserve"> </w:t>
      </w:r>
      <w:r w:rsidR="009D3D16">
        <w:t>minētā</w:t>
      </w:r>
      <w:r w:rsidR="003650AE">
        <w:t xml:space="preserve">, </w:t>
      </w:r>
      <w:r w:rsidR="004B322B">
        <w:t>p</w:t>
      </w:r>
      <w:r w:rsidR="00D56CB8" w:rsidRPr="00D56CB8">
        <w:t>at</w:t>
      </w:r>
      <w:r w:rsidR="00855C34">
        <w:t>,</w:t>
      </w:r>
      <w:r w:rsidR="00D56CB8" w:rsidRPr="00D56CB8">
        <w:t xml:space="preserve"> ja pieņem</w:t>
      </w:r>
      <w:r>
        <w:t>tu</w:t>
      </w:r>
      <w:r w:rsidR="00D56CB8" w:rsidRPr="00D56CB8">
        <w:t xml:space="preserve">, ka tiesas </w:t>
      </w:r>
      <w:r w:rsidR="009D3D16">
        <w:t xml:space="preserve">atzinums par darījuma </w:t>
      </w:r>
      <w:proofErr w:type="spellStart"/>
      <w:r w:rsidR="009D3D16">
        <w:t>fiktivitāti</w:t>
      </w:r>
      <w:proofErr w:type="spellEnd"/>
      <w:r w:rsidR="00D56CB8" w:rsidRPr="00D56CB8">
        <w:t xml:space="preserve"> ir tikai kļūdaina</w:t>
      </w:r>
      <w:r w:rsidR="009D3D16">
        <w:t>s</w:t>
      </w:r>
      <w:r w:rsidR="00D56CB8" w:rsidRPr="00D56CB8">
        <w:t xml:space="preserve"> terminoloģijas lieto</w:t>
      </w:r>
      <w:r w:rsidR="009D3D16">
        <w:t>jums</w:t>
      </w:r>
      <w:r w:rsidR="00D56CB8" w:rsidRPr="00D56CB8">
        <w:t xml:space="preserve"> un ar </w:t>
      </w:r>
      <w:r w:rsidR="00C20A84">
        <w:t>„</w:t>
      </w:r>
      <w:r w:rsidR="00D56CB8" w:rsidRPr="00D56CB8">
        <w:t xml:space="preserve">fiktīvu darījumu” tiesa faktiski domājusi </w:t>
      </w:r>
      <w:r>
        <w:t xml:space="preserve">apzīmēt </w:t>
      </w:r>
      <w:r w:rsidR="00D56CB8" w:rsidRPr="00D56CB8">
        <w:t xml:space="preserve">reāli nodomātu, bet neizpildītu darījumu, </w:t>
      </w:r>
      <w:r w:rsidR="004B322B">
        <w:t>tiesa</w:t>
      </w:r>
      <w:r w:rsidR="00470883">
        <w:t xml:space="preserve">, </w:t>
      </w:r>
      <w:r w:rsidR="004B322B">
        <w:t>vērtējot pierādījumus</w:t>
      </w:r>
      <w:r w:rsidR="00470883">
        <w:t>, ir</w:t>
      </w:r>
      <w:r w:rsidR="00470883" w:rsidRPr="00D56CB8">
        <w:t xml:space="preserve"> pieļ</w:t>
      </w:r>
      <w:r w:rsidR="00470883">
        <w:t>āvusi</w:t>
      </w:r>
      <w:r w:rsidR="00470883" w:rsidRPr="00D56CB8">
        <w:t xml:space="preserve"> vairāk</w:t>
      </w:r>
      <w:r w:rsidR="00470883">
        <w:t>us</w:t>
      </w:r>
      <w:r w:rsidR="00470883" w:rsidRPr="00D56CB8">
        <w:t xml:space="preserve"> cit</w:t>
      </w:r>
      <w:r w:rsidR="00470883">
        <w:t>us procesuāl</w:t>
      </w:r>
      <w:r w:rsidR="00C34317">
        <w:t>o normu</w:t>
      </w:r>
      <w:r w:rsidR="00470883">
        <w:t xml:space="preserve"> pārkāpumus.</w:t>
      </w:r>
    </w:p>
    <w:p w14:paraId="6948EAF4" w14:textId="7EBFB082" w:rsidR="001A07EB" w:rsidRDefault="00CD27B6" w:rsidP="001A07EB">
      <w:pPr>
        <w:spacing w:after="0" w:line="276" w:lineRule="auto"/>
        <w:ind w:firstLine="720"/>
        <w:jc w:val="both"/>
      </w:pPr>
      <w:bookmarkStart w:id="55" w:name="_Hlk206431586"/>
      <w:r>
        <w:t>[1</w:t>
      </w:r>
      <w:r w:rsidR="00B653D6">
        <w:t>4</w:t>
      </w:r>
      <w:r>
        <w:t>.3.</w:t>
      </w:r>
      <w:r w:rsidR="00230B22">
        <w:t>4</w:t>
      </w:r>
      <w:r>
        <w:t>]</w:t>
      </w:r>
      <w:bookmarkEnd w:id="55"/>
      <w:r>
        <w:t xml:space="preserve"> </w:t>
      </w:r>
      <w:bookmarkStart w:id="56" w:name="_Hlk207127561"/>
      <w:r>
        <w:t>V</w:t>
      </w:r>
      <w:r w:rsidRPr="001D4BDB">
        <w:t>ērtējot apsūdzēt</w:t>
      </w:r>
      <w:r w:rsidR="00323826">
        <w:t>ajam</w:t>
      </w:r>
      <w:r w:rsidRPr="001D4BDB">
        <w:t xml:space="preserve"> </w:t>
      </w:r>
      <w:r w:rsidR="00CC06BC">
        <w:t>[pers. A]</w:t>
      </w:r>
      <w:r w:rsidRPr="001D4BDB">
        <w:t xml:space="preserve"> </w:t>
      </w:r>
      <w:r w:rsidR="00323826">
        <w:t>inkriminētā no</w:t>
      </w:r>
      <w:r w:rsidR="003650AE">
        <w:t>zieguma</w:t>
      </w:r>
      <w:r w:rsidR="00323826">
        <w:t xml:space="preserve"> </w:t>
      </w:r>
      <w:r w:rsidR="00B40685">
        <w:t>subjektīvo pusi</w:t>
      </w:r>
      <w:r w:rsidRPr="001D4BDB">
        <w:t xml:space="preserve">, tiesa nav </w:t>
      </w:r>
      <w:r w:rsidR="00470883">
        <w:t>izvērtējusi</w:t>
      </w:r>
      <w:r w:rsidRPr="001D4BDB">
        <w:t xml:space="preserve"> apstākli, ka uzņēmuma gada pārskatā un ienākum</w:t>
      </w:r>
      <w:r w:rsidR="00751F40">
        <w:t>u</w:t>
      </w:r>
      <w:r w:rsidRPr="001D4BDB">
        <w:t xml:space="preserve"> nodokļa deklarācijā, k</w:t>
      </w:r>
      <w:r w:rsidR="00323826">
        <w:t>o</w:t>
      </w:r>
      <w:r w:rsidRPr="001D4BDB">
        <w:t xml:space="preserve"> </w:t>
      </w:r>
      <w:r w:rsidR="005715BB">
        <w:t xml:space="preserve">viņš </w:t>
      </w:r>
      <w:r w:rsidRPr="001D4BDB">
        <w:t>parakstījis, n</w:t>
      </w:r>
      <w:r>
        <w:t>av</w:t>
      </w:r>
      <w:r w:rsidRPr="001D4BDB">
        <w:t xml:space="preserve"> ietvert</w:t>
      </w:r>
      <w:r>
        <w:t>s</w:t>
      </w:r>
      <w:r w:rsidRPr="001D4BDB">
        <w:t xml:space="preserve"> darījumu uzskaitījums, bet gan tikai taksācijas perioda finanšu rezultāts (peļņa), no kura aprēķināms uzņēmumu ienākuma nodoklis</w:t>
      </w:r>
      <w:r w:rsidR="009D3D16">
        <w:t xml:space="preserve"> </w:t>
      </w:r>
      <w:r w:rsidR="00C15F9E" w:rsidRPr="00A8717D">
        <w:t>(</w:t>
      </w:r>
      <w:r w:rsidR="00C15F9E" w:rsidRPr="00C15F9E">
        <w:rPr>
          <w:i/>
          <w:iCs/>
        </w:rPr>
        <w:t>lietas 2.</w:t>
      </w:r>
      <w:r w:rsidR="00BC23B6">
        <w:rPr>
          <w:i/>
          <w:iCs/>
        </w:rPr>
        <w:t> </w:t>
      </w:r>
      <w:r w:rsidR="00C15F9E" w:rsidRPr="00C15F9E">
        <w:rPr>
          <w:i/>
          <w:iCs/>
        </w:rPr>
        <w:t>sējuma 190.–</w:t>
      </w:r>
      <w:r w:rsidR="00E617D8">
        <w:rPr>
          <w:i/>
          <w:iCs/>
        </w:rPr>
        <w:t>201</w:t>
      </w:r>
      <w:r w:rsidR="00C15F9E" w:rsidRPr="00C15F9E">
        <w:rPr>
          <w:i/>
          <w:iCs/>
        </w:rPr>
        <w:t>. lapa</w:t>
      </w:r>
      <w:r w:rsidR="009D3D16">
        <w:t>)</w:t>
      </w:r>
      <w:r w:rsidR="001A07EB">
        <w:t xml:space="preserve">. No tā izriet, </w:t>
      </w:r>
      <w:r w:rsidR="001A07EB" w:rsidRPr="001A07EB">
        <w:t>ka, parakstot</w:t>
      </w:r>
      <w:r w:rsidR="00751F40">
        <w:t xml:space="preserve"> šos dokumentus</w:t>
      </w:r>
      <w:r w:rsidR="001A07EB" w:rsidRPr="001A07EB">
        <w:t xml:space="preserve">, </w:t>
      </w:r>
      <w:r w:rsidR="00CC06BC">
        <w:t>[pers. A]</w:t>
      </w:r>
      <w:r w:rsidR="00B90EBC">
        <w:t xml:space="preserve"> </w:t>
      </w:r>
      <w:r w:rsidR="001A07EB" w:rsidRPr="001A07EB">
        <w:t>nav iepazinies ar katru darījumu un rēķinu, bet apliecinājis tikai uzņēmuma kopējo finanšu rezultātu</w:t>
      </w:r>
      <w:r w:rsidR="001A07EB">
        <w:t>.</w:t>
      </w:r>
    </w:p>
    <w:p w14:paraId="607CFC23" w14:textId="30A985CD" w:rsidR="005715BB" w:rsidRDefault="00CD27B6" w:rsidP="005715BB">
      <w:pPr>
        <w:spacing w:after="0" w:line="276" w:lineRule="auto"/>
        <w:ind w:firstLine="720"/>
        <w:jc w:val="both"/>
      </w:pPr>
      <w:r w:rsidRPr="001E7DC4">
        <w:t xml:space="preserve">Šo apstākli tiesa </w:t>
      </w:r>
      <w:r w:rsidR="00D513FE">
        <w:t>būtu tiesīga</w:t>
      </w:r>
      <w:r w:rsidR="00A8717D">
        <w:t xml:space="preserve"> </w:t>
      </w:r>
      <w:r w:rsidRPr="001E7DC4">
        <w:t>atstāt bez ievērības t</w:t>
      </w:r>
      <w:r w:rsidR="00B90EBC">
        <w:t>ādā gadījumā</w:t>
      </w:r>
      <w:r w:rsidRPr="001E7DC4">
        <w:t xml:space="preserve">, ja </w:t>
      </w:r>
      <w:r w:rsidR="00D513FE">
        <w:t xml:space="preserve">tā </w:t>
      </w:r>
      <w:r>
        <w:t>ārpus saprātīgām šaubām</w:t>
      </w:r>
      <w:r w:rsidR="00EC1AF7">
        <w:t xml:space="preserve"> </w:t>
      </w:r>
      <w:r>
        <w:t>būtu konstatē</w:t>
      </w:r>
      <w:r w:rsidR="00EC1AF7">
        <w:t>jusi</w:t>
      </w:r>
      <w:r w:rsidRPr="001E7DC4">
        <w:t>, ka</w:t>
      </w:r>
      <w:r w:rsidR="00EC1AF7">
        <w:t xml:space="preserve"> </w:t>
      </w:r>
      <w:r w:rsidR="00CC06BC">
        <w:t>[pers. A]</w:t>
      </w:r>
      <w:r w:rsidR="009D3D16">
        <w:t xml:space="preserve"> </w:t>
      </w:r>
      <w:r w:rsidR="00EC1AF7">
        <w:t>apzinājies</w:t>
      </w:r>
      <w:r w:rsidRPr="001E7DC4">
        <w:t xml:space="preserve">, ka </w:t>
      </w:r>
      <w:r w:rsidR="00821E23">
        <w:t>SIA</w:t>
      </w:r>
      <w:r w:rsidR="00BC23B6">
        <w:t> </w:t>
      </w:r>
      <w:r w:rsidR="00821E23">
        <w:t>„</w:t>
      </w:r>
      <w:r w:rsidR="0067609C">
        <w:t>[Nosaukums A]</w:t>
      </w:r>
      <w:r w:rsidR="00821E23">
        <w:t xml:space="preserve">” </w:t>
      </w:r>
      <w:r w:rsidRPr="001E7DC4">
        <w:t>gada pārskat</w:t>
      </w:r>
      <w:r w:rsidR="00EC1AF7">
        <w:t>ā</w:t>
      </w:r>
      <w:r w:rsidRPr="001E7DC4">
        <w:t xml:space="preserve"> un uzņēmumu ienākuma nodokļa deklarācij</w:t>
      </w:r>
      <w:r w:rsidR="00EC1AF7">
        <w:t>ā iekļauti izdevumi</w:t>
      </w:r>
      <w:r w:rsidR="00821E23">
        <w:t xml:space="preserve"> par nenotikušu darījumu</w:t>
      </w:r>
      <w:r w:rsidR="00EC1AF7">
        <w:t xml:space="preserve">. </w:t>
      </w:r>
      <w:r w:rsidR="00323826" w:rsidRPr="00323826">
        <w:t>Tomēr tiesa</w:t>
      </w:r>
      <w:r w:rsidR="00D513FE">
        <w:t xml:space="preserve"> to nav konstatējusi</w:t>
      </w:r>
      <w:r w:rsidR="00323826" w:rsidRPr="00323826">
        <w:t xml:space="preserve">, jo, kā šajā lēmumā </w:t>
      </w:r>
      <w:r w:rsidR="00D513FE">
        <w:t>norādīts</w:t>
      </w:r>
      <w:r w:rsidR="00EB0A08">
        <w:t xml:space="preserve"> iepriekš</w:t>
      </w:r>
      <w:r w:rsidR="00323826" w:rsidRPr="00323826">
        <w:t>, apsūdzēto noziedzīgās vienošanās atzīšana</w:t>
      </w:r>
      <w:r w:rsidR="009D3D16">
        <w:t xml:space="preserve"> nav pamatota ar lietā esošiem pierādījumiem</w:t>
      </w:r>
      <w:r w:rsidR="00683305">
        <w:t xml:space="preserve">, </w:t>
      </w:r>
      <w:r w:rsidR="009D3D16">
        <w:t>savukārt</w:t>
      </w:r>
      <w:r w:rsidR="00683305">
        <w:t xml:space="preserve"> attiecīgā darījuma fikt</w:t>
      </w:r>
      <w:r w:rsidR="00424421">
        <w:t>īvais raksturs</w:t>
      </w:r>
      <w:r w:rsidR="00683305">
        <w:t xml:space="preserve"> konstatēt</w:t>
      </w:r>
      <w:r w:rsidR="00424421">
        <w:t>s</w:t>
      </w:r>
      <w:r w:rsidR="005715BB">
        <w:t xml:space="preserve"> </w:t>
      </w:r>
      <w:r w:rsidR="009D3D16">
        <w:t>priekšlaicīgi, neizvērtējot pierādījumus, kas liecina par pretējo</w:t>
      </w:r>
      <w:r w:rsidR="00683305">
        <w:t>.</w:t>
      </w:r>
    </w:p>
    <w:p w14:paraId="49ADB027" w14:textId="66B621CE" w:rsidR="003B4790" w:rsidRDefault="003B4790" w:rsidP="003B4790">
      <w:pPr>
        <w:spacing w:after="0" w:line="276" w:lineRule="auto"/>
        <w:ind w:firstLine="720"/>
        <w:jc w:val="both"/>
      </w:pPr>
      <w:r w:rsidRPr="003B4790">
        <w:t xml:space="preserve">[14.3.5] </w:t>
      </w:r>
      <w:r>
        <w:t>K</w:t>
      </w:r>
      <w:r w:rsidR="00D07633" w:rsidRPr="003B4790">
        <w:t xml:space="preserve">ā Senāts norādījis iepriekš, tiesa </w:t>
      </w:r>
      <w:r w:rsidRPr="003B4790">
        <w:t xml:space="preserve">nav izvērtējusi, vai </w:t>
      </w:r>
      <w:r w:rsidR="00CC06BC">
        <w:t>[pers. B]</w:t>
      </w:r>
      <w:r w:rsidRPr="003B4790">
        <w:t xml:space="preserve"> vienīgais informācijas avots tam, ka darījums nav apmaksāts, varēja būt </w:t>
      </w:r>
      <w:r w:rsidR="00CC06BC">
        <w:t>[pers. A]</w:t>
      </w:r>
      <w:r w:rsidRPr="003B4790">
        <w:t xml:space="preserve"> sniegtā informācija</w:t>
      </w:r>
      <w:r>
        <w:t xml:space="preserve">. </w:t>
      </w:r>
    </w:p>
    <w:p w14:paraId="2DE11A8C" w14:textId="58322A45" w:rsidR="007C2771" w:rsidRDefault="003B4790" w:rsidP="00B135B9">
      <w:pPr>
        <w:spacing w:after="0" w:line="276" w:lineRule="auto"/>
        <w:ind w:firstLine="720"/>
        <w:jc w:val="both"/>
      </w:pPr>
      <w:r>
        <w:t xml:space="preserve">Šim apstāklim ir nozīme, vērtējot arī </w:t>
      </w:r>
      <w:r w:rsidR="00CC06BC">
        <w:t>[pers. A]</w:t>
      </w:r>
      <w:r>
        <w:t xml:space="preserve"> atbildību, proti, j</w:t>
      </w:r>
      <w:r w:rsidRPr="003B4790">
        <w:t>a</w:t>
      </w:r>
      <w:r>
        <w:t xml:space="preserve"> </w:t>
      </w:r>
      <w:r w:rsidRPr="003B4790">
        <w:t xml:space="preserve">tiesa būtu konstatējusi, ka </w:t>
      </w:r>
      <w:r w:rsidR="00CC06BC">
        <w:t>[pers. B]</w:t>
      </w:r>
      <w:r>
        <w:t xml:space="preserve"> </w:t>
      </w:r>
      <w:r w:rsidRPr="003B4790">
        <w:t>šo pārbaudi veica pēc bankas konta izdrukām vai citiem avotiem, tiesai b</w:t>
      </w:r>
      <w:r w:rsidR="00821E23">
        <w:t xml:space="preserve">ūtu bijis </w:t>
      </w:r>
      <w:r w:rsidR="00592B2C">
        <w:t xml:space="preserve">rūpīgāk </w:t>
      </w:r>
      <w:r w:rsidRPr="003B4790">
        <w:t xml:space="preserve">jāvērtē </w:t>
      </w:r>
      <w:r>
        <w:t xml:space="preserve">arī </w:t>
      </w:r>
      <w:r w:rsidR="00CC06BC">
        <w:t>[pers. A]</w:t>
      </w:r>
      <w:r w:rsidRPr="003B4790">
        <w:t xml:space="preserve"> arguments par viņa paļaušanos uz grāmatvedes un revidentes rīcības atbilstību likumam.</w:t>
      </w:r>
    </w:p>
    <w:p w14:paraId="3FC5DB30" w14:textId="454E96C1" w:rsidR="00B135B9" w:rsidRPr="00A8717D" w:rsidRDefault="00AE2149" w:rsidP="00285D8B">
      <w:pPr>
        <w:spacing w:after="0" w:line="276" w:lineRule="auto"/>
        <w:ind w:firstLine="720"/>
        <w:jc w:val="both"/>
      </w:pPr>
      <w:r w:rsidRPr="00A8717D">
        <w:t>Šajā vērtējumā tiesai b</w:t>
      </w:r>
      <w:r w:rsidR="00B135B9" w:rsidRPr="00A8717D">
        <w:t>ūtu bijis</w:t>
      </w:r>
      <w:r w:rsidRPr="00A8717D">
        <w:t xml:space="preserve"> jāņem vērā, ka paļaušanās princips, kas sākotnēji atzīts ceļu satiksmes jomā (sk. </w:t>
      </w:r>
      <w:bookmarkStart w:id="57" w:name="_Hlk217306988"/>
      <w:r w:rsidRPr="00A8717D">
        <w:rPr>
          <w:rFonts w:cs="Times New Roman"/>
          <w:i/>
          <w:iCs/>
        </w:rPr>
        <w:t>Senāta 2007. gada 21. februāra lēmumu lietā Nr. SKK</w:t>
      </w:r>
      <w:r w:rsidR="00A8717D" w:rsidRPr="00A8717D">
        <w:rPr>
          <w:rFonts w:cs="Times New Roman"/>
          <w:i/>
          <w:iCs/>
        </w:rPr>
        <w:t>- </w:t>
      </w:r>
      <w:r w:rsidRPr="00A8717D">
        <w:rPr>
          <w:rFonts w:cs="Times New Roman"/>
          <w:i/>
          <w:iCs/>
        </w:rPr>
        <w:t xml:space="preserve">7/2007, </w:t>
      </w:r>
      <w:r w:rsidRPr="00A8717D">
        <w:rPr>
          <w:i/>
          <w:iCs/>
          <w:lang w:val="it-IT"/>
        </w:rPr>
        <w:t>1</w:t>
      </w:r>
      <w:r w:rsidRPr="00A8717D">
        <w:rPr>
          <w:i/>
          <w:iCs/>
        </w:rPr>
        <w:t>520015002</w:t>
      </w:r>
      <w:r w:rsidRPr="00A8717D">
        <w:rPr>
          <w:rFonts w:cs="Times New Roman"/>
        </w:rPr>
        <w:t xml:space="preserve">), </w:t>
      </w:r>
      <w:r w:rsidRPr="00A8717D">
        <w:t>aptver praktiski visas dzīves jomas, kurās cilvēkiem ir jārēķinās vienam ar otru (</w:t>
      </w:r>
      <w:proofErr w:type="spellStart"/>
      <w:r w:rsidRPr="00A8717D">
        <w:rPr>
          <w:rFonts w:cs="Times New Roman"/>
          <w:i/>
          <w:iCs/>
          <w:spacing w:val="-3"/>
        </w:rPr>
        <w:t>Steininger</w:t>
      </w:r>
      <w:proofErr w:type="spellEnd"/>
      <w:r w:rsidRPr="00A8717D">
        <w:rPr>
          <w:rFonts w:cs="Times New Roman"/>
          <w:i/>
          <w:iCs/>
          <w:spacing w:val="-3"/>
        </w:rPr>
        <w:t xml:space="preserve"> </w:t>
      </w:r>
      <w:bookmarkEnd w:id="57"/>
      <w:r w:rsidRPr="00A8717D">
        <w:rPr>
          <w:rFonts w:cs="Times New Roman"/>
          <w:i/>
          <w:iCs/>
          <w:spacing w:val="-3"/>
        </w:rPr>
        <w:t xml:space="preserve">E. </w:t>
      </w:r>
      <w:proofErr w:type="spellStart"/>
      <w:r w:rsidRPr="00A8717D">
        <w:rPr>
          <w:rStyle w:val="a-size-large"/>
          <w:rFonts w:cs="Times New Roman"/>
          <w:i/>
          <w:iCs/>
          <w:spacing w:val="-3"/>
        </w:rPr>
        <w:t>Strafrecht</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Allgemeiner</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Teil</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Eine</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Einführung</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Die</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Erscheinungsformen</w:t>
      </w:r>
      <w:proofErr w:type="spellEnd"/>
      <w:r w:rsidRPr="00A8717D">
        <w:rPr>
          <w:rStyle w:val="a-size-large"/>
          <w:rFonts w:cs="Times New Roman"/>
          <w:i/>
          <w:iCs/>
          <w:spacing w:val="-3"/>
        </w:rPr>
        <w:t xml:space="preserve"> der </w:t>
      </w:r>
      <w:proofErr w:type="spellStart"/>
      <w:r w:rsidRPr="00A8717D">
        <w:rPr>
          <w:rStyle w:val="a-size-large"/>
          <w:rFonts w:cs="Times New Roman"/>
          <w:i/>
          <w:iCs/>
          <w:spacing w:val="-3"/>
        </w:rPr>
        <w:t>Straftat</w:t>
      </w:r>
      <w:proofErr w:type="spellEnd"/>
      <w:r w:rsidRPr="00A8717D">
        <w:rPr>
          <w:rStyle w:val="a-size-large"/>
          <w:rFonts w:cs="Times New Roman"/>
          <w:i/>
          <w:iCs/>
          <w:spacing w:val="-3"/>
        </w:rPr>
        <w:t xml:space="preserve"> – </w:t>
      </w:r>
      <w:proofErr w:type="spellStart"/>
      <w:r w:rsidRPr="00A8717D">
        <w:rPr>
          <w:rStyle w:val="a-size-large"/>
          <w:rFonts w:cs="Times New Roman"/>
          <w:i/>
          <w:iCs/>
          <w:spacing w:val="-3"/>
        </w:rPr>
        <w:t>Beteiligungslehre</w:t>
      </w:r>
      <w:proofErr w:type="spellEnd"/>
      <w:r w:rsidRPr="00A8717D">
        <w:rPr>
          <w:rStyle w:val="a-size-large"/>
          <w:rFonts w:cs="Times New Roman"/>
          <w:i/>
          <w:iCs/>
          <w:spacing w:val="-3"/>
        </w:rPr>
        <w:t xml:space="preserve">. </w:t>
      </w:r>
      <w:proofErr w:type="spellStart"/>
      <w:r w:rsidRPr="00A8717D">
        <w:rPr>
          <w:rStyle w:val="a-size-large"/>
          <w:rFonts w:cs="Times New Roman"/>
          <w:i/>
          <w:iCs/>
          <w:spacing w:val="-3"/>
        </w:rPr>
        <w:t>Band</w:t>
      </w:r>
      <w:proofErr w:type="spellEnd"/>
      <w:r w:rsidRPr="00A8717D">
        <w:rPr>
          <w:rStyle w:val="a-size-large"/>
          <w:rFonts w:cs="Times New Roman"/>
          <w:i/>
          <w:iCs/>
          <w:spacing w:val="-3"/>
        </w:rPr>
        <w:t xml:space="preserve"> 2. </w:t>
      </w:r>
      <w:proofErr w:type="spellStart"/>
      <w:r w:rsidRPr="00A8717D">
        <w:rPr>
          <w:rStyle w:val="a-size-large"/>
          <w:rFonts w:cs="Times New Roman"/>
          <w:i/>
          <w:iCs/>
          <w:spacing w:val="-3"/>
        </w:rPr>
        <w:t>Wien</w:t>
      </w:r>
      <w:proofErr w:type="spellEnd"/>
      <w:r w:rsidRPr="00A8717D">
        <w:rPr>
          <w:rStyle w:val="a-size-large"/>
          <w:rFonts w:cs="Times New Roman"/>
          <w:i/>
          <w:iCs/>
          <w:spacing w:val="-3"/>
        </w:rPr>
        <w:t xml:space="preserve">: Linde </w:t>
      </w:r>
      <w:proofErr w:type="spellStart"/>
      <w:r w:rsidRPr="00A8717D">
        <w:rPr>
          <w:rStyle w:val="a-size-large"/>
          <w:rFonts w:cs="Times New Roman"/>
          <w:i/>
          <w:iCs/>
          <w:spacing w:val="-3"/>
        </w:rPr>
        <w:t>Verlag</w:t>
      </w:r>
      <w:proofErr w:type="spellEnd"/>
      <w:r w:rsidRPr="00A8717D">
        <w:rPr>
          <w:rStyle w:val="a-size-large"/>
          <w:rFonts w:cs="Times New Roman"/>
          <w:i/>
          <w:iCs/>
          <w:spacing w:val="-3"/>
        </w:rPr>
        <w:t xml:space="preserve">, 2012, S. 35. Sk. līdzīgu viedokli: </w:t>
      </w:r>
      <w:hyperlink r:id="rId19" w:history="1">
        <w:proofErr w:type="spellStart"/>
        <w:r w:rsidRPr="00A8717D">
          <w:rPr>
            <w:rStyle w:val="Hyperlink"/>
            <w:i/>
            <w:iCs/>
            <w:color w:val="auto"/>
            <w:u w:val="none"/>
            <w:shd w:val="clear" w:color="auto" w:fill="FFFFFF"/>
          </w:rPr>
          <w:t>Schönke</w:t>
        </w:r>
        <w:proofErr w:type="spellEnd"/>
      </w:hyperlink>
      <w:r w:rsidRPr="00A8717D">
        <w:rPr>
          <w:rStyle w:val="a-declarative"/>
          <w:rFonts w:cs="Times New Roman"/>
          <w:i/>
          <w:iCs/>
          <w:shd w:val="clear" w:color="auto" w:fill="FFFFFF"/>
        </w:rPr>
        <w:t xml:space="preserve"> A.,</w:t>
      </w:r>
      <w:r w:rsidRPr="00A8717D">
        <w:rPr>
          <w:rStyle w:val="a-color-secondary"/>
          <w:rFonts w:cs="Times New Roman"/>
          <w:i/>
          <w:iCs/>
          <w:shd w:val="clear" w:color="auto" w:fill="FFFFFF"/>
        </w:rPr>
        <w:t> </w:t>
      </w:r>
      <w:proofErr w:type="spellStart"/>
      <w:r w:rsidRPr="00A8717D">
        <w:fldChar w:fldCharType="begin"/>
      </w:r>
      <w:r w:rsidRPr="00A8717D">
        <w:instrText>HYPERLINK "https://www.amazon.de/s/ref=dp_byline_sr_book_2?ie=UTF8&amp;text=Horst+Schr%C3%B6der&amp;search-alias=books-de&amp;field-author=Horst+Schr%C3%B6der&amp;sort=relevancerank"</w:instrText>
      </w:r>
      <w:r w:rsidRPr="00A8717D">
        <w:fldChar w:fldCharType="separate"/>
      </w:r>
      <w:r w:rsidRPr="00A8717D">
        <w:rPr>
          <w:rStyle w:val="Hyperlink"/>
          <w:i/>
          <w:iCs/>
          <w:color w:val="auto"/>
          <w:u w:val="none"/>
          <w:shd w:val="clear" w:color="auto" w:fill="FFFFFF"/>
        </w:rPr>
        <w:t>Schröder</w:t>
      </w:r>
      <w:proofErr w:type="spellEnd"/>
      <w:r w:rsidRPr="00A8717D">
        <w:fldChar w:fldCharType="end"/>
      </w:r>
      <w:r w:rsidRPr="00A8717D">
        <w:rPr>
          <w:rStyle w:val="author"/>
          <w:rFonts w:cs="Times New Roman"/>
          <w:i/>
          <w:iCs/>
          <w:shd w:val="clear" w:color="auto" w:fill="FFFFFF"/>
        </w:rPr>
        <w:t xml:space="preserve"> H. </w:t>
      </w:r>
      <w:proofErr w:type="spellStart"/>
      <w:r w:rsidRPr="00A8717D">
        <w:rPr>
          <w:rStyle w:val="author"/>
          <w:rFonts w:cs="Times New Roman"/>
          <w:i/>
          <w:iCs/>
          <w:shd w:val="clear" w:color="auto" w:fill="FFFFFF"/>
        </w:rPr>
        <w:t>Strafgesetzbuch</w:t>
      </w:r>
      <w:proofErr w:type="spellEnd"/>
      <w:r w:rsidRPr="00A8717D">
        <w:rPr>
          <w:rStyle w:val="author"/>
          <w:rFonts w:cs="Times New Roman"/>
          <w:i/>
          <w:iCs/>
          <w:shd w:val="clear" w:color="auto" w:fill="FFFFFF"/>
        </w:rPr>
        <w:t xml:space="preserve"> </w:t>
      </w:r>
      <w:proofErr w:type="spellStart"/>
      <w:r w:rsidRPr="00A8717D">
        <w:rPr>
          <w:rStyle w:val="author"/>
          <w:rFonts w:cs="Times New Roman"/>
          <w:i/>
          <w:iCs/>
          <w:shd w:val="clear" w:color="auto" w:fill="FFFFFF"/>
        </w:rPr>
        <w:t>Kommentar</w:t>
      </w:r>
      <w:proofErr w:type="spellEnd"/>
      <w:r w:rsidRPr="00A8717D">
        <w:rPr>
          <w:rStyle w:val="author"/>
          <w:rFonts w:cs="Times New Roman"/>
          <w:i/>
          <w:iCs/>
          <w:shd w:val="clear" w:color="auto" w:fill="FFFFFF"/>
        </w:rPr>
        <w:t>. 27. </w:t>
      </w:r>
      <w:proofErr w:type="spellStart"/>
      <w:r w:rsidRPr="00A8717D">
        <w:rPr>
          <w:rStyle w:val="author"/>
          <w:rFonts w:cs="Times New Roman"/>
          <w:i/>
          <w:iCs/>
          <w:shd w:val="clear" w:color="auto" w:fill="FFFFFF"/>
        </w:rPr>
        <w:t>Auflage</w:t>
      </w:r>
      <w:proofErr w:type="spellEnd"/>
      <w:r w:rsidRPr="00A8717D">
        <w:rPr>
          <w:rStyle w:val="author"/>
          <w:rFonts w:cs="Times New Roman"/>
          <w:i/>
          <w:iCs/>
          <w:shd w:val="clear" w:color="auto" w:fill="FFFFFF"/>
        </w:rPr>
        <w:t xml:space="preserve">. </w:t>
      </w:r>
      <w:proofErr w:type="spellStart"/>
      <w:r w:rsidRPr="00A8717D">
        <w:rPr>
          <w:rStyle w:val="author"/>
          <w:rFonts w:cs="Times New Roman"/>
          <w:i/>
          <w:iCs/>
          <w:shd w:val="clear" w:color="auto" w:fill="FFFFFF"/>
        </w:rPr>
        <w:t>München</w:t>
      </w:r>
      <w:proofErr w:type="spellEnd"/>
      <w:r w:rsidRPr="00A8717D">
        <w:rPr>
          <w:rStyle w:val="author"/>
          <w:rFonts w:cs="Times New Roman"/>
          <w:i/>
          <w:iCs/>
          <w:shd w:val="clear" w:color="auto" w:fill="FFFFFF"/>
        </w:rPr>
        <w:t>: </w:t>
      </w:r>
      <w:proofErr w:type="spellStart"/>
      <w:r w:rsidRPr="00A8717D">
        <w:rPr>
          <w:rFonts w:cs="Times New Roman"/>
          <w:i/>
          <w:iCs/>
          <w:shd w:val="clear" w:color="auto" w:fill="FFFFFF"/>
        </w:rPr>
        <w:t>C.H.Beck</w:t>
      </w:r>
      <w:proofErr w:type="spellEnd"/>
      <w:r w:rsidRPr="00A8717D">
        <w:rPr>
          <w:rFonts w:cs="Times New Roman"/>
          <w:i/>
          <w:iCs/>
          <w:shd w:val="clear" w:color="auto" w:fill="FFFFFF"/>
        </w:rPr>
        <w:t xml:space="preserve"> </w:t>
      </w:r>
      <w:proofErr w:type="spellStart"/>
      <w:r w:rsidRPr="00A8717D">
        <w:rPr>
          <w:rFonts w:cs="Times New Roman"/>
          <w:i/>
          <w:iCs/>
          <w:shd w:val="clear" w:color="auto" w:fill="FFFFFF"/>
        </w:rPr>
        <w:t>Verlag</w:t>
      </w:r>
      <w:proofErr w:type="spellEnd"/>
      <w:r w:rsidRPr="00A8717D">
        <w:rPr>
          <w:rFonts w:cs="Times New Roman"/>
          <w:i/>
          <w:iCs/>
          <w:shd w:val="clear" w:color="auto" w:fill="FFFFFF"/>
        </w:rPr>
        <w:t>, 2006, S. 306</w:t>
      </w:r>
      <w:r w:rsidRPr="00A8717D">
        <w:rPr>
          <w:rFonts w:cs="Times New Roman"/>
          <w:iCs/>
          <w:shd w:val="clear" w:color="auto" w:fill="FFFFFF"/>
        </w:rPr>
        <w:t>.</w:t>
      </w:r>
      <w:r w:rsidRPr="00A8717D">
        <w:t>), tajā skaitā jomas, kurās</w:t>
      </w:r>
      <w:r w:rsidRPr="00A8717D">
        <w:rPr>
          <w:bCs/>
        </w:rPr>
        <w:t xml:space="preserve"> personu sadarbība balstās uz darba dalīšanu, piemēram, būvniecībā, medicīnā, arī uzņēmējdarbībā.</w:t>
      </w:r>
    </w:p>
    <w:p w14:paraId="14204A18" w14:textId="3056B412" w:rsidR="00AE2149" w:rsidRPr="00A8717D" w:rsidRDefault="00AE2149" w:rsidP="00285D8B">
      <w:pPr>
        <w:spacing w:after="10" w:line="276" w:lineRule="auto"/>
        <w:ind w:right="6" w:firstLine="720"/>
        <w:jc w:val="both"/>
      </w:pPr>
      <w:r w:rsidRPr="00A8717D">
        <w:t>Saskaņā ar šo principu persona, kura rīkojas atbilstoši noteikumiem, var paļauties, ka arī citi tos ievēro</w:t>
      </w:r>
      <w:r w:rsidR="00592B2C" w:rsidRPr="00A8717D">
        <w:t>s</w:t>
      </w:r>
      <w:r w:rsidRPr="00A8717D">
        <w:t>. Izņēmums ir piemērojams tad, ja: 1)</w:t>
      </w:r>
      <w:r w:rsidR="00BC23B6">
        <w:t> </w:t>
      </w:r>
      <w:r w:rsidRPr="00A8717D">
        <w:t>persona zina, ka nav pamata paļauties uz citu personu tiesisku rīcību (šādā gadījumā ir iespējams konstatēt nodomu)</w:t>
      </w:r>
      <w:r w:rsidR="00A8717D" w:rsidRPr="00A8717D">
        <w:t xml:space="preserve">; </w:t>
      </w:r>
      <w:r w:rsidRPr="00A8717D">
        <w:lastRenderedPageBreak/>
        <w:t>2)</w:t>
      </w:r>
      <w:r w:rsidR="00A8717D" w:rsidRPr="00A8717D">
        <w:t> </w:t>
      </w:r>
      <w:r w:rsidRPr="00A8717D">
        <w:t xml:space="preserve">pastāv konkrētas pazīmes, kas liecina, ka uz citas personas tiesisku rīcību paļauties nevar (šādā gadījumā ir iespējams konstatēt neuzmanību). </w:t>
      </w:r>
    </w:p>
    <w:bookmarkEnd w:id="56"/>
    <w:p w14:paraId="1493436D" w14:textId="339F0C24" w:rsidR="00B40685" w:rsidRPr="003650AE" w:rsidRDefault="006844F4" w:rsidP="00187322">
      <w:pPr>
        <w:spacing w:after="0" w:line="276" w:lineRule="auto"/>
        <w:ind w:firstLine="720"/>
        <w:jc w:val="both"/>
      </w:pPr>
      <w:r w:rsidRPr="003650AE">
        <w:t>[1</w:t>
      </w:r>
      <w:r w:rsidR="00B653D6">
        <w:t>4</w:t>
      </w:r>
      <w:r w:rsidRPr="003650AE">
        <w:t>.3.</w:t>
      </w:r>
      <w:r w:rsidR="001101A9">
        <w:t>6</w:t>
      </w:r>
      <w:r w:rsidRPr="003650AE">
        <w:t xml:space="preserve">] </w:t>
      </w:r>
      <w:r w:rsidR="00B40685" w:rsidRPr="003650AE">
        <w:rPr>
          <w:color w:val="000000" w:themeColor="text1"/>
        </w:rPr>
        <w:t xml:space="preserve">Vērtējot </w:t>
      </w:r>
      <w:r w:rsidR="00CC06BC">
        <w:rPr>
          <w:color w:val="000000" w:themeColor="text1"/>
        </w:rPr>
        <w:t>[pers. B]</w:t>
      </w:r>
      <w:r w:rsidR="00EB0A08" w:rsidRPr="003650AE">
        <w:rPr>
          <w:color w:val="000000" w:themeColor="text1"/>
        </w:rPr>
        <w:t xml:space="preserve"> inkriminētā nozie</w:t>
      </w:r>
      <w:r w:rsidR="00357500" w:rsidRPr="003650AE">
        <w:rPr>
          <w:color w:val="000000" w:themeColor="text1"/>
        </w:rPr>
        <w:t>guma</w:t>
      </w:r>
      <w:r w:rsidR="00EB0A08" w:rsidRPr="003650AE">
        <w:rPr>
          <w:color w:val="000000" w:themeColor="text1"/>
        </w:rPr>
        <w:t xml:space="preserve"> </w:t>
      </w:r>
      <w:r w:rsidR="00B40685" w:rsidRPr="003650AE">
        <w:rPr>
          <w:color w:val="000000" w:themeColor="text1"/>
        </w:rPr>
        <w:t xml:space="preserve">subjektīvo pusi, tiesa </w:t>
      </w:r>
      <w:r w:rsidR="00592B2C">
        <w:rPr>
          <w:color w:val="000000" w:themeColor="text1"/>
        </w:rPr>
        <w:t xml:space="preserve">nav izvērtējusi </w:t>
      </w:r>
      <w:r w:rsidR="00B40685" w:rsidRPr="003650AE">
        <w:rPr>
          <w:color w:val="000000" w:themeColor="text1"/>
        </w:rPr>
        <w:t>viņas</w:t>
      </w:r>
      <w:r w:rsidR="00B40685" w:rsidRPr="003650AE">
        <w:rPr>
          <w:rStyle w:val="CharStyle3"/>
          <w:rFonts w:cs="Times New Roman"/>
          <w:color w:val="000000" w:themeColor="text1"/>
          <w:sz w:val="24"/>
          <w:szCs w:val="24"/>
        </w:rPr>
        <w:t xml:space="preserve"> liecīb</w:t>
      </w:r>
      <w:r w:rsidR="00683F0C" w:rsidRPr="003650AE">
        <w:rPr>
          <w:rStyle w:val="CharStyle3"/>
          <w:rFonts w:cs="Times New Roman"/>
          <w:color w:val="000000" w:themeColor="text1"/>
          <w:sz w:val="24"/>
          <w:szCs w:val="24"/>
        </w:rPr>
        <w:t>as</w:t>
      </w:r>
      <w:r w:rsidR="00B40685" w:rsidRPr="003650AE">
        <w:rPr>
          <w:rStyle w:val="CharStyle3"/>
          <w:rFonts w:cs="Times New Roman"/>
          <w:color w:val="000000" w:themeColor="text1"/>
          <w:sz w:val="24"/>
          <w:szCs w:val="24"/>
        </w:rPr>
        <w:t xml:space="preserve">, ka </w:t>
      </w:r>
      <w:r w:rsidR="002F405C">
        <w:rPr>
          <w:rStyle w:val="CharStyle3"/>
          <w:rFonts w:cs="Times New Roman"/>
          <w:color w:val="000000" w:themeColor="text1"/>
          <w:sz w:val="24"/>
          <w:szCs w:val="24"/>
        </w:rPr>
        <w:t>„</w:t>
      </w:r>
      <w:r w:rsidR="0067609C">
        <w:rPr>
          <w:rStyle w:val="CharStyle3"/>
          <w:rFonts w:cs="Times New Roman"/>
          <w:color w:val="000000" w:themeColor="text1"/>
          <w:sz w:val="24"/>
          <w:szCs w:val="24"/>
        </w:rPr>
        <w:t>[Nosaukums B]</w:t>
      </w:r>
      <w:r w:rsidR="002F405C">
        <w:rPr>
          <w:rStyle w:val="CharStyle3"/>
          <w:rFonts w:cs="Times New Roman"/>
          <w:color w:val="000000" w:themeColor="text1"/>
          <w:sz w:val="24"/>
          <w:szCs w:val="24"/>
        </w:rPr>
        <w:t>”</w:t>
      </w:r>
      <w:r w:rsidR="00B40685" w:rsidRPr="003650AE">
        <w:rPr>
          <w:rStyle w:val="CharStyle3"/>
          <w:rFonts w:cs="Times New Roman"/>
          <w:color w:val="000000" w:themeColor="text1"/>
          <w:sz w:val="24"/>
          <w:szCs w:val="24"/>
        </w:rPr>
        <w:t xml:space="preserve"> rēķinu </w:t>
      </w:r>
      <w:r w:rsidR="00821E23">
        <w:rPr>
          <w:rStyle w:val="CharStyle3"/>
          <w:rFonts w:cs="Times New Roman"/>
          <w:color w:val="000000" w:themeColor="text1"/>
          <w:sz w:val="24"/>
          <w:szCs w:val="24"/>
        </w:rPr>
        <w:t xml:space="preserve">viņa </w:t>
      </w:r>
      <w:r w:rsidR="00B40685" w:rsidRPr="003650AE">
        <w:rPr>
          <w:rStyle w:val="CharStyle3"/>
          <w:rFonts w:cs="Times New Roman"/>
          <w:color w:val="000000" w:themeColor="text1"/>
          <w:sz w:val="24"/>
          <w:szCs w:val="24"/>
        </w:rPr>
        <w:t>nav uzskatījusi par avansa rēķinu (</w:t>
      </w:r>
      <w:r w:rsidR="00B40685" w:rsidRPr="003650AE">
        <w:rPr>
          <w:i/>
          <w:iCs/>
          <w:color w:val="000000" w:themeColor="text1"/>
        </w:rPr>
        <w:t xml:space="preserve">lietas </w:t>
      </w:r>
      <w:r w:rsidR="00B40685" w:rsidRPr="003650AE">
        <w:rPr>
          <w:rStyle w:val="CharStyle3"/>
          <w:rFonts w:cs="Times New Roman"/>
          <w:i/>
          <w:iCs/>
          <w:color w:val="000000" w:themeColor="text1"/>
          <w:sz w:val="24"/>
          <w:szCs w:val="24"/>
        </w:rPr>
        <w:t>7.</w:t>
      </w:r>
      <w:r w:rsidR="00BC23B6">
        <w:rPr>
          <w:rStyle w:val="CharStyle3"/>
          <w:rFonts w:cs="Times New Roman"/>
          <w:i/>
          <w:iCs/>
          <w:color w:val="000000" w:themeColor="text1"/>
          <w:sz w:val="24"/>
          <w:szCs w:val="24"/>
        </w:rPr>
        <w:t> </w:t>
      </w:r>
      <w:r w:rsidR="00B40685" w:rsidRPr="003650AE">
        <w:rPr>
          <w:rStyle w:val="CharStyle3"/>
          <w:rFonts w:cs="Times New Roman"/>
          <w:i/>
          <w:iCs/>
          <w:color w:val="000000" w:themeColor="text1"/>
          <w:sz w:val="24"/>
          <w:szCs w:val="24"/>
        </w:rPr>
        <w:t xml:space="preserve">sējuma </w:t>
      </w:r>
      <w:r w:rsidR="00683F0C" w:rsidRPr="003650AE">
        <w:rPr>
          <w:rStyle w:val="CharStyle3"/>
          <w:rFonts w:cs="Times New Roman"/>
          <w:i/>
          <w:iCs/>
          <w:color w:val="000000" w:themeColor="text1"/>
          <w:sz w:val="24"/>
          <w:szCs w:val="24"/>
        </w:rPr>
        <w:t xml:space="preserve">123., </w:t>
      </w:r>
      <w:r w:rsidR="00B40685" w:rsidRPr="003650AE">
        <w:rPr>
          <w:rStyle w:val="CharStyle3"/>
          <w:rFonts w:cs="Times New Roman"/>
          <w:i/>
          <w:iCs/>
          <w:color w:val="000000" w:themeColor="text1"/>
          <w:sz w:val="24"/>
          <w:szCs w:val="24"/>
        </w:rPr>
        <w:t>1</w:t>
      </w:r>
      <w:r w:rsidR="00C74E8D" w:rsidRPr="003650AE">
        <w:rPr>
          <w:rStyle w:val="CharStyle3"/>
          <w:rFonts w:cs="Times New Roman"/>
          <w:i/>
          <w:iCs/>
          <w:color w:val="000000" w:themeColor="text1"/>
          <w:sz w:val="24"/>
          <w:szCs w:val="24"/>
        </w:rPr>
        <w:t>40.–141</w:t>
      </w:r>
      <w:r w:rsidR="00B40685" w:rsidRPr="003650AE">
        <w:rPr>
          <w:rStyle w:val="CharStyle3"/>
          <w:rFonts w:cs="Times New Roman"/>
          <w:i/>
          <w:iCs/>
          <w:color w:val="000000" w:themeColor="text1"/>
          <w:sz w:val="24"/>
          <w:szCs w:val="24"/>
        </w:rPr>
        <w:t>. lapa</w:t>
      </w:r>
      <w:r w:rsidR="00B40685" w:rsidRPr="003650AE">
        <w:rPr>
          <w:rStyle w:val="CharStyle3"/>
          <w:rFonts w:cs="Times New Roman"/>
          <w:color w:val="000000" w:themeColor="text1"/>
          <w:sz w:val="24"/>
          <w:szCs w:val="24"/>
        </w:rPr>
        <w:t>)</w:t>
      </w:r>
      <w:r w:rsidR="005715BB">
        <w:rPr>
          <w:rStyle w:val="CharStyle3"/>
          <w:rFonts w:cs="Times New Roman"/>
          <w:color w:val="000000" w:themeColor="text1"/>
          <w:sz w:val="24"/>
          <w:szCs w:val="24"/>
        </w:rPr>
        <w:t xml:space="preserve"> </w:t>
      </w:r>
      <w:r w:rsidR="00EF2D4C">
        <w:rPr>
          <w:rStyle w:val="CharStyle3"/>
          <w:rFonts w:cs="Times New Roman"/>
          <w:color w:val="000000" w:themeColor="text1"/>
          <w:sz w:val="24"/>
          <w:szCs w:val="24"/>
        </w:rPr>
        <w:t xml:space="preserve">un ka </w:t>
      </w:r>
      <w:r w:rsidR="00683F0C" w:rsidRPr="003650AE">
        <w:rPr>
          <w:rStyle w:val="CharStyle3"/>
          <w:rFonts w:cs="Times New Roman"/>
          <w:color w:val="000000" w:themeColor="text1"/>
          <w:sz w:val="24"/>
          <w:szCs w:val="24"/>
        </w:rPr>
        <w:t xml:space="preserve">viņai </w:t>
      </w:r>
      <w:r w:rsidR="00683F0C" w:rsidRPr="003650AE">
        <w:t xml:space="preserve">nebija pamata domāt citādi, jo </w:t>
      </w:r>
      <w:r w:rsidR="005715BB">
        <w:t xml:space="preserve">viņai </w:t>
      </w:r>
      <w:r w:rsidR="00683F0C" w:rsidRPr="003650AE">
        <w:t>bija zināms</w:t>
      </w:r>
      <w:r w:rsidR="00187322">
        <w:t xml:space="preserve"> par veiktajiem pasākumiem</w:t>
      </w:r>
      <w:r w:rsidR="00683F0C" w:rsidRPr="003650AE">
        <w:t xml:space="preserve"> tirdzniecības centra izbūvei</w:t>
      </w:r>
      <w:r w:rsidR="00CD410F">
        <w:t xml:space="preserve"> [Nosaukums]</w:t>
      </w:r>
      <w:r w:rsidR="00683F0C" w:rsidRPr="003650AE">
        <w:t>.</w:t>
      </w:r>
      <w:r w:rsidR="00592B2C">
        <w:t xml:space="preserve"> </w:t>
      </w:r>
      <w:r w:rsidR="00EF2D4C">
        <w:rPr>
          <w:rStyle w:val="CharStyle3"/>
          <w:rFonts w:cs="Times New Roman"/>
          <w:sz w:val="24"/>
          <w:szCs w:val="24"/>
        </w:rPr>
        <w:t>A</w:t>
      </w:r>
      <w:r w:rsidR="00B40685" w:rsidRPr="003650AE">
        <w:rPr>
          <w:rStyle w:val="CharStyle3"/>
          <w:rFonts w:cs="Times New Roman"/>
          <w:sz w:val="24"/>
          <w:szCs w:val="24"/>
        </w:rPr>
        <w:t xml:space="preserve">psūdzētās </w:t>
      </w:r>
      <w:r w:rsidR="00CC06BC">
        <w:rPr>
          <w:rStyle w:val="CharStyle3"/>
          <w:rFonts w:cs="Times New Roman"/>
          <w:sz w:val="24"/>
          <w:szCs w:val="24"/>
        </w:rPr>
        <w:t>[pers. B]</w:t>
      </w:r>
      <w:r w:rsidR="00B60F65">
        <w:rPr>
          <w:rStyle w:val="CharStyle3"/>
          <w:rFonts w:cs="Times New Roman"/>
          <w:sz w:val="24"/>
          <w:szCs w:val="24"/>
        </w:rPr>
        <w:t xml:space="preserve"> </w:t>
      </w:r>
      <w:r w:rsidR="00B40685" w:rsidRPr="003650AE">
        <w:rPr>
          <w:rStyle w:val="CharStyle3"/>
          <w:rFonts w:cs="Times New Roman"/>
          <w:sz w:val="24"/>
          <w:szCs w:val="24"/>
        </w:rPr>
        <w:t xml:space="preserve">kasācijas sūdzībā </w:t>
      </w:r>
      <w:r w:rsidR="00EF2D4C">
        <w:rPr>
          <w:rStyle w:val="CharStyle3"/>
          <w:rFonts w:cs="Times New Roman"/>
          <w:sz w:val="24"/>
          <w:szCs w:val="24"/>
        </w:rPr>
        <w:t xml:space="preserve">šajā sakarā </w:t>
      </w:r>
      <w:r w:rsidR="00B40685" w:rsidRPr="003650AE">
        <w:rPr>
          <w:rStyle w:val="CharStyle3"/>
          <w:rFonts w:cs="Times New Roman"/>
          <w:sz w:val="24"/>
          <w:szCs w:val="24"/>
        </w:rPr>
        <w:t xml:space="preserve">ir norādīts, ka </w:t>
      </w:r>
      <w:r w:rsidR="00B40685" w:rsidRPr="003650AE">
        <w:t>strīdus rēķins bija igauņu valodā un tā nosaukum</w:t>
      </w:r>
      <w:r w:rsidR="00B60F65">
        <w:t>u</w:t>
      </w:r>
      <w:r w:rsidR="00187322">
        <w:t xml:space="preserve"> – </w:t>
      </w:r>
      <w:proofErr w:type="spellStart"/>
      <w:r w:rsidR="00B40685" w:rsidRPr="003650AE">
        <w:rPr>
          <w:i/>
          <w:iCs/>
        </w:rPr>
        <w:t>arve</w:t>
      </w:r>
      <w:proofErr w:type="spellEnd"/>
      <w:r w:rsidR="00187322">
        <w:t xml:space="preserve"> –</w:t>
      </w:r>
      <w:r w:rsidR="00B40685" w:rsidRPr="003650AE">
        <w:t xml:space="preserve"> </w:t>
      </w:r>
      <w:r w:rsidR="00B60F65">
        <w:t xml:space="preserve">viņa </w:t>
      </w:r>
      <w:r w:rsidR="00B40685" w:rsidRPr="003650AE">
        <w:t>pēc pārbaudes internetā uztv</w:t>
      </w:r>
      <w:r w:rsidR="00B60F65">
        <w:t>ēra</w:t>
      </w:r>
      <w:r w:rsidR="00B40685" w:rsidRPr="003650AE">
        <w:t xml:space="preserve"> kā fakta, nevis avansa rēķin</w:t>
      </w:r>
      <w:r w:rsidR="00B60F65">
        <w:t>u</w:t>
      </w:r>
      <w:r w:rsidR="00B40685" w:rsidRPr="003650AE">
        <w:rPr>
          <w:rFonts w:cs="Times New Roman"/>
        </w:rPr>
        <w:t xml:space="preserve">. </w:t>
      </w:r>
      <w:r w:rsidR="00B40685" w:rsidRPr="003650AE">
        <w:rPr>
          <w:rFonts w:eastAsia="Calibri" w:cs="Times New Roman"/>
        </w:rPr>
        <w:t>Šādu rēķina nosaukumu Latvijā parasti izmanto, lai i</w:t>
      </w:r>
      <w:r w:rsidR="001A07EB" w:rsidRPr="003650AE">
        <w:rPr>
          <w:rFonts w:eastAsia="Calibri" w:cs="Times New Roman"/>
        </w:rPr>
        <w:t>zrakstītu</w:t>
      </w:r>
      <w:r w:rsidR="00B40685" w:rsidRPr="003650AE">
        <w:rPr>
          <w:rFonts w:eastAsia="Calibri" w:cs="Times New Roman"/>
        </w:rPr>
        <w:t xml:space="preserve"> rēķinu par notikušu darījumu. </w:t>
      </w:r>
    </w:p>
    <w:p w14:paraId="00246499" w14:textId="1E4DFE85" w:rsidR="00E77A0A" w:rsidRDefault="00B40685" w:rsidP="00E77A0A">
      <w:pPr>
        <w:spacing w:after="0" w:line="276" w:lineRule="auto"/>
        <w:ind w:firstLine="720"/>
        <w:jc w:val="both"/>
      </w:pPr>
      <w:r>
        <w:t>[1</w:t>
      </w:r>
      <w:r w:rsidR="00B653D6">
        <w:t>4</w:t>
      </w:r>
      <w:r>
        <w:t>.3.</w:t>
      </w:r>
      <w:r w:rsidR="001101A9">
        <w:t>7</w:t>
      </w:r>
      <w:r>
        <w:t xml:space="preserve">] </w:t>
      </w:r>
      <w:bookmarkStart w:id="58" w:name="_Hlk206786815"/>
      <w:bookmarkStart w:id="59" w:name="_Hlk206786514"/>
      <w:r w:rsidR="00E77A0A" w:rsidRPr="00E77A0A">
        <w:t>Tiesas spriedums ir pam</w:t>
      </w:r>
      <w:r w:rsidR="00BD5315">
        <w:t xml:space="preserve">atots ar </w:t>
      </w:r>
      <w:bookmarkStart w:id="60" w:name="_Hlk214099081"/>
      <w:r w:rsidR="00BD5315">
        <w:t>atziņu</w:t>
      </w:r>
      <w:r w:rsidR="00E77A0A" w:rsidRPr="00E77A0A">
        <w:t xml:space="preserve">, ka grāmatvedis, kurš ikdienā strādā uzņēmumā, nevar kļūdīties, savukārt revidents, kurš ikdienā uzņēmumā nestrādā, var kļūdīties. </w:t>
      </w:r>
    </w:p>
    <w:p w14:paraId="6451BA97" w14:textId="7344327D" w:rsidR="000A7274" w:rsidRDefault="000A7274" w:rsidP="00E77A0A">
      <w:pPr>
        <w:spacing w:after="0" w:line="276" w:lineRule="auto"/>
        <w:ind w:firstLine="720"/>
        <w:jc w:val="both"/>
      </w:pPr>
      <w:r>
        <w:t>Senāts šādu secinājumu atzīst par nemotivētu.</w:t>
      </w:r>
    </w:p>
    <w:p w14:paraId="416B0A4A" w14:textId="591801A0" w:rsidR="00EF2D4C" w:rsidRDefault="00A12683" w:rsidP="00E77A0A">
      <w:pPr>
        <w:spacing w:after="0" w:line="276" w:lineRule="auto"/>
        <w:ind w:firstLine="720"/>
        <w:jc w:val="both"/>
      </w:pPr>
      <w:r>
        <w:t>Š</w:t>
      </w:r>
      <w:r w:rsidR="00EF2D4C">
        <w:t xml:space="preserve">āda tiesas atziņa faktiski ir prezumpcija, kādu Kriminālprocesa </w:t>
      </w:r>
      <w:r w:rsidR="00EF2D4C" w:rsidRPr="00E77A0A">
        <w:t>likums neparedz</w:t>
      </w:r>
      <w:r w:rsidR="00B60F65">
        <w:t xml:space="preserve"> </w:t>
      </w:r>
      <w:r w:rsidR="00B60F65" w:rsidRPr="00E77A0A">
        <w:t>(sk. Kriminālprocesa likuma 125.</w:t>
      </w:r>
      <w:r w:rsidR="00BC23B6">
        <w:t> </w:t>
      </w:r>
      <w:r w:rsidR="00B60F65" w:rsidRPr="00E77A0A">
        <w:t>pantu)</w:t>
      </w:r>
      <w:r w:rsidR="00EF2D4C" w:rsidRPr="00E77A0A">
        <w:t>, un tādēļ to nevar izmantot</w:t>
      </w:r>
      <w:r>
        <w:t xml:space="preserve"> kā argumentu</w:t>
      </w:r>
      <w:r w:rsidR="00EF2D4C" w:rsidRPr="00E77A0A">
        <w:t>, lai atbrīvotu procesa virzītāju no pierādīšanas pienākuma</w:t>
      </w:r>
      <w:r w:rsidR="00B60F65">
        <w:t>.</w:t>
      </w:r>
      <w:r w:rsidR="00EF2D4C" w:rsidRPr="00E77A0A">
        <w:t xml:space="preserve"> </w:t>
      </w:r>
    </w:p>
    <w:bookmarkEnd w:id="60"/>
    <w:p w14:paraId="6BDCF1EC" w14:textId="31B394CD" w:rsidR="0072324B" w:rsidRPr="00A8717D" w:rsidRDefault="00A12683" w:rsidP="001C4A5F">
      <w:pPr>
        <w:spacing w:after="0" w:line="276" w:lineRule="auto"/>
        <w:ind w:firstLine="720"/>
        <w:jc w:val="both"/>
      </w:pPr>
      <w:r w:rsidRPr="00A8717D">
        <w:t>Turklāt</w:t>
      </w:r>
      <w:r w:rsidR="007C2771" w:rsidRPr="00A8717D">
        <w:t xml:space="preserve"> </w:t>
      </w:r>
      <w:r w:rsidR="00AE2149" w:rsidRPr="00A8717D">
        <w:t xml:space="preserve">Senāts </w:t>
      </w:r>
      <w:r w:rsidR="000A7274" w:rsidRPr="00A8717D">
        <w:t>vērš uzmanību uz to</w:t>
      </w:r>
      <w:r w:rsidR="00BD5315" w:rsidRPr="00A8717D">
        <w:t xml:space="preserve">, ka </w:t>
      </w:r>
      <w:r w:rsidR="00CC06BC">
        <w:t>[pers. B]</w:t>
      </w:r>
      <w:r w:rsidR="00B525C2" w:rsidRPr="00A8717D">
        <w:t xml:space="preserve"> šajā lietā n</w:t>
      </w:r>
      <w:r w:rsidRPr="00A8717D">
        <w:t>etika</w:t>
      </w:r>
      <w:r w:rsidR="00B525C2" w:rsidRPr="00A8717D">
        <w:t xml:space="preserve"> saukta pie kriminālatbildības par otr</w:t>
      </w:r>
      <w:r w:rsidRPr="00A8717D">
        <w:t>ā</w:t>
      </w:r>
      <w:r w:rsidR="00B525C2" w:rsidRPr="00A8717D">
        <w:t xml:space="preserve"> noziegum</w:t>
      </w:r>
      <w:r w:rsidRPr="00A8717D">
        <w:t>a</w:t>
      </w:r>
      <w:r w:rsidR="00B525C2" w:rsidRPr="00A8717D">
        <w:t xml:space="preserve"> </w:t>
      </w:r>
      <w:r w:rsidRPr="00A8717D">
        <w:t>– izvairīšanās no nodokļu nomaksas – atbalstīšanu</w:t>
      </w:r>
      <w:r w:rsidR="0072324B" w:rsidRPr="00A8717D">
        <w:t xml:space="preserve">, un, </w:t>
      </w:r>
      <w:r w:rsidRPr="00A8717D">
        <w:t xml:space="preserve">kā norādīts </w:t>
      </w:r>
      <w:r w:rsidR="00CC06BC">
        <w:t>[pers. A]</w:t>
      </w:r>
      <w:r w:rsidRPr="00A8717D">
        <w:t xml:space="preserve"> un </w:t>
      </w:r>
      <w:r w:rsidR="0006173E">
        <w:t>[pers. C]</w:t>
      </w:r>
      <w:r w:rsidRPr="00A8717D">
        <w:t xml:space="preserve"> celtajā apsūdzībā, </w:t>
      </w:r>
      <w:r w:rsidR="0072324B" w:rsidRPr="00A8717D">
        <w:t>kurā</w:t>
      </w:r>
      <w:r w:rsidRPr="00A8717D">
        <w:t xml:space="preserve"> viņi attaisnoti, </w:t>
      </w:r>
      <w:r w:rsidR="001101A9" w:rsidRPr="00A8717D">
        <w:t xml:space="preserve">grāmatvede nezināja </w:t>
      </w:r>
      <w:r w:rsidR="00B525C2" w:rsidRPr="00A8717D">
        <w:t>par</w:t>
      </w:r>
      <w:r w:rsidRPr="00A8717D">
        <w:t xml:space="preserve"> </w:t>
      </w:r>
      <w:r w:rsidR="00B525C2" w:rsidRPr="00A8717D">
        <w:t xml:space="preserve">apsūdzībā </w:t>
      </w:r>
      <w:r w:rsidR="0072324B" w:rsidRPr="00A8717D">
        <w:t>minētā</w:t>
      </w:r>
      <w:r w:rsidR="00B525C2" w:rsidRPr="00A8717D">
        <w:t xml:space="preserve"> darījuma ekonomisko saturu un būtību. </w:t>
      </w:r>
    </w:p>
    <w:p w14:paraId="65C039A3" w14:textId="0805EFB2" w:rsidR="000A7274" w:rsidRPr="00A8717D" w:rsidRDefault="001101A9" w:rsidP="001C4A5F">
      <w:pPr>
        <w:spacing w:after="0" w:line="276" w:lineRule="auto"/>
        <w:ind w:firstLine="720"/>
        <w:jc w:val="both"/>
      </w:pPr>
      <w:r w:rsidRPr="00A8717D">
        <w:t>Tātad</w:t>
      </w:r>
      <w:r w:rsidR="001C4A5F" w:rsidRPr="00A8717D">
        <w:t xml:space="preserve"> iemesls, kura dēļ prokurors</w:t>
      </w:r>
      <w:r w:rsidR="00EF2D4C" w:rsidRPr="00A8717D">
        <w:t xml:space="preserve"> </w:t>
      </w:r>
      <w:r w:rsidRPr="00A8717D">
        <w:t>SIA</w:t>
      </w:r>
      <w:r w:rsidR="00BC23B6">
        <w:t> </w:t>
      </w:r>
      <w:r w:rsidR="00B33787" w:rsidRPr="00A8717D">
        <w:t>„</w:t>
      </w:r>
      <w:r w:rsidR="0067609C">
        <w:t>[Nosaukums A]</w:t>
      </w:r>
      <w:r w:rsidRPr="00A8717D">
        <w:t xml:space="preserve">” grāmatvedei neizvirzīja </w:t>
      </w:r>
      <w:r w:rsidR="001C4A5F" w:rsidRPr="00A8717D">
        <w:t>apsūdzību par otr</w:t>
      </w:r>
      <w:r w:rsidR="0072324B" w:rsidRPr="00A8717D">
        <w:t>u</w:t>
      </w:r>
      <w:r w:rsidR="001C4A5F" w:rsidRPr="00A8717D">
        <w:t xml:space="preserve"> noziegumu, </w:t>
      </w:r>
      <w:r w:rsidR="00412B67" w:rsidRPr="00A8717D">
        <w:t>ir</w:t>
      </w:r>
      <w:r w:rsidR="001C4A5F" w:rsidRPr="00A8717D">
        <w:t xml:space="preserve"> pretrunā ar tiesas secinājumu, ka </w:t>
      </w:r>
      <w:r w:rsidR="00CC06BC">
        <w:t>[pers. B]</w:t>
      </w:r>
      <w:r w:rsidR="00B60F65" w:rsidRPr="00A8717D">
        <w:t>, būdama grāmatvede,</w:t>
      </w:r>
      <w:r w:rsidR="001C4A5F" w:rsidRPr="00A8717D">
        <w:t xml:space="preserve"> nevarēja kļūdīties </w:t>
      </w:r>
      <w:r w:rsidR="000A7274" w:rsidRPr="00A8717D">
        <w:t>tikai tāpēc, ka ikdienā strādā</w:t>
      </w:r>
      <w:r w:rsidRPr="00A8717D">
        <w:t>ja</w:t>
      </w:r>
      <w:r w:rsidR="000A7274" w:rsidRPr="00A8717D">
        <w:t xml:space="preserve"> uzņēmumā.</w:t>
      </w:r>
    </w:p>
    <w:p w14:paraId="0522427B" w14:textId="49535800" w:rsidR="0072324B" w:rsidRPr="00A8717D" w:rsidRDefault="0072324B" w:rsidP="0072324B">
      <w:pPr>
        <w:spacing w:after="0" w:line="276" w:lineRule="auto"/>
        <w:ind w:firstLine="720"/>
        <w:jc w:val="both"/>
      </w:pPr>
      <w:r w:rsidRPr="00A8717D">
        <w:t>Tiesa nav vērtējusi minētās pretrunas nozīmi un nav pamatojusi, kādēļ tas nevar ietekmēt secinājumu par grāmatvedes kļūdīšanās neiespējamību.</w:t>
      </w:r>
    </w:p>
    <w:p w14:paraId="09D83101" w14:textId="516046CD" w:rsidR="0053215C" w:rsidRPr="007C2771" w:rsidRDefault="00A12683" w:rsidP="0053215C">
      <w:pPr>
        <w:spacing w:after="0" w:line="276" w:lineRule="auto"/>
        <w:ind w:firstLine="720"/>
        <w:jc w:val="both"/>
      </w:pPr>
      <w:bookmarkStart w:id="61" w:name="_Hlk206250581"/>
      <w:bookmarkEnd w:id="58"/>
      <w:bookmarkEnd w:id="59"/>
      <w:r w:rsidRPr="007C2771">
        <w:t>[14.3.</w:t>
      </w:r>
      <w:r w:rsidR="001101A9" w:rsidRPr="007C2771">
        <w:t>8</w:t>
      </w:r>
      <w:r w:rsidRPr="007C2771">
        <w:t xml:space="preserve">] </w:t>
      </w:r>
      <w:bookmarkStart w:id="62" w:name="_Hlk208308566"/>
      <w:r w:rsidRPr="007C2771">
        <w:t xml:space="preserve">Tiesa nav izvērtējusi arī </w:t>
      </w:r>
      <w:r w:rsidR="0053215C" w:rsidRPr="007C2771">
        <w:t xml:space="preserve">vairākus </w:t>
      </w:r>
      <w:r w:rsidR="00867266" w:rsidRPr="007C2771">
        <w:t xml:space="preserve">citus </w:t>
      </w:r>
      <w:r w:rsidR="0053215C" w:rsidRPr="007C2771">
        <w:t>apstākļus</w:t>
      </w:r>
      <w:r w:rsidRPr="007C2771">
        <w:t>, kuriem var</w:t>
      </w:r>
      <w:r w:rsidR="0053215C" w:rsidRPr="007C2771">
        <w:t>ēja</w:t>
      </w:r>
      <w:r w:rsidRPr="007C2771">
        <w:t xml:space="preserve"> būt nozīme, pārbaudot</w:t>
      </w:r>
      <w:r w:rsidR="0053215C" w:rsidRPr="007C2771">
        <w:t xml:space="preserve">, vai </w:t>
      </w:r>
      <w:r w:rsidR="002F405C" w:rsidRPr="007C2771">
        <w:t>„</w:t>
      </w:r>
      <w:r w:rsidR="0067609C">
        <w:t>[Nosaukums B]</w:t>
      </w:r>
      <w:r w:rsidR="002F405C" w:rsidRPr="007C2771">
        <w:t xml:space="preserve">” </w:t>
      </w:r>
      <w:r w:rsidR="0053215C" w:rsidRPr="007C2771">
        <w:t>rēķin</w:t>
      </w:r>
      <w:r w:rsidR="00C15F9E" w:rsidRPr="007C2771">
        <w:t>ā</w:t>
      </w:r>
      <w:r w:rsidR="0053215C" w:rsidRPr="007C2771">
        <w:t xml:space="preserve"> </w:t>
      </w:r>
      <w:r w:rsidR="00C15F9E" w:rsidRPr="007C2771">
        <w:t xml:space="preserve">norādītās summas </w:t>
      </w:r>
      <w:r w:rsidR="0053215C" w:rsidRPr="007C2771">
        <w:t>iekļaušan</w:t>
      </w:r>
      <w:r w:rsidR="00C15F9E" w:rsidRPr="007C2771">
        <w:t>a</w:t>
      </w:r>
      <w:r w:rsidR="0053215C" w:rsidRPr="007C2771">
        <w:t xml:space="preserve"> </w:t>
      </w:r>
      <w:r w:rsidR="00C15F9E" w:rsidRPr="00B60F65">
        <w:t>SIA</w:t>
      </w:r>
      <w:r w:rsidR="00A8717D">
        <w:t> </w:t>
      </w:r>
      <w:r w:rsidR="00C15F9E" w:rsidRPr="00B60F65">
        <w:t>„</w:t>
      </w:r>
      <w:r w:rsidR="0067609C">
        <w:t>[Nosaukums A]</w:t>
      </w:r>
      <w:r w:rsidR="00C15F9E" w:rsidRPr="00B60F65">
        <w:t xml:space="preserve">” izdevumos </w:t>
      </w:r>
      <w:r w:rsidR="0053215C" w:rsidRPr="007C2771">
        <w:t>varēja būt kļūdas rezultāts</w:t>
      </w:r>
      <w:r w:rsidR="00867266" w:rsidRPr="007C2771">
        <w:t>.</w:t>
      </w:r>
    </w:p>
    <w:bookmarkEnd w:id="62"/>
    <w:p w14:paraId="410F5163" w14:textId="18AD567A" w:rsidR="0053215C" w:rsidRPr="007C2771" w:rsidRDefault="0053215C" w:rsidP="0053215C">
      <w:pPr>
        <w:spacing w:after="0" w:line="276" w:lineRule="auto"/>
        <w:ind w:firstLine="720"/>
        <w:jc w:val="both"/>
      </w:pPr>
      <w:r w:rsidRPr="007C2771">
        <w:t xml:space="preserve">Pirmkārt, tiesa nav analizējusi </w:t>
      </w:r>
      <w:r w:rsidR="0072324B" w:rsidRPr="00B60F65">
        <w:t>SIA</w:t>
      </w:r>
      <w:r w:rsidR="00BC23B6">
        <w:t> </w:t>
      </w:r>
      <w:r w:rsidR="0072324B" w:rsidRPr="00B60F65">
        <w:t>„</w:t>
      </w:r>
      <w:r w:rsidR="0067609C">
        <w:t>[Nosaukums A]</w:t>
      </w:r>
      <w:r w:rsidR="0072324B" w:rsidRPr="00B60F65">
        <w:t>”</w:t>
      </w:r>
      <w:r w:rsidRPr="007C2771">
        <w:t xml:space="preserve"> ikdienas darījumu apjomu.</w:t>
      </w:r>
    </w:p>
    <w:p w14:paraId="0BDDB462" w14:textId="53C6AB8D" w:rsidR="0053215C" w:rsidRPr="007C2771" w:rsidRDefault="001101A9" w:rsidP="001101A9">
      <w:pPr>
        <w:spacing w:after="0" w:line="276" w:lineRule="auto"/>
        <w:ind w:firstLine="720"/>
        <w:jc w:val="both"/>
      </w:pPr>
      <w:r w:rsidRPr="007C2771">
        <w:t>Vērtējot šo apstākli, bija jāņem vērā, ka gadījumā, ja</w:t>
      </w:r>
      <w:r w:rsidR="0053215C" w:rsidRPr="007C2771">
        <w:t xml:space="preserve"> darījumu skaits ir ievērojams, grāmatvedības kļūdu iespējamība palielinās, savukārt neliels darījumu skaits šādas kļūdas padara mazāk ticamas. </w:t>
      </w:r>
    </w:p>
    <w:p w14:paraId="0A596FB7" w14:textId="24F1C252" w:rsidR="00867266" w:rsidRPr="007C2771" w:rsidRDefault="0053215C" w:rsidP="00BC23B6">
      <w:pPr>
        <w:spacing w:after="0" w:line="276" w:lineRule="auto"/>
        <w:ind w:firstLine="720"/>
        <w:jc w:val="both"/>
      </w:pPr>
      <w:r w:rsidRPr="007C2771">
        <w:t xml:space="preserve">Otrkārt, tiesa nav ņēmusi vērā apsūdzētās </w:t>
      </w:r>
      <w:r w:rsidR="00CC06BC">
        <w:t>[pers. B]</w:t>
      </w:r>
      <w:r w:rsidR="00867266" w:rsidRPr="007C2771">
        <w:t xml:space="preserve"> </w:t>
      </w:r>
      <w:r w:rsidRPr="007C2771">
        <w:t>liecības, ka pievienotās vērtības nodokļa deklarācijā par 2017.</w:t>
      </w:r>
      <w:r w:rsidR="00BC23B6">
        <w:t> </w:t>
      </w:r>
      <w:r w:rsidRPr="007C2771">
        <w:t xml:space="preserve">gada decembri darījums ar </w:t>
      </w:r>
      <w:r w:rsidR="002F405C" w:rsidRPr="007C2771">
        <w:t>„</w:t>
      </w:r>
      <w:r w:rsidR="0067609C">
        <w:t>[Nosaukums B]</w:t>
      </w:r>
      <w:r w:rsidR="002F405C" w:rsidRPr="007C2771">
        <w:t>”</w:t>
      </w:r>
      <w:r w:rsidR="00A8717D">
        <w:t xml:space="preserve"> </w:t>
      </w:r>
      <w:r w:rsidRPr="007C2771">
        <w:t>n</w:t>
      </w:r>
      <w:r w:rsidR="00867266" w:rsidRPr="007C2771">
        <w:t>etika</w:t>
      </w:r>
      <w:r w:rsidRPr="007C2771">
        <w:t xml:space="preserve"> norādīts (</w:t>
      </w:r>
      <w:r w:rsidRPr="007C2771">
        <w:rPr>
          <w:i/>
          <w:iCs/>
        </w:rPr>
        <w:t>lietas 7.</w:t>
      </w:r>
      <w:r w:rsidR="00BC23B6">
        <w:rPr>
          <w:i/>
          <w:iCs/>
        </w:rPr>
        <w:t> </w:t>
      </w:r>
      <w:r w:rsidRPr="007C2771">
        <w:rPr>
          <w:i/>
          <w:iCs/>
        </w:rPr>
        <w:t>sējuma 141.</w:t>
      </w:r>
      <w:r w:rsidR="00BC23B6">
        <w:rPr>
          <w:i/>
          <w:iCs/>
        </w:rPr>
        <w:t> </w:t>
      </w:r>
      <w:r w:rsidRPr="007C2771">
        <w:rPr>
          <w:i/>
          <w:iCs/>
        </w:rPr>
        <w:t>lapa</w:t>
      </w:r>
      <w:r w:rsidRPr="007C2771">
        <w:t>).</w:t>
      </w:r>
    </w:p>
    <w:p w14:paraId="23CF0F31" w14:textId="1AAEC950" w:rsidR="0053215C" w:rsidRPr="007C2771" w:rsidRDefault="00FC6424" w:rsidP="0053215C">
      <w:pPr>
        <w:spacing w:after="0" w:line="276" w:lineRule="auto"/>
        <w:ind w:firstLine="720"/>
        <w:jc w:val="both"/>
      </w:pPr>
      <w:r w:rsidRPr="007C2771">
        <w:t xml:space="preserve">Vērtējot šo apstākli, </w:t>
      </w:r>
      <w:r w:rsidR="0072324B">
        <w:t xml:space="preserve">tiesai </w:t>
      </w:r>
      <w:r w:rsidRPr="007C2771">
        <w:t>bija jāņem vērā, ka gadījumā, j</w:t>
      </w:r>
      <w:r w:rsidR="0053215C" w:rsidRPr="007C2771">
        <w:t>a darījums nepamatoti iekļauts tikai vienā no savstarpēji saistītām nodokļu deklarācijām, tas drīzāk var liecināt par kļūdu, ja vien no citiem pierādījumiem neizriet pretējais.</w:t>
      </w:r>
    </w:p>
    <w:p w14:paraId="576FFC8E" w14:textId="3FC7C540" w:rsidR="00D850D1" w:rsidRPr="007C2771" w:rsidRDefault="00D850D1" w:rsidP="00D850D1">
      <w:pPr>
        <w:spacing w:after="0" w:line="276" w:lineRule="auto"/>
        <w:ind w:firstLine="720"/>
        <w:jc w:val="both"/>
      </w:pPr>
      <w:r w:rsidRPr="007C2771">
        <w:t>[14.3.</w:t>
      </w:r>
      <w:r w:rsidR="001101A9" w:rsidRPr="007C2771">
        <w:t>9</w:t>
      </w:r>
      <w:r w:rsidRPr="007C2771">
        <w:t xml:space="preserve">] Ņemot vērā </w:t>
      </w:r>
      <w:r w:rsidR="00923688" w:rsidRPr="007C2771">
        <w:t>iepriekš konstatētos</w:t>
      </w:r>
      <w:r w:rsidRPr="007C2771">
        <w:t xml:space="preserve"> pārkāpumus pierādījumu vērtēšanā, </w:t>
      </w:r>
      <w:r w:rsidR="00923688" w:rsidRPr="007C2771">
        <w:t xml:space="preserve">Senāts atzīst, ka </w:t>
      </w:r>
      <w:r w:rsidRPr="007C2771">
        <w:t>tiesa priekšlaicīgi</w:t>
      </w:r>
      <w:r w:rsidR="00923688" w:rsidRPr="007C2771">
        <w:t xml:space="preserve"> </w:t>
      </w:r>
      <w:r w:rsidRPr="007C2771">
        <w:t xml:space="preserve">noraidījusi </w:t>
      </w:r>
      <w:r w:rsidR="00923688" w:rsidRPr="007C2771">
        <w:t xml:space="preserve">arī </w:t>
      </w:r>
      <w:r w:rsidRPr="007C2771">
        <w:t>apsūdzēto izvirzītos argumentus par</w:t>
      </w:r>
      <w:r w:rsidR="00B33787" w:rsidRPr="007C2771">
        <w:t>:</w:t>
      </w:r>
      <w:r w:rsidRPr="007C2771">
        <w:t xml:space="preserve"> 1)</w:t>
      </w:r>
      <w:r w:rsidR="00BC23B6">
        <w:t> </w:t>
      </w:r>
      <w:r w:rsidRPr="007C2771">
        <w:t>paļaušanos uz revidentes veikto pārbaudi</w:t>
      </w:r>
      <w:r w:rsidR="00B33787" w:rsidRPr="007C2771">
        <w:t>;</w:t>
      </w:r>
      <w:r w:rsidRPr="007C2771">
        <w:t xml:space="preserve"> 2)</w:t>
      </w:r>
      <w:r w:rsidR="00BC23B6">
        <w:t> </w:t>
      </w:r>
      <w:r w:rsidRPr="007C2771">
        <w:t>kļūdas labošanu deklarācijā un nodokļa samaksu pēc kriminālprocesa uzsākšanas.</w:t>
      </w:r>
    </w:p>
    <w:p w14:paraId="42BD3558" w14:textId="4A7174F1" w:rsidR="00493113" w:rsidRPr="002E1999" w:rsidRDefault="00B60F65" w:rsidP="00493113">
      <w:pPr>
        <w:spacing w:after="0" w:line="276" w:lineRule="auto"/>
        <w:ind w:firstLine="720"/>
        <w:jc w:val="both"/>
      </w:pPr>
      <w:bookmarkStart w:id="63" w:name="_Hlk214297675"/>
      <w:r w:rsidRPr="007C2771">
        <w:t>T</w:t>
      </w:r>
      <w:r w:rsidR="00D850D1" w:rsidRPr="007C2771">
        <w:t xml:space="preserve">iesa nav ņēmusi vērā, ka šo </w:t>
      </w:r>
      <w:r w:rsidR="00C15F9E" w:rsidRPr="007C2771">
        <w:t xml:space="preserve">aizstāvības </w:t>
      </w:r>
      <w:r w:rsidR="00D850D1" w:rsidRPr="007C2771">
        <w:t xml:space="preserve">argumentu nozīmība ir atkarīga no pierādījumu kopuma par nodoma esību: </w:t>
      </w:r>
      <w:r w:rsidR="00285D8B" w:rsidRPr="002E1999">
        <w:t xml:space="preserve">jo pārliecinošāki ir pierādījumi par nodomu </w:t>
      </w:r>
      <w:r w:rsidR="00285D8B" w:rsidRPr="002E1999">
        <w:lastRenderedPageBreak/>
        <w:t xml:space="preserve">izvairīties no </w:t>
      </w:r>
      <w:r w:rsidR="00285D8B" w:rsidRPr="00493113">
        <w:t xml:space="preserve">nodokļu nomaksas, jo mazāka nozīme ir šiem argumentiem, </w:t>
      </w:r>
      <w:r w:rsidR="00493113" w:rsidRPr="00493113">
        <w:t xml:space="preserve">savukārt, ja pierādījumi ir mazāk pārliecinoši, šie argumenti var </w:t>
      </w:r>
      <w:r w:rsidR="00493113">
        <w:t>iegūt</w:t>
      </w:r>
      <w:r w:rsidR="00493113" w:rsidRPr="00493113">
        <w:t xml:space="preserve"> lielāku nozīmi nodoma neesības pamatošanā.</w:t>
      </w:r>
    </w:p>
    <w:bookmarkEnd w:id="63"/>
    <w:p w14:paraId="2B1F810A" w14:textId="2A2A5249" w:rsidR="00923688" w:rsidRPr="007C2771" w:rsidRDefault="00923688" w:rsidP="00923688">
      <w:pPr>
        <w:spacing w:after="0" w:line="276" w:lineRule="auto"/>
        <w:ind w:firstLine="720"/>
        <w:jc w:val="both"/>
      </w:pPr>
      <w:r w:rsidRPr="007C2771">
        <w:t xml:space="preserve">Vispusīgi neizvērtējot </w:t>
      </w:r>
      <w:r w:rsidR="00D850D1" w:rsidRPr="007C2771">
        <w:t>pierādījumus par apsūdzēto subjektīvo pusi</w:t>
      </w:r>
      <w:r w:rsidRPr="007C2771">
        <w:t xml:space="preserve">, </w:t>
      </w:r>
      <w:r w:rsidR="00493113">
        <w:t>šo</w:t>
      </w:r>
      <w:r w:rsidRPr="007C2771">
        <w:t xml:space="preserve"> aizstāvības argumentu atstāšana bez ievērības </w:t>
      </w:r>
      <w:r w:rsidR="00FC6424" w:rsidRPr="007C2771">
        <w:t>ir vērtējama kā priekšlaicīga.</w:t>
      </w:r>
    </w:p>
    <w:p w14:paraId="0F48FD7E" w14:textId="787B1B73" w:rsidR="001101A9" w:rsidRPr="007C2771" w:rsidRDefault="001101A9" w:rsidP="005C14CE">
      <w:pPr>
        <w:spacing w:after="0" w:line="276" w:lineRule="auto"/>
        <w:ind w:firstLine="720"/>
        <w:jc w:val="both"/>
      </w:pPr>
      <w:r w:rsidRPr="007C2771">
        <w:rPr>
          <w:rFonts w:eastAsia="Calibri" w:cs="Times New Roman"/>
        </w:rPr>
        <w:t xml:space="preserve">[14.3.10] </w:t>
      </w:r>
      <w:r w:rsidRPr="007C2771">
        <w:t xml:space="preserve">Apelācijas instances tiesa daļu no pierādījumiem spriedumā ir tikai </w:t>
      </w:r>
      <w:r w:rsidR="005C14CE" w:rsidRPr="007C2771">
        <w:t>izklāstījusi (</w:t>
      </w:r>
      <w:r w:rsidR="005C14CE" w:rsidRPr="007C2771">
        <w:rPr>
          <w:i/>
          <w:iCs/>
        </w:rPr>
        <w:t>sk. pierādījumu uzskaitījumu sprieduma 6.–9. lappusē</w:t>
      </w:r>
      <w:r w:rsidR="005C14CE" w:rsidRPr="007C2771">
        <w:t>)</w:t>
      </w:r>
      <w:r w:rsidRPr="007C2771">
        <w:t>, bet nav norādījusi, kuri no tiem atzīti par ticamiem un kādu apsvērumu dēļ, un kādi fakti ar šiem pierādījumiem ir noskaidroti.</w:t>
      </w:r>
    </w:p>
    <w:p w14:paraId="71F8AC1B" w14:textId="351AA00A" w:rsidR="00DE1D7C" w:rsidRPr="007C2771" w:rsidRDefault="00DE1D7C" w:rsidP="00DE1D7C">
      <w:pPr>
        <w:spacing w:after="0" w:line="276" w:lineRule="auto"/>
        <w:ind w:firstLine="720"/>
        <w:jc w:val="both"/>
        <w:rPr>
          <w:shd w:val="clear" w:color="auto" w:fill="FFFFFF"/>
        </w:rPr>
      </w:pPr>
      <w:r w:rsidRPr="007C2771">
        <w:t>Tādējādi tiesa nav ievērojusi prasību, ka tiesai ir jā</w:t>
      </w:r>
      <w:r w:rsidR="00493113">
        <w:t>norāda</w:t>
      </w:r>
      <w:r w:rsidRPr="007C2771">
        <w:t xml:space="preserve"> konkrētas ziņas par faktiem, kas iegūtas no lietā nopratināto personu liecībām un citiem pierādījumiem, norādot, ko tieši ar šīm ziņām par faktiem tiesa atzīst par pierādītu (</w:t>
      </w:r>
      <w:bookmarkStart w:id="64" w:name="_Hlk217307077"/>
      <w:r w:rsidRPr="007C2771">
        <w:rPr>
          <w:i/>
          <w:iCs/>
        </w:rPr>
        <w:t>Senāta 2021. gada 26.</w:t>
      </w:r>
      <w:r w:rsidR="00BC23B6">
        <w:rPr>
          <w:i/>
          <w:iCs/>
        </w:rPr>
        <w:t> </w:t>
      </w:r>
      <w:r w:rsidRPr="007C2771">
        <w:rPr>
          <w:i/>
          <w:iCs/>
        </w:rPr>
        <w:t>februāra lēmumā lietā Nr. SKK-4/2021</w:t>
      </w:r>
      <w:r w:rsidRPr="007C2771">
        <w:rPr>
          <w:i/>
          <w:iCs/>
          <w:shd w:val="clear" w:color="auto" w:fill="FFFFFF"/>
        </w:rPr>
        <w:t xml:space="preserve">, </w:t>
      </w:r>
      <w:hyperlink r:id="rId20" w:history="1">
        <w:r w:rsidRPr="007C2771">
          <w:rPr>
            <w:rStyle w:val="Hyperlink"/>
            <w:i/>
            <w:iCs/>
            <w:color w:val="auto"/>
            <w:u w:val="none"/>
            <w:shd w:val="clear" w:color="auto" w:fill="FFFFFF"/>
          </w:rPr>
          <w:t>ECLI:LV:AT:2021:0226.15830014213.11.L</w:t>
        </w:r>
      </w:hyperlink>
      <w:r w:rsidRPr="007C2771">
        <w:rPr>
          <w:i/>
          <w:iCs/>
          <w:shd w:val="clear" w:color="auto" w:fill="FFFFFF"/>
        </w:rPr>
        <w:t>, 9.1. punkts</w:t>
      </w:r>
      <w:r w:rsidRPr="007C2771">
        <w:rPr>
          <w:shd w:val="clear" w:color="auto" w:fill="FFFFFF"/>
        </w:rPr>
        <w:t>).</w:t>
      </w:r>
    </w:p>
    <w:bookmarkEnd w:id="64"/>
    <w:p w14:paraId="331C0A2C" w14:textId="6D3F5635" w:rsidR="005C14CE" w:rsidRPr="007C2771" w:rsidRDefault="005C14CE" w:rsidP="00896EA0">
      <w:pPr>
        <w:spacing w:after="0" w:line="276" w:lineRule="auto"/>
        <w:ind w:firstLine="720"/>
        <w:jc w:val="both"/>
      </w:pPr>
      <w:r w:rsidRPr="007C2771">
        <w:t xml:space="preserve">Lai gan, noslēdzot pierādījumu </w:t>
      </w:r>
      <w:r w:rsidR="00493113">
        <w:t xml:space="preserve">izklāstu tiesa sprieduma </w:t>
      </w:r>
      <w:r w:rsidR="0084481D">
        <w:t>10</w:t>
      </w:r>
      <w:r w:rsidR="00493113">
        <w:t>. lappusē</w:t>
      </w:r>
      <w:r w:rsidRPr="007C2771">
        <w:t xml:space="preserve"> norādījusi, ka pierādījumi nešaubīgi atklāj, ka </w:t>
      </w:r>
      <w:r w:rsidR="00CC06BC">
        <w:t>[pers. A]</w:t>
      </w:r>
      <w:r w:rsidRPr="007C2771">
        <w:t xml:space="preserve"> ar </w:t>
      </w:r>
      <w:r w:rsidR="00CC06BC">
        <w:t>[pers. B]</w:t>
      </w:r>
      <w:r w:rsidRPr="007C2771">
        <w:t xml:space="preserve"> atbalstu apzināti iekļāva </w:t>
      </w:r>
      <w:r w:rsidR="00B60F65" w:rsidRPr="007C2771">
        <w:t>SIA</w:t>
      </w:r>
      <w:r w:rsidR="00896EA0">
        <w:t> </w:t>
      </w:r>
      <w:r w:rsidRPr="007C2771">
        <w:t>„</w:t>
      </w:r>
      <w:r w:rsidR="0067609C">
        <w:t>[Nosaukums A]</w:t>
      </w:r>
      <w:r w:rsidRPr="007C2771">
        <w:t xml:space="preserve">” grāmatvedības dokumentos </w:t>
      </w:r>
      <w:r w:rsidR="002F405C" w:rsidRPr="007C2771">
        <w:t>„</w:t>
      </w:r>
      <w:r w:rsidR="0067609C">
        <w:t>[Nosaukums B]</w:t>
      </w:r>
      <w:r w:rsidR="002F405C" w:rsidRPr="007C2771">
        <w:t>”</w:t>
      </w:r>
      <w:r w:rsidRPr="007C2771">
        <w:t xml:space="preserve"> avansa rēķinu</w:t>
      </w:r>
      <w:r w:rsidRPr="007C2771">
        <w:rPr>
          <w:i/>
          <w:iCs/>
        </w:rPr>
        <w:t xml:space="preserve">, </w:t>
      </w:r>
      <w:r w:rsidRPr="007C2771">
        <w:t>tomēr šim secinājumam trūkst skaidras, loģiski izsekojamas sasaistes ar iepriekš izklāstīt</w:t>
      </w:r>
      <w:r w:rsidR="00493113">
        <w:t>o</w:t>
      </w:r>
      <w:r w:rsidRPr="007C2771">
        <w:t xml:space="preserve"> pierādījum</w:t>
      </w:r>
      <w:r w:rsidR="00493113">
        <w:t>u saturu</w:t>
      </w:r>
      <w:r w:rsidRPr="007C2771">
        <w:t>.</w:t>
      </w:r>
    </w:p>
    <w:bookmarkEnd w:id="48"/>
    <w:bookmarkEnd w:id="61"/>
    <w:bookmarkEnd w:id="41"/>
    <w:bookmarkEnd w:id="54"/>
    <w:p w14:paraId="1E2B7135" w14:textId="13F7667F" w:rsidR="00BB100A" w:rsidRDefault="001D281D" w:rsidP="00BB100A">
      <w:pPr>
        <w:spacing w:after="0" w:line="276" w:lineRule="auto"/>
        <w:ind w:firstLine="720"/>
        <w:jc w:val="both"/>
        <w:rPr>
          <w:color w:val="000000" w:themeColor="text1"/>
        </w:rPr>
      </w:pPr>
      <w:r>
        <w:rPr>
          <w:color w:val="000000" w:themeColor="text1"/>
        </w:rPr>
        <w:t>[</w:t>
      </w:r>
      <w:r w:rsidR="001B2FC7">
        <w:rPr>
          <w:color w:val="000000" w:themeColor="text1"/>
        </w:rPr>
        <w:t>1</w:t>
      </w:r>
      <w:r w:rsidR="00B653D6">
        <w:rPr>
          <w:color w:val="000000" w:themeColor="text1"/>
        </w:rPr>
        <w:t>4</w:t>
      </w:r>
      <w:r w:rsidR="00E82F7F">
        <w:rPr>
          <w:color w:val="000000" w:themeColor="text1"/>
        </w:rPr>
        <w:t>.</w:t>
      </w:r>
      <w:r w:rsidR="006273D1">
        <w:rPr>
          <w:color w:val="000000" w:themeColor="text1"/>
        </w:rPr>
        <w:t>4</w:t>
      </w:r>
      <w:r>
        <w:rPr>
          <w:color w:val="000000" w:themeColor="text1"/>
        </w:rPr>
        <w:t>]</w:t>
      </w:r>
      <w:r w:rsidR="005C6C14">
        <w:rPr>
          <w:color w:val="000000" w:themeColor="text1"/>
        </w:rPr>
        <w:t xml:space="preserve"> </w:t>
      </w:r>
      <w:bookmarkStart w:id="65" w:name="_Hlk207380426"/>
      <w:r w:rsidR="005C6C14" w:rsidRPr="005C6C14">
        <w:rPr>
          <w:color w:val="000000" w:themeColor="text1"/>
        </w:rPr>
        <w:t xml:space="preserve">Rezumējot minēto, Senāts </w:t>
      </w:r>
      <w:r w:rsidR="00BB100A">
        <w:rPr>
          <w:color w:val="000000" w:themeColor="text1"/>
        </w:rPr>
        <w:t>secina</w:t>
      </w:r>
      <w:r w:rsidR="005C6C14" w:rsidRPr="005C6C14">
        <w:rPr>
          <w:color w:val="000000" w:themeColor="text1"/>
        </w:rPr>
        <w:t>, ka apelācijas instances tiesa, pieļaujot vairākas savstarpēji saistītas kļūdas pierādījumu vērtēšanā</w:t>
      </w:r>
      <w:r w:rsidR="00B9331F">
        <w:rPr>
          <w:color w:val="000000" w:themeColor="text1"/>
        </w:rPr>
        <w:t xml:space="preserve"> un sprieduma motivēšanā</w:t>
      </w:r>
      <w:r w:rsidR="005C6C14" w:rsidRPr="005C6C14">
        <w:rPr>
          <w:color w:val="000000" w:themeColor="text1"/>
        </w:rPr>
        <w:t xml:space="preserve">, ir </w:t>
      </w:r>
      <w:r w:rsidR="00D5559F">
        <w:rPr>
          <w:color w:val="000000" w:themeColor="text1"/>
        </w:rPr>
        <w:t>pārkāpusi</w:t>
      </w:r>
      <w:r w:rsidR="00D5559F" w:rsidRPr="005C6C14">
        <w:rPr>
          <w:color w:val="000000" w:themeColor="text1"/>
        </w:rPr>
        <w:t xml:space="preserve"> </w:t>
      </w:r>
      <w:r w:rsidR="005C6C14" w:rsidRPr="005C6C14">
        <w:rPr>
          <w:color w:val="000000" w:themeColor="text1"/>
        </w:rPr>
        <w:t xml:space="preserve">Kriminālprocesa likuma </w:t>
      </w:r>
      <w:r w:rsidR="00914491">
        <w:rPr>
          <w:color w:val="000000" w:themeColor="text1"/>
        </w:rPr>
        <w:t>125. </w:t>
      </w:r>
      <w:r w:rsidR="00D5559F">
        <w:rPr>
          <w:color w:val="000000" w:themeColor="text1"/>
        </w:rPr>
        <w:t>pantu</w:t>
      </w:r>
      <w:r w:rsidR="00914491">
        <w:rPr>
          <w:color w:val="000000" w:themeColor="text1"/>
        </w:rPr>
        <w:t xml:space="preserve">, </w:t>
      </w:r>
      <w:r w:rsidR="00AC12D1">
        <w:rPr>
          <w:color w:val="000000" w:themeColor="text1"/>
        </w:rPr>
        <w:t xml:space="preserve">128. panta </w:t>
      </w:r>
      <w:r w:rsidR="00D5559F">
        <w:rPr>
          <w:color w:val="000000" w:themeColor="text1"/>
        </w:rPr>
        <w:t xml:space="preserve">otro </w:t>
      </w:r>
      <w:r w:rsidR="003432E2">
        <w:rPr>
          <w:color w:val="000000" w:themeColor="text1"/>
        </w:rPr>
        <w:t xml:space="preserve">un </w:t>
      </w:r>
      <w:r w:rsidR="00D5559F">
        <w:rPr>
          <w:color w:val="000000" w:themeColor="text1"/>
        </w:rPr>
        <w:t>trešo daļu</w:t>
      </w:r>
      <w:r w:rsidR="00AC12D1">
        <w:rPr>
          <w:color w:val="000000" w:themeColor="text1"/>
        </w:rPr>
        <w:t xml:space="preserve">, 511. panta </w:t>
      </w:r>
      <w:r w:rsidR="00D5559F">
        <w:rPr>
          <w:color w:val="000000" w:themeColor="text1"/>
        </w:rPr>
        <w:t>otro daļu,</w:t>
      </w:r>
      <w:r w:rsidR="00AC12D1">
        <w:rPr>
          <w:color w:val="000000" w:themeColor="text1"/>
        </w:rPr>
        <w:t xml:space="preserve"> 527. panta otrās daļas </w:t>
      </w:r>
      <w:r w:rsidR="00BB100A">
        <w:rPr>
          <w:color w:val="000000" w:themeColor="text1"/>
        </w:rPr>
        <w:t>1. un 2. </w:t>
      </w:r>
      <w:r w:rsidR="00D5559F">
        <w:rPr>
          <w:color w:val="000000" w:themeColor="text1"/>
        </w:rPr>
        <w:t xml:space="preserve">punktu un </w:t>
      </w:r>
      <w:r w:rsidR="00BB100A">
        <w:t xml:space="preserve">564. panta </w:t>
      </w:r>
      <w:r w:rsidR="00D5559F">
        <w:t xml:space="preserve">ceturto </w:t>
      </w:r>
      <w:r w:rsidR="00BB100A">
        <w:t xml:space="preserve">un </w:t>
      </w:r>
      <w:r w:rsidR="00D5559F">
        <w:t xml:space="preserve">astoto </w:t>
      </w:r>
      <w:r w:rsidR="00BB100A">
        <w:t>daļ</w:t>
      </w:r>
      <w:r w:rsidR="00D5559F">
        <w:t>u</w:t>
      </w:r>
      <w:r w:rsidR="005C6C14" w:rsidRPr="005C6C14">
        <w:rPr>
          <w:color w:val="000000" w:themeColor="text1"/>
        </w:rPr>
        <w:t xml:space="preserve">, </w:t>
      </w:r>
      <w:r w:rsidR="00D5559F">
        <w:rPr>
          <w:color w:val="000000" w:themeColor="text1"/>
        </w:rPr>
        <w:t>kas atzīstami par</w:t>
      </w:r>
      <w:r w:rsidR="005C6C14" w:rsidRPr="005C6C14">
        <w:rPr>
          <w:color w:val="000000" w:themeColor="text1"/>
        </w:rPr>
        <w:t xml:space="preserve"> Kriminālprocesa likuma </w:t>
      </w:r>
      <w:r w:rsidR="00D5559F">
        <w:rPr>
          <w:color w:val="000000" w:themeColor="text1"/>
        </w:rPr>
        <w:t xml:space="preserve">būtiskiem pārkāpumiem šā likuma </w:t>
      </w:r>
      <w:r w:rsidR="005C6C14" w:rsidRPr="005C6C14">
        <w:rPr>
          <w:color w:val="000000" w:themeColor="text1"/>
        </w:rPr>
        <w:t>575.</w:t>
      </w:r>
      <w:r w:rsidR="00B9331F">
        <w:rPr>
          <w:color w:val="000000" w:themeColor="text1"/>
        </w:rPr>
        <w:t> </w:t>
      </w:r>
      <w:r w:rsidR="005C6C14" w:rsidRPr="005C6C14">
        <w:rPr>
          <w:color w:val="000000" w:themeColor="text1"/>
        </w:rPr>
        <w:t>panta trešās daļas izpratnē</w:t>
      </w:r>
      <w:r w:rsidR="00D5559F">
        <w:t>.</w:t>
      </w:r>
      <w:bookmarkEnd w:id="65"/>
    </w:p>
    <w:p w14:paraId="4CC5247C" w14:textId="35A30D04" w:rsidR="00C63783" w:rsidRDefault="00C63783" w:rsidP="00BC23B6">
      <w:pPr>
        <w:spacing w:after="0" w:line="276" w:lineRule="auto"/>
        <w:ind w:firstLine="720"/>
        <w:jc w:val="both"/>
        <w:rPr>
          <w:color w:val="000000" w:themeColor="text1"/>
        </w:rPr>
      </w:pPr>
      <w:r>
        <w:t xml:space="preserve">Senāts atzīst, ka pieļauto Kriminālprocesa likuma </w:t>
      </w:r>
      <w:r w:rsidR="0084481D">
        <w:t xml:space="preserve">normu </w:t>
      </w:r>
      <w:r>
        <w:t>pārkāpumu dēļ apelācijas instances tiesas spriedums atceļams daļā</w:t>
      </w:r>
      <w:r w:rsidR="00B60F65">
        <w:t xml:space="preserve">: </w:t>
      </w:r>
      <w:r>
        <w:t xml:space="preserve">par </w:t>
      </w:r>
      <w:r w:rsidR="00B60F65">
        <w:t>1)</w:t>
      </w:r>
      <w:r w:rsidR="00BC23B6">
        <w:t> </w:t>
      </w:r>
      <w:r>
        <w:t xml:space="preserve">apsūdzētā </w:t>
      </w:r>
      <w:r w:rsidR="00CC06BC">
        <w:t>[pers. A]</w:t>
      </w:r>
      <w:r>
        <w:t xml:space="preserve"> atzīšanu par </w:t>
      </w:r>
      <w:r w:rsidRPr="00E414E1">
        <w:rPr>
          <w:color w:val="000000" w:themeColor="text1"/>
        </w:rPr>
        <w:t xml:space="preserve">vainīgu un </w:t>
      </w:r>
      <w:r w:rsidR="00D5559F">
        <w:rPr>
          <w:color w:val="000000" w:themeColor="text1"/>
        </w:rPr>
        <w:t>sodīšanu</w:t>
      </w:r>
      <w:r w:rsidRPr="009A32B1">
        <w:t xml:space="preserve"> </w:t>
      </w:r>
      <w:r>
        <w:t xml:space="preserve">Krimināllikuma 218. panta otrajā daļā paredzētajā noziedzīgajā nodarījumā un </w:t>
      </w:r>
      <w:r w:rsidR="00B60F65">
        <w:t>2)</w:t>
      </w:r>
      <w:r w:rsidR="00BC23B6">
        <w:t> </w:t>
      </w:r>
      <w:r w:rsidR="00B60F65">
        <w:t xml:space="preserve">daļā par </w:t>
      </w:r>
      <w:r>
        <w:t xml:space="preserve">apsūdzētās </w:t>
      </w:r>
      <w:r w:rsidR="00CC06BC">
        <w:t>[pers. B]</w:t>
      </w:r>
      <w:r>
        <w:t xml:space="preserve"> atzīšanu par vainīgu un sodīšanu </w:t>
      </w:r>
      <w:r w:rsidRPr="009A32B1">
        <w:t xml:space="preserve">Krimināllikuma </w:t>
      </w:r>
      <w:r>
        <w:t xml:space="preserve">20. panta ceturtajā daļā un </w:t>
      </w:r>
      <w:r w:rsidRPr="009A32B1">
        <w:t>218.</w:t>
      </w:r>
      <w:r>
        <w:t> </w:t>
      </w:r>
      <w:r w:rsidRPr="009A32B1">
        <w:t xml:space="preserve">panta </w:t>
      </w:r>
      <w:r>
        <w:t>otrajā daļā paredzētajā noziedzīgajā nodarījumā</w:t>
      </w:r>
      <w:r w:rsidRPr="009A32B1">
        <w:t xml:space="preserve"> </w:t>
      </w:r>
      <w:r>
        <w:t>un lieta atceltajā daļā nosūtama jaunai izskatīšanai apelācijas instances tiesā.</w:t>
      </w:r>
    </w:p>
    <w:p w14:paraId="64497615" w14:textId="77777777" w:rsidR="00E82F7F" w:rsidRDefault="00E82F7F" w:rsidP="00BB100A">
      <w:pPr>
        <w:spacing w:after="0" w:line="276" w:lineRule="auto"/>
        <w:ind w:firstLine="720"/>
        <w:jc w:val="both"/>
        <w:rPr>
          <w:color w:val="000000" w:themeColor="text1"/>
        </w:rPr>
      </w:pPr>
    </w:p>
    <w:p w14:paraId="0F893578" w14:textId="65CD0B48" w:rsidR="003F30E8" w:rsidRDefault="003F30E8" w:rsidP="003F30E8">
      <w:pPr>
        <w:spacing w:after="0" w:line="276" w:lineRule="auto"/>
        <w:ind w:firstLine="720"/>
        <w:jc w:val="both"/>
        <w:rPr>
          <w:color w:val="000000" w:themeColor="text1"/>
        </w:rPr>
      </w:pPr>
      <w:r>
        <w:rPr>
          <w:color w:val="000000" w:themeColor="text1"/>
        </w:rPr>
        <w:t>[1</w:t>
      </w:r>
      <w:r w:rsidR="00EF2D4C">
        <w:rPr>
          <w:color w:val="000000" w:themeColor="text1"/>
        </w:rPr>
        <w:t>5</w:t>
      </w:r>
      <w:r>
        <w:rPr>
          <w:color w:val="000000" w:themeColor="text1"/>
        </w:rPr>
        <w:t>] Izskatot lietu no jauna, apelācijas instances tiesai jāņem vērā turpmāk minētais.</w:t>
      </w:r>
    </w:p>
    <w:p w14:paraId="5CCF6313" w14:textId="630F5BAF" w:rsidR="00914491" w:rsidRDefault="00914491" w:rsidP="00914491">
      <w:pPr>
        <w:spacing w:after="0" w:line="276" w:lineRule="auto"/>
        <w:ind w:firstLine="720"/>
        <w:jc w:val="both"/>
      </w:pPr>
      <w:r>
        <w:t>[1</w:t>
      </w:r>
      <w:r w:rsidR="00EF2D4C">
        <w:t>5</w:t>
      </w:r>
      <w:r>
        <w:t>.1] D</w:t>
      </w:r>
      <w:r w:rsidRPr="00AA3591">
        <w:t xml:space="preserve">okumenta </w:t>
      </w:r>
      <w:r>
        <w:t xml:space="preserve">parakstīšana </w:t>
      </w:r>
      <w:r w:rsidRPr="00AA3591">
        <w:t xml:space="preserve">pati par sevi nav pamats krimināltiesībās prezumēt, ka parakstītājs apzinājies visu dokumentā ietvertās informācijas iespējamo nepilnīgumu, neprecizitāti vai kļūdainību. </w:t>
      </w:r>
      <w:r>
        <w:t>Šāda apzināšanās ir jāpierāda. Pretēja</w:t>
      </w:r>
      <w:r w:rsidRPr="00AA3591">
        <w:t xml:space="preserve"> pieeja nozīmētu stingrās atbildības principa piemērošanu, kas nav savienojama ar vainas principu krimināltiesībās. </w:t>
      </w:r>
      <w:r w:rsidR="000A7274">
        <w:t>Saturiski nepareiza d</w:t>
      </w:r>
      <w:r>
        <w:t>okumenta parakstīšana</w:t>
      </w:r>
      <w:r w:rsidRPr="00AA3591">
        <w:t>,</w:t>
      </w:r>
      <w:r>
        <w:t xml:space="preserve"> nekonstatējot nodomu,</w:t>
      </w:r>
      <w:r w:rsidRPr="00AA3591">
        <w:t xml:space="preserve"> pie noteiktiem apstākļiem, var būt pamats citu juridiskās atbildības veidu piemērošanai – civiltiesiskai, administratīvi tiesiskai vai disciplinārai –, </w:t>
      </w:r>
      <w:r>
        <w:t>taču</w:t>
      </w:r>
      <w:r w:rsidRPr="00AA3591">
        <w:t xml:space="preserve"> </w:t>
      </w:r>
      <w:r>
        <w:t>ne nodoma prezumēšanai krimināltiesībās.</w:t>
      </w:r>
    </w:p>
    <w:p w14:paraId="1B18C2EB" w14:textId="7E635158" w:rsidR="00914491" w:rsidRDefault="00914491" w:rsidP="00914491">
      <w:pPr>
        <w:spacing w:after="0" w:line="276" w:lineRule="auto"/>
        <w:ind w:firstLine="720"/>
        <w:jc w:val="both"/>
      </w:pPr>
      <w:r w:rsidRPr="003F30E8">
        <w:t xml:space="preserve">Minētā atziņa atbilst Senāta judikatūrā jau </w:t>
      </w:r>
      <w:r w:rsidR="000A7274">
        <w:t>agrāk</w:t>
      </w:r>
      <w:r w:rsidRPr="003F30E8">
        <w:t xml:space="preserve"> paustajai atziņai par </w:t>
      </w:r>
      <w:r w:rsidR="00AE2149">
        <w:t>salīdzināmas kategorijas</w:t>
      </w:r>
      <w:r w:rsidRPr="003F30E8">
        <w:t xml:space="preserve"> noziedzīgu nodarījumu.</w:t>
      </w:r>
      <w:r>
        <w:t xml:space="preserve"> Proti, izskatot lietu apsūdzībā pēc Krimināllikuma </w:t>
      </w:r>
      <w:r>
        <w:lastRenderedPageBreak/>
        <w:t>219. panta otrās daļas</w:t>
      </w:r>
      <w:r w:rsidR="000A7274">
        <w:t xml:space="preserve"> </w:t>
      </w:r>
      <w:r>
        <w:t>par nepatiesu ziņu norādīšanu valsts amatpersonas deklarācijā, Senāts</w:t>
      </w:r>
      <w:r w:rsidR="000A7274">
        <w:t xml:space="preserve"> ir</w:t>
      </w:r>
      <w:r>
        <w:t xml:space="preserve"> noraidījis prokurora viedokli, ka noziedzīgā nodarījuma sastāva subjektīva puse neesot jāpierāda, atzīstot, ka tas ir pretrunā ar Kriminālprocesa likuma 124.</w:t>
      </w:r>
      <w:r w:rsidR="00BC23B6">
        <w:t> </w:t>
      </w:r>
      <w:r>
        <w:t>panta otro daļu, kas noteic, ka kriminālprocesā pierādāma noziedzīga nodarījuma sastāva esamība vai neesamība. Tas nozīmē, ka kriminālprocesā ir jāpierāda arī noziedzīgā nodarījuma sastāva subjektīvā puse (</w:t>
      </w:r>
      <w:bookmarkStart w:id="66" w:name="_Hlk217307169"/>
      <w:r w:rsidRPr="00592F7A">
        <w:rPr>
          <w:i/>
          <w:iCs/>
        </w:rPr>
        <w:t>Senāta 2008. gada 21. februāra lēmums lietā Nr. SKK-5/2008, 15830607606</w:t>
      </w:r>
      <w:r>
        <w:t>).</w:t>
      </w:r>
    </w:p>
    <w:bookmarkEnd w:id="66"/>
    <w:p w14:paraId="10E79520" w14:textId="1894D901" w:rsidR="00685BDD" w:rsidRDefault="0084481D" w:rsidP="00685BDD">
      <w:pPr>
        <w:spacing w:after="0" w:line="276" w:lineRule="auto"/>
        <w:ind w:firstLine="720"/>
        <w:jc w:val="both"/>
      </w:pPr>
      <w:r w:rsidRPr="0084481D">
        <w:t>Tas pats attiecas arī uz dokumenta ar nepatiesu informāciju iekļaušanu grāmatvedības reģistros</w:t>
      </w:r>
      <w:r w:rsidR="00685BDD">
        <w:t xml:space="preserve">, </w:t>
      </w:r>
      <w:r w:rsidR="00685BDD" w:rsidRPr="00685BDD">
        <w:t xml:space="preserve">jo arī šajā </w:t>
      </w:r>
      <w:r w:rsidR="00685BDD">
        <w:t>gadījumā</w:t>
      </w:r>
      <w:r w:rsidR="00685BDD" w:rsidRPr="00685BDD">
        <w:t xml:space="preserve"> nav pieļaujama nodoma prezumēšana</w:t>
      </w:r>
      <w:r w:rsidR="00685BDD">
        <w:t>.</w:t>
      </w:r>
    </w:p>
    <w:p w14:paraId="41D28310" w14:textId="43CEEB4A" w:rsidR="0084481D" w:rsidRDefault="0084481D" w:rsidP="00F446AC">
      <w:pPr>
        <w:spacing w:after="10" w:line="276" w:lineRule="auto"/>
        <w:ind w:right="6" w:firstLine="720"/>
        <w:jc w:val="both"/>
      </w:pPr>
      <w:r>
        <w:t>Ievērojot minēto, n</w:t>
      </w:r>
      <w:r w:rsidR="00285D8B" w:rsidRPr="00F24BDB">
        <w:t>odoms, parakstot nepatiesu faktu saturošu dokumentu vai iegrāmatojot šādus dokumentus, konstatējams tad, ja persona, veicot attiecīgo darbību, apzinās</w:t>
      </w:r>
      <w:r w:rsidR="00285D8B">
        <w:t xml:space="preserve"> attiecīgās</w:t>
      </w:r>
      <w:r w:rsidR="00285D8B" w:rsidRPr="00F24BDB">
        <w:t xml:space="preserve"> informācijas nepatiesumu</w:t>
      </w:r>
      <w:r w:rsidR="00285D8B">
        <w:t>.</w:t>
      </w:r>
      <w:bookmarkStart w:id="67" w:name="_Hlk214095265"/>
    </w:p>
    <w:p w14:paraId="65CBF7AD" w14:textId="549B0342" w:rsidR="0045535C" w:rsidRDefault="00BE5E48" w:rsidP="00F446AC">
      <w:pPr>
        <w:spacing w:after="10" w:line="276" w:lineRule="auto"/>
        <w:ind w:right="6" w:firstLine="720"/>
        <w:jc w:val="both"/>
        <w:rPr>
          <w:rFonts w:asciiTheme="majorBidi" w:hAnsiTheme="majorBidi" w:cstheme="majorBidi"/>
        </w:rPr>
      </w:pPr>
      <w:r>
        <w:rPr>
          <w:rFonts w:asciiTheme="majorBidi" w:hAnsiTheme="majorBidi" w:cstheme="majorBidi"/>
        </w:rPr>
        <w:t>[1</w:t>
      </w:r>
      <w:r w:rsidR="00EF2D4C">
        <w:rPr>
          <w:rFonts w:asciiTheme="majorBidi" w:hAnsiTheme="majorBidi" w:cstheme="majorBidi"/>
        </w:rPr>
        <w:t>5</w:t>
      </w:r>
      <w:r>
        <w:rPr>
          <w:rFonts w:asciiTheme="majorBidi" w:hAnsiTheme="majorBidi" w:cstheme="majorBidi"/>
        </w:rPr>
        <w:t>.</w:t>
      </w:r>
      <w:r w:rsidR="007A7C43">
        <w:rPr>
          <w:rFonts w:asciiTheme="majorBidi" w:hAnsiTheme="majorBidi" w:cstheme="majorBidi"/>
        </w:rPr>
        <w:t>2</w:t>
      </w:r>
      <w:r>
        <w:rPr>
          <w:rFonts w:asciiTheme="majorBidi" w:hAnsiTheme="majorBidi" w:cstheme="majorBidi"/>
        </w:rPr>
        <w:t xml:space="preserve">] </w:t>
      </w:r>
      <w:r w:rsidR="007A7C43">
        <w:rPr>
          <w:rFonts w:asciiTheme="majorBidi" w:hAnsiTheme="majorBidi" w:cstheme="majorBidi"/>
        </w:rPr>
        <w:t>V</w:t>
      </w:r>
      <w:r w:rsidR="0045535C" w:rsidRPr="0045535C">
        <w:rPr>
          <w:rFonts w:asciiTheme="majorBidi" w:hAnsiTheme="majorBidi" w:cstheme="majorBidi"/>
        </w:rPr>
        <w:t>ērtējot noziedzīgā nodarījuma subjektīvās puses esību, Kriminālprocesa likuma 125.</w:t>
      </w:r>
      <w:r w:rsidR="00D57D37">
        <w:rPr>
          <w:rFonts w:asciiTheme="majorBidi" w:hAnsiTheme="majorBidi" w:cstheme="majorBidi"/>
        </w:rPr>
        <w:t> </w:t>
      </w:r>
      <w:r w:rsidR="0045535C" w:rsidRPr="0045535C">
        <w:rPr>
          <w:rFonts w:asciiTheme="majorBidi" w:hAnsiTheme="majorBidi" w:cstheme="majorBidi"/>
        </w:rPr>
        <w:t>panta pirmās daļas 4. un 5.</w:t>
      </w:r>
      <w:r w:rsidR="00BC23B6">
        <w:rPr>
          <w:rFonts w:asciiTheme="majorBidi" w:hAnsiTheme="majorBidi" w:cstheme="majorBidi"/>
        </w:rPr>
        <w:t> </w:t>
      </w:r>
      <w:r w:rsidR="0045535C" w:rsidRPr="0045535C">
        <w:rPr>
          <w:rFonts w:asciiTheme="majorBidi" w:hAnsiTheme="majorBidi" w:cstheme="majorBidi"/>
        </w:rPr>
        <w:t xml:space="preserve">punktā paredzētās prezumpcijas </w:t>
      </w:r>
      <w:r w:rsidR="00F446AC">
        <w:rPr>
          <w:rFonts w:asciiTheme="majorBidi" w:hAnsiTheme="majorBidi" w:cstheme="majorBidi"/>
        </w:rPr>
        <w:t xml:space="preserve">– </w:t>
      </w:r>
      <w:r w:rsidR="00F446AC" w:rsidRPr="00F446AC">
        <w:rPr>
          <w:rFonts w:asciiTheme="majorBidi" w:hAnsiTheme="majorBidi" w:cstheme="majorBidi"/>
        </w:rPr>
        <w:t>persona zina vai tai vajadzēja zināt savus normatīvajos aktos paredzētos pienākumus</w:t>
      </w:r>
      <w:r w:rsidR="00896EA0">
        <w:rPr>
          <w:rFonts w:asciiTheme="majorBidi" w:hAnsiTheme="majorBidi" w:cstheme="majorBidi"/>
        </w:rPr>
        <w:t>,</w:t>
      </w:r>
      <w:r w:rsidR="00F446AC">
        <w:rPr>
          <w:rFonts w:asciiTheme="majorBidi" w:hAnsiTheme="majorBidi" w:cstheme="majorBidi"/>
        </w:rPr>
        <w:t xml:space="preserve"> un </w:t>
      </w:r>
      <w:r w:rsidR="00F446AC" w:rsidRPr="00F446AC">
        <w:rPr>
          <w:rFonts w:asciiTheme="majorBidi" w:hAnsiTheme="majorBidi" w:cstheme="majorBidi"/>
        </w:rPr>
        <w:t>persona zina vai tai vajadzēja zināt savus profesionālos un amata pienākumus</w:t>
      </w:r>
      <w:r w:rsidR="00F446AC">
        <w:rPr>
          <w:rFonts w:asciiTheme="majorBidi" w:hAnsiTheme="majorBidi" w:cstheme="majorBidi"/>
        </w:rPr>
        <w:t xml:space="preserve"> – </w:t>
      </w:r>
      <w:r w:rsidR="0045535C" w:rsidRPr="0045535C">
        <w:rPr>
          <w:rFonts w:asciiTheme="majorBidi" w:hAnsiTheme="majorBidi" w:cstheme="majorBidi"/>
        </w:rPr>
        <w:t>ir izmantojamas ar</w:t>
      </w:r>
      <w:r w:rsidR="0045535C">
        <w:rPr>
          <w:rFonts w:asciiTheme="majorBidi" w:hAnsiTheme="majorBidi" w:cstheme="majorBidi"/>
        </w:rPr>
        <w:t xml:space="preserve"> īpašu</w:t>
      </w:r>
      <w:r w:rsidR="0045535C" w:rsidRPr="0045535C">
        <w:rPr>
          <w:rFonts w:asciiTheme="majorBidi" w:hAnsiTheme="majorBidi" w:cstheme="majorBidi"/>
        </w:rPr>
        <w:t xml:space="preserve"> piesardzību, un tās nedrīkst kalpot kā vienīgais vai izšķirošais </w:t>
      </w:r>
      <w:r w:rsidR="00BB100A">
        <w:rPr>
          <w:rFonts w:asciiTheme="majorBidi" w:hAnsiTheme="majorBidi" w:cstheme="majorBidi"/>
        </w:rPr>
        <w:t>arguments</w:t>
      </w:r>
      <w:r w:rsidR="0045535C" w:rsidRPr="0045535C">
        <w:rPr>
          <w:rFonts w:asciiTheme="majorBidi" w:hAnsiTheme="majorBidi" w:cstheme="majorBidi"/>
        </w:rPr>
        <w:t>.</w:t>
      </w:r>
      <w:r w:rsidR="0045535C">
        <w:rPr>
          <w:rFonts w:asciiTheme="majorBidi" w:hAnsiTheme="majorBidi" w:cstheme="majorBidi"/>
        </w:rPr>
        <w:t xml:space="preserve"> </w:t>
      </w:r>
      <w:r w:rsidR="005F6801">
        <w:rPr>
          <w:rFonts w:asciiTheme="majorBidi" w:hAnsiTheme="majorBidi" w:cstheme="majorBidi"/>
        </w:rPr>
        <w:t xml:space="preserve">Pretējā gadījumā </w:t>
      </w:r>
      <w:r w:rsidR="000A7274">
        <w:rPr>
          <w:rFonts w:asciiTheme="majorBidi" w:hAnsiTheme="majorBidi" w:cstheme="majorBidi"/>
        </w:rPr>
        <w:t xml:space="preserve">tas </w:t>
      </w:r>
      <w:r w:rsidR="0045535C" w:rsidRPr="006D58E8">
        <w:rPr>
          <w:rFonts w:asciiTheme="majorBidi" w:hAnsiTheme="majorBidi" w:cstheme="majorBidi"/>
        </w:rPr>
        <w:t>novestu pie kriminālatbildības patvaļīgas paplašināšanas vai, kā minimums, pie nesamērīgas pierādī</w:t>
      </w:r>
      <w:r w:rsidR="003432E2">
        <w:rPr>
          <w:rFonts w:asciiTheme="majorBidi" w:hAnsiTheme="majorBidi" w:cstheme="majorBidi"/>
        </w:rPr>
        <w:t>šanas</w:t>
      </w:r>
      <w:r w:rsidR="0045535C" w:rsidRPr="006D58E8">
        <w:rPr>
          <w:rFonts w:asciiTheme="majorBidi" w:hAnsiTheme="majorBidi" w:cstheme="majorBidi"/>
        </w:rPr>
        <w:t xml:space="preserve"> nastas pārnešanas uz apsūdzēto. </w:t>
      </w:r>
      <w:r w:rsidR="0045535C" w:rsidRPr="007334ED">
        <w:rPr>
          <w:rFonts w:asciiTheme="majorBidi" w:hAnsiTheme="majorBidi" w:cstheme="majorBidi"/>
        </w:rPr>
        <w:t>Rezultātā noziedzīgi</w:t>
      </w:r>
      <w:r w:rsidR="00BB100A">
        <w:rPr>
          <w:rFonts w:asciiTheme="majorBidi" w:hAnsiTheme="majorBidi" w:cstheme="majorBidi"/>
        </w:rPr>
        <w:t>e</w:t>
      </w:r>
      <w:r w:rsidR="0045535C" w:rsidRPr="007334ED">
        <w:rPr>
          <w:rFonts w:asciiTheme="majorBidi" w:hAnsiTheme="majorBidi" w:cstheme="majorBidi"/>
        </w:rPr>
        <w:t xml:space="preserve"> nodarījumi, kuri saskaņā ar Krimināllikumu ir izdarāmi tikai ar nodomu, faktiski tiktu </w:t>
      </w:r>
      <w:r w:rsidR="00BB100A">
        <w:rPr>
          <w:rFonts w:asciiTheme="majorBidi" w:hAnsiTheme="majorBidi" w:cstheme="majorBidi"/>
        </w:rPr>
        <w:t>atzīti par</w:t>
      </w:r>
      <w:r w:rsidR="0045535C" w:rsidRPr="007334ED">
        <w:rPr>
          <w:rFonts w:asciiTheme="majorBidi" w:hAnsiTheme="majorBidi" w:cstheme="majorBidi"/>
        </w:rPr>
        <w:t xml:space="preserve"> tādi</w:t>
      </w:r>
      <w:r w:rsidR="00BB100A">
        <w:rPr>
          <w:rFonts w:asciiTheme="majorBidi" w:hAnsiTheme="majorBidi" w:cstheme="majorBidi"/>
        </w:rPr>
        <w:t>em</w:t>
      </w:r>
      <w:r w:rsidR="0045535C" w:rsidRPr="007334ED">
        <w:rPr>
          <w:rFonts w:asciiTheme="majorBidi" w:hAnsiTheme="majorBidi" w:cstheme="majorBidi"/>
        </w:rPr>
        <w:t>, kuru</w:t>
      </w:r>
      <w:r w:rsidR="00BB100A">
        <w:rPr>
          <w:rFonts w:asciiTheme="majorBidi" w:hAnsiTheme="majorBidi" w:cstheme="majorBidi"/>
        </w:rPr>
        <w:t xml:space="preserve">s </w:t>
      </w:r>
      <w:r w:rsidR="0045535C" w:rsidRPr="007334ED">
        <w:rPr>
          <w:rFonts w:asciiTheme="majorBidi" w:hAnsiTheme="majorBidi" w:cstheme="majorBidi"/>
        </w:rPr>
        <w:t xml:space="preserve">iespējams </w:t>
      </w:r>
      <w:r w:rsidR="00BB100A">
        <w:rPr>
          <w:rFonts w:asciiTheme="majorBidi" w:hAnsiTheme="majorBidi" w:cstheme="majorBidi"/>
        </w:rPr>
        <w:t xml:space="preserve">izdarīt </w:t>
      </w:r>
      <w:r w:rsidR="0045535C" w:rsidRPr="007334ED">
        <w:rPr>
          <w:rFonts w:asciiTheme="majorBidi" w:hAnsiTheme="majorBidi" w:cstheme="majorBidi"/>
        </w:rPr>
        <w:t>arī aiz neuzmanības vai pat bez vainas.</w:t>
      </w:r>
    </w:p>
    <w:bookmarkEnd w:id="67"/>
    <w:p w14:paraId="2D3505AB" w14:textId="5E960081" w:rsidR="00914491" w:rsidRDefault="001172BE" w:rsidP="00AF279F">
      <w:pPr>
        <w:spacing w:after="10" w:line="276" w:lineRule="auto"/>
        <w:ind w:right="6" w:firstLine="720"/>
        <w:jc w:val="both"/>
        <w:rPr>
          <w:rFonts w:asciiTheme="majorBidi" w:hAnsiTheme="majorBidi" w:cstheme="majorBidi"/>
        </w:rPr>
      </w:pPr>
      <w:r>
        <w:rPr>
          <w:rFonts w:asciiTheme="majorBidi" w:hAnsiTheme="majorBidi" w:cstheme="majorBidi"/>
        </w:rPr>
        <w:t>Minētais atbilst Kriminālprocesa likuma komentāros izteiktajam viedoklim</w:t>
      </w:r>
      <w:r w:rsidR="00914491">
        <w:rPr>
          <w:rFonts w:asciiTheme="majorBidi" w:hAnsiTheme="majorBidi" w:cstheme="majorBidi"/>
        </w:rPr>
        <w:t>.</w:t>
      </w:r>
    </w:p>
    <w:p w14:paraId="5CE99E28" w14:textId="62DFC6D3" w:rsidR="0045535C" w:rsidRPr="00914491" w:rsidRDefault="00914491" w:rsidP="00914491">
      <w:pPr>
        <w:spacing w:after="10" w:line="276" w:lineRule="auto"/>
        <w:ind w:right="6" w:firstLine="720"/>
        <w:jc w:val="both"/>
        <w:rPr>
          <w:rFonts w:asciiTheme="majorBidi" w:hAnsiTheme="majorBidi" w:cstheme="majorBidi"/>
        </w:rPr>
      </w:pPr>
      <w:r w:rsidRPr="0019787B">
        <w:rPr>
          <w:rStyle w:val="markedcontent"/>
          <w:rFonts w:cs="Times New Roman"/>
        </w:rPr>
        <w:t xml:space="preserve">Lai gan </w:t>
      </w:r>
      <w:bookmarkStart w:id="68" w:name="_Hlk116807715"/>
      <w:r w:rsidRPr="0019787B">
        <w:rPr>
          <w:rStyle w:val="markedcontent"/>
          <w:rFonts w:cs="Times New Roman"/>
        </w:rPr>
        <w:t xml:space="preserve">Kriminālprocesa likuma </w:t>
      </w:r>
      <w:bookmarkEnd w:id="68"/>
      <w:r w:rsidRPr="0019787B">
        <w:rPr>
          <w:rStyle w:val="markedcontent"/>
          <w:rFonts w:cs="Times New Roman"/>
        </w:rPr>
        <w:t xml:space="preserve">125. panta pirmā daļa paredz prezumpcijas par to, ka </w:t>
      </w:r>
      <w:r w:rsidRPr="0019787B">
        <w:rPr>
          <w:rFonts w:cs="Times New Roman"/>
          <w:shd w:val="clear" w:color="auto" w:fill="FFFFFF"/>
        </w:rPr>
        <w:t xml:space="preserve">bez papildu procesuālo darbību veikšanas par pierādītu uzskatāms </w:t>
      </w:r>
      <w:r w:rsidRPr="0019787B">
        <w:rPr>
          <w:rFonts w:cs="Times New Roman"/>
        </w:rPr>
        <w:t xml:space="preserve">fakts, ka persona zina vai tai vajadzēja zināt savus normatīvajos aktos paredzētos pienākumus (4. punkts), kā arī profesionālos un amata pienākumus (5. punkts), </w:t>
      </w:r>
      <w:r w:rsidRPr="0019787B">
        <w:rPr>
          <w:rFonts w:cs="Times New Roman"/>
          <w:shd w:val="clear" w:color="auto" w:fill="FFFFFF"/>
        </w:rPr>
        <w:t xml:space="preserve">ja vien kriminālprocesā netiek pierādīts pretējais, </w:t>
      </w:r>
      <w:r w:rsidRPr="0019787B">
        <w:rPr>
          <w:rFonts w:cs="Times New Roman"/>
        </w:rPr>
        <w:t>pats par sevi fakts, ka persona zina/vajadzēja zināt ar normatīvo aktu uzliktu vai no amata/profesijas izrietošu pienākumu, neļauj prezumēt, ka tā neizpildes gadījumā viņa rīkojusies nolaidīgi vai tīši. Prezumējams ir tikai fakts par pienākuma zināšanu, taču tālākais (apzināta nepildīšana/nolaidīga pildīšana/pilnvaru pārkāpšana) ir pierādāms vispārējā kārtībā. Tāpat ir jāatceras, ka tas, ka persona zina attiecīgo pienākumu, ne vienmēr nozīmē, ka viņa līdz galam saprot tā nozīmi un saturu</w:t>
      </w:r>
      <w:r>
        <w:rPr>
          <w:rFonts w:cs="Times New Roman"/>
        </w:rPr>
        <w:t xml:space="preserve"> </w:t>
      </w:r>
      <w:r w:rsidR="0045535C">
        <w:t>(</w:t>
      </w:r>
      <w:r w:rsidR="0045535C" w:rsidRPr="00210774">
        <w:rPr>
          <w:i/>
          <w:iCs/>
          <w:szCs w:val="18"/>
          <w:lang w:eastAsia="lv-LV"/>
        </w:rPr>
        <w:t xml:space="preserve">Kriminālprocesa likuma komentāri. A daļa. </w:t>
      </w:r>
      <w:r w:rsidR="0045535C" w:rsidRPr="00210774">
        <w:rPr>
          <w:i/>
          <w:iCs/>
          <w:szCs w:val="18"/>
        </w:rPr>
        <w:t>Strada-Rozenberga K. (</w:t>
      </w:r>
      <w:proofErr w:type="spellStart"/>
      <w:r w:rsidR="0045535C" w:rsidRPr="00210774">
        <w:rPr>
          <w:i/>
          <w:iCs/>
          <w:szCs w:val="18"/>
        </w:rPr>
        <w:t>zin</w:t>
      </w:r>
      <w:proofErr w:type="spellEnd"/>
      <w:r w:rsidR="0045535C" w:rsidRPr="00210774">
        <w:rPr>
          <w:i/>
          <w:iCs/>
          <w:szCs w:val="18"/>
        </w:rPr>
        <w:t xml:space="preserve">. red.). </w:t>
      </w:r>
      <w:r w:rsidR="0045535C" w:rsidRPr="00210774">
        <w:rPr>
          <w:i/>
          <w:iCs/>
          <w:szCs w:val="18"/>
          <w:lang w:eastAsia="lv-LV"/>
        </w:rPr>
        <w:t>Rīga: Latvijas Vēstnesis, 2019, 422. lpp</w:t>
      </w:r>
      <w:r w:rsidR="0045535C" w:rsidRPr="00473AB9">
        <w:rPr>
          <w:szCs w:val="18"/>
          <w:lang w:eastAsia="lv-LV"/>
        </w:rPr>
        <w:t>.</w:t>
      </w:r>
      <w:r w:rsidR="0045535C">
        <w:t>).</w:t>
      </w:r>
    </w:p>
    <w:p w14:paraId="708F4A6F" w14:textId="550E3FDE" w:rsidR="00DD456B" w:rsidRDefault="00DD456B" w:rsidP="00BC23B6">
      <w:pPr>
        <w:spacing w:after="0" w:line="276" w:lineRule="auto"/>
        <w:ind w:firstLine="720"/>
        <w:jc w:val="both"/>
      </w:pPr>
      <w:r>
        <w:t xml:space="preserve">Minētais nav pretrunā ar likuma </w:t>
      </w:r>
      <w:r w:rsidR="00340BC5">
        <w:t>„</w:t>
      </w:r>
      <w:r>
        <w:t xml:space="preserve">Par grāmatvedību” </w:t>
      </w:r>
      <w:r w:rsidRPr="00EF2D4C">
        <w:t>(spēkā līdz 2021.</w:t>
      </w:r>
      <w:r w:rsidR="00BC23B6">
        <w:t> </w:t>
      </w:r>
      <w:r w:rsidRPr="00EF2D4C">
        <w:t>gada 31.</w:t>
      </w:r>
      <w:r w:rsidR="00BC23B6">
        <w:t> </w:t>
      </w:r>
      <w:r w:rsidRPr="00EF2D4C">
        <w:t xml:space="preserve">decembrim ieskaitot) </w:t>
      </w:r>
      <w:r>
        <w:t>2.</w:t>
      </w:r>
      <w:r w:rsidR="00914491">
        <w:t> </w:t>
      </w:r>
      <w:r>
        <w:t>panta trešo daļu, kas noteica, ka p</w:t>
      </w:r>
      <w:r w:rsidRPr="00A30790">
        <w:t>ar grāmatvedības kārtošanu un visu saimnieciskos darījumus apliecinošo dokumentu oriģinālu, kopiju vai datu attēlu saglabāšanu ir atbildīgs uzņēmuma vadītājs</w:t>
      </w:r>
      <w:r>
        <w:t>.</w:t>
      </w:r>
    </w:p>
    <w:p w14:paraId="442766DB" w14:textId="67D9F173" w:rsidR="00DD456B" w:rsidRDefault="00DD456B" w:rsidP="00DD456B">
      <w:pPr>
        <w:spacing w:after="0" w:line="276" w:lineRule="auto"/>
        <w:ind w:firstLine="720"/>
        <w:jc w:val="both"/>
      </w:pPr>
      <w:r w:rsidRPr="00502A9C">
        <w:t>Minētā norma nosaka personu, kura vispārīgi ir atbildīga par grāmatvedības kārtošanu, taču jautājums par to, kāds juridiskās atbildības veids – civiltiesiskā, administratīvā vai kriminālatbildība – iestājas konkrētajā gadījumā</w:t>
      </w:r>
      <w:r w:rsidR="00896EA0">
        <w:t>, kā arī</w:t>
      </w:r>
      <w:r w:rsidRPr="00502A9C">
        <w:t xml:space="preserve"> pie kādiem nosacījumiem</w:t>
      </w:r>
      <w:r w:rsidR="00896EA0">
        <w:t>,</w:t>
      </w:r>
      <w:r w:rsidRPr="00502A9C">
        <w:t xml:space="preserve"> ir nosakāms </w:t>
      </w:r>
      <w:r w:rsidR="000A7274">
        <w:t xml:space="preserve">saskaņā ar </w:t>
      </w:r>
      <w:r w:rsidRPr="00502A9C">
        <w:t>speciālo likumu normām</w:t>
      </w:r>
      <w:r>
        <w:t>.</w:t>
      </w:r>
    </w:p>
    <w:bookmarkEnd w:id="23"/>
    <w:p w14:paraId="2006C085" w14:textId="2A96F208" w:rsidR="00F715F3" w:rsidRDefault="000C7811" w:rsidP="00A42E8F">
      <w:pPr>
        <w:spacing w:after="0" w:line="276" w:lineRule="auto"/>
        <w:ind w:firstLine="720"/>
        <w:jc w:val="both"/>
      </w:pPr>
      <w:r>
        <w:t>[1</w:t>
      </w:r>
      <w:r w:rsidR="00EF2D4C">
        <w:t>5</w:t>
      </w:r>
      <w:r w:rsidR="00D943C7">
        <w:t>.</w:t>
      </w:r>
      <w:r w:rsidR="00923688">
        <w:t>3</w:t>
      </w:r>
      <w:r>
        <w:t xml:space="preserve">] </w:t>
      </w:r>
      <w:r w:rsidR="007B20CA">
        <w:t xml:space="preserve">Ja, izskatot lietu apelācijas kārtībā atkārtoti, </w:t>
      </w:r>
      <w:r w:rsidR="00F715F3">
        <w:t xml:space="preserve">tiesa </w:t>
      </w:r>
      <w:r w:rsidR="00F715F3" w:rsidRPr="00FE5558">
        <w:rPr>
          <w:color w:val="000000" w:themeColor="text1"/>
        </w:rPr>
        <w:t xml:space="preserve">atzīs par pierādītu, ka apsūdzētie rīkojušies ar nodomu izvairīties no uzņēmumu ienākuma nodokļa nomaksas, </w:t>
      </w:r>
      <w:r w:rsidR="00F715F3" w:rsidRPr="00FE5558">
        <w:rPr>
          <w:color w:val="000000" w:themeColor="text1"/>
        </w:rPr>
        <w:lastRenderedPageBreak/>
        <w:t>t</w:t>
      </w:r>
      <w:r w:rsidR="00F715F3">
        <w:rPr>
          <w:color w:val="000000" w:themeColor="text1"/>
        </w:rPr>
        <w:t>iesai būs jāizvērtē un jāpamato</w:t>
      </w:r>
      <w:r w:rsidR="00F715F3" w:rsidRPr="00FE5558">
        <w:rPr>
          <w:color w:val="000000" w:themeColor="text1"/>
        </w:rPr>
        <w:t>, vai</w:t>
      </w:r>
      <w:r w:rsidR="00F715F3">
        <w:rPr>
          <w:color w:val="000000" w:themeColor="text1"/>
        </w:rPr>
        <w:t xml:space="preserve"> Krimināllikuma 218.</w:t>
      </w:r>
      <w:r w:rsidR="00B52F63">
        <w:rPr>
          <w:color w:val="000000" w:themeColor="text1"/>
        </w:rPr>
        <w:t> </w:t>
      </w:r>
      <w:r w:rsidR="00F715F3">
        <w:rPr>
          <w:color w:val="000000" w:themeColor="text1"/>
        </w:rPr>
        <w:t>panta otrajā daļā paredzētais nozie</w:t>
      </w:r>
      <w:r w:rsidR="005210AB">
        <w:rPr>
          <w:color w:val="000000" w:themeColor="text1"/>
        </w:rPr>
        <w:t>gums</w:t>
      </w:r>
      <w:r w:rsidR="00F715F3">
        <w:rPr>
          <w:color w:val="000000" w:themeColor="text1"/>
        </w:rPr>
        <w:t xml:space="preserve"> ir kvalificējams kā pabeigts.</w:t>
      </w:r>
    </w:p>
    <w:p w14:paraId="6FBBC09F" w14:textId="1FCD982E" w:rsidR="007B20CA" w:rsidRDefault="007B20CA" w:rsidP="007B20CA">
      <w:pPr>
        <w:spacing w:after="0" w:line="276" w:lineRule="auto"/>
        <w:ind w:firstLine="720"/>
        <w:jc w:val="both"/>
      </w:pPr>
      <w:r w:rsidRPr="007B20CA">
        <w:rPr>
          <w:color w:val="000000" w:themeColor="text1"/>
        </w:rPr>
        <w:t xml:space="preserve">Šis jautājums ir analizēts vien pirmās instances tiesas spriedumā, ar kuru apsūdzētie tika attaisnoti. Savukārt apelācijas instances tiesa, taisot notiesājošu spriedumu, formāli </w:t>
      </w:r>
      <w:r w:rsidR="005210AB">
        <w:rPr>
          <w:color w:val="000000" w:themeColor="text1"/>
        </w:rPr>
        <w:t>gan</w:t>
      </w:r>
      <w:r w:rsidR="00B52F63">
        <w:rPr>
          <w:color w:val="000000" w:themeColor="text1"/>
        </w:rPr>
        <w:t xml:space="preserve"> ir</w:t>
      </w:r>
      <w:r w:rsidR="005210AB">
        <w:rPr>
          <w:color w:val="000000" w:themeColor="text1"/>
        </w:rPr>
        <w:t xml:space="preserve"> </w:t>
      </w:r>
      <w:r w:rsidRPr="007B20CA">
        <w:rPr>
          <w:color w:val="000000" w:themeColor="text1"/>
        </w:rPr>
        <w:t>atzinusi nozie</w:t>
      </w:r>
      <w:r w:rsidR="005210AB">
        <w:rPr>
          <w:color w:val="000000" w:themeColor="text1"/>
        </w:rPr>
        <w:t>gumu</w:t>
      </w:r>
      <w:r w:rsidRPr="007B20CA">
        <w:rPr>
          <w:color w:val="000000" w:themeColor="text1"/>
        </w:rPr>
        <w:t xml:space="preserve"> par pabeigtu, taču spriedumā to</w:t>
      </w:r>
      <w:r w:rsidR="00D943C7">
        <w:rPr>
          <w:color w:val="000000" w:themeColor="text1"/>
        </w:rPr>
        <w:t xml:space="preserve"> nav</w:t>
      </w:r>
      <w:r w:rsidRPr="007B20CA">
        <w:rPr>
          <w:color w:val="000000" w:themeColor="text1"/>
        </w:rPr>
        <w:t xml:space="preserve"> </w:t>
      </w:r>
      <w:r w:rsidR="00F715F3">
        <w:rPr>
          <w:color w:val="000000" w:themeColor="text1"/>
        </w:rPr>
        <w:t>pamatojusi</w:t>
      </w:r>
      <w:r w:rsidR="0084481D">
        <w:rPr>
          <w:color w:val="000000" w:themeColor="text1"/>
        </w:rPr>
        <w:t>.</w:t>
      </w:r>
      <w:r w:rsidR="00F715F3">
        <w:rPr>
          <w:color w:val="000000" w:themeColor="text1"/>
        </w:rPr>
        <w:t xml:space="preserve"> </w:t>
      </w:r>
      <w:r w:rsidR="0084481D">
        <w:rPr>
          <w:color w:val="000000" w:themeColor="text1"/>
        </w:rPr>
        <w:t>L</w:t>
      </w:r>
      <w:r w:rsidR="00F715F3">
        <w:rPr>
          <w:color w:val="000000" w:themeColor="text1"/>
        </w:rPr>
        <w:t>īdz ar to</w:t>
      </w:r>
      <w:r w:rsidR="0084481D">
        <w:rPr>
          <w:color w:val="000000" w:themeColor="text1"/>
        </w:rPr>
        <w:t xml:space="preserve"> tiesa</w:t>
      </w:r>
      <w:r w:rsidR="00F715F3">
        <w:rPr>
          <w:color w:val="000000" w:themeColor="text1"/>
        </w:rPr>
        <w:t xml:space="preserve"> nav </w:t>
      </w:r>
      <w:r w:rsidR="00F715F3" w:rsidRPr="00FE5558">
        <w:t>izpildījusi Kriminālprocesa likuma 514.</w:t>
      </w:r>
      <w:r w:rsidR="00F715F3">
        <w:t> </w:t>
      </w:r>
      <w:r w:rsidR="00F715F3" w:rsidRPr="00FE5558">
        <w:t>panta pirmās daļas 2.</w:t>
      </w:r>
      <w:r w:rsidR="00BC23B6">
        <w:t> </w:t>
      </w:r>
      <w:r w:rsidR="00F715F3" w:rsidRPr="00FE5558">
        <w:t>punktā noteikto pienākumu motivēt konstatētā noziedzīgā nodarījuma juridisko kvalifikāciju</w:t>
      </w:r>
      <w:r w:rsidR="00F715F3">
        <w:t>.</w:t>
      </w:r>
    </w:p>
    <w:p w14:paraId="306F90DF" w14:textId="2FFDDDC2" w:rsidR="007B20CA" w:rsidRDefault="007B20CA" w:rsidP="007B20CA">
      <w:pPr>
        <w:spacing w:after="0" w:line="276" w:lineRule="auto"/>
        <w:ind w:firstLine="720"/>
        <w:jc w:val="both"/>
      </w:pPr>
      <w:bookmarkStart w:id="69" w:name="_Hlk214096014"/>
      <w:r w:rsidRPr="00A930F0">
        <w:t>Šād</w:t>
      </w:r>
      <w:r>
        <w:t>s</w:t>
      </w:r>
      <w:r w:rsidRPr="00A930F0">
        <w:t xml:space="preserve"> izvērtēju</w:t>
      </w:r>
      <w:r>
        <w:t>ms</w:t>
      </w:r>
      <w:r w:rsidRPr="00A930F0">
        <w:t xml:space="preserve"> īpaši </w:t>
      </w:r>
      <w:r>
        <w:t xml:space="preserve">svarīgs ir </w:t>
      </w:r>
      <w:r w:rsidRPr="00A930F0">
        <w:t>lietās par</w:t>
      </w:r>
      <w:r>
        <w:t xml:space="preserve"> izvairīšanos no nodokļu nomaksas, jo </w:t>
      </w:r>
      <w:r w:rsidRPr="00A930F0">
        <w:t>no</w:t>
      </w:r>
      <w:r w:rsidR="005210AB">
        <w:t>zieguma</w:t>
      </w:r>
      <w:r w:rsidRPr="00A930F0">
        <w:t xml:space="preserve"> pabeigtības moments </w:t>
      </w:r>
      <w:r>
        <w:t>nereti</w:t>
      </w:r>
      <w:r w:rsidRPr="00A930F0">
        <w:t xml:space="preserve"> ir cieši saistīts ar nodokļu tiesisk</w:t>
      </w:r>
      <w:r>
        <w:t>o</w:t>
      </w:r>
      <w:r w:rsidRPr="00A930F0">
        <w:t xml:space="preserve"> regulējumu</w:t>
      </w:r>
      <w:r>
        <w:t xml:space="preserve"> un tā piemērošanas kārtību. </w:t>
      </w:r>
    </w:p>
    <w:p w14:paraId="2BBC26D0" w14:textId="2F10A64A" w:rsidR="00AC4C29" w:rsidRDefault="009E278A" w:rsidP="00AC4C29">
      <w:pPr>
        <w:spacing w:after="0" w:line="276" w:lineRule="auto"/>
        <w:ind w:firstLine="720"/>
        <w:jc w:val="both"/>
      </w:pPr>
      <w:r>
        <w:t>Turklāt i</w:t>
      </w:r>
      <w:r w:rsidRPr="009E278A">
        <w:t xml:space="preserve">zskatāmajā lietā </w:t>
      </w:r>
      <w:r>
        <w:t xml:space="preserve">šādu nepieciešamību noteic </w:t>
      </w:r>
      <w:r w:rsidRPr="009E278A">
        <w:t xml:space="preserve">arī aizstāvības </w:t>
      </w:r>
      <w:r>
        <w:t>arguments par to</w:t>
      </w:r>
      <w:r w:rsidRPr="009E278A">
        <w:t xml:space="preserve">, ka nepareizi deklarētais uzņēmumu ienākuma nodoklis pēc </w:t>
      </w:r>
      <w:r w:rsidR="007A7FD6">
        <w:t>deklarācijas iesniegšanas</w:t>
      </w:r>
      <w:r w:rsidRPr="009E278A">
        <w:t xml:space="preserve"> ticis precizēts un </w:t>
      </w:r>
      <w:r w:rsidR="00982A9B">
        <w:t>no</w:t>
      </w:r>
      <w:r w:rsidRPr="009E278A">
        <w:t>maksāts.</w:t>
      </w:r>
    </w:p>
    <w:p w14:paraId="4A7F8301" w14:textId="77777777" w:rsidR="00AC4C29" w:rsidRDefault="00982A9B" w:rsidP="00AC4C29">
      <w:pPr>
        <w:spacing w:after="0" w:line="276" w:lineRule="auto"/>
        <w:ind w:firstLine="720"/>
        <w:jc w:val="both"/>
        <w:rPr>
          <w:rFonts w:asciiTheme="majorBidi" w:hAnsiTheme="majorBidi"/>
        </w:rPr>
      </w:pPr>
      <w:r>
        <w:rPr>
          <w:rFonts w:asciiTheme="majorBidi" w:hAnsiTheme="majorBidi"/>
        </w:rPr>
        <w:t>Senāts vērš uzmanību uz to, ka gadījumā, j</w:t>
      </w:r>
      <w:r w:rsidR="009E278A" w:rsidRPr="00D943C7">
        <w:rPr>
          <w:rFonts w:asciiTheme="majorBidi" w:hAnsiTheme="majorBidi"/>
        </w:rPr>
        <w:t>a deklarācijas labojums veikts pirms nozie</w:t>
      </w:r>
      <w:r w:rsidR="007A7FD6">
        <w:rPr>
          <w:rFonts w:asciiTheme="majorBidi" w:hAnsiTheme="majorBidi"/>
        </w:rPr>
        <w:t>guma</w:t>
      </w:r>
      <w:r w:rsidR="009E278A" w:rsidRPr="00D943C7">
        <w:rPr>
          <w:rFonts w:asciiTheme="majorBidi" w:hAnsiTheme="majorBidi"/>
        </w:rPr>
        <w:t xml:space="preserve"> pabeigšanas, </w:t>
      </w:r>
      <w:r w:rsidR="009E278A">
        <w:rPr>
          <w:rFonts w:asciiTheme="majorBidi" w:hAnsiTheme="majorBidi"/>
        </w:rPr>
        <w:t>ir iespējams tikai</w:t>
      </w:r>
      <w:r w:rsidR="009E278A" w:rsidRPr="00D943C7">
        <w:rPr>
          <w:rFonts w:asciiTheme="majorBidi" w:hAnsiTheme="majorBidi"/>
        </w:rPr>
        <w:t xml:space="preserve"> </w:t>
      </w:r>
      <w:r w:rsidR="009E278A">
        <w:rPr>
          <w:rFonts w:asciiTheme="majorBidi" w:hAnsiTheme="majorBidi"/>
        </w:rPr>
        <w:t>tā</w:t>
      </w:r>
      <w:r w:rsidR="009E278A" w:rsidRPr="00D943C7">
        <w:rPr>
          <w:rFonts w:asciiTheme="majorBidi" w:hAnsiTheme="majorBidi"/>
        </w:rPr>
        <w:t xml:space="preserve"> mēģinājum</w:t>
      </w:r>
      <w:r w:rsidR="009E278A">
        <w:rPr>
          <w:rFonts w:asciiTheme="majorBidi" w:hAnsiTheme="majorBidi"/>
        </w:rPr>
        <w:t>s</w:t>
      </w:r>
      <w:r w:rsidR="009E278A" w:rsidRPr="00D943C7">
        <w:rPr>
          <w:rFonts w:asciiTheme="majorBidi" w:hAnsiTheme="majorBidi"/>
        </w:rPr>
        <w:t>.</w:t>
      </w:r>
      <w:r w:rsidR="009E278A">
        <w:rPr>
          <w:rFonts w:asciiTheme="majorBidi" w:hAnsiTheme="majorBidi"/>
        </w:rPr>
        <w:t xml:space="preserve"> </w:t>
      </w:r>
      <w:r w:rsidR="009E278A" w:rsidRPr="00D943C7">
        <w:rPr>
          <w:rFonts w:asciiTheme="majorBidi" w:hAnsiTheme="majorBidi"/>
        </w:rPr>
        <w:t>Tādēļ tiesai skaidri jā</w:t>
      </w:r>
      <w:r w:rsidR="009E278A">
        <w:rPr>
          <w:rFonts w:asciiTheme="majorBidi" w:hAnsiTheme="majorBidi"/>
        </w:rPr>
        <w:t>konstatē</w:t>
      </w:r>
      <w:r w:rsidR="009E278A" w:rsidRPr="00D943C7">
        <w:rPr>
          <w:rFonts w:asciiTheme="majorBidi" w:hAnsiTheme="majorBidi"/>
        </w:rPr>
        <w:t>, vai labojums veikts pirms vai pēc nozieguma pabeigšanas.</w:t>
      </w:r>
      <w:bookmarkEnd w:id="69"/>
    </w:p>
    <w:p w14:paraId="3115572F" w14:textId="0768C4F2" w:rsidR="00AC4C29" w:rsidRDefault="009E278A" w:rsidP="00AC4C29">
      <w:pPr>
        <w:spacing w:after="0" w:line="276" w:lineRule="auto"/>
        <w:ind w:firstLine="720"/>
        <w:jc w:val="both"/>
        <w:rPr>
          <w:rFonts w:asciiTheme="majorBidi" w:hAnsiTheme="majorBidi"/>
        </w:rPr>
      </w:pPr>
      <w:r>
        <w:rPr>
          <w:rFonts w:asciiTheme="majorBidi" w:hAnsiTheme="majorBidi"/>
        </w:rPr>
        <w:t>Senāta judikatūrā atzīts, ka i</w:t>
      </w:r>
      <w:r w:rsidR="00F715F3" w:rsidRPr="00A97702">
        <w:rPr>
          <w:rFonts w:asciiTheme="majorBidi" w:hAnsiTheme="majorBidi"/>
        </w:rPr>
        <w:t>zvairīšanās no nodokļu nomaksas kopumā uzskatāma par pabeigtu ar nodokļa faktiskās nenomaksāšanas brīdi, proti, ar nodokļa iemaksāšanas termiņa par noteiktu taksācijas periodu iestāšanos, kad, vai nu vispār netiek nomaksāts nodoklis vai tam pielīdzinātais maksājums, vai arī tas tiek nomaksāts daļēji (</w:t>
      </w:r>
      <w:bookmarkStart w:id="70" w:name="_Hlk217307263"/>
      <w:r w:rsidR="00F715F3" w:rsidRPr="00A97702">
        <w:rPr>
          <w:rFonts w:asciiTheme="majorBidi" w:hAnsiTheme="majorBidi"/>
          <w:i/>
          <w:iCs/>
        </w:rPr>
        <w:t>Senāta 2018. gada 16. janvāra lēmuma lietā Nr. SKK-4/2018, ECLI:LV:AT:2018:0116.15830003512.2.L, 10.3. punkts, 2022. gada 22.</w:t>
      </w:r>
      <w:r w:rsidR="00BC23B6">
        <w:rPr>
          <w:rFonts w:asciiTheme="majorBidi" w:hAnsiTheme="majorBidi"/>
          <w:i/>
          <w:iCs/>
        </w:rPr>
        <w:t> </w:t>
      </w:r>
      <w:r w:rsidR="00F715F3" w:rsidRPr="00A97702">
        <w:rPr>
          <w:rFonts w:asciiTheme="majorBidi" w:hAnsiTheme="majorBidi"/>
          <w:i/>
          <w:iCs/>
        </w:rPr>
        <w:t xml:space="preserve">novembra lēmuma lietā Nr. SKK-85/2022, </w:t>
      </w:r>
      <w:hyperlink r:id="rId21" w:history="1">
        <w:r w:rsidR="00F715F3" w:rsidRPr="00A97702">
          <w:rPr>
            <w:rStyle w:val="Hyperlink"/>
            <w:rFonts w:asciiTheme="majorBidi" w:hAnsiTheme="majorBidi"/>
            <w:i/>
            <w:iCs/>
            <w:color w:val="auto"/>
            <w:u w:val="none"/>
          </w:rPr>
          <w:t>ECLI:LV:AT:2022:1122.15830010717.4.L</w:t>
        </w:r>
      </w:hyperlink>
      <w:r w:rsidR="00F715F3" w:rsidRPr="00A97702">
        <w:rPr>
          <w:rFonts w:asciiTheme="majorBidi" w:hAnsiTheme="majorBidi"/>
          <w:i/>
          <w:iCs/>
        </w:rPr>
        <w:t>, 6.1.2. punkts</w:t>
      </w:r>
      <w:r w:rsidR="00F715F3" w:rsidRPr="00982A9B">
        <w:rPr>
          <w:rFonts w:asciiTheme="majorBidi" w:hAnsiTheme="majorBidi"/>
        </w:rPr>
        <w:t>).</w:t>
      </w:r>
      <w:r w:rsidR="005210AB" w:rsidRPr="00982A9B">
        <w:rPr>
          <w:rFonts w:asciiTheme="majorBidi" w:hAnsiTheme="majorBidi"/>
        </w:rPr>
        <w:t xml:space="preserve"> </w:t>
      </w:r>
    </w:p>
    <w:bookmarkEnd w:id="70"/>
    <w:p w14:paraId="17A1B0E3" w14:textId="2471A4ED" w:rsidR="00AC4C29" w:rsidRDefault="00F715F3" w:rsidP="00AC4C29">
      <w:pPr>
        <w:spacing w:after="0" w:line="276" w:lineRule="auto"/>
        <w:ind w:firstLine="720"/>
        <w:jc w:val="both"/>
        <w:rPr>
          <w:rFonts w:asciiTheme="majorBidi" w:eastAsia="Aptos" w:hAnsiTheme="majorBidi"/>
        </w:rPr>
      </w:pPr>
      <w:r w:rsidRPr="00982A9B">
        <w:rPr>
          <w:rFonts w:asciiTheme="majorBidi" w:eastAsia="Calibri" w:hAnsiTheme="majorBidi"/>
        </w:rPr>
        <w:t>Viltotas deklarācijas iesniegšana atbilst nozieguma mēģinājuma stadijai, jo, iesniedzot deklarāciju, rodas tikai tiesības uz nelikumīgu labumu. Šīs tiesības turpmākajā procesā var arī nerealizēties no iesniedzēja gribas neatkarīgu iemeslu dēļ (</w:t>
      </w:r>
      <w:bookmarkStart w:id="71" w:name="_Hlk217307270"/>
      <w:r w:rsidRPr="00982A9B">
        <w:rPr>
          <w:rFonts w:asciiTheme="majorBidi" w:eastAsia="Calibri" w:hAnsiTheme="majorBidi"/>
          <w:i/>
          <w:iCs/>
        </w:rPr>
        <w:t>Senāta</w:t>
      </w:r>
      <w:r w:rsidR="00896EA0">
        <w:rPr>
          <w:rFonts w:asciiTheme="majorBidi" w:eastAsia="Calibri" w:hAnsiTheme="majorBidi"/>
          <w:i/>
          <w:iCs/>
        </w:rPr>
        <w:t xml:space="preserve"> </w:t>
      </w:r>
      <w:r w:rsidRPr="00982A9B">
        <w:rPr>
          <w:rFonts w:asciiTheme="majorBidi" w:eastAsia="Calibri" w:hAnsiTheme="majorBidi"/>
          <w:i/>
          <w:iCs/>
        </w:rPr>
        <w:t>2019.</w:t>
      </w:r>
      <w:r w:rsidR="009E278A" w:rsidRPr="00982A9B">
        <w:rPr>
          <w:rFonts w:asciiTheme="majorBidi" w:eastAsia="Calibri" w:hAnsiTheme="majorBidi"/>
          <w:i/>
          <w:iCs/>
        </w:rPr>
        <w:t> </w:t>
      </w:r>
      <w:r w:rsidRPr="00982A9B">
        <w:rPr>
          <w:rFonts w:asciiTheme="majorBidi" w:eastAsia="Calibri" w:hAnsiTheme="majorBidi"/>
          <w:i/>
          <w:iCs/>
        </w:rPr>
        <w:t>gada 5.</w:t>
      </w:r>
      <w:r w:rsidR="00BC23B6">
        <w:rPr>
          <w:rFonts w:asciiTheme="majorBidi" w:eastAsia="Calibri" w:hAnsiTheme="majorBidi"/>
          <w:i/>
          <w:iCs/>
        </w:rPr>
        <w:t> </w:t>
      </w:r>
      <w:r w:rsidRPr="00982A9B">
        <w:rPr>
          <w:rFonts w:asciiTheme="majorBidi" w:eastAsia="Calibri" w:hAnsiTheme="majorBidi"/>
          <w:i/>
          <w:iCs/>
        </w:rPr>
        <w:t xml:space="preserve">novembra lēmuma lietā Nr. SKK-372/2019, </w:t>
      </w:r>
      <w:hyperlink r:id="rId22" w:history="1">
        <w:r w:rsidRPr="00982A9B">
          <w:rPr>
            <w:rFonts w:asciiTheme="majorBidi" w:eastAsia="Aptos" w:hAnsiTheme="majorBidi"/>
            <w:i/>
            <w:iCs/>
            <w:shd w:val="clear" w:color="auto" w:fill="FFFFFF"/>
          </w:rPr>
          <w:t>ECLI:LV:AT:2019:1105.15830019312.3.L</w:t>
        </w:r>
      </w:hyperlink>
      <w:r w:rsidRPr="00982A9B">
        <w:rPr>
          <w:rFonts w:asciiTheme="majorBidi" w:hAnsiTheme="majorBidi"/>
          <w:i/>
          <w:iCs/>
        </w:rPr>
        <w:t>, 6.3. punkts</w:t>
      </w:r>
      <w:r w:rsidRPr="00982A9B">
        <w:rPr>
          <w:rFonts w:asciiTheme="majorBidi" w:eastAsia="Aptos" w:hAnsiTheme="majorBidi"/>
        </w:rPr>
        <w:t>).</w:t>
      </w:r>
    </w:p>
    <w:bookmarkEnd w:id="71"/>
    <w:p w14:paraId="5D9D1AB2" w14:textId="1569D1C8" w:rsidR="00982A9B" w:rsidRPr="00AC4C29" w:rsidRDefault="00AE2149" w:rsidP="00AC4C29">
      <w:pPr>
        <w:spacing w:after="0" w:line="276" w:lineRule="auto"/>
        <w:ind w:firstLine="720"/>
        <w:jc w:val="both"/>
      </w:pPr>
      <w:r w:rsidRPr="00982A9B">
        <w:rPr>
          <w:rFonts w:asciiTheme="majorBidi" w:hAnsiTheme="majorBidi"/>
        </w:rPr>
        <w:t xml:space="preserve">Apelācijas instances tiesai </w:t>
      </w:r>
      <w:r w:rsidR="00982A9B" w:rsidRPr="00982A9B">
        <w:rPr>
          <w:rFonts w:asciiTheme="majorBidi" w:hAnsiTheme="majorBidi"/>
        </w:rPr>
        <w:t xml:space="preserve">būs </w:t>
      </w:r>
      <w:r w:rsidRPr="00982A9B">
        <w:rPr>
          <w:rFonts w:asciiTheme="majorBidi" w:hAnsiTheme="majorBidi"/>
        </w:rPr>
        <w:t xml:space="preserve">jāizvērtē, vai šie vispārīgie noteikumi ir piemērojami </w:t>
      </w:r>
      <w:r w:rsidR="00982A9B" w:rsidRPr="00982A9B">
        <w:rPr>
          <w:rFonts w:asciiTheme="majorBidi" w:hAnsiTheme="majorBidi"/>
        </w:rPr>
        <w:t>arī gadījumos, kad iesniegta nepatiesa uzņēmumu ienākuma nodokļa deklarācija</w:t>
      </w:r>
      <w:r w:rsidR="00982A9B">
        <w:rPr>
          <w:rFonts w:asciiTheme="majorBidi" w:hAnsiTheme="majorBidi"/>
        </w:rPr>
        <w:t>.</w:t>
      </w:r>
    </w:p>
    <w:p w14:paraId="29B0B535" w14:textId="59D8CB60" w:rsidR="00D943C7" w:rsidRDefault="00D943C7" w:rsidP="007A7FD6">
      <w:pPr>
        <w:spacing w:after="0" w:line="276" w:lineRule="auto"/>
        <w:ind w:firstLine="720"/>
        <w:rPr>
          <w:color w:val="000000" w:themeColor="text1"/>
        </w:rPr>
      </w:pPr>
    </w:p>
    <w:p w14:paraId="613AF6E3" w14:textId="75F3EBF9" w:rsidR="00225E2E" w:rsidRPr="00B33787" w:rsidRDefault="00D943C7" w:rsidP="00225E2E">
      <w:pPr>
        <w:spacing w:after="0" w:line="276" w:lineRule="auto"/>
        <w:ind w:firstLine="720"/>
        <w:jc w:val="center"/>
        <w:rPr>
          <w:b/>
          <w:bCs/>
          <w:color w:val="000000" w:themeColor="text1"/>
        </w:rPr>
      </w:pPr>
      <w:r w:rsidRPr="00B33787">
        <w:rPr>
          <w:b/>
          <w:bCs/>
          <w:color w:val="000000" w:themeColor="text1"/>
        </w:rPr>
        <w:t>III</w:t>
      </w:r>
    </w:p>
    <w:p w14:paraId="334827C8" w14:textId="7024F5E8" w:rsidR="00225E2E" w:rsidRPr="00225E2E" w:rsidRDefault="00225E2E" w:rsidP="00225E2E">
      <w:pPr>
        <w:spacing w:after="0" w:line="276" w:lineRule="auto"/>
        <w:ind w:firstLine="720"/>
        <w:jc w:val="center"/>
        <w:rPr>
          <w:rFonts w:eastAsia="Calibri" w:cs="Times New Roman"/>
          <w:i/>
          <w:iCs/>
        </w:rPr>
      </w:pPr>
      <w:r w:rsidRPr="00225E2E">
        <w:rPr>
          <w:i/>
          <w:iCs/>
          <w:color w:val="000000" w:themeColor="text1"/>
        </w:rPr>
        <w:t>Citi jautājumi</w:t>
      </w:r>
    </w:p>
    <w:p w14:paraId="31C3B533" w14:textId="77777777" w:rsidR="00156423" w:rsidRDefault="00156423" w:rsidP="00D46B92">
      <w:pPr>
        <w:spacing w:after="0" w:line="276" w:lineRule="auto"/>
        <w:ind w:firstLine="720"/>
        <w:jc w:val="both"/>
      </w:pPr>
    </w:p>
    <w:p w14:paraId="2596660E" w14:textId="3B4D163A" w:rsidR="006348C7" w:rsidRDefault="00904038" w:rsidP="00D46B92">
      <w:pPr>
        <w:spacing w:after="0" w:line="276" w:lineRule="auto"/>
        <w:ind w:firstLine="720"/>
        <w:jc w:val="both"/>
      </w:pPr>
      <w:r>
        <w:t>[</w:t>
      </w:r>
      <w:r w:rsidR="00E414E1">
        <w:t>1</w:t>
      </w:r>
      <w:r w:rsidR="00EF2D4C">
        <w:t>6</w:t>
      </w:r>
      <w:r>
        <w:t>] Ievērojot to, ka apelācijas instances tiesas</w:t>
      </w:r>
      <w:r w:rsidR="005C4336">
        <w:t xml:space="preserve"> spriedums</w:t>
      </w:r>
      <w:r>
        <w:t xml:space="preserve"> tiek atcelts daļā par apsūdzētā</w:t>
      </w:r>
      <w:r w:rsidR="009A32B1">
        <w:t xml:space="preserve"> </w:t>
      </w:r>
      <w:r w:rsidR="00CC06BC">
        <w:t>[pers. A]</w:t>
      </w:r>
      <w:r w:rsidR="009A32B1">
        <w:t xml:space="preserve"> </w:t>
      </w:r>
      <w:r>
        <w:t xml:space="preserve">atzīšanu par </w:t>
      </w:r>
      <w:r w:rsidRPr="00E414E1">
        <w:rPr>
          <w:color w:val="000000" w:themeColor="text1"/>
        </w:rPr>
        <w:t>vainīgu</w:t>
      </w:r>
      <w:r w:rsidR="00B52F63">
        <w:rPr>
          <w:color w:val="000000" w:themeColor="text1"/>
        </w:rPr>
        <w:t xml:space="preserve"> un</w:t>
      </w:r>
      <w:r w:rsidRPr="00E414E1">
        <w:rPr>
          <w:color w:val="000000" w:themeColor="text1"/>
        </w:rPr>
        <w:t xml:space="preserve"> </w:t>
      </w:r>
      <w:r w:rsidR="00D5559F">
        <w:rPr>
          <w:color w:val="000000" w:themeColor="text1"/>
        </w:rPr>
        <w:t>sodīšanu</w:t>
      </w:r>
      <w:r w:rsidR="009A32B1" w:rsidRPr="009A32B1">
        <w:t xml:space="preserve"> pēc</w:t>
      </w:r>
      <w:r w:rsidR="00D46B92">
        <w:t xml:space="preserve"> Krimināllikuma 218. panta otrās daļas un </w:t>
      </w:r>
      <w:r w:rsidR="007A7FD6">
        <w:t xml:space="preserve">daļā par </w:t>
      </w:r>
      <w:r w:rsidR="00D46B92">
        <w:t xml:space="preserve">apsūdzētās </w:t>
      </w:r>
      <w:r w:rsidR="00CC06BC">
        <w:t>[pers. B]</w:t>
      </w:r>
      <w:r w:rsidR="00D46B92">
        <w:t xml:space="preserve"> atzīšanu par vainīgu un </w:t>
      </w:r>
      <w:r w:rsidR="00D5559F">
        <w:t>sodīšanu</w:t>
      </w:r>
      <w:r w:rsidR="00D46B92">
        <w:t xml:space="preserve"> pēc </w:t>
      </w:r>
      <w:r w:rsidR="009A32B1" w:rsidRPr="009A32B1">
        <w:t xml:space="preserve">Krimināllikuma </w:t>
      </w:r>
      <w:r w:rsidR="009A32B1">
        <w:t xml:space="preserve">20. panta ceturtās daļas un </w:t>
      </w:r>
      <w:r w:rsidR="009A32B1" w:rsidRPr="009A32B1">
        <w:t>218.</w:t>
      </w:r>
      <w:r w:rsidR="009A32B1">
        <w:t> </w:t>
      </w:r>
      <w:r w:rsidR="009A32B1" w:rsidRPr="009A32B1">
        <w:t>panta otrās daļas</w:t>
      </w:r>
      <w:r w:rsidR="00B52F63">
        <w:t>,</w:t>
      </w:r>
      <w:r w:rsidR="009A32B1" w:rsidRPr="009A32B1">
        <w:t xml:space="preserve"> </w:t>
      </w:r>
      <w:r>
        <w:t>un lieta šajā daļā tiesai ir jāizskata no jauna</w:t>
      </w:r>
      <w:r w:rsidR="009A32B1">
        <w:t xml:space="preserve"> </w:t>
      </w:r>
      <w:r>
        <w:t>atbilstoši Kriminālprocesa likuma 53.</w:t>
      </w:r>
      <w:r w:rsidR="009A32B1">
        <w:t> </w:t>
      </w:r>
      <w:r>
        <w:t>nodaļas prasībām, pārējie kasācijas sūdzībā</w:t>
      </w:r>
      <w:r w:rsidR="002F0F4C">
        <w:t>s</w:t>
      </w:r>
      <w:r w:rsidR="009A32B1">
        <w:t xml:space="preserve"> </w:t>
      </w:r>
      <w:r>
        <w:t xml:space="preserve">norādītie argumenti </w:t>
      </w:r>
      <w:r w:rsidR="00982A9B">
        <w:t>jāizvērtē</w:t>
      </w:r>
      <w:r w:rsidR="009A32B1">
        <w:t xml:space="preserve"> </w:t>
      </w:r>
      <w:r>
        <w:t>apelācijas</w:t>
      </w:r>
      <w:r w:rsidR="00D46B92">
        <w:t xml:space="preserve"> instances ties</w:t>
      </w:r>
      <w:r w:rsidR="00982A9B">
        <w:t>ai</w:t>
      </w:r>
      <w:r w:rsidR="00D46B92">
        <w:t>.</w:t>
      </w:r>
    </w:p>
    <w:p w14:paraId="7ED662F6" w14:textId="77777777" w:rsidR="00466E5D" w:rsidRDefault="00466E5D" w:rsidP="00D46B92">
      <w:pPr>
        <w:spacing w:after="0" w:line="276" w:lineRule="auto"/>
        <w:ind w:firstLine="720"/>
        <w:jc w:val="both"/>
      </w:pPr>
    </w:p>
    <w:p w14:paraId="2A3AA02F" w14:textId="175A8EAE" w:rsidR="009A32B1" w:rsidRDefault="006348C7" w:rsidP="00CE526D">
      <w:pPr>
        <w:spacing w:after="0" w:line="276" w:lineRule="auto"/>
        <w:ind w:firstLine="720"/>
        <w:jc w:val="both"/>
      </w:pPr>
      <w:r>
        <w:t>[1</w:t>
      </w:r>
      <w:r w:rsidR="00EF2D4C">
        <w:t>7</w:t>
      </w:r>
      <w:r>
        <w:t xml:space="preserve">] </w:t>
      </w:r>
      <w:r w:rsidR="009A32B1">
        <w:t xml:space="preserve">Apsūdzētajiem </w:t>
      </w:r>
      <w:r w:rsidR="00CC06BC">
        <w:t>[pers. A]</w:t>
      </w:r>
      <w:r w:rsidR="009A32B1">
        <w:t xml:space="preserve"> un </w:t>
      </w:r>
      <w:r w:rsidR="00CC06BC">
        <w:t>[pers. B]</w:t>
      </w:r>
      <w:r w:rsidR="009A32B1">
        <w:t xml:space="preserve"> drošības līdzeklis nav piemērots.</w:t>
      </w:r>
    </w:p>
    <w:p w14:paraId="55E820AC" w14:textId="4B55E5F3" w:rsidR="009A32B1" w:rsidRDefault="009A32B1" w:rsidP="009A32B1">
      <w:pPr>
        <w:spacing w:after="0" w:line="276" w:lineRule="auto"/>
        <w:ind w:firstLine="720"/>
        <w:jc w:val="both"/>
      </w:pPr>
      <w:r>
        <w:lastRenderedPageBreak/>
        <w:t>Senāts atzīst, ka drošības līdzekļa piemērošanai apsūdzētajiem šajā kriminālprocesa stadijā nav tiesiska pamata.</w:t>
      </w:r>
    </w:p>
    <w:p w14:paraId="6AEA11F9" w14:textId="77777777" w:rsidR="009A32B1" w:rsidRDefault="009A32B1" w:rsidP="009A32B1">
      <w:pPr>
        <w:spacing w:after="0" w:line="276" w:lineRule="auto"/>
        <w:ind w:firstLine="720"/>
        <w:jc w:val="both"/>
      </w:pPr>
    </w:p>
    <w:p w14:paraId="7B19DF7F" w14:textId="77777777" w:rsidR="006348C7" w:rsidRPr="006348C7" w:rsidRDefault="006348C7" w:rsidP="006348C7">
      <w:pPr>
        <w:spacing w:after="0" w:line="276" w:lineRule="auto"/>
        <w:ind w:firstLine="720"/>
        <w:jc w:val="center"/>
        <w:rPr>
          <w:b/>
          <w:bCs/>
        </w:rPr>
      </w:pPr>
      <w:r w:rsidRPr="006348C7">
        <w:rPr>
          <w:b/>
          <w:bCs/>
        </w:rPr>
        <w:t>Rezolutīvā daļa</w:t>
      </w:r>
    </w:p>
    <w:p w14:paraId="2AA017DB" w14:textId="77777777" w:rsidR="006348C7" w:rsidRDefault="006348C7" w:rsidP="006348C7">
      <w:pPr>
        <w:spacing w:after="0" w:line="276" w:lineRule="auto"/>
        <w:ind w:firstLine="720"/>
        <w:jc w:val="both"/>
      </w:pPr>
    </w:p>
    <w:p w14:paraId="5ABFE4D4" w14:textId="3101E5FB" w:rsidR="006348C7" w:rsidRDefault="006348C7" w:rsidP="006348C7">
      <w:pPr>
        <w:spacing w:after="0" w:line="276" w:lineRule="auto"/>
        <w:ind w:firstLine="720"/>
        <w:jc w:val="both"/>
      </w:pPr>
      <w:r>
        <w:t>Pamatojoties uz Kriminālprocesa likuma 585.</w:t>
      </w:r>
      <w:r w:rsidR="00647594">
        <w:t> </w:t>
      </w:r>
      <w:r>
        <w:t>pantu un 587.</w:t>
      </w:r>
      <w:r w:rsidR="00647594">
        <w:t> </w:t>
      </w:r>
      <w:r>
        <w:t>panta pirmās daļas 2.</w:t>
      </w:r>
      <w:r w:rsidR="00647594">
        <w:t> </w:t>
      </w:r>
      <w:r>
        <w:t>punktu, Senāts</w:t>
      </w:r>
    </w:p>
    <w:p w14:paraId="02CEAF3D" w14:textId="77777777" w:rsidR="00715B80" w:rsidRDefault="00715B80" w:rsidP="006348C7">
      <w:pPr>
        <w:spacing w:after="0" w:line="276" w:lineRule="auto"/>
        <w:ind w:firstLine="720"/>
        <w:jc w:val="both"/>
      </w:pPr>
    </w:p>
    <w:p w14:paraId="243391F2" w14:textId="77777777" w:rsidR="006348C7" w:rsidRPr="006348C7" w:rsidRDefault="006348C7" w:rsidP="006348C7">
      <w:pPr>
        <w:spacing w:after="0" w:line="276" w:lineRule="auto"/>
        <w:ind w:firstLine="720"/>
        <w:jc w:val="center"/>
        <w:rPr>
          <w:b/>
          <w:bCs/>
        </w:rPr>
      </w:pPr>
      <w:r w:rsidRPr="006348C7">
        <w:rPr>
          <w:b/>
          <w:bCs/>
        </w:rPr>
        <w:t>nolēma</w:t>
      </w:r>
    </w:p>
    <w:p w14:paraId="6972B0C0" w14:textId="77777777" w:rsidR="006348C7" w:rsidRDefault="006348C7" w:rsidP="006348C7">
      <w:pPr>
        <w:spacing w:after="0" w:line="276" w:lineRule="auto"/>
        <w:ind w:firstLine="720"/>
        <w:jc w:val="both"/>
      </w:pPr>
    </w:p>
    <w:p w14:paraId="4771FC68" w14:textId="77777777" w:rsidR="00146B89" w:rsidRDefault="00904038" w:rsidP="00442020">
      <w:pPr>
        <w:spacing w:after="0" w:line="276" w:lineRule="auto"/>
        <w:ind w:firstLine="720"/>
        <w:jc w:val="both"/>
      </w:pPr>
      <w:r>
        <w:t xml:space="preserve">atcelt </w:t>
      </w:r>
      <w:bookmarkStart w:id="72" w:name="_Hlk199245133"/>
      <w:r w:rsidR="009A32B1">
        <w:t>Rīgas apgabaltiesas 2024. gada 17. aprīļa spriedumu</w:t>
      </w:r>
      <w:r w:rsidR="009A32B1" w:rsidRPr="009A32B1">
        <w:t xml:space="preserve"> </w:t>
      </w:r>
      <w:bookmarkEnd w:id="72"/>
      <w:r w:rsidR="009A32B1" w:rsidRPr="009A32B1">
        <w:t>daļā</w:t>
      </w:r>
      <w:r w:rsidR="00146B89">
        <w:t>:</w:t>
      </w:r>
    </w:p>
    <w:p w14:paraId="38FD3E68" w14:textId="70748A3A" w:rsidR="00146B89" w:rsidRDefault="009A32B1" w:rsidP="00946212">
      <w:pPr>
        <w:spacing w:after="0" w:line="276" w:lineRule="auto"/>
        <w:ind w:firstLine="720"/>
        <w:jc w:val="both"/>
      </w:pPr>
      <w:r w:rsidRPr="009A32B1">
        <w:t xml:space="preserve">par apsūdzētā </w:t>
      </w:r>
      <w:r w:rsidR="002A2B9A">
        <w:t>[pers. A]</w:t>
      </w:r>
      <w:r w:rsidRPr="009A32B1">
        <w:t xml:space="preserve"> atzīšanu par vainīgu </w:t>
      </w:r>
      <w:r w:rsidR="00146B89">
        <w:t xml:space="preserve">un </w:t>
      </w:r>
      <w:r w:rsidR="00D5559F">
        <w:t>sodīšanu</w:t>
      </w:r>
      <w:r w:rsidR="00146B89">
        <w:t xml:space="preserve"> </w:t>
      </w:r>
      <w:r w:rsidRPr="009A32B1">
        <w:t>pēc Krimināllikuma 218.</w:t>
      </w:r>
      <w:r>
        <w:t> </w:t>
      </w:r>
      <w:r w:rsidRPr="009A32B1">
        <w:t>panta otrās daļas</w:t>
      </w:r>
      <w:r w:rsidR="00146B89">
        <w:t>;</w:t>
      </w:r>
    </w:p>
    <w:p w14:paraId="21139E94" w14:textId="7BDE425C" w:rsidR="00146B89" w:rsidRDefault="00146B89" w:rsidP="00442020">
      <w:pPr>
        <w:spacing w:after="0" w:line="276" w:lineRule="auto"/>
        <w:ind w:firstLine="720"/>
        <w:jc w:val="both"/>
      </w:pPr>
      <w:r>
        <w:t>par</w:t>
      </w:r>
      <w:r w:rsidR="009A32B1" w:rsidRPr="009A32B1">
        <w:t xml:space="preserve"> </w:t>
      </w:r>
      <w:r w:rsidR="00D57D37">
        <w:t xml:space="preserve">apsūdzētās </w:t>
      </w:r>
      <w:r w:rsidR="002A2B9A">
        <w:t>[pers. B]</w:t>
      </w:r>
      <w:r w:rsidR="009A32B1" w:rsidRPr="009A32B1">
        <w:t xml:space="preserve"> atzīšanu par vainīgu </w:t>
      </w:r>
      <w:r>
        <w:t xml:space="preserve">un </w:t>
      </w:r>
      <w:r w:rsidR="00D5559F">
        <w:t>sodīšanu</w:t>
      </w:r>
      <w:r>
        <w:t xml:space="preserve"> </w:t>
      </w:r>
      <w:r w:rsidR="009A32B1" w:rsidRPr="009A32B1">
        <w:t>pēc Krimināllikuma 20.</w:t>
      </w:r>
      <w:r w:rsidR="00442020">
        <w:t> </w:t>
      </w:r>
      <w:r w:rsidR="009A32B1" w:rsidRPr="009A32B1">
        <w:t>panta ceturtās daļas un 218.</w:t>
      </w:r>
      <w:r w:rsidR="00442020">
        <w:t> </w:t>
      </w:r>
      <w:r w:rsidR="009A32B1" w:rsidRPr="009A32B1">
        <w:t>panta otrās daļas</w:t>
      </w:r>
      <w:r w:rsidR="00442020">
        <w:t xml:space="preserve">; </w:t>
      </w:r>
    </w:p>
    <w:p w14:paraId="73A8B5C8" w14:textId="067CA739" w:rsidR="00146B89" w:rsidRDefault="00146B89" w:rsidP="00146B89">
      <w:pPr>
        <w:spacing w:after="0" w:line="276" w:lineRule="auto"/>
        <w:ind w:firstLine="720"/>
      </w:pPr>
      <w:r>
        <w:t>atceltajā daļā lietu nosūtīt jaunai izskatīšanai Rīgas apgabaltiesā;</w:t>
      </w:r>
    </w:p>
    <w:p w14:paraId="7C03B25F" w14:textId="13C0C169" w:rsidR="00146B89" w:rsidRDefault="00146B89" w:rsidP="00146B89">
      <w:pPr>
        <w:spacing w:after="0" w:line="276" w:lineRule="auto"/>
        <w:ind w:firstLine="720"/>
        <w:jc w:val="both"/>
      </w:pPr>
      <w:r>
        <w:t xml:space="preserve">pārējā daļā </w:t>
      </w:r>
      <w:r w:rsidRPr="00146B89">
        <w:t>Rīgas apgabaltiesas 2024.</w:t>
      </w:r>
      <w:r>
        <w:t> </w:t>
      </w:r>
      <w:r w:rsidRPr="00146B89">
        <w:t>gada 17.</w:t>
      </w:r>
      <w:r>
        <w:t> </w:t>
      </w:r>
      <w:r w:rsidRPr="00146B89">
        <w:t xml:space="preserve">aprīļa spriedumu </w:t>
      </w:r>
      <w:r>
        <w:t>atstāt negrozītu.</w:t>
      </w:r>
    </w:p>
    <w:p w14:paraId="47AE086D" w14:textId="77777777" w:rsidR="009A4818" w:rsidRDefault="009A4818" w:rsidP="00146B89">
      <w:pPr>
        <w:spacing w:after="0" w:line="276" w:lineRule="auto"/>
        <w:ind w:firstLine="720"/>
        <w:jc w:val="both"/>
      </w:pPr>
    </w:p>
    <w:p w14:paraId="0E27274D" w14:textId="5FE75B07" w:rsidR="00104F5A" w:rsidRDefault="00442020" w:rsidP="00CE1B58">
      <w:pPr>
        <w:spacing w:after="0" w:line="276" w:lineRule="auto"/>
        <w:ind w:firstLine="720"/>
        <w:jc w:val="both"/>
      </w:pPr>
      <w:r>
        <w:t>Lēmums nav pārsūdzams.</w:t>
      </w:r>
    </w:p>
    <w:sectPr w:rsidR="00104F5A" w:rsidSect="00851EAE">
      <w:footerReference w:type="default" r:id="rId23"/>
      <w:footerReference w:type="first" r:id="rId24"/>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925F0" w14:textId="77777777" w:rsidR="00811959" w:rsidRDefault="00811959" w:rsidP="00A477E2">
      <w:pPr>
        <w:spacing w:after="0" w:line="240" w:lineRule="auto"/>
      </w:pPr>
      <w:r>
        <w:separator/>
      </w:r>
    </w:p>
  </w:endnote>
  <w:endnote w:type="continuationSeparator" w:id="0">
    <w:p w14:paraId="0468E6E4" w14:textId="77777777" w:rsidR="00811959" w:rsidRDefault="00811959" w:rsidP="00A47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238817"/>
      <w:docPartObj>
        <w:docPartGallery w:val="Page Numbers (Bottom of Page)"/>
        <w:docPartUnique/>
      </w:docPartObj>
    </w:sdtPr>
    <w:sdtEndPr/>
    <w:sdtContent>
      <w:sdt>
        <w:sdtPr>
          <w:id w:val="1831482845"/>
          <w:docPartObj>
            <w:docPartGallery w:val="Page Numbers (Top of Page)"/>
            <w:docPartUnique/>
          </w:docPartObj>
        </w:sdtPr>
        <w:sdtEndPr/>
        <w:sdtContent>
          <w:p w14:paraId="60B9A153" w14:textId="57446B0C" w:rsidR="00851EAE" w:rsidRDefault="00851EAE">
            <w:pPr>
              <w:pStyle w:val="Footer"/>
              <w:jc w:val="center"/>
            </w:pPr>
            <w:r w:rsidRPr="00851EAE">
              <w:rPr>
                <w:sz w:val="22"/>
                <w:szCs w:val="22"/>
              </w:rPr>
              <w:fldChar w:fldCharType="begin"/>
            </w:r>
            <w:r w:rsidRPr="00851EAE">
              <w:rPr>
                <w:sz w:val="22"/>
                <w:szCs w:val="22"/>
              </w:rPr>
              <w:instrText xml:space="preserve"> PAGE </w:instrText>
            </w:r>
            <w:r w:rsidRPr="00851EAE">
              <w:rPr>
                <w:sz w:val="22"/>
                <w:szCs w:val="22"/>
              </w:rPr>
              <w:fldChar w:fldCharType="separate"/>
            </w:r>
            <w:r w:rsidRPr="00851EAE">
              <w:rPr>
                <w:noProof/>
                <w:sz w:val="22"/>
                <w:szCs w:val="22"/>
              </w:rPr>
              <w:t>2</w:t>
            </w:r>
            <w:r w:rsidRPr="00851EAE">
              <w:rPr>
                <w:sz w:val="22"/>
                <w:szCs w:val="22"/>
              </w:rPr>
              <w:fldChar w:fldCharType="end"/>
            </w:r>
            <w:r w:rsidRPr="00851EAE">
              <w:rPr>
                <w:sz w:val="22"/>
                <w:szCs w:val="22"/>
              </w:rPr>
              <w:t xml:space="preserve"> no </w:t>
            </w:r>
            <w:r w:rsidRPr="00851EAE">
              <w:rPr>
                <w:sz w:val="22"/>
                <w:szCs w:val="22"/>
              </w:rPr>
              <w:fldChar w:fldCharType="begin"/>
            </w:r>
            <w:r w:rsidRPr="00851EAE">
              <w:rPr>
                <w:sz w:val="22"/>
                <w:szCs w:val="22"/>
              </w:rPr>
              <w:instrText xml:space="preserve"> NUMPAGES  </w:instrText>
            </w:r>
            <w:r w:rsidRPr="00851EAE">
              <w:rPr>
                <w:sz w:val="22"/>
                <w:szCs w:val="22"/>
              </w:rPr>
              <w:fldChar w:fldCharType="separate"/>
            </w:r>
            <w:r w:rsidRPr="00851EAE">
              <w:rPr>
                <w:noProof/>
                <w:sz w:val="22"/>
                <w:szCs w:val="22"/>
              </w:rPr>
              <w:t>2</w:t>
            </w:r>
            <w:r w:rsidRPr="00851EAE">
              <w:rPr>
                <w:sz w:val="22"/>
                <w:szCs w:val="22"/>
              </w:rPr>
              <w:fldChar w:fldCharType="end"/>
            </w:r>
          </w:p>
        </w:sdtContent>
      </w:sdt>
    </w:sdtContent>
  </w:sdt>
  <w:p w14:paraId="0E81DCC8" w14:textId="77777777" w:rsidR="00A477E2" w:rsidRDefault="00A47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3945021"/>
      <w:docPartObj>
        <w:docPartGallery w:val="Page Numbers (Bottom of Page)"/>
        <w:docPartUnique/>
      </w:docPartObj>
    </w:sdtPr>
    <w:sdtEndPr/>
    <w:sdtContent>
      <w:sdt>
        <w:sdtPr>
          <w:id w:val="1728636285"/>
          <w:docPartObj>
            <w:docPartGallery w:val="Page Numbers (Top of Page)"/>
            <w:docPartUnique/>
          </w:docPartObj>
        </w:sdtPr>
        <w:sdtEndPr/>
        <w:sdtContent>
          <w:p w14:paraId="611B66CA" w14:textId="394D29D8" w:rsidR="00851EAE" w:rsidRDefault="00851EAE">
            <w:pPr>
              <w:pStyle w:val="Footer"/>
              <w:jc w:val="center"/>
            </w:pPr>
            <w:proofErr w:type="spellStart"/>
            <w:r>
              <w:t>Page</w:t>
            </w:r>
            <w:proofErr w:type="spellEnd"/>
            <w:r>
              <w:t xml:space="preserv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w:t>
            </w:r>
            <w:proofErr w:type="spellStart"/>
            <w:r>
              <w:t>of</w:t>
            </w:r>
            <w:proofErr w:type="spellEnd"/>
            <w:r>
              <w:t xml:space="preserve">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4271300" w14:textId="77777777" w:rsidR="00851EAE" w:rsidRPr="00851EAE" w:rsidRDefault="00851EAE">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A1EA1" w14:textId="77777777" w:rsidR="00811959" w:rsidRDefault="00811959" w:rsidP="00A477E2">
      <w:pPr>
        <w:spacing w:after="0" w:line="240" w:lineRule="auto"/>
      </w:pPr>
      <w:r>
        <w:separator/>
      </w:r>
    </w:p>
  </w:footnote>
  <w:footnote w:type="continuationSeparator" w:id="0">
    <w:p w14:paraId="4E3AD595" w14:textId="77777777" w:rsidR="00811959" w:rsidRDefault="00811959" w:rsidP="00A47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258"/>
    <w:multiLevelType w:val="hybridMultilevel"/>
    <w:tmpl w:val="6192A976"/>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F4266"/>
    <w:multiLevelType w:val="hybridMultilevel"/>
    <w:tmpl w:val="77E87448"/>
    <w:lvl w:ilvl="0" w:tplc="B604461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AC1940"/>
    <w:multiLevelType w:val="hybridMultilevel"/>
    <w:tmpl w:val="4ECC60EE"/>
    <w:lvl w:ilvl="0" w:tplc="B1A8E7E2">
      <w:start w:val="3"/>
      <w:numFmt w:val="bullet"/>
      <w:lvlText w:val="-"/>
      <w:lvlJc w:val="left"/>
      <w:pPr>
        <w:ind w:left="720" w:hanging="360"/>
      </w:pPr>
      <w:rPr>
        <w:rFonts w:ascii="Aptos" w:eastAsia="Calibri" w:hAnsi="Aptos"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91AA5"/>
    <w:multiLevelType w:val="hybridMultilevel"/>
    <w:tmpl w:val="B8D09EB4"/>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A309CD"/>
    <w:multiLevelType w:val="hybridMultilevel"/>
    <w:tmpl w:val="9AE4A52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7966324"/>
    <w:multiLevelType w:val="hybridMultilevel"/>
    <w:tmpl w:val="4D68EA5A"/>
    <w:lvl w:ilvl="0" w:tplc="ED12678E">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AE54B06"/>
    <w:multiLevelType w:val="multilevel"/>
    <w:tmpl w:val="D758E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C231DF"/>
    <w:multiLevelType w:val="hybridMultilevel"/>
    <w:tmpl w:val="FC76DE1A"/>
    <w:lvl w:ilvl="0" w:tplc="85E651A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FAA53E0"/>
    <w:multiLevelType w:val="hybridMultilevel"/>
    <w:tmpl w:val="8F808A92"/>
    <w:lvl w:ilvl="0" w:tplc="0409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8C77421"/>
    <w:multiLevelType w:val="hybridMultilevel"/>
    <w:tmpl w:val="4CC6C2C8"/>
    <w:lvl w:ilvl="0" w:tplc="E9C6F1C6">
      <w:start w:val="1"/>
      <w:numFmt w:val="decimal"/>
      <w:lvlText w:val="%1)"/>
      <w:lvlJc w:val="left"/>
      <w:pPr>
        <w:ind w:left="1080" w:hanging="360"/>
      </w:pPr>
      <w:rPr>
        <w:rFonts w:ascii="Times New Roman" w:eastAsiaTheme="minorHAnsi" w:hAnsi="Times New Roman" w:cstheme="minorBid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F8B6985"/>
    <w:multiLevelType w:val="multilevel"/>
    <w:tmpl w:val="A8C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B5A10"/>
    <w:multiLevelType w:val="hybridMultilevel"/>
    <w:tmpl w:val="C4CAEFFC"/>
    <w:lvl w:ilvl="0" w:tplc="778832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310211"/>
    <w:multiLevelType w:val="multilevel"/>
    <w:tmpl w:val="0E38E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A900A1"/>
    <w:multiLevelType w:val="hybridMultilevel"/>
    <w:tmpl w:val="2660AAC6"/>
    <w:lvl w:ilvl="0" w:tplc="3C2000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2F0713"/>
    <w:multiLevelType w:val="multilevel"/>
    <w:tmpl w:val="09F2D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234E12"/>
    <w:multiLevelType w:val="multilevel"/>
    <w:tmpl w:val="B4DCD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9B2EBC"/>
    <w:multiLevelType w:val="hybridMultilevel"/>
    <w:tmpl w:val="457E8986"/>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B4E18DE"/>
    <w:multiLevelType w:val="hybridMultilevel"/>
    <w:tmpl w:val="6E703FF4"/>
    <w:lvl w:ilvl="0" w:tplc="8C4CE6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CF7731"/>
    <w:multiLevelType w:val="multilevel"/>
    <w:tmpl w:val="EB863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282DE2"/>
    <w:multiLevelType w:val="multilevel"/>
    <w:tmpl w:val="C180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2C0D8E"/>
    <w:multiLevelType w:val="hybridMultilevel"/>
    <w:tmpl w:val="9AE4A52A"/>
    <w:lvl w:ilvl="0" w:tplc="064CE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D3B4E65"/>
    <w:multiLevelType w:val="hybridMultilevel"/>
    <w:tmpl w:val="83BAFA36"/>
    <w:lvl w:ilvl="0" w:tplc="9A3C8AF0">
      <w:start w:val="5"/>
      <w:numFmt w:val="decimal"/>
      <w:lvlText w:val="%1."/>
      <w:lvlJc w:val="left"/>
      <w:pPr>
        <w:ind w:left="810" w:hanging="360"/>
      </w:pPr>
      <w:rPr>
        <w:rFonts w:hint="default"/>
      </w:rPr>
    </w:lvl>
    <w:lvl w:ilvl="1" w:tplc="04260019">
      <w:start w:val="1"/>
      <w:numFmt w:val="lowerLetter"/>
      <w:lvlText w:val="%2."/>
      <w:lvlJc w:val="left"/>
      <w:pPr>
        <w:ind w:left="1530" w:hanging="360"/>
      </w:pPr>
    </w:lvl>
    <w:lvl w:ilvl="2" w:tplc="0426001B" w:tentative="1">
      <w:start w:val="1"/>
      <w:numFmt w:val="lowerRoman"/>
      <w:lvlText w:val="%3."/>
      <w:lvlJc w:val="right"/>
      <w:pPr>
        <w:ind w:left="2250" w:hanging="180"/>
      </w:pPr>
    </w:lvl>
    <w:lvl w:ilvl="3" w:tplc="0426000F" w:tentative="1">
      <w:start w:val="1"/>
      <w:numFmt w:val="decimal"/>
      <w:lvlText w:val="%4."/>
      <w:lvlJc w:val="left"/>
      <w:pPr>
        <w:ind w:left="2970" w:hanging="360"/>
      </w:pPr>
    </w:lvl>
    <w:lvl w:ilvl="4" w:tplc="04260019" w:tentative="1">
      <w:start w:val="1"/>
      <w:numFmt w:val="lowerLetter"/>
      <w:lvlText w:val="%5."/>
      <w:lvlJc w:val="left"/>
      <w:pPr>
        <w:ind w:left="3690" w:hanging="360"/>
      </w:pPr>
    </w:lvl>
    <w:lvl w:ilvl="5" w:tplc="0426001B" w:tentative="1">
      <w:start w:val="1"/>
      <w:numFmt w:val="lowerRoman"/>
      <w:lvlText w:val="%6."/>
      <w:lvlJc w:val="right"/>
      <w:pPr>
        <w:ind w:left="4410" w:hanging="180"/>
      </w:pPr>
    </w:lvl>
    <w:lvl w:ilvl="6" w:tplc="0426000F" w:tentative="1">
      <w:start w:val="1"/>
      <w:numFmt w:val="decimal"/>
      <w:lvlText w:val="%7."/>
      <w:lvlJc w:val="left"/>
      <w:pPr>
        <w:ind w:left="5130" w:hanging="360"/>
      </w:pPr>
    </w:lvl>
    <w:lvl w:ilvl="7" w:tplc="04260019" w:tentative="1">
      <w:start w:val="1"/>
      <w:numFmt w:val="lowerLetter"/>
      <w:lvlText w:val="%8."/>
      <w:lvlJc w:val="left"/>
      <w:pPr>
        <w:ind w:left="5850" w:hanging="360"/>
      </w:pPr>
    </w:lvl>
    <w:lvl w:ilvl="8" w:tplc="0426001B" w:tentative="1">
      <w:start w:val="1"/>
      <w:numFmt w:val="lowerRoman"/>
      <w:lvlText w:val="%9."/>
      <w:lvlJc w:val="right"/>
      <w:pPr>
        <w:ind w:left="6570" w:hanging="180"/>
      </w:pPr>
    </w:lvl>
  </w:abstractNum>
  <w:abstractNum w:abstractNumId="22" w15:restartNumberingAfterBreak="0">
    <w:nsid w:val="713A0D28"/>
    <w:multiLevelType w:val="multilevel"/>
    <w:tmpl w:val="C5E2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91D25C9"/>
    <w:multiLevelType w:val="hybridMultilevel"/>
    <w:tmpl w:val="ABDA4E44"/>
    <w:lvl w:ilvl="0" w:tplc="85E651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C17303"/>
    <w:multiLevelType w:val="multilevel"/>
    <w:tmpl w:val="2BCED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9099389">
    <w:abstractNumId w:val="9"/>
  </w:num>
  <w:num w:numId="2" w16cid:durableId="170729118">
    <w:abstractNumId w:val="24"/>
  </w:num>
  <w:num w:numId="3" w16cid:durableId="2006085551">
    <w:abstractNumId w:val="10"/>
  </w:num>
  <w:num w:numId="4" w16cid:durableId="308946045">
    <w:abstractNumId w:val="0"/>
  </w:num>
  <w:num w:numId="5" w16cid:durableId="341781194">
    <w:abstractNumId w:val="19"/>
  </w:num>
  <w:num w:numId="6" w16cid:durableId="1706445485">
    <w:abstractNumId w:val="14"/>
  </w:num>
  <w:num w:numId="7" w16cid:durableId="1637249887">
    <w:abstractNumId w:val="2"/>
  </w:num>
  <w:num w:numId="8" w16cid:durableId="501745179">
    <w:abstractNumId w:val="21"/>
  </w:num>
  <w:num w:numId="9" w16cid:durableId="143667022">
    <w:abstractNumId w:val="20"/>
  </w:num>
  <w:num w:numId="10" w16cid:durableId="545408756">
    <w:abstractNumId w:val="4"/>
  </w:num>
  <w:num w:numId="11" w16cid:durableId="171725461">
    <w:abstractNumId w:val="12"/>
  </w:num>
  <w:num w:numId="12" w16cid:durableId="497843510">
    <w:abstractNumId w:val="1"/>
  </w:num>
  <w:num w:numId="13" w16cid:durableId="354843771">
    <w:abstractNumId w:val="16"/>
  </w:num>
  <w:num w:numId="14" w16cid:durableId="1327055616">
    <w:abstractNumId w:val="13"/>
  </w:num>
  <w:num w:numId="15" w16cid:durableId="1547717897">
    <w:abstractNumId w:val="3"/>
  </w:num>
  <w:num w:numId="16" w16cid:durableId="1545868393">
    <w:abstractNumId w:val="17"/>
  </w:num>
  <w:num w:numId="17" w16cid:durableId="1634871955">
    <w:abstractNumId w:val="5"/>
  </w:num>
  <w:num w:numId="18" w16cid:durableId="1835679280">
    <w:abstractNumId w:val="7"/>
  </w:num>
  <w:num w:numId="19" w16cid:durableId="145783874">
    <w:abstractNumId w:val="18"/>
  </w:num>
  <w:num w:numId="20" w16cid:durableId="1628929472">
    <w:abstractNumId w:val="15"/>
  </w:num>
  <w:num w:numId="21" w16cid:durableId="304504133">
    <w:abstractNumId w:val="22"/>
  </w:num>
  <w:num w:numId="22" w16cid:durableId="1262950499">
    <w:abstractNumId w:val="11"/>
  </w:num>
  <w:num w:numId="23" w16cid:durableId="2085715226">
    <w:abstractNumId w:val="8"/>
  </w:num>
  <w:num w:numId="24" w16cid:durableId="1448695973">
    <w:abstractNumId w:val="23"/>
  </w:num>
  <w:num w:numId="25" w16cid:durableId="18873734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289"/>
    <w:rsid w:val="00000BD0"/>
    <w:rsid w:val="00003875"/>
    <w:rsid w:val="000075B1"/>
    <w:rsid w:val="00007C8D"/>
    <w:rsid w:val="00011A4E"/>
    <w:rsid w:val="00012043"/>
    <w:rsid w:val="0001249A"/>
    <w:rsid w:val="0001259A"/>
    <w:rsid w:val="0001425A"/>
    <w:rsid w:val="000153CD"/>
    <w:rsid w:val="00017373"/>
    <w:rsid w:val="0001740A"/>
    <w:rsid w:val="00020CA2"/>
    <w:rsid w:val="00021448"/>
    <w:rsid w:val="00021B2C"/>
    <w:rsid w:val="00023660"/>
    <w:rsid w:val="00023A39"/>
    <w:rsid w:val="0002696F"/>
    <w:rsid w:val="000274A1"/>
    <w:rsid w:val="00032DD7"/>
    <w:rsid w:val="0003683E"/>
    <w:rsid w:val="00040DF2"/>
    <w:rsid w:val="000412EC"/>
    <w:rsid w:val="00042BE4"/>
    <w:rsid w:val="00047B88"/>
    <w:rsid w:val="00047D54"/>
    <w:rsid w:val="00047ED2"/>
    <w:rsid w:val="000501E6"/>
    <w:rsid w:val="00051971"/>
    <w:rsid w:val="00052445"/>
    <w:rsid w:val="0005332A"/>
    <w:rsid w:val="0005487E"/>
    <w:rsid w:val="00055289"/>
    <w:rsid w:val="0006173E"/>
    <w:rsid w:val="0006427C"/>
    <w:rsid w:val="00065909"/>
    <w:rsid w:val="0007043E"/>
    <w:rsid w:val="0007351D"/>
    <w:rsid w:val="00075B94"/>
    <w:rsid w:val="000815BC"/>
    <w:rsid w:val="00081AF9"/>
    <w:rsid w:val="0008249C"/>
    <w:rsid w:val="00083185"/>
    <w:rsid w:val="00084DD6"/>
    <w:rsid w:val="00086E19"/>
    <w:rsid w:val="00092819"/>
    <w:rsid w:val="0009373C"/>
    <w:rsid w:val="00093767"/>
    <w:rsid w:val="00093AB6"/>
    <w:rsid w:val="00094B9E"/>
    <w:rsid w:val="00094DDD"/>
    <w:rsid w:val="00095B37"/>
    <w:rsid w:val="0009634A"/>
    <w:rsid w:val="000A20FA"/>
    <w:rsid w:val="000A2851"/>
    <w:rsid w:val="000A31BA"/>
    <w:rsid w:val="000A59FF"/>
    <w:rsid w:val="000A6961"/>
    <w:rsid w:val="000A7274"/>
    <w:rsid w:val="000B1DD2"/>
    <w:rsid w:val="000B24EE"/>
    <w:rsid w:val="000B352E"/>
    <w:rsid w:val="000C7519"/>
    <w:rsid w:val="000C7811"/>
    <w:rsid w:val="000C7AD1"/>
    <w:rsid w:val="000D0DF7"/>
    <w:rsid w:val="000D5FFF"/>
    <w:rsid w:val="000D6AF0"/>
    <w:rsid w:val="000D775D"/>
    <w:rsid w:val="000D7BD3"/>
    <w:rsid w:val="000E1572"/>
    <w:rsid w:val="000E4992"/>
    <w:rsid w:val="000E4FAF"/>
    <w:rsid w:val="000F0888"/>
    <w:rsid w:val="000F1263"/>
    <w:rsid w:val="000F15BA"/>
    <w:rsid w:val="000F1C49"/>
    <w:rsid w:val="000F26CD"/>
    <w:rsid w:val="000F2F6D"/>
    <w:rsid w:val="000F4244"/>
    <w:rsid w:val="000F5B55"/>
    <w:rsid w:val="000F7530"/>
    <w:rsid w:val="000F7D28"/>
    <w:rsid w:val="00102683"/>
    <w:rsid w:val="00103C7C"/>
    <w:rsid w:val="00104F5A"/>
    <w:rsid w:val="00106F43"/>
    <w:rsid w:val="001101A9"/>
    <w:rsid w:val="0011024D"/>
    <w:rsid w:val="00113100"/>
    <w:rsid w:val="001134D7"/>
    <w:rsid w:val="00116632"/>
    <w:rsid w:val="001172BE"/>
    <w:rsid w:val="001177FE"/>
    <w:rsid w:val="00120BC1"/>
    <w:rsid w:val="00121071"/>
    <w:rsid w:val="00121DF1"/>
    <w:rsid w:val="00122EBB"/>
    <w:rsid w:val="00124139"/>
    <w:rsid w:val="001241C8"/>
    <w:rsid w:val="00124D35"/>
    <w:rsid w:val="00126C56"/>
    <w:rsid w:val="00126D80"/>
    <w:rsid w:val="00127CA9"/>
    <w:rsid w:val="00130186"/>
    <w:rsid w:val="00130E57"/>
    <w:rsid w:val="00132A46"/>
    <w:rsid w:val="00132BB0"/>
    <w:rsid w:val="00134E9F"/>
    <w:rsid w:val="00137264"/>
    <w:rsid w:val="00140154"/>
    <w:rsid w:val="00140342"/>
    <w:rsid w:val="00140501"/>
    <w:rsid w:val="00140A8A"/>
    <w:rsid w:val="00140FC0"/>
    <w:rsid w:val="00142500"/>
    <w:rsid w:val="001429B0"/>
    <w:rsid w:val="001453D2"/>
    <w:rsid w:val="0014652B"/>
    <w:rsid w:val="0014688E"/>
    <w:rsid w:val="00146B89"/>
    <w:rsid w:val="00150D4E"/>
    <w:rsid w:val="0015105E"/>
    <w:rsid w:val="00151FE7"/>
    <w:rsid w:val="00152514"/>
    <w:rsid w:val="001545C2"/>
    <w:rsid w:val="00156423"/>
    <w:rsid w:val="00160E15"/>
    <w:rsid w:val="00161429"/>
    <w:rsid w:val="00167DD6"/>
    <w:rsid w:val="001710B1"/>
    <w:rsid w:val="00172DF2"/>
    <w:rsid w:val="00174612"/>
    <w:rsid w:val="00174C55"/>
    <w:rsid w:val="0018078B"/>
    <w:rsid w:val="0018113E"/>
    <w:rsid w:val="001813BC"/>
    <w:rsid w:val="001821A0"/>
    <w:rsid w:val="00182711"/>
    <w:rsid w:val="001827B1"/>
    <w:rsid w:val="00184843"/>
    <w:rsid w:val="00184F33"/>
    <w:rsid w:val="001863FD"/>
    <w:rsid w:val="00187322"/>
    <w:rsid w:val="00187487"/>
    <w:rsid w:val="001904F9"/>
    <w:rsid w:val="00190EC2"/>
    <w:rsid w:val="0019357F"/>
    <w:rsid w:val="00194AA6"/>
    <w:rsid w:val="00194D75"/>
    <w:rsid w:val="001A07EB"/>
    <w:rsid w:val="001A0A67"/>
    <w:rsid w:val="001A0EF0"/>
    <w:rsid w:val="001A0F30"/>
    <w:rsid w:val="001A418E"/>
    <w:rsid w:val="001A4975"/>
    <w:rsid w:val="001B17B9"/>
    <w:rsid w:val="001B2DC7"/>
    <w:rsid w:val="001B2FC7"/>
    <w:rsid w:val="001C06E1"/>
    <w:rsid w:val="001C0CA9"/>
    <w:rsid w:val="001C3A1A"/>
    <w:rsid w:val="001C4A5F"/>
    <w:rsid w:val="001C7BD5"/>
    <w:rsid w:val="001D187E"/>
    <w:rsid w:val="001D281D"/>
    <w:rsid w:val="001D3A43"/>
    <w:rsid w:val="001D3A58"/>
    <w:rsid w:val="001D4BDB"/>
    <w:rsid w:val="001D5E1B"/>
    <w:rsid w:val="001D79C6"/>
    <w:rsid w:val="001E19D5"/>
    <w:rsid w:val="001E4370"/>
    <w:rsid w:val="001E463C"/>
    <w:rsid w:val="001E644C"/>
    <w:rsid w:val="001E7DC4"/>
    <w:rsid w:val="001F03B1"/>
    <w:rsid w:val="001F56D0"/>
    <w:rsid w:val="00201E9D"/>
    <w:rsid w:val="00202601"/>
    <w:rsid w:val="002039AA"/>
    <w:rsid w:val="00205670"/>
    <w:rsid w:val="002069D9"/>
    <w:rsid w:val="0021048E"/>
    <w:rsid w:val="0021127B"/>
    <w:rsid w:val="00213E7A"/>
    <w:rsid w:val="002157CD"/>
    <w:rsid w:val="002177F0"/>
    <w:rsid w:val="00220656"/>
    <w:rsid w:val="00223677"/>
    <w:rsid w:val="00225E2E"/>
    <w:rsid w:val="0022730A"/>
    <w:rsid w:val="00227753"/>
    <w:rsid w:val="00230B22"/>
    <w:rsid w:val="00230BEA"/>
    <w:rsid w:val="002318C0"/>
    <w:rsid w:val="0023560C"/>
    <w:rsid w:val="00241AE2"/>
    <w:rsid w:val="00243187"/>
    <w:rsid w:val="0024701F"/>
    <w:rsid w:val="00253131"/>
    <w:rsid w:val="002531D6"/>
    <w:rsid w:val="00255525"/>
    <w:rsid w:val="00257817"/>
    <w:rsid w:val="00263698"/>
    <w:rsid w:val="00263F16"/>
    <w:rsid w:val="002643D9"/>
    <w:rsid w:val="002744BD"/>
    <w:rsid w:val="00277A18"/>
    <w:rsid w:val="002827AA"/>
    <w:rsid w:val="00284AC4"/>
    <w:rsid w:val="00285D8B"/>
    <w:rsid w:val="002900FC"/>
    <w:rsid w:val="00290756"/>
    <w:rsid w:val="002917F2"/>
    <w:rsid w:val="002936A9"/>
    <w:rsid w:val="0029788A"/>
    <w:rsid w:val="002A12D3"/>
    <w:rsid w:val="002A2B9A"/>
    <w:rsid w:val="002A55EA"/>
    <w:rsid w:val="002A679A"/>
    <w:rsid w:val="002A700A"/>
    <w:rsid w:val="002B087B"/>
    <w:rsid w:val="002B2C66"/>
    <w:rsid w:val="002B7457"/>
    <w:rsid w:val="002B7A1B"/>
    <w:rsid w:val="002B7BCC"/>
    <w:rsid w:val="002C2520"/>
    <w:rsid w:val="002C2E5F"/>
    <w:rsid w:val="002C3837"/>
    <w:rsid w:val="002C592D"/>
    <w:rsid w:val="002C6103"/>
    <w:rsid w:val="002C73ED"/>
    <w:rsid w:val="002D4D6A"/>
    <w:rsid w:val="002D7E18"/>
    <w:rsid w:val="002E0C19"/>
    <w:rsid w:val="002E11E6"/>
    <w:rsid w:val="002E131E"/>
    <w:rsid w:val="002E1BE8"/>
    <w:rsid w:val="002E2589"/>
    <w:rsid w:val="002E3957"/>
    <w:rsid w:val="002E5D20"/>
    <w:rsid w:val="002E71F5"/>
    <w:rsid w:val="002E7573"/>
    <w:rsid w:val="002F019B"/>
    <w:rsid w:val="002F0C5F"/>
    <w:rsid w:val="002F0F4C"/>
    <w:rsid w:val="002F1057"/>
    <w:rsid w:val="002F405C"/>
    <w:rsid w:val="002F5F5E"/>
    <w:rsid w:val="002F64C3"/>
    <w:rsid w:val="002F7DDF"/>
    <w:rsid w:val="00300126"/>
    <w:rsid w:val="0030309F"/>
    <w:rsid w:val="003047C8"/>
    <w:rsid w:val="003058C3"/>
    <w:rsid w:val="0030755E"/>
    <w:rsid w:val="00312AAC"/>
    <w:rsid w:val="00313365"/>
    <w:rsid w:val="00314957"/>
    <w:rsid w:val="003157DB"/>
    <w:rsid w:val="00316BA7"/>
    <w:rsid w:val="003208A5"/>
    <w:rsid w:val="00320A58"/>
    <w:rsid w:val="00321A01"/>
    <w:rsid w:val="00322E42"/>
    <w:rsid w:val="003234FB"/>
    <w:rsid w:val="00323826"/>
    <w:rsid w:val="00323B9D"/>
    <w:rsid w:val="00324324"/>
    <w:rsid w:val="00324C68"/>
    <w:rsid w:val="00330E8C"/>
    <w:rsid w:val="0033188A"/>
    <w:rsid w:val="00332B34"/>
    <w:rsid w:val="003332CA"/>
    <w:rsid w:val="00335973"/>
    <w:rsid w:val="00340BC5"/>
    <w:rsid w:val="0034209C"/>
    <w:rsid w:val="003432E2"/>
    <w:rsid w:val="00345C55"/>
    <w:rsid w:val="00346AFA"/>
    <w:rsid w:val="00347470"/>
    <w:rsid w:val="0035045C"/>
    <w:rsid w:val="003527D9"/>
    <w:rsid w:val="00352C68"/>
    <w:rsid w:val="0035388D"/>
    <w:rsid w:val="00353C1E"/>
    <w:rsid w:val="00354BAF"/>
    <w:rsid w:val="00356059"/>
    <w:rsid w:val="003571F3"/>
    <w:rsid w:val="00357500"/>
    <w:rsid w:val="00357645"/>
    <w:rsid w:val="003650AE"/>
    <w:rsid w:val="003677EE"/>
    <w:rsid w:val="00372C6A"/>
    <w:rsid w:val="003734CF"/>
    <w:rsid w:val="00373FBF"/>
    <w:rsid w:val="00374441"/>
    <w:rsid w:val="00375F43"/>
    <w:rsid w:val="00376FE0"/>
    <w:rsid w:val="0038044E"/>
    <w:rsid w:val="00380651"/>
    <w:rsid w:val="003807C2"/>
    <w:rsid w:val="00382BBB"/>
    <w:rsid w:val="00383052"/>
    <w:rsid w:val="00387028"/>
    <w:rsid w:val="003872F0"/>
    <w:rsid w:val="003935D3"/>
    <w:rsid w:val="00393602"/>
    <w:rsid w:val="00393C71"/>
    <w:rsid w:val="0039405F"/>
    <w:rsid w:val="003940AD"/>
    <w:rsid w:val="00396B82"/>
    <w:rsid w:val="00397516"/>
    <w:rsid w:val="003975A4"/>
    <w:rsid w:val="003A0771"/>
    <w:rsid w:val="003A152F"/>
    <w:rsid w:val="003A177E"/>
    <w:rsid w:val="003A4614"/>
    <w:rsid w:val="003B2289"/>
    <w:rsid w:val="003B4790"/>
    <w:rsid w:val="003C0DE8"/>
    <w:rsid w:val="003C122A"/>
    <w:rsid w:val="003C2A28"/>
    <w:rsid w:val="003C3995"/>
    <w:rsid w:val="003C44F1"/>
    <w:rsid w:val="003C5B20"/>
    <w:rsid w:val="003C668F"/>
    <w:rsid w:val="003C7118"/>
    <w:rsid w:val="003D36B4"/>
    <w:rsid w:val="003D400F"/>
    <w:rsid w:val="003D44D5"/>
    <w:rsid w:val="003D6260"/>
    <w:rsid w:val="003D675D"/>
    <w:rsid w:val="003D7C55"/>
    <w:rsid w:val="003E13B8"/>
    <w:rsid w:val="003F089C"/>
    <w:rsid w:val="003F0D10"/>
    <w:rsid w:val="003F30E8"/>
    <w:rsid w:val="003F4A7D"/>
    <w:rsid w:val="003F51E8"/>
    <w:rsid w:val="003F5C1A"/>
    <w:rsid w:val="004029F7"/>
    <w:rsid w:val="00404A27"/>
    <w:rsid w:val="00406530"/>
    <w:rsid w:val="004073B2"/>
    <w:rsid w:val="00412B67"/>
    <w:rsid w:val="00412FA0"/>
    <w:rsid w:val="00413748"/>
    <w:rsid w:val="004139AA"/>
    <w:rsid w:val="004142DB"/>
    <w:rsid w:val="004144F3"/>
    <w:rsid w:val="00414D72"/>
    <w:rsid w:val="00415C85"/>
    <w:rsid w:val="0041628F"/>
    <w:rsid w:val="00420FCD"/>
    <w:rsid w:val="00421A36"/>
    <w:rsid w:val="004224D4"/>
    <w:rsid w:val="0042285F"/>
    <w:rsid w:val="004237A4"/>
    <w:rsid w:val="00424421"/>
    <w:rsid w:val="00424D29"/>
    <w:rsid w:val="004275EB"/>
    <w:rsid w:val="00427C30"/>
    <w:rsid w:val="0043137C"/>
    <w:rsid w:val="00434904"/>
    <w:rsid w:val="00434F0E"/>
    <w:rsid w:val="00436518"/>
    <w:rsid w:val="00442020"/>
    <w:rsid w:val="00450241"/>
    <w:rsid w:val="004504E9"/>
    <w:rsid w:val="004506B7"/>
    <w:rsid w:val="004516F6"/>
    <w:rsid w:val="0045535C"/>
    <w:rsid w:val="00457FCD"/>
    <w:rsid w:val="00460429"/>
    <w:rsid w:val="0046214A"/>
    <w:rsid w:val="0046239C"/>
    <w:rsid w:val="004625CC"/>
    <w:rsid w:val="004663BD"/>
    <w:rsid w:val="00466E5D"/>
    <w:rsid w:val="004707A7"/>
    <w:rsid w:val="00470883"/>
    <w:rsid w:val="00470BE5"/>
    <w:rsid w:val="00473AC7"/>
    <w:rsid w:val="00475C7F"/>
    <w:rsid w:val="00477E77"/>
    <w:rsid w:val="0048554A"/>
    <w:rsid w:val="0048572F"/>
    <w:rsid w:val="00485773"/>
    <w:rsid w:val="0048580E"/>
    <w:rsid w:val="00485C96"/>
    <w:rsid w:val="00487ABD"/>
    <w:rsid w:val="004915B6"/>
    <w:rsid w:val="00491DD3"/>
    <w:rsid w:val="00493113"/>
    <w:rsid w:val="0049325D"/>
    <w:rsid w:val="00494876"/>
    <w:rsid w:val="00494914"/>
    <w:rsid w:val="00496AFF"/>
    <w:rsid w:val="004A1CB8"/>
    <w:rsid w:val="004A2BBB"/>
    <w:rsid w:val="004A42EC"/>
    <w:rsid w:val="004A6B08"/>
    <w:rsid w:val="004A7D99"/>
    <w:rsid w:val="004B1B49"/>
    <w:rsid w:val="004B322B"/>
    <w:rsid w:val="004B33A1"/>
    <w:rsid w:val="004B4C3E"/>
    <w:rsid w:val="004B704C"/>
    <w:rsid w:val="004B7106"/>
    <w:rsid w:val="004B76AE"/>
    <w:rsid w:val="004C4C76"/>
    <w:rsid w:val="004D1789"/>
    <w:rsid w:val="004D1917"/>
    <w:rsid w:val="004D2486"/>
    <w:rsid w:val="004D2D87"/>
    <w:rsid w:val="004D50E5"/>
    <w:rsid w:val="004D6E35"/>
    <w:rsid w:val="004E105B"/>
    <w:rsid w:val="004E20FC"/>
    <w:rsid w:val="004E3E1D"/>
    <w:rsid w:val="004E3F43"/>
    <w:rsid w:val="004E5F24"/>
    <w:rsid w:val="004E7FBB"/>
    <w:rsid w:val="004F15CE"/>
    <w:rsid w:val="004F1EE2"/>
    <w:rsid w:val="004F2470"/>
    <w:rsid w:val="004F342A"/>
    <w:rsid w:val="004F400E"/>
    <w:rsid w:val="004F5704"/>
    <w:rsid w:val="00501EB2"/>
    <w:rsid w:val="00502A9C"/>
    <w:rsid w:val="005054C7"/>
    <w:rsid w:val="00505CC2"/>
    <w:rsid w:val="005071F8"/>
    <w:rsid w:val="00507720"/>
    <w:rsid w:val="005110AA"/>
    <w:rsid w:val="005117D9"/>
    <w:rsid w:val="005210AB"/>
    <w:rsid w:val="00527689"/>
    <w:rsid w:val="0053215C"/>
    <w:rsid w:val="00534583"/>
    <w:rsid w:val="0053737D"/>
    <w:rsid w:val="00537A8E"/>
    <w:rsid w:val="005400F0"/>
    <w:rsid w:val="00540828"/>
    <w:rsid w:val="00547703"/>
    <w:rsid w:val="00550F68"/>
    <w:rsid w:val="00551D8F"/>
    <w:rsid w:val="00552554"/>
    <w:rsid w:val="005555BA"/>
    <w:rsid w:val="00561E7F"/>
    <w:rsid w:val="00565DC8"/>
    <w:rsid w:val="00566F57"/>
    <w:rsid w:val="005715BB"/>
    <w:rsid w:val="00571FD9"/>
    <w:rsid w:val="005726E5"/>
    <w:rsid w:val="005734B6"/>
    <w:rsid w:val="0058136E"/>
    <w:rsid w:val="00581E1C"/>
    <w:rsid w:val="00586C59"/>
    <w:rsid w:val="00586E17"/>
    <w:rsid w:val="005872D2"/>
    <w:rsid w:val="0058767F"/>
    <w:rsid w:val="00587E3C"/>
    <w:rsid w:val="0059026C"/>
    <w:rsid w:val="00592B2C"/>
    <w:rsid w:val="00592F7A"/>
    <w:rsid w:val="005935E3"/>
    <w:rsid w:val="00593E1C"/>
    <w:rsid w:val="005A0DAD"/>
    <w:rsid w:val="005A12B8"/>
    <w:rsid w:val="005A1CE2"/>
    <w:rsid w:val="005A261C"/>
    <w:rsid w:val="005A5537"/>
    <w:rsid w:val="005A5D5D"/>
    <w:rsid w:val="005A6D08"/>
    <w:rsid w:val="005A6D7F"/>
    <w:rsid w:val="005A75B8"/>
    <w:rsid w:val="005B009E"/>
    <w:rsid w:val="005B045A"/>
    <w:rsid w:val="005B2267"/>
    <w:rsid w:val="005B2EC8"/>
    <w:rsid w:val="005B542B"/>
    <w:rsid w:val="005B562D"/>
    <w:rsid w:val="005B5D54"/>
    <w:rsid w:val="005C084F"/>
    <w:rsid w:val="005C14CE"/>
    <w:rsid w:val="005C4336"/>
    <w:rsid w:val="005C66F5"/>
    <w:rsid w:val="005C6BB6"/>
    <w:rsid w:val="005C6C14"/>
    <w:rsid w:val="005D19F4"/>
    <w:rsid w:val="005D1F73"/>
    <w:rsid w:val="005D3965"/>
    <w:rsid w:val="005D65A6"/>
    <w:rsid w:val="005D7032"/>
    <w:rsid w:val="005E0807"/>
    <w:rsid w:val="005E14CD"/>
    <w:rsid w:val="005E1970"/>
    <w:rsid w:val="005E5091"/>
    <w:rsid w:val="005F128C"/>
    <w:rsid w:val="005F3836"/>
    <w:rsid w:val="005F5A22"/>
    <w:rsid w:val="005F6801"/>
    <w:rsid w:val="005F6C9E"/>
    <w:rsid w:val="005F76C5"/>
    <w:rsid w:val="006000E6"/>
    <w:rsid w:val="0060389D"/>
    <w:rsid w:val="00604E66"/>
    <w:rsid w:val="00604FC8"/>
    <w:rsid w:val="00610DAE"/>
    <w:rsid w:val="006117F8"/>
    <w:rsid w:val="00611802"/>
    <w:rsid w:val="00611C6D"/>
    <w:rsid w:val="00612C22"/>
    <w:rsid w:val="006140BC"/>
    <w:rsid w:val="00614A6B"/>
    <w:rsid w:val="00614D71"/>
    <w:rsid w:val="0061695E"/>
    <w:rsid w:val="00617BC2"/>
    <w:rsid w:val="0062044B"/>
    <w:rsid w:val="006225A5"/>
    <w:rsid w:val="00623F68"/>
    <w:rsid w:val="00625C90"/>
    <w:rsid w:val="006273D1"/>
    <w:rsid w:val="0063004C"/>
    <w:rsid w:val="00631413"/>
    <w:rsid w:val="00631554"/>
    <w:rsid w:val="00633777"/>
    <w:rsid w:val="00633903"/>
    <w:rsid w:val="00634811"/>
    <w:rsid w:val="006348C7"/>
    <w:rsid w:val="00634C30"/>
    <w:rsid w:val="00637B1E"/>
    <w:rsid w:val="0064218A"/>
    <w:rsid w:val="00642987"/>
    <w:rsid w:val="006440F1"/>
    <w:rsid w:val="00646EAC"/>
    <w:rsid w:val="00647594"/>
    <w:rsid w:val="00650AD3"/>
    <w:rsid w:val="00650AF5"/>
    <w:rsid w:val="006540EA"/>
    <w:rsid w:val="006542F9"/>
    <w:rsid w:val="00660248"/>
    <w:rsid w:val="006620C3"/>
    <w:rsid w:val="006622A1"/>
    <w:rsid w:val="006625A0"/>
    <w:rsid w:val="006635EF"/>
    <w:rsid w:val="00663664"/>
    <w:rsid w:val="006639A1"/>
    <w:rsid w:val="006657C0"/>
    <w:rsid w:val="0066602C"/>
    <w:rsid w:val="00666155"/>
    <w:rsid w:val="006729A5"/>
    <w:rsid w:val="0067609C"/>
    <w:rsid w:val="0067664F"/>
    <w:rsid w:val="00676CB3"/>
    <w:rsid w:val="0068093F"/>
    <w:rsid w:val="00681145"/>
    <w:rsid w:val="00682CE8"/>
    <w:rsid w:val="00683305"/>
    <w:rsid w:val="00683F0C"/>
    <w:rsid w:val="006844F4"/>
    <w:rsid w:val="00685BDD"/>
    <w:rsid w:val="00686081"/>
    <w:rsid w:val="0068721B"/>
    <w:rsid w:val="00690243"/>
    <w:rsid w:val="00692A87"/>
    <w:rsid w:val="006949F0"/>
    <w:rsid w:val="00694A50"/>
    <w:rsid w:val="006970A4"/>
    <w:rsid w:val="006A1514"/>
    <w:rsid w:val="006A23AC"/>
    <w:rsid w:val="006A4C36"/>
    <w:rsid w:val="006A576B"/>
    <w:rsid w:val="006A7600"/>
    <w:rsid w:val="006A7E2E"/>
    <w:rsid w:val="006B0569"/>
    <w:rsid w:val="006B3DF2"/>
    <w:rsid w:val="006B6583"/>
    <w:rsid w:val="006B697E"/>
    <w:rsid w:val="006C1A3E"/>
    <w:rsid w:val="006C1E85"/>
    <w:rsid w:val="006C31DD"/>
    <w:rsid w:val="006C656E"/>
    <w:rsid w:val="006C6EE2"/>
    <w:rsid w:val="006C76A8"/>
    <w:rsid w:val="006D01C2"/>
    <w:rsid w:val="006D0D29"/>
    <w:rsid w:val="006D2D65"/>
    <w:rsid w:val="006D6662"/>
    <w:rsid w:val="006E10BA"/>
    <w:rsid w:val="006E4492"/>
    <w:rsid w:val="006E61DE"/>
    <w:rsid w:val="006E691C"/>
    <w:rsid w:val="006F149D"/>
    <w:rsid w:val="006F19CD"/>
    <w:rsid w:val="006F37B3"/>
    <w:rsid w:val="006F5398"/>
    <w:rsid w:val="006F68D0"/>
    <w:rsid w:val="006F7E24"/>
    <w:rsid w:val="0070073E"/>
    <w:rsid w:val="00701F59"/>
    <w:rsid w:val="00704E4F"/>
    <w:rsid w:val="007121F9"/>
    <w:rsid w:val="00713FE7"/>
    <w:rsid w:val="007149DF"/>
    <w:rsid w:val="00715022"/>
    <w:rsid w:val="00715B80"/>
    <w:rsid w:val="007169D0"/>
    <w:rsid w:val="00717BCF"/>
    <w:rsid w:val="007213D4"/>
    <w:rsid w:val="0072324B"/>
    <w:rsid w:val="007250D3"/>
    <w:rsid w:val="00726798"/>
    <w:rsid w:val="007312C2"/>
    <w:rsid w:val="007317D5"/>
    <w:rsid w:val="00731D6F"/>
    <w:rsid w:val="00733E85"/>
    <w:rsid w:val="00734763"/>
    <w:rsid w:val="007368E5"/>
    <w:rsid w:val="00744AA7"/>
    <w:rsid w:val="007455F2"/>
    <w:rsid w:val="00750059"/>
    <w:rsid w:val="00751CA5"/>
    <w:rsid w:val="00751F40"/>
    <w:rsid w:val="007550C4"/>
    <w:rsid w:val="00760526"/>
    <w:rsid w:val="0076174B"/>
    <w:rsid w:val="00762AB9"/>
    <w:rsid w:val="00765672"/>
    <w:rsid w:val="00765A08"/>
    <w:rsid w:val="00772CEA"/>
    <w:rsid w:val="00782F4B"/>
    <w:rsid w:val="00782F6E"/>
    <w:rsid w:val="00791115"/>
    <w:rsid w:val="00795FDE"/>
    <w:rsid w:val="0079664E"/>
    <w:rsid w:val="007976B5"/>
    <w:rsid w:val="007A04FC"/>
    <w:rsid w:val="007A3B59"/>
    <w:rsid w:val="007A4121"/>
    <w:rsid w:val="007A7C43"/>
    <w:rsid w:val="007A7FD6"/>
    <w:rsid w:val="007B20CA"/>
    <w:rsid w:val="007B2299"/>
    <w:rsid w:val="007B3A41"/>
    <w:rsid w:val="007B5F9C"/>
    <w:rsid w:val="007C0177"/>
    <w:rsid w:val="007C1CC6"/>
    <w:rsid w:val="007C2771"/>
    <w:rsid w:val="007C28DD"/>
    <w:rsid w:val="007C3AF1"/>
    <w:rsid w:val="007C7B66"/>
    <w:rsid w:val="007D1FF0"/>
    <w:rsid w:val="007D2058"/>
    <w:rsid w:val="007D28D9"/>
    <w:rsid w:val="007D2944"/>
    <w:rsid w:val="007D2EA3"/>
    <w:rsid w:val="007D4731"/>
    <w:rsid w:val="007D51A5"/>
    <w:rsid w:val="007D5D04"/>
    <w:rsid w:val="007D5D8A"/>
    <w:rsid w:val="007D7423"/>
    <w:rsid w:val="007E17C7"/>
    <w:rsid w:val="007E3B44"/>
    <w:rsid w:val="007E707E"/>
    <w:rsid w:val="007E7BDB"/>
    <w:rsid w:val="007F0D69"/>
    <w:rsid w:val="007F162A"/>
    <w:rsid w:val="007F1B6D"/>
    <w:rsid w:val="007F2727"/>
    <w:rsid w:val="007F41E3"/>
    <w:rsid w:val="007F4289"/>
    <w:rsid w:val="007F45E4"/>
    <w:rsid w:val="007F6130"/>
    <w:rsid w:val="007F6478"/>
    <w:rsid w:val="008001F2"/>
    <w:rsid w:val="00800CB6"/>
    <w:rsid w:val="0080478C"/>
    <w:rsid w:val="00805CD8"/>
    <w:rsid w:val="00806947"/>
    <w:rsid w:val="00806F82"/>
    <w:rsid w:val="00811959"/>
    <w:rsid w:val="00821E23"/>
    <w:rsid w:val="00822299"/>
    <w:rsid w:val="0082463E"/>
    <w:rsid w:val="00824ECD"/>
    <w:rsid w:val="008260EC"/>
    <w:rsid w:val="00826ECA"/>
    <w:rsid w:val="0083351F"/>
    <w:rsid w:val="0083575B"/>
    <w:rsid w:val="00836849"/>
    <w:rsid w:val="0084417E"/>
    <w:rsid w:val="00844341"/>
    <w:rsid w:val="0084481D"/>
    <w:rsid w:val="0084489D"/>
    <w:rsid w:val="00844947"/>
    <w:rsid w:val="00844BF7"/>
    <w:rsid w:val="008454DC"/>
    <w:rsid w:val="008455D8"/>
    <w:rsid w:val="00850E73"/>
    <w:rsid w:val="00851EAE"/>
    <w:rsid w:val="00852B52"/>
    <w:rsid w:val="008539E8"/>
    <w:rsid w:val="00854894"/>
    <w:rsid w:val="008548D5"/>
    <w:rsid w:val="00855BD1"/>
    <w:rsid w:val="00855C34"/>
    <w:rsid w:val="00855CCB"/>
    <w:rsid w:val="00860A19"/>
    <w:rsid w:val="00861A0D"/>
    <w:rsid w:val="0086277A"/>
    <w:rsid w:val="008639C0"/>
    <w:rsid w:val="008642F2"/>
    <w:rsid w:val="0086448F"/>
    <w:rsid w:val="008650F9"/>
    <w:rsid w:val="00865AD7"/>
    <w:rsid w:val="00867266"/>
    <w:rsid w:val="008708F2"/>
    <w:rsid w:val="00872117"/>
    <w:rsid w:val="00872560"/>
    <w:rsid w:val="008753EE"/>
    <w:rsid w:val="008809F5"/>
    <w:rsid w:val="008813A6"/>
    <w:rsid w:val="00881867"/>
    <w:rsid w:val="00881C5D"/>
    <w:rsid w:val="0088312F"/>
    <w:rsid w:val="008833D7"/>
    <w:rsid w:val="008842FE"/>
    <w:rsid w:val="0088583F"/>
    <w:rsid w:val="0088751F"/>
    <w:rsid w:val="00890433"/>
    <w:rsid w:val="008936E6"/>
    <w:rsid w:val="0089693F"/>
    <w:rsid w:val="00896D78"/>
    <w:rsid w:val="00896EA0"/>
    <w:rsid w:val="008974B8"/>
    <w:rsid w:val="008A0605"/>
    <w:rsid w:val="008A10C0"/>
    <w:rsid w:val="008A1347"/>
    <w:rsid w:val="008A22CC"/>
    <w:rsid w:val="008A6DF8"/>
    <w:rsid w:val="008A7679"/>
    <w:rsid w:val="008B460B"/>
    <w:rsid w:val="008B586A"/>
    <w:rsid w:val="008B5970"/>
    <w:rsid w:val="008C2032"/>
    <w:rsid w:val="008C59A2"/>
    <w:rsid w:val="008C606C"/>
    <w:rsid w:val="008C627A"/>
    <w:rsid w:val="008C682B"/>
    <w:rsid w:val="008C7C8B"/>
    <w:rsid w:val="008C7FF7"/>
    <w:rsid w:val="008D0310"/>
    <w:rsid w:val="008D0773"/>
    <w:rsid w:val="008D0E53"/>
    <w:rsid w:val="008D2880"/>
    <w:rsid w:val="008D298C"/>
    <w:rsid w:val="008D3800"/>
    <w:rsid w:val="008D7848"/>
    <w:rsid w:val="008E0FB3"/>
    <w:rsid w:val="008E1A0D"/>
    <w:rsid w:val="008E1C44"/>
    <w:rsid w:val="008E3ADE"/>
    <w:rsid w:val="008E4591"/>
    <w:rsid w:val="008E4A95"/>
    <w:rsid w:val="008E636C"/>
    <w:rsid w:val="008E6FF0"/>
    <w:rsid w:val="008F3FB9"/>
    <w:rsid w:val="008F5B95"/>
    <w:rsid w:val="008F60C5"/>
    <w:rsid w:val="008F611C"/>
    <w:rsid w:val="008F666D"/>
    <w:rsid w:val="00900D9A"/>
    <w:rsid w:val="00904038"/>
    <w:rsid w:val="0090740E"/>
    <w:rsid w:val="00910467"/>
    <w:rsid w:val="009124FA"/>
    <w:rsid w:val="00913718"/>
    <w:rsid w:val="00913E7E"/>
    <w:rsid w:val="00914491"/>
    <w:rsid w:val="00914622"/>
    <w:rsid w:val="00914D60"/>
    <w:rsid w:val="00915953"/>
    <w:rsid w:val="00915A83"/>
    <w:rsid w:val="00916EC1"/>
    <w:rsid w:val="009170ED"/>
    <w:rsid w:val="00917B59"/>
    <w:rsid w:val="0092002E"/>
    <w:rsid w:val="00920E93"/>
    <w:rsid w:val="00922061"/>
    <w:rsid w:val="0092270F"/>
    <w:rsid w:val="00923688"/>
    <w:rsid w:val="009313EE"/>
    <w:rsid w:val="00932866"/>
    <w:rsid w:val="009332CA"/>
    <w:rsid w:val="009358AB"/>
    <w:rsid w:val="00935F67"/>
    <w:rsid w:val="00936351"/>
    <w:rsid w:val="00936665"/>
    <w:rsid w:val="009377C4"/>
    <w:rsid w:val="00937CCB"/>
    <w:rsid w:val="00940043"/>
    <w:rsid w:val="009416E5"/>
    <w:rsid w:val="00942F7C"/>
    <w:rsid w:val="00946154"/>
    <w:rsid w:val="00946212"/>
    <w:rsid w:val="00947D25"/>
    <w:rsid w:val="00950AA8"/>
    <w:rsid w:val="00957114"/>
    <w:rsid w:val="009577F4"/>
    <w:rsid w:val="009635C3"/>
    <w:rsid w:val="009650D9"/>
    <w:rsid w:val="0096542C"/>
    <w:rsid w:val="009665C3"/>
    <w:rsid w:val="00966B66"/>
    <w:rsid w:val="00967C6A"/>
    <w:rsid w:val="00981B06"/>
    <w:rsid w:val="00982A9B"/>
    <w:rsid w:val="00983D9A"/>
    <w:rsid w:val="00984D34"/>
    <w:rsid w:val="00984F93"/>
    <w:rsid w:val="00987001"/>
    <w:rsid w:val="009879D7"/>
    <w:rsid w:val="00990294"/>
    <w:rsid w:val="009933C9"/>
    <w:rsid w:val="00993CE5"/>
    <w:rsid w:val="0099770A"/>
    <w:rsid w:val="00997FEA"/>
    <w:rsid w:val="009A09A6"/>
    <w:rsid w:val="009A26ED"/>
    <w:rsid w:val="009A32B1"/>
    <w:rsid w:val="009A4818"/>
    <w:rsid w:val="009A55AA"/>
    <w:rsid w:val="009A5954"/>
    <w:rsid w:val="009B0DBE"/>
    <w:rsid w:val="009B5899"/>
    <w:rsid w:val="009B5CDB"/>
    <w:rsid w:val="009B7E1C"/>
    <w:rsid w:val="009C0B8B"/>
    <w:rsid w:val="009C10CA"/>
    <w:rsid w:val="009C1C39"/>
    <w:rsid w:val="009C29F7"/>
    <w:rsid w:val="009C32E7"/>
    <w:rsid w:val="009C4998"/>
    <w:rsid w:val="009C541B"/>
    <w:rsid w:val="009C7E14"/>
    <w:rsid w:val="009D2232"/>
    <w:rsid w:val="009D3BF4"/>
    <w:rsid w:val="009D3D16"/>
    <w:rsid w:val="009D7C52"/>
    <w:rsid w:val="009E0092"/>
    <w:rsid w:val="009E1632"/>
    <w:rsid w:val="009E278A"/>
    <w:rsid w:val="009E2C6C"/>
    <w:rsid w:val="009E4448"/>
    <w:rsid w:val="009E4989"/>
    <w:rsid w:val="009E7469"/>
    <w:rsid w:val="009E74E2"/>
    <w:rsid w:val="009F43FB"/>
    <w:rsid w:val="00A01441"/>
    <w:rsid w:val="00A02206"/>
    <w:rsid w:val="00A10899"/>
    <w:rsid w:val="00A12169"/>
    <w:rsid w:val="00A12683"/>
    <w:rsid w:val="00A14939"/>
    <w:rsid w:val="00A15544"/>
    <w:rsid w:val="00A23C56"/>
    <w:rsid w:val="00A23FCD"/>
    <w:rsid w:val="00A25053"/>
    <w:rsid w:val="00A26A68"/>
    <w:rsid w:val="00A30790"/>
    <w:rsid w:val="00A309D7"/>
    <w:rsid w:val="00A310DE"/>
    <w:rsid w:val="00A31618"/>
    <w:rsid w:val="00A34D21"/>
    <w:rsid w:val="00A40A0E"/>
    <w:rsid w:val="00A40A98"/>
    <w:rsid w:val="00A42E8F"/>
    <w:rsid w:val="00A43AB8"/>
    <w:rsid w:val="00A446A7"/>
    <w:rsid w:val="00A467E2"/>
    <w:rsid w:val="00A477E2"/>
    <w:rsid w:val="00A50CBC"/>
    <w:rsid w:val="00A5266A"/>
    <w:rsid w:val="00A61F9B"/>
    <w:rsid w:val="00A626AC"/>
    <w:rsid w:val="00A62B14"/>
    <w:rsid w:val="00A642AD"/>
    <w:rsid w:val="00A64942"/>
    <w:rsid w:val="00A6533D"/>
    <w:rsid w:val="00A65B77"/>
    <w:rsid w:val="00A71A6A"/>
    <w:rsid w:val="00A72600"/>
    <w:rsid w:val="00A72868"/>
    <w:rsid w:val="00A75357"/>
    <w:rsid w:val="00A75C6A"/>
    <w:rsid w:val="00A831BE"/>
    <w:rsid w:val="00A83FC5"/>
    <w:rsid w:val="00A84105"/>
    <w:rsid w:val="00A85051"/>
    <w:rsid w:val="00A85AE1"/>
    <w:rsid w:val="00A8717D"/>
    <w:rsid w:val="00A930F0"/>
    <w:rsid w:val="00A940C7"/>
    <w:rsid w:val="00A95B41"/>
    <w:rsid w:val="00A96A2D"/>
    <w:rsid w:val="00A9759C"/>
    <w:rsid w:val="00A9764C"/>
    <w:rsid w:val="00AA045D"/>
    <w:rsid w:val="00AA08AF"/>
    <w:rsid w:val="00AA10A7"/>
    <w:rsid w:val="00AA1409"/>
    <w:rsid w:val="00AA3591"/>
    <w:rsid w:val="00AA5B3E"/>
    <w:rsid w:val="00AB0289"/>
    <w:rsid w:val="00AB54E4"/>
    <w:rsid w:val="00AC02EC"/>
    <w:rsid w:val="00AC0A1C"/>
    <w:rsid w:val="00AC12D1"/>
    <w:rsid w:val="00AC17A7"/>
    <w:rsid w:val="00AC29C1"/>
    <w:rsid w:val="00AC2AF3"/>
    <w:rsid w:val="00AC32E9"/>
    <w:rsid w:val="00AC359D"/>
    <w:rsid w:val="00AC4C29"/>
    <w:rsid w:val="00AC4FDD"/>
    <w:rsid w:val="00AD1261"/>
    <w:rsid w:val="00AD6847"/>
    <w:rsid w:val="00AD75A7"/>
    <w:rsid w:val="00AE2149"/>
    <w:rsid w:val="00AE30D3"/>
    <w:rsid w:val="00AF003A"/>
    <w:rsid w:val="00AF279F"/>
    <w:rsid w:val="00AF5F74"/>
    <w:rsid w:val="00AF6471"/>
    <w:rsid w:val="00B045D4"/>
    <w:rsid w:val="00B1074E"/>
    <w:rsid w:val="00B117FE"/>
    <w:rsid w:val="00B11F1A"/>
    <w:rsid w:val="00B122CD"/>
    <w:rsid w:val="00B12962"/>
    <w:rsid w:val="00B135B9"/>
    <w:rsid w:val="00B151BA"/>
    <w:rsid w:val="00B16CB4"/>
    <w:rsid w:val="00B20F52"/>
    <w:rsid w:val="00B22E4D"/>
    <w:rsid w:val="00B267CE"/>
    <w:rsid w:val="00B2759D"/>
    <w:rsid w:val="00B2767C"/>
    <w:rsid w:val="00B27FB6"/>
    <w:rsid w:val="00B31FDE"/>
    <w:rsid w:val="00B33787"/>
    <w:rsid w:val="00B33B87"/>
    <w:rsid w:val="00B33E6C"/>
    <w:rsid w:val="00B348F2"/>
    <w:rsid w:val="00B36E81"/>
    <w:rsid w:val="00B40685"/>
    <w:rsid w:val="00B42C41"/>
    <w:rsid w:val="00B42D3F"/>
    <w:rsid w:val="00B433F8"/>
    <w:rsid w:val="00B4784C"/>
    <w:rsid w:val="00B525C2"/>
    <w:rsid w:val="00B52F63"/>
    <w:rsid w:val="00B53485"/>
    <w:rsid w:val="00B53E14"/>
    <w:rsid w:val="00B57114"/>
    <w:rsid w:val="00B60F65"/>
    <w:rsid w:val="00B645B1"/>
    <w:rsid w:val="00B64C9D"/>
    <w:rsid w:val="00B64FF8"/>
    <w:rsid w:val="00B653D6"/>
    <w:rsid w:val="00B66553"/>
    <w:rsid w:val="00B67B37"/>
    <w:rsid w:val="00B703A5"/>
    <w:rsid w:val="00B714E2"/>
    <w:rsid w:val="00B73CE5"/>
    <w:rsid w:val="00B73F4F"/>
    <w:rsid w:val="00B76821"/>
    <w:rsid w:val="00B76D83"/>
    <w:rsid w:val="00B77420"/>
    <w:rsid w:val="00B8036B"/>
    <w:rsid w:val="00B82CD7"/>
    <w:rsid w:val="00B90EBC"/>
    <w:rsid w:val="00B9194F"/>
    <w:rsid w:val="00B9331F"/>
    <w:rsid w:val="00B94E07"/>
    <w:rsid w:val="00B96EE2"/>
    <w:rsid w:val="00B97E75"/>
    <w:rsid w:val="00BA024E"/>
    <w:rsid w:val="00BA05F9"/>
    <w:rsid w:val="00BA08C7"/>
    <w:rsid w:val="00BA0E45"/>
    <w:rsid w:val="00BA33DB"/>
    <w:rsid w:val="00BA4853"/>
    <w:rsid w:val="00BA5691"/>
    <w:rsid w:val="00BB0628"/>
    <w:rsid w:val="00BB0EE4"/>
    <w:rsid w:val="00BB100A"/>
    <w:rsid w:val="00BB154B"/>
    <w:rsid w:val="00BB361B"/>
    <w:rsid w:val="00BB3E77"/>
    <w:rsid w:val="00BB404B"/>
    <w:rsid w:val="00BB62BE"/>
    <w:rsid w:val="00BB6D4D"/>
    <w:rsid w:val="00BC0822"/>
    <w:rsid w:val="00BC1549"/>
    <w:rsid w:val="00BC19C5"/>
    <w:rsid w:val="00BC22D0"/>
    <w:rsid w:val="00BC23B6"/>
    <w:rsid w:val="00BC24CD"/>
    <w:rsid w:val="00BC2B04"/>
    <w:rsid w:val="00BC4A78"/>
    <w:rsid w:val="00BC5781"/>
    <w:rsid w:val="00BC63B8"/>
    <w:rsid w:val="00BC69C1"/>
    <w:rsid w:val="00BC6BEA"/>
    <w:rsid w:val="00BD145F"/>
    <w:rsid w:val="00BD1F45"/>
    <w:rsid w:val="00BD409D"/>
    <w:rsid w:val="00BD5315"/>
    <w:rsid w:val="00BD794F"/>
    <w:rsid w:val="00BE222E"/>
    <w:rsid w:val="00BE5196"/>
    <w:rsid w:val="00BE5CEE"/>
    <w:rsid w:val="00BE5E48"/>
    <w:rsid w:val="00BE6D63"/>
    <w:rsid w:val="00BE7C0F"/>
    <w:rsid w:val="00BF1296"/>
    <w:rsid w:val="00BF1BAD"/>
    <w:rsid w:val="00BF2723"/>
    <w:rsid w:val="00BF36C9"/>
    <w:rsid w:val="00BF45CC"/>
    <w:rsid w:val="00BF52B3"/>
    <w:rsid w:val="00C04D5F"/>
    <w:rsid w:val="00C11D52"/>
    <w:rsid w:val="00C15F9E"/>
    <w:rsid w:val="00C16066"/>
    <w:rsid w:val="00C20435"/>
    <w:rsid w:val="00C208E3"/>
    <w:rsid w:val="00C20A84"/>
    <w:rsid w:val="00C20AE7"/>
    <w:rsid w:val="00C22D2F"/>
    <w:rsid w:val="00C26BE5"/>
    <w:rsid w:val="00C26C68"/>
    <w:rsid w:val="00C27075"/>
    <w:rsid w:val="00C3029C"/>
    <w:rsid w:val="00C30529"/>
    <w:rsid w:val="00C32CB6"/>
    <w:rsid w:val="00C34317"/>
    <w:rsid w:val="00C35403"/>
    <w:rsid w:val="00C37DD0"/>
    <w:rsid w:val="00C42B85"/>
    <w:rsid w:val="00C442BC"/>
    <w:rsid w:val="00C52C05"/>
    <w:rsid w:val="00C53734"/>
    <w:rsid w:val="00C545F4"/>
    <w:rsid w:val="00C55249"/>
    <w:rsid w:val="00C6108E"/>
    <w:rsid w:val="00C62B44"/>
    <w:rsid w:val="00C62D77"/>
    <w:rsid w:val="00C63783"/>
    <w:rsid w:val="00C63CBF"/>
    <w:rsid w:val="00C6562D"/>
    <w:rsid w:val="00C6660A"/>
    <w:rsid w:val="00C6782B"/>
    <w:rsid w:val="00C67906"/>
    <w:rsid w:val="00C70F63"/>
    <w:rsid w:val="00C71393"/>
    <w:rsid w:val="00C73ADB"/>
    <w:rsid w:val="00C74E8D"/>
    <w:rsid w:val="00C766BF"/>
    <w:rsid w:val="00C772BD"/>
    <w:rsid w:val="00C8146D"/>
    <w:rsid w:val="00C81653"/>
    <w:rsid w:val="00C82CB6"/>
    <w:rsid w:val="00C83F5E"/>
    <w:rsid w:val="00C9091D"/>
    <w:rsid w:val="00C91B82"/>
    <w:rsid w:val="00C93135"/>
    <w:rsid w:val="00C93408"/>
    <w:rsid w:val="00C9458C"/>
    <w:rsid w:val="00C94D37"/>
    <w:rsid w:val="00C956EB"/>
    <w:rsid w:val="00C95D1C"/>
    <w:rsid w:val="00C9644C"/>
    <w:rsid w:val="00C973BD"/>
    <w:rsid w:val="00CA1DCC"/>
    <w:rsid w:val="00CA2688"/>
    <w:rsid w:val="00CA3ABF"/>
    <w:rsid w:val="00CA490D"/>
    <w:rsid w:val="00CA4FA7"/>
    <w:rsid w:val="00CA736A"/>
    <w:rsid w:val="00CB0BC0"/>
    <w:rsid w:val="00CB1B3B"/>
    <w:rsid w:val="00CB1CC2"/>
    <w:rsid w:val="00CB2786"/>
    <w:rsid w:val="00CB44BC"/>
    <w:rsid w:val="00CB5430"/>
    <w:rsid w:val="00CB5648"/>
    <w:rsid w:val="00CB67B1"/>
    <w:rsid w:val="00CC06BC"/>
    <w:rsid w:val="00CC0A1F"/>
    <w:rsid w:val="00CD0735"/>
    <w:rsid w:val="00CD20FA"/>
    <w:rsid w:val="00CD27B6"/>
    <w:rsid w:val="00CD399F"/>
    <w:rsid w:val="00CD410F"/>
    <w:rsid w:val="00CE0734"/>
    <w:rsid w:val="00CE1B58"/>
    <w:rsid w:val="00CE2837"/>
    <w:rsid w:val="00CE526D"/>
    <w:rsid w:val="00CE7A63"/>
    <w:rsid w:val="00CF1504"/>
    <w:rsid w:val="00CF1DCB"/>
    <w:rsid w:val="00CF5285"/>
    <w:rsid w:val="00CF751F"/>
    <w:rsid w:val="00D048B4"/>
    <w:rsid w:val="00D06E71"/>
    <w:rsid w:val="00D07633"/>
    <w:rsid w:val="00D07D8A"/>
    <w:rsid w:val="00D10897"/>
    <w:rsid w:val="00D20FEA"/>
    <w:rsid w:val="00D2285E"/>
    <w:rsid w:val="00D275EA"/>
    <w:rsid w:val="00D276E8"/>
    <w:rsid w:val="00D325A4"/>
    <w:rsid w:val="00D33628"/>
    <w:rsid w:val="00D33A2F"/>
    <w:rsid w:val="00D34F6B"/>
    <w:rsid w:val="00D413A5"/>
    <w:rsid w:val="00D41C61"/>
    <w:rsid w:val="00D456F6"/>
    <w:rsid w:val="00D45DDA"/>
    <w:rsid w:val="00D46B92"/>
    <w:rsid w:val="00D50408"/>
    <w:rsid w:val="00D513FE"/>
    <w:rsid w:val="00D51DE6"/>
    <w:rsid w:val="00D520A1"/>
    <w:rsid w:val="00D53B1F"/>
    <w:rsid w:val="00D53F33"/>
    <w:rsid w:val="00D5559F"/>
    <w:rsid w:val="00D56CB8"/>
    <w:rsid w:val="00D56D25"/>
    <w:rsid w:val="00D57D37"/>
    <w:rsid w:val="00D61940"/>
    <w:rsid w:val="00D61C2F"/>
    <w:rsid w:val="00D625D2"/>
    <w:rsid w:val="00D62DCD"/>
    <w:rsid w:val="00D663F2"/>
    <w:rsid w:val="00D6721A"/>
    <w:rsid w:val="00D7161D"/>
    <w:rsid w:val="00D72A79"/>
    <w:rsid w:val="00D73C13"/>
    <w:rsid w:val="00D7575C"/>
    <w:rsid w:val="00D76861"/>
    <w:rsid w:val="00D77102"/>
    <w:rsid w:val="00D8137B"/>
    <w:rsid w:val="00D82686"/>
    <w:rsid w:val="00D83B6E"/>
    <w:rsid w:val="00D850D1"/>
    <w:rsid w:val="00D87C9A"/>
    <w:rsid w:val="00D917A5"/>
    <w:rsid w:val="00D91838"/>
    <w:rsid w:val="00D943C7"/>
    <w:rsid w:val="00D94DBE"/>
    <w:rsid w:val="00D96990"/>
    <w:rsid w:val="00DA1E0C"/>
    <w:rsid w:val="00DA21F7"/>
    <w:rsid w:val="00DA2B80"/>
    <w:rsid w:val="00DA2C2E"/>
    <w:rsid w:val="00DA5C38"/>
    <w:rsid w:val="00DA66EE"/>
    <w:rsid w:val="00DA76B4"/>
    <w:rsid w:val="00DB05DC"/>
    <w:rsid w:val="00DB39BC"/>
    <w:rsid w:val="00DB71D0"/>
    <w:rsid w:val="00DC479C"/>
    <w:rsid w:val="00DC5E4C"/>
    <w:rsid w:val="00DC6C8D"/>
    <w:rsid w:val="00DD456B"/>
    <w:rsid w:val="00DD6A05"/>
    <w:rsid w:val="00DD7597"/>
    <w:rsid w:val="00DD781E"/>
    <w:rsid w:val="00DE058D"/>
    <w:rsid w:val="00DE12D8"/>
    <w:rsid w:val="00DE1D7C"/>
    <w:rsid w:val="00DE21B5"/>
    <w:rsid w:val="00DE303F"/>
    <w:rsid w:val="00DE4181"/>
    <w:rsid w:val="00DE4A9C"/>
    <w:rsid w:val="00DE66B3"/>
    <w:rsid w:val="00DE6736"/>
    <w:rsid w:val="00DF5695"/>
    <w:rsid w:val="00E001A1"/>
    <w:rsid w:val="00E00D68"/>
    <w:rsid w:val="00E024F8"/>
    <w:rsid w:val="00E02600"/>
    <w:rsid w:val="00E02A94"/>
    <w:rsid w:val="00E0532E"/>
    <w:rsid w:val="00E106B5"/>
    <w:rsid w:val="00E109C0"/>
    <w:rsid w:val="00E11166"/>
    <w:rsid w:val="00E1551C"/>
    <w:rsid w:val="00E16CC3"/>
    <w:rsid w:val="00E1713A"/>
    <w:rsid w:val="00E17BF2"/>
    <w:rsid w:val="00E17C33"/>
    <w:rsid w:val="00E2040C"/>
    <w:rsid w:val="00E2247C"/>
    <w:rsid w:val="00E22555"/>
    <w:rsid w:val="00E24BD1"/>
    <w:rsid w:val="00E269E3"/>
    <w:rsid w:val="00E27F2F"/>
    <w:rsid w:val="00E3335B"/>
    <w:rsid w:val="00E33DD0"/>
    <w:rsid w:val="00E34763"/>
    <w:rsid w:val="00E3605C"/>
    <w:rsid w:val="00E377F6"/>
    <w:rsid w:val="00E378CE"/>
    <w:rsid w:val="00E40D9C"/>
    <w:rsid w:val="00E414E1"/>
    <w:rsid w:val="00E533B5"/>
    <w:rsid w:val="00E54006"/>
    <w:rsid w:val="00E562F6"/>
    <w:rsid w:val="00E6142C"/>
    <w:rsid w:val="00E6149F"/>
    <w:rsid w:val="00E617D8"/>
    <w:rsid w:val="00E618E9"/>
    <w:rsid w:val="00E61A40"/>
    <w:rsid w:val="00E65C73"/>
    <w:rsid w:val="00E6786B"/>
    <w:rsid w:val="00E7239E"/>
    <w:rsid w:val="00E73804"/>
    <w:rsid w:val="00E74E58"/>
    <w:rsid w:val="00E761DB"/>
    <w:rsid w:val="00E762CD"/>
    <w:rsid w:val="00E76882"/>
    <w:rsid w:val="00E77A0A"/>
    <w:rsid w:val="00E804D3"/>
    <w:rsid w:val="00E82215"/>
    <w:rsid w:val="00E82926"/>
    <w:rsid w:val="00E82D48"/>
    <w:rsid w:val="00E82F7F"/>
    <w:rsid w:val="00E8516B"/>
    <w:rsid w:val="00E86F52"/>
    <w:rsid w:val="00E9168A"/>
    <w:rsid w:val="00E9246F"/>
    <w:rsid w:val="00E94262"/>
    <w:rsid w:val="00E94A97"/>
    <w:rsid w:val="00E959AB"/>
    <w:rsid w:val="00E95EAA"/>
    <w:rsid w:val="00E975EA"/>
    <w:rsid w:val="00EA2F3B"/>
    <w:rsid w:val="00EA45EF"/>
    <w:rsid w:val="00EB0A08"/>
    <w:rsid w:val="00EB30DA"/>
    <w:rsid w:val="00EB6BD2"/>
    <w:rsid w:val="00EB710E"/>
    <w:rsid w:val="00EC0648"/>
    <w:rsid w:val="00EC1AF7"/>
    <w:rsid w:val="00EC2910"/>
    <w:rsid w:val="00EC502E"/>
    <w:rsid w:val="00EC5676"/>
    <w:rsid w:val="00EC7B23"/>
    <w:rsid w:val="00ED05AE"/>
    <w:rsid w:val="00ED0F9C"/>
    <w:rsid w:val="00ED3282"/>
    <w:rsid w:val="00ED7133"/>
    <w:rsid w:val="00ED779E"/>
    <w:rsid w:val="00ED7EB4"/>
    <w:rsid w:val="00EE04A8"/>
    <w:rsid w:val="00EE1496"/>
    <w:rsid w:val="00EE2E00"/>
    <w:rsid w:val="00EE3368"/>
    <w:rsid w:val="00EE6D95"/>
    <w:rsid w:val="00EE7418"/>
    <w:rsid w:val="00EF0412"/>
    <w:rsid w:val="00EF2D4C"/>
    <w:rsid w:val="00EF4EA0"/>
    <w:rsid w:val="00EF58A9"/>
    <w:rsid w:val="00EF6F2A"/>
    <w:rsid w:val="00EF7505"/>
    <w:rsid w:val="00EF7FC0"/>
    <w:rsid w:val="00F00A38"/>
    <w:rsid w:val="00F01C66"/>
    <w:rsid w:val="00F02AD5"/>
    <w:rsid w:val="00F068B9"/>
    <w:rsid w:val="00F079D2"/>
    <w:rsid w:val="00F11C7A"/>
    <w:rsid w:val="00F153AE"/>
    <w:rsid w:val="00F15609"/>
    <w:rsid w:val="00F17576"/>
    <w:rsid w:val="00F23E9A"/>
    <w:rsid w:val="00F24C7B"/>
    <w:rsid w:val="00F24CF6"/>
    <w:rsid w:val="00F27199"/>
    <w:rsid w:val="00F30121"/>
    <w:rsid w:val="00F30ECF"/>
    <w:rsid w:val="00F31D95"/>
    <w:rsid w:val="00F32786"/>
    <w:rsid w:val="00F33A5F"/>
    <w:rsid w:val="00F35B61"/>
    <w:rsid w:val="00F405A4"/>
    <w:rsid w:val="00F41828"/>
    <w:rsid w:val="00F41A62"/>
    <w:rsid w:val="00F43499"/>
    <w:rsid w:val="00F446AC"/>
    <w:rsid w:val="00F449EE"/>
    <w:rsid w:val="00F504C6"/>
    <w:rsid w:val="00F51CC8"/>
    <w:rsid w:val="00F52F00"/>
    <w:rsid w:val="00F531ED"/>
    <w:rsid w:val="00F53C14"/>
    <w:rsid w:val="00F542DF"/>
    <w:rsid w:val="00F55FD8"/>
    <w:rsid w:val="00F562EB"/>
    <w:rsid w:val="00F60A5D"/>
    <w:rsid w:val="00F611D1"/>
    <w:rsid w:val="00F61D4D"/>
    <w:rsid w:val="00F62319"/>
    <w:rsid w:val="00F715F3"/>
    <w:rsid w:val="00F7243A"/>
    <w:rsid w:val="00F72BFF"/>
    <w:rsid w:val="00F7438C"/>
    <w:rsid w:val="00F748A8"/>
    <w:rsid w:val="00F7493C"/>
    <w:rsid w:val="00F7711E"/>
    <w:rsid w:val="00F81981"/>
    <w:rsid w:val="00F83501"/>
    <w:rsid w:val="00F850D0"/>
    <w:rsid w:val="00F8772B"/>
    <w:rsid w:val="00F910A3"/>
    <w:rsid w:val="00F91554"/>
    <w:rsid w:val="00F944CC"/>
    <w:rsid w:val="00F94C52"/>
    <w:rsid w:val="00FA027F"/>
    <w:rsid w:val="00FA038E"/>
    <w:rsid w:val="00FA17B0"/>
    <w:rsid w:val="00FA58A7"/>
    <w:rsid w:val="00FA62E0"/>
    <w:rsid w:val="00FB3091"/>
    <w:rsid w:val="00FB3148"/>
    <w:rsid w:val="00FC1CFC"/>
    <w:rsid w:val="00FC1EEC"/>
    <w:rsid w:val="00FC26BA"/>
    <w:rsid w:val="00FC455A"/>
    <w:rsid w:val="00FC6424"/>
    <w:rsid w:val="00FC6FFA"/>
    <w:rsid w:val="00FC7AF7"/>
    <w:rsid w:val="00FD5724"/>
    <w:rsid w:val="00FD6074"/>
    <w:rsid w:val="00FD789A"/>
    <w:rsid w:val="00FE0377"/>
    <w:rsid w:val="00FE29DF"/>
    <w:rsid w:val="00FE4496"/>
    <w:rsid w:val="00FE5558"/>
    <w:rsid w:val="00FF0AEA"/>
    <w:rsid w:val="00FF25B0"/>
    <w:rsid w:val="00FF3670"/>
    <w:rsid w:val="00FF5797"/>
    <w:rsid w:val="00FF6D2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30AD14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2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2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228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228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228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228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228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228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228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2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2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228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228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228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228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228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228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228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2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2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228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22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2289"/>
    <w:pPr>
      <w:spacing w:before="160"/>
      <w:jc w:val="center"/>
    </w:pPr>
    <w:rPr>
      <w:i/>
      <w:iCs/>
      <w:color w:val="404040" w:themeColor="text1" w:themeTint="BF"/>
    </w:rPr>
  </w:style>
  <w:style w:type="character" w:customStyle="1" w:styleId="QuoteChar">
    <w:name w:val="Quote Char"/>
    <w:basedOn w:val="DefaultParagraphFont"/>
    <w:link w:val="Quote"/>
    <w:uiPriority w:val="29"/>
    <w:rsid w:val="003B2289"/>
    <w:rPr>
      <w:i/>
      <w:iCs/>
      <w:color w:val="404040" w:themeColor="text1" w:themeTint="BF"/>
    </w:rPr>
  </w:style>
  <w:style w:type="paragraph" w:styleId="ListParagraph">
    <w:name w:val="List Paragraph"/>
    <w:basedOn w:val="Normal"/>
    <w:uiPriority w:val="34"/>
    <w:qFormat/>
    <w:rsid w:val="003B2289"/>
    <w:pPr>
      <w:ind w:left="720"/>
      <w:contextualSpacing/>
    </w:pPr>
  </w:style>
  <w:style w:type="character" w:styleId="IntenseEmphasis">
    <w:name w:val="Intense Emphasis"/>
    <w:basedOn w:val="DefaultParagraphFont"/>
    <w:uiPriority w:val="21"/>
    <w:qFormat/>
    <w:rsid w:val="003B2289"/>
    <w:rPr>
      <w:i/>
      <w:iCs/>
      <w:color w:val="0F4761" w:themeColor="accent1" w:themeShade="BF"/>
    </w:rPr>
  </w:style>
  <w:style w:type="paragraph" w:styleId="IntenseQuote">
    <w:name w:val="Intense Quote"/>
    <w:basedOn w:val="Normal"/>
    <w:next w:val="Normal"/>
    <w:link w:val="IntenseQuoteChar"/>
    <w:uiPriority w:val="30"/>
    <w:qFormat/>
    <w:rsid w:val="003B2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2289"/>
    <w:rPr>
      <w:i/>
      <w:iCs/>
      <w:color w:val="0F4761" w:themeColor="accent1" w:themeShade="BF"/>
    </w:rPr>
  </w:style>
  <w:style w:type="character" w:styleId="IntenseReference">
    <w:name w:val="Intense Reference"/>
    <w:basedOn w:val="DefaultParagraphFont"/>
    <w:uiPriority w:val="32"/>
    <w:qFormat/>
    <w:rsid w:val="003B2289"/>
    <w:rPr>
      <w:b/>
      <w:bCs/>
      <w:smallCaps/>
      <w:color w:val="0F4761" w:themeColor="accent1" w:themeShade="BF"/>
      <w:spacing w:val="5"/>
    </w:rPr>
  </w:style>
  <w:style w:type="paragraph" w:styleId="Header">
    <w:name w:val="header"/>
    <w:basedOn w:val="Normal"/>
    <w:link w:val="HeaderChar"/>
    <w:uiPriority w:val="99"/>
    <w:unhideWhenUsed/>
    <w:rsid w:val="00A477E2"/>
    <w:pPr>
      <w:tabs>
        <w:tab w:val="center" w:pos="4153"/>
        <w:tab w:val="right" w:pos="8306"/>
      </w:tabs>
      <w:spacing w:after="0" w:line="240" w:lineRule="auto"/>
    </w:pPr>
  </w:style>
  <w:style w:type="character" w:customStyle="1" w:styleId="HeaderChar">
    <w:name w:val="Header Char"/>
    <w:basedOn w:val="DefaultParagraphFont"/>
    <w:link w:val="Header"/>
    <w:uiPriority w:val="99"/>
    <w:rsid w:val="00A477E2"/>
  </w:style>
  <w:style w:type="paragraph" w:styleId="Footer">
    <w:name w:val="footer"/>
    <w:basedOn w:val="Normal"/>
    <w:link w:val="FooterChar"/>
    <w:uiPriority w:val="99"/>
    <w:unhideWhenUsed/>
    <w:rsid w:val="00A477E2"/>
    <w:pPr>
      <w:tabs>
        <w:tab w:val="center" w:pos="4153"/>
        <w:tab w:val="right" w:pos="8306"/>
      </w:tabs>
      <w:spacing w:after="0" w:line="240" w:lineRule="auto"/>
    </w:pPr>
  </w:style>
  <w:style w:type="character" w:customStyle="1" w:styleId="FooterChar">
    <w:name w:val="Footer Char"/>
    <w:basedOn w:val="DefaultParagraphFont"/>
    <w:link w:val="Footer"/>
    <w:uiPriority w:val="99"/>
    <w:rsid w:val="00A477E2"/>
  </w:style>
  <w:style w:type="paragraph" w:styleId="Revision">
    <w:name w:val="Revision"/>
    <w:hidden/>
    <w:uiPriority w:val="99"/>
    <w:semiHidden/>
    <w:rsid w:val="000A6961"/>
    <w:pPr>
      <w:spacing w:after="0" w:line="240" w:lineRule="auto"/>
    </w:pPr>
  </w:style>
  <w:style w:type="character" w:styleId="CommentReference">
    <w:name w:val="annotation reference"/>
    <w:basedOn w:val="DefaultParagraphFont"/>
    <w:uiPriority w:val="99"/>
    <w:semiHidden/>
    <w:unhideWhenUsed/>
    <w:rsid w:val="006000E6"/>
    <w:rPr>
      <w:sz w:val="16"/>
      <w:szCs w:val="16"/>
    </w:rPr>
  </w:style>
  <w:style w:type="paragraph" w:styleId="CommentText">
    <w:name w:val="annotation text"/>
    <w:basedOn w:val="Normal"/>
    <w:link w:val="CommentTextChar"/>
    <w:uiPriority w:val="99"/>
    <w:unhideWhenUsed/>
    <w:rsid w:val="006000E6"/>
    <w:pPr>
      <w:spacing w:line="240" w:lineRule="auto"/>
    </w:pPr>
    <w:rPr>
      <w:sz w:val="20"/>
      <w:szCs w:val="20"/>
    </w:rPr>
  </w:style>
  <w:style w:type="character" w:customStyle="1" w:styleId="CommentTextChar">
    <w:name w:val="Comment Text Char"/>
    <w:basedOn w:val="DefaultParagraphFont"/>
    <w:link w:val="CommentText"/>
    <w:uiPriority w:val="99"/>
    <w:rsid w:val="006000E6"/>
    <w:rPr>
      <w:sz w:val="20"/>
      <w:szCs w:val="20"/>
    </w:rPr>
  </w:style>
  <w:style w:type="paragraph" w:styleId="CommentSubject">
    <w:name w:val="annotation subject"/>
    <w:basedOn w:val="CommentText"/>
    <w:next w:val="CommentText"/>
    <w:link w:val="CommentSubjectChar"/>
    <w:uiPriority w:val="99"/>
    <w:semiHidden/>
    <w:unhideWhenUsed/>
    <w:rsid w:val="006000E6"/>
    <w:rPr>
      <w:b/>
      <w:bCs/>
    </w:rPr>
  </w:style>
  <w:style w:type="character" w:customStyle="1" w:styleId="CommentSubjectChar">
    <w:name w:val="Comment Subject Char"/>
    <w:basedOn w:val="CommentTextChar"/>
    <w:link w:val="CommentSubject"/>
    <w:uiPriority w:val="99"/>
    <w:semiHidden/>
    <w:rsid w:val="006000E6"/>
    <w:rPr>
      <w:b/>
      <w:bCs/>
      <w:sz w:val="20"/>
      <w:szCs w:val="20"/>
    </w:rPr>
  </w:style>
  <w:style w:type="paragraph" w:styleId="NormalWeb">
    <w:name w:val="Normal (Web)"/>
    <w:basedOn w:val="Normal"/>
    <w:uiPriority w:val="99"/>
    <w:unhideWhenUsed/>
    <w:rsid w:val="007368E5"/>
    <w:rPr>
      <w:rFonts w:cs="Times New Roman"/>
    </w:rPr>
  </w:style>
  <w:style w:type="paragraph" w:customStyle="1" w:styleId="tv2132">
    <w:name w:val="tv2132"/>
    <w:basedOn w:val="Normal"/>
    <w:rsid w:val="00DA1E0C"/>
    <w:pPr>
      <w:spacing w:after="0" w:line="360" w:lineRule="auto"/>
      <w:ind w:firstLine="300"/>
    </w:pPr>
    <w:rPr>
      <w:rFonts w:eastAsia="Times New Roman" w:cs="Times New Roman"/>
      <w:color w:val="414142"/>
      <w:kern w:val="0"/>
      <w:sz w:val="20"/>
      <w:szCs w:val="20"/>
      <w:lang w:eastAsia="lv-LV"/>
      <w14:ligatures w14:val="none"/>
    </w:rPr>
  </w:style>
  <w:style w:type="character" w:customStyle="1" w:styleId="CharStyle3">
    <w:name w:val="Char Style 3"/>
    <w:basedOn w:val="DefaultParagraphFont"/>
    <w:link w:val="Style2"/>
    <w:uiPriority w:val="99"/>
    <w:rsid w:val="000075B1"/>
    <w:rPr>
      <w:sz w:val="26"/>
      <w:szCs w:val="26"/>
      <w:shd w:val="clear" w:color="auto" w:fill="FFFFFF"/>
    </w:rPr>
  </w:style>
  <w:style w:type="paragraph" w:customStyle="1" w:styleId="Style2">
    <w:name w:val="Style 2"/>
    <w:basedOn w:val="Normal"/>
    <w:link w:val="CharStyle3"/>
    <w:uiPriority w:val="99"/>
    <w:qFormat/>
    <w:rsid w:val="000075B1"/>
    <w:pPr>
      <w:widowControl w:val="0"/>
      <w:shd w:val="clear" w:color="auto" w:fill="FFFFFF"/>
      <w:spacing w:after="0" w:line="302" w:lineRule="exact"/>
      <w:jc w:val="both"/>
    </w:pPr>
    <w:rPr>
      <w:sz w:val="26"/>
      <w:szCs w:val="26"/>
    </w:rPr>
  </w:style>
  <w:style w:type="character" w:styleId="Hyperlink">
    <w:name w:val="Hyperlink"/>
    <w:uiPriority w:val="99"/>
    <w:qFormat/>
    <w:rsid w:val="007169D0"/>
    <w:rPr>
      <w:color w:val="0000FF"/>
      <w:u w:val="single"/>
    </w:rPr>
  </w:style>
  <w:style w:type="character" w:styleId="FootnoteReference">
    <w:name w:val="footnote reference"/>
    <w:aliases w:val="Footnote Reference Number,Footnote symbol,Footnote Reference times"/>
    <w:rsid w:val="007169D0"/>
    <w:rPr>
      <w:position w:val="0"/>
      <w:vertAlign w:val="superscript"/>
    </w:rPr>
  </w:style>
  <w:style w:type="paragraph" w:styleId="FootnoteText">
    <w:name w:val="footnote text"/>
    <w:aliases w:val="Fußnote"/>
    <w:basedOn w:val="Normal"/>
    <w:link w:val="FootnoteTextChar"/>
    <w:uiPriority w:val="99"/>
    <w:unhideWhenUsed/>
    <w:rsid w:val="00393602"/>
    <w:pPr>
      <w:spacing w:after="0" w:line="240" w:lineRule="auto"/>
    </w:pPr>
    <w:rPr>
      <w:rFonts w:asciiTheme="minorHAnsi" w:hAnsiTheme="minorHAnsi"/>
      <w:kern w:val="0"/>
      <w:sz w:val="20"/>
      <w:szCs w:val="20"/>
      <w14:ligatures w14:val="none"/>
    </w:rPr>
  </w:style>
  <w:style w:type="character" w:customStyle="1" w:styleId="FootnoteTextChar">
    <w:name w:val="Footnote Text Char"/>
    <w:aliases w:val="Fußnote Char"/>
    <w:basedOn w:val="DefaultParagraphFont"/>
    <w:link w:val="FootnoteText"/>
    <w:uiPriority w:val="99"/>
    <w:rsid w:val="00393602"/>
    <w:rPr>
      <w:rFonts w:asciiTheme="minorHAnsi" w:hAnsiTheme="minorHAnsi"/>
      <w:kern w:val="0"/>
      <w:sz w:val="20"/>
      <w:szCs w:val="20"/>
      <w14:ligatures w14:val="none"/>
    </w:rPr>
  </w:style>
  <w:style w:type="paragraph" w:styleId="BodyText">
    <w:name w:val="Body Text"/>
    <w:basedOn w:val="Normal"/>
    <w:link w:val="BodyTextChar"/>
    <w:uiPriority w:val="99"/>
    <w:semiHidden/>
    <w:unhideWhenUsed/>
    <w:rsid w:val="00393602"/>
    <w:pPr>
      <w:spacing w:after="120" w:line="256" w:lineRule="auto"/>
    </w:pPr>
    <w:rPr>
      <w:rFonts w:asciiTheme="minorHAnsi" w:hAnsiTheme="minorHAnsi"/>
      <w:kern w:val="0"/>
      <w:sz w:val="22"/>
      <w:szCs w:val="22"/>
      <w14:ligatures w14:val="none"/>
    </w:rPr>
  </w:style>
  <w:style w:type="character" w:customStyle="1" w:styleId="BodyTextChar">
    <w:name w:val="Body Text Char"/>
    <w:basedOn w:val="DefaultParagraphFont"/>
    <w:link w:val="BodyText"/>
    <w:uiPriority w:val="99"/>
    <w:semiHidden/>
    <w:rsid w:val="00393602"/>
    <w:rPr>
      <w:rFonts w:asciiTheme="minorHAnsi" w:hAnsiTheme="minorHAnsi"/>
      <w:kern w:val="0"/>
      <w:sz w:val="22"/>
      <w:szCs w:val="22"/>
      <w14:ligatures w14:val="none"/>
    </w:rPr>
  </w:style>
  <w:style w:type="character" w:styleId="UnresolvedMention">
    <w:name w:val="Unresolved Mention"/>
    <w:basedOn w:val="DefaultParagraphFont"/>
    <w:uiPriority w:val="99"/>
    <w:semiHidden/>
    <w:unhideWhenUsed/>
    <w:rsid w:val="0035045C"/>
    <w:rPr>
      <w:color w:val="605E5C"/>
      <w:shd w:val="clear" w:color="auto" w:fill="E1DFDD"/>
    </w:rPr>
  </w:style>
  <w:style w:type="paragraph" w:styleId="BodyText2">
    <w:name w:val="Body Text 2"/>
    <w:basedOn w:val="Normal"/>
    <w:link w:val="BodyText2Char"/>
    <w:uiPriority w:val="99"/>
    <w:semiHidden/>
    <w:unhideWhenUsed/>
    <w:rsid w:val="001E644C"/>
    <w:pPr>
      <w:spacing w:after="120" w:line="480" w:lineRule="auto"/>
    </w:pPr>
  </w:style>
  <w:style w:type="character" w:customStyle="1" w:styleId="BodyText2Char">
    <w:name w:val="Body Text 2 Char"/>
    <w:basedOn w:val="DefaultParagraphFont"/>
    <w:link w:val="BodyText2"/>
    <w:uiPriority w:val="99"/>
    <w:semiHidden/>
    <w:rsid w:val="001E644C"/>
  </w:style>
  <w:style w:type="character" w:customStyle="1" w:styleId="Bodytext0">
    <w:name w:val="Body text_"/>
    <w:link w:val="Bodytext1"/>
    <w:rsid w:val="00BC6BEA"/>
    <w:rPr>
      <w:sz w:val="19"/>
      <w:szCs w:val="19"/>
      <w:shd w:val="clear" w:color="auto" w:fill="FFFFFF"/>
    </w:rPr>
  </w:style>
  <w:style w:type="paragraph" w:customStyle="1" w:styleId="Bodytext1">
    <w:name w:val="Body text1"/>
    <w:basedOn w:val="Normal"/>
    <w:link w:val="Bodytext0"/>
    <w:rsid w:val="00BC6BEA"/>
    <w:pPr>
      <w:widowControl w:val="0"/>
      <w:shd w:val="clear" w:color="auto" w:fill="FFFFFF"/>
      <w:spacing w:after="60" w:line="254" w:lineRule="exact"/>
      <w:jc w:val="both"/>
    </w:pPr>
    <w:rPr>
      <w:sz w:val="19"/>
      <w:szCs w:val="19"/>
    </w:rPr>
  </w:style>
  <w:style w:type="character" w:customStyle="1" w:styleId="author">
    <w:name w:val="author"/>
    <w:basedOn w:val="DefaultParagraphFont"/>
    <w:rsid w:val="00BC6BEA"/>
  </w:style>
  <w:style w:type="paragraph" w:customStyle="1" w:styleId="CharCharChar">
    <w:name w:val="Char Char Char"/>
    <w:basedOn w:val="Normal"/>
    <w:rsid w:val="00473AC7"/>
    <w:pPr>
      <w:spacing w:line="240" w:lineRule="exact"/>
    </w:pPr>
    <w:rPr>
      <w:rFonts w:ascii="Tahoma" w:eastAsia="Times New Roman" w:hAnsi="Tahoma" w:cs="Times New Roman"/>
      <w:kern w:val="0"/>
      <w:sz w:val="20"/>
      <w:szCs w:val="20"/>
      <w:lang w:val="en-US"/>
      <w14:ligatures w14:val="none"/>
    </w:rPr>
  </w:style>
  <w:style w:type="character" w:customStyle="1" w:styleId="a-declarative">
    <w:name w:val="a-declarative"/>
    <w:basedOn w:val="DefaultParagraphFont"/>
    <w:rsid w:val="00EF58A9"/>
  </w:style>
  <w:style w:type="character" w:customStyle="1" w:styleId="a-color-secondary">
    <w:name w:val="a-color-secondary"/>
    <w:basedOn w:val="DefaultParagraphFont"/>
    <w:rsid w:val="00EF58A9"/>
  </w:style>
  <w:style w:type="character" w:customStyle="1" w:styleId="a-size-large">
    <w:name w:val="a-size-large"/>
    <w:basedOn w:val="DefaultParagraphFont"/>
    <w:rsid w:val="00EF58A9"/>
  </w:style>
  <w:style w:type="paragraph" w:customStyle="1" w:styleId="naisf">
    <w:name w:val="naisf"/>
    <w:basedOn w:val="Normal"/>
    <w:rsid w:val="006F5398"/>
    <w:pPr>
      <w:suppressAutoHyphens/>
      <w:spacing w:before="280" w:after="280" w:line="240" w:lineRule="auto"/>
    </w:pPr>
    <w:rPr>
      <w:rFonts w:eastAsia="Times New Roman" w:cs="Times New Roman"/>
      <w:kern w:val="0"/>
      <w:lang w:eastAsia="zh-CN"/>
      <w14:ligatures w14:val="none"/>
    </w:rPr>
  </w:style>
  <w:style w:type="character" w:styleId="EndnoteReference">
    <w:name w:val="endnote reference"/>
    <w:basedOn w:val="DefaultParagraphFont"/>
    <w:unhideWhenUsed/>
    <w:rsid w:val="006F5398"/>
    <w:rPr>
      <w:vertAlign w:val="superscript"/>
    </w:rPr>
  </w:style>
  <w:style w:type="character" w:customStyle="1" w:styleId="markedcontent">
    <w:name w:val="markedcontent"/>
    <w:basedOn w:val="DefaultParagraphFont"/>
    <w:rsid w:val="00914491"/>
  </w:style>
  <w:style w:type="paragraph" w:customStyle="1" w:styleId="tv213">
    <w:name w:val="tv213"/>
    <w:basedOn w:val="Normal"/>
    <w:rsid w:val="000B24EE"/>
    <w:pPr>
      <w:spacing w:before="100" w:beforeAutospacing="1" w:after="100" w:afterAutospacing="1" w:line="240" w:lineRule="auto"/>
    </w:pPr>
    <w:rPr>
      <w:rFonts w:eastAsia="Times New Roman" w:cs="Times New Roman"/>
      <w:kern w:val="0"/>
      <w:lang w:eastAsia="lv-LV"/>
      <w14:ligatures w14:val="none"/>
    </w:rPr>
  </w:style>
  <w:style w:type="table" w:styleId="TableGrid">
    <w:name w:val="Table Grid"/>
    <w:basedOn w:val="TableNormal"/>
    <w:rsid w:val="00B33787"/>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61A0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62068">
      <w:bodyDiv w:val="1"/>
      <w:marLeft w:val="0"/>
      <w:marRight w:val="0"/>
      <w:marTop w:val="0"/>
      <w:marBottom w:val="0"/>
      <w:divBdr>
        <w:top w:val="none" w:sz="0" w:space="0" w:color="auto"/>
        <w:left w:val="none" w:sz="0" w:space="0" w:color="auto"/>
        <w:bottom w:val="none" w:sz="0" w:space="0" w:color="auto"/>
        <w:right w:val="none" w:sz="0" w:space="0" w:color="auto"/>
      </w:divBdr>
    </w:div>
    <w:div w:id="45689312">
      <w:bodyDiv w:val="1"/>
      <w:marLeft w:val="0"/>
      <w:marRight w:val="0"/>
      <w:marTop w:val="0"/>
      <w:marBottom w:val="0"/>
      <w:divBdr>
        <w:top w:val="none" w:sz="0" w:space="0" w:color="auto"/>
        <w:left w:val="none" w:sz="0" w:space="0" w:color="auto"/>
        <w:bottom w:val="none" w:sz="0" w:space="0" w:color="auto"/>
        <w:right w:val="none" w:sz="0" w:space="0" w:color="auto"/>
      </w:divBdr>
    </w:div>
    <w:div w:id="61023436">
      <w:bodyDiv w:val="1"/>
      <w:marLeft w:val="0"/>
      <w:marRight w:val="0"/>
      <w:marTop w:val="0"/>
      <w:marBottom w:val="0"/>
      <w:divBdr>
        <w:top w:val="none" w:sz="0" w:space="0" w:color="auto"/>
        <w:left w:val="none" w:sz="0" w:space="0" w:color="auto"/>
        <w:bottom w:val="none" w:sz="0" w:space="0" w:color="auto"/>
        <w:right w:val="none" w:sz="0" w:space="0" w:color="auto"/>
      </w:divBdr>
    </w:div>
    <w:div w:id="68502271">
      <w:bodyDiv w:val="1"/>
      <w:marLeft w:val="0"/>
      <w:marRight w:val="0"/>
      <w:marTop w:val="0"/>
      <w:marBottom w:val="0"/>
      <w:divBdr>
        <w:top w:val="none" w:sz="0" w:space="0" w:color="auto"/>
        <w:left w:val="none" w:sz="0" w:space="0" w:color="auto"/>
        <w:bottom w:val="none" w:sz="0" w:space="0" w:color="auto"/>
        <w:right w:val="none" w:sz="0" w:space="0" w:color="auto"/>
      </w:divBdr>
    </w:div>
    <w:div w:id="82260246">
      <w:bodyDiv w:val="1"/>
      <w:marLeft w:val="0"/>
      <w:marRight w:val="0"/>
      <w:marTop w:val="0"/>
      <w:marBottom w:val="0"/>
      <w:divBdr>
        <w:top w:val="none" w:sz="0" w:space="0" w:color="auto"/>
        <w:left w:val="none" w:sz="0" w:space="0" w:color="auto"/>
        <w:bottom w:val="none" w:sz="0" w:space="0" w:color="auto"/>
        <w:right w:val="none" w:sz="0" w:space="0" w:color="auto"/>
      </w:divBdr>
    </w:div>
    <w:div w:id="84345758">
      <w:bodyDiv w:val="1"/>
      <w:marLeft w:val="0"/>
      <w:marRight w:val="0"/>
      <w:marTop w:val="0"/>
      <w:marBottom w:val="0"/>
      <w:divBdr>
        <w:top w:val="none" w:sz="0" w:space="0" w:color="auto"/>
        <w:left w:val="none" w:sz="0" w:space="0" w:color="auto"/>
        <w:bottom w:val="none" w:sz="0" w:space="0" w:color="auto"/>
        <w:right w:val="none" w:sz="0" w:space="0" w:color="auto"/>
      </w:divBdr>
    </w:div>
    <w:div w:id="88544699">
      <w:bodyDiv w:val="1"/>
      <w:marLeft w:val="0"/>
      <w:marRight w:val="0"/>
      <w:marTop w:val="0"/>
      <w:marBottom w:val="0"/>
      <w:divBdr>
        <w:top w:val="none" w:sz="0" w:space="0" w:color="auto"/>
        <w:left w:val="none" w:sz="0" w:space="0" w:color="auto"/>
        <w:bottom w:val="none" w:sz="0" w:space="0" w:color="auto"/>
        <w:right w:val="none" w:sz="0" w:space="0" w:color="auto"/>
      </w:divBdr>
      <w:divsChild>
        <w:div w:id="1461725584">
          <w:marLeft w:val="0"/>
          <w:marRight w:val="0"/>
          <w:marTop w:val="0"/>
          <w:marBottom w:val="0"/>
          <w:divBdr>
            <w:top w:val="none" w:sz="0" w:space="0" w:color="auto"/>
            <w:left w:val="none" w:sz="0" w:space="0" w:color="auto"/>
            <w:bottom w:val="none" w:sz="0" w:space="0" w:color="auto"/>
            <w:right w:val="none" w:sz="0" w:space="0" w:color="auto"/>
          </w:divBdr>
          <w:divsChild>
            <w:div w:id="1760783617">
              <w:marLeft w:val="0"/>
              <w:marRight w:val="0"/>
              <w:marTop w:val="0"/>
              <w:marBottom w:val="0"/>
              <w:divBdr>
                <w:top w:val="none" w:sz="0" w:space="0" w:color="auto"/>
                <w:left w:val="none" w:sz="0" w:space="0" w:color="auto"/>
                <w:bottom w:val="none" w:sz="0" w:space="0" w:color="auto"/>
                <w:right w:val="none" w:sz="0" w:space="0" w:color="auto"/>
              </w:divBdr>
              <w:divsChild>
                <w:div w:id="1696224681">
                  <w:marLeft w:val="0"/>
                  <w:marRight w:val="0"/>
                  <w:marTop w:val="0"/>
                  <w:marBottom w:val="0"/>
                  <w:divBdr>
                    <w:top w:val="none" w:sz="0" w:space="0" w:color="auto"/>
                    <w:left w:val="none" w:sz="0" w:space="0" w:color="auto"/>
                    <w:bottom w:val="none" w:sz="0" w:space="0" w:color="auto"/>
                    <w:right w:val="none" w:sz="0" w:space="0" w:color="auto"/>
                  </w:divBdr>
                  <w:divsChild>
                    <w:div w:id="168956275">
                      <w:marLeft w:val="0"/>
                      <w:marRight w:val="0"/>
                      <w:marTop w:val="0"/>
                      <w:marBottom w:val="0"/>
                      <w:divBdr>
                        <w:top w:val="none" w:sz="0" w:space="0" w:color="auto"/>
                        <w:left w:val="none" w:sz="0" w:space="0" w:color="auto"/>
                        <w:bottom w:val="none" w:sz="0" w:space="0" w:color="auto"/>
                        <w:right w:val="none" w:sz="0" w:space="0" w:color="auto"/>
                      </w:divBdr>
                      <w:divsChild>
                        <w:div w:id="1061831561">
                          <w:marLeft w:val="0"/>
                          <w:marRight w:val="0"/>
                          <w:marTop w:val="0"/>
                          <w:marBottom w:val="0"/>
                          <w:divBdr>
                            <w:top w:val="none" w:sz="0" w:space="0" w:color="auto"/>
                            <w:left w:val="none" w:sz="0" w:space="0" w:color="auto"/>
                            <w:bottom w:val="none" w:sz="0" w:space="0" w:color="auto"/>
                            <w:right w:val="none" w:sz="0" w:space="0" w:color="auto"/>
                          </w:divBdr>
                          <w:divsChild>
                            <w:div w:id="1941722056">
                              <w:marLeft w:val="0"/>
                              <w:marRight w:val="0"/>
                              <w:marTop w:val="0"/>
                              <w:marBottom w:val="0"/>
                              <w:divBdr>
                                <w:top w:val="none" w:sz="0" w:space="0" w:color="auto"/>
                                <w:left w:val="none" w:sz="0" w:space="0" w:color="auto"/>
                                <w:bottom w:val="none" w:sz="0" w:space="0" w:color="auto"/>
                                <w:right w:val="none" w:sz="0" w:space="0" w:color="auto"/>
                              </w:divBdr>
                              <w:divsChild>
                                <w:div w:id="1897618561">
                                  <w:marLeft w:val="0"/>
                                  <w:marRight w:val="0"/>
                                  <w:marTop w:val="0"/>
                                  <w:marBottom w:val="0"/>
                                  <w:divBdr>
                                    <w:top w:val="none" w:sz="0" w:space="0" w:color="auto"/>
                                    <w:left w:val="none" w:sz="0" w:space="0" w:color="auto"/>
                                    <w:bottom w:val="none" w:sz="0" w:space="0" w:color="auto"/>
                                    <w:right w:val="none" w:sz="0" w:space="0" w:color="auto"/>
                                  </w:divBdr>
                                  <w:divsChild>
                                    <w:div w:id="477646273">
                                      <w:marLeft w:val="0"/>
                                      <w:marRight w:val="0"/>
                                      <w:marTop w:val="0"/>
                                      <w:marBottom w:val="0"/>
                                      <w:divBdr>
                                        <w:top w:val="none" w:sz="0" w:space="0" w:color="auto"/>
                                        <w:left w:val="none" w:sz="0" w:space="0" w:color="auto"/>
                                        <w:bottom w:val="none" w:sz="0" w:space="0" w:color="auto"/>
                                        <w:right w:val="none" w:sz="0" w:space="0" w:color="auto"/>
                                      </w:divBdr>
                                      <w:divsChild>
                                        <w:div w:id="17795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45135">
      <w:bodyDiv w:val="1"/>
      <w:marLeft w:val="0"/>
      <w:marRight w:val="0"/>
      <w:marTop w:val="0"/>
      <w:marBottom w:val="0"/>
      <w:divBdr>
        <w:top w:val="none" w:sz="0" w:space="0" w:color="auto"/>
        <w:left w:val="none" w:sz="0" w:space="0" w:color="auto"/>
        <w:bottom w:val="none" w:sz="0" w:space="0" w:color="auto"/>
        <w:right w:val="none" w:sz="0" w:space="0" w:color="auto"/>
      </w:divBdr>
    </w:div>
    <w:div w:id="179130466">
      <w:bodyDiv w:val="1"/>
      <w:marLeft w:val="0"/>
      <w:marRight w:val="0"/>
      <w:marTop w:val="0"/>
      <w:marBottom w:val="0"/>
      <w:divBdr>
        <w:top w:val="none" w:sz="0" w:space="0" w:color="auto"/>
        <w:left w:val="none" w:sz="0" w:space="0" w:color="auto"/>
        <w:bottom w:val="none" w:sz="0" w:space="0" w:color="auto"/>
        <w:right w:val="none" w:sz="0" w:space="0" w:color="auto"/>
      </w:divBdr>
    </w:div>
    <w:div w:id="271595536">
      <w:bodyDiv w:val="1"/>
      <w:marLeft w:val="0"/>
      <w:marRight w:val="0"/>
      <w:marTop w:val="0"/>
      <w:marBottom w:val="0"/>
      <w:divBdr>
        <w:top w:val="none" w:sz="0" w:space="0" w:color="auto"/>
        <w:left w:val="none" w:sz="0" w:space="0" w:color="auto"/>
        <w:bottom w:val="none" w:sz="0" w:space="0" w:color="auto"/>
        <w:right w:val="none" w:sz="0" w:space="0" w:color="auto"/>
      </w:divBdr>
    </w:div>
    <w:div w:id="353192368">
      <w:bodyDiv w:val="1"/>
      <w:marLeft w:val="0"/>
      <w:marRight w:val="0"/>
      <w:marTop w:val="0"/>
      <w:marBottom w:val="0"/>
      <w:divBdr>
        <w:top w:val="none" w:sz="0" w:space="0" w:color="auto"/>
        <w:left w:val="none" w:sz="0" w:space="0" w:color="auto"/>
        <w:bottom w:val="none" w:sz="0" w:space="0" w:color="auto"/>
        <w:right w:val="none" w:sz="0" w:space="0" w:color="auto"/>
      </w:divBdr>
    </w:div>
    <w:div w:id="419330593">
      <w:bodyDiv w:val="1"/>
      <w:marLeft w:val="0"/>
      <w:marRight w:val="0"/>
      <w:marTop w:val="0"/>
      <w:marBottom w:val="0"/>
      <w:divBdr>
        <w:top w:val="none" w:sz="0" w:space="0" w:color="auto"/>
        <w:left w:val="none" w:sz="0" w:space="0" w:color="auto"/>
        <w:bottom w:val="none" w:sz="0" w:space="0" w:color="auto"/>
        <w:right w:val="none" w:sz="0" w:space="0" w:color="auto"/>
      </w:divBdr>
    </w:div>
    <w:div w:id="434517199">
      <w:bodyDiv w:val="1"/>
      <w:marLeft w:val="0"/>
      <w:marRight w:val="0"/>
      <w:marTop w:val="0"/>
      <w:marBottom w:val="0"/>
      <w:divBdr>
        <w:top w:val="none" w:sz="0" w:space="0" w:color="auto"/>
        <w:left w:val="none" w:sz="0" w:space="0" w:color="auto"/>
        <w:bottom w:val="none" w:sz="0" w:space="0" w:color="auto"/>
        <w:right w:val="none" w:sz="0" w:space="0" w:color="auto"/>
      </w:divBdr>
    </w:div>
    <w:div w:id="466363612">
      <w:bodyDiv w:val="1"/>
      <w:marLeft w:val="0"/>
      <w:marRight w:val="0"/>
      <w:marTop w:val="0"/>
      <w:marBottom w:val="0"/>
      <w:divBdr>
        <w:top w:val="none" w:sz="0" w:space="0" w:color="auto"/>
        <w:left w:val="none" w:sz="0" w:space="0" w:color="auto"/>
        <w:bottom w:val="none" w:sz="0" w:space="0" w:color="auto"/>
        <w:right w:val="none" w:sz="0" w:space="0" w:color="auto"/>
      </w:divBdr>
    </w:div>
    <w:div w:id="468209094">
      <w:bodyDiv w:val="1"/>
      <w:marLeft w:val="0"/>
      <w:marRight w:val="0"/>
      <w:marTop w:val="0"/>
      <w:marBottom w:val="0"/>
      <w:divBdr>
        <w:top w:val="none" w:sz="0" w:space="0" w:color="auto"/>
        <w:left w:val="none" w:sz="0" w:space="0" w:color="auto"/>
        <w:bottom w:val="none" w:sz="0" w:space="0" w:color="auto"/>
        <w:right w:val="none" w:sz="0" w:space="0" w:color="auto"/>
      </w:divBdr>
    </w:div>
    <w:div w:id="505292743">
      <w:bodyDiv w:val="1"/>
      <w:marLeft w:val="0"/>
      <w:marRight w:val="0"/>
      <w:marTop w:val="0"/>
      <w:marBottom w:val="0"/>
      <w:divBdr>
        <w:top w:val="none" w:sz="0" w:space="0" w:color="auto"/>
        <w:left w:val="none" w:sz="0" w:space="0" w:color="auto"/>
        <w:bottom w:val="none" w:sz="0" w:space="0" w:color="auto"/>
        <w:right w:val="none" w:sz="0" w:space="0" w:color="auto"/>
      </w:divBdr>
    </w:div>
    <w:div w:id="512574635">
      <w:bodyDiv w:val="1"/>
      <w:marLeft w:val="0"/>
      <w:marRight w:val="0"/>
      <w:marTop w:val="0"/>
      <w:marBottom w:val="0"/>
      <w:divBdr>
        <w:top w:val="none" w:sz="0" w:space="0" w:color="auto"/>
        <w:left w:val="none" w:sz="0" w:space="0" w:color="auto"/>
        <w:bottom w:val="none" w:sz="0" w:space="0" w:color="auto"/>
        <w:right w:val="none" w:sz="0" w:space="0" w:color="auto"/>
      </w:divBdr>
    </w:div>
    <w:div w:id="602566492">
      <w:bodyDiv w:val="1"/>
      <w:marLeft w:val="0"/>
      <w:marRight w:val="0"/>
      <w:marTop w:val="0"/>
      <w:marBottom w:val="0"/>
      <w:divBdr>
        <w:top w:val="none" w:sz="0" w:space="0" w:color="auto"/>
        <w:left w:val="none" w:sz="0" w:space="0" w:color="auto"/>
        <w:bottom w:val="none" w:sz="0" w:space="0" w:color="auto"/>
        <w:right w:val="none" w:sz="0" w:space="0" w:color="auto"/>
      </w:divBdr>
    </w:div>
    <w:div w:id="680620278">
      <w:bodyDiv w:val="1"/>
      <w:marLeft w:val="0"/>
      <w:marRight w:val="0"/>
      <w:marTop w:val="0"/>
      <w:marBottom w:val="0"/>
      <w:divBdr>
        <w:top w:val="none" w:sz="0" w:space="0" w:color="auto"/>
        <w:left w:val="none" w:sz="0" w:space="0" w:color="auto"/>
        <w:bottom w:val="none" w:sz="0" w:space="0" w:color="auto"/>
        <w:right w:val="none" w:sz="0" w:space="0" w:color="auto"/>
      </w:divBdr>
    </w:div>
    <w:div w:id="723913746">
      <w:bodyDiv w:val="1"/>
      <w:marLeft w:val="0"/>
      <w:marRight w:val="0"/>
      <w:marTop w:val="0"/>
      <w:marBottom w:val="0"/>
      <w:divBdr>
        <w:top w:val="none" w:sz="0" w:space="0" w:color="auto"/>
        <w:left w:val="none" w:sz="0" w:space="0" w:color="auto"/>
        <w:bottom w:val="none" w:sz="0" w:space="0" w:color="auto"/>
        <w:right w:val="none" w:sz="0" w:space="0" w:color="auto"/>
      </w:divBdr>
    </w:div>
    <w:div w:id="738594191">
      <w:bodyDiv w:val="1"/>
      <w:marLeft w:val="0"/>
      <w:marRight w:val="0"/>
      <w:marTop w:val="0"/>
      <w:marBottom w:val="0"/>
      <w:divBdr>
        <w:top w:val="none" w:sz="0" w:space="0" w:color="auto"/>
        <w:left w:val="none" w:sz="0" w:space="0" w:color="auto"/>
        <w:bottom w:val="none" w:sz="0" w:space="0" w:color="auto"/>
        <w:right w:val="none" w:sz="0" w:space="0" w:color="auto"/>
      </w:divBdr>
    </w:div>
    <w:div w:id="786893312">
      <w:bodyDiv w:val="1"/>
      <w:marLeft w:val="0"/>
      <w:marRight w:val="0"/>
      <w:marTop w:val="0"/>
      <w:marBottom w:val="0"/>
      <w:divBdr>
        <w:top w:val="none" w:sz="0" w:space="0" w:color="auto"/>
        <w:left w:val="none" w:sz="0" w:space="0" w:color="auto"/>
        <w:bottom w:val="none" w:sz="0" w:space="0" w:color="auto"/>
        <w:right w:val="none" w:sz="0" w:space="0" w:color="auto"/>
      </w:divBdr>
    </w:div>
    <w:div w:id="820737356">
      <w:bodyDiv w:val="1"/>
      <w:marLeft w:val="0"/>
      <w:marRight w:val="0"/>
      <w:marTop w:val="0"/>
      <w:marBottom w:val="0"/>
      <w:divBdr>
        <w:top w:val="none" w:sz="0" w:space="0" w:color="auto"/>
        <w:left w:val="none" w:sz="0" w:space="0" w:color="auto"/>
        <w:bottom w:val="none" w:sz="0" w:space="0" w:color="auto"/>
        <w:right w:val="none" w:sz="0" w:space="0" w:color="auto"/>
      </w:divBdr>
      <w:divsChild>
        <w:div w:id="1760104724">
          <w:marLeft w:val="0"/>
          <w:marRight w:val="0"/>
          <w:marTop w:val="0"/>
          <w:marBottom w:val="0"/>
          <w:divBdr>
            <w:top w:val="none" w:sz="0" w:space="0" w:color="auto"/>
            <w:left w:val="none" w:sz="0" w:space="0" w:color="auto"/>
            <w:bottom w:val="none" w:sz="0" w:space="0" w:color="auto"/>
            <w:right w:val="none" w:sz="0" w:space="0" w:color="auto"/>
          </w:divBdr>
          <w:divsChild>
            <w:div w:id="2097897698">
              <w:marLeft w:val="0"/>
              <w:marRight w:val="0"/>
              <w:marTop w:val="0"/>
              <w:marBottom w:val="0"/>
              <w:divBdr>
                <w:top w:val="none" w:sz="0" w:space="0" w:color="auto"/>
                <w:left w:val="none" w:sz="0" w:space="0" w:color="auto"/>
                <w:bottom w:val="none" w:sz="0" w:space="0" w:color="auto"/>
                <w:right w:val="none" w:sz="0" w:space="0" w:color="auto"/>
              </w:divBdr>
              <w:divsChild>
                <w:div w:id="1834493818">
                  <w:marLeft w:val="0"/>
                  <w:marRight w:val="0"/>
                  <w:marTop w:val="0"/>
                  <w:marBottom w:val="0"/>
                  <w:divBdr>
                    <w:top w:val="none" w:sz="0" w:space="0" w:color="auto"/>
                    <w:left w:val="none" w:sz="0" w:space="0" w:color="auto"/>
                    <w:bottom w:val="none" w:sz="0" w:space="0" w:color="auto"/>
                    <w:right w:val="none" w:sz="0" w:space="0" w:color="auto"/>
                  </w:divBdr>
                  <w:divsChild>
                    <w:div w:id="1564486748">
                      <w:marLeft w:val="0"/>
                      <w:marRight w:val="0"/>
                      <w:marTop w:val="0"/>
                      <w:marBottom w:val="0"/>
                      <w:divBdr>
                        <w:top w:val="none" w:sz="0" w:space="0" w:color="auto"/>
                        <w:left w:val="none" w:sz="0" w:space="0" w:color="auto"/>
                        <w:bottom w:val="none" w:sz="0" w:space="0" w:color="auto"/>
                        <w:right w:val="none" w:sz="0" w:space="0" w:color="auto"/>
                      </w:divBdr>
                      <w:divsChild>
                        <w:div w:id="1771319051">
                          <w:marLeft w:val="0"/>
                          <w:marRight w:val="0"/>
                          <w:marTop w:val="0"/>
                          <w:marBottom w:val="0"/>
                          <w:divBdr>
                            <w:top w:val="none" w:sz="0" w:space="0" w:color="auto"/>
                            <w:left w:val="none" w:sz="0" w:space="0" w:color="auto"/>
                            <w:bottom w:val="none" w:sz="0" w:space="0" w:color="auto"/>
                            <w:right w:val="none" w:sz="0" w:space="0" w:color="auto"/>
                          </w:divBdr>
                          <w:divsChild>
                            <w:div w:id="536818517">
                              <w:marLeft w:val="0"/>
                              <w:marRight w:val="0"/>
                              <w:marTop w:val="0"/>
                              <w:marBottom w:val="0"/>
                              <w:divBdr>
                                <w:top w:val="none" w:sz="0" w:space="0" w:color="auto"/>
                                <w:left w:val="none" w:sz="0" w:space="0" w:color="auto"/>
                                <w:bottom w:val="none" w:sz="0" w:space="0" w:color="auto"/>
                                <w:right w:val="none" w:sz="0" w:space="0" w:color="auto"/>
                              </w:divBdr>
                              <w:divsChild>
                                <w:div w:id="189298707">
                                  <w:marLeft w:val="0"/>
                                  <w:marRight w:val="0"/>
                                  <w:marTop w:val="0"/>
                                  <w:marBottom w:val="0"/>
                                  <w:divBdr>
                                    <w:top w:val="none" w:sz="0" w:space="0" w:color="auto"/>
                                    <w:left w:val="none" w:sz="0" w:space="0" w:color="auto"/>
                                    <w:bottom w:val="none" w:sz="0" w:space="0" w:color="auto"/>
                                    <w:right w:val="none" w:sz="0" w:space="0" w:color="auto"/>
                                  </w:divBdr>
                                  <w:divsChild>
                                    <w:div w:id="835650964">
                                      <w:marLeft w:val="0"/>
                                      <w:marRight w:val="0"/>
                                      <w:marTop w:val="0"/>
                                      <w:marBottom w:val="0"/>
                                      <w:divBdr>
                                        <w:top w:val="none" w:sz="0" w:space="0" w:color="auto"/>
                                        <w:left w:val="none" w:sz="0" w:space="0" w:color="auto"/>
                                        <w:bottom w:val="none" w:sz="0" w:space="0" w:color="auto"/>
                                        <w:right w:val="none" w:sz="0" w:space="0" w:color="auto"/>
                                      </w:divBdr>
                                      <w:divsChild>
                                        <w:div w:id="9217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8609157">
      <w:bodyDiv w:val="1"/>
      <w:marLeft w:val="0"/>
      <w:marRight w:val="0"/>
      <w:marTop w:val="0"/>
      <w:marBottom w:val="0"/>
      <w:divBdr>
        <w:top w:val="none" w:sz="0" w:space="0" w:color="auto"/>
        <w:left w:val="none" w:sz="0" w:space="0" w:color="auto"/>
        <w:bottom w:val="none" w:sz="0" w:space="0" w:color="auto"/>
        <w:right w:val="none" w:sz="0" w:space="0" w:color="auto"/>
      </w:divBdr>
    </w:div>
    <w:div w:id="948049035">
      <w:bodyDiv w:val="1"/>
      <w:marLeft w:val="0"/>
      <w:marRight w:val="0"/>
      <w:marTop w:val="0"/>
      <w:marBottom w:val="0"/>
      <w:divBdr>
        <w:top w:val="none" w:sz="0" w:space="0" w:color="auto"/>
        <w:left w:val="none" w:sz="0" w:space="0" w:color="auto"/>
        <w:bottom w:val="none" w:sz="0" w:space="0" w:color="auto"/>
        <w:right w:val="none" w:sz="0" w:space="0" w:color="auto"/>
      </w:divBdr>
    </w:div>
    <w:div w:id="1071579380">
      <w:bodyDiv w:val="1"/>
      <w:marLeft w:val="0"/>
      <w:marRight w:val="0"/>
      <w:marTop w:val="0"/>
      <w:marBottom w:val="0"/>
      <w:divBdr>
        <w:top w:val="none" w:sz="0" w:space="0" w:color="auto"/>
        <w:left w:val="none" w:sz="0" w:space="0" w:color="auto"/>
        <w:bottom w:val="none" w:sz="0" w:space="0" w:color="auto"/>
        <w:right w:val="none" w:sz="0" w:space="0" w:color="auto"/>
      </w:divBdr>
    </w:div>
    <w:div w:id="1095976317">
      <w:bodyDiv w:val="1"/>
      <w:marLeft w:val="0"/>
      <w:marRight w:val="0"/>
      <w:marTop w:val="0"/>
      <w:marBottom w:val="0"/>
      <w:divBdr>
        <w:top w:val="none" w:sz="0" w:space="0" w:color="auto"/>
        <w:left w:val="none" w:sz="0" w:space="0" w:color="auto"/>
        <w:bottom w:val="none" w:sz="0" w:space="0" w:color="auto"/>
        <w:right w:val="none" w:sz="0" w:space="0" w:color="auto"/>
      </w:divBdr>
      <w:divsChild>
        <w:div w:id="10670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850673">
      <w:bodyDiv w:val="1"/>
      <w:marLeft w:val="0"/>
      <w:marRight w:val="0"/>
      <w:marTop w:val="0"/>
      <w:marBottom w:val="0"/>
      <w:divBdr>
        <w:top w:val="none" w:sz="0" w:space="0" w:color="auto"/>
        <w:left w:val="none" w:sz="0" w:space="0" w:color="auto"/>
        <w:bottom w:val="none" w:sz="0" w:space="0" w:color="auto"/>
        <w:right w:val="none" w:sz="0" w:space="0" w:color="auto"/>
      </w:divBdr>
    </w:div>
    <w:div w:id="1133985306">
      <w:bodyDiv w:val="1"/>
      <w:marLeft w:val="0"/>
      <w:marRight w:val="0"/>
      <w:marTop w:val="0"/>
      <w:marBottom w:val="0"/>
      <w:divBdr>
        <w:top w:val="none" w:sz="0" w:space="0" w:color="auto"/>
        <w:left w:val="none" w:sz="0" w:space="0" w:color="auto"/>
        <w:bottom w:val="none" w:sz="0" w:space="0" w:color="auto"/>
        <w:right w:val="none" w:sz="0" w:space="0" w:color="auto"/>
      </w:divBdr>
    </w:div>
    <w:div w:id="1135299419">
      <w:bodyDiv w:val="1"/>
      <w:marLeft w:val="0"/>
      <w:marRight w:val="0"/>
      <w:marTop w:val="0"/>
      <w:marBottom w:val="0"/>
      <w:divBdr>
        <w:top w:val="none" w:sz="0" w:space="0" w:color="auto"/>
        <w:left w:val="none" w:sz="0" w:space="0" w:color="auto"/>
        <w:bottom w:val="none" w:sz="0" w:space="0" w:color="auto"/>
        <w:right w:val="none" w:sz="0" w:space="0" w:color="auto"/>
      </w:divBdr>
    </w:div>
    <w:div w:id="1172721870">
      <w:bodyDiv w:val="1"/>
      <w:marLeft w:val="0"/>
      <w:marRight w:val="0"/>
      <w:marTop w:val="0"/>
      <w:marBottom w:val="0"/>
      <w:divBdr>
        <w:top w:val="none" w:sz="0" w:space="0" w:color="auto"/>
        <w:left w:val="none" w:sz="0" w:space="0" w:color="auto"/>
        <w:bottom w:val="none" w:sz="0" w:space="0" w:color="auto"/>
        <w:right w:val="none" w:sz="0" w:space="0" w:color="auto"/>
      </w:divBdr>
    </w:div>
    <w:div w:id="1172793916">
      <w:bodyDiv w:val="1"/>
      <w:marLeft w:val="0"/>
      <w:marRight w:val="0"/>
      <w:marTop w:val="0"/>
      <w:marBottom w:val="0"/>
      <w:divBdr>
        <w:top w:val="none" w:sz="0" w:space="0" w:color="auto"/>
        <w:left w:val="none" w:sz="0" w:space="0" w:color="auto"/>
        <w:bottom w:val="none" w:sz="0" w:space="0" w:color="auto"/>
        <w:right w:val="none" w:sz="0" w:space="0" w:color="auto"/>
      </w:divBdr>
    </w:div>
    <w:div w:id="1222518325">
      <w:bodyDiv w:val="1"/>
      <w:marLeft w:val="0"/>
      <w:marRight w:val="0"/>
      <w:marTop w:val="0"/>
      <w:marBottom w:val="0"/>
      <w:divBdr>
        <w:top w:val="none" w:sz="0" w:space="0" w:color="auto"/>
        <w:left w:val="none" w:sz="0" w:space="0" w:color="auto"/>
        <w:bottom w:val="none" w:sz="0" w:space="0" w:color="auto"/>
        <w:right w:val="none" w:sz="0" w:space="0" w:color="auto"/>
      </w:divBdr>
    </w:div>
    <w:div w:id="1258834284">
      <w:bodyDiv w:val="1"/>
      <w:marLeft w:val="0"/>
      <w:marRight w:val="0"/>
      <w:marTop w:val="0"/>
      <w:marBottom w:val="0"/>
      <w:divBdr>
        <w:top w:val="none" w:sz="0" w:space="0" w:color="auto"/>
        <w:left w:val="none" w:sz="0" w:space="0" w:color="auto"/>
        <w:bottom w:val="none" w:sz="0" w:space="0" w:color="auto"/>
        <w:right w:val="none" w:sz="0" w:space="0" w:color="auto"/>
      </w:divBdr>
    </w:div>
    <w:div w:id="1300261561">
      <w:bodyDiv w:val="1"/>
      <w:marLeft w:val="0"/>
      <w:marRight w:val="0"/>
      <w:marTop w:val="0"/>
      <w:marBottom w:val="0"/>
      <w:divBdr>
        <w:top w:val="none" w:sz="0" w:space="0" w:color="auto"/>
        <w:left w:val="none" w:sz="0" w:space="0" w:color="auto"/>
        <w:bottom w:val="none" w:sz="0" w:space="0" w:color="auto"/>
        <w:right w:val="none" w:sz="0" w:space="0" w:color="auto"/>
      </w:divBdr>
    </w:div>
    <w:div w:id="1302223617">
      <w:bodyDiv w:val="1"/>
      <w:marLeft w:val="0"/>
      <w:marRight w:val="0"/>
      <w:marTop w:val="0"/>
      <w:marBottom w:val="0"/>
      <w:divBdr>
        <w:top w:val="none" w:sz="0" w:space="0" w:color="auto"/>
        <w:left w:val="none" w:sz="0" w:space="0" w:color="auto"/>
        <w:bottom w:val="none" w:sz="0" w:space="0" w:color="auto"/>
        <w:right w:val="none" w:sz="0" w:space="0" w:color="auto"/>
      </w:divBdr>
    </w:div>
    <w:div w:id="1368876605">
      <w:bodyDiv w:val="1"/>
      <w:marLeft w:val="0"/>
      <w:marRight w:val="0"/>
      <w:marTop w:val="0"/>
      <w:marBottom w:val="0"/>
      <w:divBdr>
        <w:top w:val="none" w:sz="0" w:space="0" w:color="auto"/>
        <w:left w:val="none" w:sz="0" w:space="0" w:color="auto"/>
        <w:bottom w:val="none" w:sz="0" w:space="0" w:color="auto"/>
        <w:right w:val="none" w:sz="0" w:space="0" w:color="auto"/>
      </w:divBdr>
    </w:div>
    <w:div w:id="1401560311">
      <w:bodyDiv w:val="1"/>
      <w:marLeft w:val="0"/>
      <w:marRight w:val="0"/>
      <w:marTop w:val="0"/>
      <w:marBottom w:val="0"/>
      <w:divBdr>
        <w:top w:val="none" w:sz="0" w:space="0" w:color="auto"/>
        <w:left w:val="none" w:sz="0" w:space="0" w:color="auto"/>
        <w:bottom w:val="none" w:sz="0" w:space="0" w:color="auto"/>
        <w:right w:val="none" w:sz="0" w:space="0" w:color="auto"/>
      </w:divBdr>
    </w:div>
    <w:div w:id="1425998430">
      <w:bodyDiv w:val="1"/>
      <w:marLeft w:val="0"/>
      <w:marRight w:val="0"/>
      <w:marTop w:val="0"/>
      <w:marBottom w:val="0"/>
      <w:divBdr>
        <w:top w:val="none" w:sz="0" w:space="0" w:color="auto"/>
        <w:left w:val="none" w:sz="0" w:space="0" w:color="auto"/>
        <w:bottom w:val="none" w:sz="0" w:space="0" w:color="auto"/>
        <w:right w:val="none" w:sz="0" w:space="0" w:color="auto"/>
      </w:divBdr>
    </w:div>
    <w:div w:id="1466006214">
      <w:bodyDiv w:val="1"/>
      <w:marLeft w:val="0"/>
      <w:marRight w:val="0"/>
      <w:marTop w:val="0"/>
      <w:marBottom w:val="0"/>
      <w:divBdr>
        <w:top w:val="none" w:sz="0" w:space="0" w:color="auto"/>
        <w:left w:val="none" w:sz="0" w:space="0" w:color="auto"/>
        <w:bottom w:val="none" w:sz="0" w:space="0" w:color="auto"/>
        <w:right w:val="none" w:sz="0" w:space="0" w:color="auto"/>
      </w:divBdr>
    </w:div>
    <w:div w:id="1466705272">
      <w:bodyDiv w:val="1"/>
      <w:marLeft w:val="0"/>
      <w:marRight w:val="0"/>
      <w:marTop w:val="0"/>
      <w:marBottom w:val="0"/>
      <w:divBdr>
        <w:top w:val="none" w:sz="0" w:space="0" w:color="auto"/>
        <w:left w:val="none" w:sz="0" w:space="0" w:color="auto"/>
        <w:bottom w:val="none" w:sz="0" w:space="0" w:color="auto"/>
        <w:right w:val="none" w:sz="0" w:space="0" w:color="auto"/>
      </w:divBdr>
    </w:div>
    <w:div w:id="1475676773">
      <w:bodyDiv w:val="1"/>
      <w:marLeft w:val="0"/>
      <w:marRight w:val="0"/>
      <w:marTop w:val="0"/>
      <w:marBottom w:val="0"/>
      <w:divBdr>
        <w:top w:val="none" w:sz="0" w:space="0" w:color="auto"/>
        <w:left w:val="none" w:sz="0" w:space="0" w:color="auto"/>
        <w:bottom w:val="none" w:sz="0" w:space="0" w:color="auto"/>
        <w:right w:val="none" w:sz="0" w:space="0" w:color="auto"/>
      </w:divBdr>
    </w:div>
    <w:div w:id="1508711245">
      <w:bodyDiv w:val="1"/>
      <w:marLeft w:val="0"/>
      <w:marRight w:val="0"/>
      <w:marTop w:val="0"/>
      <w:marBottom w:val="0"/>
      <w:divBdr>
        <w:top w:val="none" w:sz="0" w:space="0" w:color="auto"/>
        <w:left w:val="none" w:sz="0" w:space="0" w:color="auto"/>
        <w:bottom w:val="none" w:sz="0" w:space="0" w:color="auto"/>
        <w:right w:val="none" w:sz="0" w:space="0" w:color="auto"/>
      </w:divBdr>
    </w:div>
    <w:div w:id="1542935502">
      <w:bodyDiv w:val="1"/>
      <w:marLeft w:val="0"/>
      <w:marRight w:val="0"/>
      <w:marTop w:val="0"/>
      <w:marBottom w:val="0"/>
      <w:divBdr>
        <w:top w:val="none" w:sz="0" w:space="0" w:color="auto"/>
        <w:left w:val="none" w:sz="0" w:space="0" w:color="auto"/>
        <w:bottom w:val="none" w:sz="0" w:space="0" w:color="auto"/>
        <w:right w:val="none" w:sz="0" w:space="0" w:color="auto"/>
      </w:divBdr>
    </w:div>
    <w:div w:id="1596357109">
      <w:bodyDiv w:val="1"/>
      <w:marLeft w:val="0"/>
      <w:marRight w:val="0"/>
      <w:marTop w:val="0"/>
      <w:marBottom w:val="0"/>
      <w:divBdr>
        <w:top w:val="none" w:sz="0" w:space="0" w:color="auto"/>
        <w:left w:val="none" w:sz="0" w:space="0" w:color="auto"/>
        <w:bottom w:val="none" w:sz="0" w:space="0" w:color="auto"/>
        <w:right w:val="none" w:sz="0" w:space="0" w:color="auto"/>
      </w:divBdr>
    </w:div>
    <w:div w:id="1618902229">
      <w:bodyDiv w:val="1"/>
      <w:marLeft w:val="0"/>
      <w:marRight w:val="0"/>
      <w:marTop w:val="0"/>
      <w:marBottom w:val="0"/>
      <w:divBdr>
        <w:top w:val="none" w:sz="0" w:space="0" w:color="auto"/>
        <w:left w:val="none" w:sz="0" w:space="0" w:color="auto"/>
        <w:bottom w:val="none" w:sz="0" w:space="0" w:color="auto"/>
        <w:right w:val="none" w:sz="0" w:space="0" w:color="auto"/>
      </w:divBdr>
    </w:div>
    <w:div w:id="1700230895">
      <w:bodyDiv w:val="1"/>
      <w:marLeft w:val="0"/>
      <w:marRight w:val="0"/>
      <w:marTop w:val="0"/>
      <w:marBottom w:val="0"/>
      <w:divBdr>
        <w:top w:val="none" w:sz="0" w:space="0" w:color="auto"/>
        <w:left w:val="none" w:sz="0" w:space="0" w:color="auto"/>
        <w:bottom w:val="none" w:sz="0" w:space="0" w:color="auto"/>
        <w:right w:val="none" w:sz="0" w:space="0" w:color="auto"/>
      </w:divBdr>
    </w:div>
    <w:div w:id="1707682682">
      <w:bodyDiv w:val="1"/>
      <w:marLeft w:val="0"/>
      <w:marRight w:val="0"/>
      <w:marTop w:val="0"/>
      <w:marBottom w:val="0"/>
      <w:divBdr>
        <w:top w:val="none" w:sz="0" w:space="0" w:color="auto"/>
        <w:left w:val="none" w:sz="0" w:space="0" w:color="auto"/>
        <w:bottom w:val="none" w:sz="0" w:space="0" w:color="auto"/>
        <w:right w:val="none" w:sz="0" w:space="0" w:color="auto"/>
      </w:divBdr>
    </w:div>
    <w:div w:id="1767115121">
      <w:bodyDiv w:val="1"/>
      <w:marLeft w:val="0"/>
      <w:marRight w:val="0"/>
      <w:marTop w:val="0"/>
      <w:marBottom w:val="0"/>
      <w:divBdr>
        <w:top w:val="none" w:sz="0" w:space="0" w:color="auto"/>
        <w:left w:val="none" w:sz="0" w:space="0" w:color="auto"/>
        <w:bottom w:val="none" w:sz="0" w:space="0" w:color="auto"/>
        <w:right w:val="none" w:sz="0" w:space="0" w:color="auto"/>
      </w:divBdr>
    </w:div>
    <w:div w:id="1884369000">
      <w:bodyDiv w:val="1"/>
      <w:marLeft w:val="0"/>
      <w:marRight w:val="0"/>
      <w:marTop w:val="0"/>
      <w:marBottom w:val="0"/>
      <w:divBdr>
        <w:top w:val="none" w:sz="0" w:space="0" w:color="auto"/>
        <w:left w:val="none" w:sz="0" w:space="0" w:color="auto"/>
        <w:bottom w:val="none" w:sz="0" w:space="0" w:color="auto"/>
        <w:right w:val="none" w:sz="0" w:space="0" w:color="auto"/>
      </w:divBdr>
    </w:div>
    <w:div w:id="1899437398">
      <w:bodyDiv w:val="1"/>
      <w:marLeft w:val="0"/>
      <w:marRight w:val="0"/>
      <w:marTop w:val="0"/>
      <w:marBottom w:val="0"/>
      <w:divBdr>
        <w:top w:val="none" w:sz="0" w:space="0" w:color="auto"/>
        <w:left w:val="none" w:sz="0" w:space="0" w:color="auto"/>
        <w:bottom w:val="none" w:sz="0" w:space="0" w:color="auto"/>
        <w:right w:val="none" w:sz="0" w:space="0" w:color="auto"/>
      </w:divBdr>
    </w:div>
    <w:div w:id="1927377753">
      <w:bodyDiv w:val="1"/>
      <w:marLeft w:val="0"/>
      <w:marRight w:val="0"/>
      <w:marTop w:val="0"/>
      <w:marBottom w:val="0"/>
      <w:divBdr>
        <w:top w:val="none" w:sz="0" w:space="0" w:color="auto"/>
        <w:left w:val="none" w:sz="0" w:space="0" w:color="auto"/>
        <w:bottom w:val="none" w:sz="0" w:space="0" w:color="auto"/>
        <w:right w:val="none" w:sz="0" w:space="0" w:color="auto"/>
      </w:divBdr>
    </w:div>
    <w:div w:id="1934895668">
      <w:bodyDiv w:val="1"/>
      <w:marLeft w:val="0"/>
      <w:marRight w:val="0"/>
      <w:marTop w:val="0"/>
      <w:marBottom w:val="0"/>
      <w:divBdr>
        <w:top w:val="none" w:sz="0" w:space="0" w:color="auto"/>
        <w:left w:val="none" w:sz="0" w:space="0" w:color="auto"/>
        <w:bottom w:val="none" w:sz="0" w:space="0" w:color="auto"/>
        <w:right w:val="none" w:sz="0" w:space="0" w:color="auto"/>
      </w:divBdr>
    </w:div>
    <w:div w:id="1937131326">
      <w:bodyDiv w:val="1"/>
      <w:marLeft w:val="0"/>
      <w:marRight w:val="0"/>
      <w:marTop w:val="0"/>
      <w:marBottom w:val="0"/>
      <w:divBdr>
        <w:top w:val="none" w:sz="0" w:space="0" w:color="auto"/>
        <w:left w:val="none" w:sz="0" w:space="0" w:color="auto"/>
        <w:bottom w:val="none" w:sz="0" w:space="0" w:color="auto"/>
        <w:right w:val="none" w:sz="0" w:space="0" w:color="auto"/>
      </w:divBdr>
      <w:divsChild>
        <w:div w:id="12139287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066701">
      <w:bodyDiv w:val="1"/>
      <w:marLeft w:val="0"/>
      <w:marRight w:val="0"/>
      <w:marTop w:val="0"/>
      <w:marBottom w:val="0"/>
      <w:divBdr>
        <w:top w:val="none" w:sz="0" w:space="0" w:color="auto"/>
        <w:left w:val="none" w:sz="0" w:space="0" w:color="auto"/>
        <w:bottom w:val="none" w:sz="0" w:space="0" w:color="auto"/>
        <w:right w:val="none" w:sz="0" w:space="0" w:color="auto"/>
      </w:divBdr>
    </w:div>
    <w:div w:id="2093775413">
      <w:bodyDiv w:val="1"/>
      <w:marLeft w:val="0"/>
      <w:marRight w:val="0"/>
      <w:marTop w:val="0"/>
      <w:marBottom w:val="0"/>
      <w:divBdr>
        <w:top w:val="none" w:sz="0" w:space="0" w:color="auto"/>
        <w:left w:val="none" w:sz="0" w:space="0" w:color="auto"/>
        <w:bottom w:val="none" w:sz="0" w:space="0" w:color="auto"/>
        <w:right w:val="none" w:sz="0" w:space="0" w:color="auto"/>
      </w:divBdr>
    </w:div>
    <w:div w:id="211644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6723ea80-7323-4720-aa76-8625838dc959" TargetMode="External"/><Relationship Id="rId13" Type="http://schemas.openxmlformats.org/officeDocument/2006/relationships/hyperlink" Target="https://manas.tiesas.lv/eTiesasMvc/nolemumi/pdf/217497.pdf" TargetMode="External"/><Relationship Id="rId18" Type="http://schemas.openxmlformats.org/officeDocument/2006/relationships/hyperlink" Target="https://www.at.gov.lv/downloadlawfile/718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anas.tiesas.lv/eTiesasMvc/nolemumi/pdf/491708.pdf" TargetMode="External"/><Relationship Id="rId7" Type="http://schemas.openxmlformats.org/officeDocument/2006/relationships/endnotes" Target="endnotes.xml"/><Relationship Id="rId12" Type="http://schemas.openxmlformats.org/officeDocument/2006/relationships/hyperlink" Target="https://manas.tiesas.lv/eTiesasMvc/nolemumi/pdf/178173.pdf" TargetMode="External"/><Relationship Id="rId17" Type="http://schemas.openxmlformats.org/officeDocument/2006/relationships/hyperlink" Target="https://manas.tiesas.lv/eTiesasMvc/eclinolemumi/ECLI:LV:AT:2021:0923.A43009415.14.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anas.tiesas.lv/eTiesasMvc/nolemumi/pdf/519353.pdf" TargetMode="External"/><Relationship Id="rId20" Type="http://schemas.openxmlformats.org/officeDocument/2006/relationships/hyperlink" Target="https://manas.tiesas.lv/eTiesasMvc/nolemumi/pdf/440664.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i=002-1154"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manas.tiesas.lv/eTiesasMvc/eclinolemumi/ECLI:LV:AT:2021:1105.A420278019.11.S" TargetMode="External"/><Relationship Id="rId23" Type="http://schemas.openxmlformats.org/officeDocument/2006/relationships/footer" Target="footer1.xml"/><Relationship Id="rId10" Type="http://schemas.openxmlformats.org/officeDocument/2006/relationships/hyperlink" Target="https://hudoc.echr.coe.int/eng?i=001-58764" TargetMode="External"/><Relationship Id="rId19" Type="http://schemas.openxmlformats.org/officeDocument/2006/relationships/hyperlink" Target="https://www.amazon.de/Adolf-Sch%C3%B6nke/e/B00456132O/ref=dp_byline_cont_book_1" TargetMode="External"/><Relationship Id="rId4" Type="http://schemas.openxmlformats.org/officeDocument/2006/relationships/settings" Target="settings.xml"/><Relationship Id="rId9" Type="http://schemas.openxmlformats.org/officeDocument/2006/relationships/hyperlink" Target="https://manas.tiesas.lv/eTiesasMvc/eclinolemumi/ECLI:LV:AT:2019:0425.12812000713.2.L" TargetMode="External"/><Relationship Id="rId14" Type="http://schemas.openxmlformats.org/officeDocument/2006/relationships/hyperlink" Target="https://manas.tiesas.lv/eTiesasMvc/nolemumi/pdf/425014.pdf" TargetMode="External"/><Relationship Id="rId22" Type="http://schemas.openxmlformats.org/officeDocument/2006/relationships/hyperlink" Target="https://manas.tiesas.lv/eTiesasMvc/nolemumi/pdf/39465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0A39B-C02C-4F2D-8694-01F059BC1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43612</Words>
  <Characters>24860</Characters>
  <Application>Microsoft Office Word</Application>
  <DocSecurity>0</DocSecurity>
  <Lines>207</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2025-12-22T11:39:00Z</dcterms:created>
  <dcterms:modified xsi:type="dcterms:W3CDTF">2025-12-22T12:49:00Z</dcterms:modified>
</cp:coreProperties>
</file>