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2C68" w14:textId="77777777" w:rsidR="00F26CB0" w:rsidRPr="00F26CB0" w:rsidRDefault="00F26CB0" w:rsidP="008A1B44">
      <w:pPr>
        <w:spacing w:line="276" w:lineRule="auto"/>
        <w:jc w:val="both"/>
        <w:rPr>
          <w:b/>
          <w:bCs/>
        </w:rPr>
      </w:pPr>
      <w:r w:rsidRPr="00F26CB0">
        <w:rPr>
          <w:b/>
          <w:bCs/>
        </w:rPr>
        <w:t>Universitātes tiesības medicīnas nozarē studējošā pielaišanai pie nodarbībām prasīt veselības stāvokļa atbilstības apliecinājumu</w:t>
      </w:r>
    </w:p>
    <w:p w14:paraId="5DE12B2B" w14:textId="77777777" w:rsidR="00F26CB0" w:rsidRPr="00F26CB0" w:rsidRDefault="00F26CB0" w:rsidP="008A1B44">
      <w:pPr>
        <w:spacing w:line="276" w:lineRule="auto"/>
        <w:jc w:val="both"/>
        <w:rPr>
          <w:b/>
          <w:bCs/>
        </w:rPr>
      </w:pPr>
    </w:p>
    <w:p w14:paraId="475CF9D8" w14:textId="03A6026B" w:rsidR="003F5EE7" w:rsidRPr="008A1B44" w:rsidRDefault="00F26CB0" w:rsidP="008A1B44">
      <w:pPr>
        <w:spacing w:line="276" w:lineRule="auto"/>
        <w:jc w:val="both"/>
        <w:rPr>
          <w:b/>
          <w:bCs/>
        </w:rPr>
      </w:pPr>
      <w:r w:rsidRPr="00F26CB0">
        <w:rPr>
          <w:b/>
          <w:bCs/>
        </w:rPr>
        <w:t>Apelācijas sūdzības kopsavilkuma pieprasījums neatbrīvo tiesu no apelācijas sūdzības izvērtēšanas</w:t>
      </w:r>
    </w:p>
    <w:p w14:paraId="54E9C163" w14:textId="6DD0F5DB" w:rsidR="003F5EE7" w:rsidRPr="008A1B44" w:rsidRDefault="003F5EE7" w:rsidP="008A1B44">
      <w:pPr>
        <w:spacing w:before="120" w:line="276" w:lineRule="auto"/>
        <w:jc w:val="center"/>
        <w:rPr>
          <w:b/>
        </w:rPr>
      </w:pPr>
      <w:r w:rsidRPr="008A1B44">
        <w:rPr>
          <w:b/>
        </w:rPr>
        <w:t>Latvijas Republikas Senāt</w:t>
      </w:r>
      <w:r w:rsidR="008A1B44" w:rsidRPr="008A1B44">
        <w:rPr>
          <w:b/>
        </w:rPr>
        <w:t>a</w:t>
      </w:r>
      <w:r w:rsidR="008A1B44" w:rsidRPr="008A1B44">
        <w:rPr>
          <w:b/>
        </w:rPr>
        <w:br/>
        <w:t>Administratīvo lietu departamenta</w:t>
      </w:r>
      <w:r w:rsidR="008A1B44" w:rsidRPr="008A1B44">
        <w:rPr>
          <w:b/>
        </w:rPr>
        <w:br/>
        <w:t>2025.gada 28.novembra</w:t>
      </w:r>
    </w:p>
    <w:p w14:paraId="79A526C3" w14:textId="77777777" w:rsidR="008A1B44" w:rsidRPr="008A1B44" w:rsidRDefault="003F5EE7" w:rsidP="008A1B44">
      <w:pPr>
        <w:spacing w:line="276" w:lineRule="auto"/>
        <w:jc w:val="center"/>
        <w:rPr>
          <w:b/>
        </w:rPr>
      </w:pPr>
      <w:r w:rsidRPr="008A1B44">
        <w:rPr>
          <w:b/>
        </w:rPr>
        <w:t>RĪCĪBAS SĒDES LĒMUMS</w:t>
      </w:r>
    </w:p>
    <w:p w14:paraId="4BBC992F" w14:textId="7E9B290F" w:rsidR="008A1B44" w:rsidRPr="008A1B44" w:rsidRDefault="008A1B44" w:rsidP="008A1B44">
      <w:pPr>
        <w:spacing w:line="276" w:lineRule="auto"/>
        <w:jc w:val="center"/>
        <w:rPr>
          <w:b/>
          <w:bCs/>
        </w:rPr>
      </w:pPr>
      <w:r w:rsidRPr="008A1B44">
        <w:rPr>
          <w:b/>
          <w:bCs/>
        </w:rPr>
        <w:t>Lieta Nr. A420292622, SKA-738/2025</w:t>
      </w:r>
    </w:p>
    <w:p w14:paraId="6FFEC211" w14:textId="4385B4AE" w:rsidR="008A1B44" w:rsidRPr="008A1B44" w:rsidRDefault="008A1B44" w:rsidP="008A1B44">
      <w:pPr>
        <w:spacing w:line="276" w:lineRule="auto"/>
        <w:jc w:val="center"/>
      </w:pPr>
      <w:r w:rsidRPr="008A1B44">
        <w:t xml:space="preserve"> </w:t>
      </w:r>
      <w:hyperlink r:id="rId6" w:history="1">
        <w:r w:rsidRPr="008A1B44">
          <w:rPr>
            <w:rStyle w:val="Hyperlink"/>
          </w:rPr>
          <w:t>ECLI:LV:AT:2025:1128.A420292622.32.L</w:t>
        </w:r>
      </w:hyperlink>
    </w:p>
    <w:p w14:paraId="0E244C7D" w14:textId="77777777" w:rsidR="003F5EE7" w:rsidRPr="00843265" w:rsidRDefault="003F5EE7" w:rsidP="008A1B44">
      <w:pPr>
        <w:spacing w:line="276" w:lineRule="auto"/>
        <w:ind w:firstLine="720"/>
        <w:jc w:val="both"/>
      </w:pPr>
    </w:p>
    <w:p w14:paraId="5236D579" w14:textId="548A6D61" w:rsidR="003F5EE7" w:rsidRPr="00843265" w:rsidRDefault="003F5EE7" w:rsidP="008A1B44">
      <w:pPr>
        <w:spacing w:line="276" w:lineRule="auto"/>
        <w:ind w:firstLine="720"/>
        <w:jc w:val="both"/>
        <w:rPr>
          <w:rFonts w:asciiTheme="majorBidi" w:hAnsiTheme="majorBidi" w:cstheme="majorBidi"/>
        </w:rPr>
      </w:pPr>
      <w:r w:rsidRPr="00843265">
        <w:rPr>
          <w:rFonts w:asciiTheme="majorBidi" w:hAnsiTheme="majorBidi" w:cstheme="majorBidi"/>
        </w:rPr>
        <w:t>[1] Senātā saņemta pieteicēja</w:t>
      </w:r>
      <w:r w:rsidR="00144E6F" w:rsidRPr="00843265">
        <w:rPr>
          <w:rFonts w:asciiTheme="majorBidi" w:hAnsiTheme="majorBidi" w:cstheme="majorBidi"/>
        </w:rPr>
        <w:t>s</w:t>
      </w:r>
      <w:r w:rsidRPr="00843265">
        <w:rPr>
          <w:rFonts w:asciiTheme="majorBidi" w:hAnsiTheme="majorBidi" w:cstheme="majorBidi"/>
        </w:rPr>
        <w:t xml:space="preserve"> </w:t>
      </w:r>
      <w:r w:rsidR="008A1B44">
        <w:rPr>
          <w:rFonts w:asciiTheme="majorBidi" w:hAnsiTheme="majorBidi" w:cstheme="majorBidi"/>
        </w:rPr>
        <w:t xml:space="preserve">[pers. A] </w:t>
      </w:r>
      <w:r w:rsidRPr="00843265">
        <w:rPr>
          <w:rFonts w:asciiTheme="majorBidi" w:hAnsiTheme="majorBidi" w:cstheme="majorBidi"/>
        </w:rPr>
        <w:t xml:space="preserve">kasācijas sūdzība par Administratīvās apgabaltiesas 2025.gada </w:t>
      </w:r>
      <w:r w:rsidR="00144E6F" w:rsidRPr="00843265">
        <w:rPr>
          <w:rFonts w:asciiTheme="majorBidi" w:hAnsiTheme="majorBidi" w:cstheme="majorBidi"/>
        </w:rPr>
        <w:t>14</w:t>
      </w:r>
      <w:r w:rsidRPr="00843265">
        <w:rPr>
          <w:rFonts w:asciiTheme="majorBidi" w:hAnsiTheme="majorBidi" w:cstheme="majorBidi"/>
        </w:rPr>
        <w:t>.</w:t>
      </w:r>
      <w:r w:rsidR="00144E6F" w:rsidRPr="00843265">
        <w:rPr>
          <w:rFonts w:asciiTheme="majorBidi" w:hAnsiTheme="majorBidi" w:cstheme="majorBidi"/>
        </w:rPr>
        <w:t>maija</w:t>
      </w:r>
      <w:r w:rsidRPr="00843265">
        <w:rPr>
          <w:rFonts w:asciiTheme="majorBidi" w:hAnsiTheme="majorBidi" w:cstheme="majorBidi"/>
        </w:rPr>
        <w:t xml:space="preserve"> spriedumu, ar kuru noraidīts pieteicēja</w:t>
      </w:r>
      <w:r w:rsidR="00144E6F" w:rsidRPr="00843265">
        <w:rPr>
          <w:rFonts w:asciiTheme="majorBidi" w:hAnsiTheme="majorBidi" w:cstheme="majorBidi"/>
        </w:rPr>
        <w:t>s</w:t>
      </w:r>
      <w:r w:rsidRPr="00843265">
        <w:rPr>
          <w:rFonts w:asciiTheme="majorBidi" w:hAnsiTheme="majorBidi" w:cstheme="majorBidi"/>
        </w:rPr>
        <w:t xml:space="preserve"> pieteikums </w:t>
      </w:r>
      <w:r w:rsidR="00144E6F" w:rsidRPr="00843265">
        <w:rPr>
          <w:rFonts w:asciiTheme="majorBidi" w:hAnsiTheme="majorBidi" w:cstheme="majorBidi"/>
        </w:rPr>
        <w:t>par Rīgas Stradiņa universitātes Akadēmiskās šķīrējtiesas</w:t>
      </w:r>
      <w:r w:rsidR="00E822B1" w:rsidRPr="00843265">
        <w:rPr>
          <w:rFonts w:asciiTheme="majorBidi" w:hAnsiTheme="majorBidi" w:cstheme="majorBidi"/>
        </w:rPr>
        <w:t xml:space="preserve"> (turpmāk – šķīrējtiesa)</w:t>
      </w:r>
      <w:r w:rsidR="00144E6F" w:rsidRPr="00843265">
        <w:rPr>
          <w:rFonts w:asciiTheme="majorBidi" w:hAnsiTheme="majorBidi" w:cstheme="majorBidi"/>
        </w:rPr>
        <w:t xml:space="preserve"> 2022.gada 20.oktobra lēmuma Nr. 4-1/2/2022 atzīšanu par prettiesisku, par Rīgas Stradiņa universitātes </w:t>
      </w:r>
      <w:r w:rsidR="0098456C" w:rsidRPr="00843265">
        <w:rPr>
          <w:rFonts w:asciiTheme="majorBidi" w:hAnsiTheme="majorBidi" w:cstheme="majorBidi"/>
        </w:rPr>
        <w:t xml:space="preserve">(turpmāk – universitāte) </w:t>
      </w:r>
      <w:r w:rsidR="00144E6F" w:rsidRPr="00843265">
        <w:rPr>
          <w:rFonts w:asciiTheme="majorBidi" w:hAnsiTheme="majorBidi" w:cstheme="majorBidi"/>
        </w:rPr>
        <w:t>2022.gada 8.novembra rīkojuma Nr. 4</w:t>
      </w:r>
      <w:r w:rsidR="00E822B1" w:rsidRPr="00843265">
        <w:rPr>
          <w:rFonts w:asciiTheme="majorBidi" w:hAnsiTheme="majorBidi" w:cstheme="majorBidi"/>
        </w:rPr>
        <w:noBreakHyphen/>
      </w:r>
      <w:r w:rsidR="00144E6F" w:rsidRPr="00843265">
        <w:rPr>
          <w:rFonts w:asciiTheme="majorBidi" w:hAnsiTheme="majorBidi" w:cstheme="majorBidi"/>
        </w:rPr>
        <w:t>SD.2</w:t>
      </w:r>
      <w:r w:rsidR="00E822B1" w:rsidRPr="00843265">
        <w:rPr>
          <w:rFonts w:asciiTheme="majorBidi" w:hAnsiTheme="majorBidi" w:cstheme="majorBidi"/>
        </w:rPr>
        <w:noBreakHyphen/>
      </w:r>
      <w:r w:rsidR="00144E6F" w:rsidRPr="00843265">
        <w:rPr>
          <w:rFonts w:asciiTheme="majorBidi" w:hAnsiTheme="majorBidi" w:cstheme="majorBidi"/>
        </w:rPr>
        <w:t>14/3859/2022 „Rīkojums studiju procesa jautājumos” atzīšanu par prettiesisku, kā arī par nemantiskā kaitējuma 50 000 </w:t>
      </w:r>
      <w:r w:rsidR="00144E6F" w:rsidRPr="00843265">
        <w:rPr>
          <w:rFonts w:asciiTheme="majorBidi" w:hAnsiTheme="majorBidi" w:cstheme="majorBidi"/>
          <w:i/>
          <w:iCs/>
        </w:rPr>
        <w:t>euro</w:t>
      </w:r>
      <w:r w:rsidR="00144E6F" w:rsidRPr="00843265">
        <w:rPr>
          <w:rFonts w:asciiTheme="majorBidi" w:hAnsiTheme="majorBidi" w:cstheme="majorBidi"/>
        </w:rPr>
        <w:t xml:space="preserve"> un zaudējumu 8025,51 </w:t>
      </w:r>
      <w:r w:rsidR="00144E6F" w:rsidRPr="00843265">
        <w:rPr>
          <w:rFonts w:asciiTheme="majorBidi" w:hAnsiTheme="majorBidi" w:cstheme="majorBidi"/>
          <w:i/>
          <w:iCs/>
        </w:rPr>
        <w:t>euro</w:t>
      </w:r>
      <w:r w:rsidR="00144E6F" w:rsidRPr="00843265">
        <w:rPr>
          <w:rFonts w:asciiTheme="majorBidi" w:hAnsiTheme="majorBidi" w:cstheme="majorBidi"/>
        </w:rPr>
        <w:t xml:space="preserve"> atlīdzināšanu</w:t>
      </w:r>
      <w:r w:rsidR="00C9305B" w:rsidRPr="00843265">
        <w:rPr>
          <w:rFonts w:asciiTheme="majorBidi" w:hAnsiTheme="majorBidi" w:cstheme="majorBidi"/>
        </w:rPr>
        <w:t>.</w:t>
      </w:r>
    </w:p>
    <w:p w14:paraId="484DDE17" w14:textId="224AF54E" w:rsidR="00C9305B" w:rsidRPr="00843265" w:rsidRDefault="00892F49" w:rsidP="008A1B44">
      <w:pPr>
        <w:spacing w:line="276" w:lineRule="auto"/>
        <w:ind w:firstLine="720"/>
        <w:jc w:val="both"/>
        <w:rPr>
          <w:rFonts w:asciiTheme="majorBidi" w:hAnsiTheme="majorBidi" w:cstheme="majorBidi"/>
        </w:rPr>
      </w:pPr>
      <w:r w:rsidRPr="00843265">
        <w:rPr>
          <w:rFonts w:asciiTheme="majorBidi" w:hAnsiTheme="majorBidi" w:cstheme="majorBidi"/>
        </w:rPr>
        <w:t>Apgabaltiesa</w:t>
      </w:r>
      <w:r w:rsidR="009B79F3" w:rsidRPr="00843265">
        <w:rPr>
          <w:rFonts w:asciiTheme="majorBidi" w:hAnsiTheme="majorBidi" w:cstheme="majorBidi"/>
        </w:rPr>
        <w:t xml:space="preserve">, tostarp ņemot vērā pievienošanos pirmās instances tiesas sprieduma motivācijai, secināja, ka </w:t>
      </w:r>
      <w:r w:rsidR="00144E6F" w:rsidRPr="00843265">
        <w:rPr>
          <w:rFonts w:asciiTheme="majorBidi" w:hAnsiTheme="majorBidi" w:cstheme="majorBidi"/>
        </w:rPr>
        <w:t>nav pamata atzīt par prettiesisku rīkojumu, ar kuru pieteicēja netika pielaista pie mācībām un pieteicējai uzdots iesniegt veselības pārbaudes karti</w:t>
      </w:r>
      <w:r w:rsidR="00F73798" w:rsidRPr="00843265">
        <w:rPr>
          <w:rFonts w:asciiTheme="majorBidi" w:hAnsiTheme="majorBidi" w:cstheme="majorBidi"/>
        </w:rPr>
        <w:t>, jo pieteicēja nebija apliecinājusi, ka viņas veselības stāvoklis ir atbilstošs</w:t>
      </w:r>
      <w:r w:rsidR="00144E6F" w:rsidRPr="00843265">
        <w:rPr>
          <w:rFonts w:asciiTheme="majorBidi" w:hAnsiTheme="majorBidi" w:cstheme="majorBidi"/>
        </w:rPr>
        <w:t xml:space="preserve">. </w:t>
      </w:r>
      <w:r w:rsidR="0098456C" w:rsidRPr="00843265">
        <w:rPr>
          <w:rFonts w:asciiTheme="majorBidi" w:hAnsiTheme="majorBidi" w:cstheme="majorBidi"/>
        </w:rPr>
        <w:t>U</w:t>
      </w:r>
      <w:r w:rsidR="00144E6F" w:rsidRPr="00843265">
        <w:rPr>
          <w:rFonts w:asciiTheme="majorBidi" w:hAnsiTheme="majorBidi" w:cstheme="majorBidi"/>
        </w:rPr>
        <w:t>niversitāte nav pieļāvusi kļūdas, konstatējot pieteicējas nesekmību strīdus periodā, kā arī nav pamata atzīt, ka pieteicēja būtu tikusi pakļauta mobingam</w:t>
      </w:r>
      <w:r w:rsidR="00913888">
        <w:rPr>
          <w:rFonts w:asciiTheme="majorBidi" w:hAnsiTheme="majorBidi" w:cstheme="majorBidi"/>
        </w:rPr>
        <w:t>.</w:t>
      </w:r>
      <w:r w:rsidR="00086CA7" w:rsidRPr="00843265">
        <w:rPr>
          <w:rFonts w:asciiTheme="majorBidi" w:hAnsiTheme="majorBidi" w:cstheme="majorBidi"/>
        </w:rPr>
        <w:t xml:space="preserve"> </w:t>
      </w:r>
      <w:r w:rsidR="00913888">
        <w:rPr>
          <w:rFonts w:asciiTheme="majorBidi" w:hAnsiTheme="majorBidi" w:cstheme="majorBidi"/>
        </w:rPr>
        <w:t>L</w:t>
      </w:r>
      <w:r w:rsidR="00086CA7" w:rsidRPr="00843265">
        <w:rPr>
          <w:rFonts w:asciiTheme="majorBidi" w:hAnsiTheme="majorBidi" w:cstheme="majorBidi"/>
        </w:rPr>
        <w:t>īdz ar to nav pamata atzīt par prettiesisku šķīrējtiesas lēmumu, ar kuru atcelts pieteicējai piešķirtais akadēmiskais atvaļinājums</w:t>
      </w:r>
      <w:r w:rsidR="00144E6F" w:rsidRPr="00843265">
        <w:rPr>
          <w:rFonts w:asciiTheme="majorBidi" w:hAnsiTheme="majorBidi" w:cstheme="majorBidi"/>
        </w:rPr>
        <w:t>.</w:t>
      </w:r>
    </w:p>
    <w:p w14:paraId="5A94FECB" w14:textId="77777777" w:rsidR="00892F49" w:rsidRPr="00843265" w:rsidRDefault="00892F49" w:rsidP="008A1B44">
      <w:pPr>
        <w:spacing w:line="276" w:lineRule="auto"/>
        <w:ind w:firstLine="720"/>
        <w:jc w:val="both"/>
        <w:rPr>
          <w:rFonts w:asciiTheme="majorBidi" w:hAnsiTheme="majorBidi" w:cstheme="majorBidi"/>
        </w:rPr>
      </w:pPr>
    </w:p>
    <w:p w14:paraId="77F5ECCC" w14:textId="223F5C83" w:rsidR="00DD0E06" w:rsidRPr="00843265" w:rsidRDefault="00DD0E06" w:rsidP="008A1B44">
      <w:pPr>
        <w:spacing w:line="276" w:lineRule="auto"/>
        <w:ind w:firstLine="720"/>
        <w:jc w:val="both"/>
        <w:rPr>
          <w:rFonts w:asciiTheme="majorBidi" w:hAnsiTheme="majorBidi" w:cstheme="majorBidi"/>
        </w:rPr>
      </w:pPr>
      <w:r w:rsidRPr="00843265">
        <w:rPr>
          <w:rFonts w:asciiTheme="majorBidi" w:hAnsiTheme="majorBidi" w:cstheme="majorBidi"/>
        </w:rPr>
        <w:t xml:space="preserve">[2] Senatoru kolēģija konstatē, ka pieteicēja kasācijas sūdzībā izklāstījusi virkni ar faktiskajiem apstākļiem, norādot, ka tiesa nav vērtējusi būtiskus pierādījumus </w:t>
      </w:r>
      <w:r w:rsidR="00EB3CB4" w:rsidRPr="00843265">
        <w:rPr>
          <w:rFonts w:asciiTheme="majorBidi" w:hAnsiTheme="majorBidi" w:cstheme="majorBidi"/>
        </w:rPr>
        <w:t xml:space="preserve">un apstākļus </w:t>
      </w:r>
      <w:r w:rsidRPr="00843265">
        <w:rPr>
          <w:rFonts w:asciiTheme="majorBidi" w:hAnsiTheme="majorBidi" w:cstheme="majorBidi"/>
        </w:rPr>
        <w:t xml:space="preserve">lietā (piemēram, universitātes lēmumu neatbilstības, </w:t>
      </w:r>
      <w:r w:rsidRPr="00843265">
        <w:t xml:space="preserve">obligātās veselības pārbaudes </w:t>
      </w:r>
      <w:r w:rsidR="00005AAD" w:rsidRPr="00843265">
        <w:t>noteikšanu un veikšanu</w:t>
      </w:r>
      <w:r w:rsidRPr="00843265">
        <w:t>,</w:t>
      </w:r>
      <w:r w:rsidR="00DB5228" w:rsidRPr="00843265">
        <w:t xml:space="preserve"> pieteicējas iesniegtās veselības pārbaudes kartes, kas apliecina atbilstību veicamajam darbam,</w:t>
      </w:r>
      <w:r w:rsidRPr="00843265">
        <w:t xml:space="preserve"> universitātes dokumentu falsificēšanu attiecībā uz pieteicējas nesekmību, </w:t>
      </w:r>
      <w:r w:rsidR="00324223" w:rsidRPr="00843265">
        <w:t xml:space="preserve">universitātes pasniegtajiem kursiem un priekšmetiem, </w:t>
      </w:r>
      <w:r w:rsidRPr="00843265">
        <w:rPr>
          <w:rFonts w:asciiTheme="majorBidi" w:hAnsiTheme="majorBidi" w:cstheme="majorBidi"/>
        </w:rPr>
        <w:t xml:space="preserve">universitātes prettiesisko rīcību </w:t>
      </w:r>
      <w:r w:rsidR="006A1B84">
        <w:rPr>
          <w:rFonts w:asciiTheme="majorBidi" w:hAnsiTheme="majorBidi" w:cstheme="majorBidi"/>
        </w:rPr>
        <w:t xml:space="preserve">– </w:t>
      </w:r>
      <w:r w:rsidRPr="00843265">
        <w:rPr>
          <w:rFonts w:asciiTheme="majorBidi" w:hAnsiTheme="majorBidi" w:cstheme="majorBidi"/>
        </w:rPr>
        <w:t>diskrimināciju, mobingu, bosingu</w:t>
      </w:r>
      <w:r w:rsidR="006A1B84">
        <w:rPr>
          <w:rFonts w:asciiTheme="majorBidi" w:hAnsiTheme="majorBidi" w:cstheme="majorBidi"/>
        </w:rPr>
        <w:t xml:space="preserve"> – </w:t>
      </w:r>
      <w:r w:rsidRPr="00843265">
        <w:rPr>
          <w:rFonts w:asciiTheme="majorBidi" w:hAnsiTheme="majorBidi" w:cstheme="majorBidi"/>
        </w:rPr>
        <w:t xml:space="preserve">pret pieteicēju u.c.) un tādējādi pārkāpusi vairāku normatīvo aktu normas, tostarp virkni Administratīvā procesa likuma, </w:t>
      </w:r>
      <w:r w:rsidR="00913888">
        <w:rPr>
          <w:rFonts w:asciiTheme="majorBidi" w:hAnsiTheme="majorBidi" w:cstheme="majorBidi"/>
        </w:rPr>
        <w:t xml:space="preserve">Latvijas Republikas </w:t>
      </w:r>
      <w:r w:rsidRPr="00843265">
        <w:rPr>
          <w:rFonts w:asciiTheme="majorBidi" w:hAnsiTheme="majorBidi" w:cstheme="majorBidi"/>
        </w:rPr>
        <w:t>Satversmes</w:t>
      </w:r>
      <w:r w:rsidR="00F2576C">
        <w:rPr>
          <w:rFonts w:asciiTheme="majorBidi" w:hAnsiTheme="majorBidi" w:cstheme="majorBidi"/>
        </w:rPr>
        <w:t xml:space="preserve"> (turpmāk – Satversme)</w:t>
      </w:r>
      <w:r w:rsidRPr="00843265">
        <w:rPr>
          <w:rFonts w:asciiTheme="majorBidi" w:hAnsiTheme="majorBidi" w:cstheme="majorBidi"/>
        </w:rPr>
        <w:t>, Eiropas Cilvēk</w:t>
      </w:r>
      <w:r w:rsidR="00F2576C">
        <w:rPr>
          <w:rFonts w:asciiTheme="majorBidi" w:hAnsiTheme="majorBidi" w:cstheme="majorBidi"/>
        </w:rPr>
        <w:t xml:space="preserve">a </w:t>
      </w:r>
      <w:r w:rsidRPr="00843265">
        <w:rPr>
          <w:rFonts w:asciiTheme="majorBidi" w:hAnsiTheme="majorBidi" w:cstheme="majorBidi"/>
        </w:rPr>
        <w:t xml:space="preserve">tiesību un pamatbrīvību aizsardzības </w:t>
      </w:r>
      <w:r w:rsidR="00F2576C">
        <w:rPr>
          <w:rFonts w:asciiTheme="majorBidi" w:hAnsiTheme="majorBidi" w:cstheme="majorBidi"/>
        </w:rPr>
        <w:t>k</w:t>
      </w:r>
      <w:r w:rsidRPr="00843265">
        <w:rPr>
          <w:rFonts w:asciiTheme="majorBidi" w:hAnsiTheme="majorBidi" w:cstheme="majorBidi"/>
        </w:rPr>
        <w:t xml:space="preserve">onvencijas, Ārstniecības likuma, Pacientu tiesību likuma, Darba likuma, </w:t>
      </w:r>
      <w:r w:rsidR="00714438">
        <w:rPr>
          <w:rFonts w:asciiTheme="majorBidi" w:hAnsiTheme="majorBidi" w:cstheme="majorBidi"/>
        </w:rPr>
        <w:t>universitātes</w:t>
      </w:r>
      <w:r w:rsidRPr="00843265">
        <w:rPr>
          <w:rFonts w:asciiTheme="majorBidi" w:hAnsiTheme="majorBidi" w:cstheme="majorBidi"/>
        </w:rPr>
        <w:t xml:space="preserve"> Studiju reglamenta un Valsts pārvaldes iestāžu nodarīto zaudējumu atlīdzināšanas likuma </w:t>
      </w:r>
      <w:r w:rsidR="006270D1" w:rsidRPr="00843265">
        <w:rPr>
          <w:rFonts w:asciiTheme="majorBidi" w:hAnsiTheme="majorBidi" w:cstheme="majorBidi"/>
        </w:rPr>
        <w:t xml:space="preserve">un vēl citu </w:t>
      </w:r>
      <w:r w:rsidR="00714438">
        <w:rPr>
          <w:rFonts w:asciiTheme="majorBidi" w:hAnsiTheme="majorBidi" w:cstheme="majorBidi"/>
        </w:rPr>
        <w:t xml:space="preserve">normatīvo aktu </w:t>
      </w:r>
      <w:r w:rsidRPr="00843265">
        <w:rPr>
          <w:rFonts w:asciiTheme="majorBidi" w:hAnsiTheme="majorBidi" w:cstheme="majorBidi"/>
        </w:rPr>
        <w:t>norm</w:t>
      </w:r>
      <w:r w:rsidR="006A1B84">
        <w:rPr>
          <w:rFonts w:asciiTheme="majorBidi" w:hAnsiTheme="majorBidi" w:cstheme="majorBidi"/>
        </w:rPr>
        <w:t>u</w:t>
      </w:r>
      <w:r w:rsidRPr="00843265">
        <w:rPr>
          <w:rFonts w:asciiTheme="majorBidi" w:hAnsiTheme="majorBidi" w:cstheme="majorBidi"/>
        </w:rPr>
        <w:t>.</w:t>
      </w:r>
    </w:p>
    <w:p w14:paraId="4BD77556" w14:textId="77777777" w:rsidR="00005AAD" w:rsidRPr="00843265" w:rsidRDefault="00176A9F"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L</w:t>
      </w:r>
      <w:r w:rsidR="00DD0E06" w:rsidRPr="00843265">
        <w:rPr>
          <w:rFonts w:ascii="Times New Roman" w:hAnsi="Times New Roman" w:cs="Times New Roman"/>
          <w:sz w:val="24"/>
          <w:szCs w:val="24"/>
        </w:rPr>
        <w:t xml:space="preserve">ai arī pieteicēja kasācijas sūdzībā atsaucas uz dažādām tiesību normām, taču saturiski </w:t>
      </w:r>
      <w:r w:rsidRPr="00843265">
        <w:rPr>
          <w:rFonts w:ascii="Times New Roman" w:hAnsi="Times New Roman" w:cs="Times New Roman"/>
          <w:sz w:val="24"/>
          <w:szCs w:val="24"/>
        </w:rPr>
        <w:t xml:space="preserve">no pieteicējas kasācijas sūdzības kopumā izriet tas, ka pieteicēja nepiekrīt apgabaltiesas secinājumiem par faktisko apstākļu vērtējumu un būtībā vēlas panākt citādāku </w:t>
      </w:r>
      <w:r w:rsidRPr="00843265">
        <w:rPr>
          <w:rFonts w:ascii="Times New Roman" w:hAnsi="Times New Roman" w:cs="Times New Roman"/>
          <w:sz w:val="24"/>
          <w:szCs w:val="24"/>
        </w:rPr>
        <w:lastRenderedPageBreak/>
        <w:t>lietas apstākļu un pierādījumu novērtēšanu</w:t>
      </w:r>
      <w:r w:rsidR="00DD0E06" w:rsidRPr="00843265">
        <w:rPr>
          <w:rFonts w:ascii="Times New Roman" w:hAnsi="Times New Roman" w:cs="Times New Roman"/>
          <w:sz w:val="24"/>
          <w:szCs w:val="24"/>
        </w:rPr>
        <w:t xml:space="preserve">. </w:t>
      </w:r>
      <w:r w:rsidRPr="00843265">
        <w:rPr>
          <w:rFonts w:ascii="Times New Roman" w:hAnsi="Times New Roman" w:cs="Times New Roman"/>
          <w:sz w:val="24"/>
          <w:szCs w:val="24"/>
        </w:rPr>
        <w:t>Tas vien, ka pieteicēja nepiekrīt apgabaltiesas vērtējumam, nerada šaubas par apgabaltiesas sprieduma tiesiskumu. Senatoru kolēģija secina, ka apgabaltiesa, tostarp pievienojoties pirmās instances sprieduma motivācijai, ir vispusīgi un objektīvi vērtējusi pieteicējas un iestādes paskaidrojumus, pierādījumus, kā arī pieteicējas norādītos apstākļus.</w:t>
      </w:r>
    </w:p>
    <w:p w14:paraId="7F699E81" w14:textId="66FE04C5" w:rsidR="00176A9F" w:rsidRPr="00843265" w:rsidRDefault="00176A9F"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Kasācijas instances tiesa atbilstoši Administratīvā procesa likuma 325.pantam pierādījumus un lietas faktiskos apstākļus nepārvērtē.</w:t>
      </w:r>
      <w:r w:rsidR="00005AAD" w:rsidRPr="00843265">
        <w:rPr>
          <w:rFonts w:ascii="Times New Roman" w:hAnsi="Times New Roman" w:cs="Times New Roman"/>
          <w:sz w:val="24"/>
          <w:szCs w:val="24"/>
        </w:rPr>
        <w:t xml:space="preserve"> </w:t>
      </w:r>
      <w:r w:rsidR="00DD0E06" w:rsidRPr="00843265">
        <w:rPr>
          <w:rFonts w:ascii="Times New Roman" w:hAnsi="Times New Roman" w:cs="Times New Roman"/>
          <w:sz w:val="24"/>
          <w:szCs w:val="24"/>
        </w:rPr>
        <w:t xml:space="preserve">Līdz ar to senatoru kolēģija </w:t>
      </w:r>
      <w:r w:rsidR="00005AAD" w:rsidRPr="00843265">
        <w:rPr>
          <w:rFonts w:ascii="Times New Roman" w:hAnsi="Times New Roman" w:cs="Times New Roman"/>
          <w:sz w:val="24"/>
          <w:szCs w:val="24"/>
        </w:rPr>
        <w:t>ne</w:t>
      </w:r>
      <w:r w:rsidR="00DD0E06" w:rsidRPr="00843265">
        <w:rPr>
          <w:rFonts w:ascii="Times New Roman" w:hAnsi="Times New Roman" w:cs="Times New Roman"/>
          <w:sz w:val="24"/>
          <w:szCs w:val="24"/>
        </w:rPr>
        <w:t xml:space="preserve">atbildēs </w:t>
      </w:r>
      <w:r w:rsidR="00005AAD" w:rsidRPr="00843265">
        <w:rPr>
          <w:rFonts w:ascii="Times New Roman" w:hAnsi="Times New Roman" w:cs="Times New Roman"/>
          <w:sz w:val="24"/>
          <w:szCs w:val="24"/>
        </w:rPr>
        <w:t>uz tiem kasācijas sūdzības argumentiem, kas vērsti uz faktisko apstākļu pārvērtēšanu</w:t>
      </w:r>
      <w:r w:rsidR="00DD0E06" w:rsidRPr="00843265">
        <w:rPr>
          <w:rFonts w:ascii="Times New Roman" w:hAnsi="Times New Roman" w:cs="Times New Roman"/>
          <w:sz w:val="24"/>
          <w:szCs w:val="24"/>
        </w:rPr>
        <w:t>.</w:t>
      </w:r>
    </w:p>
    <w:p w14:paraId="58179920" w14:textId="77777777" w:rsidR="00DD0E06" w:rsidRPr="00843265" w:rsidRDefault="00DD0E06" w:rsidP="008A1B44">
      <w:pPr>
        <w:spacing w:line="276" w:lineRule="auto"/>
        <w:ind w:firstLine="720"/>
        <w:jc w:val="both"/>
        <w:rPr>
          <w:rFonts w:asciiTheme="majorBidi" w:hAnsiTheme="majorBidi" w:cstheme="majorBidi"/>
        </w:rPr>
      </w:pPr>
    </w:p>
    <w:p w14:paraId="1F1466BC" w14:textId="2E727131" w:rsidR="00086CA7" w:rsidRPr="00843265" w:rsidRDefault="00A003A3" w:rsidP="008A1B44">
      <w:pPr>
        <w:spacing w:line="276" w:lineRule="auto"/>
        <w:ind w:firstLine="720"/>
        <w:jc w:val="both"/>
      </w:pPr>
      <w:r w:rsidRPr="00843265">
        <w:rPr>
          <w:rFonts w:asciiTheme="majorBidi" w:hAnsiTheme="majorBidi" w:cstheme="majorBidi"/>
        </w:rPr>
        <w:t>[</w:t>
      </w:r>
      <w:r w:rsidR="00176A9F" w:rsidRPr="00843265">
        <w:rPr>
          <w:rFonts w:asciiTheme="majorBidi" w:hAnsiTheme="majorBidi" w:cstheme="majorBidi"/>
        </w:rPr>
        <w:t>3</w:t>
      </w:r>
      <w:r w:rsidRPr="00843265">
        <w:rPr>
          <w:rFonts w:asciiTheme="majorBidi" w:hAnsiTheme="majorBidi" w:cstheme="majorBidi"/>
        </w:rPr>
        <w:t>]</w:t>
      </w:r>
      <w:r w:rsidR="00074619" w:rsidRPr="00843265">
        <w:rPr>
          <w:rFonts w:asciiTheme="majorBidi" w:hAnsiTheme="majorBidi" w:cstheme="majorBidi"/>
        </w:rPr>
        <w:t> </w:t>
      </w:r>
      <w:r w:rsidR="00086CA7" w:rsidRPr="00843265">
        <w:t>Kasācijas sūdzībā norādīts, ka tiesa n</w:t>
      </w:r>
      <w:r w:rsidR="00714438">
        <w:t>eesot</w:t>
      </w:r>
      <w:r w:rsidR="00086CA7" w:rsidRPr="00843265">
        <w:t xml:space="preserve"> izvērtējusi, vai </w:t>
      </w:r>
      <w:r w:rsidR="00714438">
        <w:t>atbildētājas</w:t>
      </w:r>
      <w:r w:rsidR="00086CA7" w:rsidRPr="00843265">
        <w:t xml:space="preserve"> rīcība, nepielaižot pieteicēju pie studijām un pārtraucot pieteicējai piešķirto akadēmisko atvaļinājumu, bija pamatota.</w:t>
      </w:r>
    </w:p>
    <w:p w14:paraId="6CB5EAFF" w14:textId="15F1727E" w:rsidR="00086CA7" w:rsidRPr="00843265" w:rsidRDefault="00086CA7"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Pretēji pieteicējas norādītajam, tiesa ir vispusīgi izvērtējusi lietas apstākļus attiecībā uz pieteicējas nepielaišanu studijām, kā arī pieteicējas akadēmiskā atvaļinājum</w:t>
      </w:r>
      <w:r w:rsidR="006A1B84">
        <w:rPr>
          <w:rFonts w:ascii="Times New Roman" w:hAnsi="Times New Roman" w:cs="Times New Roman"/>
          <w:sz w:val="24"/>
          <w:szCs w:val="24"/>
        </w:rPr>
        <w:t>a</w:t>
      </w:r>
      <w:r w:rsidRPr="00843265">
        <w:rPr>
          <w:rFonts w:ascii="Times New Roman" w:hAnsi="Times New Roman" w:cs="Times New Roman"/>
          <w:sz w:val="24"/>
          <w:szCs w:val="24"/>
        </w:rPr>
        <w:t xml:space="preserve"> pārtraukšanu.</w:t>
      </w:r>
    </w:p>
    <w:p w14:paraId="1A053B64" w14:textId="7F886F35" w:rsidR="00086CA7" w:rsidRPr="00843265" w:rsidRDefault="00086CA7"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Tiesa konstatēja, ka vienīgais akadēmiskā atvaļinājuma pārtraukšanas pamats ir pieteicējas nesekmība. Līdz ar to tiesa vērtēja, vai universitāte ir ievērojusi ārējos un iekšējos normatīvajos aktos noteikto procesuālo kārtību pieteicējas novērtējumu izlikšanā un nesekmības noteikšanā</w:t>
      </w:r>
      <w:r w:rsidR="00C80BA8">
        <w:rPr>
          <w:rFonts w:ascii="Times New Roman" w:hAnsi="Times New Roman" w:cs="Times New Roman"/>
          <w:sz w:val="24"/>
          <w:szCs w:val="24"/>
        </w:rPr>
        <w:t>,</w:t>
      </w:r>
      <w:r w:rsidRPr="00843265">
        <w:rPr>
          <w:rFonts w:ascii="Times New Roman" w:hAnsi="Times New Roman" w:cs="Times New Roman"/>
          <w:sz w:val="24"/>
          <w:szCs w:val="24"/>
        </w:rPr>
        <w:t xml:space="preserve"> un pamatoti secināja, ka pieteicējai vairākos studiju kursos ir nesekmīgs gala vērtējums, tādējādi arī pamatoti pārtraukts akadēmiskais atvaļinājums.</w:t>
      </w:r>
    </w:p>
    <w:p w14:paraId="55C41D74" w14:textId="3AB052F3" w:rsidR="00086CA7" w:rsidRPr="00843265" w:rsidRDefault="00086CA7"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Savukārt par pieteicējas nepielaišanu pie studijām norādāms, ka tiesa pamatoti secināja, ka universitātei ir tiesības nepielaist studējošo pie attiecīgajām nodarbībām, ja studējošais nav apliecinājis, ka veselības stāvoklis ir atbilstošs. Ievērojot rezidenta saskarsmi ar pacientiem ārstniecības procesa laikā, vēl jo vairāk šāds pienākums var būt uzdodams rezidentam arī trešo personu interešu nodrošināšanas dēļ. Ņemot vērā, ka lietā ir vairāku ārstniecības personu sniegta informācija par pieteicējas veselības stāvokļa neatbilstību praktiskās apmācības turpināšanai, nav pamata atzīt par prettiesisku rīkojumu, ar kuru noteikts nepielaist pieteicēju pie studijām programmā, kā arī iesniegt apliecinātu veselības pārbaudes kartes atvasinājumu.</w:t>
      </w:r>
    </w:p>
    <w:p w14:paraId="5FAAD8D6" w14:textId="2250C150" w:rsidR="00086CA7" w:rsidRPr="00843265" w:rsidRDefault="00086CA7"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Līdz ar to minētais pieteicējas kasācijas sūdzības arguments nevar būt pamat</w:t>
      </w:r>
      <w:r w:rsidR="00C80BA8">
        <w:rPr>
          <w:rFonts w:ascii="Times New Roman" w:hAnsi="Times New Roman" w:cs="Times New Roman"/>
          <w:sz w:val="24"/>
          <w:szCs w:val="24"/>
        </w:rPr>
        <w:t>s</w:t>
      </w:r>
      <w:r w:rsidRPr="00843265">
        <w:rPr>
          <w:rFonts w:ascii="Times New Roman" w:hAnsi="Times New Roman" w:cs="Times New Roman"/>
          <w:sz w:val="24"/>
          <w:szCs w:val="24"/>
        </w:rPr>
        <w:t xml:space="preserve"> kasācijas tiesvedības ierosināšanai.</w:t>
      </w:r>
    </w:p>
    <w:p w14:paraId="471A524B" w14:textId="77777777" w:rsidR="00086CA7" w:rsidRPr="00843265" w:rsidRDefault="00086CA7" w:rsidP="008A1B44">
      <w:pPr>
        <w:spacing w:line="276" w:lineRule="auto"/>
        <w:ind w:firstLine="720"/>
        <w:jc w:val="both"/>
        <w:rPr>
          <w:rFonts w:asciiTheme="majorBidi" w:hAnsiTheme="majorBidi" w:cstheme="majorBidi"/>
        </w:rPr>
      </w:pPr>
    </w:p>
    <w:p w14:paraId="562BEDCE" w14:textId="06D23D18" w:rsidR="00DB5228" w:rsidRDefault="00086CA7" w:rsidP="008A1B44">
      <w:pPr>
        <w:spacing w:line="276" w:lineRule="auto"/>
        <w:ind w:firstLine="720"/>
        <w:jc w:val="both"/>
      </w:pPr>
      <w:r w:rsidRPr="00843265">
        <w:rPr>
          <w:rFonts w:asciiTheme="majorBidi" w:hAnsiTheme="majorBidi" w:cstheme="majorBidi"/>
        </w:rPr>
        <w:t>[4] </w:t>
      </w:r>
      <w:r w:rsidR="00A003A3" w:rsidRPr="00843265">
        <w:rPr>
          <w:rFonts w:asciiTheme="majorBidi" w:hAnsiTheme="majorBidi" w:cstheme="majorBidi"/>
        </w:rPr>
        <w:t>Pieteicēj</w:t>
      </w:r>
      <w:r w:rsidR="00F73798" w:rsidRPr="00843265">
        <w:rPr>
          <w:rFonts w:asciiTheme="majorBidi" w:hAnsiTheme="majorBidi" w:cstheme="majorBidi"/>
        </w:rPr>
        <w:t>a</w:t>
      </w:r>
      <w:r w:rsidR="00A003A3" w:rsidRPr="00843265">
        <w:rPr>
          <w:rFonts w:asciiTheme="majorBidi" w:hAnsiTheme="majorBidi" w:cstheme="majorBidi"/>
        </w:rPr>
        <w:t xml:space="preserve"> kasācijas sūdzībā </w:t>
      </w:r>
      <w:r w:rsidR="0013764D" w:rsidRPr="00843265">
        <w:rPr>
          <w:rFonts w:asciiTheme="majorBidi" w:hAnsiTheme="majorBidi" w:cstheme="majorBidi"/>
        </w:rPr>
        <w:t>norāda</w:t>
      </w:r>
      <w:r w:rsidR="00A003A3" w:rsidRPr="00843265">
        <w:rPr>
          <w:rFonts w:asciiTheme="majorBidi" w:hAnsiTheme="majorBidi" w:cstheme="majorBidi"/>
        </w:rPr>
        <w:t xml:space="preserve">, ka </w:t>
      </w:r>
      <w:r w:rsidR="005E1BAE" w:rsidRPr="00843265">
        <w:rPr>
          <w:rFonts w:asciiTheme="majorBidi" w:hAnsiTheme="majorBidi" w:cstheme="majorBidi"/>
        </w:rPr>
        <w:t>tiesa n</w:t>
      </w:r>
      <w:r w:rsidR="00C80BA8">
        <w:rPr>
          <w:rFonts w:asciiTheme="majorBidi" w:hAnsiTheme="majorBidi" w:cstheme="majorBidi"/>
        </w:rPr>
        <w:t>eesot</w:t>
      </w:r>
      <w:r w:rsidR="005E1BAE" w:rsidRPr="00843265">
        <w:rPr>
          <w:rFonts w:asciiTheme="majorBidi" w:hAnsiTheme="majorBidi" w:cstheme="majorBidi"/>
        </w:rPr>
        <w:t xml:space="preserve"> piemērojusi tās</w:t>
      </w:r>
      <w:r w:rsidR="00C80BA8">
        <w:rPr>
          <w:rFonts w:asciiTheme="majorBidi" w:hAnsiTheme="majorBidi" w:cstheme="majorBidi"/>
        </w:rPr>
        <w:t xml:space="preserve"> tiesību</w:t>
      </w:r>
      <w:r w:rsidR="005E1BAE" w:rsidRPr="00843265">
        <w:rPr>
          <w:rFonts w:asciiTheme="majorBidi" w:hAnsiTheme="majorBidi" w:cstheme="majorBidi"/>
        </w:rPr>
        <w:t xml:space="preserve"> normas, kas bijušas spēkā pieteicējas mācību laikā, bet gan tās</w:t>
      </w:r>
      <w:r w:rsidR="00C80BA8">
        <w:rPr>
          <w:rFonts w:asciiTheme="majorBidi" w:hAnsiTheme="majorBidi" w:cstheme="majorBidi"/>
        </w:rPr>
        <w:t xml:space="preserve"> tiesību</w:t>
      </w:r>
      <w:r w:rsidR="005E1BAE" w:rsidRPr="00843265">
        <w:rPr>
          <w:rFonts w:asciiTheme="majorBidi" w:hAnsiTheme="majorBidi" w:cstheme="majorBidi"/>
        </w:rPr>
        <w:t xml:space="preserve"> normas, kas bijušas spēkā pieteicējas akadēmiskā atvaļinājuma laikā, </w:t>
      </w:r>
      <w:r w:rsidR="00CF19C6" w:rsidRPr="00843265">
        <w:rPr>
          <w:rFonts w:asciiTheme="majorBidi" w:hAnsiTheme="majorBidi" w:cstheme="majorBidi"/>
        </w:rPr>
        <w:t xml:space="preserve">kā arī tādas </w:t>
      </w:r>
      <w:r w:rsidR="00C80BA8">
        <w:rPr>
          <w:rFonts w:asciiTheme="majorBidi" w:hAnsiTheme="majorBidi" w:cstheme="majorBidi"/>
        </w:rPr>
        <w:t xml:space="preserve">tiesību </w:t>
      </w:r>
      <w:r w:rsidR="00CF19C6" w:rsidRPr="00843265">
        <w:rPr>
          <w:rFonts w:asciiTheme="majorBidi" w:hAnsiTheme="majorBidi" w:cstheme="majorBidi"/>
        </w:rPr>
        <w:t>normas, ka nebija spēkā, izskatot lietu tiesā</w:t>
      </w:r>
      <w:r w:rsidR="00C80BA8">
        <w:rPr>
          <w:rFonts w:asciiTheme="majorBidi" w:hAnsiTheme="majorBidi" w:cstheme="majorBidi"/>
        </w:rPr>
        <w:t>.</w:t>
      </w:r>
      <w:r w:rsidR="00CF19C6" w:rsidRPr="00843265">
        <w:rPr>
          <w:rFonts w:asciiTheme="majorBidi" w:hAnsiTheme="majorBidi" w:cstheme="majorBidi"/>
        </w:rPr>
        <w:t xml:space="preserve"> </w:t>
      </w:r>
      <w:r w:rsidR="00C80BA8">
        <w:rPr>
          <w:rFonts w:asciiTheme="majorBidi" w:hAnsiTheme="majorBidi" w:cstheme="majorBidi"/>
        </w:rPr>
        <w:t>T</w:t>
      </w:r>
      <w:r w:rsidR="005E1BAE" w:rsidRPr="00843265">
        <w:rPr>
          <w:rFonts w:asciiTheme="majorBidi" w:hAnsiTheme="majorBidi" w:cstheme="majorBidi"/>
        </w:rPr>
        <w:t>ādējādi</w:t>
      </w:r>
      <w:r w:rsidR="00C80BA8">
        <w:rPr>
          <w:rFonts w:asciiTheme="majorBidi" w:hAnsiTheme="majorBidi" w:cstheme="majorBidi"/>
        </w:rPr>
        <w:t xml:space="preserve"> tiesa neesot </w:t>
      </w:r>
      <w:r w:rsidR="005E1BAE" w:rsidRPr="00843265">
        <w:rPr>
          <w:rFonts w:asciiTheme="majorBidi" w:hAnsiTheme="majorBidi" w:cstheme="majorBidi"/>
        </w:rPr>
        <w:t>ievēroj</w:t>
      </w:r>
      <w:r w:rsidR="00C80BA8">
        <w:rPr>
          <w:rFonts w:asciiTheme="majorBidi" w:hAnsiTheme="majorBidi" w:cstheme="majorBidi"/>
        </w:rPr>
        <w:t>usi</w:t>
      </w:r>
      <w:r w:rsidR="005E1BAE" w:rsidRPr="00843265">
        <w:rPr>
          <w:rFonts w:asciiTheme="majorBidi" w:hAnsiTheme="majorBidi" w:cstheme="majorBidi"/>
        </w:rPr>
        <w:t xml:space="preserve"> Administratīvā procesa likuma 251.panta piekto daļu un</w:t>
      </w:r>
      <w:r w:rsidR="006A1B84">
        <w:rPr>
          <w:rFonts w:asciiTheme="majorBidi" w:hAnsiTheme="majorBidi" w:cstheme="majorBidi"/>
        </w:rPr>
        <w:t xml:space="preserve"> esot</w:t>
      </w:r>
      <w:r w:rsidR="005E1BAE" w:rsidRPr="00843265">
        <w:rPr>
          <w:rFonts w:asciiTheme="majorBidi" w:hAnsiTheme="majorBidi" w:cstheme="majorBidi"/>
        </w:rPr>
        <w:t xml:space="preserve"> pārkāp</w:t>
      </w:r>
      <w:r w:rsidR="00C80BA8">
        <w:rPr>
          <w:rFonts w:asciiTheme="majorBidi" w:hAnsiTheme="majorBidi" w:cstheme="majorBidi"/>
        </w:rPr>
        <w:t>usi</w:t>
      </w:r>
      <w:r w:rsidR="005E1BAE" w:rsidRPr="00843265">
        <w:rPr>
          <w:rFonts w:asciiTheme="majorBidi" w:hAnsiTheme="majorBidi" w:cstheme="majorBidi"/>
        </w:rPr>
        <w:t xml:space="preserve"> Satversmes</w:t>
      </w:r>
      <w:r w:rsidR="00CF19C6" w:rsidRPr="00843265">
        <w:rPr>
          <w:rFonts w:asciiTheme="majorBidi" w:hAnsiTheme="majorBidi" w:cstheme="majorBidi"/>
        </w:rPr>
        <w:t xml:space="preserve"> </w:t>
      </w:r>
      <w:r w:rsidR="005E1BAE" w:rsidRPr="00843265">
        <w:rPr>
          <w:rFonts w:asciiTheme="majorBidi" w:hAnsiTheme="majorBidi" w:cstheme="majorBidi"/>
        </w:rPr>
        <w:t>92.pantā nostiprinātās tiesības uz taisnīgu tiesu.</w:t>
      </w:r>
      <w:r w:rsidR="006A2109" w:rsidRPr="00843265">
        <w:rPr>
          <w:rFonts w:asciiTheme="majorBidi" w:hAnsiTheme="majorBidi" w:cstheme="majorBidi"/>
        </w:rPr>
        <w:t xml:space="preserve"> </w:t>
      </w:r>
      <w:r w:rsidR="00BD6ECF">
        <w:rPr>
          <w:rFonts w:asciiTheme="majorBidi" w:hAnsiTheme="majorBidi" w:cstheme="majorBidi"/>
        </w:rPr>
        <w:t>T</w:t>
      </w:r>
      <w:r w:rsidR="00DD7A13" w:rsidRPr="00843265">
        <w:rPr>
          <w:rFonts w:asciiTheme="majorBidi" w:hAnsiTheme="majorBidi" w:cstheme="majorBidi"/>
        </w:rPr>
        <w:t xml:space="preserve">iesa </w:t>
      </w:r>
      <w:r w:rsidR="00C80BA8">
        <w:rPr>
          <w:rFonts w:asciiTheme="majorBidi" w:hAnsiTheme="majorBidi" w:cstheme="majorBidi"/>
        </w:rPr>
        <w:t>esot</w:t>
      </w:r>
      <w:r w:rsidR="00DD7A13" w:rsidRPr="00843265">
        <w:rPr>
          <w:rFonts w:asciiTheme="majorBidi" w:hAnsiTheme="majorBidi" w:cstheme="majorBidi"/>
        </w:rPr>
        <w:t xml:space="preserve"> piemērojusi</w:t>
      </w:r>
      <w:r w:rsidR="00C80BA8">
        <w:rPr>
          <w:rFonts w:asciiTheme="majorBidi" w:hAnsiTheme="majorBidi" w:cstheme="majorBidi"/>
        </w:rPr>
        <w:t xml:space="preserve"> tiesību</w:t>
      </w:r>
      <w:r w:rsidR="00DD7A13" w:rsidRPr="00843265">
        <w:rPr>
          <w:rFonts w:asciiTheme="majorBidi" w:hAnsiTheme="majorBidi" w:cstheme="majorBidi"/>
        </w:rPr>
        <w:t xml:space="preserve"> normas par tādu periodu, par kuru pieteicēja n</w:t>
      </w:r>
      <w:r w:rsidR="00C80BA8">
        <w:rPr>
          <w:rFonts w:asciiTheme="majorBidi" w:hAnsiTheme="majorBidi" w:cstheme="majorBidi"/>
        </w:rPr>
        <w:t>eesot</w:t>
      </w:r>
      <w:r w:rsidR="00DD7A13" w:rsidRPr="00843265">
        <w:rPr>
          <w:rFonts w:asciiTheme="majorBidi" w:hAnsiTheme="majorBidi" w:cstheme="majorBidi"/>
        </w:rPr>
        <w:t xml:space="preserve"> iesniegusi pieteikumu tiesā. </w:t>
      </w:r>
      <w:r w:rsidR="00C80BA8">
        <w:rPr>
          <w:rFonts w:asciiTheme="majorBidi" w:hAnsiTheme="majorBidi" w:cstheme="majorBidi"/>
        </w:rPr>
        <w:t>Proti</w:t>
      </w:r>
      <w:r w:rsidR="00DD7A13" w:rsidRPr="00843265">
        <w:rPr>
          <w:rFonts w:asciiTheme="majorBidi" w:hAnsiTheme="majorBidi" w:cstheme="majorBidi"/>
        </w:rPr>
        <w:t>, pieteicēja pieteikumu iesniegusi par mācību vai akadēmiskā atvaļinājuma periodiem līdz 202</w:t>
      </w:r>
      <w:r w:rsidR="00352274" w:rsidRPr="00843265">
        <w:rPr>
          <w:rFonts w:asciiTheme="majorBidi" w:hAnsiTheme="majorBidi" w:cstheme="majorBidi"/>
        </w:rPr>
        <w:t>0</w:t>
      </w:r>
      <w:r w:rsidR="00DD7A13" w:rsidRPr="00843265">
        <w:rPr>
          <w:rFonts w:asciiTheme="majorBidi" w:hAnsiTheme="majorBidi" w:cstheme="majorBidi"/>
        </w:rPr>
        <w:t xml:space="preserve">.gada 31.jūlijam, taču tiesa atsaukusies uz Ministru kabineta 2020.gada 6.novembra rīkojumu Nr. 655 „Par ārkārtējās situācijas izsludināšanu”, Ministru kabineta 2021.gada 28.septembra noteikumiem Nr. 662 „Epidemioloģiskās </w:t>
      </w:r>
      <w:r w:rsidR="00DD7A13" w:rsidRPr="00843265">
        <w:rPr>
          <w:rFonts w:asciiTheme="majorBidi" w:hAnsiTheme="majorBidi" w:cstheme="majorBidi"/>
        </w:rPr>
        <w:lastRenderedPageBreak/>
        <w:t xml:space="preserve">drošības pasākumi Covid-19 infekcijas izplatības ierobežošanai” un </w:t>
      </w:r>
      <w:r w:rsidR="00DD7A13" w:rsidRPr="00843265">
        <w:t xml:space="preserve">Ministru kabineta 2021.gada 9.oktobra rīkojumu Nr. 720 „Par ārkārtējās situācijas izsludināšanu”. </w:t>
      </w:r>
    </w:p>
    <w:p w14:paraId="16CE2E92" w14:textId="0035B099" w:rsidR="00C80BA8" w:rsidRPr="00843265" w:rsidRDefault="00C80BA8" w:rsidP="008A1B44">
      <w:pPr>
        <w:spacing w:line="276" w:lineRule="auto"/>
        <w:ind w:firstLine="720"/>
        <w:jc w:val="both"/>
      </w:pPr>
      <w:r>
        <w:t>Senatoru kolēģija atzīst, ka minētie argumenti nav pamatoti.</w:t>
      </w:r>
    </w:p>
    <w:p w14:paraId="2C87CE09" w14:textId="30498A75" w:rsidR="008D6FC4" w:rsidRPr="00843265" w:rsidRDefault="00E822B1" w:rsidP="008A1B44">
      <w:pPr>
        <w:spacing w:line="276" w:lineRule="auto"/>
        <w:ind w:firstLine="720"/>
        <w:jc w:val="both"/>
      </w:pPr>
      <w:r w:rsidRPr="00843265">
        <w:t>No pieteicējas pieteikuma konstatējams, ka pieteicējas argumenti par mācību laika periodu līdz 2020.gada 31.jūlijam ir saistī</w:t>
      </w:r>
      <w:r w:rsidR="006A1B84">
        <w:t>t</w:t>
      </w:r>
      <w:r w:rsidR="00C80BA8">
        <w:t>i</w:t>
      </w:r>
      <w:r w:rsidRPr="00843265">
        <w:t xml:space="preserve"> ar studiju kursu „Ģimenes medicīna”, „Reimatoloģija”, „Pulmonoloģija” un </w:t>
      </w:r>
      <w:r w:rsidR="00C80BA8">
        <w:t>„</w:t>
      </w:r>
      <w:r w:rsidRPr="00843265">
        <w:t>Gastroenteroloģija”. Savukārt tiesa šo kursu novērtējumu izlikšanas procesuāl</w:t>
      </w:r>
      <w:r w:rsidR="00C80BA8">
        <w:t>ās</w:t>
      </w:r>
      <w:r w:rsidRPr="00843265">
        <w:t xml:space="preserve"> kārtīb</w:t>
      </w:r>
      <w:r w:rsidR="00C80BA8">
        <w:t>as</w:t>
      </w:r>
      <w:r w:rsidRPr="00843265">
        <w:t xml:space="preserve"> izvērtēšan</w:t>
      </w:r>
      <w:r w:rsidR="00C80BA8">
        <w:t xml:space="preserve">ā </w:t>
      </w:r>
      <w:r w:rsidRPr="00843265">
        <w:t xml:space="preserve">nav piemērojusi pieteicējas iepriekš minētos </w:t>
      </w:r>
      <w:r w:rsidR="00086CA7" w:rsidRPr="00843265">
        <w:t>normatīvos</w:t>
      </w:r>
      <w:r w:rsidRPr="00843265">
        <w:t xml:space="preserve"> aktus. Tie ir ņemti vērā, vērtējot </w:t>
      </w:r>
      <w:r w:rsidR="008D6FC4" w:rsidRPr="00843265">
        <w:t>studiju kursu „Neiroloģija”, „Reimatoloģija (ģimenes ārsta praksē)”, „Infektoloģija, veneroloģija (ģimenes ārsta praksē)” un „Psihosom</w:t>
      </w:r>
      <w:r w:rsidR="006A1B84">
        <w:t>a</w:t>
      </w:r>
      <w:r w:rsidR="008D6FC4" w:rsidRPr="00843265">
        <w:t>tiskā medicīna un psihoterapija (ģimenes ārsta praksē)”, jo šie kursi</w:t>
      </w:r>
      <w:r w:rsidR="00AD6BFB" w:rsidRPr="00843265">
        <w:t xml:space="preserve"> apgūti ārkārtējās situācijas laikā</w:t>
      </w:r>
      <w:r w:rsidR="00D85AD9" w:rsidRPr="00843265">
        <w:t>, līdz ar to pamatoti piemēroti normatīvie akti, ar kuriem noteikti vairāki īpašie pasākumi</w:t>
      </w:r>
      <w:r w:rsidR="00086CA7" w:rsidRPr="00843265">
        <w:t xml:space="preserve"> ārkārtējās situācijas laikā</w:t>
      </w:r>
      <w:r w:rsidR="00D85AD9" w:rsidRPr="00843265">
        <w:t xml:space="preserve">, </w:t>
      </w:r>
      <w:r w:rsidR="00A43E54">
        <w:t>tostarp</w:t>
      </w:r>
      <w:r w:rsidR="00D85AD9" w:rsidRPr="00843265">
        <w:t xml:space="preserve"> izglītības jomā</w:t>
      </w:r>
      <w:r w:rsidR="008D6FC4" w:rsidRPr="00843265">
        <w:t>.</w:t>
      </w:r>
      <w:r w:rsidR="00086CA7" w:rsidRPr="00843265">
        <w:t xml:space="preserve"> Tādējādi nav konstatējams </w:t>
      </w:r>
      <w:r w:rsidR="00086CA7" w:rsidRPr="00843265">
        <w:rPr>
          <w:rFonts w:asciiTheme="majorBidi" w:hAnsiTheme="majorBidi" w:cstheme="majorBidi"/>
        </w:rPr>
        <w:t>Administratīvā procesa likuma 251.panta piektās daļas pārkāpums.</w:t>
      </w:r>
    </w:p>
    <w:p w14:paraId="3D33EFAB" w14:textId="77777777" w:rsidR="00BD6ECF" w:rsidRDefault="00BD6ECF" w:rsidP="008A1B44">
      <w:pPr>
        <w:spacing w:line="276" w:lineRule="auto"/>
        <w:ind w:firstLine="720"/>
        <w:jc w:val="both"/>
        <w:rPr>
          <w:rFonts w:asciiTheme="majorBidi" w:hAnsiTheme="majorBidi" w:cstheme="majorBidi"/>
        </w:rPr>
      </w:pPr>
    </w:p>
    <w:p w14:paraId="7F5656D8" w14:textId="6DC8DAA6" w:rsidR="00BD6ECF" w:rsidRPr="00843265" w:rsidRDefault="00BD6ECF" w:rsidP="008A1B44">
      <w:pPr>
        <w:spacing w:line="276" w:lineRule="auto"/>
        <w:ind w:firstLine="720"/>
        <w:jc w:val="both"/>
        <w:rPr>
          <w:rFonts w:asciiTheme="majorBidi" w:hAnsiTheme="majorBidi" w:cstheme="majorBidi"/>
        </w:rPr>
      </w:pPr>
      <w:r>
        <w:rPr>
          <w:rFonts w:asciiTheme="majorBidi" w:hAnsiTheme="majorBidi" w:cstheme="majorBidi"/>
        </w:rPr>
        <w:t>[5] </w:t>
      </w:r>
      <w:r w:rsidRPr="00843265">
        <w:rPr>
          <w:rFonts w:asciiTheme="majorBidi" w:hAnsiTheme="majorBidi" w:cstheme="majorBidi"/>
        </w:rPr>
        <w:t>Tāpat kasācijas sūdzībā norādīts, ka tiesa</w:t>
      </w:r>
      <w:r>
        <w:rPr>
          <w:rFonts w:asciiTheme="majorBidi" w:hAnsiTheme="majorBidi" w:cstheme="majorBidi"/>
        </w:rPr>
        <w:t xml:space="preserve"> esot</w:t>
      </w:r>
      <w:r w:rsidRPr="00843265">
        <w:rPr>
          <w:rFonts w:asciiTheme="majorBidi" w:hAnsiTheme="majorBidi" w:cstheme="majorBidi"/>
        </w:rPr>
        <w:t xml:space="preserve"> pārkāpusi Satversmes </w:t>
      </w:r>
      <w:r>
        <w:rPr>
          <w:rFonts w:asciiTheme="majorBidi" w:hAnsiTheme="majorBidi" w:cstheme="majorBidi"/>
        </w:rPr>
        <w:t>92.</w:t>
      </w:r>
      <w:r w:rsidRPr="00843265">
        <w:rPr>
          <w:rFonts w:asciiTheme="majorBidi" w:hAnsiTheme="majorBidi" w:cstheme="majorBidi"/>
        </w:rPr>
        <w:t xml:space="preserve">pantu, jo tiesa lūgusi pieteicējai iesniegt apelācijas sūdzības kopsavilkumu, tādējādi tiesa </w:t>
      </w:r>
      <w:r>
        <w:rPr>
          <w:rFonts w:asciiTheme="majorBidi" w:hAnsiTheme="majorBidi" w:cstheme="majorBidi"/>
        </w:rPr>
        <w:t>esot</w:t>
      </w:r>
      <w:r w:rsidRPr="00843265">
        <w:rPr>
          <w:rFonts w:asciiTheme="majorBidi" w:hAnsiTheme="majorBidi" w:cstheme="majorBidi"/>
        </w:rPr>
        <w:t xml:space="preserve"> pārkāpusi pieteicējas tiesības tikt uzklausītai un procesuālā taisnīguma principu, kā arī tiesa n</w:t>
      </w:r>
      <w:r>
        <w:rPr>
          <w:rFonts w:asciiTheme="majorBidi" w:hAnsiTheme="majorBidi" w:cstheme="majorBidi"/>
        </w:rPr>
        <w:t>eesot</w:t>
      </w:r>
      <w:r w:rsidRPr="00843265">
        <w:rPr>
          <w:rFonts w:asciiTheme="majorBidi" w:hAnsiTheme="majorBidi" w:cstheme="majorBidi"/>
        </w:rPr>
        <w:t xml:space="preserve"> bijusi ieinteresēta objektīvās patiesības noskaidrošanai, kas </w:t>
      </w:r>
      <w:r>
        <w:rPr>
          <w:rFonts w:asciiTheme="majorBidi" w:hAnsiTheme="majorBidi" w:cstheme="majorBidi"/>
        </w:rPr>
        <w:t>esot</w:t>
      </w:r>
      <w:r w:rsidRPr="00843265">
        <w:rPr>
          <w:rFonts w:asciiTheme="majorBidi" w:hAnsiTheme="majorBidi" w:cstheme="majorBidi"/>
        </w:rPr>
        <w:t xml:space="preserve"> ietekmējis sprieduma rezultātu.</w:t>
      </w:r>
    </w:p>
    <w:p w14:paraId="0E50A4C0" w14:textId="23549AD8" w:rsidR="00A43E54" w:rsidRDefault="006A2109" w:rsidP="008A1B44">
      <w:pPr>
        <w:spacing w:line="276" w:lineRule="auto"/>
        <w:ind w:firstLine="720"/>
        <w:jc w:val="both"/>
        <w:rPr>
          <w:rFonts w:asciiTheme="majorBidi" w:hAnsiTheme="majorBidi" w:cstheme="majorBidi"/>
        </w:rPr>
      </w:pPr>
      <w:r w:rsidRPr="00843265">
        <w:rPr>
          <w:rFonts w:asciiTheme="majorBidi" w:hAnsiTheme="majorBidi" w:cstheme="majorBidi"/>
        </w:rPr>
        <w:t xml:space="preserve">Attiecībā uz </w:t>
      </w:r>
      <w:r w:rsidR="00A43E54">
        <w:rPr>
          <w:rFonts w:asciiTheme="majorBidi" w:hAnsiTheme="majorBidi" w:cstheme="majorBidi"/>
        </w:rPr>
        <w:t>apgabal</w:t>
      </w:r>
      <w:r w:rsidRPr="00843265">
        <w:rPr>
          <w:rFonts w:asciiTheme="majorBidi" w:hAnsiTheme="majorBidi" w:cstheme="majorBidi"/>
        </w:rPr>
        <w:t xml:space="preserve">tiesas lūgumu iesniegt apelācijas sūdzības kopsavilkumu norādāms, ka </w:t>
      </w:r>
      <w:r w:rsidR="00AA48E3" w:rsidRPr="00843265">
        <w:rPr>
          <w:rFonts w:asciiTheme="majorBidi" w:hAnsiTheme="majorBidi" w:cstheme="majorBidi"/>
        </w:rPr>
        <w:t>Administratīvā procesa likuma 292.panta ceturtā daļa piešķir apgabaltiesas tiesnesim tiesības lūgt apelācijas sūdzības iesniedzējam iesniegt tās kopsavilkumu, ja sūdzībā ietvertais pamatojums ir apjomīgs.</w:t>
      </w:r>
      <w:r w:rsidR="00A9612C" w:rsidRPr="00843265">
        <w:rPr>
          <w:rFonts w:asciiTheme="majorBidi" w:hAnsiTheme="majorBidi" w:cstheme="majorBidi"/>
        </w:rPr>
        <w:t xml:space="preserve"> Likumprojekta </w:t>
      </w:r>
      <w:hyperlink r:id="rId7" w:history="1">
        <w:r w:rsidR="00A9612C" w:rsidRPr="00843265">
          <w:rPr>
            <w:rStyle w:val="Hyperlink"/>
            <w:rFonts w:asciiTheme="majorBidi" w:hAnsiTheme="majorBidi" w:cstheme="majorBidi"/>
          </w:rPr>
          <w:t>anotācijā</w:t>
        </w:r>
      </w:hyperlink>
      <w:r w:rsidR="00A9612C" w:rsidRPr="00843265">
        <w:rPr>
          <w:rFonts w:asciiTheme="majorBidi" w:hAnsiTheme="majorBidi" w:cstheme="majorBidi"/>
        </w:rPr>
        <w:t xml:space="preserve">, ar kuru iepriekš minētā norma iekļauta Administratīvā procesa likumā, norādīts, ka šāds regulējums atvieglos konkrētā dokumenta izskatīšanu tiesā, kā arī motivēs procesa dalībniekus vērst uzmanību uz lietā būtiskiem un nozīmīgiem argumentiem un iebildumiem, kā arī izvairīties no liekvārdības, vienlaikus paātrinot attiecīgā dokumenta izskatīšanu. Eiropas Cilvēktiesību tiesas reglamentā ir ietverta līdzīga norma, atbilstoši kurai, ja pieteikums pārsniedz </w:t>
      </w:r>
      <w:r w:rsidR="006A1B84">
        <w:rPr>
          <w:rFonts w:asciiTheme="majorBidi" w:hAnsiTheme="majorBidi" w:cstheme="majorBidi"/>
        </w:rPr>
        <w:t>30</w:t>
      </w:r>
      <w:r w:rsidR="00A9612C" w:rsidRPr="00843265">
        <w:rPr>
          <w:rFonts w:asciiTheme="majorBidi" w:hAnsiTheme="majorBidi" w:cstheme="majorBidi"/>
        </w:rPr>
        <w:t xml:space="preserve"> lapas, tam pievienojams īss kopsavilkums.</w:t>
      </w:r>
      <w:r w:rsidR="00A43E54">
        <w:rPr>
          <w:rFonts w:asciiTheme="majorBidi" w:hAnsiTheme="majorBidi" w:cstheme="majorBidi"/>
        </w:rPr>
        <w:t xml:space="preserve"> Vienlaikus no </w:t>
      </w:r>
      <w:r w:rsidR="00005AAD" w:rsidRPr="00843265">
        <w:rPr>
          <w:rFonts w:asciiTheme="majorBidi" w:hAnsiTheme="majorBidi" w:cstheme="majorBidi"/>
        </w:rPr>
        <w:t>Administratīvā procesa likum</w:t>
      </w:r>
      <w:r w:rsidR="00A43E54">
        <w:rPr>
          <w:rFonts w:asciiTheme="majorBidi" w:hAnsiTheme="majorBidi" w:cstheme="majorBidi"/>
        </w:rPr>
        <w:t>a neizriet, ka t</w:t>
      </w:r>
      <w:r w:rsidR="00005AAD" w:rsidRPr="00843265">
        <w:rPr>
          <w:rFonts w:asciiTheme="majorBidi" w:hAnsiTheme="majorBidi" w:cstheme="majorBidi"/>
        </w:rPr>
        <w:t>iesai ir tiesības neņemt vērā iesniegto apelācijas sūdzību un tajā izteiktos argumentus, pat ja lietā iesniegts sūdzības kopsavilkums.</w:t>
      </w:r>
    </w:p>
    <w:p w14:paraId="0E129D80" w14:textId="3B0B1893" w:rsidR="00A21432" w:rsidRPr="00843265" w:rsidRDefault="00A9612C" w:rsidP="008A1B44">
      <w:pPr>
        <w:spacing w:line="276" w:lineRule="auto"/>
        <w:ind w:firstLine="720"/>
        <w:jc w:val="both"/>
        <w:rPr>
          <w:rFonts w:asciiTheme="majorBidi" w:hAnsiTheme="majorBidi" w:cstheme="majorBidi"/>
        </w:rPr>
      </w:pPr>
      <w:r w:rsidRPr="00843265">
        <w:rPr>
          <w:rFonts w:asciiTheme="majorBidi" w:hAnsiTheme="majorBidi" w:cstheme="majorBidi"/>
        </w:rPr>
        <w:t xml:space="preserve">No </w:t>
      </w:r>
      <w:r w:rsidR="00005AAD" w:rsidRPr="00843265">
        <w:rPr>
          <w:rFonts w:asciiTheme="majorBidi" w:hAnsiTheme="majorBidi" w:cstheme="majorBidi"/>
        </w:rPr>
        <w:t xml:space="preserve">kasācijas sūdzības </w:t>
      </w:r>
      <w:r w:rsidR="00A43E54">
        <w:rPr>
          <w:rFonts w:asciiTheme="majorBidi" w:hAnsiTheme="majorBidi" w:cstheme="majorBidi"/>
        </w:rPr>
        <w:t>secināms</w:t>
      </w:r>
      <w:r w:rsidR="00005AAD" w:rsidRPr="00843265">
        <w:rPr>
          <w:rFonts w:asciiTheme="majorBidi" w:hAnsiTheme="majorBidi" w:cstheme="majorBidi"/>
        </w:rPr>
        <w:t xml:space="preserve">, ka pieteicēja nepiekrīt tiesas faktisko apstākļu un pierādījumu izvērtējumam, taču tas </w:t>
      </w:r>
      <w:r w:rsidR="00A43E54">
        <w:rPr>
          <w:rFonts w:asciiTheme="majorBidi" w:hAnsiTheme="majorBidi" w:cstheme="majorBidi"/>
        </w:rPr>
        <w:t>n</w:t>
      </w:r>
      <w:r w:rsidR="006A1B84">
        <w:rPr>
          <w:rFonts w:asciiTheme="majorBidi" w:hAnsiTheme="majorBidi" w:cstheme="majorBidi"/>
        </w:rPr>
        <w:t>evar</w:t>
      </w:r>
      <w:r w:rsidR="00A43E54">
        <w:rPr>
          <w:rFonts w:asciiTheme="majorBidi" w:hAnsiTheme="majorBidi" w:cstheme="majorBidi"/>
        </w:rPr>
        <w:t xml:space="preserve"> būt</w:t>
      </w:r>
      <w:r w:rsidR="00005AAD" w:rsidRPr="00843265">
        <w:rPr>
          <w:rFonts w:asciiTheme="majorBidi" w:hAnsiTheme="majorBidi" w:cstheme="majorBidi"/>
        </w:rPr>
        <w:t xml:space="preserve"> pamat</w:t>
      </w:r>
      <w:r w:rsidR="00A43E54">
        <w:rPr>
          <w:rFonts w:asciiTheme="majorBidi" w:hAnsiTheme="majorBidi" w:cstheme="majorBidi"/>
        </w:rPr>
        <w:t>s</w:t>
      </w:r>
      <w:r w:rsidR="00005AAD" w:rsidRPr="00843265">
        <w:rPr>
          <w:rFonts w:asciiTheme="majorBidi" w:hAnsiTheme="majorBidi" w:cstheme="majorBidi"/>
        </w:rPr>
        <w:t xml:space="preserve"> secinā</w:t>
      </w:r>
      <w:r w:rsidR="00A43E54">
        <w:rPr>
          <w:rFonts w:asciiTheme="majorBidi" w:hAnsiTheme="majorBidi" w:cstheme="majorBidi"/>
        </w:rPr>
        <w:t>jumam</w:t>
      </w:r>
      <w:r w:rsidR="00005AAD" w:rsidRPr="00843265">
        <w:rPr>
          <w:rFonts w:asciiTheme="majorBidi" w:hAnsiTheme="majorBidi" w:cstheme="majorBidi"/>
        </w:rPr>
        <w:t xml:space="preserve">, ka apgabaltiesa </w:t>
      </w:r>
      <w:r w:rsidR="00D936F5" w:rsidRPr="00843265">
        <w:rPr>
          <w:rFonts w:asciiTheme="majorBidi" w:hAnsiTheme="majorBidi" w:cstheme="majorBidi"/>
        </w:rPr>
        <w:t xml:space="preserve">vispār </w:t>
      </w:r>
      <w:r w:rsidR="00005AAD" w:rsidRPr="00843265">
        <w:rPr>
          <w:rFonts w:asciiTheme="majorBidi" w:hAnsiTheme="majorBidi" w:cstheme="majorBidi"/>
        </w:rPr>
        <w:t>nav vērtējusi pieteicējas apelācijas sūdzības argumentus.</w:t>
      </w:r>
      <w:r w:rsidR="00A43E54">
        <w:rPr>
          <w:rFonts w:asciiTheme="majorBidi" w:hAnsiTheme="majorBidi" w:cstheme="majorBidi"/>
        </w:rPr>
        <w:t xml:space="preserve"> </w:t>
      </w:r>
      <w:r w:rsidR="00005AAD" w:rsidRPr="00843265">
        <w:rPr>
          <w:rFonts w:asciiTheme="majorBidi" w:hAnsiTheme="majorBidi" w:cstheme="majorBidi"/>
        </w:rPr>
        <w:t xml:space="preserve">No </w:t>
      </w:r>
      <w:r w:rsidRPr="00843265">
        <w:rPr>
          <w:rFonts w:asciiTheme="majorBidi" w:hAnsiTheme="majorBidi" w:cstheme="majorBidi"/>
        </w:rPr>
        <w:t>lietas materiāliem konstatējams, ka pieteicēja visās tiesu instancēs ir iesniegusi liel</w:t>
      </w:r>
      <w:r w:rsidR="00A43E54">
        <w:rPr>
          <w:rFonts w:asciiTheme="majorBidi" w:hAnsiTheme="majorBidi" w:cstheme="majorBidi"/>
        </w:rPr>
        <w:t>a</w:t>
      </w:r>
      <w:r w:rsidRPr="00843265">
        <w:rPr>
          <w:rFonts w:asciiTheme="majorBidi" w:hAnsiTheme="majorBidi" w:cstheme="majorBidi"/>
        </w:rPr>
        <w:t xml:space="preserve"> apjom</w:t>
      </w:r>
      <w:r w:rsidR="00A43E54">
        <w:rPr>
          <w:rFonts w:asciiTheme="majorBidi" w:hAnsiTheme="majorBidi" w:cstheme="majorBidi"/>
        </w:rPr>
        <w:t>a</w:t>
      </w:r>
      <w:r w:rsidRPr="00843265">
        <w:rPr>
          <w:rFonts w:asciiTheme="majorBidi" w:hAnsiTheme="majorBidi" w:cstheme="majorBidi"/>
        </w:rPr>
        <w:t xml:space="preserve"> dokumentu</w:t>
      </w:r>
      <w:r w:rsidR="00A43E54">
        <w:rPr>
          <w:rFonts w:asciiTheme="majorBidi" w:hAnsiTheme="majorBidi" w:cstheme="majorBidi"/>
        </w:rPr>
        <w:t>s</w:t>
      </w:r>
      <w:r w:rsidRPr="00843265">
        <w:rPr>
          <w:rFonts w:asciiTheme="majorBidi" w:hAnsiTheme="majorBidi" w:cstheme="majorBidi"/>
        </w:rPr>
        <w:t>, tostarp apelācijas sūdzību uz 49 lapām</w:t>
      </w:r>
      <w:r w:rsidR="00E82481" w:rsidRPr="00843265">
        <w:rPr>
          <w:rFonts w:asciiTheme="majorBidi" w:hAnsiTheme="majorBidi" w:cstheme="majorBidi"/>
        </w:rPr>
        <w:t>. Līdz ar to ir saprotams apgabaltiesas tiesne</w:t>
      </w:r>
      <w:r w:rsidR="00A43E54">
        <w:rPr>
          <w:rFonts w:asciiTheme="majorBidi" w:hAnsiTheme="majorBidi" w:cstheme="majorBidi"/>
        </w:rPr>
        <w:t>ša</w:t>
      </w:r>
      <w:r w:rsidR="00E82481" w:rsidRPr="00843265">
        <w:rPr>
          <w:rFonts w:asciiTheme="majorBidi" w:hAnsiTheme="majorBidi" w:cstheme="majorBidi"/>
        </w:rPr>
        <w:t xml:space="preserve"> lūgums iesniegt apelācijas sūdzības kopsavilkumu, taču šis lūgums nekādā veidā </w:t>
      </w:r>
      <w:r w:rsidR="00A43E54">
        <w:rPr>
          <w:rFonts w:asciiTheme="majorBidi" w:hAnsiTheme="majorBidi" w:cstheme="majorBidi"/>
        </w:rPr>
        <w:t xml:space="preserve">nav </w:t>
      </w:r>
      <w:r w:rsidR="00E82481" w:rsidRPr="00843265">
        <w:rPr>
          <w:rFonts w:asciiTheme="majorBidi" w:hAnsiTheme="majorBidi" w:cstheme="majorBidi"/>
        </w:rPr>
        <w:t>ierobežoj</w:t>
      </w:r>
      <w:r w:rsidR="00A43E54">
        <w:rPr>
          <w:rFonts w:asciiTheme="majorBidi" w:hAnsiTheme="majorBidi" w:cstheme="majorBidi"/>
        </w:rPr>
        <w:t>is</w:t>
      </w:r>
      <w:r w:rsidR="00E82481" w:rsidRPr="00843265">
        <w:rPr>
          <w:rFonts w:asciiTheme="majorBidi" w:hAnsiTheme="majorBidi" w:cstheme="majorBidi"/>
        </w:rPr>
        <w:t xml:space="preserve"> pieteicējas tiesības tikt uzklausītai</w:t>
      </w:r>
      <w:r w:rsidR="00FE258A" w:rsidRPr="00843265">
        <w:rPr>
          <w:rFonts w:asciiTheme="majorBidi" w:hAnsiTheme="majorBidi" w:cstheme="majorBidi"/>
        </w:rPr>
        <w:t xml:space="preserve"> un </w:t>
      </w:r>
      <w:r w:rsidR="00A43E54">
        <w:rPr>
          <w:rFonts w:asciiTheme="majorBidi" w:hAnsiTheme="majorBidi" w:cstheme="majorBidi"/>
        </w:rPr>
        <w:t xml:space="preserve">nav </w:t>
      </w:r>
      <w:r w:rsidR="00FE258A" w:rsidRPr="00843265">
        <w:rPr>
          <w:rFonts w:asciiTheme="majorBidi" w:hAnsiTheme="majorBidi" w:cstheme="majorBidi"/>
        </w:rPr>
        <w:t>pārkāp</w:t>
      </w:r>
      <w:r w:rsidR="00BD6ECF">
        <w:rPr>
          <w:rFonts w:asciiTheme="majorBidi" w:hAnsiTheme="majorBidi" w:cstheme="majorBidi"/>
        </w:rPr>
        <w:t>ts</w:t>
      </w:r>
      <w:r w:rsidR="00FE258A" w:rsidRPr="00843265">
        <w:rPr>
          <w:rFonts w:asciiTheme="majorBidi" w:hAnsiTheme="majorBidi" w:cstheme="majorBidi"/>
        </w:rPr>
        <w:t xml:space="preserve"> procesuālā taisnīguma princip</w:t>
      </w:r>
      <w:r w:rsidR="00BD6ECF">
        <w:rPr>
          <w:rFonts w:asciiTheme="majorBidi" w:hAnsiTheme="majorBidi" w:cstheme="majorBidi"/>
        </w:rPr>
        <w:t>s</w:t>
      </w:r>
      <w:r w:rsidR="00E82481" w:rsidRPr="00843265">
        <w:rPr>
          <w:rFonts w:asciiTheme="majorBidi" w:hAnsiTheme="majorBidi" w:cstheme="majorBidi"/>
        </w:rPr>
        <w:t>.</w:t>
      </w:r>
    </w:p>
    <w:p w14:paraId="71D9C767" w14:textId="77777777" w:rsidR="00490C31" w:rsidRPr="00843265" w:rsidRDefault="00490C31" w:rsidP="008A1B44">
      <w:pPr>
        <w:pStyle w:val="NoSpacing"/>
        <w:spacing w:line="276" w:lineRule="auto"/>
        <w:ind w:firstLine="709"/>
        <w:jc w:val="both"/>
        <w:rPr>
          <w:rFonts w:ascii="Times New Roman" w:hAnsi="Times New Roman" w:cs="Times New Roman"/>
          <w:sz w:val="24"/>
          <w:szCs w:val="24"/>
        </w:rPr>
      </w:pPr>
    </w:p>
    <w:p w14:paraId="4CCF636A" w14:textId="46D95302" w:rsidR="00185F43" w:rsidRPr="00843265" w:rsidRDefault="00676DBA" w:rsidP="008A1B44">
      <w:pPr>
        <w:pStyle w:val="NoSpacing"/>
        <w:spacing w:line="276" w:lineRule="auto"/>
        <w:ind w:firstLine="709"/>
        <w:jc w:val="both"/>
        <w:rPr>
          <w:rFonts w:ascii="Times New Roman" w:hAnsi="Times New Roman" w:cs="Times New Roman"/>
          <w:sz w:val="24"/>
          <w:szCs w:val="24"/>
        </w:rPr>
      </w:pPr>
      <w:r w:rsidRPr="00843265">
        <w:rPr>
          <w:rFonts w:asciiTheme="majorBidi" w:hAnsiTheme="majorBidi" w:cstheme="majorBidi"/>
        </w:rPr>
        <w:t>[</w:t>
      </w:r>
      <w:r w:rsidR="00BD6ECF">
        <w:rPr>
          <w:rFonts w:asciiTheme="majorBidi" w:hAnsiTheme="majorBidi" w:cstheme="majorBidi"/>
        </w:rPr>
        <w:t>6</w:t>
      </w:r>
      <w:r w:rsidRPr="00843265">
        <w:rPr>
          <w:rFonts w:asciiTheme="majorBidi" w:hAnsiTheme="majorBidi" w:cstheme="majorBidi"/>
        </w:rPr>
        <w:t>] </w:t>
      </w:r>
      <w:r w:rsidRPr="00843265">
        <w:rPr>
          <w:rFonts w:ascii="Times New Roman" w:hAnsi="Times New Roman" w:cs="Times New Roman"/>
          <w:sz w:val="24"/>
          <w:szCs w:val="24"/>
        </w:rPr>
        <w:t>Kasācijas sūdzībā norādīts, ka tiesa</w:t>
      </w:r>
      <w:r w:rsidR="00D77B05" w:rsidRPr="00843265">
        <w:rPr>
          <w:rFonts w:ascii="Times New Roman" w:hAnsi="Times New Roman" w:cs="Times New Roman"/>
          <w:sz w:val="24"/>
          <w:szCs w:val="24"/>
        </w:rPr>
        <w:t>, nepareizi piemērojot Satversmes 112. un 106.pant</w:t>
      </w:r>
      <w:r w:rsidR="00BD6ECF">
        <w:rPr>
          <w:rFonts w:ascii="Times New Roman" w:hAnsi="Times New Roman" w:cs="Times New Roman"/>
          <w:sz w:val="24"/>
          <w:szCs w:val="24"/>
        </w:rPr>
        <w:t>u</w:t>
      </w:r>
      <w:r w:rsidR="00D77B05" w:rsidRPr="00843265">
        <w:rPr>
          <w:rFonts w:ascii="Times New Roman" w:hAnsi="Times New Roman" w:cs="Times New Roman"/>
          <w:sz w:val="24"/>
          <w:szCs w:val="24"/>
        </w:rPr>
        <w:t xml:space="preserve">, </w:t>
      </w:r>
      <w:r w:rsidR="00BD6ECF">
        <w:rPr>
          <w:rFonts w:ascii="Times New Roman" w:hAnsi="Times New Roman" w:cs="Times New Roman"/>
          <w:sz w:val="24"/>
          <w:szCs w:val="24"/>
        </w:rPr>
        <w:t>esot</w:t>
      </w:r>
      <w:r w:rsidR="00D77B05" w:rsidRPr="00843265">
        <w:rPr>
          <w:rFonts w:ascii="Times New Roman" w:hAnsi="Times New Roman" w:cs="Times New Roman"/>
          <w:sz w:val="24"/>
          <w:szCs w:val="24"/>
        </w:rPr>
        <w:t xml:space="preserve"> nepamatoti ierobežojusi pieteicējas tiesības uz izglītību un darbu.</w:t>
      </w:r>
    </w:p>
    <w:p w14:paraId="4B7F541E" w14:textId="387EBCD9" w:rsidR="00D31B4F" w:rsidRPr="00843265" w:rsidRDefault="00D31B4F"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lastRenderedPageBreak/>
        <w:t>Minēt</w:t>
      </w:r>
      <w:r w:rsidR="00676DBA" w:rsidRPr="00843265">
        <w:rPr>
          <w:rFonts w:ascii="Times New Roman" w:hAnsi="Times New Roman" w:cs="Times New Roman"/>
          <w:sz w:val="24"/>
          <w:szCs w:val="24"/>
        </w:rPr>
        <w:t>ais</w:t>
      </w:r>
      <w:r w:rsidRPr="00843265">
        <w:rPr>
          <w:rFonts w:ascii="Times New Roman" w:hAnsi="Times New Roman" w:cs="Times New Roman"/>
          <w:sz w:val="24"/>
          <w:szCs w:val="24"/>
        </w:rPr>
        <w:t xml:space="preserve"> argument</w:t>
      </w:r>
      <w:r w:rsidR="00676DBA" w:rsidRPr="00843265">
        <w:rPr>
          <w:rFonts w:ascii="Times New Roman" w:hAnsi="Times New Roman" w:cs="Times New Roman"/>
          <w:sz w:val="24"/>
          <w:szCs w:val="24"/>
        </w:rPr>
        <w:t>s</w:t>
      </w:r>
      <w:r w:rsidRPr="00843265">
        <w:rPr>
          <w:rFonts w:ascii="Times New Roman" w:hAnsi="Times New Roman" w:cs="Times New Roman"/>
          <w:sz w:val="24"/>
          <w:szCs w:val="24"/>
        </w:rPr>
        <w:t xml:space="preserve"> nav pamatot</w:t>
      </w:r>
      <w:r w:rsidR="00676DBA" w:rsidRPr="00843265">
        <w:rPr>
          <w:rFonts w:ascii="Times New Roman" w:hAnsi="Times New Roman" w:cs="Times New Roman"/>
          <w:sz w:val="24"/>
          <w:szCs w:val="24"/>
        </w:rPr>
        <w:t>s</w:t>
      </w:r>
      <w:r w:rsidRPr="00843265">
        <w:rPr>
          <w:rFonts w:ascii="Times New Roman" w:hAnsi="Times New Roman" w:cs="Times New Roman"/>
          <w:sz w:val="24"/>
          <w:szCs w:val="24"/>
        </w:rPr>
        <w:t>.</w:t>
      </w:r>
      <w:r w:rsidR="00676DBA" w:rsidRPr="00843265">
        <w:rPr>
          <w:rFonts w:ascii="Times New Roman" w:hAnsi="Times New Roman" w:cs="Times New Roman"/>
          <w:sz w:val="24"/>
          <w:szCs w:val="24"/>
        </w:rPr>
        <w:t xml:space="preserve"> </w:t>
      </w:r>
      <w:r w:rsidRPr="00843265">
        <w:rPr>
          <w:rFonts w:ascii="Times New Roman" w:hAnsi="Times New Roman" w:cs="Times New Roman"/>
          <w:sz w:val="24"/>
          <w:szCs w:val="24"/>
        </w:rPr>
        <w:t>Tiesa ir izvērtējusi pieteicēja</w:t>
      </w:r>
      <w:r w:rsidR="00AD6BFB">
        <w:rPr>
          <w:rFonts w:ascii="Times New Roman" w:hAnsi="Times New Roman" w:cs="Times New Roman"/>
          <w:sz w:val="24"/>
          <w:szCs w:val="24"/>
        </w:rPr>
        <w:t>s</w:t>
      </w:r>
      <w:r w:rsidRPr="00843265">
        <w:rPr>
          <w:rFonts w:ascii="Times New Roman" w:hAnsi="Times New Roman" w:cs="Times New Roman"/>
          <w:sz w:val="24"/>
          <w:szCs w:val="24"/>
        </w:rPr>
        <w:t xml:space="preserve"> tiesību uz izglītību ierobežojumu.</w:t>
      </w:r>
    </w:p>
    <w:p w14:paraId="5DC28FE9" w14:textId="267B906B" w:rsidR="006A2712" w:rsidRDefault="00D31B4F" w:rsidP="008A1B44">
      <w:pPr>
        <w:pStyle w:val="NoSpacing"/>
        <w:spacing w:line="276" w:lineRule="auto"/>
        <w:ind w:firstLine="709"/>
        <w:jc w:val="both"/>
        <w:rPr>
          <w:rFonts w:ascii="Times New Roman" w:hAnsi="Times New Roman" w:cs="Times New Roman"/>
          <w:sz w:val="24"/>
          <w:szCs w:val="24"/>
        </w:rPr>
      </w:pPr>
      <w:r w:rsidRPr="00843265">
        <w:rPr>
          <w:rFonts w:ascii="Times New Roman" w:hAnsi="Times New Roman" w:cs="Times New Roman"/>
          <w:sz w:val="24"/>
          <w:szCs w:val="24"/>
        </w:rPr>
        <w:t>Tiesa pamatoti norādīja, ka personas, kura sniedz ārstniecības pakalpojumus, arī esot citas ārstniecības personas uzraudzībā vai vadībā, veselības stāvoklis ir svarīgs pacientu drošības nodrošināšanai un tiesībām saņemt adekvātus un kvalificētus ārstniecības pakalpojumus. Samērojot pieteicējas tiesības uz izglītību ar citu personu tiesībām saņemt adekvātu ārstniecības pakalpojumu, priekšroka ir dodama citu personu tiesībām saņemt adekvātu ārstniecības pakalpojumu. Tiesai nav pamata apšaubīt sešu ārstu no dažādām ārstniecības iestādēm dažādos laika periodos, kā arī universitātes personāla (no sarunu protokoliem) sniegto vērtējumu par pieteicējas uzvedību, kas saistāma ar pieteicējas uztveres</w:t>
      </w:r>
      <w:r w:rsidR="006D07BE">
        <w:rPr>
          <w:rFonts w:ascii="Times New Roman" w:hAnsi="Times New Roman" w:cs="Times New Roman"/>
          <w:sz w:val="24"/>
          <w:szCs w:val="24"/>
        </w:rPr>
        <w:t xml:space="preserve"> un</w:t>
      </w:r>
      <w:r w:rsidRPr="00843265">
        <w:rPr>
          <w:rFonts w:ascii="Times New Roman" w:hAnsi="Times New Roman" w:cs="Times New Roman"/>
          <w:sz w:val="24"/>
          <w:szCs w:val="24"/>
        </w:rPr>
        <w:t xml:space="preserve"> atmiņas problēmām un neadekvātu rīcību kā no ārstniecībā iesaistītas personas puses. </w:t>
      </w:r>
    </w:p>
    <w:p w14:paraId="3C5E4C18" w14:textId="47F4F770" w:rsidR="00AD6BFB" w:rsidRDefault="00AD6BFB" w:rsidP="008A1B44">
      <w:pPr>
        <w:pStyle w:val="NoSpacing"/>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Līdz ar to minētais kasācijas sūdzības arguments nevar būt pamat</w:t>
      </w:r>
      <w:r w:rsidR="006D07BE">
        <w:rPr>
          <w:rFonts w:ascii="Times New Roman" w:hAnsi="Times New Roman" w:cs="Times New Roman"/>
          <w:sz w:val="24"/>
          <w:szCs w:val="24"/>
        </w:rPr>
        <w:t>s</w:t>
      </w:r>
      <w:r>
        <w:rPr>
          <w:rFonts w:ascii="Times New Roman" w:hAnsi="Times New Roman" w:cs="Times New Roman"/>
          <w:sz w:val="24"/>
          <w:szCs w:val="24"/>
        </w:rPr>
        <w:t xml:space="preserve"> kasācijas tiesvedības ierosināšanai. </w:t>
      </w:r>
    </w:p>
    <w:p w14:paraId="15734D7E" w14:textId="77777777" w:rsidR="00AD6BFB" w:rsidRPr="00843265" w:rsidRDefault="00AD6BFB" w:rsidP="008A1B44">
      <w:pPr>
        <w:pStyle w:val="NoSpacing"/>
        <w:spacing w:line="276" w:lineRule="auto"/>
        <w:ind w:firstLine="709"/>
        <w:jc w:val="both"/>
        <w:rPr>
          <w:rFonts w:asciiTheme="majorBidi" w:hAnsiTheme="majorBidi" w:cstheme="majorBidi"/>
        </w:rPr>
      </w:pPr>
    </w:p>
    <w:p w14:paraId="48619292" w14:textId="0C1F626F" w:rsidR="00530896" w:rsidRPr="00843265" w:rsidRDefault="00676DBA" w:rsidP="008A1B44">
      <w:pPr>
        <w:spacing w:line="276" w:lineRule="auto"/>
        <w:ind w:firstLine="720"/>
        <w:jc w:val="both"/>
        <w:rPr>
          <w:rFonts w:asciiTheme="majorBidi" w:hAnsiTheme="majorBidi" w:cstheme="majorBidi"/>
        </w:rPr>
      </w:pPr>
      <w:r w:rsidRPr="00843265">
        <w:rPr>
          <w:rFonts w:asciiTheme="majorBidi" w:hAnsiTheme="majorBidi" w:cstheme="majorBidi"/>
        </w:rPr>
        <w:t>[</w:t>
      </w:r>
      <w:r w:rsidR="006D07BE">
        <w:rPr>
          <w:rFonts w:asciiTheme="majorBidi" w:hAnsiTheme="majorBidi" w:cstheme="majorBidi"/>
        </w:rPr>
        <w:t>7</w:t>
      </w:r>
      <w:r w:rsidRPr="00843265">
        <w:rPr>
          <w:rFonts w:asciiTheme="majorBidi" w:hAnsiTheme="majorBidi" w:cstheme="majorBidi"/>
        </w:rPr>
        <w:t>] </w:t>
      </w:r>
      <w:r w:rsidR="00530896" w:rsidRPr="00843265">
        <w:rPr>
          <w:rFonts w:asciiTheme="majorBidi" w:hAnsiTheme="majorBidi" w:cstheme="majorBidi"/>
        </w:rPr>
        <w:t>Pieteicēja</w:t>
      </w:r>
      <w:r w:rsidR="006D07BE">
        <w:rPr>
          <w:rFonts w:asciiTheme="majorBidi" w:hAnsiTheme="majorBidi" w:cstheme="majorBidi"/>
        </w:rPr>
        <w:t xml:space="preserve"> uzskata, ka</w:t>
      </w:r>
      <w:r w:rsidR="00530896" w:rsidRPr="00843265">
        <w:rPr>
          <w:rFonts w:asciiTheme="majorBidi" w:hAnsiTheme="majorBidi" w:cstheme="majorBidi"/>
        </w:rPr>
        <w:t xml:space="preserve"> apgabaltiesas spriedums neatbilst Administratīvā procesa likuma 251.panta piektajai daļai, jo sprieduma motīvu daļā n</w:t>
      </w:r>
      <w:r w:rsidR="006D07BE">
        <w:rPr>
          <w:rFonts w:asciiTheme="majorBidi" w:hAnsiTheme="majorBidi" w:cstheme="majorBidi"/>
        </w:rPr>
        <w:t>eesot</w:t>
      </w:r>
      <w:r w:rsidR="00530896" w:rsidRPr="00843265">
        <w:rPr>
          <w:rFonts w:asciiTheme="majorBidi" w:hAnsiTheme="majorBidi" w:cstheme="majorBidi"/>
        </w:rPr>
        <w:t xml:space="preserve"> norādīta pieteicējas izvirzīto argumentu analīze un n</w:t>
      </w:r>
      <w:r w:rsidR="006D07BE">
        <w:rPr>
          <w:rFonts w:asciiTheme="majorBidi" w:hAnsiTheme="majorBidi" w:cstheme="majorBidi"/>
        </w:rPr>
        <w:t>eesot</w:t>
      </w:r>
      <w:r w:rsidR="00530896" w:rsidRPr="00843265">
        <w:rPr>
          <w:rFonts w:asciiTheme="majorBidi" w:hAnsiTheme="majorBidi" w:cstheme="majorBidi"/>
        </w:rPr>
        <w:t xml:space="preserve"> sniegts pamatojums, kāpēc tiesa nav pievērsusies pieteicējas apelācijas sūdzības argumentiem.</w:t>
      </w:r>
    </w:p>
    <w:p w14:paraId="17E281E4" w14:textId="77777777" w:rsidR="0009276A" w:rsidRPr="00843265" w:rsidRDefault="0009276A" w:rsidP="008A1B44">
      <w:pPr>
        <w:spacing w:line="276" w:lineRule="auto"/>
        <w:ind w:firstLine="720"/>
        <w:jc w:val="both"/>
        <w:rPr>
          <w:rFonts w:asciiTheme="majorBidi" w:hAnsiTheme="majorBidi" w:cstheme="majorBidi"/>
        </w:rPr>
      </w:pPr>
      <w:r w:rsidRPr="00843265">
        <w:rPr>
          <w:rFonts w:asciiTheme="majorBidi" w:hAnsiTheme="majorBidi" w:cstheme="majorBidi"/>
        </w:rPr>
        <w:t>Izskatāmajā lietā apgabaltiesa pievienojās pirmās instances tiesas sprieduma motivācijai, pamatojoties uz Administratīvā procesa likuma 307.panta ceturto daļu, kas paredz, ka apelācijas instances tiesas sprieduma motīvu daļā norāda šā likuma 251.panta piektajā daļā noteiktos apstākļus. Tomēr, ja tiesa, izskatot lietu, atzīst, ka zemākās instances tiesas spriedumā ietvertais pamatojums ir pareizs un pilnībā pietiekams, tā sprieduma motīvu daļā var norādīt, ka pievienojas zemākas instances tiesas sprieduma motivācijai. Šādā gadījumā šā likuma 251.panta piektajā daļā noteiktos apsvērumus apelācijas instances tiesa var nenorādīt.</w:t>
      </w:r>
    </w:p>
    <w:p w14:paraId="4C17E72D" w14:textId="31477C81" w:rsidR="0009276A" w:rsidRPr="00843265" w:rsidRDefault="0009276A" w:rsidP="008A1B44">
      <w:pPr>
        <w:spacing w:line="276" w:lineRule="auto"/>
        <w:ind w:firstLine="720"/>
        <w:jc w:val="both"/>
        <w:rPr>
          <w:rFonts w:asciiTheme="majorBidi" w:hAnsiTheme="majorBidi" w:cstheme="majorBidi"/>
        </w:rPr>
      </w:pPr>
      <w:r w:rsidRPr="00843265">
        <w:rPr>
          <w:rFonts w:asciiTheme="majorBidi" w:hAnsiTheme="majorBidi" w:cstheme="majorBidi"/>
        </w:rPr>
        <w:t>Senāts jau iepriekš ir atzinis, ka pievienošanās pirmās instances tiesas sprieduma pamatojumam nozīmē, ka apelācijas instances tiesa ir izskatījusi lietu pēc būtības un pārbaudījusi pierādījumus, rezultātā nonākot pie tādiem pašiem secinājumiem kā pirmās instances tiesa. Savukārt, ievērojot procesuālo ekonomiju, apgabaltiesai motīvu daļā nebija atkārtoti jānorāda tiesisko un faktisko apstākļu vērtējums (</w:t>
      </w:r>
      <w:r w:rsidRPr="00843265">
        <w:rPr>
          <w:rFonts w:asciiTheme="majorBidi" w:hAnsiTheme="majorBidi" w:cstheme="majorBidi"/>
          <w:iCs/>
        </w:rPr>
        <w:t>piemēram,</w:t>
      </w:r>
      <w:r w:rsidRPr="00843265">
        <w:rPr>
          <w:rFonts w:asciiTheme="majorBidi" w:hAnsiTheme="majorBidi" w:cstheme="majorBidi"/>
          <w:i/>
        </w:rPr>
        <w:t xml:space="preserve"> Senāta 2019.gada 10.maija sprieduma lietā Nr. SKA</w:t>
      </w:r>
      <w:r w:rsidRPr="00843265">
        <w:rPr>
          <w:rFonts w:asciiTheme="majorBidi" w:hAnsiTheme="majorBidi" w:cstheme="majorBidi"/>
          <w:i/>
        </w:rPr>
        <w:noBreakHyphen/>
        <w:t xml:space="preserve">52/2019, </w:t>
      </w:r>
      <w:hyperlink r:id="rId8" w:history="1">
        <w:r w:rsidRPr="00843265">
          <w:rPr>
            <w:rStyle w:val="Hyperlink"/>
            <w:rFonts w:asciiTheme="majorBidi" w:hAnsiTheme="majorBidi" w:cstheme="majorBidi"/>
            <w:i/>
          </w:rPr>
          <w:t>ECLI:LV:AT:2019:0510.A420148815.2.S</w:t>
        </w:r>
      </w:hyperlink>
      <w:r w:rsidRPr="00843265">
        <w:rPr>
          <w:rFonts w:asciiTheme="majorBidi" w:hAnsiTheme="majorBidi" w:cstheme="majorBidi"/>
          <w:i/>
        </w:rPr>
        <w:t>, 5.punkts</w:t>
      </w:r>
      <w:r w:rsidRPr="00843265">
        <w:rPr>
          <w:rFonts w:asciiTheme="majorBidi" w:hAnsiTheme="majorBidi" w:cstheme="majorBidi"/>
        </w:rPr>
        <w:t>). Līdz ar to izskatāmajā lietā faktisko un tiesisko apstākļu vērtējums ir ietverts tostarp pirmās instances tiesas sprieduma motīvos, kam pievienojās apgabaltiesa.</w:t>
      </w:r>
    </w:p>
    <w:p w14:paraId="221875B2" w14:textId="4C0C740D" w:rsidR="0009276A" w:rsidRPr="00843265" w:rsidRDefault="0009276A" w:rsidP="008A1B44">
      <w:pPr>
        <w:spacing w:line="276" w:lineRule="auto"/>
        <w:ind w:firstLine="720"/>
        <w:jc w:val="both"/>
        <w:rPr>
          <w:rFonts w:asciiTheme="majorBidi" w:hAnsiTheme="majorBidi" w:cstheme="majorBidi"/>
        </w:rPr>
      </w:pPr>
      <w:r w:rsidRPr="00843265">
        <w:rPr>
          <w:rFonts w:asciiTheme="majorBidi" w:hAnsiTheme="majorBidi" w:cstheme="majorBidi"/>
        </w:rPr>
        <w:t>Senatoru kolēģija konstatē, ka apgabaltiesa, pievienojoties pirmās instances tiesas sprieduma motivācijai, kā arī sniedzot atbildes uz pieteicējas apelācijas sūdzības argumentiem, ir izvērtējusi visus būtiskos pieteicējas argumentus.</w:t>
      </w:r>
    </w:p>
    <w:p w14:paraId="183AC4F3" w14:textId="77777777" w:rsidR="00530896" w:rsidRPr="00843265" w:rsidRDefault="00530896" w:rsidP="008A1B44">
      <w:pPr>
        <w:spacing w:line="276" w:lineRule="auto"/>
        <w:ind w:firstLine="720"/>
        <w:jc w:val="both"/>
        <w:rPr>
          <w:rFonts w:asciiTheme="majorBidi" w:hAnsiTheme="majorBidi" w:cstheme="majorBidi"/>
        </w:rPr>
      </w:pPr>
    </w:p>
    <w:p w14:paraId="036C26C5" w14:textId="370F8849" w:rsidR="00451EFB" w:rsidRPr="00843265" w:rsidRDefault="006A2712" w:rsidP="008A1B44">
      <w:pPr>
        <w:spacing w:line="276" w:lineRule="auto"/>
        <w:ind w:firstLine="720"/>
        <w:jc w:val="both"/>
        <w:rPr>
          <w:rFonts w:asciiTheme="majorBidi" w:hAnsiTheme="majorBidi" w:cstheme="majorBidi"/>
        </w:rPr>
      </w:pPr>
      <w:r w:rsidRPr="00843265">
        <w:rPr>
          <w:rFonts w:asciiTheme="majorBidi" w:hAnsiTheme="majorBidi" w:cstheme="majorBidi"/>
        </w:rPr>
        <w:t>[</w:t>
      </w:r>
      <w:r w:rsidR="006D07BE">
        <w:rPr>
          <w:rFonts w:asciiTheme="majorBidi" w:hAnsiTheme="majorBidi" w:cstheme="majorBidi"/>
        </w:rPr>
        <w:t>8</w:t>
      </w:r>
      <w:r w:rsidRPr="00843265">
        <w:rPr>
          <w:rFonts w:asciiTheme="majorBidi" w:hAnsiTheme="majorBidi" w:cstheme="majorBidi"/>
        </w:rPr>
        <w:t>] </w:t>
      </w:r>
      <w:r w:rsidR="00451EFB" w:rsidRPr="00843265">
        <w:rPr>
          <w:rFonts w:asciiTheme="majorBidi" w:hAnsiTheme="majorBidi" w:cstheme="majorBidi"/>
        </w:rPr>
        <w:t>Ievērojot minēto, senatoru kolēģija secina, ka kasācijas sūdzībā nav minēti tādi argumenti, kas radīt</w:t>
      </w:r>
      <w:r w:rsidR="00A55B90" w:rsidRPr="00843265">
        <w:rPr>
          <w:rFonts w:asciiTheme="majorBidi" w:hAnsiTheme="majorBidi" w:cstheme="majorBidi"/>
        </w:rPr>
        <w:t>u</w:t>
      </w:r>
      <w:r w:rsidR="00451EFB" w:rsidRPr="00843265">
        <w:rPr>
          <w:rFonts w:asciiTheme="majorBidi" w:hAnsiTheme="majorBidi" w:cstheme="majorBidi"/>
        </w:rPr>
        <w:t xml:space="preserve"> šaubas par </w:t>
      </w:r>
      <w:r w:rsidR="00CA0567" w:rsidRPr="00843265">
        <w:rPr>
          <w:rFonts w:asciiTheme="majorBidi" w:hAnsiTheme="majorBidi" w:cstheme="majorBidi"/>
        </w:rPr>
        <w:t>apgabal</w:t>
      </w:r>
      <w:r w:rsidR="00451EFB" w:rsidRPr="00843265">
        <w:rPr>
          <w:rFonts w:asciiTheme="majorBidi" w:hAnsiTheme="majorBidi" w:cstheme="majorBidi"/>
        </w:rPr>
        <w:t xml:space="preserve">tiesas sprieduma tiesiskumu vai kas norādītu uz tiesību jautājumiem, kam varētu būt nozīme judikatūras veidošanā. Līdz ar to ir pamats atteikt </w:t>
      </w:r>
      <w:r w:rsidR="0013764D" w:rsidRPr="00843265">
        <w:rPr>
          <w:rFonts w:asciiTheme="majorBidi" w:hAnsiTheme="majorBidi" w:cstheme="majorBidi"/>
        </w:rPr>
        <w:t>ie</w:t>
      </w:r>
      <w:r w:rsidR="00451EFB" w:rsidRPr="00843265">
        <w:rPr>
          <w:rFonts w:asciiTheme="majorBidi" w:hAnsiTheme="majorBidi" w:cstheme="majorBidi"/>
        </w:rPr>
        <w:t>rosināt kasācijas tiesvedību.</w:t>
      </w:r>
    </w:p>
    <w:p w14:paraId="03289C3C" w14:textId="77777777" w:rsidR="00CA0567" w:rsidRPr="00843265" w:rsidRDefault="00CA0567" w:rsidP="008A1B44">
      <w:pPr>
        <w:spacing w:line="276" w:lineRule="auto"/>
        <w:ind w:firstLine="720"/>
        <w:jc w:val="both"/>
        <w:rPr>
          <w:rFonts w:asciiTheme="majorBidi" w:hAnsiTheme="majorBidi" w:cstheme="majorBidi"/>
        </w:rPr>
      </w:pPr>
    </w:p>
    <w:p w14:paraId="1DB97ADB" w14:textId="3A121B51" w:rsidR="00451EFB" w:rsidRPr="00843265" w:rsidRDefault="00451EFB" w:rsidP="008A1B44">
      <w:pPr>
        <w:spacing w:line="276" w:lineRule="auto"/>
        <w:ind w:firstLine="720"/>
        <w:jc w:val="both"/>
        <w:rPr>
          <w:rFonts w:asciiTheme="majorBidi" w:hAnsiTheme="majorBidi" w:cstheme="majorBidi"/>
        </w:rPr>
      </w:pPr>
      <w:r w:rsidRPr="00843265">
        <w:rPr>
          <w:rFonts w:asciiTheme="majorBidi" w:hAnsiTheme="majorBidi" w:cstheme="majorBidi"/>
        </w:rPr>
        <w:t>Pamatojoties uz Administratīvā procesa likuma 338.panta otro daļu un 338.</w:t>
      </w:r>
      <w:r w:rsidRPr="00843265">
        <w:rPr>
          <w:rFonts w:asciiTheme="majorBidi" w:hAnsiTheme="majorBidi" w:cstheme="majorBidi"/>
          <w:vertAlign w:val="superscript"/>
        </w:rPr>
        <w:t>1</w:t>
      </w:r>
      <w:r w:rsidRPr="00843265">
        <w:rPr>
          <w:rFonts w:asciiTheme="majorBidi" w:hAnsiTheme="majorBidi" w:cstheme="majorBidi"/>
        </w:rPr>
        <w:t>panta otrās daļas 2.punktu, senatoru kolēģija</w:t>
      </w:r>
    </w:p>
    <w:p w14:paraId="0AFEAA81" w14:textId="77777777" w:rsidR="00451EFB" w:rsidRPr="00843265" w:rsidRDefault="00451EFB" w:rsidP="008A1B44">
      <w:pPr>
        <w:spacing w:line="276" w:lineRule="auto"/>
        <w:jc w:val="center"/>
        <w:rPr>
          <w:b/>
          <w:sz w:val="20"/>
          <w:szCs w:val="20"/>
        </w:rPr>
      </w:pPr>
    </w:p>
    <w:p w14:paraId="6FAAD9F4" w14:textId="0218C308" w:rsidR="00451EFB" w:rsidRPr="00843265" w:rsidRDefault="00451EFB" w:rsidP="008A1B44">
      <w:pPr>
        <w:spacing w:line="276" w:lineRule="auto"/>
        <w:jc w:val="center"/>
        <w:rPr>
          <w:b/>
        </w:rPr>
      </w:pPr>
      <w:r w:rsidRPr="00843265">
        <w:rPr>
          <w:b/>
        </w:rPr>
        <w:t>nolēma</w:t>
      </w:r>
    </w:p>
    <w:p w14:paraId="087860E7" w14:textId="77777777" w:rsidR="00451EFB" w:rsidRPr="00843265" w:rsidRDefault="00451EFB" w:rsidP="008A1B44">
      <w:pPr>
        <w:spacing w:line="276" w:lineRule="auto"/>
        <w:jc w:val="center"/>
        <w:rPr>
          <w:b/>
          <w:sz w:val="20"/>
          <w:szCs w:val="20"/>
        </w:rPr>
      </w:pPr>
    </w:p>
    <w:p w14:paraId="0D2A29C1" w14:textId="33B60E37" w:rsidR="00451EFB" w:rsidRPr="00843265" w:rsidRDefault="00451EFB" w:rsidP="008A1B44">
      <w:pPr>
        <w:spacing w:line="276" w:lineRule="auto"/>
        <w:ind w:firstLine="720"/>
        <w:jc w:val="both"/>
      </w:pPr>
      <w:r w:rsidRPr="00843265">
        <w:t xml:space="preserve">atteikt ierosināt kasācijas tiesvedību sakarā ar </w:t>
      </w:r>
      <w:r w:rsidR="008A1B44">
        <w:rPr>
          <w:rFonts w:asciiTheme="majorBidi" w:hAnsiTheme="majorBidi" w:cstheme="majorBidi"/>
        </w:rPr>
        <w:t>[pers. A]</w:t>
      </w:r>
      <w:r w:rsidR="008A1B44">
        <w:rPr>
          <w:rFonts w:asciiTheme="majorBidi" w:hAnsiTheme="majorBidi" w:cstheme="majorBidi"/>
        </w:rPr>
        <w:t xml:space="preserve"> </w:t>
      </w:r>
      <w:r w:rsidRPr="00843265">
        <w:t xml:space="preserve">kasācijas sūdzību par Administratīvās apgabaltiesas 2025.gada </w:t>
      </w:r>
      <w:r w:rsidR="00F73798" w:rsidRPr="00843265">
        <w:t>14</w:t>
      </w:r>
      <w:r w:rsidR="003449AF" w:rsidRPr="00843265">
        <w:rPr>
          <w:rFonts w:asciiTheme="majorBidi" w:hAnsiTheme="majorBidi" w:cstheme="majorBidi"/>
        </w:rPr>
        <w:t>.</w:t>
      </w:r>
      <w:r w:rsidR="00F73798" w:rsidRPr="00843265">
        <w:rPr>
          <w:rFonts w:asciiTheme="majorBidi" w:hAnsiTheme="majorBidi" w:cstheme="majorBidi"/>
        </w:rPr>
        <w:t>maija</w:t>
      </w:r>
      <w:r w:rsidR="003449AF" w:rsidRPr="00843265">
        <w:rPr>
          <w:rFonts w:asciiTheme="majorBidi" w:hAnsiTheme="majorBidi" w:cstheme="majorBidi"/>
        </w:rPr>
        <w:t xml:space="preserve"> </w:t>
      </w:r>
      <w:r w:rsidRPr="00843265">
        <w:t>spriedumu.</w:t>
      </w:r>
    </w:p>
    <w:p w14:paraId="2BB47F12" w14:textId="77777777" w:rsidR="00F73798" w:rsidRPr="00843265" w:rsidRDefault="00F73798" w:rsidP="008A1B44">
      <w:pPr>
        <w:spacing w:line="276" w:lineRule="auto"/>
        <w:ind w:firstLine="720"/>
        <w:jc w:val="both"/>
      </w:pPr>
    </w:p>
    <w:p w14:paraId="35B9B554" w14:textId="00A4A9C5" w:rsidR="00451EFB" w:rsidRPr="00843265" w:rsidRDefault="00451EFB" w:rsidP="008A1B44">
      <w:pPr>
        <w:keepNext/>
        <w:spacing w:line="276" w:lineRule="auto"/>
        <w:ind w:firstLine="720"/>
        <w:jc w:val="both"/>
      </w:pPr>
      <w:r w:rsidRPr="00843265">
        <w:t>Lēmums nav pārsūdzams.</w:t>
      </w:r>
    </w:p>
    <w:p w14:paraId="0CB07585" w14:textId="77777777" w:rsidR="00451EFB" w:rsidRPr="00843265" w:rsidRDefault="00451EFB" w:rsidP="008A1B44">
      <w:pPr>
        <w:keepNext/>
        <w:tabs>
          <w:tab w:val="center" w:pos="1276"/>
          <w:tab w:val="center" w:pos="4678"/>
          <w:tab w:val="center" w:pos="8080"/>
        </w:tabs>
        <w:spacing w:line="276" w:lineRule="auto"/>
        <w:jc w:val="both"/>
        <w:rPr>
          <w:color w:val="000000"/>
        </w:rPr>
      </w:pPr>
    </w:p>
    <w:p w14:paraId="6C130DF4" w14:textId="77777777" w:rsidR="009D2C7E" w:rsidRPr="00843265" w:rsidRDefault="009D2C7E" w:rsidP="008A1B44">
      <w:pPr>
        <w:keepNext/>
        <w:tabs>
          <w:tab w:val="center" w:pos="1276"/>
          <w:tab w:val="center" w:pos="4678"/>
          <w:tab w:val="center" w:pos="8080"/>
        </w:tabs>
        <w:spacing w:line="276" w:lineRule="auto"/>
        <w:jc w:val="both"/>
        <w:rPr>
          <w:color w:val="000000"/>
          <w:sz w:val="20"/>
          <w:szCs w:val="20"/>
        </w:rPr>
      </w:pPr>
    </w:p>
    <w:p w14:paraId="09539033" w14:textId="77777777" w:rsidR="00CA0567" w:rsidRPr="00843265" w:rsidRDefault="00CA0567" w:rsidP="008A1B44">
      <w:pPr>
        <w:keepNext/>
        <w:tabs>
          <w:tab w:val="center" w:pos="1276"/>
          <w:tab w:val="center" w:pos="4678"/>
          <w:tab w:val="center" w:pos="8080"/>
        </w:tabs>
        <w:spacing w:line="276" w:lineRule="auto"/>
        <w:jc w:val="both"/>
        <w:rPr>
          <w:color w:val="000000"/>
        </w:rPr>
      </w:pPr>
    </w:p>
    <w:p w14:paraId="440F8ADB" w14:textId="77777777" w:rsidR="00103A56" w:rsidRPr="00843265" w:rsidRDefault="00103A56" w:rsidP="008A1B44">
      <w:pPr>
        <w:keepNext/>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945"/>
        <w:gridCol w:w="2940"/>
      </w:tblGrid>
      <w:tr w:rsidR="00103A56" w:rsidRPr="00525696" w14:paraId="208736A6" w14:textId="77777777" w:rsidTr="00114C23">
        <w:tc>
          <w:tcPr>
            <w:tcW w:w="3020" w:type="dxa"/>
            <w:hideMark/>
          </w:tcPr>
          <w:p w14:paraId="234EBEA4" w14:textId="77777777" w:rsidR="00103A56" w:rsidRPr="00843265" w:rsidRDefault="00103A56" w:rsidP="008A1B44">
            <w:pPr>
              <w:keepNext/>
              <w:tabs>
                <w:tab w:val="left" w:pos="2700"/>
                <w:tab w:val="left" w:pos="6660"/>
              </w:tabs>
              <w:spacing w:line="276" w:lineRule="auto"/>
              <w:ind w:firstLine="318"/>
              <w:jc w:val="center"/>
              <w:rPr>
                <w:rFonts w:asciiTheme="majorBidi" w:hAnsiTheme="majorBidi" w:cstheme="majorBidi"/>
              </w:rPr>
            </w:pPr>
            <w:r w:rsidRPr="00843265">
              <w:rPr>
                <w:rFonts w:asciiTheme="majorBidi" w:hAnsiTheme="majorBidi" w:cstheme="majorBidi"/>
              </w:rPr>
              <w:t>Senatore L. Slica</w:t>
            </w:r>
          </w:p>
        </w:tc>
        <w:tc>
          <w:tcPr>
            <w:tcW w:w="3020" w:type="dxa"/>
            <w:hideMark/>
          </w:tcPr>
          <w:p w14:paraId="1EF44D35" w14:textId="62E70048" w:rsidR="00103A56" w:rsidRPr="00843265" w:rsidRDefault="00D27081" w:rsidP="008A1B44">
            <w:pPr>
              <w:keepNext/>
              <w:tabs>
                <w:tab w:val="left" w:pos="2700"/>
                <w:tab w:val="left" w:pos="6660"/>
              </w:tabs>
              <w:spacing w:line="276" w:lineRule="auto"/>
              <w:jc w:val="right"/>
              <w:rPr>
                <w:rFonts w:asciiTheme="majorBidi" w:hAnsiTheme="majorBidi" w:cstheme="majorBidi"/>
              </w:rPr>
            </w:pPr>
            <w:r w:rsidRPr="00843265">
              <w:rPr>
                <w:rFonts w:asciiTheme="majorBidi" w:hAnsiTheme="majorBidi" w:cstheme="majorBidi"/>
              </w:rPr>
              <w:t>Senatore V. Kakste</w:t>
            </w:r>
          </w:p>
        </w:tc>
        <w:tc>
          <w:tcPr>
            <w:tcW w:w="3021" w:type="dxa"/>
            <w:hideMark/>
          </w:tcPr>
          <w:p w14:paraId="1D42A380" w14:textId="046A5D14" w:rsidR="00103A56" w:rsidRPr="00525696" w:rsidRDefault="00103A56" w:rsidP="008A1B44">
            <w:pPr>
              <w:keepNext/>
              <w:tabs>
                <w:tab w:val="left" w:pos="2700"/>
                <w:tab w:val="left" w:pos="6660"/>
              </w:tabs>
              <w:spacing w:line="276" w:lineRule="auto"/>
              <w:jc w:val="right"/>
              <w:rPr>
                <w:rFonts w:asciiTheme="majorBidi" w:hAnsiTheme="majorBidi" w:cstheme="majorBidi"/>
              </w:rPr>
            </w:pPr>
            <w:r w:rsidRPr="00843265">
              <w:rPr>
                <w:rFonts w:asciiTheme="majorBidi" w:hAnsiTheme="majorBidi" w:cstheme="majorBidi"/>
              </w:rPr>
              <w:t>Senator</w:t>
            </w:r>
            <w:r w:rsidR="00D27081" w:rsidRPr="00843265">
              <w:rPr>
                <w:rFonts w:asciiTheme="majorBidi" w:hAnsiTheme="majorBidi" w:cstheme="majorBidi"/>
              </w:rPr>
              <w:t>s</w:t>
            </w:r>
            <w:r w:rsidRPr="00843265">
              <w:rPr>
                <w:rFonts w:asciiTheme="majorBidi" w:hAnsiTheme="majorBidi" w:cstheme="majorBidi"/>
              </w:rPr>
              <w:t xml:space="preserve"> </w:t>
            </w:r>
            <w:r w:rsidR="00D27081" w:rsidRPr="00843265">
              <w:rPr>
                <w:rFonts w:asciiTheme="majorBidi" w:hAnsiTheme="majorBidi" w:cstheme="majorBidi"/>
              </w:rPr>
              <w:t>J. Pleps</w:t>
            </w:r>
          </w:p>
        </w:tc>
      </w:tr>
    </w:tbl>
    <w:p w14:paraId="3E0BCDC3" w14:textId="77777777" w:rsidR="00451EFB" w:rsidRPr="00230D99" w:rsidRDefault="00451EFB" w:rsidP="004B2AF1">
      <w:pPr>
        <w:spacing w:line="276" w:lineRule="auto"/>
        <w:jc w:val="center"/>
        <w:rPr>
          <w:sz w:val="2"/>
          <w:szCs w:val="2"/>
        </w:rPr>
      </w:pPr>
    </w:p>
    <w:sectPr w:rsidR="00451EFB" w:rsidRPr="00230D99" w:rsidSect="00B720D4">
      <w:footerReference w:type="default" r:id="rId9"/>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687C" w14:textId="77777777" w:rsidR="00785948" w:rsidRDefault="00785948" w:rsidP="00451EFB">
      <w:r>
        <w:separator/>
      </w:r>
    </w:p>
  </w:endnote>
  <w:endnote w:type="continuationSeparator" w:id="0">
    <w:p w14:paraId="19DBF6BA" w14:textId="77777777" w:rsidR="00785948" w:rsidRDefault="00785948" w:rsidP="0045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7AF3" w14:textId="12796838" w:rsidR="00451EFB" w:rsidRDefault="00451EFB" w:rsidP="00451EFB">
    <w:pPr>
      <w:pStyle w:val="Footer"/>
      <w:jc w:val="center"/>
    </w:pPr>
    <w:r>
      <w:rPr>
        <w:rStyle w:val="PageNumber"/>
        <w:rFonts w:eastAsiaTheme="majorEastAsia"/>
        <w:sz w:val="20"/>
        <w:szCs w:val="20"/>
      </w:rPr>
      <w:fldChar w:fldCharType="begin"/>
    </w:r>
    <w:r>
      <w:rPr>
        <w:rStyle w:val="PageNumber"/>
        <w:rFonts w:eastAsiaTheme="majorEastAsia"/>
        <w:sz w:val="20"/>
        <w:szCs w:val="20"/>
      </w:rPr>
      <w:instrText xml:space="preserve">PAGE  </w:instrText>
    </w:r>
    <w:r>
      <w:rPr>
        <w:rStyle w:val="PageNumber"/>
        <w:rFonts w:eastAsiaTheme="majorEastAsia"/>
        <w:sz w:val="20"/>
        <w:szCs w:val="20"/>
      </w:rPr>
      <w:fldChar w:fldCharType="separate"/>
    </w:r>
    <w:r>
      <w:rPr>
        <w:rStyle w:val="PageNumber"/>
        <w:rFonts w:eastAsiaTheme="majorEastAsia"/>
        <w:sz w:val="20"/>
        <w:szCs w:val="20"/>
      </w:rPr>
      <w:t>1</w:t>
    </w:r>
    <w:r>
      <w:rPr>
        <w:rStyle w:val="PageNumber"/>
        <w:rFonts w:eastAsiaTheme="majorEastAsia"/>
        <w:sz w:val="20"/>
        <w:szCs w:val="20"/>
      </w:rPr>
      <w:fldChar w:fldCharType="end"/>
    </w:r>
    <w:r>
      <w:rPr>
        <w:rStyle w:val="PageNumber"/>
        <w:rFonts w:eastAsiaTheme="majorEastAsia"/>
        <w:sz w:val="20"/>
        <w:szCs w:val="20"/>
      </w:rPr>
      <w:t xml:space="preserve"> no </w:t>
    </w:r>
    <w:r>
      <w:rPr>
        <w:rStyle w:val="PageNumber"/>
        <w:rFonts w:eastAsiaTheme="majorEastAsia"/>
        <w:noProof/>
        <w:sz w:val="20"/>
        <w:szCs w:val="20"/>
      </w:rPr>
      <w:fldChar w:fldCharType="begin"/>
    </w:r>
    <w:r>
      <w:rPr>
        <w:rStyle w:val="PageNumber"/>
        <w:rFonts w:eastAsiaTheme="majorEastAsia"/>
        <w:noProof/>
        <w:sz w:val="20"/>
        <w:szCs w:val="20"/>
      </w:rPr>
      <w:instrText xml:space="preserve"> SECTIONPAGES   \* MERGEFORMAT </w:instrText>
    </w:r>
    <w:r>
      <w:rPr>
        <w:rStyle w:val="PageNumber"/>
        <w:rFonts w:eastAsiaTheme="majorEastAsia"/>
        <w:noProof/>
        <w:sz w:val="20"/>
        <w:szCs w:val="20"/>
      </w:rPr>
      <w:fldChar w:fldCharType="separate"/>
    </w:r>
    <w:r w:rsidR="0073346D">
      <w:rPr>
        <w:rStyle w:val="PageNumber"/>
        <w:rFonts w:eastAsiaTheme="majorEastAsia"/>
        <w:noProof/>
        <w:sz w:val="20"/>
        <w:szCs w:val="20"/>
      </w:rPr>
      <w:t>5</w:t>
    </w:r>
    <w:r>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BB16" w14:textId="77777777" w:rsidR="00785948" w:rsidRDefault="00785948" w:rsidP="00451EFB">
      <w:r>
        <w:separator/>
      </w:r>
    </w:p>
  </w:footnote>
  <w:footnote w:type="continuationSeparator" w:id="0">
    <w:p w14:paraId="01D1914C" w14:textId="77777777" w:rsidR="00785948" w:rsidRDefault="00785948" w:rsidP="00451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E7"/>
    <w:rsid w:val="0000044F"/>
    <w:rsid w:val="0000466C"/>
    <w:rsid w:val="000057A7"/>
    <w:rsid w:val="00005AAD"/>
    <w:rsid w:val="00011E65"/>
    <w:rsid w:val="0002251D"/>
    <w:rsid w:val="000228B9"/>
    <w:rsid w:val="00030E75"/>
    <w:rsid w:val="00060B82"/>
    <w:rsid w:val="00070FEB"/>
    <w:rsid w:val="00074619"/>
    <w:rsid w:val="000761C3"/>
    <w:rsid w:val="00085624"/>
    <w:rsid w:val="000863BB"/>
    <w:rsid w:val="00086CA7"/>
    <w:rsid w:val="0009276A"/>
    <w:rsid w:val="000C2088"/>
    <w:rsid w:val="000E1223"/>
    <w:rsid w:val="000E75D3"/>
    <w:rsid w:val="00103A56"/>
    <w:rsid w:val="00116C08"/>
    <w:rsid w:val="00125A8D"/>
    <w:rsid w:val="00136742"/>
    <w:rsid w:val="00136F6D"/>
    <w:rsid w:val="0013764D"/>
    <w:rsid w:val="00144E6F"/>
    <w:rsid w:val="00161AE7"/>
    <w:rsid w:val="00176025"/>
    <w:rsid w:val="00176A9F"/>
    <w:rsid w:val="00180719"/>
    <w:rsid w:val="001843BD"/>
    <w:rsid w:val="00185635"/>
    <w:rsid w:val="00185F43"/>
    <w:rsid w:val="001A0A71"/>
    <w:rsid w:val="001A1005"/>
    <w:rsid w:val="001A3BB8"/>
    <w:rsid w:val="001E5941"/>
    <w:rsid w:val="002022FE"/>
    <w:rsid w:val="0020401C"/>
    <w:rsid w:val="002100F4"/>
    <w:rsid w:val="00214E9C"/>
    <w:rsid w:val="00226B8F"/>
    <w:rsid w:val="0023080F"/>
    <w:rsid w:val="00236251"/>
    <w:rsid w:val="00245563"/>
    <w:rsid w:val="002527A7"/>
    <w:rsid w:val="00291C4F"/>
    <w:rsid w:val="002D4BD1"/>
    <w:rsid w:val="002E0CAC"/>
    <w:rsid w:val="002F37BA"/>
    <w:rsid w:val="002F52DA"/>
    <w:rsid w:val="0032286D"/>
    <w:rsid w:val="00324223"/>
    <w:rsid w:val="003449AF"/>
    <w:rsid w:val="00352274"/>
    <w:rsid w:val="00353652"/>
    <w:rsid w:val="00357331"/>
    <w:rsid w:val="00370AD1"/>
    <w:rsid w:val="00370D6C"/>
    <w:rsid w:val="00372606"/>
    <w:rsid w:val="003765F4"/>
    <w:rsid w:val="00386C60"/>
    <w:rsid w:val="003C3521"/>
    <w:rsid w:val="003F5EE7"/>
    <w:rsid w:val="00400D53"/>
    <w:rsid w:val="00436D1B"/>
    <w:rsid w:val="0044383D"/>
    <w:rsid w:val="00451EFB"/>
    <w:rsid w:val="0045425A"/>
    <w:rsid w:val="00462F4D"/>
    <w:rsid w:val="004733C5"/>
    <w:rsid w:val="00490C31"/>
    <w:rsid w:val="004927A5"/>
    <w:rsid w:val="004931DD"/>
    <w:rsid w:val="004976E3"/>
    <w:rsid w:val="004A6CEE"/>
    <w:rsid w:val="004B2AF1"/>
    <w:rsid w:val="004B3983"/>
    <w:rsid w:val="004D1A96"/>
    <w:rsid w:val="004E5F70"/>
    <w:rsid w:val="004F488E"/>
    <w:rsid w:val="00520AE1"/>
    <w:rsid w:val="00523269"/>
    <w:rsid w:val="00525DE5"/>
    <w:rsid w:val="00530896"/>
    <w:rsid w:val="00537728"/>
    <w:rsid w:val="005479AF"/>
    <w:rsid w:val="00553921"/>
    <w:rsid w:val="00554E00"/>
    <w:rsid w:val="00586681"/>
    <w:rsid w:val="00596A25"/>
    <w:rsid w:val="005B2589"/>
    <w:rsid w:val="005B5DED"/>
    <w:rsid w:val="005C377C"/>
    <w:rsid w:val="005E1BAE"/>
    <w:rsid w:val="005E49C6"/>
    <w:rsid w:val="00600638"/>
    <w:rsid w:val="0061124E"/>
    <w:rsid w:val="006270D1"/>
    <w:rsid w:val="00633CEC"/>
    <w:rsid w:val="00642C89"/>
    <w:rsid w:val="0064356C"/>
    <w:rsid w:val="0067091D"/>
    <w:rsid w:val="00676DBA"/>
    <w:rsid w:val="00683D10"/>
    <w:rsid w:val="00695016"/>
    <w:rsid w:val="006A1B84"/>
    <w:rsid w:val="006A2109"/>
    <w:rsid w:val="006A2712"/>
    <w:rsid w:val="006A739C"/>
    <w:rsid w:val="006B3C7D"/>
    <w:rsid w:val="006C0A30"/>
    <w:rsid w:val="006C1859"/>
    <w:rsid w:val="006D07BE"/>
    <w:rsid w:val="006E56D3"/>
    <w:rsid w:val="006F08A5"/>
    <w:rsid w:val="006F7C9C"/>
    <w:rsid w:val="00705EBF"/>
    <w:rsid w:val="007079CC"/>
    <w:rsid w:val="00714438"/>
    <w:rsid w:val="00716129"/>
    <w:rsid w:val="00723FE7"/>
    <w:rsid w:val="00725DAB"/>
    <w:rsid w:val="0073346D"/>
    <w:rsid w:val="00737B47"/>
    <w:rsid w:val="00741B21"/>
    <w:rsid w:val="00741E23"/>
    <w:rsid w:val="007425C1"/>
    <w:rsid w:val="00747DF3"/>
    <w:rsid w:val="00761E05"/>
    <w:rsid w:val="0076453A"/>
    <w:rsid w:val="00775322"/>
    <w:rsid w:val="007846A2"/>
    <w:rsid w:val="00785948"/>
    <w:rsid w:val="00785AEA"/>
    <w:rsid w:val="007B3F66"/>
    <w:rsid w:val="007B716F"/>
    <w:rsid w:val="007C01BF"/>
    <w:rsid w:val="007C3D55"/>
    <w:rsid w:val="007C7EEC"/>
    <w:rsid w:val="007D190E"/>
    <w:rsid w:val="007D578F"/>
    <w:rsid w:val="00801A83"/>
    <w:rsid w:val="00805B29"/>
    <w:rsid w:val="008100A2"/>
    <w:rsid w:val="00825AF5"/>
    <w:rsid w:val="00843265"/>
    <w:rsid w:val="00866097"/>
    <w:rsid w:val="0086695E"/>
    <w:rsid w:val="00892F49"/>
    <w:rsid w:val="008A1B44"/>
    <w:rsid w:val="008A64D2"/>
    <w:rsid w:val="008B5E78"/>
    <w:rsid w:val="008D6FC4"/>
    <w:rsid w:val="00913888"/>
    <w:rsid w:val="00924C9D"/>
    <w:rsid w:val="00932124"/>
    <w:rsid w:val="009473A9"/>
    <w:rsid w:val="00951CEF"/>
    <w:rsid w:val="00965DB6"/>
    <w:rsid w:val="00976558"/>
    <w:rsid w:val="0098456C"/>
    <w:rsid w:val="009911C3"/>
    <w:rsid w:val="00995B44"/>
    <w:rsid w:val="009B79F3"/>
    <w:rsid w:val="009C7939"/>
    <w:rsid w:val="009C7E52"/>
    <w:rsid w:val="009D2C7E"/>
    <w:rsid w:val="009E1E83"/>
    <w:rsid w:val="009E581B"/>
    <w:rsid w:val="009E7629"/>
    <w:rsid w:val="009F1453"/>
    <w:rsid w:val="00A003A3"/>
    <w:rsid w:val="00A21432"/>
    <w:rsid w:val="00A21747"/>
    <w:rsid w:val="00A42B5F"/>
    <w:rsid w:val="00A43E54"/>
    <w:rsid w:val="00A55B90"/>
    <w:rsid w:val="00A64AF1"/>
    <w:rsid w:val="00A84A27"/>
    <w:rsid w:val="00A86624"/>
    <w:rsid w:val="00A9612C"/>
    <w:rsid w:val="00AA104B"/>
    <w:rsid w:val="00AA2A66"/>
    <w:rsid w:val="00AA48E3"/>
    <w:rsid w:val="00AA6AC2"/>
    <w:rsid w:val="00AD1331"/>
    <w:rsid w:val="00AD6BFB"/>
    <w:rsid w:val="00AE59D6"/>
    <w:rsid w:val="00AF62AC"/>
    <w:rsid w:val="00B023BE"/>
    <w:rsid w:val="00B21E71"/>
    <w:rsid w:val="00B37CC5"/>
    <w:rsid w:val="00B56EE3"/>
    <w:rsid w:val="00B62BE0"/>
    <w:rsid w:val="00B720D4"/>
    <w:rsid w:val="00B96EFE"/>
    <w:rsid w:val="00BB4EDD"/>
    <w:rsid w:val="00BC0470"/>
    <w:rsid w:val="00BC35D3"/>
    <w:rsid w:val="00BC40E8"/>
    <w:rsid w:val="00BD6ECF"/>
    <w:rsid w:val="00C01490"/>
    <w:rsid w:val="00C05332"/>
    <w:rsid w:val="00C13A17"/>
    <w:rsid w:val="00C15F77"/>
    <w:rsid w:val="00C42393"/>
    <w:rsid w:val="00C44F5D"/>
    <w:rsid w:val="00C70E98"/>
    <w:rsid w:val="00C716EE"/>
    <w:rsid w:val="00C80BA8"/>
    <w:rsid w:val="00C9305B"/>
    <w:rsid w:val="00CA0567"/>
    <w:rsid w:val="00CA4032"/>
    <w:rsid w:val="00CE1B40"/>
    <w:rsid w:val="00CF19C6"/>
    <w:rsid w:val="00D167A2"/>
    <w:rsid w:val="00D27081"/>
    <w:rsid w:val="00D31B4F"/>
    <w:rsid w:val="00D73410"/>
    <w:rsid w:val="00D77B05"/>
    <w:rsid w:val="00D84184"/>
    <w:rsid w:val="00D85AD9"/>
    <w:rsid w:val="00D91E07"/>
    <w:rsid w:val="00D936F5"/>
    <w:rsid w:val="00DA1397"/>
    <w:rsid w:val="00DA45BD"/>
    <w:rsid w:val="00DB5228"/>
    <w:rsid w:val="00DD0E06"/>
    <w:rsid w:val="00DD63D8"/>
    <w:rsid w:val="00DD7A13"/>
    <w:rsid w:val="00DE2069"/>
    <w:rsid w:val="00DF0F1E"/>
    <w:rsid w:val="00E06311"/>
    <w:rsid w:val="00E12E55"/>
    <w:rsid w:val="00E47C98"/>
    <w:rsid w:val="00E508E8"/>
    <w:rsid w:val="00E70078"/>
    <w:rsid w:val="00E822B1"/>
    <w:rsid w:val="00E82481"/>
    <w:rsid w:val="00E84944"/>
    <w:rsid w:val="00E95002"/>
    <w:rsid w:val="00E95295"/>
    <w:rsid w:val="00E96BCE"/>
    <w:rsid w:val="00EA2C41"/>
    <w:rsid w:val="00EB056A"/>
    <w:rsid w:val="00EB3CB4"/>
    <w:rsid w:val="00EF1797"/>
    <w:rsid w:val="00EF4340"/>
    <w:rsid w:val="00F02298"/>
    <w:rsid w:val="00F02893"/>
    <w:rsid w:val="00F040AB"/>
    <w:rsid w:val="00F2237B"/>
    <w:rsid w:val="00F235D5"/>
    <w:rsid w:val="00F2576C"/>
    <w:rsid w:val="00F26036"/>
    <w:rsid w:val="00F26CB0"/>
    <w:rsid w:val="00F30AF9"/>
    <w:rsid w:val="00F35E7A"/>
    <w:rsid w:val="00F456C4"/>
    <w:rsid w:val="00F614F5"/>
    <w:rsid w:val="00F64C06"/>
    <w:rsid w:val="00F73798"/>
    <w:rsid w:val="00FA71D6"/>
    <w:rsid w:val="00FB4A5D"/>
    <w:rsid w:val="00FC2F1F"/>
    <w:rsid w:val="00FD782A"/>
    <w:rsid w:val="00FE2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92B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E7"/>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3F5EE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F5EE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F5EE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F5EE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F5EE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F5EE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F5EE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F5EE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F5EE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E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E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E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E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E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EE7"/>
    <w:rPr>
      <w:rFonts w:eastAsiaTheme="majorEastAsia" w:cstheme="majorBidi"/>
      <w:color w:val="272727" w:themeColor="text1" w:themeTint="D8"/>
    </w:rPr>
  </w:style>
  <w:style w:type="paragraph" w:styleId="Title">
    <w:name w:val="Title"/>
    <w:basedOn w:val="Normal"/>
    <w:next w:val="Normal"/>
    <w:link w:val="TitleChar"/>
    <w:uiPriority w:val="10"/>
    <w:qFormat/>
    <w:rsid w:val="003F5EE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F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EE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F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EE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3F5EE7"/>
    <w:rPr>
      <w:i/>
      <w:iCs/>
      <w:color w:val="404040" w:themeColor="text1" w:themeTint="BF"/>
    </w:rPr>
  </w:style>
  <w:style w:type="paragraph" w:styleId="ListParagraph">
    <w:name w:val="List Paragraph"/>
    <w:basedOn w:val="Normal"/>
    <w:uiPriority w:val="34"/>
    <w:qFormat/>
    <w:rsid w:val="003F5EE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3F5EE7"/>
    <w:rPr>
      <w:i/>
      <w:iCs/>
      <w:color w:val="2F5496" w:themeColor="accent1" w:themeShade="BF"/>
    </w:rPr>
  </w:style>
  <w:style w:type="paragraph" w:styleId="IntenseQuote">
    <w:name w:val="Intense Quote"/>
    <w:basedOn w:val="Normal"/>
    <w:next w:val="Normal"/>
    <w:link w:val="IntenseQuoteChar"/>
    <w:uiPriority w:val="30"/>
    <w:qFormat/>
    <w:rsid w:val="003F5E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3F5EE7"/>
    <w:rPr>
      <w:i/>
      <w:iCs/>
      <w:color w:val="2F5496" w:themeColor="accent1" w:themeShade="BF"/>
    </w:rPr>
  </w:style>
  <w:style w:type="character" w:styleId="IntenseReference">
    <w:name w:val="Intense Reference"/>
    <w:basedOn w:val="DefaultParagraphFont"/>
    <w:uiPriority w:val="32"/>
    <w:qFormat/>
    <w:rsid w:val="003F5EE7"/>
    <w:rPr>
      <w:b/>
      <w:bCs/>
      <w:smallCaps/>
      <w:color w:val="2F5496" w:themeColor="accent1" w:themeShade="BF"/>
      <w:spacing w:val="5"/>
    </w:rPr>
  </w:style>
  <w:style w:type="table" w:styleId="TableGrid">
    <w:name w:val="Table Grid"/>
    <w:basedOn w:val="TableNormal"/>
    <w:uiPriority w:val="39"/>
    <w:rsid w:val="00451EF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EFB"/>
    <w:pPr>
      <w:tabs>
        <w:tab w:val="center" w:pos="4513"/>
        <w:tab w:val="right" w:pos="9026"/>
      </w:tabs>
    </w:pPr>
  </w:style>
  <w:style w:type="character" w:customStyle="1" w:styleId="HeaderChar">
    <w:name w:val="Header Char"/>
    <w:basedOn w:val="DefaultParagraphFont"/>
    <w:link w:val="Header"/>
    <w:uiPriority w:val="99"/>
    <w:rsid w:val="00451EFB"/>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nhideWhenUsed/>
    <w:rsid w:val="00451EFB"/>
    <w:pPr>
      <w:tabs>
        <w:tab w:val="center" w:pos="4513"/>
        <w:tab w:val="right" w:pos="9026"/>
      </w:tabs>
    </w:pPr>
  </w:style>
  <w:style w:type="character" w:customStyle="1" w:styleId="FooterChar">
    <w:name w:val="Footer Char"/>
    <w:basedOn w:val="DefaultParagraphFont"/>
    <w:link w:val="Footer"/>
    <w:rsid w:val="00451EFB"/>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semiHidden/>
    <w:unhideWhenUsed/>
    <w:rsid w:val="00451EFB"/>
  </w:style>
  <w:style w:type="paragraph" w:styleId="NoSpacing">
    <w:name w:val="No Spacing"/>
    <w:uiPriority w:val="1"/>
    <w:qFormat/>
    <w:rsid w:val="00185F43"/>
    <w:pPr>
      <w:spacing w:after="0" w:line="240" w:lineRule="auto"/>
    </w:pPr>
  </w:style>
  <w:style w:type="character" w:styleId="Hyperlink">
    <w:name w:val="Hyperlink"/>
    <w:basedOn w:val="DefaultParagraphFont"/>
    <w:uiPriority w:val="99"/>
    <w:unhideWhenUsed/>
    <w:rsid w:val="00FB4A5D"/>
    <w:rPr>
      <w:color w:val="0563C1" w:themeColor="hyperlink"/>
      <w:u w:val="single"/>
    </w:rPr>
  </w:style>
  <w:style w:type="character" w:styleId="FollowedHyperlink">
    <w:name w:val="FollowedHyperlink"/>
    <w:basedOn w:val="DefaultParagraphFont"/>
    <w:uiPriority w:val="99"/>
    <w:semiHidden/>
    <w:unhideWhenUsed/>
    <w:rsid w:val="00FB4A5D"/>
    <w:rPr>
      <w:color w:val="954F72" w:themeColor="followedHyperlink"/>
      <w:u w:val="single"/>
    </w:rPr>
  </w:style>
  <w:style w:type="character" w:styleId="CommentReference">
    <w:name w:val="annotation reference"/>
    <w:basedOn w:val="DefaultParagraphFont"/>
    <w:uiPriority w:val="99"/>
    <w:semiHidden/>
    <w:unhideWhenUsed/>
    <w:rsid w:val="000C2088"/>
    <w:rPr>
      <w:sz w:val="16"/>
      <w:szCs w:val="16"/>
    </w:rPr>
  </w:style>
  <w:style w:type="paragraph" w:styleId="CommentText">
    <w:name w:val="annotation text"/>
    <w:basedOn w:val="Normal"/>
    <w:link w:val="CommentTextChar"/>
    <w:uiPriority w:val="99"/>
    <w:semiHidden/>
    <w:unhideWhenUsed/>
    <w:rsid w:val="000C2088"/>
    <w:rPr>
      <w:sz w:val="20"/>
      <w:szCs w:val="20"/>
    </w:rPr>
  </w:style>
  <w:style w:type="character" w:customStyle="1" w:styleId="CommentTextChar">
    <w:name w:val="Comment Text Char"/>
    <w:basedOn w:val="DefaultParagraphFont"/>
    <w:link w:val="CommentText"/>
    <w:uiPriority w:val="99"/>
    <w:semiHidden/>
    <w:rsid w:val="000C2088"/>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0C2088"/>
    <w:rPr>
      <w:b/>
      <w:bCs/>
    </w:rPr>
  </w:style>
  <w:style w:type="character" w:customStyle="1" w:styleId="CommentSubjectChar">
    <w:name w:val="Comment Subject Char"/>
    <w:basedOn w:val="CommentTextChar"/>
    <w:link w:val="CommentSubject"/>
    <w:uiPriority w:val="99"/>
    <w:semiHidden/>
    <w:rsid w:val="000C2088"/>
    <w:rPr>
      <w:rFonts w:ascii="Times New Roman" w:eastAsia="Times New Roman" w:hAnsi="Times New Roman" w:cs="Times New Roman"/>
      <w:b/>
      <w:bCs/>
      <w:kern w:val="0"/>
      <w:sz w:val="20"/>
      <w:szCs w:val="20"/>
      <w:lang w:eastAsia="ru-RU"/>
      <w14:ligatures w14:val="none"/>
    </w:rPr>
  </w:style>
  <w:style w:type="character" w:styleId="UnresolvedMention">
    <w:name w:val="Unresolved Mention"/>
    <w:basedOn w:val="DefaultParagraphFont"/>
    <w:uiPriority w:val="99"/>
    <w:semiHidden/>
    <w:unhideWhenUsed/>
    <w:rsid w:val="0009276A"/>
    <w:rPr>
      <w:color w:val="605E5C"/>
      <w:shd w:val="clear" w:color="auto" w:fill="E1DFDD"/>
    </w:rPr>
  </w:style>
  <w:style w:type="paragraph" w:customStyle="1" w:styleId="Default">
    <w:name w:val="Default"/>
    <w:rsid w:val="008A1B4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2422b89-aae2-4ed4-a7a7-50a6513bb4b1" TargetMode="External"/><Relationship Id="rId3" Type="http://schemas.openxmlformats.org/officeDocument/2006/relationships/webSettings" Target="webSettings.xml"/><Relationship Id="rId7" Type="http://schemas.openxmlformats.org/officeDocument/2006/relationships/hyperlink" Target="https://titania.saeima.lv/LIVS12/SaeimaLIVS12.nsf/0/CAC6F3B2CFBBCF10C2257FB50026E9F7?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a0942763-16dc-40ff-b1da-c907cb1b961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8412</Words>
  <Characters>4796</Characters>
  <Application>Microsoft Office Word</Application>
  <DocSecurity>0</DocSecurity>
  <Lines>39</Lines>
  <Paragraphs>26</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2025-12-22T15:24:00Z</dcterms:created>
  <dcterms:modified xsi:type="dcterms:W3CDTF">2025-12-22T15:24:00Z</dcterms:modified>
</cp:coreProperties>
</file>