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5237F" w14:textId="0AECBB14" w:rsidR="00447EE6" w:rsidRPr="00161148" w:rsidRDefault="00161148" w:rsidP="00161148">
      <w:pPr>
        <w:spacing w:line="276" w:lineRule="auto"/>
        <w:jc w:val="both"/>
        <w:rPr>
          <w:rFonts w:asciiTheme="majorBidi" w:hAnsiTheme="majorBidi" w:cstheme="majorBidi"/>
          <w:b/>
          <w:bCs/>
        </w:rPr>
      </w:pPr>
      <w:proofErr w:type="spellStart"/>
      <w:r w:rsidRPr="00161148">
        <w:rPr>
          <w:rFonts w:asciiTheme="majorBidi" w:hAnsiTheme="majorBidi" w:cstheme="majorBidi"/>
          <w:b/>
          <w:bCs/>
        </w:rPr>
        <w:t>Prekluzīvais</w:t>
      </w:r>
      <w:proofErr w:type="spellEnd"/>
      <w:r w:rsidRPr="00161148">
        <w:rPr>
          <w:rFonts w:asciiTheme="majorBidi" w:hAnsiTheme="majorBidi" w:cstheme="majorBidi"/>
          <w:b/>
          <w:bCs/>
        </w:rPr>
        <w:t xml:space="preserve"> termiņš darba līguma uzteikšanas tiesības izmantošanai, ja darba devēja uzteikums pamatots ar pārkāpumiem, kas izdarīti vairākus gadus pirms uzteikuma</w:t>
      </w:r>
      <w:r w:rsidRPr="00161148">
        <w:rPr>
          <w:rFonts w:asciiTheme="majorBidi" w:hAnsiTheme="majorBidi" w:cstheme="majorBidi"/>
          <w:b/>
          <w:bCs/>
        </w:rPr>
        <w:t xml:space="preserve"> izsniegšanas</w:t>
      </w:r>
    </w:p>
    <w:p w14:paraId="0533CE10" w14:textId="77777777" w:rsidR="00161148" w:rsidRPr="00161148" w:rsidRDefault="00161148" w:rsidP="00161148">
      <w:pPr>
        <w:spacing w:line="276" w:lineRule="auto"/>
        <w:jc w:val="both"/>
        <w:rPr>
          <w:rFonts w:asciiTheme="majorBidi" w:hAnsiTheme="majorBidi" w:cstheme="majorBidi"/>
        </w:rPr>
      </w:pPr>
      <w:r w:rsidRPr="00161148">
        <w:rPr>
          <w:rFonts w:asciiTheme="majorBidi" w:hAnsiTheme="majorBidi" w:cstheme="majorBidi"/>
        </w:rPr>
        <w:t>Darba līguma uzteikšanas tiesības izmantošana uz Darba likuma 101. panta pirmās daļas 3. punkta pamata ir iespējama ne vēlāk kā 12 mēnešu laikā no pārkāpuma izdarīšanas dienas. Minētā termiņa nokavējuma gadījumā darba līguma uzteikšanas tiesība ir zaudēta.</w:t>
      </w:r>
    </w:p>
    <w:p w14:paraId="251F71B6" w14:textId="77777777" w:rsidR="00161148" w:rsidRPr="00161148" w:rsidRDefault="00161148" w:rsidP="00161148">
      <w:pPr>
        <w:spacing w:line="276" w:lineRule="auto"/>
        <w:jc w:val="both"/>
        <w:rPr>
          <w:rFonts w:asciiTheme="majorBidi" w:hAnsiTheme="majorBidi" w:cstheme="majorBidi"/>
          <w:lang w:eastAsia="lv-LV"/>
        </w:rPr>
      </w:pPr>
    </w:p>
    <w:p w14:paraId="30EF74F0" w14:textId="01760354" w:rsidR="00447EE6" w:rsidRPr="00161148" w:rsidRDefault="00447EE6" w:rsidP="00161148">
      <w:pPr>
        <w:spacing w:line="276" w:lineRule="auto"/>
        <w:jc w:val="center"/>
        <w:rPr>
          <w:rFonts w:asciiTheme="majorBidi" w:hAnsiTheme="majorBidi" w:cstheme="majorBidi"/>
          <w:b/>
        </w:rPr>
      </w:pPr>
      <w:r w:rsidRPr="00161148">
        <w:rPr>
          <w:rFonts w:asciiTheme="majorBidi" w:hAnsiTheme="majorBidi" w:cstheme="majorBidi"/>
          <w:b/>
        </w:rPr>
        <w:t>Latvijas Republikas Senāt</w:t>
      </w:r>
      <w:r w:rsidR="008A2E25" w:rsidRPr="00161148">
        <w:rPr>
          <w:rFonts w:asciiTheme="majorBidi" w:hAnsiTheme="majorBidi" w:cstheme="majorBidi"/>
          <w:b/>
        </w:rPr>
        <w:t>a</w:t>
      </w:r>
    </w:p>
    <w:p w14:paraId="51EE2C9E" w14:textId="77777777" w:rsidR="008A2E25" w:rsidRPr="00161148" w:rsidRDefault="008A2E25" w:rsidP="00161148">
      <w:pPr>
        <w:spacing w:line="276" w:lineRule="auto"/>
        <w:jc w:val="center"/>
        <w:rPr>
          <w:rFonts w:asciiTheme="majorBidi" w:hAnsiTheme="majorBidi" w:cstheme="majorBidi"/>
          <w:b/>
          <w:lang w:eastAsia="lv-LV"/>
        </w:rPr>
      </w:pPr>
      <w:r w:rsidRPr="00161148">
        <w:rPr>
          <w:rFonts w:asciiTheme="majorBidi" w:hAnsiTheme="majorBidi" w:cstheme="majorBidi"/>
          <w:b/>
          <w:lang w:eastAsia="lv-LV"/>
        </w:rPr>
        <w:t>Civillietu departamenta</w:t>
      </w:r>
    </w:p>
    <w:p w14:paraId="1769D3C7" w14:textId="01D58D93" w:rsidR="008A2E25" w:rsidRPr="00161148" w:rsidRDefault="008A2E25" w:rsidP="00161148">
      <w:pPr>
        <w:spacing w:line="276" w:lineRule="auto"/>
        <w:jc w:val="center"/>
        <w:rPr>
          <w:rFonts w:asciiTheme="majorBidi" w:hAnsiTheme="majorBidi" w:cstheme="majorBidi"/>
          <w:b/>
        </w:rPr>
      </w:pPr>
      <w:r w:rsidRPr="00161148">
        <w:rPr>
          <w:rFonts w:asciiTheme="majorBidi" w:hAnsiTheme="majorBidi" w:cstheme="majorBidi"/>
          <w:b/>
        </w:rPr>
        <w:t>2025. gada 3. decembra</w:t>
      </w:r>
    </w:p>
    <w:p w14:paraId="07C2BFBC" w14:textId="77777777" w:rsidR="00EE0FBC" w:rsidRPr="00161148" w:rsidRDefault="00EE0FBC" w:rsidP="00161148">
      <w:pPr>
        <w:spacing w:line="276" w:lineRule="auto"/>
        <w:jc w:val="center"/>
        <w:rPr>
          <w:rFonts w:asciiTheme="majorBidi" w:hAnsiTheme="majorBidi" w:cstheme="majorBidi"/>
          <w:b/>
        </w:rPr>
      </w:pPr>
      <w:r w:rsidRPr="00161148">
        <w:rPr>
          <w:rFonts w:asciiTheme="majorBidi" w:hAnsiTheme="majorBidi" w:cstheme="majorBidi"/>
          <w:b/>
        </w:rPr>
        <w:t>RĪCĪBAS SĒDES LĒMUMS</w:t>
      </w:r>
    </w:p>
    <w:p w14:paraId="64A2DF0F" w14:textId="77777777" w:rsidR="008A2E25" w:rsidRPr="00161148" w:rsidRDefault="008A2E25" w:rsidP="00161148">
      <w:pPr>
        <w:spacing w:line="276" w:lineRule="auto"/>
        <w:jc w:val="center"/>
        <w:rPr>
          <w:rFonts w:asciiTheme="majorBidi" w:hAnsiTheme="majorBidi" w:cstheme="majorBidi"/>
          <w:b/>
          <w:lang w:eastAsia="lv-LV"/>
        </w:rPr>
      </w:pPr>
      <w:r w:rsidRPr="00161148">
        <w:rPr>
          <w:rFonts w:asciiTheme="majorBidi" w:hAnsiTheme="majorBidi" w:cstheme="majorBidi"/>
          <w:b/>
          <w:lang w:eastAsia="lv-LV"/>
        </w:rPr>
        <w:t>Lieta Nr. C771090124, SKC-397/2025</w:t>
      </w:r>
    </w:p>
    <w:p w14:paraId="55D01AE0" w14:textId="58ACC821" w:rsidR="008A2E25" w:rsidRPr="00161148" w:rsidRDefault="008A2E25" w:rsidP="00161148">
      <w:pPr>
        <w:spacing w:line="276" w:lineRule="auto"/>
        <w:jc w:val="center"/>
        <w:rPr>
          <w:rFonts w:asciiTheme="majorBidi" w:hAnsiTheme="majorBidi" w:cstheme="majorBidi"/>
          <w:bCs/>
          <w:lang w:eastAsia="lv-LV"/>
        </w:rPr>
      </w:pPr>
      <w:hyperlink r:id="rId8" w:history="1">
        <w:r w:rsidRPr="00161148">
          <w:rPr>
            <w:rStyle w:val="Hyperlink"/>
            <w:rFonts w:asciiTheme="majorBidi" w:hAnsiTheme="majorBidi" w:cstheme="majorBidi"/>
            <w:bCs/>
            <w:lang w:eastAsia="lv-LV"/>
          </w:rPr>
          <w:t>ECLI:LV:AT:2025:1203.C771090124.14.L</w:t>
        </w:r>
      </w:hyperlink>
    </w:p>
    <w:p w14:paraId="18B8E2B5" w14:textId="18EDAF5B" w:rsidR="00EE0FBC" w:rsidRPr="00161148" w:rsidRDefault="00EE0FBC" w:rsidP="00161148">
      <w:pPr>
        <w:tabs>
          <w:tab w:val="left" w:pos="709"/>
        </w:tabs>
        <w:spacing w:line="276" w:lineRule="auto"/>
        <w:jc w:val="both"/>
        <w:rPr>
          <w:rFonts w:asciiTheme="majorBidi" w:hAnsiTheme="majorBidi" w:cstheme="majorBidi"/>
        </w:rPr>
      </w:pPr>
    </w:p>
    <w:p w14:paraId="0149B647" w14:textId="076E99A9" w:rsidR="00EE0FBC" w:rsidRPr="00161148" w:rsidRDefault="00161148" w:rsidP="00161148">
      <w:pPr>
        <w:tabs>
          <w:tab w:val="left" w:pos="709"/>
        </w:tabs>
        <w:spacing w:line="276" w:lineRule="auto"/>
        <w:jc w:val="both"/>
        <w:rPr>
          <w:rFonts w:asciiTheme="majorBidi" w:hAnsiTheme="majorBidi" w:cstheme="majorBidi"/>
        </w:rPr>
      </w:pPr>
      <w:r>
        <w:rPr>
          <w:rFonts w:asciiTheme="majorBidi" w:hAnsiTheme="majorBidi" w:cstheme="majorBidi"/>
        </w:rPr>
        <w:tab/>
      </w:r>
      <w:r w:rsidR="00EE0FBC" w:rsidRPr="00161148">
        <w:rPr>
          <w:rFonts w:asciiTheme="majorBidi" w:hAnsiTheme="majorBidi" w:cstheme="majorBidi"/>
        </w:rPr>
        <w:t xml:space="preserve">Senatoru kolēģija šādā sastāvā: senatore referente Dzintra Balta, senatori Aldis Laviņš un Zane Pētersone </w:t>
      </w:r>
    </w:p>
    <w:p w14:paraId="1609D6F5" w14:textId="67C043A8" w:rsidR="00447EE6" w:rsidRPr="00161148" w:rsidRDefault="00447EE6" w:rsidP="00161148">
      <w:pPr>
        <w:spacing w:line="276" w:lineRule="auto"/>
        <w:ind w:firstLine="720"/>
        <w:jc w:val="both"/>
        <w:rPr>
          <w:rFonts w:asciiTheme="majorBidi" w:hAnsiTheme="majorBidi" w:cstheme="majorBidi"/>
        </w:rPr>
      </w:pPr>
      <w:r w:rsidRPr="00161148">
        <w:rPr>
          <w:rFonts w:asciiTheme="majorBidi" w:hAnsiTheme="majorBidi" w:cstheme="majorBidi"/>
        </w:rPr>
        <w:t xml:space="preserve"> </w:t>
      </w:r>
    </w:p>
    <w:p w14:paraId="71518C9E" w14:textId="2A552D4A" w:rsidR="00D431AA" w:rsidRPr="00161148" w:rsidRDefault="00EE0FBC" w:rsidP="00161148">
      <w:pPr>
        <w:autoSpaceDE w:val="0"/>
        <w:autoSpaceDN w:val="0"/>
        <w:adjustRightInd w:val="0"/>
        <w:spacing w:line="276" w:lineRule="auto"/>
        <w:ind w:firstLine="720"/>
        <w:jc w:val="both"/>
        <w:rPr>
          <w:rFonts w:asciiTheme="majorBidi" w:hAnsiTheme="majorBidi" w:cstheme="majorBidi"/>
          <w:lang w:val="lt-LT"/>
        </w:rPr>
      </w:pPr>
      <w:r w:rsidRPr="00161148">
        <w:rPr>
          <w:rFonts w:asciiTheme="majorBidi" w:hAnsiTheme="majorBidi" w:cstheme="majorBidi"/>
          <w:lang w:val="lt-LT"/>
        </w:rPr>
        <w:t xml:space="preserve">rīcības sēdē izskatīja </w:t>
      </w:r>
      <w:r w:rsidR="008A2E25" w:rsidRPr="00161148">
        <w:rPr>
          <w:rFonts w:asciiTheme="majorBidi" w:hAnsiTheme="majorBidi" w:cstheme="majorBidi"/>
          <w:lang w:val="lt-LT"/>
        </w:rPr>
        <w:t>[nosaukums]</w:t>
      </w:r>
      <w:r w:rsidRPr="00161148">
        <w:rPr>
          <w:rFonts w:asciiTheme="majorBidi" w:hAnsiTheme="majorBidi" w:cstheme="majorBidi"/>
          <w:lang w:val="lt-LT"/>
        </w:rPr>
        <w:t xml:space="preserve"> </w:t>
      </w:r>
      <w:r w:rsidR="008A2E25" w:rsidRPr="00161148">
        <w:rPr>
          <w:rFonts w:asciiTheme="majorBidi" w:hAnsiTheme="majorBidi" w:cstheme="majorBidi"/>
          <w:lang w:val="lt-LT"/>
        </w:rPr>
        <w:t>[augstskolas]</w:t>
      </w:r>
      <w:r w:rsidRPr="00161148">
        <w:rPr>
          <w:rFonts w:asciiTheme="majorBidi" w:hAnsiTheme="majorBidi" w:cstheme="majorBidi"/>
          <w:lang w:val="lt-LT"/>
        </w:rPr>
        <w:t xml:space="preserve"> kasācijas sūdzību un </w:t>
      </w:r>
      <w:r w:rsidR="008A2E25" w:rsidRPr="00161148">
        <w:rPr>
          <w:rFonts w:asciiTheme="majorBidi" w:hAnsiTheme="majorBidi" w:cstheme="majorBidi"/>
          <w:lang w:val="lt-LT"/>
        </w:rPr>
        <w:t>[pers. A]</w:t>
      </w:r>
      <w:r w:rsidRPr="00161148">
        <w:rPr>
          <w:rFonts w:asciiTheme="majorBidi" w:hAnsiTheme="majorBidi" w:cstheme="majorBidi"/>
          <w:lang w:val="lt-LT"/>
        </w:rPr>
        <w:t xml:space="preserve"> pretsūdzību par Rīgas apgabaltiesas 2025. gada 13. janvāra spriedumu </w:t>
      </w:r>
      <w:r w:rsidR="008A2E25" w:rsidRPr="00161148">
        <w:rPr>
          <w:rFonts w:asciiTheme="majorBidi" w:hAnsiTheme="majorBidi" w:cstheme="majorBidi"/>
          <w:lang w:val="lt-LT"/>
        </w:rPr>
        <w:t xml:space="preserve">[pers. A] </w:t>
      </w:r>
      <w:r w:rsidRPr="00161148">
        <w:rPr>
          <w:rFonts w:asciiTheme="majorBidi" w:hAnsiTheme="majorBidi" w:cstheme="majorBidi"/>
          <w:lang w:val="lt-LT"/>
        </w:rPr>
        <w:t xml:space="preserve">prasībā pret </w:t>
      </w:r>
      <w:r w:rsidR="008A2E25" w:rsidRPr="00161148">
        <w:rPr>
          <w:rFonts w:asciiTheme="majorBidi" w:hAnsiTheme="majorBidi" w:cstheme="majorBidi"/>
          <w:lang w:val="lt-LT"/>
        </w:rPr>
        <w:t xml:space="preserve">[nosaukums] [augstskolu] </w:t>
      </w:r>
      <w:r w:rsidRPr="00161148">
        <w:rPr>
          <w:rFonts w:asciiTheme="majorBidi" w:hAnsiTheme="majorBidi" w:cstheme="majorBidi"/>
          <w:lang w:val="lt-LT"/>
        </w:rPr>
        <w:t xml:space="preserve">par darba devējas rīkojuma </w:t>
      </w:r>
      <w:r w:rsidR="00994D52" w:rsidRPr="00161148">
        <w:rPr>
          <w:rFonts w:asciiTheme="majorBidi" w:hAnsiTheme="majorBidi" w:cstheme="majorBidi"/>
          <w:lang w:val="lt-LT"/>
        </w:rPr>
        <w:t xml:space="preserve">par atstādināšanu no darba </w:t>
      </w:r>
      <w:r w:rsidRPr="00161148">
        <w:rPr>
          <w:rFonts w:asciiTheme="majorBidi" w:hAnsiTheme="majorBidi" w:cstheme="majorBidi"/>
          <w:lang w:val="lt-LT"/>
        </w:rPr>
        <w:t>un darba līguma uzteikuma atzīšanu par spēkā neesošiem, atjaunošanu darbā un vidējās izpeļņas par darba piespiedu kavējuma laiku piedziņu.</w:t>
      </w:r>
    </w:p>
    <w:p w14:paraId="71A3B637" w14:textId="77777777" w:rsidR="00AA22BC" w:rsidRPr="00161148" w:rsidRDefault="00AA22BC" w:rsidP="00161148">
      <w:pPr>
        <w:pStyle w:val="NoSpacing"/>
        <w:spacing w:line="276" w:lineRule="auto"/>
        <w:rPr>
          <w:rFonts w:asciiTheme="majorBidi" w:hAnsiTheme="majorBidi" w:cstheme="majorBidi"/>
          <w:lang w:val="lv-LV"/>
        </w:rPr>
      </w:pPr>
    </w:p>
    <w:p w14:paraId="12882064" w14:textId="2AE3E31D" w:rsidR="00447EE6" w:rsidRPr="00161148" w:rsidRDefault="00447EE6" w:rsidP="00161148">
      <w:pPr>
        <w:spacing w:line="276" w:lineRule="auto"/>
        <w:jc w:val="center"/>
        <w:rPr>
          <w:rFonts w:asciiTheme="majorBidi" w:hAnsiTheme="majorBidi" w:cstheme="majorBidi"/>
          <w:b/>
          <w:shd w:val="clear" w:color="auto" w:fill="FFFFFF"/>
        </w:rPr>
      </w:pPr>
      <w:r w:rsidRPr="00161148">
        <w:rPr>
          <w:rFonts w:asciiTheme="majorBidi" w:hAnsiTheme="majorBidi" w:cstheme="majorBidi"/>
          <w:b/>
          <w:shd w:val="clear" w:color="auto" w:fill="FFFFFF"/>
        </w:rPr>
        <w:t>Aprakstošā daļa</w:t>
      </w:r>
    </w:p>
    <w:p w14:paraId="038C95E6" w14:textId="77777777" w:rsidR="000A6497" w:rsidRPr="00161148" w:rsidRDefault="000A6497" w:rsidP="00161148">
      <w:pPr>
        <w:spacing w:line="276" w:lineRule="auto"/>
        <w:jc w:val="center"/>
        <w:rPr>
          <w:rFonts w:asciiTheme="majorBidi" w:hAnsiTheme="majorBidi" w:cstheme="majorBidi"/>
          <w:lang w:eastAsia="lv-LV"/>
        </w:rPr>
      </w:pPr>
    </w:p>
    <w:p w14:paraId="28086CDE" w14:textId="7DDB5376" w:rsidR="00EE0FBC" w:rsidRPr="00161148" w:rsidRDefault="00EE0FBC" w:rsidP="00161148">
      <w:pPr>
        <w:pStyle w:val="Style2"/>
        <w:ind w:firstLine="720"/>
        <w:rPr>
          <w:rFonts w:asciiTheme="majorBidi" w:hAnsiTheme="majorBidi" w:cstheme="majorBidi"/>
        </w:rPr>
      </w:pPr>
      <w:r w:rsidRPr="00161148">
        <w:rPr>
          <w:rFonts w:asciiTheme="majorBidi" w:hAnsiTheme="majorBidi" w:cstheme="majorBidi"/>
          <w:lang w:val="lv-LV"/>
        </w:rPr>
        <w:t xml:space="preserve">[1] Ar </w:t>
      </w:r>
      <w:r w:rsidRPr="00161148">
        <w:rPr>
          <w:rFonts w:asciiTheme="majorBidi" w:hAnsiTheme="majorBidi" w:cstheme="majorBidi"/>
        </w:rPr>
        <w:t>Rīgas apgabaltiesas 2025.</w:t>
      </w:r>
      <w:r w:rsidR="0028354C" w:rsidRPr="00161148">
        <w:rPr>
          <w:rFonts w:asciiTheme="majorBidi" w:hAnsiTheme="majorBidi" w:cstheme="majorBidi"/>
        </w:rPr>
        <w:t> </w:t>
      </w:r>
      <w:r w:rsidRPr="00161148">
        <w:rPr>
          <w:rFonts w:asciiTheme="majorBidi" w:hAnsiTheme="majorBidi" w:cstheme="majorBidi"/>
        </w:rPr>
        <w:t>gada 13.</w:t>
      </w:r>
      <w:r w:rsidR="0028354C" w:rsidRPr="00161148">
        <w:rPr>
          <w:rFonts w:asciiTheme="majorBidi" w:hAnsiTheme="majorBidi" w:cstheme="majorBidi"/>
        </w:rPr>
        <w:t> </w:t>
      </w:r>
      <w:r w:rsidRPr="00161148">
        <w:rPr>
          <w:rFonts w:asciiTheme="majorBidi" w:hAnsiTheme="majorBidi" w:cstheme="majorBidi"/>
        </w:rPr>
        <w:t xml:space="preserve">janvāra spriedumu </w:t>
      </w:r>
      <w:r w:rsidR="008A2E25" w:rsidRPr="00161148">
        <w:rPr>
          <w:rFonts w:asciiTheme="majorBidi" w:hAnsiTheme="majorBidi" w:cstheme="majorBidi"/>
        </w:rPr>
        <w:t xml:space="preserve">[pers. A] </w:t>
      </w:r>
      <w:r w:rsidRPr="00161148">
        <w:rPr>
          <w:rFonts w:asciiTheme="majorBidi" w:hAnsiTheme="majorBidi" w:cstheme="majorBidi"/>
        </w:rPr>
        <w:t>prasība apmierināta daļēji. Tiesa nosprieda: atzīt par spēkā neesošu darba līguma uzteikumu un atjaunot prasītāju darbā, piedzenot no atbildētājas prasītāja</w:t>
      </w:r>
      <w:r w:rsidR="0063391E" w:rsidRPr="00161148">
        <w:rPr>
          <w:rFonts w:asciiTheme="majorBidi" w:hAnsiTheme="majorBidi" w:cstheme="majorBidi"/>
        </w:rPr>
        <w:t xml:space="preserve"> labā </w:t>
      </w:r>
      <w:r w:rsidRPr="00161148">
        <w:rPr>
          <w:rFonts w:asciiTheme="majorBidi" w:hAnsiTheme="majorBidi" w:cstheme="majorBidi"/>
        </w:rPr>
        <w:t>vidējo izpeļņu 18 159,09</w:t>
      </w:r>
      <w:r w:rsidRPr="00161148">
        <w:rPr>
          <w:rFonts w:asciiTheme="majorBidi" w:hAnsiTheme="majorBidi" w:cstheme="majorBidi"/>
          <w:i/>
        </w:rPr>
        <w:t xml:space="preserve"> euro </w:t>
      </w:r>
      <w:r w:rsidRPr="00161148">
        <w:rPr>
          <w:rFonts w:asciiTheme="majorBidi" w:hAnsiTheme="majorBidi" w:cstheme="majorBidi"/>
        </w:rPr>
        <w:t>par darba piespiedu kavējuma laiku no 2024. gada 19. aprīļa līdz 2025. gada 13. janvārim; noraidīt prasību daļā par darba devējas rīkojuma par prasītāja atstādināšanu no amata pienākumu pildīšanas atzīšanu par spēkā neesošu un par vidējās izpeļņas 2282,20 </w:t>
      </w:r>
      <w:r w:rsidRPr="00161148">
        <w:rPr>
          <w:rFonts w:asciiTheme="majorBidi" w:hAnsiTheme="majorBidi" w:cstheme="majorBidi"/>
          <w:i/>
        </w:rPr>
        <w:t>euro</w:t>
      </w:r>
      <w:r w:rsidRPr="00161148">
        <w:rPr>
          <w:rFonts w:asciiTheme="majorBidi" w:hAnsiTheme="majorBidi" w:cstheme="majorBidi"/>
        </w:rPr>
        <w:t xml:space="preserve"> par darba piespiedu kavējum</w:t>
      </w:r>
      <w:r w:rsidR="00BC68B5" w:rsidRPr="00161148">
        <w:rPr>
          <w:rFonts w:asciiTheme="majorBidi" w:hAnsiTheme="majorBidi" w:cstheme="majorBidi"/>
        </w:rPr>
        <w:t>u</w:t>
      </w:r>
      <w:r w:rsidRPr="00161148">
        <w:rPr>
          <w:rFonts w:asciiTheme="majorBidi" w:hAnsiTheme="majorBidi" w:cstheme="majorBidi"/>
        </w:rPr>
        <w:t xml:space="preserve"> atstādināšanas laik</w:t>
      </w:r>
      <w:r w:rsidR="00BC68B5" w:rsidRPr="00161148">
        <w:rPr>
          <w:rFonts w:asciiTheme="majorBidi" w:hAnsiTheme="majorBidi" w:cstheme="majorBidi"/>
        </w:rPr>
        <w:t>ā</w:t>
      </w:r>
      <w:r w:rsidRPr="00161148">
        <w:rPr>
          <w:rFonts w:asciiTheme="majorBidi" w:hAnsiTheme="majorBidi" w:cstheme="majorBidi"/>
        </w:rPr>
        <w:t xml:space="preserve"> no 2024. gada 19.</w:t>
      </w:r>
      <w:r w:rsidR="0028354C" w:rsidRPr="00161148">
        <w:rPr>
          <w:rFonts w:asciiTheme="majorBidi" w:hAnsiTheme="majorBidi" w:cstheme="majorBidi"/>
        </w:rPr>
        <w:t> </w:t>
      </w:r>
      <w:r w:rsidRPr="00161148">
        <w:rPr>
          <w:rFonts w:asciiTheme="majorBidi" w:hAnsiTheme="majorBidi" w:cstheme="majorBidi"/>
        </w:rPr>
        <w:t>marta līdz 2024. gada 18. aprīlim piedziņu.</w:t>
      </w:r>
      <w:r w:rsidR="00BC68B5" w:rsidRPr="00161148">
        <w:rPr>
          <w:rFonts w:asciiTheme="majorBidi" w:hAnsiTheme="majorBidi" w:cstheme="majorBidi"/>
        </w:rPr>
        <w:t xml:space="preserve"> Piedzīti tiesāšanās izdevumi.</w:t>
      </w:r>
    </w:p>
    <w:p w14:paraId="54DD4255" w14:textId="77777777" w:rsidR="00C737C4" w:rsidRPr="00161148" w:rsidRDefault="00C737C4" w:rsidP="00161148">
      <w:pPr>
        <w:pStyle w:val="NormalWeb"/>
        <w:shd w:val="clear" w:color="auto" w:fill="FFFFFF"/>
        <w:spacing w:before="0" w:beforeAutospacing="0" w:after="0" w:afterAutospacing="0" w:line="276" w:lineRule="auto"/>
        <w:jc w:val="both"/>
        <w:rPr>
          <w:rFonts w:asciiTheme="majorBidi" w:hAnsiTheme="majorBidi" w:cstheme="majorBidi"/>
          <w:shd w:val="clear" w:color="auto" w:fill="FFFFFF"/>
          <w:lang w:val="lt-LT"/>
        </w:rPr>
      </w:pPr>
    </w:p>
    <w:p w14:paraId="6B58072F" w14:textId="0D1056B6" w:rsidR="00EE0FBC" w:rsidRPr="00161148" w:rsidRDefault="00C737C4" w:rsidP="00161148">
      <w:pPr>
        <w:pStyle w:val="Style2"/>
        <w:ind w:firstLine="720"/>
        <w:rPr>
          <w:rFonts w:asciiTheme="majorBidi" w:hAnsiTheme="majorBidi" w:cstheme="majorBidi"/>
          <w:lang w:val="lv-LV"/>
        </w:rPr>
      </w:pPr>
      <w:r w:rsidRPr="00161148">
        <w:rPr>
          <w:rFonts w:asciiTheme="majorBidi" w:hAnsiTheme="majorBidi" w:cstheme="majorBidi"/>
          <w:shd w:val="clear" w:color="auto" w:fill="FFFFFF"/>
        </w:rPr>
        <w:t xml:space="preserve">[2] </w:t>
      </w:r>
      <w:r w:rsidR="008A2E25" w:rsidRPr="00161148">
        <w:rPr>
          <w:rFonts w:asciiTheme="majorBidi" w:hAnsiTheme="majorBidi" w:cstheme="majorBidi"/>
        </w:rPr>
        <w:t>[</w:t>
      </w:r>
      <w:r w:rsidR="00304D29" w:rsidRPr="00161148">
        <w:rPr>
          <w:rFonts w:asciiTheme="majorBidi" w:hAnsiTheme="majorBidi" w:cstheme="majorBidi"/>
        </w:rPr>
        <w:t>N</w:t>
      </w:r>
      <w:r w:rsidR="008A2E25" w:rsidRPr="00161148">
        <w:rPr>
          <w:rFonts w:asciiTheme="majorBidi" w:hAnsiTheme="majorBidi" w:cstheme="majorBidi"/>
        </w:rPr>
        <w:t xml:space="preserve">osaukums] [augstskola] </w:t>
      </w:r>
      <w:r w:rsidR="00EE0FBC" w:rsidRPr="00161148">
        <w:rPr>
          <w:rFonts w:asciiTheme="majorBidi" w:hAnsiTheme="majorBidi" w:cstheme="majorBidi"/>
          <w:lang w:val="lv-LV"/>
        </w:rPr>
        <w:t>iesniegusi kasācijas sūdzību par minēto spriedumu, pārsūdzot to daļā</w:t>
      </w:r>
      <w:r w:rsidR="0063391E" w:rsidRPr="00161148">
        <w:rPr>
          <w:rFonts w:asciiTheme="majorBidi" w:hAnsiTheme="majorBidi" w:cstheme="majorBidi"/>
          <w:lang w:val="lv-LV"/>
        </w:rPr>
        <w:t>, ar kuru prasība apmierināta</w:t>
      </w:r>
      <w:r w:rsidR="00EE0FBC" w:rsidRPr="00161148">
        <w:rPr>
          <w:rFonts w:asciiTheme="majorBidi" w:hAnsiTheme="majorBidi" w:cstheme="majorBidi"/>
          <w:lang w:val="lv-LV"/>
        </w:rPr>
        <w:t xml:space="preserve">. </w:t>
      </w:r>
      <w:r w:rsidR="00EE0FBC" w:rsidRPr="00161148">
        <w:rPr>
          <w:rFonts w:asciiTheme="majorBidi" w:hAnsiTheme="majorBidi" w:cstheme="majorBidi"/>
          <w:lang w:val="lv-LV"/>
        </w:rPr>
        <w:tab/>
      </w:r>
    </w:p>
    <w:p w14:paraId="525D008E" w14:textId="783A3F4D" w:rsidR="00F82C4E" w:rsidRPr="00161148" w:rsidRDefault="00EE0FBC" w:rsidP="00161148">
      <w:pPr>
        <w:pStyle w:val="Style2"/>
        <w:ind w:firstLine="720"/>
        <w:rPr>
          <w:rFonts w:asciiTheme="majorBidi" w:hAnsiTheme="majorBidi" w:cstheme="majorBidi"/>
        </w:rPr>
      </w:pPr>
      <w:r w:rsidRPr="00161148">
        <w:rPr>
          <w:rFonts w:asciiTheme="majorBidi" w:hAnsiTheme="majorBidi" w:cstheme="majorBidi"/>
          <w:lang w:val="lv-LV"/>
        </w:rPr>
        <w:t xml:space="preserve">Savukārt </w:t>
      </w:r>
      <w:r w:rsidR="008A2E25" w:rsidRPr="00161148">
        <w:rPr>
          <w:rFonts w:asciiTheme="majorBidi" w:hAnsiTheme="majorBidi" w:cstheme="majorBidi"/>
        </w:rPr>
        <w:t xml:space="preserve">[pers. A] </w:t>
      </w:r>
      <w:r w:rsidRPr="00161148">
        <w:rPr>
          <w:rFonts w:asciiTheme="majorBidi" w:hAnsiTheme="majorBidi" w:cstheme="majorBidi"/>
        </w:rPr>
        <w:t>iesniedzis pretsūdzību, pārsūdzot spriedumu daļā, ar kuru prasība noraidīta.</w:t>
      </w:r>
    </w:p>
    <w:p w14:paraId="22C80D35" w14:textId="77777777" w:rsidR="00AA22BC" w:rsidRPr="00161148" w:rsidRDefault="00AA22BC" w:rsidP="00161148">
      <w:pPr>
        <w:pStyle w:val="NoSpacing"/>
        <w:spacing w:line="276" w:lineRule="auto"/>
        <w:rPr>
          <w:rFonts w:asciiTheme="majorBidi" w:hAnsiTheme="majorBidi" w:cstheme="majorBidi"/>
          <w:lang w:val="lv-LV"/>
        </w:rPr>
      </w:pPr>
    </w:p>
    <w:p w14:paraId="5D0B6BB0" w14:textId="1A2F2A16" w:rsidR="0020038E" w:rsidRPr="00161148" w:rsidRDefault="0028354C" w:rsidP="00161148">
      <w:pPr>
        <w:shd w:val="clear" w:color="auto" w:fill="FFFFFF"/>
        <w:spacing w:line="276" w:lineRule="auto"/>
        <w:jc w:val="center"/>
        <w:rPr>
          <w:rFonts w:asciiTheme="majorBidi" w:hAnsiTheme="majorBidi" w:cstheme="majorBidi"/>
          <w:b/>
          <w:lang w:val="lt-LT"/>
        </w:rPr>
      </w:pPr>
      <w:r w:rsidRPr="00161148">
        <w:rPr>
          <w:rFonts w:asciiTheme="majorBidi" w:hAnsiTheme="majorBidi" w:cstheme="majorBidi"/>
          <w:b/>
          <w:lang w:val="lt-LT"/>
        </w:rPr>
        <w:t>Motīvu daļa</w:t>
      </w:r>
    </w:p>
    <w:p w14:paraId="6321CD1A" w14:textId="77777777" w:rsidR="009010FE" w:rsidRPr="00161148" w:rsidRDefault="009010FE" w:rsidP="00161148">
      <w:pPr>
        <w:shd w:val="clear" w:color="auto" w:fill="FFFFFF"/>
        <w:spacing w:line="276" w:lineRule="auto"/>
        <w:jc w:val="center"/>
        <w:rPr>
          <w:rFonts w:asciiTheme="majorBidi" w:hAnsiTheme="majorBidi" w:cstheme="majorBidi"/>
          <w:b/>
          <w:lang w:val="lt-LT"/>
        </w:rPr>
      </w:pPr>
    </w:p>
    <w:p w14:paraId="0BF49A56" w14:textId="2A6AF74D" w:rsidR="0028354C" w:rsidRPr="00161148" w:rsidRDefault="0028354C" w:rsidP="00161148">
      <w:pPr>
        <w:spacing w:line="276" w:lineRule="auto"/>
        <w:ind w:firstLine="720"/>
        <w:jc w:val="both"/>
        <w:rPr>
          <w:rFonts w:asciiTheme="majorBidi" w:hAnsiTheme="majorBidi" w:cstheme="majorBidi"/>
          <w:lang w:val="lt-LT"/>
        </w:rPr>
      </w:pPr>
      <w:r w:rsidRPr="00161148">
        <w:rPr>
          <w:rFonts w:asciiTheme="majorBidi" w:hAnsiTheme="majorBidi" w:cstheme="majorBidi"/>
          <w:lang w:val="lt-LT"/>
        </w:rPr>
        <w:lastRenderedPageBreak/>
        <w:t>[3] </w:t>
      </w:r>
      <w:r w:rsidR="00930B84" w:rsidRPr="00161148">
        <w:rPr>
          <w:rFonts w:asciiTheme="majorBidi" w:hAnsiTheme="majorBidi" w:cstheme="majorBidi"/>
          <w:lang w:val="lt-LT"/>
        </w:rPr>
        <w:t>Senatoru kolēģija konstatēja, ka</w:t>
      </w:r>
      <w:r w:rsidR="009F4D7F" w:rsidRPr="00161148">
        <w:rPr>
          <w:rFonts w:asciiTheme="majorBidi" w:hAnsiTheme="majorBidi" w:cstheme="majorBidi"/>
          <w:lang w:val="lt-LT"/>
        </w:rPr>
        <w:t>,</w:t>
      </w:r>
      <w:r w:rsidR="00930B84" w:rsidRPr="00161148">
        <w:rPr>
          <w:rFonts w:asciiTheme="majorBidi" w:hAnsiTheme="majorBidi" w:cstheme="majorBidi"/>
          <w:lang w:val="lt-LT"/>
        </w:rPr>
        <w:t xml:space="preserve"> lai gan </w:t>
      </w:r>
      <w:r w:rsidRPr="00161148">
        <w:rPr>
          <w:rFonts w:asciiTheme="majorBidi" w:hAnsiTheme="majorBidi" w:cstheme="majorBidi"/>
          <w:lang w:val="lt-LT"/>
        </w:rPr>
        <w:t>kasācijas sūdzība un pretsūdzība formāli atbilst Civilprocesa likuma 450.</w:t>
      </w:r>
      <w:r w:rsidR="000A696D" w:rsidRPr="00161148">
        <w:rPr>
          <w:rFonts w:asciiTheme="majorBidi" w:hAnsiTheme="majorBidi" w:cstheme="majorBidi"/>
        </w:rPr>
        <w:t>–</w:t>
      </w:r>
      <w:r w:rsidRPr="00161148">
        <w:rPr>
          <w:rFonts w:asciiTheme="majorBidi" w:hAnsiTheme="majorBidi" w:cstheme="majorBidi"/>
          <w:lang w:val="lt-LT"/>
        </w:rPr>
        <w:t>454.</w:t>
      </w:r>
      <w:r w:rsidR="000A696D" w:rsidRPr="00161148">
        <w:rPr>
          <w:rFonts w:asciiTheme="majorBidi" w:hAnsiTheme="majorBidi" w:cstheme="majorBidi"/>
          <w:lang w:val="lt-LT"/>
        </w:rPr>
        <w:t> </w:t>
      </w:r>
      <w:r w:rsidRPr="00161148">
        <w:rPr>
          <w:rFonts w:asciiTheme="majorBidi" w:hAnsiTheme="majorBidi" w:cstheme="majorBidi"/>
          <w:lang w:val="lt-LT"/>
        </w:rPr>
        <w:t xml:space="preserve">panta prasībām, </w:t>
      </w:r>
      <w:r w:rsidR="00930B84" w:rsidRPr="00161148">
        <w:rPr>
          <w:rFonts w:asciiTheme="majorBidi" w:hAnsiTheme="majorBidi" w:cstheme="majorBidi"/>
          <w:lang w:val="lt-LT"/>
        </w:rPr>
        <w:t>tomēr ir Civilprocesa likuma 464.</w:t>
      </w:r>
      <w:r w:rsidR="00930B84" w:rsidRPr="00161148">
        <w:rPr>
          <w:rFonts w:asciiTheme="majorBidi" w:hAnsiTheme="majorBidi" w:cstheme="majorBidi"/>
          <w:vertAlign w:val="superscript"/>
          <w:lang w:val="lt-LT"/>
        </w:rPr>
        <w:t xml:space="preserve">1  </w:t>
      </w:r>
      <w:r w:rsidR="00930B84" w:rsidRPr="00161148">
        <w:rPr>
          <w:rFonts w:asciiTheme="majorBidi" w:hAnsiTheme="majorBidi" w:cstheme="majorBidi"/>
          <w:lang w:val="lt-LT"/>
        </w:rPr>
        <w:t xml:space="preserve">panta otrās daļas 2. punktā norādītais pamats </w:t>
      </w:r>
      <w:r w:rsidRPr="00161148">
        <w:rPr>
          <w:rFonts w:asciiTheme="majorBidi" w:hAnsiTheme="majorBidi" w:cstheme="majorBidi"/>
          <w:lang w:val="lt-LT"/>
        </w:rPr>
        <w:t>atteikumam ierosināt kasācijas tiesvedību lietā.</w:t>
      </w:r>
    </w:p>
    <w:p w14:paraId="39523FB4" w14:textId="3BAA81C4" w:rsidR="00930B84" w:rsidRPr="00161148" w:rsidRDefault="00930B84" w:rsidP="00161148">
      <w:pPr>
        <w:pStyle w:val="NoSpacing"/>
        <w:spacing w:line="276" w:lineRule="auto"/>
        <w:ind w:firstLine="709"/>
        <w:jc w:val="both"/>
        <w:rPr>
          <w:rFonts w:asciiTheme="majorBidi" w:hAnsiTheme="majorBidi" w:cstheme="majorBidi"/>
          <w:lang w:val="lt-LT"/>
        </w:rPr>
      </w:pPr>
      <w:r w:rsidRPr="00161148">
        <w:rPr>
          <w:rFonts w:asciiTheme="majorBidi" w:hAnsiTheme="majorBidi" w:cstheme="majorBidi"/>
          <w:lang w:val="lt-LT"/>
        </w:rPr>
        <w:t>Izvērtējot kasācijas sūdzībā un pretsūdzībā minētos argumentus, senatoru kolēģijai nav acīmredzama pamata uzskatīt, ka pārsūdzētajā spriedumā ietvertais lietas iznākums ir nepareizs. Izskatāmajai lietai nav būtiskas nozīmes vienotas tiesu prakses nodrošināšanā vai tiesību tālākveidošanā.</w:t>
      </w:r>
    </w:p>
    <w:p w14:paraId="382DE7B4" w14:textId="77777777" w:rsidR="00930B84" w:rsidRPr="00161148" w:rsidRDefault="00930B84" w:rsidP="00161148">
      <w:pPr>
        <w:pStyle w:val="NoSpacing"/>
        <w:spacing w:line="276" w:lineRule="auto"/>
        <w:ind w:firstLine="709"/>
        <w:jc w:val="both"/>
        <w:rPr>
          <w:rFonts w:asciiTheme="majorBidi" w:hAnsiTheme="majorBidi" w:cstheme="majorBidi"/>
          <w:lang w:val="lt-LT"/>
        </w:rPr>
      </w:pPr>
    </w:p>
    <w:p w14:paraId="4B4CD577" w14:textId="60A737D6" w:rsidR="00030706" w:rsidRPr="00161148" w:rsidRDefault="00930B84" w:rsidP="00161148">
      <w:pPr>
        <w:pStyle w:val="NoSpacing"/>
        <w:spacing w:line="276" w:lineRule="auto"/>
        <w:ind w:firstLine="709"/>
        <w:jc w:val="both"/>
        <w:rPr>
          <w:rFonts w:asciiTheme="majorBidi" w:hAnsiTheme="majorBidi" w:cstheme="majorBidi"/>
          <w:lang w:val="lt-LT"/>
        </w:rPr>
      </w:pPr>
      <w:r w:rsidRPr="00161148">
        <w:rPr>
          <w:rFonts w:asciiTheme="majorBidi" w:hAnsiTheme="majorBidi" w:cstheme="majorBidi"/>
          <w:lang w:val="lt-LT"/>
        </w:rPr>
        <w:t>[</w:t>
      </w:r>
      <w:r w:rsidR="004828D8" w:rsidRPr="00161148">
        <w:rPr>
          <w:rFonts w:asciiTheme="majorBidi" w:hAnsiTheme="majorBidi" w:cstheme="majorBidi"/>
          <w:lang w:val="lt-LT"/>
        </w:rPr>
        <w:t>4</w:t>
      </w:r>
      <w:r w:rsidRPr="00161148">
        <w:rPr>
          <w:rFonts w:asciiTheme="majorBidi" w:hAnsiTheme="majorBidi" w:cstheme="majorBidi"/>
          <w:lang w:val="lt-LT"/>
        </w:rPr>
        <w:t>]</w:t>
      </w:r>
      <w:r w:rsidR="004616BC" w:rsidRPr="00161148">
        <w:rPr>
          <w:rFonts w:asciiTheme="majorBidi" w:hAnsiTheme="majorBidi" w:cstheme="majorBidi"/>
          <w:lang w:val="lt-LT"/>
        </w:rPr>
        <w:t> </w:t>
      </w:r>
      <w:r w:rsidR="001167C1" w:rsidRPr="00161148">
        <w:rPr>
          <w:rFonts w:asciiTheme="majorBidi" w:hAnsiTheme="majorBidi" w:cstheme="majorBidi"/>
          <w:lang w:val="lt-LT"/>
        </w:rPr>
        <w:t xml:space="preserve">Papildus </w:t>
      </w:r>
      <w:r w:rsidRPr="00161148">
        <w:rPr>
          <w:rFonts w:asciiTheme="majorBidi" w:hAnsiTheme="majorBidi" w:cstheme="majorBidi"/>
          <w:lang w:val="lt-LT"/>
        </w:rPr>
        <w:t>senatoru kolēģija uzskata par nepieciešamu norādīt turp</w:t>
      </w:r>
      <w:r w:rsidR="001B5010" w:rsidRPr="00161148">
        <w:rPr>
          <w:rFonts w:asciiTheme="majorBidi" w:hAnsiTheme="majorBidi" w:cstheme="majorBidi"/>
          <w:lang w:val="lt-LT"/>
        </w:rPr>
        <w:t>m</w:t>
      </w:r>
      <w:r w:rsidRPr="00161148">
        <w:rPr>
          <w:rFonts w:asciiTheme="majorBidi" w:hAnsiTheme="majorBidi" w:cstheme="majorBidi"/>
          <w:lang w:val="lt-LT"/>
        </w:rPr>
        <w:t>āk minēto.</w:t>
      </w:r>
    </w:p>
    <w:p w14:paraId="1B3C686F" w14:textId="028C11E0" w:rsidR="0063391E" w:rsidRPr="00161148" w:rsidRDefault="00930B84" w:rsidP="00161148">
      <w:pPr>
        <w:pStyle w:val="NoSpacing"/>
        <w:spacing w:line="276" w:lineRule="auto"/>
        <w:ind w:firstLine="709"/>
        <w:jc w:val="both"/>
        <w:rPr>
          <w:rFonts w:asciiTheme="majorBidi" w:hAnsiTheme="majorBidi" w:cstheme="majorBidi"/>
          <w:szCs w:val="24"/>
          <w:lang w:val="lt-LT" w:eastAsia="lv-LV"/>
        </w:rPr>
      </w:pPr>
      <w:r w:rsidRPr="00161148">
        <w:rPr>
          <w:rFonts w:asciiTheme="majorBidi" w:hAnsiTheme="majorBidi" w:cstheme="majorBidi"/>
          <w:lang w:val="lt-LT"/>
        </w:rPr>
        <w:t>[</w:t>
      </w:r>
      <w:r w:rsidR="004828D8" w:rsidRPr="00161148">
        <w:rPr>
          <w:rFonts w:asciiTheme="majorBidi" w:hAnsiTheme="majorBidi" w:cstheme="majorBidi"/>
          <w:lang w:val="lt-LT"/>
        </w:rPr>
        <w:t>4.1</w:t>
      </w:r>
      <w:r w:rsidRPr="00161148">
        <w:rPr>
          <w:rFonts w:asciiTheme="majorBidi" w:hAnsiTheme="majorBidi" w:cstheme="majorBidi"/>
          <w:lang w:val="lt-LT"/>
        </w:rPr>
        <w:t>]</w:t>
      </w:r>
      <w:r w:rsidR="003B4A22" w:rsidRPr="00161148">
        <w:rPr>
          <w:rFonts w:asciiTheme="majorBidi" w:hAnsiTheme="majorBidi" w:cstheme="majorBidi"/>
          <w:lang w:val="lt-LT"/>
        </w:rPr>
        <w:t xml:space="preserve"> </w:t>
      </w:r>
      <w:r w:rsidR="0063391E" w:rsidRPr="00161148">
        <w:rPr>
          <w:rFonts w:asciiTheme="majorBidi" w:hAnsiTheme="majorBidi" w:cstheme="majorBidi"/>
          <w:lang w:val="lt-LT"/>
        </w:rPr>
        <w:t xml:space="preserve">Nav pamatoti kasācijas sūdzībā paustie uzskati par </w:t>
      </w:r>
      <w:bookmarkStart w:id="0" w:name="_Hlk218684288"/>
      <w:r w:rsidR="0063391E" w:rsidRPr="00161148">
        <w:rPr>
          <w:rFonts w:asciiTheme="majorBidi" w:hAnsiTheme="majorBidi" w:cstheme="majorBidi"/>
          <w:lang w:val="lt-LT"/>
        </w:rPr>
        <w:t xml:space="preserve">Augstskolu likuma 10. un 26. panta, Izglītības likuma 2. un 30. panta, Darba likuma </w:t>
      </w:r>
      <w:r w:rsidR="0063391E" w:rsidRPr="00161148">
        <w:rPr>
          <w:rFonts w:asciiTheme="majorBidi" w:hAnsiTheme="majorBidi" w:cstheme="majorBidi"/>
          <w:szCs w:val="24"/>
          <w:lang w:val="lt-LT" w:eastAsia="lv-LV"/>
        </w:rPr>
        <w:t xml:space="preserve">101. panta pirmās daļas 3. punkta </w:t>
      </w:r>
      <w:bookmarkEnd w:id="0"/>
      <w:r w:rsidR="0063391E" w:rsidRPr="00161148">
        <w:rPr>
          <w:rFonts w:asciiTheme="majorBidi" w:hAnsiTheme="majorBidi" w:cstheme="majorBidi"/>
          <w:szCs w:val="24"/>
          <w:lang w:val="lt-LT" w:eastAsia="lv-LV"/>
        </w:rPr>
        <w:t xml:space="preserve">nepareizu iztulkošanu saistībā ar uzteikumā vispārīgi norādītajiem pārkāpumiem (prasītāja kā </w:t>
      </w:r>
      <w:r w:rsidR="008A2E25" w:rsidRPr="00161148">
        <w:rPr>
          <w:rFonts w:asciiTheme="majorBidi" w:hAnsiTheme="majorBidi" w:cstheme="majorBidi"/>
          <w:szCs w:val="24"/>
          <w:lang w:val="lt-LT" w:eastAsia="lv-LV"/>
        </w:rPr>
        <w:t>[amats]</w:t>
      </w:r>
      <w:r w:rsidR="0063391E" w:rsidRPr="00161148">
        <w:rPr>
          <w:rFonts w:asciiTheme="majorBidi" w:hAnsiTheme="majorBidi" w:cstheme="majorBidi"/>
          <w:szCs w:val="24"/>
          <w:lang w:val="lt-LT" w:eastAsia="lv-LV"/>
        </w:rPr>
        <w:t xml:space="preserve"> ilgstošu privāta rakstura saraksti ar vairākām studentēm, kas bija neētiska, vērsta uz flirtu, ar aicinājumiem studentēm kopīgi lietot alkoholu).</w:t>
      </w:r>
    </w:p>
    <w:p w14:paraId="7203177F" w14:textId="035BA89B" w:rsidR="00973401" w:rsidRPr="00161148" w:rsidRDefault="0063391E" w:rsidP="00161148">
      <w:pPr>
        <w:pStyle w:val="NoSpacing"/>
        <w:spacing w:line="276" w:lineRule="auto"/>
        <w:ind w:firstLine="709"/>
        <w:jc w:val="both"/>
        <w:rPr>
          <w:rFonts w:asciiTheme="majorBidi" w:hAnsiTheme="majorBidi" w:cstheme="majorBidi"/>
          <w:szCs w:val="24"/>
          <w:lang w:val="lt-LT" w:eastAsia="lv-LV"/>
        </w:rPr>
      </w:pPr>
      <w:r w:rsidRPr="00161148">
        <w:rPr>
          <w:rFonts w:asciiTheme="majorBidi" w:hAnsiTheme="majorBidi" w:cstheme="majorBidi"/>
          <w:szCs w:val="24"/>
          <w:lang w:val="lt-LT" w:eastAsia="lv-LV"/>
        </w:rPr>
        <w:t>[4.1.1]</w:t>
      </w:r>
      <w:r w:rsidR="00AA22BC" w:rsidRPr="00161148">
        <w:rPr>
          <w:rFonts w:asciiTheme="majorBidi" w:hAnsiTheme="majorBidi" w:cstheme="majorBidi"/>
          <w:szCs w:val="24"/>
          <w:lang w:val="lt-LT" w:eastAsia="lv-LV"/>
        </w:rPr>
        <w:t> </w:t>
      </w:r>
      <w:r w:rsidRPr="00161148">
        <w:rPr>
          <w:rFonts w:asciiTheme="majorBidi" w:hAnsiTheme="majorBidi" w:cstheme="majorBidi"/>
          <w:szCs w:val="24"/>
          <w:lang w:val="lt-LT" w:eastAsia="lv-LV"/>
        </w:rPr>
        <w:t>Likumdevējs Darba likuma 101. panta pirmajā daļā ir uzskaitījis un norobežojis vairākus darba līguma uzteikuma pamatus, kas attiecināmi uz pārkāpumu izdarīšanu saistībā ar darba pienākumu pildīšanu (sk. 101. panta pirmās daļas 1. – 5. p</w:t>
      </w:r>
      <w:r w:rsidR="00AA22BC" w:rsidRPr="00161148">
        <w:rPr>
          <w:rFonts w:asciiTheme="majorBidi" w:hAnsiTheme="majorBidi" w:cstheme="majorBidi"/>
          <w:szCs w:val="24"/>
          <w:lang w:val="lt-LT" w:eastAsia="lv-LV"/>
        </w:rPr>
        <w:t>unktu</w:t>
      </w:r>
      <w:r w:rsidRPr="00161148">
        <w:rPr>
          <w:rFonts w:asciiTheme="majorBidi" w:hAnsiTheme="majorBidi" w:cstheme="majorBidi"/>
          <w:szCs w:val="24"/>
          <w:lang w:val="lt-LT" w:eastAsia="lv-LV"/>
        </w:rPr>
        <w:t>)</w:t>
      </w:r>
      <w:r w:rsidR="00973401" w:rsidRPr="00161148">
        <w:rPr>
          <w:rFonts w:asciiTheme="majorBidi" w:hAnsiTheme="majorBidi" w:cstheme="majorBidi"/>
          <w:szCs w:val="24"/>
          <w:lang w:val="lt-LT" w:eastAsia="lv-LV"/>
        </w:rPr>
        <w:t>, kā arī paredzējis iespēju darba devējam tiesības celt prasību tiesā par darba tiesisko attiecību izbeigšanu gadījumos, kas nav minēti Darba likuma 101. panta pirmajā daļā.</w:t>
      </w:r>
      <w:r w:rsidR="001167C1" w:rsidRPr="00161148">
        <w:rPr>
          <w:rFonts w:asciiTheme="majorBidi" w:hAnsiTheme="majorBidi" w:cstheme="majorBidi"/>
          <w:szCs w:val="24"/>
          <w:lang w:val="lt-LT" w:eastAsia="lv-LV"/>
        </w:rPr>
        <w:t xml:space="preserve"> </w:t>
      </w:r>
      <w:r w:rsidRPr="00161148">
        <w:rPr>
          <w:rFonts w:asciiTheme="majorBidi" w:hAnsiTheme="majorBidi" w:cstheme="majorBidi"/>
          <w:szCs w:val="24"/>
          <w:lang w:val="lt-LT" w:eastAsia="lv-LV"/>
        </w:rPr>
        <w:t>Ievērojot dispozitivitātes principu, darba devējam ir tiesības izvēlēties t</w:t>
      </w:r>
      <w:r w:rsidR="00686327" w:rsidRPr="00161148">
        <w:rPr>
          <w:rFonts w:asciiTheme="majorBidi" w:hAnsiTheme="majorBidi" w:cstheme="majorBidi"/>
          <w:szCs w:val="24"/>
          <w:lang w:val="lt-LT" w:eastAsia="lv-LV"/>
        </w:rPr>
        <w:t xml:space="preserve">o </w:t>
      </w:r>
      <w:r w:rsidRPr="00161148">
        <w:rPr>
          <w:rFonts w:asciiTheme="majorBidi" w:hAnsiTheme="majorBidi" w:cstheme="majorBidi"/>
          <w:szCs w:val="24"/>
          <w:lang w:val="lt-LT" w:eastAsia="lv-LV"/>
        </w:rPr>
        <w:t>Darba likuma 101.</w:t>
      </w:r>
      <w:r w:rsidR="00973401" w:rsidRPr="00161148">
        <w:rPr>
          <w:rFonts w:asciiTheme="majorBidi" w:hAnsiTheme="majorBidi" w:cstheme="majorBidi"/>
          <w:szCs w:val="24"/>
          <w:lang w:val="lt-LT" w:eastAsia="lv-LV"/>
        </w:rPr>
        <w:t> p</w:t>
      </w:r>
      <w:r w:rsidRPr="00161148">
        <w:rPr>
          <w:rFonts w:asciiTheme="majorBidi" w:hAnsiTheme="majorBidi" w:cstheme="majorBidi"/>
          <w:szCs w:val="24"/>
          <w:lang w:val="lt-LT" w:eastAsia="lv-LV"/>
        </w:rPr>
        <w:t>ant</w:t>
      </w:r>
      <w:r w:rsidR="00973401" w:rsidRPr="00161148">
        <w:rPr>
          <w:rFonts w:asciiTheme="majorBidi" w:hAnsiTheme="majorBidi" w:cstheme="majorBidi"/>
          <w:szCs w:val="24"/>
          <w:lang w:val="lt-LT" w:eastAsia="lv-LV"/>
        </w:rPr>
        <w:t>ā paredzēto</w:t>
      </w:r>
      <w:r w:rsidR="00686327" w:rsidRPr="00161148">
        <w:rPr>
          <w:rFonts w:asciiTheme="majorBidi" w:hAnsiTheme="majorBidi" w:cstheme="majorBidi"/>
          <w:szCs w:val="24"/>
          <w:lang w:val="lt-LT" w:eastAsia="lv-LV"/>
        </w:rPr>
        <w:t xml:space="preserve"> tiesības izlietošanas veidu </w:t>
      </w:r>
      <w:r w:rsidR="00973401" w:rsidRPr="00161148">
        <w:rPr>
          <w:rFonts w:asciiTheme="majorBidi" w:hAnsiTheme="majorBidi" w:cstheme="majorBidi"/>
          <w:szCs w:val="24"/>
          <w:lang w:val="lt-LT" w:eastAsia="lv-LV"/>
        </w:rPr>
        <w:t>(uzteikuma izteikšana vai prasības celšana)</w:t>
      </w:r>
      <w:r w:rsidRPr="00161148">
        <w:rPr>
          <w:rFonts w:asciiTheme="majorBidi" w:hAnsiTheme="majorBidi" w:cstheme="majorBidi"/>
          <w:szCs w:val="24"/>
          <w:lang w:val="lt-LT" w:eastAsia="lv-LV"/>
        </w:rPr>
        <w:t>, kurš atbilst konstatētajiem faktiskajiem apstākļiem.</w:t>
      </w:r>
    </w:p>
    <w:p w14:paraId="5663D689" w14:textId="5A226CDC" w:rsidR="001167C1" w:rsidRPr="00161148" w:rsidRDefault="001167C1" w:rsidP="00161148">
      <w:pPr>
        <w:pStyle w:val="NoSpacing"/>
        <w:spacing w:line="276" w:lineRule="auto"/>
        <w:ind w:firstLine="709"/>
        <w:jc w:val="both"/>
        <w:rPr>
          <w:rFonts w:asciiTheme="majorBidi" w:hAnsiTheme="majorBidi" w:cstheme="majorBidi"/>
          <w:szCs w:val="24"/>
          <w:lang w:val="lt-LT" w:eastAsia="lv-LV"/>
        </w:rPr>
      </w:pPr>
      <w:r w:rsidRPr="00161148">
        <w:rPr>
          <w:rFonts w:asciiTheme="majorBidi" w:hAnsiTheme="majorBidi" w:cstheme="majorBidi"/>
          <w:szCs w:val="24"/>
          <w:lang w:val="lt-LT" w:eastAsia="lv-LV"/>
        </w:rPr>
        <w:t>[4.1.2]</w:t>
      </w:r>
      <w:r w:rsidR="00AA22BC" w:rsidRPr="00161148">
        <w:rPr>
          <w:rFonts w:asciiTheme="majorBidi" w:hAnsiTheme="majorBidi" w:cstheme="majorBidi"/>
          <w:szCs w:val="24"/>
          <w:lang w:val="lt-LT" w:eastAsia="lv-LV"/>
        </w:rPr>
        <w:t> </w:t>
      </w:r>
      <w:r w:rsidRPr="00161148">
        <w:rPr>
          <w:rFonts w:asciiTheme="majorBidi" w:hAnsiTheme="majorBidi" w:cstheme="majorBidi"/>
          <w:szCs w:val="24"/>
          <w:lang w:val="lt-LT" w:eastAsia="lv-LV"/>
        </w:rPr>
        <w:t xml:space="preserve">Vienlaikus </w:t>
      </w:r>
      <w:r w:rsidR="00973401" w:rsidRPr="00161148">
        <w:rPr>
          <w:rFonts w:asciiTheme="majorBidi" w:hAnsiTheme="majorBidi" w:cstheme="majorBidi"/>
          <w:szCs w:val="24"/>
          <w:lang w:val="lt-LT" w:eastAsia="lv-LV"/>
        </w:rPr>
        <w:t>jāņem vērā, ka civiltiesībās, tostarp darba tiesībās, ir noteikti prekluzīvi termiņi</w:t>
      </w:r>
      <w:r w:rsidR="00686327" w:rsidRPr="00161148">
        <w:rPr>
          <w:rFonts w:asciiTheme="majorBidi" w:hAnsiTheme="majorBidi" w:cstheme="majorBidi"/>
          <w:szCs w:val="24"/>
          <w:lang w:val="lt-LT" w:eastAsia="lv-LV"/>
        </w:rPr>
        <w:t>, kuros attiecīgā tiesība jāizlieto</w:t>
      </w:r>
      <w:r w:rsidRPr="00161148">
        <w:rPr>
          <w:rFonts w:asciiTheme="majorBidi" w:hAnsiTheme="majorBidi" w:cstheme="majorBidi"/>
          <w:szCs w:val="24"/>
          <w:lang w:val="lt-LT" w:eastAsia="lv-LV"/>
        </w:rPr>
        <w:t>.</w:t>
      </w:r>
    </w:p>
    <w:p w14:paraId="77320840" w14:textId="127C734B" w:rsidR="001167C1" w:rsidRPr="00161148" w:rsidRDefault="001167C1" w:rsidP="00161148">
      <w:pPr>
        <w:spacing w:line="276" w:lineRule="auto"/>
        <w:ind w:firstLine="709"/>
        <w:jc w:val="both"/>
        <w:rPr>
          <w:rFonts w:asciiTheme="majorBidi" w:hAnsiTheme="majorBidi" w:cstheme="majorBidi"/>
          <w:color w:val="000000" w:themeColor="text1"/>
        </w:rPr>
      </w:pPr>
      <w:r w:rsidRPr="00161148">
        <w:rPr>
          <w:rFonts w:asciiTheme="majorBidi" w:hAnsiTheme="majorBidi" w:cstheme="majorBidi"/>
          <w:color w:val="000000" w:themeColor="text1"/>
        </w:rPr>
        <w:t xml:space="preserve">Saskaņā ar judikatūrā atzīto, tiesību normu, kurās noteikti </w:t>
      </w:r>
      <w:r w:rsidRPr="00161148">
        <w:rPr>
          <w:rFonts w:asciiTheme="majorBidi" w:hAnsiTheme="majorBidi" w:cstheme="majorBidi"/>
          <w:color w:val="000000" w:themeColor="text1"/>
          <w:lang w:val="lt-LT"/>
        </w:rPr>
        <w:t>prekluzīvi</w:t>
      </w:r>
      <w:r w:rsidRPr="00161148">
        <w:rPr>
          <w:rFonts w:asciiTheme="majorBidi" w:hAnsiTheme="majorBidi" w:cstheme="majorBidi"/>
          <w:color w:val="000000" w:themeColor="text1"/>
        </w:rPr>
        <w:t xml:space="preserve"> termiņi, mērķis ir pēc iespējas ātrāk nodrošināt tiesisko noteiktību un tiesisko stabilitāti, kas būtu apdraudēta, ja attiecīgās subjektīvās tiesības neizbeigtos, tās neizlietojot iepriekš noteiktā laika posmā (sal. </w:t>
      </w:r>
      <w:r w:rsidRPr="00161148">
        <w:rPr>
          <w:rFonts w:asciiTheme="majorBidi" w:hAnsiTheme="majorBidi" w:cstheme="majorBidi"/>
          <w:i/>
          <w:iCs/>
          <w:color w:val="000000" w:themeColor="text1"/>
        </w:rPr>
        <w:t xml:space="preserve">Senāta </w:t>
      </w:r>
      <w:bookmarkStart w:id="1" w:name="_Hlk218684441"/>
      <w:r w:rsidRPr="00161148">
        <w:rPr>
          <w:rFonts w:asciiTheme="majorBidi" w:hAnsiTheme="majorBidi" w:cstheme="majorBidi"/>
          <w:i/>
          <w:iCs/>
          <w:color w:val="000000" w:themeColor="text1"/>
        </w:rPr>
        <w:t>2016. gada 21. jūnija sprieduma lietā Nr. </w:t>
      </w:r>
      <w:hyperlink r:id="rId9" w:history="1">
        <w:r w:rsidRPr="00161148">
          <w:rPr>
            <w:rStyle w:val="Hyperlink"/>
            <w:rFonts w:asciiTheme="majorBidi" w:hAnsiTheme="majorBidi" w:cstheme="majorBidi"/>
            <w:i/>
            <w:iCs/>
          </w:rPr>
          <w:t>SKC-177/2016</w:t>
        </w:r>
      </w:hyperlink>
      <w:r w:rsidRPr="00161148">
        <w:rPr>
          <w:rFonts w:asciiTheme="majorBidi" w:hAnsiTheme="majorBidi" w:cstheme="majorBidi"/>
          <w:i/>
          <w:iCs/>
          <w:color w:val="000000" w:themeColor="text1"/>
        </w:rPr>
        <w:t>, C20431812</w:t>
      </w:r>
      <w:bookmarkEnd w:id="1"/>
      <w:r w:rsidRPr="00161148">
        <w:rPr>
          <w:rFonts w:asciiTheme="majorBidi" w:hAnsiTheme="majorBidi" w:cstheme="majorBidi"/>
          <w:i/>
          <w:iCs/>
          <w:color w:val="000000" w:themeColor="text1"/>
        </w:rPr>
        <w:t>, 7. punkt</w:t>
      </w:r>
      <w:r w:rsidR="000A696D" w:rsidRPr="00161148">
        <w:rPr>
          <w:rFonts w:asciiTheme="majorBidi" w:hAnsiTheme="majorBidi" w:cstheme="majorBidi"/>
          <w:i/>
          <w:iCs/>
          <w:color w:val="000000" w:themeColor="text1"/>
        </w:rPr>
        <w:t>s</w:t>
      </w:r>
      <w:r w:rsidRPr="00161148">
        <w:rPr>
          <w:rFonts w:asciiTheme="majorBidi" w:hAnsiTheme="majorBidi" w:cstheme="majorBidi"/>
          <w:i/>
          <w:iCs/>
          <w:color w:val="000000" w:themeColor="text1"/>
        </w:rPr>
        <w:t xml:space="preserve">, </w:t>
      </w:r>
      <w:bookmarkStart w:id="2" w:name="_Hlk218684512"/>
      <w:r w:rsidRPr="00161148">
        <w:rPr>
          <w:rFonts w:asciiTheme="majorBidi" w:hAnsiTheme="majorBidi" w:cstheme="majorBidi"/>
          <w:i/>
          <w:iCs/>
          <w:color w:val="000000" w:themeColor="text1"/>
        </w:rPr>
        <w:t xml:space="preserve">2024. gada 17. jūnija rīcības sēdes lēmuma lietā Nr. SKC-410/2024, </w:t>
      </w:r>
      <w:hyperlink r:id="rId10" w:history="1">
        <w:r w:rsidRPr="00161148">
          <w:rPr>
            <w:rStyle w:val="Hyperlink"/>
            <w:rFonts w:asciiTheme="majorBidi" w:hAnsiTheme="majorBidi" w:cstheme="majorBidi"/>
            <w:i/>
            <w:iCs/>
          </w:rPr>
          <w:t>ECLI:LV:AT:2024:0617.C33524421.14.L</w:t>
        </w:r>
      </w:hyperlink>
      <w:bookmarkEnd w:id="2"/>
      <w:r w:rsidRPr="00161148">
        <w:rPr>
          <w:rFonts w:asciiTheme="majorBidi" w:hAnsiTheme="majorBidi" w:cstheme="majorBidi"/>
          <w:i/>
          <w:iCs/>
          <w:color w:val="000000" w:themeColor="text1"/>
        </w:rPr>
        <w:t>, 4.2. punkt</w:t>
      </w:r>
      <w:r w:rsidR="000A696D" w:rsidRPr="00161148">
        <w:rPr>
          <w:rFonts w:asciiTheme="majorBidi" w:hAnsiTheme="majorBidi" w:cstheme="majorBidi"/>
          <w:i/>
          <w:iCs/>
          <w:color w:val="000000" w:themeColor="text1"/>
        </w:rPr>
        <w:t>s</w:t>
      </w:r>
      <w:r w:rsidRPr="00161148">
        <w:rPr>
          <w:rFonts w:asciiTheme="majorBidi" w:hAnsiTheme="majorBidi" w:cstheme="majorBidi"/>
          <w:i/>
          <w:iCs/>
          <w:color w:val="000000" w:themeColor="text1"/>
        </w:rPr>
        <w:t xml:space="preserve">, </w:t>
      </w:r>
      <w:bookmarkStart w:id="3" w:name="_Hlk218684601"/>
      <w:r w:rsidRPr="00161148">
        <w:rPr>
          <w:rFonts w:asciiTheme="majorBidi" w:hAnsiTheme="majorBidi" w:cstheme="majorBidi"/>
          <w:i/>
          <w:iCs/>
          <w:color w:val="000000" w:themeColor="text1"/>
        </w:rPr>
        <w:t xml:space="preserve">2025. gada 3. septembra sprieduma lietā Nr. SKC-25/2025, </w:t>
      </w:r>
      <w:hyperlink r:id="rId11" w:history="1">
        <w:r w:rsidRPr="00161148">
          <w:rPr>
            <w:rStyle w:val="Hyperlink"/>
            <w:rFonts w:asciiTheme="majorBidi" w:hAnsiTheme="majorBidi" w:cstheme="majorBidi"/>
            <w:i/>
            <w:iCs/>
          </w:rPr>
          <w:t>ECLI:LV:AT:2025:0903.C30678519.25.S</w:t>
        </w:r>
      </w:hyperlink>
      <w:bookmarkEnd w:id="3"/>
      <w:r w:rsidRPr="00161148">
        <w:rPr>
          <w:rFonts w:asciiTheme="majorBidi" w:hAnsiTheme="majorBidi" w:cstheme="majorBidi"/>
          <w:i/>
          <w:iCs/>
          <w:color w:val="000000" w:themeColor="text1"/>
        </w:rPr>
        <w:t>, 12.2. un 12.3. punkt</w:t>
      </w:r>
      <w:r w:rsidR="000A696D" w:rsidRPr="00161148">
        <w:rPr>
          <w:rFonts w:asciiTheme="majorBidi" w:hAnsiTheme="majorBidi" w:cstheme="majorBidi"/>
          <w:i/>
          <w:iCs/>
          <w:color w:val="000000" w:themeColor="text1"/>
        </w:rPr>
        <w:t>s</w:t>
      </w:r>
      <w:r w:rsidRPr="00161148">
        <w:rPr>
          <w:rFonts w:asciiTheme="majorBidi" w:hAnsiTheme="majorBidi" w:cstheme="majorBidi"/>
          <w:color w:val="000000" w:themeColor="text1"/>
        </w:rPr>
        <w:t xml:space="preserve">). </w:t>
      </w:r>
    </w:p>
    <w:p w14:paraId="777F230B" w14:textId="569A6E5B" w:rsidR="0063391E" w:rsidRPr="00161148" w:rsidRDefault="001167C1" w:rsidP="00161148">
      <w:pPr>
        <w:pStyle w:val="NoSpacing"/>
        <w:spacing w:line="276" w:lineRule="auto"/>
        <w:ind w:firstLine="709"/>
        <w:jc w:val="both"/>
        <w:rPr>
          <w:rFonts w:asciiTheme="majorBidi" w:hAnsiTheme="majorBidi" w:cstheme="majorBidi"/>
          <w:szCs w:val="24"/>
          <w:lang w:val="lt-LT" w:eastAsia="lv-LV"/>
        </w:rPr>
      </w:pPr>
      <w:r w:rsidRPr="00161148">
        <w:rPr>
          <w:rFonts w:asciiTheme="majorBidi" w:hAnsiTheme="majorBidi" w:cstheme="majorBidi"/>
          <w:szCs w:val="24"/>
          <w:lang w:val="lt-LT" w:eastAsia="lv-LV"/>
        </w:rPr>
        <w:t>Konkrētajā gadījumā šād</w:t>
      </w:r>
      <w:r w:rsidR="00154BF0" w:rsidRPr="00161148">
        <w:rPr>
          <w:rFonts w:asciiTheme="majorBidi" w:hAnsiTheme="majorBidi" w:cstheme="majorBidi"/>
          <w:szCs w:val="24"/>
          <w:lang w:val="lt-LT" w:eastAsia="lv-LV"/>
        </w:rPr>
        <w:t xml:space="preserve">s </w:t>
      </w:r>
      <w:r w:rsidRPr="00161148">
        <w:rPr>
          <w:rFonts w:asciiTheme="majorBidi" w:hAnsiTheme="majorBidi" w:cstheme="majorBidi"/>
          <w:szCs w:val="24"/>
          <w:lang w:val="lt-LT" w:eastAsia="lv-LV"/>
        </w:rPr>
        <w:t>prekluzīv</w:t>
      </w:r>
      <w:r w:rsidR="00154BF0" w:rsidRPr="00161148">
        <w:rPr>
          <w:rFonts w:asciiTheme="majorBidi" w:hAnsiTheme="majorBidi" w:cstheme="majorBidi"/>
          <w:szCs w:val="24"/>
          <w:lang w:val="lt-LT" w:eastAsia="lv-LV"/>
        </w:rPr>
        <w:t xml:space="preserve">s </w:t>
      </w:r>
      <w:r w:rsidRPr="00161148">
        <w:rPr>
          <w:rFonts w:asciiTheme="majorBidi" w:hAnsiTheme="majorBidi" w:cstheme="majorBidi"/>
          <w:szCs w:val="24"/>
          <w:lang w:val="lt-LT" w:eastAsia="lv-LV"/>
        </w:rPr>
        <w:t>termiņ</w:t>
      </w:r>
      <w:r w:rsidR="00154BF0" w:rsidRPr="00161148">
        <w:rPr>
          <w:rFonts w:asciiTheme="majorBidi" w:hAnsiTheme="majorBidi" w:cstheme="majorBidi"/>
          <w:szCs w:val="24"/>
          <w:lang w:val="lt-LT" w:eastAsia="lv-LV"/>
        </w:rPr>
        <w:t xml:space="preserve">š </w:t>
      </w:r>
      <w:r w:rsidRPr="00161148">
        <w:rPr>
          <w:rFonts w:asciiTheme="majorBidi" w:hAnsiTheme="majorBidi" w:cstheme="majorBidi"/>
          <w:szCs w:val="24"/>
          <w:lang w:val="lt-LT" w:eastAsia="lv-LV"/>
        </w:rPr>
        <w:t>ir paredzēt</w:t>
      </w:r>
      <w:r w:rsidR="00154BF0" w:rsidRPr="00161148">
        <w:rPr>
          <w:rFonts w:asciiTheme="majorBidi" w:hAnsiTheme="majorBidi" w:cstheme="majorBidi"/>
          <w:szCs w:val="24"/>
          <w:lang w:val="lt-LT" w:eastAsia="lv-LV"/>
        </w:rPr>
        <w:t>s</w:t>
      </w:r>
      <w:r w:rsidRPr="00161148">
        <w:rPr>
          <w:rFonts w:asciiTheme="majorBidi" w:hAnsiTheme="majorBidi" w:cstheme="majorBidi"/>
          <w:szCs w:val="24"/>
          <w:lang w:val="lt-LT" w:eastAsia="lv-LV"/>
        </w:rPr>
        <w:t xml:space="preserve"> </w:t>
      </w:r>
      <w:r w:rsidR="0063391E" w:rsidRPr="00161148">
        <w:rPr>
          <w:rFonts w:asciiTheme="majorBidi" w:hAnsiTheme="majorBidi" w:cstheme="majorBidi"/>
          <w:szCs w:val="24"/>
          <w:lang w:val="lt-LT" w:eastAsia="lv-LV"/>
        </w:rPr>
        <w:t xml:space="preserve">Darba likuma </w:t>
      </w:r>
      <w:bookmarkStart w:id="4" w:name="_Hlk218684670"/>
      <w:r w:rsidR="0063391E" w:rsidRPr="00161148">
        <w:rPr>
          <w:rFonts w:asciiTheme="majorBidi" w:hAnsiTheme="majorBidi" w:cstheme="majorBidi"/>
          <w:szCs w:val="24"/>
          <w:lang w:val="lt-LT" w:eastAsia="lv-LV"/>
        </w:rPr>
        <w:t>101.</w:t>
      </w:r>
      <w:r w:rsidR="00154BF0" w:rsidRPr="00161148">
        <w:rPr>
          <w:rFonts w:asciiTheme="majorBidi" w:hAnsiTheme="majorBidi" w:cstheme="majorBidi"/>
          <w:szCs w:val="24"/>
          <w:lang w:val="lt-LT" w:eastAsia="lv-LV"/>
        </w:rPr>
        <w:t> </w:t>
      </w:r>
      <w:r w:rsidR="0063391E" w:rsidRPr="00161148">
        <w:rPr>
          <w:rFonts w:asciiTheme="majorBidi" w:hAnsiTheme="majorBidi" w:cstheme="majorBidi"/>
          <w:szCs w:val="24"/>
          <w:lang w:val="lt-LT" w:eastAsia="lv-LV"/>
        </w:rPr>
        <w:t>panta trešajā daļā</w:t>
      </w:r>
      <w:bookmarkEnd w:id="4"/>
      <w:r w:rsidR="00154BF0" w:rsidRPr="00161148">
        <w:rPr>
          <w:rFonts w:asciiTheme="majorBidi" w:hAnsiTheme="majorBidi" w:cstheme="majorBidi"/>
          <w:szCs w:val="24"/>
          <w:lang w:val="lt-LT" w:eastAsia="lv-LV"/>
        </w:rPr>
        <w:t xml:space="preserve">, proti, </w:t>
      </w:r>
      <w:r w:rsidR="0063391E" w:rsidRPr="00161148">
        <w:rPr>
          <w:rFonts w:asciiTheme="majorBidi" w:hAnsiTheme="majorBidi" w:cstheme="majorBidi"/>
          <w:szCs w:val="24"/>
          <w:lang w:val="lt-LT" w:eastAsia="lv-LV"/>
        </w:rPr>
        <w:t>darba līguma uzteikšanas tiesīb</w:t>
      </w:r>
      <w:r w:rsidR="00154BF0" w:rsidRPr="00161148">
        <w:rPr>
          <w:rFonts w:asciiTheme="majorBidi" w:hAnsiTheme="majorBidi" w:cstheme="majorBidi"/>
          <w:szCs w:val="24"/>
          <w:lang w:val="lt-LT" w:eastAsia="lv-LV"/>
        </w:rPr>
        <w:t xml:space="preserve">as </w:t>
      </w:r>
      <w:r w:rsidR="0063391E" w:rsidRPr="00161148">
        <w:rPr>
          <w:rFonts w:asciiTheme="majorBidi" w:hAnsiTheme="majorBidi" w:cstheme="majorBidi"/>
          <w:szCs w:val="24"/>
          <w:lang w:val="lt-LT" w:eastAsia="lv-LV"/>
        </w:rPr>
        <w:t>izmantošana</w:t>
      </w:r>
      <w:r w:rsidR="00154BF0" w:rsidRPr="00161148">
        <w:rPr>
          <w:rFonts w:asciiTheme="majorBidi" w:hAnsiTheme="majorBidi" w:cstheme="majorBidi"/>
          <w:szCs w:val="24"/>
          <w:lang w:val="lt-LT" w:eastAsia="lv-LV"/>
        </w:rPr>
        <w:t xml:space="preserve"> uz Darba likuma 101. panta pirmās daļas 3.</w:t>
      </w:r>
      <w:r w:rsidR="00A72CFB" w:rsidRPr="00161148">
        <w:rPr>
          <w:rFonts w:asciiTheme="majorBidi" w:hAnsiTheme="majorBidi" w:cstheme="majorBidi"/>
          <w:szCs w:val="24"/>
          <w:lang w:val="lt-LT" w:eastAsia="lv-LV"/>
        </w:rPr>
        <w:t xml:space="preserve"> </w:t>
      </w:r>
      <w:r w:rsidR="00154BF0" w:rsidRPr="00161148">
        <w:rPr>
          <w:rFonts w:asciiTheme="majorBidi" w:hAnsiTheme="majorBidi" w:cstheme="majorBidi"/>
          <w:szCs w:val="24"/>
          <w:lang w:val="lt-LT" w:eastAsia="lv-LV"/>
        </w:rPr>
        <w:t xml:space="preserve">punkta pamata ir iespējama </w:t>
      </w:r>
      <w:r w:rsidR="0063391E" w:rsidRPr="00161148">
        <w:rPr>
          <w:rFonts w:asciiTheme="majorBidi" w:hAnsiTheme="majorBidi" w:cstheme="majorBidi"/>
          <w:szCs w:val="24"/>
          <w:lang w:val="lt-LT" w:eastAsia="lv-LV"/>
        </w:rPr>
        <w:t>ne vēlāk kā 12 mēnešu laikā no pārkāpuma izdarīšanas dienas.</w:t>
      </w:r>
      <w:r w:rsidR="00154BF0" w:rsidRPr="00161148">
        <w:rPr>
          <w:rFonts w:asciiTheme="majorBidi" w:hAnsiTheme="majorBidi" w:cstheme="majorBidi"/>
          <w:szCs w:val="24"/>
          <w:lang w:val="lt-LT" w:eastAsia="lv-LV"/>
        </w:rPr>
        <w:t xml:space="preserve"> </w:t>
      </w:r>
      <w:r w:rsidR="0063391E" w:rsidRPr="00161148">
        <w:rPr>
          <w:rFonts w:asciiTheme="majorBidi" w:hAnsiTheme="majorBidi" w:cstheme="majorBidi"/>
          <w:color w:val="000000" w:themeColor="text1"/>
          <w:lang w:val="lt-LT"/>
        </w:rPr>
        <w:t>L</w:t>
      </w:r>
      <w:r w:rsidR="0063391E" w:rsidRPr="00161148">
        <w:rPr>
          <w:rFonts w:asciiTheme="majorBidi" w:hAnsiTheme="majorBidi" w:cstheme="majorBidi"/>
          <w:lang w:val="lt-LT"/>
        </w:rPr>
        <w:t xml:space="preserve">ikumdevējs, ietverot norādīto 12 mēnešu termiņu minētajā tiesību normā, ir izsvēris, ka tieši šāds prekluzīvs termiņš ir samērīgs. </w:t>
      </w:r>
      <w:r w:rsidR="0063391E" w:rsidRPr="00161148">
        <w:rPr>
          <w:rFonts w:asciiTheme="majorBidi" w:hAnsiTheme="majorBidi" w:cstheme="majorBidi"/>
          <w:szCs w:val="24"/>
          <w:lang w:val="lt-LT" w:eastAsia="lv-LV"/>
        </w:rPr>
        <w:t>Minētā termiņa neievērošanas gadījumā jārēķinās ar to, ka darba līguma uzteikšanas tiesība ir zaudēta.</w:t>
      </w:r>
    </w:p>
    <w:p w14:paraId="63704A17" w14:textId="3197FF78" w:rsidR="0063391E" w:rsidRPr="00161148" w:rsidRDefault="00154BF0" w:rsidP="00161148">
      <w:pPr>
        <w:pStyle w:val="NoSpacing"/>
        <w:spacing w:line="276" w:lineRule="auto"/>
        <w:ind w:firstLine="709"/>
        <w:jc w:val="both"/>
        <w:rPr>
          <w:rFonts w:asciiTheme="majorBidi" w:hAnsiTheme="majorBidi" w:cstheme="majorBidi"/>
          <w:lang w:val="lt-LT"/>
        </w:rPr>
      </w:pPr>
      <w:r w:rsidRPr="00161148">
        <w:rPr>
          <w:rFonts w:asciiTheme="majorBidi" w:hAnsiTheme="majorBidi" w:cstheme="majorBidi"/>
          <w:szCs w:val="24"/>
          <w:lang w:val="lt-LT" w:eastAsia="lv-LV"/>
        </w:rPr>
        <w:t>[4.1.3]</w:t>
      </w:r>
      <w:r w:rsidR="00AA22BC" w:rsidRPr="00161148">
        <w:rPr>
          <w:rFonts w:asciiTheme="majorBidi" w:hAnsiTheme="majorBidi" w:cstheme="majorBidi"/>
          <w:szCs w:val="24"/>
          <w:lang w:val="lt-LT" w:eastAsia="lv-LV"/>
        </w:rPr>
        <w:t> </w:t>
      </w:r>
      <w:r w:rsidRPr="00161148">
        <w:rPr>
          <w:rFonts w:asciiTheme="majorBidi" w:hAnsiTheme="majorBidi" w:cstheme="majorBidi"/>
          <w:szCs w:val="24"/>
          <w:lang w:val="lt-LT" w:eastAsia="lv-LV"/>
        </w:rPr>
        <w:t>Apgabal</w:t>
      </w:r>
      <w:r w:rsidR="0063391E" w:rsidRPr="00161148">
        <w:rPr>
          <w:rFonts w:asciiTheme="majorBidi" w:hAnsiTheme="majorBidi" w:cstheme="majorBidi"/>
          <w:szCs w:val="24"/>
          <w:lang w:val="lt-LT" w:eastAsia="lv-LV"/>
        </w:rPr>
        <w:t xml:space="preserve">tiesa, vispusīgi izvērtējot lietas apstākļus, noskaidrojusi, ka </w:t>
      </w:r>
      <w:r w:rsidR="0063391E" w:rsidRPr="00161148">
        <w:rPr>
          <w:rFonts w:asciiTheme="majorBidi" w:hAnsiTheme="majorBidi" w:cstheme="majorBidi"/>
          <w:lang w:val="lt-LT"/>
        </w:rPr>
        <w:t xml:space="preserve">2024. gada 9. aprīļa darba līguma </w:t>
      </w:r>
      <w:r w:rsidR="0063391E" w:rsidRPr="00161148">
        <w:rPr>
          <w:rFonts w:asciiTheme="majorBidi" w:hAnsiTheme="majorBidi" w:cstheme="majorBidi"/>
          <w:szCs w:val="24"/>
          <w:lang w:val="lt-LT" w:eastAsia="lv-LV"/>
        </w:rPr>
        <w:t xml:space="preserve">uzteikumā prasītājam pārmestie pārkāpumi, uz kuriem norādīts trauksmes cēlēju ziņojumos, izdarīti </w:t>
      </w:r>
      <w:r w:rsidR="0063391E" w:rsidRPr="00161148">
        <w:rPr>
          <w:rFonts w:asciiTheme="majorBidi" w:hAnsiTheme="majorBidi" w:cstheme="majorBidi"/>
          <w:lang w:val="lt-LT"/>
        </w:rPr>
        <w:t>vairākus gadus pirms uzteikuma izsniegšanas, proti, laikā no 2013.</w:t>
      </w:r>
      <w:r w:rsidR="000A696D" w:rsidRPr="00161148">
        <w:rPr>
          <w:rFonts w:asciiTheme="majorBidi" w:hAnsiTheme="majorBidi" w:cstheme="majorBidi"/>
          <w:lang w:val="lv-LV"/>
        </w:rPr>
        <w:t>–</w:t>
      </w:r>
      <w:r w:rsidR="0063391E" w:rsidRPr="00161148">
        <w:rPr>
          <w:rFonts w:asciiTheme="majorBidi" w:hAnsiTheme="majorBidi" w:cstheme="majorBidi"/>
          <w:lang w:val="lt-LT"/>
        </w:rPr>
        <w:t xml:space="preserve">2019. gadam. </w:t>
      </w:r>
    </w:p>
    <w:p w14:paraId="65D7402D" w14:textId="6C9C8B25" w:rsidR="0063391E" w:rsidRPr="00161148" w:rsidRDefault="0063391E" w:rsidP="00161148">
      <w:pPr>
        <w:pStyle w:val="NoSpacing"/>
        <w:spacing w:line="276" w:lineRule="auto"/>
        <w:ind w:firstLine="709"/>
        <w:jc w:val="both"/>
        <w:rPr>
          <w:rFonts w:asciiTheme="majorBidi" w:hAnsiTheme="majorBidi" w:cstheme="majorBidi"/>
          <w:color w:val="000000" w:themeColor="text1"/>
          <w:lang w:val="lt-LT"/>
        </w:rPr>
      </w:pPr>
      <w:r w:rsidRPr="00161148">
        <w:rPr>
          <w:rFonts w:asciiTheme="majorBidi" w:hAnsiTheme="majorBidi" w:cstheme="majorBidi"/>
          <w:lang w:val="lt-LT"/>
        </w:rPr>
        <w:lastRenderedPageBreak/>
        <w:t>Līdz ar to pamatots ir tiesas slēdziens spriedumā, ka a</w:t>
      </w:r>
      <w:r w:rsidRPr="00161148">
        <w:rPr>
          <w:rFonts w:asciiTheme="majorBidi" w:hAnsiTheme="majorBidi" w:cstheme="majorBidi"/>
          <w:szCs w:val="24"/>
          <w:lang w:val="lt-LT" w:eastAsia="lv-LV"/>
        </w:rPr>
        <w:t xml:space="preserve">tbildētāja </w:t>
      </w:r>
      <w:r w:rsidRPr="00161148">
        <w:rPr>
          <w:rFonts w:asciiTheme="majorBidi" w:hAnsiTheme="majorBidi" w:cstheme="majorBidi"/>
          <w:lang w:val="lt-LT"/>
        </w:rPr>
        <w:t>nevarēja uzteikt prasītājam darba līgumu, pamatojoties uz Darba likuma 101. panta pirmās daļas 3. punktu, jo uzteikuma izsniegšanas brīdī (2024.</w:t>
      </w:r>
      <w:r w:rsidR="00AA22BC" w:rsidRPr="00161148">
        <w:rPr>
          <w:rFonts w:asciiTheme="majorBidi" w:hAnsiTheme="majorBidi" w:cstheme="majorBidi"/>
          <w:lang w:val="lt-LT"/>
        </w:rPr>
        <w:t> </w:t>
      </w:r>
      <w:r w:rsidRPr="00161148">
        <w:rPr>
          <w:rFonts w:asciiTheme="majorBidi" w:hAnsiTheme="majorBidi" w:cstheme="majorBidi"/>
          <w:lang w:val="lt-LT"/>
        </w:rPr>
        <w:t>gada 9.</w:t>
      </w:r>
      <w:r w:rsidR="00AA22BC" w:rsidRPr="00161148">
        <w:rPr>
          <w:rFonts w:asciiTheme="majorBidi" w:hAnsiTheme="majorBidi" w:cstheme="majorBidi"/>
          <w:lang w:val="lt-LT"/>
        </w:rPr>
        <w:t> </w:t>
      </w:r>
      <w:r w:rsidRPr="00161148">
        <w:rPr>
          <w:rFonts w:asciiTheme="majorBidi" w:hAnsiTheme="majorBidi" w:cstheme="majorBidi"/>
          <w:lang w:val="lt-LT"/>
        </w:rPr>
        <w:t>aprīlī)</w:t>
      </w:r>
      <w:r w:rsidR="00AA22BC" w:rsidRPr="00161148">
        <w:rPr>
          <w:rFonts w:asciiTheme="majorBidi" w:hAnsiTheme="majorBidi" w:cstheme="majorBidi"/>
          <w:lang w:val="lt-LT"/>
        </w:rPr>
        <w:t xml:space="preserve"> </w:t>
      </w:r>
      <w:r w:rsidRPr="00161148">
        <w:rPr>
          <w:rFonts w:asciiTheme="majorBidi" w:hAnsiTheme="majorBidi" w:cstheme="majorBidi"/>
          <w:lang w:val="lt-LT"/>
        </w:rPr>
        <w:t xml:space="preserve">bija jau pagājis Darba likuma 101. panta trešajā daļā noteiktais termiņš, atbilstoši kuram </w:t>
      </w:r>
      <w:r w:rsidRPr="00161148">
        <w:rPr>
          <w:rFonts w:asciiTheme="majorBidi" w:hAnsiTheme="majorBidi" w:cstheme="majorBidi"/>
          <w:color w:val="000000" w:themeColor="text1"/>
          <w:lang w:val="lt-LT"/>
        </w:rPr>
        <w:t xml:space="preserve">uzteikt darba līgumu var ne vēlāk kā 12 mēnešu laikā </w:t>
      </w:r>
      <w:r w:rsidRPr="00161148">
        <w:rPr>
          <w:rFonts w:asciiTheme="majorBidi" w:hAnsiTheme="majorBidi" w:cstheme="majorBidi"/>
          <w:color w:val="000000" w:themeColor="text1"/>
          <w:szCs w:val="24"/>
          <w:lang w:val="lt-LT"/>
        </w:rPr>
        <w:t>no pārkāpuma izdarīšanas dienas</w:t>
      </w:r>
      <w:r w:rsidRPr="00161148">
        <w:rPr>
          <w:rFonts w:asciiTheme="majorBidi" w:hAnsiTheme="majorBidi" w:cstheme="majorBidi"/>
          <w:color w:val="000000" w:themeColor="text1"/>
          <w:lang w:val="lt-LT"/>
        </w:rPr>
        <w:t>.</w:t>
      </w:r>
    </w:p>
    <w:p w14:paraId="0DC5E6CD" w14:textId="48C7EACE" w:rsidR="0063391E" w:rsidRPr="00161148" w:rsidRDefault="0063391E" w:rsidP="00161148">
      <w:pPr>
        <w:pStyle w:val="NoSpacing"/>
        <w:spacing w:line="276" w:lineRule="auto"/>
        <w:ind w:firstLine="709"/>
        <w:jc w:val="both"/>
        <w:rPr>
          <w:rFonts w:asciiTheme="majorBidi" w:hAnsiTheme="majorBidi" w:cstheme="majorBidi"/>
          <w:lang w:val="lt-LT"/>
        </w:rPr>
      </w:pPr>
      <w:r w:rsidRPr="00161148">
        <w:rPr>
          <w:rFonts w:asciiTheme="majorBidi" w:hAnsiTheme="majorBidi" w:cstheme="majorBidi"/>
          <w:color w:val="000000" w:themeColor="text1"/>
          <w:lang w:val="lt-LT"/>
        </w:rPr>
        <w:t>[4.1.</w:t>
      </w:r>
      <w:r w:rsidR="00154BF0" w:rsidRPr="00161148">
        <w:rPr>
          <w:rFonts w:asciiTheme="majorBidi" w:hAnsiTheme="majorBidi" w:cstheme="majorBidi"/>
          <w:color w:val="000000" w:themeColor="text1"/>
          <w:lang w:val="lt-LT"/>
        </w:rPr>
        <w:t>4</w:t>
      </w:r>
      <w:r w:rsidRPr="00161148">
        <w:rPr>
          <w:rFonts w:asciiTheme="majorBidi" w:hAnsiTheme="majorBidi" w:cstheme="majorBidi"/>
          <w:color w:val="000000" w:themeColor="text1"/>
          <w:lang w:val="lt-LT"/>
        </w:rPr>
        <w:t xml:space="preserve">] </w:t>
      </w:r>
      <w:r w:rsidR="00154BF0" w:rsidRPr="00161148">
        <w:rPr>
          <w:rFonts w:asciiTheme="majorBidi" w:hAnsiTheme="majorBidi" w:cstheme="majorBidi"/>
          <w:color w:val="000000" w:themeColor="text1"/>
          <w:lang w:val="lt-LT"/>
        </w:rPr>
        <w:t>K</w:t>
      </w:r>
      <w:r w:rsidRPr="00161148">
        <w:rPr>
          <w:rFonts w:asciiTheme="majorBidi" w:hAnsiTheme="majorBidi" w:cstheme="majorBidi"/>
          <w:color w:val="000000" w:themeColor="text1"/>
          <w:lang w:val="lt-LT"/>
        </w:rPr>
        <w:t xml:space="preserve">asācijas sūdzības iesniedzējas iebildums pret minētā termiņa ievērošanu, kas pamatots ar prasītāja iebildumu tiesā neesību tam, ka viņa sarakste un komunikācija ar kādu no studentēm ir vecāka par vienu gadu, izvirzīts, neņemot vērā prasības pieteikumā tieši norādīto argumentu, ka, izsniedzot uzteikumu, pārkāpta </w:t>
      </w:r>
      <w:r w:rsidRPr="00161148">
        <w:rPr>
          <w:rFonts w:asciiTheme="majorBidi" w:hAnsiTheme="majorBidi" w:cstheme="majorBidi"/>
          <w:lang w:val="lt-LT"/>
        </w:rPr>
        <w:t>Darba likuma 101. panta trešā daļa. Tāpat nav ņemts vērā, ka uzteikumu var izteikt tikai par konkrētu identificētu pārkāpumu, nevis balstoties uz iebildumu neesību.</w:t>
      </w:r>
    </w:p>
    <w:p w14:paraId="1E79B329" w14:textId="65D08C0E" w:rsidR="00CB53AD" w:rsidRPr="00161148" w:rsidRDefault="00154BF0" w:rsidP="00161148">
      <w:pPr>
        <w:spacing w:line="276" w:lineRule="auto"/>
        <w:ind w:firstLine="709"/>
        <w:jc w:val="both"/>
        <w:rPr>
          <w:rFonts w:asciiTheme="majorBidi" w:hAnsiTheme="majorBidi" w:cstheme="majorBidi"/>
          <w:lang w:val="lt-LT"/>
        </w:rPr>
      </w:pPr>
      <w:r w:rsidRPr="00161148">
        <w:rPr>
          <w:rFonts w:asciiTheme="majorBidi" w:hAnsiTheme="majorBidi" w:cstheme="majorBidi"/>
          <w:lang w:val="lt-LT"/>
        </w:rPr>
        <w:t>[4.1.5] Senatoru kolēģija atzīmē, ka, ievērojot</w:t>
      </w:r>
      <w:r w:rsidRPr="00161148">
        <w:rPr>
          <w:rFonts w:asciiTheme="majorBidi" w:hAnsiTheme="majorBidi" w:cstheme="majorBidi"/>
        </w:rPr>
        <w:t xml:space="preserve"> Darba likuma 102. pantu, uzteikuma pamatu neveido tiesību </w:t>
      </w:r>
      <w:r w:rsidR="00AA22BC" w:rsidRPr="00161148">
        <w:rPr>
          <w:rFonts w:asciiTheme="majorBidi" w:hAnsiTheme="majorBidi" w:cstheme="majorBidi"/>
        </w:rPr>
        <w:t xml:space="preserve">norma pati par sevi, </w:t>
      </w:r>
      <w:r w:rsidRPr="00161148">
        <w:rPr>
          <w:rFonts w:asciiTheme="majorBidi" w:hAnsiTheme="majorBidi" w:cstheme="majorBidi"/>
        </w:rPr>
        <w:t xml:space="preserve">un darba devējam nav pietiekami uzteikumā atsaukties uz kādu no Darba likuma 101. panta pirmās daļas punktiem, bet gan jānorāda konkrēti faktiskie apstākļi, kas pamato darba tiesisko attiecību izbeigšanu, tostarp jādod darbinieka rīcības objektīvs izvērtējums, lai tiesai, kas izskata konkrēto strīdu, būtu iespēja pārbaudīt uzteikuma tiesiskumu (sal. </w:t>
      </w:r>
      <w:r w:rsidRPr="00161148">
        <w:rPr>
          <w:rFonts w:asciiTheme="majorBidi" w:hAnsiTheme="majorBidi" w:cstheme="majorBidi"/>
          <w:i/>
        </w:rPr>
        <w:t xml:space="preserve">Senāta </w:t>
      </w:r>
      <w:bookmarkStart w:id="5" w:name="_Hlk218684825"/>
      <w:r w:rsidRPr="00161148">
        <w:rPr>
          <w:rFonts w:asciiTheme="majorBidi" w:hAnsiTheme="majorBidi" w:cstheme="majorBidi"/>
          <w:i/>
        </w:rPr>
        <w:t>2018. gada 20. aprīļa sprieduma lietā Nr. SKC</w:t>
      </w:r>
      <w:r w:rsidRPr="00161148">
        <w:rPr>
          <w:rFonts w:asciiTheme="majorBidi" w:hAnsiTheme="majorBidi" w:cstheme="majorBidi"/>
          <w:i/>
        </w:rPr>
        <w:noBreakHyphen/>
        <w:t xml:space="preserve">213/2018, </w:t>
      </w:r>
      <w:hyperlink r:id="rId12" w:history="1">
        <w:r w:rsidRPr="00161148">
          <w:rPr>
            <w:rStyle w:val="Hyperlink"/>
            <w:rFonts w:asciiTheme="majorBidi" w:hAnsiTheme="majorBidi" w:cstheme="majorBidi"/>
            <w:i/>
          </w:rPr>
          <w:t>ECLI:LV:AT:2018:0420.C12177516.2.S</w:t>
        </w:r>
      </w:hyperlink>
      <w:bookmarkEnd w:id="5"/>
      <w:r w:rsidRPr="00161148">
        <w:rPr>
          <w:rFonts w:asciiTheme="majorBidi" w:hAnsiTheme="majorBidi" w:cstheme="majorBidi"/>
          <w:i/>
        </w:rPr>
        <w:t xml:space="preserve">, 10.2. punkts; Senāta </w:t>
      </w:r>
      <w:bookmarkStart w:id="6" w:name="_Hlk218684895"/>
      <w:r w:rsidRPr="00161148">
        <w:rPr>
          <w:rFonts w:asciiTheme="majorBidi" w:hAnsiTheme="majorBidi" w:cstheme="majorBidi"/>
          <w:i/>
        </w:rPr>
        <w:t xml:space="preserve">2010.gada 29.septembra sprieduma lietā </w:t>
      </w:r>
      <w:r w:rsidR="00FA16DC" w:rsidRPr="00161148">
        <w:rPr>
          <w:rFonts w:asciiTheme="majorBidi" w:hAnsiTheme="majorBidi" w:cstheme="majorBidi"/>
          <w:i/>
        </w:rPr>
        <w:t xml:space="preserve">Nr. </w:t>
      </w:r>
      <w:r w:rsidRPr="00161148">
        <w:rPr>
          <w:rFonts w:asciiTheme="majorBidi" w:hAnsiTheme="majorBidi" w:cstheme="majorBidi"/>
          <w:i/>
        </w:rPr>
        <w:t>SKC-758/2010, C2819950</w:t>
      </w:r>
      <w:bookmarkEnd w:id="6"/>
      <w:r w:rsidRPr="00161148">
        <w:rPr>
          <w:rFonts w:asciiTheme="majorBidi" w:hAnsiTheme="majorBidi" w:cstheme="majorBidi"/>
          <w:i/>
        </w:rPr>
        <w:t>, 7.2. punkts</w:t>
      </w:r>
      <w:r w:rsidRPr="00161148">
        <w:rPr>
          <w:rFonts w:asciiTheme="majorBidi" w:hAnsiTheme="majorBidi" w:cstheme="majorBidi"/>
        </w:rPr>
        <w:t xml:space="preserve">). </w:t>
      </w:r>
    </w:p>
    <w:p w14:paraId="2F92D048" w14:textId="77777777" w:rsidR="00CB53AD" w:rsidRPr="00161148" w:rsidRDefault="00154BF0" w:rsidP="00161148">
      <w:pPr>
        <w:spacing w:line="276" w:lineRule="auto"/>
        <w:ind w:firstLine="709"/>
        <w:jc w:val="both"/>
        <w:rPr>
          <w:rFonts w:asciiTheme="majorBidi" w:hAnsiTheme="majorBidi" w:cstheme="majorBidi"/>
          <w:lang w:val="lt-LT"/>
        </w:rPr>
      </w:pPr>
      <w:r w:rsidRPr="00161148">
        <w:rPr>
          <w:rFonts w:asciiTheme="majorBidi" w:hAnsiTheme="majorBidi" w:cstheme="majorBidi"/>
          <w:lang w:val="lt-LT"/>
        </w:rPr>
        <w:t xml:space="preserve">Kasācijas sūdzībā norādītie </w:t>
      </w:r>
      <w:r w:rsidR="00AF1C71" w:rsidRPr="00161148">
        <w:rPr>
          <w:rFonts w:asciiTheme="majorBidi" w:hAnsiTheme="majorBidi" w:cstheme="majorBidi"/>
          <w:lang w:val="lt-LT"/>
        </w:rPr>
        <w:t>faktiskie apstākļi</w:t>
      </w:r>
      <w:r w:rsidR="00DD3FFF" w:rsidRPr="00161148">
        <w:rPr>
          <w:rFonts w:asciiTheme="majorBidi" w:hAnsiTheme="majorBidi" w:cstheme="majorBidi"/>
          <w:lang w:val="lt-LT"/>
        </w:rPr>
        <w:t>, kas darba devējas ieskatā liecina</w:t>
      </w:r>
      <w:r w:rsidR="00AF1C71" w:rsidRPr="00161148">
        <w:rPr>
          <w:rFonts w:asciiTheme="majorBidi" w:hAnsiTheme="majorBidi" w:cstheme="majorBidi"/>
          <w:lang w:val="lt-LT"/>
        </w:rPr>
        <w:t xml:space="preserve"> </w:t>
      </w:r>
      <w:r w:rsidRPr="00161148">
        <w:rPr>
          <w:rFonts w:asciiTheme="majorBidi" w:hAnsiTheme="majorBidi" w:cstheme="majorBidi"/>
          <w:lang w:val="lt-LT"/>
        </w:rPr>
        <w:t xml:space="preserve">par </w:t>
      </w:r>
      <w:r w:rsidR="00AF1C71" w:rsidRPr="00161148">
        <w:rPr>
          <w:rFonts w:asciiTheme="majorBidi" w:hAnsiTheme="majorBidi" w:cstheme="majorBidi"/>
          <w:lang w:val="lt-LT"/>
        </w:rPr>
        <w:t>darbinieka neatbilstību nevainojamas reputācijas prasībām</w:t>
      </w:r>
      <w:r w:rsidR="00DD3FFF" w:rsidRPr="00161148">
        <w:rPr>
          <w:rFonts w:asciiTheme="majorBidi" w:hAnsiTheme="majorBidi" w:cstheme="majorBidi"/>
          <w:lang w:val="lt-LT"/>
        </w:rPr>
        <w:t>,</w:t>
      </w:r>
      <w:r w:rsidR="00AF1C71" w:rsidRPr="00161148">
        <w:rPr>
          <w:rFonts w:asciiTheme="majorBidi" w:hAnsiTheme="majorBidi" w:cstheme="majorBidi"/>
          <w:lang w:val="lt-LT"/>
        </w:rPr>
        <w:t xml:space="preserve"> var norādīt uz faktisko apstākļu atbilstību </w:t>
      </w:r>
      <w:r w:rsidR="00AF1C71" w:rsidRPr="00161148">
        <w:rPr>
          <w:rFonts w:asciiTheme="majorBidi" w:hAnsiTheme="majorBidi" w:cstheme="majorBidi"/>
        </w:rPr>
        <w:t xml:space="preserve">Darba likuma </w:t>
      </w:r>
      <w:bookmarkStart w:id="7" w:name="_Hlk218685240"/>
      <w:r w:rsidR="00AF1C71" w:rsidRPr="00161148">
        <w:rPr>
          <w:rFonts w:asciiTheme="majorBidi" w:hAnsiTheme="majorBidi" w:cstheme="majorBidi"/>
        </w:rPr>
        <w:t>101. panta piektajai daļai</w:t>
      </w:r>
      <w:bookmarkEnd w:id="7"/>
      <w:r w:rsidR="00AF1C71" w:rsidRPr="00161148">
        <w:rPr>
          <w:rFonts w:asciiTheme="majorBidi" w:hAnsiTheme="majorBidi" w:cstheme="majorBidi"/>
        </w:rPr>
        <w:t xml:space="preserve">, kurā paredzētas darba devēja tiesības celt prasību tiesā par darba tiesisko attiecību izbeigšanu gadījumos, kad tam ir svarīgs iemesls. Par šādu iemeslu atzīstams katrs tāds apstāklis, kas, pamatojoties uz tikumības un savstarpējas </w:t>
      </w:r>
      <w:r w:rsidR="00AF1C71" w:rsidRPr="00161148">
        <w:rPr>
          <w:rFonts w:asciiTheme="majorBidi" w:hAnsiTheme="majorBidi" w:cstheme="majorBidi"/>
          <w:lang w:val="lt-LT"/>
        </w:rPr>
        <w:t xml:space="preserve">taisnprātības </w:t>
      </w:r>
      <w:r w:rsidR="00AF1C71" w:rsidRPr="00161148">
        <w:rPr>
          <w:rFonts w:asciiTheme="majorBidi" w:hAnsiTheme="majorBidi" w:cstheme="majorBidi"/>
        </w:rPr>
        <w:t xml:space="preserve">apsvērumiem, neļauj turpināt darba tiesiskās attiecības. </w:t>
      </w:r>
    </w:p>
    <w:p w14:paraId="7374F324" w14:textId="3CE9853F" w:rsidR="00AF1C71" w:rsidRPr="00161148" w:rsidRDefault="00AF1C71" w:rsidP="00161148">
      <w:pPr>
        <w:spacing w:line="276" w:lineRule="auto"/>
        <w:ind w:firstLine="709"/>
        <w:jc w:val="both"/>
        <w:rPr>
          <w:rFonts w:asciiTheme="majorBidi" w:hAnsiTheme="majorBidi" w:cstheme="majorBidi"/>
          <w:lang w:val="lt-LT"/>
        </w:rPr>
      </w:pPr>
      <w:r w:rsidRPr="00161148">
        <w:rPr>
          <w:rFonts w:asciiTheme="majorBidi" w:hAnsiTheme="majorBidi" w:cstheme="majorBidi"/>
        </w:rPr>
        <w:t xml:space="preserve">Uz šādu iespējamu atbilstību norāda Senāta atzītais, ka tikumības un </w:t>
      </w:r>
      <w:r w:rsidRPr="00161148">
        <w:rPr>
          <w:rFonts w:asciiTheme="majorBidi" w:hAnsiTheme="majorBidi" w:cstheme="majorBidi"/>
          <w:lang w:val="lt-LT"/>
        </w:rPr>
        <w:t xml:space="preserve">taisnprātības </w:t>
      </w:r>
      <w:r w:rsidRPr="00161148">
        <w:rPr>
          <w:rFonts w:asciiTheme="majorBidi" w:hAnsiTheme="majorBidi" w:cstheme="majorBidi"/>
        </w:rPr>
        <w:t xml:space="preserve">apsvērumi vienmēr saistīti ar ētikas un morāles normām (nemantiskām vērtībām), tādēļ praksē šādi svarīgi iemesli var būt, piemēram, personas reputācija, personīgās īpašības, uzvedība (sk. </w:t>
      </w:r>
      <w:r w:rsidRPr="00161148">
        <w:rPr>
          <w:rFonts w:asciiTheme="majorBidi" w:hAnsiTheme="majorBidi" w:cstheme="majorBidi"/>
          <w:i/>
        </w:rPr>
        <w:t xml:space="preserve">Senāta </w:t>
      </w:r>
      <w:bookmarkStart w:id="8" w:name="_Hlk218685287"/>
      <w:r w:rsidRPr="00161148">
        <w:rPr>
          <w:rFonts w:asciiTheme="majorBidi" w:hAnsiTheme="majorBidi" w:cstheme="majorBidi"/>
          <w:i/>
        </w:rPr>
        <w:t>2013. gada 8. aprīļa sprieduma lietā Nr. </w:t>
      </w:r>
      <w:hyperlink r:id="rId13" w:history="1">
        <w:r w:rsidRPr="00161148">
          <w:rPr>
            <w:rStyle w:val="Hyperlink"/>
            <w:rFonts w:asciiTheme="majorBidi" w:hAnsiTheme="majorBidi" w:cstheme="majorBidi"/>
            <w:i/>
          </w:rPr>
          <w:t>SKC-1219/2013</w:t>
        </w:r>
      </w:hyperlink>
      <w:r w:rsidR="000A696D" w:rsidRPr="00161148">
        <w:rPr>
          <w:rFonts w:asciiTheme="majorBidi" w:hAnsiTheme="majorBidi" w:cstheme="majorBidi"/>
          <w:i/>
        </w:rPr>
        <w:t xml:space="preserve">, </w:t>
      </w:r>
      <w:r w:rsidRPr="00161148">
        <w:rPr>
          <w:rFonts w:asciiTheme="majorBidi" w:hAnsiTheme="majorBidi" w:cstheme="majorBidi"/>
          <w:i/>
        </w:rPr>
        <w:t>C30524611</w:t>
      </w:r>
      <w:bookmarkEnd w:id="8"/>
      <w:r w:rsidR="000A696D" w:rsidRPr="00161148">
        <w:rPr>
          <w:rFonts w:asciiTheme="majorBidi" w:hAnsiTheme="majorBidi" w:cstheme="majorBidi"/>
          <w:i/>
        </w:rPr>
        <w:t>,</w:t>
      </w:r>
      <w:r w:rsidRPr="00161148">
        <w:rPr>
          <w:rFonts w:asciiTheme="majorBidi" w:hAnsiTheme="majorBidi" w:cstheme="majorBidi"/>
          <w:i/>
        </w:rPr>
        <w:t xml:space="preserve"> 8.5.</w:t>
      </w:r>
      <w:r w:rsidR="00FA16DC" w:rsidRPr="00161148">
        <w:rPr>
          <w:rFonts w:asciiTheme="majorBidi" w:hAnsiTheme="majorBidi" w:cstheme="majorBidi"/>
          <w:i/>
        </w:rPr>
        <w:t xml:space="preserve"> </w:t>
      </w:r>
      <w:r w:rsidRPr="00161148">
        <w:rPr>
          <w:rFonts w:asciiTheme="majorBidi" w:hAnsiTheme="majorBidi" w:cstheme="majorBidi"/>
          <w:i/>
        </w:rPr>
        <w:t>punktu</w:t>
      </w:r>
      <w:r w:rsidRPr="00161148">
        <w:rPr>
          <w:rFonts w:asciiTheme="majorBidi" w:hAnsiTheme="majorBidi" w:cstheme="majorBidi"/>
        </w:rPr>
        <w:t>).</w:t>
      </w:r>
    </w:p>
    <w:p w14:paraId="723C9BD7" w14:textId="5669C874" w:rsidR="00154BF0" w:rsidRPr="00161148" w:rsidRDefault="00AF1C71" w:rsidP="00161148">
      <w:pPr>
        <w:pStyle w:val="NoSpacing"/>
        <w:spacing w:line="276" w:lineRule="auto"/>
        <w:ind w:firstLine="709"/>
        <w:jc w:val="both"/>
        <w:rPr>
          <w:rFonts w:asciiTheme="majorBidi" w:hAnsiTheme="majorBidi" w:cstheme="majorBidi"/>
          <w:color w:val="000000" w:themeColor="text1"/>
          <w:lang w:val="lt-LT"/>
        </w:rPr>
      </w:pPr>
      <w:r w:rsidRPr="00161148">
        <w:rPr>
          <w:rFonts w:asciiTheme="majorBidi" w:hAnsiTheme="majorBidi" w:cstheme="majorBidi"/>
          <w:lang w:val="lt-LT"/>
        </w:rPr>
        <w:t xml:space="preserve">Tomēr minētajam nav nozīmes, jo darba devēja </w:t>
      </w:r>
      <w:r w:rsidR="000D3994" w:rsidRPr="00161148">
        <w:rPr>
          <w:rFonts w:asciiTheme="majorBidi" w:hAnsiTheme="majorBidi" w:cstheme="majorBidi"/>
          <w:lang w:val="lt-LT"/>
        </w:rPr>
        <w:t xml:space="preserve">šajā normā </w:t>
      </w:r>
      <w:r w:rsidR="000A696D" w:rsidRPr="00161148">
        <w:rPr>
          <w:rFonts w:asciiTheme="majorBidi" w:hAnsiTheme="majorBidi" w:cstheme="majorBidi"/>
          <w:lang w:val="lt-LT"/>
        </w:rPr>
        <w:t>noteik</w:t>
      </w:r>
      <w:r w:rsidR="000D3994" w:rsidRPr="00161148">
        <w:rPr>
          <w:rFonts w:asciiTheme="majorBidi" w:hAnsiTheme="majorBidi" w:cstheme="majorBidi"/>
          <w:lang w:val="lt-LT"/>
        </w:rPr>
        <w:t>to tiesību neizmantoja, bet izvēlējās izsniegt uzteikumu, pamatojot to ar Darba likuma 101.</w:t>
      </w:r>
      <w:r w:rsidR="00CD65F0" w:rsidRPr="00161148">
        <w:rPr>
          <w:rFonts w:asciiTheme="majorBidi" w:hAnsiTheme="majorBidi" w:cstheme="majorBidi"/>
          <w:lang w:val="lt-LT"/>
        </w:rPr>
        <w:t> p</w:t>
      </w:r>
      <w:r w:rsidR="000D3994" w:rsidRPr="00161148">
        <w:rPr>
          <w:rFonts w:asciiTheme="majorBidi" w:hAnsiTheme="majorBidi" w:cstheme="majorBidi"/>
          <w:lang w:val="lt-LT"/>
        </w:rPr>
        <w:t xml:space="preserve">anta pirmās daļas 3. punktu. </w:t>
      </w:r>
      <w:r w:rsidRPr="00161148">
        <w:rPr>
          <w:rFonts w:asciiTheme="majorBidi" w:hAnsiTheme="majorBidi" w:cstheme="majorBidi"/>
          <w:color w:val="EE0000"/>
          <w:lang w:val="lt-LT"/>
        </w:rPr>
        <w:t xml:space="preserve"> </w:t>
      </w:r>
    </w:p>
    <w:p w14:paraId="43D07233" w14:textId="53493219" w:rsidR="003B4A22" w:rsidRPr="00161148" w:rsidRDefault="0063391E" w:rsidP="00161148">
      <w:pPr>
        <w:pStyle w:val="NoSpacing"/>
        <w:spacing w:line="276" w:lineRule="auto"/>
        <w:ind w:firstLine="709"/>
        <w:jc w:val="both"/>
        <w:rPr>
          <w:rFonts w:asciiTheme="majorBidi" w:hAnsiTheme="majorBidi" w:cstheme="majorBidi"/>
          <w:lang w:val="lt-LT"/>
        </w:rPr>
      </w:pPr>
      <w:r w:rsidRPr="00161148">
        <w:rPr>
          <w:rFonts w:asciiTheme="majorBidi" w:hAnsiTheme="majorBidi" w:cstheme="majorBidi"/>
          <w:lang w:val="lt-LT"/>
        </w:rPr>
        <w:t xml:space="preserve">[4.2] </w:t>
      </w:r>
      <w:r w:rsidR="003B4A22" w:rsidRPr="00161148">
        <w:rPr>
          <w:rFonts w:asciiTheme="majorBidi" w:hAnsiTheme="majorBidi" w:cstheme="majorBidi"/>
          <w:lang w:val="lt-LT"/>
        </w:rPr>
        <w:t>Kasācijas sūdzībā izvirzītie iebildumi par Darba likuma 101. panta pirmās daļas 1.  un 2. punkta nepiemērošanu saistībā ar prasītāja rīcību, kā arī pretsūdzībā ietvertie argumenti saistībā ar atstādināšan</w:t>
      </w:r>
      <w:r w:rsidR="0024302D" w:rsidRPr="00161148">
        <w:rPr>
          <w:rFonts w:asciiTheme="majorBidi" w:hAnsiTheme="majorBidi" w:cstheme="majorBidi"/>
          <w:lang w:val="lt-LT"/>
        </w:rPr>
        <w:t xml:space="preserve">as iemeslu neesību </w:t>
      </w:r>
      <w:r w:rsidR="003B4A22" w:rsidRPr="00161148">
        <w:rPr>
          <w:rFonts w:asciiTheme="majorBidi" w:hAnsiTheme="majorBidi" w:cstheme="majorBidi"/>
          <w:lang w:val="lt-LT"/>
        </w:rPr>
        <w:t>vērsti uz lietas apstākļu un pierādījumu izvērtēšanu no jauna. Tas, ka puses nepiekrīt apelācijas instances tiesas spriedumā ietvertajam strīda apstākļu vērtējumam, nevar būt iemesls pārsūdzētā sprieduma atcelšanai, jo atbilstoši Civilprocesa likuma 450.</w:t>
      </w:r>
      <w:r w:rsidR="00CB53AD" w:rsidRPr="00161148">
        <w:rPr>
          <w:rFonts w:asciiTheme="majorBidi" w:hAnsiTheme="majorBidi" w:cstheme="majorBidi"/>
          <w:lang w:val="lt-LT"/>
        </w:rPr>
        <w:t> </w:t>
      </w:r>
      <w:r w:rsidR="003B4A22" w:rsidRPr="00161148">
        <w:rPr>
          <w:rFonts w:asciiTheme="majorBidi" w:hAnsiTheme="majorBidi" w:cstheme="majorBidi"/>
          <w:lang w:val="lt-LT"/>
        </w:rPr>
        <w:t>panta trešajai daļai lietas faktisko apstākļu noskaidrošana un pierādījumu izvērtēšana no jauna neietilpst kasācijas instances tiesas kompetencē.</w:t>
      </w:r>
    </w:p>
    <w:p w14:paraId="6D2FAF2F" w14:textId="63F51B54" w:rsidR="00FA3112" w:rsidRPr="00161148" w:rsidRDefault="00FA3112" w:rsidP="00161148">
      <w:pPr>
        <w:pStyle w:val="NoSpacing"/>
        <w:spacing w:line="276" w:lineRule="auto"/>
        <w:rPr>
          <w:rFonts w:asciiTheme="majorBidi" w:hAnsiTheme="majorBidi" w:cstheme="majorBidi"/>
          <w:lang w:val="lt-LT"/>
        </w:rPr>
      </w:pPr>
    </w:p>
    <w:p w14:paraId="12CBFC44" w14:textId="42E1D831" w:rsidR="00447EE6" w:rsidRPr="00161148" w:rsidRDefault="00447EE6" w:rsidP="00161148">
      <w:pPr>
        <w:shd w:val="clear" w:color="auto" w:fill="FFFFFF"/>
        <w:spacing w:line="276" w:lineRule="auto"/>
        <w:jc w:val="center"/>
        <w:rPr>
          <w:rFonts w:asciiTheme="majorBidi" w:hAnsiTheme="majorBidi" w:cstheme="majorBidi"/>
          <w:b/>
        </w:rPr>
      </w:pPr>
      <w:r w:rsidRPr="00161148">
        <w:rPr>
          <w:rFonts w:asciiTheme="majorBidi" w:hAnsiTheme="majorBidi" w:cstheme="majorBidi"/>
          <w:b/>
        </w:rPr>
        <w:lastRenderedPageBreak/>
        <w:t xml:space="preserve">Rezolutīvā daļa </w:t>
      </w:r>
    </w:p>
    <w:p w14:paraId="1BFEF349" w14:textId="77777777" w:rsidR="00C737C4" w:rsidRPr="00161148" w:rsidRDefault="00C737C4" w:rsidP="00161148">
      <w:pPr>
        <w:shd w:val="clear" w:color="auto" w:fill="FFFFFF"/>
        <w:spacing w:line="276" w:lineRule="auto"/>
        <w:jc w:val="center"/>
        <w:rPr>
          <w:rFonts w:asciiTheme="majorBidi" w:hAnsiTheme="majorBidi" w:cstheme="majorBidi"/>
          <w:b/>
        </w:rPr>
      </w:pPr>
    </w:p>
    <w:p w14:paraId="560AC02E" w14:textId="23A4DA6D" w:rsidR="0028354C" w:rsidRPr="00161148" w:rsidRDefault="00D732C3" w:rsidP="00161148">
      <w:pPr>
        <w:autoSpaceDE w:val="0"/>
        <w:autoSpaceDN w:val="0"/>
        <w:adjustRightInd w:val="0"/>
        <w:spacing w:line="276" w:lineRule="auto"/>
        <w:ind w:firstLine="720"/>
        <w:jc w:val="both"/>
        <w:rPr>
          <w:rFonts w:asciiTheme="majorBidi" w:hAnsiTheme="majorBidi" w:cstheme="majorBidi"/>
          <w:lang w:eastAsia="lv-LV"/>
        </w:rPr>
      </w:pPr>
      <w:r w:rsidRPr="00161148">
        <w:rPr>
          <w:rFonts w:asciiTheme="majorBidi" w:hAnsiTheme="majorBidi" w:cstheme="majorBidi"/>
        </w:rPr>
        <w:t>Ievērojot minēto</w:t>
      </w:r>
      <w:r w:rsidR="006F1235" w:rsidRPr="00161148">
        <w:rPr>
          <w:rFonts w:asciiTheme="majorBidi" w:hAnsiTheme="majorBidi" w:cstheme="majorBidi"/>
        </w:rPr>
        <w:t>,</w:t>
      </w:r>
      <w:r w:rsidRPr="00161148">
        <w:rPr>
          <w:rFonts w:asciiTheme="majorBidi" w:hAnsiTheme="majorBidi" w:cstheme="majorBidi"/>
        </w:rPr>
        <w:t xml:space="preserve"> un p</w:t>
      </w:r>
      <w:r w:rsidR="0028354C" w:rsidRPr="00161148">
        <w:rPr>
          <w:rFonts w:asciiTheme="majorBidi" w:hAnsiTheme="majorBidi" w:cstheme="majorBidi"/>
          <w:lang w:eastAsia="lv-LV"/>
        </w:rPr>
        <w:t>amatojoties uz Civilprocesa likuma 464. panta trešo daļu un 464.</w:t>
      </w:r>
      <w:r w:rsidR="0028354C" w:rsidRPr="00161148">
        <w:rPr>
          <w:rFonts w:asciiTheme="majorBidi" w:hAnsiTheme="majorBidi" w:cstheme="majorBidi"/>
          <w:vertAlign w:val="superscript"/>
          <w:lang w:eastAsia="lv-LV"/>
        </w:rPr>
        <w:t>1</w:t>
      </w:r>
      <w:r w:rsidR="0028354C" w:rsidRPr="00161148">
        <w:rPr>
          <w:rFonts w:asciiTheme="majorBidi" w:hAnsiTheme="majorBidi" w:cstheme="majorBidi"/>
          <w:lang w:eastAsia="lv-LV"/>
        </w:rPr>
        <w:t> panta otrās daļas 2. punktu, senatoru kolēģija</w:t>
      </w:r>
    </w:p>
    <w:p w14:paraId="757B8DAF" w14:textId="77777777" w:rsidR="0028354C" w:rsidRPr="00161148" w:rsidRDefault="0028354C" w:rsidP="00161148">
      <w:pPr>
        <w:autoSpaceDE w:val="0"/>
        <w:autoSpaceDN w:val="0"/>
        <w:adjustRightInd w:val="0"/>
        <w:spacing w:line="276" w:lineRule="auto"/>
        <w:jc w:val="both"/>
        <w:rPr>
          <w:rFonts w:asciiTheme="majorBidi" w:hAnsiTheme="majorBidi" w:cstheme="majorBidi"/>
          <w:lang w:eastAsia="lv-LV"/>
        </w:rPr>
      </w:pPr>
    </w:p>
    <w:p w14:paraId="1FF75EC6" w14:textId="77777777" w:rsidR="0028354C" w:rsidRPr="00161148" w:rsidRDefault="0028354C" w:rsidP="00161148">
      <w:pPr>
        <w:autoSpaceDE w:val="0"/>
        <w:autoSpaceDN w:val="0"/>
        <w:adjustRightInd w:val="0"/>
        <w:spacing w:line="276" w:lineRule="auto"/>
        <w:jc w:val="center"/>
        <w:rPr>
          <w:rFonts w:asciiTheme="majorBidi" w:hAnsiTheme="majorBidi" w:cstheme="majorBidi"/>
          <w:b/>
          <w:bCs/>
        </w:rPr>
      </w:pPr>
      <w:r w:rsidRPr="00161148">
        <w:rPr>
          <w:rFonts w:asciiTheme="majorBidi" w:hAnsiTheme="majorBidi" w:cstheme="majorBidi"/>
          <w:b/>
          <w:bCs/>
        </w:rPr>
        <w:t xml:space="preserve">nolēma </w:t>
      </w:r>
    </w:p>
    <w:p w14:paraId="6FFB907E" w14:textId="77777777" w:rsidR="0028354C" w:rsidRPr="00161148" w:rsidRDefault="0028354C" w:rsidP="00161148">
      <w:pPr>
        <w:pStyle w:val="NoSpacing"/>
        <w:spacing w:line="276" w:lineRule="auto"/>
        <w:rPr>
          <w:rFonts w:asciiTheme="majorBidi" w:hAnsiTheme="majorBidi" w:cstheme="majorBidi"/>
          <w:lang w:val="lv-LV"/>
        </w:rPr>
      </w:pPr>
    </w:p>
    <w:p w14:paraId="20E32551" w14:textId="3C5C5743" w:rsidR="0028354C" w:rsidRPr="00161148" w:rsidRDefault="0028354C" w:rsidP="00161148">
      <w:pPr>
        <w:autoSpaceDE w:val="0"/>
        <w:autoSpaceDN w:val="0"/>
        <w:adjustRightInd w:val="0"/>
        <w:spacing w:line="276" w:lineRule="auto"/>
        <w:ind w:firstLine="720"/>
        <w:jc w:val="both"/>
        <w:rPr>
          <w:rFonts w:asciiTheme="majorBidi" w:hAnsiTheme="majorBidi" w:cstheme="majorBidi"/>
          <w:lang w:val="lt-LT"/>
        </w:rPr>
      </w:pPr>
      <w:r w:rsidRPr="00161148">
        <w:rPr>
          <w:rFonts w:asciiTheme="majorBidi" w:hAnsiTheme="majorBidi" w:cstheme="majorBidi"/>
          <w:lang w:eastAsia="lv-LV"/>
        </w:rPr>
        <w:t xml:space="preserve">atteikt </w:t>
      </w:r>
      <w:r w:rsidRPr="00161148">
        <w:rPr>
          <w:rFonts w:asciiTheme="majorBidi" w:hAnsiTheme="majorBidi" w:cstheme="majorBidi"/>
        </w:rPr>
        <w:t xml:space="preserve">ierosināt kasācijas tiesvedību sakarā ar </w:t>
      </w:r>
      <w:r w:rsidR="008A2E25" w:rsidRPr="00161148">
        <w:rPr>
          <w:rFonts w:asciiTheme="majorBidi" w:hAnsiTheme="majorBidi" w:cstheme="majorBidi"/>
          <w:lang w:val="lt-LT"/>
        </w:rPr>
        <w:t>[nosaukums] [augstskolas]</w:t>
      </w:r>
      <w:r w:rsidR="00D431AA" w:rsidRPr="00161148">
        <w:rPr>
          <w:rFonts w:asciiTheme="majorBidi" w:hAnsiTheme="majorBidi" w:cstheme="majorBidi"/>
          <w:lang w:val="lt-LT"/>
        </w:rPr>
        <w:t xml:space="preserve"> sūdzību un </w:t>
      </w:r>
      <w:r w:rsidR="008A2E25" w:rsidRPr="00161148">
        <w:rPr>
          <w:rFonts w:asciiTheme="majorBidi" w:hAnsiTheme="majorBidi" w:cstheme="majorBidi"/>
          <w:lang w:val="lt-LT"/>
        </w:rPr>
        <w:t xml:space="preserve">[pers. A] </w:t>
      </w:r>
      <w:r w:rsidR="00D431AA" w:rsidRPr="00161148">
        <w:rPr>
          <w:rFonts w:asciiTheme="majorBidi" w:hAnsiTheme="majorBidi" w:cstheme="majorBidi"/>
          <w:lang w:val="lt-LT"/>
        </w:rPr>
        <w:t>pretsūdzību par Rīgas apgabaltiesas 2025. gada 13. janvāra spriedumu.</w:t>
      </w:r>
    </w:p>
    <w:p w14:paraId="451B4B80" w14:textId="77777777" w:rsidR="0028354C" w:rsidRPr="00161148" w:rsidRDefault="0028354C" w:rsidP="00161148">
      <w:pPr>
        <w:pStyle w:val="NoSpacing"/>
        <w:spacing w:line="276" w:lineRule="auto"/>
        <w:rPr>
          <w:rFonts w:asciiTheme="majorBidi" w:hAnsiTheme="majorBidi" w:cstheme="majorBidi"/>
          <w:lang w:val="lv-LV"/>
        </w:rPr>
      </w:pPr>
    </w:p>
    <w:p w14:paraId="432C3462" w14:textId="77777777" w:rsidR="0028354C" w:rsidRPr="00161148" w:rsidRDefault="0028354C" w:rsidP="00161148">
      <w:pPr>
        <w:pStyle w:val="NoSpacing"/>
        <w:spacing w:line="276" w:lineRule="auto"/>
        <w:ind w:firstLine="720"/>
        <w:rPr>
          <w:rFonts w:asciiTheme="majorBidi" w:hAnsiTheme="majorBidi" w:cstheme="majorBidi"/>
          <w:lang w:val="lv-LV"/>
        </w:rPr>
      </w:pPr>
      <w:r w:rsidRPr="00161148">
        <w:rPr>
          <w:rFonts w:asciiTheme="majorBidi" w:hAnsiTheme="majorBidi" w:cstheme="majorBidi"/>
          <w:lang w:val="lv-LV"/>
        </w:rPr>
        <w:t>Lēmums nav pārsūdzams.</w:t>
      </w:r>
    </w:p>
    <w:sectPr w:rsidR="0028354C" w:rsidRPr="00161148" w:rsidSect="00CB53AD">
      <w:footerReference w:type="default" r:id="rId14"/>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3B06F" w14:textId="77777777" w:rsidR="0061333D" w:rsidRDefault="0061333D" w:rsidP="00C737C4">
      <w:r>
        <w:separator/>
      </w:r>
    </w:p>
  </w:endnote>
  <w:endnote w:type="continuationSeparator" w:id="0">
    <w:p w14:paraId="5AE250D6" w14:textId="77777777" w:rsidR="0061333D" w:rsidRDefault="0061333D" w:rsidP="00C7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30D2C" w14:textId="77777777" w:rsidR="00B3093D" w:rsidRPr="008024C0" w:rsidRDefault="00000000" w:rsidP="00B3093D">
    <w:pPr>
      <w:pStyle w:val="Footer"/>
      <w:jc w:val="center"/>
      <w:rPr>
        <w:sz w:val="20"/>
        <w:szCs w:val="20"/>
      </w:rPr>
    </w:pPr>
    <w:sdt>
      <w:sdtPr>
        <w:rPr>
          <w:sz w:val="20"/>
          <w:szCs w:val="20"/>
        </w:rPr>
        <w:id w:val="-1705238520"/>
        <w:docPartObj>
          <w:docPartGallery w:val="Page Numbers (Top of Page)"/>
          <w:docPartUnique/>
        </w:docPartObj>
      </w:sdtPr>
      <w:sdtContent>
        <w:r w:rsidR="00B3093D" w:rsidRPr="00C737C4">
          <w:rPr>
            <w:sz w:val="20"/>
            <w:szCs w:val="20"/>
          </w:rPr>
          <w:fldChar w:fldCharType="begin"/>
        </w:r>
        <w:r w:rsidR="00B3093D" w:rsidRPr="00C737C4">
          <w:rPr>
            <w:sz w:val="20"/>
            <w:szCs w:val="20"/>
          </w:rPr>
          <w:instrText>PAGE</w:instrText>
        </w:r>
        <w:r w:rsidR="00B3093D" w:rsidRPr="00C737C4">
          <w:rPr>
            <w:sz w:val="20"/>
            <w:szCs w:val="20"/>
          </w:rPr>
          <w:fldChar w:fldCharType="separate"/>
        </w:r>
        <w:r w:rsidR="00B3093D">
          <w:rPr>
            <w:sz w:val="20"/>
            <w:szCs w:val="20"/>
          </w:rPr>
          <w:t>3</w:t>
        </w:r>
        <w:r w:rsidR="00B3093D" w:rsidRPr="00C737C4">
          <w:rPr>
            <w:sz w:val="20"/>
            <w:szCs w:val="20"/>
          </w:rPr>
          <w:fldChar w:fldCharType="end"/>
        </w:r>
        <w:r w:rsidR="00B3093D" w:rsidRPr="00C737C4">
          <w:rPr>
            <w:sz w:val="20"/>
            <w:szCs w:val="20"/>
          </w:rPr>
          <w:t xml:space="preserve"> no </w:t>
        </w:r>
        <w:r w:rsidR="00B3093D" w:rsidRPr="00C737C4">
          <w:rPr>
            <w:sz w:val="20"/>
            <w:szCs w:val="20"/>
          </w:rPr>
          <w:fldChar w:fldCharType="begin"/>
        </w:r>
        <w:r w:rsidR="00B3093D" w:rsidRPr="00C737C4">
          <w:rPr>
            <w:sz w:val="20"/>
            <w:szCs w:val="20"/>
          </w:rPr>
          <w:instrText>NUMPAGES</w:instrText>
        </w:r>
        <w:r w:rsidR="00B3093D" w:rsidRPr="00C737C4">
          <w:rPr>
            <w:sz w:val="20"/>
            <w:szCs w:val="20"/>
          </w:rPr>
          <w:fldChar w:fldCharType="separate"/>
        </w:r>
        <w:r w:rsidR="00B3093D">
          <w:rPr>
            <w:sz w:val="20"/>
            <w:szCs w:val="20"/>
          </w:rPr>
          <w:t>4</w:t>
        </w:r>
        <w:r w:rsidR="00B3093D" w:rsidRPr="00C737C4">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C5835" w14:textId="77777777" w:rsidR="0061333D" w:rsidRDefault="0061333D" w:rsidP="00C737C4">
      <w:r>
        <w:separator/>
      </w:r>
    </w:p>
  </w:footnote>
  <w:footnote w:type="continuationSeparator" w:id="0">
    <w:p w14:paraId="0B136AF3" w14:textId="77777777" w:rsidR="0061333D" w:rsidRDefault="0061333D" w:rsidP="00C737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463736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1532A"/>
    <w:rsid w:val="00015762"/>
    <w:rsid w:val="00030706"/>
    <w:rsid w:val="00067C68"/>
    <w:rsid w:val="000702B6"/>
    <w:rsid w:val="000A6497"/>
    <w:rsid w:val="000A696D"/>
    <w:rsid w:val="000A70F3"/>
    <w:rsid w:val="000D3994"/>
    <w:rsid w:val="000D7BAA"/>
    <w:rsid w:val="000F0486"/>
    <w:rsid w:val="001167C1"/>
    <w:rsid w:val="00120504"/>
    <w:rsid w:val="00142D09"/>
    <w:rsid w:val="00145F36"/>
    <w:rsid w:val="00154BF0"/>
    <w:rsid w:val="00161148"/>
    <w:rsid w:val="00177A7F"/>
    <w:rsid w:val="001928DF"/>
    <w:rsid w:val="001B4138"/>
    <w:rsid w:val="001B5010"/>
    <w:rsid w:val="001C3561"/>
    <w:rsid w:val="001D5A85"/>
    <w:rsid w:val="001E4C82"/>
    <w:rsid w:val="001F4AD5"/>
    <w:rsid w:val="001F7781"/>
    <w:rsid w:val="0020038E"/>
    <w:rsid w:val="002040A9"/>
    <w:rsid w:val="00220F26"/>
    <w:rsid w:val="0022547C"/>
    <w:rsid w:val="0024302D"/>
    <w:rsid w:val="002666AE"/>
    <w:rsid w:val="00270D55"/>
    <w:rsid w:val="0028354C"/>
    <w:rsid w:val="002A705D"/>
    <w:rsid w:val="002D1F90"/>
    <w:rsid w:val="002E4276"/>
    <w:rsid w:val="002E5F75"/>
    <w:rsid w:val="002E71AC"/>
    <w:rsid w:val="00301EFB"/>
    <w:rsid w:val="00304D29"/>
    <w:rsid w:val="00305421"/>
    <w:rsid w:val="00310356"/>
    <w:rsid w:val="00310E45"/>
    <w:rsid w:val="00322FEB"/>
    <w:rsid w:val="00324832"/>
    <w:rsid w:val="00327EC2"/>
    <w:rsid w:val="00337AC9"/>
    <w:rsid w:val="0038618E"/>
    <w:rsid w:val="003B4A22"/>
    <w:rsid w:val="003C6E47"/>
    <w:rsid w:val="00402943"/>
    <w:rsid w:val="004043F0"/>
    <w:rsid w:val="00407650"/>
    <w:rsid w:val="004303D6"/>
    <w:rsid w:val="00431EC4"/>
    <w:rsid w:val="00433C7E"/>
    <w:rsid w:val="00437E92"/>
    <w:rsid w:val="00447EE6"/>
    <w:rsid w:val="004616BC"/>
    <w:rsid w:val="004828D8"/>
    <w:rsid w:val="00496B44"/>
    <w:rsid w:val="004B2A94"/>
    <w:rsid w:val="004C5977"/>
    <w:rsid w:val="004E1C7F"/>
    <w:rsid w:val="004F6B11"/>
    <w:rsid w:val="0050724D"/>
    <w:rsid w:val="00510BA3"/>
    <w:rsid w:val="00523479"/>
    <w:rsid w:val="00547C02"/>
    <w:rsid w:val="0056155D"/>
    <w:rsid w:val="00567624"/>
    <w:rsid w:val="005861A3"/>
    <w:rsid w:val="005A20AF"/>
    <w:rsid w:val="005A70F2"/>
    <w:rsid w:val="005C4703"/>
    <w:rsid w:val="005D0AB5"/>
    <w:rsid w:val="005D4844"/>
    <w:rsid w:val="005E5CDB"/>
    <w:rsid w:val="005F7F13"/>
    <w:rsid w:val="00612C06"/>
    <w:rsid w:val="0061333D"/>
    <w:rsid w:val="0061491F"/>
    <w:rsid w:val="006266C1"/>
    <w:rsid w:val="0063391E"/>
    <w:rsid w:val="006756FD"/>
    <w:rsid w:val="00685686"/>
    <w:rsid w:val="00686327"/>
    <w:rsid w:val="006B42D6"/>
    <w:rsid w:val="006D1889"/>
    <w:rsid w:val="006E5B90"/>
    <w:rsid w:val="006F1235"/>
    <w:rsid w:val="006F4696"/>
    <w:rsid w:val="00701AF4"/>
    <w:rsid w:val="007068B7"/>
    <w:rsid w:val="00716F9C"/>
    <w:rsid w:val="00733E32"/>
    <w:rsid w:val="0075240B"/>
    <w:rsid w:val="00754643"/>
    <w:rsid w:val="00756790"/>
    <w:rsid w:val="00761F37"/>
    <w:rsid w:val="00762AFD"/>
    <w:rsid w:val="007B0CEE"/>
    <w:rsid w:val="007B2C5A"/>
    <w:rsid w:val="007B4609"/>
    <w:rsid w:val="007D2196"/>
    <w:rsid w:val="007E7BA1"/>
    <w:rsid w:val="007F35BE"/>
    <w:rsid w:val="008024C0"/>
    <w:rsid w:val="00803714"/>
    <w:rsid w:val="00846372"/>
    <w:rsid w:val="008A2354"/>
    <w:rsid w:val="008A2E25"/>
    <w:rsid w:val="008D264E"/>
    <w:rsid w:val="008F0317"/>
    <w:rsid w:val="009010FE"/>
    <w:rsid w:val="00911044"/>
    <w:rsid w:val="009254FA"/>
    <w:rsid w:val="00925AD1"/>
    <w:rsid w:val="00930B84"/>
    <w:rsid w:val="009701BC"/>
    <w:rsid w:val="00973401"/>
    <w:rsid w:val="00986D8E"/>
    <w:rsid w:val="00991E78"/>
    <w:rsid w:val="00994D52"/>
    <w:rsid w:val="009A3FF9"/>
    <w:rsid w:val="009A4AD5"/>
    <w:rsid w:val="009C3AB6"/>
    <w:rsid w:val="009D7F92"/>
    <w:rsid w:val="009F16D0"/>
    <w:rsid w:val="009F30D9"/>
    <w:rsid w:val="009F4D7F"/>
    <w:rsid w:val="00A05821"/>
    <w:rsid w:val="00A12039"/>
    <w:rsid w:val="00A17BCF"/>
    <w:rsid w:val="00A20C7D"/>
    <w:rsid w:val="00A375CA"/>
    <w:rsid w:val="00A61307"/>
    <w:rsid w:val="00A72CFB"/>
    <w:rsid w:val="00A74C99"/>
    <w:rsid w:val="00A76D1B"/>
    <w:rsid w:val="00A8780B"/>
    <w:rsid w:val="00A90066"/>
    <w:rsid w:val="00AA22BC"/>
    <w:rsid w:val="00AB5730"/>
    <w:rsid w:val="00AB57F3"/>
    <w:rsid w:val="00AC3375"/>
    <w:rsid w:val="00AE1D08"/>
    <w:rsid w:val="00AF1C71"/>
    <w:rsid w:val="00AF40A3"/>
    <w:rsid w:val="00AF6DF3"/>
    <w:rsid w:val="00B04104"/>
    <w:rsid w:val="00B3093D"/>
    <w:rsid w:val="00B34C04"/>
    <w:rsid w:val="00B54651"/>
    <w:rsid w:val="00B54656"/>
    <w:rsid w:val="00B54F4B"/>
    <w:rsid w:val="00B57E27"/>
    <w:rsid w:val="00B81BC1"/>
    <w:rsid w:val="00B9170C"/>
    <w:rsid w:val="00B935E9"/>
    <w:rsid w:val="00BC68B5"/>
    <w:rsid w:val="00C0461C"/>
    <w:rsid w:val="00C118FE"/>
    <w:rsid w:val="00C20783"/>
    <w:rsid w:val="00C27CF4"/>
    <w:rsid w:val="00C45185"/>
    <w:rsid w:val="00C5023B"/>
    <w:rsid w:val="00C56160"/>
    <w:rsid w:val="00C737C4"/>
    <w:rsid w:val="00C83A46"/>
    <w:rsid w:val="00C91B81"/>
    <w:rsid w:val="00CA10C2"/>
    <w:rsid w:val="00CA3109"/>
    <w:rsid w:val="00CB53AD"/>
    <w:rsid w:val="00CC3EBC"/>
    <w:rsid w:val="00CD65F0"/>
    <w:rsid w:val="00CF576B"/>
    <w:rsid w:val="00D431AA"/>
    <w:rsid w:val="00D4376A"/>
    <w:rsid w:val="00D7284E"/>
    <w:rsid w:val="00D732C3"/>
    <w:rsid w:val="00D7655A"/>
    <w:rsid w:val="00DA60D6"/>
    <w:rsid w:val="00DD3FFF"/>
    <w:rsid w:val="00DD456B"/>
    <w:rsid w:val="00E044C5"/>
    <w:rsid w:val="00E10C8A"/>
    <w:rsid w:val="00E115E2"/>
    <w:rsid w:val="00E15466"/>
    <w:rsid w:val="00E1558F"/>
    <w:rsid w:val="00E15FD7"/>
    <w:rsid w:val="00E24AF9"/>
    <w:rsid w:val="00E32DD4"/>
    <w:rsid w:val="00E44131"/>
    <w:rsid w:val="00E47018"/>
    <w:rsid w:val="00E50725"/>
    <w:rsid w:val="00E63415"/>
    <w:rsid w:val="00E67FF8"/>
    <w:rsid w:val="00E823EE"/>
    <w:rsid w:val="00E94D8D"/>
    <w:rsid w:val="00EA585F"/>
    <w:rsid w:val="00EB5B4A"/>
    <w:rsid w:val="00EC4444"/>
    <w:rsid w:val="00ED048A"/>
    <w:rsid w:val="00ED0963"/>
    <w:rsid w:val="00ED2C91"/>
    <w:rsid w:val="00EE0FBC"/>
    <w:rsid w:val="00EF6B15"/>
    <w:rsid w:val="00F16D48"/>
    <w:rsid w:val="00F2450E"/>
    <w:rsid w:val="00F34DA6"/>
    <w:rsid w:val="00F428E0"/>
    <w:rsid w:val="00F45B5B"/>
    <w:rsid w:val="00F7278B"/>
    <w:rsid w:val="00F82C4E"/>
    <w:rsid w:val="00FA16DC"/>
    <w:rsid w:val="00FA3112"/>
    <w:rsid w:val="00FA4B5D"/>
    <w:rsid w:val="00FB1592"/>
    <w:rsid w:val="00FD3191"/>
    <w:rsid w:val="00FD3BE4"/>
    <w:rsid w:val="00FE1328"/>
    <w:rsid w:val="00FE1C38"/>
    <w:rsid w:val="00FE4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C737C4"/>
    <w:pPr>
      <w:tabs>
        <w:tab w:val="center" w:pos="4513"/>
        <w:tab w:val="right" w:pos="9026"/>
      </w:tabs>
    </w:pPr>
  </w:style>
  <w:style w:type="character" w:customStyle="1" w:styleId="HeaderChar">
    <w:name w:val="Header Char"/>
    <w:basedOn w:val="DefaultParagraphFont"/>
    <w:link w:val="Header"/>
    <w:uiPriority w:val="99"/>
    <w:rsid w:val="00C737C4"/>
    <w:rPr>
      <w:rFonts w:eastAsia="Times New Roman" w:cs="Times New Roman"/>
      <w:szCs w:val="24"/>
      <w:lang w:val="lv-LV" w:eastAsia="ru-RU"/>
    </w:rPr>
  </w:style>
  <w:style w:type="paragraph" w:styleId="Footer">
    <w:name w:val="footer"/>
    <w:basedOn w:val="Normal"/>
    <w:link w:val="FooterChar"/>
    <w:uiPriority w:val="99"/>
    <w:unhideWhenUsed/>
    <w:rsid w:val="00C737C4"/>
    <w:pPr>
      <w:tabs>
        <w:tab w:val="center" w:pos="4513"/>
        <w:tab w:val="right" w:pos="9026"/>
      </w:tabs>
    </w:pPr>
  </w:style>
  <w:style w:type="character" w:customStyle="1" w:styleId="FooterChar">
    <w:name w:val="Footer Char"/>
    <w:basedOn w:val="DefaultParagraphFont"/>
    <w:link w:val="Footer"/>
    <w:uiPriority w:val="99"/>
    <w:rsid w:val="00C737C4"/>
    <w:rPr>
      <w:rFonts w:eastAsia="Times New Roman" w:cs="Times New Roman"/>
      <w:szCs w:val="24"/>
      <w:lang w:val="lv-LV" w:eastAsia="ru-RU"/>
    </w:rPr>
  </w:style>
  <w:style w:type="paragraph" w:customStyle="1" w:styleId="Style2">
    <w:name w:val="Style2"/>
    <w:basedOn w:val="Normal"/>
    <w:link w:val="Style2Char"/>
    <w:qFormat/>
    <w:rsid w:val="00EE0FBC"/>
    <w:pPr>
      <w:autoSpaceDE w:val="0"/>
      <w:autoSpaceDN w:val="0"/>
      <w:adjustRightInd w:val="0"/>
      <w:spacing w:line="276" w:lineRule="auto"/>
      <w:jc w:val="both"/>
    </w:pPr>
    <w:rPr>
      <w:rFonts w:eastAsiaTheme="minorHAnsi" w:cstheme="minorBidi"/>
      <w:lang w:val="lt-LT" w:eastAsia="en-US"/>
    </w:rPr>
  </w:style>
  <w:style w:type="character" w:customStyle="1" w:styleId="Style2Char">
    <w:name w:val="Style2 Char"/>
    <w:basedOn w:val="DefaultParagraphFont"/>
    <w:link w:val="Style2"/>
    <w:rsid w:val="00EE0FBC"/>
    <w:rPr>
      <w:szCs w:val="24"/>
      <w:lang w:val="lt-LT"/>
    </w:rPr>
  </w:style>
  <w:style w:type="paragraph" w:styleId="NoSpacing">
    <w:name w:val="No Spacing"/>
    <w:link w:val="NoSpacingChar"/>
    <w:uiPriority w:val="1"/>
    <w:qFormat/>
    <w:rsid w:val="0028354C"/>
    <w:pPr>
      <w:spacing w:after="0" w:line="240" w:lineRule="auto"/>
    </w:pPr>
  </w:style>
  <w:style w:type="character" w:customStyle="1" w:styleId="NoSpacingChar">
    <w:name w:val="No Spacing Char"/>
    <w:link w:val="NoSpacing"/>
    <w:uiPriority w:val="1"/>
    <w:locked/>
    <w:rsid w:val="0028354C"/>
  </w:style>
  <w:style w:type="character" w:styleId="Hyperlink">
    <w:name w:val="Hyperlink"/>
    <w:basedOn w:val="DefaultParagraphFont"/>
    <w:uiPriority w:val="99"/>
    <w:unhideWhenUsed/>
    <w:rsid w:val="0022547C"/>
    <w:rPr>
      <w:color w:val="0563C1" w:themeColor="hyperlink"/>
      <w:u w:val="single"/>
    </w:rPr>
  </w:style>
  <w:style w:type="character" w:styleId="FollowedHyperlink">
    <w:name w:val="FollowedHyperlink"/>
    <w:basedOn w:val="DefaultParagraphFont"/>
    <w:uiPriority w:val="99"/>
    <w:semiHidden/>
    <w:unhideWhenUsed/>
    <w:rsid w:val="0022547C"/>
    <w:rPr>
      <w:color w:val="954F72" w:themeColor="followedHyperlink"/>
      <w:u w:val="single"/>
    </w:rPr>
  </w:style>
  <w:style w:type="paragraph" w:styleId="TOC2">
    <w:name w:val="toc 2"/>
    <w:basedOn w:val="Normal"/>
    <w:next w:val="Normal"/>
    <w:autoRedefine/>
    <w:uiPriority w:val="39"/>
    <w:unhideWhenUsed/>
    <w:rsid w:val="009010FE"/>
    <w:pPr>
      <w:tabs>
        <w:tab w:val="right" w:leader="dot" w:pos="9962"/>
      </w:tabs>
      <w:spacing w:before="120" w:after="120"/>
      <w:ind w:left="238"/>
    </w:pPr>
    <w:rPr>
      <w:rFonts w:eastAsiaTheme="minorHAnsi" w:cstheme="minorHAnsi"/>
      <w:iCs/>
      <w:szCs w:val="20"/>
      <w:lang w:eastAsia="en-US"/>
    </w:rPr>
  </w:style>
  <w:style w:type="paragraph" w:styleId="Revision">
    <w:name w:val="Revision"/>
    <w:hidden/>
    <w:uiPriority w:val="99"/>
    <w:semiHidden/>
    <w:rsid w:val="00994D52"/>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FE1328"/>
    <w:rPr>
      <w:sz w:val="16"/>
      <w:szCs w:val="16"/>
    </w:rPr>
  </w:style>
  <w:style w:type="paragraph" w:styleId="CommentText">
    <w:name w:val="annotation text"/>
    <w:basedOn w:val="Normal"/>
    <w:link w:val="CommentTextChar"/>
    <w:uiPriority w:val="99"/>
    <w:unhideWhenUsed/>
    <w:rsid w:val="00FE1328"/>
    <w:rPr>
      <w:sz w:val="20"/>
      <w:szCs w:val="20"/>
    </w:rPr>
  </w:style>
  <w:style w:type="character" w:customStyle="1" w:styleId="CommentTextChar">
    <w:name w:val="Comment Text Char"/>
    <w:basedOn w:val="DefaultParagraphFont"/>
    <w:link w:val="CommentText"/>
    <w:uiPriority w:val="99"/>
    <w:rsid w:val="00FE1328"/>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E1328"/>
    <w:rPr>
      <w:b/>
      <w:bCs/>
    </w:rPr>
  </w:style>
  <w:style w:type="character" w:customStyle="1" w:styleId="CommentSubjectChar">
    <w:name w:val="Comment Subject Char"/>
    <w:basedOn w:val="CommentTextChar"/>
    <w:link w:val="CommentSubject"/>
    <w:uiPriority w:val="99"/>
    <w:semiHidden/>
    <w:rsid w:val="00FE1328"/>
    <w:rPr>
      <w:rFonts w:eastAsia="Times New Roman" w:cs="Times New Roman"/>
      <w:b/>
      <w:bCs/>
      <w:sz w:val="20"/>
      <w:szCs w:val="20"/>
      <w:lang w:val="lv-LV" w:eastAsia="ru-RU"/>
    </w:rPr>
  </w:style>
  <w:style w:type="character" w:styleId="UnresolvedMention">
    <w:name w:val="Unresolved Mention"/>
    <w:basedOn w:val="DefaultParagraphFont"/>
    <w:uiPriority w:val="99"/>
    <w:semiHidden/>
    <w:unhideWhenUsed/>
    <w:rsid w:val="00C11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59ccae3-df38-48a5-9899-c7082894d3a8" TargetMode="External"/><Relationship Id="rId13" Type="http://schemas.openxmlformats.org/officeDocument/2006/relationships/hyperlink" Target="https://www.at.gov.lv/downloadlawfile/299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t.gov.lv/downloadlawfile/545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1096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t.gov.lv/downloadlawfile/10107" TargetMode="External"/><Relationship Id="rId4" Type="http://schemas.openxmlformats.org/officeDocument/2006/relationships/settings" Target="settings.xml"/><Relationship Id="rId9" Type="http://schemas.openxmlformats.org/officeDocument/2006/relationships/hyperlink" Target="https://www.at.gov.lv/downloadlawfile/523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A20B3-EA30-4557-B19C-31B79933B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5949</Words>
  <Characters>3392</Characters>
  <Application>Microsoft Office Word</Application>
  <DocSecurity>0</DocSecurity>
  <Lines>28</Lines>
  <Paragraphs>18</Paragraphs>
  <ScaleCrop>false</ScaleCrop>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2026-01-07T11:43:00Z</dcterms:created>
  <dcterms:modified xsi:type="dcterms:W3CDTF">2026-01-07T15:42:00Z</dcterms:modified>
</cp:coreProperties>
</file>