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3ADD4" w14:textId="77777777" w:rsidR="00FE34B3" w:rsidRDefault="00FE34B3" w:rsidP="004928DA">
      <w:pPr>
        <w:spacing w:line="276" w:lineRule="auto"/>
        <w:jc w:val="both"/>
        <w:rPr>
          <w:b/>
          <w:bCs/>
          <w:szCs w:val="22"/>
          <w:lang w:eastAsia="lv-LV"/>
        </w:rPr>
      </w:pPr>
      <w:r>
        <w:rPr>
          <w:b/>
          <w:bCs/>
        </w:rPr>
        <w:t>Valsts atbalsta programmā Covid-19 krīzes skartajiem uzņēmumiem papilddarbības deklarēšana neatbalstāmajā nozarē pati par sevi nav šķērslis pretendēt uz valsts atbalstu vispār</w:t>
      </w:r>
    </w:p>
    <w:p w14:paraId="6053D893" w14:textId="7A9F4D75" w:rsidR="00FE34B3" w:rsidRDefault="00FE34B3" w:rsidP="004928DA">
      <w:pPr>
        <w:spacing w:line="276" w:lineRule="auto"/>
        <w:jc w:val="both"/>
      </w:pPr>
      <w:r>
        <w:t>Ministru kabineta 2020.gada 10.novembra noteikumu Nr. 676 „Noteikumi par atbalstu Covid-19 krīzes skartajiem uzņēmumiem apgrozāmo līdzekļu plūsmas nodrošināšanai” 16.8.apakšpunkts, kas liedz uzņēmumam pretendēt uz atbalstu par saimniecisko darbību minēto noteikumu 2.pielikumā minētajā nozarē, neliedz uzņēmumam pretendēt uz atbalstu nozarē, kurā bija noteikti saimnieciskās darbības ierobežojumi un kuru skāra Covid-19 krīze, turklāt neatkarīgi no tā, vai uzņēmums papildus veica (bija deklarējis) saimniecisko darbību vēl kādā nozarē.</w:t>
      </w:r>
    </w:p>
    <w:p w14:paraId="645338F4" w14:textId="3724E3D5" w:rsidR="00447EE6" w:rsidRPr="00011547" w:rsidRDefault="00447EE6" w:rsidP="004928DA">
      <w:pPr>
        <w:spacing w:before="240" w:line="276" w:lineRule="auto"/>
        <w:jc w:val="center"/>
        <w:rPr>
          <w:b/>
        </w:rPr>
      </w:pPr>
      <w:r w:rsidRPr="00011547">
        <w:rPr>
          <w:b/>
        </w:rPr>
        <w:t>Latvijas Republikas Senāt</w:t>
      </w:r>
      <w:r w:rsidR="004928DA">
        <w:rPr>
          <w:b/>
        </w:rPr>
        <w:t>a</w:t>
      </w:r>
      <w:r w:rsidR="004928DA">
        <w:rPr>
          <w:b/>
        </w:rPr>
        <w:br/>
        <w:t>Administratīvo lietu departamenta</w:t>
      </w:r>
      <w:r w:rsidR="004928DA">
        <w:rPr>
          <w:b/>
        </w:rPr>
        <w:br/>
        <w:t>2025.gada 24.oktobra</w:t>
      </w:r>
    </w:p>
    <w:p w14:paraId="67BCDFC6" w14:textId="05CD971A" w:rsidR="00447EE6" w:rsidRDefault="00793346" w:rsidP="004928DA">
      <w:pPr>
        <w:spacing w:line="276" w:lineRule="auto"/>
        <w:jc w:val="center"/>
        <w:rPr>
          <w:b/>
        </w:rPr>
      </w:pPr>
      <w:r>
        <w:rPr>
          <w:b/>
        </w:rPr>
        <w:t>SPRIEDUMS</w:t>
      </w:r>
    </w:p>
    <w:p w14:paraId="21350B26" w14:textId="0D2A1C4C" w:rsidR="004928DA" w:rsidRPr="004928DA" w:rsidRDefault="004928DA" w:rsidP="004928DA">
      <w:pPr>
        <w:spacing w:line="276" w:lineRule="auto"/>
        <w:contextualSpacing/>
        <w:jc w:val="center"/>
        <w:rPr>
          <w:b/>
          <w:bCs/>
        </w:rPr>
      </w:pPr>
      <w:r w:rsidRPr="004928DA">
        <w:rPr>
          <w:b/>
          <w:bCs/>
        </w:rPr>
        <w:t>Lieta Nr. A420229321, SKA</w:t>
      </w:r>
      <w:bookmarkStart w:id="0" w:name="_Hlk150346213"/>
      <w:r w:rsidRPr="004928DA">
        <w:rPr>
          <w:b/>
          <w:bCs/>
        </w:rPr>
        <w:noBreakHyphen/>
      </w:r>
      <w:bookmarkEnd w:id="0"/>
      <w:r w:rsidRPr="004928DA">
        <w:rPr>
          <w:b/>
          <w:bCs/>
        </w:rPr>
        <w:t>62/2025</w:t>
      </w:r>
    </w:p>
    <w:p w14:paraId="54953768" w14:textId="79650526" w:rsidR="004928DA" w:rsidRPr="004928DA" w:rsidRDefault="004928DA" w:rsidP="004928DA">
      <w:pPr>
        <w:spacing w:line="276" w:lineRule="auto"/>
        <w:jc w:val="center"/>
      </w:pPr>
      <w:r w:rsidRPr="004928DA">
        <w:t xml:space="preserve"> </w:t>
      </w:r>
      <w:hyperlink r:id="rId8" w:history="1">
        <w:r w:rsidRPr="004928DA">
          <w:rPr>
            <w:rStyle w:val="Hyperlink"/>
          </w:rPr>
          <w:t>ECLI:LV:AT:2025:1024.A420229321.12.S</w:t>
        </w:r>
      </w:hyperlink>
    </w:p>
    <w:p w14:paraId="4AF555FC" w14:textId="77777777" w:rsidR="00793346" w:rsidRDefault="00793346" w:rsidP="004928DA">
      <w:pPr>
        <w:spacing w:line="276" w:lineRule="auto"/>
        <w:jc w:val="both"/>
      </w:pPr>
    </w:p>
    <w:p w14:paraId="0F2A7EBF" w14:textId="02251AC9" w:rsidR="00F7588C" w:rsidRDefault="00447EE6" w:rsidP="004928DA">
      <w:pPr>
        <w:spacing w:line="276" w:lineRule="auto"/>
        <w:ind w:firstLine="720"/>
        <w:jc w:val="both"/>
      </w:pPr>
      <w:r>
        <w:t xml:space="preserve">Senāts </w:t>
      </w:r>
      <w:r w:rsidRPr="00011547">
        <w:t>šādā sastāvā</w:t>
      </w:r>
      <w:r>
        <w:t>:</w:t>
      </w:r>
      <w:r w:rsidR="00793346">
        <w:t xml:space="preserve"> </w:t>
      </w:r>
      <w:r w:rsidR="00793346" w:rsidRPr="00793346">
        <w:t>senatore referente Diāna</w:t>
      </w:r>
      <w:r w:rsidR="00007350">
        <w:t> </w:t>
      </w:r>
      <w:r w:rsidR="00793346" w:rsidRPr="00793346">
        <w:t xml:space="preserve">Makarova, </w:t>
      </w:r>
      <w:r w:rsidR="00793346" w:rsidRPr="000B6C5A">
        <w:t>senator</w:t>
      </w:r>
      <w:r w:rsidR="00F7588C">
        <w:t>es Dzintra</w:t>
      </w:r>
      <w:r w:rsidR="00007350">
        <w:t> </w:t>
      </w:r>
      <w:r w:rsidR="00F7588C">
        <w:t xml:space="preserve">Amerika un </w:t>
      </w:r>
      <w:r w:rsidR="00007350">
        <w:t>Anita Kovaļevska</w:t>
      </w:r>
    </w:p>
    <w:p w14:paraId="12EEC9B3" w14:textId="66ABBC6F" w:rsidR="00447EE6" w:rsidRDefault="00447EE6" w:rsidP="004928DA">
      <w:pPr>
        <w:spacing w:line="276" w:lineRule="auto"/>
        <w:ind w:firstLine="720"/>
        <w:jc w:val="both"/>
        <w:rPr>
          <w:lang w:eastAsia="lv-LV"/>
        </w:rPr>
      </w:pPr>
    </w:p>
    <w:p w14:paraId="224AF355" w14:textId="11B444E9" w:rsidR="000B3B71" w:rsidRDefault="006C785B" w:rsidP="004928DA">
      <w:pPr>
        <w:spacing w:line="276" w:lineRule="auto"/>
        <w:ind w:firstLine="720"/>
        <w:jc w:val="both"/>
      </w:pPr>
      <w:r w:rsidRPr="006C785B">
        <w:t xml:space="preserve">rakstveida procesā izskatīja administratīvo lietu, kas ierosināta, </w:t>
      </w:r>
      <w:r w:rsidR="009B6BA4" w:rsidRPr="009B6BA4">
        <w:t xml:space="preserve">pamatojoties uz pilnsabiedrības „POLLEO Latvija” pieteikumu par labvēlīga administratīvā akta izdošanu, </w:t>
      </w:r>
      <w:r w:rsidR="009B6BA4">
        <w:t>piešķirot</w:t>
      </w:r>
      <w:r w:rsidR="009B6BA4" w:rsidRPr="009B6BA4">
        <w:t xml:space="preserve"> atbalst</w:t>
      </w:r>
      <w:r w:rsidR="009B6BA4">
        <w:t>u</w:t>
      </w:r>
      <w:r w:rsidR="009B6BA4" w:rsidRPr="009B6BA4">
        <w:t xml:space="preserve"> apgrozāmo līdzekļu plūsmas nodrošināšanai par 2021.gada maiju,</w:t>
      </w:r>
      <w:r w:rsidR="009B6BA4">
        <w:t xml:space="preserve"> </w:t>
      </w:r>
      <w:r w:rsidRPr="006C785B">
        <w:t>sakarā ar</w:t>
      </w:r>
      <w:r w:rsidR="005F432A">
        <w:t xml:space="preserve"> </w:t>
      </w:r>
      <w:r w:rsidR="00572284">
        <w:t xml:space="preserve">Valsts ieņēmumu dienesta </w:t>
      </w:r>
      <w:r w:rsidRPr="006C785B">
        <w:t>kasācijas sūdzīb</w:t>
      </w:r>
      <w:r w:rsidR="007E2536">
        <w:t>u</w:t>
      </w:r>
      <w:r w:rsidRPr="006C785B">
        <w:t xml:space="preserve"> par Administratīvās apgabaltiesas </w:t>
      </w:r>
      <w:r w:rsidR="00A54E10" w:rsidRPr="00A54E10">
        <w:t>202</w:t>
      </w:r>
      <w:r w:rsidR="005F432A">
        <w:t>3</w:t>
      </w:r>
      <w:r w:rsidR="00A54E10" w:rsidRPr="00A54E10">
        <w:t xml:space="preserve">.gada </w:t>
      </w:r>
      <w:r w:rsidR="00572284">
        <w:t>2</w:t>
      </w:r>
      <w:r w:rsidR="009B6BA4">
        <w:t>8</w:t>
      </w:r>
      <w:r w:rsidR="00572284">
        <w:t>.marta</w:t>
      </w:r>
      <w:r w:rsidR="0006024F">
        <w:t xml:space="preserve"> </w:t>
      </w:r>
      <w:r w:rsidRPr="006C785B">
        <w:t>spriedumu.</w:t>
      </w:r>
    </w:p>
    <w:p w14:paraId="0AD60069" w14:textId="77777777" w:rsidR="008F79A9" w:rsidRPr="008F79A9" w:rsidRDefault="008F79A9" w:rsidP="004928DA">
      <w:pPr>
        <w:spacing w:before="360" w:after="360" w:line="276" w:lineRule="auto"/>
        <w:jc w:val="center"/>
        <w:rPr>
          <w:noProof/>
        </w:rPr>
      </w:pPr>
      <w:r w:rsidRPr="008F79A9">
        <w:rPr>
          <w:b/>
          <w:shd w:val="clear" w:color="auto" w:fill="FFFFFF"/>
        </w:rPr>
        <w:t>Aprakstošā</w:t>
      </w:r>
      <w:r w:rsidRPr="008F79A9">
        <w:rPr>
          <w:noProof/>
        </w:rPr>
        <w:t xml:space="preserve"> </w:t>
      </w:r>
      <w:r w:rsidRPr="008F79A9">
        <w:rPr>
          <w:b/>
          <w:shd w:val="clear" w:color="auto" w:fill="FFFFFF"/>
        </w:rPr>
        <w:t>daļa</w:t>
      </w:r>
    </w:p>
    <w:p w14:paraId="3C964878" w14:textId="661A96BC" w:rsidR="00AA1826" w:rsidRPr="008C432F" w:rsidRDefault="005F432A" w:rsidP="004928DA">
      <w:pPr>
        <w:spacing w:line="276" w:lineRule="auto"/>
        <w:ind w:firstLine="720"/>
        <w:contextualSpacing/>
        <w:jc w:val="both"/>
        <w:rPr>
          <w:shd w:val="clear" w:color="auto" w:fill="FFFFFF"/>
        </w:rPr>
      </w:pPr>
      <w:r w:rsidRPr="005F432A">
        <w:rPr>
          <w:shd w:val="clear" w:color="auto" w:fill="FFFFFF"/>
        </w:rPr>
        <w:t>[1]</w:t>
      </w:r>
      <w:r>
        <w:rPr>
          <w:shd w:val="clear" w:color="auto" w:fill="FFFFFF"/>
        </w:rPr>
        <w:t> </w:t>
      </w:r>
      <w:r w:rsidR="009B6BA4">
        <w:rPr>
          <w:shd w:val="clear" w:color="auto" w:fill="FFFFFF"/>
        </w:rPr>
        <w:t xml:space="preserve">Pieteicēja </w:t>
      </w:r>
      <w:r w:rsidR="008C432F">
        <w:rPr>
          <w:shd w:val="clear" w:color="auto" w:fill="FFFFFF"/>
        </w:rPr>
        <w:t xml:space="preserve">– </w:t>
      </w:r>
      <w:r w:rsidR="009B6BA4" w:rsidRPr="009B6BA4">
        <w:t>pilnsabiedrība „POLLEO Latvija”</w:t>
      </w:r>
      <w:r w:rsidR="008C432F">
        <w:t xml:space="preserve"> </w:t>
      </w:r>
      <w:r w:rsidR="008C432F">
        <w:rPr>
          <w:shd w:val="clear" w:color="auto" w:fill="FFFFFF"/>
        </w:rPr>
        <w:t>–</w:t>
      </w:r>
      <w:r w:rsidR="009B6BA4">
        <w:t xml:space="preserve"> vērsās Valsts ieņēmumu dienestā</w:t>
      </w:r>
      <w:r w:rsidR="00497AD2">
        <w:t xml:space="preserve"> (turpmāk – dienests)</w:t>
      </w:r>
      <w:r w:rsidR="009B6BA4">
        <w:t xml:space="preserve">, lūdzot </w:t>
      </w:r>
      <w:r w:rsidR="009B6BA4" w:rsidRPr="009B6BA4">
        <w:t>atbalst</w:t>
      </w:r>
      <w:r w:rsidR="009B6BA4">
        <w:t>u</w:t>
      </w:r>
      <w:r w:rsidR="009B6BA4" w:rsidRPr="009B6BA4">
        <w:t xml:space="preserve"> apgrozāmo līdzekļu plūsmas nodrošināšanai par 2021.gada maiju</w:t>
      </w:r>
      <w:r w:rsidR="009B6BA4">
        <w:t>.</w:t>
      </w:r>
    </w:p>
    <w:p w14:paraId="1492CC40" w14:textId="685347B7" w:rsidR="00AA1826" w:rsidRDefault="009D1C3D" w:rsidP="004928DA">
      <w:pPr>
        <w:spacing w:line="276" w:lineRule="auto"/>
        <w:ind w:firstLine="720"/>
        <w:contextualSpacing/>
        <w:jc w:val="both"/>
      </w:pPr>
      <w:r>
        <w:t>D</w:t>
      </w:r>
      <w:r w:rsidR="009B6BA4">
        <w:t xml:space="preserve">ienests </w:t>
      </w:r>
      <w:r w:rsidR="00AA1826">
        <w:t xml:space="preserve">pieteicējai atteica. Dienests norādīja, ka atbilstoši </w:t>
      </w:r>
      <w:r w:rsidR="003C35E6" w:rsidRPr="0004050C">
        <w:t>Ministru kabineta 2020.gada 10.novembra noteikumu Nr.</w:t>
      </w:r>
      <w:r w:rsidR="003C35E6">
        <w:t> </w:t>
      </w:r>
      <w:r w:rsidR="003C35E6" w:rsidRPr="0004050C">
        <w:t>676 „Noteikumi par atbalstu Covid-19 krīzes skartajiem uzņēmumiem apgrozāmo līdzekļu plūsmas nodrošināšanai” (turpmāk –</w:t>
      </w:r>
      <w:r>
        <w:t xml:space="preserve"> </w:t>
      </w:r>
      <w:r w:rsidR="003C35E6" w:rsidRPr="0004050C">
        <w:t>noteikumi</w:t>
      </w:r>
      <w:r w:rsidR="003C35E6">
        <w:t xml:space="preserve"> Nr. 676</w:t>
      </w:r>
      <w:r w:rsidR="003C35E6" w:rsidRPr="0004050C">
        <w:t xml:space="preserve">) </w:t>
      </w:r>
      <w:r w:rsidR="003C35E6" w:rsidRPr="00BF65C9">
        <w:t>16.8.apakšpunkt</w:t>
      </w:r>
      <w:r w:rsidR="00AA1826">
        <w:t xml:space="preserve">am </w:t>
      </w:r>
      <w:r w:rsidR="00AA1826" w:rsidRPr="00BF65C9">
        <w:t>atbalstu nepiešķir uzņēmumiem, kas veic saimniecisko darbību šo noteikumu 2.pielikumā minētajās nozarēs</w:t>
      </w:r>
      <w:r w:rsidR="00AA1826">
        <w:t xml:space="preserve">, </w:t>
      </w:r>
      <w:r w:rsidR="00497AD2">
        <w:t xml:space="preserve">un </w:t>
      </w:r>
      <w:r w:rsidR="00AA1826">
        <w:t>p</w:t>
      </w:r>
      <w:r w:rsidR="00AA1826" w:rsidRPr="00BF65C9">
        <w:t xml:space="preserve">ieteicējas deklarētais papilddarbības veids </w:t>
      </w:r>
      <w:r w:rsidR="00FD0548">
        <w:t>bija vienā no tām</w:t>
      </w:r>
      <w:r w:rsidR="00AA1826" w:rsidRPr="00BF65C9">
        <w:t>.</w:t>
      </w:r>
      <w:r w:rsidR="00AA1826" w:rsidRPr="00AA1826">
        <w:t xml:space="preserve"> </w:t>
      </w:r>
      <w:r w:rsidR="00AA1826">
        <w:t xml:space="preserve">Administratīvais process iestādē noslēdzās ar </w:t>
      </w:r>
      <w:r>
        <w:t xml:space="preserve">dienesta </w:t>
      </w:r>
      <w:r w:rsidR="00AA1826" w:rsidRPr="00BF65C9">
        <w:t>2021.gada 6.augusta lēmumu Nr.</w:t>
      </w:r>
      <w:r w:rsidR="00AA1826">
        <w:t> </w:t>
      </w:r>
      <w:r w:rsidR="00AA1826" w:rsidRPr="00BF65C9">
        <w:t>33.17-6/22.7/8588</w:t>
      </w:r>
      <w:r w:rsidR="00AA1826" w:rsidRPr="009D1C3D">
        <w:t>.</w:t>
      </w:r>
    </w:p>
    <w:p w14:paraId="1F7CE885" w14:textId="3E0DDC31" w:rsidR="00AA1826" w:rsidRDefault="00AA1826" w:rsidP="004928DA">
      <w:pPr>
        <w:spacing w:line="276" w:lineRule="auto"/>
        <w:ind w:firstLine="720"/>
        <w:contextualSpacing/>
        <w:jc w:val="both"/>
        <w:rPr>
          <w:shd w:val="clear" w:color="auto" w:fill="FFFFFF"/>
        </w:rPr>
      </w:pPr>
      <w:r w:rsidRPr="005F432A">
        <w:rPr>
          <w:shd w:val="clear" w:color="auto" w:fill="FFFFFF"/>
        </w:rPr>
        <w:t>Pieteicēja</w:t>
      </w:r>
      <w:r>
        <w:rPr>
          <w:shd w:val="clear" w:color="auto" w:fill="FFFFFF"/>
        </w:rPr>
        <w:t xml:space="preserve"> nepiekrita</w:t>
      </w:r>
      <w:r w:rsidRPr="005F432A">
        <w:rPr>
          <w:shd w:val="clear" w:color="auto" w:fill="FFFFFF"/>
        </w:rPr>
        <w:t xml:space="preserve"> </w:t>
      </w:r>
      <w:r w:rsidR="00D563C6">
        <w:rPr>
          <w:shd w:val="clear" w:color="auto" w:fill="FFFFFF"/>
        </w:rPr>
        <w:t>dienesta</w:t>
      </w:r>
      <w:r w:rsidR="00497AD2">
        <w:rPr>
          <w:shd w:val="clear" w:color="auto" w:fill="FFFFFF"/>
        </w:rPr>
        <w:t xml:space="preserve"> lēmumam</w:t>
      </w:r>
      <w:r>
        <w:rPr>
          <w:shd w:val="clear" w:color="auto" w:fill="FFFFFF"/>
        </w:rPr>
        <w:t xml:space="preserve"> un vēlējās saņemt lūgto atbalstu, tāpēc vērsās a</w:t>
      </w:r>
      <w:r w:rsidRPr="005F432A">
        <w:rPr>
          <w:shd w:val="clear" w:color="auto" w:fill="FFFFFF"/>
        </w:rPr>
        <w:t>dministratīvajā</w:t>
      </w:r>
      <w:r>
        <w:rPr>
          <w:shd w:val="clear" w:color="auto" w:fill="FFFFFF"/>
        </w:rPr>
        <w:t xml:space="preserve"> tiesā.</w:t>
      </w:r>
    </w:p>
    <w:p w14:paraId="6915207A" w14:textId="77777777" w:rsidR="003C35E6" w:rsidRDefault="003C35E6" w:rsidP="004928DA">
      <w:pPr>
        <w:spacing w:line="276" w:lineRule="auto"/>
        <w:ind w:firstLine="720"/>
        <w:contextualSpacing/>
        <w:jc w:val="both"/>
        <w:rPr>
          <w:shd w:val="clear" w:color="auto" w:fill="FFFFFF"/>
        </w:rPr>
      </w:pPr>
    </w:p>
    <w:p w14:paraId="1577863D" w14:textId="646FA57B" w:rsidR="00AA1826" w:rsidRDefault="003C35E6" w:rsidP="004928DA">
      <w:pPr>
        <w:spacing w:line="276" w:lineRule="auto"/>
        <w:ind w:firstLine="720"/>
        <w:contextualSpacing/>
        <w:jc w:val="both"/>
      </w:pPr>
      <w:r>
        <w:rPr>
          <w:shd w:val="clear" w:color="auto" w:fill="FFFFFF"/>
        </w:rPr>
        <w:lastRenderedPageBreak/>
        <w:t>[</w:t>
      </w:r>
      <w:r w:rsidR="00D563C6">
        <w:rPr>
          <w:shd w:val="clear" w:color="auto" w:fill="FFFFFF"/>
        </w:rPr>
        <w:t>2</w:t>
      </w:r>
      <w:r>
        <w:rPr>
          <w:shd w:val="clear" w:color="auto" w:fill="FFFFFF"/>
        </w:rPr>
        <w:t xml:space="preserve">] Administratīvā apgabaltiesa ar 2023.gada 28.marta spriedumu pieteikumu apmierināja un noteica dienestam pienākumu </w:t>
      </w:r>
      <w:r w:rsidRPr="00BF65C9">
        <w:t xml:space="preserve">izdot administratīvo aktu, ar kuru </w:t>
      </w:r>
      <w:r>
        <w:t>pieteicējai</w:t>
      </w:r>
      <w:r w:rsidRPr="00BF65C9">
        <w:t xml:space="preserve"> tiktu piešķirts </w:t>
      </w:r>
      <w:r w:rsidR="009D1C3D">
        <w:t>atbalsts</w:t>
      </w:r>
      <w:r w:rsidRPr="00BF65C9">
        <w:t>.</w:t>
      </w:r>
      <w:r>
        <w:t xml:space="preserve"> Spriedumā norādīti turpmāk minētie argumenti.</w:t>
      </w:r>
    </w:p>
    <w:p w14:paraId="7095EF3A" w14:textId="5DF33762" w:rsidR="00D563C6" w:rsidRDefault="003C35E6" w:rsidP="004928DA">
      <w:pPr>
        <w:spacing w:line="276" w:lineRule="auto"/>
        <w:ind w:firstLine="720"/>
        <w:contextualSpacing/>
        <w:jc w:val="both"/>
      </w:pPr>
      <w:bookmarkStart w:id="1" w:name="_Hlk211426218"/>
      <w:r>
        <w:t>[</w:t>
      </w:r>
      <w:r w:rsidR="00D563C6">
        <w:t>2.1</w:t>
      </w:r>
      <w:r>
        <w:t>] </w:t>
      </w:r>
      <w:r w:rsidR="009D1C3D">
        <w:t>A</w:t>
      </w:r>
      <w:r w:rsidR="00AA1826" w:rsidRPr="00BF65C9">
        <w:t>tbalsta</w:t>
      </w:r>
      <w:r w:rsidR="009D1C3D" w:rsidRPr="009D1C3D">
        <w:t xml:space="preserve"> </w:t>
      </w:r>
      <w:r w:rsidR="00AA1826" w:rsidRPr="00BF65C9">
        <w:t>piešķiršanā būtiska nozīme ir tam, kāda veida saimniecisk</w:t>
      </w:r>
      <w:r w:rsidR="00497AD2">
        <w:t>ā</w:t>
      </w:r>
      <w:r w:rsidR="00AA1826" w:rsidRPr="00BF65C9">
        <w:t xml:space="preserve"> darbīb</w:t>
      </w:r>
      <w:r w:rsidR="00497AD2">
        <w:t>a</w:t>
      </w:r>
      <w:r w:rsidR="00AA1826" w:rsidRPr="00BF65C9">
        <w:t xml:space="preserve"> strīdus periodā faktiski </w:t>
      </w:r>
      <w:r w:rsidR="00497AD2">
        <w:t>veikta</w:t>
      </w:r>
      <w:r w:rsidR="00D563C6">
        <w:t xml:space="preserve">, nevis </w:t>
      </w:r>
      <w:r w:rsidR="00497AD2">
        <w:t xml:space="preserve">deklarēta. </w:t>
      </w:r>
      <w:r w:rsidR="00A15839" w:rsidRPr="00BF65C9">
        <w:t xml:space="preserve">Pieteicēja gan iestādei, gan tiesai ticami </w:t>
      </w:r>
      <w:r w:rsidR="00A15839">
        <w:t>pa</w:t>
      </w:r>
      <w:r w:rsidR="00A15839" w:rsidRPr="00BF65C9">
        <w:t>skaidro</w:t>
      </w:r>
      <w:r w:rsidR="00A15839">
        <w:t>ja</w:t>
      </w:r>
      <w:r w:rsidR="00A15839" w:rsidRPr="00BF65C9">
        <w:t xml:space="preserve">, ka tā nekad nav uzsākusi un </w:t>
      </w:r>
      <w:r w:rsidR="00497AD2">
        <w:t>nodarbojusies</w:t>
      </w:r>
      <w:r w:rsidR="00A15839" w:rsidRPr="00BF65C9">
        <w:t xml:space="preserve"> ar tās deklarēto papilddarbības veidu. </w:t>
      </w:r>
      <w:r w:rsidR="00A15839">
        <w:t xml:space="preserve">Lietā </w:t>
      </w:r>
      <w:r w:rsidR="00A15839" w:rsidRPr="00BF65C9">
        <w:t>nav pierādījumu, kas ļautu šo faktu apšaubīt</w:t>
      </w:r>
      <w:r w:rsidR="00A15839">
        <w:t>, arī</w:t>
      </w:r>
      <w:r w:rsidR="00A15839" w:rsidRPr="00BF65C9">
        <w:t xml:space="preserve"> </w:t>
      </w:r>
      <w:r w:rsidR="00A15839">
        <w:t>d</w:t>
      </w:r>
      <w:r w:rsidR="00A15839" w:rsidRPr="00BF65C9">
        <w:t>ienests nav pamatojis pretējo</w:t>
      </w:r>
      <w:r w:rsidR="00A15839">
        <w:t>.</w:t>
      </w:r>
    </w:p>
    <w:p w14:paraId="31AB7DD3" w14:textId="5BB6ECB2" w:rsidR="009216EA" w:rsidRDefault="00A03F14" w:rsidP="004928DA">
      <w:pPr>
        <w:spacing w:line="276" w:lineRule="auto"/>
        <w:ind w:firstLine="720"/>
        <w:contextualSpacing/>
        <w:jc w:val="both"/>
      </w:pPr>
      <w:r>
        <w:t>[</w:t>
      </w:r>
      <w:r w:rsidR="00D563C6">
        <w:t>2.</w:t>
      </w:r>
      <w:r w:rsidR="00A15839">
        <w:t>2</w:t>
      </w:r>
      <w:r>
        <w:t>] </w:t>
      </w:r>
      <w:r w:rsidRPr="00BF65C9">
        <w:t>Dienests</w:t>
      </w:r>
      <w:r>
        <w:t xml:space="preserve">, </w:t>
      </w:r>
      <w:r w:rsidRPr="00BF65C9">
        <w:t xml:space="preserve">pieņemot lēmumu par atbalsta piešķiršanu, </w:t>
      </w:r>
      <w:r>
        <w:t xml:space="preserve">pamatoti izmanto tā </w:t>
      </w:r>
      <w:r w:rsidRPr="00BF65C9">
        <w:t xml:space="preserve">rīcībā esošo informāciju par nodokļu maksātāja deklarētajiem datiem. </w:t>
      </w:r>
      <w:r>
        <w:t>T</w:t>
      </w:r>
      <w:r w:rsidRPr="00BF65C9">
        <w:t>omēr</w:t>
      </w:r>
      <w:r w:rsidR="00204347">
        <w:t xml:space="preserve">, ja nodokļu maksātājs apstrīdēšanas </w:t>
      </w:r>
      <w:r w:rsidRPr="00BF65C9">
        <w:t xml:space="preserve">stadijā objektīvi pamato, ka ar deklarēto papilddarbības veidu tas nav nodarbojies, </w:t>
      </w:r>
      <w:r>
        <w:t>dienestam</w:t>
      </w:r>
      <w:r w:rsidRPr="00BF65C9">
        <w:t xml:space="preserve"> šis fakts jāņem vērā kā būtisks tiesībām uz atbalstu, ievērojot konkrētā atbalsta mērķi. </w:t>
      </w:r>
      <w:r>
        <w:t xml:space="preserve">Nevar piekrist dienesta viedoklim, </w:t>
      </w:r>
      <w:r w:rsidRPr="00BF65C9">
        <w:t>ka</w:t>
      </w:r>
      <w:r w:rsidR="00497AD2">
        <w:t xml:space="preserve"> </w:t>
      </w:r>
      <w:r w:rsidRPr="00BF65C9">
        <w:t>tā būtu uzskatāma par padziļinātu pārbaudi, kas atbalsta pasākumos nav pieļaujama.</w:t>
      </w:r>
    </w:p>
    <w:p w14:paraId="4A6B91FF" w14:textId="4C5FAA14" w:rsidR="00D5486D" w:rsidRDefault="00A03F14" w:rsidP="004928DA">
      <w:pPr>
        <w:spacing w:line="276" w:lineRule="auto"/>
        <w:ind w:firstLine="720"/>
        <w:contextualSpacing/>
        <w:jc w:val="both"/>
      </w:pPr>
      <w:r>
        <w:t>[</w:t>
      </w:r>
      <w:r w:rsidR="00D563C6">
        <w:t>2.</w:t>
      </w:r>
      <w:r w:rsidR="00A15839">
        <w:t>3</w:t>
      </w:r>
      <w:r>
        <w:t>] </w:t>
      </w:r>
      <w:r w:rsidR="00D5486D" w:rsidRPr="00D5486D">
        <w:t>L</w:t>
      </w:r>
      <w:r w:rsidR="00D5486D">
        <w:t>i</w:t>
      </w:r>
      <w:r w:rsidR="00D5486D" w:rsidRPr="00BF65C9">
        <w:t>kumdevējs nodokļu administrēšanas procesā par nozīmīgu ir atzinis tieši pareiza pamatdarbības veida (darbības veida ar vislielāko īpatsvaru kopējā apgrozījumā taksācijas gadā) reģistrāciju. Taču dienests, atsakot atbalstu, nav ņēmis vērā pieteicējas deklarēto pamatdarbības veidu, kas nebija ietverts noteikumu</w:t>
      </w:r>
      <w:r w:rsidR="00D5486D">
        <w:t xml:space="preserve"> Nr. 676 </w:t>
      </w:r>
      <w:r w:rsidR="00D5486D" w:rsidRPr="00BF65C9">
        <w:t>2.pielikumā.</w:t>
      </w:r>
    </w:p>
    <w:p w14:paraId="37C1E8E9" w14:textId="7F37295F" w:rsidR="00D5486D" w:rsidRDefault="00D5486D" w:rsidP="004928DA">
      <w:pPr>
        <w:spacing w:line="276" w:lineRule="auto"/>
        <w:ind w:firstLine="720"/>
        <w:contextualSpacing/>
        <w:jc w:val="both"/>
      </w:pPr>
      <w:r>
        <w:t>[</w:t>
      </w:r>
      <w:r w:rsidR="00D563C6">
        <w:t>2.</w:t>
      </w:r>
      <w:r w:rsidR="00A15839">
        <w:t>4</w:t>
      </w:r>
      <w:r>
        <w:t>] </w:t>
      </w:r>
      <w:r w:rsidR="00FD0548">
        <w:t>P</w:t>
      </w:r>
      <w:r>
        <w:t xml:space="preserve">ārsūdzētais lēmums ir prettiesisks, jo </w:t>
      </w:r>
      <w:r w:rsidRPr="00BF65C9">
        <w:t>dienests nepamatoti neņēma vērā pieteicējas iesniegumā norādītās ziņas un nepamatoti, pretēji konkrētā atbalsta mērķim nolēma, ka noteikumu</w:t>
      </w:r>
      <w:r>
        <w:t xml:space="preserve"> Nr. 676</w:t>
      </w:r>
      <w:r w:rsidRPr="00BF65C9">
        <w:t xml:space="preserve"> 2.pielikumā minētās nozares kā papilddarbības veida deklarēšana pati par sevi ir pamats atbalsta nepiešķiršanai gadījumā, ja uzņēmums attiecīgo saimniecisko darbību nebija uzsācis un neveica atbalsta periodā.</w:t>
      </w:r>
    </w:p>
    <w:p w14:paraId="18A1821D" w14:textId="13A34CD9" w:rsidR="00D5486D" w:rsidRPr="00BF65C9" w:rsidRDefault="00D5486D" w:rsidP="004928DA">
      <w:pPr>
        <w:spacing w:line="276" w:lineRule="auto"/>
        <w:ind w:firstLine="720"/>
        <w:contextualSpacing/>
        <w:jc w:val="both"/>
      </w:pPr>
      <w:r>
        <w:t>[</w:t>
      </w:r>
      <w:r w:rsidR="00D563C6">
        <w:t>2.</w:t>
      </w:r>
      <w:r w:rsidR="00A15839">
        <w:t>5</w:t>
      </w:r>
      <w:r>
        <w:t>] </w:t>
      </w:r>
      <w:r w:rsidRPr="00BF65C9">
        <w:t>Ņemot vērā, ka dienests lietā nav norādījis uz citiem apstākļiem, kas pieteicējai liegtu saņemt pieprasīto atbalstu</w:t>
      </w:r>
      <w:r w:rsidR="00204347">
        <w:t>,</w:t>
      </w:r>
      <w:r w:rsidRPr="00BF65C9">
        <w:t xml:space="preserve"> un arī apgabaltiesa no lietas materiāliem šādus apstākļus nekonstatē, pieteikums ir apmierināms un dienestam ir uzdodams izdot prasīto administratīvo aktu.</w:t>
      </w:r>
    </w:p>
    <w:bookmarkEnd w:id="1"/>
    <w:p w14:paraId="44D134DE" w14:textId="77777777" w:rsidR="00D5486D" w:rsidRDefault="00D5486D" w:rsidP="004928DA">
      <w:pPr>
        <w:spacing w:line="276" w:lineRule="auto"/>
        <w:ind w:firstLine="720"/>
        <w:contextualSpacing/>
        <w:jc w:val="both"/>
      </w:pPr>
    </w:p>
    <w:p w14:paraId="25CD4503" w14:textId="3F311304" w:rsidR="00A03F14" w:rsidRDefault="00A03F14" w:rsidP="004928DA">
      <w:pPr>
        <w:spacing w:line="276" w:lineRule="auto"/>
        <w:ind w:firstLine="720"/>
        <w:contextualSpacing/>
        <w:jc w:val="both"/>
        <w:rPr>
          <w:shd w:val="clear" w:color="auto" w:fill="FFFFFF"/>
        </w:rPr>
      </w:pPr>
      <w:r>
        <w:t>[</w:t>
      </w:r>
      <w:r w:rsidR="00D563C6">
        <w:t>3</w:t>
      </w:r>
      <w:r>
        <w:t>] </w:t>
      </w:r>
      <w:r w:rsidR="00D5486D">
        <w:rPr>
          <w:shd w:val="clear" w:color="auto" w:fill="FFFFFF"/>
        </w:rPr>
        <w:t xml:space="preserve">Dienests </w:t>
      </w:r>
      <w:r w:rsidR="00204347">
        <w:rPr>
          <w:shd w:val="clear" w:color="auto" w:fill="FFFFFF"/>
        </w:rPr>
        <w:t xml:space="preserve">par apgabaltiesas spriedumu </w:t>
      </w:r>
      <w:r w:rsidR="00D5486D" w:rsidRPr="005F432A">
        <w:rPr>
          <w:shd w:val="clear" w:color="auto" w:fill="FFFFFF"/>
        </w:rPr>
        <w:t>iesniedza kasācijas sūdzību</w:t>
      </w:r>
      <w:r w:rsidR="00D5486D">
        <w:rPr>
          <w:shd w:val="clear" w:color="auto" w:fill="FFFFFF"/>
        </w:rPr>
        <w:t xml:space="preserve">, </w:t>
      </w:r>
      <w:r w:rsidR="00204347">
        <w:rPr>
          <w:shd w:val="clear" w:color="auto" w:fill="FFFFFF"/>
        </w:rPr>
        <w:t>norādot</w:t>
      </w:r>
      <w:r w:rsidR="00D5486D">
        <w:rPr>
          <w:shd w:val="clear" w:color="auto" w:fill="FFFFFF"/>
        </w:rPr>
        <w:t xml:space="preserve"> turpmāk minēt</w:t>
      </w:r>
      <w:r w:rsidR="00204347">
        <w:rPr>
          <w:shd w:val="clear" w:color="auto" w:fill="FFFFFF"/>
        </w:rPr>
        <w:t>os</w:t>
      </w:r>
      <w:r w:rsidR="00D5486D">
        <w:rPr>
          <w:shd w:val="clear" w:color="auto" w:fill="FFFFFF"/>
        </w:rPr>
        <w:t xml:space="preserve"> argument</w:t>
      </w:r>
      <w:r w:rsidR="00204347">
        <w:rPr>
          <w:shd w:val="clear" w:color="auto" w:fill="FFFFFF"/>
        </w:rPr>
        <w:t>us</w:t>
      </w:r>
      <w:r w:rsidR="00D5486D">
        <w:rPr>
          <w:shd w:val="clear" w:color="auto" w:fill="FFFFFF"/>
        </w:rPr>
        <w:t>.</w:t>
      </w:r>
    </w:p>
    <w:p w14:paraId="1094BEEC" w14:textId="58B3642E" w:rsidR="0008452B" w:rsidRDefault="00D5486D" w:rsidP="004928DA">
      <w:pPr>
        <w:spacing w:line="276" w:lineRule="auto"/>
        <w:ind w:firstLine="720"/>
        <w:contextualSpacing/>
        <w:jc w:val="both"/>
        <w:rPr>
          <w:shd w:val="clear" w:color="auto" w:fill="FFFFFF"/>
        </w:rPr>
      </w:pPr>
      <w:r>
        <w:rPr>
          <w:shd w:val="clear" w:color="auto" w:fill="FFFFFF"/>
        </w:rPr>
        <w:t>[</w:t>
      </w:r>
      <w:r w:rsidR="00D563C6">
        <w:rPr>
          <w:shd w:val="clear" w:color="auto" w:fill="FFFFFF"/>
        </w:rPr>
        <w:t>3.1</w:t>
      </w:r>
      <w:r>
        <w:rPr>
          <w:shd w:val="clear" w:color="auto" w:fill="FFFFFF"/>
        </w:rPr>
        <w:t>] Apgabaltiesa ir nepareizi iztulkojusi noteikumu Nr. 676 16.8.apakšpunktu.</w:t>
      </w:r>
      <w:r w:rsidR="0008452B">
        <w:rPr>
          <w:shd w:val="clear" w:color="auto" w:fill="FFFFFF"/>
        </w:rPr>
        <w:t xml:space="preserve"> Šī tiesību norma kā vienīgo kritēriju atteikumam piešķirt atbalstu paredz to, ka </w:t>
      </w:r>
      <w:r w:rsidR="0008452B" w:rsidRPr="0008452B">
        <w:rPr>
          <w:shd w:val="clear" w:color="auto" w:fill="FFFFFF"/>
        </w:rPr>
        <w:t>uzņēmums veic saimniecisko darbību nozarē, kurai atbalsts nav piešķirams</w:t>
      </w:r>
      <w:r w:rsidR="00615275">
        <w:rPr>
          <w:shd w:val="clear" w:color="auto" w:fill="FFFFFF"/>
        </w:rPr>
        <w:t>. Lietā n</w:t>
      </w:r>
      <w:r w:rsidR="00200220">
        <w:rPr>
          <w:shd w:val="clear" w:color="auto" w:fill="FFFFFF"/>
        </w:rPr>
        <w:t xml:space="preserve">ozīme ir tam, ka </w:t>
      </w:r>
      <w:r w:rsidR="00FD0548">
        <w:rPr>
          <w:shd w:val="clear" w:color="auto" w:fill="FFFFFF"/>
        </w:rPr>
        <w:t xml:space="preserve">pieteicēja </w:t>
      </w:r>
      <w:r w:rsidR="00200220">
        <w:rPr>
          <w:shd w:val="clear" w:color="auto" w:fill="FFFFFF"/>
        </w:rPr>
        <w:t xml:space="preserve">2021.gada maijā bija deklarējusi konkrētos darbības veidus un dienestam bija pamats prezumēt, ka pieteicēja šajās nozarēs veic saimniecisko darbību. </w:t>
      </w:r>
      <w:r w:rsidR="009D6AE2">
        <w:rPr>
          <w:shd w:val="clear" w:color="auto" w:fill="FFFFFF"/>
        </w:rPr>
        <w:t>J</w:t>
      </w:r>
      <w:r w:rsidR="00442A9C">
        <w:rPr>
          <w:shd w:val="clear" w:color="auto" w:fill="FFFFFF"/>
        </w:rPr>
        <w:t>autājums par atbalsta piešķiršanas kritērijiem daļējas atbilstības gadījumā noteikumos Nr. 676 nav regulēts.</w:t>
      </w:r>
      <w:r w:rsidR="00442A9C" w:rsidRPr="00442A9C">
        <w:rPr>
          <w:shd w:val="clear" w:color="auto" w:fill="FFFFFF"/>
        </w:rPr>
        <w:t xml:space="preserve"> </w:t>
      </w:r>
      <w:r w:rsidR="00FD0548">
        <w:rPr>
          <w:shd w:val="clear" w:color="auto" w:fill="FFFFFF"/>
        </w:rPr>
        <w:t>At</w:t>
      </w:r>
      <w:r w:rsidR="00442A9C">
        <w:rPr>
          <w:shd w:val="clear" w:color="auto" w:fill="FFFFFF"/>
        </w:rPr>
        <w:t>balsta piešķiršanai un aprēķinam izmantojamie rādītāji dienestam ir pieejami tikai par uzņēmumu kopumā, nevis sadalījumā pa darbības veidiem.</w:t>
      </w:r>
    </w:p>
    <w:p w14:paraId="777C497B" w14:textId="35AA2E29" w:rsidR="00173694" w:rsidRPr="00615275" w:rsidRDefault="00D5486D" w:rsidP="004928DA">
      <w:pPr>
        <w:spacing w:line="276" w:lineRule="auto"/>
        <w:ind w:firstLine="720"/>
        <w:contextualSpacing/>
        <w:jc w:val="both"/>
      </w:pPr>
      <w:r>
        <w:rPr>
          <w:shd w:val="clear" w:color="auto" w:fill="FFFFFF"/>
        </w:rPr>
        <w:t>[</w:t>
      </w:r>
      <w:r w:rsidR="00D563C6">
        <w:rPr>
          <w:shd w:val="clear" w:color="auto" w:fill="FFFFFF"/>
        </w:rPr>
        <w:t>3.</w:t>
      </w:r>
      <w:r w:rsidR="00615275">
        <w:rPr>
          <w:shd w:val="clear" w:color="auto" w:fill="FFFFFF"/>
        </w:rPr>
        <w:t>3</w:t>
      </w:r>
      <w:r>
        <w:rPr>
          <w:shd w:val="clear" w:color="auto" w:fill="FFFFFF"/>
        </w:rPr>
        <w:t xml:space="preserve">] Apgabaltiesa ir </w:t>
      </w:r>
      <w:r w:rsidRPr="00D5486D">
        <w:rPr>
          <w:shd w:val="clear" w:color="auto" w:fill="FFFFFF"/>
        </w:rPr>
        <w:t>nepareizi iztulkojusi noteikumu Nr.</w:t>
      </w:r>
      <w:r>
        <w:rPr>
          <w:shd w:val="clear" w:color="auto" w:fill="FFFFFF"/>
        </w:rPr>
        <w:t> </w:t>
      </w:r>
      <w:r w:rsidRPr="00D5486D">
        <w:rPr>
          <w:shd w:val="clear" w:color="auto" w:fill="FFFFFF"/>
        </w:rPr>
        <w:t>676 10.punktu</w:t>
      </w:r>
      <w:r w:rsidR="00463868">
        <w:rPr>
          <w:shd w:val="clear" w:color="auto" w:fill="FFFFFF"/>
        </w:rPr>
        <w:t>.</w:t>
      </w:r>
      <w:r w:rsidR="00615275">
        <w:rPr>
          <w:shd w:val="clear" w:color="auto" w:fill="FFFFFF"/>
        </w:rPr>
        <w:t xml:space="preserve"> </w:t>
      </w:r>
      <w:r w:rsidR="00463868">
        <w:rPr>
          <w:shd w:val="clear" w:color="auto" w:fill="FFFFFF"/>
        </w:rPr>
        <w:t xml:space="preserve">Šī tiesību </w:t>
      </w:r>
      <w:r w:rsidR="00615275">
        <w:rPr>
          <w:shd w:val="clear" w:color="auto" w:fill="FFFFFF"/>
        </w:rPr>
        <w:t>norma neparedz pienākumu dienestam veikt padzi</w:t>
      </w:r>
      <w:r w:rsidR="00463868">
        <w:rPr>
          <w:shd w:val="clear" w:color="auto" w:fill="FFFFFF"/>
        </w:rPr>
        <w:t>ļinātas</w:t>
      </w:r>
      <w:r w:rsidR="00615275">
        <w:rPr>
          <w:shd w:val="clear" w:color="auto" w:fill="FFFFFF"/>
        </w:rPr>
        <w:t xml:space="preserve"> pārbaudes, kā arī </w:t>
      </w:r>
      <w:r w:rsidR="00CD2192">
        <w:rPr>
          <w:shd w:val="clear" w:color="auto" w:fill="FFFFFF"/>
        </w:rPr>
        <w:t xml:space="preserve">attiecas </w:t>
      </w:r>
      <w:r w:rsidR="002A56C7">
        <w:rPr>
          <w:shd w:val="clear" w:color="auto" w:fill="FFFFFF"/>
        </w:rPr>
        <w:t xml:space="preserve">uz iesniegumu, </w:t>
      </w:r>
      <w:r w:rsidR="00445423">
        <w:rPr>
          <w:shd w:val="clear" w:color="auto" w:fill="FFFFFF"/>
        </w:rPr>
        <w:t xml:space="preserve">ar </w:t>
      </w:r>
      <w:r w:rsidR="002A56C7" w:rsidRPr="002A56C7">
        <w:rPr>
          <w:shd w:val="clear" w:color="auto" w:fill="FFFFFF"/>
        </w:rPr>
        <w:t xml:space="preserve">ko </w:t>
      </w:r>
      <w:r w:rsidR="00445423">
        <w:rPr>
          <w:shd w:val="clear" w:color="auto" w:fill="FFFFFF"/>
        </w:rPr>
        <w:t xml:space="preserve">piesakās atbalstam, </w:t>
      </w:r>
      <w:r w:rsidR="002A56C7">
        <w:rPr>
          <w:shd w:val="clear" w:color="auto" w:fill="FFFFFF"/>
        </w:rPr>
        <w:t>nevis</w:t>
      </w:r>
      <w:r w:rsidR="00204347">
        <w:rPr>
          <w:shd w:val="clear" w:color="auto" w:fill="FFFFFF"/>
        </w:rPr>
        <w:t xml:space="preserve"> uz</w:t>
      </w:r>
      <w:r w:rsidR="002A56C7">
        <w:rPr>
          <w:shd w:val="clear" w:color="auto" w:fill="FFFFFF"/>
        </w:rPr>
        <w:t xml:space="preserve"> apstrīdēšanas iesniegumu.</w:t>
      </w:r>
      <w:r w:rsidR="00445423">
        <w:rPr>
          <w:shd w:val="clear" w:color="auto" w:fill="FFFFFF"/>
        </w:rPr>
        <w:t xml:space="preserve"> </w:t>
      </w:r>
      <w:r w:rsidR="002A56C7">
        <w:rPr>
          <w:shd w:val="clear" w:color="auto" w:fill="FFFFFF"/>
        </w:rPr>
        <w:t>Pieteicēja to, ka strīdus nozarē nav darbojusies, norādīja apstrīdēšanas iesniegumā.</w:t>
      </w:r>
      <w:r w:rsidR="00F379F5" w:rsidRPr="00F379F5">
        <w:t xml:space="preserve"> </w:t>
      </w:r>
      <w:r w:rsidR="009D6AE2">
        <w:rPr>
          <w:shd w:val="clear" w:color="auto" w:fill="FFFFFF"/>
        </w:rPr>
        <w:t xml:space="preserve">Dienestam </w:t>
      </w:r>
      <w:r w:rsidR="009D6AE2" w:rsidRPr="0008452B">
        <w:rPr>
          <w:shd w:val="clear" w:color="auto" w:fill="FFFFFF"/>
        </w:rPr>
        <w:t>bija tiesības paļauties, ka pašas pieteicējas sniegtās ziņas ir patiesas un ticamas</w:t>
      </w:r>
      <w:r w:rsidR="009D6AE2">
        <w:rPr>
          <w:shd w:val="clear" w:color="auto" w:fill="FFFFFF"/>
        </w:rPr>
        <w:t>. Šāda dienesta rīcīb</w:t>
      </w:r>
      <w:r w:rsidR="00615275">
        <w:rPr>
          <w:shd w:val="clear" w:color="auto" w:fill="FFFFFF"/>
        </w:rPr>
        <w:t>a ir</w:t>
      </w:r>
      <w:r w:rsidR="00445423" w:rsidRPr="00173694">
        <w:rPr>
          <w:shd w:val="clear" w:color="auto" w:fill="FFFFFF"/>
        </w:rPr>
        <w:t xml:space="preserve"> samērīg</w:t>
      </w:r>
      <w:r w:rsidR="00615275">
        <w:rPr>
          <w:shd w:val="clear" w:color="auto" w:fill="FFFFFF"/>
        </w:rPr>
        <w:t>a</w:t>
      </w:r>
      <w:r w:rsidR="00445423" w:rsidRPr="00173694">
        <w:rPr>
          <w:shd w:val="clear" w:color="auto" w:fill="FFFFFF"/>
        </w:rPr>
        <w:t xml:space="preserve"> un atbil</w:t>
      </w:r>
      <w:r w:rsidR="00615275">
        <w:rPr>
          <w:shd w:val="clear" w:color="auto" w:fill="FFFFFF"/>
        </w:rPr>
        <w:t>st</w:t>
      </w:r>
      <w:r w:rsidR="00445423" w:rsidRPr="00173694">
        <w:rPr>
          <w:shd w:val="clear" w:color="auto" w:fill="FFFFFF"/>
        </w:rPr>
        <w:t xml:space="preserve"> tiesību normām.</w:t>
      </w:r>
      <w:r w:rsidR="00445423">
        <w:rPr>
          <w:shd w:val="clear" w:color="auto" w:fill="FFFFFF"/>
        </w:rPr>
        <w:t xml:space="preserve"> </w:t>
      </w:r>
      <w:r w:rsidR="00173694">
        <w:rPr>
          <w:shd w:val="clear" w:color="auto" w:fill="FFFFFF"/>
        </w:rPr>
        <w:t>Jāņem vērā, ka dienests</w:t>
      </w:r>
      <w:r w:rsidR="00173694" w:rsidRPr="00173694">
        <w:rPr>
          <w:shd w:val="clear" w:color="auto" w:fill="FFFFFF"/>
        </w:rPr>
        <w:t xml:space="preserve"> saņēma </w:t>
      </w:r>
      <w:r w:rsidR="00463868">
        <w:rPr>
          <w:shd w:val="clear" w:color="auto" w:fill="FFFFFF"/>
        </w:rPr>
        <w:t>daudzus</w:t>
      </w:r>
      <w:r w:rsidR="00173694" w:rsidRPr="00173694">
        <w:rPr>
          <w:shd w:val="clear" w:color="auto" w:fill="FFFFFF"/>
        </w:rPr>
        <w:t xml:space="preserve"> iesniegumu</w:t>
      </w:r>
      <w:r w:rsidR="00463868">
        <w:rPr>
          <w:shd w:val="clear" w:color="auto" w:fill="FFFFFF"/>
        </w:rPr>
        <w:t>s</w:t>
      </w:r>
      <w:r w:rsidR="00173694" w:rsidRPr="00173694">
        <w:rPr>
          <w:shd w:val="clear" w:color="auto" w:fill="FFFFFF"/>
        </w:rPr>
        <w:t xml:space="preserve"> saistībā ar atbalstiem, </w:t>
      </w:r>
      <w:r w:rsidR="00463868">
        <w:rPr>
          <w:shd w:val="clear" w:color="auto" w:fill="FFFFFF"/>
        </w:rPr>
        <w:t>papildu pārbaudes veikšana katram n</w:t>
      </w:r>
      <w:r w:rsidR="00173694">
        <w:rPr>
          <w:shd w:val="clear" w:color="auto" w:fill="FFFFFF"/>
        </w:rPr>
        <w:t>o tiem</w:t>
      </w:r>
      <w:r w:rsidR="00173694" w:rsidRPr="00173694">
        <w:rPr>
          <w:shd w:val="clear" w:color="auto" w:fill="FFFFFF"/>
        </w:rPr>
        <w:t xml:space="preserve"> prasītu nesamērīgus resursus un netiktu nodrošināta </w:t>
      </w:r>
      <w:r w:rsidR="00463868">
        <w:rPr>
          <w:shd w:val="clear" w:color="auto" w:fill="FFFFFF"/>
        </w:rPr>
        <w:t xml:space="preserve">pēc </w:t>
      </w:r>
      <w:r w:rsidR="00173694" w:rsidRPr="00173694">
        <w:rPr>
          <w:shd w:val="clear" w:color="auto" w:fill="FFFFFF"/>
        </w:rPr>
        <w:t>iespēja</w:t>
      </w:r>
      <w:r w:rsidR="00173694">
        <w:rPr>
          <w:shd w:val="clear" w:color="auto" w:fill="FFFFFF"/>
        </w:rPr>
        <w:t>s ātrāka atbalsta sniegšana.</w:t>
      </w:r>
      <w:r w:rsidR="00173694" w:rsidRPr="00173694">
        <w:rPr>
          <w:shd w:val="clear" w:color="auto" w:fill="FFFFFF"/>
        </w:rPr>
        <w:t xml:space="preserve"> </w:t>
      </w:r>
      <w:r w:rsidR="00173694">
        <w:rPr>
          <w:shd w:val="clear" w:color="auto" w:fill="FFFFFF"/>
        </w:rPr>
        <w:t xml:space="preserve">Atbilstoši </w:t>
      </w:r>
      <w:r w:rsidR="00173694" w:rsidRPr="00173694">
        <w:rPr>
          <w:shd w:val="clear" w:color="auto" w:fill="FFFFFF"/>
        </w:rPr>
        <w:t>Covid-19 infekcijas izplatības seku pārvarēšanas likuma 15.panta sest</w:t>
      </w:r>
      <w:r w:rsidR="00173694">
        <w:rPr>
          <w:shd w:val="clear" w:color="auto" w:fill="FFFFFF"/>
        </w:rPr>
        <w:t>ajai</w:t>
      </w:r>
      <w:r w:rsidR="00173694" w:rsidRPr="00173694">
        <w:rPr>
          <w:shd w:val="clear" w:color="auto" w:fill="FFFFFF"/>
        </w:rPr>
        <w:t xml:space="preserve"> daļa</w:t>
      </w:r>
      <w:r w:rsidR="00173694">
        <w:rPr>
          <w:shd w:val="clear" w:color="auto" w:fill="FFFFFF"/>
        </w:rPr>
        <w:t>i</w:t>
      </w:r>
      <w:r w:rsidR="00173694" w:rsidRPr="00173694">
        <w:rPr>
          <w:shd w:val="clear" w:color="auto" w:fill="FFFFFF"/>
        </w:rPr>
        <w:t xml:space="preserve"> </w:t>
      </w:r>
      <w:r w:rsidR="00173694">
        <w:rPr>
          <w:shd w:val="clear" w:color="auto" w:fill="FFFFFF"/>
        </w:rPr>
        <w:t>n</w:t>
      </w:r>
      <w:r w:rsidR="00173694" w:rsidRPr="00173694">
        <w:rPr>
          <w:shd w:val="clear" w:color="auto" w:fill="FFFFFF"/>
        </w:rPr>
        <w:t xml:space="preserve">epieciešamības gadījumā </w:t>
      </w:r>
      <w:r w:rsidR="00173694">
        <w:rPr>
          <w:shd w:val="clear" w:color="auto" w:fill="FFFFFF"/>
        </w:rPr>
        <w:t xml:space="preserve">dienests </w:t>
      </w:r>
      <w:r w:rsidR="00173694" w:rsidRPr="00173694">
        <w:rPr>
          <w:shd w:val="clear" w:color="auto" w:fill="FFFFFF"/>
        </w:rPr>
        <w:t xml:space="preserve">padziļinātu izvērtējumu </w:t>
      </w:r>
      <w:r w:rsidR="00173694">
        <w:rPr>
          <w:shd w:val="clear" w:color="auto" w:fill="FFFFFF"/>
        </w:rPr>
        <w:t>var</w:t>
      </w:r>
      <w:r w:rsidR="00173694" w:rsidRPr="00173694">
        <w:rPr>
          <w:shd w:val="clear" w:color="auto" w:fill="FFFFFF"/>
        </w:rPr>
        <w:t xml:space="preserve"> veikt pēc atbalsta piešķiršanas.</w:t>
      </w:r>
    </w:p>
    <w:p w14:paraId="25F676E5" w14:textId="6615B0CC" w:rsidR="002A56C7" w:rsidRDefault="00173694" w:rsidP="004928DA">
      <w:pPr>
        <w:spacing w:line="276" w:lineRule="auto"/>
        <w:ind w:firstLine="720"/>
        <w:contextualSpacing/>
        <w:jc w:val="both"/>
        <w:rPr>
          <w:shd w:val="clear" w:color="auto" w:fill="FFFFFF"/>
        </w:rPr>
      </w:pPr>
      <w:r>
        <w:rPr>
          <w:shd w:val="clear" w:color="auto" w:fill="FFFFFF"/>
        </w:rPr>
        <w:t>[</w:t>
      </w:r>
      <w:r w:rsidR="00D563C6">
        <w:rPr>
          <w:shd w:val="clear" w:color="auto" w:fill="FFFFFF"/>
        </w:rPr>
        <w:t>3.3</w:t>
      </w:r>
      <w:r>
        <w:rPr>
          <w:shd w:val="clear" w:color="auto" w:fill="FFFFFF"/>
        </w:rPr>
        <w:t>]</w:t>
      </w:r>
      <w:r w:rsidR="007408BA">
        <w:rPr>
          <w:shd w:val="clear" w:color="auto" w:fill="FFFFFF"/>
        </w:rPr>
        <w:t> </w:t>
      </w:r>
      <w:r w:rsidRPr="00173694">
        <w:rPr>
          <w:shd w:val="clear" w:color="auto" w:fill="FFFFFF"/>
        </w:rPr>
        <w:t>Noteikumi Nr.</w:t>
      </w:r>
      <w:r>
        <w:rPr>
          <w:shd w:val="clear" w:color="auto" w:fill="FFFFFF"/>
        </w:rPr>
        <w:t> </w:t>
      </w:r>
      <w:r w:rsidRPr="00173694">
        <w:rPr>
          <w:shd w:val="clear" w:color="auto" w:fill="FFFFFF"/>
        </w:rPr>
        <w:t>676 strīdus periodā nenošķīra, vai ierobežoto nozaru sarakstā ir iekļauts komersanta pamatdarbības veids vai papilddarbības veids.</w:t>
      </w:r>
    </w:p>
    <w:p w14:paraId="59283A8C" w14:textId="08304A12" w:rsidR="00D5486D" w:rsidRDefault="00D5486D" w:rsidP="004928DA">
      <w:pPr>
        <w:spacing w:line="276" w:lineRule="auto"/>
        <w:ind w:firstLine="720"/>
        <w:contextualSpacing/>
        <w:jc w:val="both"/>
        <w:rPr>
          <w:shd w:val="clear" w:color="auto" w:fill="FFFFFF"/>
        </w:rPr>
      </w:pPr>
      <w:r>
        <w:rPr>
          <w:shd w:val="clear" w:color="auto" w:fill="FFFFFF"/>
        </w:rPr>
        <w:t>[</w:t>
      </w:r>
      <w:r w:rsidR="00D563C6">
        <w:rPr>
          <w:shd w:val="clear" w:color="auto" w:fill="FFFFFF"/>
        </w:rPr>
        <w:t>3.4</w:t>
      </w:r>
      <w:r>
        <w:rPr>
          <w:shd w:val="clear" w:color="auto" w:fill="FFFFFF"/>
        </w:rPr>
        <w:t>] A</w:t>
      </w:r>
      <w:r w:rsidRPr="00D5486D">
        <w:rPr>
          <w:shd w:val="clear" w:color="auto" w:fill="FFFFFF"/>
        </w:rPr>
        <w:t xml:space="preserve">pgabaltiesa ir </w:t>
      </w:r>
      <w:r>
        <w:rPr>
          <w:shd w:val="clear" w:color="auto" w:fill="FFFFFF"/>
        </w:rPr>
        <w:t>pārkāpusi</w:t>
      </w:r>
      <w:r w:rsidRPr="00D5486D">
        <w:rPr>
          <w:shd w:val="clear" w:color="auto" w:fill="FFFFFF"/>
        </w:rPr>
        <w:t xml:space="preserve"> Administratīvā procesa likuma 184.panta otr</w:t>
      </w:r>
      <w:r>
        <w:rPr>
          <w:shd w:val="clear" w:color="auto" w:fill="FFFFFF"/>
        </w:rPr>
        <w:t>o</w:t>
      </w:r>
      <w:r w:rsidRPr="00D5486D">
        <w:rPr>
          <w:shd w:val="clear" w:color="auto" w:fill="FFFFFF"/>
        </w:rPr>
        <w:t xml:space="preserve"> daļ</w:t>
      </w:r>
      <w:r>
        <w:rPr>
          <w:shd w:val="clear" w:color="auto" w:fill="FFFFFF"/>
        </w:rPr>
        <w:t xml:space="preserve">u, </w:t>
      </w:r>
      <w:r w:rsidR="00463868">
        <w:rPr>
          <w:shd w:val="clear" w:color="auto" w:fill="FFFFFF"/>
        </w:rPr>
        <w:t>negrozot</w:t>
      </w:r>
      <w:r>
        <w:rPr>
          <w:shd w:val="clear" w:color="auto" w:fill="FFFFFF"/>
        </w:rPr>
        <w:t xml:space="preserve"> pieteikuma priekšmetu no </w:t>
      </w:r>
      <w:r w:rsidRPr="00D5486D">
        <w:rPr>
          <w:shd w:val="clear" w:color="auto" w:fill="FFFFFF"/>
        </w:rPr>
        <w:t xml:space="preserve">pieteikuma par labvēlīga administratīvā akta izdošanu uz pieteikumu par </w:t>
      </w:r>
      <w:r w:rsidR="00463868">
        <w:rPr>
          <w:shd w:val="clear" w:color="auto" w:fill="FFFFFF"/>
        </w:rPr>
        <w:t xml:space="preserve">pārsūdzētā </w:t>
      </w:r>
      <w:r w:rsidRPr="00D5486D">
        <w:rPr>
          <w:shd w:val="clear" w:color="auto" w:fill="FFFFFF"/>
        </w:rPr>
        <w:t>lēmuma atzīšanu par prettiesisku</w:t>
      </w:r>
      <w:r>
        <w:rPr>
          <w:shd w:val="clear" w:color="auto" w:fill="FFFFFF"/>
        </w:rPr>
        <w:t>.</w:t>
      </w:r>
      <w:r w:rsidR="00D563C6">
        <w:rPr>
          <w:shd w:val="clear" w:color="auto" w:fill="FFFFFF"/>
        </w:rPr>
        <w:t xml:space="preserve"> A</w:t>
      </w:r>
      <w:r w:rsidR="00D563C6" w:rsidRPr="00D563C6">
        <w:rPr>
          <w:shd w:val="clear" w:color="auto" w:fill="FFFFFF"/>
        </w:rPr>
        <w:t>pgabaltiesa nav ņēmusi vēr</w:t>
      </w:r>
      <w:r w:rsidR="00066E60">
        <w:rPr>
          <w:shd w:val="clear" w:color="auto" w:fill="FFFFFF"/>
        </w:rPr>
        <w:t>ā</w:t>
      </w:r>
      <w:r w:rsidR="00D563C6" w:rsidRPr="00D563C6">
        <w:rPr>
          <w:shd w:val="clear" w:color="auto" w:fill="FFFFFF"/>
        </w:rPr>
        <w:t xml:space="preserve"> noteikumu Nr.</w:t>
      </w:r>
      <w:r w:rsidR="00D563C6">
        <w:rPr>
          <w:shd w:val="clear" w:color="auto" w:fill="FFFFFF"/>
        </w:rPr>
        <w:t> </w:t>
      </w:r>
      <w:r w:rsidR="00D563C6" w:rsidRPr="00D563C6">
        <w:rPr>
          <w:shd w:val="clear" w:color="auto" w:fill="FFFFFF"/>
        </w:rPr>
        <w:t>676 24.punktu, kas noteic, ka lēmumu par atbalsta piešķiršanu pieņem līdz 2022.gada 30.jūnijam</w:t>
      </w:r>
      <w:r w:rsidR="00D563C6">
        <w:rPr>
          <w:shd w:val="clear" w:color="auto" w:fill="FFFFFF"/>
        </w:rPr>
        <w:t>. Tā kā termiņš atbalsta piešķiršanai ir beidzies, apgabaltiesa nevarēja lemt par labvēlīga administratīvā akta izdošanu.</w:t>
      </w:r>
    </w:p>
    <w:p w14:paraId="4BE967E8" w14:textId="77777777" w:rsidR="008F79A9" w:rsidRDefault="008F79A9" w:rsidP="004928DA">
      <w:pPr>
        <w:spacing w:before="360" w:after="360" w:line="276" w:lineRule="auto"/>
        <w:jc w:val="center"/>
        <w:rPr>
          <w:b/>
          <w:shd w:val="clear" w:color="auto" w:fill="FFFFFF"/>
        </w:rPr>
      </w:pPr>
      <w:r w:rsidRPr="008F79A9">
        <w:rPr>
          <w:b/>
          <w:shd w:val="clear" w:color="auto" w:fill="FFFFFF"/>
        </w:rPr>
        <w:t>Motīvu daļa</w:t>
      </w:r>
    </w:p>
    <w:p w14:paraId="3B3D0574" w14:textId="38957E36" w:rsidR="003778E4" w:rsidRPr="00935330" w:rsidRDefault="0018591F" w:rsidP="004928DA">
      <w:pPr>
        <w:shd w:val="clear" w:color="auto" w:fill="FFFFFF"/>
        <w:spacing w:line="276" w:lineRule="auto"/>
        <w:ind w:firstLine="720"/>
        <w:jc w:val="both"/>
        <w:rPr>
          <w:bCs/>
        </w:rPr>
      </w:pPr>
      <w:bookmarkStart w:id="2" w:name="_Hlk126135345"/>
      <w:r>
        <w:rPr>
          <w:bCs/>
        </w:rPr>
        <w:t>[</w:t>
      </w:r>
      <w:r w:rsidR="00AE4165">
        <w:rPr>
          <w:bCs/>
        </w:rPr>
        <w:t>4</w:t>
      </w:r>
      <w:r>
        <w:rPr>
          <w:bCs/>
        </w:rPr>
        <w:t>] </w:t>
      </w:r>
      <w:r w:rsidR="0057120E">
        <w:rPr>
          <w:bCs/>
        </w:rPr>
        <w:t xml:space="preserve">Lietā ir strīds par </w:t>
      </w:r>
      <w:r>
        <w:rPr>
          <w:bCs/>
        </w:rPr>
        <w:t>noteikumu Nr. 676 16.8.apakšpunkt</w:t>
      </w:r>
      <w:r w:rsidR="0057120E">
        <w:rPr>
          <w:bCs/>
        </w:rPr>
        <w:t>a</w:t>
      </w:r>
      <w:r w:rsidR="001860B1">
        <w:rPr>
          <w:bCs/>
        </w:rPr>
        <w:t xml:space="preserve"> (</w:t>
      </w:r>
      <w:r w:rsidR="00A845FA">
        <w:rPr>
          <w:bCs/>
          <w:i/>
          <w:iCs/>
        </w:rPr>
        <w:t xml:space="preserve">šeit </w:t>
      </w:r>
      <w:r w:rsidR="001860B1" w:rsidRPr="00A25898">
        <w:rPr>
          <w:bCs/>
          <w:i/>
          <w:iCs/>
        </w:rPr>
        <w:t>un turpmāk redakcijā, kas bija spēkā no 2021.gada 8.jūnija līdz 16.decembrim</w:t>
      </w:r>
      <w:r w:rsidR="001860B1">
        <w:rPr>
          <w:bCs/>
        </w:rPr>
        <w:t>)</w:t>
      </w:r>
      <w:r w:rsidR="0057120E">
        <w:rPr>
          <w:bCs/>
        </w:rPr>
        <w:t xml:space="preserve"> interpretāciju. </w:t>
      </w:r>
      <w:r w:rsidR="00420917" w:rsidRPr="004D6908">
        <w:t xml:space="preserve">Dienests uzskata, ka </w:t>
      </w:r>
      <w:r w:rsidR="00420917" w:rsidRPr="004D6908">
        <w:rPr>
          <w:bCs/>
        </w:rPr>
        <w:t>noteikumu Nr. 676 16.8.apakšpunkts liedz piešķirt atbalstu uzņēmumiem, kas</w:t>
      </w:r>
      <w:r w:rsidR="00420917" w:rsidRPr="004D6908">
        <w:t xml:space="preserve"> bija </w:t>
      </w:r>
      <w:r w:rsidR="00872E48">
        <w:t>deklarējuši</w:t>
      </w:r>
      <w:r w:rsidR="00420917" w:rsidRPr="004D6908">
        <w:t xml:space="preserve"> papilddarbību noteikumu Nr. 676 2.pielikumā minētajā</w:t>
      </w:r>
      <w:r w:rsidR="004A50BA">
        <w:t xml:space="preserve"> nozarē</w:t>
      </w:r>
      <w:r w:rsidR="00420917" w:rsidRPr="004D6908">
        <w:t>. Tomēr ne pieteicēja, ne apgabaltiesa nepiekr</w:t>
      </w:r>
      <w:r w:rsidR="004D6908" w:rsidRPr="004D6908">
        <w:t xml:space="preserve">īt šādai </w:t>
      </w:r>
      <w:r w:rsidR="004D6908" w:rsidRPr="004D6908">
        <w:rPr>
          <w:bCs/>
        </w:rPr>
        <w:t>noteikumu Nr. 676 16.8.apakšpunkta interpretācijai</w:t>
      </w:r>
      <w:r w:rsidR="00420917" w:rsidRPr="004D6908">
        <w:t>.</w:t>
      </w:r>
    </w:p>
    <w:p w14:paraId="1CB71C0D" w14:textId="086C27B6" w:rsidR="00DE2A46" w:rsidRDefault="00DE2A46" w:rsidP="004928DA">
      <w:pPr>
        <w:shd w:val="clear" w:color="auto" w:fill="FFFFFF"/>
        <w:spacing w:line="276" w:lineRule="auto"/>
        <w:ind w:firstLine="720"/>
        <w:jc w:val="both"/>
      </w:pPr>
      <w:r w:rsidRPr="004D6908">
        <w:t>L</w:t>
      </w:r>
      <w:r w:rsidR="00420917" w:rsidRPr="004D6908">
        <w:t>īdz ar to</w:t>
      </w:r>
      <w:r w:rsidR="00DE5077">
        <w:t xml:space="preserve"> Senātam jānoskaidro</w:t>
      </w:r>
      <w:r w:rsidRPr="004D6908">
        <w:t xml:space="preserve">: vai no </w:t>
      </w:r>
      <w:r w:rsidRPr="004D6908">
        <w:rPr>
          <w:bCs/>
        </w:rPr>
        <w:t>noteikumu Nr. 676 16.8.apakšpunkt</w:t>
      </w:r>
      <w:r w:rsidR="004D6908" w:rsidRPr="004D6908">
        <w:rPr>
          <w:bCs/>
        </w:rPr>
        <w:t>a</w:t>
      </w:r>
      <w:r w:rsidRPr="004D6908">
        <w:rPr>
          <w:bCs/>
        </w:rPr>
        <w:t xml:space="preserve"> izriet, ka </w:t>
      </w:r>
      <w:r w:rsidRPr="004D6908">
        <w:t>papilddarbības deklarēšana noteikumu Nr. 676 2.pielikumā minētajā nozarē pati</w:t>
      </w:r>
      <w:r>
        <w:t xml:space="preserve"> par sevi uzņēmumam liedz pretendēt uz atbalsta saņemšanu</w:t>
      </w:r>
      <w:r w:rsidR="009665DD">
        <w:t>.</w:t>
      </w:r>
    </w:p>
    <w:p w14:paraId="73A894BB" w14:textId="77777777" w:rsidR="004522F3" w:rsidRDefault="004522F3" w:rsidP="004928DA">
      <w:pPr>
        <w:shd w:val="clear" w:color="auto" w:fill="FFFFFF"/>
        <w:spacing w:line="276" w:lineRule="auto"/>
        <w:ind w:firstLine="720"/>
        <w:jc w:val="both"/>
        <w:rPr>
          <w:bCs/>
        </w:rPr>
      </w:pPr>
    </w:p>
    <w:p w14:paraId="4F56D5A9" w14:textId="379C972D" w:rsidR="008857C5" w:rsidRDefault="00D77A37" w:rsidP="004928DA">
      <w:pPr>
        <w:shd w:val="clear" w:color="auto" w:fill="FFFFFF"/>
        <w:spacing w:line="276" w:lineRule="auto"/>
        <w:ind w:firstLine="720"/>
        <w:jc w:val="both"/>
      </w:pPr>
      <w:r w:rsidRPr="004D6908">
        <w:rPr>
          <w:bCs/>
        </w:rPr>
        <w:t>[</w:t>
      </w:r>
      <w:r w:rsidR="00AE4165">
        <w:rPr>
          <w:bCs/>
        </w:rPr>
        <w:t>5</w:t>
      </w:r>
      <w:r w:rsidRPr="004D6908">
        <w:rPr>
          <w:bCs/>
        </w:rPr>
        <w:t>] </w:t>
      </w:r>
      <w:r w:rsidR="008857C5" w:rsidRPr="004D6908">
        <w:rPr>
          <w:bCs/>
        </w:rPr>
        <w:t>Saskaņā ar noteikumu Nr. 676 16.8.apakšpunktu atbalstu nepiešķir uzņēmumiem, kas</w:t>
      </w:r>
      <w:r w:rsidR="008857C5">
        <w:rPr>
          <w:bCs/>
        </w:rPr>
        <w:t xml:space="preserve"> veic saimniecisko </w:t>
      </w:r>
      <w:r w:rsidR="008857C5">
        <w:t xml:space="preserve">darbību šo noteikumu 2.pielikumā minētajās nozarēs, pamatojoties uz šo noteikumu 8.punktā minēto iesniegumu par 2021.gada maiju un jūniju. </w:t>
      </w:r>
    </w:p>
    <w:p w14:paraId="6C271721" w14:textId="1D7E4DDD" w:rsidR="00A45A66" w:rsidRDefault="001657B6" w:rsidP="004928DA">
      <w:pPr>
        <w:shd w:val="clear" w:color="auto" w:fill="FFFFFF"/>
        <w:spacing w:line="276" w:lineRule="auto"/>
        <w:ind w:firstLine="720"/>
        <w:jc w:val="both"/>
      </w:pPr>
      <w:r>
        <w:t>Minētā norma ieviesta noteikumos Nr.</w:t>
      </w:r>
      <w:r w:rsidR="001860B1">
        <w:t> </w:t>
      </w:r>
      <w:r>
        <w:t>676 ar 2021.gada 29.aprīļa grozījumiem</w:t>
      </w:r>
      <w:r w:rsidR="00994BDD">
        <w:t xml:space="preserve">, kas </w:t>
      </w:r>
      <w:r w:rsidRPr="007754B6">
        <w:t>stājās spēkā 8.jūnijā</w:t>
      </w:r>
      <w:r>
        <w:t xml:space="preserve">. </w:t>
      </w:r>
      <w:r w:rsidR="00994BDD">
        <w:t>Iepriekš (</w:t>
      </w:r>
      <w:r w:rsidR="00234555">
        <w:t>no 2020.gada 2.decembra</w:t>
      </w:r>
      <w:r w:rsidR="00994BDD">
        <w:t xml:space="preserve"> līdz šiem grozījumiem)</w:t>
      </w:r>
      <w:r w:rsidR="00234555">
        <w:t xml:space="preserve"> uz atbalsta saņemšanu varēja pretendēt ikvienā nozarē strādājošais uzņēmums</w:t>
      </w:r>
      <w:r w:rsidR="00994BDD">
        <w:t xml:space="preserve"> (</w:t>
      </w:r>
      <w:r w:rsidR="00234555">
        <w:t xml:space="preserve">ar atsevišķiem izņēmumiem). Tomēr, tā kā </w:t>
      </w:r>
      <w:r w:rsidR="00234555">
        <w:rPr>
          <w:bCs/>
        </w:rPr>
        <w:t xml:space="preserve">2021.gada 6.aprīlī </w:t>
      </w:r>
      <w:r w:rsidR="00A845FA">
        <w:t>izbeidzās valstī izsludinātā ārkārtējā situācija</w:t>
      </w:r>
      <w:r w:rsidR="00234555">
        <w:rPr>
          <w:bCs/>
        </w:rPr>
        <w:t xml:space="preserve"> un</w:t>
      </w:r>
      <w:r w:rsidR="00994BDD">
        <w:rPr>
          <w:bCs/>
        </w:rPr>
        <w:t xml:space="preserve"> </w:t>
      </w:r>
      <w:r w:rsidR="00234555">
        <w:rPr>
          <w:bCs/>
        </w:rPr>
        <w:t>ierobežojumi vairākās nozarēs tika atcelti, bija nozares, kas varēja nodrošināt saimniecisko darbību un kurām atbalsta sniegšana tika pārtraukta (</w:t>
      </w:r>
      <w:r w:rsidR="00234555" w:rsidRPr="007754B6">
        <w:rPr>
          <w:i/>
          <w:iCs/>
        </w:rPr>
        <w:t>Ministru kabineta</w:t>
      </w:r>
      <w:r w:rsidR="00234555" w:rsidRPr="007754B6">
        <w:rPr>
          <w:bCs/>
          <w:i/>
          <w:iCs/>
        </w:rPr>
        <w:t xml:space="preserve"> </w:t>
      </w:r>
      <w:r w:rsidR="00234555" w:rsidRPr="00E3438C">
        <w:rPr>
          <w:bCs/>
          <w:i/>
          <w:iCs/>
        </w:rPr>
        <w:t>2021.gada 29.aprī</w:t>
      </w:r>
      <w:r w:rsidR="00234555">
        <w:rPr>
          <w:bCs/>
          <w:i/>
          <w:iCs/>
        </w:rPr>
        <w:t>ļa</w:t>
      </w:r>
      <w:r w:rsidR="00234555" w:rsidRPr="007754B6">
        <w:rPr>
          <w:bCs/>
          <w:i/>
          <w:iCs/>
        </w:rPr>
        <w:t xml:space="preserve"> noteikumu Nr. </w:t>
      </w:r>
      <w:r w:rsidR="00234555" w:rsidRPr="00E3438C">
        <w:rPr>
          <w:i/>
          <w:iCs/>
        </w:rPr>
        <w:t xml:space="preserve">276 </w:t>
      </w:r>
      <w:r w:rsidR="00234555" w:rsidRPr="007754B6">
        <w:rPr>
          <w:i/>
          <w:iCs/>
        </w:rPr>
        <w:t>„Grozījumi Ministru kabineta 2020.gada 10.novembra noteikumos Nr. 676 „Noteikumi par atbalstu Covid-19 krīzes skartajiem uzņēmumiem apgrozāmo līdzekļu plūsmas nodrošināšanai”</w:t>
      </w:r>
      <w:r w:rsidR="00234555" w:rsidRPr="007754B6">
        <w:t xml:space="preserve"> </w:t>
      </w:r>
      <w:r w:rsidR="00234555" w:rsidRPr="007754B6">
        <w:rPr>
          <w:bCs/>
          <w:i/>
          <w:iCs/>
        </w:rPr>
        <w:t>sākotnējās ietekmes novērtējuma ziņojum</w:t>
      </w:r>
      <w:r w:rsidR="00234555">
        <w:rPr>
          <w:bCs/>
          <w:i/>
          <w:iCs/>
        </w:rPr>
        <w:t>s (</w:t>
      </w:r>
      <w:hyperlink r:id="rId9" w:history="1">
        <w:r w:rsidR="00234555" w:rsidRPr="00E3438C">
          <w:rPr>
            <w:rStyle w:val="Hyperlink"/>
            <w:bCs/>
            <w:i/>
            <w:iCs/>
          </w:rPr>
          <w:t>anotācija</w:t>
        </w:r>
      </w:hyperlink>
      <w:r w:rsidR="00234555">
        <w:rPr>
          <w:bCs/>
          <w:i/>
          <w:iCs/>
        </w:rPr>
        <w:t>)</w:t>
      </w:r>
      <w:r w:rsidR="00234555">
        <w:rPr>
          <w:bCs/>
        </w:rPr>
        <w:t xml:space="preserve">). Attiecīgi no brīža, kad stājās spēkā </w:t>
      </w:r>
      <w:r w:rsidR="00F96F61">
        <w:rPr>
          <w:bCs/>
        </w:rPr>
        <w:t>minētie grozījumi</w:t>
      </w:r>
      <w:r w:rsidR="00234555">
        <w:rPr>
          <w:bCs/>
        </w:rPr>
        <w:t>,</w:t>
      </w:r>
      <w:r w:rsidR="00994BDD">
        <w:rPr>
          <w:bCs/>
        </w:rPr>
        <w:t xml:space="preserve"> atbalsta piešķiršanai bija svarīgi konstatēt nozari, kurā uzņēmums veica saimniecisko darbību.</w:t>
      </w:r>
    </w:p>
    <w:p w14:paraId="04460197" w14:textId="77777777" w:rsidR="003F1DE6" w:rsidRDefault="003F1DE6" w:rsidP="004928DA">
      <w:pPr>
        <w:shd w:val="clear" w:color="auto" w:fill="FFFFFF"/>
        <w:spacing w:line="276" w:lineRule="auto"/>
        <w:ind w:firstLine="720"/>
        <w:jc w:val="both"/>
      </w:pPr>
    </w:p>
    <w:p w14:paraId="45EB6D81" w14:textId="4708F642" w:rsidR="003F1DE6" w:rsidRDefault="003F1DE6" w:rsidP="004928DA">
      <w:pPr>
        <w:shd w:val="clear" w:color="auto" w:fill="FFFFFF"/>
        <w:spacing w:line="276" w:lineRule="auto"/>
        <w:ind w:firstLine="720"/>
        <w:jc w:val="both"/>
        <w:rPr>
          <w:bCs/>
        </w:rPr>
      </w:pPr>
      <w:r>
        <w:t>[</w:t>
      </w:r>
      <w:r w:rsidR="00AE4165">
        <w:t>6</w:t>
      </w:r>
      <w:r>
        <w:t>] </w:t>
      </w:r>
      <w:r w:rsidR="00A845FA">
        <w:t xml:space="preserve">Senāts jau iepriekš ir analizējis jautājumu par atbalstu Covid-19 krīzes skartajiem uzņēmumiem noteikumu Nr. 676 kontekstā, sniedzot arī šo noteikumu </w:t>
      </w:r>
      <w:r w:rsidR="00A845FA">
        <w:rPr>
          <w:bCs/>
        </w:rPr>
        <w:t>16.8.apakšpunkta interpretāciju</w:t>
      </w:r>
      <w:r>
        <w:rPr>
          <w:bCs/>
        </w:rPr>
        <w:t xml:space="preserve">. Senāts atzina: noteikumu Nr. 676 16.8.apakšpunkts ir interpretējams tādējādi, ka tad, ja uzņēmums Covid-19 krīzes laikā veica saimniecisko darbību gan neatbalstāmajā nozarē, gan atbalstāmajā nozarē, uzņēmumam bija tiesības pretendēt uz valsts atbalstu apgrozāmo līdzekļu plūsmas nodrošināšanai atbalstāmajā nozarē. </w:t>
      </w:r>
      <w:r>
        <w:t xml:space="preserve">Senāts norādīja, ka </w:t>
      </w:r>
      <w:r>
        <w:rPr>
          <w:bCs/>
        </w:rPr>
        <w:t>atbalst</w:t>
      </w:r>
      <w:r w:rsidR="002840A3">
        <w:rPr>
          <w:bCs/>
        </w:rPr>
        <w:t>s</w:t>
      </w:r>
      <w:r>
        <w:rPr>
          <w:bCs/>
        </w:rPr>
        <w:t xml:space="preserve"> apgrozāmo līdzekļu plūsmas nodrošināšanai </w:t>
      </w:r>
      <w:r w:rsidR="003A4C1D" w:rsidRPr="003A4C1D">
        <w:rPr>
          <w:bCs/>
        </w:rPr>
        <w:t>bija paredzēts jeb mērķēts uz konkrētām tautsaimniecības nozarēm</w:t>
      </w:r>
      <w:r w:rsidR="003A4C1D">
        <w:rPr>
          <w:bCs/>
        </w:rPr>
        <w:t> </w:t>
      </w:r>
      <w:r w:rsidR="003A4C1D" w:rsidRPr="003A4C1D">
        <w:rPr>
          <w:bCs/>
        </w:rPr>
        <w:t>– nozarēm, kurās bija noteikti ierobežojumi un kuras skāra Covid</w:t>
      </w:r>
      <w:r w:rsidR="00872E48" w:rsidRPr="00872E48">
        <w:rPr>
          <w:bCs/>
        </w:rPr>
        <w:noBreakHyphen/>
      </w:r>
      <w:r w:rsidR="003A4C1D" w:rsidRPr="003A4C1D">
        <w:rPr>
          <w:bCs/>
        </w:rPr>
        <w:t>19 krīze</w:t>
      </w:r>
      <w:r w:rsidR="003A4C1D">
        <w:rPr>
          <w:bCs/>
        </w:rPr>
        <w:t xml:space="preserve">. Senāts uzsvēra: </w:t>
      </w:r>
      <w:r w:rsidR="003A4C1D" w:rsidRPr="003A4C1D">
        <w:rPr>
          <w:bCs/>
        </w:rPr>
        <w:t>lai arī valsts atbalsts tika piešķirts uzņēmumam, šā atbalsta galvenais mērķis bija atbalstīt nevis konkrētu uzņēmumu, bet gan konkrētu tautsaimniecības nozari, jo ikviena tautsaimniecības nozare ietekmē tautsaimniecības attīstību kopumā, kā arī ekonomikas stabilitāti un izaugsmi. Savukārt tautsaimniecības attīstība un ekonomikas stabilitāte atbilstoši noteikumu Nr.</w:t>
      </w:r>
      <w:r w:rsidR="003A4C1D">
        <w:rPr>
          <w:bCs/>
        </w:rPr>
        <w:t> </w:t>
      </w:r>
      <w:r w:rsidR="003A4C1D" w:rsidRPr="003A4C1D">
        <w:rPr>
          <w:bCs/>
        </w:rPr>
        <w:t>676 un to grozījumu anotācijās norādītajam ir galvenais mērķis, kāpēc tiek piešķirts valsts atbalsts Covid-19 krīzes skartajiem uzņēmumiem.</w:t>
      </w:r>
      <w:r w:rsidR="003A4C1D">
        <w:rPr>
          <w:bCs/>
        </w:rPr>
        <w:t xml:space="preserve"> </w:t>
      </w:r>
      <w:r>
        <w:rPr>
          <w:bCs/>
        </w:rPr>
        <w:t xml:space="preserve">Senāts uzskatīja, ka ne no noteikumu Nr. 676 būtības un jēgas, ne arī no noteikumu Nr. 676 un to grozījumu anotācijās norādītā neizriet </w:t>
      </w:r>
      <w:r w:rsidR="00FF222B">
        <w:rPr>
          <w:bCs/>
        </w:rPr>
        <w:t xml:space="preserve">normatīvā akta izdevēja </w:t>
      </w:r>
      <w:r>
        <w:rPr>
          <w:bCs/>
        </w:rPr>
        <w:t>mērķis vispār nesniegt atbalstu uzņēmumam tad, ja tas Covid-19 krīzes laikā vienlaikus darbojās vairākās nozarēs un kāda no tām bija nozare, kurā nebija noteikti saimnieciskās darbības ierobežojum</w:t>
      </w:r>
      <w:r w:rsidR="00FF222B">
        <w:rPr>
          <w:bCs/>
        </w:rPr>
        <w:t>i</w:t>
      </w:r>
      <w:r w:rsidR="00BC3B5C">
        <w:rPr>
          <w:bCs/>
        </w:rPr>
        <w:t xml:space="preserve"> </w:t>
      </w:r>
      <w:r>
        <w:rPr>
          <w:bCs/>
        </w:rPr>
        <w:t>(</w:t>
      </w:r>
      <w:r w:rsidR="00A25898" w:rsidRPr="00A25898">
        <w:rPr>
          <w:bCs/>
          <w:i/>
          <w:iCs/>
        </w:rPr>
        <w:t>Senāta 2025.gada 27.jūnija spriedum</w:t>
      </w:r>
      <w:r w:rsidR="00A25898">
        <w:rPr>
          <w:bCs/>
          <w:i/>
          <w:iCs/>
        </w:rPr>
        <w:t>a</w:t>
      </w:r>
      <w:r w:rsidR="00A25898" w:rsidRPr="00A25898">
        <w:rPr>
          <w:bCs/>
          <w:i/>
          <w:iCs/>
        </w:rPr>
        <w:t xml:space="preserve"> lietā Nr. SKA-59/2025, </w:t>
      </w:r>
      <w:hyperlink r:id="rId10" w:history="1">
        <w:r w:rsidR="00A25898" w:rsidRPr="00A25898">
          <w:rPr>
            <w:rStyle w:val="Hyperlink"/>
            <w:bCs/>
            <w:i/>
            <w:iCs/>
          </w:rPr>
          <w:t>ECLI:LV:AT:2025:0627.A420271621.13.S</w:t>
        </w:r>
      </w:hyperlink>
      <w:r w:rsidR="00A25898" w:rsidRPr="00A25898">
        <w:rPr>
          <w:bCs/>
          <w:i/>
          <w:iCs/>
        </w:rPr>
        <w:t>,</w:t>
      </w:r>
      <w:r w:rsidR="00A25898">
        <w:rPr>
          <w:bCs/>
          <w:i/>
          <w:iCs/>
        </w:rPr>
        <w:t xml:space="preserve"> </w:t>
      </w:r>
      <w:r w:rsidR="00A25898" w:rsidRPr="00A25898">
        <w:rPr>
          <w:bCs/>
          <w:i/>
          <w:iCs/>
        </w:rPr>
        <w:t>9</w:t>
      </w:r>
      <w:r w:rsidRPr="00A25898">
        <w:rPr>
          <w:bCs/>
          <w:i/>
          <w:iCs/>
        </w:rPr>
        <w:t>.</w:t>
      </w:r>
      <w:r w:rsidR="00A25898" w:rsidRPr="00A25898">
        <w:rPr>
          <w:bCs/>
          <w:i/>
          <w:iCs/>
        </w:rPr>
        <w:t>, 12.punkts</w:t>
      </w:r>
      <w:r>
        <w:rPr>
          <w:bCs/>
        </w:rPr>
        <w:t>).</w:t>
      </w:r>
    </w:p>
    <w:p w14:paraId="6C19BFDF" w14:textId="77777777" w:rsidR="00455051" w:rsidRDefault="00455051" w:rsidP="004928DA">
      <w:pPr>
        <w:shd w:val="clear" w:color="auto" w:fill="FFFFFF"/>
        <w:spacing w:line="276" w:lineRule="auto"/>
        <w:jc w:val="both"/>
        <w:rPr>
          <w:bCs/>
        </w:rPr>
      </w:pPr>
    </w:p>
    <w:p w14:paraId="6744C170" w14:textId="16A34400" w:rsidR="00A845FA" w:rsidRDefault="00935330" w:rsidP="004928DA">
      <w:pPr>
        <w:shd w:val="clear" w:color="auto" w:fill="FFFFFF"/>
        <w:spacing w:line="276" w:lineRule="auto"/>
        <w:ind w:firstLine="720"/>
        <w:jc w:val="both"/>
      </w:pPr>
      <w:r>
        <w:rPr>
          <w:bCs/>
        </w:rPr>
        <w:t>[</w:t>
      </w:r>
      <w:r w:rsidR="00AE4165">
        <w:rPr>
          <w:bCs/>
        </w:rPr>
        <w:t>7</w:t>
      </w:r>
      <w:r>
        <w:rPr>
          <w:bCs/>
        </w:rPr>
        <w:t>] </w:t>
      </w:r>
      <w:r>
        <w:t xml:space="preserve">No </w:t>
      </w:r>
      <w:r w:rsidRPr="004D6908">
        <w:t xml:space="preserve">apgabaltiesas sprieduma izriet: pieteicēja 2021.gada </w:t>
      </w:r>
      <w:r>
        <w:t xml:space="preserve">maijā saimniecisko darbību bija deklarējusi un faktiski veica nozarē, </w:t>
      </w:r>
      <w:r w:rsidRPr="004D6908">
        <w:t>attiecībā uz kuru nepastāv</w:t>
      </w:r>
      <w:r w:rsidR="00DD7DDB">
        <w:t>ēja</w:t>
      </w:r>
      <w:r w:rsidRPr="004D6908">
        <w:t xml:space="preserve"> valsta atbalsta saņemšanas ierobežojumi</w:t>
      </w:r>
      <w:r w:rsidR="004C0FF7">
        <w:t xml:space="preserve"> jeb nozarē, kas nav iekļauta noteikumu Nr. 676 2.pielikumā</w:t>
      </w:r>
      <w:r w:rsidR="00DD7DDB">
        <w:t xml:space="preserve">. </w:t>
      </w:r>
      <w:r w:rsidR="00617801">
        <w:t>V</w:t>
      </w:r>
      <w:r w:rsidRPr="004D6908">
        <w:t xml:space="preserve">ienlaikus </w:t>
      </w:r>
      <w:r w:rsidR="00DD7DDB">
        <w:t xml:space="preserve">pieteicēja </w:t>
      </w:r>
      <w:r w:rsidRPr="004D6908">
        <w:t xml:space="preserve">bija </w:t>
      </w:r>
      <w:r>
        <w:t xml:space="preserve">deklarējusi </w:t>
      </w:r>
      <w:r w:rsidRPr="004D6908">
        <w:t>papilddarbību noteikumu Nr. 676 2.pielikumā minētajā nozarē.</w:t>
      </w:r>
      <w:r>
        <w:t xml:space="preserve"> </w:t>
      </w:r>
      <w:r w:rsidR="00DD7DDB">
        <w:t xml:space="preserve">Dienests </w:t>
      </w:r>
      <w:r w:rsidR="00007350">
        <w:t xml:space="preserve">kasācijas sūdzībā nav iebildis </w:t>
      </w:r>
      <w:r w:rsidR="00DD7DDB">
        <w:t xml:space="preserve">pret </w:t>
      </w:r>
      <w:r w:rsidR="00C42E1C">
        <w:t>šiem apgabaltiesas konstatētajiem</w:t>
      </w:r>
      <w:r w:rsidR="00007350">
        <w:t xml:space="preserve"> fakt</w:t>
      </w:r>
      <w:r w:rsidR="00C42E1C">
        <w:t>iem</w:t>
      </w:r>
      <w:r w:rsidR="00617801">
        <w:t>, bet, kā jau minēts, ir uzskatījis, ka papilddarbības deklarēšana</w:t>
      </w:r>
      <w:r w:rsidR="009D1BF3" w:rsidRPr="009D1BF3">
        <w:t xml:space="preserve"> </w:t>
      </w:r>
      <w:r w:rsidR="009D1BF3" w:rsidRPr="004D6908">
        <w:t xml:space="preserve">noteikumu Nr. 676 </w:t>
      </w:r>
      <w:r w:rsidR="00617801">
        <w:t xml:space="preserve">2.pielikumā minētajā nozarē pati par sevi ir šķērslis pretendēt uz </w:t>
      </w:r>
      <w:r w:rsidR="009D1BF3">
        <w:t xml:space="preserve">valsts </w:t>
      </w:r>
      <w:r w:rsidR="00617801">
        <w:t>atbalstu.</w:t>
      </w:r>
    </w:p>
    <w:p w14:paraId="68A7A28B" w14:textId="2C1FD014" w:rsidR="009D1BF3" w:rsidRPr="00A869AD" w:rsidRDefault="00FF222B" w:rsidP="004928DA">
      <w:pPr>
        <w:shd w:val="clear" w:color="auto" w:fill="FFFFFF"/>
        <w:spacing w:line="276" w:lineRule="auto"/>
        <w:ind w:firstLine="720"/>
        <w:jc w:val="both"/>
        <w:rPr>
          <w:bCs/>
        </w:rPr>
      </w:pPr>
      <w:r w:rsidRPr="00A869AD">
        <w:t>Senāts</w:t>
      </w:r>
      <w:r w:rsidR="00617801" w:rsidRPr="00A869AD">
        <w:t xml:space="preserve"> tam nepiekrīt. N</w:t>
      </w:r>
      <w:r w:rsidR="00FD2EBB" w:rsidRPr="00A869AD">
        <w:rPr>
          <w:bCs/>
        </w:rPr>
        <w:t xml:space="preserve">oteikumu Nr. 676 16.8.apakšpunkts liedz uzņēmumam pretendēt uz atbalstu par saimniecisko darbību </w:t>
      </w:r>
      <w:r w:rsidR="00FD2EBB" w:rsidRPr="00A869AD">
        <w:t xml:space="preserve">noteikumu Nr. 676 2.pielikumā minētajā nozarē. Tomēr šī tiesību norma neliedz </w:t>
      </w:r>
      <w:r w:rsidR="00FD2EBB" w:rsidRPr="00A869AD">
        <w:rPr>
          <w:bCs/>
        </w:rPr>
        <w:t>uzņēmumam pretendēt uz atbalstu nozarē, kurā bija noteikti saimnieciskās darbības ierobežojumi un kuru skāra Covid-19 krīze</w:t>
      </w:r>
      <w:r w:rsidR="004C0FF7" w:rsidRPr="00A869AD">
        <w:rPr>
          <w:bCs/>
        </w:rPr>
        <w:t>, turklāt neatkarīgi no tā, vai uzņēmums papildus veica (bija deklarējis) saimniecisko darbību vēl kādā nozarē. No noteikumiem Nr.</w:t>
      </w:r>
      <w:r w:rsidR="009D1BF3" w:rsidRPr="00A869AD">
        <w:rPr>
          <w:bCs/>
        </w:rPr>
        <w:t> </w:t>
      </w:r>
      <w:r w:rsidR="004C0FF7" w:rsidRPr="00A869AD">
        <w:rPr>
          <w:bCs/>
        </w:rPr>
        <w:t>676 šāds ierobežojums neizriet</w:t>
      </w:r>
      <w:r w:rsidR="00337FD7" w:rsidRPr="00A869AD">
        <w:rPr>
          <w:bCs/>
        </w:rPr>
        <w:t>. K</w:t>
      </w:r>
      <w:r w:rsidR="004C0FF7" w:rsidRPr="00A869AD">
        <w:rPr>
          <w:bCs/>
        </w:rPr>
        <w:t>ā norādīts jau iepriekš, Senāts 2025.gada 27.jūnija spriedumā lietā Nr. SKA-59/2025 atzina, ka atbalsts apgrozāmo līdzekļu plūsmas nodrošināšanai bija mērķēts uz nozarēm, kurās bija noteikti ierobežojumi un kuras skāra Covid</w:t>
      </w:r>
      <w:r w:rsidR="004C0FF7" w:rsidRPr="00A869AD">
        <w:rPr>
          <w:bCs/>
        </w:rPr>
        <w:noBreakHyphen/>
        <w:t>19 krīze.</w:t>
      </w:r>
      <w:r w:rsidR="009D1BF3" w:rsidRPr="00A869AD">
        <w:rPr>
          <w:bCs/>
        </w:rPr>
        <w:t xml:space="preserve"> </w:t>
      </w:r>
      <w:r w:rsidR="00337FD7" w:rsidRPr="00A869AD">
        <w:rPr>
          <w:bCs/>
        </w:rPr>
        <w:t>M</w:t>
      </w:r>
      <w:r w:rsidR="009D1BF3" w:rsidRPr="00A869AD">
        <w:rPr>
          <w:bCs/>
        </w:rPr>
        <w:t>inētā atziņa ir attiecināma arī uz izskatāmo gadījumu.</w:t>
      </w:r>
    </w:p>
    <w:p w14:paraId="5A261023" w14:textId="78155484" w:rsidR="00EE238F" w:rsidRDefault="00DE5077" w:rsidP="004928DA">
      <w:pPr>
        <w:shd w:val="clear" w:color="auto" w:fill="FFFFFF"/>
        <w:spacing w:line="276" w:lineRule="auto"/>
        <w:ind w:firstLine="720"/>
        <w:jc w:val="both"/>
      </w:pPr>
      <w:r w:rsidRPr="00A869AD">
        <w:rPr>
          <w:bCs/>
        </w:rPr>
        <w:t xml:space="preserve">Līdz ar to </w:t>
      </w:r>
      <w:r w:rsidR="00633DA9" w:rsidRPr="00A869AD">
        <w:t>Senāts atzīs</w:t>
      </w:r>
      <w:r w:rsidR="00337FD7" w:rsidRPr="00A869AD">
        <w:t>t</w:t>
      </w:r>
      <w:r w:rsidR="00633DA9" w:rsidRPr="00A869AD">
        <w:t xml:space="preserve">: </w:t>
      </w:r>
      <w:r w:rsidR="001623EB" w:rsidRPr="00A869AD">
        <w:t xml:space="preserve">apgabaltiesa pamatoti atzinusi, ka pretēji dienesta viedoklim papilddarbības deklarēšana noteikumu Nr. 676 2.pielikumā ietvertajā nozarē pati par sevi nav šķērslis uzņēmuma pretendēšanai uz valsts atbalstu atbilstoši noteikumu Nr. 676 16.8.apakšpunktam. Tomēr </w:t>
      </w:r>
      <w:r w:rsidR="00633DA9" w:rsidRPr="00A869AD">
        <w:t xml:space="preserve">apgabaltiesa nepamatoti </w:t>
      </w:r>
      <w:r w:rsidR="00DA2079" w:rsidRPr="00A869AD">
        <w:t xml:space="preserve">piešķīrusi </w:t>
      </w:r>
      <w:r w:rsidR="001623EB" w:rsidRPr="00A869AD">
        <w:t xml:space="preserve">būtisku </w:t>
      </w:r>
      <w:r w:rsidR="00DA2079" w:rsidRPr="00A869AD">
        <w:t xml:space="preserve">nozīmi tam, ka </w:t>
      </w:r>
      <w:r w:rsidR="00633DA9" w:rsidRPr="00A869AD">
        <w:t xml:space="preserve">pieteicēja </w:t>
      </w:r>
      <w:r w:rsidR="00DA2079" w:rsidRPr="00A869AD">
        <w:t>faktiski nav veikusi saimniecisko darbību</w:t>
      </w:r>
      <w:r w:rsidR="001623EB" w:rsidRPr="00A869AD">
        <w:t xml:space="preserve"> </w:t>
      </w:r>
      <w:r w:rsidR="00633DA9" w:rsidRPr="00A869AD">
        <w:t xml:space="preserve">nozarē, kurā bija deklarējusi savu papilddarbību un kas ietverta noteikumu Nr. 676 2.pielikumā. </w:t>
      </w:r>
      <w:r w:rsidR="00EE238F" w:rsidRPr="00A869AD">
        <w:t xml:space="preserve">Šim jautājumam nav tiesiskas nozīmes, vērtējot </w:t>
      </w:r>
      <w:r w:rsidR="00633DA9" w:rsidRPr="00A869AD">
        <w:t>pieteicējas tiesības pretendēt uz valsts atbalstu atbalstāmajā nozarē</w:t>
      </w:r>
      <w:r w:rsidR="00337FD7" w:rsidRPr="00A869AD">
        <w:t xml:space="preserve"> jeb nozarē, attiecībā uz kuru nepastāvēja valsta atbalsta saņemšanas ierobežojumi</w:t>
      </w:r>
      <w:r w:rsidR="00EE238F" w:rsidRPr="00A869AD">
        <w:t xml:space="preserve">. Pat ja pieteicēja papildus savai pamatdarbībai </w:t>
      </w:r>
      <w:r w:rsidR="00337FD7" w:rsidRPr="00A869AD">
        <w:t xml:space="preserve">atbalstāmajā nozarē būtu </w:t>
      </w:r>
      <w:r w:rsidR="00EE238F" w:rsidRPr="00A869AD">
        <w:t>veikusi saimniecisko darbību kādā no noteikumu Nr. 676 2.pielikumā minētajām nozarēm,</w:t>
      </w:r>
      <w:r w:rsidR="00DA2079" w:rsidRPr="00A869AD">
        <w:t xml:space="preserve"> pieteicējai</w:t>
      </w:r>
      <w:r w:rsidR="00EE238F" w:rsidRPr="00A869AD">
        <w:t xml:space="preserve"> tāpat būtu tiesības pretendēt uz atbalstu nozarē, </w:t>
      </w:r>
      <w:r w:rsidR="00872E48" w:rsidRPr="00A869AD">
        <w:t>attiecībā uz kuru nepastāvēja valsta atbalsta saņemšanas ierobežojumi</w:t>
      </w:r>
      <w:r w:rsidR="00EE238F" w:rsidRPr="00A869AD">
        <w:t>.</w:t>
      </w:r>
      <w:r w:rsidR="001623EB" w:rsidRPr="00A869AD">
        <w:t xml:space="preserve"> Vienlaikus Senāts atzīst, ka </w:t>
      </w:r>
      <w:r w:rsidR="00B37B44" w:rsidRPr="00A869AD">
        <w:t xml:space="preserve">minētā neprecizitāte nav ietekmējusi apgabaltiesas </w:t>
      </w:r>
      <w:r w:rsidR="00872E48" w:rsidRPr="00A869AD">
        <w:t xml:space="preserve">gala </w:t>
      </w:r>
      <w:r w:rsidR="00B37B44" w:rsidRPr="00A869AD">
        <w:t>secinājuma pareizību.</w:t>
      </w:r>
    </w:p>
    <w:p w14:paraId="5D9E647F" w14:textId="77777777" w:rsidR="00AD4FEE" w:rsidRDefault="00AD4FEE" w:rsidP="004928DA">
      <w:pPr>
        <w:shd w:val="clear" w:color="auto" w:fill="FFFFFF"/>
        <w:spacing w:line="276" w:lineRule="auto"/>
        <w:jc w:val="both"/>
      </w:pPr>
    </w:p>
    <w:p w14:paraId="1F995199" w14:textId="1F7A0F09" w:rsidR="00A869AD" w:rsidRDefault="00BC3B5C" w:rsidP="004928DA">
      <w:pPr>
        <w:shd w:val="clear" w:color="auto" w:fill="FFFFFF"/>
        <w:spacing w:line="276" w:lineRule="auto"/>
        <w:ind w:firstLine="720"/>
        <w:jc w:val="both"/>
      </w:pPr>
      <w:r>
        <w:t>[</w:t>
      </w:r>
      <w:r w:rsidR="00AE4165">
        <w:t>8</w:t>
      </w:r>
      <w:r>
        <w:t>] </w:t>
      </w:r>
      <w:r w:rsidR="00A869AD">
        <w:t>D</w:t>
      </w:r>
      <w:r w:rsidR="009216EA">
        <w:t xml:space="preserve">ienests iebilst pret </w:t>
      </w:r>
      <w:r w:rsidR="00A869AD">
        <w:t xml:space="preserve">to, kā apgabaltiesa ir interpretējusi </w:t>
      </w:r>
      <w:r w:rsidR="009216EA">
        <w:t>noteikumu Nr. 676 10.punkt</w:t>
      </w:r>
      <w:r w:rsidR="00A869AD">
        <w:t>u</w:t>
      </w:r>
      <w:r w:rsidR="003E0BBF">
        <w:t>, kas noteica:</w:t>
      </w:r>
      <w:r w:rsidR="00A869AD">
        <w:t xml:space="preserve"> </w:t>
      </w:r>
      <w:r w:rsidR="003E0BBF" w:rsidRPr="00B97352">
        <w:t>Valsts ieņēmumu dienests, pamatojoties uz uzņēmuma iesniegumā norādīto informāciju, pieņem lēmumu un 20 darbdienu laikā no lēmuma pieņemšanas dienas izmaksā atbalstu, ieskaitot to iesniegumā norādītajā uzņēmuma kontā. Valsts ieņēmumu dienests minēto lēmumu paziņo, izmantojot Elektroniskās deklarēšanas sistēmu</w:t>
      </w:r>
      <w:r w:rsidR="003E0BBF">
        <w:t xml:space="preserve"> </w:t>
      </w:r>
      <w:r w:rsidR="00A869AD">
        <w:t>(</w:t>
      </w:r>
      <w:r w:rsidR="00A869AD" w:rsidRPr="003E0BBF">
        <w:rPr>
          <w:i/>
          <w:iCs/>
        </w:rPr>
        <w:t>redakcij</w:t>
      </w:r>
      <w:r w:rsidR="003E0BBF" w:rsidRPr="003E0BBF">
        <w:rPr>
          <w:i/>
          <w:iCs/>
        </w:rPr>
        <w:t>ā</w:t>
      </w:r>
      <w:r w:rsidR="00A869AD" w:rsidRPr="003E0BBF">
        <w:rPr>
          <w:i/>
          <w:iCs/>
        </w:rPr>
        <w:t>, kas bija spēkā līdz 2021.gada 16.decembrim</w:t>
      </w:r>
      <w:r w:rsidR="00A869AD">
        <w:t>)</w:t>
      </w:r>
      <w:r w:rsidR="00A869AD" w:rsidRPr="00B97352">
        <w:t>.</w:t>
      </w:r>
      <w:r w:rsidR="00A869AD">
        <w:t xml:space="preserve"> </w:t>
      </w:r>
      <w:r w:rsidR="00E64351">
        <w:t>A</w:t>
      </w:r>
      <w:r w:rsidR="00A869AD">
        <w:t xml:space="preserve">pgabaltiesa uz noteikumu Nr. 676 10.punktu ir atsaukusies kā uz vienu no tiesību normām, kas paredz pienākumu dienestam ņemt vērā uzņēmuma iesniegumā norādīto informāciju. Vienlaikus </w:t>
      </w:r>
      <w:r w:rsidR="00A869AD" w:rsidRPr="00A869AD">
        <w:t xml:space="preserve">apgabaltiesa norādījusi, ka dienests izskatāmajā gadījumā to nepamatoti nav </w:t>
      </w:r>
      <w:r w:rsidR="00A869AD">
        <w:t>darījis</w:t>
      </w:r>
      <w:r w:rsidR="00A869AD" w:rsidRPr="00A869AD">
        <w:t>. Savukārt</w:t>
      </w:r>
      <w:r w:rsidR="00A869AD" w:rsidRPr="00A869AD">
        <w:rPr>
          <w:rFonts w:asciiTheme="majorBidi" w:hAnsiTheme="majorBidi" w:cstheme="majorBidi"/>
        </w:rPr>
        <w:t xml:space="preserve"> dienests uzskata, ka minētā tiesību norma </w:t>
      </w:r>
      <w:r w:rsidR="00A869AD" w:rsidRPr="00A869AD">
        <w:t>liedz pieteicējai apstrīdēšanas stadijā izvirzīt jaunus argumentus</w:t>
      </w:r>
      <w:r w:rsidR="00F56040">
        <w:t xml:space="preserve"> – izskatāmajā gadījumā norādīt, ka pieteicēja noteikumu Nr. 676 2.pielikumā </w:t>
      </w:r>
      <w:r w:rsidR="00E64351">
        <w:t xml:space="preserve">minētajā </w:t>
      </w:r>
      <w:r w:rsidR="00F56040">
        <w:t>nozarē ir tikai deklarējusi papildu darbību, bet nav faktiski veikusi saimniecisko darbību</w:t>
      </w:r>
      <w:r w:rsidR="003E0BBF">
        <w:t xml:space="preserve"> tajā</w:t>
      </w:r>
      <w:r w:rsidR="00F56040">
        <w:t>.</w:t>
      </w:r>
    </w:p>
    <w:p w14:paraId="6A222094" w14:textId="7A5F7E7D" w:rsidR="003E0BBF" w:rsidRDefault="00F56040" w:rsidP="004928DA">
      <w:pPr>
        <w:shd w:val="clear" w:color="auto" w:fill="FFFFFF"/>
        <w:spacing w:line="276" w:lineRule="auto"/>
        <w:ind w:firstLine="720"/>
        <w:jc w:val="both"/>
      </w:pPr>
      <w:r>
        <w:t xml:space="preserve">Senāts iepriekš atzina, ka uzņēmumam ir tiesības uz valsts atbalstu </w:t>
      </w:r>
      <w:r w:rsidRPr="00A869AD">
        <w:t>nozarē, attiecībā uz kuru nepastāvēja valst</w:t>
      </w:r>
      <w:r w:rsidR="00E64351">
        <w:t>s</w:t>
      </w:r>
      <w:r w:rsidRPr="00A869AD">
        <w:t xml:space="preserve"> atbalsta saņemšanas ierobežojumi</w:t>
      </w:r>
      <w:r w:rsidR="00E64351">
        <w:t>,</w:t>
      </w:r>
      <w:r>
        <w:t xml:space="preserve"> neatkarīgi no tā, vai uzņēmums ir deklarējis vai faktiski veicis saimniecisko darbību kādā no noteikumu Nr. 676 2.pielikumā norādītajām nozarēm. Šā iemesla dēļ Senāts atzīst, ka nav nozīmes tam, kad uzņēmums norādīja, ka tas noteikumu Nr. 676 2.pielikumā norādītajā nozarē ir tikai deklarējis papildu darbību, bet faktiski saimniecisko darbību tajā </w:t>
      </w:r>
      <w:r w:rsidR="003E0BBF">
        <w:t xml:space="preserve">nav </w:t>
      </w:r>
      <w:r>
        <w:t xml:space="preserve">veicis. Līdz ar to </w:t>
      </w:r>
      <w:r w:rsidR="003E0BBF">
        <w:t>apgabaltiesas argumenti un dienesta pretargumenti par noteikumu Nr. 676 10.punkta interpretāciju zaudē jēgu.</w:t>
      </w:r>
    </w:p>
    <w:p w14:paraId="1235A142" w14:textId="77777777" w:rsidR="003E0BBF" w:rsidRDefault="003E0BBF" w:rsidP="004928DA">
      <w:pPr>
        <w:shd w:val="clear" w:color="auto" w:fill="FFFFFF"/>
        <w:spacing w:line="276" w:lineRule="auto"/>
        <w:ind w:firstLine="720"/>
        <w:jc w:val="both"/>
        <w:rPr>
          <w:bCs/>
        </w:rPr>
      </w:pPr>
    </w:p>
    <w:p w14:paraId="751F9ABB" w14:textId="3A48B431" w:rsidR="00695E07" w:rsidRDefault="00BC3B5C" w:rsidP="004928DA">
      <w:pPr>
        <w:shd w:val="clear" w:color="auto" w:fill="FFFFFF"/>
        <w:spacing w:line="276" w:lineRule="auto"/>
        <w:ind w:firstLine="720"/>
        <w:jc w:val="both"/>
        <w:rPr>
          <w:bCs/>
        </w:rPr>
      </w:pPr>
      <w:r>
        <w:rPr>
          <w:bCs/>
        </w:rPr>
        <w:t>[</w:t>
      </w:r>
      <w:r w:rsidR="00AE4165">
        <w:rPr>
          <w:bCs/>
        </w:rPr>
        <w:t>9</w:t>
      </w:r>
      <w:r>
        <w:rPr>
          <w:bCs/>
        </w:rPr>
        <w:t>]</w:t>
      </w:r>
      <w:r w:rsidR="00456472">
        <w:rPr>
          <w:bCs/>
        </w:rPr>
        <w:t> </w:t>
      </w:r>
      <w:r w:rsidR="00695E07">
        <w:rPr>
          <w:bCs/>
        </w:rPr>
        <w:t>Dienests kasācijas sūdzībā uz</w:t>
      </w:r>
      <w:r w:rsidR="00456472">
        <w:rPr>
          <w:bCs/>
        </w:rPr>
        <w:t>s</w:t>
      </w:r>
      <w:r w:rsidR="00695E07">
        <w:rPr>
          <w:bCs/>
        </w:rPr>
        <w:t xml:space="preserve">ver: atbilstoši noteikumu Nr. 676 24.punktam </w:t>
      </w:r>
      <w:r w:rsidR="00695E07">
        <w:rPr>
          <w:shd w:val="clear" w:color="auto" w:fill="FFFFFF"/>
        </w:rPr>
        <w:t>termiņš atbalsta piešķiršanai ir beidzies</w:t>
      </w:r>
      <w:r w:rsidR="00EB4ECE">
        <w:rPr>
          <w:shd w:val="clear" w:color="auto" w:fill="FFFFFF"/>
        </w:rPr>
        <w:t xml:space="preserve"> un</w:t>
      </w:r>
      <w:r w:rsidR="00073B7D">
        <w:rPr>
          <w:shd w:val="clear" w:color="auto" w:fill="FFFFFF"/>
        </w:rPr>
        <w:t xml:space="preserve"> vairs nav iespējama </w:t>
      </w:r>
      <w:r w:rsidR="00073B7D" w:rsidRPr="00D5486D">
        <w:rPr>
          <w:shd w:val="clear" w:color="auto" w:fill="FFFFFF"/>
        </w:rPr>
        <w:t>labvēlīga administratīvā akta izdošan</w:t>
      </w:r>
      <w:r w:rsidR="00073B7D">
        <w:rPr>
          <w:shd w:val="clear" w:color="auto" w:fill="FFFFFF"/>
        </w:rPr>
        <w:t>a.</w:t>
      </w:r>
    </w:p>
    <w:p w14:paraId="099D4DBC" w14:textId="72C3EE36" w:rsidR="00BC3B5C" w:rsidRPr="00D62065" w:rsidRDefault="00695E07" w:rsidP="004928DA">
      <w:pPr>
        <w:shd w:val="clear" w:color="auto" w:fill="FFFFFF"/>
        <w:spacing w:line="276" w:lineRule="auto"/>
        <w:ind w:firstLine="720"/>
        <w:jc w:val="both"/>
        <w:rPr>
          <w:bCs/>
        </w:rPr>
      </w:pPr>
      <w:r>
        <w:rPr>
          <w:bCs/>
        </w:rPr>
        <w:t>Noteikumu Nr. 676 24.punkts noteic</w:t>
      </w:r>
      <w:r w:rsidR="00F4212C">
        <w:rPr>
          <w:bCs/>
        </w:rPr>
        <w:t>:</w:t>
      </w:r>
      <w:r>
        <w:rPr>
          <w:bCs/>
        </w:rPr>
        <w:t xml:space="preserve"> l</w:t>
      </w:r>
      <w:r w:rsidRPr="00695E07">
        <w:rPr>
          <w:bCs/>
        </w:rPr>
        <w:t xml:space="preserve">ēmumu par atbalsta piešķiršanu pieņem līdz </w:t>
      </w:r>
      <w:r>
        <w:rPr>
          <w:bCs/>
        </w:rPr>
        <w:t>2022</w:t>
      </w:r>
      <w:r w:rsidRPr="00695E07">
        <w:rPr>
          <w:bCs/>
        </w:rPr>
        <w:t>.gada 30.</w:t>
      </w:r>
      <w:r>
        <w:rPr>
          <w:bCs/>
        </w:rPr>
        <w:t>jūnijam</w:t>
      </w:r>
      <w:r w:rsidRPr="00695E07">
        <w:rPr>
          <w:bCs/>
        </w:rPr>
        <w:t xml:space="preserve"> saskaņā ar Eiropas Komisijas 2020.gada 19.marta paziņojumu </w:t>
      </w:r>
      <w:r w:rsidR="00073B7D">
        <w:rPr>
          <w:bCs/>
        </w:rPr>
        <w:t>„</w:t>
      </w:r>
      <w:r w:rsidRPr="00695E07">
        <w:rPr>
          <w:bCs/>
        </w:rPr>
        <w:t xml:space="preserve">Pagaidu regulējums valsts atbalsta pasākumiem, ar ko atbalsta ekonomiku pašreizējā Covid-19 </w:t>
      </w:r>
      <w:r w:rsidRPr="00D62065">
        <w:rPr>
          <w:bCs/>
        </w:rPr>
        <w:t>uzliesmojuma situācijā</w:t>
      </w:r>
      <w:r w:rsidR="00073B7D" w:rsidRPr="00D62065">
        <w:rPr>
          <w:bCs/>
        </w:rPr>
        <w:t>”</w:t>
      </w:r>
      <w:r w:rsidRPr="00D62065">
        <w:rPr>
          <w:bCs/>
        </w:rPr>
        <w:t xml:space="preserve"> (C(2020)1863).</w:t>
      </w:r>
    </w:p>
    <w:p w14:paraId="7D7A7476" w14:textId="45C1FEE3" w:rsidR="00BC3B5C" w:rsidRDefault="00591169" w:rsidP="004928DA">
      <w:pPr>
        <w:spacing w:line="276" w:lineRule="auto"/>
        <w:ind w:firstLine="720"/>
        <w:jc w:val="both"/>
      </w:pPr>
      <w:r>
        <w:t>Jautājums, vai tiesa var uzlikt pienākumu izmaksāt atbalstu pēc noteikum</w:t>
      </w:r>
      <w:r w:rsidR="00E97DC2">
        <w:t>u</w:t>
      </w:r>
      <w:r>
        <w:t xml:space="preserve"> Nr. 676 24.punktā noteiktā termiņa, ir aktuāls arī citās administratīvajās lietās. Vienā no tām – lietā </w:t>
      </w:r>
      <w:r w:rsidRPr="00591169">
        <w:t>Nr.</w:t>
      </w:r>
      <w:r>
        <w:t> </w:t>
      </w:r>
      <w:r w:rsidRPr="00591169">
        <w:t>A420197921</w:t>
      </w:r>
      <w:r>
        <w:t xml:space="preserve"> – </w:t>
      </w:r>
      <w:r w:rsidRPr="00591169">
        <w:t xml:space="preserve">Administratīvā apgabaltiesa ar 2023.gada 1.novembra lēmumu apturēja tiesvedību </w:t>
      </w:r>
      <w:r>
        <w:t>un uzdeva</w:t>
      </w:r>
      <w:r w:rsidRPr="00591169">
        <w:t xml:space="preserve"> Eiropas Savienības Tiesai prejudiciālos jautājumus par atbalsta piešķiršanu pēc Eiropas Komisijas paziņojumā noteiktā termiņa. </w:t>
      </w:r>
      <w:r w:rsidR="00BC3B5C" w:rsidRPr="00D62065">
        <w:t xml:space="preserve">Eiropas Savienības </w:t>
      </w:r>
      <w:r w:rsidR="00DD779E" w:rsidRPr="00D62065">
        <w:t>T</w:t>
      </w:r>
      <w:r w:rsidR="00BC3B5C" w:rsidRPr="00D62065">
        <w:t>iesa 2025.gada 3.jūlija spriedumā lietā C-653/23 nosprieda: Līguma par Eiropas Savienības darbību 107.panta 1.punkts un Eiropas Savienības Pamattiesību</w:t>
      </w:r>
      <w:r w:rsidR="00BC3B5C">
        <w:t xml:space="preserve"> hartas 47.panta pirmā daļa jāinterpretē tādējādi, ka šīs </w:t>
      </w:r>
      <w:r w:rsidR="00C8675C">
        <w:t xml:space="preserve">tiesību </w:t>
      </w:r>
      <w:r w:rsidR="00BC3B5C">
        <w:t xml:space="preserve">normas nepieļauj tādu valsts tiesiskā regulējuma interpretāciju, saskaņā ar kuru nevar uzskatīt, ka Eiropas Komisijas atļautā valsts atbalsta shēmā ietilpstošs individuāls atbalsts ir „piešķirts” dienā, kad valsts kompetentā iestāde ir nepamatoti atteikusies to piešķirt privātpersonai, kas to bija pieprasījusi tā piešķiršanai paredzētajā termiņā, ja pēc šā termiņa beigām ar tiesas nolēmumu konstatēts šā atteikuma prettiesiskums; Eiropas Savienības Padomes Regulas (ES) 2015/1589 (2015.gada 13.jūlijs), ar ko nosaka sīki izstrādātus noteikumus Līguma par Eiropas Savienības darbību 108.panta piemērošanai, 1.panta „b” punkta „ii” apakšpunkts jāinterpretē tādējādi, ka par „pastāvošu atbalstu” šīs normas izpratnē ir kvalificējams individuāls atbalsts, kas uzskatāms par piešķirtu datumā, kad kompetentā iestāde ir nepamatoti atteikusies to piešķirt privātpersonai, kura bija to pieprasījusi tā piešķiršanai paredzētajā termiņā, bet kas šai privātpersonai tiek izmaksāts, izpildot labvēlīgu administratīvo aktu, kurš izdots, jo tiesa to ir uzdevusi nolēmumā, ar ko pēc šā termiņa beigām konstatēts šā atteikuma prettiesiskums </w:t>
      </w:r>
      <w:r w:rsidR="00DD779E">
        <w:t>(</w:t>
      </w:r>
      <w:r w:rsidR="00DD779E" w:rsidRPr="00591169">
        <w:rPr>
          <w:i/>
          <w:iCs/>
        </w:rPr>
        <w:t xml:space="preserve">Eiropas Savienības Tiesas </w:t>
      </w:r>
      <w:r w:rsidR="00861671" w:rsidRPr="00591169">
        <w:rPr>
          <w:i/>
          <w:iCs/>
        </w:rPr>
        <w:t>2025.gada 3.jūlija spriedum</w:t>
      </w:r>
      <w:r w:rsidRPr="00591169">
        <w:rPr>
          <w:i/>
          <w:iCs/>
        </w:rPr>
        <w:t>s</w:t>
      </w:r>
      <w:r w:rsidR="00861671" w:rsidRPr="00591169">
        <w:rPr>
          <w:i/>
          <w:iCs/>
        </w:rPr>
        <w:t xml:space="preserve"> lietā </w:t>
      </w:r>
      <w:r w:rsidR="00C8675C" w:rsidRPr="00C8675C">
        <w:rPr>
          <w:i/>
          <w:iCs/>
        </w:rPr>
        <w:t>„</w:t>
      </w:r>
      <w:r w:rsidR="00861671" w:rsidRPr="00591169">
        <w:rPr>
          <w:i/>
          <w:iCs/>
        </w:rPr>
        <w:t xml:space="preserve">TOODE”, C-653/23, </w:t>
      </w:r>
      <w:hyperlink r:id="rId11" w:history="1">
        <w:r w:rsidR="00861671" w:rsidRPr="00591169">
          <w:rPr>
            <w:rStyle w:val="Hyperlink"/>
            <w:i/>
            <w:iCs/>
          </w:rPr>
          <w:t>ECLI:EU:C:2025:517</w:t>
        </w:r>
      </w:hyperlink>
      <w:r w:rsidR="00BC3B5C">
        <w:t>).</w:t>
      </w:r>
    </w:p>
    <w:p w14:paraId="700A3CAA" w14:textId="653AE5AA" w:rsidR="00073B7D" w:rsidRDefault="00BC3B5C" w:rsidP="004928DA">
      <w:pPr>
        <w:spacing w:line="276" w:lineRule="auto"/>
        <w:ind w:firstLine="720"/>
        <w:jc w:val="both"/>
      </w:pPr>
      <w:r>
        <w:t xml:space="preserve">Pamatojoties uz minēto, stājoties spēkā tiesas spriedumam par labvēlīga administratīvā akta – valsts atbalsta piešķiršanu pieteicējai – izdošanu, dienestam nav šķēršļu izpildīt spriedumu un izmaksāt pieteicējai prasīto atbalstu, kaut arī tas tiks izmaksāts pēc </w:t>
      </w:r>
      <w:r w:rsidR="00073B7D">
        <w:rPr>
          <w:bCs/>
        </w:rPr>
        <w:t>2022</w:t>
      </w:r>
      <w:r w:rsidR="00073B7D" w:rsidRPr="00695E07">
        <w:rPr>
          <w:bCs/>
        </w:rPr>
        <w:t>.gada 30.</w:t>
      </w:r>
      <w:r w:rsidR="00073B7D">
        <w:rPr>
          <w:bCs/>
        </w:rPr>
        <w:t>jūnija</w:t>
      </w:r>
      <w:r>
        <w:t>.</w:t>
      </w:r>
    </w:p>
    <w:p w14:paraId="10F40BEE" w14:textId="77777777" w:rsidR="00BC3B5C" w:rsidRDefault="00BC3B5C" w:rsidP="004928DA">
      <w:pPr>
        <w:shd w:val="clear" w:color="auto" w:fill="FFFFFF"/>
        <w:spacing w:line="276" w:lineRule="auto"/>
        <w:ind w:firstLine="720"/>
        <w:jc w:val="both"/>
        <w:rPr>
          <w:bCs/>
        </w:rPr>
      </w:pPr>
    </w:p>
    <w:p w14:paraId="7A7B801B" w14:textId="27A72755" w:rsidR="00413B8F" w:rsidRDefault="00413B8F" w:rsidP="004928DA">
      <w:pPr>
        <w:shd w:val="clear" w:color="auto" w:fill="FFFFFF"/>
        <w:spacing w:line="276" w:lineRule="auto"/>
        <w:ind w:firstLine="720"/>
        <w:jc w:val="both"/>
        <w:rPr>
          <w:bCs/>
        </w:rPr>
      </w:pPr>
      <w:r>
        <w:rPr>
          <w:bCs/>
        </w:rPr>
        <w:t>[</w:t>
      </w:r>
      <w:r w:rsidR="00073B7D">
        <w:rPr>
          <w:bCs/>
        </w:rPr>
        <w:t>1</w:t>
      </w:r>
      <w:r w:rsidR="00AE4165">
        <w:rPr>
          <w:bCs/>
        </w:rPr>
        <w:t>0</w:t>
      </w:r>
      <w:r>
        <w:rPr>
          <w:bCs/>
        </w:rPr>
        <w:t>] </w:t>
      </w:r>
      <w:r w:rsidR="00073B7D">
        <w:rPr>
          <w:bCs/>
        </w:rPr>
        <w:t xml:space="preserve">Apkopojot minēto, atzīstams, ka apgabaltiesas spriedums ir atstājams negrozīts, bet kasācijas sūdzība ir noraidāma. </w:t>
      </w:r>
    </w:p>
    <w:p w14:paraId="3B71F09A" w14:textId="77777777" w:rsidR="00E7276A" w:rsidRDefault="00E7276A" w:rsidP="004928DA">
      <w:pPr>
        <w:shd w:val="clear" w:color="auto" w:fill="FFFFFF"/>
        <w:spacing w:line="276" w:lineRule="auto"/>
        <w:ind w:firstLine="720"/>
        <w:jc w:val="both"/>
        <w:rPr>
          <w:bCs/>
        </w:rPr>
      </w:pPr>
    </w:p>
    <w:p w14:paraId="17B3AE74" w14:textId="77777777" w:rsidR="00AE4165" w:rsidRPr="00F223FE" w:rsidRDefault="00AE4165" w:rsidP="004928DA">
      <w:pPr>
        <w:spacing w:line="276" w:lineRule="auto"/>
        <w:ind w:firstLine="720"/>
        <w:jc w:val="both"/>
      </w:pPr>
      <w:r w:rsidRPr="00F223FE">
        <w:t xml:space="preserve">Pamatojoties uz </w:t>
      </w:r>
      <w:r w:rsidRPr="00F223FE">
        <w:rPr>
          <w:rFonts w:eastAsia="Calibri"/>
          <w:lang w:eastAsia="en-US"/>
        </w:rPr>
        <w:t>Administratīvā procesa likuma 348.panta pirmās daļas 1.punktu un 351.pantu</w:t>
      </w:r>
      <w:r w:rsidRPr="00F223FE">
        <w:t>, Senāts</w:t>
      </w:r>
    </w:p>
    <w:p w14:paraId="55CC38B2" w14:textId="77777777" w:rsidR="003105DA" w:rsidRPr="009B5A28" w:rsidRDefault="003105DA" w:rsidP="004928DA">
      <w:pPr>
        <w:shd w:val="clear" w:color="auto" w:fill="FFFFFF"/>
        <w:spacing w:line="276" w:lineRule="auto"/>
        <w:ind w:firstLine="720"/>
        <w:jc w:val="both"/>
        <w:rPr>
          <w:rFonts w:asciiTheme="majorBidi" w:hAnsiTheme="majorBidi" w:cstheme="majorBidi"/>
        </w:rPr>
      </w:pPr>
    </w:p>
    <w:p w14:paraId="68F5D2D5" w14:textId="77777777" w:rsidR="000B259E" w:rsidRPr="00A53E41" w:rsidRDefault="000B259E" w:rsidP="004928DA">
      <w:pPr>
        <w:shd w:val="clear" w:color="auto" w:fill="FFFFFF"/>
        <w:spacing w:line="276" w:lineRule="auto"/>
        <w:jc w:val="center"/>
        <w:rPr>
          <w:b/>
        </w:rPr>
      </w:pPr>
      <w:r w:rsidRPr="00A53E41">
        <w:rPr>
          <w:b/>
        </w:rPr>
        <w:t>nosprieda</w:t>
      </w:r>
    </w:p>
    <w:p w14:paraId="39A62A31" w14:textId="77777777" w:rsidR="000B259E" w:rsidRDefault="000B259E" w:rsidP="004928DA">
      <w:pPr>
        <w:spacing w:line="276" w:lineRule="auto"/>
        <w:ind w:firstLine="720"/>
      </w:pPr>
    </w:p>
    <w:p w14:paraId="35B24E00" w14:textId="6BD88082" w:rsidR="00AE4165" w:rsidRPr="00F223FE" w:rsidRDefault="00AE4165" w:rsidP="004928DA">
      <w:pPr>
        <w:spacing w:line="276" w:lineRule="auto"/>
        <w:ind w:firstLine="720"/>
        <w:jc w:val="both"/>
      </w:pPr>
      <w:r w:rsidRPr="00DA6864">
        <w:t>atstāt negrozītu Administratīvās apgabaltiesas 202</w:t>
      </w:r>
      <w:r>
        <w:t>3</w:t>
      </w:r>
      <w:r w:rsidRPr="00DA6864">
        <w:t xml:space="preserve">.gada </w:t>
      </w:r>
      <w:r>
        <w:t>28.mart</w:t>
      </w:r>
      <w:r w:rsidRPr="00DA6864">
        <w:t xml:space="preserve">a spriedumu, bet </w:t>
      </w:r>
      <w:r>
        <w:rPr>
          <w:color w:val="000000"/>
          <w:shd w:val="clear" w:color="auto" w:fill="FFFFFF"/>
        </w:rPr>
        <w:t>Valsts ieņēmumu dienesta</w:t>
      </w:r>
      <w:r w:rsidRPr="00DA6864">
        <w:t xml:space="preserve"> kasācijas sūdzību noraidīt.</w:t>
      </w:r>
    </w:p>
    <w:p w14:paraId="00C810B2" w14:textId="77777777" w:rsidR="000B259E" w:rsidRPr="00793346" w:rsidRDefault="000B259E" w:rsidP="004928DA">
      <w:pPr>
        <w:spacing w:line="276" w:lineRule="auto"/>
        <w:ind w:firstLine="720"/>
        <w:rPr>
          <w:bCs/>
        </w:rPr>
      </w:pPr>
    </w:p>
    <w:p w14:paraId="6A8E2B2B" w14:textId="338376B8" w:rsidR="00D979D1" w:rsidRPr="004928DA" w:rsidRDefault="000B259E" w:rsidP="004928DA">
      <w:pPr>
        <w:spacing w:line="276" w:lineRule="auto"/>
        <w:ind w:firstLine="720"/>
        <w:rPr>
          <w:bCs/>
        </w:rPr>
      </w:pPr>
      <w:r w:rsidRPr="00793346">
        <w:rPr>
          <w:bCs/>
        </w:rPr>
        <w:t>Spriedums nav pārsūdzams.</w:t>
      </w:r>
      <w:bookmarkEnd w:id="2"/>
    </w:p>
    <w:sectPr w:rsidR="00D979D1" w:rsidRPr="004928DA" w:rsidSect="000562A0">
      <w:headerReference w:type="even" r:id="rId12"/>
      <w:headerReference w:type="default" r:id="rId13"/>
      <w:footerReference w:type="even" r:id="rId14"/>
      <w:footerReference w:type="default" r:id="rId15"/>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477E3" w14:textId="77777777" w:rsidR="00D670CA" w:rsidRDefault="00D670CA" w:rsidP="0082608C">
      <w:r>
        <w:separator/>
      </w:r>
    </w:p>
  </w:endnote>
  <w:endnote w:type="continuationSeparator" w:id="0">
    <w:p w14:paraId="787C9C2D" w14:textId="77777777" w:rsidR="00D670CA" w:rsidRDefault="00D670CA" w:rsidP="0082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4AFC9" w14:textId="77777777" w:rsidR="00BA3879" w:rsidRDefault="00BA3879">
    <w:pPr>
      <w:pStyle w:val="Footer"/>
    </w:pPr>
  </w:p>
  <w:p w14:paraId="5FEF2A10" w14:textId="77777777" w:rsidR="00AD479B" w:rsidRDefault="00AD479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3A61D" w14:textId="77777777" w:rsidR="0082608C" w:rsidRPr="00BA3879" w:rsidRDefault="0082608C">
    <w:pPr>
      <w:pStyle w:val="Footer"/>
      <w:jc w:val="center"/>
      <w:rPr>
        <w:sz w:val="20"/>
        <w:szCs w:val="20"/>
      </w:rPr>
    </w:pPr>
  </w:p>
  <w:sdt>
    <w:sdtPr>
      <w:id w:val="-1274005823"/>
      <w:docPartObj>
        <w:docPartGallery w:val="Page Numbers (Bottom of Page)"/>
        <w:docPartUnique/>
      </w:docPartObj>
    </w:sdtPr>
    <w:sdtEndPr>
      <w:rPr>
        <w:noProof/>
      </w:rPr>
    </w:sdtEndPr>
    <w:sdtContent>
      <w:p w14:paraId="6D3A2867" w14:textId="332C57BD" w:rsidR="00AD479B" w:rsidRDefault="0082608C" w:rsidP="00C81A7E">
        <w:pPr>
          <w:pStyle w:val="Footer"/>
          <w:jc w:val="center"/>
        </w:pPr>
        <w:r w:rsidRPr="0082608C">
          <w:rPr>
            <w:sz w:val="20"/>
            <w:szCs w:val="20"/>
          </w:rPr>
          <w:fldChar w:fldCharType="begin"/>
        </w:r>
        <w:r w:rsidRPr="0082608C">
          <w:rPr>
            <w:sz w:val="20"/>
            <w:szCs w:val="20"/>
          </w:rPr>
          <w:instrText xml:space="preserve"> PAGE   \* MERGEFORMAT </w:instrText>
        </w:r>
        <w:r w:rsidRPr="0082608C">
          <w:rPr>
            <w:sz w:val="20"/>
            <w:szCs w:val="20"/>
          </w:rPr>
          <w:fldChar w:fldCharType="separate"/>
        </w:r>
        <w:r w:rsidRPr="0082608C">
          <w:rPr>
            <w:noProof/>
            <w:sz w:val="20"/>
            <w:szCs w:val="20"/>
          </w:rPr>
          <w:t>2</w:t>
        </w:r>
        <w:r w:rsidRPr="0082608C">
          <w:rPr>
            <w:noProof/>
            <w:sz w:val="20"/>
            <w:szCs w:val="20"/>
          </w:rPr>
          <w:fldChar w:fldCharType="end"/>
        </w:r>
        <w:r w:rsidRPr="0082608C">
          <w:rPr>
            <w:sz w:val="20"/>
            <w:szCs w:val="20"/>
          </w:rPr>
          <w:t xml:space="preserve"> no </w:t>
        </w:r>
        <w:r w:rsidR="00204347">
          <w:rPr>
            <w:sz w:val="20"/>
            <w:szCs w:val="20"/>
          </w:rPr>
          <w:t>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982AE" w14:textId="77777777" w:rsidR="00D670CA" w:rsidRDefault="00D670CA" w:rsidP="0082608C">
      <w:r>
        <w:separator/>
      </w:r>
    </w:p>
  </w:footnote>
  <w:footnote w:type="continuationSeparator" w:id="0">
    <w:p w14:paraId="4DD36488" w14:textId="77777777" w:rsidR="00D670CA" w:rsidRDefault="00D670CA" w:rsidP="0082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D2286" w14:textId="77777777" w:rsidR="00BA3879" w:rsidRDefault="00BA3879">
    <w:pPr>
      <w:pStyle w:val="Header"/>
    </w:pPr>
  </w:p>
  <w:p w14:paraId="782953EC" w14:textId="77777777" w:rsidR="00AD479B" w:rsidRDefault="00AD47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B53E0" w14:textId="77777777" w:rsidR="00BA3879" w:rsidRDefault="00BA3879">
    <w:pPr>
      <w:pStyle w:val="Header"/>
    </w:pPr>
  </w:p>
  <w:p w14:paraId="6AE0CB29" w14:textId="77777777" w:rsidR="00AD479B" w:rsidRDefault="00AD47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066F4"/>
    <w:multiLevelType w:val="hybridMultilevel"/>
    <w:tmpl w:val="2222D432"/>
    <w:lvl w:ilvl="0" w:tplc="12FEEB2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abstractNum w:abstractNumId="2" w15:restartNumberingAfterBreak="0">
    <w:nsid w:val="4B6B165E"/>
    <w:multiLevelType w:val="hybridMultilevel"/>
    <w:tmpl w:val="7E4A764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562E5A"/>
    <w:multiLevelType w:val="hybridMultilevel"/>
    <w:tmpl w:val="0D40B2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5695882">
    <w:abstractNumId w:val="1"/>
  </w:num>
  <w:num w:numId="2" w16cid:durableId="821627640">
    <w:abstractNumId w:val="0"/>
  </w:num>
  <w:num w:numId="3" w16cid:durableId="802578309">
    <w:abstractNumId w:val="2"/>
  </w:num>
  <w:num w:numId="4" w16cid:durableId="4921392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activeWritingStyle w:appName="MSWord" w:lang="fr-FR" w:vendorID="64" w:dllVersion="4096" w:nlCheck="1" w:checkStyle="0"/>
  <w:activeWritingStyle w:appName="MSWord" w:lang="en-US" w:vendorID="64" w:dllVersion="4096" w:nlCheck="1" w:checkStyle="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EE6"/>
    <w:rsid w:val="000002B4"/>
    <w:rsid w:val="00000803"/>
    <w:rsid w:val="00007350"/>
    <w:rsid w:val="00011A37"/>
    <w:rsid w:val="00016405"/>
    <w:rsid w:val="0001676E"/>
    <w:rsid w:val="00016F23"/>
    <w:rsid w:val="0001779C"/>
    <w:rsid w:val="00020293"/>
    <w:rsid w:val="000203CA"/>
    <w:rsid w:val="000219F0"/>
    <w:rsid w:val="00021F46"/>
    <w:rsid w:val="00024EF5"/>
    <w:rsid w:val="00025083"/>
    <w:rsid w:val="00030179"/>
    <w:rsid w:val="000307A0"/>
    <w:rsid w:val="00030FF5"/>
    <w:rsid w:val="0003131F"/>
    <w:rsid w:val="00031347"/>
    <w:rsid w:val="000313B3"/>
    <w:rsid w:val="00031EDA"/>
    <w:rsid w:val="000332FE"/>
    <w:rsid w:val="00034D9B"/>
    <w:rsid w:val="00035355"/>
    <w:rsid w:val="00037AC1"/>
    <w:rsid w:val="00037BE9"/>
    <w:rsid w:val="0004009E"/>
    <w:rsid w:val="0004050C"/>
    <w:rsid w:val="00042BF7"/>
    <w:rsid w:val="000445E5"/>
    <w:rsid w:val="0004490C"/>
    <w:rsid w:val="00044A5E"/>
    <w:rsid w:val="0004551A"/>
    <w:rsid w:val="000504EB"/>
    <w:rsid w:val="00050750"/>
    <w:rsid w:val="000509EA"/>
    <w:rsid w:val="00053F03"/>
    <w:rsid w:val="000562A0"/>
    <w:rsid w:val="000575DC"/>
    <w:rsid w:val="00057723"/>
    <w:rsid w:val="00057BC1"/>
    <w:rsid w:val="00057F83"/>
    <w:rsid w:val="00057FAF"/>
    <w:rsid w:val="0006024F"/>
    <w:rsid w:val="00062496"/>
    <w:rsid w:val="000624D8"/>
    <w:rsid w:val="0006270A"/>
    <w:rsid w:val="000641BC"/>
    <w:rsid w:val="000645B1"/>
    <w:rsid w:val="00064F9C"/>
    <w:rsid w:val="00066E60"/>
    <w:rsid w:val="000701E1"/>
    <w:rsid w:val="000722B7"/>
    <w:rsid w:val="00072850"/>
    <w:rsid w:val="00073524"/>
    <w:rsid w:val="00073B7D"/>
    <w:rsid w:val="00074B50"/>
    <w:rsid w:val="00075759"/>
    <w:rsid w:val="00076247"/>
    <w:rsid w:val="000771EC"/>
    <w:rsid w:val="000774E6"/>
    <w:rsid w:val="00077B2B"/>
    <w:rsid w:val="0008043E"/>
    <w:rsid w:val="000805D9"/>
    <w:rsid w:val="00080885"/>
    <w:rsid w:val="0008110A"/>
    <w:rsid w:val="0008195A"/>
    <w:rsid w:val="00081FA4"/>
    <w:rsid w:val="00082752"/>
    <w:rsid w:val="000837FF"/>
    <w:rsid w:val="00083BA9"/>
    <w:rsid w:val="0008452B"/>
    <w:rsid w:val="00091D7E"/>
    <w:rsid w:val="0009282B"/>
    <w:rsid w:val="00094505"/>
    <w:rsid w:val="000948B0"/>
    <w:rsid w:val="00094C31"/>
    <w:rsid w:val="00095513"/>
    <w:rsid w:val="00096F1A"/>
    <w:rsid w:val="000A064D"/>
    <w:rsid w:val="000A32C1"/>
    <w:rsid w:val="000A3BB3"/>
    <w:rsid w:val="000A3C93"/>
    <w:rsid w:val="000A50B2"/>
    <w:rsid w:val="000A5715"/>
    <w:rsid w:val="000A57F2"/>
    <w:rsid w:val="000A59D9"/>
    <w:rsid w:val="000A6479"/>
    <w:rsid w:val="000A6F89"/>
    <w:rsid w:val="000B06EE"/>
    <w:rsid w:val="000B0FC0"/>
    <w:rsid w:val="000B1EB2"/>
    <w:rsid w:val="000B1FA8"/>
    <w:rsid w:val="000B259E"/>
    <w:rsid w:val="000B3B71"/>
    <w:rsid w:val="000B4923"/>
    <w:rsid w:val="000B5EAD"/>
    <w:rsid w:val="000B6B4E"/>
    <w:rsid w:val="000B6C17"/>
    <w:rsid w:val="000B6C5A"/>
    <w:rsid w:val="000B6FCF"/>
    <w:rsid w:val="000B72C7"/>
    <w:rsid w:val="000B75F8"/>
    <w:rsid w:val="000C2B1D"/>
    <w:rsid w:val="000C441E"/>
    <w:rsid w:val="000C53C7"/>
    <w:rsid w:val="000C5D90"/>
    <w:rsid w:val="000D081E"/>
    <w:rsid w:val="000D0A58"/>
    <w:rsid w:val="000D31CE"/>
    <w:rsid w:val="000D32C5"/>
    <w:rsid w:val="000D5537"/>
    <w:rsid w:val="000D665B"/>
    <w:rsid w:val="000D72AA"/>
    <w:rsid w:val="000E0BE4"/>
    <w:rsid w:val="000E25EC"/>
    <w:rsid w:val="000E275F"/>
    <w:rsid w:val="000E283E"/>
    <w:rsid w:val="000E2E7E"/>
    <w:rsid w:val="000E4039"/>
    <w:rsid w:val="000E4CE2"/>
    <w:rsid w:val="000E4EF4"/>
    <w:rsid w:val="000E658C"/>
    <w:rsid w:val="000E6BDD"/>
    <w:rsid w:val="000F3111"/>
    <w:rsid w:val="000F44A2"/>
    <w:rsid w:val="000F4BCA"/>
    <w:rsid w:val="001001F0"/>
    <w:rsid w:val="00100DED"/>
    <w:rsid w:val="001025AD"/>
    <w:rsid w:val="0010264B"/>
    <w:rsid w:val="001032A9"/>
    <w:rsid w:val="00103B6D"/>
    <w:rsid w:val="00103DE3"/>
    <w:rsid w:val="0010552C"/>
    <w:rsid w:val="001055C5"/>
    <w:rsid w:val="00105EE1"/>
    <w:rsid w:val="00106B57"/>
    <w:rsid w:val="00106FB7"/>
    <w:rsid w:val="00107652"/>
    <w:rsid w:val="00107C09"/>
    <w:rsid w:val="001100F8"/>
    <w:rsid w:val="0011286F"/>
    <w:rsid w:val="001141B5"/>
    <w:rsid w:val="00114EB7"/>
    <w:rsid w:val="00115691"/>
    <w:rsid w:val="00121B83"/>
    <w:rsid w:val="00123F7F"/>
    <w:rsid w:val="00125A4E"/>
    <w:rsid w:val="0012610F"/>
    <w:rsid w:val="00126AA3"/>
    <w:rsid w:val="001277EB"/>
    <w:rsid w:val="0013042E"/>
    <w:rsid w:val="00130EC2"/>
    <w:rsid w:val="001319EA"/>
    <w:rsid w:val="00131CE8"/>
    <w:rsid w:val="0013203F"/>
    <w:rsid w:val="0013211F"/>
    <w:rsid w:val="0013240B"/>
    <w:rsid w:val="00133144"/>
    <w:rsid w:val="00133CF7"/>
    <w:rsid w:val="00135C29"/>
    <w:rsid w:val="0013715E"/>
    <w:rsid w:val="00142579"/>
    <w:rsid w:val="00143921"/>
    <w:rsid w:val="00143F28"/>
    <w:rsid w:val="00146BEF"/>
    <w:rsid w:val="00146DC3"/>
    <w:rsid w:val="001476CD"/>
    <w:rsid w:val="00150876"/>
    <w:rsid w:val="00150C18"/>
    <w:rsid w:val="00151882"/>
    <w:rsid w:val="00151BB8"/>
    <w:rsid w:val="00152927"/>
    <w:rsid w:val="001533EC"/>
    <w:rsid w:val="0015382A"/>
    <w:rsid w:val="00155B03"/>
    <w:rsid w:val="001571E1"/>
    <w:rsid w:val="00160A0D"/>
    <w:rsid w:val="00161B23"/>
    <w:rsid w:val="001623EB"/>
    <w:rsid w:val="001636B6"/>
    <w:rsid w:val="0016394B"/>
    <w:rsid w:val="00163DEF"/>
    <w:rsid w:val="00164BF5"/>
    <w:rsid w:val="001657B6"/>
    <w:rsid w:val="001677C0"/>
    <w:rsid w:val="001678AF"/>
    <w:rsid w:val="00167B32"/>
    <w:rsid w:val="00170584"/>
    <w:rsid w:val="001706EE"/>
    <w:rsid w:val="001713F3"/>
    <w:rsid w:val="0017192B"/>
    <w:rsid w:val="00171E55"/>
    <w:rsid w:val="001728F4"/>
    <w:rsid w:val="00173694"/>
    <w:rsid w:val="00173D09"/>
    <w:rsid w:val="00173D90"/>
    <w:rsid w:val="00175B21"/>
    <w:rsid w:val="00176FF8"/>
    <w:rsid w:val="00180043"/>
    <w:rsid w:val="0018234B"/>
    <w:rsid w:val="00182940"/>
    <w:rsid w:val="001845D0"/>
    <w:rsid w:val="00184BEF"/>
    <w:rsid w:val="001855CE"/>
    <w:rsid w:val="0018591F"/>
    <w:rsid w:val="001860B1"/>
    <w:rsid w:val="001862EA"/>
    <w:rsid w:val="00186B85"/>
    <w:rsid w:val="0018704C"/>
    <w:rsid w:val="001872ED"/>
    <w:rsid w:val="001904E8"/>
    <w:rsid w:val="0019130E"/>
    <w:rsid w:val="00192854"/>
    <w:rsid w:val="00193302"/>
    <w:rsid w:val="001936CA"/>
    <w:rsid w:val="00193887"/>
    <w:rsid w:val="00193A54"/>
    <w:rsid w:val="00193A85"/>
    <w:rsid w:val="00195617"/>
    <w:rsid w:val="001A01B9"/>
    <w:rsid w:val="001A101C"/>
    <w:rsid w:val="001A2722"/>
    <w:rsid w:val="001A4E26"/>
    <w:rsid w:val="001A5D0A"/>
    <w:rsid w:val="001A61A7"/>
    <w:rsid w:val="001A6387"/>
    <w:rsid w:val="001A6410"/>
    <w:rsid w:val="001A7566"/>
    <w:rsid w:val="001B0003"/>
    <w:rsid w:val="001B02FE"/>
    <w:rsid w:val="001B26A2"/>
    <w:rsid w:val="001B3B63"/>
    <w:rsid w:val="001B57F9"/>
    <w:rsid w:val="001C1453"/>
    <w:rsid w:val="001C2692"/>
    <w:rsid w:val="001C53C2"/>
    <w:rsid w:val="001C56A8"/>
    <w:rsid w:val="001C59DC"/>
    <w:rsid w:val="001C5F37"/>
    <w:rsid w:val="001C65A4"/>
    <w:rsid w:val="001C76D4"/>
    <w:rsid w:val="001D0F36"/>
    <w:rsid w:val="001D1126"/>
    <w:rsid w:val="001D2429"/>
    <w:rsid w:val="001D357B"/>
    <w:rsid w:val="001D3900"/>
    <w:rsid w:val="001D465D"/>
    <w:rsid w:val="001D47AE"/>
    <w:rsid w:val="001D4FF0"/>
    <w:rsid w:val="001D54F1"/>
    <w:rsid w:val="001D6E16"/>
    <w:rsid w:val="001D7274"/>
    <w:rsid w:val="001D797D"/>
    <w:rsid w:val="001D7C41"/>
    <w:rsid w:val="001E44D4"/>
    <w:rsid w:val="001E4897"/>
    <w:rsid w:val="001E4C74"/>
    <w:rsid w:val="001E7FB1"/>
    <w:rsid w:val="001E7FCA"/>
    <w:rsid w:val="001F09E1"/>
    <w:rsid w:val="001F1C64"/>
    <w:rsid w:val="001F586C"/>
    <w:rsid w:val="001F6D7C"/>
    <w:rsid w:val="001F7A7A"/>
    <w:rsid w:val="00200220"/>
    <w:rsid w:val="00200411"/>
    <w:rsid w:val="00201971"/>
    <w:rsid w:val="00204347"/>
    <w:rsid w:val="00206217"/>
    <w:rsid w:val="002103B4"/>
    <w:rsid w:val="0021040B"/>
    <w:rsid w:val="00210707"/>
    <w:rsid w:val="002127FD"/>
    <w:rsid w:val="00216C3A"/>
    <w:rsid w:val="0021705B"/>
    <w:rsid w:val="00217C84"/>
    <w:rsid w:val="002211CF"/>
    <w:rsid w:val="002220A8"/>
    <w:rsid w:val="00225028"/>
    <w:rsid w:val="002258BD"/>
    <w:rsid w:val="00225EDA"/>
    <w:rsid w:val="002268D6"/>
    <w:rsid w:val="00226F0D"/>
    <w:rsid w:val="002271FA"/>
    <w:rsid w:val="00227D9A"/>
    <w:rsid w:val="00231835"/>
    <w:rsid w:val="00232319"/>
    <w:rsid w:val="00232B8C"/>
    <w:rsid w:val="002341AD"/>
    <w:rsid w:val="00234555"/>
    <w:rsid w:val="00234F56"/>
    <w:rsid w:val="0023605E"/>
    <w:rsid w:val="002364AD"/>
    <w:rsid w:val="00237769"/>
    <w:rsid w:val="00237E9E"/>
    <w:rsid w:val="00240A55"/>
    <w:rsid w:val="00242A7A"/>
    <w:rsid w:val="002434C4"/>
    <w:rsid w:val="00243EF1"/>
    <w:rsid w:val="0025003B"/>
    <w:rsid w:val="00250E50"/>
    <w:rsid w:val="002510C8"/>
    <w:rsid w:val="00251408"/>
    <w:rsid w:val="002523E5"/>
    <w:rsid w:val="0025297B"/>
    <w:rsid w:val="00253B2F"/>
    <w:rsid w:val="00256FC3"/>
    <w:rsid w:val="00257605"/>
    <w:rsid w:val="0026246F"/>
    <w:rsid w:val="002628C4"/>
    <w:rsid w:val="00262B45"/>
    <w:rsid w:val="00262F08"/>
    <w:rsid w:val="00263471"/>
    <w:rsid w:val="00263D10"/>
    <w:rsid w:val="0026472D"/>
    <w:rsid w:val="00271E2F"/>
    <w:rsid w:val="0027231C"/>
    <w:rsid w:val="00272482"/>
    <w:rsid w:val="00274227"/>
    <w:rsid w:val="0027495B"/>
    <w:rsid w:val="002756D7"/>
    <w:rsid w:val="0027574B"/>
    <w:rsid w:val="00276286"/>
    <w:rsid w:val="0027681A"/>
    <w:rsid w:val="0027726D"/>
    <w:rsid w:val="00280507"/>
    <w:rsid w:val="002811FE"/>
    <w:rsid w:val="002817D5"/>
    <w:rsid w:val="002821ED"/>
    <w:rsid w:val="002840A3"/>
    <w:rsid w:val="002840E9"/>
    <w:rsid w:val="002854EA"/>
    <w:rsid w:val="00285AC3"/>
    <w:rsid w:val="00285BE9"/>
    <w:rsid w:val="002867AD"/>
    <w:rsid w:val="00290F0C"/>
    <w:rsid w:val="00291AAD"/>
    <w:rsid w:val="00292E06"/>
    <w:rsid w:val="00296371"/>
    <w:rsid w:val="00297D7D"/>
    <w:rsid w:val="002A03D3"/>
    <w:rsid w:val="002A18C8"/>
    <w:rsid w:val="002A2CE8"/>
    <w:rsid w:val="002A4479"/>
    <w:rsid w:val="002A46F7"/>
    <w:rsid w:val="002A4E67"/>
    <w:rsid w:val="002A56C7"/>
    <w:rsid w:val="002B028D"/>
    <w:rsid w:val="002B0F9B"/>
    <w:rsid w:val="002B194D"/>
    <w:rsid w:val="002B315F"/>
    <w:rsid w:val="002B37D6"/>
    <w:rsid w:val="002B395D"/>
    <w:rsid w:val="002B3DB5"/>
    <w:rsid w:val="002B4F2E"/>
    <w:rsid w:val="002B50C1"/>
    <w:rsid w:val="002B5C2C"/>
    <w:rsid w:val="002B641A"/>
    <w:rsid w:val="002C0431"/>
    <w:rsid w:val="002C091E"/>
    <w:rsid w:val="002C1313"/>
    <w:rsid w:val="002C1524"/>
    <w:rsid w:val="002C27C8"/>
    <w:rsid w:val="002C34A2"/>
    <w:rsid w:val="002C3812"/>
    <w:rsid w:val="002C5490"/>
    <w:rsid w:val="002C5707"/>
    <w:rsid w:val="002C5968"/>
    <w:rsid w:val="002D04A9"/>
    <w:rsid w:val="002D1258"/>
    <w:rsid w:val="002D17B0"/>
    <w:rsid w:val="002D202D"/>
    <w:rsid w:val="002D20A9"/>
    <w:rsid w:val="002D2A41"/>
    <w:rsid w:val="002D40F8"/>
    <w:rsid w:val="002D5D3F"/>
    <w:rsid w:val="002D62FA"/>
    <w:rsid w:val="002D63BC"/>
    <w:rsid w:val="002D655B"/>
    <w:rsid w:val="002D6C27"/>
    <w:rsid w:val="002E1618"/>
    <w:rsid w:val="002E2220"/>
    <w:rsid w:val="002E2826"/>
    <w:rsid w:val="002E3ADE"/>
    <w:rsid w:val="002E416D"/>
    <w:rsid w:val="002E7C67"/>
    <w:rsid w:val="002F1D2D"/>
    <w:rsid w:val="002F2773"/>
    <w:rsid w:val="002F30C9"/>
    <w:rsid w:val="002F43A9"/>
    <w:rsid w:val="002F43ED"/>
    <w:rsid w:val="002F6055"/>
    <w:rsid w:val="002F6828"/>
    <w:rsid w:val="002F7A2C"/>
    <w:rsid w:val="00300E82"/>
    <w:rsid w:val="00302131"/>
    <w:rsid w:val="00304FF9"/>
    <w:rsid w:val="00310063"/>
    <w:rsid w:val="003105DA"/>
    <w:rsid w:val="00310DBA"/>
    <w:rsid w:val="00310FB0"/>
    <w:rsid w:val="00312D5A"/>
    <w:rsid w:val="00312D70"/>
    <w:rsid w:val="00314F45"/>
    <w:rsid w:val="003151E6"/>
    <w:rsid w:val="00315F74"/>
    <w:rsid w:val="00315FD6"/>
    <w:rsid w:val="003160BE"/>
    <w:rsid w:val="00317928"/>
    <w:rsid w:val="0032339A"/>
    <w:rsid w:val="003233AC"/>
    <w:rsid w:val="00325677"/>
    <w:rsid w:val="003258C5"/>
    <w:rsid w:val="003268AF"/>
    <w:rsid w:val="0033379E"/>
    <w:rsid w:val="00335E61"/>
    <w:rsid w:val="003376FD"/>
    <w:rsid w:val="00337C16"/>
    <w:rsid w:val="00337E25"/>
    <w:rsid w:val="00337FD7"/>
    <w:rsid w:val="0034385C"/>
    <w:rsid w:val="00343D67"/>
    <w:rsid w:val="0034457C"/>
    <w:rsid w:val="003458CE"/>
    <w:rsid w:val="003469ED"/>
    <w:rsid w:val="003518A7"/>
    <w:rsid w:val="00353288"/>
    <w:rsid w:val="00353377"/>
    <w:rsid w:val="0035367E"/>
    <w:rsid w:val="00353E36"/>
    <w:rsid w:val="00355AE1"/>
    <w:rsid w:val="00356A82"/>
    <w:rsid w:val="00357DAA"/>
    <w:rsid w:val="00360A3D"/>
    <w:rsid w:val="00360C33"/>
    <w:rsid w:val="003623F4"/>
    <w:rsid w:val="003651C3"/>
    <w:rsid w:val="00365571"/>
    <w:rsid w:val="00365622"/>
    <w:rsid w:val="00366401"/>
    <w:rsid w:val="0036655C"/>
    <w:rsid w:val="003667FD"/>
    <w:rsid w:val="003711AA"/>
    <w:rsid w:val="003756D0"/>
    <w:rsid w:val="003778E4"/>
    <w:rsid w:val="0038030C"/>
    <w:rsid w:val="003811D5"/>
    <w:rsid w:val="00381AC4"/>
    <w:rsid w:val="00381C67"/>
    <w:rsid w:val="00383578"/>
    <w:rsid w:val="00383E72"/>
    <w:rsid w:val="003856CE"/>
    <w:rsid w:val="003865CD"/>
    <w:rsid w:val="00386A64"/>
    <w:rsid w:val="003875BC"/>
    <w:rsid w:val="00387642"/>
    <w:rsid w:val="00387CE1"/>
    <w:rsid w:val="00391DE7"/>
    <w:rsid w:val="0039235D"/>
    <w:rsid w:val="00393298"/>
    <w:rsid w:val="0039420F"/>
    <w:rsid w:val="00395277"/>
    <w:rsid w:val="00395538"/>
    <w:rsid w:val="003958F5"/>
    <w:rsid w:val="00396E0D"/>
    <w:rsid w:val="00396FCC"/>
    <w:rsid w:val="003A3A19"/>
    <w:rsid w:val="003A3B9D"/>
    <w:rsid w:val="003A4C1D"/>
    <w:rsid w:val="003A4DF2"/>
    <w:rsid w:val="003A612B"/>
    <w:rsid w:val="003A65E9"/>
    <w:rsid w:val="003B00AF"/>
    <w:rsid w:val="003B0AD4"/>
    <w:rsid w:val="003B0B87"/>
    <w:rsid w:val="003B0BBF"/>
    <w:rsid w:val="003B4F9B"/>
    <w:rsid w:val="003B6FAA"/>
    <w:rsid w:val="003B6FF4"/>
    <w:rsid w:val="003C140D"/>
    <w:rsid w:val="003C1CD7"/>
    <w:rsid w:val="003C3043"/>
    <w:rsid w:val="003C3354"/>
    <w:rsid w:val="003C35E6"/>
    <w:rsid w:val="003C443B"/>
    <w:rsid w:val="003C561D"/>
    <w:rsid w:val="003C6806"/>
    <w:rsid w:val="003C705C"/>
    <w:rsid w:val="003D0CAB"/>
    <w:rsid w:val="003D317F"/>
    <w:rsid w:val="003D36CB"/>
    <w:rsid w:val="003D3D2B"/>
    <w:rsid w:val="003D45D6"/>
    <w:rsid w:val="003D54EB"/>
    <w:rsid w:val="003D6B4C"/>
    <w:rsid w:val="003E0097"/>
    <w:rsid w:val="003E0796"/>
    <w:rsid w:val="003E0BBF"/>
    <w:rsid w:val="003E2021"/>
    <w:rsid w:val="003E2483"/>
    <w:rsid w:val="003E51A8"/>
    <w:rsid w:val="003E55C5"/>
    <w:rsid w:val="003E5A4C"/>
    <w:rsid w:val="003E61CC"/>
    <w:rsid w:val="003E700D"/>
    <w:rsid w:val="003E7FB9"/>
    <w:rsid w:val="003F00C8"/>
    <w:rsid w:val="003F01BE"/>
    <w:rsid w:val="003F0715"/>
    <w:rsid w:val="003F1DE6"/>
    <w:rsid w:val="003F22B7"/>
    <w:rsid w:val="003F311C"/>
    <w:rsid w:val="003F523F"/>
    <w:rsid w:val="003F57FA"/>
    <w:rsid w:val="003F63FC"/>
    <w:rsid w:val="003F7FE0"/>
    <w:rsid w:val="004008ED"/>
    <w:rsid w:val="004015C7"/>
    <w:rsid w:val="0040163B"/>
    <w:rsid w:val="004025E4"/>
    <w:rsid w:val="004028A6"/>
    <w:rsid w:val="0040356D"/>
    <w:rsid w:val="00403D0E"/>
    <w:rsid w:val="00405225"/>
    <w:rsid w:val="0040539B"/>
    <w:rsid w:val="00405ECD"/>
    <w:rsid w:val="00412E4C"/>
    <w:rsid w:val="00413B27"/>
    <w:rsid w:val="00413B8F"/>
    <w:rsid w:val="004150B8"/>
    <w:rsid w:val="0041539C"/>
    <w:rsid w:val="0041559D"/>
    <w:rsid w:val="00415840"/>
    <w:rsid w:val="00417A8F"/>
    <w:rsid w:val="00420917"/>
    <w:rsid w:val="004219AF"/>
    <w:rsid w:val="004223B3"/>
    <w:rsid w:val="00423C6D"/>
    <w:rsid w:val="0042579F"/>
    <w:rsid w:val="0042599D"/>
    <w:rsid w:val="0042687A"/>
    <w:rsid w:val="00427CDC"/>
    <w:rsid w:val="00427F1F"/>
    <w:rsid w:val="004305E6"/>
    <w:rsid w:val="00430F36"/>
    <w:rsid w:val="00431066"/>
    <w:rsid w:val="00436162"/>
    <w:rsid w:val="0044080B"/>
    <w:rsid w:val="0044184F"/>
    <w:rsid w:val="00442A9C"/>
    <w:rsid w:val="00443031"/>
    <w:rsid w:val="00443B41"/>
    <w:rsid w:val="004453B9"/>
    <w:rsid w:val="00445423"/>
    <w:rsid w:val="00445545"/>
    <w:rsid w:val="00445839"/>
    <w:rsid w:val="004459D0"/>
    <w:rsid w:val="004479E7"/>
    <w:rsid w:val="00447EE6"/>
    <w:rsid w:val="004503AA"/>
    <w:rsid w:val="0045157D"/>
    <w:rsid w:val="004522F3"/>
    <w:rsid w:val="0045267B"/>
    <w:rsid w:val="0045269B"/>
    <w:rsid w:val="0045456D"/>
    <w:rsid w:val="004548E9"/>
    <w:rsid w:val="00455051"/>
    <w:rsid w:val="00456472"/>
    <w:rsid w:val="00456DCD"/>
    <w:rsid w:val="00461CCD"/>
    <w:rsid w:val="00461D8F"/>
    <w:rsid w:val="00462359"/>
    <w:rsid w:val="00462D3C"/>
    <w:rsid w:val="0046308B"/>
    <w:rsid w:val="00463868"/>
    <w:rsid w:val="00464849"/>
    <w:rsid w:val="00464D33"/>
    <w:rsid w:val="004654E4"/>
    <w:rsid w:val="00465A9B"/>
    <w:rsid w:val="00465D98"/>
    <w:rsid w:val="00466D03"/>
    <w:rsid w:val="00470589"/>
    <w:rsid w:val="00471863"/>
    <w:rsid w:val="00472201"/>
    <w:rsid w:val="00474233"/>
    <w:rsid w:val="0047662E"/>
    <w:rsid w:val="004777D1"/>
    <w:rsid w:val="0048226E"/>
    <w:rsid w:val="00483036"/>
    <w:rsid w:val="00484440"/>
    <w:rsid w:val="0048515D"/>
    <w:rsid w:val="004853EC"/>
    <w:rsid w:val="0048590D"/>
    <w:rsid w:val="00485B75"/>
    <w:rsid w:val="00490B3F"/>
    <w:rsid w:val="00492813"/>
    <w:rsid w:val="004928DA"/>
    <w:rsid w:val="00492EB7"/>
    <w:rsid w:val="00493FF9"/>
    <w:rsid w:val="00495845"/>
    <w:rsid w:val="004958BB"/>
    <w:rsid w:val="00495A73"/>
    <w:rsid w:val="00495B57"/>
    <w:rsid w:val="00495CAC"/>
    <w:rsid w:val="00496895"/>
    <w:rsid w:val="00497AD2"/>
    <w:rsid w:val="004A0887"/>
    <w:rsid w:val="004A08CE"/>
    <w:rsid w:val="004A0F61"/>
    <w:rsid w:val="004A1AD3"/>
    <w:rsid w:val="004A3365"/>
    <w:rsid w:val="004A50BA"/>
    <w:rsid w:val="004A563B"/>
    <w:rsid w:val="004A66CA"/>
    <w:rsid w:val="004A6C08"/>
    <w:rsid w:val="004B010C"/>
    <w:rsid w:val="004B0DB9"/>
    <w:rsid w:val="004B29DC"/>
    <w:rsid w:val="004B2A94"/>
    <w:rsid w:val="004B31B0"/>
    <w:rsid w:val="004B4B7A"/>
    <w:rsid w:val="004B4F96"/>
    <w:rsid w:val="004B5DEF"/>
    <w:rsid w:val="004B5FC4"/>
    <w:rsid w:val="004C0FF7"/>
    <w:rsid w:val="004C1B8B"/>
    <w:rsid w:val="004C257C"/>
    <w:rsid w:val="004C321B"/>
    <w:rsid w:val="004C33A8"/>
    <w:rsid w:val="004C3FDE"/>
    <w:rsid w:val="004C54E7"/>
    <w:rsid w:val="004C5769"/>
    <w:rsid w:val="004D1B52"/>
    <w:rsid w:val="004D3D04"/>
    <w:rsid w:val="004D3DC0"/>
    <w:rsid w:val="004D4B69"/>
    <w:rsid w:val="004D4F4C"/>
    <w:rsid w:val="004D5B2E"/>
    <w:rsid w:val="004D5B5B"/>
    <w:rsid w:val="004D5EA0"/>
    <w:rsid w:val="004D684D"/>
    <w:rsid w:val="004D6908"/>
    <w:rsid w:val="004D6DC1"/>
    <w:rsid w:val="004E12E0"/>
    <w:rsid w:val="004E673B"/>
    <w:rsid w:val="004E7667"/>
    <w:rsid w:val="004E7EB9"/>
    <w:rsid w:val="004E7EF6"/>
    <w:rsid w:val="004F016D"/>
    <w:rsid w:val="004F60F0"/>
    <w:rsid w:val="00500A96"/>
    <w:rsid w:val="00501031"/>
    <w:rsid w:val="00502723"/>
    <w:rsid w:val="00502CA9"/>
    <w:rsid w:val="00503023"/>
    <w:rsid w:val="00504E4B"/>
    <w:rsid w:val="00505EF9"/>
    <w:rsid w:val="00506B16"/>
    <w:rsid w:val="00506D5B"/>
    <w:rsid w:val="00506FCF"/>
    <w:rsid w:val="00507117"/>
    <w:rsid w:val="0051030C"/>
    <w:rsid w:val="005112C2"/>
    <w:rsid w:val="00511B56"/>
    <w:rsid w:val="00512845"/>
    <w:rsid w:val="005131A1"/>
    <w:rsid w:val="005157B2"/>
    <w:rsid w:val="00515F3A"/>
    <w:rsid w:val="00516BCC"/>
    <w:rsid w:val="00522D68"/>
    <w:rsid w:val="005251A3"/>
    <w:rsid w:val="005254D2"/>
    <w:rsid w:val="00526681"/>
    <w:rsid w:val="005268D5"/>
    <w:rsid w:val="005272B6"/>
    <w:rsid w:val="005274F4"/>
    <w:rsid w:val="005316AE"/>
    <w:rsid w:val="00531789"/>
    <w:rsid w:val="00531A17"/>
    <w:rsid w:val="00532AC1"/>
    <w:rsid w:val="0053394F"/>
    <w:rsid w:val="0053560B"/>
    <w:rsid w:val="00536CCA"/>
    <w:rsid w:val="00542715"/>
    <w:rsid w:val="00543D8A"/>
    <w:rsid w:val="00543EB6"/>
    <w:rsid w:val="00544D20"/>
    <w:rsid w:val="00544EC0"/>
    <w:rsid w:val="0054513B"/>
    <w:rsid w:val="005452A9"/>
    <w:rsid w:val="00545B65"/>
    <w:rsid w:val="00546964"/>
    <w:rsid w:val="005479E8"/>
    <w:rsid w:val="00547C02"/>
    <w:rsid w:val="00547F6E"/>
    <w:rsid w:val="00550E9C"/>
    <w:rsid w:val="0055107F"/>
    <w:rsid w:val="005519DF"/>
    <w:rsid w:val="00552140"/>
    <w:rsid w:val="00552831"/>
    <w:rsid w:val="00552AAE"/>
    <w:rsid w:val="00553346"/>
    <w:rsid w:val="00555A48"/>
    <w:rsid w:val="00555AB6"/>
    <w:rsid w:val="00555B1C"/>
    <w:rsid w:val="00557FE6"/>
    <w:rsid w:val="00560724"/>
    <w:rsid w:val="005611AD"/>
    <w:rsid w:val="00561A0F"/>
    <w:rsid w:val="0056397E"/>
    <w:rsid w:val="00563D5D"/>
    <w:rsid w:val="005651C4"/>
    <w:rsid w:val="00565F8E"/>
    <w:rsid w:val="0056729E"/>
    <w:rsid w:val="005709D9"/>
    <w:rsid w:val="00570AD1"/>
    <w:rsid w:val="0057120E"/>
    <w:rsid w:val="00572284"/>
    <w:rsid w:val="0057405F"/>
    <w:rsid w:val="005770A1"/>
    <w:rsid w:val="005807AD"/>
    <w:rsid w:val="00580F0B"/>
    <w:rsid w:val="00581F5A"/>
    <w:rsid w:val="00581F98"/>
    <w:rsid w:val="0058464F"/>
    <w:rsid w:val="0058557F"/>
    <w:rsid w:val="00586294"/>
    <w:rsid w:val="0058633A"/>
    <w:rsid w:val="005863F2"/>
    <w:rsid w:val="005867E6"/>
    <w:rsid w:val="005875C0"/>
    <w:rsid w:val="005878CC"/>
    <w:rsid w:val="00590E0A"/>
    <w:rsid w:val="00591169"/>
    <w:rsid w:val="00592F2A"/>
    <w:rsid w:val="00593E5C"/>
    <w:rsid w:val="00594DDD"/>
    <w:rsid w:val="0059550C"/>
    <w:rsid w:val="00595AFB"/>
    <w:rsid w:val="00595EA4"/>
    <w:rsid w:val="00597EFA"/>
    <w:rsid w:val="005A2F1B"/>
    <w:rsid w:val="005A60B3"/>
    <w:rsid w:val="005A6456"/>
    <w:rsid w:val="005A7086"/>
    <w:rsid w:val="005A75FD"/>
    <w:rsid w:val="005B195F"/>
    <w:rsid w:val="005B3B75"/>
    <w:rsid w:val="005B3F62"/>
    <w:rsid w:val="005B6B21"/>
    <w:rsid w:val="005B710A"/>
    <w:rsid w:val="005B78FD"/>
    <w:rsid w:val="005C0184"/>
    <w:rsid w:val="005C0CCB"/>
    <w:rsid w:val="005C1577"/>
    <w:rsid w:val="005C329E"/>
    <w:rsid w:val="005C36F7"/>
    <w:rsid w:val="005C6F09"/>
    <w:rsid w:val="005D09F1"/>
    <w:rsid w:val="005D3030"/>
    <w:rsid w:val="005D4C93"/>
    <w:rsid w:val="005D579B"/>
    <w:rsid w:val="005D5F25"/>
    <w:rsid w:val="005D7C33"/>
    <w:rsid w:val="005E0209"/>
    <w:rsid w:val="005E207D"/>
    <w:rsid w:val="005E417B"/>
    <w:rsid w:val="005E4CAD"/>
    <w:rsid w:val="005E5672"/>
    <w:rsid w:val="005E60A8"/>
    <w:rsid w:val="005E6448"/>
    <w:rsid w:val="005E7665"/>
    <w:rsid w:val="005E791D"/>
    <w:rsid w:val="005F0852"/>
    <w:rsid w:val="005F1BE1"/>
    <w:rsid w:val="005F2F73"/>
    <w:rsid w:val="005F378F"/>
    <w:rsid w:val="005F432A"/>
    <w:rsid w:val="005F5C55"/>
    <w:rsid w:val="005F7A40"/>
    <w:rsid w:val="00601494"/>
    <w:rsid w:val="00603EEB"/>
    <w:rsid w:val="00604FF5"/>
    <w:rsid w:val="0061027D"/>
    <w:rsid w:val="006117D3"/>
    <w:rsid w:val="0061239F"/>
    <w:rsid w:val="00612728"/>
    <w:rsid w:val="00615275"/>
    <w:rsid w:val="00617801"/>
    <w:rsid w:val="006178C9"/>
    <w:rsid w:val="006216CF"/>
    <w:rsid w:val="00623310"/>
    <w:rsid w:val="00624888"/>
    <w:rsid w:val="00624E0A"/>
    <w:rsid w:val="006266C1"/>
    <w:rsid w:val="00627D81"/>
    <w:rsid w:val="00630877"/>
    <w:rsid w:val="00631A0F"/>
    <w:rsid w:val="00632554"/>
    <w:rsid w:val="0063289D"/>
    <w:rsid w:val="00633DA9"/>
    <w:rsid w:val="00634541"/>
    <w:rsid w:val="00636CB3"/>
    <w:rsid w:val="006406C6"/>
    <w:rsid w:val="006406D1"/>
    <w:rsid w:val="0064077C"/>
    <w:rsid w:val="006408A7"/>
    <w:rsid w:val="00640AB6"/>
    <w:rsid w:val="006415BA"/>
    <w:rsid w:val="006419EA"/>
    <w:rsid w:val="00642058"/>
    <w:rsid w:val="0064297A"/>
    <w:rsid w:val="00642C7B"/>
    <w:rsid w:val="006454DD"/>
    <w:rsid w:val="0064565D"/>
    <w:rsid w:val="00646AE3"/>
    <w:rsid w:val="006509C9"/>
    <w:rsid w:val="00650F74"/>
    <w:rsid w:val="00651081"/>
    <w:rsid w:val="0065110D"/>
    <w:rsid w:val="006530E1"/>
    <w:rsid w:val="006539E2"/>
    <w:rsid w:val="00653EA0"/>
    <w:rsid w:val="00654DCD"/>
    <w:rsid w:val="00655935"/>
    <w:rsid w:val="00656C32"/>
    <w:rsid w:val="00656CBE"/>
    <w:rsid w:val="00657152"/>
    <w:rsid w:val="006578C1"/>
    <w:rsid w:val="006610B4"/>
    <w:rsid w:val="006621D1"/>
    <w:rsid w:val="0066467D"/>
    <w:rsid w:val="00665729"/>
    <w:rsid w:val="00665805"/>
    <w:rsid w:val="00666797"/>
    <w:rsid w:val="0066711E"/>
    <w:rsid w:val="006675A4"/>
    <w:rsid w:val="00667B95"/>
    <w:rsid w:val="00670F53"/>
    <w:rsid w:val="006718E1"/>
    <w:rsid w:val="006720D5"/>
    <w:rsid w:val="00672D5E"/>
    <w:rsid w:val="00677C08"/>
    <w:rsid w:val="00677C61"/>
    <w:rsid w:val="00677D86"/>
    <w:rsid w:val="0068046C"/>
    <w:rsid w:val="00680B02"/>
    <w:rsid w:val="00680E52"/>
    <w:rsid w:val="00680E9E"/>
    <w:rsid w:val="006828AD"/>
    <w:rsid w:val="00682A81"/>
    <w:rsid w:val="00682CC5"/>
    <w:rsid w:val="00682E50"/>
    <w:rsid w:val="00683FF6"/>
    <w:rsid w:val="0068777A"/>
    <w:rsid w:val="00687ED2"/>
    <w:rsid w:val="00695E07"/>
    <w:rsid w:val="00696B61"/>
    <w:rsid w:val="00696DC9"/>
    <w:rsid w:val="00697F9C"/>
    <w:rsid w:val="006A067D"/>
    <w:rsid w:val="006A355B"/>
    <w:rsid w:val="006A357F"/>
    <w:rsid w:val="006A6364"/>
    <w:rsid w:val="006A792F"/>
    <w:rsid w:val="006A7B64"/>
    <w:rsid w:val="006B137C"/>
    <w:rsid w:val="006B19C2"/>
    <w:rsid w:val="006B378F"/>
    <w:rsid w:val="006B3D9A"/>
    <w:rsid w:val="006B49DE"/>
    <w:rsid w:val="006B64E0"/>
    <w:rsid w:val="006B7519"/>
    <w:rsid w:val="006B7647"/>
    <w:rsid w:val="006B7818"/>
    <w:rsid w:val="006C1FAF"/>
    <w:rsid w:val="006C549B"/>
    <w:rsid w:val="006C6650"/>
    <w:rsid w:val="006C6972"/>
    <w:rsid w:val="006C70A0"/>
    <w:rsid w:val="006C785B"/>
    <w:rsid w:val="006C7F22"/>
    <w:rsid w:val="006D02D7"/>
    <w:rsid w:val="006D0696"/>
    <w:rsid w:val="006D240F"/>
    <w:rsid w:val="006D4FC0"/>
    <w:rsid w:val="006D75DC"/>
    <w:rsid w:val="006E129C"/>
    <w:rsid w:val="006E2066"/>
    <w:rsid w:val="006E26BB"/>
    <w:rsid w:val="006E2B94"/>
    <w:rsid w:val="006E3BDD"/>
    <w:rsid w:val="006E46AC"/>
    <w:rsid w:val="006E62DA"/>
    <w:rsid w:val="006E66B6"/>
    <w:rsid w:val="006E719E"/>
    <w:rsid w:val="006F093E"/>
    <w:rsid w:val="006F16CA"/>
    <w:rsid w:val="006F28C4"/>
    <w:rsid w:val="006F6EAF"/>
    <w:rsid w:val="007009D6"/>
    <w:rsid w:val="0070215D"/>
    <w:rsid w:val="00703415"/>
    <w:rsid w:val="0070676B"/>
    <w:rsid w:val="00710394"/>
    <w:rsid w:val="0071057F"/>
    <w:rsid w:val="007110BF"/>
    <w:rsid w:val="00711107"/>
    <w:rsid w:val="00711873"/>
    <w:rsid w:val="00711904"/>
    <w:rsid w:val="007129E8"/>
    <w:rsid w:val="007130CB"/>
    <w:rsid w:val="00713BEF"/>
    <w:rsid w:val="007143EC"/>
    <w:rsid w:val="00716335"/>
    <w:rsid w:val="007167A8"/>
    <w:rsid w:val="0071722E"/>
    <w:rsid w:val="007206FD"/>
    <w:rsid w:val="00721D21"/>
    <w:rsid w:val="00721E81"/>
    <w:rsid w:val="007238D9"/>
    <w:rsid w:val="007252C2"/>
    <w:rsid w:val="0072542D"/>
    <w:rsid w:val="007261D5"/>
    <w:rsid w:val="00727B73"/>
    <w:rsid w:val="00730439"/>
    <w:rsid w:val="00731FEF"/>
    <w:rsid w:val="007325D3"/>
    <w:rsid w:val="007341EF"/>
    <w:rsid w:val="00735254"/>
    <w:rsid w:val="00740285"/>
    <w:rsid w:val="007408BA"/>
    <w:rsid w:val="0074160A"/>
    <w:rsid w:val="0074229B"/>
    <w:rsid w:val="00744CA1"/>
    <w:rsid w:val="00745EE5"/>
    <w:rsid w:val="00747C55"/>
    <w:rsid w:val="00750800"/>
    <w:rsid w:val="007508B2"/>
    <w:rsid w:val="00751EBB"/>
    <w:rsid w:val="007522F6"/>
    <w:rsid w:val="0075365B"/>
    <w:rsid w:val="007564AE"/>
    <w:rsid w:val="00757358"/>
    <w:rsid w:val="00757786"/>
    <w:rsid w:val="00757C90"/>
    <w:rsid w:val="00760227"/>
    <w:rsid w:val="0076115D"/>
    <w:rsid w:val="007612AD"/>
    <w:rsid w:val="00763AED"/>
    <w:rsid w:val="007647A2"/>
    <w:rsid w:val="007650E2"/>
    <w:rsid w:val="007656FB"/>
    <w:rsid w:val="007660C5"/>
    <w:rsid w:val="00767BDB"/>
    <w:rsid w:val="00772805"/>
    <w:rsid w:val="00773585"/>
    <w:rsid w:val="00774BF4"/>
    <w:rsid w:val="007754B6"/>
    <w:rsid w:val="00775DAF"/>
    <w:rsid w:val="00776453"/>
    <w:rsid w:val="0077667E"/>
    <w:rsid w:val="00776BDD"/>
    <w:rsid w:val="00776E2C"/>
    <w:rsid w:val="00780899"/>
    <w:rsid w:val="00781D55"/>
    <w:rsid w:val="00782258"/>
    <w:rsid w:val="00782A2A"/>
    <w:rsid w:val="00782BF1"/>
    <w:rsid w:val="007837FD"/>
    <w:rsid w:val="0078518D"/>
    <w:rsid w:val="007853F2"/>
    <w:rsid w:val="00785A52"/>
    <w:rsid w:val="00785D29"/>
    <w:rsid w:val="00786A28"/>
    <w:rsid w:val="007900DD"/>
    <w:rsid w:val="00793346"/>
    <w:rsid w:val="00793701"/>
    <w:rsid w:val="00796A1A"/>
    <w:rsid w:val="00797A6C"/>
    <w:rsid w:val="007A0130"/>
    <w:rsid w:val="007A01DD"/>
    <w:rsid w:val="007A022E"/>
    <w:rsid w:val="007A0E2B"/>
    <w:rsid w:val="007A11CB"/>
    <w:rsid w:val="007A1218"/>
    <w:rsid w:val="007A2173"/>
    <w:rsid w:val="007A3BAF"/>
    <w:rsid w:val="007A546E"/>
    <w:rsid w:val="007A77DB"/>
    <w:rsid w:val="007B22E7"/>
    <w:rsid w:val="007B2729"/>
    <w:rsid w:val="007B4B93"/>
    <w:rsid w:val="007B5B5B"/>
    <w:rsid w:val="007C3D84"/>
    <w:rsid w:val="007C4638"/>
    <w:rsid w:val="007C4ECB"/>
    <w:rsid w:val="007C566F"/>
    <w:rsid w:val="007C586A"/>
    <w:rsid w:val="007C5E77"/>
    <w:rsid w:val="007C74DC"/>
    <w:rsid w:val="007C7C81"/>
    <w:rsid w:val="007D060A"/>
    <w:rsid w:val="007D120F"/>
    <w:rsid w:val="007D34A3"/>
    <w:rsid w:val="007D46FD"/>
    <w:rsid w:val="007D4EC1"/>
    <w:rsid w:val="007D4FF6"/>
    <w:rsid w:val="007D5406"/>
    <w:rsid w:val="007D7382"/>
    <w:rsid w:val="007D7D2C"/>
    <w:rsid w:val="007E0423"/>
    <w:rsid w:val="007E07B1"/>
    <w:rsid w:val="007E11CE"/>
    <w:rsid w:val="007E145E"/>
    <w:rsid w:val="007E1C7A"/>
    <w:rsid w:val="007E2536"/>
    <w:rsid w:val="007E30F3"/>
    <w:rsid w:val="007E412C"/>
    <w:rsid w:val="007E4EC3"/>
    <w:rsid w:val="007E5006"/>
    <w:rsid w:val="007E5871"/>
    <w:rsid w:val="007E63F3"/>
    <w:rsid w:val="007E6CA3"/>
    <w:rsid w:val="007F0B3C"/>
    <w:rsid w:val="007F20AF"/>
    <w:rsid w:val="007F280E"/>
    <w:rsid w:val="007F40E0"/>
    <w:rsid w:val="007F5789"/>
    <w:rsid w:val="007F6497"/>
    <w:rsid w:val="007F7744"/>
    <w:rsid w:val="007F7EF8"/>
    <w:rsid w:val="00801297"/>
    <w:rsid w:val="0080142C"/>
    <w:rsid w:val="0080482C"/>
    <w:rsid w:val="00804F95"/>
    <w:rsid w:val="00805EAE"/>
    <w:rsid w:val="00806FDD"/>
    <w:rsid w:val="00807A4D"/>
    <w:rsid w:val="0081054E"/>
    <w:rsid w:val="008139D4"/>
    <w:rsid w:val="0081421A"/>
    <w:rsid w:val="00814DB0"/>
    <w:rsid w:val="00816866"/>
    <w:rsid w:val="008176EC"/>
    <w:rsid w:val="00817984"/>
    <w:rsid w:val="0082121B"/>
    <w:rsid w:val="008220CC"/>
    <w:rsid w:val="008221FA"/>
    <w:rsid w:val="008242BF"/>
    <w:rsid w:val="008248FC"/>
    <w:rsid w:val="008250BC"/>
    <w:rsid w:val="0082608C"/>
    <w:rsid w:val="00826A95"/>
    <w:rsid w:val="008276AA"/>
    <w:rsid w:val="00832826"/>
    <w:rsid w:val="00832DCB"/>
    <w:rsid w:val="00833A66"/>
    <w:rsid w:val="0083606A"/>
    <w:rsid w:val="00836A30"/>
    <w:rsid w:val="00836FFC"/>
    <w:rsid w:val="00840925"/>
    <w:rsid w:val="0084283B"/>
    <w:rsid w:val="008428E9"/>
    <w:rsid w:val="008476A8"/>
    <w:rsid w:val="0085018B"/>
    <w:rsid w:val="008506DB"/>
    <w:rsid w:val="00850AF6"/>
    <w:rsid w:val="00850B75"/>
    <w:rsid w:val="00851BC4"/>
    <w:rsid w:val="00852181"/>
    <w:rsid w:val="00853444"/>
    <w:rsid w:val="008543CB"/>
    <w:rsid w:val="008556F2"/>
    <w:rsid w:val="00855C35"/>
    <w:rsid w:val="00855F78"/>
    <w:rsid w:val="008600DC"/>
    <w:rsid w:val="00860251"/>
    <w:rsid w:val="00860983"/>
    <w:rsid w:val="00861671"/>
    <w:rsid w:val="00861EE8"/>
    <w:rsid w:val="00862A78"/>
    <w:rsid w:val="00863080"/>
    <w:rsid w:val="00864270"/>
    <w:rsid w:val="008656F8"/>
    <w:rsid w:val="00867A30"/>
    <w:rsid w:val="00867C69"/>
    <w:rsid w:val="00870F57"/>
    <w:rsid w:val="00871821"/>
    <w:rsid w:val="008721F5"/>
    <w:rsid w:val="00872E48"/>
    <w:rsid w:val="00874714"/>
    <w:rsid w:val="00874C8D"/>
    <w:rsid w:val="00874CAB"/>
    <w:rsid w:val="00876062"/>
    <w:rsid w:val="00877DCD"/>
    <w:rsid w:val="00877F2A"/>
    <w:rsid w:val="00880256"/>
    <w:rsid w:val="00880262"/>
    <w:rsid w:val="008841C7"/>
    <w:rsid w:val="00884C0D"/>
    <w:rsid w:val="008857C5"/>
    <w:rsid w:val="008857F9"/>
    <w:rsid w:val="0089047A"/>
    <w:rsid w:val="0089248C"/>
    <w:rsid w:val="00896D77"/>
    <w:rsid w:val="00897DBB"/>
    <w:rsid w:val="008A0263"/>
    <w:rsid w:val="008A151D"/>
    <w:rsid w:val="008A326B"/>
    <w:rsid w:val="008A3B5F"/>
    <w:rsid w:val="008A4BAC"/>
    <w:rsid w:val="008A4C00"/>
    <w:rsid w:val="008A513F"/>
    <w:rsid w:val="008A77AE"/>
    <w:rsid w:val="008B0DA0"/>
    <w:rsid w:val="008B1002"/>
    <w:rsid w:val="008B64D8"/>
    <w:rsid w:val="008B6BAB"/>
    <w:rsid w:val="008C130E"/>
    <w:rsid w:val="008C1F05"/>
    <w:rsid w:val="008C37DC"/>
    <w:rsid w:val="008C4247"/>
    <w:rsid w:val="008C432F"/>
    <w:rsid w:val="008C7BF1"/>
    <w:rsid w:val="008D106B"/>
    <w:rsid w:val="008D3079"/>
    <w:rsid w:val="008D3898"/>
    <w:rsid w:val="008D4081"/>
    <w:rsid w:val="008D4BA4"/>
    <w:rsid w:val="008D5941"/>
    <w:rsid w:val="008D7E04"/>
    <w:rsid w:val="008E1577"/>
    <w:rsid w:val="008E4005"/>
    <w:rsid w:val="008E4181"/>
    <w:rsid w:val="008E4EA7"/>
    <w:rsid w:val="008E4F7F"/>
    <w:rsid w:val="008E677E"/>
    <w:rsid w:val="008E7617"/>
    <w:rsid w:val="008F0317"/>
    <w:rsid w:val="008F2029"/>
    <w:rsid w:val="008F237F"/>
    <w:rsid w:val="008F4707"/>
    <w:rsid w:val="008F6C5C"/>
    <w:rsid w:val="008F79A9"/>
    <w:rsid w:val="008F7AAE"/>
    <w:rsid w:val="009035B5"/>
    <w:rsid w:val="009057B4"/>
    <w:rsid w:val="009059D4"/>
    <w:rsid w:val="00907960"/>
    <w:rsid w:val="00910DD4"/>
    <w:rsid w:val="00912916"/>
    <w:rsid w:val="009134EB"/>
    <w:rsid w:val="009143F0"/>
    <w:rsid w:val="0091464F"/>
    <w:rsid w:val="009162A2"/>
    <w:rsid w:val="009167C5"/>
    <w:rsid w:val="00916DB3"/>
    <w:rsid w:val="009216EA"/>
    <w:rsid w:val="00923EF6"/>
    <w:rsid w:val="009301B6"/>
    <w:rsid w:val="00933919"/>
    <w:rsid w:val="00933B25"/>
    <w:rsid w:val="00934CDE"/>
    <w:rsid w:val="00935330"/>
    <w:rsid w:val="009353FB"/>
    <w:rsid w:val="009365CA"/>
    <w:rsid w:val="00937915"/>
    <w:rsid w:val="00937C40"/>
    <w:rsid w:val="00937F49"/>
    <w:rsid w:val="00943062"/>
    <w:rsid w:val="00943525"/>
    <w:rsid w:val="00944735"/>
    <w:rsid w:val="00944EEB"/>
    <w:rsid w:val="00945539"/>
    <w:rsid w:val="00946F3B"/>
    <w:rsid w:val="0094734F"/>
    <w:rsid w:val="00951EA2"/>
    <w:rsid w:val="00952BC2"/>
    <w:rsid w:val="0095431F"/>
    <w:rsid w:val="009559E0"/>
    <w:rsid w:val="009600E3"/>
    <w:rsid w:val="0096090C"/>
    <w:rsid w:val="00960D4C"/>
    <w:rsid w:val="00961AD9"/>
    <w:rsid w:val="0096374A"/>
    <w:rsid w:val="00963859"/>
    <w:rsid w:val="00965801"/>
    <w:rsid w:val="009665DD"/>
    <w:rsid w:val="00967384"/>
    <w:rsid w:val="00967D65"/>
    <w:rsid w:val="00971795"/>
    <w:rsid w:val="00971CBD"/>
    <w:rsid w:val="00971EA1"/>
    <w:rsid w:val="00972596"/>
    <w:rsid w:val="009732B5"/>
    <w:rsid w:val="00973A5E"/>
    <w:rsid w:val="00974BC2"/>
    <w:rsid w:val="00975C32"/>
    <w:rsid w:val="0097779A"/>
    <w:rsid w:val="00980CFE"/>
    <w:rsid w:val="00981656"/>
    <w:rsid w:val="0098201A"/>
    <w:rsid w:val="00983DD8"/>
    <w:rsid w:val="009847C5"/>
    <w:rsid w:val="009862FA"/>
    <w:rsid w:val="0098649E"/>
    <w:rsid w:val="009864BC"/>
    <w:rsid w:val="009864EB"/>
    <w:rsid w:val="00987C9F"/>
    <w:rsid w:val="00991568"/>
    <w:rsid w:val="009919CC"/>
    <w:rsid w:val="00992539"/>
    <w:rsid w:val="00992BB2"/>
    <w:rsid w:val="009948B2"/>
    <w:rsid w:val="00994BDD"/>
    <w:rsid w:val="00996829"/>
    <w:rsid w:val="00996CE4"/>
    <w:rsid w:val="009A17A5"/>
    <w:rsid w:val="009A1C5D"/>
    <w:rsid w:val="009A1EE5"/>
    <w:rsid w:val="009A289C"/>
    <w:rsid w:val="009A4869"/>
    <w:rsid w:val="009A4AD5"/>
    <w:rsid w:val="009A6912"/>
    <w:rsid w:val="009A6B9C"/>
    <w:rsid w:val="009A7200"/>
    <w:rsid w:val="009B0D6D"/>
    <w:rsid w:val="009B3798"/>
    <w:rsid w:val="009B4668"/>
    <w:rsid w:val="009B4F5F"/>
    <w:rsid w:val="009B5A28"/>
    <w:rsid w:val="009B63A5"/>
    <w:rsid w:val="009B6BA4"/>
    <w:rsid w:val="009C25AA"/>
    <w:rsid w:val="009C39A9"/>
    <w:rsid w:val="009C4968"/>
    <w:rsid w:val="009C4A70"/>
    <w:rsid w:val="009C527F"/>
    <w:rsid w:val="009C53E8"/>
    <w:rsid w:val="009D1BF3"/>
    <w:rsid w:val="009D1C3D"/>
    <w:rsid w:val="009D1DEC"/>
    <w:rsid w:val="009D30BB"/>
    <w:rsid w:val="009D3E23"/>
    <w:rsid w:val="009D499A"/>
    <w:rsid w:val="009D49B7"/>
    <w:rsid w:val="009D6402"/>
    <w:rsid w:val="009D682E"/>
    <w:rsid w:val="009D6AE2"/>
    <w:rsid w:val="009E074B"/>
    <w:rsid w:val="009E2B6D"/>
    <w:rsid w:val="009E37D4"/>
    <w:rsid w:val="009E40EB"/>
    <w:rsid w:val="009E4AC6"/>
    <w:rsid w:val="009E6A87"/>
    <w:rsid w:val="009E7311"/>
    <w:rsid w:val="009F0472"/>
    <w:rsid w:val="009F0B46"/>
    <w:rsid w:val="009F128C"/>
    <w:rsid w:val="009F1A7A"/>
    <w:rsid w:val="009F257F"/>
    <w:rsid w:val="009F7D9A"/>
    <w:rsid w:val="00A00E1E"/>
    <w:rsid w:val="00A03F14"/>
    <w:rsid w:val="00A04D5E"/>
    <w:rsid w:val="00A053C6"/>
    <w:rsid w:val="00A05867"/>
    <w:rsid w:val="00A059A3"/>
    <w:rsid w:val="00A05CE9"/>
    <w:rsid w:val="00A0628F"/>
    <w:rsid w:val="00A07D53"/>
    <w:rsid w:val="00A10BA3"/>
    <w:rsid w:val="00A117A9"/>
    <w:rsid w:val="00A11985"/>
    <w:rsid w:val="00A12454"/>
    <w:rsid w:val="00A12D74"/>
    <w:rsid w:val="00A14FAA"/>
    <w:rsid w:val="00A15839"/>
    <w:rsid w:val="00A15BA0"/>
    <w:rsid w:val="00A17DED"/>
    <w:rsid w:val="00A202D0"/>
    <w:rsid w:val="00A2170D"/>
    <w:rsid w:val="00A22564"/>
    <w:rsid w:val="00A25898"/>
    <w:rsid w:val="00A26286"/>
    <w:rsid w:val="00A263FA"/>
    <w:rsid w:val="00A3002B"/>
    <w:rsid w:val="00A33BD3"/>
    <w:rsid w:val="00A35A81"/>
    <w:rsid w:val="00A36381"/>
    <w:rsid w:val="00A3781E"/>
    <w:rsid w:val="00A40916"/>
    <w:rsid w:val="00A40B41"/>
    <w:rsid w:val="00A4134F"/>
    <w:rsid w:val="00A42A2B"/>
    <w:rsid w:val="00A42F55"/>
    <w:rsid w:val="00A45A66"/>
    <w:rsid w:val="00A45EAF"/>
    <w:rsid w:val="00A46ED1"/>
    <w:rsid w:val="00A476CE"/>
    <w:rsid w:val="00A50206"/>
    <w:rsid w:val="00A50BCD"/>
    <w:rsid w:val="00A51DD8"/>
    <w:rsid w:val="00A5299E"/>
    <w:rsid w:val="00A53AD1"/>
    <w:rsid w:val="00A54E10"/>
    <w:rsid w:val="00A55A25"/>
    <w:rsid w:val="00A57177"/>
    <w:rsid w:val="00A60218"/>
    <w:rsid w:val="00A60E15"/>
    <w:rsid w:val="00A617CB"/>
    <w:rsid w:val="00A61D05"/>
    <w:rsid w:val="00A62B6A"/>
    <w:rsid w:val="00A634F9"/>
    <w:rsid w:val="00A64825"/>
    <w:rsid w:val="00A66226"/>
    <w:rsid w:val="00A667E6"/>
    <w:rsid w:val="00A71E62"/>
    <w:rsid w:val="00A72451"/>
    <w:rsid w:val="00A74010"/>
    <w:rsid w:val="00A74EB7"/>
    <w:rsid w:val="00A75063"/>
    <w:rsid w:val="00A75487"/>
    <w:rsid w:val="00A77241"/>
    <w:rsid w:val="00A77F91"/>
    <w:rsid w:val="00A80D4D"/>
    <w:rsid w:val="00A817B5"/>
    <w:rsid w:val="00A824E7"/>
    <w:rsid w:val="00A8284A"/>
    <w:rsid w:val="00A83997"/>
    <w:rsid w:val="00A83AF9"/>
    <w:rsid w:val="00A83D57"/>
    <w:rsid w:val="00A84127"/>
    <w:rsid w:val="00A845FA"/>
    <w:rsid w:val="00A869AD"/>
    <w:rsid w:val="00A91EC2"/>
    <w:rsid w:val="00A9233B"/>
    <w:rsid w:val="00A94830"/>
    <w:rsid w:val="00A94F20"/>
    <w:rsid w:val="00A970BE"/>
    <w:rsid w:val="00A97B0F"/>
    <w:rsid w:val="00AA1826"/>
    <w:rsid w:val="00AA2C00"/>
    <w:rsid w:val="00AA36B7"/>
    <w:rsid w:val="00AA5D91"/>
    <w:rsid w:val="00AA5FDD"/>
    <w:rsid w:val="00AA69A1"/>
    <w:rsid w:val="00AA7981"/>
    <w:rsid w:val="00AB0815"/>
    <w:rsid w:val="00AB122E"/>
    <w:rsid w:val="00AB5B0F"/>
    <w:rsid w:val="00AB65A7"/>
    <w:rsid w:val="00AB770F"/>
    <w:rsid w:val="00AC21CD"/>
    <w:rsid w:val="00AC2884"/>
    <w:rsid w:val="00AC4A8A"/>
    <w:rsid w:val="00AC4B91"/>
    <w:rsid w:val="00AC5CE5"/>
    <w:rsid w:val="00AC77E2"/>
    <w:rsid w:val="00AC7C48"/>
    <w:rsid w:val="00AD013B"/>
    <w:rsid w:val="00AD0404"/>
    <w:rsid w:val="00AD1653"/>
    <w:rsid w:val="00AD233D"/>
    <w:rsid w:val="00AD3D7C"/>
    <w:rsid w:val="00AD479B"/>
    <w:rsid w:val="00AD4CBB"/>
    <w:rsid w:val="00AD4D8B"/>
    <w:rsid w:val="00AD4FEE"/>
    <w:rsid w:val="00AD6DCF"/>
    <w:rsid w:val="00AD7337"/>
    <w:rsid w:val="00AD76EB"/>
    <w:rsid w:val="00AE0292"/>
    <w:rsid w:val="00AE0C17"/>
    <w:rsid w:val="00AE2291"/>
    <w:rsid w:val="00AE29D9"/>
    <w:rsid w:val="00AE2FE1"/>
    <w:rsid w:val="00AE4165"/>
    <w:rsid w:val="00AE43B8"/>
    <w:rsid w:val="00AE63B6"/>
    <w:rsid w:val="00AE6855"/>
    <w:rsid w:val="00AE6F20"/>
    <w:rsid w:val="00AE71AA"/>
    <w:rsid w:val="00AE75CA"/>
    <w:rsid w:val="00AF2A94"/>
    <w:rsid w:val="00AF2ED6"/>
    <w:rsid w:val="00AF4811"/>
    <w:rsid w:val="00AF66E8"/>
    <w:rsid w:val="00AF79FE"/>
    <w:rsid w:val="00B00EC3"/>
    <w:rsid w:val="00B00F6B"/>
    <w:rsid w:val="00B0153E"/>
    <w:rsid w:val="00B0230A"/>
    <w:rsid w:val="00B04CED"/>
    <w:rsid w:val="00B05B40"/>
    <w:rsid w:val="00B0606C"/>
    <w:rsid w:val="00B0684D"/>
    <w:rsid w:val="00B06F2D"/>
    <w:rsid w:val="00B071B8"/>
    <w:rsid w:val="00B138F9"/>
    <w:rsid w:val="00B1413F"/>
    <w:rsid w:val="00B141A2"/>
    <w:rsid w:val="00B147AA"/>
    <w:rsid w:val="00B15830"/>
    <w:rsid w:val="00B17815"/>
    <w:rsid w:val="00B17E19"/>
    <w:rsid w:val="00B21A36"/>
    <w:rsid w:val="00B2233C"/>
    <w:rsid w:val="00B22AA2"/>
    <w:rsid w:val="00B23091"/>
    <w:rsid w:val="00B26B72"/>
    <w:rsid w:val="00B27E12"/>
    <w:rsid w:val="00B300D9"/>
    <w:rsid w:val="00B312DB"/>
    <w:rsid w:val="00B31CF9"/>
    <w:rsid w:val="00B32863"/>
    <w:rsid w:val="00B32A6C"/>
    <w:rsid w:val="00B338C2"/>
    <w:rsid w:val="00B340E1"/>
    <w:rsid w:val="00B34F81"/>
    <w:rsid w:val="00B359EE"/>
    <w:rsid w:val="00B379D5"/>
    <w:rsid w:val="00B37B44"/>
    <w:rsid w:val="00B4037F"/>
    <w:rsid w:val="00B41CE4"/>
    <w:rsid w:val="00B42793"/>
    <w:rsid w:val="00B43FEC"/>
    <w:rsid w:val="00B44D5D"/>
    <w:rsid w:val="00B47A6D"/>
    <w:rsid w:val="00B5292A"/>
    <w:rsid w:val="00B53A63"/>
    <w:rsid w:val="00B5414B"/>
    <w:rsid w:val="00B5469F"/>
    <w:rsid w:val="00B54F4B"/>
    <w:rsid w:val="00B54F75"/>
    <w:rsid w:val="00B5702F"/>
    <w:rsid w:val="00B63060"/>
    <w:rsid w:val="00B64420"/>
    <w:rsid w:val="00B66EAC"/>
    <w:rsid w:val="00B6717A"/>
    <w:rsid w:val="00B7034E"/>
    <w:rsid w:val="00B705C5"/>
    <w:rsid w:val="00B7143B"/>
    <w:rsid w:val="00B727D1"/>
    <w:rsid w:val="00B73C70"/>
    <w:rsid w:val="00B75F9E"/>
    <w:rsid w:val="00B76476"/>
    <w:rsid w:val="00B77D7A"/>
    <w:rsid w:val="00B77E93"/>
    <w:rsid w:val="00B80A9D"/>
    <w:rsid w:val="00B8106D"/>
    <w:rsid w:val="00B8290F"/>
    <w:rsid w:val="00B82A9E"/>
    <w:rsid w:val="00B83312"/>
    <w:rsid w:val="00B845DD"/>
    <w:rsid w:val="00B86583"/>
    <w:rsid w:val="00B91A46"/>
    <w:rsid w:val="00B91EA7"/>
    <w:rsid w:val="00B94EB1"/>
    <w:rsid w:val="00B95CB6"/>
    <w:rsid w:val="00B95CD8"/>
    <w:rsid w:val="00B97352"/>
    <w:rsid w:val="00B97C08"/>
    <w:rsid w:val="00BA1006"/>
    <w:rsid w:val="00BA1C4A"/>
    <w:rsid w:val="00BA1C65"/>
    <w:rsid w:val="00BA2745"/>
    <w:rsid w:val="00BA2BD3"/>
    <w:rsid w:val="00BA2C89"/>
    <w:rsid w:val="00BA3879"/>
    <w:rsid w:val="00BA3ED8"/>
    <w:rsid w:val="00BA4711"/>
    <w:rsid w:val="00BA488B"/>
    <w:rsid w:val="00BA5EEE"/>
    <w:rsid w:val="00BA703E"/>
    <w:rsid w:val="00BA74CA"/>
    <w:rsid w:val="00BA7879"/>
    <w:rsid w:val="00BB0034"/>
    <w:rsid w:val="00BB1E1C"/>
    <w:rsid w:val="00BB2A66"/>
    <w:rsid w:val="00BB358A"/>
    <w:rsid w:val="00BB6290"/>
    <w:rsid w:val="00BB657A"/>
    <w:rsid w:val="00BB7CC6"/>
    <w:rsid w:val="00BC0E02"/>
    <w:rsid w:val="00BC1D03"/>
    <w:rsid w:val="00BC391D"/>
    <w:rsid w:val="00BC3B5C"/>
    <w:rsid w:val="00BC567E"/>
    <w:rsid w:val="00BC5AB5"/>
    <w:rsid w:val="00BC6082"/>
    <w:rsid w:val="00BD20B9"/>
    <w:rsid w:val="00BD297C"/>
    <w:rsid w:val="00BD2B70"/>
    <w:rsid w:val="00BD675F"/>
    <w:rsid w:val="00BD73DD"/>
    <w:rsid w:val="00BE072D"/>
    <w:rsid w:val="00BE1455"/>
    <w:rsid w:val="00BE191A"/>
    <w:rsid w:val="00BE2926"/>
    <w:rsid w:val="00BE29D7"/>
    <w:rsid w:val="00BE323F"/>
    <w:rsid w:val="00BE4CF4"/>
    <w:rsid w:val="00BE597B"/>
    <w:rsid w:val="00BE6E72"/>
    <w:rsid w:val="00BF1B46"/>
    <w:rsid w:val="00BF2726"/>
    <w:rsid w:val="00BF429F"/>
    <w:rsid w:val="00BF49F0"/>
    <w:rsid w:val="00BF4ECA"/>
    <w:rsid w:val="00BF588D"/>
    <w:rsid w:val="00C0067B"/>
    <w:rsid w:val="00C022F6"/>
    <w:rsid w:val="00C03342"/>
    <w:rsid w:val="00C03673"/>
    <w:rsid w:val="00C03BC2"/>
    <w:rsid w:val="00C064D1"/>
    <w:rsid w:val="00C10F35"/>
    <w:rsid w:val="00C11657"/>
    <w:rsid w:val="00C1180F"/>
    <w:rsid w:val="00C127AE"/>
    <w:rsid w:val="00C12D0F"/>
    <w:rsid w:val="00C1577E"/>
    <w:rsid w:val="00C15C6B"/>
    <w:rsid w:val="00C15EAE"/>
    <w:rsid w:val="00C17EC8"/>
    <w:rsid w:val="00C202C8"/>
    <w:rsid w:val="00C21CC4"/>
    <w:rsid w:val="00C23D69"/>
    <w:rsid w:val="00C30C6D"/>
    <w:rsid w:val="00C31AE9"/>
    <w:rsid w:val="00C324C9"/>
    <w:rsid w:val="00C326D9"/>
    <w:rsid w:val="00C32A91"/>
    <w:rsid w:val="00C3657D"/>
    <w:rsid w:val="00C36D3B"/>
    <w:rsid w:val="00C373BD"/>
    <w:rsid w:val="00C424D6"/>
    <w:rsid w:val="00C42942"/>
    <w:rsid w:val="00C42E1C"/>
    <w:rsid w:val="00C42E1F"/>
    <w:rsid w:val="00C4303A"/>
    <w:rsid w:val="00C43265"/>
    <w:rsid w:val="00C43A94"/>
    <w:rsid w:val="00C43DF4"/>
    <w:rsid w:val="00C45089"/>
    <w:rsid w:val="00C45347"/>
    <w:rsid w:val="00C454A8"/>
    <w:rsid w:val="00C47B11"/>
    <w:rsid w:val="00C5023B"/>
    <w:rsid w:val="00C510CB"/>
    <w:rsid w:val="00C51F30"/>
    <w:rsid w:val="00C53029"/>
    <w:rsid w:val="00C5354A"/>
    <w:rsid w:val="00C54E50"/>
    <w:rsid w:val="00C56E8C"/>
    <w:rsid w:val="00C578A4"/>
    <w:rsid w:val="00C57ED9"/>
    <w:rsid w:val="00C57F59"/>
    <w:rsid w:val="00C604FD"/>
    <w:rsid w:val="00C6059C"/>
    <w:rsid w:val="00C60A8C"/>
    <w:rsid w:val="00C61CCB"/>
    <w:rsid w:val="00C6293C"/>
    <w:rsid w:val="00C62DBE"/>
    <w:rsid w:val="00C70499"/>
    <w:rsid w:val="00C70D30"/>
    <w:rsid w:val="00C7364D"/>
    <w:rsid w:val="00C73BDB"/>
    <w:rsid w:val="00C76E5A"/>
    <w:rsid w:val="00C7713A"/>
    <w:rsid w:val="00C7724E"/>
    <w:rsid w:val="00C8075E"/>
    <w:rsid w:val="00C819FA"/>
    <w:rsid w:val="00C81A7E"/>
    <w:rsid w:val="00C81FB7"/>
    <w:rsid w:val="00C824DA"/>
    <w:rsid w:val="00C83FF9"/>
    <w:rsid w:val="00C854A2"/>
    <w:rsid w:val="00C85A96"/>
    <w:rsid w:val="00C86127"/>
    <w:rsid w:val="00C8675C"/>
    <w:rsid w:val="00C9014D"/>
    <w:rsid w:val="00C908DF"/>
    <w:rsid w:val="00C92D00"/>
    <w:rsid w:val="00C92DA9"/>
    <w:rsid w:val="00C93BE8"/>
    <w:rsid w:val="00C93C1A"/>
    <w:rsid w:val="00C9490C"/>
    <w:rsid w:val="00C95C32"/>
    <w:rsid w:val="00C9618A"/>
    <w:rsid w:val="00C9748C"/>
    <w:rsid w:val="00C97E94"/>
    <w:rsid w:val="00CA0A77"/>
    <w:rsid w:val="00CA0B15"/>
    <w:rsid w:val="00CA1CC7"/>
    <w:rsid w:val="00CA2860"/>
    <w:rsid w:val="00CA2C82"/>
    <w:rsid w:val="00CA374A"/>
    <w:rsid w:val="00CA3827"/>
    <w:rsid w:val="00CA48A7"/>
    <w:rsid w:val="00CA559B"/>
    <w:rsid w:val="00CA5BE9"/>
    <w:rsid w:val="00CB0879"/>
    <w:rsid w:val="00CB36E5"/>
    <w:rsid w:val="00CB3752"/>
    <w:rsid w:val="00CB4421"/>
    <w:rsid w:val="00CB5AEB"/>
    <w:rsid w:val="00CB5B8F"/>
    <w:rsid w:val="00CC00B2"/>
    <w:rsid w:val="00CC02B4"/>
    <w:rsid w:val="00CC1637"/>
    <w:rsid w:val="00CC17FF"/>
    <w:rsid w:val="00CC1D19"/>
    <w:rsid w:val="00CC2C45"/>
    <w:rsid w:val="00CC38D9"/>
    <w:rsid w:val="00CC5193"/>
    <w:rsid w:val="00CD01B9"/>
    <w:rsid w:val="00CD08B1"/>
    <w:rsid w:val="00CD1573"/>
    <w:rsid w:val="00CD179E"/>
    <w:rsid w:val="00CD2192"/>
    <w:rsid w:val="00CD3A24"/>
    <w:rsid w:val="00CD455B"/>
    <w:rsid w:val="00CD4B8E"/>
    <w:rsid w:val="00CD76DB"/>
    <w:rsid w:val="00CD7D69"/>
    <w:rsid w:val="00CD7E25"/>
    <w:rsid w:val="00CE26D8"/>
    <w:rsid w:val="00CE2860"/>
    <w:rsid w:val="00CE47EA"/>
    <w:rsid w:val="00CE7372"/>
    <w:rsid w:val="00CF10DE"/>
    <w:rsid w:val="00CF1AF3"/>
    <w:rsid w:val="00CF4B9F"/>
    <w:rsid w:val="00CF72D1"/>
    <w:rsid w:val="00D00F71"/>
    <w:rsid w:val="00D028E4"/>
    <w:rsid w:val="00D033D3"/>
    <w:rsid w:val="00D04413"/>
    <w:rsid w:val="00D04C21"/>
    <w:rsid w:val="00D1108D"/>
    <w:rsid w:val="00D1180B"/>
    <w:rsid w:val="00D1489F"/>
    <w:rsid w:val="00D16DF9"/>
    <w:rsid w:val="00D17D08"/>
    <w:rsid w:val="00D17E2D"/>
    <w:rsid w:val="00D200F7"/>
    <w:rsid w:val="00D2258F"/>
    <w:rsid w:val="00D26ABA"/>
    <w:rsid w:val="00D27B59"/>
    <w:rsid w:val="00D32942"/>
    <w:rsid w:val="00D32EB3"/>
    <w:rsid w:val="00D33DAD"/>
    <w:rsid w:val="00D34154"/>
    <w:rsid w:val="00D34872"/>
    <w:rsid w:val="00D35183"/>
    <w:rsid w:val="00D35B24"/>
    <w:rsid w:val="00D36C35"/>
    <w:rsid w:val="00D37127"/>
    <w:rsid w:val="00D42064"/>
    <w:rsid w:val="00D44BC2"/>
    <w:rsid w:val="00D44E19"/>
    <w:rsid w:val="00D44F22"/>
    <w:rsid w:val="00D469C9"/>
    <w:rsid w:val="00D46B28"/>
    <w:rsid w:val="00D46F5C"/>
    <w:rsid w:val="00D47462"/>
    <w:rsid w:val="00D50EEC"/>
    <w:rsid w:val="00D51272"/>
    <w:rsid w:val="00D532C7"/>
    <w:rsid w:val="00D53DE5"/>
    <w:rsid w:val="00D54858"/>
    <w:rsid w:val="00D5486D"/>
    <w:rsid w:val="00D557A9"/>
    <w:rsid w:val="00D55BB2"/>
    <w:rsid w:val="00D563C6"/>
    <w:rsid w:val="00D571F1"/>
    <w:rsid w:val="00D57A8A"/>
    <w:rsid w:val="00D57A95"/>
    <w:rsid w:val="00D57E85"/>
    <w:rsid w:val="00D57F77"/>
    <w:rsid w:val="00D6031B"/>
    <w:rsid w:val="00D62065"/>
    <w:rsid w:val="00D642A2"/>
    <w:rsid w:val="00D64F1A"/>
    <w:rsid w:val="00D65562"/>
    <w:rsid w:val="00D66230"/>
    <w:rsid w:val="00D66675"/>
    <w:rsid w:val="00D670CA"/>
    <w:rsid w:val="00D710AC"/>
    <w:rsid w:val="00D73EED"/>
    <w:rsid w:val="00D75269"/>
    <w:rsid w:val="00D77A37"/>
    <w:rsid w:val="00D77D42"/>
    <w:rsid w:val="00D811C8"/>
    <w:rsid w:val="00D83274"/>
    <w:rsid w:val="00D83903"/>
    <w:rsid w:val="00D83F7E"/>
    <w:rsid w:val="00D845E6"/>
    <w:rsid w:val="00D84D03"/>
    <w:rsid w:val="00D862CD"/>
    <w:rsid w:val="00D86654"/>
    <w:rsid w:val="00D9097E"/>
    <w:rsid w:val="00D91A37"/>
    <w:rsid w:val="00D91DB8"/>
    <w:rsid w:val="00D92220"/>
    <w:rsid w:val="00D93611"/>
    <w:rsid w:val="00D9431E"/>
    <w:rsid w:val="00D9474A"/>
    <w:rsid w:val="00D94EB0"/>
    <w:rsid w:val="00D950A8"/>
    <w:rsid w:val="00D96011"/>
    <w:rsid w:val="00D96853"/>
    <w:rsid w:val="00D979D1"/>
    <w:rsid w:val="00DA1096"/>
    <w:rsid w:val="00DA2079"/>
    <w:rsid w:val="00DB1346"/>
    <w:rsid w:val="00DB1992"/>
    <w:rsid w:val="00DB1FDC"/>
    <w:rsid w:val="00DB2A35"/>
    <w:rsid w:val="00DB314F"/>
    <w:rsid w:val="00DB3D79"/>
    <w:rsid w:val="00DB3DD6"/>
    <w:rsid w:val="00DB52C4"/>
    <w:rsid w:val="00DB6479"/>
    <w:rsid w:val="00DB7167"/>
    <w:rsid w:val="00DC0806"/>
    <w:rsid w:val="00DC11C2"/>
    <w:rsid w:val="00DC16E8"/>
    <w:rsid w:val="00DC38D6"/>
    <w:rsid w:val="00DC43F4"/>
    <w:rsid w:val="00DC4D1E"/>
    <w:rsid w:val="00DC76ED"/>
    <w:rsid w:val="00DC796E"/>
    <w:rsid w:val="00DC7E8D"/>
    <w:rsid w:val="00DD47FE"/>
    <w:rsid w:val="00DD52DC"/>
    <w:rsid w:val="00DD6400"/>
    <w:rsid w:val="00DD6C26"/>
    <w:rsid w:val="00DD779E"/>
    <w:rsid w:val="00DD7DDB"/>
    <w:rsid w:val="00DE08CA"/>
    <w:rsid w:val="00DE1D70"/>
    <w:rsid w:val="00DE2A46"/>
    <w:rsid w:val="00DE38E0"/>
    <w:rsid w:val="00DE42DC"/>
    <w:rsid w:val="00DE44FD"/>
    <w:rsid w:val="00DE4C8A"/>
    <w:rsid w:val="00DE5077"/>
    <w:rsid w:val="00DE53C4"/>
    <w:rsid w:val="00DE6936"/>
    <w:rsid w:val="00DF031E"/>
    <w:rsid w:val="00DF613B"/>
    <w:rsid w:val="00DF6654"/>
    <w:rsid w:val="00DF765D"/>
    <w:rsid w:val="00E00935"/>
    <w:rsid w:val="00E00E0F"/>
    <w:rsid w:val="00E01871"/>
    <w:rsid w:val="00E02A35"/>
    <w:rsid w:val="00E02EFC"/>
    <w:rsid w:val="00E041CC"/>
    <w:rsid w:val="00E04EEB"/>
    <w:rsid w:val="00E055C7"/>
    <w:rsid w:val="00E07552"/>
    <w:rsid w:val="00E07C74"/>
    <w:rsid w:val="00E10443"/>
    <w:rsid w:val="00E131F7"/>
    <w:rsid w:val="00E14596"/>
    <w:rsid w:val="00E214DF"/>
    <w:rsid w:val="00E21615"/>
    <w:rsid w:val="00E2257C"/>
    <w:rsid w:val="00E23CAA"/>
    <w:rsid w:val="00E32304"/>
    <w:rsid w:val="00E32963"/>
    <w:rsid w:val="00E3426C"/>
    <w:rsid w:val="00E3438C"/>
    <w:rsid w:val="00E34772"/>
    <w:rsid w:val="00E3484B"/>
    <w:rsid w:val="00E349CE"/>
    <w:rsid w:val="00E3535F"/>
    <w:rsid w:val="00E35961"/>
    <w:rsid w:val="00E3783C"/>
    <w:rsid w:val="00E40EE6"/>
    <w:rsid w:val="00E419A3"/>
    <w:rsid w:val="00E41B22"/>
    <w:rsid w:val="00E45730"/>
    <w:rsid w:val="00E45B19"/>
    <w:rsid w:val="00E466F2"/>
    <w:rsid w:val="00E472D8"/>
    <w:rsid w:val="00E47D39"/>
    <w:rsid w:val="00E50146"/>
    <w:rsid w:val="00E50306"/>
    <w:rsid w:val="00E50C94"/>
    <w:rsid w:val="00E51352"/>
    <w:rsid w:val="00E51AEA"/>
    <w:rsid w:val="00E51F38"/>
    <w:rsid w:val="00E51F94"/>
    <w:rsid w:val="00E52B64"/>
    <w:rsid w:val="00E52FA4"/>
    <w:rsid w:val="00E53FEB"/>
    <w:rsid w:val="00E54A8C"/>
    <w:rsid w:val="00E54B7B"/>
    <w:rsid w:val="00E550B6"/>
    <w:rsid w:val="00E55EAD"/>
    <w:rsid w:val="00E60EE6"/>
    <w:rsid w:val="00E632D8"/>
    <w:rsid w:val="00E64351"/>
    <w:rsid w:val="00E64FD5"/>
    <w:rsid w:val="00E662A8"/>
    <w:rsid w:val="00E673EA"/>
    <w:rsid w:val="00E6772F"/>
    <w:rsid w:val="00E70EB5"/>
    <w:rsid w:val="00E71DB9"/>
    <w:rsid w:val="00E71FE6"/>
    <w:rsid w:val="00E7276A"/>
    <w:rsid w:val="00E73748"/>
    <w:rsid w:val="00E7592B"/>
    <w:rsid w:val="00E76818"/>
    <w:rsid w:val="00E7792C"/>
    <w:rsid w:val="00E81EE8"/>
    <w:rsid w:val="00E82765"/>
    <w:rsid w:val="00E8297D"/>
    <w:rsid w:val="00E83597"/>
    <w:rsid w:val="00E83FED"/>
    <w:rsid w:val="00E87D30"/>
    <w:rsid w:val="00E87DF2"/>
    <w:rsid w:val="00E9089B"/>
    <w:rsid w:val="00E90F09"/>
    <w:rsid w:val="00E936BE"/>
    <w:rsid w:val="00E95827"/>
    <w:rsid w:val="00E95EE4"/>
    <w:rsid w:val="00E97DC2"/>
    <w:rsid w:val="00EA1F0F"/>
    <w:rsid w:val="00EA2106"/>
    <w:rsid w:val="00EA3740"/>
    <w:rsid w:val="00EA37F0"/>
    <w:rsid w:val="00EA414E"/>
    <w:rsid w:val="00EA67DF"/>
    <w:rsid w:val="00EA7291"/>
    <w:rsid w:val="00EB1880"/>
    <w:rsid w:val="00EB1B3C"/>
    <w:rsid w:val="00EB1F8A"/>
    <w:rsid w:val="00EB2723"/>
    <w:rsid w:val="00EB2747"/>
    <w:rsid w:val="00EB2D67"/>
    <w:rsid w:val="00EB36D6"/>
    <w:rsid w:val="00EB3F3A"/>
    <w:rsid w:val="00EB4505"/>
    <w:rsid w:val="00EB4ECE"/>
    <w:rsid w:val="00EB6006"/>
    <w:rsid w:val="00EB62F2"/>
    <w:rsid w:val="00EC2BF2"/>
    <w:rsid w:val="00EC38CF"/>
    <w:rsid w:val="00EC4012"/>
    <w:rsid w:val="00EC5259"/>
    <w:rsid w:val="00EC557B"/>
    <w:rsid w:val="00EC68F4"/>
    <w:rsid w:val="00ED02B0"/>
    <w:rsid w:val="00ED121F"/>
    <w:rsid w:val="00ED1841"/>
    <w:rsid w:val="00ED195C"/>
    <w:rsid w:val="00ED389E"/>
    <w:rsid w:val="00ED3C5D"/>
    <w:rsid w:val="00ED60D1"/>
    <w:rsid w:val="00ED750E"/>
    <w:rsid w:val="00ED7FFD"/>
    <w:rsid w:val="00EE0CC0"/>
    <w:rsid w:val="00EE1050"/>
    <w:rsid w:val="00EE238F"/>
    <w:rsid w:val="00EE2A77"/>
    <w:rsid w:val="00EE4A82"/>
    <w:rsid w:val="00EE4E35"/>
    <w:rsid w:val="00EE656D"/>
    <w:rsid w:val="00EE69A7"/>
    <w:rsid w:val="00EE78D7"/>
    <w:rsid w:val="00EE7B05"/>
    <w:rsid w:val="00EF1922"/>
    <w:rsid w:val="00EF4BC6"/>
    <w:rsid w:val="00EF6E7E"/>
    <w:rsid w:val="00EF7046"/>
    <w:rsid w:val="00F028E4"/>
    <w:rsid w:val="00F02CA2"/>
    <w:rsid w:val="00F036D5"/>
    <w:rsid w:val="00F03D26"/>
    <w:rsid w:val="00F04450"/>
    <w:rsid w:val="00F04C93"/>
    <w:rsid w:val="00F05094"/>
    <w:rsid w:val="00F05FF0"/>
    <w:rsid w:val="00F06A3F"/>
    <w:rsid w:val="00F06A46"/>
    <w:rsid w:val="00F06DE0"/>
    <w:rsid w:val="00F072CB"/>
    <w:rsid w:val="00F072F7"/>
    <w:rsid w:val="00F073BD"/>
    <w:rsid w:val="00F07600"/>
    <w:rsid w:val="00F07F1E"/>
    <w:rsid w:val="00F101DF"/>
    <w:rsid w:val="00F10A00"/>
    <w:rsid w:val="00F119E5"/>
    <w:rsid w:val="00F13FE7"/>
    <w:rsid w:val="00F14FAB"/>
    <w:rsid w:val="00F15094"/>
    <w:rsid w:val="00F162FC"/>
    <w:rsid w:val="00F177A8"/>
    <w:rsid w:val="00F20451"/>
    <w:rsid w:val="00F2749F"/>
    <w:rsid w:val="00F31484"/>
    <w:rsid w:val="00F32522"/>
    <w:rsid w:val="00F333B9"/>
    <w:rsid w:val="00F33B9E"/>
    <w:rsid w:val="00F340AE"/>
    <w:rsid w:val="00F341D3"/>
    <w:rsid w:val="00F3502D"/>
    <w:rsid w:val="00F36648"/>
    <w:rsid w:val="00F36A2A"/>
    <w:rsid w:val="00F379F5"/>
    <w:rsid w:val="00F41A45"/>
    <w:rsid w:val="00F4212C"/>
    <w:rsid w:val="00F43EC1"/>
    <w:rsid w:val="00F45CDD"/>
    <w:rsid w:val="00F46C21"/>
    <w:rsid w:val="00F50804"/>
    <w:rsid w:val="00F51380"/>
    <w:rsid w:val="00F55240"/>
    <w:rsid w:val="00F55DF2"/>
    <w:rsid w:val="00F56040"/>
    <w:rsid w:val="00F6019A"/>
    <w:rsid w:val="00F60A29"/>
    <w:rsid w:val="00F621AA"/>
    <w:rsid w:val="00F64B1F"/>
    <w:rsid w:val="00F654F5"/>
    <w:rsid w:val="00F66BE2"/>
    <w:rsid w:val="00F67839"/>
    <w:rsid w:val="00F67D86"/>
    <w:rsid w:val="00F70326"/>
    <w:rsid w:val="00F71384"/>
    <w:rsid w:val="00F7139D"/>
    <w:rsid w:val="00F750CD"/>
    <w:rsid w:val="00F7588C"/>
    <w:rsid w:val="00F75C55"/>
    <w:rsid w:val="00F81532"/>
    <w:rsid w:val="00F8273A"/>
    <w:rsid w:val="00F83246"/>
    <w:rsid w:val="00F845C9"/>
    <w:rsid w:val="00F85EE4"/>
    <w:rsid w:val="00F906BA"/>
    <w:rsid w:val="00F916F3"/>
    <w:rsid w:val="00F91CDC"/>
    <w:rsid w:val="00F93118"/>
    <w:rsid w:val="00F93C23"/>
    <w:rsid w:val="00F948D1"/>
    <w:rsid w:val="00F94BAD"/>
    <w:rsid w:val="00F94CF3"/>
    <w:rsid w:val="00F94D71"/>
    <w:rsid w:val="00F95E77"/>
    <w:rsid w:val="00F9675E"/>
    <w:rsid w:val="00F96B02"/>
    <w:rsid w:val="00F96F61"/>
    <w:rsid w:val="00F97F14"/>
    <w:rsid w:val="00F97F70"/>
    <w:rsid w:val="00FA04C6"/>
    <w:rsid w:val="00FA09FB"/>
    <w:rsid w:val="00FA4864"/>
    <w:rsid w:val="00FA5C80"/>
    <w:rsid w:val="00FA6438"/>
    <w:rsid w:val="00FA69C5"/>
    <w:rsid w:val="00FA6EA4"/>
    <w:rsid w:val="00FA7A05"/>
    <w:rsid w:val="00FB1463"/>
    <w:rsid w:val="00FB2408"/>
    <w:rsid w:val="00FB5323"/>
    <w:rsid w:val="00FB585E"/>
    <w:rsid w:val="00FB5FFA"/>
    <w:rsid w:val="00FB6DF6"/>
    <w:rsid w:val="00FB70AA"/>
    <w:rsid w:val="00FC0BCE"/>
    <w:rsid w:val="00FC180B"/>
    <w:rsid w:val="00FC22AF"/>
    <w:rsid w:val="00FC2687"/>
    <w:rsid w:val="00FC456C"/>
    <w:rsid w:val="00FC4793"/>
    <w:rsid w:val="00FC4F8A"/>
    <w:rsid w:val="00FC5213"/>
    <w:rsid w:val="00FC60BC"/>
    <w:rsid w:val="00FD0548"/>
    <w:rsid w:val="00FD2EBB"/>
    <w:rsid w:val="00FD37EF"/>
    <w:rsid w:val="00FD5045"/>
    <w:rsid w:val="00FD66F7"/>
    <w:rsid w:val="00FD73A2"/>
    <w:rsid w:val="00FD7B0F"/>
    <w:rsid w:val="00FD7EA1"/>
    <w:rsid w:val="00FE0DB7"/>
    <w:rsid w:val="00FE324F"/>
    <w:rsid w:val="00FE34B3"/>
    <w:rsid w:val="00FE37C9"/>
    <w:rsid w:val="00FE4E35"/>
    <w:rsid w:val="00FE5D24"/>
    <w:rsid w:val="00FE6311"/>
    <w:rsid w:val="00FE69AB"/>
    <w:rsid w:val="00FE7048"/>
    <w:rsid w:val="00FE7D18"/>
    <w:rsid w:val="00FF13ED"/>
    <w:rsid w:val="00FF1797"/>
    <w:rsid w:val="00FF222B"/>
    <w:rsid w:val="00FF2403"/>
    <w:rsid w:val="00FF3CA7"/>
    <w:rsid w:val="00FF461D"/>
    <w:rsid w:val="00FF4DC7"/>
    <w:rsid w:val="00FF6085"/>
    <w:rsid w:val="00FF6D34"/>
    <w:rsid w:val="00FF7B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42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54B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paragraph" w:styleId="Heading3">
    <w:name w:val="heading 3"/>
    <w:basedOn w:val="Normal"/>
    <w:next w:val="Normal"/>
    <w:link w:val="Heading3Char"/>
    <w:uiPriority w:val="9"/>
    <w:semiHidden/>
    <w:unhideWhenUsed/>
    <w:qFormat/>
    <w:rsid w:val="007754B6"/>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82608C"/>
    <w:pPr>
      <w:tabs>
        <w:tab w:val="center" w:pos="4513"/>
        <w:tab w:val="right" w:pos="9026"/>
      </w:tabs>
    </w:pPr>
  </w:style>
  <w:style w:type="character" w:customStyle="1" w:styleId="HeaderChar">
    <w:name w:val="Header Char"/>
    <w:basedOn w:val="DefaultParagraphFont"/>
    <w:link w:val="Header"/>
    <w:uiPriority w:val="99"/>
    <w:rsid w:val="0082608C"/>
    <w:rPr>
      <w:rFonts w:eastAsia="Times New Roman" w:cs="Times New Roman"/>
      <w:szCs w:val="24"/>
      <w:lang w:val="lv-LV" w:eastAsia="ru-RU"/>
    </w:rPr>
  </w:style>
  <w:style w:type="paragraph" w:styleId="Footer">
    <w:name w:val="footer"/>
    <w:basedOn w:val="Normal"/>
    <w:link w:val="FooterChar"/>
    <w:uiPriority w:val="99"/>
    <w:unhideWhenUsed/>
    <w:rsid w:val="0082608C"/>
    <w:pPr>
      <w:tabs>
        <w:tab w:val="center" w:pos="4513"/>
        <w:tab w:val="right" w:pos="9026"/>
      </w:tabs>
    </w:pPr>
  </w:style>
  <w:style w:type="character" w:customStyle="1" w:styleId="FooterChar">
    <w:name w:val="Footer Char"/>
    <w:basedOn w:val="DefaultParagraphFont"/>
    <w:link w:val="Footer"/>
    <w:uiPriority w:val="99"/>
    <w:rsid w:val="0082608C"/>
    <w:rPr>
      <w:rFonts w:eastAsia="Times New Roman" w:cs="Times New Roman"/>
      <w:szCs w:val="24"/>
      <w:lang w:val="lv-LV" w:eastAsia="ru-RU"/>
    </w:rPr>
  </w:style>
  <w:style w:type="character" w:styleId="Hyperlink">
    <w:name w:val="Hyperlink"/>
    <w:basedOn w:val="DefaultParagraphFont"/>
    <w:uiPriority w:val="99"/>
    <w:unhideWhenUsed/>
    <w:rsid w:val="00E41B22"/>
    <w:rPr>
      <w:color w:val="0563C1" w:themeColor="hyperlink"/>
      <w:u w:val="single"/>
    </w:rPr>
  </w:style>
  <w:style w:type="character" w:styleId="UnresolvedMention">
    <w:name w:val="Unresolved Mention"/>
    <w:basedOn w:val="DefaultParagraphFont"/>
    <w:uiPriority w:val="99"/>
    <w:semiHidden/>
    <w:unhideWhenUsed/>
    <w:rsid w:val="00E41B22"/>
    <w:rPr>
      <w:color w:val="605E5C"/>
      <w:shd w:val="clear" w:color="auto" w:fill="E1DFDD"/>
    </w:rPr>
  </w:style>
  <w:style w:type="character" w:customStyle="1" w:styleId="Bodytext2Italic">
    <w:name w:val="Body text (2) + Italic"/>
    <w:basedOn w:val="DefaultParagraphFont"/>
    <w:rsid w:val="00474233"/>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Bodytext9NotItalic">
    <w:name w:val="Body text (9) + Not Italic"/>
    <w:basedOn w:val="DefaultParagraphFont"/>
    <w:rsid w:val="00D46B28"/>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styleId="CommentReference">
    <w:name w:val="annotation reference"/>
    <w:basedOn w:val="DefaultParagraphFont"/>
    <w:uiPriority w:val="99"/>
    <w:semiHidden/>
    <w:unhideWhenUsed/>
    <w:rsid w:val="00FB6DF6"/>
    <w:rPr>
      <w:sz w:val="16"/>
      <w:szCs w:val="16"/>
    </w:rPr>
  </w:style>
  <w:style w:type="paragraph" w:styleId="CommentText">
    <w:name w:val="annotation text"/>
    <w:basedOn w:val="Normal"/>
    <w:link w:val="CommentTextChar"/>
    <w:uiPriority w:val="99"/>
    <w:unhideWhenUsed/>
    <w:rsid w:val="00FB6DF6"/>
    <w:rPr>
      <w:sz w:val="20"/>
      <w:szCs w:val="20"/>
    </w:rPr>
  </w:style>
  <w:style w:type="character" w:customStyle="1" w:styleId="CommentTextChar">
    <w:name w:val="Comment Text Char"/>
    <w:basedOn w:val="DefaultParagraphFont"/>
    <w:link w:val="CommentText"/>
    <w:uiPriority w:val="99"/>
    <w:rsid w:val="00FB6DF6"/>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B6DF6"/>
    <w:rPr>
      <w:b/>
      <w:bCs/>
    </w:rPr>
  </w:style>
  <w:style w:type="character" w:customStyle="1" w:styleId="CommentSubjectChar">
    <w:name w:val="Comment Subject Char"/>
    <w:basedOn w:val="CommentTextChar"/>
    <w:link w:val="CommentSubject"/>
    <w:uiPriority w:val="99"/>
    <w:semiHidden/>
    <w:rsid w:val="00FB6DF6"/>
    <w:rPr>
      <w:rFonts w:eastAsia="Times New Roman" w:cs="Times New Roman"/>
      <w:b/>
      <w:bCs/>
      <w:sz w:val="20"/>
      <w:szCs w:val="20"/>
      <w:lang w:val="lv-LV" w:eastAsia="ru-RU"/>
    </w:rPr>
  </w:style>
  <w:style w:type="paragraph" w:customStyle="1" w:styleId="Normal1">
    <w:name w:val="Normal1"/>
    <w:basedOn w:val="Normal"/>
    <w:rsid w:val="000837FF"/>
    <w:pPr>
      <w:spacing w:before="100" w:beforeAutospacing="1" w:after="100" w:afterAutospacing="1"/>
    </w:pPr>
    <w:rPr>
      <w:lang w:eastAsia="lv-LV"/>
    </w:rPr>
  </w:style>
  <w:style w:type="paragraph" w:customStyle="1" w:styleId="c01pointnumerotealtn">
    <w:name w:val="c01pointnumerotealtn"/>
    <w:basedOn w:val="Normal"/>
    <w:rsid w:val="00750800"/>
    <w:pPr>
      <w:spacing w:before="100" w:beforeAutospacing="1" w:after="100" w:afterAutospacing="1"/>
    </w:pPr>
    <w:rPr>
      <w:lang w:eastAsia="lv-LV"/>
    </w:rPr>
  </w:style>
  <w:style w:type="paragraph" w:styleId="Revision">
    <w:name w:val="Revision"/>
    <w:hidden/>
    <w:uiPriority w:val="99"/>
    <w:semiHidden/>
    <w:rsid w:val="00492EB7"/>
    <w:pPr>
      <w:spacing w:after="0" w:line="240" w:lineRule="auto"/>
    </w:pPr>
    <w:rPr>
      <w:rFonts w:eastAsia="Times New Roman" w:cs="Times New Roman"/>
      <w:szCs w:val="24"/>
      <w:lang w:val="lv-LV" w:eastAsia="ru-RU"/>
    </w:rPr>
  </w:style>
  <w:style w:type="paragraph" w:customStyle="1" w:styleId="doc-ti">
    <w:name w:val="doc-ti"/>
    <w:basedOn w:val="Normal"/>
    <w:rsid w:val="00B95CB6"/>
    <w:pPr>
      <w:spacing w:before="100" w:beforeAutospacing="1" w:after="100" w:afterAutospacing="1"/>
    </w:pPr>
    <w:rPr>
      <w:lang w:val="en-US" w:eastAsia="en-US"/>
    </w:rPr>
  </w:style>
  <w:style w:type="paragraph" w:customStyle="1" w:styleId="oj-sti-art">
    <w:name w:val="oj-sti-art"/>
    <w:basedOn w:val="Normal"/>
    <w:rsid w:val="007D7382"/>
    <w:pPr>
      <w:spacing w:before="100" w:beforeAutospacing="1" w:after="100" w:afterAutospacing="1"/>
    </w:pPr>
    <w:rPr>
      <w:lang w:val="en-US" w:eastAsia="en-US"/>
    </w:rPr>
  </w:style>
  <w:style w:type="paragraph" w:customStyle="1" w:styleId="oj-normal">
    <w:name w:val="oj-normal"/>
    <w:basedOn w:val="Normal"/>
    <w:rsid w:val="007D7382"/>
    <w:pPr>
      <w:spacing w:before="100" w:beforeAutospacing="1" w:after="100" w:afterAutospacing="1"/>
    </w:pPr>
    <w:rPr>
      <w:lang w:val="en-US" w:eastAsia="en-US"/>
    </w:rPr>
  </w:style>
  <w:style w:type="paragraph" w:customStyle="1" w:styleId="oj-ti-art">
    <w:name w:val="oj-ti-art"/>
    <w:basedOn w:val="Normal"/>
    <w:rsid w:val="007D7382"/>
    <w:pPr>
      <w:spacing w:before="100" w:beforeAutospacing="1" w:after="100" w:afterAutospacing="1"/>
    </w:pPr>
    <w:rPr>
      <w:lang w:val="en-US" w:eastAsia="en-US"/>
    </w:rPr>
  </w:style>
  <w:style w:type="paragraph" w:customStyle="1" w:styleId="oj-doc-ti">
    <w:name w:val="oj-doc-ti"/>
    <w:basedOn w:val="Normal"/>
    <w:rsid w:val="007D7382"/>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43A94"/>
    <w:rPr>
      <w:color w:val="954F72" w:themeColor="followedHyperlink"/>
      <w:u w:val="single"/>
    </w:rPr>
  </w:style>
  <w:style w:type="paragraph" w:customStyle="1" w:styleId="tv213">
    <w:name w:val="tv213"/>
    <w:basedOn w:val="Normal"/>
    <w:rsid w:val="0027574B"/>
    <w:pPr>
      <w:spacing w:before="100" w:beforeAutospacing="1" w:after="100" w:afterAutospacing="1"/>
    </w:pPr>
    <w:rPr>
      <w:lang w:val="en-US" w:eastAsia="en-US"/>
    </w:rPr>
  </w:style>
  <w:style w:type="paragraph" w:styleId="ListParagraph">
    <w:name w:val="List Paragraph"/>
    <w:basedOn w:val="Normal"/>
    <w:uiPriority w:val="34"/>
    <w:qFormat/>
    <w:rsid w:val="005F378F"/>
    <w:pPr>
      <w:ind w:left="720"/>
      <w:contextualSpacing/>
    </w:pPr>
  </w:style>
  <w:style w:type="character" w:customStyle="1" w:styleId="highlight">
    <w:name w:val="highlight"/>
    <w:basedOn w:val="DefaultParagraphFont"/>
    <w:rsid w:val="00532AC1"/>
  </w:style>
  <w:style w:type="paragraph" w:styleId="FootnoteText">
    <w:name w:val="footnote text"/>
    <w:aliases w:val="Char Char Char,Footnote Text1,Footnote Text1 Char Char Char,Footnote Text1 Char,Char Char"/>
    <w:basedOn w:val="Normal"/>
    <w:link w:val="FootnoteTextChar"/>
    <w:uiPriority w:val="99"/>
    <w:rsid w:val="001141B5"/>
    <w:pPr>
      <w:jc w:val="both"/>
    </w:pPr>
    <w:rPr>
      <w:sz w:val="20"/>
      <w:szCs w:val="20"/>
      <w:lang w:eastAsia="en-US"/>
    </w:rPr>
  </w:style>
  <w:style w:type="character" w:customStyle="1" w:styleId="FootnoteTextChar">
    <w:name w:val="Footnote Text Char"/>
    <w:aliases w:val="Char Char Char Char,Footnote Text1 Char1,Footnote Text1 Char Char Char Char,Footnote Text1 Char Char,Char Char Char1"/>
    <w:basedOn w:val="DefaultParagraphFont"/>
    <w:link w:val="FootnoteText"/>
    <w:uiPriority w:val="99"/>
    <w:rsid w:val="001141B5"/>
    <w:rPr>
      <w:rFonts w:eastAsia="Times New Roman" w:cs="Times New Roman"/>
      <w:sz w:val="20"/>
      <w:szCs w:val="20"/>
      <w:lang w:val="lv-LV"/>
    </w:rPr>
  </w:style>
  <w:style w:type="character" w:styleId="FootnoteReference">
    <w:name w:val="footnote reference"/>
    <w:uiPriority w:val="99"/>
    <w:rsid w:val="001141B5"/>
    <w:rPr>
      <w:rFonts w:ascii="Times New Roman" w:hAnsi="Times New Roman"/>
      <w:vertAlign w:val="superscript"/>
    </w:rPr>
  </w:style>
  <w:style w:type="character" w:customStyle="1" w:styleId="Heading3Char">
    <w:name w:val="Heading 3 Char"/>
    <w:basedOn w:val="DefaultParagraphFont"/>
    <w:link w:val="Heading3"/>
    <w:uiPriority w:val="9"/>
    <w:semiHidden/>
    <w:rsid w:val="007754B6"/>
    <w:rPr>
      <w:rFonts w:asciiTheme="majorHAnsi" w:eastAsiaTheme="majorEastAsia" w:hAnsiTheme="majorHAnsi" w:cstheme="majorBidi"/>
      <w:color w:val="1F4D78" w:themeColor="accent1" w:themeShade="7F"/>
      <w:szCs w:val="24"/>
      <w:lang w:val="lv-LV" w:eastAsia="ru-RU"/>
    </w:rPr>
  </w:style>
  <w:style w:type="paragraph" w:customStyle="1" w:styleId="Default">
    <w:name w:val="Default"/>
    <w:rsid w:val="004928DA"/>
    <w:pPr>
      <w:autoSpaceDE w:val="0"/>
      <w:autoSpaceDN w:val="0"/>
      <w:adjustRightInd w:val="0"/>
      <w:spacing w:after="0" w:line="240" w:lineRule="auto"/>
    </w:pPr>
    <w:rPr>
      <w:rFonts w:cs="Times New Roman"/>
      <w:color w:val="000000"/>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5602">
      <w:bodyDiv w:val="1"/>
      <w:marLeft w:val="0"/>
      <w:marRight w:val="0"/>
      <w:marTop w:val="0"/>
      <w:marBottom w:val="0"/>
      <w:divBdr>
        <w:top w:val="none" w:sz="0" w:space="0" w:color="auto"/>
        <w:left w:val="none" w:sz="0" w:space="0" w:color="auto"/>
        <w:bottom w:val="none" w:sz="0" w:space="0" w:color="auto"/>
        <w:right w:val="none" w:sz="0" w:space="0" w:color="auto"/>
      </w:divBdr>
    </w:div>
    <w:div w:id="14693026">
      <w:bodyDiv w:val="1"/>
      <w:marLeft w:val="0"/>
      <w:marRight w:val="0"/>
      <w:marTop w:val="0"/>
      <w:marBottom w:val="0"/>
      <w:divBdr>
        <w:top w:val="none" w:sz="0" w:space="0" w:color="auto"/>
        <w:left w:val="none" w:sz="0" w:space="0" w:color="auto"/>
        <w:bottom w:val="none" w:sz="0" w:space="0" w:color="auto"/>
        <w:right w:val="none" w:sz="0" w:space="0" w:color="auto"/>
      </w:divBdr>
      <w:divsChild>
        <w:div w:id="1537423586">
          <w:marLeft w:val="0"/>
          <w:marRight w:val="0"/>
          <w:marTop w:val="15"/>
          <w:marBottom w:val="0"/>
          <w:divBdr>
            <w:top w:val="single" w:sz="48" w:space="0" w:color="auto"/>
            <w:left w:val="single" w:sz="48" w:space="0" w:color="auto"/>
            <w:bottom w:val="single" w:sz="48" w:space="0" w:color="auto"/>
            <w:right w:val="single" w:sz="48" w:space="0" w:color="auto"/>
          </w:divBdr>
          <w:divsChild>
            <w:div w:id="131098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83400">
      <w:bodyDiv w:val="1"/>
      <w:marLeft w:val="0"/>
      <w:marRight w:val="0"/>
      <w:marTop w:val="0"/>
      <w:marBottom w:val="0"/>
      <w:divBdr>
        <w:top w:val="none" w:sz="0" w:space="0" w:color="auto"/>
        <w:left w:val="none" w:sz="0" w:space="0" w:color="auto"/>
        <w:bottom w:val="none" w:sz="0" w:space="0" w:color="auto"/>
        <w:right w:val="none" w:sz="0" w:space="0" w:color="auto"/>
      </w:divBdr>
    </w:div>
    <w:div w:id="71703765">
      <w:bodyDiv w:val="1"/>
      <w:marLeft w:val="0"/>
      <w:marRight w:val="0"/>
      <w:marTop w:val="0"/>
      <w:marBottom w:val="0"/>
      <w:divBdr>
        <w:top w:val="none" w:sz="0" w:space="0" w:color="auto"/>
        <w:left w:val="none" w:sz="0" w:space="0" w:color="auto"/>
        <w:bottom w:val="none" w:sz="0" w:space="0" w:color="auto"/>
        <w:right w:val="none" w:sz="0" w:space="0" w:color="auto"/>
      </w:divBdr>
    </w:div>
    <w:div w:id="80027650">
      <w:bodyDiv w:val="1"/>
      <w:marLeft w:val="0"/>
      <w:marRight w:val="0"/>
      <w:marTop w:val="0"/>
      <w:marBottom w:val="0"/>
      <w:divBdr>
        <w:top w:val="none" w:sz="0" w:space="0" w:color="auto"/>
        <w:left w:val="none" w:sz="0" w:space="0" w:color="auto"/>
        <w:bottom w:val="none" w:sz="0" w:space="0" w:color="auto"/>
        <w:right w:val="none" w:sz="0" w:space="0" w:color="auto"/>
      </w:divBdr>
    </w:div>
    <w:div w:id="95951778">
      <w:bodyDiv w:val="1"/>
      <w:marLeft w:val="0"/>
      <w:marRight w:val="0"/>
      <w:marTop w:val="0"/>
      <w:marBottom w:val="0"/>
      <w:divBdr>
        <w:top w:val="none" w:sz="0" w:space="0" w:color="auto"/>
        <w:left w:val="none" w:sz="0" w:space="0" w:color="auto"/>
        <w:bottom w:val="none" w:sz="0" w:space="0" w:color="auto"/>
        <w:right w:val="none" w:sz="0" w:space="0" w:color="auto"/>
      </w:divBdr>
    </w:div>
    <w:div w:id="103234561">
      <w:bodyDiv w:val="1"/>
      <w:marLeft w:val="0"/>
      <w:marRight w:val="0"/>
      <w:marTop w:val="0"/>
      <w:marBottom w:val="0"/>
      <w:divBdr>
        <w:top w:val="none" w:sz="0" w:space="0" w:color="auto"/>
        <w:left w:val="none" w:sz="0" w:space="0" w:color="auto"/>
        <w:bottom w:val="none" w:sz="0" w:space="0" w:color="auto"/>
        <w:right w:val="none" w:sz="0" w:space="0" w:color="auto"/>
      </w:divBdr>
    </w:div>
    <w:div w:id="139660398">
      <w:bodyDiv w:val="1"/>
      <w:marLeft w:val="0"/>
      <w:marRight w:val="0"/>
      <w:marTop w:val="0"/>
      <w:marBottom w:val="0"/>
      <w:divBdr>
        <w:top w:val="none" w:sz="0" w:space="0" w:color="auto"/>
        <w:left w:val="none" w:sz="0" w:space="0" w:color="auto"/>
        <w:bottom w:val="none" w:sz="0" w:space="0" w:color="auto"/>
        <w:right w:val="none" w:sz="0" w:space="0" w:color="auto"/>
      </w:divBdr>
    </w:div>
    <w:div w:id="155269651">
      <w:bodyDiv w:val="1"/>
      <w:marLeft w:val="0"/>
      <w:marRight w:val="0"/>
      <w:marTop w:val="0"/>
      <w:marBottom w:val="0"/>
      <w:divBdr>
        <w:top w:val="none" w:sz="0" w:space="0" w:color="auto"/>
        <w:left w:val="none" w:sz="0" w:space="0" w:color="auto"/>
        <w:bottom w:val="none" w:sz="0" w:space="0" w:color="auto"/>
        <w:right w:val="none" w:sz="0" w:space="0" w:color="auto"/>
      </w:divBdr>
    </w:div>
    <w:div w:id="199828221">
      <w:bodyDiv w:val="1"/>
      <w:marLeft w:val="0"/>
      <w:marRight w:val="0"/>
      <w:marTop w:val="0"/>
      <w:marBottom w:val="0"/>
      <w:divBdr>
        <w:top w:val="none" w:sz="0" w:space="0" w:color="auto"/>
        <w:left w:val="none" w:sz="0" w:space="0" w:color="auto"/>
        <w:bottom w:val="none" w:sz="0" w:space="0" w:color="auto"/>
        <w:right w:val="none" w:sz="0" w:space="0" w:color="auto"/>
      </w:divBdr>
    </w:div>
    <w:div w:id="216860010">
      <w:bodyDiv w:val="1"/>
      <w:marLeft w:val="0"/>
      <w:marRight w:val="0"/>
      <w:marTop w:val="0"/>
      <w:marBottom w:val="0"/>
      <w:divBdr>
        <w:top w:val="none" w:sz="0" w:space="0" w:color="auto"/>
        <w:left w:val="none" w:sz="0" w:space="0" w:color="auto"/>
        <w:bottom w:val="none" w:sz="0" w:space="0" w:color="auto"/>
        <w:right w:val="none" w:sz="0" w:space="0" w:color="auto"/>
      </w:divBdr>
      <w:divsChild>
        <w:div w:id="388648669">
          <w:marLeft w:val="0"/>
          <w:marRight w:val="0"/>
          <w:marTop w:val="0"/>
          <w:marBottom w:val="0"/>
          <w:divBdr>
            <w:top w:val="none" w:sz="0" w:space="0" w:color="auto"/>
            <w:left w:val="none" w:sz="0" w:space="0" w:color="auto"/>
            <w:bottom w:val="none" w:sz="0" w:space="0" w:color="auto"/>
            <w:right w:val="none" w:sz="0" w:space="0" w:color="auto"/>
          </w:divBdr>
        </w:div>
        <w:div w:id="645741663">
          <w:marLeft w:val="0"/>
          <w:marRight w:val="0"/>
          <w:marTop w:val="0"/>
          <w:marBottom w:val="0"/>
          <w:divBdr>
            <w:top w:val="none" w:sz="0" w:space="0" w:color="auto"/>
            <w:left w:val="none" w:sz="0" w:space="0" w:color="auto"/>
            <w:bottom w:val="none" w:sz="0" w:space="0" w:color="auto"/>
            <w:right w:val="none" w:sz="0" w:space="0" w:color="auto"/>
          </w:divBdr>
        </w:div>
        <w:div w:id="1256016058">
          <w:marLeft w:val="0"/>
          <w:marRight w:val="0"/>
          <w:marTop w:val="0"/>
          <w:marBottom w:val="0"/>
          <w:divBdr>
            <w:top w:val="none" w:sz="0" w:space="0" w:color="auto"/>
            <w:left w:val="none" w:sz="0" w:space="0" w:color="auto"/>
            <w:bottom w:val="none" w:sz="0" w:space="0" w:color="auto"/>
            <w:right w:val="none" w:sz="0" w:space="0" w:color="auto"/>
          </w:divBdr>
        </w:div>
      </w:divsChild>
    </w:div>
    <w:div w:id="278223198">
      <w:bodyDiv w:val="1"/>
      <w:marLeft w:val="0"/>
      <w:marRight w:val="0"/>
      <w:marTop w:val="0"/>
      <w:marBottom w:val="0"/>
      <w:divBdr>
        <w:top w:val="none" w:sz="0" w:space="0" w:color="auto"/>
        <w:left w:val="none" w:sz="0" w:space="0" w:color="auto"/>
        <w:bottom w:val="none" w:sz="0" w:space="0" w:color="auto"/>
        <w:right w:val="none" w:sz="0" w:space="0" w:color="auto"/>
      </w:divBdr>
      <w:divsChild>
        <w:div w:id="1005979627">
          <w:marLeft w:val="0"/>
          <w:marRight w:val="0"/>
          <w:marTop w:val="15"/>
          <w:marBottom w:val="0"/>
          <w:divBdr>
            <w:top w:val="single" w:sz="48" w:space="0" w:color="auto"/>
            <w:left w:val="single" w:sz="48" w:space="0" w:color="auto"/>
            <w:bottom w:val="single" w:sz="48" w:space="0" w:color="auto"/>
            <w:right w:val="single" w:sz="48" w:space="0" w:color="auto"/>
          </w:divBdr>
          <w:divsChild>
            <w:div w:id="11976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279344">
      <w:bodyDiv w:val="1"/>
      <w:marLeft w:val="0"/>
      <w:marRight w:val="0"/>
      <w:marTop w:val="0"/>
      <w:marBottom w:val="0"/>
      <w:divBdr>
        <w:top w:val="none" w:sz="0" w:space="0" w:color="auto"/>
        <w:left w:val="none" w:sz="0" w:space="0" w:color="auto"/>
        <w:bottom w:val="none" w:sz="0" w:space="0" w:color="auto"/>
        <w:right w:val="none" w:sz="0" w:space="0" w:color="auto"/>
      </w:divBdr>
      <w:divsChild>
        <w:div w:id="525216649">
          <w:marLeft w:val="0"/>
          <w:marRight w:val="0"/>
          <w:marTop w:val="0"/>
          <w:marBottom w:val="0"/>
          <w:divBdr>
            <w:top w:val="none" w:sz="0" w:space="0" w:color="auto"/>
            <w:left w:val="none" w:sz="0" w:space="0" w:color="auto"/>
            <w:bottom w:val="none" w:sz="0" w:space="0" w:color="auto"/>
            <w:right w:val="none" w:sz="0" w:space="0" w:color="auto"/>
          </w:divBdr>
        </w:div>
        <w:div w:id="886835201">
          <w:marLeft w:val="0"/>
          <w:marRight w:val="0"/>
          <w:marTop w:val="0"/>
          <w:marBottom w:val="0"/>
          <w:divBdr>
            <w:top w:val="none" w:sz="0" w:space="0" w:color="auto"/>
            <w:left w:val="none" w:sz="0" w:space="0" w:color="auto"/>
            <w:bottom w:val="none" w:sz="0" w:space="0" w:color="auto"/>
            <w:right w:val="none" w:sz="0" w:space="0" w:color="auto"/>
          </w:divBdr>
        </w:div>
      </w:divsChild>
    </w:div>
    <w:div w:id="382756900">
      <w:bodyDiv w:val="1"/>
      <w:marLeft w:val="0"/>
      <w:marRight w:val="0"/>
      <w:marTop w:val="0"/>
      <w:marBottom w:val="0"/>
      <w:divBdr>
        <w:top w:val="none" w:sz="0" w:space="0" w:color="auto"/>
        <w:left w:val="none" w:sz="0" w:space="0" w:color="auto"/>
        <w:bottom w:val="none" w:sz="0" w:space="0" w:color="auto"/>
        <w:right w:val="none" w:sz="0" w:space="0" w:color="auto"/>
      </w:divBdr>
    </w:div>
    <w:div w:id="526255872">
      <w:bodyDiv w:val="1"/>
      <w:marLeft w:val="0"/>
      <w:marRight w:val="0"/>
      <w:marTop w:val="0"/>
      <w:marBottom w:val="0"/>
      <w:divBdr>
        <w:top w:val="none" w:sz="0" w:space="0" w:color="auto"/>
        <w:left w:val="none" w:sz="0" w:space="0" w:color="auto"/>
        <w:bottom w:val="none" w:sz="0" w:space="0" w:color="auto"/>
        <w:right w:val="none" w:sz="0" w:space="0" w:color="auto"/>
      </w:divBdr>
    </w:div>
    <w:div w:id="608969213">
      <w:bodyDiv w:val="1"/>
      <w:marLeft w:val="0"/>
      <w:marRight w:val="0"/>
      <w:marTop w:val="0"/>
      <w:marBottom w:val="0"/>
      <w:divBdr>
        <w:top w:val="none" w:sz="0" w:space="0" w:color="auto"/>
        <w:left w:val="none" w:sz="0" w:space="0" w:color="auto"/>
        <w:bottom w:val="none" w:sz="0" w:space="0" w:color="auto"/>
        <w:right w:val="none" w:sz="0" w:space="0" w:color="auto"/>
      </w:divBdr>
    </w:div>
    <w:div w:id="680084163">
      <w:bodyDiv w:val="1"/>
      <w:marLeft w:val="0"/>
      <w:marRight w:val="0"/>
      <w:marTop w:val="0"/>
      <w:marBottom w:val="0"/>
      <w:divBdr>
        <w:top w:val="none" w:sz="0" w:space="0" w:color="auto"/>
        <w:left w:val="none" w:sz="0" w:space="0" w:color="auto"/>
        <w:bottom w:val="none" w:sz="0" w:space="0" w:color="auto"/>
        <w:right w:val="none" w:sz="0" w:space="0" w:color="auto"/>
      </w:divBdr>
    </w:div>
    <w:div w:id="728772164">
      <w:bodyDiv w:val="1"/>
      <w:marLeft w:val="0"/>
      <w:marRight w:val="0"/>
      <w:marTop w:val="0"/>
      <w:marBottom w:val="0"/>
      <w:divBdr>
        <w:top w:val="none" w:sz="0" w:space="0" w:color="auto"/>
        <w:left w:val="none" w:sz="0" w:space="0" w:color="auto"/>
        <w:bottom w:val="none" w:sz="0" w:space="0" w:color="auto"/>
        <w:right w:val="none" w:sz="0" w:space="0" w:color="auto"/>
      </w:divBdr>
    </w:div>
    <w:div w:id="744304561">
      <w:bodyDiv w:val="1"/>
      <w:marLeft w:val="0"/>
      <w:marRight w:val="0"/>
      <w:marTop w:val="0"/>
      <w:marBottom w:val="0"/>
      <w:divBdr>
        <w:top w:val="none" w:sz="0" w:space="0" w:color="auto"/>
        <w:left w:val="none" w:sz="0" w:space="0" w:color="auto"/>
        <w:bottom w:val="none" w:sz="0" w:space="0" w:color="auto"/>
        <w:right w:val="none" w:sz="0" w:space="0" w:color="auto"/>
      </w:divBdr>
      <w:divsChild>
        <w:div w:id="934479150">
          <w:marLeft w:val="0"/>
          <w:marRight w:val="0"/>
          <w:marTop w:val="0"/>
          <w:marBottom w:val="0"/>
          <w:divBdr>
            <w:top w:val="none" w:sz="0" w:space="0" w:color="auto"/>
            <w:left w:val="none" w:sz="0" w:space="0" w:color="auto"/>
            <w:bottom w:val="none" w:sz="0" w:space="0" w:color="auto"/>
            <w:right w:val="none" w:sz="0" w:space="0" w:color="auto"/>
          </w:divBdr>
        </w:div>
        <w:div w:id="1314026974">
          <w:marLeft w:val="0"/>
          <w:marRight w:val="0"/>
          <w:marTop w:val="0"/>
          <w:marBottom w:val="0"/>
          <w:divBdr>
            <w:top w:val="none" w:sz="0" w:space="0" w:color="auto"/>
            <w:left w:val="none" w:sz="0" w:space="0" w:color="auto"/>
            <w:bottom w:val="none" w:sz="0" w:space="0" w:color="auto"/>
            <w:right w:val="none" w:sz="0" w:space="0" w:color="auto"/>
          </w:divBdr>
        </w:div>
        <w:div w:id="2013138583">
          <w:marLeft w:val="0"/>
          <w:marRight w:val="0"/>
          <w:marTop w:val="0"/>
          <w:marBottom w:val="0"/>
          <w:divBdr>
            <w:top w:val="none" w:sz="0" w:space="0" w:color="auto"/>
            <w:left w:val="none" w:sz="0" w:space="0" w:color="auto"/>
            <w:bottom w:val="none" w:sz="0" w:space="0" w:color="auto"/>
            <w:right w:val="none" w:sz="0" w:space="0" w:color="auto"/>
          </w:divBdr>
        </w:div>
      </w:divsChild>
    </w:div>
    <w:div w:id="809664372">
      <w:bodyDiv w:val="1"/>
      <w:marLeft w:val="0"/>
      <w:marRight w:val="0"/>
      <w:marTop w:val="0"/>
      <w:marBottom w:val="0"/>
      <w:divBdr>
        <w:top w:val="none" w:sz="0" w:space="0" w:color="auto"/>
        <w:left w:val="none" w:sz="0" w:space="0" w:color="auto"/>
        <w:bottom w:val="none" w:sz="0" w:space="0" w:color="auto"/>
        <w:right w:val="none" w:sz="0" w:space="0" w:color="auto"/>
      </w:divBdr>
      <w:divsChild>
        <w:div w:id="1250654599">
          <w:marLeft w:val="0"/>
          <w:marRight w:val="0"/>
          <w:marTop w:val="15"/>
          <w:marBottom w:val="0"/>
          <w:divBdr>
            <w:top w:val="single" w:sz="48" w:space="0" w:color="auto"/>
            <w:left w:val="single" w:sz="48" w:space="0" w:color="auto"/>
            <w:bottom w:val="single" w:sz="48" w:space="0" w:color="auto"/>
            <w:right w:val="single" w:sz="48" w:space="0" w:color="auto"/>
          </w:divBdr>
          <w:divsChild>
            <w:div w:id="9852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80524">
      <w:bodyDiv w:val="1"/>
      <w:marLeft w:val="0"/>
      <w:marRight w:val="0"/>
      <w:marTop w:val="0"/>
      <w:marBottom w:val="0"/>
      <w:divBdr>
        <w:top w:val="none" w:sz="0" w:space="0" w:color="auto"/>
        <w:left w:val="none" w:sz="0" w:space="0" w:color="auto"/>
        <w:bottom w:val="none" w:sz="0" w:space="0" w:color="auto"/>
        <w:right w:val="none" w:sz="0" w:space="0" w:color="auto"/>
      </w:divBdr>
    </w:div>
    <w:div w:id="916131340">
      <w:bodyDiv w:val="1"/>
      <w:marLeft w:val="0"/>
      <w:marRight w:val="0"/>
      <w:marTop w:val="0"/>
      <w:marBottom w:val="0"/>
      <w:divBdr>
        <w:top w:val="none" w:sz="0" w:space="0" w:color="auto"/>
        <w:left w:val="none" w:sz="0" w:space="0" w:color="auto"/>
        <w:bottom w:val="none" w:sz="0" w:space="0" w:color="auto"/>
        <w:right w:val="none" w:sz="0" w:space="0" w:color="auto"/>
      </w:divBdr>
    </w:div>
    <w:div w:id="921521680">
      <w:bodyDiv w:val="1"/>
      <w:marLeft w:val="0"/>
      <w:marRight w:val="0"/>
      <w:marTop w:val="0"/>
      <w:marBottom w:val="0"/>
      <w:divBdr>
        <w:top w:val="none" w:sz="0" w:space="0" w:color="auto"/>
        <w:left w:val="none" w:sz="0" w:space="0" w:color="auto"/>
        <w:bottom w:val="none" w:sz="0" w:space="0" w:color="auto"/>
        <w:right w:val="none" w:sz="0" w:space="0" w:color="auto"/>
      </w:divBdr>
    </w:div>
    <w:div w:id="985280773">
      <w:bodyDiv w:val="1"/>
      <w:marLeft w:val="0"/>
      <w:marRight w:val="0"/>
      <w:marTop w:val="0"/>
      <w:marBottom w:val="0"/>
      <w:divBdr>
        <w:top w:val="none" w:sz="0" w:space="0" w:color="auto"/>
        <w:left w:val="none" w:sz="0" w:space="0" w:color="auto"/>
        <w:bottom w:val="none" w:sz="0" w:space="0" w:color="auto"/>
        <w:right w:val="none" w:sz="0" w:space="0" w:color="auto"/>
      </w:divBdr>
    </w:div>
    <w:div w:id="994574480">
      <w:bodyDiv w:val="1"/>
      <w:marLeft w:val="0"/>
      <w:marRight w:val="0"/>
      <w:marTop w:val="0"/>
      <w:marBottom w:val="0"/>
      <w:divBdr>
        <w:top w:val="none" w:sz="0" w:space="0" w:color="auto"/>
        <w:left w:val="none" w:sz="0" w:space="0" w:color="auto"/>
        <w:bottom w:val="none" w:sz="0" w:space="0" w:color="auto"/>
        <w:right w:val="none" w:sz="0" w:space="0" w:color="auto"/>
      </w:divBdr>
    </w:div>
    <w:div w:id="1030649198">
      <w:bodyDiv w:val="1"/>
      <w:marLeft w:val="0"/>
      <w:marRight w:val="0"/>
      <w:marTop w:val="0"/>
      <w:marBottom w:val="0"/>
      <w:divBdr>
        <w:top w:val="none" w:sz="0" w:space="0" w:color="auto"/>
        <w:left w:val="none" w:sz="0" w:space="0" w:color="auto"/>
        <w:bottom w:val="none" w:sz="0" w:space="0" w:color="auto"/>
        <w:right w:val="none" w:sz="0" w:space="0" w:color="auto"/>
      </w:divBdr>
    </w:div>
    <w:div w:id="1083525627">
      <w:bodyDiv w:val="1"/>
      <w:marLeft w:val="0"/>
      <w:marRight w:val="0"/>
      <w:marTop w:val="0"/>
      <w:marBottom w:val="0"/>
      <w:divBdr>
        <w:top w:val="none" w:sz="0" w:space="0" w:color="auto"/>
        <w:left w:val="none" w:sz="0" w:space="0" w:color="auto"/>
        <w:bottom w:val="none" w:sz="0" w:space="0" w:color="auto"/>
        <w:right w:val="none" w:sz="0" w:space="0" w:color="auto"/>
      </w:divBdr>
      <w:divsChild>
        <w:div w:id="11297808">
          <w:marLeft w:val="0"/>
          <w:marRight w:val="0"/>
          <w:marTop w:val="15"/>
          <w:marBottom w:val="0"/>
          <w:divBdr>
            <w:top w:val="single" w:sz="48" w:space="0" w:color="auto"/>
            <w:left w:val="single" w:sz="48" w:space="0" w:color="auto"/>
            <w:bottom w:val="single" w:sz="48" w:space="0" w:color="auto"/>
            <w:right w:val="single" w:sz="48" w:space="0" w:color="auto"/>
          </w:divBdr>
          <w:divsChild>
            <w:div w:id="70629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5594">
      <w:bodyDiv w:val="1"/>
      <w:marLeft w:val="0"/>
      <w:marRight w:val="0"/>
      <w:marTop w:val="0"/>
      <w:marBottom w:val="0"/>
      <w:divBdr>
        <w:top w:val="none" w:sz="0" w:space="0" w:color="auto"/>
        <w:left w:val="none" w:sz="0" w:space="0" w:color="auto"/>
        <w:bottom w:val="none" w:sz="0" w:space="0" w:color="auto"/>
        <w:right w:val="none" w:sz="0" w:space="0" w:color="auto"/>
      </w:divBdr>
    </w:div>
    <w:div w:id="1174035248">
      <w:bodyDiv w:val="1"/>
      <w:marLeft w:val="0"/>
      <w:marRight w:val="0"/>
      <w:marTop w:val="0"/>
      <w:marBottom w:val="0"/>
      <w:divBdr>
        <w:top w:val="none" w:sz="0" w:space="0" w:color="auto"/>
        <w:left w:val="none" w:sz="0" w:space="0" w:color="auto"/>
        <w:bottom w:val="none" w:sz="0" w:space="0" w:color="auto"/>
        <w:right w:val="none" w:sz="0" w:space="0" w:color="auto"/>
      </w:divBdr>
      <w:divsChild>
        <w:div w:id="202594892">
          <w:marLeft w:val="0"/>
          <w:marRight w:val="0"/>
          <w:marTop w:val="0"/>
          <w:marBottom w:val="0"/>
          <w:divBdr>
            <w:top w:val="none" w:sz="0" w:space="0" w:color="auto"/>
            <w:left w:val="none" w:sz="0" w:space="0" w:color="auto"/>
            <w:bottom w:val="none" w:sz="0" w:space="0" w:color="auto"/>
            <w:right w:val="none" w:sz="0" w:space="0" w:color="auto"/>
          </w:divBdr>
          <w:divsChild>
            <w:div w:id="500701102">
              <w:marLeft w:val="0"/>
              <w:marRight w:val="0"/>
              <w:marTop w:val="0"/>
              <w:marBottom w:val="0"/>
              <w:divBdr>
                <w:top w:val="none" w:sz="0" w:space="0" w:color="auto"/>
                <w:left w:val="none" w:sz="0" w:space="0" w:color="auto"/>
                <w:bottom w:val="none" w:sz="0" w:space="0" w:color="auto"/>
                <w:right w:val="none" w:sz="0" w:space="0" w:color="auto"/>
              </w:divBdr>
              <w:divsChild>
                <w:div w:id="93478994">
                  <w:marLeft w:val="0"/>
                  <w:marRight w:val="0"/>
                  <w:marTop w:val="15"/>
                  <w:marBottom w:val="0"/>
                  <w:divBdr>
                    <w:top w:val="single" w:sz="48" w:space="0" w:color="auto"/>
                    <w:left w:val="single" w:sz="48" w:space="0" w:color="auto"/>
                    <w:bottom w:val="single" w:sz="48" w:space="0" w:color="auto"/>
                    <w:right w:val="single" w:sz="48" w:space="0" w:color="auto"/>
                  </w:divBdr>
                  <w:divsChild>
                    <w:div w:id="952253104">
                      <w:marLeft w:val="0"/>
                      <w:marRight w:val="0"/>
                      <w:marTop w:val="0"/>
                      <w:marBottom w:val="0"/>
                      <w:divBdr>
                        <w:top w:val="none" w:sz="0" w:space="0" w:color="auto"/>
                        <w:left w:val="none" w:sz="0" w:space="0" w:color="auto"/>
                        <w:bottom w:val="none" w:sz="0" w:space="0" w:color="auto"/>
                        <w:right w:val="none" w:sz="0" w:space="0" w:color="auto"/>
                      </w:divBdr>
                    </w:div>
                  </w:divsChild>
                </w:div>
                <w:div w:id="405538462">
                  <w:marLeft w:val="0"/>
                  <w:marRight w:val="0"/>
                  <w:marTop w:val="15"/>
                  <w:marBottom w:val="0"/>
                  <w:divBdr>
                    <w:top w:val="single" w:sz="48" w:space="0" w:color="auto"/>
                    <w:left w:val="single" w:sz="48" w:space="0" w:color="auto"/>
                    <w:bottom w:val="single" w:sz="48" w:space="0" w:color="auto"/>
                    <w:right w:val="single" w:sz="48" w:space="0" w:color="auto"/>
                  </w:divBdr>
                  <w:divsChild>
                    <w:div w:id="136992614">
                      <w:marLeft w:val="0"/>
                      <w:marRight w:val="0"/>
                      <w:marTop w:val="0"/>
                      <w:marBottom w:val="0"/>
                      <w:divBdr>
                        <w:top w:val="none" w:sz="0" w:space="0" w:color="auto"/>
                        <w:left w:val="none" w:sz="0" w:space="0" w:color="auto"/>
                        <w:bottom w:val="none" w:sz="0" w:space="0" w:color="auto"/>
                        <w:right w:val="none" w:sz="0" w:space="0" w:color="auto"/>
                      </w:divBdr>
                    </w:div>
                  </w:divsChild>
                </w:div>
                <w:div w:id="917442501">
                  <w:marLeft w:val="0"/>
                  <w:marRight w:val="0"/>
                  <w:marTop w:val="15"/>
                  <w:marBottom w:val="0"/>
                  <w:divBdr>
                    <w:top w:val="single" w:sz="48" w:space="0" w:color="auto"/>
                    <w:left w:val="single" w:sz="48" w:space="0" w:color="auto"/>
                    <w:bottom w:val="single" w:sz="48" w:space="0" w:color="auto"/>
                    <w:right w:val="single" w:sz="48" w:space="0" w:color="auto"/>
                  </w:divBdr>
                  <w:divsChild>
                    <w:div w:id="1337076377">
                      <w:marLeft w:val="0"/>
                      <w:marRight w:val="0"/>
                      <w:marTop w:val="0"/>
                      <w:marBottom w:val="0"/>
                      <w:divBdr>
                        <w:top w:val="none" w:sz="0" w:space="0" w:color="auto"/>
                        <w:left w:val="none" w:sz="0" w:space="0" w:color="auto"/>
                        <w:bottom w:val="none" w:sz="0" w:space="0" w:color="auto"/>
                        <w:right w:val="none" w:sz="0" w:space="0" w:color="auto"/>
                      </w:divBdr>
                    </w:div>
                  </w:divsChild>
                </w:div>
                <w:div w:id="948589646">
                  <w:marLeft w:val="0"/>
                  <w:marRight w:val="0"/>
                  <w:marTop w:val="15"/>
                  <w:marBottom w:val="0"/>
                  <w:divBdr>
                    <w:top w:val="single" w:sz="48" w:space="0" w:color="auto"/>
                    <w:left w:val="single" w:sz="48" w:space="0" w:color="auto"/>
                    <w:bottom w:val="single" w:sz="48" w:space="0" w:color="auto"/>
                    <w:right w:val="single" w:sz="48" w:space="0" w:color="auto"/>
                  </w:divBdr>
                  <w:divsChild>
                    <w:div w:id="896208338">
                      <w:marLeft w:val="0"/>
                      <w:marRight w:val="0"/>
                      <w:marTop w:val="0"/>
                      <w:marBottom w:val="0"/>
                      <w:divBdr>
                        <w:top w:val="none" w:sz="0" w:space="0" w:color="auto"/>
                        <w:left w:val="none" w:sz="0" w:space="0" w:color="auto"/>
                        <w:bottom w:val="none" w:sz="0" w:space="0" w:color="auto"/>
                        <w:right w:val="none" w:sz="0" w:space="0" w:color="auto"/>
                      </w:divBdr>
                    </w:div>
                  </w:divsChild>
                </w:div>
                <w:div w:id="1149515969">
                  <w:marLeft w:val="0"/>
                  <w:marRight w:val="0"/>
                  <w:marTop w:val="15"/>
                  <w:marBottom w:val="0"/>
                  <w:divBdr>
                    <w:top w:val="single" w:sz="48" w:space="0" w:color="auto"/>
                    <w:left w:val="single" w:sz="48" w:space="0" w:color="auto"/>
                    <w:bottom w:val="single" w:sz="48" w:space="0" w:color="auto"/>
                    <w:right w:val="single" w:sz="48" w:space="0" w:color="auto"/>
                  </w:divBdr>
                  <w:divsChild>
                    <w:div w:id="1607535839">
                      <w:marLeft w:val="0"/>
                      <w:marRight w:val="0"/>
                      <w:marTop w:val="0"/>
                      <w:marBottom w:val="0"/>
                      <w:divBdr>
                        <w:top w:val="none" w:sz="0" w:space="0" w:color="auto"/>
                        <w:left w:val="none" w:sz="0" w:space="0" w:color="auto"/>
                        <w:bottom w:val="none" w:sz="0" w:space="0" w:color="auto"/>
                        <w:right w:val="none" w:sz="0" w:space="0" w:color="auto"/>
                      </w:divBdr>
                    </w:div>
                  </w:divsChild>
                </w:div>
                <w:div w:id="1179781985">
                  <w:marLeft w:val="0"/>
                  <w:marRight w:val="0"/>
                  <w:marTop w:val="15"/>
                  <w:marBottom w:val="0"/>
                  <w:divBdr>
                    <w:top w:val="single" w:sz="48" w:space="0" w:color="auto"/>
                    <w:left w:val="single" w:sz="48" w:space="0" w:color="auto"/>
                    <w:bottom w:val="single" w:sz="48" w:space="0" w:color="auto"/>
                    <w:right w:val="single" w:sz="48" w:space="0" w:color="auto"/>
                  </w:divBdr>
                  <w:divsChild>
                    <w:div w:id="383606839">
                      <w:marLeft w:val="0"/>
                      <w:marRight w:val="0"/>
                      <w:marTop w:val="0"/>
                      <w:marBottom w:val="0"/>
                      <w:divBdr>
                        <w:top w:val="none" w:sz="0" w:space="0" w:color="auto"/>
                        <w:left w:val="none" w:sz="0" w:space="0" w:color="auto"/>
                        <w:bottom w:val="none" w:sz="0" w:space="0" w:color="auto"/>
                        <w:right w:val="none" w:sz="0" w:space="0" w:color="auto"/>
                      </w:divBdr>
                    </w:div>
                  </w:divsChild>
                </w:div>
                <w:div w:id="1224218523">
                  <w:marLeft w:val="0"/>
                  <w:marRight w:val="0"/>
                  <w:marTop w:val="15"/>
                  <w:marBottom w:val="0"/>
                  <w:divBdr>
                    <w:top w:val="single" w:sz="48" w:space="0" w:color="auto"/>
                    <w:left w:val="single" w:sz="48" w:space="0" w:color="auto"/>
                    <w:bottom w:val="single" w:sz="48" w:space="0" w:color="auto"/>
                    <w:right w:val="single" w:sz="48" w:space="0" w:color="auto"/>
                  </w:divBdr>
                  <w:divsChild>
                    <w:div w:id="1450470476">
                      <w:marLeft w:val="0"/>
                      <w:marRight w:val="0"/>
                      <w:marTop w:val="0"/>
                      <w:marBottom w:val="0"/>
                      <w:divBdr>
                        <w:top w:val="none" w:sz="0" w:space="0" w:color="auto"/>
                        <w:left w:val="none" w:sz="0" w:space="0" w:color="auto"/>
                        <w:bottom w:val="none" w:sz="0" w:space="0" w:color="auto"/>
                        <w:right w:val="none" w:sz="0" w:space="0" w:color="auto"/>
                      </w:divBdr>
                    </w:div>
                  </w:divsChild>
                </w:div>
                <w:div w:id="1767773033">
                  <w:marLeft w:val="0"/>
                  <w:marRight w:val="0"/>
                  <w:marTop w:val="15"/>
                  <w:marBottom w:val="0"/>
                  <w:divBdr>
                    <w:top w:val="single" w:sz="48" w:space="0" w:color="auto"/>
                    <w:left w:val="single" w:sz="48" w:space="0" w:color="auto"/>
                    <w:bottom w:val="single" w:sz="48" w:space="0" w:color="auto"/>
                    <w:right w:val="single" w:sz="48" w:space="0" w:color="auto"/>
                  </w:divBdr>
                  <w:divsChild>
                    <w:div w:id="1531644287">
                      <w:marLeft w:val="0"/>
                      <w:marRight w:val="0"/>
                      <w:marTop w:val="0"/>
                      <w:marBottom w:val="0"/>
                      <w:divBdr>
                        <w:top w:val="none" w:sz="0" w:space="0" w:color="auto"/>
                        <w:left w:val="none" w:sz="0" w:space="0" w:color="auto"/>
                        <w:bottom w:val="none" w:sz="0" w:space="0" w:color="auto"/>
                        <w:right w:val="none" w:sz="0" w:space="0" w:color="auto"/>
                      </w:divBdr>
                    </w:div>
                  </w:divsChild>
                </w:div>
                <w:div w:id="1972980338">
                  <w:marLeft w:val="0"/>
                  <w:marRight w:val="0"/>
                  <w:marTop w:val="15"/>
                  <w:marBottom w:val="0"/>
                  <w:divBdr>
                    <w:top w:val="single" w:sz="48" w:space="0" w:color="auto"/>
                    <w:left w:val="single" w:sz="48" w:space="0" w:color="auto"/>
                    <w:bottom w:val="single" w:sz="48" w:space="0" w:color="auto"/>
                    <w:right w:val="single" w:sz="48" w:space="0" w:color="auto"/>
                  </w:divBdr>
                  <w:divsChild>
                    <w:div w:id="1259673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763645">
          <w:marLeft w:val="30"/>
          <w:marRight w:val="30"/>
          <w:marTop w:val="60"/>
          <w:marBottom w:val="60"/>
          <w:divBdr>
            <w:top w:val="none" w:sz="0" w:space="0" w:color="auto"/>
            <w:left w:val="none" w:sz="0" w:space="0" w:color="auto"/>
            <w:bottom w:val="none" w:sz="0" w:space="0" w:color="auto"/>
            <w:right w:val="none" w:sz="0" w:space="0" w:color="auto"/>
          </w:divBdr>
          <w:divsChild>
            <w:div w:id="63797911">
              <w:marLeft w:val="0"/>
              <w:marRight w:val="0"/>
              <w:marTop w:val="0"/>
              <w:marBottom w:val="0"/>
              <w:divBdr>
                <w:top w:val="none" w:sz="0" w:space="0" w:color="auto"/>
                <w:left w:val="none" w:sz="0" w:space="0" w:color="auto"/>
                <w:bottom w:val="none" w:sz="0" w:space="0" w:color="auto"/>
                <w:right w:val="none" w:sz="0" w:space="0" w:color="auto"/>
              </w:divBdr>
            </w:div>
          </w:divsChild>
        </w:div>
        <w:div w:id="1266230814">
          <w:marLeft w:val="0"/>
          <w:marRight w:val="0"/>
          <w:marTop w:val="0"/>
          <w:marBottom w:val="0"/>
          <w:divBdr>
            <w:top w:val="none" w:sz="0" w:space="0" w:color="auto"/>
            <w:left w:val="none" w:sz="0" w:space="0" w:color="auto"/>
            <w:bottom w:val="none" w:sz="0" w:space="0" w:color="auto"/>
            <w:right w:val="none" w:sz="0" w:space="0" w:color="auto"/>
          </w:divBdr>
          <w:divsChild>
            <w:div w:id="847714404">
              <w:marLeft w:val="0"/>
              <w:marRight w:val="0"/>
              <w:marTop w:val="0"/>
              <w:marBottom w:val="0"/>
              <w:divBdr>
                <w:top w:val="none" w:sz="0" w:space="0" w:color="auto"/>
                <w:left w:val="none" w:sz="0" w:space="0" w:color="auto"/>
                <w:bottom w:val="none" w:sz="0" w:space="0" w:color="auto"/>
                <w:right w:val="none" w:sz="0" w:space="0" w:color="auto"/>
              </w:divBdr>
              <w:divsChild>
                <w:div w:id="1761414029">
                  <w:marLeft w:val="0"/>
                  <w:marRight w:val="0"/>
                  <w:marTop w:val="0"/>
                  <w:marBottom w:val="0"/>
                  <w:divBdr>
                    <w:top w:val="none" w:sz="0" w:space="0" w:color="auto"/>
                    <w:left w:val="none" w:sz="0" w:space="0" w:color="auto"/>
                    <w:bottom w:val="none" w:sz="0" w:space="0" w:color="auto"/>
                    <w:right w:val="none" w:sz="0" w:space="0" w:color="auto"/>
                  </w:divBdr>
                  <w:divsChild>
                    <w:div w:id="327905440">
                      <w:marLeft w:val="0"/>
                      <w:marRight w:val="0"/>
                      <w:marTop w:val="0"/>
                      <w:marBottom w:val="0"/>
                      <w:divBdr>
                        <w:top w:val="none" w:sz="0" w:space="0" w:color="auto"/>
                        <w:left w:val="none" w:sz="0" w:space="0" w:color="auto"/>
                        <w:bottom w:val="none" w:sz="0" w:space="0" w:color="auto"/>
                        <w:right w:val="none" w:sz="0" w:space="0" w:color="auto"/>
                      </w:divBdr>
                    </w:div>
                    <w:div w:id="147752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330356">
      <w:bodyDiv w:val="1"/>
      <w:marLeft w:val="0"/>
      <w:marRight w:val="0"/>
      <w:marTop w:val="0"/>
      <w:marBottom w:val="0"/>
      <w:divBdr>
        <w:top w:val="none" w:sz="0" w:space="0" w:color="auto"/>
        <w:left w:val="none" w:sz="0" w:space="0" w:color="auto"/>
        <w:bottom w:val="none" w:sz="0" w:space="0" w:color="auto"/>
        <w:right w:val="none" w:sz="0" w:space="0" w:color="auto"/>
      </w:divBdr>
    </w:div>
    <w:div w:id="1251895026">
      <w:bodyDiv w:val="1"/>
      <w:marLeft w:val="0"/>
      <w:marRight w:val="0"/>
      <w:marTop w:val="0"/>
      <w:marBottom w:val="0"/>
      <w:divBdr>
        <w:top w:val="none" w:sz="0" w:space="0" w:color="auto"/>
        <w:left w:val="none" w:sz="0" w:space="0" w:color="auto"/>
        <w:bottom w:val="none" w:sz="0" w:space="0" w:color="auto"/>
        <w:right w:val="none" w:sz="0" w:space="0" w:color="auto"/>
      </w:divBdr>
    </w:div>
    <w:div w:id="1278759162">
      <w:bodyDiv w:val="1"/>
      <w:marLeft w:val="0"/>
      <w:marRight w:val="0"/>
      <w:marTop w:val="0"/>
      <w:marBottom w:val="0"/>
      <w:divBdr>
        <w:top w:val="none" w:sz="0" w:space="0" w:color="auto"/>
        <w:left w:val="none" w:sz="0" w:space="0" w:color="auto"/>
        <w:bottom w:val="none" w:sz="0" w:space="0" w:color="auto"/>
        <w:right w:val="none" w:sz="0" w:space="0" w:color="auto"/>
      </w:divBdr>
    </w:div>
    <w:div w:id="1306081114">
      <w:bodyDiv w:val="1"/>
      <w:marLeft w:val="0"/>
      <w:marRight w:val="0"/>
      <w:marTop w:val="0"/>
      <w:marBottom w:val="0"/>
      <w:divBdr>
        <w:top w:val="none" w:sz="0" w:space="0" w:color="auto"/>
        <w:left w:val="none" w:sz="0" w:space="0" w:color="auto"/>
        <w:bottom w:val="none" w:sz="0" w:space="0" w:color="auto"/>
        <w:right w:val="none" w:sz="0" w:space="0" w:color="auto"/>
      </w:divBdr>
      <w:divsChild>
        <w:div w:id="1626277176">
          <w:marLeft w:val="0"/>
          <w:marRight w:val="0"/>
          <w:marTop w:val="0"/>
          <w:marBottom w:val="0"/>
          <w:divBdr>
            <w:top w:val="none" w:sz="0" w:space="0" w:color="auto"/>
            <w:left w:val="none" w:sz="0" w:space="0" w:color="auto"/>
            <w:bottom w:val="none" w:sz="0" w:space="0" w:color="auto"/>
            <w:right w:val="none" w:sz="0" w:space="0" w:color="auto"/>
          </w:divBdr>
        </w:div>
        <w:div w:id="1805923310">
          <w:marLeft w:val="0"/>
          <w:marRight w:val="0"/>
          <w:marTop w:val="0"/>
          <w:marBottom w:val="0"/>
          <w:divBdr>
            <w:top w:val="none" w:sz="0" w:space="0" w:color="auto"/>
            <w:left w:val="none" w:sz="0" w:space="0" w:color="auto"/>
            <w:bottom w:val="none" w:sz="0" w:space="0" w:color="auto"/>
            <w:right w:val="none" w:sz="0" w:space="0" w:color="auto"/>
          </w:divBdr>
          <w:divsChild>
            <w:div w:id="34089249">
              <w:marLeft w:val="0"/>
              <w:marRight w:val="0"/>
              <w:marTop w:val="0"/>
              <w:marBottom w:val="0"/>
              <w:divBdr>
                <w:top w:val="none" w:sz="0" w:space="0" w:color="auto"/>
                <w:left w:val="none" w:sz="0" w:space="0" w:color="auto"/>
                <w:bottom w:val="none" w:sz="0" w:space="0" w:color="auto"/>
                <w:right w:val="none" w:sz="0" w:space="0" w:color="auto"/>
              </w:divBdr>
            </w:div>
            <w:div w:id="128839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030295">
      <w:bodyDiv w:val="1"/>
      <w:marLeft w:val="0"/>
      <w:marRight w:val="0"/>
      <w:marTop w:val="0"/>
      <w:marBottom w:val="0"/>
      <w:divBdr>
        <w:top w:val="none" w:sz="0" w:space="0" w:color="auto"/>
        <w:left w:val="none" w:sz="0" w:space="0" w:color="auto"/>
        <w:bottom w:val="none" w:sz="0" w:space="0" w:color="auto"/>
        <w:right w:val="none" w:sz="0" w:space="0" w:color="auto"/>
      </w:divBdr>
    </w:div>
    <w:div w:id="1455712673">
      <w:bodyDiv w:val="1"/>
      <w:marLeft w:val="0"/>
      <w:marRight w:val="0"/>
      <w:marTop w:val="0"/>
      <w:marBottom w:val="0"/>
      <w:divBdr>
        <w:top w:val="none" w:sz="0" w:space="0" w:color="auto"/>
        <w:left w:val="none" w:sz="0" w:space="0" w:color="auto"/>
        <w:bottom w:val="none" w:sz="0" w:space="0" w:color="auto"/>
        <w:right w:val="none" w:sz="0" w:space="0" w:color="auto"/>
      </w:divBdr>
    </w:div>
    <w:div w:id="1510019326">
      <w:bodyDiv w:val="1"/>
      <w:marLeft w:val="0"/>
      <w:marRight w:val="0"/>
      <w:marTop w:val="0"/>
      <w:marBottom w:val="0"/>
      <w:divBdr>
        <w:top w:val="none" w:sz="0" w:space="0" w:color="auto"/>
        <w:left w:val="none" w:sz="0" w:space="0" w:color="auto"/>
        <w:bottom w:val="none" w:sz="0" w:space="0" w:color="auto"/>
        <w:right w:val="none" w:sz="0" w:space="0" w:color="auto"/>
      </w:divBdr>
    </w:div>
    <w:div w:id="1611932599">
      <w:bodyDiv w:val="1"/>
      <w:marLeft w:val="0"/>
      <w:marRight w:val="0"/>
      <w:marTop w:val="0"/>
      <w:marBottom w:val="0"/>
      <w:divBdr>
        <w:top w:val="none" w:sz="0" w:space="0" w:color="auto"/>
        <w:left w:val="none" w:sz="0" w:space="0" w:color="auto"/>
        <w:bottom w:val="none" w:sz="0" w:space="0" w:color="auto"/>
        <w:right w:val="none" w:sz="0" w:space="0" w:color="auto"/>
      </w:divBdr>
    </w:div>
    <w:div w:id="1651670564">
      <w:bodyDiv w:val="1"/>
      <w:marLeft w:val="0"/>
      <w:marRight w:val="0"/>
      <w:marTop w:val="0"/>
      <w:marBottom w:val="0"/>
      <w:divBdr>
        <w:top w:val="none" w:sz="0" w:space="0" w:color="auto"/>
        <w:left w:val="none" w:sz="0" w:space="0" w:color="auto"/>
        <w:bottom w:val="none" w:sz="0" w:space="0" w:color="auto"/>
        <w:right w:val="none" w:sz="0" w:space="0" w:color="auto"/>
      </w:divBdr>
    </w:div>
    <w:div w:id="1662928034">
      <w:bodyDiv w:val="1"/>
      <w:marLeft w:val="0"/>
      <w:marRight w:val="0"/>
      <w:marTop w:val="0"/>
      <w:marBottom w:val="0"/>
      <w:divBdr>
        <w:top w:val="none" w:sz="0" w:space="0" w:color="auto"/>
        <w:left w:val="none" w:sz="0" w:space="0" w:color="auto"/>
        <w:bottom w:val="none" w:sz="0" w:space="0" w:color="auto"/>
        <w:right w:val="none" w:sz="0" w:space="0" w:color="auto"/>
      </w:divBdr>
    </w:div>
    <w:div w:id="1666515555">
      <w:bodyDiv w:val="1"/>
      <w:marLeft w:val="0"/>
      <w:marRight w:val="0"/>
      <w:marTop w:val="0"/>
      <w:marBottom w:val="0"/>
      <w:divBdr>
        <w:top w:val="none" w:sz="0" w:space="0" w:color="auto"/>
        <w:left w:val="none" w:sz="0" w:space="0" w:color="auto"/>
        <w:bottom w:val="none" w:sz="0" w:space="0" w:color="auto"/>
        <w:right w:val="none" w:sz="0" w:space="0" w:color="auto"/>
      </w:divBdr>
    </w:div>
    <w:div w:id="1778984344">
      <w:bodyDiv w:val="1"/>
      <w:marLeft w:val="0"/>
      <w:marRight w:val="0"/>
      <w:marTop w:val="0"/>
      <w:marBottom w:val="0"/>
      <w:divBdr>
        <w:top w:val="none" w:sz="0" w:space="0" w:color="auto"/>
        <w:left w:val="none" w:sz="0" w:space="0" w:color="auto"/>
        <w:bottom w:val="none" w:sz="0" w:space="0" w:color="auto"/>
        <w:right w:val="none" w:sz="0" w:space="0" w:color="auto"/>
      </w:divBdr>
    </w:div>
    <w:div w:id="1874347110">
      <w:bodyDiv w:val="1"/>
      <w:marLeft w:val="0"/>
      <w:marRight w:val="0"/>
      <w:marTop w:val="0"/>
      <w:marBottom w:val="0"/>
      <w:divBdr>
        <w:top w:val="none" w:sz="0" w:space="0" w:color="auto"/>
        <w:left w:val="none" w:sz="0" w:space="0" w:color="auto"/>
        <w:bottom w:val="none" w:sz="0" w:space="0" w:color="auto"/>
        <w:right w:val="none" w:sz="0" w:space="0" w:color="auto"/>
      </w:divBdr>
    </w:div>
    <w:div w:id="1900898827">
      <w:bodyDiv w:val="1"/>
      <w:marLeft w:val="0"/>
      <w:marRight w:val="0"/>
      <w:marTop w:val="0"/>
      <w:marBottom w:val="0"/>
      <w:divBdr>
        <w:top w:val="none" w:sz="0" w:space="0" w:color="auto"/>
        <w:left w:val="none" w:sz="0" w:space="0" w:color="auto"/>
        <w:bottom w:val="none" w:sz="0" w:space="0" w:color="auto"/>
        <w:right w:val="none" w:sz="0" w:space="0" w:color="auto"/>
      </w:divBdr>
    </w:div>
    <w:div w:id="1938125588">
      <w:bodyDiv w:val="1"/>
      <w:marLeft w:val="0"/>
      <w:marRight w:val="0"/>
      <w:marTop w:val="0"/>
      <w:marBottom w:val="0"/>
      <w:divBdr>
        <w:top w:val="none" w:sz="0" w:space="0" w:color="auto"/>
        <w:left w:val="none" w:sz="0" w:space="0" w:color="auto"/>
        <w:bottom w:val="none" w:sz="0" w:space="0" w:color="auto"/>
        <w:right w:val="none" w:sz="0" w:space="0" w:color="auto"/>
      </w:divBdr>
    </w:div>
    <w:div w:id="1997108912">
      <w:bodyDiv w:val="1"/>
      <w:marLeft w:val="0"/>
      <w:marRight w:val="0"/>
      <w:marTop w:val="0"/>
      <w:marBottom w:val="0"/>
      <w:divBdr>
        <w:top w:val="none" w:sz="0" w:space="0" w:color="auto"/>
        <w:left w:val="none" w:sz="0" w:space="0" w:color="auto"/>
        <w:bottom w:val="none" w:sz="0" w:space="0" w:color="auto"/>
        <w:right w:val="none" w:sz="0" w:space="0" w:color="auto"/>
      </w:divBdr>
    </w:div>
    <w:div w:id="2038002121">
      <w:bodyDiv w:val="1"/>
      <w:marLeft w:val="0"/>
      <w:marRight w:val="0"/>
      <w:marTop w:val="0"/>
      <w:marBottom w:val="0"/>
      <w:divBdr>
        <w:top w:val="none" w:sz="0" w:space="0" w:color="auto"/>
        <w:left w:val="none" w:sz="0" w:space="0" w:color="auto"/>
        <w:bottom w:val="none" w:sz="0" w:space="0" w:color="auto"/>
        <w:right w:val="none" w:sz="0" w:space="0" w:color="auto"/>
      </w:divBdr>
    </w:div>
    <w:div w:id="2056658193">
      <w:bodyDiv w:val="1"/>
      <w:marLeft w:val="0"/>
      <w:marRight w:val="0"/>
      <w:marTop w:val="0"/>
      <w:marBottom w:val="0"/>
      <w:divBdr>
        <w:top w:val="none" w:sz="0" w:space="0" w:color="auto"/>
        <w:left w:val="none" w:sz="0" w:space="0" w:color="auto"/>
        <w:bottom w:val="none" w:sz="0" w:space="0" w:color="auto"/>
        <w:right w:val="none" w:sz="0" w:space="0" w:color="auto"/>
      </w:divBdr>
    </w:div>
    <w:div w:id="2082023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35e2d43-f5c7-42b4-bb89-28fc87273a75"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uria.europa.eu/juris/document/document.jsf?mode=LST&amp;pageIndex=0&amp;docid=302056&amp;part=1&amp;doclang=LV&amp;text=&amp;occ=first&amp;cid=479396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gateway.elieta.lv/api/v1/PublicMaterialDownload/de5f8a1a-3e8c-4568-9cb2-5a2ad5bfbc30" TargetMode="External"/><Relationship Id="rId4" Type="http://schemas.openxmlformats.org/officeDocument/2006/relationships/settings" Target="settings.xml"/><Relationship Id="rId9" Type="http://schemas.openxmlformats.org/officeDocument/2006/relationships/hyperlink" Target="https://likumi.lv/wwwraksti/ANOTACIJAS/TAP/2021_05/EMANOT_260421_APGROZLIDZ.975.DOC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6A00D-B116-4A50-AD7D-E8DD9EA4A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11358</Words>
  <Characters>6475</Characters>
  <Application>Microsoft Office Word</Application>
  <DocSecurity>0</DocSecurity>
  <Lines>53</Lines>
  <Paragraphs>35</Paragraphs>
  <ScaleCrop>false</ScaleCrop>
  <Company/>
  <LinksUpToDate>false</LinksUpToDate>
  <CharactersWithSpaces>17798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2026-01-14T12:56:00Z</dcterms:created>
  <dcterms:modified xsi:type="dcterms:W3CDTF">2026-01-14T12:56:00Z</dcterms:modified>
</cp:coreProperties>
</file>