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0557" w14:textId="77777777" w:rsidR="00324619" w:rsidRDefault="00324619" w:rsidP="00324619">
      <w:pPr>
        <w:spacing w:line="276" w:lineRule="auto"/>
        <w:jc w:val="both"/>
        <w:rPr>
          <w:b/>
          <w:bCs/>
          <w:color w:val="000000"/>
          <w:lang w:eastAsia="lv-LV"/>
          <w14:ligatures w14:val="standardContextual"/>
        </w:rPr>
      </w:pPr>
      <w:r>
        <w:rPr>
          <w:b/>
          <w:bCs/>
          <w:color w:val="000000"/>
          <w14:ligatures w14:val="standardContextual"/>
        </w:rPr>
        <w:t xml:space="preserve">Rīcības sēdes lēmuma saturs </w:t>
      </w:r>
    </w:p>
    <w:p w14:paraId="11D943D3" w14:textId="5A44B757" w:rsidR="00A964D9" w:rsidRDefault="00324619" w:rsidP="00324619">
      <w:pPr>
        <w:spacing w:line="276" w:lineRule="auto"/>
        <w:jc w:val="both"/>
        <w:rPr>
          <w:color w:val="000000"/>
          <w14:ligatures w14:val="standardContextual"/>
        </w:rPr>
      </w:pPr>
      <w:r>
        <w:rPr>
          <w:color w:val="000000"/>
          <w14:ligatures w14:val="standardContextual"/>
        </w:rPr>
        <w:t xml:space="preserve">Senātam rīcības sēdes lēmumā nav jāsniedz analīze par kasācijas sūdzībā ietvertajiem argumentiem, jo tā būtu kasācijas sūdzības izskatīšana pēc būtības. Senatoru kolēģija var aprobežoties tikai ar secinājuma norādīšanu par to, ka kasatora </w:t>
      </w:r>
      <w:r w:rsidRPr="00324619">
        <w:rPr>
          <w14:ligatures w14:val="standardContextual"/>
        </w:rPr>
        <w:t>argumenti</w:t>
      </w:r>
      <w:r w:rsidRPr="00324619">
        <w:rPr>
          <w:color w:val="000000"/>
          <w14:ligatures w14:val="standardContextual"/>
        </w:rPr>
        <w:t xml:space="preserve"> nerada</w:t>
      </w:r>
      <w:r>
        <w:rPr>
          <w:color w:val="000000"/>
          <w14:ligatures w14:val="standardContextual"/>
        </w:rPr>
        <w:t xml:space="preserve"> šaubas par pārsūdzētā sprieduma tiesiskumu.</w:t>
      </w:r>
    </w:p>
    <w:p w14:paraId="29B7019B" w14:textId="77777777" w:rsidR="00324619" w:rsidRPr="00324619" w:rsidRDefault="00324619" w:rsidP="00324619">
      <w:pPr>
        <w:spacing w:line="276" w:lineRule="auto"/>
        <w:jc w:val="both"/>
        <w:rPr>
          <w:color w:val="000000"/>
          <w14:ligatures w14:val="standardContextual"/>
        </w:rPr>
      </w:pPr>
    </w:p>
    <w:p w14:paraId="213C44E6" w14:textId="45A31CF6" w:rsidR="00324619" w:rsidRPr="00324619" w:rsidRDefault="00A964D9" w:rsidP="00324619">
      <w:pPr>
        <w:spacing w:before="120" w:line="276" w:lineRule="auto"/>
        <w:jc w:val="center"/>
        <w:rPr>
          <w:b/>
        </w:rPr>
      </w:pPr>
      <w:r w:rsidRPr="00324619">
        <w:rPr>
          <w:b/>
        </w:rPr>
        <w:t>Latvijas Republikas Senāt</w:t>
      </w:r>
      <w:r w:rsidR="00324619" w:rsidRPr="00324619">
        <w:rPr>
          <w:b/>
        </w:rPr>
        <w:t>a</w:t>
      </w:r>
      <w:r w:rsidR="00324619" w:rsidRPr="00324619">
        <w:rPr>
          <w:b/>
        </w:rPr>
        <w:br/>
        <w:t xml:space="preserve">Administratīvo lietu departamenta </w:t>
      </w:r>
      <w:r w:rsidR="00324619" w:rsidRPr="00324619">
        <w:rPr>
          <w:b/>
        </w:rPr>
        <w:br/>
        <w:t>2025.gada 22.decembra</w:t>
      </w:r>
    </w:p>
    <w:p w14:paraId="74A0B174" w14:textId="77777777" w:rsidR="00A964D9" w:rsidRPr="00324619" w:rsidRDefault="00A964D9" w:rsidP="00A964D9">
      <w:pPr>
        <w:spacing w:line="276" w:lineRule="auto"/>
        <w:jc w:val="center"/>
        <w:rPr>
          <w:b/>
        </w:rPr>
      </w:pPr>
      <w:r w:rsidRPr="00324619">
        <w:rPr>
          <w:b/>
        </w:rPr>
        <w:t>RĪCĪBAS SĒDES LĒMUMS</w:t>
      </w:r>
    </w:p>
    <w:p w14:paraId="33D1C001" w14:textId="77777777" w:rsidR="00324619" w:rsidRPr="00324619" w:rsidRDefault="00324619" w:rsidP="00324619">
      <w:pPr>
        <w:spacing w:line="276" w:lineRule="auto"/>
        <w:jc w:val="center"/>
        <w:rPr>
          <w:b/>
          <w:bCs/>
        </w:rPr>
      </w:pPr>
      <w:r w:rsidRPr="00324619">
        <w:rPr>
          <w:b/>
          <w:bCs/>
        </w:rPr>
        <w:t>Lieta Nr. A43012214,</w:t>
      </w:r>
      <w:r w:rsidRPr="00324619">
        <w:rPr>
          <w:b/>
          <w:bCs/>
          <w:lang w:eastAsia="lv-LV"/>
        </w:rPr>
        <w:t xml:space="preserve"> SKA-753/2025</w:t>
      </w:r>
    </w:p>
    <w:p w14:paraId="6B876803" w14:textId="16B3D5CA" w:rsidR="00324619" w:rsidRPr="00324619" w:rsidRDefault="00324619" w:rsidP="00324619">
      <w:pPr>
        <w:spacing w:line="276" w:lineRule="auto"/>
        <w:jc w:val="center"/>
      </w:pPr>
      <w:hyperlink r:id="rId6" w:history="1">
        <w:r w:rsidRPr="00324619">
          <w:rPr>
            <w:rStyle w:val="Hyperlink"/>
          </w:rPr>
          <w:t>ECLI:LV:AT:2025:1222.A43012214.16.L</w:t>
        </w:r>
      </w:hyperlink>
    </w:p>
    <w:p w14:paraId="37770388" w14:textId="77777777" w:rsidR="00A964D9" w:rsidRPr="00D61285" w:rsidRDefault="00A964D9" w:rsidP="006F20ED">
      <w:pPr>
        <w:spacing w:line="276" w:lineRule="auto"/>
        <w:jc w:val="both"/>
        <w:rPr>
          <w:highlight w:val="yellow"/>
        </w:rPr>
      </w:pPr>
    </w:p>
    <w:p w14:paraId="78F1F793" w14:textId="4154CC6C" w:rsidR="001C0D07" w:rsidRDefault="00A964D9" w:rsidP="001C0D07">
      <w:pPr>
        <w:spacing w:line="276" w:lineRule="auto"/>
        <w:ind w:firstLine="567"/>
        <w:jc w:val="both"/>
      </w:pPr>
      <w:r w:rsidRPr="00D61285">
        <w:t>[1] </w:t>
      </w:r>
      <w:r>
        <w:t>Senātā saņemta pieteicēj</w:t>
      </w:r>
      <w:r w:rsidR="00E04447">
        <w:t xml:space="preserve">u – TKM Grupp AS (iepriekš – AS „Tallinna Kaubamaja”) un AS „KIA Auto” – kasācijas sūdzības par Administratīvās </w:t>
      </w:r>
      <w:r w:rsidR="00746A88">
        <w:t xml:space="preserve">apgabaltiesas </w:t>
      </w:r>
      <w:r w:rsidRPr="002E6F21">
        <w:t>202</w:t>
      </w:r>
      <w:r w:rsidR="00E04447">
        <w:t>5</w:t>
      </w:r>
      <w:r w:rsidRPr="002E6F21">
        <w:t xml:space="preserve">.gada </w:t>
      </w:r>
      <w:r w:rsidR="00746A88">
        <w:t>4</w:t>
      </w:r>
      <w:r w:rsidRPr="002E6F21">
        <w:t>.</w:t>
      </w:r>
      <w:r w:rsidR="00E04447">
        <w:t>jūnija</w:t>
      </w:r>
      <w:r w:rsidRPr="002E6F21">
        <w:t xml:space="preserve"> spriedumu</w:t>
      </w:r>
      <w:r>
        <w:t>, ar kuru</w:t>
      </w:r>
      <w:r w:rsidR="00746A88">
        <w:t xml:space="preserve"> </w:t>
      </w:r>
      <w:r w:rsidR="00E04447">
        <w:t>noraidīts TKM Grupp AS (iepriekš – AS „Tallinna Kaubamaja”) un AS „KIA Auto”</w:t>
      </w:r>
      <w:r w:rsidR="005F56A4">
        <w:t xml:space="preserve"> </w:t>
      </w:r>
      <w:r w:rsidR="00E04447">
        <w:t>pieteikums par Konkurences padomes 2014.gada 7.augusta lēmuma Nr.</w:t>
      </w:r>
      <w:r w:rsidR="005D2513">
        <w:t> </w:t>
      </w:r>
      <w:r w:rsidR="00E04447">
        <w:t>E02-40 atcelšanu</w:t>
      </w:r>
      <w:r w:rsidR="005D2513">
        <w:t xml:space="preserve">. </w:t>
      </w:r>
    </w:p>
    <w:p w14:paraId="2E7B1137" w14:textId="306B7BF1" w:rsidR="001C0D07" w:rsidRDefault="005D2513" w:rsidP="001C0D07">
      <w:pPr>
        <w:spacing w:line="276" w:lineRule="auto"/>
        <w:ind w:firstLine="567"/>
        <w:jc w:val="both"/>
      </w:pPr>
      <w:r>
        <w:t>Ar minēto lēmumu Konkurences padome konstatēj</w:t>
      </w:r>
      <w:r w:rsidR="00660CF9">
        <w:t>a</w:t>
      </w:r>
      <w:r>
        <w:t xml:space="preserve"> Konkurences likuma 11.panta pirmās daļas 7.punktā noteiktā aizlieguma pārkāpumu</w:t>
      </w:r>
      <w:r w:rsidR="001C0D07">
        <w:t xml:space="preserve"> </w:t>
      </w:r>
      <w:r>
        <w:t>AS „KIA Auto” (turpmāk – KIA Auto) darbībā</w:t>
      </w:r>
      <w:r w:rsidR="001C0D07">
        <w:t xml:space="preserve">s, proti, aizliegtu vertikālu vienošanos, </w:t>
      </w:r>
      <w:r w:rsidR="001C0D07" w:rsidRPr="001C0D07">
        <w:t>kur</w:t>
      </w:r>
      <w:r w:rsidR="001C0D07">
        <w:t>as</w:t>
      </w:r>
      <w:r w:rsidR="001C0D07" w:rsidRPr="001C0D07">
        <w:t xml:space="preserve"> dēļ cit</w:t>
      </w:r>
      <w:r w:rsidR="001C0D07">
        <w:t>i</w:t>
      </w:r>
      <w:r w:rsidR="001C0D07" w:rsidRPr="001C0D07">
        <w:t xml:space="preserve"> tirgus dalībniek</w:t>
      </w:r>
      <w:r w:rsidR="00422378">
        <w:t>i</w:t>
      </w:r>
      <w:r w:rsidR="001C0D07" w:rsidRPr="001C0D07">
        <w:t xml:space="preserve"> ir spiest</w:t>
      </w:r>
      <w:r w:rsidR="001C0D07">
        <w:t>i</w:t>
      </w:r>
      <w:r w:rsidR="001C0D07" w:rsidRPr="001C0D07">
        <w:t xml:space="preserve"> atstāt kādu konkrēto tirgu vai tiek apgrūtināta potenciāl</w:t>
      </w:r>
      <w:r w:rsidR="001C0D07">
        <w:t>u</w:t>
      </w:r>
      <w:r w:rsidR="001C0D07" w:rsidRPr="001C0D07">
        <w:t xml:space="preserve"> tirgus dalībniek</w:t>
      </w:r>
      <w:r w:rsidR="001C0D07">
        <w:t>u</w:t>
      </w:r>
      <w:r w:rsidR="001C0D07" w:rsidRPr="001C0D07">
        <w:t xml:space="preserve"> iekļūšana kādā konkrētajā tirgū</w:t>
      </w:r>
      <w:r w:rsidR="001C0D07">
        <w:t xml:space="preserve">. Konkurences padomes konstatēja, ka </w:t>
      </w:r>
      <w:r w:rsidR="001C0D07" w:rsidRPr="001C0D07">
        <w:t>KIA tīklā pastāv vienošanās par garantijas noteikumiem</w:t>
      </w:r>
      <w:r w:rsidR="001C0D07">
        <w:t xml:space="preserve">, saskaņā ar kuriem: </w:t>
      </w:r>
      <w:r w:rsidR="001C0D07" w:rsidRPr="001C0D07">
        <w:t xml:space="preserve">1) automobiļu īpašniekiem, lai saglabātu automobiļa garantiju, visas KIA ražotāja paredzētās automobiļa regulārās tehniskās apkopes garantijas periodā </w:t>
      </w:r>
      <w:r w:rsidR="001C0D07">
        <w:t>jā</w:t>
      </w:r>
      <w:r w:rsidR="001C0D07" w:rsidRPr="001C0D07">
        <w:t>vei</w:t>
      </w:r>
      <w:r w:rsidR="001C0D07">
        <w:t>c</w:t>
      </w:r>
      <w:r w:rsidR="001C0D07" w:rsidRPr="001C0D07">
        <w:t xml:space="preserve"> tikai pie KIA </w:t>
      </w:r>
      <w:r w:rsidR="001C0D07">
        <w:t>p</w:t>
      </w:r>
      <w:r w:rsidR="001C0D07" w:rsidRPr="001C0D07">
        <w:t>ilnvarotajiem pārstāvjiem, tādējādi kavējot konkurenci remonta un tehniskās apkopes pakalpojumu tirgū, kā arī 2)</w:t>
      </w:r>
      <w:r w:rsidR="001C0D07">
        <w:t> </w:t>
      </w:r>
      <w:r w:rsidR="001C0D07" w:rsidRPr="001C0D07">
        <w:t xml:space="preserve">remontā un tehniskajās apkopēs garantijas periodā </w:t>
      </w:r>
      <w:r w:rsidR="001C0D07">
        <w:t>jā</w:t>
      </w:r>
      <w:r w:rsidR="001C0D07" w:rsidRPr="001C0D07">
        <w:t xml:space="preserve">izmanto tikai KIA </w:t>
      </w:r>
      <w:r w:rsidR="001C0D07">
        <w:t>r</w:t>
      </w:r>
      <w:r w:rsidR="001C0D07" w:rsidRPr="001C0D07">
        <w:t>ažotāja oriģinālās rezerves daļas, kavējot konkurenci rezerves daļu izplatīšanas tirgū.</w:t>
      </w:r>
      <w:r w:rsidR="001C0D07">
        <w:t xml:space="preserve"> </w:t>
      </w:r>
    </w:p>
    <w:p w14:paraId="351D63A5" w14:textId="669C1C97" w:rsidR="005D2513" w:rsidRDefault="001C0D07" w:rsidP="001C0D07">
      <w:pPr>
        <w:spacing w:line="276" w:lineRule="auto"/>
        <w:ind w:firstLine="567"/>
        <w:jc w:val="both"/>
      </w:pPr>
      <w:r>
        <w:t>Konkurences padome uzlik</w:t>
      </w:r>
      <w:r w:rsidR="00660CF9">
        <w:t>a</w:t>
      </w:r>
      <w:r>
        <w:t xml:space="preserve"> KIA Auto</w:t>
      </w:r>
      <w:r w:rsidR="005D2513">
        <w:t xml:space="preserve"> vairāk</w:t>
      </w:r>
      <w:r>
        <w:t>us</w:t>
      </w:r>
      <w:r w:rsidR="005D2513">
        <w:t xml:space="preserve"> tiesisk</w:t>
      </w:r>
      <w:r>
        <w:t>os</w:t>
      </w:r>
      <w:r w:rsidR="005D2513">
        <w:t xml:space="preserve"> pienākum</w:t>
      </w:r>
      <w:r>
        <w:t>us</w:t>
      </w:r>
      <w:r w:rsidR="005D2513">
        <w:t>, kā arī naudas sod</w:t>
      </w:r>
      <w:r>
        <w:t>u</w:t>
      </w:r>
      <w:r w:rsidR="005D2513">
        <w:t xml:space="preserve"> 134</w:t>
      </w:r>
      <w:r w:rsidR="00660CF9">
        <w:t> </w:t>
      </w:r>
      <w:r w:rsidR="005D2513">
        <w:t>514,43</w:t>
      </w:r>
      <w:r w:rsidR="00660CF9">
        <w:t> </w:t>
      </w:r>
      <w:r w:rsidR="005D2513" w:rsidRPr="001C0D07">
        <w:rPr>
          <w:i/>
          <w:iCs/>
        </w:rPr>
        <w:t>euro</w:t>
      </w:r>
      <w:r w:rsidR="005D2513">
        <w:t>, no tā 96</w:t>
      </w:r>
      <w:r w:rsidR="00660CF9">
        <w:t> </w:t>
      </w:r>
      <w:r w:rsidR="005D2513">
        <w:t>150,92</w:t>
      </w:r>
      <w:r w:rsidR="00660CF9">
        <w:t> </w:t>
      </w:r>
      <w:r w:rsidR="005D2513" w:rsidRPr="001C0D07">
        <w:rPr>
          <w:i/>
          <w:iCs/>
        </w:rPr>
        <w:t>euro</w:t>
      </w:r>
      <w:r w:rsidR="005D2513">
        <w:t xml:space="preserve"> solidāri ar mātes sabiedrību AS</w:t>
      </w:r>
      <w:r>
        <w:t> </w:t>
      </w:r>
      <w:r w:rsidR="005D2513">
        <w:t>„Tallinna Kaubamaja” (turpmāk – Tallinna Kaubamaja).</w:t>
      </w:r>
    </w:p>
    <w:p w14:paraId="4326F7E3" w14:textId="77777777" w:rsidR="002D691F" w:rsidRDefault="002D691F" w:rsidP="001C0D07">
      <w:pPr>
        <w:spacing w:line="276" w:lineRule="auto"/>
        <w:ind w:firstLine="567"/>
        <w:jc w:val="both"/>
      </w:pPr>
    </w:p>
    <w:p w14:paraId="206C2130" w14:textId="45CB644A" w:rsidR="002D691F" w:rsidRDefault="002D691F" w:rsidP="002D691F">
      <w:pPr>
        <w:spacing w:line="276" w:lineRule="auto"/>
        <w:ind w:firstLine="567"/>
        <w:jc w:val="both"/>
      </w:pPr>
      <w:r>
        <w:t>[</w:t>
      </w:r>
      <w:r w:rsidR="00422378">
        <w:t>2</w:t>
      </w:r>
      <w:r>
        <w:t>] KIA Auto ir iesniegusi kasācijas sūdzību par apgabaltiesas spriedumu.</w:t>
      </w:r>
    </w:p>
    <w:p w14:paraId="6111C76D" w14:textId="0E01B47C" w:rsidR="00422378" w:rsidRDefault="002D691F" w:rsidP="002D691F">
      <w:pPr>
        <w:spacing w:line="276" w:lineRule="auto"/>
        <w:ind w:firstLine="567"/>
        <w:jc w:val="both"/>
      </w:pPr>
      <w:r>
        <w:t xml:space="preserve">Pieteicēja norāda, ka apgabaltiesa, pārbaudot Konkurences padomes secinājumus par vienošanos kā tādu, kas pēc tās sekām ierobežo konkurenci, ir ignorējusi Senāta spriedumu šajā lietā. </w:t>
      </w:r>
    </w:p>
    <w:p w14:paraId="51E5F304" w14:textId="5F68D65E" w:rsidR="002D691F" w:rsidRDefault="00422378" w:rsidP="002D691F">
      <w:pPr>
        <w:spacing w:line="276" w:lineRule="auto"/>
        <w:ind w:firstLine="567"/>
        <w:jc w:val="both"/>
      </w:pPr>
      <w:r>
        <w:t xml:space="preserve">Senatoru kolēģija vērš uzmanību, </w:t>
      </w:r>
      <w:r w:rsidR="002D691F">
        <w:t>ka Eiropas Savienības Tiesa 2024.gada 5.decembra spriedumā lietā „</w:t>
      </w:r>
      <w:r w:rsidR="002D691F" w:rsidRPr="002D691F">
        <w:t>Tallinna Kaubamaja Grupp un KIA Auto</w:t>
      </w:r>
      <w:r w:rsidR="002D691F">
        <w:t xml:space="preserve">”, C-606/23, </w:t>
      </w:r>
      <w:hyperlink r:id="rId7" w:history="1">
        <w:r w:rsidR="002D691F" w:rsidRPr="001C5ACB">
          <w:rPr>
            <w:rStyle w:val="Hyperlink"/>
          </w:rPr>
          <w:t>ECLI:EU:C:2024:1004</w:t>
        </w:r>
      </w:hyperlink>
      <w:r w:rsidR="002D691F">
        <w:t xml:space="preserve">, ir novērsusi neskaidrības attiecībā uz pierādāmajiem apstākļiem gadījumā, ja apgalvotais pārkāpums ir pārkāpums </w:t>
      </w:r>
      <w:r w:rsidR="001C5ACB">
        <w:t xml:space="preserve">pēc </w:t>
      </w:r>
      <w:r w:rsidR="002D691F">
        <w:t>sek</w:t>
      </w:r>
      <w:r w:rsidR="001C5ACB">
        <w:t>ām</w:t>
      </w:r>
      <w:r w:rsidR="002D691F">
        <w:t xml:space="preserve">. Apgabaltiesa ir pārbaudījusi Konkurences padomes lēmumu atbilstoši Eiropas Savienības Tiesas atziņām minētajā spriedumā. </w:t>
      </w:r>
      <w:r w:rsidR="001C5ACB">
        <w:t xml:space="preserve">Senatoru kolēģija nepiekrīt pieteicējas apgalvojumam, ka apgabaltiesa nav novērtējusi ar pārkāpumu skartos tirgus, ekonomisko un juridisko kontekstu un vienošanās potenciālās sekas. Apgabaltiesa tostarp ir norādījusi arī uz to, ka </w:t>
      </w:r>
      <w:r w:rsidR="001C5ACB">
        <w:lastRenderedPageBreak/>
        <w:t>lielāku remonta un izmaksu dēļ, ar ko KIA automobiļu īpašniekiem bija jārēķinās vienošanās darbības dēļ</w:t>
      </w:r>
      <w:r>
        <w:t>, ja viņi gribētu saglabāt garantiju</w:t>
      </w:r>
      <w:r w:rsidR="001C5ACB">
        <w:t xml:space="preserve">, </w:t>
      </w:r>
      <w:r w:rsidR="001C5ACB" w:rsidRPr="001C5ACB">
        <w:t xml:space="preserve">tika </w:t>
      </w:r>
      <w:r w:rsidR="002650DC" w:rsidRPr="002650DC">
        <w:t>kavēta konkurence remonta un tehniskās apkopes pakalpojumu</w:t>
      </w:r>
      <w:r w:rsidR="002650DC">
        <w:t xml:space="preserve"> </w:t>
      </w:r>
      <w:r w:rsidR="002650DC" w:rsidRPr="002650DC">
        <w:t>tirgū</w:t>
      </w:r>
      <w:r w:rsidR="005933A1">
        <w:t>, kā arī rezerves daļu izplatīšanas tirgū</w:t>
      </w:r>
      <w:r w:rsidR="001C5ACB">
        <w:t xml:space="preserve">. </w:t>
      </w:r>
      <w:r w:rsidR="004D4A6F">
        <w:t xml:space="preserve">Senatoru kolēģijai nav šaubu, ka apgabaltiesas konstatētie apstākļi liecina par pietiekami būtisku ietekmi uz konkurenci, un to atspoguļo </w:t>
      </w:r>
      <w:r>
        <w:t xml:space="preserve">jo īpaši </w:t>
      </w:r>
      <w:r w:rsidR="004D4A6F">
        <w:t xml:space="preserve">apgabaltiesas sprieduma 25.–26., 30.punktā ietvertais apstākļu novērtējums. </w:t>
      </w:r>
    </w:p>
    <w:p w14:paraId="7F48BD24" w14:textId="28918E73" w:rsidR="004D4A6F" w:rsidRDefault="004D4A6F" w:rsidP="002D691F">
      <w:pPr>
        <w:spacing w:line="276" w:lineRule="auto"/>
        <w:ind w:firstLine="567"/>
        <w:jc w:val="both"/>
      </w:pPr>
      <w:r>
        <w:t xml:space="preserve">Bez ievērības atstājami pieteicējas apsvērumi, kas balstīti uz faktiem, kuri apgabaltiesas spriedumā nav pierādīti vai ir </w:t>
      </w:r>
      <w:r w:rsidR="003606EC">
        <w:t>noraidīti</w:t>
      </w:r>
      <w:r w:rsidR="003B7DE3">
        <w:t>, tai skaitā</w:t>
      </w:r>
      <w:r w:rsidR="003606EC">
        <w:t xml:space="preserve"> pieteicējas atšķirīgais skaidrojums par garantijas nosacījumie</w:t>
      </w:r>
      <w:r w:rsidR="003B7DE3">
        <w:t>m</w:t>
      </w:r>
      <w:r w:rsidR="005D5F5E">
        <w:t xml:space="preserve"> un </w:t>
      </w:r>
      <w:r w:rsidR="00422378">
        <w:t xml:space="preserve">vispārīgs </w:t>
      </w:r>
      <w:r w:rsidR="005D5F5E">
        <w:t>noliegums vienošanās ietekmei uz konkurenci</w:t>
      </w:r>
      <w:r w:rsidR="003B7DE3">
        <w:t>.</w:t>
      </w:r>
    </w:p>
    <w:p w14:paraId="4F3FE728" w14:textId="77777777" w:rsidR="005D2513" w:rsidRDefault="005D2513" w:rsidP="006F20ED">
      <w:pPr>
        <w:spacing w:line="276" w:lineRule="auto"/>
        <w:ind w:firstLine="567"/>
        <w:jc w:val="both"/>
      </w:pPr>
    </w:p>
    <w:p w14:paraId="08A1A394" w14:textId="26D354E9" w:rsidR="005F56A4" w:rsidRDefault="001C0D07" w:rsidP="005F56A4">
      <w:pPr>
        <w:spacing w:line="276" w:lineRule="auto"/>
        <w:ind w:firstLine="567"/>
        <w:jc w:val="both"/>
      </w:pPr>
      <w:r>
        <w:t>[</w:t>
      </w:r>
      <w:r w:rsidR="00422378">
        <w:t>3</w:t>
      </w:r>
      <w:r>
        <w:t xml:space="preserve">] </w:t>
      </w:r>
      <w:r w:rsidRPr="001C0D07">
        <w:t>TKM Grupp AS</w:t>
      </w:r>
      <w:r>
        <w:t xml:space="preserve"> iesniegusi kasācijas sūdzību par spriedumu daļā par solidāras atbildības piemērošanu tai.</w:t>
      </w:r>
      <w:r w:rsidR="005F56A4">
        <w:t xml:space="preserve"> Pieteicēja uzskata, ka tiesa nav pareizi piemērojusi Eiropas Savienības Tiesas spriedumu atziņas par to, kādos gadījumos mātes sabiedrību var saukt pie solidāras atbildības vienlaikus ar meitas sabiedrību (šai gadījumā pastarpināti piederošu)</w:t>
      </w:r>
      <w:r w:rsidR="00376BC2">
        <w:t>, proti, kad tās būtu atzīstamas par vienu tirgus dalībnieku</w:t>
      </w:r>
      <w:r w:rsidR="005F56A4">
        <w:t xml:space="preserve">. </w:t>
      </w:r>
      <w:r w:rsidR="00422378">
        <w:t>Pieteicēja norāda: l</w:t>
      </w:r>
      <w:r w:rsidR="005F56A4">
        <w:t>ai gan spriedums formāli ietver novērtējumu par TKM Grupp AS un KIA Auto kā vienu tirgus dalībnieku konkurences tiesību izpratnē, pierādījumu un argumentu novērtējums nav balstīts ne uz pilnvērtīgi izpētītiem lietas faktiskajiem apstākļiem, ne tiesību normām. Tiesa turklāt ne</w:t>
      </w:r>
      <w:r w:rsidR="00422378">
        <w:t xml:space="preserve">esot </w:t>
      </w:r>
      <w:r w:rsidR="005F56A4">
        <w:t>norādīj</w:t>
      </w:r>
      <w:r w:rsidR="00422378">
        <w:t>usi</w:t>
      </w:r>
      <w:r w:rsidR="005F56A4">
        <w:t xml:space="preserve"> nedz uz apstākļiem, nedz pierādījumiem, kas TKM Grupp AS būtu jāpierāda un jāiesniedz, lai atspēkotu prezumpciju par mātes sabiedrības ietekmi.</w:t>
      </w:r>
    </w:p>
    <w:p w14:paraId="00C8D6D5" w14:textId="48E682C0" w:rsidR="002E06B9" w:rsidRDefault="00567EA0" w:rsidP="00567EA0">
      <w:pPr>
        <w:spacing w:line="276" w:lineRule="auto"/>
        <w:ind w:firstLine="567"/>
        <w:jc w:val="both"/>
      </w:pPr>
      <w:r>
        <w:t xml:space="preserve">Ievērojot, ka rīcības sēdes lēmumā nav jāsniedz analīze par kasācijas sūdzībā ietvertajiem argumentiem, jo tā būtu kasācijas sūdzības izskatīšana pēc būtības, senatoru kolēģija aprobežojas ar secinājumu, ka pieteicējas norādes uz Eiropas Savienības Tiesas judikatūru par solidāras atbildības piemērošanu mātes sabiedrībai par meitas sabiedrības </w:t>
      </w:r>
      <w:r w:rsidR="001E65DE">
        <w:t>rīcību</w:t>
      </w:r>
      <w:r>
        <w:t xml:space="preserve"> nerada šaubas par apgabaltiesas sprieduma tiesiskumu. </w:t>
      </w:r>
      <w:r w:rsidR="001E65DE">
        <w:t>Konkurences padom</w:t>
      </w:r>
      <w:r w:rsidR="002E06B9">
        <w:t>ei, ievērojot 100 % kapitāla daļu piederību mātes sabiedrībai (lai arī pastarpināti), jau ar to vien bija pietiekams pamats atzīt mātes sabiedrības izšķirošu ietekmi. Tālāk tieši pieteicējas ziņā bija atspēkot šo prezumpciju (</w:t>
      </w:r>
      <w:r w:rsidR="002E06B9" w:rsidRPr="002E06B9">
        <w:rPr>
          <w:i/>
          <w:iCs/>
        </w:rPr>
        <w:t xml:space="preserve">Eiropas Savienības Tiesas 2017.gada 26.oktobra sprieduma lietā „Global Steel Wire u.c./Komisija”, C‑457/16 P un no C‑459/16 P līdz C‑461/16 P, </w:t>
      </w:r>
      <w:hyperlink r:id="rId8" w:history="1">
        <w:r w:rsidR="002E06B9" w:rsidRPr="002E06B9">
          <w:rPr>
            <w:rStyle w:val="Hyperlink"/>
            <w:i/>
            <w:iCs/>
          </w:rPr>
          <w:t>ECLI:EU:C:2017:819</w:t>
        </w:r>
      </w:hyperlink>
      <w:r w:rsidR="002E06B9" w:rsidRPr="002E06B9">
        <w:rPr>
          <w:i/>
          <w:iCs/>
        </w:rPr>
        <w:t>, 8</w:t>
      </w:r>
      <w:r w:rsidR="00394A62">
        <w:rPr>
          <w:i/>
          <w:iCs/>
        </w:rPr>
        <w:t>3.–85</w:t>
      </w:r>
      <w:r w:rsidR="002E06B9" w:rsidRPr="002E06B9">
        <w:rPr>
          <w:i/>
          <w:iCs/>
        </w:rPr>
        <w:t>. punkts un taj</w:t>
      </w:r>
      <w:r w:rsidR="00394A62">
        <w:rPr>
          <w:i/>
          <w:iCs/>
        </w:rPr>
        <w:t>os</w:t>
      </w:r>
      <w:r w:rsidR="002E06B9" w:rsidRPr="002E06B9">
        <w:rPr>
          <w:i/>
          <w:iCs/>
        </w:rPr>
        <w:t xml:space="preserve"> minētā judikatūra</w:t>
      </w:r>
      <w:r w:rsidR="002E06B9">
        <w:t>).</w:t>
      </w:r>
    </w:p>
    <w:p w14:paraId="66B38A51" w14:textId="58A03C05" w:rsidR="00567EA0" w:rsidRDefault="00567EA0" w:rsidP="002E06B9">
      <w:pPr>
        <w:spacing w:line="276" w:lineRule="auto"/>
        <w:ind w:firstLine="567"/>
        <w:jc w:val="both"/>
      </w:pPr>
      <w:r>
        <w:t xml:space="preserve">Turklāt </w:t>
      </w:r>
      <w:r w:rsidR="002E06B9">
        <w:t xml:space="preserve">no tā izriet, ka </w:t>
      </w:r>
      <w:r>
        <w:t xml:space="preserve">objektīvās izmeklēšanas princips neuzliek pienākumu administratīvajai tiesai </w:t>
      </w:r>
      <w:r w:rsidR="002E06B9" w:rsidRPr="002E06B9">
        <w:rPr>
          <w:i/>
          <w:iCs/>
        </w:rPr>
        <w:t>ex officio</w:t>
      </w:r>
      <w:r>
        <w:t xml:space="preserve"> vākt pierādījumus</w:t>
      </w:r>
      <w:r w:rsidR="002E06B9">
        <w:t xml:space="preserve"> vai </w:t>
      </w:r>
      <w:r w:rsidR="001C2325">
        <w:t>dot norādījumus un ieteikumus</w:t>
      </w:r>
      <w:r w:rsidR="002E06B9">
        <w:t xml:space="preserve"> pieteicējai iesniegt konkrētus pier</w:t>
      </w:r>
      <w:r w:rsidR="00394A62">
        <w:t>ā</w:t>
      </w:r>
      <w:r w:rsidR="002E06B9">
        <w:t>dījumus</w:t>
      </w:r>
      <w:r>
        <w:t xml:space="preserve">, lai </w:t>
      </w:r>
      <w:r w:rsidR="00660CF9">
        <w:t xml:space="preserve">atspēkotu </w:t>
      </w:r>
      <w:r>
        <w:t>prezumpcij</w:t>
      </w:r>
      <w:r w:rsidR="00660CF9">
        <w:t>u</w:t>
      </w:r>
      <w:r>
        <w:t xml:space="preserve"> par mātes sabiedrības ietekm</w:t>
      </w:r>
      <w:r w:rsidR="00660CF9">
        <w:t>i</w:t>
      </w:r>
      <w:r>
        <w:t xml:space="preserve">. </w:t>
      </w:r>
    </w:p>
    <w:p w14:paraId="000C0348" w14:textId="77777777" w:rsidR="002E06B9" w:rsidRDefault="002E06B9" w:rsidP="002E06B9">
      <w:pPr>
        <w:spacing w:line="276" w:lineRule="auto"/>
        <w:ind w:firstLine="567"/>
        <w:jc w:val="both"/>
      </w:pPr>
    </w:p>
    <w:p w14:paraId="3B48AAFF" w14:textId="146D39F3" w:rsidR="00A964D9" w:rsidRDefault="002D691F" w:rsidP="00ED5C59">
      <w:pPr>
        <w:spacing w:line="276" w:lineRule="auto"/>
        <w:ind w:firstLine="567"/>
        <w:jc w:val="both"/>
      </w:pPr>
      <w:r>
        <w:t>[</w:t>
      </w:r>
      <w:r w:rsidR="00422378">
        <w:t>4</w:t>
      </w:r>
      <w:r>
        <w:t xml:space="preserve">] </w:t>
      </w:r>
      <w:r w:rsidR="004959B8">
        <w:t>Ņemot vērā minēto,</w:t>
      </w:r>
      <w:r w:rsidR="00D17EEA" w:rsidRPr="00265A80">
        <w:t xml:space="preserve"> kasācijas sūdzībā</w:t>
      </w:r>
      <w:r w:rsidR="00ED5C59">
        <w:t>s</w:t>
      </w:r>
      <w:r w:rsidR="00A964D9" w:rsidRPr="00265A80">
        <w:t xml:space="preserve"> norādītie argumenti nerada šaubas par sprieduma tiesiskumu</w:t>
      </w:r>
      <w:r w:rsidR="00572D1D">
        <w:t>. I</w:t>
      </w:r>
      <w:r w:rsidR="00A964D9" w:rsidRPr="00265A80">
        <w:t xml:space="preserve">zskatāmajai lietai </w:t>
      </w:r>
      <w:r w:rsidR="00572D1D">
        <w:t xml:space="preserve">arī </w:t>
      </w:r>
      <w:r w:rsidR="00A964D9" w:rsidRPr="00265A80">
        <w:t>nav nozīmes judikatūras veidošanā.</w:t>
      </w:r>
      <w:r w:rsidR="00D17EEA" w:rsidRPr="00265A80">
        <w:t xml:space="preserve"> Tas ir pamats atteikt ierosināt kasācijas tiesvedību.</w:t>
      </w:r>
    </w:p>
    <w:p w14:paraId="6DD4D1E0" w14:textId="77777777" w:rsidR="00A964D9" w:rsidRDefault="00A964D9" w:rsidP="00A964D9">
      <w:pPr>
        <w:spacing w:line="276" w:lineRule="auto"/>
        <w:ind w:firstLine="567"/>
        <w:jc w:val="both"/>
      </w:pPr>
    </w:p>
    <w:p w14:paraId="18846508" w14:textId="77777777" w:rsidR="00A964D9" w:rsidRPr="00D61285" w:rsidRDefault="00A964D9" w:rsidP="00A964D9">
      <w:pPr>
        <w:spacing w:line="276" w:lineRule="auto"/>
        <w:ind w:firstLine="567"/>
        <w:jc w:val="both"/>
      </w:pPr>
      <w:r w:rsidRPr="00D61285">
        <w:t>Pamatojoties uz Administratīvā procesa likuma 338.panta otro daļu un 338.</w:t>
      </w:r>
      <w:r w:rsidRPr="00D61285">
        <w:rPr>
          <w:vertAlign w:val="superscript"/>
        </w:rPr>
        <w:t>1</w:t>
      </w:r>
      <w:r w:rsidRPr="00D61285">
        <w:t>panta otrās daļas 2.punktu, senatoru kolēģija</w:t>
      </w:r>
    </w:p>
    <w:p w14:paraId="2A2491B0" w14:textId="77777777" w:rsidR="00A964D9" w:rsidRPr="00D61285" w:rsidRDefault="00A964D9" w:rsidP="00A964D9">
      <w:pPr>
        <w:spacing w:line="276" w:lineRule="auto"/>
        <w:jc w:val="center"/>
        <w:rPr>
          <w:b/>
        </w:rPr>
      </w:pPr>
    </w:p>
    <w:p w14:paraId="57F5E61A" w14:textId="77777777" w:rsidR="00A964D9" w:rsidRPr="00D61285" w:rsidRDefault="00A964D9" w:rsidP="00A964D9">
      <w:pPr>
        <w:spacing w:line="276" w:lineRule="auto"/>
        <w:jc w:val="center"/>
        <w:rPr>
          <w:b/>
        </w:rPr>
      </w:pPr>
      <w:r w:rsidRPr="00D61285">
        <w:rPr>
          <w:b/>
        </w:rPr>
        <w:t>nolēma</w:t>
      </w:r>
    </w:p>
    <w:p w14:paraId="0F895322" w14:textId="77777777" w:rsidR="00A964D9" w:rsidRPr="00D61285" w:rsidRDefault="00A964D9" w:rsidP="00A964D9">
      <w:pPr>
        <w:spacing w:line="276" w:lineRule="auto"/>
        <w:ind w:firstLine="720"/>
        <w:jc w:val="both"/>
      </w:pPr>
    </w:p>
    <w:p w14:paraId="2246F11B" w14:textId="3EDF8472" w:rsidR="00A964D9" w:rsidRPr="00D61285" w:rsidRDefault="00A964D9" w:rsidP="00A964D9">
      <w:pPr>
        <w:spacing w:line="276" w:lineRule="auto"/>
        <w:ind w:firstLine="567"/>
        <w:jc w:val="both"/>
      </w:pPr>
      <w:r>
        <w:t>a</w:t>
      </w:r>
      <w:r w:rsidRPr="00D61285">
        <w:t>tteikt ierosināt kasācijas tiesvedību sakarā ar</w:t>
      </w:r>
      <w:r w:rsidRPr="00907560">
        <w:rPr>
          <w:i/>
          <w:iCs/>
        </w:rPr>
        <w:t xml:space="preserve"> </w:t>
      </w:r>
      <w:r w:rsidR="00ED5C59" w:rsidRPr="00ED5C59">
        <w:t xml:space="preserve">TKM Grupp AS un AS „KIA Auto” </w:t>
      </w:r>
      <w:r w:rsidR="00ED5C59">
        <w:t>k</w:t>
      </w:r>
      <w:r w:rsidR="00ED5C59" w:rsidRPr="00ED5C59">
        <w:t>asācijas sūdzīb</w:t>
      </w:r>
      <w:r w:rsidR="00ED5C59">
        <w:t>ām</w:t>
      </w:r>
      <w:r w:rsidR="00ED5C59" w:rsidRPr="00ED5C59">
        <w:t xml:space="preserve"> par Administratīvās apgabaltiesas 2025.gada 4.jūnija spriedumu</w:t>
      </w:r>
      <w:r w:rsidRPr="00D61285">
        <w:t>.</w:t>
      </w:r>
    </w:p>
    <w:p w14:paraId="169C63AA" w14:textId="77777777" w:rsidR="00A964D9" w:rsidRPr="00D61285" w:rsidRDefault="00A964D9" w:rsidP="00A964D9">
      <w:pPr>
        <w:spacing w:line="276" w:lineRule="auto"/>
        <w:ind w:firstLine="567"/>
        <w:jc w:val="both"/>
      </w:pPr>
      <w:r w:rsidRPr="00D61285">
        <w:t>Lēmums nav pārsūdzams.</w:t>
      </w:r>
    </w:p>
    <w:p w14:paraId="08A835D8" w14:textId="77777777" w:rsidR="00A964D9" w:rsidRDefault="00A964D9" w:rsidP="00A964D9">
      <w:pPr>
        <w:spacing w:line="276" w:lineRule="auto"/>
        <w:jc w:val="both"/>
      </w:pPr>
    </w:p>
    <w:p w14:paraId="76C3A4E8" w14:textId="77777777" w:rsidR="001360F0" w:rsidRDefault="001360F0" w:rsidP="00A964D9">
      <w:pPr>
        <w:spacing w:line="276" w:lineRule="auto"/>
        <w:jc w:val="both"/>
      </w:pPr>
    </w:p>
    <w:p w14:paraId="38266514" w14:textId="77777777" w:rsidR="00A964D9" w:rsidRPr="001D546B" w:rsidRDefault="00A964D9" w:rsidP="00A964D9">
      <w:pPr>
        <w:shd w:val="clear" w:color="auto" w:fill="FFFFFF"/>
        <w:spacing w:line="276" w:lineRule="auto"/>
        <w:rPr>
          <w:b/>
        </w:rPr>
      </w:pPr>
    </w:p>
    <w:p w14:paraId="3400804A" w14:textId="77777777" w:rsidR="00A964D9" w:rsidRPr="001D546B" w:rsidRDefault="00A964D9" w:rsidP="00A964D9">
      <w:pPr>
        <w:spacing w:line="276" w:lineRule="auto"/>
      </w:pPr>
      <w:bookmarkStart w:id="0" w:name="_Hlk1729001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52"/>
        <w:gridCol w:w="2834"/>
      </w:tblGrid>
      <w:tr w:rsidR="00A964D9" w:rsidRPr="002A006B" w14:paraId="40E7B667" w14:textId="77777777" w:rsidTr="00EA51C7">
        <w:tc>
          <w:tcPr>
            <w:tcW w:w="2819" w:type="dxa"/>
          </w:tcPr>
          <w:bookmarkEnd w:id="0"/>
          <w:p w14:paraId="1246706D" w14:textId="64F06B4D" w:rsidR="00A964D9" w:rsidRPr="001D546B" w:rsidRDefault="00F669BA" w:rsidP="00EA51C7">
            <w:pPr>
              <w:tabs>
                <w:tab w:val="num" w:pos="0"/>
              </w:tabs>
              <w:spacing w:after="120" w:line="276" w:lineRule="auto"/>
              <w:rPr>
                <w:sz w:val="24"/>
              </w:rPr>
            </w:pPr>
            <w:r>
              <w:rPr>
                <w:color w:val="000000"/>
                <w:sz w:val="24"/>
              </w:rPr>
              <w:t xml:space="preserve">Senatore </w:t>
            </w:r>
            <w:r w:rsidR="00A964D9" w:rsidRPr="003356EE">
              <w:rPr>
                <w:color w:val="000000"/>
                <w:sz w:val="24"/>
              </w:rPr>
              <w:t>R. Vīduša</w:t>
            </w:r>
          </w:p>
        </w:tc>
        <w:tc>
          <w:tcPr>
            <w:tcW w:w="2852" w:type="dxa"/>
          </w:tcPr>
          <w:p w14:paraId="3353BB66" w14:textId="3D112904" w:rsidR="00A964D9" w:rsidRPr="001D546B" w:rsidRDefault="00F669BA" w:rsidP="00EA51C7">
            <w:pPr>
              <w:tabs>
                <w:tab w:val="num" w:pos="709"/>
              </w:tabs>
              <w:spacing w:after="120" w:line="276" w:lineRule="auto"/>
              <w:jc w:val="center"/>
              <w:rPr>
                <w:sz w:val="24"/>
              </w:rPr>
            </w:pPr>
            <w:r>
              <w:rPr>
                <w:color w:val="000000"/>
                <w:sz w:val="24"/>
              </w:rPr>
              <w:t>Senator</w:t>
            </w:r>
            <w:r w:rsidR="00ED5C59">
              <w:rPr>
                <w:color w:val="000000"/>
                <w:sz w:val="24"/>
              </w:rPr>
              <w:t>s E. Darapoļskis</w:t>
            </w:r>
          </w:p>
        </w:tc>
        <w:tc>
          <w:tcPr>
            <w:tcW w:w="2834" w:type="dxa"/>
          </w:tcPr>
          <w:p w14:paraId="2E48FB91" w14:textId="7F036FFB" w:rsidR="00A964D9" w:rsidRPr="002A006B" w:rsidRDefault="00F669BA" w:rsidP="00EA51C7">
            <w:pPr>
              <w:tabs>
                <w:tab w:val="num" w:pos="709"/>
              </w:tabs>
              <w:spacing w:after="120" w:line="276" w:lineRule="auto"/>
              <w:jc w:val="right"/>
              <w:rPr>
                <w:sz w:val="24"/>
              </w:rPr>
            </w:pPr>
            <w:r>
              <w:rPr>
                <w:sz w:val="24"/>
              </w:rPr>
              <w:t xml:space="preserve">Senatore </w:t>
            </w:r>
            <w:r w:rsidR="00A964D9" w:rsidRPr="00331F09">
              <w:rPr>
                <w:sz w:val="24"/>
              </w:rPr>
              <w:t>I. Meldere</w:t>
            </w:r>
          </w:p>
        </w:tc>
      </w:tr>
    </w:tbl>
    <w:p w14:paraId="144D6743" w14:textId="77777777" w:rsidR="00A964D9" w:rsidRPr="00D61285" w:rsidRDefault="00A964D9" w:rsidP="00A964D9">
      <w:pPr>
        <w:spacing w:line="276" w:lineRule="auto"/>
        <w:jc w:val="both"/>
      </w:pPr>
    </w:p>
    <w:p w14:paraId="2C823F0E" w14:textId="77777777" w:rsidR="00A964D9" w:rsidRDefault="00A964D9"/>
    <w:sectPr w:rsidR="00A964D9" w:rsidSect="00A964D9">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F2E2" w14:textId="77777777" w:rsidR="003E7BA4" w:rsidRDefault="003E7BA4">
      <w:r>
        <w:separator/>
      </w:r>
    </w:p>
  </w:endnote>
  <w:endnote w:type="continuationSeparator" w:id="0">
    <w:p w14:paraId="52B5D2C3" w14:textId="77777777" w:rsidR="003E7BA4" w:rsidRDefault="003E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85758"/>
      <w:docPartObj>
        <w:docPartGallery w:val="Page Numbers (Bottom of Page)"/>
        <w:docPartUnique/>
      </w:docPartObj>
    </w:sdtPr>
    <w:sdtEndPr/>
    <w:sdtContent>
      <w:sdt>
        <w:sdtPr>
          <w:id w:val="-1449623365"/>
          <w:docPartObj>
            <w:docPartGallery w:val="Page Numbers (Top of Page)"/>
            <w:docPartUnique/>
          </w:docPartObj>
        </w:sdtPr>
        <w:sdtEndPr/>
        <w:sdtContent>
          <w:p w14:paraId="1BA3B00F" w14:textId="77777777" w:rsidR="008278B7" w:rsidRDefault="00E77F6D">
            <w:pPr>
              <w:pStyle w:val="Footer"/>
              <w:jc w:val="center"/>
            </w:pPr>
            <w:r w:rsidRPr="0012378A">
              <w:fldChar w:fldCharType="begin"/>
            </w:r>
            <w:r w:rsidRPr="0012378A">
              <w:instrText xml:space="preserve"> PAGE </w:instrText>
            </w:r>
            <w:r w:rsidRPr="0012378A">
              <w:fldChar w:fldCharType="separate"/>
            </w:r>
            <w:r>
              <w:rPr>
                <w:noProof/>
              </w:rPr>
              <w:t>2</w:t>
            </w:r>
            <w:r w:rsidRPr="0012378A">
              <w:fldChar w:fldCharType="end"/>
            </w:r>
            <w:r w:rsidRPr="0012378A">
              <w:t xml:space="preserve"> no </w:t>
            </w:r>
            <w:r>
              <w:rPr>
                <w:noProof/>
              </w:rPr>
              <w:fldChar w:fldCharType="begin"/>
            </w:r>
            <w:r>
              <w:rPr>
                <w:noProof/>
              </w:rPr>
              <w:instrText xml:space="preserve"> NUMPAGES  </w:instrText>
            </w:r>
            <w:r>
              <w:rPr>
                <w:noProof/>
              </w:rPr>
              <w:fldChar w:fldCharType="separate"/>
            </w:r>
            <w:r>
              <w:rPr>
                <w:noProof/>
              </w:rPr>
              <w:t>3</w:t>
            </w:r>
            <w:r>
              <w:rPr>
                <w:noProof/>
              </w:rPr>
              <w:fldChar w:fldCharType="end"/>
            </w:r>
          </w:p>
        </w:sdtContent>
      </w:sdt>
    </w:sdtContent>
  </w:sdt>
  <w:p w14:paraId="71A5F7D4" w14:textId="77777777" w:rsidR="008278B7" w:rsidRDefault="008278B7" w:rsidP="002566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F5A8" w14:textId="77777777" w:rsidR="003E7BA4" w:rsidRDefault="003E7BA4">
      <w:r>
        <w:separator/>
      </w:r>
    </w:p>
  </w:footnote>
  <w:footnote w:type="continuationSeparator" w:id="0">
    <w:p w14:paraId="048109E7" w14:textId="77777777" w:rsidR="003E7BA4" w:rsidRDefault="003E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D9"/>
    <w:rsid w:val="00047C19"/>
    <w:rsid w:val="000547E2"/>
    <w:rsid w:val="000651FA"/>
    <w:rsid w:val="00094288"/>
    <w:rsid w:val="000B4BAC"/>
    <w:rsid w:val="000C3221"/>
    <w:rsid w:val="000C51D1"/>
    <w:rsid w:val="000C6E4E"/>
    <w:rsid w:val="000E6BFC"/>
    <w:rsid w:val="001360F0"/>
    <w:rsid w:val="00166FD1"/>
    <w:rsid w:val="001744A3"/>
    <w:rsid w:val="00177994"/>
    <w:rsid w:val="00183444"/>
    <w:rsid w:val="00194C25"/>
    <w:rsid w:val="001C0D07"/>
    <w:rsid w:val="001C2325"/>
    <w:rsid w:val="001C5ACB"/>
    <w:rsid w:val="001E65DE"/>
    <w:rsid w:val="001E68FB"/>
    <w:rsid w:val="001F10D7"/>
    <w:rsid w:val="001F57B1"/>
    <w:rsid w:val="00210027"/>
    <w:rsid w:val="00212E0C"/>
    <w:rsid w:val="00214B83"/>
    <w:rsid w:val="00255DB9"/>
    <w:rsid w:val="002650DC"/>
    <w:rsid w:val="00265A80"/>
    <w:rsid w:val="00273488"/>
    <w:rsid w:val="002A0996"/>
    <w:rsid w:val="002B6DCB"/>
    <w:rsid w:val="002D691F"/>
    <w:rsid w:val="002E06B9"/>
    <w:rsid w:val="002E33DA"/>
    <w:rsid w:val="002E7DDD"/>
    <w:rsid w:val="00324619"/>
    <w:rsid w:val="00331F09"/>
    <w:rsid w:val="003369E0"/>
    <w:rsid w:val="003375E2"/>
    <w:rsid w:val="003606EC"/>
    <w:rsid w:val="00376BC2"/>
    <w:rsid w:val="003921C5"/>
    <w:rsid w:val="00394A62"/>
    <w:rsid w:val="003A5BB2"/>
    <w:rsid w:val="003B4A58"/>
    <w:rsid w:val="003B7DE3"/>
    <w:rsid w:val="003E7BA4"/>
    <w:rsid w:val="00407873"/>
    <w:rsid w:val="00422378"/>
    <w:rsid w:val="00430C29"/>
    <w:rsid w:val="004959B8"/>
    <w:rsid w:val="004B01A4"/>
    <w:rsid w:val="004B3BA2"/>
    <w:rsid w:val="004D4664"/>
    <w:rsid w:val="004D4A6F"/>
    <w:rsid w:val="004D683D"/>
    <w:rsid w:val="004F55D7"/>
    <w:rsid w:val="005139E6"/>
    <w:rsid w:val="005204DD"/>
    <w:rsid w:val="005248D8"/>
    <w:rsid w:val="00541F6D"/>
    <w:rsid w:val="00553E24"/>
    <w:rsid w:val="00567EA0"/>
    <w:rsid w:val="00572D1D"/>
    <w:rsid w:val="005933A1"/>
    <w:rsid w:val="005A3FD3"/>
    <w:rsid w:val="005C12D9"/>
    <w:rsid w:val="005C5580"/>
    <w:rsid w:val="005D2513"/>
    <w:rsid w:val="005D5F5E"/>
    <w:rsid w:val="005D6C3D"/>
    <w:rsid w:val="005E6F4E"/>
    <w:rsid w:val="005F4519"/>
    <w:rsid w:val="005F56A4"/>
    <w:rsid w:val="00612A70"/>
    <w:rsid w:val="00620459"/>
    <w:rsid w:val="006377C0"/>
    <w:rsid w:val="00645BCC"/>
    <w:rsid w:val="00660CF9"/>
    <w:rsid w:val="00681DBC"/>
    <w:rsid w:val="006876BD"/>
    <w:rsid w:val="006D30B0"/>
    <w:rsid w:val="006D719E"/>
    <w:rsid w:val="006E6ED6"/>
    <w:rsid w:val="006F1A6B"/>
    <w:rsid w:val="006F20ED"/>
    <w:rsid w:val="006F30B5"/>
    <w:rsid w:val="0073102E"/>
    <w:rsid w:val="007325DE"/>
    <w:rsid w:val="00746A88"/>
    <w:rsid w:val="007560B2"/>
    <w:rsid w:val="0076102D"/>
    <w:rsid w:val="00791E30"/>
    <w:rsid w:val="007A2A83"/>
    <w:rsid w:val="007B261A"/>
    <w:rsid w:val="007C115D"/>
    <w:rsid w:val="007D5A6E"/>
    <w:rsid w:val="00802441"/>
    <w:rsid w:val="008116DB"/>
    <w:rsid w:val="00822496"/>
    <w:rsid w:val="008278B7"/>
    <w:rsid w:val="00837B07"/>
    <w:rsid w:val="00852A54"/>
    <w:rsid w:val="00867A33"/>
    <w:rsid w:val="00893193"/>
    <w:rsid w:val="008A088A"/>
    <w:rsid w:val="008A1A61"/>
    <w:rsid w:val="008B690E"/>
    <w:rsid w:val="008D334B"/>
    <w:rsid w:val="008D4752"/>
    <w:rsid w:val="008D6B42"/>
    <w:rsid w:val="009653E7"/>
    <w:rsid w:val="00975BFA"/>
    <w:rsid w:val="00987620"/>
    <w:rsid w:val="009E1ED6"/>
    <w:rsid w:val="009E6436"/>
    <w:rsid w:val="009F47F5"/>
    <w:rsid w:val="00A52CAF"/>
    <w:rsid w:val="00A52F3C"/>
    <w:rsid w:val="00A91242"/>
    <w:rsid w:val="00A964D9"/>
    <w:rsid w:val="00AB4A20"/>
    <w:rsid w:val="00B07ED7"/>
    <w:rsid w:val="00B23A9A"/>
    <w:rsid w:val="00B726CD"/>
    <w:rsid w:val="00B7580B"/>
    <w:rsid w:val="00BA4AE4"/>
    <w:rsid w:val="00BA52DC"/>
    <w:rsid w:val="00C40309"/>
    <w:rsid w:val="00C447F5"/>
    <w:rsid w:val="00C4587D"/>
    <w:rsid w:val="00C75A5E"/>
    <w:rsid w:val="00C87832"/>
    <w:rsid w:val="00C9046A"/>
    <w:rsid w:val="00CD18DA"/>
    <w:rsid w:val="00CD5ED2"/>
    <w:rsid w:val="00CF5F5D"/>
    <w:rsid w:val="00D17EEA"/>
    <w:rsid w:val="00DA6F77"/>
    <w:rsid w:val="00DE417F"/>
    <w:rsid w:val="00E04447"/>
    <w:rsid w:val="00E20F44"/>
    <w:rsid w:val="00E2659D"/>
    <w:rsid w:val="00E30118"/>
    <w:rsid w:val="00E44C7C"/>
    <w:rsid w:val="00E540B1"/>
    <w:rsid w:val="00E77F6D"/>
    <w:rsid w:val="00ED5C59"/>
    <w:rsid w:val="00F040E1"/>
    <w:rsid w:val="00F27278"/>
    <w:rsid w:val="00F33CC3"/>
    <w:rsid w:val="00F45AC9"/>
    <w:rsid w:val="00F669BA"/>
    <w:rsid w:val="00F83E49"/>
    <w:rsid w:val="00F840B9"/>
    <w:rsid w:val="00FB49E4"/>
    <w:rsid w:val="00FE6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7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D9"/>
    <w:pPr>
      <w:spacing w:after="0" w:line="240" w:lineRule="auto"/>
    </w:pPr>
    <w:rPr>
      <w:rFonts w:ascii="Times New Roman" w:eastAsia="Times New Roman" w:hAnsi="Times New Roman" w:cs="Times New Roman"/>
      <w:kern w:val="0"/>
      <w:lang w:val="lv-LV" w:eastAsia="ru-RU"/>
      <w14:ligatures w14:val="none"/>
    </w:rPr>
  </w:style>
  <w:style w:type="paragraph" w:styleId="Heading1">
    <w:name w:val="heading 1"/>
    <w:basedOn w:val="Normal"/>
    <w:next w:val="Normal"/>
    <w:link w:val="Heading1Char"/>
    <w:uiPriority w:val="9"/>
    <w:qFormat/>
    <w:rsid w:val="00A964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964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964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964D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964D9"/>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964D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964D9"/>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964D9"/>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964D9"/>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D9"/>
    <w:rPr>
      <w:rFonts w:eastAsiaTheme="majorEastAsia" w:cstheme="majorBidi"/>
      <w:color w:val="272727" w:themeColor="text1" w:themeTint="D8"/>
    </w:rPr>
  </w:style>
  <w:style w:type="paragraph" w:styleId="Title">
    <w:name w:val="Title"/>
    <w:basedOn w:val="Normal"/>
    <w:next w:val="Normal"/>
    <w:link w:val="TitleChar"/>
    <w:uiPriority w:val="10"/>
    <w:qFormat/>
    <w:rsid w:val="00A964D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9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9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D9"/>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964D9"/>
    <w:rPr>
      <w:i/>
      <w:iCs/>
      <w:color w:val="404040" w:themeColor="text1" w:themeTint="BF"/>
    </w:rPr>
  </w:style>
  <w:style w:type="paragraph" w:styleId="ListParagraph">
    <w:name w:val="List Paragraph"/>
    <w:basedOn w:val="Normal"/>
    <w:uiPriority w:val="34"/>
    <w:qFormat/>
    <w:rsid w:val="00A964D9"/>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A964D9"/>
    <w:rPr>
      <w:i/>
      <w:iCs/>
      <w:color w:val="2F5496" w:themeColor="accent1" w:themeShade="BF"/>
    </w:rPr>
  </w:style>
  <w:style w:type="paragraph" w:styleId="IntenseQuote">
    <w:name w:val="Intense Quote"/>
    <w:basedOn w:val="Normal"/>
    <w:next w:val="Normal"/>
    <w:link w:val="IntenseQuoteChar"/>
    <w:uiPriority w:val="30"/>
    <w:qFormat/>
    <w:rsid w:val="00A964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964D9"/>
    <w:rPr>
      <w:i/>
      <w:iCs/>
      <w:color w:val="2F5496" w:themeColor="accent1" w:themeShade="BF"/>
    </w:rPr>
  </w:style>
  <w:style w:type="character" w:styleId="IntenseReference">
    <w:name w:val="Intense Reference"/>
    <w:basedOn w:val="DefaultParagraphFont"/>
    <w:uiPriority w:val="32"/>
    <w:qFormat/>
    <w:rsid w:val="00A964D9"/>
    <w:rPr>
      <w:b/>
      <w:bCs/>
      <w:smallCaps/>
      <w:color w:val="2F5496" w:themeColor="accent1" w:themeShade="BF"/>
      <w:spacing w:val="5"/>
    </w:rPr>
  </w:style>
  <w:style w:type="paragraph" w:styleId="BodyText2">
    <w:name w:val="Body Text 2"/>
    <w:basedOn w:val="Normal"/>
    <w:link w:val="BodyText2Char"/>
    <w:semiHidden/>
    <w:unhideWhenUsed/>
    <w:rsid w:val="00A964D9"/>
    <w:pPr>
      <w:spacing w:after="120" w:line="480" w:lineRule="auto"/>
    </w:pPr>
    <w:rPr>
      <w:lang w:val="x-none"/>
    </w:rPr>
  </w:style>
  <w:style w:type="character" w:customStyle="1" w:styleId="BodyText2Char">
    <w:name w:val="Body Text 2 Char"/>
    <w:basedOn w:val="DefaultParagraphFont"/>
    <w:link w:val="BodyText2"/>
    <w:semiHidden/>
    <w:rsid w:val="00A964D9"/>
    <w:rPr>
      <w:rFonts w:ascii="Times New Roman" w:eastAsia="Times New Roman" w:hAnsi="Times New Roman" w:cs="Times New Roman"/>
      <w:kern w:val="0"/>
      <w:lang w:val="x-none" w:eastAsia="ru-RU"/>
      <w14:ligatures w14:val="none"/>
    </w:rPr>
  </w:style>
  <w:style w:type="table" w:styleId="TableGrid">
    <w:name w:val="Table Grid"/>
    <w:basedOn w:val="TableNormal"/>
    <w:uiPriority w:val="39"/>
    <w:rsid w:val="00A964D9"/>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4D9"/>
    <w:pPr>
      <w:tabs>
        <w:tab w:val="center" w:pos="4153"/>
        <w:tab w:val="right" w:pos="8306"/>
      </w:tabs>
    </w:pPr>
  </w:style>
  <w:style w:type="character" w:customStyle="1" w:styleId="HeaderChar">
    <w:name w:val="Header Char"/>
    <w:basedOn w:val="DefaultParagraphFont"/>
    <w:link w:val="Header"/>
    <w:uiPriority w:val="99"/>
    <w:rsid w:val="00A964D9"/>
    <w:rPr>
      <w:rFonts w:ascii="Times New Roman" w:eastAsia="Times New Roman" w:hAnsi="Times New Roman" w:cs="Times New Roman"/>
      <w:kern w:val="0"/>
      <w:lang w:val="lv-LV" w:eastAsia="ru-RU"/>
      <w14:ligatures w14:val="none"/>
    </w:rPr>
  </w:style>
  <w:style w:type="paragraph" w:styleId="Footer">
    <w:name w:val="footer"/>
    <w:basedOn w:val="Normal"/>
    <w:link w:val="FooterChar"/>
    <w:uiPriority w:val="99"/>
    <w:unhideWhenUsed/>
    <w:rsid w:val="00A964D9"/>
    <w:pPr>
      <w:tabs>
        <w:tab w:val="center" w:pos="4153"/>
        <w:tab w:val="right" w:pos="8306"/>
      </w:tabs>
    </w:pPr>
  </w:style>
  <w:style w:type="character" w:customStyle="1" w:styleId="FooterChar">
    <w:name w:val="Footer Char"/>
    <w:basedOn w:val="DefaultParagraphFont"/>
    <w:link w:val="Footer"/>
    <w:uiPriority w:val="99"/>
    <w:rsid w:val="00A964D9"/>
    <w:rPr>
      <w:rFonts w:ascii="Times New Roman" w:eastAsia="Times New Roman" w:hAnsi="Times New Roman" w:cs="Times New Roman"/>
      <w:kern w:val="0"/>
      <w:lang w:val="lv-LV" w:eastAsia="ru-RU"/>
      <w14:ligatures w14:val="none"/>
    </w:rPr>
  </w:style>
  <w:style w:type="character" w:styleId="Hyperlink">
    <w:name w:val="Hyperlink"/>
    <w:basedOn w:val="DefaultParagraphFont"/>
    <w:uiPriority w:val="99"/>
    <w:unhideWhenUsed/>
    <w:rsid w:val="00A964D9"/>
    <w:rPr>
      <w:color w:val="0563C1" w:themeColor="hyperlink"/>
      <w:u w:val="single"/>
    </w:rPr>
  </w:style>
  <w:style w:type="character" w:styleId="FollowedHyperlink">
    <w:name w:val="FollowedHyperlink"/>
    <w:basedOn w:val="DefaultParagraphFont"/>
    <w:uiPriority w:val="99"/>
    <w:semiHidden/>
    <w:unhideWhenUsed/>
    <w:rsid w:val="00F040E1"/>
    <w:rPr>
      <w:color w:val="954F72" w:themeColor="followedHyperlink"/>
      <w:u w:val="single"/>
    </w:rPr>
  </w:style>
  <w:style w:type="character" w:styleId="UnresolvedMention">
    <w:name w:val="Unresolved Mention"/>
    <w:basedOn w:val="DefaultParagraphFont"/>
    <w:uiPriority w:val="99"/>
    <w:semiHidden/>
    <w:unhideWhenUsed/>
    <w:rsid w:val="00572D1D"/>
    <w:rPr>
      <w:color w:val="605E5C"/>
      <w:shd w:val="clear" w:color="auto" w:fill="E1DFDD"/>
    </w:rPr>
  </w:style>
  <w:style w:type="paragraph" w:customStyle="1" w:styleId="Default">
    <w:name w:val="Default"/>
    <w:rsid w:val="00324619"/>
    <w:pPr>
      <w:autoSpaceDE w:val="0"/>
      <w:autoSpaceDN w:val="0"/>
      <w:adjustRightInd w:val="0"/>
      <w:spacing w:after="0" w:line="240" w:lineRule="auto"/>
    </w:pPr>
    <w:rPr>
      <w:rFonts w:ascii="Times New Roman" w:hAnsi="Times New Roman" w:cs="Times New Roman"/>
      <w:color w:val="000000"/>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2226">
      <w:bodyDiv w:val="1"/>
      <w:marLeft w:val="0"/>
      <w:marRight w:val="0"/>
      <w:marTop w:val="0"/>
      <w:marBottom w:val="0"/>
      <w:divBdr>
        <w:top w:val="none" w:sz="0" w:space="0" w:color="auto"/>
        <w:left w:val="none" w:sz="0" w:space="0" w:color="auto"/>
        <w:bottom w:val="none" w:sz="0" w:space="0" w:color="auto"/>
        <w:right w:val="none" w:sz="0" w:space="0" w:color="auto"/>
      </w:divBdr>
      <w:divsChild>
        <w:div w:id="432169073">
          <w:marLeft w:val="0"/>
          <w:marRight w:val="0"/>
          <w:marTop w:val="0"/>
          <w:marBottom w:val="0"/>
          <w:divBdr>
            <w:top w:val="none" w:sz="0" w:space="0" w:color="auto"/>
            <w:left w:val="none" w:sz="0" w:space="0" w:color="auto"/>
            <w:bottom w:val="none" w:sz="0" w:space="0" w:color="auto"/>
            <w:right w:val="none" w:sz="0" w:space="0" w:color="auto"/>
          </w:divBdr>
        </w:div>
      </w:divsChild>
    </w:div>
    <w:div w:id="686711459">
      <w:bodyDiv w:val="1"/>
      <w:marLeft w:val="0"/>
      <w:marRight w:val="0"/>
      <w:marTop w:val="0"/>
      <w:marBottom w:val="0"/>
      <w:divBdr>
        <w:top w:val="none" w:sz="0" w:space="0" w:color="auto"/>
        <w:left w:val="none" w:sz="0" w:space="0" w:color="auto"/>
        <w:bottom w:val="none" w:sz="0" w:space="0" w:color="auto"/>
        <w:right w:val="none" w:sz="0" w:space="0" w:color="auto"/>
      </w:divBdr>
      <w:divsChild>
        <w:div w:id="1263755894">
          <w:marLeft w:val="0"/>
          <w:marRight w:val="0"/>
          <w:marTop w:val="0"/>
          <w:marBottom w:val="0"/>
          <w:divBdr>
            <w:top w:val="none" w:sz="0" w:space="0" w:color="auto"/>
            <w:left w:val="none" w:sz="0" w:space="0" w:color="auto"/>
            <w:bottom w:val="none" w:sz="0" w:space="0" w:color="auto"/>
            <w:right w:val="none" w:sz="0" w:space="0" w:color="auto"/>
          </w:divBdr>
        </w:div>
      </w:divsChild>
    </w:div>
    <w:div w:id="2128113754">
      <w:bodyDiv w:val="1"/>
      <w:marLeft w:val="0"/>
      <w:marRight w:val="0"/>
      <w:marTop w:val="0"/>
      <w:marBottom w:val="0"/>
      <w:divBdr>
        <w:top w:val="none" w:sz="0" w:space="0" w:color="auto"/>
        <w:left w:val="none" w:sz="0" w:space="0" w:color="auto"/>
        <w:bottom w:val="none" w:sz="0" w:space="0" w:color="auto"/>
        <w:right w:val="none" w:sz="0" w:space="0" w:color="auto"/>
      </w:divBdr>
      <w:divsChild>
        <w:div w:id="192495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196146&amp;pageIndex=0&amp;doclang=FR&amp;mode=lst&amp;dir=&amp;occ=first&amp;part=1&amp;cid=8221309" TargetMode="External"/><Relationship Id="rId3" Type="http://schemas.openxmlformats.org/officeDocument/2006/relationships/webSettings" Target="webSettings.xml"/><Relationship Id="rId7" Type="http://schemas.openxmlformats.org/officeDocument/2006/relationships/hyperlink" Target="https://curia.europa.eu/juris/document/document.jsf;jsessionid=E0ED4004C1EC4B393DBC527F0D69600A?text=&amp;docid=292978&amp;pageIndex=0&amp;doclang=lv&amp;mode=lst&amp;dir=&amp;occ=first&amp;part=1&amp;cid=82846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26407cc5-d748-45de-b076-a2831c6cec9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4257</Words>
  <Characters>2428</Characters>
  <Application>Microsoft Office Word</Application>
  <DocSecurity>0</DocSecurity>
  <Lines>20</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2026-01-14T07:54:00Z</dcterms:created>
  <dcterms:modified xsi:type="dcterms:W3CDTF">2026-01-14T07:54:00Z</dcterms:modified>
</cp:coreProperties>
</file>