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D2024" w14:textId="08586A94" w:rsidR="00CE5940" w:rsidRPr="00CE5940" w:rsidRDefault="00CE5940" w:rsidP="001F783F">
      <w:pPr>
        <w:spacing w:line="276" w:lineRule="auto"/>
        <w:jc w:val="both"/>
        <w:rPr>
          <w:b/>
          <w:bCs/>
          <w:szCs w:val="22"/>
          <w:lang w:eastAsia="lv-LV"/>
        </w:rPr>
      </w:pPr>
      <w:r>
        <w:rPr>
          <w:b/>
          <w:bCs/>
        </w:rPr>
        <w:t>Operatīvās darbības pasākuma gaitā iegūtās informācijas kā pierādījuma  nepieļaujamība karteļa vienošanās pierādīšanai </w:t>
      </w:r>
    </w:p>
    <w:p w14:paraId="28EAF0AA" w14:textId="45E14340" w:rsidR="00CE5940" w:rsidRPr="00CE5940" w:rsidRDefault="00CE5940" w:rsidP="001F783F">
      <w:pPr>
        <w:spacing w:line="276" w:lineRule="auto"/>
        <w:jc w:val="both"/>
      </w:pPr>
      <w:r>
        <w:t xml:space="preserve">Operatīvās darbības likums neaptver tāda konkurences tiesību pārkāpuma kā karteļa vienošanās atklāšanu. No likuma izriet skaidrs imperatīvs aizliegums izmantot operatīvās darbības pasākumus citu – Operatīvās darbības likumā neminētu – uzdevumu un mērķu īstenošanai. Tādējādi operatīvās darbības mērķu un uzdevumu uzskaitījums likumā ir sniegts izsmeļoši. Likumā ir skaidri noteikti apstākļi, kādos pret personu var tikt uzsākta un veikta operatīvā sarunu noklausīšanās, tostarp izmantota tā rezultātā iegūtā informācija. Tas nozīmē, ka operatīvās darbības pasākumos iegūto informāciju kā pierādījumu nav pieļaujams izmantot administratīvajā procesā, lai pierādītu karteļa vienošanos. </w:t>
      </w:r>
    </w:p>
    <w:p w14:paraId="563367F5" w14:textId="5389C32E" w:rsidR="00F53F48" w:rsidRPr="00807219" w:rsidRDefault="00F53F48" w:rsidP="001F783F">
      <w:pPr>
        <w:pStyle w:val="BodyText2"/>
        <w:spacing w:after="0" w:line="276" w:lineRule="auto"/>
        <w:jc w:val="center"/>
        <w:rPr>
          <w:rFonts w:asciiTheme="majorBidi" w:hAnsiTheme="majorBidi" w:cstheme="majorBidi"/>
          <w:lang w:val="lv-LV"/>
        </w:rPr>
      </w:pPr>
    </w:p>
    <w:p w14:paraId="0D281386" w14:textId="207D1C88" w:rsidR="00F53F48" w:rsidRPr="00807219" w:rsidRDefault="00F53F48" w:rsidP="001F783F">
      <w:pPr>
        <w:spacing w:line="276" w:lineRule="auto"/>
        <w:jc w:val="center"/>
        <w:rPr>
          <w:rFonts w:asciiTheme="majorBidi" w:hAnsiTheme="majorBidi" w:cstheme="majorBidi"/>
          <w:b/>
        </w:rPr>
      </w:pPr>
      <w:r w:rsidRPr="00807219">
        <w:rPr>
          <w:rFonts w:asciiTheme="majorBidi" w:hAnsiTheme="majorBidi" w:cstheme="majorBidi"/>
          <w:b/>
        </w:rPr>
        <w:t>Latvijas Republikas Senāt</w:t>
      </w:r>
      <w:r w:rsidR="00CE5940">
        <w:rPr>
          <w:rFonts w:asciiTheme="majorBidi" w:hAnsiTheme="majorBidi" w:cstheme="majorBidi"/>
          <w:b/>
        </w:rPr>
        <w:t>a</w:t>
      </w:r>
      <w:r w:rsidR="00CE5940">
        <w:rPr>
          <w:rFonts w:asciiTheme="majorBidi" w:hAnsiTheme="majorBidi" w:cstheme="majorBidi"/>
          <w:b/>
        </w:rPr>
        <w:br/>
        <w:t>Administratīvo lietu departamenta</w:t>
      </w:r>
      <w:r w:rsidR="00CE5940">
        <w:rPr>
          <w:rFonts w:asciiTheme="majorBidi" w:hAnsiTheme="majorBidi" w:cstheme="majorBidi"/>
          <w:b/>
        </w:rPr>
        <w:br/>
        <w:t>2025.gada 23.decembra</w:t>
      </w:r>
    </w:p>
    <w:p w14:paraId="5581B646" w14:textId="62746C51" w:rsidR="00F53F48" w:rsidRDefault="009C2696" w:rsidP="001F783F">
      <w:pPr>
        <w:spacing w:line="276" w:lineRule="auto"/>
        <w:jc w:val="center"/>
        <w:rPr>
          <w:rFonts w:asciiTheme="majorBidi" w:hAnsiTheme="majorBidi" w:cstheme="majorBidi"/>
          <w:b/>
        </w:rPr>
      </w:pPr>
      <w:r w:rsidRPr="00807219">
        <w:rPr>
          <w:rFonts w:asciiTheme="majorBidi" w:hAnsiTheme="majorBidi" w:cstheme="majorBidi"/>
          <w:b/>
        </w:rPr>
        <w:t>SPRIEDUMS</w:t>
      </w:r>
    </w:p>
    <w:p w14:paraId="0DAC03D7" w14:textId="4BE0E0A5" w:rsidR="00CE5940" w:rsidRPr="00CE5940" w:rsidRDefault="00CE5940" w:rsidP="001F783F">
      <w:pPr>
        <w:spacing w:line="276" w:lineRule="auto"/>
        <w:jc w:val="center"/>
        <w:rPr>
          <w:rFonts w:asciiTheme="majorBidi" w:eastAsiaTheme="minorEastAsia" w:hAnsiTheme="majorBidi" w:cstheme="majorBidi"/>
          <w:b/>
          <w:bCs/>
          <w:lang w:eastAsia="en-US"/>
        </w:rPr>
      </w:pPr>
      <w:r w:rsidRPr="00CE5940">
        <w:rPr>
          <w:rFonts w:asciiTheme="majorBidi" w:eastAsiaTheme="minorEastAsia" w:hAnsiTheme="majorBidi" w:cstheme="majorBidi"/>
          <w:b/>
          <w:bCs/>
          <w:lang w:eastAsia="en-US"/>
        </w:rPr>
        <w:t>Lieta Nr.</w:t>
      </w:r>
      <w:r w:rsidRPr="00CE5940">
        <w:rPr>
          <w:rFonts w:asciiTheme="majorBidi" w:hAnsiTheme="majorBidi" w:cstheme="majorBidi"/>
          <w:b/>
          <w:bCs/>
        </w:rPr>
        <w:t> A43004021</w:t>
      </w:r>
      <w:r w:rsidRPr="00CE5940">
        <w:rPr>
          <w:rFonts w:asciiTheme="majorBidi" w:eastAsiaTheme="minorEastAsia" w:hAnsiTheme="majorBidi" w:cstheme="majorBidi"/>
          <w:b/>
          <w:bCs/>
          <w:lang w:eastAsia="en-US"/>
        </w:rPr>
        <w:t>, SKA-170/2025</w:t>
      </w:r>
    </w:p>
    <w:p w14:paraId="2661E9A0" w14:textId="799AA03E" w:rsidR="00CE5940" w:rsidRPr="00CE5940" w:rsidRDefault="00CE5940" w:rsidP="001F783F">
      <w:pPr>
        <w:spacing w:line="276" w:lineRule="auto"/>
        <w:jc w:val="center"/>
        <w:rPr>
          <w:rFonts w:asciiTheme="majorBidi" w:hAnsiTheme="majorBidi" w:cstheme="majorBidi"/>
          <w:b/>
        </w:rPr>
      </w:pPr>
      <w:r w:rsidRPr="00CE5940">
        <w:rPr>
          <w:rFonts w:eastAsiaTheme="minorHAnsi"/>
          <w:color w:val="000000"/>
          <w:lang w:eastAsia="en-US"/>
          <w14:ligatures w14:val="standardContextual"/>
        </w:rPr>
        <w:t xml:space="preserve"> </w:t>
      </w:r>
      <w:hyperlink r:id="rId7" w:history="1">
        <w:r w:rsidRPr="001F783F">
          <w:rPr>
            <w:rStyle w:val="Hyperlink"/>
            <w:rFonts w:eastAsiaTheme="minorHAnsi"/>
            <w:lang w:eastAsia="en-US"/>
            <w14:ligatures w14:val="standardContextual"/>
          </w:rPr>
          <w:t>ECLI:LV:AT:2025:1223.A43004021.41.S</w:t>
        </w:r>
      </w:hyperlink>
    </w:p>
    <w:p w14:paraId="19F0E6E5" w14:textId="77777777" w:rsidR="00F53F48" w:rsidRPr="00807219" w:rsidRDefault="00F53F48" w:rsidP="001F783F">
      <w:pPr>
        <w:spacing w:line="276" w:lineRule="auto"/>
        <w:ind w:firstLine="709"/>
        <w:rPr>
          <w:rFonts w:asciiTheme="majorBidi" w:hAnsiTheme="majorBidi" w:cstheme="majorBidi"/>
        </w:rPr>
      </w:pPr>
    </w:p>
    <w:p w14:paraId="29E3D5A6" w14:textId="035A0022" w:rsidR="009C2696" w:rsidRPr="00807219" w:rsidRDefault="009C2696" w:rsidP="001F783F">
      <w:pPr>
        <w:spacing w:line="276" w:lineRule="auto"/>
        <w:ind w:firstLine="720"/>
        <w:jc w:val="both"/>
      </w:pPr>
      <w:r w:rsidRPr="00807219">
        <w:t xml:space="preserve">Senāts šādā sastāvā: </w:t>
      </w:r>
      <w:r w:rsidRPr="00807219">
        <w:rPr>
          <w:rFonts w:asciiTheme="majorBidi" w:hAnsiTheme="majorBidi" w:cstheme="majorBidi"/>
        </w:rPr>
        <w:t>senators referents Ermīns Darapoļskis, senatores Indra Meldere un Rudīte Vīduša</w:t>
      </w:r>
    </w:p>
    <w:p w14:paraId="24880471" w14:textId="77777777" w:rsidR="009C2696" w:rsidRPr="00807219" w:rsidRDefault="009C2696" w:rsidP="001F783F">
      <w:pPr>
        <w:spacing w:line="276" w:lineRule="auto"/>
        <w:ind w:firstLine="720"/>
        <w:jc w:val="both"/>
      </w:pPr>
    </w:p>
    <w:p w14:paraId="7725D5CD" w14:textId="23D0B590" w:rsidR="009C2696" w:rsidRPr="00807219" w:rsidRDefault="009C2696" w:rsidP="001F783F">
      <w:pPr>
        <w:spacing w:line="276" w:lineRule="auto"/>
        <w:ind w:firstLine="720"/>
        <w:jc w:val="both"/>
        <w:rPr>
          <w:rFonts w:asciiTheme="majorBidi" w:hAnsiTheme="majorBidi" w:cstheme="majorBidi"/>
        </w:rPr>
      </w:pPr>
      <w:r w:rsidRPr="00807219">
        <w:t xml:space="preserve">rakstveida procesā izskatīja administratīvo lietu, kas ierosināta, </w:t>
      </w:r>
      <w:r w:rsidRPr="00807219">
        <w:rPr>
          <w:lang w:eastAsia="lv-LV"/>
        </w:rPr>
        <w:t xml:space="preserve">pamatojoties </w:t>
      </w:r>
      <w:r w:rsidRPr="00807219">
        <w:rPr>
          <w:rFonts w:asciiTheme="majorBidi" w:hAnsiTheme="majorBidi" w:cstheme="majorBidi"/>
          <w:lang w:eastAsia="lv-LV"/>
        </w:rPr>
        <w:t>uz SIA „</w:t>
      </w:r>
      <w:r w:rsidR="00D42B54" w:rsidRPr="00807219">
        <w:rPr>
          <w:rFonts w:asciiTheme="majorBidi" w:hAnsiTheme="majorBidi" w:cstheme="majorBidi"/>
          <w:lang w:eastAsia="lv-LV"/>
        </w:rPr>
        <w:t>ABORA</w:t>
      </w:r>
      <w:r w:rsidRPr="00807219">
        <w:rPr>
          <w:rFonts w:asciiTheme="majorBidi" w:hAnsiTheme="majorBidi" w:cstheme="majorBidi"/>
          <w:lang w:eastAsia="lv-LV"/>
        </w:rPr>
        <w:t>” un SIA „Tehnocentrs”, SIA „</w:t>
      </w:r>
      <w:r w:rsidR="00D42B54" w:rsidRPr="00807219">
        <w:rPr>
          <w:rFonts w:asciiTheme="majorBidi" w:hAnsiTheme="majorBidi" w:cstheme="majorBidi"/>
          <w:lang w:eastAsia="lv-LV"/>
        </w:rPr>
        <w:t>ARČERS</w:t>
      </w:r>
      <w:r w:rsidRPr="00807219">
        <w:rPr>
          <w:rFonts w:asciiTheme="majorBidi" w:hAnsiTheme="majorBidi" w:cstheme="majorBidi"/>
          <w:lang w:eastAsia="lv-LV"/>
        </w:rPr>
        <w:t>”, SIA „</w:t>
      </w:r>
      <w:r w:rsidR="00D42B54" w:rsidRPr="00807219">
        <w:rPr>
          <w:rFonts w:asciiTheme="majorBidi" w:hAnsiTheme="majorBidi" w:cstheme="majorBidi"/>
          <w:lang w:eastAsia="lv-LV"/>
        </w:rPr>
        <w:t>LATVIJAS ENERGOCELTNIEKS</w:t>
      </w:r>
      <w:r w:rsidRPr="00807219">
        <w:rPr>
          <w:rFonts w:asciiTheme="majorBidi" w:hAnsiTheme="majorBidi" w:cstheme="majorBidi"/>
          <w:lang w:eastAsia="lv-LV"/>
        </w:rPr>
        <w:t>”, AS „LNK Industries”, SIA „LNK (Latvijas Novitātes Komplekss)”, SIA „</w:t>
      </w:r>
      <w:r w:rsidR="00D42B54" w:rsidRPr="00807219">
        <w:rPr>
          <w:rFonts w:asciiTheme="majorBidi" w:hAnsiTheme="majorBidi" w:cstheme="majorBidi"/>
          <w:lang w:eastAsia="lv-LV"/>
        </w:rPr>
        <w:t>MERKS</w:t>
      </w:r>
      <w:r w:rsidRPr="00807219">
        <w:rPr>
          <w:rFonts w:asciiTheme="majorBidi" w:hAnsiTheme="majorBidi" w:cstheme="majorBidi"/>
          <w:lang w:eastAsia="lv-LV"/>
        </w:rPr>
        <w:t>” un AS „</w:t>
      </w:r>
      <w:r w:rsidR="00D42B54" w:rsidRPr="00807219">
        <w:rPr>
          <w:rFonts w:asciiTheme="majorBidi" w:hAnsiTheme="majorBidi" w:cstheme="majorBidi"/>
          <w:lang w:eastAsia="lv-LV"/>
        </w:rPr>
        <w:t>MERKO EHITUS</w:t>
      </w:r>
      <w:r w:rsidRPr="00807219">
        <w:rPr>
          <w:rFonts w:asciiTheme="majorBidi" w:hAnsiTheme="majorBidi" w:cstheme="majorBidi"/>
          <w:lang w:eastAsia="lv-LV"/>
        </w:rPr>
        <w:t>”, SIA „RE</w:t>
      </w:r>
      <w:r w:rsidR="00D42B54" w:rsidRPr="00807219">
        <w:rPr>
          <w:rFonts w:asciiTheme="majorBidi" w:hAnsiTheme="majorBidi" w:cstheme="majorBidi"/>
          <w:lang w:eastAsia="lv-LV"/>
        </w:rPr>
        <w:t> </w:t>
      </w:r>
      <w:r w:rsidRPr="00807219">
        <w:rPr>
          <w:rFonts w:asciiTheme="majorBidi" w:hAnsiTheme="majorBidi" w:cstheme="majorBidi"/>
          <w:lang w:eastAsia="lv-LV"/>
        </w:rPr>
        <w:t>&amp;</w:t>
      </w:r>
      <w:r w:rsidR="00D42B54" w:rsidRPr="00807219">
        <w:rPr>
          <w:rFonts w:asciiTheme="majorBidi" w:hAnsiTheme="majorBidi" w:cstheme="majorBidi"/>
          <w:lang w:eastAsia="lv-LV"/>
        </w:rPr>
        <w:t> </w:t>
      </w:r>
      <w:r w:rsidRPr="00807219">
        <w:rPr>
          <w:rFonts w:asciiTheme="majorBidi" w:hAnsiTheme="majorBidi" w:cstheme="majorBidi"/>
          <w:lang w:eastAsia="lv-LV"/>
        </w:rPr>
        <w:t>RE”, SIA „RERE</w:t>
      </w:r>
      <w:r w:rsidR="00C41320" w:rsidRPr="00807219">
        <w:rPr>
          <w:rFonts w:asciiTheme="majorBidi" w:hAnsiTheme="majorBidi" w:cstheme="majorBidi"/>
          <w:lang w:eastAsia="lv-LV"/>
        </w:rPr>
        <w:t xml:space="preserve"> </w:t>
      </w:r>
      <w:r w:rsidR="00D42B54" w:rsidRPr="00807219">
        <w:rPr>
          <w:rFonts w:asciiTheme="majorBidi" w:hAnsiTheme="majorBidi" w:cstheme="majorBidi"/>
          <w:lang w:eastAsia="lv-LV"/>
        </w:rPr>
        <w:t>BŪVE</w:t>
      </w:r>
      <w:r w:rsidRPr="00807219">
        <w:rPr>
          <w:rFonts w:asciiTheme="majorBidi" w:hAnsiTheme="majorBidi" w:cstheme="majorBidi"/>
          <w:lang w:eastAsia="lv-LV"/>
        </w:rPr>
        <w:t xml:space="preserve">” un AS „RERE </w:t>
      </w:r>
      <w:r w:rsidR="00CF20BE" w:rsidRPr="00807219">
        <w:rPr>
          <w:rFonts w:asciiTheme="majorBidi" w:hAnsiTheme="majorBidi" w:cstheme="majorBidi"/>
          <w:lang w:eastAsia="lv-LV"/>
        </w:rPr>
        <w:t>GRUPA</w:t>
      </w:r>
      <w:r w:rsidRPr="00807219">
        <w:rPr>
          <w:rFonts w:asciiTheme="majorBidi" w:hAnsiTheme="majorBidi" w:cstheme="majorBidi"/>
          <w:lang w:eastAsia="lv-LV"/>
        </w:rPr>
        <w:t>”, SIA „</w:t>
      </w:r>
      <w:r w:rsidR="00D42B54" w:rsidRPr="00807219">
        <w:rPr>
          <w:rFonts w:asciiTheme="majorBidi" w:hAnsiTheme="majorBidi" w:cstheme="majorBidi"/>
          <w:lang w:eastAsia="lv-LV"/>
        </w:rPr>
        <w:t>SKONTO BŪVE</w:t>
      </w:r>
      <w:r w:rsidRPr="00807219">
        <w:rPr>
          <w:rFonts w:asciiTheme="majorBidi" w:hAnsiTheme="majorBidi" w:cstheme="majorBidi"/>
          <w:lang w:eastAsia="lv-LV"/>
        </w:rPr>
        <w:t>” un AS „UGN” pieteikumiem par Konkurences padomes 2021.gada 30.jūlija lēmuma Nr. 22 atcelšanu</w:t>
      </w:r>
      <w:r w:rsidRPr="00807219">
        <w:t xml:space="preserve">, </w:t>
      </w:r>
      <w:r w:rsidRPr="00807219">
        <w:rPr>
          <w:rFonts w:asciiTheme="majorBidi" w:hAnsiTheme="majorBidi" w:cstheme="majorBidi"/>
        </w:rPr>
        <w:t xml:space="preserve">sakarā ar </w:t>
      </w:r>
      <w:r w:rsidR="008D6174" w:rsidRPr="00807219">
        <w:rPr>
          <w:rFonts w:asciiTheme="majorBidi" w:hAnsiTheme="majorBidi" w:cstheme="majorBidi"/>
          <w:lang w:eastAsia="lv-LV"/>
        </w:rPr>
        <w:t xml:space="preserve">SIA „SKONTO BŪVE”, SIA „RERE BŪVE” un AS „RERE GRUPA”, SIA „LNK (Latvijas Novitātes Komplekss)”, </w:t>
      </w:r>
      <w:r w:rsidR="00C41320" w:rsidRPr="00807219">
        <w:rPr>
          <w:rFonts w:asciiTheme="majorBidi" w:hAnsiTheme="majorBidi" w:cstheme="majorBidi"/>
          <w:lang w:eastAsia="lv-LV"/>
        </w:rPr>
        <w:t xml:space="preserve">SIA „ARČERS”, AS „LNK Industries”, AS „UGN”, SIA „RE &amp; RE”, SIA „LATVIJAS ENERGOCELTNIEKS”, SIA „MERKS” un AS „MERKO EHITUS”, </w:t>
      </w:r>
      <w:r w:rsidRPr="00807219">
        <w:rPr>
          <w:rFonts w:asciiTheme="majorBidi" w:hAnsiTheme="majorBidi" w:cstheme="majorBidi"/>
          <w:lang w:eastAsia="lv-LV"/>
        </w:rPr>
        <w:t>SIA „</w:t>
      </w:r>
      <w:r w:rsidR="00CF20BE" w:rsidRPr="00807219">
        <w:rPr>
          <w:rFonts w:asciiTheme="majorBidi" w:hAnsiTheme="majorBidi" w:cstheme="majorBidi"/>
          <w:lang w:eastAsia="lv-LV"/>
        </w:rPr>
        <w:t>ABORA</w:t>
      </w:r>
      <w:r w:rsidRPr="00807219">
        <w:rPr>
          <w:rFonts w:asciiTheme="majorBidi" w:hAnsiTheme="majorBidi" w:cstheme="majorBidi"/>
          <w:lang w:eastAsia="lv-LV"/>
        </w:rPr>
        <w:t>” un SIA „Tehnocentrs”</w:t>
      </w:r>
      <w:r w:rsidR="00C41320" w:rsidRPr="00807219">
        <w:rPr>
          <w:rFonts w:asciiTheme="majorBidi" w:hAnsiTheme="majorBidi" w:cstheme="majorBidi"/>
          <w:lang w:eastAsia="lv-LV"/>
        </w:rPr>
        <w:t xml:space="preserve"> </w:t>
      </w:r>
      <w:r w:rsidRPr="00807219">
        <w:rPr>
          <w:rFonts w:asciiTheme="majorBidi" w:hAnsiTheme="majorBidi" w:cstheme="majorBidi"/>
          <w:lang w:eastAsia="lv-LV"/>
        </w:rPr>
        <w:t xml:space="preserve">kasācijas sūdzībām </w:t>
      </w:r>
      <w:r w:rsidRPr="00005EF4">
        <w:rPr>
          <w:rFonts w:asciiTheme="majorBidi" w:hAnsiTheme="majorBidi" w:cstheme="majorBidi"/>
        </w:rPr>
        <w:t>par Administratīvās apgabaltiesas 2024.gada 25.janvāra spriedumu.</w:t>
      </w:r>
    </w:p>
    <w:p w14:paraId="5E000B93" w14:textId="77777777" w:rsidR="009C2696" w:rsidRPr="00807219" w:rsidRDefault="009C2696" w:rsidP="001F783F">
      <w:pPr>
        <w:spacing w:line="276" w:lineRule="auto"/>
        <w:ind w:firstLine="720"/>
        <w:jc w:val="both"/>
        <w:rPr>
          <w:rFonts w:asciiTheme="majorBidi" w:hAnsiTheme="majorBidi" w:cstheme="majorBidi"/>
        </w:rPr>
      </w:pPr>
    </w:p>
    <w:p w14:paraId="39720F62" w14:textId="77777777" w:rsidR="00F53F48" w:rsidRPr="00807219" w:rsidRDefault="00F53F48" w:rsidP="001F783F">
      <w:pPr>
        <w:spacing w:line="276" w:lineRule="auto"/>
        <w:jc w:val="center"/>
        <w:rPr>
          <w:rFonts w:asciiTheme="majorBidi" w:hAnsiTheme="majorBidi" w:cstheme="majorBidi"/>
          <w:b/>
          <w:bCs/>
        </w:rPr>
      </w:pPr>
      <w:r w:rsidRPr="00807219">
        <w:rPr>
          <w:rFonts w:asciiTheme="majorBidi" w:hAnsiTheme="majorBidi" w:cstheme="majorBidi"/>
          <w:b/>
          <w:bCs/>
        </w:rPr>
        <w:t>Aprakstošā daļa</w:t>
      </w:r>
    </w:p>
    <w:p w14:paraId="04A1FBFD" w14:textId="77777777" w:rsidR="008E7D89" w:rsidRPr="00807219" w:rsidRDefault="008E7D89" w:rsidP="001F783F">
      <w:pPr>
        <w:spacing w:line="276" w:lineRule="auto"/>
        <w:jc w:val="center"/>
        <w:rPr>
          <w:rFonts w:asciiTheme="majorBidi" w:hAnsiTheme="majorBidi" w:cstheme="majorBidi"/>
          <w:b/>
          <w:bCs/>
        </w:rPr>
      </w:pPr>
    </w:p>
    <w:p w14:paraId="2AB03EC1" w14:textId="6A6F6664" w:rsidR="00A7019E" w:rsidRDefault="007F1B59" w:rsidP="001F783F">
      <w:pPr>
        <w:spacing w:line="276" w:lineRule="auto"/>
        <w:ind w:firstLine="720"/>
        <w:jc w:val="both"/>
        <w:rPr>
          <w:rFonts w:asciiTheme="majorBidi" w:hAnsiTheme="majorBidi" w:cstheme="majorBidi"/>
          <w:lang w:eastAsia="lv-LV"/>
        </w:rPr>
      </w:pPr>
      <w:r w:rsidRPr="00807219">
        <w:rPr>
          <w:rFonts w:asciiTheme="majorBidi" w:hAnsiTheme="majorBidi" w:cstheme="majorBidi"/>
          <w:lang w:eastAsia="lv-LV"/>
        </w:rPr>
        <w:t>[1]</w:t>
      </w:r>
      <w:r w:rsidR="00895D13" w:rsidRPr="00807219">
        <w:rPr>
          <w:rFonts w:asciiTheme="majorBidi" w:hAnsiTheme="majorBidi" w:cstheme="majorBidi"/>
          <w:lang w:eastAsia="lv-LV"/>
        </w:rPr>
        <w:t> </w:t>
      </w:r>
      <w:r w:rsidR="006F3BE2">
        <w:rPr>
          <w:rFonts w:asciiTheme="majorBidi" w:hAnsiTheme="majorBidi" w:cstheme="majorBidi"/>
          <w:lang w:eastAsia="lv-LV"/>
        </w:rPr>
        <w:t>L</w:t>
      </w:r>
      <w:r w:rsidR="00BD68EE" w:rsidRPr="00807219">
        <w:rPr>
          <w:rFonts w:asciiTheme="majorBidi" w:hAnsiTheme="majorBidi" w:cstheme="majorBidi"/>
          <w:lang w:eastAsia="lv-LV"/>
        </w:rPr>
        <w:t>aikā</w:t>
      </w:r>
      <w:r w:rsidR="00C033BE" w:rsidRPr="00807219">
        <w:rPr>
          <w:rFonts w:asciiTheme="majorBidi" w:hAnsiTheme="majorBidi" w:cstheme="majorBidi"/>
          <w:lang w:eastAsia="lv-LV"/>
        </w:rPr>
        <w:t xml:space="preserve"> no </w:t>
      </w:r>
      <w:r w:rsidR="00C033BE" w:rsidRPr="00E217DD">
        <w:rPr>
          <w:rFonts w:asciiTheme="majorBidi" w:hAnsiTheme="majorBidi" w:cstheme="majorBidi"/>
          <w:lang w:eastAsia="lv-LV"/>
        </w:rPr>
        <w:t xml:space="preserve">2015.gada 16.janvāra līdz 2018.gada 7.jūnijam Korupcijas novēršanas un apkarošanas birojs (turpmāk – </w:t>
      </w:r>
      <w:r w:rsidR="00277402">
        <w:rPr>
          <w:rFonts w:asciiTheme="majorBidi" w:hAnsiTheme="majorBidi" w:cstheme="majorBidi"/>
          <w:lang w:eastAsia="lv-LV"/>
        </w:rPr>
        <w:t>b</w:t>
      </w:r>
      <w:r w:rsidR="00C033BE" w:rsidRPr="00E217DD">
        <w:rPr>
          <w:rFonts w:asciiTheme="majorBidi" w:hAnsiTheme="majorBidi" w:cstheme="majorBidi"/>
          <w:lang w:eastAsia="lv-LV"/>
        </w:rPr>
        <w:t>irojs)</w:t>
      </w:r>
      <w:r w:rsidR="00962ED5" w:rsidRPr="00E217DD">
        <w:rPr>
          <w:rFonts w:asciiTheme="majorBidi" w:hAnsiTheme="majorBidi" w:cstheme="majorBidi"/>
          <w:lang w:eastAsia="lv-LV"/>
        </w:rPr>
        <w:t xml:space="preserve"> </w:t>
      </w:r>
      <w:r w:rsidR="00C033BE" w:rsidRPr="00E217DD">
        <w:rPr>
          <w:rFonts w:asciiTheme="majorBidi" w:hAnsiTheme="majorBidi" w:cstheme="majorBidi"/>
          <w:lang w:eastAsia="lv-LV"/>
        </w:rPr>
        <w:t xml:space="preserve">veica </w:t>
      </w:r>
      <w:r w:rsidR="004C7F46" w:rsidRPr="00E217DD">
        <w:rPr>
          <w:rFonts w:asciiTheme="majorBidi" w:hAnsiTheme="majorBidi" w:cstheme="majorBidi"/>
          <w:lang w:eastAsia="lv-LV"/>
        </w:rPr>
        <w:t xml:space="preserve">operatīvo sarunu noklausīšanos </w:t>
      </w:r>
      <w:r w:rsidR="00BD68EE" w:rsidRPr="00E217DD">
        <w:rPr>
          <w:rFonts w:asciiTheme="majorBidi" w:hAnsiTheme="majorBidi" w:cstheme="majorBidi"/>
          <w:lang w:eastAsia="lv-LV"/>
        </w:rPr>
        <w:t xml:space="preserve">pret </w:t>
      </w:r>
      <w:r w:rsidR="0080179D" w:rsidRPr="00E217DD">
        <w:rPr>
          <w:rFonts w:asciiTheme="majorBidi" w:hAnsiTheme="majorBidi" w:cstheme="majorBidi"/>
          <w:lang w:eastAsia="lv-LV"/>
        </w:rPr>
        <w:t>trim</w:t>
      </w:r>
      <w:r w:rsidR="00BD68EE" w:rsidRPr="00807219">
        <w:rPr>
          <w:rFonts w:asciiTheme="majorBidi" w:hAnsiTheme="majorBidi" w:cstheme="majorBidi"/>
          <w:lang w:eastAsia="lv-LV"/>
        </w:rPr>
        <w:t xml:space="preserve"> </w:t>
      </w:r>
      <w:r w:rsidR="00DF3674" w:rsidRPr="00807219">
        <w:rPr>
          <w:rFonts w:asciiTheme="majorBidi" w:hAnsiTheme="majorBidi" w:cstheme="majorBidi"/>
          <w:lang w:eastAsia="lv-LV"/>
        </w:rPr>
        <w:t>fizisk</w:t>
      </w:r>
      <w:r w:rsidR="00D265A1">
        <w:rPr>
          <w:rFonts w:asciiTheme="majorBidi" w:hAnsiTheme="majorBidi" w:cstheme="majorBidi"/>
          <w:lang w:eastAsia="lv-LV"/>
        </w:rPr>
        <w:t>aj</w:t>
      </w:r>
      <w:r w:rsidR="00DF3674" w:rsidRPr="00807219">
        <w:rPr>
          <w:rFonts w:asciiTheme="majorBidi" w:hAnsiTheme="majorBidi" w:cstheme="majorBidi"/>
          <w:lang w:eastAsia="lv-LV"/>
        </w:rPr>
        <w:t>ām personām</w:t>
      </w:r>
      <w:r w:rsidR="004C7F46">
        <w:rPr>
          <w:rFonts w:asciiTheme="majorBidi" w:hAnsiTheme="majorBidi" w:cstheme="majorBidi"/>
          <w:lang w:eastAsia="lv-LV"/>
        </w:rPr>
        <w:t>.</w:t>
      </w:r>
    </w:p>
    <w:p w14:paraId="4A283038" w14:textId="5E5FE91B" w:rsidR="002463D5" w:rsidRPr="00807219" w:rsidRDefault="00BD68EE" w:rsidP="001F783F">
      <w:pPr>
        <w:spacing w:line="276" w:lineRule="auto"/>
        <w:ind w:firstLine="720"/>
        <w:jc w:val="both"/>
        <w:rPr>
          <w:rFonts w:asciiTheme="majorBidi" w:hAnsiTheme="majorBidi" w:cstheme="majorBidi"/>
          <w:lang w:eastAsia="lv-LV"/>
        </w:rPr>
      </w:pPr>
      <w:r w:rsidRPr="00807219">
        <w:rPr>
          <w:rFonts w:asciiTheme="majorBidi" w:hAnsiTheme="majorBidi" w:cstheme="majorBidi"/>
          <w:lang w:eastAsia="lv-LV"/>
        </w:rPr>
        <w:t>Pamatojoties</w:t>
      </w:r>
      <w:r w:rsidR="00962ED5" w:rsidRPr="00807219">
        <w:rPr>
          <w:rFonts w:asciiTheme="majorBidi" w:hAnsiTheme="majorBidi" w:cstheme="majorBidi"/>
          <w:lang w:eastAsia="lv-LV"/>
        </w:rPr>
        <w:t xml:space="preserve"> uz iegūt</w:t>
      </w:r>
      <w:r w:rsidRPr="00807219">
        <w:rPr>
          <w:rFonts w:asciiTheme="majorBidi" w:hAnsiTheme="majorBidi" w:cstheme="majorBidi"/>
          <w:lang w:eastAsia="lv-LV"/>
        </w:rPr>
        <w:t>o informāciju</w:t>
      </w:r>
      <w:r w:rsidR="00962ED5" w:rsidRPr="00807219">
        <w:rPr>
          <w:rFonts w:asciiTheme="majorBidi" w:hAnsiTheme="majorBidi" w:cstheme="majorBidi"/>
          <w:lang w:eastAsia="lv-LV"/>
        </w:rPr>
        <w:t xml:space="preserve">, </w:t>
      </w:r>
      <w:r w:rsidR="001C09E4">
        <w:rPr>
          <w:rFonts w:asciiTheme="majorBidi" w:hAnsiTheme="majorBidi" w:cstheme="majorBidi"/>
          <w:lang w:eastAsia="lv-LV"/>
        </w:rPr>
        <w:t>b</w:t>
      </w:r>
      <w:r w:rsidR="004C7F46" w:rsidRPr="00807219">
        <w:rPr>
          <w:rFonts w:asciiTheme="majorBidi" w:hAnsiTheme="majorBidi" w:cstheme="majorBidi"/>
          <w:lang w:eastAsia="lv-LV"/>
        </w:rPr>
        <w:t xml:space="preserve">irojs </w:t>
      </w:r>
      <w:r w:rsidR="002463D5" w:rsidRPr="00807219">
        <w:rPr>
          <w:rFonts w:asciiTheme="majorBidi" w:hAnsiTheme="majorBidi" w:cstheme="majorBidi"/>
          <w:lang w:eastAsia="lv-LV"/>
        </w:rPr>
        <w:t>201</w:t>
      </w:r>
      <w:r w:rsidR="005B5BBE" w:rsidRPr="00807219">
        <w:rPr>
          <w:rFonts w:asciiTheme="majorBidi" w:hAnsiTheme="majorBidi" w:cstheme="majorBidi"/>
          <w:lang w:eastAsia="lv-LV"/>
        </w:rPr>
        <w:t>8</w:t>
      </w:r>
      <w:r w:rsidR="002463D5" w:rsidRPr="00807219">
        <w:rPr>
          <w:rFonts w:asciiTheme="majorBidi" w:hAnsiTheme="majorBidi" w:cstheme="majorBidi"/>
          <w:lang w:eastAsia="lv-LV"/>
        </w:rPr>
        <w:t>.gada 19.septembrī uzsāka kriminālprocesu</w:t>
      </w:r>
      <w:r w:rsidR="005B5BBE" w:rsidRPr="00807219">
        <w:rPr>
          <w:rFonts w:asciiTheme="majorBidi" w:hAnsiTheme="majorBidi" w:cstheme="majorBidi"/>
          <w:lang w:eastAsia="lv-LV"/>
        </w:rPr>
        <w:t xml:space="preserve"> </w:t>
      </w:r>
      <w:r w:rsidR="007043E0">
        <w:rPr>
          <w:rFonts w:asciiTheme="majorBidi" w:hAnsiTheme="majorBidi" w:cstheme="majorBidi"/>
          <w:lang w:eastAsia="lv-LV"/>
        </w:rPr>
        <w:t>pret</w:t>
      </w:r>
      <w:r w:rsidR="0080179D">
        <w:rPr>
          <w:rFonts w:asciiTheme="majorBidi" w:hAnsiTheme="majorBidi" w:cstheme="majorBidi"/>
          <w:lang w:eastAsia="lv-LV"/>
        </w:rPr>
        <w:t xml:space="preserve"> </w:t>
      </w:r>
      <w:r w:rsidR="007043E0">
        <w:rPr>
          <w:rFonts w:asciiTheme="majorBidi" w:hAnsiTheme="majorBidi" w:cstheme="majorBidi"/>
          <w:lang w:eastAsia="lv-LV"/>
        </w:rPr>
        <w:t>vairākām fizisk</w:t>
      </w:r>
      <w:r w:rsidR="00D265A1">
        <w:rPr>
          <w:rFonts w:asciiTheme="majorBidi" w:hAnsiTheme="majorBidi" w:cstheme="majorBidi"/>
          <w:lang w:eastAsia="lv-LV"/>
        </w:rPr>
        <w:t>aj</w:t>
      </w:r>
      <w:r w:rsidR="007043E0">
        <w:rPr>
          <w:rFonts w:asciiTheme="majorBidi" w:hAnsiTheme="majorBidi" w:cstheme="majorBidi"/>
          <w:lang w:eastAsia="lv-LV"/>
        </w:rPr>
        <w:t>ām personām</w:t>
      </w:r>
      <w:r w:rsidR="007043E0" w:rsidRPr="007043E0">
        <w:rPr>
          <w:rFonts w:asciiTheme="majorBidi" w:hAnsiTheme="majorBidi" w:cstheme="majorBidi"/>
          <w:lang w:eastAsia="lv-LV"/>
        </w:rPr>
        <w:t xml:space="preserve"> </w:t>
      </w:r>
      <w:r w:rsidR="007043E0" w:rsidRPr="00807219">
        <w:rPr>
          <w:rFonts w:asciiTheme="majorBidi" w:hAnsiTheme="majorBidi" w:cstheme="majorBidi"/>
          <w:lang w:eastAsia="lv-LV"/>
        </w:rPr>
        <w:t xml:space="preserve">par </w:t>
      </w:r>
      <w:r w:rsidR="007043E0" w:rsidRPr="0080179D">
        <w:rPr>
          <w:rFonts w:asciiTheme="majorBidi" w:hAnsiTheme="majorBidi" w:cstheme="majorBidi"/>
          <w:lang w:eastAsia="lv-LV"/>
        </w:rPr>
        <w:t>iespējamu noziedzīgu nodarījumu</w:t>
      </w:r>
      <w:r w:rsidR="008A185B" w:rsidRPr="0080179D">
        <w:rPr>
          <w:rFonts w:asciiTheme="majorBidi" w:hAnsiTheme="majorBidi" w:cstheme="majorBidi"/>
          <w:lang w:eastAsia="lv-LV"/>
        </w:rPr>
        <w:t xml:space="preserve"> </w:t>
      </w:r>
      <w:r w:rsidR="0080179D" w:rsidRPr="0080179D">
        <w:rPr>
          <w:rFonts w:asciiTheme="majorBidi" w:hAnsiTheme="majorBidi" w:cstheme="majorBidi"/>
          <w:lang w:eastAsia="lv-LV"/>
        </w:rPr>
        <w:t>izdarīšanu.</w:t>
      </w:r>
    </w:p>
    <w:p w14:paraId="10811B21" w14:textId="570A044A" w:rsidR="00AC2F14" w:rsidRPr="00807219" w:rsidRDefault="00AC2F14" w:rsidP="001F783F">
      <w:pPr>
        <w:spacing w:line="276" w:lineRule="auto"/>
        <w:ind w:firstLine="720"/>
        <w:jc w:val="both"/>
        <w:rPr>
          <w:rFonts w:asciiTheme="majorBidi" w:hAnsiTheme="majorBidi" w:cstheme="majorBidi"/>
          <w:lang w:eastAsia="lv-LV"/>
        </w:rPr>
      </w:pPr>
    </w:p>
    <w:p w14:paraId="6A31D171" w14:textId="16791D2F" w:rsidR="003A7C0F" w:rsidRDefault="00AC2F14" w:rsidP="001F783F">
      <w:pPr>
        <w:spacing w:line="276" w:lineRule="auto"/>
        <w:ind w:firstLine="720"/>
        <w:jc w:val="both"/>
        <w:rPr>
          <w:rFonts w:asciiTheme="majorBidi" w:hAnsiTheme="majorBidi" w:cstheme="majorBidi"/>
          <w:lang w:eastAsia="lv-LV"/>
        </w:rPr>
      </w:pPr>
      <w:r w:rsidRPr="00253941">
        <w:rPr>
          <w:rFonts w:asciiTheme="majorBidi" w:hAnsiTheme="majorBidi" w:cstheme="majorBidi"/>
          <w:lang w:eastAsia="lv-LV"/>
        </w:rPr>
        <w:lastRenderedPageBreak/>
        <w:t>[2]</w:t>
      </w:r>
      <w:r w:rsidR="00962ED5" w:rsidRPr="00253941">
        <w:rPr>
          <w:rFonts w:asciiTheme="majorBidi" w:hAnsiTheme="majorBidi" w:cstheme="majorBidi"/>
          <w:lang w:eastAsia="lv-LV"/>
        </w:rPr>
        <w:t> </w:t>
      </w:r>
      <w:r w:rsidR="003A7C0F" w:rsidRPr="009A1798">
        <w:rPr>
          <w:rFonts w:asciiTheme="majorBidi" w:hAnsiTheme="majorBidi" w:cstheme="majorBidi"/>
          <w:lang w:eastAsia="lv-LV"/>
        </w:rPr>
        <w:t>2018.gada 5.oktobrī</w:t>
      </w:r>
      <w:r w:rsidR="0030629E" w:rsidRPr="009A1798">
        <w:rPr>
          <w:rFonts w:asciiTheme="majorBidi" w:hAnsiTheme="majorBidi" w:cstheme="majorBidi"/>
          <w:lang w:eastAsia="lv-LV"/>
        </w:rPr>
        <w:t xml:space="preserve"> </w:t>
      </w:r>
      <w:r w:rsidR="001C09E4">
        <w:rPr>
          <w:rFonts w:asciiTheme="majorBidi" w:hAnsiTheme="majorBidi" w:cstheme="majorBidi"/>
          <w:lang w:eastAsia="lv-LV"/>
        </w:rPr>
        <w:t>b</w:t>
      </w:r>
      <w:r w:rsidR="003A7C0F" w:rsidRPr="009A1798">
        <w:rPr>
          <w:rFonts w:asciiTheme="majorBidi" w:hAnsiTheme="majorBidi" w:cstheme="majorBidi"/>
          <w:lang w:eastAsia="lv-LV"/>
        </w:rPr>
        <w:t xml:space="preserve">irojs nosūtīja Konkurences padomei </w:t>
      </w:r>
      <w:r w:rsidR="0030629E" w:rsidRPr="009A1798">
        <w:rPr>
          <w:rFonts w:asciiTheme="majorBidi" w:hAnsiTheme="majorBidi" w:cstheme="majorBidi"/>
          <w:lang w:eastAsia="lv-LV"/>
        </w:rPr>
        <w:t>kriminālprocesa materiālu kopija</w:t>
      </w:r>
      <w:r w:rsidR="00CE35B4" w:rsidRPr="009A1798">
        <w:rPr>
          <w:rFonts w:asciiTheme="majorBidi" w:hAnsiTheme="majorBidi" w:cstheme="majorBidi"/>
          <w:lang w:eastAsia="lv-LV"/>
        </w:rPr>
        <w:t>s</w:t>
      </w:r>
      <w:r w:rsidR="0080179D" w:rsidRPr="009A1798">
        <w:rPr>
          <w:rFonts w:asciiTheme="majorBidi" w:hAnsiTheme="majorBidi" w:cstheme="majorBidi"/>
          <w:lang w:eastAsia="lv-LV"/>
        </w:rPr>
        <w:t>,</w:t>
      </w:r>
      <w:r w:rsidR="0030629E" w:rsidRPr="009A1798">
        <w:rPr>
          <w:rFonts w:asciiTheme="majorBidi" w:hAnsiTheme="majorBidi" w:cstheme="majorBidi"/>
          <w:lang w:eastAsia="lv-LV"/>
        </w:rPr>
        <w:t xml:space="preserve"> </w:t>
      </w:r>
      <w:r w:rsidR="00E636EE" w:rsidRPr="009A1798">
        <w:rPr>
          <w:rFonts w:asciiTheme="majorBidi" w:hAnsiTheme="majorBidi" w:cstheme="majorBidi"/>
          <w:lang w:eastAsia="lv-LV"/>
        </w:rPr>
        <w:t xml:space="preserve">tostarp noklausīto </w:t>
      </w:r>
      <w:r w:rsidR="003A7C0F" w:rsidRPr="009A1798">
        <w:rPr>
          <w:rFonts w:asciiTheme="majorBidi" w:hAnsiTheme="majorBidi" w:cstheme="majorBidi"/>
          <w:lang w:eastAsia="lv-LV"/>
        </w:rPr>
        <w:t>sarunu audioierakstu atšifrējumus (turpmāk arī –</w:t>
      </w:r>
      <w:r w:rsidR="003A7C0F" w:rsidRPr="00253941">
        <w:rPr>
          <w:rFonts w:asciiTheme="majorBidi" w:hAnsiTheme="majorBidi" w:cstheme="majorBidi"/>
          <w:lang w:eastAsia="lv-LV"/>
        </w:rPr>
        <w:t xml:space="preserve"> atšifrējumi).</w:t>
      </w:r>
      <w:r w:rsidR="009A1798">
        <w:rPr>
          <w:rFonts w:asciiTheme="majorBidi" w:hAnsiTheme="majorBidi" w:cstheme="majorBidi"/>
          <w:lang w:eastAsia="lv-LV"/>
        </w:rPr>
        <w:t xml:space="preserve"> Papildu informāciju </w:t>
      </w:r>
      <w:r w:rsidR="001C09E4">
        <w:rPr>
          <w:rFonts w:asciiTheme="majorBidi" w:hAnsiTheme="majorBidi" w:cstheme="majorBidi"/>
          <w:lang w:eastAsia="lv-LV"/>
        </w:rPr>
        <w:t>b</w:t>
      </w:r>
      <w:r w:rsidR="009A1798">
        <w:rPr>
          <w:rFonts w:asciiTheme="majorBidi" w:hAnsiTheme="majorBidi" w:cstheme="majorBidi"/>
          <w:lang w:eastAsia="lv-LV"/>
        </w:rPr>
        <w:t>irojs nosūtīja arī vēlāk.</w:t>
      </w:r>
    </w:p>
    <w:p w14:paraId="47383E0D" w14:textId="76DEB246" w:rsidR="008A185B" w:rsidRPr="008A185B" w:rsidRDefault="003A7C0F" w:rsidP="001F783F">
      <w:pPr>
        <w:spacing w:line="276" w:lineRule="auto"/>
        <w:ind w:firstLine="720"/>
        <w:jc w:val="both"/>
        <w:rPr>
          <w:rFonts w:asciiTheme="majorBidi" w:hAnsiTheme="majorBidi" w:cstheme="majorBidi"/>
          <w:lang w:eastAsia="lv-LV"/>
        </w:rPr>
      </w:pPr>
      <w:r>
        <w:rPr>
          <w:rFonts w:asciiTheme="majorBidi" w:hAnsiTheme="majorBidi" w:cstheme="majorBidi"/>
          <w:lang w:eastAsia="lv-LV"/>
        </w:rPr>
        <w:t>A</w:t>
      </w:r>
      <w:r w:rsidRPr="00807219">
        <w:rPr>
          <w:rFonts w:asciiTheme="majorBidi" w:hAnsiTheme="majorBidi" w:cstheme="majorBidi"/>
          <w:lang w:eastAsia="lv-LV"/>
        </w:rPr>
        <w:t>tšifrējum</w:t>
      </w:r>
      <w:r w:rsidR="00A36DE6">
        <w:rPr>
          <w:rFonts w:asciiTheme="majorBidi" w:hAnsiTheme="majorBidi" w:cstheme="majorBidi"/>
          <w:lang w:eastAsia="lv-LV"/>
        </w:rPr>
        <w:t>os bija</w:t>
      </w:r>
      <w:r w:rsidRPr="00807219">
        <w:rPr>
          <w:rFonts w:asciiTheme="majorBidi" w:hAnsiTheme="majorBidi" w:cstheme="majorBidi"/>
          <w:lang w:eastAsia="lv-LV"/>
        </w:rPr>
        <w:t xml:space="preserve"> informācij</w:t>
      </w:r>
      <w:r w:rsidR="00A36DE6">
        <w:rPr>
          <w:rFonts w:asciiTheme="majorBidi" w:hAnsiTheme="majorBidi" w:cstheme="majorBidi"/>
          <w:lang w:eastAsia="lv-LV"/>
        </w:rPr>
        <w:t>a</w:t>
      </w:r>
      <w:r w:rsidRPr="00807219">
        <w:rPr>
          <w:rFonts w:asciiTheme="majorBidi" w:hAnsiTheme="majorBidi" w:cstheme="majorBidi"/>
          <w:lang w:eastAsia="lv-LV"/>
        </w:rPr>
        <w:t xml:space="preserve"> par to, ka </w:t>
      </w:r>
      <w:r w:rsidR="001C09E4">
        <w:rPr>
          <w:rFonts w:asciiTheme="majorBidi" w:hAnsiTheme="majorBidi" w:cstheme="majorBidi"/>
          <w:lang w:eastAsia="lv-LV"/>
        </w:rPr>
        <w:t>b</w:t>
      </w:r>
      <w:r w:rsidRPr="00807219">
        <w:rPr>
          <w:rFonts w:asciiTheme="majorBidi" w:hAnsiTheme="majorBidi" w:cstheme="majorBidi"/>
          <w:lang w:eastAsia="lv-LV"/>
        </w:rPr>
        <w:t xml:space="preserve">iroja veikto operatīvo darbību laikā </w:t>
      </w:r>
      <w:r>
        <w:rPr>
          <w:rFonts w:asciiTheme="majorBidi" w:hAnsiTheme="majorBidi" w:cstheme="majorBidi"/>
          <w:lang w:eastAsia="lv-LV"/>
        </w:rPr>
        <w:t xml:space="preserve">vairāki </w:t>
      </w:r>
      <w:r w:rsidRPr="00807219">
        <w:rPr>
          <w:rFonts w:asciiTheme="majorBidi" w:hAnsiTheme="majorBidi" w:cstheme="majorBidi"/>
          <w:lang w:eastAsia="lv-LV"/>
        </w:rPr>
        <w:t>Latvijas būvniecības komercsabiedrību pārstāvj</w:t>
      </w:r>
      <w:r>
        <w:rPr>
          <w:rFonts w:asciiTheme="majorBidi" w:hAnsiTheme="majorBidi" w:cstheme="majorBidi"/>
          <w:lang w:eastAsia="lv-LV"/>
        </w:rPr>
        <w:t xml:space="preserve">i bija tikušies </w:t>
      </w:r>
      <w:r w:rsidRPr="00807219">
        <w:rPr>
          <w:rFonts w:asciiTheme="majorBidi" w:hAnsiTheme="majorBidi" w:cstheme="majorBidi"/>
          <w:lang w:eastAsia="lv-LV"/>
        </w:rPr>
        <w:t xml:space="preserve">vismaz 12 </w:t>
      </w:r>
      <w:r>
        <w:rPr>
          <w:rFonts w:asciiTheme="majorBidi" w:hAnsiTheme="majorBidi" w:cstheme="majorBidi"/>
          <w:lang w:eastAsia="lv-LV"/>
        </w:rPr>
        <w:t>reizes</w:t>
      </w:r>
      <w:r w:rsidRPr="00807219">
        <w:rPr>
          <w:rFonts w:asciiTheme="majorBidi" w:hAnsiTheme="majorBidi" w:cstheme="majorBidi"/>
          <w:lang w:eastAsia="lv-LV"/>
        </w:rPr>
        <w:t xml:space="preserve">, </w:t>
      </w:r>
      <w:r>
        <w:rPr>
          <w:rFonts w:asciiTheme="majorBidi" w:hAnsiTheme="majorBidi" w:cstheme="majorBidi"/>
          <w:lang w:eastAsia="lv-LV"/>
        </w:rPr>
        <w:t xml:space="preserve">lai </w:t>
      </w:r>
      <w:r w:rsidRPr="00807219">
        <w:rPr>
          <w:rFonts w:asciiTheme="majorBidi" w:hAnsiTheme="majorBidi" w:cstheme="majorBidi"/>
          <w:lang w:eastAsia="lv-LV"/>
        </w:rPr>
        <w:t>apspriest</w:t>
      </w:r>
      <w:r>
        <w:rPr>
          <w:rFonts w:asciiTheme="majorBidi" w:hAnsiTheme="majorBidi" w:cstheme="majorBidi"/>
          <w:lang w:eastAsia="lv-LV"/>
        </w:rPr>
        <w:t>u</w:t>
      </w:r>
      <w:r w:rsidRPr="00807219">
        <w:rPr>
          <w:rFonts w:asciiTheme="majorBidi" w:hAnsiTheme="majorBidi" w:cstheme="majorBidi"/>
          <w:lang w:eastAsia="lv-LV"/>
        </w:rPr>
        <w:t xml:space="preserve"> jautājum</w:t>
      </w:r>
      <w:r>
        <w:rPr>
          <w:rFonts w:asciiTheme="majorBidi" w:hAnsiTheme="majorBidi" w:cstheme="majorBidi"/>
          <w:lang w:eastAsia="lv-LV"/>
        </w:rPr>
        <w:t>us</w:t>
      </w:r>
      <w:r w:rsidRPr="00807219">
        <w:rPr>
          <w:rFonts w:asciiTheme="majorBidi" w:hAnsiTheme="majorBidi" w:cstheme="majorBidi"/>
          <w:lang w:eastAsia="lv-LV"/>
        </w:rPr>
        <w:t xml:space="preserve"> par būvniecības </w:t>
      </w:r>
      <w:r>
        <w:rPr>
          <w:rFonts w:asciiTheme="majorBidi" w:hAnsiTheme="majorBidi" w:cstheme="majorBidi"/>
          <w:lang w:eastAsia="lv-LV"/>
        </w:rPr>
        <w:t>iepirkumu (objektu)</w:t>
      </w:r>
      <w:r w:rsidRPr="00807219">
        <w:rPr>
          <w:rFonts w:asciiTheme="majorBidi" w:hAnsiTheme="majorBidi" w:cstheme="majorBidi"/>
          <w:lang w:eastAsia="lv-LV"/>
        </w:rPr>
        <w:t xml:space="preserve"> sadali, kā arī par dalības nosacījumiem iepirkumos. </w:t>
      </w:r>
      <w:r w:rsidR="007043E0">
        <w:rPr>
          <w:rFonts w:asciiTheme="majorBidi" w:hAnsiTheme="majorBidi" w:cstheme="majorBidi"/>
          <w:lang w:eastAsia="lv-LV"/>
        </w:rPr>
        <w:t>Pamatojoties uz saņemto informāciju,</w:t>
      </w:r>
      <w:r>
        <w:rPr>
          <w:rFonts w:asciiTheme="majorBidi" w:hAnsiTheme="majorBidi" w:cstheme="majorBidi"/>
          <w:lang w:eastAsia="lv-LV"/>
        </w:rPr>
        <w:t xml:space="preserve"> </w:t>
      </w:r>
      <w:r w:rsidR="00C073F1">
        <w:rPr>
          <w:rFonts w:asciiTheme="majorBidi" w:hAnsiTheme="majorBidi" w:cstheme="majorBidi"/>
          <w:lang w:eastAsia="lv-LV"/>
        </w:rPr>
        <w:t>Konkurences p</w:t>
      </w:r>
      <w:r w:rsidRPr="00807219">
        <w:rPr>
          <w:rFonts w:asciiTheme="majorBidi" w:hAnsiTheme="majorBidi" w:cstheme="majorBidi"/>
          <w:lang w:eastAsia="lv-LV"/>
        </w:rPr>
        <w:t>adome veica</w:t>
      </w:r>
      <w:r>
        <w:rPr>
          <w:rFonts w:asciiTheme="majorBidi" w:hAnsiTheme="majorBidi" w:cstheme="majorBidi"/>
          <w:lang w:eastAsia="lv-LV"/>
        </w:rPr>
        <w:t xml:space="preserve"> </w:t>
      </w:r>
      <w:r w:rsidRPr="00807219">
        <w:rPr>
          <w:rFonts w:asciiTheme="majorBidi" w:hAnsiTheme="majorBidi" w:cstheme="majorBidi"/>
          <w:lang w:eastAsia="lv-LV"/>
        </w:rPr>
        <w:t>izmeklēšanu</w:t>
      </w:r>
      <w:r w:rsidR="008A185B">
        <w:rPr>
          <w:rFonts w:asciiTheme="majorBidi" w:hAnsiTheme="majorBidi" w:cstheme="majorBidi"/>
          <w:lang w:eastAsia="lv-LV"/>
        </w:rPr>
        <w:t>.</w:t>
      </w:r>
    </w:p>
    <w:p w14:paraId="16D83C1F" w14:textId="77777777" w:rsidR="008A185B" w:rsidRDefault="008A185B" w:rsidP="001F783F">
      <w:pPr>
        <w:spacing w:line="276" w:lineRule="auto"/>
        <w:ind w:firstLine="720"/>
        <w:jc w:val="both"/>
        <w:rPr>
          <w:rFonts w:asciiTheme="majorBidi" w:hAnsiTheme="majorBidi" w:cstheme="majorBidi"/>
          <w:lang w:eastAsia="lv-LV"/>
        </w:rPr>
      </w:pPr>
    </w:p>
    <w:p w14:paraId="44AF7CB1" w14:textId="7A9C0F3D" w:rsidR="007043E0" w:rsidRPr="009171F6" w:rsidRDefault="005521E9" w:rsidP="001F783F">
      <w:pPr>
        <w:spacing w:line="276" w:lineRule="auto"/>
        <w:ind w:firstLine="720"/>
        <w:jc w:val="both"/>
        <w:rPr>
          <w:rFonts w:asciiTheme="majorBidi" w:hAnsiTheme="majorBidi" w:cstheme="majorBidi"/>
          <w:lang w:eastAsia="lv-LV"/>
        </w:rPr>
      </w:pPr>
      <w:r w:rsidRPr="009171F6">
        <w:rPr>
          <w:rFonts w:asciiTheme="majorBidi" w:hAnsiTheme="majorBidi" w:cstheme="majorBidi"/>
          <w:lang w:eastAsia="lv-LV"/>
        </w:rPr>
        <w:t>[3]</w:t>
      </w:r>
      <w:r w:rsidR="00DF3674" w:rsidRPr="009171F6">
        <w:rPr>
          <w:rFonts w:asciiTheme="majorBidi" w:hAnsiTheme="majorBidi" w:cstheme="majorBidi"/>
          <w:lang w:eastAsia="lv-LV"/>
        </w:rPr>
        <w:t> </w:t>
      </w:r>
      <w:r w:rsidR="00620A04" w:rsidRPr="009171F6">
        <w:rPr>
          <w:rFonts w:asciiTheme="majorBidi" w:hAnsiTheme="majorBidi" w:cstheme="majorBidi"/>
          <w:lang w:eastAsia="lv-LV"/>
        </w:rPr>
        <w:t>2021.gada 30.jūlij</w:t>
      </w:r>
      <w:r w:rsidR="005E6367" w:rsidRPr="009171F6">
        <w:rPr>
          <w:rFonts w:asciiTheme="majorBidi" w:hAnsiTheme="majorBidi" w:cstheme="majorBidi"/>
          <w:lang w:eastAsia="lv-LV"/>
        </w:rPr>
        <w:t xml:space="preserve">ā </w:t>
      </w:r>
      <w:r w:rsidR="0014700C">
        <w:rPr>
          <w:rFonts w:asciiTheme="majorBidi" w:hAnsiTheme="majorBidi" w:cstheme="majorBidi"/>
          <w:lang w:eastAsia="lv-LV"/>
        </w:rPr>
        <w:t>Konkurences p</w:t>
      </w:r>
      <w:r w:rsidR="0014700C" w:rsidRPr="009171F6">
        <w:rPr>
          <w:rFonts w:asciiTheme="majorBidi" w:hAnsiTheme="majorBidi" w:cstheme="majorBidi"/>
          <w:lang w:eastAsia="lv-LV"/>
        </w:rPr>
        <w:t xml:space="preserve">adome </w:t>
      </w:r>
      <w:r w:rsidR="005E6367" w:rsidRPr="009171F6">
        <w:rPr>
          <w:rFonts w:asciiTheme="majorBidi" w:hAnsiTheme="majorBidi" w:cstheme="majorBidi"/>
          <w:lang w:eastAsia="lv-LV"/>
        </w:rPr>
        <w:t>pieņēma</w:t>
      </w:r>
      <w:r w:rsidR="00620A04" w:rsidRPr="009171F6">
        <w:rPr>
          <w:rFonts w:asciiTheme="majorBidi" w:hAnsiTheme="majorBidi" w:cstheme="majorBidi"/>
          <w:lang w:eastAsia="lv-LV"/>
        </w:rPr>
        <w:t xml:space="preserve"> lēmumu Nr.</w:t>
      </w:r>
      <w:r w:rsidR="00C41320" w:rsidRPr="009171F6">
        <w:rPr>
          <w:rFonts w:asciiTheme="majorBidi" w:hAnsiTheme="majorBidi" w:cstheme="majorBidi"/>
          <w:lang w:eastAsia="lv-LV"/>
        </w:rPr>
        <w:t> </w:t>
      </w:r>
      <w:r w:rsidR="00620A04" w:rsidRPr="009171F6">
        <w:rPr>
          <w:rFonts w:asciiTheme="majorBidi" w:hAnsiTheme="majorBidi" w:cstheme="majorBidi"/>
          <w:lang w:eastAsia="lv-LV"/>
        </w:rPr>
        <w:t>22 (turpmāk – pārsūdzētais lēmums)</w:t>
      </w:r>
      <w:r w:rsidR="005E6367" w:rsidRPr="009171F6">
        <w:rPr>
          <w:rFonts w:asciiTheme="majorBidi" w:hAnsiTheme="majorBidi" w:cstheme="majorBidi"/>
          <w:lang w:eastAsia="lv-LV"/>
        </w:rPr>
        <w:t>, ar kuru</w:t>
      </w:r>
      <w:r w:rsidR="00620A04" w:rsidRPr="009171F6">
        <w:rPr>
          <w:rFonts w:asciiTheme="majorBidi" w:hAnsiTheme="majorBidi" w:cstheme="majorBidi"/>
          <w:lang w:eastAsia="lv-LV"/>
        </w:rPr>
        <w:t xml:space="preserve"> konstatēja Konkurences likuma 11.panta pirmajā daļā un Līguma par Eiropas Savienības </w:t>
      </w:r>
      <w:r w:rsidR="00D265A1">
        <w:rPr>
          <w:rFonts w:asciiTheme="majorBidi" w:hAnsiTheme="majorBidi" w:cstheme="majorBidi"/>
          <w:lang w:eastAsia="lv-LV"/>
        </w:rPr>
        <w:t>darbību</w:t>
      </w:r>
      <w:r w:rsidR="00D265A1" w:rsidRPr="009171F6">
        <w:rPr>
          <w:rFonts w:asciiTheme="majorBidi" w:hAnsiTheme="majorBidi" w:cstheme="majorBidi"/>
          <w:lang w:eastAsia="lv-LV"/>
        </w:rPr>
        <w:t xml:space="preserve"> </w:t>
      </w:r>
      <w:r w:rsidR="00620A04" w:rsidRPr="009171F6">
        <w:rPr>
          <w:rFonts w:asciiTheme="majorBidi" w:hAnsiTheme="majorBidi" w:cstheme="majorBidi"/>
          <w:lang w:eastAsia="lv-LV"/>
        </w:rPr>
        <w:t>(turpmāk – LESD) 101.panta 1.punktā noteiktā aizlieguma pārkāpumu</w:t>
      </w:r>
      <w:r w:rsidR="004C7F46" w:rsidRPr="009171F6">
        <w:rPr>
          <w:rFonts w:asciiTheme="majorBidi" w:hAnsiTheme="majorBidi" w:cstheme="majorBidi"/>
          <w:lang w:eastAsia="lv-LV"/>
        </w:rPr>
        <w:t>.</w:t>
      </w:r>
    </w:p>
    <w:p w14:paraId="5FF147D9" w14:textId="71181A22" w:rsidR="00620A04" w:rsidRPr="00807219" w:rsidRDefault="004C7F46" w:rsidP="001F783F">
      <w:pPr>
        <w:spacing w:line="276" w:lineRule="auto"/>
        <w:ind w:firstLine="720"/>
        <w:jc w:val="both"/>
        <w:rPr>
          <w:rFonts w:asciiTheme="majorBidi" w:hAnsiTheme="majorBidi" w:cstheme="majorBidi"/>
          <w:lang w:eastAsia="lv-LV"/>
        </w:rPr>
      </w:pPr>
      <w:r w:rsidRPr="009171F6">
        <w:rPr>
          <w:rFonts w:asciiTheme="majorBidi" w:hAnsiTheme="majorBidi" w:cstheme="majorBidi"/>
          <w:lang w:eastAsia="lv-LV"/>
        </w:rPr>
        <w:t xml:space="preserve">Padome pārkāpumu konstatēja </w:t>
      </w:r>
      <w:r w:rsidR="00CF20BE" w:rsidRPr="009171F6">
        <w:rPr>
          <w:rFonts w:asciiTheme="majorBidi" w:hAnsiTheme="majorBidi" w:cstheme="majorBidi"/>
          <w:lang w:eastAsia="lv-LV"/>
        </w:rPr>
        <w:t xml:space="preserve">SIA „SKONTO BŪVE” </w:t>
      </w:r>
      <w:r w:rsidR="00620A04" w:rsidRPr="009171F6">
        <w:rPr>
          <w:rFonts w:asciiTheme="majorBidi" w:hAnsiTheme="majorBidi" w:cstheme="majorBidi"/>
          <w:lang w:eastAsia="lv-LV"/>
        </w:rPr>
        <w:t xml:space="preserve">(turpmāk – </w:t>
      </w:r>
      <w:r w:rsidR="00620A04" w:rsidRPr="009171F6">
        <w:rPr>
          <w:rFonts w:asciiTheme="majorBidi" w:hAnsiTheme="majorBidi" w:cstheme="majorBidi"/>
          <w:i/>
          <w:iCs/>
          <w:lang w:eastAsia="lv-LV"/>
        </w:rPr>
        <w:t>Skonto</w:t>
      </w:r>
      <w:r w:rsidR="00CF20BE" w:rsidRPr="009171F6">
        <w:rPr>
          <w:rFonts w:asciiTheme="majorBidi" w:hAnsiTheme="majorBidi" w:cstheme="majorBidi"/>
          <w:i/>
          <w:iCs/>
          <w:lang w:eastAsia="lv-LV"/>
        </w:rPr>
        <w:t xml:space="preserve"> Būve</w:t>
      </w:r>
      <w:r w:rsidR="00620A04" w:rsidRPr="009171F6">
        <w:rPr>
          <w:rFonts w:asciiTheme="majorBidi" w:hAnsiTheme="majorBidi" w:cstheme="majorBidi"/>
          <w:lang w:eastAsia="lv-LV"/>
        </w:rPr>
        <w:t>), SIA „</w:t>
      </w:r>
      <w:r w:rsidR="00CF20BE" w:rsidRPr="009171F6">
        <w:rPr>
          <w:rFonts w:asciiTheme="majorBidi" w:hAnsiTheme="majorBidi" w:cstheme="majorBidi"/>
          <w:lang w:eastAsia="lv-LV"/>
        </w:rPr>
        <w:t>LATVIJAS ENERGOCELTNIEKS</w:t>
      </w:r>
      <w:r w:rsidR="00620A04" w:rsidRPr="009171F6">
        <w:rPr>
          <w:rFonts w:asciiTheme="majorBidi" w:hAnsiTheme="majorBidi" w:cstheme="majorBidi"/>
          <w:lang w:eastAsia="lv-LV"/>
        </w:rPr>
        <w:t xml:space="preserve">” (turpmāk – </w:t>
      </w:r>
      <w:r w:rsidR="00620A04" w:rsidRPr="009171F6">
        <w:rPr>
          <w:rFonts w:asciiTheme="majorBidi" w:hAnsiTheme="majorBidi" w:cstheme="majorBidi"/>
          <w:i/>
          <w:iCs/>
          <w:lang w:eastAsia="lv-LV"/>
        </w:rPr>
        <w:t>LEC</w:t>
      </w:r>
      <w:r w:rsidR="00620A04" w:rsidRPr="009171F6">
        <w:rPr>
          <w:rFonts w:asciiTheme="majorBidi" w:hAnsiTheme="majorBidi" w:cstheme="majorBidi"/>
          <w:lang w:eastAsia="lv-LV"/>
        </w:rPr>
        <w:t>), SIA „</w:t>
      </w:r>
      <w:r w:rsidR="00CF20BE" w:rsidRPr="009171F6">
        <w:rPr>
          <w:rFonts w:asciiTheme="majorBidi" w:hAnsiTheme="majorBidi" w:cstheme="majorBidi"/>
          <w:lang w:eastAsia="lv-LV"/>
        </w:rPr>
        <w:t>VELVE</w:t>
      </w:r>
      <w:r w:rsidR="00620A04" w:rsidRPr="009171F6">
        <w:rPr>
          <w:rFonts w:asciiTheme="majorBidi" w:hAnsiTheme="majorBidi" w:cstheme="majorBidi"/>
          <w:lang w:eastAsia="lv-LV"/>
        </w:rPr>
        <w:t xml:space="preserve">” (turpmāk – </w:t>
      </w:r>
      <w:r w:rsidR="00620A04" w:rsidRPr="009171F6">
        <w:rPr>
          <w:rFonts w:asciiTheme="majorBidi" w:hAnsiTheme="majorBidi" w:cstheme="majorBidi"/>
          <w:i/>
          <w:iCs/>
          <w:lang w:eastAsia="lv-LV"/>
        </w:rPr>
        <w:t>Velve</w:t>
      </w:r>
      <w:r w:rsidR="00620A04" w:rsidRPr="009171F6">
        <w:rPr>
          <w:rFonts w:asciiTheme="majorBidi" w:hAnsiTheme="majorBidi" w:cstheme="majorBidi"/>
          <w:lang w:eastAsia="lv-LV"/>
        </w:rPr>
        <w:t>),</w:t>
      </w:r>
      <w:r w:rsidR="00620A04" w:rsidRPr="009171F6">
        <w:rPr>
          <w:rFonts w:asciiTheme="majorBidi" w:hAnsiTheme="majorBidi" w:cstheme="majorBidi"/>
          <w:color w:val="EE0000"/>
          <w:lang w:eastAsia="lv-LV"/>
        </w:rPr>
        <w:t xml:space="preserve"> </w:t>
      </w:r>
      <w:r w:rsidR="00620A04" w:rsidRPr="009171F6">
        <w:rPr>
          <w:rFonts w:asciiTheme="majorBidi" w:hAnsiTheme="majorBidi" w:cstheme="majorBidi"/>
          <w:lang w:eastAsia="lv-LV"/>
        </w:rPr>
        <w:t>SIA „</w:t>
      </w:r>
      <w:r w:rsidR="00CF20BE" w:rsidRPr="009171F6">
        <w:rPr>
          <w:rFonts w:asciiTheme="majorBidi" w:hAnsiTheme="majorBidi" w:cstheme="majorBidi"/>
          <w:lang w:eastAsia="lv-LV"/>
        </w:rPr>
        <w:t>ARČERS</w:t>
      </w:r>
      <w:r w:rsidR="00620A04" w:rsidRPr="009171F6">
        <w:rPr>
          <w:rFonts w:asciiTheme="majorBidi" w:hAnsiTheme="majorBidi" w:cstheme="majorBidi"/>
          <w:lang w:eastAsia="lv-LV"/>
        </w:rPr>
        <w:t xml:space="preserve">” (turpmāk – </w:t>
      </w:r>
      <w:r w:rsidR="00620A04" w:rsidRPr="009171F6">
        <w:rPr>
          <w:rFonts w:asciiTheme="majorBidi" w:hAnsiTheme="majorBidi" w:cstheme="majorBidi"/>
          <w:i/>
          <w:iCs/>
          <w:lang w:eastAsia="lv-LV"/>
        </w:rPr>
        <w:t>Arčers</w:t>
      </w:r>
      <w:r w:rsidR="00620A04" w:rsidRPr="009171F6">
        <w:rPr>
          <w:rFonts w:asciiTheme="majorBidi" w:hAnsiTheme="majorBidi" w:cstheme="majorBidi"/>
          <w:lang w:eastAsia="lv-LV"/>
        </w:rPr>
        <w:t xml:space="preserve">), SIA „RERE </w:t>
      </w:r>
      <w:r w:rsidR="00CF20BE" w:rsidRPr="009171F6">
        <w:rPr>
          <w:rFonts w:asciiTheme="majorBidi" w:hAnsiTheme="majorBidi" w:cstheme="majorBidi"/>
          <w:lang w:eastAsia="lv-LV"/>
        </w:rPr>
        <w:t>BŪVE</w:t>
      </w:r>
      <w:r w:rsidR="00620A04" w:rsidRPr="009171F6">
        <w:rPr>
          <w:rFonts w:asciiTheme="majorBidi" w:hAnsiTheme="majorBidi" w:cstheme="majorBidi"/>
          <w:lang w:eastAsia="lv-LV"/>
        </w:rPr>
        <w:t xml:space="preserve">” (turpmāk – </w:t>
      </w:r>
      <w:r w:rsidR="00620A04" w:rsidRPr="009171F6">
        <w:rPr>
          <w:rFonts w:asciiTheme="majorBidi" w:hAnsiTheme="majorBidi" w:cstheme="majorBidi"/>
          <w:i/>
          <w:iCs/>
          <w:lang w:eastAsia="lv-LV"/>
        </w:rPr>
        <w:t>RERE Būve</w:t>
      </w:r>
      <w:r w:rsidR="00620A04" w:rsidRPr="009171F6">
        <w:rPr>
          <w:rFonts w:asciiTheme="majorBidi" w:hAnsiTheme="majorBidi" w:cstheme="majorBidi"/>
          <w:lang w:eastAsia="lv-LV"/>
        </w:rPr>
        <w:t>), SIA „RE</w:t>
      </w:r>
      <w:r w:rsidR="00CF20BE" w:rsidRPr="009171F6">
        <w:rPr>
          <w:rFonts w:asciiTheme="majorBidi" w:hAnsiTheme="majorBidi" w:cstheme="majorBidi"/>
          <w:lang w:eastAsia="lv-LV"/>
        </w:rPr>
        <w:t> </w:t>
      </w:r>
      <w:r w:rsidR="00620A04" w:rsidRPr="009171F6">
        <w:rPr>
          <w:rFonts w:asciiTheme="majorBidi" w:hAnsiTheme="majorBidi" w:cstheme="majorBidi"/>
          <w:lang w:eastAsia="lv-LV"/>
        </w:rPr>
        <w:t>&amp;</w:t>
      </w:r>
      <w:r w:rsidR="00CF20BE" w:rsidRPr="009171F6">
        <w:rPr>
          <w:rFonts w:asciiTheme="majorBidi" w:hAnsiTheme="majorBidi" w:cstheme="majorBidi"/>
          <w:lang w:eastAsia="lv-LV"/>
        </w:rPr>
        <w:t> </w:t>
      </w:r>
      <w:r w:rsidR="00620A04" w:rsidRPr="009171F6">
        <w:rPr>
          <w:rFonts w:asciiTheme="majorBidi" w:hAnsiTheme="majorBidi" w:cstheme="majorBidi"/>
          <w:lang w:eastAsia="lv-LV"/>
        </w:rPr>
        <w:t xml:space="preserve">RE” (turpmāk – </w:t>
      </w:r>
      <w:r w:rsidR="00620A04" w:rsidRPr="009171F6">
        <w:rPr>
          <w:rFonts w:asciiTheme="majorBidi" w:hAnsiTheme="majorBidi" w:cstheme="majorBidi"/>
          <w:i/>
          <w:iCs/>
          <w:lang w:eastAsia="lv-LV"/>
        </w:rPr>
        <w:t>RE&amp;RE</w:t>
      </w:r>
      <w:r w:rsidR="00620A04" w:rsidRPr="009171F6">
        <w:rPr>
          <w:rFonts w:asciiTheme="majorBidi" w:hAnsiTheme="majorBidi" w:cstheme="majorBidi"/>
          <w:lang w:eastAsia="lv-LV"/>
        </w:rPr>
        <w:t xml:space="preserve">), SIA „RBSSKALS Būvvadība”, </w:t>
      </w:r>
      <w:r w:rsidR="00620A04" w:rsidRPr="009171F6">
        <w:rPr>
          <w:rFonts w:asciiTheme="majorBidi" w:hAnsiTheme="majorBidi" w:cstheme="majorBidi"/>
          <w:color w:val="000000" w:themeColor="text1"/>
          <w:lang w:eastAsia="lv-LV"/>
        </w:rPr>
        <w:t>SIA </w:t>
      </w:r>
      <w:r w:rsidR="00620A04" w:rsidRPr="009171F6">
        <w:rPr>
          <w:rFonts w:asciiTheme="majorBidi" w:hAnsiTheme="majorBidi" w:cstheme="majorBidi"/>
          <w:lang w:eastAsia="lv-LV"/>
        </w:rPr>
        <w:t>„</w:t>
      </w:r>
      <w:r w:rsidR="00CF20BE" w:rsidRPr="009171F6">
        <w:rPr>
          <w:rFonts w:asciiTheme="majorBidi" w:hAnsiTheme="majorBidi" w:cstheme="majorBidi"/>
          <w:lang w:eastAsia="lv-LV"/>
        </w:rPr>
        <w:t>ABORA</w:t>
      </w:r>
      <w:r w:rsidR="00620A04" w:rsidRPr="009171F6">
        <w:rPr>
          <w:rFonts w:asciiTheme="majorBidi" w:hAnsiTheme="majorBidi" w:cstheme="majorBidi"/>
          <w:lang w:eastAsia="lv-LV"/>
        </w:rPr>
        <w:t xml:space="preserve">” (turpmāk – </w:t>
      </w:r>
      <w:r w:rsidR="00620A04" w:rsidRPr="009171F6">
        <w:rPr>
          <w:rFonts w:asciiTheme="majorBidi" w:hAnsiTheme="majorBidi" w:cstheme="majorBidi"/>
          <w:i/>
          <w:iCs/>
          <w:lang w:eastAsia="lv-LV"/>
        </w:rPr>
        <w:t>Abora</w:t>
      </w:r>
      <w:r w:rsidR="00620A04" w:rsidRPr="009171F6">
        <w:rPr>
          <w:rFonts w:asciiTheme="majorBidi" w:hAnsiTheme="majorBidi" w:cstheme="majorBidi"/>
          <w:lang w:eastAsia="lv-LV"/>
        </w:rPr>
        <w:t xml:space="preserve">), AS „LNK Industries” (turpmāk – </w:t>
      </w:r>
      <w:r w:rsidR="00620A04" w:rsidRPr="009171F6">
        <w:rPr>
          <w:rFonts w:asciiTheme="majorBidi" w:hAnsiTheme="majorBidi" w:cstheme="majorBidi"/>
          <w:i/>
          <w:iCs/>
          <w:lang w:eastAsia="lv-LV"/>
        </w:rPr>
        <w:t>LNK Industries</w:t>
      </w:r>
      <w:r w:rsidR="00620A04" w:rsidRPr="009171F6">
        <w:rPr>
          <w:rFonts w:asciiTheme="majorBidi" w:hAnsiTheme="majorBidi" w:cstheme="majorBidi"/>
          <w:lang w:eastAsia="lv-LV"/>
        </w:rPr>
        <w:t>)</w:t>
      </w:r>
      <w:r w:rsidR="00C41320" w:rsidRPr="009171F6">
        <w:rPr>
          <w:rFonts w:asciiTheme="majorBidi" w:hAnsiTheme="majorBidi" w:cstheme="majorBidi"/>
          <w:lang w:eastAsia="lv-LV"/>
        </w:rPr>
        <w:t xml:space="preserve">, </w:t>
      </w:r>
      <w:r w:rsidR="00620A04" w:rsidRPr="009171F6">
        <w:rPr>
          <w:rFonts w:asciiTheme="majorBidi" w:hAnsiTheme="majorBidi" w:cstheme="majorBidi"/>
          <w:lang w:eastAsia="lv-LV"/>
        </w:rPr>
        <w:t>SIA „</w:t>
      </w:r>
      <w:r w:rsidR="003307A2" w:rsidRPr="009171F6">
        <w:rPr>
          <w:rFonts w:asciiTheme="majorBidi" w:hAnsiTheme="majorBidi" w:cstheme="majorBidi"/>
          <w:lang w:eastAsia="lv-LV"/>
        </w:rPr>
        <w:t>MERKS</w:t>
      </w:r>
      <w:r w:rsidR="00620A04" w:rsidRPr="009171F6">
        <w:rPr>
          <w:rFonts w:asciiTheme="majorBidi" w:hAnsiTheme="majorBidi" w:cstheme="majorBidi"/>
          <w:lang w:eastAsia="lv-LV"/>
        </w:rPr>
        <w:t xml:space="preserve">” (turpmāk – </w:t>
      </w:r>
      <w:r w:rsidR="00620A04" w:rsidRPr="009171F6">
        <w:rPr>
          <w:rFonts w:asciiTheme="majorBidi" w:hAnsiTheme="majorBidi" w:cstheme="majorBidi"/>
          <w:i/>
          <w:iCs/>
          <w:lang w:eastAsia="lv-LV"/>
        </w:rPr>
        <w:t>Merks</w:t>
      </w:r>
      <w:r w:rsidR="00620A04" w:rsidRPr="009171F6">
        <w:rPr>
          <w:rFonts w:asciiTheme="majorBidi" w:hAnsiTheme="majorBidi" w:cstheme="majorBidi"/>
          <w:lang w:eastAsia="lv-LV"/>
        </w:rPr>
        <w:t>) darbībās</w:t>
      </w:r>
      <w:r w:rsidR="00A23135" w:rsidRPr="009171F6">
        <w:rPr>
          <w:rFonts w:asciiTheme="majorBidi" w:hAnsiTheme="majorBidi" w:cstheme="majorBidi"/>
          <w:lang w:eastAsia="lv-LV"/>
        </w:rPr>
        <w:t xml:space="preserve"> un</w:t>
      </w:r>
      <w:r w:rsidR="00A5228D" w:rsidRPr="009171F6">
        <w:rPr>
          <w:rFonts w:asciiTheme="majorBidi" w:hAnsiTheme="majorBidi" w:cstheme="majorBidi"/>
          <w:lang w:eastAsia="lv-LV"/>
        </w:rPr>
        <w:t xml:space="preserve"> uzlika naudas sodus</w:t>
      </w:r>
      <w:r w:rsidR="00077480" w:rsidRPr="009171F6">
        <w:rPr>
          <w:rFonts w:asciiTheme="majorBidi" w:hAnsiTheme="majorBidi" w:cstheme="majorBidi"/>
          <w:lang w:eastAsia="lv-LV"/>
        </w:rPr>
        <w:t>, tostarp</w:t>
      </w:r>
      <w:r w:rsidRPr="009171F6">
        <w:rPr>
          <w:rFonts w:asciiTheme="majorBidi" w:hAnsiTheme="majorBidi" w:cstheme="majorBidi"/>
          <w:lang w:eastAsia="lv-LV"/>
        </w:rPr>
        <w:t xml:space="preserve"> </w:t>
      </w:r>
      <w:r w:rsidR="003307A2" w:rsidRPr="009171F6">
        <w:rPr>
          <w:rFonts w:asciiTheme="majorBidi" w:hAnsiTheme="majorBidi" w:cstheme="majorBidi"/>
          <w:lang w:eastAsia="lv-LV"/>
        </w:rPr>
        <w:t>solidāri</w:t>
      </w:r>
      <w:r w:rsidR="00A23135" w:rsidRPr="009171F6">
        <w:rPr>
          <w:rFonts w:asciiTheme="majorBidi" w:hAnsiTheme="majorBidi" w:cstheme="majorBidi"/>
          <w:lang w:eastAsia="lv-LV"/>
        </w:rPr>
        <w:t xml:space="preserve"> kopā</w:t>
      </w:r>
      <w:r w:rsidR="003307A2" w:rsidRPr="009171F6">
        <w:rPr>
          <w:rFonts w:asciiTheme="majorBidi" w:hAnsiTheme="majorBidi" w:cstheme="majorBidi"/>
          <w:lang w:eastAsia="lv-LV"/>
        </w:rPr>
        <w:t xml:space="preserve"> ar </w:t>
      </w:r>
      <w:r w:rsidR="00A23135" w:rsidRPr="009171F6">
        <w:rPr>
          <w:rFonts w:asciiTheme="majorBidi" w:hAnsiTheme="majorBidi" w:cstheme="majorBidi"/>
          <w:lang w:eastAsia="lv-LV"/>
        </w:rPr>
        <w:t>SIA</w:t>
      </w:r>
      <w:r w:rsidR="00C41320" w:rsidRPr="009171F6">
        <w:rPr>
          <w:rFonts w:asciiTheme="majorBidi" w:hAnsiTheme="majorBidi" w:cstheme="majorBidi"/>
          <w:lang w:eastAsia="lv-LV"/>
        </w:rPr>
        <w:t> </w:t>
      </w:r>
      <w:r w:rsidR="00A23135" w:rsidRPr="009171F6">
        <w:rPr>
          <w:rFonts w:asciiTheme="majorBidi" w:hAnsiTheme="majorBidi" w:cstheme="majorBidi"/>
          <w:lang w:eastAsia="lv-LV"/>
        </w:rPr>
        <w:t xml:space="preserve">„Tehnocentrs” (turpmāk – </w:t>
      </w:r>
      <w:r w:rsidR="00A23135" w:rsidRPr="009171F6">
        <w:rPr>
          <w:rFonts w:asciiTheme="majorBidi" w:hAnsiTheme="majorBidi" w:cstheme="majorBidi"/>
          <w:i/>
          <w:iCs/>
          <w:lang w:eastAsia="lv-LV"/>
        </w:rPr>
        <w:t>Tehnocentrs</w:t>
      </w:r>
      <w:r w:rsidR="00A23135" w:rsidRPr="009171F6">
        <w:rPr>
          <w:rFonts w:asciiTheme="majorBidi" w:hAnsiTheme="majorBidi" w:cstheme="majorBidi"/>
          <w:lang w:eastAsia="lv-LV"/>
        </w:rPr>
        <w:t xml:space="preserve">), </w:t>
      </w:r>
      <w:r w:rsidR="003307A2" w:rsidRPr="009171F6">
        <w:rPr>
          <w:rFonts w:asciiTheme="majorBidi" w:hAnsiTheme="majorBidi" w:cstheme="majorBidi"/>
          <w:lang w:eastAsia="lv-LV"/>
        </w:rPr>
        <w:t>AS</w:t>
      </w:r>
      <w:r w:rsidR="00C41320" w:rsidRPr="009171F6">
        <w:rPr>
          <w:rFonts w:asciiTheme="majorBidi" w:hAnsiTheme="majorBidi" w:cstheme="majorBidi"/>
          <w:lang w:eastAsia="lv-LV"/>
        </w:rPr>
        <w:t> </w:t>
      </w:r>
      <w:r w:rsidR="003307A2" w:rsidRPr="009171F6">
        <w:rPr>
          <w:rFonts w:asciiTheme="majorBidi" w:hAnsiTheme="majorBidi" w:cstheme="majorBidi"/>
          <w:lang w:eastAsia="lv-LV"/>
        </w:rPr>
        <w:t xml:space="preserve">„RERE GRUPA” (turpmāk – </w:t>
      </w:r>
      <w:r w:rsidR="003307A2" w:rsidRPr="009171F6">
        <w:rPr>
          <w:rFonts w:asciiTheme="majorBidi" w:hAnsiTheme="majorBidi" w:cstheme="majorBidi"/>
          <w:i/>
          <w:iCs/>
          <w:lang w:eastAsia="lv-LV"/>
        </w:rPr>
        <w:t>RE</w:t>
      </w:r>
      <w:r w:rsidR="003307A2" w:rsidRPr="009171F6">
        <w:rPr>
          <w:rFonts w:asciiTheme="majorBidi" w:hAnsiTheme="majorBidi" w:cstheme="majorBidi"/>
          <w:i/>
          <w:iCs/>
          <w:color w:val="000000" w:themeColor="text1"/>
          <w:lang w:eastAsia="lv-LV"/>
        </w:rPr>
        <w:t>RE Grupa</w:t>
      </w:r>
      <w:r w:rsidR="003307A2" w:rsidRPr="009171F6">
        <w:rPr>
          <w:rFonts w:asciiTheme="majorBidi" w:hAnsiTheme="majorBidi" w:cstheme="majorBidi"/>
          <w:color w:val="000000" w:themeColor="text1"/>
          <w:lang w:eastAsia="lv-LV"/>
        </w:rPr>
        <w:t>), AS</w:t>
      </w:r>
      <w:r w:rsidR="00C41320" w:rsidRPr="009171F6">
        <w:rPr>
          <w:rFonts w:asciiTheme="majorBidi" w:hAnsiTheme="majorBidi" w:cstheme="majorBidi"/>
          <w:color w:val="000000" w:themeColor="text1"/>
          <w:lang w:eastAsia="lv-LV"/>
        </w:rPr>
        <w:t> </w:t>
      </w:r>
      <w:r w:rsidR="003307A2" w:rsidRPr="009171F6">
        <w:rPr>
          <w:rFonts w:asciiTheme="majorBidi" w:hAnsiTheme="majorBidi" w:cstheme="majorBidi"/>
          <w:color w:val="000000" w:themeColor="text1"/>
          <w:lang w:eastAsia="lv-LV"/>
        </w:rPr>
        <w:t xml:space="preserve">„MERKO EHITUS” (turpmāk – </w:t>
      </w:r>
      <w:r w:rsidR="003307A2" w:rsidRPr="009171F6">
        <w:rPr>
          <w:rFonts w:asciiTheme="majorBidi" w:hAnsiTheme="majorBidi" w:cstheme="majorBidi"/>
          <w:i/>
          <w:iCs/>
          <w:color w:val="000000" w:themeColor="text1"/>
          <w:lang w:eastAsia="lv-LV"/>
        </w:rPr>
        <w:t>Merko Ehitus</w:t>
      </w:r>
      <w:r w:rsidR="003307A2" w:rsidRPr="009171F6">
        <w:rPr>
          <w:rFonts w:asciiTheme="majorBidi" w:hAnsiTheme="majorBidi" w:cstheme="majorBidi"/>
          <w:color w:val="000000" w:themeColor="text1"/>
          <w:lang w:eastAsia="lv-LV"/>
        </w:rPr>
        <w:t>), AS</w:t>
      </w:r>
      <w:r w:rsidR="00C41320" w:rsidRPr="009171F6">
        <w:rPr>
          <w:rFonts w:asciiTheme="majorBidi" w:hAnsiTheme="majorBidi" w:cstheme="majorBidi"/>
          <w:color w:val="000000" w:themeColor="text1"/>
          <w:lang w:eastAsia="lv-LV"/>
        </w:rPr>
        <w:t> </w:t>
      </w:r>
      <w:r w:rsidR="003307A2" w:rsidRPr="009171F6">
        <w:rPr>
          <w:rFonts w:asciiTheme="majorBidi" w:hAnsiTheme="majorBidi" w:cstheme="majorBidi"/>
          <w:color w:val="000000" w:themeColor="text1"/>
          <w:lang w:eastAsia="lv-LV"/>
        </w:rPr>
        <w:t xml:space="preserve">„UGN” (turpmāk – </w:t>
      </w:r>
      <w:r w:rsidR="003307A2" w:rsidRPr="009171F6">
        <w:rPr>
          <w:rFonts w:asciiTheme="majorBidi" w:hAnsiTheme="majorBidi" w:cstheme="majorBidi"/>
          <w:i/>
          <w:iCs/>
          <w:color w:val="000000" w:themeColor="text1"/>
          <w:lang w:eastAsia="lv-LV"/>
        </w:rPr>
        <w:t>UGN</w:t>
      </w:r>
      <w:r w:rsidR="003307A2" w:rsidRPr="009171F6">
        <w:rPr>
          <w:rFonts w:asciiTheme="majorBidi" w:hAnsiTheme="majorBidi" w:cstheme="majorBidi"/>
          <w:color w:val="000000" w:themeColor="text1"/>
          <w:lang w:eastAsia="lv-LV"/>
        </w:rPr>
        <w:t>), SIA</w:t>
      </w:r>
      <w:r w:rsidR="00C41320" w:rsidRPr="009171F6">
        <w:rPr>
          <w:rFonts w:asciiTheme="majorBidi" w:hAnsiTheme="majorBidi" w:cstheme="majorBidi"/>
          <w:color w:val="000000" w:themeColor="text1"/>
          <w:lang w:eastAsia="lv-LV"/>
        </w:rPr>
        <w:t> </w:t>
      </w:r>
      <w:r w:rsidR="003307A2" w:rsidRPr="009171F6">
        <w:rPr>
          <w:rFonts w:asciiTheme="majorBidi" w:hAnsiTheme="majorBidi" w:cstheme="majorBidi"/>
          <w:color w:val="000000" w:themeColor="text1"/>
          <w:lang w:eastAsia="lv-LV"/>
        </w:rPr>
        <w:t>„GRF”</w:t>
      </w:r>
      <w:r w:rsidR="00A23135" w:rsidRPr="009171F6">
        <w:rPr>
          <w:rFonts w:asciiTheme="majorBidi" w:hAnsiTheme="majorBidi" w:cstheme="majorBidi"/>
          <w:color w:val="000000" w:themeColor="text1"/>
          <w:lang w:eastAsia="lv-LV"/>
        </w:rPr>
        <w:t xml:space="preserve"> (turpmāk – </w:t>
      </w:r>
      <w:r w:rsidR="00A23135" w:rsidRPr="009171F6">
        <w:rPr>
          <w:rFonts w:asciiTheme="majorBidi" w:hAnsiTheme="majorBidi" w:cstheme="majorBidi"/>
          <w:i/>
          <w:iCs/>
          <w:color w:val="000000" w:themeColor="text1"/>
          <w:lang w:eastAsia="lv-LV"/>
        </w:rPr>
        <w:t>GRF</w:t>
      </w:r>
      <w:r w:rsidR="00A23135" w:rsidRPr="009171F6">
        <w:rPr>
          <w:rFonts w:asciiTheme="majorBidi" w:hAnsiTheme="majorBidi" w:cstheme="majorBidi"/>
          <w:color w:val="000000" w:themeColor="text1"/>
          <w:lang w:eastAsia="lv-LV"/>
        </w:rPr>
        <w:t>), SIA</w:t>
      </w:r>
      <w:r w:rsidR="00C41320" w:rsidRPr="009171F6">
        <w:rPr>
          <w:rFonts w:asciiTheme="majorBidi" w:hAnsiTheme="majorBidi" w:cstheme="majorBidi"/>
          <w:color w:val="000000" w:themeColor="text1"/>
          <w:lang w:eastAsia="lv-LV"/>
        </w:rPr>
        <w:t> </w:t>
      </w:r>
      <w:r w:rsidR="00A23135" w:rsidRPr="009171F6">
        <w:rPr>
          <w:rFonts w:asciiTheme="majorBidi" w:hAnsiTheme="majorBidi" w:cstheme="majorBidi"/>
          <w:color w:val="000000" w:themeColor="text1"/>
          <w:lang w:eastAsia="lv-LV"/>
        </w:rPr>
        <w:t xml:space="preserve">„LNK (Latvijas Novitātes Komplekss)” (turpmāk </w:t>
      </w:r>
      <w:r w:rsidR="00A23135" w:rsidRPr="009171F6">
        <w:rPr>
          <w:rFonts w:asciiTheme="majorBidi" w:hAnsiTheme="majorBidi" w:cstheme="majorBidi"/>
          <w:i/>
          <w:iCs/>
          <w:color w:val="000000" w:themeColor="text1"/>
          <w:lang w:eastAsia="lv-LV"/>
        </w:rPr>
        <w:t>– LNK</w:t>
      </w:r>
      <w:r w:rsidR="00A23135" w:rsidRPr="009171F6">
        <w:rPr>
          <w:rFonts w:asciiTheme="majorBidi" w:hAnsiTheme="majorBidi" w:cstheme="majorBidi"/>
          <w:color w:val="000000" w:themeColor="text1"/>
          <w:lang w:eastAsia="lv-LV"/>
        </w:rPr>
        <w:t>).</w:t>
      </w:r>
    </w:p>
    <w:p w14:paraId="30CED8AD" w14:textId="02424D41" w:rsidR="007F1B59" w:rsidRPr="00807219" w:rsidRDefault="00077480" w:rsidP="001F783F">
      <w:pPr>
        <w:spacing w:line="276" w:lineRule="auto"/>
        <w:ind w:firstLine="720"/>
        <w:jc w:val="both"/>
        <w:rPr>
          <w:rFonts w:asciiTheme="majorBidi" w:hAnsiTheme="majorBidi" w:cstheme="majorBidi"/>
        </w:rPr>
      </w:pPr>
      <w:r>
        <w:rPr>
          <w:rFonts w:asciiTheme="majorBidi" w:hAnsiTheme="majorBidi" w:cstheme="majorBidi"/>
        </w:rPr>
        <w:t>Padome atzina,</w:t>
      </w:r>
      <w:r w:rsidR="00620A04" w:rsidRPr="00807219">
        <w:rPr>
          <w:rFonts w:asciiTheme="majorBidi" w:hAnsiTheme="majorBidi" w:cstheme="majorBidi"/>
        </w:rPr>
        <w:t xml:space="preserve"> ka</w:t>
      </w:r>
      <w:r w:rsidR="009171F6">
        <w:rPr>
          <w:rFonts w:asciiTheme="majorBidi" w:hAnsiTheme="majorBidi" w:cstheme="majorBidi"/>
        </w:rPr>
        <w:t xml:space="preserve"> </w:t>
      </w:r>
      <w:r w:rsidR="00620A04" w:rsidRPr="00807219">
        <w:rPr>
          <w:rFonts w:asciiTheme="majorBidi" w:hAnsiTheme="majorBidi" w:cstheme="majorBidi"/>
        </w:rPr>
        <w:t>tirgus dalībnieku darbības</w:t>
      </w:r>
      <w:r w:rsidR="00872BD1" w:rsidRPr="00807219">
        <w:rPr>
          <w:rFonts w:asciiTheme="majorBidi" w:hAnsiTheme="majorBidi" w:cstheme="majorBidi"/>
        </w:rPr>
        <w:t xml:space="preserve"> –</w:t>
      </w:r>
      <w:r w:rsidR="00620A04" w:rsidRPr="00807219">
        <w:rPr>
          <w:rFonts w:asciiTheme="majorBidi" w:hAnsiTheme="majorBidi" w:cstheme="majorBidi"/>
        </w:rPr>
        <w:t xml:space="preserve"> piedaloties savstarpējās tikšanās reizēs, apmainoties ar komerciāli sensitīvu informāciju, sadalot iepirkumus un lemjot par piedalīšanos, atteikšanos piedalīties vai aizsega piedāvājumu iesniegšanu iepirkumos</w:t>
      </w:r>
      <w:r w:rsidR="00E636EE">
        <w:rPr>
          <w:rFonts w:asciiTheme="majorBidi" w:hAnsiTheme="majorBidi" w:cstheme="majorBidi"/>
        </w:rPr>
        <w:t>,</w:t>
      </w:r>
      <w:r w:rsidR="00872BD1" w:rsidRPr="00807219">
        <w:rPr>
          <w:rFonts w:asciiTheme="majorBidi" w:hAnsiTheme="majorBidi" w:cstheme="majorBidi"/>
        </w:rPr>
        <w:t xml:space="preserve"> –</w:t>
      </w:r>
      <w:r w:rsidR="00620A04" w:rsidRPr="00807219">
        <w:rPr>
          <w:rFonts w:asciiTheme="majorBidi" w:hAnsiTheme="majorBidi" w:cstheme="majorBidi"/>
        </w:rPr>
        <w:t xml:space="preserve"> atbilst Konkurences likuma 11.panta pirmajā daļā un LESD 101.panta 1.punktā noteiktā aizlieguma pārkāpuma tiesiskajam sastāvam. Pārkāpums izpaudies kā tirgus dalībnieku vienošanās, kuru mērķis vai sekas ir konkurences kavēšana, ierobežošana vai deformēšana Latvijas teritorijā, </w:t>
      </w:r>
      <w:r w:rsidR="00872BD1" w:rsidRPr="00807219">
        <w:rPr>
          <w:rFonts w:asciiTheme="majorBidi" w:hAnsiTheme="majorBidi" w:cstheme="majorBidi"/>
        </w:rPr>
        <w:t>tostarp</w:t>
      </w:r>
      <w:r w:rsidR="00620A04" w:rsidRPr="00807219">
        <w:rPr>
          <w:rFonts w:asciiTheme="majorBidi" w:hAnsiTheme="majorBidi" w:cstheme="majorBidi"/>
        </w:rPr>
        <w:t xml:space="preserve"> vienošanās par iepirkumu sadali, kā arī par piedalīšanos vai nepiedalīšanos konkursos vai izsolēs vai par šīs darbības (bezdarbības) noteikumiem.</w:t>
      </w:r>
    </w:p>
    <w:p w14:paraId="0A5B37B9" w14:textId="77777777" w:rsidR="007F1B59" w:rsidRPr="00807219" w:rsidRDefault="007F1B59" w:rsidP="001F783F">
      <w:pPr>
        <w:spacing w:line="276" w:lineRule="auto"/>
        <w:ind w:firstLine="720"/>
        <w:jc w:val="both"/>
        <w:rPr>
          <w:rFonts w:asciiTheme="majorBidi" w:hAnsiTheme="majorBidi" w:cstheme="majorBidi"/>
          <w:lang w:eastAsia="lv-LV"/>
        </w:rPr>
      </w:pPr>
    </w:p>
    <w:p w14:paraId="758363FB" w14:textId="364829DA" w:rsidR="00D37B5C" w:rsidRDefault="000F48D6" w:rsidP="001F783F">
      <w:pPr>
        <w:spacing w:line="276" w:lineRule="auto"/>
        <w:ind w:firstLine="720"/>
        <w:jc w:val="both"/>
        <w:rPr>
          <w:rFonts w:asciiTheme="majorBidi" w:hAnsiTheme="majorBidi" w:cstheme="majorBidi"/>
          <w:lang w:eastAsia="lv-LV"/>
        </w:rPr>
      </w:pPr>
      <w:r w:rsidRPr="00807219">
        <w:rPr>
          <w:rFonts w:asciiTheme="majorBidi" w:hAnsiTheme="majorBidi" w:cstheme="majorBidi"/>
          <w:lang w:eastAsia="lv-LV"/>
        </w:rPr>
        <w:t>[</w:t>
      </w:r>
      <w:r w:rsidR="003307A2" w:rsidRPr="00807219">
        <w:rPr>
          <w:rFonts w:asciiTheme="majorBidi" w:hAnsiTheme="majorBidi" w:cstheme="majorBidi"/>
          <w:lang w:eastAsia="lv-LV"/>
        </w:rPr>
        <w:t>4</w:t>
      </w:r>
      <w:r w:rsidRPr="00807219">
        <w:rPr>
          <w:rFonts w:asciiTheme="majorBidi" w:hAnsiTheme="majorBidi" w:cstheme="majorBidi"/>
          <w:lang w:eastAsia="lv-LV"/>
        </w:rPr>
        <w:t>] Pieteicēj</w:t>
      </w:r>
      <w:r w:rsidR="00D37B5C">
        <w:rPr>
          <w:rFonts w:asciiTheme="majorBidi" w:hAnsiTheme="majorBidi" w:cstheme="majorBidi"/>
          <w:lang w:eastAsia="lv-LV"/>
        </w:rPr>
        <w:t>as</w:t>
      </w:r>
      <w:r w:rsidRPr="00807219">
        <w:rPr>
          <w:rFonts w:asciiTheme="majorBidi" w:hAnsiTheme="majorBidi" w:cstheme="majorBidi"/>
          <w:lang w:eastAsia="lv-LV"/>
        </w:rPr>
        <w:t xml:space="preserve"> </w:t>
      </w:r>
      <w:r w:rsidR="002F5B8A" w:rsidRPr="00807219">
        <w:rPr>
          <w:rFonts w:asciiTheme="majorBidi" w:hAnsiTheme="majorBidi" w:cstheme="majorBidi"/>
          <w:lang w:eastAsia="lv-LV"/>
        </w:rPr>
        <w:t xml:space="preserve">– </w:t>
      </w:r>
      <w:r w:rsidR="00005AF5" w:rsidRPr="00807219">
        <w:rPr>
          <w:rFonts w:asciiTheme="majorBidi" w:hAnsiTheme="majorBidi" w:cstheme="majorBidi"/>
          <w:i/>
          <w:iCs/>
          <w:lang w:eastAsia="lv-LV"/>
        </w:rPr>
        <w:t>Skonto Būve</w:t>
      </w:r>
      <w:r w:rsidR="00005AF5" w:rsidRPr="00807219">
        <w:rPr>
          <w:rFonts w:asciiTheme="majorBidi" w:hAnsiTheme="majorBidi" w:cstheme="majorBidi"/>
          <w:lang w:eastAsia="lv-LV"/>
        </w:rPr>
        <w:t xml:space="preserve">, </w:t>
      </w:r>
      <w:r w:rsidR="00005AF5" w:rsidRPr="00807219">
        <w:rPr>
          <w:rFonts w:asciiTheme="majorBidi" w:hAnsiTheme="majorBidi" w:cstheme="majorBidi"/>
          <w:i/>
          <w:iCs/>
          <w:lang w:eastAsia="lv-LV"/>
        </w:rPr>
        <w:t>RERE Būve</w:t>
      </w:r>
      <w:r w:rsidR="00005AF5" w:rsidRPr="00807219">
        <w:rPr>
          <w:rFonts w:asciiTheme="majorBidi" w:hAnsiTheme="majorBidi" w:cstheme="majorBidi"/>
          <w:lang w:eastAsia="lv-LV"/>
        </w:rPr>
        <w:t xml:space="preserve"> kopā ar </w:t>
      </w:r>
      <w:r w:rsidR="00005AF5" w:rsidRPr="00807219">
        <w:rPr>
          <w:rFonts w:asciiTheme="majorBidi" w:hAnsiTheme="majorBidi" w:cstheme="majorBidi"/>
          <w:i/>
          <w:iCs/>
          <w:lang w:eastAsia="lv-LV"/>
        </w:rPr>
        <w:t xml:space="preserve">RERE </w:t>
      </w:r>
      <w:r w:rsidR="00E321AE" w:rsidRPr="00807219">
        <w:rPr>
          <w:rFonts w:asciiTheme="majorBidi" w:hAnsiTheme="majorBidi" w:cstheme="majorBidi"/>
          <w:i/>
          <w:iCs/>
          <w:lang w:eastAsia="lv-LV"/>
        </w:rPr>
        <w:t>Grup</w:t>
      </w:r>
      <w:r w:rsidR="00E321AE">
        <w:rPr>
          <w:rFonts w:asciiTheme="majorBidi" w:hAnsiTheme="majorBidi" w:cstheme="majorBidi"/>
          <w:i/>
          <w:iCs/>
          <w:lang w:eastAsia="lv-LV"/>
        </w:rPr>
        <w:t>u</w:t>
      </w:r>
      <w:r w:rsidR="00005AF5" w:rsidRPr="00807219">
        <w:rPr>
          <w:rFonts w:asciiTheme="majorBidi" w:hAnsiTheme="majorBidi" w:cstheme="majorBidi"/>
          <w:i/>
          <w:iCs/>
          <w:lang w:eastAsia="lv-LV"/>
        </w:rPr>
        <w:t>, LNK Industries</w:t>
      </w:r>
      <w:r w:rsidR="00005AF5" w:rsidRPr="00807219">
        <w:rPr>
          <w:rFonts w:asciiTheme="majorBidi" w:hAnsiTheme="majorBidi" w:cstheme="majorBidi"/>
          <w:lang w:eastAsia="lv-LV"/>
        </w:rPr>
        <w:t>,</w:t>
      </w:r>
      <w:r w:rsidR="00005AF5" w:rsidRPr="00807219">
        <w:rPr>
          <w:rFonts w:asciiTheme="majorBidi" w:hAnsiTheme="majorBidi" w:cstheme="majorBidi"/>
          <w:i/>
          <w:iCs/>
          <w:lang w:eastAsia="lv-LV"/>
        </w:rPr>
        <w:t xml:space="preserve"> Merks</w:t>
      </w:r>
      <w:r w:rsidR="00005AF5" w:rsidRPr="00807219">
        <w:rPr>
          <w:rFonts w:asciiTheme="majorBidi" w:hAnsiTheme="majorBidi" w:cstheme="majorBidi"/>
          <w:lang w:eastAsia="lv-LV"/>
        </w:rPr>
        <w:t xml:space="preserve"> kopā ar </w:t>
      </w:r>
      <w:r w:rsidR="00005AF5" w:rsidRPr="00807219">
        <w:rPr>
          <w:rFonts w:asciiTheme="majorBidi" w:hAnsiTheme="majorBidi" w:cstheme="majorBidi"/>
          <w:i/>
          <w:iCs/>
          <w:lang w:eastAsia="lv-LV"/>
        </w:rPr>
        <w:t>Merko Ehitus</w:t>
      </w:r>
      <w:r w:rsidR="00005AF5" w:rsidRPr="00807219">
        <w:rPr>
          <w:rFonts w:asciiTheme="majorBidi" w:hAnsiTheme="majorBidi" w:cstheme="majorBidi"/>
          <w:lang w:eastAsia="lv-LV"/>
        </w:rPr>
        <w:t>,</w:t>
      </w:r>
      <w:r w:rsidR="00005AF5" w:rsidRPr="00807219">
        <w:rPr>
          <w:rFonts w:asciiTheme="majorBidi" w:hAnsiTheme="majorBidi" w:cstheme="majorBidi"/>
          <w:i/>
          <w:iCs/>
          <w:lang w:eastAsia="lv-LV"/>
        </w:rPr>
        <w:t xml:space="preserve"> Arčers, RE&amp;RE</w:t>
      </w:r>
      <w:r w:rsidR="00005AF5" w:rsidRPr="00807219">
        <w:rPr>
          <w:rFonts w:asciiTheme="majorBidi" w:hAnsiTheme="majorBidi" w:cstheme="majorBidi"/>
          <w:lang w:eastAsia="lv-LV"/>
        </w:rPr>
        <w:t>,</w:t>
      </w:r>
      <w:r w:rsidR="00005AF5" w:rsidRPr="00807219">
        <w:rPr>
          <w:rFonts w:asciiTheme="majorBidi" w:hAnsiTheme="majorBidi" w:cstheme="majorBidi"/>
          <w:i/>
          <w:iCs/>
          <w:lang w:eastAsia="lv-LV"/>
        </w:rPr>
        <w:t xml:space="preserve"> LNK</w:t>
      </w:r>
      <w:r w:rsidR="00005AF5" w:rsidRPr="00807219">
        <w:rPr>
          <w:rFonts w:asciiTheme="majorBidi" w:hAnsiTheme="majorBidi" w:cstheme="majorBidi"/>
          <w:lang w:eastAsia="lv-LV"/>
        </w:rPr>
        <w:t>,</w:t>
      </w:r>
      <w:r w:rsidR="00005AF5" w:rsidRPr="00807219">
        <w:rPr>
          <w:rFonts w:asciiTheme="majorBidi" w:hAnsiTheme="majorBidi" w:cstheme="majorBidi"/>
          <w:i/>
          <w:iCs/>
          <w:lang w:eastAsia="lv-LV"/>
        </w:rPr>
        <w:t xml:space="preserve"> LEC</w:t>
      </w:r>
      <w:r w:rsidR="00005AF5" w:rsidRPr="00807219">
        <w:rPr>
          <w:rFonts w:asciiTheme="majorBidi" w:hAnsiTheme="majorBidi" w:cstheme="majorBidi"/>
          <w:lang w:eastAsia="lv-LV"/>
        </w:rPr>
        <w:t>,</w:t>
      </w:r>
      <w:r w:rsidR="00005AF5" w:rsidRPr="00807219">
        <w:rPr>
          <w:rFonts w:asciiTheme="majorBidi" w:hAnsiTheme="majorBidi" w:cstheme="majorBidi"/>
          <w:i/>
          <w:iCs/>
          <w:lang w:eastAsia="lv-LV"/>
        </w:rPr>
        <w:t xml:space="preserve"> Abora</w:t>
      </w:r>
      <w:r w:rsidR="00005AF5" w:rsidRPr="00807219">
        <w:rPr>
          <w:rFonts w:asciiTheme="majorBidi" w:hAnsiTheme="majorBidi" w:cstheme="majorBidi"/>
          <w:lang w:eastAsia="lv-LV"/>
        </w:rPr>
        <w:t xml:space="preserve"> kopā ar </w:t>
      </w:r>
      <w:r w:rsidR="00E321AE" w:rsidRPr="00807219">
        <w:rPr>
          <w:rFonts w:asciiTheme="majorBidi" w:hAnsiTheme="majorBidi" w:cstheme="majorBidi"/>
          <w:i/>
          <w:iCs/>
          <w:lang w:eastAsia="lv-LV"/>
        </w:rPr>
        <w:t>Tehnocentr</w:t>
      </w:r>
      <w:r w:rsidR="00E321AE">
        <w:rPr>
          <w:rFonts w:asciiTheme="majorBidi" w:hAnsiTheme="majorBidi" w:cstheme="majorBidi"/>
          <w:i/>
          <w:iCs/>
          <w:lang w:eastAsia="lv-LV"/>
        </w:rPr>
        <w:t>u</w:t>
      </w:r>
      <w:r w:rsidR="00005AF5" w:rsidRPr="00807219">
        <w:rPr>
          <w:rFonts w:asciiTheme="majorBidi" w:hAnsiTheme="majorBidi" w:cstheme="majorBidi"/>
          <w:lang w:eastAsia="lv-LV"/>
        </w:rPr>
        <w:t>, kā arī</w:t>
      </w:r>
      <w:r w:rsidR="00005AF5" w:rsidRPr="00807219">
        <w:rPr>
          <w:rFonts w:asciiTheme="majorBidi" w:hAnsiTheme="majorBidi" w:cstheme="majorBidi"/>
          <w:i/>
          <w:iCs/>
          <w:lang w:eastAsia="lv-LV"/>
        </w:rPr>
        <w:t xml:space="preserve"> UGN</w:t>
      </w:r>
      <w:r w:rsidR="00242468" w:rsidRPr="00807219">
        <w:rPr>
          <w:rFonts w:asciiTheme="majorBidi" w:hAnsiTheme="majorBidi" w:cstheme="majorBidi"/>
          <w:i/>
          <w:iCs/>
          <w:lang w:eastAsia="lv-LV"/>
        </w:rPr>
        <w:t>,</w:t>
      </w:r>
      <w:r w:rsidRPr="00807219">
        <w:rPr>
          <w:rFonts w:asciiTheme="majorBidi" w:hAnsiTheme="majorBidi" w:cstheme="majorBidi"/>
          <w:lang w:eastAsia="lv-LV"/>
        </w:rPr>
        <w:t xml:space="preserve"> </w:t>
      </w:r>
      <w:r w:rsidR="002F5B8A" w:rsidRPr="00807219">
        <w:rPr>
          <w:rFonts w:asciiTheme="majorBidi" w:hAnsiTheme="majorBidi" w:cstheme="majorBidi"/>
          <w:lang w:eastAsia="lv-LV"/>
        </w:rPr>
        <w:t>–</w:t>
      </w:r>
      <w:r w:rsidR="00077480">
        <w:rPr>
          <w:rFonts w:asciiTheme="majorBidi" w:hAnsiTheme="majorBidi" w:cstheme="majorBidi"/>
          <w:lang w:eastAsia="lv-LV"/>
        </w:rPr>
        <w:t xml:space="preserve"> </w:t>
      </w:r>
      <w:r w:rsidRPr="00807219">
        <w:rPr>
          <w:rFonts w:asciiTheme="majorBidi" w:hAnsiTheme="majorBidi" w:cstheme="majorBidi"/>
          <w:lang w:eastAsia="lv-LV"/>
        </w:rPr>
        <w:t>vērsās</w:t>
      </w:r>
      <w:r w:rsidR="004E2BB2" w:rsidRPr="00807219">
        <w:rPr>
          <w:rFonts w:asciiTheme="majorBidi" w:hAnsiTheme="majorBidi" w:cstheme="majorBidi"/>
          <w:lang w:eastAsia="lv-LV"/>
        </w:rPr>
        <w:t xml:space="preserve"> </w:t>
      </w:r>
      <w:r w:rsidR="00606075" w:rsidRPr="00807219">
        <w:rPr>
          <w:rFonts w:asciiTheme="majorBidi" w:hAnsiTheme="majorBidi" w:cstheme="majorBidi"/>
          <w:lang w:eastAsia="lv-LV"/>
        </w:rPr>
        <w:t xml:space="preserve">tiesā </w:t>
      </w:r>
      <w:r w:rsidRPr="00807219">
        <w:rPr>
          <w:rFonts w:asciiTheme="majorBidi" w:hAnsiTheme="majorBidi" w:cstheme="majorBidi"/>
          <w:lang w:eastAsia="lv-LV"/>
        </w:rPr>
        <w:t xml:space="preserve">ar pieteikumiem par </w:t>
      </w:r>
      <w:r w:rsidR="0014700C">
        <w:rPr>
          <w:rFonts w:asciiTheme="majorBidi" w:hAnsiTheme="majorBidi" w:cstheme="majorBidi"/>
          <w:lang w:eastAsia="lv-LV"/>
        </w:rPr>
        <w:t>Konkurences padomes</w:t>
      </w:r>
      <w:r w:rsidR="0014700C" w:rsidRPr="00807219">
        <w:rPr>
          <w:rFonts w:asciiTheme="majorBidi" w:hAnsiTheme="majorBidi" w:cstheme="majorBidi"/>
          <w:lang w:eastAsia="lv-LV"/>
        </w:rPr>
        <w:t xml:space="preserve"> </w:t>
      </w:r>
      <w:r w:rsidRPr="00807219">
        <w:rPr>
          <w:rFonts w:asciiTheme="majorBidi" w:hAnsiTheme="majorBidi" w:cstheme="majorBidi"/>
          <w:lang w:eastAsia="lv-LV"/>
        </w:rPr>
        <w:t>lēmuma atcelšanu.</w:t>
      </w:r>
    </w:p>
    <w:p w14:paraId="50D95C22" w14:textId="434D75A2" w:rsidR="007F1B59" w:rsidRDefault="004E2BB2" w:rsidP="001F783F">
      <w:pPr>
        <w:spacing w:line="276" w:lineRule="auto"/>
        <w:ind w:firstLine="720"/>
        <w:jc w:val="both"/>
        <w:rPr>
          <w:rFonts w:asciiTheme="majorBidi" w:hAnsiTheme="majorBidi" w:cstheme="majorBidi"/>
        </w:rPr>
      </w:pPr>
      <w:r w:rsidRPr="00807219">
        <w:rPr>
          <w:rFonts w:asciiTheme="majorBidi" w:hAnsiTheme="majorBidi" w:cstheme="majorBidi"/>
        </w:rPr>
        <w:t>Piete</w:t>
      </w:r>
      <w:r w:rsidR="008117EF" w:rsidRPr="00807219">
        <w:rPr>
          <w:rFonts w:asciiTheme="majorBidi" w:hAnsiTheme="majorBidi" w:cstheme="majorBidi"/>
        </w:rPr>
        <w:t>icēj</w:t>
      </w:r>
      <w:r w:rsidR="00D37B5C">
        <w:rPr>
          <w:rFonts w:asciiTheme="majorBidi" w:hAnsiTheme="majorBidi" w:cstheme="majorBidi"/>
        </w:rPr>
        <w:t>as</w:t>
      </w:r>
      <w:r w:rsidR="00077480">
        <w:rPr>
          <w:rFonts w:asciiTheme="majorBidi" w:hAnsiTheme="majorBidi" w:cstheme="majorBidi"/>
        </w:rPr>
        <w:t xml:space="preserve"> </w:t>
      </w:r>
      <w:r w:rsidR="009D42E1">
        <w:rPr>
          <w:rFonts w:asciiTheme="majorBidi" w:hAnsiTheme="majorBidi" w:cstheme="majorBidi"/>
        </w:rPr>
        <w:t xml:space="preserve">uzskata, </w:t>
      </w:r>
      <w:r w:rsidR="00D37B5C">
        <w:rPr>
          <w:rFonts w:asciiTheme="majorBidi" w:hAnsiTheme="majorBidi" w:cstheme="majorBidi"/>
        </w:rPr>
        <w:t>ka</w:t>
      </w:r>
      <w:r w:rsidR="002463D5" w:rsidRPr="00807219">
        <w:rPr>
          <w:rFonts w:asciiTheme="majorBidi" w:hAnsiTheme="majorBidi" w:cstheme="majorBidi"/>
        </w:rPr>
        <w:t xml:space="preserve"> </w:t>
      </w:r>
      <w:r w:rsidR="00077480">
        <w:rPr>
          <w:rFonts w:asciiTheme="majorBidi" w:hAnsiTheme="majorBidi" w:cstheme="majorBidi"/>
        </w:rPr>
        <w:t>sarunu</w:t>
      </w:r>
      <w:r w:rsidR="002463D5" w:rsidRPr="00807219">
        <w:rPr>
          <w:rFonts w:asciiTheme="majorBidi" w:hAnsiTheme="majorBidi" w:cstheme="majorBidi"/>
        </w:rPr>
        <w:t xml:space="preserve"> atšifrējumu izmantošana ir nepieļaujama, jo likums neļauj izmantot operatīvās darbības ietvaros iegūt</w:t>
      </w:r>
      <w:r w:rsidR="009171F6">
        <w:rPr>
          <w:rFonts w:asciiTheme="majorBidi" w:hAnsiTheme="majorBidi" w:cstheme="majorBidi"/>
        </w:rPr>
        <w:t>ās ziņas</w:t>
      </w:r>
      <w:r w:rsidR="002463D5" w:rsidRPr="00807219">
        <w:rPr>
          <w:rFonts w:asciiTheme="majorBidi" w:hAnsiTheme="majorBidi" w:cstheme="majorBidi"/>
        </w:rPr>
        <w:t xml:space="preserve"> konkurences tiesību pārkāpuma pierādīšan</w:t>
      </w:r>
      <w:r w:rsidR="000C7415">
        <w:rPr>
          <w:rFonts w:asciiTheme="majorBidi" w:hAnsiTheme="majorBidi" w:cstheme="majorBidi"/>
        </w:rPr>
        <w:t>ā</w:t>
      </w:r>
      <w:r w:rsidR="002463D5" w:rsidRPr="00807219">
        <w:rPr>
          <w:rFonts w:asciiTheme="majorBidi" w:hAnsiTheme="majorBidi" w:cstheme="majorBidi"/>
        </w:rPr>
        <w:t>.</w:t>
      </w:r>
      <w:r w:rsidR="000C7415">
        <w:rPr>
          <w:rFonts w:asciiTheme="majorBidi" w:hAnsiTheme="majorBidi" w:cstheme="majorBidi"/>
        </w:rPr>
        <w:t xml:space="preserve"> S</w:t>
      </w:r>
      <w:r w:rsidR="00365C04" w:rsidRPr="00807219">
        <w:rPr>
          <w:rFonts w:asciiTheme="majorBidi" w:hAnsiTheme="majorBidi" w:cstheme="majorBidi"/>
        </w:rPr>
        <w:t>arunu noklausīšanās ir būtisks tiesību uz privāto dzīvi un korespondences noslēpum</w:t>
      </w:r>
      <w:r w:rsidR="00077480">
        <w:rPr>
          <w:rFonts w:asciiTheme="majorBidi" w:hAnsiTheme="majorBidi" w:cstheme="majorBidi"/>
        </w:rPr>
        <w:t>a</w:t>
      </w:r>
      <w:r w:rsidR="00365C04" w:rsidRPr="00807219">
        <w:rPr>
          <w:rFonts w:asciiTheme="majorBidi" w:hAnsiTheme="majorBidi" w:cstheme="majorBidi"/>
        </w:rPr>
        <w:t xml:space="preserve"> aizskārums</w:t>
      </w:r>
      <w:r w:rsidR="00EE39D7">
        <w:rPr>
          <w:rFonts w:asciiTheme="majorBidi" w:hAnsiTheme="majorBidi" w:cstheme="majorBidi"/>
        </w:rPr>
        <w:t>. Šādu tiesību aizskārumam</w:t>
      </w:r>
      <w:r w:rsidR="00365C04" w:rsidRPr="00807219">
        <w:rPr>
          <w:rFonts w:asciiTheme="majorBidi" w:hAnsiTheme="majorBidi" w:cstheme="majorBidi"/>
        </w:rPr>
        <w:t xml:space="preserve"> jābūt balstītam uz skaidru tiesisku pamatu. </w:t>
      </w:r>
      <w:r w:rsidR="000C7415">
        <w:rPr>
          <w:rFonts w:asciiTheme="majorBidi" w:hAnsiTheme="majorBidi" w:cstheme="majorBidi"/>
        </w:rPr>
        <w:t>L</w:t>
      </w:r>
      <w:r w:rsidR="00365C04" w:rsidRPr="00807219">
        <w:rPr>
          <w:rFonts w:asciiTheme="majorBidi" w:hAnsiTheme="majorBidi" w:cstheme="majorBidi"/>
        </w:rPr>
        <w:t xml:space="preserve">ikumam jābūt tik skaidram, lai personas varētu saprast, kādos gadījumos valsts institūcijas ir tiesīgas </w:t>
      </w:r>
      <w:r w:rsidR="0014700C">
        <w:rPr>
          <w:rFonts w:asciiTheme="majorBidi" w:hAnsiTheme="majorBidi" w:cstheme="majorBidi"/>
        </w:rPr>
        <w:t>noklausīties</w:t>
      </w:r>
      <w:r w:rsidR="0014700C" w:rsidRPr="00807219">
        <w:rPr>
          <w:rFonts w:asciiTheme="majorBidi" w:hAnsiTheme="majorBidi" w:cstheme="majorBidi"/>
        </w:rPr>
        <w:t xml:space="preserve"> </w:t>
      </w:r>
      <w:r w:rsidR="00365C04" w:rsidRPr="00807219">
        <w:rPr>
          <w:rFonts w:asciiTheme="majorBidi" w:hAnsiTheme="majorBidi" w:cstheme="majorBidi"/>
        </w:rPr>
        <w:t>sarun</w:t>
      </w:r>
      <w:r w:rsidR="0014700C">
        <w:rPr>
          <w:rFonts w:asciiTheme="majorBidi" w:hAnsiTheme="majorBidi" w:cstheme="majorBidi"/>
        </w:rPr>
        <w:t>as</w:t>
      </w:r>
      <w:r w:rsidR="00365C04" w:rsidRPr="00807219">
        <w:rPr>
          <w:rFonts w:asciiTheme="majorBidi" w:hAnsiTheme="majorBidi" w:cstheme="majorBidi"/>
        </w:rPr>
        <w:t>.</w:t>
      </w:r>
    </w:p>
    <w:p w14:paraId="52A0A48F" w14:textId="77777777" w:rsidR="002919CA" w:rsidRPr="00807219" w:rsidRDefault="002919CA" w:rsidP="001F783F">
      <w:pPr>
        <w:spacing w:line="276" w:lineRule="auto"/>
        <w:ind w:firstLine="720"/>
        <w:jc w:val="both"/>
        <w:rPr>
          <w:rFonts w:asciiTheme="majorBidi" w:hAnsiTheme="majorBidi" w:cstheme="majorBidi"/>
          <w:color w:val="000000" w:themeColor="text1"/>
          <w:lang w:eastAsia="lv-LV"/>
        </w:rPr>
      </w:pPr>
    </w:p>
    <w:p w14:paraId="3D645F5B" w14:textId="78BCE748" w:rsidR="00FF1B4D" w:rsidRPr="00807219" w:rsidRDefault="007F1B59" w:rsidP="001F783F">
      <w:pPr>
        <w:spacing w:line="276" w:lineRule="auto"/>
        <w:ind w:firstLine="720"/>
        <w:jc w:val="both"/>
        <w:rPr>
          <w:rFonts w:asciiTheme="majorBidi" w:hAnsiTheme="majorBidi" w:cstheme="majorBidi"/>
        </w:rPr>
      </w:pPr>
      <w:r w:rsidRPr="00807219">
        <w:rPr>
          <w:rFonts w:asciiTheme="majorBidi" w:hAnsiTheme="majorBidi" w:cstheme="majorBidi"/>
          <w:color w:val="000000" w:themeColor="text1"/>
        </w:rPr>
        <w:t>[5]</w:t>
      </w:r>
      <w:r w:rsidR="00204FFB" w:rsidRPr="00807219">
        <w:rPr>
          <w:rFonts w:asciiTheme="majorBidi" w:hAnsiTheme="majorBidi" w:cstheme="majorBidi"/>
          <w:color w:val="000000" w:themeColor="text1"/>
        </w:rPr>
        <w:t> </w:t>
      </w:r>
      <w:r w:rsidRPr="00807219">
        <w:rPr>
          <w:rFonts w:asciiTheme="majorBidi" w:hAnsiTheme="majorBidi" w:cstheme="majorBidi"/>
          <w:color w:val="000000" w:themeColor="text1"/>
        </w:rPr>
        <w:t>Administratīvā apgabaltiesa</w:t>
      </w:r>
      <w:r w:rsidR="008117EF" w:rsidRPr="00807219">
        <w:rPr>
          <w:rFonts w:asciiTheme="majorBidi" w:hAnsiTheme="majorBidi" w:cstheme="majorBidi"/>
          <w:color w:val="000000" w:themeColor="text1"/>
        </w:rPr>
        <w:t xml:space="preserve"> ar 2024.gada 25.janvāra </w:t>
      </w:r>
      <w:r w:rsidR="00606075" w:rsidRPr="00807219">
        <w:rPr>
          <w:rFonts w:asciiTheme="majorBidi" w:hAnsiTheme="majorBidi" w:cstheme="majorBidi"/>
          <w:color w:val="000000" w:themeColor="text1"/>
        </w:rPr>
        <w:t xml:space="preserve">spriedumu </w:t>
      </w:r>
      <w:r w:rsidRPr="00807219">
        <w:rPr>
          <w:rFonts w:asciiTheme="majorBidi" w:hAnsiTheme="majorBidi" w:cstheme="majorBidi"/>
          <w:color w:val="000000" w:themeColor="text1"/>
        </w:rPr>
        <w:t>pieteikumu</w:t>
      </w:r>
      <w:r w:rsidR="00606075" w:rsidRPr="00807219">
        <w:rPr>
          <w:rFonts w:asciiTheme="majorBidi" w:hAnsiTheme="majorBidi" w:cstheme="majorBidi"/>
          <w:color w:val="000000" w:themeColor="text1"/>
        </w:rPr>
        <w:t>s</w:t>
      </w:r>
      <w:r w:rsidRPr="00807219">
        <w:rPr>
          <w:rFonts w:asciiTheme="majorBidi" w:hAnsiTheme="majorBidi" w:cstheme="majorBidi"/>
          <w:color w:val="000000" w:themeColor="text1"/>
        </w:rPr>
        <w:t xml:space="preserve"> no</w:t>
      </w:r>
      <w:r w:rsidRPr="00807219">
        <w:rPr>
          <w:rFonts w:asciiTheme="majorBidi" w:hAnsiTheme="majorBidi" w:cstheme="majorBidi"/>
        </w:rPr>
        <w:t xml:space="preserve">raidīja. </w:t>
      </w:r>
      <w:r w:rsidR="006F7A17" w:rsidRPr="00807219">
        <w:rPr>
          <w:rFonts w:asciiTheme="majorBidi" w:hAnsiTheme="majorBidi" w:cstheme="majorBidi"/>
        </w:rPr>
        <w:t>Tiesas spriedums pamatots ar turpmāko.</w:t>
      </w:r>
    </w:p>
    <w:p w14:paraId="2FFA90CA" w14:textId="7FE06232" w:rsidR="006F7A17" w:rsidRPr="00807219" w:rsidRDefault="00204FFB" w:rsidP="001F783F">
      <w:pPr>
        <w:spacing w:line="276" w:lineRule="auto"/>
        <w:ind w:firstLine="720"/>
        <w:jc w:val="both"/>
        <w:rPr>
          <w:rFonts w:asciiTheme="majorBidi" w:hAnsiTheme="majorBidi" w:cstheme="majorBidi"/>
        </w:rPr>
      </w:pPr>
      <w:r w:rsidRPr="00807219">
        <w:rPr>
          <w:rFonts w:asciiTheme="majorBidi" w:hAnsiTheme="majorBidi" w:cstheme="majorBidi"/>
        </w:rPr>
        <w:t>[5.1] </w:t>
      </w:r>
      <w:r w:rsidR="006F7A17" w:rsidRPr="00807219">
        <w:rPr>
          <w:rFonts w:asciiTheme="majorBidi" w:hAnsiTheme="majorBidi" w:cstheme="majorBidi"/>
        </w:rPr>
        <w:t>Vērtējot pierādījumu pieļaujamību, tiesa atzina, ka daļa no pierādījumiem, tostarp operatīvās darbības rezultātā iegūtie sarunu audioieraksti un to atšifrējumi, ir kriminālprocesa materiāli.</w:t>
      </w:r>
      <w:r w:rsidR="00FF1B4D" w:rsidRPr="00807219">
        <w:rPr>
          <w:rFonts w:asciiTheme="majorBidi" w:hAnsiTheme="majorBidi" w:cstheme="majorBidi"/>
        </w:rPr>
        <w:t xml:space="preserve"> </w:t>
      </w:r>
      <w:r w:rsidR="00347EC5">
        <w:rPr>
          <w:rFonts w:asciiTheme="majorBidi" w:hAnsiTheme="majorBidi" w:cstheme="majorBidi"/>
        </w:rPr>
        <w:t>Savukārt k</w:t>
      </w:r>
      <w:r w:rsidR="00FF1B4D" w:rsidRPr="00807219">
        <w:rPr>
          <w:rFonts w:asciiTheme="majorBidi" w:hAnsiTheme="majorBidi" w:cstheme="majorBidi"/>
        </w:rPr>
        <w:t xml:space="preserve">riminālprocesā iegūtu pierādījumu izmantošana administratīvajā procesā ir pieļaujama, pat ja tie vēl nav pārbaudīti Kriminālprocesa likuma noteiktajā kārtībā. </w:t>
      </w:r>
      <w:r w:rsidR="0014700C">
        <w:rPr>
          <w:rFonts w:asciiTheme="majorBidi" w:hAnsiTheme="majorBidi" w:cstheme="majorBidi"/>
        </w:rPr>
        <w:t>Konkurences p</w:t>
      </w:r>
      <w:r w:rsidR="0014700C" w:rsidRPr="00807219">
        <w:rPr>
          <w:rFonts w:asciiTheme="majorBidi" w:hAnsiTheme="majorBidi" w:cstheme="majorBidi"/>
        </w:rPr>
        <w:t xml:space="preserve">adome </w:t>
      </w:r>
      <w:r w:rsidR="00FF1B4D" w:rsidRPr="00807219">
        <w:rPr>
          <w:rFonts w:asciiTheme="majorBidi" w:hAnsiTheme="majorBidi" w:cstheme="majorBidi"/>
        </w:rPr>
        <w:t>informāciju izmeklējamā lietā var iegūt arī no kriminālprocesa virzītāja, t.i., citas institūcijas, krimināllietas materiāliem. Kriminālprocesa likuma 375.pants neierobežo kriminālprocesā iegūtās informācijas izmantošanu administratīvajā lietā.</w:t>
      </w:r>
    </w:p>
    <w:p w14:paraId="4388853D" w14:textId="418D5B52" w:rsidR="001F06A1" w:rsidRPr="00807219" w:rsidRDefault="00204FFB" w:rsidP="001F783F">
      <w:pPr>
        <w:spacing w:line="276" w:lineRule="auto"/>
        <w:ind w:firstLine="720"/>
        <w:jc w:val="both"/>
        <w:rPr>
          <w:rFonts w:asciiTheme="majorBidi" w:hAnsiTheme="majorBidi" w:cstheme="majorBidi"/>
        </w:rPr>
      </w:pPr>
      <w:r w:rsidRPr="00807219">
        <w:rPr>
          <w:rFonts w:asciiTheme="majorBidi" w:hAnsiTheme="majorBidi" w:cstheme="majorBidi"/>
        </w:rPr>
        <w:t>[5.2] </w:t>
      </w:r>
      <w:r w:rsidR="008360E1" w:rsidRPr="00807219">
        <w:rPr>
          <w:rFonts w:asciiTheme="majorBidi" w:hAnsiTheme="majorBidi" w:cstheme="majorBidi"/>
        </w:rPr>
        <w:t xml:space="preserve">Vērtējot, vai </w:t>
      </w:r>
      <w:r w:rsidR="00AD68E3" w:rsidRPr="00807219">
        <w:rPr>
          <w:rFonts w:asciiTheme="majorBidi" w:hAnsiTheme="majorBidi" w:cstheme="majorBidi"/>
        </w:rPr>
        <w:t>ir</w:t>
      </w:r>
      <w:r w:rsidR="008360E1" w:rsidRPr="00807219">
        <w:rPr>
          <w:rFonts w:asciiTheme="majorBidi" w:hAnsiTheme="majorBidi" w:cstheme="majorBidi"/>
        </w:rPr>
        <w:t xml:space="preserve"> pamats atkāpties no kriminālprocesa materiālu izmantošanas pierādīšanā konkurences lietā</w:t>
      </w:r>
      <w:r w:rsidR="00AD68E3" w:rsidRPr="00807219">
        <w:rPr>
          <w:rFonts w:asciiTheme="majorBidi" w:hAnsiTheme="majorBidi" w:cstheme="majorBidi"/>
        </w:rPr>
        <w:t>,</w:t>
      </w:r>
      <w:r w:rsidR="008360E1" w:rsidRPr="00807219">
        <w:rPr>
          <w:rFonts w:asciiTheme="majorBidi" w:hAnsiTheme="majorBidi" w:cstheme="majorBidi"/>
        </w:rPr>
        <w:t xml:space="preserve"> tiesa atzina, </w:t>
      </w:r>
      <w:r w:rsidR="009171F6">
        <w:rPr>
          <w:rFonts w:asciiTheme="majorBidi" w:hAnsiTheme="majorBidi" w:cstheme="majorBidi"/>
        </w:rPr>
        <w:t xml:space="preserve">ka </w:t>
      </w:r>
      <w:r w:rsidR="008360E1" w:rsidRPr="00807219">
        <w:rPr>
          <w:rFonts w:asciiTheme="majorBidi" w:hAnsiTheme="majorBidi" w:cstheme="majorBidi"/>
        </w:rPr>
        <w:t>informācijas nodošana Operatīvās darbības likuma 24.panta piektās daļas izpratnē primāri nozīmē tās izmantošanu pierādīšanā kriminālprocesā, uzsverot nepieciešamību konstatēt iegūto ziņu par faktiem sasaisti ar mērķi, kādam tās paredzēts izmantot. Citiem vārdiem, jāvērtē, vai ziņu par faktiem izmantošana citam mērķim neaizskar personas pamattiesības,</w:t>
      </w:r>
      <w:r w:rsidR="00F073FA">
        <w:rPr>
          <w:rFonts w:asciiTheme="majorBidi" w:hAnsiTheme="majorBidi" w:cstheme="majorBidi"/>
        </w:rPr>
        <w:t xml:space="preserve"> tostarp </w:t>
      </w:r>
      <w:r w:rsidR="008360E1" w:rsidRPr="00807219">
        <w:rPr>
          <w:rFonts w:asciiTheme="majorBidi" w:hAnsiTheme="majorBidi" w:cstheme="majorBidi"/>
        </w:rPr>
        <w:t xml:space="preserve">apsverot, vai pamattiesību ierobežojums ir noteikts ar skaidru un precīzu likumu, kas ļauj personai paredzēt, kādā situācijā pret viņu var tikt slepeni iegūtas un izmantotas ziņas. </w:t>
      </w:r>
      <w:r w:rsidR="001F06A1" w:rsidRPr="00807219">
        <w:rPr>
          <w:rFonts w:asciiTheme="majorBidi" w:hAnsiTheme="majorBidi" w:cstheme="majorBidi"/>
        </w:rPr>
        <w:t>Vienlaikus izskatāmās lietas apstākļi ir atšķirīgi – sevišķajā veidā veicamās operatīvās darbības pasākumā iegūtās ziņas par faktiem ir bijušas pamats kriminālprocesa uzsākšanai par iespējamu noziedzīgu nodarījumu izdarīšanu. Tātad, ciktāl tas skar operatīvās darbības pasākumos iegūto ziņu izmantošanu kriminālprocesā, kas ir Operatīvās darbības likuma 24.panta regulēšanas priekšmets, nav pamata konstatēt ziņu izmantošanas mērķu nesakritību. Turklāt šāda pārbaude pēc būtības neietilpst administratīvās tiesas kompetencē, tā kā tas ir konkrētā kriminālprocesā risināms jautājums (t.i., vai šādas ziņas par faktiem var izmantot, piemēram, kriminālpārkāpumu pierādīšanai). Vienlaikus uzsverams, ka Operatīvās darbības likuma 24.panta normas neregulē kriminālprocesa materiālu nodošanu citām personām (institūcijām) vai citiem mērķiem. Līdz ar to no Operatīvās darbības likuma 24.panta neizriet liegums kriminālprocesa materiālus nodot un tālāk izmantot administratīvajā procesā iestādē vai tiesā. Izskatāmajā gadījumā nav arī pamata runāt par operatīvās darbības pasākumos iegūto ziņu tiešu pārnešanu uz administratīvo procesu. Padome informāciju nav ieguvusi no operatīvās izstrādes lietas, bet gan no kriminālprocesa materiāliem. Turklāt ziņas no noklausītajām sarunām kriminālprocesā bija ieguvušas pierādījumu statusu, jo tika izmantotas lēmuma par kriminālprocesa izbeigšanu pamatojumā.</w:t>
      </w:r>
    </w:p>
    <w:p w14:paraId="1C069E62" w14:textId="34DF36FF" w:rsidR="00204FFB" w:rsidRPr="00807219" w:rsidRDefault="00204FFB" w:rsidP="001F783F">
      <w:pPr>
        <w:spacing w:line="276" w:lineRule="auto"/>
        <w:ind w:firstLine="720"/>
        <w:jc w:val="both"/>
        <w:rPr>
          <w:rFonts w:asciiTheme="majorBidi" w:hAnsiTheme="majorBidi" w:cstheme="majorBidi"/>
        </w:rPr>
      </w:pPr>
      <w:r w:rsidRPr="00807219">
        <w:rPr>
          <w:rFonts w:asciiTheme="majorBidi" w:hAnsiTheme="majorBidi" w:cstheme="majorBidi"/>
        </w:rPr>
        <w:t xml:space="preserve">[5.3] Vērtējot, vai ir pieļaujams administratīvajā procesā </w:t>
      </w:r>
      <w:r w:rsidR="002919CA" w:rsidRPr="00807219">
        <w:rPr>
          <w:rFonts w:asciiTheme="majorBidi" w:hAnsiTheme="majorBidi" w:cstheme="majorBidi"/>
        </w:rPr>
        <w:t xml:space="preserve">pierādīšanā </w:t>
      </w:r>
      <w:r w:rsidRPr="00807219">
        <w:rPr>
          <w:rFonts w:asciiTheme="majorBidi" w:hAnsiTheme="majorBidi" w:cstheme="majorBidi"/>
        </w:rPr>
        <w:t>izmantot ziņas, kuru iegūšanas mērķis nav bijis saistīts ar pierādīšanas priekšmetu administratīvajā lietā un kuru iegūšana ir saistīta ar iejaukšanos personu pamattiesībās, tiesa</w:t>
      </w:r>
      <w:r w:rsidR="00AD68E3" w:rsidRPr="00807219">
        <w:rPr>
          <w:rFonts w:asciiTheme="majorBidi" w:hAnsiTheme="majorBidi" w:cstheme="majorBidi"/>
        </w:rPr>
        <w:t xml:space="preserve"> </w:t>
      </w:r>
      <w:r w:rsidRPr="00807219">
        <w:rPr>
          <w:rFonts w:asciiTheme="majorBidi" w:hAnsiTheme="majorBidi" w:cstheme="majorBidi"/>
        </w:rPr>
        <w:t>atzina, ka</w:t>
      </w:r>
      <w:r w:rsidR="00AD68E3" w:rsidRPr="00807219">
        <w:rPr>
          <w:rFonts w:asciiTheme="majorBidi" w:hAnsiTheme="majorBidi" w:cstheme="majorBidi"/>
        </w:rPr>
        <w:t xml:space="preserve"> </w:t>
      </w:r>
      <w:r w:rsidRPr="00807219">
        <w:rPr>
          <w:rFonts w:asciiTheme="majorBidi" w:hAnsiTheme="majorBidi" w:cstheme="majorBidi"/>
        </w:rPr>
        <w:t xml:space="preserve">kriminālprocesa principi nav automātiski pārnesami uz administratīvo procesu, pat ja pierādījumu iegūšana ir saistīta ar kriminālprocesu. </w:t>
      </w:r>
      <w:bookmarkStart w:id="0" w:name="_Hlk216947603"/>
      <w:r w:rsidRPr="00807219">
        <w:rPr>
          <w:rFonts w:asciiTheme="majorBidi" w:hAnsiTheme="majorBidi" w:cstheme="majorBidi"/>
        </w:rPr>
        <w:t xml:space="preserve">Eiropas Savienības tiesības neaizliedz iestādei administratīvajā procesā </w:t>
      </w:r>
      <w:r w:rsidRPr="009171F6">
        <w:rPr>
          <w:rFonts w:asciiTheme="majorBidi" w:hAnsiTheme="majorBidi" w:cstheme="majorBidi"/>
        </w:rPr>
        <w:t xml:space="preserve">izmantot pierādījumus, kas iegūti </w:t>
      </w:r>
      <w:r w:rsidRPr="00593872">
        <w:rPr>
          <w:rFonts w:asciiTheme="majorBidi" w:hAnsiTheme="majorBidi" w:cstheme="majorBidi"/>
        </w:rPr>
        <w:t>paralēlā vēl nepabeigtā</w:t>
      </w:r>
      <w:r w:rsidRPr="009171F6">
        <w:rPr>
          <w:rFonts w:asciiTheme="majorBidi" w:hAnsiTheme="majorBidi" w:cstheme="majorBidi"/>
        </w:rPr>
        <w:t xml:space="preserve"> kriminālprocesā</w:t>
      </w:r>
      <w:r w:rsidR="0014700C">
        <w:rPr>
          <w:rFonts w:asciiTheme="majorBidi" w:hAnsiTheme="majorBidi" w:cstheme="majorBidi"/>
        </w:rPr>
        <w:t>,</w:t>
      </w:r>
      <w:r w:rsidRPr="009171F6">
        <w:rPr>
          <w:rFonts w:asciiTheme="majorBidi" w:hAnsiTheme="majorBidi" w:cstheme="majorBidi"/>
        </w:rPr>
        <w:t xml:space="preserve"> ar nosacījumu, ka tiek ievērotas Eiropas Savienības tiesībās, it īpaši Eiropas Savienības Pamattiesību hartā (turpmāk – Harta) garantētās tiesības. </w:t>
      </w:r>
      <w:bookmarkEnd w:id="0"/>
      <w:r w:rsidRPr="009171F6">
        <w:rPr>
          <w:rFonts w:asciiTheme="majorBidi" w:hAnsiTheme="majorBidi" w:cstheme="majorBidi"/>
        </w:rPr>
        <w:t xml:space="preserve">Konkrētajā gadījumā, ciktāl tas attiecas uz pierādījumu iegūšanu operatīvās darbības pasākumos un kriminālprocesā, ir pamats vērtēt, vai nav notikusi neattaisnota iejaukšanās Latvijas Republikas Satversmes </w:t>
      </w:r>
      <w:r w:rsidR="00C510C2" w:rsidRPr="009171F6">
        <w:rPr>
          <w:rFonts w:asciiTheme="majorBidi" w:hAnsiTheme="majorBidi" w:cstheme="majorBidi"/>
        </w:rPr>
        <w:t xml:space="preserve">(turpmāk – Satversme) </w:t>
      </w:r>
      <w:r w:rsidRPr="009171F6">
        <w:rPr>
          <w:rFonts w:asciiTheme="majorBidi" w:hAnsiTheme="majorBidi" w:cstheme="majorBidi"/>
        </w:rPr>
        <w:t>96.pantā un korespondējoši Hartas 7.pantā un Eiropas Cilvēka tiesību un pamatbrīvību aizsardzības konvencijas (turpmāk – Konvencija) 8.pantā paredzētajās tiesībās</w:t>
      </w:r>
      <w:r w:rsidRPr="00807219">
        <w:rPr>
          <w:rFonts w:asciiTheme="majorBidi" w:hAnsiTheme="majorBidi" w:cstheme="majorBidi"/>
        </w:rPr>
        <w:t xml:space="preserve"> uz privātās dzīves neaizskaramību.</w:t>
      </w:r>
    </w:p>
    <w:p w14:paraId="667173A3" w14:textId="38FEFEB4" w:rsidR="009727F0" w:rsidRPr="00253941" w:rsidRDefault="00204FFB" w:rsidP="001F783F">
      <w:pPr>
        <w:spacing w:line="276" w:lineRule="auto"/>
        <w:ind w:firstLine="720"/>
        <w:jc w:val="both"/>
        <w:rPr>
          <w:rFonts w:asciiTheme="majorBidi" w:hAnsiTheme="majorBidi" w:cstheme="majorBidi"/>
        </w:rPr>
      </w:pPr>
      <w:r w:rsidRPr="00807219">
        <w:rPr>
          <w:rFonts w:asciiTheme="majorBidi" w:hAnsiTheme="majorBidi" w:cstheme="majorBidi"/>
        </w:rPr>
        <w:t>[5.4]</w:t>
      </w:r>
      <w:r w:rsidR="00B74A20" w:rsidRPr="00807219">
        <w:rPr>
          <w:rFonts w:asciiTheme="majorBidi" w:hAnsiTheme="majorBidi" w:cstheme="majorBidi"/>
        </w:rPr>
        <w:t> </w:t>
      </w:r>
      <w:r w:rsidRPr="00807219">
        <w:rPr>
          <w:rFonts w:asciiTheme="majorBidi" w:hAnsiTheme="majorBidi" w:cstheme="majorBidi"/>
        </w:rPr>
        <w:t>Vērtējot</w:t>
      </w:r>
      <w:r w:rsidR="009727F0" w:rsidRPr="00807219">
        <w:rPr>
          <w:rFonts w:asciiTheme="majorBidi" w:hAnsiTheme="majorBidi" w:cstheme="majorBidi"/>
        </w:rPr>
        <w:t xml:space="preserve">, </w:t>
      </w:r>
      <w:r w:rsidRPr="00807219">
        <w:rPr>
          <w:rFonts w:asciiTheme="majorBidi" w:hAnsiTheme="majorBidi" w:cstheme="majorBidi"/>
        </w:rPr>
        <w:t>vai nav notikusi neattaisnota iejaukšanās tiesībās uz privātās dzīves neaizskaramību</w:t>
      </w:r>
      <w:r w:rsidR="009727F0" w:rsidRPr="00807219">
        <w:rPr>
          <w:rFonts w:asciiTheme="majorBidi" w:hAnsiTheme="majorBidi" w:cstheme="majorBidi"/>
        </w:rPr>
        <w:t>, tiesa atzina, ka operatīvā sarunu noklausīšanās ir paredzēta Operatīvās darbības likumā. Nav šaubu, ka šo pasākumu veikšanas, ciktāl tas saistīts ar izmantošanu kriminālprocesā, mērķis ir bijis leģitīms</w:t>
      </w:r>
      <w:r w:rsidR="00D5005C" w:rsidRPr="00807219">
        <w:rPr>
          <w:rFonts w:asciiTheme="majorBidi" w:hAnsiTheme="majorBidi" w:cstheme="majorBidi"/>
        </w:rPr>
        <w:t xml:space="preserve"> –</w:t>
      </w:r>
      <w:r w:rsidR="009727F0" w:rsidRPr="00807219">
        <w:rPr>
          <w:rFonts w:asciiTheme="majorBidi" w:hAnsiTheme="majorBidi" w:cstheme="majorBidi"/>
        </w:rPr>
        <w:t xml:space="preserve"> novērst un izmeklēt noziedzīgus nodarījumus tautsaimniecībā un valsts dienestā. </w:t>
      </w:r>
      <w:r w:rsidR="00D5005C" w:rsidRPr="00807219">
        <w:rPr>
          <w:rFonts w:asciiTheme="majorBidi" w:hAnsiTheme="majorBidi" w:cstheme="majorBidi"/>
        </w:rPr>
        <w:t xml:space="preserve">Turklāt </w:t>
      </w:r>
      <w:r w:rsidR="009727F0" w:rsidRPr="00807219">
        <w:rPr>
          <w:rFonts w:asciiTheme="majorBidi" w:hAnsiTheme="majorBidi" w:cstheme="majorBidi"/>
        </w:rPr>
        <w:t>operatīvās darbības pasākumi ir veikti ar Augstākās tiesas tiesneša atļauju.</w:t>
      </w:r>
      <w:r w:rsidR="009727F0" w:rsidRPr="00807219">
        <w:rPr>
          <w:rFonts w:asciiTheme="majorBidi" w:hAnsiTheme="majorBidi" w:cstheme="majorBidi"/>
          <w:b/>
          <w:bCs/>
        </w:rPr>
        <w:t xml:space="preserve"> </w:t>
      </w:r>
      <w:r w:rsidR="009727F0" w:rsidRPr="00807219">
        <w:rPr>
          <w:rFonts w:asciiTheme="majorBidi" w:hAnsiTheme="majorBidi" w:cstheme="majorBidi"/>
        </w:rPr>
        <w:t>Savukārt</w:t>
      </w:r>
      <w:r w:rsidR="009727F0" w:rsidRPr="00807219">
        <w:rPr>
          <w:rFonts w:asciiTheme="majorBidi" w:hAnsiTheme="majorBidi" w:cstheme="majorBidi"/>
          <w:b/>
          <w:bCs/>
        </w:rPr>
        <w:t xml:space="preserve"> </w:t>
      </w:r>
      <w:r w:rsidR="001574FB">
        <w:rPr>
          <w:rFonts w:asciiTheme="majorBidi" w:hAnsiTheme="majorBidi" w:cstheme="majorBidi"/>
        </w:rPr>
        <w:t>Konkurences p</w:t>
      </w:r>
      <w:r w:rsidR="001574FB" w:rsidRPr="00807219">
        <w:rPr>
          <w:rFonts w:asciiTheme="majorBidi" w:hAnsiTheme="majorBidi" w:cstheme="majorBidi"/>
        </w:rPr>
        <w:t xml:space="preserve">adomes </w:t>
      </w:r>
      <w:r w:rsidR="009727F0" w:rsidRPr="00807219">
        <w:rPr>
          <w:rFonts w:asciiTheme="majorBidi" w:hAnsiTheme="majorBidi" w:cstheme="majorBidi"/>
        </w:rPr>
        <w:t xml:space="preserve">pilnvaras iegūt jebkāda veida informāciju ir noteiktas Administratīvā procesa likuma 59. un 60.pantā, kā arī </w:t>
      </w:r>
      <w:r w:rsidR="009727F0" w:rsidRPr="00FF5661">
        <w:rPr>
          <w:rFonts w:asciiTheme="majorBidi" w:hAnsiTheme="majorBidi" w:cstheme="majorBidi"/>
        </w:rPr>
        <w:t xml:space="preserve">Konkurences likuma 9.pantā, </w:t>
      </w:r>
      <w:r w:rsidR="00D5005C" w:rsidRPr="00FF5661">
        <w:rPr>
          <w:rFonts w:asciiTheme="majorBidi" w:hAnsiTheme="majorBidi" w:cstheme="majorBidi"/>
        </w:rPr>
        <w:t>bet</w:t>
      </w:r>
      <w:r w:rsidR="009727F0" w:rsidRPr="00FF5661">
        <w:rPr>
          <w:rFonts w:asciiTheme="majorBidi" w:hAnsiTheme="majorBidi" w:cstheme="majorBidi"/>
        </w:rPr>
        <w:t xml:space="preserve"> pilnvaras izmeklēt konkurences tiesību pārkāpumus, izmantojot iegūtos pierādījumus, noteiktas Konkurences likuma 7.panta pirmajā daļā. Turklāt ir skaidri saskatāma noklausīto sarunu izmantošanas nepieciešamība konkurences lietā, jo privātas personu sarunas par iespējamiem konkurences pārkāpumiem nav iespējams fiksēt citā veidā vai ar personām mazāk kaitējošiem līdzekļiem. </w:t>
      </w:r>
      <w:bookmarkStart w:id="1" w:name="_Hlk216947648"/>
      <w:r w:rsidR="009727F0" w:rsidRPr="00FF5661">
        <w:rPr>
          <w:rFonts w:asciiTheme="majorBidi" w:hAnsiTheme="majorBidi" w:cstheme="majorBidi"/>
        </w:rPr>
        <w:t xml:space="preserve">Tādējādi attiecīgo pierādījumu nodošana </w:t>
      </w:r>
      <w:r w:rsidR="001574FB">
        <w:rPr>
          <w:rFonts w:asciiTheme="majorBidi" w:hAnsiTheme="majorBidi" w:cstheme="majorBidi"/>
        </w:rPr>
        <w:t>Konkurences p</w:t>
      </w:r>
      <w:r w:rsidR="001574FB" w:rsidRPr="00FF5661">
        <w:rPr>
          <w:rFonts w:asciiTheme="majorBidi" w:hAnsiTheme="majorBidi" w:cstheme="majorBidi"/>
        </w:rPr>
        <w:t xml:space="preserve">adomei </w:t>
      </w:r>
      <w:r w:rsidR="009727F0" w:rsidRPr="00FF5661">
        <w:rPr>
          <w:rFonts w:asciiTheme="majorBidi" w:hAnsiTheme="majorBidi" w:cstheme="majorBidi"/>
        </w:rPr>
        <w:t xml:space="preserve">ir notikusi būtisku vispārējo interešu dēļ, ņemot vērā karteļa </w:t>
      </w:r>
      <w:r w:rsidR="009727F0" w:rsidRPr="007E5ADE">
        <w:rPr>
          <w:rFonts w:asciiTheme="majorBidi" w:hAnsiTheme="majorBidi" w:cstheme="majorBidi"/>
        </w:rPr>
        <w:t>vienošanos</w:t>
      </w:r>
      <w:r w:rsidR="009727F0" w:rsidRPr="00FF5661">
        <w:rPr>
          <w:rFonts w:asciiTheme="majorBidi" w:hAnsiTheme="majorBidi" w:cstheme="majorBidi"/>
        </w:rPr>
        <w:t xml:space="preserve"> potenciāli nozīmīgo ietekmi uz sabiedrības ekonomisko labklājību. </w:t>
      </w:r>
      <w:bookmarkEnd w:id="1"/>
      <w:r w:rsidR="009727F0" w:rsidRPr="00FF5661">
        <w:rPr>
          <w:rFonts w:asciiTheme="majorBidi" w:hAnsiTheme="majorBidi" w:cstheme="majorBidi"/>
        </w:rPr>
        <w:t>Tāpat</w:t>
      </w:r>
      <w:r w:rsidR="009727F0" w:rsidRPr="00807219">
        <w:rPr>
          <w:rFonts w:asciiTheme="majorBidi" w:hAnsiTheme="majorBidi" w:cstheme="majorBidi"/>
        </w:rPr>
        <w:t xml:space="preserve"> ir konstatējams, ka pieteicējām ir bijusi iespēja administratīv</w:t>
      </w:r>
      <w:r w:rsidR="00816005">
        <w:rPr>
          <w:rFonts w:asciiTheme="majorBidi" w:hAnsiTheme="majorBidi" w:cstheme="majorBidi"/>
        </w:rPr>
        <w:t>aj</w:t>
      </w:r>
      <w:r w:rsidR="009727F0" w:rsidRPr="00807219">
        <w:rPr>
          <w:rFonts w:asciiTheme="majorBidi" w:hAnsiTheme="majorBidi" w:cstheme="majorBidi"/>
        </w:rPr>
        <w:t>ā proces</w:t>
      </w:r>
      <w:r w:rsidR="00816005">
        <w:rPr>
          <w:rFonts w:asciiTheme="majorBidi" w:hAnsiTheme="majorBidi" w:cstheme="majorBidi"/>
        </w:rPr>
        <w:t>ā</w:t>
      </w:r>
      <w:r w:rsidR="009727F0" w:rsidRPr="00807219">
        <w:rPr>
          <w:rFonts w:asciiTheme="majorBidi" w:hAnsiTheme="majorBidi" w:cstheme="majorBidi"/>
        </w:rPr>
        <w:t xml:space="preserve"> </w:t>
      </w:r>
      <w:r w:rsidR="00816005">
        <w:rPr>
          <w:rFonts w:asciiTheme="majorBidi" w:hAnsiTheme="majorBidi" w:cstheme="majorBidi"/>
        </w:rPr>
        <w:t>p</w:t>
      </w:r>
      <w:r w:rsidR="009727F0" w:rsidRPr="00807219">
        <w:rPr>
          <w:rFonts w:asciiTheme="majorBidi" w:hAnsiTheme="majorBidi" w:cstheme="majorBidi"/>
        </w:rPr>
        <w:t xml:space="preserve">iekļūt sarunu atšifrējumiem un izteikties par to saturu un pieļaujamību, t.i., piedalīties pierādījumu pārbaudē. </w:t>
      </w:r>
      <w:bookmarkStart w:id="2" w:name="_Hlk216947678"/>
      <w:r w:rsidR="009727F0" w:rsidRPr="00807219">
        <w:rPr>
          <w:rFonts w:asciiTheme="majorBidi" w:hAnsiTheme="majorBidi" w:cstheme="majorBidi"/>
        </w:rPr>
        <w:t xml:space="preserve">Līdz ar to </w:t>
      </w:r>
      <w:r w:rsidR="00D5005C" w:rsidRPr="00807219">
        <w:rPr>
          <w:rFonts w:asciiTheme="majorBidi" w:hAnsiTheme="majorBidi" w:cstheme="majorBidi"/>
        </w:rPr>
        <w:t>nav saskatāms</w:t>
      </w:r>
      <w:r w:rsidR="009727F0" w:rsidRPr="00807219">
        <w:rPr>
          <w:rFonts w:asciiTheme="majorBidi" w:hAnsiTheme="majorBidi" w:cstheme="majorBidi"/>
        </w:rPr>
        <w:t xml:space="preserve">, ka no kriminālprocesa </w:t>
      </w:r>
      <w:r w:rsidR="009727F0" w:rsidRPr="007E5ADE">
        <w:rPr>
          <w:rFonts w:asciiTheme="majorBidi" w:hAnsiTheme="majorBidi" w:cstheme="majorBidi"/>
        </w:rPr>
        <w:t>iegūtu slepeni</w:t>
      </w:r>
      <w:r w:rsidR="009727F0" w:rsidRPr="00807219">
        <w:rPr>
          <w:rFonts w:asciiTheme="majorBidi" w:hAnsiTheme="majorBidi" w:cstheme="majorBidi"/>
        </w:rPr>
        <w:t xml:space="preserve"> noklausītu fizisko personu sarunu ierakstu atšifrējumu izmantošana administratīvajā procesā nesamērīgi aizskartu pieteicēju tiesības attiecībā uz korespondences neaizskaramību. </w:t>
      </w:r>
      <w:bookmarkEnd w:id="2"/>
      <w:r w:rsidR="009727F0" w:rsidRPr="00807219">
        <w:rPr>
          <w:rFonts w:asciiTheme="majorBidi" w:hAnsiTheme="majorBidi" w:cstheme="majorBidi"/>
        </w:rPr>
        <w:t xml:space="preserve">Vienlaikus šis vērtējums </w:t>
      </w:r>
      <w:r w:rsidR="00A047D6">
        <w:rPr>
          <w:rFonts w:asciiTheme="majorBidi" w:hAnsiTheme="majorBidi" w:cstheme="majorBidi"/>
        </w:rPr>
        <w:t>neattiecas uz</w:t>
      </w:r>
      <w:r w:rsidR="009727F0" w:rsidRPr="00807219">
        <w:rPr>
          <w:rFonts w:asciiTheme="majorBidi" w:hAnsiTheme="majorBidi" w:cstheme="majorBidi"/>
        </w:rPr>
        <w:t xml:space="preserve"> noklausīto fizisko person</w:t>
      </w:r>
      <w:r w:rsidR="009727F0" w:rsidRPr="00253941">
        <w:rPr>
          <w:rFonts w:asciiTheme="majorBidi" w:hAnsiTheme="majorBidi" w:cstheme="majorBidi"/>
        </w:rPr>
        <w:t xml:space="preserve">u iespējamo tiesību </w:t>
      </w:r>
      <w:r w:rsidR="009727F0" w:rsidRPr="00A047D6">
        <w:rPr>
          <w:rFonts w:asciiTheme="majorBidi" w:hAnsiTheme="majorBidi" w:cstheme="majorBidi"/>
        </w:rPr>
        <w:t>aizskārumu</w:t>
      </w:r>
      <w:r w:rsidR="009727F0" w:rsidRPr="00253941">
        <w:rPr>
          <w:rFonts w:asciiTheme="majorBidi" w:hAnsiTheme="majorBidi" w:cstheme="majorBidi"/>
        </w:rPr>
        <w:t>, jo tas nav izskatāmās lietas priekšmets.</w:t>
      </w:r>
    </w:p>
    <w:p w14:paraId="241DFBBA" w14:textId="4DBD7F8F" w:rsidR="000E3BA5" w:rsidRPr="00807219" w:rsidRDefault="000E3BA5" w:rsidP="001F783F">
      <w:pPr>
        <w:spacing w:line="276" w:lineRule="auto"/>
        <w:ind w:firstLine="720"/>
        <w:jc w:val="both"/>
        <w:rPr>
          <w:rFonts w:asciiTheme="majorBidi" w:hAnsiTheme="majorBidi" w:cstheme="majorBidi"/>
        </w:rPr>
      </w:pPr>
      <w:r w:rsidRPr="00253941">
        <w:rPr>
          <w:rFonts w:asciiTheme="majorBidi" w:hAnsiTheme="majorBidi" w:cstheme="majorBidi"/>
        </w:rPr>
        <w:t xml:space="preserve">[5.5] Tiesa nepiekrita tam, ka no kriminālprocesa </w:t>
      </w:r>
      <w:r w:rsidR="00E63234">
        <w:rPr>
          <w:rFonts w:asciiTheme="majorBidi" w:hAnsiTheme="majorBidi" w:cstheme="majorBidi"/>
        </w:rPr>
        <w:t xml:space="preserve">materiāliem </w:t>
      </w:r>
      <w:r w:rsidRPr="00253941">
        <w:rPr>
          <w:rFonts w:asciiTheme="majorBidi" w:hAnsiTheme="majorBidi" w:cstheme="majorBidi"/>
        </w:rPr>
        <w:t>iegūtie pierādījumi</w:t>
      </w:r>
      <w:r w:rsidR="00253941">
        <w:rPr>
          <w:rFonts w:asciiTheme="majorBidi" w:hAnsiTheme="majorBidi" w:cstheme="majorBidi"/>
        </w:rPr>
        <w:t xml:space="preserve"> – </w:t>
      </w:r>
      <w:r w:rsidRPr="00253941">
        <w:rPr>
          <w:rFonts w:asciiTheme="majorBidi" w:hAnsiTheme="majorBidi" w:cstheme="majorBidi"/>
        </w:rPr>
        <w:t>operatīvo darbību</w:t>
      </w:r>
      <w:r w:rsidRPr="00807219">
        <w:rPr>
          <w:rFonts w:asciiTheme="majorBidi" w:hAnsiTheme="majorBidi" w:cstheme="majorBidi"/>
        </w:rPr>
        <w:t xml:space="preserve"> rezultātā iegūtie audioieraksti un to atšifrējumi</w:t>
      </w:r>
      <w:r w:rsidR="00253941">
        <w:rPr>
          <w:rFonts w:asciiTheme="majorBidi" w:hAnsiTheme="majorBidi" w:cstheme="majorBidi"/>
        </w:rPr>
        <w:t xml:space="preserve"> –</w:t>
      </w:r>
      <w:r w:rsidRPr="00807219">
        <w:rPr>
          <w:rFonts w:asciiTheme="majorBidi" w:hAnsiTheme="majorBidi" w:cstheme="majorBidi"/>
        </w:rPr>
        <w:t xml:space="preserve"> nav pieļaujami tā iemesla dēļ, ka nav notikusi šo pierādījumu pārbaude Kriminālprocesa likumā noteiktajā kārtībā. Tā kā lietas izskatīšana administratīvajā procesā notiek saskaņā ar administratīvo procesu regulējošām tiesību normām, tiesai nav pamata piemērot kriminālprocesu regulējošās tiesību normas. Kriminālprocesā iegūtu pierādījumu izmantošana administratīvajā procesā ir pieļaujama, pat ja tie vēl nav pārbaudīti tiesā Kriminālprocesa likumā noteiktajā kārtībā. Konkrētajā gadījumā operatīvās darbības pasākumu rezultātā iegūtās ziņas atbilstoši Kriminālprocesa likuma 127.panta nosacījumiem tika pārbaudītas uzsāktajā kriminālprocesā, izmantojot kriminālprocesuālus līdzekļus. Tādējādi šīs ziņas ir vērtējamas kā pierādījumi kriminālprocesā. Pieteicējas tiesības paust savus apsvērumus par pierādījumiem (piedalīties pierādījumu pārbaudē) ir tikušas nodrošinātas administratīvajā procesā iestādē un tiesā. </w:t>
      </w:r>
      <w:r w:rsidR="00D5005C" w:rsidRPr="00807219">
        <w:rPr>
          <w:rFonts w:asciiTheme="majorBidi" w:hAnsiTheme="majorBidi" w:cstheme="majorBidi"/>
        </w:rPr>
        <w:t>Nav saskatāmi arī</w:t>
      </w:r>
      <w:r w:rsidRPr="00807219">
        <w:rPr>
          <w:rFonts w:asciiTheme="majorBidi" w:hAnsiTheme="majorBidi" w:cstheme="majorBidi"/>
        </w:rPr>
        <w:t xml:space="preserve"> būtisk</w:t>
      </w:r>
      <w:r w:rsidR="00D5005C" w:rsidRPr="00807219">
        <w:rPr>
          <w:rFonts w:asciiTheme="majorBidi" w:hAnsiTheme="majorBidi" w:cstheme="majorBidi"/>
        </w:rPr>
        <w:t>i</w:t>
      </w:r>
      <w:r w:rsidRPr="00807219">
        <w:rPr>
          <w:rFonts w:asciiTheme="majorBidi" w:hAnsiTheme="majorBidi" w:cstheme="majorBidi"/>
        </w:rPr>
        <w:t xml:space="preserve"> risk</w:t>
      </w:r>
      <w:r w:rsidR="00D5005C" w:rsidRPr="00807219">
        <w:rPr>
          <w:rFonts w:asciiTheme="majorBidi" w:hAnsiTheme="majorBidi" w:cstheme="majorBidi"/>
        </w:rPr>
        <w:t>i</w:t>
      </w:r>
      <w:r w:rsidRPr="00807219">
        <w:rPr>
          <w:rFonts w:asciiTheme="majorBidi" w:hAnsiTheme="majorBidi" w:cstheme="majorBidi"/>
        </w:rPr>
        <w:t xml:space="preserve"> operatīvās darbības pasākumos iegūto ziņu novērtēšanā, jo, pirmkārt, </w:t>
      </w:r>
      <w:r w:rsidR="00D5005C" w:rsidRPr="00807219">
        <w:rPr>
          <w:rFonts w:asciiTheme="majorBidi" w:hAnsiTheme="majorBidi" w:cstheme="majorBidi"/>
        </w:rPr>
        <w:t xml:space="preserve">tiesa </w:t>
      </w:r>
      <w:r w:rsidRPr="00807219">
        <w:rPr>
          <w:rFonts w:asciiTheme="majorBidi" w:hAnsiTheme="majorBidi" w:cstheme="majorBidi"/>
        </w:rPr>
        <w:t xml:space="preserve">lietas izskatīšanas gaitā iepazinās ar visiem kriminālprocesa materiāliem un konstatēja, ka </w:t>
      </w:r>
      <w:r w:rsidR="00A047D6">
        <w:rPr>
          <w:rFonts w:asciiTheme="majorBidi" w:hAnsiTheme="majorBidi" w:cstheme="majorBidi"/>
        </w:rPr>
        <w:t>šajos</w:t>
      </w:r>
      <w:r w:rsidRPr="00807219">
        <w:rPr>
          <w:rFonts w:asciiTheme="majorBidi" w:hAnsiTheme="majorBidi" w:cstheme="majorBidi"/>
        </w:rPr>
        <w:t xml:space="preserve"> materiāl</w:t>
      </w:r>
      <w:r w:rsidR="00A047D6">
        <w:rPr>
          <w:rFonts w:asciiTheme="majorBidi" w:hAnsiTheme="majorBidi" w:cstheme="majorBidi"/>
        </w:rPr>
        <w:t>os nav citas informācijas, kas būtu nozīmīga a</w:t>
      </w:r>
      <w:r w:rsidRPr="00807219">
        <w:rPr>
          <w:rFonts w:asciiTheme="majorBidi" w:hAnsiTheme="majorBidi" w:cstheme="majorBidi"/>
        </w:rPr>
        <w:t>dministratīvās lietas izskatīšanai, otrkārt, no kriminālprocesa iegūtās informācijas novērtējums izskatāmās lietas ietvaros nav saistīts ar attiecīgajā kriminālprocesā sniegto novērtējumu, ņemot vērā šo procesu atšķirīgos izpētes objektus (konkurences tiesību pārkāpums administratīvajā procesā un noziedzīgi nodarījumi tautsaimniecībā un valsts dienestā kriminālprocesā).</w:t>
      </w:r>
    </w:p>
    <w:p w14:paraId="76FDDB61" w14:textId="03E0200D" w:rsidR="00606075" w:rsidRPr="00807219" w:rsidRDefault="000E3BA5" w:rsidP="001F783F">
      <w:pPr>
        <w:spacing w:line="276" w:lineRule="auto"/>
        <w:ind w:firstLine="720"/>
        <w:jc w:val="both"/>
        <w:rPr>
          <w:rFonts w:asciiTheme="majorBidi" w:hAnsiTheme="majorBidi" w:cstheme="majorBidi"/>
        </w:rPr>
      </w:pPr>
      <w:r w:rsidRPr="00807219">
        <w:rPr>
          <w:rFonts w:asciiTheme="majorBidi" w:hAnsiTheme="majorBidi" w:cstheme="majorBidi"/>
        </w:rPr>
        <w:t>[5.</w:t>
      </w:r>
      <w:r w:rsidR="009F3FB3" w:rsidRPr="00807219">
        <w:rPr>
          <w:rFonts w:asciiTheme="majorBidi" w:hAnsiTheme="majorBidi" w:cstheme="majorBidi"/>
        </w:rPr>
        <w:t>6</w:t>
      </w:r>
      <w:r w:rsidR="00895D13" w:rsidRPr="00807219">
        <w:rPr>
          <w:rFonts w:asciiTheme="majorBidi" w:hAnsiTheme="majorBidi" w:cstheme="majorBidi"/>
        </w:rPr>
        <w:t>] </w:t>
      </w:r>
      <w:r w:rsidRPr="00807219">
        <w:rPr>
          <w:rFonts w:asciiTheme="majorBidi" w:hAnsiTheme="majorBidi" w:cstheme="majorBidi"/>
        </w:rPr>
        <w:t xml:space="preserve">Izvērtējot </w:t>
      </w:r>
      <w:r w:rsidR="007A773B">
        <w:rPr>
          <w:rFonts w:asciiTheme="majorBidi" w:hAnsiTheme="majorBidi" w:cstheme="majorBidi"/>
        </w:rPr>
        <w:t>iegūto</w:t>
      </w:r>
      <w:r w:rsidRPr="00807219">
        <w:rPr>
          <w:rFonts w:asciiTheme="majorBidi" w:hAnsiTheme="majorBidi" w:cstheme="majorBidi"/>
        </w:rPr>
        <w:t xml:space="preserve"> pierādījumu kopumu, t</w:t>
      </w:r>
      <w:r w:rsidR="00606075" w:rsidRPr="00807219">
        <w:rPr>
          <w:rFonts w:asciiTheme="majorBidi" w:hAnsiTheme="majorBidi" w:cstheme="majorBidi"/>
        </w:rPr>
        <w:t xml:space="preserve">iesa atzina, </w:t>
      </w:r>
      <w:r w:rsidR="006F7A17" w:rsidRPr="00807219">
        <w:rPr>
          <w:rFonts w:asciiTheme="majorBidi" w:hAnsiTheme="majorBidi" w:cstheme="majorBidi"/>
        </w:rPr>
        <w:t xml:space="preserve">ka lietas dalībnieki ilgstošā laika periodā ir īstenojuši godīgai konkurencei pretējas darbības, vienojoties par lielāko būvniecības iepirkumu sadali un dalības nosacījumiem iepirkumos. Tirgus dalībnieku pārstāvju sarunu saturs un konteksts neatstāj vietu šaubām par īstenoto darbību saturu un mērķi. </w:t>
      </w:r>
      <w:r w:rsidR="00D5005C" w:rsidRPr="00807219">
        <w:rPr>
          <w:rFonts w:asciiTheme="majorBidi" w:hAnsiTheme="majorBidi" w:cstheme="majorBidi"/>
        </w:rPr>
        <w:t>P</w:t>
      </w:r>
      <w:r w:rsidR="006F7A17" w:rsidRPr="00807219">
        <w:rPr>
          <w:rFonts w:asciiTheme="majorBidi" w:hAnsiTheme="majorBidi" w:cstheme="majorBidi"/>
        </w:rPr>
        <w:t xml:space="preserve">adome pamatoti </w:t>
      </w:r>
      <w:r w:rsidR="00D5005C" w:rsidRPr="00807219">
        <w:rPr>
          <w:rFonts w:asciiTheme="majorBidi" w:hAnsiTheme="majorBidi" w:cstheme="majorBidi"/>
        </w:rPr>
        <w:t xml:space="preserve">konstatēja </w:t>
      </w:r>
      <w:r w:rsidR="006F7A17" w:rsidRPr="00807219">
        <w:rPr>
          <w:rFonts w:asciiTheme="majorBidi" w:hAnsiTheme="majorBidi" w:cstheme="majorBidi"/>
          <w:i/>
          <w:iCs/>
        </w:rPr>
        <w:t>Skonto</w:t>
      </w:r>
      <w:r w:rsidR="00D5005C" w:rsidRPr="00807219">
        <w:rPr>
          <w:rFonts w:asciiTheme="majorBidi" w:hAnsiTheme="majorBidi" w:cstheme="majorBidi"/>
          <w:i/>
          <w:iCs/>
        </w:rPr>
        <w:t xml:space="preserve"> Būve</w:t>
      </w:r>
      <w:r w:rsidR="00E321AE">
        <w:rPr>
          <w:rFonts w:asciiTheme="majorBidi" w:hAnsiTheme="majorBidi" w:cstheme="majorBidi"/>
          <w:i/>
          <w:iCs/>
        </w:rPr>
        <w:t>s</w:t>
      </w:r>
      <w:r w:rsidR="006F7A17" w:rsidRPr="00807219">
        <w:rPr>
          <w:rFonts w:asciiTheme="majorBidi" w:hAnsiTheme="majorBidi" w:cstheme="majorBidi"/>
        </w:rPr>
        <w:t xml:space="preserve">, </w:t>
      </w:r>
      <w:r w:rsidR="006F7A17" w:rsidRPr="00807219">
        <w:rPr>
          <w:rFonts w:asciiTheme="majorBidi" w:hAnsiTheme="majorBidi" w:cstheme="majorBidi"/>
          <w:i/>
          <w:iCs/>
        </w:rPr>
        <w:t>LEC</w:t>
      </w:r>
      <w:r w:rsidR="006F7A17" w:rsidRPr="00807219">
        <w:rPr>
          <w:rFonts w:asciiTheme="majorBidi" w:hAnsiTheme="majorBidi" w:cstheme="majorBidi"/>
        </w:rPr>
        <w:t xml:space="preserve">, </w:t>
      </w:r>
      <w:r w:rsidR="00E321AE" w:rsidRPr="00807219">
        <w:rPr>
          <w:rFonts w:asciiTheme="majorBidi" w:hAnsiTheme="majorBidi" w:cstheme="majorBidi"/>
          <w:i/>
          <w:iCs/>
        </w:rPr>
        <w:t>Arčer</w:t>
      </w:r>
      <w:r w:rsidR="00E321AE">
        <w:rPr>
          <w:rFonts w:asciiTheme="majorBidi" w:hAnsiTheme="majorBidi" w:cstheme="majorBidi"/>
          <w:i/>
          <w:iCs/>
        </w:rPr>
        <w:t>a</w:t>
      </w:r>
      <w:r w:rsidR="006F7A17" w:rsidRPr="00807219">
        <w:rPr>
          <w:rFonts w:asciiTheme="majorBidi" w:hAnsiTheme="majorBidi" w:cstheme="majorBidi"/>
        </w:rPr>
        <w:t xml:space="preserve">, </w:t>
      </w:r>
      <w:r w:rsidR="006F7A17" w:rsidRPr="00807219">
        <w:rPr>
          <w:rFonts w:asciiTheme="majorBidi" w:hAnsiTheme="majorBidi" w:cstheme="majorBidi"/>
          <w:i/>
          <w:iCs/>
        </w:rPr>
        <w:t>RERE Būve</w:t>
      </w:r>
      <w:r w:rsidR="00E321AE">
        <w:rPr>
          <w:rFonts w:asciiTheme="majorBidi" w:hAnsiTheme="majorBidi" w:cstheme="majorBidi"/>
          <w:i/>
          <w:iCs/>
        </w:rPr>
        <w:t>s</w:t>
      </w:r>
      <w:r w:rsidR="006F7A17" w:rsidRPr="00807219">
        <w:rPr>
          <w:rFonts w:asciiTheme="majorBidi" w:hAnsiTheme="majorBidi" w:cstheme="majorBidi"/>
        </w:rPr>
        <w:t xml:space="preserve">, </w:t>
      </w:r>
      <w:r w:rsidR="006F7A17" w:rsidRPr="00807219">
        <w:rPr>
          <w:rFonts w:asciiTheme="majorBidi" w:hAnsiTheme="majorBidi" w:cstheme="majorBidi"/>
          <w:i/>
          <w:iCs/>
        </w:rPr>
        <w:t>RE&amp;RE</w:t>
      </w:r>
      <w:r w:rsidR="006F7A17" w:rsidRPr="00807219">
        <w:rPr>
          <w:rFonts w:asciiTheme="majorBidi" w:hAnsiTheme="majorBidi" w:cstheme="majorBidi"/>
        </w:rPr>
        <w:t xml:space="preserve">, </w:t>
      </w:r>
      <w:r w:rsidR="006F7A17" w:rsidRPr="00807219">
        <w:rPr>
          <w:rFonts w:asciiTheme="majorBidi" w:hAnsiTheme="majorBidi" w:cstheme="majorBidi"/>
          <w:i/>
          <w:iCs/>
        </w:rPr>
        <w:t>Abora</w:t>
      </w:r>
      <w:r w:rsidR="00E321AE">
        <w:rPr>
          <w:rFonts w:asciiTheme="majorBidi" w:hAnsiTheme="majorBidi" w:cstheme="majorBidi"/>
          <w:i/>
          <w:iCs/>
        </w:rPr>
        <w:t>s</w:t>
      </w:r>
      <w:r w:rsidR="006F7A17" w:rsidRPr="00807219">
        <w:rPr>
          <w:rFonts w:asciiTheme="majorBidi" w:hAnsiTheme="majorBidi" w:cstheme="majorBidi"/>
        </w:rPr>
        <w:t xml:space="preserve">, </w:t>
      </w:r>
      <w:r w:rsidR="006F7A17" w:rsidRPr="00807219">
        <w:rPr>
          <w:rFonts w:asciiTheme="majorBidi" w:hAnsiTheme="majorBidi" w:cstheme="majorBidi"/>
          <w:i/>
          <w:iCs/>
        </w:rPr>
        <w:t>LNK Industries</w:t>
      </w:r>
      <w:r w:rsidR="006F7A17" w:rsidRPr="00807219">
        <w:rPr>
          <w:rFonts w:asciiTheme="majorBidi" w:hAnsiTheme="majorBidi" w:cstheme="majorBidi"/>
        </w:rPr>
        <w:t xml:space="preserve"> un </w:t>
      </w:r>
      <w:r w:rsidR="00E321AE" w:rsidRPr="00807219">
        <w:rPr>
          <w:rFonts w:asciiTheme="majorBidi" w:hAnsiTheme="majorBidi" w:cstheme="majorBidi"/>
          <w:i/>
          <w:iCs/>
        </w:rPr>
        <w:t>Merk</w:t>
      </w:r>
      <w:r w:rsidR="00E321AE">
        <w:rPr>
          <w:rFonts w:asciiTheme="majorBidi" w:hAnsiTheme="majorBidi" w:cstheme="majorBidi"/>
          <w:i/>
          <w:iCs/>
        </w:rPr>
        <w:t>a</w:t>
      </w:r>
      <w:r w:rsidR="00E321AE" w:rsidRPr="00807219">
        <w:rPr>
          <w:rFonts w:asciiTheme="majorBidi" w:hAnsiTheme="majorBidi" w:cstheme="majorBidi"/>
        </w:rPr>
        <w:t xml:space="preserve"> </w:t>
      </w:r>
      <w:r w:rsidR="006F7A17" w:rsidRPr="00807219">
        <w:rPr>
          <w:rFonts w:asciiTheme="majorBidi" w:hAnsiTheme="majorBidi" w:cstheme="majorBidi"/>
        </w:rPr>
        <w:t xml:space="preserve">darbībās Konkurences likuma 11.panta pirmajā daļā un LESD 101.panta 1.punktā noteiktā pārkāpuma tiesiskā sastāva pazīmes un pamatoti secināja, ka notikusi karteļa vienošanās, kas ierobežo konkurenci pēc mērķa. Piemērotais sods, kas noteikts solidāri ar </w:t>
      </w:r>
      <w:r w:rsidR="00E321AE" w:rsidRPr="00807219">
        <w:rPr>
          <w:rFonts w:asciiTheme="majorBidi" w:hAnsiTheme="majorBidi" w:cstheme="majorBidi"/>
          <w:i/>
          <w:iCs/>
        </w:rPr>
        <w:t>Tehnocentr</w:t>
      </w:r>
      <w:r w:rsidR="00E321AE">
        <w:rPr>
          <w:rFonts w:asciiTheme="majorBidi" w:hAnsiTheme="majorBidi" w:cstheme="majorBidi"/>
          <w:i/>
          <w:iCs/>
        </w:rPr>
        <w:t>u</w:t>
      </w:r>
      <w:r w:rsidR="006F7A17" w:rsidRPr="00807219">
        <w:rPr>
          <w:rFonts w:asciiTheme="majorBidi" w:hAnsiTheme="majorBidi" w:cstheme="majorBidi"/>
        </w:rPr>
        <w:t xml:space="preserve">, </w:t>
      </w:r>
      <w:r w:rsidR="006F7A17" w:rsidRPr="00807219">
        <w:rPr>
          <w:rFonts w:asciiTheme="majorBidi" w:hAnsiTheme="majorBidi" w:cstheme="majorBidi"/>
          <w:i/>
          <w:iCs/>
        </w:rPr>
        <w:t xml:space="preserve">RERE </w:t>
      </w:r>
      <w:r w:rsidR="00E321AE" w:rsidRPr="00807219">
        <w:rPr>
          <w:rFonts w:asciiTheme="majorBidi" w:hAnsiTheme="majorBidi" w:cstheme="majorBidi"/>
          <w:i/>
          <w:iCs/>
        </w:rPr>
        <w:t>Grup</w:t>
      </w:r>
      <w:r w:rsidR="00E321AE">
        <w:rPr>
          <w:rFonts w:asciiTheme="majorBidi" w:hAnsiTheme="majorBidi" w:cstheme="majorBidi"/>
          <w:i/>
          <w:iCs/>
        </w:rPr>
        <w:t>u</w:t>
      </w:r>
      <w:r w:rsidR="006F7A17" w:rsidRPr="00807219">
        <w:rPr>
          <w:rFonts w:asciiTheme="majorBidi" w:hAnsiTheme="majorBidi" w:cstheme="majorBidi"/>
        </w:rPr>
        <w:t xml:space="preserve">, </w:t>
      </w:r>
      <w:r w:rsidR="006F7A17" w:rsidRPr="00807219">
        <w:rPr>
          <w:rFonts w:asciiTheme="majorBidi" w:hAnsiTheme="majorBidi" w:cstheme="majorBidi"/>
          <w:i/>
          <w:iCs/>
        </w:rPr>
        <w:t>Merko Ehitus</w:t>
      </w:r>
      <w:r w:rsidR="006F7A17" w:rsidRPr="00807219">
        <w:rPr>
          <w:rFonts w:asciiTheme="majorBidi" w:hAnsiTheme="majorBidi" w:cstheme="majorBidi"/>
        </w:rPr>
        <w:t xml:space="preserve">, </w:t>
      </w:r>
      <w:r w:rsidR="006F7A17" w:rsidRPr="00807219">
        <w:rPr>
          <w:rFonts w:asciiTheme="majorBidi" w:hAnsiTheme="majorBidi" w:cstheme="majorBidi"/>
          <w:i/>
          <w:iCs/>
        </w:rPr>
        <w:t>UGN</w:t>
      </w:r>
      <w:r w:rsidR="006F7A17" w:rsidRPr="00807219">
        <w:rPr>
          <w:rFonts w:asciiTheme="majorBidi" w:hAnsiTheme="majorBidi" w:cstheme="majorBidi"/>
        </w:rPr>
        <w:t xml:space="preserve">, </w:t>
      </w:r>
      <w:r w:rsidR="006F7A17" w:rsidRPr="00807219">
        <w:rPr>
          <w:rFonts w:asciiTheme="majorBidi" w:hAnsiTheme="majorBidi" w:cstheme="majorBidi"/>
          <w:i/>
          <w:iCs/>
        </w:rPr>
        <w:t>LNK</w:t>
      </w:r>
      <w:r w:rsidR="006F7A17" w:rsidRPr="00807219">
        <w:rPr>
          <w:rFonts w:asciiTheme="majorBidi" w:hAnsiTheme="majorBidi" w:cstheme="majorBidi"/>
        </w:rPr>
        <w:t xml:space="preserve"> un </w:t>
      </w:r>
      <w:r w:rsidR="006F7A17" w:rsidRPr="00807219">
        <w:rPr>
          <w:rFonts w:asciiTheme="majorBidi" w:hAnsiTheme="majorBidi" w:cstheme="majorBidi"/>
          <w:i/>
          <w:iCs/>
        </w:rPr>
        <w:t>GRF</w:t>
      </w:r>
      <w:r w:rsidR="006F7A17" w:rsidRPr="00807219">
        <w:rPr>
          <w:rFonts w:asciiTheme="majorBidi" w:hAnsiTheme="majorBidi" w:cstheme="majorBidi"/>
        </w:rPr>
        <w:t>, ir samērīgs</w:t>
      </w:r>
      <w:r w:rsidR="007E798B" w:rsidRPr="00807219">
        <w:rPr>
          <w:rFonts w:asciiTheme="majorBidi" w:hAnsiTheme="majorBidi" w:cstheme="majorBidi"/>
        </w:rPr>
        <w:t>.</w:t>
      </w:r>
    </w:p>
    <w:p w14:paraId="5EABA2D0" w14:textId="76169DCB" w:rsidR="006F7A17" w:rsidRPr="00807219" w:rsidRDefault="006F7A17" w:rsidP="001F783F">
      <w:pPr>
        <w:spacing w:line="276" w:lineRule="auto"/>
        <w:ind w:firstLine="720"/>
        <w:jc w:val="both"/>
        <w:rPr>
          <w:rFonts w:asciiTheme="majorBidi" w:hAnsiTheme="majorBidi" w:cstheme="majorBidi"/>
        </w:rPr>
      </w:pPr>
    </w:p>
    <w:p w14:paraId="75B2FE57" w14:textId="264FE05B" w:rsidR="00017314" w:rsidRPr="00807219" w:rsidRDefault="007E798B" w:rsidP="001F783F">
      <w:pPr>
        <w:spacing w:line="276" w:lineRule="auto"/>
        <w:ind w:firstLine="720"/>
        <w:jc w:val="both"/>
        <w:rPr>
          <w:rFonts w:asciiTheme="majorBidi" w:hAnsiTheme="majorBidi" w:cstheme="majorBidi"/>
          <w:lang w:eastAsia="lv-LV"/>
        </w:rPr>
      </w:pPr>
      <w:r w:rsidRPr="00807219">
        <w:rPr>
          <w:rFonts w:asciiTheme="majorBidi" w:hAnsiTheme="majorBidi" w:cstheme="majorBidi"/>
        </w:rPr>
        <w:t>[</w:t>
      </w:r>
      <w:r w:rsidR="00895D13" w:rsidRPr="00807219">
        <w:rPr>
          <w:rFonts w:asciiTheme="majorBidi" w:hAnsiTheme="majorBidi" w:cstheme="majorBidi"/>
        </w:rPr>
        <w:t>6</w:t>
      </w:r>
      <w:r w:rsidRPr="00807219">
        <w:rPr>
          <w:rFonts w:asciiTheme="majorBidi" w:hAnsiTheme="majorBidi" w:cstheme="majorBidi"/>
        </w:rPr>
        <w:t>]</w:t>
      </w:r>
      <w:r w:rsidR="00895D13" w:rsidRPr="00807219">
        <w:rPr>
          <w:rFonts w:asciiTheme="majorBidi" w:hAnsiTheme="majorBidi" w:cstheme="majorBidi"/>
        </w:rPr>
        <w:t> </w:t>
      </w:r>
      <w:r w:rsidR="00017314" w:rsidRPr="00807219">
        <w:rPr>
          <w:rFonts w:asciiTheme="majorBidi" w:hAnsiTheme="majorBidi" w:cstheme="majorBidi"/>
          <w:i/>
          <w:iCs/>
          <w:lang w:eastAsia="lv-LV"/>
        </w:rPr>
        <w:t>Skonto Būve</w:t>
      </w:r>
      <w:r w:rsidR="00017314" w:rsidRPr="00807219">
        <w:rPr>
          <w:rFonts w:asciiTheme="majorBidi" w:hAnsiTheme="majorBidi" w:cstheme="majorBidi"/>
          <w:lang w:eastAsia="lv-LV"/>
        </w:rPr>
        <w:t xml:space="preserve">, </w:t>
      </w:r>
      <w:r w:rsidR="00017314" w:rsidRPr="00807219">
        <w:rPr>
          <w:rFonts w:asciiTheme="majorBidi" w:hAnsiTheme="majorBidi" w:cstheme="majorBidi"/>
          <w:i/>
          <w:iCs/>
          <w:lang w:eastAsia="lv-LV"/>
        </w:rPr>
        <w:t xml:space="preserve">RERE Būve </w:t>
      </w:r>
      <w:r w:rsidR="00017314" w:rsidRPr="00807219">
        <w:rPr>
          <w:rFonts w:asciiTheme="majorBidi" w:hAnsiTheme="majorBidi" w:cstheme="majorBidi"/>
          <w:lang w:eastAsia="lv-LV"/>
        </w:rPr>
        <w:t>kopā</w:t>
      </w:r>
      <w:r w:rsidR="00017314" w:rsidRPr="00807219">
        <w:rPr>
          <w:rFonts w:asciiTheme="majorBidi" w:hAnsiTheme="majorBidi" w:cstheme="majorBidi"/>
          <w:i/>
          <w:iCs/>
          <w:lang w:eastAsia="lv-LV"/>
        </w:rPr>
        <w:t xml:space="preserve"> </w:t>
      </w:r>
      <w:r w:rsidR="00017314" w:rsidRPr="00807219">
        <w:rPr>
          <w:rFonts w:asciiTheme="majorBidi" w:hAnsiTheme="majorBidi" w:cstheme="majorBidi"/>
          <w:lang w:eastAsia="lv-LV"/>
        </w:rPr>
        <w:t>ar</w:t>
      </w:r>
      <w:r w:rsidR="00017314" w:rsidRPr="00807219">
        <w:rPr>
          <w:rFonts w:asciiTheme="majorBidi" w:hAnsiTheme="majorBidi" w:cstheme="majorBidi"/>
          <w:i/>
          <w:iCs/>
          <w:lang w:eastAsia="lv-LV"/>
        </w:rPr>
        <w:t xml:space="preserve"> RERE </w:t>
      </w:r>
      <w:r w:rsidR="00E321AE" w:rsidRPr="00807219">
        <w:rPr>
          <w:rFonts w:asciiTheme="majorBidi" w:hAnsiTheme="majorBidi" w:cstheme="majorBidi"/>
          <w:i/>
          <w:iCs/>
          <w:lang w:eastAsia="lv-LV"/>
        </w:rPr>
        <w:t>Grup</w:t>
      </w:r>
      <w:r w:rsidR="00E321AE">
        <w:rPr>
          <w:rFonts w:asciiTheme="majorBidi" w:hAnsiTheme="majorBidi" w:cstheme="majorBidi"/>
          <w:i/>
          <w:iCs/>
          <w:lang w:eastAsia="lv-LV"/>
        </w:rPr>
        <w:t>u</w:t>
      </w:r>
      <w:r w:rsidR="00017314" w:rsidRPr="00807219">
        <w:rPr>
          <w:rFonts w:asciiTheme="majorBidi" w:hAnsiTheme="majorBidi" w:cstheme="majorBidi"/>
          <w:i/>
          <w:iCs/>
          <w:lang w:eastAsia="lv-LV"/>
        </w:rPr>
        <w:t>, LNK, Arčers, LNK Industries, UGN, RE&amp;RE</w:t>
      </w:r>
      <w:r w:rsidR="00895D13" w:rsidRPr="00807219">
        <w:rPr>
          <w:rFonts w:asciiTheme="majorBidi" w:hAnsiTheme="majorBidi" w:cstheme="majorBidi"/>
          <w:i/>
          <w:iCs/>
          <w:lang w:eastAsia="lv-LV"/>
        </w:rPr>
        <w:t xml:space="preserve">, </w:t>
      </w:r>
      <w:r w:rsidR="00017314" w:rsidRPr="00807219">
        <w:rPr>
          <w:rFonts w:asciiTheme="majorBidi" w:hAnsiTheme="majorBidi" w:cstheme="majorBidi"/>
          <w:i/>
          <w:iCs/>
          <w:lang w:eastAsia="lv-LV"/>
        </w:rPr>
        <w:t>LEC</w:t>
      </w:r>
      <w:r w:rsidR="00872BD1" w:rsidRPr="00807219">
        <w:rPr>
          <w:rFonts w:asciiTheme="majorBidi" w:hAnsiTheme="majorBidi" w:cstheme="majorBidi"/>
        </w:rPr>
        <w:t xml:space="preserve">, </w:t>
      </w:r>
      <w:r w:rsidR="00872BD1" w:rsidRPr="00807219">
        <w:rPr>
          <w:rFonts w:asciiTheme="majorBidi" w:hAnsiTheme="majorBidi" w:cstheme="majorBidi"/>
          <w:i/>
          <w:iCs/>
        </w:rPr>
        <w:t>Merks</w:t>
      </w:r>
      <w:r w:rsidR="00872BD1" w:rsidRPr="00807219">
        <w:rPr>
          <w:rFonts w:asciiTheme="majorBidi" w:hAnsiTheme="majorBidi" w:cstheme="majorBidi"/>
        </w:rPr>
        <w:t xml:space="preserve"> kopā ar </w:t>
      </w:r>
      <w:r w:rsidR="00872BD1" w:rsidRPr="00807219">
        <w:rPr>
          <w:rFonts w:asciiTheme="majorBidi" w:hAnsiTheme="majorBidi" w:cstheme="majorBidi"/>
          <w:i/>
          <w:iCs/>
        </w:rPr>
        <w:t>Merko Ehitus,</w:t>
      </w:r>
      <w:r w:rsidR="00872BD1" w:rsidRPr="00807219">
        <w:rPr>
          <w:rFonts w:asciiTheme="majorBidi" w:hAnsiTheme="majorBidi" w:cstheme="majorBidi"/>
        </w:rPr>
        <w:t xml:space="preserve"> kā arī </w:t>
      </w:r>
      <w:r w:rsidR="00872BD1" w:rsidRPr="00807219">
        <w:rPr>
          <w:rFonts w:asciiTheme="majorBidi" w:hAnsiTheme="majorBidi" w:cstheme="majorBidi"/>
          <w:i/>
          <w:iCs/>
          <w:lang w:eastAsia="lv-LV"/>
        </w:rPr>
        <w:t xml:space="preserve">Abora </w:t>
      </w:r>
      <w:r w:rsidR="00872BD1" w:rsidRPr="00807219">
        <w:rPr>
          <w:rFonts w:asciiTheme="majorBidi" w:hAnsiTheme="majorBidi" w:cstheme="majorBidi"/>
          <w:lang w:eastAsia="lv-LV"/>
        </w:rPr>
        <w:t>kopā ar</w:t>
      </w:r>
      <w:r w:rsidR="00872BD1" w:rsidRPr="00807219">
        <w:rPr>
          <w:rFonts w:asciiTheme="majorBidi" w:hAnsiTheme="majorBidi" w:cstheme="majorBidi"/>
          <w:i/>
          <w:iCs/>
          <w:lang w:eastAsia="lv-LV"/>
        </w:rPr>
        <w:t xml:space="preserve"> </w:t>
      </w:r>
      <w:r w:rsidR="00E321AE" w:rsidRPr="00807219">
        <w:rPr>
          <w:rFonts w:asciiTheme="majorBidi" w:hAnsiTheme="majorBidi" w:cstheme="majorBidi"/>
          <w:i/>
          <w:iCs/>
          <w:lang w:eastAsia="lv-LV"/>
        </w:rPr>
        <w:t>Tehnocentr</w:t>
      </w:r>
      <w:r w:rsidR="00E321AE">
        <w:rPr>
          <w:rFonts w:asciiTheme="majorBidi" w:hAnsiTheme="majorBidi" w:cstheme="majorBidi"/>
          <w:i/>
          <w:iCs/>
          <w:lang w:eastAsia="lv-LV"/>
        </w:rPr>
        <w:t>u</w:t>
      </w:r>
      <w:r w:rsidR="00E321AE" w:rsidRPr="00807219">
        <w:rPr>
          <w:rFonts w:asciiTheme="majorBidi" w:hAnsiTheme="majorBidi" w:cstheme="majorBidi"/>
        </w:rPr>
        <w:t xml:space="preserve"> </w:t>
      </w:r>
      <w:r w:rsidR="00895D13" w:rsidRPr="00807219">
        <w:rPr>
          <w:rFonts w:asciiTheme="majorBidi" w:hAnsiTheme="majorBidi" w:cstheme="majorBidi"/>
        </w:rPr>
        <w:t>iesniedza kasācijas sūdzības par apgabaltiesas spriedumu.</w:t>
      </w:r>
    </w:p>
    <w:p w14:paraId="6299236C" w14:textId="77777777" w:rsidR="00017314" w:rsidRPr="00807219" w:rsidRDefault="00017314" w:rsidP="001F783F">
      <w:pPr>
        <w:spacing w:line="276" w:lineRule="auto"/>
        <w:ind w:firstLine="720"/>
        <w:jc w:val="both"/>
        <w:rPr>
          <w:rFonts w:asciiTheme="majorBidi" w:hAnsiTheme="majorBidi" w:cstheme="majorBidi"/>
          <w:lang w:eastAsia="lv-LV"/>
        </w:rPr>
      </w:pPr>
    </w:p>
    <w:p w14:paraId="015F640D" w14:textId="1CA454FC" w:rsidR="00A82946" w:rsidRPr="00807219" w:rsidRDefault="007F1B59" w:rsidP="001F783F">
      <w:pPr>
        <w:spacing w:line="276" w:lineRule="auto"/>
        <w:ind w:firstLine="720"/>
        <w:jc w:val="both"/>
        <w:rPr>
          <w:rFonts w:asciiTheme="majorBidi" w:hAnsiTheme="majorBidi" w:cstheme="majorBidi"/>
        </w:rPr>
      </w:pPr>
      <w:r w:rsidRPr="00807219">
        <w:rPr>
          <w:rFonts w:asciiTheme="majorBidi" w:hAnsiTheme="majorBidi" w:cstheme="majorBidi"/>
          <w:lang w:eastAsia="lv-LV"/>
        </w:rPr>
        <w:t>[</w:t>
      </w:r>
      <w:r w:rsidR="00895D13" w:rsidRPr="00807219">
        <w:rPr>
          <w:rFonts w:asciiTheme="majorBidi" w:hAnsiTheme="majorBidi" w:cstheme="majorBidi"/>
          <w:lang w:eastAsia="lv-LV"/>
        </w:rPr>
        <w:t>7</w:t>
      </w:r>
      <w:r w:rsidRPr="00807219">
        <w:rPr>
          <w:rFonts w:asciiTheme="majorBidi" w:hAnsiTheme="majorBidi" w:cstheme="majorBidi"/>
          <w:lang w:eastAsia="lv-LV"/>
        </w:rPr>
        <w:t>]</w:t>
      </w:r>
      <w:r w:rsidR="00B74A20" w:rsidRPr="00807219">
        <w:rPr>
          <w:rFonts w:asciiTheme="majorBidi" w:hAnsiTheme="majorBidi" w:cstheme="majorBidi"/>
          <w:lang w:eastAsia="lv-LV"/>
        </w:rPr>
        <w:t> </w:t>
      </w:r>
      <w:r w:rsidR="00236B12" w:rsidRPr="00807219">
        <w:rPr>
          <w:rFonts w:asciiTheme="majorBidi" w:hAnsiTheme="majorBidi" w:cstheme="majorBidi"/>
          <w:i/>
          <w:iCs/>
          <w:lang w:eastAsia="lv-LV"/>
        </w:rPr>
        <w:t>Skonto Būve</w:t>
      </w:r>
      <w:r w:rsidR="00E321AE">
        <w:rPr>
          <w:rFonts w:asciiTheme="majorBidi" w:hAnsiTheme="majorBidi" w:cstheme="majorBidi"/>
          <w:i/>
          <w:iCs/>
          <w:lang w:eastAsia="lv-LV"/>
        </w:rPr>
        <w:t>s</w:t>
      </w:r>
      <w:r w:rsidR="00895D13" w:rsidRPr="00807219">
        <w:rPr>
          <w:rFonts w:asciiTheme="majorBidi" w:hAnsiTheme="majorBidi" w:cstheme="majorBidi"/>
        </w:rPr>
        <w:t xml:space="preserve"> kasācijas sūdzība pamatota ar turpmāko.</w:t>
      </w:r>
    </w:p>
    <w:p w14:paraId="107E34E1" w14:textId="764725CE" w:rsidR="00A21AAB" w:rsidRPr="00807219" w:rsidRDefault="00C510C2" w:rsidP="001F783F">
      <w:pPr>
        <w:spacing w:line="276" w:lineRule="auto"/>
        <w:ind w:firstLine="720"/>
        <w:jc w:val="both"/>
        <w:rPr>
          <w:rFonts w:asciiTheme="majorBidi" w:hAnsiTheme="majorBidi" w:cstheme="majorBidi"/>
        </w:rPr>
      </w:pPr>
      <w:bookmarkStart w:id="3" w:name="_Hlk212821745"/>
      <w:r w:rsidRPr="00807219">
        <w:rPr>
          <w:rFonts w:asciiTheme="majorBidi" w:hAnsiTheme="majorBidi" w:cstheme="majorBidi"/>
        </w:rPr>
        <w:t>[7.1]</w:t>
      </w:r>
      <w:r w:rsidR="00311ED2">
        <w:rPr>
          <w:rFonts w:asciiTheme="majorBidi" w:hAnsiTheme="majorBidi" w:cstheme="majorBidi"/>
        </w:rPr>
        <w:t> </w:t>
      </w:r>
      <w:r w:rsidR="00462D4F" w:rsidRPr="00807219">
        <w:rPr>
          <w:rFonts w:asciiTheme="majorBidi" w:hAnsiTheme="majorBidi" w:cstheme="majorBidi"/>
        </w:rPr>
        <w:t>Ti</w:t>
      </w:r>
      <w:r w:rsidR="00A21AAB" w:rsidRPr="00807219">
        <w:rPr>
          <w:rFonts w:asciiTheme="majorBidi" w:hAnsiTheme="majorBidi" w:cstheme="majorBidi"/>
        </w:rPr>
        <w:t>esa nepamatoti atzinusi, ka operatīvo darbību rezultātā iegūtā informācija ir pieļaujams pierādījums</w:t>
      </w:r>
      <w:r w:rsidR="007A773B">
        <w:rPr>
          <w:rFonts w:asciiTheme="majorBidi" w:hAnsiTheme="majorBidi" w:cstheme="majorBidi"/>
        </w:rPr>
        <w:t xml:space="preserve"> administratīvajā lietā</w:t>
      </w:r>
      <w:r w:rsidR="00A21AAB" w:rsidRPr="00807219">
        <w:rPr>
          <w:rFonts w:asciiTheme="majorBidi" w:hAnsiTheme="majorBidi" w:cstheme="majorBidi"/>
        </w:rPr>
        <w:t>.</w:t>
      </w:r>
    </w:p>
    <w:p w14:paraId="21EBC8BA" w14:textId="311B9C9A" w:rsidR="00A21AAB" w:rsidRPr="00807219" w:rsidRDefault="00544BD5" w:rsidP="001F783F">
      <w:pPr>
        <w:spacing w:line="276" w:lineRule="auto"/>
        <w:ind w:firstLine="720"/>
        <w:jc w:val="both"/>
      </w:pPr>
      <w:r w:rsidRPr="00807219">
        <w:rPr>
          <w:rFonts w:asciiTheme="majorBidi" w:hAnsiTheme="majorBidi" w:cstheme="majorBidi"/>
        </w:rPr>
        <w:t>[</w:t>
      </w:r>
      <w:r w:rsidR="00C510C2" w:rsidRPr="00807219">
        <w:rPr>
          <w:rFonts w:asciiTheme="majorBidi" w:hAnsiTheme="majorBidi" w:cstheme="majorBidi"/>
        </w:rPr>
        <w:t>7.1.1</w:t>
      </w:r>
      <w:r w:rsidRPr="00807219">
        <w:rPr>
          <w:rFonts w:asciiTheme="majorBidi" w:hAnsiTheme="majorBidi" w:cstheme="majorBidi"/>
        </w:rPr>
        <w:t>]</w:t>
      </w:r>
      <w:r w:rsidR="00326A0D" w:rsidRPr="00807219">
        <w:rPr>
          <w:rFonts w:asciiTheme="majorBidi" w:hAnsiTheme="majorBidi" w:cstheme="majorBidi"/>
        </w:rPr>
        <w:t> </w:t>
      </w:r>
      <w:r w:rsidR="00A21AAB" w:rsidRPr="00807219">
        <w:t xml:space="preserve">Lai arī </w:t>
      </w:r>
      <w:r w:rsidR="006F2243">
        <w:t>Konkurences p</w:t>
      </w:r>
      <w:r w:rsidR="006F2243" w:rsidRPr="00807219">
        <w:t xml:space="preserve">adomei </w:t>
      </w:r>
      <w:r w:rsidR="00A21AAB" w:rsidRPr="00807219">
        <w:t xml:space="preserve">ir tiesības iegūt informāciju no kriminālprocesa materiāliem un izmantot to pierādīšanā administratīvajā procesā, operatīvās darbības rezultātā iegūtā informācija nav pielīdzināma šādiem materiāliem un nav nododama </w:t>
      </w:r>
      <w:r w:rsidR="00A047D6">
        <w:t xml:space="preserve">Konkurences </w:t>
      </w:r>
      <w:r w:rsidR="006F2243">
        <w:t>p</w:t>
      </w:r>
      <w:r w:rsidR="006F2243" w:rsidRPr="00807219">
        <w:t>adomei</w:t>
      </w:r>
      <w:r w:rsidR="00A21AAB" w:rsidRPr="00807219">
        <w:t>. Operatīvās darbības likums pieļauj šādas informācijas izmantošanu tikai likumā tieši noteiktiem mērķiem.</w:t>
      </w:r>
    </w:p>
    <w:p w14:paraId="69986E68" w14:textId="328F36E2" w:rsidR="00536236" w:rsidRPr="00807219" w:rsidRDefault="00E15E38" w:rsidP="001F783F">
      <w:pPr>
        <w:spacing w:line="276" w:lineRule="auto"/>
        <w:ind w:firstLine="720"/>
        <w:jc w:val="both"/>
        <w:rPr>
          <w:rFonts w:asciiTheme="majorBidi" w:hAnsiTheme="majorBidi" w:cstheme="majorBidi"/>
          <w:bCs/>
        </w:rPr>
      </w:pPr>
      <w:r w:rsidRPr="00807219">
        <w:rPr>
          <w:rFonts w:asciiTheme="majorBidi" w:hAnsiTheme="majorBidi" w:cstheme="majorBidi"/>
          <w:bCs/>
        </w:rPr>
        <w:t>[</w:t>
      </w:r>
      <w:r w:rsidR="00C510C2" w:rsidRPr="00807219">
        <w:rPr>
          <w:rFonts w:asciiTheme="majorBidi" w:hAnsiTheme="majorBidi" w:cstheme="majorBidi"/>
          <w:bCs/>
        </w:rPr>
        <w:t>7.1.2</w:t>
      </w:r>
      <w:r w:rsidRPr="00807219">
        <w:rPr>
          <w:rFonts w:asciiTheme="majorBidi" w:hAnsiTheme="majorBidi" w:cstheme="majorBidi"/>
          <w:bCs/>
        </w:rPr>
        <w:t>]</w:t>
      </w:r>
      <w:r w:rsidR="00326A0D" w:rsidRPr="00807219">
        <w:rPr>
          <w:rFonts w:asciiTheme="majorBidi" w:hAnsiTheme="majorBidi" w:cstheme="majorBidi"/>
          <w:bCs/>
        </w:rPr>
        <w:t> </w:t>
      </w:r>
      <w:r w:rsidR="00536236" w:rsidRPr="00807219">
        <w:rPr>
          <w:rFonts w:asciiTheme="majorBidi" w:hAnsiTheme="majorBidi" w:cstheme="majorBidi"/>
          <w:bCs/>
        </w:rPr>
        <w:t xml:space="preserve">Tiesa patvaļīgi paplašinājusi Operatīvās darbības likuma piemērošanas robežas, pārkāpjot publisko tiesību principu „aizliegts viss, kas nav atļauts”. Tā kā likums neparedz šādu ziņu nodošanu administratīvi tiesisku mērķu sasniegšanai, to izmantošana šādos gadījumos nav pieļaujama. Nav pamata </w:t>
      </w:r>
      <w:r w:rsidR="00253941">
        <w:rPr>
          <w:rFonts w:asciiTheme="majorBidi" w:hAnsiTheme="majorBidi" w:cstheme="majorBidi"/>
          <w:bCs/>
        </w:rPr>
        <w:t xml:space="preserve">piemērot </w:t>
      </w:r>
      <w:r w:rsidR="00536236" w:rsidRPr="00807219">
        <w:rPr>
          <w:rFonts w:asciiTheme="majorBidi" w:hAnsiTheme="majorBidi" w:cstheme="majorBidi"/>
          <w:bCs/>
        </w:rPr>
        <w:t>arī tiesību tālākveidošan</w:t>
      </w:r>
      <w:r w:rsidR="00253941">
        <w:rPr>
          <w:rFonts w:asciiTheme="majorBidi" w:hAnsiTheme="majorBidi" w:cstheme="majorBidi"/>
          <w:bCs/>
        </w:rPr>
        <w:t>u</w:t>
      </w:r>
      <w:r w:rsidR="00536236" w:rsidRPr="00807219">
        <w:rPr>
          <w:rFonts w:asciiTheme="majorBidi" w:hAnsiTheme="majorBidi" w:cstheme="majorBidi"/>
          <w:bCs/>
        </w:rPr>
        <w:t>, jo likumdevēja griba ir skaidra un likuma robs nepastāv.</w:t>
      </w:r>
    </w:p>
    <w:p w14:paraId="59EACA09" w14:textId="211CFABC" w:rsidR="00536236" w:rsidRPr="00807219" w:rsidRDefault="00544BD5" w:rsidP="001F783F">
      <w:pPr>
        <w:spacing w:line="276" w:lineRule="auto"/>
        <w:ind w:firstLine="720"/>
        <w:jc w:val="both"/>
      </w:pPr>
      <w:r w:rsidRPr="00807219">
        <w:t>[</w:t>
      </w:r>
      <w:r w:rsidR="00C510C2" w:rsidRPr="00807219">
        <w:t>7.1.3</w:t>
      </w:r>
      <w:r w:rsidRPr="00807219">
        <w:t>]</w:t>
      </w:r>
      <w:r w:rsidR="00326A0D" w:rsidRPr="00807219">
        <w:t> </w:t>
      </w:r>
      <w:r w:rsidR="00536236" w:rsidRPr="00807219">
        <w:t>Saskaņā ar Operatīvās darbības likuma 24.panta pirmo daļu operatīvās darbības pasākumu gaitā iegūtā informācija ir klasificējama kā ierobežotas pieejamības informācija vai valsts noslēpuma objekts. Tādēļ nevar piekrist tiesas uzskatam, ka šī informācija zaudē īpašo statusu, ja tā iekļauta kriminālprocesa vai administratīvā procesa materiālos.</w:t>
      </w:r>
    </w:p>
    <w:p w14:paraId="0CEFF579" w14:textId="204E1174" w:rsidR="00536236" w:rsidRPr="00807219" w:rsidRDefault="00544BD5" w:rsidP="001F783F">
      <w:pPr>
        <w:spacing w:line="276" w:lineRule="auto"/>
        <w:ind w:firstLine="720"/>
        <w:jc w:val="both"/>
      </w:pPr>
      <w:r w:rsidRPr="00807219">
        <w:t>[</w:t>
      </w:r>
      <w:r w:rsidR="00C510C2" w:rsidRPr="00807219">
        <w:t>7.1.4</w:t>
      </w:r>
      <w:r w:rsidRPr="00807219">
        <w:t>]</w:t>
      </w:r>
      <w:r w:rsidR="00326A0D" w:rsidRPr="00807219">
        <w:t> </w:t>
      </w:r>
      <w:r w:rsidR="00536236" w:rsidRPr="00807219">
        <w:t>O</w:t>
      </w:r>
      <w:r w:rsidRPr="00807219">
        <w:t xml:space="preserve">peratīvo darbību rezultātā iegūto informāciju ir pieļaujams izmantot </w:t>
      </w:r>
      <w:r w:rsidR="00372E69" w:rsidRPr="00807219">
        <w:t xml:space="preserve">kā </w:t>
      </w:r>
      <w:r w:rsidRPr="00807219">
        <w:t xml:space="preserve">pierādījumu kriminālprocesā, jo operatīvo darbību mērķis pēc būtības ir nodrošināt tādus pierādījumus kriminālprocesam, kurus nav iespējams iegūt ar kriminālprocesuālajām metodēm. </w:t>
      </w:r>
      <w:r w:rsidR="00536236" w:rsidRPr="00807219">
        <w:t xml:space="preserve">Vienlaikus </w:t>
      </w:r>
      <w:r w:rsidRPr="00807219">
        <w:t>Senāta judikatūrā atzīts, ka operatīvo darbību rezultātā iegūt</w:t>
      </w:r>
      <w:r w:rsidR="0000487B" w:rsidRPr="00807219">
        <w:t>o</w:t>
      </w:r>
      <w:r w:rsidRPr="00807219">
        <w:t xml:space="preserve"> informāciju nevar izmantot, lai atklātu kriminālpārkāpumus, </w:t>
      </w:r>
      <w:r w:rsidR="00536236" w:rsidRPr="00807219">
        <w:t>tātad arī administratīvi tiesisku pārkāpumu izmeklēšan</w:t>
      </w:r>
      <w:r w:rsidR="0012729E">
        <w:t>ā</w:t>
      </w:r>
      <w:r w:rsidR="00536236" w:rsidRPr="00807219">
        <w:t>. Pretējs viedoklis būtu sistēmiski kļūdains.</w:t>
      </w:r>
    </w:p>
    <w:p w14:paraId="63D1B1A8" w14:textId="790AD08E" w:rsidR="00326A0D" w:rsidRPr="00807219" w:rsidRDefault="00326A0D" w:rsidP="001F783F">
      <w:pPr>
        <w:spacing w:line="276" w:lineRule="auto"/>
        <w:ind w:firstLine="720"/>
        <w:jc w:val="both"/>
      </w:pPr>
      <w:r w:rsidRPr="00807219">
        <w:t>[</w:t>
      </w:r>
      <w:r w:rsidR="00C510C2" w:rsidRPr="00807219">
        <w:t>7.1.5</w:t>
      </w:r>
      <w:r w:rsidR="00544BD5" w:rsidRPr="00807219">
        <w:t>]</w:t>
      </w:r>
      <w:r w:rsidRPr="00807219">
        <w:t> Lai gan operatīvās darbības īstenotas ar tiesneša sankciju, to rezultātā iegūtās ziņas drīkst izmantot tikai pēc Kriminālprocesa likumā noteiktās pēcpārbaudes. Arī Satversmes tiesa atzinusi, ka šādas informācijas izmantošana bez pēcpārbaudes nav tiesiski pieļaujama. Pretējā gadījumā administratīvajā procesā tiktu piemērots zemāks pierādījumu pieļaujamības standarts nekā kriminālprocesā.</w:t>
      </w:r>
    </w:p>
    <w:p w14:paraId="35771ACE" w14:textId="44C36C62" w:rsidR="00326A0D" w:rsidRPr="00807219" w:rsidRDefault="00CB5D0D" w:rsidP="001F783F">
      <w:pPr>
        <w:spacing w:line="276" w:lineRule="auto"/>
        <w:ind w:firstLine="720"/>
        <w:jc w:val="both"/>
        <w:rPr>
          <w:rFonts w:asciiTheme="majorBidi" w:hAnsiTheme="majorBidi" w:cstheme="majorBidi"/>
        </w:rPr>
      </w:pPr>
      <w:r w:rsidRPr="00807219">
        <w:rPr>
          <w:rFonts w:asciiTheme="majorBidi" w:hAnsiTheme="majorBidi" w:cstheme="majorBidi"/>
        </w:rPr>
        <w:t>[7.2]</w:t>
      </w:r>
      <w:r w:rsidR="00FA00B3" w:rsidRPr="00807219">
        <w:rPr>
          <w:rFonts w:asciiTheme="majorBidi" w:hAnsiTheme="majorBidi" w:cstheme="majorBidi"/>
        </w:rPr>
        <w:t> </w:t>
      </w:r>
      <w:r w:rsidR="00326A0D" w:rsidRPr="00807219">
        <w:rPr>
          <w:rFonts w:asciiTheme="majorBidi" w:hAnsiTheme="majorBidi" w:cstheme="majorBidi"/>
        </w:rPr>
        <w:t xml:space="preserve">Tiesības uz privātās dzīves, personas datu un korespondences neaizskaramību šajā lietā attiecināmas uz fiziskajām personām, kuru sarunas noklausītas operatīvo darbību ietvaros un atspoguļotas atšifrējumos. Padome šos atšifrējumus ieguvusi prettiesiski, jo tas neatbilst personas datu aizsardzības </w:t>
      </w:r>
      <w:r w:rsidR="00326A0D" w:rsidRPr="0071318F">
        <w:rPr>
          <w:rFonts w:asciiTheme="majorBidi" w:hAnsiTheme="majorBidi" w:cstheme="majorBidi"/>
        </w:rPr>
        <w:t>normām. Tā kā atšifrējumi satur personas datus Vispārīgās datu aizsardzības regulas (</w:t>
      </w:r>
      <w:r w:rsidR="006F2243" w:rsidRPr="006F2243">
        <w:rPr>
          <w:rFonts w:asciiTheme="majorBidi" w:hAnsiTheme="majorBidi" w:cstheme="majorBidi"/>
        </w:rPr>
        <w:t>Eiropas Parlamenta un Padomes 2016.gada 27.aprī</w:t>
      </w:r>
      <w:r w:rsidR="006F2243">
        <w:rPr>
          <w:rFonts w:asciiTheme="majorBidi" w:hAnsiTheme="majorBidi" w:cstheme="majorBidi"/>
        </w:rPr>
        <w:t>ļa</w:t>
      </w:r>
      <w:r w:rsidR="006F2243" w:rsidRPr="006F2243">
        <w:rPr>
          <w:rFonts w:asciiTheme="majorBidi" w:hAnsiTheme="majorBidi" w:cstheme="majorBidi"/>
        </w:rPr>
        <w:t xml:space="preserve"> Regula (ES) </w:t>
      </w:r>
      <w:hyperlink r:id="rId8" w:history="1">
        <w:r w:rsidR="006F2243" w:rsidRPr="00A047D6">
          <w:rPr>
            <w:rStyle w:val="Hyperlink"/>
            <w:rFonts w:asciiTheme="majorBidi" w:hAnsiTheme="majorBidi" w:cstheme="majorBidi"/>
          </w:rPr>
          <w:t>2016/679</w:t>
        </w:r>
      </w:hyperlink>
      <w:r w:rsidR="006F2243" w:rsidRPr="006F2243">
        <w:rPr>
          <w:rFonts w:asciiTheme="majorBidi" w:hAnsiTheme="majorBidi" w:cstheme="majorBidi"/>
        </w:rPr>
        <w:t xml:space="preserve"> par fizisku personu aizsardzību attiecībā uz personas datu apstrādi un šādu datu brīvu apriti un ar ko atceļ Direktīvu 95/46/EK</w:t>
      </w:r>
      <w:r w:rsidR="006F2243">
        <w:rPr>
          <w:rFonts w:asciiTheme="majorBidi" w:hAnsiTheme="majorBidi" w:cstheme="majorBidi"/>
        </w:rPr>
        <w:t>,</w:t>
      </w:r>
      <w:r w:rsidR="006F2243" w:rsidRPr="006F2243">
        <w:rPr>
          <w:rFonts w:asciiTheme="majorBidi" w:hAnsiTheme="majorBidi" w:cstheme="majorBidi"/>
        </w:rPr>
        <w:t xml:space="preserve"> </w:t>
      </w:r>
      <w:r w:rsidR="00326A0D" w:rsidRPr="0071318F">
        <w:rPr>
          <w:rFonts w:asciiTheme="majorBidi" w:hAnsiTheme="majorBidi" w:cstheme="majorBidi"/>
        </w:rPr>
        <w:t>turpmāk – Datu regula) 4.panta 1.punkta izpratnē, tiesai saskaņā ar Administratīvā procesa likuma 60.panta otro</w:t>
      </w:r>
      <w:r w:rsidR="00326A0D" w:rsidRPr="00807219">
        <w:rPr>
          <w:rFonts w:asciiTheme="majorBidi" w:hAnsiTheme="majorBidi" w:cstheme="majorBidi"/>
        </w:rPr>
        <w:t xml:space="preserve"> daļu bija jāpārbauda datu apstrādes tiesiskums. Jebkura šādu datu apstrāde bija jāveic, ievērojot Datu regulas 5.pantā noteiktos principus. Tiesas atteikšanās vērtēt apstrādes nolūk</w:t>
      </w:r>
      <w:r w:rsidR="00462D4F" w:rsidRPr="00807219">
        <w:rPr>
          <w:rFonts w:asciiTheme="majorBidi" w:hAnsiTheme="majorBidi" w:cstheme="majorBidi"/>
        </w:rPr>
        <w:t>u</w:t>
      </w:r>
      <w:r w:rsidR="00326A0D" w:rsidRPr="00807219">
        <w:rPr>
          <w:rFonts w:asciiTheme="majorBidi" w:hAnsiTheme="majorBidi" w:cstheme="majorBidi"/>
        </w:rPr>
        <w:t xml:space="preserve"> saderību un procesuālās garantijas ir pretrunā Datu regulai, Konvencijas 8.pantam un Satversmes 96.pantam</w:t>
      </w:r>
      <w:r w:rsidR="00462D4F" w:rsidRPr="00807219">
        <w:rPr>
          <w:rFonts w:asciiTheme="majorBidi" w:hAnsiTheme="majorBidi" w:cstheme="majorBidi"/>
        </w:rPr>
        <w:t>.</w:t>
      </w:r>
    </w:p>
    <w:bookmarkEnd w:id="3"/>
    <w:p w14:paraId="2EF32951" w14:textId="203DDC01" w:rsidR="00462D4F" w:rsidRPr="00807219" w:rsidRDefault="000C032D" w:rsidP="001F783F">
      <w:pPr>
        <w:spacing w:line="276" w:lineRule="auto"/>
        <w:ind w:firstLine="720"/>
        <w:jc w:val="both"/>
        <w:rPr>
          <w:rFonts w:asciiTheme="majorBidi" w:hAnsiTheme="majorBidi" w:cstheme="majorBidi"/>
          <w:bCs/>
        </w:rPr>
      </w:pPr>
      <w:r w:rsidRPr="00807219">
        <w:rPr>
          <w:rFonts w:asciiTheme="majorBidi" w:hAnsiTheme="majorBidi" w:cstheme="majorBidi"/>
        </w:rPr>
        <w:t>[</w:t>
      </w:r>
      <w:r w:rsidR="00CB5D0D" w:rsidRPr="00807219">
        <w:rPr>
          <w:rFonts w:asciiTheme="majorBidi" w:hAnsiTheme="majorBidi" w:cstheme="majorBidi"/>
        </w:rPr>
        <w:t>7</w:t>
      </w:r>
      <w:r w:rsidRPr="00807219">
        <w:rPr>
          <w:rFonts w:asciiTheme="majorBidi" w:hAnsiTheme="majorBidi" w:cstheme="majorBidi"/>
        </w:rPr>
        <w:t>.3]</w:t>
      </w:r>
      <w:r w:rsidR="001359E6" w:rsidRPr="00807219">
        <w:rPr>
          <w:rFonts w:asciiTheme="majorBidi" w:hAnsiTheme="majorBidi" w:cstheme="majorBidi"/>
        </w:rPr>
        <w:t> </w:t>
      </w:r>
      <w:r w:rsidR="00462D4F" w:rsidRPr="00807219">
        <w:rPr>
          <w:rFonts w:asciiTheme="majorBidi" w:hAnsiTheme="majorBidi" w:cstheme="majorBidi"/>
          <w:bCs/>
        </w:rPr>
        <w:t xml:space="preserve">Tiesa, </w:t>
      </w:r>
      <w:r w:rsidR="001359E6" w:rsidRPr="00807219">
        <w:rPr>
          <w:rFonts w:asciiTheme="majorBidi" w:hAnsiTheme="majorBidi" w:cstheme="majorBidi"/>
          <w:bCs/>
        </w:rPr>
        <w:t xml:space="preserve">kļūdaini </w:t>
      </w:r>
      <w:r w:rsidR="00462D4F" w:rsidRPr="00807219">
        <w:rPr>
          <w:rFonts w:asciiTheme="majorBidi" w:hAnsiTheme="majorBidi" w:cstheme="majorBidi"/>
          <w:bCs/>
        </w:rPr>
        <w:t>interpretējot Konkurences likuma 11.panta pirmo daļu un LESD 101.pantu, ir</w:t>
      </w:r>
      <w:r w:rsidR="001359E6" w:rsidRPr="00807219">
        <w:rPr>
          <w:rFonts w:asciiTheme="majorBidi" w:hAnsiTheme="majorBidi" w:cstheme="majorBidi"/>
          <w:bCs/>
        </w:rPr>
        <w:t xml:space="preserve"> </w:t>
      </w:r>
      <w:r w:rsidR="0012729E">
        <w:rPr>
          <w:rFonts w:asciiTheme="majorBidi" w:hAnsiTheme="majorBidi" w:cstheme="majorBidi"/>
          <w:bCs/>
        </w:rPr>
        <w:t xml:space="preserve">arī kļūdaini </w:t>
      </w:r>
      <w:r w:rsidR="00462D4F" w:rsidRPr="00807219">
        <w:rPr>
          <w:rFonts w:asciiTheme="majorBidi" w:hAnsiTheme="majorBidi" w:cstheme="majorBidi"/>
          <w:bCs/>
        </w:rPr>
        <w:t>noteikusi aizliegtas vienošanās tiesisko ietvaru</w:t>
      </w:r>
      <w:r w:rsidR="001359E6" w:rsidRPr="00807219">
        <w:rPr>
          <w:rFonts w:asciiTheme="majorBidi" w:hAnsiTheme="majorBidi" w:cstheme="majorBidi"/>
          <w:bCs/>
        </w:rPr>
        <w:t xml:space="preserve">. Tas likumsakarīgi ir novedis pie nepilnīgi īstenotas faktu pārbaudes par tā dēvēto „vēsturisko vienošanos”, </w:t>
      </w:r>
      <w:r w:rsidR="00462D4F" w:rsidRPr="00807219">
        <w:rPr>
          <w:rFonts w:asciiTheme="majorBidi" w:hAnsiTheme="majorBidi" w:cstheme="majorBidi"/>
          <w:bCs/>
        </w:rPr>
        <w:t xml:space="preserve">kuru </w:t>
      </w:r>
      <w:r w:rsidR="006F2243">
        <w:rPr>
          <w:rFonts w:asciiTheme="majorBidi" w:hAnsiTheme="majorBidi" w:cstheme="majorBidi"/>
          <w:bCs/>
        </w:rPr>
        <w:t>Konkurences p</w:t>
      </w:r>
      <w:r w:rsidR="006F2243" w:rsidRPr="00807219">
        <w:rPr>
          <w:rFonts w:asciiTheme="majorBidi" w:hAnsiTheme="majorBidi" w:cstheme="majorBidi"/>
          <w:bCs/>
        </w:rPr>
        <w:t xml:space="preserve">adome </w:t>
      </w:r>
      <w:r w:rsidR="00462D4F" w:rsidRPr="00807219">
        <w:rPr>
          <w:rFonts w:asciiTheme="majorBidi" w:hAnsiTheme="majorBidi" w:cstheme="majorBidi"/>
          <w:bCs/>
        </w:rPr>
        <w:t>kļūdaini uzskatījusi par pastāvošu no 2011.gada 13.jūnija līdz 2013.gada 8.janvārim. Tiesa nepamatoti balstījusi secinājumus par „vēsturiskās vienošanās” esību un pieteicējas dalību tajā uz sarunu atšifrējumiem, kur</w:t>
      </w:r>
      <w:r w:rsidR="001359E6" w:rsidRPr="00807219">
        <w:rPr>
          <w:rFonts w:asciiTheme="majorBidi" w:hAnsiTheme="majorBidi" w:cstheme="majorBidi"/>
          <w:bCs/>
        </w:rPr>
        <w:t>os</w:t>
      </w:r>
      <w:r w:rsidR="00462D4F" w:rsidRPr="00807219">
        <w:rPr>
          <w:rFonts w:asciiTheme="majorBidi" w:hAnsiTheme="majorBidi" w:cstheme="majorBidi"/>
          <w:bCs/>
        </w:rPr>
        <w:t xml:space="preserve"> pagātnes formā minēti būvdarbi kultūras pilī „Ziemeļblāzma”, lai gan lietā ir </w:t>
      </w:r>
      <w:r w:rsidR="0012729E">
        <w:rPr>
          <w:rFonts w:asciiTheme="majorBidi" w:hAnsiTheme="majorBidi" w:cstheme="majorBidi"/>
          <w:bCs/>
        </w:rPr>
        <w:t>cits</w:t>
      </w:r>
      <w:r w:rsidR="00462D4F" w:rsidRPr="00807219">
        <w:rPr>
          <w:rFonts w:asciiTheme="majorBidi" w:hAnsiTheme="majorBidi" w:cstheme="majorBidi"/>
          <w:bCs/>
        </w:rPr>
        <w:t xml:space="preserve"> atšifrējums, kur šis objekts nav minēts. Turklāt sprieduma 81.punktā tiesas citētie pieteicējas pārstāvj</w:t>
      </w:r>
      <w:r w:rsidR="0071318F">
        <w:rPr>
          <w:rFonts w:asciiTheme="majorBidi" w:hAnsiTheme="majorBidi" w:cstheme="majorBidi"/>
          <w:bCs/>
        </w:rPr>
        <w:t xml:space="preserve">a </w:t>
      </w:r>
      <w:r w:rsidR="008961C1">
        <w:rPr>
          <w:rFonts w:asciiTheme="majorBidi" w:hAnsiTheme="majorBidi" w:cstheme="majorBidi"/>
          <w:bCs/>
        </w:rPr>
        <w:t xml:space="preserve">[pers. A] </w:t>
      </w:r>
      <w:r w:rsidR="0071318F">
        <w:rPr>
          <w:rFonts w:asciiTheme="majorBidi" w:hAnsiTheme="majorBidi" w:cstheme="majorBidi"/>
          <w:bCs/>
        </w:rPr>
        <w:t>it kā</w:t>
      </w:r>
      <w:r w:rsidR="0071318F" w:rsidRPr="00807219">
        <w:rPr>
          <w:rFonts w:asciiTheme="majorBidi" w:hAnsiTheme="majorBidi" w:cstheme="majorBidi"/>
          <w:bCs/>
        </w:rPr>
        <w:t xml:space="preserve"> </w:t>
      </w:r>
      <w:r w:rsidR="00462D4F" w:rsidRPr="00807219">
        <w:rPr>
          <w:rFonts w:asciiTheme="majorBidi" w:hAnsiTheme="majorBidi" w:cstheme="majorBidi"/>
          <w:bCs/>
        </w:rPr>
        <w:t xml:space="preserve">izteikumi </w:t>
      </w:r>
      <w:r w:rsidR="00462D4F" w:rsidRPr="0071318F">
        <w:rPr>
          <w:rFonts w:asciiTheme="majorBidi" w:hAnsiTheme="majorBidi" w:cstheme="majorBidi"/>
          <w:bCs/>
        </w:rPr>
        <w:t>apliecina, ka iepriekš nav bijušas nekādas sarunas vai sadarbība ar diviem citiem tirgus dalībniekiem, kas</w:t>
      </w:r>
      <w:r w:rsidR="00462D4F" w:rsidRPr="00807219">
        <w:rPr>
          <w:rFonts w:asciiTheme="majorBidi" w:hAnsiTheme="majorBidi" w:cstheme="majorBidi"/>
          <w:bCs/>
        </w:rPr>
        <w:t xml:space="preserve"> izslēdz secinājumu par </w:t>
      </w:r>
      <w:r w:rsidR="001359E6" w:rsidRPr="00807219">
        <w:rPr>
          <w:rFonts w:asciiTheme="majorBidi" w:hAnsiTheme="majorBidi" w:cstheme="majorBidi"/>
          <w:bCs/>
        </w:rPr>
        <w:t>„v</w:t>
      </w:r>
      <w:r w:rsidR="00462D4F" w:rsidRPr="00807219">
        <w:rPr>
          <w:rFonts w:asciiTheme="majorBidi" w:hAnsiTheme="majorBidi" w:cstheme="majorBidi"/>
          <w:bCs/>
        </w:rPr>
        <w:t>ēsturiskās vienošanās</w:t>
      </w:r>
      <w:r w:rsidR="001359E6" w:rsidRPr="00807219">
        <w:rPr>
          <w:rFonts w:asciiTheme="majorBidi" w:hAnsiTheme="majorBidi" w:cstheme="majorBidi"/>
          <w:bCs/>
        </w:rPr>
        <w:t>”</w:t>
      </w:r>
      <w:r w:rsidR="00462D4F" w:rsidRPr="00807219">
        <w:rPr>
          <w:rFonts w:asciiTheme="majorBidi" w:hAnsiTheme="majorBidi" w:cstheme="majorBidi"/>
          <w:bCs/>
        </w:rPr>
        <w:t xml:space="preserve"> esību. Tādējādi, balstot spriedumu uz selektīviem un pretrunīgiem pierādījumiem, tiesa ir pārkāpusi Administratīvā procesa likuma 154.panta pirmo un trešo daļu</w:t>
      </w:r>
      <w:r w:rsidR="001359E6" w:rsidRPr="00807219">
        <w:rPr>
          <w:rFonts w:asciiTheme="majorBidi" w:hAnsiTheme="majorBidi" w:cstheme="majorBidi"/>
          <w:bCs/>
        </w:rPr>
        <w:t>.</w:t>
      </w:r>
    </w:p>
    <w:p w14:paraId="66581A6E" w14:textId="21D0AAD5" w:rsidR="005E2F9D" w:rsidRPr="00807219" w:rsidRDefault="005E2F9D" w:rsidP="001F783F">
      <w:pPr>
        <w:spacing w:line="276" w:lineRule="auto"/>
        <w:ind w:firstLine="720"/>
        <w:jc w:val="both"/>
        <w:rPr>
          <w:rFonts w:asciiTheme="majorBidi" w:hAnsiTheme="majorBidi" w:cstheme="majorBidi"/>
          <w:bCs/>
        </w:rPr>
      </w:pPr>
      <w:r w:rsidRPr="00807219">
        <w:rPr>
          <w:rFonts w:asciiTheme="majorBidi" w:hAnsiTheme="majorBidi" w:cstheme="majorBidi"/>
          <w:bCs/>
        </w:rPr>
        <w:t>[</w:t>
      </w:r>
      <w:r w:rsidR="00CB5D0D" w:rsidRPr="00807219">
        <w:rPr>
          <w:rFonts w:asciiTheme="majorBidi" w:hAnsiTheme="majorBidi" w:cstheme="majorBidi"/>
          <w:bCs/>
        </w:rPr>
        <w:t>7</w:t>
      </w:r>
      <w:r w:rsidRPr="00807219">
        <w:rPr>
          <w:rFonts w:asciiTheme="majorBidi" w:hAnsiTheme="majorBidi" w:cstheme="majorBidi"/>
          <w:bCs/>
        </w:rPr>
        <w:t>.4]</w:t>
      </w:r>
      <w:r w:rsidR="00FA00B3" w:rsidRPr="00807219">
        <w:rPr>
          <w:rFonts w:asciiTheme="majorBidi" w:hAnsiTheme="majorBidi" w:cstheme="majorBidi"/>
          <w:bCs/>
        </w:rPr>
        <w:t> </w:t>
      </w:r>
      <w:r w:rsidR="00E21A55" w:rsidRPr="00807219">
        <w:rPr>
          <w:rFonts w:asciiTheme="majorBidi" w:hAnsiTheme="majorBidi" w:cstheme="majorBidi"/>
          <w:bCs/>
        </w:rPr>
        <w:t xml:space="preserve">Pat ja </w:t>
      </w:r>
      <w:r w:rsidR="00566EE3" w:rsidRPr="00807219">
        <w:rPr>
          <w:rFonts w:asciiTheme="majorBidi" w:hAnsiTheme="majorBidi" w:cstheme="majorBidi"/>
          <w:bCs/>
        </w:rPr>
        <w:t xml:space="preserve">būtu konstatējama </w:t>
      </w:r>
      <w:r w:rsidR="001359E6" w:rsidRPr="00807219">
        <w:rPr>
          <w:rFonts w:asciiTheme="majorBidi" w:hAnsiTheme="majorBidi" w:cstheme="majorBidi"/>
          <w:bCs/>
        </w:rPr>
        <w:t>„v</w:t>
      </w:r>
      <w:r w:rsidR="00E21A55" w:rsidRPr="00807219">
        <w:rPr>
          <w:rFonts w:asciiTheme="majorBidi" w:hAnsiTheme="majorBidi" w:cstheme="majorBidi"/>
          <w:bCs/>
        </w:rPr>
        <w:t>ēsturiskās vienošanās</w:t>
      </w:r>
      <w:r w:rsidR="001359E6" w:rsidRPr="00807219">
        <w:rPr>
          <w:rFonts w:asciiTheme="majorBidi" w:hAnsiTheme="majorBidi" w:cstheme="majorBidi"/>
          <w:bCs/>
        </w:rPr>
        <w:t>”</w:t>
      </w:r>
      <w:r w:rsidR="00E21A55" w:rsidRPr="00807219">
        <w:rPr>
          <w:rFonts w:asciiTheme="majorBidi" w:hAnsiTheme="majorBidi" w:cstheme="majorBidi"/>
          <w:bCs/>
        </w:rPr>
        <w:t xml:space="preserve"> esība un </w:t>
      </w:r>
      <w:r w:rsidR="00566EE3" w:rsidRPr="00807219">
        <w:rPr>
          <w:rFonts w:asciiTheme="majorBidi" w:hAnsiTheme="majorBidi" w:cstheme="majorBidi"/>
          <w:bCs/>
        </w:rPr>
        <w:t>p</w:t>
      </w:r>
      <w:r w:rsidR="00E21A55" w:rsidRPr="00807219">
        <w:rPr>
          <w:rFonts w:asciiTheme="majorBidi" w:hAnsiTheme="majorBidi" w:cstheme="majorBidi"/>
          <w:bCs/>
        </w:rPr>
        <w:t xml:space="preserve">ieteicējas dalība tajā, </w:t>
      </w:r>
      <w:r w:rsidR="00566EE3" w:rsidRPr="00807219">
        <w:rPr>
          <w:rFonts w:asciiTheme="majorBidi" w:hAnsiTheme="majorBidi" w:cstheme="majorBidi"/>
          <w:bCs/>
        </w:rPr>
        <w:t>t</w:t>
      </w:r>
      <w:r w:rsidR="00E21A55" w:rsidRPr="00807219">
        <w:rPr>
          <w:rFonts w:asciiTheme="majorBidi" w:hAnsiTheme="majorBidi" w:cstheme="majorBidi"/>
          <w:bCs/>
        </w:rPr>
        <w:t>iesa</w:t>
      </w:r>
      <w:r w:rsidR="00E460F3">
        <w:rPr>
          <w:rFonts w:asciiTheme="majorBidi" w:hAnsiTheme="majorBidi" w:cstheme="majorBidi"/>
          <w:bCs/>
        </w:rPr>
        <w:t xml:space="preserve"> </w:t>
      </w:r>
      <w:r w:rsidR="00E21A55" w:rsidRPr="00807219">
        <w:rPr>
          <w:rFonts w:asciiTheme="majorBidi" w:hAnsiTheme="majorBidi" w:cstheme="majorBidi"/>
          <w:bCs/>
        </w:rPr>
        <w:t xml:space="preserve">ir pārkāpusi LESD 101.pantu arī </w:t>
      </w:r>
      <w:r w:rsidR="00E460F3">
        <w:rPr>
          <w:rFonts w:asciiTheme="majorBidi" w:hAnsiTheme="majorBidi" w:cstheme="majorBidi"/>
          <w:bCs/>
        </w:rPr>
        <w:t>tādējādi</w:t>
      </w:r>
      <w:r w:rsidR="00E21A55" w:rsidRPr="00807219">
        <w:rPr>
          <w:rFonts w:asciiTheme="majorBidi" w:hAnsiTheme="majorBidi" w:cstheme="majorBidi"/>
          <w:bCs/>
        </w:rPr>
        <w:t>, ka kvalificēj</w:t>
      </w:r>
      <w:r w:rsidR="00E460F3">
        <w:rPr>
          <w:rFonts w:asciiTheme="majorBidi" w:hAnsiTheme="majorBidi" w:cstheme="majorBidi"/>
          <w:bCs/>
        </w:rPr>
        <w:t>usi</w:t>
      </w:r>
      <w:r w:rsidR="00E21A55" w:rsidRPr="00807219">
        <w:rPr>
          <w:rFonts w:asciiTheme="majorBidi" w:hAnsiTheme="majorBidi" w:cstheme="majorBidi"/>
          <w:bCs/>
        </w:rPr>
        <w:t xml:space="preserve"> </w:t>
      </w:r>
      <w:r w:rsidR="001359E6" w:rsidRPr="00807219">
        <w:rPr>
          <w:rFonts w:asciiTheme="majorBidi" w:hAnsiTheme="majorBidi" w:cstheme="majorBidi"/>
          <w:bCs/>
        </w:rPr>
        <w:t>„v</w:t>
      </w:r>
      <w:r w:rsidR="00E21A55" w:rsidRPr="00807219">
        <w:rPr>
          <w:rFonts w:asciiTheme="majorBidi" w:hAnsiTheme="majorBidi" w:cstheme="majorBidi"/>
          <w:bCs/>
        </w:rPr>
        <w:t>ēsturisko vienošanos</w:t>
      </w:r>
      <w:r w:rsidR="001359E6" w:rsidRPr="00807219">
        <w:rPr>
          <w:rFonts w:asciiTheme="majorBidi" w:hAnsiTheme="majorBidi" w:cstheme="majorBidi"/>
          <w:bCs/>
        </w:rPr>
        <w:t>”</w:t>
      </w:r>
      <w:r w:rsidR="00E21A55" w:rsidRPr="00807219">
        <w:rPr>
          <w:rFonts w:asciiTheme="majorBidi" w:hAnsiTheme="majorBidi" w:cstheme="majorBidi"/>
          <w:bCs/>
        </w:rPr>
        <w:t xml:space="preserve"> un vienošanos, kas </w:t>
      </w:r>
      <w:r w:rsidR="001359E6" w:rsidRPr="00807219">
        <w:rPr>
          <w:rFonts w:asciiTheme="majorBidi" w:hAnsiTheme="majorBidi" w:cstheme="majorBidi"/>
          <w:bCs/>
        </w:rPr>
        <w:t xml:space="preserve">it kā </w:t>
      </w:r>
      <w:r w:rsidR="00E460F3" w:rsidRPr="00807219">
        <w:rPr>
          <w:rFonts w:asciiTheme="majorBidi" w:hAnsiTheme="majorBidi" w:cstheme="majorBidi"/>
          <w:bCs/>
        </w:rPr>
        <w:t xml:space="preserve">esot </w:t>
      </w:r>
      <w:r w:rsidR="00E21A55" w:rsidRPr="00807219">
        <w:rPr>
          <w:rFonts w:asciiTheme="majorBidi" w:hAnsiTheme="majorBidi" w:cstheme="majorBidi"/>
          <w:bCs/>
        </w:rPr>
        <w:t>pastāvējusi kopš 2015.gada, kā vienotu un turpinātu pārkāpumu.</w:t>
      </w:r>
    </w:p>
    <w:p w14:paraId="7EC8DA2A" w14:textId="3B844123" w:rsidR="001359E6" w:rsidRPr="00807219" w:rsidRDefault="00E07D50" w:rsidP="001F783F">
      <w:pPr>
        <w:spacing w:line="276" w:lineRule="auto"/>
        <w:ind w:firstLine="720"/>
        <w:jc w:val="both"/>
        <w:rPr>
          <w:rFonts w:asciiTheme="majorBidi" w:hAnsiTheme="majorBidi" w:cstheme="majorBidi"/>
          <w:bCs/>
        </w:rPr>
      </w:pPr>
      <w:r w:rsidRPr="00807219">
        <w:rPr>
          <w:rFonts w:asciiTheme="majorBidi" w:hAnsiTheme="majorBidi" w:cstheme="majorBidi"/>
          <w:bCs/>
        </w:rPr>
        <w:t>[</w:t>
      </w:r>
      <w:r w:rsidR="00CB5D0D" w:rsidRPr="00807219">
        <w:rPr>
          <w:rFonts w:asciiTheme="majorBidi" w:hAnsiTheme="majorBidi" w:cstheme="majorBidi"/>
          <w:bCs/>
        </w:rPr>
        <w:t>7</w:t>
      </w:r>
      <w:r w:rsidRPr="00807219">
        <w:rPr>
          <w:rFonts w:asciiTheme="majorBidi" w:hAnsiTheme="majorBidi" w:cstheme="majorBidi"/>
          <w:bCs/>
        </w:rPr>
        <w:t>.5]</w:t>
      </w:r>
      <w:r w:rsidR="00FA00B3" w:rsidRPr="00807219">
        <w:rPr>
          <w:rFonts w:asciiTheme="majorBidi" w:hAnsiTheme="majorBidi" w:cstheme="majorBidi"/>
          <w:bCs/>
        </w:rPr>
        <w:t> </w:t>
      </w:r>
      <w:r w:rsidR="001359E6" w:rsidRPr="00807219">
        <w:rPr>
          <w:rFonts w:asciiTheme="majorBidi" w:hAnsiTheme="majorBidi" w:cstheme="majorBidi"/>
          <w:bCs/>
        </w:rPr>
        <w:t>Ties</w:t>
      </w:r>
      <w:r w:rsidR="00E460F3">
        <w:rPr>
          <w:rFonts w:asciiTheme="majorBidi" w:hAnsiTheme="majorBidi" w:cstheme="majorBidi"/>
          <w:bCs/>
        </w:rPr>
        <w:t>a</w:t>
      </w:r>
      <w:r w:rsidR="001359E6" w:rsidRPr="00807219">
        <w:rPr>
          <w:rFonts w:asciiTheme="majorBidi" w:hAnsiTheme="majorBidi" w:cstheme="majorBidi"/>
          <w:bCs/>
        </w:rPr>
        <w:t xml:space="preserve">, neanalizējot tirgus definīciju un ietekmi uz Eiropas Savienības tirdzniecību, </w:t>
      </w:r>
      <w:r w:rsidR="00E460F3">
        <w:rPr>
          <w:rFonts w:asciiTheme="majorBidi" w:hAnsiTheme="majorBidi" w:cstheme="majorBidi"/>
          <w:bCs/>
        </w:rPr>
        <w:t xml:space="preserve">ir </w:t>
      </w:r>
      <w:r w:rsidR="001359E6" w:rsidRPr="00807219">
        <w:rPr>
          <w:rFonts w:asciiTheme="majorBidi" w:hAnsiTheme="majorBidi" w:cstheme="majorBidi"/>
          <w:bCs/>
        </w:rPr>
        <w:t>nepamatoti piemēroj</w:t>
      </w:r>
      <w:r w:rsidR="00E460F3">
        <w:rPr>
          <w:rFonts w:asciiTheme="majorBidi" w:hAnsiTheme="majorBidi" w:cstheme="majorBidi"/>
          <w:bCs/>
        </w:rPr>
        <w:t>usi</w:t>
      </w:r>
      <w:r w:rsidR="001359E6" w:rsidRPr="00807219">
        <w:rPr>
          <w:rFonts w:asciiTheme="majorBidi" w:hAnsiTheme="majorBidi" w:cstheme="majorBidi"/>
          <w:bCs/>
        </w:rPr>
        <w:t xml:space="preserve"> LESD 101.pantu. Pirmkārt, </w:t>
      </w:r>
      <w:r w:rsidR="006F2243">
        <w:rPr>
          <w:rFonts w:asciiTheme="majorBidi" w:hAnsiTheme="majorBidi" w:cstheme="majorBidi"/>
          <w:bCs/>
        </w:rPr>
        <w:t>Konkurences p</w:t>
      </w:r>
      <w:r w:rsidR="006F2243" w:rsidRPr="00807219">
        <w:rPr>
          <w:rFonts w:asciiTheme="majorBidi" w:hAnsiTheme="majorBidi" w:cstheme="majorBidi"/>
          <w:bCs/>
        </w:rPr>
        <w:t xml:space="preserve">adome </w:t>
      </w:r>
      <w:r w:rsidR="001359E6" w:rsidRPr="00807219">
        <w:rPr>
          <w:rFonts w:asciiTheme="majorBidi" w:hAnsiTheme="majorBidi" w:cstheme="majorBidi"/>
          <w:bCs/>
        </w:rPr>
        <w:t xml:space="preserve">un tiesa </w:t>
      </w:r>
      <w:r w:rsidR="00E460F3">
        <w:rPr>
          <w:rFonts w:asciiTheme="majorBidi" w:hAnsiTheme="majorBidi" w:cstheme="majorBidi"/>
          <w:bCs/>
        </w:rPr>
        <w:t xml:space="preserve">ir </w:t>
      </w:r>
      <w:r w:rsidR="001359E6" w:rsidRPr="00807219">
        <w:rPr>
          <w:rFonts w:asciiTheme="majorBidi" w:hAnsiTheme="majorBidi" w:cstheme="majorBidi"/>
          <w:bCs/>
        </w:rPr>
        <w:t>kļūdaini noteikušas tirgu kā visu būvniecības nozari Latvijā, neņemot vērā pakalpojumu atšķirības. Atšķirīgie iepirkumi nav savstarpēji aizvietojami</w:t>
      </w:r>
      <w:r w:rsidR="00FE6003" w:rsidRPr="00807219">
        <w:rPr>
          <w:rFonts w:asciiTheme="majorBidi" w:hAnsiTheme="majorBidi" w:cstheme="majorBidi"/>
          <w:bCs/>
        </w:rPr>
        <w:t>. Šāda</w:t>
      </w:r>
      <w:r w:rsidR="001359E6" w:rsidRPr="00807219">
        <w:rPr>
          <w:rFonts w:asciiTheme="majorBidi" w:hAnsiTheme="majorBidi" w:cstheme="majorBidi"/>
          <w:bCs/>
        </w:rPr>
        <w:t xml:space="preserve"> analīze tiesā netika veikta. Otrkārt, nav pierādīts, ka </w:t>
      </w:r>
      <w:r w:rsidR="00E460F3">
        <w:rPr>
          <w:rFonts w:asciiTheme="majorBidi" w:hAnsiTheme="majorBidi" w:cstheme="majorBidi"/>
          <w:bCs/>
        </w:rPr>
        <w:t>iespējamā</w:t>
      </w:r>
      <w:r w:rsidR="001359E6" w:rsidRPr="00807219">
        <w:rPr>
          <w:rFonts w:asciiTheme="majorBidi" w:hAnsiTheme="majorBidi" w:cstheme="majorBidi"/>
          <w:bCs/>
        </w:rPr>
        <w:t xml:space="preserve"> vienošanās ietekmē</w:t>
      </w:r>
      <w:r w:rsidR="00FE6003" w:rsidRPr="00807219">
        <w:rPr>
          <w:rFonts w:asciiTheme="majorBidi" w:hAnsiTheme="majorBidi" w:cstheme="majorBidi"/>
          <w:bCs/>
        </w:rPr>
        <w:t>tu</w:t>
      </w:r>
      <w:r w:rsidR="001359E6" w:rsidRPr="00807219">
        <w:rPr>
          <w:rFonts w:asciiTheme="majorBidi" w:hAnsiTheme="majorBidi" w:cstheme="majorBidi"/>
          <w:bCs/>
        </w:rPr>
        <w:t xml:space="preserve"> tirdzniecību starp dalībvalstīm, kā to prasa LESD 101.pants.</w:t>
      </w:r>
      <w:r w:rsidR="00FE6003" w:rsidRPr="00807219">
        <w:rPr>
          <w:rFonts w:asciiTheme="majorBidi" w:hAnsiTheme="majorBidi" w:cstheme="majorBidi"/>
          <w:bCs/>
        </w:rPr>
        <w:t xml:space="preserve"> </w:t>
      </w:r>
      <w:r w:rsidR="001359E6" w:rsidRPr="00807219">
        <w:rPr>
          <w:rFonts w:asciiTheme="majorBidi" w:hAnsiTheme="majorBidi" w:cstheme="majorBidi"/>
          <w:bCs/>
        </w:rPr>
        <w:t>Eiropas Komisijas vadlīnijas piemērotas kļūdaini,</w:t>
      </w:r>
      <w:r w:rsidR="00FE6003" w:rsidRPr="00807219">
        <w:rPr>
          <w:rFonts w:asciiTheme="majorBidi" w:hAnsiTheme="majorBidi" w:cstheme="majorBidi"/>
          <w:bCs/>
        </w:rPr>
        <w:t xml:space="preserve"> jo</w:t>
      </w:r>
      <w:r w:rsidR="001359E6" w:rsidRPr="00807219">
        <w:rPr>
          <w:rFonts w:asciiTheme="majorBidi" w:hAnsiTheme="majorBidi" w:cstheme="majorBidi"/>
          <w:bCs/>
        </w:rPr>
        <w:t xml:space="preserve"> „ievērojamības” kritērijs balstīts uz nepareiz</w:t>
      </w:r>
      <w:r w:rsidR="00FE6003" w:rsidRPr="00807219">
        <w:rPr>
          <w:rFonts w:asciiTheme="majorBidi" w:hAnsiTheme="majorBidi" w:cstheme="majorBidi"/>
          <w:bCs/>
        </w:rPr>
        <w:t>i noteiktu</w:t>
      </w:r>
      <w:r w:rsidR="001359E6" w:rsidRPr="00807219">
        <w:rPr>
          <w:rFonts w:asciiTheme="majorBidi" w:hAnsiTheme="majorBidi" w:cstheme="majorBidi"/>
          <w:bCs/>
        </w:rPr>
        <w:t xml:space="preserve"> tirgus apjomu, kas mākslīgi palielina </w:t>
      </w:r>
      <w:r w:rsidR="00FE6003" w:rsidRPr="00807219">
        <w:rPr>
          <w:rFonts w:asciiTheme="majorBidi" w:hAnsiTheme="majorBidi" w:cstheme="majorBidi"/>
          <w:bCs/>
        </w:rPr>
        <w:t xml:space="preserve">attiecīgo </w:t>
      </w:r>
      <w:r w:rsidR="001359E6" w:rsidRPr="00807219">
        <w:rPr>
          <w:rFonts w:asciiTheme="majorBidi" w:hAnsiTheme="majorBidi" w:cstheme="majorBidi"/>
          <w:bCs/>
        </w:rPr>
        <w:t>tirgus daļu. Ja iepirkumi tiktu vērtēti atsevišķi, LESD 101.pants nebūtu piemērojams.</w:t>
      </w:r>
    </w:p>
    <w:p w14:paraId="5115D3F8" w14:textId="47A9D409" w:rsidR="00FE6003" w:rsidRPr="00807219" w:rsidRDefault="006545B4" w:rsidP="001F783F">
      <w:pPr>
        <w:spacing w:line="276" w:lineRule="auto"/>
        <w:ind w:firstLine="720"/>
        <w:jc w:val="both"/>
      </w:pPr>
      <w:r w:rsidRPr="00807219">
        <w:rPr>
          <w:rFonts w:asciiTheme="majorBidi" w:hAnsiTheme="majorBidi" w:cstheme="majorBidi"/>
          <w:bCs/>
        </w:rPr>
        <w:t>[</w:t>
      </w:r>
      <w:r w:rsidR="00CB5D0D" w:rsidRPr="00807219">
        <w:rPr>
          <w:rFonts w:asciiTheme="majorBidi" w:hAnsiTheme="majorBidi" w:cstheme="majorBidi"/>
          <w:bCs/>
        </w:rPr>
        <w:t>7</w:t>
      </w:r>
      <w:r w:rsidRPr="00807219">
        <w:rPr>
          <w:rFonts w:asciiTheme="majorBidi" w:hAnsiTheme="majorBidi" w:cstheme="majorBidi"/>
          <w:bCs/>
        </w:rPr>
        <w:t>.6]</w:t>
      </w:r>
      <w:r w:rsidR="003E3B08" w:rsidRPr="00807219">
        <w:rPr>
          <w:rFonts w:asciiTheme="majorBidi" w:hAnsiTheme="majorBidi" w:cstheme="majorBidi"/>
          <w:bCs/>
        </w:rPr>
        <w:t> </w:t>
      </w:r>
      <w:r w:rsidR="00FE6003" w:rsidRPr="00807219">
        <w:t xml:space="preserve">Tiesa ir pārkāpusi Administratīvā procesa likuma 251.panta piekto daļu, nevērtējot pieteicējas iebildumus par solidāras atbildības noteikšanu </w:t>
      </w:r>
      <w:r w:rsidR="00FE6003" w:rsidRPr="00807219">
        <w:rPr>
          <w:rFonts w:asciiTheme="majorBidi" w:hAnsiTheme="majorBidi" w:cstheme="majorBidi"/>
          <w:bCs/>
          <w:i/>
          <w:iCs/>
        </w:rPr>
        <w:t>GRF</w:t>
      </w:r>
      <w:r w:rsidR="00FE6003" w:rsidRPr="00807219">
        <w:rPr>
          <w:rFonts w:asciiTheme="majorBidi" w:hAnsiTheme="majorBidi" w:cstheme="majorBidi"/>
          <w:bCs/>
        </w:rPr>
        <w:t xml:space="preserve"> </w:t>
      </w:r>
      <w:r w:rsidR="00FE6003" w:rsidRPr="00807219">
        <w:t xml:space="preserve">kopā ar pieteicēju. Tiesa analizējusi tikai </w:t>
      </w:r>
      <w:r w:rsidR="00FE6003" w:rsidRPr="00807219">
        <w:rPr>
          <w:i/>
          <w:iCs/>
        </w:rPr>
        <w:t>LEC</w:t>
      </w:r>
      <w:r w:rsidR="00FE6003" w:rsidRPr="00807219">
        <w:t xml:space="preserve"> iebildumus, bet pieteicējas norādījum</w:t>
      </w:r>
      <w:r w:rsidR="009E0D83" w:rsidRPr="00807219">
        <w:t>us</w:t>
      </w:r>
      <w:r w:rsidR="00FE6003" w:rsidRPr="00807219">
        <w:t xml:space="preserve"> nav izvērtē</w:t>
      </w:r>
      <w:r w:rsidR="009E0D83" w:rsidRPr="00807219">
        <w:t>jusi</w:t>
      </w:r>
      <w:r w:rsidR="00FE6003" w:rsidRPr="00807219">
        <w:t>. No Konkurences likuma 1.panta 9.punkta un 12.panta pirmās daļas izriet, ka solidāra atbildība nevar tikt noteikta automātiski tādēļ</w:t>
      </w:r>
      <w:r w:rsidR="006F2243" w:rsidRPr="006F2243">
        <w:t xml:space="preserve"> </w:t>
      </w:r>
      <w:r w:rsidR="006F2243" w:rsidRPr="00807219">
        <w:t>vien</w:t>
      </w:r>
      <w:r w:rsidR="00FE6003" w:rsidRPr="00807219">
        <w:t xml:space="preserve">, ka juridiskās personas saista korporatīvās saites vai izšķiroša ietekme. </w:t>
      </w:r>
      <w:r w:rsidR="0071318F">
        <w:t>Galvenais</w:t>
      </w:r>
      <w:r w:rsidR="00FE6003" w:rsidRPr="00807219">
        <w:t xml:space="preserve"> kritērijs viena tirgus dalībnieka un </w:t>
      </w:r>
      <w:r w:rsidR="009E0D83" w:rsidRPr="00807219">
        <w:t xml:space="preserve">līdz ar to arī </w:t>
      </w:r>
      <w:r w:rsidR="00FE6003" w:rsidRPr="00807219">
        <w:t>solidāras atbildības noteikšanai ir tas, vai attiecīgie uzņēmumi īstenojuši vienotu rīcību tirgū. Padome</w:t>
      </w:r>
      <w:r w:rsidR="0071318F">
        <w:t xml:space="preserve"> to</w:t>
      </w:r>
      <w:r w:rsidR="00FE6003" w:rsidRPr="00807219">
        <w:t xml:space="preserve"> nav vērtējusi</w:t>
      </w:r>
      <w:r w:rsidR="009E0D83" w:rsidRPr="00807219">
        <w:t>.</w:t>
      </w:r>
    </w:p>
    <w:p w14:paraId="3E18CC0F" w14:textId="3D8A3E31" w:rsidR="009E0D83" w:rsidRPr="00807219" w:rsidRDefault="009F45AD" w:rsidP="001F783F">
      <w:pPr>
        <w:spacing w:line="276" w:lineRule="auto"/>
        <w:ind w:firstLine="720"/>
        <w:jc w:val="both"/>
      </w:pPr>
      <w:r w:rsidRPr="00807219">
        <w:rPr>
          <w:rFonts w:asciiTheme="majorBidi" w:hAnsiTheme="majorBidi" w:cstheme="majorBidi"/>
          <w:bCs/>
        </w:rPr>
        <w:t>[7.7]</w:t>
      </w:r>
      <w:r w:rsidR="00B66E46" w:rsidRPr="00807219">
        <w:rPr>
          <w:rFonts w:asciiTheme="majorBidi" w:hAnsiTheme="majorBidi" w:cstheme="majorBidi"/>
          <w:bCs/>
        </w:rPr>
        <w:t> </w:t>
      </w:r>
      <w:r w:rsidR="009E0D83" w:rsidRPr="00807219">
        <w:t xml:space="preserve">Tiesa ir pārkāpusi Administratīvā procesa likuma 154.panta pirmo un trešo daļu un 251.panta piekto daļu, </w:t>
      </w:r>
      <w:r w:rsidR="00E460F3">
        <w:t xml:space="preserve">jo </w:t>
      </w:r>
      <w:r w:rsidR="009E0D83" w:rsidRPr="00807219">
        <w:t>spriedumā balst</w:t>
      </w:r>
      <w:r w:rsidR="00E460F3">
        <w:t>ījusies</w:t>
      </w:r>
      <w:r w:rsidR="009E0D83" w:rsidRPr="00807219">
        <w:t xml:space="preserve"> uz faktu, kas </w:t>
      </w:r>
      <w:r w:rsidR="00E460F3">
        <w:t xml:space="preserve">ir </w:t>
      </w:r>
      <w:r w:rsidR="009E0D83" w:rsidRPr="00807219">
        <w:t>pretrunā ar lietā esošajiem pierādījumiem.</w:t>
      </w:r>
      <w:r w:rsidR="00E460F3">
        <w:t xml:space="preserve"> </w:t>
      </w:r>
      <w:r w:rsidR="007C0E20">
        <w:t>Konkurences p</w:t>
      </w:r>
      <w:r w:rsidR="007C0E20" w:rsidRPr="00807219">
        <w:t xml:space="preserve">adomes </w:t>
      </w:r>
      <w:r w:rsidR="009E0D83" w:rsidRPr="00807219">
        <w:t>pamatojums</w:t>
      </w:r>
      <w:r w:rsidR="003E0446">
        <w:t xml:space="preserve"> tam, kāpēc tika samazināts</w:t>
      </w:r>
      <w:r w:rsidR="009E0D83" w:rsidRPr="00807219">
        <w:t xml:space="preserve"> naudas sod</w:t>
      </w:r>
      <w:r w:rsidR="003E0446">
        <w:t xml:space="preserve">s </w:t>
      </w:r>
      <w:r w:rsidR="009E0D83" w:rsidRPr="00807219">
        <w:rPr>
          <w:i/>
          <w:iCs/>
        </w:rPr>
        <w:t>Velve</w:t>
      </w:r>
      <w:r w:rsidR="00CB0053">
        <w:rPr>
          <w:i/>
          <w:iCs/>
        </w:rPr>
        <w:t>i</w:t>
      </w:r>
      <w:r w:rsidR="003E0446" w:rsidRPr="003E0446">
        <w:t>,</w:t>
      </w:r>
      <w:r w:rsidR="009E0D83" w:rsidRPr="003E0446">
        <w:t xml:space="preserve"> </w:t>
      </w:r>
      <w:r w:rsidR="009E0D83" w:rsidRPr="00807219">
        <w:t>ir pretrunīgs</w:t>
      </w:r>
      <w:r w:rsidR="003E0446">
        <w:t>. Tas</w:t>
      </w:r>
      <w:r w:rsidR="00E460F3">
        <w:t xml:space="preserve"> </w:t>
      </w:r>
      <w:r w:rsidR="009E0D83" w:rsidRPr="00807219">
        <w:t>rad</w:t>
      </w:r>
      <w:r w:rsidR="00E460F3">
        <w:t>a</w:t>
      </w:r>
      <w:r w:rsidR="009E0D83" w:rsidRPr="00807219">
        <w:t xml:space="preserve"> jautājumu</w:t>
      </w:r>
      <w:r w:rsidR="003E0446">
        <w:t xml:space="preserve"> par to</w:t>
      </w:r>
      <w:r w:rsidR="009E0D83" w:rsidRPr="00807219">
        <w:t xml:space="preserve">, </w:t>
      </w:r>
      <w:r w:rsidR="00E460F3">
        <w:t>ka</w:t>
      </w:r>
      <w:r w:rsidR="009E0D83" w:rsidRPr="00807219">
        <w:t xml:space="preserve"> pieteicējai </w:t>
      </w:r>
      <w:r w:rsidR="00E460F3">
        <w:t xml:space="preserve">arī būtu </w:t>
      </w:r>
      <w:r w:rsidR="009E0D83" w:rsidRPr="00807219">
        <w:t>tiesīb</w:t>
      </w:r>
      <w:r w:rsidR="00E460F3">
        <w:t>as</w:t>
      </w:r>
      <w:r w:rsidR="009E0D83" w:rsidRPr="00807219">
        <w:t xml:space="preserve"> uz līdzīgu</w:t>
      </w:r>
      <w:r w:rsidR="003E0446">
        <w:t xml:space="preserve"> </w:t>
      </w:r>
      <w:r w:rsidR="009E0D83" w:rsidRPr="00807219">
        <w:t xml:space="preserve">samazinājumu. Publiski pieejamā informācija un </w:t>
      </w:r>
      <w:r w:rsidR="003E0446" w:rsidRPr="003E0446">
        <w:rPr>
          <w:i/>
          <w:iCs/>
        </w:rPr>
        <w:t>Velve</w:t>
      </w:r>
      <w:r w:rsidR="00CB0053">
        <w:rPr>
          <w:i/>
          <w:iCs/>
        </w:rPr>
        <w:t>s</w:t>
      </w:r>
      <w:r w:rsidR="009E0D83" w:rsidRPr="00807219">
        <w:t xml:space="preserve"> paustie apgalvojumi liecina, ka </w:t>
      </w:r>
      <w:r w:rsidR="009E0D83" w:rsidRPr="00807219">
        <w:rPr>
          <w:i/>
          <w:iCs/>
        </w:rPr>
        <w:t>Velve</w:t>
      </w:r>
      <w:r w:rsidR="009E0D83" w:rsidRPr="00807219">
        <w:t xml:space="preserve"> nav noslēgusi izlīgumu un nav sniegusi būtiskus pierādījumus, tāpēc nav skaidrs, uz kāda pamata samazinājums tai piešķirts. Tiesa nav izvērtējusi pieteicējas argumentus.</w:t>
      </w:r>
    </w:p>
    <w:p w14:paraId="2D6A9F21" w14:textId="31BADC9D" w:rsidR="00EA25D3" w:rsidRPr="00807219" w:rsidRDefault="009F45AD" w:rsidP="001F783F">
      <w:pPr>
        <w:spacing w:line="276" w:lineRule="auto"/>
        <w:ind w:firstLine="720"/>
        <w:jc w:val="both"/>
        <w:rPr>
          <w:rFonts w:asciiTheme="majorBidi" w:hAnsiTheme="majorBidi" w:cstheme="majorBidi"/>
          <w:bCs/>
        </w:rPr>
      </w:pPr>
      <w:r w:rsidRPr="00807219">
        <w:rPr>
          <w:rFonts w:asciiTheme="majorBidi" w:hAnsiTheme="majorBidi" w:cstheme="majorBidi"/>
          <w:bCs/>
        </w:rPr>
        <w:t>[7.8]</w:t>
      </w:r>
      <w:r w:rsidR="00D12B13" w:rsidRPr="00807219">
        <w:rPr>
          <w:rFonts w:asciiTheme="majorBidi" w:hAnsiTheme="majorBidi" w:cstheme="majorBidi"/>
          <w:bCs/>
        </w:rPr>
        <w:t> </w:t>
      </w:r>
      <w:r w:rsidR="00EA25D3" w:rsidRPr="00807219">
        <w:rPr>
          <w:rFonts w:asciiTheme="majorBidi" w:hAnsiTheme="majorBidi" w:cstheme="majorBidi"/>
          <w:bCs/>
        </w:rPr>
        <w:t>Tiesa ir pārkāpusi Administratīvā procesa likuma 251.panta piekto daļu, neizvērtējot argumentus par horizontālu sadarbības vienošan</w:t>
      </w:r>
      <w:r w:rsidR="001D2658">
        <w:rPr>
          <w:rFonts w:asciiTheme="majorBidi" w:hAnsiTheme="majorBidi" w:cstheme="majorBidi"/>
          <w:bCs/>
        </w:rPr>
        <w:t>os</w:t>
      </w:r>
      <w:r w:rsidR="00EA25D3" w:rsidRPr="00807219">
        <w:rPr>
          <w:rFonts w:asciiTheme="majorBidi" w:hAnsiTheme="majorBidi" w:cstheme="majorBidi"/>
          <w:bCs/>
        </w:rPr>
        <w:t xml:space="preserve">, kas izslēgtu secinājumu par pārkāpuma esību. No sprieduma 63.punkta izriet, ka cits dalībnieks – </w:t>
      </w:r>
      <w:r w:rsidR="00EA25D3" w:rsidRPr="00807219">
        <w:rPr>
          <w:rFonts w:asciiTheme="majorBidi" w:hAnsiTheme="majorBidi" w:cstheme="majorBidi"/>
          <w:bCs/>
          <w:i/>
          <w:iCs/>
        </w:rPr>
        <w:t>Arčers</w:t>
      </w:r>
      <w:r w:rsidR="00EA25D3" w:rsidRPr="00807219">
        <w:rPr>
          <w:rFonts w:asciiTheme="majorBidi" w:hAnsiTheme="majorBidi" w:cstheme="majorBidi"/>
          <w:bCs/>
        </w:rPr>
        <w:t xml:space="preserve"> – norādīja uz horizontālu sadarbības vienošanos, kuras pastāvēšana saskaņā ar LESD 101.panta 3.punktu un Konkurences likuma 11.panta otro daļu izslēdz pārkāpuma konstatēšanu.</w:t>
      </w:r>
    </w:p>
    <w:p w14:paraId="179D3AAC" w14:textId="77777777" w:rsidR="009E0D83" w:rsidRPr="00807219" w:rsidRDefault="009E0D83" w:rsidP="001F783F">
      <w:pPr>
        <w:spacing w:line="276" w:lineRule="auto"/>
        <w:ind w:firstLine="720"/>
        <w:jc w:val="both"/>
        <w:rPr>
          <w:rFonts w:asciiTheme="majorBidi" w:hAnsiTheme="majorBidi" w:cstheme="majorBidi"/>
          <w:bCs/>
        </w:rPr>
      </w:pPr>
    </w:p>
    <w:p w14:paraId="402D9E13" w14:textId="3C325782" w:rsidR="00EC20D8" w:rsidRPr="00807219" w:rsidRDefault="00EC20D8" w:rsidP="001F783F">
      <w:pPr>
        <w:spacing w:line="276" w:lineRule="auto"/>
        <w:ind w:firstLine="720"/>
        <w:jc w:val="both"/>
        <w:rPr>
          <w:rFonts w:asciiTheme="majorBidi" w:hAnsiTheme="majorBidi" w:cstheme="majorBidi"/>
          <w:lang w:eastAsia="lv-LV"/>
        </w:rPr>
      </w:pPr>
      <w:r w:rsidRPr="00807219">
        <w:rPr>
          <w:rFonts w:asciiTheme="majorBidi" w:hAnsiTheme="majorBidi" w:cstheme="majorBidi"/>
          <w:lang w:eastAsia="lv-LV"/>
        </w:rPr>
        <w:t>[8] </w:t>
      </w:r>
      <w:r w:rsidRPr="00807219">
        <w:rPr>
          <w:rFonts w:asciiTheme="majorBidi" w:hAnsiTheme="majorBidi" w:cstheme="majorBidi"/>
          <w:i/>
          <w:iCs/>
          <w:lang w:eastAsia="lv-LV"/>
        </w:rPr>
        <w:t>RERE Būve</w:t>
      </w:r>
      <w:r w:rsidR="00CB0053">
        <w:rPr>
          <w:rFonts w:asciiTheme="majorBidi" w:hAnsiTheme="majorBidi" w:cstheme="majorBidi"/>
          <w:i/>
          <w:iCs/>
          <w:lang w:eastAsia="lv-LV"/>
        </w:rPr>
        <w:t>s</w:t>
      </w:r>
      <w:r w:rsidRPr="00807219">
        <w:rPr>
          <w:rFonts w:asciiTheme="majorBidi" w:hAnsiTheme="majorBidi" w:cstheme="majorBidi"/>
          <w:i/>
          <w:iCs/>
          <w:lang w:eastAsia="lv-LV"/>
        </w:rPr>
        <w:t xml:space="preserve"> </w:t>
      </w:r>
      <w:r w:rsidRPr="00807219">
        <w:rPr>
          <w:rFonts w:asciiTheme="majorBidi" w:hAnsiTheme="majorBidi" w:cstheme="majorBidi"/>
          <w:lang w:eastAsia="lv-LV"/>
        </w:rPr>
        <w:t>un</w:t>
      </w:r>
      <w:r w:rsidRPr="00807219">
        <w:rPr>
          <w:rFonts w:asciiTheme="majorBidi" w:hAnsiTheme="majorBidi" w:cstheme="majorBidi"/>
          <w:i/>
          <w:iCs/>
          <w:lang w:eastAsia="lv-LV"/>
        </w:rPr>
        <w:t xml:space="preserve"> RERE Grupa</w:t>
      </w:r>
      <w:r w:rsidR="00CB0053">
        <w:rPr>
          <w:rFonts w:asciiTheme="majorBidi" w:hAnsiTheme="majorBidi" w:cstheme="majorBidi"/>
          <w:i/>
          <w:iCs/>
          <w:lang w:eastAsia="lv-LV"/>
        </w:rPr>
        <w:t>s</w:t>
      </w:r>
      <w:r w:rsidRPr="00807219">
        <w:rPr>
          <w:rFonts w:asciiTheme="majorBidi" w:hAnsiTheme="majorBidi" w:cstheme="majorBidi"/>
          <w:i/>
          <w:iCs/>
          <w:lang w:eastAsia="lv-LV"/>
        </w:rPr>
        <w:t xml:space="preserve"> </w:t>
      </w:r>
      <w:r w:rsidRPr="00807219">
        <w:rPr>
          <w:rFonts w:asciiTheme="majorBidi" w:hAnsiTheme="majorBidi" w:cstheme="majorBidi"/>
        </w:rPr>
        <w:t xml:space="preserve">kasācijas sūdzība, kā arī </w:t>
      </w:r>
      <w:r w:rsidRPr="00807219">
        <w:rPr>
          <w:rFonts w:asciiTheme="majorBidi" w:hAnsiTheme="majorBidi" w:cstheme="majorBidi"/>
          <w:i/>
          <w:iCs/>
          <w:lang w:eastAsia="lv-LV"/>
        </w:rPr>
        <w:t>RE&amp;RE</w:t>
      </w:r>
      <w:r w:rsidRPr="00807219">
        <w:rPr>
          <w:rFonts w:asciiTheme="majorBidi" w:hAnsiTheme="majorBidi" w:cstheme="majorBidi"/>
          <w:lang w:eastAsia="lv-LV"/>
        </w:rPr>
        <w:t xml:space="preserve"> kasācijas sūdzība</w:t>
      </w:r>
      <w:r w:rsidRPr="00807219">
        <w:rPr>
          <w:rFonts w:asciiTheme="majorBidi" w:hAnsiTheme="majorBidi" w:cstheme="majorBidi"/>
        </w:rPr>
        <w:t xml:space="preserve"> pamatota ar turpmāko.</w:t>
      </w:r>
    </w:p>
    <w:p w14:paraId="311621CF" w14:textId="70148CB3" w:rsidR="00EC20D8" w:rsidRPr="00807219" w:rsidRDefault="00EC20D8" w:rsidP="001F783F">
      <w:pPr>
        <w:spacing w:line="276" w:lineRule="auto"/>
        <w:ind w:firstLine="720"/>
        <w:jc w:val="both"/>
        <w:rPr>
          <w:rFonts w:eastAsia="Calibri" w:cs="Arial"/>
          <w:szCs w:val="20"/>
        </w:rPr>
      </w:pPr>
      <w:bookmarkStart w:id="4" w:name="_Hlk212821805"/>
      <w:r w:rsidRPr="00807219">
        <w:rPr>
          <w:rFonts w:asciiTheme="majorBidi" w:hAnsiTheme="majorBidi" w:cstheme="majorBidi"/>
          <w:lang w:eastAsia="lv-LV"/>
        </w:rPr>
        <w:t>[8.1] Tiesa kļūdaini interpretējusi Senāta atziņas</w:t>
      </w:r>
      <w:r w:rsidRPr="00807219">
        <w:rPr>
          <w:rFonts w:asciiTheme="majorBidi" w:hAnsiTheme="majorBidi" w:cstheme="majorBidi"/>
        </w:rPr>
        <w:t xml:space="preserve"> </w:t>
      </w:r>
      <w:r w:rsidRPr="00807219">
        <w:rPr>
          <w:rFonts w:asciiTheme="majorBidi" w:hAnsiTheme="majorBidi" w:cstheme="majorBidi"/>
          <w:lang w:eastAsia="lv-LV"/>
        </w:rPr>
        <w:t>par iespēju konkurences tiesību pārkāpuma pierādīšanā izmantot kriminālprocesa materiālus</w:t>
      </w:r>
      <w:r w:rsidR="004276B3">
        <w:rPr>
          <w:rFonts w:asciiTheme="majorBidi" w:hAnsiTheme="majorBidi" w:cstheme="majorBidi"/>
          <w:lang w:eastAsia="lv-LV"/>
        </w:rPr>
        <w:t xml:space="preserve">. Tiesa nav ņēmusi vērā </w:t>
      </w:r>
      <w:r w:rsidRPr="00807219">
        <w:rPr>
          <w:rFonts w:asciiTheme="majorBidi" w:hAnsiTheme="majorBidi" w:cstheme="majorBidi"/>
          <w:lang w:eastAsia="lv-LV"/>
        </w:rPr>
        <w:t xml:space="preserve">to, ka operatīvās darbības pasākuma ietvaros iegūtos datus nav pieļaujams izmantot Operatīvās darbības likuma 2.pantā neminētu mērķu </w:t>
      </w:r>
      <w:r w:rsidR="0071318F">
        <w:rPr>
          <w:rFonts w:asciiTheme="majorBidi" w:hAnsiTheme="majorBidi" w:cstheme="majorBidi"/>
          <w:lang w:eastAsia="lv-LV"/>
        </w:rPr>
        <w:t xml:space="preserve">un </w:t>
      </w:r>
      <w:r w:rsidRPr="00807219">
        <w:rPr>
          <w:rFonts w:asciiTheme="majorBidi" w:hAnsiTheme="majorBidi" w:cstheme="majorBidi"/>
          <w:lang w:eastAsia="lv-LV"/>
        </w:rPr>
        <w:t xml:space="preserve">uzdevumu īstenošanai. </w:t>
      </w:r>
      <w:r w:rsidRPr="00807219">
        <w:rPr>
          <w:rFonts w:eastAsia="Calibri" w:cs="Arial"/>
          <w:szCs w:val="20"/>
        </w:rPr>
        <w:t xml:space="preserve">Tā kā operatīvās darbības būtiski ierobežo </w:t>
      </w:r>
      <w:r w:rsidR="004276B3">
        <w:rPr>
          <w:rFonts w:eastAsia="Calibri" w:cs="Arial"/>
          <w:szCs w:val="20"/>
        </w:rPr>
        <w:t>personas</w:t>
      </w:r>
      <w:r w:rsidRPr="00807219">
        <w:rPr>
          <w:rFonts w:eastAsia="Calibri" w:cs="Arial"/>
          <w:szCs w:val="20"/>
        </w:rPr>
        <w:t xml:space="preserve"> pamattiesības</w:t>
      </w:r>
      <w:r w:rsidRPr="00807219">
        <w:t>, likumdevējs šā likuma 2.panta pirmajā daļā ietverto uzskatījumu nav atstājis atvērtu. To apliecina no 2.panta otrās daļas izrietošais aizliegums šādus pasākumus īstenot cit</w:t>
      </w:r>
      <w:r w:rsidR="009D18FB">
        <w:t>iem</w:t>
      </w:r>
      <w:r w:rsidRPr="00807219">
        <w:t xml:space="preserve"> mērķ</w:t>
      </w:r>
      <w:r w:rsidR="009D18FB">
        <w:t>iem</w:t>
      </w:r>
      <w:r w:rsidRPr="00807219">
        <w:t xml:space="preserve"> un uzdevum</w:t>
      </w:r>
      <w:r w:rsidR="009D18FB">
        <w:t>iem</w:t>
      </w:r>
      <w:r w:rsidRPr="00807219">
        <w:t>. Lai arī soda piemērošanai konkurences tiesībās piemīt krimināltiesisks raksturs, konkurences tiesību pārkāpums nav uzskatāms par noziedzīgu nodarījumu Krimināllikuma 7.panta izpratnē. K</w:t>
      </w:r>
      <w:r w:rsidRPr="00807219">
        <w:rPr>
          <w:rFonts w:eastAsia="Calibri" w:cs="Arial"/>
          <w:szCs w:val="20"/>
        </w:rPr>
        <w:t xml:space="preserve">onkurences tiesību pārkāpumu krimināltiesiskais raksturs iezīmējas </w:t>
      </w:r>
      <w:r w:rsidR="003C1D7F">
        <w:rPr>
          <w:rFonts w:eastAsia="Calibri" w:cs="Arial"/>
          <w:szCs w:val="20"/>
        </w:rPr>
        <w:t xml:space="preserve">tikai </w:t>
      </w:r>
      <w:r w:rsidRPr="00807219">
        <w:rPr>
          <w:rFonts w:eastAsia="Calibri" w:cs="Arial"/>
          <w:szCs w:val="20"/>
        </w:rPr>
        <w:t xml:space="preserve">piemērojamās sankcijas kontekstā, bet ne attiecībā uz kaitīgumu, kas ļautu to pat hipotētiski pielīdzināt noziedzīgam nodarījumam Krimināllikuma 6.panta pirmās daļas izpratnē. Rezultātā tiesa </w:t>
      </w:r>
      <w:r w:rsidRPr="00807219">
        <w:t>nav</w:t>
      </w:r>
      <w:r w:rsidR="004276B3">
        <w:t xml:space="preserve"> pareizi</w:t>
      </w:r>
      <w:r w:rsidRPr="00807219">
        <w:t xml:space="preserve"> noskaidrojusi Kriminālprocesa likuma</w:t>
      </w:r>
      <w:r w:rsidRPr="00807219">
        <w:rPr>
          <w:rFonts w:eastAsia="Calibri" w:cs="Arial"/>
          <w:szCs w:val="20"/>
        </w:rPr>
        <w:t xml:space="preserve"> 375.panta pirmās daļas saturu un to, kas šajā tiesību normā ir uzskatāma par „šajā likumā paredzēto kārtību”</w:t>
      </w:r>
      <w:r w:rsidR="004276B3">
        <w:rPr>
          <w:rFonts w:eastAsia="Calibri" w:cs="Arial"/>
          <w:szCs w:val="20"/>
        </w:rPr>
        <w:t xml:space="preserve">. Tiesa </w:t>
      </w:r>
      <w:r w:rsidRPr="00807219">
        <w:rPr>
          <w:rFonts w:eastAsia="Calibri" w:cs="Arial"/>
          <w:szCs w:val="20"/>
        </w:rPr>
        <w:t>ir balstījusies uz tādiem judikatūrā paustiem secinājumiem, kas neskar Operatīvās darbības likuma specifisko ietvaru iepretim Kriminālprocesa likuma vispārējam regulējumam.</w:t>
      </w:r>
    </w:p>
    <w:p w14:paraId="391BD30C" w14:textId="1C5F2D3C" w:rsidR="00EC20D8" w:rsidRPr="00807219" w:rsidRDefault="00EC20D8" w:rsidP="001F783F">
      <w:pPr>
        <w:spacing w:line="276" w:lineRule="auto"/>
        <w:ind w:firstLine="720"/>
        <w:jc w:val="both"/>
        <w:rPr>
          <w:rFonts w:eastAsia="Calibri" w:cs="Arial"/>
          <w:szCs w:val="20"/>
        </w:rPr>
      </w:pPr>
      <w:r w:rsidRPr="00807219">
        <w:t>[8.2] </w:t>
      </w:r>
      <w:r w:rsidRPr="00807219">
        <w:rPr>
          <w:rFonts w:eastAsia="Calibri" w:cs="Arial"/>
          <w:szCs w:val="20"/>
        </w:rPr>
        <w:t xml:space="preserve">Tiesa nav ņēmusi vērā, ka pieteicējām un ar tām saistītajām personām nebija nekāda kriminālprocesuālā statusa, un pārsūdzētā lēmuma pamatošanā izmantotie pierādījumi iegūti no operatīvās darbības pasākuma, kas pret tām nebija sankcionēti. Proti, operatīvās darbības mērķis bija Krimināllikumā paredzēto noziedzīgo nodarījumu atklāšana konkrētu </w:t>
      </w:r>
      <w:r w:rsidR="00CB0053" w:rsidRPr="00807219">
        <w:rPr>
          <w:rFonts w:eastAsia="Calibri" w:cs="Arial"/>
          <w:szCs w:val="20"/>
        </w:rPr>
        <w:t>fizisk</w:t>
      </w:r>
      <w:r w:rsidR="00CB0053">
        <w:rPr>
          <w:rFonts w:eastAsia="Calibri" w:cs="Arial"/>
          <w:szCs w:val="20"/>
        </w:rPr>
        <w:t>o</w:t>
      </w:r>
      <w:r w:rsidR="00CB0053" w:rsidRPr="00807219">
        <w:rPr>
          <w:rFonts w:eastAsia="Calibri" w:cs="Arial"/>
          <w:szCs w:val="20"/>
        </w:rPr>
        <w:t xml:space="preserve"> </w:t>
      </w:r>
      <w:r w:rsidRPr="00807219">
        <w:rPr>
          <w:rFonts w:eastAsia="Calibri" w:cs="Arial"/>
          <w:szCs w:val="20"/>
        </w:rPr>
        <w:t xml:space="preserve">personu darbībās, nevis konkurences tiesību pārkāpuma pierādīšana saskaņā ar Konkurences likuma 11.panta pirmo daļu. Birojs nebūtu saņēmis tiesneša akceptu sarunu noklausīšanai, ja mērķis būtu bijis konstatēt aizliegtu vienošanos publiskajos un privātajos iepirkumos, jo neviena tiesību norma neparedz operatīvo pasākumu veikšanu konkurences tiesību pārkāpuma atklāšanai. Tiesa ignorēja pieteicēju iebildumus, ka attiecībā uz šīm operatīvajām darbībām nebija īstenota </w:t>
      </w:r>
      <w:r w:rsidRPr="00807219">
        <w:rPr>
          <w:rFonts w:eastAsia="Calibri" w:cs="Arial"/>
          <w:i/>
          <w:iCs/>
          <w:szCs w:val="20"/>
        </w:rPr>
        <w:t>ex</w:t>
      </w:r>
      <w:r w:rsidR="009509CB">
        <w:rPr>
          <w:rFonts w:eastAsia="Calibri" w:cs="Arial"/>
          <w:i/>
          <w:iCs/>
          <w:szCs w:val="20"/>
        </w:rPr>
        <w:t> </w:t>
      </w:r>
      <w:r w:rsidRPr="00807219">
        <w:rPr>
          <w:rFonts w:eastAsia="Calibri" w:cs="Arial"/>
          <w:i/>
          <w:iCs/>
          <w:szCs w:val="20"/>
        </w:rPr>
        <w:t>post</w:t>
      </w:r>
      <w:r w:rsidRPr="00807219">
        <w:rPr>
          <w:rFonts w:eastAsia="Calibri" w:cs="Arial"/>
          <w:szCs w:val="20"/>
        </w:rPr>
        <w:t xml:space="preserve"> pamattiesību aizsardzības kontrole.</w:t>
      </w:r>
    </w:p>
    <w:p w14:paraId="7B7C4CD2" w14:textId="709511AC" w:rsidR="00EC20D8" w:rsidRPr="00807219" w:rsidRDefault="00EC20D8" w:rsidP="001F783F">
      <w:pPr>
        <w:spacing w:line="276" w:lineRule="auto"/>
        <w:ind w:firstLine="720"/>
        <w:jc w:val="both"/>
        <w:rPr>
          <w:rFonts w:eastAsia="Calibri" w:cs="Arial"/>
          <w:szCs w:val="20"/>
        </w:rPr>
      </w:pPr>
      <w:r w:rsidRPr="00807219">
        <w:rPr>
          <w:rFonts w:eastAsia="Calibri" w:cs="Arial"/>
          <w:szCs w:val="20"/>
        </w:rPr>
        <w:t>[8.3] Operatīvās darbības likumā paredzētie pasākumi pēc satura atbilst Kriminālprocesa likuma 11.nodaļas speciālajām izmeklēšanas darbībām. Saskaņā ar Kriminālprocesa likuma 230.panta pirmo daļu pierādījumi, kas iegūti speciālo izmeklēšanas darbību rezultātā</w:t>
      </w:r>
      <w:r w:rsidR="00CB0053">
        <w:rPr>
          <w:rFonts w:eastAsia="Calibri" w:cs="Arial"/>
          <w:szCs w:val="20"/>
        </w:rPr>
        <w:t>,</w:t>
      </w:r>
      <w:r w:rsidRPr="00807219">
        <w:rPr>
          <w:rFonts w:eastAsia="Calibri" w:cs="Arial"/>
          <w:szCs w:val="20"/>
        </w:rPr>
        <w:t xml:space="preserve"> ir </w:t>
      </w:r>
      <w:r w:rsidR="00CB0053" w:rsidRPr="00807219">
        <w:rPr>
          <w:rFonts w:eastAsia="Calibri" w:cs="Arial"/>
          <w:szCs w:val="20"/>
        </w:rPr>
        <w:t>izmantoj</w:t>
      </w:r>
      <w:r w:rsidR="00CB0053">
        <w:rPr>
          <w:rFonts w:eastAsia="Calibri" w:cs="Arial"/>
          <w:szCs w:val="20"/>
        </w:rPr>
        <w:t>a</w:t>
      </w:r>
      <w:r w:rsidR="00CB0053" w:rsidRPr="00807219">
        <w:rPr>
          <w:rFonts w:eastAsia="Calibri" w:cs="Arial"/>
          <w:szCs w:val="20"/>
        </w:rPr>
        <w:t xml:space="preserve">mi </w:t>
      </w:r>
      <w:r w:rsidRPr="00807219">
        <w:rPr>
          <w:rFonts w:eastAsia="Calibri" w:cs="Arial"/>
          <w:szCs w:val="20"/>
        </w:rPr>
        <w:t xml:space="preserve">tikai un vienīgi tajā kriminālprocesā, kurā šīs darbības veiktas. Savukārt, ja šīs iegūtās ziņas par faktiem norāda uz cita noziedzīga nodarījuma izdarīšanu vai pierādāmajiem apstākļiem citā kriminālprocesā, tad tos var izmantot tikai </w:t>
      </w:r>
      <w:r w:rsidR="00CB0053">
        <w:rPr>
          <w:rFonts w:eastAsia="Calibri" w:cs="Arial"/>
          <w:szCs w:val="20"/>
        </w:rPr>
        <w:t>tad</w:t>
      </w:r>
      <w:r w:rsidRPr="00807219">
        <w:rPr>
          <w:rFonts w:eastAsia="Calibri" w:cs="Arial"/>
          <w:szCs w:val="20"/>
        </w:rPr>
        <w:t xml:space="preserve">, ja ir saņemta prokurora vai izmeklēšanas tiesneša piekrišana. Tātad Kriminālprocesa likums paredz konkrētu amatpersonu priekškontroli pār informācijas </w:t>
      </w:r>
      <w:r w:rsidR="00CB0053" w:rsidRPr="00807219">
        <w:rPr>
          <w:rFonts w:eastAsia="Calibri" w:cs="Arial"/>
          <w:szCs w:val="20"/>
        </w:rPr>
        <w:t>nodošan</w:t>
      </w:r>
      <w:r w:rsidR="00CB0053">
        <w:rPr>
          <w:rFonts w:eastAsia="Calibri" w:cs="Arial"/>
          <w:szCs w:val="20"/>
        </w:rPr>
        <w:t>as</w:t>
      </w:r>
      <w:r w:rsidR="00CB0053" w:rsidRPr="00807219">
        <w:rPr>
          <w:rFonts w:eastAsia="Calibri" w:cs="Arial"/>
          <w:szCs w:val="20"/>
        </w:rPr>
        <w:t xml:space="preserve"> </w:t>
      </w:r>
      <w:r w:rsidRPr="00807219">
        <w:rPr>
          <w:rFonts w:eastAsia="Calibri" w:cs="Arial"/>
          <w:szCs w:val="20"/>
        </w:rPr>
        <w:t xml:space="preserve">nepieciešamību. Lietas materiāli liecina, ka </w:t>
      </w:r>
      <w:r w:rsidR="001C09E4">
        <w:rPr>
          <w:rFonts w:eastAsia="Calibri" w:cs="Arial"/>
          <w:szCs w:val="20"/>
        </w:rPr>
        <w:t>b</w:t>
      </w:r>
      <w:r w:rsidRPr="00807219">
        <w:rPr>
          <w:rFonts w:eastAsia="Calibri" w:cs="Arial"/>
          <w:szCs w:val="20"/>
        </w:rPr>
        <w:t xml:space="preserve">irojs nodeva </w:t>
      </w:r>
      <w:r w:rsidR="00CB0053">
        <w:rPr>
          <w:rFonts w:eastAsia="Calibri" w:cs="Arial"/>
          <w:szCs w:val="20"/>
        </w:rPr>
        <w:t>Konkurences p</w:t>
      </w:r>
      <w:r w:rsidR="00CB0053" w:rsidRPr="00807219">
        <w:rPr>
          <w:rFonts w:eastAsia="Calibri" w:cs="Arial"/>
          <w:szCs w:val="20"/>
        </w:rPr>
        <w:t xml:space="preserve">adomei </w:t>
      </w:r>
      <w:r w:rsidRPr="00807219">
        <w:rPr>
          <w:rFonts w:eastAsia="Calibri" w:cs="Arial"/>
          <w:szCs w:val="20"/>
        </w:rPr>
        <w:t>audioierakstu atšifrējumus bez priekškontroles, ko īsteno attiecīgi pilnvarota amatpersona (Augstākās tiesas tiesnesis Operatīvās darbības likuma kārtībā). Tiesa šo būtisko pārkāpumu ignorēja.</w:t>
      </w:r>
    </w:p>
    <w:p w14:paraId="6A9C0FD8" w14:textId="177476DD" w:rsidR="00EC20D8" w:rsidRPr="00807219" w:rsidRDefault="00EC20D8" w:rsidP="001F783F">
      <w:pPr>
        <w:spacing w:line="276" w:lineRule="auto"/>
        <w:ind w:firstLine="720"/>
        <w:jc w:val="both"/>
      </w:pPr>
      <w:r w:rsidRPr="00807219">
        <w:rPr>
          <w:rFonts w:eastAsia="Calibri" w:cs="Arial"/>
          <w:szCs w:val="20"/>
        </w:rPr>
        <w:t>[8.4] </w:t>
      </w:r>
      <w:r w:rsidRPr="00807219">
        <w:t xml:space="preserve">Pieteicējām netika nodrošinātas tiesības iepazīties ar visiem lietas materiāliem, tādējādi </w:t>
      </w:r>
      <w:r w:rsidR="00CB0053">
        <w:t>tika pārkāpts</w:t>
      </w:r>
      <w:r w:rsidR="00CB0053" w:rsidRPr="00807219">
        <w:t xml:space="preserve"> </w:t>
      </w:r>
      <w:r w:rsidRPr="00807219">
        <w:t xml:space="preserve">no Satversmes 92.panta </w:t>
      </w:r>
      <w:r w:rsidR="00CB0053" w:rsidRPr="00807219">
        <w:t>izrietoš</w:t>
      </w:r>
      <w:r w:rsidR="00CB0053">
        <w:t>ais</w:t>
      </w:r>
      <w:r w:rsidR="00CB0053" w:rsidRPr="00807219">
        <w:t xml:space="preserve"> </w:t>
      </w:r>
      <w:r w:rsidRPr="00807219">
        <w:t xml:space="preserve">procesuālās līdztiesības </w:t>
      </w:r>
      <w:r w:rsidR="00CB0053" w:rsidRPr="00807219">
        <w:t>princip</w:t>
      </w:r>
      <w:r w:rsidR="00CB0053">
        <w:t>s</w:t>
      </w:r>
      <w:r w:rsidRPr="00807219">
        <w:t xml:space="preserve">. Neskatoties uz vairākkārtējiem lūgumiem, administratīvajā procesā tiesa nenodrošināja pieteicēju iespēju pārliecināties, vai lietas </w:t>
      </w:r>
      <w:r w:rsidR="00CB0053" w:rsidRPr="00807219">
        <w:t>materiāl</w:t>
      </w:r>
      <w:r w:rsidR="00CB0053">
        <w:t>os</w:t>
      </w:r>
      <w:r w:rsidR="00CB0053" w:rsidRPr="00807219">
        <w:t xml:space="preserve"> </w:t>
      </w:r>
      <w:r w:rsidR="00CB0053">
        <w:t xml:space="preserve">ir </w:t>
      </w:r>
      <w:r w:rsidRPr="00807219">
        <w:t>vis</w:t>
      </w:r>
      <w:r w:rsidR="00CB0053">
        <w:t>i</w:t>
      </w:r>
      <w:r w:rsidRPr="00807219">
        <w:t xml:space="preserve"> </w:t>
      </w:r>
      <w:r w:rsidR="001C09E4">
        <w:t>b</w:t>
      </w:r>
      <w:r w:rsidRPr="00807219">
        <w:t>iroja operatīvās darbības rezultātā iegūt</w:t>
      </w:r>
      <w:r w:rsidR="00CB0053">
        <w:t>ie</w:t>
      </w:r>
      <w:r w:rsidRPr="00807219">
        <w:t xml:space="preserve"> pierādījum</w:t>
      </w:r>
      <w:r w:rsidR="00CB0053">
        <w:t>i</w:t>
      </w:r>
      <w:r w:rsidRPr="00807219">
        <w:t xml:space="preserve">, tostarp </w:t>
      </w:r>
      <w:r w:rsidR="00CB0053" w:rsidRPr="00807219">
        <w:t>tād</w:t>
      </w:r>
      <w:r w:rsidR="00CB0053">
        <w:t>i</w:t>
      </w:r>
      <w:r w:rsidRPr="00807219">
        <w:t xml:space="preserve">, kas varētu būt vainu izslēdzoši vai samazinoši. Tā kā </w:t>
      </w:r>
      <w:r w:rsidR="001C09E4">
        <w:t>b</w:t>
      </w:r>
      <w:r w:rsidRPr="00807219">
        <w:t xml:space="preserve">iroja kompetencē nav konkurences tiesību pārkāpumu izmeklēšana, pastāv šaubas par to, vai </w:t>
      </w:r>
      <w:r w:rsidR="001C09E4">
        <w:t>b</w:t>
      </w:r>
      <w:r w:rsidRPr="00807219">
        <w:t>irojs vispār bija spējīgs patstāvīgi identificēt un atlasīt pierādījumus (ziņas par faktiem), kas liecina par iespējamu aizliegtu vienošanos.</w:t>
      </w:r>
    </w:p>
    <w:bookmarkEnd w:id="4"/>
    <w:p w14:paraId="0018BF8B" w14:textId="156A18DF" w:rsidR="00EC20D8" w:rsidRPr="00807219" w:rsidRDefault="00EC20D8" w:rsidP="001F783F">
      <w:pPr>
        <w:spacing w:line="276" w:lineRule="auto"/>
        <w:ind w:firstLine="720"/>
        <w:jc w:val="both"/>
        <w:rPr>
          <w:rFonts w:eastAsia="Calibri" w:cs="Arial"/>
          <w:szCs w:val="20"/>
        </w:rPr>
      </w:pPr>
      <w:r w:rsidRPr="009547F2">
        <w:rPr>
          <w:rFonts w:eastAsia="Calibri" w:cs="Arial"/>
          <w:szCs w:val="20"/>
        </w:rPr>
        <w:t xml:space="preserve">[8.5] Tiesa kļūdaini un pretrunā judikatūrai secinājusi, ka pieteicēju tiesības uz aizstāvību nav pārkāptas. Sprieduma 30.punktā tiesa atzinusi, ka </w:t>
      </w:r>
      <w:r w:rsidR="001C09E4">
        <w:rPr>
          <w:rFonts w:eastAsia="Calibri" w:cs="Arial"/>
          <w:szCs w:val="20"/>
        </w:rPr>
        <w:t>b</w:t>
      </w:r>
      <w:r w:rsidRPr="009547F2">
        <w:rPr>
          <w:rFonts w:eastAsia="Calibri" w:cs="Arial"/>
          <w:szCs w:val="20"/>
        </w:rPr>
        <w:t xml:space="preserve">iroja kriminālprocesa </w:t>
      </w:r>
      <w:r w:rsidR="00CB0053" w:rsidRPr="009547F2">
        <w:rPr>
          <w:rFonts w:eastAsia="Calibri" w:cs="Arial"/>
          <w:szCs w:val="20"/>
        </w:rPr>
        <w:t>materiāl</w:t>
      </w:r>
      <w:r w:rsidR="00CB0053">
        <w:rPr>
          <w:rFonts w:eastAsia="Calibri" w:cs="Arial"/>
          <w:szCs w:val="20"/>
        </w:rPr>
        <w:t>os</w:t>
      </w:r>
      <w:r w:rsidR="00CB0053" w:rsidRPr="009547F2">
        <w:rPr>
          <w:rFonts w:eastAsia="Calibri" w:cs="Arial"/>
          <w:szCs w:val="20"/>
        </w:rPr>
        <w:t xml:space="preserve"> </w:t>
      </w:r>
      <w:r w:rsidR="00CB0053">
        <w:rPr>
          <w:rFonts w:eastAsia="Calibri" w:cs="Arial"/>
          <w:szCs w:val="20"/>
        </w:rPr>
        <w:t xml:space="preserve">nav </w:t>
      </w:r>
      <w:r w:rsidRPr="009547F2">
        <w:rPr>
          <w:rFonts w:eastAsia="Calibri" w:cs="Arial"/>
          <w:szCs w:val="20"/>
        </w:rPr>
        <w:t>informācij</w:t>
      </w:r>
      <w:r w:rsidR="00CB0053">
        <w:rPr>
          <w:rFonts w:eastAsia="Calibri" w:cs="Arial"/>
          <w:szCs w:val="20"/>
        </w:rPr>
        <w:t>as</w:t>
      </w:r>
      <w:r w:rsidRPr="009547F2">
        <w:rPr>
          <w:rFonts w:eastAsia="Calibri" w:cs="Arial"/>
          <w:szCs w:val="20"/>
        </w:rPr>
        <w:t>, kas varētu</w:t>
      </w:r>
      <w:r w:rsidRPr="00807219">
        <w:rPr>
          <w:rFonts w:eastAsia="Calibri" w:cs="Arial"/>
          <w:szCs w:val="20"/>
        </w:rPr>
        <w:t xml:space="preserve"> būt noderīga pieteicējiem, taču šāds subjektīvs vērtējums par aizstāvībai derīgo informāciju ir nepieļaujams. Izšķiršanās par to, kas var būt nozīmīgs aizstāvībai, pieder vienīgi personai, pret kuru izteikts apgalvojums par pārkāpumu, kā arī tās aizstāvim.</w:t>
      </w:r>
    </w:p>
    <w:p w14:paraId="5078E474" w14:textId="12BBFC83" w:rsidR="00EC20D8" w:rsidRPr="00807219" w:rsidRDefault="00EC20D8" w:rsidP="001F783F">
      <w:pPr>
        <w:spacing w:line="276" w:lineRule="auto"/>
        <w:ind w:firstLine="720"/>
        <w:jc w:val="both"/>
        <w:rPr>
          <w:rFonts w:eastAsia="Calibri" w:cs="Arial"/>
          <w:szCs w:val="20"/>
        </w:rPr>
      </w:pPr>
      <w:r w:rsidRPr="00807219">
        <w:rPr>
          <w:rFonts w:asciiTheme="majorBidi" w:hAnsiTheme="majorBidi" w:cstheme="majorBidi"/>
          <w:lang w:eastAsia="lv-LV"/>
        </w:rPr>
        <w:t>[8.6] </w:t>
      </w:r>
      <w:r w:rsidRPr="00807219">
        <w:rPr>
          <w:rFonts w:eastAsia="Calibri" w:cs="Arial"/>
          <w:szCs w:val="20"/>
        </w:rPr>
        <w:t xml:space="preserve">Tiesa nepamatoti sašaurināja pārsūdzētā lēmuma tiesiskuma pārbaudes tvērumu, kļūdaini uzskatot, ka lietā nav vērtējami pieteicēju iebildumi par pierādījumu ticamību. Proti, tiesa neizvērtēja primāro pierādījumu </w:t>
      </w:r>
      <w:r w:rsidR="009547F2">
        <w:rPr>
          <w:rFonts w:eastAsia="Calibri" w:cs="Arial"/>
          <w:szCs w:val="20"/>
        </w:rPr>
        <w:t xml:space="preserve">– </w:t>
      </w:r>
      <w:r w:rsidRPr="00807219">
        <w:rPr>
          <w:rFonts w:eastAsia="Calibri" w:cs="Arial"/>
          <w:szCs w:val="20"/>
        </w:rPr>
        <w:t>audioierakstu</w:t>
      </w:r>
      <w:r w:rsidR="009547F2">
        <w:rPr>
          <w:rFonts w:eastAsia="Calibri" w:cs="Arial"/>
          <w:szCs w:val="20"/>
        </w:rPr>
        <w:t xml:space="preserve"> –</w:t>
      </w:r>
      <w:r w:rsidRPr="00807219">
        <w:rPr>
          <w:rFonts w:eastAsia="Calibri" w:cs="Arial"/>
          <w:szCs w:val="20"/>
        </w:rPr>
        <w:t xml:space="preserve"> ticamību, jo eksperta atzinums balstīts uz balss paraugiem, kas iegūti citam mērķim, nevis ekspertīzei. Nav arī skaidrs, kādēļ tika veikta</w:t>
      </w:r>
      <w:r w:rsidR="009547F2" w:rsidRPr="00807219">
        <w:rPr>
          <w:rFonts w:eastAsia="Calibri" w:cs="Arial"/>
          <w:i/>
          <w:iCs/>
          <w:szCs w:val="20"/>
        </w:rPr>
        <w:t xml:space="preserve"> </w:t>
      </w:r>
      <w:r w:rsidRPr="00807219">
        <w:rPr>
          <w:rFonts w:eastAsia="Calibri" w:cs="Arial"/>
          <w:szCs w:val="20"/>
        </w:rPr>
        <w:t xml:space="preserve">tā brīža </w:t>
      </w:r>
      <w:r w:rsidR="009547F2" w:rsidRPr="00807219">
        <w:rPr>
          <w:rFonts w:eastAsia="Calibri" w:cs="Arial"/>
          <w:i/>
          <w:iCs/>
          <w:szCs w:val="20"/>
        </w:rPr>
        <w:t>RERE Būve</w:t>
      </w:r>
      <w:r w:rsidR="00FD2BCE">
        <w:rPr>
          <w:rFonts w:eastAsia="Calibri" w:cs="Arial"/>
          <w:i/>
          <w:iCs/>
          <w:szCs w:val="20"/>
        </w:rPr>
        <w:t>s</w:t>
      </w:r>
      <w:r w:rsidR="009547F2" w:rsidRPr="00807219">
        <w:rPr>
          <w:rFonts w:eastAsia="Calibri" w:cs="Arial"/>
          <w:szCs w:val="20"/>
        </w:rPr>
        <w:t xml:space="preserve"> </w:t>
      </w:r>
      <w:r w:rsidRPr="00807219">
        <w:rPr>
          <w:rFonts w:eastAsia="Calibri" w:cs="Arial"/>
          <w:szCs w:val="20"/>
        </w:rPr>
        <w:t>valdes priekšsēdētāja</w:t>
      </w:r>
      <w:r w:rsidR="0067703C">
        <w:rPr>
          <w:rFonts w:eastAsia="Calibri" w:cs="Arial"/>
          <w:szCs w:val="20"/>
        </w:rPr>
        <w:t xml:space="preserve"> </w:t>
      </w:r>
      <w:r w:rsidR="0067703C">
        <w:rPr>
          <w:rFonts w:asciiTheme="majorBidi" w:hAnsiTheme="majorBidi" w:cstheme="majorBidi"/>
          <w:bCs/>
        </w:rPr>
        <w:t>[pers. H]</w:t>
      </w:r>
      <w:r w:rsidRPr="00807219">
        <w:rPr>
          <w:rFonts w:eastAsia="Calibri" w:cs="Arial"/>
          <w:szCs w:val="20"/>
        </w:rPr>
        <w:t xml:space="preserve">, kā arī </w:t>
      </w:r>
      <w:r w:rsidRPr="00807219">
        <w:rPr>
          <w:rFonts w:eastAsia="Calibri" w:cs="Arial"/>
          <w:i/>
          <w:iCs/>
          <w:szCs w:val="20"/>
        </w:rPr>
        <w:t xml:space="preserve">RE&amp;RE </w:t>
      </w:r>
      <w:r w:rsidRPr="00807219">
        <w:rPr>
          <w:rFonts w:eastAsia="Calibri" w:cs="Arial"/>
          <w:szCs w:val="20"/>
        </w:rPr>
        <w:t xml:space="preserve">valdes locekļu </w:t>
      </w:r>
      <w:r w:rsidR="008961C1">
        <w:rPr>
          <w:rFonts w:asciiTheme="majorBidi" w:hAnsiTheme="majorBidi" w:cstheme="majorBidi"/>
          <w:bCs/>
        </w:rPr>
        <w:t xml:space="preserve">[pers. B] </w:t>
      </w:r>
      <w:r w:rsidRPr="00807219">
        <w:rPr>
          <w:rFonts w:eastAsia="Calibri" w:cs="Arial"/>
          <w:szCs w:val="20"/>
        </w:rPr>
        <w:t xml:space="preserve">un </w:t>
      </w:r>
      <w:r w:rsidR="008961C1">
        <w:rPr>
          <w:rFonts w:asciiTheme="majorBidi" w:hAnsiTheme="majorBidi" w:cstheme="majorBidi"/>
          <w:bCs/>
        </w:rPr>
        <w:t xml:space="preserve">[pers. C] </w:t>
      </w:r>
      <w:r w:rsidRPr="00807219">
        <w:rPr>
          <w:rFonts w:eastAsia="Calibri" w:cs="Arial"/>
          <w:szCs w:val="20"/>
        </w:rPr>
        <w:t xml:space="preserve">balss identifikācija, ja šīs personas nebija iesaistītas kriminālprocesā. Līdz ar to </w:t>
      </w:r>
      <w:r w:rsidR="00FD2BCE">
        <w:rPr>
          <w:rFonts w:eastAsia="Calibri" w:cs="Arial"/>
          <w:szCs w:val="20"/>
        </w:rPr>
        <w:t>Konkurences p</w:t>
      </w:r>
      <w:r w:rsidR="00FD2BCE" w:rsidRPr="00807219">
        <w:rPr>
          <w:rFonts w:eastAsia="Calibri" w:cs="Arial"/>
          <w:szCs w:val="20"/>
        </w:rPr>
        <w:t xml:space="preserve">adome </w:t>
      </w:r>
      <w:r w:rsidRPr="00807219">
        <w:rPr>
          <w:rFonts w:eastAsia="Calibri" w:cs="Arial"/>
          <w:szCs w:val="20"/>
        </w:rPr>
        <w:t>nav pierādījusi izmantoto pierādījumu ticamību un pieļaujamību, savukārt tiesa šo pienākumu nepamatoti ignorēja.</w:t>
      </w:r>
    </w:p>
    <w:p w14:paraId="48E10F62" w14:textId="2B4BCCA5" w:rsidR="00EC20D8" w:rsidRPr="00807219" w:rsidRDefault="00EC20D8" w:rsidP="001F783F">
      <w:pPr>
        <w:spacing w:line="276" w:lineRule="auto"/>
        <w:ind w:firstLine="720"/>
        <w:jc w:val="both"/>
        <w:rPr>
          <w:rFonts w:eastAsia="Calibri" w:cs="Arial"/>
          <w:szCs w:val="20"/>
        </w:rPr>
      </w:pPr>
      <w:r w:rsidRPr="00807219">
        <w:rPr>
          <w:rFonts w:eastAsia="Calibri" w:cs="Arial"/>
          <w:szCs w:val="20"/>
        </w:rPr>
        <w:t xml:space="preserve">[8.7] Tiesa nav vērtējusi </w:t>
      </w:r>
      <w:r w:rsidR="00FD2BCE">
        <w:rPr>
          <w:rFonts w:eastAsia="Calibri" w:cs="Arial"/>
          <w:szCs w:val="20"/>
        </w:rPr>
        <w:t>Konkurences p</w:t>
      </w:r>
      <w:r w:rsidR="00FD2BCE" w:rsidRPr="00807219">
        <w:rPr>
          <w:rFonts w:eastAsia="Calibri" w:cs="Arial"/>
          <w:szCs w:val="20"/>
        </w:rPr>
        <w:t xml:space="preserve">adomes </w:t>
      </w:r>
      <w:r w:rsidRPr="00807219">
        <w:rPr>
          <w:rFonts w:eastAsia="Calibri" w:cs="Arial"/>
          <w:szCs w:val="20"/>
        </w:rPr>
        <w:t xml:space="preserve">pieļautos fizisko personu datu aizsardzības pārkāpumus. Saskaņā ar Administratīvā procesa likuma 60.pantu </w:t>
      </w:r>
      <w:r w:rsidR="00FD2BCE">
        <w:rPr>
          <w:rFonts w:eastAsia="Calibri" w:cs="Arial"/>
          <w:szCs w:val="20"/>
        </w:rPr>
        <w:t>Konkurences p</w:t>
      </w:r>
      <w:r w:rsidR="00FD2BCE" w:rsidRPr="00807219">
        <w:rPr>
          <w:rFonts w:eastAsia="Calibri" w:cs="Arial"/>
          <w:szCs w:val="20"/>
        </w:rPr>
        <w:t xml:space="preserve">adome </w:t>
      </w:r>
      <w:r w:rsidRPr="00807219">
        <w:rPr>
          <w:rFonts w:eastAsia="Calibri" w:cs="Arial"/>
          <w:szCs w:val="20"/>
        </w:rPr>
        <w:t xml:space="preserve">drīkst izmantot tikai tiesiski iegūtus datus, taču konkrētajā gadījumā pastāv šaubas par personas datu apstrādes likumību. Katra darbība – sarunu ierakstīšana, transkribēšana un nodošana – ir uzskatāma par atsevišķu personas datu apstrādi Datu regulas 4.panta 2.punkta izpratnē. Tā kā sākotnējais datu apstrādes nolūks bija kriminālprocess, kurā pieteicēju pārstāvjiem nebija nekāda statusa, nav skaidrs, kāpēc </w:t>
      </w:r>
      <w:r w:rsidR="00FD2BCE">
        <w:rPr>
          <w:rFonts w:eastAsia="Calibri" w:cs="Arial"/>
          <w:szCs w:val="20"/>
        </w:rPr>
        <w:t>Konkurences p</w:t>
      </w:r>
      <w:r w:rsidR="00FD2BCE" w:rsidRPr="00807219">
        <w:rPr>
          <w:rFonts w:eastAsia="Calibri" w:cs="Arial"/>
          <w:szCs w:val="20"/>
        </w:rPr>
        <w:t xml:space="preserve">adome </w:t>
      </w:r>
      <w:r w:rsidRPr="00807219">
        <w:rPr>
          <w:rFonts w:eastAsia="Calibri" w:cs="Arial"/>
          <w:szCs w:val="20"/>
        </w:rPr>
        <w:t xml:space="preserve">drīkstēja šos datus izmantot citam nolūkam. Padome, pieprasot un saņemot mutvārdos sniegtus paskaidrojumus no </w:t>
      </w:r>
      <w:r w:rsidRPr="00807219">
        <w:rPr>
          <w:rFonts w:eastAsia="Calibri" w:cs="Arial"/>
          <w:i/>
          <w:iCs/>
          <w:szCs w:val="20"/>
        </w:rPr>
        <w:t>RERE</w:t>
      </w:r>
      <w:r w:rsidR="00FA00B3" w:rsidRPr="00807219">
        <w:rPr>
          <w:rFonts w:eastAsia="Calibri" w:cs="Arial"/>
          <w:i/>
          <w:iCs/>
          <w:szCs w:val="20"/>
        </w:rPr>
        <w:t xml:space="preserve"> </w:t>
      </w:r>
      <w:r w:rsidRPr="00807219">
        <w:rPr>
          <w:rFonts w:eastAsia="Calibri" w:cs="Arial"/>
          <w:i/>
          <w:iCs/>
          <w:szCs w:val="20"/>
        </w:rPr>
        <w:t>Būve</w:t>
      </w:r>
      <w:r w:rsidR="00FD2BCE">
        <w:rPr>
          <w:rFonts w:eastAsia="Calibri" w:cs="Arial"/>
          <w:i/>
          <w:iCs/>
          <w:szCs w:val="20"/>
        </w:rPr>
        <w:t>s</w:t>
      </w:r>
      <w:r w:rsidRPr="00807219">
        <w:rPr>
          <w:rFonts w:eastAsia="Calibri" w:cs="Arial"/>
          <w:szCs w:val="20"/>
        </w:rPr>
        <w:t xml:space="preserve"> tā brīža valdes priekšsēdētāja</w:t>
      </w:r>
      <w:r w:rsidR="0067703C">
        <w:rPr>
          <w:rFonts w:eastAsia="Calibri" w:cs="Arial"/>
          <w:szCs w:val="20"/>
        </w:rPr>
        <w:t xml:space="preserve"> </w:t>
      </w:r>
      <w:r w:rsidR="0067703C">
        <w:rPr>
          <w:rFonts w:asciiTheme="majorBidi" w:hAnsiTheme="majorBidi" w:cstheme="majorBidi"/>
          <w:bCs/>
        </w:rPr>
        <w:t>[pers. H]</w:t>
      </w:r>
      <w:r w:rsidRPr="00807219">
        <w:rPr>
          <w:rFonts w:eastAsia="Calibri" w:cs="Arial"/>
          <w:szCs w:val="20"/>
        </w:rPr>
        <w:t xml:space="preserve">, kā arī </w:t>
      </w:r>
      <w:r w:rsidRPr="00807219">
        <w:rPr>
          <w:rFonts w:eastAsia="Calibri" w:cs="Arial"/>
          <w:i/>
          <w:iCs/>
          <w:szCs w:val="20"/>
        </w:rPr>
        <w:t>RE&amp;RE</w:t>
      </w:r>
      <w:r w:rsidRPr="00807219">
        <w:rPr>
          <w:rFonts w:eastAsia="Calibri" w:cs="Arial"/>
          <w:szCs w:val="20"/>
        </w:rPr>
        <w:t xml:space="preserve"> valdes locekļiem </w:t>
      </w:r>
      <w:r w:rsidR="008961C1">
        <w:rPr>
          <w:rFonts w:asciiTheme="majorBidi" w:hAnsiTheme="majorBidi" w:cstheme="majorBidi"/>
          <w:bCs/>
        </w:rPr>
        <w:t xml:space="preserve">[pers. B] </w:t>
      </w:r>
      <w:r w:rsidRPr="00807219">
        <w:rPr>
          <w:rFonts w:eastAsia="Calibri" w:cs="Arial"/>
          <w:szCs w:val="20"/>
        </w:rPr>
        <w:t>un</w:t>
      </w:r>
      <w:r w:rsidR="008961C1">
        <w:rPr>
          <w:rFonts w:eastAsia="Calibri" w:cs="Arial"/>
          <w:szCs w:val="20"/>
        </w:rPr>
        <w:t xml:space="preserve"> </w:t>
      </w:r>
      <w:r w:rsidR="008961C1">
        <w:rPr>
          <w:rFonts w:asciiTheme="majorBidi" w:hAnsiTheme="majorBidi" w:cstheme="majorBidi"/>
          <w:bCs/>
        </w:rPr>
        <w:t>[pers. C]</w:t>
      </w:r>
      <w:r w:rsidRPr="00807219">
        <w:rPr>
          <w:rFonts w:eastAsia="Calibri" w:cs="Arial"/>
          <w:szCs w:val="20"/>
        </w:rPr>
        <w:t xml:space="preserve">, ir ierakstījusi personu balsis un vēlāk nodevusi tās citai iestādei fonoskopiskās ekspertīzes veikšanai bez datu subjektu piekrišanas, tādējādi pārkāpjot personas datu apstrādes nolūka saderības principu. Tāpēc šādi pierādījumi ir nepieļaujami. Tiesa, ignorējot Eiropas Savienības Tiesas 2022.gada 5.aprīļa sprieduma lietā </w:t>
      </w:r>
      <w:r w:rsidRPr="000B5716">
        <w:rPr>
          <w:rFonts w:eastAsia="Calibri" w:cs="Arial"/>
          <w:szCs w:val="20"/>
        </w:rPr>
        <w:t>C-140/20</w:t>
      </w:r>
      <w:r w:rsidRPr="00807219">
        <w:rPr>
          <w:rFonts w:eastAsia="Calibri" w:cs="Arial"/>
          <w:szCs w:val="20"/>
        </w:rPr>
        <w:t xml:space="preserve"> izteiktās atziņas, ir pārkāpusi Konvencijas 6.panta pirmo daļu, Satversmes 92.pantu un Administratīvā procesa likuma 103.panta otro daļu un trešās daļas 1.punktu.</w:t>
      </w:r>
    </w:p>
    <w:p w14:paraId="7D17F086" w14:textId="1223BB93" w:rsidR="00EC20D8" w:rsidRPr="00807219" w:rsidRDefault="00EC20D8" w:rsidP="001F783F">
      <w:pPr>
        <w:spacing w:line="276" w:lineRule="auto"/>
        <w:ind w:firstLine="720"/>
        <w:jc w:val="both"/>
      </w:pPr>
      <w:r w:rsidRPr="00807219">
        <w:rPr>
          <w:rFonts w:eastAsia="Calibri" w:cs="Arial"/>
          <w:szCs w:val="20"/>
        </w:rPr>
        <w:t>[8.8] </w:t>
      </w:r>
      <w:r w:rsidRPr="00807219">
        <w:t xml:space="preserve">Tiesa nav korekti novērtējusi pieteicēju argumentus, ka </w:t>
      </w:r>
      <w:r w:rsidRPr="00807219">
        <w:rPr>
          <w:i/>
          <w:iCs/>
        </w:rPr>
        <w:t>Velve</w:t>
      </w:r>
      <w:r w:rsidRPr="00807219">
        <w:t xml:space="preserve"> nebija īstenojusi aktīvāku sadarbību ar </w:t>
      </w:r>
      <w:r w:rsidR="00FD2BCE">
        <w:t>Konkurences p</w:t>
      </w:r>
      <w:r w:rsidR="00FD2BCE" w:rsidRPr="00807219">
        <w:t>adomi</w:t>
      </w:r>
      <w:r w:rsidRPr="00807219">
        <w:t xml:space="preserve">, kādu nebūtu īstenojušas arī pieteicējas. Līdz ar to tiesa kļūdaini secinājusi, ka </w:t>
      </w:r>
      <w:r w:rsidR="00FD2BCE">
        <w:t>p</w:t>
      </w:r>
      <w:r w:rsidR="00FD2BCE" w:rsidRPr="00807219">
        <w:t xml:space="preserve">adome </w:t>
      </w:r>
      <w:r w:rsidRPr="00807219">
        <w:t>nav pārkāpusi vienlīdzīgas attieksmes principu, tādējādi pieļaujot Administratīvā procesa likuma 9.panta pārkāpumu.</w:t>
      </w:r>
    </w:p>
    <w:p w14:paraId="1A73414A" w14:textId="77777777" w:rsidR="00EC20D8" w:rsidRPr="00807219" w:rsidRDefault="00EC20D8" w:rsidP="001F783F">
      <w:pPr>
        <w:spacing w:line="276" w:lineRule="auto"/>
        <w:ind w:firstLine="720"/>
        <w:jc w:val="both"/>
        <w:rPr>
          <w:rFonts w:asciiTheme="majorBidi" w:hAnsiTheme="majorBidi" w:cstheme="majorBidi"/>
          <w:lang w:eastAsia="lv-LV"/>
        </w:rPr>
      </w:pPr>
    </w:p>
    <w:p w14:paraId="1132D315" w14:textId="0039DC5B" w:rsidR="00EC20D8" w:rsidRPr="00807219" w:rsidRDefault="00EC20D8" w:rsidP="001F783F">
      <w:pPr>
        <w:spacing w:line="276" w:lineRule="auto"/>
        <w:ind w:firstLine="720"/>
        <w:jc w:val="both"/>
        <w:rPr>
          <w:rFonts w:asciiTheme="majorBidi" w:hAnsiTheme="majorBidi" w:cstheme="majorBidi"/>
          <w:lang w:eastAsia="lv-LV"/>
        </w:rPr>
      </w:pPr>
      <w:r w:rsidRPr="00807219">
        <w:rPr>
          <w:rFonts w:asciiTheme="majorBidi" w:hAnsiTheme="majorBidi" w:cstheme="majorBidi"/>
          <w:lang w:eastAsia="lv-LV"/>
        </w:rPr>
        <w:t>[9] Papildu</w:t>
      </w:r>
      <w:r w:rsidR="0014700C">
        <w:rPr>
          <w:rFonts w:asciiTheme="majorBidi" w:hAnsiTheme="majorBidi" w:cstheme="majorBidi"/>
          <w:lang w:eastAsia="lv-LV"/>
        </w:rPr>
        <w:t>s</w:t>
      </w:r>
      <w:r w:rsidRPr="00807219">
        <w:rPr>
          <w:rFonts w:asciiTheme="majorBidi" w:hAnsiTheme="majorBidi" w:cstheme="majorBidi"/>
          <w:lang w:eastAsia="lv-LV"/>
        </w:rPr>
        <w:t xml:space="preserve"> šā sprieduma 8.punktā minētaj</w:t>
      </w:r>
      <w:r w:rsidR="00CA7763" w:rsidRPr="00807219">
        <w:rPr>
          <w:rFonts w:asciiTheme="majorBidi" w:hAnsiTheme="majorBidi" w:cstheme="majorBidi"/>
          <w:lang w:eastAsia="lv-LV"/>
        </w:rPr>
        <w:t xml:space="preserve">am </w:t>
      </w:r>
      <w:r w:rsidRPr="00807219">
        <w:rPr>
          <w:rFonts w:asciiTheme="majorBidi" w:hAnsiTheme="majorBidi" w:cstheme="majorBidi"/>
          <w:i/>
          <w:iCs/>
          <w:lang w:eastAsia="lv-LV"/>
        </w:rPr>
        <w:t>RE&amp;RE</w:t>
      </w:r>
      <w:r w:rsidRPr="00807219">
        <w:rPr>
          <w:rFonts w:asciiTheme="majorBidi" w:hAnsiTheme="majorBidi" w:cstheme="majorBidi"/>
          <w:lang w:eastAsia="lv-LV"/>
        </w:rPr>
        <w:t xml:space="preserve"> </w:t>
      </w:r>
      <w:r w:rsidRPr="00807219">
        <w:rPr>
          <w:rFonts w:asciiTheme="majorBidi" w:hAnsiTheme="majorBidi" w:cstheme="majorBidi"/>
        </w:rPr>
        <w:t>kasācijas sūdzība pamatota vēl ar turpmā</w:t>
      </w:r>
      <w:r w:rsidR="009547F2">
        <w:rPr>
          <w:rFonts w:asciiTheme="majorBidi" w:hAnsiTheme="majorBidi" w:cstheme="majorBidi"/>
        </w:rPr>
        <w:t>k</w:t>
      </w:r>
      <w:r w:rsidR="00FD2BCE">
        <w:rPr>
          <w:rFonts w:asciiTheme="majorBidi" w:hAnsiTheme="majorBidi" w:cstheme="majorBidi"/>
        </w:rPr>
        <w:t>aj</w:t>
      </w:r>
      <w:r w:rsidR="009547F2">
        <w:rPr>
          <w:rFonts w:asciiTheme="majorBidi" w:hAnsiTheme="majorBidi" w:cstheme="majorBidi"/>
        </w:rPr>
        <w:t>iem argumentiem</w:t>
      </w:r>
      <w:r w:rsidRPr="00807219">
        <w:rPr>
          <w:rFonts w:asciiTheme="majorBidi" w:hAnsiTheme="majorBidi" w:cstheme="majorBidi"/>
        </w:rPr>
        <w:t>.</w:t>
      </w:r>
    </w:p>
    <w:p w14:paraId="3B718731" w14:textId="269E9B9A" w:rsidR="00EC20D8" w:rsidRPr="00A55711" w:rsidRDefault="00EC20D8" w:rsidP="001F783F">
      <w:pPr>
        <w:spacing w:line="276" w:lineRule="auto"/>
        <w:ind w:firstLine="720"/>
        <w:jc w:val="both"/>
        <w:rPr>
          <w:highlight w:val="green"/>
        </w:rPr>
      </w:pPr>
      <w:r w:rsidRPr="00807219">
        <w:t xml:space="preserve">[9.1] Tiesa kļūdaini novērtējusi pieteicējas iespējamo lomu aizliegtas vienošanās īstenošanā. No sprieduma nav saprotams, kā tiesa pārbaudījusi </w:t>
      </w:r>
      <w:r w:rsidR="00FD2BCE">
        <w:t>Konkurences p</w:t>
      </w:r>
      <w:r w:rsidR="00FD2BCE" w:rsidRPr="00807219">
        <w:t xml:space="preserve">adomes </w:t>
      </w:r>
      <w:r w:rsidRPr="00807219">
        <w:t xml:space="preserve">rīcības </w:t>
      </w:r>
      <w:r w:rsidR="00FD2BCE" w:rsidRPr="00807219">
        <w:t>brīvīb</w:t>
      </w:r>
      <w:r w:rsidR="00FD2BCE">
        <w:t>as izmantošanu</w:t>
      </w:r>
      <w:r w:rsidRPr="00807219">
        <w:t>, vērtējot, kuru tirgus dalībnieku loma apgalvotajā pārkāpumā bijusi aktīvāka</w:t>
      </w:r>
      <w:r w:rsidR="00FD2BCE">
        <w:t>,</w:t>
      </w:r>
      <w:r w:rsidRPr="00807219">
        <w:t xml:space="preserve"> un tādējādi noteikusi naudas soda apmēru par pārkāpuma </w:t>
      </w:r>
      <w:r w:rsidRPr="00A55711">
        <w:t xml:space="preserve">smagumu. Padome patvaļīgi interpretējusi </w:t>
      </w:r>
      <w:r w:rsidR="00A55711" w:rsidRPr="00A55711">
        <w:t xml:space="preserve">Ministru kabineta 2016.gada 29.marta noteikumu Nr. 179 „Kārtība, kādā nosaka naudas sodu par konkurences tiesību un negodīgas tirdzniecības prakses aizlieguma pārkāpumiem un </w:t>
      </w:r>
      <w:r w:rsidR="00A55711" w:rsidRPr="00E217DD">
        <w:t xml:space="preserve">piespiedu naudu par Konkurences padomes noteiktā tiesiskā pienākuma nepildīšanu” (turpmāk – </w:t>
      </w:r>
      <w:r w:rsidR="00FD2BCE">
        <w:t>n</w:t>
      </w:r>
      <w:r w:rsidR="00FD2BCE" w:rsidRPr="00E217DD">
        <w:t xml:space="preserve">oteikumi </w:t>
      </w:r>
      <w:r w:rsidR="00A55711" w:rsidRPr="00E217DD">
        <w:t xml:space="preserve">Nr. 179) </w:t>
      </w:r>
      <w:r w:rsidRPr="00E217DD">
        <w:t>15.punktu, izvēloties atsevišķus tirgus dalībniekus, kuriem piedēvēt „augstāku aktivitātes pakāpi”</w:t>
      </w:r>
      <w:r w:rsidR="009547F2" w:rsidRPr="00E217DD">
        <w:t>. S</w:t>
      </w:r>
      <w:r w:rsidRPr="00E217DD">
        <w:t xml:space="preserve">avukārt tiesa spriedumā nav konstatējusi, ka </w:t>
      </w:r>
      <w:r w:rsidR="00FD2BCE">
        <w:t>Konkurences p</w:t>
      </w:r>
      <w:r w:rsidR="00FD2BCE" w:rsidRPr="00E217DD">
        <w:t xml:space="preserve">adome </w:t>
      </w:r>
      <w:r w:rsidRPr="00E217DD">
        <w:t>kļūdaini piemērojusi</w:t>
      </w:r>
      <w:r w:rsidRPr="00807219">
        <w:t xml:space="preserve"> materiālo tiesību normas un pārkāpusi vienlīdzīgas attieksmes principu.</w:t>
      </w:r>
    </w:p>
    <w:p w14:paraId="3DC2DCF7" w14:textId="33078653" w:rsidR="00EC20D8" w:rsidRPr="00807219" w:rsidRDefault="00EC20D8" w:rsidP="001F783F">
      <w:pPr>
        <w:spacing w:line="276" w:lineRule="auto"/>
        <w:ind w:firstLine="720"/>
        <w:jc w:val="both"/>
      </w:pPr>
      <w:r w:rsidRPr="00807219">
        <w:t xml:space="preserve">[9.2] Tiesa kļūdaini interpretējusi pieteicējas norādes par apgalvotā pārkāpuma ilgumu. Tiesa nav vērtējusi faktu, ka </w:t>
      </w:r>
      <w:r w:rsidR="00FD2BCE">
        <w:t>Konkurences p</w:t>
      </w:r>
      <w:r w:rsidR="00FD2BCE" w:rsidRPr="00807219">
        <w:t xml:space="preserve">adomes </w:t>
      </w:r>
      <w:r w:rsidRPr="00807219">
        <w:t xml:space="preserve">secinājumi attiecībā uz pārkāpuma ilgumu neatbilst lietā esošajiem pierādījumiem. Proti, kultūras pils „Ziemeļblāzma” iepirkumā uzvarēja un restaurācijas darbus veica </w:t>
      </w:r>
      <w:r w:rsidRPr="00807219">
        <w:rPr>
          <w:i/>
          <w:iCs/>
        </w:rPr>
        <w:t>Arčers</w:t>
      </w:r>
      <w:r w:rsidRPr="00807219">
        <w:t xml:space="preserve">, kas </w:t>
      </w:r>
      <w:r w:rsidR="00FD2BCE">
        <w:t>p</w:t>
      </w:r>
      <w:r w:rsidR="00FD2BCE" w:rsidRPr="00807219">
        <w:t xml:space="preserve">adomes </w:t>
      </w:r>
      <w:r w:rsidRPr="00807219">
        <w:t xml:space="preserve">ieskatā nebija it kā pastāvošās „vēsturiskās vienošanās” dalībnieks. Līdz ar to nav saprotams, kā var tikt konstatēta aizliegta </w:t>
      </w:r>
      <w:r w:rsidR="009547F2">
        <w:t>„</w:t>
      </w:r>
      <w:r w:rsidRPr="00807219">
        <w:t>vēsturiska vienošanās</w:t>
      </w:r>
      <w:r w:rsidR="009547F2">
        <w:t>”</w:t>
      </w:r>
      <w:r w:rsidRPr="00807219">
        <w:t xml:space="preserve">, kuras ietvaros ir uzvarējis tirgus dalībnieks, kas </w:t>
      </w:r>
      <w:r w:rsidR="00FD2BCE">
        <w:t>p</w:t>
      </w:r>
      <w:r w:rsidR="00FD2BCE" w:rsidRPr="00807219">
        <w:t xml:space="preserve">adomes </w:t>
      </w:r>
      <w:r w:rsidRPr="00807219">
        <w:t>ieskatā nemaz nav bijis šīs vienošanās dalībnieks.</w:t>
      </w:r>
    </w:p>
    <w:p w14:paraId="29F0BAF3" w14:textId="77777777" w:rsidR="00033674" w:rsidRPr="00807219" w:rsidRDefault="00033674" w:rsidP="001F783F">
      <w:pPr>
        <w:spacing w:line="276" w:lineRule="auto"/>
        <w:ind w:firstLine="720"/>
        <w:jc w:val="both"/>
        <w:rPr>
          <w:rFonts w:eastAsia="Calibri" w:cs="Arial"/>
          <w:szCs w:val="20"/>
        </w:rPr>
      </w:pPr>
      <w:bookmarkStart w:id="5" w:name="_Hlk159569334"/>
    </w:p>
    <w:bookmarkEnd w:id="5"/>
    <w:p w14:paraId="4F2B3901" w14:textId="4AC0C2B8" w:rsidR="00236B12" w:rsidRPr="00807219" w:rsidRDefault="00236B12" w:rsidP="001F783F">
      <w:pPr>
        <w:spacing w:line="276" w:lineRule="auto"/>
        <w:ind w:firstLine="720"/>
        <w:jc w:val="both"/>
        <w:rPr>
          <w:rFonts w:asciiTheme="majorBidi" w:hAnsiTheme="majorBidi" w:cstheme="majorBidi"/>
          <w:lang w:eastAsia="lv-LV"/>
        </w:rPr>
      </w:pPr>
      <w:r w:rsidRPr="00807219">
        <w:rPr>
          <w:rFonts w:asciiTheme="majorBidi" w:hAnsiTheme="majorBidi" w:cstheme="majorBidi"/>
          <w:lang w:eastAsia="lv-LV"/>
        </w:rPr>
        <w:t>[</w:t>
      </w:r>
      <w:r w:rsidR="00CA7763" w:rsidRPr="00807219">
        <w:rPr>
          <w:rFonts w:asciiTheme="majorBidi" w:hAnsiTheme="majorBidi" w:cstheme="majorBidi"/>
          <w:lang w:eastAsia="lv-LV"/>
        </w:rPr>
        <w:t>10</w:t>
      </w:r>
      <w:r w:rsidRPr="00807219">
        <w:rPr>
          <w:rFonts w:asciiTheme="majorBidi" w:hAnsiTheme="majorBidi" w:cstheme="majorBidi"/>
          <w:lang w:eastAsia="lv-LV"/>
        </w:rPr>
        <w:t>]</w:t>
      </w:r>
      <w:r w:rsidR="00B74A20" w:rsidRPr="00807219">
        <w:rPr>
          <w:rFonts w:asciiTheme="majorBidi" w:hAnsiTheme="majorBidi" w:cstheme="majorBidi"/>
          <w:lang w:eastAsia="lv-LV"/>
        </w:rPr>
        <w:t> </w:t>
      </w:r>
      <w:r w:rsidRPr="00807219">
        <w:rPr>
          <w:rFonts w:asciiTheme="majorBidi" w:hAnsiTheme="majorBidi" w:cstheme="majorBidi"/>
          <w:i/>
          <w:iCs/>
          <w:lang w:eastAsia="lv-LV"/>
        </w:rPr>
        <w:t>LNK</w:t>
      </w:r>
      <w:r w:rsidRPr="00807219">
        <w:rPr>
          <w:rFonts w:asciiTheme="majorBidi" w:hAnsiTheme="majorBidi" w:cstheme="majorBidi"/>
          <w:lang w:eastAsia="lv-LV"/>
        </w:rPr>
        <w:t xml:space="preserve"> </w:t>
      </w:r>
      <w:r w:rsidR="00B66E46" w:rsidRPr="00807219">
        <w:rPr>
          <w:rFonts w:asciiTheme="majorBidi" w:hAnsiTheme="majorBidi" w:cstheme="majorBidi"/>
        </w:rPr>
        <w:t>kasācijas sūdzība pamatota ar turpmāko</w:t>
      </w:r>
      <w:r w:rsidRPr="00807219">
        <w:rPr>
          <w:rFonts w:asciiTheme="majorBidi" w:hAnsiTheme="majorBidi" w:cstheme="majorBidi"/>
        </w:rPr>
        <w:t>.</w:t>
      </w:r>
    </w:p>
    <w:p w14:paraId="73232068" w14:textId="009B818E" w:rsidR="003D0C15" w:rsidRPr="00807219" w:rsidRDefault="00236B12" w:rsidP="001F783F">
      <w:pPr>
        <w:spacing w:line="276" w:lineRule="auto"/>
        <w:ind w:firstLine="720"/>
        <w:jc w:val="both"/>
      </w:pPr>
      <w:r w:rsidRPr="00807219">
        <w:rPr>
          <w:rFonts w:asciiTheme="majorBidi" w:hAnsiTheme="majorBidi" w:cstheme="majorBidi"/>
          <w:bCs/>
        </w:rPr>
        <w:t>[</w:t>
      </w:r>
      <w:r w:rsidR="00CA7763" w:rsidRPr="00807219">
        <w:rPr>
          <w:rFonts w:asciiTheme="majorBidi" w:hAnsiTheme="majorBidi" w:cstheme="majorBidi"/>
          <w:bCs/>
        </w:rPr>
        <w:t>10</w:t>
      </w:r>
      <w:r w:rsidRPr="00807219">
        <w:rPr>
          <w:rFonts w:asciiTheme="majorBidi" w:hAnsiTheme="majorBidi" w:cstheme="majorBidi"/>
          <w:bCs/>
        </w:rPr>
        <w:t>.1]</w:t>
      </w:r>
      <w:r w:rsidR="00FA00B3" w:rsidRPr="00807219">
        <w:rPr>
          <w:rFonts w:asciiTheme="majorBidi" w:hAnsiTheme="majorBidi" w:cstheme="majorBidi"/>
          <w:bCs/>
        </w:rPr>
        <w:t> </w:t>
      </w:r>
      <w:r w:rsidR="003D0C15" w:rsidRPr="00807219">
        <w:t xml:space="preserve">Tiesa kļūdaini secinājusi, ka </w:t>
      </w:r>
      <w:r w:rsidR="003D0C15" w:rsidRPr="00807219">
        <w:rPr>
          <w:i/>
          <w:iCs/>
        </w:rPr>
        <w:t>LNK</w:t>
      </w:r>
      <w:r w:rsidR="003D0C15" w:rsidRPr="00807219">
        <w:t xml:space="preserve"> </w:t>
      </w:r>
      <w:r w:rsidR="009547F2">
        <w:t xml:space="preserve">ir </w:t>
      </w:r>
      <w:r w:rsidR="003D0C15" w:rsidRPr="00807219">
        <w:t xml:space="preserve">pamatoti piemērota solidāra atbildība par </w:t>
      </w:r>
      <w:r w:rsidR="003D0C15" w:rsidRPr="00807219">
        <w:rPr>
          <w:i/>
          <w:iCs/>
        </w:rPr>
        <w:t>LNK Industries</w:t>
      </w:r>
      <w:r w:rsidR="003D0C15" w:rsidRPr="00807219">
        <w:t xml:space="preserve"> pieļautu konkurences tiesību pārkāpumu. Tiesa nav vērtējusi, ka solidārā atbildība piemērota, nepastāvot tiesību normai, pretēji lietderības apsvērumiem un Eiropas Savienības Tiesas praksei. Senāts ir atzinis, ka citas personas saukšana pie solidāras atbildības par svešu nodokļu parādu ierobežo Satversmes 105.pantā garantētās tiesības uz īpašumu, tādēļ šādam pienākumam jābūt skaidri noteiktam likumā. Konkrētajā gadījumā solidārās atbildības piemērošana mātes sabiedrībai nav paredzēta nevienā tiesību normā. Rezultātā </w:t>
      </w:r>
      <w:r w:rsidR="003D0C15" w:rsidRPr="00807219">
        <w:rPr>
          <w:i/>
          <w:iCs/>
        </w:rPr>
        <w:t>LNK</w:t>
      </w:r>
      <w:r w:rsidR="003D0C15" w:rsidRPr="00807219">
        <w:t xml:space="preserve"> var tikt uzlikts pienākums samaksāt vairāk nekā 3 miljonus </w:t>
      </w:r>
      <w:r w:rsidR="003D0C15" w:rsidRPr="003C1D7F">
        <w:rPr>
          <w:i/>
          <w:iCs/>
        </w:rPr>
        <w:t>euro</w:t>
      </w:r>
      <w:r w:rsidR="003D0C15" w:rsidRPr="00807219">
        <w:t xml:space="preserve"> par </w:t>
      </w:r>
      <w:r w:rsidR="003D0C15" w:rsidRPr="00807219">
        <w:rPr>
          <w:i/>
          <w:iCs/>
        </w:rPr>
        <w:t>LNK Industries</w:t>
      </w:r>
      <w:r w:rsidR="003D0C15" w:rsidRPr="00807219">
        <w:t xml:space="preserve"> pārkāpumu, lai gan tā vairs nav mātes sabiedrība un nav konstatēta tās dalība vai informētība par </w:t>
      </w:r>
      <w:r w:rsidR="003D0C15" w:rsidRPr="00807219">
        <w:rPr>
          <w:i/>
          <w:iCs/>
        </w:rPr>
        <w:t>LNK Industries</w:t>
      </w:r>
      <w:r w:rsidR="003D0C15" w:rsidRPr="00807219">
        <w:t xml:space="preserve"> pieļautajiem pārkāpumiem. </w:t>
      </w:r>
      <w:r w:rsidR="00B073D1" w:rsidRPr="00807219">
        <w:t xml:space="preserve">Turklāt, ievērojot vienlīdzības principu, visiem lietas dalībniekiem bija jāpiemēro tādi paši kritēriji kā </w:t>
      </w:r>
      <w:r w:rsidR="00B073D1" w:rsidRPr="00807219">
        <w:rPr>
          <w:i/>
          <w:iCs/>
        </w:rPr>
        <w:t>Velve</w:t>
      </w:r>
      <w:r w:rsidR="00FD2BCE">
        <w:rPr>
          <w:i/>
          <w:iCs/>
        </w:rPr>
        <w:t>i</w:t>
      </w:r>
      <w:r w:rsidR="00B073D1" w:rsidRPr="00807219">
        <w:t>, kurai solidārā atbildība netika noteikta.</w:t>
      </w:r>
    </w:p>
    <w:p w14:paraId="5F7DCB0F" w14:textId="437EC684" w:rsidR="008F4AA7" w:rsidRPr="00807219" w:rsidRDefault="00AB7FE4" w:rsidP="001F783F">
      <w:pPr>
        <w:spacing w:line="276" w:lineRule="auto"/>
        <w:ind w:firstLine="720"/>
        <w:jc w:val="both"/>
      </w:pPr>
      <w:r w:rsidRPr="00807219">
        <w:t>[</w:t>
      </w:r>
      <w:r w:rsidR="00CA7763" w:rsidRPr="00807219">
        <w:t>10</w:t>
      </w:r>
      <w:r w:rsidRPr="00807219">
        <w:t>.2] </w:t>
      </w:r>
      <w:r w:rsidR="008F4AA7" w:rsidRPr="00807219">
        <w:t>Tiesa nepamatoti piemērojusi LESD 101.panta 1.punktu, kļūdaini vērtējot „ietekmes uz tirdzniecību starp dalībvalstīm” kritēriju. Nepareizi nosakot tirgu, tiesa kļūdaini secinājusi, ka vienošanās ietekmējusi visu Latvijas teritoriju. Ja par konkrēto tirgu tiktu uzskatīts katrs iepirkums atsevišķi, būtu jāsecina, ka neizpildās ne elements „tirdzniecība starp dalībvalstīm”, ne elements „var iespaidot”.</w:t>
      </w:r>
    </w:p>
    <w:p w14:paraId="39EAE843" w14:textId="637DDA73" w:rsidR="008F4AA7" w:rsidRPr="00807219" w:rsidRDefault="00AB7FE4" w:rsidP="001F783F">
      <w:pPr>
        <w:spacing w:line="276" w:lineRule="auto"/>
        <w:ind w:firstLine="720"/>
        <w:jc w:val="both"/>
      </w:pPr>
      <w:r w:rsidRPr="00807219">
        <w:t>[</w:t>
      </w:r>
      <w:r w:rsidR="00CA7763" w:rsidRPr="00807219">
        <w:t>10</w:t>
      </w:r>
      <w:r w:rsidRPr="00807219">
        <w:t>.3] </w:t>
      </w:r>
      <w:r w:rsidR="008F4AA7" w:rsidRPr="00807219">
        <w:t>Tiesa nepareizi piemērojusi Konkurences likuma 11.pantu, kļūdaini nosakot konkrēto tirgu, kā rezultātā pieļāvusi būtiskas kļūdas pierādījumu novērtēšan</w:t>
      </w:r>
      <w:r w:rsidR="009B6716">
        <w:t>ā</w:t>
      </w:r>
      <w:r w:rsidR="008F4AA7" w:rsidRPr="00807219">
        <w:t xml:space="preserve"> un pārkāpuma konstatēšan</w:t>
      </w:r>
      <w:r w:rsidR="009B6716">
        <w:t>ā</w:t>
      </w:r>
      <w:r w:rsidR="008F4AA7" w:rsidRPr="00807219">
        <w:t xml:space="preserve">. Šajā lietā </w:t>
      </w:r>
      <w:r w:rsidR="009B6716">
        <w:t>Konkurences p</w:t>
      </w:r>
      <w:r w:rsidR="009B6716" w:rsidRPr="00807219">
        <w:t xml:space="preserve">adomei </w:t>
      </w:r>
      <w:r w:rsidR="008F4AA7" w:rsidRPr="00807219">
        <w:t>katrs iepirkums bija jāvērtē atsevišķi, izvērtējot konkurences apstākļus, kā arī to, vai pastāv karteļa vienošanās.</w:t>
      </w:r>
    </w:p>
    <w:p w14:paraId="534DA731" w14:textId="2B20BDD1" w:rsidR="00A874C9" w:rsidRPr="00807219" w:rsidRDefault="00AB7FE4" w:rsidP="001F783F">
      <w:pPr>
        <w:spacing w:line="276" w:lineRule="auto"/>
        <w:ind w:firstLine="720"/>
        <w:jc w:val="both"/>
      </w:pPr>
      <w:r w:rsidRPr="00A55711">
        <w:t>[</w:t>
      </w:r>
      <w:r w:rsidR="00CA7763" w:rsidRPr="00A55711">
        <w:t>10</w:t>
      </w:r>
      <w:r w:rsidRPr="00A55711">
        <w:t>.4] </w:t>
      </w:r>
      <w:r w:rsidR="00A874C9" w:rsidRPr="00A55711">
        <w:t>Tiesa</w:t>
      </w:r>
      <w:r w:rsidR="00B046C1" w:rsidRPr="00A55711">
        <w:t>,</w:t>
      </w:r>
      <w:r w:rsidR="00A874C9" w:rsidRPr="00A55711">
        <w:t xml:space="preserve"> </w:t>
      </w:r>
      <w:r w:rsidR="00B046C1" w:rsidRPr="00A55711">
        <w:t xml:space="preserve">kļūdaini vērtējot pārkāpuma smagumu un ilgumu, </w:t>
      </w:r>
      <w:r w:rsidR="00A874C9" w:rsidRPr="00A55711">
        <w:t xml:space="preserve">nepareizi piemērojusi </w:t>
      </w:r>
      <w:r w:rsidR="009B6716">
        <w:t>n</w:t>
      </w:r>
      <w:r w:rsidR="009B6716" w:rsidRPr="00A55711">
        <w:t xml:space="preserve">oteikumus </w:t>
      </w:r>
      <w:r w:rsidR="00A874C9" w:rsidRPr="00A55711">
        <w:t>Nr. 179.</w:t>
      </w:r>
      <w:r w:rsidR="00A874C9" w:rsidRPr="00807219">
        <w:t xml:space="preserve"> Padomei bija jāizvērtē katra tirgus dalībnieka konkrētā iesaiste vienošanās īstenošanā, </w:t>
      </w:r>
      <w:r w:rsidR="00B046C1" w:rsidRPr="00807219">
        <w:t>kas savukārt ļautu personalizēt naudas soda apmēru</w:t>
      </w:r>
      <w:r w:rsidR="00A874C9" w:rsidRPr="00807219">
        <w:t>. Saskaņā ar E</w:t>
      </w:r>
      <w:r w:rsidR="00B046C1" w:rsidRPr="00807219">
        <w:t>iropas Savienības</w:t>
      </w:r>
      <w:r w:rsidR="00A874C9" w:rsidRPr="00807219">
        <w:t xml:space="preserve"> Tiesas praksi par saskaņotu piedāvājumu iesniegšanu publiskā iepirkumā, pārkāpuma beigu brīdis ir brīdis, kad noslēgts būvdarbu līgums. Tiesa nepamatoti secinājusi, ka šie principi konkrētajā lietā nav piemērojami.</w:t>
      </w:r>
    </w:p>
    <w:p w14:paraId="08AF185A" w14:textId="2EF2BF19" w:rsidR="00A418F9" w:rsidRPr="00807219" w:rsidRDefault="00AB7FE4" w:rsidP="001F783F">
      <w:pPr>
        <w:spacing w:line="276" w:lineRule="auto"/>
        <w:ind w:firstLine="720"/>
        <w:jc w:val="both"/>
      </w:pPr>
      <w:bookmarkStart w:id="6" w:name="_Hlk212821849"/>
      <w:r w:rsidRPr="00807219">
        <w:t>[</w:t>
      </w:r>
      <w:r w:rsidR="00CA7763" w:rsidRPr="00807219">
        <w:t>10</w:t>
      </w:r>
      <w:r w:rsidRPr="00807219">
        <w:t>.5] </w:t>
      </w:r>
      <w:r w:rsidR="00A418F9" w:rsidRPr="00807219">
        <w:t xml:space="preserve">Tiesa, nepareizi interpretējot Operatīvās darbības likuma 24.panta pirmo un piekto daļu, secinājusi, ka slepeni ierakstītas sarunas drīkst nodot </w:t>
      </w:r>
      <w:r w:rsidR="009B6716">
        <w:t>Konkurences p</w:t>
      </w:r>
      <w:r w:rsidR="009B6716" w:rsidRPr="00807219">
        <w:t xml:space="preserve">adomei </w:t>
      </w:r>
      <w:r w:rsidR="00A418F9" w:rsidRPr="00807219">
        <w:t>izmantošanai administratīvajā procesā. Rezultātā konkurences tiesību pārkāpuma pierādīšanai izmantoti nepieļaujami pierādījumi, kas pārkāpj publiskajās tiesībās pastāvošo principu „atļauts ir tikai tas, kas noteikts ar tiesību normu”. Tiesa pārkāpusi Administratīvā procesa likuma 152.panta pirmo daļu.</w:t>
      </w:r>
    </w:p>
    <w:bookmarkEnd w:id="6"/>
    <w:p w14:paraId="5467577A" w14:textId="77777777" w:rsidR="00A418F9" w:rsidRPr="00807219" w:rsidRDefault="00A418F9" w:rsidP="001F783F">
      <w:pPr>
        <w:spacing w:line="276" w:lineRule="auto"/>
        <w:ind w:firstLine="720"/>
        <w:jc w:val="both"/>
        <w:rPr>
          <w:rFonts w:asciiTheme="majorBidi" w:hAnsiTheme="majorBidi" w:cstheme="majorBidi"/>
          <w:bCs/>
        </w:rPr>
      </w:pPr>
    </w:p>
    <w:p w14:paraId="78C450A3" w14:textId="78D8CF1E" w:rsidR="00236B12" w:rsidRPr="00807219" w:rsidRDefault="00236B12" w:rsidP="001F783F">
      <w:pPr>
        <w:spacing w:line="276" w:lineRule="auto"/>
        <w:ind w:firstLine="720"/>
        <w:jc w:val="both"/>
        <w:rPr>
          <w:rFonts w:asciiTheme="majorBidi" w:hAnsiTheme="majorBidi" w:cstheme="majorBidi"/>
          <w:lang w:eastAsia="lv-LV"/>
        </w:rPr>
      </w:pPr>
      <w:r w:rsidRPr="00807219">
        <w:rPr>
          <w:rFonts w:asciiTheme="majorBidi" w:hAnsiTheme="majorBidi" w:cstheme="majorBidi"/>
          <w:lang w:eastAsia="lv-LV"/>
        </w:rPr>
        <w:t>[</w:t>
      </w:r>
      <w:r w:rsidR="00C81742" w:rsidRPr="00807219">
        <w:rPr>
          <w:rFonts w:asciiTheme="majorBidi" w:hAnsiTheme="majorBidi" w:cstheme="majorBidi"/>
          <w:lang w:eastAsia="lv-LV"/>
        </w:rPr>
        <w:t>1</w:t>
      </w:r>
      <w:r w:rsidR="00CA7763" w:rsidRPr="00807219">
        <w:rPr>
          <w:rFonts w:asciiTheme="majorBidi" w:hAnsiTheme="majorBidi" w:cstheme="majorBidi"/>
          <w:lang w:eastAsia="lv-LV"/>
        </w:rPr>
        <w:t>1</w:t>
      </w:r>
      <w:r w:rsidRPr="00807219">
        <w:rPr>
          <w:rFonts w:asciiTheme="majorBidi" w:hAnsiTheme="majorBidi" w:cstheme="majorBidi"/>
          <w:lang w:eastAsia="lv-LV"/>
        </w:rPr>
        <w:t>]</w:t>
      </w:r>
      <w:r w:rsidR="00B74A20" w:rsidRPr="00807219">
        <w:rPr>
          <w:rFonts w:asciiTheme="majorBidi" w:hAnsiTheme="majorBidi" w:cstheme="majorBidi"/>
          <w:lang w:eastAsia="lv-LV"/>
        </w:rPr>
        <w:t> </w:t>
      </w:r>
      <w:r w:rsidR="00DC3B2B" w:rsidRPr="00807219">
        <w:rPr>
          <w:rFonts w:asciiTheme="majorBidi" w:hAnsiTheme="majorBidi" w:cstheme="majorBidi"/>
          <w:i/>
          <w:iCs/>
          <w:lang w:eastAsia="lv-LV"/>
        </w:rPr>
        <w:t>Arčer</w:t>
      </w:r>
      <w:r w:rsidR="00DC3B2B">
        <w:rPr>
          <w:rFonts w:asciiTheme="majorBidi" w:hAnsiTheme="majorBidi" w:cstheme="majorBidi"/>
          <w:i/>
          <w:iCs/>
          <w:lang w:eastAsia="lv-LV"/>
        </w:rPr>
        <w:t>a</w:t>
      </w:r>
      <w:r w:rsidR="00DC3B2B" w:rsidRPr="00807219">
        <w:rPr>
          <w:rFonts w:asciiTheme="majorBidi" w:hAnsiTheme="majorBidi" w:cstheme="majorBidi"/>
          <w:lang w:eastAsia="lv-LV"/>
        </w:rPr>
        <w:t xml:space="preserve"> </w:t>
      </w:r>
      <w:r w:rsidR="00B66E46" w:rsidRPr="00807219">
        <w:rPr>
          <w:rFonts w:asciiTheme="majorBidi" w:hAnsiTheme="majorBidi" w:cstheme="majorBidi"/>
        </w:rPr>
        <w:t>kasācijas sūdzība pamatota ar turpmāko</w:t>
      </w:r>
      <w:r w:rsidRPr="00807219">
        <w:rPr>
          <w:rFonts w:asciiTheme="majorBidi" w:hAnsiTheme="majorBidi" w:cstheme="majorBidi"/>
        </w:rPr>
        <w:t>.</w:t>
      </w:r>
    </w:p>
    <w:p w14:paraId="2ABF9299" w14:textId="1A9043ED" w:rsidR="00417B29" w:rsidRPr="00807219" w:rsidRDefault="00236B12" w:rsidP="001F783F">
      <w:pPr>
        <w:spacing w:line="276" w:lineRule="auto"/>
        <w:ind w:firstLine="720"/>
        <w:jc w:val="both"/>
        <w:rPr>
          <w:rFonts w:asciiTheme="majorBidi" w:hAnsiTheme="majorBidi" w:cstheme="majorBidi"/>
          <w:bCs/>
        </w:rPr>
      </w:pPr>
      <w:r w:rsidRPr="00807219">
        <w:rPr>
          <w:rFonts w:asciiTheme="majorBidi" w:hAnsiTheme="majorBidi" w:cstheme="majorBidi"/>
          <w:bCs/>
        </w:rPr>
        <w:t>[</w:t>
      </w:r>
      <w:r w:rsidR="00C81742" w:rsidRPr="00807219">
        <w:rPr>
          <w:rFonts w:asciiTheme="majorBidi" w:hAnsiTheme="majorBidi" w:cstheme="majorBidi"/>
          <w:bCs/>
        </w:rPr>
        <w:t>1</w:t>
      </w:r>
      <w:r w:rsidR="00CA7763" w:rsidRPr="00807219">
        <w:rPr>
          <w:rFonts w:asciiTheme="majorBidi" w:hAnsiTheme="majorBidi" w:cstheme="majorBidi"/>
          <w:bCs/>
        </w:rPr>
        <w:t>1</w:t>
      </w:r>
      <w:r w:rsidRPr="00807219">
        <w:rPr>
          <w:rFonts w:asciiTheme="majorBidi" w:hAnsiTheme="majorBidi" w:cstheme="majorBidi"/>
          <w:bCs/>
        </w:rPr>
        <w:t>.1]</w:t>
      </w:r>
      <w:r w:rsidR="00FD3A8D" w:rsidRPr="00807219">
        <w:rPr>
          <w:rFonts w:asciiTheme="majorBidi" w:hAnsiTheme="majorBidi" w:cstheme="majorBidi"/>
          <w:bCs/>
        </w:rPr>
        <w:t> </w:t>
      </w:r>
      <w:r w:rsidR="00417B29" w:rsidRPr="00807219">
        <w:rPr>
          <w:rFonts w:asciiTheme="majorBidi" w:hAnsiTheme="majorBidi" w:cstheme="majorBidi"/>
          <w:bCs/>
        </w:rPr>
        <w:t xml:space="preserve">Tiesa nepareizi piemērojusi LESD 101.panta 1.punktu, jo </w:t>
      </w:r>
      <w:r w:rsidR="009B6716">
        <w:rPr>
          <w:rFonts w:asciiTheme="majorBidi" w:hAnsiTheme="majorBidi" w:cstheme="majorBidi"/>
          <w:bCs/>
        </w:rPr>
        <w:t>Konkurences p</w:t>
      </w:r>
      <w:r w:rsidR="009B6716" w:rsidRPr="00807219">
        <w:rPr>
          <w:rFonts w:asciiTheme="majorBidi" w:hAnsiTheme="majorBidi" w:cstheme="majorBidi"/>
          <w:bCs/>
        </w:rPr>
        <w:t xml:space="preserve">adome </w:t>
      </w:r>
      <w:r w:rsidR="00417B29" w:rsidRPr="00807219">
        <w:rPr>
          <w:rFonts w:asciiTheme="majorBidi" w:hAnsiTheme="majorBidi" w:cstheme="majorBidi"/>
          <w:bCs/>
        </w:rPr>
        <w:t xml:space="preserve">nav pierādījusi, ka </w:t>
      </w:r>
      <w:r w:rsidR="00417B29" w:rsidRPr="009547F2">
        <w:rPr>
          <w:rFonts w:asciiTheme="majorBidi" w:hAnsiTheme="majorBidi" w:cstheme="majorBidi"/>
          <w:bCs/>
        </w:rPr>
        <w:t>iespējamā aizliegtā vienošanās ietekmējusi tirdzniecību starp dalībvalstīm.</w:t>
      </w:r>
      <w:r w:rsidR="002552C9">
        <w:rPr>
          <w:rFonts w:asciiTheme="majorBidi" w:hAnsiTheme="majorBidi" w:cstheme="majorBidi"/>
          <w:bCs/>
        </w:rPr>
        <w:t xml:space="preserve"> </w:t>
      </w:r>
      <w:r w:rsidR="00E14881">
        <w:t>Tiesa ir ignorējusi kumulatīvos nosacījumus ietekmes uz tirdzniecību pierādīšanai (Eiropas Komisijas Pamatnostādņu par ietekmes uz tirdzniecību jēdzienu, kas ietverts Līguma 81. un 82.pantā</w:t>
      </w:r>
      <w:r w:rsidR="008265DE">
        <w:t>,</w:t>
      </w:r>
      <w:r w:rsidR="00E14881">
        <w:t xml:space="preserve"> (</w:t>
      </w:r>
      <w:hyperlink r:id="rId9" w:history="1">
        <w:r w:rsidR="00E14881" w:rsidRPr="008265DE">
          <w:rPr>
            <w:rStyle w:val="Hyperlink"/>
          </w:rPr>
          <w:t>2004/C101/07</w:t>
        </w:r>
      </w:hyperlink>
      <w:r w:rsidR="00E14881">
        <w:t>) (turpmāk – Pamatnostādnes) 52.punkts)</w:t>
      </w:r>
      <w:r w:rsidR="004E0D2D" w:rsidRPr="004E0D2D">
        <w:rPr>
          <w:rFonts w:asciiTheme="majorBidi" w:hAnsiTheme="majorBidi" w:cstheme="majorBidi"/>
          <w:bCs/>
        </w:rPr>
        <w:t>.</w:t>
      </w:r>
      <w:r w:rsidR="004E0D2D">
        <w:rPr>
          <w:rFonts w:asciiTheme="majorBidi" w:hAnsiTheme="majorBidi" w:cstheme="majorBidi"/>
          <w:bCs/>
        </w:rPr>
        <w:t xml:space="preserve"> </w:t>
      </w:r>
      <w:r w:rsidR="00417B29" w:rsidRPr="00807219">
        <w:rPr>
          <w:rFonts w:asciiTheme="majorBidi" w:hAnsiTheme="majorBidi" w:cstheme="majorBidi"/>
          <w:bCs/>
        </w:rPr>
        <w:t xml:space="preserve">Padomei bija pienākums precīzi noteikt kopējo tirgus daļu, nevis prezumēt tās atbilstību Pamatnostādnēm. Tāpat tiesa nav izvērtējusi Eiropas Savienības Tiesas un Senāta atziņas par </w:t>
      </w:r>
      <w:r w:rsidR="00DC3B2B">
        <w:rPr>
          <w:rFonts w:asciiTheme="majorBidi" w:hAnsiTheme="majorBidi" w:cstheme="majorBidi"/>
          <w:bCs/>
        </w:rPr>
        <w:t>Konkurences p</w:t>
      </w:r>
      <w:r w:rsidR="00DC3B2B" w:rsidRPr="00807219">
        <w:rPr>
          <w:rFonts w:asciiTheme="majorBidi" w:hAnsiTheme="majorBidi" w:cstheme="majorBidi"/>
          <w:bCs/>
        </w:rPr>
        <w:t xml:space="preserve">adomes </w:t>
      </w:r>
      <w:r w:rsidR="00417B29" w:rsidRPr="00807219">
        <w:rPr>
          <w:rFonts w:asciiTheme="majorBidi" w:hAnsiTheme="majorBidi" w:cstheme="majorBidi"/>
          <w:bCs/>
        </w:rPr>
        <w:t>pienākumu vērtēt aizliegtas vienošanās saimnieciski tiesisko kontekstu.</w:t>
      </w:r>
    </w:p>
    <w:p w14:paraId="0B5C50F3" w14:textId="6C4C78BC" w:rsidR="00B76434" w:rsidRPr="00807219" w:rsidRDefault="008143F4" w:rsidP="001F783F">
      <w:pPr>
        <w:spacing w:line="276" w:lineRule="auto"/>
        <w:ind w:firstLine="720"/>
        <w:jc w:val="both"/>
        <w:rPr>
          <w:rFonts w:asciiTheme="majorBidi" w:hAnsiTheme="majorBidi" w:cstheme="majorBidi"/>
          <w:bCs/>
        </w:rPr>
      </w:pPr>
      <w:r w:rsidRPr="00807219">
        <w:rPr>
          <w:rFonts w:asciiTheme="majorBidi" w:hAnsiTheme="majorBidi" w:cstheme="majorBidi"/>
          <w:bCs/>
        </w:rPr>
        <w:t>[1</w:t>
      </w:r>
      <w:r w:rsidR="00CA7763" w:rsidRPr="00807219">
        <w:rPr>
          <w:rFonts w:asciiTheme="majorBidi" w:hAnsiTheme="majorBidi" w:cstheme="majorBidi"/>
          <w:bCs/>
        </w:rPr>
        <w:t>1</w:t>
      </w:r>
      <w:r w:rsidRPr="00807219">
        <w:rPr>
          <w:rFonts w:asciiTheme="majorBidi" w:hAnsiTheme="majorBidi" w:cstheme="majorBidi"/>
          <w:bCs/>
        </w:rPr>
        <w:t>.2] </w:t>
      </w:r>
      <w:r w:rsidR="00B76434" w:rsidRPr="00807219">
        <w:rPr>
          <w:rFonts w:asciiTheme="majorBidi" w:hAnsiTheme="majorBidi" w:cstheme="majorBidi"/>
          <w:bCs/>
        </w:rPr>
        <w:t xml:space="preserve">Tiesa </w:t>
      </w:r>
      <w:r w:rsidR="00C07C25" w:rsidRPr="00807219">
        <w:rPr>
          <w:rFonts w:asciiTheme="majorBidi" w:hAnsiTheme="majorBidi" w:cstheme="majorBidi"/>
          <w:bCs/>
        </w:rPr>
        <w:t xml:space="preserve">kļūdaini </w:t>
      </w:r>
      <w:r w:rsidR="00B76434" w:rsidRPr="00807219">
        <w:rPr>
          <w:rFonts w:asciiTheme="majorBidi" w:hAnsiTheme="majorBidi" w:cstheme="majorBidi"/>
          <w:bCs/>
        </w:rPr>
        <w:t xml:space="preserve">nav ņēmusi vērā, ka saskaņā ar Pamatnostādnēm konkrētā tirgus noteikšana ir būtisks elements, lai konstatētu LESD 101.panta 1.punkta pārkāpumu. Spriedumā nav izvērtētas </w:t>
      </w:r>
      <w:r w:rsidR="00DC3B2B">
        <w:rPr>
          <w:rFonts w:asciiTheme="majorBidi" w:hAnsiTheme="majorBidi" w:cstheme="majorBidi"/>
          <w:bCs/>
        </w:rPr>
        <w:t>Konkurences p</w:t>
      </w:r>
      <w:r w:rsidR="00DC3B2B" w:rsidRPr="00807219">
        <w:rPr>
          <w:rFonts w:asciiTheme="majorBidi" w:hAnsiTheme="majorBidi" w:cstheme="majorBidi"/>
          <w:bCs/>
        </w:rPr>
        <w:t xml:space="preserve">adomes </w:t>
      </w:r>
      <w:r w:rsidR="00B76434" w:rsidRPr="00807219">
        <w:rPr>
          <w:rFonts w:asciiTheme="majorBidi" w:hAnsiTheme="majorBidi" w:cstheme="majorBidi"/>
          <w:bCs/>
        </w:rPr>
        <w:t xml:space="preserve">acīmredzamās kļūdas tirgus noteikšanā, kas tieši ietekmē gan iespējamā pārkāpuma kvalifikāciju, gan pieteicēju atbildības apmēru. Senāta praksē ir atzīts, ka katrs iepirkums ir vērtējams kā atsevišķs konkrētais tirgus. Tomēr šajā lietā </w:t>
      </w:r>
      <w:r w:rsidR="00DC3B2B">
        <w:rPr>
          <w:rFonts w:asciiTheme="majorBidi" w:hAnsiTheme="majorBidi" w:cstheme="majorBidi"/>
          <w:bCs/>
        </w:rPr>
        <w:t>p</w:t>
      </w:r>
      <w:r w:rsidR="00DC3B2B" w:rsidRPr="00807219">
        <w:rPr>
          <w:rFonts w:asciiTheme="majorBidi" w:hAnsiTheme="majorBidi" w:cstheme="majorBidi"/>
          <w:bCs/>
        </w:rPr>
        <w:t xml:space="preserve">adome </w:t>
      </w:r>
      <w:r w:rsidR="00B76434" w:rsidRPr="00807219">
        <w:rPr>
          <w:rFonts w:asciiTheme="majorBidi" w:hAnsiTheme="majorBidi" w:cstheme="majorBidi"/>
          <w:bCs/>
        </w:rPr>
        <w:t>nav atsevišķi izvērtējusi 74 iepirkumus, kuros tās ieskatā ir piedalījušies vienošanās dalībnieki, bet ir noteikusi visu būvniecības tirgu Latvijas teritorijā, galvenokārt divās apakšnozarēs: ēku visa veida būvniecība un citur neklasificētu inženierbūvju visa veida būvniecība. Ja, nepareizi nosakot konkrēto tirgu, būtiska ietekme uz tirdzniecību starp dalībvalstīm nav konstatējama, pārkāpuma kvalifikācija pēc LESD 101.panta 1.punkta ir nepareiza.</w:t>
      </w:r>
    </w:p>
    <w:p w14:paraId="2106A293" w14:textId="2323034C" w:rsidR="00B76434" w:rsidRPr="00807219" w:rsidRDefault="00151AE2" w:rsidP="001F783F">
      <w:pPr>
        <w:spacing w:line="276" w:lineRule="auto"/>
        <w:ind w:firstLine="720"/>
        <w:jc w:val="both"/>
        <w:rPr>
          <w:rFonts w:asciiTheme="majorBidi" w:hAnsiTheme="majorBidi" w:cstheme="majorBidi"/>
          <w:bCs/>
        </w:rPr>
      </w:pPr>
      <w:r w:rsidRPr="00807219">
        <w:rPr>
          <w:rFonts w:asciiTheme="majorBidi" w:hAnsiTheme="majorBidi" w:cstheme="majorBidi"/>
          <w:bCs/>
        </w:rPr>
        <w:t>[1</w:t>
      </w:r>
      <w:r w:rsidR="00CA7763" w:rsidRPr="00807219">
        <w:rPr>
          <w:rFonts w:asciiTheme="majorBidi" w:hAnsiTheme="majorBidi" w:cstheme="majorBidi"/>
          <w:bCs/>
        </w:rPr>
        <w:t>1</w:t>
      </w:r>
      <w:r w:rsidRPr="00807219">
        <w:rPr>
          <w:rFonts w:asciiTheme="majorBidi" w:hAnsiTheme="majorBidi" w:cstheme="majorBidi"/>
          <w:bCs/>
        </w:rPr>
        <w:t>.3] </w:t>
      </w:r>
      <w:r w:rsidR="00B76434" w:rsidRPr="00807219">
        <w:rPr>
          <w:rFonts w:asciiTheme="majorBidi" w:hAnsiTheme="majorBidi" w:cstheme="majorBidi"/>
          <w:bCs/>
        </w:rPr>
        <w:t xml:space="preserve">Konstatējot LESD 101.panta 1.punkta pārkāpumu, tiesa nav piemērojusi Eiropas Savienības Tiesas praksi </w:t>
      </w:r>
      <w:r w:rsidR="00BA5513" w:rsidRPr="00807219">
        <w:rPr>
          <w:rFonts w:asciiTheme="majorBidi" w:hAnsiTheme="majorBidi" w:cstheme="majorBidi"/>
          <w:bCs/>
        </w:rPr>
        <w:t xml:space="preserve">attiecībā uz </w:t>
      </w:r>
      <w:r w:rsidR="00B76434" w:rsidRPr="00807219">
        <w:rPr>
          <w:rFonts w:asciiTheme="majorBidi" w:hAnsiTheme="majorBidi" w:cstheme="majorBidi"/>
          <w:bCs/>
        </w:rPr>
        <w:t>vienot</w:t>
      </w:r>
      <w:r w:rsidR="00BA5513" w:rsidRPr="00807219">
        <w:rPr>
          <w:rFonts w:asciiTheme="majorBidi" w:hAnsiTheme="majorBidi" w:cstheme="majorBidi"/>
          <w:bCs/>
        </w:rPr>
        <w:t>u</w:t>
      </w:r>
      <w:r w:rsidR="00B76434" w:rsidRPr="00807219">
        <w:rPr>
          <w:rFonts w:asciiTheme="majorBidi" w:hAnsiTheme="majorBidi" w:cstheme="majorBidi"/>
          <w:bCs/>
        </w:rPr>
        <w:t xml:space="preserve"> nolūk</w:t>
      </w:r>
      <w:r w:rsidR="00BA5513" w:rsidRPr="00807219">
        <w:rPr>
          <w:rFonts w:asciiTheme="majorBidi" w:hAnsiTheme="majorBidi" w:cstheme="majorBidi"/>
          <w:bCs/>
        </w:rPr>
        <w:t>u</w:t>
      </w:r>
      <w:r w:rsidR="00B76434" w:rsidRPr="00807219">
        <w:rPr>
          <w:rFonts w:asciiTheme="majorBidi" w:hAnsiTheme="majorBidi" w:cstheme="majorBidi"/>
          <w:bCs/>
        </w:rPr>
        <w:t xml:space="preserve">. Sprieduma 84.punktā tiesa </w:t>
      </w:r>
      <w:r w:rsidR="00BA5513" w:rsidRPr="00807219">
        <w:rPr>
          <w:rFonts w:asciiTheme="majorBidi" w:hAnsiTheme="majorBidi" w:cstheme="majorBidi"/>
          <w:bCs/>
        </w:rPr>
        <w:t>faktiski</w:t>
      </w:r>
      <w:r w:rsidR="00B76434" w:rsidRPr="00807219">
        <w:rPr>
          <w:rFonts w:asciiTheme="majorBidi" w:hAnsiTheme="majorBidi" w:cstheme="majorBidi"/>
          <w:bCs/>
        </w:rPr>
        <w:t xml:space="preserve"> atzīst, ka dažiem lietas dalībniekiem bija iespējams precīzi noteikt pēdējo vienotā un turpinātā pārkāpuma elementu (konkrētu iepirkumu), kas ietekmē pārkāpuma ilgumu un naudas soda aprēķinu, taču </w:t>
      </w:r>
      <w:r w:rsidR="00DC3B2B">
        <w:rPr>
          <w:rFonts w:asciiTheme="majorBidi" w:hAnsiTheme="majorBidi" w:cstheme="majorBidi"/>
          <w:bCs/>
        </w:rPr>
        <w:t>Konkurences p</w:t>
      </w:r>
      <w:r w:rsidR="00DC3B2B" w:rsidRPr="00807219">
        <w:rPr>
          <w:rFonts w:asciiTheme="majorBidi" w:hAnsiTheme="majorBidi" w:cstheme="majorBidi"/>
          <w:bCs/>
        </w:rPr>
        <w:t xml:space="preserve">adome </w:t>
      </w:r>
      <w:r w:rsidR="00B76434" w:rsidRPr="00807219">
        <w:rPr>
          <w:rFonts w:asciiTheme="majorBidi" w:hAnsiTheme="majorBidi" w:cstheme="majorBidi"/>
          <w:bCs/>
        </w:rPr>
        <w:t>to nav ņēmusi vērā. Līdz ar to iespējamais pārkāpums nav kvalificēts atbilstoši LESD 101.panta 1.punkta piemērošanas praksei. Tiesa nav sniegusi vērtējumu tam, kā pieteicēja pēc 2016.gada 3.jūlija saglabājusi savu dalību iespējamās aizliegtās vienošanās īstenošanā.</w:t>
      </w:r>
    </w:p>
    <w:p w14:paraId="0EA2BD0E" w14:textId="5A4B4DA7" w:rsidR="00BA5513" w:rsidRPr="00807219" w:rsidRDefault="00E54E02" w:rsidP="001F783F">
      <w:pPr>
        <w:spacing w:line="276" w:lineRule="auto"/>
        <w:ind w:firstLine="720"/>
        <w:jc w:val="both"/>
        <w:rPr>
          <w:rFonts w:asciiTheme="majorBidi" w:hAnsiTheme="majorBidi" w:cstheme="majorBidi"/>
          <w:bCs/>
        </w:rPr>
      </w:pPr>
      <w:bookmarkStart w:id="7" w:name="_Hlk212821876"/>
      <w:r w:rsidRPr="00807219">
        <w:rPr>
          <w:rFonts w:asciiTheme="majorBidi" w:hAnsiTheme="majorBidi" w:cstheme="majorBidi"/>
          <w:bCs/>
        </w:rPr>
        <w:t>[1</w:t>
      </w:r>
      <w:r w:rsidR="00CA7763" w:rsidRPr="00807219">
        <w:rPr>
          <w:rFonts w:asciiTheme="majorBidi" w:hAnsiTheme="majorBidi" w:cstheme="majorBidi"/>
          <w:bCs/>
        </w:rPr>
        <w:t>1</w:t>
      </w:r>
      <w:r w:rsidRPr="00807219">
        <w:rPr>
          <w:rFonts w:asciiTheme="majorBidi" w:hAnsiTheme="majorBidi" w:cstheme="majorBidi"/>
          <w:bCs/>
        </w:rPr>
        <w:t>.4] </w:t>
      </w:r>
      <w:r w:rsidR="00900ABA" w:rsidRPr="00807219">
        <w:rPr>
          <w:rFonts w:asciiTheme="majorBidi" w:hAnsiTheme="majorBidi" w:cstheme="majorBidi"/>
          <w:bCs/>
        </w:rPr>
        <w:t>L</w:t>
      </w:r>
      <w:r w:rsidR="000943F7" w:rsidRPr="00807219">
        <w:rPr>
          <w:rFonts w:asciiTheme="majorBidi" w:hAnsiTheme="majorBidi" w:cstheme="majorBidi"/>
          <w:bCs/>
        </w:rPr>
        <w:t>ietā nav pieļaujams izmantot s</w:t>
      </w:r>
      <w:r w:rsidR="00BA5513" w:rsidRPr="00807219">
        <w:rPr>
          <w:rFonts w:asciiTheme="majorBidi" w:hAnsiTheme="majorBidi" w:cstheme="majorBidi"/>
          <w:bCs/>
        </w:rPr>
        <w:t>arunu atšifrējumus kā pierādījumu</w:t>
      </w:r>
      <w:r w:rsidR="00900ABA" w:rsidRPr="00807219">
        <w:rPr>
          <w:rFonts w:asciiTheme="majorBidi" w:hAnsiTheme="majorBidi" w:cstheme="majorBidi"/>
          <w:bCs/>
        </w:rPr>
        <w:t>, ievērojot Operatīvās darbības likuma un Kriminālprocesa likuma normas</w:t>
      </w:r>
      <w:r w:rsidR="00BA5513" w:rsidRPr="00807219">
        <w:rPr>
          <w:rFonts w:asciiTheme="majorBidi" w:hAnsiTheme="majorBidi" w:cstheme="majorBidi"/>
          <w:bCs/>
        </w:rPr>
        <w:t xml:space="preserve">. Tiesai bija jāvērtē, vai pierādījumu nodošana </w:t>
      </w:r>
      <w:r w:rsidR="00DC3B2B">
        <w:rPr>
          <w:rFonts w:asciiTheme="majorBidi" w:hAnsiTheme="majorBidi" w:cstheme="majorBidi"/>
          <w:bCs/>
        </w:rPr>
        <w:t>Konkurences p</w:t>
      </w:r>
      <w:r w:rsidR="00DC3B2B" w:rsidRPr="00807219">
        <w:rPr>
          <w:rFonts w:asciiTheme="majorBidi" w:hAnsiTheme="majorBidi" w:cstheme="majorBidi"/>
          <w:bCs/>
        </w:rPr>
        <w:t xml:space="preserve">adomei </w:t>
      </w:r>
      <w:r w:rsidR="00BA5513" w:rsidRPr="00807219">
        <w:rPr>
          <w:rFonts w:asciiTheme="majorBidi" w:hAnsiTheme="majorBidi" w:cstheme="majorBidi"/>
          <w:bCs/>
        </w:rPr>
        <w:t xml:space="preserve">bija </w:t>
      </w:r>
      <w:r w:rsidR="000943F7" w:rsidRPr="00807219">
        <w:rPr>
          <w:rFonts w:asciiTheme="majorBidi" w:hAnsiTheme="majorBidi" w:cstheme="majorBidi"/>
          <w:bCs/>
        </w:rPr>
        <w:t>atļauta</w:t>
      </w:r>
      <w:r w:rsidR="00BA5513" w:rsidRPr="00807219">
        <w:rPr>
          <w:rFonts w:asciiTheme="majorBidi" w:hAnsiTheme="majorBidi" w:cstheme="majorBidi"/>
          <w:bCs/>
        </w:rPr>
        <w:t>, ņemot vērā, ka atšifrējumi iegūti operatīvo darbību rezultātā. Tiesas interpretācija par šo likum</w:t>
      </w:r>
      <w:r w:rsidR="00AF0E0E">
        <w:rPr>
          <w:rFonts w:asciiTheme="majorBidi" w:hAnsiTheme="majorBidi" w:cstheme="majorBidi"/>
          <w:bCs/>
        </w:rPr>
        <w:t>u</w:t>
      </w:r>
      <w:r w:rsidR="00BA5513" w:rsidRPr="00807219">
        <w:rPr>
          <w:rFonts w:asciiTheme="majorBidi" w:hAnsiTheme="majorBidi" w:cstheme="majorBidi"/>
          <w:bCs/>
        </w:rPr>
        <w:t xml:space="preserve"> normu piemērošanu ir pretrunā Senāta un Satversmes tiesas praksē noteiktajam</w:t>
      </w:r>
      <w:r w:rsidR="000943F7" w:rsidRPr="00807219">
        <w:rPr>
          <w:rFonts w:asciiTheme="majorBidi" w:hAnsiTheme="majorBidi" w:cstheme="majorBidi"/>
          <w:bCs/>
        </w:rPr>
        <w:t xml:space="preserve"> par šādu pierādījumu apriti. Tiesa</w:t>
      </w:r>
      <w:r w:rsidR="00DC3B2B">
        <w:rPr>
          <w:rFonts w:asciiTheme="majorBidi" w:hAnsiTheme="majorBidi" w:cstheme="majorBidi"/>
          <w:bCs/>
        </w:rPr>
        <w:t>,</w:t>
      </w:r>
      <w:r w:rsidR="000943F7" w:rsidRPr="00807219">
        <w:rPr>
          <w:rFonts w:asciiTheme="majorBidi" w:hAnsiTheme="majorBidi" w:cstheme="majorBidi"/>
          <w:bCs/>
        </w:rPr>
        <w:t xml:space="preserve"> </w:t>
      </w:r>
      <w:r w:rsidR="00DC3B2B">
        <w:rPr>
          <w:rFonts w:asciiTheme="majorBidi" w:hAnsiTheme="majorBidi" w:cstheme="majorBidi"/>
          <w:bCs/>
        </w:rPr>
        <w:t xml:space="preserve">novērtējot </w:t>
      </w:r>
      <w:r w:rsidR="00DC3B2B" w:rsidRPr="00807219">
        <w:rPr>
          <w:rFonts w:asciiTheme="majorBidi" w:hAnsiTheme="majorBidi" w:cstheme="majorBidi"/>
          <w:bCs/>
        </w:rPr>
        <w:t>personas pamattiesību aizskārumu</w:t>
      </w:r>
      <w:r w:rsidR="00DC3B2B">
        <w:rPr>
          <w:rFonts w:asciiTheme="majorBidi" w:hAnsiTheme="majorBidi" w:cstheme="majorBidi"/>
          <w:bCs/>
        </w:rPr>
        <w:t>,</w:t>
      </w:r>
      <w:r w:rsidR="00DC3B2B" w:rsidRPr="00807219">
        <w:rPr>
          <w:rFonts w:asciiTheme="majorBidi" w:hAnsiTheme="majorBidi" w:cstheme="majorBidi"/>
          <w:bCs/>
        </w:rPr>
        <w:t xml:space="preserve"> </w:t>
      </w:r>
      <w:r w:rsidR="000943F7" w:rsidRPr="00807219">
        <w:rPr>
          <w:rFonts w:asciiTheme="majorBidi" w:hAnsiTheme="majorBidi" w:cstheme="majorBidi"/>
          <w:bCs/>
        </w:rPr>
        <w:t xml:space="preserve">ir ignorējusi faktu, ka pirms informācijas nodošanas </w:t>
      </w:r>
      <w:r w:rsidR="00BA5513" w:rsidRPr="00807219">
        <w:rPr>
          <w:rFonts w:asciiTheme="majorBidi" w:hAnsiTheme="majorBidi" w:cstheme="majorBidi"/>
          <w:bCs/>
        </w:rPr>
        <w:t>nav ievērot</w:t>
      </w:r>
      <w:r w:rsidR="000943F7" w:rsidRPr="00807219">
        <w:rPr>
          <w:rFonts w:asciiTheme="majorBidi" w:hAnsiTheme="majorBidi" w:cstheme="majorBidi"/>
          <w:bCs/>
        </w:rPr>
        <w:t>a</w:t>
      </w:r>
      <w:r w:rsidR="00BA5513" w:rsidRPr="00807219">
        <w:rPr>
          <w:rFonts w:asciiTheme="majorBidi" w:hAnsiTheme="majorBidi" w:cstheme="majorBidi"/>
          <w:bCs/>
        </w:rPr>
        <w:t xml:space="preserve"> </w:t>
      </w:r>
      <w:r w:rsidR="000943F7" w:rsidRPr="00807219">
        <w:rPr>
          <w:rFonts w:asciiTheme="majorBidi" w:hAnsiTheme="majorBidi" w:cstheme="majorBidi"/>
          <w:bCs/>
        </w:rPr>
        <w:t xml:space="preserve">Kriminālprocesa likuma </w:t>
      </w:r>
      <w:r w:rsidR="00BA5513" w:rsidRPr="00807219">
        <w:rPr>
          <w:rFonts w:asciiTheme="majorBidi" w:hAnsiTheme="majorBidi" w:cstheme="majorBidi"/>
          <w:bCs/>
        </w:rPr>
        <w:t xml:space="preserve">230.panta pirmās daļas </w:t>
      </w:r>
      <w:r w:rsidR="000943F7" w:rsidRPr="00807219">
        <w:rPr>
          <w:rFonts w:asciiTheme="majorBidi" w:hAnsiTheme="majorBidi" w:cstheme="majorBidi"/>
          <w:bCs/>
        </w:rPr>
        <w:t>prasība</w:t>
      </w:r>
      <w:r w:rsidR="00BA5513" w:rsidRPr="00807219">
        <w:rPr>
          <w:rFonts w:asciiTheme="majorBidi" w:hAnsiTheme="majorBidi" w:cstheme="majorBidi"/>
          <w:bCs/>
        </w:rPr>
        <w:t xml:space="preserve"> par prokurora vai izmeklēšanas tiesneša piekrišanu. Turklāt operatīvo darbību rezultātā iegūtās ziņas var izmantot tikai likumā paredzētajos gadījumos saistībā ar noziedzīgu nodarījumu profilaksi, novēršanu un atklāšanu. Tā kā konkurences pārkāpumi nav kriminalizēti, </w:t>
      </w:r>
      <w:r w:rsidR="00DC3B2B">
        <w:rPr>
          <w:rFonts w:asciiTheme="majorBidi" w:hAnsiTheme="majorBidi" w:cstheme="majorBidi"/>
          <w:bCs/>
        </w:rPr>
        <w:t>atbilstoši</w:t>
      </w:r>
      <w:r w:rsidR="00DC3B2B" w:rsidRPr="00807219">
        <w:rPr>
          <w:rFonts w:asciiTheme="majorBidi" w:hAnsiTheme="majorBidi" w:cstheme="majorBidi"/>
          <w:bCs/>
        </w:rPr>
        <w:t xml:space="preserve"> </w:t>
      </w:r>
      <w:r w:rsidR="000943F7" w:rsidRPr="00807219">
        <w:rPr>
          <w:rFonts w:asciiTheme="majorBidi" w:hAnsiTheme="majorBidi" w:cstheme="majorBidi"/>
          <w:bCs/>
        </w:rPr>
        <w:t xml:space="preserve">Senāta </w:t>
      </w:r>
      <w:r w:rsidR="00865206">
        <w:rPr>
          <w:rFonts w:asciiTheme="majorBidi" w:hAnsiTheme="majorBidi" w:cstheme="majorBidi"/>
          <w:bCs/>
        </w:rPr>
        <w:t xml:space="preserve">2022.gada 14.decembra </w:t>
      </w:r>
      <w:r w:rsidR="000943F7" w:rsidRPr="00CD7D95">
        <w:rPr>
          <w:rFonts w:asciiTheme="majorBidi" w:hAnsiTheme="majorBidi" w:cstheme="majorBidi"/>
          <w:bCs/>
        </w:rPr>
        <w:t>lēmum</w:t>
      </w:r>
      <w:r w:rsidR="00DC3B2B">
        <w:rPr>
          <w:rFonts w:asciiTheme="majorBidi" w:hAnsiTheme="majorBidi" w:cstheme="majorBidi"/>
          <w:bCs/>
        </w:rPr>
        <w:t>am</w:t>
      </w:r>
      <w:r w:rsidR="000943F7" w:rsidRPr="00CD7D95">
        <w:rPr>
          <w:rFonts w:asciiTheme="majorBidi" w:hAnsiTheme="majorBidi" w:cstheme="majorBidi"/>
          <w:bCs/>
        </w:rPr>
        <w:t xml:space="preserve"> </w:t>
      </w:r>
      <w:r w:rsidR="00900ABA" w:rsidRPr="00CD7D95">
        <w:rPr>
          <w:rFonts w:asciiTheme="majorBidi" w:hAnsiTheme="majorBidi" w:cstheme="majorBidi"/>
          <w:bCs/>
        </w:rPr>
        <w:t>lietā Nr. </w:t>
      </w:r>
      <w:r w:rsidR="000943F7" w:rsidRPr="005F4E8B">
        <w:rPr>
          <w:rFonts w:asciiTheme="majorBidi" w:hAnsiTheme="majorBidi" w:cstheme="majorBidi"/>
          <w:bCs/>
        </w:rPr>
        <w:t>SKK</w:t>
      </w:r>
      <w:r w:rsidR="000943F7" w:rsidRPr="005F4E8B">
        <w:rPr>
          <w:rFonts w:asciiTheme="majorBidi" w:hAnsiTheme="majorBidi" w:cstheme="majorBidi"/>
          <w:bCs/>
        </w:rPr>
        <w:noBreakHyphen/>
        <w:t>244/2022</w:t>
      </w:r>
      <w:r w:rsidR="000943F7" w:rsidRPr="00CD7D95">
        <w:rPr>
          <w:rFonts w:asciiTheme="majorBidi" w:hAnsiTheme="majorBidi" w:cstheme="majorBidi"/>
          <w:bCs/>
        </w:rPr>
        <w:t xml:space="preserve"> </w:t>
      </w:r>
      <w:r w:rsidR="00BA5513" w:rsidRPr="00CD7D95">
        <w:rPr>
          <w:rFonts w:asciiTheme="majorBidi" w:hAnsiTheme="majorBidi" w:cstheme="majorBidi"/>
          <w:bCs/>
        </w:rPr>
        <w:t xml:space="preserve">operatīvās darbības </w:t>
      </w:r>
      <w:r w:rsidR="009D18FB" w:rsidRPr="00CD7D95">
        <w:rPr>
          <w:rFonts w:asciiTheme="majorBidi" w:hAnsiTheme="majorBidi" w:cstheme="majorBidi"/>
          <w:bCs/>
        </w:rPr>
        <w:t xml:space="preserve">nedrīkst izmantot </w:t>
      </w:r>
      <w:r w:rsidR="00BA5513" w:rsidRPr="00CD7D95">
        <w:rPr>
          <w:rFonts w:asciiTheme="majorBidi" w:hAnsiTheme="majorBidi" w:cstheme="majorBidi"/>
          <w:bCs/>
        </w:rPr>
        <w:t>šādu pārkāpumu atklāšanai.</w:t>
      </w:r>
    </w:p>
    <w:p w14:paraId="777D8581" w14:textId="65235696" w:rsidR="008F20E6" w:rsidRPr="00807219" w:rsidRDefault="009900A6" w:rsidP="001F783F">
      <w:pPr>
        <w:spacing w:line="276" w:lineRule="auto"/>
        <w:ind w:firstLine="720"/>
        <w:jc w:val="both"/>
        <w:rPr>
          <w:rFonts w:asciiTheme="majorBidi" w:hAnsiTheme="majorBidi" w:cstheme="majorBidi"/>
          <w:bCs/>
        </w:rPr>
      </w:pPr>
      <w:r w:rsidRPr="00807219">
        <w:rPr>
          <w:rFonts w:asciiTheme="majorBidi" w:hAnsiTheme="majorBidi" w:cstheme="majorBidi"/>
          <w:bCs/>
        </w:rPr>
        <w:t>[1</w:t>
      </w:r>
      <w:r w:rsidR="00CA7763" w:rsidRPr="00807219">
        <w:rPr>
          <w:rFonts w:asciiTheme="majorBidi" w:hAnsiTheme="majorBidi" w:cstheme="majorBidi"/>
          <w:bCs/>
        </w:rPr>
        <w:t>1</w:t>
      </w:r>
      <w:r w:rsidRPr="00807219">
        <w:rPr>
          <w:rFonts w:asciiTheme="majorBidi" w:hAnsiTheme="majorBidi" w:cstheme="majorBidi"/>
          <w:bCs/>
        </w:rPr>
        <w:t>.5] </w:t>
      </w:r>
      <w:r w:rsidR="008F20E6" w:rsidRPr="00807219">
        <w:rPr>
          <w:rFonts w:asciiTheme="majorBidi" w:hAnsiTheme="majorBidi" w:cstheme="majorBidi"/>
          <w:bCs/>
        </w:rPr>
        <w:t xml:space="preserve">Tiesa kļūdaini nav vērtējusi fizisko personu datu aizsardzības prasības attiecībā uz atšifrējumu nodošanu </w:t>
      </w:r>
      <w:r w:rsidR="00AB44C8">
        <w:rPr>
          <w:rFonts w:asciiTheme="majorBidi" w:hAnsiTheme="majorBidi" w:cstheme="majorBidi"/>
          <w:bCs/>
        </w:rPr>
        <w:t>Konkurences p</w:t>
      </w:r>
      <w:r w:rsidR="00AB44C8" w:rsidRPr="00807219">
        <w:rPr>
          <w:rFonts w:asciiTheme="majorBidi" w:hAnsiTheme="majorBidi" w:cstheme="majorBidi"/>
          <w:bCs/>
        </w:rPr>
        <w:t>adomei</w:t>
      </w:r>
      <w:r w:rsidR="00E217DD">
        <w:rPr>
          <w:rFonts w:asciiTheme="majorBidi" w:hAnsiTheme="majorBidi" w:cstheme="majorBidi"/>
          <w:bCs/>
        </w:rPr>
        <w:t>. Tiesa</w:t>
      </w:r>
      <w:r w:rsidR="008F20E6" w:rsidRPr="00807219">
        <w:rPr>
          <w:rFonts w:asciiTheme="majorBidi" w:hAnsiTheme="majorBidi" w:cstheme="majorBidi"/>
          <w:bCs/>
        </w:rPr>
        <w:t xml:space="preserve"> nepamatoti ignorēj</w:t>
      </w:r>
      <w:r w:rsidR="00E217DD">
        <w:rPr>
          <w:rFonts w:asciiTheme="majorBidi" w:hAnsiTheme="majorBidi" w:cstheme="majorBidi"/>
          <w:bCs/>
        </w:rPr>
        <w:t>usi</w:t>
      </w:r>
      <w:r w:rsidR="008F20E6" w:rsidRPr="00807219">
        <w:rPr>
          <w:rFonts w:asciiTheme="majorBidi" w:hAnsiTheme="majorBidi" w:cstheme="majorBidi"/>
          <w:bCs/>
        </w:rPr>
        <w:t xml:space="preserve"> Datu regulas 5.panta 1.punkta „b” apakšpunktu, saskaņā ar kuru datu nodošana jaunam nolūkam (konkurences pārkāpuma konstatēšanai) ir pieļaujama </w:t>
      </w:r>
      <w:r w:rsidR="00267297" w:rsidRPr="00807219">
        <w:rPr>
          <w:rFonts w:asciiTheme="majorBidi" w:hAnsiTheme="majorBidi" w:cstheme="majorBidi"/>
          <w:bCs/>
        </w:rPr>
        <w:t>vien</w:t>
      </w:r>
      <w:r w:rsidR="00AB44C8">
        <w:rPr>
          <w:rFonts w:asciiTheme="majorBidi" w:hAnsiTheme="majorBidi" w:cstheme="majorBidi"/>
          <w:bCs/>
        </w:rPr>
        <w:t>īgi</w:t>
      </w:r>
      <w:r w:rsidR="008F20E6" w:rsidRPr="00807219">
        <w:rPr>
          <w:rFonts w:asciiTheme="majorBidi" w:hAnsiTheme="majorBidi" w:cstheme="majorBidi"/>
          <w:bCs/>
        </w:rPr>
        <w:t xml:space="preserve"> tad, ja tā sader ar sākotnējo nolūku (noziedzīgu nodarījumu izmeklēšanu). Tāpat</w:t>
      </w:r>
      <w:r w:rsidR="00E217DD">
        <w:rPr>
          <w:rFonts w:asciiTheme="majorBidi" w:hAnsiTheme="majorBidi" w:cstheme="majorBidi"/>
          <w:bCs/>
        </w:rPr>
        <w:t xml:space="preserve"> tiesa nav</w:t>
      </w:r>
      <w:r w:rsidR="008F20E6" w:rsidRPr="00807219">
        <w:rPr>
          <w:rFonts w:asciiTheme="majorBidi" w:hAnsiTheme="majorBidi" w:cstheme="majorBidi"/>
          <w:bCs/>
        </w:rPr>
        <w:t xml:space="preserve"> ņ</w:t>
      </w:r>
      <w:r w:rsidR="00E217DD">
        <w:rPr>
          <w:rFonts w:asciiTheme="majorBidi" w:hAnsiTheme="majorBidi" w:cstheme="majorBidi"/>
          <w:bCs/>
        </w:rPr>
        <w:t>ēmusi</w:t>
      </w:r>
      <w:r w:rsidR="008F20E6" w:rsidRPr="00807219">
        <w:rPr>
          <w:rFonts w:asciiTheme="majorBidi" w:hAnsiTheme="majorBidi" w:cstheme="majorBidi"/>
          <w:bCs/>
        </w:rPr>
        <w:t xml:space="preserve"> vērā Hartas 7.pant</w:t>
      </w:r>
      <w:r w:rsidR="00E217DD">
        <w:rPr>
          <w:rFonts w:asciiTheme="majorBidi" w:hAnsiTheme="majorBidi" w:cstheme="majorBidi"/>
          <w:bCs/>
        </w:rPr>
        <w:t xml:space="preserve">u un </w:t>
      </w:r>
      <w:r w:rsidR="008F20E6" w:rsidRPr="00807219">
        <w:rPr>
          <w:rFonts w:asciiTheme="majorBidi" w:hAnsiTheme="majorBidi" w:cstheme="majorBidi"/>
          <w:bCs/>
        </w:rPr>
        <w:t>8.panta 2.punkt</w:t>
      </w:r>
      <w:r w:rsidR="00E217DD">
        <w:rPr>
          <w:rFonts w:asciiTheme="majorBidi" w:hAnsiTheme="majorBidi" w:cstheme="majorBidi"/>
          <w:bCs/>
        </w:rPr>
        <w:t>u</w:t>
      </w:r>
      <w:r w:rsidR="008F20E6" w:rsidRPr="00807219">
        <w:rPr>
          <w:rFonts w:asciiTheme="majorBidi" w:hAnsiTheme="majorBidi" w:cstheme="majorBidi"/>
          <w:bCs/>
        </w:rPr>
        <w:t xml:space="preserve">, kas norāda uz to, ka personas datu apstrāde var notikt tikai ar attiecīgās personas piekrišanu vai </w:t>
      </w:r>
      <w:r w:rsidR="00267297" w:rsidRPr="00807219">
        <w:rPr>
          <w:rFonts w:asciiTheme="majorBidi" w:hAnsiTheme="majorBidi" w:cstheme="majorBidi"/>
          <w:bCs/>
        </w:rPr>
        <w:t>uz</w:t>
      </w:r>
      <w:r w:rsidR="008F20E6" w:rsidRPr="00807219">
        <w:rPr>
          <w:rFonts w:asciiTheme="majorBidi" w:hAnsiTheme="majorBidi" w:cstheme="majorBidi"/>
          <w:bCs/>
        </w:rPr>
        <w:t xml:space="preserve"> tiesību aktos paredzēt</w:t>
      </w:r>
      <w:r w:rsidR="00267297" w:rsidRPr="00807219">
        <w:rPr>
          <w:rFonts w:asciiTheme="majorBidi" w:hAnsiTheme="majorBidi" w:cstheme="majorBidi"/>
          <w:bCs/>
        </w:rPr>
        <w:t xml:space="preserve">a </w:t>
      </w:r>
      <w:r w:rsidR="008F20E6" w:rsidRPr="00807219">
        <w:rPr>
          <w:rFonts w:asciiTheme="majorBidi" w:hAnsiTheme="majorBidi" w:cstheme="majorBidi"/>
          <w:bCs/>
        </w:rPr>
        <w:t>pamat</w:t>
      </w:r>
      <w:r w:rsidR="00267297" w:rsidRPr="00807219">
        <w:rPr>
          <w:rFonts w:asciiTheme="majorBidi" w:hAnsiTheme="majorBidi" w:cstheme="majorBidi"/>
          <w:bCs/>
        </w:rPr>
        <w:t>a</w:t>
      </w:r>
      <w:r w:rsidR="008F20E6" w:rsidRPr="00807219">
        <w:rPr>
          <w:rFonts w:asciiTheme="majorBidi" w:hAnsiTheme="majorBidi" w:cstheme="majorBidi"/>
          <w:bCs/>
        </w:rPr>
        <w:t>.</w:t>
      </w:r>
      <w:r w:rsidR="00267297" w:rsidRPr="00807219">
        <w:rPr>
          <w:rFonts w:asciiTheme="majorBidi" w:hAnsiTheme="majorBidi" w:cstheme="majorBidi"/>
          <w:bCs/>
        </w:rPr>
        <w:t xml:space="preserve"> </w:t>
      </w:r>
      <w:r w:rsidR="008F20E6" w:rsidRPr="00807219">
        <w:rPr>
          <w:rFonts w:asciiTheme="majorBidi" w:hAnsiTheme="majorBidi" w:cstheme="majorBidi"/>
          <w:bCs/>
        </w:rPr>
        <w:t>Tiesai bija jāvērtē atšifrējumu nodošanas likumība un atbilstība Administratīvā procesa likuma 60.panta otrajai daļai.</w:t>
      </w:r>
    </w:p>
    <w:bookmarkEnd w:id="7"/>
    <w:p w14:paraId="473A1FF3" w14:textId="7DAD4DDC" w:rsidR="0092356E" w:rsidRPr="00807219" w:rsidRDefault="00215196" w:rsidP="001F783F">
      <w:pPr>
        <w:spacing w:line="276" w:lineRule="auto"/>
        <w:ind w:firstLine="720"/>
        <w:jc w:val="both"/>
        <w:rPr>
          <w:rFonts w:asciiTheme="majorBidi" w:hAnsiTheme="majorBidi" w:cstheme="majorBidi"/>
          <w:bCs/>
        </w:rPr>
      </w:pPr>
      <w:r w:rsidRPr="00807219">
        <w:rPr>
          <w:rFonts w:asciiTheme="majorBidi" w:hAnsiTheme="majorBidi" w:cstheme="majorBidi"/>
          <w:bCs/>
        </w:rPr>
        <w:t>[1</w:t>
      </w:r>
      <w:r w:rsidR="00CA7763" w:rsidRPr="00807219">
        <w:rPr>
          <w:rFonts w:asciiTheme="majorBidi" w:hAnsiTheme="majorBidi" w:cstheme="majorBidi"/>
          <w:bCs/>
        </w:rPr>
        <w:t>1</w:t>
      </w:r>
      <w:r w:rsidRPr="00807219">
        <w:rPr>
          <w:rFonts w:asciiTheme="majorBidi" w:hAnsiTheme="majorBidi" w:cstheme="majorBidi"/>
          <w:bCs/>
        </w:rPr>
        <w:t>.6] </w:t>
      </w:r>
      <w:r w:rsidR="0092356E" w:rsidRPr="00807219">
        <w:rPr>
          <w:rFonts w:asciiTheme="majorBidi" w:hAnsiTheme="majorBidi" w:cstheme="majorBidi"/>
          <w:bCs/>
        </w:rPr>
        <w:t>Tiesa būtiski pārkāpusi Administratīvā procesa likuma 251.panta piekto daļu un 307.panta ceturto daļu, nemotivējot pieteicējas izteiktos būtiskos argumentus</w:t>
      </w:r>
      <w:r w:rsidR="00E217DD">
        <w:rPr>
          <w:rFonts w:asciiTheme="majorBidi" w:hAnsiTheme="majorBidi" w:cstheme="majorBidi"/>
          <w:bCs/>
        </w:rPr>
        <w:t>. T</w:t>
      </w:r>
      <w:r w:rsidR="0092356E" w:rsidRPr="00807219">
        <w:rPr>
          <w:rFonts w:asciiTheme="majorBidi" w:hAnsiTheme="majorBidi" w:cstheme="majorBidi"/>
          <w:bCs/>
        </w:rPr>
        <w:t xml:space="preserve">ā rezultātā </w:t>
      </w:r>
      <w:r w:rsidR="00E217DD">
        <w:rPr>
          <w:rFonts w:asciiTheme="majorBidi" w:hAnsiTheme="majorBidi" w:cstheme="majorBidi"/>
          <w:bCs/>
        </w:rPr>
        <w:t>tika</w:t>
      </w:r>
      <w:r w:rsidR="0092356E" w:rsidRPr="00807219">
        <w:rPr>
          <w:rFonts w:asciiTheme="majorBidi" w:hAnsiTheme="majorBidi" w:cstheme="majorBidi"/>
          <w:bCs/>
        </w:rPr>
        <w:t xml:space="preserve"> pārkāptas </w:t>
      </w:r>
      <w:r w:rsidR="00E217DD">
        <w:rPr>
          <w:rFonts w:asciiTheme="majorBidi" w:hAnsiTheme="majorBidi" w:cstheme="majorBidi"/>
          <w:bCs/>
        </w:rPr>
        <w:t xml:space="preserve">pieteicējas </w:t>
      </w:r>
      <w:r w:rsidR="0092356E" w:rsidRPr="00807219">
        <w:rPr>
          <w:rFonts w:asciiTheme="majorBidi" w:hAnsiTheme="majorBidi" w:cstheme="majorBidi"/>
          <w:bCs/>
        </w:rPr>
        <w:t>Satversmes 92.pant</w:t>
      </w:r>
      <w:r w:rsidR="00E217DD">
        <w:rPr>
          <w:rFonts w:asciiTheme="majorBidi" w:hAnsiTheme="majorBidi" w:cstheme="majorBidi"/>
          <w:bCs/>
        </w:rPr>
        <w:t>ā</w:t>
      </w:r>
      <w:r w:rsidR="0092356E" w:rsidRPr="00807219">
        <w:rPr>
          <w:rFonts w:asciiTheme="majorBidi" w:hAnsiTheme="majorBidi" w:cstheme="majorBidi"/>
          <w:bCs/>
        </w:rPr>
        <w:t xml:space="preserve"> </w:t>
      </w:r>
      <w:r w:rsidR="00E217DD">
        <w:rPr>
          <w:rFonts w:asciiTheme="majorBidi" w:hAnsiTheme="majorBidi" w:cstheme="majorBidi"/>
          <w:bCs/>
        </w:rPr>
        <w:t>noteiktās</w:t>
      </w:r>
      <w:r w:rsidR="0092356E" w:rsidRPr="00807219">
        <w:rPr>
          <w:rFonts w:asciiTheme="majorBidi" w:hAnsiTheme="majorBidi" w:cstheme="majorBidi"/>
          <w:bCs/>
        </w:rPr>
        <w:t xml:space="preserve"> tiesības uz taisnīgu tiesu. Nav skaidrojuma, kāpēc sarunas attiecībā uz pieteicēju un citiem lietas dalībniekiem tiek uzskatītas par pietiekamu </w:t>
      </w:r>
      <w:r w:rsidR="00AB44C8" w:rsidRPr="00807219">
        <w:rPr>
          <w:rFonts w:asciiTheme="majorBidi" w:hAnsiTheme="majorBidi" w:cstheme="majorBidi"/>
          <w:bCs/>
        </w:rPr>
        <w:t>aizliegta</w:t>
      </w:r>
      <w:r w:rsidR="00AB44C8">
        <w:rPr>
          <w:rFonts w:asciiTheme="majorBidi" w:hAnsiTheme="majorBidi" w:cstheme="majorBidi"/>
          <w:bCs/>
        </w:rPr>
        <w:t>s</w:t>
      </w:r>
      <w:r w:rsidR="00AB44C8" w:rsidRPr="00807219">
        <w:rPr>
          <w:rFonts w:asciiTheme="majorBidi" w:hAnsiTheme="majorBidi" w:cstheme="majorBidi"/>
          <w:bCs/>
        </w:rPr>
        <w:t xml:space="preserve"> vienošanās </w:t>
      </w:r>
      <w:r w:rsidR="0092356E" w:rsidRPr="00807219">
        <w:rPr>
          <w:rFonts w:asciiTheme="majorBidi" w:hAnsiTheme="majorBidi" w:cstheme="majorBidi"/>
          <w:bCs/>
        </w:rPr>
        <w:t xml:space="preserve">pierādījumu, bet šīs pašas sarunas attiecībā uz pārsūdzētā lēmuma 24.punktā minētajiem tirgus dalībniekiem nav pietiekamas. Tiesa nav pamatojusi, kāpēc </w:t>
      </w:r>
      <w:r w:rsidR="008961C1">
        <w:rPr>
          <w:rFonts w:asciiTheme="majorBidi" w:hAnsiTheme="majorBidi" w:cstheme="majorBidi"/>
          <w:bCs/>
        </w:rPr>
        <w:t xml:space="preserve">[pers. D] </w:t>
      </w:r>
      <w:r w:rsidR="0092356E" w:rsidRPr="00807219">
        <w:rPr>
          <w:rFonts w:asciiTheme="majorBidi" w:hAnsiTheme="majorBidi" w:cstheme="majorBidi"/>
          <w:bCs/>
        </w:rPr>
        <w:t>nepiedalīšanās sarunās neietekmē iespējamā pārkāpuma ilguma noteikšanu.</w:t>
      </w:r>
    </w:p>
    <w:p w14:paraId="2CAE5BE9" w14:textId="75923D63" w:rsidR="00FE5302" w:rsidRPr="00807219" w:rsidRDefault="00EB7122" w:rsidP="001F783F">
      <w:pPr>
        <w:spacing w:line="276" w:lineRule="auto"/>
        <w:ind w:firstLine="720"/>
        <w:jc w:val="lowKashida"/>
        <w:rPr>
          <w:rFonts w:asciiTheme="majorBidi" w:hAnsiTheme="majorBidi" w:cstheme="majorBidi"/>
          <w:bCs/>
        </w:rPr>
      </w:pPr>
      <w:r w:rsidRPr="00807219">
        <w:rPr>
          <w:rFonts w:asciiTheme="majorBidi" w:hAnsiTheme="majorBidi" w:cstheme="majorBidi"/>
          <w:bCs/>
        </w:rPr>
        <w:t>[1</w:t>
      </w:r>
      <w:r w:rsidR="00CA7763" w:rsidRPr="00807219">
        <w:rPr>
          <w:rFonts w:asciiTheme="majorBidi" w:hAnsiTheme="majorBidi" w:cstheme="majorBidi"/>
          <w:bCs/>
        </w:rPr>
        <w:t>1</w:t>
      </w:r>
      <w:r w:rsidRPr="00807219">
        <w:rPr>
          <w:rFonts w:asciiTheme="majorBidi" w:hAnsiTheme="majorBidi" w:cstheme="majorBidi"/>
          <w:bCs/>
        </w:rPr>
        <w:t>.7] Tiesa</w:t>
      </w:r>
      <w:r w:rsidR="00EF51F4" w:rsidRPr="00807219">
        <w:rPr>
          <w:rFonts w:asciiTheme="majorBidi" w:hAnsiTheme="majorBidi" w:cstheme="majorBidi"/>
          <w:bCs/>
        </w:rPr>
        <w:t xml:space="preserve"> </w:t>
      </w:r>
      <w:r w:rsidRPr="00807219">
        <w:rPr>
          <w:rFonts w:asciiTheme="majorBidi" w:hAnsiTheme="majorBidi" w:cstheme="majorBidi"/>
          <w:bCs/>
        </w:rPr>
        <w:t xml:space="preserve">kļūdaini nav konstatējusi vienlīdzības principa pārkāpumu attiecībā uz </w:t>
      </w:r>
      <w:r w:rsidR="00FE5302" w:rsidRPr="00807219">
        <w:rPr>
          <w:rFonts w:asciiTheme="majorBidi" w:hAnsiTheme="majorBidi" w:cstheme="majorBidi"/>
          <w:bCs/>
        </w:rPr>
        <w:t xml:space="preserve">pieteicējai noteikto </w:t>
      </w:r>
      <w:r w:rsidRPr="00807219">
        <w:rPr>
          <w:rFonts w:asciiTheme="majorBidi" w:hAnsiTheme="majorBidi" w:cstheme="majorBidi"/>
          <w:bCs/>
        </w:rPr>
        <w:t>naudas sod</w:t>
      </w:r>
      <w:r w:rsidR="00FE5302" w:rsidRPr="00807219">
        <w:rPr>
          <w:rFonts w:asciiTheme="majorBidi" w:hAnsiTheme="majorBidi" w:cstheme="majorBidi"/>
          <w:bCs/>
        </w:rPr>
        <w:t>u</w:t>
      </w:r>
      <w:r w:rsidRPr="00807219">
        <w:rPr>
          <w:rFonts w:asciiTheme="majorBidi" w:hAnsiTheme="majorBidi" w:cstheme="majorBidi"/>
          <w:bCs/>
        </w:rPr>
        <w:t>.</w:t>
      </w:r>
      <w:r w:rsidRPr="00807219">
        <w:t xml:space="preserve"> </w:t>
      </w:r>
      <w:r w:rsidR="00E217DD">
        <w:t>T</w:t>
      </w:r>
      <w:r w:rsidRPr="00807219">
        <w:rPr>
          <w:rFonts w:asciiTheme="majorBidi" w:hAnsiTheme="majorBidi" w:cstheme="majorBidi"/>
          <w:bCs/>
        </w:rPr>
        <w:t xml:space="preserve">iesa nav vērtējusi </w:t>
      </w:r>
      <w:r w:rsidR="00EF51F4" w:rsidRPr="00807219">
        <w:rPr>
          <w:rFonts w:asciiTheme="majorBidi" w:hAnsiTheme="majorBidi" w:cstheme="majorBidi"/>
          <w:bCs/>
        </w:rPr>
        <w:t xml:space="preserve">pieteicējas </w:t>
      </w:r>
      <w:r w:rsidRPr="00807219">
        <w:rPr>
          <w:rFonts w:asciiTheme="majorBidi" w:hAnsiTheme="majorBidi" w:cstheme="majorBidi"/>
          <w:bCs/>
        </w:rPr>
        <w:t xml:space="preserve">norādes par </w:t>
      </w:r>
      <w:r w:rsidR="00E217DD" w:rsidRPr="00807219">
        <w:rPr>
          <w:rFonts w:asciiTheme="majorBidi" w:hAnsiTheme="majorBidi" w:cstheme="majorBidi"/>
          <w:bCs/>
          <w:i/>
          <w:iCs/>
        </w:rPr>
        <w:t>Velve</w:t>
      </w:r>
      <w:r w:rsidR="00E217DD">
        <w:rPr>
          <w:rFonts w:asciiTheme="majorBidi" w:hAnsiTheme="majorBidi" w:cstheme="majorBidi"/>
          <w:bCs/>
          <w:i/>
          <w:iCs/>
        </w:rPr>
        <w:t>i</w:t>
      </w:r>
      <w:r w:rsidR="00E217DD" w:rsidRPr="00807219">
        <w:rPr>
          <w:rFonts w:asciiTheme="majorBidi" w:hAnsiTheme="majorBidi" w:cstheme="majorBidi"/>
          <w:bCs/>
        </w:rPr>
        <w:t xml:space="preserve"> </w:t>
      </w:r>
      <w:r w:rsidR="00EF51F4" w:rsidRPr="00807219">
        <w:rPr>
          <w:rFonts w:asciiTheme="majorBidi" w:hAnsiTheme="majorBidi" w:cstheme="majorBidi"/>
          <w:bCs/>
        </w:rPr>
        <w:t xml:space="preserve">piešķirto </w:t>
      </w:r>
      <w:r w:rsidRPr="00807219">
        <w:rPr>
          <w:rFonts w:asciiTheme="majorBidi" w:hAnsiTheme="majorBidi" w:cstheme="majorBidi"/>
          <w:bCs/>
        </w:rPr>
        <w:t xml:space="preserve">naudas soda </w:t>
      </w:r>
      <w:r w:rsidR="00EF51F4" w:rsidRPr="00807219">
        <w:rPr>
          <w:rFonts w:asciiTheme="majorBidi" w:hAnsiTheme="majorBidi" w:cstheme="majorBidi"/>
          <w:bCs/>
        </w:rPr>
        <w:t>samazinājumu</w:t>
      </w:r>
      <w:r w:rsidR="00EF51F4" w:rsidRPr="00807219">
        <w:rPr>
          <w:rFonts w:asciiTheme="majorBidi" w:hAnsiTheme="majorBidi" w:cstheme="majorBidi"/>
          <w:bCs/>
          <w:i/>
          <w:iCs/>
        </w:rPr>
        <w:t xml:space="preserve"> </w:t>
      </w:r>
      <w:r w:rsidRPr="00807219">
        <w:rPr>
          <w:rFonts w:asciiTheme="majorBidi" w:hAnsiTheme="majorBidi" w:cstheme="majorBidi"/>
          <w:bCs/>
        </w:rPr>
        <w:t>1,5</w:t>
      </w:r>
      <w:r w:rsidR="00EF51F4" w:rsidRPr="00807219">
        <w:rPr>
          <w:rFonts w:asciiTheme="majorBidi" w:hAnsiTheme="majorBidi" w:cstheme="majorBidi"/>
          <w:bCs/>
        </w:rPr>
        <w:t> </w:t>
      </w:r>
      <w:r w:rsidRPr="00807219">
        <w:rPr>
          <w:rFonts w:asciiTheme="majorBidi" w:hAnsiTheme="majorBidi" w:cstheme="majorBidi"/>
          <w:bCs/>
        </w:rPr>
        <w:t>% apmērā</w:t>
      </w:r>
      <w:r w:rsidR="00BB6E0E" w:rsidRPr="00807219">
        <w:rPr>
          <w:rFonts w:asciiTheme="majorBidi" w:hAnsiTheme="majorBidi" w:cstheme="majorBidi"/>
          <w:bCs/>
        </w:rPr>
        <w:t xml:space="preserve">, pamatojoties uz </w:t>
      </w:r>
      <w:r w:rsidR="00AB44C8">
        <w:rPr>
          <w:rFonts w:asciiTheme="majorBidi" w:hAnsiTheme="majorBidi" w:cstheme="majorBidi"/>
          <w:bCs/>
        </w:rPr>
        <w:t>n</w:t>
      </w:r>
      <w:r w:rsidR="00AB44C8" w:rsidRPr="00807219">
        <w:rPr>
          <w:rFonts w:asciiTheme="majorBidi" w:hAnsiTheme="majorBidi" w:cstheme="majorBidi"/>
          <w:bCs/>
        </w:rPr>
        <w:t xml:space="preserve">oteikumu </w:t>
      </w:r>
      <w:r w:rsidR="00BB6E0E" w:rsidRPr="00807219">
        <w:rPr>
          <w:rFonts w:asciiTheme="majorBidi" w:hAnsiTheme="majorBidi" w:cstheme="majorBidi"/>
          <w:bCs/>
        </w:rPr>
        <w:t>Nr. 179 22.1.3.apakšpunktu.</w:t>
      </w:r>
      <w:r w:rsidRPr="00807219">
        <w:rPr>
          <w:rFonts w:asciiTheme="majorBidi" w:hAnsiTheme="majorBidi" w:cstheme="majorBidi"/>
          <w:bCs/>
        </w:rPr>
        <w:t xml:space="preserve"> </w:t>
      </w:r>
      <w:r w:rsidR="00A87C8D" w:rsidRPr="00807219">
        <w:rPr>
          <w:rFonts w:asciiTheme="majorBidi" w:hAnsiTheme="majorBidi" w:cstheme="majorBidi"/>
          <w:bCs/>
        </w:rPr>
        <w:t xml:space="preserve">Lietas izskatīšanas gaitā tā arī netika saņemti </w:t>
      </w:r>
      <w:r w:rsidR="00AB44C8">
        <w:rPr>
          <w:rFonts w:asciiTheme="majorBidi" w:hAnsiTheme="majorBidi" w:cstheme="majorBidi"/>
          <w:bCs/>
        </w:rPr>
        <w:t>Konkurences p</w:t>
      </w:r>
      <w:r w:rsidR="00AB44C8" w:rsidRPr="00807219">
        <w:rPr>
          <w:rFonts w:asciiTheme="majorBidi" w:hAnsiTheme="majorBidi" w:cstheme="majorBidi"/>
          <w:bCs/>
        </w:rPr>
        <w:t xml:space="preserve">adomes </w:t>
      </w:r>
      <w:r w:rsidR="00A87C8D" w:rsidRPr="00807219">
        <w:rPr>
          <w:rFonts w:asciiTheme="majorBidi" w:hAnsiTheme="majorBidi" w:cstheme="majorBidi"/>
          <w:bCs/>
        </w:rPr>
        <w:t xml:space="preserve">paskaidrojumi par to, kādu tieši informāciju </w:t>
      </w:r>
      <w:r w:rsidR="00A87C8D" w:rsidRPr="00807219">
        <w:rPr>
          <w:rFonts w:asciiTheme="majorBidi" w:hAnsiTheme="majorBidi" w:cstheme="majorBidi"/>
          <w:bCs/>
          <w:i/>
          <w:iCs/>
        </w:rPr>
        <w:t>Velve</w:t>
      </w:r>
      <w:r w:rsidR="00A87C8D" w:rsidRPr="00807219">
        <w:rPr>
          <w:rFonts w:asciiTheme="majorBidi" w:hAnsiTheme="majorBidi" w:cstheme="majorBidi"/>
          <w:bCs/>
        </w:rPr>
        <w:t xml:space="preserve"> sniedza pēc savas iniciatīvas, kurai bija būtiska nozīm</w:t>
      </w:r>
      <w:r w:rsidR="00FE5302" w:rsidRPr="00807219">
        <w:rPr>
          <w:rFonts w:asciiTheme="majorBidi" w:hAnsiTheme="majorBidi" w:cstheme="majorBidi"/>
          <w:bCs/>
        </w:rPr>
        <w:t>e</w:t>
      </w:r>
      <w:r w:rsidR="00A87C8D" w:rsidRPr="00807219">
        <w:rPr>
          <w:rFonts w:asciiTheme="majorBidi" w:hAnsiTheme="majorBidi" w:cstheme="majorBidi"/>
          <w:bCs/>
        </w:rPr>
        <w:t xml:space="preserve">, lai tādējādi pamatotu </w:t>
      </w:r>
      <w:r w:rsidR="00EF51F4" w:rsidRPr="00807219">
        <w:rPr>
          <w:rFonts w:asciiTheme="majorBidi" w:hAnsiTheme="majorBidi" w:cstheme="majorBidi"/>
          <w:bCs/>
          <w:i/>
          <w:iCs/>
        </w:rPr>
        <w:t>Velvei</w:t>
      </w:r>
      <w:r w:rsidR="00EF51F4" w:rsidRPr="00807219">
        <w:rPr>
          <w:rFonts w:asciiTheme="majorBidi" w:hAnsiTheme="majorBidi" w:cstheme="majorBidi"/>
          <w:bCs/>
        </w:rPr>
        <w:t xml:space="preserve"> </w:t>
      </w:r>
      <w:r w:rsidR="00A87C8D" w:rsidRPr="00807219">
        <w:rPr>
          <w:rFonts w:asciiTheme="majorBidi" w:hAnsiTheme="majorBidi" w:cstheme="majorBidi"/>
          <w:bCs/>
        </w:rPr>
        <w:t xml:space="preserve">piemērotās soda naudas </w:t>
      </w:r>
      <w:r w:rsidR="00EF51F4" w:rsidRPr="00807219">
        <w:rPr>
          <w:rFonts w:asciiTheme="majorBidi" w:hAnsiTheme="majorBidi" w:cstheme="majorBidi"/>
          <w:bCs/>
        </w:rPr>
        <w:t>samazinājumu</w:t>
      </w:r>
      <w:r w:rsidR="00A87C8D" w:rsidRPr="00807219">
        <w:rPr>
          <w:rFonts w:asciiTheme="majorBidi" w:hAnsiTheme="majorBidi" w:cstheme="majorBidi"/>
          <w:bCs/>
        </w:rPr>
        <w:t>.</w:t>
      </w:r>
      <w:r w:rsidR="00BB6E0E" w:rsidRPr="00807219">
        <w:rPr>
          <w:rFonts w:asciiTheme="majorBidi" w:hAnsiTheme="majorBidi" w:cstheme="majorBidi"/>
          <w:bCs/>
        </w:rPr>
        <w:t xml:space="preserve"> </w:t>
      </w:r>
      <w:r w:rsidR="00EF51F4" w:rsidRPr="00807219">
        <w:rPr>
          <w:rFonts w:asciiTheme="majorBidi" w:hAnsiTheme="majorBidi" w:cstheme="majorBidi"/>
          <w:bCs/>
        </w:rPr>
        <w:t>Tādējādi naudas sods nav noteikts saskaņā ar vienlīdzīgas attieksmes principu</w:t>
      </w:r>
      <w:r w:rsidR="00A87C8D" w:rsidRPr="00807219">
        <w:rPr>
          <w:rFonts w:asciiTheme="majorBidi" w:hAnsiTheme="majorBidi" w:cstheme="majorBidi"/>
          <w:bCs/>
        </w:rPr>
        <w:t>.</w:t>
      </w:r>
    </w:p>
    <w:p w14:paraId="230CFEEC" w14:textId="766992BF" w:rsidR="006140FD" w:rsidRPr="00807219" w:rsidRDefault="00A87C8D" w:rsidP="001F783F">
      <w:pPr>
        <w:spacing w:line="276" w:lineRule="auto"/>
        <w:ind w:firstLine="720"/>
        <w:jc w:val="lowKashida"/>
        <w:rPr>
          <w:rFonts w:asciiTheme="majorBidi" w:hAnsiTheme="majorBidi" w:cstheme="majorBidi"/>
          <w:bCs/>
        </w:rPr>
      </w:pPr>
      <w:r w:rsidRPr="00807219">
        <w:rPr>
          <w:rFonts w:asciiTheme="majorBidi" w:hAnsiTheme="majorBidi" w:cstheme="majorBidi"/>
          <w:bCs/>
        </w:rPr>
        <w:t>[1</w:t>
      </w:r>
      <w:r w:rsidR="00CA7763" w:rsidRPr="00807219">
        <w:rPr>
          <w:rFonts w:asciiTheme="majorBidi" w:hAnsiTheme="majorBidi" w:cstheme="majorBidi"/>
          <w:bCs/>
        </w:rPr>
        <w:t>1</w:t>
      </w:r>
      <w:r w:rsidRPr="00807219">
        <w:rPr>
          <w:rFonts w:asciiTheme="majorBidi" w:hAnsiTheme="majorBidi" w:cstheme="majorBidi"/>
          <w:bCs/>
        </w:rPr>
        <w:t xml:space="preserve">.8] Tiesa kļūdaini piemērojusi </w:t>
      </w:r>
      <w:r w:rsidR="00AB44C8">
        <w:rPr>
          <w:rFonts w:asciiTheme="majorBidi" w:hAnsiTheme="majorBidi" w:cstheme="majorBidi"/>
          <w:bCs/>
        </w:rPr>
        <w:t>n</w:t>
      </w:r>
      <w:r w:rsidR="00AB44C8" w:rsidRPr="00807219">
        <w:rPr>
          <w:rFonts w:asciiTheme="majorBidi" w:hAnsiTheme="majorBidi" w:cstheme="majorBidi"/>
          <w:bCs/>
        </w:rPr>
        <w:t xml:space="preserve">oteikumu </w:t>
      </w:r>
      <w:r w:rsidRPr="00807219">
        <w:rPr>
          <w:rFonts w:asciiTheme="majorBidi" w:hAnsiTheme="majorBidi" w:cstheme="majorBidi"/>
          <w:bCs/>
        </w:rPr>
        <w:t>Nr. 179 3.punktā noteikto naudas soda aprēķina bāzi, kā arī 9.punkta premisu attiecībā uz pieteicēju.</w:t>
      </w:r>
      <w:r w:rsidR="006140FD" w:rsidRPr="00807219">
        <w:rPr>
          <w:rFonts w:asciiTheme="majorBidi" w:hAnsiTheme="majorBidi" w:cstheme="majorBidi"/>
          <w:bCs/>
        </w:rPr>
        <w:t xml:space="preserve"> Atbilstoši šo noteikumu 3.punktam </w:t>
      </w:r>
      <w:r w:rsidR="00AB44C8">
        <w:rPr>
          <w:rFonts w:asciiTheme="majorBidi" w:hAnsiTheme="majorBidi" w:cstheme="majorBidi"/>
          <w:bCs/>
        </w:rPr>
        <w:t>Konkurences p</w:t>
      </w:r>
      <w:r w:rsidR="00AB44C8" w:rsidRPr="00807219">
        <w:rPr>
          <w:rFonts w:asciiTheme="majorBidi" w:hAnsiTheme="majorBidi" w:cstheme="majorBidi"/>
          <w:bCs/>
        </w:rPr>
        <w:t xml:space="preserve">adomei </w:t>
      </w:r>
      <w:r w:rsidR="006140FD" w:rsidRPr="00807219">
        <w:rPr>
          <w:rFonts w:asciiTheme="majorBidi" w:hAnsiTheme="majorBidi" w:cstheme="majorBidi"/>
          <w:bCs/>
        </w:rPr>
        <w:t>bija pienākums naudas sodu aprēķināt no pēdējā noslēgtā pārskata (finanšu) gada neto apgrozījuma pirms pārkāpuma konstatēšanas dienas, kas attiecībā uz pieteicēju ir 2020.gads, nevis 2019.gads. Spriedumā norādītie apsvērumi</w:t>
      </w:r>
      <w:r w:rsidR="00E217DD">
        <w:rPr>
          <w:rFonts w:asciiTheme="majorBidi" w:hAnsiTheme="majorBidi" w:cstheme="majorBidi"/>
          <w:bCs/>
        </w:rPr>
        <w:t xml:space="preserve"> par </w:t>
      </w:r>
      <w:r w:rsidR="006140FD" w:rsidRPr="00807219">
        <w:rPr>
          <w:rFonts w:asciiTheme="majorBidi" w:hAnsiTheme="majorBidi" w:cstheme="majorBidi"/>
          <w:bCs/>
        </w:rPr>
        <w:t>naudas sod</w:t>
      </w:r>
      <w:r w:rsidR="00E217DD">
        <w:rPr>
          <w:rFonts w:asciiTheme="majorBidi" w:hAnsiTheme="majorBidi" w:cstheme="majorBidi"/>
          <w:bCs/>
        </w:rPr>
        <w:t>a aprēķinu</w:t>
      </w:r>
      <w:r w:rsidR="006140FD" w:rsidRPr="00807219">
        <w:rPr>
          <w:rFonts w:asciiTheme="majorBidi" w:hAnsiTheme="majorBidi" w:cstheme="majorBidi"/>
          <w:bCs/>
        </w:rPr>
        <w:t xml:space="preserve"> no „pilnā” noslēgtā pārskata ir kļūdains un pretrunā likuma „Par grāmatvedību” un Gada pārskatu un konsolidēto gada pārskatu likuma prasībām, kuras pieteicēja ir pilnībā ievērojusi.</w:t>
      </w:r>
    </w:p>
    <w:p w14:paraId="3189C6AC" w14:textId="5BF39658" w:rsidR="00FA00B3" w:rsidRPr="00807219" w:rsidRDefault="00A87C8D" w:rsidP="001F783F">
      <w:pPr>
        <w:spacing w:line="276" w:lineRule="auto"/>
        <w:ind w:firstLine="720"/>
        <w:jc w:val="both"/>
        <w:rPr>
          <w:rFonts w:asciiTheme="majorBidi" w:hAnsiTheme="majorBidi" w:cstheme="majorBidi"/>
          <w:bCs/>
        </w:rPr>
      </w:pPr>
      <w:r w:rsidRPr="00807219">
        <w:rPr>
          <w:rFonts w:asciiTheme="majorBidi" w:hAnsiTheme="majorBidi" w:cstheme="majorBidi"/>
          <w:bCs/>
        </w:rPr>
        <w:t>[1</w:t>
      </w:r>
      <w:r w:rsidR="00CA7763" w:rsidRPr="00807219">
        <w:rPr>
          <w:rFonts w:asciiTheme="majorBidi" w:hAnsiTheme="majorBidi" w:cstheme="majorBidi"/>
          <w:bCs/>
        </w:rPr>
        <w:t>1</w:t>
      </w:r>
      <w:r w:rsidRPr="00807219">
        <w:rPr>
          <w:rFonts w:asciiTheme="majorBidi" w:hAnsiTheme="majorBidi" w:cstheme="majorBidi"/>
          <w:bCs/>
        </w:rPr>
        <w:t>.9] </w:t>
      </w:r>
      <w:r w:rsidR="005B6A82" w:rsidRPr="00807219">
        <w:rPr>
          <w:rFonts w:asciiTheme="majorBidi" w:hAnsiTheme="majorBidi" w:cstheme="majorBidi"/>
          <w:bCs/>
        </w:rPr>
        <w:t xml:space="preserve">Spriedumā nav ņemts vērā, ka saskaņā ar </w:t>
      </w:r>
      <w:r w:rsidR="00AB44C8">
        <w:rPr>
          <w:rFonts w:asciiTheme="majorBidi" w:hAnsiTheme="majorBidi" w:cstheme="majorBidi"/>
          <w:bCs/>
        </w:rPr>
        <w:t>n</w:t>
      </w:r>
      <w:r w:rsidR="00AB44C8" w:rsidRPr="00807219">
        <w:rPr>
          <w:rFonts w:asciiTheme="majorBidi" w:hAnsiTheme="majorBidi" w:cstheme="majorBidi"/>
          <w:bCs/>
        </w:rPr>
        <w:t xml:space="preserve">oteikumu </w:t>
      </w:r>
      <w:r w:rsidR="005B6A82" w:rsidRPr="00807219">
        <w:rPr>
          <w:rFonts w:asciiTheme="majorBidi" w:hAnsiTheme="majorBidi" w:cstheme="majorBidi"/>
          <w:bCs/>
        </w:rPr>
        <w:t>Nr. 179 12.punktu naudas soda apmēr</w:t>
      </w:r>
      <w:r w:rsidR="009D18FB">
        <w:rPr>
          <w:rFonts w:asciiTheme="majorBidi" w:hAnsiTheme="majorBidi" w:cstheme="majorBidi"/>
          <w:bCs/>
        </w:rPr>
        <w:t>a noteikšanai</w:t>
      </w:r>
      <w:r w:rsidR="005B6A82" w:rsidRPr="00807219">
        <w:rPr>
          <w:rFonts w:asciiTheme="majorBidi" w:hAnsiTheme="majorBidi" w:cstheme="majorBidi"/>
          <w:bCs/>
        </w:rPr>
        <w:t xml:space="preserve"> ņem vērā pārkāpuma smagumu un ilgumu. </w:t>
      </w:r>
      <w:r w:rsidR="00BB6E0E" w:rsidRPr="00807219">
        <w:rPr>
          <w:rFonts w:asciiTheme="majorBidi" w:hAnsiTheme="majorBidi" w:cstheme="majorBidi"/>
          <w:bCs/>
        </w:rPr>
        <w:t>A</w:t>
      </w:r>
      <w:r w:rsidR="005B6A82" w:rsidRPr="00807219">
        <w:rPr>
          <w:rFonts w:asciiTheme="majorBidi" w:hAnsiTheme="majorBidi" w:cstheme="majorBidi"/>
          <w:bCs/>
        </w:rPr>
        <w:t xml:space="preserve">tbilstoši šo noteikumu 13.punktam, nosakot pārkāpuma smaguma pakāpi, ņem vērā arī pārkāpuma radītās vai iespējamās sekas. </w:t>
      </w:r>
      <w:r w:rsidR="006D6B33">
        <w:rPr>
          <w:rFonts w:asciiTheme="majorBidi" w:hAnsiTheme="majorBidi" w:cstheme="majorBidi"/>
          <w:bCs/>
        </w:rPr>
        <w:t>Pārsūdzētajā l</w:t>
      </w:r>
      <w:r w:rsidR="00BB6E0E" w:rsidRPr="00807219">
        <w:rPr>
          <w:rFonts w:asciiTheme="majorBidi" w:hAnsiTheme="majorBidi" w:cstheme="majorBidi"/>
          <w:bCs/>
        </w:rPr>
        <w:t xml:space="preserve">ēmumā nav </w:t>
      </w:r>
      <w:r w:rsidR="00AB44C8" w:rsidRPr="00807219">
        <w:rPr>
          <w:rFonts w:asciiTheme="majorBidi" w:hAnsiTheme="majorBidi" w:cstheme="majorBidi"/>
          <w:bCs/>
        </w:rPr>
        <w:t>izvērtēt</w:t>
      </w:r>
      <w:r w:rsidR="00AB44C8">
        <w:rPr>
          <w:rFonts w:asciiTheme="majorBidi" w:hAnsiTheme="majorBidi" w:cstheme="majorBidi"/>
          <w:bCs/>
        </w:rPr>
        <w:t>s</w:t>
      </w:r>
      <w:r w:rsidR="00AB44C8" w:rsidRPr="00807219">
        <w:rPr>
          <w:rFonts w:asciiTheme="majorBidi" w:hAnsiTheme="majorBidi" w:cstheme="majorBidi"/>
          <w:bCs/>
        </w:rPr>
        <w:t xml:space="preserve"> </w:t>
      </w:r>
      <w:r w:rsidR="00BB6E0E" w:rsidRPr="00807219">
        <w:rPr>
          <w:rFonts w:asciiTheme="majorBidi" w:hAnsiTheme="majorBidi" w:cstheme="majorBidi"/>
          <w:bCs/>
        </w:rPr>
        <w:t>naudas soda samērīgum</w:t>
      </w:r>
      <w:r w:rsidR="00AB44C8">
        <w:rPr>
          <w:rFonts w:asciiTheme="majorBidi" w:hAnsiTheme="majorBidi" w:cstheme="majorBidi"/>
          <w:bCs/>
        </w:rPr>
        <w:t>s</w:t>
      </w:r>
      <w:r w:rsidR="00BB6E0E" w:rsidRPr="00807219">
        <w:rPr>
          <w:rFonts w:asciiTheme="majorBidi" w:hAnsiTheme="majorBidi" w:cstheme="majorBidi"/>
          <w:bCs/>
        </w:rPr>
        <w:t xml:space="preserve">, ievērojot </w:t>
      </w:r>
      <w:r w:rsidR="00AB44C8">
        <w:rPr>
          <w:rFonts w:asciiTheme="majorBidi" w:hAnsiTheme="majorBidi" w:cstheme="majorBidi"/>
          <w:bCs/>
        </w:rPr>
        <w:t>Konkurences p</w:t>
      </w:r>
      <w:r w:rsidR="00AB44C8" w:rsidRPr="00807219">
        <w:rPr>
          <w:rFonts w:asciiTheme="majorBidi" w:hAnsiTheme="majorBidi" w:cstheme="majorBidi"/>
          <w:bCs/>
        </w:rPr>
        <w:t xml:space="preserve">adomes </w:t>
      </w:r>
      <w:r w:rsidR="00BB6E0E" w:rsidRPr="00807219">
        <w:rPr>
          <w:rFonts w:asciiTheme="majorBidi" w:hAnsiTheme="majorBidi" w:cstheme="majorBidi"/>
          <w:bCs/>
        </w:rPr>
        <w:t>vērtējumu par 74 iepirkumiem, ko ietekmējusi iespējamā aizliegtā vienošanās</w:t>
      </w:r>
      <w:r w:rsidR="00FA00B3" w:rsidRPr="00807219">
        <w:rPr>
          <w:rFonts w:asciiTheme="majorBidi" w:hAnsiTheme="majorBidi" w:cstheme="majorBidi"/>
          <w:bCs/>
        </w:rPr>
        <w:t>.</w:t>
      </w:r>
    </w:p>
    <w:p w14:paraId="2B439318" w14:textId="77777777" w:rsidR="00FA00B3" w:rsidRPr="00807219" w:rsidRDefault="00FA00B3" w:rsidP="001F783F">
      <w:pPr>
        <w:spacing w:line="276" w:lineRule="auto"/>
        <w:ind w:firstLine="720"/>
        <w:jc w:val="both"/>
        <w:rPr>
          <w:rFonts w:asciiTheme="majorBidi" w:hAnsiTheme="majorBidi" w:cstheme="majorBidi"/>
          <w:bCs/>
        </w:rPr>
      </w:pPr>
    </w:p>
    <w:p w14:paraId="4AE03B6B" w14:textId="551C8D6E" w:rsidR="00957620" w:rsidRPr="00807219" w:rsidRDefault="00236B12" w:rsidP="001F783F">
      <w:pPr>
        <w:spacing w:line="276" w:lineRule="auto"/>
        <w:ind w:firstLine="720"/>
        <w:jc w:val="both"/>
        <w:rPr>
          <w:rFonts w:asciiTheme="majorBidi" w:hAnsiTheme="majorBidi" w:cstheme="majorBidi"/>
        </w:rPr>
      </w:pPr>
      <w:r w:rsidRPr="0038393A">
        <w:rPr>
          <w:rFonts w:asciiTheme="majorBidi" w:hAnsiTheme="majorBidi" w:cstheme="majorBidi"/>
          <w:lang w:eastAsia="lv-LV"/>
        </w:rPr>
        <w:t>[1</w:t>
      </w:r>
      <w:r w:rsidR="00CA7763" w:rsidRPr="0038393A">
        <w:rPr>
          <w:rFonts w:asciiTheme="majorBidi" w:hAnsiTheme="majorBidi" w:cstheme="majorBidi"/>
          <w:lang w:eastAsia="lv-LV"/>
        </w:rPr>
        <w:t>2</w:t>
      </w:r>
      <w:r w:rsidRPr="0038393A">
        <w:rPr>
          <w:rFonts w:asciiTheme="majorBidi" w:hAnsiTheme="majorBidi" w:cstheme="majorBidi"/>
          <w:lang w:eastAsia="lv-LV"/>
        </w:rPr>
        <w:t>]</w:t>
      </w:r>
      <w:r w:rsidR="00B74A20" w:rsidRPr="0038393A">
        <w:rPr>
          <w:rFonts w:asciiTheme="majorBidi" w:hAnsiTheme="majorBidi" w:cstheme="majorBidi"/>
          <w:lang w:eastAsia="lv-LV"/>
        </w:rPr>
        <w:t> </w:t>
      </w:r>
      <w:r w:rsidRPr="0038393A">
        <w:rPr>
          <w:rFonts w:asciiTheme="majorBidi" w:hAnsiTheme="majorBidi" w:cstheme="majorBidi"/>
          <w:i/>
          <w:iCs/>
          <w:lang w:eastAsia="lv-LV"/>
        </w:rPr>
        <w:t>LNK Industries</w:t>
      </w:r>
      <w:r w:rsidRPr="0038393A">
        <w:rPr>
          <w:rFonts w:asciiTheme="majorBidi" w:hAnsiTheme="majorBidi" w:cstheme="majorBidi"/>
          <w:lang w:eastAsia="lv-LV"/>
        </w:rPr>
        <w:t xml:space="preserve"> </w:t>
      </w:r>
      <w:r w:rsidR="00B66E46" w:rsidRPr="0038393A">
        <w:rPr>
          <w:rFonts w:asciiTheme="majorBidi" w:hAnsiTheme="majorBidi" w:cstheme="majorBidi"/>
        </w:rPr>
        <w:t>kasācijas sūdzība pamatota ar turpmāko</w:t>
      </w:r>
      <w:r w:rsidRPr="0038393A">
        <w:rPr>
          <w:rFonts w:asciiTheme="majorBidi" w:hAnsiTheme="majorBidi" w:cstheme="majorBidi"/>
        </w:rPr>
        <w:t>.</w:t>
      </w:r>
    </w:p>
    <w:p w14:paraId="0AC7C3CA" w14:textId="1116F49F" w:rsidR="00957620" w:rsidRPr="00807219" w:rsidRDefault="00236B12" w:rsidP="001F783F">
      <w:pPr>
        <w:spacing w:line="276" w:lineRule="auto"/>
        <w:ind w:firstLine="720"/>
        <w:jc w:val="both"/>
        <w:rPr>
          <w:rFonts w:asciiTheme="majorBidi" w:hAnsiTheme="majorBidi" w:cstheme="majorBidi"/>
        </w:rPr>
      </w:pPr>
      <w:r w:rsidRPr="00807219">
        <w:rPr>
          <w:rFonts w:asciiTheme="majorBidi" w:hAnsiTheme="majorBidi" w:cstheme="majorBidi"/>
        </w:rPr>
        <w:t>[1</w:t>
      </w:r>
      <w:r w:rsidR="00CA7763" w:rsidRPr="00807219">
        <w:rPr>
          <w:rFonts w:asciiTheme="majorBidi" w:hAnsiTheme="majorBidi" w:cstheme="majorBidi"/>
        </w:rPr>
        <w:t>2</w:t>
      </w:r>
      <w:r w:rsidRPr="00807219">
        <w:rPr>
          <w:rFonts w:asciiTheme="majorBidi" w:hAnsiTheme="majorBidi" w:cstheme="majorBidi"/>
        </w:rPr>
        <w:t>.1]</w:t>
      </w:r>
      <w:r w:rsidR="00FA00B3" w:rsidRPr="00807219">
        <w:rPr>
          <w:rFonts w:asciiTheme="majorBidi" w:hAnsiTheme="majorBidi" w:cstheme="majorBidi"/>
        </w:rPr>
        <w:t> </w:t>
      </w:r>
      <w:r w:rsidR="006C7D8E" w:rsidRPr="00807219">
        <w:rPr>
          <w:rFonts w:asciiTheme="majorBidi" w:hAnsiTheme="majorBidi" w:cstheme="majorBidi"/>
        </w:rPr>
        <w:t xml:space="preserve">Tiesa nepareizi un nepamatoti piemērojusi LESD 101.pantu, kļūdaini atzīstot, ka izpildīts kritērijs par ietekmi uz tirdzniecību starp dalībvalstīm. Tiesa nav objektīvi izvērtējusi </w:t>
      </w:r>
      <w:r w:rsidR="00AB44C8">
        <w:rPr>
          <w:rFonts w:asciiTheme="majorBidi" w:hAnsiTheme="majorBidi" w:cstheme="majorBidi"/>
        </w:rPr>
        <w:t>Konkurences p</w:t>
      </w:r>
      <w:r w:rsidR="00AB44C8" w:rsidRPr="00807219">
        <w:rPr>
          <w:rFonts w:asciiTheme="majorBidi" w:hAnsiTheme="majorBidi" w:cstheme="majorBidi"/>
        </w:rPr>
        <w:t xml:space="preserve">adomes </w:t>
      </w:r>
      <w:r w:rsidR="006C7D8E" w:rsidRPr="00807219">
        <w:rPr>
          <w:rFonts w:asciiTheme="majorBidi" w:hAnsiTheme="majorBidi" w:cstheme="majorBidi"/>
        </w:rPr>
        <w:t>norādījumus par to, vai 51</w:t>
      </w:r>
      <w:r w:rsidR="003B2890">
        <w:rPr>
          <w:rFonts w:asciiTheme="majorBidi" w:hAnsiTheme="majorBidi" w:cstheme="majorBidi"/>
        </w:rPr>
        <w:t> </w:t>
      </w:r>
      <w:r w:rsidR="006C7D8E" w:rsidRPr="00807219">
        <w:rPr>
          <w:rFonts w:asciiTheme="majorBidi" w:hAnsiTheme="majorBidi" w:cstheme="majorBidi"/>
        </w:rPr>
        <w:t>% iepirkumu izsludināšana Eiropas Savienības Oficiālajā Vēstnesī patiešām ietekmēja tirdzniecību starp dalībvalstīm, kas ir obligāts priekšnoteikums LESD 101.panta piemērošanai.</w:t>
      </w:r>
    </w:p>
    <w:p w14:paraId="27EF3EA0" w14:textId="46509E6F" w:rsidR="006C7D8E" w:rsidRPr="00807219" w:rsidRDefault="00BA1B97" w:rsidP="001F783F">
      <w:pPr>
        <w:spacing w:line="276" w:lineRule="auto"/>
        <w:ind w:firstLine="720"/>
        <w:jc w:val="both"/>
        <w:rPr>
          <w:rFonts w:asciiTheme="majorBidi" w:hAnsiTheme="majorBidi" w:cstheme="majorBidi"/>
        </w:rPr>
      </w:pPr>
      <w:bookmarkStart w:id="8" w:name="_Hlk212821897"/>
      <w:r w:rsidRPr="00807219">
        <w:rPr>
          <w:rFonts w:asciiTheme="majorBidi" w:hAnsiTheme="majorBidi" w:cstheme="majorBidi"/>
        </w:rPr>
        <w:t>[1</w:t>
      </w:r>
      <w:r w:rsidR="00CA7763" w:rsidRPr="00807219">
        <w:rPr>
          <w:rFonts w:asciiTheme="majorBidi" w:hAnsiTheme="majorBidi" w:cstheme="majorBidi"/>
        </w:rPr>
        <w:t>2</w:t>
      </w:r>
      <w:r w:rsidRPr="00807219">
        <w:rPr>
          <w:rFonts w:asciiTheme="majorBidi" w:hAnsiTheme="majorBidi" w:cstheme="majorBidi"/>
        </w:rPr>
        <w:t xml:space="preserve">.2] Tiesa nepareizi interpretējusi Operatīvās darbības likuma 24.pantu, Administratīvā procesa likuma 59. un 60.pantu un Konkurences likuma 9.pantu, </w:t>
      </w:r>
      <w:r w:rsidR="006C7D8E" w:rsidRPr="00807219">
        <w:rPr>
          <w:rFonts w:asciiTheme="majorBidi" w:hAnsiTheme="majorBidi" w:cstheme="majorBidi"/>
        </w:rPr>
        <w:t>kļūdaini</w:t>
      </w:r>
      <w:r w:rsidRPr="00807219">
        <w:rPr>
          <w:rFonts w:asciiTheme="majorBidi" w:hAnsiTheme="majorBidi" w:cstheme="majorBidi"/>
        </w:rPr>
        <w:t xml:space="preserve"> balstoties uz privāttiesiskajās attiecībās pastāvošo principu „atļauts viss, kas nav aizliegts”, kā arī pārkāpjot tiesiskuma principu. Rezultātā tiesa </w:t>
      </w:r>
      <w:r w:rsidR="005F1938" w:rsidRPr="00807219">
        <w:rPr>
          <w:rFonts w:asciiTheme="majorBidi" w:hAnsiTheme="majorBidi" w:cstheme="majorBidi"/>
        </w:rPr>
        <w:t>pretēji publiskajās tiesībās piemērojamam principam „aizliegts viss, kas nav atļauts”</w:t>
      </w:r>
      <w:r w:rsidRPr="00807219">
        <w:rPr>
          <w:rFonts w:asciiTheme="majorBidi" w:hAnsiTheme="majorBidi" w:cstheme="majorBidi"/>
        </w:rPr>
        <w:t xml:space="preserve"> atzinusi, ka no tiesību normām neizriet liegums kriminālprocesa materiālu, kas iegūti sevišķā veidā veicamās operatīvās darbības pasākuma rezultātā, izmantošanu administratīvajā procesā.</w:t>
      </w:r>
    </w:p>
    <w:p w14:paraId="1FDE7C65" w14:textId="45B1083E" w:rsidR="006C7D8E" w:rsidRPr="00807219" w:rsidRDefault="00A4798A" w:rsidP="001F783F">
      <w:pPr>
        <w:spacing w:line="276" w:lineRule="auto"/>
        <w:ind w:firstLine="720"/>
        <w:jc w:val="both"/>
        <w:rPr>
          <w:rFonts w:asciiTheme="majorBidi" w:hAnsiTheme="majorBidi" w:cstheme="majorBidi"/>
        </w:rPr>
      </w:pPr>
      <w:r w:rsidRPr="004D1A56">
        <w:rPr>
          <w:rFonts w:asciiTheme="majorBidi" w:hAnsiTheme="majorBidi" w:cstheme="majorBidi"/>
        </w:rPr>
        <w:t>[1</w:t>
      </w:r>
      <w:r w:rsidR="00CA7763" w:rsidRPr="004D1A56">
        <w:rPr>
          <w:rFonts w:asciiTheme="majorBidi" w:hAnsiTheme="majorBidi" w:cstheme="majorBidi"/>
        </w:rPr>
        <w:t>2</w:t>
      </w:r>
      <w:r w:rsidRPr="004D1A56">
        <w:rPr>
          <w:rFonts w:asciiTheme="majorBidi" w:hAnsiTheme="majorBidi" w:cstheme="majorBidi"/>
        </w:rPr>
        <w:t>.</w:t>
      </w:r>
      <w:r w:rsidR="00BA1B97" w:rsidRPr="004D1A56">
        <w:rPr>
          <w:rFonts w:asciiTheme="majorBidi" w:hAnsiTheme="majorBidi" w:cstheme="majorBidi"/>
        </w:rPr>
        <w:t>3</w:t>
      </w:r>
      <w:r w:rsidRPr="004D1A56">
        <w:rPr>
          <w:rFonts w:asciiTheme="majorBidi" w:hAnsiTheme="majorBidi" w:cstheme="majorBidi"/>
        </w:rPr>
        <w:t>] </w:t>
      </w:r>
      <w:r w:rsidR="006C7D8E" w:rsidRPr="004D1A56">
        <w:rPr>
          <w:rFonts w:asciiTheme="majorBidi" w:hAnsiTheme="majorBidi" w:cstheme="majorBidi"/>
        </w:rPr>
        <w:t>Tiesa neinterpretēja procesuālo tiesību normas Datu regulas kontekstā. Tiesas</w:t>
      </w:r>
      <w:r w:rsidR="006C7D8E" w:rsidRPr="00807219">
        <w:rPr>
          <w:rFonts w:asciiTheme="majorBidi" w:hAnsiTheme="majorBidi" w:cstheme="majorBidi"/>
        </w:rPr>
        <w:t xml:space="preserve"> secinājums, ka </w:t>
      </w:r>
      <w:r w:rsidR="00073EE1" w:rsidRPr="00807219">
        <w:rPr>
          <w:rFonts w:asciiTheme="majorBidi" w:hAnsiTheme="majorBidi" w:cstheme="majorBidi"/>
        </w:rPr>
        <w:t>tiesību normas</w:t>
      </w:r>
      <w:r w:rsidR="006C7D8E" w:rsidRPr="00807219">
        <w:rPr>
          <w:rFonts w:asciiTheme="majorBidi" w:hAnsiTheme="majorBidi" w:cstheme="majorBidi"/>
        </w:rPr>
        <w:t xml:space="preserve"> </w:t>
      </w:r>
      <w:r w:rsidR="00073EE1" w:rsidRPr="00807219">
        <w:rPr>
          <w:rFonts w:asciiTheme="majorBidi" w:hAnsiTheme="majorBidi" w:cstheme="majorBidi"/>
        </w:rPr>
        <w:t>neaizliedz</w:t>
      </w:r>
      <w:r w:rsidR="006C7D8E" w:rsidRPr="00807219">
        <w:rPr>
          <w:rFonts w:asciiTheme="majorBidi" w:hAnsiTheme="majorBidi" w:cstheme="majorBidi"/>
        </w:rPr>
        <w:t xml:space="preserve"> izmantot operatīvās sarunu noklausīšanās rezultātā iegūto informāciju administratīvajā lietā, nav saderīgs ar Datu regulas prasībām. Nevērtējot pierādījumu pieļaujamību Datu regulas gaismā, tiesa kļūdaini atzina, ka </w:t>
      </w:r>
      <w:r w:rsidR="00AF0D6D">
        <w:rPr>
          <w:rFonts w:asciiTheme="majorBidi" w:hAnsiTheme="majorBidi" w:cstheme="majorBidi"/>
        </w:rPr>
        <w:t>Konkurences p</w:t>
      </w:r>
      <w:r w:rsidR="00AF0D6D" w:rsidRPr="00807219">
        <w:rPr>
          <w:rFonts w:asciiTheme="majorBidi" w:hAnsiTheme="majorBidi" w:cstheme="majorBidi"/>
        </w:rPr>
        <w:t xml:space="preserve">adome </w:t>
      </w:r>
      <w:r w:rsidR="006C7D8E" w:rsidRPr="00807219">
        <w:rPr>
          <w:rFonts w:asciiTheme="majorBidi" w:hAnsiTheme="majorBidi" w:cstheme="majorBidi"/>
        </w:rPr>
        <w:t>drīkstēja izmantot šo informāciju lietā.</w:t>
      </w:r>
    </w:p>
    <w:bookmarkEnd w:id="8"/>
    <w:p w14:paraId="71A7B1FB" w14:textId="4A310505" w:rsidR="00B9544C" w:rsidRPr="00807219" w:rsidRDefault="00847A81" w:rsidP="001F783F">
      <w:pPr>
        <w:spacing w:line="276" w:lineRule="auto"/>
        <w:ind w:firstLine="720"/>
        <w:jc w:val="both"/>
        <w:rPr>
          <w:rFonts w:asciiTheme="majorBidi" w:hAnsiTheme="majorBidi" w:cstheme="majorBidi"/>
        </w:rPr>
      </w:pPr>
      <w:r w:rsidRPr="00807219">
        <w:rPr>
          <w:rFonts w:asciiTheme="majorBidi" w:hAnsiTheme="majorBidi" w:cstheme="majorBidi"/>
        </w:rPr>
        <w:t>[1</w:t>
      </w:r>
      <w:r w:rsidR="00CA7763" w:rsidRPr="00807219">
        <w:rPr>
          <w:rFonts w:asciiTheme="majorBidi" w:hAnsiTheme="majorBidi" w:cstheme="majorBidi"/>
        </w:rPr>
        <w:t>2</w:t>
      </w:r>
      <w:r w:rsidRPr="00807219">
        <w:rPr>
          <w:rFonts w:asciiTheme="majorBidi" w:hAnsiTheme="majorBidi" w:cstheme="majorBidi"/>
        </w:rPr>
        <w:t>.</w:t>
      </w:r>
      <w:r w:rsidR="00311ED2">
        <w:rPr>
          <w:rFonts w:asciiTheme="majorBidi" w:hAnsiTheme="majorBidi" w:cstheme="majorBidi"/>
        </w:rPr>
        <w:t>4</w:t>
      </w:r>
      <w:r w:rsidRPr="00807219">
        <w:rPr>
          <w:rFonts w:asciiTheme="majorBidi" w:hAnsiTheme="majorBidi" w:cstheme="majorBidi"/>
        </w:rPr>
        <w:t>] </w:t>
      </w:r>
      <w:r w:rsidR="00991E2E" w:rsidRPr="00807219">
        <w:rPr>
          <w:rFonts w:asciiTheme="majorBidi" w:hAnsiTheme="majorBidi" w:cstheme="majorBidi"/>
        </w:rPr>
        <w:t xml:space="preserve">Tiesa kļūdaini interpretējusi Konkurences likuma 11.pantu un 1.panta 3., 4. un 5.punktu, nepareizi definējot konkrēto tirgu un pārkāpuma ilgumu. Tiesa nepamatoti piekrita </w:t>
      </w:r>
      <w:r w:rsidR="009D18FB">
        <w:rPr>
          <w:rFonts w:asciiTheme="majorBidi" w:hAnsiTheme="majorBidi" w:cstheme="majorBidi"/>
        </w:rPr>
        <w:t>p</w:t>
      </w:r>
      <w:r w:rsidR="00991E2E" w:rsidRPr="00807219">
        <w:rPr>
          <w:rFonts w:asciiTheme="majorBidi" w:hAnsiTheme="majorBidi" w:cstheme="majorBidi"/>
        </w:rPr>
        <w:t>adomes secinājumiem par to, ka pārkāpum</w:t>
      </w:r>
      <w:r w:rsidR="00E82561">
        <w:rPr>
          <w:rFonts w:asciiTheme="majorBidi" w:hAnsiTheme="majorBidi" w:cstheme="majorBidi"/>
        </w:rPr>
        <w:t>s</w:t>
      </w:r>
      <w:r w:rsidR="00991E2E" w:rsidRPr="00807219">
        <w:rPr>
          <w:rFonts w:asciiTheme="majorBidi" w:hAnsiTheme="majorBidi" w:cstheme="majorBidi"/>
        </w:rPr>
        <w:t xml:space="preserve"> ilga vismaz no 2011.</w:t>
      </w:r>
      <w:r w:rsidR="004D1A56">
        <w:rPr>
          <w:rFonts w:asciiTheme="majorBidi" w:hAnsiTheme="majorBidi" w:cstheme="majorBidi"/>
        </w:rPr>
        <w:t>gada 13.jūnija</w:t>
      </w:r>
      <w:r w:rsidR="00991E2E" w:rsidRPr="00807219">
        <w:rPr>
          <w:rFonts w:asciiTheme="majorBidi" w:hAnsiTheme="majorBidi" w:cstheme="majorBidi"/>
        </w:rPr>
        <w:t xml:space="preserve"> līdz 2013.</w:t>
      </w:r>
      <w:r w:rsidR="004D1A56">
        <w:rPr>
          <w:rFonts w:asciiTheme="majorBidi" w:hAnsiTheme="majorBidi" w:cstheme="majorBidi"/>
        </w:rPr>
        <w:t>gada 8.janvārim</w:t>
      </w:r>
      <w:r w:rsidR="00991E2E" w:rsidRPr="00807219">
        <w:rPr>
          <w:rFonts w:asciiTheme="majorBidi" w:hAnsiTheme="majorBidi" w:cstheme="majorBidi"/>
        </w:rPr>
        <w:t xml:space="preserve"> un no 2015.</w:t>
      </w:r>
      <w:r w:rsidR="004D1A56">
        <w:rPr>
          <w:rFonts w:asciiTheme="majorBidi" w:hAnsiTheme="majorBidi" w:cstheme="majorBidi"/>
        </w:rPr>
        <w:t>gada 16.janvāra</w:t>
      </w:r>
      <w:r w:rsidR="00991E2E" w:rsidRPr="00807219">
        <w:rPr>
          <w:rFonts w:asciiTheme="majorBidi" w:hAnsiTheme="majorBidi" w:cstheme="majorBidi"/>
        </w:rPr>
        <w:t xml:space="preserve"> līdz 2019.</w:t>
      </w:r>
      <w:r w:rsidR="004D1A56">
        <w:rPr>
          <w:rFonts w:asciiTheme="majorBidi" w:hAnsiTheme="majorBidi" w:cstheme="majorBidi"/>
        </w:rPr>
        <w:t>gada 3.septembrim. Tiesa</w:t>
      </w:r>
      <w:r w:rsidR="00991E2E" w:rsidRPr="00807219">
        <w:rPr>
          <w:rFonts w:asciiTheme="majorBidi" w:hAnsiTheme="majorBidi" w:cstheme="majorBidi"/>
        </w:rPr>
        <w:t xml:space="preserve"> arī kļūdaini noraidīja, ka pārkāpuma beigas nosakāmas ar iepirkuma līguma noslēgšanu. Tiesa nevērtēja, ka ietekmētais tirgus ir katr</w:t>
      </w:r>
      <w:r w:rsidR="004D1A56">
        <w:rPr>
          <w:rFonts w:asciiTheme="majorBidi" w:hAnsiTheme="majorBidi" w:cstheme="majorBidi"/>
        </w:rPr>
        <w:t>s</w:t>
      </w:r>
      <w:r w:rsidR="00991E2E" w:rsidRPr="00807219">
        <w:rPr>
          <w:rFonts w:asciiTheme="majorBidi" w:hAnsiTheme="majorBidi" w:cstheme="majorBidi"/>
        </w:rPr>
        <w:t xml:space="preserve"> </w:t>
      </w:r>
      <w:r w:rsidR="009D18FB" w:rsidRPr="00807219">
        <w:rPr>
          <w:rFonts w:asciiTheme="majorBidi" w:hAnsiTheme="majorBidi" w:cstheme="majorBidi"/>
        </w:rPr>
        <w:t>atsevišķ</w:t>
      </w:r>
      <w:r w:rsidR="009D18FB">
        <w:rPr>
          <w:rFonts w:asciiTheme="majorBidi" w:hAnsiTheme="majorBidi" w:cstheme="majorBidi"/>
        </w:rPr>
        <w:t>s</w:t>
      </w:r>
      <w:r w:rsidR="009D18FB" w:rsidRPr="00807219">
        <w:rPr>
          <w:rFonts w:asciiTheme="majorBidi" w:hAnsiTheme="majorBidi" w:cstheme="majorBidi"/>
        </w:rPr>
        <w:t xml:space="preserve"> </w:t>
      </w:r>
      <w:r w:rsidR="00991E2E" w:rsidRPr="00807219">
        <w:rPr>
          <w:rFonts w:asciiTheme="majorBidi" w:hAnsiTheme="majorBidi" w:cstheme="majorBidi"/>
        </w:rPr>
        <w:t>iepirkum</w:t>
      </w:r>
      <w:r w:rsidR="004D1A56">
        <w:rPr>
          <w:rFonts w:asciiTheme="majorBidi" w:hAnsiTheme="majorBidi" w:cstheme="majorBidi"/>
        </w:rPr>
        <w:t>s</w:t>
      </w:r>
      <w:r w:rsidR="00991E2E" w:rsidRPr="00807219">
        <w:rPr>
          <w:rFonts w:asciiTheme="majorBidi" w:hAnsiTheme="majorBidi" w:cstheme="majorBidi"/>
        </w:rPr>
        <w:t>.</w:t>
      </w:r>
    </w:p>
    <w:p w14:paraId="5ED481AB" w14:textId="3049A298" w:rsidR="00C07C25" w:rsidRPr="00807219" w:rsidRDefault="00847A81" w:rsidP="001F783F">
      <w:pPr>
        <w:spacing w:line="276" w:lineRule="auto"/>
        <w:ind w:firstLine="720"/>
        <w:jc w:val="both"/>
        <w:rPr>
          <w:rFonts w:asciiTheme="majorBidi" w:hAnsiTheme="majorBidi" w:cstheme="majorBidi"/>
        </w:rPr>
      </w:pPr>
      <w:r w:rsidRPr="00807219">
        <w:rPr>
          <w:rFonts w:asciiTheme="majorBidi" w:hAnsiTheme="majorBidi" w:cstheme="majorBidi"/>
        </w:rPr>
        <w:t>[1</w:t>
      </w:r>
      <w:r w:rsidR="00CA7763" w:rsidRPr="00807219">
        <w:rPr>
          <w:rFonts w:asciiTheme="majorBidi" w:hAnsiTheme="majorBidi" w:cstheme="majorBidi"/>
        </w:rPr>
        <w:t>2</w:t>
      </w:r>
      <w:r w:rsidRPr="00807219">
        <w:rPr>
          <w:rFonts w:asciiTheme="majorBidi" w:hAnsiTheme="majorBidi" w:cstheme="majorBidi"/>
        </w:rPr>
        <w:t>.</w:t>
      </w:r>
      <w:r w:rsidR="00311ED2">
        <w:rPr>
          <w:rFonts w:asciiTheme="majorBidi" w:hAnsiTheme="majorBidi" w:cstheme="majorBidi"/>
        </w:rPr>
        <w:t>5</w:t>
      </w:r>
      <w:r w:rsidRPr="00807219">
        <w:rPr>
          <w:rFonts w:asciiTheme="majorBidi" w:hAnsiTheme="majorBidi" w:cstheme="majorBidi"/>
        </w:rPr>
        <w:t>] </w:t>
      </w:r>
      <w:r w:rsidR="00C07C25" w:rsidRPr="00807219">
        <w:rPr>
          <w:rFonts w:asciiTheme="majorBidi" w:hAnsiTheme="majorBidi" w:cstheme="majorBidi"/>
        </w:rPr>
        <w:t>Tiesa pārkāp</w:t>
      </w:r>
      <w:r w:rsidR="004D1A56">
        <w:rPr>
          <w:rFonts w:asciiTheme="majorBidi" w:hAnsiTheme="majorBidi" w:cstheme="majorBidi"/>
        </w:rPr>
        <w:t>a</w:t>
      </w:r>
      <w:r w:rsidR="00C07C25" w:rsidRPr="00807219">
        <w:rPr>
          <w:rFonts w:asciiTheme="majorBidi" w:hAnsiTheme="majorBidi" w:cstheme="majorBidi"/>
        </w:rPr>
        <w:t xml:space="preserve"> Administratīvā procesa likuma 154.pantu, jo nav vispusīgi, objektīvi un pilnīgi izvērtējusi pierādījumus un nav pamatojusi, kāpēc vieniem pierādījumiem devusi priekšroku pār citiem. Vērtējot atšifrējumus, tiesa ignorēja pieteicējas norādes un iebildumus par </w:t>
      </w:r>
      <w:r w:rsidR="00AF0D6D">
        <w:rPr>
          <w:rFonts w:asciiTheme="majorBidi" w:hAnsiTheme="majorBidi" w:cstheme="majorBidi"/>
        </w:rPr>
        <w:t>Konkurences p</w:t>
      </w:r>
      <w:r w:rsidR="00AF0D6D" w:rsidRPr="00807219">
        <w:rPr>
          <w:rFonts w:asciiTheme="majorBidi" w:hAnsiTheme="majorBidi" w:cstheme="majorBidi"/>
        </w:rPr>
        <w:t xml:space="preserve">adomes </w:t>
      </w:r>
      <w:r w:rsidR="00C07C25" w:rsidRPr="00807219">
        <w:rPr>
          <w:rFonts w:asciiTheme="majorBidi" w:hAnsiTheme="majorBidi" w:cstheme="majorBidi"/>
        </w:rPr>
        <w:t>analīzes neatbilstību konkrēto iepirkumu faktiskajiem apstākļiem un neizvērtēja pieteicējas sniegto analīzi par katru iepirkumu.</w:t>
      </w:r>
    </w:p>
    <w:p w14:paraId="5A515995" w14:textId="3BAA283F" w:rsidR="00C07C25" w:rsidRPr="00807219" w:rsidRDefault="00847A81" w:rsidP="001F783F">
      <w:pPr>
        <w:spacing w:line="276" w:lineRule="auto"/>
        <w:ind w:firstLine="720"/>
        <w:jc w:val="both"/>
        <w:rPr>
          <w:rFonts w:asciiTheme="majorBidi" w:hAnsiTheme="majorBidi" w:cstheme="majorBidi"/>
        </w:rPr>
      </w:pPr>
      <w:r w:rsidRPr="00807219">
        <w:rPr>
          <w:rFonts w:asciiTheme="majorBidi" w:hAnsiTheme="majorBidi" w:cstheme="majorBidi"/>
        </w:rPr>
        <w:t>[1</w:t>
      </w:r>
      <w:r w:rsidR="00CA7763" w:rsidRPr="00807219">
        <w:rPr>
          <w:rFonts w:asciiTheme="majorBidi" w:hAnsiTheme="majorBidi" w:cstheme="majorBidi"/>
        </w:rPr>
        <w:t>2</w:t>
      </w:r>
      <w:r w:rsidRPr="00807219">
        <w:rPr>
          <w:rFonts w:asciiTheme="majorBidi" w:hAnsiTheme="majorBidi" w:cstheme="majorBidi"/>
        </w:rPr>
        <w:t>.</w:t>
      </w:r>
      <w:r w:rsidR="00311ED2">
        <w:rPr>
          <w:rFonts w:asciiTheme="majorBidi" w:hAnsiTheme="majorBidi" w:cstheme="majorBidi"/>
        </w:rPr>
        <w:t>6</w:t>
      </w:r>
      <w:r w:rsidRPr="00807219">
        <w:rPr>
          <w:rFonts w:asciiTheme="majorBidi" w:hAnsiTheme="majorBidi" w:cstheme="majorBidi"/>
        </w:rPr>
        <w:t>] </w:t>
      </w:r>
      <w:r w:rsidR="00C07C25" w:rsidRPr="00807219">
        <w:rPr>
          <w:rFonts w:asciiTheme="majorBidi" w:hAnsiTheme="majorBidi" w:cstheme="majorBidi"/>
        </w:rPr>
        <w:t xml:space="preserve">Tiesa spriedumā nav norādījusi tiesību normu, kas pamato solidārās atbildības piemērošanu, nepamatoti piekrītot </w:t>
      </w:r>
      <w:r w:rsidR="00AF0D6D">
        <w:rPr>
          <w:rFonts w:asciiTheme="majorBidi" w:hAnsiTheme="majorBidi" w:cstheme="majorBidi"/>
        </w:rPr>
        <w:t>Konkurences p</w:t>
      </w:r>
      <w:r w:rsidR="00AF0D6D" w:rsidRPr="00807219">
        <w:rPr>
          <w:rFonts w:asciiTheme="majorBidi" w:hAnsiTheme="majorBidi" w:cstheme="majorBidi"/>
        </w:rPr>
        <w:t xml:space="preserve">adomes </w:t>
      </w:r>
      <w:r w:rsidR="00C07C25" w:rsidRPr="00807219">
        <w:rPr>
          <w:rFonts w:asciiTheme="majorBidi" w:hAnsiTheme="majorBidi" w:cstheme="majorBidi"/>
        </w:rPr>
        <w:t>viedoklim, ka tā izriet no prezumpcijas par izšķirošās ietekmes faktisku izmantošanu.</w:t>
      </w:r>
    </w:p>
    <w:p w14:paraId="0A59726F" w14:textId="3F02B0A4" w:rsidR="00564EDC" w:rsidRPr="00807219" w:rsidRDefault="00847A81" w:rsidP="001F783F">
      <w:pPr>
        <w:spacing w:line="276" w:lineRule="auto"/>
        <w:ind w:firstLine="720"/>
        <w:jc w:val="both"/>
        <w:rPr>
          <w:rFonts w:asciiTheme="majorBidi" w:hAnsiTheme="majorBidi" w:cstheme="majorBidi"/>
        </w:rPr>
      </w:pPr>
      <w:r w:rsidRPr="00807219">
        <w:rPr>
          <w:rFonts w:asciiTheme="majorBidi" w:hAnsiTheme="majorBidi" w:cstheme="majorBidi"/>
        </w:rPr>
        <w:t>[1</w:t>
      </w:r>
      <w:r w:rsidR="00CA7763" w:rsidRPr="00807219">
        <w:rPr>
          <w:rFonts w:asciiTheme="majorBidi" w:hAnsiTheme="majorBidi" w:cstheme="majorBidi"/>
        </w:rPr>
        <w:t>2</w:t>
      </w:r>
      <w:r w:rsidRPr="00807219">
        <w:rPr>
          <w:rFonts w:asciiTheme="majorBidi" w:hAnsiTheme="majorBidi" w:cstheme="majorBidi"/>
        </w:rPr>
        <w:t>.</w:t>
      </w:r>
      <w:r w:rsidR="00311ED2">
        <w:rPr>
          <w:rFonts w:asciiTheme="majorBidi" w:hAnsiTheme="majorBidi" w:cstheme="majorBidi"/>
        </w:rPr>
        <w:t>7</w:t>
      </w:r>
      <w:r w:rsidRPr="00807219">
        <w:rPr>
          <w:rFonts w:asciiTheme="majorBidi" w:hAnsiTheme="majorBidi" w:cstheme="majorBidi"/>
        </w:rPr>
        <w:t>] </w:t>
      </w:r>
      <w:r w:rsidR="00C07C25" w:rsidRPr="00807219">
        <w:rPr>
          <w:rFonts w:asciiTheme="majorBidi" w:hAnsiTheme="majorBidi" w:cstheme="majorBidi"/>
        </w:rPr>
        <w:t>Tiesa, neraugoties uz pieteicējas lūgumu un konstatētajām pretrunām atzinumā, neizmantoja Administratīvā procesa likuma 183.pantā noteiktās tiesības pieaicināt tiesībzinātniekus viedokļa sniegšanai</w:t>
      </w:r>
      <w:r w:rsidR="00F82616">
        <w:rPr>
          <w:rFonts w:asciiTheme="majorBidi" w:hAnsiTheme="majorBidi" w:cstheme="majorBidi"/>
        </w:rPr>
        <w:t xml:space="preserve"> par </w:t>
      </w:r>
      <w:r w:rsidR="004D1A56">
        <w:rPr>
          <w:rFonts w:asciiTheme="majorBidi" w:hAnsiTheme="majorBidi" w:cstheme="majorBidi"/>
        </w:rPr>
        <w:t xml:space="preserve">to sagatavoto </w:t>
      </w:r>
      <w:r w:rsidR="00F82616">
        <w:rPr>
          <w:rFonts w:asciiTheme="majorBidi" w:hAnsiTheme="majorBidi" w:cstheme="majorBidi"/>
        </w:rPr>
        <w:t>atzinumu</w:t>
      </w:r>
      <w:r w:rsidR="00C07C25" w:rsidRPr="00807219">
        <w:rPr>
          <w:rFonts w:asciiTheme="majorBidi" w:hAnsiTheme="majorBidi" w:cstheme="majorBidi"/>
        </w:rPr>
        <w:t>, tādējādi pārkāpjot šā likuma 107.panta ceturto daļu.</w:t>
      </w:r>
    </w:p>
    <w:p w14:paraId="2487C2E0" w14:textId="5F304D06" w:rsidR="00564EDC" w:rsidRPr="00807219" w:rsidRDefault="00847A81" w:rsidP="001F783F">
      <w:pPr>
        <w:spacing w:line="276" w:lineRule="auto"/>
        <w:ind w:firstLine="720"/>
        <w:jc w:val="both"/>
        <w:rPr>
          <w:rFonts w:asciiTheme="majorBidi" w:hAnsiTheme="majorBidi" w:cstheme="majorBidi"/>
        </w:rPr>
      </w:pPr>
      <w:r w:rsidRPr="00807219">
        <w:rPr>
          <w:rFonts w:asciiTheme="majorBidi" w:hAnsiTheme="majorBidi" w:cstheme="majorBidi"/>
        </w:rPr>
        <w:t>[1</w:t>
      </w:r>
      <w:r w:rsidR="00CA7763" w:rsidRPr="00807219">
        <w:rPr>
          <w:rFonts w:asciiTheme="majorBidi" w:hAnsiTheme="majorBidi" w:cstheme="majorBidi"/>
        </w:rPr>
        <w:t>2</w:t>
      </w:r>
      <w:r w:rsidRPr="00807219">
        <w:rPr>
          <w:rFonts w:asciiTheme="majorBidi" w:hAnsiTheme="majorBidi" w:cstheme="majorBidi"/>
        </w:rPr>
        <w:t>.</w:t>
      </w:r>
      <w:r w:rsidR="00311ED2">
        <w:rPr>
          <w:rFonts w:asciiTheme="majorBidi" w:hAnsiTheme="majorBidi" w:cstheme="majorBidi"/>
        </w:rPr>
        <w:t>8</w:t>
      </w:r>
      <w:r w:rsidRPr="00807219">
        <w:rPr>
          <w:rFonts w:asciiTheme="majorBidi" w:hAnsiTheme="majorBidi" w:cstheme="majorBidi"/>
        </w:rPr>
        <w:t>] </w:t>
      </w:r>
      <w:r w:rsidR="00564EDC" w:rsidRPr="00807219">
        <w:rPr>
          <w:rFonts w:asciiTheme="majorBidi" w:hAnsiTheme="majorBidi" w:cstheme="majorBidi"/>
        </w:rPr>
        <w:t xml:space="preserve">Tiesa nepareizi interpretēja </w:t>
      </w:r>
      <w:r w:rsidRPr="00807219">
        <w:rPr>
          <w:rFonts w:asciiTheme="majorBidi" w:hAnsiTheme="majorBidi" w:cstheme="majorBidi"/>
        </w:rPr>
        <w:t>Administratīvā procesa likuma</w:t>
      </w:r>
      <w:r w:rsidR="00564EDC" w:rsidRPr="00807219">
        <w:rPr>
          <w:rFonts w:asciiTheme="majorBidi" w:hAnsiTheme="majorBidi" w:cstheme="majorBidi"/>
        </w:rPr>
        <w:t xml:space="preserve"> 35.pantu, jo </w:t>
      </w:r>
      <w:r w:rsidR="00AB2C22" w:rsidRPr="00807219">
        <w:rPr>
          <w:rFonts w:asciiTheme="majorBidi" w:hAnsiTheme="majorBidi" w:cstheme="majorBidi"/>
        </w:rPr>
        <w:t>kļūdaini</w:t>
      </w:r>
      <w:r w:rsidR="00564EDC" w:rsidRPr="00807219">
        <w:rPr>
          <w:rFonts w:asciiTheme="majorBidi" w:hAnsiTheme="majorBidi" w:cstheme="majorBidi"/>
        </w:rPr>
        <w:t xml:space="preserve"> uzskatīja, ka starp vairākiem tirgus dalībniekiem nav konstatējamas kopīgas intereses, kā rezultātā nepamatoti atzina, ka </w:t>
      </w:r>
      <w:r w:rsidR="00AF0D6D">
        <w:rPr>
          <w:rFonts w:asciiTheme="majorBidi" w:hAnsiTheme="majorBidi" w:cstheme="majorBidi"/>
        </w:rPr>
        <w:t>Konkurences p</w:t>
      </w:r>
      <w:r w:rsidR="00AF0D6D" w:rsidRPr="00807219">
        <w:rPr>
          <w:rFonts w:asciiTheme="majorBidi" w:hAnsiTheme="majorBidi" w:cstheme="majorBidi"/>
        </w:rPr>
        <w:t xml:space="preserve">adomei </w:t>
      </w:r>
      <w:r w:rsidR="00564EDC" w:rsidRPr="00807219">
        <w:rPr>
          <w:rFonts w:asciiTheme="majorBidi" w:hAnsiTheme="majorBidi" w:cstheme="majorBidi"/>
        </w:rPr>
        <w:t xml:space="preserve">bija tiesības noraidīt </w:t>
      </w:r>
      <w:r w:rsidR="008961C1">
        <w:rPr>
          <w:rFonts w:asciiTheme="majorBidi" w:hAnsiTheme="majorBidi" w:cstheme="majorBidi"/>
        </w:rPr>
        <w:t xml:space="preserve">[pers. E] </w:t>
      </w:r>
      <w:r w:rsidR="00564EDC" w:rsidRPr="00807219">
        <w:rPr>
          <w:rFonts w:asciiTheme="majorBidi" w:hAnsiTheme="majorBidi" w:cstheme="majorBidi"/>
        </w:rPr>
        <w:t xml:space="preserve">kā </w:t>
      </w:r>
      <w:r w:rsidRPr="00807219">
        <w:rPr>
          <w:rFonts w:asciiTheme="majorBidi" w:hAnsiTheme="majorBidi" w:cstheme="majorBidi"/>
        </w:rPr>
        <w:t>p</w:t>
      </w:r>
      <w:r w:rsidR="00564EDC" w:rsidRPr="00807219">
        <w:rPr>
          <w:rFonts w:asciiTheme="majorBidi" w:hAnsiTheme="majorBidi" w:cstheme="majorBidi"/>
        </w:rPr>
        <w:t xml:space="preserve">ieteicējas pārstāvi. </w:t>
      </w:r>
      <w:r w:rsidR="003B0C15" w:rsidRPr="00807219">
        <w:rPr>
          <w:rFonts w:asciiTheme="majorBidi" w:hAnsiTheme="majorBidi" w:cstheme="majorBidi"/>
        </w:rPr>
        <w:t>Tiesa nepamatoti lietā nav vērtējusi Latvijas Zvērinātu advokātu padomes atbild</w:t>
      </w:r>
      <w:r w:rsidR="004D1A56">
        <w:rPr>
          <w:rFonts w:asciiTheme="majorBidi" w:hAnsiTheme="majorBidi" w:cstheme="majorBidi"/>
        </w:rPr>
        <w:t>i</w:t>
      </w:r>
      <w:r w:rsidR="003B0C15" w:rsidRPr="00807219">
        <w:rPr>
          <w:rFonts w:asciiTheme="majorBidi" w:hAnsiTheme="majorBidi" w:cstheme="majorBidi"/>
        </w:rPr>
        <w:t xml:space="preserve">, ka </w:t>
      </w:r>
      <w:r w:rsidR="008961C1">
        <w:rPr>
          <w:rFonts w:asciiTheme="majorBidi" w:hAnsiTheme="majorBidi" w:cstheme="majorBidi"/>
          <w:bCs/>
        </w:rPr>
        <w:t xml:space="preserve">[pers. E] </w:t>
      </w:r>
      <w:r w:rsidR="003B0C15" w:rsidRPr="00807219">
        <w:rPr>
          <w:rFonts w:asciiTheme="majorBidi" w:hAnsiTheme="majorBidi" w:cstheme="majorBidi"/>
        </w:rPr>
        <w:t>darbībās, pārstāvot gan SIA</w:t>
      </w:r>
      <w:r w:rsidR="00AF0D6D">
        <w:rPr>
          <w:rFonts w:asciiTheme="majorBidi" w:hAnsiTheme="majorBidi" w:cstheme="majorBidi"/>
        </w:rPr>
        <w:t> </w:t>
      </w:r>
      <w:r w:rsidR="003B0C15" w:rsidRPr="00807219">
        <w:rPr>
          <w:rFonts w:asciiTheme="majorBidi" w:hAnsiTheme="majorBidi" w:cstheme="majorBidi"/>
        </w:rPr>
        <w:t>„MONUM”, gan arī pieteicēju</w:t>
      </w:r>
      <w:r w:rsidR="004D1A56">
        <w:rPr>
          <w:rFonts w:asciiTheme="majorBidi" w:hAnsiTheme="majorBidi" w:cstheme="majorBidi"/>
        </w:rPr>
        <w:t>,</w:t>
      </w:r>
      <w:r w:rsidR="003B0C15" w:rsidRPr="00807219">
        <w:rPr>
          <w:rFonts w:asciiTheme="majorBidi" w:hAnsiTheme="majorBidi" w:cstheme="majorBidi"/>
        </w:rPr>
        <w:t xml:space="preserve"> nav saskatāms interešu konflikts. Līdz ar to tiesa</w:t>
      </w:r>
      <w:r w:rsidR="00AB2C22" w:rsidRPr="00807219">
        <w:rPr>
          <w:rFonts w:asciiTheme="majorBidi" w:hAnsiTheme="majorBidi" w:cstheme="majorBidi"/>
        </w:rPr>
        <w:t xml:space="preserve"> pārkāp</w:t>
      </w:r>
      <w:r w:rsidR="004D1A56">
        <w:rPr>
          <w:rFonts w:asciiTheme="majorBidi" w:hAnsiTheme="majorBidi" w:cstheme="majorBidi"/>
        </w:rPr>
        <w:t>a</w:t>
      </w:r>
      <w:r w:rsidR="00AB2C22" w:rsidRPr="00807219">
        <w:rPr>
          <w:rFonts w:asciiTheme="majorBidi" w:hAnsiTheme="majorBidi" w:cstheme="majorBidi"/>
        </w:rPr>
        <w:t xml:space="preserve"> arī</w:t>
      </w:r>
      <w:r w:rsidR="003B0C15" w:rsidRPr="00807219">
        <w:rPr>
          <w:rFonts w:asciiTheme="majorBidi" w:hAnsiTheme="majorBidi" w:cstheme="majorBidi"/>
        </w:rPr>
        <w:t xml:space="preserve"> </w:t>
      </w:r>
      <w:r w:rsidR="00AB2C22" w:rsidRPr="00807219">
        <w:rPr>
          <w:rFonts w:asciiTheme="majorBidi" w:hAnsiTheme="majorBidi" w:cstheme="majorBidi"/>
        </w:rPr>
        <w:t>Administratīvā procesa likuma 154.panta trešo daļu par pierādījumu novērtēšanu.</w:t>
      </w:r>
    </w:p>
    <w:p w14:paraId="074BC7D9" w14:textId="1AE79FFC" w:rsidR="00564EDC" w:rsidRPr="00807219" w:rsidRDefault="00847A81" w:rsidP="001F783F">
      <w:pPr>
        <w:spacing w:line="276" w:lineRule="auto"/>
        <w:ind w:firstLine="720"/>
        <w:jc w:val="both"/>
        <w:rPr>
          <w:rFonts w:asciiTheme="majorBidi" w:hAnsiTheme="majorBidi" w:cstheme="majorBidi"/>
        </w:rPr>
      </w:pPr>
      <w:r w:rsidRPr="00807219">
        <w:rPr>
          <w:rFonts w:asciiTheme="majorBidi" w:hAnsiTheme="majorBidi" w:cstheme="majorBidi"/>
        </w:rPr>
        <w:t>[1</w:t>
      </w:r>
      <w:r w:rsidR="00CA7763" w:rsidRPr="00807219">
        <w:rPr>
          <w:rFonts w:asciiTheme="majorBidi" w:hAnsiTheme="majorBidi" w:cstheme="majorBidi"/>
        </w:rPr>
        <w:t>2</w:t>
      </w:r>
      <w:r w:rsidRPr="00807219">
        <w:rPr>
          <w:rFonts w:asciiTheme="majorBidi" w:hAnsiTheme="majorBidi" w:cstheme="majorBidi"/>
        </w:rPr>
        <w:t>.</w:t>
      </w:r>
      <w:r w:rsidR="00311ED2">
        <w:rPr>
          <w:rFonts w:asciiTheme="majorBidi" w:hAnsiTheme="majorBidi" w:cstheme="majorBidi"/>
        </w:rPr>
        <w:t>9</w:t>
      </w:r>
      <w:r w:rsidRPr="00807219">
        <w:rPr>
          <w:rFonts w:asciiTheme="majorBidi" w:hAnsiTheme="majorBidi" w:cstheme="majorBidi"/>
        </w:rPr>
        <w:t>] </w:t>
      </w:r>
      <w:r w:rsidR="00564EDC" w:rsidRPr="00807219">
        <w:rPr>
          <w:rFonts w:asciiTheme="majorBidi" w:hAnsiTheme="majorBidi" w:cstheme="majorBidi"/>
        </w:rPr>
        <w:t xml:space="preserve">Tiesa pārkāpa </w:t>
      </w:r>
      <w:r w:rsidRPr="00807219">
        <w:rPr>
          <w:rFonts w:asciiTheme="majorBidi" w:hAnsiTheme="majorBidi" w:cstheme="majorBidi"/>
        </w:rPr>
        <w:t>Administratīvā procesa likuma</w:t>
      </w:r>
      <w:r w:rsidR="00564EDC" w:rsidRPr="00807219">
        <w:rPr>
          <w:rFonts w:asciiTheme="majorBidi" w:hAnsiTheme="majorBidi" w:cstheme="majorBidi"/>
        </w:rPr>
        <w:t xml:space="preserve"> 243.pantā noteikto sprieduma sastādīšanas termiņu</w:t>
      </w:r>
      <w:r w:rsidR="00396A9E" w:rsidRPr="00807219">
        <w:rPr>
          <w:rFonts w:asciiTheme="majorBidi" w:hAnsiTheme="majorBidi" w:cstheme="majorBidi"/>
        </w:rPr>
        <w:t xml:space="preserve">, kas maksimāli var būt divi mēneši un 21 diena. </w:t>
      </w:r>
      <w:r w:rsidR="00AB2C22" w:rsidRPr="00807219">
        <w:rPr>
          <w:rFonts w:asciiTheme="majorBidi" w:hAnsiTheme="majorBidi" w:cstheme="majorBidi"/>
        </w:rPr>
        <w:t>S</w:t>
      </w:r>
      <w:r w:rsidR="00396A9E" w:rsidRPr="00807219">
        <w:rPr>
          <w:rFonts w:asciiTheme="majorBidi" w:hAnsiTheme="majorBidi" w:cstheme="majorBidi"/>
        </w:rPr>
        <w:t xml:space="preserve">priedums bija </w:t>
      </w:r>
      <w:r w:rsidR="00AB2C22" w:rsidRPr="00807219">
        <w:rPr>
          <w:rFonts w:asciiTheme="majorBidi" w:hAnsiTheme="majorBidi" w:cstheme="majorBidi"/>
        </w:rPr>
        <w:t>jāpieņem</w:t>
      </w:r>
      <w:r w:rsidR="00AF0D6D">
        <w:rPr>
          <w:rFonts w:asciiTheme="majorBidi" w:hAnsiTheme="majorBidi" w:cstheme="majorBidi"/>
        </w:rPr>
        <w:t>,</w:t>
      </w:r>
      <w:r w:rsidR="00396A9E" w:rsidRPr="00807219">
        <w:rPr>
          <w:rFonts w:asciiTheme="majorBidi" w:hAnsiTheme="majorBidi" w:cstheme="majorBidi"/>
        </w:rPr>
        <w:t xml:space="preserve"> vēlākais</w:t>
      </w:r>
      <w:r w:rsidR="00AF0D6D">
        <w:rPr>
          <w:rFonts w:asciiTheme="majorBidi" w:hAnsiTheme="majorBidi" w:cstheme="majorBidi"/>
        </w:rPr>
        <w:t>,</w:t>
      </w:r>
      <w:r w:rsidR="00396A9E" w:rsidRPr="00807219">
        <w:rPr>
          <w:rFonts w:asciiTheme="majorBidi" w:hAnsiTheme="majorBidi" w:cstheme="majorBidi"/>
        </w:rPr>
        <w:t xml:space="preserve"> 2023.gada 18.decembrī.</w:t>
      </w:r>
      <w:r w:rsidR="00AB6D9E" w:rsidRPr="00807219">
        <w:rPr>
          <w:rFonts w:asciiTheme="majorBidi" w:hAnsiTheme="majorBidi" w:cstheme="majorBidi"/>
        </w:rPr>
        <w:t xml:space="preserve"> Administratīvās apgabaltiesas priekšsēdētāj</w:t>
      </w:r>
      <w:r w:rsidR="00AB2C22" w:rsidRPr="00807219">
        <w:rPr>
          <w:rFonts w:asciiTheme="majorBidi" w:hAnsiTheme="majorBidi" w:cstheme="majorBidi"/>
        </w:rPr>
        <w:t>s nevar</w:t>
      </w:r>
      <w:r w:rsidR="00AF0D6D">
        <w:rPr>
          <w:rFonts w:asciiTheme="majorBidi" w:hAnsiTheme="majorBidi" w:cstheme="majorBidi"/>
        </w:rPr>
        <w:t>ēja</w:t>
      </w:r>
      <w:r w:rsidR="00AB2C22" w:rsidRPr="00807219">
        <w:rPr>
          <w:rFonts w:asciiTheme="majorBidi" w:hAnsiTheme="majorBidi" w:cstheme="majorBidi"/>
        </w:rPr>
        <w:t xml:space="preserve"> ar</w:t>
      </w:r>
      <w:r w:rsidR="00AB6D9E" w:rsidRPr="00807219">
        <w:rPr>
          <w:rFonts w:asciiTheme="majorBidi" w:hAnsiTheme="majorBidi" w:cstheme="majorBidi"/>
        </w:rPr>
        <w:t xml:space="preserve"> rezolūciju</w:t>
      </w:r>
      <w:r w:rsidR="00AB2C22" w:rsidRPr="00807219">
        <w:rPr>
          <w:rFonts w:asciiTheme="majorBidi" w:hAnsiTheme="majorBidi" w:cstheme="majorBidi"/>
        </w:rPr>
        <w:t xml:space="preserve"> </w:t>
      </w:r>
      <w:r w:rsidR="00AB6D9E" w:rsidRPr="00807219">
        <w:rPr>
          <w:rFonts w:asciiTheme="majorBidi" w:hAnsiTheme="majorBidi" w:cstheme="majorBidi"/>
        </w:rPr>
        <w:t>pagarināt sprieduma sastādīšanas termiņ</w:t>
      </w:r>
      <w:r w:rsidR="00AB2C22" w:rsidRPr="00807219">
        <w:rPr>
          <w:rFonts w:asciiTheme="majorBidi" w:hAnsiTheme="majorBidi" w:cstheme="majorBidi"/>
        </w:rPr>
        <w:t>u</w:t>
      </w:r>
      <w:r w:rsidR="00AB6D9E" w:rsidRPr="00807219">
        <w:rPr>
          <w:rFonts w:asciiTheme="majorBidi" w:hAnsiTheme="majorBidi" w:cstheme="majorBidi"/>
        </w:rPr>
        <w:t xml:space="preserve"> līdz 2024.gada 25.janvārim, </w:t>
      </w:r>
      <w:r w:rsidR="00AB2C22" w:rsidRPr="00807219">
        <w:rPr>
          <w:rFonts w:asciiTheme="majorBidi" w:hAnsiTheme="majorBidi" w:cstheme="majorBidi"/>
        </w:rPr>
        <w:t xml:space="preserve">jo tas </w:t>
      </w:r>
      <w:r w:rsidR="00AB6D9E" w:rsidRPr="00807219">
        <w:rPr>
          <w:rFonts w:asciiTheme="majorBidi" w:hAnsiTheme="majorBidi" w:cstheme="majorBidi"/>
        </w:rPr>
        <w:t>pārsniedz likumā noteikto maksimālo termiņu.</w:t>
      </w:r>
    </w:p>
    <w:p w14:paraId="4497792A" w14:textId="77777777" w:rsidR="00564EDC" w:rsidRPr="00807219" w:rsidRDefault="00564EDC" w:rsidP="001F783F">
      <w:pPr>
        <w:spacing w:line="276" w:lineRule="auto"/>
        <w:ind w:firstLine="720"/>
        <w:jc w:val="both"/>
        <w:rPr>
          <w:rFonts w:asciiTheme="majorBidi" w:hAnsiTheme="majorBidi" w:cstheme="majorBidi"/>
          <w:bCs/>
        </w:rPr>
      </w:pPr>
    </w:p>
    <w:p w14:paraId="7C2F5BD7" w14:textId="6B6D1EEB" w:rsidR="00236B12" w:rsidRPr="00807219" w:rsidRDefault="00236B12" w:rsidP="001F783F">
      <w:pPr>
        <w:spacing w:line="276" w:lineRule="auto"/>
        <w:ind w:firstLine="720"/>
        <w:jc w:val="both"/>
        <w:rPr>
          <w:rFonts w:asciiTheme="majorBidi" w:hAnsiTheme="majorBidi" w:cstheme="majorBidi"/>
          <w:lang w:eastAsia="lv-LV"/>
        </w:rPr>
      </w:pPr>
      <w:r w:rsidRPr="004D1A56">
        <w:rPr>
          <w:rFonts w:asciiTheme="majorBidi" w:hAnsiTheme="majorBidi" w:cstheme="majorBidi"/>
          <w:lang w:eastAsia="lv-LV"/>
        </w:rPr>
        <w:t>[1</w:t>
      </w:r>
      <w:r w:rsidR="00CA7763" w:rsidRPr="004D1A56">
        <w:rPr>
          <w:rFonts w:asciiTheme="majorBidi" w:hAnsiTheme="majorBidi" w:cstheme="majorBidi"/>
          <w:lang w:eastAsia="lv-LV"/>
        </w:rPr>
        <w:t>3</w:t>
      </w:r>
      <w:r w:rsidRPr="004D1A56">
        <w:rPr>
          <w:rFonts w:asciiTheme="majorBidi" w:hAnsiTheme="majorBidi" w:cstheme="majorBidi"/>
          <w:lang w:eastAsia="lv-LV"/>
        </w:rPr>
        <w:t>]</w:t>
      </w:r>
      <w:r w:rsidR="00B74A20" w:rsidRPr="004D1A56">
        <w:rPr>
          <w:rFonts w:asciiTheme="majorBidi" w:hAnsiTheme="majorBidi" w:cstheme="majorBidi"/>
          <w:lang w:eastAsia="lv-LV"/>
        </w:rPr>
        <w:t> </w:t>
      </w:r>
      <w:r w:rsidRPr="004D1A56">
        <w:rPr>
          <w:rFonts w:asciiTheme="majorBidi" w:hAnsiTheme="majorBidi" w:cstheme="majorBidi"/>
          <w:i/>
          <w:iCs/>
          <w:lang w:eastAsia="lv-LV"/>
        </w:rPr>
        <w:t>UGN</w:t>
      </w:r>
      <w:r w:rsidRPr="004D1A56">
        <w:rPr>
          <w:rFonts w:asciiTheme="majorBidi" w:hAnsiTheme="majorBidi" w:cstheme="majorBidi"/>
          <w:lang w:eastAsia="lv-LV"/>
        </w:rPr>
        <w:t xml:space="preserve"> </w:t>
      </w:r>
      <w:r w:rsidR="00B66E46" w:rsidRPr="004D1A56">
        <w:rPr>
          <w:rFonts w:asciiTheme="majorBidi" w:hAnsiTheme="majorBidi" w:cstheme="majorBidi"/>
        </w:rPr>
        <w:t>kasācijas sūdzība pamatota ar turpmāko</w:t>
      </w:r>
      <w:r w:rsidRPr="004D1A56">
        <w:rPr>
          <w:rFonts w:asciiTheme="majorBidi" w:hAnsiTheme="majorBidi" w:cstheme="majorBidi"/>
        </w:rPr>
        <w:t>.</w:t>
      </w:r>
    </w:p>
    <w:p w14:paraId="3FE34523" w14:textId="1BC34A41" w:rsidR="00236B12" w:rsidRPr="00807219" w:rsidRDefault="00236B12" w:rsidP="001F783F">
      <w:pPr>
        <w:spacing w:line="276" w:lineRule="auto"/>
        <w:ind w:firstLine="720"/>
        <w:jc w:val="both"/>
        <w:rPr>
          <w:rFonts w:asciiTheme="majorBidi" w:hAnsiTheme="majorBidi" w:cstheme="majorBidi"/>
        </w:rPr>
      </w:pPr>
      <w:r w:rsidRPr="00807219">
        <w:rPr>
          <w:rFonts w:asciiTheme="majorBidi" w:hAnsiTheme="majorBidi" w:cstheme="majorBidi"/>
          <w:bCs/>
        </w:rPr>
        <w:t>[</w:t>
      </w:r>
      <w:r w:rsidRPr="00807219">
        <w:rPr>
          <w:rFonts w:asciiTheme="majorBidi" w:hAnsiTheme="majorBidi" w:cstheme="majorBidi"/>
        </w:rPr>
        <w:t>1</w:t>
      </w:r>
      <w:r w:rsidR="00CA7763" w:rsidRPr="00807219">
        <w:rPr>
          <w:rFonts w:asciiTheme="majorBidi" w:hAnsiTheme="majorBidi" w:cstheme="majorBidi"/>
        </w:rPr>
        <w:t>3</w:t>
      </w:r>
      <w:r w:rsidRPr="00807219">
        <w:rPr>
          <w:rFonts w:asciiTheme="majorBidi" w:hAnsiTheme="majorBidi" w:cstheme="majorBidi"/>
        </w:rPr>
        <w:t>.1]</w:t>
      </w:r>
      <w:r w:rsidR="00FA00B3" w:rsidRPr="00807219">
        <w:rPr>
          <w:rFonts w:asciiTheme="majorBidi" w:hAnsiTheme="majorBidi" w:cstheme="majorBidi"/>
        </w:rPr>
        <w:t> </w:t>
      </w:r>
      <w:r w:rsidR="00465E4C" w:rsidRPr="00807219">
        <w:rPr>
          <w:rFonts w:asciiTheme="majorBidi" w:hAnsiTheme="majorBidi" w:cstheme="majorBidi"/>
        </w:rPr>
        <w:t xml:space="preserve">Tiesa, nesniedzot vērtējumu par papildu pierādījumiem, </w:t>
      </w:r>
      <w:r w:rsidR="002C62E3" w:rsidRPr="00807219">
        <w:rPr>
          <w:rFonts w:asciiTheme="majorBidi" w:hAnsiTheme="majorBidi" w:cstheme="majorBidi"/>
        </w:rPr>
        <w:t>kas attiecas uz pieteicējas solidārās atbildības noteikšanu</w:t>
      </w:r>
      <w:r w:rsidR="00465E4C" w:rsidRPr="00807219">
        <w:rPr>
          <w:rFonts w:asciiTheme="majorBidi" w:hAnsiTheme="majorBidi" w:cstheme="majorBidi"/>
        </w:rPr>
        <w:t xml:space="preserve">, ir pārkāpusi Administratīvā procesa likuma 150.panta ceturto daļu. </w:t>
      </w:r>
      <w:r w:rsidR="004D1A56">
        <w:rPr>
          <w:rFonts w:asciiTheme="majorBidi" w:hAnsiTheme="majorBidi" w:cstheme="majorBidi"/>
        </w:rPr>
        <w:t xml:space="preserve">Tie </w:t>
      </w:r>
      <w:r w:rsidR="00465E4C" w:rsidRPr="00807219">
        <w:rPr>
          <w:rFonts w:asciiTheme="majorBidi" w:hAnsiTheme="majorBidi" w:cstheme="majorBidi"/>
        </w:rPr>
        <w:t xml:space="preserve">pierāda, ka mātes sabiedrība nav </w:t>
      </w:r>
      <w:r w:rsidR="00AF0D6D">
        <w:rPr>
          <w:rFonts w:asciiTheme="majorBidi" w:hAnsiTheme="majorBidi" w:cstheme="majorBidi"/>
        </w:rPr>
        <w:t xml:space="preserve">ietekmējusi </w:t>
      </w:r>
      <w:r w:rsidR="00465E4C" w:rsidRPr="00807219">
        <w:rPr>
          <w:rFonts w:asciiTheme="majorBidi" w:hAnsiTheme="majorBidi" w:cstheme="majorBidi"/>
        </w:rPr>
        <w:t xml:space="preserve">un nav varējusi ietekmēt meitas sabiedrības darbību. </w:t>
      </w:r>
      <w:r w:rsidR="002C62E3" w:rsidRPr="00807219">
        <w:rPr>
          <w:rFonts w:asciiTheme="majorBidi" w:hAnsiTheme="majorBidi" w:cstheme="majorBidi"/>
        </w:rPr>
        <w:t>T</w:t>
      </w:r>
      <w:r w:rsidR="00465E4C" w:rsidRPr="00807219">
        <w:rPr>
          <w:rFonts w:asciiTheme="majorBidi" w:hAnsiTheme="majorBidi" w:cstheme="majorBidi"/>
        </w:rPr>
        <w:t xml:space="preserve">iesa </w:t>
      </w:r>
      <w:r w:rsidR="002C62E3" w:rsidRPr="00807219">
        <w:rPr>
          <w:rFonts w:asciiTheme="majorBidi" w:hAnsiTheme="majorBidi" w:cstheme="majorBidi"/>
        </w:rPr>
        <w:t xml:space="preserve">arī </w:t>
      </w:r>
      <w:r w:rsidR="00465E4C" w:rsidRPr="00807219">
        <w:rPr>
          <w:rFonts w:asciiTheme="majorBidi" w:hAnsiTheme="majorBidi" w:cstheme="majorBidi"/>
        </w:rPr>
        <w:t xml:space="preserve">pārkāpusi objektīvās izmeklēšanas principu, nedodot pieteicējai norādījumus par nepieciešamajiem pierādījumiem, lai </w:t>
      </w:r>
      <w:r w:rsidR="00465E4C" w:rsidRPr="006A00F6">
        <w:rPr>
          <w:rFonts w:asciiTheme="majorBidi" w:hAnsiTheme="majorBidi" w:cstheme="majorBidi"/>
        </w:rPr>
        <w:t xml:space="preserve">atspēkotu </w:t>
      </w:r>
      <w:r w:rsidR="00AF0D6D" w:rsidRPr="006A00F6">
        <w:rPr>
          <w:rFonts w:asciiTheme="majorBidi" w:hAnsiTheme="majorBidi" w:cstheme="majorBidi"/>
        </w:rPr>
        <w:t xml:space="preserve">solidāras atbildības </w:t>
      </w:r>
      <w:r w:rsidR="00465E4C" w:rsidRPr="006A00F6">
        <w:rPr>
          <w:rFonts w:asciiTheme="majorBidi" w:hAnsiTheme="majorBidi" w:cstheme="majorBidi"/>
        </w:rPr>
        <w:t>prezumpciju</w:t>
      </w:r>
      <w:r w:rsidR="00465E4C" w:rsidRPr="00807219">
        <w:rPr>
          <w:rFonts w:asciiTheme="majorBidi" w:hAnsiTheme="majorBidi" w:cstheme="majorBidi"/>
        </w:rPr>
        <w:t xml:space="preserve">. </w:t>
      </w:r>
      <w:r w:rsidR="002C62E3" w:rsidRPr="00807219">
        <w:rPr>
          <w:rFonts w:asciiTheme="majorBidi" w:hAnsiTheme="majorBidi" w:cstheme="majorBidi"/>
        </w:rPr>
        <w:t>P</w:t>
      </w:r>
      <w:r w:rsidR="00465E4C" w:rsidRPr="00807219">
        <w:rPr>
          <w:rFonts w:asciiTheme="majorBidi" w:hAnsiTheme="majorBidi" w:cstheme="majorBidi"/>
        </w:rPr>
        <w:t xml:space="preserve">ierādījumu vērtējuma trūkums pārkāpj arī vienlīdzīgas attieksmes principu saistībā ar faktisko apstākļu novērtējumu par </w:t>
      </w:r>
      <w:r w:rsidR="002C62E3" w:rsidRPr="00807219">
        <w:rPr>
          <w:rFonts w:asciiTheme="majorBidi" w:hAnsiTheme="majorBidi" w:cstheme="majorBidi"/>
          <w:i/>
          <w:iCs/>
        </w:rPr>
        <w:t>Velves</w:t>
      </w:r>
      <w:r w:rsidR="002C62E3" w:rsidRPr="00807219">
        <w:rPr>
          <w:rFonts w:asciiTheme="majorBidi" w:hAnsiTheme="majorBidi" w:cstheme="majorBidi"/>
        </w:rPr>
        <w:t xml:space="preserve"> mātes sabiedrību </w:t>
      </w:r>
      <w:r w:rsidR="00465E4C" w:rsidRPr="00807219">
        <w:rPr>
          <w:rFonts w:asciiTheme="majorBidi" w:hAnsiTheme="majorBidi" w:cstheme="majorBidi"/>
        </w:rPr>
        <w:t>AS „MN Holding”.</w:t>
      </w:r>
    </w:p>
    <w:p w14:paraId="02B26EDE" w14:textId="03D5475D" w:rsidR="00465E4C" w:rsidRPr="00807219" w:rsidRDefault="00465E4C" w:rsidP="001F783F">
      <w:pPr>
        <w:spacing w:line="276" w:lineRule="auto"/>
        <w:ind w:firstLine="720"/>
        <w:jc w:val="both"/>
        <w:rPr>
          <w:rFonts w:asciiTheme="majorBidi" w:hAnsiTheme="majorBidi" w:cstheme="majorBidi"/>
        </w:rPr>
      </w:pPr>
      <w:r w:rsidRPr="00807219">
        <w:rPr>
          <w:rFonts w:asciiTheme="majorBidi" w:hAnsiTheme="majorBidi" w:cstheme="majorBidi"/>
        </w:rPr>
        <w:t>[1</w:t>
      </w:r>
      <w:r w:rsidR="00CA7763" w:rsidRPr="00807219">
        <w:rPr>
          <w:rFonts w:asciiTheme="majorBidi" w:hAnsiTheme="majorBidi" w:cstheme="majorBidi"/>
        </w:rPr>
        <w:t>3</w:t>
      </w:r>
      <w:r w:rsidRPr="00807219">
        <w:rPr>
          <w:rFonts w:asciiTheme="majorBidi" w:hAnsiTheme="majorBidi" w:cstheme="majorBidi"/>
        </w:rPr>
        <w:t>.2] </w:t>
      </w:r>
      <w:r w:rsidR="005719A5" w:rsidRPr="00807219">
        <w:rPr>
          <w:rFonts w:asciiTheme="majorBidi" w:hAnsiTheme="majorBidi" w:cstheme="majorBidi"/>
        </w:rPr>
        <w:t xml:space="preserve">Tiesa nav vērtējusi </w:t>
      </w:r>
      <w:r w:rsidR="00AF0D6D">
        <w:rPr>
          <w:rFonts w:asciiTheme="majorBidi" w:hAnsiTheme="majorBidi" w:cstheme="majorBidi"/>
        </w:rPr>
        <w:t>Konkurences p</w:t>
      </w:r>
      <w:r w:rsidR="00AF0D6D" w:rsidRPr="00807219">
        <w:rPr>
          <w:rFonts w:asciiTheme="majorBidi" w:hAnsiTheme="majorBidi" w:cstheme="majorBidi"/>
        </w:rPr>
        <w:t xml:space="preserve">adomes </w:t>
      </w:r>
      <w:r w:rsidR="005719A5" w:rsidRPr="00807219">
        <w:rPr>
          <w:rFonts w:asciiTheme="majorBidi" w:hAnsiTheme="majorBidi" w:cstheme="majorBidi"/>
        </w:rPr>
        <w:t xml:space="preserve">rīcības tiesiskumu izmeklēšanas stadijā un tās attieksmi, liedzot pieteicējai kā </w:t>
      </w:r>
      <w:r w:rsidR="00AF0D6D" w:rsidRPr="00807219">
        <w:rPr>
          <w:rFonts w:asciiTheme="majorBidi" w:hAnsiTheme="majorBidi" w:cstheme="majorBidi"/>
          <w:i/>
          <w:iCs/>
        </w:rPr>
        <w:t>Arčer</w:t>
      </w:r>
      <w:r w:rsidR="00AF0D6D">
        <w:rPr>
          <w:rFonts w:asciiTheme="majorBidi" w:hAnsiTheme="majorBidi" w:cstheme="majorBidi"/>
          <w:i/>
          <w:iCs/>
        </w:rPr>
        <w:t>a</w:t>
      </w:r>
      <w:r w:rsidR="00AF0D6D" w:rsidRPr="00807219">
        <w:rPr>
          <w:rFonts w:asciiTheme="majorBidi" w:hAnsiTheme="majorBidi" w:cstheme="majorBidi"/>
        </w:rPr>
        <w:t xml:space="preserve"> </w:t>
      </w:r>
      <w:r w:rsidR="005719A5" w:rsidRPr="00807219">
        <w:rPr>
          <w:rFonts w:asciiTheme="majorBidi" w:hAnsiTheme="majorBidi" w:cstheme="majorBidi"/>
        </w:rPr>
        <w:t>mātes sabiedrībai iespēju atspēkot izšķirošās ietekmes faktiskās izmantošanas prezumpciju.</w:t>
      </w:r>
      <w:r w:rsidRPr="00807219">
        <w:rPr>
          <w:rFonts w:asciiTheme="majorBidi" w:hAnsiTheme="majorBidi" w:cstheme="majorBidi"/>
        </w:rPr>
        <w:t xml:space="preserve"> </w:t>
      </w:r>
      <w:r w:rsidR="005719A5" w:rsidRPr="00807219">
        <w:rPr>
          <w:rFonts w:asciiTheme="majorBidi" w:hAnsiTheme="majorBidi" w:cstheme="majorBidi"/>
        </w:rPr>
        <w:t>Padomes p</w:t>
      </w:r>
      <w:r w:rsidRPr="00807219">
        <w:rPr>
          <w:rFonts w:asciiTheme="majorBidi" w:hAnsiTheme="majorBidi" w:cstheme="majorBidi"/>
        </w:rPr>
        <w:t xml:space="preserve">aziņojums par lietā konstatētajiem faktiem jau </w:t>
      </w:r>
      <w:r w:rsidR="00AF0D6D">
        <w:rPr>
          <w:rFonts w:asciiTheme="majorBidi" w:hAnsiTheme="majorBidi" w:cstheme="majorBidi"/>
        </w:rPr>
        <w:t>ietver</w:t>
      </w:r>
      <w:r w:rsidR="00AF0D6D" w:rsidRPr="00807219">
        <w:rPr>
          <w:rFonts w:asciiTheme="majorBidi" w:hAnsiTheme="majorBidi" w:cstheme="majorBidi"/>
        </w:rPr>
        <w:t xml:space="preserve"> </w:t>
      </w:r>
      <w:r w:rsidRPr="00807219">
        <w:rPr>
          <w:rFonts w:asciiTheme="majorBidi" w:hAnsiTheme="majorBidi" w:cstheme="majorBidi"/>
        </w:rPr>
        <w:t xml:space="preserve">norādi, ka prezumpcija nav tikusi atspēkota. </w:t>
      </w:r>
      <w:r w:rsidR="005719A5" w:rsidRPr="00807219">
        <w:rPr>
          <w:rFonts w:asciiTheme="majorBidi" w:hAnsiTheme="majorBidi" w:cstheme="majorBidi"/>
        </w:rPr>
        <w:t>T</w:t>
      </w:r>
      <w:r w:rsidRPr="00807219">
        <w:rPr>
          <w:rFonts w:asciiTheme="majorBidi" w:hAnsiTheme="majorBidi" w:cstheme="majorBidi"/>
        </w:rPr>
        <w:t>as ir Administratīvā procesa likuma 15.panta ceturtās daļas pārkāpums, jo Eiropas Savienības Tiesas prakse nepārprotami norāda uz tiesībām atspēkot prezumpciju</w:t>
      </w:r>
      <w:r w:rsidR="00AF0D6D">
        <w:rPr>
          <w:rFonts w:asciiTheme="majorBidi" w:hAnsiTheme="majorBidi" w:cstheme="majorBidi"/>
        </w:rPr>
        <w:t>,</w:t>
      </w:r>
      <w:r w:rsidRPr="00807219">
        <w:rPr>
          <w:rFonts w:asciiTheme="majorBidi" w:hAnsiTheme="majorBidi" w:cstheme="majorBidi"/>
        </w:rPr>
        <w:t xml:space="preserve"> pirms ir secināts, ka tas nav izdarīts.</w:t>
      </w:r>
      <w:r w:rsidR="0051102E" w:rsidRPr="00807219">
        <w:rPr>
          <w:rFonts w:asciiTheme="majorBidi" w:hAnsiTheme="majorBidi" w:cstheme="majorBidi"/>
        </w:rPr>
        <w:t xml:space="preserve"> </w:t>
      </w:r>
      <w:r w:rsidR="005719A5" w:rsidRPr="00807219">
        <w:rPr>
          <w:rFonts w:asciiTheme="majorBidi" w:hAnsiTheme="majorBidi" w:cstheme="majorBidi"/>
        </w:rPr>
        <w:t>Tādējādi ir aizskartas pieteicējas tiesības uz aizstāvību</w:t>
      </w:r>
      <w:r w:rsidR="0051102E" w:rsidRPr="00807219">
        <w:rPr>
          <w:rFonts w:asciiTheme="majorBidi" w:hAnsiTheme="majorBidi" w:cstheme="majorBidi"/>
        </w:rPr>
        <w:t>.</w:t>
      </w:r>
    </w:p>
    <w:p w14:paraId="6559FBC6" w14:textId="37393AF9" w:rsidR="005719A5" w:rsidRPr="00807219" w:rsidRDefault="0051102E" w:rsidP="001F783F">
      <w:pPr>
        <w:spacing w:line="276" w:lineRule="auto"/>
        <w:ind w:firstLine="720"/>
        <w:jc w:val="both"/>
        <w:rPr>
          <w:rFonts w:asciiTheme="majorBidi" w:hAnsiTheme="majorBidi" w:cstheme="majorBidi"/>
        </w:rPr>
      </w:pPr>
      <w:r w:rsidRPr="00807219">
        <w:rPr>
          <w:rFonts w:asciiTheme="majorBidi" w:hAnsiTheme="majorBidi" w:cstheme="majorBidi"/>
        </w:rPr>
        <w:t>[1</w:t>
      </w:r>
      <w:r w:rsidR="00CA7763" w:rsidRPr="00807219">
        <w:rPr>
          <w:rFonts w:asciiTheme="majorBidi" w:hAnsiTheme="majorBidi" w:cstheme="majorBidi"/>
        </w:rPr>
        <w:t>3</w:t>
      </w:r>
      <w:r w:rsidRPr="00807219">
        <w:rPr>
          <w:rFonts w:asciiTheme="majorBidi" w:hAnsiTheme="majorBidi" w:cstheme="majorBidi"/>
        </w:rPr>
        <w:t>.3] </w:t>
      </w:r>
      <w:r w:rsidR="005719A5" w:rsidRPr="00807219">
        <w:rPr>
          <w:rFonts w:asciiTheme="majorBidi" w:hAnsiTheme="majorBidi" w:cstheme="majorBidi"/>
        </w:rPr>
        <w:t xml:space="preserve">Tiesa kļūdaini nav ņēmusi vērā, ka </w:t>
      </w:r>
      <w:r w:rsidR="00AF0D6D">
        <w:rPr>
          <w:rFonts w:asciiTheme="majorBidi" w:hAnsiTheme="majorBidi" w:cstheme="majorBidi"/>
        </w:rPr>
        <w:t>Konkurences p</w:t>
      </w:r>
      <w:r w:rsidR="00AF0D6D" w:rsidRPr="00807219">
        <w:rPr>
          <w:rFonts w:asciiTheme="majorBidi" w:hAnsiTheme="majorBidi" w:cstheme="majorBidi"/>
        </w:rPr>
        <w:t xml:space="preserve">adome </w:t>
      </w:r>
      <w:r w:rsidR="005719A5" w:rsidRPr="00807219">
        <w:rPr>
          <w:rFonts w:asciiTheme="majorBidi" w:hAnsiTheme="majorBidi" w:cstheme="majorBidi"/>
        </w:rPr>
        <w:t xml:space="preserve">iespējamo pārkāpumu kvalificējusi kā LESD 101.panta 1.punkta pārkāpumu, kas nosaka </w:t>
      </w:r>
      <w:r w:rsidR="00624258" w:rsidRPr="00807219">
        <w:rPr>
          <w:rFonts w:asciiTheme="majorBidi" w:hAnsiTheme="majorBidi" w:cstheme="majorBidi"/>
        </w:rPr>
        <w:t>citu</w:t>
      </w:r>
      <w:r w:rsidR="005719A5" w:rsidRPr="00807219">
        <w:rPr>
          <w:rFonts w:asciiTheme="majorBidi" w:hAnsiTheme="majorBidi" w:cstheme="majorBidi"/>
        </w:rPr>
        <w:t xml:space="preserve"> pierādīšanas standartu un </w:t>
      </w:r>
      <w:r w:rsidR="00AF0D6D">
        <w:rPr>
          <w:rFonts w:asciiTheme="majorBidi" w:hAnsiTheme="majorBidi" w:cstheme="majorBidi"/>
        </w:rPr>
        <w:t>p</w:t>
      </w:r>
      <w:r w:rsidR="00AF0D6D" w:rsidRPr="00807219">
        <w:rPr>
          <w:rFonts w:asciiTheme="majorBidi" w:hAnsiTheme="majorBidi" w:cstheme="majorBidi"/>
        </w:rPr>
        <w:t xml:space="preserve">adomes </w:t>
      </w:r>
      <w:r w:rsidR="005719A5" w:rsidRPr="00807219">
        <w:rPr>
          <w:rFonts w:asciiTheme="majorBidi" w:hAnsiTheme="majorBidi" w:cstheme="majorBidi"/>
        </w:rPr>
        <w:t xml:space="preserve">pienākumu novērtēt iespējamās vienošanās sekas. Tiesa nepareizi piemērojusi LESD 101.panta 1.punktu, jo </w:t>
      </w:r>
      <w:r w:rsidR="00AF0D6D">
        <w:rPr>
          <w:rFonts w:asciiTheme="majorBidi" w:hAnsiTheme="majorBidi" w:cstheme="majorBidi"/>
        </w:rPr>
        <w:t>p</w:t>
      </w:r>
      <w:r w:rsidR="00AF0D6D" w:rsidRPr="00807219">
        <w:rPr>
          <w:rFonts w:asciiTheme="majorBidi" w:hAnsiTheme="majorBidi" w:cstheme="majorBidi"/>
        </w:rPr>
        <w:t xml:space="preserve">adome </w:t>
      </w:r>
      <w:r w:rsidR="005719A5" w:rsidRPr="00807219">
        <w:rPr>
          <w:rFonts w:asciiTheme="majorBidi" w:hAnsiTheme="majorBidi" w:cstheme="majorBidi"/>
        </w:rPr>
        <w:t>nav pierādījusi, ka vienošanās ietekmē tirdzniecību starp dalībvalstīm</w:t>
      </w:r>
      <w:r w:rsidR="00624258" w:rsidRPr="00807219">
        <w:rPr>
          <w:rFonts w:asciiTheme="majorBidi" w:hAnsiTheme="majorBidi" w:cstheme="majorBidi"/>
        </w:rPr>
        <w:t xml:space="preserve">. Tiesa </w:t>
      </w:r>
      <w:r w:rsidR="005719A5" w:rsidRPr="00807219">
        <w:rPr>
          <w:rFonts w:asciiTheme="majorBidi" w:hAnsiTheme="majorBidi" w:cstheme="majorBidi"/>
        </w:rPr>
        <w:t xml:space="preserve">nav </w:t>
      </w:r>
      <w:r w:rsidR="004D1A56" w:rsidRPr="00807219">
        <w:rPr>
          <w:rFonts w:asciiTheme="majorBidi" w:hAnsiTheme="majorBidi" w:cstheme="majorBidi"/>
        </w:rPr>
        <w:t xml:space="preserve">arī </w:t>
      </w:r>
      <w:r w:rsidR="005719A5" w:rsidRPr="00807219">
        <w:rPr>
          <w:rFonts w:asciiTheme="majorBidi" w:hAnsiTheme="majorBidi" w:cstheme="majorBidi"/>
        </w:rPr>
        <w:t xml:space="preserve">ievērojusi Pamatnostādņu 52.punktā noteiktos kumulatīvos nosacījumus, kā arī nav izvērtējusi </w:t>
      </w:r>
      <w:r w:rsidR="00624258" w:rsidRPr="00807219">
        <w:rPr>
          <w:rFonts w:asciiTheme="majorBidi" w:hAnsiTheme="majorBidi" w:cstheme="majorBidi"/>
        </w:rPr>
        <w:t xml:space="preserve">iespējamās aizliegtās </w:t>
      </w:r>
      <w:r w:rsidR="005719A5" w:rsidRPr="00807219">
        <w:rPr>
          <w:rFonts w:asciiTheme="majorBidi" w:hAnsiTheme="majorBidi" w:cstheme="majorBidi"/>
        </w:rPr>
        <w:t>vienošanās saimnieciski tiesisko kontekstu.</w:t>
      </w:r>
    </w:p>
    <w:p w14:paraId="280DEF08" w14:textId="1B930702" w:rsidR="00624258" w:rsidRPr="00807219" w:rsidRDefault="0051102E" w:rsidP="001F783F">
      <w:pPr>
        <w:spacing w:line="276" w:lineRule="auto"/>
        <w:ind w:firstLine="720"/>
        <w:jc w:val="both"/>
        <w:rPr>
          <w:rFonts w:asciiTheme="majorBidi" w:hAnsiTheme="majorBidi" w:cstheme="majorBidi"/>
        </w:rPr>
      </w:pPr>
      <w:r w:rsidRPr="00807219">
        <w:rPr>
          <w:rFonts w:asciiTheme="majorBidi" w:hAnsiTheme="majorBidi" w:cstheme="majorBidi"/>
        </w:rPr>
        <w:t>[1</w:t>
      </w:r>
      <w:r w:rsidR="00CA7763" w:rsidRPr="00807219">
        <w:rPr>
          <w:rFonts w:asciiTheme="majorBidi" w:hAnsiTheme="majorBidi" w:cstheme="majorBidi"/>
        </w:rPr>
        <w:t>3</w:t>
      </w:r>
      <w:r w:rsidRPr="00807219">
        <w:rPr>
          <w:rFonts w:asciiTheme="majorBidi" w:hAnsiTheme="majorBidi" w:cstheme="majorBidi"/>
        </w:rPr>
        <w:t>.4] </w:t>
      </w:r>
      <w:r w:rsidR="00624258" w:rsidRPr="00807219">
        <w:rPr>
          <w:rFonts w:asciiTheme="majorBidi" w:hAnsiTheme="majorBidi" w:cstheme="majorBidi"/>
        </w:rPr>
        <w:t xml:space="preserve">Tiesa nav ņēmusi vērā, ka saskaņā ar Pamatnostādnēm konkrētā tirgus noteikšana ir būtisks elements LESD 101.panta 1.punkta pārkāpuma konstatēšanai. Tiesa nav izvērtējusi </w:t>
      </w:r>
      <w:r w:rsidR="00AF0D6D">
        <w:rPr>
          <w:rFonts w:asciiTheme="majorBidi" w:hAnsiTheme="majorBidi" w:cstheme="majorBidi"/>
        </w:rPr>
        <w:t>Konkurences p</w:t>
      </w:r>
      <w:r w:rsidR="00AF0D6D" w:rsidRPr="00807219">
        <w:rPr>
          <w:rFonts w:asciiTheme="majorBidi" w:hAnsiTheme="majorBidi" w:cstheme="majorBidi"/>
        </w:rPr>
        <w:t xml:space="preserve">adomes </w:t>
      </w:r>
      <w:r w:rsidR="00624258" w:rsidRPr="00807219">
        <w:rPr>
          <w:rFonts w:asciiTheme="majorBidi" w:hAnsiTheme="majorBidi" w:cstheme="majorBidi"/>
        </w:rPr>
        <w:t xml:space="preserve">kļūdas konkrētā tirgus noteikšanā, kas tādējādi ietekmē gan pārkāpuma kvalifikāciju, gan pieteicējas atbildības apmēru. Katrs iepirkums bija jāvērtē kā atsevišķs konkrētais tirgus. </w:t>
      </w:r>
      <w:r w:rsidR="00624258" w:rsidRPr="00807219">
        <w:rPr>
          <w:rFonts w:asciiTheme="majorBidi" w:hAnsiTheme="majorBidi" w:cstheme="majorBidi"/>
          <w:bCs/>
        </w:rPr>
        <w:t>Ja, nepareizi nosakot konkrēto tirgu, būtiska ietekme uz tirdzniecību starp dalībvalstīm nav konstatējama, pārkāpuma kvalifikācija pēc LESD 101.panta 1.punkta ir nepareiza.</w:t>
      </w:r>
    </w:p>
    <w:p w14:paraId="393299F4" w14:textId="4A87F3D5" w:rsidR="00F15509" w:rsidRPr="00807219" w:rsidRDefault="009450DF" w:rsidP="001F783F">
      <w:pPr>
        <w:spacing w:line="276" w:lineRule="auto"/>
        <w:ind w:firstLine="720"/>
        <w:jc w:val="both"/>
        <w:rPr>
          <w:rFonts w:asciiTheme="majorBidi" w:hAnsiTheme="majorBidi" w:cstheme="majorBidi"/>
          <w:bCs/>
        </w:rPr>
      </w:pPr>
      <w:r w:rsidRPr="00807219">
        <w:rPr>
          <w:rFonts w:asciiTheme="majorBidi" w:hAnsiTheme="majorBidi" w:cstheme="majorBidi"/>
        </w:rPr>
        <w:t>[1</w:t>
      </w:r>
      <w:r w:rsidR="00CA7763" w:rsidRPr="00807219">
        <w:rPr>
          <w:rFonts w:asciiTheme="majorBidi" w:hAnsiTheme="majorBidi" w:cstheme="majorBidi"/>
        </w:rPr>
        <w:t>3</w:t>
      </w:r>
      <w:r w:rsidRPr="00807219">
        <w:rPr>
          <w:rFonts w:asciiTheme="majorBidi" w:hAnsiTheme="majorBidi" w:cstheme="majorBidi"/>
        </w:rPr>
        <w:t>.5] </w:t>
      </w:r>
      <w:r w:rsidR="00F15509" w:rsidRPr="00807219">
        <w:rPr>
          <w:rFonts w:asciiTheme="majorBidi" w:hAnsiTheme="majorBidi" w:cstheme="majorBidi"/>
          <w:bCs/>
        </w:rPr>
        <w:t xml:space="preserve">Konstatējot LESD 101.panta 1.punkta pārkāpumu, tiesa nav piemērojusi Eiropas Savienības Tiesas praksi attiecībā uz vienotu nolūku. Sprieduma 84.punktā tiesa faktiski atzīst, ka dažiem lietas dalībniekiem bija iespējams precīzi noteikt pēdējo vienotā un turpinātā pārkāpuma elementu (konkrētu iepirkumu), kas ietekmē pārkāpuma ilgumu un naudas soda aprēķinu, taču </w:t>
      </w:r>
      <w:r w:rsidR="00AF0D6D">
        <w:rPr>
          <w:rFonts w:asciiTheme="majorBidi" w:hAnsiTheme="majorBidi" w:cstheme="majorBidi"/>
          <w:bCs/>
        </w:rPr>
        <w:t>Konkurences p</w:t>
      </w:r>
      <w:r w:rsidR="00AF0D6D" w:rsidRPr="00807219">
        <w:rPr>
          <w:rFonts w:asciiTheme="majorBidi" w:hAnsiTheme="majorBidi" w:cstheme="majorBidi"/>
          <w:bCs/>
        </w:rPr>
        <w:t xml:space="preserve">adome </w:t>
      </w:r>
      <w:r w:rsidR="00F15509" w:rsidRPr="00807219">
        <w:rPr>
          <w:rFonts w:asciiTheme="majorBidi" w:hAnsiTheme="majorBidi" w:cstheme="majorBidi"/>
          <w:bCs/>
        </w:rPr>
        <w:t>to nav ņēmusi vērā. Līdz ar to iespējamais pārkāpums nav kvalificēts atbilstoši LESD 101.panta 1.punkta piemērošanas praksei.</w:t>
      </w:r>
    </w:p>
    <w:p w14:paraId="49B76D1E" w14:textId="2BCD352F" w:rsidR="00F15509" w:rsidRPr="00807219" w:rsidRDefault="00D126A2" w:rsidP="001F783F">
      <w:pPr>
        <w:spacing w:line="276" w:lineRule="auto"/>
        <w:ind w:firstLine="720"/>
        <w:jc w:val="both"/>
        <w:rPr>
          <w:rFonts w:asciiTheme="majorBidi" w:hAnsiTheme="majorBidi" w:cstheme="majorBidi"/>
          <w:bCs/>
        </w:rPr>
      </w:pPr>
      <w:bookmarkStart w:id="9" w:name="_Hlk212821946"/>
      <w:r w:rsidRPr="00807219">
        <w:rPr>
          <w:rFonts w:asciiTheme="majorBidi" w:hAnsiTheme="majorBidi" w:cstheme="majorBidi"/>
          <w:bCs/>
        </w:rPr>
        <w:t>[1</w:t>
      </w:r>
      <w:r w:rsidR="00CA7763" w:rsidRPr="00807219">
        <w:rPr>
          <w:rFonts w:asciiTheme="majorBidi" w:hAnsiTheme="majorBidi" w:cstheme="majorBidi"/>
          <w:bCs/>
        </w:rPr>
        <w:t>3</w:t>
      </w:r>
      <w:r w:rsidRPr="00807219">
        <w:rPr>
          <w:rFonts w:asciiTheme="majorBidi" w:hAnsiTheme="majorBidi" w:cstheme="majorBidi"/>
          <w:bCs/>
        </w:rPr>
        <w:t>.6]</w:t>
      </w:r>
      <w:r w:rsidR="00B764E1" w:rsidRPr="00807219">
        <w:rPr>
          <w:rFonts w:asciiTheme="majorBidi" w:hAnsiTheme="majorBidi" w:cstheme="majorBidi"/>
          <w:bCs/>
        </w:rPr>
        <w:t> </w:t>
      </w:r>
      <w:r w:rsidR="00F15509" w:rsidRPr="00807219">
        <w:rPr>
          <w:rFonts w:asciiTheme="majorBidi" w:hAnsiTheme="majorBidi" w:cstheme="majorBidi"/>
          <w:bCs/>
        </w:rPr>
        <w:t>Tiesa kļūdaini piemērojusi Administratīvā procesa likuma 60.panta otro daļu, jo, vērtējot atšifrējumu nodošanu</w:t>
      </w:r>
      <w:r w:rsidR="00B764E1" w:rsidRPr="00807219">
        <w:rPr>
          <w:rFonts w:asciiTheme="majorBidi" w:hAnsiTheme="majorBidi" w:cstheme="majorBidi"/>
          <w:bCs/>
        </w:rPr>
        <w:t xml:space="preserve"> </w:t>
      </w:r>
      <w:r w:rsidR="00AF0D6D">
        <w:rPr>
          <w:rFonts w:asciiTheme="majorBidi" w:hAnsiTheme="majorBidi" w:cstheme="majorBidi"/>
          <w:bCs/>
        </w:rPr>
        <w:t>Konkurences p</w:t>
      </w:r>
      <w:r w:rsidR="00AF0D6D" w:rsidRPr="00807219">
        <w:rPr>
          <w:rFonts w:asciiTheme="majorBidi" w:hAnsiTheme="majorBidi" w:cstheme="majorBidi"/>
          <w:bCs/>
        </w:rPr>
        <w:t>adomei</w:t>
      </w:r>
      <w:r w:rsidR="00F15509" w:rsidRPr="00807219">
        <w:rPr>
          <w:rFonts w:asciiTheme="majorBidi" w:hAnsiTheme="majorBidi" w:cstheme="majorBidi"/>
          <w:bCs/>
        </w:rPr>
        <w:t>, nav izvērtējusi fizisko personu datu aizsardzīb</w:t>
      </w:r>
      <w:r w:rsidR="00B764E1" w:rsidRPr="00807219">
        <w:rPr>
          <w:rFonts w:asciiTheme="majorBidi" w:hAnsiTheme="majorBidi" w:cstheme="majorBidi"/>
          <w:bCs/>
        </w:rPr>
        <w:t xml:space="preserve">as prasību ievērošanu </w:t>
      </w:r>
      <w:r w:rsidR="00F15509" w:rsidRPr="00807219">
        <w:rPr>
          <w:rFonts w:asciiTheme="majorBidi" w:hAnsiTheme="majorBidi" w:cstheme="majorBidi"/>
          <w:bCs/>
        </w:rPr>
        <w:t>atbilstoši Hartas 8.panta</w:t>
      </w:r>
      <w:r w:rsidR="00B764E1" w:rsidRPr="00807219">
        <w:rPr>
          <w:rFonts w:asciiTheme="majorBidi" w:hAnsiTheme="majorBidi" w:cstheme="majorBidi"/>
          <w:bCs/>
        </w:rPr>
        <w:t>m</w:t>
      </w:r>
      <w:r w:rsidR="00F15509" w:rsidRPr="00807219">
        <w:rPr>
          <w:rFonts w:asciiTheme="majorBidi" w:hAnsiTheme="majorBidi" w:cstheme="majorBidi"/>
          <w:bCs/>
        </w:rPr>
        <w:t xml:space="preserve"> un Datu regulas 6.panta 4.punkta</w:t>
      </w:r>
      <w:r w:rsidR="00B764E1" w:rsidRPr="00807219">
        <w:rPr>
          <w:rFonts w:asciiTheme="majorBidi" w:hAnsiTheme="majorBidi" w:cstheme="majorBidi"/>
          <w:bCs/>
        </w:rPr>
        <w:t>m</w:t>
      </w:r>
      <w:r w:rsidR="00F15509" w:rsidRPr="00807219">
        <w:rPr>
          <w:rFonts w:asciiTheme="majorBidi" w:hAnsiTheme="majorBidi" w:cstheme="majorBidi"/>
          <w:bCs/>
        </w:rPr>
        <w:t xml:space="preserve">. Konkurences likuma pārkāpumi Latvijā nav krimināli sodāmi, tādēļ datu nodošana </w:t>
      </w:r>
      <w:r w:rsidR="00AF0D6D">
        <w:rPr>
          <w:rFonts w:asciiTheme="majorBidi" w:hAnsiTheme="majorBidi" w:cstheme="majorBidi"/>
          <w:bCs/>
        </w:rPr>
        <w:t>p</w:t>
      </w:r>
      <w:r w:rsidR="00AF0D6D" w:rsidRPr="00807219">
        <w:rPr>
          <w:rFonts w:asciiTheme="majorBidi" w:hAnsiTheme="majorBidi" w:cstheme="majorBidi"/>
          <w:bCs/>
        </w:rPr>
        <w:t xml:space="preserve">adomei </w:t>
      </w:r>
      <w:r w:rsidR="00F15509" w:rsidRPr="00807219">
        <w:rPr>
          <w:rFonts w:asciiTheme="majorBidi" w:hAnsiTheme="majorBidi" w:cstheme="majorBidi"/>
          <w:bCs/>
        </w:rPr>
        <w:t xml:space="preserve">bez </w:t>
      </w:r>
      <w:r w:rsidR="00B764E1" w:rsidRPr="00807219">
        <w:rPr>
          <w:rFonts w:asciiTheme="majorBidi" w:hAnsiTheme="majorBidi" w:cstheme="majorBidi"/>
          <w:bCs/>
        </w:rPr>
        <w:t xml:space="preserve">tiesas vai </w:t>
      </w:r>
      <w:r w:rsidR="00F15509" w:rsidRPr="00807219">
        <w:rPr>
          <w:rFonts w:asciiTheme="majorBidi" w:hAnsiTheme="majorBidi" w:cstheme="majorBidi"/>
          <w:bCs/>
        </w:rPr>
        <w:t xml:space="preserve">neatkarīgas </w:t>
      </w:r>
      <w:r w:rsidR="00B764E1" w:rsidRPr="00807219">
        <w:rPr>
          <w:rFonts w:asciiTheme="majorBidi" w:hAnsiTheme="majorBidi" w:cstheme="majorBidi"/>
          <w:bCs/>
        </w:rPr>
        <w:t xml:space="preserve">iestādes </w:t>
      </w:r>
      <w:r w:rsidR="00AF0D6D" w:rsidRPr="00807219">
        <w:rPr>
          <w:rFonts w:asciiTheme="majorBidi" w:hAnsiTheme="majorBidi" w:cstheme="majorBidi"/>
          <w:bCs/>
        </w:rPr>
        <w:t xml:space="preserve">iepriekšējas </w:t>
      </w:r>
      <w:r w:rsidR="00F15509" w:rsidRPr="00807219">
        <w:rPr>
          <w:rFonts w:asciiTheme="majorBidi" w:hAnsiTheme="majorBidi" w:cstheme="majorBidi"/>
          <w:bCs/>
        </w:rPr>
        <w:t>pārbaudes nav tiesiska</w:t>
      </w:r>
      <w:r w:rsidR="00B764E1" w:rsidRPr="00807219">
        <w:rPr>
          <w:rFonts w:asciiTheme="majorBidi" w:hAnsiTheme="majorBidi" w:cstheme="majorBidi"/>
          <w:bCs/>
        </w:rPr>
        <w:t xml:space="preserve">, </w:t>
      </w:r>
      <w:r w:rsidR="00AF0D6D">
        <w:rPr>
          <w:rFonts w:asciiTheme="majorBidi" w:hAnsiTheme="majorBidi" w:cstheme="majorBidi"/>
          <w:bCs/>
        </w:rPr>
        <w:t>un t</w:t>
      </w:r>
      <w:r w:rsidR="00AF0D6D" w:rsidRPr="00807219">
        <w:rPr>
          <w:rFonts w:asciiTheme="majorBidi" w:hAnsiTheme="majorBidi" w:cstheme="majorBidi"/>
          <w:bCs/>
        </w:rPr>
        <w:t xml:space="preserve">as </w:t>
      </w:r>
      <w:r w:rsidR="00F15509" w:rsidRPr="00807219">
        <w:rPr>
          <w:rFonts w:asciiTheme="majorBidi" w:hAnsiTheme="majorBidi" w:cstheme="majorBidi"/>
          <w:bCs/>
        </w:rPr>
        <w:t>padara šo datu izmantošanu administratīvajā procesā</w:t>
      </w:r>
      <w:r w:rsidR="00B764E1" w:rsidRPr="00807219">
        <w:rPr>
          <w:rFonts w:asciiTheme="majorBidi" w:hAnsiTheme="majorBidi" w:cstheme="majorBidi"/>
          <w:bCs/>
        </w:rPr>
        <w:t xml:space="preserve"> par </w:t>
      </w:r>
      <w:r w:rsidR="00F15509" w:rsidRPr="00807219">
        <w:rPr>
          <w:rFonts w:asciiTheme="majorBidi" w:hAnsiTheme="majorBidi" w:cstheme="majorBidi"/>
          <w:bCs/>
        </w:rPr>
        <w:t>nepieļaujamu.</w:t>
      </w:r>
    </w:p>
    <w:bookmarkEnd w:id="9"/>
    <w:p w14:paraId="0290E013" w14:textId="2C07D9D9" w:rsidR="00782362" w:rsidRPr="00807219" w:rsidRDefault="00782362" w:rsidP="001F783F">
      <w:pPr>
        <w:spacing w:line="276" w:lineRule="auto"/>
        <w:ind w:firstLine="720"/>
        <w:jc w:val="both"/>
        <w:rPr>
          <w:rFonts w:asciiTheme="majorBidi" w:hAnsiTheme="majorBidi" w:cstheme="majorBidi"/>
          <w:bCs/>
        </w:rPr>
      </w:pPr>
      <w:r w:rsidRPr="00807219">
        <w:rPr>
          <w:rFonts w:asciiTheme="majorBidi" w:hAnsiTheme="majorBidi" w:cstheme="majorBidi"/>
          <w:bCs/>
        </w:rPr>
        <w:t>[1</w:t>
      </w:r>
      <w:r w:rsidR="00CA7763" w:rsidRPr="00807219">
        <w:rPr>
          <w:rFonts w:asciiTheme="majorBidi" w:hAnsiTheme="majorBidi" w:cstheme="majorBidi"/>
          <w:bCs/>
        </w:rPr>
        <w:t>3</w:t>
      </w:r>
      <w:r w:rsidRPr="00807219">
        <w:rPr>
          <w:rFonts w:asciiTheme="majorBidi" w:hAnsiTheme="majorBidi" w:cstheme="majorBidi"/>
          <w:bCs/>
        </w:rPr>
        <w:t xml:space="preserve">.7] Tiesa kļūdaini interpretējusi </w:t>
      </w:r>
      <w:r w:rsidR="00AF0D6D">
        <w:rPr>
          <w:rFonts w:asciiTheme="majorBidi" w:hAnsiTheme="majorBidi" w:cstheme="majorBidi"/>
          <w:bCs/>
        </w:rPr>
        <w:t>n</w:t>
      </w:r>
      <w:r w:rsidR="00AF0D6D" w:rsidRPr="00807219">
        <w:rPr>
          <w:rFonts w:asciiTheme="majorBidi" w:hAnsiTheme="majorBidi" w:cstheme="majorBidi"/>
          <w:bCs/>
        </w:rPr>
        <w:t xml:space="preserve">oteikumu </w:t>
      </w:r>
      <w:r w:rsidRPr="00807219">
        <w:rPr>
          <w:rFonts w:asciiTheme="majorBidi" w:hAnsiTheme="majorBidi" w:cstheme="majorBidi"/>
          <w:bCs/>
        </w:rPr>
        <w:t>Nr. 179 22.1.3. apakšpunktu</w:t>
      </w:r>
      <w:r w:rsidR="00B764E1" w:rsidRPr="00807219">
        <w:rPr>
          <w:rFonts w:asciiTheme="majorBidi" w:hAnsiTheme="majorBidi" w:cstheme="majorBidi"/>
          <w:bCs/>
        </w:rPr>
        <w:t xml:space="preserve">, kā rezultātā nav </w:t>
      </w:r>
      <w:r w:rsidRPr="00807219">
        <w:rPr>
          <w:rFonts w:asciiTheme="majorBidi" w:hAnsiTheme="majorBidi" w:cstheme="majorBidi"/>
          <w:bCs/>
        </w:rPr>
        <w:t>konstatēj</w:t>
      </w:r>
      <w:r w:rsidR="00B764E1" w:rsidRPr="00807219">
        <w:rPr>
          <w:rFonts w:asciiTheme="majorBidi" w:hAnsiTheme="majorBidi" w:cstheme="majorBidi"/>
          <w:bCs/>
        </w:rPr>
        <w:t>usi</w:t>
      </w:r>
      <w:r w:rsidRPr="00807219">
        <w:rPr>
          <w:rFonts w:asciiTheme="majorBidi" w:hAnsiTheme="majorBidi" w:cstheme="majorBidi"/>
          <w:bCs/>
        </w:rPr>
        <w:t xml:space="preserve"> </w:t>
      </w:r>
      <w:r w:rsidR="00AF0D6D">
        <w:rPr>
          <w:rFonts w:asciiTheme="majorBidi" w:hAnsiTheme="majorBidi" w:cstheme="majorBidi"/>
          <w:bCs/>
        </w:rPr>
        <w:t>Konkurences p</w:t>
      </w:r>
      <w:r w:rsidR="00AF0D6D" w:rsidRPr="00807219">
        <w:rPr>
          <w:rFonts w:asciiTheme="majorBidi" w:hAnsiTheme="majorBidi" w:cstheme="majorBidi"/>
          <w:bCs/>
        </w:rPr>
        <w:t xml:space="preserve">adomes </w:t>
      </w:r>
      <w:r w:rsidRPr="00807219">
        <w:rPr>
          <w:rFonts w:asciiTheme="majorBidi" w:hAnsiTheme="majorBidi" w:cstheme="majorBidi"/>
          <w:bCs/>
        </w:rPr>
        <w:t xml:space="preserve">pārkāpumu, nosakot </w:t>
      </w:r>
      <w:r w:rsidRPr="00807219">
        <w:rPr>
          <w:rFonts w:asciiTheme="majorBidi" w:hAnsiTheme="majorBidi" w:cstheme="majorBidi"/>
          <w:bCs/>
          <w:i/>
          <w:iCs/>
        </w:rPr>
        <w:t>Velve</w:t>
      </w:r>
      <w:r w:rsidR="00B764E1" w:rsidRPr="00807219">
        <w:rPr>
          <w:rFonts w:asciiTheme="majorBidi" w:hAnsiTheme="majorBidi" w:cstheme="majorBidi"/>
          <w:bCs/>
          <w:i/>
          <w:iCs/>
        </w:rPr>
        <w:t>i</w:t>
      </w:r>
      <w:r w:rsidRPr="00807219">
        <w:rPr>
          <w:rFonts w:asciiTheme="majorBidi" w:hAnsiTheme="majorBidi" w:cstheme="majorBidi"/>
          <w:bCs/>
        </w:rPr>
        <w:t xml:space="preserve"> nepamatotu naudas soda samazinājumu par 1,5</w:t>
      </w:r>
      <w:r w:rsidR="001D4025" w:rsidRPr="00807219">
        <w:rPr>
          <w:rFonts w:asciiTheme="majorBidi" w:hAnsiTheme="majorBidi" w:cstheme="majorBidi"/>
          <w:bCs/>
        </w:rPr>
        <w:t> </w:t>
      </w:r>
      <w:r w:rsidRPr="00807219">
        <w:rPr>
          <w:rFonts w:asciiTheme="majorBidi" w:hAnsiTheme="majorBidi" w:cstheme="majorBidi"/>
          <w:bCs/>
        </w:rPr>
        <w:t xml:space="preserve">%. </w:t>
      </w:r>
      <w:r w:rsidR="009D18FB">
        <w:rPr>
          <w:rFonts w:asciiTheme="majorBidi" w:hAnsiTheme="majorBidi" w:cstheme="majorBidi"/>
          <w:bCs/>
        </w:rPr>
        <w:t>Situācijā</w:t>
      </w:r>
      <w:r w:rsidRPr="00807219">
        <w:rPr>
          <w:rFonts w:asciiTheme="majorBidi" w:hAnsiTheme="majorBidi" w:cstheme="majorBidi"/>
          <w:bCs/>
        </w:rPr>
        <w:t xml:space="preserve">, kad attiecībā uz </w:t>
      </w:r>
      <w:r w:rsidRPr="00807219">
        <w:rPr>
          <w:rFonts w:asciiTheme="majorBidi" w:hAnsiTheme="majorBidi" w:cstheme="majorBidi"/>
          <w:bCs/>
          <w:i/>
          <w:iCs/>
        </w:rPr>
        <w:t>Velv</w:t>
      </w:r>
      <w:r w:rsidR="00036E7A" w:rsidRPr="00807219">
        <w:rPr>
          <w:rFonts w:asciiTheme="majorBidi" w:hAnsiTheme="majorBidi" w:cstheme="majorBidi"/>
          <w:bCs/>
          <w:i/>
          <w:iCs/>
        </w:rPr>
        <w:t>i</w:t>
      </w:r>
      <w:r w:rsidRPr="00807219">
        <w:rPr>
          <w:rFonts w:asciiTheme="majorBidi" w:hAnsiTheme="majorBidi" w:cstheme="majorBidi"/>
          <w:bCs/>
        </w:rPr>
        <w:t xml:space="preserve"> faktiski nav iestājušies </w:t>
      </w:r>
      <w:r w:rsidR="001D4025" w:rsidRPr="00807219">
        <w:rPr>
          <w:rFonts w:asciiTheme="majorBidi" w:hAnsiTheme="majorBidi" w:cstheme="majorBidi"/>
          <w:bCs/>
        </w:rPr>
        <w:t>minētajā normā</w:t>
      </w:r>
      <w:r w:rsidRPr="00807219">
        <w:rPr>
          <w:rFonts w:asciiTheme="majorBidi" w:hAnsiTheme="majorBidi" w:cstheme="majorBidi"/>
          <w:bCs/>
        </w:rPr>
        <w:t xml:space="preserve"> paredzētie apstākļi, t.i., nav saprotams, kādu tieši </w:t>
      </w:r>
      <w:r w:rsidR="009C3936" w:rsidRPr="00807219">
        <w:rPr>
          <w:rFonts w:asciiTheme="majorBidi" w:hAnsiTheme="majorBidi" w:cstheme="majorBidi"/>
          <w:bCs/>
        </w:rPr>
        <w:t xml:space="preserve">būtisku informāciju pārkāpuma konstatēšanai </w:t>
      </w:r>
      <w:r w:rsidRPr="00807219">
        <w:rPr>
          <w:rFonts w:asciiTheme="majorBidi" w:hAnsiTheme="majorBidi" w:cstheme="majorBidi"/>
          <w:bCs/>
          <w:i/>
          <w:iCs/>
        </w:rPr>
        <w:t>Velve</w:t>
      </w:r>
      <w:r w:rsidRPr="00807219">
        <w:rPr>
          <w:rFonts w:asciiTheme="majorBidi" w:hAnsiTheme="majorBidi" w:cstheme="majorBidi"/>
          <w:bCs/>
        </w:rPr>
        <w:t xml:space="preserve"> </w:t>
      </w:r>
      <w:r w:rsidR="009C3936" w:rsidRPr="00807219">
        <w:rPr>
          <w:rFonts w:asciiTheme="majorBidi" w:hAnsiTheme="majorBidi" w:cstheme="majorBidi"/>
          <w:bCs/>
        </w:rPr>
        <w:t xml:space="preserve">pēc savas iniciatīvas </w:t>
      </w:r>
      <w:r w:rsidRPr="00807219">
        <w:rPr>
          <w:rFonts w:asciiTheme="majorBidi" w:hAnsiTheme="majorBidi" w:cstheme="majorBidi"/>
          <w:bCs/>
        </w:rPr>
        <w:t>bija sniegusi</w:t>
      </w:r>
      <w:r w:rsidR="009C3936" w:rsidRPr="00807219">
        <w:rPr>
          <w:rFonts w:asciiTheme="majorBidi" w:hAnsiTheme="majorBidi" w:cstheme="majorBidi"/>
          <w:bCs/>
        </w:rPr>
        <w:t>,</w:t>
      </w:r>
      <w:r w:rsidRPr="00807219">
        <w:rPr>
          <w:rFonts w:asciiTheme="majorBidi" w:hAnsiTheme="majorBidi" w:cstheme="majorBidi"/>
          <w:bCs/>
        </w:rPr>
        <w:t xml:space="preserve"> papildu </w:t>
      </w:r>
      <w:r w:rsidR="001D4025" w:rsidRPr="00807219">
        <w:rPr>
          <w:rFonts w:asciiTheme="majorBidi" w:hAnsiTheme="majorBidi" w:cstheme="majorBidi"/>
          <w:bCs/>
        </w:rPr>
        <w:t>soda apmēra samazinājums</w:t>
      </w:r>
      <w:r w:rsidR="00036E7A" w:rsidRPr="00807219">
        <w:rPr>
          <w:rFonts w:asciiTheme="majorBidi" w:hAnsiTheme="majorBidi" w:cstheme="majorBidi"/>
          <w:bCs/>
        </w:rPr>
        <w:t xml:space="preserve"> – </w:t>
      </w:r>
      <w:r w:rsidRPr="00807219">
        <w:rPr>
          <w:rFonts w:asciiTheme="majorBidi" w:hAnsiTheme="majorBidi" w:cstheme="majorBidi"/>
          <w:bCs/>
        </w:rPr>
        <w:t xml:space="preserve">ņemot vērā, ka par pārkāpuma atzīšanu </w:t>
      </w:r>
      <w:r w:rsidR="009C3936" w:rsidRPr="00807219">
        <w:rPr>
          <w:rFonts w:asciiTheme="majorBidi" w:hAnsiTheme="majorBidi" w:cstheme="majorBidi"/>
          <w:bCs/>
          <w:i/>
          <w:iCs/>
        </w:rPr>
        <w:t>Velve</w:t>
      </w:r>
      <w:r w:rsidR="001D4025" w:rsidRPr="00807219">
        <w:rPr>
          <w:rFonts w:asciiTheme="majorBidi" w:hAnsiTheme="majorBidi" w:cstheme="majorBidi"/>
          <w:bCs/>
          <w:i/>
          <w:iCs/>
        </w:rPr>
        <w:t>i</w:t>
      </w:r>
      <w:r w:rsidRPr="00807219">
        <w:rPr>
          <w:rFonts w:asciiTheme="majorBidi" w:hAnsiTheme="majorBidi" w:cstheme="majorBidi"/>
          <w:bCs/>
        </w:rPr>
        <w:t xml:space="preserve"> jau piemērot</w:t>
      </w:r>
      <w:r w:rsidR="001D4025" w:rsidRPr="00807219">
        <w:rPr>
          <w:rFonts w:asciiTheme="majorBidi" w:hAnsiTheme="majorBidi" w:cstheme="majorBidi"/>
          <w:bCs/>
        </w:rPr>
        <w:t>s</w:t>
      </w:r>
      <w:r w:rsidRPr="00807219">
        <w:rPr>
          <w:rFonts w:asciiTheme="majorBidi" w:hAnsiTheme="majorBidi" w:cstheme="majorBidi"/>
          <w:bCs/>
        </w:rPr>
        <w:t xml:space="preserve"> 10</w:t>
      </w:r>
      <w:r w:rsidR="009C3936" w:rsidRPr="00807219">
        <w:rPr>
          <w:rFonts w:asciiTheme="majorBidi" w:hAnsiTheme="majorBidi" w:cstheme="majorBidi"/>
          <w:bCs/>
        </w:rPr>
        <w:t> </w:t>
      </w:r>
      <w:r w:rsidRPr="00807219">
        <w:rPr>
          <w:rFonts w:asciiTheme="majorBidi" w:hAnsiTheme="majorBidi" w:cstheme="majorBidi"/>
          <w:bCs/>
        </w:rPr>
        <w:t xml:space="preserve">% </w:t>
      </w:r>
      <w:r w:rsidR="001D4025" w:rsidRPr="00807219">
        <w:rPr>
          <w:rFonts w:asciiTheme="majorBidi" w:hAnsiTheme="majorBidi" w:cstheme="majorBidi"/>
          <w:bCs/>
        </w:rPr>
        <w:t>samazinājums,</w:t>
      </w:r>
      <w:r w:rsidR="00036E7A" w:rsidRPr="00807219">
        <w:rPr>
          <w:rFonts w:asciiTheme="majorBidi" w:hAnsiTheme="majorBidi" w:cstheme="majorBidi"/>
          <w:bCs/>
        </w:rPr>
        <w:t xml:space="preserve"> –</w:t>
      </w:r>
      <w:r w:rsidRPr="00807219">
        <w:rPr>
          <w:rFonts w:asciiTheme="majorBidi" w:hAnsiTheme="majorBidi" w:cstheme="majorBidi"/>
          <w:bCs/>
        </w:rPr>
        <w:t xml:space="preserve"> ir </w:t>
      </w:r>
      <w:r w:rsidR="00AF0D6D">
        <w:rPr>
          <w:rFonts w:asciiTheme="majorBidi" w:hAnsiTheme="majorBidi" w:cstheme="majorBidi"/>
          <w:bCs/>
        </w:rPr>
        <w:t>p</w:t>
      </w:r>
      <w:r w:rsidR="00AF0D6D" w:rsidRPr="00807219">
        <w:rPr>
          <w:rFonts w:asciiTheme="majorBidi" w:hAnsiTheme="majorBidi" w:cstheme="majorBidi"/>
          <w:bCs/>
        </w:rPr>
        <w:t xml:space="preserve">adomes </w:t>
      </w:r>
      <w:r w:rsidRPr="00807219">
        <w:rPr>
          <w:rFonts w:asciiTheme="majorBidi" w:hAnsiTheme="majorBidi" w:cstheme="majorBidi"/>
          <w:bCs/>
        </w:rPr>
        <w:t xml:space="preserve">rīcība </w:t>
      </w:r>
      <w:r w:rsidRPr="00807219">
        <w:rPr>
          <w:rFonts w:asciiTheme="majorBidi" w:hAnsiTheme="majorBidi" w:cstheme="majorBidi"/>
          <w:bCs/>
          <w:i/>
          <w:iCs/>
        </w:rPr>
        <w:t>ultra vires</w:t>
      </w:r>
      <w:r w:rsidR="009C3936" w:rsidRPr="00807219">
        <w:rPr>
          <w:rFonts w:asciiTheme="majorBidi" w:hAnsiTheme="majorBidi" w:cstheme="majorBidi"/>
          <w:bCs/>
        </w:rPr>
        <w:t xml:space="preserve">. Tas ir arī vienlīdzīgas attieksmes </w:t>
      </w:r>
      <w:r w:rsidR="001D4025" w:rsidRPr="00807219">
        <w:rPr>
          <w:rFonts w:asciiTheme="majorBidi" w:hAnsiTheme="majorBidi" w:cstheme="majorBidi"/>
          <w:bCs/>
        </w:rPr>
        <w:t>principa pārkāpums</w:t>
      </w:r>
      <w:r w:rsidR="009C3936" w:rsidRPr="00807219">
        <w:rPr>
          <w:rFonts w:asciiTheme="majorBidi" w:hAnsiTheme="majorBidi" w:cstheme="majorBidi"/>
          <w:bCs/>
        </w:rPr>
        <w:t>.</w:t>
      </w:r>
    </w:p>
    <w:p w14:paraId="7A5289E5" w14:textId="5980E23C" w:rsidR="00236B12" w:rsidRPr="00807219" w:rsidRDefault="00236B12" w:rsidP="001F783F">
      <w:pPr>
        <w:spacing w:line="276" w:lineRule="auto"/>
        <w:ind w:firstLine="720"/>
        <w:jc w:val="both"/>
        <w:rPr>
          <w:rFonts w:asciiTheme="majorBidi" w:hAnsiTheme="majorBidi" w:cstheme="majorBidi"/>
          <w:bCs/>
        </w:rPr>
      </w:pPr>
    </w:p>
    <w:p w14:paraId="7E7C314B" w14:textId="6B9279F1" w:rsidR="00236B12" w:rsidRPr="00807219" w:rsidRDefault="00236B12" w:rsidP="001F783F">
      <w:pPr>
        <w:spacing w:line="276" w:lineRule="auto"/>
        <w:ind w:firstLine="720"/>
        <w:jc w:val="both"/>
        <w:rPr>
          <w:rFonts w:asciiTheme="majorBidi" w:hAnsiTheme="majorBidi" w:cstheme="majorBidi"/>
          <w:lang w:eastAsia="lv-LV"/>
        </w:rPr>
      </w:pPr>
      <w:r w:rsidRPr="00807219">
        <w:rPr>
          <w:rFonts w:asciiTheme="majorBidi" w:hAnsiTheme="majorBidi" w:cstheme="majorBidi"/>
          <w:lang w:eastAsia="lv-LV"/>
        </w:rPr>
        <w:t>[1</w:t>
      </w:r>
      <w:r w:rsidR="00C81742" w:rsidRPr="00807219">
        <w:rPr>
          <w:rFonts w:asciiTheme="majorBidi" w:hAnsiTheme="majorBidi" w:cstheme="majorBidi"/>
          <w:lang w:eastAsia="lv-LV"/>
        </w:rPr>
        <w:t>4</w:t>
      </w:r>
      <w:r w:rsidRPr="00807219">
        <w:rPr>
          <w:rFonts w:asciiTheme="majorBidi" w:hAnsiTheme="majorBidi" w:cstheme="majorBidi"/>
          <w:lang w:eastAsia="lv-LV"/>
        </w:rPr>
        <w:t>]</w:t>
      </w:r>
      <w:r w:rsidR="00B74A20" w:rsidRPr="00807219">
        <w:rPr>
          <w:rFonts w:asciiTheme="majorBidi" w:hAnsiTheme="majorBidi" w:cstheme="majorBidi"/>
          <w:lang w:eastAsia="lv-LV"/>
        </w:rPr>
        <w:t> </w:t>
      </w:r>
      <w:r w:rsidRPr="00807219">
        <w:rPr>
          <w:rFonts w:asciiTheme="majorBidi" w:hAnsiTheme="majorBidi" w:cstheme="majorBidi"/>
          <w:i/>
          <w:iCs/>
          <w:lang w:eastAsia="lv-LV"/>
        </w:rPr>
        <w:t>LEC</w:t>
      </w:r>
      <w:r w:rsidRPr="00807219">
        <w:rPr>
          <w:rFonts w:asciiTheme="majorBidi" w:hAnsiTheme="majorBidi" w:cstheme="majorBidi"/>
          <w:lang w:eastAsia="lv-LV"/>
        </w:rPr>
        <w:t xml:space="preserve"> </w:t>
      </w:r>
      <w:r w:rsidR="00B66E46" w:rsidRPr="00807219">
        <w:rPr>
          <w:rFonts w:asciiTheme="majorBidi" w:hAnsiTheme="majorBidi" w:cstheme="majorBidi"/>
        </w:rPr>
        <w:t>kasācijas sūdzība pamatota ar turpmāko</w:t>
      </w:r>
      <w:r w:rsidRPr="00807219">
        <w:rPr>
          <w:rFonts w:asciiTheme="majorBidi" w:hAnsiTheme="majorBidi" w:cstheme="majorBidi"/>
        </w:rPr>
        <w:t>.</w:t>
      </w:r>
    </w:p>
    <w:p w14:paraId="7D7C00B4" w14:textId="1E35A2FC" w:rsidR="00236B12" w:rsidRPr="00807219" w:rsidRDefault="00236B12" w:rsidP="001F783F">
      <w:pPr>
        <w:spacing w:line="276" w:lineRule="auto"/>
        <w:ind w:firstLine="720"/>
        <w:jc w:val="both"/>
      </w:pPr>
      <w:bookmarkStart w:id="10" w:name="_Hlk212821974"/>
      <w:r w:rsidRPr="00807219">
        <w:rPr>
          <w:rFonts w:asciiTheme="majorBidi" w:hAnsiTheme="majorBidi" w:cstheme="majorBidi"/>
          <w:bCs/>
        </w:rPr>
        <w:t>[1</w:t>
      </w:r>
      <w:r w:rsidR="00C81742" w:rsidRPr="00807219">
        <w:rPr>
          <w:rFonts w:asciiTheme="majorBidi" w:hAnsiTheme="majorBidi" w:cstheme="majorBidi"/>
          <w:bCs/>
        </w:rPr>
        <w:t>4</w:t>
      </w:r>
      <w:r w:rsidRPr="00807219">
        <w:rPr>
          <w:rFonts w:asciiTheme="majorBidi" w:hAnsiTheme="majorBidi" w:cstheme="majorBidi"/>
          <w:bCs/>
        </w:rPr>
        <w:t>.1]</w:t>
      </w:r>
      <w:r w:rsidR="00597355" w:rsidRPr="00807219">
        <w:rPr>
          <w:rFonts w:asciiTheme="majorBidi" w:hAnsiTheme="majorBidi" w:cstheme="majorBidi"/>
          <w:bCs/>
        </w:rPr>
        <w:t> </w:t>
      </w:r>
      <w:r w:rsidR="003A4B72" w:rsidRPr="00807219">
        <w:rPr>
          <w:rFonts w:asciiTheme="majorBidi" w:hAnsiTheme="majorBidi" w:cstheme="majorBidi"/>
          <w:bCs/>
        </w:rPr>
        <w:t xml:space="preserve">Tiesa, vērtējot pierādījumu pieļaujamību, ir nepareizi interpretējusi un piemērojusi Administratīvā procesa likuma 60.panta otro daļu un 152.panta pirmo daļu kopsakarā ar operatīvo darbību regulējošajām tiesību normām, Satversmes 96.pantu, Hartas 7.pantu un Konvencijas 8.pantu. Tā rezultātā tiesa kļūdaini secinājusi, ka konkurences tiesību pārkāpuma pierādīšanā ir pieļaujams izmantot operatīvo darbību rezultātā iegūtus nepublisku sarunu audioierakstus un to atšifrējumus. </w:t>
      </w:r>
      <w:r w:rsidR="00F9048D">
        <w:rPr>
          <w:rFonts w:asciiTheme="majorBidi" w:hAnsiTheme="majorBidi" w:cstheme="majorBidi"/>
          <w:bCs/>
        </w:rPr>
        <w:t xml:space="preserve">Šādi </w:t>
      </w:r>
      <w:r w:rsidR="009502E9">
        <w:rPr>
          <w:rFonts w:asciiTheme="majorBidi" w:hAnsiTheme="majorBidi" w:cstheme="majorBidi"/>
          <w:bCs/>
        </w:rPr>
        <w:t>rīkojoties, tiesa</w:t>
      </w:r>
      <w:r w:rsidR="003A4B72" w:rsidRPr="00807219">
        <w:rPr>
          <w:rFonts w:asciiTheme="majorBidi" w:hAnsiTheme="majorBidi" w:cstheme="majorBidi"/>
          <w:bCs/>
        </w:rPr>
        <w:t xml:space="preserve"> ir pieļāvusi </w:t>
      </w:r>
      <w:r w:rsidR="00F9048D">
        <w:rPr>
          <w:rFonts w:asciiTheme="majorBidi" w:hAnsiTheme="majorBidi" w:cstheme="majorBidi"/>
          <w:bCs/>
        </w:rPr>
        <w:t xml:space="preserve">arī </w:t>
      </w:r>
      <w:r w:rsidR="003A4B72" w:rsidRPr="00807219">
        <w:rPr>
          <w:rFonts w:asciiTheme="majorBidi" w:hAnsiTheme="majorBidi" w:cstheme="majorBidi"/>
          <w:bCs/>
        </w:rPr>
        <w:t>Administratīvā procesa likuma 154.panta pirmās daļ</w:t>
      </w:r>
      <w:r w:rsidR="00F9048D">
        <w:rPr>
          <w:rFonts w:asciiTheme="majorBidi" w:hAnsiTheme="majorBidi" w:cstheme="majorBidi"/>
          <w:bCs/>
        </w:rPr>
        <w:t>as pārkāpumu</w:t>
      </w:r>
      <w:r w:rsidR="003A4B72" w:rsidRPr="00807219">
        <w:rPr>
          <w:rFonts w:asciiTheme="majorBidi" w:hAnsiTheme="majorBidi" w:cstheme="majorBidi"/>
          <w:bCs/>
        </w:rPr>
        <w:t>.</w:t>
      </w:r>
    </w:p>
    <w:bookmarkEnd w:id="10"/>
    <w:p w14:paraId="72614A29" w14:textId="4F2FE6A3" w:rsidR="003C0B25" w:rsidRPr="00807219" w:rsidRDefault="003C0B25" w:rsidP="001F783F">
      <w:pPr>
        <w:spacing w:line="276" w:lineRule="auto"/>
        <w:ind w:firstLine="720"/>
        <w:jc w:val="both"/>
      </w:pPr>
      <w:r w:rsidRPr="00807219">
        <w:t>[14.2]</w:t>
      </w:r>
      <w:r w:rsidR="00597355" w:rsidRPr="00807219">
        <w:t> </w:t>
      </w:r>
      <w:r w:rsidRPr="00807219">
        <w:t xml:space="preserve">Tiesa, novērtējot pieteicējas </w:t>
      </w:r>
      <w:r w:rsidR="00FD7A4F" w:rsidRPr="00807219">
        <w:t>atbildību</w:t>
      </w:r>
      <w:r w:rsidRPr="00807219">
        <w:t xml:space="preserve"> konkurences pārkāpuma izdarīšanā, nepareizi piemērojusi LESD 101.panta 1.punktu un Konkurences likuma 11.panta pirmo daļu. Tiesa kļūdaini uzskatījusi, ka ir konstatējami tādi apstākļi, kas liecina par </w:t>
      </w:r>
      <w:r w:rsidR="008961C1">
        <w:rPr>
          <w:rFonts w:asciiTheme="majorBidi" w:hAnsiTheme="majorBidi" w:cstheme="majorBidi"/>
          <w:bCs/>
        </w:rPr>
        <w:t xml:space="preserve">[pers. A] </w:t>
      </w:r>
      <w:r w:rsidRPr="00807219">
        <w:t xml:space="preserve">juridisku un faktisku saikni ar </w:t>
      </w:r>
      <w:r w:rsidRPr="00807219">
        <w:rPr>
          <w:i/>
          <w:iCs/>
        </w:rPr>
        <w:t>LEC</w:t>
      </w:r>
      <w:r w:rsidR="00597355" w:rsidRPr="00807219">
        <w:t xml:space="preserve">. Tiesa nav ņēmusi vērā, ka </w:t>
      </w:r>
      <w:r w:rsidR="008961C1">
        <w:rPr>
          <w:rFonts w:asciiTheme="majorBidi" w:hAnsiTheme="majorBidi" w:cstheme="majorBidi"/>
          <w:bCs/>
        </w:rPr>
        <w:t xml:space="preserve">[pers. A] </w:t>
      </w:r>
      <w:r w:rsidR="00597355" w:rsidRPr="00807219">
        <w:t xml:space="preserve">līdzdalības </w:t>
      </w:r>
      <w:r w:rsidR="004C28B1" w:rsidRPr="00807219">
        <w:t xml:space="preserve">apmērs </w:t>
      </w:r>
      <w:r w:rsidR="00597355" w:rsidRPr="00807219">
        <w:rPr>
          <w:i/>
          <w:iCs/>
        </w:rPr>
        <w:t>LEC</w:t>
      </w:r>
      <w:r w:rsidR="00597355" w:rsidRPr="00807219">
        <w:t xml:space="preserve"> neatbilst izšķirošās ietekmes faktiskās izmantošanas prezumpcijā ietvertaj</w:t>
      </w:r>
      <w:r w:rsidR="004C28B1">
        <w:t>a</w:t>
      </w:r>
      <w:r w:rsidR="00597355" w:rsidRPr="00807219">
        <w:t>m 100 % kapitāla daļu</w:t>
      </w:r>
      <w:r w:rsidR="004C28B1">
        <w:t xml:space="preserve"> slieksnim, kā arī</w:t>
      </w:r>
      <w:r w:rsidR="00597355" w:rsidRPr="00807219">
        <w:t xml:space="preserve"> neatbilst jēdzienam „tuvu 100 % kapitāl</w:t>
      </w:r>
      <w:r w:rsidR="004C28B1">
        <w:t xml:space="preserve">a </w:t>
      </w:r>
      <w:r w:rsidR="00597355" w:rsidRPr="00807219">
        <w:t xml:space="preserve">daļu”. Nav saprotams, kādu </w:t>
      </w:r>
      <w:r w:rsidR="00FD7A4F" w:rsidRPr="00807219">
        <w:t>tiesi</w:t>
      </w:r>
      <w:r w:rsidR="009502E9">
        <w:t>s</w:t>
      </w:r>
      <w:r w:rsidR="00FD7A4F" w:rsidRPr="00807219">
        <w:t>ku</w:t>
      </w:r>
      <w:r w:rsidR="00597355" w:rsidRPr="00807219">
        <w:t xml:space="preserve"> nozīmi tiesa ir piešķīrusi terminam „faktiska saikne”. Tiesa nepamatoti </w:t>
      </w:r>
      <w:r w:rsidR="004C28B1" w:rsidRPr="00807219">
        <w:t xml:space="preserve">ir </w:t>
      </w:r>
      <w:r w:rsidR="00597355" w:rsidRPr="00807219">
        <w:t xml:space="preserve">pieņēmusi, ka faktiskas izšķirošas ietekmes īstenošana ir prezumējama, konstatējot kontroles iespējas </w:t>
      </w:r>
      <w:r w:rsidR="00EE2E4C">
        <w:t>(</w:t>
      </w:r>
      <w:r w:rsidR="00597355" w:rsidRPr="00807219">
        <w:t>netieša daļu vairākuma</w:t>
      </w:r>
      <w:r w:rsidR="00EE2E4C">
        <w:t>)</w:t>
      </w:r>
      <w:r w:rsidR="00597355" w:rsidRPr="00807219">
        <w:t xml:space="preserve"> esību pār </w:t>
      </w:r>
      <w:r w:rsidR="00597355" w:rsidRPr="00807219">
        <w:rPr>
          <w:i/>
          <w:iCs/>
        </w:rPr>
        <w:t>LEC</w:t>
      </w:r>
      <w:r w:rsidR="00597355" w:rsidRPr="00807219">
        <w:t>.</w:t>
      </w:r>
    </w:p>
    <w:p w14:paraId="3272F05F" w14:textId="197BD88E" w:rsidR="00236B12" w:rsidRPr="00807219" w:rsidRDefault="00597355" w:rsidP="001F783F">
      <w:pPr>
        <w:spacing w:line="276" w:lineRule="auto"/>
        <w:ind w:firstLine="720"/>
        <w:jc w:val="both"/>
      </w:pPr>
      <w:r w:rsidRPr="00807219">
        <w:t>[14.3] </w:t>
      </w:r>
      <w:r w:rsidR="007E5824" w:rsidRPr="00807219">
        <w:t>Tiesa, apstiprinot</w:t>
      </w:r>
      <w:r w:rsidR="00FD7A4F" w:rsidRPr="00807219">
        <w:t xml:space="preserve"> pārsūdzētajā</w:t>
      </w:r>
      <w:r w:rsidR="007E5824" w:rsidRPr="00807219">
        <w:t xml:space="preserve"> </w:t>
      </w:r>
      <w:r w:rsidR="00FD7A4F" w:rsidRPr="00807219">
        <w:t>l</w:t>
      </w:r>
      <w:r w:rsidR="007E5824" w:rsidRPr="00807219">
        <w:t xml:space="preserve">ēmumā konstatēto pārkāpuma beigu datumu </w:t>
      </w:r>
      <w:r w:rsidR="00FD7A4F" w:rsidRPr="00807219">
        <w:t>attiecībā uz pieteicēju</w:t>
      </w:r>
      <w:r w:rsidR="007E5824" w:rsidRPr="00807219">
        <w:t>, ir nepareizi piemērojusi LESD</w:t>
      </w:r>
      <w:r w:rsidR="00242468" w:rsidRPr="00807219">
        <w:t xml:space="preserve"> </w:t>
      </w:r>
      <w:r w:rsidR="007E5824" w:rsidRPr="00807219">
        <w:t>101.panta 1.punktu</w:t>
      </w:r>
      <w:r w:rsidR="00B403B6">
        <w:t xml:space="preserve">, kā arī </w:t>
      </w:r>
      <w:r w:rsidR="007E5824" w:rsidRPr="00807219">
        <w:t>nav piemērojusi Administratīvā procesa likuma 251.panta piekto daļu</w:t>
      </w:r>
      <w:r w:rsidR="00B403B6">
        <w:t>. P</w:t>
      </w:r>
      <w:r w:rsidR="00885DA3" w:rsidRPr="00807219">
        <w:t xml:space="preserve">ārkāpuma beigu datums, kad noslēgts līgums Valmieras </w:t>
      </w:r>
      <w:r w:rsidR="007E483E" w:rsidRPr="00807219">
        <w:t>v</w:t>
      </w:r>
      <w:r w:rsidR="00885DA3" w:rsidRPr="00807219">
        <w:t>ieglatlētikas manēžas un stadiona izbūves iepirkumā</w:t>
      </w:r>
      <w:r w:rsidR="007E483E" w:rsidRPr="00807219">
        <w:t>, ir noteikts nepareizi</w:t>
      </w:r>
      <w:r w:rsidR="00885DA3" w:rsidRPr="00807219">
        <w:t>. Piete</w:t>
      </w:r>
      <w:r w:rsidR="001B4E20" w:rsidRPr="00807219">
        <w:t>icēja</w:t>
      </w:r>
      <w:r w:rsidR="001B4E20" w:rsidRPr="00807219">
        <w:rPr>
          <w:i/>
          <w:iCs/>
        </w:rPr>
        <w:t xml:space="preserve"> </w:t>
      </w:r>
      <w:r w:rsidR="001B4E20" w:rsidRPr="00807219">
        <w:t xml:space="preserve">šajā iepirkumā neuzvarēja, </w:t>
      </w:r>
      <w:r w:rsidR="007E483E" w:rsidRPr="00807219">
        <w:t>tādēļ</w:t>
      </w:r>
      <w:r w:rsidR="001B4E20" w:rsidRPr="00807219">
        <w:t xml:space="preserve"> kļūdaini ir piemērota Eiropas Savienības Tiesas </w:t>
      </w:r>
      <w:r w:rsidR="00865206">
        <w:t xml:space="preserve">2021.gada 14.janvāra </w:t>
      </w:r>
      <w:r w:rsidR="001B4E20" w:rsidRPr="00807219">
        <w:t>spriedum</w:t>
      </w:r>
      <w:r w:rsidR="00FD7A4F" w:rsidRPr="00807219">
        <w:t>a</w:t>
      </w:r>
      <w:r w:rsidR="001B4E20" w:rsidRPr="00807219">
        <w:t xml:space="preserve"> lietā </w:t>
      </w:r>
      <w:r w:rsidR="001B4E20" w:rsidRPr="000B5716">
        <w:t>C</w:t>
      </w:r>
      <w:r w:rsidR="001B4E20" w:rsidRPr="000B5716">
        <w:noBreakHyphen/>
        <w:t>450/19</w:t>
      </w:r>
      <w:r w:rsidR="001B4E20" w:rsidRPr="00807219">
        <w:t xml:space="preserve"> 41.punktā </w:t>
      </w:r>
      <w:r w:rsidR="007E483E" w:rsidRPr="00807219">
        <w:t>paustā</w:t>
      </w:r>
      <w:r w:rsidR="001B4E20" w:rsidRPr="00807219">
        <w:t xml:space="preserve"> atziņa. Nepamatoti ilgāk noteiktais pārkāpuma laiks tieši ietekmē noteikto naudas soda apmēru.</w:t>
      </w:r>
    </w:p>
    <w:p w14:paraId="2071BE55" w14:textId="77777777" w:rsidR="00FA00B3" w:rsidRPr="00807219" w:rsidRDefault="00FA00B3" w:rsidP="001F783F">
      <w:pPr>
        <w:spacing w:line="276" w:lineRule="auto"/>
        <w:ind w:firstLine="720"/>
        <w:jc w:val="both"/>
      </w:pPr>
    </w:p>
    <w:p w14:paraId="7414D73F" w14:textId="76B4CD37" w:rsidR="00236B12" w:rsidRPr="00B403B6" w:rsidRDefault="00236B12" w:rsidP="001F783F">
      <w:pPr>
        <w:spacing w:line="276" w:lineRule="auto"/>
        <w:ind w:firstLine="720"/>
        <w:jc w:val="both"/>
        <w:rPr>
          <w:rFonts w:asciiTheme="majorBidi" w:hAnsiTheme="majorBidi" w:cstheme="majorBidi"/>
          <w:lang w:eastAsia="lv-LV"/>
        </w:rPr>
      </w:pPr>
      <w:r w:rsidRPr="00B403B6">
        <w:rPr>
          <w:rFonts w:asciiTheme="majorBidi" w:hAnsiTheme="majorBidi" w:cstheme="majorBidi"/>
          <w:lang w:eastAsia="lv-LV"/>
        </w:rPr>
        <w:t>[1</w:t>
      </w:r>
      <w:r w:rsidR="00C81742" w:rsidRPr="00B403B6">
        <w:rPr>
          <w:rFonts w:asciiTheme="majorBidi" w:hAnsiTheme="majorBidi" w:cstheme="majorBidi"/>
          <w:lang w:eastAsia="lv-LV"/>
        </w:rPr>
        <w:t>5</w:t>
      </w:r>
      <w:r w:rsidRPr="00B403B6">
        <w:rPr>
          <w:rFonts w:asciiTheme="majorBidi" w:hAnsiTheme="majorBidi" w:cstheme="majorBidi"/>
          <w:lang w:eastAsia="lv-LV"/>
        </w:rPr>
        <w:t>]</w:t>
      </w:r>
      <w:r w:rsidR="00B74A20" w:rsidRPr="00B403B6">
        <w:rPr>
          <w:rFonts w:asciiTheme="majorBidi" w:hAnsiTheme="majorBidi" w:cstheme="majorBidi"/>
          <w:lang w:eastAsia="lv-LV"/>
        </w:rPr>
        <w:t> </w:t>
      </w:r>
      <w:r w:rsidR="00865206" w:rsidRPr="00B403B6">
        <w:rPr>
          <w:rFonts w:asciiTheme="majorBidi" w:hAnsiTheme="majorBidi" w:cstheme="majorBidi"/>
          <w:i/>
          <w:iCs/>
          <w:lang w:eastAsia="lv-LV"/>
        </w:rPr>
        <w:t>Merk</w:t>
      </w:r>
      <w:r w:rsidR="00865206">
        <w:rPr>
          <w:rFonts w:asciiTheme="majorBidi" w:hAnsiTheme="majorBidi" w:cstheme="majorBidi"/>
          <w:i/>
          <w:iCs/>
          <w:lang w:eastAsia="lv-LV"/>
        </w:rPr>
        <w:t>a</w:t>
      </w:r>
      <w:r w:rsidR="00865206" w:rsidRPr="00B403B6">
        <w:rPr>
          <w:rFonts w:asciiTheme="majorBidi" w:hAnsiTheme="majorBidi" w:cstheme="majorBidi"/>
          <w:i/>
          <w:iCs/>
          <w:lang w:eastAsia="lv-LV"/>
        </w:rPr>
        <w:t xml:space="preserve"> </w:t>
      </w:r>
      <w:r w:rsidR="00D12B13" w:rsidRPr="00B403B6">
        <w:rPr>
          <w:rFonts w:asciiTheme="majorBidi" w:hAnsiTheme="majorBidi" w:cstheme="majorBidi"/>
          <w:lang w:eastAsia="lv-LV"/>
        </w:rPr>
        <w:t>un</w:t>
      </w:r>
      <w:r w:rsidRPr="00B403B6">
        <w:rPr>
          <w:rFonts w:asciiTheme="majorBidi" w:hAnsiTheme="majorBidi" w:cstheme="majorBidi"/>
          <w:i/>
          <w:iCs/>
          <w:lang w:eastAsia="lv-LV"/>
        </w:rPr>
        <w:t xml:space="preserve"> Merko Ehitus</w:t>
      </w:r>
      <w:r w:rsidRPr="00B403B6">
        <w:rPr>
          <w:rFonts w:asciiTheme="majorBidi" w:hAnsiTheme="majorBidi" w:cstheme="majorBidi"/>
          <w:lang w:eastAsia="lv-LV"/>
        </w:rPr>
        <w:t xml:space="preserve"> </w:t>
      </w:r>
      <w:r w:rsidR="00D12B13" w:rsidRPr="00B403B6">
        <w:rPr>
          <w:rFonts w:asciiTheme="majorBidi" w:hAnsiTheme="majorBidi" w:cstheme="majorBidi"/>
        </w:rPr>
        <w:t>kasācijas sūdzība pamatota ar turpmāko</w:t>
      </w:r>
      <w:r w:rsidRPr="00B403B6">
        <w:rPr>
          <w:rFonts w:asciiTheme="majorBidi" w:hAnsiTheme="majorBidi" w:cstheme="majorBidi"/>
        </w:rPr>
        <w:t>.</w:t>
      </w:r>
    </w:p>
    <w:p w14:paraId="159EE2A4" w14:textId="77EB3BB5" w:rsidR="007D3933" w:rsidRPr="00807219" w:rsidRDefault="00236B12" w:rsidP="001F783F">
      <w:pPr>
        <w:spacing w:line="276" w:lineRule="auto"/>
        <w:ind w:firstLine="720"/>
        <w:jc w:val="both"/>
      </w:pPr>
      <w:bookmarkStart w:id="11" w:name="_Hlk212821993"/>
      <w:r w:rsidRPr="00B403B6">
        <w:rPr>
          <w:rFonts w:asciiTheme="majorBidi" w:hAnsiTheme="majorBidi" w:cstheme="majorBidi"/>
          <w:bCs/>
        </w:rPr>
        <w:t>[1</w:t>
      </w:r>
      <w:r w:rsidR="00C81742" w:rsidRPr="00B403B6">
        <w:rPr>
          <w:rFonts w:asciiTheme="majorBidi" w:hAnsiTheme="majorBidi" w:cstheme="majorBidi"/>
          <w:bCs/>
        </w:rPr>
        <w:t>5</w:t>
      </w:r>
      <w:r w:rsidRPr="00B403B6">
        <w:rPr>
          <w:rFonts w:asciiTheme="majorBidi" w:hAnsiTheme="majorBidi" w:cstheme="majorBidi"/>
          <w:bCs/>
        </w:rPr>
        <w:t>.1]</w:t>
      </w:r>
      <w:r w:rsidR="004229AC" w:rsidRPr="00B403B6">
        <w:rPr>
          <w:rFonts w:asciiTheme="majorBidi" w:hAnsiTheme="majorBidi" w:cstheme="majorBidi"/>
          <w:bCs/>
        </w:rPr>
        <w:t> </w:t>
      </w:r>
      <w:r w:rsidR="007D3933" w:rsidRPr="00B403B6">
        <w:t xml:space="preserve">Tiesa </w:t>
      </w:r>
      <w:r w:rsidR="00EA1B2C">
        <w:t>kļūdaini</w:t>
      </w:r>
      <w:r w:rsidR="007D3933" w:rsidRPr="00B403B6">
        <w:t xml:space="preserve"> neizslēdza no lietas materiāliem sarunu </w:t>
      </w:r>
      <w:r w:rsidR="00EA1B2C">
        <w:t>audio</w:t>
      </w:r>
      <w:r w:rsidR="007D3933" w:rsidRPr="00B403B6">
        <w:t>ierakstus un to atšifrējumus.</w:t>
      </w:r>
      <w:r w:rsidR="007D3933" w:rsidRPr="00807219">
        <w:t xml:space="preserve"> Operatīvās darbības ietvaros iegūto pierādījumu izmantošana šajā lietā nav pieļaujama saskaņā ar Administratīvā procesa likuma 60.panta otro daļu, kā arī Operatīvās darbības likuma 2. un 24.pantu. Ziņas, kas iegūtas operatīvās darbības ietvaros, nezaudē to īpašo statusu pēc pievienošanas krimināllietas materiāliem, jo Kriminālprocesa likuma 375.panta pirmā daļa neattiecas uz tādiem krimināllietas materiāliem, kuri ir iegūti no operatīvās darbības lietas materiāliem. Pat ja operatīvās darbības ietvaros iegūtie pierādījumi būtu pieļaujami, to izmantošanai bija jābūt ierobežotai. Drīzāk samērīgi būtu bijis, ja </w:t>
      </w:r>
      <w:r w:rsidR="001C09E4">
        <w:t>b</w:t>
      </w:r>
      <w:r w:rsidR="007D3933" w:rsidRPr="00807219">
        <w:t xml:space="preserve">irojs ziņotu </w:t>
      </w:r>
      <w:r w:rsidR="00CA6228">
        <w:t>Konkurences p</w:t>
      </w:r>
      <w:r w:rsidR="007D3933" w:rsidRPr="00807219">
        <w:t xml:space="preserve">adomei par konkrētu būvuzņēmēju pārstāvju tikšanās faktu, lai tālāk </w:t>
      </w:r>
      <w:r w:rsidR="00CA6228">
        <w:t>p</w:t>
      </w:r>
      <w:r w:rsidR="00CA6228" w:rsidRPr="00807219">
        <w:t xml:space="preserve">adome </w:t>
      </w:r>
      <w:r w:rsidR="007D3933" w:rsidRPr="00807219">
        <w:t>varētu pierādīt konkurences tiesību pārkāpumu, izmantojot tai likumā piešķirtās pilnvaras. Tiesa nepamatoti arī nav vērtējusi datu aizsardzības principu pārkāpumus, lai gan sarunu ierakstu izmantošana ir pretrunā Datu regulai un likumam „Par fizisko personu datu apstrādi kriminālprocesā un administratīvā pārkāpuma procesā”, kā arī pārkāpj Satversmes 96.pantu, Konvencijas 8.pantu un Starptautiskā pakta par pilsoniskajām un politiskajām tiesībām 17.pantu. Šādu datu izmantošana konkurences</w:t>
      </w:r>
      <w:r w:rsidR="00EA1B2C">
        <w:t xml:space="preserve"> tiesību</w:t>
      </w:r>
      <w:r w:rsidR="007D3933" w:rsidRPr="00807219">
        <w:t xml:space="preserve"> pārkāpuma pierādīšanai nav samērīga.</w:t>
      </w:r>
    </w:p>
    <w:bookmarkEnd w:id="11"/>
    <w:p w14:paraId="305A9B13" w14:textId="2A02A468" w:rsidR="005D545A" w:rsidRPr="00807219" w:rsidRDefault="005D545A" w:rsidP="001F783F">
      <w:pPr>
        <w:spacing w:line="276" w:lineRule="auto"/>
        <w:ind w:firstLine="720"/>
        <w:jc w:val="both"/>
      </w:pPr>
      <w:r w:rsidRPr="00807219">
        <w:t>[15.2]</w:t>
      </w:r>
      <w:r w:rsidR="00FA00B3" w:rsidRPr="00807219">
        <w:t> </w:t>
      </w:r>
      <w:r w:rsidRPr="00807219">
        <w:t>Tiesa nepamatoti noraidīja pieteicēju l</w:t>
      </w:r>
      <w:r w:rsidR="004229AC" w:rsidRPr="00807219">
        <w:t>ū</w:t>
      </w:r>
      <w:r w:rsidRPr="00807219">
        <w:t>gumu par ekspertīzes noteikšanu</w:t>
      </w:r>
      <w:r w:rsidR="004229AC" w:rsidRPr="00807219">
        <w:t xml:space="preserve"> </w:t>
      </w:r>
      <w:r w:rsidR="008961C1">
        <w:rPr>
          <w:rFonts w:asciiTheme="majorBidi" w:hAnsiTheme="majorBidi" w:cstheme="majorBidi"/>
          <w:bCs/>
        </w:rPr>
        <w:t xml:space="preserve">[pers. F] </w:t>
      </w:r>
      <w:r w:rsidR="004229AC" w:rsidRPr="00807219">
        <w:t>individuālajai runai. Tiesa nav ņēmusi vērā, ka kriminālprocesa ietvaros veiktās ekspertīzes ir notikušas bez līdzpieteicēju iespējām kriminālprocesā īstenot savas tiesības uz aizstāvību. Tiesai bija pienākums pārliecināties par strīdus pierādījumu autentiskumu un attiecināmību</w:t>
      </w:r>
      <w:r w:rsidR="007D3933" w:rsidRPr="00807219">
        <w:t xml:space="preserve">, savukārt tam ir </w:t>
      </w:r>
      <w:r w:rsidR="004229AC" w:rsidRPr="00807219">
        <w:t>vajadzīgas speciālās tehniskās zināšanas.</w:t>
      </w:r>
    </w:p>
    <w:p w14:paraId="6E886BC9" w14:textId="4862B5B3" w:rsidR="004229AC" w:rsidRPr="00807219" w:rsidRDefault="004229AC" w:rsidP="001F783F">
      <w:pPr>
        <w:spacing w:line="276" w:lineRule="auto"/>
        <w:ind w:firstLine="720"/>
        <w:jc w:val="both"/>
      </w:pPr>
      <w:r w:rsidRPr="00807219">
        <w:t>[15.3]</w:t>
      </w:r>
      <w:r w:rsidR="000D1B91" w:rsidRPr="00807219">
        <w:t xml:space="preserve"> Tiesa nepamatoti ir noraidījusi </w:t>
      </w:r>
      <w:r w:rsidR="008961C1">
        <w:rPr>
          <w:rFonts w:asciiTheme="majorBidi" w:hAnsiTheme="majorBidi" w:cstheme="majorBidi"/>
          <w:bCs/>
        </w:rPr>
        <w:t xml:space="preserve">[pers. F] </w:t>
      </w:r>
      <w:r w:rsidR="000D1B91" w:rsidRPr="00807219">
        <w:t>lūgumu par viņa pieaicināšanu lietā trešās personas statusā</w:t>
      </w:r>
      <w:r w:rsidR="00A838DE" w:rsidRPr="00807219">
        <w:t xml:space="preserve"> bez patstāvīgiem prasījumiem.</w:t>
      </w:r>
      <w:r w:rsidR="000D1B91" w:rsidRPr="00807219">
        <w:t xml:space="preserve"> </w:t>
      </w:r>
      <w:r w:rsidR="00A838DE" w:rsidRPr="00807219">
        <w:t xml:space="preserve">Atbilstoši Administratīvā procesa likuma regulējumam </w:t>
      </w:r>
      <w:r w:rsidR="009D18FB">
        <w:t>p</w:t>
      </w:r>
      <w:r w:rsidR="00A838DE" w:rsidRPr="00807219">
        <w:t>adomes pieļautais procesuālais pārkāpums pret</w:t>
      </w:r>
      <w:r w:rsidR="008961C1">
        <w:t xml:space="preserve"> </w:t>
      </w:r>
      <w:r w:rsidR="008961C1">
        <w:rPr>
          <w:rFonts w:asciiTheme="majorBidi" w:hAnsiTheme="majorBidi" w:cstheme="majorBidi"/>
          <w:bCs/>
        </w:rPr>
        <w:t>[pers. F]</w:t>
      </w:r>
      <w:r w:rsidR="00A838DE" w:rsidRPr="00807219">
        <w:t>, prettiesiski iegūstot un izmantojot sarunu atšifrējumus, ir izskatāms kopā ar prasījumu par pārsūdzētā lēmuma atcelšanu.</w:t>
      </w:r>
    </w:p>
    <w:p w14:paraId="52318E31" w14:textId="1FFB7714" w:rsidR="00A838DE" w:rsidRPr="00807219" w:rsidRDefault="00A838DE" w:rsidP="001F783F">
      <w:pPr>
        <w:spacing w:line="276" w:lineRule="auto"/>
        <w:ind w:firstLine="720"/>
        <w:jc w:val="both"/>
      </w:pPr>
      <w:r w:rsidRPr="00807219">
        <w:t xml:space="preserve">[15.4] Spriedums nav pamatots ar pierādījumiem par </w:t>
      </w:r>
      <w:r w:rsidR="008961C1">
        <w:rPr>
          <w:rFonts w:asciiTheme="majorBidi" w:hAnsiTheme="majorBidi" w:cstheme="majorBidi"/>
          <w:bCs/>
        </w:rPr>
        <w:t xml:space="preserve">[pers. F] </w:t>
      </w:r>
      <w:r w:rsidRPr="00807219">
        <w:t>dalību 2015.gada 27.augusta sarunās</w:t>
      </w:r>
      <w:r w:rsidR="005156FD" w:rsidRPr="00807219">
        <w:t xml:space="preserve">. Ne sarunu atšifrējumi, ne arī fiksētie un lietai pievienotie fotoattēli nepierāda </w:t>
      </w:r>
      <w:r w:rsidR="008961C1">
        <w:rPr>
          <w:rFonts w:asciiTheme="majorBidi" w:hAnsiTheme="majorBidi" w:cstheme="majorBidi"/>
          <w:bCs/>
        </w:rPr>
        <w:t xml:space="preserve">[pers. F] </w:t>
      </w:r>
      <w:r w:rsidR="005156FD" w:rsidRPr="00807219">
        <w:t xml:space="preserve">dalību šajā sarunās. Tiesa </w:t>
      </w:r>
      <w:r w:rsidR="00EA1B2C">
        <w:t>kļūdaini</w:t>
      </w:r>
      <w:r w:rsidR="005156FD" w:rsidRPr="00807219">
        <w:t xml:space="preserve"> </w:t>
      </w:r>
      <w:r w:rsidR="009D18FB">
        <w:t xml:space="preserve">ir </w:t>
      </w:r>
      <w:r w:rsidR="00EA1B2C">
        <w:t>novērtējusi</w:t>
      </w:r>
      <w:r w:rsidR="005156FD" w:rsidRPr="00807219">
        <w:t xml:space="preserve"> pierādījumu</w:t>
      </w:r>
      <w:r w:rsidR="00EA1B2C">
        <w:t>s.</w:t>
      </w:r>
    </w:p>
    <w:p w14:paraId="36BE765C" w14:textId="488E0097" w:rsidR="00D14994" w:rsidRPr="00807219" w:rsidRDefault="00A838DE" w:rsidP="001F783F">
      <w:pPr>
        <w:spacing w:line="276" w:lineRule="auto"/>
        <w:ind w:firstLine="720"/>
        <w:jc w:val="both"/>
        <w:rPr>
          <w:rFonts w:asciiTheme="majorBidi" w:hAnsiTheme="majorBidi" w:cstheme="majorBidi"/>
          <w:bCs/>
        </w:rPr>
      </w:pPr>
      <w:r w:rsidRPr="00807219">
        <w:rPr>
          <w:rFonts w:asciiTheme="majorBidi" w:hAnsiTheme="majorBidi" w:cstheme="majorBidi"/>
          <w:bCs/>
        </w:rPr>
        <w:t>[15.5]</w:t>
      </w:r>
      <w:r w:rsidR="0078784D" w:rsidRPr="00807219">
        <w:rPr>
          <w:rFonts w:asciiTheme="majorBidi" w:hAnsiTheme="majorBidi" w:cstheme="majorBidi"/>
          <w:bCs/>
        </w:rPr>
        <w:t> Tiesa nav pienācīgi izvērtējusi konkrētā ģeogrāfiskā tirgus parametrus, tādējādi pārkāpjot LESD 101.pantu un Konkurences likuma 11.pantu</w:t>
      </w:r>
      <w:r w:rsidR="00654937" w:rsidRPr="00807219">
        <w:rPr>
          <w:rFonts w:asciiTheme="majorBidi" w:hAnsiTheme="majorBidi" w:cstheme="majorBidi"/>
          <w:bCs/>
        </w:rPr>
        <w:t xml:space="preserve">. Tiesa </w:t>
      </w:r>
      <w:r w:rsidR="0078784D" w:rsidRPr="00807219">
        <w:rPr>
          <w:rFonts w:asciiTheme="majorBidi" w:hAnsiTheme="majorBidi" w:cstheme="majorBidi"/>
          <w:bCs/>
        </w:rPr>
        <w:t xml:space="preserve">kļūdaini </w:t>
      </w:r>
      <w:r w:rsidR="00654937" w:rsidRPr="00807219">
        <w:rPr>
          <w:rFonts w:asciiTheme="majorBidi" w:hAnsiTheme="majorBidi" w:cstheme="majorBidi"/>
          <w:bCs/>
        </w:rPr>
        <w:t xml:space="preserve">ir noteikusi </w:t>
      </w:r>
      <w:r w:rsidR="0078784D" w:rsidRPr="00807219">
        <w:rPr>
          <w:rFonts w:asciiTheme="majorBidi" w:hAnsiTheme="majorBidi" w:cstheme="majorBidi"/>
          <w:bCs/>
        </w:rPr>
        <w:t>konkrēto tirgu.</w:t>
      </w:r>
    </w:p>
    <w:p w14:paraId="3EB119D5" w14:textId="51A7FB36" w:rsidR="00A838DE" w:rsidRPr="00807219" w:rsidRDefault="00A838DE" w:rsidP="001F783F">
      <w:pPr>
        <w:spacing w:line="276" w:lineRule="auto"/>
        <w:ind w:firstLine="720"/>
        <w:jc w:val="both"/>
        <w:rPr>
          <w:rFonts w:asciiTheme="majorBidi" w:hAnsiTheme="majorBidi" w:cstheme="majorBidi"/>
          <w:bCs/>
        </w:rPr>
      </w:pPr>
      <w:r w:rsidRPr="00807219">
        <w:rPr>
          <w:rFonts w:asciiTheme="majorBidi" w:hAnsiTheme="majorBidi" w:cstheme="majorBidi"/>
          <w:bCs/>
        </w:rPr>
        <w:t>[15.6]</w:t>
      </w:r>
      <w:r w:rsidR="00982596" w:rsidRPr="00807219">
        <w:rPr>
          <w:rFonts w:asciiTheme="majorBidi" w:hAnsiTheme="majorBidi" w:cstheme="majorBidi"/>
          <w:bCs/>
        </w:rPr>
        <w:t> </w:t>
      </w:r>
      <w:r w:rsidR="0094650F" w:rsidRPr="00807219">
        <w:rPr>
          <w:rFonts w:asciiTheme="majorBidi" w:hAnsiTheme="majorBidi" w:cstheme="majorBidi"/>
          <w:bCs/>
        </w:rPr>
        <w:t xml:space="preserve">Tiesa kļūdaini atzinusi, ka </w:t>
      </w:r>
      <w:r w:rsidR="0094650F" w:rsidRPr="00807219">
        <w:rPr>
          <w:rFonts w:asciiTheme="majorBidi" w:hAnsiTheme="majorBidi" w:cstheme="majorBidi"/>
          <w:bCs/>
          <w:i/>
          <w:iCs/>
        </w:rPr>
        <w:t>Merks</w:t>
      </w:r>
      <w:r w:rsidR="0094650F" w:rsidRPr="00807219">
        <w:rPr>
          <w:rFonts w:asciiTheme="majorBidi" w:hAnsiTheme="majorBidi" w:cstheme="majorBidi"/>
          <w:bCs/>
        </w:rPr>
        <w:t xml:space="preserve"> ir piedalījies vienotā un turpinātā pārkāpumā. Tiesa nav ņēmusi vērā, ka iesniegtie pierādījumi</w:t>
      </w:r>
      <w:r w:rsidR="00EA1B2C">
        <w:rPr>
          <w:rFonts w:asciiTheme="majorBidi" w:hAnsiTheme="majorBidi" w:cstheme="majorBidi"/>
          <w:bCs/>
        </w:rPr>
        <w:t xml:space="preserve"> drīzāk</w:t>
      </w:r>
      <w:r w:rsidR="0094650F" w:rsidRPr="00807219">
        <w:rPr>
          <w:rFonts w:asciiTheme="majorBidi" w:hAnsiTheme="majorBidi" w:cstheme="majorBidi"/>
          <w:bCs/>
        </w:rPr>
        <w:t xml:space="preserve"> apliecina vienotu un atkārtotu pārkāpumu, nevis vienotu un turpinātu pārkāpumu. </w:t>
      </w:r>
      <w:r w:rsidR="00A22339" w:rsidRPr="00807219">
        <w:rPr>
          <w:rFonts w:asciiTheme="majorBidi" w:hAnsiTheme="majorBidi" w:cstheme="majorBidi"/>
          <w:bCs/>
        </w:rPr>
        <w:t>Turklāt pārkāpuma perioda ietvaros bija ievērojams skaits gadījumu</w:t>
      </w:r>
      <w:r w:rsidR="00654937" w:rsidRPr="00807219">
        <w:rPr>
          <w:rFonts w:asciiTheme="majorBidi" w:hAnsiTheme="majorBidi" w:cstheme="majorBidi"/>
          <w:bCs/>
        </w:rPr>
        <w:t xml:space="preserve"> (</w:t>
      </w:r>
      <w:r w:rsidR="00A22339" w:rsidRPr="00807219">
        <w:rPr>
          <w:rFonts w:asciiTheme="majorBidi" w:hAnsiTheme="majorBidi" w:cstheme="majorBidi"/>
          <w:bCs/>
        </w:rPr>
        <w:t>iepirkumu</w:t>
      </w:r>
      <w:r w:rsidR="00654937" w:rsidRPr="00807219">
        <w:rPr>
          <w:rFonts w:asciiTheme="majorBidi" w:hAnsiTheme="majorBidi" w:cstheme="majorBidi"/>
          <w:bCs/>
        </w:rPr>
        <w:t>)</w:t>
      </w:r>
      <w:r w:rsidR="00A22339" w:rsidRPr="00807219">
        <w:rPr>
          <w:rFonts w:asciiTheme="majorBidi" w:hAnsiTheme="majorBidi" w:cstheme="majorBidi"/>
          <w:bCs/>
        </w:rPr>
        <w:t xml:space="preserve">, kad </w:t>
      </w:r>
      <w:r w:rsidR="00A22339" w:rsidRPr="00807219">
        <w:rPr>
          <w:rFonts w:asciiTheme="majorBidi" w:hAnsiTheme="majorBidi" w:cstheme="majorBidi"/>
          <w:bCs/>
          <w:i/>
          <w:iCs/>
        </w:rPr>
        <w:t>Merks</w:t>
      </w:r>
      <w:r w:rsidR="00A22339" w:rsidRPr="00807219">
        <w:rPr>
          <w:rFonts w:asciiTheme="majorBidi" w:hAnsiTheme="majorBidi" w:cstheme="majorBidi"/>
          <w:bCs/>
        </w:rPr>
        <w:t xml:space="preserve"> darbojās normālos konkurences apstākļos. Tas apliecina, ka </w:t>
      </w:r>
      <w:r w:rsidR="00A22339" w:rsidRPr="00807219">
        <w:rPr>
          <w:rFonts w:asciiTheme="majorBidi" w:hAnsiTheme="majorBidi" w:cstheme="majorBidi"/>
          <w:bCs/>
          <w:i/>
          <w:iCs/>
        </w:rPr>
        <w:t>Merks</w:t>
      </w:r>
      <w:r w:rsidR="00A22339" w:rsidRPr="00807219">
        <w:rPr>
          <w:rFonts w:asciiTheme="majorBidi" w:hAnsiTheme="majorBidi" w:cstheme="majorBidi"/>
          <w:bCs/>
        </w:rPr>
        <w:t xml:space="preserve"> nevar tikt uzskatīts par vienota un turpināta pārkāpuma dalībnieku.</w:t>
      </w:r>
    </w:p>
    <w:p w14:paraId="04E08404" w14:textId="07336BA0" w:rsidR="00A838DE" w:rsidRPr="00807219" w:rsidRDefault="00A838DE" w:rsidP="001F783F">
      <w:pPr>
        <w:spacing w:line="276" w:lineRule="auto"/>
        <w:ind w:firstLine="720"/>
        <w:jc w:val="both"/>
        <w:rPr>
          <w:rFonts w:asciiTheme="majorBidi" w:hAnsiTheme="majorBidi" w:cstheme="majorBidi"/>
          <w:bCs/>
        </w:rPr>
      </w:pPr>
      <w:r w:rsidRPr="00807219">
        <w:rPr>
          <w:rFonts w:asciiTheme="majorBidi" w:hAnsiTheme="majorBidi" w:cstheme="majorBidi"/>
          <w:bCs/>
        </w:rPr>
        <w:t>[15.7]</w:t>
      </w:r>
      <w:r w:rsidR="00FA00B3" w:rsidRPr="00807219">
        <w:rPr>
          <w:rFonts w:asciiTheme="majorBidi" w:hAnsiTheme="majorBidi" w:cstheme="majorBidi"/>
          <w:bCs/>
        </w:rPr>
        <w:t> </w:t>
      </w:r>
      <w:r w:rsidR="00F445DA" w:rsidRPr="00807219">
        <w:rPr>
          <w:rFonts w:asciiTheme="majorBidi" w:hAnsiTheme="majorBidi" w:cstheme="majorBidi"/>
          <w:bCs/>
        </w:rPr>
        <w:t xml:space="preserve">Tiesa kļūdaini noteica pārkāpuma beigu datumu attiecībā uz </w:t>
      </w:r>
      <w:r w:rsidR="00E321AE" w:rsidRPr="00807219">
        <w:rPr>
          <w:rFonts w:asciiTheme="majorBidi" w:hAnsiTheme="majorBidi" w:cstheme="majorBidi"/>
          <w:bCs/>
          <w:i/>
          <w:iCs/>
        </w:rPr>
        <w:t>Merk</w:t>
      </w:r>
      <w:r w:rsidR="00E321AE">
        <w:rPr>
          <w:rFonts w:asciiTheme="majorBidi" w:hAnsiTheme="majorBidi" w:cstheme="majorBidi"/>
          <w:bCs/>
          <w:i/>
          <w:iCs/>
        </w:rPr>
        <w:t>u</w:t>
      </w:r>
      <w:r w:rsidR="00E321AE" w:rsidRPr="00807219">
        <w:rPr>
          <w:rFonts w:asciiTheme="majorBidi" w:hAnsiTheme="majorBidi" w:cstheme="majorBidi"/>
          <w:bCs/>
        </w:rPr>
        <w:t xml:space="preserve"> </w:t>
      </w:r>
      <w:r w:rsidR="00654937" w:rsidRPr="00807219">
        <w:rPr>
          <w:rFonts w:asciiTheme="majorBidi" w:hAnsiTheme="majorBidi" w:cstheme="majorBidi"/>
          <w:bCs/>
        </w:rPr>
        <w:t xml:space="preserve">– </w:t>
      </w:r>
      <w:r w:rsidR="00F445DA" w:rsidRPr="00807219">
        <w:rPr>
          <w:rFonts w:asciiTheme="majorBidi" w:hAnsiTheme="majorBidi" w:cstheme="majorBidi"/>
          <w:bCs/>
        </w:rPr>
        <w:t>2019.gada 3.septembri, kad</w:t>
      </w:r>
      <w:r w:rsidR="001D099B">
        <w:rPr>
          <w:rFonts w:asciiTheme="majorBidi" w:hAnsiTheme="majorBidi" w:cstheme="majorBidi"/>
          <w:bCs/>
        </w:rPr>
        <w:t xml:space="preserve"> Konkurences</w:t>
      </w:r>
      <w:r w:rsidR="00F445DA" w:rsidRPr="00807219">
        <w:rPr>
          <w:rFonts w:asciiTheme="majorBidi" w:hAnsiTheme="majorBidi" w:cstheme="majorBidi"/>
          <w:bCs/>
        </w:rPr>
        <w:t xml:space="preserve"> </w:t>
      </w:r>
      <w:r w:rsidR="001D099B">
        <w:rPr>
          <w:rFonts w:asciiTheme="majorBidi" w:hAnsiTheme="majorBidi" w:cstheme="majorBidi"/>
          <w:bCs/>
        </w:rPr>
        <w:t>p</w:t>
      </w:r>
      <w:r w:rsidR="00F445DA" w:rsidRPr="00807219">
        <w:rPr>
          <w:rFonts w:asciiTheme="majorBidi" w:hAnsiTheme="majorBidi" w:cstheme="majorBidi"/>
          <w:bCs/>
        </w:rPr>
        <w:t xml:space="preserve">adome veica procesuālās darbības </w:t>
      </w:r>
      <w:r w:rsidR="00654937" w:rsidRPr="00807219">
        <w:rPr>
          <w:rFonts w:asciiTheme="majorBidi" w:hAnsiTheme="majorBidi" w:cstheme="majorBidi"/>
          <w:bCs/>
        </w:rPr>
        <w:t>pie</w:t>
      </w:r>
      <w:r w:rsidR="00F445DA" w:rsidRPr="00807219">
        <w:rPr>
          <w:rFonts w:asciiTheme="majorBidi" w:hAnsiTheme="majorBidi" w:cstheme="majorBidi"/>
          <w:bCs/>
        </w:rPr>
        <w:t xml:space="preserve"> lietas dalībniekiem. </w:t>
      </w:r>
      <w:r w:rsidR="005F2E57" w:rsidRPr="00807219">
        <w:rPr>
          <w:rFonts w:asciiTheme="majorBidi" w:hAnsiTheme="majorBidi" w:cstheme="majorBidi"/>
          <w:bCs/>
        </w:rPr>
        <w:t xml:space="preserve">Savukārt </w:t>
      </w:r>
      <w:r w:rsidR="009D18FB" w:rsidRPr="00807219">
        <w:rPr>
          <w:rFonts w:asciiTheme="majorBidi" w:hAnsiTheme="majorBidi" w:cstheme="majorBidi"/>
          <w:bCs/>
        </w:rPr>
        <w:t xml:space="preserve">pārkāpuma beigu datums </w:t>
      </w:r>
      <w:r w:rsidR="005F2E57" w:rsidRPr="00807219">
        <w:rPr>
          <w:rFonts w:asciiTheme="majorBidi" w:hAnsiTheme="majorBidi" w:cstheme="majorBidi"/>
          <w:bCs/>
        </w:rPr>
        <w:t xml:space="preserve">attiecībā uz </w:t>
      </w:r>
      <w:r w:rsidR="005F2E57" w:rsidRPr="00807219">
        <w:rPr>
          <w:rFonts w:asciiTheme="majorBidi" w:hAnsiTheme="majorBidi" w:cstheme="majorBidi"/>
          <w:bCs/>
          <w:i/>
          <w:iCs/>
        </w:rPr>
        <w:t>LEC</w:t>
      </w:r>
      <w:r w:rsidR="005F2E57" w:rsidRPr="00807219">
        <w:rPr>
          <w:rFonts w:asciiTheme="majorBidi" w:hAnsiTheme="majorBidi" w:cstheme="majorBidi"/>
          <w:bCs/>
        </w:rPr>
        <w:t xml:space="preserve"> ir noteikts 2018.gada 2.februāris, kad tika noslēgts iepirkuma līgums. Padome nav pamatojusi, kāpēc pie vienādiem faktiskiem un tiesiskiem apstākļiem ir pieņemti atšķirīgi lēmumi. </w:t>
      </w:r>
      <w:r w:rsidR="00654937" w:rsidRPr="00807219">
        <w:rPr>
          <w:rFonts w:asciiTheme="majorBidi" w:hAnsiTheme="majorBidi" w:cstheme="majorBidi"/>
          <w:bCs/>
        </w:rPr>
        <w:t>S</w:t>
      </w:r>
      <w:r w:rsidR="005F2E57" w:rsidRPr="00807219">
        <w:rPr>
          <w:rFonts w:asciiTheme="majorBidi" w:hAnsiTheme="majorBidi" w:cstheme="majorBidi"/>
          <w:bCs/>
        </w:rPr>
        <w:t>priedums ir pretrunā vienlīdzības principam.</w:t>
      </w:r>
    </w:p>
    <w:p w14:paraId="7AFDC253" w14:textId="40A0F6FE" w:rsidR="00236B12" w:rsidRPr="00807219" w:rsidRDefault="00236B12" w:rsidP="001F783F">
      <w:pPr>
        <w:spacing w:line="276" w:lineRule="auto"/>
        <w:ind w:firstLine="720"/>
        <w:jc w:val="both"/>
        <w:rPr>
          <w:rFonts w:asciiTheme="majorBidi" w:hAnsiTheme="majorBidi" w:cstheme="majorBidi"/>
          <w:bCs/>
        </w:rPr>
      </w:pPr>
    </w:p>
    <w:p w14:paraId="1CC0DD27" w14:textId="38C4954D" w:rsidR="00236B12" w:rsidRPr="00807219" w:rsidRDefault="00236B12" w:rsidP="001F783F">
      <w:pPr>
        <w:spacing w:line="276" w:lineRule="auto"/>
        <w:ind w:firstLine="720"/>
        <w:jc w:val="both"/>
        <w:rPr>
          <w:rFonts w:asciiTheme="majorBidi" w:hAnsiTheme="majorBidi" w:cstheme="majorBidi"/>
          <w:lang w:eastAsia="lv-LV"/>
        </w:rPr>
      </w:pPr>
      <w:r w:rsidRPr="00807219">
        <w:rPr>
          <w:rFonts w:asciiTheme="majorBidi" w:hAnsiTheme="majorBidi" w:cstheme="majorBidi"/>
          <w:lang w:eastAsia="lv-LV"/>
        </w:rPr>
        <w:t>[1</w:t>
      </w:r>
      <w:r w:rsidR="00C81742" w:rsidRPr="00807219">
        <w:rPr>
          <w:rFonts w:asciiTheme="majorBidi" w:hAnsiTheme="majorBidi" w:cstheme="majorBidi"/>
          <w:lang w:eastAsia="lv-LV"/>
        </w:rPr>
        <w:t>6</w:t>
      </w:r>
      <w:r w:rsidRPr="00807219">
        <w:rPr>
          <w:rFonts w:asciiTheme="majorBidi" w:hAnsiTheme="majorBidi" w:cstheme="majorBidi"/>
          <w:lang w:eastAsia="lv-LV"/>
        </w:rPr>
        <w:t>]</w:t>
      </w:r>
      <w:r w:rsidR="000F7A90" w:rsidRPr="00807219">
        <w:rPr>
          <w:rFonts w:asciiTheme="majorBidi" w:hAnsiTheme="majorBidi" w:cstheme="majorBidi"/>
          <w:lang w:eastAsia="lv-LV"/>
        </w:rPr>
        <w:t> </w:t>
      </w:r>
      <w:r w:rsidRPr="00807219">
        <w:rPr>
          <w:rFonts w:asciiTheme="majorBidi" w:hAnsiTheme="majorBidi" w:cstheme="majorBidi"/>
          <w:i/>
          <w:iCs/>
          <w:lang w:eastAsia="lv-LV"/>
        </w:rPr>
        <w:t>Abora</w:t>
      </w:r>
      <w:r w:rsidR="00CA6228">
        <w:rPr>
          <w:rFonts w:asciiTheme="majorBidi" w:hAnsiTheme="majorBidi" w:cstheme="majorBidi"/>
          <w:i/>
          <w:iCs/>
          <w:lang w:eastAsia="lv-LV"/>
        </w:rPr>
        <w:t>s</w:t>
      </w:r>
      <w:r w:rsidRPr="00807219">
        <w:rPr>
          <w:rFonts w:asciiTheme="majorBidi" w:hAnsiTheme="majorBidi" w:cstheme="majorBidi"/>
          <w:i/>
          <w:iCs/>
          <w:lang w:eastAsia="lv-LV"/>
        </w:rPr>
        <w:t xml:space="preserve"> </w:t>
      </w:r>
      <w:r w:rsidR="00D12B13" w:rsidRPr="00807219">
        <w:rPr>
          <w:rFonts w:asciiTheme="majorBidi" w:hAnsiTheme="majorBidi" w:cstheme="majorBidi"/>
          <w:lang w:eastAsia="lv-LV"/>
        </w:rPr>
        <w:t>un</w:t>
      </w:r>
      <w:r w:rsidRPr="00807219">
        <w:rPr>
          <w:rFonts w:asciiTheme="majorBidi" w:hAnsiTheme="majorBidi" w:cstheme="majorBidi"/>
          <w:i/>
          <w:iCs/>
          <w:lang w:eastAsia="lv-LV"/>
        </w:rPr>
        <w:t xml:space="preserve"> </w:t>
      </w:r>
      <w:r w:rsidR="00CA6228" w:rsidRPr="00807219">
        <w:rPr>
          <w:rFonts w:asciiTheme="majorBidi" w:hAnsiTheme="majorBidi" w:cstheme="majorBidi"/>
          <w:i/>
          <w:iCs/>
          <w:lang w:eastAsia="lv-LV"/>
        </w:rPr>
        <w:t>Tehnocentr</w:t>
      </w:r>
      <w:r w:rsidR="00CA6228">
        <w:rPr>
          <w:rFonts w:asciiTheme="majorBidi" w:hAnsiTheme="majorBidi" w:cstheme="majorBidi"/>
          <w:i/>
          <w:iCs/>
          <w:lang w:eastAsia="lv-LV"/>
        </w:rPr>
        <w:t>a</w:t>
      </w:r>
      <w:r w:rsidR="00CA6228" w:rsidRPr="00807219">
        <w:rPr>
          <w:rFonts w:asciiTheme="majorBidi" w:hAnsiTheme="majorBidi" w:cstheme="majorBidi"/>
          <w:lang w:eastAsia="lv-LV"/>
        </w:rPr>
        <w:t xml:space="preserve"> </w:t>
      </w:r>
      <w:r w:rsidR="00D12B13" w:rsidRPr="00807219">
        <w:rPr>
          <w:rFonts w:asciiTheme="majorBidi" w:hAnsiTheme="majorBidi" w:cstheme="majorBidi"/>
        </w:rPr>
        <w:t>kasācijas sūdzība pamatota ar turpmāko</w:t>
      </w:r>
      <w:r w:rsidRPr="00807219">
        <w:rPr>
          <w:rFonts w:asciiTheme="majorBidi" w:hAnsiTheme="majorBidi" w:cstheme="majorBidi"/>
        </w:rPr>
        <w:t>.</w:t>
      </w:r>
    </w:p>
    <w:p w14:paraId="673F8F51" w14:textId="7C71F365" w:rsidR="00C80448" w:rsidRPr="00807219" w:rsidRDefault="00236B12" w:rsidP="001F783F">
      <w:pPr>
        <w:spacing w:line="276" w:lineRule="auto"/>
        <w:ind w:firstLine="720"/>
        <w:jc w:val="both"/>
        <w:rPr>
          <w:rFonts w:asciiTheme="majorBidi" w:hAnsiTheme="majorBidi" w:cstheme="majorBidi"/>
          <w:bCs/>
        </w:rPr>
      </w:pPr>
      <w:bookmarkStart w:id="12" w:name="_Hlk212822029"/>
      <w:r w:rsidRPr="00807219">
        <w:rPr>
          <w:rFonts w:asciiTheme="majorBidi" w:hAnsiTheme="majorBidi" w:cstheme="majorBidi"/>
          <w:bCs/>
        </w:rPr>
        <w:t>[1</w:t>
      </w:r>
      <w:r w:rsidR="00C81742" w:rsidRPr="00807219">
        <w:rPr>
          <w:rFonts w:asciiTheme="majorBidi" w:hAnsiTheme="majorBidi" w:cstheme="majorBidi"/>
          <w:bCs/>
        </w:rPr>
        <w:t>6</w:t>
      </w:r>
      <w:r w:rsidRPr="00807219">
        <w:rPr>
          <w:rFonts w:asciiTheme="majorBidi" w:hAnsiTheme="majorBidi" w:cstheme="majorBidi"/>
          <w:bCs/>
        </w:rPr>
        <w:t>.1]</w:t>
      </w:r>
      <w:r w:rsidR="006D3C8A" w:rsidRPr="00807219">
        <w:rPr>
          <w:rFonts w:asciiTheme="majorBidi" w:hAnsiTheme="majorBidi" w:cstheme="majorBidi"/>
          <w:bCs/>
        </w:rPr>
        <w:t> </w:t>
      </w:r>
      <w:r w:rsidR="00813811" w:rsidRPr="00813811">
        <w:rPr>
          <w:rFonts w:asciiTheme="majorBidi" w:hAnsiTheme="majorBidi" w:cstheme="majorBidi"/>
          <w:bCs/>
        </w:rPr>
        <w:t>Tiesa</w:t>
      </w:r>
      <w:r w:rsidR="00EA1B2C">
        <w:rPr>
          <w:rFonts w:asciiTheme="majorBidi" w:hAnsiTheme="majorBidi" w:cstheme="majorBidi"/>
          <w:bCs/>
        </w:rPr>
        <w:t xml:space="preserve"> </w:t>
      </w:r>
      <w:r w:rsidR="00813811" w:rsidRPr="00813811">
        <w:rPr>
          <w:rFonts w:asciiTheme="majorBidi" w:hAnsiTheme="majorBidi" w:cstheme="majorBidi"/>
          <w:bCs/>
        </w:rPr>
        <w:t xml:space="preserve">pretēji Operatīvās darbības likuma 2.panta otrajai daļai un 24.panta piektajai daļai konstatēja, ka operatīvās sarunu noklausīšanās laikā iegūtā informācija ir pieļaujams pierādījums Konkurences likuma 11.pantā un LESD 101.pantā paredzēto pārkāpumu izmeklēšanā administratīvajā procesā. Tiesa nav ņēmusi vērā, ka Operatīvās darbības likuma normas </w:t>
      </w:r>
      <w:r w:rsidR="00813811" w:rsidRPr="00807219">
        <w:rPr>
          <w:rFonts w:asciiTheme="majorBidi" w:hAnsiTheme="majorBidi" w:cstheme="majorBidi"/>
          <w:bCs/>
        </w:rPr>
        <w:t xml:space="preserve">sistēmiski paredz tiešu aizliegumu </w:t>
      </w:r>
      <w:r w:rsidR="00813811" w:rsidRPr="00813811">
        <w:rPr>
          <w:rFonts w:asciiTheme="majorBidi" w:hAnsiTheme="majorBidi" w:cstheme="majorBidi"/>
          <w:bCs/>
        </w:rPr>
        <w:t xml:space="preserve">izmantot operatīvās darbības gaitā iegūto informāciju konkurences tiesību pārkāpumu izmeklēšanai un pierādīšanai. „Nepieciešamība” to izmantot </w:t>
      </w:r>
      <w:r w:rsidR="00813811" w:rsidRPr="00807219">
        <w:rPr>
          <w:rFonts w:asciiTheme="majorBidi" w:hAnsiTheme="majorBidi" w:cstheme="majorBidi"/>
          <w:bCs/>
        </w:rPr>
        <w:t xml:space="preserve">šādu pārkāpuma izmeklēšanai neļauj izdarīt izņēmumu </w:t>
      </w:r>
      <w:r w:rsidR="00813811" w:rsidRPr="00813811">
        <w:rPr>
          <w:rFonts w:asciiTheme="majorBidi" w:hAnsiTheme="majorBidi" w:cstheme="majorBidi"/>
          <w:bCs/>
        </w:rPr>
        <w:t xml:space="preserve">no imperatīvā regulējuma. Tiesa ir rīkojusies </w:t>
      </w:r>
      <w:r w:rsidR="00813811" w:rsidRPr="00813811">
        <w:rPr>
          <w:rFonts w:asciiTheme="majorBidi" w:hAnsiTheme="majorBidi" w:cstheme="majorBidi"/>
          <w:bCs/>
          <w:i/>
          <w:iCs/>
        </w:rPr>
        <w:t>ultra vires</w:t>
      </w:r>
      <w:r w:rsidR="00813811" w:rsidRPr="00813811">
        <w:rPr>
          <w:rFonts w:asciiTheme="majorBidi" w:hAnsiTheme="majorBidi" w:cstheme="majorBidi"/>
          <w:bCs/>
        </w:rPr>
        <w:t xml:space="preserve">, </w:t>
      </w:r>
      <w:r w:rsidR="009D18FB">
        <w:rPr>
          <w:rFonts w:asciiTheme="majorBidi" w:hAnsiTheme="majorBidi" w:cstheme="majorBidi"/>
          <w:bCs/>
        </w:rPr>
        <w:t xml:space="preserve">jo </w:t>
      </w:r>
      <w:r w:rsidR="009D18FB" w:rsidRPr="00813811">
        <w:rPr>
          <w:rFonts w:asciiTheme="majorBidi" w:hAnsiTheme="majorBidi" w:cstheme="majorBidi"/>
          <w:bCs/>
        </w:rPr>
        <w:t xml:space="preserve">tiesību tālākveidošanas ceļā </w:t>
      </w:r>
      <w:r w:rsidR="00813811" w:rsidRPr="00813811">
        <w:rPr>
          <w:rFonts w:asciiTheme="majorBidi" w:hAnsiTheme="majorBidi" w:cstheme="majorBidi"/>
          <w:bCs/>
        </w:rPr>
        <w:t>nepamatoti paplašin</w:t>
      </w:r>
      <w:r w:rsidR="009D18FB">
        <w:rPr>
          <w:rFonts w:asciiTheme="majorBidi" w:hAnsiTheme="majorBidi" w:cstheme="majorBidi"/>
          <w:bCs/>
        </w:rPr>
        <w:t xml:space="preserve">ājusi </w:t>
      </w:r>
      <w:r w:rsidR="00813811" w:rsidRPr="00813811">
        <w:rPr>
          <w:rFonts w:asciiTheme="majorBidi" w:hAnsiTheme="majorBidi" w:cstheme="majorBidi"/>
          <w:bCs/>
        </w:rPr>
        <w:t>Operatīvās darbības likuma 1. un 2.pantā ietverto regulējumu.</w:t>
      </w:r>
    </w:p>
    <w:bookmarkEnd w:id="12"/>
    <w:p w14:paraId="5D6D0B83" w14:textId="6959B934" w:rsidR="00B73517" w:rsidRPr="00807219" w:rsidRDefault="00B73517" w:rsidP="001F783F">
      <w:pPr>
        <w:spacing w:line="276" w:lineRule="auto"/>
        <w:ind w:firstLine="720"/>
        <w:jc w:val="both"/>
      </w:pPr>
      <w:r w:rsidRPr="00807219">
        <w:t>[16.2]</w:t>
      </w:r>
      <w:r w:rsidR="00575277" w:rsidRPr="00807219">
        <w:t> Tiesa nav nodrošinājusi Administratīvā procesa likuma 145.pantā garantēt</w:t>
      </w:r>
      <w:r w:rsidR="001D099B">
        <w:t>ā</w:t>
      </w:r>
      <w:r w:rsidR="00575277" w:rsidRPr="00807219">
        <w:t xml:space="preserve">s tiesības piedalīties pierādījumu – audioierakstu oriģinālu – pārbaudīšanā. </w:t>
      </w:r>
      <w:r w:rsidR="00813811" w:rsidRPr="00807219">
        <w:t>Pieteicēj</w:t>
      </w:r>
      <w:r w:rsidR="00C80448" w:rsidRPr="00807219">
        <w:t>as</w:t>
      </w:r>
      <w:r w:rsidR="00575277" w:rsidRPr="00807219">
        <w:t xml:space="preserve"> iesniedza tiesai lūgumu par ekspertīzes noteikšanu, skaidri norādot, ka izsniegto audioierakstu datņu dati neatbilst </w:t>
      </w:r>
      <w:r w:rsidR="00813811" w:rsidRPr="00813811">
        <w:t>ekspertu atzinumos norādītajiem datiem</w:t>
      </w:r>
      <w:r w:rsidR="00575277" w:rsidRPr="00807219">
        <w:t>. Lietas izskatīšana</w:t>
      </w:r>
      <w:r w:rsidR="00EA1B2C">
        <w:t>s</w:t>
      </w:r>
      <w:r w:rsidR="00575277" w:rsidRPr="00807219">
        <w:t xml:space="preserve"> laikā tā arī netika veikta šo pierādījumu pārbaude, kurā </w:t>
      </w:r>
      <w:r w:rsidR="00813811" w:rsidRPr="00807219">
        <w:t>varētu piedalīties</w:t>
      </w:r>
      <w:r w:rsidR="00575277" w:rsidRPr="00807219">
        <w:t xml:space="preserve"> arī </w:t>
      </w:r>
      <w:r w:rsidR="00813811" w:rsidRPr="00807219">
        <w:t>pieteicēju</w:t>
      </w:r>
      <w:r w:rsidR="00575277" w:rsidRPr="00807219">
        <w:t xml:space="preserve"> pārstāvji. Tiesas nevēlēšanās pārbaudīt </w:t>
      </w:r>
      <w:r w:rsidR="00813811" w:rsidRPr="00807219">
        <w:t>pieteicēju</w:t>
      </w:r>
      <w:r w:rsidR="00575277" w:rsidRPr="00807219">
        <w:t xml:space="preserve"> rīcībā nodotos pierādījumus </w:t>
      </w:r>
      <w:r w:rsidR="00813811" w:rsidRPr="00813811">
        <w:t>būtiski ierobežoja tiesības uz taisnīgu tiesu</w:t>
      </w:r>
      <w:r w:rsidR="00813811" w:rsidRPr="00807219">
        <w:t>.</w:t>
      </w:r>
    </w:p>
    <w:p w14:paraId="0D9422F6" w14:textId="07984598" w:rsidR="00813811" w:rsidRPr="00807219" w:rsidRDefault="00B73517" w:rsidP="001F783F">
      <w:pPr>
        <w:spacing w:line="276" w:lineRule="auto"/>
        <w:ind w:firstLine="720"/>
        <w:jc w:val="both"/>
      </w:pPr>
      <w:r w:rsidRPr="00807219">
        <w:t>[16.3]</w:t>
      </w:r>
      <w:r w:rsidR="00575277" w:rsidRPr="00807219">
        <w:t> </w:t>
      </w:r>
      <w:r w:rsidR="00813811" w:rsidRPr="00807219">
        <w:t xml:space="preserve">Tiesa nepamatoti atteicās pieņemt blakus lēmumu par patvaļas aizlieguma principa pārkāpumu </w:t>
      </w:r>
      <w:r w:rsidR="00CA6228">
        <w:t>Konkurences p</w:t>
      </w:r>
      <w:r w:rsidR="00CA6228" w:rsidRPr="00807219">
        <w:t xml:space="preserve">adomes </w:t>
      </w:r>
      <w:r w:rsidR="00813811" w:rsidRPr="00807219">
        <w:t>rīcībā, izsniedzot pieteicēj</w:t>
      </w:r>
      <w:r w:rsidR="00C80448" w:rsidRPr="00807219">
        <w:t>ā</w:t>
      </w:r>
      <w:r w:rsidR="00813811" w:rsidRPr="00807219">
        <w:t>m</w:t>
      </w:r>
      <w:r w:rsidR="006D6B33">
        <w:t xml:space="preserve"> pārsūdzēto</w:t>
      </w:r>
      <w:r w:rsidR="00813811" w:rsidRPr="00807219">
        <w:t xml:space="preserve"> lēmumu formā, kas neļauj veikt nekādas darbības ar dokumentu, tostarp to izdrukāt. Padomes radītie tehniskie šķēršļi būtiski apgrūtināja </w:t>
      </w:r>
      <w:r w:rsidR="00C80448" w:rsidRPr="00807219">
        <w:t>pieteicēju</w:t>
      </w:r>
      <w:r w:rsidR="00813811" w:rsidRPr="00807219">
        <w:t xml:space="preserve"> iespējas sagatavot pieteikumu. Jebkurš tiesību ierobežojums jāpamato ar likumu. Blakus lēmuma mērķis būtu panākt, lai </w:t>
      </w:r>
      <w:r w:rsidR="00CA6228">
        <w:t>p</w:t>
      </w:r>
      <w:r w:rsidR="00CA6228" w:rsidRPr="00807219">
        <w:t xml:space="preserve">adome </w:t>
      </w:r>
      <w:r w:rsidR="00813811" w:rsidRPr="00807219">
        <w:t>turpmāk nerīkoties prettiesiski.</w:t>
      </w:r>
    </w:p>
    <w:p w14:paraId="1EFAE6AA" w14:textId="58A5BE1E" w:rsidR="00B73517" w:rsidRPr="00807219" w:rsidRDefault="00B73517" w:rsidP="001F783F">
      <w:pPr>
        <w:spacing w:line="276" w:lineRule="auto"/>
        <w:ind w:firstLine="720"/>
        <w:jc w:val="both"/>
      </w:pPr>
      <w:r w:rsidRPr="00807219">
        <w:t>[16.4]</w:t>
      </w:r>
      <w:r w:rsidR="002D2802" w:rsidRPr="00807219">
        <w:t xml:space="preserve"> Tiesa, atstājot bez ievērības argumentus par personu datu apstrādes principu pārkāpumiem un nepieaicinot </w:t>
      </w:r>
      <w:r w:rsidR="008961C1">
        <w:rPr>
          <w:rFonts w:asciiTheme="majorBidi" w:hAnsiTheme="majorBidi" w:cstheme="majorBidi"/>
          <w:bCs/>
        </w:rPr>
        <w:t xml:space="preserve">[pers. G] </w:t>
      </w:r>
      <w:r w:rsidR="002D2802" w:rsidRPr="00807219">
        <w:t xml:space="preserve">lietā trešās personas statusā, būtiski ierobežoja trešās personas tiesības uz privātumu, tādējādi pārkāpjot Administratīvā procesa likuma 28.panta trešo daļu. </w:t>
      </w:r>
      <w:r w:rsidR="00A14E9A" w:rsidRPr="00807219">
        <w:t>S</w:t>
      </w:r>
      <w:r w:rsidR="002D2802" w:rsidRPr="00807219">
        <w:t xml:space="preserve">priedums aizskar </w:t>
      </w:r>
      <w:r w:rsidR="00A14E9A" w:rsidRPr="00807219">
        <w:t>pieteicēju</w:t>
      </w:r>
      <w:r w:rsidR="002D2802" w:rsidRPr="00807219">
        <w:t xml:space="preserve"> valdes locekļa </w:t>
      </w:r>
      <w:r w:rsidR="008961C1">
        <w:rPr>
          <w:rFonts w:asciiTheme="majorBidi" w:hAnsiTheme="majorBidi" w:cstheme="majorBidi"/>
          <w:bCs/>
        </w:rPr>
        <w:t xml:space="preserve">[pers. G] </w:t>
      </w:r>
      <w:r w:rsidR="002D2802" w:rsidRPr="00807219">
        <w:t xml:space="preserve">tiesības, jo atklātas lietas izskatīšanas gaitā par publiski pieejamām tiek padarītas </w:t>
      </w:r>
      <w:r w:rsidR="00CA6228" w:rsidRPr="00807219">
        <w:t>fizisk</w:t>
      </w:r>
      <w:r w:rsidR="00CA6228">
        <w:t>o</w:t>
      </w:r>
      <w:r w:rsidR="00CA6228" w:rsidRPr="00807219">
        <w:t xml:space="preserve"> </w:t>
      </w:r>
      <w:r w:rsidR="002D2802" w:rsidRPr="00807219">
        <w:t>personu</w:t>
      </w:r>
      <w:r w:rsidR="00EA1B2C">
        <w:t xml:space="preserve"> privātas</w:t>
      </w:r>
      <w:r w:rsidR="002D2802" w:rsidRPr="00807219">
        <w:t xml:space="preserve"> sarunas vairāku desmitu stundu garumā.</w:t>
      </w:r>
    </w:p>
    <w:p w14:paraId="4AA1D7BC" w14:textId="03A486B8" w:rsidR="00B73517" w:rsidRPr="00807219" w:rsidRDefault="00B73517" w:rsidP="001F783F">
      <w:pPr>
        <w:spacing w:line="276" w:lineRule="auto"/>
        <w:ind w:firstLine="720"/>
        <w:jc w:val="both"/>
      </w:pPr>
      <w:r w:rsidRPr="00807219">
        <w:t>[16.5]</w:t>
      </w:r>
      <w:r w:rsidR="002D2802" w:rsidRPr="00807219">
        <w:t xml:space="preserve"> Tiesa </w:t>
      </w:r>
      <w:r w:rsidR="00A14E9A" w:rsidRPr="00807219">
        <w:t xml:space="preserve">sprieduma 56.punktā </w:t>
      </w:r>
      <w:r w:rsidR="002D2802" w:rsidRPr="00807219">
        <w:t xml:space="preserve">pārkāpusi Administratīvā procesa likuma 250.panta otro daļu, </w:t>
      </w:r>
      <w:r w:rsidR="00A14E9A" w:rsidRPr="00807219">
        <w:t xml:space="preserve">nepamatoti </w:t>
      </w:r>
      <w:r w:rsidR="002D2802" w:rsidRPr="00807219">
        <w:t>aizstājot</w:t>
      </w:r>
      <w:r w:rsidR="006D6B33">
        <w:t xml:space="preserve"> pārsūdzētajā</w:t>
      </w:r>
      <w:r w:rsidR="00A14E9A" w:rsidRPr="00807219">
        <w:t xml:space="preserve"> l</w:t>
      </w:r>
      <w:r w:rsidR="002D2802" w:rsidRPr="00807219">
        <w:t xml:space="preserve">ēmumā ietverto pamatojumu ar jaunu juridisko novērtējumu, kas ir plašāks nekā iestādes sniegtais. </w:t>
      </w:r>
      <w:r w:rsidR="00450404" w:rsidRPr="00807219">
        <w:t>Pasūtītāju iesaistes faktam un tā pierādīšanai ir būtiska nozīme turpmāko civiltiesisko strīdu izskatīšanas kontekstā, jo tas ir pamats mainīt Centrālās finanšu un līgumu aģentūras noteiktās finanšu korekcijas finansējuma saņēmējiem.</w:t>
      </w:r>
    </w:p>
    <w:p w14:paraId="574B1E62" w14:textId="72F9A353" w:rsidR="00A14E9A" w:rsidRPr="00807219" w:rsidRDefault="00B73517" w:rsidP="001F783F">
      <w:pPr>
        <w:spacing w:line="276" w:lineRule="auto"/>
        <w:ind w:firstLine="720"/>
        <w:jc w:val="both"/>
      </w:pPr>
      <w:r w:rsidRPr="00807219">
        <w:t>[16.6]</w:t>
      </w:r>
      <w:r w:rsidR="00450404" w:rsidRPr="00807219">
        <w:t xml:space="preserve"> Tiesa ir pilnībā ignorējusi </w:t>
      </w:r>
      <w:r w:rsidR="00A14E9A" w:rsidRPr="00807219">
        <w:t>pieteicēju</w:t>
      </w:r>
      <w:r w:rsidR="00450404" w:rsidRPr="00807219">
        <w:t xml:space="preserve"> argumentus par to, ka pārkāpuma beigu brīdis bija jākonstatē vairāk nekā gadu pirms </w:t>
      </w:r>
      <w:r w:rsidR="006D6B33">
        <w:t xml:space="preserve">pārsūdzētajā </w:t>
      </w:r>
      <w:r w:rsidR="00A14E9A" w:rsidRPr="00807219">
        <w:t>l</w:t>
      </w:r>
      <w:r w:rsidR="00450404" w:rsidRPr="00807219">
        <w:t xml:space="preserve">ēmumā norādītā termiņa. Konkrētajā gadījumā ir skaidrs, ka brīdis, kad </w:t>
      </w:r>
      <w:r w:rsidR="001C09E4">
        <w:t>b</w:t>
      </w:r>
      <w:r w:rsidR="00450404" w:rsidRPr="00807219">
        <w:t xml:space="preserve">irojs uzsāka attiecīgo kriminālprocesu, ir vēlākais saprātīgi iespējamais apgalvotā pārkāpuma beigu brīdis. </w:t>
      </w:r>
      <w:r w:rsidR="00A14E9A" w:rsidRPr="00807219">
        <w:t>Kriminālprocesa uzsākšana publiski atklāja arī sarunu audioierakstu fiksēšanas faktu, un šī rīcība ir ekvivalenta konkurences uzraudzības iestādes paziņojumam par „izmeklēšanas uzsākšanu” attiecībā pret konkrētajiem subjektiem.</w:t>
      </w:r>
    </w:p>
    <w:p w14:paraId="0EF57780" w14:textId="6BEBC5F8" w:rsidR="00A14E9A" w:rsidRPr="00807219" w:rsidRDefault="00B73517" w:rsidP="001F783F">
      <w:pPr>
        <w:spacing w:line="276" w:lineRule="auto"/>
        <w:ind w:firstLine="720"/>
        <w:jc w:val="both"/>
      </w:pPr>
      <w:r w:rsidRPr="00807219">
        <w:t>[16.7]</w:t>
      </w:r>
      <w:r w:rsidR="002004A9" w:rsidRPr="00807219">
        <w:t> </w:t>
      </w:r>
      <w:r w:rsidR="00A14E9A" w:rsidRPr="00807219">
        <w:t>Tiesai sprieduma 95.punktā nebija pamata konstatēt aizliegtās vienošanās negatīvās sekas, īpaši tirgus deformāciju „ievērojamā apjomā”. Jebkuram pieņēmumam par ietekmi uz tirgu „ievērojamā apjomā” nepieciešams pienācīgs pamatojums, ko neietver ne</w:t>
      </w:r>
      <w:r w:rsidR="00252264">
        <w:t xml:space="preserve"> pārsūdzētais</w:t>
      </w:r>
      <w:r w:rsidR="00A14E9A" w:rsidRPr="00807219">
        <w:t xml:space="preserve"> </w:t>
      </w:r>
      <w:r w:rsidR="00C80448" w:rsidRPr="00807219">
        <w:t>l</w:t>
      </w:r>
      <w:r w:rsidR="00A14E9A" w:rsidRPr="00807219">
        <w:t xml:space="preserve">ēmums, ne spriedums. Tā rezultātā tiesa nepareizi interpretējusi Konkurences likuma 11.pantu. </w:t>
      </w:r>
      <w:r w:rsidR="00EA1B2C">
        <w:t>Pieteicējai</w:t>
      </w:r>
      <w:r w:rsidR="00A14E9A" w:rsidRPr="00807219">
        <w:t xml:space="preserve"> pārmesta vienošanās ar mērķi deformēt konkurenci, kas atšķiras no vienošanās, kuras sekas </w:t>
      </w:r>
      <w:r w:rsidR="00EA1B2C">
        <w:t xml:space="preserve">tieši </w:t>
      </w:r>
      <w:r w:rsidR="00A14E9A" w:rsidRPr="00807219">
        <w:t>deformē konkurenci.</w:t>
      </w:r>
    </w:p>
    <w:p w14:paraId="6567B9AF" w14:textId="13BEA9A9" w:rsidR="00C80448" w:rsidRPr="00807219" w:rsidRDefault="002004A9" w:rsidP="001F783F">
      <w:pPr>
        <w:spacing w:line="276" w:lineRule="auto"/>
        <w:ind w:firstLine="720"/>
        <w:jc w:val="both"/>
        <w:rPr>
          <w:rFonts w:asciiTheme="majorBidi" w:hAnsiTheme="majorBidi" w:cstheme="majorBidi"/>
          <w:bCs/>
        </w:rPr>
      </w:pPr>
      <w:r w:rsidRPr="00807219">
        <w:t>[16.8] </w:t>
      </w:r>
      <w:r w:rsidR="00C80448" w:rsidRPr="00807219">
        <w:rPr>
          <w:rFonts w:asciiTheme="majorBidi" w:hAnsiTheme="majorBidi" w:cstheme="majorBidi"/>
          <w:bCs/>
        </w:rPr>
        <w:t xml:space="preserve">Tiesa, pārkāpjot vienlīdzības principu, nav piemērojusi </w:t>
      </w:r>
      <w:r w:rsidR="00E321AE">
        <w:rPr>
          <w:rFonts w:asciiTheme="majorBidi" w:hAnsiTheme="majorBidi" w:cstheme="majorBidi"/>
          <w:bCs/>
        </w:rPr>
        <w:t>n</w:t>
      </w:r>
      <w:r w:rsidR="00E321AE" w:rsidRPr="00807219">
        <w:rPr>
          <w:rFonts w:asciiTheme="majorBidi" w:hAnsiTheme="majorBidi" w:cstheme="majorBidi"/>
          <w:bCs/>
        </w:rPr>
        <w:t xml:space="preserve">oteikumu </w:t>
      </w:r>
      <w:r w:rsidR="00C80448" w:rsidRPr="00807219">
        <w:rPr>
          <w:rFonts w:asciiTheme="majorBidi" w:hAnsiTheme="majorBidi" w:cstheme="majorBidi"/>
          <w:bCs/>
        </w:rPr>
        <w:t xml:space="preserve">Nr. 179 22.1.3.apakšpunktu attiecībā uz pieteicējām. Identisks atbildību mīkstinošs apstāklis, kā tas bija </w:t>
      </w:r>
      <w:r w:rsidR="00C80448" w:rsidRPr="00807219">
        <w:rPr>
          <w:rFonts w:asciiTheme="majorBidi" w:hAnsiTheme="majorBidi" w:cstheme="majorBidi"/>
          <w:bCs/>
          <w:i/>
          <w:iCs/>
        </w:rPr>
        <w:t>Velves</w:t>
      </w:r>
      <w:r w:rsidR="00C80448" w:rsidRPr="00807219">
        <w:rPr>
          <w:rFonts w:asciiTheme="majorBidi" w:hAnsiTheme="majorBidi" w:cstheme="majorBidi"/>
          <w:bCs/>
        </w:rPr>
        <w:t xml:space="preserve"> gadījumā, pastāv arī attiecībā uz pieteicējām, jo tās nav slēpušas, ka </w:t>
      </w:r>
      <w:r w:rsidR="008961C1">
        <w:rPr>
          <w:rFonts w:asciiTheme="majorBidi" w:hAnsiTheme="majorBidi" w:cstheme="majorBidi"/>
          <w:bCs/>
        </w:rPr>
        <w:t xml:space="preserve">[pers. G] </w:t>
      </w:r>
      <w:r w:rsidR="00C80448" w:rsidRPr="00807219">
        <w:rPr>
          <w:rFonts w:asciiTheme="majorBidi" w:hAnsiTheme="majorBidi" w:cstheme="majorBidi"/>
          <w:bCs/>
        </w:rPr>
        <w:t xml:space="preserve">ir pieteicēju valdes loceklis un formāli ar tām saistīts. Ja jau </w:t>
      </w:r>
      <w:r w:rsidR="00C80448" w:rsidRPr="00807219">
        <w:rPr>
          <w:rFonts w:asciiTheme="majorBidi" w:hAnsiTheme="majorBidi" w:cstheme="majorBidi"/>
          <w:bCs/>
          <w:i/>
          <w:iCs/>
        </w:rPr>
        <w:t>Velves</w:t>
      </w:r>
      <w:r w:rsidR="00C80448" w:rsidRPr="00807219">
        <w:rPr>
          <w:rFonts w:asciiTheme="majorBidi" w:hAnsiTheme="majorBidi" w:cstheme="majorBidi"/>
          <w:bCs/>
        </w:rPr>
        <w:t xml:space="preserve"> „atzīšanās” par saistību ar </w:t>
      </w:r>
      <w:r w:rsidR="0067703C">
        <w:rPr>
          <w:rFonts w:asciiTheme="majorBidi" w:hAnsiTheme="majorBidi" w:cstheme="majorBidi"/>
          <w:bCs/>
        </w:rPr>
        <w:t xml:space="preserve">[pers. I] </w:t>
      </w:r>
      <w:r w:rsidR="00C80448" w:rsidRPr="00807219">
        <w:rPr>
          <w:rFonts w:asciiTheme="majorBidi" w:hAnsiTheme="majorBidi" w:cstheme="majorBidi"/>
          <w:bCs/>
        </w:rPr>
        <w:t>bija pamats tai piemērot 1,5 % naudas soda samazinājumu, līdzīga labvēlība būtu attiecināma arī uz pieteicējām.</w:t>
      </w:r>
    </w:p>
    <w:p w14:paraId="252E1751" w14:textId="77777777" w:rsidR="00C80448" w:rsidRPr="00807219" w:rsidRDefault="00C80448" w:rsidP="001F783F">
      <w:pPr>
        <w:spacing w:line="276" w:lineRule="auto"/>
        <w:ind w:firstLine="720"/>
        <w:jc w:val="both"/>
        <w:rPr>
          <w:rFonts w:asciiTheme="majorBidi" w:hAnsiTheme="majorBidi" w:cstheme="majorBidi"/>
          <w:bCs/>
        </w:rPr>
      </w:pPr>
    </w:p>
    <w:p w14:paraId="5760425D" w14:textId="0EBCBBC9" w:rsidR="00670593" w:rsidRPr="00807219" w:rsidRDefault="000F7A90" w:rsidP="001F783F">
      <w:pPr>
        <w:spacing w:line="276" w:lineRule="auto"/>
        <w:ind w:firstLine="720"/>
        <w:jc w:val="both"/>
        <w:rPr>
          <w:rFonts w:asciiTheme="majorBidi" w:hAnsiTheme="majorBidi" w:cstheme="majorBidi"/>
          <w:bCs/>
        </w:rPr>
      </w:pPr>
      <w:r w:rsidRPr="00807219">
        <w:rPr>
          <w:rFonts w:asciiTheme="majorBidi" w:hAnsiTheme="majorBidi" w:cstheme="majorBidi"/>
          <w:bCs/>
        </w:rPr>
        <w:t>[1</w:t>
      </w:r>
      <w:r w:rsidR="00C81742" w:rsidRPr="00807219">
        <w:rPr>
          <w:rFonts w:asciiTheme="majorBidi" w:hAnsiTheme="majorBidi" w:cstheme="majorBidi"/>
          <w:bCs/>
        </w:rPr>
        <w:t>7</w:t>
      </w:r>
      <w:r w:rsidRPr="00807219">
        <w:rPr>
          <w:rFonts w:asciiTheme="majorBidi" w:hAnsiTheme="majorBidi" w:cstheme="majorBidi"/>
          <w:bCs/>
        </w:rPr>
        <w:t>]</w:t>
      </w:r>
      <w:r w:rsidR="00C37547" w:rsidRPr="00807219">
        <w:rPr>
          <w:rFonts w:asciiTheme="majorBidi" w:hAnsiTheme="majorBidi" w:cstheme="majorBidi"/>
          <w:bCs/>
        </w:rPr>
        <w:t> </w:t>
      </w:r>
      <w:r w:rsidR="00B66E46" w:rsidRPr="00807219">
        <w:rPr>
          <w:rFonts w:asciiTheme="majorBidi" w:hAnsiTheme="majorBidi" w:cstheme="majorBidi"/>
          <w:bCs/>
        </w:rPr>
        <w:t>Kasācijas sūdzībās</w:t>
      </w:r>
      <w:r w:rsidR="00F0039B" w:rsidRPr="00807219">
        <w:rPr>
          <w:rFonts w:asciiTheme="majorBidi" w:hAnsiTheme="majorBidi" w:cstheme="majorBidi"/>
          <w:bCs/>
        </w:rPr>
        <w:t xml:space="preserve"> izteik</w:t>
      </w:r>
      <w:r w:rsidR="00B66E46" w:rsidRPr="00807219">
        <w:rPr>
          <w:rFonts w:asciiTheme="majorBidi" w:hAnsiTheme="majorBidi" w:cstheme="majorBidi"/>
          <w:bCs/>
        </w:rPr>
        <w:t>ti</w:t>
      </w:r>
      <w:r w:rsidR="00F0039B" w:rsidRPr="00807219">
        <w:rPr>
          <w:rFonts w:asciiTheme="majorBidi" w:hAnsiTheme="majorBidi" w:cstheme="majorBidi"/>
          <w:bCs/>
        </w:rPr>
        <w:t xml:space="preserve"> </w:t>
      </w:r>
      <w:r w:rsidR="00B66E46" w:rsidRPr="00807219">
        <w:rPr>
          <w:rFonts w:asciiTheme="majorBidi" w:hAnsiTheme="majorBidi" w:cstheme="majorBidi"/>
          <w:bCs/>
        </w:rPr>
        <w:t xml:space="preserve">lūgumi </w:t>
      </w:r>
      <w:r w:rsidR="00077EAB" w:rsidRPr="00807219">
        <w:rPr>
          <w:rFonts w:asciiTheme="majorBidi" w:hAnsiTheme="majorBidi" w:cstheme="majorBidi"/>
          <w:bCs/>
        </w:rPr>
        <w:t xml:space="preserve">Senātam </w:t>
      </w:r>
      <w:r w:rsidR="00F0039B" w:rsidRPr="00807219">
        <w:rPr>
          <w:rFonts w:asciiTheme="majorBidi" w:hAnsiTheme="majorBidi" w:cstheme="majorBidi"/>
          <w:bCs/>
        </w:rPr>
        <w:t>vērsties</w:t>
      </w:r>
      <w:r w:rsidRPr="00807219">
        <w:rPr>
          <w:rFonts w:asciiTheme="majorBidi" w:hAnsiTheme="majorBidi" w:cstheme="majorBidi"/>
          <w:bCs/>
        </w:rPr>
        <w:t xml:space="preserve"> Eiropas Savienības Tiesā ar </w:t>
      </w:r>
      <w:r w:rsidR="00B66E46" w:rsidRPr="00807219">
        <w:rPr>
          <w:rFonts w:asciiTheme="majorBidi" w:hAnsiTheme="majorBidi" w:cstheme="majorBidi"/>
          <w:bCs/>
        </w:rPr>
        <w:t>turpmāk minētajiem prejudiciālajiem jautājumiem.</w:t>
      </w:r>
    </w:p>
    <w:p w14:paraId="5302257F" w14:textId="171A8042" w:rsidR="00BF3F74" w:rsidRPr="000A2270" w:rsidRDefault="00BF3F74" w:rsidP="001F783F">
      <w:pPr>
        <w:spacing w:line="276" w:lineRule="auto"/>
        <w:ind w:firstLine="720"/>
        <w:jc w:val="both"/>
      </w:pPr>
      <w:r w:rsidRPr="000A2270">
        <w:t>[1</w:t>
      </w:r>
      <w:r w:rsidR="00C81742" w:rsidRPr="000A2270">
        <w:t>7</w:t>
      </w:r>
      <w:r w:rsidRPr="000A2270">
        <w:t>.1]</w:t>
      </w:r>
      <w:bookmarkStart w:id="13" w:name="_Toc189478579"/>
      <w:r w:rsidR="00005EF4" w:rsidRPr="000A2270">
        <w:t> </w:t>
      </w:r>
      <w:r w:rsidRPr="000A2270">
        <w:rPr>
          <w:i/>
          <w:iCs/>
        </w:rPr>
        <w:t xml:space="preserve">RERE Būve </w:t>
      </w:r>
      <w:r w:rsidRPr="000A2270">
        <w:t xml:space="preserve">kopā ar </w:t>
      </w:r>
      <w:r w:rsidRPr="000A2270">
        <w:rPr>
          <w:i/>
          <w:iCs/>
        </w:rPr>
        <w:t xml:space="preserve">RERE </w:t>
      </w:r>
      <w:bookmarkEnd w:id="13"/>
      <w:r w:rsidR="00E321AE" w:rsidRPr="000A2270">
        <w:rPr>
          <w:i/>
          <w:iCs/>
        </w:rPr>
        <w:t>Grup</w:t>
      </w:r>
      <w:r w:rsidR="00E321AE">
        <w:rPr>
          <w:i/>
          <w:iCs/>
        </w:rPr>
        <w:t>u</w:t>
      </w:r>
      <w:r w:rsidR="00801DFE" w:rsidRPr="000A2270">
        <w:t xml:space="preserve">, kā arī </w:t>
      </w:r>
      <w:r w:rsidR="00801DFE" w:rsidRPr="000A2270">
        <w:rPr>
          <w:i/>
          <w:iCs/>
        </w:rPr>
        <w:t>RE&amp;RE</w:t>
      </w:r>
      <w:r w:rsidR="00FA00B3" w:rsidRPr="000A2270">
        <w:t xml:space="preserve"> –</w:t>
      </w:r>
    </w:p>
    <w:p w14:paraId="14654A83" w14:textId="39C341DC" w:rsidR="00BF3F74" w:rsidRPr="00807219" w:rsidRDefault="00BF3F74" w:rsidP="001F783F">
      <w:pPr>
        <w:pStyle w:val="ListParagraph"/>
        <w:spacing w:line="276" w:lineRule="auto"/>
        <w:ind w:left="1276" w:hanging="567"/>
        <w:jc w:val="both"/>
      </w:pPr>
      <w:r w:rsidRPr="000A2270">
        <w:t>(a) </w:t>
      </w:r>
      <w:r w:rsidR="00C872F2" w:rsidRPr="000A2270">
        <w:tab/>
      </w:r>
      <w:r w:rsidRPr="000A2270">
        <w:t>Vai pierādījumu, kas ir balstīti uz personu noklausīšanos</w:t>
      </w:r>
      <w:r w:rsidRPr="00807219">
        <w:t xml:space="preserve"> nesaistītā kriminālprocesā, nodošana konkurences iestādei iespējama LESD 101.pantā noteiktā konkurences tiesību </w:t>
      </w:r>
      <w:r w:rsidRPr="00E217DD">
        <w:t xml:space="preserve">pārkāpuma izmeklēšanai saskaņā ar </w:t>
      </w:r>
      <w:r w:rsidR="009432E4" w:rsidRPr="00E217DD">
        <w:t xml:space="preserve">Padomes 2002.gada 16.decembra regulu (EK) </w:t>
      </w:r>
      <w:hyperlink r:id="rId10" w:history="1">
        <w:r w:rsidR="009432E4" w:rsidRPr="00E976BC">
          <w:rPr>
            <w:rStyle w:val="Hyperlink"/>
          </w:rPr>
          <w:t>Nr. 1/2003</w:t>
        </w:r>
      </w:hyperlink>
      <w:r w:rsidR="009432E4" w:rsidRPr="00E217DD">
        <w:t xml:space="preserve"> par to konkurences noteikumu īstenošanu, kas noteikti Līguma 81. un 82.pantā, (turpmāk – Regula Nr. 1/2003) </w:t>
      </w:r>
      <w:r w:rsidRPr="00E217DD">
        <w:t xml:space="preserve">pati par sevi ir pretrunā </w:t>
      </w:r>
      <w:r w:rsidR="0078308B" w:rsidRPr="00E217DD">
        <w:t>H</w:t>
      </w:r>
      <w:r w:rsidRPr="00E217DD">
        <w:t>artas 7., 8., 47. un/vai 52.panta pirmās daļas normām?</w:t>
      </w:r>
    </w:p>
    <w:p w14:paraId="0CE8411C" w14:textId="55DFE0C8" w:rsidR="00BF3F74" w:rsidRPr="00807219" w:rsidRDefault="00BF3F74" w:rsidP="001F783F">
      <w:pPr>
        <w:pStyle w:val="ListParagraph"/>
        <w:spacing w:line="276" w:lineRule="auto"/>
        <w:ind w:left="1276" w:hanging="567"/>
        <w:jc w:val="both"/>
      </w:pPr>
      <w:r w:rsidRPr="00807219">
        <w:t>(b) </w:t>
      </w:r>
      <w:r w:rsidR="00C872F2" w:rsidRPr="00807219">
        <w:tab/>
      </w:r>
      <w:r w:rsidRPr="00807219">
        <w:t xml:space="preserve">Vai pierādījumu, kas ir balstīti uz personu noklausīšanos nesaistītā kriminālprocesā, nodošana konkurences iestādei iespējama LESD 101.pantā noteiktā konkurences tiesību pārkāpuma izmeklēšanai saskaņā ar Regulu Nr. 1/2003 ir pretrunā </w:t>
      </w:r>
      <w:r w:rsidR="0078308B">
        <w:t>H</w:t>
      </w:r>
      <w:r w:rsidRPr="00807219">
        <w:t xml:space="preserve">artas 7., 8., 47. un/vai 52.panta pirmās daļas normām situācijā, kad šāda nodošana tiek veikta bez skaidra likumiska pamata un bez neatkarīgas tiesas vai citas neatkarīgas valsts iestādes iepriekšējas atļaujas, kas izvērtē pierādījumu iegūšanas un nodošanas atbilstību </w:t>
      </w:r>
      <w:r w:rsidR="0078308B">
        <w:t>H</w:t>
      </w:r>
      <w:r w:rsidRPr="00807219">
        <w:t>artai un cilvēktiesību principiem?</w:t>
      </w:r>
    </w:p>
    <w:p w14:paraId="45168785" w14:textId="5418E3AA" w:rsidR="00BF3F74" w:rsidRPr="00807219" w:rsidRDefault="00BF3F74" w:rsidP="001F783F">
      <w:pPr>
        <w:pStyle w:val="ListParagraph"/>
        <w:spacing w:line="276" w:lineRule="auto"/>
        <w:ind w:left="1276" w:hanging="567"/>
        <w:jc w:val="both"/>
      </w:pPr>
      <w:r w:rsidRPr="00807219">
        <w:t>(c) </w:t>
      </w:r>
      <w:r w:rsidR="00C872F2" w:rsidRPr="00807219">
        <w:tab/>
      </w:r>
      <w:r w:rsidRPr="00807219">
        <w:t>Vai, izvērtējot atbildes uz (a) un (b) apakšpunktos ietvertajiem jautājumiem, valsts tiesai jāņem vērā tas, ka konkurences tiesību iestāde attiecīgos pierādījumus izmanto soda uzlikšanai par LESD 101.pantā noteikto konkurences tiesību pārkāpumu pret personām, kurām nav bijušas tiesības pārbaudīt šo pierādījumu iegūšanas tiesiskumu kriminālprocesā, kurā iegūti attiecīgie pierādījumi?</w:t>
      </w:r>
    </w:p>
    <w:p w14:paraId="0FA840A8" w14:textId="778884B2" w:rsidR="003127F1" w:rsidRPr="00807219" w:rsidRDefault="00BF3F74" w:rsidP="001F783F">
      <w:pPr>
        <w:pStyle w:val="ListParagraph"/>
        <w:spacing w:line="276" w:lineRule="auto"/>
        <w:ind w:left="1276" w:hanging="567"/>
        <w:jc w:val="both"/>
      </w:pPr>
      <w:r w:rsidRPr="00807219">
        <w:t>(d) </w:t>
      </w:r>
      <w:r w:rsidR="00C872F2" w:rsidRPr="00807219">
        <w:tab/>
      </w:r>
      <w:r w:rsidRPr="00807219">
        <w:t xml:space="preserve">Ja, ievērojot atbildes uz (a), (b) un (c) apakšpunktos ietvertajiem jautājumiem, valsts tiesa konstatē, ka attiecīgo pierādījumu nodošana ir bijusi pretrunā </w:t>
      </w:r>
      <w:r w:rsidR="0078308B">
        <w:t>H</w:t>
      </w:r>
      <w:r w:rsidRPr="00807219">
        <w:t>artas 7., 8., 47. un/vai 52.panta pirmās daļas normām, vai konkurences iestāde varēja balstīties uz šādiem pierādījumiem lēmumā par iespējamu LESD 101.pantā noteikto konkurences tiesību pārkāpumu?</w:t>
      </w:r>
    </w:p>
    <w:p w14:paraId="77A70E6B" w14:textId="240127B5" w:rsidR="003127F1" w:rsidRPr="000A2270" w:rsidRDefault="003127F1" w:rsidP="001F783F">
      <w:pPr>
        <w:pStyle w:val="ListParagraph"/>
        <w:spacing w:line="276" w:lineRule="auto"/>
        <w:ind w:left="1276" w:hanging="567"/>
        <w:jc w:val="both"/>
      </w:pPr>
      <w:r w:rsidRPr="00807219">
        <w:t>(e) </w:t>
      </w:r>
      <w:r w:rsidR="00C872F2" w:rsidRPr="00807219">
        <w:tab/>
      </w:r>
      <w:r w:rsidRPr="00807219">
        <w:t xml:space="preserve">Ja, ievērojot atbildes uz (a), (b), (c) un (d) apakšpunktos ietvertajiem jautājumiem, valsts tiesa konstatē, ka attiecīgo pierādījumu nodošana ir bijusi saskaņā ar </w:t>
      </w:r>
      <w:r w:rsidR="0078308B">
        <w:t>H</w:t>
      </w:r>
      <w:r w:rsidRPr="00807219">
        <w:t xml:space="preserve">artas 7., 8., 47. un/vai 52.panta pirmās daļas normām, vai konkurences iestāde, kas saskaņā ar Regulu Nr. 1/2003 ir piemērojusi sodu par LESD 101.pantā noteikto konkurences tiesību pārkāpumu, ir pārkāpusi </w:t>
      </w:r>
      <w:r w:rsidR="0078308B">
        <w:t>H</w:t>
      </w:r>
      <w:r w:rsidRPr="00807219">
        <w:t xml:space="preserve">artas 47.pantu situācijā, kurā apsūdzētajam tirgus dalībniekam pirms konkurences iestādes lēmuma pieņemšanas par naudas soda uzlikšanu saskaņā ar Regulu Nr. 1/2003 nav nodrošināta piekļuve visiem pierādījumiem, kas iegūti kriminālprocesā, kurā iegūti attiecīgie </w:t>
      </w:r>
      <w:r w:rsidRPr="000A2270">
        <w:t>pierādījumi, kas tika nodoti konkurences iestādei?</w:t>
      </w:r>
    </w:p>
    <w:p w14:paraId="4023D570" w14:textId="3828D0F1" w:rsidR="00801DFE" w:rsidRPr="000A2270" w:rsidRDefault="00DB2AB1" w:rsidP="001F783F">
      <w:pPr>
        <w:spacing w:line="276" w:lineRule="auto"/>
        <w:ind w:left="709"/>
        <w:jc w:val="both"/>
      </w:pPr>
      <w:r w:rsidRPr="000A2270">
        <w:t>[1</w:t>
      </w:r>
      <w:r w:rsidR="00C81742" w:rsidRPr="000A2270">
        <w:t>7</w:t>
      </w:r>
      <w:r w:rsidRPr="000A2270">
        <w:t>.2]</w:t>
      </w:r>
      <w:r w:rsidR="00005EF4" w:rsidRPr="000A2270">
        <w:t> </w:t>
      </w:r>
      <w:r w:rsidR="00F0039B" w:rsidRPr="000A2270">
        <w:rPr>
          <w:i/>
          <w:iCs/>
        </w:rPr>
        <w:t>RE&amp;RE</w:t>
      </w:r>
      <w:r w:rsidR="00F0039B" w:rsidRPr="000A2270">
        <w:t xml:space="preserve"> vēl p</w:t>
      </w:r>
      <w:r w:rsidR="003127F1" w:rsidRPr="000A2270">
        <w:t xml:space="preserve">apildus </w:t>
      </w:r>
      <w:r w:rsidR="004E6398" w:rsidRPr="000A2270">
        <w:t xml:space="preserve">iepriekš </w:t>
      </w:r>
      <w:r w:rsidR="00801DFE" w:rsidRPr="000A2270">
        <w:t>minētajiem</w:t>
      </w:r>
      <w:r w:rsidR="00801DFE" w:rsidRPr="000A2270">
        <w:rPr>
          <w:i/>
          <w:iCs/>
        </w:rPr>
        <w:t xml:space="preserve"> </w:t>
      </w:r>
      <w:r w:rsidR="003127F1" w:rsidRPr="000A2270">
        <w:t>jautājumiem</w:t>
      </w:r>
      <w:r w:rsidR="00FA00B3" w:rsidRPr="000A2270">
        <w:t xml:space="preserve"> –</w:t>
      </w:r>
    </w:p>
    <w:p w14:paraId="4A8B6B36" w14:textId="3A6C70CD" w:rsidR="00C872F2" w:rsidRPr="00807219" w:rsidRDefault="00801DFE" w:rsidP="001F783F">
      <w:pPr>
        <w:spacing w:line="276" w:lineRule="auto"/>
        <w:ind w:left="1276" w:hanging="567"/>
        <w:jc w:val="both"/>
      </w:pPr>
      <w:r w:rsidRPr="000A2270">
        <w:t xml:space="preserve">(f) </w:t>
      </w:r>
      <w:r w:rsidR="00C872F2" w:rsidRPr="000A2270">
        <w:tab/>
      </w:r>
      <w:r w:rsidR="003127F1" w:rsidRPr="000A2270">
        <w:t>Ja, ievērojot</w:t>
      </w:r>
      <w:r w:rsidR="003127F1" w:rsidRPr="00807219">
        <w:t xml:space="preserve"> atbildes uz (a), (b), (c), (d) un (e) apakšpunktos ietvertajiem jautājumiem, valsts tiesa konstatē, ka attiecīgo pierādījumu nodošana ir bijusi atbilstoša </w:t>
      </w:r>
      <w:r w:rsidR="0078308B">
        <w:t>H</w:t>
      </w:r>
      <w:r w:rsidR="003127F1" w:rsidRPr="00807219">
        <w:t xml:space="preserve">artas 7., 8., 47. un/vai 52.panta pirmās daļas normām, vai </w:t>
      </w:r>
      <w:r w:rsidR="003127F1" w:rsidRPr="00162E01">
        <w:t xml:space="preserve">dalībvalsts tiesa, kas kā vienīgā un pēdējā apelācijas instance izvērtē sodu par LESD 101.pantā noteikto </w:t>
      </w:r>
      <w:r w:rsidR="00162E01" w:rsidRPr="00162E01">
        <w:t xml:space="preserve">konkurences tiesību pārkāpumu, ir pārkāpusi </w:t>
      </w:r>
      <w:r w:rsidR="0078308B" w:rsidRPr="00162E01">
        <w:t>H</w:t>
      </w:r>
      <w:r w:rsidR="003127F1" w:rsidRPr="00162E01">
        <w:t>artas 47.pantu situācijā, kurā apsūdzētajam tirgus dalībniekam tiesvedības laikā nav nodrošināta piekļuve visiem</w:t>
      </w:r>
      <w:r w:rsidR="003127F1" w:rsidRPr="00807219">
        <w:t xml:space="preserve"> pierādījumiem, kas iegūti kriminālprocesā, kurā iegūti attiecīgie pierādījumi, kas tika nodoti konkurences iestādei un jo īpaši pierādījumiem, kuri ir atradušies pašas dalībvalsts tiesas rīcībā?</w:t>
      </w:r>
    </w:p>
    <w:p w14:paraId="17159C01" w14:textId="6541053E" w:rsidR="004E6398" w:rsidRPr="00807219" w:rsidRDefault="000F7A90" w:rsidP="001F783F">
      <w:pPr>
        <w:spacing w:line="276" w:lineRule="auto"/>
        <w:ind w:firstLine="720"/>
        <w:jc w:val="both"/>
      </w:pPr>
      <w:r w:rsidRPr="00807219">
        <w:rPr>
          <w:rFonts w:asciiTheme="majorBidi" w:hAnsiTheme="majorBidi" w:cstheme="majorBidi"/>
          <w:bCs/>
        </w:rPr>
        <w:t>[1</w:t>
      </w:r>
      <w:r w:rsidR="00C81742" w:rsidRPr="00807219">
        <w:rPr>
          <w:rFonts w:asciiTheme="majorBidi" w:hAnsiTheme="majorBidi" w:cstheme="majorBidi"/>
          <w:bCs/>
        </w:rPr>
        <w:t>7</w:t>
      </w:r>
      <w:r w:rsidRPr="00807219">
        <w:rPr>
          <w:rFonts w:asciiTheme="majorBidi" w:hAnsiTheme="majorBidi" w:cstheme="majorBidi"/>
          <w:bCs/>
        </w:rPr>
        <w:t>.</w:t>
      </w:r>
      <w:r w:rsidR="00DB2AB1" w:rsidRPr="000A2270">
        <w:rPr>
          <w:rFonts w:asciiTheme="majorBidi" w:hAnsiTheme="majorBidi" w:cstheme="majorBidi"/>
          <w:bCs/>
        </w:rPr>
        <w:t>3</w:t>
      </w:r>
      <w:r w:rsidRPr="000A2270">
        <w:rPr>
          <w:rFonts w:asciiTheme="majorBidi" w:hAnsiTheme="majorBidi" w:cstheme="majorBidi"/>
          <w:bCs/>
        </w:rPr>
        <w:t>]</w:t>
      </w:r>
      <w:r w:rsidR="00305C86">
        <w:rPr>
          <w:rFonts w:asciiTheme="majorBidi" w:hAnsiTheme="majorBidi" w:cstheme="majorBidi"/>
          <w:bCs/>
        </w:rPr>
        <w:t> </w:t>
      </w:r>
      <w:r w:rsidR="004E6398" w:rsidRPr="000A2270">
        <w:rPr>
          <w:rFonts w:asciiTheme="majorBidi" w:hAnsiTheme="majorBidi" w:cstheme="majorBidi"/>
          <w:bCs/>
          <w:i/>
          <w:iCs/>
        </w:rPr>
        <w:t xml:space="preserve">Merks </w:t>
      </w:r>
      <w:r w:rsidR="004E6398" w:rsidRPr="000A2270">
        <w:rPr>
          <w:rFonts w:asciiTheme="majorBidi" w:hAnsiTheme="majorBidi" w:cstheme="majorBidi"/>
          <w:bCs/>
        </w:rPr>
        <w:t xml:space="preserve">kopā ar </w:t>
      </w:r>
      <w:r w:rsidR="004E6398" w:rsidRPr="000A2270">
        <w:rPr>
          <w:rFonts w:asciiTheme="majorBidi" w:hAnsiTheme="majorBidi" w:cstheme="majorBidi"/>
          <w:bCs/>
          <w:i/>
          <w:iCs/>
        </w:rPr>
        <w:t>Merko Ehitus</w:t>
      </w:r>
      <w:r w:rsidR="009B04E5" w:rsidRPr="000A2270">
        <w:rPr>
          <w:rFonts w:asciiTheme="majorBidi" w:hAnsiTheme="majorBidi" w:cstheme="majorBidi"/>
          <w:bCs/>
          <w:i/>
          <w:iCs/>
        </w:rPr>
        <w:t xml:space="preserve"> </w:t>
      </w:r>
      <w:r w:rsidR="009B04E5" w:rsidRPr="000A2270">
        <w:rPr>
          <w:rFonts w:asciiTheme="majorBidi" w:hAnsiTheme="majorBidi" w:cstheme="majorBidi"/>
          <w:bCs/>
        </w:rPr>
        <w:t>(</w:t>
      </w:r>
      <w:r w:rsidR="00A30695" w:rsidRPr="000A2270">
        <w:rPr>
          <w:rFonts w:asciiTheme="majorBidi" w:hAnsiTheme="majorBidi" w:cstheme="majorBidi"/>
          <w:bCs/>
        </w:rPr>
        <w:t xml:space="preserve">tostarp </w:t>
      </w:r>
      <w:r w:rsidR="009B04E5" w:rsidRPr="000A2270">
        <w:rPr>
          <w:rFonts w:asciiTheme="majorBidi" w:hAnsiTheme="majorBidi" w:cstheme="majorBidi"/>
          <w:bCs/>
        </w:rPr>
        <w:t xml:space="preserve">pievienojoties </w:t>
      </w:r>
      <w:r w:rsidR="009B04E5" w:rsidRPr="000A2270">
        <w:rPr>
          <w:rFonts w:asciiTheme="majorBidi" w:hAnsiTheme="majorBidi" w:cstheme="majorBidi"/>
          <w:bCs/>
          <w:i/>
          <w:iCs/>
        </w:rPr>
        <w:t>RE&amp;RE</w:t>
      </w:r>
      <w:r w:rsidR="009B04E5" w:rsidRPr="000A2270">
        <w:rPr>
          <w:rFonts w:asciiTheme="majorBidi" w:hAnsiTheme="majorBidi" w:cstheme="majorBidi"/>
          <w:bCs/>
        </w:rPr>
        <w:t xml:space="preserve"> formulētajiem jautājumiem)</w:t>
      </w:r>
      <w:r w:rsidR="004E6398" w:rsidRPr="000A2270">
        <w:rPr>
          <w:rFonts w:asciiTheme="majorBidi" w:hAnsiTheme="majorBidi" w:cstheme="majorBidi"/>
          <w:bCs/>
        </w:rPr>
        <w:t xml:space="preserve">, kā arī </w:t>
      </w:r>
      <w:r w:rsidR="004E6398" w:rsidRPr="000A2270">
        <w:rPr>
          <w:rFonts w:asciiTheme="majorBidi" w:hAnsiTheme="majorBidi" w:cstheme="majorBidi"/>
          <w:bCs/>
          <w:i/>
          <w:iCs/>
        </w:rPr>
        <w:t>Skonto Būve</w:t>
      </w:r>
      <w:r w:rsidR="00FA00B3" w:rsidRPr="000A2270">
        <w:rPr>
          <w:rFonts w:asciiTheme="majorBidi" w:hAnsiTheme="majorBidi" w:cstheme="majorBidi"/>
          <w:bCs/>
        </w:rPr>
        <w:t xml:space="preserve"> –</w:t>
      </w:r>
    </w:p>
    <w:p w14:paraId="6B09966C" w14:textId="5A20283A" w:rsidR="00670593" w:rsidRPr="00807219" w:rsidRDefault="00C872F2" w:rsidP="001F783F">
      <w:pPr>
        <w:pStyle w:val="ListParagraph"/>
        <w:spacing w:line="276" w:lineRule="auto"/>
        <w:ind w:left="1276" w:hanging="567"/>
        <w:jc w:val="both"/>
      </w:pPr>
      <w:r w:rsidRPr="00807219">
        <w:t>(g)</w:t>
      </w:r>
      <w:r w:rsidR="00005EF4">
        <w:t> </w:t>
      </w:r>
      <w:r w:rsidR="00005EF4">
        <w:tab/>
      </w:r>
      <w:r w:rsidR="00670593" w:rsidRPr="00807219">
        <w:t xml:space="preserve">Vai, ņemot vērā Direktīvas </w:t>
      </w:r>
      <w:hyperlink r:id="rId11" w:history="1">
        <w:r w:rsidR="00670593" w:rsidRPr="009D18FB">
          <w:rPr>
            <w:rStyle w:val="Hyperlink"/>
          </w:rPr>
          <w:t>2014/104/ES</w:t>
        </w:r>
      </w:hyperlink>
      <w:r w:rsidR="00670593" w:rsidRPr="00807219">
        <w:t xml:space="preserve"> 9.panta pirmo daļu, nacionālajai tiesai, kuras kompetencē nav lemt par zaudējumu atlīdzības prasībām, bet gan kura pārbauda nacionālās konkurences iestādes lēmuma tiesiskumu, ir pienākums pārbaudīt atsevišķu pārkāpumu veidojošu elementu piederību vienotam un turpinātam pārkāpumam?</w:t>
      </w:r>
    </w:p>
    <w:p w14:paraId="4A697043" w14:textId="050BD441" w:rsidR="00670593" w:rsidRPr="000A2270" w:rsidRDefault="00C872F2" w:rsidP="001F783F">
      <w:pPr>
        <w:pStyle w:val="ListParagraph"/>
        <w:spacing w:line="276" w:lineRule="auto"/>
        <w:ind w:left="1276" w:hanging="567"/>
        <w:jc w:val="both"/>
      </w:pPr>
      <w:r w:rsidRPr="00807219">
        <w:t>(h)</w:t>
      </w:r>
      <w:r w:rsidR="00005EF4">
        <w:t> </w:t>
      </w:r>
      <w:r w:rsidRPr="00807219">
        <w:tab/>
      </w:r>
      <w:r w:rsidR="00670593" w:rsidRPr="00807219">
        <w:t>Vai, ņemot vērā Eiropas Savienības Tiesas</w:t>
      </w:r>
      <w:r w:rsidR="009843AE">
        <w:t xml:space="preserve"> 2021.gada 14.janvāra</w:t>
      </w:r>
      <w:r w:rsidR="00670593" w:rsidRPr="00807219">
        <w:t xml:space="preserve"> spriedumu lietā </w:t>
      </w:r>
      <w:hyperlink r:id="rId12" w:history="1">
        <w:r w:rsidR="00670593" w:rsidRPr="009843AE">
          <w:rPr>
            <w:rStyle w:val="Hyperlink"/>
          </w:rPr>
          <w:t>C-450/19</w:t>
        </w:r>
      </w:hyperlink>
      <w:r w:rsidR="00670593" w:rsidRPr="00807219">
        <w:t xml:space="preserve">, LESD 101.pants jāinterpretē tādējādi, ka vairāki kartelizēti iepirkumi, ja starpposmos konstatējami arī nekartelizēti iepirkumi, veido vienotu un turpinātu pārkāpumu? Vai, alternatīvi, būtu konstatējams atkārtots pārkāpums (viena un tā paša pārkāpuma veidojošu elementu atkārtošanās), </w:t>
      </w:r>
      <w:r w:rsidR="00670593" w:rsidRPr="000A2270">
        <w:t>ko atdala laikposmi, kuros pārkāpums nav noticis?</w:t>
      </w:r>
    </w:p>
    <w:p w14:paraId="0301C194" w14:textId="1B11838A" w:rsidR="00BF3F74" w:rsidRPr="000A2270" w:rsidRDefault="00BF3F74" w:rsidP="001F783F">
      <w:pPr>
        <w:spacing w:line="276" w:lineRule="auto"/>
        <w:ind w:left="709"/>
        <w:jc w:val="both"/>
        <w:rPr>
          <w:rFonts w:asciiTheme="majorBidi" w:hAnsiTheme="majorBidi" w:cstheme="majorBidi"/>
        </w:rPr>
      </w:pPr>
      <w:r w:rsidRPr="000A2270">
        <w:rPr>
          <w:rFonts w:asciiTheme="majorBidi" w:hAnsiTheme="majorBidi" w:cstheme="majorBidi"/>
          <w:bCs/>
        </w:rPr>
        <w:t>[1</w:t>
      </w:r>
      <w:r w:rsidR="00C872F2" w:rsidRPr="000A2270">
        <w:rPr>
          <w:rFonts w:asciiTheme="majorBidi" w:hAnsiTheme="majorBidi" w:cstheme="majorBidi"/>
          <w:bCs/>
        </w:rPr>
        <w:t>7</w:t>
      </w:r>
      <w:r w:rsidRPr="000A2270">
        <w:rPr>
          <w:rFonts w:asciiTheme="majorBidi" w:hAnsiTheme="majorBidi" w:cstheme="majorBidi"/>
          <w:bCs/>
        </w:rPr>
        <w:t>.</w:t>
      </w:r>
      <w:r w:rsidR="00DB2AB1" w:rsidRPr="000A2270">
        <w:rPr>
          <w:rFonts w:asciiTheme="majorBidi" w:hAnsiTheme="majorBidi" w:cstheme="majorBidi"/>
          <w:bCs/>
        </w:rPr>
        <w:t>4</w:t>
      </w:r>
      <w:r w:rsidRPr="000A2270">
        <w:rPr>
          <w:rFonts w:asciiTheme="majorBidi" w:hAnsiTheme="majorBidi" w:cstheme="majorBidi"/>
          <w:bCs/>
        </w:rPr>
        <w:t>]</w:t>
      </w:r>
      <w:r w:rsidR="00FA00B3" w:rsidRPr="000A2270">
        <w:rPr>
          <w:rFonts w:asciiTheme="majorBidi" w:hAnsiTheme="majorBidi" w:cstheme="majorBidi"/>
          <w:bCs/>
        </w:rPr>
        <w:t> </w:t>
      </w:r>
      <w:r w:rsidRPr="000A2270">
        <w:rPr>
          <w:rFonts w:asciiTheme="majorBidi" w:hAnsiTheme="majorBidi" w:cstheme="majorBidi"/>
          <w:bCs/>
          <w:i/>
          <w:iCs/>
        </w:rPr>
        <w:t>LNK Industries</w:t>
      </w:r>
      <w:r w:rsidR="00FA00B3" w:rsidRPr="000A2270">
        <w:rPr>
          <w:rFonts w:asciiTheme="majorBidi" w:hAnsiTheme="majorBidi" w:cstheme="majorBidi"/>
          <w:bCs/>
        </w:rPr>
        <w:t xml:space="preserve"> –</w:t>
      </w:r>
    </w:p>
    <w:p w14:paraId="525D51AB" w14:textId="04B0ADD9" w:rsidR="009B4F2F" w:rsidRPr="00807219" w:rsidRDefault="00C872F2" w:rsidP="001F783F">
      <w:pPr>
        <w:pStyle w:val="ListParagraph"/>
        <w:tabs>
          <w:tab w:val="left" w:pos="1276"/>
        </w:tabs>
        <w:spacing w:line="276" w:lineRule="auto"/>
        <w:ind w:left="1276" w:hanging="567"/>
        <w:jc w:val="both"/>
      </w:pPr>
      <w:r w:rsidRPr="000A2270">
        <w:t>(i)</w:t>
      </w:r>
      <w:r w:rsidR="00005EF4" w:rsidRPr="000A2270">
        <w:t> </w:t>
      </w:r>
      <w:r w:rsidRPr="000A2270">
        <w:tab/>
      </w:r>
      <w:r w:rsidR="009B4F2F" w:rsidRPr="000A2270">
        <w:t>Vai iepirkuma, kura prognozētās līgumcenas robežvērtības apmērs pārsniedz E</w:t>
      </w:r>
      <w:r w:rsidR="00E321AE">
        <w:t xml:space="preserve">iropas </w:t>
      </w:r>
      <w:r w:rsidR="009B4F2F" w:rsidRPr="000A2270">
        <w:t>S</w:t>
      </w:r>
      <w:r w:rsidR="00E321AE">
        <w:t>avienības</w:t>
      </w:r>
      <w:r w:rsidR="009B4F2F" w:rsidRPr="000A2270">
        <w:t xml:space="preserve"> „slieksni”, izsludināšana E</w:t>
      </w:r>
      <w:r w:rsidR="00A00665">
        <w:t xml:space="preserve">iropas </w:t>
      </w:r>
      <w:r w:rsidR="009B4F2F" w:rsidRPr="000A2270">
        <w:t>S</w:t>
      </w:r>
      <w:r w:rsidR="00A00665">
        <w:t>avienības</w:t>
      </w:r>
      <w:r w:rsidR="009B4F2F" w:rsidRPr="000A2270">
        <w:t xml:space="preserve"> Oficiālajā Vēstnesī ir vērtējama kā</w:t>
      </w:r>
      <w:r w:rsidR="009B4F2F" w:rsidRPr="00807219">
        <w:t xml:space="preserve"> pazīme, kas pierāda, ka aizliegta vienošanās šādā iepirkumā var iespaidot tirdzniecību starp dalībvalstīm un vai iepirkuma prognozētās līgumcenas robežvērtības apmērs ir patstāvīgs pamats LESD 101.panta pārkāpuma konstatēšanai?</w:t>
      </w:r>
    </w:p>
    <w:p w14:paraId="03435189" w14:textId="67003A47" w:rsidR="009B4F2F" w:rsidRPr="00807219" w:rsidRDefault="00C872F2" w:rsidP="001F783F">
      <w:pPr>
        <w:pStyle w:val="ListParagraph"/>
        <w:tabs>
          <w:tab w:val="left" w:pos="1276"/>
        </w:tabs>
        <w:spacing w:line="276" w:lineRule="auto"/>
        <w:ind w:left="1276" w:hanging="567"/>
        <w:jc w:val="both"/>
      </w:pPr>
      <w:r w:rsidRPr="00807219">
        <w:t>(</w:t>
      </w:r>
      <w:r w:rsidR="00B66E46" w:rsidRPr="00807219">
        <w:t>j</w:t>
      </w:r>
      <w:r w:rsidRPr="00807219">
        <w:t>)</w:t>
      </w:r>
      <w:r w:rsidR="00005EF4">
        <w:t> </w:t>
      </w:r>
      <w:r w:rsidRPr="00807219">
        <w:tab/>
      </w:r>
      <w:r w:rsidR="009B4F2F" w:rsidRPr="00807219">
        <w:t xml:space="preserve">Vai un kā atbildi uz </w:t>
      </w:r>
      <w:r w:rsidR="009D18FB">
        <w:t>(i)</w:t>
      </w:r>
      <w:r w:rsidR="009D18FB" w:rsidRPr="00807219">
        <w:t xml:space="preserve"> </w:t>
      </w:r>
      <w:r w:rsidR="009B4F2F" w:rsidRPr="00807219">
        <w:t>jautājumu ietekmē aizliegtas vienošanās pārkāpuma lietā vērtēto iepirkumu skaits – vai kādam noteiktam skaitam iepirkumu būtu jābūt izsludinātiem E</w:t>
      </w:r>
      <w:r w:rsidR="00A00665">
        <w:t xml:space="preserve">iropas </w:t>
      </w:r>
      <w:r w:rsidR="009B4F2F" w:rsidRPr="00807219">
        <w:t>S</w:t>
      </w:r>
      <w:r w:rsidR="00A00665">
        <w:t>avienības</w:t>
      </w:r>
      <w:r w:rsidR="009B4F2F" w:rsidRPr="00807219">
        <w:t xml:space="preserve"> Oficiālajā Vēstnesī, lai nacionālā konkurences uzraudzības iestāde aizliegtas vienošanās pārkāpuma lietā varētu konstatēt LESD 101.panta pārkāpuma sastāvā esošā kritērija </w:t>
      </w:r>
      <w:r w:rsidR="00A00665">
        <w:t>„</w:t>
      </w:r>
      <w:r w:rsidR="009B4F2F" w:rsidRPr="00807219">
        <w:t>var iespaidot tirdzniecību starp dalībvalstīm</w:t>
      </w:r>
      <w:r w:rsidR="00A00665">
        <w:t>”</w:t>
      </w:r>
      <w:r w:rsidR="009B4F2F" w:rsidRPr="00807219">
        <w:t xml:space="preserve"> izpildīšanos?</w:t>
      </w:r>
    </w:p>
    <w:p w14:paraId="20DE0BA1" w14:textId="588130EC" w:rsidR="00670593" w:rsidRPr="000A2270" w:rsidRDefault="00C872F2" w:rsidP="001F783F">
      <w:pPr>
        <w:pStyle w:val="ListParagraph"/>
        <w:tabs>
          <w:tab w:val="left" w:pos="1276"/>
        </w:tabs>
        <w:spacing w:line="276" w:lineRule="auto"/>
        <w:ind w:left="1276" w:hanging="567"/>
        <w:jc w:val="both"/>
      </w:pPr>
      <w:r w:rsidRPr="00807219">
        <w:t>(</w:t>
      </w:r>
      <w:r w:rsidR="00B66E46" w:rsidRPr="00807219">
        <w:t>k</w:t>
      </w:r>
      <w:r w:rsidRPr="00807219">
        <w:t>)</w:t>
      </w:r>
      <w:r w:rsidR="00005EF4">
        <w:t> </w:t>
      </w:r>
      <w:r w:rsidRPr="00807219">
        <w:tab/>
      </w:r>
      <w:r w:rsidR="009B4F2F" w:rsidRPr="00807219">
        <w:t xml:space="preserve">Vai un kā atbildi uz </w:t>
      </w:r>
      <w:r w:rsidR="009D18FB">
        <w:t>(i) un (j)</w:t>
      </w:r>
      <w:r w:rsidR="009D18FB" w:rsidRPr="00807219">
        <w:t xml:space="preserve"> </w:t>
      </w:r>
      <w:r w:rsidR="009B4F2F" w:rsidRPr="00807219">
        <w:t xml:space="preserve">jautājumiem maina fakts, ka nacionālā </w:t>
      </w:r>
      <w:r w:rsidR="009B4F2F" w:rsidRPr="000A2270">
        <w:t>konkurences uzraudzības iestāde aizliegtas vienošanās pārkāpumu nav vērtējusi atsevišķi katrā iepirkumā, bet konkrētā būvniecības apakšnozarē ilgstošā laika periodā?</w:t>
      </w:r>
    </w:p>
    <w:p w14:paraId="4D3769CF" w14:textId="39CB81B2" w:rsidR="009B4F2F" w:rsidRPr="00807219" w:rsidRDefault="009B4F2F" w:rsidP="001F783F">
      <w:pPr>
        <w:pStyle w:val="ListParagraph"/>
        <w:spacing w:line="276" w:lineRule="auto"/>
        <w:jc w:val="both"/>
        <w:rPr>
          <w:rFonts w:asciiTheme="majorBidi" w:hAnsiTheme="majorBidi" w:cstheme="majorBidi"/>
        </w:rPr>
      </w:pPr>
      <w:r w:rsidRPr="000A2270">
        <w:rPr>
          <w:rFonts w:asciiTheme="majorBidi" w:hAnsiTheme="majorBidi" w:cstheme="majorBidi"/>
          <w:bCs/>
        </w:rPr>
        <w:t>[1</w:t>
      </w:r>
      <w:r w:rsidR="00C872F2" w:rsidRPr="000A2270">
        <w:rPr>
          <w:rFonts w:asciiTheme="majorBidi" w:hAnsiTheme="majorBidi" w:cstheme="majorBidi"/>
          <w:bCs/>
        </w:rPr>
        <w:t>7</w:t>
      </w:r>
      <w:r w:rsidRPr="000A2270">
        <w:rPr>
          <w:rFonts w:asciiTheme="majorBidi" w:hAnsiTheme="majorBidi" w:cstheme="majorBidi"/>
          <w:bCs/>
        </w:rPr>
        <w:t>.</w:t>
      </w:r>
      <w:r w:rsidR="00DB2AB1" w:rsidRPr="000A2270">
        <w:rPr>
          <w:rFonts w:asciiTheme="majorBidi" w:hAnsiTheme="majorBidi" w:cstheme="majorBidi"/>
          <w:bCs/>
        </w:rPr>
        <w:t>5</w:t>
      </w:r>
      <w:r w:rsidRPr="000A2270">
        <w:rPr>
          <w:rFonts w:asciiTheme="majorBidi" w:hAnsiTheme="majorBidi" w:cstheme="majorBidi"/>
          <w:bCs/>
        </w:rPr>
        <w:t>]</w:t>
      </w:r>
      <w:r w:rsidR="00FA00B3" w:rsidRPr="000A2270">
        <w:rPr>
          <w:rFonts w:asciiTheme="majorBidi" w:hAnsiTheme="majorBidi" w:cstheme="majorBidi"/>
          <w:bCs/>
        </w:rPr>
        <w:t> </w:t>
      </w:r>
      <w:r w:rsidR="00801DFE" w:rsidRPr="000A2270">
        <w:rPr>
          <w:rFonts w:asciiTheme="majorBidi" w:hAnsiTheme="majorBidi" w:cstheme="majorBidi"/>
          <w:bCs/>
          <w:i/>
          <w:iCs/>
        </w:rPr>
        <w:t>LEC</w:t>
      </w:r>
      <w:r w:rsidRPr="000A2270">
        <w:rPr>
          <w:rFonts w:asciiTheme="majorBidi" w:hAnsiTheme="majorBidi" w:cstheme="majorBidi"/>
          <w:bCs/>
        </w:rPr>
        <w:t xml:space="preserve"> </w:t>
      </w:r>
      <w:r w:rsidRPr="000A2270">
        <w:t>–</w:t>
      </w:r>
    </w:p>
    <w:p w14:paraId="74AE6FA7" w14:textId="28402263" w:rsidR="004E6398" w:rsidRPr="00807219" w:rsidRDefault="00C872F2" w:rsidP="001F783F">
      <w:pPr>
        <w:pStyle w:val="ListParagraph"/>
        <w:spacing w:line="276" w:lineRule="auto"/>
        <w:ind w:left="1276" w:hanging="567"/>
        <w:jc w:val="both"/>
      </w:pPr>
      <w:r w:rsidRPr="00807219">
        <w:t>(</w:t>
      </w:r>
      <w:r w:rsidR="00B66E46" w:rsidRPr="00807219">
        <w:t>l</w:t>
      </w:r>
      <w:r w:rsidRPr="00807219">
        <w:t>)</w:t>
      </w:r>
      <w:r w:rsidR="00005EF4">
        <w:t> </w:t>
      </w:r>
      <w:r w:rsidRPr="00807219">
        <w:tab/>
      </w:r>
      <w:r w:rsidR="004E6398" w:rsidRPr="00807219">
        <w:t>Vai ir iespējams konstatēt LESD 101.panta 1.punkta pārkāpumu sabiedrības darbībā, ja nav pamata faktiskas izšķirošās ietekmes izmantošanas prezumpcijas piemērošanai un konkurences iestāde, kas piemēro LESD 101.pantu, nav pierādījusi, ka netiešs dalībnieks ir ietekmējis sabiedrības rīcību?</w:t>
      </w:r>
    </w:p>
    <w:p w14:paraId="153191B2" w14:textId="06808331" w:rsidR="009B4F2F" w:rsidRPr="000A2270" w:rsidRDefault="00C872F2" w:rsidP="001F783F">
      <w:pPr>
        <w:pStyle w:val="ListParagraph"/>
        <w:spacing w:line="276" w:lineRule="auto"/>
        <w:ind w:left="1276" w:hanging="567"/>
        <w:jc w:val="both"/>
      </w:pPr>
      <w:r w:rsidRPr="00807219">
        <w:t>(</w:t>
      </w:r>
      <w:r w:rsidR="00B66E46" w:rsidRPr="00807219">
        <w:t>m</w:t>
      </w:r>
      <w:r w:rsidRPr="00807219">
        <w:t>)</w:t>
      </w:r>
      <w:r w:rsidR="00005EF4">
        <w:t> </w:t>
      </w:r>
      <w:r w:rsidRPr="00807219">
        <w:tab/>
      </w:r>
      <w:bookmarkStart w:id="14" w:name="_Hlk216947740"/>
      <w:r w:rsidR="004E6398" w:rsidRPr="00807219">
        <w:t xml:space="preserve">Vai </w:t>
      </w:r>
      <w:r w:rsidR="0049661F">
        <w:t xml:space="preserve">– </w:t>
      </w:r>
      <w:r w:rsidR="004E6398" w:rsidRPr="00807219">
        <w:t>un, ja jā, tad izpildoties kādiem priekšnoteikumiem</w:t>
      </w:r>
      <w:r w:rsidR="0049661F">
        <w:t>, –</w:t>
      </w:r>
      <w:r w:rsidR="004E6398" w:rsidRPr="00807219">
        <w:t xml:space="preserve"> sabiedrība var būt atbildīga par tās netieša dalībnieka rīcību situācijā, kur netiešs dalībnieks </w:t>
      </w:r>
      <w:r w:rsidR="004E6398" w:rsidRPr="000A2270">
        <w:t>vienlaicīgi nav nedz sabiedrības pārvaldes loceklis, nedz darbinieks, nedz pilnvarots sabiedrības pārstāvis?</w:t>
      </w:r>
      <w:bookmarkEnd w:id="14"/>
    </w:p>
    <w:p w14:paraId="0563AFB8" w14:textId="05A5D890" w:rsidR="009E4465" w:rsidRPr="000A2270" w:rsidRDefault="00DB2AB1" w:rsidP="001F783F">
      <w:pPr>
        <w:pStyle w:val="ListParagraph"/>
        <w:spacing w:line="276" w:lineRule="auto"/>
        <w:ind w:left="1276" w:hanging="567"/>
        <w:jc w:val="both"/>
      </w:pPr>
      <w:r w:rsidRPr="000A2270">
        <w:rPr>
          <w:rFonts w:asciiTheme="majorBidi" w:hAnsiTheme="majorBidi" w:cstheme="majorBidi"/>
          <w:bCs/>
        </w:rPr>
        <w:t>[1</w:t>
      </w:r>
      <w:r w:rsidR="00C872F2" w:rsidRPr="000A2270">
        <w:rPr>
          <w:rFonts w:asciiTheme="majorBidi" w:hAnsiTheme="majorBidi" w:cstheme="majorBidi"/>
          <w:bCs/>
        </w:rPr>
        <w:t>7</w:t>
      </w:r>
      <w:r w:rsidRPr="000A2270">
        <w:rPr>
          <w:rFonts w:asciiTheme="majorBidi" w:hAnsiTheme="majorBidi" w:cstheme="majorBidi"/>
          <w:bCs/>
        </w:rPr>
        <w:t>.</w:t>
      </w:r>
      <w:r w:rsidR="004E6398" w:rsidRPr="000A2270">
        <w:rPr>
          <w:rFonts w:asciiTheme="majorBidi" w:hAnsiTheme="majorBidi" w:cstheme="majorBidi"/>
          <w:bCs/>
        </w:rPr>
        <w:t>6</w:t>
      </w:r>
      <w:r w:rsidRPr="000A2270">
        <w:rPr>
          <w:rFonts w:asciiTheme="majorBidi" w:hAnsiTheme="majorBidi" w:cstheme="majorBidi"/>
          <w:bCs/>
        </w:rPr>
        <w:t>]</w:t>
      </w:r>
      <w:r w:rsidR="00FA00B3" w:rsidRPr="000A2270">
        <w:rPr>
          <w:rFonts w:asciiTheme="majorBidi" w:hAnsiTheme="majorBidi" w:cstheme="majorBidi"/>
          <w:bCs/>
        </w:rPr>
        <w:t> </w:t>
      </w:r>
      <w:r w:rsidRPr="000A2270">
        <w:rPr>
          <w:rFonts w:asciiTheme="majorBidi" w:hAnsiTheme="majorBidi" w:cstheme="majorBidi"/>
          <w:bCs/>
          <w:i/>
          <w:iCs/>
        </w:rPr>
        <w:t xml:space="preserve">Abora </w:t>
      </w:r>
      <w:r w:rsidRPr="000A2270">
        <w:rPr>
          <w:rFonts w:asciiTheme="majorBidi" w:hAnsiTheme="majorBidi" w:cstheme="majorBidi"/>
          <w:bCs/>
        </w:rPr>
        <w:t>kopā ar</w:t>
      </w:r>
      <w:r w:rsidRPr="000A2270">
        <w:rPr>
          <w:rFonts w:asciiTheme="majorBidi" w:hAnsiTheme="majorBidi" w:cstheme="majorBidi"/>
          <w:bCs/>
          <w:i/>
          <w:iCs/>
        </w:rPr>
        <w:t xml:space="preserve"> </w:t>
      </w:r>
      <w:r w:rsidR="00A00665" w:rsidRPr="000A2270">
        <w:rPr>
          <w:rFonts w:asciiTheme="majorBidi" w:hAnsiTheme="majorBidi" w:cstheme="majorBidi"/>
          <w:bCs/>
          <w:i/>
          <w:iCs/>
        </w:rPr>
        <w:t>Tehnocentr</w:t>
      </w:r>
      <w:r w:rsidR="00A00665">
        <w:rPr>
          <w:rFonts w:asciiTheme="majorBidi" w:hAnsiTheme="majorBidi" w:cstheme="majorBidi"/>
          <w:bCs/>
          <w:i/>
          <w:iCs/>
        </w:rPr>
        <w:t>u</w:t>
      </w:r>
      <w:r w:rsidR="00A00665" w:rsidRPr="000A2270">
        <w:rPr>
          <w:rFonts w:asciiTheme="majorBidi" w:hAnsiTheme="majorBidi" w:cstheme="majorBidi"/>
          <w:bCs/>
        </w:rPr>
        <w:t xml:space="preserve"> </w:t>
      </w:r>
      <w:r w:rsidRPr="000A2270">
        <w:t>–</w:t>
      </w:r>
    </w:p>
    <w:p w14:paraId="231FCD3E" w14:textId="1B1F347E" w:rsidR="0086500A" w:rsidRPr="00807219" w:rsidRDefault="00C872F2" w:rsidP="001F783F">
      <w:pPr>
        <w:pStyle w:val="ListParagraph"/>
        <w:tabs>
          <w:tab w:val="left" w:pos="709"/>
        </w:tabs>
        <w:spacing w:line="276" w:lineRule="auto"/>
        <w:ind w:left="1276" w:hanging="567"/>
        <w:jc w:val="both"/>
      </w:pPr>
      <w:r w:rsidRPr="000A2270">
        <w:t>(</w:t>
      </w:r>
      <w:r w:rsidR="00B66E46" w:rsidRPr="000A2270">
        <w:t>n</w:t>
      </w:r>
      <w:r w:rsidRPr="000A2270">
        <w:t>)</w:t>
      </w:r>
      <w:r w:rsidR="00005EF4" w:rsidRPr="000A2270">
        <w:t> </w:t>
      </w:r>
      <w:r w:rsidRPr="000A2270">
        <w:tab/>
      </w:r>
      <w:r w:rsidR="0086500A" w:rsidRPr="000A2270">
        <w:t>Vai šādos apstākļo</w:t>
      </w:r>
      <w:r w:rsidR="00C37547" w:rsidRPr="000A2270">
        <w:t>s –</w:t>
      </w:r>
      <w:r w:rsidR="0086500A" w:rsidRPr="000A2270">
        <w:t xml:space="preserve"> </w:t>
      </w:r>
      <w:r w:rsidR="00A27B58" w:rsidRPr="000A2270">
        <w:t>(</w:t>
      </w:r>
      <w:r w:rsidR="00B66E46" w:rsidRPr="000A2270">
        <w:t>1</w:t>
      </w:r>
      <w:r w:rsidR="00A27B58" w:rsidRPr="000A2270">
        <w:t>)</w:t>
      </w:r>
      <w:r w:rsidR="00A27B58" w:rsidRPr="00807219">
        <w:t xml:space="preserve"> </w:t>
      </w:r>
      <w:r w:rsidR="0086500A" w:rsidRPr="00807219">
        <w:t>dalībvalsts konkurences iestāde ir konstatējusi vairāku uzņēmumu izdarītu pārkāpumu, kas izpaudies kā aizliegta vienošanās LESD 101.</w:t>
      </w:r>
      <w:r w:rsidR="00C37547" w:rsidRPr="00807219">
        <w:t>p</w:t>
      </w:r>
      <w:r w:rsidR="0086500A" w:rsidRPr="00807219">
        <w:t xml:space="preserve">anta 1.punkta izpratnē; </w:t>
      </w:r>
      <w:r w:rsidR="00A27B58" w:rsidRPr="00807219">
        <w:t>(</w:t>
      </w:r>
      <w:r w:rsidR="00B66E46" w:rsidRPr="00807219">
        <w:t>2</w:t>
      </w:r>
      <w:r w:rsidR="00A27B58" w:rsidRPr="00807219">
        <w:t xml:space="preserve">) </w:t>
      </w:r>
      <w:r w:rsidR="0086500A" w:rsidRPr="00807219">
        <w:t xml:space="preserve">dažiem no aizliegtās vienošanās dalībniekiem naudas sods piemērots tikai ar konkurences iestādes lēmumu; </w:t>
      </w:r>
      <w:r w:rsidR="00A27B58" w:rsidRPr="00807219">
        <w:t>(</w:t>
      </w:r>
      <w:r w:rsidR="00B66E46" w:rsidRPr="00807219">
        <w:t>3</w:t>
      </w:r>
      <w:r w:rsidR="00A27B58" w:rsidRPr="00807219">
        <w:t xml:space="preserve">) </w:t>
      </w:r>
      <w:r w:rsidR="0086500A" w:rsidRPr="00807219">
        <w:t xml:space="preserve">vienam no aizliegtās vienošanās dalībniekiem piemērotais naudas sods fiksēts izlīgumā starp attiecīgo uzņēmumu un konkurences iestādi, </w:t>
      </w:r>
      <w:r w:rsidR="00A00665">
        <w:t>–</w:t>
      </w:r>
      <w:r w:rsidR="00A00665" w:rsidRPr="00807219">
        <w:t xml:space="preserve"> </w:t>
      </w:r>
      <w:r w:rsidR="0086500A" w:rsidRPr="00807219">
        <w:t>dalībvalsts konkurences iestādei naudas soda aprēķinā ir pienākums piemērot vienlīdzības principu starp, no vienas puses, izlīgumu neslēgušajiem uzņēmumiem un, no otras puses, izlīgumu slēgušo uzņēmumu?</w:t>
      </w:r>
    </w:p>
    <w:p w14:paraId="75B37329" w14:textId="33634F8E" w:rsidR="002E01E5" w:rsidRPr="00EA1B2C" w:rsidRDefault="00C872F2" w:rsidP="001F783F">
      <w:pPr>
        <w:tabs>
          <w:tab w:val="left" w:pos="709"/>
        </w:tabs>
        <w:spacing w:line="276" w:lineRule="auto"/>
        <w:ind w:left="1276" w:hanging="567"/>
        <w:jc w:val="both"/>
      </w:pPr>
      <w:r w:rsidRPr="00807219">
        <w:t>(</w:t>
      </w:r>
      <w:r w:rsidR="00B66E46" w:rsidRPr="00807219">
        <w:t>o</w:t>
      </w:r>
      <w:r w:rsidRPr="00807219">
        <w:t>)</w:t>
      </w:r>
      <w:r w:rsidR="00005EF4">
        <w:t> </w:t>
      </w:r>
      <w:r w:rsidRPr="00807219">
        <w:tab/>
      </w:r>
      <w:r w:rsidR="0086500A" w:rsidRPr="00807219">
        <w:t xml:space="preserve">Ja atbilde uz </w:t>
      </w:r>
      <w:r w:rsidR="00B66E46" w:rsidRPr="00807219">
        <w:t>(n)</w:t>
      </w:r>
      <w:r w:rsidRPr="00807219">
        <w:t xml:space="preserve"> </w:t>
      </w:r>
      <w:r w:rsidR="0086500A" w:rsidRPr="00807219">
        <w:t xml:space="preserve">jautājumu ir apstiprinoša, vai pienākums piemērot vienlīdzības principu tāpat jāizpilda arī soda noteikšanā saskaņā ar nacionālo konkurences </w:t>
      </w:r>
      <w:r w:rsidR="0086500A" w:rsidRPr="00EA1B2C">
        <w:t>tiesību normu, kuras galvenais mērķis ir tāds pats kā LESD 101</w:t>
      </w:r>
      <w:r w:rsidR="009E4465" w:rsidRPr="00EA1B2C">
        <w:t>.p</w:t>
      </w:r>
      <w:r w:rsidR="0086500A" w:rsidRPr="00EA1B2C">
        <w:t>antam?</w:t>
      </w:r>
    </w:p>
    <w:p w14:paraId="09AEF9F5" w14:textId="39E2661E" w:rsidR="009B04E5" w:rsidRPr="00807219" w:rsidRDefault="002E01E5" w:rsidP="001F783F">
      <w:pPr>
        <w:tabs>
          <w:tab w:val="left" w:pos="709"/>
        </w:tabs>
        <w:spacing w:line="276" w:lineRule="auto"/>
        <w:ind w:left="1276" w:hanging="567"/>
        <w:jc w:val="both"/>
        <w:rPr>
          <w:rFonts w:asciiTheme="majorBidi" w:hAnsiTheme="majorBidi" w:cstheme="majorBidi"/>
          <w:bCs/>
        </w:rPr>
      </w:pPr>
      <w:r w:rsidRPr="00EA1B2C">
        <w:t>(p)</w:t>
      </w:r>
      <w:r w:rsidR="00005EF4" w:rsidRPr="00EA1B2C">
        <w:t> </w:t>
      </w:r>
      <w:r w:rsidRPr="00EA1B2C">
        <w:tab/>
      </w:r>
      <w:r w:rsidRPr="00EA1B2C">
        <w:rPr>
          <w:rFonts w:asciiTheme="majorBidi" w:hAnsiTheme="majorBidi" w:cstheme="majorBidi"/>
          <w:bCs/>
        </w:rPr>
        <w:t>Vai L</w:t>
      </w:r>
      <w:r w:rsidR="00784834" w:rsidRPr="00EA1B2C">
        <w:rPr>
          <w:rFonts w:asciiTheme="majorBidi" w:hAnsiTheme="majorBidi" w:cstheme="majorBidi"/>
          <w:bCs/>
        </w:rPr>
        <w:t xml:space="preserve">īguma par </w:t>
      </w:r>
      <w:r w:rsidRPr="00EA1B2C">
        <w:rPr>
          <w:rFonts w:asciiTheme="majorBidi" w:hAnsiTheme="majorBidi" w:cstheme="majorBidi"/>
          <w:bCs/>
        </w:rPr>
        <w:t>E</w:t>
      </w:r>
      <w:r w:rsidR="00784834" w:rsidRPr="00EA1B2C">
        <w:rPr>
          <w:rFonts w:asciiTheme="majorBidi" w:hAnsiTheme="majorBidi" w:cstheme="majorBidi"/>
          <w:bCs/>
        </w:rPr>
        <w:t xml:space="preserve">iropas </w:t>
      </w:r>
      <w:r w:rsidRPr="00EA1B2C">
        <w:rPr>
          <w:rFonts w:asciiTheme="majorBidi" w:hAnsiTheme="majorBidi" w:cstheme="majorBidi"/>
          <w:bCs/>
        </w:rPr>
        <w:t>S</w:t>
      </w:r>
      <w:r w:rsidR="00784834" w:rsidRPr="00EA1B2C">
        <w:rPr>
          <w:rFonts w:asciiTheme="majorBidi" w:hAnsiTheme="majorBidi" w:cstheme="majorBidi"/>
          <w:bCs/>
        </w:rPr>
        <w:t>avienību</w:t>
      </w:r>
      <w:r w:rsidR="00D653FA" w:rsidRPr="00EA1B2C">
        <w:rPr>
          <w:rFonts w:asciiTheme="majorBidi" w:hAnsiTheme="majorBidi" w:cstheme="majorBidi"/>
          <w:bCs/>
        </w:rPr>
        <w:t xml:space="preserve"> </w:t>
      </w:r>
      <w:r w:rsidRPr="00EA1B2C">
        <w:rPr>
          <w:rFonts w:asciiTheme="majorBidi" w:hAnsiTheme="majorBidi" w:cstheme="majorBidi"/>
          <w:bCs/>
        </w:rPr>
        <w:t>19.panta 1.punkta otrajā daļā, vērtējot to kopsakarā ar Hartas 7.pantu un 47.</w:t>
      </w:r>
      <w:r w:rsidRPr="000A2270">
        <w:rPr>
          <w:rFonts w:asciiTheme="majorBidi" w:hAnsiTheme="majorBidi" w:cstheme="majorBidi"/>
          <w:bCs/>
        </w:rPr>
        <w:t>panta otro daļu, paredzētais dalībvalstu pienākums nodrošināt tādus</w:t>
      </w:r>
      <w:r w:rsidRPr="00807219">
        <w:rPr>
          <w:rFonts w:asciiTheme="majorBidi" w:hAnsiTheme="majorBidi" w:cstheme="majorBidi"/>
          <w:bCs/>
        </w:rPr>
        <w:t xml:space="preserve"> tiesību aizsardzības līdzekļus, kas ir pietiekami efektīvi tiesiskās aizsardzības nodrošināšanai jomās, uz kurām attiecas Savienības tiesības, īpaši E</w:t>
      </w:r>
      <w:r w:rsidR="00A00665">
        <w:rPr>
          <w:rFonts w:asciiTheme="majorBidi" w:hAnsiTheme="majorBidi" w:cstheme="majorBidi"/>
          <w:bCs/>
        </w:rPr>
        <w:t xml:space="preserve">iropas </w:t>
      </w:r>
      <w:r w:rsidRPr="00807219">
        <w:rPr>
          <w:rFonts w:asciiTheme="majorBidi" w:hAnsiTheme="majorBidi" w:cstheme="majorBidi"/>
          <w:bCs/>
        </w:rPr>
        <w:t>S</w:t>
      </w:r>
      <w:r w:rsidR="00A00665">
        <w:rPr>
          <w:rFonts w:asciiTheme="majorBidi" w:hAnsiTheme="majorBidi" w:cstheme="majorBidi"/>
          <w:bCs/>
        </w:rPr>
        <w:t>avienības</w:t>
      </w:r>
      <w:r w:rsidRPr="00807219">
        <w:rPr>
          <w:rFonts w:asciiTheme="majorBidi" w:hAnsiTheme="majorBidi" w:cstheme="majorBidi"/>
          <w:bCs/>
        </w:rPr>
        <w:t xml:space="preserve"> konkurences tiesības (konkrēti – LESD 101.pants), jāinterpretē tādējādi, ka tas nepieļauj tādu dalībvalstu praksi, kas operatīvās darbības pasākumu (operatīvas sarunu noklausīšanās) gaitā iegūto informāciju pieļauj izmantot mērķiem, kas nav tieši paredzēti likumā, jo īpaši konkurences tiesību pārkāpumu izmeklēšanai?</w:t>
      </w:r>
    </w:p>
    <w:p w14:paraId="442CFCB1" w14:textId="77777777" w:rsidR="000F7A90" w:rsidRPr="00807219" w:rsidRDefault="000F7A90" w:rsidP="001F783F">
      <w:pPr>
        <w:spacing w:line="276" w:lineRule="auto"/>
        <w:ind w:firstLine="720"/>
        <w:jc w:val="both"/>
        <w:rPr>
          <w:rFonts w:asciiTheme="majorBidi" w:hAnsiTheme="majorBidi" w:cstheme="majorBidi"/>
          <w:bCs/>
        </w:rPr>
      </w:pPr>
    </w:p>
    <w:p w14:paraId="5E3FD206" w14:textId="382A4C25" w:rsidR="000F7A90" w:rsidRPr="00094FF1" w:rsidRDefault="000F7A90" w:rsidP="001F783F">
      <w:pPr>
        <w:spacing w:line="276" w:lineRule="auto"/>
        <w:ind w:firstLine="720"/>
        <w:jc w:val="both"/>
        <w:rPr>
          <w:rFonts w:asciiTheme="majorBidi" w:hAnsiTheme="majorBidi" w:cstheme="majorBidi"/>
          <w:bCs/>
        </w:rPr>
      </w:pPr>
      <w:r w:rsidRPr="00094FF1">
        <w:rPr>
          <w:rFonts w:asciiTheme="majorBidi" w:hAnsiTheme="majorBidi" w:cstheme="majorBidi"/>
          <w:bCs/>
        </w:rPr>
        <w:t>[1</w:t>
      </w:r>
      <w:r w:rsidR="00261A14">
        <w:rPr>
          <w:rFonts w:asciiTheme="majorBidi" w:hAnsiTheme="majorBidi" w:cstheme="majorBidi"/>
          <w:bCs/>
        </w:rPr>
        <w:t>8</w:t>
      </w:r>
      <w:r w:rsidRPr="00094FF1">
        <w:rPr>
          <w:rFonts w:asciiTheme="majorBidi" w:hAnsiTheme="majorBidi" w:cstheme="majorBidi"/>
          <w:bCs/>
        </w:rPr>
        <w:t>]</w:t>
      </w:r>
      <w:r w:rsidR="00896CBC">
        <w:rPr>
          <w:rFonts w:asciiTheme="majorBidi" w:hAnsiTheme="majorBidi" w:cstheme="majorBidi"/>
          <w:bCs/>
        </w:rPr>
        <w:t> </w:t>
      </w:r>
      <w:r w:rsidR="00A00665">
        <w:rPr>
          <w:rFonts w:asciiTheme="majorBidi" w:hAnsiTheme="majorBidi" w:cstheme="majorBidi"/>
          <w:bCs/>
        </w:rPr>
        <w:t>Konkurences p</w:t>
      </w:r>
      <w:r w:rsidR="00A00665" w:rsidRPr="00094FF1">
        <w:rPr>
          <w:rFonts w:asciiTheme="majorBidi" w:hAnsiTheme="majorBidi" w:cstheme="majorBidi"/>
          <w:bCs/>
        </w:rPr>
        <w:t xml:space="preserve">adome </w:t>
      </w:r>
      <w:r w:rsidR="00094FF1" w:rsidRPr="00094FF1">
        <w:rPr>
          <w:rFonts w:asciiTheme="majorBidi" w:hAnsiTheme="majorBidi" w:cstheme="majorBidi"/>
          <w:bCs/>
        </w:rPr>
        <w:t xml:space="preserve">rakstveida paskaidrojumos </w:t>
      </w:r>
      <w:r w:rsidR="00E63234">
        <w:rPr>
          <w:rFonts w:asciiTheme="majorBidi" w:hAnsiTheme="majorBidi" w:cstheme="majorBidi"/>
          <w:bCs/>
        </w:rPr>
        <w:t xml:space="preserve">norāda, ka </w:t>
      </w:r>
      <w:r w:rsidR="00094FF1" w:rsidRPr="00094FF1">
        <w:rPr>
          <w:rFonts w:asciiTheme="majorBidi" w:hAnsiTheme="majorBidi" w:cstheme="majorBidi"/>
          <w:bCs/>
        </w:rPr>
        <w:t>kasācijas sūdzības neatzīst</w:t>
      </w:r>
      <w:r w:rsidRPr="00094FF1">
        <w:rPr>
          <w:rFonts w:asciiTheme="majorBidi" w:hAnsiTheme="majorBidi" w:cstheme="majorBidi"/>
          <w:bCs/>
        </w:rPr>
        <w:t>.</w:t>
      </w:r>
    </w:p>
    <w:p w14:paraId="46AD88E7" w14:textId="77777777" w:rsidR="00C872F2" w:rsidRPr="00094FF1" w:rsidRDefault="00C872F2" w:rsidP="001F783F">
      <w:pPr>
        <w:spacing w:line="276" w:lineRule="auto"/>
        <w:ind w:firstLine="720"/>
        <w:jc w:val="both"/>
        <w:rPr>
          <w:rFonts w:asciiTheme="majorBidi" w:hAnsiTheme="majorBidi" w:cstheme="majorBidi"/>
          <w:bCs/>
        </w:rPr>
      </w:pPr>
    </w:p>
    <w:p w14:paraId="3A20E363" w14:textId="1EDE1CBF" w:rsidR="00AC4DBE" w:rsidRDefault="00C872F2" w:rsidP="001F783F">
      <w:pPr>
        <w:spacing w:line="276" w:lineRule="auto"/>
        <w:ind w:firstLine="720"/>
        <w:jc w:val="both"/>
        <w:rPr>
          <w:rFonts w:asciiTheme="majorBidi" w:hAnsiTheme="majorBidi" w:cstheme="majorBidi"/>
          <w:bCs/>
        </w:rPr>
      </w:pPr>
      <w:r w:rsidRPr="00BC2ADE">
        <w:rPr>
          <w:rFonts w:asciiTheme="majorBidi" w:hAnsiTheme="majorBidi" w:cstheme="majorBidi"/>
          <w:bCs/>
        </w:rPr>
        <w:t>[</w:t>
      </w:r>
      <w:r w:rsidR="00261A14">
        <w:rPr>
          <w:rFonts w:asciiTheme="majorBidi" w:hAnsiTheme="majorBidi" w:cstheme="majorBidi"/>
          <w:bCs/>
        </w:rPr>
        <w:t>19</w:t>
      </w:r>
      <w:r w:rsidRPr="00BC2ADE">
        <w:rPr>
          <w:rFonts w:asciiTheme="majorBidi" w:hAnsiTheme="majorBidi" w:cstheme="majorBidi"/>
          <w:bCs/>
        </w:rPr>
        <w:t>]</w:t>
      </w:r>
      <w:r w:rsidR="00896CBC">
        <w:rPr>
          <w:rFonts w:asciiTheme="majorBidi" w:hAnsiTheme="majorBidi" w:cstheme="majorBidi"/>
          <w:bCs/>
        </w:rPr>
        <w:t> </w:t>
      </w:r>
      <w:r w:rsidR="00DD72E0">
        <w:rPr>
          <w:rFonts w:asciiTheme="majorBidi" w:hAnsiTheme="majorBidi" w:cstheme="majorBidi"/>
          <w:bCs/>
        </w:rPr>
        <w:t>L</w:t>
      </w:r>
      <w:r w:rsidRPr="00BC2ADE">
        <w:rPr>
          <w:rFonts w:asciiTheme="majorBidi" w:hAnsiTheme="majorBidi" w:cstheme="majorBidi"/>
          <w:bCs/>
        </w:rPr>
        <w:t xml:space="preserve">ietas dalībnieki </w:t>
      </w:r>
      <w:r w:rsidR="00094FF1" w:rsidRPr="00BC2ADE">
        <w:rPr>
          <w:rFonts w:asciiTheme="majorBidi" w:hAnsiTheme="majorBidi" w:cstheme="majorBidi"/>
          <w:bCs/>
        </w:rPr>
        <w:t xml:space="preserve">tika aicināti </w:t>
      </w:r>
      <w:r w:rsidRPr="00BC2ADE">
        <w:rPr>
          <w:rFonts w:asciiTheme="majorBidi" w:hAnsiTheme="majorBidi" w:cstheme="majorBidi"/>
          <w:bCs/>
        </w:rPr>
        <w:t>snie</w:t>
      </w:r>
      <w:r w:rsidR="00094FF1" w:rsidRPr="00BC2ADE">
        <w:rPr>
          <w:rFonts w:asciiTheme="majorBidi" w:hAnsiTheme="majorBidi" w:cstheme="majorBidi"/>
          <w:bCs/>
        </w:rPr>
        <w:t xml:space="preserve">gt </w:t>
      </w:r>
      <w:r w:rsidRPr="00BC2ADE">
        <w:rPr>
          <w:rFonts w:asciiTheme="majorBidi" w:hAnsiTheme="majorBidi" w:cstheme="majorBidi"/>
          <w:bCs/>
        </w:rPr>
        <w:t>paskaidrojumu</w:t>
      </w:r>
      <w:r w:rsidR="00094FF1" w:rsidRPr="00BC2ADE">
        <w:rPr>
          <w:rFonts w:asciiTheme="majorBidi" w:hAnsiTheme="majorBidi" w:cstheme="majorBidi"/>
          <w:bCs/>
        </w:rPr>
        <w:t>s</w:t>
      </w:r>
      <w:r w:rsidR="00AC4DBE">
        <w:rPr>
          <w:rFonts w:asciiTheme="majorBidi" w:hAnsiTheme="majorBidi" w:cstheme="majorBidi"/>
          <w:bCs/>
        </w:rPr>
        <w:t xml:space="preserve"> par </w:t>
      </w:r>
      <w:r w:rsidR="00AC4DBE" w:rsidRPr="00690CFC">
        <w:t>Eiropas Cilvēktiesību tiesa</w:t>
      </w:r>
      <w:r w:rsidR="00AC4DBE">
        <w:t>s</w:t>
      </w:r>
      <w:r w:rsidR="00AC4DBE" w:rsidRPr="00690CFC">
        <w:t xml:space="preserve"> (Lielā palāta</w:t>
      </w:r>
      <w:r w:rsidR="00AC4DBE" w:rsidRPr="005C63FD">
        <w:t>) 2025.gada 1.aprīļa spriedum</w:t>
      </w:r>
      <w:r w:rsidR="00053664">
        <w:t>u</w:t>
      </w:r>
      <w:r w:rsidR="00AC4DBE" w:rsidRPr="005C63FD">
        <w:t xml:space="preserve"> lietā „</w:t>
      </w:r>
      <w:r w:rsidR="00AC4DBE" w:rsidRPr="005C63FD">
        <w:rPr>
          <w:i/>
          <w:iCs/>
        </w:rPr>
        <w:t>Ships Waste Oil Collector B.V. and Others v. the Netherlands</w:t>
      </w:r>
      <w:r w:rsidR="00AC4DBE" w:rsidRPr="00670118">
        <w:t>”</w:t>
      </w:r>
      <w:r w:rsidR="00AC4DBE">
        <w:t xml:space="preserve">, </w:t>
      </w:r>
      <w:r w:rsidR="00AC4DBE" w:rsidRPr="00690CFC">
        <w:t>iesnieguma Nr. </w:t>
      </w:r>
      <w:hyperlink r:id="rId13" w:anchor="{%22appno%22:[%222799/16%22],%22itemid%22:[%22001-242521%22]}" w:tgtFrame="_blank" w:history="1">
        <w:r w:rsidR="00AC4DBE" w:rsidRPr="00690CFC">
          <w:rPr>
            <w:rStyle w:val="Hyperlink"/>
          </w:rPr>
          <w:t>2799/16</w:t>
        </w:r>
      </w:hyperlink>
      <w:r w:rsidR="00AC4DBE" w:rsidRPr="00690CFC">
        <w:t xml:space="preserve"> u.c.</w:t>
      </w:r>
      <w:r w:rsidR="00AC4DBE">
        <w:t xml:space="preserve"> (</w:t>
      </w:r>
      <w:r w:rsidR="00AC4DBE" w:rsidRPr="00AC4DBE">
        <w:rPr>
          <w:rFonts w:asciiTheme="majorBidi" w:hAnsiTheme="majorBidi" w:cstheme="majorBidi"/>
          <w:bCs/>
        </w:rPr>
        <w:t xml:space="preserve">turpmāk – Eiropas </w:t>
      </w:r>
      <w:r w:rsidR="00AC4DBE">
        <w:rPr>
          <w:rFonts w:asciiTheme="majorBidi" w:hAnsiTheme="majorBidi" w:cstheme="majorBidi"/>
          <w:bCs/>
        </w:rPr>
        <w:t>Cilvēktiesību</w:t>
      </w:r>
      <w:r w:rsidR="00AC4DBE" w:rsidRPr="00AC4DBE">
        <w:rPr>
          <w:rFonts w:asciiTheme="majorBidi" w:hAnsiTheme="majorBidi" w:cstheme="majorBidi"/>
          <w:bCs/>
        </w:rPr>
        <w:t xml:space="preserve"> </w:t>
      </w:r>
      <w:r w:rsidR="00AC4DBE">
        <w:rPr>
          <w:rFonts w:asciiTheme="majorBidi" w:hAnsiTheme="majorBidi" w:cstheme="majorBidi"/>
          <w:bCs/>
        </w:rPr>
        <w:t>t</w:t>
      </w:r>
      <w:r w:rsidR="00AC4DBE" w:rsidRPr="00AC4DBE">
        <w:rPr>
          <w:rFonts w:asciiTheme="majorBidi" w:hAnsiTheme="majorBidi" w:cstheme="majorBidi"/>
          <w:bCs/>
        </w:rPr>
        <w:t>iesas spriedums lietā „</w:t>
      </w:r>
      <w:r w:rsidR="00AC4DBE">
        <w:rPr>
          <w:rFonts w:asciiTheme="majorBidi" w:hAnsiTheme="majorBidi" w:cstheme="majorBidi"/>
          <w:bCs/>
        </w:rPr>
        <w:t>Ship Waste Oil Collector”)</w:t>
      </w:r>
      <w:r w:rsidR="00053664">
        <w:rPr>
          <w:rFonts w:asciiTheme="majorBidi" w:hAnsiTheme="majorBidi" w:cstheme="majorBidi"/>
          <w:bCs/>
        </w:rPr>
        <w:t>.</w:t>
      </w:r>
    </w:p>
    <w:p w14:paraId="5AFE978C" w14:textId="51917ABE" w:rsidR="007F1B59" w:rsidRDefault="006D6B33" w:rsidP="001F783F">
      <w:pPr>
        <w:spacing w:line="276" w:lineRule="auto"/>
        <w:ind w:firstLine="720"/>
        <w:jc w:val="both"/>
        <w:rPr>
          <w:rFonts w:asciiTheme="majorBidi" w:hAnsiTheme="majorBidi" w:cstheme="majorBidi"/>
          <w:bCs/>
        </w:rPr>
      </w:pPr>
      <w:r w:rsidRPr="006D6B33">
        <w:rPr>
          <w:rFonts w:asciiTheme="majorBidi" w:hAnsiTheme="majorBidi" w:cstheme="majorBidi"/>
          <w:bCs/>
        </w:rPr>
        <w:t>Lietas dalībnieki</w:t>
      </w:r>
      <w:r>
        <w:rPr>
          <w:rFonts w:asciiTheme="majorBidi" w:hAnsiTheme="majorBidi" w:cstheme="majorBidi"/>
          <w:bCs/>
          <w:i/>
          <w:iCs/>
        </w:rPr>
        <w:t xml:space="preserve"> – </w:t>
      </w:r>
      <w:r w:rsidR="00094FF1" w:rsidRPr="00BC2ADE">
        <w:rPr>
          <w:rFonts w:asciiTheme="majorBidi" w:hAnsiTheme="majorBidi" w:cstheme="majorBidi"/>
          <w:bCs/>
          <w:i/>
          <w:iCs/>
        </w:rPr>
        <w:t>Merks</w:t>
      </w:r>
      <w:r w:rsidR="00094FF1" w:rsidRPr="00BC2ADE">
        <w:rPr>
          <w:rFonts w:asciiTheme="majorBidi" w:hAnsiTheme="majorBidi" w:cstheme="majorBidi"/>
          <w:bCs/>
        </w:rPr>
        <w:t xml:space="preserve"> </w:t>
      </w:r>
      <w:r w:rsidR="00BC2ADE" w:rsidRPr="00BC2ADE">
        <w:rPr>
          <w:rFonts w:asciiTheme="majorBidi" w:hAnsiTheme="majorBidi" w:cstheme="majorBidi"/>
          <w:bCs/>
        </w:rPr>
        <w:t>kopā ar</w:t>
      </w:r>
      <w:r w:rsidR="00094FF1" w:rsidRPr="00BC2ADE">
        <w:rPr>
          <w:rFonts w:asciiTheme="majorBidi" w:hAnsiTheme="majorBidi" w:cstheme="majorBidi"/>
          <w:bCs/>
        </w:rPr>
        <w:t xml:space="preserve"> </w:t>
      </w:r>
      <w:r w:rsidR="00094FF1" w:rsidRPr="00BC2ADE">
        <w:rPr>
          <w:rFonts w:asciiTheme="majorBidi" w:hAnsiTheme="majorBidi" w:cstheme="majorBidi"/>
          <w:bCs/>
          <w:i/>
          <w:iCs/>
        </w:rPr>
        <w:t>Merko Ehitus</w:t>
      </w:r>
      <w:r w:rsidR="00094FF1" w:rsidRPr="00BC2ADE">
        <w:rPr>
          <w:rFonts w:asciiTheme="majorBidi" w:hAnsiTheme="majorBidi" w:cstheme="majorBidi"/>
          <w:bCs/>
        </w:rPr>
        <w:t xml:space="preserve">, </w:t>
      </w:r>
      <w:r w:rsidR="00094FF1" w:rsidRPr="00BC2ADE">
        <w:rPr>
          <w:rFonts w:asciiTheme="majorBidi" w:hAnsiTheme="majorBidi" w:cstheme="majorBidi"/>
          <w:bCs/>
          <w:i/>
          <w:iCs/>
        </w:rPr>
        <w:t>Skonto Būve</w:t>
      </w:r>
      <w:r w:rsidR="00094FF1" w:rsidRPr="00BC2ADE">
        <w:rPr>
          <w:rFonts w:asciiTheme="majorBidi" w:hAnsiTheme="majorBidi" w:cstheme="majorBidi"/>
          <w:bCs/>
        </w:rPr>
        <w:t xml:space="preserve">, </w:t>
      </w:r>
      <w:r w:rsidR="00094FF1" w:rsidRPr="00BC2ADE">
        <w:rPr>
          <w:rFonts w:asciiTheme="majorBidi" w:hAnsiTheme="majorBidi" w:cstheme="majorBidi"/>
          <w:bCs/>
          <w:i/>
          <w:iCs/>
        </w:rPr>
        <w:t>LEC</w:t>
      </w:r>
      <w:r w:rsidR="00094FF1" w:rsidRPr="00BC2ADE">
        <w:rPr>
          <w:rFonts w:asciiTheme="majorBidi" w:hAnsiTheme="majorBidi" w:cstheme="majorBidi"/>
          <w:bCs/>
        </w:rPr>
        <w:t xml:space="preserve">, </w:t>
      </w:r>
      <w:r w:rsidR="00094FF1" w:rsidRPr="00BC2ADE">
        <w:rPr>
          <w:rFonts w:asciiTheme="majorBidi" w:hAnsiTheme="majorBidi" w:cstheme="majorBidi"/>
          <w:bCs/>
          <w:i/>
          <w:iCs/>
        </w:rPr>
        <w:t>LNK</w:t>
      </w:r>
      <w:r w:rsidR="00094FF1" w:rsidRPr="00BC2ADE">
        <w:rPr>
          <w:rFonts w:asciiTheme="majorBidi" w:hAnsiTheme="majorBidi" w:cstheme="majorBidi"/>
          <w:bCs/>
        </w:rPr>
        <w:t xml:space="preserve">, </w:t>
      </w:r>
      <w:r w:rsidR="00094FF1" w:rsidRPr="00BC2ADE">
        <w:rPr>
          <w:rFonts w:asciiTheme="majorBidi" w:hAnsiTheme="majorBidi" w:cstheme="majorBidi"/>
          <w:bCs/>
          <w:i/>
          <w:iCs/>
        </w:rPr>
        <w:t>Arčers</w:t>
      </w:r>
      <w:r w:rsidR="00094FF1" w:rsidRPr="00BC2ADE">
        <w:rPr>
          <w:rFonts w:asciiTheme="majorBidi" w:hAnsiTheme="majorBidi" w:cstheme="majorBidi"/>
          <w:bCs/>
        </w:rPr>
        <w:t xml:space="preserve">, </w:t>
      </w:r>
      <w:r w:rsidR="00094FF1" w:rsidRPr="00BC2ADE">
        <w:rPr>
          <w:rFonts w:asciiTheme="majorBidi" w:hAnsiTheme="majorBidi" w:cstheme="majorBidi"/>
          <w:bCs/>
          <w:i/>
          <w:iCs/>
        </w:rPr>
        <w:t>LNK</w:t>
      </w:r>
      <w:r w:rsidR="00094FF1" w:rsidRPr="00BC2ADE">
        <w:rPr>
          <w:rFonts w:asciiTheme="majorBidi" w:hAnsiTheme="majorBidi" w:cstheme="majorBidi"/>
          <w:bCs/>
        </w:rPr>
        <w:t xml:space="preserve"> </w:t>
      </w:r>
      <w:r w:rsidR="00094FF1" w:rsidRPr="00BC2ADE">
        <w:rPr>
          <w:rFonts w:asciiTheme="majorBidi" w:hAnsiTheme="majorBidi" w:cstheme="majorBidi"/>
          <w:bCs/>
          <w:i/>
          <w:iCs/>
        </w:rPr>
        <w:t>Industries</w:t>
      </w:r>
      <w:r w:rsidR="00094FF1" w:rsidRPr="00BC2ADE">
        <w:rPr>
          <w:rFonts w:asciiTheme="majorBidi" w:hAnsiTheme="majorBidi" w:cstheme="majorBidi"/>
          <w:bCs/>
        </w:rPr>
        <w:t xml:space="preserve">, </w:t>
      </w:r>
      <w:r w:rsidR="00094FF1" w:rsidRPr="00BC2ADE">
        <w:rPr>
          <w:rFonts w:asciiTheme="majorBidi" w:hAnsiTheme="majorBidi" w:cstheme="majorBidi"/>
          <w:bCs/>
          <w:i/>
          <w:iCs/>
        </w:rPr>
        <w:t>Abora</w:t>
      </w:r>
      <w:r w:rsidR="00094FF1" w:rsidRPr="00BC2ADE">
        <w:rPr>
          <w:rFonts w:asciiTheme="majorBidi" w:hAnsiTheme="majorBidi" w:cstheme="majorBidi"/>
          <w:bCs/>
        </w:rPr>
        <w:t xml:space="preserve"> </w:t>
      </w:r>
      <w:r w:rsidR="00BC2ADE" w:rsidRPr="00BC2ADE">
        <w:rPr>
          <w:rFonts w:asciiTheme="majorBidi" w:hAnsiTheme="majorBidi" w:cstheme="majorBidi"/>
          <w:bCs/>
        </w:rPr>
        <w:t>kopā ar</w:t>
      </w:r>
      <w:r w:rsidR="00094FF1" w:rsidRPr="00BC2ADE">
        <w:rPr>
          <w:rFonts w:asciiTheme="majorBidi" w:hAnsiTheme="majorBidi" w:cstheme="majorBidi"/>
          <w:bCs/>
        </w:rPr>
        <w:t xml:space="preserve"> </w:t>
      </w:r>
      <w:r w:rsidR="00A00665" w:rsidRPr="00BC2ADE">
        <w:rPr>
          <w:rFonts w:asciiTheme="majorBidi" w:hAnsiTheme="majorBidi" w:cstheme="majorBidi"/>
          <w:bCs/>
          <w:i/>
          <w:iCs/>
        </w:rPr>
        <w:t>Tehnocentr</w:t>
      </w:r>
      <w:r w:rsidR="00A00665">
        <w:rPr>
          <w:rFonts w:asciiTheme="majorBidi" w:hAnsiTheme="majorBidi" w:cstheme="majorBidi"/>
          <w:bCs/>
          <w:i/>
          <w:iCs/>
        </w:rPr>
        <w:t>u</w:t>
      </w:r>
      <w:r w:rsidR="00094FF1" w:rsidRPr="00BC2ADE">
        <w:rPr>
          <w:rFonts w:asciiTheme="majorBidi" w:hAnsiTheme="majorBidi" w:cstheme="majorBidi"/>
          <w:bCs/>
        </w:rPr>
        <w:t xml:space="preserve">, </w:t>
      </w:r>
      <w:r w:rsidR="00094FF1" w:rsidRPr="00BC2ADE">
        <w:rPr>
          <w:rFonts w:asciiTheme="majorBidi" w:hAnsiTheme="majorBidi" w:cstheme="majorBidi"/>
          <w:bCs/>
          <w:i/>
          <w:iCs/>
        </w:rPr>
        <w:t>RERE Būve</w:t>
      </w:r>
      <w:r w:rsidR="00BC2ADE" w:rsidRPr="00BC2ADE">
        <w:rPr>
          <w:rFonts w:asciiTheme="majorBidi" w:hAnsiTheme="majorBidi" w:cstheme="majorBidi"/>
          <w:bCs/>
        </w:rPr>
        <w:t xml:space="preserve"> kopā ar</w:t>
      </w:r>
      <w:r w:rsidR="00094FF1" w:rsidRPr="00BC2ADE">
        <w:rPr>
          <w:rFonts w:asciiTheme="majorBidi" w:hAnsiTheme="majorBidi" w:cstheme="majorBidi"/>
          <w:bCs/>
        </w:rPr>
        <w:t xml:space="preserve"> </w:t>
      </w:r>
      <w:r w:rsidR="00094FF1" w:rsidRPr="00BC2ADE">
        <w:rPr>
          <w:rFonts w:asciiTheme="majorBidi" w:hAnsiTheme="majorBidi" w:cstheme="majorBidi"/>
          <w:bCs/>
          <w:i/>
          <w:iCs/>
        </w:rPr>
        <w:t xml:space="preserve">RERE </w:t>
      </w:r>
      <w:r w:rsidR="00A00665" w:rsidRPr="00BC2ADE">
        <w:rPr>
          <w:rFonts w:asciiTheme="majorBidi" w:hAnsiTheme="majorBidi" w:cstheme="majorBidi"/>
          <w:bCs/>
          <w:i/>
          <w:iCs/>
        </w:rPr>
        <w:t>Grup</w:t>
      </w:r>
      <w:r w:rsidR="00A00665">
        <w:rPr>
          <w:rFonts w:asciiTheme="majorBidi" w:hAnsiTheme="majorBidi" w:cstheme="majorBidi"/>
          <w:bCs/>
          <w:i/>
          <w:iCs/>
        </w:rPr>
        <w:t>u</w:t>
      </w:r>
      <w:r w:rsidR="00A00665" w:rsidRPr="00BC2ADE">
        <w:rPr>
          <w:rFonts w:asciiTheme="majorBidi" w:hAnsiTheme="majorBidi" w:cstheme="majorBidi"/>
          <w:bCs/>
        </w:rPr>
        <w:t xml:space="preserve"> </w:t>
      </w:r>
      <w:r w:rsidR="00094FF1" w:rsidRPr="00BC2ADE">
        <w:rPr>
          <w:rFonts w:asciiTheme="majorBidi" w:hAnsiTheme="majorBidi" w:cstheme="majorBidi"/>
          <w:bCs/>
        </w:rPr>
        <w:t xml:space="preserve">un </w:t>
      </w:r>
      <w:r w:rsidR="00094FF1" w:rsidRPr="00BC2ADE">
        <w:rPr>
          <w:rFonts w:asciiTheme="majorBidi" w:hAnsiTheme="majorBidi" w:cstheme="majorBidi"/>
          <w:bCs/>
          <w:i/>
          <w:iCs/>
        </w:rPr>
        <w:t>RE&amp;RE</w:t>
      </w:r>
      <w:r w:rsidR="00BC2ADE" w:rsidRPr="00BC2ADE">
        <w:rPr>
          <w:rFonts w:asciiTheme="majorBidi" w:hAnsiTheme="majorBidi" w:cstheme="majorBidi"/>
          <w:bCs/>
        </w:rPr>
        <w:t xml:space="preserve">, kā arī </w:t>
      </w:r>
      <w:r w:rsidR="0014700C">
        <w:rPr>
          <w:rFonts w:asciiTheme="majorBidi" w:hAnsiTheme="majorBidi" w:cstheme="majorBidi"/>
          <w:bCs/>
        </w:rPr>
        <w:t>Konkurences p</w:t>
      </w:r>
      <w:r w:rsidR="0014700C" w:rsidRPr="00BC2ADE">
        <w:rPr>
          <w:rFonts w:asciiTheme="majorBidi" w:hAnsiTheme="majorBidi" w:cstheme="majorBidi"/>
          <w:bCs/>
        </w:rPr>
        <w:t>adome</w:t>
      </w:r>
      <w:r w:rsidR="0014700C">
        <w:rPr>
          <w:rFonts w:asciiTheme="majorBidi" w:hAnsiTheme="majorBidi" w:cstheme="majorBidi"/>
          <w:bCs/>
        </w:rPr>
        <w:t xml:space="preserve"> </w:t>
      </w:r>
      <w:r>
        <w:rPr>
          <w:rFonts w:asciiTheme="majorBidi" w:hAnsiTheme="majorBidi" w:cstheme="majorBidi"/>
          <w:bCs/>
        </w:rPr>
        <w:t>–</w:t>
      </w:r>
      <w:r w:rsidR="00BC2ADE" w:rsidRPr="00BC2ADE">
        <w:rPr>
          <w:rFonts w:asciiTheme="majorBidi" w:hAnsiTheme="majorBidi" w:cstheme="majorBidi"/>
          <w:bCs/>
        </w:rPr>
        <w:t xml:space="preserve"> sniedza </w:t>
      </w:r>
      <w:r>
        <w:rPr>
          <w:rFonts w:asciiTheme="majorBidi" w:hAnsiTheme="majorBidi" w:cstheme="majorBidi"/>
          <w:bCs/>
        </w:rPr>
        <w:t>rakstveida paskaidrojumus</w:t>
      </w:r>
      <w:r w:rsidR="00BC2ADE" w:rsidRPr="00BC2ADE">
        <w:rPr>
          <w:rFonts w:asciiTheme="majorBidi" w:hAnsiTheme="majorBidi" w:cstheme="majorBidi"/>
          <w:bCs/>
        </w:rPr>
        <w:t>.</w:t>
      </w:r>
    </w:p>
    <w:p w14:paraId="038A4889" w14:textId="77777777" w:rsidR="00BC2ADE" w:rsidRPr="00807219" w:rsidRDefault="00BC2ADE" w:rsidP="001F783F">
      <w:pPr>
        <w:spacing w:line="276" w:lineRule="auto"/>
        <w:ind w:firstLine="720"/>
        <w:jc w:val="both"/>
        <w:rPr>
          <w:rFonts w:asciiTheme="majorBidi" w:hAnsiTheme="majorBidi" w:cstheme="majorBidi"/>
        </w:rPr>
      </w:pPr>
    </w:p>
    <w:p w14:paraId="5B3DD66A" w14:textId="77777777" w:rsidR="00F53F48" w:rsidRPr="00807219" w:rsidRDefault="00F53F48" w:rsidP="001F783F">
      <w:pPr>
        <w:pStyle w:val="NormalWeb"/>
        <w:spacing w:before="0" w:beforeAutospacing="0" w:after="0" w:afterAutospacing="0" w:line="276" w:lineRule="auto"/>
        <w:contextualSpacing/>
        <w:jc w:val="center"/>
        <w:rPr>
          <w:rFonts w:asciiTheme="majorBidi" w:hAnsiTheme="majorBidi" w:cstheme="majorBidi"/>
          <w:b/>
          <w:bCs/>
        </w:rPr>
      </w:pPr>
      <w:r w:rsidRPr="00807219">
        <w:rPr>
          <w:rFonts w:asciiTheme="majorBidi" w:hAnsiTheme="majorBidi" w:cstheme="majorBidi"/>
          <w:b/>
          <w:bCs/>
        </w:rPr>
        <w:t>Motīvu daļa</w:t>
      </w:r>
    </w:p>
    <w:p w14:paraId="3CE1D05E" w14:textId="001DE431" w:rsidR="00E825B9" w:rsidRPr="00807219" w:rsidRDefault="00E825B9" w:rsidP="001F783F">
      <w:pPr>
        <w:spacing w:line="276" w:lineRule="auto"/>
        <w:ind w:firstLine="720"/>
        <w:jc w:val="both"/>
      </w:pPr>
    </w:p>
    <w:p w14:paraId="69140E39" w14:textId="25B3DE08" w:rsidR="00745919" w:rsidRDefault="00745919" w:rsidP="001F783F">
      <w:pPr>
        <w:spacing w:line="276" w:lineRule="auto"/>
        <w:ind w:firstLine="709"/>
        <w:jc w:val="both"/>
        <w:rPr>
          <w:rFonts w:ascii="TimesNewRomanPSMT" w:hAnsi="TimesNewRomanPSMT" w:cs="TimesNewRomanPSMT"/>
        </w:rPr>
      </w:pPr>
      <w:r w:rsidRPr="00FF1528">
        <w:rPr>
          <w:lang w:eastAsia="lv-LV"/>
        </w:rPr>
        <w:t>[</w:t>
      </w:r>
      <w:r>
        <w:rPr>
          <w:lang w:eastAsia="lv-LV"/>
        </w:rPr>
        <w:t>2</w:t>
      </w:r>
      <w:r w:rsidR="00261A14">
        <w:rPr>
          <w:lang w:eastAsia="lv-LV"/>
        </w:rPr>
        <w:t>0</w:t>
      </w:r>
      <w:r w:rsidRPr="00FF1528">
        <w:rPr>
          <w:lang w:eastAsia="lv-LV"/>
        </w:rPr>
        <w:t xml:space="preserve">] Senātam </w:t>
      </w:r>
      <w:r>
        <w:rPr>
          <w:lang w:eastAsia="lv-LV"/>
        </w:rPr>
        <w:t>k</w:t>
      </w:r>
      <w:r w:rsidRPr="00FF1528">
        <w:rPr>
          <w:lang w:eastAsia="lv-LV"/>
        </w:rPr>
        <w:t xml:space="preserve">asācijas tiesvedībā </w:t>
      </w:r>
      <w:r w:rsidR="006A00F6">
        <w:rPr>
          <w:lang w:eastAsia="lv-LV"/>
        </w:rPr>
        <w:t>jānoskaidro</w:t>
      </w:r>
      <w:r w:rsidRPr="00FF1528">
        <w:rPr>
          <w:lang w:eastAsia="lv-LV"/>
        </w:rPr>
        <w:t xml:space="preserve">, vai </w:t>
      </w:r>
      <w:r w:rsidR="00C45AFC" w:rsidRPr="00FF1528">
        <w:rPr>
          <w:lang w:eastAsia="lv-LV"/>
        </w:rPr>
        <w:t>apgabaltiesa</w:t>
      </w:r>
      <w:r w:rsidR="006A00F6">
        <w:rPr>
          <w:lang w:eastAsia="lv-LV"/>
        </w:rPr>
        <w:t xml:space="preserve"> </w:t>
      </w:r>
      <w:r w:rsidR="006A00F6">
        <w:t>nav pieļāvusi procesuālus pārkāpumus lietas faktisko apstākļu noskaidrošanā</w:t>
      </w:r>
      <w:r w:rsidR="005D2B83">
        <w:t xml:space="preserve">, kā arī to, </w:t>
      </w:r>
      <w:r w:rsidR="006A00F6">
        <w:t>vai t</w:t>
      </w:r>
      <w:r w:rsidR="005D2B83">
        <w:t xml:space="preserve">iesa </w:t>
      </w:r>
      <w:r w:rsidR="00C45AFC">
        <w:rPr>
          <w:lang w:eastAsia="lv-LV"/>
        </w:rPr>
        <w:t xml:space="preserve">ir </w:t>
      </w:r>
      <w:r w:rsidR="00C45AFC">
        <w:rPr>
          <w:rFonts w:ascii="TimesNewRomanPSMT" w:hAnsi="TimesNewRomanPSMT" w:cs="TimesNewRomanPSMT"/>
        </w:rPr>
        <w:t>pareizi</w:t>
      </w:r>
      <w:r w:rsidR="00C45AFC" w:rsidRPr="00FF1528">
        <w:rPr>
          <w:rFonts w:ascii="TimesNewRomanPSMT" w:hAnsi="TimesNewRomanPSMT" w:cs="TimesNewRomanPSMT"/>
        </w:rPr>
        <w:t xml:space="preserve"> </w:t>
      </w:r>
      <w:r w:rsidRPr="00FF1528">
        <w:rPr>
          <w:lang w:eastAsia="lv-LV"/>
        </w:rPr>
        <w:t>kvalificējusi pieteicēj</w:t>
      </w:r>
      <w:r>
        <w:rPr>
          <w:lang w:eastAsia="lv-LV"/>
        </w:rPr>
        <w:t>u</w:t>
      </w:r>
      <w:r w:rsidRPr="00FF1528">
        <w:rPr>
          <w:lang w:eastAsia="lv-LV"/>
        </w:rPr>
        <w:t xml:space="preserve"> darbības</w:t>
      </w:r>
      <w:r>
        <w:rPr>
          <w:lang w:eastAsia="lv-LV"/>
        </w:rPr>
        <w:t xml:space="preserve"> </w:t>
      </w:r>
      <w:r w:rsidRPr="00FF1528">
        <w:rPr>
          <w:lang w:eastAsia="lv-LV"/>
        </w:rPr>
        <w:t>kā piedalīšanos aizliegtā vienošanās</w:t>
      </w:r>
      <w:r w:rsidR="000A2270">
        <w:rPr>
          <w:lang w:eastAsia="lv-LV"/>
        </w:rPr>
        <w:t>, kas</w:t>
      </w:r>
      <w:r w:rsidR="00D02223">
        <w:rPr>
          <w:lang w:eastAsia="lv-LV"/>
        </w:rPr>
        <w:t xml:space="preserve"> paredzēta </w:t>
      </w:r>
      <w:r w:rsidR="00C45AFC" w:rsidRPr="00FF1528">
        <w:rPr>
          <w:rFonts w:ascii="TimesNewRomanPSMT" w:hAnsi="TimesNewRomanPSMT" w:cs="TimesNewRomanPSMT"/>
        </w:rPr>
        <w:t>Konkurences likuma 11.panta pirmaj</w:t>
      </w:r>
      <w:r w:rsidR="00D02223">
        <w:rPr>
          <w:rFonts w:ascii="TimesNewRomanPSMT" w:hAnsi="TimesNewRomanPSMT" w:cs="TimesNewRomanPSMT"/>
        </w:rPr>
        <w:t xml:space="preserve">ā </w:t>
      </w:r>
      <w:r w:rsidR="00C45AFC" w:rsidRPr="00FF1528">
        <w:rPr>
          <w:rFonts w:ascii="TimesNewRomanPSMT" w:hAnsi="TimesNewRomanPSMT" w:cs="TimesNewRomanPSMT"/>
        </w:rPr>
        <w:t>daļ</w:t>
      </w:r>
      <w:r w:rsidR="00D02223">
        <w:rPr>
          <w:rFonts w:ascii="TimesNewRomanPSMT" w:hAnsi="TimesNewRomanPSMT" w:cs="TimesNewRomanPSMT"/>
        </w:rPr>
        <w:t>ā</w:t>
      </w:r>
      <w:r w:rsidR="00C45AFC">
        <w:rPr>
          <w:rFonts w:ascii="TimesNewRomanPSMT" w:hAnsi="TimesNewRomanPSMT" w:cs="TimesNewRomanPSMT"/>
        </w:rPr>
        <w:t xml:space="preserve"> un LESD 101.panta 1.punkt</w:t>
      </w:r>
      <w:r w:rsidR="00D02223">
        <w:rPr>
          <w:rFonts w:ascii="TimesNewRomanPSMT" w:hAnsi="TimesNewRomanPSMT" w:cs="TimesNewRomanPSMT"/>
        </w:rPr>
        <w:t>ā</w:t>
      </w:r>
      <w:r w:rsidRPr="00FF1528">
        <w:rPr>
          <w:rFonts w:ascii="TimesNewRomanPSMT" w:hAnsi="TimesNewRomanPSMT" w:cs="TimesNewRomanPSMT"/>
        </w:rPr>
        <w:t>.</w:t>
      </w:r>
    </w:p>
    <w:p w14:paraId="2A28B0ED" w14:textId="77777777" w:rsidR="00311ED2" w:rsidRPr="00311ED2" w:rsidRDefault="00311ED2" w:rsidP="001F783F">
      <w:pPr>
        <w:spacing w:line="276" w:lineRule="auto"/>
        <w:ind w:firstLine="709"/>
        <w:jc w:val="both"/>
        <w:rPr>
          <w:rFonts w:ascii="TimesNewRomanPSMT" w:hAnsi="TimesNewRomanPSMT" w:cs="TimesNewRomanPSMT"/>
        </w:rPr>
      </w:pPr>
    </w:p>
    <w:p w14:paraId="613DF26D" w14:textId="7EDC3451" w:rsidR="00820049" w:rsidRPr="00820049" w:rsidRDefault="00881FBF" w:rsidP="001F783F">
      <w:pPr>
        <w:spacing w:line="276" w:lineRule="auto"/>
        <w:ind w:firstLine="720"/>
        <w:jc w:val="both"/>
        <w:rPr>
          <w:rFonts w:asciiTheme="majorBidi" w:hAnsiTheme="majorBidi" w:cstheme="majorBidi"/>
        </w:rPr>
      </w:pPr>
      <w:r w:rsidRPr="00820049">
        <w:t>[2</w:t>
      </w:r>
      <w:r w:rsidR="00261A14">
        <w:t>1</w:t>
      </w:r>
      <w:r w:rsidRPr="00820049">
        <w:t>]</w:t>
      </w:r>
      <w:r w:rsidR="00896CBC">
        <w:t> </w:t>
      </w:r>
      <w:r w:rsidR="00244D0D">
        <w:rPr>
          <w:rFonts w:asciiTheme="majorBidi" w:hAnsiTheme="majorBidi" w:cstheme="majorBidi"/>
        </w:rPr>
        <w:t>V</w:t>
      </w:r>
      <w:r w:rsidR="00507B55" w:rsidRPr="00820049">
        <w:rPr>
          <w:rFonts w:asciiTheme="majorBidi" w:hAnsiTheme="majorBidi" w:cstheme="majorBidi"/>
        </w:rPr>
        <w:t>ien</w:t>
      </w:r>
      <w:r w:rsidR="00244D0D">
        <w:rPr>
          <w:rFonts w:asciiTheme="majorBidi" w:hAnsiTheme="majorBidi" w:cstheme="majorBidi"/>
        </w:rPr>
        <w:t>s</w:t>
      </w:r>
      <w:r w:rsidR="00507B55" w:rsidRPr="00820049">
        <w:rPr>
          <w:rFonts w:asciiTheme="majorBidi" w:hAnsiTheme="majorBidi" w:cstheme="majorBidi"/>
        </w:rPr>
        <w:t xml:space="preserve"> no centrālajiem </w:t>
      </w:r>
      <w:r w:rsidR="00244D0D">
        <w:rPr>
          <w:rFonts w:asciiTheme="majorBidi" w:hAnsiTheme="majorBidi" w:cstheme="majorBidi"/>
        </w:rPr>
        <w:t xml:space="preserve">kasatoru </w:t>
      </w:r>
      <w:r w:rsidR="00507B55" w:rsidRPr="00820049">
        <w:rPr>
          <w:rFonts w:asciiTheme="majorBidi" w:hAnsiTheme="majorBidi" w:cstheme="majorBidi"/>
        </w:rPr>
        <w:t xml:space="preserve">iebildumiem </w:t>
      </w:r>
      <w:r w:rsidR="00244D0D">
        <w:rPr>
          <w:rFonts w:asciiTheme="majorBidi" w:hAnsiTheme="majorBidi" w:cstheme="majorBidi"/>
        </w:rPr>
        <w:t>ir</w:t>
      </w:r>
      <w:r w:rsidR="00507B55" w:rsidRPr="00820049">
        <w:rPr>
          <w:rFonts w:asciiTheme="majorBidi" w:hAnsiTheme="majorBidi" w:cstheme="majorBidi"/>
        </w:rPr>
        <w:t xml:space="preserve"> </w:t>
      </w:r>
      <w:r w:rsidR="00D02223">
        <w:rPr>
          <w:rFonts w:asciiTheme="majorBidi" w:hAnsiTheme="majorBidi" w:cstheme="majorBidi"/>
        </w:rPr>
        <w:t>tas</w:t>
      </w:r>
      <w:r w:rsidR="00507B55" w:rsidRPr="00820049">
        <w:rPr>
          <w:rFonts w:asciiTheme="majorBidi" w:hAnsiTheme="majorBidi" w:cstheme="majorBidi"/>
        </w:rPr>
        <w:t xml:space="preserve">, ka </w:t>
      </w:r>
      <w:r w:rsidR="00332C9C">
        <w:rPr>
          <w:rFonts w:asciiTheme="majorBidi" w:hAnsiTheme="majorBidi" w:cstheme="majorBidi"/>
        </w:rPr>
        <w:t>apgabaltiesa</w:t>
      </w:r>
      <w:r w:rsidR="00507B55" w:rsidRPr="00820049">
        <w:rPr>
          <w:rFonts w:asciiTheme="majorBidi" w:hAnsiTheme="majorBidi" w:cstheme="majorBidi"/>
        </w:rPr>
        <w:t xml:space="preserve"> kļūdaini par pieļaujamiem pierādījumiem ir atzinusi </w:t>
      </w:r>
      <w:r w:rsidR="001C09E4">
        <w:rPr>
          <w:rFonts w:asciiTheme="majorBidi" w:hAnsiTheme="majorBidi" w:cstheme="majorBidi"/>
        </w:rPr>
        <w:t>b</w:t>
      </w:r>
      <w:r w:rsidR="00507B55" w:rsidRPr="00820049">
        <w:rPr>
          <w:rFonts w:asciiTheme="majorBidi" w:hAnsiTheme="majorBidi" w:cstheme="majorBidi"/>
        </w:rPr>
        <w:t xml:space="preserve">iroja </w:t>
      </w:r>
      <w:r w:rsidR="00A86626" w:rsidRPr="00820049">
        <w:rPr>
          <w:rFonts w:asciiTheme="majorBidi" w:hAnsiTheme="majorBidi" w:cstheme="majorBidi"/>
        </w:rPr>
        <w:t>nodot</w:t>
      </w:r>
      <w:r w:rsidR="00A86626">
        <w:rPr>
          <w:rFonts w:asciiTheme="majorBidi" w:hAnsiTheme="majorBidi" w:cstheme="majorBidi"/>
        </w:rPr>
        <w:t>o</w:t>
      </w:r>
      <w:r w:rsidR="00A86626" w:rsidRPr="00820049">
        <w:rPr>
          <w:rFonts w:asciiTheme="majorBidi" w:hAnsiTheme="majorBidi" w:cstheme="majorBidi"/>
        </w:rPr>
        <w:t xml:space="preserve">s </w:t>
      </w:r>
      <w:r w:rsidR="00507B55" w:rsidRPr="00820049">
        <w:rPr>
          <w:rFonts w:asciiTheme="majorBidi" w:hAnsiTheme="majorBidi" w:cstheme="majorBidi"/>
        </w:rPr>
        <w:t>sarunu atšifrējumus</w:t>
      </w:r>
      <w:r w:rsidR="00E63234">
        <w:rPr>
          <w:rFonts w:asciiTheme="majorBidi" w:hAnsiTheme="majorBidi" w:cstheme="majorBidi"/>
        </w:rPr>
        <w:t xml:space="preserve"> </w:t>
      </w:r>
      <w:r w:rsidR="00E11F02">
        <w:rPr>
          <w:rFonts w:asciiTheme="majorBidi" w:hAnsiTheme="majorBidi" w:cstheme="majorBidi"/>
        </w:rPr>
        <w:t>Konkurences p</w:t>
      </w:r>
      <w:r w:rsidR="00E63234">
        <w:rPr>
          <w:rFonts w:asciiTheme="majorBidi" w:hAnsiTheme="majorBidi" w:cstheme="majorBidi"/>
        </w:rPr>
        <w:t>adomei</w:t>
      </w:r>
      <w:r w:rsidR="00507B55" w:rsidRPr="00820049">
        <w:rPr>
          <w:rFonts w:asciiTheme="majorBidi" w:hAnsiTheme="majorBidi" w:cstheme="majorBidi"/>
        </w:rPr>
        <w:t xml:space="preserve">, kā arī </w:t>
      </w:r>
      <w:r w:rsidR="0000368F" w:rsidRPr="00820049">
        <w:rPr>
          <w:rFonts w:asciiTheme="majorBidi" w:hAnsiTheme="majorBidi" w:cstheme="majorBidi"/>
        </w:rPr>
        <w:t xml:space="preserve">pašus </w:t>
      </w:r>
      <w:r w:rsidR="00507B55" w:rsidRPr="00820049">
        <w:rPr>
          <w:rFonts w:asciiTheme="majorBidi" w:hAnsiTheme="majorBidi" w:cstheme="majorBidi"/>
        </w:rPr>
        <w:t xml:space="preserve">sarunu audioierakstus, kurus </w:t>
      </w:r>
      <w:r w:rsidR="0000368F" w:rsidRPr="00820049">
        <w:rPr>
          <w:rFonts w:asciiTheme="majorBidi" w:hAnsiTheme="majorBidi" w:cstheme="majorBidi"/>
        </w:rPr>
        <w:t xml:space="preserve">tiesa </w:t>
      </w:r>
      <w:r w:rsidR="00507B55" w:rsidRPr="00820049">
        <w:rPr>
          <w:rFonts w:asciiTheme="majorBidi" w:hAnsiTheme="majorBidi" w:cstheme="majorBidi"/>
        </w:rPr>
        <w:t xml:space="preserve">lūdza </w:t>
      </w:r>
      <w:r w:rsidR="001C09E4">
        <w:rPr>
          <w:rFonts w:asciiTheme="majorBidi" w:hAnsiTheme="majorBidi" w:cstheme="majorBidi"/>
        </w:rPr>
        <w:t>b</w:t>
      </w:r>
      <w:r w:rsidR="00507B55" w:rsidRPr="00820049">
        <w:rPr>
          <w:rFonts w:asciiTheme="majorBidi" w:hAnsiTheme="majorBidi" w:cstheme="majorBidi"/>
        </w:rPr>
        <w:t>irojam i</w:t>
      </w:r>
      <w:r w:rsidR="00A86626">
        <w:rPr>
          <w:rFonts w:asciiTheme="majorBidi" w:hAnsiTheme="majorBidi" w:cstheme="majorBidi"/>
        </w:rPr>
        <w:t>e</w:t>
      </w:r>
      <w:r w:rsidR="00507B55" w:rsidRPr="00820049">
        <w:rPr>
          <w:rFonts w:asciiTheme="majorBidi" w:hAnsiTheme="majorBidi" w:cstheme="majorBidi"/>
        </w:rPr>
        <w:t xml:space="preserve">sniegt </w:t>
      </w:r>
      <w:r w:rsidR="00C8255F">
        <w:rPr>
          <w:rFonts w:asciiTheme="majorBidi" w:hAnsiTheme="majorBidi" w:cstheme="majorBidi"/>
        </w:rPr>
        <w:t xml:space="preserve">jau </w:t>
      </w:r>
      <w:r w:rsidR="0000368F" w:rsidRPr="00820049">
        <w:rPr>
          <w:rFonts w:asciiTheme="majorBidi" w:hAnsiTheme="majorBidi" w:cstheme="majorBidi"/>
        </w:rPr>
        <w:t>tiesvedības laikā</w:t>
      </w:r>
      <w:r w:rsidR="00507B55" w:rsidRPr="00820049">
        <w:rPr>
          <w:rFonts w:asciiTheme="majorBidi" w:hAnsiTheme="majorBidi" w:cstheme="majorBidi"/>
        </w:rPr>
        <w:t>.</w:t>
      </w:r>
      <w:r w:rsidR="0000368F" w:rsidRPr="00820049">
        <w:rPr>
          <w:rFonts w:asciiTheme="majorBidi" w:hAnsiTheme="majorBidi" w:cstheme="majorBidi"/>
        </w:rPr>
        <w:t xml:space="preserve"> </w:t>
      </w:r>
      <w:r w:rsidR="00507B55" w:rsidRPr="00820049">
        <w:rPr>
          <w:rFonts w:asciiTheme="majorBidi" w:hAnsiTheme="majorBidi" w:cstheme="majorBidi"/>
        </w:rPr>
        <w:t xml:space="preserve">Kasatori uzskata, ka </w:t>
      </w:r>
      <w:r w:rsidR="0000368F" w:rsidRPr="00820049">
        <w:rPr>
          <w:rFonts w:asciiTheme="majorBidi" w:hAnsiTheme="majorBidi" w:cstheme="majorBidi"/>
        </w:rPr>
        <w:t>š</w:t>
      </w:r>
      <w:r w:rsidR="00C8255F">
        <w:rPr>
          <w:rFonts w:asciiTheme="majorBidi" w:hAnsiTheme="majorBidi" w:cstheme="majorBidi"/>
        </w:rPr>
        <w:t>o</w:t>
      </w:r>
      <w:r w:rsidR="0000368F" w:rsidRPr="00820049">
        <w:rPr>
          <w:rFonts w:asciiTheme="majorBidi" w:hAnsiTheme="majorBidi" w:cstheme="majorBidi"/>
        </w:rPr>
        <w:t xml:space="preserve"> pierādījumu izmantošan</w:t>
      </w:r>
      <w:r w:rsidR="0028124D">
        <w:rPr>
          <w:rFonts w:asciiTheme="majorBidi" w:hAnsiTheme="majorBidi" w:cstheme="majorBidi"/>
        </w:rPr>
        <w:t>a</w:t>
      </w:r>
      <w:r w:rsidR="00C8255F">
        <w:rPr>
          <w:rFonts w:asciiTheme="majorBidi" w:hAnsiTheme="majorBidi" w:cstheme="majorBidi"/>
        </w:rPr>
        <w:t xml:space="preserve"> </w:t>
      </w:r>
      <w:r w:rsidR="0028124D">
        <w:rPr>
          <w:rFonts w:asciiTheme="majorBidi" w:hAnsiTheme="majorBidi" w:cstheme="majorBidi"/>
        </w:rPr>
        <w:t>konkurences tiesību pārkāpum</w:t>
      </w:r>
      <w:r w:rsidR="0024181B">
        <w:rPr>
          <w:rFonts w:asciiTheme="majorBidi" w:hAnsiTheme="majorBidi" w:cstheme="majorBidi"/>
        </w:rPr>
        <w:t>a</w:t>
      </w:r>
      <w:r w:rsidR="00C8255F" w:rsidRPr="00C8255F">
        <w:rPr>
          <w:rFonts w:asciiTheme="majorBidi" w:hAnsiTheme="majorBidi" w:cstheme="majorBidi"/>
        </w:rPr>
        <w:t xml:space="preserve"> </w:t>
      </w:r>
      <w:r w:rsidR="00C8255F">
        <w:rPr>
          <w:rFonts w:asciiTheme="majorBidi" w:hAnsiTheme="majorBidi" w:cstheme="majorBidi"/>
        </w:rPr>
        <w:t xml:space="preserve">pierādīšanā </w:t>
      </w:r>
      <w:r w:rsidR="0000368F" w:rsidRPr="00820049">
        <w:rPr>
          <w:rFonts w:asciiTheme="majorBidi" w:hAnsiTheme="majorBidi" w:cstheme="majorBidi"/>
        </w:rPr>
        <w:t xml:space="preserve">pārkāpj </w:t>
      </w:r>
      <w:r w:rsidR="00A86626">
        <w:rPr>
          <w:rFonts w:asciiTheme="majorBidi" w:hAnsiTheme="majorBidi" w:cstheme="majorBidi"/>
        </w:rPr>
        <w:t>pieteicēju</w:t>
      </w:r>
      <w:r w:rsidR="0000368F" w:rsidRPr="00820049">
        <w:rPr>
          <w:rFonts w:asciiTheme="majorBidi" w:hAnsiTheme="majorBidi" w:cstheme="majorBidi"/>
        </w:rPr>
        <w:t xml:space="preserve"> </w:t>
      </w:r>
      <w:r w:rsidR="00507B55" w:rsidRPr="00507B55">
        <w:rPr>
          <w:rFonts w:asciiTheme="majorBidi" w:hAnsiTheme="majorBidi" w:cstheme="majorBidi"/>
        </w:rPr>
        <w:t>pamattiesīb</w:t>
      </w:r>
      <w:r w:rsidR="0000368F" w:rsidRPr="00820049">
        <w:rPr>
          <w:rFonts w:asciiTheme="majorBidi" w:hAnsiTheme="majorBidi" w:cstheme="majorBidi"/>
        </w:rPr>
        <w:t>as</w:t>
      </w:r>
      <w:r w:rsidR="00C8255F">
        <w:rPr>
          <w:rFonts w:asciiTheme="majorBidi" w:hAnsiTheme="majorBidi" w:cstheme="majorBidi"/>
        </w:rPr>
        <w:t xml:space="preserve"> uz privātās dzīves un korespondences neaizskaramību</w:t>
      </w:r>
      <w:r w:rsidR="00820049">
        <w:rPr>
          <w:rFonts w:asciiTheme="majorBidi" w:hAnsiTheme="majorBidi" w:cstheme="majorBidi"/>
        </w:rPr>
        <w:t xml:space="preserve">, kas nostiprinātas </w:t>
      </w:r>
      <w:r w:rsidR="00507B55" w:rsidRPr="00507B55">
        <w:rPr>
          <w:rFonts w:asciiTheme="majorBidi" w:hAnsiTheme="majorBidi" w:cstheme="majorBidi"/>
        </w:rPr>
        <w:t>Satversmes 96.pant</w:t>
      </w:r>
      <w:r w:rsidR="00820049">
        <w:rPr>
          <w:rFonts w:asciiTheme="majorBidi" w:hAnsiTheme="majorBidi" w:cstheme="majorBidi"/>
        </w:rPr>
        <w:t>ā</w:t>
      </w:r>
      <w:r w:rsidR="00507B55" w:rsidRPr="00507B55">
        <w:rPr>
          <w:rFonts w:asciiTheme="majorBidi" w:hAnsiTheme="majorBidi" w:cstheme="majorBidi"/>
        </w:rPr>
        <w:t>, Konvencijas 8.pant</w:t>
      </w:r>
      <w:r w:rsidR="00820049">
        <w:rPr>
          <w:rFonts w:asciiTheme="majorBidi" w:hAnsiTheme="majorBidi" w:cstheme="majorBidi"/>
        </w:rPr>
        <w:t>ā</w:t>
      </w:r>
      <w:r w:rsidR="00507B55" w:rsidRPr="00507B55">
        <w:rPr>
          <w:rFonts w:asciiTheme="majorBidi" w:hAnsiTheme="majorBidi" w:cstheme="majorBidi"/>
        </w:rPr>
        <w:t>, Hartas 7.pant</w:t>
      </w:r>
      <w:r w:rsidR="00820049">
        <w:rPr>
          <w:rFonts w:asciiTheme="majorBidi" w:hAnsiTheme="majorBidi" w:cstheme="majorBidi"/>
        </w:rPr>
        <w:t>ā</w:t>
      </w:r>
      <w:r w:rsidR="00507B55" w:rsidRPr="00507B55">
        <w:rPr>
          <w:rFonts w:asciiTheme="majorBidi" w:hAnsiTheme="majorBidi" w:cstheme="majorBidi"/>
        </w:rPr>
        <w:t xml:space="preserve">, kā arī </w:t>
      </w:r>
      <w:r w:rsidR="00820049" w:rsidRPr="00807219">
        <w:t>Starptautiskā pakt</w:t>
      </w:r>
      <w:r w:rsidR="00820049">
        <w:t>a</w:t>
      </w:r>
      <w:r w:rsidR="00820049" w:rsidRPr="00807219">
        <w:t xml:space="preserve"> par pilsoniskajām un politiskajām tiesībām 17.pant</w:t>
      </w:r>
      <w:r w:rsidR="00820049">
        <w:t xml:space="preserve">ā. </w:t>
      </w:r>
      <w:r w:rsidR="00A86626">
        <w:t>Kasatoru ieskatā š</w:t>
      </w:r>
      <w:r w:rsidR="0028124D">
        <w:t>ādu pierādījumu izmantošana</w:t>
      </w:r>
      <w:r w:rsidR="00845B3F">
        <w:t xml:space="preserve"> </w:t>
      </w:r>
      <w:r w:rsidR="00A86626">
        <w:t>pārkāpj arī</w:t>
      </w:r>
      <w:r w:rsidR="00845B3F">
        <w:t xml:space="preserve"> </w:t>
      </w:r>
      <w:r w:rsidR="00601738">
        <w:t xml:space="preserve">personas </w:t>
      </w:r>
      <w:r w:rsidR="00A86626">
        <w:rPr>
          <w:rFonts w:asciiTheme="majorBidi" w:hAnsiTheme="majorBidi" w:cstheme="majorBidi"/>
        </w:rPr>
        <w:t>datu aizsardzības</w:t>
      </w:r>
      <w:r w:rsidR="00507B55" w:rsidRPr="00507B55">
        <w:rPr>
          <w:rFonts w:asciiTheme="majorBidi" w:hAnsiTheme="majorBidi" w:cstheme="majorBidi"/>
        </w:rPr>
        <w:t xml:space="preserve"> prasīb</w:t>
      </w:r>
      <w:r w:rsidR="00A86626">
        <w:rPr>
          <w:rFonts w:asciiTheme="majorBidi" w:hAnsiTheme="majorBidi" w:cstheme="majorBidi"/>
        </w:rPr>
        <w:t>as</w:t>
      </w:r>
      <w:r w:rsidR="00507B55" w:rsidRPr="00507B55">
        <w:rPr>
          <w:rFonts w:asciiTheme="majorBidi" w:hAnsiTheme="majorBidi" w:cstheme="majorBidi"/>
        </w:rPr>
        <w:t xml:space="preserve"> par datu apstrādes mērķi un samērīgumu.</w:t>
      </w:r>
    </w:p>
    <w:p w14:paraId="7607A575" w14:textId="7F1E3342" w:rsidR="00820049" w:rsidRPr="00507B55" w:rsidRDefault="00820049" w:rsidP="001F783F">
      <w:pPr>
        <w:spacing w:line="276" w:lineRule="auto"/>
        <w:ind w:firstLine="720"/>
        <w:jc w:val="both"/>
        <w:rPr>
          <w:rFonts w:asciiTheme="majorBidi" w:hAnsiTheme="majorBidi" w:cstheme="majorBidi"/>
        </w:rPr>
      </w:pPr>
      <w:r w:rsidRPr="00820049">
        <w:rPr>
          <w:rFonts w:asciiTheme="majorBidi" w:hAnsiTheme="majorBidi" w:cstheme="majorBidi"/>
        </w:rPr>
        <w:t>Pieteicēji argumentē, ka</w:t>
      </w:r>
      <w:r w:rsidR="00C45AFC">
        <w:rPr>
          <w:rFonts w:asciiTheme="majorBidi" w:hAnsiTheme="majorBidi" w:cstheme="majorBidi"/>
        </w:rPr>
        <w:t xml:space="preserve"> saskaņā ar</w:t>
      </w:r>
      <w:r w:rsidRPr="00507B55">
        <w:rPr>
          <w:rFonts w:asciiTheme="majorBidi" w:hAnsiTheme="majorBidi" w:cstheme="majorBidi"/>
        </w:rPr>
        <w:t xml:space="preserve"> Operatīvās darbības likuma 2. un 24.pant</w:t>
      </w:r>
      <w:r w:rsidRPr="00820049">
        <w:rPr>
          <w:rFonts w:asciiTheme="majorBidi" w:hAnsiTheme="majorBidi" w:cstheme="majorBidi"/>
        </w:rPr>
        <w:t>a pirm</w:t>
      </w:r>
      <w:r w:rsidR="00C45AFC">
        <w:rPr>
          <w:rFonts w:asciiTheme="majorBidi" w:hAnsiTheme="majorBidi" w:cstheme="majorBidi"/>
        </w:rPr>
        <w:t>o</w:t>
      </w:r>
      <w:r w:rsidRPr="00820049">
        <w:rPr>
          <w:rFonts w:asciiTheme="majorBidi" w:hAnsiTheme="majorBidi" w:cstheme="majorBidi"/>
        </w:rPr>
        <w:t xml:space="preserve"> daļ</w:t>
      </w:r>
      <w:r w:rsidR="00C45AFC">
        <w:rPr>
          <w:rFonts w:asciiTheme="majorBidi" w:hAnsiTheme="majorBidi" w:cstheme="majorBidi"/>
        </w:rPr>
        <w:t>u</w:t>
      </w:r>
      <w:r w:rsidRPr="00507B55">
        <w:rPr>
          <w:rFonts w:asciiTheme="majorBidi" w:hAnsiTheme="majorBidi" w:cstheme="majorBidi"/>
        </w:rPr>
        <w:t xml:space="preserve"> operatīvās darbības mērķis ir noziedzīgu nodarījumu profilakse, novēršana un atklāšana un </w:t>
      </w:r>
      <w:r w:rsidRPr="00820049">
        <w:rPr>
          <w:rFonts w:asciiTheme="majorBidi" w:hAnsiTheme="majorBidi" w:cstheme="majorBidi"/>
        </w:rPr>
        <w:t xml:space="preserve">ka operatīvās darbības rezultātā </w:t>
      </w:r>
      <w:r w:rsidRPr="00507B55">
        <w:rPr>
          <w:rFonts w:asciiTheme="majorBidi" w:hAnsiTheme="majorBidi" w:cstheme="majorBidi"/>
        </w:rPr>
        <w:t xml:space="preserve">iegūtā informācija ir ierobežotas pieejamības informācija vai valsts noslēpuma objekts. </w:t>
      </w:r>
      <w:r w:rsidRPr="00820049">
        <w:rPr>
          <w:rFonts w:asciiTheme="majorBidi" w:hAnsiTheme="majorBidi" w:cstheme="majorBidi"/>
        </w:rPr>
        <w:t>Šāda</w:t>
      </w:r>
      <w:r w:rsidRPr="00507B55">
        <w:rPr>
          <w:rFonts w:asciiTheme="majorBidi" w:hAnsiTheme="majorBidi" w:cstheme="majorBidi"/>
        </w:rPr>
        <w:t xml:space="preserve"> informācija nav nododama </w:t>
      </w:r>
      <w:r w:rsidR="00E11F02">
        <w:rPr>
          <w:rFonts w:asciiTheme="majorBidi" w:hAnsiTheme="majorBidi" w:cstheme="majorBidi"/>
        </w:rPr>
        <w:t>Konkurences p</w:t>
      </w:r>
      <w:r w:rsidRPr="00507B55">
        <w:rPr>
          <w:rFonts w:asciiTheme="majorBidi" w:hAnsiTheme="majorBidi" w:cstheme="majorBidi"/>
        </w:rPr>
        <w:t>adomei konkurences tiesību pārkāpum</w:t>
      </w:r>
      <w:r w:rsidR="0024181B">
        <w:rPr>
          <w:rFonts w:asciiTheme="majorBidi" w:hAnsiTheme="majorBidi" w:cstheme="majorBidi"/>
        </w:rPr>
        <w:t>a</w:t>
      </w:r>
      <w:r w:rsidRPr="00507B55">
        <w:rPr>
          <w:rFonts w:asciiTheme="majorBidi" w:hAnsiTheme="majorBidi" w:cstheme="majorBidi"/>
        </w:rPr>
        <w:t xml:space="preserve"> izmeklēšanai, jo </w:t>
      </w:r>
      <w:r w:rsidR="00C45AFC">
        <w:rPr>
          <w:rFonts w:asciiTheme="majorBidi" w:hAnsiTheme="majorBidi" w:cstheme="majorBidi"/>
        </w:rPr>
        <w:t>to</w:t>
      </w:r>
      <w:r w:rsidR="00332C9C" w:rsidRPr="00820049">
        <w:rPr>
          <w:rFonts w:asciiTheme="majorBidi" w:hAnsiTheme="majorBidi" w:cstheme="majorBidi"/>
        </w:rPr>
        <w:t xml:space="preserve"> </w:t>
      </w:r>
      <w:r w:rsidR="00332C9C" w:rsidRPr="00507B55">
        <w:rPr>
          <w:rFonts w:asciiTheme="majorBidi" w:hAnsiTheme="majorBidi" w:cstheme="majorBidi"/>
        </w:rPr>
        <w:t>neparedz</w:t>
      </w:r>
      <w:r w:rsidR="00332C9C" w:rsidRPr="00820049">
        <w:rPr>
          <w:rFonts w:asciiTheme="majorBidi" w:hAnsiTheme="majorBidi" w:cstheme="majorBidi"/>
        </w:rPr>
        <w:t xml:space="preserve"> </w:t>
      </w:r>
      <w:r w:rsidRPr="00820049">
        <w:rPr>
          <w:rFonts w:asciiTheme="majorBidi" w:hAnsiTheme="majorBidi" w:cstheme="majorBidi"/>
        </w:rPr>
        <w:t>Operatīvās darbības likuma</w:t>
      </w:r>
      <w:r w:rsidRPr="00507B55">
        <w:rPr>
          <w:rFonts w:asciiTheme="majorBidi" w:hAnsiTheme="majorBidi" w:cstheme="majorBidi"/>
        </w:rPr>
        <w:t xml:space="preserve"> 2.panta </w:t>
      </w:r>
      <w:r w:rsidRPr="00820049">
        <w:rPr>
          <w:rFonts w:asciiTheme="majorBidi" w:hAnsiTheme="majorBidi" w:cstheme="majorBidi"/>
        </w:rPr>
        <w:t>pirmā</w:t>
      </w:r>
      <w:r w:rsidRPr="00507B55">
        <w:rPr>
          <w:rFonts w:asciiTheme="majorBidi" w:hAnsiTheme="majorBidi" w:cstheme="majorBidi"/>
        </w:rPr>
        <w:t xml:space="preserve"> un </w:t>
      </w:r>
      <w:r w:rsidRPr="00820049">
        <w:rPr>
          <w:rFonts w:asciiTheme="majorBidi" w:hAnsiTheme="majorBidi" w:cstheme="majorBidi"/>
        </w:rPr>
        <w:t xml:space="preserve">otrā </w:t>
      </w:r>
      <w:r w:rsidRPr="00507B55">
        <w:rPr>
          <w:rFonts w:asciiTheme="majorBidi" w:hAnsiTheme="majorBidi" w:cstheme="majorBidi"/>
        </w:rPr>
        <w:t>daļa</w:t>
      </w:r>
      <w:r w:rsidRPr="00820049">
        <w:rPr>
          <w:rFonts w:asciiTheme="majorBidi" w:hAnsiTheme="majorBidi" w:cstheme="majorBidi"/>
        </w:rPr>
        <w:t>, kā arī</w:t>
      </w:r>
      <w:r w:rsidRPr="00507B55">
        <w:rPr>
          <w:rFonts w:asciiTheme="majorBidi" w:hAnsiTheme="majorBidi" w:cstheme="majorBidi"/>
        </w:rPr>
        <w:t xml:space="preserve"> 24.panta </w:t>
      </w:r>
      <w:r w:rsidRPr="00820049">
        <w:rPr>
          <w:rFonts w:asciiTheme="majorBidi" w:hAnsiTheme="majorBidi" w:cstheme="majorBidi"/>
        </w:rPr>
        <w:t xml:space="preserve">piektā </w:t>
      </w:r>
      <w:r w:rsidRPr="00507B55">
        <w:rPr>
          <w:rFonts w:asciiTheme="majorBidi" w:hAnsiTheme="majorBidi" w:cstheme="majorBidi"/>
        </w:rPr>
        <w:t>daļa</w:t>
      </w:r>
      <w:r w:rsidRPr="00820049">
        <w:rPr>
          <w:rFonts w:asciiTheme="majorBidi" w:hAnsiTheme="majorBidi" w:cstheme="majorBidi"/>
        </w:rPr>
        <w:t xml:space="preserve">. Savukārt </w:t>
      </w:r>
      <w:r w:rsidRPr="00507B55">
        <w:rPr>
          <w:rFonts w:asciiTheme="majorBidi" w:hAnsiTheme="majorBidi" w:cstheme="majorBidi"/>
        </w:rPr>
        <w:t xml:space="preserve">Kriminālprocesa likuma 230.panta </w:t>
      </w:r>
      <w:r w:rsidRPr="00820049">
        <w:rPr>
          <w:rFonts w:asciiTheme="majorBidi" w:hAnsiTheme="majorBidi" w:cstheme="majorBidi"/>
        </w:rPr>
        <w:t xml:space="preserve">pirmā </w:t>
      </w:r>
      <w:r w:rsidRPr="00507B55">
        <w:rPr>
          <w:rFonts w:asciiTheme="majorBidi" w:hAnsiTheme="majorBidi" w:cstheme="majorBidi"/>
        </w:rPr>
        <w:t xml:space="preserve">daļa </w:t>
      </w:r>
      <w:r w:rsidR="00C45AFC">
        <w:rPr>
          <w:rFonts w:asciiTheme="majorBidi" w:hAnsiTheme="majorBidi" w:cstheme="majorBidi"/>
        </w:rPr>
        <w:t>noteic</w:t>
      </w:r>
      <w:r w:rsidRPr="00507B55">
        <w:rPr>
          <w:rFonts w:asciiTheme="majorBidi" w:hAnsiTheme="majorBidi" w:cstheme="majorBidi"/>
        </w:rPr>
        <w:t>, ka pierādījum</w:t>
      </w:r>
      <w:r w:rsidR="00C45AFC">
        <w:rPr>
          <w:rFonts w:asciiTheme="majorBidi" w:hAnsiTheme="majorBidi" w:cstheme="majorBidi"/>
        </w:rPr>
        <w:t>us</w:t>
      </w:r>
      <w:r w:rsidRPr="00507B55">
        <w:rPr>
          <w:rFonts w:asciiTheme="majorBidi" w:hAnsiTheme="majorBidi" w:cstheme="majorBidi"/>
        </w:rPr>
        <w:t>, kas iegūti speciālo izmeklēšanas darbību ietvaros, drīkst izmantot tikai attiecīgajā kriminālprocesā un to nodošana citām institūcijām ir atļauta tikai ar prokurora vai izmeklēšanas tiesneša piekrišanu.</w:t>
      </w:r>
      <w:r w:rsidRPr="00820049">
        <w:rPr>
          <w:rFonts w:asciiTheme="majorBidi" w:hAnsiTheme="majorBidi" w:cstheme="majorBidi"/>
        </w:rPr>
        <w:t xml:space="preserve"> </w:t>
      </w:r>
      <w:r w:rsidR="00332C9C">
        <w:rPr>
          <w:rFonts w:asciiTheme="majorBidi" w:hAnsiTheme="majorBidi" w:cstheme="majorBidi"/>
        </w:rPr>
        <w:t>Rezultātā</w:t>
      </w:r>
      <w:r w:rsidRPr="00507B55">
        <w:rPr>
          <w:rFonts w:asciiTheme="majorBidi" w:hAnsiTheme="majorBidi" w:cstheme="majorBidi"/>
        </w:rPr>
        <w:t xml:space="preserve"> tiesa</w:t>
      </w:r>
      <w:r w:rsidR="00D02223">
        <w:rPr>
          <w:rFonts w:asciiTheme="majorBidi" w:hAnsiTheme="majorBidi" w:cstheme="majorBidi"/>
        </w:rPr>
        <w:t xml:space="preserve"> pārkāpusi </w:t>
      </w:r>
      <w:r w:rsidR="0028124D" w:rsidRPr="00507B55">
        <w:rPr>
          <w:rFonts w:asciiTheme="majorBidi" w:hAnsiTheme="majorBidi" w:cstheme="majorBidi"/>
        </w:rPr>
        <w:t xml:space="preserve">publisko tiesību </w:t>
      </w:r>
      <w:r w:rsidR="0028124D" w:rsidRPr="0012742E">
        <w:rPr>
          <w:rFonts w:asciiTheme="majorBidi" w:hAnsiTheme="majorBidi" w:cstheme="majorBidi"/>
        </w:rPr>
        <w:t xml:space="preserve">pamatprincipu </w:t>
      </w:r>
      <w:r w:rsidRPr="0012742E">
        <w:rPr>
          <w:rFonts w:asciiTheme="majorBidi" w:hAnsiTheme="majorBidi" w:cstheme="majorBidi"/>
        </w:rPr>
        <w:t>„aizliegts viss, kas nav atļauts”</w:t>
      </w:r>
      <w:r w:rsidR="00D02223">
        <w:rPr>
          <w:rFonts w:asciiTheme="majorBidi" w:hAnsiTheme="majorBidi" w:cstheme="majorBidi"/>
        </w:rPr>
        <w:t xml:space="preserve"> un</w:t>
      </w:r>
      <w:r w:rsidR="0028124D" w:rsidRPr="0012742E">
        <w:rPr>
          <w:rFonts w:asciiTheme="majorBidi" w:hAnsiTheme="majorBidi" w:cstheme="majorBidi"/>
        </w:rPr>
        <w:t xml:space="preserve"> </w:t>
      </w:r>
      <w:r w:rsidR="0028124D">
        <w:rPr>
          <w:rFonts w:asciiTheme="majorBidi" w:hAnsiTheme="majorBidi" w:cstheme="majorBidi"/>
        </w:rPr>
        <w:t xml:space="preserve">rīkojusies </w:t>
      </w:r>
      <w:r w:rsidRPr="00507B55">
        <w:rPr>
          <w:rFonts w:asciiTheme="majorBidi" w:hAnsiTheme="majorBidi" w:cstheme="majorBidi"/>
          <w:i/>
          <w:iCs/>
        </w:rPr>
        <w:t>ultra vires</w:t>
      </w:r>
      <w:r w:rsidR="00332C9C">
        <w:rPr>
          <w:rFonts w:asciiTheme="majorBidi" w:hAnsiTheme="majorBidi" w:cstheme="majorBidi"/>
        </w:rPr>
        <w:t>, jo</w:t>
      </w:r>
      <w:r w:rsidRPr="00507B55">
        <w:rPr>
          <w:rFonts w:asciiTheme="majorBidi" w:hAnsiTheme="majorBidi" w:cstheme="majorBidi"/>
        </w:rPr>
        <w:t xml:space="preserve"> paplašin</w:t>
      </w:r>
      <w:r w:rsidR="00332C9C">
        <w:rPr>
          <w:rFonts w:asciiTheme="majorBidi" w:hAnsiTheme="majorBidi" w:cstheme="majorBidi"/>
        </w:rPr>
        <w:t>ājusi</w:t>
      </w:r>
      <w:r w:rsidRPr="00507B55">
        <w:rPr>
          <w:rFonts w:asciiTheme="majorBidi" w:hAnsiTheme="majorBidi" w:cstheme="majorBidi"/>
        </w:rPr>
        <w:t xml:space="preserve"> Operatīvās darbības likuma piemērošanas jomu ārpus likum</w:t>
      </w:r>
      <w:r w:rsidR="0024181B">
        <w:rPr>
          <w:rFonts w:asciiTheme="majorBidi" w:hAnsiTheme="majorBidi" w:cstheme="majorBidi"/>
        </w:rPr>
        <w:t xml:space="preserve">a </w:t>
      </w:r>
      <w:r w:rsidR="0028124D">
        <w:rPr>
          <w:rFonts w:asciiTheme="majorBidi" w:hAnsiTheme="majorBidi" w:cstheme="majorBidi"/>
        </w:rPr>
        <w:t>ietvara</w:t>
      </w:r>
      <w:r w:rsidRPr="00507B55">
        <w:rPr>
          <w:rFonts w:asciiTheme="majorBidi" w:hAnsiTheme="majorBidi" w:cstheme="majorBidi"/>
        </w:rPr>
        <w:t>.</w:t>
      </w:r>
    </w:p>
    <w:p w14:paraId="4C08188C" w14:textId="083F60C2" w:rsidR="00507B55" w:rsidRDefault="00507B55" w:rsidP="001F783F">
      <w:pPr>
        <w:spacing w:line="276" w:lineRule="auto"/>
        <w:ind w:firstLine="720"/>
        <w:jc w:val="both"/>
      </w:pPr>
      <w:r w:rsidRPr="00820049">
        <w:rPr>
          <w:rFonts w:asciiTheme="majorBidi" w:hAnsiTheme="majorBidi" w:cstheme="majorBidi"/>
        </w:rPr>
        <w:t>Senāts</w:t>
      </w:r>
      <w:r w:rsidR="00054B80">
        <w:rPr>
          <w:rFonts w:asciiTheme="majorBidi" w:hAnsiTheme="majorBidi" w:cstheme="majorBidi"/>
        </w:rPr>
        <w:t xml:space="preserve"> </w:t>
      </w:r>
      <w:r w:rsidRPr="00820049">
        <w:rPr>
          <w:rFonts w:asciiTheme="majorBidi" w:hAnsiTheme="majorBidi" w:cstheme="majorBidi"/>
        </w:rPr>
        <w:t xml:space="preserve">pārbaudīs, vai </w:t>
      </w:r>
      <w:r w:rsidR="005B4A77">
        <w:rPr>
          <w:rFonts w:asciiTheme="majorBidi" w:hAnsiTheme="majorBidi" w:cstheme="majorBidi"/>
        </w:rPr>
        <w:t>šie</w:t>
      </w:r>
      <w:r w:rsidR="0028124D">
        <w:rPr>
          <w:rFonts w:asciiTheme="majorBidi" w:hAnsiTheme="majorBidi" w:cstheme="majorBidi"/>
        </w:rPr>
        <w:t xml:space="preserve"> </w:t>
      </w:r>
      <w:r w:rsidRPr="00820049">
        <w:rPr>
          <w:rFonts w:asciiTheme="majorBidi" w:hAnsiTheme="majorBidi" w:cstheme="majorBidi"/>
        </w:rPr>
        <w:t>kasatoru iebildumi ir pamatoti.</w:t>
      </w:r>
    </w:p>
    <w:p w14:paraId="28ADEBC0" w14:textId="77777777" w:rsidR="0000368F" w:rsidRDefault="0000368F" w:rsidP="001F783F">
      <w:pPr>
        <w:spacing w:line="276" w:lineRule="auto"/>
        <w:ind w:firstLine="720"/>
        <w:jc w:val="both"/>
      </w:pPr>
    </w:p>
    <w:p w14:paraId="216B7DF1" w14:textId="1DD47D77" w:rsidR="000C3251" w:rsidRDefault="00ED5531" w:rsidP="001F783F">
      <w:pPr>
        <w:spacing w:line="276" w:lineRule="auto"/>
        <w:ind w:firstLine="720"/>
        <w:jc w:val="both"/>
        <w:rPr>
          <w:shd w:val="clear" w:color="auto" w:fill="FFFFFF"/>
        </w:rPr>
      </w:pPr>
      <w:r w:rsidRPr="00807219">
        <w:rPr>
          <w:shd w:val="clear" w:color="auto" w:fill="FFFFFF"/>
        </w:rPr>
        <w:t>[</w:t>
      </w:r>
      <w:r w:rsidR="0028227C">
        <w:rPr>
          <w:shd w:val="clear" w:color="auto" w:fill="FFFFFF"/>
        </w:rPr>
        <w:t>2</w:t>
      </w:r>
      <w:r w:rsidR="00261A14">
        <w:rPr>
          <w:shd w:val="clear" w:color="auto" w:fill="FFFFFF"/>
        </w:rPr>
        <w:t>2</w:t>
      </w:r>
      <w:r w:rsidRPr="00807219">
        <w:rPr>
          <w:shd w:val="clear" w:color="auto" w:fill="FFFFFF"/>
        </w:rPr>
        <w:t>]</w:t>
      </w:r>
      <w:r w:rsidR="00896CBC">
        <w:rPr>
          <w:shd w:val="clear" w:color="auto" w:fill="FFFFFF"/>
        </w:rPr>
        <w:t> </w:t>
      </w:r>
      <w:r w:rsidR="00845B3F">
        <w:rPr>
          <w:shd w:val="clear" w:color="auto" w:fill="FFFFFF"/>
        </w:rPr>
        <w:t>Satversmes 96.pantā,</w:t>
      </w:r>
      <w:r w:rsidR="005E3D1D">
        <w:rPr>
          <w:shd w:val="clear" w:color="auto" w:fill="FFFFFF"/>
        </w:rPr>
        <w:t xml:space="preserve"> līdzīgi kā</w:t>
      </w:r>
      <w:r w:rsidR="00845B3F">
        <w:rPr>
          <w:shd w:val="clear" w:color="auto" w:fill="FFFFFF"/>
        </w:rPr>
        <w:t xml:space="preserve"> </w:t>
      </w:r>
      <w:r>
        <w:rPr>
          <w:shd w:val="clear" w:color="auto" w:fill="FFFFFF"/>
        </w:rPr>
        <w:t>Hartas</w:t>
      </w:r>
      <w:r w:rsidRPr="00807219">
        <w:rPr>
          <w:shd w:val="clear" w:color="auto" w:fill="FFFFFF"/>
        </w:rPr>
        <w:t xml:space="preserve"> 7.pantā</w:t>
      </w:r>
      <w:r w:rsidR="009076DE">
        <w:rPr>
          <w:shd w:val="clear" w:color="auto" w:fill="FFFFFF"/>
        </w:rPr>
        <w:t xml:space="preserve">, </w:t>
      </w:r>
      <w:r w:rsidRPr="00807219">
        <w:rPr>
          <w:shd w:val="clear" w:color="auto" w:fill="FFFFFF"/>
        </w:rPr>
        <w:t>Konvencijas 8.pant</w:t>
      </w:r>
      <w:r w:rsidR="00CE5BCE">
        <w:rPr>
          <w:shd w:val="clear" w:color="auto" w:fill="FFFFFF"/>
        </w:rPr>
        <w:t>a 1.punktā</w:t>
      </w:r>
      <w:r w:rsidR="009076DE">
        <w:rPr>
          <w:shd w:val="clear" w:color="auto" w:fill="FFFFFF"/>
        </w:rPr>
        <w:t xml:space="preserve"> un </w:t>
      </w:r>
      <w:r w:rsidR="009076DE" w:rsidRPr="00807219">
        <w:t>Starptautiskā pakt</w:t>
      </w:r>
      <w:r w:rsidR="009076DE">
        <w:t>a</w:t>
      </w:r>
      <w:r w:rsidR="009076DE" w:rsidRPr="00807219">
        <w:t xml:space="preserve"> par pilsoniskajām un politiskajām tiesībām 17.pant</w:t>
      </w:r>
      <w:r w:rsidR="000C3251">
        <w:t xml:space="preserve">ā </w:t>
      </w:r>
      <w:r w:rsidRPr="00807219">
        <w:rPr>
          <w:shd w:val="clear" w:color="auto" w:fill="FFFFFF"/>
        </w:rPr>
        <w:t xml:space="preserve">ir nostiprinātas tiesības uz privātās dzīves </w:t>
      </w:r>
      <w:r w:rsidR="00A86626">
        <w:rPr>
          <w:shd w:val="clear" w:color="auto" w:fill="FFFFFF"/>
        </w:rPr>
        <w:t xml:space="preserve">un korespondences </w:t>
      </w:r>
      <w:r w:rsidRPr="00807219">
        <w:rPr>
          <w:shd w:val="clear" w:color="auto" w:fill="FFFFFF"/>
        </w:rPr>
        <w:t>neaizskaramību.</w:t>
      </w:r>
      <w:r w:rsidR="009076DE">
        <w:rPr>
          <w:shd w:val="clear" w:color="auto" w:fill="FFFFFF"/>
        </w:rPr>
        <w:t xml:space="preserve"> Lai arī šo </w:t>
      </w:r>
      <w:r w:rsidR="009076DE" w:rsidRPr="009076DE">
        <w:rPr>
          <w:shd w:val="clear" w:color="auto" w:fill="FFFFFF"/>
        </w:rPr>
        <w:t xml:space="preserve">pamattiesību būtība ir līdzīga, </w:t>
      </w:r>
      <w:r w:rsidR="009076DE">
        <w:rPr>
          <w:shd w:val="clear" w:color="auto" w:fill="FFFFFF"/>
        </w:rPr>
        <w:t>to</w:t>
      </w:r>
      <w:r w:rsidR="009076DE" w:rsidRPr="009076DE">
        <w:rPr>
          <w:shd w:val="clear" w:color="auto" w:fill="FFFFFF"/>
        </w:rPr>
        <w:t xml:space="preserve"> apjoms un </w:t>
      </w:r>
      <w:r w:rsidR="00B16A5E">
        <w:rPr>
          <w:shd w:val="clear" w:color="auto" w:fill="FFFFFF"/>
        </w:rPr>
        <w:t>darbības līmeņi</w:t>
      </w:r>
      <w:r w:rsidR="009076DE">
        <w:rPr>
          <w:shd w:val="clear" w:color="auto" w:fill="FFFFFF"/>
        </w:rPr>
        <w:t xml:space="preserve"> ir </w:t>
      </w:r>
      <w:r w:rsidR="009076DE" w:rsidRPr="009076DE">
        <w:rPr>
          <w:shd w:val="clear" w:color="auto" w:fill="FFFFFF"/>
        </w:rPr>
        <w:t>atšķir</w:t>
      </w:r>
      <w:r w:rsidR="009076DE">
        <w:rPr>
          <w:shd w:val="clear" w:color="auto" w:fill="FFFFFF"/>
        </w:rPr>
        <w:t>īgi.</w:t>
      </w:r>
    </w:p>
    <w:p w14:paraId="0E67D7F6" w14:textId="7189453A" w:rsidR="00B16A5E" w:rsidRPr="005E3D1D" w:rsidRDefault="00B16A5E" w:rsidP="001F783F">
      <w:pPr>
        <w:spacing w:line="276" w:lineRule="auto"/>
        <w:ind w:firstLine="720"/>
        <w:jc w:val="both"/>
        <w:rPr>
          <w:i/>
          <w:iCs/>
          <w:shd w:val="clear" w:color="auto" w:fill="FFFFFF"/>
        </w:rPr>
      </w:pPr>
      <w:r w:rsidRPr="00B16A5E">
        <w:rPr>
          <w:shd w:val="clear" w:color="auto" w:fill="FFFFFF"/>
        </w:rPr>
        <w:t xml:space="preserve">Satversmes tiesas nolēmumos atzīts, ka Latvija ir uzņēmusies juridiskas saistības, kas izriet no starptautiskiem dokumentiem, līdz ar to valstij jānodrošina tas cilvēktiesību aizsardzības standarts, kas no šīm saistībām izriet. Satversme pēc savas būtības nevar paredzēt mazāku pamattiesību nodrošināšanas vai aizsardzības apjomu, nekā paredz jebkurš no Latvijai saistošajiem starptautiskajiem cilvēktiesību avotiem. Vienlaikus tas ir </w:t>
      </w:r>
      <w:r w:rsidRPr="000C3251">
        <w:rPr>
          <w:shd w:val="clear" w:color="auto" w:fill="FFFFFF"/>
        </w:rPr>
        <w:t>minimālais aizsardzības līmenis</w:t>
      </w:r>
      <w:r w:rsidRPr="00B16A5E">
        <w:rPr>
          <w:shd w:val="clear" w:color="auto" w:fill="FFFFFF"/>
        </w:rPr>
        <w:t>, kas valstij jānodrošina, jo valsts var garantēt arī plašāku šo tiesību tvērumu un augstāku aizsardzības standartu</w:t>
      </w:r>
      <w:r>
        <w:rPr>
          <w:shd w:val="clear" w:color="auto" w:fill="FFFFFF"/>
        </w:rPr>
        <w:t xml:space="preserve"> </w:t>
      </w:r>
      <w:bookmarkStart w:id="15" w:name="_Hlk217303332"/>
      <w:r>
        <w:rPr>
          <w:shd w:val="clear" w:color="auto" w:fill="FFFFFF"/>
        </w:rPr>
        <w:t>(</w:t>
      </w:r>
      <w:r w:rsidRPr="005E3D1D">
        <w:rPr>
          <w:i/>
          <w:iCs/>
          <w:shd w:val="clear" w:color="auto" w:fill="FFFFFF"/>
        </w:rPr>
        <w:t>Kučs</w:t>
      </w:r>
      <w:r w:rsidR="005E3D1D">
        <w:rPr>
          <w:i/>
          <w:iCs/>
          <w:shd w:val="clear" w:color="auto" w:fill="FFFFFF"/>
        </w:rPr>
        <w:t xml:space="preserve"> A.</w:t>
      </w:r>
      <w:r w:rsidRPr="005E3D1D">
        <w:rPr>
          <w:i/>
          <w:iCs/>
          <w:shd w:val="clear" w:color="auto" w:fill="FFFFFF"/>
        </w:rPr>
        <w:t xml:space="preserve"> Starptautisko cilvēktiesību avotu un Eiropas Savienības tiesību avotu piemērošana Satversmes tiesā</w:t>
      </w:r>
      <w:r w:rsidR="005E3D1D" w:rsidRPr="005E3D1D">
        <w:rPr>
          <w:i/>
          <w:iCs/>
          <w:shd w:val="clear" w:color="auto" w:fill="FFFFFF"/>
        </w:rPr>
        <w:t>. Starptautisko un Eiropas Savienības tiesību piemērošana nacionālajās tiesās.</w:t>
      </w:r>
      <w:r w:rsidR="005E3D1D">
        <w:rPr>
          <w:i/>
          <w:iCs/>
          <w:shd w:val="clear" w:color="auto" w:fill="FFFFFF"/>
        </w:rPr>
        <w:t xml:space="preserve"> </w:t>
      </w:r>
      <w:r w:rsidR="005E3D1D" w:rsidRPr="005E3D1D">
        <w:rPr>
          <w:i/>
          <w:iCs/>
          <w:shd w:val="clear" w:color="auto" w:fill="FFFFFF"/>
        </w:rPr>
        <w:t xml:space="preserve">Latvijas Universitātes 78.starptautiskās zinātniskās konferences </w:t>
      </w:r>
      <w:hyperlink r:id="rId14" w:history="1">
        <w:r w:rsidR="005E3D1D" w:rsidRPr="006504F7">
          <w:rPr>
            <w:rStyle w:val="Hyperlink"/>
            <w:i/>
            <w:iCs/>
            <w:shd w:val="clear" w:color="auto" w:fill="FFFFFF"/>
          </w:rPr>
          <w:t>rakstu krājums</w:t>
        </w:r>
      </w:hyperlink>
      <w:r w:rsidR="005E3D1D" w:rsidRPr="005E3D1D">
        <w:rPr>
          <w:i/>
          <w:iCs/>
          <w:shd w:val="clear" w:color="auto" w:fill="FFFFFF"/>
        </w:rPr>
        <w:t>.</w:t>
      </w:r>
      <w:r w:rsidR="005E3D1D">
        <w:rPr>
          <w:i/>
          <w:iCs/>
          <w:shd w:val="clear" w:color="auto" w:fill="FFFFFF"/>
        </w:rPr>
        <w:t xml:space="preserve"> Rīga: LU Akadēmiskais apgāds, 2020, 18.lpp.</w:t>
      </w:r>
      <w:r w:rsidR="005E3D1D" w:rsidRPr="005E3D1D">
        <w:rPr>
          <w:shd w:val="clear" w:color="auto" w:fill="FFFFFF"/>
        </w:rPr>
        <w:t>).</w:t>
      </w:r>
      <w:bookmarkEnd w:id="15"/>
    </w:p>
    <w:p w14:paraId="4866A808" w14:textId="1C517B2D" w:rsidR="00D02223" w:rsidRDefault="000C3251" w:rsidP="001F783F">
      <w:pPr>
        <w:spacing w:line="276" w:lineRule="auto"/>
        <w:ind w:firstLine="720"/>
        <w:jc w:val="both"/>
        <w:rPr>
          <w:rFonts w:eastAsiaTheme="minorHAnsi"/>
          <w:kern w:val="2"/>
        </w:rPr>
      </w:pPr>
      <w:r>
        <w:t xml:space="preserve">Arī </w:t>
      </w:r>
      <w:r w:rsidR="00ED5531" w:rsidRPr="00807219">
        <w:t>Eiropas Savienības Tiesa ir</w:t>
      </w:r>
      <w:r w:rsidR="00027646">
        <w:t xml:space="preserve"> </w:t>
      </w:r>
      <w:r w:rsidR="00C45AFC">
        <w:t>skaidrojusi</w:t>
      </w:r>
      <w:r w:rsidR="00ED5531" w:rsidRPr="00807219">
        <w:t xml:space="preserve">: lai gan Konvencija, iekams Savienība nav </w:t>
      </w:r>
      <w:r w:rsidR="00027646" w:rsidRPr="00807219">
        <w:t xml:space="preserve">tai </w:t>
      </w:r>
      <w:r w:rsidR="00ED5531" w:rsidRPr="00807219">
        <w:t xml:space="preserve">pievienojusies, nav Savienības tiesību sistēmā formāli integrēts juridisks instruments, </w:t>
      </w:r>
      <w:r w:rsidR="00027646">
        <w:t>tomēr</w:t>
      </w:r>
      <w:r w:rsidR="00ED5531" w:rsidRPr="00807219">
        <w:t xml:space="preserve"> – kā tas ir apstiprināts </w:t>
      </w:r>
      <w:r w:rsidR="00E976BC" w:rsidRPr="00EA1B2C">
        <w:rPr>
          <w:rFonts w:asciiTheme="majorBidi" w:hAnsiTheme="majorBidi" w:cstheme="majorBidi"/>
          <w:bCs/>
        </w:rPr>
        <w:t xml:space="preserve">Līguma par Eiropas Savienību </w:t>
      </w:r>
      <w:r w:rsidR="00ED5531" w:rsidRPr="00807219">
        <w:t xml:space="preserve">6.panta 3.punktā – Konvencijā atzītās pamattiesības ir Savienības tiesību sastāvdaļa vispārējo principu veidolā. Turklāt Hartas 52.panta 3.punkta – kurā ir noteikts, ka Hartā ietvertajām tiesībām, kas atbilst Konvencijā garantētajām tiesībām, ir tāda pati nozīme un apjoms, kāds tām noteikts minētajā Konvencijā, – mērķis ir nodrošināt šo attiecīgo tiesību nepieciešamo saskaņotību, nekaitējot Savienības tiesību un Eiropas Savienības Tiesas autonomijai </w:t>
      </w:r>
      <w:r w:rsidR="00ED5531">
        <w:t>(</w:t>
      </w:r>
      <w:r w:rsidR="00ED5531" w:rsidRPr="0028227C">
        <w:rPr>
          <w:rFonts w:eastAsiaTheme="minorHAnsi"/>
          <w:i/>
          <w:iCs/>
          <w:kern w:val="2"/>
        </w:rPr>
        <w:t>Eiropas Savienības Tiesas (Virspalāta) 2021.gada 2.februāra spriedum</w:t>
      </w:r>
      <w:r w:rsidR="00134AF2">
        <w:rPr>
          <w:rFonts w:eastAsiaTheme="minorHAnsi"/>
          <w:i/>
          <w:iCs/>
          <w:kern w:val="2"/>
        </w:rPr>
        <w:t>a</w:t>
      </w:r>
      <w:r w:rsidR="00ED5531" w:rsidRPr="0028227C">
        <w:rPr>
          <w:rFonts w:eastAsiaTheme="minorHAnsi"/>
          <w:i/>
          <w:iCs/>
          <w:kern w:val="2"/>
        </w:rPr>
        <w:t xml:space="preserve"> lietā „Consob”, </w:t>
      </w:r>
      <w:r w:rsidR="00ED5531" w:rsidRPr="00D51B80">
        <w:rPr>
          <w:rFonts w:eastAsiaTheme="minorHAnsi"/>
          <w:i/>
          <w:iCs/>
          <w:kern w:val="2"/>
        </w:rPr>
        <w:t>C</w:t>
      </w:r>
      <w:r w:rsidR="00C45AFC" w:rsidRPr="00D51B80">
        <w:rPr>
          <w:rFonts w:eastAsiaTheme="minorHAnsi"/>
          <w:i/>
          <w:iCs/>
          <w:kern w:val="2"/>
        </w:rPr>
        <w:noBreakHyphen/>
      </w:r>
      <w:r w:rsidR="00ED5531" w:rsidRPr="00D51B80">
        <w:rPr>
          <w:rFonts w:eastAsiaTheme="minorHAnsi"/>
          <w:i/>
          <w:iCs/>
          <w:kern w:val="2"/>
        </w:rPr>
        <w:t>481/19</w:t>
      </w:r>
      <w:r w:rsidR="00ED5531" w:rsidRPr="0028227C">
        <w:rPr>
          <w:rFonts w:eastAsiaTheme="minorHAnsi"/>
          <w:i/>
          <w:iCs/>
          <w:kern w:val="2"/>
        </w:rPr>
        <w:t xml:space="preserve">, </w:t>
      </w:r>
      <w:hyperlink r:id="rId15" w:history="1">
        <w:r w:rsidR="00ED5531" w:rsidRPr="00D51B80">
          <w:rPr>
            <w:rStyle w:val="Hyperlink"/>
            <w:rFonts w:eastAsiaTheme="minorHAnsi"/>
            <w:i/>
            <w:iCs/>
            <w:kern w:val="2"/>
          </w:rPr>
          <w:t>ECLI:EU:C:2021:84</w:t>
        </w:r>
      </w:hyperlink>
      <w:r w:rsidR="00ED5531" w:rsidRPr="0028227C">
        <w:rPr>
          <w:rFonts w:eastAsiaTheme="minorHAnsi"/>
          <w:i/>
          <w:iCs/>
          <w:kern w:val="2"/>
        </w:rPr>
        <w:t>, 36.punkts</w:t>
      </w:r>
      <w:r w:rsidR="00ED5531">
        <w:rPr>
          <w:rFonts w:eastAsiaTheme="minorHAnsi"/>
          <w:kern w:val="2"/>
        </w:rPr>
        <w:t>)</w:t>
      </w:r>
      <w:r w:rsidR="0028227C">
        <w:rPr>
          <w:rFonts w:eastAsiaTheme="minorHAnsi"/>
          <w:kern w:val="2"/>
        </w:rPr>
        <w:t>.</w:t>
      </w:r>
      <w:r w:rsidR="00C45AFC">
        <w:rPr>
          <w:rFonts w:eastAsiaTheme="minorHAnsi"/>
          <w:kern w:val="2"/>
        </w:rPr>
        <w:t xml:space="preserve"> </w:t>
      </w:r>
      <w:r w:rsidR="00D249D9">
        <w:rPr>
          <w:rFonts w:eastAsiaTheme="minorHAnsi"/>
          <w:kern w:val="2"/>
        </w:rPr>
        <w:t xml:space="preserve">Vienlaikus </w:t>
      </w:r>
      <w:r w:rsidR="00E8349F">
        <w:rPr>
          <w:rFonts w:eastAsiaTheme="minorHAnsi"/>
          <w:kern w:val="2"/>
        </w:rPr>
        <w:t xml:space="preserve">Hartas 52.panta 3.punkts </w:t>
      </w:r>
      <w:r w:rsidR="00E8349F" w:rsidRPr="00027646">
        <w:rPr>
          <w:rFonts w:eastAsiaTheme="minorHAnsi"/>
          <w:kern w:val="2"/>
        </w:rPr>
        <w:t>neliedz Savienības tiesībās paredzēt plašāku aizsardzību</w:t>
      </w:r>
      <w:r w:rsidR="00E8349F">
        <w:rPr>
          <w:rFonts w:eastAsiaTheme="minorHAnsi"/>
          <w:kern w:val="2"/>
        </w:rPr>
        <w:t>.</w:t>
      </w:r>
    </w:p>
    <w:p w14:paraId="763666A8" w14:textId="00D57631" w:rsidR="00134AF2" w:rsidRDefault="00D02223" w:rsidP="001F783F">
      <w:pPr>
        <w:spacing w:line="276" w:lineRule="auto"/>
        <w:ind w:firstLine="720"/>
        <w:jc w:val="both"/>
        <w:rPr>
          <w:rFonts w:eastAsiaTheme="minorHAnsi"/>
          <w:kern w:val="2"/>
        </w:rPr>
      </w:pPr>
      <w:r>
        <w:rPr>
          <w:rFonts w:eastAsiaTheme="minorHAnsi"/>
          <w:kern w:val="2"/>
        </w:rPr>
        <w:t>Kā atzinusi Eiropas Savienības Tiesa, s</w:t>
      </w:r>
      <w:r w:rsidR="00E8349F">
        <w:rPr>
          <w:rFonts w:eastAsiaTheme="minorHAnsi"/>
          <w:kern w:val="2"/>
        </w:rPr>
        <w:t>a</w:t>
      </w:r>
      <w:r w:rsidR="00027646" w:rsidRPr="00027646">
        <w:rPr>
          <w:rFonts w:eastAsiaTheme="minorHAnsi"/>
          <w:kern w:val="2"/>
        </w:rPr>
        <w:t xml:space="preserve">skaņā </w:t>
      </w:r>
      <w:r w:rsidR="00E8349F">
        <w:rPr>
          <w:rFonts w:eastAsiaTheme="minorHAnsi"/>
          <w:kern w:val="2"/>
        </w:rPr>
        <w:t xml:space="preserve">ar </w:t>
      </w:r>
      <w:r w:rsidR="00027646" w:rsidRPr="00027646">
        <w:rPr>
          <w:rFonts w:eastAsiaTheme="minorHAnsi"/>
          <w:kern w:val="2"/>
        </w:rPr>
        <w:t xml:space="preserve">Hartas 7.pantu </w:t>
      </w:r>
      <w:r w:rsidR="009F0E63">
        <w:rPr>
          <w:rFonts w:eastAsiaTheme="minorHAnsi"/>
          <w:kern w:val="2"/>
        </w:rPr>
        <w:t>„</w:t>
      </w:r>
      <w:r w:rsidR="00027646" w:rsidRPr="00027646">
        <w:rPr>
          <w:rFonts w:eastAsiaTheme="minorHAnsi"/>
          <w:kern w:val="2"/>
        </w:rPr>
        <w:t xml:space="preserve">ikvienai personai ir tiesības uz savas privātās un ģimenes dzīves, dzīvokļa un saziņas neaizskaramību”. </w:t>
      </w:r>
      <w:r w:rsidR="009F0E63">
        <w:rPr>
          <w:rFonts w:eastAsiaTheme="minorHAnsi"/>
          <w:kern w:val="2"/>
        </w:rPr>
        <w:t>K</w:t>
      </w:r>
      <w:r w:rsidR="00027646" w:rsidRPr="00027646">
        <w:rPr>
          <w:rFonts w:eastAsiaTheme="minorHAnsi"/>
          <w:kern w:val="2"/>
        </w:rPr>
        <w:t xml:space="preserve">onvencijas 8.panta 1.punkta formulējums ir identisks minētā 7.panta formulējumam, izņemot to, ka vārda </w:t>
      </w:r>
      <w:r w:rsidR="009F0E63">
        <w:rPr>
          <w:rFonts w:eastAsiaTheme="minorHAnsi"/>
          <w:kern w:val="2"/>
        </w:rPr>
        <w:t>„</w:t>
      </w:r>
      <w:r w:rsidR="00027646" w:rsidRPr="00027646">
        <w:rPr>
          <w:rFonts w:eastAsiaTheme="minorHAnsi"/>
          <w:kern w:val="2"/>
        </w:rPr>
        <w:t xml:space="preserve">saziņa” vietā tajā ir izmantots vārds </w:t>
      </w:r>
      <w:r w:rsidR="009F0E63">
        <w:rPr>
          <w:rFonts w:eastAsiaTheme="minorHAnsi"/>
          <w:kern w:val="2"/>
        </w:rPr>
        <w:t>„</w:t>
      </w:r>
      <w:r w:rsidR="00027646" w:rsidRPr="00027646">
        <w:rPr>
          <w:rFonts w:eastAsiaTheme="minorHAnsi"/>
          <w:kern w:val="2"/>
        </w:rPr>
        <w:t xml:space="preserve">korespondence”. Tādējādi </w:t>
      </w:r>
      <w:r>
        <w:rPr>
          <w:rFonts w:eastAsiaTheme="minorHAnsi"/>
          <w:kern w:val="2"/>
        </w:rPr>
        <w:t>jāsecina</w:t>
      </w:r>
      <w:r w:rsidR="00027646" w:rsidRPr="00027646">
        <w:rPr>
          <w:rFonts w:eastAsiaTheme="minorHAnsi"/>
          <w:kern w:val="2"/>
        </w:rPr>
        <w:t xml:space="preserve">, ka šajā 7.pantā ir iekļautas tiesības, kas atbilst </w:t>
      </w:r>
      <w:r w:rsidR="009F0E63">
        <w:rPr>
          <w:rFonts w:eastAsiaTheme="minorHAnsi"/>
          <w:kern w:val="2"/>
        </w:rPr>
        <w:t>K</w:t>
      </w:r>
      <w:r w:rsidR="00027646" w:rsidRPr="00027646">
        <w:rPr>
          <w:rFonts w:eastAsiaTheme="minorHAnsi"/>
          <w:kern w:val="2"/>
        </w:rPr>
        <w:t xml:space="preserve">onvencijas 8.panta 1.punktā garantētajām tiesībām. Līdz ar to Hartas 7.pantam jāpiešķir tāda pati nozīme un apjoms kā </w:t>
      </w:r>
      <w:r w:rsidR="009F0E63">
        <w:rPr>
          <w:rFonts w:eastAsiaTheme="minorHAnsi"/>
          <w:kern w:val="2"/>
        </w:rPr>
        <w:t>K</w:t>
      </w:r>
      <w:r w:rsidR="00027646" w:rsidRPr="00027646">
        <w:rPr>
          <w:rFonts w:eastAsiaTheme="minorHAnsi"/>
          <w:kern w:val="2"/>
        </w:rPr>
        <w:t>onvencijas 8.panta 1.punktam, kas interpretēts Eiropas Cilvēktiesību tiesas judikatūrā</w:t>
      </w:r>
      <w:r w:rsidR="009F0E63">
        <w:rPr>
          <w:rFonts w:eastAsiaTheme="minorHAnsi"/>
          <w:kern w:val="2"/>
        </w:rPr>
        <w:t xml:space="preserve"> </w:t>
      </w:r>
      <w:r w:rsidR="00ED5531" w:rsidRPr="00ED5531">
        <w:rPr>
          <w:rFonts w:eastAsiaTheme="minorHAnsi"/>
          <w:kern w:val="2"/>
        </w:rPr>
        <w:t>(</w:t>
      </w:r>
      <w:r w:rsidR="00047F6A">
        <w:rPr>
          <w:rFonts w:eastAsiaTheme="minorHAnsi"/>
          <w:i/>
          <w:iCs/>
          <w:kern w:val="2"/>
        </w:rPr>
        <w:t>2015.gada 17.decembra sprieduma lietā „</w:t>
      </w:r>
      <w:r w:rsidR="00047F6A" w:rsidRPr="0028227C">
        <w:rPr>
          <w:rFonts w:eastAsiaTheme="minorHAnsi"/>
          <w:i/>
          <w:iCs/>
          <w:kern w:val="2"/>
        </w:rPr>
        <w:t xml:space="preserve">WebMindLicenses”, </w:t>
      </w:r>
      <w:r w:rsidR="00047F6A" w:rsidRPr="00D51B80">
        <w:rPr>
          <w:rFonts w:eastAsiaTheme="minorHAnsi"/>
          <w:i/>
          <w:iCs/>
          <w:kern w:val="2"/>
        </w:rPr>
        <w:t>C</w:t>
      </w:r>
      <w:r w:rsidR="00047F6A" w:rsidRPr="00D51B80">
        <w:rPr>
          <w:rFonts w:eastAsiaTheme="minorHAnsi"/>
          <w:i/>
          <w:iCs/>
          <w:kern w:val="2"/>
        </w:rPr>
        <w:noBreakHyphen/>
        <w:t>419/14</w:t>
      </w:r>
      <w:r w:rsidR="00047F6A" w:rsidRPr="0028227C">
        <w:rPr>
          <w:rFonts w:eastAsiaTheme="minorHAnsi"/>
          <w:i/>
          <w:iCs/>
          <w:kern w:val="2"/>
        </w:rPr>
        <w:t xml:space="preserve">, </w:t>
      </w:r>
      <w:hyperlink r:id="rId16" w:history="1">
        <w:r w:rsidR="00047F6A" w:rsidRPr="00D51B80">
          <w:rPr>
            <w:rStyle w:val="Hyperlink"/>
            <w:rFonts w:eastAsiaTheme="minorHAnsi"/>
            <w:i/>
            <w:iCs/>
            <w:kern w:val="2"/>
          </w:rPr>
          <w:t>ECLI:EU:C:2015:832</w:t>
        </w:r>
      </w:hyperlink>
      <w:r w:rsidR="00047F6A" w:rsidRPr="00134AF2">
        <w:rPr>
          <w:rFonts w:eastAsiaTheme="minorHAnsi"/>
          <w:i/>
          <w:iCs/>
          <w:kern w:val="2"/>
        </w:rPr>
        <w:t>, 70.punkts</w:t>
      </w:r>
      <w:r w:rsidR="00047F6A">
        <w:rPr>
          <w:rFonts w:eastAsiaTheme="minorHAnsi"/>
          <w:i/>
          <w:iCs/>
          <w:kern w:val="2"/>
        </w:rPr>
        <w:t>;</w:t>
      </w:r>
      <w:r w:rsidR="00047F6A" w:rsidRPr="0028227C">
        <w:rPr>
          <w:rFonts w:eastAsiaTheme="minorHAnsi"/>
          <w:i/>
          <w:iCs/>
          <w:kern w:val="2"/>
        </w:rPr>
        <w:t xml:space="preserve"> </w:t>
      </w:r>
      <w:r w:rsidR="0028227C" w:rsidRPr="0028227C">
        <w:rPr>
          <w:rFonts w:eastAsiaTheme="minorHAnsi"/>
          <w:i/>
          <w:iCs/>
          <w:kern w:val="2"/>
        </w:rPr>
        <w:t>Eiropas Savienības Tiesas 2010.gada 5.oktobra sprieduma lietā „PPU</w:t>
      </w:r>
      <w:r w:rsidR="009D18FB">
        <w:rPr>
          <w:rFonts w:eastAsiaTheme="minorHAnsi"/>
          <w:i/>
          <w:iCs/>
          <w:kern w:val="2"/>
        </w:rPr>
        <w:noBreakHyphen/>
      </w:r>
      <w:r w:rsidR="0028227C" w:rsidRPr="0028227C">
        <w:rPr>
          <w:rFonts w:eastAsiaTheme="minorHAnsi"/>
          <w:i/>
          <w:iCs/>
          <w:kern w:val="2"/>
        </w:rPr>
        <w:t xml:space="preserve">McB.”, </w:t>
      </w:r>
      <w:r w:rsidR="0028227C" w:rsidRPr="00D51B80">
        <w:rPr>
          <w:rFonts w:eastAsiaTheme="minorHAnsi"/>
          <w:i/>
          <w:iCs/>
          <w:kern w:val="2"/>
        </w:rPr>
        <w:t>C</w:t>
      </w:r>
      <w:r w:rsidR="0028227C" w:rsidRPr="00D51B80">
        <w:rPr>
          <w:rFonts w:eastAsiaTheme="minorHAnsi"/>
          <w:i/>
          <w:iCs/>
          <w:kern w:val="2"/>
        </w:rPr>
        <w:noBreakHyphen/>
        <w:t>400/10</w:t>
      </w:r>
      <w:r w:rsidR="0028227C" w:rsidRPr="0028227C">
        <w:rPr>
          <w:rFonts w:eastAsiaTheme="minorHAnsi"/>
          <w:i/>
          <w:iCs/>
          <w:kern w:val="2"/>
        </w:rPr>
        <w:t xml:space="preserve">, </w:t>
      </w:r>
      <w:hyperlink r:id="rId17" w:history="1">
        <w:r w:rsidR="0028227C" w:rsidRPr="00D51B80">
          <w:rPr>
            <w:rStyle w:val="Hyperlink"/>
            <w:rFonts w:eastAsiaTheme="minorHAnsi"/>
            <w:i/>
            <w:iCs/>
            <w:kern w:val="2"/>
          </w:rPr>
          <w:t>ECLI:EU:C:2010:582</w:t>
        </w:r>
      </w:hyperlink>
      <w:r w:rsidR="0028227C" w:rsidRPr="0028227C">
        <w:rPr>
          <w:rFonts w:eastAsiaTheme="minorHAnsi"/>
          <w:i/>
          <w:iCs/>
          <w:kern w:val="2"/>
        </w:rPr>
        <w:t>, 53.punkts</w:t>
      </w:r>
      <w:r w:rsidR="00ED5531" w:rsidRPr="00134AF2">
        <w:rPr>
          <w:rFonts w:eastAsiaTheme="minorHAnsi"/>
          <w:kern w:val="2"/>
        </w:rPr>
        <w:t>).</w:t>
      </w:r>
    </w:p>
    <w:p w14:paraId="68D67499" w14:textId="16457B61" w:rsidR="006504F7" w:rsidRDefault="00C03020" w:rsidP="001F783F">
      <w:pPr>
        <w:spacing w:line="276" w:lineRule="auto"/>
        <w:ind w:firstLine="720"/>
        <w:jc w:val="both"/>
      </w:pPr>
      <w:r>
        <w:t>Līdz ar to</w:t>
      </w:r>
      <w:r w:rsidR="004D7EF0">
        <w:t xml:space="preserve"> </w:t>
      </w:r>
      <w:r>
        <w:t>secināms</w:t>
      </w:r>
      <w:r w:rsidR="00D02223">
        <w:t xml:space="preserve">, ka </w:t>
      </w:r>
      <w:r w:rsidR="004D7EF0">
        <w:t xml:space="preserve">gan </w:t>
      </w:r>
      <w:r w:rsidR="0012742E">
        <w:t>Satversmes 96.pant</w:t>
      </w:r>
      <w:r w:rsidR="004B3097">
        <w:t>s</w:t>
      </w:r>
      <w:r w:rsidR="0012742E">
        <w:t>, gan</w:t>
      </w:r>
      <w:r w:rsidR="00134AF2" w:rsidRPr="00134AF2">
        <w:t xml:space="preserve"> Hartas 7.pant</w:t>
      </w:r>
      <w:r w:rsidR="004B3097">
        <w:t>s</w:t>
      </w:r>
      <w:r w:rsidR="004D7EF0">
        <w:t xml:space="preserve"> </w:t>
      </w:r>
      <w:r w:rsidR="004B3097">
        <w:t>iekļauj vismaz to</w:t>
      </w:r>
      <w:r w:rsidR="00134AF2" w:rsidRPr="00134AF2">
        <w:t xml:space="preserve"> </w:t>
      </w:r>
      <w:r w:rsidR="00134AF2" w:rsidRPr="004D7EF0">
        <w:t>minimāl</w:t>
      </w:r>
      <w:r w:rsidR="004B3097">
        <w:t>o</w:t>
      </w:r>
      <w:r w:rsidR="00134AF2" w:rsidRPr="004D7EF0">
        <w:t xml:space="preserve"> aizsardzības līmeni</w:t>
      </w:r>
      <w:r w:rsidR="004D7EF0">
        <w:t>, kād</w:t>
      </w:r>
      <w:r w:rsidR="004B3097">
        <w:t>u</w:t>
      </w:r>
      <w:r w:rsidR="004D7EF0">
        <w:t xml:space="preserve"> </w:t>
      </w:r>
      <w:r w:rsidR="004B3097">
        <w:t xml:space="preserve">ir noteikusi </w:t>
      </w:r>
      <w:r w:rsidR="004D7EF0" w:rsidRPr="00134AF2">
        <w:t>Eiropas Cilvēktiesību tiesa</w:t>
      </w:r>
      <w:r w:rsidR="00D02223">
        <w:t xml:space="preserve">, interpretējot </w:t>
      </w:r>
      <w:r w:rsidR="00134AF2" w:rsidRPr="00134AF2">
        <w:t>Konvencijas 8.panta 1.punkt</w:t>
      </w:r>
      <w:r w:rsidR="00D02223">
        <w:t>u</w:t>
      </w:r>
      <w:r w:rsidR="00134AF2" w:rsidRPr="00134AF2">
        <w:t>.</w:t>
      </w:r>
    </w:p>
    <w:p w14:paraId="1CD5446E" w14:textId="77777777" w:rsidR="006504F7" w:rsidRDefault="006504F7" w:rsidP="001F783F">
      <w:pPr>
        <w:spacing w:line="276" w:lineRule="auto"/>
        <w:ind w:firstLine="720"/>
        <w:jc w:val="both"/>
      </w:pPr>
    </w:p>
    <w:p w14:paraId="31B363AD" w14:textId="262045D2" w:rsidR="00A27B90" w:rsidRDefault="009709C7" w:rsidP="001F783F">
      <w:pPr>
        <w:spacing w:line="276" w:lineRule="auto"/>
        <w:ind w:firstLine="720"/>
        <w:jc w:val="both"/>
      </w:pPr>
      <w:r w:rsidRPr="00690CFC">
        <w:t>[</w:t>
      </w:r>
      <w:r w:rsidR="00094FF1" w:rsidRPr="00690CFC">
        <w:t>2</w:t>
      </w:r>
      <w:r w:rsidR="00261A14">
        <w:t>3</w:t>
      </w:r>
      <w:r w:rsidRPr="00690CFC">
        <w:t>]</w:t>
      </w:r>
      <w:r w:rsidR="00896CBC">
        <w:t> </w:t>
      </w:r>
      <w:r w:rsidRPr="00690CFC">
        <w:t xml:space="preserve">Eiropas Cilvēktiesību </w:t>
      </w:r>
      <w:r w:rsidR="002238B0">
        <w:t xml:space="preserve">tiesa </w:t>
      </w:r>
      <w:r w:rsidRPr="005C63FD">
        <w:t xml:space="preserve">spriedumā lietā </w:t>
      </w:r>
      <w:r w:rsidRPr="00AC4DBE">
        <w:t>„Ships Waste Oil Collector”</w:t>
      </w:r>
      <w:r w:rsidRPr="00690CFC">
        <w:t xml:space="preserve"> </w:t>
      </w:r>
      <w:r w:rsidR="00B66B2E">
        <w:t>izskatīja jautājumu</w:t>
      </w:r>
      <w:r w:rsidR="00A27B90">
        <w:t xml:space="preserve"> par to</w:t>
      </w:r>
      <w:r w:rsidR="0053457E">
        <w:t>, vai kriminālizmeklēšanā tiesiski iegūtu datu, t.i.,</w:t>
      </w:r>
      <w:r w:rsidR="00B66B2E">
        <w:t xml:space="preserve"> slepeni noklausīt</w:t>
      </w:r>
      <w:r w:rsidR="006914C0">
        <w:t>o</w:t>
      </w:r>
      <w:r w:rsidR="00B66B2E">
        <w:t xml:space="preserve"> telefonsarunu ierakstu</w:t>
      </w:r>
      <w:r w:rsidR="0053457E">
        <w:t>,</w:t>
      </w:r>
      <w:r w:rsidR="00B66B2E">
        <w:t xml:space="preserve"> </w:t>
      </w:r>
      <w:r w:rsidR="00A27B90">
        <w:t xml:space="preserve">tālāka </w:t>
      </w:r>
      <w:r w:rsidR="00B66B2E">
        <w:t>nodošan</w:t>
      </w:r>
      <w:r w:rsidR="00A27B90">
        <w:t>a</w:t>
      </w:r>
      <w:r w:rsidR="00B66B2E">
        <w:t xml:space="preserve"> </w:t>
      </w:r>
      <w:r w:rsidR="00C64886">
        <w:t>administratīvai</w:t>
      </w:r>
      <w:r w:rsidR="00B66B2E">
        <w:t xml:space="preserve"> iestādei</w:t>
      </w:r>
      <w:r w:rsidR="00C64886">
        <w:t xml:space="preserve"> </w:t>
      </w:r>
      <w:r w:rsidR="00A27B90">
        <w:t>konkurences tiesību pārkāpum</w:t>
      </w:r>
      <w:r w:rsidR="00D51B80">
        <w:t>a</w:t>
      </w:r>
      <w:r w:rsidR="00C64886">
        <w:t xml:space="preserve"> pierādīšanai</w:t>
      </w:r>
      <w:r w:rsidR="006914C0">
        <w:t xml:space="preserve">, kas </w:t>
      </w:r>
      <w:r w:rsidR="00177B37">
        <w:t>n</w:t>
      </w:r>
      <w:r w:rsidR="006914C0">
        <w:t>ebija datu vākšanas mērķis,</w:t>
      </w:r>
      <w:r w:rsidR="00A27B90">
        <w:t xml:space="preserve"> </w:t>
      </w:r>
      <w:r w:rsidR="006C4F75">
        <w:t>bija</w:t>
      </w:r>
      <w:r w:rsidR="005C63FD" w:rsidRPr="005C63FD">
        <w:t xml:space="preserve"> saderīga ar person</w:t>
      </w:r>
      <w:r w:rsidR="00A27B90">
        <w:t>as</w:t>
      </w:r>
      <w:r w:rsidR="005C63FD" w:rsidRPr="005C63FD">
        <w:t xml:space="preserve"> tiesībām uz privātās dzīves </w:t>
      </w:r>
      <w:r w:rsidR="004B3097">
        <w:t xml:space="preserve">un korespondences </w:t>
      </w:r>
      <w:r w:rsidR="005C63FD" w:rsidRPr="005C63FD">
        <w:t>neaizskaramību</w:t>
      </w:r>
      <w:r w:rsidR="005C63FD">
        <w:t xml:space="preserve">. </w:t>
      </w:r>
      <w:r w:rsidR="00AE6E40">
        <w:t>Tā kā</w:t>
      </w:r>
      <w:r w:rsidR="00A27B90">
        <w:t xml:space="preserve"> minētās lietas faktiskie apstākļi ir līdzīgi </w:t>
      </w:r>
      <w:r w:rsidR="00177B37">
        <w:t>izskatāmajā</w:t>
      </w:r>
      <w:r w:rsidR="00A27B90">
        <w:t xml:space="preserve"> liet</w:t>
      </w:r>
      <w:r w:rsidR="00177B37">
        <w:t>ā esošajie</w:t>
      </w:r>
      <w:r w:rsidR="00FA6043">
        <w:t>m</w:t>
      </w:r>
      <w:r w:rsidR="00A27B90">
        <w:t xml:space="preserve">, </w:t>
      </w:r>
      <w:r w:rsidR="00C64886">
        <w:t>Senāts atzīst, ka,</w:t>
      </w:r>
      <w:r w:rsidR="00A27B90">
        <w:t xml:space="preserve"> </w:t>
      </w:r>
      <w:r w:rsidR="00C64886">
        <w:t xml:space="preserve">vērtējot kasatoru </w:t>
      </w:r>
      <w:r w:rsidR="00FA6043">
        <w:t>argumentus</w:t>
      </w:r>
      <w:r w:rsidR="00177B37">
        <w:t xml:space="preserve"> par pierādījumu pieļaujamību</w:t>
      </w:r>
      <w:r w:rsidR="00C64886">
        <w:t>,</w:t>
      </w:r>
      <w:r w:rsidR="00A86451">
        <w:t xml:space="preserve"> </w:t>
      </w:r>
      <w:r w:rsidR="00A27B90">
        <w:t xml:space="preserve">ir </w:t>
      </w:r>
      <w:r w:rsidR="00FA6043">
        <w:t>ņemamas vērā</w:t>
      </w:r>
      <w:r w:rsidR="00A27B90">
        <w:t xml:space="preserve"> </w:t>
      </w:r>
      <w:r w:rsidR="00A86451" w:rsidRPr="00690CFC">
        <w:t>Eiropas Cilvēktiesību tiesa</w:t>
      </w:r>
      <w:r w:rsidR="006576DC">
        <w:t>s</w:t>
      </w:r>
      <w:r w:rsidR="00A86451" w:rsidRPr="00690CFC">
        <w:t xml:space="preserve"> </w:t>
      </w:r>
      <w:r w:rsidR="00A86451" w:rsidRPr="005C63FD">
        <w:t xml:space="preserve">spriedumā </w:t>
      </w:r>
      <w:r w:rsidR="00177B37">
        <w:t>izteiktās</w:t>
      </w:r>
      <w:r w:rsidR="00C64886">
        <w:t xml:space="preserve"> </w:t>
      </w:r>
      <w:r w:rsidR="00177B37">
        <w:t>a</w:t>
      </w:r>
      <w:r w:rsidR="00AF50EB">
        <w:t>t</w:t>
      </w:r>
      <w:r w:rsidR="00A27B90">
        <w:t>ziņas</w:t>
      </w:r>
      <w:r w:rsidR="00C64886">
        <w:t>.</w:t>
      </w:r>
    </w:p>
    <w:p w14:paraId="023F3A33" w14:textId="4B3B2710" w:rsidR="00907923" w:rsidRPr="00ED148B" w:rsidRDefault="00C04930" w:rsidP="001F783F">
      <w:pPr>
        <w:spacing w:line="276" w:lineRule="auto"/>
        <w:ind w:firstLine="720"/>
        <w:jc w:val="both"/>
      </w:pPr>
      <w:r w:rsidRPr="00690CFC">
        <w:t xml:space="preserve">Eiropas Cilvēktiesību </w:t>
      </w:r>
      <w:r>
        <w:t>t</w:t>
      </w:r>
      <w:r w:rsidR="005C63FD">
        <w:t xml:space="preserve">iesa </w:t>
      </w:r>
      <w:r w:rsidR="00AE6E40">
        <w:t>atzina</w:t>
      </w:r>
      <w:r w:rsidR="009709C7" w:rsidRPr="00690CFC">
        <w:t xml:space="preserve">, </w:t>
      </w:r>
      <w:r w:rsidR="003459BB" w:rsidRPr="00690CFC">
        <w:t>ka saziņas konfidencialitāte ir būtisks Konvencijas 8.pantā paredzēto tiesību uz privātās dzīves un korespondences neaizskaramību elements</w:t>
      </w:r>
      <w:r w:rsidR="008E7E88">
        <w:t xml:space="preserve">. </w:t>
      </w:r>
      <w:r w:rsidR="0053457E">
        <w:t>T</w:t>
      </w:r>
      <w:r w:rsidR="00AE6E40">
        <w:t>iesa</w:t>
      </w:r>
      <w:r w:rsidR="008E7E88">
        <w:t xml:space="preserve"> </w:t>
      </w:r>
      <w:r w:rsidR="00FA6043">
        <w:t>secināja</w:t>
      </w:r>
      <w:r w:rsidR="008E7E88">
        <w:t>,</w:t>
      </w:r>
      <w:r w:rsidR="003459BB" w:rsidRPr="00690CFC">
        <w:t xml:space="preserve"> ka s</w:t>
      </w:r>
      <w:r w:rsidR="00386B21" w:rsidRPr="00690CFC">
        <w:t xml:space="preserve">lepeni pārtverto datu tālāka </w:t>
      </w:r>
      <w:r w:rsidR="00386B21" w:rsidRPr="007C7D7B">
        <w:t xml:space="preserve">nosūtīšana izmantošanai konkurences </w:t>
      </w:r>
      <w:r w:rsidR="00ED148B">
        <w:t xml:space="preserve">tiesību pārkāpuma </w:t>
      </w:r>
      <w:r w:rsidR="00386B21" w:rsidRPr="007C7D7B">
        <w:t xml:space="preserve">procedūrās ir uzskatāma par atsevišķu iejaukšanos </w:t>
      </w:r>
      <w:r w:rsidR="00487CE8" w:rsidRPr="007C7D7B">
        <w:t>Konvencijas 8.pant</w:t>
      </w:r>
      <w:r w:rsidR="003459BB" w:rsidRPr="007C7D7B">
        <w:t>a</w:t>
      </w:r>
      <w:r w:rsidR="00487CE8" w:rsidRPr="007C7D7B">
        <w:t xml:space="preserve"> </w:t>
      </w:r>
      <w:r w:rsidR="00386B21" w:rsidRPr="007C7D7B">
        <w:t>tiesībās</w:t>
      </w:r>
      <w:r w:rsidR="006914C0" w:rsidRPr="007C7D7B">
        <w:t xml:space="preserve">, jo datu </w:t>
      </w:r>
      <w:r w:rsidR="007C7D7B" w:rsidRPr="007C7D7B">
        <w:t>nodošana</w:t>
      </w:r>
      <w:r w:rsidR="006914C0" w:rsidRPr="007C7D7B">
        <w:t xml:space="preserve"> citām iestādēm paplašina to pe</w:t>
      </w:r>
      <w:r w:rsidR="007C7D7B" w:rsidRPr="007C7D7B">
        <w:t>r</w:t>
      </w:r>
      <w:r w:rsidR="006914C0" w:rsidRPr="007C7D7B">
        <w:t xml:space="preserve">sonu loku, kurām </w:t>
      </w:r>
      <w:r w:rsidR="0053457E">
        <w:t>kļūst</w:t>
      </w:r>
      <w:r w:rsidR="006914C0" w:rsidRPr="007C7D7B">
        <w:t xml:space="preserve"> zināmi pārtvertie dati, un </w:t>
      </w:r>
      <w:r w:rsidR="00FA6043">
        <w:t xml:space="preserve">tādējādi </w:t>
      </w:r>
      <w:r w:rsidR="006914C0" w:rsidRPr="007C7D7B">
        <w:t xml:space="preserve">var novest pie </w:t>
      </w:r>
      <w:r w:rsidR="007C7D7B" w:rsidRPr="007C7D7B">
        <w:t>izmeklēšanas vai citas darbības uzsākšanas pret datu subjektu</w:t>
      </w:r>
      <w:r w:rsidR="003459BB" w:rsidRPr="00690CFC">
        <w:t xml:space="preserve"> (</w:t>
      </w:r>
      <w:r w:rsidR="00A6783B">
        <w:t>sal. </w:t>
      </w:r>
      <w:r w:rsidR="00A86451" w:rsidRPr="00A86451">
        <w:rPr>
          <w:i/>
          <w:iCs/>
        </w:rPr>
        <w:t>Eiropas Cilvēktiesību tiesa</w:t>
      </w:r>
      <w:r w:rsidR="00A86451">
        <w:rPr>
          <w:i/>
          <w:iCs/>
        </w:rPr>
        <w:t>s</w:t>
      </w:r>
      <w:r w:rsidR="00A86451" w:rsidRPr="00A86451">
        <w:rPr>
          <w:i/>
          <w:iCs/>
        </w:rPr>
        <w:t xml:space="preserve"> spriedum</w:t>
      </w:r>
      <w:r w:rsidR="00A86451">
        <w:rPr>
          <w:i/>
          <w:iCs/>
        </w:rPr>
        <w:t>a</w:t>
      </w:r>
      <w:r w:rsidR="00A86451" w:rsidRPr="00A86451">
        <w:rPr>
          <w:i/>
          <w:iCs/>
        </w:rPr>
        <w:t xml:space="preserve"> lietā „Ships Waste Oil Collector”</w:t>
      </w:r>
      <w:r w:rsidR="003459BB" w:rsidRPr="00690CFC">
        <w:rPr>
          <w:i/>
          <w:iCs/>
        </w:rPr>
        <w:t>149.</w:t>
      </w:r>
      <w:r w:rsidR="00A27B90">
        <w:rPr>
          <w:i/>
          <w:iCs/>
        </w:rPr>
        <w:t>–</w:t>
      </w:r>
      <w:r w:rsidR="003459BB" w:rsidRPr="00690CFC">
        <w:rPr>
          <w:i/>
          <w:iCs/>
        </w:rPr>
        <w:t>15</w:t>
      </w:r>
      <w:r w:rsidR="00A27B90">
        <w:rPr>
          <w:i/>
          <w:iCs/>
        </w:rPr>
        <w:t>1</w:t>
      </w:r>
      <w:r w:rsidR="003459BB" w:rsidRPr="00690CFC">
        <w:rPr>
          <w:i/>
          <w:iCs/>
        </w:rPr>
        <w:t>.punkts</w:t>
      </w:r>
      <w:r w:rsidR="003459BB" w:rsidRPr="00690CFC">
        <w:t>). Savukārt j</w:t>
      </w:r>
      <w:r w:rsidR="009709C7" w:rsidRPr="00690CFC">
        <w:t xml:space="preserve">ebkura iejaukšanās </w:t>
      </w:r>
      <w:r w:rsidR="00F56555" w:rsidRPr="00690CFC">
        <w:t>K</w:t>
      </w:r>
      <w:r w:rsidR="009709C7" w:rsidRPr="00690CFC">
        <w:t>onvencijas</w:t>
      </w:r>
      <w:r w:rsidR="003459BB" w:rsidRPr="00690CFC">
        <w:t xml:space="preserve"> </w:t>
      </w:r>
      <w:r w:rsidR="009709C7" w:rsidRPr="00690CFC">
        <w:t>8.panta tiesībās var būt attaisnojama saskaņā ar 8.panta 2.punktu tikai tad, ja tā ir saskaņā ar likumu, atbilst vienam vai vairākiem leģitīmiem mērķiem, kas minēti šajā punktā, un ir nepieciešama demokrātiskā sabiedrībā, lai sasniegtu jebkuru šādu mērķi. Formulējums „saskaņā ar likumu” prasa, lai apstrīdētajam pasākumam būtu gan kāds pamats valsts tiesību aktos, gan tas būtu saderīgs ar tiesiskumu, kas ir skaidri minēts Konvencijas preambulā un ir neatņemami saistīts ar 8.panta priekšmetu un mērķi. Tādējādi likumam jāatbilst kvalitātes prasībām: tam jābūt pieejamam attiecīgajai personai un paredzamam attiecībā uz tā sekām</w:t>
      </w:r>
      <w:r w:rsidR="006F2AF3" w:rsidRPr="00690CFC">
        <w:t>.</w:t>
      </w:r>
      <w:r w:rsidR="005D6868" w:rsidRPr="00690CFC">
        <w:t xml:space="preserve"> </w:t>
      </w:r>
      <w:r w:rsidR="006F2AF3" w:rsidRPr="00690CFC">
        <w:t>Iejaukšanās tiktu uzskatīta par „nepieciešamu demokrātiskā sabiedrībā”, lai sasniegtu leģitīmu mērķi, ja tā atbilst „steidzamai sabiedrības vajadzībai” un, īpaši, ja tā ir proporcionāla īstenojamam leģitīmajam mērķim</w:t>
      </w:r>
      <w:r w:rsidR="0053457E">
        <w:t>,</w:t>
      </w:r>
      <w:r w:rsidR="006F2AF3" w:rsidRPr="00690CFC">
        <w:t xml:space="preserve"> un ja iestāžu izvirzītie iemesli tās pamatošanai ir „atbilstoši un pietiekami”</w:t>
      </w:r>
      <w:r w:rsidR="009709C7" w:rsidRPr="00690CFC">
        <w:t xml:space="preserve"> (</w:t>
      </w:r>
      <w:r w:rsidR="00A86451" w:rsidRPr="00A86451">
        <w:rPr>
          <w:i/>
          <w:iCs/>
        </w:rPr>
        <w:t>turpat,</w:t>
      </w:r>
      <w:r w:rsidR="00A86451">
        <w:t xml:space="preserve"> </w:t>
      </w:r>
      <w:r w:rsidR="009709C7" w:rsidRPr="00690CFC">
        <w:rPr>
          <w:i/>
          <w:iCs/>
        </w:rPr>
        <w:t>152.punkts</w:t>
      </w:r>
      <w:r w:rsidR="009709C7" w:rsidRPr="00690CFC">
        <w:t>).</w:t>
      </w:r>
    </w:p>
    <w:p w14:paraId="273BCAA8" w14:textId="59DCD8A7" w:rsidR="00907923" w:rsidRPr="00690CFC" w:rsidRDefault="00ED148B" w:rsidP="001F783F">
      <w:pPr>
        <w:spacing w:line="276" w:lineRule="auto"/>
        <w:ind w:firstLine="720"/>
        <w:jc w:val="both"/>
      </w:pPr>
      <w:r>
        <w:t xml:space="preserve"> </w:t>
      </w:r>
      <w:r w:rsidR="00AB1F1D" w:rsidRPr="00690CFC">
        <w:t xml:space="preserve">Tiesa </w:t>
      </w:r>
      <w:r w:rsidR="0028124D">
        <w:t xml:space="preserve">arī </w:t>
      </w:r>
      <w:r w:rsidR="00AB1F1D" w:rsidRPr="00690CFC">
        <w:t>atzin</w:t>
      </w:r>
      <w:r w:rsidR="0053457E">
        <w:t>a</w:t>
      </w:r>
      <w:r w:rsidR="00AB1F1D" w:rsidRPr="00690CFC">
        <w:t xml:space="preserve"> – j</w:t>
      </w:r>
      <w:r w:rsidR="00AB1F1D" w:rsidRPr="00690CFC">
        <w:rPr>
          <w:lang w:bidi="en-US"/>
        </w:rPr>
        <w:t>a pārt</w:t>
      </w:r>
      <w:r w:rsidR="005A6CD8">
        <w:rPr>
          <w:lang w:bidi="en-US"/>
        </w:rPr>
        <w:t>verto</w:t>
      </w:r>
      <w:r w:rsidR="00AB1F1D" w:rsidRPr="00690CFC">
        <w:rPr>
          <w:lang w:bidi="en-US"/>
        </w:rPr>
        <w:t xml:space="preserve">s datus, kas iegūti Konvencijai atbilstošā veidā, viena tiesībaizsardzības iestāde nosūta citai bez datu subjekta ziņas, slepenas uzraudzības pasākumu kontekstā izstrādātie standarti ir piemērojami arī šāda gadījuma izvērtēšanā. Tajā pašā laikā, ņemot vērā atšķirīgo iejaukšanās apmēru starp sākotnējo pārtveršanu un turpmāko datu pārsūtīšanu, šos standartus nevar tieši </w:t>
      </w:r>
      <w:r w:rsidR="0053457E">
        <w:rPr>
          <w:lang w:bidi="en-US"/>
        </w:rPr>
        <w:t>pārņemt</w:t>
      </w:r>
      <w:r w:rsidR="00AB1F1D" w:rsidRPr="00690CFC">
        <w:rPr>
          <w:lang w:bidi="en-US"/>
        </w:rPr>
        <w:t>. Saziņas pārtveršana ir ļoti uzmācīgs pasākums, jo tā</w:t>
      </w:r>
      <w:r w:rsidR="0072773F" w:rsidRPr="00690CFC">
        <w:rPr>
          <w:lang w:bidi="en-US"/>
        </w:rPr>
        <w:t xml:space="preserve"> </w:t>
      </w:r>
      <w:r w:rsidR="00E77537">
        <w:rPr>
          <w:lang w:bidi="en-US"/>
        </w:rPr>
        <w:t xml:space="preserve">rezultātā, ņemot vērā šāda pasākuma </w:t>
      </w:r>
      <w:r w:rsidR="00AB1F1D" w:rsidRPr="00690CFC">
        <w:rPr>
          <w:lang w:bidi="en-US"/>
        </w:rPr>
        <w:t>būtīb</w:t>
      </w:r>
      <w:r w:rsidR="00E77537">
        <w:rPr>
          <w:lang w:bidi="en-US"/>
        </w:rPr>
        <w:t xml:space="preserve">u, </w:t>
      </w:r>
      <w:r w:rsidR="00E77537">
        <w:t xml:space="preserve">var tikt iegūta un pārbaudīta </w:t>
      </w:r>
      <w:r w:rsidR="0072773F" w:rsidRPr="00690CFC">
        <w:t xml:space="preserve">liela apjoma personas </w:t>
      </w:r>
      <w:r w:rsidR="00E77537">
        <w:t>saziņa</w:t>
      </w:r>
      <w:r w:rsidR="0072773F" w:rsidRPr="00690CFC">
        <w:t>. Savukārt datu pārsūtīšana</w:t>
      </w:r>
      <w:r w:rsidR="00013F98" w:rsidRPr="00690CFC">
        <w:t xml:space="preserve"> </w:t>
      </w:r>
      <w:r w:rsidR="00013F98" w:rsidRPr="00690CFC">
        <w:rPr>
          <w:lang w:bidi="en-US"/>
        </w:rPr>
        <w:t>parasti ietver tikai ierobežotu daudzumu atlasītu pārtverto materiālu</w:t>
      </w:r>
      <w:r w:rsidR="00A6783B">
        <w:rPr>
          <w:lang w:bidi="en-US"/>
        </w:rPr>
        <w:t>,</w:t>
      </w:r>
      <w:r w:rsidR="00013F98" w:rsidRPr="00690CFC">
        <w:rPr>
          <w:lang w:bidi="en-US"/>
        </w:rPr>
        <w:t xml:space="preserve"> un šajā ziņā </w:t>
      </w:r>
      <w:r w:rsidR="00A6783B">
        <w:rPr>
          <w:lang w:bidi="en-US"/>
        </w:rPr>
        <w:t xml:space="preserve">tā </w:t>
      </w:r>
      <w:r w:rsidR="00013F98" w:rsidRPr="00690CFC">
        <w:rPr>
          <w:lang w:bidi="en-US"/>
        </w:rPr>
        <w:t>parasti ir mazāk uzmācīga</w:t>
      </w:r>
      <w:r w:rsidR="00013F98" w:rsidRPr="00690CFC">
        <w:t xml:space="preserve"> (</w:t>
      </w:r>
      <w:r w:rsidR="00A86451" w:rsidRPr="00A86451">
        <w:rPr>
          <w:i/>
          <w:iCs/>
        </w:rPr>
        <w:t>turpat,</w:t>
      </w:r>
      <w:r w:rsidR="00A86451">
        <w:t xml:space="preserve"> </w:t>
      </w:r>
      <w:r w:rsidR="00013F98" w:rsidRPr="00690CFC">
        <w:rPr>
          <w:i/>
          <w:iCs/>
        </w:rPr>
        <w:t>153.punkts</w:t>
      </w:r>
      <w:r w:rsidR="00013F98" w:rsidRPr="00690CFC">
        <w:t>).</w:t>
      </w:r>
    </w:p>
    <w:p w14:paraId="270CE5EE" w14:textId="77777777" w:rsidR="008D5234" w:rsidRDefault="008D5234" w:rsidP="001F783F">
      <w:pPr>
        <w:spacing w:line="276" w:lineRule="auto"/>
        <w:ind w:firstLine="720"/>
        <w:jc w:val="both"/>
      </w:pPr>
    </w:p>
    <w:p w14:paraId="5886DC5F" w14:textId="7798D180" w:rsidR="00CC7B58" w:rsidRDefault="008D5234" w:rsidP="001F783F">
      <w:pPr>
        <w:spacing w:line="276" w:lineRule="auto"/>
        <w:ind w:firstLine="720"/>
        <w:jc w:val="both"/>
      </w:pPr>
      <w:r w:rsidRPr="000365BF">
        <w:t>[</w:t>
      </w:r>
      <w:r w:rsidR="000365BF" w:rsidRPr="000365BF">
        <w:t>2</w:t>
      </w:r>
      <w:r w:rsidR="00261A14">
        <w:t>4</w:t>
      </w:r>
      <w:r w:rsidRPr="000365BF">
        <w:t>] </w:t>
      </w:r>
      <w:r w:rsidR="00A6783B" w:rsidRPr="00690CFC">
        <w:t xml:space="preserve">Eiropas Cilvēktiesību tiesa </w:t>
      </w:r>
      <w:r w:rsidR="00AE6E40">
        <w:t>skaidroj</w:t>
      </w:r>
      <w:r w:rsidR="006576DC">
        <w:t>usi</w:t>
      </w:r>
      <w:r w:rsidR="00A6783B">
        <w:t>, ka p</w:t>
      </w:r>
      <w:r w:rsidR="00013F98" w:rsidRPr="000365BF">
        <w:t>ārsūtītie</w:t>
      </w:r>
      <w:r w:rsidR="00013F98" w:rsidRPr="00690CFC">
        <w:t xml:space="preserve"> dati parasti ir iegūti pārtveršanas procedūrās, kuras stingri regulē likums un uz kurām attiecas visi aizsardzības mehānismi pret patvaļīgu rīcību un ļaunprātīgu izmantošanu. T</w:t>
      </w:r>
      <w:r w:rsidR="005A6CD8">
        <w:t>ie</w:t>
      </w:r>
      <w:r w:rsidR="00013F98" w:rsidRPr="00690CFC">
        <w:t xml:space="preserve"> ietver gan procesuāl</w:t>
      </w:r>
      <w:r w:rsidR="005A6CD8">
        <w:t>ā</w:t>
      </w:r>
      <w:r w:rsidR="00013F98" w:rsidRPr="00690CFC">
        <w:t>s garantijas, piemēram, tās, kas attiecas uz atļauju izsniegšanas procedūru, gan arī materiāltiesisk</w:t>
      </w:r>
      <w:r w:rsidR="005A6CD8">
        <w:t>ā</w:t>
      </w:r>
      <w:r w:rsidR="00013F98" w:rsidRPr="00690CFC">
        <w:t xml:space="preserve">s garantijas, piemēram, tās, kas </w:t>
      </w:r>
      <w:r w:rsidR="004B3097">
        <w:t>prasa</w:t>
      </w:r>
      <w:r w:rsidR="00013F98" w:rsidRPr="00690CFC">
        <w:t xml:space="preserve"> pamatojumu, lai varētu veikt noklausīšanos. Līdz ar to garantijas, kas piemērojamas noklausīšanās datu iegūšanas procesam</w:t>
      </w:r>
      <w:r>
        <w:t xml:space="preserve"> un </w:t>
      </w:r>
      <w:r w:rsidR="00013F98" w:rsidRPr="00690CFC">
        <w:t xml:space="preserve">kurus vēlāk var pārsūtīt citai tiesībaizsardzības iestādei, vismaz zināmā mērā ierobežo </w:t>
      </w:r>
      <w:r w:rsidR="00233F38" w:rsidRPr="00690CFC">
        <w:t xml:space="preserve">arī </w:t>
      </w:r>
      <w:r w:rsidR="00013F98" w:rsidRPr="00690CFC">
        <w:t>patvaļas un ļaunprātīgas izmantošanas risku, kas varētu būt saistīts ar šo datu pārsūtīšanu</w:t>
      </w:r>
      <w:r w:rsidR="00233F38" w:rsidRPr="00690CFC">
        <w:t xml:space="preserve"> (</w:t>
      </w:r>
      <w:r w:rsidR="00A86451" w:rsidRPr="00A86451">
        <w:rPr>
          <w:i/>
          <w:iCs/>
        </w:rPr>
        <w:t>turpat,</w:t>
      </w:r>
      <w:r w:rsidR="00A86451">
        <w:t xml:space="preserve"> </w:t>
      </w:r>
      <w:r w:rsidR="00233F38" w:rsidRPr="00690CFC">
        <w:rPr>
          <w:i/>
          <w:iCs/>
        </w:rPr>
        <w:t>154.punkts</w:t>
      </w:r>
      <w:r w:rsidR="00233F38" w:rsidRPr="00690CFC">
        <w:t>).</w:t>
      </w:r>
    </w:p>
    <w:p w14:paraId="0D5B9C5C" w14:textId="757D82D2" w:rsidR="00896CBC" w:rsidRDefault="00CC7B58" w:rsidP="001F783F">
      <w:pPr>
        <w:spacing w:line="276" w:lineRule="auto"/>
        <w:ind w:firstLine="720"/>
        <w:jc w:val="both"/>
      </w:pPr>
      <w:r>
        <w:t>T</w:t>
      </w:r>
      <w:r w:rsidR="00233F38" w:rsidRPr="00690CFC">
        <w:t>iesa uzskatīj</w:t>
      </w:r>
      <w:r w:rsidR="008D5234">
        <w:t>a</w:t>
      </w:r>
      <w:r w:rsidR="00233F38" w:rsidRPr="00690CFC">
        <w:t xml:space="preserve">, ka, lai gan slepenas uzraudzības pasākumu kontekstā izstrādātie standarti ir noderīgs ietvars to izvērtēšanai, tie tomēr jāpielāgo, ņemot vērā specifiskās iezīmes pārtverto datu pārsūtīšanai no vienas tiesībaizsardzības iestādes citai. Šajā sakarā tiesa ņēma vērā </w:t>
      </w:r>
      <w:r w:rsidR="006E7EB2">
        <w:t xml:space="preserve">arī </w:t>
      </w:r>
      <w:r w:rsidR="00233F38" w:rsidRPr="00690CFC">
        <w:t>standartus, kas izstrādāti saistībā ar datu aizsardzību (</w:t>
      </w:r>
      <w:r w:rsidR="00A86451" w:rsidRPr="00A86451">
        <w:rPr>
          <w:i/>
          <w:iCs/>
        </w:rPr>
        <w:t>turpat,</w:t>
      </w:r>
      <w:r w:rsidR="00A86451">
        <w:t xml:space="preserve"> </w:t>
      </w:r>
      <w:r w:rsidR="00233F38" w:rsidRPr="00690CFC">
        <w:rPr>
          <w:i/>
          <w:iCs/>
        </w:rPr>
        <w:t>155.punkts</w:t>
      </w:r>
      <w:r w:rsidR="00233F38" w:rsidRPr="00690CFC">
        <w:t>)</w:t>
      </w:r>
      <w:r>
        <w:t xml:space="preserve">, un </w:t>
      </w:r>
      <w:r w:rsidR="00A6783B">
        <w:t>atgādināja</w:t>
      </w:r>
      <w:r w:rsidR="006F2AF3" w:rsidRPr="00690CFC">
        <w:t>, ka datu aizsardzības kontekstā ir būtiski noteikt skaidrus un detalizētus noteikumus, kas regulē pasākumu darbības jomu un piemērošanu, kā arī nosaka minimālas garantijas, citstarp attiecībā uz ilgumu, glabāšanu, izmantošanu, trešo personu piekļuvi, procedūrām datu integritātes un konfidencialitātes saglabāšanai</w:t>
      </w:r>
      <w:r w:rsidR="008D5234">
        <w:t xml:space="preserve">, kā arī </w:t>
      </w:r>
      <w:r w:rsidR="006F2AF3" w:rsidRPr="00690CFC">
        <w:t>datu iznīcināšanai, tā</w:t>
      </w:r>
      <w:r w:rsidR="008D5234">
        <w:t>dā veidā</w:t>
      </w:r>
      <w:r w:rsidR="006F2AF3" w:rsidRPr="00690CFC">
        <w:t xml:space="preserve"> nodrošinot, ka attiecīgās personas ir pietiekami aizsargātas pret ļaunprātību un patvaļu (</w:t>
      </w:r>
      <w:r w:rsidR="00A86451" w:rsidRPr="00A86451">
        <w:rPr>
          <w:i/>
          <w:iCs/>
        </w:rPr>
        <w:t>turpat,</w:t>
      </w:r>
      <w:r w:rsidR="00A86451">
        <w:t xml:space="preserve"> </w:t>
      </w:r>
      <w:r w:rsidR="006F2AF3" w:rsidRPr="00690CFC">
        <w:rPr>
          <w:i/>
          <w:iCs/>
        </w:rPr>
        <w:t>156.punkts</w:t>
      </w:r>
      <w:r w:rsidR="006F2AF3" w:rsidRPr="00690CFC">
        <w:t>).</w:t>
      </w:r>
    </w:p>
    <w:p w14:paraId="52DEDB8B" w14:textId="77777777" w:rsidR="00DC5D17" w:rsidRDefault="00DC5D17" w:rsidP="001F783F">
      <w:pPr>
        <w:spacing w:line="276" w:lineRule="auto"/>
        <w:ind w:firstLine="720"/>
        <w:jc w:val="both"/>
      </w:pPr>
    </w:p>
    <w:p w14:paraId="3578317E" w14:textId="7A68F07E" w:rsidR="00896CBC" w:rsidRDefault="00DC5D17" w:rsidP="001F783F">
      <w:pPr>
        <w:spacing w:line="276" w:lineRule="auto"/>
        <w:ind w:firstLine="720"/>
        <w:jc w:val="both"/>
      </w:pPr>
      <w:r>
        <w:t>[2</w:t>
      </w:r>
      <w:r w:rsidR="00261A14">
        <w:t>5</w:t>
      </w:r>
      <w:r>
        <w:t>] </w:t>
      </w:r>
      <w:r w:rsidR="009709C7" w:rsidRPr="00690CFC">
        <w:t>Lai gan pārtverto datu pārsūtīšana, lai tos izmantotu jaunam mērķim, parasti ir mazāk uz</w:t>
      </w:r>
      <w:r w:rsidR="00FF4351">
        <w:t>mācīga</w:t>
      </w:r>
      <w:r w:rsidR="009709C7" w:rsidRPr="00690CFC">
        <w:t xml:space="preserve"> nekā sākotnējā sakaru pārtveršana, tomēr tā ir </w:t>
      </w:r>
      <w:r w:rsidR="009709C7" w:rsidRPr="00EE2E4C">
        <w:t>būtiska iejaukšanās</w:t>
      </w:r>
      <w:r w:rsidR="009709C7" w:rsidRPr="00690CFC">
        <w:t xml:space="preserve"> datu subjekta tiesībās, kas jāpamato saskaņā ar Konvencijas 8.panta 2.punkta prasībām. Tādēļ tiesa atzin</w:t>
      </w:r>
      <w:r w:rsidR="008D5234">
        <w:t>a</w:t>
      </w:r>
      <w:r w:rsidR="009709C7" w:rsidRPr="00690CFC">
        <w:t xml:space="preserve">, ka datu nosūtīšanai izmantošanai ārpus sākotnējā krimināltiesiskā konteksta, kurā tie tika vākti, jābūt juridiski pamatotai un datu subjektam paredzamai. </w:t>
      </w:r>
      <w:r w:rsidR="008D5234">
        <w:t>Attiecīgi</w:t>
      </w:r>
      <w:r w:rsidR="009709C7" w:rsidRPr="00690CFC">
        <w:t xml:space="preserve"> ir svarīgi likumā pietiekami ierobežot </w:t>
      </w:r>
      <w:r w:rsidR="009709C7" w:rsidRPr="00E73D02">
        <w:rPr>
          <w:color w:val="000000" w:themeColor="text1"/>
        </w:rPr>
        <w:t>iespējamo jauno datu izmantošanas jomu, jo tā ir garantija pret patvaļu un ļaunprātīgu izmantošanu</w:t>
      </w:r>
      <w:r w:rsidR="00347599" w:rsidRPr="00E73D02">
        <w:rPr>
          <w:color w:val="000000" w:themeColor="text1"/>
        </w:rPr>
        <w:t xml:space="preserve">. Turklāt nepieciešams, lai šāda datu pārsūtīšana un izmantošana tiktu pārliecinoši pamatota konkrētās lietas apstākļos, citstarp ņemot vērā pārsūtīšanas mērķa nozīmīgumu. </w:t>
      </w:r>
      <w:r w:rsidR="00CC7B58">
        <w:t>Visbeidzot</w:t>
      </w:r>
      <w:r w:rsidR="00E73D02" w:rsidRPr="00E73D02">
        <w:t xml:space="preserve">, novērtējot datu pārsūtīšanas nepieciešamību demokrātiskā sabiedrībā, lai sasniegtu mērķus, kas pārsniedz sākotnējo kriminālo kontekstu, kādā dati tika vākti, </w:t>
      </w:r>
      <w:r w:rsidR="00E73D02">
        <w:t>jāņem vērā</w:t>
      </w:r>
      <w:r w:rsidR="00E73D02" w:rsidRPr="00E73D02">
        <w:t xml:space="preserve">, </w:t>
      </w:r>
      <w:r w:rsidR="00E73D02">
        <w:t>vai</w:t>
      </w:r>
      <w:r w:rsidR="00E73D02" w:rsidRPr="00E73D02">
        <w:t xml:space="preserve"> pārsūtīšana </w:t>
      </w:r>
      <w:r w:rsidR="00CC7B58">
        <w:t xml:space="preserve">ir </w:t>
      </w:r>
      <w:r w:rsidR="00E73D02" w:rsidRPr="00E73D02">
        <w:t>pakļauta efektīvai tiesiskai kontrolei</w:t>
      </w:r>
      <w:r w:rsidR="00E73D02">
        <w:rPr>
          <w:color w:val="EE0000"/>
        </w:rPr>
        <w:t xml:space="preserve"> </w:t>
      </w:r>
      <w:r w:rsidR="009709C7" w:rsidRPr="00690CFC">
        <w:t>(</w:t>
      </w:r>
      <w:r w:rsidR="00347599">
        <w:t xml:space="preserve">sal. </w:t>
      </w:r>
      <w:r w:rsidR="00A86451" w:rsidRPr="00A86451">
        <w:rPr>
          <w:i/>
          <w:iCs/>
        </w:rPr>
        <w:t>turpat,</w:t>
      </w:r>
      <w:r w:rsidR="00A86451">
        <w:t xml:space="preserve"> </w:t>
      </w:r>
      <w:r w:rsidR="009709C7" w:rsidRPr="00690CFC">
        <w:rPr>
          <w:i/>
          <w:iCs/>
        </w:rPr>
        <w:t>157.punkts</w:t>
      </w:r>
      <w:r w:rsidR="009709C7" w:rsidRPr="00690CFC">
        <w:t>)</w:t>
      </w:r>
      <w:r w:rsidR="00347599">
        <w:t>.</w:t>
      </w:r>
    </w:p>
    <w:p w14:paraId="50E00746" w14:textId="615428EB" w:rsidR="00174586" w:rsidRDefault="005D6868" w:rsidP="001F783F">
      <w:pPr>
        <w:spacing w:line="276" w:lineRule="auto"/>
        <w:ind w:firstLine="720"/>
        <w:jc w:val="both"/>
      </w:pPr>
      <w:r w:rsidRPr="00690CFC">
        <w:t>Tiesa</w:t>
      </w:r>
      <w:r w:rsidR="006E7EB2">
        <w:t xml:space="preserve"> </w:t>
      </w:r>
      <w:r w:rsidR="00DC5D17">
        <w:t xml:space="preserve">arī </w:t>
      </w:r>
      <w:r w:rsidRPr="00690CFC">
        <w:t>norādīj</w:t>
      </w:r>
      <w:r w:rsidR="00047F6A">
        <w:t>a</w:t>
      </w:r>
      <w:r w:rsidRPr="00690CFC">
        <w:t>, ka iejaukšanās likumība, kas rodas sakarā ar noklausīto datu nodošanu, ir cieši saistīta ar jautājumu, vai šī iejaukšanās bija „nepieciešama demokrātiskā sabiedrībā”. Tādēļ var</w:t>
      </w:r>
      <w:r w:rsidR="006E7EB2">
        <w:t xml:space="preserve">ētu </w:t>
      </w:r>
      <w:r w:rsidRPr="00690CFC">
        <w:t>būt lietderīgi, ka ab</w:t>
      </w:r>
      <w:r w:rsidR="006E7EB2">
        <w:t>i šie</w:t>
      </w:r>
      <w:r w:rsidRPr="00690CFC">
        <w:t xml:space="preserve"> kritērij</w:t>
      </w:r>
      <w:r w:rsidR="006E7EB2">
        <w:t>i tiek izvērtēti</w:t>
      </w:r>
      <w:r w:rsidRPr="00690CFC">
        <w:t xml:space="preserve"> kopā. Šajā kontekstā „likuma kvalitāte” nozīmē, ka valsts tiesību aktiem jābūt ne tikai pieejamiem un paredzamiem to piemērošanā, bet arī jānodrošina, ka noklausīto datu nodošana notiek tikai tad, ja tā ir „nepieciešama demokrātiskā sabiedrībā”, īpaši paredzot pietiekamus un efektīvus drošības mehānismus pret patvaļu un ļaunprātību. Neatkarīgi no tā, vai šo jautājumu izvērtē </w:t>
      </w:r>
      <w:r w:rsidRPr="00DB15C0">
        <w:t>atsevišķi vai kopā</w:t>
      </w:r>
      <w:r w:rsidRPr="00690CFC">
        <w:t xml:space="preserve"> ar iejaukšanās likumības prasību, izvērtējums ir atkarīgs no visiem lietas apstākļiem, piemēram, iespējamo pasākumu rakstura un apjoma, pamatojuma, kas nepieciešams to izdošanai, kompetento iestāžu, kas ir pilnvarotas tos atļaut, veikt un uzraudzīt, kā arī tiesiskās aizsardzības līdzekļu veida, ko paredz valsts tiesību akti (</w:t>
      </w:r>
      <w:r w:rsidR="00A86451" w:rsidRPr="00A86451">
        <w:rPr>
          <w:i/>
          <w:iCs/>
        </w:rPr>
        <w:t>turpat,</w:t>
      </w:r>
      <w:r w:rsidR="00A86451">
        <w:t xml:space="preserve"> </w:t>
      </w:r>
      <w:r w:rsidRPr="00690CFC">
        <w:rPr>
          <w:i/>
          <w:iCs/>
        </w:rPr>
        <w:t>158.punkts</w:t>
      </w:r>
      <w:r w:rsidRPr="00690CFC">
        <w:t>).</w:t>
      </w:r>
    </w:p>
    <w:p w14:paraId="08F67272" w14:textId="77777777" w:rsidR="00174586" w:rsidRDefault="00174586" w:rsidP="001F783F">
      <w:pPr>
        <w:spacing w:line="276" w:lineRule="auto"/>
        <w:ind w:firstLine="720"/>
        <w:jc w:val="both"/>
      </w:pPr>
    </w:p>
    <w:p w14:paraId="5E1D81BB" w14:textId="68E41A54" w:rsidR="00AE6E40" w:rsidRDefault="00174586" w:rsidP="001F783F">
      <w:pPr>
        <w:spacing w:line="276" w:lineRule="auto"/>
        <w:ind w:firstLine="720"/>
        <w:jc w:val="both"/>
      </w:pPr>
      <w:r w:rsidRPr="00690CFC">
        <w:t>[2</w:t>
      </w:r>
      <w:r w:rsidR="00261A14">
        <w:t>6</w:t>
      </w:r>
      <w:r w:rsidRPr="00690CFC">
        <w:t>] </w:t>
      </w:r>
      <w:r w:rsidR="00AE6E40">
        <w:t>Rezultātā</w:t>
      </w:r>
      <w:r w:rsidR="005F3814">
        <w:t xml:space="preserve"> </w:t>
      </w:r>
      <w:r w:rsidR="009B0503">
        <w:t>Eiropas Cilvēktiesību tiesa</w:t>
      </w:r>
      <w:r w:rsidR="00AE6E40">
        <w:t xml:space="preserve"> atzina</w:t>
      </w:r>
      <w:r w:rsidR="009B0503">
        <w:t xml:space="preserve">, ka </w:t>
      </w:r>
      <w:r w:rsidR="009B0503" w:rsidRPr="00690CFC">
        <w:t>valsts tiesību akt</w:t>
      </w:r>
      <w:r w:rsidR="005F3814">
        <w:t>os</w:t>
      </w:r>
      <w:r w:rsidR="009B0503" w:rsidRPr="00690CFC">
        <w:t xml:space="preserve"> jāparedz „piesardzības pasākumi, kas jāveic, nododot pārtvertos datus citām pusēm”. Tiem citstarp jānodrošina, lai nosūtīšana nekļūtu par līdzekli, ar ko apiet stingros aizsardzības pasākumus, kas piemērojami sakaru pārtveršanai.</w:t>
      </w:r>
      <w:r>
        <w:t xml:space="preserve"> </w:t>
      </w:r>
      <w:r w:rsidR="009B0503">
        <w:t>Līdz ar to, l</w:t>
      </w:r>
      <w:r w:rsidR="004C675A" w:rsidRPr="00690CFC">
        <w:t>ai novērstu patvaļas un ļaunprātības risku gadījumos, kad noklausītos datus nodod no vienas tiesīb</w:t>
      </w:r>
      <w:r w:rsidR="000365BF">
        <w:t>aizsardzības</w:t>
      </w:r>
      <w:r w:rsidR="004C675A" w:rsidRPr="00690CFC">
        <w:t xml:space="preserve"> iestādes citai,</w:t>
      </w:r>
      <w:r w:rsidR="00CC7B58">
        <w:t xml:space="preserve"> </w:t>
      </w:r>
      <w:r w:rsidR="009B0503">
        <w:t xml:space="preserve">tiesa </w:t>
      </w:r>
      <w:r>
        <w:t>nosprieda</w:t>
      </w:r>
      <w:r w:rsidR="009B0503">
        <w:t xml:space="preserve">, ka </w:t>
      </w:r>
      <w:r w:rsidR="004C675A" w:rsidRPr="00690CFC">
        <w:t>valsts tiesību aktos jāparedz vismaz šādi</w:t>
      </w:r>
      <w:r w:rsidR="006E7EB2">
        <w:t xml:space="preserve"> </w:t>
      </w:r>
      <w:r w:rsidR="006E7EB2" w:rsidRPr="00174586">
        <w:rPr>
          <w:i/>
          <w:iCs/>
        </w:rPr>
        <w:t>minimālie</w:t>
      </w:r>
      <w:r w:rsidR="004C675A" w:rsidRPr="00174586">
        <w:rPr>
          <w:i/>
          <w:iCs/>
        </w:rPr>
        <w:t xml:space="preserve"> </w:t>
      </w:r>
      <w:r w:rsidR="004C675A" w:rsidRPr="00DB15C0">
        <w:t>piesardzības pasākumi</w:t>
      </w:r>
      <w:r w:rsidR="009709C7" w:rsidRPr="00690CFC">
        <w:t>.</w:t>
      </w:r>
    </w:p>
    <w:p w14:paraId="0127DCB4" w14:textId="0E1A9D7D" w:rsidR="00904AA1" w:rsidRDefault="004C675A" w:rsidP="001F783F">
      <w:pPr>
        <w:spacing w:line="276" w:lineRule="auto"/>
        <w:ind w:firstLine="720"/>
        <w:jc w:val="both"/>
      </w:pPr>
      <w:r w:rsidRPr="00690CFC">
        <w:t>Pirmkārt, pārtvert</w:t>
      </w:r>
      <w:r w:rsidR="00875AB6">
        <w:t>ā</w:t>
      </w:r>
      <w:r w:rsidRPr="00690CFC">
        <w:t xml:space="preserve"> materiāl</w:t>
      </w:r>
      <w:r w:rsidR="00875AB6">
        <w:t>a</w:t>
      </w:r>
      <w:r w:rsidRPr="00690CFC">
        <w:t xml:space="preserve"> nodošana izmantošanai ārpus sākotnējā kriminālprocesa, kurā t</w:t>
      </w:r>
      <w:r w:rsidR="00875AB6">
        <w:t>as</w:t>
      </w:r>
      <w:r w:rsidRPr="00690CFC">
        <w:t xml:space="preserve"> tika iegūt</w:t>
      </w:r>
      <w:r w:rsidR="00875AB6">
        <w:t>s</w:t>
      </w:r>
      <w:r w:rsidRPr="00690CFC">
        <w:t xml:space="preserve">, </w:t>
      </w:r>
      <w:r w:rsidR="00875AB6">
        <w:t xml:space="preserve">būtu </w:t>
      </w:r>
      <w:r w:rsidRPr="00690CFC">
        <w:t>jāierobežo</w:t>
      </w:r>
      <w:r w:rsidR="00C80F12">
        <w:t xml:space="preserve"> tikai</w:t>
      </w:r>
      <w:r w:rsidRPr="00690CFC">
        <w:t xml:space="preserve"> ar tādu materiālu, kas iegūt</w:t>
      </w:r>
      <w:r w:rsidR="00875AB6">
        <w:t>s</w:t>
      </w:r>
      <w:r w:rsidRPr="00690CFC">
        <w:t xml:space="preserve"> saskaņā ar Konvencijas prasībām. Otrkārt, valsts tiesību aktos skaidri jānosaka apstākļi, </w:t>
      </w:r>
      <w:r w:rsidR="006E7EB2">
        <w:t>kādos</w:t>
      </w:r>
      <w:r w:rsidRPr="00690CFC">
        <w:t xml:space="preserve"> šāda nodošana var notikt. </w:t>
      </w:r>
      <w:r w:rsidR="009B0503">
        <w:t>G</w:t>
      </w:r>
      <w:r w:rsidRPr="00690CFC">
        <w:t xml:space="preserve">adījumos, kad izpildvarai piešķirtās pilnvaras tiek izmantotas slepeni, patvaļas un ļaunprātības risks ir acīmredzams. Tādēļ ir būtiski noteikt pietiekami skaidrus noteikumus par to, kad noklausīto datu nodošana var notikt bez iesaistīto personu ziņas. Valsts tiesību aktiem jābūt pietiekami skaidriem, lai personām tiktu sniegtas atbilstošas norādes par apstākļiem un nosacījumiem, </w:t>
      </w:r>
      <w:r w:rsidR="00C80F12">
        <w:t>kādos</w:t>
      </w:r>
      <w:r w:rsidRPr="00690CFC">
        <w:t xml:space="preserve"> iestādes ir pilnvarotas </w:t>
      </w:r>
      <w:r w:rsidR="00C80F12">
        <w:t>veikt</w:t>
      </w:r>
      <w:r w:rsidRPr="00690CFC">
        <w:t xml:space="preserve"> šādus pasākumus. Turklāt, tā kā šādu pasākumu īstenošana praksē nav pakļauta ne attiecīgo personu, ne sabiedrības kontrolei, tiesību aktos pietiekami skaidri jānorāda kompetento iestāžu rīcības brīvības apjoms un tās izmantošanas </w:t>
      </w:r>
      <w:r w:rsidR="00C80F12">
        <w:t>veids</w:t>
      </w:r>
      <w:r w:rsidRPr="00690CFC">
        <w:t xml:space="preserve">, lai nodrošinātu personai </w:t>
      </w:r>
      <w:r w:rsidR="00C80F12">
        <w:t>atbilstošu</w:t>
      </w:r>
      <w:r w:rsidRPr="00690CFC">
        <w:t xml:space="preserve"> aizsardzību pret patvaļīgu iejaukšanos. Treškārt, likumā jāparedz garantijas attiecībā uz </w:t>
      </w:r>
      <w:r w:rsidR="00690CFC" w:rsidRPr="00690CFC">
        <w:t>nodoto</w:t>
      </w:r>
      <w:r w:rsidRPr="00690CFC">
        <w:t xml:space="preserve"> datu </w:t>
      </w:r>
      <w:r w:rsidR="00C80F12">
        <w:t>pārbaudi</w:t>
      </w:r>
      <w:r w:rsidRPr="00690CFC">
        <w:t xml:space="preserve">, glabāšanu, izmantošanu, tālāku nosūtīšanu un iznīcināšanu. Visbeidzot, noklausīto datu nodošana un izmantošana citam mērķim, kas atšķiras no sākotnējā kriminālprocesa mērķa, kurā tie tika iegūti, </w:t>
      </w:r>
      <w:r w:rsidR="00690CFC" w:rsidRPr="00690CFC">
        <w:t>jābūt pakļautai</w:t>
      </w:r>
      <w:r w:rsidRPr="00690CFC">
        <w:t xml:space="preserve"> efektīvai kontrolei, ko veic tiesa vai cit</w:t>
      </w:r>
      <w:r w:rsidR="00690CFC" w:rsidRPr="00690CFC">
        <w:t>a</w:t>
      </w:r>
      <w:r w:rsidRPr="00690CFC">
        <w:t xml:space="preserve"> neatkarīg</w:t>
      </w:r>
      <w:r w:rsidR="00690CFC" w:rsidRPr="00690CFC">
        <w:t>a</w:t>
      </w:r>
      <w:r w:rsidRPr="00690CFC">
        <w:t xml:space="preserve"> </w:t>
      </w:r>
      <w:r w:rsidR="00690CFC" w:rsidRPr="00690CFC">
        <w:t>iestāde</w:t>
      </w:r>
      <w:r w:rsidRPr="00690CFC">
        <w:t>.</w:t>
      </w:r>
      <w:r w:rsidR="006E7EB2">
        <w:t xml:space="preserve"> </w:t>
      </w:r>
      <w:r w:rsidR="00690CFC" w:rsidRPr="00690CFC">
        <w:t xml:space="preserve">Tiesai arī jāvērtē, vai iejaukšanos, kas izriet no datu </w:t>
      </w:r>
      <w:r w:rsidR="00C80F12">
        <w:t>nodošanas</w:t>
      </w:r>
      <w:r w:rsidR="00690CFC" w:rsidRPr="00690CFC">
        <w:t>, lietas apstākļu kontekstā var uzskatīt par nepieciešamu demokrātiskā sabiedrībā, lai sasniegtu leģitīm</w:t>
      </w:r>
      <w:r w:rsidR="00C80F12">
        <w:t>u</w:t>
      </w:r>
      <w:r w:rsidR="00690CFC" w:rsidRPr="00690CFC">
        <w:t xml:space="preserve"> mērķi (</w:t>
      </w:r>
      <w:r w:rsidR="00A86451" w:rsidRPr="00A86451">
        <w:rPr>
          <w:i/>
          <w:iCs/>
        </w:rPr>
        <w:t>turpat,</w:t>
      </w:r>
      <w:r w:rsidR="00A86451">
        <w:t xml:space="preserve"> </w:t>
      </w:r>
      <w:r w:rsidR="009B0503" w:rsidRPr="009B0503">
        <w:rPr>
          <w:i/>
          <w:iCs/>
        </w:rPr>
        <w:t>159.–</w:t>
      </w:r>
      <w:r w:rsidR="00690CFC" w:rsidRPr="009B0503">
        <w:rPr>
          <w:i/>
          <w:iCs/>
        </w:rPr>
        <w:t>161.</w:t>
      </w:r>
      <w:r w:rsidR="00690CFC" w:rsidRPr="00690CFC">
        <w:rPr>
          <w:i/>
          <w:iCs/>
        </w:rPr>
        <w:t>punkts</w:t>
      </w:r>
      <w:r w:rsidR="00690CFC" w:rsidRPr="00690CFC">
        <w:t>)</w:t>
      </w:r>
      <w:r w:rsidR="00C74EB2">
        <w:t>.</w:t>
      </w:r>
    </w:p>
    <w:p w14:paraId="701FC1DA" w14:textId="77777777" w:rsidR="0025533B" w:rsidRDefault="0025533B" w:rsidP="001F783F">
      <w:pPr>
        <w:spacing w:line="276" w:lineRule="auto"/>
        <w:ind w:firstLine="720"/>
        <w:jc w:val="both"/>
      </w:pPr>
    </w:p>
    <w:p w14:paraId="40940BEA" w14:textId="4F83A84D" w:rsidR="0025533B" w:rsidRPr="009B6FBA" w:rsidRDefault="0025533B" w:rsidP="001F783F">
      <w:pPr>
        <w:spacing w:line="276" w:lineRule="auto"/>
        <w:ind w:firstLine="720"/>
        <w:jc w:val="both"/>
      </w:pPr>
      <w:r>
        <w:t>[</w:t>
      </w:r>
      <w:r w:rsidR="004C0A5F">
        <w:t>2</w:t>
      </w:r>
      <w:r w:rsidR="00261A14">
        <w:t>7</w:t>
      </w:r>
      <w:r>
        <w:t>] </w:t>
      </w:r>
      <w:r w:rsidR="00C04930">
        <w:t>Arī</w:t>
      </w:r>
      <w:r w:rsidR="005F3814">
        <w:t xml:space="preserve"> </w:t>
      </w:r>
      <w:r w:rsidRPr="009B6FBA">
        <w:t>Eiropas Savienības Tiesa</w:t>
      </w:r>
      <w:r w:rsidR="005F3814">
        <w:t xml:space="preserve"> ir skaidrojusi,</w:t>
      </w:r>
      <w:r w:rsidR="0027151A">
        <w:t xml:space="preserve"> </w:t>
      </w:r>
      <w:r w:rsidR="005F3814">
        <w:t xml:space="preserve">ka </w:t>
      </w:r>
      <w:r w:rsidRPr="0025533B">
        <w:t>pamattiesību uz privātās dzīves neaizskaramību aizsardzība nozīmē</w:t>
      </w:r>
      <w:r w:rsidR="0027151A">
        <w:t xml:space="preserve"> to</w:t>
      </w:r>
      <w:r w:rsidRPr="0025533B">
        <w:t>, ka atkāpes no personas datu aizsardzības un tās ierobežojumi jāīsteno absolūti nepieciešamā ietvaros. Turklāt vispārējo interešu mērķa sasniegšanā nevar neņemt vērā to, ka tas jāsalāgo ar šā pasākuma skartajām pamattiesībām, līdzsvarojot šo vispārējo interešu mērķi ar attiecīgajām tiesībām</w:t>
      </w:r>
      <w:r>
        <w:t xml:space="preserve">. </w:t>
      </w:r>
      <w:r w:rsidRPr="0025533B">
        <w:t xml:space="preserve">Konkrētāk, no </w:t>
      </w:r>
      <w:r w:rsidR="001179EB">
        <w:t>t</w:t>
      </w:r>
      <w:r w:rsidRPr="0025533B">
        <w:t xml:space="preserve">iesas judikatūras izriet, ka </w:t>
      </w:r>
      <w:r w:rsidR="0027151A">
        <w:t>jautājums par to, vai</w:t>
      </w:r>
      <w:r w:rsidRPr="0025533B">
        <w:t xml:space="preserve"> dalībvalst</w:t>
      </w:r>
      <w:r w:rsidR="0027151A">
        <w:t>is var</w:t>
      </w:r>
      <w:r w:rsidRPr="0025533B">
        <w:t xml:space="preserve"> pamatot </w:t>
      </w:r>
      <w:r w:rsidR="0027151A" w:rsidRPr="0025533B">
        <w:t>ierobežojumu</w:t>
      </w:r>
      <w:r w:rsidR="0027151A">
        <w:t xml:space="preserve"> tiesībām, </w:t>
      </w:r>
      <w:r w:rsidRPr="0025533B">
        <w:t>jāizvērtē, izsverot tādas iejaukšanās smagumu, kuru rada šāds ierobežojums, un pārbaudot, vai vispārējo interešu mērķa nozīmīgums ir atbilstošs no šāda pasākuma izrietošās iejaukšanās smagumam</w:t>
      </w:r>
      <w:r>
        <w:t xml:space="preserve">. </w:t>
      </w:r>
      <w:r w:rsidRPr="0025533B">
        <w:t xml:space="preserve">Lai izpildītu samērīguma prasību, valsts tiesiskajā regulējumā jāparedz skaidri un precīzi noteikumi, kas reglamentē attiecīgā pasākuma tvērumu un piemērošanu un paredz minimālās prasības, lai tā rezultātā personām, kuru personas dati tikuši pārsūtīti, būtu pietiekamas garantijas, kas ļautu šos datus efektīvi aizsargāt pret ļaunprātīgas izmantošanas risku. </w:t>
      </w:r>
      <w:r w:rsidRPr="007948F7">
        <w:t>Šiem tiesību aktiem jābūt juridiski saistošiem valsts tiesībās un tajos it īpaši jānorāda, kādos apstākļos un saskaņā ar kādiem nosacījumiem var īstenot pasākumu, kas ietver šādu datu apstrādi, tādējādi garantējot, ka šāda iejaukšanās notiek tikai absolūti nepieciešamajā apmērā. Šādu</w:t>
      </w:r>
      <w:r w:rsidRPr="0025533B">
        <w:t xml:space="preserve"> garantiju sniegšanas nepieciešamība ir vēl jo svarīgāka, </w:t>
      </w:r>
      <w:r w:rsidR="003D1C6E">
        <w:t>j</w:t>
      </w:r>
      <w:r w:rsidRPr="0025533B">
        <w:t>a personas dati tiek apstrādāti automātiski un pastāv ievērojams nelikumīgas piekļuves risks šiem datiem. Šie apsvērumi ir it īpaši svarīgi, ja runa ir par tādas kategorijas personas datu aizsardzību kā sensitīvi dati</w:t>
      </w:r>
      <w:r w:rsidRPr="009B6FBA">
        <w:t xml:space="preserve"> (</w:t>
      </w:r>
      <w:r w:rsidRPr="009B6FBA">
        <w:rPr>
          <w:i/>
          <w:iCs/>
        </w:rPr>
        <w:t>Eiropas Savienības Tiesas</w:t>
      </w:r>
      <w:r w:rsidR="00047F6A">
        <w:rPr>
          <w:i/>
          <w:iCs/>
        </w:rPr>
        <w:t xml:space="preserve"> (Virspalāta)</w:t>
      </w:r>
      <w:r w:rsidRPr="009B6FBA">
        <w:rPr>
          <w:i/>
          <w:iCs/>
        </w:rPr>
        <w:t xml:space="preserve"> 2022.gada 5.aprīļa sprieduma lietā „Commissioner of An Garda Síochána”,</w:t>
      </w:r>
      <w:r w:rsidR="004C0A5F" w:rsidRPr="004C0A5F">
        <w:rPr>
          <w:i/>
          <w:iCs/>
        </w:rPr>
        <w:t xml:space="preserve"> </w:t>
      </w:r>
      <w:r w:rsidRPr="00D51B80">
        <w:rPr>
          <w:i/>
          <w:iCs/>
        </w:rPr>
        <w:t>C-140/20</w:t>
      </w:r>
      <w:r w:rsidRPr="009B6FBA">
        <w:rPr>
          <w:i/>
          <w:iCs/>
        </w:rPr>
        <w:t xml:space="preserve">, </w:t>
      </w:r>
      <w:hyperlink r:id="rId18" w:history="1">
        <w:r w:rsidRPr="00D51B80">
          <w:rPr>
            <w:rStyle w:val="Hyperlink"/>
            <w:i/>
            <w:iCs/>
          </w:rPr>
          <w:t>ECLI:EU:C:2022:258</w:t>
        </w:r>
      </w:hyperlink>
      <w:r w:rsidRPr="009B6FBA">
        <w:rPr>
          <w:i/>
          <w:iCs/>
        </w:rPr>
        <w:t>, 54.punkts</w:t>
      </w:r>
      <w:r w:rsidRPr="009B6FBA">
        <w:t>).</w:t>
      </w:r>
    </w:p>
    <w:p w14:paraId="38842534" w14:textId="77777777" w:rsidR="0025533B" w:rsidRDefault="0025533B" w:rsidP="001F783F">
      <w:pPr>
        <w:spacing w:line="276" w:lineRule="auto"/>
        <w:ind w:firstLine="720"/>
        <w:jc w:val="both"/>
      </w:pPr>
    </w:p>
    <w:p w14:paraId="709D8552" w14:textId="28C70C13" w:rsidR="001179EB" w:rsidRDefault="00E04AA4" w:rsidP="001F783F">
      <w:pPr>
        <w:spacing w:line="276" w:lineRule="auto"/>
        <w:ind w:firstLine="720"/>
        <w:jc w:val="both"/>
      </w:pPr>
      <w:r>
        <w:t>[</w:t>
      </w:r>
      <w:r w:rsidR="002B3AD7">
        <w:t>2</w:t>
      </w:r>
      <w:r w:rsidR="00261A14">
        <w:t>8</w:t>
      </w:r>
      <w:r>
        <w:t>]</w:t>
      </w:r>
      <w:r w:rsidR="002B3AD7">
        <w:t> Pamatojoties</w:t>
      </w:r>
      <w:r w:rsidR="00CD0F66">
        <w:t xml:space="preserve"> uz iepriekš minēto</w:t>
      </w:r>
      <w:r>
        <w:t>,</w:t>
      </w:r>
      <w:r w:rsidR="00174586">
        <w:t xml:space="preserve"> Senāt</w:t>
      </w:r>
      <w:r w:rsidR="0025533B">
        <w:t>s pārbaudīs</w:t>
      </w:r>
      <w:r>
        <w:t>, vai</w:t>
      </w:r>
      <w:r w:rsidR="00CD0F66" w:rsidRPr="00CD0F66">
        <w:t xml:space="preserve"> </w:t>
      </w:r>
      <w:r w:rsidR="00CB3AC5">
        <w:t xml:space="preserve">Latvijas </w:t>
      </w:r>
      <w:r w:rsidR="00CD0F66">
        <w:t>tiesību aktos</w:t>
      </w:r>
      <w:r w:rsidR="00CD0F66" w:rsidRPr="001179EB">
        <w:t xml:space="preserve"> </w:t>
      </w:r>
      <w:r>
        <w:t>i</w:t>
      </w:r>
      <w:r w:rsidR="00CD0F66">
        <w:t>zpildās minimālās prasības</w:t>
      </w:r>
      <w:r>
        <w:t>, lai varētu atzīt</w:t>
      </w:r>
      <w:r w:rsidR="002B3AD7">
        <w:t>, ka</w:t>
      </w:r>
      <w:r>
        <w:t xml:space="preserve"> operatīvā</w:t>
      </w:r>
      <w:r w:rsidR="009318B3">
        <w:t>s darbības</w:t>
      </w:r>
      <w:r>
        <w:t xml:space="preserve"> pasākuma rezultātā </w:t>
      </w:r>
      <w:r w:rsidRPr="001179EB">
        <w:t>iegūt</w:t>
      </w:r>
      <w:r w:rsidR="00106C36">
        <w:t>o</w:t>
      </w:r>
      <w:r w:rsidR="00EA77CE">
        <w:t xml:space="preserve"> </w:t>
      </w:r>
      <w:r w:rsidR="00106C36">
        <w:t>informāciju</w:t>
      </w:r>
      <w:r w:rsidR="002B3AD7" w:rsidRPr="001179EB">
        <w:t>, kas sākotnēji vākt</w:t>
      </w:r>
      <w:r w:rsidR="00CD0F66">
        <w:t>a</w:t>
      </w:r>
      <w:r w:rsidR="002B3AD7" w:rsidRPr="001179EB">
        <w:t xml:space="preserve"> citiem mērķiem,</w:t>
      </w:r>
      <w:r w:rsidR="00CD0F66">
        <w:t xml:space="preserve"> </w:t>
      </w:r>
      <w:r w:rsidR="00C04930">
        <w:t xml:space="preserve">var nodot un izmantot kā pierādījumu </w:t>
      </w:r>
      <w:r w:rsidR="002B3AD7" w:rsidRPr="001179EB">
        <w:t>konkurences</w:t>
      </w:r>
      <w:r w:rsidR="00CD0F66">
        <w:t xml:space="preserve"> tiesību</w:t>
      </w:r>
      <w:r w:rsidR="002B3AD7" w:rsidRPr="001179EB">
        <w:t xml:space="preserve"> pārkāpuma </w:t>
      </w:r>
      <w:r w:rsidR="00C04930">
        <w:t>– karteļa vienošanās – pierādīšan</w:t>
      </w:r>
      <w:r w:rsidR="00106C36">
        <w:t>ai</w:t>
      </w:r>
      <w:r w:rsidR="009318B3">
        <w:t xml:space="preserve">. </w:t>
      </w:r>
      <w:r w:rsidR="001179EB" w:rsidRPr="001179EB">
        <w:t>Kā atzinusi Eiropas Cilvēktiesību tiesa</w:t>
      </w:r>
      <w:r w:rsidR="009318B3">
        <w:t xml:space="preserve">, </w:t>
      </w:r>
      <w:r w:rsidR="001179EB" w:rsidRPr="001179EB">
        <w:t xml:space="preserve">minimālajām prasībām, kas izriet no Konvencijas 8.panta, attiecībā uz piemērojamām garantijām pret patvaļu un ļaunprātīgu rīcību principā jābūt vienādām gan </w:t>
      </w:r>
      <w:r w:rsidR="00CB3AC5" w:rsidRPr="001179EB">
        <w:t>fizisk</w:t>
      </w:r>
      <w:r w:rsidR="00CB3AC5">
        <w:t>ā</w:t>
      </w:r>
      <w:r w:rsidR="00CB3AC5" w:rsidRPr="001179EB">
        <w:t>s</w:t>
      </w:r>
      <w:r w:rsidR="00CB3AC5">
        <w:t xml:space="preserve"> </w:t>
      </w:r>
      <w:r w:rsidR="00C04930">
        <w:t>personas</w:t>
      </w:r>
      <w:r w:rsidR="001179EB" w:rsidRPr="001179EB">
        <w:t xml:space="preserve">, gan </w:t>
      </w:r>
      <w:r w:rsidR="00CB3AC5" w:rsidRPr="001179EB">
        <w:t>juridisk</w:t>
      </w:r>
      <w:r w:rsidR="00CB3AC5">
        <w:t>ā</w:t>
      </w:r>
      <w:r w:rsidR="00CB3AC5" w:rsidRPr="001179EB">
        <w:t xml:space="preserve">s </w:t>
      </w:r>
      <w:r w:rsidR="001179EB" w:rsidRPr="001179EB">
        <w:t>personas gadījumā (</w:t>
      </w:r>
      <w:r w:rsidR="005B4A77" w:rsidRPr="00A86451">
        <w:rPr>
          <w:i/>
          <w:iCs/>
        </w:rPr>
        <w:t>Eiropas Cilvēktiesību tiesa</w:t>
      </w:r>
      <w:r w:rsidR="005B4A77">
        <w:rPr>
          <w:i/>
          <w:iCs/>
        </w:rPr>
        <w:t>s</w:t>
      </w:r>
      <w:r w:rsidR="005B4A77" w:rsidRPr="00A86451">
        <w:rPr>
          <w:i/>
          <w:iCs/>
        </w:rPr>
        <w:t xml:space="preserve"> spriedum</w:t>
      </w:r>
      <w:r w:rsidR="005B4A77">
        <w:rPr>
          <w:i/>
          <w:iCs/>
        </w:rPr>
        <w:t>a</w:t>
      </w:r>
      <w:r w:rsidR="005B4A77" w:rsidRPr="00A86451">
        <w:rPr>
          <w:i/>
          <w:iCs/>
        </w:rPr>
        <w:t xml:space="preserve"> lietā „Ships Waste Oil Collector”</w:t>
      </w:r>
      <w:r w:rsidR="001179EB" w:rsidRPr="001179EB">
        <w:t xml:space="preserve"> </w:t>
      </w:r>
      <w:r w:rsidR="001179EB" w:rsidRPr="001179EB">
        <w:rPr>
          <w:i/>
          <w:iCs/>
        </w:rPr>
        <w:t>165.punkts</w:t>
      </w:r>
      <w:r w:rsidR="001179EB" w:rsidRPr="001179EB">
        <w:t>).</w:t>
      </w:r>
    </w:p>
    <w:p w14:paraId="0FD654D9" w14:textId="77777777" w:rsidR="001179EB" w:rsidRDefault="001179EB" w:rsidP="001F783F">
      <w:pPr>
        <w:spacing w:line="276" w:lineRule="auto"/>
        <w:ind w:firstLine="720"/>
        <w:jc w:val="both"/>
      </w:pPr>
    </w:p>
    <w:p w14:paraId="3D208C95" w14:textId="10B85CF6" w:rsidR="00E70DEF" w:rsidRDefault="00690CFC" w:rsidP="001F783F">
      <w:pPr>
        <w:spacing w:line="276" w:lineRule="auto"/>
        <w:ind w:firstLine="720"/>
        <w:jc w:val="both"/>
        <w:rPr>
          <w:rFonts w:asciiTheme="majorBidi" w:eastAsiaTheme="minorHAnsi" w:hAnsiTheme="majorBidi" w:cstheme="majorBidi"/>
          <w:kern w:val="2"/>
          <w:lang w:eastAsia="en-US"/>
        </w:rPr>
      </w:pPr>
      <w:r>
        <w:t>[</w:t>
      </w:r>
      <w:r w:rsidR="00261A14">
        <w:t>29</w:t>
      </w:r>
      <w:r>
        <w:t>]</w:t>
      </w:r>
      <w:r w:rsidR="00904AA1">
        <w:t> Senāts lūdza</w:t>
      </w:r>
      <w:r w:rsidR="00A216E6">
        <w:t xml:space="preserve"> </w:t>
      </w:r>
      <w:r w:rsidR="00904AA1">
        <w:t>lietas dalībniekiem</w:t>
      </w:r>
      <w:r w:rsidR="00C96721">
        <w:t xml:space="preserve"> </w:t>
      </w:r>
      <w:r w:rsidR="00904AA1">
        <w:t xml:space="preserve">sniegt </w:t>
      </w:r>
      <w:r w:rsidR="00BF757F">
        <w:t>viedokli</w:t>
      </w:r>
      <w:r w:rsidR="00EA77CE">
        <w:t xml:space="preserve"> jautājumā </w:t>
      </w:r>
      <w:r w:rsidR="00904AA1">
        <w:t xml:space="preserve">par </w:t>
      </w:r>
      <w:r w:rsidR="00A216E6" w:rsidRPr="006152E5">
        <w:t>likum</w:t>
      </w:r>
      <w:r w:rsidR="00A216E6">
        <w:t>a</w:t>
      </w:r>
      <w:r w:rsidR="00A216E6" w:rsidRPr="006152E5">
        <w:t xml:space="preserve"> kvalitāti</w:t>
      </w:r>
      <w:r w:rsidR="0024161A">
        <w:t>, jo</w:t>
      </w:r>
      <w:r w:rsidR="00CB3AC5">
        <w:t>,</w:t>
      </w:r>
      <w:r w:rsidR="0024161A">
        <w:t xml:space="preserve"> kā atzinusi </w:t>
      </w:r>
      <w:r w:rsidR="00A757C0">
        <w:t xml:space="preserve">Eiropas Cilvēktiesību </w:t>
      </w:r>
      <w:r w:rsidR="0024161A">
        <w:t>tiesa, lai iejaukšanās būtu „saskaņā ar likumu”, tai jābūt ne tikai pamatotai ar valsts tiesību aktiem, bet tai arī jāatbilst kvalitātes prasībām</w:t>
      </w:r>
      <w:r w:rsidR="00EA77CE">
        <w:t>. Tas nozīmē, ka</w:t>
      </w:r>
      <w:r w:rsidR="0024161A">
        <w:t xml:space="preserve"> likumam jābūt </w:t>
      </w:r>
      <w:r w:rsidR="00A757C0">
        <w:t xml:space="preserve">ne tikai </w:t>
      </w:r>
      <w:r w:rsidR="0024161A">
        <w:t>pieejamam attiecīgajai personai</w:t>
      </w:r>
      <w:r w:rsidR="00A757C0">
        <w:t xml:space="preserve">, bet arī </w:t>
      </w:r>
      <w:r w:rsidR="0024161A" w:rsidRPr="0081074A">
        <w:t xml:space="preserve">paredzamam attiecībā uz tā sekām, jo īpaši, vai likums pietiekami skaidri noteic </w:t>
      </w:r>
      <w:r w:rsidR="00A757C0">
        <w:t xml:space="preserve">tos </w:t>
      </w:r>
      <w:r w:rsidR="0024161A" w:rsidRPr="0081074A">
        <w:t>apstākļus, kādos var</w:t>
      </w:r>
      <w:r w:rsidR="0081074A" w:rsidRPr="0081074A">
        <w:t xml:space="preserve"> tikt</w:t>
      </w:r>
      <w:r w:rsidR="0024161A" w:rsidRPr="0081074A">
        <w:t xml:space="preserve"> atļaut</w:t>
      </w:r>
      <w:r w:rsidR="0081074A" w:rsidRPr="0081074A">
        <w:t>a</w:t>
      </w:r>
      <w:r w:rsidR="0024161A" w:rsidRPr="0081074A">
        <w:t xml:space="preserve"> likumīgi pārtverto materiālu </w:t>
      </w:r>
      <w:r w:rsidR="0081074A" w:rsidRPr="0081074A">
        <w:t>nodošana</w:t>
      </w:r>
      <w:r w:rsidR="0024161A" w:rsidRPr="0081074A">
        <w:t xml:space="preserve"> citai tiesībaizsardzības iestādei (</w:t>
      </w:r>
      <w:r w:rsidR="00A86451" w:rsidRPr="00A86451">
        <w:rPr>
          <w:i/>
          <w:iCs/>
        </w:rPr>
        <w:t>turpat,</w:t>
      </w:r>
      <w:r w:rsidR="00A86451">
        <w:t xml:space="preserve"> </w:t>
      </w:r>
      <w:r w:rsidR="0024161A" w:rsidRPr="0081074A">
        <w:rPr>
          <w:i/>
          <w:iCs/>
        </w:rPr>
        <w:t>170., 171.punkts</w:t>
      </w:r>
      <w:r w:rsidR="0024161A" w:rsidRPr="0081074A">
        <w:t xml:space="preserve">). </w:t>
      </w:r>
      <w:r w:rsidR="009318B3">
        <w:t xml:space="preserve">Senāts lūdza </w:t>
      </w:r>
      <w:r w:rsidR="00CB3AC5">
        <w:t>Konkurences p</w:t>
      </w:r>
      <w:r w:rsidR="00CB3AC5" w:rsidRPr="0081074A">
        <w:t xml:space="preserve">adomei </w:t>
      </w:r>
      <w:r w:rsidR="00E70DEF" w:rsidRPr="0081074A">
        <w:t xml:space="preserve">norādīt </w:t>
      </w:r>
      <w:r w:rsidR="00EA77CE">
        <w:t xml:space="preserve">uz </w:t>
      </w:r>
      <w:r w:rsidR="00A216E6">
        <w:t>tiesisko regulējumu</w:t>
      </w:r>
      <w:r w:rsidR="00E70DEF" w:rsidRPr="0081074A">
        <w:t>, kurā</w:t>
      </w:r>
      <w:r w:rsidR="00E70DEF" w:rsidRPr="006152E5">
        <w:t xml:space="preserve"> </w:t>
      </w:r>
      <w:r w:rsidR="009318B3">
        <w:t xml:space="preserve">ir </w:t>
      </w:r>
      <w:r w:rsidR="00E70DEF" w:rsidRPr="006152E5">
        <w:t>noteikti apstākļi, kādos šāda datu nodošana var notikt</w:t>
      </w:r>
      <w:r w:rsidR="00A757C0">
        <w:t>,</w:t>
      </w:r>
      <w:r w:rsidR="00E70DEF">
        <w:t xml:space="preserve"> un skaidrot, vai </w:t>
      </w:r>
      <w:r w:rsidR="00E70DEF" w:rsidRPr="006152E5">
        <w:t>no</w:t>
      </w:r>
      <w:r w:rsidR="00E70DEF">
        <w:t xml:space="preserve"> šī</w:t>
      </w:r>
      <w:r w:rsidR="00E70DEF" w:rsidRPr="006152E5">
        <w:t xml:space="preserve"> tiesiskā regulējuma persona var pietiekami skaidri paredzēt, ka operatīvās sarunu noklausīšanās ceļā iegūt</w:t>
      </w:r>
      <w:r w:rsidR="00106C36">
        <w:t xml:space="preserve">ā informācija </w:t>
      </w:r>
      <w:r w:rsidR="00E70DEF" w:rsidRPr="006152E5">
        <w:t>var tikt tālāk nodot</w:t>
      </w:r>
      <w:r w:rsidR="00EA77CE">
        <w:t>a</w:t>
      </w:r>
      <w:r w:rsidR="00E70DEF" w:rsidRPr="006152E5">
        <w:t xml:space="preserve"> </w:t>
      </w:r>
      <w:r w:rsidR="00CB3AC5">
        <w:t xml:space="preserve">padomei </w:t>
      </w:r>
      <w:r w:rsidR="00E70DEF" w:rsidRPr="006152E5">
        <w:t>konkurences tiesību pārkāpuma izmeklēšanai</w:t>
      </w:r>
      <w:r w:rsidR="00E70DEF" w:rsidRPr="006152E5">
        <w:rPr>
          <w:rFonts w:asciiTheme="majorBidi" w:eastAsiaTheme="minorHAnsi" w:hAnsiTheme="majorBidi" w:cstheme="majorBidi"/>
          <w:kern w:val="2"/>
          <w:lang w:eastAsia="en-US"/>
        </w:rPr>
        <w:t>, t.i., ārpus krimināltiesiskā konteksta, kurā t</w:t>
      </w:r>
      <w:r w:rsidR="00EA77CE">
        <w:rPr>
          <w:rFonts w:asciiTheme="majorBidi" w:eastAsiaTheme="minorHAnsi" w:hAnsiTheme="majorBidi" w:cstheme="majorBidi"/>
          <w:kern w:val="2"/>
          <w:lang w:eastAsia="en-US"/>
        </w:rPr>
        <w:t>ā</w:t>
      </w:r>
      <w:r w:rsidR="00E70DEF" w:rsidRPr="006152E5">
        <w:rPr>
          <w:rFonts w:asciiTheme="majorBidi" w:eastAsiaTheme="minorHAnsi" w:hAnsiTheme="majorBidi" w:cstheme="majorBidi"/>
          <w:kern w:val="2"/>
          <w:lang w:eastAsia="en-US"/>
        </w:rPr>
        <w:t xml:space="preserve"> sākotnēji vākt</w:t>
      </w:r>
      <w:r w:rsidR="00EA77CE">
        <w:rPr>
          <w:rFonts w:asciiTheme="majorBidi" w:eastAsiaTheme="minorHAnsi" w:hAnsiTheme="majorBidi" w:cstheme="majorBidi"/>
          <w:kern w:val="2"/>
          <w:lang w:eastAsia="en-US"/>
        </w:rPr>
        <w:t>a</w:t>
      </w:r>
      <w:r w:rsidR="00E70DEF">
        <w:rPr>
          <w:rFonts w:asciiTheme="majorBidi" w:eastAsiaTheme="minorHAnsi" w:hAnsiTheme="majorBidi" w:cstheme="majorBidi"/>
          <w:kern w:val="2"/>
          <w:lang w:eastAsia="en-US"/>
        </w:rPr>
        <w:t>.</w:t>
      </w:r>
    </w:p>
    <w:p w14:paraId="56C59F94" w14:textId="77777777" w:rsidR="009318B3" w:rsidRDefault="009318B3" w:rsidP="001F783F">
      <w:pPr>
        <w:spacing w:line="276" w:lineRule="auto"/>
        <w:ind w:firstLine="720"/>
        <w:jc w:val="both"/>
      </w:pPr>
    </w:p>
    <w:p w14:paraId="71442417" w14:textId="124DAD3E" w:rsidR="007948F7" w:rsidRDefault="009318B3" w:rsidP="001F783F">
      <w:pPr>
        <w:spacing w:line="276" w:lineRule="auto"/>
        <w:ind w:firstLine="720"/>
        <w:jc w:val="both"/>
      </w:pPr>
      <w:r>
        <w:t>[</w:t>
      </w:r>
      <w:r w:rsidR="006C612E">
        <w:t>30</w:t>
      </w:r>
      <w:r>
        <w:t>] </w:t>
      </w:r>
      <w:r w:rsidR="00774636">
        <w:t>Konkurences p</w:t>
      </w:r>
      <w:r w:rsidR="00904AA1">
        <w:t>adome snie</w:t>
      </w:r>
      <w:r w:rsidR="008A7501">
        <w:t>dza</w:t>
      </w:r>
      <w:r w:rsidR="00904AA1">
        <w:t xml:space="preserve"> viedokli, ka </w:t>
      </w:r>
      <w:r w:rsidR="00904AA1" w:rsidRPr="00904AA1">
        <w:t>Latvijas normatīvais regulējums pieļauj operatīvās darbības laikā iegūt</w:t>
      </w:r>
      <w:r w:rsidR="003E5A27">
        <w:t>o</w:t>
      </w:r>
      <w:r w:rsidR="00904AA1" w:rsidRPr="00904AA1">
        <w:t xml:space="preserve"> datu nodošanu un izmantošanu administratīvajā procesā</w:t>
      </w:r>
      <w:r w:rsidR="007948F7">
        <w:t>. T</w:t>
      </w:r>
      <w:r w:rsidR="00A757C0">
        <w:t xml:space="preserve">as </w:t>
      </w:r>
      <w:r w:rsidR="00904AA1" w:rsidRPr="00904AA1">
        <w:t>izriet no šādu tiesību normu sistēmiskas interpretācijas:</w:t>
      </w:r>
    </w:p>
    <w:p w14:paraId="79D9D098" w14:textId="271E7C3A" w:rsidR="007948F7" w:rsidRDefault="00E70DEF" w:rsidP="001F783F">
      <w:pPr>
        <w:spacing w:line="276" w:lineRule="auto"/>
        <w:ind w:firstLine="720"/>
        <w:jc w:val="both"/>
      </w:pPr>
      <w:r>
        <w:t>1)</w:t>
      </w:r>
      <w:r w:rsidR="007948F7">
        <w:t> </w:t>
      </w:r>
      <w:r>
        <w:t>Operatīvās darbības likuma</w:t>
      </w:r>
      <w:r w:rsidR="00904AA1" w:rsidRPr="00904AA1">
        <w:t xml:space="preserve"> 24.panta pirmās un trešās daļas, kas ļauj operatīvās darbības materiālus izmantot kriminālprocesā un iepazīstināt ar tiem valsts pārvaldes iestādes;</w:t>
      </w:r>
    </w:p>
    <w:p w14:paraId="6E1E5FE0" w14:textId="70A939E2" w:rsidR="007948F7" w:rsidRDefault="00E70DEF" w:rsidP="001F783F">
      <w:pPr>
        <w:spacing w:line="276" w:lineRule="auto"/>
        <w:ind w:firstLine="720"/>
        <w:jc w:val="both"/>
      </w:pPr>
      <w:r>
        <w:t>2)</w:t>
      </w:r>
      <w:r w:rsidR="007948F7">
        <w:t> </w:t>
      </w:r>
      <w:r>
        <w:t>Kriminālprocesa likuma</w:t>
      </w:r>
      <w:r w:rsidR="00904AA1" w:rsidRPr="00904AA1">
        <w:t xml:space="preserve"> 127.panta trešās un ceturtās daļas, kas paredz, ka šādi materiāli, pievienoti kriminālprocesam, kļūst par pilnvērtīgiem krimināllietas materiāliem;</w:t>
      </w:r>
    </w:p>
    <w:p w14:paraId="282D5C7A" w14:textId="11D2FEC1" w:rsidR="007948F7" w:rsidRDefault="00E70DEF" w:rsidP="001F783F">
      <w:pPr>
        <w:spacing w:line="276" w:lineRule="auto"/>
        <w:ind w:firstLine="720"/>
        <w:jc w:val="both"/>
      </w:pPr>
      <w:r>
        <w:t>3)</w:t>
      </w:r>
      <w:r w:rsidR="007948F7">
        <w:t> </w:t>
      </w:r>
      <w:r>
        <w:t>Kriminālprocesa likuma</w:t>
      </w:r>
      <w:r w:rsidR="00904AA1" w:rsidRPr="00904AA1">
        <w:t xml:space="preserve"> 375.panta</w:t>
      </w:r>
      <w:r w:rsidR="003E5A27">
        <w:t xml:space="preserve"> pirmās daļas</w:t>
      </w:r>
      <w:r w:rsidR="00904AA1" w:rsidRPr="00904AA1">
        <w:t>, kas ļauj kriminālprocesa veicējiem uzrādīt šos materiālus citām personām likumā noteikt</w:t>
      </w:r>
      <w:r w:rsidR="003E5A27">
        <w:t>o</w:t>
      </w:r>
      <w:r w:rsidR="00904AA1" w:rsidRPr="00904AA1">
        <w:t xml:space="preserve"> uzdevumu izpildei;</w:t>
      </w:r>
    </w:p>
    <w:p w14:paraId="3DC4516D" w14:textId="651BEBB1" w:rsidR="007948F7" w:rsidRDefault="00E70DEF" w:rsidP="001F783F">
      <w:pPr>
        <w:spacing w:line="276" w:lineRule="auto"/>
        <w:ind w:firstLine="720"/>
        <w:jc w:val="both"/>
      </w:pPr>
      <w:r>
        <w:t>4)</w:t>
      </w:r>
      <w:r w:rsidR="007948F7">
        <w:t> </w:t>
      </w:r>
      <w:r>
        <w:t>Konkurences likuma</w:t>
      </w:r>
      <w:r w:rsidR="00904AA1" w:rsidRPr="00904AA1">
        <w:t xml:space="preserve"> 6.</w:t>
      </w:r>
      <w:r w:rsidR="003E5A27">
        <w:t xml:space="preserve">panta pirmās daļas 1.punta </w:t>
      </w:r>
      <w:r w:rsidR="00904AA1" w:rsidRPr="00904AA1">
        <w:t>un 11.panta</w:t>
      </w:r>
      <w:r w:rsidR="003E5A27">
        <w:t xml:space="preserve"> pirmās daļas</w:t>
      </w:r>
      <w:r>
        <w:t xml:space="preserve">, kā arī </w:t>
      </w:r>
      <w:r w:rsidR="00904AA1" w:rsidRPr="00904AA1">
        <w:t xml:space="preserve">LESD 101.panta, kas nosaka </w:t>
      </w:r>
      <w:r w:rsidR="00B35A68">
        <w:t>padomes</w:t>
      </w:r>
      <w:r w:rsidR="00B35A68" w:rsidRPr="00904AA1">
        <w:t xml:space="preserve"> </w:t>
      </w:r>
      <w:r w:rsidR="00904AA1" w:rsidRPr="00904AA1">
        <w:t>kompetenci izmeklēt aizliegtas vienošanās;</w:t>
      </w:r>
    </w:p>
    <w:p w14:paraId="25B92AAE" w14:textId="218E8CC0" w:rsidR="003E5A27" w:rsidRDefault="00E70DEF" w:rsidP="001F783F">
      <w:pPr>
        <w:spacing w:line="276" w:lineRule="auto"/>
        <w:ind w:firstLine="720"/>
        <w:jc w:val="both"/>
      </w:pPr>
      <w:r>
        <w:t>5)</w:t>
      </w:r>
      <w:r w:rsidR="007948F7">
        <w:t> </w:t>
      </w:r>
      <w:r w:rsidR="003E5A27">
        <w:t xml:space="preserve">Konkurences likuma 26.panta pirmās daļas un </w:t>
      </w:r>
      <w:r>
        <w:t>Administratīvā procesa likuma</w:t>
      </w:r>
      <w:r w:rsidR="00904AA1" w:rsidRPr="00904AA1">
        <w:t xml:space="preserve"> 59.</w:t>
      </w:r>
      <w:r w:rsidR="003E5A27">
        <w:t>p</w:t>
      </w:r>
      <w:r w:rsidR="00904AA1" w:rsidRPr="00904AA1">
        <w:t xml:space="preserve">anta, kas nosaka </w:t>
      </w:r>
      <w:r w:rsidR="00B35A68">
        <w:t xml:space="preserve">padomes </w:t>
      </w:r>
      <w:r w:rsidR="003E5A27">
        <w:t>tiesības veikt lietu izpēti, tostarp iegūt tai nepieciešamo informāciju</w:t>
      </w:r>
      <w:r w:rsidR="00C46624">
        <w:t xml:space="preserve"> </w:t>
      </w:r>
      <w:r w:rsidR="00C46624" w:rsidRPr="008636F4">
        <w:t>(</w:t>
      </w:r>
      <w:r w:rsidR="00B35A68">
        <w:rPr>
          <w:i/>
          <w:iCs/>
        </w:rPr>
        <w:t>Konkurences p</w:t>
      </w:r>
      <w:r w:rsidR="00B35A68" w:rsidRPr="008636F4">
        <w:rPr>
          <w:i/>
          <w:iCs/>
        </w:rPr>
        <w:t xml:space="preserve">adomes </w:t>
      </w:r>
      <w:r w:rsidR="00C46624" w:rsidRPr="008636F4">
        <w:rPr>
          <w:i/>
          <w:iCs/>
        </w:rPr>
        <w:t xml:space="preserve">2025.gada 17.oktobrī sniegto paskaidrojumu </w:t>
      </w:r>
      <w:r w:rsidR="00C46624">
        <w:rPr>
          <w:i/>
          <w:iCs/>
        </w:rPr>
        <w:t>4</w:t>
      </w:r>
      <w:r w:rsidR="00C46624" w:rsidRPr="008636F4">
        <w:rPr>
          <w:i/>
          <w:iCs/>
        </w:rPr>
        <w:t>.punkts, lietas 54.sējuma 13</w:t>
      </w:r>
      <w:r w:rsidR="00C46624">
        <w:rPr>
          <w:i/>
          <w:iCs/>
        </w:rPr>
        <w:t>2</w:t>
      </w:r>
      <w:r w:rsidR="00C46624" w:rsidRPr="008636F4">
        <w:rPr>
          <w:i/>
          <w:iCs/>
        </w:rPr>
        <w:t>.lp.</w:t>
      </w:r>
      <w:r w:rsidR="00C46624" w:rsidRPr="008636F4">
        <w:t>).</w:t>
      </w:r>
    </w:p>
    <w:p w14:paraId="7D11A069" w14:textId="2B7BFF13" w:rsidR="003E5A27" w:rsidRDefault="00B35A68" w:rsidP="001F783F">
      <w:pPr>
        <w:spacing w:line="276" w:lineRule="auto"/>
        <w:ind w:firstLine="720"/>
        <w:jc w:val="both"/>
      </w:pPr>
      <w:r>
        <w:t>Konkurences padomes</w:t>
      </w:r>
      <w:r w:rsidRPr="00904AA1">
        <w:t xml:space="preserve"> </w:t>
      </w:r>
      <w:r w:rsidR="005B4A77">
        <w:t>skatījumā</w:t>
      </w:r>
      <w:r w:rsidR="00904AA1" w:rsidRPr="00904AA1">
        <w:t xml:space="preserve"> šī normatīv</w:t>
      </w:r>
      <w:r w:rsidR="003D1C6E">
        <w:t xml:space="preserve">ā </w:t>
      </w:r>
      <w:r w:rsidR="00904AA1" w:rsidRPr="00904AA1">
        <w:t>ķēde veido skaidru un robustu sistēmu</w:t>
      </w:r>
      <w:r w:rsidR="00600BDB">
        <w:t>, padomes vārdiem sakot,</w:t>
      </w:r>
      <w:r w:rsidR="00904AA1" w:rsidRPr="00904AA1">
        <w:t xml:space="preserve"> </w:t>
      </w:r>
      <w:r w:rsidR="00E70DEF">
        <w:t>„</w:t>
      </w:r>
      <w:r w:rsidR="00904AA1" w:rsidRPr="00904AA1">
        <w:t xml:space="preserve">mājas pamatus, sienas un jumtu, kuras fasādi veido </w:t>
      </w:r>
      <w:r w:rsidR="00E70DEF">
        <w:t>Senāta</w:t>
      </w:r>
      <w:r w:rsidR="00904AA1" w:rsidRPr="00904AA1">
        <w:t xml:space="preserve"> judikatūra</w:t>
      </w:r>
      <w:r w:rsidR="00E70DEF">
        <w:t>”</w:t>
      </w:r>
      <w:r w:rsidR="008A7501">
        <w:t>,</w:t>
      </w:r>
      <w:r w:rsidR="003E5A27">
        <w:t xml:space="preserve"> no kuras izriet</w:t>
      </w:r>
      <w:r w:rsidR="00904AA1" w:rsidRPr="00904AA1">
        <w:t>, ka krimināllietas materiālus var izmantot kā pierādījumus administratīvajā procesā, tādējādi apliecinot šo</w:t>
      </w:r>
      <w:r w:rsidR="003E5A27">
        <w:t xml:space="preserve"> tiesību</w:t>
      </w:r>
      <w:r w:rsidR="00904AA1" w:rsidRPr="00904AA1">
        <w:t xml:space="preserve"> normu darbību dzīvē.</w:t>
      </w:r>
    </w:p>
    <w:p w14:paraId="37A8435F" w14:textId="33D281B3" w:rsidR="00904AA1" w:rsidRDefault="00E70DEF" w:rsidP="001F783F">
      <w:pPr>
        <w:spacing w:line="276" w:lineRule="auto"/>
        <w:ind w:firstLine="720"/>
        <w:jc w:val="both"/>
      </w:pPr>
      <w:r>
        <w:t>Padome</w:t>
      </w:r>
      <w:r w:rsidR="007948F7">
        <w:t xml:space="preserve">s ieskatā </w:t>
      </w:r>
      <w:r w:rsidR="00904AA1" w:rsidRPr="00904AA1">
        <w:t xml:space="preserve">personai ir iespējams </w:t>
      </w:r>
      <w:r w:rsidR="007948F7">
        <w:t xml:space="preserve">arī </w:t>
      </w:r>
      <w:r w:rsidR="00904AA1" w:rsidRPr="00904AA1">
        <w:t xml:space="preserve">paredzēt, ka operatīvās noklausīšanās rezultātā iegūtie dati var tikt nodoti </w:t>
      </w:r>
      <w:r w:rsidR="00B35A68">
        <w:t>padomei</w:t>
      </w:r>
      <w:r w:rsidR="003E5A27">
        <w:t>,</w:t>
      </w:r>
      <w:r w:rsidR="00904AA1" w:rsidRPr="00904AA1">
        <w:t xml:space="preserve"> jo </w:t>
      </w:r>
      <w:r w:rsidR="003E5A27">
        <w:t>Operatīvās darbības likuma</w:t>
      </w:r>
      <w:r w:rsidR="003E5A27" w:rsidRPr="00904AA1">
        <w:t xml:space="preserve"> 24.panta treš</w:t>
      </w:r>
      <w:r w:rsidR="003E5A27">
        <w:t>ajā</w:t>
      </w:r>
      <w:r w:rsidR="003E5A27" w:rsidRPr="00904AA1">
        <w:t xml:space="preserve"> daļ</w:t>
      </w:r>
      <w:r w:rsidR="003E5A27">
        <w:t>ā</w:t>
      </w:r>
      <w:r w:rsidR="003E5A27" w:rsidRPr="00904AA1">
        <w:t xml:space="preserve"> </w:t>
      </w:r>
      <w:r w:rsidR="00904AA1" w:rsidRPr="00904AA1">
        <w:t>skaidri noteikts, ka ar šādu informāciju drīkst iepazīstināt valsts pārvaldes iestādes</w:t>
      </w:r>
      <w:r w:rsidR="003E5A27">
        <w:t>, savukārt Kriminālprocesa likuma</w:t>
      </w:r>
      <w:r w:rsidR="003E5A27" w:rsidRPr="00904AA1">
        <w:t xml:space="preserve"> 375.pant</w:t>
      </w:r>
      <w:r w:rsidR="003E5A27">
        <w:t xml:space="preserve">ā noteikts, ka </w:t>
      </w:r>
      <w:r w:rsidR="00904AA1" w:rsidRPr="00904AA1">
        <w:t>krimināllietas materiāli var tikt uzrādīti citām institūcijām. Tādējādi</w:t>
      </w:r>
      <w:r w:rsidR="003E5A27">
        <w:t xml:space="preserve"> </w:t>
      </w:r>
      <w:r w:rsidR="00904AA1" w:rsidRPr="00904AA1">
        <w:t>personas, k</w:t>
      </w:r>
      <w:r>
        <w:t>uras</w:t>
      </w:r>
      <w:r w:rsidR="00904AA1" w:rsidRPr="00904AA1">
        <w:t xml:space="preserve"> piedalās </w:t>
      </w:r>
      <w:r w:rsidR="0005696C">
        <w:t>aizliegtās</w:t>
      </w:r>
      <w:r w:rsidR="00904AA1" w:rsidRPr="00904AA1">
        <w:t xml:space="preserve"> vienošanās, var paredzēt, ka viņu sarunu saturs</w:t>
      </w:r>
      <w:r w:rsidR="003E5A27">
        <w:t>,</w:t>
      </w:r>
      <w:r w:rsidR="00904AA1" w:rsidRPr="00904AA1">
        <w:t xml:space="preserve"> </w:t>
      </w:r>
      <w:r w:rsidR="003E5A27" w:rsidRPr="00904AA1">
        <w:t>ja t</w:t>
      </w:r>
      <w:r w:rsidR="003310AA">
        <w:t>a</w:t>
      </w:r>
      <w:r w:rsidR="003E5A27" w:rsidRPr="00904AA1">
        <w:t xml:space="preserve">s </w:t>
      </w:r>
      <w:r w:rsidR="0005696C">
        <w:t>tiek</w:t>
      </w:r>
      <w:r w:rsidR="003E5A27" w:rsidRPr="00904AA1">
        <w:t xml:space="preserve"> fiksēts</w:t>
      </w:r>
      <w:r w:rsidR="003E5A27">
        <w:t xml:space="preserve">, </w:t>
      </w:r>
      <w:r w:rsidR="00904AA1" w:rsidRPr="00904AA1">
        <w:t xml:space="preserve">var nonākt </w:t>
      </w:r>
      <w:r w:rsidR="00B35A68">
        <w:t>padomes</w:t>
      </w:r>
      <w:r w:rsidR="00B35A68" w:rsidRPr="00904AA1">
        <w:t xml:space="preserve"> </w:t>
      </w:r>
      <w:r w:rsidR="00904AA1" w:rsidRPr="00904AA1">
        <w:t>rīcībā</w:t>
      </w:r>
      <w:r w:rsidR="003E5A27">
        <w:t>.</w:t>
      </w:r>
    </w:p>
    <w:p w14:paraId="52FE1304" w14:textId="64CAAF3E" w:rsidR="0005696C" w:rsidRDefault="007948F7" w:rsidP="001F783F">
      <w:pPr>
        <w:spacing w:line="276" w:lineRule="auto"/>
        <w:ind w:firstLine="720"/>
        <w:jc w:val="both"/>
      </w:pPr>
      <w:r>
        <w:t>Senāts</w:t>
      </w:r>
      <w:r w:rsidR="00827577">
        <w:t xml:space="preserve"> </w:t>
      </w:r>
      <w:r w:rsidR="00322195">
        <w:t xml:space="preserve">šādam </w:t>
      </w:r>
      <w:r w:rsidR="00B35A68">
        <w:t xml:space="preserve">Konkurences padomes </w:t>
      </w:r>
      <w:r w:rsidR="00322195">
        <w:t xml:space="preserve">skatījumam </w:t>
      </w:r>
      <w:r w:rsidR="008A7501">
        <w:t>nepiekrīt</w:t>
      </w:r>
      <w:r w:rsidR="00E63234">
        <w:t xml:space="preserve"> t</w:t>
      </w:r>
      <w:r w:rsidR="003D1C6E" w:rsidRPr="0005696C">
        <w:t xml:space="preserve">urpmāk </w:t>
      </w:r>
      <w:r w:rsidR="00B35A68">
        <w:t>norādīto</w:t>
      </w:r>
      <w:r w:rsidR="00B35A68" w:rsidRPr="0005696C">
        <w:t xml:space="preserve"> </w:t>
      </w:r>
      <w:r w:rsidR="003D1C6E" w:rsidRPr="0005696C">
        <w:t>iemesl</w:t>
      </w:r>
      <w:r w:rsidR="00E63234">
        <w:t>u dēļ</w:t>
      </w:r>
      <w:r w:rsidR="003D1C6E" w:rsidRPr="0005696C">
        <w:t>.</w:t>
      </w:r>
    </w:p>
    <w:p w14:paraId="5F4B3043" w14:textId="79B13005" w:rsidR="00E70DEF" w:rsidRDefault="00E70DEF" w:rsidP="001F783F">
      <w:pPr>
        <w:spacing w:line="276" w:lineRule="auto"/>
        <w:ind w:firstLine="720"/>
        <w:jc w:val="both"/>
      </w:pPr>
    </w:p>
    <w:p w14:paraId="68057B5A" w14:textId="11C92282" w:rsidR="00C96721" w:rsidRDefault="00E70DEF" w:rsidP="001F783F">
      <w:pPr>
        <w:spacing w:line="276" w:lineRule="auto"/>
        <w:ind w:firstLine="720"/>
        <w:jc w:val="both"/>
      </w:pPr>
      <w:r w:rsidRPr="00F27081">
        <w:t>[</w:t>
      </w:r>
      <w:r w:rsidR="004C0A5F">
        <w:t>3</w:t>
      </w:r>
      <w:r w:rsidR="006C612E">
        <w:t>1</w:t>
      </w:r>
      <w:r w:rsidRPr="00F27081">
        <w:t>]</w:t>
      </w:r>
      <w:r w:rsidR="009A47ED" w:rsidRPr="00F27081">
        <w:t> Operatīvās darbības likuma 1.pants noteic, ka operatīvā darbība ir šajā likumā noteiktajā kārtībā</w:t>
      </w:r>
      <w:r w:rsidR="009A47ED" w:rsidRPr="009A47ED">
        <w:t xml:space="preserve"> un ar likumu īpaši pilnvarotu valsts institūciju amatpersonu atklātas un slepenas tiesiskas darbības, kuru mērķis ir aizsargāt personu dzīvību un veselību, tiesības un brīvības, godu, cieņu un īpašumu; nodrošināt Satversmi, valsts iekārtu, valstisko neatkarību un teritoriālo neaizskaramību, valsts aizsardzības, ekonomisko, zinātnisko un tehnisko potenciālu un valsts noslēpumus pret ārējiem un iekšējiem apdraudējumiem.</w:t>
      </w:r>
    </w:p>
    <w:p w14:paraId="6A1924F6" w14:textId="3D45CC67" w:rsidR="009A47ED" w:rsidRDefault="009A47ED" w:rsidP="001F783F">
      <w:pPr>
        <w:spacing w:line="276" w:lineRule="auto"/>
        <w:ind w:firstLine="720"/>
        <w:jc w:val="both"/>
      </w:pPr>
      <w:r>
        <w:t xml:space="preserve">Savukārt </w:t>
      </w:r>
      <w:r w:rsidR="00C96721">
        <w:t xml:space="preserve">2.panta </w:t>
      </w:r>
      <w:r w:rsidR="00C96721" w:rsidRPr="00F27081">
        <w:t>pirm</w:t>
      </w:r>
      <w:r w:rsidR="007948F7">
        <w:t>ā daļa</w:t>
      </w:r>
      <w:r w:rsidR="005C299C" w:rsidRPr="00F27081">
        <w:t xml:space="preserve"> </w:t>
      </w:r>
      <w:r w:rsidR="00F27081" w:rsidRPr="00F27081">
        <w:t>(</w:t>
      </w:r>
      <w:r w:rsidR="00F27081" w:rsidRPr="00F27081">
        <w:rPr>
          <w:i/>
          <w:iCs/>
        </w:rPr>
        <w:t>likuma redakcijā, kas stājās spēkā 2016.gada 1.augustā</w:t>
      </w:r>
      <w:r w:rsidR="00F27081" w:rsidRPr="00F27081">
        <w:t xml:space="preserve">) </w:t>
      </w:r>
      <w:r w:rsidR="007948F7">
        <w:t xml:space="preserve">noteic, ka </w:t>
      </w:r>
      <w:r>
        <w:t>operatīvās darbības uzdevumi</w:t>
      </w:r>
      <w:r w:rsidR="007948F7">
        <w:t xml:space="preserve"> ir</w:t>
      </w:r>
      <w:r w:rsidR="00F27081">
        <w:t>:</w:t>
      </w:r>
    </w:p>
    <w:p w14:paraId="5AB6C697" w14:textId="6BED93C6" w:rsidR="009A47ED" w:rsidRPr="009A47ED" w:rsidRDefault="009A47ED" w:rsidP="001F783F">
      <w:pPr>
        <w:spacing w:line="276" w:lineRule="auto"/>
        <w:ind w:firstLine="720"/>
        <w:jc w:val="both"/>
      </w:pPr>
      <w:r w:rsidRPr="009A47ED">
        <w:t>1)</w:t>
      </w:r>
      <w:r w:rsidR="00C96721">
        <w:t> </w:t>
      </w:r>
      <w:r w:rsidRPr="009A47ED">
        <w:t>personu aizsargāšana pret noziedzīgiem apdraudējumiem;</w:t>
      </w:r>
    </w:p>
    <w:p w14:paraId="30ED7762" w14:textId="1F57CF08" w:rsidR="009A47ED" w:rsidRPr="009A47ED" w:rsidRDefault="009A47ED" w:rsidP="001F783F">
      <w:pPr>
        <w:spacing w:line="276" w:lineRule="auto"/>
        <w:ind w:firstLine="720"/>
        <w:jc w:val="both"/>
      </w:pPr>
      <w:r w:rsidRPr="009A47ED">
        <w:t>2)</w:t>
      </w:r>
      <w:r w:rsidR="00C96721">
        <w:t> </w:t>
      </w:r>
      <w:r w:rsidRPr="009A47ED">
        <w:t>noziedzīgu nodarījumu profilakse, to novēršana un atklāšana, noziedzīgu nodarījumu izdarījušo personu un pierādījumu avotu noskaidrošana;</w:t>
      </w:r>
    </w:p>
    <w:p w14:paraId="2109ACFE" w14:textId="62A89866" w:rsidR="009A47ED" w:rsidRPr="009A47ED" w:rsidRDefault="009A47ED" w:rsidP="001F783F">
      <w:pPr>
        <w:spacing w:line="276" w:lineRule="auto"/>
        <w:ind w:firstLine="720"/>
        <w:jc w:val="both"/>
      </w:pPr>
      <w:r w:rsidRPr="009A47ED">
        <w:t>3)</w:t>
      </w:r>
      <w:r w:rsidR="00C96721">
        <w:t> </w:t>
      </w:r>
      <w:r w:rsidRPr="009A47ED">
        <w:t>to personu meklēšana, kuras likumā noteiktajā kārtībā tiek turētas aizdomās, ir apsūdzētas vai notiesātas par noziedzīga nodarījuma izdarīšanu;</w:t>
      </w:r>
    </w:p>
    <w:p w14:paraId="0B3E3D35" w14:textId="790AA95A" w:rsidR="009A47ED" w:rsidRPr="009A47ED" w:rsidRDefault="009A47ED" w:rsidP="001F783F">
      <w:pPr>
        <w:spacing w:line="276" w:lineRule="auto"/>
        <w:ind w:firstLine="720"/>
        <w:jc w:val="both"/>
      </w:pPr>
      <w:r w:rsidRPr="009A47ED">
        <w:t>4)</w:t>
      </w:r>
      <w:r w:rsidR="00C96721">
        <w:t> </w:t>
      </w:r>
      <w:r w:rsidRPr="009A47ED">
        <w:t>noziedzīgi iegūtas mantas, kā arī citas tādas mantas (arī finanšu līdzekļu) meklēšana, kas var tikt pakļauta arestam saistībā ar noziedzīga nodarījuma izdarīšanu;</w:t>
      </w:r>
    </w:p>
    <w:p w14:paraId="6DBEBED1" w14:textId="5E12AC10" w:rsidR="009A47ED" w:rsidRPr="009A47ED" w:rsidRDefault="009A47ED" w:rsidP="001F783F">
      <w:pPr>
        <w:spacing w:line="276" w:lineRule="auto"/>
        <w:ind w:firstLine="720"/>
        <w:jc w:val="both"/>
      </w:pPr>
      <w:r w:rsidRPr="009A47ED">
        <w:t>5)</w:t>
      </w:r>
      <w:r w:rsidR="00C96721">
        <w:t> </w:t>
      </w:r>
      <w:r w:rsidRPr="009A47ED">
        <w:t>to personu meklēšana, kuras pēkšņi un bez acīmredzama iemesla pametušas savu pastāvīgo vai pagaidu uzturēšanās vietu, neievēro savu ierasto dzīvesveidu un sazināšanās ar tām nav iespējama, kā arī nepilngadīgo un to personu meklēšana, kuras vecuma, to fiziskā, garīgā stāvokļa vai slimības dēļ ir aprūpējamas, bet aizgājušas no mājām, ārstniecības iestādēm vai citām uzturēšanās vietām (bez vēsts pazudušās personas);</w:t>
      </w:r>
    </w:p>
    <w:p w14:paraId="49AB4A57" w14:textId="2FC543C7" w:rsidR="009A47ED" w:rsidRPr="009A47ED" w:rsidRDefault="009A47ED" w:rsidP="001F783F">
      <w:pPr>
        <w:spacing w:line="276" w:lineRule="auto"/>
        <w:ind w:firstLine="720"/>
        <w:jc w:val="both"/>
      </w:pPr>
      <w:r w:rsidRPr="009A47ED">
        <w:t>6)</w:t>
      </w:r>
      <w:r w:rsidR="00C96721">
        <w:t> </w:t>
      </w:r>
      <w:r w:rsidRPr="009A47ED">
        <w:t>valsts neatkarības, konstitucionālās iekārtas, teritoriālās integritātes, ekonomiskās suverenitātes, militārā potenciāla, kā arī citu valsts vai sabiedrības drošības apdraudējumu konstatēšana un novēršana;</w:t>
      </w:r>
    </w:p>
    <w:p w14:paraId="4B4FD388" w14:textId="6D45859F" w:rsidR="009A47ED" w:rsidRPr="009A47ED" w:rsidRDefault="009A47ED" w:rsidP="001F783F">
      <w:pPr>
        <w:spacing w:line="276" w:lineRule="auto"/>
        <w:ind w:firstLine="720"/>
        <w:jc w:val="both"/>
      </w:pPr>
      <w:r w:rsidRPr="009A47ED">
        <w:t>7)</w:t>
      </w:r>
      <w:r w:rsidR="00C96721">
        <w:t> </w:t>
      </w:r>
      <w:r w:rsidRPr="009A47ED">
        <w:t>valsts noslēpuma aizsardzība;</w:t>
      </w:r>
    </w:p>
    <w:p w14:paraId="5072DFC6" w14:textId="45273208" w:rsidR="009A47ED" w:rsidRPr="009A47ED" w:rsidRDefault="009A47ED" w:rsidP="001F783F">
      <w:pPr>
        <w:spacing w:line="276" w:lineRule="auto"/>
        <w:ind w:firstLine="720"/>
        <w:jc w:val="both"/>
      </w:pPr>
      <w:r w:rsidRPr="009A47ED">
        <w:t>8)</w:t>
      </w:r>
      <w:r w:rsidR="00C96721">
        <w:t> </w:t>
      </w:r>
      <w:r w:rsidRPr="009A47ED">
        <w:t>informācijas iegūšana par konkrētām personām, ja izlemjams jautājums par šo personu pieeju valsts noslēpumam, Ziemeļatlantijas līguma organizācijas, Eiropas Savienības vai ārvalstu institūciju klasificētajai informācijai vai jautājums par personu tiesībām uz tādu nodarbošanos vai amatu, attiecībā uz kuru likums paredz valsts drošības iestāžu vai sabiedriskās kārtības un drošības nodrošināšanas iestāžu atzinuma sniegšanu;</w:t>
      </w:r>
    </w:p>
    <w:p w14:paraId="61FF80D3" w14:textId="147738A4" w:rsidR="009A47ED" w:rsidRPr="009A47ED" w:rsidRDefault="009A47ED" w:rsidP="001F783F">
      <w:pPr>
        <w:spacing w:line="276" w:lineRule="auto"/>
        <w:ind w:firstLine="720"/>
        <w:jc w:val="both"/>
      </w:pPr>
      <w:r w:rsidRPr="009A47ED">
        <w:t>9)</w:t>
      </w:r>
      <w:r w:rsidR="006338E6">
        <w:t> </w:t>
      </w:r>
      <w:r w:rsidRPr="009A47ED">
        <w:t>likumā noteiktajos gadījumos — personu speciālās aizsardzības nodrošināšana.</w:t>
      </w:r>
    </w:p>
    <w:p w14:paraId="73DD9BB6" w14:textId="21A8A84E" w:rsidR="00CC184F" w:rsidRDefault="00AA7000" w:rsidP="001F783F">
      <w:pPr>
        <w:spacing w:line="276" w:lineRule="auto"/>
        <w:ind w:firstLine="720"/>
        <w:jc w:val="both"/>
      </w:pPr>
      <w:r>
        <w:t>Visbeidzot,</w:t>
      </w:r>
      <w:r w:rsidR="005C299C">
        <w:t xml:space="preserve"> </w:t>
      </w:r>
      <w:r w:rsidR="003310AA">
        <w:t>2.</w:t>
      </w:r>
      <w:r w:rsidR="005C299C">
        <w:t>panta otr</w:t>
      </w:r>
      <w:r w:rsidR="003310AA">
        <w:t>ā</w:t>
      </w:r>
      <w:r w:rsidR="005C299C">
        <w:t xml:space="preserve"> daļ</w:t>
      </w:r>
      <w:r w:rsidR="007948F7">
        <w:t>a</w:t>
      </w:r>
      <w:r w:rsidR="005C299C">
        <w:t xml:space="preserve"> </w:t>
      </w:r>
      <w:r w:rsidR="007948F7">
        <w:t>noteic</w:t>
      </w:r>
      <w:r w:rsidR="005C299C">
        <w:t>, ka o</w:t>
      </w:r>
      <w:r w:rsidR="005C299C" w:rsidRPr="00C96721">
        <w:t xml:space="preserve">peratīvās darbības pasākumi citu uzdevumu un mērķu </w:t>
      </w:r>
      <w:r w:rsidR="005C299C" w:rsidRPr="00E529CB">
        <w:t>īstenošanai ir aizliegti.</w:t>
      </w:r>
    </w:p>
    <w:p w14:paraId="27C79B33" w14:textId="0996E54F" w:rsidR="005C299C" w:rsidRDefault="00445ECE" w:rsidP="001F783F">
      <w:pPr>
        <w:spacing w:line="276" w:lineRule="auto"/>
        <w:ind w:firstLine="720"/>
        <w:jc w:val="both"/>
      </w:pPr>
      <w:r>
        <w:t>Līdz ar to</w:t>
      </w:r>
      <w:r w:rsidR="00F27081">
        <w:t xml:space="preserve"> </w:t>
      </w:r>
      <w:r>
        <w:t xml:space="preserve">Senāts konstatē, ka </w:t>
      </w:r>
      <w:r w:rsidR="005C299C" w:rsidRPr="00E529CB">
        <w:t xml:space="preserve">no Operatīvās </w:t>
      </w:r>
      <w:r w:rsidR="005C299C" w:rsidRPr="005C299C">
        <w:t>darbības likuma</w:t>
      </w:r>
      <w:r w:rsidR="00AA7000">
        <w:t xml:space="preserve"> 2.panta otrās daļas</w:t>
      </w:r>
      <w:r w:rsidR="005C299C" w:rsidRPr="005C299C">
        <w:t xml:space="preserve"> izriet</w:t>
      </w:r>
      <w:r w:rsidR="00780E76">
        <w:t xml:space="preserve"> </w:t>
      </w:r>
      <w:r w:rsidR="005C299C" w:rsidRPr="005C299C">
        <w:t xml:space="preserve">skaidrs imperatīvs aizliegums operatīvās darbības pasākumus </w:t>
      </w:r>
      <w:r w:rsidRPr="005C299C">
        <w:t xml:space="preserve">izmantot </w:t>
      </w:r>
      <w:r w:rsidR="005C299C" w:rsidRPr="005C299C">
        <w:t>citiem</w:t>
      </w:r>
      <w:r w:rsidR="003310AA">
        <w:t xml:space="preserve"> –</w:t>
      </w:r>
      <w:r w:rsidR="00AA7000">
        <w:t xml:space="preserve"> ar operatīvo darbību nesaistītiem</w:t>
      </w:r>
      <w:r w:rsidR="003310AA">
        <w:t xml:space="preserve"> –</w:t>
      </w:r>
      <w:r w:rsidR="005C299C" w:rsidRPr="005C299C">
        <w:t xml:space="preserve"> mērķiem</w:t>
      </w:r>
      <w:r w:rsidR="00F27081">
        <w:t xml:space="preserve"> un </w:t>
      </w:r>
      <w:r w:rsidR="00F27081" w:rsidRPr="00C96721">
        <w:t>uzdevum</w:t>
      </w:r>
      <w:r w:rsidR="00AA7000">
        <w:t>iem</w:t>
      </w:r>
      <w:r w:rsidR="005C299C" w:rsidRPr="005C299C">
        <w:t xml:space="preserve">. </w:t>
      </w:r>
      <w:r w:rsidR="00AA7000">
        <w:t>Tas nozīmē, ka</w:t>
      </w:r>
      <w:r w:rsidR="005C299C" w:rsidRPr="005C299C">
        <w:t xml:space="preserve"> </w:t>
      </w:r>
      <w:r w:rsidR="00AA7000">
        <w:t>operatīvās darbības</w:t>
      </w:r>
      <w:r w:rsidR="005C299C" w:rsidRPr="005C299C">
        <w:t xml:space="preserve"> </w:t>
      </w:r>
      <w:r w:rsidR="007948F7">
        <w:t xml:space="preserve">mērķu un </w:t>
      </w:r>
      <w:r w:rsidR="005C299C" w:rsidRPr="005C299C">
        <w:t>uzdevum</w:t>
      </w:r>
      <w:r w:rsidR="00AA7000">
        <w:t>u uzskaitījums</w:t>
      </w:r>
      <w:r>
        <w:t xml:space="preserve"> likumā</w:t>
      </w:r>
      <w:r w:rsidR="003310AA">
        <w:t xml:space="preserve"> </w:t>
      </w:r>
      <w:r w:rsidR="00CC184F">
        <w:t>ir</w:t>
      </w:r>
      <w:r w:rsidR="008A7501">
        <w:t xml:space="preserve"> sniegts</w:t>
      </w:r>
      <w:r w:rsidR="00CC184F">
        <w:t xml:space="preserve"> izsmeļoš</w:t>
      </w:r>
      <w:r w:rsidR="00AA7000">
        <w:t>s.</w:t>
      </w:r>
    </w:p>
    <w:p w14:paraId="29824AA1" w14:textId="77777777" w:rsidR="00AA7000" w:rsidRDefault="00AA7000" w:rsidP="001F783F">
      <w:pPr>
        <w:spacing w:line="276" w:lineRule="auto"/>
        <w:ind w:firstLine="720"/>
        <w:jc w:val="both"/>
      </w:pPr>
    </w:p>
    <w:p w14:paraId="08BA3D3B" w14:textId="63ED1C2A" w:rsidR="00320F47" w:rsidRPr="00320F47" w:rsidRDefault="00AA7000" w:rsidP="001F783F">
      <w:pPr>
        <w:spacing w:line="276" w:lineRule="auto"/>
        <w:ind w:firstLine="720"/>
        <w:jc w:val="both"/>
      </w:pPr>
      <w:r w:rsidRPr="00C579CF">
        <w:t>[3</w:t>
      </w:r>
      <w:r w:rsidR="006C612E" w:rsidRPr="00C579CF">
        <w:t>2</w:t>
      </w:r>
      <w:r w:rsidRPr="00C579CF">
        <w:t>] </w:t>
      </w:r>
      <w:r w:rsidR="006C612E" w:rsidRPr="00C579CF">
        <w:t>O</w:t>
      </w:r>
      <w:r w:rsidR="003310AA" w:rsidRPr="00C579CF">
        <w:t>peratīvā</w:t>
      </w:r>
      <w:r w:rsidR="003310AA" w:rsidRPr="00320F47">
        <w:t xml:space="preserve"> darbība ir viena no vissmagākajām izpausmēm, kādā valsts vara drīkst iejaukties privātpersonu dzīvēs. Demokrātiskā tiesiskā valstī jebkura jauna, no likuma tieši neizrietoša, taču valsts varai pieejama, līdzekļa izmantošanai jābūt skaidri saprotamai un tiesiskai, it īpaši, ja tas nozīmē valsts iestāžu pilnvaru paplašināšanu. Arī Operatīvās darbības likuma 7.panta trešajā daļā </w:t>
      </w:r>
      <w:r w:rsidR="003310AA" w:rsidRPr="00320F47">
        <w:rPr>
          <w:i/>
          <w:iCs/>
        </w:rPr>
        <w:t>expressis verbis</w:t>
      </w:r>
      <w:r w:rsidR="003310AA" w:rsidRPr="00320F47">
        <w:t xml:space="preserve"> noteikts, ka operatīvās darbības pasākumi, kuru gaitā tiek </w:t>
      </w:r>
      <w:r w:rsidR="003310AA" w:rsidRPr="00320F47">
        <w:rPr>
          <w:i/>
          <w:iCs/>
        </w:rPr>
        <w:t>būtiski aizskartas personu pamattiesības</w:t>
      </w:r>
      <w:r w:rsidR="003310AA" w:rsidRPr="00320F47">
        <w:t xml:space="preserve">, </w:t>
      </w:r>
      <w:r w:rsidR="006C612E">
        <w:t xml:space="preserve">ir </w:t>
      </w:r>
      <w:r w:rsidR="003310AA" w:rsidRPr="00320F47">
        <w:t xml:space="preserve">veicami sevišķajā veidā, t.i., ar Augstākās tiesas priekšsēdētāja vai viņa īpaši pilnvarota Augstākās tiesas tiesneša akceptu vai, ja likumā paredzēts, – ar prokurora akceptu. </w:t>
      </w:r>
      <w:r w:rsidR="006C612E">
        <w:t>Tāda ir operatīvā nepublisku sarunu slepena noklausīšanās.</w:t>
      </w:r>
    </w:p>
    <w:p w14:paraId="0AFFA5D7" w14:textId="5E3398E8" w:rsidR="0052333F" w:rsidRDefault="00320F47" w:rsidP="001F783F">
      <w:pPr>
        <w:spacing w:line="276" w:lineRule="auto"/>
        <w:ind w:firstLine="720"/>
        <w:jc w:val="both"/>
      </w:pPr>
      <w:r>
        <w:t>O</w:t>
      </w:r>
      <w:r w:rsidR="005C299C" w:rsidRPr="00320F47">
        <w:t>peratīvā sarunu noklausīšanās</w:t>
      </w:r>
      <w:r w:rsidR="00AA7000" w:rsidRPr="00320F47">
        <w:t>, kas ir viens no</w:t>
      </w:r>
      <w:r w:rsidR="00AA7000">
        <w:t xml:space="preserve"> operatīvās darbības pasākumiem,</w:t>
      </w:r>
      <w:r w:rsidR="005C299C">
        <w:t xml:space="preserve"> atbilstoši Operatīvās darbības likuma 17.panta pirmās daļas 3.punktam</w:t>
      </w:r>
      <w:r w:rsidR="002B3C99">
        <w:t xml:space="preserve"> (</w:t>
      </w:r>
      <w:r w:rsidR="00600C99" w:rsidRPr="00F27081">
        <w:rPr>
          <w:i/>
          <w:iCs/>
        </w:rPr>
        <w:t>likuma redakcijā, kas stājās spēkā 2016.gada 1.augustā</w:t>
      </w:r>
      <w:r w:rsidR="002B3C99">
        <w:t>)</w:t>
      </w:r>
      <w:r w:rsidR="005C299C" w:rsidRPr="005C299C">
        <w:t xml:space="preserve"> </w:t>
      </w:r>
      <w:r w:rsidR="005C299C" w:rsidRPr="00CB3CFB">
        <w:t>ir atļauta</w:t>
      </w:r>
      <w:r w:rsidR="005C299C">
        <w:t xml:space="preserve"> vien tad, j</w:t>
      </w:r>
      <w:r w:rsidR="005C299C" w:rsidRPr="00CB3CFB">
        <w:t xml:space="preserve">a operatīvās darbības subjekta rīcībā ir pamatota informācija par </w:t>
      </w:r>
      <w:r w:rsidR="005C299C" w:rsidRPr="00600C99">
        <w:t xml:space="preserve">personas gatavotu vai </w:t>
      </w:r>
      <w:r w:rsidR="005C299C" w:rsidRPr="00445ECE">
        <w:t>izdarītu noziegumu vai tās radītu valsts vai sabiedrības drošības apdraudējumu vai nozieguma</w:t>
      </w:r>
      <w:r w:rsidR="005C299C" w:rsidRPr="00600C99">
        <w:t xml:space="preserve"> izdarīšanā aizdomās turētā, apsūdzētā vai notiesātā persona tiek meklēta.</w:t>
      </w:r>
      <w:r w:rsidR="005D0CA7">
        <w:t xml:space="preserve"> </w:t>
      </w:r>
      <w:r w:rsidR="004E444D">
        <w:t>Turklāt</w:t>
      </w:r>
      <w:r w:rsidR="00600C99">
        <w:t xml:space="preserve"> jāņem vērā, ka </w:t>
      </w:r>
      <w:r w:rsidR="004E444D">
        <w:t>saskaņā ar</w:t>
      </w:r>
      <w:r w:rsidR="0052333F" w:rsidRPr="00817631">
        <w:t xml:space="preserve"> </w:t>
      </w:r>
      <w:r w:rsidR="0052333F">
        <w:t xml:space="preserve">Operatīvās darbības likuma </w:t>
      </w:r>
      <w:r w:rsidR="0052333F" w:rsidRPr="00817631">
        <w:t xml:space="preserve">7.panta </w:t>
      </w:r>
      <w:r w:rsidR="004E444D">
        <w:t xml:space="preserve">trešo un </w:t>
      </w:r>
      <w:r w:rsidR="0052333F">
        <w:t>ceturt</w:t>
      </w:r>
      <w:r w:rsidR="004E444D">
        <w:t>o</w:t>
      </w:r>
      <w:r w:rsidR="0052333F">
        <w:t xml:space="preserve"> daļ</w:t>
      </w:r>
      <w:r w:rsidR="004E444D">
        <w:t>u</w:t>
      </w:r>
      <w:r w:rsidR="0052333F">
        <w:t xml:space="preserve"> </w:t>
      </w:r>
      <w:r w:rsidR="0052333F" w:rsidRPr="00874AD4">
        <w:t>operatīvā sarunu noklausīšan</w:t>
      </w:r>
      <w:r w:rsidR="0052333F">
        <w:t>ā</w:t>
      </w:r>
      <w:r w:rsidR="0052333F" w:rsidRPr="00874AD4">
        <w:t>s</w:t>
      </w:r>
      <w:r w:rsidR="004E444D">
        <w:t xml:space="preserve"> ir </w:t>
      </w:r>
      <w:r w:rsidR="004E444D" w:rsidRPr="004E444D">
        <w:t>sevišķajā veidā veicams operatīvās darbības pasākums</w:t>
      </w:r>
      <w:r w:rsidR="008B0799">
        <w:t>, kura veikšanai nepieciešama Augstākās tiesas tiesneša atļauja.</w:t>
      </w:r>
      <w:r w:rsidR="006C612E">
        <w:t xml:space="preserve"> </w:t>
      </w:r>
      <w:r w:rsidR="0042789E">
        <w:t>Š</w:t>
      </w:r>
      <w:r w:rsidR="004E444D">
        <w:t>ā</w:t>
      </w:r>
      <w:r w:rsidR="0052333F" w:rsidRPr="004E444D">
        <w:t xml:space="preserve"> likuma 24.panta piektā daļa</w:t>
      </w:r>
      <w:r w:rsidR="00600C99">
        <w:t>, kas</w:t>
      </w:r>
      <w:r w:rsidR="0052333F" w:rsidRPr="004E444D">
        <w:t xml:space="preserve"> noteic, ka sevišķajā veidā veicamā operatīvās darbības pasākuma gaitā iegūto informāciju par personu </w:t>
      </w:r>
      <w:r w:rsidR="0052333F" w:rsidRPr="00A60F3C">
        <w:rPr>
          <w:i/>
          <w:iCs/>
        </w:rPr>
        <w:t>cita operatīvās darbības procesa mērķa sasniegšanai</w:t>
      </w:r>
      <w:r w:rsidR="0052333F" w:rsidRPr="004E444D">
        <w:t xml:space="preserve"> drīkst nodot tādā apjomā, kāds nepieciešams attiecīgā mērķa sasniegšanai, ja šī informācija norāda uz iespēju, ka attiecīgā persona izdarījusi vai plāno izdarīt citu </w:t>
      </w:r>
      <w:r w:rsidR="0052333F" w:rsidRPr="00AD396B">
        <w:rPr>
          <w:i/>
          <w:iCs/>
        </w:rPr>
        <w:t>noziedzīgu nodarījumu</w:t>
      </w:r>
      <w:r w:rsidR="0052333F" w:rsidRPr="00600C99">
        <w:t xml:space="preserve"> vai radījusi vai gatavojas radīt valsts vai sabiedrības </w:t>
      </w:r>
      <w:r w:rsidR="0052333F" w:rsidRPr="00AD396B">
        <w:rPr>
          <w:i/>
          <w:iCs/>
        </w:rPr>
        <w:t>drošības apdraudējumu</w:t>
      </w:r>
      <w:r w:rsidR="0052333F" w:rsidRPr="00600C99">
        <w:t>.</w:t>
      </w:r>
    </w:p>
    <w:p w14:paraId="57E714D3" w14:textId="200DE25C" w:rsidR="002B3C99" w:rsidRDefault="00445ECE" w:rsidP="001F783F">
      <w:pPr>
        <w:spacing w:line="276" w:lineRule="auto"/>
        <w:ind w:firstLine="720"/>
        <w:jc w:val="both"/>
      </w:pPr>
      <w:r>
        <w:t>No minētajām</w:t>
      </w:r>
      <w:r w:rsidR="00EE2E4C">
        <w:t xml:space="preserve"> tiesību</w:t>
      </w:r>
      <w:r>
        <w:t xml:space="preserve"> normām izriet</w:t>
      </w:r>
      <w:r w:rsidR="008A7501">
        <w:t xml:space="preserve">, ka </w:t>
      </w:r>
      <w:r w:rsidR="006A2952">
        <w:t>likumā ir noteikti</w:t>
      </w:r>
      <w:r w:rsidR="00A60F3C">
        <w:t xml:space="preserve"> apstākļi</w:t>
      </w:r>
      <w:r w:rsidR="005D0CA7">
        <w:t>, kād</w:t>
      </w:r>
      <w:r w:rsidR="00A60F3C">
        <w:t>o</w:t>
      </w:r>
      <w:r w:rsidR="005D0CA7">
        <w:t xml:space="preserve">s pret personu var tikt </w:t>
      </w:r>
      <w:r w:rsidR="00A60F3C">
        <w:t xml:space="preserve">uzsākta un </w:t>
      </w:r>
      <w:r w:rsidR="005D0CA7">
        <w:t>veikta operatīvā sarunu noklausīšanās</w:t>
      </w:r>
      <w:r w:rsidR="00A60F3C">
        <w:t xml:space="preserve">, </w:t>
      </w:r>
      <w:r w:rsidR="008A7501">
        <w:t>tostarp</w:t>
      </w:r>
      <w:r w:rsidR="004E444D">
        <w:t xml:space="preserve"> izmantota tā rezultātā iegūtā</w:t>
      </w:r>
      <w:r w:rsidR="00106C36">
        <w:t xml:space="preserve"> informācija</w:t>
      </w:r>
      <w:r w:rsidR="005D0CA7">
        <w:t>.</w:t>
      </w:r>
      <w:r w:rsidR="008A7501">
        <w:t xml:space="preserve"> </w:t>
      </w:r>
      <w:r w:rsidR="006A2952">
        <w:t>Operatīvās darbības likums</w:t>
      </w:r>
      <w:r w:rsidR="008A7501">
        <w:t xml:space="preserve"> šajā ziņā </w:t>
      </w:r>
      <w:r w:rsidR="006A2952">
        <w:t xml:space="preserve">ir pietiekami skaidrs </w:t>
      </w:r>
      <w:r w:rsidR="008A7501">
        <w:t xml:space="preserve">– </w:t>
      </w:r>
      <w:r w:rsidR="006A2952">
        <w:t>tas neaptver</w:t>
      </w:r>
      <w:r w:rsidR="005D0CA7">
        <w:t xml:space="preserve"> </w:t>
      </w:r>
      <w:r w:rsidR="008A7501">
        <w:t xml:space="preserve">tāda </w:t>
      </w:r>
      <w:r w:rsidR="00EE2E4C">
        <w:t>konkurences tiesību</w:t>
      </w:r>
      <w:r w:rsidR="00AD396B">
        <w:t xml:space="preserve"> pārkāpuma kā </w:t>
      </w:r>
      <w:r w:rsidR="008A7501">
        <w:t>karteļa</w:t>
      </w:r>
      <w:r w:rsidR="00AD396B">
        <w:t xml:space="preserve"> vienošan</w:t>
      </w:r>
      <w:r w:rsidR="008A7501">
        <w:t>ā</w:t>
      </w:r>
      <w:r w:rsidR="00AD396B">
        <w:t xml:space="preserve">s </w:t>
      </w:r>
      <w:r w:rsidR="005D0CA7">
        <w:t>atklāšan</w:t>
      </w:r>
      <w:r w:rsidR="006A2952">
        <w:t>u</w:t>
      </w:r>
      <w:r w:rsidR="00AD396B">
        <w:t xml:space="preserve">. </w:t>
      </w:r>
      <w:r w:rsidR="006A2952">
        <w:t>N</w:t>
      </w:r>
      <w:r w:rsidR="00320F47">
        <w:t>evar ignorēt faktu</w:t>
      </w:r>
      <w:r w:rsidR="00AD396B">
        <w:t xml:space="preserve">, ka </w:t>
      </w:r>
      <w:r w:rsidR="007871D8">
        <w:t>likumdevējs Latvijā</w:t>
      </w:r>
      <w:r w:rsidR="00320F47">
        <w:t xml:space="preserve"> </w:t>
      </w:r>
      <w:r w:rsidR="00CD0E33">
        <w:t xml:space="preserve">ir </w:t>
      </w:r>
      <w:r w:rsidR="006C612E">
        <w:t xml:space="preserve">apzināti </w:t>
      </w:r>
      <w:r w:rsidR="00CD0E33">
        <w:t xml:space="preserve">atteicies </w:t>
      </w:r>
      <w:r>
        <w:t>šādu pārkāpumu</w:t>
      </w:r>
      <w:r w:rsidR="008A7501">
        <w:t xml:space="preserve"> </w:t>
      </w:r>
      <w:r w:rsidR="00CD0E33">
        <w:t>k</w:t>
      </w:r>
      <w:r w:rsidR="007871D8">
        <w:t>riminalizē</w:t>
      </w:r>
      <w:r w:rsidR="006C612E">
        <w:t>t</w:t>
      </w:r>
      <w:r w:rsidR="007871D8">
        <w:t>.</w:t>
      </w:r>
    </w:p>
    <w:p w14:paraId="4182C3EB" w14:textId="77777777" w:rsidR="009D1292" w:rsidRDefault="009D1292" w:rsidP="001F783F">
      <w:pPr>
        <w:spacing w:line="276" w:lineRule="auto"/>
        <w:ind w:firstLine="720"/>
        <w:jc w:val="both"/>
      </w:pPr>
    </w:p>
    <w:p w14:paraId="27F4B0FE" w14:textId="484D190F" w:rsidR="00817631" w:rsidRDefault="00424CBD" w:rsidP="001F783F">
      <w:pPr>
        <w:spacing w:line="276" w:lineRule="auto"/>
        <w:ind w:firstLine="720"/>
        <w:jc w:val="both"/>
      </w:pPr>
      <w:r w:rsidRPr="00C579CF">
        <w:t>[</w:t>
      </w:r>
      <w:r w:rsidR="002B3AD7" w:rsidRPr="00C579CF">
        <w:t>3</w:t>
      </w:r>
      <w:r w:rsidR="006C612E" w:rsidRPr="00C579CF">
        <w:t>3</w:t>
      </w:r>
      <w:r w:rsidRPr="00C579CF">
        <w:t>] Krimināllikuma</w:t>
      </w:r>
      <w:r w:rsidR="007871D8" w:rsidRPr="00C579CF">
        <w:t xml:space="preserve"> </w:t>
      </w:r>
      <w:r w:rsidRPr="00C579CF">
        <w:t>izstrādes materiāli norāda uz apzinātu likumdevēja vē</w:t>
      </w:r>
      <w:r w:rsidR="00B35A68">
        <w:t>l</w:t>
      </w:r>
      <w:r w:rsidRPr="00C579CF">
        <w:t>mi atteikties kriminalizēt</w:t>
      </w:r>
      <w:r>
        <w:t xml:space="preserve"> </w:t>
      </w:r>
      <w:r w:rsidR="004C248F">
        <w:t xml:space="preserve">darbības, kas attiecas uz </w:t>
      </w:r>
      <w:r>
        <w:t>aizliegt</w:t>
      </w:r>
      <w:r w:rsidR="004C248F">
        <w:t>ām</w:t>
      </w:r>
      <w:r>
        <w:t xml:space="preserve"> vienošan</w:t>
      </w:r>
      <w:r w:rsidR="004C248F">
        <w:t>ās, kas ierobežo konkurenci</w:t>
      </w:r>
      <w:r>
        <w:t>.</w:t>
      </w:r>
      <w:r w:rsidR="008B0799">
        <w:t xml:space="preserve"> </w:t>
      </w:r>
      <w:r>
        <w:t xml:space="preserve">Krimināllikuma </w:t>
      </w:r>
      <w:r w:rsidR="001D7A6E">
        <w:t>pamat</w:t>
      </w:r>
      <w:r w:rsidR="008B0799">
        <w:t xml:space="preserve">a </w:t>
      </w:r>
      <w:r w:rsidR="001D7A6E">
        <w:t xml:space="preserve">redakcijas </w:t>
      </w:r>
      <w:r w:rsidR="008B0799">
        <w:t>izstrādes laikā</w:t>
      </w:r>
      <w:r w:rsidRPr="001D7A6E">
        <w:t xml:space="preserve"> Saeimas atbildīgā</w:t>
      </w:r>
      <w:r w:rsidR="001D7A6E" w:rsidRPr="001D7A6E">
        <w:t xml:space="preserve"> Aizsardzības un iekšlietu </w:t>
      </w:r>
      <w:r w:rsidRPr="001D7A6E">
        <w:t>komisija</w:t>
      </w:r>
      <w:r w:rsidR="001D7A6E" w:rsidRPr="001D7A6E">
        <w:t>, sagatavojot likumprojektu</w:t>
      </w:r>
      <w:r w:rsidR="001D7A6E">
        <w:t xml:space="preserve"> izskatīšanai uz 3.lasījumu, </w:t>
      </w:r>
      <w:r>
        <w:t>noraidīja</w:t>
      </w:r>
      <w:r w:rsidR="00BB4459">
        <w:t xml:space="preserve"> Ministru </w:t>
      </w:r>
      <w:r w:rsidR="004E044A">
        <w:t>k</w:t>
      </w:r>
      <w:r w:rsidR="00770057">
        <w:t>abineta iesniegt</w:t>
      </w:r>
      <w:r w:rsidR="00C579CF">
        <w:t>o</w:t>
      </w:r>
      <w:r w:rsidR="001D7A6E">
        <w:t xml:space="preserve"> likumprojekt</w:t>
      </w:r>
      <w:r w:rsidR="00BB4459">
        <w:t>a</w:t>
      </w:r>
      <w:r w:rsidR="001D7A6E">
        <w:t xml:space="preserve"> redakciju</w:t>
      </w:r>
      <w:r>
        <w:t>, kas 209.pantā</w:t>
      </w:r>
      <w:r w:rsidR="00770057">
        <w:t xml:space="preserve"> (sākotnēji 205.pantā)</w:t>
      </w:r>
      <w:r>
        <w:t xml:space="preserve"> </w:t>
      </w:r>
      <w:r w:rsidR="004C248F">
        <w:t xml:space="preserve">ar nosaukumu </w:t>
      </w:r>
      <w:r>
        <w:t xml:space="preserve">„Konkurences ierobežošana” </w:t>
      </w:r>
      <w:r w:rsidR="001D7A6E">
        <w:t>paredzēja noteikt</w:t>
      </w:r>
      <w:r>
        <w:t xml:space="preserve"> </w:t>
      </w:r>
      <w:r w:rsidR="004C248F">
        <w:t>krimināl</w:t>
      </w:r>
      <w:r>
        <w:t xml:space="preserve">atbildību </w:t>
      </w:r>
      <w:r w:rsidR="004E044A">
        <w:t>„</w:t>
      </w:r>
      <w:r w:rsidRPr="0003413C">
        <w:rPr>
          <w:i/>
          <w:iCs/>
        </w:rPr>
        <w:t>par konkurences ierobežošanu, noslēdzot nelikumīgu vienošanos par tirgus sadali</w:t>
      </w:r>
      <w:r>
        <w:t xml:space="preserve">, </w:t>
      </w:r>
      <w:r w:rsidRPr="008764A6">
        <w:rPr>
          <w:i/>
          <w:iCs/>
        </w:rPr>
        <w:t>kā arī par citu tirgus dalībnieku iespēju ierobežošanu piekļūt tirgum vai izslēdzot no tā, par vienotu cenu uzturēšanu vai paaugstināšanu vai citādu nelikumīgu konkurences ierobežošanu</w:t>
      </w:r>
      <w:r>
        <w:t>”</w:t>
      </w:r>
      <w:r w:rsidR="0003413C">
        <w:t>.</w:t>
      </w:r>
      <w:r>
        <w:t xml:space="preserve"> </w:t>
      </w:r>
      <w:r w:rsidR="004C248F">
        <w:t>Tā vietā Aizsardzības un iekšlietu komisija</w:t>
      </w:r>
      <w:r w:rsidR="007C1B81">
        <w:t xml:space="preserve"> pēc </w:t>
      </w:r>
      <w:r w:rsidR="00F710D3">
        <w:t>Krimināllikuma projekta izstrādes darba grupas</w:t>
      </w:r>
      <w:r w:rsidR="00BB4459">
        <w:t xml:space="preserve"> </w:t>
      </w:r>
      <w:r w:rsidR="00F710D3">
        <w:t>priekšlikum</w:t>
      </w:r>
      <w:r w:rsidR="007C1B81">
        <w:t>a</w:t>
      </w:r>
      <w:r w:rsidR="00F710D3">
        <w:t xml:space="preserve"> bez debatēm atbalstīja </w:t>
      </w:r>
      <w:r w:rsidR="0003413C">
        <w:t>209.pant</w:t>
      </w:r>
      <w:r w:rsidR="00F710D3">
        <w:t>u (</w:t>
      </w:r>
      <w:r w:rsidR="0003413C">
        <w:t>mainot numerāciju</w:t>
      </w:r>
      <w:r w:rsidR="00D354FB">
        <w:t xml:space="preserve"> uz 211.pantu</w:t>
      </w:r>
      <w:r w:rsidR="00F710D3">
        <w:t>)</w:t>
      </w:r>
      <w:r w:rsidR="0003413C">
        <w:t xml:space="preserve"> izteikt</w:t>
      </w:r>
      <w:r w:rsidR="00D354FB">
        <w:t xml:space="preserve"> tobrīd</w:t>
      </w:r>
      <w:r w:rsidR="0003413C">
        <w:t xml:space="preserve"> spēkā esošajā Kriminālkodeksa 161.</w:t>
      </w:r>
      <w:r w:rsidR="0003413C" w:rsidRPr="0003413C">
        <w:rPr>
          <w:vertAlign w:val="superscript"/>
        </w:rPr>
        <w:t>6</w:t>
      </w:r>
      <w:r w:rsidR="0003413C">
        <w:t xml:space="preserve">panta </w:t>
      </w:r>
      <w:r w:rsidR="00D354FB">
        <w:t>redakcijā</w:t>
      </w:r>
      <w:r w:rsidR="0003413C">
        <w:t xml:space="preserve"> ar nosaukumu „Negodīga konkurence un maldinoša reklāma”</w:t>
      </w:r>
      <w:r w:rsidR="008B0799">
        <w:t xml:space="preserve">. Attiecīgi Krimināllikuma 211.pantā tika </w:t>
      </w:r>
      <w:r w:rsidR="006A2952">
        <w:t>noteikta</w:t>
      </w:r>
      <w:r w:rsidR="00D354FB">
        <w:t xml:space="preserve"> kriminālatbildīb</w:t>
      </w:r>
      <w:r w:rsidR="008B0799">
        <w:t>a</w:t>
      </w:r>
      <w:r w:rsidR="00D354FB">
        <w:t xml:space="preserve"> </w:t>
      </w:r>
      <w:r w:rsidR="00D354FB" w:rsidRPr="00F710D3">
        <w:t>par negodīgu konkurenci vai maldinošu reklāmu, ja šādi nodarījumi izdarīti atkārtoti gada laikā</w:t>
      </w:r>
      <w:r w:rsidR="00BB4459" w:rsidRPr="00F710D3">
        <w:t xml:space="preserve"> (</w:t>
      </w:r>
      <w:r w:rsidR="00BB4459" w:rsidRPr="00F710D3">
        <w:rPr>
          <w:i/>
          <w:iCs/>
        </w:rPr>
        <w:t>6.Saeimas</w:t>
      </w:r>
      <w:r w:rsidR="00BB4459" w:rsidRPr="00F710D3">
        <w:t xml:space="preserve"> </w:t>
      </w:r>
      <w:r w:rsidR="00BB4459" w:rsidRPr="00F710D3">
        <w:rPr>
          <w:i/>
          <w:iCs/>
        </w:rPr>
        <w:t>likumprojekta „Latvijas Republikas Krimināllikums”</w:t>
      </w:r>
      <w:r w:rsidR="00FF4351">
        <w:rPr>
          <w:i/>
          <w:iCs/>
        </w:rPr>
        <w:t xml:space="preserve"> </w:t>
      </w:r>
      <w:r w:rsidR="00BB4459" w:rsidRPr="00F710D3">
        <w:rPr>
          <w:i/>
          <w:iCs/>
        </w:rPr>
        <w:t>salīdzinošā tabula 3.lasījumam, 1998.gada 22.aprīlis, 600.priekšlikums</w:t>
      </w:r>
      <w:r w:rsidR="00BB4459" w:rsidRPr="00F710D3">
        <w:t xml:space="preserve">). </w:t>
      </w:r>
      <w:r w:rsidR="00F710D3" w:rsidRPr="00F710D3">
        <w:t>To</w:t>
      </w:r>
      <w:r w:rsidR="006C2A69">
        <w:t xml:space="preserve"> savukārt</w:t>
      </w:r>
      <w:r w:rsidR="00F710D3" w:rsidRPr="00F710D3">
        <w:t xml:space="preserve"> </w:t>
      </w:r>
      <w:r w:rsidR="007C1B81">
        <w:t xml:space="preserve">bez debatēm </w:t>
      </w:r>
      <w:r w:rsidR="006A2952">
        <w:t>akceptēja</w:t>
      </w:r>
      <w:r w:rsidR="00BB4459">
        <w:t xml:space="preserve"> Saeima </w:t>
      </w:r>
      <w:r w:rsidR="000479D0">
        <w:t>1998.gada 18.maija</w:t>
      </w:r>
      <w:r w:rsidR="00BB4459">
        <w:t xml:space="preserve"> sēdē</w:t>
      </w:r>
      <w:r w:rsidR="00F710D3">
        <w:t xml:space="preserve">, </w:t>
      </w:r>
      <w:r w:rsidR="00C579CF">
        <w:t>pieņemot</w:t>
      </w:r>
      <w:r w:rsidR="00F710D3">
        <w:t xml:space="preserve"> likumprojektu 3.lasījumā </w:t>
      </w:r>
      <w:r w:rsidR="000479D0">
        <w:t>(</w:t>
      </w:r>
      <w:r w:rsidR="008E0A44">
        <w:rPr>
          <w:i/>
          <w:iCs/>
        </w:rPr>
        <w:t xml:space="preserve">6.Saeimas 1998.gada 18.maija </w:t>
      </w:r>
      <w:hyperlink r:id="rId19" w:history="1">
        <w:r w:rsidR="008E0A44" w:rsidRPr="008E0A44">
          <w:rPr>
            <w:rStyle w:val="Hyperlink"/>
            <w:i/>
            <w:iCs/>
          </w:rPr>
          <w:t>sēdes stenogramma</w:t>
        </w:r>
      </w:hyperlink>
      <w:r w:rsidR="000479D0">
        <w:t>)</w:t>
      </w:r>
      <w:r w:rsidR="007C1B81">
        <w:t>.</w:t>
      </w:r>
    </w:p>
    <w:p w14:paraId="4A723ADE" w14:textId="77777777" w:rsidR="005C68C3" w:rsidRDefault="00FA74DB" w:rsidP="001F783F">
      <w:pPr>
        <w:spacing w:line="276" w:lineRule="auto"/>
        <w:ind w:firstLine="720"/>
        <w:jc w:val="both"/>
      </w:pPr>
      <w:r>
        <w:t>Tāpat</w:t>
      </w:r>
      <w:r w:rsidR="00BE7DE6">
        <w:t xml:space="preserve"> a</w:t>
      </w:r>
      <w:r w:rsidR="002F2702">
        <w:t xml:space="preserve">rī Saeima </w:t>
      </w:r>
      <w:r w:rsidR="00143A1A">
        <w:t>2024.gada 5.septembra sēdē</w:t>
      </w:r>
      <w:r>
        <w:t xml:space="preserve">, izskatot </w:t>
      </w:r>
      <w:r w:rsidR="008764A6">
        <w:t>2.</w:t>
      </w:r>
      <w:r w:rsidR="00FE1EFB">
        <w:t xml:space="preserve">lasījumā </w:t>
      </w:r>
      <w:r>
        <w:t xml:space="preserve">virzītos grozījumus, </w:t>
      </w:r>
      <w:r w:rsidR="00C06A64">
        <w:t xml:space="preserve">neatbalstīja </w:t>
      </w:r>
      <w:r w:rsidR="00143A1A">
        <w:t xml:space="preserve">priekšlikumu </w:t>
      </w:r>
      <w:r w:rsidR="00143A1A" w:rsidRPr="002F2702">
        <w:t xml:space="preserve">papildināt </w:t>
      </w:r>
      <w:r w:rsidR="00C06A64">
        <w:t>Krimināllikumu</w:t>
      </w:r>
      <w:r w:rsidR="00143A1A" w:rsidRPr="002F2702">
        <w:t xml:space="preserve"> ar jaunu 211.</w:t>
      </w:r>
      <w:r w:rsidR="00143A1A" w:rsidRPr="002F2702">
        <w:rPr>
          <w:vertAlign w:val="superscript"/>
        </w:rPr>
        <w:t>1</w:t>
      </w:r>
      <w:r w:rsidR="00143A1A" w:rsidRPr="002F2702">
        <w:t>pantu</w:t>
      </w:r>
      <w:r w:rsidR="007871D8">
        <w:t xml:space="preserve"> „Aizliegta vienošanās publiskajā iepirkumā”, </w:t>
      </w:r>
      <w:r w:rsidR="00143A1A">
        <w:t xml:space="preserve">kurā būtu paredzēta kriminālatbildība </w:t>
      </w:r>
      <w:r w:rsidR="007871D8">
        <w:t>p</w:t>
      </w:r>
      <w:r w:rsidR="007871D8" w:rsidRPr="007871D8">
        <w:t>ar aizliegtu vienošanos ārējos normatīvajos aktos regulētā publiskā iepirkumā, kas saistīta ar publiskam iepirkumam paredzēta pieteikuma vai</w:t>
      </w:r>
      <w:r w:rsidR="007871D8">
        <w:t xml:space="preserve"> </w:t>
      </w:r>
      <w:r w:rsidR="007871D8" w:rsidRPr="007871D8">
        <w:t>piedāvājuma saskaņošanu kādā no būtiskiem pieteikuma vai piedāvājuma nosacījumiem ar citu tirgus dalībnieku, ja saskaņotais pieteikums vai piedāvājums ir iesniegts publiskajā iepirkumā, vai kas saistīta ar aizliegtu vienošanos ar citu tirgus dalībnieku par dalības noteikumiem vai par pieteikuma vai piedāvājuma neiesniegšanu publiskajā iepirkumā</w:t>
      </w:r>
      <w:r w:rsidR="00BE7DE6">
        <w:t xml:space="preserve"> (</w:t>
      </w:r>
      <w:r w:rsidR="00143A1A" w:rsidRPr="00273A33">
        <w:rPr>
          <w:i/>
          <w:iCs/>
        </w:rPr>
        <w:t>1</w:t>
      </w:r>
      <w:r w:rsidR="00143A1A">
        <w:rPr>
          <w:i/>
          <w:iCs/>
        </w:rPr>
        <w:t>4</w:t>
      </w:r>
      <w:r w:rsidR="00143A1A" w:rsidRPr="00273A33">
        <w:rPr>
          <w:i/>
          <w:iCs/>
        </w:rPr>
        <w:t>.Saeimas likumprojekt</w:t>
      </w:r>
      <w:r>
        <w:rPr>
          <w:i/>
          <w:iCs/>
        </w:rPr>
        <w:t>a</w:t>
      </w:r>
      <w:r w:rsidR="00143A1A" w:rsidRPr="00273A33">
        <w:rPr>
          <w:i/>
          <w:iCs/>
        </w:rPr>
        <w:t xml:space="preserve"> </w:t>
      </w:r>
      <w:r w:rsidR="00143A1A" w:rsidRPr="00FA74DB">
        <w:rPr>
          <w:i/>
          <w:iCs/>
        </w:rPr>
        <w:t>Nr. </w:t>
      </w:r>
      <w:hyperlink r:id="rId20" w:history="1">
        <w:r w:rsidR="00143A1A" w:rsidRPr="00FA74DB">
          <w:rPr>
            <w:rStyle w:val="Hyperlink"/>
            <w:i/>
            <w:iCs/>
          </w:rPr>
          <w:t>579/Lp14</w:t>
        </w:r>
      </w:hyperlink>
      <w:r w:rsidR="00143A1A" w:rsidRPr="00FA74DB">
        <w:rPr>
          <w:i/>
          <w:iCs/>
        </w:rPr>
        <w:t xml:space="preserve"> „G</w:t>
      </w:r>
      <w:r w:rsidR="00143A1A" w:rsidRPr="00273A33">
        <w:rPr>
          <w:i/>
          <w:iCs/>
        </w:rPr>
        <w:t xml:space="preserve">rozījumi </w:t>
      </w:r>
      <w:r w:rsidR="00143A1A">
        <w:rPr>
          <w:i/>
          <w:iCs/>
        </w:rPr>
        <w:t>Krimināllikumā</w:t>
      </w:r>
      <w:r w:rsidR="00143A1A" w:rsidRPr="00273A33">
        <w:rPr>
          <w:i/>
          <w:iCs/>
        </w:rPr>
        <w:t>”</w:t>
      </w:r>
      <w:r>
        <w:rPr>
          <w:i/>
          <w:iCs/>
        </w:rPr>
        <w:t xml:space="preserve"> 3.priekšlikums;</w:t>
      </w:r>
      <w:r w:rsidR="007871D8">
        <w:rPr>
          <w:i/>
          <w:iCs/>
        </w:rPr>
        <w:t xml:space="preserve"> 14.Saeimas 2024.gada 5.</w:t>
      </w:r>
      <w:r w:rsidR="007871D8" w:rsidRPr="007871D8">
        <w:rPr>
          <w:i/>
          <w:iCs/>
        </w:rPr>
        <w:t xml:space="preserve">septembra </w:t>
      </w:r>
      <w:hyperlink r:id="rId21" w:anchor="section_62" w:history="1">
        <w:r w:rsidR="00BE7DE6" w:rsidRPr="007871D8">
          <w:rPr>
            <w:rStyle w:val="Hyperlink"/>
            <w:i/>
            <w:iCs/>
          </w:rPr>
          <w:t>sēdes stenogramma</w:t>
        </w:r>
      </w:hyperlink>
      <w:r w:rsidR="00BE7DE6">
        <w:t>)</w:t>
      </w:r>
      <w:r w:rsidR="007871D8">
        <w:t>.</w:t>
      </w:r>
    </w:p>
    <w:p w14:paraId="36AFA3CB" w14:textId="77777777" w:rsidR="005C68C3" w:rsidRDefault="005C68C3" w:rsidP="001F783F">
      <w:pPr>
        <w:spacing w:line="276" w:lineRule="auto"/>
        <w:ind w:firstLine="720"/>
        <w:jc w:val="both"/>
      </w:pPr>
    </w:p>
    <w:p w14:paraId="6751B06F" w14:textId="68C699F9" w:rsidR="005C68C3" w:rsidRDefault="005C68C3" w:rsidP="001F783F">
      <w:pPr>
        <w:spacing w:line="276" w:lineRule="auto"/>
        <w:ind w:firstLine="720"/>
        <w:jc w:val="both"/>
      </w:pPr>
      <w:r w:rsidRPr="00544F9E">
        <w:t>[34] </w:t>
      </w:r>
      <w:r>
        <w:t>Turklāt jāvērš uzmanība uz to</w:t>
      </w:r>
      <w:r w:rsidRPr="00544F9E">
        <w:t>, ka saskaņā ar Senāta judikatūru operatīvā nepublisku sarunu noklausīšanās</w:t>
      </w:r>
      <w:r w:rsidRPr="007348F3">
        <w:t xml:space="preserve"> nav pieļaujama, lai</w:t>
      </w:r>
      <w:r>
        <w:t xml:space="preserve"> </w:t>
      </w:r>
      <w:r w:rsidRPr="007348F3">
        <w:t>atklātu kriminālpārkāpumu</w:t>
      </w:r>
      <w:r>
        <w:t xml:space="preserve">s. Šāda </w:t>
      </w:r>
      <w:r w:rsidRPr="007348F3">
        <w:t>atziņa sniegta saistībā</w:t>
      </w:r>
      <w:r>
        <w:t xml:space="preserve"> </w:t>
      </w:r>
      <w:r w:rsidRPr="007348F3">
        <w:t>ar sevišķajā veidā veiktas operatīvās darbības laikā</w:t>
      </w:r>
      <w:r>
        <w:t xml:space="preserve"> </w:t>
      </w:r>
      <w:r w:rsidRPr="007348F3">
        <w:t>iegūtu ziņu par faktiem</w:t>
      </w:r>
      <w:r>
        <w:t xml:space="preserve"> </w:t>
      </w:r>
      <w:r w:rsidRPr="007348F3">
        <w:t>izmantošanu pierādīšanā</w:t>
      </w:r>
      <w:r>
        <w:t xml:space="preserve">. </w:t>
      </w:r>
      <w:r w:rsidRPr="007348F3">
        <w:t>Senāts</w:t>
      </w:r>
      <w:r>
        <w:t xml:space="preserve"> jau iepriekš ir </w:t>
      </w:r>
      <w:r w:rsidRPr="007348F3">
        <w:t>atz</w:t>
      </w:r>
      <w:r>
        <w:t>inis</w:t>
      </w:r>
      <w:r w:rsidRPr="007348F3">
        <w:t>, ka, izdarot kriminālpārkāpumu, pamatā nevar</w:t>
      </w:r>
      <w:r>
        <w:t xml:space="preserve"> </w:t>
      </w:r>
      <w:r w:rsidRPr="007348F3">
        <w:t>apdraudēt tādā mērā valstij</w:t>
      </w:r>
      <w:r>
        <w:t xml:space="preserve"> </w:t>
      </w:r>
      <w:r w:rsidRPr="007348F3">
        <w:t>svarīgas intereses un nevar radīt tādu valsts vai</w:t>
      </w:r>
      <w:r>
        <w:t xml:space="preserve"> </w:t>
      </w:r>
      <w:r w:rsidRPr="007348F3">
        <w:t xml:space="preserve">sabiedrības drošības apdraudējumu, lai to atklāšanai un novēršanai būtu jāizmanto sevišķajā veidā veicamie operatīvās darbības pasākumi. </w:t>
      </w:r>
      <w:r>
        <w:t>O</w:t>
      </w:r>
      <w:r w:rsidRPr="007348F3">
        <w:t>peratīvā nepublisku sarunu slepena noklausīšanās ir operatīvās darbības pasākums, kura gaitā tiek būtiski</w:t>
      </w:r>
      <w:r>
        <w:t xml:space="preserve"> </w:t>
      </w:r>
      <w:r w:rsidRPr="007348F3">
        <w:t xml:space="preserve">aizskartas personas pamattiesības. </w:t>
      </w:r>
      <w:r>
        <w:t>L</w:t>
      </w:r>
      <w:r w:rsidRPr="007348F3">
        <w:t>ikumdevējs ir noteicis kritērijus gan Operatīvās darbības likumā, gan arī Kriminālprocesa likuma 210.panta</w:t>
      </w:r>
      <w:r>
        <w:t xml:space="preserve"> </w:t>
      </w:r>
      <w:r w:rsidRPr="007348F3">
        <w:t>trešajā daļā, proti, noziedzīgajam nodarījumam</w:t>
      </w:r>
      <w:r>
        <w:t xml:space="preserve"> </w:t>
      </w:r>
      <w:r w:rsidRPr="007348F3">
        <w:t>jāsasniedz vismaz</w:t>
      </w:r>
      <w:r>
        <w:t xml:space="preserve"> </w:t>
      </w:r>
      <w:r w:rsidRPr="007348F3">
        <w:t>mazāk smaga nozieguma</w:t>
      </w:r>
      <w:r>
        <w:t xml:space="preserve"> </w:t>
      </w:r>
      <w:r w:rsidRPr="007348F3">
        <w:t>statuss.</w:t>
      </w:r>
      <w:r>
        <w:t xml:space="preserve"> </w:t>
      </w:r>
      <w:r w:rsidRPr="007348F3">
        <w:t xml:space="preserve">Senāts </w:t>
      </w:r>
      <w:r>
        <w:t>atzinis</w:t>
      </w:r>
      <w:r w:rsidRPr="007348F3">
        <w:t>, ka attiecībā par operatīvās darbības pasākuma rezultātā, kas sankcionēti veikts sevišķajā veidā, iegūto ziņu par faktiem izmantošanu pierādīšanā</w:t>
      </w:r>
      <w:r>
        <w:t xml:space="preserve"> </w:t>
      </w:r>
      <w:r w:rsidRPr="007348F3">
        <w:t>saistībā</w:t>
      </w:r>
      <w:r>
        <w:t xml:space="preserve"> </w:t>
      </w:r>
      <w:r w:rsidRPr="007348F3">
        <w:t>ar noziedzīga nodarījuma</w:t>
      </w:r>
      <w:r>
        <w:t xml:space="preserve"> </w:t>
      </w:r>
      <w:r w:rsidRPr="007348F3">
        <w:t>iespējamām</w:t>
      </w:r>
      <w:r>
        <w:t xml:space="preserve"> </w:t>
      </w:r>
      <w:r w:rsidRPr="007348F3">
        <w:t>vēlākām</w:t>
      </w:r>
      <w:r>
        <w:t xml:space="preserve"> </w:t>
      </w:r>
      <w:r w:rsidRPr="007348F3">
        <w:t>klasifikācijas izmaiņām, tiesai jārīkojas līdzīgi kā speciālo izmeklēšanas darbību gadījumā – viens no būtiskiem</w:t>
      </w:r>
      <w:r>
        <w:t xml:space="preserve"> </w:t>
      </w:r>
      <w:r w:rsidRPr="007348F3">
        <w:t xml:space="preserve">kritērijiem, izlemjot šo jautājumu, ir tas, kā noziedzīgais nodarījums bija klasificēts operatīvās darbības </w:t>
      </w:r>
      <w:r w:rsidRPr="003A4166">
        <w:t>pasākuma veikšanas laikā, proti, ziņu par faktiem iegūšanas laikā – vai šo pasākumu bija vai nebija atļauts veikt (</w:t>
      </w:r>
      <w:r w:rsidRPr="003A4166">
        <w:rPr>
          <w:i/>
          <w:iCs/>
        </w:rPr>
        <w:t>Senāta 2022.gada 14.decembra lēmuma lietā Nr. </w:t>
      </w:r>
      <w:r w:rsidRPr="00D51B80">
        <w:rPr>
          <w:i/>
          <w:iCs/>
        </w:rPr>
        <w:t>SKK</w:t>
      </w:r>
      <w:r w:rsidRPr="00D51B80">
        <w:rPr>
          <w:i/>
          <w:iCs/>
        </w:rPr>
        <w:noBreakHyphen/>
        <w:t>244/2022</w:t>
      </w:r>
      <w:r>
        <w:rPr>
          <w:i/>
          <w:iCs/>
        </w:rPr>
        <w:t>,</w:t>
      </w:r>
      <w:r w:rsidRPr="003A4166">
        <w:rPr>
          <w:i/>
          <w:iCs/>
        </w:rPr>
        <w:t xml:space="preserve"> </w:t>
      </w:r>
      <w:hyperlink r:id="rId22" w:history="1">
        <w:r w:rsidRPr="00D51B80">
          <w:rPr>
            <w:rStyle w:val="Hyperlink"/>
            <w:i/>
            <w:iCs/>
          </w:rPr>
          <w:t>ECLI:LV:AT:2022:1214.12812001312.7.L</w:t>
        </w:r>
      </w:hyperlink>
      <w:r w:rsidRPr="00EE2E4C">
        <w:rPr>
          <w:i/>
          <w:iCs/>
        </w:rPr>
        <w:t>, 13</w:t>
      </w:r>
      <w:r w:rsidRPr="008A0556">
        <w:rPr>
          <w:i/>
          <w:iCs/>
        </w:rPr>
        <w:t>.4.punkts</w:t>
      </w:r>
      <w:r>
        <w:rPr>
          <w:i/>
          <w:iCs/>
        </w:rPr>
        <w:t xml:space="preserve"> un tajā minētā judikatūra</w:t>
      </w:r>
      <w:r>
        <w:t>).</w:t>
      </w:r>
    </w:p>
    <w:p w14:paraId="43EA929A" w14:textId="77777777" w:rsidR="005C68C3" w:rsidRPr="00116A11" w:rsidRDefault="005C68C3" w:rsidP="001F783F">
      <w:pPr>
        <w:spacing w:line="276" w:lineRule="auto"/>
        <w:ind w:firstLine="720"/>
        <w:jc w:val="both"/>
      </w:pPr>
    </w:p>
    <w:p w14:paraId="1906F697" w14:textId="77777777" w:rsidR="005C68C3" w:rsidRDefault="005C68C3" w:rsidP="001F783F">
      <w:pPr>
        <w:spacing w:line="276" w:lineRule="auto"/>
        <w:ind w:firstLine="720"/>
        <w:jc w:val="both"/>
      </w:pPr>
      <w:r>
        <w:t xml:space="preserve">[35] Līdz ar to, pat ja pieņemtu, ka operatīvās darbības rezultātā noklausītās sarunas liecinātu par iespējamu Krimināllikuma 211.pantā paredzētā noziedzīgā nodarījuma izdarīšanu, t.i., par </w:t>
      </w:r>
      <w:r w:rsidRPr="004A6A77">
        <w:t>negodīgu konkurenci, maldinošu reklāmu vai negodīgu komercpraksi</w:t>
      </w:r>
      <w:r>
        <w:t xml:space="preserve">, – sods, kas bija paredzēts par šā noziedzīgā nodarījuma izdarīšanu laikā, kad birojs veica operatīvās darbības pasākumus, proti, no </w:t>
      </w:r>
      <w:r w:rsidRPr="00727045">
        <w:t>2014.gada 15.decembra līdz 2018.gada 12.jūnijam</w:t>
      </w:r>
      <w:r>
        <w:t xml:space="preserve"> (</w:t>
      </w:r>
      <w:r w:rsidRPr="00727045">
        <w:rPr>
          <w:i/>
          <w:iCs/>
        </w:rPr>
        <w:t>pārsūdzētā sprieduma 30.punkts</w:t>
      </w:r>
      <w:r>
        <w:t xml:space="preserve">), – bija </w:t>
      </w:r>
      <w:r w:rsidRPr="004A6A77">
        <w:t>īslaicīg</w:t>
      </w:r>
      <w:r>
        <w:t>a</w:t>
      </w:r>
      <w:r w:rsidRPr="004A6A77">
        <w:t xml:space="preserve"> brīvības atņemšan</w:t>
      </w:r>
      <w:r>
        <w:t>a</w:t>
      </w:r>
      <w:r w:rsidRPr="004A6A77">
        <w:t xml:space="preserve"> vai piespiedu darb</w:t>
      </w:r>
      <w:r>
        <w:t>s</w:t>
      </w:r>
      <w:r w:rsidRPr="004A6A77">
        <w:t>, vai naudas sod</w:t>
      </w:r>
      <w:r>
        <w:t>s</w:t>
      </w:r>
      <w:r w:rsidRPr="004A6A77">
        <w:t>.</w:t>
      </w:r>
      <w:r>
        <w:t xml:space="preserve"> Līdz ar to atbilstoši Krimināllikuma 7.panta otrajai daļai šāds noziedzīgais nodarījums atbilda kriminālpārkāpuma tiesiskajam sastāvam.</w:t>
      </w:r>
    </w:p>
    <w:p w14:paraId="3B2EADC3" w14:textId="77777777" w:rsidR="005C68C3" w:rsidRDefault="005C68C3" w:rsidP="001F783F">
      <w:pPr>
        <w:spacing w:line="276" w:lineRule="auto"/>
        <w:ind w:firstLine="720"/>
        <w:jc w:val="both"/>
      </w:pPr>
      <w:r>
        <w:t>Tādējādi secināms, ka operatīvās darbības pasākuma rezultātā iegūto informāciju – pat ja tā norādītu uz iespējamu kriminalizēto konkurences tiesību pārkāpumu – tāpat nevarētu izmantot šāda pārkāpuma pierādīšanai.</w:t>
      </w:r>
    </w:p>
    <w:p w14:paraId="60D348B8" w14:textId="0ACDF590" w:rsidR="005C68C3" w:rsidRDefault="005C68C3" w:rsidP="001F783F">
      <w:pPr>
        <w:spacing w:line="276" w:lineRule="auto"/>
        <w:ind w:firstLine="720"/>
        <w:jc w:val="both"/>
      </w:pPr>
      <w:r>
        <w:t>Šie apstākļi vēl papildus apstiprina to, ka karteļa vienošanās atklāšana kā administratīvi tiesisks jautājums nevar iekļauties Operatīvās darbības likuma tvērumā.</w:t>
      </w:r>
    </w:p>
    <w:p w14:paraId="3EA1FC1D" w14:textId="77777777" w:rsidR="005C68C3" w:rsidRDefault="005C68C3" w:rsidP="001F783F">
      <w:pPr>
        <w:spacing w:line="276" w:lineRule="auto"/>
        <w:ind w:firstLine="720"/>
        <w:jc w:val="both"/>
      </w:pPr>
    </w:p>
    <w:p w14:paraId="0811A403" w14:textId="1B4929BF" w:rsidR="00C96721" w:rsidRDefault="00C96721" w:rsidP="001F783F">
      <w:pPr>
        <w:spacing w:line="276" w:lineRule="auto"/>
        <w:ind w:firstLine="720"/>
        <w:jc w:val="both"/>
      </w:pPr>
      <w:r w:rsidRPr="009E4343">
        <w:t>[</w:t>
      </w:r>
      <w:r w:rsidR="000365BF" w:rsidRPr="009E4343">
        <w:t>3</w:t>
      </w:r>
      <w:r w:rsidR="005C5999">
        <w:t>6</w:t>
      </w:r>
      <w:r w:rsidRPr="009E4343">
        <w:t>] </w:t>
      </w:r>
      <w:r w:rsidR="00BF4029">
        <w:t>Konkurences p</w:t>
      </w:r>
      <w:r w:rsidR="00BF4029" w:rsidRPr="009E4343">
        <w:t>adome</w:t>
      </w:r>
      <w:r w:rsidR="00BF4029" w:rsidRPr="00054B80">
        <w:t xml:space="preserve"> </w:t>
      </w:r>
      <w:r w:rsidR="008B672B" w:rsidRPr="00054B80">
        <w:t>norād</w:t>
      </w:r>
      <w:r w:rsidR="00E77832">
        <w:t>ījusi</w:t>
      </w:r>
      <w:r w:rsidR="008B672B" w:rsidRPr="00054B80">
        <w:t xml:space="preserve"> </w:t>
      </w:r>
      <w:r w:rsidR="00FB4FD6" w:rsidRPr="00054B80">
        <w:t>uz Operatīvās darbības likuma 24.panta pirmo un trešo daļu</w:t>
      </w:r>
      <w:r w:rsidR="008B672B" w:rsidRPr="00054B80">
        <w:t xml:space="preserve">, argumentējot, ka </w:t>
      </w:r>
      <w:r w:rsidR="00054B80" w:rsidRPr="00054B80">
        <w:t xml:space="preserve">no šīm tiesību normām izriet pamatojums operatīvās darbības </w:t>
      </w:r>
      <w:r w:rsidR="000433EE">
        <w:t>rezultātā</w:t>
      </w:r>
      <w:r w:rsidR="00054B80" w:rsidRPr="00054B80">
        <w:t xml:space="preserve"> iegūto </w:t>
      </w:r>
      <w:r w:rsidR="00E96458">
        <w:t xml:space="preserve">ziņu </w:t>
      </w:r>
      <w:r w:rsidR="00054B80" w:rsidRPr="00054B80">
        <w:t>izmantošanai kriminālprocesā</w:t>
      </w:r>
      <w:r w:rsidR="00054B80">
        <w:t>, no kā savukārt izriet tiesības tos pievienot kriminālprocesa materiāliem, kā arī vispārīgas tiesības iepazīstināt attiecīgo pārvaldes iestāžu vadītājus vai to pilnvarotas amatpersonas</w:t>
      </w:r>
      <w:r w:rsidR="00E96458" w:rsidRPr="00E96458">
        <w:t xml:space="preserve"> </w:t>
      </w:r>
      <w:r w:rsidR="00E96458">
        <w:t>ar attiecīgo informāciju</w:t>
      </w:r>
      <w:r w:rsidR="00054B80">
        <w:t>.</w:t>
      </w:r>
    </w:p>
    <w:p w14:paraId="4E6724B1" w14:textId="0DF6B48F" w:rsidR="00E96458" w:rsidRDefault="00E96458" w:rsidP="001F783F">
      <w:pPr>
        <w:spacing w:line="276" w:lineRule="auto"/>
        <w:ind w:firstLine="720"/>
        <w:jc w:val="both"/>
      </w:pPr>
      <w:r>
        <w:t xml:space="preserve">Senāts </w:t>
      </w:r>
      <w:r w:rsidR="009E4343">
        <w:t>skaidro</w:t>
      </w:r>
      <w:r>
        <w:t xml:space="preserve">, ka </w:t>
      </w:r>
      <w:r w:rsidR="000433EE">
        <w:t>t</w:t>
      </w:r>
      <w:r>
        <w:t xml:space="preserve">āda </w:t>
      </w:r>
      <w:r w:rsidR="00056259">
        <w:t xml:space="preserve">minēto </w:t>
      </w:r>
      <w:r>
        <w:t xml:space="preserve">tiesību normu interpretācija, kuras rezultātā </w:t>
      </w:r>
      <w:r w:rsidR="00BF4029">
        <w:t xml:space="preserve">Konkurences padomei </w:t>
      </w:r>
      <w:r w:rsidR="009E4343">
        <w:t>būtu</w:t>
      </w:r>
      <w:r>
        <w:t xml:space="preserve"> tiesības </w:t>
      </w:r>
      <w:r w:rsidR="00904BF6">
        <w:t>iegūt</w:t>
      </w:r>
      <w:r w:rsidR="009E4343">
        <w:t xml:space="preserve"> operatīvās darbības rezultātā iegū</w:t>
      </w:r>
      <w:r w:rsidR="00E36A89">
        <w:t>t</w:t>
      </w:r>
      <w:r w:rsidR="0042789E">
        <w:t>o</w:t>
      </w:r>
      <w:r w:rsidR="00E36A89">
        <w:t xml:space="preserve"> </w:t>
      </w:r>
      <w:r w:rsidR="0042789E">
        <w:t>informāciju</w:t>
      </w:r>
      <w:r w:rsidR="009E4343">
        <w:t>, ir kļūdaina.</w:t>
      </w:r>
    </w:p>
    <w:p w14:paraId="25331C6B" w14:textId="31B76B83" w:rsidR="00FB4FD6" w:rsidRDefault="0094456F" w:rsidP="001F783F">
      <w:pPr>
        <w:spacing w:line="276" w:lineRule="auto"/>
        <w:ind w:firstLine="720"/>
        <w:jc w:val="both"/>
      </w:pPr>
      <w:r>
        <w:t>S</w:t>
      </w:r>
      <w:r w:rsidR="00FB4FD6">
        <w:t>askaņā ar 24.panta pirmo daļu o</w:t>
      </w:r>
      <w:r w:rsidR="00FB4FD6" w:rsidRPr="00FB4FD6">
        <w:t>peratīvās darbības pasākumu gaitā iegūtā informācija ir klasificējama kā ierobežotas pieejamības informācija vai valsts noslēpuma objekts. Šādu informāciju kā pierādījumu kriminālprocesā drīkst izmantot tikai</w:t>
      </w:r>
      <w:r w:rsidR="009E4343">
        <w:t xml:space="preserve"> </w:t>
      </w:r>
      <w:r w:rsidR="00FB4FD6" w:rsidRPr="00FB4FD6">
        <w:t>Kriminālprocesa likumā</w:t>
      </w:r>
      <w:r w:rsidR="009E4343">
        <w:t xml:space="preserve"> </w:t>
      </w:r>
      <w:r w:rsidR="00FB4FD6" w:rsidRPr="00FB4FD6">
        <w:t>noteiktajā kārtībā, nodrošinot operatīvās darbības pasākumu īstenošanas un tajos iesaistīto personu konfidencialitāti un drošību.</w:t>
      </w:r>
      <w:r w:rsidR="009E4343">
        <w:t xml:space="preserve"> </w:t>
      </w:r>
      <w:r w:rsidR="00FB4FD6">
        <w:t>Savukārt šā panta trešā daļa noteic, ka a</w:t>
      </w:r>
      <w:r w:rsidR="00FB4FD6" w:rsidRPr="00FB4FD6">
        <w:t>r operatīvās darbības pasākumu rezultātā iegūto informāciju jāiepazīstina valsts varas un pārvaldes institūciju vadītāji, viņu vai ar likumu pilnvarotās amatpersonas, kā arī likumā noteiktajos gadījumos un kārtībā tās operatīvās darbības subjektu amatpersonas, kurām šī informācija nepieciešama dienesta uzdevumu veikšanai, ja tās saturs ir saistīts ar šīm amatpersonām uzticēto pienākumu izpildi.</w:t>
      </w:r>
    </w:p>
    <w:p w14:paraId="7A273525" w14:textId="67C3F669" w:rsidR="000433EE" w:rsidRDefault="00BF4029" w:rsidP="001F783F">
      <w:pPr>
        <w:spacing w:line="276" w:lineRule="auto"/>
        <w:ind w:firstLine="720"/>
        <w:jc w:val="both"/>
      </w:pPr>
      <w:r>
        <w:t>M</w:t>
      </w:r>
      <w:r w:rsidR="00C46624">
        <w:t>inētās</w:t>
      </w:r>
      <w:r w:rsidR="00672C6F" w:rsidRPr="009C21EF">
        <w:t xml:space="preserve"> tiesību normas nevar interpretēt </w:t>
      </w:r>
      <w:r w:rsidR="009E4343">
        <w:t>tādējādi</w:t>
      </w:r>
      <w:r w:rsidR="00672C6F" w:rsidRPr="009C21EF">
        <w:t xml:space="preserve">, ka operatīvo darbību rezultātā iegūtā informācija </w:t>
      </w:r>
      <w:r w:rsidR="009C21EF" w:rsidRPr="009C21EF">
        <w:t>tiek izmantota</w:t>
      </w:r>
      <w:r w:rsidR="00672C6F" w:rsidRPr="009C21EF">
        <w:t xml:space="preserve"> ārpus šā likuma 2.pant</w:t>
      </w:r>
      <w:r w:rsidR="009C21EF" w:rsidRPr="009C21EF">
        <w:t>a pirmajā daļā</w:t>
      </w:r>
      <w:r w:rsidR="00672C6F" w:rsidRPr="009C21EF">
        <w:t xml:space="preserve"> noteiktā tiesiskā </w:t>
      </w:r>
      <w:r w:rsidR="009C21EF" w:rsidRPr="009C21EF">
        <w:t>ietvara</w:t>
      </w:r>
      <w:r w:rsidR="00672C6F" w:rsidRPr="009C21EF">
        <w:t>.</w:t>
      </w:r>
      <w:r w:rsidR="00672C6F">
        <w:t xml:space="preserve"> Citiem vārdiem, o</w:t>
      </w:r>
      <w:r w:rsidR="00672C6F" w:rsidRPr="00FB4FD6">
        <w:t>peratīvās darbības pasākumu gaitā iegūtā informācija</w:t>
      </w:r>
      <w:r w:rsidR="00672C6F">
        <w:t xml:space="preserve"> var tikt nodota tikai </w:t>
      </w:r>
      <w:r w:rsidR="00DB4162">
        <w:t>tiem</w:t>
      </w:r>
      <w:r w:rsidR="00672C6F">
        <w:t xml:space="preserve"> </w:t>
      </w:r>
      <w:r w:rsidR="00672C6F" w:rsidRPr="00054B80">
        <w:t>subjektiem, kuru kompetencē ietilpst t</w:t>
      </w:r>
      <w:r w:rsidR="000433EE">
        <w:t>o</w:t>
      </w:r>
      <w:r w:rsidR="00672C6F" w:rsidRPr="00054B80">
        <w:t xml:space="preserve"> jautājumu risināšana, kas saskan ar </w:t>
      </w:r>
      <w:r w:rsidR="009C21EF">
        <w:t xml:space="preserve">likuma 2.panta pirmajā daļā noteiktajiem </w:t>
      </w:r>
      <w:r w:rsidR="00672C6F" w:rsidRPr="00054B80">
        <w:t xml:space="preserve">operatīvās darbības uzdevumiem. </w:t>
      </w:r>
      <w:r w:rsidR="00395B3F">
        <w:t xml:space="preserve">Tas </w:t>
      </w:r>
      <w:r w:rsidR="006E1982">
        <w:t xml:space="preserve">arī </w:t>
      </w:r>
      <w:r w:rsidR="00DB4162">
        <w:t>atbilst</w:t>
      </w:r>
      <w:r w:rsidR="00395B3F">
        <w:t xml:space="preserve"> </w:t>
      </w:r>
      <w:r w:rsidR="009C1DC8">
        <w:t xml:space="preserve">likuma </w:t>
      </w:r>
      <w:r w:rsidR="00395B3F">
        <w:t>24.panta pirm</w:t>
      </w:r>
      <w:r w:rsidR="00DB4162">
        <w:t>ajai</w:t>
      </w:r>
      <w:r w:rsidR="00395B3F">
        <w:t xml:space="preserve"> daļ</w:t>
      </w:r>
      <w:r w:rsidR="00DB4162">
        <w:t>ai</w:t>
      </w:r>
      <w:r w:rsidR="00395B3F">
        <w:t xml:space="preserve">, kurā paredzēts, ka </w:t>
      </w:r>
      <w:r w:rsidR="000638D1">
        <w:t>o</w:t>
      </w:r>
      <w:r w:rsidR="000638D1" w:rsidRPr="00FB4FD6">
        <w:t>peratīvās darbības pasākumu gaitā iegūt</w:t>
      </w:r>
      <w:r w:rsidR="000638D1">
        <w:t>o</w:t>
      </w:r>
      <w:r w:rsidR="000638D1" w:rsidRPr="00FB4FD6">
        <w:t xml:space="preserve"> informācij</w:t>
      </w:r>
      <w:r w:rsidR="000638D1">
        <w:t>u</w:t>
      </w:r>
      <w:r w:rsidR="00395B3F" w:rsidRPr="00FB4FD6">
        <w:t xml:space="preserve"> kā pierādījumu kriminālprocesā </w:t>
      </w:r>
      <w:r w:rsidR="000638D1">
        <w:t xml:space="preserve">– </w:t>
      </w:r>
      <w:r w:rsidR="009E4343">
        <w:t xml:space="preserve">t.i., </w:t>
      </w:r>
      <w:r w:rsidR="000638D1">
        <w:t>tādā</w:t>
      </w:r>
      <w:r w:rsidR="009E4343">
        <w:t xml:space="preserve"> procesā</w:t>
      </w:r>
      <w:r w:rsidR="000638D1">
        <w:t xml:space="preserve">, kas atbilst Operatīvās darbības likuma 2.panta pirmajā daļā noteiktajiem uzdevumiem, – </w:t>
      </w:r>
      <w:r w:rsidR="00395B3F" w:rsidRPr="00FB4FD6">
        <w:t>drīkst izmantot tikai</w:t>
      </w:r>
      <w:r w:rsidR="00C46624">
        <w:t xml:space="preserve"> </w:t>
      </w:r>
      <w:r w:rsidR="00395B3F" w:rsidRPr="00FB4FD6">
        <w:t>Kriminālprocesa</w:t>
      </w:r>
      <w:r w:rsidR="000638D1">
        <w:t xml:space="preserve"> </w:t>
      </w:r>
      <w:r w:rsidR="00395B3F" w:rsidRPr="00FB4FD6">
        <w:t>likumā</w:t>
      </w:r>
      <w:r w:rsidR="000638D1">
        <w:t xml:space="preserve"> </w:t>
      </w:r>
      <w:r w:rsidR="00395B3F" w:rsidRPr="00FB4FD6">
        <w:t>noteiktajā kārtībā</w:t>
      </w:r>
      <w:r w:rsidR="000638D1">
        <w:t xml:space="preserve">. Tādējādi Operatīvās darbības likuma regulējums ir </w:t>
      </w:r>
      <w:r w:rsidR="000638D1" w:rsidRPr="000638D1">
        <w:rPr>
          <w:i/>
          <w:iCs/>
        </w:rPr>
        <w:t>lex specialis</w:t>
      </w:r>
      <w:r w:rsidR="000638D1">
        <w:t xml:space="preserve"> iepretim Kriminālprocesa likuma regulējumam.</w:t>
      </w:r>
    </w:p>
    <w:p w14:paraId="1919F459" w14:textId="77777777" w:rsidR="000433EE" w:rsidRDefault="000433EE" w:rsidP="001F783F">
      <w:pPr>
        <w:spacing w:line="276" w:lineRule="auto"/>
        <w:ind w:firstLine="720"/>
        <w:jc w:val="both"/>
      </w:pPr>
    </w:p>
    <w:p w14:paraId="4D281145" w14:textId="360D592A" w:rsidR="00DB4162" w:rsidRDefault="000433EE" w:rsidP="001F783F">
      <w:pPr>
        <w:spacing w:line="276" w:lineRule="auto"/>
        <w:ind w:firstLine="720"/>
        <w:jc w:val="both"/>
      </w:pPr>
      <w:r w:rsidRPr="00D677C5">
        <w:t>[</w:t>
      </w:r>
      <w:r w:rsidR="00B604BA" w:rsidRPr="00D677C5">
        <w:t>37</w:t>
      </w:r>
      <w:r w:rsidRPr="00D677C5">
        <w:t>] </w:t>
      </w:r>
      <w:r w:rsidR="009E4343" w:rsidRPr="00D677C5">
        <w:t>Senāts</w:t>
      </w:r>
      <w:r w:rsidR="009E4343">
        <w:t xml:space="preserve"> vērš uzmanību, ka </w:t>
      </w:r>
      <w:r w:rsidR="009E4343" w:rsidRPr="009E4343">
        <w:t xml:space="preserve">operatīvās darbības rezultātā iegūtā informācija nevienā brīdī nezaudē savu </w:t>
      </w:r>
      <w:r w:rsidR="009E4343">
        <w:t xml:space="preserve">īpašo </w:t>
      </w:r>
      <w:r w:rsidR="009E4343" w:rsidRPr="009E4343">
        <w:t xml:space="preserve">statusu, </w:t>
      </w:r>
      <w:r w:rsidR="009E4343">
        <w:t>tostarp</w:t>
      </w:r>
      <w:r w:rsidR="00E77832">
        <w:t>,</w:t>
      </w:r>
      <w:r w:rsidR="009E4343" w:rsidRPr="009E4343">
        <w:t xml:space="preserve"> </w:t>
      </w:r>
      <w:r w:rsidR="00E77832">
        <w:t>ja</w:t>
      </w:r>
      <w:r w:rsidR="009E4343" w:rsidRPr="009E4343">
        <w:t xml:space="preserve"> tā tiek pievienota </w:t>
      </w:r>
      <w:r w:rsidR="00B604BA">
        <w:t>kriminālprocesa</w:t>
      </w:r>
      <w:r w:rsidR="009E4343" w:rsidRPr="009E4343">
        <w:t xml:space="preserve"> materiāliem. Tādējādi uz tās izmantošanu joprojām attiecas </w:t>
      </w:r>
      <w:r w:rsidR="009E4343">
        <w:t>Operatīvās darbības likuma</w:t>
      </w:r>
      <w:r w:rsidR="009E4343" w:rsidRPr="009E4343">
        <w:t xml:space="preserve"> </w:t>
      </w:r>
      <w:r w:rsidR="00B604BA">
        <w:t>regulējums</w:t>
      </w:r>
      <w:r w:rsidR="009E4343" w:rsidRPr="009E4343">
        <w:t xml:space="preserve">, </w:t>
      </w:r>
      <w:r w:rsidR="009E4343">
        <w:t>kas</w:t>
      </w:r>
      <w:r w:rsidR="009E4343" w:rsidRPr="009E4343">
        <w:t xml:space="preserve"> aizliedz šādas informācijas izmantošanu likumā neminētiem mērķiem un uzdevumiem.</w:t>
      </w:r>
    </w:p>
    <w:p w14:paraId="0B6C5260" w14:textId="40E55623" w:rsidR="00E77832" w:rsidRDefault="00DB4162" w:rsidP="001F783F">
      <w:pPr>
        <w:spacing w:line="276" w:lineRule="auto"/>
        <w:ind w:firstLine="720"/>
        <w:jc w:val="both"/>
      </w:pPr>
      <w:r>
        <w:t xml:space="preserve">Attiecīgi kļūdains ir </w:t>
      </w:r>
      <w:r w:rsidR="00BF4029">
        <w:t xml:space="preserve">Konkurences padomes </w:t>
      </w:r>
      <w:r>
        <w:t xml:space="preserve">uzskats, ka datu nodošanas iespēja </w:t>
      </w:r>
      <w:r w:rsidR="0094456F">
        <w:t>to izmantošanai administratīvajā procesā būtu</w:t>
      </w:r>
      <w:r>
        <w:t xml:space="preserve"> minēta</w:t>
      </w:r>
      <w:r w:rsidR="0094456F">
        <w:t xml:space="preserve">, </w:t>
      </w:r>
      <w:r w:rsidR="00BF4029">
        <w:t xml:space="preserve">padomes </w:t>
      </w:r>
      <w:r w:rsidR="0094456F">
        <w:t>vārdiem sakot,</w:t>
      </w:r>
      <w:r>
        <w:t xml:space="preserve"> </w:t>
      </w:r>
      <w:r w:rsidR="0094456F">
        <w:t>„</w:t>
      </w:r>
      <w:r>
        <w:t>izejas normā</w:t>
      </w:r>
      <w:r w:rsidR="0094456F">
        <w:t>”</w:t>
      </w:r>
      <w:r w:rsidR="00E77832">
        <w:t xml:space="preserve">, t.i., </w:t>
      </w:r>
      <w:r>
        <w:t xml:space="preserve">Operatīvās darbības likuma 24.panta trešajā </w:t>
      </w:r>
      <w:r w:rsidRPr="008636F4">
        <w:t>daļā (</w:t>
      </w:r>
      <w:r w:rsidR="00BF4029">
        <w:rPr>
          <w:i/>
          <w:iCs/>
        </w:rPr>
        <w:t>Konkurences p</w:t>
      </w:r>
      <w:r w:rsidR="00BF4029" w:rsidRPr="008636F4">
        <w:rPr>
          <w:i/>
          <w:iCs/>
        </w:rPr>
        <w:t xml:space="preserve">adomes </w:t>
      </w:r>
      <w:r w:rsidRPr="008636F4">
        <w:rPr>
          <w:i/>
          <w:iCs/>
        </w:rPr>
        <w:t xml:space="preserve">2025.gada 17.oktobrī sniegto paskaidrojumu 16.punkts, </w:t>
      </w:r>
      <w:r w:rsidR="008636F4" w:rsidRPr="008636F4">
        <w:rPr>
          <w:i/>
          <w:iCs/>
        </w:rPr>
        <w:t>lietas 54.sējuma 134.lp.</w:t>
      </w:r>
      <w:r w:rsidRPr="008636F4">
        <w:t>).</w:t>
      </w:r>
    </w:p>
    <w:p w14:paraId="69443526" w14:textId="55A0EA9D" w:rsidR="00B604BA" w:rsidRDefault="00056259" w:rsidP="001F783F">
      <w:pPr>
        <w:spacing w:line="276" w:lineRule="auto"/>
        <w:ind w:firstLine="720"/>
        <w:jc w:val="both"/>
      </w:pPr>
      <w:r>
        <w:t>Šajā ziņā kļūdaini ir arī apgabaltiesas secinājumi.</w:t>
      </w:r>
    </w:p>
    <w:p w14:paraId="2BA5E09E" w14:textId="77777777" w:rsidR="000638D1" w:rsidRDefault="000638D1" w:rsidP="001F783F">
      <w:pPr>
        <w:spacing w:line="276" w:lineRule="auto"/>
        <w:ind w:firstLine="720"/>
        <w:jc w:val="both"/>
      </w:pPr>
    </w:p>
    <w:p w14:paraId="6681640E" w14:textId="2EEC8C54" w:rsidR="00152CD7" w:rsidRDefault="005A6F36" w:rsidP="001F783F">
      <w:pPr>
        <w:spacing w:line="276" w:lineRule="auto"/>
        <w:ind w:firstLine="720"/>
        <w:jc w:val="both"/>
      </w:pPr>
      <w:r w:rsidRPr="00904BF6">
        <w:t>[</w:t>
      </w:r>
      <w:r w:rsidR="000A75C2" w:rsidRPr="00904BF6">
        <w:t>3</w:t>
      </w:r>
      <w:r w:rsidR="00B604BA" w:rsidRPr="00904BF6">
        <w:t>8</w:t>
      </w:r>
      <w:r w:rsidRPr="00904BF6">
        <w:t>] </w:t>
      </w:r>
      <w:r w:rsidR="00BF4029">
        <w:t>Konkurences p</w:t>
      </w:r>
      <w:r w:rsidR="00BF4029" w:rsidRPr="00904BF6">
        <w:t xml:space="preserve">adome </w:t>
      </w:r>
      <w:r w:rsidRPr="00904BF6">
        <w:t xml:space="preserve">norādījusi uz Kriminālprocesa likuma 127.panta trešo un ceturto daļu, </w:t>
      </w:r>
      <w:r w:rsidR="00CB6C0D" w:rsidRPr="00904BF6">
        <w:t>saskaņā ar kuru</w:t>
      </w:r>
      <w:r w:rsidRPr="00904BF6">
        <w:t xml:space="preserve"> operatīvās darbības</w:t>
      </w:r>
      <w:r w:rsidR="00CB6C0D" w:rsidRPr="00904BF6">
        <w:t xml:space="preserve"> pasākumos</w:t>
      </w:r>
      <w:r w:rsidRPr="00904BF6">
        <w:t xml:space="preserve"> </w:t>
      </w:r>
      <w:r w:rsidR="00CB6C0D" w:rsidRPr="00904BF6">
        <w:t>iegūtās ziņas par faktiem</w:t>
      </w:r>
      <w:r w:rsidRPr="00904BF6">
        <w:t xml:space="preserve"> var tikt </w:t>
      </w:r>
      <w:r w:rsidR="00CB6C0D" w:rsidRPr="00904BF6">
        <w:t>izmantotas</w:t>
      </w:r>
      <w:r>
        <w:t xml:space="preserve"> kā pierādījumi</w:t>
      </w:r>
      <w:r w:rsidR="00CB6C0D" w:rsidRPr="00CB6C0D">
        <w:t xml:space="preserve"> </w:t>
      </w:r>
      <w:r w:rsidR="00CB6C0D">
        <w:t xml:space="preserve">kriminālprocesā, un līdz ar to </w:t>
      </w:r>
      <w:r w:rsidR="00253240">
        <w:t>šīs ziņas</w:t>
      </w:r>
      <w:r>
        <w:t xml:space="preserve"> kļūst par pilnvērtīgiem krimināllietas materiāliem</w:t>
      </w:r>
      <w:r w:rsidR="007B0047">
        <w:t>.</w:t>
      </w:r>
      <w:r>
        <w:t xml:space="preserve"> Tāpat </w:t>
      </w:r>
      <w:r w:rsidR="00015E0A">
        <w:t xml:space="preserve">padome </w:t>
      </w:r>
      <w:r>
        <w:t xml:space="preserve">norādījusi </w:t>
      </w:r>
      <w:r w:rsidR="00E63234">
        <w:t xml:space="preserve">uz </w:t>
      </w:r>
      <w:r w:rsidR="00E63234" w:rsidRPr="00904BF6">
        <w:t xml:space="preserve">Kriminālprocesa likuma </w:t>
      </w:r>
      <w:r>
        <w:t>375.panta pirmo daļu, kas noteic, ka amatpersonas, kuras veic kriminālprocesu, var uzrādīt kriminālprocesa materiālus citām personām to likumā noteikto uzdevumu izpildes nodrošināšanai.</w:t>
      </w:r>
      <w:r w:rsidR="0027323D">
        <w:t xml:space="preserve"> </w:t>
      </w:r>
      <w:r w:rsidR="00152CD7" w:rsidRPr="00152CD7">
        <w:t>Š</w:t>
      </w:r>
      <w:r w:rsidR="00152CD7">
        <w:t xml:space="preserve">ādu </w:t>
      </w:r>
      <w:r w:rsidR="00152CD7" w:rsidRPr="00152CD7">
        <w:t>pieeju spriedumā apstiprinājusi apgabaltiesa.</w:t>
      </w:r>
    </w:p>
    <w:p w14:paraId="3236A069" w14:textId="087E40FB" w:rsidR="00253240" w:rsidRDefault="005A6F36" w:rsidP="001F783F">
      <w:pPr>
        <w:spacing w:line="276" w:lineRule="auto"/>
        <w:ind w:firstLine="720"/>
        <w:jc w:val="both"/>
      </w:pPr>
      <w:r>
        <w:t>Senāts neapšauba to, ka operatīvās darbības</w:t>
      </w:r>
      <w:r w:rsidR="00CB6C0D">
        <w:t xml:space="preserve"> pasākumos iegūtās ziņas</w:t>
      </w:r>
      <w:r>
        <w:t xml:space="preserve"> </w:t>
      </w:r>
      <w:r w:rsidR="00CB6C0D">
        <w:t xml:space="preserve">par faktiem </w:t>
      </w:r>
      <w:r>
        <w:t xml:space="preserve">var </w:t>
      </w:r>
      <w:r w:rsidR="00CB6C0D">
        <w:t>tikt izmantotas kā pierādījumi</w:t>
      </w:r>
      <w:r w:rsidR="00CB6C0D" w:rsidRPr="00CB6C0D">
        <w:t xml:space="preserve"> kriminālprocesā, </w:t>
      </w:r>
      <w:r w:rsidR="00CB6C0D" w:rsidRPr="007B0D7E">
        <w:t>ja vien tās iespējams pārbaudīt Kriminālprocesa likumā noteiktajā kārtībā</w:t>
      </w:r>
      <w:r w:rsidRPr="00CB6C0D">
        <w:t xml:space="preserve">. </w:t>
      </w:r>
      <w:r w:rsidR="00253240">
        <w:t>Vienlaikus</w:t>
      </w:r>
      <w:r>
        <w:t xml:space="preserve"> fakts, ka </w:t>
      </w:r>
      <w:r w:rsidR="00CB6C0D">
        <w:t>š</w:t>
      </w:r>
      <w:r w:rsidR="00253240">
        <w:t>ādas</w:t>
      </w:r>
      <w:r w:rsidR="00CB6C0D">
        <w:t xml:space="preserve"> ziņas par faktiem</w:t>
      </w:r>
      <w:r>
        <w:t xml:space="preserve"> ir pievienot</w:t>
      </w:r>
      <w:r w:rsidR="00CB6C0D">
        <w:t>as</w:t>
      </w:r>
      <w:r>
        <w:t xml:space="preserve"> </w:t>
      </w:r>
      <w:r w:rsidR="00E77832">
        <w:t>kriminālprocesa</w:t>
      </w:r>
      <w:r>
        <w:t xml:space="preserve"> materiāliem</w:t>
      </w:r>
      <w:r w:rsidR="00015E0A">
        <w:t>,</w:t>
      </w:r>
      <w:r>
        <w:t xml:space="preserve"> </w:t>
      </w:r>
      <w:r w:rsidR="00152CD7" w:rsidRPr="00152CD7">
        <w:t>pats par sevi</w:t>
      </w:r>
      <w:r w:rsidR="00904BF6">
        <w:t xml:space="preserve"> vēl</w:t>
      </w:r>
      <w:r>
        <w:t xml:space="preserve"> nenozīmē, ka tāpēc </w:t>
      </w:r>
      <w:r w:rsidR="00152CD7">
        <w:t>t</w:t>
      </w:r>
      <w:r w:rsidR="00253240">
        <w:t>ā</w:t>
      </w:r>
      <w:r w:rsidR="00152CD7">
        <w:t>s</w:t>
      </w:r>
      <w:r>
        <w:t xml:space="preserve"> </w:t>
      </w:r>
      <w:r w:rsidR="000A75C2">
        <w:t>var</w:t>
      </w:r>
      <w:r w:rsidR="00904BF6">
        <w:t xml:space="preserve"> brīvi</w:t>
      </w:r>
      <w:r w:rsidR="000A75C2">
        <w:t xml:space="preserve"> </w:t>
      </w:r>
      <w:r>
        <w:t>nodot tālāk izmanto</w:t>
      </w:r>
      <w:r w:rsidR="00AD54A2">
        <w:t>šanai</w:t>
      </w:r>
      <w:r>
        <w:t xml:space="preserve"> </w:t>
      </w:r>
      <w:r w:rsidR="00904BF6">
        <w:t>tādiem</w:t>
      </w:r>
      <w:r>
        <w:t xml:space="preserve"> mērķiem, kas nav saistīti ar Operatīvās darbības likuma 2.panta pirmajā daļā noteiktajiem uzdevumiem. </w:t>
      </w:r>
      <w:r w:rsidR="00AD54A2">
        <w:t xml:space="preserve">Ja sekotu šādai </w:t>
      </w:r>
      <w:r w:rsidR="00015E0A">
        <w:t xml:space="preserve">padomes </w:t>
      </w:r>
      <w:r w:rsidR="0027323D">
        <w:t xml:space="preserve">un </w:t>
      </w:r>
      <w:r w:rsidR="00AD54A2">
        <w:t>apgabaltiesas tiesību normu interpretācijai, tad vispār z</w:t>
      </w:r>
      <w:r w:rsidR="000A75C2">
        <w:t>ustu</w:t>
      </w:r>
      <w:r w:rsidR="00AD54A2">
        <w:t xml:space="preserve"> jēga Operatīvās darbības likuma 2.panta otrajai daļai</w:t>
      </w:r>
      <w:r w:rsidR="000A75C2">
        <w:t>, kas tiešā tekstā to aizliedz.</w:t>
      </w:r>
      <w:r w:rsidR="00AD54A2">
        <w:t xml:space="preserve"> </w:t>
      </w:r>
      <w:r w:rsidR="00253240">
        <w:t>T</w:t>
      </w:r>
      <w:r w:rsidR="0089605F">
        <w:t>ādā</w:t>
      </w:r>
      <w:r w:rsidR="0094583E">
        <w:t xml:space="preserve"> gadījumā tas</w:t>
      </w:r>
      <w:r w:rsidR="00AD54A2">
        <w:t xml:space="preserve"> </w:t>
      </w:r>
      <w:r w:rsidR="0089605F">
        <w:t>pavērtu</w:t>
      </w:r>
      <w:r w:rsidR="00152CD7">
        <w:t xml:space="preserve"> </w:t>
      </w:r>
      <w:r w:rsidR="000A75C2">
        <w:t>plašu</w:t>
      </w:r>
      <w:r w:rsidR="00AD54A2">
        <w:t xml:space="preserve"> </w:t>
      </w:r>
      <w:r w:rsidR="000A75C2">
        <w:t xml:space="preserve">un nekontrolētu </w:t>
      </w:r>
      <w:r w:rsidR="00AD54A2">
        <w:t>iespēju operatīvās darbības rezultātā iegūto informāciju</w:t>
      </w:r>
      <w:r w:rsidR="00CE5BCE">
        <w:t>, neierobežojot datu veidu un apjomu,</w:t>
      </w:r>
      <w:r w:rsidR="00577D51">
        <w:t xml:space="preserve"> </w:t>
      </w:r>
      <w:r w:rsidR="00AD54A2">
        <w:t>caur krimināl</w:t>
      </w:r>
      <w:r w:rsidR="00E36A89">
        <w:t>proces</w:t>
      </w:r>
      <w:r w:rsidR="00035D3A">
        <w:t>u</w:t>
      </w:r>
      <w:r w:rsidR="000A75C2">
        <w:t xml:space="preserve"> </w:t>
      </w:r>
      <w:r w:rsidR="00AD54A2">
        <w:t>nodot</w:t>
      </w:r>
      <w:r w:rsidR="008C7CBF">
        <w:t xml:space="preserve"> </w:t>
      </w:r>
      <w:r w:rsidR="00AD54A2">
        <w:t xml:space="preserve">nenoteiktam </w:t>
      </w:r>
      <w:r w:rsidR="00262504">
        <w:t>saņēmēju</w:t>
      </w:r>
      <w:r w:rsidR="00AD54A2">
        <w:t xml:space="preserve"> lokam</w:t>
      </w:r>
      <w:r w:rsidR="008C7CBF">
        <w:t xml:space="preserve"> izmantošanai </w:t>
      </w:r>
      <w:r w:rsidR="002237E2">
        <w:t xml:space="preserve">faktiski </w:t>
      </w:r>
      <w:r w:rsidR="008C7CBF">
        <w:t>jebkurā</w:t>
      </w:r>
      <w:r w:rsidR="002237E2">
        <w:t xml:space="preserve"> </w:t>
      </w:r>
      <w:r w:rsidR="00E36A89">
        <w:t xml:space="preserve">citā </w:t>
      </w:r>
      <w:r w:rsidR="00C901F3">
        <w:t>procesā</w:t>
      </w:r>
      <w:r w:rsidR="00253240">
        <w:t>, kurā tā it kā būtu nepieciešama</w:t>
      </w:r>
      <w:r w:rsidR="00152CD7">
        <w:t xml:space="preserve">. Tas </w:t>
      </w:r>
      <w:r w:rsidR="000A75C2" w:rsidRPr="000A75C2">
        <w:t xml:space="preserve">acīmredzami </w:t>
      </w:r>
      <w:r w:rsidR="0027323D">
        <w:t>rad</w:t>
      </w:r>
      <w:r w:rsidR="00253240">
        <w:t>ītu</w:t>
      </w:r>
      <w:r w:rsidR="0027323D">
        <w:t xml:space="preserve"> būtisku</w:t>
      </w:r>
      <w:r w:rsidR="000A75C2" w:rsidRPr="000A75C2">
        <w:t xml:space="preserve"> patvaļīg</w:t>
      </w:r>
      <w:r w:rsidR="000A75C2">
        <w:t>as</w:t>
      </w:r>
      <w:r w:rsidR="00CE5BCE">
        <w:t xml:space="preserve"> iejaukšanās</w:t>
      </w:r>
      <w:r w:rsidR="000A75C2" w:rsidRPr="000A75C2">
        <w:t xml:space="preserve"> un </w:t>
      </w:r>
      <w:r w:rsidR="00CE5BCE">
        <w:t xml:space="preserve">pilnvaru </w:t>
      </w:r>
      <w:r w:rsidR="000A75C2" w:rsidRPr="000A75C2">
        <w:t>ļaunprātīg</w:t>
      </w:r>
      <w:r w:rsidR="000A75C2">
        <w:t>as</w:t>
      </w:r>
      <w:r w:rsidR="000A75C2" w:rsidRPr="000A75C2">
        <w:t xml:space="preserve"> izmantošan</w:t>
      </w:r>
      <w:r w:rsidR="000A75C2">
        <w:t>as risku</w:t>
      </w:r>
      <w:r w:rsidR="0089605F">
        <w:t xml:space="preserve"> un</w:t>
      </w:r>
      <w:r w:rsidR="00152CD7">
        <w:t xml:space="preserve"> </w:t>
      </w:r>
      <w:r w:rsidR="0094583E">
        <w:t>neatbilst</w:t>
      </w:r>
      <w:r w:rsidR="00253240">
        <w:t>u</w:t>
      </w:r>
      <w:r w:rsidR="0094583E">
        <w:t xml:space="preserve"> likuma </w:t>
      </w:r>
      <w:r w:rsidR="002237E2">
        <w:t xml:space="preserve">kvalitātes </w:t>
      </w:r>
      <w:r w:rsidR="0094583E">
        <w:t>kritērijam</w:t>
      </w:r>
      <w:r w:rsidR="002237E2" w:rsidRPr="002237E2">
        <w:t xml:space="preserve"> </w:t>
      </w:r>
      <w:r w:rsidR="002237E2">
        <w:t>attiecībā uz paredzamību</w:t>
      </w:r>
      <w:r w:rsidR="0089605F">
        <w:t>.</w:t>
      </w:r>
    </w:p>
    <w:p w14:paraId="28EAEEEA" w14:textId="7AA2BD8D" w:rsidR="00B604BA" w:rsidRDefault="0089605F" w:rsidP="001F783F">
      <w:pPr>
        <w:spacing w:line="276" w:lineRule="auto"/>
        <w:ind w:firstLine="720"/>
        <w:jc w:val="both"/>
      </w:pPr>
      <w:r>
        <w:t>Līdz ar to</w:t>
      </w:r>
      <w:r w:rsidR="00A16DF4">
        <w:t xml:space="preserve"> kļūdains ir </w:t>
      </w:r>
      <w:r w:rsidR="00015E0A">
        <w:t xml:space="preserve">Konkurences padomes </w:t>
      </w:r>
      <w:r w:rsidR="00A16DF4">
        <w:t xml:space="preserve">uzskats, ka datu nodošanas iespēja ir sistēmiski izsekojama ķēde </w:t>
      </w:r>
      <w:r w:rsidR="00A16DF4" w:rsidRPr="008636F4">
        <w:t xml:space="preserve">vairāku normatīvo aktu mijiedarbībā, ja </w:t>
      </w:r>
      <w:r w:rsidR="00253240">
        <w:t>informācija</w:t>
      </w:r>
      <w:r w:rsidR="00A16DF4" w:rsidRPr="008636F4">
        <w:t xml:space="preserve"> tiesiski nonāk </w:t>
      </w:r>
      <w:r w:rsidR="00015E0A">
        <w:t>p</w:t>
      </w:r>
      <w:r w:rsidR="00015E0A" w:rsidRPr="008636F4">
        <w:t xml:space="preserve">adomes </w:t>
      </w:r>
      <w:r w:rsidR="00A16DF4" w:rsidRPr="008636F4">
        <w:t>rīcībā caur kriminālprocesu (</w:t>
      </w:r>
      <w:r w:rsidR="00015E0A">
        <w:rPr>
          <w:i/>
          <w:iCs/>
        </w:rPr>
        <w:t>Konkurences p</w:t>
      </w:r>
      <w:r w:rsidR="00015E0A" w:rsidRPr="008636F4">
        <w:rPr>
          <w:i/>
          <w:iCs/>
        </w:rPr>
        <w:t xml:space="preserve">adomes </w:t>
      </w:r>
      <w:r w:rsidR="00A16DF4" w:rsidRPr="008636F4">
        <w:rPr>
          <w:i/>
          <w:iCs/>
        </w:rPr>
        <w:t>2025.gada 17.oktobrī sniegto paskaidrojumu 16.punkts, lietas 54.sējuma 134.lp.</w:t>
      </w:r>
      <w:r w:rsidR="00A16DF4" w:rsidRPr="008636F4">
        <w:t>).</w:t>
      </w:r>
      <w:r w:rsidR="00A16DF4">
        <w:t xml:space="preserve"> </w:t>
      </w:r>
      <w:r w:rsidR="00B604BA">
        <w:t>Padomes uzskat</w:t>
      </w:r>
      <w:r w:rsidR="00904BF6">
        <w:t>s</w:t>
      </w:r>
      <w:r w:rsidR="00B604BA">
        <w:t xml:space="preserve">, ka </w:t>
      </w:r>
      <w:r w:rsidR="00904BF6">
        <w:t>konkrētajā</w:t>
      </w:r>
      <w:r w:rsidR="00B604BA">
        <w:t xml:space="preserve"> gadījumā </w:t>
      </w:r>
      <w:r w:rsidR="00B604BA" w:rsidRPr="003B5016">
        <w:t>pastāv</w:t>
      </w:r>
      <w:r w:rsidR="00B604BA">
        <w:t xml:space="preserve"> </w:t>
      </w:r>
      <w:r w:rsidR="00B604BA" w:rsidRPr="003B5016">
        <w:t>„kaskādes paredzamības” forma</w:t>
      </w:r>
      <w:r w:rsidR="00056259">
        <w:t xml:space="preserve">, ir </w:t>
      </w:r>
      <w:r w:rsidR="00E36A89">
        <w:t>kļūdains</w:t>
      </w:r>
      <w:r w:rsidR="00B604BA">
        <w:t>.</w:t>
      </w:r>
    </w:p>
    <w:p w14:paraId="70C44B6B" w14:textId="0E7DFB63" w:rsidR="00A16DF4" w:rsidRDefault="00A16DF4" w:rsidP="001F783F">
      <w:pPr>
        <w:spacing w:line="276" w:lineRule="auto"/>
        <w:ind w:firstLine="720"/>
        <w:jc w:val="both"/>
      </w:pPr>
      <w:r>
        <w:t xml:space="preserve">Tāpat kļūdaina ir tiesas pieeja, </w:t>
      </w:r>
      <w:r w:rsidR="0089605F">
        <w:t xml:space="preserve">spriedumā </w:t>
      </w:r>
      <w:r>
        <w:t xml:space="preserve">norādot, ka </w:t>
      </w:r>
      <w:r w:rsidRPr="00A16DF4">
        <w:t>izskatāmajā gadījumā nav pamata runāt par operatīvās darbības pasākumos iegūto ziņu tiešu pārnešanu uz administratīvo proces</w:t>
      </w:r>
      <w:r>
        <w:t xml:space="preserve">u, </w:t>
      </w:r>
      <w:r w:rsidR="0027323D">
        <w:t>jo</w:t>
      </w:r>
      <w:r w:rsidRPr="00A16DF4">
        <w:t xml:space="preserve"> </w:t>
      </w:r>
      <w:r w:rsidR="00015E0A">
        <w:t>Konkurences p</w:t>
      </w:r>
      <w:r w:rsidR="00015E0A" w:rsidRPr="00A16DF4">
        <w:t xml:space="preserve">adome </w:t>
      </w:r>
      <w:r w:rsidRPr="00A16DF4">
        <w:t>informāciju nav ieguvusi no operatīvās izstrādes lietas, bet gan no kriminālprocesa materiāliem</w:t>
      </w:r>
      <w:r>
        <w:t xml:space="preserve"> (</w:t>
      </w:r>
      <w:r w:rsidRPr="00A16DF4">
        <w:rPr>
          <w:i/>
          <w:iCs/>
        </w:rPr>
        <w:t>pārsūdzētā sprieduma 27.2.punkts</w:t>
      </w:r>
      <w:r>
        <w:t xml:space="preserve">). </w:t>
      </w:r>
      <w:r w:rsidR="002237E2">
        <w:t>Kā jau minēts iepriekš,</w:t>
      </w:r>
      <w:r w:rsidR="0089605F">
        <w:t xml:space="preserve"> operatīvās darbības pasākuma rezultātā iegūtā informācija nezaudē savu īpašo tiesisko statusu, ja tā tiek pievienota krimināl</w:t>
      </w:r>
      <w:r w:rsidR="00E36A89">
        <w:t>procesa</w:t>
      </w:r>
      <w:r w:rsidR="0089605F">
        <w:t xml:space="preserve"> materiāliem, un uz to izmantošanu joprojām attiecas Operatīvās darbības likumā noteiktais regulējums. Pretējā gadījumā tas būtu </w:t>
      </w:r>
      <w:r w:rsidR="002237E2">
        <w:t>veids</w:t>
      </w:r>
      <w:r w:rsidR="0089605F">
        <w:t xml:space="preserve">, </w:t>
      </w:r>
      <w:r w:rsidR="002237E2">
        <w:t>kā</w:t>
      </w:r>
      <w:r w:rsidR="0089605F">
        <w:t xml:space="preserve"> apiet </w:t>
      </w:r>
      <w:r w:rsidR="0089605F" w:rsidRPr="0089605F">
        <w:rPr>
          <w:i/>
          <w:iCs/>
        </w:rPr>
        <w:t>lex</w:t>
      </w:r>
      <w:r w:rsidR="00253240">
        <w:rPr>
          <w:i/>
          <w:iCs/>
        </w:rPr>
        <w:t> </w:t>
      </w:r>
      <w:r w:rsidR="0089605F" w:rsidRPr="0089605F">
        <w:rPr>
          <w:i/>
          <w:iCs/>
        </w:rPr>
        <w:t>specialis</w:t>
      </w:r>
      <w:r w:rsidR="0089605F">
        <w:rPr>
          <w:i/>
          <w:iCs/>
        </w:rPr>
        <w:t xml:space="preserve"> </w:t>
      </w:r>
      <w:r w:rsidR="0089605F" w:rsidRPr="0089605F">
        <w:t>noteiktos ierobežojumus.</w:t>
      </w:r>
    </w:p>
    <w:p w14:paraId="19C806B7" w14:textId="5CB2EE54" w:rsidR="002512E2" w:rsidRPr="0056409A" w:rsidRDefault="002512E2" w:rsidP="001F783F">
      <w:pPr>
        <w:pStyle w:val="CommentText"/>
        <w:spacing w:line="276" w:lineRule="auto"/>
        <w:ind w:firstLine="720"/>
        <w:jc w:val="both"/>
        <w:rPr>
          <w:rFonts w:asciiTheme="majorBidi" w:hAnsiTheme="majorBidi" w:cstheme="majorBidi"/>
          <w:color w:val="000000" w:themeColor="text1"/>
          <w:sz w:val="24"/>
          <w:szCs w:val="24"/>
        </w:rPr>
      </w:pPr>
    </w:p>
    <w:p w14:paraId="4BDCB5F9" w14:textId="5F207FA6" w:rsidR="00B46DF6" w:rsidRDefault="0094583E" w:rsidP="001F783F">
      <w:pPr>
        <w:spacing w:line="276" w:lineRule="auto"/>
        <w:ind w:firstLine="720"/>
        <w:jc w:val="both"/>
      </w:pPr>
      <w:r w:rsidRPr="0091016E">
        <w:t>[</w:t>
      </w:r>
      <w:r w:rsidR="00681863">
        <w:t>39</w:t>
      </w:r>
      <w:r w:rsidRPr="0091016E">
        <w:t>]</w:t>
      </w:r>
      <w:r w:rsidR="006338E6" w:rsidRPr="0091016E">
        <w:t> </w:t>
      </w:r>
      <w:r w:rsidR="0056409A">
        <w:t>A</w:t>
      </w:r>
      <w:r w:rsidR="00945D89">
        <w:t>pgabaltiesa</w:t>
      </w:r>
      <w:r w:rsidR="0056409A">
        <w:t xml:space="preserve"> </w:t>
      </w:r>
      <w:r w:rsidR="00FD447F">
        <w:t>atsau</w:t>
      </w:r>
      <w:r w:rsidR="00F1512E">
        <w:t>kusies</w:t>
      </w:r>
      <w:r w:rsidR="00FD447F">
        <w:t xml:space="preserve"> uz</w:t>
      </w:r>
      <w:r w:rsidR="00FD447F" w:rsidRPr="0091016E">
        <w:t xml:space="preserve"> Senāta spriedumiem lietās Nr. </w:t>
      </w:r>
      <w:hyperlink r:id="rId23" w:history="1">
        <w:r w:rsidR="00FD447F" w:rsidRPr="0091016E">
          <w:rPr>
            <w:rStyle w:val="Hyperlink"/>
            <w:rFonts w:asciiTheme="majorBidi" w:hAnsiTheme="majorBidi" w:cstheme="majorBidi"/>
          </w:rPr>
          <w:t>SKA</w:t>
        </w:r>
        <w:r w:rsidR="00FD447F" w:rsidRPr="0091016E">
          <w:rPr>
            <w:rStyle w:val="Hyperlink"/>
            <w:rFonts w:asciiTheme="majorBidi" w:hAnsiTheme="majorBidi" w:cstheme="majorBidi"/>
          </w:rPr>
          <w:noBreakHyphen/>
          <w:t>2/2020</w:t>
        </w:r>
      </w:hyperlink>
      <w:r w:rsidR="00FD447F" w:rsidRPr="0091016E">
        <w:rPr>
          <w:rFonts w:asciiTheme="majorBidi" w:hAnsiTheme="majorBidi" w:cstheme="majorBidi"/>
        </w:rPr>
        <w:t>, Nr. </w:t>
      </w:r>
      <w:hyperlink r:id="rId24" w:history="1">
        <w:r w:rsidR="00FD447F" w:rsidRPr="0091016E">
          <w:rPr>
            <w:rStyle w:val="Hyperlink"/>
            <w:rFonts w:asciiTheme="majorBidi" w:hAnsiTheme="majorBidi" w:cstheme="majorBidi"/>
          </w:rPr>
          <w:t>SKA</w:t>
        </w:r>
        <w:r w:rsidR="00FD447F" w:rsidRPr="0091016E">
          <w:rPr>
            <w:rStyle w:val="Hyperlink"/>
            <w:rFonts w:asciiTheme="majorBidi" w:hAnsiTheme="majorBidi" w:cstheme="majorBidi"/>
          </w:rPr>
          <w:noBreakHyphen/>
          <w:t>69/2013</w:t>
        </w:r>
      </w:hyperlink>
      <w:r w:rsidR="00FD447F" w:rsidRPr="0091016E">
        <w:rPr>
          <w:rFonts w:asciiTheme="majorBidi" w:hAnsiTheme="majorBidi" w:cstheme="majorBidi"/>
        </w:rPr>
        <w:t>, Nr. </w:t>
      </w:r>
      <w:hyperlink r:id="rId25" w:history="1">
        <w:r w:rsidR="00FD447F" w:rsidRPr="0091016E">
          <w:rPr>
            <w:rStyle w:val="Hyperlink"/>
            <w:rFonts w:asciiTheme="majorBidi" w:hAnsiTheme="majorBidi" w:cstheme="majorBidi"/>
          </w:rPr>
          <w:t>SKA</w:t>
        </w:r>
        <w:r w:rsidR="00FD447F" w:rsidRPr="0091016E">
          <w:rPr>
            <w:rStyle w:val="Hyperlink"/>
            <w:rFonts w:asciiTheme="majorBidi" w:hAnsiTheme="majorBidi" w:cstheme="majorBidi"/>
          </w:rPr>
          <w:noBreakHyphen/>
          <w:t>705/2008</w:t>
        </w:r>
      </w:hyperlink>
      <w:r w:rsidR="00FD447F" w:rsidRPr="0091016E">
        <w:rPr>
          <w:rFonts w:asciiTheme="majorBidi" w:hAnsiTheme="majorBidi" w:cstheme="majorBidi"/>
        </w:rPr>
        <w:t xml:space="preserve"> un Nr. </w:t>
      </w:r>
      <w:hyperlink r:id="rId26" w:history="1">
        <w:r w:rsidR="00FD447F" w:rsidRPr="0091016E">
          <w:rPr>
            <w:rStyle w:val="Hyperlink"/>
            <w:rFonts w:asciiTheme="majorBidi" w:hAnsiTheme="majorBidi" w:cstheme="majorBidi"/>
          </w:rPr>
          <w:t>SKA</w:t>
        </w:r>
        <w:r w:rsidR="00FD447F" w:rsidRPr="0091016E">
          <w:rPr>
            <w:rStyle w:val="Hyperlink"/>
            <w:rFonts w:asciiTheme="majorBidi" w:hAnsiTheme="majorBidi" w:cstheme="majorBidi"/>
          </w:rPr>
          <w:noBreakHyphen/>
          <w:t>369/2011</w:t>
        </w:r>
      </w:hyperlink>
      <w:r w:rsidR="0056409A">
        <w:t>, norādot, ka</w:t>
      </w:r>
      <w:r w:rsidR="0056409A" w:rsidRPr="0091016E">
        <w:t xml:space="preserve"> līdzšinējā </w:t>
      </w:r>
      <w:r w:rsidR="0056409A">
        <w:t xml:space="preserve">Senāta </w:t>
      </w:r>
      <w:r w:rsidR="0056409A" w:rsidRPr="0091016E">
        <w:t>judikatūra apstiprina kriminālprocesa materiālu nodošanas tiesiskumu</w:t>
      </w:r>
      <w:r w:rsidR="0056409A">
        <w:t>.</w:t>
      </w:r>
      <w:r w:rsidR="0056409A" w:rsidRPr="0091016E">
        <w:t xml:space="preserve"> </w:t>
      </w:r>
      <w:r w:rsidR="008256F2" w:rsidRPr="0091016E">
        <w:t>T</w:t>
      </w:r>
      <w:r w:rsidR="00FA1F0A">
        <w:t>omēr</w:t>
      </w:r>
      <w:r w:rsidR="008256F2" w:rsidRPr="0091016E">
        <w:t xml:space="preserve"> S</w:t>
      </w:r>
      <w:r w:rsidR="001E2E3C" w:rsidRPr="0091016E">
        <w:t xml:space="preserve">enāts </w:t>
      </w:r>
      <w:r w:rsidR="008256F2" w:rsidRPr="0091016E">
        <w:t>vērš uzmanību</w:t>
      </w:r>
      <w:r w:rsidR="001E2E3C" w:rsidRPr="0091016E">
        <w:t xml:space="preserve">, ka minētajā </w:t>
      </w:r>
      <w:r w:rsidR="00B46DF6" w:rsidRPr="0091016E">
        <w:t xml:space="preserve">judikatūrā ir izteiktas vispārīgas atziņas par iespēju administratīvajā procesā </w:t>
      </w:r>
      <w:r w:rsidR="0091016E">
        <w:t xml:space="preserve">izmantot no </w:t>
      </w:r>
      <w:r w:rsidR="00B46DF6" w:rsidRPr="0091016E">
        <w:t>kriminālproces</w:t>
      </w:r>
      <w:r w:rsidR="0091016E">
        <w:t>a</w:t>
      </w:r>
      <w:r w:rsidR="0091016E" w:rsidRPr="0091016E">
        <w:t xml:space="preserve"> </w:t>
      </w:r>
      <w:r w:rsidR="0091016E">
        <w:t xml:space="preserve">iegūtu </w:t>
      </w:r>
      <w:r w:rsidR="0091016E" w:rsidRPr="0091016E">
        <w:t>informāciju</w:t>
      </w:r>
      <w:r w:rsidR="00B46DF6" w:rsidRPr="0091016E">
        <w:t xml:space="preserve">. Lai arī pareiza </w:t>
      </w:r>
      <w:r w:rsidR="0091016E" w:rsidRPr="0091016E">
        <w:t xml:space="preserve">ir </w:t>
      </w:r>
      <w:r w:rsidR="00B46DF6" w:rsidRPr="0091016E">
        <w:t>norāde, ka Kriminālprocesa likuma 375.pants neierobežo kriminālprocesā iegūtas informācijas izmantošanu administratīvajā lietā, tomēr jāņem vērā, ka konkrētajā gadījumā runa ir par tādiem kriminālprocesa materiāliem, uz kuriem attiecas speciāl</w:t>
      </w:r>
      <w:r w:rsidR="00FA1F0A">
        <w:t>ai</w:t>
      </w:r>
      <w:r w:rsidR="00B46DF6" w:rsidRPr="0091016E">
        <w:t xml:space="preserve">s regulējums. </w:t>
      </w:r>
      <w:r w:rsidR="0091016E">
        <w:t>Jāatzīmē, ka</w:t>
      </w:r>
      <w:r w:rsidR="00B46DF6" w:rsidRPr="0091016E">
        <w:t xml:space="preserve"> visos</w:t>
      </w:r>
      <w:r w:rsidR="00FA1F0A">
        <w:t xml:space="preserve"> šajos Senāta spriedumos</w:t>
      </w:r>
      <w:r w:rsidR="00B46DF6">
        <w:t>, uz kuriem</w:t>
      </w:r>
      <w:r w:rsidR="0091016E">
        <w:t xml:space="preserve"> </w:t>
      </w:r>
      <w:r w:rsidR="00B46DF6">
        <w:t xml:space="preserve">ir atsaukusies apgabaltiesa, </w:t>
      </w:r>
      <w:r w:rsidR="00B46DF6" w:rsidRPr="00A95B8D">
        <w:t>ir konstatējama ievērojami atšķirīga faktiskā situācija un</w:t>
      </w:r>
      <w:r w:rsidR="00B46DF6">
        <w:t xml:space="preserve"> </w:t>
      </w:r>
      <w:r w:rsidR="00B46DF6" w:rsidRPr="00A95B8D">
        <w:t>tiesiskie apstākļi, kas</w:t>
      </w:r>
      <w:r w:rsidR="0091016E">
        <w:t xml:space="preserve"> tādējādi</w:t>
      </w:r>
      <w:r w:rsidR="00B46DF6" w:rsidRPr="00A95B8D">
        <w:t xml:space="preserve"> liedz </w:t>
      </w:r>
      <w:r w:rsidR="00B46DF6">
        <w:t xml:space="preserve">minētajos </w:t>
      </w:r>
      <w:r w:rsidR="00B46DF6" w:rsidRPr="00A95B8D">
        <w:t>Senāta</w:t>
      </w:r>
      <w:r w:rsidR="00B46DF6">
        <w:t xml:space="preserve"> spriedumos</w:t>
      </w:r>
      <w:r w:rsidR="00B46DF6" w:rsidRPr="00A95B8D">
        <w:t xml:space="preserve"> izteiktās atziņas attiecināt uz izskatāmo lietu.</w:t>
      </w:r>
      <w:r w:rsidR="00B46DF6">
        <w:t xml:space="preserve"> Arī spriedumā l</w:t>
      </w:r>
      <w:r w:rsidR="00B46DF6" w:rsidRPr="00D151EE">
        <w:t>ietā Nr. SKA</w:t>
      </w:r>
      <w:r w:rsidR="00B46DF6" w:rsidRPr="00D151EE">
        <w:noBreakHyphen/>
        <w:t>69/2013</w:t>
      </w:r>
      <w:r w:rsidR="00B46DF6">
        <w:t xml:space="preserve"> </w:t>
      </w:r>
      <w:r w:rsidR="0091016E">
        <w:t xml:space="preserve">tiešā tekstā ir </w:t>
      </w:r>
      <w:r w:rsidR="00B46DF6">
        <w:t xml:space="preserve">norādīts, ka </w:t>
      </w:r>
      <w:r w:rsidR="00B46DF6" w:rsidRPr="00D151EE">
        <w:t>Operatīvās darbības likuma piemērošana šajā lietā nav apskatāma, jo ar tiesas lēmumu no pierādījumu kopuma izslēgti operatīvās sarunu noklausīšanās ceļā iegūtie pierādījumi</w:t>
      </w:r>
      <w:r w:rsidR="00B46DF6">
        <w:t xml:space="preserve"> </w:t>
      </w:r>
      <w:r w:rsidR="00B46DF6" w:rsidRPr="00D151EE">
        <w:t>(</w:t>
      </w:r>
      <w:r w:rsidR="00B46DF6" w:rsidRPr="00D151EE">
        <w:rPr>
          <w:i/>
          <w:iCs/>
        </w:rPr>
        <w:t>Senāta 2013.gada 28.janvāra sprieduma lietā Nr. </w:t>
      </w:r>
      <w:r w:rsidR="00B46DF6" w:rsidRPr="00D97401">
        <w:rPr>
          <w:i/>
          <w:iCs/>
        </w:rPr>
        <w:t>SKA</w:t>
      </w:r>
      <w:r w:rsidR="00B46DF6" w:rsidRPr="00D97401">
        <w:rPr>
          <w:i/>
          <w:iCs/>
        </w:rPr>
        <w:noBreakHyphen/>
        <w:t>69/2013</w:t>
      </w:r>
      <w:r w:rsidR="00B46DF6" w:rsidRPr="00D151EE">
        <w:rPr>
          <w:i/>
          <w:iCs/>
        </w:rPr>
        <w:t xml:space="preserve">, </w:t>
      </w:r>
      <w:r w:rsidR="0042789E" w:rsidRPr="00EE2E4C">
        <w:rPr>
          <w:i/>
          <w:iCs/>
        </w:rPr>
        <w:t>A42388207</w:t>
      </w:r>
      <w:r w:rsidR="00B46DF6" w:rsidRPr="00D151EE">
        <w:rPr>
          <w:i/>
          <w:iCs/>
        </w:rPr>
        <w:t>, 7.punkts</w:t>
      </w:r>
      <w:r w:rsidR="00B46DF6" w:rsidRPr="00D151EE">
        <w:t>)</w:t>
      </w:r>
      <w:r w:rsidR="0091016E">
        <w:t>.</w:t>
      </w:r>
      <w:r w:rsidR="00B46DF6">
        <w:t xml:space="preserve"> Līdz ar to apgabaltiesas aplūkotā</w:t>
      </w:r>
      <w:r w:rsidR="00B46DF6" w:rsidRPr="00A95B8D">
        <w:t xml:space="preserve"> </w:t>
      </w:r>
      <w:r w:rsidR="00B46DF6">
        <w:t xml:space="preserve">Senāta </w:t>
      </w:r>
      <w:r w:rsidR="00B46DF6" w:rsidRPr="00A95B8D">
        <w:t>judikatūra nesniedz atbildi uz šīs lietas centrālo tiesību jautājumu, proti, vai operatīvās darbības rezultātā iegūt</w:t>
      </w:r>
      <w:r w:rsidR="00B46DF6">
        <w:t>o</w:t>
      </w:r>
      <w:r w:rsidR="00B46DF6" w:rsidRPr="00A95B8D">
        <w:t xml:space="preserve"> informāciju</w:t>
      </w:r>
      <w:r w:rsidR="00B46DF6">
        <w:t xml:space="preserve">, kas pievienota </w:t>
      </w:r>
      <w:r w:rsidR="009F52D2">
        <w:t>kriminālprocesa</w:t>
      </w:r>
      <w:r w:rsidR="00B46DF6">
        <w:t xml:space="preserve"> materiāliem,</w:t>
      </w:r>
      <w:r w:rsidR="00B46DF6" w:rsidRPr="00A95B8D">
        <w:t xml:space="preserve"> drīkst </w:t>
      </w:r>
      <w:r w:rsidR="00945D89">
        <w:t>nodot izmantošanai, lai risinātu</w:t>
      </w:r>
      <w:r w:rsidR="00B46DF6" w:rsidRPr="00A95B8D">
        <w:t xml:space="preserve"> administratīvi tiesisk</w:t>
      </w:r>
      <w:r w:rsidR="008622E2">
        <w:t>u</w:t>
      </w:r>
      <w:r w:rsidR="00B46DF6" w:rsidRPr="00A95B8D">
        <w:t xml:space="preserve"> strīd</w:t>
      </w:r>
      <w:r w:rsidR="00945D89">
        <w:t>u</w:t>
      </w:r>
      <w:r w:rsidR="00B46DF6" w:rsidRPr="00A95B8D">
        <w:t>. Līdz ar</w:t>
      </w:r>
      <w:r w:rsidR="001652DD">
        <w:t xml:space="preserve"> </w:t>
      </w:r>
      <w:r w:rsidR="008622E2">
        <w:t xml:space="preserve">to </w:t>
      </w:r>
      <w:r w:rsidR="00A36DE6">
        <w:t xml:space="preserve">gan </w:t>
      </w:r>
      <w:r w:rsidR="001652DD">
        <w:t>tiesa</w:t>
      </w:r>
      <w:r w:rsidR="0056409A">
        <w:t xml:space="preserve">, </w:t>
      </w:r>
      <w:r w:rsidR="00A36DE6">
        <w:t>gan</w:t>
      </w:r>
      <w:r w:rsidR="0056409A">
        <w:t xml:space="preserve"> </w:t>
      </w:r>
      <w:r w:rsidR="001652DD">
        <w:t xml:space="preserve">arī </w:t>
      </w:r>
      <w:r w:rsidR="00A36DE6">
        <w:t xml:space="preserve">Konkurences padome ir </w:t>
      </w:r>
      <w:r w:rsidR="00B46DF6" w:rsidRPr="00A95B8D">
        <w:t xml:space="preserve">kļūdaini </w:t>
      </w:r>
      <w:r w:rsidR="001652DD">
        <w:t>iztulkojusi</w:t>
      </w:r>
      <w:r w:rsidR="00B46DF6" w:rsidRPr="00A95B8D">
        <w:t xml:space="preserve"> Senāta </w:t>
      </w:r>
      <w:r w:rsidR="001652DD">
        <w:t xml:space="preserve">līdzšinējo </w:t>
      </w:r>
      <w:r w:rsidR="00B46DF6" w:rsidRPr="00A95B8D">
        <w:t>judikatūru.</w:t>
      </w:r>
    </w:p>
    <w:p w14:paraId="21557C05" w14:textId="77777777" w:rsidR="00D151EE" w:rsidRDefault="00D151EE" w:rsidP="001F783F">
      <w:pPr>
        <w:spacing w:line="276" w:lineRule="auto"/>
        <w:ind w:firstLine="720"/>
        <w:jc w:val="both"/>
      </w:pPr>
    </w:p>
    <w:p w14:paraId="3DE566A9" w14:textId="243053A7" w:rsidR="00B4699B" w:rsidRDefault="00B4699B" w:rsidP="001F783F">
      <w:pPr>
        <w:spacing w:line="276" w:lineRule="auto"/>
        <w:ind w:firstLine="720"/>
        <w:jc w:val="both"/>
      </w:pPr>
      <w:r w:rsidRPr="00CB25AD">
        <w:t>[</w:t>
      </w:r>
      <w:r w:rsidR="00433DB9">
        <w:t>4</w:t>
      </w:r>
      <w:r w:rsidR="00681863">
        <w:t>0</w:t>
      </w:r>
      <w:r w:rsidRPr="00CB25AD">
        <w:t>] </w:t>
      </w:r>
      <w:r w:rsidR="00CE5590">
        <w:t>Konkurences p</w:t>
      </w:r>
      <w:r w:rsidRPr="00CB25AD">
        <w:t>adome atsaucas uz Konkurences likuma 6.panta pirmās daļas 1.punktu, 11.panta pirmo</w:t>
      </w:r>
      <w:r>
        <w:t xml:space="preserve"> daļu un LESD 101.pantu, norādot, ka minētās tiesību normas noteic </w:t>
      </w:r>
      <w:r w:rsidR="00A21B8D">
        <w:t xml:space="preserve">padomes </w:t>
      </w:r>
      <w:r>
        <w:t xml:space="preserve">kompetenci uzraudzīt, kā tiek ievērots tirgus dalībnieku dominējošā stāvokļa ļaunprātīgas izmantošanas un vienošanās aizliegums, </w:t>
      </w:r>
      <w:r w:rsidRPr="00104BEC">
        <w:t xml:space="preserve">kas noteikts </w:t>
      </w:r>
      <w:r>
        <w:t>Konkurences</w:t>
      </w:r>
      <w:r w:rsidRPr="00104BEC">
        <w:t xml:space="preserve"> likumā, citos normatīvajos aktos un starptautiskajos līgumos</w:t>
      </w:r>
      <w:r>
        <w:t>; kā arī pašas normas, kas definē aizliegtas vienošanās.</w:t>
      </w:r>
      <w:r w:rsidR="00FA1F0A">
        <w:t xml:space="preserve"> </w:t>
      </w:r>
      <w:r w:rsidR="00200AE3">
        <w:t xml:space="preserve">Tāpat </w:t>
      </w:r>
      <w:r w:rsidR="00A36DE6">
        <w:t xml:space="preserve">Konkurences </w:t>
      </w:r>
      <w:r w:rsidR="00A21B8D">
        <w:t xml:space="preserve">padome </w:t>
      </w:r>
      <w:r>
        <w:t xml:space="preserve">atsaucas uz Konkurences likuma 26.panta pirmo daļu un Administratīvā procesa likuma 59.pantu, kas noteic </w:t>
      </w:r>
      <w:r w:rsidR="00A21B8D">
        <w:t xml:space="preserve">padomes </w:t>
      </w:r>
      <w:r>
        <w:t>tiesības veikt lietu izpēti, tostarp iegūt tai nepieciešamo informāciju.</w:t>
      </w:r>
    </w:p>
    <w:p w14:paraId="24A02E6C" w14:textId="4ACFDFB7" w:rsidR="00B4699B" w:rsidRDefault="00B4699B" w:rsidP="001F783F">
      <w:pPr>
        <w:spacing w:line="276" w:lineRule="auto"/>
        <w:ind w:firstLine="720"/>
        <w:jc w:val="both"/>
      </w:pPr>
      <w:r w:rsidRPr="00710CF8">
        <w:t xml:space="preserve">Senāts neapšauba </w:t>
      </w:r>
      <w:r w:rsidR="00A21B8D">
        <w:t>Konkurences p</w:t>
      </w:r>
      <w:r w:rsidR="00A21B8D" w:rsidRPr="00710CF8">
        <w:t xml:space="preserve">adomes </w:t>
      </w:r>
      <w:r w:rsidRPr="00710CF8">
        <w:t xml:space="preserve">kompetenci un </w:t>
      </w:r>
      <w:r w:rsidRPr="00355012">
        <w:t xml:space="preserve">pilnvaras izmeklēt konkurences tiesību pārkāpumus, tomēr norāda, ka šīs pilnvaras īstenojamas, </w:t>
      </w:r>
      <w:r w:rsidRPr="004D3E95">
        <w:t xml:space="preserve">izmantojot Konkurences likuma 9.pantā </w:t>
      </w:r>
      <w:r w:rsidR="0042789E">
        <w:t>p</w:t>
      </w:r>
      <w:r w:rsidR="0042789E" w:rsidRPr="004D3E95">
        <w:t xml:space="preserve">adomei </w:t>
      </w:r>
      <w:r w:rsidR="00FA1F0A">
        <w:t>paredzētos</w:t>
      </w:r>
      <w:r w:rsidR="00200AE3">
        <w:t xml:space="preserve"> izmeklēšanas</w:t>
      </w:r>
      <w:r w:rsidRPr="004D3E95">
        <w:t xml:space="preserve"> </w:t>
      </w:r>
      <w:r w:rsidRPr="007E10F8">
        <w:t>līdzekļus.</w:t>
      </w:r>
      <w:r w:rsidR="00F14969" w:rsidRPr="007E10F8">
        <w:t xml:space="preserve"> </w:t>
      </w:r>
      <w:r w:rsidR="001652DD">
        <w:t>K</w:t>
      </w:r>
      <w:r w:rsidR="007E10F8" w:rsidRPr="007E10F8">
        <w:t xml:space="preserve">onkrētajā gadījumā </w:t>
      </w:r>
      <w:r w:rsidR="00A21B8D">
        <w:rPr>
          <w:rFonts w:asciiTheme="majorBidi" w:hAnsiTheme="majorBidi" w:cstheme="majorBidi"/>
          <w:lang w:eastAsia="lv-LV"/>
        </w:rPr>
        <w:t>p</w:t>
      </w:r>
      <w:r w:rsidR="00A21B8D" w:rsidRPr="007E10F8">
        <w:rPr>
          <w:rFonts w:asciiTheme="majorBidi" w:hAnsiTheme="majorBidi" w:cstheme="majorBidi"/>
          <w:lang w:eastAsia="lv-LV"/>
        </w:rPr>
        <w:t xml:space="preserve">adome </w:t>
      </w:r>
      <w:r w:rsidR="001652DD">
        <w:rPr>
          <w:rFonts w:asciiTheme="majorBidi" w:hAnsiTheme="majorBidi" w:cstheme="majorBidi"/>
          <w:lang w:eastAsia="lv-LV"/>
        </w:rPr>
        <w:t xml:space="preserve">arī </w:t>
      </w:r>
      <w:r w:rsidR="00F14969" w:rsidRPr="007E10F8">
        <w:rPr>
          <w:rFonts w:asciiTheme="majorBidi" w:hAnsiTheme="majorBidi" w:cstheme="majorBidi"/>
          <w:lang w:eastAsia="lv-LV"/>
        </w:rPr>
        <w:t>veica izmeklēšanu</w:t>
      </w:r>
      <w:r w:rsidR="007E10F8" w:rsidRPr="007E10F8">
        <w:rPr>
          <w:rFonts w:asciiTheme="majorBidi" w:hAnsiTheme="majorBidi" w:cstheme="majorBidi"/>
          <w:lang w:eastAsia="lv-LV"/>
        </w:rPr>
        <w:t>.</w:t>
      </w:r>
      <w:r w:rsidR="00036DB7" w:rsidRPr="007E10F8">
        <w:rPr>
          <w:rFonts w:asciiTheme="majorBidi" w:hAnsiTheme="majorBidi" w:cstheme="majorBidi"/>
          <w:lang w:eastAsia="lv-LV"/>
        </w:rPr>
        <w:t xml:space="preserve"> </w:t>
      </w:r>
      <w:r w:rsidR="00433DB9" w:rsidRPr="007E10F8">
        <w:t>Taču</w:t>
      </w:r>
      <w:r w:rsidRPr="007E10F8">
        <w:t xml:space="preserve"> no Konkurences likuma 26.panta pirmās daļas un Administratīvā procesa likuma 59.panta, kas ir </w:t>
      </w:r>
      <w:r w:rsidRPr="007E10F8">
        <w:rPr>
          <w:i/>
          <w:iCs/>
        </w:rPr>
        <w:t>lex</w:t>
      </w:r>
      <w:r w:rsidR="00036DB7" w:rsidRPr="007E10F8">
        <w:rPr>
          <w:i/>
          <w:iCs/>
        </w:rPr>
        <w:t> </w:t>
      </w:r>
      <w:r w:rsidRPr="007E10F8">
        <w:rPr>
          <w:i/>
          <w:iCs/>
        </w:rPr>
        <w:t>generalis</w:t>
      </w:r>
      <w:r w:rsidRPr="007E10F8">
        <w:t xml:space="preserve"> attiecībā pret Operatīvās darbības likuma regulējumu, neizriet, ka </w:t>
      </w:r>
      <w:r w:rsidR="00A21B8D">
        <w:t>Konkurences p</w:t>
      </w:r>
      <w:r w:rsidR="00A21B8D" w:rsidRPr="007E10F8">
        <w:t xml:space="preserve">adomei </w:t>
      </w:r>
      <w:r w:rsidRPr="007E10F8">
        <w:t>būtu ti</w:t>
      </w:r>
      <w:r w:rsidRPr="00710CF8">
        <w:t>esības konkurences tiesību pārkāpumu izmeklēšan</w:t>
      </w:r>
      <w:r>
        <w:t>ā</w:t>
      </w:r>
      <w:r w:rsidRPr="00710CF8">
        <w:t xml:space="preserve"> iegūt </w:t>
      </w:r>
      <w:r>
        <w:t>un izmantot o</w:t>
      </w:r>
      <w:r w:rsidRPr="00710CF8">
        <w:t>peratīvās darbības pasākum</w:t>
      </w:r>
      <w:r w:rsidR="007C6999">
        <w:t>u</w:t>
      </w:r>
      <w:r w:rsidRPr="00710CF8">
        <w:t xml:space="preserve"> ietvaros </w:t>
      </w:r>
      <w:r>
        <w:t>iegūto</w:t>
      </w:r>
      <w:r w:rsidRPr="00710CF8">
        <w:t xml:space="preserve"> informāciju. </w:t>
      </w:r>
      <w:r>
        <w:t>Pretēja tiesību normu</w:t>
      </w:r>
      <w:r w:rsidRPr="00710CF8">
        <w:t xml:space="preserve"> interpretācija</w:t>
      </w:r>
      <w:r>
        <w:t xml:space="preserve"> </w:t>
      </w:r>
      <w:r w:rsidR="0078229A">
        <w:t xml:space="preserve">nonāktu </w:t>
      </w:r>
      <w:r>
        <w:t>pretrunā ar Operatīvās darbības likuma 2.panta otro daļu un</w:t>
      </w:r>
      <w:r w:rsidRPr="00710CF8">
        <w:t xml:space="preserve"> </w:t>
      </w:r>
      <w:r>
        <w:t>neatbilstu</w:t>
      </w:r>
      <w:r w:rsidRPr="00710CF8">
        <w:t xml:space="preserve"> likuma paredzamības prasīb</w:t>
      </w:r>
      <w:r>
        <w:t>ai</w:t>
      </w:r>
      <w:r w:rsidRPr="00710CF8">
        <w:t>.</w:t>
      </w:r>
      <w:r w:rsidR="001652DD" w:rsidRPr="001652DD">
        <w:t xml:space="preserve"> </w:t>
      </w:r>
      <w:r w:rsidR="0078229A">
        <w:t xml:space="preserve">Citiem vārdiem, šādu datu nodošanai </w:t>
      </w:r>
      <w:r w:rsidR="001652DD">
        <w:t>jābūt likumā</w:t>
      </w:r>
      <w:r w:rsidR="00F3268A" w:rsidRPr="00F3268A">
        <w:t xml:space="preserve"> </w:t>
      </w:r>
      <w:r w:rsidR="00F3268A">
        <w:t>skaidri noteiktai.</w:t>
      </w:r>
    </w:p>
    <w:p w14:paraId="624D2A45" w14:textId="77777777" w:rsidR="00291350" w:rsidRDefault="00291350" w:rsidP="001F783F">
      <w:pPr>
        <w:spacing w:line="276" w:lineRule="auto"/>
        <w:ind w:firstLine="720"/>
        <w:jc w:val="both"/>
      </w:pPr>
    </w:p>
    <w:p w14:paraId="0C0D2C08" w14:textId="0F65B7D8" w:rsidR="00754DCF" w:rsidRPr="00966C86" w:rsidRDefault="00754DCF" w:rsidP="001F783F">
      <w:pPr>
        <w:spacing w:line="276" w:lineRule="auto"/>
        <w:ind w:firstLine="720"/>
        <w:jc w:val="both"/>
      </w:pPr>
      <w:r>
        <w:t>[</w:t>
      </w:r>
      <w:r w:rsidR="00433DB9">
        <w:t>4</w:t>
      </w:r>
      <w:r w:rsidR="00681863">
        <w:t>1</w:t>
      </w:r>
      <w:r>
        <w:t>] </w:t>
      </w:r>
      <w:r w:rsidR="00B05B72">
        <w:t xml:space="preserve">Konkurences padomes </w:t>
      </w:r>
      <w:r w:rsidR="00ED71FC">
        <w:t xml:space="preserve">vērtējumā </w:t>
      </w:r>
      <w:r>
        <w:t>„likuma skaidrīb</w:t>
      </w:r>
      <w:r w:rsidR="00966C86">
        <w:t>a</w:t>
      </w:r>
      <w:r>
        <w:t>”</w:t>
      </w:r>
      <w:r w:rsidR="00114362">
        <w:t xml:space="preserve"> </w:t>
      </w:r>
      <w:r w:rsidR="00966C86">
        <w:t>izriet no</w:t>
      </w:r>
      <w:r w:rsidR="00CB25AD">
        <w:t xml:space="preserve"> fakt</w:t>
      </w:r>
      <w:r w:rsidR="00966C86">
        <w:t>a</w:t>
      </w:r>
      <w:r>
        <w:t xml:space="preserve">, ka paši sarunu dalībnieki apzinājās savu aizliegto darbību atbilstību Konkurences likuma 11.panta pirmajā daļā un LESD 101.panta 1.punktā noteiktajam vienošanās aizliegumam, jo apzināti slēpuši savas darbības. </w:t>
      </w:r>
      <w:r w:rsidR="00CB25AD">
        <w:t>Par to</w:t>
      </w:r>
      <w:r w:rsidR="00AF1BC4">
        <w:t xml:space="preserve"> </w:t>
      </w:r>
      <w:r w:rsidR="00B05B72">
        <w:t xml:space="preserve">padomes </w:t>
      </w:r>
      <w:r w:rsidR="00ED71FC">
        <w:t>ieskatā</w:t>
      </w:r>
      <w:r w:rsidR="00CB25AD">
        <w:t xml:space="preserve"> liecina</w:t>
      </w:r>
      <w:r>
        <w:t xml:space="preserve"> </w:t>
      </w:r>
      <w:r w:rsidR="00CB25AD">
        <w:t xml:space="preserve">notikušās </w:t>
      </w:r>
      <w:r>
        <w:t>daudzkārtējās sarunas,</w:t>
      </w:r>
      <w:r w:rsidR="00CB25AD">
        <w:t xml:space="preserve"> kurās citstarp apspriests, </w:t>
      </w:r>
      <w:r>
        <w:t>ka sarunu saturs un attiecīgi vienošanās ir slēpjama, ka nedrīkst par to stāstīt citām nepiederošām personām</w:t>
      </w:r>
      <w:r w:rsidR="00CB25AD">
        <w:t xml:space="preserve"> un</w:t>
      </w:r>
      <w:r>
        <w:t xml:space="preserve"> ka mobilie </w:t>
      </w:r>
      <w:r w:rsidRPr="00966C86">
        <w:t>telefoni ir atstājami ārpus karteļa vienošanās dalībnieku slepeno sarunu telpas.</w:t>
      </w:r>
    </w:p>
    <w:p w14:paraId="705ED8A4" w14:textId="45FDEF28" w:rsidR="00754DCF" w:rsidRPr="00966C86" w:rsidRDefault="00754DCF" w:rsidP="001F783F">
      <w:pPr>
        <w:spacing w:line="276" w:lineRule="auto"/>
        <w:ind w:firstLine="720"/>
        <w:jc w:val="both"/>
      </w:pPr>
      <w:r w:rsidRPr="00966C86">
        <w:t xml:space="preserve">Senāts </w:t>
      </w:r>
      <w:r w:rsidR="0078229A">
        <w:t>norāda</w:t>
      </w:r>
      <w:r w:rsidRPr="00966C86">
        <w:t xml:space="preserve">, </w:t>
      </w:r>
      <w:r w:rsidR="00966C86" w:rsidRPr="00966C86">
        <w:t xml:space="preserve">ka </w:t>
      </w:r>
      <w:r w:rsidR="00114362">
        <w:t xml:space="preserve">šādi </w:t>
      </w:r>
      <w:r w:rsidR="00923662">
        <w:t>apsvērumi</w:t>
      </w:r>
      <w:r w:rsidRPr="00966C86">
        <w:t xml:space="preserve"> nekād</w:t>
      </w:r>
      <w:r w:rsidR="00F3268A">
        <w:t>ā mērā</w:t>
      </w:r>
      <w:r w:rsidRPr="00966C86">
        <w:t xml:space="preserve"> neietekmē</w:t>
      </w:r>
      <w:r w:rsidR="0078229A">
        <w:t xml:space="preserve"> jau</w:t>
      </w:r>
      <w:r w:rsidRPr="00966C86">
        <w:t xml:space="preserve"> </w:t>
      </w:r>
      <w:r w:rsidR="00966C86" w:rsidRPr="00966C86">
        <w:t xml:space="preserve">iepriekš </w:t>
      </w:r>
      <w:r w:rsidR="0078229A">
        <w:t xml:space="preserve">konstatēto </w:t>
      </w:r>
      <w:r w:rsidR="00AF1BC4">
        <w:t xml:space="preserve">trūkumu </w:t>
      </w:r>
      <w:r w:rsidR="0078229A">
        <w:t xml:space="preserve">attiecībā uz </w:t>
      </w:r>
      <w:r w:rsidR="00AF1BC4">
        <w:t>likuma kvalitāti</w:t>
      </w:r>
      <w:r w:rsidRPr="00966C86">
        <w:t>.</w:t>
      </w:r>
    </w:p>
    <w:p w14:paraId="5E618F9D" w14:textId="4E6DEBD8" w:rsidR="00F3268A" w:rsidRDefault="00AF1BC4" w:rsidP="001F783F">
      <w:pPr>
        <w:spacing w:line="276" w:lineRule="auto"/>
        <w:ind w:firstLine="720"/>
        <w:jc w:val="both"/>
      </w:pPr>
      <w:r>
        <w:t>Šajā kontekstā</w:t>
      </w:r>
      <w:r w:rsidR="0078229A">
        <w:t xml:space="preserve"> jāatgādina </w:t>
      </w:r>
      <w:r w:rsidR="00754DCF" w:rsidRPr="00966C86">
        <w:t>Eiropas Savienības</w:t>
      </w:r>
      <w:r w:rsidR="00754DCF">
        <w:t xml:space="preserve"> Tiesa</w:t>
      </w:r>
      <w:r w:rsidR="0078229A">
        <w:t>s</w:t>
      </w:r>
      <w:r w:rsidR="00754DCF">
        <w:t xml:space="preserve"> </w:t>
      </w:r>
      <w:r w:rsidR="0078229A">
        <w:t>atzītais</w:t>
      </w:r>
      <w:r w:rsidR="007C6999">
        <w:t xml:space="preserve"> –</w:t>
      </w:r>
      <w:r w:rsidR="00754DCF">
        <w:t xml:space="preserve"> t</w:t>
      </w:r>
      <w:r w:rsidR="00754DCF" w:rsidRPr="00FA1856">
        <w:t>ā kā aizliegums piedalīties konkurenci ierobežojošās vienošanās un ar to saistītie sodi ir labi zināmi, ir ierasti, ka šādas darbības un vienošanās tiek veiktas slepeni</w:t>
      </w:r>
      <w:r>
        <w:t>:</w:t>
      </w:r>
      <w:r w:rsidR="00754DCF" w:rsidRPr="00FA1856">
        <w:t xml:space="preserve"> sanāksmes notiek slepenībā, visbiežāk kādā trešā (ārpus ES) valstī, un ar tām saistītā dokumentācija tiek samazināta līdz minimumam.</w:t>
      </w:r>
      <w:r w:rsidR="00754DCF">
        <w:t xml:space="preserve"> </w:t>
      </w:r>
      <w:r w:rsidR="00754DCF" w:rsidRPr="00FA1856">
        <w:t>Pat ja Komisijai izdodas iegūt pierādījumus, kas skaidri norāda uz nelikumīgu kontaktu starp tirgotājiem, piemēram, sanāksmes protokolus, tie parasti būs tikai fragmentāri un nepilnīgi, tāpēc bieži nepieciešams noteiktas detaļas izsecināt pēc loģiskiem pieņēmumiem.</w:t>
      </w:r>
      <w:r w:rsidR="00754DCF">
        <w:t xml:space="preserve"> </w:t>
      </w:r>
      <w:r w:rsidR="00754DCF" w:rsidRPr="00FA1856">
        <w:t xml:space="preserve">Vairumā gadījumu konkurenci ierobežojošas prakses vai vienošanās esību jāizdara, pamatojoties uz vairāku sakritību un pazīmju kopumu, kas kopumā, ja nav cita ticama izskaidrojuma, var tikt uzskatīts par pierādījumu konkurences noteikumu pārkāpumam. Saskaņā ar pastāvīgo judikatūru Komisijai ir pietiekami pierādīt, ka attiecīgais uzņēmums ir piedalījies sanāksmēs, kurās tika noslēgtas konkurenci ierobežojošas vienošanās, un nav pret tām skaidri iebildis, lai atbilstoši nepieciešamajam pierādīšanas standartam tiktu </w:t>
      </w:r>
      <w:r w:rsidR="00754DCF" w:rsidRPr="0078229A">
        <w:t>konstatēta šī uzņēmuma dalība kartelī (</w:t>
      </w:r>
      <w:r w:rsidR="00754DCF" w:rsidRPr="0078229A">
        <w:rPr>
          <w:i/>
          <w:iCs/>
        </w:rPr>
        <w:t xml:space="preserve">Eiropas Savienības Tiesas 2004.gada 7.janvāra sprieduma lietā „Aalborg Portland u.c./Komisija”, </w:t>
      </w:r>
      <w:r w:rsidR="00754DCF" w:rsidRPr="00D51B80">
        <w:rPr>
          <w:i/>
          <w:iCs/>
        </w:rPr>
        <w:t>C-204/00 P</w:t>
      </w:r>
      <w:r w:rsidR="00754DCF" w:rsidRPr="0078229A">
        <w:rPr>
          <w:i/>
          <w:iCs/>
        </w:rPr>
        <w:t xml:space="preserve">, </w:t>
      </w:r>
      <w:hyperlink r:id="rId27" w:history="1">
        <w:r w:rsidR="00754DCF" w:rsidRPr="00D51B80">
          <w:rPr>
            <w:rStyle w:val="Hyperlink"/>
            <w:i/>
            <w:iCs/>
          </w:rPr>
          <w:t>ECLI:EU:C:2004:6</w:t>
        </w:r>
      </w:hyperlink>
      <w:r w:rsidR="00754DCF" w:rsidRPr="0078229A">
        <w:rPr>
          <w:i/>
          <w:iCs/>
        </w:rPr>
        <w:t xml:space="preserve">, 55.–57., 81.punkts; </w:t>
      </w:r>
      <w:r w:rsidR="00E3597A" w:rsidRPr="0078229A">
        <w:rPr>
          <w:i/>
          <w:iCs/>
        </w:rPr>
        <w:t xml:space="preserve">Eiropas Savienības Vispārējās tiesas </w:t>
      </w:r>
      <w:r w:rsidR="00754DCF" w:rsidRPr="0078229A">
        <w:rPr>
          <w:i/>
          <w:iCs/>
        </w:rPr>
        <w:t xml:space="preserve">2008.gada 8.jūlija sprieduma lietā „BPB/Komisija”, </w:t>
      </w:r>
      <w:r w:rsidR="00754DCF" w:rsidRPr="00D51B80">
        <w:rPr>
          <w:i/>
          <w:iCs/>
        </w:rPr>
        <w:t>T-53/03</w:t>
      </w:r>
      <w:r w:rsidR="00754DCF" w:rsidRPr="0078229A">
        <w:rPr>
          <w:i/>
          <w:iCs/>
        </w:rPr>
        <w:t xml:space="preserve">, </w:t>
      </w:r>
      <w:hyperlink r:id="rId28" w:history="1">
        <w:r w:rsidR="00754DCF" w:rsidRPr="00D51B80">
          <w:rPr>
            <w:rStyle w:val="Hyperlink"/>
            <w:i/>
            <w:iCs/>
          </w:rPr>
          <w:t>ECLI:EU:T:2008:254</w:t>
        </w:r>
      </w:hyperlink>
      <w:r w:rsidR="00754DCF" w:rsidRPr="0078229A">
        <w:rPr>
          <w:i/>
          <w:iCs/>
        </w:rPr>
        <w:t>, 63.punkts</w:t>
      </w:r>
      <w:r w:rsidR="00754DCF" w:rsidRPr="0078229A">
        <w:t>).</w:t>
      </w:r>
      <w:r w:rsidR="00114362" w:rsidRPr="0078229A">
        <w:t xml:space="preserve"> </w:t>
      </w:r>
      <w:r>
        <w:t>Tāpat K</w:t>
      </w:r>
      <w:r w:rsidR="004A33E0" w:rsidRPr="00CB38E1">
        <w:t xml:space="preserve">opienas tiesībās nepastāv princips, kas liegtu Komisijai balstīties uz vienu vienīgu pierādījumu, lai secinātu, ka ir pārkāpts </w:t>
      </w:r>
      <w:r w:rsidR="00CB38E1" w:rsidRPr="00CB38E1">
        <w:t>[Eiropas Kopienas dibināšanas] l</w:t>
      </w:r>
      <w:r w:rsidR="004A33E0" w:rsidRPr="00CB38E1">
        <w:t>īguma 85.panta 1.punkts, ja vien</w:t>
      </w:r>
      <w:r w:rsidR="004A33E0" w:rsidRPr="0078229A">
        <w:t xml:space="preserve"> šī pierādījuma spēks ir neapšaubāms un pats pierādījums skaidri apliecina attiecīgā pārkāpuma esību</w:t>
      </w:r>
      <w:r w:rsidR="00114362" w:rsidRPr="0078229A">
        <w:t xml:space="preserve"> </w:t>
      </w:r>
      <w:r w:rsidR="004A33E0" w:rsidRPr="0078229A">
        <w:t>(</w:t>
      </w:r>
      <w:r w:rsidR="004A33E0" w:rsidRPr="0078229A">
        <w:rPr>
          <w:i/>
          <w:iCs/>
        </w:rPr>
        <w:t>Eiropas Savienības</w:t>
      </w:r>
      <w:r w:rsidR="00E3597A" w:rsidRPr="0078229A">
        <w:rPr>
          <w:i/>
          <w:iCs/>
        </w:rPr>
        <w:t xml:space="preserve"> Vispārējās</w:t>
      </w:r>
      <w:r w:rsidR="004A33E0" w:rsidRPr="0078229A">
        <w:rPr>
          <w:i/>
          <w:iCs/>
        </w:rPr>
        <w:t xml:space="preserve"> </w:t>
      </w:r>
      <w:r w:rsidR="00E3597A" w:rsidRPr="0078229A">
        <w:rPr>
          <w:i/>
          <w:iCs/>
        </w:rPr>
        <w:t>t</w:t>
      </w:r>
      <w:r w:rsidR="004A33E0" w:rsidRPr="0078229A">
        <w:rPr>
          <w:i/>
          <w:iCs/>
        </w:rPr>
        <w:t xml:space="preserve">iesas 2000.gada 15.marta sprieduma lietā „Cimenteries CBR/Komisija”, </w:t>
      </w:r>
      <w:r w:rsidR="004A33E0" w:rsidRPr="00D51B80">
        <w:rPr>
          <w:i/>
          <w:iCs/>
        </w:rPr>
        <w:t>T-25/95</w:t>
      </w:r>
      <w:r w:rsidR="004A33E0" w:rsidRPr="0078229A">
        <w:rPr>
          <w:i/>
          <w:iCs/>
        </w:rPr>
        <w:t xml:space="preserve">, </w:t>
      </w:r>
      <w:hyperlink r:id="rId29" w:history="1">
        <w:r w:rsidR="004A33E0" w:rsidRPr="00D51B80">
          <w:rPr>
            <w:rStyle w:val="Hyperlink"/>
            <w:i/>
            <w:iCs/>
          </w:rPr>
          <w:t>ECLI:EU:T:2000:77</w:t>
        </w:r>
      </w:hyperlink>
      <w:r w:rsidR="004A33E0" w:rsidRPr="0078229A">
        <w:rPr>
          <w:i/>
          <w:iCs/>
        </w:rPr>
        <w:t>,</w:t>
      </w:r>
      <w:r w:rsidR="004A33E0" w:rsidRPr="0078229A">
        <w:rPr>
          <w:b/>
          <w:bCs/>
        </w:rPr>
        <w:t xml:space="preserve"> </w:t>
      </w:r>
      <w:r w:rsidR="004A33E0" w:rsidRPr="0078229A">
        <w:rPr>
          <w:i/>
          <w:iCs/>
        </w:rPr>
        <w:t>1838.punkts</w:t>
      </w:r>
      <w:r w:rsidR="00E7299C" w:rsidRPr="0078229A">
        <w:rPr>
          <w:i/>
          <w:iCs/>
        </w:rPr>
        <w:t xml:space="preserve">; </w:t>
      </w:r>
      <w:r w:rsidR="00E7299C" w:rsidRPr="0078229A">
        <w:t>sk. arī</w:t>
      </w:r>
      <w:r w:rsidR="00E7299C" w:rsidRPr="0078229A">
        <w:rPr>
          <w:i/>
          <w:iCs/>
        </w:rPr>
        <w:t xml:space="preserve"> Scordamaglia</w:t>
      </w:r>
      <w:r w:rsidR="00E7299C" w:rsidRPr="0078229A">
        <w:rPr>
          <w:i/>
          <w:iCs/>
        </w:rPr>
        <w:noBreakHyphen/>
        <w:t>Tousis A. EU Cartel Enforcement</w:t>
      </w:r>
      <w:r w:rsidR="00605647" w:rsidRPr="0078229A">
        <w:rPr>
          <w:i/>
          <w:iCs/>
        </w:rPr>
        <w:t>:</w:t>
      </w:r>
      <w:r w:rsidR="00E7299C" w:rsidRPr="0078229A">
        <w:rPr>
          <w:i/>
          <w:iCs/>
        </w:rPr>
        <w:t xml:space="preserve"> Reconciling Effective Public Enforcement with Fundamental Rights. </w:t>
      </w:r>
      <w:r w:rsidR="00E7299C" w:rsidRPr="0078229A">
        <w:rPr>
          <w:i/>
          <w:iCs/>
          <w:lang w:val="en-GB"/>
        </w:rPr>
        <w:t>Chapter 6: The Rules of Evidence in EU Cartel Proceedings. The Netherlands: Kluwer Law International</w:t>
      </w:r>
      <w:r w:rsidR="00E7299C" w:rsidRPr="0078229A">
        <w:rPr>
          <w:i/>
          <w:iCs/>
        </w:rPr>
        <w:t>, 2013, p</w:t>
      </w:r>
      <w:r w:rsidR="00B05B72">
        <w:rPr>
          <w:i/>
          <w:iCs/>
        </w:rPr>
        <w:t>p</w:t>
      </w:r>
      <w:r w:rsidR="00E7299C" w:rsidRPr="0078229A">
        <w:rPr>
          <w:i/>
          <w:iCs/>
        </w:rPr>
        <w:t>. 265, 296</w:t>
      </w:r>
      <w:r w:rsidR="00AF0E0E">
        <w:rPr>
          <w:i/>
          <w:iCs/>
        </w:rPr>
        <w:t>, 297</w:t>
      </w:r>
      <w:r w:rsidR="00E3597A" w:rsidRPr="0078229A">
        <w:t>).</w:t>
      </w:r>
    </w:p>
    <w:p w14:paraId="66EDC8B1" w14:textId="77777777" w:rsidR="00ED71FC" w:rsidRPr="0078229A" w:rsidRDefault="00ED71FC" w:rsidP="001F783F">
      <w:pPr>
        <w:spacing w:line="276" w:lineRule="auto"/>
        <w:ind w:firstLine="720"/>
        <w:jc w:val="both"/>
      </w:pPr>
    </w:p>
    <w:p w14:paraId="00A2BC58" w14:textId="589E1C83" w:rsidR="000E5843" w:rsidRDefault="000638D1" w:rsidP="001F783F">
      <w:pPr>
        <w:spacing w:line="276" w:lineRule="auto"/>
        <w:ind w:firstLine="720"/>
        <w:jc w:val="both"/>
      </w:pPr>
      <w:r>
        <w:t>[</w:t>
      </w:r>
      <w:r w:rsidR="004C0A5F">
        <w:t>4</w:t>
      </w:r>
      <w:r w:rsidR="00681863">
        <w:t>2</w:t>
      </w:r>
      <w:r>
        <w:t>]</w:t>
      </w:r>
      <w:r w:rsidR="006338E6">
        <w:t> </w:t>
      </w:r>
      <w:r w:rsidR="00AF1BC4">
        <w:t>Rezumējot</w:t>
      </w:r>
      <w:r w:rsidR="00ED71FC">
        <w:t xml:space="preserve"> </w:t>
      </w:r>
      <w:r w:rsidR="0078229A">
        <w:t xml:space="preserve">visu </w:t>
      </w:r>
      <w:r w:rsidR="00ED71FC">
        <w:t xml:space="preserve">iepriekš </w:t>
      </w:r>
      <w:r w:rsidR="00E3597A">
        <w:t>teikto</w:t>
      </w:r>
      <w:r w:rsidR="00752379">
        <w:t>, Senā</w:t>
      </w:r>
      <w:r w:rsidR="00AF1BC4">
        <w:t>t</w:t>
      </w:r>
      <w:r w:rsidR="00F3268A">
        <w:t>s atzīst</w:t>
      </w:r>
      <w:r w:rsidR="00752379">
        <w:t>, ka</w:t>
      </w:r>
      <w:r w:rsidR="00F3268A">
        <w:t xml:space="preserve"> </w:t>
      </w:r>
      <w:r w:rsidR="00AF1BC4">
        <w:t>aplūkotais</w:t>
      </w:r>
      <w:r w:rsidR="00752379">
        <w:t xml:space="preserve"> </w:t>
      </w:r>
      <w:r w:rsidR="00691517">
        <w:t>tiesiskais regulējums</w:t>
      </w:r>
      <w:r w:rsidR="00D904CB">
        <w:t xml:space="preserve"> </w:t>
      </w:r>
      <w:r w:rsidR="00923662">
        <w:t>neatbilst likuma kvalitātes prasībai</w:t>
      </w:r>
      <w:r w:rsidR="009D2EDC">
        <w:t xml:space="preserve"> tādā </w:t>
      </w:r>
      <w:r w:rsidR="00D904CB">
        <w:t>nozīmē</w:t>
      </w:r>
      <w:r w:rsidR="009D2EDC">
        <w:t>, kād</w:t>
      </w:r>
      <w:r w:rsidR="00D904CB">
        <w:t>u to</w:t>
      </w:r>
      <w:r w:rsidR="0038393A" w:rsidRPr="0038393A">
        <w:t xml:space="preserve"> </w:t>
      </w:r>
      <w:r w:rsidR="0038393A">
        <w:t>noteikusi</w:t>
      </w:r>
      <w:r w:rsidR="0038393A" w:rsidRPr="0038393A">
        <w:t xml:space="preserve"> </w:t>
      </w:r>
      <w:r w:rsidR="0038393A" w:rsidRPr="009D2EDC">
        <w:t>Eiropas Cilvēktiesību tiesa</w:t>
      </w:r>
      <w:r w:rsidR="002A002F">
        <w:t xml:space="preserve">, </w:t>
      </w:r>
      <w:r w:rsidR="00F3268A">
        <w:t>interpretējot Konvencijas 8.pantu</w:t>
      </w:r>
      <w:r w:rsidR="00D904CB" w:rsidRPr="009D2EDC">
        <w:t>.</w:t>
      </w:r>
      <w:r w:rsidR="00923662">
        <w:t xml:space="preserve"> Proti, tiesiskajā regulējumā nav noteikts skaidrs pamats</w:t>
      </w:r>
      <w:r w:rsidR="0038393A">
        <w:t xml:space="preserve"> tam</w:t>
      </w:r>
      <w:r w:rsidR="00923662">
        <w:t>, kas ļautu operatīvās darbības rezultātā iegūto</w:t>
      </w:r>
      <w:r w:rsidR="00D904CB">
        <w:t xml:space="preserve"> informāciju </w:t>
      </w:r>
      <w:r w:rsidR="00923662">
        <w:t xml:space="preserve">nodot </w:t>
      </w:r>
      <w:r w:rsidR="00370D9B">
        <w:t>Konkurences p</w:t>
      </w:r>
      <w:r w:rsidR="00923662">
        <w:t>adomei</w:t>
      </w:r>
      <w:r w:rsidR="00D904CB">
        <w:t xml:space="preserve"> </w:t>
      </w:r>
      <w:r w:rsidR="00D958F1">
        <w:t xml:space="preserve">izmantošanai </w:t>
      </w:r>
      <w:r w:rsidR="00923662">
        <w:t>administratīv</w:t>
      </w:r>
      <w:r w:rsidR="00D958F1">
        <w:t>ajā procesā</w:t>
      </w:r>
      <w:r w:rsidR="00923662">
        <w:t xml:space="preserve">. </w:t>
      </w:r>
      <w:r w:rsidR="007F285E">
        <w:t xml:space="preserve">No </w:t>
      </w:r>
      <w:r w:rsidR="00923662">
        <w:t>Operatīvās darbības likuma 2.panta otrā</w:t>
      </w:r>
      <w:r w:rsidR="007F285E">
        <w:t>s</w:t>
      </w:r>
      <w:r w:rsidR="00923662">
        <w:t xml:space="preserve"> daļa</w:t>
      </w:r>
      <w:r w:rsidR="007F285E">
        <w:t>s izriet</w:t>
      </w:r>
      <w:r w:rsidR="00D904CB">
        <w:t xml:space="preserve"> </w:t>
      </w:r>
      <w:r w:rsidR="00AF1BC4">
        <w:t xml:space="preserve">pat </w:t>
      </w:r>
      <w:r w:rsidR="00D904CB">
        <w:t>skaid</w:t>
      </w:r>
      <w:r w:rsidR="007F285E">
        <w:t xml:space="preserve">rs aizliegums izmantot </w:t>
      </w:r>
      <w:r w:rsidR="00923662">
        <w:t>o</w:t>
      </w:r>
      <w:r w:rsidR="00923662" w:rsidRPr="00923662">
        <w:t>peratīvās darbības pasākum</w:t>
      </w:r>
      <w:r w:rsidR="007F285E">
        <w:t>us</w:t>
      </w:r>
      <w:r w:rsidR="00923662" w:rsidRPr="00923662">
        <w:t xml:space="preserve"> cit</w:t>
      </w:r>
      <w:r w:rsidR="007F285E">
        <w:t>u</w:t>
      </w:r>
      <w:r w:rsidR="00691517">
        <w:t xml:space="preserve"> </w:t>
      </w:r>
      <w:r w:rsidR="00691517" w:rsidRPr="007F285E">
        <w:t>–</w:t>
      </w:r>
      <w:r w:rsidR="00D904CB" w:rsidRPr="007F285E">
        <w:t xml:space="preserve"> Operatīvās darbības likumā neminēt</w:t>
      </w:r>
      <w:r w:rsidR="007F285E" w:rsidRPr="007F285E">
        <w:t>u</w:t>
      </w:r>
      <w:r w:rsidR="00691517" w:rsidRPr="007F285E">
        <w:t xml:space="preserve"> –</w:t>
      </w:r>
      <w:r w:rsidR="00923662" w:rsidRPr="00923662">
        <w:t xml:space="preserve"> uzdevumu un mērķu īstenošanai.</w:t>
      </w:r>
      <w:r w:rsidR="00923662">
        <w:t xml:space="preserve"> </w:t>
      </w:r>
      <w:r w:rsidR="00D904CB">
        <w:t xml:space="preserve">Tas nozīmē, ka </w:t>
      </w:r>
      <w:r w:rsidR="00923662">
        <w:t>p</w:t>
      </w:r>
      <w:r w:rsidR="00390133">
        <w:t xml:space="preserve">ersonām nav un nevar </w:t>
      </w:r>
      <w:r w:rsidR="000B4A25">
        <w:t>būt</w:t>
      </w:r>
      <w:r w:rsidR="00390133">
        <w:t xml:space="preserve"> </w:t>
      </w:r>
      <w:r w:rsidR="00B05B72">
        <w:t xml:space="preserve">pamata </w:t>
      </w:r>
      <w:r w:rsidR="00D904CB">
        <w:t>paredzēt</w:t>
      </w:r>
      <w:r w:rsidR="00390133">
        <w:t>, ka operatīvās darbības pasākum</w:t>
      </w:r>
      <w:r w:rsidR="00B93D14">
        <w:t xml:space="preserve">os </w:t>
      </w:r>
      <w:r w:rsidR="00390133">
        <w:t>iegūtā</w:t>
      </w:r>
      <w:r w:rsidR="00D904CB">
        <w:t xml:space="preserve"> informācija </w:t>
      </w:r>
      <w:r w:rsidR="00390133">
        <w:t>var tikt nodot</w:t>
      </w:r>
      <w:r w:rsidR="00D904CB">
        <w:t xml:space="preserve">a </w:t>
      </w:r>
      <w:r w:rsidR="00390133">
        <w:t>un izmantot</w:t>
      </w:r>
      <w:r w:rsidR="00D904CB">
        <w:t>a</w:t>
      </w:r>
      <w:r w:rsidR="00390133">
        <w:t xml:space="preserve"> administratīv</w:t>
      </w:r>
      <w:r w:rsidR="00EE2E4C">
        <w:t>ajā</w:t>
      </w:r>
      <w:r w:rsidR="00390133">
        <w:t xml:space="preserve"> </w:t>
      </w:r>
      <w:r w:rsidR="00D958F1">
        <w:t xml:space="preserve">procesā, lai pierādītu </w:t>
      </w:r>
      <w:r w:rsidR="000B4A25">
        <w:t>karteļa vienošan</w:t>
      </w:r>
      <w:r w:rsidR="00D958F1">
        <w:t>o</w:t>
      </w:r>
      <w:r w:rsidR="000B4A25">
        <w:t>s</w:t>
      </w:r>
      <w:r w:rsidR="00390133">
        <w:t>.</w:t>
      </w:r>
      <w:r w:rsidR="002A29F5">
        <w:t xml:space="preserve"> </w:t>
      </w:r>
      <w:r w:rsidR="00D45F89">
        <w:t xml:space="preserve">Tādējādi operatīvās darbības rezultātā iegūtās informācijas nodošana Konkurences padomei </w:t>
      </w:r>
      <w:r w:rsidR="00D958F1">
        <w:t>konkrētajā gadījumā</w:t>
      </w:r>
      <w:r w:rsidR="00D45F89">
        <w:t xml:space="preserve"> </w:t>
      </w:r>
      <w:r w:rsidR="005E6BCA">
        <w:t xml:space="preserve">neatbilst </w:t>
      </w:r>
      <w:r w:rsidR="005E6BCA" w:rsidRPr="00ED71FC">
        <w:t>Konvencijas 8.pant</w:t>
      </w:r>
      <w:r w:rsidR="005E6BCA">
        <w:t xml:space="preserve">am, </w:t>
      </w:r>
      <w:r w:rsidR="00AF1BC4">
        <w:t>kā</w:t>
      </w:r>
      <w:r w:rsidR="005E6BCA">
        <w:t xml:space="preserve"> arī </w:t>
      </w:r>
      <w:r w:rsidR="005E6BCA" w:rsidRPr="00ED71FC">
        <w:t>Hartas 7.pant</w:t>
      </w:r>
      <w:r w:rsidR="005E6BCA">
        <w:t>am</w:t>
      </w:r>
      <w:r w:rsidR="005E6BCA" w:rsidRPr="00ED71FC">
        <w:t xml:space="preserve"> un Satversmes 96.pant</w:t>
      </w:r>
      <w:r w:rsidR="005E6BCA">
        <w:t>am</w:t>
      </w:r>
      <w:r w:rsidR="005E6BCA" w:rsidRPr="00ED71FC">
        <w:t>.</w:t>
      </w:r>
      <w:r w:rsidR="00816AD7">
        <w:t xml:space="preserve"> </w:t>
      </w:r>
      <w:r w:rsidR="00763874" w:rsidRPr="00ED71FC">
        <w:t xml:space="preserve">Senāts </w:t>
      </w:r>
      <w:r w:rsidR="00763874">
        <w:t>neredz</w:t>
      </w:r>
      <w:r w:rsidR="00763874" w:rsidRPr="00ED71FC">
        <w:t xml:space="preserve"> </w:t>
      </w:r>
      <w:r w:rsidR="00763874">
        <w:t xml:space="preserve">citus </w:t>
      </w:r>
      <w:r w:rsidR="00763874" w:rsidRPr="00ED71FC">
        <w:t xml:space="preserve">iemeslus, </w:t>
      </w:r>
      <w:r w:rsidR="00763874">
        <w:t>kas liktu</w:t>
      </w:r>
      <w:r w:rsidR="00763874" w:rsidRPr="00ED71FC">
        <w:t xml:space="preserve"> šajā </w:t>
      </w:r>
      <w:r w:rsidR="00763874">
        <w:t>jautājumā</w:t>
      </w:r>
      <w:r w:rsidR="00763874" w:rsidRPr="00ED71FC">
        <w:t xml:space="preserve"> nonākt pie </w:t>
      </w:r>
      <w:r w:rsidR="00763874">
        <w:t>atšķirīga</w:t>
      </w:r>
      <w:r w:rsidR="00763874" w:rsidRPr="00ED71FC">
        <w:t xml:space="preserve"> secinājuma.</w:t>
      </w:r>
    </w:p>
    <w:p w14:paraId="14FB129A" w14:textId="1EA9AF33" w:rsidR="005E6BCA" w:rsidRDefault="005E6BCA" w:rsidP="001F783F">
      <w:pPr>
        <w:spacing w:line="276" w:lineRule="auto"/>
        <w:ind w:firstLine="720"/>
        <w:jc w:val="both"/>
      </w:pPr>
      <w:r>
        <w:t>Ievērojot minēto,</w:t>
      </w:r>
      <w:r w:rsidR="000B4A25">
        <w:t xml:space="preserve"> </w:t>
      </w:r>
      <w:r w:rsidR="002A29F5">
        <w:t>Senāt</w:t>
      </w:r>
      <w:r w:rsidR="00752379">
        <w:t xml:space="preserve">s nesaskata </w:t>
      </w:r>
      <w:r w:rsidR="002E460D">
        <w:t>nepieciešamību</w:t>
      </w:r>
      <w:r w:rsidR="00D45F89">
        <w:t xml:space="preserve"> vēl</w:t>
      </w:r>
      <w:r w:rsidR="002E460D">
        <w:t xml:space="preserve"> vērtēt to</w:t>
      </w:r>
      <w:r w:rsidR="002A29F5" w:rsidRPr="00690CFC">
        <w:t>, vai iejaukšanās</w:t>
      </w:r>
      <w:r w:rsidR="00D904CB">
        <w:t xml:space="preserve"> person</w:t>
      </w:r>
      <w:r w:rsidR="002E460D">
        <w:t>u</w:t>
      </w:r>
      <w:r w:rsidR="00D904CB">
        <w:t xml:space="preserve"> pamattiesībās</w:t>
      </w:r>
      <w:r w:rsidR="002A29F5" w:rsidRPr="00690CFC">
        <w:t xml:space="preserve"> </w:t>
      </w:r>
      <w:r w:rsidR="000B4A25">
        <w:t>bija</w:t>
      </w:r>
      <w:r w:rsidR="002A29F5" w:rsidRPr="00690CFC">
        <w:t xml:space="preserve"> „nepieciešama demokrātiskā sabiedrībā”</w:t>
      </w:r>
      <w:r w:rsidR="0027151A">
        <w:t xml:space="preserve"> jeb vērtēt iejaukšanās samērīgumu</w:t>
      </w:r>
      <w:r w:rsidR="002A29F5" w:rsidRPr="00690CFC">
        <w:t>.</w:t>
      </w:r>
    </w:p>
    <w:p w14:paraId="08FA9A74" w14:textId="77777777" w:rsidR="005E6BCA" w:rsidRDefault="005E6BCA" w:rsidP="001F783F">
      <w:pPr>
        <w:spacing w:line="276" w:lineRule="auto"/>
        <w:ind w:firstLine="720"/>
        <w:jc w:val="both"/>
      </w:pPr>
    </w:p>
    <w:p w14:paraId="6CD93C10" w14:textId="2F4F6CE1" w:rsidR="005E6BCA" w:rsidRDefault="005E6BCA" w:rsidP="001F783F">
      <w:pPr>
        <w:spacing w:line="276" w:lineRule="auto"/>
        <w:ind w:firstLine="720"/>
        <w:jc w:val="both"/>
      </w:pPr>
      <w:r w:rsidRPr="00ED71FC">
        <w:t>[4</w:t>
      </w:r>
      <w:r w:rsidR="00681863">
        <w:t>3</w:t>
      </w:r>
      <w:r w:rsidRPr="00ED71FC">
        <w:t>]</w:t>
      </w:r>
      <w:r>
        <w:t> </w:t>
      </w:r>
      <w:r w:rsidRPr="00ED71FC">
        <w:t xml:space="preserve">Tā kā apgabaltiesa ir kļūdaini interpretējusi tiesību normas, kā rezultātā nepamatoti no pierādījuma kopuma </w:t>
      </w:r>
      <w:r w:rsidR="00094C01" w:rsidRPr="00A36DE6">
        <w:t>nav</w:t>
      </w:r>
      <w:r w:rsidR="00094C01" w:rsidRPr="00ED71FC">
        <w:t xml:space="preserve"> izslēgusi </w:t>
      </w:r>
      <w:r w:rsidRPr="00ED71FC">
        <w:t xml:space="preserve">sarunu audioierakstu atšifrējumus, turklāt vēl </w:t>
      </w:r>
      <w:r>
        <w:t xml:space="preserve">pati </w:t>
      </w:r>
      <w:r w:rsidR="0074410E">
        <w:t xml:space="preserve">ir </w:t>
      </w:r>
      <w:r w:rsidR="00AF1BC4">
        <w:t>ieguvusi</w:t>
      </w:r>
      <w:r w:rsidRPr="00935CEF">
        <w:t xml:space="preserve"> sarunu audioierakstus </w:t>
      </w:r>
      <w:r>
        <w:t xml:space="preserve">un ar tiem pamatojusi spriedumu, </w:t>
      </w:r>
      <w:r w:rsidR="00094C01">
        <w:t>un tā kā minētā kļūda var</w:t>
      </w:r>
      <w:r w:rsidR="00F1512E">
        <w:t>ēja</w:t>
      </w:r>
      <w:r w:rsidR="00094C01">
        <w:t xml:space="preserve"> ietekmēt iznākumu lietā,</w:t>
      </w:r>
      <w:r w:rsidR="00094C01" w:rsidRPr="00935CEF">
        <w:t xml:space="preserve"> </w:t>
      </w:r>
      <w:r w:rsidRPr="00935CEF">
        <w:t>Senāts atzīst, ka tas ir patstāvīgs pamats apgabaltiesas sprieduma atcelšanai.</w:t>
      </w:r>
    </w:p>
    <w:p w14:paraId="32806B0C" w14:textId="485362F5" w:rsidR="00AB7026" w:rsidRDefault="00CB38E1" w:rsidP="001F783F">
      <w:pPr>
        <w:spacing w:line="276" w:lineRule="auto"/>
        <w:ind w:firstLine="720"/>
        <w:jc w:val="both"/>
      </w:pPr>
      <w:r w:rsidRPr="00935CEF">
        <w:t>Tā kā pārsūdzētais spriedums ir atceļams, Senāt</w:t>
      </w:r>
      <w:r>
        <w:t>s</w:t>
      </w:r>
      <w:r w:rsidR="00AF1BC4">
        <w:t xml:space="preserve"> procesuālās ekonomijas nolūkā</w:t>
      </w:r>
      <w:r>
        <w:t xml:space="preserve"> nesaskata pamatu </w:t>
      </w:r>
      <w:r w:rsidRPr="00935CEF">
        <w:t>pievērsties citu kasācijas sūdzībās minēto argumentu izvērtēšanai, jo t</w:t>
      </w:r>
      <w:r>
        <w:t>ie</w:t>
      </w:r>
      <w:r w:rsidR="00AF1BC4">
        <w:t xml:space="preserve"> tāpat</w:t>
      </w:r>
      <w:r>
        <w:t xml:space="preserve"> </w:t>
      </w:r>
      <w:r w:rsidRPr="00935CEF">
        <w:t>nevar mainīt kasācijas tiesvedības rezultātu.</w:t>
      </w:r>
    </w:p>
    <w:p w14:paraId="02A9AF99" w14:textId="7ADF188D" w:rsidR="00B82D3D" w:rsidRDefault="00094C01" w:rsidP="001F783F">
      <w:pPr>
        <w:spacing w:line="276" w:lineRule="auto"/>
        <w:ind w:firstLine="720"/>
        <w:jc w:val="both"/>
      </w:pPr>
      <w:r>
        <w:t>Ap</w:t>
      </w:r>
      <w:r w:rsidR="00AB7026" w:rsidRPr="00935CEF">
        <w:t xml:space="preserve">gabaltiesai, atkārtoti izskatot lietu pēc būtības, jānovērtē, vai, izslēdzot no pierādījumu kopuma sarunu audioierakstus un to atšifrējumus, </w:t>
      </w:r>
      <w:r w:rsidR="00AB7026">
        <w:t>citi</w:t>
      </w:r>
      <w:r w:rsidR="00AB7026" w:rsidRPr="00935CEF">
        <w:t xml:space="preserve"> lietā esošie pierādījumi pamato pārsūdzētā lēmuma tiesiskumu</w:t>
      </w:r>
      <w:r w:rsidR="00AB7026">
        <w:t>.</w:t>
      </w:r>
      <w:r w:rsidR="00253941">
        <w:t xml:space="preserve"> </w:t>
      </w:r>
      <w:r w:rsidR="00AB7026">
        <w:t>Tiesai</w:t>
      </w:r>
      <w:r>
        <w:t xml:space="preserve"> ne tikai</w:t>
      </w:r>
      <w:r w:rsidR="00AB7026">
        <w:t xml:space="preserve"> </w:t>
      </w:r>
      <w:r w:rsidR="00AB7026" w:rsidRPr="00935CEF">
        <w:t xml:space="preserve">rūpīgi </w:t>
      </w:r>
      <w:r w:rsidR="00AB7026">
        <w:t>jāizvērtē</w:t>
      </w:r>
      <w:r w:rsidR="00AB7026" w:rsidRPr="00935CEF">
        <w:t xml:space="preserve"> un </w:t>
      </w:r>
      <w:r w:rsidR="00AB7026">
        <w:t>jāsniedz</w:t>
      </w:r>
      <w:r w:rsidR="00AB7026" w:rsidRPr="00935CEF">
        <w:t xml:space="preserve"> pamatotas atbildes </w:t>
      </w:r>
      <w:r w:rsidR="00AB7026">
        <w:t xml:space="preserve">uz </w:t>
      </w:r>
      <w:r w:rsidR="00AB7026" w:rsidRPr="00935CEF">
        <w:t>pieteicēju norādītajiem iebildumiem</w:t>
      </w:r>
      <w:r w:rsidR="00AB7026">
        <w:t>,</w:t>
      </w:r>
      <w:r w:rsidR="00AB7026" w:rsidRPr="00AB7026">
        <w:t xml:space="preserve"> </w:t>
      </w:r>
      <w:r w:rsidR="00AB7026" w:rsidRPr="00935CEF">
        <w:t xml:space="preserve">kas </w:t>
      </w:r>
      <w:r w:rsidR="00AB7026">
        <w:t xml:space="preserve">ir </w:t>
      </w:r>
      <w:r w:rsidR="00AB7026" w:rsidRPr="00935CEF">
        <w:t xml:space="preserve">būtiski lietas </w:t>
      </w:r>
      <w:r w:rsidR="00AB7026">
        <w:t xml:space="preserve">pareizā </w:t>
      </w:r>
      <w:r w:rsidR="00AB7026" w:rsidRPr="00935CEF">
        <w:t>izspriešanā</w:t>
      </w:r>
      <w:r>
        <w:t xml:space="preserve">, bet arī </w:t>
      </w:r>
      <w:r w:rsidR="00856403">
        <w:t>rūpīgi</w:t>
      </w:r>
      <w:r w:rsidR="00856403" w:rsidRPr="00935CEF">
        <w:t xml:space="preserve"> </w:t>
      </w:r>
      <w:r w:rsidR="00856403">
        <w:t>jānovērtē</w:t>
      </w:r>
      <w:r>
        <w:t xml:space="preserve"> </w:t>
      </w:r>
      <w:r w:rsidR="00856403">
        <w:t>izteikt</w:t>
      </w:r>
      <w:r>
        <w:t>o</w:t>
      </w:r>
      <w:r w:rsidR="00856403">
        <w:t xml:space="preserve"> </w:t>
      </w:r>
      <w:r w:rsidR="00856403" w:rsidRPr="00935CEF">
        <w:t>lūgum</w:t>
      </w:r>
      <w:r>
        <w:t>u</w:t>
      </w:r>
      <w:r w:rsidR="009D79A5">
        <w:t xml:space="preserve"> </w:t>
      </w:r>
      <w:r>
        <w:t xml:space="preserve">pamatotība </w:t>
      </w:r>
      <w:r w:rsidR="00856403">
        <w:t xml:space="preserve">par </w:t>
      </w:r>
      <w:r w:rsidR="00856403" w:rsidRPr="00935CEF">
        <w:t>vēr</w:t>
      </w:r>
      <w:r w:rsidR="00856403">
        <w:t>šanos</w:t>
      </w:r>
      <w:r w:rsidR="00856403" w:rsidRPr="00935CEF">
        <w:t xml:space="preserve"> </w:t>
      </w:r>
      <w:r w:rsidR="009D79A5" w:rsidRPr="00935CEF">
        <w:t xml:space="preserve">ar prejudiciālajiem </w:t>
      </w:r>
      <w:r w:rsidR="009D79A5" w:rsidRPr="00EC215F">
        <w:t>jautājumiem</w:t>
      </w:r>
      <w:r w:rsidR="009D79A5" w:rsidRPr="00935CEF">
        <w:t xml:space="preserve"> </w:t>
      </w:r>
      <w:r w:rsidR="00856403" w:rsidRPr="00935CEF">
        <w:t>Eiropas Savienības Ties</w:t>
      </w:r>
      <w:r w:rsidR="00B82D3D">
        <w:t>ā</w:t>
      </w:r>
      <w:r w:rsidR="002A002F">
        <w:t xml:space="preserve">. Šajā tiesvedības posmā Senāts nesaskata </w:t>
      </w:r>
      <w:r w:rsidR="005353F9">
        <w:t xml:space="preserve">par </w:t>
      </w:r>
      <w:r w:rsidR="002A002F">
        <w:t>nepieciešamu vērtēt šos kasatoru lūgumus.</w:t>
      </w:r>
    </w:p>
    <w:p w14:paraId="004C4C25" w14:textId="77777777" w:rsidR="00CC12DB" w:rsidRDefault="00CC12DB" w:rsidP="001F783F">
      <w:pPr>
        <w:spacing w:line="276" w:lineRule="auto"/>
        <w:ind w:firstLine="720"/>
        <w:jc w:val="both"/>
        <w:rPr>
          <w:rFonts w:asciiTheme="majorBidi" w:hAnsiTheme="majorBidi" w:cstheme="majorBidi"/>
          <w:highlight w:val="yellow"/>
        </w:rPr>
      </w:pPr>
    </w:p>
    <w:p w14:paraId="07604E1C" w14:textId="09F24112" w:rsidR="009A60D6" w:rsidRPr="00807219" w:rsidRDefault="0025533B" w:rsidP="001F783F">
      <w:pPr>
        <w:spacing w:line="276" w:lineRule="auto"/>
        <w:jc w:val="center"/>
        <w:rPr>
          <w:rFonts w:asciiTheme="majorBidi" w:hAnsiTheme="majorBidi" w:cstheme="majorBidi"/>
          <w:b/>
        </w:rPr>
      </w:pPr>
      <w:r>
        <w:rPr>
          <w:rFonts w:asciiTheme="majorBidi" w:hAnsiTheme="majorBidi" w:cstheme="majorBidi"/>
          <w:b/>
        </w:rPr>
        <w:t>R</w:t>
      </w:r>
      <w:r w:rsidR="009A60D6" w:rsidRPr="00807219">
        <w:rPr>
          <w:rFonts w:asciiTheme="majorBidi" w:hAnsiTheme="majorBidi" w:cstheme="majorBidi"/>
          <w:b/>
        </w:rPr>
        <w:t>ezolutīvā daļa</w:t>
      </w:r>
    </w:p>
    <w:p w14:paraId="14A12EEA" w14:textId="77777777" w:rsidR="009A60D6" w:rsidRPr="00807219" w:rsidRDefault="009A60D6" w:rsidP="001F783F">
      <w:pPr>
        <w:spacing w:line="276" w:lineRule="auto"/>
        <w:ind w:firstLine="720"/>
        <w:rPr>
          <w:rFonts w:asciiTheme="majorBidi" w:hAnsiTheme="majorBidi" w:cstheme="majorBidi"/>
          <w:bCs/>
          <w:spacing w:val="70"/>
        </w:rPr>
      </w:pPr>
    </w:p>
    <w:p w14:paraId="77CC8215" w14:textId="00D00E18" w:rsidR="004D5749" w:rsidRPr="00807219" w:rsidRDefault="00A7309E" w:rsidP="001F783F">
      <w:pPr>
        <w:spacing w:line="276" w:lineRule="auto"/>
        <w:ind w:firstLine="720"/>
        <w:jc w:val="both"/>
        <w:rPr>
          <w:rFonts w:asciiTheme="majorBidi" w:hAnsiTheme="majorBidi" w:cstheme="majorBidi"/>
        </w:rPr>
      </w:pPr>
      <w:r w:rsidRPr="00807219">
        <w:rPr>
          <w:rFonts w:asciiTheme="majorBidi" w:hAnsiTheme="majorBidi" w:cstheme="majorBidi"/>
        </w:rPr>
        <w:t>Pamatojoties uz Administratīvā procesa likuma 348.panta pirmās daļas 2.punktu, 351.pantu un 129.</w:t>
      </w:r>
      <w:r w:rsidRPr="00807219">
        <w:rPr>
          <w:rFonts w:asciiTheme="majorBidi" w:hAnsiTheme="majorBidi" w:cstheme="majorBidi"/>
          <w:vertAlign w:val="superscript"/>
        </w:rPr>
        <w:t>1</w:t>
      </w:r>
      <w:r w:rsidRPr="00807219">
        <w:rPr>
          <w:rFonts w:asciiTheme="majorBidi" w:hAnsiTheme="majorBidi" w:cstheme="majorBidi"/>
        </w:rPr>
        <w:t>panta pirmās daļas 1.punktu, Senāts</w:t>
      </w:r>
    </w:p>
    <w:p w14:paraId="18ED43BB" w14:textId="77777777" w:rsidR="00A7309E" w:rsidRPr="00807219" w:rsidRDefault="00A7309E" w:rsidP="001F783F">
      <w:pPr>
        <w:spacing w:line="276" w:lineRule="auto"/>
        <w:jc w:val="center"/>
        <w:rPr>
          <w:rFonts w:asciiTheme="majorBidi" w:hAnsiTheme="majorBidi" w:cstheme="majorBidi"/>
          <w:b/>
        </w:rPr>
      </w:pPr>
    </w:p>
    <w:p w14:paraId="47E6C67E" w14:textId="66D2E207" w:rsidR="009A60D6" w:rsidRDefault="006338E6" w:rsidP="001F783F">
      <w:pPr>
        <w:shd w:val="clear" w:color="auto" w:fill="FFFFFF"/>
        <w:spacing w:line="276" w:lineRule="auto"/>
        <w:jc w:val="center"/>
        <w:rPr>
          <w:rFonts w:asciiTheme="majorBidi" w:hAnsiTheme="majorBidi" w:cstheme="majorBidi"/>
          <w:b/>
        </w:rPr>
      </w:pPr>
      <w:r>
        <w:rPr>
          <w:rFonts w:asciiTheme="majorBidi" w:hAnsiTheme="majorBidi" w:cstheme="majorBidi"/>
          <w:b/>
        </w:rPr>
        <w:t>n</w:t>
      </w:r>
      <w:r w:rsidR="00A7309E" w:rsidRPr="00807219">
        <w:rPr>
          <w:rFonts w:asciiTheme="majorBidi" w:hAnsiTheme="majorBidi" w:cstheme="majorBidi"/>
          <w:b/>
        </w:rPr>
        <w:t>osprieda</w:t>
      </w:r>
    </w:p>
    <w:p w14:paraId="7A4CE5E3" w14:textId="77777777" w:rsidR="006338E6" w:rsidRPr="006338E6" w:rsidRDefault="006338E6" w:rsidP="001F783F">
      <w:pPr>
        <w:shd w:val="clear" w:color="auto" w:fill="FFFFFF"/>
        <w:spacing w:line="276" w:lineRule="auto"/>
        <w:jc w:val="center"/>
        <w:rPr>
          <w:rFonts w:asciiTheme="majorBidi" w:hAnsiTheme="majorBidi" w:cstheme="majorBidi"/>
          <w:b/>
        </w:rPr>
      </w:pPr>
    </w:p>
    <w:p w14:paraId="0B575BF2" w14:textId="0CD4EDC3" w:rsidR="00A7309E" w:rsidRPr="00807219" w:rsidRDefault="00A7309E" w:rsidP="001F783F">
      <w:pPr>
        <w:tabs>
          <w:tab w:val="left" w:pos="2700"/>
          <w:tab w:val="left" w:pos="6660"/>
        </w:tabs>
        <w:spacing w:line="276" w:lineRule="auto"/>
        <w:ind w:firstLine="567"/>
        <w:jc w:val="both"/>
        <w:rPr>
          <w:rFonts w:asciiTheme="majorBidi" w:hAnsiTheme="majorBidi" w:cstheme="majorBidi"/>
        </w:rPr>
      </w:pPr>
      <w:r w:rsidRPr="00807219">
        <w:rPr>
          <w:rFonts w:asciiTheme="majorBidi" w:hAnsiTheme="majorBidi" w:cstheme="majorBidi"/>
        </w:rPr>
        <w:t xml:space="preserve">atcelt Administratīvās </w:t>
      </w:r>
      <w:r w:rsidR="00EA5E49" w:rsidRPr="00807219">
        <w:rPr>
          <w:rFonts w:asciiTheme="majorBidi" w:hAnsiTheme="majorBidi" w:cstheme="majorBidi"/>
        </w:rPr>
        <w:t>apgabal</w:t>
      </w:r>
      <w:r w:rsidRPr="00807219">
        <w:rPr>
          <w:rFonts w:asciiTheme="majorBidi" w:hAnsiTheme="majorBidi" w:cstheme="majorBidi"/>
        </w:rPr>
        <w:t xml:space="preserve">tiesas 2024.gada 25.janvāra spriedumu pilnībā un nosūtīt lietu jaunai izskatīšanai Administratīvajai </w:t>
      </w:r>
      <w:r w:rsidR="00EA5E49" w:rsidRPr="00807219">
        <w:rPr>
          <w:rFonts w:asciiTheme="majorBidi" w:hAnsiTheme="majorBidi" w:cstheme="majorBidi"/>
        </w:rPr>
        <w:t>apgabaltiesai</w:t>
      </w:r>
      <w:r w:rsidRPr="00807219">
        <w:rPr>
          <w:rFonts w:asciiTheme="majorBidi" w:hAnsiTheme="majorBidi" w:cstheme="majorBidi"/>
        </w:rPr>
        <w:t>;</w:t>
      </w:r>
    </w:p>
    <w:p w14:paraId="179AB366" w14:textId="0BEACA01" w:rsidR="00A7309E" w:rsidRPr="00807219" w:rsidRDefault="00A7309E" w:rsidP="001F783F">
      <w:pPr>
        <w:tabs>
          <w:tab w:val="left" w:pos="2700"/>
          <w:tab w:val="left" w:pos="6660"/>
        </w:tabs>
        <w:spacing w:line="276" w:lineRule="auto"/>
        <w:ind w:firstLine="567"/>
        <w:jc w:val="both"/>
        <w:rPr>
          <w:rFonts w:asciiTheme="majorBidi" w:hAnsiTheme="majorBidi" w:cstheme="majorBidi"/>
        </w:rPr>
      </w:pPr>
      <w:r w:rsidRPr="00807219">
        <w:rPr>
          <w:rFonts w:asciiTheme="majorBidi" w:hAnsiTheme="majorBidi" w:cstheme="majorBidi"/>
        </w:rPr>
        <w:t xml:space="preserve">atlīdzināt </w:t>
      </w:r>
      <w:r w:rsidRPr="00807219">
        <w:rPr>
          <w:rFonts w:asciiTheme="majorBidi" w:hAnsiTheme="majorBidi"/>
        </w:rPr>
        <w:t>SIA</w:t>
      </w:r>
      <w:r w:rsidR="00C81742" w:rsidRPr="00807219">
        <w:rPr>
          <w:rFonts w:asciiTheme="majorBidi" w:hAnsiTheme="majorBidi"/>
        </w:rPr>
        <w:t> </w:t>
      </w:r>
      <w:r w:rsidRPr="00807219">
        <w:rPr>
          <w:rFonts w:asciiTheme="majorBidi" w:hAnsiTheme="majorBidi"/>
        </w:rPr>
        <w:t xml:space="preserve">„ZAB Kronbergs Čukste Levin” </w:t>
      </w:r>
      <w:r w:rsidRPr="00807219">
        <w:rPr>
          <w:rFonts w:asciiTheme="majorBidi" w:hAnsiTheme="majorBidi" w:cstheme="majorBidi"/>
        </w:rPr>
        <w:t>drošības naudu 70</w:t>
      </w:r>
      <w:r w:rsidR="00C81742" w:rsidRPr="00807219">
        <w:rPr>
          <w:rFonts w:asciiTheme="majorBidi" w:hAnsiTheme="majorBidi" w:cstheme="majorBidi"/>
        </w:rPr>
        <w:t> </w:t>
      </w:r>
      <w:r w:rsidRPr="00807219">
        <w:rPr>
          <w:rFonts w:asciiTheme="majorBidi" w:hAnsiTheme="majorBidi" w:cstheme="majorBidi"/>
          <w:i/>
          <w:iCs/>
        </w:rPr>
        <w:t>euro</w:t>
      </w:r>
      <w:r w:rsidR="00C81742" w:rsidRPr="00807219">
        <w:t xml:space="preserve"> par SIA „SKONTO BŪVE” iesniegto kasācijas sūdzību</w:t>
      </w:r>
      <w:r w:rsidRPr="00807219">
        <w:rPr>
          <w:rFonts w:asciiTheme="majorBidi" w:hAnsiTheme="majorBidi" w:cstheme="majorBidi"/>
        </w:rPr>
        <w:t>;</w:t>
      </w:r>
    </w:p>
    <w:p w14:paraId="1096F11B" w14:textId="48EEE3AA" w:rsidR="00A7309E" w:rsidRPr="00807219" w:rsidRDefault="00A7309E" w:rsidP="001F783F">
      <w:pPr>
        <w:tabs>
          <w:tab w:val="left" w:pos="2700"/>
          <w:tab w:val="left" w:pos="6660"/>
        </w:tabs>
        <w:spacing w:line="276" w:lineRule="auto"/>
        <w:ind w:firstLine="567"/>
        <w:jc w:val="both"/>
        <w:rPr>
          <w:rFonts w:asciiTheme="majorBidi" w:hAnsiTheme="majorBidi" w:cstheme="majorBidi"/>
        </w:rPr>
      </w:pPr>
      <w:r w:rsidRPr="00807219">
        <w:rPr>
          <w:rFonts w:asciiTheme="majorBidi" w:hAnsiTheme="majorBidi" w:cstheme="majorBidi"/>
        </w:rPr>
        <w:t>atlīdzināt SIA</w:t>
      </w:r>
      <w:r w:rsidR="00C81742" w:rsidRPr="00807219">
        <w:rPr>
          <w:rFonts w:asciiTheme="majorBidi" w:hAnsiTheme="majorBidi" w:cstheme="majorBidi"/>
        </w:rPr>
        <w:t> </w:t>
      </w:r>
      <w:r w:rsidRPr="00807219">
        <w:rPr>
          <w:rFonts w:asciiTheme="majorBidi" w:hAnsiTheme="majorBidi" w:cstheme="majorBidi"/>
        </w:rPr>
        <w:t>„RERE BŪVE” drošības naudu 70</w:t>
      </w:r>
      <w:r w:rsidR="00C81742" w:rsidRPr="00807219">
        <w:rPr>
          <w:rFonts w:asciiTheme="majorBidi" w:hAnsiTheme="majorBidi" w:cstheme="majorBidi"/>
        </w:rPr>
        <w:t> </w:t>
      </w:r>
      <w:r w:rsidRPr="00807219">
        <w:rPr>
          <w:rFonts w:asciiTheme="majorBidi" w:hAnsiTheme="majorBidi" w:cstheme="majorBidi"/>
          <w:i/>
          <w:iCs/>
        </w:rPr>
        <w:t>euro</w:t>
      </w:r>
      <w:r w:rsidRPr="00807219">
        <w:rPr>
          <w:rFonts w:asciiTheme="majorBidi" w:hAnsiTheme="majorBidi" w:cstheme="majorBidi"/>
        </w:rPr>
        <w:t>;</w:t>
      </w:r>
    </w:p>
    <w:p w14:paraId="2CB921E0" w14:textId="4048A533" w:rsidR="00A7309E" w:rsidRPr="00807219" w:rsidRDefault="00A7309E" w:rsidP="001F783F">
      <w:pPr>
        <w:tabs>
          <w:tab w:val="left" w:pos="2700"/>
          <w:tab w:val="left" w:pos="6660"/>
        </w:tabs>
        <w:spacing w:line="276" w:lineRule="auto"/>
        <w:ind w:firstLine="567"/>
        <w:jc w:val="both"/>
        <w:rPr>
          <w:rFonts w:asciiTheme="majorBidi" w:hAnsiTheme="majorBidi" w:cstheme="majorBidi"/>
        </w:rPr>
      </w:pPr>
      <w:r w:rsidRPr="00807219">
        <w:rPr>
          <w:rFonts w:asciiTheme="majorBidi" w:hAnsiTheme="majorBidi" w:cstheme="majorBidi"/>
        </w:rPr>
        <w:t>atlīdzināt AS</w:t>
      </w:r>
      <w:r w:rsidR="00C81742" w:rsidRPr="00807219">
        <w:rPr>
          <w:rFonts w:asciiTheme="majorBidi" w:hAnsiTheme="majorBidi" w:cstheme="majorBidi"/>
        </w:rPr>
        <w:t> </w:t>
      </w:r>
      <w:r w:rsidRPr="00807219">
        <w:rPr>
          <w:rFonts w:asciiTheme="majorBidi" w:hAnsiTheme="majorBidi" w:cstheme="majorBidi"/>
        </w:rPr>
        <w:t>„RERE GRUPA” drošības naudu 70</w:t>
      </w:r>
      <w:r w:rsidR="00C81742" w:rsidRPr="00807219">
        <w:rPr>
          <w:rFonts w:asciiTheme="majorBidi" w:hAnsiTheme="majorBidi" w:cstheme="majorBidi"/>
        </w:rPr>
        <w:t> </w:t>
      </w:r>
      <w:r w:rsidRPr="00807219">
        <w:rPr>
          <w:rFonts w:asciiTheme="majorBidi" w:hAnsiTheme="majorBidi" w:cstheme="majorBidi"/>
          <w:i/>
          <w:iCs/>
        </w:rPr>
        <w:t>euro</w:t>
      </w:r>
      <w:r w:rsidRPr="00807219">
        <w:rPr>
          <w:rFonts w:asciiTheme="majorBidi" w:hAnsiTheme="majorBidi" w:cstheme="majorBidi"/>
        </w:rPr>
        <w:t>;</w:t>
      </w:r>
    </w:p>
    <w:p w14:paraId="190C09A2" w14:textId="0F9E9E0B" w:rsidR="00A7309E" w:rsidRPr="00807219" w:rsidRDefault="00A7309E" w:rsidP="001F783F">
      <w:pPr>
        <w:tabs>
          <w:tab w:val="left" w:pos="2700"/>
          <w:tab w:val="left" w:pos="6660"/>
        </w:tabs>
        <w:spacing w:line="276" w:lineRule="auto"/>
        <w:ind w:firstLine="567"/>
        <w:jc w:val="both"/>
        <w:rPr>
          <w:rFonts w:asciiTheme="majorBidi" w:hAnsiTheme="majorBidi" w:cstheme="majorBidi"/>
        </w:rPr>
      </w:pPr>
      <w:r w:rsidRPr="00807219">
        <w:rPr>
          <w:rFonts w:asciiTheme="majorBidi" w:hAnsiTheme="majorBidi"/>
        </w:rPr>
        <w:t>atlīdzināt SIA</w:t>
      </w:r>
      <w:r w:rsidR="00C81742" w:rsidRPr="00807219">
        <w:rPr>
          <w:rFonts w:asciiTheme="majorBidi" w:hAnsiTheme="majorBidi"/>
        </w:rPr>
        <w:t> </w:t>
      </w:r>
      <w:r w:rsidRPr="00807219">
        <w:rPr>
          <w:rFonts w:asciiTheme="majorBidi" w:hAnsiTheme="majorBidi"/>
        </w:rPr>
        <w:t xml:space="preserve">„LNK (Latvijas Novitātes Komplekss)” </w:t>
      </w:r>
      <w:r w:rsidRPr="00807219">
        <w:rPr>
          <w:rFonts w:asciiTheme="majorBidi" w:hAnsiTheme="majorBidi" w:cstheme="majorBidi"/>
        </w:rPr>
        <w:t>drošības naudu 70</w:t>
      </w:r>
      <w:r w:rsidR="00C81742" w:rsidRPr="00807219">
        <w:rPr>
          <w:rFonts w:asciiTheme="majorBidi" w:hAnsiTheme="majorBidi" w:cstheme="majorBidi"/>
        </w:rPr>
        <w:t> </w:t>
      </w:r>
      <w:r w:rsidRPr="00807219">
        <w:rPr>
          <w:rFonts w:asciiTheme="majorBidi" w:hAnsiTheme="majorBidi" w:cstheme="majorBidi"/>
          <w:i/>
          <w:iCs/>
        </w:rPr>
        <w:t>euro</w:t>
      </w:r>
      <w:r w:rsidRPr="00807219">
        <w:rPr>
          <w:rFonts w:asciiTheme="majorBidi" w:hAnsiTheme="majorBidi" w:cstheme="majorBidi"/>
        </w:rPr>
        <w:t>;</w:t>
      </w:r>
    </w:p>
    <w:p w14:paraId="167648F2" w14:textId="46E2C843" w:rsidR="00A7309E" w:rsidRPr="00807219" w:rsidRDefault="00A7309E" w:rsidP="001F783F">
      <w:pPr>
        <w:tabs>
          <w:tab w:val="left" w:pos="2700"/>
          <w:tab w:val="left" w:pos="6660"/>
        </w:tabs>
        <w:spacing w:line="276" w:lineRule="auto"/>
        <w:ind w:firstLine="567"/>
        <w:jc w:val="both"/>
        <w:rPr>
          <w:rFonts w:asciiTheme="majorBidi" w:hAnsiTheme="majorBidi" w:cstheme="majorBidi"/>
        </w:rPr>
      </w:pPr>
      <w:r w:rsidRPr="00807219">
        <w:rPr>
          <w:rFonts w:asciiTheme="majorBidi" w:hAnsiTheme="majorBidi" w:cstheme="majorBidi"/>
        </w:rPr>
        <w:t>atlīdzināt SIA</w:t>
      </w:r>
      <w:r w:rsidR="00C81742" w:rsidRPr="00807219">
        <w:rPr>
          <w:rFonts w:asciiTheme="majorBidi" w:hAnsiTheme="majorBidi" w:cstheme="majorBidi"/>
        </w:rPr>
        <w:t> </w:t>
      </w:r>
      <w:r w:rsidRPr="00807219">
        <w:rPr>
          <w:rFonts w:asciiTheme="majorBidi" w:hAnsiTheme="majorBidi" w:cstheme="majorBidi"/>
        </w:rPr>
        <w:t>„ARČERS” drošības naudu 70</w:t>
      </w:r>
      <w:r w:rsidR="00C81742" w:rsidRPr="00807219">
        <w:rPr>
          <w:rFonts w:asciiTheme="majorBidi" w:hAnsiTheme="majorBidi" w:cstheme="majorBidi"/>
        </w:rPr>
        <w:t> </w:t>
      </w:r>
      <w:r w:rsidRPr="00807219">
        <w:rPr>
          <w:rFonts w:asciiTheme="majorBidi" w:hAnsiTheme="majorBidi" w:cstheme="majorBidi"/>
          <w:i/>
          <w:iCs/>
        </w:rPr>
        <w:t>euro</w:t>
      </w:r>
      <w:r w:rsidRPr="00807219">
        <w:rPr>
          <w:rFonts w:asciiTheme="majorBidi" w:hAnsiTheme="majorBidi" w:cstheme="majorBidi"/>
        </w:rPr>
        <w:t>;</w:t>
      </w:r>
    </w:p>
    <w:p w14:paraId="51A4A699" w14:textId="417F8A90" w:rsidR="007855D3" w:rsidRPr="00807219" w:rsidRDefault="007855D3" w:rsidP="001F783F">
      <w:pPr>
        <w:tabs>
          <w:tab w:val="left" w:pos="2700"/>
          <w:tab w:val="left" w:pos="6660"/>
        </w:tabs>
        <w:spacing w:line="276" w:lineRule="auto"/>
        <w:ind w:firstLine="567"/>
        <w:jc w:val="both"/>
        <w:rPr>
          <w:rFonts w:asciiTheme="majorBidi" w:hAnsiTheme="majorBidi" w:cstheme="majorBidi"/>
        </w:rPr>
      </w:pPr>
      <w:r w:rsidRPr="00807219">
        <w:rPr>
          <w:rFonts w:asciiTheme="majorBidi" w:hAnsiTheme="majorBidi" w:cstheme="majorBidi"/>
        </w:rPr>
        <w:t>atlīdzināt AS</w:t>
      </w:r>
      <w:r w:rsidR="00C81742" w:rsidRPr="00807219">
        <w:rPr>
          <w:rFonts w:asciiTheme="majorBidi" w:hAnsiTheme="majorBidi" w:cstheme="majorBidi"/>
        </w:rPr>
        <w:t> </w:t>
      </w:r>
      <w:r w:rsidRPr="00807219">
        <w:rPr>
          <w:rFonts w:asciiTheme="majorBidi" w:hAnsiTheme="majorBidi" w:cstheme="majorBidi"/>
        </w:rPr>
        <w:t>„LNK Industries” drošības naudu 70</w:t>
      </w:r>
      <w:r w:rsidR="00C81742" w:rsidRPr="00807219">
        <w:rPr>
          <w:rFonts w:asciiTheme="majorBidi" w:hAnsiTheme="majorBidi" w:cstheme="majorBidi"/>
        </w:rPr>
        <w:t> </w:t>
      </w:r>
      <w:r w:rsidRPr="00807219">
        <w:rPr>
          <w:rFonts w:asciiTheme="majorBidi" w:hAnsiTheme="majorBidi" w:cstheme="majorBidi"/>
          <w:i/>
          <w:iCs/>
        </w:rPr>
        <w:t>euro</w:t>
      </w:r>
      <w:r w:rsidRPr="00807219">
        <w:rPr>
          <w:rFonts w:asciiTheme="majorBidi" w:hAnsiTheme="majorBidi" w:cstheme="majorBidi"/>
        </w:rPr>
        <w:t>;</w:t>
      </w:r>
    </w:p>
    <w:p w14:paraId="138821F9" w14:textId="4FE45A43" w:rsidR="007855D3" w:rsidRPr="00807219" w:rsidRDefault="007855D3" w:rsidP="001F783F">
      <w:pPr>
        <w:tabs>
          <w:tab w:val="left" w:pos="2700"/>
          <w:tab w:val="left" w:pos="6660"/>
        </w:tabs>
        <w:spacing w:line="276" w:lineRule="auto"/>
        <w:ind w:firstLine="567"/>
        <w:jc w:val="both"/>
        <w:rPr>
          <w:rFonts w:asciiTheme="majorBidi" w:hAnsiTheme="majorBidi" w:cstheme="majorBidi"/>
        </w:rPr>
      </w:pPr>
      <w:r w:rsidRPr="00807219">
        <w:rPr>
          <w:rFonts w:asciiTheme="majorBidi" w:hAnsiTheme="majorBidi" w:cstheme="majorBidi"/>
        </w:rPr>
        <w:t>atlīdzināt AS</w:t>
      </w:r>
      <w:r w:rsidR="00C81742" w:rsidRPr="00807219">
        <w:rPr>
          <w:rFonts w:asciiTheme="majorBidi" w:hAnsiTheme="majorBidi" w:cstheme="majorBidi"/>
        </w:rPr>
        <w:t> </w:t>
      </w:r>
      <w:r w:rsidRPr="00807219">
        <w:rPr>
          <w:rFonts w:asciiTheme="majorBidi" w:hAnsiTheme="majorBidi" w:cstheme="majorBidi"/>
        </w:rPr>
        <w:t>„UGN” drošības naudu 70</w:t>
      </w:r>
      <w:r w:rsidR="00C81742" w:rsidRPr="00807219">
        <w:rPr>
          <w:rFonts w:asciiTheme="majorBidi" w:hAnsiTheme="majorBidi" w:cstheme="majorBidi"/>
        </w:rPr>
        <w:t> </w:t>
      </w:r>
      <w:r w:rsidRPr="00807219">
        <w:rPr>
          <w:rFonts w:asciiTheme="majorBidi" w:hAnsiTheme="majorBidi" w:cstheme="majorBidi"/>
          <w:i/>
          <w:iCs/>
        </w:rPr>
        <w:t>euro</w:t>
      </w:r>
      <w:r w:rsidRPr="00807219">
        <w:rPr>
          <w:rFonts w:asciiTheme="majorBidi" w:hAnsiTheme="majorBidi" w:cstheme="majorBidi"/>
        </w:rPr>
        <w:t>;</w:t>
      </w:r>
    </w:p>
    <w:p w14:paraId="347E2AFA" w14:textId="023FB605" w:rsidR="007855D3" w:rsidRPr="00807219" w:rsidRDefault="007855D3" w:rsidP="001F783F">
      <w:pPr>
        <w:tabs>
          <w:tab w:val="left" w:pos="2700"/>
          <w:tab w:val="left" w:pos="6660"/>
        </w:tabs>
        <w:spacing w:line="276" w:lineRule="auto"/>
        <w:ind w:firstLine="567"/>
        <w:jc w:val="both"/>
        <w:rPr>
          <w:rFonts w:asciiTheme="majorBidi" w:hAnsiTheme="majorBidi" w:cstheme="majorBidi"/>
        </w:rPr>
      </w:pPr>
      <w:r w:rsidRPr="00807219">
        <w:rPr>
          <w:rFonts w:asciiTheme="majorBidi" w:hAnsiTheme="majorBidi" w:cstheme="majorBidi"/>
        </w:rPr>
        <w:t>atlīdzināt SIA</w:t>
      </w:r>
      <w:r w:rsidR="00C81742" w:rsidRPr="00807219">
        <w:rPr>
          <w:rFonts w:asciiTheme="majorBidi" w:hAnsiTheme="majorBidi" w:cstheme="majorBidi"/>
        </w:rPr>
        <w:t> </w:t>
      </w:r>
      <w:r w:rsidRPr="00807219">
        <w:rPr>
          <w:rFonts w:asciiTheme="majorBidi" w:hAnsiTheme="majorBidi" w:cstheme="majorBidi"/>
        </w:rPr>
        <w:t>„RE</w:t>
      </w:r>
      <w:r w:rsidR="00C81742" w:rsidRPr="00807219">
        <w:rPr>
          <w:rFonts w:asciiTheme="majorBidi" w:hAnsiTheme="majorBidi" w:cstheme="majorBidi"/>
        </w:rPr>
        <w:t xml:space="preserve"> </w:t>
      </w:r>
      <w:r w:rsidRPr="00807219">
        <w:rPr>
          <w:rFonts w:asciiTheme="majorBidi" w:hAnsiTheme="majorBidi" w:cstheme="majorBidi"/>
        </w:rPr>
        <w:t>&amp;</w:t>
      </w:r>
      <w:r w:rsidR="00C81742" w:rsidRPr="00807219">
        <w:rPr>
          <w:rFonts w:asciiTheme="majorBidi" w:hAnsiTheme="majorBidi" w:cstheme="majorBidi"/>
        </w:rPr>
        <w:t xml:space="preserve"> </w:t>
      </w:r>
      <w:r w:rsidRPr="00807219">
        <w:rPr>
          <w:rFonts w:asciiTheme="majorBidi" w:hAnsiTheme="majorBidi" w:cstheme="majorBidi"/>
        </w:rPr>
        <w:t>RE” drošības naudu 70</w:t>
      </w:r>
      <w:r w:rsidR="00C81742" w:rsidRPr="00807219">
        <w:rPr>
          <w:rFonts w:asciiTheme="majorBidi" w:hAnsiTheme="majorBidi" w:cstheme="majorBidi"/>
        </w:rPr>
        <w:t> </w:t>
      </w:r>
      <w:r w:rsidRPr="00807219">
        <w:rPr>
          <w:rFonts w:asciiTheme="majorBidi" w:hAnsiTheme="majorBidi" w:cstheme="majorBidi"/>
          <w:i/>
          <w:iCs/>
        </w:rPr>
        <w:t>euro</w:t>
      </w:r>
      <w:r w:rsidRPr="00807219">
        <w:rPr>
          <w:rFonts w:asciiTheme="majorBidi" w:hAnsiTheme="majorBidi" w:cstheme="majorBidi"/>
        </w:rPr>
        <w:t>;</w:t>
      </w:r>
    </w:p>
    <w:p w14:paraId="3D8D6772" w14:textId="7FA6DB72" w:rsidR="007855D3" w:rsidRPr="00807219" w:rsidRDefault="007855D3" w:rsidP="001F783F">
      <w:pPr>
        <w:tabs>
          <w:tab w:val="left" w:pos="2700"/>
          <w:tab w:val="left" w:pos="6660"/>
        </w:tabs>
        <w:spacing w:line="276" w:lineRule="auto"/>
        <w:ind w:firstLine="567"/>
        <w:jc w:val="both"/>
        <w:rPr>
          <w:rFonts w:asciiTheme="majorBidi" w:hAnsiTheme="majorBidi" w:cstheme="majorBidi"/>
        </w:rPr>
      </w:pPr>
      <w:r w:rsidRPr="00807219">
        <w:rPr>
          <w:rFonts w:asciiTheme="majorBidi" w:hAnsiTheme="majorBidi" w:cstheme="majorBidi"/>
        </w:rPr>
        <w:t>atlīdzināt SIA</w:t>
      </w:r>
      <w:r w:rsidR="00C81742" w:rsidRPr="00807219">
        <w:rPr>
          <w:rFonts w:asciiTheme="majorBidi" w:hAnsiTheme="majorBidi" w:cstheme="majorBidi"/>
        </w:rPr>
        <w:t> </w:t>
      </w:r>
      <w:r w:rsidRPr="00807219">
        <w:rPr>
          <w:rFonts w:asciiTheme="majorBidi" w:hAnsiTheme="majorBidi" w:cstheme="majorBidi"/>
        </w:rPr>
        <w:t>„ZAB Ellex Kļaviņš” drošības naudu 70</w:t>
      </w:r>
      <w:r w:rsidR="00C81742" w:rsidRPr="00807219">
        <w:rPr>
          <w:rFonts w:asciiTheme="majorBidi" w:hAnsiTheme="majorBidi" w:cstheme="majorBidi"/>
        </w:rPr>
        <w:t> </w:t>
      </w:r>
      <w:r w:rsidRPr="00807219">
        <w:rPr>
          <w:rFonts w:asciiTheme="majorBidi" w:hAnsiTheme="majorBidi" w:cstheme="majorBidi"/>
          <w:i/>
          <w:iCs/>
        </w:rPr>
        <w:t>euro</w:t>
      </w:r>
      <w:r w:rsidR="00C81742" w:rsidRPr="00807219">
        <w:rPr>
          <w:rFonts w:asciiTheme="majorBidi" w:hAnsiTheme="majorBidi" w:cstheme="majorBidi"/>
          <w:i/>
          <w:iCs/>
        </w:rPr>
        <w:t xml:space="preserve"> </w:t>
      </w:r>
      <w:r w:rsidR="00C81742" w:rsidRPr="00807219">
        <w:t>par SIA „LATVIJAS ENERGOCELTNIEKS” iesniegto kasācijas sūdzību</w:t>
      </w:r>
      <w:r w:rsidRPr="00807219">
        <w:rPr>
          <w:rFonts w:asciiTheme="majorBidi" w:hAnsiTheme="majorBidi" w:cstheme="majorBidi"/>
        </w:rPr>
        <w:t>;</w:t>
      </w:r>
    </w:p>
    <w:p w14:paraId="55ED77A4" w14:textId="23CA31BE" w:rsidR="007855D3" w:rsidRPr="00807219" w:rsidRDefault="007855D3" w:rsidP="001F783F">
      <w:pPr>
        <w:tabs>
          <w:tab w:val="left" w:pos="2700"/>
          <w:tab w:val="left" w:pos="6660"/>
        </w:tabs>
        <w:spacing w:line="276" w:lineRule="auto"/>
        <w:ind w:firstLine="567"/>
        <w:jc w:val="both"/>
        <w:rPr>
          <w:rFonts w:asciiTheme="majorBidi" w:hAnsiTheme="majorBidi" w:cstheme="majorBidi"/>
        </w:rPr>
      </w:pPr>
      <w:r w:rsidRPr="00807219">
        <w:rPr>
          <w:rFonts w:asciiTheme="majorBidi" w:hAnsiTheme="majorBidi" w:cstheme="majorBidi"/>
        </w:rPr>
        <w:t>atlīdzināt SIA</w:t>
      </w:r>
      <w:r w:rsidR="00C81742" w:rsidRPr="00807219">
        <w:rPr>
          <w:rFonts w:asciiTheme="majorBidi" w:hAnsiTheme="majorBidi" w:cstheme="majorBidi"/>
        </w:rPr>
        <w:t> </w:t>
      </w:r>
      <w:r w:rsidRPr="00807219">
        <w:rPr>
          <w:rFonts w:asciiTheme="majorBidi" w:hAnsiTheme="majorBidi" w:cstheme="majorBidi"/>
        </w:rPr>
        <w:t>„</w:t>
      </w:r>
      <w:r w:rsidRPr="00807219">
        <w:rPr>
          <w:rFonts w:asciiTheme="majorBidi" w:hAnsiTheme="majorBidi"/>
        </w:rPr>
        <w:t xml:space="preserve">ZAB VILGERTS” </w:t>
      </w:r>
      <w:r w:rsidRPr="00807219">
        <w:rPr>
          <w:rFonts w:asciiTheme="majorBidi" w:hAnsiTheme="majorBidi" w:cstheme="majorBidi"/>
        </w:rPr>
        <w:t>drošības naudu 70</w:t>
      </w:r>
      <w:r w:rsidR="00C81742" w:rsidRPr="00807219">
        <w:rPr>
          <w:rFonts w:asciiTheme="majorBidi" w:hAnsiTheme="majorBidi" w:cstheme="majorBidi"/>
        </w:rPr>
        <w:t> </w:t>
      </w:r>
      <w:r w:rsidRPr="00807219">
        <w:rPr>
          <w:rFonts w:asciiTheme="majorBidi" w:hAnsiTheme="majorBidi" w:cstheme="majorBidi"/>
          <w:i/>
          <w:iCs/>
        </w:rPr>
        <w:t>euro</w:t>
      </w:r>
      <w:r w:rsidR="00C81742" w:rsidRPr="00807219">
        <w:rPr>
          <w:rFonts w:asciiTheme="majorBidi" w:hAnsiTheme="majorBidi" w:cstheme="majorBidi"/>
          <w:i/>
          <w:iCs/>
        </w:rPr>
        <w:t xml:space="preserve"> </w:t>
      </w:r>
      <w:r w:rsidR="00C81742" w:rsidRPr="00807219">
        <w:t>par SIA „MERKS” un AS „MERKO EHITUS” iesniegto kasācijas sūdzību</w:t>
      </w:r>
      <w:r w:rsidRPr="00807219">
        <w:rPr>
          <w:rFonts w:asciiTheme="majorBidi" w:hAnsiTheme="majorBidi" w:cstheme="majorBidi"/>
        </w:rPr>
        <w:t>;</w:t>
      </w:r>
    </w:p>
    <w:p w14:paraId="3C4D290A" w14:textId="5927F7E2" w:rsidR="007855D3" w:rsidRPr="00807219" w:rsidRDefault="007855D3" w:rsidP="001F783F">
      <w:pPr>
        <w:tabs>
          <w:tab w:val="left" w:pos="2700"/>
          <w:tab w:val="left" w:pos="6660"/>
        </w:tabs>
        <w:spacing w:line="276" w:lineRule="auto"/>
        <w:ind w:firstLine="567"/>
        <w:jc w:val="both"/>
        <w:rPr>
          <w:rFonts w:asciiTheme="majorBidi" w:hAnsiTheme="majorBidi"/>
        </w:rPr>
      </w:pPr>
      <w:r w:rsidRPr="00807219">
        <w:rPr>
          <w:rFonts w:asciiTheme="majorBidi" w:hAnsiTheme="majorBidi" w:cstheme="majorBidi"/>
        </w:rPr>
        <w:t>atlīdzināt SIA</w:t>
      </w:r>
      <w:r w:rsidR="00C81742" w:rsidRPr="00807219">
        <w:rPr>
          <w:rFonts w:asciiTheme="majorBidi" w:hAnsiTheme="majorBidi" w:cstheme="majorBidi"/>
        </w:rPr>
        <w:t> </w:t>
      </w:r>
      <w:r w:rsidRPr="00807219">
        <w:rPr>
          <w:rFonts w:asciiTheme="majorBidi" w:hAnsiTheme="majorBidi" w:cstheme="majorBidi"/>
        </w:rPr>
        <w:t>„</w:t>
      </w:r>
      <w:r w:rsidR="00077E12" w:rsidRPr="00807219">
        <w:rPr>
          <w:rFonts w:asciiTheme="majorBidi" w:hAnsiTheme="majorBidi" w:cstheme="majorBidi"/>
        </w:rPr>
        <w:t>ZAB COBALT” drošības naudu 140</w:t>
      </w:r>
      <w:r w:rsidR="00C81742" w:rsidRPr="00807219">
        <w:rPr>
          <w:rFonts w:asciiTheme="majorBidi" w:hAnsiTheme="majorBidi" w:cstheme="majorBidi"/>
        </w:rPr>
        <w:t> </w:t>
      </w:r>
      <w:r w:rsidR="00077E12" w:rsidRPr="00807219">
        <w:rPr>
          <w:rFonts w:asciiTheme="majorBidi" w:hAnsiTheme="majorBidi" w:cstheme="majorBidi"/>
          <w:i/>
          <w:iCs/>
        </w:rPr>
        <w:t>euro</w:t>
      </w:r>
      <w:r w:rsidR="00C81742" w:rsidRPr="00807219">
        <w:t xml:space="preserve"> par SIA „ABORA” un SIA „Tehnocentrs” iesniegto kasācijas sūdzību.</w:t>
      </w:r>
    </w:p>
    <w:p w14:paraId="2BECEA91" w14:textId="77777777" w:rsidR="007855D3" w:rsidRPr="00807219" w:rsidRDefault="007855D3" w:rsidP="001F783F">
      <w:pPr>
        <w:tabs>
          <w:tab w:val="left" w:pos="2700"/>
          <w:tab w:val="left" w:pos="6660"/>
        </w:tabs>
        <w:spacing w:line="276" w:lineRule="auto"/>
        <w:ind w:firstLine="567"/>
        <w:rPr>
          <w:rFonts w:asciiTheme="majorBidi" w:hAnsiTheme="majorBidi" w:cstheme="majorBidi"/>
        </w:rPr>
      </w:pPr>
    </w:p>
    <w:p w14:paraId="15C59B14" w14:textId="3DE59677" w:rsidR="00A7309E" w:rsidRPr="00807219" w:rsidRDefault="00EA5E49" w:rsidP="001F783F">
      <w:pPr>
        <w:tabs>
          <w:tab w:val="left" w:pos="2700"/>
          <w:tab w:val="left" w:pos="6660"/>
        </w:tabs>
        <w:spacing w:line="276" w:lineRule="auto"/>
        <w:ind w:firstLine="567"/>
        <w:rPr>
          <w:rFonts w:asciiTheme="majorBidi" w:hAnsiTheme="majorBidi" w:cstheme="majorBidi"/>
        </w:rPr>
      </w:pPr>
      <w:r w:rsidRPr="00807219">
        <w:rPr>
          <w:rFonts w:asciiTheme="majorBidi" w:hAnsiTheme="majorBidi" w:cstheme="majorBidi"/>
        </w:rPr>
        <w:t>Spriedums nav pārsūdzams.</w:t>
      </w:r>
    </w:p>
    <w:p w14:paraId="47706980" w14:textId="77777777" w:rsidR="00053EA2" w:rsidRPr="00807219" w:rsidRDefault="00053EA2" w:rsidP="00EA5E49">
      <w:pPr>
        <w:tabs>
          <w:tab w:val="left" w:pos="2700"/>
          <w:tab w:val="left" w:pos="6660"/>
        </w:tabs>
        <w:spacing w:line="276" w:lineRule="auto"/>
        <w:rPr>
          <w:rFonts w:asciiTheme="majorBidi" w:hAnsiTheme="majorBidi" w:cstheme="majorBidi"/>
        </w:rPr>
      </w:pPr>
    </w:p>
    <w:p w14:paraId="7234EB41" w14:textId="77777777" w:rsidR="00EA5E49" w:rsidRPr="00807219" w:rsidRDefault="00EA5E49" w:rsidP="00EA5E49">
      <w:pPr>
        <w:tabs>
          <w:tab w:val="left" w:pos="2700"/>
          <w:tab w:val="left" w:pos="6660"/>
        </w:tabs>
        <w:spacing w:line="276" w:lineRule="auto"/>
        <w:rPr>
          <w:rFonts w:asciiTheme="majorBidi" w:hAnsiTheme="majorBidi" w:cstheme="majorBidi"/>
        </w:rPr>
      </w:pPr>
    </w:p>
    <w:p w14:paraId="247A495B" w14:textId="3EB7E770" w:rsidR="005B170A" w:rsidRPr="00807219" w:rsidRDefault="005B170A" w:rsidP="007C4B3C">
      <w:pPr>
        <w:tabs>
          <w:tab w:val="center" w:pos="4536"/>
          <w:tab w:val="right" w:pos="9356"/>
        </w:tabs>
        <w:spacing w:line="276" w:lineRule="auto"/>
        <w:jc w:val="both"/>
        <w:rPr>
          <w:rFonts w:asciiTheme="majorBidi" w:hAnsiTheme="majorBidi" w:cstheme="majorBidi"/>
        </w:rPr>
      </w:pPr>
    </w:p>
    <w:sectPr w:rsidR="005B170A" w:rsidRPr="00807219" w:rsidSect="00AC6B92">
      <w:footerReference w:type="default" r:id="rId3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52670" w14:textId="77777777" w:rsidR="00E77FA9" w:rsidRDefault="00E77FA9" w:rsidP="00290459">
      <w:r>
        <w:separator/>
      </w:r>
    </w:p>
  </w:endnote>
  <w:endnote w:type="continuationSeparator" w:id="0">
    <w:p w14:paraId="5B37F08F" w14:textId="77777777" w:rsidR="00E77FA9" w:rsidRDefault="00E77FA9" w:rsidP="0029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37501835"/>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3A460BD" w14:textId="197D07CA" w:rsidR="00290459" w:rsidRPr="00CD1BE7" w:rsidRDefault="00290459">
            <w:pPr>
              <w:pStyle w:val="Footer"/>
              <w:jc w:val="center"/>
              <w:rPr>
                <w:sz w:val="20"/>
                <w:szCs w:val="20"/>
              </w:rPr>
            </w:pPr>
            <w:r w:rsidRPr="00CD1BE7">
              <w:rPr>
                <w:sz w:val="20"/>
                <w:szCs w:val="20"/>
              </w:rPr>
              <w:fldChar w:fldCharType="begin"/>
            </w:r>
            <w:r w:rsidRPr="00CD1BE7">
              <w:rPr>
                <w:sz w:val="20"/>
                <w:szCs w:val="20"/>
              </w:rPr>
              <w:instrText xml:space="preserve"> PAGE </w:instrText>
            </w:r>
            <w:r w:rsidRPr="00CD1BE7">
              <w:rPr>
                <w:sz w:val="20"/>
                <w:szCs w:val="20"/>
              </w:rPr>
              <w:fldChar w:fldCharType="separate"/>
            </w:r>
            <w:r w:rsidRPr="00CD1BE7">
              <w:rPr>
                <w:noProof/>
                <w:sz w:val="20"/>
                <w:szCs w:val="20"/>
              </w:rPr>
              <w:t>2</w:t>
            </w:r>
            <w:r w:rsidRPr="00CD1BE7">
              <w:rPr>
                <w:sz w:val="20"/>
                <w:szCs w:val="20"/>
              </w:rPr>
              <w:fldChar w:fldCharType="end"/>
            </w:r>
            <w:r w:rsidRPr="00CD1BE7">
              <w:rPr>
                <w:sz w:val="20"/>
                <w:szCs w:val="20"/>
              </w:rPr>
              <w:t xml:space="preserve"> no </w:t>
            </w:r>
            <w:r w:rsidRPr="00CD1BE7">
              <w:rPr>
                <w:sz w:val="20"/>
                <w:szCs w:val="20"/>
              </w:rPr>
              <w:fldChar w:fldCharType="begin"/>
            </w:r>
            <w:r w:rsidRPr="00CD1BE7">
              <w:rPr>
                <w:sz w:val="20"/>
                <w:szCs w:val="20"/>
              </w:rPr>
              <w:instrText xml:space="preserve"> NUMPAGES  </w:instrText>
            </w:r>
            <w:r w:rsidRPr="00CD1BE7">
              <w:rPr>
                <w:sz w:val="20"/>
                <w:szCs w:val="20"/>
              </w:rPr>
              <w:fldChar w:fldCharType="separate"/>
            </w:r>
            <w:r w:rsidRPr="00CD1BE7">
              <w:rPr>
                <w:noProof/>
                <w:sz w:val="20"/>
                <w:szCs w:val="20"/>
              </w:rPr>
              <w:t>2</w:t>
            </w:r>
            <w:r w:rsidRPr="00CD1BE7">
              <w:rPr>
                <w:noProof/>
                <w:sz w:val="20"/>
                <w:szCs w:val="20"/>
              </w:rPr>
              <w:fldChar w:fldCharType="end"/>
            </w:r>
          </w:p>
        </w:sdtContent>
      </w:sdt>
    </w:sdtContent>
  </w:sdt>
  <w:p w14:paraId="55D7F873" w14:textId="77777777" w:rsidR="00290459" w:rsidRDefault="00290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066EB" w14:textId="77777777" w:rsidR="00E77FA9" w:rsidRDefault="00E77FA9" w:rsidP="00290459">
      <w:r>
        <w:separator/>
      </w:r>
    </w:p>
  </w:footnote>
  <w:footnote w:type="continuationSeparator" w:id="0">
    <w:p w14:paraId="3A1DED11" w14:textId="77777777" w:rsidR="00E77FA9" w:rsidRDefault="00E77FA9" w:rsidP="00290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76C"/>
    <w:multiLevelType w:val="hybridMultilevel"/>
    <w:tmpl w:val="78D4E222"/>
    <w:lvl w:ilvl="0" w:tplc="CE5E9D44">
      <w:start w:val="1"/>
      <w:numFmt w:val="bullet"/>
      <w:lvlText w:val="•"/>
      <w:lvlJc w:val="left"/>
      <w:pPr>
        <w:tabs>
          <w:tab w:val="num" w:pos="720"/>
        </w:tabs>
        <w:ind w:left="720" w:hanging="360"/>
      </w:pPr>
      <w:rPr>
        <w:rFonts w:ascii="Arial" w:hAnsi="Arial" w:hint="default"/>
      </w:rPr>
    </w:lvl>
    <w:lvl w:ilvl="1" w:tplc="B1F21B9C" w:tentative="1">
      <w:start w:val="1"/>
      <w:numFmt w:val="bullet"/>
      <w:lvlText w:val="•"/>
      <w:lvlJc w:val="left"/>
      <w:pPr>
        <w:tabs>
          <w:tab w:val="num" w:pos="1440"/>
        </w:tabs>
        <w:ind w:left="1440" w:hanging="360"/>
      </w:pPr>
      <w:rPr>
        <w:rFonts w:ascii="Arial" w:hAnsi="Arial" w:hint="default"/>
      </w:rPr>
    </w:lvl>
    <w:lvl w:ilvl="2" w:tplc="909E728A" w:tentative="1">
      <w:start w:val="1"/>
      <w:numFmt w:val="bullet"/>
      <w:lvlText w:val="•"/>
      <w:lvlJc w:val="left"/>
      <w:pPr>
        <w:tabs>
          <w:tab w:val="num" w:pos="2160"/>
        </w:tabs>
        <w:ind w:left="2160" w:hanging="360"/>
      </w:pPr>
      <w:rPr>
        <w:rFonts w:ascii="Arial" w:hAnsi="Arial" w:hint="default"/>
      </w:rPr>
    </w:lvl>
    <w:lvl w:ilvl="3" w:tplc="84CE6EE4" w:tentative="1">
      <w:start w:val="1"/>
      <w:numFmt w:val="bullet"/>
      <w:lvlText w:val="•"/>
      <w:lvlJc w:val="left"/>
      <w:pPr>
        <w:tabs>
          <w:tab w:val="num" w:pos="2880"/>
        </w:tabs>
        <w:ind w:left="2880" w:hanging="360"/>
      </w:pPr>
      <w:rPr>
        <w:rFonts w:ascii="Arial" w:hAnsi="Arial" w:hint="default"/>
      </w:rPr>
    </w:lvl>
    <w:lvl w:ilvl="4" w:tplc="997210AA" w:tentative="1">
      <w:start w:val="1"/>
      <w:numFmt w:val="bullet"/>
      <w:lvlText w:val="•"/>
      <w:lvlJc w:val="left"/>
      <w:pPr>
        <w:tabs>
          <w:tab w:val="num" w:pos="3600"/>
        </w:tabs>
        <w:ind w:left="3600" w:hanging="360"/>
      </w:pPr>
      <w:rPr>
        <w:rFonts w:ascii="Arial" w:hAnsi="Arial" w:hint="default"/>
      </w:rPr>
    </w:lvl>
    <w:lvl w:ilvl="5" w:tplc="BBBCC126" w:tentative="1">
      <w:start w:val="1"/>
      <w:numFmt w:val="bullet"/>
      <w:lvlText w:val="•"/>
      <w:lvlJc w:val="left"/>
      <w:pPr>
        <w:tabs>
          <w:tab w:val="num" w:pos="4320"/>
        </w:tabs>
        <w:ind w:left="4320" w:hanging="360"/>
      </w:pPr>
      <w:rPr>
        <w:rFonts w:ascii="Arial" w:hAnsi="Arial" w:hint="default"/>
      </w:rPr>
    </w:lvl>
    <w:lvl w:ilvl="6" w:tplc="60A402D6" w:tentative="1">
      <w:start w:val="1"/>
      <w:numFmt w:val="bullet"/>
      <w:lvlText w:val="•"/>
      <w:lvlJc w:val="left"/>
      <w:pPr>
        <w:tabs>
          <w:tab w:val="num" w:pos="5040"/>
        </w:tabs>
        <w:ind w:left="5040" w:hanging="360"/>
      </w:pPr>
      <w:rPr>
        <w:rFonts w:ascii="Arial" w:hAnsi="Arial" w:hint="default"/>
      </w:rPr>
    </w:lvl>
    <w:lvl w:ilvl="7" w:tplc="42AE975E" w:tentative="1">
      <w:start w:val="1"/>
      <w:numFmt w:val="bullet"/>
      <w:lvlText w:val="•"/>
      <w:lvlJc w:val="left"/>
      <w:pPr>
        <w:tabs>
          <w:tab w:val="num" w:pos="5760"/>
        </w:tabs>
        <w:ind w:left="5760" w:hanging="360"/>
      </w:pPr>
      <w:rPr>
        <w:rFonts w:ascii="Arial" w:hAnsi="Arial" w:hint="default"/>
      </w:rPr>
    </w:lvl>
    <w:lvl w:ilvl="8" w:tplc="8BE2EC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7D91962"/>
    <w:multiLevelType w:val="hybridMultilevel"/>
    <w:tmpl w:val="1A906F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8B1E7B"/>
    <w:multiLevelType w:val="hybridMultilevel"/>
    <w:tmpl w:val="25162398"/>
    <w:lvl w:ilvl="0" w:tplc="F1E2EDD6">
      <w:start w:val="1"/>
      <w:numFmt w:val="bullet"/>
      <w:lvlText w:val="•"/>
      <w:lvlJc w:val="left"/>
      <w:pPr>
        <w:tabs>
          <w:tab w:val="num" w:pos="720"/>
        </w:tabs>
        <w:ind w:left="720" w:hanging="360"/>
      </w:pPr>
      <w:rPr>
        <w:rFonts w:ascii="Arial" w:hAnsi="Arial" w:hint="default"/>
      </w:rPr>
    </w:lvl>
    <w:lvl w:ilvl="1" w:tplc="CDD62A30" w:tentative="1">
      <w:start w:val="1"/>
      <w:numFmt w:val="bullet"/>
      <w:lvlText w:val="•"/>
      <w:lvlJc w:val="left"/>
      <w:pPr>
        <w:tabs>
          <w:tab w:val="num" w:pos="1440"/>
        </w:tabs>
        <w:ind w:left="1440" w:hanging="360"/>
      </w:pPr>
      <w:rPr>
        <w:rFonts w:ascii="Arial" w:hAnsi="Arial" w:hint="default"/>
      </w:rPr>
    </w:lvl>
    <w:lvl w:ilvl="2" w:tplc="ED4047B0" w:tentative="1">
      <w:start w:val="1"/>
      <w:numFmt w:val="bullet"/>
      <w:lvlText w:val="•"/>
      <w:lvlJc w:val="left"/>
      <w:pPr>
        <w:tabs>
          <w:tab w:val="num" w:pos="2160"/>
        </w:tabs>
        <w:ind w:left="2160" w:hanging="360"/>
      </w:pPr>
      <w:rPr>
        <w:rFonts w:ascii="Arial" w:hAnsi="Arial" w:hint="default"/>
      </w:rPr>
    </w:lvl>
    <w:lvl w:ilvl="3" w:tplc="7BA4CC38" w:tentative="1">
      <w:start w:val="1"/>
      <w:numFmt w:val="bullet"/>
      <w:lvlText w:val="•"/>
      <w:lvlJc w:val="left"/>
      <w:pPr>
        <w:tabs>
          <w:tab w:val="num" w:pos="2880"/>
        </w:tabs>
        <w:ind w:left="2880" w:hanging="360"/>
      </w:pPr>
      <w:rPr>
        <w:rFonts w:ascii="Arial" w:hAnsi="Arial" w:hint="default"/>
      </w:rPr>
    </w:lvl>
    <w:lvl w:ilvl="4" w:tplc="272E6342" w:tentative="1">
      <w:start w:val="1"/>
      <w:numFmt w:val="bullet"/>
      <w:lvlText w:val="•"/>
      <w:lvlJc w:val="left"/>
      <w:pPr>
        <w:tabs>
          <w:tab w:val="num" w:pos="3600"/>
        </w:tabs>
        <w:ind w:left="3600" w:hanging="360"/>
      </w:pPr>
      <w:rPr>
        <w:rFonts w:ascii="Arial" w:hAnsi="Arial" w:hint="default"/>
      </w:rPr>
    </w:lvl>
    <w:lvl w:ilvl="5" w:tplc="77B85C5C" w:tentative="1">
      <w:start w:val="1"/>
      <w:numFmt w:val="bullet"/>
      <w:lvlText w:val="•"/>
      <w:lvlJc w:val="left"/>
      <w:pPr>
        <w:tabs>
          <w:tab w:val="num" w:pos="4320"/>
        </w:tabs>
        <w:ind w:left="4320" w:hanging="360"/>
      </w:pPr>
      <w:rPr>
        <w:rFonts w:ascii="Arial" w:hAnsi="Arial" w:hint="default"/>
      </w:rPr>
    </w:lvl>
    <w:lvl w:ilvl="6" w:tplc="A4DC171A" w:tentative="1">
      <w:start w:val="1"/>
      <w:numFmt w:val="bullet"/>
      <w:lvlText w:val="•"/>
      <w:lvlJc w:val="left"/>
      <w:pPr>
        <w:tabs>
          <w:tab w:val="num" w:pos="5040"/>
        </w:tabs>
        <w:ind w:left="5040" w:hanging="360"/>
      </w:pPr>
      <w:rPr>
        <w:rFonts w:ascii="Arial" w:hAnsi="Arial" w:hint="default"/>
      </w:rPr>
    </w:lvl>
    <w:lvl w:ilvl="7" w:tplc="A60EF00A" w:tentative="1">
      <w:start w:val="1"/>
      <w:numFmt w:val="bullet"/>
      <w:lvlText w:val="•"/>
      <w:lvlJc w:val="left"/>
      <w:pPr>
        <w:tabs>
          <w:tab w:val="num" w:pos="5760"/>
        </w:tabs>
        <w:ind w:left="5760" w:hanging="360"/>
      </w:pPr>
      <w:rPr>
        <w:rFonts w:ascii="Arial" w:hAnsi="Arial" w:hint="default"/>
      </w:rPr>
    </w:lvl>
    <w:lvl w:ilvl="8" w:tplc="69CC2D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2C314E"/>
    <w:multiLevelType w:val="hybridMultilevel"/>
    <w:tmpl w:val="19321552"/>
    <w:lvl w:ilvl="0" w:tplc="FFFFFFFF">
      <w:start w:val="2"/>
      <w:numFmt w:val="bullet"/>
      <w:lvlText w:val="-"/>
      <w:lvlJc w:val="left"/>
      <w:pPr>
        <w:ind w:left="927" w:hanging="360"/>
      </w:pPr>
      <w:rPr>
        <w:rFonts w:ascii="Times New Roman" w:eastAsia="Times New Roman" w:hAnsi="Times New Roman" w:cs="Times New Roman" w:hint="default"/>
        <w:b/>
        <w:bCs w:val="0"/>
      </w:rPr>
    </w:lvl>
    <w:lvl w:ilvl="1" w:tplc="1382BC6C">
      <w:start w:val="1"/>
      <w:numFmt w:val="lowerLetter"/>
      <w:pStyle w:val="bullet"/>
      <w:lvlText w:val="(%2)"/>
      <w:lvlJc w:val="left"/>
      <w:pPr>
        <w:ind w:left="1429" w:hanging="360"/>
      </w:pPr>
      <w:rPr>
        <w:rFonts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num w:numId="1" w16cid:durableId="1228035391">
    <w:abstractNumId w:val="3"/>
  </w:num>
  <w:num w:numId="2" w16cid:durableId="2099204684">
    <w:abstractNumId w:val="2"/>
  </w:num>
  <w:num w:numId="3" w16cid:durableId="1209075411">
    <w:abstractNumId w:val="0"/>
  </w:num>
  <w:num w:numId="4" w16cid:durableId="164639614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63"/>
    <w:rsid w:val="00001F19"/>
    <w:rsid w:val="00002782"/>
    <w:rsid w:val="0000368F"/>
    <w:rsid w:val="0000487B"/>
    <w:rsid w:val="00005AF5"/>
    <w:rsid w:val="00005D70"/>
    <w:rsid w:val="00005EF4"/>
    <w:rsid w:val="00006BD4"/>
    <w:rsid w:val="00006E80"/>
    <w:rsid w:val="00006FDE"/>
    <w:rsid w:val="0000756A"/>
    <w:rsid w:val="000079C5"/>
    <w:rsid w:val="00010005"/>
    <w:rsid w:val="000100CD"/>
    <w:rsid w:val="000106E9"/>
    <w:rsid w:val="00010C69"/>
    <w:rsid w:val="00013F98"/>
    <w:rsid w:val="00014861"/>
    <w:rsid w:val="000150E7"/>
    <w:rsid w:val="00015E0A"/>
    <w:rsid w:val="00016153"/>
    <w:rsid w:val="00016748"/>
    <w:rsid w:val="00017314"/>
    <w:rsid w:val="0002051B"/>
    <w:rsid w:val="00023666"/>
    <w:rsid w:val="0002462C"/>
    <w:rsid w:val="0002511D"/>
    <w:rsid w:val="000251A7"/>
    <w:rsid w:val="00025A65"/>
    <w:rsid w:val="00025F6C"/>
    <w:rsid w:val="00027646"/>
    <w:rsid w:val="00031ADE"/>
    <w:rsid w:val="00033674"/>
    <w:rsid w:val="0003413C"/>
    <w:rsid w:val="000346A7"/>
    <w:rsid w:val="00035D3A"/>
    <w:rsid w:val="000365BF"/>
    <w:rsid w:val="00036DB7"/>
    <w:rsid w:val="00036E7A"/>
    <w:rsid w:val="000433EE"/>
    <w:rsid w:val="00043BF2"/>
    <w:rsid w:val="000479D0"/>
    <w:rsid w:val="00047F6A"/>
    <w:rsid w:val="00052754"/>
    <w:rsid w:val="00053664"/>
    <w:rsid w:val="00053EA2"/>
    <w:rsid w:val="00054B80"/>
    <w:rsid w:val="000559F7"/>
    <w:rsid w:val="00056259"/>
    <w:rsid w:val="0005696C"/>
    <w:rsid w:val="00060A83"/>
    <w:rsid w:val="000620FA"/>
    <w:rsid w:val="000638D1"/>
    <w:rsid w:val="00064B73"/>
    <w:rsid w:val="000661C8"/>
    <w:rsid w:val="0007007D"/>
    <w:rsid w:val="000706C4"/>
    <w:rsid w:val="00070DFB"/>
    <w:rsid w:val="00070FA7"/>
    <w:rsid w:val="00071604"/>
    <w:rsid w:val="0007173D"/>
    <w:rsid w:val="000735F7"/>
    <w:rsid w:val="00073A67"/>
    <w:rsid w:val="00073EE1"/>
    <w:rsid w:val="00076861"/>
    <w:rsid w:val="00076ACF"/>
    <w:rsid w:val="00077480"/>
    <w:rsid w:val="00077E12"/>
    <w:rsid w:val="00077EAB"/>
    <w:rsid w:val="0008134D"/>
    <w:rsid w:val="000814AC"/>
    <w:rsid w:val="00082156"/>
    <w:rsid w:val="00083213"/>
    <w:rsid w:val="000845F3"/>
    <w:rsid w:val="00084695"/>
    <w:rsid w:val="00086A41"/>
    <w:rsid w:val="000910E8"/>
    <w:rsid w:val="000911D3"/>
    <w:rsid w:val="00091E92"/>
    <w:rsid w:val="000922EE"/>
    <w:rsid w:val="000943F7"/>
    <w:rsid w:val="00094C01"/>
    <w:rsid w:val="00094FF1"/>
    <w:rsid w:val="000954EA"/>
    <w:rsid w:val="00095B0B"/>
    <w:rsid w:val="00097514"/>
    <w:rsid w:val="000A1034"/>
    <w:rsid w:val="000A105E"/>
    <w:rsid w:val="000A1618"/>
    <w:rsid w:val="000A2270"/>
    <w:rsid w:val="000A39E0"/>
    <w:rsid w:val="000A45BC"/>
    <w:rsid w:val="000A4C03"/>
    <w:rsid w:val="000A4FE3"/>
    <w:rsid w:val="000A75C2"/>
    <w:rsid w:val="000B13DE"/>
    <w:rsid w:val="000B3814"/>
    <w:rsid w:val="000B4A25"/>
    <w:rsid w:val="000B5716"/>
    <w:rsid w:val="000B5C6A"/>
    <w:rsid w:val="000B5CDA"/>
    <w:rsid w:val="000B6994"/>
    <w:rsid w:val="000B70E1"/>
    <w:rsid w:val="000C032D"/>
    <w:rsid w:val="000C10FD"/>
    <w:rsid w:val="000C2A72"/>
    <w:rsid w:val="000C3251"/>
    <w:rsid w:val="000C339B"/>
    <w:rsid w:val="000C4EC8"/>
    <w:rsid w:val="000C5475"/>
    <w:rsid w:val="000C562A"/>
    <w:rsid w:val="000C7415"/>
    <w:rsid w:val="000C7C09"/>
    <w:rsid w:val="000D1B91"/>
    <w:rsid w:val="000D25A8"/>
    <w:rsid w:val="000D3863"/>
    <w:rsid w:val="000D6B8E"/>
    <w:rsid w:val="000D7746"/>
    <w:rsid w:val="000D7FFA"/>
    <w:rsid w:val="000E103B"/>
    <w:rsid w:val="000E14E4"/>
    <w:rsid w:val="000E2944"/>
    <w:rsid w:val="000E2B37"/>
    <w:rsid w:val="000E3887"/>
    <w:rsid w:val="000E3BA5"/>
    <w:rsid w:val="000E439D"/>
    <w:rsid w:val="000E471F"/>
    <w:rsid w:val="000E49E7"/>
    <w:rsid w:val="000E5843"/>
    <w:rsid w:val="000E7DF8"/>
    <w:rsid w:val="000F0BFD"/>
    <w:rsid w:val="000F0F8C"/>
    <w:rsid w:val="000F33A2"/>
    <w:rsid w:val="000F3D3E"/>
    <w:rsid w:val="000F458E"/>
    <w:rsid w:val="000F48D6"/>
    <w:rsid w:val="000F556E"/>
    <w:rsid w:val="000F5BEB"/>
    <w:rsid w:val="000F7A90"/>
    <w:rsid w:val="000F7FEA"/>
    <w:rsid w:val="00101956"/>
    <w:rsid w:val="00103869"/>
    <w:rsid w:val="00103DFA"/>
    <w:rsid w:val="00104BEC"/>
    <w:rsid w:val="00105415"/>
    <w:rsid w:val="00106C36"/>
    <w:rsid w:val="00113699"/>
    <w:rsid w:val="00113705"/>
    <w:rsid w:val="00114362"/>
    <w:rsid w:val="0011554A"/>
    <w:rsid w:val="00116044"/>
    <w:rsid w:val="001174E8"/>
    <w:rsid w:val="001179EB"/>
    <w:rsid w:val="00117CAF"/>
    <w:rsid w:val="00117D27"/>
    <w:rsid w:val="001232B4"/>
    <w:rsid w:val="00123850"/>
    <w:rsid w:val="00125FB3"/>
    <w:rsid w:val="00126AE1"/>
    <w:rsid w:val="00126D60"/>
    <w:rsid w:val="00126EDA"/>
    <w:rsid w:val="0012729E"/>
    <w:rsid w:val="0012742E"/>
    <w:rsid w:val="0012744E"/>
    <w:rsid w:val="00131F4B"/>
    <w:rsid w:val="00132B7A"/>
    <w:rsid w:val="00133F46"/>
    <w:rsid w:val="00134AF2"/>
    <w:rsid w:val="001359E6"/>
    <w:rsid w:val="00136E93"/>
    <w:rsid w:val="001377CF"/>
    <w:rsid w:val="00137DFD"/>
    <w:rsid w:val="00137FD8"/>
    <w:rsid w:val="0014068F"/>
    <w:rsid w:val="00141D40"/>
    <w:rsid w:val="00143A1A"/>
    <w:rsid w:val="00144698"/>
    <w:rsid w:val="00145545"/>
    <w:rsid w:val="00146AF8"/>
    <w:rsid w:val="0014700C"/>
    <w:rsid w:val="00151A2D"/>
    <w:rsid w:val="00151AE2"/>
    <w:rsid w:val="00152CD7"/>
    <w:rsid w:val="0015360D"/>
    <w:rsid w:val="0015621D"/>
    <w:rsid w:val="001574FB"/>
    <w:rsid w:val="00160037"/>
    <w:rsid w:val="00160FA3"/>
    <w:rsid w:val="0016143B"/>
    <w:rsid w:val="00162933"/>
    <w:rsid w:val="00162E01"/>
    <w:rsid w:val="001652DD"/>
    <w:rsid w:val="001656ED"/>
    <w:rsid w:val="0016605E"/>
    <w:rsid w:val="001676F0"/>
    <w:rsid w:val="00167926"/>
    <w:rsid w:val="001703F9"/>
    <w:rsid w:val="00172188"/>
    <w:rsid w:val="00174586"/>
    <w:rsid w:val="00175EC2"/>
    <w:rsid w:val="00177A71"/>
    <w:rsid w:val="00177B37"/>
    <w:rsid w:val="00180EA2"/>
    <w:rsid w:val="00185A0E"/>
    <w:rsid w:val="00185F35"/>
    <w:rsid w:val="0018674A"/>
    <w:rsid w:val="0018706F"/>
    <w:rsid w:val="00187FB7"/>
    <w:rsid w:val="00191115"/>
    <w:rsid w:val="0019219D"/>
    <w:rsid w:val="00192449"/>
    <w:rsid w:val="00193B70"/>
    <w:rsid w:val="0019438E"/>
    <w:rsid w:val="001945DE"/>
    <w:rsid w:val="001948D2"/>
    <w:rsid w:val="00194EC3"/>
    <w:rsid w:val="00195B55"/>
    <w:rsid w:val="00197763"/>
    <w:rsid w:val="00197987"/>
    <w:rsid w:val="001A44AE"/>
    <w:rsid w:val="001A6C9C"/>
    <w:rsid w:val="001B1AEF"/>
    <w:rsid w:val="001B2D60"/>
    <w:rsid w:val="001B4E20"/>
    <w:rsid w:val="001B64F2"/>
    <w:rsid w:val="001C05CA"/>
    <w:rsid w:val="001C09E4"/>
    <w:rsid w:val="001C0C07"/>
    <w:rsid w:val="001C115B"/>
    <w:rsid w:val="001C11E2"/>
    <w:rsid w:val="001C2B80"/>
    <w:rsid w:val="001C350C"/>
    <w:rsid w:val="001C39AD"/>
    <w:rsid w:val="001C668C"/>
    <w:rsid w:val="001C7CA6"/>
    <w:rsid w:val="001D099B"/>
    <w:rsid w:val="001D1DBD"/>
    <w:rsid w:val="001D2658"/>
    <w:rsid w:val="001D279F"/>
    <w:rsid w:val="001D34EE"/>
    <w:rsid w:val="001D4025"/>
    <w:rsid w:val="001D7A6E"/>
    <w:rsid w:val="001E1902"/>
    <w:rsid w:val="001E279D"/>
    <w:rsid w:val="001E2D5C"/>
    <w:rsid w:val="001E2E3C"/>
    <w:rsid w:val="001E43DA"/>
    <w:rsid w:val="001E55DC"/>
    <w:rsid w:val="001E57BE"/>
    <w:rsid w:val="001E5F80"/>
    <w:rsid w:val="001E62B1"/>
    <w:rsid w:val="001F014B"/>
    <w:rsid w:val="001F06A1"/>
    <w:rsid w:val="001F0A42"/>
    <w:rsid w:val="001F0ED7"/>
    <w:rsid w:val="001F1F53"/>
    <w:rsid w:val="001F21D3"/>
    <w:rsid w:val="001F35DE"/>
    <w:rsid w:val="001F5445"/>
    <w:rsid w:val="001F5D59"/>
    <w:rsid w:val="001F6521"/>
    <w:rsid w:val="001F783F"/>
    <w:rsid w:val="002004A9"/>
    <w:rsid w:val="00200AE3"/>
    <w:rsid w:val="002035CC"/>
    <w:rsid w:val="00203645"/>
    <w:rsid w:val="00204604"/>
    <w:rsid w:val="00204C27"/>
    <w:rsid w:val="00204ED2"/>
    <w:rsid w:val="00204FFB"/>
    <w:rsid w:val="002059CB"/>
    <w:rsid w:val="00205A21"/>
    <w:rsid w:val="00210D62"/>
    <w:rsid w:val="00210E91"/>
    <w:rsid w:val="002117BA"/>
    <w:rsid w:val="00211D8A"/>
    <w:rsid w:val="002149A6"/>
    <w:rsid w:val="00215196"/>
    <w:rsid w:val="00216A63"/>
    <w:rsid w:val="002202A8"/>
    <w:rsid w:val="002212AE"/>
    <w:rsid w:val="00221767"/>
    <w:rsid w:val="002237E2"/>
    <w:rsid w:val="002238B0"/>
    <w:rsid w:val="002319CA"/>
    <w:rsid w:val="002319D0"/>
    <w:rsid w:val="00232383"/>
    <w:rsid w:val="00232D06"/>
    <w:rsid w:val="00233F38"/>
    <w:rsid w:val="002342B5"/>
    <w:rsid w:val="002352F1"/>
    <w:rsid w:val="002355B2"/>
    <w:rsid w:val="002357F5"/>
    <w:rsid w:val="0023622B"/>
    <w:rsid w:val="00236B12"/>
    <w:rsid w:val="00240390"/>
    <w:rsid w:val="0024161A"/>
    <w:rsid w:val="0024181B"/>
    <w:rsid w:val="00241E73"/>
    <w:rsid w:val="00242468"/>
    <w:rsid w:val="00243605"/>
    <w:rsid w:val="00244D0D"/>
    <w:rsid w:val="00244F8F"/>
    <w:rsid w:val="002460BE"/>
    <w:rsid w:val="002463D5"/>
    <w:rsid w:val="00246DE1"/>
    <w:rsid w:val="002512E2"/>
    <w:rsid w:val="00252002"/>
    <w:rsid w:val="00252264"/>
    <w:rsid w:val="00252F1C"/>
    <w:rsid w:val="00253240"/>
    <w:rsid w:val="0025344D"/>
    <w:rsid w:val="00253941"/>
    <w:rsid w:val="00254032"/>
    <w:rsid w:val="002552C9"/>
    <w:rsid w:val="0025533B"/>
    <w:rsid w:val="002570FF"/>
    <w:rsid w:val="002572F2"/>
    <w:rsid w:val="00261148"/>
    <w:rsid w:val="00261A14"/>
    <w:rsid w:val="00261D57"/>
    <w:rsid w:val="00262504"/>
    <w:rsid w:val="002641D9"/>
    <w:rsid w:val="0026539C"/>
    <w:rsid w:val="00267297"/>
    <w:rsid w:val="002701DE"/>
    <w:rsid w:val="00270BD7"/>
    <w:rsid w:val="00270CFA"/>
    <w:rsid w:val="0027151A"/>
    <w:rsid w:val="00271765"/>
    <w:rsid w:val="002727CB"/>
    <w:rsid w:val="002730B9"/>
    <w:rsid w:val="0027323D"/>
    <w:rsid w:val="0027325D"/>
    <w:rsid w:val="00274179"/>
    <w:rsid w:val="00274C59"/>
    <w:rsid w:val="00276666"/>
    <w:rsid w:val="00276D4E"/>
    <w:rsid w:val="0027715E"/>
    <w:rsid w:val="00277402"/>
    <w:rsid w:val="0028124D"/>
    <w:rsid w:val="0028227C"/>
    <w:rsid w:val="00284476"/>
    <w:rsid w:val="00285635"/>
    <w:rsid w:val="00290459"/>
    <w:rsid w:val="00291350"/>
    <w:rsid w:val="00291762"/>
    <w:rsid w:val="002919CA"/>
    <w:rsid w:val="00295A10"/>
    <w:rsid w:val="00295F2C"/>
    <w:rsid w:val="0029692B"/>
    <w:rsid w:val="00297D7D"/>
    <w:rsid w:val="002A002F"/>
    <w:rsid w:val="002A18B3"/>
    <w:rsid w:val="002A29F5"/>
    <w:rsid w:val="002A5BBD"/>
    <w:rsid w:val="002A756E"/>
    <w:rsid w:val="002A7816"/>
    <w:rsid w:val="002A7F90"/>
    <w:rsid w:val="002B0DC7"/>
    <w:rsid w:val="002B108D"/>
    <w:rsid w:val="002B2EAD"/>
    <w:rsid w:val="002B2F84"/>
    <w:rsid w:val="002B3346"/>
    <w:rsid w:val="002B3AD7"/>
    <w:rsid w:val="002B3C99"/>
    <w:rsid w:val="002B3D6D"/>
    <w:rsid w:val="002B471E"/>
    <w:rsid w:val="002B7798"/>
    <w:rsid w:val="002C07D7"/>
    <w:rsid w:val="002C1814"/>
    <w:rsid w:val="002C1A80"/>
    <w:rsid w:val="002C2ED6"/>
    <w:rsid w:val="002C3617"/>
    <w:rsid w:val="002C4FFF"/>
    <w:rsid w:val="002C5C60"/>
    <w:rsid w:val="002C62E3"/>
    <w:rsid w:val="002C651D"/>
    <w:rsid w:val="002C6BC8"/>
    <w:rsid w:val="002C739C"/>
    <w:rsid w:val="002D17C6"/>
    <w:rsid w:val="002D18B5"/>
    <w:rsid w:val="002D2802"/>
    <w:rsid w:val="002D38EC"/>
    <w:rsid w:val="002D3E2A"/>
    <w:rsid w:val="002D429A"/>
    <w:rsid w:val="002D4564"/>
    <w:rsid w:val="002D6BEE"/>
    <w:rsid w:val="002D745F"/>
    <w:rsid w:val="002D7E4B"/>
    <w:rsid w:val="002D7FB9"/>
    <w:rsid w:val="002E01E5"/>
    <w:rsid w:val="002E12C6"/>
    <w:rsid w:val="002E13C4"/>
    <w:rsid w:val="002E4078"/>
    <w:rsid w:val="002E460D"/>
    <w:rsid w:val="002E4BA5"/>
    <w:rsid w:val="002E4FC3"/>
    <w:rsid w:val="002E5341"/>
    <w:rsid w:val="002E5F62"/>
    <w:rsid w:val="002E77BA"/>
    <w:rsid w:val="002F08E2"/>
    <w:rsid w:val="002F0EF2"/>
    <w:rsid w:val="002F2702"/>
    <w:rsid w:val="002F2FD6"/>
    <w:rsid w:val="002F4CAE"/>
    <w:rsid w:val="002F5B8A"/>
    <w:rsid w:val="002F6938"/>
    <w:rsid w:val="0030056F"/>
    <w:rsid w:val="003008BA"/>
    <w:rsid w:val="00301519"/>
    <w:rsid w:val="003018EF"/>
    <w:rsid w:val="0030221B"/>
    <w:rsid w:val="003038E8"/>
    <w:rsid w:val="00303B68"/>
    <w:rsid w:val="003054DD"/>
    <w:rsid w:val="00305C86"/>
    <w:rsid w:val="0030629E"/>
    <w:rsid w:val="003062BF"/>
    <w:rsid w:val="00306BCB"/>
    <w:rsid w:val="00306DF1"/>
    <w:rsid w:val="00307FB7"/>
    <w:rsid w:val="00311ED2"/>
    <w:rsid w:val="0031221A"/>
    <w:rsid w:val="0031237F"/>
    <w:rsid w:val="003127F1"/>
    <w:rsid w:val="00312D10"/>
    <w:rsid w:val="00313A8D"/>
    <w:rsid w:val="003146DD"/>
    <w:rsid w:val="00315DBF"/>
    <w:rsid w:val="00320D4A"/>
    <w:rsid w:val="00320F47"/>
    <w:rsid w:val="00322195"/>
    <w:rsid w:val="003224CC"/>
    <w:rsid w:val="003231B1"/>
    <w:rsid w:val="00323351"/>
    <w:rsid w:val="00324194"/>
    <w:rsid w:val="0032577F"/>
    <w:rsid w:val="00326A0D"/>
    <w:rsid w:val="00326EC5"/>
    <w:rsid w:val="00326EE0"/>
    <w:rsid w:val="00327497"/>
    <w:rsid w:val="00327CA6"/>
    <w:rsid w:val="00330191"/>
    <w:rsid w:val="003307A2"/>
    <w:rsid w:val="003310AA"/>
    <w:rsid w:val="00332C9C"/>
    <w:rsid w:val="00332D63"/>
    <w:rsid w:val="00334332"/>
    <w:rsid w:val="00335633"/>
    <w:rsid w:val="00340523"/>
    <w:rsid w:val="003430A9"/>
    <w:rsid w:val="0034325F"/>
    <w:rsid w:val="00344B8E"/>
    <w:rsid w:val="00344F77"/>
    <w:rsid w:val="003457C8"/>
    <w:rsid w:val="003459BB"/>
    <w:rsid w:val="00345D4C"/>
    <w:rsid w:val="00347599"/>
    <w:rsid w:val="00347EC5"/>
    <w:rsid w:val="00350BB2"/>
    <w:rsid w:val="00353AF4"/>
    <w:rsid w:val="00354A2A"/>
    <w:rsid w:val="00355012"/>
    <w:rsid w:val="003565DB"/>
    <w:rsid w:val="0035795E"/>
    <w:rsid w:val="00360B2E"/>
    <w:rsid w:val="00363CCC"/>
    <w:rsid w:val="00365C04"/>
    <w:rsid w:val="00366F94"/>
    <w:rsid w:val="00367987"/>
    <w:rsid w:val="00370165"/>
    <w:rsid w:val="0037018A"/>
    <w:rsid w:val="00370D9B"/>
    <w:rsid w:val="0037109B"/>
    <w:rsid w:val="00372E69"/>
    <w:rsid w:val="0037439D"/>
    <w:rsid w:val="003746E5"/>
    <w:rsid w:val="00376215"/>
    <w:rsid w:val="00376432"/>
    <w:rsid w:val="003771ED"/>
    <w:rsid w:val="003773CF"/>
    <w:rsid w:val="00377742"/>
    <w:rsid w:val="0038393A"/>
    <w:rsid w:val="003845DC"/>
    <w:rsid w:val="00386B21"/>
    <w:rsid w:val="00387C7E"/>
    <w:rsid w:val="00390133"/>
    <w:rsid w:val="00390C1A"/>
    <w:rsid w:val="003914CF"/>
    <w:rsid w:val="003915F0"/>
    <w:rsid w:val="003918B0"/>
    <w:rsid w:val="00392C6B"/>
    <w:rsid w:val="0039464A"/>
    <w:rsid w:val="00395B3F"/>
    <w:rsid w:val="00396A9E"/>
    <w:rsid w:val="00396DC1"/>
    <w:rsid w:val="00396F63"/>
    <w:rsid w:val="003A05B0"/>
    <w:rsid w:val="003A0875"/>
    <w:rsid w:val="003A2E87"/>
    <w:rsid w:val="003A2FAA"/>
    <w:rsid w:val="003A4166"/>
    <w:rsid w:val="003A4B72"/>
    <w:rsid w:val="003A6360"/>
    <w:rsid w:val="003A6561"/>
    <w:rsid w:val="003A74FE"/>
    <w:rsid w:val="003A7C0F"/>
    <w:rsid w:val="003B0761"/>
    <w:rsid w:val="003B0C15"/>
    <w:rsid w:val="003B1610"/>
    <w:rsid w:val="003B2890"/>
    <w:rsid w:val="003B2DE9"/>
    <w:rsid w:val="003B4E84"/>
    <w:rsid w:val="003B5016"/>
    <w:rsid w:val="003B544B"/>
    <w:rsid w:val="003B6A30"/>
    <w:rsid w:val="003B7CAF"/>
    <w:rsid w:val="003C027B"/>
    <w:rsid w:val="003C0B25"/>
    <w:rsid w:val="003C0BF4"/>
    <w:rsid w:val="003C1D7F"/>
    <w:rsid w:val="003C614C"/>
    <w:rsid w:val="003C6361"/>
    <w:rsid w:val="003C7C7E"/>
    <w:rsid w:val="003D0C15"/>
    <w:rsid w:val="003D1C6E"/>
    <w:rsid w:val="003D33B7"/>
    <w:rsid w:val="003D56A2"/>
    <w:rsid w:val="003D5BBC"/>
    <w:rsid w:val="003D7B3B"/>
    <w:rsid w:val="003E0446"/>
    <w:rsid w:val="003E3B08"/>
    <w:rsid w:val="003E4E67"/>
    <w:rsid w:val="003E5A27"/>
    <w:rsid w:val="003E7062"/>
    <w:rsid w:val="003E7563"/>
    <w:rsid w:val="003F311F"/>
    <w:rsid w:val="003F448C"/>
    <w:rsid w:val="003F4C88"/>
    <w:rsid w:val="003F6B21"/>
    <w:rsid w:val="003F6CB5"/>
    <w:rsid w:val="003F7113"/>
    <w:rsid w:val="003F7280"/>
    <w:rsid w:val="004003E7"/>
    <w:rsid w:val="00401445"/>
    <w:rsid w:val="00401550"/>
    <w:rsid w:val="004016B0"/>
    <w:rsid w:val="00402E20"/>
    <w:rsid w:val="004039FB"/>
    <w:rsid w:val="004042E1"/>
    <w:rsid w:val="004048B5"/>
    <w:rsid w:val="004049E9"/>
    <w:rsid w:val="004059E9"/>
    <w:rsid w:val="00410768"/>
    <w:rsid w:val="00414264"/>
    <w:rsid w:val="00415467"/>
    <w:rsid w:val="00415D4D"/>
    <w:rsid w:val="0041656C"/>
    <w:rsid w:val="00416E8E"/>
    <w:rsid w:val="00417A73"/>
    <w:rsid w:val="00417B29"/>
    <w:rsid w:val="00421709"/>
    <w:rsid w:val="00422528"/>
    <w:rsid w:val="004229AC"/>
    <w:rsid w:val="004240DC"/>
    <w:rsid w:val="00424CBD"/>
    <w:rsid w:val="00424FF9"/>
    <w:rsid w:val="00425032"/>
    <w:rsid w:val="004276B3"/>
    <w:rsid w:val="0042789E"/>
    <w:rsid w:val="00430408"/>
    <w:rsid w:val="00430DDC"/>
    <w:rsid w:val="00431391"/>
    <w:rsid w:val="0043159E"/>
    <w:rsid w:val="00433908"/>
    <w:rsid w:val="00433DB9"/>
    <w:rsid w:val="004372A9"/>
    <w:rsid w:val="00437C40"/>
    <w:rsid w:val="00441871"/>
    <w:rsid w:val="00441CE6"/>
    <w:rsid w:val="004422D8"/>
    <w:rsid w:val="00443B5E"/>
    <w:rsid w:val="00444030"/>
    <w:rsid w:val="00444B07"/>
    <w:rsid w:val="00445ECE"/>
    <w:rsid w:val="0044640D"/>
    <w:rsid w:val="00447B05"/>
    <w:rsid w:val="00450404"/>
    <w:rsid w:val="00450E96"/>
    <w:rsid w:val="00450F07"/>
    <w:rsid w:val="00452B1C"/>
    <w:rsid w:val="00452FB0"/>
    <w:rsid w:val="00453B00"/>
    <w:rsid w:val="004543D7"/>
    <w:rsid w:val="00457472"/>
    <w:rsid w:val="004577FD"/>
    <w:rsid w:val="004615BE"/>
    <w:rsid w:val="00461A28"/>
    <w:rsid w:val="00461D2C"/>
    <w:rsid w:val="004624AB"/>
    <w:rsid w:val="00462D4F"/>
    <w:rsid w:val="00465E4C"/>
    <w:rsid w:val="00466EBB"/>
    <w:rsid w:val="00467C1E"/>
    <w:rsid w:val="004703BE"/>
    <w:rsid w:val="00471FCE"/>
    <w:rsid w:val="0047423F"/>
    <w:rsid w:val="00476954"/>
    <w:rsid w:val="00477A2E"/>
    <w:rsid w:val="00481A49"/>
    <w:rsid w:val="00481FCA"/>
    <w:rsid w:val="004827EF"/>
    <w:rsid w:val="00483762"/>
    <w:rsid w:val="00484134"/>
    <w:rsid w:val="004854E9"/>
    <w:rsid w:val="004860BD"/>
    <w:rsid w:val="00487CE8"/>
    <w:rsid w:val="00492947"/>
    <w:rsid w:val="004931E9"/>
    <w:rsid w:val="0049338C"/>
    <w:rsid w:val="00493BA3"/>
    <w:rsid w:val="00494D9C"/>
    <w:rsid w:val="004950AD"/>
    <w:rsid w:val="00495737"/>
    <w:rsid w:val="0049661F"/>
    <w:rsid w:val="00496C5F"/>
    <w:rsid w:val="004A0BAE"/>
    <w:rsid w:val="004A1622"/>
    <w:rsid w:val="004A33E0"/>
    <w:rsid w:val="004A48C8"/>
    <w:rsid w:val="004A523B"/>
    <w:rsid w:val="004A6A77"/>
    <w:rsid w:val="004A7E3E"/>
    <w:rsid w:val="004B091E"/>
    <w:rsid w:val="004B2906"/>
    <w:rsid w:val="004B3097"/>
    <w:rsid w:val="004B3504"/>
    <w:rsid w:val="004B386B"/>
    <w:rsid w:val="004B4F60"/>
    <w:rsid w:val="004B66AB"/>
    <w:rsid w:val="004B69FC"/>
    <w:rsid w:val="004B722F"/>
    <w:rsid w:val="004B72EA"/>
    <w:rsid w:val="004C0A5F"/>
    <w:rsid w:val="004C1A58"/>
    <w:rsid w:val="004C248F"/>
    <w:rsid w:val="004C28B1"/>
    <w:rsid w:val="004C43A2"/>
    <w:rsid w:val="004C4737"/>
    <w:rsid w:val="004C60FB"/>
    <w:rsid w:val="004C6333"/>
    <w:rsid w:val="004C675A"/>
    <w:rsid w:val="004C6F42"/>
    <w:rsid w:val="004C7F46"/>
    <w:rsid w:val="004D0F33"/>
    <w:rsid w:val="004D16DC"/>
    <w:rsid w:val="004D1A56"/>
    <w:rsid w:val="004D3BBE"/>
    <w:rsid w:val="004D3E95"/>
    <w:rsid w:val="004D5749"/>
    <w:rsid w:val="004D58ED"/>
    <w:rsid w:val="004D7EF0"/>
    <w:rsid w:val="004E044A"/>
    <w:rsid w:val="004E0D2D"/>
    <w:rsid w:val="004E1F2E"/>
    <w:rsid w:val="004E2B33"/>
    <w:rsid w:val="004E2B52"/>
    <w:rsid w:val="004E2BB2"/>
    <w:rsid w:val="004E444D"/>
    <w:rsid w:val="004E4C3B"/>
    <w:rsid w:val="004E5139"/>
    <w:rsid w:val="004E6398"/>
    <w:rsid w:val="004F1E9D"/>
    <w:rsid w:val="004F49AD"/>
    <w:rsid w:val="004F6049"/>
    <w:rsid w:val="004F7EB8"/>
    <w:rsid w:val="00501B11"/>
    <w:rsid w:val="00502290"/>
    <w:rsid w:val="00503B25"/>
    <w:rsid w:val="00504609"/>
    <w:rsid w:val="00507B55"/>
    <w:rsid w:val="0051005B"/>
    <w:rsid w:val="0051102E"/>
    <w:rsid w:val="00514423"/>
    <w:rsid w:val="00515694"/>
    <w:rsid w:val="005156FD"/>
    <w:rsid w:val="00517330"/>
    <w:rsid w:val="00522BE4"/>
    <w:rsid w:val="00522F03"/>
    <w:rsid w:val="0052333F"/>
    <w:rsid w:val="00524BA8"/>
    <w:rsid w:val="00526193"/>
    <w:rsid w:val="00530779"/>
    <w:rsid w:val="00531674"/>
    <w:rsid w:val="005327D9"/>
    <w:rsid w:val="00534398"/>
    <w:rsid w:val="0053457E"/>
    <w:rsid w:val="00534F85"/>
    <w:rsid w:val="0053504F"/>
    <w:rsid w:val="005353F9"/>
    <w:rsid w:val="00536236"/>
    <w:rsid w:val="005363EF"/>
    <w:rsid w:val="005414BC"/>
    <w:rsid w:val="00542464"/>
    <w:rsid w:val="0054377B"/>
    <w:rsid w:val="00544BD5"/>
    <w:rsid w:val="00544F9E"/>
    <w:rsid w:val="00545070"/>
    <w:rsid w:val="005450EF"/>
    <w:rsid w:val="005454A7"/>
    <w:rsid w:val="005503AD"/>
    <w:rsid w:val="00550A61"/>
    <w:rsid w:val="00550E7F"/>
    <w:rsid w:val="005521E9"/>
    <w:rsid w:val="005526D1"/>
    <w:rsid w:val="00553780"/>
    <w:rsid w:val="00553A10"/>
    <w:rsid w:val="00553B5F"/>
    <w:rsid w:val="0055426A"/>
    <w:rsid w:val="00554992"/>
    <w:rsid w:val="00557B87"/>
    <w:rsid w:val="0056409A"/>
    <w:rsid w:val="00564EDC"/>
    <w:rsid w:val="0056641E"/>
    <w:rsid w:val="005666A2"/>
    <w:rsid w:val="00566EE3"/>
    <w:rsid w:val="0056734C"/>
    <w:rsid w:val="0056756E"/>
    <w:rsid w:val="005719A5"/>
    <w:rsid w:val="00572122"/>
    <w:rsid w:val="005737A2"/>
    <w:rsid w:val="00573822"/>
    <w:rsid w:val="00575277"/>
    <w:rsid w:val="005765FA"/>
    <w:rsid w:val="00576DB5"/>
    <w:rsid w:val="00577D51"/>
    <w:rsid w:val="00580F15"/>
    <w:rsid w:val="00581E50"/>
    <w:rsid w:val="00585AC9"/>
    <w:rsid w:val="00586DB9"/>
    <w:rsid w:val="00592146"/>
    <w:rsid w:val="00593872"/>
    <w:rsid w:val="00594071"/>
    <w:rsid w:val="00594B62"/>
    <w:rsid w:val="0059507C"/>
    <w:rsid w:val="00596466"/>
    <w:rsid w:val="00596523"/>
    <w:rsid w:val="00596C06"/>
    <w:rsid w:val="00597355"/>
    <w:rsid w:val="00597DF6"/>
    <w:rsid w:val="005A05B0"/>
    <w:rsid w:val="005A271E"/>
    <w:rsid w:val="005A331A"/>
    <w:rsid w:val="005A66CF"/>
    <w:rsid w:val="005A6CD8"/>
    <w:rsid w:val="005A6F36"/>
    <w:rsid w:val="005A6F73"/>
    <w:rsid w:val="005A70FA"/>
    <w:rsid w:val="005B170A"/>
    <w:rsid w:val="005B17F3"/>
    <w:rsid w:val="005B1FEF"/>
    <w:rsid w:val="005B22E5"/>
    <w:rsid w:val="005B4A77"/>
    <w:rsid w:val="005B5A8D"/>
    <w:rsid w:val="005B5BBE"/>
    <w:rsid w:val="005B6A82"/>
    <w:rsid w:val="005B7AEE"/>
    <w:rsid w:val="005C0D50"/>
    <w:rsid w:val="005C109D"/>
    <w:rsid w:val="005C245B"/>
    <w:rsid w:val="005C299C"/>
    <w:rsid w:val="005C32CA"/>
    <w:rsid w:val="005C47A2"/>
    <w:rsid w:val="005C56F9"/>
    <w:rsid w:val="005C5948"/>
    <w:rsid w:val="005C5999"/>
    <w:rsid w:val="005C61F5"/>
    <w:rsid w:val="005C63FD"/>
    <w:rsid w:val="005C68C3"/>
    <w:rsid w:val="005D0CA7"/>
    <w:rsid w:val="005D1F5D"/>
    <w:rsid w:val="005D24DA"/>
    <w:rsid w:val="005D2B83"/>
    <w:rsid w:val="005D2D3C"/>
    <w:rsid w:val="005D3081"/>
    <w:rsid w:val="005D4B3D"/>
    <w:rsid w:val="005D545A"/>
    <w:rsid w:val="005D5DF2"/>
    <w:rsid w:val="005D6868"/>
    <w:rsid w:val="005D6A56"/>
    <w:rsid w:val="005E0680"/>
    <w:rsid w:val="005E1EDE"/>
    <w:rsid w:val="005E219F"/>
    <w:rsid w:val="005E2F9D"/>
    <w:rsid w:val="005E3164"/>
    <w:rsid w:val="005E3528"/>
    <w:rsid w:val="005E3D1D"/>
    <w:rsid w:val="005E4490"/>
    <w:rsid w:val="005E6367"/>
    <w:rsid w:val="005E6BCA"/>
    <w:rsid w:val="005E7BC2"/>
    <w:rsid w:val="005F1938"/>
    <w:rsid w:val="005F2368"/>
    <w:rsid w:val="005F2E57"/>
    <w:rsid w:val="005F3814"/>
    <w:rsid w:val="005F42A2"/>
    <w:rsid w:val="005F4E8B"/>
    <w:rsid w:val="005F68F3"/>
    <w:rsid w:val="005F6AC4"/>
    <w:rsid w:val="005F7231"/>
    <w:rsid w:val="00600BDB"/>
    <w:rsid w:val="00600C99"/>
    <w:rsid w:val="00600DDB"/>
    <w:rsid w:val="00601738"/>
    <w:rsid w:val="0060540D"/>
    <w:rsid w:val="00605647"/>
    <w:rsid w:val="00606075"/>
    <w:rsid w:val="0060731C"/>
    <w:rsid w:val="0061146D"/>
    <w:rsid w:val="006116FB"/>
    <w:rsid w:val="00612DD8"/>
    <w:rsid w:val="00612DE3"/>
    <w:rsid w:val="00613890"/>
    <w:rsid w:val="006140FD"/>
    <w:rsid w:val="006141FC"/>
    <w:rsid w:val="0061696A"/>
    <w:rsid w:val="00617ACE"/>
    <w:rsid w:val="00620A04"/>
    <w:rsid w:val="00620F66"/>
    <w:rsid w:val="00624258"/>
    <w:rsid w:val="0062600A"/>
    <w:rsid w:val="00627D5C"/>
    <w:rsid w:val="006304DC"/>
    <w:rsid w:val="00631689"/>
    <w:rsid w:val="00631A41"/>
    <w:rsid w:val="00632574"/>
    <w:rsid w:val="00632E74"/>
    <w:rsid w:val="006338E6"/>
    <w:rsid w:val="00633BDD"/>
    <w:rsid w:val="00634ACF"/>
    <w:rsid w:val="006352D7"/>
    <w:rsid w:val="006363AC"/>
    <w:rsid w:val="00640E8A"/>
    <w:rsid w:val="00642EE3"/>
    <w:rsid w:val="0064307A"/>
    <w:rsid w:val="00643B4C"/>
    <w:rsid w:val="006456A0"/>
    <w:rsid w:val="00646CA7"/>
    <w:rsid w:val="006500C9"/>
    <w:rsid w:val="006504F7"/>
    <w:rsid w:val="00650B2E"/>
    <w:rsid w:val="006545B4"/>
    <w:rsid w:val="00654937"/>
    <w:rsid w:val="0065528E"/>
    <w:rsid w:val="0065591C"/>
    <w:rsid w:val="00657312"/>
    <w:rsid w:val="006576DC"/>
    <w:rsid w:val="00657CC8"/>
    <w:rsid w:val="0066066C"/>
    <w:rsid w:val="0066414A"/>
    <w:rsid w:val="0066515A"/>
    <w:rsid w:val="006654CC"/>
    <w:rsid w:val="0066660B"/>
    <w:rsid w:val="00666635"/>
    <w:rsid w:val="00667A0E"/>
    <w:rsid w:val="00670118"/>
    <w:rsid w:val="00670593"/>
    <w:rsid w:val="00672C6F"/>
    <w:rsid w:val="006757D2"/>
    <w:rsid w:val="0067703C"/>
    <w:rsid w:val="00677C92"/>
    <w:rsid w:val="00681863"/>
    <w:rsid w:val="00681CD0"/>
    <w:rsid w:val="00684C20"/>
    <w:rsid w:val="00685520"/>
    <w:rsid w:val="00686566"/>
    <w:rsid w:val="00686A9C"/>
    <w:rsid w:val="00686DD7"/>
    <w:rsid w:val="00690CFC"/>
    <w:rsid w:val="006914C0"/>
    <w:rsid w:val="00691517"/>
    <w:rsid w:val="00691C0A"/>
    <w:rsid w:val="00691DC9"/>
    <w:rsid w:val="00692925"/>
    <w:rsid w:val="0069324D"/>
    <w:rsid w:val="006944B1"/>
    <w:rsid w:val="00694BF6"/>
    <w:rsid w:val="0069665C"/>
    <w:rsid w:val="006A00F6"/>
    <w:rsid w:val="006A1D49"/>
    <w:rsid w:val="006A2952"/>
    <w:rsid w:val="006A438E"/>
    <w:rsid w:val="006A70D7"/>
    <w:rsid w:val="006A7352"/>
    <w:rsid w:val="006A79D5"/>
    <w:rsid w:val="006B145E"/>
    <w:rsid w:val="006B2251"/>
    <w:rsid w:val="006B24E0"/>
    <w:rsid w:val="006B261C"/>
    <w:rsid w:val="006B5231"/>
    <w:rsid w:val="006B6432"/>
    <w:rsid w:val="006C12BB"/>
    <w:rsid w:val="006C2A69"/>
    <w:rsid w:val="006C326F"/>
    <w:rsid w:val="006C453A"/>
    <w:rsid w:val="006C4F75"/>
    <w:rsid w:val="006C55FD"/>
    <w:rsid w:val="006C612E"/>
    <w:rsid w:val="006C759B"/>
    <w:rsid w:val="006C7D8E"/>
    <w:rsid w:val="006D12B2"/>
    <w:rsid w:val="006D38F3"/>
    <w:rsid w:val="006D3C8A"/>
    <w:rsid w:val="006D60D2"/>
    <w:rsid w:val="006D6B33"/>
    <w:rsid w:val="006D77C7"/>
    <w:rsid w:val="006D7816"/>
    <w:rsid w:val="006D7C68"/>
    <w:rsid w:val="006D7EE2"/>
    <w:rsid w:val="006E1743"/>
    <w:rsid w:val="006E1982"/>
    <w:rsid w:val="006E22BC"/>
    <w:rsid w:val="006E2BFD"/>
    <w:rsid w:val="006E6887"/>
    <w:rsid w:val="006E7C56"/>
    <w:rsid w:val="006E7EB2"/>
    <w:rsid w:val="006F0FE7"/>
    <w:rsid w:val="006F2243"/>
    <w:rsid w:val="006F2AF3"/>
    <w:rsid w:val="006F2F3E"/>
    <w:rsid w:val="006F3730"/>
    <w:rsid w:val="006F3BE2"/>
    <w:rsid w:val="006F5785"/>
    <w:rsid w:val="006F6D40"/>
    <w:rsid w:val="006F6E5E"/>
    <w:rsid w:val="006F7A17"/>
    <w:rsid w:val="0070168F"/>
    <w:rsid w:val="00702368"/>
    <w:rsid w:val="00702E1E"/>
    <w:rsid w:val="00703282"/>
    <w:rsid w:val="00704031"/>
    <w:rsid w:val="007043E0"/>
    <w:rsid w:val="00705B10"/>
    <w:rsid w:val="00705F8F"/>
    <w:rsid w:val="0070642B"/>
    <w:rsid w:val="00707062"/>
    <w:rsid w:val="00707BAD"/>
    <w:rsid w:val="007106D5"/>
    <w:rsid w:val="00710CF8"/>
    <w:rsid w:val="0071318F"/>
    <w:rsid w:val="007200B7"/>
    <w:rsid w:val="00721C25"/>
    <w:rsid w:val="00724BD8"/>
    <w:rsid w:val="0072561F"/>
    <w:rsid w:val="00725D29"/>
    <w:rsid w:val="00726EB9"/>
    <w:rsid w:val="00727045"/>
    <w:rsid w:val="0072773F"/>
    <w:rsid w:val="0073031F"/>
    <w:rsid w:val="00731699"/>
    <w:rsid w:val="00731B7F"/>
    <w:rsid w:val="0073344D"/>
    <w:rsid w:val="00733E7E"/>
    <w:rsid w:val="00733FC1"/>
    <w:rsid w:val="007343FB"/>
    <w:rsid w:val="007348F3"/>
    <w:rsid w:val="007366C7"/>
    <w:rsid w:val="00736BA9"/>
    <w:rsid w:val="00736D51"/>
    <w:rsid w:val="00736E79"/>
    <w:rsid w:val="00737CAC"/>
    <w:rsid w:val="00740C42"/>
    <w:rsid w:val="007419E7"/>
    <w:rsid w:val="00743A3A"/>
    <w:rsid w:val="0074410E"/>
    <w:rsid w:val="00745620"/>
    <w:rsid w:val="007458BD"/>
    <w:rsid w:val="00745919"/>
    <w:rsid w:val="00746432"/>
    <w:rsid w:val="007507AB"/>
    <w:rsid w:val="00752379"/>
    <w:rsid w:val="00752756"/>
    <w:rsid w:val="00754DCF"/>
    <w:rsid w:val="007558C2"/>
    <w:rsid w:val="0075604A"/>
    <w:rsid w:val="00756FD4"/>
    <w:rsid w:val="00757B78"/>
    <w:rsid w:val="00757F58"/>
    <w:rsid w:val="007602B8"/>
    <w:rsid w:val="00760B38"/>
    <w:rsid w:val="00762CAE"/>
    <w:rsid w:val="00763874"/>
    <w:rsid w:val="00764037"/>
    <w:rsid w:val="007642CF"/>
    <w:rsid w:val="00764F4B"/>
    <w:rsid w:val="0076545D"/>
    <w:rsid w:val="00765AE9"/>
    <w:rsid w:val="00770057"/>
    <w:rsid w:val="007706B9"/>
    <w:rsid w:val="00770FBA"/>
    <w:rsid w:val="00771D13"/>
    <w:rsid w:val="00772098"/>
    <w:rsid w:val="00772467"/>
    <w:rsid w:val="00774636"/>
    <w:rsid w:val="007774BE"/>
    <w:rsid w:val="00777879"/>
    <w:rsid w:val="00777BF6"/>
    <w:rsid w:val="00777F3C"/>
    <w:rsid w:val="00780E76"/>
    <w:rsid w:val="00782201"/>
    <w:rsid w:val="0078229A"/>
    <w:rsid w:val="00782362"/>
    <w:rsid w:val="00782671"/>
    <w:rsid w:val="0078308B"/>
    <w:rsid w:val="00783412"/>
    <w:rsid w:val="00783703"/>
    <w:rsid w:val="00784574"/>
    <w:rsid w:val="00784834"/>
    <w:rsid w:val="007852E6"/>
    <w:rsid w:val="007855D3"/>
    <w:rsid w:val="007856CC"/>
    <w:rsid w:val="007871D8"/>
    <w:rsid w:val="0078784D"/>
    <w:rsid w:val="0078796F"/>
    <w:rsid w:val="0079022E"/>
    <w:rsid w:val="007902F3"/>
    <w:rsid w:val="0079132D"/>
    <w:rsid w:val="0079205C"/>
    <w:rsid w:val="0079245C"/>
    <w:rsid w:val="00793919"/>
    <w:rsid w:val="007948F7"/>
    <w:rsid w:val="0079650C"/>
    <w:rsid w:val="007A0AF4"/>
    <w:rsid w:val="007A1DA7"/>
    <w:rsid w:val="007A296A"/>
    <w:rsid w:val="007A2FDC"/>
    <w:rsid w:val="007A390A"/>
    <w:rsid w:val="007A4AD0"/>
    <w:rsid w:val="007A704A"/>
    <w:rsid w:val="007A773B"/>
    <w:rsid w:val="007B0047"/>
    <w:rsid w:val="007B0260"/>
    <w:rsid w:val="007B0477"/>
    <w:rsid w:val="007B0D7E"/>
    <w:rsid w:val="007B17D9"/>
    <w:rsid w:val="007B4B55"/>
    <w:rsid w:val="007B5B07"/>
    <w:rsid w:val="007B69B4"/>
    <w:rsid w:val="007C00CB"/>
    <w:rsid w:val="007C0E20"/>
    <w:rsid w:val="007C1B81"/>
    <w:rsid w:val="007C3D4B"/>
    <w:rsid w:val="007C4B3C"/>
    <w:rsid w:val="007C4E5C"/>
    <w:rsid w:val="007C6999"/>
    <w:rsid w:val="007C7D7B"/>
    <w:rsid w:val="007D3933"/>
    <w:rsid w:val="007D3A5C"/>
    <w:rsid w:val="007D6D98"/>
    <w:rsid w:val="007E0228"/>
    <w:rsid w:val="007E10F8"/>
    <w:rsid w:val="007E11ED"/>
    <w:rsid w:val="007E4105"/>
    <w:rsid w:val="007E46AF"/>
    <w:rsid w:val="007E483E"/>
    <w:rsid w:val="007E5824"/>
    <w:rsid w:val="007E5ADE"/>
    <w:rsid w:val="007E7218"/>
    <w:rsid w:val="007E798B"/>
    <w:rsid w:val="007F1831"/>
    <w:rsid w:val="007F1B05"/>
    <w:rsid w:val="007F1B59"/>
    <w:rsid w:val="007F285E"/>
    <w:rsid w:val="007F2ECC"/>
    <w:rsid w:val="007F3B7D"/>
    <w:rsid w:val="007F4142"/>
    <w:rsid w:val="007F706C"/>
    <w:rsid w:val="0080179D"/>
    <w:rsid w:val="00801C9B"/>
    <w:rsid w:val="00801DFE"/>
    <w:rsid w:val="00802159"/>
    <w:rsid w:val="00802526"/>
    <w:rsid w:val="008048A0"/>
    <w:rsid w:val="00805DDA"/>
    <w:rsid w:val="00805F49"/>
    <w:rsid w:val="008067A5"/>
    <w:rsid w:val="00807219"/>
    <w:rsid w:val="00807CF3"/>
    <w:rsid w:val="0081074A"/>
    <w:rsid w:val="00810CB9"/>
    <w:rsid w:val="008117EF"/>
    <w:rsid w:val="00813811"/>
    <w:rsid w:val="00813F1F"/>
    <w:rsid w:val="008143F4"/>
    <w:rsid w:val="0081467B"/>
    <w:rsid w:val="00814C24"/>
    <w:rsid w:val="00814F3A"/>
    <w:rsid w:val="00816005"/>
    <w:rsid w:val="00816AD7"/>
    <w:rsid w:val="00817399"/>
    <w:rsid w:val="00817631"/>
    <w:rsid w:val="00820049"/>
    <w:rsid w:val="00823559"/>
    <w:rsid w:val="00824EE2"/>
    <w:rsid w:val="008256F2"/>
    <w:rsid w:val="008265DE"/>
    <w:rsid w:val="00826920"/>
    <w:rsid w:val="00826E2E"/>
    <w:rsid w:val="0082737E"/>
    <w:rsid w:val="00827577"/>
    <w:rsid w:val="00832E3A"/>
    <w:rsid w:val="0083523E"/>
    <w:rsid w:val="0083524E"/>
    <w:rsid w:val="008360E1"/>
    <w:rsid w:val="00836D2B"/>
    <w:rsid w:val="00841219"/>
    <w:rsid w:val="0084147D"/>
    <w:rsid w:val="00842C5E"/>
    <w:rsid w:val="00843E38"/>
    <w:rsid w:val="0084483E"/>
    <w:rsid w:val="00844CDA"/>
    <w:rsid w:val="008455BF"/>
    <w:rsid w:val="00845B3F"/>
    <w:rsid w:val="00846DA4"/>
    <w:rsid w:val="00847A81"/>
    <w:rsid w:val="00847C10"/>
    <w:rsid w:val="00850621"/>
    <w:rsid w:val="0085082E"/>
    <w:rsid w:val="008531BE"/>
    <w:rsid w:val="008562D5"/>
    <w:rsid w:val="00856403"/>
    <w:rsid w:val="00856BA2"/>
    <w:rsid w:val="00856E8F"/>
    <w:rsid w:val="008622E2"/>
    <w:rsid w:val="008636F4"/>
    <w:rsid w:val="00864057"/>
    <w:rsid w:val="008643ED"/>
    <w:rsid w:val="0086500A"/>
    <w:rsid w:val="00865047"/>
    <w:rsid w:val="00865206"/>
    <w:rsid w:val="00867970"/>
    <w:rsid w:val="00870881"/>
    <w:rsid w:val="00870BCC"/>
    <w:rsid w:val="00871DF0"/>
    <w:rsid w:val="0087253D"/>
    <w:rsid w:val="00872BD1"/>
    <w:rsid w:val="0087343F"/>
    <w:rsid w:val="0087462C"/>
    <w:rsid w:val="00874AD4"/>
    <w:rsid w:val="00875AB6"/>
    <w:rsid w:val="008764A6"/>
    <w:rsid w:val="00881600"/>
    <w:rsid w:val="008817AE"/>
    <w:rsid w:val="00881FBF"/>
    <w:rsid w:val="00882312"/>
    <w:rsid w:val="00883164"/>
    <w:rsid w:val="00885DA3"/>
    <w:rsid w:val="0088654E"/>
    <w:rsid w:val="00887056"/>
    <w:rsid w:val="00891021"/>
    <w:rsid w:val="008918D2"/>
    <w:rsid w:val="00892933"/>
    <w:rsid w:val="008943A7"/>
    <w:rsid w:val="00895C3A"/>
    <w:rsid w:val="00895D13"/>
    <w:rsid w:val="0089605F"/>
    <w:rsid w:val="008961C1"/>
    <w:rsid w:val="00896CBC"/>
    <w:rsid w:val="00897CA6"/>
    <w:rsid w:val="008A0556"/>
    <w:rsid w:val="008A14AA"/>
    <w:rsid w:val="008A185B"/>
    <w:rsid w:val="008A1C41"/>
    <w:rsid w:val="008A3AE4"/>
    <w:rsid w:val="008A7501"/>
    <w:rsid w:val="008B0799"/>
    <w:rsid w:val="008B1887"/>
    <w:rsid w:val="008B3D3F"/>
    <w:rsid w:val="008B3EA0"/>
    <w:rsid w:val="008B3FEC"/>
    <w:rsid w:val="008B5360"/>
    <w:rsid w:val="008B672B"/>
    <w:rsid w:val="008C1C3C"/>
    <w:rsid w:val="008C31AD"/>
    <w:rsid w:val="008C358B"/>
    <w:rsid w:val="008C5117"/>
    <w:rsid w:val="008C523C"/>
    <w:rsid w:val="008C5612"/>
    <w:rsid w:val="008C6134"/>
    <w:rsid w:val="008C7342"/>
    <w:rsid w:val="008C7CBF"/>
    <w:rsid w:val="008D0F79"/>
    <w:rsid w:val="008D183B"/>
    <w:rsid w:val="008D5234"/>
    <w:rsid w:val="008D6174"/>
    <w:rsid w:val="008D6B4B"/>
    <w:rsid w:val="008E0A44"/>
    <w:rsid w:val="008E13B0"/>
    <w:rsid w:val="008E7872"/>
    <w:rsid w:val="008E7D89"/>
    <w:rsid w:val="008E7E88"/>
    <w:rsid w:val="008F03A5"/>
    <w:rsid w:val="008F1518"/>
    <w:rsid w:val="008F20E6"/>
    <w:rsid w:val="008F4AA7"/>
    <w:rsid w:val="008F550D"/>
    <w:rsid w:val="008F5C03"/>
    <w:rsid w:val="008F6700"/>
    <w:rsid w:val="00900ABA"/>
    <w:rsid w:val="00901633"/>
    <w:rsid w:val="00901F9A"/>
    <w:rsid w:val="009026DC"/>
    <w:rsid w:val="00902AEB"/>
    <w:rsid w:val="00902F20"/>
    <w:rsid w:val="0090367D"/>
    <w:rsid w:val="009036E5"/>
    <w:rsid w:val="00904AA1"/>
    <w:rsid w:val="00904BF6"/>
    <w:rsid w:val="00905EE1"/>
    <w:rsid w:val="00906353"/>
    <w:rsid w:val="00906607"/>
    <w:rsid w:val="0090703F"/>
    <w:rsid w:val="009074C9"/>
    <w:rsid w:val="009076DE"/>
    <w:rsid w:val="00907923"/>
    <w:rsid w:val="0091016E"/>
    <w:rsid w:val="00910554"/>
    <w:rsid w:val="00911672"/>
    <w:rsid w:val="009121B4"/>
    <w:rsid w:val="00914363"/>
    <w:rsid w:val="00914698"/>
    <w:rsid w:val="009171F6"/>
    <w:rsid w:val="009231B4"/>
    <w:rsid w:val="0092356E"/>
    <w:rsid w:val="00923662"/>
    <w:rsid w:val="00923C94"/>
    <w:rsid w:val="00925910"/>
    <w:rsid w:val="00925A14"/>
    <w:rsid w:val="0092708E"/>
    <w:rsid w:val="009276A4"/>
    <w:rsid w:val="00930CE6"/>
    <w:rsid w:val="009318B3"/>
    <w:rsid w:val="00933CE0"/>
    <w:rsid w:val="009346A1"/>
    <w:rsid w:val="00935382"/>
    <w:rsid w:val="00935CEF"/>
    <w:rsid w:val="0093641D"/>
    <w:rsid w:val="00940DD4"/>
    <w:rsid w:val="00941701"/>
    <w:rsid w:val="00941B8D"/>
    <w:rsid w:val="009432E4"/>
    <w:rsid w:val="0094456F"/>
    <w:rsid w:val="009450DF"/>
    <w:rsid w:val="0094583E"/>
    <w:rsid w:val="00945D89"/>
    <w:rsid w:val="0094650F"/>
    <w:rsid w:val="00946ED6"/>
    <w:rsid w:val="009502E9"/>
    <w:rsid w:val="009509CB"/>
    <w:rsid w:val="00950AC5"/>
    <w:rsid w:val="009547F2"/>
    <w:rsid w:val="00955326"/>
    <w:rsid w:val="009556A9"/>
    <w:rsid w:val="00957620"/>
    <w:rsid w:val="009578FA"/>
    <w:rsid w:val="009612EC"/>
    <w:rsid w:val="00961C4D"/>
    <w:rsid w:val="00962ED5"/>
    <w:rsid w:val="00963932"/>
    <w:rsid w:val="00963D68"/>
    <w:rsid w:val="00964291"/>
    <w:rsid w:val="00965C60"/>
    <w:rsid w:val="009661BC"/>
    <w:rsid w:val="00966C86"/>
    <w:rsid w:val="00966E4F"/>
    <w:rsid w:val="009709C7"/>
    <w:rsid w:val="0097124A"/>
    <w:rsid w:val="009721DD"/>
    <w:rsid w:val="009727F0"/>
    <w:rsid w:val="0097545C"/>
    <w:rsid w:val="0097576F"/>
    <w:rsid w:val="0097778F"/>
    <w:rsid w:val="00981362"/>
    <w:rsid w:val="00981C85"/>
    <w:rsid w:val="00982279"/>
    <w:rsid w:val="00982596"/>
    <w:rsid w:val="009837A3"/>
    <w:rsid w:val="009843AE"/>
    <w:rsid w:val="009862A2"/>
    <w:rsid w:val="009900A6"/>
    <w:rsid w:val="0099056E"/>
    <w:rsid w:val="00990585"/>
    <w:rsid w:val="0099172C"/>
    <w:rsid w:val="00991E2E"/>
    <w:rsid w:val="009927ED"/>
    <w:rsid w:val="00992A55"/>
    <w:rsid w:val="00993AC8"/>
    <w:rsid w:val="00996DFE"/>
    <w:rsid w:val="00997002"/>
    <w:rsid w:val="00997DE2"/>
    <w:rsid w:val="009A0D64"/>
    <w:rsid w:val="009A0DBB"/>
    <w:rsid w:val="009A1798"/>
    <w:rsid w:val="009A2CAE"/>
    <w:rsid w:val="009A39D3"/>
    <w:rsid w:val="009A47ED"/>
    <w:rsid w:val="009A5153"/>
    <w:rsid w:val="009A531C"/>
    <w:rsid w:val="009A60D6"/>
    <w:rsid w:val="009B0314"/>
    <w:rsid w:val="009B036B"/>
    <w:rsid w:val="009B04E5"/>
    <w:rsid w:val="009B0503"/>
    <w:rsid w:val="009B0D9F"/>
    <w:rsid w:val="009B3F53"/>
    <w:rsid w:val="009B481B"/>
    <w:rsid w:val="009B49F2"/>
    <w:rsid w:val="009B4F2F"/>
    <w:rsid w:val="009B4FB4"/>
    <w:rsid w:val="009B6716"/>
    <w:rsid w:val="009B675A"/>
    <w:rsid w:val="009B6FBA"/>
    <w:rsid w:val="009B72F5"/>
    <w:rsid w:val="009C07DF"/>
    <w:rsid w:val="009C0B67"/>
    <w:rsid w:val="009C19AA"/>
    <w:rsid w:val="009C1A91"/>
    <w:rsid w:val="009C1DC8"/>
    <w:rsid w:val="009C21EF"/>
    <w:rsid w:val="009C2696"/>
    <w:rsid w:val="009C2C3F"/>
    <w:rsid w:val="009C3936"/>
    <w:rsid w:val="009C40B7"/>
    <w:rsid w:val="009C5182"/>
    <w:rsid w:val="009C6AE8"/>
    <w:rsid w:val="009C6B04"/>
    <w:rsid w:val="009C7382"/>
    <w:rsid w:val="009D1292"/>
    <w:rsid w:val="009D18FB"/>
    <w:rsid w:val="009D2EDC"/>
    <w:rsid w:val="009D42E1"/>
    <w:rsid w:val="009D68A6"/>
    <w:rsid w:val="009D79A5"/>
    <w:rsid w:val="009E0841"/>
    <w:rsid w:val="009E0D83"/>
    <w:rsid w:val="009E4343"/>
    <w:rsid w:val="009E4465"/>
    <w:rsid w:val="009E4DC6"/>
    <w:rsid w:val="009E5839"/>
    <w:rsid w:val="009E6B6A"/>
    <w:rsid w:val="009E7D7E"/>
    <w:rsid w:val="009F0E5C"/>
    <w:rsid w:val="009F0E63"/>
    <w:rsid w:val="009F1770"/>
    <w:rsid w:val="009F38DF"/>
    <w:rsid w:val="009F3FB3"/>
    <w:rsid w:val="009F45AD"/>
    <w:rsid w:val="009F52D2"/>
    <w:rsid w:val="009F64C7"/>
    <w:rsid w:val="009F7323"/>
    <w:rsid w:val="00A00665"/>
    <w:rsid w:val="00A030EC"/>
    <w:rsid w:val="00A03817"/>
    <w:rsid w:val="00A047D6"/>
    <w:rsid w:val="00A104FC"/>
    <w:rsid w:val="00A11C54"/>
    <w:rsid w:val="00A12042"/>
    <w:rsid w:val="00A14E9A"/>
    <w:rsid w:val="00A16DF4"/>
    <w:rsid w:val="00A1736B"/>
    <w:rsid w:val="00A17515"/>
    <w:rsid w:val="00A17D2E"/>
    <w:rsid w:val="00A20690"/>
    <w:rsid w:val="00A216E6"/>
    <w:rsid w:val="00A21AAB"/>
    <w:rsid w:val="00A21B8D"/>
    <w:rsid w:val="00A21BBD"/>
    <w:rsid w:val="00A22339"/>
    <w:rsid w:val="00A23135"/>
    <w:rsid w:val="00A25BF3"/>
    <w:rsid w:val="00A26BA7"/>
    <w:rsid w:val="00A27674"/>
    <w:rsid w:val="00A27B58"/>
    <w:rsid w:val="00A27B90"/>
    <w:rsid w:val="00A30695"/>
    <w:rsid w:val="00A3152F"/>
    <w:rsid w:val="00A3497C"/>
    <w:rsid w:val="00A36DE6"/>
    <w:rsid w:val="00A40001"/>
    <w:rsid w:val="00A400B5"/>
    <w:rsid w:val="00A40C3C"/>
    <w:rsid w:val="00A418F9"/>
    <w:rsid w:val="00A42639"/>
    <w:rsid w:val="00A444AE"/>
    <w:rsid w:val="00A4473B"/>
    <w:rsid w:val="00A45496"/>
    <w:rsid w:val="00A4798A"/>
    <w:rsid w:val="00A50C02"/>
    <w:rsid w:val="00A5228D"/>
    <w:rsid w:val="00A54003"/>
    <w:rsid w:val="00A55711"/>
    <w:rsid w:val="00A6072A"/>
    <w:rsid w:val="00A60F3C"/>
    <w:rsid w:val="00A614F0"/>
    <w:rsid w:val="00A62255"/>
    <w:rsid w:val="00A630B2"/>
    <w:rsid w:val="00A63ED1"/>
    <w:rsid w:val="00A6479E"/>
    <w:rsid w:val="00A64EA6"/>
    <w:rsid w:val="00A657A2"/>
    <w:rsid w:val="00A6783B"/>
    <w:rsid w:val="00A7019E"/>
    <w:rsid w:val="00A71604"/>
    <w:rsid w:val="00A72374"/>
    <w:rsid w:val="00A7309E"/>
    <w:rsid w:val="00A736BE"/>
    <w:rsid w:val="00A757C0"/>
    <w:rsid w:val="00A765FF"/>
    <w:rsid w:val="00A805F0"/>
    <w:rsid w:val="00A82946"/>
    <w:rsid w:val="00A82DCB"/>
    <w:rsid w:val="00A83138"/>
    <w:rsid w:val="00A838DE"/>
    <w:rsid w:val="00A86451"/>
    <w:rsid w:val="00A86626"/>
    <w:rsid w:val="00A874C9"/>
    <w:rsid w:val="00A87C8D"/>
    <w:rsid w:val="00A90F94"/>
    <w:rsid w:val="00A92CEB"/>
    <w:rsid w:val="00A95B8D"/>
    <w:rsid w:val="00AA0874"/>
    <w:rsid w:val="00AA2B79"/>
    <w:rsid w:val="00AA5BFD"/>
    <w:rsid w:val="00AA5D98"/>
    <w:rsid w:val="00AA6A07"/>
    <w:rsid w:val="00AA7000"/>
    <w:rsid w:val="00AB0710"/>
    <w:rsid w:val="00AB0FF2"/>
    <w:rsid w:val="00AB1248"/>
    <w:rsid w:val="00AB19AB"/>
    <w:rsid w:val="00AB1F1D"/>
    <w:rsid w:val="00AB1F7C"/>
    <w:rsid w:val="00AB2777"/>
    <w:rsid w:val="00AB2C22"/>
    <w:rsid w:val="00AB2CF4"/>
    <w:rsid w:val="00AB3246"/>
    <w:rsid w:val="00AB3303"/>
    <w:rsid w:val="00AB3ADD"/>
    <w:rsid w:val="00AB44C8"/>
    <w:rsid w:val="00AB5B80"/>
    <w:rsid w:val="00AB667C"/>
    <w:rsid w:val="00AB6D9E"/>
    <w:rsid w:val="00AB7026"/>
    <w:rsid w:val="00AB7107"/>
    <w:rsid w:val="00AB7FE4"/>
    <w:rsid w:val="00AC223B"/>
    <w:rsid w:val="00AC2C3B"/>
    <w:rsid w:val="00AC2F14"/>
    <w:rsid w:val="00AC394A"/>
    <w:rsid w:val="00AC478D"/>
    <w:rsid w:val="00AC4DBE"/>
    <w:rsid w:val="00AC6896"/>
    <w:rsid w:val="00AC6A2B"/>
    <w:rsid w:val="00AC6B92"/>
    <w:rsid w:val="00AC7E41"/>
    <w:rsid w:val="00AD0B13"/>
    <w:rsid w:val="00AD1498"/>
    <w:rsid w:val="00AD200B"/>
    <w:rsid w:val="00AD21CB"/>
    <w:rsid w:val="00AD2233"/>
    <w:rsid w:val="00AD396B"/>
    <w:rsid w:val="00AD4396"/>
    <w:rsid w:val="00AD54A2"/>
    <w:rsid w:val="00AD5A83"/>
    <w:rsid w:val="00AD5B3A"/>
    <w:rsid w:val="00AD68E3"/>
    <w:rsid w:val="00AE0748"/>
    <w:rsid w:val="00AE0B69"/>
    <w:rsid w:val="00AE1709"/>
    <w:rsid w:val="00AE3CDA"/>
    <w:rsid w:val="00AE52DF"/>
    <w:rsid w:val="00AE60AB"/>
    <w:rsid w:val="00AE6E40"/>
    <w:rsid w:val="00AE7E3C"/>
    <w:rsid w:val="00AF090D"/>
    <w:rsid w:val="00AF0D6D"/>
    <w:rsid w:val="00AF0E0E"/>
    <w:rsid w:val="00AF1374"/>
    <w:rsid w:val="00AF1BC4"/>
    <w:rsid w:val="00AF28FF"/>
    <w:rsid w:val="00AF32BD"/>
    <w:rsid w:val="00AF341F"/>
    <w:rsid w:val="00AF50EB"/>
    <w:rsid w:val="00AF6882"/>
    <w:rsid w:val="00B0076C"/>
    <w:rsid w:val="00B00903"/>
    <w:rsid w:val="00B010FE"/>
    <w:rsid w:val="00B0124D"/>
    <w:rsid w:val="00B01330"/>
    <w:rsid w:val="00B032A1"/>
    <w:rsid w:val="00B03640"/>
    <w:rsid w:val="00B04687"/>
    <w:rsid w:val="00B046C1"/>
    <w:rsid w:val="00B04C5D"/>
    <w:rsid w:val="00B05B72"/>
    <w:rsid w:val="00B073D1"/>
    <w:rsid w:val="00B075F8"/>
    <w:rsid w:val="00B15199"/>
    <w:rsid w:val="00B15D89"/>
    <w:rsid w:val="00B16A5E"/>
    <w:rsid w:val="00B2060A"/>
    <w:rsid w:val="00B2062B"/>
    <w:rsid w:val="00B20C63"/>
    <w:rsid w:val="00B23DD8"/>
    <w:rsid w:val="00B2794A"/>
    <w:rsid w:val="00B279BE"/>
    <w:rsid w:val="00B27C6F"/>
    <w:rsid w:val="00B32224"/>
    <w:rsid w:val="00B32C20"/>
    <w:rsid w:val="00B358E6"/>
    <w:rsid w:val="00B35A68"/>
    <w:rsid w:val="00B35C6B"/>
    <w:rsid w:val="00B36C31"/>
    <w:rsid w:val="00B37D17"/>
    <w:rsid w:val="00B403B6"/>
    <w:rsid w:val="00B40A23"/>
    <w:rsid w:val="00B412A4"/>
    <w:rsid w:val="00B43660"/>
    <w:rsid w:val="00B44092"/>
    <w:rsid w:val="00B4498F"/>
    <w:rsid w:val="00B4699B"/>
    <w:rsid w:val="00B46DF6"/>
    <w:rsid w:val="00B46FB8"/>
    <w:rsid w:val="00B474D4"/>
    <w:rsid w:val="00B47918"/>
    <w:rsid w:val="00B47CD0"/>
    <w:rsid w:val="00B51901"/>
    <w:rsid w:val="00B51E54"/>
    <w:rsid w:val="00B51F75"/>
    <w:rsid w:val="00B553FE"/>
    <w:rsid w:val="00B604BA"/>
    <w:rsid w:val="00B61268"/>
    <w:rsid w:val="00B61CA5"/>
    <w:rsid w:val="00B62A59"/>
    <w:rsid w:val="00B63457"/>
    <w:rsid w:val="00B63B06"/>
    <w:rsid w:val="00B66B2E"/>
    <w:rsid w:val="00B66E46"/>
    <w:rsid w:val="00B66F7B"/>
    <w:rsid w:val="00B7063C"/>
    <w:rsid w:val="00B71A00"/>
    <w:rsid w:val="00B71BF9"/>
    <w:rsid w:val="00B73517"/>
    <w:rsid w:val="00B74A20"/>
    <w:rsid w:val="00B76434"/>
    <w:rsid w:val="00B764E1"/>
    <w:rsid w:val="00B766CB"/>
    <w:rsid w:val="00B77F56"/>
    <w:rsid w:val="00B82D3D"/>
    <w:rsid w:val="00B83394"/>
    <w:rsid w:val="00B853E9"/>
    <w:rsid w:val="00B85B26"/>
    <w:rsid w:val="00B916B1"/>
    <w:rsid w:val="00B91C82"/>
    <w:rsid w:val="00B928F9"/>
    <w:rsid w:val="00B930A7"/>
    <w:rsid w:val="00B93D14"/>
    <w:rsid w:val="00B9456A"/>
    <w:rsid w:val="00B94855"/>
    <w:rsid w:val="00B9544C"/>
    <w:rsid w:val="00B95496"/>
    <w:rsid w:val="00B97702"/>
    <w:rsid w:val="00B97CE6"/>
    <w:rsid w:val="00B97ED0"/>
    <w:rsid w:val="00BA1420"/>
    <w:rsid w:val="00BA1B97"/>
    <w:rsid w:val="00BA22E1"/>
    <w:rsid w:val="00BA392E"/>
    <w:rsid w:val="00BA5513"/>
    <w:rsid w:val="00BA6A50"/>
    <w:rsid w:val="00BA6C99"/>
    <w:rsid w:val="00BB4459"/>
    <w:rsid w:val="00BB4C3E"/>
    <w:rsid w:val="00BB4F9F"/>
    <w:rsid w:val="00BB51A2"/>
    <w:rsid w:val="00BB5E3F"/>
    <w:rsid w:val="00BB6E0E"/>
    <w:rsid w:val="00BB70E3"/>
    <w:rsid w:val="00BB7BEC"/>
    <w:rsid w:val="00BC0144"/>
    <w:rsid w:val="00BC2058"/>
    <w:rsid w:val="00BC2ADE"/>
    <w:rsid w:val="00BC3EF4"/>
    <w:rsid w:val="00BC44FA"/>
    <w:rsid w:val="00BC50DF"/>
    <w:rsid w:val="00BC5C54"/>
    <w:rsid w:val="00BC61AE"/>
    <w:rsid w:val="00BC6BFB"/>
    <w:rsid w:val="00BD023D"/>
    <w:rsid w:val="00BD031A"/>
    <w:rsid w:val="00BD0877"/>
    <w:rsid w:val="00BD525B"/>
    <w:rsid w:val="00BD63EC"/>
    <w:rsid w:val="00BD68EE"/>
    <w:rsid w:val="00BD6BEF"/>
    <w:rsid w:val="00BD7B50"/>
    <w:rsid w:val="00BE22E8"/>
    <w:rsid w:val="00BE4EFA"/>
    <w:rsid w:val="00BE5C3C"/>
    <w:rsid w:val="00BE60FF"/>
    <w:rsid w:val="00BE7477"/>
    <w:rsid w:val="00BE7DE6"/>
    <w:rsid w:val="00BF00FD"/>
    <w:rsid w:val="00BF130D"/>
    <w:rsid w:val="00BF18C7"/>
    <w:rsid w:val="00BF3F74"/>
    <w:rsid w:val="00BF4029"/>
    <w:rsid w:val="00BF4B23"/>
    <w:rsid w:val="00BF57DB"/>
    <w:rsid w:val="00BF757F"/>
    <w:rsid w:val="00BF7D81"/>
    <w:rsid w:val="00C020C7"/>
    <w:rsid w:val="00C02929"/>
    <w:rsid w:val="00C03020"/>
    <w:rsid w:val="00C033BE"/>
    <w:rsid w:val="00C037C9"/>
    <w:rsid w:val="00C04930"/>
    <w:rsid w:val="00C05AC0"/>
    <w:rsid w:val="00C0647F"/>
    <w:rsid w:val="00C068F5"/>
    <w:rsid w:val="00C06A64"/>
    <w:rsid w:val="00C07052"/>
    <w:rsid w:val="00C073F1"/>
    <w:rsid w:val="00C07C25"/>
    <w:rsid w:val="00C105B0"/>
    <w:rsid w:val="00C1085A"/>
    <w:rsid w:val="00C11918"/>
    <w:rsid w:val="00C13EDE"/>
    <w:rsid w:val="00C2129C"/>
    <w:rsid w:val="00C22BE0"/>
    <w:rsid w:val="00C23264"/>
    <w:rsid w:val="00C2408F"/>
    <w:rsid w:val="00C26FA8"/>
    <w:rsid w:val="00C279FF"/>
    <w:rsid w:val="00C31032"/>
    <w:rsid w:val="00C311F6"/>
    <w:rsid w:val="00C35AB8"/>
    <w:rsid w:val="00C366AE"/>
    <w:rsid w:val="00C370CB"/>
    <w:rsid w:val="00C37547"/>
    <w:rsid w:val="00C377B2"/>
    <w:rsid w:val="00C37D74"/>
    <w:rsid w:val="00C41320"/>
    <w:rsid w:val="00C42A95"/>
    <w:rsid w:val="00C42CB5"/>
    <w:rsid w:val="00C452FA"/>
    <w:rsid w:val="00C45AFC"/>
    <w:rsid w:val="00C45EED"/>
    <w:rsid w:val="00C46624"/>
    <w:rsid w:val="00C47126"/>
    <w:rsid w:val="00C510C2"/>
    <w:rsid w:val="00C51AB2"/>
    <w:rsid w:val="00C543BC"/>
    <w:rsid w:val="00C55AD5"/>
    <w:rsid w:val="00C579CF"/>
    <w:rsid w:val="00C607D3"/>
    <w:rsid w:val="00C61057"/>
    <w:rsid w:val="00C614EE"/>
    <w:rsid w:val="00C61A23"/>
    <w:rsid w:val="00C628EE"/>
    <w:rsid w:val="00C64886"/>
    <w:rsid w:val="00C64DD7"/>
    <w:rsid w:val="00C651A6"/>
    <w:rsid w:val="00C65F32"/>
    <w:rsid w:val="00C70462"/>
    <w:rsid w:val="00C711C4"/>
    <w:rsid w:val="00C7204D"/>
    <w:rsid w:val="00C72AB6"/>
    <w:rsid w:val="00C72BF3"/>
    <w:rsid w:val="00C72FEF"/>
    <w:rsid w:val="00C736F0"/>
    <w:rsid w:val="00C74EB2"/>
    <w:rsid w:val="00C75122"/>
    <w:rsid w:val="00C77302"/>
    <w:rsid w:val="00C80448"/>
    <w:rsid w:val="00C80F12"/>
    <w:rsid w:val="00C81742"/>
    <w:rsid w:val="00C8255F"/>
    <w:rsid w:val="00C83B1A"/>
    <w:rsid w:val="00C83C0A"/>
    <w:rsid w:val="00C848BA"/>
    <w:rsid w:val="00C851B8"/>
    <w:rsid w:val="00C85CA8"/>
    <w:rsid w:val="00C86A30"/>
    <w:rsid w:val="00C86E81"/>
    <w:rsid w:val="00C872F2"/>
    <w:rsid w:val="00C901F3"/>
    <w:rsid w:val="00C9129E"/>
    <w:rsid w:val="00C91A03"/>
    <w:rsid w:val="00C95299"/>
    <w:rsid w:val="00C956E2"/>
    <w:rsid w:val="00C95CB4"/>
    <w:rsid w:val="00C95ECE"/>
    <w:rsid w:val="00C96721"/>
    <w:rsid w:val="00C97311"/>
    <w:rsid w:val="00CA0B04"/>
    <w:rsid w:val="00CA0F06"/>
    <w:rsid w:val="00CA2388"/>
    <w:rsid w:val="00CA4864"/>
    <w:rsid w:val="00CA528A"/>
    <w:rsid w:val="00CA6228"/>
    <w:rsid w:val="00CA7523"/>
    <w:rsid w:val="00CA7763"/>
    <w:rsid w:val="00CB0053"/>
    <w:rsid w:val="00CB1718"/>
    <w:rsid w:val="00CB25AD"/>
    <w:rsid w:val="00CB3096"/>
    <w:rsid w:val="00CB38E1"/>
    <w:rsid w:val="00CB3AC5"/>
    <w:rsid w:val="00CB3CFB"/>
    <w:rsid w:val="00CB5D0D"/>
    <w:rsid w:val="00CB64F6"/>
    <w:rsid w:val="00CB6C0D"/>
    <w:rsid w:val="00CC00E7"/>
    <w:rsid w:val="00CC12DB"/>
    <w:rsid w:val="00CC184F"/>
    <w:rsid w:val="00CC5862"/>
    <w:rsid w:val="00CC6FC2"/>
    <w:rsid w:val="00CC7B58"/>
    <w:rsid w:val="00CD0E33"/>
    <w:rsid w:val="00CD0F66"/>
    <w:rsid w:val="00CD1BE7"/>
    <w:rsid w:val="00CD1E99"/>
    <w:rsid w:val="00CD3B39"/>
    <w:rsid w:val="00CD44A4"/>
    <w:rsid w:val="00CD7CCE"/>
    <w:rsid w:val="00CD7D95"/>
    <w:rsid w:val="00CE195D"/>
    <w:rsid w:val="00CE30A5"/>
    <w:rsid w:val="00CE35B4"/>
    <w:rsid w:val="00CE5590"/>
    <w:rsid w:val="00CE5940"/>
    <w:rsid w:val="00CE5BCE"/>
    <w:rsid w:val="00CE6270"/>
    <w:rsid w:val="00CE6587"/>
    <w:rsid w:val="00CE6ABD"/>
    <w:rsid w:val="00CE6DC5"/>
    <w:rsid w:val="00CE7088"/>
    <w:rsid w:val="00CF20BE"/>
    <w:rsid w:val="00CF28C6"/>
    <w:rsid w:val="00CF5642"/>
    <w:rsid w:val="00CF59F4"/>
    <w:rsid w:val="00CF752A"/>
    <w:rsid w:val="00D00AF2"/>
    <w:rsid w:val="00D02223"/>
    <w:rsid w:val="00D0253B"/>
    <w:rsid w:val="00D04296"/>
    <w:rsid w:val="00D062E1"/>
    <w:rsid w:val="00D065BE"/>
    <w:rsid w:val="00D103C9"/>
    <w:rsid w:val="00D10ADA"/>
    <w:rsid w:val="00D126A2"/>
    <w:rsid w:val="00D12B13"/>
    <w:rsid w:val="00D146D8"/>
    <w:rsid w:val="00D14994"/>
    <w:rsid w:val="00D151EE"/>
    <w:rsid w:val="00D15240"/>
    <w:rsid w:val="00D1638F"/>
    <w:rsid w:val="00D2065D"/>
    <w:rsid w:val="00D22167"/>
    <w:rsid w:val="00D224BB"/>
    <w:rsid w:val="00D22A41"/>
    <w:rsid w:val="00D22EAE"/>
    <w:rsid w:val="00D24920"/>
    <w:rsid w:val="00D249D9"/>
    <w:rsid w:val="00D2500F"/>
    <w:rsid w:val="00D265A1"/>
    <w:rsid w:val="00D266BC"/>
    <w:rsid w:val="00D27F0B"/>
    <w:rsid w:val="00D3013D"/>
    <w:rsid w:val="00D30C40"/>
    <w:rsid w:val="00D318EF"/>
    <w:rsid w:val="00D31FB1"/>
    <w:rsid w:val="00D32557"/>
    <w:rsid w:val="00D354FB"/>
    <w:rsid w:val="00D37B5C"/>
    <w:rsid w:val="00D41A01"/>
    <w:rsid w:val="00D41E14"/>
    <w:rsid w:val="00D4289A"/>
    <w:rsid w:val="00D42B54"/>
    <w:rsid w:val="00D43868"/>
    <w:rsid w:val="00D438AD"/>
    <w:rsid w:val="00D44645"/>
    <w:rsid w:val="00D45F89"/>
    <w:rsid w:val="00D46231"/>
    <w:rsid w:val="00D469D5"/>
    <w:rsid w:val="00D47BCF"/>
    <w:rsid w:val="00D5005C"/>
    <w:rsid w:val="00D51B80"/>
    <w:rsid w:val="00D535DB"/>
    <w:rsid w:val="00D54EEE"/>
    <w:rsid w:val="00D55811"/>
    <w:rsid w:val="00D55936"/>
    <w:rsid w:val="00D56891"/>
    <w:rsid w:val="00D57EE4"/>
    <w:rsid w:val="00D62085"/>
    <w:rsid w:val="00D63F39"/>
    <w:rsid w:val="00D6458A"/>
    <w:rsid w:val="00D64747"/>
    <w:rsid w:val="00D64E23"/>
    <w:rsid w:val="00D653FA"/>
    <w:rsid w:val="00D66380"/>
    <w:rsid w:val="00D677C5"/>
    <w:rsid w:val="00D67F6D"/>
    <w:rsid w:val="00D72757"/>
    <w:rsid w:val="00D75680"/>
    <w:rsid w:val="00D76A20"/>
    <w:rsid w:val="00D80EC8"/>
    <w:rsid w:val="00D81FCF"/>
    <w:rsid w:val="00D823B5"/>
    <w:rsid w:val="00D828DE"/>
    <w:rsid w:val="00D84C3F"/>
    <w:rsid w:val="00D90289"/>
    <w:rsid w:val="00D904CB"/>
    <w:rsid w:val="00D906FD"/>
    <w:rsid w:val="00D908C4"/>
    <w:rsid w:val="00D92FEC"/>
    <w:rsid w:val="00D93581"/>
    <w:rsid w:val="00D94C1F"/>
    <w:rsid w:val="00D958F1"/>
    <w:rsid w:val="00D97401"/>
    <w:rsid w:val="00D9741D"/>
    <w:rsid w:val="00D97B45"/>
    <w:rsid w:val="00DA27B9"/>
    <w:rsid w:val="00DA49D1"/>
    <w:rsid w:val="00DA7E81"/>
    <w:rsid w:val="00DB0EFB"/>
    <w:rsid w:val="00DB15C0"/>
    <w:rsid w:val="00DB2AB1"/>
    <w:rsid w:val="00DB4162"/>
    <w:rsid w:val="00DB6078"/>
    <w:rsid w:val="00DB6ADE"/>
    <w:rsid w:val="00DB6B1C"/>
    <w:rsid w:val="00DC0F97"/>
    <w:rsid w:val="00DC16F6"/>
    <w:rsid w:val="00DC1D15"/>
    <w:rsid w:val="00DC3B2B"/>
    <w:rsid w:val="00DC4362"/>
    <w:rsid w:val="00DC4FAE"/>
    <w:rsid w:val="00DC578F"/>
    <w:rsid w:val="00DC5D17"/>
    <w:rsid w:val="00DC63EB"/>
    <w:rsid w:val="00DC6D5B"/>
    <w:rsid w:val="00DC6F21"/>
    <w:rsid w:val="00DD1A7D"/>
    <w:rsid w:val="00DD26D4"/>
    <w:rsid w:val="00DD26F4"/>
    <w:rsid w:val="00DD5236"/>
    <w:rsid w:val="00DD539F"/>
    <w:rsid w:val="00DD6063"/>
    <w:rsid w:val="00DD72E0"/>
    <w:rsid w:val="00DD7EB4"/>
    <w:rsid w:val="00DE0A40"/>
    <w:rsid w:val="00DE1139"/>
    <w:rsid w:val="00DE5FB8"/>
    <w:rsid w:val="00DE7725"/>
    <w:rsid w:val="00DF02A8"/>
    <w:rsid w:val="00DF06A9"/>
    <w:rsid w:val="00DF0AF2"/>
    <w:rsid w:val="00DF2283"/>
    <w:rsid w:val="00DF3674"/>
    <w:rsid w:val="00DF5BE4"/>
    <w:rsid w:val="00DF5C34"/>
    <w:rsid w:val="00DF6B68"/>
    <w:rsid w:val="00DF6D8B"/>
    <w:rsid w:val="00E01C27"/>
    <w:rsid w:val="00E01F3F"/>
    <w:rsid w:val="00E02C05"/>
    <w:rsid w:val="00E04AA4"/>
    <w:rsid w:val="00E04B87"/>
    <w:rsid w:val="00E05E28"/>
    <w:rsid w:val="00E06276"/>
    <w:rsid w:val="00E06ADE"/>
    <w:rsid w:val="00E070E3"/>
    <w:rsid w:val="00E07B1D"/>
    <w:rsid w:val="00E07D50"/>
    <w:rsid w:val="00E10180"/>
    <w:rsid w:val="00E10C56"/>
    <w:rsid w:val="00E11F02"/>
    <w:rsid w:val="00E12F6C"/>
    <w:rsid w:val="00E13ADE"/>
    <w:rsid w:val="00E14881"/>
    <w:rsid w:val="00E14EF0"/>
    <w:rsid w:val="00E15C35"/>
    <w:rsid w:val="00E15E38"/>
    <w:rsid w:val="00E176D8"/>
    <w:rsid w:val="00E203D0"/>
    <w:rsid w:val="00E211CE"/>
    <w:rsid w:val="00E217DD"/>
    <w:rsid w:val="00E21A55"/>
    <w:rsid w:val="00E2289C"/>
    <w:rsid w:val="00E24738"/>
    <w:rsid w:val="00E26ACA"/>
    <w:rsid w:val="00E26C02"/>
    <w:rsid w:val="00E26E99"/>
    <w:rsid w:val="00E321AE"/>
    <w:rsid w:val="00E33456"/>
    <w:rsid w:val="00E33FD5"/>
    <w:rsid w:val="00E343BF"/>
    <w:rsid w:val="00E3597A"/>
    <w:rsid w:val="00E35BE1"/>
    <w:rsid w:val="00E3639C"/>
    <w:rsid w:val="00E36A89"/>
    <w:rsid w:val="00E37296"/>
    <w:rsid w:val="00E41D6B"/>
    <w:rsid w:val="00E42285"/>
    <w:rsid w:val="00E426DD"/>
    <w:rsid w:val="00E4418F"/>
    <w:rsid w:val="00E44327"/>
    <w:rsid w:val="00E454DA"/>
    <w:rsid w:val="00E460F3"/>
    <w:rsid w:val="00E462CB"/>
    <w:rsid w:val="00E46540"/>
    <w:rsid w:val="00E51250"/>
    <w:rsid w:val="00E5154C"/>
    <w:rsid w:val="00E529CB"/>
    <w:rsid w:val="00E54003"/>
    <w:rsid w:val="00E54E02"/>
    <w:rsid w:val="00E56715"/>
    <w:rsid w:val="00E56E06"/>
    <w:rsid w:val="00E57C27"/>
    <w:rsid w:val="00E60D3F"/>
    <w:rsid w:val="00E613C7"/>
    <w:rsid w:val="00E62CE5"/>
    <w:rsid w:val="00E63234"/>
    <w:rsid w:val="00E636EE"/>
    <w:rsid w:val="00E70DEF"/>
    <w:rsid w:val="00E727D5"/>
    <w:rsid w:val="00E7299C"/>
    <w:rsid w:val="00E72CEB"/>
    <w:rsid w:val="00E73D02"/>
    <w:rsid w:val="00E74037"/>
    <w:rsid w:val="00E74066"/>
    <w:rsid w:val="00E74FC1"/>
    <w:rsid w:val="00E75A53"/>
    <w:rsid w:val="00E766F1"/>
    <w:rsid w:val="00E77537"/>
    <w:rsid w:val="00E77832"/>
    <w:rsid w:val="00E77B55"/>
    <w:rsid w:val="00E77FA9"/>
    <w:rsid w:val="00E77FBD"/>
    <w:rsid w:val="00E811EB"/>
    <w:rsid w:val="00E82561"/>
    <w:rsid w:val="00E825B9"/>
    <w:rsid w:val="00E8349F"/>
    <w:rsid w:val="00E85429"/>
    <w:rsid w:val="00E91CCE"/>
    <w:rsid w:val="00E92146"/>
    <w:rsid w:val="00E94654"/>
    <w:rsid w:val="00E94A8A"/>
    <w:rsid w:val="00E951A3"/>
    <w:rsid w:val="00E958F7"/>
    <w:rsid w:val="00E96458"/>
    <w:rsid w:val="00E96C4A"/>
    <w:rsid w:val="00E973B9"/>
    <w:rsid w:val="00E976BC"/>
    <w:rsid w:val="00E97D02"/>
    <w:rsid w:val="00EA167E"/>
    <w:rsid w:val="00EA1B2C"/>
    <w:rsid w:val="00EA25D3"/>
    <w:rsid w:val="00EA5C68"/>
    <w:rsid w:val="00EA5E49"/>
    <w:rsid w:val="00EA6A93"/>
    <w:rsid w:val="00EA77CE"/>
    <w:rsid w:val="00EA7B26"/>
    <w:rsid w:val="00EB544A"/>
    <w:rsid w:val="00EB561F"/>
    <w:rsid w:val="00EB56BD"/>
    <w:rsid w:val="00EB6020"/>
    <w:rsid w:val="00EB62A1"/>
    <w:rsid w:val="00EB7122"/>
    <w:rsid w:val="00EC195C"/>
    <w:rsid w:val="00EC20D8"/>
    <w:rsid w:val="00EC215F"/>
    <w:rsid w:val="00EC2A89"/>
    <w:rsid w:val="00EC2D1B"/>
    <w:rsid w:val="00EC2F16"/>
    <w:rsid w:val="00EC69A7"/>
    <w:rsid w:val="00EC79F7"/>
    <w:rsid w:val="00ED0C12"/>
    <w:rsid w:val="00ED0F81"/>
    <w:rsid w:val="00ED148B"/>
    <w:rsid w:val="00ED2768"/>
    <w:rsid w:val="00ED314D"/>
    <w:rsid w:val="00ED3173"/>
    <w:rsid w:val="00ED441E"/>
    <w:rsid w:val="00ED5388"/>
    <w:rsid w:val="00ED5531"/>
    <w:rsid w:val="00ED576A"/>
    <w:rsid w:val="00ED5E75"/>
    <w:rsid w:val="00ED6D0C"/>
    <w:rsid w:val="00ED71FC"/>
    <w:rsid w:val="00ED7DB3"/>
    <w:rsid w:val="00EE2E4C"/>
    <w:rsid w:val="00EE360F"/>
    <w:rsid w:val="00EE39C5"/>
    <w:rsid w:val="00EE39D7"/>
    <w:rsid w:val="00EE3C63"/>
    <w:rsid w:val="00EE3E97"/>
    <w:rsid w:val="00EE5523"/>
    <w:rsid w:val="00EE716C"/>
    <w:rsid w:val="00EF2A2B"/>
    <w:rsid w:val="00EF4838"/>
    <w:rsid w:val="00EF51F4"/>
    <w:rsid w:val="00EF799A"/>
    <w:rsid w:val="00F0039B"/>
    <w:rsid w:val="00F01795"/>
    <w:rsid w:val="00F02A35"/>
    <w:rsid w:val="00F02C08"/>
    <w:rsid w:val="00F02C6F"/>
    <w:rsid w:val="00F045D6"/>
    <w:rsid w:val="00F04C57"/>
    <w:rsid w:val="00F05F50"/>
    <w:rsid w:val="00F06E38"/>
    <w:rsid w:val="00F06F84"/>
    <w:rsid w:val="00F073FA"/>
    <w:rsid w:val="00F11000"/>
    <w:rsid w:val="00F120F2"/>
    <w:rsid w:val="00F12501"/>
    <w:rsid w:val="00F146D7"/>
    <w:rsid w:val="00F14969"/>
    <w:rsid w:val="00F14C35"/>
    <w:rsid w:val="00F1512E"/>
    <w:rsid w:val="00F15509"/>
    <w:rsid w:val="00F20699"/>
    <w:rsid w:val="00F23700"/>
    <w:rsid w:val="00F23D7A"/>
    <w:rsid w:val="00F242BA"/>
    <w:rsid w:val="00F24852"/>
    <w:rsid w:val="00F27081"/>
    <w:rsid w:val="00F2761F"/>
    <w:rsid w:val="00F31519"/>
    <w:rsid w:val="00F321D3"/>
    <w:rsid w:val="00F324C8"/>
    <w:rsid w:val="00F3268A"/>
    <w:rsid w:val="00F36AE0"/>
    <w:rsid w:val="00F376ED"/>
    <w:rsid w:val="00F37DF5"/>
    <w:rsid w:val="00F41209"/>
    <w:rsid w:val="00F42206"/>
    <w:rsid w:val="00F4279A"/>
    <w:rsid w:val="00F43D16"/>
    <w:rsid w:val="00F44116"/>
    <w:rsid w:val="00F445DA"/>
    <w:rsid w:val="00F44F63"/>
    <w:rsid w:val="00F45B2C"/>
    <w:rsid w:val="00F47587"/>
    <w:rsid w:val="00F514F1"/>
    <w:rsid w:val="00F51DB0"/>
    <w:rsid w:val="00F52A99"/>
    <w:rsid w:val="00F53F48"/>
    <w:rsid w:val="00F546C6"/>
    <w:rsid w:val="00F556BA"/>
    <w:rsid w:val="00F55C02"/>
    <w:rsid w:val="00F56555"/>
    <w:rsid w:val="00F60013"/>
    <w:rsid w:val="00F61BC3"/>
    <w:rsid w:val="00F61CD3"/>
    <w:rsid w:val="00F63581"/>
    <w:rsid w:val="00F64E72"/>
    <w:rsid w:val="00F6585D"/>
    <w:rsid w:val="00F666F5"/>
    <w:rsid w:val="00F70A99"/>
    <w:rsid w:val="00F70B49"/>
    <w:rsid w:val="00F710A9"/>
    <w:rsid w:val="00F710D3"/>
    <w:rsid w:val="00F7294C"/>
    <w:rsid w:val="00F734AF"/>
    <w:rsid w:val="00F74B32"/>
    <w:rsid w:val="00F82616"/>
    <w:rsid w:val="00F83832"/>
    <w:rsid w:val="00F85340"/>
    <w:rsid w:val="00F87581"/>
    <w:rsid w:val="00F9048D"/>
    <w:rsid w:val="00F90A28"/>
    <w:rsid w:val="00F936BE"/>
    <w:rsid w:val="00F96D01"/>
    <w:rsid w:val="00F97CD4"/>
    <w:rsid w:val="00FA00B3"/>
    <w:rsid w:val="00FA1856"/>
    <w:rsid w:val="00FA1F0A"/>
    <w:rsid w:val="00FA209A"/>
    <w:rsid w:val="00FA4F7A"/>
    <w:rsid w:val="00FA6043"/>
    <w:rsid w:val="00FA737E"/>
    <w:rsid w:val="00FA74DB"/>
    <w:rsid w:val="00FB0B5E"/>
    <w:rsid w:val="00FB0C4C"/>
    <w:rsid w:val="00FB2682"/>
    <w:rsid w:val="00FB2D6B"/>
    <w:rsid w:val="00FB4FD6"/>
    <w:rsid w:val="00FC0C22"/>
    <w:rsid w:val="00FC176D"/>
    <w:rsid w:val="00FC1A41"/>
    <w:rsid w:val="00FC1CC4"/>
    <w:rsid w:val="00FC26FF"/>
    <w:rsid w:val="00FC350F"/>
    <w:rsid w:val="00FC412A"/>
    <w:rsid w:val="00FC571D"/>
    <w:rsid w:val="00FC672A"/>
    <w:rsid w:val="00FD106E"/>
    <w:rsid w:val="00FD2BCE"/>
    <w:rsid w:val="00FD2FF5"/>
    <w:rsid w:val="00FD3A8D"/>
    <w:rsid w:val="00FD3D51"/>
    <w:rsid w:val="00FD3EB7"/>
    <w:rsid w:val="00FD447F"/>
    <w:rsid w:val="00FD54F6"/>
    <w:rsid w:val="00FD7A4F"/>
    <w:rsid w:val="00FE0925"/>
    <w:rsid w:val="00FE0A06"/>
    <w:rsid w:val="00FE1EFB"/>
    <w:rsid w:val="00FE2053"/>
    <w:rsid w:val="00FE453A"/>
    <w:rsid w:val="00FE4D17"/>
    <w:rsid w:val="00FE52DF"/>
    <w:rsid w:val="00FE5302"/>
    <w:rsid w:val="00FE5424"/>
    <w:rsid w:val="00FE6003"/>
    <w:rsid w:val="00FE71E9"/>
    <w:rsid w:val="00FF184B"/>
    <w:rsid w:val="00FF1B4D"/>
    <w:rsid w:val="00FF35CA"/>
    <w:rsid w:val="00FF3976"/>
    <w:rsid w:val="00FF41D8"/>
    <w:rsid w:val="00FF4351"/>
    <w:rsid w:val="00FF4F44"/>
    <w:rsid w:val="00FF5661"/>
    <w:rsid w:val="00FF7CD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F94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48"/>
    <w:pPr>
      <w:spacing w:after="0" w:line="240" w:lineRule="auto"/>
    </w:pPr>
    <w:rPr>
      <w:rFonts w:eastAsia="Times New Roman" w:cs="Times New Roman"/>
      <w:kern w:val="0"/>
      <w:szCs w:val="24"/>
      <w:lang w:eastAsia="ru-RU"/>
      <w14:ligatures w14:val="none"/>
    </w:rPr>
  </w:style>
  <w:style w:type="paragraph" w:styleId="Heading1">
    <w:name w:val="heading 1"/>
    <w:basedOn w:val="Normal"/>
    <w:next w:val="Normal"/>
    <w:link w:val="Heading1Char"/>
    <w:uiPriority w:val="9"/>
    <w:qFormat/>
    <w:rsid w:val="00A730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2552C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C7D8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53F48"/>
    <w:pPr>
      <w:spacing w:after="120" w:line="480" w:lineRule="auto"/>
    </w:pPr>
    <w:rPr>
      <w:lang w:val="x-none"/>
    </w:rPr>
  </w:style>
  <w:style w:type="character" w:customStyle="1" w:styleId="BodyText2Char">
    <w:name w:val="Body Text 2 Char"/>
    <w:basedOn w:val="DefaultParagraphFont"/>
    <w:link w:val="BodyText2"/>
    <w:uiPriority w:val="99"/>
    <w:rsid w:val="00F53F48"/>
    <w:rPr>
      <w:rFonts w:eastAsia="Times New Roman" w:cs="Times New Roman"/>
      <w:kern w:val="0"/>
      <w:szCs w:val="24"/>
      <w:lang w:val="x-none" w:eastAsia="ru-RU"/>
      <w14:ligatures w14:val="none"/>
    </w:rPr>
  </w:style>
  <w:style w:type="table" w:styleId="TableGrid">
    <w:name w:val="Table Grid"/>
    <w:basedOn w:val="TableNormal"/>
    <w:rsid w:val="00F53F48"/>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3F48"/>
    <w:rPr>
      <w:color w:val="0000FF"/>
      <w:u w:val="single"/>
    </w:rPr>
  </w:style>
  <w:style w:type="paragraph" w:styleId="NormalWeb">
    <w:name w:val="Normal (Web)"/>
    <w:basedOn w:val="Normal"/>
    <w:uiPriority w:val="99"/>
    <w:unhideWhenUsed/>
    <w:rsid w:val="00F53F48"/>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4543D7"/>
    <w:rPr>
      <w:sz w:val="16"/>
      <w:szCs w:val="16"/>
    </w:rPr>
  </w:style>
  <w:style w:type="paragraph" w:styleId="CommentText">
    <w:name w:val="annotation text"/>
    <w:basedOn w:val="Normal"/>
    <w:link w:val="CommentTextChar"/>
    <w:uiPriority w:val="99"/>
    <w:unhideWhenUsed/>
    <w:rsid w:val="004543D7"/>
    <w:rPr>
      <w:sz w:val="20"/>
      <w:szCs w:val="20"/>
    </w:rPr>
  </w:style>
  <w:style w:type="character" w:customStyle="1" w:styleId="CommentTextChar">
    <w:name w:val="Comment Text Char"/>
    <w:basedOn w:val="DefaultParagraphFont"/>
    <w:link w:val="CommentText"/>
    <w:uiPriority w:val="99"/>
    <w:rsid w:val="004543D7"/>
    <w:rPr>
      <w:rFonts w:eastAsia="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4543D7"/>
    <w:rPr>
      <w:b/>
      <w:bCs/>
    </w:rPr>
  </w:style>
  <w:style w:type="character" w:customStyle="1" w:styleId="CommentSubjectChar">
    <w:name w:val="Comment Subject Char"/>
    <w:basedOn w:val="CommentTextChar"/>
    <w:link w:val="CommentSubject"/>
    <w:uiPriority w:val="99"/>
    <w:semiHidden/>
    <w:rsid w:val="004543D7"/>
    <w:rPr>
      <w:rFonts w:eastAsia="Times New Roman" w:cs="Times New Roman"/>
      <w:b/>
      <w:bCs/>
      <w:kern w:val="0"/>
      <w:sz w:val="20"/>
      <w:szCs w:val="20"/>
      <w:lang w:eastAsia="ru-RU"/>
      <w14:ligatures w14:val="none"/>
    </w:rPr>
  </w:style>
  <w:style w:type="paragraph" w:styleId="Revision">
    <w:name w:val="Revision"/>
    <w:hidden/>
    <w:uiPriority w:val="99"/>
    <w:semiHidden/>
    <w:rsid w:val="00FB0C4C"/>
    <w:pPr>
      <w:spacing w:after="0" w:line="240" w:lineRule="auto"/>
    </w:pPr>
    <w:rPr>
      <w:rFonts w:eastAsia="Times New Roman" w:cs="Times New Roman"/>
      <w:kern w:val="0"/>
      <w:szCs w:val="24"/>
      <w:lang w:eastAsia="ru-RU"/>
      <w14:ligatures w14:val="none"/>
    </w:rPr>
  </w:style>
  <w:style w:type="paragraph" w:styleId="Header">
    <w:name w:val="header"/>
    <w:basedOn w:val="Normal"/>
    <w:link w:val="HeaderChar"/>
    <w:uiPriority w:val="99"/>
    <w:unhideWhenUsed/>
    <w:rsid w:val="00290459"/>
    <w:pPr>
      <w:tabs>
        <w:tab w:val="center" w:pos="4513"/>
        <w:tab w:val="right" w:pos="9026"/>
      </w:tabs>
    </w:pPr>
  </w:style>
  <w:style w:type="character" w:customStyle="1" w:styleId="HeaderChar">
    <w:name w:val="Header Char"/>
    <w:basedOn w:val="DefaultParagraphFont"/>
    <w:link w:val="Header"/>
    <w:uiPriority w:val="99"/>
    <w:rsid w:val="00290459"/>
    <w:rPr>
      <w:rFonts w:eastAsia="Times New Roman" w:cs="Times New Roman"/>
      <w:kern w:val="0"/>
      <w:szCs w:val="24"/>
      <w:lang w:eastAsia="ru-RU"/>
      <w14:ligatures w14:val="none"/>
    </w:rPr>
  </w:style>
  <w:style w:type="paragraph" w:styleId="Footer">
    <w:name w:val="footer"/>
    <w:basedOn w:val="Normal"/>
    <w:link w:val="FooterChar"/>
    <w:uiPriority w:val="99"/>
    <w:unhideWhenUsed/>
    <w:rsid w:val="00290459"/>
    <w:pPr>
      <w:tabs>
        <w:tab w:val="center" w:pos="4513"/>
        <w:tab w:val="right" w:pos="9026"/>
      </w:tabs>
    </w:pPr>
  </w:style>
  <w:style w:type="character" w:customStyle="1" w:styleId="FooterChar">
    <w:name w:val="Footer Char"/>
    <w:basedOn w:val="DefaultParagraphFont"/>
    <w:link w:val="Footer"/>
    <w:uiPriority w:val="99"/>
    <w:rsid w:val="00290459"/>
    <w:rPr>
      <w:rFonts w:eastAsia="Times New Roman" w:cs="Times New Roman"/>
      <w:kern w:val="0"/>
      <w:szCs w:val="24"/>
      <w:lang w:eastAsia="ru-RU"/>
      <w14:ligatures w14:val="none"/>
    </w:rPr>
  </w:style>
  <w:style w:type="paragraph" w:styleId="ListParagraph">
    <w:name w:val="List Paragraph"/>
    <w:aliases w:val="2,Saraksta rindkopa,Saraksta rindkopa1,Numbered Para 1,Dot pt,No Spacing1,List Paragraph Char Char Char,Indicator Text,List Paragraph1,Bullet 1,Bullet Points,MAIN CONTENT,IFCL - List Paragraph,List Paragraph12,OBC Bullet,F5 List Paragraph"/>
    <w:basedOn w:val="Normal"/>
    <w:link w:val="ListParagraphChar"/>
    <w:uiPriority w:val="34"/>
    <w:qFormat/>
    <w:rsid w:val="001C7CA6"/>
    <w:pPr>
      <w:ind w:left="720"/>
      <w:contextualSpacing/>
    </w:pPr>
  </w:style>
  <w:style w:type="paragraph" w:styleId="FootnoteText">
    <w:name w:val="footnote text"/>
    <w:aliases w:val="Footnote Text Char Char Char,Fußnotentext Char,Fußnotentext Char Char Char1,Fußnotentext Char Char Char1 Char Char Char1,Fußnotentext Char1 Char1,Fußnotentext Char1 Char1 Char Char Char1,Fußnotentext Char2 Char Char Char,-E Fußnotentext,ft"/>
    <w:basedOn w:val="Normal"/>
    <w:link w:val="FootnoteTextChar"/>
    <w:uiPriority w:val="99"/>
    <w:unhideWhenUsed/>
    <w:qFormat/>
    <w:rsid w:val="0065591C"/>
    <w:pPr>
      <w:widowControl w:val="0"/>
    </w:pPr>
    <w:rPr>
      <w:rFonts w:eastAsia="Calibri"/>
      <w:sz w:val="20"/>
      <w:szCs w:val="20"/>
      <w:lang w:val="en-US" w:eastAsia="en-US"/>
    </w:rPr>
  </w:style>
  <w:style w:type="character" w:customStyle="1" w:styleId="FootnoteTextChar">
    <w:name w:val="Footnote Text Char"/>
    <w:aliases w:val="Footnote Text Char Char Char Char,Fußnotentext Char Char,Fußnotentext Char Char Char1 Char,Fußnotentext Char Char Char1 Char Char Char1 Char,Fußnotentext Char1 Char1 Char,Fußnotentext Char1 Char1 Char Char Char1 Char,ft Char"/>
    <w:basedOn w:val="DefaultParagraphFont"/>
    <w:link w:val="FootnoteText"/>
    <w:uiPriority w:val="99"/>
    <w:qFormat/>
    <w:rsid w:val="0065591C"/>
    <w:rPr>
      <w:rFonts w:eastAsia="Calibri" w:cs="Times New Roman"/>
      <w:kern w:val="0"/>
      <w:sz w:val="20"/>
      <w:szCs w:val="20"/>
      <w:lang w:val="en-US"/>
      <w14:ligatures w14:val="none"/>
    </w:rPr>
  </w:style>
  <w:style w:type="character" w:styleId="FootnoteReference">
    <w:name w:val="footnote reference"/>
    <w:aliases w:val="(Footnote Reference),BVI fnr,EN Footnote Reference,Exposant 3 Point,Footnote,Footnote Reference Superscript,Footnote call,Footnote reference number,Footnote symbol,Ref,SUPERS,Times 10 Point,Voetnootverwijzing,de nota al pie,note TESI"/>
    <w:basedOn w:val="DefaultParagraphFont"/>
    <w:link w:val="CharCharCharChar"/>
    <w:uiPriority w:val="99"/>
    <w:unhideWhenUsed/>
    <w:qFormat/>
    <w:rsid w:val="0065591C"/>
    <w:rPr>
      <w:vertAlign w:val="superscript"/>
    </w:rPr>
  </w:style>
  <w:style w:type="paragraph" w:customStyle="1" w:styleId="Default">
    <w:name w:val="Default"/>
    <w:link w:val="DefaultRakstz"/>
    <w:rsid w:val="0065591C"/>
    <w:pPr>
      <w:autoSpaceDE w:val="0"/>
      <w:autoSpaceDN w:val="0"/>
      <w:adjustRightInd w:val="0"/>
      <w:spacing w:after="0" w:line="240" w:lineRule="auto"/>
    </w:pPr>
    <w:rPr>
      <w:rFonts w:eastAsia="Times New Roman" w:cs="Times New Roman"/>
      <w:color w:val="000000"/>
      <w:kern w:val="0"/>
      <w:szCs w:val="24"/>
      <w:lang w:val="en-US"/>
      <w14:ligatures w14:val="none"/>
    </w:rPr>
  </w:style>
  <w:style w:type="character" w:customStyle="1" w:styleId="DefaultRakstz">
    <w:name w:val="Default Rakstz."/>
    <w:link w:val="Default"/>
    <w:rsid w:val="0065591C"/>
    <w:rPr>
      <w:rFonts w:eastAsia="Times New Roman" w:cs="Times New Roman"/>
      <w:color w:val="000000"/>
      <w:kern w:val="0"/>
      <w:szCs w:val="24"/>
      <w:lang w:val="en-US"/>
      <w14:ligatures w14:val="none"/>
    </w:rPr>
  </w:style>
  <w:style w:type="character" w:customStyle="1" w:styleId="markedcontent">
    <w:name w:val="markedcontent"/>
    <w:basedOn w:val="DefaultParagraphFont"/>
    <w:rsid w:val="0065591C"/>
  </w:style>
  <w:style w:type="character" w:customStyle="1" w:styleId="highlight">
    <w:name w:val="highlight"/>
    <w:basedOn w:val="DefaultParagraphFont"/>
    <w:rsid w:val="009A0D64"/>
  </w:style>
  <w:style w:type="character" w:styleId="UnresolvedMention">
    <w:name w:val="Unresolved Mention"/>
    <w:basedOn w:val="DefaultParagraphFont"/>
    <w:uiPriority w:val="99"/>
    <w:semiHidden/>
    <w:unhideWhenUsed/>
    <w:rsid w:val="002C07D7"/>
    <w:rPr>
      <w:color w:val="605E5C"/>
      <w:shd w:val="clear" w:color="auto" w:fill="E1DFDD"/>
    </w:rPr>
  </w:style>
  <w:style w:type="character" w:customStyle="1" w:styleId="affairetitle">
    <w:name w:val="affaire_title"/>
    <w:basedOn w:val="DefaultParagraphFont"/>
    <w:rsid w:val="00737CAC"/>
  </w:style>
  <w:style w:type="character" w:styleId="FollowedHyperlink">
    <w:name w:val="FollowedHyperlink"/>
    <w:basedOn w:val="DefaultParagraphFont"/>
    <w:uiPriority w:val="99"/>
    <w:semiHidden/>
    <w:unhideWhenUsed/>
    <w:rsid w:val="00522BE4"/>
    <w:rPr>
      <w:color w:val="954F72" w:themeColor="followedHyperlink"/>
      <w:u w:val="single"/>
    </w:rPr>
  </w:style>
  <w:style w:type="paragraph" w:customStyle="1" w:styleId="JuPara">
    <w:name w:val="Ju_Para"/>
    <w:aliases w:val="_Para"/>
    <w:basedOn w:val="Normal"/>
    <w:link w:val="JuParaChar"/>
    <w:uiPriority w:val="4"/>
    <w:qFormat/>
    <w:rsid w:val="00743A3A"/>
    <w:pPr>
      <w:ind w:firstLine="284"/>
      <w:jc w:val="both"/>
    </w:pPr>
    <w:rPr>
      <w:rFonts w:asciiTheme="minorHAnsi" w:eastAsiaTheme="minorHAnsi" w:hAnsiTheme="minorHAnsi" w:cstheme="minorBidi"/>
      <w:lang w:val="en-GB" w:eastAsia="en-US"/>
    </w:rPr>
  </w:style>
  <w:style w:type="character" w:customStyle="1" w:styleId="JuParaChar">
    <w:name w:val="Ju_Para Char"/>
    <w:aliases w:val="_Para Char"/>
    <w:link w:val="JuPara"/>
    <w:uiPriority w:val="4"/>
    <w:rsid w:val="00743A3A"/>
    <w:rPr>
      <w:rFonts w:asciiTheme="minorHAnsi" w:hAnsiTheme="minorHAnsi"/>
      <w:kern w:val="0"/>
      <w:szCs w:val="24"/>
      <w:lang w:val="en-GB"/>
      <w14:ligatures w14:val="none"/>
    </w:rPr>
  </w:style>
  <w:style w:type="character" w:customStyle="1" w:styleId="Heading1Char">
    <w:name w:val="Heading 1 Char"/>
    <w:basedOn w:val="DefaultParagraphFont"/>
    <w:link w:val="Heading1"/>
    <w:uiPriority w:val="9"/>
    <w:rsid w:val="00A7309E"/>
    <w:rPr>
      <w:rFonts w:asciiTheme="majorHAnsi" w:eastAsiaTheme="majorEastAsia" w:hAnsiTheme="majorHAnsi" w:cstheme="majorBidi"/>
      <w:color w:val="2F5496" w:themeColor="accent1" w:themeShade="BF"/>
      <w:kern w:val="0"/>
      <w:sz w:val="32"/>
      <w:szCs w:val="32"/>
      <w:lang w:eastAsia="ru-RU"/>
      <w14:ligatures w14:val="none"/>
    </w:rPr>
  </w:style>
  <w:style w:type="paragraph" w:styleId="TOC1">
    <w:name w:val="toc 1"/>
    <w:basedOn w:val="Normal"/>
    <w:next w:val="Normal"/>
    <w:autoRedefine/>
    <w:uiPriority w:val="39"/>
    <w:unhideWhenUsed/>
    <w:rsid w:val="000F7A90"/>
    <w:pPr>
      <w:spacing w:after="100" w:line="259" w:lineRule="auto"/>
    </w:pPr>
    <w:rPr>
      <w:rFonts w:eastAsiaTheme="minorHAnsi" w:cstheme="minorBidi"/>
      <w:kern w:val="2"/>
      <w:szCs w:val="22"/>
      <w:lang w:eastAsia="en-US"/>
      <w14:ligatures w14:val="standardContextual"/>
    </w:rPr>
  </w:style>
  <w:style w:type="paragraph" w:customStyle="1" w:styleId="bullet">
    <w:name w:val="bullet"/>
    <w:basedOn w:val="Normal"/>
    <w:link w:val="bulletChar"/>
    <w:qFormat/>
    <w:rsid w:val="004E6398"/>
    <w:pPr>
      <w:numPr>
        <w:ilvl w:val="1"/>
        <w:numId w:val="1"/>
      </w:numPr>
      <w:spacing w:before="120" w:after="120"/>
      <w:jc w:val="both"/>
    </w:pPr>
    <w:rPr>
      <w:color w:val="000000" w:themeColor="text1"/>
      <w:szCs w:val="20"/>
      <w:lang w:eastAsia="lv-LV"/>
      <w14:ligatures w14:val="standardContextual"/>
    </w:rPr>
  </w:style>
  <w:style w:type="character" w:customStyle="1" w:styleId="bulletChar">
    <w:name w:val="bullet Char"/>
    <w:basedOn w:val="DefaultParagraphFont"/>
    <w:link w:val="bullet"/>
    <w:rsid w:val="004E6398"/>
    <w:rPr>
      <w:rFonts w:eastAsia="Times New Roman" w:cs="Times New Roman"/>
      <w:color w:val="000000" w:themeColor="text1"/>
      <w:kern w:val="0"/>
      <w:szCs w:val="20"/>
      <w:lang w:eastAsia="lv-LV"/>
    </w:rPr>
  </w:style>
  <w:style w:type="paragraph" w:customStyle="1" w:styleId="CharCharCharChar">
    <w:name w:val="Char Char Char Char"/>
    <w:aliases w:val="Char2"/>
    <w:basedOn w:val="Normal"/>
    <w:next w:val="Normal"/>
    <w:link w:val="FootnoteReference"/>
    <w:uiPriority w:val="99"/>
    <w:rsid w:val="0051102E"/>
    <w:pPr>
      <w:keepNext/>
      <w:keepLines/>
      <w:spacing w:before="120" w:after="160" w:line="240" w:lineRule="exact"/>
      <w:jc w:val="both"/>
      <w:outlineLvl w:val="0"/>
    </w:pPr>
    <w:rPr>
      <w:rFonts w:eastAsiaTheme="minorHAnsi" w:cstheme="minorBidi"/>
      <w:kern w:val="2"/>
      <w:szCs w:val="22"/>
      <w:vertAlign w:val="superscript"/>
      <w:lang w:eastAsia="en-US"/>
      <w14:ligatures w14:val="standardContextual"/>
    </w:rPr>
  </w:style>
  <w:style w:type="character" w:customStyle="1" w:styleId="ListParagraphChar">
    <w:name w:val="List Paragraph Char"/>
    <w:aliases w:val="2 Char,Saraksta rindkopa Char,Saraksta rindkopa1 Char,Numbered Para 1 Char,Dot pt Char,No Spacing1 Char,List Paragraph Char Char Char Char,Indicator Text Char,List Paragraph1 Char,Bullet 1 Char,Bullet Points Char,MAIN CONTENT Char"/>
    <w:link w:val="ListParagraph"/>
    <w:uiPriority w:val="34"/>
    <w:qFormat/>
    <w:locked/>
    <w:rsid w:val="00D15240"/>
    <w:rPr>
      <w:rFonts w:eastAsia="Times New Roman" w:cs="Times New Roman"/>
      <w:kern w:val="0"/>
      <w:szCs w:val="24"/>
      <w:lang w:eastAsia="ru-RU"/>
      <w14:ligatures w14:val="none"/>
    </w:rPr>
  </w:style>
  <w:style w:type="character" w:customStyle="1" w:styleId="FootnoteCharacters">
    <w:name w:val="Footnote Characters"/>
    <w:basedOn w:val="DefaultParagraphFont"/>
    <w:rsid w:val="003C0B25"/>
    <w:rPr>
      <w:vertAlign w:val="superscript"/>
    </w:rPr>
  </w:style>
  <w:style w:type="character" w:styleId="Emphasis">
    <w:name w:val="Emphasis"/>
    <w:basedOn w:val="DefaultParagraphFont"/>
    <w:uiPriority w:val="20"/>
    <w:qFormat/>
    <w:rsid w:val="003C0B25"/>
    <w:rPr>
      <w:i/>
      <w:iCs/>
    </w:rPr>
  </w:style>
  <w:style w:type="character" w:customStyle="1" w:styleId="Heading6Char">
    <w:name w:val="Heading 6 Char"/>
    <w:basedOn w:val="DefaultParagraphFont"/>
    <w:link w:val="Heading6"/>
    <w:uiPriority w:val="9"/>
    <w:semiHidden/>
    <w:rsid w:val="006C7D8E"/>
    <w:rPr>
      <w:rFonts w:asciiTheme="majorHAnsi" w:eastAsiaTheme="majorEastAsia" w:hAnsiTheme="majorHAnsi" w:cstheme="majorBidi"/>
      <w:color w:val="1F3763" w:themeColor="accent1" w:themeShade="7F"/>
      <w:kern w:val="0"/>
      <w:szCs w:val="24"/>
      <w:lang w:eastAsia="ru-RU"/>
      <w14:ligatures w14:val="none"/>
    </w:rPr>
  </w:style>
  <w:style w:type="character" w:customStyle="1" w:styleId="Heading5Char">
    <w:name w:val="Heading 5 Char"/>
    <w:basedOn w:val="DefaultParagraphFont"/>
    <w:link w:val="Heading5"/>
    <w:uiPriority w:val="9"/>
    <w:semiHidden/>
    <w:rsid w:val="002552C9"/>
    <w:rPr>
      <w:rFonts w:asciiTheme="majorHAnsi" w:eastAsiaTheme="majorEastAsia" w:hAnsiTheme="majorHAnsi" w:cstheme="majorBidi"/>
      <w:color w:val="2F5496" w:themeColor="accent1" w:themeShade="BF"/>
      <w:kern w:val="0"/>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270">
      <w:bodyDiv w:val="1"/>
      <w:marLeft w:val="0"/>
      <w:marRight w:val="0"/>
      <w:marTop w:val="0"/>
      <w:marBottom w:val="0"/>
      <w:divBdr>
        <w:top w:val="none" w:sz="0" w:space="0" w:color="auto"/>
        <w:left w:val="none" w:sz="0" w:space="0" w:color="auto"/>
        <w:bottom w:val="none" w:sz="0" w:space="0" w:color="auto"/>
        <w:right w:val="none" w:sz="0" w:space="0" w:color="auto"/>
      </w:divBdr>
    </w:div>
    <w:div w:id="7147869">
      <w:bodyDiv w:val="1"/>
      <w:marLeft w:val="0"/>
      <w:marRight w:val="0"/>
      <w:marTop w:val="0"/>
      <w:marBottom w:val="0"/>
      <w:divBdr>
        <w:top w:val="none" w:sz="0" w:space="0" w:color="auto"/>
        <w:left w:val="none" w:sz="0" w:space="0" w:color="auto"/>
        <w:bottom w:val="none" w:sz="0" w:space="0" w:color="auto"/>
        <w:right w:val="none" w:sz="0" w:space="0" w:color="auto"/>
      </w:divBdr>
    </w:div>
    <w:div w:id="36510143">
      <w:bodyDiv w:val="1"/>
      <w:marLeft w:val="0"/>
      <w:marRight w:val="0"/>
      <w:marTop w:val="0"/>
      <w:marBottom w:val="0"/>
      <w:divBdr>
        <w:top w:val="none" w:sz="0" w:space="0" w:color="auto"/>
        <w:left w:val="none" w:sz="0" w:space="0" w:color="auto"/>
        <w:bottom w:val="none" w:sz="0" w:space="0" w:color="auto"/>
        <w:right w:val="none" w:sz="0" w:space="0" w:color="auto"/>
      </w:divBdr>
    </w:div>
    <w:div w:id="36853716">
      <w:bodyDiv w:val="1"/>
      <w:marLeft w:val="0"/>
      <w:marRight w:val="0"/>
      <w:marTop w:val="0"/>
      <w:marBottom w:val="0"/>
      <w:divBdr>
        <w:top w:val="none" w:sz="0" w:space="0" w:color="auto"/>
        <w:left w:val="none" w:sz="0" w:space="0" w:color="auto"/>
        <w:bottom w:val="none" w:sz="0" w:space="0" w:color="auto"/>
        <w:right w:val="none" w:sz="0" w:space="0" w:color="auto"/>
      </w:divBdr>
    </w:div>
    <w:div w:id="72243731">
      <w:bodyDiv w:val="1"/>
      <w:marLeft w:val="0"/>
      <w:marRight w:val="0"/>
      <w:marTop w:val="0"/>
      <w:marBottom w:val="0"/>
      <w:divBdr>
        <w:top w:val="none" w:sz="0" w:space="0" w:color="auto"/>
        <w:left w:val="none" w:sz="0" w:space="0" w:color="auto"/>
        <w:bottom w:val="none" w:sz="0" w:space="0" w:color="auto"/>
        <w:right w:val="none" w:sz="0" w:space="0" w:color="auto"/>
      </w:divBdr>
    </w:div>
    <w:div w:id="80300403">
      <w:bodyDiv w:val="1"/>
      <w:marLeft w:val="0"/>
      <w:marRight w:val="0"/>
      <w:marTop w:val="0"/>
      <w:marBottom w:val="0"/>
      <w:divBdr>
        <w:top w:val="none" w:sz="0" w:space="0" w:color="auto"/>
        <w:left w:val="none" w:sz="0" w:space="0" w:color="auto"/>
        <w:bottom w:val="none" w:sz="0" w:space="0" w:color="auto"/>
        <w:right w:val="none" w:sz="0" w:space="0" w:color="auto"/>
      </w:divBdr>
    </w:div>
    <w:div w:id="104232256">
      <w:bodyDiv w:val="1"/>
      <w:marLeft w:val="0"/>
      <w:marRight w:val="0"/>
      <w:marTop w:val="0"/>
      <w:marBottom w:val="0"/>
      <w:divBdr>
        <w:top w:val="none" w:sz="0" w:space="0" w:color="auto"/>
        <w:left w:val="none" w:sz="0" w:space="0" w:color="auto"/>
        <w:bottom w:val="none" w:sz="0" w:space="0" w:color="auto"/>
        <w:right w:val="none" w:sz="0" w:space="0" w:color="auto"/>
      </w:divBdr>
    </w:div>
    <w:div w:id="120421929">
      <w:bodyDiv w:val="1"/>
      <w:marLeft w:val="0"/>
      <w:marRight w:val="0"/>
      <w:marTop w:val="0"/>
      <w:marBottom w:val="0"/>
      <w:divBdr>
        <w:top w:val="none" w:sz="0" w:space="0" w:color="auto"/>
        <w:left w:val="none" w:sz="0" w:space="0" w:color="auto"/>
        <w:bottom w:val="none" w:sz="0" w:space="0" w:color="auto"/>
        <w:right w:val="none" w:sz="0" w:space="0" w:color="auto"/>
      </w:divBdr>
    </w:div>
    <w:div w:id="120652486">
      <w:bodyDiv w:val="1"/>
      <w:marLeft w:val="0"/>
      <w:marRight w:val="0"/>
      <w:marTop w:val="0"/>
      <w:marBottom w:val="0"/>
      <w:divBdr>
        <w:top w:val="none" w:sz="0" w:space="0" w:color="auto"/>
        <w:left w:val="none" w:sz="0" w:space="0" w:color="auto"/>
        <w:bottom w:val="none" w:sz="0" w:space="0" w:color="auto"/>
        <w:right w:val="none" w:sz="0" w:space="0" w:color="auto"/>
      </w:divBdr>
    </w:div>
    <w:div w:id="151143098">
      <w:bodyDiv w:val="1"/>
      <w:marLeft w:val="0"/>
      <w:marRight w:val="0"/>
      <w:marTop w:val="0"/>
      <w:marBottom w:val="0"/>
      <w:divBdr>
        <w:top w:val="none" w:sz="0" w:space="0" w:color="auto"/>
        <w:left w:val="none" w:sz="0" w:space="0" w:color="auto"/>
        <w:bottom w:val="none" w:sz="0" w:space="0" w:color="auto"/>
        <w:right w:val="none" w:sz="0" w:space="0" w:color="auto"/>
      </w:divBdr>
      <w:divsChild>
        <w:div w:id="493032091">
          <w:marLeft w:val="0"/>
          <w:marRight w:val="0"/>
          <w:marTop w:val="135"/>
          <w:marBottom w:val="0"/>
          <w:divBdr>
            <w:top w:val="none" w:sz="0" w:space="0" w:color="auto"/>
            <w:left w:val="none" w:sz="0" w:space="0" w:color="auto"/>
            <w:bottom w:val="none" w:sz="0" w:space="0" w:color="auto"/>
            <w:right w:val="none" w:sz="0" w:space="0" w:color="auto"/>
          </w:divBdr>
        </w:div>
        <w:div w:id="1376659255">
          <w:marLeft w:val="0"/>
          <w:marRight w:val="0"/>
          <w:marTop w:val="210"/>
          <w:marBottom w:val="0"/>
          <w:divBdr>
            <w:top w:val="none" w:sz="0" w:space="0" w:color="auto"/>
            <w:left w:val="none" w:sz="0" w:space="0" w:color="auto"/>
            <w:bottom w:val="none" w:sz="0" w:space="0" w:color="auto"/>
            <w:right w:val="none" w:sz="0" w:space="0" w:color="auto"/>
          </w:divBdr>
        </w:div>
      </w:divsChild>
    </w:div>
    <w:div w:id="160856864">
      <w:bodyDiv w:val="1"/>
      <w:marLeft w:val="0"/>
      <w:marRight w:val="0"/>
      <w:marTop w:val="0"/>
      <w:marBottom w:val="0"/>
      <w:divBdr>
        <w:top w:val="none" w:sz="0" w:space="0" w:color="auto"/>
        <w:left w:val="none" w:sz="0" w:space="0" w:color="auto"/>
        <w:bottom w:val="none" w:sz="0" w:space="0" w:color="auto"/>
        <w:right w:val="none" w:sz="0" w:space="0" w:color="auto"/>
      </w:divBdr>
    </w:div>
    <w:div w:id="184446304">
      <w:bodyDiv w:val="1"/>
      <w:marLeft w:val="0"/>
      <w:marRight w:val="0"/>
      <w:marTop w:val="0"/>
      <w:marBottom w:val="0"/>
      <w:divBdr>
        <w:top w:val="none" w:sz="0" w:space="0" w:color="auto"/>
        <w:left w:val="none" w:sz="0" w:space="0" w:color="auto"/>
        <w:bottom w:val="none" w:sz="0" w:space="0" w:color="auto"/>
        <w:right w:val="none" w:sz="0" w:space="0" w:color="auto"/>
      </w:divBdr>
    </w:div>
    <w:div w:id="190386389">
      <w:bodyDiv w:val="1"/>
      <w:marLeft w:val="0"/>
      <w:marRight w:val="0"/>
      <w:marTop w:val="0"/>
      <w:marBottom w:val="0"/>
      <w:divBdr>
        <w:top w:val="none" w:sz="0" w:space="0" w:color="auto"/>
        <w:left w:val="none" w:sz="0" w:space="0" w:color="auto"/>
        <w:bottom w:val="none" w:sz="0" w:space="0" w:color="auto"/>
        <w:right w:val="none" w:sz="0" w:space="0" w:color="auto"/>
      </w:divBdr>
    </w:div>
    <w:div w:id="194194762">
      <w:bodyDiv w:val="1"/>
      <w:marLeft w:val="0"/>
      <w:marRight w:val="0"/>
      <w:marTop w:val="0"/>
      <w:marBottom w:val="0"/>
      <w:divBdr>
        <w:top w:val="none" w:sz="0" w:space="0" w:color="auto"/>
        <w:left w:val="none" w:sz="0" w:space="0" w:color="auto"/>
        <w:bottom w:val="none" w:sz="0" w:space="0" w:color="auto"/>
        <w:right w:val="none" w:sz="0" w:space="0" w:color="auto"/>
      </w:divBdr>
    </w:div>
    <w:div w:id="212275703">
      <w:bodyDiv w:val="1"/>
      <w:marLeft w:val="0"/>
      <w:marRight w:val="0"/>
      <w:marTop w:val="0"/>
      <w:marBottom w:val="0"/>
      <w:divBdr>
        <w:top w:val="none" w:sz="0" w:space="0" w:color="auto"/>
        <w:left w:val="none" w:sz="0" w:space="0" w:color="auto"/>
        <w:bottom w:val="none" w:sz="0" w:space="0" w:color="auto"/>
        <w:right w:val="none" w:sz="0" w:space="0" w:color="auto"/>
      </w:divBdr>
    </w:div>
    <w:div w:id="232086233">
      <w:bodyDiv w:val="1"/>
      <w:marLeft w:val="0"/>
      <w:marRight w:val="0"/>
      <w:marTop w:val="0"/>
      <w:marBottom w:val="0"/>
      <w:divBdr>
        <w:top w:val="none" w:sz="0" w:space="0" w:color="auto"/>
        <w:left w:val="none" w:sz="0" w:space="0" w:color="auto"/>
        <w:bottom w:val="none" w:sz="0" w:space="0" w:color="auto"/>
        <w:right w:val="none" w:sz="0" w:space="0" w:color="auto"/>
      </w:divBdr>
    </w:div>
    <w:div w:id="246116567">
      <w:bodyDiv w:val="1"/>
      <w:marLeft w:val="0"/>
      <w:marRight w:val="0"/>
      <w:marTop w:val="0"/>
      <w:marBottom w:val="0"/>
      <w:divBdr>
        <w:top w:val="none" w:sz="0" w:space="0" w:color="auto"/>
        <w:left w:val="none" w:sz="0" w:space="0" w:color="auto"/>
        <w:bottom w:val="none" w:sz="0" w:space="0" w:color="auto"/>
        <w:right w:val="none" w:sz="0" w:space="0" w:color="auto"/>
      </w:divBdr>
    </w:div>
    <w:div w:id="253172968">
      <w:bodyDiv w:val="1"/>
      <w:marLeft w:val="0"/>
      <w:marRight w:val="0"/>
      <w:marTop w:val="0"/>
      <w:marBottom w:val="0"/>
      <w:divBdr>
        <w:top w:val="none" w:sz="0" w:space="0" w:color="auto"/>
        <w:left w:val="none" w:sz="0" w:space="0" w:color="auto"/>
        <w:bottom w:val="none" w:sz="0" w:space="0" w:color="auto"/>
        <w:right w:val="none" w:sz="0" w:space="0" w:color="auto"/>
      </w:divBdr>
    </w:div>
    <w:div w:id="261912037">
      <w:bodyDiv w:val="1"/>
      <w:marLeft w:val="0"/>
      <w:marRight w:val="0"/>
      <w:marTop w:val="0"/>
      <w:marBottom w:val="0"/>
      <w:divBdr>
        <w:top w:val="none" w:sz="0" w:space="0" w:color="auto"/>
        <w:left w:val="none" w:sz="0" w:space="0" w:color="auto"/>
        <w:bottom w:val="none" w:sz="0" w:space="0" w:color="auto"/>
        <w:right w:val="none" w:sz="0" w:space="0" w:color="auto"/>
      </w:divBdr>
    </w:div>
    <w:div w:id="270480817">
      <w:bodyDiv w:val="1"/>
      <w:marLeft w:val="0"/>
      <w:marRight w:val="0"/>
      <w:marTop w:val="0"/>
      <w:marBottom w:val="0"/>
      <w:divBdr>
        <w:top w:val="none" w:sz="0" w:space="0" w:color="auto"/>
        <w:left w:val="none" w:sz="0" w:space="0" w:color="auto"/>
        <w:bottom w:val="none" w:sz="0" w:space="0" w:color="auto"/>
        <w:right w:val="none" w:sz="0" w:space="0" w:color="auto"/>
      </w:divBdr>
      <w:divsChild>
        <w:div w:id="325011852">
          <w:marLeft w:val="0"/>
          <w:marRight w:val="0"/>
          <w:marTop w:val="0"/>
          <w:marBottom w:val="0"/>
          <w:divBdr>
            <w:top w:val="none" w:sz="0" w:space="0" w:color="auto"/>
            <w:left w:val="none" w:sz="0" w:space="0" w:color="auto"/>
            <w:bottom w:val="none" w:sz="0" w:space="0" w:color="auto"/>
            <w:right w:val="none" w:sz="0" w:space="0" w:color="auto"/>
          </w:divBdr>
        </w:div>
        <w:div w:id="1984698120">
          <w:marLeft w:val="0"/>
          <w:marRight w:val="0"/>
          <w:marTop w:val="0"/>
          <w:marBottom w:val="0"/>
          <w:divBdr>
            <w:top w:val="none" w:sz="0" w:space="0" w:color="auto"/>
            <w:left w:val="none" w:sz="0" w:space="0" w:color="auto"/>
            <w:bottom w:val="none" w:sz="0" w:space="0" w:color="auto"/>
            <w:right w:val="none" w:sz="0" w:space="0" w:color="auto"/>
          </w:divBdr>
        </w:div>
      </w:divsChild>
    </w:div>
    <w:div w:id="272591505">
      <w:bodyDiv w:val="1"/>
      <w:marLeft w:val="0"/>
      <w:marRight w:val="0"/>
      <w:marTop w:val="0"/>
      <w:marBottom w:val="0"/>
      <w:divBdr>
        <w:top w:val="none" w:sz="0" w:space="0" w:color="auto"/>
        <w:left w:val="none" w:sz="0" w:space="0" w:color="auto"/>
        <w:bottom w:val="none" w:sz="0" w:space="0" w:color="auto"/>
        <w:right w:val="none" w:sz="0" w:space="0" w:color="auto"/>
      </w:divBdr>
    </w:div>
    <w:div w:id="316882728">
      <w:bodyDiv w:val="1"/>
      <w:marLeft w:val="0"/>
      <w:marRight w:val="0"/>
      <w:marTop w:val="0"/>
      <w:marBottom w:val="0"/>
      <w:divBdr>
        <w:top w:val="none" w:sz="0" w:space="0" w:color="auto"/>
        <w:left w:val="none" w:sz="0" w:space="0" w:color="auto"/>
        <w:bottom w:val="none" w:sz="0" w:space="0" w:color="auto"/>
        <w:right w:val="none" w:sz="0" w:space="0" w:color="auto"/>
      </w:divBdr>
      <w:divsChild>
        <w:div w:id="1402362572">
          <w:marLeft w:val="0"/>
          <w:marRight w:val="0"/>
          <w:marTop w:val="135"/>
          <w:marBottom w:val="0"/>
          <w:divBdr>
            <w:top w:val="none" w:sz="0" w:space="0" w:color="auto"/>
            <w:left w:val="none" w:sz="0" w:space="0" w:color="auto"/>
            <w:bottom w:val="none" w:sz="0" w:space="0" w:color="auto"/>
            <w:right w:val="none" w:sz="0" w:space="0" w:color="auto"/>
          </w:divBdr>
        </w:div>
        <w:div w:id="1885023399">
          <w:marLeft w:val="0"/>
          <w:marRight w:val="0"/>
          <w:marTop w:val="210"/>
          <w:marBottom w:val="0"/>
          <w:divBdr>
            <w:top w:val="none" w:sz="0" w:space="0" w:color="auto"/>
            <w:left w:val="none" w:sz="0" w:space="0" w:color="auto"/>
            <w:bottom w:val="none" w:sz="0" w:space="0" w:color="auto"/>
            <w:right w:val="none" w:sz="0" w:space="0" w:color="auto"/>
          </w:divBdr>
        </w:div>
      </w:divsChild>
    </w:div>
    <w:div w:id="320157540">
      <w:bodyDiv w:val="1"/>
      <w:marLeft w:val="0"/>
      <w:marRight w:val="0"/>
      <w:marTop w:val="0"/>
      <w:marBottom w:val="0"/>
      <w:divBdr>
        <w:top w:val="none" w:sz="0" w:space="0" w:color="auto"/>
        <w:left w:val="none" w:sz="0" w:space="0" w:color="auto"/>
        <w:bottom w:val="none" w:sz="0" w:space="0" w:color="auto"/>
        <w:right w:val="none" w:sz="0" w:space="0" w:color="auto"/>
      </w:divBdr>
    </w:div>
    <w:div w:id="373777203">
      <w:bodyDiv w:val="1"/>
      <w:marLeft w:val="0"/>
      <w:marRight w:val="0"/>
      <w:marTop w:val="0"/>
      <w:marBottom w:val="0"/>
      <w:divBdr>
        <w:top w:val="none" w:sz="0" w:space="0" w:color="auto"/>
        <w:left w:val="none" w:sz="0" w:space="0" w:color="auto"/>
        <w:bottom w:val="none" w:sz="0" w:space="0" w:color="auto"/>
        <w:right w:val="none" w:sz="0" w:space="0" w:color="auto"/>
      </w:divBdr>
    </w:div>
    <w:div w:id="387264929">
      <w:bodyDiv w:val="1"/>
      <w:marLeft w:val="0"/>
      <w:marRight w:val="0"/>
      <w:marTop w:val="0"/>
      <w:marBottom w:val="0"/>
      <w:divBdr>
        <w:top w:val="none" w:sz="0" w:space="0" w:color="auto"/>
        <w:left w:val="none" w:sz="0" w:space="0" w:color="auto"/>
        <w:bottom w:val="none" w:sz="0" w:space="0" w:color="auto"/>
        <w:right w:val="none" w:sz="0" w:space="0" w:color="auto"/>
      </w:divBdr>
    </w:div>
    <w:div w:id="409741107">
      <w:bodyDiv w:val="1"/>
      <w:marLeft w:val="0"/>
      <w:marRight w:val="0"/>
      <w:marTop w:val="0"/>
      <w:marBottom w:val="0"/>
      <w:divBdr>
        <w:top w:val="none" w:sz="0" w:space="0" w:color="auto"/>
        <w:left w:val="none" w:sz="0" w:space="0" w:color="auto"/>
        <w:bottom w:val="none" w:sz="0" w:space="0" w:color="auto"/>
        <w:right w:val="none" w:sz="0" w:space="0" w:color="auto"/>
      </w:divBdr>
    </w:div>
    <w:div w:id="422339172">
      <w:bodyDiv w:val="1"/>
      <w:marLeft w:val="0"/>
      <w:marRight w:val="0"/>
      <w:marTop w:val="0"/>
      <w:marBottom w:val="0"/>
      <w:divBdr>
        <w:top w:val="none" w:sz="0" w:space="0" w:color="auto"/>
        <w:left w:val="none" w:sz="0" w:space="0" w:color="auto"/>
        <w:bottom w:val="none" w:sz="0" w:space="0" w:color="auto"/>
        <w:right w:val="none" w:sz="0" w:space="0" w:color="auto"/>
      </w:divBdr>
    </w:div>
    <w:div w:id="430709977">
      <w:bodyDiv w:val="1"/>
      <w:marLeft w:val="0"/>
      <w:marRight w:val="0"/>
      <w:marTop w:val="0"/>
      <w:marBottom w:val="0"/>
      <w:divBdr>
        <w:top w:val="none" w:sz="0" w:space="0" w:color="auto"/>
        <w:left w:val="none" w:sz="0" w:space="0" w:color="auto"/>
        <w:bottom w:val="none" w:sz="0" w:space="0" w:color="auto"/>
        <w:right w:val="none" w:sz="0" w:space="0" w:color="auto"/>
      </w:divBdr>
    </w:div>
    <w:div w:id="430859509">
      <w:bodyDiv w:val="1"/>
      <w:marLeft w:val="0"/>
      <w:marRight w:val="0"/>
      <w:marTop w:val="0"/>
      <w:marBottom w:val="0"/>
      <w:divBdr>
        <w:top w:val="none" w:sz="0" w:space="0" w:color="auto"/>
        <w:left w:val="none" w:sz="0" w:space="0" w:color="auto"/>
        <w:bottom w:val="none" w:sz="0" w:space="0" w:color="auto"/>
        <w:right w:val="none" w:sz="0" w:space="0" w:color="auto"/>
      </w:divBdr>
    </w:div>
    <w:div w:id="503320657">
      <w:bodyDiv w:val="1"/>
      <w:marLeft w:val="0"/>
      <w:marRight w:val="0"/>
      <w:marTop w:val="0"/>
      <w:marBottom w:val="0"/>
      <w:divBdr>
        <w:top w:val="none" w:sz="0" w:space="0" w:color="auto"/>
        <w:left w:val="none" w:sz="0" w:space="0" w:color="auto"/>
        <w:bottom w:val="none" w:sz="0" w:space="0" w:color="auto"/>
        <w:right w:val="none" w:sz="0" w:space="0" w:color="auto"/>
      </w:divBdr>
    </w:div>
    <w:div w:id="551039036">
      <w:bodyDiv w:val="1"/>
      <w:marLeft w:val="0"/>
      <w:marRight w:val="0"/>
      <w:marTop w:val="0"/>
      <w:marBottom w:val="0"/>
      <w:divBdr>
        <w:top w:val="none" w:sz="0" w:space="0" w:color="auto"/>
        <w:left w:val="none" w:sz="0" w:space="0" w:color="auto"/>
        <w:bottom w:val="none" w:sz="0" w:space="0" w:color="auto"/>
        <w:right w:val="none" w:sz="0" w:space="0" w:color="auto"/>
      </w:divBdr>
    </w:div>
    <w:div w:id="560949926">
      <w:bodyDiv w:val="1"/>
      <w:marLeft w:val="0"/>
      <w:marRight w:val="0"/>
      <w:marTop w:val="0"/>
      <w:marBottom w:val="0"/>
      <w:divBdr>
        <w:top w:val="none" w:sz="0" w:space="0" w:color="auto"/>
        <w:left w:val="none" w:sz="0" w:space="0" w:color="auto"/>
        <w:bottom w:val="none" w:sz="0" w:space="0" w:color="auto"/>
        <w:right w:val="none" w:sz="0" w:space="0" w:color="auto"/>
      </w:divBdr>
      <w:divsChild>
        <w:div w:id="333723879">
          <w:marLeft w:val="0"/>
          <w:marRight w:val="0"/>
          <w:marTop w:val="0"/>
          <w:marBottom w:val="0"/>
          <w:divBdr>
            <w:top w:val="none" w:sz="0" w:space="0" w:color="auto"/>
            <w:left w:val="none" w:sz="0" w:space="0" w:color="auto"/>
            <w:bottom w:val="none" w:sz="0" w:space="0" w:color="auto"/>
            <w:right w:val="none" w:sz="0" w:space="0" w:color="auto"/>
          </w:divBdr>
        </w:div>
      </w:divsChild>
    </w:div>
    <w:div w:id="615255445">
      <w:bodyDiv w:val="1"/>
      <w:marLeft w:val="0"/>
      <w:marRight w:val="0"/>
      <w:marTop w:val="0"/>
      <w:marBottom w:val="0"/>
      <w:divBdr>
        <w:top w:val="none" w:sz="0" w:space="0" w:color="auto"/>
        <w:left w:val="none" w:sz="0" w:space="0" w:color="auto"/>
        <w:bottom w:val="none" w:sz="0" w:space="0" w:color="auto"/>
        <w:right w:val="none" w:sz="0" w:space="0" w:color="auto"/>
      </w:divBdr>
    </w:div>
    <w:div w:id="619456031">
      <w:bodyDiv w:val="1"/>
      <w:marLeft w:val="0"/>
      <w:marRight w:val="0"/>
      <w:marTop w:val="0"/>
      <w:marBottom w:val="0"/>
      <w:divBdr>
        <w:top w:val="none" w:sz="0" w:space="0" w:color="auto"/>
        <w:left w:val="none" w:sz="0" w:space="0" w:color="auto"/>
        <w:bottom w:val="none" w:sz="0" w:space="0" w:color="auto"/>
        <w:right w:val="none" w:sz="0" w:space="0" w:color="auto"/>
      </w:divBdr>
    </w:div>
    <w:div w:id="676659888">
      <w:bodyDiv w:val="1"/>
      <w:marLeft w:val="0"/>
      <w:marRight w:val="0"/>
      <w:marTop w:val="0"/>
      <w:marBottom w:val="0"/>
      <w:divBdr>
        <w:top w:val="none" w:sz="0" w:space="0" w:color="auto"/>
        <w:left w:val="none" w:sz="0" w:space="0" w:color="auto"/>
        <w:bottom w:val="none" w:sz="0" w:space="0" w:color="auto"/>
        <w:right w:val="none" w:sz="0" w:space="0" w:color="auto"/>
      </w:divBdr>
      <w:divsChild>
        <w:div w:id="1560361602">
          <w:marLeft w:val="0"/>
          <w:marRight w:val="0"/>
          <w:marTop w:val="0"/>
          <w:marBottom w:val="0"/>
          <w:divBdr>
            <w:top w:val="none" w:sz="0" w:space="0" w:color="auto"/>
            <w:left w:val="none" w:sz="0" w:space="0" w:color="auto"/>
            <w:bottom w:val="none" w:sz="0" w:space="0" w:color="auto"/>
            <w:right w:val="none" w:sz="0" w:space="0" w:color="auto"/>
          </w:divBdr>
        </w:div>
        <w:div w:id="1579822162">
          <w:marLeft w:val="0"/>
          <w:marRight w:val="0"/>
          <w:marTop w:val="0"/>
          <w:marBottom w:val="0"/>
          <w:divBdr>
            <w:top w:val="none" w:sz="0" w:space="0" w:color="auto"/>
            <w:left w:val="none" w:sz="0" w:space="0" w:color="auto"/>
            <w:bottom w:val="none" w:sz="0" w:space="0" w:color="auto"/>
            <w:right w:val="none" w:sz="0" w:space="0" w:color="auto"/>
          </w:divBdr>
        </w:div>
      </w:divsChild>
    </w:div>
    <w:div w:id="682244520">
      <w:bodyDiv w:val="1"/>
      <w:marLeft w:val="0"/>
      <w:marRight w:val="0"/>
      <w:marTop w:val="0"/>
      <w:marBottom w:val="0"/>
      <w:divBdr>
        <w:top w:val="none" w:sz="0" w:space="0" w:color="auto"/>
        <w:left w:val="none" w:sz="0" w:space="0" w:color="auto"/>
        <w:bottom w:val="none" w:sz="0" w:space="0" w:color="auto"/>
        <w:right w:val="none" w:sz="0" w:space="0" w:color="auto"/>
      </w:divBdr>
    </w:div>
    <w:div w:id="713120415">
      <w:bodyDiv w:val="1"/>
      <w:marLeft w:val="0"/>
      <w:marRight w:val="0"/>
      <w:marTop w:val="0"/>
      <w:marBottom w:val="0"/>
      <w:divBdr>
        <w:top w:val="none" w:sz="0" w:space="0" w:color="auto"/>
        <w:left w:val="none" w:sz="0" w:space="0" w:color="auto"/>
        <w:bottom w:val="none" w:sz="0" w:space="0" w:color="auto"/>
        <w:right w:val="none" w:sz="0" w:space="0" w:color="auto"/>
      </w:divBdr>
    </w:div>
    <w:div w:id="713962737">
      <w:bodyDiv w:val="1"/>
      <w:marLeft w:val="0"/>
      <w:marRight w:val="0"/>
      <w:marTop w:val="0"/>
      <w:marBottom w:val="0"/>
      <w:divBdr>
        <w:top w:val="none" w:sz="0" w:space="0" w:color="auto"/>
        <w:left w:val="none" w:sz="0" w:space="0" w:color="auto"/>
        <w:bottom w:val="none" w:sz="0" w:space="0" w:color="auto"/>
        <w:right w:val="none" w:sz="0" w:space="0" w:color="auto"/>
      </w:divBdr>
    </w:div>
    <w:div w:id="724644804">
      <w:bodyDiv w:val="1"/>
      <w:marLeft w:val="0"/>
      <w:marRight w:val="0"/>
      <w:marTop w:val="0"/>
      <w:marBottom w:val="0"/>
      <w:divBdr>
        <w:top w:val="none" w:sz="0" w:space="0" w:color="auto"/>
        <w:left w:val="none" w:sz="0" w:space="0" w:color="auto"/>
        <w:bottom w:val="none" w:sz="0" w:space="0" w:color="auto"/>
        <w:right w:val="none" w:sz="0" w:space="0" w:color="auto"/>
      </w:divBdr>
      <w:divsChild>
        <w:div w:id="808936435">
          <w:marLeft w:val="0"/>
          <w:marRight w:val="0"/>
          <w:marTop w:val="135"/>
          <w:marBottom w:val="0"/>
          <w:divBdr>
            <w:top w:val="none" w:sz="0" w:space="0" w:color="auto"/>
            <w:left w:val="none" w:sz="0" w:space="0" w:color="auto"/>
            <w:bottom w:val="none" w:sz="0" w:space="0" w:color="auto"/>
            <w:right w:val="none" w:sz="0" w:space="0" w:color="auto"/>
          </w:divBdr>
        </w:div>
        <w:div w:id="2089113927">
          <w:marLeft w:val="0"/>
          <w:marRight w:val="0"/>
          <w:marTop w:val="210"/>
          <w:marBottom w:val="0"/>
          <w:divBdr>
            <w:top w:val="none" w:sz="0" w:space="0" w:color="auto"/>
            <w:left w:val="none" w:sz="0" w:space="0" w:color="auto"/>
            <w:bottom w:val="none" w:sz="0" w:space="0" w:color="auto"/>
            <w:right w:val="none" w:sz="0" w:space="0" w:color="auto"/>
          </w:divBdr>
        </w:div>
      </w:divsChild>
    </w:div>
    <w:div w:id="747575462">
      <w:bodyDiv w:val="1"/>
      <w:marLeft w:val="0"/>
      <w:marRight w:val="0"/>
      <w:marTop w:val="0"/>
      <w:marBottom w:val="0"/>
      <w:divBdr>
        <w:top w:val="none" w:sz="0" w:space="0" w:color="auto"/>
        <w:left w:val="none" w:sz="0" w:space="0" w:color="auto"/>
        <w:bottom w:val="none" w:sz="0" w:space="0" w:color="auto"/>
        <w:right w:val="none" w:sz="0" w:space="0" w:color="auto"/>
      </w:divBdr>
    </w:div>
    <w:div w:id="761993350">
      <w:bodyDiv w:val="1"/>
      <w:marLeft w:val="0"/>
      <w:marRight w:val="0"/>
      <w:marTop w:val="0"/>
      <w:marBottom w:val="0"/>
      <w:divBdr>
        <w:top w:val="none" w:sz="0" w:space="0" w:color="auto"/>
        <w:left w:val="none" w:sz="0" w:space="0" w:color="auto"/>
        <w:bottom w:val="none" w:sz="0" w:space="0" w:color="auto"/>
        <w:right w:val="none" w:sz="0" w:space="0" w:color="auto"/>
      </w:divBdr>
    </w:div>
    <w:div w:id="771124560">
      <w:bodyDiv w:val="1"/>
      <w:marLeft w:val="0"/>
      <w:marRight w:val="0"/>
      <w:marTop w:val="0"/>
      <w:marBottom w:val="0"/>
      <w:divBdr>
        <w:top w:val="none" w:sz="0" w:space="0" w:color="auto"/>
        <w:left w:val="none" w:sz="0" w:space="0" w:color="auto"/>
        <w:bottom w:val="none" w:sz="0" w:space="0" w:color="auto"/>
        <w:right w:val="none" w:sz="0" w:space="0" w:color="auto"/>
      </w:divBdr>
    </w:div>
    <w:div w:id="774835554">
      <w:bodyDiv w:val="1"/>
      <w:marLeft w:val="0"/>
      <w:marRight w:val="0"/>
      <w:marTop w:val="0"/>
      <w:marBottom w:val="0"/>
      <w:divBdr>
        <w:top w:val="none" w:sz="0" w:space="0" w:color="auto"/>
        <w:left w:val="none" w:sz="0" w:space="0" w:color="auto"/>
        <w:bottom w:val="none" w:sz="0" w:space="0" w:color="auto"/>
        <w:right w:val="none" w:sz="0" w:space="0" w:color="auto"/>
      </w:divBdr>
    </w:div>
    <w:div w:id="791051010">
      <w:bodyDiv w:val="1"/>
      <w:marLeft w:val="0"/>
      <w:marRight w:val="0"/>
      <w:marTop w:val="0"/>
      <w:marBottom w:val="0"/>
      <w:divBdr>
        <w:top w:val="none" w:sz="0" w:space="0" w:color="auto"/>
        <w:left w:val="none" w:sz="0" w:space="0" w:color="auto"/>
        <w:bottom w:val="none" w:sz="0" w:space="0" w:color="auto"/>
        <w:right w:val="none" w:sz="0" w:space="0" w:color="auto"/>
      </w:divBdr>
      <w:divsChild>
        <w:div w:id="928276011">
          <w:marLeft w:val="75"/>
          <w:marRight w:val="75"/>
          <w:marTop w:val="75"/>
          <w:marBottom w:val="75"/>
          <w:divBdr>
            <w:top w:val="none" w:sz="0" w:space="0" w:color="auto"/>
            <w:left w:val="none" w:sz="0" w:space="0" w:color="auto"/>
            <w:bottom w:val="none" w:sz="0" w:space="0" w:color="auto"/>
            <w:right w:val="none" w:sz="0" w:space="0" w:color="auto"/>
          </w:divBdr>
        </w:div>
        <w:div w:id="2138913597">
          <w:marLeft w:val="300"/>
          <w:marRight w:val="0"/>
          <w:marTop w:val="0"/>
          <w:marBottom w:val="0"/>
          <w:divBdr>
            <w:top w:val="none" w:sz="0" w:space="0" w:color="auto"/>
            <w:left w:val="none" w:sz="0" w:space="0" w:color="auto"/>
            <w:bottom w:val="none" w:sz="0" w:space="0" w:color="auto"/>
            <w:right w:val="none" w:sz="0" w:space="0" w:color="auto"/>
          </w:divBdr>
        </w:div>
      </w:divsChild>
    </w:div>
    <w:div w:id="791750946">
      <w:bodyDiv w:val="1"/>
      <w:marLeft w:val="0"/>
      <w:marRight w:val="0"/>
      <w:marTop w:val="0"/>
      <w:marBottom w:val="0"/>
      <w:divBdr>
        <w:top w:val="none" w:sz="0" w:space="0" w:color="auto"/>
        <w:left w:val="none" w:sz="0" w:space="0" w:color="auto"/>
        <w:bottom w:val="none" w:sz="0" w:space="0" w:color="auto"/>
        <w:right w:val="none" w:sz="0" w:space="0" w:color="auto"/>
      </w:divBdr>
    </w:div>
    <w:div w:id="804665777">
      <w:bodyDiv w:val="1"/>
      <w:marLeft w:val="0"/>
      <w:marRight w:val="0"/>
      <w:marTop w:val="0"/>
      <w:marBottom w:val="0"/>
      <w:divBdr>
        <w:top w:val="none" w:sz="0" w:space="0" w:color="auto"/>
        <w:left w:val="none" w:sz="0" w:space="0" w:color="auto"/>
        <w:bottom w:val="none" w:sz="0" w:space="0" w:color="auto"/>
        <w:right w:val="none" w:sz="0" w:space="0" w:color="auto"/>
      </w:divBdr>
    </w:div>
    <w:div w:id="846677059">
      <w:bodyDiv w:val="1"/>
      <w:marLeft w:val="0"/>
      <w:marRight w:val="0"/>
      <w:marTop w:val="0"/>
      <w:marBottom w:val="0"/>
      <w:divBdr>
        <w:top w:val="none" w:sz="0" w:space="0" w:color="auto"/>
        <w:left w:val="none" w:sz="0" w:space="0" w:color="auto"/>
        <w:bottom w:val="none" w:sz="0" w:space="0" w:color="auto"/>
        <w:right w:val="none" w:sz="0" w:space="0" w:color="auto"/>
      </w:divBdr>
    </w:div>
    <w:div w:id="849025500">
      <w:bodyDiv w:val="1"/>
      <w:marLeft w:val="0"/>
      <w:marRight w:val="0"/>
      <w:marTop w:val="0"/>
      <w:marBottom w:val="0"/>
      <w:divBdr>
        <w:top w:val="none" w:sz="0" w:space="0" w:color="auto"/>
        <w:left w:val="none" w:sz="0" w:space="0" w:color="auto"/>
        <w:bottom w:val="none" w:sz="0" w:space="0" w:color="auto"/>
        <w:right w:val="none" w:sz="0" w:space="0" w:color="auto"/>
      </w:divBdr>
      <w:divsChild>
        <w:div w:id="1793792487">
          <w:marLeft w:val="75"/>
          <w:marRight w:val="75"/>
          <w:marTop w:val="75"/>
          <w:marBottom w:val="75"/>
          <w:divBdr>
            <w:top w:val="none" w:sz="0" w:space="0" w:color="auto"/>
            <w:left w:val="none" w:sz="0" w:space="0" w:color="auto"/>
            <w:bottom w:val="none" w:sz="0" w:space="0" w:color="auto"/>
            <w:right w:val="none" w:sz="0" w:space="0" w:color="auto"/>
          </w:divBdr>
        </w:div>
        <w:div w:id="2139834459">
          <w:marLeft w:val="300"/>
          <w:marRight w:val="0"/>
          <w:marTop w:val="0"/>
          <w:marBottom w:val="0"/>
          <w:divBdr>
            <w:top w:val="none" w:sz="0" w:space="0" w:color="auto"/>
            <w:left w:val="none" w:sz="0" w:space="0" w:color="auto"/>
            <w:bottom w:val="none" w:sz="0" w:space="0" w:color="auto"/>
            <w:right w:val="none" w:sz="0" w:space="0" w:color="auto"/>
          </w:divBdr>
        </w:div>
      </w:divsChild>
    </w:div>
    <w:div w:id="879169978">
      <w:bodyDiv w:val="1"/>
      <w:marLeft w:val="0"/>
      <w:marRight w:val="0"/>
      <w:marTop w:val="0"/>
      <w:marBottom w:val="0"/>
      <w:divBdr>
        <w:top w:val="none" w:sz="0" w:space="0" w:color="auto"/>
        <w:left w:val="none" w:sz="0" w:space="0" w:color="auto"/>
        <w:bottom w:val="none" w:sz="0" w:space="0" w:color="auto"/>
        <w:right w:val="none" w:sz="0" w:space="0" w:color="auto"/>
      </w:divBdr>
    </w:div>
    <w:div w:id="892892850">
      <w:bodyDiv w:val="1"/>
      <w:marLeft w:val="0"/>
      <w:marRight w:val="0"/>
      <w:marTop w:val="0"/>
      <w:marBottom w:val="0"/>
      <w:divBdr>
        <w:top w:val="none" w:sz="0" w:space="0" w:color="auto"/>
        <w:left w:val="none" w:sz="0" w:space="0" w:color="auto"/>
        <w:bottom w:val="none" w:sz="0" w:space="0" w:color="auto"/>
        <w:right w:val="none" w:sz="0" w:space="0" w:color="auto"/>
      </w:divBdr>
    </w:div>
    <w:div w:id="907888678">
      <w:bodyDiv w:val="1"/>
      <w:marLeft w:val="0"/>
      <w:marRight w:val="0"/>
      <w:marTop w:val="0"/>
      <w:marBottom w:val="0"/>
      <w:divBdr>
        <w:top w:val="none" w:sz="0" w:space="0" w:color="auto"/>
        <w:left w:val="none" w:sz="0" w:space="0" w:color="auto"/>
        <w:bottom w:val="none" w:sz="0" w:space="0" w:color="auto"/>
        <w:right w:val="none" w:sz="0" w:space="0" w:color="auto"/>
      </w:divBdr>
    </w:div>
    <w:div w:id="960382984">
      <w:bodyDiv w:val="1"/>
      <w:marLeft w:val="0"/>
      <w:marRight w:val="0"/>
      <w:marTop w:val="0"/>
      <w:marBottom w:val="0"/>
      <w:divBdr>
        <w:top w:val="none" w:sz="0" w:space="0" w:color="auto"/>
        <w:left w:val="none" w:sz="0" w:space="0" w:color="auto"/>
        <w:bottom w:val="none" w:sz="0" w:space="0" w:color="auto"/>
        <w:right w:val="none" w:sz="0" w:space="0" w:color="auto"/>
      </w:divBdr>
    </w:div>
    <w:div w:id="1025250834">
      <w:bodyDiv w:val="1"/>
      <w:marLeft w:val="0"/>
      <w:marRight w:val="0"/>
      <w:marTop w:val="0"/>
      <w:marBottom w:val="0"/>
      <w:divBdr>
        <w:top w:val="none" w:sz="0" w:space="0" w:color="auto"/>
        <w:left w:val="none" w:sz="0" w:space="0" w:color="auto"/>
        <w:bottom w:val="none" w:sz="0" w:space="0" w:color="auto"/>
        <w:right w:val="none" w:sz="0" w:space="0" w:color="auto"/>
      </w:divBdr>
    </w:div>
    <w:div w:id="1032997978">
      <w:bodyDiv w:val="1"/>
      <w:marLeft w:val="0"/>
      <w:marRight w:val="0"/>
      <w:marTop w:val="0"/>
      <w:marBottom w:val="0"/>
      <w:divBdr>
        <w:top w:val="none" w:sz="0" w:space="0" w:color="auto"/>
        <w:left w:val="none" w:sz="0" w:space="0" w:color="auto"/>
        <w:bottom w:val="none" w:sz="0" w:space="0" w:color="auto"/>
        <w:right w:val="none" w:sz="0" w:space="0" w:color="auto"/>
      </w:divBdr>
    </w:div>
    <w:div w:id="1033964950">
      <w:bodyDiv w:val="1"/>
      <w:marLeft w:val="0"/>
      <w:marRight w:val="0"/>
      <w:marTop w:val="0"/>
      <w:marBottom w:val="0"/>
      <w:divBdr>
        <w:top w:val="none" w:sz="0" w:space="0" w:color="auto"/>
        <w:left w:val="none" w:sz="0" w:space="0" w:color="auto"/>
        <w:bottom w:val="none" w:sz="0" w:space="0" w:color="auto"/>
        <w:right w:val="none" w:sz="0" w:space="0" w:color="auto"/>
      </w:divBdr>
    </w:div>
    <w:div w:id="1061561936">
      <w:bodyDiv w:val="1"/>
      <w:marLeft w:val="0"/>
      <w:marRight w:val="0"/>
      <w:marTop w:val="0"/>
      <w:marBottom w:val="0"/>
      <w:divBdr>
        <w:top w:val="none" w:sz="0" w:space="0" w:color="auto"/>
        <w:left w:val="none" w:sz="0" w:space="0" w:color="auto"/>
        <w:bottom w:val="none" w:sz="0" w:space="0" w:color="auto"/>
        <w:right w:val="none" w:sz="0" w:space="0" w:color="auto"/>
      </w:divBdr>
    </w:div>
    <w:div w:id="1064836670">
      <w:bodyDiv w:val="1"/>
      <w:marLeft w:val="0"/>
      <w:marRight w:val="0"/>
      <w:marTop w:val="0"/>
      <w:marBottom w:val="0"/>
      <w:divBdr>
        <w:top w:val="none" w:sz="0" w:space="0" w:color="auto"/>
        <w:left w:val="none" w:sz="0" w:space="0" w:color="auto"/>
        <w:bottom w:val="none" w:sz="0" w:space="0" w:color="auto"/>
        <w:right w:val="none" w:sz="0" w:space="0" w:color="auto"/>
      </w:divBdr>
    </w:div>
    <w:div w:id="1119959161">
      <w:bodyDiv w:val="1"/>
      <w:marLeft w:val="0"/>
      <w:marRight w:val="0"/>
      <w:marTop w:val="0"/>
      <w:marBottom w:val="0"/>
      <w:divBdr>
        <w:top w:val="none" w:sz="0" w:space="0" w:color="auto"/>
        <w:left w:val="none" w:sz="0" w:space="0" w:color="auto"/>
        <w:bottom w:val="none" w:sz="0" w:space="0" w:color="auto"/>
        <w:right w:val="none" w:sz="0" w:space="0" w:color="auto"/>
      </w:divBdr>
    </w:div>
    <w:div w:id="1123889166">
      <w:bodyDiv w:val="1"/>
      <w:marLeft w:val="0"/>
      <w:marRight w:val="0"/>
      <w:marTop w:val="0"/>
      <w:marBottom w:val="0"/>
      <w:divBdr>
        <w:top w:val="none" w:sz="0" w:space="0" w:color="auto"/>
        <w:left w:val="none" w:sz="0" w:space="0" w:color="auto"/>
        <w:bottom w:val="none" w:sz="0" w:space="0" w:color="auto"/>
        <w:right w:val="none" w:sz="0" w:space="0" w:color="auto"/>
      </w:divBdr>
    </w:div>
    <w:div w:id="1144465091">
      <w:bodyDiv w:val="1"/>
      <w:marLeft w:val="0"/>
      <w:marRight w:val="0"/>
      <w:marTop w:val="0"/>
      <w:marBottom w:val="0"/>
      <w:divBdr>
        <w:top w:val="none" w:sz="0" w:space="0" w:color="auto"/>
        <w:left w:val="none" w:sz="0" w:space="0" w:color="auto"/>
        <w:bottom w:val="none" w:sz="0" w:space="0" w:color="auto"/>
        <w:right w:val="none" w:sz="0" w:space="0" w:color="auto"/>
      </w:divBdr>
    </w:div>
    <w:div w:id="1146699304">
      <w:bodyDiv w:val="1"/>
      <w:marLeft w:val="0"/>
      <w:marRight w:val="0"/>
      <w:marTop w:val="0"/>
      <w:marBottom w:val="0"/>
      <w:divBdr>
        <w:top w:val="none" w:sz="0" w:space="0" w:color="auto"/>
        <w:left w:val="none" w:sz="0" w:space="0" w:color="auto"/>
        <w:bottom w:val="none" w:sz="0" w:space="0" w:color="auto"/>
        <w:right w:val="none" w:sz="0" w:space="0" w:color="auto"/>
      </w:divBdr>
      <w:divsChild>
        <w:div w:id="1564179356">
          <w:marLeft w:val="75"/>
          <w:marRight w:val="75"/>
          <w:marTop w:val="75"/>
          <w:marBottom w:val="75"/>
          <w:divBdr>
            <w:top w:val="none" w:sz="0" w:space="0" w:color="auto"/>
            <w:left w:val="none" w:sz="0" w:space="0" w:color="auto"/>
            <w:bottom w:val="none" w:sz="0" w:space="0" w:color="auto"/>
            <w:right w:val="none" w:sz="0" w:space="0" w:color="auto"/>
          </w:divBdr>
        </w:div>
        <w:div w:id="2003655188">
          <w:marLeft w:val="300"/>
          <w:marRight w:val="0"/>
          <w:marTop w:val="0"/>
          <w:marBottom w:val="0"/>
          <w:divBdr>
            <w:top w:val="none" w:sz="0" w:space="0" w:color="auto"/>
            <w:left w:val="none" w:sz="0" w:space="0" w:color="auto"/>
            <w:bottom w:val="none" w:sz="0" w:space="0" w:color="auto"/>
            <w:right w:val="none" w:sz="0" w:space="0" w:color="auto"/>
          </w:divBdr>
        </w:div>
      </w:divsChild>
    </w:div>
    <w:div w:id="1146900625">
      <w:bodyDiv w:val="1"/>
      <w:marLeft w:val="0"/>
      <w:marRight w:val="0"/>
      <w:marTop w:val="0"/>
      <w:marBottom w:val="0"/>
      <w:divBdr>
        <w:top w:val="none" w:sz="0" w:space="0" w:color="auto"/>
        <w:left w:val="none" w:sz="0" w:space="0" w:color="auto"/>
        <w:bottom w:val="none" w:sz="0" w:space="0" w:color="auto"/>
        <w:right w:val="none" w:sz="0" w:space="0" w:color="auto"/>
      </w:divBdr>
    </w:div>
    <w:div w:id="1159342911">
      <w:bodyDiv w:val="1"/>
      <w:marLeft w:val="0"/>
      <w:marRight w:val="0"/>
      <w:marTop w:val="0"/>
      <w:marBottom w:val="0"/>
      <w:divBdr>
        <w:top w:val="none" w:sz="0" w:space="0" w:color="auto"/>
        <w:left w:val="none" w:sz="0" w:space="0" w:color="auto"/>
        <w:bottom w:val="none" w:sz="0" w:space="0" w:color="auto"/>
        <w:right w:val="none" w:sz="0" w:space="0" w:color="auto"/>
      </w:divBdr>
    </w:div>
    <w:div w:id="1178344696">
      <w:bodyDiv w:val="1"/>
      <w:marLeft w:val="0"/>
      <w:marRight w:val="0"/>
      <w:marTop w:val="0"/>
      <w:marBottom w:val="0"/>
      <w:divBdr>
        <w:top w:val="none" w:sz="0" w:space="0" w:color="auto"/>
        <w:left w:val="none" w:sz="0" w:space="0" w:color="auto"/>
        <w:bottom w:val="none" w:sz="0" w:space="0" w:color="auto"/>
        <w:right w:val="none" w:sz="0" w:space="0" w:color="auto"/>
      </w:divBdr>
    </w:div>
    <w:div w:id="1192066634">
      <w:bodyDiv w:val="1"/>
      <w:marLeft w:val="0"/>
      <w:marRight w:val="0"/>
      <w:marTop w:val="0"/>
      <w:marBottom w:val="0"/>
      <w:divBdr>
        <w:top w:val="none" w:sz="0" w:space="0" w:color="auto"/>
        <w:left w:val="none" w:sz="0" w:space="0" w:color="auto"/>
        <w:bottom w:val="none" w:sz="0" w:space="0" w:color="auto"/>
        <w:right w:val="none" w:sz="0" w:space="0" w:color="auto"/>
      </w:divBdr>
    </w:div>
    <w:div w:id="1208684079">
      <w:bodyDiv w:val="1"/>
      <w:marLeft w:val="0"/>
      <w:marRight w:val="0"/>
      <w:marTop w:val="0"/>
      <w:marBottom w:val="0"/>
      <w:divBdr>
        <w:top w:val="none" w:sz="0" w:space="0" w:color="auto"/>
        <w:left w:val="none" w:sz="0" w:space="0" w:color="auto"/>
        <w:bottom w:val="none" w:sz="0" w:space="0" w:color="auto"/>
        <w:right w:val="none" w:sz="0" w:space="0" w:color="auto"/>
      </w:divBdr>
    </w:div>
    <w:div w:id="1222794419">
      <w:bodyDiv w:val="1"/>
      <w:marLeft w:val="0"/>
      <w:marRight w:val="0"/>
      <w:marTop w:val="0"/>
      <w:marBottom w:val="0"/>
      <w:divBdr>
        <w:top w:val="none" w:sz="0" w:space="0" w:color="auto"/>
        <w:left w:val="none" w:sz="0" w:space="0" w:color="auto"/>
        <w:bottom w:val="none" w:sz="0" w:space="0" w:color="auto"/>
        <w:right w:val="none" w:sz="0" w:space="0" w:color="auto"/>
      </w:divBdr>
    </w:div>
    <w:div w:id="1250312573">
      <w:bodyDiv w:val="1"/>
      <w:marLeft w:val="0"/>
      <w:marRight w:val="0"/>
      <w:marTop w:val="0"/>
      <w:marBottom w:val="0"/>
      <w:divBdr>
        <w:top w:val="none" w:sz="0" w:space="0" w:color="auto"/>
        <w:left w:val="none" w:sz="0" w:space="0" w:color="auto"/>
        <w:bottom w:val="none" w:sz="0" w:space="0" w:color="auto"/>
        <w:right w:val="none" w:sz="0" w:space="0" w:color="auto"/>
      </w:divBdr>
      <w:divsChild>
        <w:div w:id="380903948">
          <w:marLeft w:val="0"/>
          <w:marRight w:val="0"/>
          <w:marTop w:val="135"/>
          <w:marBottom w:val="0"/>
          <w:divBdr>
            <w:top w:val="none" w:sz="0" w:space="0" w:color="auto"/>
            <w:left w:val="none" w:sz="0" w:space="0" w:color="auto"/>
            <w:bottom w:val="none" w:sz="0" w:space="0" w:color="auto"/>
            <w:right w:val="none" w:sz="0" w:space="0" w:color="auto"/>
          </w:divBdr>
        </w:div>
        <w:div w:id="795638981">
          <w:marLeft w:val="0"/>
          <w:marRight w:val="0"/>
          <w:marTop w:val="210"/>
          <w:marBottom w:val="0"/>
          <w:divBdr>
            <w:top w:val="none" w:sz="0" w:space="0" w:color="auto"/>
            <w:left w:val="none" w:sz="0" w:space="0" w:color="auto"/>
            <w:bottom w:val="none" w:sz="0" w:space="0" w:color="auto"/>
            <w:right w:val="none" w:sz="0" w:space="0" w:color="auto"/>
          </w:divBdr>
        </w:div>
      </w:divsChild>
    </w:div>
    <w:div w:id="1266111278">
      <w:bodyDiv w:val="1"/>
      <w:marLeft w:val="0"/>
      <w:marRight w:val="0"/>
      <w:marTop w:val="0"/>
      <w:marBottom w:val="0"/>
      <w:divBdr>
        <w:top w:val="none" w:sz="0" w:space="0" w:color="auto"/>
        <w:left w:val="none" w:sz="0" w:space="0" w:color="auto"/>
        <w:bottom w:val="none" w:sz="0" w:space="0" w:color="auto"/>
        <w:right w:val="none" w:sz="0" w:space="0" w:color="auto"/>
      </w:divBdr>
    </w:div>
    <w:div w:id="1304657889">
      <w:bodyDiv w:val="1"/>
      <w:marLeft w:val="0"/>
      <w:marRight w:val="0"/>
      <w:marTop w:val="0"/>
      <w:marBottom w:val="0"/>
      <w:divBdr>
        <w:top w:val="none" w:sz="0" w:space="0" w:color="auto"/>
        <w:left w:val="none" w:sz="0" w:space="0" w:color="auto"/>
        <w:bottom w:val="none" w:sz="0" w:space="0" w:color="auto"/>
        <w:right w:val="none" w:sz="0" w:space="0" w:color="auto"/>
      </w:divBdr>
    </w:div>
    <w:div w:id="1316647401">
      <w:bodyDiv w:val="1"/>
      <w:marLeft w:val="0"/>
      <w:marRight w:val="0"/>
      <w:marTop w:val="0"/>
      <w:marBottom w:val="0"/>
      <w:divBdr>
        <w:top w:val="none" w:sz="0" w:space="0" w:color="auto"/>
        <w:left w:val="none" w:sz="0" w:space="0" w:color="auto"/>
        <w:bottom w:val="none" w:sz="0" w:space="0" w:color="auto"/>
        <w:right w:val="none" w:sz="0" w:space="0" w:color="auto"/>
      </w:divBdr>
      <w:divsChild>
        <w:div w:id="256448666">
          <w:marLeft w:val="0"/>
          <w:marRight w:val="0"/>
          <w:marTop w:val="0"/>
          <w:marBottom w:val="0"/>
          <w:divBdr>
            <w:top w:val="none" w:sz="0" w:space="0" w:color="auto"/>
            <w:left w:val="none" w:sz="0" w:space="0" w:color="auto"/>
            <w:bottom w:val="none" w:sz="0" w:space="0" w:color="auto"/>
            <w:right w:val="none" w:sz="0" w:space="0" w:color="auto"/>
          </w:divBdr>
        </w:div>
        <w:div w:id="857545360">
          <w:marLeft w:val="0"/>
          <w:marRight w:val="0"/>
          <w:marTop w:val="0"/>
          <w:marBottom w:val="0"/>
          <w:divBdr>
            <w:top w:val="none" w:sz="0" w:space="0" w:color="auto"/>
            <w:left w:val="none" w:sz="0" w:space="0" w:color="auto"/>
            <w:bottom w:val="none" w:sz="0" w:space="0" w:color="auto"/>
            <w:right w:val="none" w:sz="0" w:space="0" w:color="auto"/>
          </w:divBdr>
        </w:div>
        <w:div w:id="1227954990">
          <w:marLeft w:val="0"/>
          <w:marRight w:val="0"/>
          <w:marTop w:val="0"/>
          <w:marBottom w:val="0"/>
          <w:divBdr>
            <w:top w:val="none" w:sz="0" w:space="0" w:color="auto"/>
            <w:left w:val="none" w:sz="0" w:space="0" w:color="auto"/>
            <w:bottom w:val="none" w:sz="0" w:space="0" w:color="auto"/>
            <w:right w:val="none" w:sz="0" w:space="0" w:color="auto"/>
          </w:divBdr>
        </w:div>
      </w:divsChild>
    </w:div>
    <w:div w:id="1342050930">
      <w:bodyDiv w:val="1"/>
      <w:marLeft w:val="0"/>
      <w:marRight w:val="0"/>
      <w:marTop w:val="0"/>
      <w:marBottom w:val="0"/>
      <w:divBdr>
        <w:top w:val="none" w:sz="0" w:space="0" w:color="auto"/>
        <w:left w:val="none" w:sz="0" w:space="0" w:color="auto"/>
        <w:bottom w:val="none" w:sz="0" w:space="0" w:color="auto"/>
        <w:right w:val="none" w:sz="0" w:space="0" w:color="auto"/>
      </w:divBdr>
      <w:divsChild>
        <w:div w:id="491987439">
          <w:marLeft w:val="0"/>
          <w:marRight w:val="0"/>
          <w:marTop w:val="0"/>
          <w:marBottom w:val="0"/>
          <w:divBdr>
            <w:top w:val="none" w:sz="0" w:space="0" w:color="auto"/>
            <w:left w:val="none" w:sz="0" w:space="0" w:color="auto"/>
            <w:bottom w:val="none" w:sz="0" w:space="0" w:color="auto"/>
            <w:right w:val="none" w:sz="0" w:space="0" w:color="auto"/>
          </w:divBdr>
        </w:div>
      </w:divsChild>
    </w:div>
    <w:div w:id="1356615769">
      <w:bodyDiv w:val="1"/>
      <w:marLeft w:val="0"/>
      <w:marRight w:val="0"/>
      <w:marTop w:val="0"/>
      <w:marBottom w:val="0"/>
      <w:divBdr>
        <w:top w:val="none" w:sz="0" w:space="0" w:color="auto"/>
        <w:left w:val="none" w:sz="0" w:space="0" w:color="auto"/>
        <w:bottom w:val="none" w:sz="0" w:space="0" w:color="auto"/>
        <w:right w:val="none" w:sz="0" w:space="0" w:color="auto"/>
      </w:divBdr>
    </w:div>
    <w:div w:id="1382174210">
      <w:bodyDiv w:val="1"/>
      <w:marLeft w:val="0"/>
      <w:marRight w:val="0"/>
      <w:marTop w:val="0"/>
      <w:marBottom w:val="0"/>
      <w:divBdr>
        <w:top w:val="none" w:sz="0" w:space="0" w:color="auto"/>
        <w:left w:val="none" w:sz="0" w:space="0" w:color="auto"/>
        <w:bottom w:val="none" w:sz="0" w:space="0" w:color="auto"/>
        <w:right w:val="none" w:sz="0" w:space="0" w:color="auto"/>
      </w:divBdr>
    </w:div>
    <w:div w:id="1412964626">
      <w:bodyDiv w:val="1"/>
      <w:marLeft w:val="0"/>
      <w:marRight w:val="0"/>
      <w:marTop w:val="0"/>
      <w:marBottom w:val="0"/>
      <w:divBdr>
        <w:top w:val="none" w:sz="0" w:space="0" w:color="auto"/>
        <w:left w:val="none" w:sz="0" w:space="0" w:color="auto"/>
        <w:bottom w:val="none" w:sz="0" w:space="0" w:color="auto"/>
        <w:right w:val="none" w:sz="0" w:space="0" w:color="auto"/>
      </w:divBdr>
    </w:div>
    <w:div w:id="1420440377">
      <w:bodyDiv w:val="1"/>
      <w:marLeft w:val="0"/>
      <w:marRight w:val="0"/>
      <w:marTop w:val="0"/>
      <w:marBottom w:val="0"/>
      <w:divBdr>
        <w:top w:val="none" w:sz="0" w:space="0" w:color="auto"/>
        <w:left w:val="none" w:sz="0" w:space="0" w:color="auto"/>
        <w:bottom w:val="none" w:sz="0" w:space="0" w:color="auto"/>
        <w:right w:val="none" w:sz="0" w:space="0" w:color="auto"/>
      </w:divBdr>
    </w:div>
    <w:div w:id="1441027631">
      <w:bodyDiv w:val="1"/>
      <w:marLeft w:val="0"/>
      <w:marRight w:val="0"/>
      <w:marTop w:val="0"/>
      <w:marBottom w:val="0"/>
      <w:divBdr>
        <w:top w:val="none" w:sz="0" w:space="0" w:color="auto"/>
        <w:left w:val="none" w:sz="0" w:space="0" w:color="auto"/>
        <w:bottom w:val="none" w:sz="0" w:space="0" w:color="auto"/>
        <w:right w:val="none" w:sz="0" w:space="0" w:color="auto"/>
      </w:divBdr>
    </w:div>
    <w:div w:id="1481850772">
      <w:bodyDiv w:val="1"/>
      <w:marLeft w:val="0"/>
      <w:marRight w:val="0"/>
      <w:marTop w:val="0"/>
      <w:marBottom w:val="0"/>
      <w:divBdr>
        <w:top w:val="none" w:sz="0" w:space="0" w:color="auto"/>
        <w:left w:val="none" w:sz="0" w:space="0" w:color="auto"/>
        <w:bottom w:val="none" w:sz="0" w:space="0" w:color="auto"/>
        <w:right w:val="none" w:sz="0" w:space="0" w:color="auto"/>
      </w:divBdr>
    </w:div>
    <w:div w:id="1495337944">
      <w:bodyDiv w:val="1"/>
      <w:marLeft w:val="0"/>
      <w:marRight w:val="0"/>
      <w:marTop w:val="0"/>
      <w:marBottom w:val="0"/>
      <w:divBdr>
        <w:top w:val="none" w:sz="0" w:space="0" w:color="auto"/>
        <w:left w:val="none" w:sz="0" w:space="0" w:color="auto"/>
        <w:bottom w:val="none" w:sz="0" w:space="0" w:color="auto"/>
        <w:right w:val="none" w:sz="0" w:space="0" w:color="auto"/>
      </w:divBdr>
    </w:div>
    <w:div w:id="1530685680">
      <w:bodyDiv w:val="1"/>
      <w:marLeft w:val="0"/>
      <w:marRight w:val="0"/>
      <w:marTop w:val="0"/>
      <w:marBottom w:val="0"/>
      <w:divBdr>
        <w:top w:val="none" w:sz="0" w:space="0" w:color="auto"/>
        <w:left w:val="none" w:sz="0" w:space="0" w:color="auto"/>
        <w:bottom w:val="none" w:sz="0" w:space="0" w:color="auto"/>
        <w:right w:val="none" w:sz="0" w:space="0" w:color="auto"/>
      </w:divBdr>
    </w:div>
    <w:div w:id="1566335529">
      <w:bodyDiv w:val="1"/>
      <w:marLeft w:val="0"/>
      <w:marRight w:val="0"/>
      <w:marTop w:val="0"/>
      <w:marBottom w:val="0"/>
      <w:divBdr>
        <w:top w:val="none" w:sz="0" w:space="0" w:color="auto"/>
        <w:left w:val="none" w:sz="0" w:space="0" w:color="auto"/>
        <w:bottom w:val="none" w:sz="0" w:space="0" w:color="auto"/>
        <w:right w:val="none" w:sz="0" w:space="0" w:color="auto"/>
      </w:divBdr>
    </w:div>
    <w:div w:id="1569534596">
      <w:bodyDiv w:val="1"/>
      <w:marLeft w:val="0"/>
      <w:marRight w:val="0"/>
      <w:marTop w:val="0"/>
      <w:marBottom w:val="0"/>
      <w:divBdr>
        <w:top w:val="none" w:sz="0" w:space="0" w:color="auto"/>
        <w:left w:val="none" w:sz="0" w:space="0" w:color="auto"/>
        <w:bottom w:val="none" w:sz="0" w:space="0" w:color="auto"/>
        <w:right w:val="none" w:sz="0" w:space="0" w:color="auto"/>
      </w:divBdr>
    </w:div>
    <w:div w:id="1572496321">
      <w:bodyDiv w:val="1"/>
      <w:marLeft w:val="0"/>
      <w:marRight w:val="0"/>
      <w:marTop w:val="0"/>
      <w:marBottom w:val="0"/>
      <w:divBdr>
        <w:top w:val="none" w:sz="0" w:space="0" w:color="auto"/>
        <w:left w:val="none" w:sz="0" w:space="0" w:color="auto"/>
        <w:bottom w:val="none" w:sz="0" w:space="0" w:color="auto"/>
        <w:right w:val="none" w:sz="0" w:space="0" w:color="auto"/>
      </w:divBdr>
    </w:div>
    <w:div w:id="1622489291">
      <w:bodyDiv w:val="1"/>
      <w:marLeft w:val="0"/>
      <w:marRight w:val="0"/>
      <w:marTop w:val="0"/>
      <w:marBottom w:val="0"/>
      <w:divBdr>
        <w:top w:val="none" w:sz="0" w:space="0" w:color="auto"/>
        <w:left w:val="none" w:sz="0" w:space="0" w:color="auto"/>
        <w:bottom w:val="none" w:sz="0" w:space="0" w:color="auto"/>
        <w:right w:val="none" w:sz="0" w:space="0" w:color="auto"/>
      </w:divBdr>
    </w:div>
    <w:div w:id="1647470328">
      <w:bodyDiv w:val="1"/>
      <w:marLeft w:val="0"/>
      <w:marRight w:val="0"/>
      <w:marTop w:val="0"/>
      <w:marBottom w:val="0"/>
      <w:divBdr>
        <w:top w:val="none" w:sz="0" w:space="0" w:color="auto"/>
        <w:left w:val="none" w:sz="0" w:space="0" w:color="auto"/>
        <w:bottom w:val="none" w:sz="0" w:space="0" w:color="auto"/>
        <w:right w:val="none" w:sz="0" w:space="0" w:color="auto"/>
      </w:divBdr>
    </w:div>
    <w:div w:id="1655258048">
      <w:bodyDiv w:val="1"/>
      <w:marLeft w:val="0"/>
      <w:marRight w:val="0"/>
      <w:marTop w:val="0"/>
      <w:marBottom w:val="0"/>
      <w:divBdr>
        <w:top w:val="none" w:sz="0" w:space="0" w:color="auto"/>
        <w:left w:val="none" w:sz="0" w:space="0" w:color="auto"/>
        <w:bottom w:val="none" w:sz="0" w:space="0" w:color="auto"/>
        <w:right w:val="none" w:sz="0" w:space="0" w:color="auto"/>
      </w:divBdr>
    </w:div>
    <w:div w:id="1685011996">
      <w:bodyDiv w:val="1"/>
      <w:marLeft w:val="0"/>
      <w:marRight w:val="0"/>
      <w:marTop w:val="0"/>
      <w:marBottom w:val="0"/>
      <w:divBdr>
        <w:top w:val="none" w:sz="0" w:space="0" w:color="auto"/>
        <w:left w:val="none" w:sz="0" w:space="0" w:color="auto"/>
        <w:bottom w:val="none" w:sz="0" w:space="0" w:color="auto"/>
        <w:right w:val="none" w:sz="0" w:space="0" w:color="auto"/>
      </w:divBdr>
    </w:div>
    <w:div w:id="1685016187">
      <w:bodyDiv w:val="1"/>
      <w:marLeft w:val="0"/>
      <w:marRight w:val="0"/>
      <w:marTop w:val="0"/>
      <w:marBottom w:val="0"/>
      <w:divBdr>
        <w:top w:val="none" w:sz="0" w:space="0" w:color="auto"/>
        <w:left w:val="none" w:sz="0" w:space="0" w:color="auto"/>
        <w:bottom w:val="none" w:sz="0" w:space="0" w:color="auto"/>
        <w:right w:val="none" w:sz="0" w:space="0" w:color="auto"/>
      </w:divBdr>
      <w:divsChild>
        <w:div w:id="226065841">
          <w:marLeft w:val="0"/>
          <w:marRight w:val="0"/>
          <w:marTop w:val="0"/>
          <w:marBottom w:val="0"/>
          <w:divBdr>
            <w:top w:val="none" w:sz="0" w:space="0" w:color="auto"/>
            <w:left w:val="none" w:sz="0" w:space="0" w:color="auto"/>
            <w:bottom w:val="none" w:sz="0" w:space="0" w:color="auto"/>
            <w:right w:val="none" w:sz="0" w:space="0" w:color="auto"/>
          </w:divBdr>
        </w:div>
        <w:div w:id="249510118">
          <w:marLeft w:val="0"/>
          <w:marRight w:val="0"/>
          <w:marTop w:val="0"/>
          <w:marBottom w:val="0"/>
          <w:divBdr>
            <w:top w:val="none" w:sz="0" w:space="0" w:color="auto"/>
            <w:left w:val="none" w:sz="0" w:space="0" w:color="auto"/>
            <w:bottom w:val="none" w:sz="0" w:space="0" w:color="auto"/>
            <w:right w:val="none" w:sz="0" w:space="0" w:color="auto"/>
          </w:divBdr>
        </w:div>
        <w:div w:id="1318143505">
          <w:marLeft w:val="0"/>
          <w:marRight w:val="0"/>
          <w:marTop w:val="0"/>
          <w:marBottom w:val="0"/>
          <w:divBdr>
            <w:top w:val="none" w:sz="0" w:space="0" w:color="auto"/>
            <w:left w:val="none" w:sz="0" w:space="0" w:color="auto"/>
            <w:bottom w:val="none" w:sz="0" w:space="0" w:color="auto"/>
            <w:right w:val="none" w:sz="0" w:space="0" w:color="auto"/>
          </w:divBdr>
        </w:div>
      </w:divsChild>
    </w:div>
    <w:div w:id="1692605372">
      <w:bodyDiv w:val="1"/>
      <w:marLeft w:val="0"/>
      <w:marRight w:val="0"/>
      <w:marTop w:val="0"/>
      <w:marBottom w:val="0"/>
      <w:divBdr>
        <w:top w:val="none" w:sz="0" w:space="0" w:color="auto"/>
        <w:left w:val="none" w:sz="0" w:space="0" w:color="auto"/>
        <w:bottom w:val="none" w:sz="0" w:space="0" w:color="auto"/>
        <w:right w:val="none" w:sz="0" w:space="0" w:color="auto"/>
      </w:divBdr>
      <w:divsChild>
        <w:div w:id="23798334">
          <w:marLeft w:val="0"/>
          <w:marRight w:val="0"/>
          <w:marTop w:val="135"/>
          <w:marBottom w:val="0"/>
          <w:divBdr>
            <w:top w:val="none" w:sz="0" w:space="0" w:color="auto"/>
            <w:left w:val="none" w:sz="0" w:space="0" w:color="auto"/>
            <w:bottom w:val="none" w:sz="0" w:space="0" w:color="auto"/>
            <w:right w:val="none" w:sz="0" w:space="0" w:color="auto"/>
          </w:divBdr>
        </w:div>
        <w:div w:id="1070812194">
          <w:marLeft w:val="0"/>
          <w:marRight w:val="0"/>
          <w:marTop w:val="210"/>
          <w:marBottom w:val="0"/>
          <w:divBdr>
            <w:top w:val="none" w:sz="0" w:space="0" w:color="auto"/>
            <w:left w:val="none" w:sz="0" w:space="0" w:color="auto"/>
            <w:bottom w:val="none" w:sz="0" w:space="0" w:color="auto"/>
            <w:right w:val="none" w:sz="0" w:space="0" w:color="auto"/>
          </w:divBdr>
        </w:div>
      </w:divsChild>
    </w:div>
    <w:div w:id="1693845168">
      <w:bodyDiv w:val="1"/>
      <w:marLeft w:val="0"/>
      <w:marRight w:val="0"/>
      <w:marTop w:val="0"/>
      <w:marBottom w:val="0"/>
      <w:divBdr>
        <w:top w:val="none" w:sz="0" w:space="0" w:color="auto"/>
        <w:left w:val="none" w:sz="0" w:space="0" w:color="auto"/>
        <w:bottom w:val="none" w:sz="0" w:space="0" w:color="auto"/>
        <w:right w:val="none" w:sz="0" w:space="0" w:color="auto"/>
      </w:divBdr>
    </w:div>
    <w:div w:id="1730609352">
      <w:bodyDiv w:val="1"/>
      <w:marLeft w:val="0"/>
      <w:marRight w:val="0"/>
      <w:marTop w:val="0"/>
      <w:marBottom w:val="0"/>
      <w:divBdr>
        <w:top w:val="none" w:sz="0" w:space="0" w:color="auto"/>
        <w:left w:val="none" w:sz="0" w:space="0" w:color="auto"/>
        <w:bottom w:val="none" w:sz="0" w:space="0" w:color="auto"/>
        <w:right w:val="none" w:sz="0" w:space="0" w:color="auto"/>
      </w:divBdr>
    </w:div>
    <w:div w:id="1732314737">
      <w:bodyDiv w:val="1"/>
      <w:marLeft w:val="0"/>
      <w:marRight w:val="0"/>
      <w:marTop w:val="0"/>
      <w:marBottom w:val="0"/>
      <w:divBdr>
        <w:top w:val="none" w:sz="0" w:space="0" w:color="auto"/>
        <w:left w:val="none" w:sz="0" w:space="0" w:color="auto"/>
        <w:bottom w:val="none" w:sz="0" w:space="0" w:color="auto"/>
        <w:right w:val="none" w:sz="0" w:space="0" w:color="auto"/>
      </w:divBdr>
    </w:div>
    <w:div w:id="1773470859">
      <w:bodyDiv w:val="1"/>
      <w:marLeft w:val="0"/>
      <w:marRight w:val="0"/>
      <w:marTop w:val="0"/>
      <w:marBottom w:val="0"/>
      <w:divBdr>
        <w:top w:val="none" w:sz="0" w:space="0" w:color="auto"/>
        <w:left w:val="none" w:sz="0" w:space="0" w:color="auto"/>
        <w:bottom w:val="none" w:sz="0" w:space="0" w:color="auto"/>
        <w:right w:val="none" w:sz="0" w:space="0" w:color="auto"/>
      </w:divBdr>
    </w:div>
    <w:div w:id="1782801729">
      <w:bodyDiv w:val="1"/>
      <w:marLeft w:val="0"/>
      <w:marRight w:val="0"/>
      <w:marTop w:val="0"/>
      <w:marBottom w:val="0"/>
      <w:divBdr>
        <w:top w:val="none" w:sz="0" w:space="0" w:color="auto"/>
        <w:left w:val="none" w:sz="0" w:space="0" w:color="auto"/>
        <w:bottom w:val="none" w:sz="0" w:space="0" w:color="auto"/>
        <w:right w:val="none" w:sz="0" w:space="0" w:color="auto"/>
      </w:divBdr>
    </w:div>
    <w:div w:id="1789623860">
      <w:bodyDiv w:val="1"/>
      <w:marLeft w:val="0"/>
      <w:marRight w:val="0"/>
      <w:marTop w:val="0"/>
      <w:marBottom w:val="0"/>
      <w:divBdr>
        <w:top w:val="none" w:sz="0" w:space="0" w:color="auto"/>
        <w:left w:val="none" w:sz="0" w:space="0" w:color="auto"/>
        <w:bottom w:val="none" w:sz="0" w:space="0" w:color="auto"/>
        <w:right w:val="none" w:sz="0" w:space="0" w:color="auto"/>
      </w:divBdr>
      <w:divsChild>
        <w:div w:id="474614807">
          <w:marLeft w:val="0"/>
          <w:marRight w:val="0"/>
          <w:marTop w:val="210"/>
          <w:marBottom w:val="0"/>
          <w:divBdr>
            <w:top w:val="none" w:sz="0" w:space="0" w:color="auto"/>
            <w:left w:val="none" w:sz="0" w:space="0" w:color="auto"/>
            <w:bottom w:val="none" w:sz="0" w:space="0" w:color="auto"/>
            <w:right w:val="none" w:sz="0" w:space="0" w:color="auto"/>
          </w:divBdr>
        </w:div>
        <w:div w:id="822039955">
          <w:marLeft w:val="0"/>
          <w:marRight w:val="0"/>
          <w:marTop w:val="135"/>
          <w:marBottom w:val="0"/>
          <w:divBdr>
            <w:top w:val="none" w:sz="0" w:space="0" w:color="auto"/>
            <w:left w:val="none" w:sz="0" w:space="0" w:color="auto"/>
            <w:bottom w:val="none" w:sz="0" w:space="0" w:color="auto"/>
            <w:right w:val="none" w:sz="0" w:space="0" w:color="auto"/>
          </w:divBdr>
        </w:div>
      </w:divsChild>
    </w:div>
    <w:div w:id="1791317235">
      <w:bodyDiv w:val="1"/>
      <w:marLeft w:val="0"/>
      <w:marRight w:val="0"/>
      <w:marTop w:val="0"/>
      <w:marBottom w:val="0"/>
      <w:divBdr>
        <w:top w:val="none" w:sz="0" w:space="0" w:color="auto"/>
        <w:left w:val="none" w:sz="0" w:space="0" w:color="auto"/>
        <w:bottom w:val="none" w:sz="0" w:space="0" w:color="auto"/>
        <w:right w:val="none" w:sz="0" w:space="0" w:color="auto"/>
      </w:divBdr>
    </w:div>
    <w:div w:id="1802916601">
      <w:bodyDiv w:val="1"/>
      <w:marLeft w:val="0"/>
      <w:marRight w:val="0"/>
      <w:marTop w:val="0"/>
      <w:marBottom w:val="0"/>
      <w:divBdr>
        <w:top w:val="none" w:sz="0" w:space="0" w:color="auto"/>
        <w:left w:val="none" w:sz="0" w:space="0" w:color="auto"/>
        <w:bottom w:val="none" w:sz="0" w:space="0" w:color="auto"/>
        <w:right w:val="none" w:sz="0" w:space="0" w:color="auto"/>
      </w:divBdr>
    </w:div>
    <w:div w:id="1803230170">
      <w:bodyDiv w:val="1"/>
      <w:marLeft w:val="0"/>
      <w:marRight w:val="0"/>
      <w:marTop w:val="0"/>
      <w:marBottom w:val="0"/>
      <w:divBdr>
        <w:top w:val="none" w:sz="0" w:space="0" w:color="auto"/>
        <w:left w:val="none" w:sz="0" w:space="0" w:color="auto"/>
        <w:bottom w:val="none" w:sz="0" w:space="0" w:color="auto"/>
        <w:right w:val="none" w:sz="0" w:space="0" w:color="auto"/>
      </w:divBdr>
    </w:div>
    <w:div w:id="1811284002">
      <w:bodyDiv w:val="1"/>
      <w:marLeft w:val="0"/>
      <w:marRight w:val="0"/>
      <w:marTop w:val="0"/>
      <w:marBottom w:val="0"/>
      <w:divBdr>
        <w:top w:val="none" w:sz="0" w:space="0" w:color="auto"/>
        <w:left w:val="none" w:sz="0" w:space="0" w:color="auto"/>
        <w:bottom w:val="none" w:sz="0" w:space="0" w:color="auto"/>
        <w:right w:val="none" w:sz="0" w:space="0" w:color="auto"/>
      </w:divBdr>
    </w:div>
    <w:div w:id="1812167196">
      <w:bodyDiv w:val="1"/>
      <w:marLeft w:val="0"/>
      <w:marRight w:val="0"/>
      <w:marTop w:val="0"/>
      <w:marBottom w:val="0"/>
      <w:divBdr>
        <w:top w:val="none" w:sz="0" w:space="0" w:color="auto"/>
        <w:left w:val="none" w:sz="0" w:space="0" w:color="auto"/>
        <w:bottom w:val="none" w:sz="0" w:space="0" w:color="auto"/>
        <w:right w:val="none" w:sz="0" w:space="0" w:color="auto"/>
      </w:divBdr>
    </w:div>
    <w:div w:id="1825661960">
      <w:bodyDiv w:val="1"/>
      <w:marLeft w:val="0"/>
      <w:marRight w:val="0"/>
      <w:marTop w:val="0"/>
      <w:marBottom w:val="0"/>
      <w:divBdr>
        <w:top w:val="none" w:sz="0" w:space="0" w:color="auto"/>
        <w:left w:val="none" w:sz="0" w:space="0" w:color="auto"/>
        <w:bottom w:val="none" w:sz="0" w:space="0" w:color="auto"/>
        <w:right w:val="none" w:sz="0" w:space="0" w:color="auto"/>
      </w:divBdr>
    </w:div>
    <w:div w:id="1830360279">
      <w:bodyDiv w:val="1"/>
      <w:marLeft w:val="0"/>
      <w:marRight w:val="0"/>
      <w:marTop w:val="0"/>
      <w:marBottom w:val="0"/>
      <w:divBdr>
        <w:top w:val="none" w:sz="0" w:space="0" w:color="auto"/>
        <w:left w:val="none" w:sz="0" w:space="0" w:color="auto"/>
        <w:bottom w:val="none" w:sz="0" w:space="0" w:color="auto"/>
        <w:right w:val="none" w:sz="0" w:space="0" w:color="auto"/>
      </w:divBdr>
    </w:div>
    <w:div w:id="1846169160">
      <w:bodyDiv w:val="1"/>
      <w:marLeft w:val="0"/>
      <w:marRight w:val="0"/>
      <w:marTop w:val="0"/>
      <w:marBottom w:val="0"/>
      <w:divBdr>
        <w:top w:val="none" w:sz="0" w:space="0" w:color="auto"/>
        <w:left w:val="none" w:sz="0" w:space="0" w:color="auto"/>
        <w:bottom w:val="none" w:sz="0" w:space="0" w:color="auto"/>
        <w:right w:val="none" w:sz="0" w:space="0" w:color="auto"/>
      </w:divBdr>
    </w:div>
    <w:div w:id="1874462298">
      <w:bodyDiv w:val="1"/>
      <w:marLeft w:val="0"/>
      <w:marRight w:val="0"/>
      <w:marTop w:val="0"/>
      <w:marBottom w:val="0"/>
      <w:divBdr>
        <w:top w:val="none" w:sz="0" w:space="0" w:color="auto"/>
        <w:left w:val="none" w:sz="0" w:space="0" w:color="auto"/>
        <w:bottom w:val="none" w:sz="0" w:space="0" w:color="auto"/>
        <w:right w:val="none" w:sz="0" w:space="0" w:color="auto"/>
      </w:divBdr>
    </w:div>
    <w:div w:id="1879588227">
      <w:bodyDiv w:val="1"/>
      <w:marLeft w:val="0"/>
      <w:marRight w:val="0"/>
      <w:marTop w:val="0"/>
      <w:marBottom w:val="0"/>
      <w:divBdr>
        <w:top w:val="none" w:sz="0" w:space="0" w:color="auto"/>
        <w:left w:val="none" w:sz="0" w:space="0" w:color="auto"/>
        <w:bottom w:val="none" w:sz="0" w:space="0" w:color="auto"/>
        <w:right w:val="none" w:sz="0" w:space="0" w:color="auto"/>
      </w:divBdr>
    </w:div>
    <w:div w:id="1881942599">
      <w:bodyDiv w:val="1"/>
      <w:marLeft w:val="0"/>
      <w:marRight w:val="0"/>
      <w:marTop w:val="0"/>
      <w:marBottom w:val="0"/>
      <w:divBdr>
        <w:top w:val="none" w:sz="0" w:space="0" w:color="auto"/>
        <w:left w:val="none" w:sz="0" w:space="0" w:color="auto"/>
        <w:bottom w:val="none" w:sz="0" w:space="0" w:color="auto"/>
        <w:right w:val="none" w:sz="0" w:space="0" w:color="auto"/>
      </w:divBdr>
    </w:div>
    <w:div w:id="1902448768">
      <w:bodyDiv w:val="1"/>
      <w:marLeft w:val="0"/>
      <w:marRight w:val="0"/>
      <w:marTop w:val="0"/>
      <w:marBottom w:val="0"/>
      <w:divBdr>
        <w:top w:val="none" w:sz="0" w:space="0" w:color="auto"/>
        <w:left w:val="none" w:sz="0" w:space="0" w:color="auto"/>
        <w:bottom w:val="none" w:sz="0" w:space="0" w:color="auto"/>
        <w:right w:val="none" w:sz="0" w:space="0" w:color="auto"/>
      </w:divBdr>
    </w:div>
    <w:div w:id="1908297986">
      <w:bodyDiv w:val="1"/>
      <w:marLeft w:val="0"/>
      <w:marRight w:val="0"/>
      <w:marTop w:val="0"/>
      <w:marBottom w:val="0"/>
      <w:divBdr>
        <w:top w:val="none" w:sz="0" w:space="0" w:color="auto"/>
        <w:left w:val="none" w:sz="0" w:space="0" w:color="auto"/>
        <w:bottom w:val="none" w:sz="0" w:space="0" w:color="auto"/>
        <w:right w:val="none" w:sz="0" w:space="0" w:color="auto"/>
      </w:divBdr>
    </w:div>
    <w:div w:id="1914192882">
      <w:bodyDiv w:val="1"/>
      <w:marLeft w:val="0"/>
      <w:marRight w:val="0"/>
      <w:marTop w:val="0"/>
      <w:marBottom w:val="0"/>
      <w:divBdr>
        <w:top w:val="none" w:sz="0" w:space="0" w:color="auto"/>
        <w:left w:val="none" w:sz="0" w:space="0" w:color="auto"/>
        <w:bottom w:val="none" w:sz="0" w:space="0" w:color="auto"/>
        <w:right w:val="none" w:sz="0" w:space="0" w:color="auto"/>
      </w:divBdr>
    </w:div>
    <w:div w:id="1914899227">
      <w:bodyDiv w:val="1"/>
      <w:marLeft w:val="0"/>
      <w:marRight w:val="0"/>
      <w:marTop w:val="0"/>
      <w:marBottom w:val="0"/>
      <w:divBdr>
        <w:top w:val="none" w:sz="0" w:space="0" w:color="auto"/>
        <w:left w:val="none" w:sz="0" w:space="0" w:color="auto"/>
        <w:bottom w:val="none" w:sz="0" w:space="0" w:color="auto"/>
        <w:right w:val="none" w:sz="0" w:space="0" w:color="auto"/>
      </w:divBdr>
    </w:div>
    <w:div w:id="1915698601">
      <w:bodyDiv w:val="1"/>
      <w:marLeft w:val="0"/>
      <w:marRight w:val="0"/>
      <w:marTop w:val="0"/>
      <w:marBottom w:val="0"/>
      <w:divBdr>
        <w:top w:val="none" w:sz="0" w:space="0" w:color="auto"/>
        <w:left w:val="none" w:sz="0" w:space="0" w:color="auto"/>
        <w:bottom w:val="none" w:sz="0" w:space="0" w:color="auto"/>
        <w:right w:val="none" w:sz="0" w:space="0" w:color="auto"/>
      </w:divBdr>
    </w:div>
    <w:div w:id="1958756260">
      <w:bodyDiv w:val="1"/>
      <w:marLeft w:val="0"/>
      <w:marRight w:val="0"/>
      <w:marTop w:val="0"/>
      <w:marBottom w:val="0"/>
      <w:divBdr>
        <w:top w:val="none" w:sz="0" w:space="0" w:color="auto"/>
        <w:left w:val="none" w:sz="0" w:space="0" w:color="auto"/>
        <w:bottom w:val="none" w:sz="0" w:space="0" w:color="auto"/>
        <w:right w:val="none" w:sz="0" w:space="0" w:color="auto"/>
      </w:divBdr>
    </w:div>
    <w:div w:id="1964580081">
      <w:bodyDiv w:val="1"/>
      <w:marLeft w:val="0"/>
      <w:marRight w:val="0"/>
      <w:marTop w:val="0"/>
      <w:marBottom w:val="0"/>
      <w:divBdr>
        <w:top w:val="none" w:sz="0" w:space="0" w:color="auto"/>
        <w:left w:val="none" w:sz="0" w:space="0" w:color="auto"/>
        <w:bottom w:val="none" w:sz="0" w:space="0" w:color="auto"/>
        <w:right w:val="none" w:sz="0" w:space="0" w:color="auto"/>
      </w:divBdr>
    </w:div>
    <w:div w:id="1996882615">
      <w:bodyDiv w:val="1"/>
      <w:marLeft w:val="0"/>
      <w:marRight w:val="0"/>
      <w:marTop w:val="0"/>
      <w:marBottom w:val="0"/>
      <w:divBdr>
        <w:top w:val="none" w:sz="0" w:space="0" w:color="auto"/>
        <w:left w:val="none" w:sz="0" w:space="0" w:color="auto"/>
        <w:bottom w:val="none" w:sz="0" w:space="0" w:color="auto"/>
        <w:right w:val="none" w:sz="0" w:space="0" w:color="auto"/>
      </w:divBdr>
    </w:div>
    <w:div w:id="2005695600">
      <w:bodyDiv w:val="1"/>
      <w:marLeft w:val="0"/>
      <w:marRight w:val="0"/>
      <w:marTop w:val="0"/>
      <w:marBottom w:val="0"/>
      <w:divBdr>
        <w:top w:val="none" w:sz="0" w:space="0" w:color="auto"/>
        <w:left w:val="none" w:sz="0" w:space="0" w:color="auto"/>
        <w:bottom w:val="none" w:sz="0" w:space="0" w:color="auto"/>
        <w:right w:val="none" w:sz="0" w:space="0" w:color="auto"/>
      </w:divBdr>
    </w:div>
    <w:div w:id="2017071985">
      <w:bodyDiv w:val="1"/>
      <w:marLeft w:val="0"/>
      <w:marRight w:val="0"/>
      <w:marTop w:val="0"/>
      <w:marBottom w:val="0"/>
      <w:divBdr>
        <w:top w:val="none" w:sz="0" w:space="0" w:color="auto"/>
        <w:left w:val="none" w:sz="0" w:space="0" w:color="auto"/>
        <w:bottom w:val="none" w:sz="0" w:space="0" w:color="auto"/>
        <w:right w:val="none" w:sz="0" w:space="0" w:color="auto"/>
      </w:divBdr>
    </w:div>
    <w:div w:id="2024746416">
      <w:bodyDiv w:val="1"/>
      <w:marLeft w:val="0"/>
      <w:marRight w:val="0"/>
      <w:marTop w:val="0"/>
      <w:marBottom w:val="0"/>
      <w:divBdr>
        <w:top w:val="none" w:sz="0" w:space="0" w:color="auto"/>
        <w:left w:val="none" w:sz="0" w:space="0" w:color="auto"/>
        <w:bottom w:val="none" w:sz="0" w:space="0" w:color="auto"/>
        <w:right w:val="none" w:sz="0" w:space="0" w:color="auto"/>
      </w:divBdr>
      <w:divsChild>
        <w:div w:id="730158658">
          <w:marLeft w:val="300"/>
          <w:marRight w:val="0"/>
          <w:marTop w:val="0"/>
          <w:marBottom w:val="0"/>
          <w:divBdr>
            <w:top w:val="none" w:sz="0" w:space="0" w:color="auto"/>
            <w:left w:val="none" w:sz="0" w:space="0" w:color="auto"/>
            <w:bottom w:val="none" w:sz="0" w:space="0" w:color="auto"/>
            <w:right w:val="none" w:sz="0" w:space="0" w:color="auto"/>
          </w:divBdr>
        </w:div>
        <w:div w:id="1052072225">
          <w:marLeft w:val="75"/>
          <w:marRight w:val="75"/>
          <w:marTop w:val="75"/>
          <w:marBottom w:val="75"/>
          <w:divBdr>
            <w:top w:val="none" w:sz="0" w:space="0" w:color="auto"/>
            <w:left w:val="none" w:sz="0" w:space="0" w:color="auto"/>
            <w:bottom w:val="none" w:sz="0" w:space="0" w:color="auto"/>
            <w:right w:val="none" w:sz="0" w:space="0" w:color="auto"/>
          </w:divBdr>
        </w:div>
      </w:divsChild>
    </w:div>
    <w:div w:id="2055225685">
      <w:bodyDiv w:val="1"/>
      <w:marLeft w:val="0"/>
      <w:marRight w:val="0"/>
      <w:marTop w:val="0"/>
      <w:marBottom w:val="0"/>
      <w:divBdr>
        <w:top w:val="none" w:sz="0" w:space="0" w:color="auto"/>
        <w:left w:val="none" w:sz="0" w:space="0" w:color="auto"/>
        <w:bottom w:val="none" w:sz="0" w:space="0" w:color="auto"/>
        <w:right w:val="none" w:sz="0" w:space="0" w:color="auto"/>
      </w:divBdr>
    </w:div>
    <w:div w:id="2078432949">
      <w:bodyDiv w:val="1"/>
      <w:marLeft w:val="0"/>
      <w:marRight w:val="0"/>
      <w:marTop w:val="0"/>
      <w:marBottom w:val="0"/>
      <w:divBdr>
        <w:top w:val="none" w:sz="0" w:space="0" w:color="auto"/>
        <w:left w:val="none" w:sz="0" w:space="0" w:color="auto"/>
        <w:bottom w:val="none" w:sz="0" w:space="0" w:color="auto"/>
        <w:right w:val="none" w:sz="0" w:space="0" w:color="auto"/>
      </w:divBdr>
      <w:divsChild>
        <w:div w:id="124584676">
          <w:marLeft w:val="240"/>
          <w:marRight w:val="0"/>
          <w:marTop w:val="0"/>
          <w:marBottom w:val="0"/>
          <w:divBdr>
            <w:top w:val="none" w:sz="0" w:space="0" w:color="auto"/>
            <w:left w:val="none" w:sz="0" w:space="0" w:color="auto"/>
            <w:bottom w:val="none" w:sz="0" w:space="0" w:color="auto"/>
            <w:right w:val="none" w:sz="0" w:space="0" w:color="auto"/>
          </w:divBdr>
        </w:div>
        <w:div w:id="334502544">
          <w:marLeft w:val="240"/>
          <w:marRight w:val="0"/>
          <w:marTop w:val="0"/>
          <w:marBottom w:val="0"/>
          <w:divBdr>
            <w:top w:val="none" w:sz="0" w:space="0" w:color="auto"/>
            <w:left w:val="none" w:sz="0" w:space="0" w:color="auto"/>
            <w:bottom w:val="none" w:sz="0" w:space="0" w:color="auto"/>
            <w:right w:val="none" w:sz="0" w:space="0" w:color="auto"/>
          </w:divBdr>
        </w:div>
      </w:divsChild>
    </w:div>
    <w:div w:id="2097895527">
      <w:bodyDiv w:val="1"/>
      <w:marLeft w:val="0"/>
      <w:marRight w:val="0"/>
      <w:marTop w:val="0"/>
      <w:marBottom w:val="0"/>
      <w:divBdr>
        <w:top w:val="none" w:sz="0" w:space="0" w:color="auto"/>
        <w:left w:val="none" w:sz="0" w:space="0" w:color="auto"/>
        <w:bottom w:val="none" w:sz="0" w:space="0" w:color="auto"/>
        <w:right w:val="none" w:sz="0" w:space="0" w:color="auto"/>
      </w:divBdr>
    </w:div>
    <w:div w:id="2099132498">
      <w:bodyDiv w:val="1"/>
      <w:marLeft w:val="0"/>
      <w:marRight w:val="0"/>
      <w:marTop w:val="0"/>
      <w:marBottom w:val="0"/>
      <w:divBdr>
        <w:top w:val="none" w:sz="0" w:space="0" w:color="auto"/>
        <w:left w:val="none" w:sz="0" w:space="0" w:color="auto"/>
        <w:bottom w:val="none" w:sz="0" w:space="0" w:color="auto"/>
        <w:right w:val="none" w:sz="0" w:space="0" w:color="auto"/>
      </w:divBdr>
    </w:div>
    <w:div w:id="2110618352">
      <w:bodyDiv w:val="1"/>
      <w:marLeft w:val="0"/>
      <w:marRight w:val="0"/>
      <w:marTop w:val="0"/>
      <w:marBottom w:val="0"/>
      <w:divBdr>
        <w:top w:val="none" w:sz="0" w:space="0" w:color="auto"/>
        <w:left w:val="none" w:sz="0" w:space="0" w:color="auto"/>
        <w:bottom w:val="none" w:sz="0" w:space="0" w:color="auto"/>
        <w:right w:val="none" w:sz="0" w:space="0" w:color="auto"/>
      </w:divBdr>
      <w:divsChild>
        <w:div w:id="874999332">
          <w:marLeft w:val="240"/>
          <w:marRight w:val="0"/>
          <w:marTop w:val="0"/>
          <w:marBottom w:val="0"/>
          <w:divBdr>
            <w:top w:val="none" w:sz="0" w:space="0" w:color="auto"/>
            <w:left w:val="none" w:sz="0" w:space="0" w:color="auto"/>
            <w:bottom w:val="none" w:sz="0" w:space="0" w:color="auto"/>
            <w:right w:val="none" w:sz="0" w:space="0" w:color="auto"/>
          </w:divBdr>
        </w:div>
        <w:div w:id="1040209524">
          <w:marLeft w:val="240"/>
          <w:marRight w:val="0"/>
          <w:marTop w:val="0"/>
          <w:marBottom w:val="0"/>
          <w:divBdr>
            <w:top w:val="none" w:sz="0" w:space="0" w:color="auto"/>
            <w:left w:val="none" w:sz="0" w:space="0" w:color="auto"/>
            <w:bottom w:val="none" w:sz="0" w:space="0" w:color="auto"/>
            <w:right w:val="none" w:sz="0" w:space="0" w:color="auto"/>
          </w:divBdr>
        </w:div>
      </w:divsChild>
    </w:div>
    <w:div w:id="211978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2016/679/oj/?locale=LV" TargetMode="External"/><Relationship Id="rId13" Type="http://schemas.openxmlformats.org/officeDocument/2006/relationships/hyperlink" Target="https://hudoc.echr.coe.int/eng" TargetMode="External"/><Relationship Id="rId18" Type="http://schemas.openxmlformats.org/officeDocument/2006/relationships/hyperlink" Target="https://curia.europa.eu/juris/document/document.jsf?text=&amp;docid=257242&amp;pageIndex=0&amp;doclang=LV&amp;mode=lst&amp;dir=&amp;occ=first&amp;part=1&amp;cid=1861090" TargetMode="External"/><Relationship Id="rId26" Type="http://schemas.openxmlformats.org/officeDocument/2006/relationships/hyperlink" Target="https://manas.tiesas.lv/eTiesasMvc/nolemumi/pdf/127509.pdf" TargetMode="External"/><Relationship Id="rId3" Type="http://schemas.openxmlformats.org/officeDocument/2006/relationships/settings" Target="settings.xml"/><Relationship Id="rId21" Type="http://schemas.openxmlformats.org/officeDocument/2006/relationships/hyperlink" Target="https://www.saeima.lv/lv/transcripts/view/2560" TargetMode="External"/><Relationship Id="rId7" Type="http://schemas.openxmlformats.org/officeDocument/2006/relationships/hyperlink" Target="https://gateway.elieta.lv/api/v1/PublicMaterialDownload/989c32f4-e8d8-4b55-a8f2-cc93209b87a0" TargetMode="External"/><Relationship Id="rId12" Type="http://schemas.openxmlformats.org/officeDocument/2006/relationships/hyperlink" Target="https://curia.europa.eu/juris/document/document.jsf?text=&amp;docid=236423&amp;pageIndex=0&amp;doclang=LV&amp;mode=lst&amp;dir=&amp;occ=first&amp;part=1&amp;cid=1433424" TargetMode="External"/><Relationship Id="rId17" Type="http://schemas.openxmlformats.org/officeDocument/2006/relationships/hyperlink" Target="https://curia.europa.eu/juris/document/document.jsf?text=&amp;docid=81398&amp;pageIndex=0&amp;doclang=LV&amp;mode=lst&amp;dir=&amp;occ=first&amp;part=1&amp;cid=9562628" TargetMode="External"/><Relationship Id="rId25" Type="http://schemas.openxmlformats.org/officeDocument/2006/relationships/hyperlink" Target="https://manas.tiesas.lv/eTiesasMvc/nolemumi/pdf/11931.pdf" TargetMode="External"/><Relationship Id="rId2" Type="http://schemas.openxmlformats.org/officeDocument/2006/relationships/styles" Target="styles.xml"/><Relationship Id="rId16" Type="http://schemas.openxmlformats.org/officeDocument/2006/relationships/hyperlink" Target="https://curia.europa.eu/juris/document/document.jsf?text=&amp;docid=173127&amp;pageIndex=0&amp;doclang=LV&amp;mode=lst&amp;dir=&amp;occ=first&amp;part=1&amp;cid=9563970" TargetMode="External"/><Relationship Id="rId20" Type="http://schemas.openxmlformats.org/officeDocument/2006/relationships/hyperlink" Target="https://titania.saeima.lv/LIVS14/saeimalivs14.nsf/0/A2232AEF6F85691FC2258B42002DD907?OpenDocument" TargetMode="External"/><Relationship Id="rId29" Type="http://schemas.openxmlformats.org/officeDocument/2006/relationships/hyperlink" Target="https://curia.europa.eu/juris/document/document.jsf?text=&amp;docid=85181&amp;pageIndex=0&amp;doclang=EN&amp;mode=lst&amp;dir=&amp;occ=first&amp;part=1&amp;cid=5913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eli/dir/2014/104/oj/?locale=LV" TargetMode="External"/><Relationship Id="rId24" Type="http://schemas.openxmlformats.org/officeDocument/2006/relationships/hyperlink" Target="https://manas.tiesas.lv/eTiesasMvc/nolemumi/pdf/128784.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uria.europa.eu/juris/document/document.jsf?text=&amp;docid=237202&amp;pageIndex=0&amp;doclang=LV&amp;mode=lst&amp;dir=&amp;occ=first&amp;part=1&amp;cid=6076952" TargetMode="External"/><Relationship Id="rId23" Type="http://schemas.openxmlformats.org/officeDocument/2006/relationships/hyperlink" Target="https://manas.tiesas.lv:443/eTiesasMvc/nolemumi/pdf/413089.pdf" TargetMode="External"/><Relationship Id="rId28" Type="http://schemas.openxmlformats.org/officeDocument/2006/relationships/hyperlink" Target="https://curia.europa.eu/juris/document/document.jsf?text=&amp;docid=67378&amp;pageIndex=0&amp;doclang=LV&amp;mode=lst&amp;dir=&amp;occ=first&amp;part=1&amp;cid=595356" TargetMode="External"/><Relationship Id="rId10" Type="http://schemas.openxmlformats.org/officeDocument/2006/relationships/hyperlink" Target="https://eur-lex.europa.eu/legal-content/LV/TXT/?uri=celex%3A32003R0001" TargetMode="External"/><Relationship Id="rId19" Type="http://schemas.openxmlformats.org/officeDocument/2006/relationships/hyperlink" Target="https://www.saeima.lv/steno/st_98/st1805.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legal-content/LV/TXT/?uri=CELEX:52004XC0427%2806%29" TargetMode="External"/><Relationship Id="rId14" Type="http://schemas.openxmlformats.org/officeDocument/2006/relationships/hyperlink" Target="https://juristavards.lv/wwwraksti/JV/BIBLIOTEKA/GRAMATAS/LU_JF_78_2020.PDF" TargetMode="External"/><Relationship Id="rId22" Type="http://schemas.openxmlformats.org/officeDocument/2006/relationships/hyperlink" Target="https://manas.tiesas.lv/eTiesasMvc/nolemumi/pdf/494954.pdf" TargetMode="External"/><Relationship Id="rId27" Type="http://schemas.openxmlformats.org/officeDocument/2006/relationships/hyperlink" Target="https://curia.europa.eu/juris/document/document.jsf?text=&amp;docid=48825&amp;pageIndex=0&amp;doclang=EN&amp;mode=lst&amp;dir=&amp;occ=first&amp;part=1&amp;cid=581005"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71059</Words>
  <Characters>40505</Characters>
  <Application>Microsoft Office Word</Application>
  <DocSecurity>0</DocSecurity>
  <Lines>337</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2026-01-20T10:05:00Z</dcterms:created>
  <dcterms:modified xsi:type="dcterms:W3CDTF">2026-01-20T14:34:00Z</dcterms:modified>
</cp:coreProperties>
</file>