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840E" w14:textId="77777777" w:rsidR="00CA4D98" w:rsidRPr="0019529D" w:rsidRDefault="00CA4D98" w:rsidP="00CA4D98">
      <w:pPr>
        <w:spacing w:line="276" w:lineRule="auto"/>
        <w:jc w:val="both"/>
        <w:rPr>
          <w:b/>
          <w:bCs/>
        </w:rPr>
      </w:pPr>
      <w:bookmarkStart w:id="0" w:name="_Hlk218844496"/>
      <w:r w:rsidRPr="0019529D">
        <w:rPr>
          <w:b/>
          <w:bCs/>
        </w:rPr>
        <w:t>Apsūdzētā apgalvojumu par iespējamu spīdzināšanu un liecību izspiešanu nozīme pierādījumu pieļaujamības izvērtēšanā</w:t>
      </w:r>
    </w:p>
    <w:bookmarkEnd w:id="0"/>
    <w:p w14:paraId="44DAB579" w14:textId="77777777" w:rsidR="00CA4D98" w:rsidRPr="0019529D" w:rsidRDefault="00CA4D98" w:rsidP="00CA4D98">
      <w:pPr>
        <w:spacing w:line="276" w:lineRule="auto"/>
        <w:jc w:val="both"/>
      </w:pPr>
      <w:r w:rsidRPr="0019529D">
        <w:t>Ja apsūdzētais norādījis, ka aizturēšanas laikā pret viņu pielietota spīdzināšana, šādas apsūdzētā norādes pakļaujamas pienācīgam tiesas izvērtējumam.</w:t>
      </w:r>
    </w:p>
    <w:p w14:paraId="1570B921" w14:textId="77777777" w:rsidR="00CA4D98" w:rsidRPr="0019529D" w:rsidRDefault="00CA4D98" w:rsidP="00CA4D98">
      <w:pPr>
        <w:spacing w:line="276" w:lineRule="auto"/>
        <w:jc w:val="both"/>
      </w:pPr>
      <w:bookmarkStart w:id="1" w:name="_Hlk218844581"/>
      <w:r w:rsidRPr="0019529D">
        <w:t>Lai apsūdzētā liecības izmantotu viņa vainīguma pierādīšan</w:t>
      </w:r>
      <w:r>
        <w:t>ā</w:t>
      </w:r>
      <w:r w:rsidRPr="0019529D">
        <w:t xml:space="preserve"> situācijā, kad apsūdzētais norādījis uz aizturēšanas laikā pret viņu pielietotu spīdzināšanu un liecību izspiešanu, tiesa vērtē, vai minētās liecības nav sniegtas piespiedu ietekmē un vai tās atbilst brīvas gribas principam.</w:t>
      </w:r>
    </w:p>
    <w:bookmarkEnd w:id="1"/>
    <w:p w14:paraId="32FAEE23" w14:textId="77777777" w:rsidR="009804B6" w:rsidRDefault="009804B6" w:rsidP="009804B6">
      <w:pPr>
        <w:spacing w:line="276" w:lineRule="auto"/>
        <w:jc w:val="both"/>
        <w:rPr>
          <w:b/>
        </w:rPr>
      </w:pPr>
    </w:p>
    <w:p w14:paraId="3EB631EE" w14:textId="77777777" w:rsidR="00CA4D98" w:rsidRPr="0019529D" w:rsidRDefault="00CA4D98" w:rsidP="00CA4D98">
      <w:pPr>
        <w:spacing w:line="276" w:lineRule="auto"/>
        <w:jc w:val="both"/>
        <w:rPr>
          <w:b/>
          <w:bCs/>
        </w:rPr>
      </w:pPr>
      <w:r w:rsidRPr="0019529D">
        <w:rPr>
          <w:b/>
          <w:bCs/>
        </w:rPr>
        <w:t>Vienu un to pašu ziņu par faktiem izmantošana pierādīšanā vairākos kriminālprocesos</w:t>
      </w:r>
    </w:p>
    <w:p w14:paraId="6EA64C5A" w14:textId="77777777" w:rsidR="00CA4D98" w:rsidRPr="0019529D" w:rsidRDefault="00CA4D98" w:rsidP="00CA4D98">
      <w:pPr>
        <w:spacing w:line="276" w:lineRule="auto"/>
        <w:jc w:val="both"/>
      </w:pPr>
      <w:r w:rsidRPr="0019529D">
        <w:t>Dubultās sodīšanas nepieļaujamības (</w:t>
      </w:r>
      <w:r w:rsidRPr="0019529D">
        <w:rPr>
          <w:i/>
          <w:iCs/>
        </w:rPr>
        <w:t>ne bis in idem</w:t>
      </w:r>
      <w:r w:rsidRPr="0019529D">
        <w:t>) princips ir attiecināms uz personas atkārtotu tiesāšanu vai sodīšanu par vienu un to pašu nodarījumu, bet tas neaizliedz vienas un tās pašas ziņas par faktiem izmantot kā pierādījumus vairākos kriminālprocesos, ja t</w:t>
      </w:r>
      <w:r>
        <w:t xml:space="preserve">ās ir bijušas nozīmīgas </w:t>
      </w:r>
      <w:r w:rsidRPr="0019529D">
        <w:t>konkrēta noziedzīga nodarījuma izvērtēšanai.</w:t>
      </w:r>
    </w:p>
    <w:p w14:paraId="6EF7B684" w14:textId="77777777" w:rsidR="00CA4D98" w:rsidRDefault="00CA4D98" w:rsidP="009804B6">
      <w:pPr>
        <w:spacing w:line="276" w:lineRule="auto"/>
        <w:jc w:val="both"/>
        <w:rPr>
          <w:b/>
        </w:rPr>
      </w:pPr>
    </w:p>
    <w:p w14:paraId="30EF74F0" w14:textId="5F7F555E" w:rsidR="00447EE6" w:rsidRPr="009804B6" w:rsidRDefault="00447EE6" w:rsidP="009804B6">
      <w:pPr>
        <w:spacing w:line="276" w:lineRule="auto"/>
        <w:jc w:val="center"/>
        <w:rPr>
          <w:b/>
        </w:rPr>
      </w:pPr>
      <w:r w:rsidRPr="009804B6">
        <w:rPr>
          <w:b/>
        </w:rPr>
        <w:t>Latvijas Republikas Senāt</w:t>
      </w:r>
      <w:r w:rsidR="009804B6" w:rsidRPr="009804B6">
        <w:rPr>
          <w:b/>
        </w:rPr>
        <w:t>a</w:t>
      </w:r>
    </w:p>
    <w:p w14:paraId="1ECB6E78" w14:textId="69565487" w:rsidR="009804B6" w:rsidRPr="009804B6" w:rsidRDefault="009804B6" w:rsidP="009804B6">
      <w:pPr>
        <w:spacing w:line="276" w:lineRule="auto"/>
        <w:jc w:val="center"/>
        <w:rPr>
          <w:b/>
        </w:rPr>
      </w:pPr>
      <w:r w:rsidRPr="009804B6">
        <w:rPr>
          <w:b/>
          <w:lang w:eastAsia="lv-LV"/>
        </w:rPr>
        <w:t>Krimināllietu departamenta</w:t>
      </w:r>
    </w:p>
    <w:p w14:paraId="61692466" w14:textId="77777777" w:rsidR="009804B6" w:rsidRPr="009804B6" w:rsidRDefault="009804B6" w:rsidP="009804B6">
      <w:pPr>
        <w:spacing w:line="276" w:lineRule="auto"/>
        <w:jc w:val="center"/>
        <w:rPr>
          <w:b/>
        </w:rPr>
      </w:pPr>
      <w:r w:rsidRPr="009804B6">
        <w:rPr>
          <w:b/>
        </w:rPr>
        <w:t>2025. gada 19. decembra</w:t>
      </w:r>
    </w:p>
    <w:p w14:paraId="6D65DEB2" w14:textId="14717417" w:rsidR="00447EE6" w:rsidRPr="009804B6" w:rsidRDefault="00070008" w:rsidP="009804B6">
      <w:pPr>
        <w:spacing w:line="276" w:lineRule="auto"/>
        <w:jc w:val="center"/>
        <w:rPr>
          <w:b/>
        </w:rPr>
      </w:pPr>
      <w:r w:rsidRPr="009804B6">
        <w:rPr>
          <w:b/>
        </w:rPr>
        <w:t>LĒMUMS</w:t>
      </w:r>
    </w:p>
    <w:p w14:paraId="24E586CF" w14:textId="77777777" w:rsidR="009804B6" w:rsidRPr="009804B6" w:rsidRDefault="009804B6" w:rsidP="009804B6">
      <w:pPr>
        <w:spacing w:line="276" w:lineRule="auto"/>
        <w:jc w:val="center"/>
        <w:rPr>
          <w:b/>
          <w:lang w:eastAsia="lv-LV"/>
        </w:rPr>
      </w:pPr>
      <w:r w:rsidRPr="009804B6">
        <w:rPr>
          <w:b/>
          <w:lang w:eastAsia="lv-LV"/>
        </w:rPr>
        <w:t>Lieta Nr. 11840000418, SKK</w:t>
      </w:r>
      <w:r w:rsidRPr="009804B6">
        <w:rPr>
          <w:b/>
          <w:lang w:eastAsia="lv-LV"/>
        </w:rPr>
        <w:noBreakHyphen/>
        <w:t>135/2025</w:t>
      </w:r>
    </w:p>
    <w:p w14:paraId="48EB9CDA" w14:textId="381AA986" w:rsidR="00070008" w:rsidRDefault="00CA4D98" w:rsidP="00CA4D98">
      <w:pPr>
        <w:spacing w:line="276" w:lineRule="auto"/>
        <w:jc w:val="center"/>
      </w:pPr>
      <w:hyperlink r:id="rId7" w:history="1">
        <w:r w:rsidRPr="00CA4D98">
          <w:rPr>
            <w:rStyle w:val="Hyperlink"/>
          </w:rPr>
          <w:t>ECLI:LV:AT:2025:1219.11840000418.6.L</w:t>
        </w:r>
      </w:hyperlink>
    </w:p>
    <w:p w14:paraId="11B5FADE" w14:textId="77777777" w:rsidR="009804B6" w:rsidRPr="00767B8D" w:rsidRDefault="009804B6" w:rsidP="00F05B72">
      <w:pPr>
        <w:spacing w:line="276" w:lineRule="auto"/>
        <w:ind w:firstLine="720"/>
        <w:jc w:val="center"/>
      </w:pPr>
    </w:p>
    <w:p w14:paraId="1609D6F5" w14:textId="5B1427C5" w:rsidR="00447EE6" w:rsidRPr="00767B8D" w:rsidRDefault="00447EE6" w:rsidP="00F05B72">
      <w:pPr>
        <w:spacing w:line="276" w:lineRule="auto"/>
        <w:ind w:firstLine="720"/>
        <w:jc w:val="both"/>
      </w:pPr>
      <w:r w:rsidRPr="00767B8D">
        <w:t>Senāts šādā sastāvā:</w:t>
      </w:r>
      <w:r w:rsidR="00070008" w:rsidRPr="00767B8D">
        <w:t> senators referents Aivars</w:t>
      </w:r>
      <w:r w:rsidR="00C16F0E" w:rsidRPr="00767B8D">
        <w:t xml:space="preserve"> </w:t>
      </w:r>
      <w:r w:rsidR="00070008" w:rsidRPr="00767B8D">
        <w:t>Uminskis, senator</w:t>
      </w:r>
      <w:r w:rsidR="00C16F0E" w:rsidRPr="00767B8D">
        <w:t>es</w:t>
      </w:r>
      <w:r w:rsidR="00070008" w:rsidRPr="00767B8D">
        <w:t xml:space="preserve"> </w:t>
      </w:r>
      <w:r w:rsidR="00607209" w:rsidRPr="00767B8D">
        <w:t>Irīna Jansone</w:t>
      </w:r>
      <w:r w:rsidR="00070008" w:rsidRPr="00767B8D">
        <w:t xml:space="preserve"> un </w:t>
      </w:r>
      <w:r w:rsidR="00C16F0E" w:rsidRPr="00767B8D">
        <w:t>Sandra Kaija</w:t>
      </w:r>
    </w:p>
    <w:p w14:paraId="5F6E26E1" w14:textId="77777777" w:rsidR="00070008" w:rsidRPr="00767B8D" w:rsidRDefault="00070008" w:rsidP="00F05B72">
      <w:pPr>
        <w:spacing w:line="276" w:lineRule="auto"/>
        <w:ind w:firstLine="720"/>
        <w:jc w:val="both"/>
      </w:pPr>
    </w:p>
    <w:p w14:paraId="7F2316AA" w14:textId="6D21052F" w:rsidR="00070008" w:rsidRPr="00767B8D" w:rsidRDefault="00070008" w:rsidP="00F05B72">
      <w:pPr>
        <w:spacing w:line="276" w:lineRule="auto"/>
        <w:ind w:firstLine="720"/>
        <w:jc w:val="both"/>
      </w:pPr>
      <w:r w:rsidRPr="00767B8D">
        <w:t xml:space="preserve">rakstveida procesā izskatīja krimināllietu sakarā ar </w:t>
      </w:r>
      <w:r w:rsidR="00C3200A" w:rsidRPr="00767B8D">
        <w:t xml:space="preserve">apsūdzētā </w:t>
      </w:r>
      <w:r w:rsidR="00DF0D56">
        <w:t>[pers. A]</w:t>
      </w:r>
      <w:r w:rsidR="00C3200A" w:rsidRPr="00767B8D">
        <w:t xml:space="preserve"> kasācijas sūdzību</w:t>
      </w:r>
      <w:r w:rsidR="0060505B" w:rsidRPr="00767B8D">
        <w:t xml:space="preserve"> par </w:t>
      </w:r>
      <w:r w:rsidR="00C3200A" w:rsidRPr="00767B8D">
        <w:t>Kurzemes</w:t>
      </w:r>
      <w:r w:rsidR="00A656FE" w:rsidRPr="00767B8D">
        <w:t xml:space="preserve"> apgabaltiesas 2024.</w:t>
      </w:r>
      <w:r w:rsidR="00C3200A" w:rsidRPr="00767B8D">
        <w:t> </w:t>
      </w:r>
      <w:r w:rsidR="00A656FE" w:rsidRPr="00767B8D">
        <w:t xml:space="preserve">gada </w:t>
      </w:r>
      <w:r w:rsidR="00C3200A" w:rsidRPr="00767B8D">
        <w:t>12</w:t>
      </w:r>
      <w:r w:rsidR="00A656FE" w:rsidRPr="00767B8D">
        <w:t>.</w:t>
      </w:r>
      <w:r w:rsidR="00C3200A" w:rsidRPr="00767B8D">
        <w:t> marta</w:t>
      </w:r>
      <w:r w:rsidR="00A656FE" w:rsidRPr="00767B8D">
        <w:t xml:space="preserve"> </w:t>
      </w:r>
      <w:r w:rsidR="00C3200A" w:rsidRPr="00767B8D">
        <w:t>spriedumu.</w:t>
      </w:r>
    </w:p>
    <w:p w14:paraId="553F63C4" w14:textId="77777777" w:rsidR="00070008" w:rsidRPr="00767B8D" w:rsidRDefault="00070008" w:rsidP="00F05B72">
      <w:pPr>
        <w:spacing w:line="276" w:lineRule="auto"/>
        <w:ind w:firstLine="720"/>
        <w:jc w:val="both"/>
        <w:rPr>
          <w:lang w:eastAsia="lv-LV"/>
        </w:rPr>
      </w:pPr>
    </w:p>
    <w:p w14:paraId="12882064" w14:textId="77777777" w:rsidR="00447EE6" w:rsidRPr="00767B8D" w:rsidRDefault="00447EE6" w:rsidP="00C76E1D">
      <w:pPr>
        <w:spacing w:line="276" w:lineRule="auto"/>
        <w:jc w:val="center"/>
        <w:rPr>
          <w:b/>
          <w:shd w:val="clear" w:color="auto" w:fill="FFFFFF"/>
        </w:rPr>
      </w:pPr>
      <w:r w:rsidRPr="00767B8D">
        <w:rPr>
          <w:b/>
          <w:shd w:val="clear" w:color="auto" w:fill="FFFFFF"/>
        </w:rPr>
        <w:t>Aprakstošā daļa</w:t>
      </w:r>
    </w:p>
    <w:p w14:paraId="0D501CCF" w14:textId="77777777" w:rsidR="00A656FE" w:rsidRPr="00767B8D" w:rsidRDefault="00A656FE" w:rsidP="00F05B72">
      <w:pPr>
        <w:spacing w:line="276" w:lineRule="auto"/>
        <w:ind w:firstLine="720"/>
        <w:jc w:val="center"/>
        <w:rPr>
          <w:bCs/>
          <w:shd w:val="clear" w:color="auto" w:fill="FFFFFF"/>
        </w:rPr>
      </w:pPr>
    </w:p>
    <w:p w14:paraId="0B4F5653" w14:textId="0B4380E3" w:rsidR="00447EE6" w:rsidRPr="00767B8D" w:rsidRDefault="00447EE6"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[1]</w:t>
      </w:r>
      <w:r w:rsidR="00A656FE" w:rsidRPr="00767B8D">
        <w:rPr>
          <w:shd w:val="clear" w:color="auto" w:fill="FFFFFF"/>
        </w:rPr>
        <w:t> </w:t>
      </w:r>
      <w:r w:rsidR="004C66FC" w:rsidRPr="00767B8D">
        <w:rPr>
          <w:shd w:val="clear" w:color="auto" w:fill="FFFFFF"/>
        </w:rPr>
        <w:t>Ar Rīgas pilsētas</w:t>
      </w:r>
      <w:r w:rsidR="003D15E2" w:rsidRPr="00767B8D">
        <w:rPr>
          <w:shd w:val="clear" w:color="auto" w:fill="FFFFFF"/>
        </w:rPr>
        <w:t xml:space="preserve"> Vidzemes priekšpilsētas</w:t>
      </w:r>
      <w:r w:rsidR="004C66FC" w:rsidRPr="00767B8D">
        <w:rPr>
          <w:shd w:val="clear" w:color="auto" w:fill="FFFFFF"/>
        </w:rPr>
        <w:t xml:space="preserve"> tiesas 2022. gada </w:t>
      </w:r>
      <w:r w:rsidR="003D15E2" w:rsidRPr="00767B8D">
        <w:rPr>
          <w:shd w:val="clear" w:color="auto" w:fill="FFFFFF"/>
        </w:rPr>
        <w:t>8</w:t>
      </w:r>
      <w:r w:rsidR="004C66FC" w:rsidRPr="00767B8D">
        <w:rPr>
          <w:shd w:val="clear" w:color="auto" w:fill="FFFFFF"/>
        </w:rPr>
        <w:t>.</w:t>
      </w:r>
      <w:r w:rsidR="003D15E2" w:rsidRPr="00767B8D">
        <w:rPr>
          <w:shd w:val="clear" w:color="auto" w:fill="FFFFFF"/>
        </w:rPr>
        <w:t> februāra</w:t>
      </w:r>
      <w:r w:rsidR="004C66FC" w:rsidRPr="00767B8D">
        <w:rPr>
          <w:shd w:val="clear" w:color="auto" w:fill="FFFFFF"/>
        </w:rPr>
        <w:t xml:space="preserve"> spriedumu</w:t>
      </w:r>
    </w:p>
    <w:p w14:paraId="3E031914" w14:textId="31E3C70E" w:rsidR="004C66FC" w:rsidRPr="00767B8D" w:rsidRDefault="00DF0D56" w:rsidP="00F05B7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4C66FC" w:rsidRPr="00767B8D">
        <w:rPr>
          <w:shd w:val="clear" w:color="auto" w:fill="FFFFFF"/>
        </w:rPr>
        <w:t xml:space="preserve">, personas kods </w:t>
      </w:r>
      <w:r>
        <w:rPr>
          <w:shd w:val="clear" w:color="auto" w:fill="FFFFFF"/>
        </w:rPr>
        <w:t>[..]</w:t>
      </w:r>
      <w:r w:rsidR="004C66FC" w:rsidRPr="00767B8D">
        <w:rPr>
          <w:shd w:val="clear" w:color="auto" w:fill="FFFFFF"/>
        </w:rPr>
        <w:t>,</w:t>
      </w:r>
    </w:p>
    <w:p w14:paraId="02E81342" w14:textId="762F0DB0" w:rsidR="004C66FC" w:rsidRPr="00767B8D" w:rsidRDefault="004C66FC" w:rsidP="000A285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atzīts par vainīgu Krimināllikuma </w:t>
      </w:r>
      <w:r w:rsidR="000A2852" w:rsidRPr="00767B8D">
        <w:rPr>
          <w:shd w:val="clear" w:color="auto" w:fill="FFFFFF"/>
        </w:rPr>
        <w:t>78</w:t>
      </w:r>
      <w:r w:rsidRPr="00767B8D">
        <w:rPr>
          <w:shd w:val="clear" w:color="auto" w:fill="FFFFFF"/>
        </w:rPr>
        <w:t>.</w:t>
      </w:r>
      <w:r w:rsidR="000A2852" w:rsidRPr="00767B8D">
        <w:rPr>
          <w:shd w:val="clear" w:color="auto" w:fill="FFFFFF"/>
        </w:rPr>
        <w:t> </w:t>
      </w:r>
      <w:r w:rsidRPr="00767B8D">
        <w:rPr>
          <w:shd w:val="clear" w:color="auto" w:fill="FFFFFF"/>
        </w:rPr>
        <w:t xml:space="preserve">panta </w:t>
      </w:r>
      <w:r w:rsidR="000A2852" w:rsidRPr="00767B8D">
        <w:rPr>
          <w:shd w:val="clear" w:color="auto" w:fill="FFFFFF"/>
        </w:rPr>
        <w:t>otrajā</w:t>
      </w:r>
      <w:r w:rsidRPr="00767B8D">
        <w:rPr>
          <w:shd w:val="clear" w:color="auto" w:fill="FFFFFF"/>
        </w:rPr>
        <w:t xml:space="preserve"> daļā paredzētajā noziedzīgajā nodarījumā un</w:t>
      </w:r>
      <w:r w:rsidR="000A2852" w:rsidRPr="00767B8D">
        <w:rPr>
          <w:shd w:val="clear" w:color="auto" w:fill="FFFFFF"/>
        </w:rPr>
        <w:t xml:space="preserve"> </w:t>
      </w:r>
      <w:r w:rsidRPr="00767B8D">
        <w:rPr>
          <w:shd w:val="clear" w:color="auto" w:fill="FFFFFF"/>
        </w:rPr>
        <w:t xml:space="preserve">sodīts ar brīvības atņemšanu uz </w:t>
      </w:r>
      <w:r w:rsidR="000A2852" w:rsidRPr="00767B8D">
        <w:rPr>
          <w:shd w:val="clear" w:color="auto" w:fill="FFFFFF"/>
        </w:rPr>
        <w:t>6 mēnešiem;</w:t>
      </w:r>
    </w:p>
    <w:p w14:paraId="0702BBAE" w14:textId="50A02EFF" w:rsidR="000A2852" w:rsidRPr="00767B8D" w:rsidRDefault="000A2852" w:rsidP="000A285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atzīts par vainīgu Krimināllikuma 80. panta pirmajā daļā paredzētajā noziedzīgajā nodarījumā un sodīts ar brīvības atņemšanu uz 1 gadu</w:t>
      </w:r>
      <w:r w:rsidR="00196F4C" w:rsidRPr="00767B8D">
        <w:rPr>
          <w:shd w:val="clear" w:color="auto" w:fill="FFFFFF"/>
        </w:rPr>
        <w:t xml:space="preserve"> un </w:t>
      </w:r>
      <w:r w:rsidRPr="00767B8D">
        <w:rPr>
          <w:shd w:val="clear" w:color="auto" w:fill="FFFFFF"/>
        </w:rPr>
        <w:t>probācijas uzraudzību uz 1 gadu;</w:t>
      </w:r>
    </w:p>
    <w:p w14:paraId="0DD7E699" w14:textId="743A53B0" w:rsidR="000A2852" w:rsidRPr="00767B8D" w:rsidRDefault="000A2852" w:rsidP="000A285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atzīts par vainīgu Krimināllikuma 81.</w:t>
      </w:r>
      <w:r w:rsidRPr="00767B8D">
        <w:rPr>
          <w:shd w:val="clear" w:color="auto" w:fill="FFFFFF"/>
          <w:vertAlign w:val="superscript"/>
        </w:rPr>
        <w:t>1</w:t>
      </w:r>
      <w:r w:rsidRPr="00767B8D">
        <w:rPr>
          <w:shd w:val="clear" w:color="auto" w:fill="FFFFFF"/>
        </w:rPr>
        <w:t xml:space="preserve"> pantā paredzētajā noziedzīgajā nodarījumā un sodīts ar brīvības atņemšanu </w:t>
      </w:r>
      <w:r w:rsidR="005C4175" w:rsidRPr="00767B8D">
        <w:rPr>
          <w:shd w:val="clear" w:color="auto" w:fill="FFFFFF"/>
        </w:rPr>
        <w:t>uz 6 mēnešiem.</w:t>
      </w:r>
    </w:p>
    <w:p w14:paraId="5F7AB0D9" w14:textId="74E52EEF" w:rsidR="005C4175" w:rsidRPr="00767B8D" w:rsidRDefault="005C4175" w:rsidP="005C4175">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Saskaņā ar Krimināllikuma 50. panta pirmo daļu </w:t>
      </w:r>
      <w:r w:rsidR="00DF0D56">
        <w:rPr>
          <w:shd w:val="clear" w:color="auto" w:fill="FFFFFF"/>
        </w:rPr>
        <w:t>[pers. A]</w:t>
      </w:r>
      <w:r w:rsidRPr="00767B8D">
        <w:rPr>
          <w:shd w:val="clear" w:color="auto" w:fill="FFFFFF"/>
        </w:rPr>
        <w:t xml:space="preserve"> noteikts </w:t>
      </w:r>
      <w:r w:rsidR="00BA1EEC" w:rsidRPr="00767B8D">
        <w:rPr>
          <w:shd w:val="clear" w:color="auto" w:fill="FFFFFF"/>
        </w:rPr>
        <w:t xml:space="preserve">galīgais sods </w:t>
      </w:r>
      <w:r w:rsidRPr="00767B8D">
        <w:rPr>
          <w:shd w:val="clear" w:color="auto" w:fill="FFFFFF"/>
        </w:rPr>
        <w:t>brīvības atņemšana uz 1 gadu 6 mēnešiem, probācijas uzraudzīb</w:t>
      </w:r>
      <w:r w:rsidR="00BA1EEC" w:rsidRPr="00767B8D">
        <w:rPr>
          <w:shd w:val="clear" w:color="auto" w:fill="FFFFFF"/>
        </w:rPr>
        <w:t>a</w:t>
      </w:r>
      <w:r w:rsidRPr="00767B8D">
        <w:rPr>
          <w:shd w:val="clear" w:color="auto" w:fill="FFFFFF"/>
        </w:rPr>
        <w:t xml:space="preserve"> uz 1 gadu.</w:t>
      </w:r>
    </w:p>
    <w:p w14:paraId="48CFA08F" w14:textId="045B6FE3" w:rsidR="005C4175" w:rsidRPr="00767B8D" w:rsidRDefault="005C4175" w:rsidP="005C4175">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Saskaņā ar Krimināllikuma 55. pantu </w:t>
      </w:r>
      <w:r w:rsidR="00DF0D56">
        <w:rPr>
          <w:shd w:val="clear" w:color="auto" w:fill="FFFFFF"/>
        </w:rPr>
        <w:t>[pers. A]</w:t>
      </w:r>
      <w:r w:rsidRPr="00767B8D">
        <w:rPr>
          <w:shd w:val="clear" w:color="auto" w:fill="FFFFFF"/>
        </w:rPr>
        <w:t xml:space="preserve"> </w:t>
      </w:r>
      <w:r w:rsidR="00DC59C4">
        <w:rPr>
          <w:shd w:val="clear" w:color="auto" w:fill="FFFFFF"/>
        </w:rPr>
        <w:t>notiesāts</w:t>
      </w:r>
      <w:r w:rsidR="00DC59C4" w:rsidRPr="00767B8D">
        <w:rPr>
          <w:shd w:val="clear" w:color="auto" w:fill="FFFFFF"/>
        </w:rPr>
        <w:t xml:space="preserve"> </w:t>
      </w:r>
      <w:r w:rsidRPr="00767B8D">
        <w:rPr>
          <w:shd w:val="clear" w:color="auto" w:fill="FFFFFF"/>
        </w:rPr>
        <w:t>nosacīti ar pārbaudes laiku uz 2 gadiem.</w:t>
      </w:r>
    </w:p>
    <w:p w14:paraId="3B98834F" w14:textId="10BB4508" w:rsidR="00612760" w:rsidRPr="00767B8D" w:rsidRDefault="0015608D" w:rsidP="005C4175">
      <w:pPr>
        <w:pStyle w:val="NormalWeb"/>
        <w:shd w:val="clear" w:color="auto" w:fill="FFFFFF"/>
        <w:spacing w:before="0" w:beforeAutospacing="0" w:after="0" w:afterAutospacing="0" w:line="276" w:lineRule="auto"/>
        <w:ind w:firstLine="720"/>
        <w:jc w:val="both"/>
        <w:rPr>
          <w:i/>
          <w:iCs/>
          <w:shd w:val="clear" w:color="auto" w:fill="FFFFFF"/>
        </w:rPr>
      </w:pPr>
      <w:r w:rsidRPr="00767B8D">
        <w:rPr>
          <w:shd w:val="clear" w:color="auto" w:fill="FFFFFF"/>
        </w:rPr>
        <w:lastRenderedPageBreak/>
        <w:t>Kratīšanas laikā izņemtie naudas līdzekļi</w:t>
      </w:r>
      <w:r w:rsidR="00A950A0" w:rsidRPr="00767B8D">
        <w:rPr>
          <w:shd w:val="clear" w:color="auto" w:fill="FFFFFF"/>
        </w:rPr>
        <w:t xml:space="preserve"> – 2700 </w:t>
      </w:r>
      <w:r w:rsidR="007770F6" w:rsidRPr="00767B8D">
        <w:rPr>
          <w:i/>
          <w:iCs/>
          <w:shd w:val="clear" w:color="auto" w:fill="FFFFFF"/>
        </w:rPr>
        <w:t>euro</w:t>
      </w:r>
      <w:r w:rsidR="00A950A0" w:rsidRPr="00767B8D">
        <w:rPr>
          <w:shd w:val="clear" w:color="auto" w:fill="FFFFFF"/>
        </w:rPr>
        <w:t>, 100 </w:t>
      </w:r>
      <w:r w:rsidR="007770F6" w:rsidRPr="00767B8D">
        <w:rPr>
          <w:shd w:val="clear" w:color="auto" w:fill="FFFFFF"/>
        </w:rPr>
        <w:t>Dānijas kronas</w:t>
      </w:r>
      <w:r w:rsidR="00A950A0" w:rsidRPr="00767B8D">
        <w:rPr>
          <w:shd w:val="clear" w:color="auto" w:fill="FFFFFF"/>
        </w:rPr>
        <w:t>, 2500 </w:t>
      </w:r>
      <w:r w:rsidR="007770F6" w:rsidRPr="00767B8D">
        <w:rPr>
          <w:shd w:val="clear" w:color="auto" w:fill="FFFFFF"/>
        </w:rPr>
        <w:t>Krievijas rubļ</w:t>
      </w:r>
      <w:r w:rsidR="0064129D" w:rsidRPr="00767B8D">
        <w:rPr>
          <w:shd w:val="clear" w:color="auto" w:fill="FFFFFF"/>
        </w:rPr>
        <w:t>i</w:t>
      </w:r>
      <w:r w:rsidR="00A950A0" w:rsidRPr="00767B8D">
        <w:rPr>
          <w:shd w:val="clear" w:color="auto" w:fill="FFFFFF"/>
        </w:rPr>
        <w:t xml:space="preserve"> – </w:t>
      </w:r>
      <w:r w:rsidRPr="00767B8D">
        <w:rPr>
          <w:shd w:val="clear" w:color="auto" w:fill="FFFFFF"/>
        </w:rPr>
        <w:t>atzīti par noziedzīgi iegūtu mantu un konfiscēti valsts labā.</w:t>
      </w:r>
    </w:p>
    <w:p w14:paraId="633AE1D1" w14:textId="77777777" w:rsidR="004C66FC" w:rsidRPr="00767B8D" w:rsidRDefault="004C66FC" w:rsidP="00F05B72">
      <w:pPr>
        <w:pStyle w:val="NormalWeb"/>
        <w:shd w:val="clear" w:color="auto" w:fill="FFFFFF"/>
        <w:spacing w:before="0" w:beforeAutospacing="0" w:after="0" w:afterAutospacing="0" w:line="276" w:lineRule="auto"/>
        <w:ind w:firstLine="720"/>
        <w:jc w:val="both"/>
        <w:rPr>
          <w:shd w:val="clear" w:color="auto" w:fill="FFFFFF"/>
        </w:rPr>
      </w:pPr>
    </w:p>
    <w:p w14:paraId="4BD08BCF" w14:textId="28AEAA1D" w:rsidR="00927311" w:rsidRPr="00767B8D" w:rsidRDefault="004C66FC"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[2] </w:t>
      </w:r>
      <w:r w:rsidR="009102D4" w:rsidRPr="00767B8D">
        <w:rPr>
          <w:shd w:val="clear" w:color="auto" w:fill="FFFFFF"/>
        </w:rPr>
        <w:t xml:space="preserve">Ar pirmās instances tiesas spriedumu apsūdzētais </w:t>
      </w:r>
      <w:r w:rsidR="00DF0D56">
        <w:rPr>
          <w:shd w:val="clear" w:color="auto" w:fill="FFFFFF"/>
        </w:rPr>
        <w:t>[pers. A]</w:t>
      </w:r>
      <w:r w:rsidR="009102D4" w:rsidRPr="00767B8D">
        <w:rPr>
          <w:shd w:val="clear" w:color="auto" w:fill="FFFFFF"/>
        </w:rPr>
        <w:t xml:space="preserve"> atzīts par vainīgu un sodīts pēc Krimināllikuma </w:t>
      </w:r>
      <w:r w:rsidR="00581024" w:rsidRPr="00767B8D">
        <w:rPr>
          <w:shd w:val="clear" w:color="auto" w:fill="FFFFFF"/>
        </w:rPr>
        <w:t>78</w:t>
      </w:r>
      <w:r w:rsidR="009102D4" w:rsidRPr="00767B8D">
        <w:rPr>
          <w:shd w:val="clear" w:color="auto" w:fill="FFFFFF"/>
        </w:rPr>
        <w:t xml:space="preserve">. panta </w:t>
      </w:r>
      <w:r w:rsidR="00581024" w:rsidRPr="00767B8D">
        <w:rPr>
          <w:shd w:val="clear" w:color="auto" w:fill="FFFFFF"/>
        </w:rPr>
        <w:t>otrās</w:t>
      </w:r>
      <w:r w:rsidR="009102D4" w:rsidRPr="00767B8D">
        <w:rPr>
          <w:shd w:val="clear" w:color="auto" w:fill="FFFFFF"/>
        </w:rPr>
        <w:t xml:space="preserve"> daļas par </w:t>
      </w:r>
      <w:r w:rsidR="00581024" w:rsidRPr="00767B8D">
        <w:rPr>
          <w:shd w:val="clear" w:color="auto" w:fill="FFFFFF"/>
        </w:rPr>
        <w:t>darbību, kas vērsta uz nacionāl</w:t>
      </w:r>
      <w:r w:rsidR="00DC59C4">
        <w:rPr>
          <w:shd w:val="clear" w:color="auto" w:fill="FFFFFF"/>
        </w:rPr>
        <w:t>ā</w:t>
      </w:r>
      <w:r w:rsidR="00581024" w:rsidRPr="00767B8D">
        <w:rPr>
          <w:shd w:val="clear" w:color="auto" w:fill="FFFFFF"/>
        </w:rPr>
        <w:t xml:space="preserve"> un etnisk</w:t>
      </w:r>
      <w:r w:rsidR="00DC59C4">
        <w:rPr>
          <w:shd w:val="clear" w:color="auto" w:fill="FFFFFF"/>
        </w:rPr>
        <w:t>ā</w:t>
      </w:r>
      <w:r w:rsidR="00581024" w:rsidRPr="00767B8D">
        <w:rPr>
          <w:shd w:val="clear" w:color="auto" w:fill="FFFFFF"/>
        </w:rPr>
        <w:t xml:space="preserve"> naida un nesaticības izraisīšanu, ja tā izdarīta, izmantojot automatizētu datu apstrādes sistēmu</w:t>
      </w:r>
      <w:r w:rsidR="00927311" w:rsidRPr="00767B8D">
        <w:rPr>
          <w:shd w:val="clear" w:color="auto" w:fill="FFFFFF"/>
        </w:rPr>
        <w:t>.</w:t>
      </w:r>
    </w:p>
    <w:p w14:paraId="4C7BD002" w14:textId="3321F576" w:rsidR="004C66FC" w:rsidRPr="00767B8D" w:rsidRDefault="00927311" w:rsidP="00927311">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Tāpat </w:t>
      </w:r>
      <w:r w:rsidR="00DF0D56">
        <w:rPr>
          <w:shd w:val="clear" w:color="auto" w:fill="FFFFFF"/>
        </w:rPr>
        <w:t>[pers. A]</w:t>
      </w:r>
      <w:r w:rsidRPr="00767B8D">
        <w:rPr>
          <w:shd w:val="clear" w:color="auto" w:fill="FFFFFF"/>
        </w:rPr>
        <w:t xml:space="preserve"> atzīts par vainīgu un sodīts </w:t>
      </w:r>
      <w:r w:rsidR="00581024" w:rsidRPr="00767B8D">
        <w:rPr>
          <w:shd w:val="clear" w:color="auto" w:fill="FFFFFF"/>
        </w:rPr>
        <w:t>pēc Krimināllikuma 80. panta pirmās daļas un 81.</w:t>
      </w:r>
      <w:r w:rsidR="00581024" w:rsidRPr="00767B8D">
        <w:rPr>
          <w:shd w:val="clear" w:color="auto" w:fill="FFFFFF"/>
          <w:vertAlign w:val="superscript"/>
        </w:rPr>
        <w:t>1</w:t>
      </w:r>
      <w:r w:rsidR="00581024" w:rsidRPr="00767B8D">
        <w:rPr>
          <w:shd w:val="clear" w:color="auto" w:fill="FFFFFF"/>
        </w:rPr>
        <w:t> panta par darbību, kas vērsta pret Latvijas Republikas valstisko neatkarību, suverenitāti, teritoriālo vienotību, valsts varu un valsts iekārtu Latvijas Republikas Satversmē neparedzētā veidā, un par darbību nolūkā palīdzēt ārvalstij vērsties pret Latvijas Republikas valstisko neatkarību, suverenitāti, teritoriālo vienotību, valsts varu, valsts iekārtu un valsts drošību</w:t>
      </w:r>
      <w:r w:rsidR="00347497">
        <w:rPr>
          <w:shd w:val="clear" w:color="auto" w:fill="FFFFFF"/>
        </w:rPr>
        <w:t xml:space="preserve"> (</w:t>
      </w:r>
      <w:r w:rsidR="00347497" w:rsidRPr="00B62435">
        <w:rPr>
          <w:i/>
          <w:iCs/>
          <w:shd w:val="clear" w:color="auto" w:fill="FFFFFF"/>
        </w:rPr>
        <w:t>likuma redakcijā līdz 2018. gada 22. maijam</w:t>
      </w:r>
      <w:r w:rsidR="00347497">
        <w:rPr>
          <w:shd w:val="clear" w:color="auto" w:fill="FFFFFF"/>
        </w:rPr>
        <w:t>)</w:t>
      </w:r>
      <w:r w:rsidR="009102D4" w:rsidRPr="00767B8D">
        <w:rPr>
          <w:shd w:val="clear" w:color="auto" w:fill="FFFFFF"/>
        </w:rPr>
        <w:t>.</w:t>
      </w:r>
    </w:p>
    <w:p w14:paraId="5B8037BD" w14:textId="77777777" w:rsidR="009102D4" w:rsidRPr="00767B8D" w:rsidRDefault="009102D4" w:rsidP="00F05B72">
      <w:pPr>
        <w:pStyle w:val="NormalWeb"/>
        <w:shd w:val="clear" w:color="auto" w:fill="FFFFFF"/>
        <w:spacing w:before="0" w:beforeAutospacing="0" w:after="0" w:afterAutospacing="0" w:line="276" w:lineRule="auto"/>
        <w:ind w:firstLine="720"/>
        <w:jc w:val="both"/>
        <w:rPr>
          <w:shd w:val="clear" w:color="auto" w:fill="FFFFFF"/>
        </w:rPr>
      </w:pPr>
    </w:p>
    <w:p w14:paraId="1FB7F89B" w14:textId="2B8F98F3" w:rsidR="009102D4" w:rsidRPr="00767B8D" w:rsidRDefault="009102D4"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[3] </w:t>
      </w:r>
      <w:r w:rsidR="00356F11" w:rsidRPr="00767B8D">
        <w:rPr>
          <w:shd w:val="clear" w:color="auto" w:fill="FFFFFF"/>
        </w:rPr>
        <w:t xml:space="preserve">Ar </w:t>
      </w:r>
      <w:r w:rsidR="00A30648" w:rsidRPr="00767B8D">
        <w:rPr>
          <w:shd w:val="clear" w:color="auto" w:fill="FFFFFF"/>
        </w:rPr>
        <w:t>Kurzemes</w:t>
      </w:r>
      <w:r w:rsidR="00356F11" w:rsidRPr="00767B8D">
        <w:rPr>
          <w:shd w:val="clear" w:color="auto" w:fill="FFFFFF"/>
        </w:rPr>
        <w:t xml:space="preserve"> apgabaltiesas 2024. gada </w:t>
      </w:r>
      <w:r w:rsidR="00A30648" w:rsidRPr="00767B8D">
        <w:rPr>
          <w:shd w:val="clear" w:color="auto" w:fill="FFFFFF"/>
        </w:rPr>
        <w:t>12</w:t>
      </w:r>
      <w:r w:rsidR="00356F11" w:rsidRPr="00767B8D">
        <w:rPr>
          <w:shd w:val="clear" w:color="auto" w:fill="FFFFFF"/>
        </w:rPr>
        <w:t>.</w:t>
      </w:r>
      <w:r w:rsidR="00A30648" w:rsidRPr="00767B8D">
        <w:rPr>
          <w:shd w:val="clear" w:color="auto" w:fill="FFFFFF"/>
        </w:rPr>
        <w:t> marta</w:t>
      </w:r>
      <w:r w:rsidR="00356F11" w:rsidRPr="00767B8D">
        <w:rPr>
          <w:shd w:val="clear" w:color="auto" w:fill="FFFFFF"/>
        </w:rPr>
        <w:t xml:space="preserve"> </w:t>
      </w:r>
      <w:r w:rsidR="00A30648" w:rsidRPr="00767B8D">
        <w:rPr>
          <w:shd w:val="clear" w:color="auto" w:fill="FFFFFF"/>
        </w:rPr>
        <w:t>spriedumu</w:t>
      </w:r>
      <w:r w:rsidR="00356F11" w:rsidRPr="00767B8D">
        <w:rPr>
          <w:shd w:val="clear" w:color="auto" w:fill="FFFFFF"/>
        </w:rPr>
        <w:t xml:space="preserve">, iztiesājot lietu </w:t>
      </w:r>
      <w:r w:rsidR="00A30648" w:rsidRPr="00767B8D">
        <w:rPr>
          <w:shd w:val="clear" w:color="auto" w:fill="FFFFFF"/>
        </w:rPr>
        <w:t xml:space="preserve">apelācijas kārtībā </w:t>
      </w:r>
      <w:r w:rsidR="00356F11" w:rsidRPr="00767B8D">
        <w:rPr>
          <w:shd w:val="clear" w:color="auto" w:fill="FFFFFF"/>
        </w:rPr>
        <w:t xml:space="preserve">sakarā ar apsūdzētā </w:t>
      </w:r>
      <w:r w:rsidR="00DF0D56">
        <w:rPr>
          <w:shd w:val="clear" w:color="auto" w:fill="FFFFFF"/>
        </w:rPr>
        <w:t>[pers. A]</w:t>
      </w:r>
      <w:r w:rsidR="00A30648" w:rsidRPr="00767B8D">
        <w:rPr>
          <w:shd w:val="clear" w:color="auto" w:fill="FFFFFF"/>
        </w:rPr>
        <w:t xml:space="preserve"> un viņa</w:t>
      </w:r>
      <w:r w:rsidR="00356F11" w:rsidRPr="00767B8D">
        <w:rPr>
          <w:shd w:val="clear" w:color="auto" w:fill="FFFFFF"/>
        </w:rPr>
        <w:t xml:space="preserve"> aizstāv</w:t>
      </w:r>
      <w:r w:rsidR="00A30648" w:rsidRPr="00767B8D">
        <w:rPr>
          <w:shd w:val="clear" w:color="auto" w:fill="FFFFFF"/>
        </w:rPr>
        <w:t>es</w:t>
      </w:r>
      <w:r w:rsidR="00356F11" w:rsidRPr="00767B8D">
        <w:rPr>
          <w:shd w:val="clear" w:color="auto" w:fill="FFFFFF"/>
        </w:rPr>
        <w:t xml:space="preserve"> zvērināta</w:t>
      </w:r>
      <w:r w:rsidR="00A30648" w:rsidRPr="00767B8D">
        <w:rPr>
          <w:shd w:val="clear" w:color="auto" w:fill="FFFFFF"/>
        </w:rPr>
        <w:t>s</w:t>
      </w:r>
      <w:r w:rsidR="00356F11" w:rsidRPr="00767B8D">
        <w:rPr>
          <w:shd w:val="clear" w:color="auto" w:fill="FFFFFF"/>
        </w:rPr>
        <w:t xml:space="preserve"> advokāt</w:t>
      </w:r>
      <w:r w:rsidR="00A30648" w:rsidRPr="00767B8D">
        <w:rPr>
          <w:shd w:val="clear" w:color="auto" w:fill="FFFFFF"/>
        </w:rPr>
        <w:t>es</w:t>
      </w:r>
      <w:r w:rsidR="00356F11" w:rsidRPr="00767B8D">
        <w:rPr>
          <w:shd w:val="clear" w:color="auto" w:fill="FFFFFF"/>
        </w:rPr>
        <w:t xml:space="preserve"> </w:t>
      </w:r>
      <w:proofErr w:type="spellStart"/>
      <w:r w:rsidR="00A30648" w:rsidRPr="00767B8D">
        <w:rPr>
          <w:shd w:val="clear" w:color="auto" w:fill="FFFFFF"/>
        </w:rPr>
        <w:t>Immas</w:t>
      </w:r>
      <w:proofErr w:type="spellEnd"/>
      <w:r w:rsidR="00A30648" w:rsidRPr="00767B8D">
        <w:rPr>
          <w:shd w:val="clear" w:color="auto" w:fill="FFFFFF"/>
        </w:rPr>
        <w:t xml:space="preserve"> Jansones</w:t>
      </w:r>
      <w:r w:rsidR="00356F11" w:rsidRPr="00767B8D">
        <w:rPr>
          <w:shd w:val="clear" w:color="auto" w:fill="FFFFFF"/>
        </w:rPr>
        <w:t xml:space="preserve"> </w:t>
      </w:r>
      <w:r w:rsidR="00917E0B" w:rsidRPr="00767B8D">
        <w:rPr>
          <w:shd w:val="clear" w:color="auto" w:fill="FFFFFF"/>
        </w:rPr>
        <w:t>apelācijas</w:t>
      </w:r>
      <w:r w:rsidR="00356F11" w:rsidRPr="00767B8D">
        <w:rPr>
          <w:shd w:val="clear" w:color="auto" w:fill="FFFFFF"/>
        </w:rPr>
        <w:t xml:space="preserve"> sūdzīb</w:t>
      </w:r>
      <w:r w:rsidR="00A30648" w:rsidRPr="00767B8D">
        <w:rPr>
          <w:shd w:val="clear" w:color="auto" w:fill="FFFFFF"/>
        </w:rPr>
        <w:t>ām</w:t>
      </w:r>
      <w:r w:rsidR="00356F11" w:rsidRPr="00767B8D">
        <w:rPr>
          <w:shd w:val="clear" w:color="auto" w:fill="FFFFFF"/>
        </w:rPr>
        <w:t xml:space="preserve">, Rīgas pilsētas </w:t>
      </w:r>
      <w:r w:rsidR="0012566D" w:rsidRPr="00767B8D">
        <w:rPr>
          <w:shd w:val="clear" w:color="auto" w:fill="FFFFFF"/>
        </w:rPr>
        <w:t xml:space="preserve">Vidzemes priekšpilsētas </w:t>
      </w:r>
      <w:r w:rsidR="00356F11" w:rsidRPr="00767B8D">
        <w:rPr>
          <w:shd w:val="clear" w:color="auto" w:fill="FFFFFF"/>
        </w:rPr>
        <w:t xml:space="preserve">tiesas 2022. gada </w:t>
      </w:r>
      <w:r w:rsidR="0012566D" w:rsidRPr="00767B8D">
        <w:rPr>
          <w:shd w:val="clear" w:color="auto" w:fill="FFFFFF"/>
        </w:rPr>
        <w:t>8</w:t>
      </w:r>
      <w:r w:rsidR="00356F11" w:rsidRPr="00767B8D">
        <w:rPr>
          <w:shd w:val="clear" w:color="auto" w:fill="FFFFFF"/>
        </w:rPr>
        <w:t>.</w:t>
      </w:r>
      <w:r w:rsidR="0012566D" w:rsidRPr="00767B8D">
        <w:rPr>
          <w:shd w:val="clear" w:color="auto" w:fill="FFFFFF"/>
        </w:rPr>
        <w:t> februāra</w:t>
      </w:r>
      <w:r w:rsidR="00356F11" w:rsidRPr="00767B8D">
        <w:rPr>
          <w:shd w:val="clear" w:color="auto" w:fill="FFFFFF"/>
        </w:rPr>
        <w:t xml:space="preserve"> spriedums atcelts </w:t>
      </w:r>
      <w:r w:rsidR="0012566D" w:rsidRPr="00767B8D">
        <w:rPr>
          <w:shd w:val="clear" w:color="auto" w:fill="FFFFFF"/>
        </w:rPr>
        <w:t xml:space="preserve">daļā par </w:t>
      </w:r>
      <w:r w:rsidR="00DF0D56">
        <w:rPr>
          <w:shd w:val="clear" w:color="auto" w:fill="FFFFFF"/>
        </w:rPr>
        <w:t>[pers. A]</w:t>
      </w:r>
      <w:r w:rsidR="0012566D" w:rsidRPr="00767B8D">
        <w:rPr>
          <w:shd w:val="clear" w:color="auto" w:fill="FFFFFF"/>
        </w:rPr>
        <w:t xml:space="preserve"> atzīšanu par vainīgu un sodīšanu pēc Krimināllikuma 80. panta pirmās daļas un 81.</w:t>
      </w:r>
      <w:r w:rsidR="0012566D" w:rsidRPr="00767B8D">
        <w:rPr>
          <w:shd w:val="clear" w:color="auto" w:fill="FFFFFF"/>
          <w:vertAlign w:val="superscript"/>
        </w:rPr>
        <w:t>1</w:t>
      </w:r>
      <w:r w:rsidR="0012566D" w:rsidRPr="00767B8D">
        <w:rPr>
          <w:shd w:val="clear" w:color="auto" w:fill="FFFFFF"/>
        </w:rPr>
        <w:t> panta, par galīgā soda noteikšanu saskaņā ar Krimināllikuma 50. panta pirmo daļu.</w:t>
      </w:r>
    </w:p>
    <w:p w14:paraId="222204F6" w14:textId="7EB38E9B" w:rsidR="0012566D" w:rsidRPr="00767B8D" w:rsidRDefault="0012566D"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[3.1] </w:t>
      </w:r>
      <w:r w:rsidR="00DF0D56">
        <w:rPr>
          <w:shd w:val="clear" w:color="auto" w:fill="FFFFFF"/>
        </w:rPr>
        <w:t>[Pers. A]</w:t>
      </w:r>
      <w:r w:rsidRPr="00767B8D">
        <w:rPr>
          <w:shd w:val="clear" w:color="auto" w:fill="FFFFFF"/>
        </w:rPr>
        <w:t xml:space="preserve"> atzīts par vainīgu Krimināllikuma 81.</w:t>
      </w:r>
      <w:r w:rsidRPr="00767B8D">
        <w:rPr>
          <w:shd w:val="clear" w:color="auto" w:fill="FFFFFF"/>
          <w:vertAlign w:val="superscript"/>
        </w:rPr>
        <w:t>1</w:t>
      </w:r>
      <w:r w:rsidRPr="00767B8D">
        <w:rPr>
          <w:shd w:val="clear" w:color="auto" w:fill="FFFFFF"/>
        </w:rPr>
        <w:t> pantā paredzētajā noziedzīgajā nodarījumā un sodīts ar brīvības atņemšanu uz 6 mēnešiem.</w:t>
      </w:r>
    </w:p>
    <w:p w14:paraId="18BB1B7F" w14:textId="5F2973A2" w:rsidR="0012566D" w:rsidRPr="00767B8D" w:rsidRDefault="0012566D"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Saskaņā ar Krimināllikuma 50. panta pirmo un trešo daļu </w:t>
      </w:r>
      <w:r w:rsidR="00DF0D56">
        <w:rPr>
          <w:shd w:val="clear" w:color="auto" w:fill="FFFFFF"/>
        </w:rPr>
        <w:t>[pers. A]</w:t>
      </w:r>
      <w:r w:rsidRPr="00767B8D">
        <w:rPr>
          <w:shd w:val="clear" w:color="auto" w:fill="FFFFFF"/>
        </w:rPr>
        <w:t xml:space="preserve"> </w:t>
      </w:r>
      <w:r w:rsidR="000F73ED" w:rsidRPr="00767B8D">
        <w:rPr>
          <w:shd w:val="clear" w:color="auto" w:fill="FFFFFF"/>
        </w:rPr>
        <w:t xml:space="preserve">noteikts </w:t>
      </w:r>
      <w:r w:rsidRPr="00767B8D">
        <w:rPr>
          <w:shd w:val="clear" w:color="auto" w:fill="FFFFFF"/>
        </w:rPr>
        <w:t>galīgais sods</w:t>
      </w:r>
      <w:r w:rsidR="000F73ED" w:rsidRPr="00767B8D">
        <w:rPr>
          <w:shd w:val="clear" w:color="auto" w:fill="FFFFFF"/>
        </w:rPr>
        <w:t xml:space="preserve"> – </w:t>
      </w:r>
      <w:r w:rsidRPr="00767B8D">
        <w:rPr>
          <w:shd w:val="clear" w:color="auto" w:fill="FFFFFF"/>
        </w:rPr>
        <w:t>brīvības atņemšana uz 11 mēnešiem.</w:t>
      </w:r>
    </w:p>
    <w:p w14:paraId="219539A3" w14:textId="1854E8CC" w:rsidR="0012566D" w:rsidRPr="00767B8D" w:rsidRDefault="0012566D"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Saskaņā ar Krimināllikuma 55. pantu </w:t>
      </w:r>
      <w:r w:rsidR="00DF0D56">
        <w:rPr>
          <w:shd w:val="clear" w:color="auto" w:fill="FFFFFF"/>
        </w:rPr>
        <w:t>[pers. A]</w:t>
      </w:r>
      <w:r w:rsidRPr="00767B8D">
        <w:rPr>
          <w:shd w:val="clear" w:color="auto" w:fill="FFFFFF"/>
        </w:rPr>
        <w:t xml:space="preserve"> </w:t>
      </w:r>
      <w:r w:rsidR="00F40062" w:rsidRPr="00767B8D">
        <w:rPr>
          <w:shd w:val="clear" w:color="auto" w:fill="FFFFFF"/>
        </w:rPr>
        <w:t>no</w:t>
      </w:r>
      <w:r w:rsidR="00F40062">
        <w:rPr>
          <w:shd w:val="clear" w:color="auto" w:fill="FFFFFF"/>
        </w:rPr>
        <w:t>tiesāt</w:t>
      </w:r>
      <w:r w:rsidR="00F40062" w:rsidRPr="00767B8D">
        <w:rPr>
          <w:shd w:val="clear" w:color="auto" w:fill="FFFFFF"/>
        </w:rPr>
        <w:t xml:space="preserve">s </w:t>
      </w:r>
      <w:r w:rsidRPr="00767B8D">
        <w:rPr>
          <w:shd w:val="clear" w:color="auto" w:fill="FFFFFF"/>
        </w:rPr>
        <w:t>nosacīti ar pārbaudes laiku uz 2 gadiem.</w:t>
      </w:r>
    </w:p>
    <w:p w14:paraId="63CA28B4" w14:textId="4705F0EF" w:rsidR="0012566D" w:rsidRPr="00767B8D" w:rsidRDefault="00E017D5" w:rsidP="00F05B72">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[3.2] </w:t>
      </w:r>
      <w:r w:rsidR="00DF0D56">
        <w:rPr>
          <w:shd w:val="clear" w:color="auto" w:fill="FFFFFF"/>
        </w:rPr>
        <w:t>[pers. A]</w:t>
      </w:r>
      <w:r w:rsidR="00746D4D" w:rsidRPr="00767B8D">
        <w:rPr>
          <w:shd w:val="clear" w:color="auto" w:fill="FFFFFF"/>
        </w:rPr>
        <w:t xml:space="preserve"> atzīts par nevainīgu pret viņu celtajā apsūdzībā pēc Krimināllikuma 80. panta pirmās daļas un attaisnots.</w:t>
      </w:r>
    </w:p>
    <w:p w14:paraId="44E05F81" w14:textId="77777777" w:rsidR="00356F11" w:rsidRPr="00767B8D" w:rsidRDefault="00356F11" w:rsidP="00F05B72">
      <w:pPr>
        <w:pStyle w:val="NormalWeb"/>
        <w:shd w:val="clear" w:color="auto" w:fill="FFFFFF"/>
        <w:spacing w:before="0" w:beforeAutospacing="0" w:after="0" w:afterAutospacing="0" w:line="276" w:lineRule="auto"/>
        <w:ind w:firstLine="720"/>
        <w:jc w:val="both"/>
        <w:rPr>
          <w:shd w:val="clear" w:color="auto" w:fill="FFFFFF"/>
        </w:rPr>
      </w:pPr>
    </w:p>
    <w:p w14:paraId="6AA8D62B" w14:textId="698DAD13" w:rsidR="00084EF9" w:rsidRPr="00767B8D" w:rsidRDefault="00356F11" w:rsidP="00084EF9">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[4] </w:t>
      </w:r>
      <w:r w:rsidR="00AE3CB0" w:rsidRPr="00767B8D">
        <w:rPr>
          <w:shd w:val="clear" w:color="auto" w:fill="FFFFFF"/>
        </w:rPr>
        <w:t xml:space="preserve">Par </w:t>
      </w:r>
      <w:r w:rsidR="00326CBD" w:rsidRPr="00767B8D">
        <w:rPr>
          <w:shd w:val="clear" w:color="auto" w:fill="FFFFFF"/>
        </w:rPr>
        <w:t>Kurzemes</w:t>
      </w:r>
      <w:r w:rsidR="00AE3CB0" w:rsidRPr="00767B8D">
        <w:rPr>
          <w:shd w:val="clear" w:color="auto" w:fill="FFFFFF"/>
        </w:rPr>
        <w:t xml:space="preserve"> apgabaltiesas 2024. gada </w:t>
      </w:r>
      <w:r w:rsidR="00326CBD" w:rsidRPr="00767B8D">
        <w:rPr>
          <w:shd w:val="clear" w:color="auto" w:fill="FFFFFF"/>
        </w:rPr>
        <w:t>12</w:t>
      </w:r>
      <w:r w:rsidR="00AE3CB0" w:rsidRPr="00767B8D">
        <w:rPr>
          <w:shd w:val="clear" w:color="auto" w:fill="FFFFFF"/>
        </w:rPr>
        <w:t>. </w:t>
      </w:r>
      <w:r w:rsidR="00326CBD" w:rsidRPr="00767B8D">
        <w:rPr>
          <w:shd w:val="clear" w:color="auto" w:fill="FFFFFF"/>
        </w:rPr>
        <w:t>marta</w:t>
      </w:r>
      <w:r w:rsidR="00AE3CB0" w:rsidRPr="00767B8D">
        <w:rPr>
          <w:shd w:val="clear" w:color="auto" w:fill="FFFFFF"/>
        </w:rPr>
        <w:t xml:space="preserve"> </w:t>
      </w:r>
      <w:r w:rsidR="00326CBD" w:rsidRPr="00767B8D">
        <w:rPr>
          <w:shd w:val="clear" w:color="auto" w:fill="FFFFFF"/>
        </w:rPr>
        <w:t xml:space="preserve">spriedumu </w:t>
      </w:r>
      <w:r w:rsidR="00420528" w:rsidRPr="00767B8D">
        <w:t xml:space="preserve">apsūdzētais </w:t>
      </w:r>
      <w:r w:rsidR="00DF0D56">
        <w:t>[pers. A]</w:t>
      </w:r>
      <w:r w:rsidR="00420528" w:rsidRPr="00767B8D">
        <w:rPr>
          <w:shd w:val="clear" w:color="auto" w:fill="FFFFFF"/>
        </w:rPr>
        <w:t xml:space="preserve"> iesniedzis </w:t>
      </w:r>
      <w:r w:rsidR="00AE3CB0" w:rsidRPr="00767B8D">
        <w:rPr>
          <w:shd w:val="clear" w:color="auto" w:fill="FFFFFF"/>
        </w:rPr>
        <w:t xml:space="preserve">kasācijas </w:t>
      </w:r>
      <w:r w:rsidR="00326CBD" w:rsidRPr="00767B8D">
        <w:rPr>
          <w:shd w:val="clear" w:color="auto" w:fill="FFFFFF"/>
        </w:rPr>
        <w:t>sūdzību</w:t>
      </w:r>
      <w:r w:rsidR="00420528" w:rsidRPr="00767B8D">
        <w:rPr>
          <w:shd w:val="clear" w:color="auto" w:fill="FFFFFF"/>
        </w:rPr>
        <w:t xml:space="preserve">, </w:t>
      </w:r>
      <w:r w:rsidR="00F40062">
        <w:rPr>
          <w:shd w:val="clear" w:color="auto" w:fill="FFFFFF"/>
        </w:rPr>
        <w:t>kurā lūdzis</w:t>
      </w:r>
      <w:r w:rsidR="00F40062" w:rsidRPr="00767B8D">
        <w:rPr>
          <w:shd w:val="clear" w:color="auto" w:fill="FFFFFF"/>
        </w:rPr>
        <w:t xml:space="preserve"> </w:t>
      </w:r>
      <w:r w:rsidR="00C9186D" w:rsidRPr="00767B8D">
        <w:rPr>
          <w:shd w:val="clear" w:color="auto" w:fill="FFFFFF"/>
        </w:rPr>
        <w:t xml:space="preserve">atcelt tiesas spriedumu daļā par </w:t>
      </w:r>
      <w:r w:rsidR="0027682F" w:rsidRPr="00767B8D">
        <w:rPr>
          <w:shd w:val="clear" w:color="auto" w:fill="FFFFFF"/>
        </w:rPr>
        <w:t>viņa atzīšanu par vainīgu Krimināllikuma 78. panta otr</w:t>
      </w:r>
      <w:r w:rsidR="00F40062">
        <w:rPr>
          <w:shd w:val="clear" w:color="auto" w:fill="FFFFFF"/>
        </w:rPr>
        <w:t>aj</w:t>
      </w:r>
      <w:r w:rsidR="0027682F" w:rsidRPr="00767B8D">
        <w:rPr>
          <w:shd w:val="clear" w:color="auto" w:fill="FFFFFF"/>
        </w:rPr>
        <w:t>ā daļ</w:t>
      </w:r>
      <w:r w:rsidR="00F40062">
        <w:rPr>
          <w:shd w:val="clear" w:color="auto" w:fill="FFFFFF"/>
        </w:rPr>
        <w:t>ā</w:t>
      </w:r>
      <w:r w:rsidR="0027682F" w:rsidRPr="00767B8D">
        <w:rPr>
          <w:shd w:val="clear" w:color="auto" w:fill="FFFFFF"/>
        </w:rPr>
        <w:t xml:space="preserve"> un 81.</w:t>
      </w:r>
      <w:r w:rsidR="0027682F" w:rsidRPr="00767B8D">
        <w:rPr>
          <w:shd w:val="clear" w:color="auto" w:fill="FFFFFF"/>
          <w:vertAlign w:val="superscript"/>
        </w:rPr>
        <w:t>1</w:t>
      </w:r>
      <w:r w:rsidR="0027682F" w:rsidRPr="00767B8D">
        <w:rPr>
          <w:shd w:val="clear" w:color="auto" w:fill="FFFFFF"/>
        </w:rPr>
        <w:t> pant</w:t>
      </w:r>
      <w:r w:rsidR="00F40062">
        <w:rPr>
          <w:shd w:val="clear" w:color="auto" w:fill="FFFFFF"/>
        </w:rPr>
        <w:t>ā paredzētajos noziedzīgajos nodarījumos</w:t>
      </w:r>
      <w:r w:rsidR="007A7415" w:rsidRPr="00767B8D">
        <w:rPr>
          <w:shd w:val="clear" w:color="auto" w:fill="FFFFFF"/>
        </w:rPr>
        <w:t xml:space="preserve"> un izbeigt kriminālprocesu</w:t>
      </w:r>
      <w:r w:rsidR="00046530" w:rsidRPr="00767B8D">
        <w:rPr>
          <w:shd w:val="clear" w:color="auto" w:fill="FFFFFF"/>
        </w:rPr>
        <w:t>.</w:t>
      </w:r>
    </w:p>
    <w:p w14:paraId="6E84940E" w14:textId="7411D1C1" w:rsidR="00AE3CB0" w:rsidRPr="00767B8D" w:rsidRDefault="00AE3CB0" w:rsidP="00084EF9">
      <w:pPr>
        <w:pStyle w:val="NormalWeb"/>
        <w:shd w:val="clear" w:color="auto" w:fill="FFFFFF"/>
        <w:spacing w:before="0" w:beforeAutospacing="0" w:after="0" w:afterAutospacing="0" w:line="276" w:lineRule="auto"/>
        <w:ind w:firstLine="720"/>
        <w:jc w:val="both"/>
      </w:pPr>
      <w:r w:rsidRPr="00767B8D">
        <w:t xml:space="preserve">Kasācijas </w:t>
      </w:r>
      <w:r w:rsidR="00084EF9" w:rsidRPr="00767B8D">
        <w:t>sūdzībā</w:t>
      </w:r>
      <w:r w:rsidRPr="00767B8D">
        <w:t xml:space="preserve"> izteikto lūgumu </w:t>
      </w:r>
      <w:r w:rsidR="00084EF9" w:rsidRPr="00767B8D">
        <w:t>apsūdzētais</w:t>
      </w:r>
      <w:r w:rsidRPr="00767B8D">
        <w:t xml:space="preserve"> pamatojis ar turpmāk norādītajiem argumentiem.</w:t>
      </w:r>
    </w:p>
    <w:p w14:paraId="6767F939" w14:textId="28E6E30D" w:rsidR="006C3176" w:rsidRPr="00347497" w:rsidRDefault="005F58DE" w:rsidP="00566B6E">
      <w:pPr>
        <w:pStyle w:val="NormalWeb"/>
        <w:shd w:val="clear" w:color="auto" w:fill="FFFFFF"/>
        <w:spacing w:before="0" w:beforeAutospacing="0" w:after="0" w:afterAutospacing="0" w:line="276" w:lineRule="auto"/>
        <w:ind w:firstLine="720"/>
        <w:jc w:val="both"/>
      </w:pPr>
      <w:r w:rsidRPr="00767B8D">
        <w:rPr>
          <w:shd w:val="clear" w:color="auto" w:fill="FFFFFF"/>
        </w:rPr>
        <w:t>[4.1]</w:t>
      </w:r>
      <w:r w:rsidR="008E0F0D" w:rsidRPr="00767B8D">
        <w:rPr>
          <w:shd w:val="clear" w:color="auto" w:fill="FFFFFF"/>
        </w:rPr>
        <w:t> </w:t>
      </w:r>
      <w:r w:rsidR="00532775" w:rsidRPr="00767B8D">
        <w:t>T</w:t>
      </w:r>
      <w:r w:rsidR="00552DF3" w:rsidRPr="00767B8D">
        <w:t xml:space="preserve">iesa </w:t>
      </w:r>
      <w:r w:rsidR="009B2917" w:rsidRPr="00767B8D">
        <w:t xml:space="preserve">nepamatoti </w:t>
      </w:r>
      <w:r w:rsidR="00532775" w:rsidRPr="00767B8D">
        <w:t xml:space="preserve">apsūdzētā </w:t>
      </w:r>
      <w:r w:rsidR="00DF0D56">
        <w:t>[pers. A]</w:t>
      </w:r>
      <w:r w:rsidR="00532775" w:rsidRPr="00767B8D">
        <w:t xml:space="preserve"> </w:t>
      </w:r>
      <w:r w:rsidR="00552DF3" w:rsidRPr="00767B8D">
        <w:t xml:space="preserve">vainīguma </w:t>
      </w:r>
      <w:r w:rsidR="00541E0C" w:rsidRPr="00767B8D">
        <w:t xml:space="preserve">pierādīšanā </w:t>
      </w:r>
      <w:r w:rsidR="00532775" w:rsidRPr="00767B8D">
        <w:t xml:space="preserve">pēc Krimināllikuma 78. panta otrās daļas </w:t>
      </w:r>
      <w:r w:rsidR="009B2917" w:rsidRPr="00767B8D">
        <w:t xml:space="preserve">izmantojusi </w:t>
      </w:r>
      <w:r w:rsidR="00552DF3" w:rsidRPr="00767B8D">
        <w:t>šādas ziņas par faktiem</w:t>
      </w:r>
      <w:r w:rsidR="00A803C6" w:rsidRPr="00767B8D">
        <w:t>: 1) </w:t>
      </w:r>
      <w:r w:rsidR="00DF0D56">
        <w:t>[pers. A]</w:t>
      </w:r>
      <w:r w:rsidR="00F32F3A" w:rsidRPr="00767B8D">
        <w:t xml:space="preserve"> 2018. gada 21. aprīlī sniegtās liecības, kas iegūtas pret viņu pielietotās spīdzināšanas rezultātā</w:t>
      </w:r>
      <w:r w:rsidR="00A803C6" w:rsidRPr="00767B8D">
        <w:t>;</w:t>
      </w:r>
      <w:r w:rsidR="00F40062">
        <w:t xml:space="preserve"> </w:t>
      </w:r>
      <w:r w:rsidR="00A803C6" w:rsidRPr="00767B8D">
        <w:t>2) r</w:t>
      </w:r>
      <w:r w:rsidR="00E71AED" w:rsidRPr="00767B8D">
        <w:t>adiostacijas</w:t>
      </w:r>
      <w:r w:rsidR="00F40062">
        <w:t xml:space="preserve"> </w:t>
      </w:r>
      <w:r w:rsidR="00E71AED" w:rsidRPr="00767B8D">
        <w:t>„</w:t>
      </w:r>
      <w:r w:rsidR="003833C5">
        <w:t>[Nosaukums A]</w:t>
      </w:r>
      <w:r w:rsidR="00E71AED" w:rsidRPr="00767B8D">
        <w:t>” raidījum</w:t>
      </w:r>
      <w:r w:rsidR="007C6B64" w:rsidRPr="00767B8D">
        <w:t>ā</w:t>
      </w:r>
      <w:r w:rsidR="00F40062">
        <w:t xml:space="preserve"> </w:t>
      </w:r>
      <w:r w:rsidR="00E71AED" w:rsidRPr="00767B8D">
        <w:t>„</w:t>
      </w:r>
      <w:r w:rsidR="003833C5">
        <w:t>[Nosaukums]</w:t>
      </w:r>
      <w:r w:rsidR="00E71AED" w:rsidRPr="00767B8D">
        <w:t>”</w:t>
      </w:r>
      <w:r w:rsidR="007C6B64" w:rsidRPr="00767B8D">
        <w:t xml:space="preserve"> </w:t>
      </w:r>
      <w:r w:rsidR="009924A6" w:rsidRPr="00767B8D">
        <w:t>paustos izteikumus</w:t>
      </w:r>
      <w:r w:rsidR="00DE6040" w:rsidRPr="00767B8D">
        <w:t xml:space="preserve">, </w:t>
      </w:r>
      <w:r w:rsidR="0090192B" w:rsidRPr="00767B8D">
        <w:t>neņemot vērā, ka tie</w:t>
      </w:r>
      <w:r w:rsidR="006C3176" w:rsidRPr="00767B8D">
        <w:t xml:space="preserve"> </w:t>
      </w:r>
      <w:r w:rsidR="00B147A2" w:rsidRPr="00767B8D">
        <w:t>izteikti</w:t>
      </w:r>
      <w:r w:rsidR="006C3176" w:rsidRPr="00767B8D">
        <w:t xml:space="preserve"> publiskas diskusijas ietvaros un </w:t>
      </w:r>
      <w:r w:rsidR="007C6B64" w:rsidRPr="00767B8D">
        <w:t>to</w:t>
      </w:r>
      <w:r w:rsidR="006C3176" w:rsidRPr="00767B8D">
        <w:t xml:space="preserve"> dalībnieki ir aizsargājami ar </w:t>
      </w:r>
      <w:r w:rsidR="00C177A3">
        <w:t xml:space="preserve">Latvijas Republikas </w:t>
      </w:r>
      <w:r w:rsidR="006C3176" w:rsidRPr="00767B8D">
        <w:t xml:space="preserve">Satversmē </w:t>
      </w:r>
      <w:r w:rsidR="00566B6E">
        <w:t>(turpmāk – Satversm</w:t>
      </w:r>
      <w:r w:rsidR="000D53ED">
        <w:t>e</w:t>
      </w:r>
      <w:r w:rsidR="00566B6E">
        <w:t xml:space="preserve">) </w:t>
      </w:r>
      <w:r w:rsidR="006C3176" w:rsidRPr="00767B8D">
        <w:t>garantēto vārda brīvību</w:t>
      </w:r>
      <w:r w:rsidR="00A803C6" w:rsidRPr="00767B8D">
        <w:t>;</w:t>
      </w:r>
      <w:r w:rsidR="00F40062">
        <w:t xml:space="preserve"> </w:t>
      </w:r>
      <w:r w:rsidR="00A803C6" w:rsidRPr="00767B8D">
        <w:t>3) a</w:t>
      </w:r>
      <w:r w:rsidR="007A2822" w:rsidRPr="00767B8D">
        <w:t>paļā galda diskusijas materiā</w:t>
      </w:r>
      <w:r w:rsidR="00DE6450" w:rsidRPr="00767B8D">
        <w:t>lus</w:t>
      </w:r>
      <w:r w:rsidR="007A2822" w:rsidRPr="00767B8D">
        <w:t xml:space="preserve"> (ierakstu), k</w:t>
      </w:r>
      <w:r w:rsidR="00DE6450" w:rsidRPr="00767B8D">
        <w:t xml:space="preserve">as </w:t>
      </w:r>
      <w:r w:rsidR="007A2822" w:rsidRPr="00767B8D">
        <w:t xml:space="preserve">jau iepriekš izmantoti citā kriminālprocesā </w:t>
      </w:r>
      <w:r w:rsidR="00552DF3" w:rsidRPr="00767B8D">
        <w:t>un</w:t>
      </w:r>
      <w:r w:rsidR="007A2822" w:rsidRPr="00767B8D">
        <w:t xml:space="preserve"> </w:t>
      </w:r>
      <w:r w:rsidR="00B147A2" w:rsidRPr="00767B8D">
        <w:t xml:space="preserve">to </w:t>
      </w:r>
      <w:r w:rsidR="007A2822" w:rsidRPr="00767B8D">
        <w:t xml:space="preserve">atkārtota izmantošana </w:t>
      </w:r>
      <w:r w:rsidR="000A4603" w:rsidRPr="00767B8D">
        <w:t xml:space="preserve">pārkāpj </w:t>
      </w:r>
      <w:r w:rsidR="00DE6450" w:rsidRPr="00767B8D">
        <w:t>dubultās sodīšanas nepieļaujamības principu</w:t>
      </w:r>
      <w:r w:rsidR="007A2822" w:rsidRPr="00767B8D">
        <w:t>.</w:t>
      </w:r>
    </w:p>
    <w:p w14:paraId="6047961F" w14:textId="190B150F" w:rsidR="00F618A8" w:rsidRPr="00767B8D" w:rsidRDefault="009924A6" w:rsidP="00F82EF6">
      <w:pPr>
        <w:pStyle w:val="NormalWeb"/>
        <w:shd w:val="clear" w:color="auto" w:fill="FFFFFF"/>
        <w:spacing w:before="0" w:beforeAutospacing="0" w:after="0" w:afterAutospacing="0" w:line="276" w:lineRule="auto"/>
        <w:ind w:firstLine="720"/>
        <w:jc w:val="both"/>
      </w:pPr>
      <w:r w:rsidRPr="00767B8D">
        <w:lastRenderedPageBreak/>
        <w:t>[4.</w:t>
      </w:r>
      <w:r w:rsidR="00552DF3" w:rsidRPr="00767B8D">
        <w:t>2</w:t>
      </w:r>
      <w:r w:rsidRPr="00767B8D">
        <w:t xml:space="preserve">] Apsūdzētais </w:t>
      </w:r>
      <w:r w:rsidR="00DF0D56">
        <w:t>[pers. A]</w:t>
      </w:r>
      <w:r w:rsidRPr="00767B8D">
        <w:t xml:space="preserve"> nepamatoti atzī</w:t>
      </w:r>
      <w:r w:rsidR="00352220" w:rsidRPr="00767B8D">
        <w:t>ts</w:t>
      </w:r>
      <w:r w:rsidRPr="00767B8D">
        <w:t xml:space="preserve"> par vainīgu Krimināllikuma</w:t>
      </w:r>
      <w:r w:rsidR="00F82EF6">
        <w:t> </w:t>
      </w:r>
      <w:r w:rsidRPr="00767B8D">
        <w:rPr>
          <w:shd w:val="clear" w:color="auto" w:fill="FFFFFF"/>
        </w:rPr>
        <w:t>81.</w:t>
      </w:r>
      <w:r w:rsidRPr="00767B8D">
        <w:rPr>
          <w:shd w:val="clear" w:color="auto" w:fill="FFFFFF"/>
          <w:vertAlign w:val="superscript"/>
        </w:rPr>
        <w:t>1</w:t>
      </w:r>
      <w:r w:rsidRPr="00767B8D">
        <w:rPr>
          <w:shd w:val="clear" w:color="auto" w:fill="FFFFFF"/>
        </w:rPr>
        <w:t> pantā</w:t>
      </w:r>
      <w:r w:rsidRPr="00767B8D">
        <w:t xml:space="preserve"> paredzētā noziedzīgā nodarījuma izdarīšanā</w:t>
      </w:r>
      <w:r w:rsidR="00A803C6" w:rsidRPr="00767B8D">
        <w:t>, jo: 1) </w:t>
      </w:r>
      <w:r w:rsidR="00623F16" w:rsidRPr="00767B8D">
        <w:t xml:space="preserve">lietā nav pierādījumu par </w:t>
      </w:r>
      <w:r w:rsidR="00F618A8" w:rsidRPr="00767B8D">
        <w:t xml:space="preserve">to, ka </w:t>
      </w:r>
      <w:r w:rsidR="00623F16" w:rsidRPr="00767B8D">
        <w:t xml:space="preserve">Krievijas Federācijas </w:t>
      </w:r>
      <w:proofErr w:type="spellStart"/>
      <w:r w:rsidR="00623F16" w:rsidRPr="00767B8D">
        <w:t>domnīca</w:t>
      </w:r>
      <w:proofErr w:type="spellEnd"/>
      <w:r w:rsidR="00623F16" w:rsidRPr="00767B8D">
        <w:t xml:space="preserve"> „</w:t>
      </w:r>
      <w:r w:rsidR="003833C5">
        <w:t>[Nosaukums B]</w:t>
      </w:r>
      <w:r w:rsidR="00623F16" w:rsidRPr="00767B8D">
        <w:t xml:space="preserve">” </w:t>
      </w:r>
      <w:r w:rsidR="00F618A8" w:rsidRPr="00767B8D">
        <w:t>izmaksājusi honorāru</w:t>
      </w:r>
      <w:r w:rsidR="00623F16" w:rsidRPr="00767B8D">
        <w:t xml:space="preserve"> </w:t>
      </w:r>
      <w:r w:rsidR="00DF0D56">
        <w:t>[pers. A]</w:t>
      </w:r>
      <w:r w:rsidR="00F618A8" w:rsidRPr="00767B8D">
        <w:t>; 2) t</w:t>
      </w:r>
      <w:r w:rsidR="006533EE" w:rsidRPr="00767B8D">
        <w:t xml:space="preserve">iesa nepamatoti </w:t>
      </w:r>
      <w:r w:rsidR="00F618A8" w:rsidRPr="00767B8D">
        <w:t xml:space="preserve">secinājusi, ka </w:t>
      </w:r>
      <w:r w:rsidR="00DF0D56">
        <w:t>[pers. A]</w:t>
      </w:r>
      <w:r w:rsidR="006C3176" w:rsidRPr="00767B8D">
        <w:t xml:space="preserve"> </w:t>
      </w:r>
      <w:r w:rsidR="00B630AE">
        <w:t>ir saistīts ar publikāciju</w:t>
      </w:r>
      <w:r w:rsidR="006533EE" w:rsidRPr="00767B8D">
        <w:t xml:space="preserve"> </w:t>
      </w:r>
      <w:r w:rsidR="00B630AE">
        <w:t>„</w:t>
      </w:r>
      <w:r w:rsidR="003833C5">
        <w:t>[Nosaukums C]</w:t>
      </w:r>
      <w:r w:rsidR="00B630AE">
        <w:t>”</w:t>
      </w:r>
      <w:r w:rsidR="00347497">
        <w:t>, turklāt</w:t>
      </w:r>
      <w:r w:rsidR="00B630AE">
        <w:t xml:space="preserve"> </w:t>
      </w:r>
      <w:r w:rsidR="00F618A8" w:rsidRPr="00767B8D">
        <w:t>t</w:t>
      </w:r>
      <w:r w:rsidR="00B630AE">
        <w:t>ās</w:t>
      </w:r>
      <w:r w:rsidR="00F415E1" w:rsidRPr="00767B8D">
        <w:t xml:space="preserve"> saturs neatspoguļo apsūdzētā paša uzskatus</w:t>
      </w:r>
      <w:r w:rsidR="00F618A8" w:rsidRPr="00767B8D">
        <w:t xml:space="preserve">; 3) apelācijas instances tiesa nepamatoti </w:t>
      </w:r>
      <w:r w:rsidR="007C6B64" w:rsidRPr="00767B8D">
        <w:t>kratīšanā izņemtos naud</w:t>
      </w:r>
      <w:r w:rsidR="00F40062">
        <w:t>as</w:t>
      </w:r>
      <w:r w:rsidR="00463FFD" w:rsidRPr="00767B8D">
        <w:t xml:space="preserve"> </w:t>
      </w:r>
      <w:r w:rsidR="00F40062">
        <w:t xml:space="preserve">līdzekļus </w:t>
      </w:r>
      <w:r w:rsidR="007C6B64" w:rsidRPr="00767B8D">
        <w:t>atzinusi par noziedzīgi iegūtiem</w:t>
      </w:r>
      <w:r w:rsidR="00F618A8" w:rsidRPr="00767B8D">
        <w:t xml:space="preserve">, </w:t>
      </w:r>
      <w:r w:rsidR="00F40062">
        <w:t>pamatojoties</w:t>
      </w:r>
      <w:r w:rsidR="00F40062" w:rsidRPr="00767B8D">
        <w:t xml:space="preserve"> </w:t>
      </w:r>
      <w:r w:rsidR="00F618A8" w:rsidRPr="00767B8D">
        <w:t>uz to, ka izņemtās 100 </w:t>
      </w:r>
      <w:r w:rsidR="00F618A8" w:rsidRPr="00767B8D">
        <w:rPr>
          <w:i/>
          <w:iCs/>
        </w:rPr>
        <w:t>euro</w:t>
      </w:r>
      <w:r w:rsidR="00F618A8" w:rsidRPr="00767B8D">
        <w:t xml:space="preserve"> banknotes ir ar secīgiem identifikācijas numuriem</w:t>
      </w:r>
      <w:r w:rsidR="007C6B64" w:rsidRPr="00767B8D">
        <w:t>;</w:t>
      </w:r>
      <w:r w:rsidR="00F618A8" w:rsidRPr="00767B8D">
        <w:t xml:space="preserve"> </w:t>
      </w:r>
      <w:r w:rsidR="007C6B64" w:rsidRPr="00767B8D">
        <w:t>4) k</w:t>
      </w:r>
      <w:r w:rsidR="00F618A8" w:rsidRPr="00767B8D">
        <w:t>ratīšan</w:t>
      </w:r>
      <w:r w:rsidR="007C6B64" w:rsidRPr="00767B8D">
        <w:t>as protokolā</w:t>
      </w:r>
      <w:r w:rsidR="00F618A8" w:rsidRPr="00767B8D">
        <w:t xml:space="preserve"> </w:t>
      </w:r>
      <w:r w:rsidR="007C6B64" w:rsidRPr="00767B8D">
        <w:t xml:space="preserve">netika fiksēti </w:t>
      </w:r>
      <w:r w:rsidR="00F618A8" w:rsidRPr="00767B8D">
        <w:t>banknošu numuri, tādējādi nav pierādīts, ka apskatē uzskaitītās banknotes ir tās pašas, kas izņemtas kratīšanā.</w:t>
      </w:r>
    </w:p>
    <w:p w14:paraId="5D70B41E" w14:textId="21E6B582" w:rsidR="00A77885" w:rsidRPr="00767B8D" w:rsidRDefault="00C522CA" w:rsidP="00A77885">
      <w:pPr>
        <w:pStyle w:val="NormalWeb"/>
        <w:shd w:val="clear" w:color="auto" w:fill="FFFFFF"/>
        <w:spacing w:before="0" w:beforeAutospacing="0" w:after="0" w:afterAutospacing="0" w:line="276" w:lineRule="auto"/>
        <w:ind w:firstLine="720"/>
        <w:jc w:val="both"/>
      </w:pPr>
      <w:r w:rsidRPr="00767B8D">
        <w:t>[4.</w:t>
      </w:r>
      <w:r w:rsidR="00552DF3" w:rsidRPr="00767B8D">
        <w:t>3</w:t>
      </w:r>
      <w:r w:rsidRPr="00767B8D">
        <w:t>]</w:t>
      </w:r>
      <w:r w:rsidR="000F73ED" w:rsidRPr="00767B8D">
        <w:t> </w:t>
      </w:r>
      <w:r w:rsidR="00A07425" w:rsidRPr="00767B8D">
        <w:t xml:space="preserve">Pirmstiesas procesā un pirmās instances tiesā </w:t>
      </w:r>
      <w:r w:rsidR="00F40062">
        <w:t xml:space="preserve">nepamatoti </w:t>
      </w:r>
      <w:r w:rsidR="00A07425" w:rsidRPr="00767B8D">
        <w:t>noraidīt</w:t>
      </w:r>
      <w:r w:rsidR="00DB652D" w:rsidRPr="00767B8D">
        <w:t>i</w:t>
      </w:r>
      <w:r w:rsidR="00A07425" w:rsidRPr="00767B8D">
        <w:t xml:space="preserve"> apsūdzētā lūgum</w:t>
      </w:r>
      <w:r w:rsidR="00DB652D" w:rsidRPr="00767B8D">
        <w:t>i</w:t>
      </w:r>
      <w:r w:rsidR="00A07425" w:rsidRPr="00767B8D">
        <w:t xml:space="preserve"> pievienot lietas materiāliem viņa </w:t>
      </w:r>
      <w:r w:rsidR="002314CA" w:rsidRPr="00767B8D">
        <w:t xml:space="preserve">zinātniskās </w:t>
      </w:r>
      <w:r w:rsidR="00A07425" w:rsidRPr="00767B8D">
        <w:t>publikācijas</w:t>
      </w:r>
      <w:r w:rsidR="00DB652D" w:rsidRPr="00767B8D">
        <w:t xml:space="preserve"> kā pierādījumus kriminālprocesā</w:t>
      </w:r>
      <w:r w:rsidR="00A07425" w:rsidRPr="00767B8D">
        <w:t xml:space="preserve">, </w:t>
      </w:r>
      <w:r w:rsidR="002314CA" w:rsidRPr="00767B8D">
        <w:t>k</w:t>
      </w:r>
      <w:r w:rsidR="009304E0" w:rsidRPr="00767B8D">
        <w:t>a</w:t>
      </w:r>
      <w:r w:rsidR="002314CA" w:rsidRPr="00767B8D">
        <w:t>s būtu nozīmīgas apsūdzības pēc Krimināllikuma 81.</w:t>
      </w:r>
      <w:r w:rsidR="002314CA" w:rsidRPr="00767B8D">
        <w:rPr>
          <w:vertAlign w:val="superscript"/>
        </w:rPr>
        <w:t>1</w:t>
      </w:r>
      <w:r w:rsidR="002314CA" w:rsidRPr="00767B8D">
        <w:t xml:space="preserve"> panta izvērtēšanai, </w:t>
      </w:r>
      <w:r w:rsidR="00A07425" w:rsidRPr="00767B8D">
        <w:t xml:space="preserve">tādējādi </w:t>
      </w:r>
      <w:r w:rsidR="00F40062">
        <w:t xml:space="preserve">tiesa </w:t>
      </w:r>
      <w:r w:rsidR="00F40062" w:rsidRPr="00767B8D">
        <w:t>pārkāp</w:t>
      </w:r>
      <w:r w:rsidR="00F40062">
        <w:t>usi</w:t>
      </w:r>
      <w:r w:rsidR="00F40062" w:rsidRPr="00767B8D">
        <w:t xml:space="preserve"> </w:t>
      </w:r>
      <w:r w:rsidR="00DF0D56">
        <w:t>[pers. A]</w:t>
      </w:r>
      <w:r w:rsidR="00A51A1A" w:rsidRPr="00767B8D">
        <w:t xml:space="preserve"> </w:t>
      </w:r>
      <w:r w:rsidR="007C6B64" w:rsidRPr="00767B8D">
        <w:t xml:space="preserve">tiesības </w:t>
      </w:r>
      <w:r w:rsidR="00A51A1A" w:rsidRPr="00767B8D">
        <w:t>pilnvērtīg</w:t>
      </w:r>
      <w:r w:rsidR="007C6B64" w:rsidRPr="00767B8D">
        <w:t>i</w:t>
      </w:r>
      <w:r w:rsidR="00A51A1A" w:rsidRPr="00767B8D">
        <w:t xml:space="preserve"> īstenot savu aizstāvību.</w:t>
      </w:r>
    </w:p>
    <w:p w14:paraId="5D6733A5" w14:textId="77777777" w:rsidR="00A77885" w:rsidRPr="00767B8D" w:rsidRDefault="00A77885" w:rsidP="00A77885">
      <w:pPr>
        <w:pStyle w:val="NormalWeb"/>
        <w:shd w:val="clear" w:color="auto" w:fill="FFFFFF"/>
        <w:spacing w:before="0" w:beforeAutospacing="0" w:after="0" w:afterAutospacing="0" w:line="276" w:lineRule="auto"/>
        <w:ind w:firstLine="720"/>
        <w:jc w:val="both"/>
      </w:pPr>
    </w:p>
    <w:p w14:paraId="7DAF7841" w14:textId="77777777" w:rsidR="00447EE6" w:rsidRPr="00767B8D" w:rsidRDefault="00447EE6" w:rsidP="00C76E1D">
      <w:pPr>
        <w:shd w:val="clear" w:color="auto" w:fill="FFFFFF"/>
        <w:spacing w:line="276" w:lineRule="auto"/>
        <w:jc w:val="center"/>
      </w:pPr>
      <w:r w:rsidRPr="00767B8D">
        <w:rPr>
          <w:b/>
        </w:rPr>
        <w:t>Motīvu daļa</w:t>
      </w:r>
    </w:p>
    <w:p w14:paraId="1A249D7D" w14:textId="77777777" w:rsidR="00A656FE" w:rsidRPr="00767B8D" w:rsidRDefault="00A656FE" w:rsidP="00C76E1D">
      <w:pPr>
        <w:shd w:val="clear" w:color="auto" w:fill="FFFFFF"/>
        <w:spacing w:line="276" w:lineRule="auto"/>
        <w:ind w:firstLine="720"/>
        <w:jc w:val="both"/>
      </w:pPr>
    </w:p>
    <w:p w14:paraId="3AF78C79" w14:textId="3ED55FFD" w:rsidR="006239A8" w:rsidRPr="00767B8D" w:rsidRDefault="00447EE6" w:rsidP="00B62435">
      <w:pPr>
        <w:shd w:val="clear" w:color="auto" w:fill="FFFFFF"/>
        <w:spacing w:line="276" w:lineRule="auto"/>
        <w:ind w:firstLine="720"/>
        <w:jc w:val="both"/>
      </w:pPr>
      <w:r w:rsidRPr="00767B8D">
        <w:t>[</w:t>
      </w:r>
      <w:r w:rsidR="00F13D77" w:rsidRPr="00767B8D">
        <w:t>5</w:t>
      </w:r>
      <w:r w:rsidRPr="00767B8D">
        <w:t>]</w:t>
      </w:r>
      <w:r w:rsidR="00FA50B8" w:rsidRPr="00767B8D">
        <w:t> </w:t>
      </w:r>
      <w:r w:rsidR="006239A8" w:rsidRPr="006239A8">
        <w:t xml:space="preserve">Senāts atzīst, ka izskatāmajā lietā vispirms ir jāizvērtē, vai apelācijas instances tiesa, atzīstot apsūdzēto </w:t>
      </w:r>
      <w:r w:rsidR="00DF0D56">
        <w:t>[pers. A]</w:t>
      </w:r>
      <w:r w:rsidR="006239A8" w:rsidRPr="006239A8">
        <w:t xml:space="preserve"> par vainīgu pret viņu celtajā apsūdzībā pēc Krimināllikuma</w:t>
      </w:r>
      <w:r w:rsidR="006239A8">
        <w:t> </w:t>
      </w:r>
      <w:r w:rsidR="006239A8" w:rsidRPr="006239A8">
        <w:t>78. panta otrās daļas, savus atzinumus ir pamatojusi atbilstoši Kriminālprocesa likuma 564. panta ceturtajai daļai.</w:t>
      </w:r>
    </w:p>
    <w:p w14:paraId="64AD763A" w14:textId="3B8365FD" w:rsidR="00F94C5F" w:rsidRPr="00767B8D" w:rsidRDefault="00387A23" w:rsidP="00F94C5F">
      <w:pPr>
        <w:shd w:val="clear" w:color="auto" w:fill="FFFFFF"/>
        <w:spacing w:line="276" w:lineRule="auto"/>
        <w:ind w:firstLine="720"/>
        <w:jc w:val="both"/>
      </w:pPr>
      <w:r w:rsidRPr="00767B8D">
        <w:t>[5.1]</w:t>
      </w:r>
      <w:r w:rsidR="00F94C5F" w:rsidRPr="00767B8D">
        <w:t> Kriminālprocesa likuma 511.</w:t>
      </w:r>
      <w:r w:rsidR="00495578" w:rsidRPr="00767B8D">
        <w:t> </w:t>
      </w:r>
      <w:r w:rsidR="00F94C5F" w:rsidRPr="00767B8D">
        <w:t xml:space="preserve">panta otrā daļa </w:t>
      </w:r>
      <w:r w:rsidR="00F4087D" w:rsidRPr="00767B8D">
        <w:t>noteic</w:t>
      </w:r>
      <w:r w:rsidR="00F94C5F" w:rsidRPr="00767B8D">
        <w:t>, ka spriedumam jābūt tiesiskam un pamatotam.</w:t>
      </w:r>
      <w:r w:rsidR="00172A4C" w:rsidRPr="00767B8D">
        <w:t xml:space="preserve"> Spriedums ir tiesisks un pamatots, ja tas atbilst Kriminālprocesa likuma 512. panta nosacījumiem.</w:t>
      </w:r>
    </w:p>
    <w:p w14:paraId="34EFDF56" w14:textId="4F3FD1B7" w:rsidR="006E2B5C" w:rsidRPr="00767B8D" w:rsidRDefault="00172A4C" w:rsidP="006E2B5C">
      <w:pPr>
        <w:widowControl w:val="0"/>
        <w:tabs>
          <w:tab w:val="left" w:pos="709"/>
        </w:tabs>
        <w:spacing w:line="276" w:lineRule="auto"/>
        <w:ind w:firstLine="680"/>
        <w:jc w:val="both"/>
      </w:pPr>
      <w:r w:rsidRPr="00767B8D">
        <w:t xml:space="preserve">Savukārt prasība par sprieduma pamatotību izriet no </w:t>
      </w:r>
      <w:r w:rsidR="00F4087D" w:rsidRPr="00767B8D">
        <w:t>Kriminālprocesa likuma</w:t>
      </w:r>
      <w:r w:rsidR="00F40062">
        <w:t> </w:t>
      </w:r>
      <w:r w:rsidR="00F4087D" w:rsidRPr="00767B8D">
        <w:t>564. pant</w:t>
      </w:r>
      <w:r w:rsidRPr="00767B8D">
        <w:t xml:space="preserve">a ceturtajā daļā noteiktā, proti, ka apelācijas instances tiesas </w:t>
      </w:r>
      <w:r w:rsidR="00F94C5F" w:rsidRPr="00767B8D">
        <w:t xml:space="preserve">nolēmuma motīvu daļā </w:t>
      </w:r>
      <w:r w:rsidR="00F4087D" w:rsidRPr="00767B8D">
        <w:t>norādāms</w:t>
      </w:r>
      <w:r w:rsidR="00F94C5F" w:rsidRPr="00767B8D">
        <w:t xml:space="preserve">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E2534E8" w14:textId="05589403" w:rsidR="00F4087D" w:rsidRPr="00767B8D" w:rsidRDefault="00F4087D" w:rsidP="00F4087D">
      <w:pPr>
        <w:widowControl w:val="0"/>
        <w:tabs>
          <w:tab w:val="left" w:pos="709"/>
        </w:tabs>
        <w:spacing w:line="276" w:lineRule="auto"/>
        <w:ind w:firstLine="680"/>
        <w:jc w:val="both"/>
      </w:pPr>
      <w:r w:rsidRPr="00767B8D">
        <w:t>Senāts jau iepriekš ir norādījis,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767B8D">
        <w:rPr>
          <w:i/>
          <w:iCs/>
        </w:rPr>
        <w:t>Senāta 2017. gada 10. oktobra lēmuma lietā Nr. SKK</w:t>
      </w:r>
      <w:r w:rsidRPr="00767B8D">
        <w:rPr>
          <w:i/>
          <w:iCs/>
        </w:rPr>
        <w:noBreakHyphen/>
        <w:t xml:space="preserve">532/2017, </w:t>
      </w:r>
      <w:hyperlink r:id="rId8" w:history="1">
        <w:r w:rsidRPr="00767B8D">
          <w:rPr>
            <w:rStyle w:val="Hyperlink"/>
            <w:i/>
            <w:iCs/>
          </w:rPr>
          <w:t>ECLI:LV:AT:2017:1010.15830406610.1.L</w:t>
        </w:r>
      </w:hyperlink>
      <w:r w:rsidRPr="00767B8D">
        <w:rPr>
          <w:i/>
          <w:iCs/>
        </w:rPr>
        <w:t>, 9.1.</w:t>
      </w:r>
      <w:r w:rsidR="00D87234" w:rsidRPr="00767B8D">
        <w:rPr>
          <w:i/>
          <w:iCs/>
        </w:rPr>
        <w:t> </w:t>
      </w:r>
      <w:r w:rsidRPr="00767B8D">
        <w:rPr>
          <w:i/>
          <w:iCs/>
        </w:rPr>
        <w:t>punkts</w:t>
      </w:r>
      <w:r w:rsidRPr="00767B8D">
        <w:t>).</w:t>
      </w:r>
    </w:p>
    <w:p w14:paraId="495A0039" w14:textId="2385C05D" w:rsidR="00F4087D" w:rsidRPr="00767B8D" w:rsidRDefault="00F4087D" w:rsidP="006E2B5C">
      <w:pPr>
        <w:widowControl w:val="0"/>
        <w:tabs>
          <w:tab w:val="left" w:pos="709"/>
        </w:tabs>
        <w:spacing w:line="276" w:lineRule="auto"/>
        <w:ind w:firstLine="680"/>
        <w:jc w:val="both"/>
      </w:pPr>
      <w:r w:rsidRPr="00767B8D">
        <w:t xml:space="preserve">Pamatojuma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w:t>
      </w:r>
      <w:r w:rsidRPr="00767B8D">
        <w:lastRenderedPageBreak/>
        <w:t>argumenti ir izvērtēti (</w:t>
      </w:r>
      <w:r w:rsidRPr="00767B8D">
        <w:rPr>
          <w:i/>
          <w:iCs/>
        </w:rPr>
        <w:t>Senāta 2022. gada 5. jūlija lēmuma lietā Nr. SKK</w:t>
      </w:r>
      <w:r w:rsidRPr="00767B8D">
        <w:rPr>
          <w:i/>
          <w:iCs/>
        </w:rPr>
        <w:noBreakHyphen/>
        <w:t xml:space="preserve">1/2022, </w:t>
      </w:r>
      <w:hyperlink r:id="rId9" w:history="1">
        <w:r w:rsidRPr="00767B8D">
          <w:rPr>
            <w:rStyle w:val="Hyperlink"/>
            <w:i/>
            <w:iCs/>
          </w:rPr>
          <w:t>ECLI:LV:AT:2022:0705.11816006914.4.L</w:t>
        </w:r>
      </w:hyperlink>
      <w:r w:rsidRPr="00767B8D">
        <w:rPr>
          <w:i/>
          <w:iCs/>
        </w:rPr>
        <w:t>, 18. punkts</w:t>
      </w:r>
      <w:r w:rsidRPr="00767B8D">
        <w:t>).</w:t>
      </w:r>
    </w:p>
    <w:p w14:paraId="097035FD" w14:textId="23E3D3C5" w:rsidR="00191D97" w:rsidRPr="00767B8D" w:rsidRDefault="006E2B5C" w:rsidP="006A0E5D">
      <w:pPr>
        <w:widowControl w:val="0"/>
        <w:spacing w:line="276" w:lineRule="auto"/>
        <w:ind w:firstLine="709"/>
        <w:jc w:val="both"/>
      </w:pPr>
      <w:r w:rsidRPr="00767B8D">
        <w:t xml:space="preserve">Senāts atzīst, ka apelācijas instances tiesa, iztiesājot lietu, minētās tiesību normas </w:t>
      </w:r>
      <w:r w:rsidR="00F4087D" w:rsidRPr="00767B8D">
        <w:t>un</w:t>
      </w:r>
      <w:r w:rsidR="00DA1CB0" w:rsidRPr="00767B8D">
        <w:t xml:space="preserve"> </w:t>
      </w:r>
      <w:r w:rsidR="00F4087D" w:rsidRPr="00767B8D">
        <w:t xml:space="preserve">judikatūrā paustās atziņas </w:t>
      </w:r>
      <w:r w:rsidRPr="00767B8D">
        <w:t>nav ievērojusi.</w:t>
      </w:r>
    </w:p>
    <w:p w14:paraId="398339CA" w14:textId="3FE9EB72" w:rsidR="00FE3544" w:rsidRPr="00767B8D" w:rsidRDefault="00E32E94" w:rsidP="00FE3544">
      <w:pPr>
        <w:widowControl w:val="0"/>
        <w:spacing w:line="276" w:lineRule="auto"/>
        <w:ind w:firstLine="709"/>
        <w:jc w:val="both"/>
      </w:pPr>
      <w:r w:rsidRPr="00767B8D">
        <w:t>[5.2]</w:t>
      </w:r>
      <w:r w:rsidR="00990CDF" w:rsidRPr="00767B8D">
        <w:t> </w:t>
      </w:r>
      <w:r w:rsidR="000E0535" w:rsidRPr="00767B8D">
        <w:t xml:space="preserve">Pirmās instances tiesa atzinusi, ka lietā pārbaudītie pierādījumi ir pieļaujami, savstarpēji atbilstoši un pietiekami </w:t>
      </w:r>
      <w:r w:rsidR="00DF0D56">
        <w:t>[pers. A]</w:t>
      </w:r>
      <w:r w:rsidR="000E0535" w:rsidRPr="00767B8D">
        <w:t xml:space="preserve"> vain</w:t>
      </w:r>
      <w:r w:rsidR="00C177A3">
        <w:t>īguma</w:t>
      </w:r>
      <w:r w:rsidR="000E0535" w:rsidRPr="00767B8D">
        <w:t xml:space="preserve"> pierādīšanai Krimināllikuma 78. panta otr</w:t>
      </w:r>
      <w:r w:rsidR="0002001D" w:rsidRPr="00767B8D">
        <w:t>ajā daļā</w:t>
      </w:r>
      <w:r w:rsidR="000E0535" w:rsidRPr="00767B8D">
        <w:t>, 80. panta pirm</w:t>
      </w:r>
      <w:r w:rsidR="0002001D" w:rsidRPr="00767B8D">
        <w:t>ajā</w:t>
      </w:r>
      <w:r w:rsidR="000E0535" w:rsidRPr="00767B8D">
        <w:t xml:space="preserve"> daļ</w:t>
      </w:r>
      <w:r w:rsidR="0002001D" w:rsidRPr="00767B8D">
        <w:t>ā</w:t>
      </w:r>
      <w:r w:rsidR="000E0535" w:rsidRPr="00767B8D">
        <w:t xml:space="preserve"> un 81.</w:t>
      </w:r>
      <w:r w:rsidR="000E0535" w:rsidRPr="00767B8D">
        <w:rPr>
          <w:vertAlign w:val="superscript"/>
        </w:rPr>
        <w:t>1</w:t>
      </w:r>
      <w:r w:rsidR="000E0535" w:rsidRPr="00767B8D">
        <w:t> pant</w:t>
      </w:r>
      <w:r w:rsidR="0002001D" w:rsidRPr="00767B8D">
        <w:t xml:space="preserve">ā paredzēto noziedzīgo nodarījumu izdarīšanā. </w:t>
      </w:r>
      <w:r w:rsidR="007A7FD9" w:rsidRPr="00767B8D">
        <w:t>Vienlaikus</w:t>
      </w:r>
      <w:r w:rsidR="0034607D" w:rsidRPr="00767B8D">
        <w:t xml:space="preserve"> </w:t>
      </w:r>
      <w:r w:rsidR="007D1349">
        <w:t xml:space="preserve">tiesa </w:t>
      </w:r>
      <w:r w:rsidR="00432B62" w:rsidRPr="00767B8D">
        <w:t>atzinusi, ka</w:t>
      </w:r>
      <w:r w:rsidR="000E0535" w:rsidRPr="00767B8D">
        <w:t xml:space="preserve"> visi apsūdzībā norādītie apstākļi ir apstiprināti </w:t>
      </w:r>
      <w:r w:rsidR="00432B62" w:rsidRPr="00767B8D">
        <w:t>ar lēmumā par lietas nodošanu tiesai norādītajiem pierādījumiem, liecinieku un paša apsūdzētā liecībām.</w:t>
      </w:r>
    </w:p>
    <w:p w14:paraId="300536AB" w14:textId="1A2081BD" w:rsidR="00AA71AA" w:rsidRPr="00767B8D" w:rsidRDefault="00182E17" w:rsidP="00AA71AA">
      <w:pPr>
        <w:widowControl w:val="0"/>
        <w:spacing w:line="276" w:lineRule="auto"/>
        <w:ind w:firstLine="709"/>
        <w:jc w:val="both"/>
      </w:pPr>
      <w:r w:rsidRPr="00767B8D">
        <w:t xml:space="preserve">Pirmās instances tiesa, taisot notiesājošu spriedumu un atzīstot apsūdzēto </w:t>
      </w:r>
      <w:r w:rsidR="00DF0D56">
        <w:t>[pers. A]</w:t>
      </w:r>
      <w:r w:rsidRPr="00767B8D">
        <w:t xml:space="preserve"> par vainīgu </w:t>
      </w:r>
      <w:r w:rsidR="00362D41" w:rsidRPr="00767B8D">
        <w:t xml:space="preserve">viņam </w:t>
      </w:r>
      <w:r w:rsidRPr="00767B8D">
        <w:t>inkriminēto noziedzīgo nodarījumu izdarīšanā, apsūdzētā norādītos argumentus par</w:t>
      </w:r>
      <w:r w:rsidR="00236A0E">
        <w:t xml:space="preserve"> valsts</w:t>
      </w:r>
      <w:r w:rsidRPr="00767B8D">
        <w:t xml:space="preserve"> amatpersonu pielietoto spīdzināšanu nolūkā iegūt apsūdz</w:t>
      </w:r>
      <w:r w:rsidR="00236A0E">
        <w:t>ošus</w:t>
      </w:r>
      <w:r w:rsidRPr="00767B8D">
        <w:t xml:space="preserve"> pierādījumus atstājusi bez ievērības.</w:t>
      </w:r>
    </w:p>
    <w:p w14:paraId="34B3EBD4" w14:textId="1BABCC66" w:rsidR="000D381D" w:rsidRPr="00767B8D" w:rsidRDefault="00894862" w:rsidP="00B660B2">
      <w:pPr>
        <w:pStyle w:val="NormalWeb"/>
        <w:shd w:val="clear" w:color="auto" w:fill="FFFFFF"/>
        <w:spacing w:before="0" w:beforeAutospacing="0" w:after="0" w:afterAutospacing="0" w:line="276" w:lineRule="auto"/>
        <w:ind w:firstLine="720"/>
        <w:jc w:val="both"/>
      </w:pPr>
      <w:r>
        <w:t>[5.3]</w:t>
      </w:r>
      <w:r w:rsidR="004F60E7">
        <w:t> </w:t>
      </w:r>
      <w:r w:rsidR="000D381D" w:rsidRPr="00767B8D">
        <w:t xml:space="preserve">Apelācijas instances tiesa pirmās instances tiesas spriedumu atcēlusi daļā par </w:t>
      </w:r>
      <w:r w:rsidR="00DF0D56">
        <w:t>[pers. A]</w:t>
      </w:r>
      <w:r w:rsidR="000D381D" w:rsidRPr="00767B8D">
        <w:t xml:space="preserve"> atzīšanu par vainīgu un sodīšanu pēc Krimināllikuma 80. panta pirmās daļas un 81.</w:t>
      </w:r>
      <w:r w:rsidR="000D381D" w:rsidRPr="00767B8D">
        <w:rPr>
          <w:vertAlign w:val="superscript"/>
        </w:rPr>
        <w:t>1</w:t>
      </w:r>
      <w:r w:rsidR="000D381D" w:rsidRPr="00767B8D">
        <w:t xml:space="preserve"> panta, par galīgā soda noteikšanu saskaņā ar Krimināllikuma 50. panta pirmo daļu. </w:t>
      </w:r>
      <w:r w:rsidR="00680424">
        <w:rPr>
          <w:shd w:val="clear" w:color="auto" w:fill="FFFFFF"/>
        </w:rPr>
        <w:t xml:space="preserve">Tiesa </w:t>
      </w:r>
      <w:r w:rsidR="00DF0D56">
        <w:rPr>
          <w:shd w:val="clear" w:color="auto" w:fill="FFFFFF"/>
        </w:rPr>
        <w:t>[pers. A]</w:t>
      </w:r>
      <w:r w:rsidR="000D381D" w:rsidRPr="00767B8D">
        <w:rPr>
          <w:shd w:val="clear" w:color="auto" w:fill="FFFFFF"/>
        </w:rPr>
        <w:t xml:space="preserve"> </w:t>
      </w:r>
      <w:r w:rsidR="00680424">
        <w:rPr>
          <w:shd w:val="clear" w:color="auto" w:fill="FFFFFF"/>
        </w:rPr>
        <w:t>a</w:t>
      </w:r>
      <w:r w:rsidR="00680424" w:rsidRPr="00767B8D">
        <w:rPr>
          <w:shd w:val="clear" w:color="auto" w:fill="FFFFFF"/>
        </w:rPr>
        <w:t xml:space="preserve">tzinusi </w:t>
      </w:r>
      <w:r w:rsidR="000D381D" w:rsidRPr="00767B8D">
        <w:rPr>
          <w:shd w:val="clear" w:color="auto" w:fill="FFFFFF"/>
        </w:rPr>
        <w:t>par vainīgu Krimināllikuma 81.</w:t>
      </w:r>
      <w:r w:rsidR="000D381D" w:rsidRPr="00767B8D">
        <w:rPr>
          <w:shd w:val="clear" w:color="auto" w:fill="FFFFFF"/>
          <w:vertAlign w:val="superscript"/>
        </w:rPr>
        <w:t>1</w:t>
      </w:r>
      <w:r w:rsidR="000D381D" w:rsidRPr="00767B8D">
        <w:rPr>
          <w:shd w:val="clear" w:color="auto" w:fill="FFFFFF"/>
        </w:rPr>
        <w:t xml:space="preserve"> pantā paredzētajā noziedzīgajā nodarījumā un saskaņā ar Krimināllikuma 50. panta pirmo un trešo daļu noteikusi galīgo sodu. </w:t>
      </w:r>
      <w:r w:rsidR="00680424">
        <w:rPr>
          <w:shd w:val="clear" w:color="auto" w:fill="FFFFFF"/>
        </w:rPr>
        <w:t xml:space="preserve">Savukārt </w:t>
      </w:r>
      <w:r w:rsidR="00680424" w:rsidRPr="00767B8D">
        <w:rPr>
          <w:shd w:val="clear" w:color="auto" w:fill="FFFFFF"/>
        </w:rPr>
        <w:t xml:space="preserve">pret </w:t>
      </w:r>
      <w:r w:rsidR="00DF0D56">
        <w:rPr>
          <w:shd w:val="clear" w:color="auto" w:fill="FFFFFF"/>
        </w:rPr>
        <w:t>[pers. A]</w:t>
      </w:r>
      <w:r w:rsidR="00680424" w:rsidRPr="00767B8D">
        <w:rPr>
          <w:shd w:val="clear" w:color="auto" w:fill="FFFFFF"/>
        </w:rPr>
        <w:t xml:space="preserve"> celtajā apsūdzībā pēc Krimināllikuma 80. panta pirmās daļas </w:t>
      </w:r>
      <w:r w:rsidR="00680424">
        <w:rPr>
          <w:shd w:val="clear" w:color="auto" w:fill="FFFFFF"/>
        </w:rPr>
        <w:t xml:space="preserve">tiesa viņu </w:t>
      </w:r>
      <w:r w:rsidR="000D381D" w:rsidRPr="00767B8D">
        <w:rPr>
          <w:shd w:val="clear" w:color="auto" w:fill="FFFFFF"/>
        </w:rPr>
        <w:t>atzinusi par nevainīgu un attaisnojusi.</w:t>
      </w:r>
    </w:p>
    <w:p w14:paraId="3341B303" w14:textId="03E0EC57" w:rsidR="00B660B2" w:rsidRDefault="008D095D" w:rsidP="00DB1FA3">
      <w:pPr>
        <w:pStyle w:val="NormalWeb"/>
        <w:shd w:val="clear" w:color="auto" w:fill="FFFFFF"/>
        <w:spacing w:before="0" w:beforeAutospacing="0" w:after="0" w:afterAutospacing="0" w:line="276" w:lineRule="auto"/>
        <w:ind w:firstLine="720"/>
        <w:jc w:val="both"/>
        <w:rPr>
          <w:shd w:val="clear" w:color="auto" w:fill="FFFFFF"/>
        </w:rPr>
      </w:pPr>
      <w:r w:rsidRPr="00767B8D">
        <w:rPr>
          <w:shd w:val="clear" w:color="auto" w:fill="FFFFFF"/>
        </w:rPr>
        <w:t xml:space="preserve">Apelācijas instances tiesa </w:t>
      </w:r>
      <w:r w:rsidR="00151B71" w:rsidRPr="00767B8D">
        <w:rPr>
          <w:shd w:val="clear" w:color="auto" w:fill="FFFFFF"/>
        </w:rPr>
        <w:t>piekritusi</w:t>
      </w:r>
      <w:r w:rsidRPr="00767B8D">
        <w:rPr>
          <w:shd w:val="clear" w:color="auto" w:fill="FFFFFF"/>
        </w:rPr>
        <w:t xml:space="preserve"> pirmās instances tiesas </w:t>
      </w:r>
      <w:r w:rsidR="00151B71" w:rsidRPr="00767B8D">
        <w:rPr>
          <w:shd w:val="clear" w:color="auto" w:fill="FFFFFF"/>
        </w:rPr>
        <w:t>secinājumiem</w:t>
      </w:r>
      <w:r w:rsidRPr="00767B8D">
        <w:rPr>
          <w:shd w:val="clear" w:color="auto" w:fill="FFFFFF"/>
        </w:rPr>
        <w:t xml:space="preserve"> par </w:t>
      </w:r>
      <w:r w:rsidR="00DF0D56">
        <w:rPr>
          <w:shd w:val="clear" w:color="auto" w:fill="FFFFFF"/>
        </w:rPr>
        <w:t>[pers. A]</w:t>
      </w:r>
      <w:r w:rsidRPr="00767B8D">
        <w:rPr>
          <w:shd w:val="clear" w:color="auto" w:fill="FFFFFF"/>
        </w:rPr>
        <w:t xml:space="preserve"> vainīgumu Krimināllikuma 78. panta otrajā daļā paredzētā noziedzīgā nodarījuma izdarīšanā</w:t>
      </w:r>
      <w:r w:rsidR="00ED71A7" w:rsidRPr="00767B8D">
        <w:rPr>
          <w:shd w:val="clear" w:color="auto" w:fill="FFFFFF"/>
        </w:rPr>
        <w:t xml:space="preserve">, </w:t>
      </w:r>
      <w:r w:rsidR="001C2563" w:rsidRPr="00767B8D">
        <w:rPr>
          <w:shd w:val="clear" w:color="auto" w:fill="FFFFFF"/>
        </w:rPr>
        <w:t>neatkārto</w:t>
      </w:r>
      <w:r w:rsidR="00ED71A7" w:rsidRPr="00767B8D">
        <w:rPr>
          <w:shd w:val="clear" w:color="auto" w:fill="FFFFFF"/>
        </w:rPr>
        <w:t>jot</w:t>
      </w:r>
      <w:r w:rsidR="001C2563" w:rsidRPr="00767B8D">
        <w:rPr>
          <w:shd w:val="clear" w:color="auto" w:fill="FFFFFF"/>
        </w:rPr>
        <w:t xml:space="preserve"> pirmās instances tiesas spriedumā norādītos pierādījumus.</w:t>
      </w:r>
      <w:r w:rsidR="004F60E7">
        <w:rPr>
          <w:shd w:val="clear" w:color="auto" w:fill="FFFFFF"/>
        </w:rPr>
        <w:t xml:space="preserve"> </w:t>
      </w:r>
      <w:r w:rsidR="0080573A">
        <w:rPr>
          <w:shd w:val="clear" w:color="auto" w:fill="FFFFFF"/>
        </w:rPr>
        <w:t>T</w:t>
      </w:r>
      <w:r w:rsidR="00B3117B" w:rsidRPr="00767B8D">
        <w:rPr>
          <w:shd w:val="clear" w:color="auto" w:fill="FFFFFF"/>
        </w:rPr>
        <w:t>iesa</w:t>
      </w:r>
      <w:r w:rsidR="00396E7D" w:rsidRPr="00767B8D">
        <w:rPr>
          <w:shd w:val="clear" w:color="auto" w:fill="FFFFFF"/>
        </w:rPr>
        <w:t>,</w:t>
      </w:r>
      <w:r w:rsidR="006B5549" w:rsidRPr="00767B8D">
        <w:rPr>
          <w:shd w:val="clear" w:color="auto" w:fill="FFFFFF"/>
        </w:rPr>
        <w:t xml:space="preserve"> </w:t>
      </w:r>
      <w:r w:rsidR="00397327" w:rsidRPr="00767B8D">
        <w:rPr>
          <w:shd w:val="clear" w:color="auto" w:fill="FFFFFF"/>
        </w:rPr>
        <w:t>izvērtēj</w:t>
      </w:r>
      <w:r w:rsidR="006B5549" w:rsidRPr="00767B8D">
        <w:rPr>
          <w:shd w:val="clear" w:color="auto" w:fill="FFFFFF"/>
        </w:rPr>
        <w:t>ot</w:t>
      </w:r>
      <w:r w:rsidR="00397327" w:rsidRPr="00767B8D">
        <w:rPr>
          <w:shd w:val="clear" w:color="auto" w:fill="FFFFFF"/>
        </w:rPr>
        <w:t xml:space="preserve"> </w:t>
      </w:r>
      <w:r w:rsidR="00DF0D56">
        <w:rPr>
          <w:shd w:val="clear" w:color="auto" w:fill="FFFFFF"/>
        </w:rPr>
        <w:t>[pers. A]</w:t>
      </w:r>
      <w:r w:rsidR="00397327" w:rsidRPr="00767B8D">
        <w:rPr>
          <w:shd w:val="clear" w:color="auto" w:fill="FFFFFF"/>
        </w:rPr>
        <w:t xml:space="preserve"> iebildumu</w:t>
      </w:r>
      <w:r w:rsidR="006B5549" w:rsidRPr="00767B8D">
        <w:rPr>
          <w:shd w:val="clear" w:color="auto" w:fill="FFFFFF"/>
        </w:rPr>
        <w:t xml:space="preserve"> par to</w:t>
      </w:r>
      <w:r w:rsidR="00397327" w:rsidRPr="00767B8D">
        <w:rPr>
          <w:shd w:val="clear" w:color="auto" w:fill="FFFFFF"/>
        </w:rPr>
        <w:t>, ka viņš nav publikācijas „</w:t>
      </w:r>
      <w:r w:rsidR="00280A1B">
        <w:rPr>
          <w:shd w:val="clear" w:color="auto" w:fill="FFFFFF"/>
        </w:rPr>
        <w:t>[Nosaukums D]</w:t>
      </w:r>
      <w:r w:rsidR="00397327" w:rsidRPr="00767B8D">
        <w:rPr>
          <w:shd w:val="clear" w:color="auto" w:fill="FFFFFF"/>
        </w:rPr>
        <w:t>”</w:t>
      </w:r>
      <w:r w:rsidR="007D6028" w:rsidRPr="00767B8D">
        <w:rPr>
          <w:shd w:val="clear" w:color="auto" w:fill="FFFFFF"/>
        </w:rPr>
        <w:t xml:space="preserve"> autors</w:t>
      </w:r>
      <w:r w:rsidR="00397327" w:rsidRPr="00767B8D">
        <w:rPr>
          <w:shd w:val="clear" w:color="auto" w:fill="FFFFFF"/>
        </w:rPr>
        <w:t xml:space="preserve">, </w:t>
      </w:r>
      <w:r w:rsidR="00B3117B" w:rsidRPr="00767B8D">
        <w:rPr>
          <w:shd w:val="clear" w:color="auto" w:fill="FFFFFF"/>
        </w:rPr>
        <w:t xml:space="preserve">atsaukusies </w:t>
      </w:r>
      <w:r w:rsidR="006533D9">
        <w:rPr>
          <w:shd w:val="clear" w:color="auto" w:fill="FFFFFF"/>
        </w:rPr>
        <w:t xml:space="preserve">arī </w:t>
      </w:r>
      <w:r w:rsidR="00B3117B" w:rsidRPr="00767B8D">
        <w:rPr>
          <w:shd w:val="clear" w:color="auto" w:fill="FFFFFF"/>
        </w:rPr>
        <w:t xml:space="preserve">uz </w:t>
      </w:r>
      <w:r w:rsidR="00E04CEF" w:rsidRPr="00767B8D">
        <w:rPr>
          <w:shd w:val="clear" w:color="auto" w:fill="FFFFFF"/>
        </w:rPr>
        <w:t xml:space="preserve">viņa </w:t>
      </w:r>
      <w:r w:rsidR="00B3117B" w:rsidRPr="00767B8D">
        <w:rPr>
          <w:shd w:val="clear" w:color="auto" w:fill="FFFFFF"/>
        </w:rPr>
        <w:t xml:space="preserve">pirmstiesas procesā </w:t>
      </w:r>
      <w:r w:rsidR="00151B71" w:rsidRPr="00767B8D">
        <w:t xml:space="preserve">2018. gada 21. aprīlī </w:t>
      </w:r>
      <w:r w:rsidR="00B3117B" w:rsidRPr="00767B8D">
        <w:rPr>
          <w:shd w:val="clear" w:color="auto" w:fill="FFFFFF"/>
        </w:rPr>
        <w:t>sniegtajā</w:t>
      </w:r>
      <w:r w:rsidR="00151B71" w:rsidRPr="00767B8D">
        <w:rPr>
          <w:shd w:val="clear" w:color="auto" w:fill="FFFFFF"/>
        </w:rPr>
        <w:t>m</w:t>
      </w:r>
      <w:r w:rsidR="00B3117B" w:rsidRPr="00767B8D">
        <w:rPr>
          <w:shd w:val="clear" w:color="auto" w:fill="FFFFFF"/>
        </w:rPr>
        <w:t xml:space="preserve"> liecībām</w:t>
      </w:r>
      <w:r w:rsidR="00627D2F" w:rsidRPr="00767B8D">
        <w:rPr>
          <w:shd w:val="clear" w:color="auto" w:fill="FFFFFF"/>
        </w:rPr>
        <w:t xml:space="preserve">, kurās viņš </w:t>
      </w:r>
      <w:r w:rsidR="00E31B94" w:rsidRPr="00767B8D">
        <w:rPr>
          <w:shd w:val="clear" w:color="auto" w:fill="FFFFFF"/>
        </w:rPr>
        <w:t>atz</w:t>
      </w:r>
      <w:r w:rsidR="00357BF4" w:rsidRPr="00767B8D">
        <w:rPr>
          <w:shd w:val="clear" w:color="auto" w:fill="FFFFFF"/>
        </w:rPr>
        <w:t>in</w:t>
      </w:r>
      <w:r w:rsidR="00627D2F" w:rsidRPr="00767B8D">
        <w:rPr>
          <w:shd w:val="clear" w:color="auto" w:fill="FFFFFF"/>
        </w:rPr>
        <w:t>ies</w:t>
      </w:r>
      <w:r w:rsidR="00357BF4" w:rsidRPr="00767B8D">
        <w:rPr>
          <w:shd w:val="clear" w:color="auto" w:fill="FFFFFF"/>
        </w:rPr>
        <w:t xml:space="preserve">, ka </w:t>
      </w:r>
      <w:r w:rsidR="00627D2F" w:rsidRPr="00767B8D">
        <w:rPr>
          <w:shd w:val="clear" w:color="auto" w:fill="FFFFFF"/>
        </w:rPr>
        <w:t>minēto publikāciju</w:t>
      </w:r>
      <w:r w:rsidR="007D6028" w:rsidRPr="00767B8D">
        <w:rPr>
          <w:shd w:val="clear" w:color="auto" w:fill="FFFFFF"/>
        </w:rPr>
        <w:t xml:space="preserve"> </w:t>
      </w:r>
      <w:r w:rsidR="00B3117B" w:rsidRPr="00767B8D">
        <w:rPr>
          <w:shd w:val="clear" w:color="auto" w:fill="FFFFFF"/>
        </w:rPr>
        <w:t>sagatavojis pats</w:t>
      </w:r>
      <w:r w:rsidR="00B660B2">
        <w:rPr>
          <w:shd w:val="clear" w:color="auto" w:fill="FFFFFF"/>
        </w:rPr>
        <w:t xml:space="preserve">. </w:t>
      </w:r>
      <w:r w:rsidR="0080573A">
        <w:rPr>
          <w:shd w:val="clear" w:color="auto" w:fill="FFFFFF"/>
        </w:rPr>
        <w:t>A</w:t>
      </w:r>
      <w:r w:rsidR="00DB1FA3">
        <w:rPr>
          <w:shd w:val="clear" w:color="auto" w:fill="FFFFFF"/>
        </w:rPr>
        <w:t>rī a</w:t>
      </w:r>
      <w:r w:rsidR="0080573A">
        <w:rPr>
          <w:shd w:val="clear" w:color="auto" w:fill="FFFFFF"/>
        </w:rPr>
        <w:t xml:space="preserve">pelācijas instances tiesa </w:t>
      </w:r>
      <w:r w:rsidR="00DB1FA3">
        <w:rPr>
          <w:shd w:val="clear" w:color="auto" w:fill="FFFFFF"/>
        </w:rPr>
        <w:t xml:space="preserve">atstājusi bez ievērības </w:t>
      </w:r>
      <w:r w:rsidR="00DF0D56">
        <w:rPr>
          <w:shd w:val="clear" w:color="auto" w:fill="FFFFFF"/>
        </w:rPr>
        <w:t>[pers. A]</w:t>
      </w:r>
      <w:r w:rsidR="0080573A" w:rsidRPr="00767B8D">
        <w:rPr>
          <w:shd w:val="clear" w:color="auto" w:fill="FFFFFF"/>
        </w:rPr>
        <w:t xml:space="preserve"> </w:t>
      </w:r>
      <w:r w:rsidR="00DB1FA3">
        <w:rPr>
          <w:shd w:val="clear" w:color="auto" w:fill="FFFFFF"/>
        </w:rPr>
        <w:t>pausto argumentu</w:t>
      </w:r>
      <w:r w:rsidR="0080573A" w:rsidRPr="00767B8D">
        <w:rPr>
          <w:shd w:val="clear" w:color="auto" w:fill="FFFFFF"/>
        </w:rPr>
        <w:t>, ka minētās liecības ir sniedzis spīdzināšanas ietekmē</w:t>
      </w:r>
      <w:r w:rsidR="0080573A">
        <w:rPr>
          <w:shd w:val="clear" w:color="auto" w:fill="FFFFFF"/>
        </w:rPr>
        <w:t>.</w:t>
      </w:r>
    </w:p>
    <w:p w14:paraId="36B0134B" w14:textId="15C3DBC8" w:rsidR="00DB1FA3" w:rsidRDefault="00B660B2" w:rsidP="00DB1FA3">
      <w:pPr>
        <w:widowControl w:val="0"/>
        <w:spacing w:line="276" w:lineRule="auto"/>
        <w:ind w:firstLine="709"/>
        <w:jc w:val="both"/>
        <w:rPr>
          <w:rFonts w:cs="Arial"/>
        </w:rPr>
      </w:pPr>
      <w:r w:rsidRPr="00767B8D">
        <w:t>[5.</w:t>
      </w:r>
      <w:r w:rsidR="00132E29">
        <w:t>4</w:t>
      </w:r>
      <w:r w:rsidRPr="00767B8D">
        <w:t>] </w:t>
      </w:r>
      <w:r w:rsidR="0080573A">
        <w:t xml:space="preserve">Senāts </w:t>
      </w:r>
      <w:r w:rsidR="00DB1FA3">
        <w:t>atzīst, ka</w:t>
      </w:r>
      <w:r w:rsidR="0080573A">
        <w:t xml:space="preserve"> </w:t>
      </w:r>
      <w:r w:rsidR="00DB1FA3" w:rsidRPr="00DB1FA3">
        <w:rPr>
          <w:rFonts w:cs="Arial"/>
        </w:rPr>
        <w:t>apsūdzētā norādes par aizturēšanas laikā pret viņu iespējami pielietoto spīdzināšanu un no tās izrietošu pirmstiesas procesa laikā sniegto liecību piespiedu raksturu nav guvušas pienācīgu tiesas izvērtējumu.</w:t>
      </w:r>
    </w:p>
    <w:p w14:paraId="436956C0" w14:textId="30C0EFD7" w:rsidR="00894862" w:rsidRPr="00DB1FA3" w:rsidRDefault="00DB1FA3" w:rsidP="00DB1FA3">
      <w:pPr>
        <w:widowControl w:val="0"/>
        <w:spacing w:line="276" w:lineRule="auto"/>
        <w:ind w:firstLine="709"/>
        <w:jc w:val="both"/>
        <w:rPr>
          <w:rFonts w:cs="Arial"/>
        </w:rPr>
      </w:pPr>
      <w:r w:rsidRPr="00DB1FA3">
        <w:rPr>
          <w:rFonts w:cs="Arial"/>
        </w:rPr>
        <w:t xml:space="preserve">No lietas materiāliem izriet, ka </w:t>
      </w:r>
      <w:r w:rsidR="00DF0D56">
        <w:rPr>
          <w:rFonts w:cs="Arial"/>
        </w:rPr>
        <w:t>[pers. A]</w:t>
      </w:r>
      <w:r w:rsidRPr="00DB1FA3">
        <w:rPr>
          <w:rFonts w:cs="Arial"/>
        </w:rPr>
        <w:t xml:space="preserve"> jau </w:t>
      </w:r>
      <w:proofErr w:type="spellStart"/>
      <w:r w:rsidRPr="00DB1FA3">
        <w:rPr>
          <w:rFonts w:cs="Arial"/>
        </w:rPr>
        <w:t>pirmstiesas</w:t>
      </w:r>
      <w:proofErr w:type="spellEnd"/>
      <w:r w:rsidRPr="00DB1FA3">
        <w:rPr>
          <w:rFonts w:cs="Arial"/>
        </w:rPr>
        <w:t xml:space="preserve"> procesā sniedzis sūdzības, kurās norādījis, ka viņš ticis pakļauts spīdzināšanai ar mērķi panākt sev nelabvēlīgu atzīšanos. Pirmās instances tiesa savā spriedumā šīs apsūdzētā </w:t>
      </w:r>
      <w:r w:rsidR="00DF0D56">
        <w:rPr>
          <w:rFonts w:cs="Arial"/>
        </w:rPr>
        <w:t>[pers. A]</w:t>
      </w:r>
      <w:r w:rsidRPr="00DB1FA3">
        <w:rPr>
          <w:rFonts w:cs="Arial"/>
        </w:rPr>
        <w:t xml:space="preserve"> norādes nav analizējusi, proti, nav izvērtējusi viņa iesniegumus, kas pievienoti lietai un kuru saturs objektīvi pieprasīja pārbaudi par iespējamu cilvēktiesību pārkāpumu tiesību aizsardzības iestāžu darbībās. Apelācijas instances tiesa nav apšaubījusi apsūdzētā sniegto sūdzību faktu, tomēr izmantojusi pierādīšanā apsūdzētā sākotnējās liecības viņa vainīguma atzīšanai, neveicot analīzi par to, vai minētās liecības nav sniegtas piespiedu ietekmē un vai tās atbilst brīvas gribas principam. Apelācijas instances tiesa nav sniegusi pamatojumu, kādēļ apsūdzētā apgalvojumi par spīdzināšanu nav ņemami vērā.</w:t>
      </w:r>
    </w:p>
    <w:p w14:paraId="5D7E4B54" w14:textId="77777777" w:rsidR="004D7E0D" w:rsidRPr="00767B8D" w:rsidRDefault="00182E17" w:rsidP="00011E11">
      <w:pPr>
        <w:pStyle w:val="NormalWeb"/>
        <w:shd w:val="clear" w:color="auto" w:fill="FFFFFF"/>
        <w:spacing w:before="0" w:beforeAutospacing="0" w:after="0" w:afterAutospacing="0" w:line="276" w:lineRule="auto"/>
        <w:ind w:firstLine="720"/>
        <w:jc w:val="both"/>
        <w:rPr>
          <w:rFonts w:cs="Arial"/>
        </w:rPr>
      </w:pPr>
      <w:r w:rsidRPr="00767B8D">
        <w:rPr>
          <w:rFonts w:cs="Arial"/>
        </w:rPr>
        <w:lastRenderedPageBreak/>
        <w:t>Kriminālprocesa likuma 13. panta pirmajā daļā ietverts kriminālprocesa pamatprincips, kas noteic, ka kriminālprocesā nevienu nedrīkst pazemot, šantažēt, spīdzināt vai draudēt ar spīdzināšanu vai vardarbību, vai arī lietot vardarbību.</w:t>
      </w:r>
    </w:p>
    <w:p w14:paraId="406A5DB8" w14:textId="34E2F986" w:rsidR="004D7E0D" w:rsidRPr="00767B8D" w:rsidRDefault="006563A7" w:rsidP="004D7E0D">
      <w:pPr>
        <w:pStyle w:val="NormalWeb"/>
        <w:shd w:val="clear" w:color="auto" w:fill="FFFFFF"/>
        <w:spacing w:before="0" w:beforeAutospacing="0" w:after="0" w:afterAutospacing="0" w:line="276" w:lineRule="auto"/>
        <w:ind w:firstLine="720"/>
        <w:jc w:val="both"/>
        <w:rPr>
          <w:rFonts w:cs="Arial"/>
        </w:rPr>
      </w:pPr>
      <w:r>
        <w:rPr>
          <w:rFonts w:cs="Arial"/>
        </w:rPr>
        <w:t>Atbilstoši</w:t>
      </w:r>
      <w:r w:rsidR="00182E17" w:rsidRPr="00767B8D">
        <w:rPr>
          <w:rFonts w:cs="Arial"/>
        </w:rPr>
        <w:t xml:space="preserve"> Kriminālprocesa likuma 127. panta pirmaj</w:t>
      </w:r>
      <w:r>
        <w:rPr>
          <w:rFonts w:cs="Arial"/>
        </w:rPr>
        <w:t>ai</w:t>
      </w:r>
      <w:r w:rsidR="00182E17" w:rsidRPr="00767B8D">
        <w:rPr>
          <w:rFonts w:cs="Arial"/>
        </w:rPr>
        <w:t xml:space="preserve"> daļ</w:t>
      </w:r>
      <w:r>
        <w:rPr>
          <w:rFonts w:cs="Arial"/>
        </w:rPr>
        <w:t>ai</w:t>
      </w:r>
      <w:r w:rsidR="00182E17" w:rsidRPr="00767B8D">
        <w:rPr>
          <w:rFonts w:cs="Arial"/>
        </w:rPr>
        <w:t xml:space="preserve"> pierādījumi kriminālprocesā ir jebkuras likumā paredzētajā kārtībā un noteiktā procesuāl</w:t>
      </w:r>
      <w:r>
        <w:rPr>
          <w:rFonts w:cs="Arial"/>
        </w:rPr>
        <w:t>aj</w:t>
      </w:r>
      <w:r w:rsidR="00182E17" w:rsidRPr="00767B8D">
        <w:rPr>
          <w:rFonts w:cs="Arial"/>
        </w:rPr>
        <w:t xml:space="preserve">ā formā nostiprinātas ziņas par faktiem, kurus kriminālprocesā iesaistītās personas savas kompetences ietvaros izmanto pierādīšanas priekšmetā ietilpstošo apstākļu esamības vai neesamības pamatošanai. </w:t>
      </w:r>
      <w:r>
        <w:rPr>
          <w:rFonts w:cs="Arial"/>
        </w:rPr>
        <w:t>Šī panta</w:t>
      </w:r>
      <w:r w:rsidR="00182E17" w:rsidRPr="00767B8D">
        <w:rPr>
          <w:rFonts w:cs="Arial"/>
        </w:rPr>
        <w:t xml:space="preserve"> otrā daļa noteic, ka kriminālprocesā iesaistītās personas kā pierādījumus var izmantot tikai ticamas, attiecināmas un pieļaujamas ziņas par faktiem.</w:t>
      </w:r>
    </w:p>
    <w:p w14:paraId="3CDFE1DA" w14:textId="648A6DC5" w:rsidR="003C6D13" w:rsidRPr="00767B8D" w:rsidRDefault="00F96D00" w:rsidP="004B172B">
      <w:pPr>
        <w:pStyle w:val="NormalWeb"/>
        <w:shd w:val="clear" w:color="auto" w:fill="FFFFFF"/>
        <w:spacing w:before="0" w:beforeAutospacing="0" w:after="0" w:afterAutospacing="0" w:line="276" w:lineRule="auto"/>
        <w:ind w:firstLine="720"/>
        <w:jc w:val="both"/>
        <w:rPr>
          <w:rFonts w:cs="Arial"/>
        </w:rPr>
      </w:pPr>
      <w:r w:rsidRPr="00767B8D">
        <w:t>Saskaņā ar Kriminālprocesa likuma 130. panta pirmo daļu kriminālprocesa laikā iegūtās ziņas par faktiem ir pieļaujams izmantot kā pierādījumus, ja tās iegūtas un procesuāli nostiprinātas šajā likumā noteiktajā kārtībā. Atbilstoši minētā panta otrās daļas 1. </w:t>
      </w:r>
      <w:r w:rsidR="004B172B">
        <w:t xml:space="preserve">un 4. punktam </w:t>
      </w:r>
      <w:r w:rsidRPr="00767B8D">
        <w:t>par nepieļaujamām un pierādīšanā neizmantojamām atzīstamas tādas ziņas par faktiem, kuras iegūtas, izmantojot vardarbību, draudus, šantāžu, viltu vai spaidus</w:t>
      </w:r>
      <w:r w:rsidR="004B172B">
        <w:t>, kā arī pārkāpjot kriminālprocesa pamatprincipus.</w:t>
      </w:r>
    </w:p>
    <w:p w14:paraId="1EEF37DB" w14:textId="77777777" w:rsidR="008935C5" w:rsidRPr="00767B8D" w:rsidRDefault="004D7E0D" w:rsidP="008935C5">
      <w:pPr>
        <w:pStyle w:val="NormalWeb"/>
        <w:shd w:val="clear" w:color="auto" w:fill="FFFFFF"/>
        <w:spacing w:before="0" w:beforeAutospacing="0" w:after="0" w:afterAutospacing="0" w:line="276" w:lineRule="auto"/>
        <w:ind w:firstLine="720"/>
        <w:jc w:val="both"/>
      </w:pPr>
      <w:r w:rsidRPr="00767B8D">
        <w:t>Senāts jau iepriekš ir atzinis, ja apsūdzētais tiesā norāda uz viņa liecību iegūšanu pirmstiesas kriminālprocesā, pielietojot vardarbību no policijas darbinieku puses, tiesai jāpārliecinās, vai veids, kādā iegūti pierādījumi, ar kuriem pamatota apsūdzība, un līdz ar to arī tiesvedība kopumā bijusi taisnīga, proti, vai ir ievērots Kriminālprocesa likuma 13. pantā nostiprinātais kriminālprocesa pamatprincips – spīdzināšanas un pazemošanas aizliegums –, un vai visas apsūdzētā liecības, kuras izmantotas pierādīšanā, ir atzīstamas par pieļaujamām (</w:t>
      </w:r>
      <w:r w:rsidRPr="00767B8D">
        <w:rPr>
          <w:i/>
          <w:iCs/>
        </w:rPr>
        <w:t>Senāta 2016. gada 9. februāra lēmums lietā Nr. </w:t>
      </w:r>
      <w:hyperlink r:id="rId10" w:history="1">
        <w:r w:rsidRPr="00767B8D">
          <w:rPr>
            <w:rStyle w:val="Hyperlink"/>
            <w:i/>
            <w:iCs/>
          </w:rPr>
          <w:t>SKK</w:t>
        </w:r>
        <w:r w:rsidRPr="00767B8D">
          <w:rPr>
            <w:rStyle w:val="Hyperlink"/>
            <w:i/>
            <w:iCs/>
          </w:rPr>
          <w:noBreakHyphen/>
          <w:t>92/2016</w:t>
        </w:r>
      </w:hyperlink>
      <w:r w:rsidRPr="00767B8D">
        <w:rPr>
          <w:i/>
          <w:iCs/>
        </w:rPr>
        <w:t>, 11261119714</w:t>
      </w:r>
      <w:r w:rsidRPr="00767B8D">
        <w:t>).</w:t>
      </w:r>
    </w:p>
    <w:p w14:paraId="7647C785" w14:textId="77777777" w:rsidR="008935C5" w:rsidRPr="00767B8D" w:rsidRDefault="00340291" w:rsidP="008935C5">
      <w:pPr>
        <w:pStyle w:val="NormalWeb"/>
        <w:shd w:val="clear" w:color="auto" w:fill="FFFFFF"/>
        <w:spacing w:before="0" w:beforeAutospacing="0" w:after="0" w:afterAutospacing="0" w:line="276" w:lineRule="auto"/>
        <w:ind w:firstLine="720"/>
        <w:jc w:val="both"/>
      </w:pPr>
      <w:r w:rsidRPr="00767B8D">
        <w:t>Arī Eiropas Cilvēktiesību tiesa norādījusi, ka tādu pierādījumu izmantošana, kas iegūti, pārkāpjot vienas no būtiskākajām Eiropas Cilvēka tiesību un pamatbrīvību aizsardzības konvencijā nostiprinātajām garantijām – spīdzināšanas aizliegumu – vienmēr radīs nopietnas šaubas par kriminālprocesa kopējo taisnīgumu</w:t>
      </w:r>
      <w:r w:rsidR="008935C5" w:rsidRPr="00767B8D">
        <w:t xml:space="preserve"> arī tad, ja šādiem pierādījumiem nebija izšķirošas nozīmes notiesājoša sprieduma taisīšanā</w:t>
      </w:r>
      <w:r w:rsidRPr="00767B8D">
        <w:t>, tādēļ liecību, kas iegūtas spīdzināšanas vai cietsirdīgas izturēšanās rezultātā, izmantošana kriminālprocesā būtisku faktu noskaidrošanai visu procesu kopumā padara par prettiesisku</w:t>
      </w:r>
      <w:r w:rsidR="008935C5" w:rsidRPr="00767B8D">
        <w:t xml:space="preserve"> (</w:t>
      </w:r>
      <w:r w:rsidR="008935C5" w:rsidRPr="00767B8D">
        <w:rPr>
          <w:i/>
          <w:iCs/>
        </w:rPr>
        <w:t>Eiropas Cilvēktiesību tiesas 2014. gada 11. februāra sprieduma lietā „Cēsnieks v. Latvia”, iesnieguma Nr. </w:t>
      </w:r>
      <w:hyperlink r:id="rId11" w:history="1">
        <w:r w:rsidR="008935C5" w:rsidRPr="00767B8D">
          <w:rPr>
            <w:rStyle w:val="Hyperlink"/>
            <w:i/>
            <w:iCs/>
          </w:rPr>
          <w:t>9278/06</w:t>
        </w:r>
      </w:hyperlink>
      <w:r w:rsidR="008935C5" w:rsidRPr="00767B8D">
        <w:rPr>
          <w:i/>
          <w:iCs/>
        </w:rPr>
        <w:t>, 65. punkts</w:t>
      </w:r>
      <w:r w:rsidR="008935C5" w:rsidRPr="00767B8D">
        <w:t>)</w:t>
      </w:r>
      <w:r w:rsidRPr="00767B8D">
        <w:t>.</w:t>
      </w:r>
    </w:p>
    <w:p w14:paraId="70B51CE1" w14:textId="32419DE4" w:rsidR="008935C5" w:rsidRPr="00767B8D" w:rsidRDefault="002A1F16" w:rsidP="00EA6E3E">
      <w:pPr>
        <w:pStyle w:val="NormalWeb"/>
        <w:shd w:val="clear" w:color="auto" w:fill="FFFFFF"/>
        <w:spacing w:before="0" w:beforeAutospacing="0" w:after="0" w:afterAutospacing="0" w:line="276" w:lineRule="auto"/>
        <w:ind w:firstLine="720"/>
        <w:jc w:val="both"/>
        <w:rPr>
          <w:rFonts w:cs="Arial"/>
        </w:rPr>
      </w:pPr>
      <w:r w:rsidRPr="00767B8D">
        <w:rPr>
          <w:rFonts w:cs="Arial"/>
        </w:rPr>
        <w:t>Senāts</w:t>
      </w:r>
      <w:r w:rsidR="00340291" w:rsidRPr="00767B8D">
        <w:rPr>
          <w:rFonts w:cs="Arial"/>
        </w:rPr>
        <w:t xml:space="preserve"> konstatē, ka </w:t>
      </w:r>
      <w:r w:rsidRPr="00767B8D">
        <w:rPr>
          <w:rFonts w:cs="Arial"/>
        </w:rPr>
        <w:t>apelācijas instances</w:t>
      </w:r>
      <w:r w:rsidR="00340291" w:rsidRPr="00767B8D">
        <w:rPr>
          <w:rFonts w:cs="Arial"/>
        </w:rPr>
        <w:t xml:space="preserve"> tiesa nav pienācīgi pārbaudīju</w:t>
      </w:r>
      <w:r w:rsidRPr="00767B8D">
        <w:rPr>
          <w:rFonts w:cs="Arial"/>
        </w:rPr>
        <w:t>si</w:t>
      </w:r>
      <w:r w:rsidR="00D5269A" w:rsidRPr="00767B8D">
        <w:rPr>
          <w:rFonts w:cs="Arial"/>
        </w:rPr>
        <w:t>,</w:t>
      </w:r>
      <w:r w:rsidR="00340291" w:rsidRPr="00767B8D">
        <w:rPr>
          <w:rFonts w:cs="Arial"/>
        </w:rPr>
        <w:t xml:space="preserve"> vai izskatāmajā kriminālprocesā ir ievērots Kriminālprocesa likuma 13.</w:t>
      </w:r>
      <w:r w:rsidR="007E5AB6" w:rsidRPr="00767B8D">
        <w:rPr>
          <w:rFonts w:cs="Arial"/>
        </w:rPr>
        <w:t> </w:t>
      </w:r>
      <w:r w:rsidR="00340291" w:rsidRPr="00767B8D">
        <w:rPr>
          <w:rFonts w:cs="Arial"/>
        </w:rPr>
        <w:t xml:space="preserve">pantā nostiprinātais kriminālprocesa pamatprincips – spīdzināšanas un pazemošanas aizliegums –, un vai apsūdzētā </w:t>
      </w:r>
      <w:r w:rsidR="00DF0D56">
        <w:rPr>
          <w:rFonts w:cs="Arial"/>
        </w:rPr>
        <w:t>[pers. A]</w:t>
      </w:r>
      <w:r w:rsidR="00340291" w:rsidRPr="00767B8D">
        <w:rPr>
          <w:rFonts w:cs="Arial"/>
        </w:rPr>
        <w:t xml:space="preserve"> </w:t>
      </w:r>
      <w:proofErr w:type="spellStart"/>
      <w:r w:rsidRPr="00767B8D">
        <w:rPr>
          <w:rFonts w:cs="Arial"/>
        </w:rPr>
        <w:t>pirmstiesas</w:t>
      </w:r>
      <w:proofErr w:type="spellEnd"/>
      <w:r w:rsidRPr="00767B8D">
        <w:rPr>
          <w:rFonts w:cs="Arial"/>
        </w:rPr>
        <w:t xml:space="preserve"> procesā sniegtās </w:t>
      </w:r>
      <w:r w:rsidR="00340291" w:rsidRPr="00767B8D">
        <w:rPr>
          <w:rFonts w:cs="Arial"/>
        </w:rPr>
        <w:t xml:space="preserve">liecības, kuras </w:t>
      </w:r>
      <w:r w:rsidR="007E5AB6" w:rsidRPr="00767B8D">
        <w:rPr>
          <w:rFonts w:cs="Arial"/>
        </w:rPr>
        <w:t xml:space="preserve">apelācijas instances tiesā </w:t>
      </w:r>
      <w:r w:rsidR="00340291" w:rsidRPr="00767B8D">
        <w:rPr>
          <w:rFonts w:cs="Arial"/>
        </w:rPr>
        <w:t>izmantotas pierādīšanā, ir atzīstamas par pieļaujamām.</w:t>
      </w:r>
    </w:p>
    <w:p w14:paraId="2313C161" w14:textId="7E6B745C" w:rsidR="00D60B6E" w:rsidRPr="00767B8D" w:rsidRDefault="00A610F1" w:rsidP="00033049">
      <w:pPr>
        <w:widowControl w:val="0"/>
        <w:spacing w:line="276" w:lineRule="auto"/>
        <w:ind w:firstLine="709"/>
        <w:jc w:val="both"/>
        <w:rPr>
          <w:rFonts w:cs="Arial"/>
        </w:rPr>
      </w:pPr>
      <w:r w:rsidRPr="00767B8D">
        <w:rPr>
          <w:rFonts w:cs="Arial"/>
        </w:rPr>
        <w:t xml:space="preserve">Senāts </w:t>
      </w:r>
      <w:r w:rsidR="00682689" w:rsidRPr="00767B8D">
        <w:rPr>
          <w:rFonts w:cs="Arial"/>
        </w:rPr>
        <w:t>norāda</w:t>
      </w:r>
      <w:r w:rsidRPr="00767B8D">
        <w:rPr>
          <w:rFonts w:cs="Arial"/>
        </w:rPr>
        <w:t xml:space="preserve">, ka </w:t>
      </w:r>
      <w:r w:rsidR="00DF0D56">
        <w:rPr>
          <w:rFonts w:cs="Arial"/>
        </w:rPr>
        <w:t>[pers. A]</w:t>
      </w:r>
      <w:r w:rsidRPr="00767B8D">
        <w:rPr>
          <w:rFonts w:cs="Arial"/>
        </w:rPr>
        <w:t xml:space="preserve"> apgalvojumiem par iespējamu spīdzināšanu un liecību izspiešanu ir nozīme pierādījumu pieļaujamības</w:t>
      </w:r>
      <w:r w:rsidR="00457C9F" w:rsidRPr="00767B8D">
        <w:rPr>
          <w:rFonts w:cs="Arial"/>
        </w:rPr>
        <w:t xml:space="preserve"> </w:t>
      </w:r>
      <w:r w:rsidRPr="00767B8D">
        <w:rPr>
          <w:rFonts w:cs="Arial"/>
        </w:rPr>
        <w:t xml:space="preserve">izvērtēšanā, un tādēļ </w:t>
      </w:r>
      <w:r w:rsidR="00D5269A" w:rsidRPr="00767B8D">
        <w:rPr>
          <w:rFonts w:cs="Arial"/>
        </w:rPr>
        <w:t>tiesai</w:t>
      </w:r>
      <w:r w:rsidRPr="00767B8D">
        <w:rPr>
          <w:rFonts w:cs="Arial"/>
        </w:rPr>
        <w:t xml:space="preserve"> bija nepieciešams sniegt juridisku izvērtējumu, kas šajā lietā nav ticis nodrošināts.</w:t>
      </w:r>
    </w:p>
    <w:p w14:paraId="59EDB07A" w14:textId="105BE903" w:rsidR="00DA1CB0" w:rsidRPr="00767B8D" w:rsidRDefault="00340291" w:rsidP="00576C96">
      <w:pPr>
        <w:widowControl w:val="0"/>
        <w:spacing w:line="276" w:lineRule="auto"/>
        <w:ind w:firstLine="709"/>
        <w:jc w:val="both"/>
      </w:pPr>
      <w:r w:rsidRPr="00767B8D">
        <w:rPr>
          <w:rFonts w:cs="Arial"/>
        </w:rPr>
        <w:t xml:space="preserve">Ievērojot minēto, </w:t>
      </w:r>
      <w:r w:rsidR="00033049" w:rsidRPr="00767B8D">
        <w:rPr>
          <w:rFonts w:cs="Arial"/>
        </w:rPr>
        <w:t>Senāts</w:t>
      </w:r>
      <w:r w:rsidRPr="00767B8D">
        <w:rPr>
          <w:rFonts w:cs="Arial"/>
        </w:rPr>
        <w:t xml:space="preserve"> atzīst, ka </w:t>
      </w:r>
      <w:r w:rsidR="00C131AA" w:rsidRPr="00767B8D">
        <w:rPr>
          <w:rFonts w:cs="Arial"/>
        </w:rPr>
        <w:t xml:space="preserve">apelācijas instances </w:t>
      </w:r>
      <w:r w:rsidR="00576C96">
        <w:rPr>
          <w:rFonts w:cs="Arial"/>
        </w:rPr>
        <w:t xml:space="preserve">tiesa </w:t>
      </w:r>
      <w:r w:rsidR="001D1EFD" w:rsidRPr="00767B8D">
        <w:t>nav atbilstoši likuma prasībā</w:t>
      </w:r>
      <w:r w:rsidR="00576C96">
        <w:t>m</w:t>
      </w:r>
      <w:r w:rsidR="001D1EFD" w:rsidRPr="00767B8D">
        <w:t xml:space="preserve"> </w:t>
      </w:r>
      <w:r w:rsidR="00576C96">
        <w:t>izvērtējusi</w:t>
      </w:r>
      <w:r w:rsidR="001D1EFD" w:rsidRPr="00767B8D">
        <w:t xml:space="preserve"> </w:t>
      </w:r>
      <w:r w:rsidR="00DF0D56">
        <w:t>[pers. A]</w:t>
      </w:r>
      <w:r w:rsidR="001D1EFD" w:rsidRPr="00767B8D">
        <w:t xml:space="preserve"> vainīguma </w:t>
      </w:r>
      <w:r w:rsidR="0055484C" w:rsidRPr="00767B8D">
        <w:rPr>
          <w:rFonts w:cs="Arial"/>
        </w:rPr>
        <w:t>pēc Krimināllikuma 78. panta otrās daļas</w:t>
      </w:r>
      <w:r w:rsidR="0055484C" w:rsidRPr="00767B8D">
        <w:t xml:space="preserve"> </w:t>
      </w:r>
      <w:r w:rsidR="001D1EFD" w:rsidRPr="00767B8D">
        <w:t xml:space="preserve">pamatošanai </w:t>
      </w:r>
      <w:r w:rsidR="00576C96" w:rsidRPr="00767B8D">
        <w:t>izmantot</w:t>
      </w:r>
      <w:r w:rsidR="00576C96">
        <w:t>o</w:t>
      </w:r>
      <w:r w:rsidR="00576C96" w:rsidRPr="00767B8D">
        <w:t xml:space="preserve"> </w:t>
      </w:r>
      <w:r w:rsidR="001D1EFD" w:rsidRPr="00767B8D">
        <w:t>pierādījum</w:t>
      </w:r>
      <w:r w:rsidR="00576C96">
        <w:t>u</w:t>
      </w:r>
      <w:r w:rsidR="001D1EFD" w:rsidRPr="00767B8D">
        <w:t xml:space="preserve"> </w:t>
      </w:r>
      <w:r w:rsidR="00576C96">
        <w:t>pieļaujamību</w:t>
      </w:r>
      <w:r w:rsidR="001D1EFD" w:rsidRPr="00767B8D">
        <w:t>.</w:t>
      </w:r>
    </w:p>
    <w:p w14:paraId="7E704A2B" w14:textId="331760E0" w:rsidR="00DA1CB0" w:rsidRPr="00767B8D" w:rsidRDefault="00451521" w:rsidP="001941A2">
      <w:pPr>
        <w:widowControl w:val="0"/>
        <w:spacing w:line="276" w:lineRule="auto"/>
        <w:ind w:firstLine="709"/>
        <w:jc w:val="both"/>
      </w:pPr>
      <w:r w:rsidRPr="00767B8D">
        <w:t>[</w:t>
      </w:r>
      <w:r w:rsidR="005D729F" w:rsidRPr="00767B8D">
        <w:t>5</w:t>
      </w:r>
      <w:r w:rsidR="001B6F0C" w:rsidRPr="00767B8D">
        <w:t>.</w:t>
      </w:r>
      <w:r w:rsidR="00132E29">
        <w:t>5</w:t>
      </w:r>
      <w:r w:rsidRPr="00767B8D">
        <w:t>]</w:t>
      </w:r>
      <w:r w:rsidR="00DA1CB0" w:rsidRPr="00767B8D">
        <w:t> </w:t>
      </w:r>
      <w:r w:rsidR="00DC2C20" w:rsidRPr="00767B8D">
        <w:t xml:space="preserve">Senāts atzīst, ka </w:t>
      </w:r>
      <w:r w:rsidR="00DA1CB0" w:rsidRPr="00767B8D">
        <w:t xml:space="preserve">apelācijas instances tiesas pieļautais Kriminālprocesa likuma </w:t>
      </w:r>
      <w:r w:rsidR="00DA1CB0" w:rsidRPr="00767B8D">
        <w:lastRenderedPageBreak/>
        <w:t>564. panta ceturtās daļas pārkāpums ir atzīstams par Kriminālprocesa likuma būtisku pārkāpumu šā likuma 575. panta trešās daļas izpratnē, kas ir novedis pie nelikumīga nolēmuma</w:t>
      </w:r>
      <w:r w:rsidR="002A1E35">
        <w:t xml:space="preserve"> daļā par</w:t>
      </w:r>
      <w:r w:rsidR="001941A2">
        <w:t xml:space="preserve"> apsūdzētā atzīšanu par vainīgu pēc Krimināllikuma 78. panta otrās daļas.</w:t>
      </w:r>
    </w:p>
    <w:p w14:paraId="11589CAC" w14:textId="703D22FF" w:rsidR="00EA6E3E" w:rsidRPr="00767B8D" w:rsidRDefault="00DC2C20" w:rsidP="006C373F">
      <w:pPr>
        <w:widowControl w:val="0"/>
        <w:spacing w:line="276" w:lineRule="auto"/>
        <w:ind w:firstLine="709"/>
        <w:jc w:val="both"/>
      </w:pPr>
      <w:r w:rsidRPr="00767B8D">
        <w:t xml:space="preserve">Ievērojot minēto, </w:t>
      </w:r>
      <w:r w:rsidR="001D5925" w:rsidRPr="00767B8D">
        <w:t xml:space="preserve">apelācijas instances tiesas </w:t>
      </w:r>
      <w:r w:rsidR="00904A62" w:rsidRPr="00767B8D">
        <w:t>no</w:t>
      </w:r>
      <w:r w:rsidR="00F01221" w:rsidRPr="00767B8D">
        <w:t xml:space="preserve">lēmums </w:t>
      </w:r>
      <w:r w:rsidR="001D5925" w:rsidRPr="00767B8D">
        <w:t xml:space="preserve">ir atceļams </w:t>
      </w:r>
      <w:r w:rsidR="00EA6E3E" w:rsidRPr="00767B8D">
        <w:t>daļā</w:t>
      </w:r>
      <w:r w:rsidR="001D5925" w:rsidRPr="00767B8D">
        <w:t xml:space="preserve"> </w:t>
      </w:r>
      <w:r w:rsidR="00EA6E3E" w:rsidRPr="00767B8D">
        <w:t xml:space="preserve">par </w:t>
      </w:r>
      <w:r w:rsidR="00DF0D56">
        <w:t>[pers. A]</w:t>
      </w:r>
      <w:r w:rsidR="00EA6E3E" w:rsidRPr="00767B8D">
        <w:t xml:space="preserve"> atzīšanu par vainīgu un sodīšanu </w:t>
      </w:r>
      <w:r w:rsidR="00EA6E3E" w:rsidRPr="00767B8D">
        <w:rPr>
          <w:shd w:val="clear" w:color="auto" w:fill="FFFFFF"/>
        </w:rPr>
        <w:t xml:space="preserve">pēc Krimināllikuma 78. panta otrās daļas, kā arī daļā </w:t>
      </w:r>
      <w:r w:rsidR="00EA6E3E" w:rsidRPr="00B660B2">
        <w:rPr>
          <w:shd w:val="clear" w:color="auto" w:fill="FFFFFF"/>
        </w:rPr>
        <w:t>par viņam noteikto galīgo sodu</w:t>
      </w:r>
      <w:r w:rsidR="00EA6E3E" w:rsidRPr="00767B8D">
        <w:rPr>
          <w:shd w:val="clear" w:color="auto" w:fill="FFFFFF"/>
        </w:rPr>
        <w:t xml:space="preserve"> saskaņā ar Krimināllikuma 50. panta pirmo un trešo daļu</w:t>
      </w:r>
      <w:r w:rsidR="00EA6E3E" w:rsidRPr="00767B8D">
        <w:t xml:space="preserve"> </w:t>
      </w:r>
      <w:r w:rsidR="001D5925" w:rsidRPr="00767B8D">
        <w:t xml:space="preserve">un </w:t>
      </w:r>
      <w:r w:rsidR="00EA6E3E" w:rsidRPr="00767B8D">
        <w:t xml:space="preserve">atceltajā daļā </w:t>
      </w:r>
      <w:r w:rsidR="001D5925" w:rsidRPr="00767B8D">
        <w:t>lieta nosūtāma jaunai izskatīšanai apelācijas instances tiesā.</w:t>
      </w:r>
    </w:p>
    <w:p w14:paraId="0A735FC6" w14:textId="77777777" w:rsidR="00566B6E" w:rsidRPr="00767B8D" w:rsidRDefault="00566B6E" w:rsidP="00566B6E">
      <w:pPr>
        <w:shd w:val="clear" w:color="auto" w:fill="FFFFFF"/>
        <w:spacing w:line="276" w:lineRule="auto"/>
        <w:ind w:firstLine="720"/>
        <w:jc w:val="both"/>
      </w:pPr>
      <w:r w:rsidRPr="00767B8D">
        <w:t>[6] Senāts atzīst, ka pārējā daļā apelācijas instances tiesas spriedums atstājams negrozīts.</w:t>
      </w:r>
    </w:p>
    <w:p w14:paraId="2E2AECA6" w14:textId="00F37BFF" w:rsidR="00867C9C" w:rsidRPr="00767B8D" w:rsidRDefault="00EA6E3E" w:rsidP="00867C9C">
      <w:pPr>
        <w:widowControl w:val="0"/>
        <w:spacing w:line="276" w:lineRule="auto"/>
        <w:ind w:firstLine="720"/>
        <w:jc w:val="both"/>
      </w:pPr>
      <w:r w:rsidRPr="00767B8D">
        <w:t>[</w:t>
      </w:r>
      <w:r w:rsidR="00566B6E">
        <w:t>6.1</w:t>
      </w:r>
      <w:r w:rsidRPr="00767B8D">
        <w:t>] </w:t>
      </w:r>
      <w:r w:rsidR="00867C9C" w:rsidRPr="00767B8D">
        <w:t>Senāts konstatē, ka apsūdzētā pārējie kasācijas sūdzības argumenti atkārto apelācijas sūdzības argumentus, kurus apelācijas instances tiesa ir izvērtējusi un motivēti noraidījusi.</w:t>
      </w:r>
    </w:p>
    <w:p w14:paraId="25EF0856" w14:textId="099A4884" w:rsidR="000B479B" w:rsidRDefault="00867C9C" w:rsidP="000B479B">
      <w:pPr>
        <w:shd w:val="clear" w:color="auto" w:fill="FFFFFF"/>
        <w:spacing w:line="276" w:lineRule="auto"/>
        <w:ind w:firstLine="720"/>
        <w:jc w:val="both"/>
      </w:pPr>
      <w:r w:rsidRPr="005303C7">
        <w:rPr>
          <w:color w:val="000000"/>
          <w:shd w:val="clear" w:color="auto" w:fill="FFFFFF"/>
        </w:rPr>
        <w:t>[</w:t>
      </w:r>
      <w:r w:rsidR="00566B6E">
        <w:t>6.1</w:t>
      </w:r>
      <w:r w:rsidRPr="005303C7">
        <w:rPr>
          <w:color w:val="000000"/>
          <w:shd w:val="clear" w:color="auto" w:fill="FFFFFF"/>
        </w:rPr>
        <w:t>.1]</w:t>
      </w:r>
      <w:r w:rsidR="00576C96" w:rsidRPr="005303C7">
        <w:rPr>
          <w:color w:val="000000"/>
          <w:shd w:val="clear" w:color="auto" w:fill="FFFFFF"/>
        </w:rPr>
        <w:t> </w:t>
      </w:r>
      <w:r w:rsidR="000B479B" w:rsidRPr="005303C7">
        <w:t>L</w:t>
      </w:r>
      <w:r w:rsidR="00691A94" w:rsidRPr="005303C7">
        <w:t xml:space="preserve">ai gan vārda brīvībai ir fundamentāla nozīme demokrātiskas sabiedrības pastāvēšanā un indivīda tiesību īstenošanā, </w:t>
      </w:r>
      <w:r w:rsidR="000B479B" w:rsidRPr="005303C7">
        <w:t xml:space="preserve">Senāts norāda, ka </w:t>
      </w:r>
      <w:r w:rsidR="00691A94" w:rsidRPr="005303C7">
        <w:t xml:space="preserve">Satversmes 100. pantā garantētās tiesības nav absolūtas </w:t>
      </w:r>
      <w:r w:rsidR="00515C1C" w:rsidRPr="005303C7">
        <w:t>un tām pastāv zināmi ierobežojumi.</w:t>
      </w:r>
      <w:r w:rsidR="00691A94" w:rsidRPr="005303C7">
        <w:t xml:space="preserve"> Kā secinājusi Satversmes tiesa: „Valsts var noteikt vārda brīvības ierobežojumus gadījumos, kad personas tiesības uz vārda brīvību tieši ietekmē citu personas tiesības, kā arī gadījumos, kad vārda brīvība rada nepārprotamus un tiešus draudus sabiedrībai”</w:t>
      </w:r>
      <w:r w:rsidR="000B479B" w:rsidRPr="005303C7">
        <w:t xml:space="preserve"> (</w:t>
      </w:r>
      <w:r w:rsidR="000B479B" w:rsidRPr="005303C7">
        <w:rPr>
          <w:i/>
          <w:iCs/>
        </w:rPr>
        <w:t xml:space="preserve">sk. Satversmes tiesas </w:t>
      </w:r>
      <w:r w:rsidR="000B479B" w:rsidRPr="00F82EF6">
        <w:rPr>
          <w:i/>
          <w:iCs/>
        </w:rPr>
        <w:t>2003.</w:t>
      </w:r>
      <w:r w:rsidR="005303C7" w:rsidRPr="00F82EF6">
        <w:rPr>
          <w:i/>
          <w:iCs/>
        </w:rPr>
        <w:t> </w:t>
      </w:r>
      <w:r w:rsidR="00EE4172">
        <w:rPr>
          <w:i/>
          <w:iCs/>
        </w:rPr>
        <w:t>g</w:t>
      </w:r>
      <w:r w:rsidR="000B479B" w:rsidRPr="00F82EF6">
        <w:rPr>
          <w:i/>
          <w:iCs/>
        </w:rPr>
        <w:t>ada</w:t>
      </w:r>
      <w:r w:rsidR="000B479B" w:rsidRPr="005303C7">
        <w:rPr>
          <w:i/>
          <w:iCs/>
        </w:rPr>
        <w:t xml:space="preserve"> 5. jūnija spriedum</w:t>
      </w:r>
      <w:r w:rsidR="005303C7" w:rsidRPr="00A55AC2">
        <w:rPr>
          <w:i/>
          <w:iCs/>
        </w:rPr>
        <w:t>a</w:t>
      </w:r>
      <w:r w:rsidR="000B479B" w:rsidRPr="005303C7">
        <w:rPr>
          <w:i/>
          <w:iCs/>
        </w:rPr>
        <w:t xml:space="preserve"> lietā Nr. </w:t>
      </w:r>
      <w:hyperlink r:id="rId12" w:history="1">
        <w:r w:rsidR="000B479B" w:rsidRPr="00E8361C">
          <w:rPr>
            <w:rStyle w:val="Hyperlink"/>
            <w:i/>
            <w:iCs/>
          </w:rPr>
          <w:t>2003</w:t>
        </w:r>
        <w:r w:rsidR="005303C7" w:rsidRPr="00A55AC2">
          <w:rPr>
            <w:rStyle w:val="Hyperlink"/>
            <w:i/>
            <w:iCs/>
          </w:rPr>
          <w:noBreakHyphen/>
        </w:r>
        <w:r w:rsidR="000B479B" w:rsidRPr="00E8361C">
          <w:rPr>
            <w:rStyle w:val="Hyperlink"/>
            <w:i/>
            <w:iCs/>
          </w:rPr>
          <w:t>02</w:t>
        </w:r>
        <w:r w:rsidR="005303C7" w:rsidRPr="00A55AC2">
          <w:rPr>
            <w:rStyle w:val="Hyperlink"/>
            <w:i/>
            <w:iCs/>
          </w:rPr>
          <w:noBreakHyphen/>
        </w:r>
        <w:r w:rsidR="000B479B" w:rsidRPr="00E8361C">
          <w:rPr>
            <w:rStyle w:val="Hyperlink"/>
            <w:i/>
            <w:iCs/>
          </w:rPr>
          <w:t>0106</w:t>
        </w:r>
      </w:hyperlink>
      <w:r w:rsidR="000B479B" w:rsidRPr="005303C7">
        <w:rPr>
          <w:i/>
          <w:iCs/>
        </w:rPr>
        <w:t xml:space="preserve"> secinājumu</w:t>
      </w:r>
      <w:r w:rsidR="005303C7" w:rsidRPr="00A55AC2">
        <w:rPr>
          <w:i/>
          <w:iCs/>
        </w:rPr>
        <w:t xml:space="preserve"> daļas</w:t>
      </w:r>
      <w:r w:rsidR="000B479B" w:rsidRPr="005303C7">
        <w:rPr>
          <w:i/>
          <w:iCs/>
        </w:rPr>
        <w:t xml:space="preserve"> 1.</w:t>
      </w:r>
      <w:r w:rsidR="005303C7" w:rsidRPr="00A55AC2">
        <w:rPr>
          <w:i/>
          <w:iCs/>
        </w:rPr>
        <w:t> punkt</w:t>
      </w:r>
      <w:r w:rsidR="002B6706">
        <w:rPr>
          <w:i/>
          <w:iCs/>
        </w:rPr>
        <w:t>u</w:t>
      </w:r>
      <w:r w:rsidR="000B479B" w:rsidRPr="005303C7">
        <w:t>).</w:t>
      </w:r>
    </w:p>
    <w:p w14:paraId="557A96CC" w14:textId="0F8DEC57" w:rsidR="00867C9C" w:rsidRPr="000B479B" w:rsidRDefault="000B479B" w:rsidP="000B479B">
      <w:pPr>
        <w:shd w:val="clear" w:color="auto" w:fill="FFFFFF"/>
        <w:spacing w:line="276" w:lineRule="auto"/>
        <w:ind w:firstLine="720"/>
        <w:jc w:val="both"/>
      </w:pPr>
      <w:r w:rsidRPr="00767B8D">
        <w:rPr>
          <w:color w:val="000000"/>
          <w:shd w:val="clear" w:color="auto" w:fill="FFFFFF"/>
        </w:rPr>
        <w:t xml:space="preserve">Apelācijas instances </w:t>
      </w:r>
      <w:r w:rsidRPr="00767B8D">
        <w:t>tiesa, izvērtējot radiostacijas</w:t>
      </w:r>
      <w:r w:rsidR="00DD38F5">
        <w:t xml:space="preserve"> </w:t>
      </w:r>
      <w:r w:rsidRPr="00767B8D">
        <w:t>„</w:t>
      </w:r>
      <w:r w:rsidR="00D767FB">
        <w:t>[Nosaukums A]</w:t>
      </w:r>
      <w:r w:rsidRPr="00767B8D">
        <w:t>” raidījuma</w:t>
      </w:r>
      <w:r w:rsidR="00DD38F5">
        <w:t xml:space="preserve"> </w:t>
      </w:r>
      <w:r w:rsidRPr="00767B8D">
        <w:t>„</w:t>
      </w:r>
      <w:r w:rsidR="00D767FB">
        <w:t>[Nosaukums]</w:t>
      </w:r>
      <w:r w:rsidRPr="00767B8D">
        <w:t xml:space="preserve">” diskusijas laikā paustos apsūdzētā </w:t>
      </w:r>
      <w:r w:rsidR="00DF0D56">
        <w:t>[pers. A]</w:t>
      </w:r>
      <w:r w:rsidRPr="00767B8D">
        <w:t xml:space="preserve"> izteikumus, atzina, ka tie pēc sava satura un konteksta pārsniedz Satversmes 100. pantā garantētās vārda brīvības robežas.</w:t>
      </w:r>
      <w:r>
        <w:t xml:space="preserve"> T</w:t>
      </w:r>
      <w:r w:rsidR="00867C9C" w:rsidRPr="00767B8D">
        <w:t xml:space="preserve">iesa konstatējusi, ka šie izteikumi nav uzskatāmi par neitrālu viedokļa apmaiņu, bet gan </w:t>
      </w:r>
      <w:r w:rsidR="00DD38F5" w:rsidRPr="00767B8D">
        <w:t xml:space="preserve">pret Latvijas neatkarību un drošību </w:t>
      </w:r>
      <w:r w:rsidR="00867C9C" w:rsidRPr="00767B8D">
        <w:t>mērķtiecīgi vērstiem vēstījumiem, kas atbalsta Krievijas ārpolitikas interesēm atbilstošu uzdevumu realizēšanu Latvijā un pastiprina Latvijas sabiedrības sašķeltību. Līdz ar to šādi izteikumi nav aizsargājami tādā apjomā, kas liegtu tiesai tos izmantot apsūdzētā darbību izvērtēšanā.</w:t>
      </w:r>
    </w:p>
    <w:p w14:paraId="061CDBCA" w14:textId="169DBAD1" w:rsidR="00EA0B2C" w:rsidRPr="00767B8D" w:rsidRDefault="00FD329A" w:rsidP="00EA0B2C">
      <w:pPr>
        <w:shd w:val="clear" w:color="auto" w:fill="FFFFFF"/>
        <w:spacing w:line="276" w:lineRule="auto"/>
        <w:ind w:firstLine="720"/>
        <w:jc w:val="both"/>
      </w:pPr>
      <w:r w:rsidRPr="00767B8D">
        <w:rPr>
          <w:rFonts w:asciiTheme="majorBidi" w:hAnsiTheme="majorBidi" w:cstheme="majorBidi"/>
          <w:color w:val="000000" w:themeColor="text1"/>
        </w:rPr>
        <w:t>[6.</w:t>
      </w:r>
      <w:r w:rsidR="00CE29BA">
        <w:rPr>
          <w:rFonts w:asciiTheme="majorBidi" w:hAnsiTheme="majorBidi" w:cstheme="majorBidi"/>
          <w:color w:val="000000" w:themeColor="text1"/>
        </w:rPr>
        <w:t>1.</w:t>
      </w:r>
      <w:r w:rsidR="00566B6E">
        <w:rPr>
          <w:rFonts w:asciiTheme="majorBidi" w:hAnsiTheme="majorBidi" w:cstheme="majorBidi"/>
          <w:color w:val="000000" w:themeColor="text1"/>
        </w:rPr>
        <w:t>2</w:t>
      </w:r>
      <w:r w:rsidRPr="00767B8D">
        <w:rPr>
          <w:rFonts w:asciiTheme="majorBidi" w:hAnsiTheme="majorBidi" w:cstheme="majorBidi"/>
          <w:color w:val="000000" w:themeColor="text1"/>
        </w:rPr>
        <w:t>] </w:t>
      </w:r>
      <w:r w:rsidR="00A36A0A" w:rsidRPr="00767B8D">
        <w:rPr>
          <w:rFonts w:asciiTheme="majorBidi" w:hAnsiTheme="majorBidi" w:cstheme="majorBidi"/>
          <w:color w:val="000000" w:themeColor="text1"/>
        </w:rPr>
        <w:t xml:space="preserve">Apelācijas instances tiesa atzinusi, ka ar lietā esošajiem pierādījumiem ārpus saprātīgām šaubām ir pierādīts apsūdzētā </w:t>
      </w:r>
      <w:r w:rsidR="00DF0D56">
        <w:rPr>
          <w:rFonts w:asciiTheme="majorBidi" w:hAnsiTheme="majorBidi" w:cstheme="majorBidi"/>
          <w:color w:val="000000" w:themeColor="text1"/>
        </w:rPr>
        <w:t>[pers. A]</w:t>
      </w:r>
      <w:r w:rsidRPr="00767B8D">
        <w:rPr>
          <w:rFonts w:asciiTheme="majorBidi" w:hAnsiTheme="majorBidi" w:cstheme="majorBidi"/>
          <w:color w:val="000000" w:themeColor="text1"/>
        </w:rPr>
        <w:t xml:space="preserve"> </w:t>
      </w:r>
      <w:r w:rsidR="00A36A0A" w:rsidRPr="00767B8D">
        <w:rPr>
          <w:rFonts w:asciiTheme="majorBidi" w:hAnsiTheme="majorBidi" w:cstheme="majorBidi"/>
          <w:color w:val="000000" w:themeColor="text1"/>
        </w:rPr>
        <w:t>vainīgums Krimināllikuma 81.</w:t>
      </w:r>
      <w:r w:rsidR="00A36A0A" w:rsidRPr="00767B8D">
        <w:rPr>
          <w:rFonts w:asciiTheme="majorBidi" w:hAnsiTheme="majorBidi" w:cstheme="majorBidi"/>
          <w:color w:val="000000" w:themeColor="text1"/>
          <w:vertAlign w:val="superscript"/>
        </w:rPr>
        <w:t>1</w:t>
      </w:r>
      <w:r w:rsidR="00A36A0A" w:rsidRPr="00767B8D">
        <w:rPr>
          <w:rFonts w:asciiTheme="majorBidi" w:hAnsiTheme="majorBidi" w:cstheme="majorBidi"/>
          <w:color w:val="000000" w:themeColor="text1"/>
        </w:rPr>
        <w:t> pantā paredzētā noziedzīgā nodarījuma izdarīšanā.</w:t>
      </w:r>
    </w:p>
    <w:p w14:paraId="50852F6A" w14:textId="77777777" w:rsidR="00EA0B2C" w:rsidRPr="00767B8D" w:rsidRDefault="00956206" w:rsidP="00EA0B2C">
      <w:pPr>
        <w:shd w:val="clear" w:color="auto" w:fill="FFFFFF"/>
        <w:spacing w:line="276" w:lineRule="auto"/>
        <w:ind w:firstLine="720"/>
        <w:jc w:val="both"/>
      </w:pPr>
      <w:r w:rsidRPr="00767B8D">
        <w:t>S</w:t>
      </w:r>
      <w:r w:rsidR="005520F7" w:rsidRPr="00767B8D">
        <w:t xml:space="preserve">enāts </w:t>
      </w:r>
      <w:r w:rsidRPr="00767B8D">
        <w:t xml:space="preserve">norāda, ka nav </w:t>
      </w:r>
      <w:r w:rsidR="005520F7" w:rsidRPr="00767B8D">
        <w:t>pamat</w:t>
      </w:r>
      <w:r w:rsidRPr="00767B8D">
        <w:t>a</w:t>
      </w:r>
      <w:r w:rsidR="005520F7" w:rsidRPr="00767B8D">
        <w:t xml:space="preserve"> apšaubīt apelācijas instances tiesas </w:t>
      </w:r>
      <w:r w:rsidR="00EA0B2C" w:rsidRPr="00767B8D">
        <w:t>atzinumu</w:t>
      </w:r>
      <w:r w:rsidR="005520F7" w:rsidRPr="00767B8D">
        <w:t xml:space="preserve"> par apsūdzētā iesaisti ārvalstu finansētās aktivitātēs un paredzētā honorāra saņemšanu.</w:t>
      </w:r>
    </w:p>
    <w:p w14:paraId="64979893" w14:textId="7E115456" w:rsidR="00EA0B2C" w:rsidRPr="00767B8D" w:rsidRDefault="00EA0B2C" w:rsidP="00D767FB">
      <w:pPr>
        <w:shd w:val="clear" w:color="auto" w:fill="FFFFFF"/>
        <w:spacing w:line="276" w:lineRule="auto"/>
        <w:ind w:firstLine="720"/>
        <w:jc w:val="both"/>
      </w:pPr>
      <w:r w:rsidRPr="00767B8D">
        <w:t xml:space="preserve">Pamatojoties uz lietā esošiem pierādījumiem, tai skaitā liecinieku </w:t>
      </w:r>
      <w:r w:rsidR="00D767FB">
        <w:t>[pers. B]</w:t>
      </w:r>
      <w:r w:rsidRPr="00767B8D">
        <w:t xml:space="preserve">, </w:t>
      </w:r>
      <w:r w:rsidR="00D767FB">
        <w:t>[pers. C]</w:t>
      </w:r>
      <w:r w:rsidRPr="00767B8D">
        <w:t xml:space="preserve">, </w:t>
      </w:r>
      <w:r w:rsidR="00D767FB">
        <w:t>[pers. D]</w:t>
      </w:r>
      <w:r w:rsidRPr="00767B8D">
        <w:t xml:space="preserve"> liecībām un krimināllietas materiālos apkopotajiem rakstveida pierādījumiem, apelācijas instances tiesa konstatējusi apsūdzētā </w:t>
      </w:r>
      <w:r w:rsidR="00DF0D56">
        <w:t>[pers. A]</w:t>
      </w:r>
      <w:r w:rsidRPr="00767B8D">
        <w:t xml:space="preserve"> darbībās visas nepieciešamās Krimināllikuma 81.</w:t>
      </w:r>
      <w:r w:rsidRPr="00767B8D">
        <w:rPr>
          <w:vertAlign w:val="superscript"/>
        </w:rPr>
        <w:t>1</w:t>
      </w:r>
      <w:r w:rsidRPr="00767B8D">
        <w:t> pantā paredzētā noziedzīgā nodarījuma sastāva pazīmes.</w:t>
      </w:r>
    </w:p>
    <w:p w14:paraId="1ED8A4F6" w14:textId="45A7B249" w:rsidR="00EA0B2C" w:rsidRPr="00767B8D" w:rsidRDefault="00EA0B2C" w:rsidP="00C4019E">
      <w:pPr>
        <w:shd w:val="clear" w:color="auto" w:fill="FFFFFF"/>
        <w:spacing w:line="276" w:lineRule="auto"/>
        <w:ind w:firstLine="720"/>
        <w:jc w:val="both"/>
      </w:pPr>
      <w:r w:rsidRPr="00767B8D">
        <w:t xml:space="preserve">Tiesa </w:t>
      </w:r>
      <w:r w:rsidR="004D74FB" w:rsidRPr="00767B8D">
        <w:t>norādījusi, ka</w:t>
      </w:r>
      <w:r w:rsidR="005520F7" w:rsidRPr="00767B8D">
        <w:t xml:space="preserve"> apsūdzētā elektroniskā sarakste ar Krievijas Federācijas </w:t>
      </w:r>
      <w:proofErr w:type="spellStart"/>
      <w:r w:rsidR="005520F7" w:rsidRPr="00767B8D">
        <w:t>domnīcas</w:t>
      </w:r>
      <w:proofErr w:type="spellEnd"/>
      <w:r w:rsidR="00F621C2">
        <w:t xml:space="preserve"> </w:t>
      </w:r>
      <w:r w:rsidR="005520F7" w:rsidRPr="00767B8D">
        <w:t>„</w:t>
      </w:r>
      <w:r w:rsidR="00D767FB">
        <w:t>[Nosaukums B]</w:t>
      </w:r>
      <w:r w:rsidR="005520F7" w:rsidRPr="00767B8D">
        <w:t xml:space="preserve">” pārstāvjiem, </w:t>
      </w:r>
      <w:r w:rsidR="00566B6E">
        <w:t xml:space="preserve">arī </w:t>
      </w:r>
      <w:r w:rsidR="005520F7" w:rsidRPr="00767B8D">
        <w:t xml:space="preserve">grāmatvedi, nav formāla, bet </w:t>
      </w:r>
      <w:r w:rsidR="00956206" w:rsidRPr="00767B8D">
        <w:t xml:space="preserve">tā </w:t>
      </w:r>
      <w:r w:rsidR="005520F7" w:rsidRPr="00767B8D">
        <w:t xml:space="preserve">atklāj apsūdzētā </w:t>
      </w:r>
      <w:r w:rsidR="00DF0D56">
        <w:t>[pers. A]</w:t>
      </w:r>
      <w:r w:rsidR="005520F7" w:rsidRPr="00767B8D">
        <w:t xml:space="preserve"> lomu un uzdevumu šajās aktivitātēs, kā arī norād</w:t>
      </w:r>
      <w:r w:rsidR="00956206" w:rsidRPr="00767B8D">
        <w:t>a</w:t>
      </w:r>
      <w:r w:rsidR="005520F7" w:rsidRPr="00767B8D">
        <w:t xml:space="preserve"> uz paredzēto atlīdzību. Elektroniskā sarakste netieši apliecina apsūdzētā saikni ar ārvalstu finansējumu un nolūku saņemt atlīdzību</w:t>
      </w:r>
      <w:r w:rsidR="00EB5659" w:rsidRPr="00767B8D">
        <w:t>.</w:t>
      </w:r>
    </w:p>
    <w:p w14:paraId="1659D4D1" w14:textId="41CBC878" w:rsidR="00CE29BA" w:rsidRDefault="00603308" w:rsidP="007F7009">
      <w:pPr>
        <w:shd w:val="clear" w:color="auto" w:fill="FFFFFF"/>
        <w:spacing w:line="276" w:lineRule="auto"/>
        <w:ind w:firstLine="720"/>
        <w:jc w:val="both"/>
      </w:pPr>
      <w:r w:rsidRPr="00767B8D">
        <w:t xml:space="preserve">Senāts </w:t>
      </w:r>
      <w:r w:rsidR="00EA0B2C" w:rsidRPr="00767B8D">
        <w:t>norāda</w:t>
      </w:r>
      <w:r w:rsidRPr="00767B8D">
        <w:t xml:space="preserve">, ka </w:t>
      </w:r>
      <w:r w:rsidR="00B630AE">
        <w:t>internetā vietnē ievietotā publikācija</w:t>
      </w:r>
      <w:r w:rsidRPr="00767B8D">
        <w:t xml:space="preserve"> </w:t>
      </w:r>
      <w:r w:rsidR="00B630AE">
        <w:t>„</w:t>
      </w:r>
      <w:r w:rsidR="00D767FB">
        <w:t>[Nosaukums C]</w:t>
      </w:r>
      <w:r w:rsidR="00B630AE">
        <w:t>”</w:t>
      </w:r>
      <w:r w:rsidRPr="00767B8D">
        <w:t xml:space="preserve"> nav tikusi izmantota kā pierādījums apsūdzētā </w:t>
      </w:r>
      <w:r w:rsidR="00DF0D56">
        <w:t>[pers. A]</w:t>
      </w:r>
      <w:r w:rsidRPr="00767B8D">
        <w:t xml:space="preserve"> līdzdalībai </w:t>
      </w:r>
      <w:r w:rsidR="00CE29BA">
        <w:t>publikācijas t</w:t>
      </w:r>
      <w:r w:rsidRPr="00767B8D">
        <w:t xml:space="preserve">apšanā, bet gan kā </w:t>
      </w:r>
      <w:r w:rsidRPr="00767B8D">
        <w:lastRenderedPageBreak/>
        <w:t xml:space="preserve">publiski pieejams avots, kas raksturo </w:t>
      </w:r>
      <w:proofErr w:type="spellStart"/>
      <w:r w:rsidRPr="00767B8D">
        <w:t>domnīcas</w:t>
      </w:r>
      <w:proofErr w:type="spellEnd"/>
      <w:r w:rsidRPr="00767B8D">
        <w:t> „</w:t>
      </w:r>
      <w:r w:rsidR="007E32D1">
        <w:t>[Nosaukums B]</w:t>
      </w:r>
      <w:r w:rsidRPr="00767B8D">
        <w:t xml:space="preserve">” darbības virzienus un ideoloģisko ievirzi. Apelācijas instances tiesa konstatējusi, ka </w:t>
      </w:r>
      <w:r w:rsidR="00DF0D56">
        <w:t>[pers. A]</w:t>
      </w:r>
      <w:r w:rsidRPr="00767B8D">
        <w:t xml:space="preserve"> piedalījies </w:t>
      </w:r>
      <w:proofErr w:type="spellStart"/>
      <w:r w:rsidRPr="00767B8D">
        <w:t>domnīcas</w:t>
      </w:r>
      <w:proofErr w:type="spellEnd"/>
      <w:r w:rsidRPr="00767B8D">
        <w:t xml:space="preserve"> aktivitātēs, t</w:t>
      </w:r>
      <w:r w:rsidR="00EA0B2C" w:rsidRPr="00767B8D">
        <w:t>ai skaitā</w:t>
      </w:r>
      <w:r w:rsidRPr="00767B8D">
        <w:t xml:space="preserve"> sadaļā par Baltijas valstīm, ko apliecina gan lietas materiāli, gan publiski pieejamā informācija, kā arī viņa izteikumu un publikāciju stila sakritība ar doktrīnas tekstu.</w:t>
      </w:r>
    </w:p>
    <w:p w14:paraId="733C46A9" w14:textId="72724F8E" w:rsidR="004522E7" w:rsidRPr="00767B8D" w:rsidRDefault="00E76282" w:rsidP="00364D24">
      <w:pPr>
        <w:shd w:val="clear" w:color="auto" w:fill="FFFFFF"/>
        <w:spacing w:line="276" w:lineRule="auto"/>
        <w:ind w:firstLine="720"/>
        <w:jc w:val="both"/>
        <w:rPr>
          <w:rFonts w:asciiTheme="majorBidi" w:hAnsiTheme="majorBidi" w:cstheme="majorBidi"/>
          <w:color w:val="000000" w:themeColor="text1"/>
        </w:rPr>
      </w:pPr>
      <w:r w:rsidRPr="00767B8D">
        <w:t>[6.</w:t>
      </w:r>
      <w:r w:rsidR="007F7009">
        <w:t>1.</w:t>
      </w:r>
      <w:r w:rsidR="002F18CB">
        <w:t>3</w:t>
      </w:r>
      <w:r w:rsidRPr="00767B8D">
        <w:t>]</w:t>
      </w:r>
      <w:r w:rsidR="00AD1412" w:rsidRPr="00767B8D">
        <w:t> </w:t>
      </w:r>
      <w:r w:rsidR="0041722F" w:rsidRPr="00767B8D">
        <w:rPr>
          <w:rFonts w:asciiTheme="majorBidi" w:hAnsiTheme="majorBidi" w:cstheme="majorBidi"/>
          <w:color w:val="000000" w:themeColor="text1"/>
        </w:rPr>
        <w:t xml:space="preserve">Senāts </w:t>
      </w:r>
      <w:r w:rsidR="00EA0B2C" w:rsidRPr="00767B8D">
        <w:rPr>
          <w:rFonts w:asciiTheme="majorBidi" w:hAnsiTheme="majorBidi" w:cstheme="majorBidi"/>
          <w:color w:val="000000" w:themeColor="text1"/>
        </w:rPr>
        <w:t>atzīst par nepamatotu</w:t>
      </w:r>
      <w:r w:rsidR="0041722F" w:rsidRPr="00767B8D">
        <w:rPr>
          <w:rFonts w:asciiTheme="majorBidi" w:hAnsiTheme="majorBidi" w:cstheme="majorBidi"/>
          <w:color w:val="000000" w:themeColor="text1"/>
        </w:rPr>
        <w:t xml:space="preserve"> apsūdzētā iebildum</w:t>
      </w:r>
      <w:r w:rsidR="00EA0B2C" w:rsidRPr="00767B8D">
        <w:rPr>
          <w:rFonts w:asciiTheme="majorBidi" w:hAnsiTheme="majorBidi" w:cstheme="majorBidi"/>
          <w:color w:val="000000" w:themeColor="text1"/>
        </w:rPr>
        <w:t>u</w:t>
      </w:r>
      <w:r w:rsidR="0041722F" w:rsidRPr="00767B8D">
        <w:rPr>
          <w:rFonts w:asciiTheme="majorBidi" w:hAnsiTheme="majorBidi" w:cstheme="majorBidi"/>
          <w:color w:val="000000" w:themeColor="text1"/>
        </w:rPr>
        <w:t>, ka apskat</w:t>
      </w:r>
      <w:r w:rsidR="00326535">
        <w:rPr>
          <w:rFonts w:asciiTheme="majorBidi" w:hAnsiTheme="majorBidi" w:cstheme="majorBidi"/>
          <w:color w:val="000000" w:themeColor="text1"/>
        </w:rPr>
        <w:t xml:space="preserve">es protokolā norādītās </w:t>
      </w:r>
      <w:r w:rsidR="0041722F" w:rsidRPr="00767B8D">
        <w:rPr>
          <w:rFonts w:asciiTheme="majorBidi" w:hAnsiTheme="majorBidi" w:cstheme="majorBidi"/>
          <w:color w:val="000000" w:themeColor="text1"/>
        </w:rPr>
        <w:t>100 </w:t>
      </w:r>
      <w:r w:rsidR="0041722F" w:rsidRPr="00767B8D">
        <w:rPr>
          <w:rFonts w:asciiTheme="majorBidi" w:hAnsiTheme="majorBidi" w:cstheme="majorBidi"/>
          <w:i/>
          <w:iCs/>
          <w:color w:val="000000" w:themeColor="text1"/>
        </w:rPr>
        <w:t>euro</w:t>
      </w:r>
      <w:r w:rsidR="0041722F" w:rsidRPr="00767B8D">
        <w:rPr>
          <w:rFonts w:asciiTheme="majorBidi" w:hAnsiTheme="majorBidi" w:cstheme="majorBidi"/>
          <w:color w:val="000000" w:themeColor="text1"/>
        </w:rPr>
        <w:t xml:space="preserve"> banknotes nav tās pašas, kas izņemtas </w:t>
      </w:r>
      <w:r w:rsidR="00DF0D56">
        <w:rPr>
          <w:rFonts w:asciiTheme="majorBidi" w:hAnsiTheme="majorBidi" w:cstheme="majorBidi"/>
          <w:color w:val="000000" w:themeColor="text1"/>
        </w:rPr>
        <w:t>[pers. A]</w:t>
      </w:r>
      <w:r w:rsidR="0041722F" w:rsidRPr="00767B8D">
        <w:rPr>
          <w:rFonts w:asciiTheme="majorBidi" w:hAnsiTheme="majorBidi" w:cstheme="majorBidi"/>
          <w:color w:val="000000" w:themeColor="text1"/>
        </w:rPr>
        <w:t xml:space="preserve"> dzīvesvietas kratīšanā. No 2018. gada 20. aprīļa kratīšanas un 2018. gada 3. jūlija apskates protokol</w:t>
      </w:r>
      <w:r w:rsidR="00182F72" w:rsidRPr="00767B8D">
        <w:rPr>
          <w:rFonts w:asciiTheme="majorBidi" w:hAnsiTheme="majorBidi" w:cstheme="majorBidi"/>
          <w:color w:val="000000" w:themeColor="text1"/>
        </w:rPr>
        <w:t>iem</w:t>
      </w:r>
      <w:r w:rsidR="0041722F" w:rsidRPr="00767B8D">
        <w:rPr>
          <w:rFonts w:asciiTheme="majorBidi" w:hAnsiTheme="majorBidi" w:cstheme="majorBidi"/>
          <w:color w:val="000000" w:themeColor="text1"/>
        </w:rPr>
        <w:t xml:space="preserve">, izriet, ka </w:t>
      </w:r>
      <w:r w:rsidR="00DF0D56">
        <w:rPr>
          <w:rFonts w:asciiTheme="majorBidi" w:hAnsiTheme="majorBidi" w:cstheme="majorBidi"/>
          <w:color w:val="000000" w:themeColor="text1"/>
        </w:rPr>
        <w:t>[pers. A]</w:t>
      </w:r>
      <w:r w:rsidR="0041722F" w:rsidRPr="00767B8D">
        <w:rPr>
          <w:rFonts w:asciiTheme="majorBidi" w:hAnsiTheme="majorBidi" w:cstheme="majorBidi"/>
          <w:color w:val="000000" w:themeColor="text1"/>
        </w:rPr>
        <w:t xml:space="preserve"> dzīvesviet</w:t>
      </w:r>
      <w:r w:rsidR="00F621C2">
        <w:rPr>
          <w:rFonts w:asciiTheme="majorBidi" w:hAnsiTheme="majorBidi" w:cstheme="majorBidi"/>
          <w:color w:val="000000" w:themeColor="text1"/>
        </w:rPr>
        <w:t>as</w:t>
      </w:r>
      <w:r w:rsidR="0041722F" w:rsidRPr="00767B8D">
        <w:rPr>
          <w:rFonts w:asciiTheme="majorBidi" w:hAnsiTheme="majorBidi" w:cstheme="majorBidi"/>
          <w:color w:val="000000" w:themeColor="text1"/>
        </w:rPr>
        <w:t xml:space="preserve"> </w:t>
      </w:r>
      <w:r w:rsidR="00F621C2" w:rsidRPr="00767B8D">
        <w:rPr>
          <w:rFonts w:asciiTheme="majorBidi" w:hAnsiTheme="majorBidi" w:cstheme="majorBidi"/>
          <w:color w:val="000000" w:themeColor="text1"/>
        </w:rPr>
        <w:t xml:space="preserve">kratīšanā </w:t>
      </w:r>
      <w:r w:rsidR="0041722F" w:rsidRPr="00767B8D">
        <w:rPr>
          <w:rFonts w:asciiTheme="majorBidi" w:hAnsiTheme="majorBidi" w:cstheme="majorBidi"/>
          <w:color w:val="000000" w:themeColor="text1"/>
        </w:rPr>
        <w:t>atrastie naudas līdzekļi izņemti un ievietoti slēgt</w:t>
      </w:r>
      <w:r w:rsidR="00F621C2">
        <w:rPr>
          <w:rFonts w:asciiTheme="majorBidi" w:hAnsiTheme="majorBidi" w:cstheme="majorBidi"/>
          <w:color w:val="000000" w:themeColor="text1"/>
        </w:rPr>
        <w:t>a</w:t>
      </w:r>
      <w:r w:rsidR="0041722F" w:rsidRPr="00767B8D">
        <w:rPr>
          <w:rFonts w:asciiTheme="majorBidi" w:hAnsiTheme="majorBidi" w:cstheme="majorBidi"/>
          <w:color w:val="000000" w:themeColor="text1"/>
        </w:rPr>
        <w:t xml:space="preserve"> tipa papīra aploksnē ar uzrakstu</w:t>
      </w:r>
      <w:r w:rsidR="002B6706">
        <w:rPr>
          <w:rFonts w:asciiTheme="majorBidi" w:hAnsiTheme="majorBidi" w:cstheme="majorBidi"/>
          <w:color w:val="000000" w:themeColor="text1"/>
        </w:rPr>
        <w:t xml:space="preserve"> </w:t>
      </w:r>
      <w:r w:rsidR="0041722F" w:rsidRPr="00767B8D">
        <w:rPr>
          <w:rFonts w:asciiTheme="majorBidi" w:hAnsiTheme="majorBidi" w:cstheme="majorBidi"/>
          <w:color w:val="000000" w:themeColor="text1"/>
        </w:rPr>
        <w:t xml:space="preserve">„Kratīšanas laikā </w:t>
      </w:r>
      <w:r w:rsidR="007E32D1">
        <w:rPr>
          <w:rFonts w:asciiTheme="majorBidi" w:hAnsiTheme="majorBidi" w:cstheme="majorBidi"/>
          <w:color w:val="000000" w:themeColor="text1"/>
        </w:rPr>
        <w:t>[adrese]</w:t>
      </w:r>
      <w:r w:rsidR="0041722F" w:rsidRPr="00767B8D">
        <w:rPr>
          <w:rFonts w:asciiTheme="majorBidi" w:hAnsiTheme="majorBidi" w:cstheme="majorBidi"/>
          <w:color w:val="000000" w:themeColor="text1"/>
        </w:rPr>
        <w:t>, atrastie un izņemtie finanšu līdzekļi”, kas noslēgta ar drošības uzlīmi Nr. 002111</w:t>
      </w:r>
      <w:r w:rsidR="00364D24" w:rsidRPr="00767B8D">
        <w:rPr>
          <w:rFonts w:asciiTheme="majorBidi" w:hAnsiTheme="majorBidi" w:cstheme="majorBidi"/>
          <w:color w:val="000000" w:themeColor="text1"/>
        </w:rPr>
        <w:t xml:space="preserve"> un nodota bez pazīmēm par tās atvēršanu līdz apskates veikšanai</w:t>
      </w:r>
      <w:r w:rsidR="00EA0B2C" w:rsidRPr="00767B8D">
        <w:rPr>
          <w:rFonts w:asciiTheme="majorBidi" w:hAnsiTheme="majorBidi" w:cstheme="majorBidi"/>
          <w:color w:val="000000" w:themeColor="text1"/>
        </w:rPr>
        <w:t xml:space="preserve">, kad </w:t>
      </w:r>
      <w:r w:rsidR="00364D24" w:rsidRPr="00767B8D">
        <w:rPr>
          <w:rFonts w:asciiTheme="majorBidi" w:hAnsiTheme="majorBidi" w:cstheme="majorBidi"/>
          <w:color w:val="000000" w:themeColor="text1"/>
        </w:rPr>
        <w:t>minētā aploksn</w:t>
      </w:r>
      <w:r w:rsidR="00EA0B2C" w:rsidRPr="00767B8D">
        <w:rPr>
          <w:rFonts w:asciiTheme="majorBidi" w:hAnsiTheme="majorBidi" w:cstheme="majorBidi"/>
          <w:color w:val="000000" w:themeColor="text1"/>
        </w:rPr>
        <w:t xml:space="preserve">e </w:t>
      </w:r>
      <w:r w:rsidR="00364D24" w:rsidRPr="00767B8D">
        <w:rPr>
          <w:rFonts w:asciiTheme="majorBidi" w:hAnsiTheme="majorBidi" w:cstheme="majorBidi"/>
          <w:color w:val="000000" w:themeColor="text1"/>
        </w:rPr>
        <w:t xml:space="preserve">atvērta un </w:t>
      </w:r>
      <w:r w:rsidR="00C4019E" w:rsidRPr="00767B8D">
        <w:rPr>
          <w:rFonts w:asciiTheme="majorBidi" w:hAnsiTheme="majorBidi" w:cstheme="majorBidi"/>
          <w:color w:val="000000" w:themeColor="text1"/>
        </w:rPr>
        <w:t xml:space="preserve">apskatītas </w:t>
      </w:r>
      <w:r w:rsidR="00364D24" w:rsidRPr="00767B8D">
        <w:rPr>
          <w:rFonts w:asciiTheme="majorBidi" w:hAnsiTheme="majorBidi" w:cstheme="majorBidi"/>
          <w:color w:val="000000" w:themeColor="text1"/>
        </w:rPr>
        <w:t>tajā esošās banknotes.</w:t>
      </w:r>
    </w:p>
    <w:p w14:paraId="163A6797" w14:textId="0D2BDFC9" w:rsidR="004522E7" w:rsidRPr="00767B8D" w:rsidRDefault="00F2557D" w:rsidP="00364D24">
      <w:pPr>
        <w:shd w:val="clear" w:color="auto" w:fill="FFFFFF"/>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Ņ</w:t>
      </w:r>
      <w:r w:rsidR="004522E7" w:rsidRPr="00767B8D">
        <w:rPr>
          <w:rFonts w:asciiTheme="majorBidi" w:hAnsiTheme="majorBidi" w:cstheme="majorBidi"/>
          <w:color w:val="000000" w:themeColor="text1"/>
        </w:rPr>
        <w:t xml:space="preserve">emot vērā lietā esošās ziņas par honorāra saņemšanu no Krievijas </w:t>
      </w:r>
      <w:r w:rsidR="008802D4" w:rsidRPr="00767B8D">
        <w:rPr>
          <w:rFonts w:asciiTheme="majorBidi" w:hAnsiTheme="majorBidi" w:cstheme="majorBidi"/>
          <w:color w:val="000000" w:themeColor="text1"/>
        </w:rPr>
        <w:t>F</w:t>
      </w:r>
      <w:r w:rsidR="004522E7" w:rsidRPr="00767B8D">
        <w:rPr>
          <w:rFonts w:asciiTheme="majorBidi" w:hAnsiTheme="majorBidi" w:cstheme="majorBidi"/>
          <w:color w:val="000000" w:themeColor="text1"/>
        </w:rPr>
        <w:t xml:space="preserve">ederācijas </w:t>
      </w:r>
      <w:proofErr w:type="spellStart"/>
      <w:r w:rsidR="004522E7" w:rsidRPr="00767B8D">
        <w:t>domnīcas</w:t>
      </w:r>
      <w:proofErr w:type="spellEnd"/>
      <w:r w:rsidR="004522E7" w:rsidRPr="00767B8D">
        <w:t> „</w:t>
      </w:r>
      <w:r w:rsidR="007E32D1">
        <w:t>[Nosaukums B]</w:t>
      </w:r>
      <w:r w:rsidR="004522E7" w:rsidRPr="00767B8D">
        <w:t xml:space="preserve">” </w:t>
      </w:r>
      <w:r w:rsidR="004522E7" w:rsidRPr="00767B8D">
        <w:rPr>
          <w:rFonts w:asciiTheme="majorBidi" w:hAnsiTheme="majorBidi" w:cstheme="majorBidi"/>
          <w:color w:val="000000" w:themeColor="text1"/>
        </w:rPr>
        <w:t>un 100</w:t>
      </w:r>
      <w:r>
        <w:rPr>
          <w:rFonts w:asciiTheme="majorBidi" w:hAnsiTheme="majorBidi" w:cstheme="majorBidi"/>
          <w:color w:val="000000" w:themeColor="text1"/>
        </w:rPr>
        <w:t> </w:t>
      </w:r>
      <w:proofErr w:type="spellStart"/>
      <w:r w:rsidR="004522E7" w:rsidRPr="00767B8D">
        <w:rPr>
          <w:rFonts w:asciiTheme="majorBidi" w:hAnsiTheme="majorBidi" w:cstheme="majorBidi"/>
          <w:i/>
          <w:iCs/>
          <w:color w:val="000000" w:themeColor="text1"/>
        </w:rPr>
        <w:t>euro</w:t>
      </w:r>
      <w:proofErr w:type="spellEnd"/>
      <w:r w:rsidR="004522E7" w:rsidRPr="00767B8D">
        <w:rPr>
          <w:rFonts w:asciiTheme="majorBidi" w:hAnsiTheme="majorBidi" w:cstheme="majorBidi"/>
          <w:i/>
          <w:iCs/>
          <w:color w:val="000000" w:themeColor="text1"/>
        </w:rPr>
        <w:t xml:space="preserve"> </w:t>
      </w:r>
      <w:r w:rsidR="004522E7" w:rsidRPr="00767B8D">
        <w:rPr>
          <w:rFonts w:asciiTheme="majorBidi" w:hAnsiTheme="majorBidi" w:cstheme="majorBidi"/>
          <w:color w:val="000000" w:themeColor="text1"/>
        </w:rPr>
        <w:t>banknošu secīgos numurus</w:t>
      </w:r>
      <w:r w:rsidR="008802D4" w:rsidRPr="00767B8D">
        <w:rPr>
          <w:rFonts w:asciiTheme="majorBidi" w:hAnsiTheme="majorBidi" w:cstheme="majorBidi"/>
          <w:color w:val="000000" w:themeColor="text1"/>
        </w:rPr>
        <w:t xml:space="preserve">, </w:t>
      </w:r>
      <w:r>
        <w:rPr>
          <w:rFonts w:asciiTheme="majorBidi" w:hAnsiTheme="majorBidi" w:cstheme="majorBidi"/>
          <w:color w:val="000000" w:themeColor="text1"/>
        </w:rPr>
        <w:t>a</w:t>
      </w:r>
      <w:r w:rsidRPr="00767B8D">
        <w:rPr>
          <w:rFonts w:asciiTheme="majorBidi" w:hAnsiTheme="majorBidi" w:cstheme="majorBidi"/>
          <w:color w:val="000000" w:themeColor="text1"/>
        </w:rPr>
        <w:t xml:space="preserve">pelācijas instances tiesa </w:t>
      </w:r>
      <w:r>
        <w:rPr>
          <w:rFonts w:asciiTheme="majorBidi" w:hAnsiTheme="majorBidi" w:cstheme="majorBidi"/>
          <w:color w:val="000000" w:themeColor="text1"/>
        </w:rPr>
        <w:t xml:space="preserve">atzinusi, ka </w:t>
      </w:r>
      <w:r w:rsidR="00364D24" w:rsidRPr="00767B8D">
        <w:rPr>
          <w:rFonts w:asciiTheme="majorBidi" w:hAnsiTheme="majorBidi" w:cstheme="majorBidi"/>
          <w:color w:val="000000" w:themeColor="text1"/>
        </w:rPr>
        <w:t xml:space="preserve">liecinieces </w:t>
      </w:r>
      <w:r w:rsidR="007E32D1">
        <w:rPr>
          <w:rFonts w:asciiTheme="majorBidi" w:hAnsiTheme="majorBidi" w:cstheme="majorBidi"/>
          <w:color w:val="000000" w:themeColor="text1"/>
        </w:rPr>
        <w:t>[pers. E]</w:t>
      </w:r>
      <w:r w:rsidR="00364D24" w:rsidRPr="00767B8D">
        <w:rPr>
          <w:rFonts w:asciiTheme="majorBidi" w:hAnsiTheme="majorBidi" w:cstheme="majorBidi"/>
          <w:color w:val="000000" w:themeColor="text1"/>
        </w:rPr>
        <w:t xml:space="preserve"> liecības par minētās naudas piederību viņai</w:t>
      </w:r>
      <w:r>
        <w:rPr>
          <w:rFonts w:asciiTheme="majorBidi" w:hAnsiTheme="majorBidi" w:cstheme="majorBidi"/>
          <w:color w:val="000000" w:themeColor="text1"/>
        </w:rPr>
        <w:t xml:space="preserve"> nav ticamas</w:t>
      </w:r>
      <w:r w:rsidR="00364D24" w:rsidRPr="00767B8D">
        <w:rPr>
          <w:rFonts w:asciiTheme="majorBidi" w:hAnsiTheme="majorBidi" w:cstheme="majorBidi"/>
          <w:color w:val="000000" w:themeColor="text1"/>
        </w:rPr>
        <w:t xml:space="preserve">, </w:t>
      </w:r>
      <w:r w:rsidR="007950F6" w:rsidRPr="00767B8D">
        <w:rPr>
          <w:rFonts w:asciiTheme="majorBidi" w:hAnsiTheme="majorBidi" w:cstheme="majorBidi"/>
          <w:color w:val="000000" w:themeColor="text1"/>
        </w:rPr>
        <w:t>un</w:t>
      </w:r>
      <w:r w:rsidR="00364D24" w:rsidRPr="00767B8D">
        <w:rPr>
          <w:rFonts w:asciiTheme="majorBidi" w:hAnsiTheme="majorBidi" w:cstheme="majorBidi"/>
          <w:color w:val="000000" w:themeColor="text1"/>
        </w:rPr>
        <w:t xml:space="preserve"> konstatējusi, ka </w:t>
      </w:r>
      <w:r w:rsidR="008802D4" w:rsidRPr="00767B8D">
        <w:rPr>
          <w:rFonts w:asciiTheme="majorBidi" w:hAnsiTheme="majorBidi" w:cstheme="majorBidi"/>
          <w:color w:val="000000" w:themeColor="text1"/>
        </w:rPr>
        <w:t>naudas līdzekļi ir noziedzīgi iegūti.</w:t>
      </w:r>
    </w:p>
    <w:p w14:paraId="7C02A7B7" w14:textId="223EAD40" w:rsidR="00364D24" w:rsidRDefault="004522E7" w:rsidP="00364D24">
      <w:pPr>
        <w:shd w:val="clear" w:color="auto" w:fill="FFFFFF"/>
        <w:spacing w:line="276" w:lineRule="auto"/>
        <w:ind w:firstLine="720"/>
        <w:jc w:val="both"/>
        <w:rPr>
          <w:rFonts w:asciiTheme="majorBidi" w:hAnsiTheme="majorBidi" w:cstheme="majorBidi"/>
          <w:color w:val="000000" w:themeColor="text1"/>
        </w:rPr>
      </w:pPr>
      <w:r w:rsidRPr="00767B8D">
        <w:rPr>
          <w:rFonts w:asciiTheme="majorBidi" w:hAnsiTheme="majorBidi" w:cstheme="majorBidi"/>
          <w:color w:val="000000" w:themeColor="text1"/>
        </w:rPr>
        <w:t xml:space="preserve">Senātam nav pamata apšaubīt </w:t>
      </w:r>
      <w:r w:rsidR="00364D24" w:rsidRPr="00767B8D">
        <w:rPr>
          <w:rFonts w:asciiTheme="majorBidi" w:hAnsiTheme="majorBidi" w:cstheme="majorBidi"/>
          <w:color w:val="000000" w:themeColor="text1"/>
        </w:rPr>
        <w:t>apelācijas instances tiesa</w:t>
      </w:r>
      <w:r w:rsidRPr="00767B8D">
        <w:rPr>
          <w:rFonts w:asciiTheme="majorBidi" w:hAnsiTheme="majorBidi" w:cstheme="majorBidi"/>
          <w:color w:val="000000" w:themeColor="text1"/>
        </w:rPr>
        <w:t>s atzinumu, kas pamatots ar konkrēt</w:t>
      </w:r>
      <w:r w:rsidR="008802D4" w:rsidRPr="00767B8D">
        <w:rPr>
          <w:rFonts w:asciiTheme="majorBidi" w:hAnsiTheme="majorBidi" w:cstheme="majorBidi"/>
          <w:color w:val="000000" w:themeColor="text1"/>
        </w:rPr>
        <w:t xml:space="preserve">ām ziņām par </w:t>
      </w:r>
      <w:r w:rsidR="00364D24" w:rsidRPr="00767B8D">
        <w:rPr>
          <w:rFonts w:asciiTheme="majorBidi" w:hAnsiTheme="majorBidi" w:cstheme="majorBidi"/>
          <w:color w:val="000000" w:themeColor="text1"/>
        </w:rPr>
        <w:t>naudas līdzekļ</w:t>
      </w:r>
      <w:r w:rsidR="008802D4" w:rsidRPr="00767B8D">
        <w:rPr>
          <w:rFonts w:asciiTheme="majorBidi" w:hAnsiTheme="majorBidi" w:cstheme="majorBidi"/>
          <w:color w:val="000000" w:themeColor="text1"/>
        </w:rPr>
        <w:t xml:space="preserve">u </w:t>
      </w:r>
      <w:r w:rsidR="00364D24" w:rsidRPr="00767B8D">
        <w:rPr>
          <w:rFonts w:asciiTheme="majorBidi" w:hAnsiTheme="majorBidi" w:cstheme="majorBidi"/>
          <w:color w:val="000000" w:themeColor="text1"/>
        </w:rPr>
        <w:t>noziedzīg</w:t>
      </w:r>
      <w:r w:rsidR="008802D4" w:rsidRPr="00767B8D">
        <w:rPr>
          <w:rFonts w:asciiTheme="majorBidi" w:hAnsiTheme="majorBidi" w:cstheme="majorBidi"/>
          <w:color w:val="000000" w:themeColor="text1"/>
        </w:rPr>
        <w:t>o</w:t>
      </w:r>
      <w:r w:rsidR="00364D24" w:rsidRPr="00767B8D">
        <w:rPr>
          <w:rFonts w:asciiTheme="majorBidi" w:hAnsiTheme="majorBidi" w:cstheme="majorBidi"/>
          <w:color w:val="000000" w:themeColor="text1"/>
        </w:rPr>
        <w:t xml:space="preserve"> izcelsm</w:t>
      </w:r>
      <w:r w:rsidR="008802D4" w:rsidRPr="00767B8D">
        <w:rPr>
          <w:rFonts w:asciiTheme="majorBidi" w:hAnsiTheme="majorBidi" w:cstheme="majorBidi"/>
          <w:color w:val="000000" w:themeColor="text1"/>
        </w:rPr>
        <w:t>i</w:t>
      </w:r>
      <w:r w:rsidR="00364D24" w:rsidRPr="00767B8D">
        <w:rPr>
          <w:rFonts w:asciiTheme="majorBidi" w:hAnsiTheme="majorBidi" w:cstheme="majorBidi"/>
          <w:color w:val="000000" w:themeColor="text1"/>
        </w:rPr>
        <w:t>.</w:t>
      </w:r>
    </w:p>
    <w:p w14:paraId="5E8EFC23" w14:textId="5F3D0ED8" w:rsidR="007F7009" w:rsidRPr="00767B8D" w:rsidRDefault="007F7009" w:rsidP="007F7009">
      <w:pPr>
        <w:shd w:val="clear" w:color="auto" w:fill="FFFFFF"/>
        <w:spacing w:line="276" w:lineRule="auto"/>
        <w:ind w:firstLine="720"/>
        <w:jc w:val="both"/>
      </w:pPr>
      <w:r w:rsidRPr="00767B8D">
        <w:t>[</w:t>
      </w:r>
      <w:r>
        <w:t>6.2</w:t>
      </w:r>
      <w:r w:rsidRPr="00767B8D">
        <w:t xml:space="preserve">] Senāts nekonstatē apsūdzētā </w:t>
      </w:r>
      <w:r w:rsidR="00DF0D56">
        <w:t>[pers. A]</w:t>
      </w:r>
      <w:r w:rsidRPr="00767B8D">
        <w:t xml:space="preserve"> norādīto dubultās sodīšanas nepieļaujamības principa pārkāpumu.</w:t>
      </w:r>
    </w:p>
    <w:p w14:paraId="2E6BC5D3" w14:textId="77777777" w:rsidR="007F7009" w:rsidRPr="00767B8D" w:rsidRDefault="007F7009" w:rsidP="007F7009">
      <w:pPr>
        <w:shd w:val="clear" w:color="auto" w:fill="FFFFFF"/>
        <w:spacing w:line="276" w:lineRule="auto"/>
        <w:ind w:right="14" w:firstLine="720"/>
        <w:jc w:val="both"/>
      </w:pPr>
      <w:r w:rsidRPr="00767B8D">
        <w:rPr>
          <w:bCs/>
        </w:rPr>
        <w:t xml:space="preserve">Krimināllikuma </w:t>
      </w:r>
      <w:r>
        <w:rPr>
          <w:bCs/>
        </w:rPr>
        <w:t>1. </w:t>
      </w:r>
      <w:r w:rsidRPr="00767B8D">
        <w:rPr>
          <w:bCs/>
        </w:rPr>
        <w:t xml:space="preserve">panta </w:t>
      </w:r>
      <w:r>
        <w:rPr>
          <w:bCs/>
        </w:rPr>
        <w:t xml:space="preserve">piektajā daļā un Kriminālprocesa 25. pantā </w:t>
      </w:r>
      <w:r w:rsidRPr="00016E09">
        <w:rPr>
          <w:bCs/>
        </w:rPr>
        <w:t>(</w:t>
      </w:r>
      <w:r w:rsidRPr="00016E09">
        <w:rPr>
          <w:bCs/>
          <w:i/>
          <w:iCs/>
        </w:rPr>
        <w:t>ne bis in idem</w:t>
      </w:r>
      <w:r w:rsidRPr="00016E09">
        <w:rPr>
          <w:bCs/>
        </w:rPr>
        <w:t>) ir nostiprināts dubultās sodīšanas nepieļaujamības princips un tā mērķis ir</w:t>
      </w:r>
      <w:r w:rsidRPr="00767B8D">
        <w:rPr>
          <w:bCs/>
        </w:rPr>
        <w:t xml:space="preserve"> novērst netaisnīgu situāciju, kad persona tiek saukta pie atbildības divreiz par vienu un to pašu krimināli sodāmu darbību.</w:t>
      </w:r>
    </w:p>
    <w:p w14:paraId="7790F3D6" w14:textId="4C827532" w:rsidR="007F7009" w:rsidRPr="00CA5DF2" w:rsidRDefault="007F7009" w:rsidP="002B6706">
      <w:pPr>
        <w:spacing w:line="276" w:lineRule="auto"/>
        <w:ind w:firstLine="720"/>
        <w:jc w:val="both"/>
        <w:rPr>
          <w:b/>
        </w:rPr>
      </w:pPr>
      <w:r>
        <w:t xml:space="preserve">Ir jāpiepildās četriem priekšnosacījumiem, lai atzītu, ka tiek pieļauts dubultās sodīšanas principa pārkāpums: </w:t>
      </w:r>
      <w:r w:rsidRPr="00767B8D">
        <w:t>1)</w:t>
      </w:r>
      <w:r>
        <w:t> </w:t>
      </w:r>
      <w:r w:rsidRPr="00767B8D">
        <w:t>jābūt diviem kriminālprocesuāla rakstura procesiem (</w:t>
      </w:r>
      <w:r w:rsidRPr="00767B8D">
        <w:rPr>
          <w:i/>
          <w:iCs/>
        </w:rPr>
        <w:t>bis</w:t>
      </w:r>
      <w:r w:rsidRPr="00767B8D">
        <w:t>); 2) tiem jāattiecas uz vieniem un tiem pašiem faktiem (</w:t>
      </w:r>
      <w:r w:rsidRPr="00767B8D">
        <w:rPr>
          <w:i/>
          <w:iCs/>
        </w:rPr>
        <w:t>idem</w:t>
      </w:r>
      <w:r w:rsidRPr="00767B8D">
        <w:t>); 3)</w:t>
      </w:r>
      <w:r>
        <w:t> </w:t>
      </w:r>
      <w:r w:rsidRPr="00767B8D">
        <w:t>tiem jābūt pret vienu un to pašu personu; 4)</w:t>
      </w:r>
      <w:r>
        <w:t> </w:t>
      </w:r>
      <w:r w:rsidRPr="00767B8D">
        <w:t>jābūt pieņemtam galīgam attaisnojošam vai notiesājošam nolēmumam</w:t>
      </w:r>
      <w:r>
        <w:t xml:space="preserve"> (</w:t>
      </w:r>
      <w:r w:rsidRPr="00EE4172">
        <w:t>sk</w:t>
      </w:r>
      <w:r>
        <w:rPr>
          <w:i/>
          <w:iCs/>
        </w:rPr>
        <w:t>.</w:t>
      </w:r>
      <w:r>
        <w:rPr>
          <w:b/>
        </w:rPr>
        <w:t> </w:t>
      </w:r>
      <w:r w:rsidRPr="00EE4172">
        <w:rPr>
          <w:bCs/>
          <w:i/>
          <w:iCs/>
        </w:rPr>
        <w:t>Senāta 2021.</w:t>
      </w:r>
      <w:r>
        <w:rPr>
          <w:bCs/>
          <w:i/>
          <w:iCs/>
        </w:rPr>
        <w:t> </w:t>
      </w:r>
      <w:r w:rsidRPr="00EE4172">
        <w:rPr>
          <w:bCs/>
          <w:i/>
          <w:iCs/>
        </w:rPr>
        <w:t>gada 28.</w:t>
      </w:r>
      <w:r>
        <w:rPr>
          <w:bCs/>
          <w:i/>
          <w:iCs/>
        </w:rPr>
        <w:t> </w:t>
      </w:r>
      <w:r w:rsidRPr="00EE4172">
        <w:rPr>
          <w:bCs/>
          <w:i/>
          <w:iCs/>
        </w:rPr>
        <w:t>janvāra lēmum</w:t>
      </w:r>
      <w:r w:rsidR="002B6706">
        <w:rPr>
          <w:bCs/>
          <w:i/>
          <w:iCs/>
        </w:rPr>
        <w:t>a</w:t>
      </w:r>
      <w:r w:rsidRPr="00EE4172">
        <w:rPr>
          <w:bCs/>
          <w:i/>
          <w:iCs/>
        </w:rPr>
        <w:t xml:space="preserve"> liet</w:t>
      </w:r>
      <w:r w:rsidR="002B6706">
        <w:rPr>
          <w:bCs/>
          <w:i/>
          <w:iCs/>
        </w:rPr>
        <w:t>ā</w:t>
      </w:r>
      <w:r w:rsidRPr="00EE4172">
        <w:rPr>
          <w:bCs/>
          <w:i/>
          <w:iCs/>
        </w:rPr>
        <w:t xml:space="preserve"> Nr.</w:t>
      </w:r>
      <w:r>
        <w:rPr>
          <w:bCs/>
          <w:i/>
          <w:iCs/>
        </w:rPr>
        <w:t> </w:t>
      </w:r>
      <w:r w:rsidRPr="00EE4172">
        <w:rPr>
          <w:bCs/>
          <w:i/>
          <w:iCs/>
        </w:rPr>
        <w:t>SKK</w:t>
      </w:r>
      <w:r>
        <w:rPr>
          <w:bCs/>
          <w:i/>
          <w:iCs/>
        </w:rPr>
        <w:noBreakHyphen/>
      </w:r>
      <w:r w:rsidRPr="00EE4172">
        <w:rPr>
          <w:bCs/>
          <w:i/>
          <w:iCs/>
        </w:rPr>
        <w:t>2/2021</w:t>
      </w:r>
      <w:r>
        <w:rPr>
          <w:bCs/>
          <w:i/>
          <w:iCs/>
        </w:rPr>
        <w:t>,</w:t>
      </w:r>
      <w:r w:rsidRPr="00EE4172">
        <w:rPr>
          <w:bCs/>
          <w:i/>
          <w:iCs/>
        </w:rPr>
        <w:t xml:space="preserve"> </w:t>
      </w:r>
      <w:hyperlink r:id="rId13" w:history="1">
        <w:r w:rsidRPr="00F621C2">
          <w:rPr>
            <w:rStyle w:val="Hyperlink"/>
            <w:i/>
            <w:iCs/>
            <w:shd w:val="clear" w:color="auto" w:fill="FFFFFF"/>
          </w:rPr>
          <w:t>ECLI:LV:AT:2021:0128.15830406610.6.L</w:t>
        </w:r>
      </w:hyperlink>
      <w:r w:rsidR="002B6706" w:rsidRPr="002B6706">
        <w:rPr>
          <w:i/>
          <w:iCs/>
        </w:rPr>
        <w:t>, 11.3. punktu</w:t>
      </w:r>
      <w:r>
        <w:t>)</w:t>
      </w:r>
      <w:r w:rsidRPr="00767B8D">
        <w:t>.</w:t>
      </w:r>
    </w:p>
    <w:p w14:paraId="0EE73DD3" w14:textId="77777777" w:rsidR="007F7009" w:rsidRPr="00767B8D" w:rsidRDefault="007F7009" w:rsidP="007F7009">
      <w:pPr>
        <w:shd w:val="clear" w:color="auto" w:fill="FFFFFF"/>
        <w:spacing w:line="276" w:lineRule="auto"/>
        <w:ind w:firstLine="720"/>
        <w:jc w:val="both"/>
      </w:pPr>
      <w:r w:rsidRPr="00767B8D">
        <w:t>Tādējādi dubultās sodīšanas nepieļaujamības princips ir attiecināms uz personas atkārtotu tiesāšanu vai sodīšanu par vienu un to pašu nodarījumu, bet tas neaizliedz vienas un tās pašas ziņas par faktiem izmantot kā pierādījumus vairākos kriminālprocesos, ja tie ir bijuši nozīmīgi konkrēta noziedzīga nodarījuma izvērtēšanai.</w:t>
      </w:r>
    </w:p>
    <w:p w14:paraId="583B7C7A" w14:textId="77777777" w:rsidR="007F7009" w:rsidRPr="00767B8D" w:rsidRDefault="007F7009" w:rsidP="007F7009">
      <w:pPr>
        <w:shd w:val="clear" w:color="auto" w:fill="FFFFFF"/>
        <w:spacing w:line="276" w:lineRule="auto"/>
        <w:ind w:firstLine="720"/>
        <w:jc w:val="both"/>
      </w:pPr>
      <w:r w:rsidRPr="00767B8D">
        <w:t>Apelācijas instances tiesa apaļā galda diskusijas materiālus izmantojusi kā vienu no pierādījumiem, kas kopumā raksturo apsūdzētā publiskās aktivitātes un viņa izteikumu saturu, izvērtējot to atbilstību inkriminētā nodarījuma sastāvam. Līdz ar to apaļā galda diskusijas materiālu izmantošana šajā procesā pati par sevi neliecina par dubultās sodīšanas principa pārkāpumu.</w:t>
      </w:r>
    </w:p>
    <w:p w14:paraId="6B380119" w14:textId="7D751A5C" w:rsidR="007F7009" w:rsidRPr="007F7009" w:rsidRDefault="007F7009" w:rsidP="007F7009">
      <w:pPr>
        <w:shd w:val="clear" w:color="auto" w:fill="FFFFFF"/>
        <w:spacing w:line="276" w:lineRule="auto"/>
        <w:ind w:firstLine="720"/>
        <w:jc w:val="both"/>
        <w:rPr>
          <w:rFonts w:asciiTheme="majorBidi" w:hAnsiTheme="majorBidi" w:cstheme="majorBidi"/>
          <w:b/>
          <w:bCs/>
          <w:color w:val="000000" w:themeColor="text1"/>
        </w:rPr>
      </w:pPr>
      <w:r w:rsidRPr="00767B8D">
        <w:rPr>
          <w:rFonts w:asciiTheme="majorBidi" w:hAnsiTheme="majorBidi" w:cstheme="majorBidi"/>
          <w:color w:val="000000" w:themeColor="text1"/>
        </w:rPr>
        <w:t>[6.</w:t>
      </w:r>
      <w:r>
        <w:rPr>
          <w:rFonts w:asciiTheme="majorBidi" w:hAnsiTheme="majorBidi" w:cstheme="majorBidi"/>
          <w:color w:val="000000" w:themeColor="text1"/>
        </w:rPr>
        <w:t>3</w:t>
      </w:r>
      <w:r w:rsidRPr="00767B8D">
        <w:rPr>
          <w:rFonts w:asciiTheme="majorBidi" w:hAnsiTheme="majorBidi" w:cstheme="majorBidi"/>
          <w:color w:val="000000" w:themeColor="text1"/>
        </w:rPr>
        <w:t>] </w:t>
      </w:r>
      <w:r>
        <w:rPr>
          <w:rFonts w:asciiTheme="majorBidi" w:hAnsiTheme="majorBidi" w:cstheme="majorBidi"/>
          <w:color w:val="000000" w:themeColor="text1"/>
        </w:rPr>
        <w:t>Tāpat nav pamatota a</w:t>
      </w:r>
      <w:r w:rsidRPr="00767B8D">
        <w:rPr>
          <w:rFonts w:asciiTheme="majorBidi" w:hAnsiTheme="majorBidi" w:cstheme="majorBidi"/>
          <w:color w:val="000000" w:themeColor="text1"/>
        </w:rPr>
        <w:t xml:space="preserve">psūdzētā </w:t>
      </w:r>
      <w:r w:rsidR="00DF0D56">
        <w:rPr>
          <w:rFonts w:asciiTheme="majorBidi" w:hAnsiTheme="majorBidi" w:cstheme="majorBidi"/>
          <w:color w:val="000000" w:themeColor="text1"/>
        </w:rPr>
        <w:t>[pers. A]</w:t>
      </w:r>
      <w:r w:rsidRPr="00767B8D">
        <w:rPr>
          <w:rFonts w:asciiTheme="majorBidi" w:hAnsiTheme="majorBidi" w:cstheme="majorBidi"/>
          <w:color w:val="000000" w:themeColor="text1"/>
        </w:rPr>
        <w:t xml:space="preserve"> norāde, ka viņam tika liegtas tiesības iesniegt pierādījumus – viņa publikācijas. Apelācijas instances tiesa šo jautājumu nav vērtējusi, jo apsūdzētais šādu lūgumu apelācijas sūdzībā nebija izteicis. Tāpat kasācijas sūdzībā apsūdzētais nav norādījis, kādas publikācijas viņš vēlēj</w:t>
      </w:r>
      <w:r>
        <w:rPr>
          <w:rFonts w:asciiTheme="majorBidi" w:hAnsiTheme="majorBidi" w:cstheme="majorBidi"/>
          <w:color w:val="000000" w:themeColor="text1"/>
        </w:rPr>
        <w:t>ie</w:t>
      </w:r>
      <w:r w:rsidRPr="00767B8D">
        <w:rPr>
          <w:rFonts w:asciiTheme="majorBidi" w:hAnsiTheme="majorBidi" w:cstheme="majorBidi"/>
          <w:color w:val="000000" w:themeColor="text1"/>
        </w:rPr>
        <w:t xml:space="preserve">s pievienot lietas </w:t>
      </w:r>
      <w:r w:rsidRPr="00767B8D">
        <w:rPr>
          <w:rFonts w:asciiTheme="majorBidi" w:hAnsiTheme="majorBidi" w:cstheme="majorBidi"/>
          <w:color w:val="000000" w:themeColor="text1"/>
        </w:rPr>
        <w:lastRenderedPageBreak/>
        <w:t>materiāliem, un kā to saturs ietekmēs pierādīšanas priekšmetā ietilpstošo apstākļu noskaidrošanu.</w:t>
      </w:r>
    </w:p>
    <w:p w14:paraId="682BE6DF" w14:textId="629AE4FF" w:rsidR="00FD329A" w:rsidRPr="00767B8D" w:rsidRDefault="00E76282" w:rsidP="00C4019E">
      <w:pPr>
        <w:shd w:val="clear" w:color="auto" w:fill="FFFFFF"/>
        <w:spacing w:line="276" w:lineRule="auto"/>
        <w:ind w:firstLine="720"/>
        <w:jc w:val="both"/>
      </w:pPr>
      <w:r w:rsidRPr="00767B8D">
        <w:rPr>
          <w:rFonts w:asciiTheme="majorBidi" w:hAnsiTheme="majorBidi" w:cstheme="majorBidi"/>
          <w:color w:val="000000" w:themeColor="text1"/>
        </w:rPr>
        <w:t>[6.</w:t>
      </w:r>
      <w:r w:rsidR="007F7009">
        <w:rPr>
          <w:rFonts w:asciiTheme="majorBidi" w:hAnsiTheme="majorBidi" w:cstheme="majorBidi"/>
          <w:color w:val="000000" w:themeColor="text1"/>
        </w:rPr>
        <w:t>4</w:t>
      </w:r>
      <w:r w:rsidRPr="00767B8D">
        <w:rPr>
          <w:rFonts w:asciiTheme="majorBidi" w:hAnsiTheme="majorBidi" w:cstheme="majorBidi"/>
          <w:color w:val="000000" w:themeColor="text1"/>
        </w:rPr>
        <w:t>] </w:t>
      </w:r>
      <w:r w:rsidR="00654467" w:rsidRPr="00767B8D">
        <w:t>Senāts jau iepriekš ir norādījis, ka pierādījumu ticamības jēdziens un novērtēšanas prasības ir noteiktas Kriminālprocesa likuma 128. pantā, taču izvēle, kuriem pierādījumiem ticēt, bet kuriem n</w:t>
      </w:r>
      <w:r w:rsidR="002F18CB">
        <w:t>e</w:t>
      </w:r>
      <w:r w:rsidR="00654467" w:rsidRPr="00767B8D">
        <w:t>,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002F18CB" w:rsidRPr="006239A8">
        <w:rPr>
          <w:i/>
          <w:iCs/>
        </w:rPr>
        <w:t>sk.</w:t>
      </w:r>
      <w:r w:rsidR="002C435B">
        <w:rPr>
          <w:i/>
          <w:iCs/>
        </w:rPr>
        <w:t> </w:t>
      </w:r>
      <w:r w:rsidR="00654467" w:rsidRPr="00767B8D">
        <w:rPr>
          <w:i/>
          <w:iCs/>
        </w:rPr>
        <w:t>Senāta 2019. gada 27. decembra lēmuma lietā Nr. SKK</w:t>
      </w:r>
      <w:r w:rsidR="00654467" w:rsidRPr="00767B8D">
        <w:rPr>
          <w:i/>
          <w:iCs/>
        </w:rPr>
        <w:noBreakHyphen/>
        <w:t xml:space="preserve">433/2019, </w:t>
      </w:r>
      <w:hyperlink r:id="rId14" w:history="1">
        <w:r w:rsidR="00654467" w:rsidRPr="00767B8D">
          <w:rPr>
            <w:rStyle w:val="Hyperlink"/>
            <w:i/>
            <w:iCs/>
          </w:rPr>
          <w:t>ECLI:LV:AT:2019:1227.11089238414.8.L</w:t>
        </w:r>
      </w:hyperlink>
      <w:r w:rsidR="00654467" w:rsidRPr="00767B8D">
        <w:rPr>
          <w:i/>
          <w:iCs/>
        </w:rPr>
        <w:t>, 9. punkt</w:t>
      </w:r>
      <w:r w:rsidR="002C435B">
        <w:rPr>
          <w:i/>
          <w:iCs/>
        </w:rPr>
        <w:t>u</w:t>
      </w:r>
      <w:r w:rsidR="00654467" w:rsidRPr="00767B8D">
        <w:t>).</w:t>
      </w:r>
    </w:p>
    <w:p w14:paraId="0E4FCC1A" w14:textId="682B1635" w:rsidR="00FD329A" w:rsidRPr="00767B8D" w:rsidRDefault="00FD329A" w:rsidP="00FD329A">
      <w:pPr>
        <w:widowControl w:val="0"/>
        <w:spacing w:line="276" w:lineRule="auto"/>
        <w:ind w:firstLine="720"/>
        <w:jc w:val="both"/>
      </w:pPr>
      <w:r w:rsidRPr="00767B8D">
        <w:t xml:space="preserve">Senāts konstatē, ka </w:t>
      </w:r>
      <w:r w:rsidR="002D06EA">
        <w:t xml:space="preserve">minētie </w:t>
      </w:r>
      <w:r w:rsidRPr="00767B8D">
        <w:t xml:space="preserve">apsūdzētā kasācijas sūdzības argumenti </w:t>
      </w:r>
      <w:r w:rsidR="002F18CB">
        <w:t xml:space="preserve">šajā daļā </w:t>
      </w:r>
      <w:r w:rsidRPr="00767B8D">
        <w:t xml:space="preserve">pēc būtības ir pamatoti ar subjektīvu lietā </w:t>
      </w:r>
      <w:r w:rsidR="002F18CB">
        <w:t>esošo</w:t>
      </w:r>
      <w:r w:rsidR="002F18CB" w:rsidRPr="00767B8D">
        <w:t xml:space="preserve"> </w:t>
      </w:r>
      <w:r w:rsidRPr="00767B8D">
        <w:t xml:space="preserve">pierādījumu ticamības un pietiekamības vērtējumu, kopumā pauž sūdzības iesniedzēja neapmierinātību ar tiem secinājumiem, kādus izdarījusi apelācijas instances tiesa, izvērtējot lietā </w:t>
      </w:r>
      <w:r w:rsidR="002F18CB">
        <w:t>esošos</w:t>
      </w:r>
      <w:r w:rsidR="002F18CB" w:rsidRPr="00767B8D">
        <w:t xml:space="preserve"> </w:t>
      </w:r>
      <w:r w:rsidRPr="00767B8D">
        <w:t>pierādījumus, un ir vērsti uz to, lai panāktu apelācijas instances tiesas nolēmuma atcelšanu nevis juridisku, bet faktisku iemeslu dēļ, kas ir pretrunā ar Kriminālprocesa likuma 569. panta pirmo daļu.</w:t>
      </w:r>
    </w:p>
    <w:p w14:paraId="6C35E69B" w14:textId="77777777" w:rsidR="008E32ED" w:rsidRPr="00767B8D" w:rsidRDefault="008E32ED" w:rsidP="00C4019E">
      <w:pPr>
        <w:shd w:val="clear" w:color="auto" w:fill="FFFFFF"/>
        <w:spacing w:line="276" w:lineRule="auto"/>
        <w:jc w:val="both"/>
      </w:pPr>
    </w:p>
    <w:p w14:paraId="11F6AF48" w14:textId="46E2316E" w:rsidR="00B81D1A" w:rsidRPr="00767B8D" w:rsidRDefault="00B81D1A" w:rsidP="00B81D1A">
      <w:pPr>
        <w:shd w:val="clear" w:color="auto" w:fill="FFFFFF"/>
        <w:spacing w:line="276" w:lineRule="auto"/>
        <w:ind w:firstLine="720"/>
        <w:jc w:val="both"/>
      </w:pPr>
      <w:r w:rsidRPr="00767B8D">
        <w:t>[7]</w:t>
      </w:r>
      <w:r w:rsidR="002855C4" w:rsidRPr="00767B8D">
        <w:t> </w:t>
      </w:r>
      <w:proofErr w:type="spellStart"/>
      <w:r w:rsidRPr="00767B8D">
        <w:t>Pirmstiesas</w:t>
      </w:r>
      <w:proofErr w:type="spellEnd"/>
      <w:r w:rsidRPr="00767B8D">
        <w:t xml:space="preserve"> kriminālprocesā apsūdzētajam </w:t>
      </w:r>
      <w:r w:rsidR="00DF0D56">
        <w:t>[pers. A]</w:t>
      </w:r>
      <w:r w:rsidRPr="00767B8D">
        <w:t xml:space="preserve"> piemēroti drošības līdzekļi – </w:t>
      </w:r>
      <w:r w:rsidR="002855C4" w:rsidRPr="00767B8D">
        <w:t>dzīvesvietas maiņas paziņošana</w:t>
      </w:r>
      <w:r w:rsidRPr="00767B8D">
        <w:t xml:space="preserve"> un aizliegums izbraukt no valsts.</w:t>
      </w:r>
    </w:p>
    <w:p w14:paraId="3FAF1115" w14:textId="02FD923F" w:rsidR="00B81D1A" w:rsidRPr="00767B8D" w:rsidRDefault="00B81D1A" w:rsidP="00B81D1A">
      <w:pPr>
        <w:shd w:val="clear" w:color="auto" w:fill="FFFFFF"/>
        <w:spacing w:line="276" w:lineRule="auto"/>
        <w:ind w:firstLine="720"/>
        <w:jc w:val="both"/>
      </w:pPr>
      <w:r w:rsidRPr="00767B8D">
        <w:t xml:space="preserve">Ar pirmās instances tiesas spriedumu </w:t>
      </w:r>
      <w:r w:rsidR="00DF0D56">
        <w:t>[pers. A]</w:t>
      </w:r>
      <w:r w:rsidRPr="00767B8D">
        <w:t xml:space="preserve"> piemērotie drošības līdzekļi atstāti negrozīti, līdz spriedums stāsies spēkā.</w:t>
      </w:r>
    </w:p>
    <w:p w14:paraId="55AF41EF" w14:textId="710CF9C3" w:rsidR="00A656FE" w:rsidRPr="00767B8D" w:rsidRDefault="00B81D1A" w:rsidP="00C76E1D">
      <w:pPr>
        <w:shd w:val="clear" w:color="auto" w:fill="FFFFFF"/>
        <w:spacing w:line="276" w:lineRule="auto"/>
        <w:ind w:firstLine="720"/>
        <w:jc w:val="both"/>
      </w:pPr>
      <w:r w:rsidRPr="00767B8D">
        <w:t>Senāts atzīst, ka apsūdzētajam noteikto drošības līdzekļu piemērošana turpināma. Piemērotie drošības līdzekļi izskatāmajā lietā atzīstami par samērīgiem.</w:t>
      </w:r>
    </w:p>
    <w:p w14:paraId="59E5C481" w14:textId="77777777" w:rsidR="002855C4" w:rsidRPr="00767B8D" w:rsidRDefault="002855C4" w:rsidP="00C76E1D">
      <w:pPr>
        <w:shd w:val="clear" w:color="auto" w:fill="FFFFFF"/>
        <w:spacing w:line="276" w:lineRule="auto"/>
        <w:ind w:firstLine="720"/>
        <w:jc w:val="both"/>
      </w:pPr>
    </w:p>
    <w:p w14:paraId="12CBFC44" w14:textId="3F813F32" w:rsidR="00447EE6" w:rsidRPr="00767B8D" w:rsidRDefault="00447EE6" w:rsidP="00C76E1D">
      <w:pPr>
        <w:shd w:val="clear" w:color="auto" w:fill="FFFFFF"/>
        <w:spacing w:line="276" w:lineRule="auto"/>
        <w:jc w:val="center"/>
        <w:rPr>
          <w:b/>
        </w:rPr>
      </w:pPr>
      <w:r w:rsidRPr="00767B8D">
        <w:rPr>
          <w:b/>
        </w:rPr>
        <w:t>Rezolutīvā daļa</w:t>
      </w:r>
    </w:p>
    <w:p w14:paraId="40FF95B5" w14:textId="77777777" w:rsidR="00A656FE" w:rsidRPr="00767B8D" w:rsidRDefault="00A656FE" w:rsidP="00F05B72">
      <w:pPr>
        <w:shd w:val="clear" w:color="auto" w:fill="FFFFFF"/>
        <w:spacing w:line="276" w:lineRule="auto"/>
        <w:ind w:firstLine="720"/>
        <w:jc w:val="both"/>
      </w:pPr>
    </w:p>
    <w:p w14:paraId="5CE1399F" w14:textId="77777777" w:rsidR="00992963" w:rsidRPr="00767B8D" w:rsidRDefault="00992963" w:rsidP="00F05B72">
      <w:pPr>
        <w:pStyle w:val="tv213"/>
        <w:widowControl w:val="0"/>
        <w:spacing w:before="0" w:beforeAutospacing="0" w:after="0" w:afterAutospacing="0" w:line="276" w:lineRule="auto"/>
        <w:ind w:firstLine="720"/>
        <w:jc w:val="both"/>
      </w:pPr>
      <w:r w:rsidRPr="00767B8D">
        <w:t>Pamatojoties uz Kriminālprocesa likuma 585. un 587. panta pirmās daļas 2. punktu, Senāts</w:t>
      </w:r>
    </w:p>
    <w:p w14:paraId="3B28DB94" w14:textId="77777777" w:rsidR="00447EE6" w:rsidRPr="00767B8D" w:rsidRDefault="00447EE6" w:rsidP="00F05B72">
      <w:pPr>
        <w:shd w:val="clear" w:color="auto" w:fill="FFFFFF"/>
        <w:spacing w:line="276" w:lineRule="auto"/>
        <w:ind w:firstLine="720"/>
        <w:jc w:val="center"/>
        <w:rPr>
          <w:b/>
        </w:rPr>
      </w:pPr>
    </w:p>
    <w:p w14:paraId="297C80CD" w14:textId="6FF1C7F1" w:rsidR="00447EE6" w:rsidRPr="00767B8D" w:rsidRDefault="00447EE6" w:rsidP="00C76E1D">
      <w:pPr>
        <w:shd w:val="clear" w:color="auto" w:fill="FFFFFF"/>
        <w:spacing w:line="276" w:lineRule="auto"/>
        <w:jc w:val="center"/>
        <w:rPr>
          <w:b/>
        </w:rPr>
      </w:pPr>
      <w:r w:rsidRPr="00767B8D">
        <w:rPr>
          <w:b/>
        </w:rPr>
        <w:t>no</w:t>
      </w:r>
      <w:r w:rsidR="00A656FE" w:rsidRPr="00767B8D">
        <w:rPr>
          <w:b/>
        </w:rPr>
        <w:t>lēma</w:t>
      </w:r>
    </w:p>
    <w:p w14:paraId="28660F9E" w14:textId="77777777" w:rsidR="00447EE6" w:rsidRPr="00767B8D" w:rsidRDefault="00447EE6" w:rsidP="00F05B72">
      <w:pPr>
        <w:shd w:val="clear" w:color="auto" w:fill="FFFFFF"/>
        <w:spacing w:line="276" w:lineRule="auto"/>
        <w:ind w:firstLine="720"/>
        <w:jc w:val="center"/>
        <w:rPr>
          <w:bCs/>
        </w:rPr>
      </w:pPr>
    </w:p>
    <w:p w14:paraId="02C4D2CB" w14:textId="7237933E" w:rsidR="005D729F" w:rsidRPr="00767B8D" w:rsidRDefault="004E68AE" w:rsidP="00F05B72">
      <w:pPr>
        <w:widowControl w:val="0"/>
        <w:tabs>
          <w:tab w:val="left" w:pos="709"/>
        </w:tabs>
        <w:spacing w:line="276" w:lineRule="auto"/>
        <w:ind w:firstLine="720"/>
        <w:jc w:val="both"/>
        <w:rPr>
          <w:shd w:val="clear" w:color="auto" w:fill="FFFFFF"/>
        </w:rPr>
      </w:pPr>
      <w:r w:rsidRPr="00767B8D">
        <w:rPr>
          <w:rFonts w:eastAsia="Calibri"/>
          <w:iCs/>
        </w:rPr>
        <w:t xml:space="preserve">atcelt </w:t>
      </w:r>
      <w:r w:rsidR="005D729F" w:rsidRPr="00767B8D">
        <w:t>Kurzemes</w:t>
      </w:r>
      <w:r w:rsidRPr="00767B8D">
        <w:t xml:space="preserve"> apgabaltiesas</w:t>
      </w:r>
      <w:r w:rsidR="005D729F" w:rsidRPr="00767B8D">
        <w:t xml:space="preserve"> 2024. gada 12. marta</w:t>
      </w:r>
      <w:r w:rsidRPr="00767B8D">
        <w:t xml:space="preserve"> </w:t>
      </w:r>
      <w:r w:rsidR="005D729F" w:rsidRPr="00767B8D">
        <w:t xml:space="preserve">spriedumu daļā par apsūdzētā </w:t>
      </w:r>
      <w:r w:rsidR="007E32D1">
        <w:t>[pers. A]</w:t>
      </w:r>
      <w:r w:rsidR="005D729F" w:rsidRPr="00767B8D">
        <w:t xml:space="preserve"> atzīšanu par vainīgu un sodīšanu pēc Krimināllikuma </w:t>
      </w:r>
      <w:r w:rsidR="005D729F" w:rsidRPr="00767B8D">
        <w:rPr>
          <w:shd w:val="clear" w:color="auto" w:fill="FFFFFF"/>
        </w:rPr>
        <w:t>78. panta otrās daļas</w:t>
      </w:r>
      <w:r w:rsidR="00A57EC3" w:rsidRPr="00767B8D">
        <w:rPr>
          <w:shd w:val="clear" w:color="auto" w:fill="FFFFFF"/>
        </w:rPr>
        <w:t xml:space="preserve">, </w:t>
      </w:r>
      <w:r w:rsidR="00A57EC3" w:rsidRPr="007F7009">
        <w:rPr>
          <w:shd w:val="clear" w:color="auto" w:fill="FFFFFF"/>
        </w:rPr>
        <w:t>par noteikto galīgo sodu</w:t>
      </w:r>
      <w:r w:rsidR="00A57EC3" w:rsidRPr="00767B8D">
        <w:rPr>
          <w:shd w:val="clear" w:color="auto" w:fill="FFFFFF"/>
        </w:rPr>
        <w:t xml:space="preserve"> saskaņā ar Krimināllikuma 50. panta pirmo un trešo daļu;</w:t>
      </w:r>
    </w:p>
    <w:p w14:paraId="7ADCB353" w14:textId="77777777" w:rsidR="00A57EC3" w:rsidRPr="00767B8D" w:rsidRDefault="005D729F" w:rsidP="00F05B72">
      <w:pPr>
        <w:widowControl w:val="0"/>
        <w:tabs>
          <w:tab w:val="left" w:pos="709"/>
        </w:tabs>
        <w:spacing w:line="276" w:lineRule="auto"/>
        <w:ind w:firstLine="720"/>
        <w:jc w:val="both"/>
      </w:pPr>
      <w:r w:rsidRPr="00767B8D">
        <w:t xml:space="preserve">atceltajā daļā </w:t>
      </w:r>
      <w:r w:rsidR="004E68AE" w:rsidRPr="00767B8D">
        <w:t xml:space="preserve">nosūtīt lietu jaunai izskatīšanai </w:t>
      </w:r>
      <w:r w:rsidRPr="00767B8D">
        <w:t>Kurzemes</w:t>
      </w:r>
      <w:r w:rsidR="004E68AE" w:rsidRPr="00767B8D">
        <w:t xml:space="preserve"> apgabaltiesā</w:t>
      </w:r>
      <w:r w:rsidR="00A57EC3" w:rsidRPr="00767B8D">
        <w:t>;</w:t>
      </w:r>
    </w:p>
    <w:p w14:paraId="51D7F043" w14:textId="7EBA50D8" w:rsidR="004E68AE" w:rsidRDefault="005D729F" w:rsidP="00F05B72">
      <w:pPr>
        <w:widowControl w:val="0"/>
        <w:tabs>
          <w:tab w:val="left" w:pos="709"/>
        </w:tabs>
        <w:spacing w:line="276" w:lineRule="auto"/>
        <w:ind w:firstLine="720"/>
        <w:jc w:val="both"/>
      </w:pPr>
      <w:r w:rsidRPr="00767B8D">
        <w:t>p</w:t>
      </w:r>
      <w:r w:rsidR="00A57EC3" w:rsidRPr="00767B8D">
        <w:t>ā</w:t>
      </w:r>
      <w:r w:rsidRPr="00767B8D">
        <w:t xml:space="preserve">rējā daļā </w:t>
      </w:r>
      <w:r w:rsidR="00A57EC3" w:rsidRPr="00767B8D">
        <w:t xml:space="preserve">Kurzemes apgabaltiesas 2024. gada 12. marta spriedumu </w:t>
      </w:r>
      <w:r w:rsidRPr="00767B8D">
        <w:t>atstāt negrozītu</w:t>
      </w:r>
      <w:r w:rsidR="00576C96">
        <w:t>;</w:t>
      </w:r>
    </w:p>
    <w:p w14:paraId="203E1347" w14:textId="0D3693C8" w:rsidR="00576C96" w:rsidRPr="00767B8D" w:rsidRDefault="00576C96" w:rsidP="00576C96">
      <w:pPr>
        <w:widowControl w:val="0"/>
        <w:tabs>
          <w:tab w:val="left" w:pos="709"/>
        </w:tabs>
        <w:spacing w:line="276" w:lineRule="auto"/>
        <w:ind w:firstLine="720"/>
        <w:jc w:val="both"/>
      </w:pPr>
      <w:r>
        <w:t xml:space="preserve">apsūdzētajam </w:t>
      </w:r>
      <w:r w:rsidR="007E32D1">
        <w:t>[pers. A]</w:t>
      </w:r>
      <w:r>
        <w:t xml:space="preserve"> turpināt piemērot drošības līdzekļus – </w:t>
      </w:r>
      <w:r w:rsidRPr="00767B8D">
        <w:t>dzīvesvietas maiņas paziņošan</w:t>
      </w:r>
      <w:r>
        <w:t>u</w:t>
      </w:r>
      <w:r w:rsidRPr="00767B8D">
        <w:t xml:space="preserve"> un aizliegum</w:t>
      </w:r>
      <w:r>
        <w:t>u</w:t>
      </w:r>
      <w:r w:rsidRPr="00767B8D">
        <w:t xml:space="preserve"> izbraukt no valsts</w:t>
      </w:r>
      <w:r>
        <w:t>.</w:t>
      </w:r>
    </w:p>
    <w:p w14:paraId="0E6AB401" w14:textId="77777777" w:rsidR="00A656FE" w:rsidRPr="00767B8D" w:rsidRDefault="00A656FE" w:rsidP="00F05B72">
      <w:pPr>
        <w:shd w:val="clear" w:color="auto" w:fill="FFFFFF"/>
        <w:spacing w:line="276" w:lineRule="auto"/>
        <w:ind w:firstLine="720"/>
        <w:jc w:val="center"/>
        <w:rPr>
          <w:bCs/>
        </w:rPr>
      </w:pPr>
    </w:p>
    <w:p w14:paraId="049D1CB4" w14:textId="01D00C78" w:rsidR="00447EE6" w:rsidRPr="007E32D1" w:rsidRDefault="00A656FE" w:rsidP="007E32D1">
      <w:pPr>
        <w:shd w:val="clear" w:color="auto" w:fill="FFFFFF"/>
        <w:spacing w:line="276" w:lineRule="auto"/>
        <w:ind w:firstLine="720"/>
        <w:jc w:val="both"/>
        <w:rPr>
          <w:bCs/>
        </w:rPr>
      </w:pPr>
      <w:r w:rsidRPr="00767B8D">
        <w:rPr>
          <w:bCs/>
        </w:rPr>
        <w:t>Lēmums nav pārsūdzams.</w:t>
      </w:r>
    </w:p>
    <w:sectPr w:rsidR="00447EE6" w:rsidRPr="007E32D1" w:rsidSect="0055264D">
      <w:footerReference w:type="default" r:id="rId15"/>
      <w:pgSz w:w="12240" w:h="15840"/>
      <w:pgMar w:top="1134" w:right="170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5F86" w14:textId="77777777" w:rsidR="000D7EBF" w:rsidRPr="00767B8D" w:rsidRDefault="000D7EBF" w:rsidP="005A4215">
      <w:r w:rsidRPr="00767B8D">
        <w:separator/>
      </w:r>
    </w:p>
  </w:endnote>
  <w:endnote w:type="continuationSeparator" w:id="0">
    <w:p w14:paraId="494015B6" w14:textId="77777777" w:rsidR="000D7EBF" w:rsidRPr="00767B8D" w:rsidRDefault="000D7EBF" w:rsidP="005A4215">
      <w:r w:rsidRPr="00767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2181"/>
      <w:docPartObj>
        <w:docPartGallery w:val="Page Numbers (Bottom of Page)"/>
        <w:docPartUnique/>
      </w:docPartObj>
    </w:sdtPr>
    <w:sdtEndPr/>
    <w:sdtContent>
      <w:sdt>
        <w:sdtPr>
          <w:id w:val="1728636285"/>
          <w:docPartObj>
            <w:docPartGallery w:val="Page Numbers (Top of Page)"/>
            <w:docPartUnique/>
          </w:docPartObj>
        </w:sdtPr>
        <w:sdtEndPr/>
        <w:sdtContent>
          <w:p w14:paraId="6A3D8B32" w14:textId="5EDCA7D0" w:rsidR="00806F18" w:rsidRPr="00767B8D" w:rsidRDefault="00806F18" w:rsidP="00806F18">
            <w:pPr>
              <w:pStyle w:val="Footer"/>
              <w:jc w:val="center"/>
            </w:pPr>
            <w:r w:rsidRPr="00767B8D">
              <w:rPr>
                <w:sz w:val="20"/>
                <w:szCs w:val="20"/>
              </w:rPr>
              <w:fldChar w:fldCharType="begin"/>
            </w:r>
            <w:r w:rsidRPr="00767B8D">
              <w:rPr>
                <w:sz w:val="20"/>
                <w:szCs w:val="20"/>
              </w:rPr>
              <w:instrText xml:space="preserve"> PAGE </w:instrText>
            </w:r>
            <w:r w:rsidRPr="00767B8D">
              <w:rPr>
                <w:sz w:val="20"/>
                <w:szCs w:val="20"/>
              </w:rPr>
              <w:fldChar w:fldCharType="separate"/>
            </w:r>
            <w:r w:rsidRPr="00767B8D">
              <w:rPr>
                <w:sz w:val="20"/>
                <w:szCs w:val="20"/>
              </w:rPr>
              <w:t>2</w:t>
            </w:r>
            <w:r w:rsidRPr="00767B8D">
              <w:rPr>
                <w:sz w:val="20"/>
                <w:szCs w:val="20"/>
              </w:rPr>
              <w:fldChar w:fldCharType="end"/>
            </w:r>
            <w:r w:rsidRPr="00767B8D">
              <w:rPr>
                <w:sz w:val="20"/>
                <w:szCs w:val="20"/>
              </w:rPr>
              <w:t xml:space="preserve"> no </w:t>
            </w:r>
            <w:r w:rsidRPr="00767B8D">
              <w:rPr>
                <w:sz w:val="20"/>
                <w:szCs w:val="20"/>
              </w:rPr>
              <w:fldChar w:fldCharType="begin"/>
            </w:r>
            <w:r w:rsidRPr="00767B8D">
              <w:rPr>
                <w:sz w:val="20"/>
                <w:szCs w:val="20"/>
              </w:rPr>
              <w:instrText xml:space="preserve"> NUMPAGES  </w:instrText>
            </w:r>
            <w:r w:rsidRPr="00767B8D">
              <w:rPr>
                <w:sz w:val="20"/>
                <w:szCs w:val="20"/>
              </w:rPr>
              <w:fldChar w:fldCharType="separate"/>
            </w:r>
            <w:r w:rsidRPr="00767B8D">
              <w:rPr>
                <w:sz w:val="20"/>
                <w:szCs w:val="20"/>
              </w:rPr>
              <w:t>2</w:t>
            </w:r>
            <w:r w:rsidRPr="00767B8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D18D" w14:textId="77777777" w:rsidR="000D7EBF" w:rsidRPr="00767B8D" w:rsidRDefault="000D7EBF" w:rsidP="005A4215">
      <w:r w:rsidRPr="00767B8D">
        <w:separator/>
      </w:r>
    </w:p>
  </w:footnote>
  <w:footnote w:type="continuationSeparator" w:id="0">
    <w:p w14:paraId="6C364254" w14:textId="77777777" w:rsidR="000D7EBF" w:rsidRPr="00767B8D" w:rsidRDefault="000D7EBF" w:rsidP="005A4215">
      <w:r w:rsidRPr="00767B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4200"/>
    <w:rsid w:val="00006F08"/>
    <w:rsid w:val="000077CF"/>
    <w:rsid w:val="00010917"/>
    <w:rsid w:val="00011E11"/>
    <w:rsid w:val="0001470E"/>
    <w:rsid w:val="00015B0D"/>
    <w:rsid w:val="00016D91"/>
    <w:rsid w:val="00016E09"/>
    <w:rsid w:val="0002001D"/>
    <w:rsid w:val="0002036F"/>
    <w:rsid w:val="00021153"/>
    <w:rsid w:val="00022856"/>
    <w:rsid w:val="0002501E"/>
    <w:rsid w:val="0002553C"/>
    <w:rsid w:val="00033049"/>
    <w:rsid w:val="00035281"/>
    <w:rsid w:val="00041CD1"/>
    <w:rsid w:val="00043A0C"/>
    <w:rsid w:val="00043C95"/>
    <w:rsid w:val="00046530"/>
    <w:rsid w:val="00055DFC"/>
    <w:rsid w:val="0005737B"/>
    <w:rsid w:val="00060B18"/>
    <w:rsid w:val="00060EAC"/>
    <w:rsid w:val="0006618B"/>
    <w:rsid w:val="000667B7"/>
    <w:rsid w:val="00066E0B"/>
    <w:rsid w:val="000675B9"/>
    <w:rsid w:val="00067A80"/>
    <w:rsid w:val="00070008"/>
    <w:rsid w:val="00073578"/>
    <w:rsid w:val="000779D6"/>
    <w:rsid w:val="000801EC"/>
    <w:rsid w:val="0008221D"/>
    <w:rsid w:val="00084EF9"/>
    <w:rsid w:val="00091AF2"/>
    <w:rsid w:val="00094BB7"/>
    <w:rsid w:val="000A133D"/>
    <w:rsid w:val="000A2852"/>
    <w:rsid w:val="000A3E87"/>
    <w:rsid w:val="000A4603"/>
    <w:rsid w:val="000A5554"/>
    <w:rsid w:val="000B1826"/>
    <w:rsid w:val="000B46E9"/>
    <w:rsid w:val="000B479B"/>
    <w:rsid w:val="000B4FA7"/>
    <w:rsid w:val="000C2C04"/>
    <w:rsid w:val="000C4733"/>
    <w:rsid w:val="000C6E75"/>
    <w:rsid w:val="000D381D"/>
    <w:rsid w:val="000D4668"/>
    <w:rsid w:val="000D4967"/>
    <w:rsid w:val="000D53ED"/>
    <w:rsid w:val="000D7893"/>
    <w:rsid w:val="000D7EBF"/>
    <w:rsid w:val="000E0382"/>
    <w:rsid w:val="000E0535"/>
    <w:rsid w:val="000E26ED"/>
    <w:rsid w:val="000F02BB"/>
    <w:rsid w:val="000F25B4"/>
    <w:rsid w:val="000F73ED"/>
    <w:rsid w:val="00101E2B"/>
    <w:rsid w:val="00115806"/>
    <w:rsid w:val="00117D43"/>
    <w:rsid w:val="00121BE6"/>
    <w:rsid w:val="00121E21"/>
    <w:rsid w:val="00122F1A"/>
    <w:rsid w:val="0012566D"/>
    <w:rsid w:val="00132E29"/>
    <w:rsid w:val="00136E47"/>
    <w:rsid w:val="00137807"/>
    <w:rsid w:val="00142DEB"/>
    <w:rsid w:val="00146E87"/>
    <w:rsid w:val="0014787F"/>
    <w:rsid w:val="00151B71"/>
    <w:rsid w:val="001534D4"/>
    <w:rsid w:val="0015608D"/>
    <w:rsid w:val="0016085E"/>
    <w:rsid w:val="001633A1"/>
    <w:rsid w:val="00172A4C"/>
    <w:rsid w:val="00173A8D"/>
    <w:rsid w:val="00175375"/>
    <w:rsid w:val="00177A7F"/>
    <w:rsid w:val="00180107"/>
    <w:rsid w:val="00182227"/>
    <w:rsid w:val="00182E17"/>
    <w:rsid w:val="00182F72"/>
    <w:rsid w:val="001907DA"/>
    <w:rsid w:val="00191D97"/>
    <w:rsid w:val="001941A2"/>
    <w:rsid w:val="00194AF3"/>
    <w:rsid w:val="00196F4C"/>
    <w:rsid w:val="0019747B"/>
    <w:rsid w:val="001A3DB9"/>
    <w:rsid w:val="001A656C"/>
    <w:rsid w:val="001A65AA"/>
    <w:rsid w:val="001B0213"/>
    <w:rsid w:val="001B4666"/>
    <w:rsid w:val="001B6F0C"/>
    <w:rsid w:val="001C2563"/>
    <w:rsid w:val="001C5282"/>
    <w:rsid w:val="001C65D3"/>
    <w:rsid w:val="001D1EFD"/>
    <w:rsid w:val="001D3596"/>
    <w:rsid w:val="001D5730"/>
    <w:rsid w:val="001D5925"/>
    <w:rsid w:val="001D6E8C"/>
    <w:rsid w:val="001E1ECE"/>
    <w:rsid w:val="001E28E4"/>
    <w:rsid w:val="001E4152"/>
    <w:rsid w:val="001F087A"/>
    <w:rsid w:val="001F7875"/>
    <w:rsid w:val="002005AE"/>
    <w:rsid w:val="00201619"/>
    <w:rsid w:val="00203DB4"/>
    <w:rsid w:val="00213005"/>
    <w:rsid w:val="002155E5"/>
    <w:rsid w:val="00215922"/>
    <w:rsid w:val="002162BB"/>
    <w:rsid w:val="00220F74"/>
    <w:rsid w:val="002229D0"/>
    <w:rsid w:val="002237AF"/>
    <w:rsid w:val="002305FC"/>
    <w:rsid w:val="002314CA"/>
    <w:rsid w:val="00236A0E"/>
    <w:rsid w:val="00241153"/>
    <w:rsid w:val="00244C2C"/>
    <w:rsid w:val="0025599E"/>
    <w:rsid w:val="0025745A"/>
    <w:rsid w:val="00262001"/>
    <w:rsid w:val="002621C7"/>
    <w:rsid w:val="002630F0"/>
    <w:rsid w:val="00267386"/>
    <w:rsid w:val="00270880"/>
    <w:rsid w:val="00271213"/>
    <w:rsid w:val="0027682F"/>
    <w:rsid w:val="00277325"/>
    <w:rsid w:val="00277CDB"/>
    <w:rsid w:val="00280A1B"/>
    <w:rsid w:val="00284C10"/>
    <w:rsid w:val="002855C4"/>
    <w:rsid w:val="0028595C"/>
    <w:rsid w:val="002907B4"/>
    <w:rsid w:val="0029096A"/>
    <w:rsid w:val="00294252"/>
    <w:rsid w:val="00294F0C"/>
    <w:rsid w:val="002A0E19"/>
    <w:rsid w:val="002A1E35"/>
    <w:rsid w:val="002A1F16"/>
    <w:rsid w:val="002A3AC4"/>
    <w:rsid w:val="002B3BE2"/>
    <w:rsid w:val="002B6706"/>
    <w:rsid w:val="002C31B7"/>
    <w:rsid w:val="002C435B"/>
    <w:rsid w:val="002C486C"/>
    <w:rsid w:val="002D06EA"/>
    <w:rsid w:val="002D2D98"/>
    <w:rsid w:val="002D555F"/>
    <w:rsid w:val="002D7D79"/>
    <w:rsid w:val="002E19C3"/>
    <w:rsid w:val="002E2F07"/>
    <w:rsid w:val="002E478C"/>
    <w:rsid w:val="002E5990"/>
    <w:rsid w:val="002E7073"/>
    <w:rsid w:val="002E759D"/>
    <w:rsid w:val="002F06BD"/>
    <w:rsid w:val="002F18CB"/>
    <w:rsid w:val="002F1960"/>
    <w:rsid w:val="002F237C"/>
    <w:rsid w:val="002F3607"/>
    <w:rsid w:val="002F3B15"/>
    <w:rsid w:val="002F5A1D"/>
    <w:rsid w:val="0030273F"/>
    <w:rsid w:val="00311F90"/>
    <w:rsid w:val="0031396D"/>
    <w:rsid w:val="00320DD3"/>
    <w:rsid w:val="00324F12"/>
    <w:rsid w:val="00326535"/>
    <w:rsid w:val="00326CBD"/>
    <w:rsid w:val="00326E39"/>
    <w:rsid w:val="003277DC"/>
    <w:rsid w:val="00330667"/>
    <w:rsid w:val="00331A8B"/>
    <w:rsid w:val="00332E4F"/>
    <w:rsid w:val="00335746"/>
    <w:rsid w:val="00337228"/>
    <w:rsid w:val="003378ED"/>
    <w:rsid w:val="00340291"/>
    <w:rsid w:val="00340EBF"/>
    <w:rsid w:val="00341F2D"/>
    <w:rsid w:val="0034571A"/>
    <w:rsid w:val="0034607D"/>
    <w:rsid w:val="00347497"/>
    <w:rsid w:val="00352220"/>
    <w:rsid w:val="003556FD"/>
    <w:rsid w:val="00356F11"/>
    <w:rsid w:val="00357BF4"/>
    <w:rsid w:val="0036111C"/>
    <w:rsid w:val="00362B06"/>
    <w:rsid w:val="00362D41"/>
    <w:rsid w:val="003649FC"/>
    <w:rsid w:val="00364D24"/>
    <w:rsid w:val="00367DB2"/>
    <w:rsid w:val="003765BF"/>
    <w:rsid w:val="0038172C"/>
    <w:rsid w:val="003833C5"/>
    <w:rsid w:val="003849EC"/>
    <w:rsid w:val="00387A23"/>
    <w:rsid w:val="00387A9D"/>
    <w:rsid w:val="00393124"/>
    <w:rsid w:val="00394834"/>
    <w:rsid w:val="00394C5B"/>
    <w:rsid w:val="00396E7D"/>
    <w:rsid w:val="00397327"/>
    <w:rsid w:val="003978A4"/>
    <w:rsid w:val="003A1C64"/>
    <w:rsid w:val="003A2756"/>
    <w:rsid w:val="003A4CFB"/>
    <w:rsid w:val="003A6770"/>
    <w:rsid w:val="003B2D78"/>
    <w:rsid w:val="003C026A"/>
    <w:rsid w:val="003C0A60"/>
    <w:rsid w:val="003C2CFD"/>
    <w:rsid w:val="003C2FB6"/>
    <w:rsid w:val="003C53AE"/>
    <w:rsid w:val="003C6D13"/>
    <w:rsid w:val="003D0670"/>
    <w:rsid w:val="003D15E2"/>
    <w:rsid w:val="003D3015"/>
    <w:rsid w:val="003D30E2"/>
    <w:rsid w:val="003E4AAA"/>
    <w:rsid w:val="003E4D5B"/>
    <w:rsid w:val="003F1E34"/>
    <w:rsid w:val="003F6191"/>
    <w:rsid w:val="00407BAC"/>
    <w:rsid w:val="004112CE"/>
    <w:rsid w:val="0041144F"/>
    <w:rsid w:val="004114AF"/>
    <w:rsid w:val="004122CC"/>
    <w:rsid w:val="004151BA"/>
    <w:rsid w:val="0041722F"/>
    <w:rsid w:val="00420528"/>
    <w:rsid w:val="004215AB"/>
    <w:rsid w:val="00425987"/>
    <w:rsid w:val="00431297"/>
    <w:rsid w:val="00431680"/>
    <w:rsid w:val="0043174E"/>
    <w:rsid w:val="00432643"/>
    <w:rsid w:val="00432B62"/>
    <w:rsid w:val="00435189"/>
    <w:rsid w:val="00435F1E"/>
    <w:rsid w:val="00437EAF"/>
    <w:rsid w:val="00442441"/>
    <w:rsid w:val="00444371"/>
    <w:rsid w:val="004450ED"/>
    <w:rsid w:val="00446F2D"/>
    <w:rsid w:val="00447EE6"/>
    <w:rsid w:val="00450C1E"/>
    <w:rsid w:val="00451521"/>
    <w:rsid w:val="004522E7"/>
    <w:rsid w:val="004559B7"/>
    <w:rsid w:val="00457C9F"/>
    <w:rsid w:val="00460C76"/>
    <w:rsid w:val="00463FFD"/>
    <w:rsid w:val="0047143D"/>
    <w:rsid w:val="004752F7"/>
    <w:rsid w:val="004757AA"/>
    <w:rsid w:val="0048225A"/>
    <w:rsid w:val="00484BFE"/>
    <w:rsid w:val="00495578"/>
    <w:rsid w:val="00497326"/>
    <w:rsid w:val="004A0B28"/>
    <w:rsid w:val="004A230F"/>
    <w:rsid w:val="004A3B0C"/>
    <w:rsid w:val="004A3F1C"/>
    <w:rsid w:val="004A6BAD"/>
    <w:rsid w:val="004A7B8F"/>
    <w:rsid w:val="004B172B"/>
    <w:rsid w:val="004B2A94"/>
    <w:rsid w:val="004B2ED9"/>
    <w:rsid w:val="004B6F44"/>
    <w:rsid w:val="004C06CA"/>
    <w:rsid w:val="004C2BA1"/>
    <w:rsid w:val="004C5A7A"/>
    <w:rsid w:val="004C66FC"/>
    <w:rsid w:val="004C6978"/>
    <w:rsid w:val="004D060E"/>
    <w:rsid w:val="004D1048"/>
    <w:rsid w:val="004D3798"/>
    <w:rsid w:val="004D44A3"/>
    <w:rsid w:val="004D5D44"/>
    <w:rsid w:val="004D6192"/>
    <w:rsid w:val="004D74FB"/>
    <w:rsid w:val="004D7585"/>
    <w:rsid w:val="004D77FD"/>
    <w:rsid w:val="004D7E0D"/>
    <w:rsid w:val="004D7E96"/>
    <w:rsid w:val="004E3909"/>
    <w:rsid w:val="004E4965"/>
    <w:rsid w:val="004E68AE"/>
    <w:rsid w:val="004F60E7"/>
    <w:rsid w:val="00501F56"/>
    <w:rsid w:val="00502DB2"/>
    <w:rsid w:val="0050457F"/>
    <w:rsid w:val="00504A99"/>
    <w:rsid w:val="00506F45"/>
    <w:rsid w:val="0050767E"/>
    <w:rsid w:val="00510E45"/>
    <w:rsid w:val="005115FD"/>
    <w:rsid w:val="00515C1C"/>
    <w:rsid w:val="00517013"/>
    <w:rsid w:val="005303C7"/>
    <w:rsid w:val="00531981"/>
    <w:rsid w:val="00531E71"/>
    <w:rsid w:val="00532775"/>
    <w:rsid w:val="00537913"/>
    <w:rsid w:val="005410D8"/>
    <w:rsid w:val="00541E0C"/>
    <w:rsid w:val="00547C02"/>
    <w:rsid w:val="00550387"/>
    <w:rsid w:val="005520F7"/>
    <w:rsid w:val="0055255B"/>
    <w:rsid w:val="0055264D"/>
    <w:rsid w:val="00552DF3"/>
    <w:rsid w:val="0055484C"/>
    <w:rsid w:val="00554C0F"/>
    <w:rsid w:val="0055578E"/>
    <w:rsid w:val="00556EC3"/>
    <w:rsid w:val="00560DF7"/>
    <w:rsid w:val="00563B47"/>
    <w:rsid w:val="00566B6E"/>
    <w:rsid w:val="00567624"/>
    <w:rsid w:val="00570BF5"/>
    <w:rsid w:val="0057277E"/>
    <w:rsid w:val="00573D39"/>
    <w:rsid w:val="00576C96"/>
    <w:rsid w:val="005801B3"/>
    <w:rsid w:val="00581024"/>
    <w:rsid w:val="00583459"/>
    <w:rsid w:val="005849ED"/>
    <w:rsid w:val="00585DF0"/>
    <w:rsid w:val="00592426"/>
    <w:rsid w:val="00594A6A"/>
    <w:rsid w:val="00594E4A"/>
    <w:rsid w:val="0059626A"/>
    <w:rsid w:val="005A4215"/>
    <w:rsid w:val="005B49BD"/>
    <w:rsid w:val="005B7B36"/>
    <w:rsid w:val="005C27E9"/>
    <w:rsid w:val="005C4175"/>
    <w:rsid w:val="005C4262"/>
    <w:rsid w:val="005C6449"/>
    <w:rsid w:val="005D6D93"/>
    <w:rsid w:val="005D729F"/>
    <w:rsid w:val="005E2A02"/>
    <w:rsid w:val="005E3A59"/>
    <w:rsid w:val="005E45B2"/>
    <w:rsid w:val="005E5310"/>
    <w:rsid w:val="005E73F0"/>
    <w:rsid w:val="005E7C9F"/>
    <w:rsid w:val="005F2F81"/>
    <w:rsid w:val="005F58DE"/>
    <w:rsid w:val="005F7447"/>
    <w:rsid w:val="00603308"/>
    <w:rsid w:val="006044BF"/>
    <w:rsid w:val="00604E98"/>
    <w:rsid w:val="0060505B"/>
    <w:rsid w:val="00607209"/>
    <w:rsid w:val="00612760"/>
    <w:rsid w:val="006136DC"/>
    <w:rsid w:val="0062371A"/>
    <w:rsid w:val="006239A8"/>
    <w:rsid w:val="00623F16"/>
    <w:rsid w:val="006266C1"/>
    <w:rsid w:val="00627023"/>
    <w:rsid w:val="00627D2F"/>
    <w:rsid w:val="00633226"/>
    <w:rsid w:val="00633E66"/>
    <w:rsid w:val="006406D7"/>
    <w:rsid w:val="0064129D"/>
    <w:rsid w:val="006445C7"/>
    <w:rsid w:val="006525DA"/>
    <w:rsid w:val="006531FB"/>
    <w:rsid w:val="006533D9"/>
    <w:rsid w:val="006533EE"/>
    <w:rsid w:val="00654467"/>
    <w:rsid w:val="006563A7"/>
    <w:rsid w:val="006607A4"/>
    <w:rsid w:val="00661A25"/>
    <w:rsid w:val="0066212D"/>
    <w:rsid w:val="006622E8"/>
    <w:rsid w:val="00664216"/>
    <w:rsid w:val="00672B09"/>
    <w:rsid w:val="00674648"/>
    <w:rsid w:val="00680424"/>
    <w:rsid w:val="00681151"/>
    <w:rsid w:val="00681272"/>
    <w:rsid w:val="00682689"/>
    <w:rsid w:val="00685D62"/>
    <w:rsid w:val="00687F24"/>
    <w:rsid w:val="00691A94"/>
    <w:rsid w:val="00692D91"/>
    <w:rsid w:val="006933CC"/>
    <w:rsid w:val="00693728"/>
    <w:rsid w:val="00693D6E"/>
    <w:rsid w:val="0069691B"/>
    <w:rsid w:val="006978F5"/>
    <w:rsid w:val="006A06B5"/>
    <w:rsid w:val="006A0E5D"/>
    <w:rsid w:val="006A15A1"/>
    <w:rsid w:val="006A17A2"/>
    <w:rsid w:val="006A2850"/>
    <w:rsid w:val="006A7FA6"/>
    <w:rsid w:val="006B1494"/>
    <w:rsid w:val="006B1F8B"/>
    <w:rsid w:val="006B343C"/>
    <w:rsid w:val="006B5549"/>
    <w:rsid w:val="006C0BCB"/>
    <w:rsid w:val="006C3176"/>
    <w:rsid w:val="006C33A7"/>
    <w:rsid w:val="006C373F"/>
    <w:rsid w:val="006D132A"/>
    <w:rsid w:val="006D17AC"/>
    <w:rsid w:val="006D3A5F"/>
    <w:rsid w:val="006E03EA"/>
    <w:rsid w:val="006E16E1"/>
    <w:rsid w:val="006E2B5C"/>
    <w:rsid w:val="006E5B90"/>
    <w:rsid w:val="006E6483"/>
    <w:rsid w:val="006F2587"/>
    <w:rsid w:val="006F6EE0"/>
    <w:rsid w:val="00701829"/>
    <w:rsid w:val="00704DEE"/>
    <w:rsid w:val="00705476"/>
    <w:rsid w:val="0071603B"/>
    <w:rsid w:val="007165DC"/>
    <w:rsid w:val="007253A5"/>
    <w:rsid w:val="007272AA"/>
    <w:rsid w:val="00727D33"/>
    <w:rsid w:val="0073308E"/>
    <w:rsid w:val="00737808"/>
    <w:rsid w:val="0073780D"/>
    <w:rsid w:val="00746D4D"/>
    <w:rsid w:val="00760178"/>
    <w:rsid w:val="00761EB2"/>
    <w:rsid w:val="00762D5E"/>
    <w:rsid w:val="00762E82"/>
    <w:rsid w:val="0076586E"/>
    <w:rsid w:val="0076733E"/>
    <w:rsid w:val="00767B8D"/>
    <w:rsid w:val="007708C9"/>
    <w:rsid w:val="0077114F"/>
    <w:rsid w:val="007770F6"/>
    <w:rsid w:val="00783AFC"/>
    <w:rsid w:val="007950F6"/>
    <w:rsid w:val="00796547"/>
    <w:rsid w:val="007A2822"/>
    <w:rsid w:val="007A7415"/>
    <w:rsid w:val="007A7FD9"/>
    <w:rsid w:val="007B00FA"/>
    <w:rsid w:val="007C2276"/>
    <w:rsid w:val="007C5171"/>
    <w:rsid w:val="007C6B64"/>
    <w:rsid w:val="007D1349"/>
    <w:rsid w:val="007D34C1"/>
    <w:rsid w:val="007D3A73"/>
    <w:rsid w:val="007D5DE9"/>
    <w:rsid w:val="007D6028"/>
    <w:rsid w:val="007D76A5"/>
    <w:rsid w:val="007E02AE"/>
    <w:rsid w:val="007E1997"/>
    <w:rsid w:val="007E32D1"/>
    <w:rsid w:val="007E5AB6"/>
    <w:rsid w:val="007E64E3"/>
    <w:rsid w:val="007F7009"/>
    <w:rsid w:val="00802EA5"/>
    <w:rsid w:val="0080573A"/>
    <w:rsid w:val="00805FA7"/>
    <w:rsid w:val="00806F18"/>
    <w:rsid w:val="00812C93"/>
    <w:rsid w:val="0081571E"/>
    <w:rsid w:val="00816A48"/>
    <w:rsid w:val="00816E90"/>
    <w:rsid w:val="008258CC"/>
    <w:rsid w:val="008338EB"/>
    <w:rsid w:val="00840D6A"/>
    <w:rsid w:val="00843FA4"/>
    <w:rsid w:val="00845D20"/>
    <w:rsid w:val="008469FC"/>
    <w:rsid w:val="0085053E"/>
    <w:rsid w:val="00863615"/>
    <w:rsid w:val="008673E1"/>
    <w:rsid w:val="00867C9C"/>
    <w:rsid w:val="00872133"/>
    <w:rsid w:val="008802D4"/>
    <w:rsid w:val="00882184"/>
    <w:rsid w:val="00890D24"/>
    <w:rsid w:val="0089154D"/>
    <w:rsid w:val="008935C5"/>
    <w:rsid w:val="00894862"/>
    <w:rsid w:val="0089664D"/>
    <w:rsid w:val="00896A35"/>
    <w:rsid w:val="008A67FB"/>
    <w:rsid w:val="008A6CF0"/>
    <w:rsid w:val="008B35ED"/>
    <w:rsid w:val="008B39E6"/>
    <w:rsid w:val="008C2EA7"/>
    <w:rsid w:val="008C5725"/>
    <w:rsid w:val="008D095D"/>
    <w:rsid w:val="008D283B"/>
    <w:rsid w:val="008E0D16"/>
    <w:rsid w:val="008E0F0D"/>
    <w:rsid w:val="008E32ED"/>
    <w:rsid w:val="008F0317"/>
    <w:rsid w:val="0090149A"/>
    <w:rsid w:val="0090192B"/>
    <w:rsid w:val="00904A62"/>
    <w:rsid w:val="009102D4"/>
    <w:rsid w:val="00913003"/>
    <w:rsid w:val="00917E0B"/>
    <w:rsid w:val="00920F51"/>
    <w:rsid w:val="00927311"/>
    <w:rsid w:val="00930009"/>
    <w:rsid w:val="009304E0"/>
    <w:rsid w:val="0093346E"/>
    <w:rsid w:val="00936EE4"/>
    <w:rsid w:val="00941635"/>
    <w:rsid w:val="00946D95"/>
    <w:rsid w:val="009470FD"/>
    <w:rsid w:val="00947D1F"/>
    <w:rsid w:val="009514A1"/>
    <w:rsid w:val="00952A5A"/>
    <w:rsid w:val="0095568B"/>
    <w:rsid w:val="00956206"/>
    <w:rsid w:val="00956A9D"/>
    <w:rsid w:val="009603D0"/>
    <w:rsid w:val="00961F6D"/>
    <w:rsid w:val="009649AD"/>
    <w:rsid w:val="00964BAF"/>
    <w:rsid w:val="00972CAE"/>
    <w:rsid w:val="009740B4"/>
    <w:rsid w:val="00977A36"/>
    <w:rsid w:val="009800F7"/>
    <w:rsid w:val="00980241"/>
    <w:rsid w:val="009804B6"/>
    <w:rsid w:val="0098577D"/>
    <w:rsid w:val="00985905"/>
    <w:rsid w:val="00990CDF"/>
    <w:rsid w:val="009924A6"/>
    <w:rsid w:val="00992963"/>
    <w:rsid w:val="00992B8F"/>
    <w:rsid w:val="009A10D3"/>
    <w:rsid w:val="009A1B7A"/>
    <w:rsid w:val="009A4AD5"/>
    <w:rsid w:val="009B2917"/>
    <w:rsid w:val="009C0EAF"/>
    <w:rsid w:val="009C1346"/>
    <w:rsid w:val="009C73AE"/>
    <w:rsid w:val="009D3B91"/>
    <w:rsid w:val="009D4F47"/>
    <w:rsid w:val="009E0B3E"/>
    <w:rsid w:val="009E3945"/>
    <w:rsid w:val="009E4B05"/>
    <w:rsid w:val="009F16D0"/>
    <w:rsid w:val="009F18C2"/>
    <w:rsid w:val="009F2152"/>
    <w:rsid w:val="009F52A8"/>
    <w:rsid w:val="00A07425"/>
    <w:rsid w:val="00A13987"/>
    <w:rsid w:val="00A13EBB"/>
    <w:rsid w:val="00A14E4B"/>
    <w:rsid w:val="00A17B3A"/>
    <w:rsid w:val="00A24E9C"/>
    <w:rsid w:val="00A25A6E"/>
    <w:rsid w:val="00A30648"/>
    <w:rsid w:val="00A32B06"/>
    <w:rsid w:val="00A34866"/>
    <w:rsid w:val="00A35BA9"/>
    <w:rsid w:val="00A36A0A"/>
    <w:rsid w:val="00A40000"/>
    <w:rsid w:val="00A40F42"/>
    <w:rsid w:val="00A426DF"/>
    <w:rsid w:val="00A432B5"/>
    <w:rsid w:val="00A51A1A"/>
    <w:rsid w:val="00A52FBB"/>
    <w:rsid w:val="00A5404F"/>
    <w:rsid w:val="00A55AC2"/>
    <w:rsid w:val="00A57E7E"/>
    <w:rsid w:val="00A57EC3"/>
    <w:rsid w:val="00A610F1"/>
    <w:rsid w:val="00A656FE"/>
    <w:rsid w:val="00A7100D"/>
    <w:rsid w:val="00A717E3"/>
    <w:rsid w:val="00A72196"/>
    <w:rsid w:val="00A7342F"/>
    <w:rsid w:val="00A75223"/>
    <w:rsid w:val="00A77885"/>
    <w:rsid w:val="00A803C6"/>
    <w:rsid w:val="00A81879"/>
    <w:rsid w:val="00A86FFE"/>
    <w:rsid w:val="00A872CB"/>
    <w:rsid w:val="00A87868"/>
    <w:rsid w:val="00A90399"/>
    <w:rsid w:val="00A950A0"/>
    <w:rsid w:val="00AA29ED"/>
    <w:rsid w:val="00AA424B"/>
    <w:rsid w:val="00AA67CB"/>
    <w:rsid w:val="00AA71AA"/>
    <w:rsid w:val="00AB1C7C"/>
    <w:rsid w:val="00AC1B57"/>
    <w:rsid w:val="00AC265D"/>
    <w:rsid w:val="00AD1412"/>
    <w:rsid w:val="00AD2307"/>
    <w:rsid w:val="00AD352D"/>
    <w:rsid w:val="00AE1552"/>
    <w:rsid w:val="00AE3CB0"/>
    <w:rsid w:val="00AE4652"/>
    <w:rsid w:val="00AE4B9F"/>
    <w:rsid w:val="00AF0FCC"/>
    <w:rsid w:val="00AF369E"/>
    <w:rsid w:val="00AF4622"/>
    <w:rsid w:val="00AF5141"/>
    <w:rsid w:val="00B00CC5"/>
    <w:rsid w:val="00B03FF0"/>
    <w:rsid w:val="00B12578"/>
    <w:rsid w:val="00B147A2"/>
    <w:rsid w:val="00B178A5"/>
    <w:rsid w:val="00B236E9"/>
    <w:rsid w:val="00B3117B"/>
    <w:rsid w:val="00B34300"/>
    <w:rsid w:val="00B40BFA"/>
    <w:rsid w:val="00B45E33"/>
    <w:rsid w:val="00B46871"/>
    <w:rsid w:val="00B508EA"/>
    <w:rsid w:val="00B51ECD"/>
    <w:rsid w:val="00B52065"/>
    <w:rsid w:val="00B54F4B"/>
    <w:rsid w:val="00B5615E"/>
    <w:rsid w:val="00B62435"/>
    <w:rsid w:val="00B630AE"/>
    <w:rsid w:val="00B63D76"/>
    <w:rsid w:val="00B644B8"/>
    <w:rsid w:val="00B64876"/>
    <w:rsid w:val="00B64A8D"/>
    <w:rsid w:val="00B660B2"/>
    <w:rsid w:val="00B7376D"/>
    <w:rsid w:val="00B76444"/>
    <w:rsid w:val="00B77DD2"/>
    <w:rsid w:val="00B80988"/>
    <w:rsid w:val="00B80FE8"/>
    <w:rsid w:val="00B81D1A"/>
    <w:rsid w:val="00B820E4"/>
    <w:rsid w:val="00B870C5"/>
    <w:rsid w:val="00B921DB"/>
    <w:rsid w:val="00B930A4"/>
    <w:rsid w:val="00B96085"/>
    <w:rsid w:val="00B96B54"/>
    <w:rsid w:val="00BA1EEC"/>
    <w:rsid w:val="00BA56B6"/>
    <w:rsid w:val="00BA5BF0"/>
    <w:rsid w:val="00BB29BC"/>
    <w:rsid w:val="00BB5D15"/>
    <w:rsid w:val="00BC1DE2"/>
    <w:rsid w:val="00BC6B67"/>
    <w:rsid w:val="00BD0E84"/>
    <w:rsid w:val="00BD2F6D"/>
    <w:rsid w:val="00BE1E5A"/>
    <w:rsid w:val="00BE33BA"/>
    <w:rsid w:val="00BE370E"/>
    <w:rsid w:val="00BE476D"/>
    <w:rsid w:val="00BE50F3"/>
    <w:rsid w:val="00BF0472"/>
    <w:rsid w:val="00BF0693"/>
    <w:rsid w:val="00BF10E2"/>
    <w:rsid w:val="00BF1709"/>
    <w:rsid w:val="00C0044E"/>
    <w:rsid w:val="00C00ABC"/>
    <w:rsid w:val="00C034D3"/>
    <w:rsid w:val="00C03B6C"/>
    <w:rsid w:val="00C10B75"/>
    <w:rsid w:val="00C124BE"/>
    <w:rsid w:val="00C12FA9"/>
    <w:rsid w:val="00C131AA"/>
    <w:rsid w:val="00C1339A"/>
    <w:rsid w:val="00C135B6"/>
    <w:rsid w:val="00C14BC6"/>
    <w:rsid w:val="00C15909"/>
    <w:rsid w:val="00C165CF"/>
    <w:rsid w:val="00C16F0E"/>
    <w:rsid w:val="00C177A3"/>
    <w:rsid w:val="00C20955"/>
    <w:rsid w:val="00C213A1"/>
    <w:rsid w:val="00C26919"/>
    <w:rsid w:val="00C3200A"/>
    <w:rsid w:val="00C32DA1"/>
    <w:rsid w:val="00C377F1"/>
    <w:rsid w:val="00C4019E"/>
    <w:rsid w:val="00C40EDE"/>
    <w:rsid w:val="00C41100"/>
    <w:rsid w:val="00C42FA8"/>
    <w:rsid w:val="00C46AFC"/>
    <w:rsid w:val="00C5023B"/>
    <w:rsid w:val="00C522CA"/>
    <w:rsid w:val="00C52914"/>
    <w:rsid w:val="00C54AE9"/>
    <w:rsid w:val="00C55CD0"/>
    <w:rsid w:val="00C567A2"/>
    <w:rsid w:val="00C60316"/>
    <w:rsid w:val="00C61AD0"/>
    <w:rsid w:val="00C62588"/>
    <w:rsid w:val="00C6291F"/>
    <w:rsid w:val="00C62B42"/>
    <w:rsid w:val="00C6486B"/>
    <w:rsid w:val="00C65A13"/>
    <w:rsid w:val="00C73011"/>
    <w:rsid w:val="00C74696"/>
    <w:rsid w:val="00C76E1D"/>
    <w:rsid w:val="00C80896"/>
    <w:rsid w:val="00C8397B"/>
    <w:rsid w:val="00C8434F"/>
    <w:rsid w:val="00C8479B"/>
    <w:rsid w:val="00C9186D"/>
    <w:rsid w:val="00C91B81"/>
    <w:rsid w:val="00C935EF"/>
    <w:rsid w:val="00C956A1"/>
    <w:rsid w:val="00C979F2"/>
    <w:rsid w:val="00CA0168"/>
    <w:rsid w:val="00CA4D98"/>
    <w:rsid w:val="00CA5DF2"/>
    <w:rsid w:val="00CA640D"/>
    <w:rsid w:val="00CA7867"/>
    <w:rsid w:val="00CB0D04"/>
    <w:rsid w:val="00CB11FA"/>
    <w:rsid w:val="00CB6101"/>
    <w:rsid w:val="00CC3D60"/>
    <w:rsid w:val="00CC3F80"/>
    <w:rsid w:val="00CD4AC7"/>
    <w:rsid w:val="00CD61D4"/>
    <w:rsid w:val="00CE28C0"/>
    <w:rsid w:val="00CE29BA"/>
    <w:rsid w:val="00CE33A8"/>
    <w:rsid w:val="00CE7A88"/>
    <w:rsid w:val="00CF4C7D"/>
    <w:rsid w:val="00D0192B"/>
    <w:rsid w:val="00D04600"/>
    <w:rsid w:val="00D13A43"/>
    <w:rsid w:val="00D14EB2"/>
    <w:rsid w:val="00D160A2"/>
    <w:rsid w:val="00D20B0B"/>
    <w:rsid w:val="00D2287E"/>
    <w:rsid w:val="00D27121"/>
    <w:rsid w:val="00D27AD5"/>
    <w:rsid w:val="00D37094"/>
    <w:rsid w:val="00D37148"/>
    <w:rsid w:val="00D45048"/>
    <w:rsid w:val="00D4644F"/>
    <w:rsid w:val="00D5269A"/>
    <w:rsid w:val="00D60B6E"/>
    <w:rsid w:val="00D625C3"/>
    <w:rsid w:val="00D635F4"/>
    <w:rsid w:val="00D636CB"/>
    <w:rsid w:val="00D747BE"/>
    <w:rsid w:val="00D74F3E"/>
    <w:rsid w:val="00D767FB"/>
    <w:rsid w:val="00D76C5D"/>
    <w:rsid w:val="00D8043D"/>
    <w:rsid w:val="00D82722"/>
    <w:rsid w:val="00D82C95"/>
    <w:rsid w:val="00D82F62"/>
    <w:rsid w:val="00D842F1"/>
    <w:rsid w:val="00D87234"/>
    <w:rsid w:val="00D90055"/>
    <w:rsid w:val="00D91CEC"/>
    <w:rsid w:val="00D940CD"/>
    <w:rsid w:val="00D96D9D"/>
    <w:rsid w:val="00DA1CB0"/>
    <w:rsid w:val="00DA2E0A"/>
    <w:rsid w:val="00DA31E0"/>
    <w:rsid w:val="00DA513D"/>
    <w:rsid w:val="00DA667F"/>
    <w:rsid w:val="00DA6C50"/>
    <w:rsid w:val="00DA701D"/>
    <w:rsid w:val="00DB1FA3"/>
    <w:rsid w:val="00DB219D"/>
    <w:rsid w:val="00DB3C2F"/>
    <w:rsid w:val="00DB5D46"/>
    <w:rsid w:val="00DB62A1"/>
    <w:rsid w:val="00DB652D"/>
    <w:rsid w:val="00DB790D"/>
    <w:rsid w:val="00DB7C1C"/>
    <w:rsid w:val="00DC0017"/>
    <w:rsid w:val="00DC2C20"/>
    <w:rsid w:val="00DC41D1"/>
    <w:rsid w:val="00DC59C4"/>
    <w:rsid w:val="00DC7A8B"/>
    <w:rsid w:val="00DC7DFA"/>
    <w:rsid w:val="00DD38F5"/>
    <w:rsid w:val="00DE2379"/>
    <w:rsid w:val="00DE467F"/>
    <w:rsid w:val="00DE6040"/>
    <w:rsid w:val="00DE6450"/>
    <w:rsid w:val="00DF0D56"/>
    <w:rsid w:val="00DF2494"/>
    <w:rsid w:val="00DF5666"/>
    <w:rsid w:val="00DF6C84"/>
    <w:rsid w:val="00E017D5"/>
    <w:rsid w:val="00E044C5"/>
    <w:rsid w:val="00E04CEF"/>
    <w:rsid w:val="00E04D68"/>
    <w:rsid w:val="00E11010"/>
    <w:rsid w:val="00E15238"/>
    <w:rsid w:val="00E15394"/>
    <w:rsid w:val="00E17A86"/>
    <w:rsid w:val="00E22092"/>
    <w:rsid w:val="00E23405"/>
    <w:rsid w:val="00E2438C"/>
    <w:rsid w:val="00E269E7"/>
    <w:rsid w:val="00E26AF5"/>
    <w:rsid w:val="00E30EFF"/>
    <w:rsid w:val="00E31B94"/>
    <w:rsid w:val="00E32513"/>
    <w:rsid w:val="00E32E94"/>
    <w:rsid w:val="00E33E3C"/>
    <w:rsid w:val="00E40006"/>
    <w:rsid w:val="00E4468F"/>
    <w:rsid w:val="00E45D25"/>
    <w:rsid w:val="00E62B44"/>
    <w:rsid w:val="00E67073"/>
    <w:rsid w:val="00E718B5"/>
    <w:rsid w:val="00E71AED"/>
    <w:rsid w:val="00E72B20"/>
    <w:rsid w:val="00E733BE"/>
    <w:rsid w:val="00E75DB0"/>
    <w:rsid w:val="00E76282"/>
    <w:rsid w:val="00E7632B"/>
    <w:rsid w:val="00E76CC0"/>
    <w:rsid w:val="00E80789"/>
    <w:rsid w:val="00E82C81"/>
    <w:rsid w:val="00E8361C"/>
    <w:rsid w:val="00E838B0"/>
    <w:rsid w:val="00E8618C"/>
    <w:rsid w:val="00E87AD4"/>
    <w:rsid w:val="00E90D0C"/>
    <w:rsid w:val="00E96254"/>
    <w:rsid w:val="00EA0B2C"/>
    <w:rsid w:val="00EA1ADB"/>
    <w:rsid w:val="00EA1D79"/>
    <w:rsid w:val="00EA236A"/>
    <w:rsid w:val="00EA48C2"/>
    <w:rsid w:val="00EA6E3E"/>
    <w:rsid w:val="00EA7426"/>
    <w:rsid w:val="00EB3FC4"/>
    <w:rsid w:val="00EB5659"/>
    <w:rsid w:val="00EC1558"/>
    <w:rsid w:val="00EC4487"/>
    <w:rsid w:val="00EC4F44"/>
    <w:rsid w:val="00EC56BD"/>
    <w:rsid w:val="00ED0B3F"/>
    <w:rsid w:val="00ED2616"/>
    <w:rsid w:val="00ED71A7"/>
    <w:rsid w:val="00EE2F01"/>
    <w:rsid w:val="00EE4172"/>
    <w:rsid w:val="00EF0D6A"/>
    <w:rsid w:val="00EF635B"/>
    <w:rsid w:val="00F01221"/>
    <w:rsid w:val="00F0192C"/>
    <w:rsid w:val="00F0279C"/>
    <w:rsid w:val="00F05B72"/>
    <w:rsid w:val="00F05F1C"/>
    <w:rsid w:val="00F13D77"/>
    <w:rsid w:val="00F14535"/>
    <w:rsid w:val="00F22B1D"/>
    <w:rsid w:val="00F23859"/>
    <w:rsid w:val="00F23CE0"/>
    <w:rsid w:val="00F2557D"/>
    <w:rsid w:val="00F26D44"/>
    <w:rsid w:val="00F32F3A"/>
    <w:rsid w:val="00F37039"/>
    <w:rsid w:val="00F40062"/>
    <w:rsid w:val="00F4087D"/>
    <w:rsid w:val="00F4155C"/>
    <w:rsid w:val="00F415E1"/>
    <w:rsid w:val="00F45A81"/>
    <w:rsid w:val="00F5649F"/>
    <w:rsid w:val="00F602EB"/>
    <w:rsid w:val="00F618A8"/>
    <w:rsid w:val="00F621C2"/>
    <w:rsid w:val="00F70BB2"/>
    <w:rsid w:val="00F712F8"/>
    <w:rsid w:val="00F82EF6"/>
    <w:rsid w:val="00F85849"/>
    <w:rsid w:val="00F86755"/>
    <w:rsid w:val="00F86E71"/>
    <w:rsid w:val="00F9289D"/>
    <w:rsid w:val="00F94C5F"/>
    <w:rsid w:val="00F95132"/>
    <w:rsid w:val="00F952A6"/>
    <w:rsid w:val="00F95BA6"/>
    <w:rsid w:val="00F95DFA"/>
    <w:rsid w:val="00F96D00"/>
    <w:rsid w:val="00FA02C4"/>
    <w:rsid w:val="00FA10F1"/>
    <w:rsid w:val="00FA50B8"/>
    <w:rsid w:val="00FB4137"/>
    <w:rsid w:val="00FB48B5"/>
    <w:rsid w:val="00FD07DC"/>
    <w:rsid w:val="00FD329A"/>
    <w:rsid w:val="00FE149C"/>
    <w:rsid w:val="00FE1C38"/>
    <w:rsid w:val="00FE3544"/>
    <w:rsid w:val="00FF3E12"/>
    <w:rsid w:val="00FF4600"/>
    <w:rsid w:val="00FF5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A656FE"/>
    <w:rPr>
      <w:sz w:val="16"/>
      <w:szCs w:val="16"/>
    </w:rPr>
  </w:style>
  <w:style w:type="paragraph" w:styleId="CommentText">
    <w:name w:val="annotation text"/>
    <w:basedOn w:val="Normal"/>
    <w:link w:val="CommentTextChar"/>
    <w:uiPriority w:val="99"/>
    <w:unhideWhenUsed/>
    <w:rsid w:val="00A656FE"/>
    <w:rPr>
      <w:sz w:val="20"/>
      <w:szCs w:val="20"/>
    </w:rPr>
  </w:style>
  <w:style w:type="character" w:customStyle="1" w:styleId="CommentTextChar">
    <w:name w:val="Comment Text Char"/>
    <w:basedOn w:val="DefaultParagraphFont"/>
    <w:link w:val="CommentText"/>
    <w:uiPriority w:val="99"/>
    <w:rsid w:val="00A656F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656FE"/>
    <w:rPr>
      <w:b/>
      <w:bCs/>
    </w:rPr>
  </w:style>
  <w:style w:type="character" w:customStyle="1" w:styleId="CommentSubjectChar">
    <w:name w:val="Comment Subject Char"/>
    <w:basedOn w:val="CommentTextChar"/>
    <w:link w:val="CommentSubject"/>
    <w:uiPriority w:val="99"/>
    <w:semiHidden/>
    <w:rsid w:val="00A656FE"/>
    <w:rPr>
      <w:rFonts w:eastAsia="Times New Roman" w:cs="Times New Roman"/>
      <w:b/>
      <w:bCs/>
      <w:sz w:val="20"/>
      <w:szCs w:val="20"/>
      <w:lang w:val="lv-LV" w:eastAsia="ru-RU"/>
    </w:rPr>
  </w:style>
  <w:style w:type="paragraph" w:customStyle="1" w:styleId="tv213">
    <w:name w:val="tv213"/>
    <w:basedOn w:val="Normal"/>
    <w:rsid w:val="00992963"/>
    <w:pPr>
      <w:spacing w:before="100" w:beforeAutospacing="1" w:after="100" w:afterAutospacing="1"/>
    </w:pPr>
    <w:rPr>
      <w:lang w:eastAsia="lv-LV"/>
    </w:rPr>
  </w:style>
  <w:style w:type="character" w:styleId="Hyperlink">
    <w:name w:val="Hyperlink"/>
    <w:basedOn w:val="DefaultParagraphFont"/>
    <w:uiPriority w:val="99"/>
    <w:unhideWhenUsed/>
    <w:rsid w:val="00E75DB0"/>
    <w:rPr>
      <w:color w:val="0563C1" w:themeColor="hyperlink"/>
      <w:u w:val="single"/>
    </w:rPr>
  </w:style>
  <w:style w:type="character" w:styleId="UnresolvedMention">
    <w:name w:val="Unresolved Mention"/>
    <w:basedOn w:val="DefaultParagraphFont"/>
    <w:uiPriority w:val="99"/>
    <w:semiHidden/>
    <w:unhideWhenUsed/>
    <w:rsid w:val="00E75DB0"/>
    <w:rPr>
      <w:color w:val="605E5C"/>
      <w:shd w:val="clear" w:color="auto" w:fill="E1DFDD"/>
    </w:rPr>
  </w:style>
  <w:style w:type="paragraph" w:styleId="NoSpacing">
    <w:name w:val="No Spacing"/>
    <w:uiPriority w:val="1"/>
    <w:qFormat/>
    <w:rsid w:val="00E75DB0"/>
    <w:pPr>
      <w:spacing w:after="0" w:line="240" w:lineRule="auto"/>
    </w:pPr>
    <w:rPr>
      <w:lang w:val="lv-LV"/>
    </w:rPr>
  </w:style>
  <w:style w:type="character" w:styleId="FootnoteReference">
    <w:name w:val="footnote reference"/>
    <w:aliases w:val="Footnote Reference Number,Footnote symbol"/>
    <w:basedOn w:val="DefaultParagraphFont"/>
    <w:uiPriority w:val="99"/>
    <w:semiHidden/>
    <w:unhideWhenUsed/>
    <w:rsid w:val="005A4215"/>
    <w:rPr>
      <w:rFonts w:ascii="Times New Roman" w:hAnsi="Times New Roman" w:cs="Times New Roman" w:hint="default"/>
      <w:vertAlign w:val="superscript"/>
    </w:rPr>
  </w:style>
  <w:style w:type="paragraph" w:styleId="Header">
    <w:name w:val="header"/>
    <w:basedOn w:val="Normal"/>
    <w:link w:val="HeaderChar"/>
    <w:uiPriority w:val="99"/>
    <w:unhideWhenUsed/>
    <w:rsid w:val="00806F18"/>
    <w:pPr>
      <w:tabs>
        <w:tab w:val="center" w:pos="4153"/>
        <w:tab w:val="right" w:pos="8306"/>
      </w:tabs>
    </w:pPr>
  </w:style>
  <w:style w:type="character" w:customStyle="1" w:styleId="HeaderChar">
    <w:name w:val="Header Char"/>
    <w:basedOn w:val="DefaultParagraphFont"/>
    <w:link w:val="Header"/>
    <w:uiPriority w:val="99"/>
    <w:rsid w:val="00806F18"/>
    <w:rPr>
      <w:rFonts w:eastAsia="Times New Roman" w:cs="Times New Roman"/>
      <w:szCs w:val="24"/>
      <w:lang w:val="lv-LV" w:eastAsia="ru-RU"/>
    </w:rPr>
  </w:style>
  <w:style w:type="paragraph" w:styleId="Footer">
    <w:name w:val="footer"/>
    <w:basedOn w:val="Normal"/>
    <w:link w:val="FooterChar"/>
    <w:uiPriority w:val="99"/>
    <w:unhideWhenUsed/>
    <w:rsid w:val="00806F18"/>
    <w:pPr>
      <w:tabs>
        <w:tab w:val="center" w:pos="4153"/>
        <w:tab w:val="right" w:pos="8306"/>
      </w:tabs>
    </w:pPr>
  </w:style>
  <w:style w:type="character" w:customStyle="1" w:styleId="FooterChar">
    <w:name w:val="Footer Char"/>
    <w:basedOn w:val="DefaultParagraphFont"/>
    <w:link w:val="Footer"/>
    <w:uiPriority w:val="99"/>
    <w:rsid w:val="00806F18"/>
    <w:rPr>
      <w:rFonts w:eastAsia="Times New Roman" w:cs="Times New Roman"/>
      <w:szCs w:val="24"/>
      <w:lang w:val="lv-LV" w:eastAsia="ru-RU"/>
    </w:rPr>
  </w:style>
  <w:style w:type="paragraph" w:styleId="Revision">
    <w:name w:val="Revision"/>
    <w:hidden/>
    <w:uiPriority w:val="99"/>
    <w:semiHidden/>
    <w:rsid w:val="002E19C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76444"/>
    <w:rPr>
      <w:color w:val="954F72" w:themeColor="followedHyperlink"/>
      <w:u w:val="single"/>
    </w:rPr>
  </w:style>
  <w:style w:type="paragraph" w:styleId="ListParagraph">
    <w:name w:val="List Paragraph"/>
    <w:basedOn w:val="Normal"/>
    <w:uiPriority w:val="34"/>
    <w:qFormat/>
    <w:rsid w:val="00D0192B"/>
    <w:pPr>
      <w:ind w:left="720"/>
      <w:contextualSpacing/>
    </w:pPr>
  </w:style>
  <w:style w:type="character" w:styleId="Emphasis">
    <w:name w:val="Emphasis"/>
    <w:basedOn w:val="DefaultParagraphFont"/>
    <w:uiPriority w:val="20"/>
    <w:qFormat/>
    <w:rsid w:val="003E4AAA"/>
    <w:rPr>
      <w:i/>
      <w:iCs/>
    </w:rPr>
  </w:style>
  <w:style w:type="character" w:customStyle="1" w:styleId="sb8d990e2">
    <w:name w:val="sb8d990e2"/>
    <w:basedOn w:val="DefaultParagraphFont"/>
    <w:rsid w:val="003E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hyperlink" Target="https://www.at.gov.lv/downloadlawfile/7019" TargetMode="External"/><Relationship Id="rId3" Type="http://schemas.openxmlformats.org/officeDocument/2006/relationships/settings" Target="settings.xml"/><Relationship Id="rId7" Type="http://schemas.openxmlformats.org/officeDocument/2006/relationships/hyperlink" Target="https://gateway.elieta.lv/api/v1/PublicMaterialDownload/e229cef9-7fbd-4b3c-ba56-bc1dec1e7b9a" TargetMode="External"/><Relationship Id="rId12" Type="http://schemas.openxmlformats.org/officeDocument/2006/relationships/hyperlink" Target="https://likumi.lv/ta/id/75864-par-radio-un-televizijas-likuma-19-panta-piektas-dalas-atbilstibu-latvijas-republikas-satversmes-89-91-100-un-114-pantam-eiro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i=001-1407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t.gov.lv/downloadlawfile/3607" TargetMode="External"/><Relationship Id="rId4" Type="http://schemas.openxmlformats.org/officeDocument/2006/relationships/webSettings" Target="webSettings.xml"/><Relationship Id="rId9" Type="http://schemas.openxmlformats.org/officeDocument/2006/relationships/hyperlink" Target="https://www.at.gov.lv/downloadlawfile/8555" TargetMode="External"/><Relationship Id="rId14" Type="http://schemas.openxmlformats.org/officeDocument/2006/relationships/hyperlink" Target="https://www.at.gov.lv/downloadlawfile/6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16040</Words>
  <Characters>9143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2025-12-19T10:51:00Z</dcterms:created>
  <dcterms:modified xsi:type="dcterms:W3CDTF">2026-02-02T09:56:00Z</dcterms:modified>
</cp:coreProperties>
</file>