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73FC" w14:textId="77777777" w:rsidR="00937032" w:rsidRPr="008C3DB4" w:rsidRDefault="00937032" w:rsidP="00937032">
      <w:pPr>
        <w:spacing w:line="276" w:lineRule="auto"/>
        <w:jc w:val="both"/>
        <w:rPr>
          <w:b/>
          <w:bCs/>
        </w:rPr>
      </w:pPr>
      <w:r w:rsidRPr="008C3DB4">
        <w:rPr>
          <w:b/>
          <w:bCs/>
        </w:rPr>
        <w:t>Kvalificējoša pazīme – personu grupa pēc iepriekšējas vienošanās</w:t>
      </w:r>
    </w:p>
    <w:p w14:paraId="04BF81C3" w14:textId="77777777" w:rsidR="00937032" w:rsidRPr="008C3DB4" w:rsidRDefault="00937032" w:rsidP="00937032">
      <w:pPr>
        <w:spacing w:line="276" w:lineRule="auto"/>
        <w:jc w:val="both"/>
      </w:pPr>
      <w:r w:rsidRPr="008C3DB4">
        <w:t>Pati par sevi apzināšanās, ka citas personas izdara noziedzīgu nodarījumu, nav uzskatāma par panāktu vienošanos kopīgi izdarīt noziedzīgu nodarījumu, jo tā nav vērsta uz aktīvu piedalīšanos noziedzīgā nodarījuma izdarīšanā.</w:t>
      </w:r>
    </w:p>
    <w:p w14:paraId="41E1C904" w14:textId="77777777" w:rsidR="00937032" w:rsidRPr="008C3DB4" w:rsidRDefault="00937032" w:rsidP="00937032">
      <w:pPr>
        <w:spacing w:line="276" w:lineRule="auto"/>
        <w:jc w:val="both"/>
      </w:pPr>
      <w:r w:rsidRPr="008C3DB4">
        <w:t>Ja persona nav izdarījusi nevienu darbību, ko var kvalificēt kā daļu no noziedzīgā nodarījuma objektīvās puses, viņa nav attiecīgās noziedzīgās grupas dalībniece (izdarītāja).</w:t>
      </w:r>
    </w:p>
    <w:p w14:paraId="3FAA6A84" w14:textId="741372DA" w:rsidR="00447EE6" w:rsidRPr="008C3DB4" w:rsidRDefault="00447EE6" w:rsidP="00937032">
      <w:pPr>
        <w:spacing w:line="276" w:lineRule="auto"/>
        <w:rPr>
          <w:lang w:eastAsia="lv-LV"/>
        </w:rPr>
      </w:pPr>
    </w:p>
    <w:p w14:paraId="30EF74F0" w14:textId="1D1BEEA1" w:rsidR="00447EE6" w:rsidRPr="008C3DB4" w:rsidRDefault="00447EE6" w:rsidP="00245AF5">
      <w:pPr>
        <w:spacing w:line="276" w:lineRule="auto"/>
        <w:jc w:val="center"/>
        <w:rPr>
          <w:b/>
        </w:rPr>
      </w:pPr>
      <w:r w:rsidRPr="008C3DB4">
        <w:rPr>
          <w:b/>
        </w:rPr>
        <w:t>Latvijas Republikas Senāt</w:t>
      </w:r>
      <w:r w:rsidR="00D326A1" w:rsidRPr="008C3DB4">
        <w:rPr>
          <w:b/>
        </w:rPr>
        <w:t>a</w:t>
      </w:r>
    </w:p>
    <w:p w14:paraId="7A9F595D" w14:textId="5A91F2F2" w:rsidR="00D326A1" w:rsidRPr="008C3DB4" w:rsidRDefault="00D326A1" w:rsidP="00245AF5">
      <w:pPr>
        <w:spacing w:line="276" w:lineRule="auto"/>
        <w:jc w:val="center"/>
        <w:rPr>
          <w:b/>
          <w:bCs/>
          <w:lang w:eastAsia="lv-LV"/>
        </w:rPr>
      </w:pPr>
      <w:r w:rsidRPr="008C3DB4">
        <w:rPr>
          <w:b/>
          <w:bCs/>
          <w:lang w:eastAsia="lv-LV"/>
        </w:rPr>
        <w:t>Krimināllietu departamenta</w:t>
      </w:r>
    </w:p>
    <w:p w14:paraId="31877DAA" w14:textId="11E30B7B" w:rsidR="00D326A1" w:rsidRPr="008C3DB4" w:rsidRDefault="00D326A1" w:rsidP="00245AF5">
      <w:pPr>
        <w:spacing w:line="276" w:lineRule="auto"/>
        <w:jc w:val="center"/>
        <w:rPr>
          <w:b/>
          <w:bCs/>
        </w:rPr>
      </w:pPr>
      <w:r w:rsidRPr="008C3DB4">
        <w:rPr>
          <w:b/>
          <w:bCs/>
        </w:rPr>
        <w:t>2025. gada [..]</w:t>
      </w:r>
    </w:p>
    <w:p w14:paraId="6D65DEB2" w14:textId="4B2E89A5" w:rsidR="00447EE6" w:rsidRPr="008C3DB4" w:rsidRDefault="00245AF5" w:rsidP="00245AF5">
      <w:pPr>
        <w:spacing w:line="276" w:lineRule="auto"/>
        <w:jc w:val="center"/>
        <w:rPr>
          <w:b/>
          <w:bCs/>
        </w:rPr>
      </w:pPr>
      <w:r w:rsidRPr="008C3DB4">
        <w:rPr>
          <w:b/>
          <w:bCs/>
        </w:rPr>
        <w:t>LĒMUMS</w:t>
      </w:r>
      <w:r w:rsidR="00D326A1" w:rsidRPr="008C3DB4">
        <w:rPr>
          <w:b/>
          <w:bCs/>
          <w:vertAlign w:val="superscript"/>
        </w:rPr>
        <w:footnoteReference w:id="1"/>
      </w:r>
    </w:p>
    <w:p w14:paraId="6A01D1AB" w14:textId="31FCC1B4" w:rsidR="00D326A1" w:rsidRPr="008C3DB4" w:rsidRDefault="00D326A1" w:rsidP="00D326A1">
      <w:pPr>
        <w:spacing w:line="276" w:lineRule="auto"/>
        <w:jc w:val="center"/>
        <w:rPr>
          <w:b/>
          <w:bCs/>
          <w:lang w:eastAsia="lv-LV"/>
        </w:rPr>
      </w:pPr>
      <w:r w:rsidRPr="008C3DB4">
        <w:rPr>
          <w:b/>
          <w:bCs/>
          <w:lang w:eastAsia="lv-LV"/>
        </w:rPr>
        <w:t>Lieta Nr. [..], SKK</w:t>
      </w:r>
      <w:r w:rsidRPr="008C3DB4">
        <w:rPr>
          <w:b/>
          <w:bCs/>
          <w:lang w:eastAsia="lv-LV"/>
        </w:rPr>
        <w:noBreakHyphen/>
        <w:t>[I]/2025</w:t>
      </w:r>
    </w:p>
    <w:p w14:paraId="38B74AAD" w14:textId="77777777" w:rsidR="00937032" w:rsidRPr="008C3DB4" w:rsidRDefault="00937032" w:rsidP="00937032">
      <w:pPr>
        <w:widowControl w:val="0"/>
        <w:spacing w:line="276" w:lineRule="auto"/>
        <w:jc w:val="center"/>
        <w:rPr>
          <w:bCs/>
        </w:rPr>
      </w:pPr>
      <w:r w:rsidRPr="008C3DB4">
        <w:rPr>
          <w:bCs/>
        </w:rPr>
        <w:t>ECLI:LV:AT:2025:[..]</w:t>
      </w:r>
    </w:p>
    <w:p w14:paraId="23AC01B7" w14:textId="77777777" w:rsidR="00245AF5" w:rsidRPr="008C3DB4" w:rsidRDefault="00245AF5" w:rsidP="00245AF5">
      <w:pPr>
        <w:spacing w:line="276" w:lineRule="auto"/>
        <w:jc w:val="center"/>
      </w:pPr>
    </w:p>
    <w:p w14:paraId="1609D6F5" w14:textId="7087F58C" w:rsidR="00447EE6" w:rsidRPr="008C3DB4" w:rsidRDefault="00447EE6" w:rsidP="00245AF5">
      <w:pPr>
        <w:spacing w:line="276" w:lineRule="auto"/>
        <w:ind w:firstLine="720"/>
        <w:jc w:val="both"/>
      </w:pPr>
      <w:r w:rsidRPr="008C3DB4">
        <w:t>Senāts šādā sastāvā:</w:t>
      </w:r>
      <w:r w:rsidR="00245AF5" w:rsidRPr="008C3DB4">
        <w:t xml:space="preserve"> senators referents Aivars Uminskis, senatori </w:t>
      </w:r>
      <w:r w:rsidR="00281E06" w:rsidRPr="008C3DB4">
        <w:t>Māris Leja</w:t>
      </w:r>
      <w:r w:rsidR="00245AF5" w:rsidRPr="008C3DB4">
        <w:t xml:space="preserve"> un</w:t>
      </w:r>
      <w:r w:rsidR="00281E06" w:rsidRPr="008C3DB4">
        <w:t xml:space="preserve"> Inese Laura Zemīte</w:t>
      </w:r>
    </w:p>
    <w:p w14:paraId="6C25391A" w14:textId="77777777" w:rsidR="00245AF5" w:rsidRPr="008C3DB4" w:rsidRDefault="00245AF5" w:rsidP="00245AF5">
      <w:pPr>
        <w:spacing w:line="276" w:lineRule="auto"/>
        <w:ind w:firstLine="720"/>
        <w:jc w:val="both"/>
      </w:pPr>
    </w:p>
    <w:p w14:paraId="11F51367" w14:textId="031B8E63" w:rsidR="00245AF5" w:rsidRPr="008C3DB4" w:rsidRDefault="00245AF5" w:rsidP="00D326A1">
      <w:pPr>
        <w:spacing w:line="276" w:lineRule="auto"/>
        <w:ind w:firstLine="709"/>
        <w:jc w:val="both"/>
      </w:pPr>
      <w:r w:rsidRPr="008C3DB4">
        <w:t xml:space="preserve">rakstveida procesā izskatīja krimināllietu sakarā ar </w:t>
      </w:r>
      <w:r w:rsidR="003A6500" w:rsidRPr="008C3DB4">
        <w:t xml:space="preserve">apsūdzētā </w:t>
      </w:r>
      <w:r w:rsidR="00D326A1" w:rsidRPr="008C3DB4">
        <w:t>[pers. A]</w:t>
      </w:r>
      <w:r w:rsidR="003A6500" w:rsidRPr="008C3DB4">
        <w:t xml:space="preserve"> aizstāves zvērinātas advokātes Unas Pētersones </w:t>
      </w:r>
      <w:r w:rsidRPr="008C3DB4">
        <w:t xml:space="preserve">kasācijas sūdzību par </w:t>
      </w:r>
      <w:r w:rsidR="00D326A1" w:rsidRPr="008C3DB4">
        <w:t>[..]</w:t>
      </w:r>
      <w:r w:rsidRPr="008C3DB4">
        <w:t xml:space="preserve"> apgabaltiesas 202</w:t>
      </w:r>
      <w:r w:rsidR="003A6500" w:rsidRPr="008C3DB4">
        <w:t>4</w:t>
      </w:r>
      <w:r w:rsidRPr="008C3DB4">
        <w:t>. gada</w:t>
      </w:r>
      <w:r w:rsidR="003A6500" w:rsidRPr="008C3DB4">
        <w:t xml:space="preserve"> </w:t>
      </w:r>
      <w:r w:rsidR="00D326A1" w:rsidRPr="008C3DB4">
        <w:t>[..]</w:t>
      </w:r>
      <w:r w:rsidR="003A6500" w:rsidRPr="008C3DB4">
        <w:t xml:space="preserve"> lēmumu</w:t>
      </w:r>
      <w:r w:rsidRPr="008C3DB4">
        <w:t>.</w:t>
      </w:r>
    </w:p>
    <w:p w14:paraId="2FB1E06E" w14:textId="77777777" w:rsidR="00245AF5" w:rsidRPr="008C3DB4" w:rsidRDefault="00245AF5" w:rsidP="00245AF5">
      <w:pPr>
        <w:spacing w:line="276" w:lineRule="auto"/>
        <w:ind w:firstLine="720"/>
        <w:jc w:val="both"/>
        <w:rPr>
          <w:lang w:eastAsia="lv-LV"/>
        </w:rPr>
      </w:pPr>
    </w:p>
    <w:p w14:paraId="12882064" w14:textId="77777777" w:rsidR="00447EE6" w:rsidRPr="008C3DB4" w:rsidRDefault="00447EE6" w:rsidP="00245AF5">
      <w:pPr>
        <w:spacing w:line="276" w:lineRule="auto"/>
        <w:jc w:val="center"/>
        <w:rPr>
          <w:b/>
          <w:shd w:val="clear" w:color="auto" w:fill="FFFFFF"/>
        </w:rPr>
      </w:pPr>
      <w:r w:rsidRPr="008C3DB4">
        <w:rPr>
          <w:b/>
          <w:shd w:val="clear" w:color="auto" w:fill="FFFFFF"/>
        </w:rPr>
        <w:t>Aprakstošā daļa</w:t>
      </w:r>
    </w:p>
    <w:p w14:paraId="0F10B033" w14:textId="77777777" w:rsidR="00B53C40" w:rsidRPr="008C3DB4" w:rsidRDefault="00B53C40" w:rsidP="00245AF5">
      <w:pPr>
        <w:spacing w:line="276" w:lineRule="auto"/>
        <w:jc w:val="center"/>
        <w:rPr>
          <w:shd w:val="clear" w:color="auto" w:fill="FFFFFF"/>
        </w:rPr>
      </w:pPr>
    </w:p>
    <w:p w14:paraId="0B4F5653" w14:textId="0325C9DF" w:rsidR="00447EE6" w:rsidRPr="008C3DB4" w:rsidRDefault="00447EE6" w:rsidP="00D326A1">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[1]</w:t>
      </w:r>
      <w:r w:rsidR="00B53C40" w:rsidRPr="008C3DB4">
        <w:rPr>
          <w:shd w:val="clear" w:color="auto" w:fill="FFFFFF"/>
        </w:rPr>
        <w:t> </w:t>
      </w:r>
      <w:r w:rsidR="007A1CD4" w:rsidRPr="008C3DB4">
        <w:rPr>
          <w:shd w:val="clear" w:color="auto" w:fill="FFFFFF"/>
        </w:rPr>
        <w:t xml:space="preserve">Ar </w:t>
      </w:r>
      <w:r w:rsidR="00D326A1" w:rsidRPr="008C3DB4">
        <w:rPr>
          <w:shd w:val="clear" w:color="auto" w:fill="FFFFFF"/>
        </w:rPr>
        <w:t xml:space="preserve">[rajona (pilsētas)] </w:t>
      </w:r>
      <w:r w:rsidR="007A1CD4" w:rsidRPr="008C3DB4">
        <w:rPr>
          <w:shd w:val="clear" w:color="auto" w:fill="FFFFFF"/>
        </w:rPr>
        <w:t xml:space="preserve">tiesas 2024. gada </w:t>
      </w:r>
      <w:r w:rsidR="00D326A1" w:rsidRPr="008C3DB4">
        <w:rPr>
          <w:shd w:val="clear" w:color="auto" w:fill="FFFFFF"/>
        </w:rPr>
        <w:t>[..]</w:t>
      </w:r>
      <w:r w:rsidR="007A1CD4" w:rsidRPr="008C3DB4">
        <w:rPr>
          <w:shd w:val="clear" w:color="auto" w:fill="FFFFFF"/>
        </w:rPr>
        <w:t xml:space="preserve"> spriedumu</w:t>
      </w:r>
    </w:p>
    <w:p w14:paraId="7D82D4E3" w14:textId="755D16BE" w:rsidR="007A1CD4" w:rsidRPr="008C3DB4" w:rsidRDefault="007A1CD4" w:rsidP="007A1CD4">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[1.1] </w:t>
      </w:r>
      <w:r w:rsidR="00D326A1" w:rsidRPr="008C3DB4">
        <w:rPr>
          <w:shd w:val="clear" w:color="auto" w:fill="FFFFFF"/>
        </w:rPr>
        <w:t>[pers. B]</w:t>
      </w:r>
      <w:r w:rsidRPr="008C3DB4">
        <w:rPr>
          <w:shd w:val="clear" w:color="auto" w:fill="FFFFFF"/>
        </w:rPr>
        <w:t xml:space="preserve">, personas kods </w:t>
      </w:r>
      <w:r w:rsidR="00D326A1" w:rsidRPr="008C3DB4">
        <w:rPr>
          <w:shd w:val="clear" w:color="auto" w:fill="FFFFFF"/>
        </w:rPr>
        <w:t>[..]</w:t>
      </w:r>
      <w:r w:rsidRPr="008C3DB4">
        <w:rPr>
          <w:shd w:val="clear" w:color="auto" w:fill="FFFFFF"/>
        </w:rPr>
        <w:t>,</w:t>
      </w:r>
    </w:p>
    <w:p w14:paraId="591E4BC8" w14:textId="2A6B1B97" w:rsidR="007A1CD4" w:rsidRPr="008C3DB4" w:rsidRDefault="007A1CD4" w:rsidP="007A1CD4">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 xml:space="preserve">atzīts par vainīgu Krimināllikuma 327. panta otrajā daļā paredzētajā noziedzīgajā nodarījumā un sodīts ar sabiedrisko darbu uz 150 stundām, atņemot tiesības ieņemt amatu </w:t>
      </w:r>
      <w:r w:rsidR="00937032" w:rsidRPr="008C3DB4">
        <w:rPr>
          <w:shd w:val="clear" w:color="auto" w:fill="FFFFFF"/>
        </w:rPr>
        <w:t>[Organizācija]</w:t>
      </w:r>
      <w:r w:rsidRPr="008C3DB4">
        <w:rPr>
          <w:shd w:val="clear" w:color="auto" w:fill="FFFFFF"/>
        </w:rPr>
        <w:t xml:space="preserve"> struktūrā</w:t>
      </w:r>
      <w:r w:rsidR="00952FBD" w:rsidRPr="008C3DB4">
        <w:rPr>
          <w:shd w:val="clear" w:color="auto" w:fill="FFFFFF"/>
        </w:rPr>
        <w:t>s</w:t>
      </w:r>
      <w:r w:rsidRPr="008C3DB4">
        <w:rPr>
          <w:shd w:val="clear" w:color="auto" w:fill="FFFFFF"/>
        </w:rPr>
        <w:t xml:space="preserve"> uz 3 gadiem.</w:t>
      </w:r>
    </w:p>
    <w:p w14:paraId="143448DA" w14:textId="6AA680F9" w:rsidR="007A1CD4" w:rsidRPr="008C3DB4" w:rsidRDefault="007A1CD4" w:rsidP="00D326A1">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[1.2] </w:t>
      </w:r>
      <w:r w:rsidR="00D326A1" w:rsidRPr="008C3DB4">
        <w:rPr>
          <w:shd w:val="clear" w:color="auto" w:fill="FFFFFF"/>
        </w:rPr>
        <w:t>[Pers. A]</w:t>
      </w:r>
      <w:r w:rsidRPr="008C3DB4">
        <w:rPr>
          <w:shd w:val="clear" w:color="auto" w:fill="FFFFFF"/>
        </w:rPr>
        <w:t xml:space="preserve">, personas kods </w:t>
      </w:r>
      <w:r w:rsidR="00D326A1" w:rsidRPr="008C3DB4">
        <w:rPr>
          <w:shd w:val="clear" w:color="auto" w:fill="FFFFFF"/>
        </w:rPr>
        <w:t>[..]</w:t>
      </w:r>
      <w:r w:rsidRPr="008C3DB4">
        <w:rPr>
          <w:shd w:val="clear" w:color="auto" w:fill="FFFFFF"/>
        </w:rPr>
        <w:t>,</w:t>
      </w:r>
    </w:p>
    <w:p w14:paraId="5D92BA16" w14:textId="7DBC8CA5" w:rsidR="007A1CD4" w:rsidRPr="008C3DB4" w:rsidRDefault="007A1CD4" w:rsidP="007A1CD4">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atzīts par vainīgu Krimināllikuma 327. panta otrajā daļā paredzētajā noziedzīgajā nodarījumā un sodīts ar naudas sodu 12 minimālo mēnešalgu apmērā jeb 8400 </w:t>
      </w:r>
      <w:r w:rsidRPr="008C3DB4">
        <w:rPr>
          <w:i/>
          <w:iCs/>
          <w:shd w:val="clear" w:color="auto" w:fill="FFFFFF"/>
        </w:rPr>
        <w:t>euro</w:t>
      </w:r>
      <w:r w:rsidRPr="008C3DB4">
        <w:rPr>
          <w:shd w:val="clear" w:color="auto" w:fill="FFFFFF"/>
        </w:rPr>
        <w:t xml:space="preserve">, atņemot tiesības ieņemt amatu </w:t>
      </w:r>
      <w:r w:rsidR="00937032" w:rsidRPr="008C3DB4">
        <w:rPr>
          <w:shd w:val="clear" w:color="auto" w:fill="FFFFFF"/>
        </w:rPr>
        <w:t xml:space="preserve">[Organizācija] </w:t>
      </w:r>
      <w:r w:rsidRPr="008C3DB4">
        <w:rPr>
          <w:shd w:val="clear" w:color="auto" w:fill="FFFFFF"/>
        </w:rPr>
        <w:t>struktūrā</w:t>
      </w:r>
      <w:r w:rsidR="00952FBD" w:rsidRPr="008C3DB4">
        <w:rPr>
          <w:shd w:val="clear" w:color="auto" w:fill="FFFFFF"/>
        </w:rPr>
        <w:t>s</w:t>
      </w:r>
      <w:r w:rsidRPr="008C3DB4">
        <w:rPr>
          <w:shd w:val="clear" w:color="auto" w:fill="FFFFFF"/>
        </w:rPr>
        <w:t xml:space="preserve"> uz 3 gadiem.</w:t>
      </w:r>
    </w:p>
    <w:p w14:paraId="0787777D" w14:textId="4F384EE6" w:rsidR="007A1CD4" w:rsidRPr="008C3DB4" w:rsidRDefault="007A1CD4" w:rsidP="00D326A1">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[1.3] </w:t>
      </w:r>
      <w:r w:rsidR="00D326A1" w:rsidRPr="008C3DB4">
        <w:rPr>
          <w:shd w:val="clear" w:color="auto" w:fill="FFFFFF"/>
        </w:rPr>
        <w:t>[Pers.</w:t>
      </w:r>
      <w:r w:rsidR="00F457E6">
        <w:rPr>
          <w:shd w:val="clear" w:color="auto" w:fill="FFFFFF"/>
        </w:rPr>
        <w:t> </w:t>
      </w:r>
      <w:r w:rsidR="00D326A1" w:rsidRPr="008C3DB4">
        <w:rPr>
          <w:shd w:val="clear" w:color="auto" w:fill="FFFFFF"/>
        </w:rPr>
        <w:t>C]</w:t>
      </w:r>
      <w:r w:rsidRPr="008C3DB4">
        <w:rPr>
          <w:shd w:val="clear" w:color="auto" w:fill="FFFFFF"/>
        </w:rPr>
        <w:t xml:space="preserve">, personas kods </w:t>
      </w:r>
      <w:r w:rsidR="00D326A1" w:rsidRPr="008C3DB4">
        <w:rPr>
          <w:shd w:val="clear" w:color="auto" w:fill="FFFFFF"/>
        </w:rPr>
        <w:t>[..]</w:t>
      </w:r>
      <w:r w:rsidRPr="008C3DB4">
        <w:rPr>
          <w:shd w:val="clear" w:color="auto" w:fill="FFFFFF"/>
        </w:rPr>
        <w:t>,</w:t>
      </w:r>
    </w:p>
    <w:p w14:paraId="59D175DC" w14:textId="708CA969" w:rsidR="007A1CD4" w:rsidRPr="008C3DB4" w:rsidRDefault="007A1CD4" w:rsidP="007A1CD4">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 xml:space="preserve">atzīts par vainīgu Krimināllikuma 327. panta otrajā daļā paredzētajā noziedzīgajā nodarījumā un sodīts ar sabiedrisko darbu uz 150 stundām, atņemot tiesības ieņemt amatu </w:t>
      </w:r>
      <w:r w:rsidR="00937032" w:rsidRPr="008C3DB4">
        <w:rPr>
          <w:shd w:val="clear" w:color="auto" w:fill="FFFFFF"/>
        </w:rPr>
        <w:t xml:space="preserve">[Organizācija] </w:t>
      </w:r>
      <w:r w:rsidRPr="008C3DB4">
        <w:rPr>
          <w:shd w:val="clear" w:color="auto" w:fill="FFFFFF"/>
        </w:rPr>
        <w:t>struktūrā</w:t>
      </w:r>
      <w:r w:rsidR="00952FBD" w:rsidRPr="008C3DB4">
        <w:rPr>
          <w:shd w:val="clear" w:color="auto" w:fill="FFFFFF"/>
        </w:rPr>
        <w:t>s</w:t>
      </w:r>
      <w:r w:rsidRPr="008C3DB4">
        <w:rPr>
          <w:shd w:val="clear" w:color="auto" w:fill="FFFFFF"/>
        </w:rPr>
        <w:t xml:space="preserve"> uz 3 gadiem.</w:t>
      </w:r>
    </w:p>
    <w:p w14:paraId="17401F61" w14:textId="77777777" w:rsidR="007A1CD4" w:rsidRPr="008C3DB4" w:rsidRDefault="007A1CD4" w:rsidP="007A1CD4">
      <w:pPr>
        <w:pStyle w:val="NormalWeb"/>
        <w:shd w:val="clear" w:color="auto" w:fill="FFFFFF"/>
        <w:spacing w:before="0" w:beforeAutospacing="0" w:after="0" w:afterAutospacing="0" w:line="276" w:lineRule="auto"/>
        <w:ind w:firstLine="720"/>
        <w:jc w:val="both"/>
        <w:rPr>
          <w:shd w:val="clear" w:color="auto" w:fill="FFFFFF"/>
        </w:rPr>
      </w:pPr>
    </w:p>
    <w:p w14:paraId="3A21AAC8" w14:textId="0C8B1FB0" w:rsidR="007A1CD4" w:rsidRPr="008C3DB4" w:rsidRDefault="007A1CD4" w:rsidP="007A1CD4">
      <w:pPr>
        <w:pStyle w:val="NormalWeb"/>
        <w:shd w:val="clear" w:color="auto" w:fill="FFFFFF"/>
        <w:spacing w:before="0" w:beforeAutospacing="0" w:after="0" w:afterAutospacing="0" w:line="276" w:lineRule="auto"/>
        <w:ind w:firstLine="720"/>
        <w:jc w:val="both"/>
      </w:pPr>
      <w:r w:rsidRPr="008C3DB4">
        <w:t xml:space="preserve">[2] Ar pirmās instances tiesas spriedumu apsūdzētie </w:t>
      </w:r>
      <w:r w:rsidR="00D326A1" w:rsidRPr="008C3DB4">
        <w:t>[pers. B]</w:t>
      </w:r>
      <w:r w:rsidRPr="008C3DB4">
        <w:t xml:space="preserve">, </w:t>
      </w:r>
      <w:r w:rsidR="00D326A1" w:rsidRPr="008C3DB4">
        <w:t>[pers. A]</w:t>
      </w:r>
      <w:r w:rsidRPr="008C3DB4">
        <w:t xml:space="preserve"> un </w:t>
      </w:r>
      <w:r w:rsidR="00D326A1" w:rsidRPr="008C3DB4">
        <w:t>[pers. C]</w:t>
      </w:r>
      <w:r w:rsidRPr="008C3DB4">
        <w:t xml:space="preserve"> atzīti par vainīgiem un sodīti pēc Krimināllikuma 327. panta otrās daļas par to, ka</w:t>
      </w:r>
      <w:r w:rsidR="0080118C" w:rsidRPr="008C3DB4">
        <w:t>,</w:t>
      </w:r>
      <w:r w:rsidRPr="008C3DB4">
        <w:t xml:space="preserve"> būdami valsts amatpersonas, izdarīja dokumentu viltošanu personu grupā pēc iepriekšējas vienošanās</w:t>
      </w:r>
      <w:r w:rsidR="00036518" w:rsidRPr="008C3DB4">
        <w:t xml:space="preserve"> (dienesta viltojumu)</w:t>
      </w:r>
      <w:r w:rsidRPr="008C3DB4">
        <w:t>.</w:t>
      </w:r>
    </w:p>
    <w:p w14:paraId="573E3E5E" w14:textId="7BCCAE64" w:rsidR="007A1CD4" w:rsidRPr="008C3DB4" w:rsidRDefault="007A1CD4" w:rsidP="00D326A1">
      <w:pPr>
        <w:pStyle w:val="NormalWeb"/>
        <w:shd w:val="clear" w:color="auto" w:fill="FFFFFF"/>
        <w:spacing w:before="0" w:beforeAutospacing="0" w:after="0" w:afterAutospacing="0" w:line="276" w:lineRule="auto"/>
        <w:ind w:firstLine="720"/>
        <w:jc w:val="both"/>
      </w:pPr>
      <w:r w:rsidRPr="008C3DB4">
        <w:lastRenderedPageBreak/>
        <w:t>[3] </w:t>
      </w:r>
      <w:r w:rsidR="003B1565" w:rsidRPr="008C3DB4">
        <w:t xml:space="preserve">Ar </w:t>
      </w:r>
      <w:r w:rsidR="00D326A1" w:rsidRPr="008C3DB4">
        <w:t>[..]</w:t>
      </w:r>
      <w:r w:rsidR="003B1565" w:rsidRPr="008C3DB4">
        <w:t xml:space="preserve"> apgabaltiesas 2024. gada </w:t>
      </w:r>
      <w:r w:rsidR="00D326A1" w:rsidRPr="008C3DB4">
        <w:t>[..]</w:t>
      </w:r>
      <w:r w:rsidR="003B1565" w:rsidRPr="008C3DB4">
        <w:t xml:space="preserve"> lēmumu, iztiesājot lietu sakarā ar apsūdzētā </w:t>
      </w:r>
      <w:r w:rsidR="00D326A1" w:rsidRPr="008C3DB4">
        <w:t>[pers. A]</w:t>
      </w:r>
      <w:r w:rsidR="003B1565" w:rsidRPr="008C3DB4">
        <w:t xml:space="preserve"> aizstāves U</w:t>
      </w:r>
      <w:r w:rsidR="003E2111" w:rsidRPr="008C3DB4">
        <w:t>. </w:t>
      </w:r>
      <w:r w:rsidR="003B1565" w:rsidRPr="008C3DB4">
        <w:t xml:space="preserve">Pētersones apelācijas sūdzību, </w:t>
      </w:r>
      <w:r w:rsidR="00D326A1" w:rsidRPr="008C3DB4">
        <w:t xml:space="preserve">[rajona (pilsētas)] </w:t>
      </w:r>
      <w:r w:rsidR="003B1565" w:rsidRPr="008C3DB4">
        <w:t xml:space="preserve">tiesas 2024. gada </w:t>
      </w:r>
      <w:r w:rsidR="00D326A1" w:rsidRPr="008C3DB4">
        <w:t>[..]</w:t>
      </w:r>
      <w:r w:rsidR="003B1565" w:rsidRPr="008C3DB4">
        <w:t xml:space="preserve"> spriedums atstāts negrozīts.</w:t>
      </w:r>
    </w:p>
    <w:p w14:paraId="205FD012" w14:textId="7E9D2C09" w:rsidR="003B1565" w:rsidRPr="008C3DB4" w:rsidRDefault="00681D6B" w:rsidP="007A1CD4">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[4] </w:t>
      </w:r>
      <w:r w:rsidR="00C4170B" w:rsidRPr="008C3DB4">
        <w:rPr>
          <w:shd w:val="clear" w:color="auto" w:fill="FFFFFF"/>
        </w:rPr>
        <w:t xml:space="preserve">Par </w:t>
      </w:r>
      <w:r w:rsidR="00D326A1" w:rsidRPr="008C3DB4">
        <w:rPr>
          <w:shd w:val="clear" w:color="auto" w:fill="FFFFFF"/>
        </w:rPr>
        <w:t>[..]</w:t>
      </w:r>
      <w:r w:rsidR="00C4170B" w:rsidRPr="008C3DB4">
        <w:rPr>
          <w:shd w:val="clear" w:color="auto" w:fill="FFFFFF"/>
        </w:rPr>
        <w:t xml:space="preserve"> apgabaltiesas 2024. gada </w:t>
      </w:r>
      <w:r w:rsidR="00D326A1" w:rsidRPr="008C3DB4">
        <w:rPr>
          <w:shd w:val="clear" w:color="auto" w:fill="FFFFFF"/>
        </w:rPr>
        <w:t>[..]</w:t>
      </w:r>
      <w:r w:rsidR="00C4170B" w:rsidRPr="008C3DB4">
        <w:rPr>
          <w:shd w:val="clear" w:color="auto" w:fill="FFFFFF"/>
        </w:rPr>
        <w:t xml:space="preserve"> </w:t>
      </w:r>
      <w:r w:rsidR="00F359F5" w:rsidRPr="008C3DB4">
        <w:rPr>
          <w:shd w:val="clear" w:color="auto" w:fill="FFFFFF"/>
        </w:rPr>
        <w:t xml:space="preserve">lēmumu </w:t>
      </w:r>
      <w:r w:rsidR="00C4170B" w:rsidRPr="008C3DB4">
        <w:rPr>
          <w:shd w:val="clear" w:color="auto" w:fill="FFFFFF"/>
        </w:rPr>
        <w:t xml:space="preserve">apsūdzētā </w:t>
      </w:r>
      <w:r w:rsidR="00D326A1" w:rsidRPr="008C3DB4">
        <w:rPr>
          <w:shd w:val="clear" w:color="auto" w:fill="FFFFFF"/>
        </w:rPr>
        <w:t>[pers. A]</w:t>
      </w:r>
      <w:r w:rsidR="00C4170B" w:rsidRPr="008C3DB4">
        <w:rPr>
          <w:shd w:val="clear" w:color="auto" w:fill="FFFFFF"/>
        </w:rPr>
        <w:t xml:space="preserve"> aizstāve U. Pētersone iesniegusi kasācijas sūdzību, kurā lūdz atcelt minēto lēmumu pilnībā un nosūtīt lietu jaunai izskatīšanai.</w:t>
      </w:r>
    </w:p>
    <w:p w14:paraId="730AAEFF" w14:textId="7CF155B2" w:rsidR="00C4170B" w:rsidRPr="008C3DB4" w:rsidRDefault="00C4170B" w:rsidP="00C4170B">
      <w:pPr>
        <w:tabs>
          <w:tab w:val="left" w:pos="1710"/>
        </w:tabs>
        <w:spacing w:line="276" w:lineRule="auto"/>
        <w:ind w:firstLine="709"/>
        <w:jc w:val="both"/>
      </w:pPr>
      <w:r w:rsidRPr="008C3DB4">
        <w:t>Kasācijas sūdzībā izteikto lūgumu aizstāve pamatojusi ar turpmāk norādītajiem argumentiem.</w:t>
      </w:r>
    </w:p>
    <w:p w14:paraId="0084D3B4" w14:textId="0644B6E4" w:rsidR="00C4170B" w:rsidRPr="008C3DB4" w:rsidRDefault="00C4170B" w:rsidP="007A1CD4">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[4.1] </w:t>
      </w:r>
      <w:r w:rsidR="002A69E1" w:rsidRPr="008C3DB4">
        <w:rPr>
          <w:shd w:val="clear" w:color="auto" w:fill="FFFFFF"/>
        </w:rPr>
        <w:t xml:space="preserve">Apelācijas instances tiesa apsūdzēto </w:t>
      </w:r>
      <w:r w:rsidR="00D326A1" w:rsidRPr="008C3DB4">
        <w:rPr>
          <w:shd w:val="clear" w:color="auto" w:fill="FFFFFF"/>
        </w:rPr>
        <w:t>[pers. A]</w:t>
      </w:r>
      <w:r w:rsidR="002A69E1" w:rsidRPr="008C3DB4">
        <w:rPr>
          <w:shd w:val="clear" w:color="auto" w:fill="FFFFFF"/>
        </w:rPr>
        <w:t xml:space="preserve"> nepamatoti atzinusi par vainīgu Krimināllikuma 327. panta otrajā daļā paredzētajā noziedzīgajā nodarījumā</w:t>
      </w:r>
      <w:r w:rsidR="008D1D46" w:rsidRPr="008C3DB4">
        <w:rPr>
          <w:shd w:val="clear" w:color="auto" w:fill="FFFFFF"/>
        </w:rPr>
        <w:t xml:space="preserve">, jo viņa darbībās nav konstatējama </w:t>
      </w:r>
      <w:r w:rsidR="00D31531" w:rsidRPr="008C3DB4">
        <w:rPr>
          <w:shd w:val="clear" w:color="auto" w:fill="FFFFFF"/>
        </w:rPr>
        <w:t xml:space="preserve">kvalificējošā pazīme </w:t>
      </w:r>
      <w:r w:rsidR="008D1D46" w:rsidRPr="008C3DB4">
        <w:rPr>
          <w:shd w:val="clear" w:color="auto" w:fill="FFFFFF"/>
        </w:rPr>
        <w:t>personu grupa pēc iepriekšējas vienošanās.</w:t>
      </w:r>
    </w:p>
    <w:p w14:paraId="3C40C12E" w14:textId="5B63112F" w:rsidR="00FC4963" w:rsidRPr="008C3DB4" w:rsidRDefault="009D2D1A" w:rsidP="007A1CD4">
      <w:pPr>
        <w:pStyle w:val="NormalWeb"/>
        <w:shd w:val="clear" w:color="auto" w:fill="FFFFFF"/>
        <w:spacing w:before="0" w:beforeAutospacing="0" w:after="0" w:afterAutospacing="0" w:line="276" w:lineRule="auto"/>
        <w:ind w:firstLine="720"/>
        <w:jc w:val="both"/>
        <w:rPr>
          <w:shd w:val="clear" w:color="auto" w:fill="FFFFFF"/>
        </w:rPr>
      </w:pPr>
      <w:r w:rsidRPr="008C3DB4">
        <w:t>Nolēmumā</w:t>
      </w:r>
      <w:r w:rsidR="002500F3" w:rsidRPr="008C3DB4">
        <w:t xml:space="preserve"> pierādītā noziedzīg</w:t>
      </w:r>
      <w:r w:rsidR="00014A3D" w:rsidRPr="008C3DB4">
        <w:t>ā</w:t>
      </w:r>
      <w:r w:rsidR="002500F3" w:rsidRPr="008C3DB4">
        <w:t xml:space="preserve"> nodarījuma aprakstā </w:t>
      </w:r>
      <w:r w:rsidR="00FC4963" w:rsidRPr="008C3DB4">
        <w:rPr>
          <w:shd w:val="clear" w:color="auto" w:fill="FFFFFF"/>
        </w:rPr>
        <w:t xml:space="preserve">laikā no 2017. gada </w:t>
      </w:r>
      <w:r w:rsidR="00D326A1" w:rsidRPr="008C3DB4">
        <w:rPr>
          <w:shd w:val="clear" w:color="auto" w:fill="FFFFFF"/>
        </w:rPr>
        <w:t>[..]</w:t>
      </w:r>
      <w:r w:rsidR="00FC4963" w:rsidRPr="008C3DB4">
        <w:rPr>
          <w:shd w:val="clear" w:color="auto" w:fill="FFFFFF"/>
        </w:rPr>
        <w:t xml:space="preserve"> līdz 2019. gada </w:t>
      </w:r>
      <w:r w:rsidR="00D326A1" w:rsidRPr="008C3DB4">
        <w:rPr>
          <w:shd w:val="clear" w:color="auto" w:fill="FFFFFF"/>
        </w:rPr>
        <w:t>[..]</w:t>
      </w:r>
      <w:r w:rsidR="002500F3" w:rsidRPr="008C3DB4">
        <w:rPr>
          <w:shd w:val="clear" w:color="auto" w:fill="FFFFFF"/>
        </w:rPr>
        <w:t xml:space="preserve"> nav norādīti dokumenti</w:t>
      </w:r>
      <w:r w:rsidR="00FC4963" w:rsidRPr="008C3DB4">
        <w:rPr>
          <w:shd w:val="clear" w:color="auto" w:fill="FFFFFF"/>
        </w:rPr>
        <w:t xml:space="preserve">, </w:t>
      </w:r>
      <w:r w:rsidR="002500F3" w:rsidRPr="008C3DB4">
        <w:rPr>
          <w:shd w:val="clear" w:color="auto" w:fill="FFFFFF"/>
        </w:rPr>
        <w:t xml:space="preserve">kuru </w:t>
      </w:r>
      <w:r w:rsidR="00217E00" w:rsidRPr="008C3DB4">
        <w:rPr>
          <w:shd w:val="clear" w:color="auto" w:fill="FFFFFF"/>
        </w:rPr>
        <w:t>sagatavošanā un saskaņošanā</w:t>
      </w:r>
      <w:r w:rsidR="00FC4963" w:rsidRPr="008C3DB4">
        <w:rPr>
          <w:shd w:val="clear" w:color="auto" w:fill="FFFFFF"/>
        </w:rPr>
        <w:t xml:space="preserve"> apsūdzētais </w:t>
      </w:r>
      <w:r w:rsidR="00D326A1" w:rsidRPr="008C3DB4">
        <w:rPr>
          <w:shd w:val="clear" w:color="auto" w:fill="FFFFFF"/>
        </w:rPr>
        <w:t>[pers. A]</w:t>
      </w:r>
      <w:r w:rsidR="00FC4963" w:rsidRPr="008C3DB4">
        <w:rPr>
          <w:shd w:val="clear" w:color="auto" w:fill="FFFFFF"/>
        </w:rPr>
        <w:t xml:space="preserve"> </w:t>
      </w:r>
      <w:r w:rsidR="002500F3" w:rsidRPr="008C3DB4">
        <w:rPr>
          <w:shd w:val="clear" w:color="auto" w:fill="FFFFFF"/>
        </w:rPr>
        <w:t xml:space="preserve">ir </w:t>
      </w:r>
      <w:r w:rsidR="00FC4963" w:rsidRPr="008C3DB4">
        <w:rPr>
          <w:shd w:val="clear" w:color="auto" w:fill="FFFFFF"/>
        </w:rPr>
        <w:t>piedalījies.</w:t>
      </w:r>
    </w:p>
    <w:p w14:paraId="62A36AE6" w14:textId="23A70CF8" w:rsidR="001034CD" w:rsidRPr="008C3DB4" w:rsidRDefault="00020A4B" w:rsidP="003209A9">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Savukārt a</w:t>
      </w:r>
      <w:r w:rsidR="001034CD" w:rsidRPr="008C3DB4">
        <w:rPr>
          <w:shd w:val="clear" w:color="auto" w:fill="FFFFFF"/>
        </w:rPr>
        <w:t xml:space="preserve">pstāklis, ka apsūdzētais </w:t>
      </w:r>
      <w:r w:rsidR="00D326A1" w:rsidRPr="008C3DB4">
        <w:rPr>
          <w:shd w:val="clear" w:color="auto" w:fill="FFFFFF"/>
        </w:rPr>
        <w:t>[pers. A]</w:t>
      </w:r>
      <w:r w:rsidR="001034CD" w:rsidRPr="008C3DB4">
        <w:rPr>
          <w:shd w:val="clear" w:color="auto" w:fill="FFFFFF"/>
        </w:rPr>
        <w:t xml:space="preserve"> zināja, ka </w:t>
      </w:r>
      <w:r w:rsidR="00D326A1" w:rsidRPr="008C3DB4">
        <w:rPr>
          <w:shd w:val="clear" w:color="auto" w:fill="FFFFFF"/>
        </w:rPr>
        <w:t>[pers. D]</w:t>
      </w:r>
      <w:r w:rsidR="001034CD" w:rsidRPr="008C3DB4">
        <w:rPr>
          <w:shd w:val="clear" w:color="auto" w:fill="FFFFFF"/>
        </w:rPr>
        <w:t xml:space="preserve"> vietā </w:t>
      </w:r>
      <w:r w:rsidR="00180EF9" w:rsidRPr="008C3DB4">
        <w:rPr>
          <w:shd w:val="clear" w:color="auto" w:fill="FFFFFF"/>
        </w:rPr>
        <w:t>[amats]</w:t>
      </w:r>
      <w:r w:rsidR="001034CD" w:rsidRPr="008C3DB4">
        <w:rPr>
          <w:shd w:val="clear" w:color="auto" w:fill="FFFFFF"/>
        </w:rPr>
        <w:t xml:space="preserve"> pienākumus veic </w:t>
      </w:r>
      <w:r w:rsidR="00D326A1" w:rsidRPr="008C3DB4">
        <w:rPr>
          <w:shd w:val="clear" w:color="auto" w:fill="FFFFFF"/>
        </w:rPr>
        <w:t>[pers. E]</w:t>
      </w:r>
      <w:r w:rsidR="001034CD" w:rsidRPr="008C3DB4">
        <w:rPr>
          <w:shd w:val="clear" w:color="auto" w:fill="FFFFFF"/>
        </w:rPr>
        <w:t>, ne</w:t>
      </w:r>
      <w:r w:rsidR="00016F43" w:rsidRPr="008C3DB4">
        <w:rPr>
          <w:shd w:val="clear" w:color="auto" w:fill="FFFFFF"/>
        </w:rPr>
        <w:t>pierāda</w:t>
      </w:r>
      <w:r w:rsidR="003209A9" w:rsidRPr="008C3DB4">
        <w:rPr>
          <w:shd w:val="clear" w:color="auto" w:fill="FFFFFF"/>
        </w:rPr>
        <w:t xml:space="preserve"> apsūdzēto vienošanos pirms </w:t>
      </w:r>
      <w:r w:rsidR="00016F43" w:rsidRPr="008C3DB4">
        <w:rPr>
          <w:shd w:val="clear" w:color="auto" w:fill="FFFFFF"/>
        </w:rPr>
        <w:t>dokumentu viltošan</w:t>
      </w:r>
      <w:r w:rsidR="003209A9" w:rsidRPr="008C3DB4">
        <w:rPr>
          <w:shd w:val="clear" w:color="auto" w:fill="FFFFFF"/>
        </w:rPr>
        <w:t>as.</w:t>
      </w:r>
    </w:p>
    <w:p w14:paraId="50A828DE" w14:textId="2E20800E" w:rsidR="00217E00" w:rsidRPr="008C3DB4" w:rsidRDefault="008D1D46" w:rsidP="007A1CD4">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Turklāt a</w:t>
      </w:r>
      <w:r w:rsidR="0011124A" w:rsidRPr="008C3DB4">
        <w:rPr>
          <w:shd w:val="clear" w:color="auto" w:fill="FFFFFF"/>
        </w:rPr>
        <w:t xml:space="preserve">psūdzētajam </w:t>
      </w:r>
      <w:r w:rsidR="00D326A1" w:rsidRPr="008C3DB4">
        <w:rPr>
          <w:shd w:val="clear" w:color="auto" w:fill="FFFFFF"/>
        </w:rPr>
        <w:t>[pers. A]</w:t>
      </w:r>
      <w:r w:rsidR="0011124A" w:rsidRPr="008C3DB4">
        <w:rPr>
          <w:shd w:val="clear" w:color="auto" w:fill="FFFFFF"/>
        </w:rPr>
        <w:t xml:space="preserve"> nav bijis nodoma prettiesiskā veidā nodrošināt </w:t>
      </w:r>
      <w:r w:rsidR="00180EF9" w:rsidRPr="008C3DB4">
        <w:rPr>
          <w:shd w:val="clear" w:color="auto" w:fill="FFFFFF"/>
        </w:rPr>
        <w:t>[amats]</w:t>
      </w:r>
      <w:r w:rsidR="0011124A" w:rsidRPr="008C3DB4">
        <w:rPr>
          <w:shd w:val="clear" w:color="auto" w:fill="FFFFFF"/>
        </w:rPr>
        <w:t xml:space="preserve"> darba pienākumu nepārtrauktību </w:t>
      </w:r>
      <w:r w:rsidR="008C3DB4">
        <w:rPr>
          <w:shd w:val="clear" w:color="auto" w:fill="FFFFFF"/>
        </w:rPr>
        <w:t>[struktūrvienība</w:t>
      </w:r>
      <w:r w:rsidR="00937032" w:rsidRPr="008C3DB4">
        <w:rPr>
          <w:shd w:val="clear" w:color="auto" w:fill="FFFFFF"/>
        </w:rPr>
        <w:t> A]</w:t>
      </w:r>
      <w:r w:rsidR="0011124A" w:rsidRPr="008C3DB4">
        <w:rPr>
          <w:shd w:val="clear" w:color="auto" w:fill="FFFFFF"/>
        </w:rPr>
        <w:t xml:space="preserve"> telpās</w:t>
      </w:r>
      <w:r w:rsidR="009F011A" w:rsidRPr="008C3DB4">
        <w:rPr>
          <w:shd w:val="clear" w:color="auto" w:fill="FFFFFF"/>
        </w:rPr>
        <w:t xml:space="preserve">. Tiesa nav ņēmusi vērā lietā esošās ziņas, </w:t>
      </w:r>
      <w:r w:rsidR="00883B3C" w:rsidRPr="008C3DB4">
        <w:rPr>
          <w:shd w:val="clear" w:color="auto" w:fill="FFFFFF"/>
        </w:rPr>
        <w:t xml:space="preserve">tajā skaitā </w:t>
      </w:r>
      <w:r w:rsidR="00E371E0" w:rsidRPr="008C3DB4">
        <w:rPr>
          <w:shd w:val="clear" w:color="auto" w:fill="FFFFFF"/>
        </w:rPr>
        <w:t xml:space="preserve">liecinieces </w:t>
      </w:r>
      <w:r w:rsidR="00D326A1" w:rsidRPr="008C3DB4">
        <w:rPr>
          <w:shd w:val="clear" w:color="auto" w:fill="FFFFFF"/>
        </w:rPr>
        <w:t>[pers. F]</w:t>
      </w:r>
      <w:r w:rsidR="00883B3C" w:rsidRPr="008C3DB4">
        <w:rPr>
          <w:shd w:val="clear" w:color="auto" w:fill="FFFFFF"/>
        </w:rPr>
        <w:t xml:space="preserve"> liecības, kas apstiprina, </w:t>
      </w:r>
      <w:r w:rsidR="009F011A" w:rsidRPr="008C3DB4">
        <w:rPr>
          <w:shd w:val="clear" w:color="auto" w:fill="FFFFFF"/>
        </w:rPr>
        <w:t xml:space="preserve">ka apsūdzētais, ieņemot </w:t>
      </w:r>
      <w:r w:rsidR="008C3DB4">
        <w:rPr>
          <w:shd w:val="clear" w:color="auto" w:fill="FFFFFF"/>
        </w:rPr>
        <w:t>[struktūrvienība</w:t>
      </w:r>
      <w:r w:rsidR="00937032" w:rsidRPr="008C3DB4">
        <w:rPr>
          <w:shd w:val="clear" w:color="auto" w:fill="FFFFFF"/>
        </w:rPr>
        <w:t> A]</w:t>
      </w:r>
      <w:r w:rsidR="009F011A" w:rsidRPr="008C3DB4">
        <w:rPr>
          <w:shd w:val="clear" w:color="auto" w:fill="FFFFFF"/>
        </w:rPr>
        <w:t xml:space="preserve"> priekšnieka pienākumu izpildītāja amatu, mēģinājis novērst </w:t>
      </w:r>
      <w:r w:rsidR="001034CD" w:rsidRPr="008C3DB4">
        <w:rPr>
          <w:shd w:val="clear" w:color="auto" w:fill="FFFFFF"/>
        </w:rPr>
        <w:t>dokumentos esošās neatbilstības.</w:t>
      </w:r>
    </w:p>
    <w:p w14:paraId="41C85A10" w14:textId="6E7D9735" w:rsidR="009F011A" w:rsidRPr="008C3DB4" w:rsidRDefault="00C36A4A" w:rsidP="007A1CD4">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 xml:space="preserve">[4.2] Apelācijas instances </w:t>
      </w:r>
      <w:r w:rsidR="007E6128" w:rsidRPr="008C3DB4">
        <w:rPr>
          <w:shd w:val="clear" w:color="auto" w:fill="FFFFFF"/>
        </w:rPr>
        <w:t>tiesa, nosakot sodu,</w:t>
      </w:r>
      <w:r w:rsidRPr="008C3DB4">
        <w:rPr>
          <w:shd w:val="clear" w:color="auto" w:fill="FFFFFF"/>
        </w:rPr>
        <w:t xml:space="preserve"> </w:t>
      </w:r>
      <w:r w:rsidR="000A4F70" w:rsidRPr="008C3DB4">
        <w:rPr>
          <w:shd w:val="clear" w:color="auto" w:fill="FFFFFF"/>
        </w:rPr>
        <w:t xml:space="preserve">pārkāpusi </w:t>
      </w:r>
      <w:r w:rsidR="007E6128" w:rsidRPr="008C3DB4">
        <w:rPr>
          <w:shd w:val="clear" w:color="auto" w:fill="FFFFFF"/>
        </w:rPr>
        <w:t>Krimināllikuma 46. panta prasības</w:t>
      </w:r>
      <w:r w:rsidR="000A4F70" w:rsidRPr="008C3DB4">
        <w:rPr>
          <w:shd w:val="clear" w:color="auto" w:fill="FFFFFF"/>
        </w:rPr>
        <w:t>.</w:t>
      </w:r>
    </w:p>
    <w:p w14:paraId="1DFA9B36" w14:textId="0782CD1A" w:rsidR="002E5CAB" w:rsidRPr="008C3DB4" w:rsidRDefault="002E5CAB" w:rsidP="00D326A1">
      <w:pPr>
        <w:pStyle w:val="NormalWeb"/>
        <w:shd w:val="clear" w:color="auto" w:fill="FFFFFF"/>
        <w:spacing w:before="0" w:beforeAutospacing="0" w:after="0" w:afterAutospacing="0" w:line="276" w:lineRule="auto"/>
        <w:ind w:firstLine="720"/>
        <w:jc w:val="both"/>
        <w:rPr>
          <w:shd w:val="clear" w:color="auto" w:fill="FFFFFF"/>
        </w:rPr>
      </w:pPr>
      <w:r w:rsidRPr="008C3DB4">
        <w:rPr>
          <w:shd w:val="clear" w:color="auto" w:fill="FFFFFF"/>
        </w:rPr>
        <w:t xml:space="preserve">Apsūdzētajam </w:t>
      </w:r>
      <w:r w:rsidR="00D326A1" w:rsidRPr="008C3DB4">
        <w:rPr>
          <w:shd w:val="clear" w:color="auto" w:fill="FFFFFF"/>
        </w:rPr>
        <w:t>[pers. A]</w:t>
      </w:r>
      <w:r w:rsidRPr="008C3DB4">
        <w:rPr>
          <w:shd w:val="clear" w:color="auto" w:fill="FFFFFF"/>
        </w:rPr>
        <w:t xml:space="preserve"> noteiktais naudas sod</w:t>
      </w:r>
      <w:r w:rsidR="00767D89" w:rsidRPr="008C3DB4">
        <w:rPr>
          <w:shd w:val="clear" w:color="auto" w:fill="FFFFFF"/>
        </w:rPr>
        <w:t xml:space="preserve">a apmērs </w:t>
      </w:r>
      <w:r w:rsidRPr="008C3DB4">
        <w:rPr>
          <w:shd w:val="clear" w:color="auto" w:fill="FFFFFF"/>
        </w:rPr>
        <w:t xml:space="preserve">ir </w:t>
      </w:r>
      <w:r w:rsidR="008F0164" w:rsidRPr="008C3DB4">
        <w:rPr>
          <w:shd w:val="clear" w:color="auto" w:fill="FFFFFF"/>
        </w:rPr>
        <w:t xml:space="preserve">nesamērīgi </w:t>
      </w:r>
      <w:r w:rsidRPr="008C3DB4">
        <w:rPr>
          <w:shd w:val="clear" w:color="auto" w:fill="FFFFFF"/>
        </w:rPr>
        <w:t xml:space="preserve">bargāks </w:t>
      </w:r>
      <w:r w:rsidR="00DB1B8B" w:rsidRPr="008C3DB4">
        <w:rPr>
          <w:shd w:val="clear" w:color="auto" w:fill="FFFFFF"/>
        </w:rPr>
        <w:t xml:space="preserve">nekā </w:t>
      </w:r>
      <w:r w:rsidRPr="008C3DB4">
        <w:rPr>
          <w:shd w:val="clear" w:color="auto" w:fill="FFFFFF"/>
        </w:rPr>
        <w:t xml:space="preserve">apsūdzētajiem </w:t>
      </w:r>
      <w:r w:rsidR="00D326A1" w:rsidRPr="008C3DB4">
        <w:rPr>
          <w:shd w:val="clear" w:color="auto" w:fill="FFFFFF"/>
        </w:rPr>
        <w:t>[pers. B]</w:t>
      </w:r>
      <w:r w:rsidRPr="008C3DB4">
        <w:rPr>
          <w:shd w:val="clear" w:color="auto" w:fill="FFFFFF"/>
        </w:rPr>
        <w:t xml:space="preserve"> un </w:t>
      </w:r>
      <w:r w:rsidR="00D326A1" w:rsidRPr="008C3DB4">
        <w:rPr>
          <w:shd w:val="clear" w:color="auto" w:fill="FFFFFF"/>
        </w:rPr>
        <w:t>[pers.</w:t>
      </w:r>
      <w:r w:rsidR="00F457E6">
        <w:rPr>
          <w:shd w:val="clear" w:color="auto" w:fill="FFFFFF"/>
        </w:rPr>
        <w:t> </w:t>
      </w:r>
      <w:r w:rsidR="00D326A1" w:rsidRPr="008C3DB4">
        <w:rPr>
          <w:shd w:val="clear" w:color="auto" w:fill="FFFFFF"/>
        </w:rPr>
        <w:t>C]</w:t>
      </w:r>
      <w:r w:rsidRPr="008C3DB4">
        <w:rPr>
          <w:shd w:val="clear" w:color="auto" w:fill="FFFFFF"/>
        </w:rPr>
        <w:t xml:space="preserve"> noteikt</w:t>
      </w:r>
      <w:r w:rsidR="00DB1B8B" w:rsidRPr="008C3DB4">
        <w:rPr>
          <w:shd w:val="clear" w:color="auto" w:fill="FFFFFF"/>
        </w:rPr>
        <w:t>ais</w:t>
      </w:r>
      <w:r w:rsidR="00767D89" w:rsidRPr="008C3DB4">
        <w:rPr>
          <w:shd w:val="clear" w:color="auto" w:fill="FFFFFF"/>
        </w:rPr>
        <w:t xml:space="preserve"> </w:t>
      </w:r>
      <w:r w:rsidRPr="008C3DB4">
        <w:rPr>
          <w:shd w:val="clear" w:color="auto" w:fill="FFFFFF"/>
        </w:rPr>
        <w:t>sabiedrisk</w:t>
      </w:r>
      <w:r w:rsidR="00767D89" w:rsidRPr="008C3DB4">
        <w:rPr>
          <w:shd w:val="clear" w:color="auto" w:fill="FFFFFF"/>
        </w:rPr>
        <w:t>ā</w:t>
      </w:r>
      <w:r w:rsidRPr="008C3DB4">
        <w:rPr>
          <w:shd w:val="clear" w:color="auto" w:fill="FFFFFF"/>
        </w:rPr>
        <w:t xml:space="preserve"> dar</w:t>
      </w:r>
      <w:r w:rsidR="00767D89" w:rsidRPr="008C3DB4">
        <w:rPr>
          <w:shd w:val="clear" w:color="auto" w:fill="FFFFFF"/>
        </w:rPr>
        <w:t xml:space="preserve">ba </w:t>
      </w:r>
      <w:r w:rsidR="00F82AB6" w:rsidRPr="008C3DB4">
        <w:rPr>
          <w:shd w:val="clear" w:color="auto" w:fill="FFFFFF"/>
        </w:rPr>
        <w:t>apmēru.</w:t>
      </w:r>
    </w:p>
    <w:p w14:paraId="3250A2C0" w14:textId="18B41A1F" w:rsidR="00C36A4A" w:rsidRPr="008C3DB4" w:rsidRDefault="00C36A4A" w:rsidP="00A81562">
      <w:pPr>
        <w:pStyle w:val="NormalWeb"/>
        <w:shd w:val="clear" w:color="auto" w:fill="FFFFFF"/>
        <w:spacing w:before="0" w:beforeAutospacing="0" w:after="0" w:afterAutospacing="0" w:line="276" w:lineRule="auto"/>
        <w:ind w:firstLine="720"/>
        <w:jc w:val="both"/>
      </w:pPr>
      <w:r w:rsidRPr="008C3DB4">
        <w:rPr>
          <w:shd w:val="clear" w:color="auto" w:fill="FFFFFF"/>
        </w:rPr>
        <w:t>Tiesa</w:t>
      </w:r>
      <w:r w:rsidR="000A4F70" w:rsidRPr="008C3DB4">
        <w:rPr>
          <w:shd w:val="clear" w:color="auto" w:fill="FFFFFF"/>
        </w:rPr>
        <w:t xml:space="preserve"> </w:t>
      </w:r>
      <w:r w:rsidRPr="008C3DB4">
        <w:rPr>
          <w:shd w:val="clear" w:color="auto" w:fill="FFFFFF"/>
        </w:rPr>
        <w:t>nav izvērtējusi ar noziedzīgo nodarījumu radīto kaitējumu</w:t>
      </w:r>
      <w:r w:rsidR="000A4F70" w:rsidRPr="008C3DB4">
        <w:rPr>
          <w:shd w:val="clear" w:color="auto" w:fill="FFFFFF"/>
        </w:rPr>
        <w:t xml:space="preserve">, proti, </w:t>
      </w:r>
      <w:r w:rsidR="002E5CAB" w:rsidRPr="008C3DB4">
        <w:rPr>
          <w:shd w:val="clear" w:color="auto" w:fill="FFFFFF"/>
        </w:rPr>
        <w:t xml:space="preserve">ka </w:t>
      </w:r>
      <w:r w:rsidR="007E6128" w:rsidRPr="008C3DB4">
        <w:rPr>
          <w:shd w:val="clear" w:color="auto" w:fill="FFFFFF"/>
        </w:rPr>
        <w:t xml:space="preserve">ne </w:t>
      </w:r>
      <w:r w:rsidR="00937032" w:rsidRPr="008C3DB4">
        <w:rPr>
          <w:shd w:val="clear" w:color="auto" w:fill="FFFFFF"/>
        </w:rPr>
        <w:t xml:space="preserve">[Organizācijas] </w:t>
      </w:r>
      <w:r w:rsidR="00A81562" w:rsidRPr="008C3DB4">
        <w:t xml:space="preserve">(turpmāk – </w:t>
      </w:r>
      <w:r w:rsidR="00937032" w:rsidRPr="008C3DB4">
        <w:rPr>
          <w:shd w:val="clear" w:color="auto" w:fill="FFFFFF"/>
        </w:rPr>
        <w:t>[Organizācija]</w:t>
      </w:r>
      <w:r w:rsidR="00A81562" w:rsidRPr="008C3DB4">
        <w:rPr>
          <w:shd w:val="clear" w:color="auto" w:fill="FFFFFF"/>
        </w:rPr>
        <w:t>)</w:t>
      </w:r>
      <w:r w:rsidR="007E6128" w:rsidRPr="008C3DB4">
        <w:rPr>
          <w:shd w:val="clear" w:color="auto" w:fill="FFFFFF"/>
        </w:rPr>
        <w:t xml:space="preserve"> </w:t>
      </w:r>
      <w:r w:rsidR="008C3DB4">
        <w:rPr>
          <w:shd w:val="clear" w:color="auto" w:fill="FFFFFF"/>
        </w:rPr>
        <w:t>[struktūrvienība</w:t>
      </w:r>
      <w:r w:rsidR="00340DDA" w:rsidRPr="008C3DB4">
        <w:rPr>
          <w:shd w:val="clear" w:color="auto" w:fill="FFFFFF"/>
        </w:rPr>
        <w:t> </w:t>
      </w:r>
      <w:r w:rsidR="00937032" w:rsidRPr="008C3DB4">
        <w:rPr>
          <w:shd w:val="clear" w:color="auto" w:fill="FFFFFF"/>
        </w:rPr>
        <w:t>A]</w:t>
      </w:r>
      <w:r w:rsidR="007E6128" w:rsidRPr="008C3DB4">
        <w:rPr>
          <w:shd w:val="clear" w:color="auto" w:fill="FFFFFF"/>
        </w:rPr>
        <w:t xml:space="preserve">, ne </w:t>
      </w:r>
      <w:r w:rsidR="00937032" w:rsidRPr="008C3DB4">
        <w:rPr>
          <w:shd w:val="clear" w:color="auto" w:fill="FFFFFF"/>
        </w:rPr>
        <w:t xml:space="preserve">[Organizācijas] </w:t>
      </w:r>
      <w:r w:rsidR="007E6128" w:rsidRPr="008C3DB4">
        <w:rPr>
          <w:shd w:val="clear" w:color="auto" w:fill="FFFFFF"/>
        </w:rPr>
        <w:t xml:space="preserve"> </w:t>
      </w:r>
      <w:r w:rsidR="008C3DB4">
        <w:rPr>
          <w:shd w:val="clear" w:color="auto" w:fill="FFFFFF"/>
        </w:rPr>
        <w:t>[struktūrvienība</w:t>
      </w:r>
      <w:r w:rsidR="00937032" w:rsidRPr="008C3DB4">
        <w:rPr>
          <w:shd w:val="clear" w:color="auto" w:fill="FFFFFF"/>
        </w:rPr>
        <w:t> B]</w:t>
      </w:r>
      <w:r w:rsidR="007E6128" w:rsidRPr="008C3DB4">
        <w:rPr>
          <w:shd w:val="clear" w:color="auto" w:fill="FFFFFF"/>
        </w:rPr>
        <w:t xml:space="preserve">, ne arī </w:t>
      </w:r>
      <w:r w:rsidR="00937032" w:rsidRPr="008C3DB4">
        <w:rPr>
          <w:shd w:val="clear" w:color="auto" w:fill="FFFFFF"/>
        </w:rPr>
        <w:t xml:space="preserve">[Organizācijas] </w:t>
      </w:r>
      <w:r w:rsidR="007E6128" w:rsidRPr="008C3DB4">
        <w:rPr>
          <w:shd w:val="clear" w:color="auto" w:fill="FFFFFF"/>
        </w:rPr>
        <w:t>normālas darbības apdraudējums</w:t>
      </w:r>
      <w:r w:rsidR="002E5CAB" w:rsidRPr="008C3DB4">
        <w:rPr>
          <w:shd w:val="clear" w:color="auto" w:fill="FFFFFF"/>
        </w:rPr>
        <w:t xml:space="preserve"> nav radīts.</w:t>
      </w:r>
      <w:r w:rsidR="007E6128" w:rsidRPr="008C3DB4">
        <w:rPr>
          <w:shd w:val="clear" w:color="auto" w:fill="FFFFFF"/>
        </w:rPr>
        <w:t xml:space="preserve"> Tiesa nav ņēmusi vērā arī liecinieku </w:t>
      </w:r>
      <w:r w:rsidR="00D326A1" w:rsidRPr="008C3DB4">
        <w:rPr>
          <w:shd w:val="clear" w:color="auto" w:fill="FFFFFF"/>
        </w:rPr>
        <w:t>[pers. H]</w:t>
      </w:r>
      <w:r w:rsidR="007E6128" w:rsidRPr="008C3DB4">
        <w:rPr>
          <w:shd w:val="clear" w:color="auto" w:fill="FFFFFF"/>
        </w:rPr>
        <w:t xml:space="preserve"> un </w:t>
      </w:r>
      <w:r w:rsidR="00D326A1" w:rsidRPr="008C3DB4">
        <w:rPr>
          <w:shd w:val="clear" w:color="auto" w:fill="FFFFFF"/>
        </w:rPr>
        <w:t>[pers. I]</w:t>
      </w:r>
      <w:r w:rsidR="007E6128" w:rsidRPr="008C3DB4">
        <w:rPr>
          <w:shd w:val="clear" w:color="auto" w:fill="FFFFFF"/>
        </w:rPr>
        <w:t xml:space="preserve"> liecībās norādīto, ka kaitējums </w:t>
      </w:r>
      <w:r w:rsidR="00937032" w:rsidRPr="008C3DB4">
        <w:rPr>
          <w:shd w:val="clear" w:color="auto" w:fill="FFFFFF"/>
        </w:rPr>
        <w:t xml:space="preserve">[Organizācijai] </w:t>
      </w:r>
      <w:r w:rsidR="007E6128" w:rsidRPr="008C3DB4">
        <w:rPr>
          <w:shd w:val="clear" w:color="auto" w:fill="FFFFFF"/>
        </w:rPr>
        <w:t>nav nodarīts.</w:t>
      </w:r>
    </w:p>
    <w:p w14:paraId="2D3D0E3F" w14:textId="5DEF80B0" w:rsidR="002A69E1" w:rsidRPr="008C3DB4" w:rsidRDefault="002A69E1" w:rsidP="007A1CD4">
      <w:pPr>
        <w:pStyle w:val="NormalWeb"/>
        <w:shd w:val="clear" w:color="auto" w:fill="FFFFFF"/>
        <w:spacing w:before="0" w:beforeAutospacing="0" w:after="0" w:afterAutospacing="0" w:line="276" w:lineRule="auto"/>
        <w:ind w:firstLine="720"/>
        <w:jc w:val="both"/>
        <w:rPr>
          <w:shd w:val="clear" w:color="auto" w:fill="FFFFFF"/>
        </w:rPr>
      </w:pPr>
    </w:p>
    <w:p w14:paraId="7DAF7841" w14:textId="77777777" w:rsidR="00447EE6" w:rsidRPr="008C3DB4" w:rsidRDefault="00447EE6" w:rsidP="00245AF5">
      <w:pPr>
        <w:shd w:val="clear" w:color="auto" w:fill="FFFFFF"/>
        <w:spacing w:line="276" w:lineRule="auto"/>
        <w:jc w:val="center"/>
        <w:rPr>
          <w:b/>
        </w:rPr>
      </w:pPr>
      <w:r w:rsidRPr="008C3DB4">
        <w:rPr>
          <w:b/>
        </w:rPr>
        <w:t>Motīvu daļa</w:t>
      </w:r>
    </w:p>
    <w:p w14:paraId="59BEE548" w14:textId="77777777" w:rsidR="00B53C40" w:rsidRPr="008C3DB4" w:rsidRDefault="00B53C40" w:rsidP="00245AF5">
      <w:pPr>
        <w:shd w:val="clear" w:color="auto" w:fill="FFFFFF"/>
        <w:spacing w:line="276" w:lineRule="auto"/>
        <w:jc w:val="center"/>
      </w:pPr>
    </w:p>
    <w:p w14:paraId="03DFA56F" w14:textId="70D4546D" w:rsidR="00EF7745" w:rsidRPr="008C3DB4" w:rsidRDefault="00EF7745" w:rsidP="00F30CD0">
      <w:pPr>
        <w:spacing w:line="276" w:lineRule="auto"/>
        <w:ind w:firstLine="720"/>
        <w:jc w:val="both"/>
      </w:pPr>
      <w:r w:rsidRPr="008C3DB4">
        <w:t xml:space="preserve">[5] Kasācijas instances tiesas kompetencē izskatāmajā lietā ir sniegt atbildi, </w:t>
      </w:r>
      <w:r w:rsidR="00B0176D" w:rsidRPr="008C3DB4">
        <w:t>vai</w:t>
      </w:r>
      <w:r w:rsidR="00C76DAD" w:rsidRPr="008C3DB4">
        <w:t>,</w:t>
      </w:r>
      <w:r w:rsidR="00B0176D" w:rsidRPr="008C3DB4">
        <w:t xml:space="preserve"> </w:t>
      </w:r>
      <w:r w:rsidR="00F30CD0" w:rsidRPr="008C3DB4">
        <w:t>kvalificējot apsūdzēto darbības pēc Krimināllikuma 327. panta otrās daļas,</w:t>
      </w:r>
      <w:r w:rsidR="00B0176D" w:rsidRPr="008C3DB4">
        <w:t xml:space="preserve"> </w:t>
      </w:r>
      <w:r w:rsidR="00D31531" w:rsidRPr="008C3DB4">
        <w:t xml:space="preserve">apelācijas instances tiesa </w:t>
      </w:r>
      <w:r w:rsidR="00F30CD0" w:rsidRPr="008C3DB4">
        <w:t>ir ievērojusi Kriminālprocesa likuma 564. panta ceturto daļu.</w:t>
      </w:r>
    </w:p>
    <w:p w14:paraId="116B0BDE" w14:textId="77777777" w:rsidR="005663F6" w:rsidRPr="008C3DB4" w:rsidRDefault="005663F6" w:rsidP="00D44B47">
      <w:pPr>
        <w:spacing w:line="276" w:lineRule="auto"/>
        <w:ind w:firstLine="720"/>
        <w:jc w:val="both"/>
      </w:pPr>
    </w:p>
    <w:p w14:paraId="34B2E260" w14:textId="77777777" w:rsidR="005663F6" w:rsidRPr="008C3DB4" w:rsidRDefault="005663F6" w:rsidP="005663F6">
      <w:pPr>
        <w:spacing w:line="276" w:lineRule="auto"/>
        <w:ind w:firstLine="720"/>
        <w:jc w:val="both"/>
      </w:pPr>
      <w:r w:rsidRPr="008C3DB4">
        <w:t>[6] Saskaņā ar Kriminālprocesa likuma 124. panta otro daļu kriminālprocesā pierādāma noziedzīga nodarījuma sastāva esamība vai neesamība, kā arī citi Krimināllikumā un šajā likumā paredzētie apstākļi, kuriem ir nozīme konkrēto krimināltiesisko attiecību taisnīgā noregulējumā.</w:t>
      </w:r>
    </w:p>
    <w:p w14:paraId="4DA33F1D" w14:textId="77777777" w:rsidR="005663F6" w:rsidRPr="008C3DB4" w:rsidRDefault="005663F6" w:rsidP="005663F6">
      <w:pPr>
        <w:spacing w:line="276" w:lineRule="auto"/>
        <w:ind w:firstLine="720"/>
        <w:jc w:val="both"/>
      </w:pPr>
      <w:r w:rsidRPr="008C3DB4">
        <w:lastRenderedPageBreak/>
        <w:t>Savukārt Kriminālprocesa likuma 564.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AB91065" w14:textId="77777777" w:rsidR="005663F6" w:rsidRPr="008C3DB4" w:rsidRDefault="005663F6" w:rsidP="005663F6">
      <w:pPr>
        <w:spacing w:line="276" w:lineRule="auto"/>
        <w:ind w:firstLine="720"/>
        <w:jc w:val="both"/>
      </w:pPr>
      <w:r w:rsidRPr="008C3DB4">
        <w:t>Senāts jau iepriekš ir norādījis, ka tiesas nolēmuma pamatotība ir viens no procesuālā taisnīguma nodrošināšanas līdzekļiem, un atbilstoši tai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(sk. </w:t>
      </w:r>
      <w:r w:rsidRPr="008C3DB4">
        <w:rPr>
          <w:i/>
          <w:iCs/>
        </w:rPr>
        <w:t>Senāta 2022. gada 5. jūlija lēmuma lietā Nr. SKK</w:t>
      </w:r>
      <w:r w:rsidRPr="008C3DB4">
        <w:rPr>
          <w:i/>
          <w:iCs/>
        </w:rPr>
        <w:noBreakHyphen/>
        <w:t xml:space="preserve">1/2022, </w:t>
      </w:r>
      <w:hyperlink r:id="rId7" w:history="1">
        <w:r w:rsidRPr="008C3DB4">
          <w:rPr>
            <w:rStyle w:val="Hyperlink"/>
            <w:i/>
            <w:iCs/>
          </w:rPr>
          <w:t>ECLI:LV:AT:2022:0705.11816006914.4.L</w:t>
        </w:r>
      </w:hyperlink>
      <w:r w:rsidRPr="008C3DB4">
        <w:rPr>
          <w:i/>
          <w:iCs/>
        </w:rPr>
        <w:t>, 18. punktu</w:t>
      </w:r>
      <w:r w:rsidRPr="008C3DB4">
        <w:t>).</w:t>
      </w:r>
    </w:p>
    <w:p w14:paraId="78B6AE2E" w14:textId="77777777" w:rsidR="005663F6" w:rsidRPr="008C3DB4" w:rsidRDefault="005663F6" w:rsidP="005663F6">
      <w:pPr>
        <w:spacing w:line="276" w:lineRule="auto"/>
        <w:ind w:firstLine="720"/>
        <w:jc w:val="both"/>
      </w:pPr>
      <w:r w:rsidRPr="008C3DB4">
        <w:t>Senāts atzīst, ka apelācijas instances tiesa, iztiesājot lietu, šīs Kriminālprocesa likuma normas un judikatūras atziņu nav ievērojusi.</w:t>
      </w:r>
    </w:p>
    <w:p w14:paraId="7C3B8AA8" w14:textId="49688873" w:rsidR="00B0176D" w:rsidRPr="008C3DB4" w:rsidRDefault="005663F6" w:rsidP="00B808DD">
      <w:pPr>
        <w:spacing w:line="276" w:lineRule="auto"/>
        <w:ind w:firstLine="720"/>
        <w:jc w:val="both"/>
      </w:pPr>
      <w:r w:rsidRPr="008C3DB4">
        <w:t>[6.1] </w:t>
      </w:r>
      <w:r w:rsidR="00B808DD" w:rsidRPr="008C3DB4">
        <w:t xml:space="preserve">Vispirms noskaidrojams, kādas pazīmes raksturo </w:t>
      </w:r>
      <w:r w:rsidR="00B0176D" w:rsidRPr="008C3DB4">
        <w:t xml:space="preserve">Krimināllikuma 327. panta otrajā daļā </w:t>
      </w:r>
      <w:r w:rsidR="00B808DD" w:rsidRPr="008C3DB4">
        <w:t xml:space="preserve">paredzēto kvalificējošo </w:t>
      </w:r>
      <w:r w:rsidR="00AF3043" w:rsidRPr="008C3DB4">
        <w:t xml:space="preserve">pazīmi </w:t>
      </w:r>
      <w:r w:rsidR="00B0176D" w:rsidRPr="008C3DB4">
        <w:t>– personu grup</w:t>
      </w:r>
      <w:r w:rsidR="00F30CD0" w:rsidRPr="008C3DB4">
        <w:t>u</w:t>
      </w:r>
      <w:r w:rsidR="00B0176D" w:rsidRPr="008C3DB4">
        <w:t xml:space="preserve"> pēc iepriekšējas vienošanās.</w:t>
      </w:r>
    </w:p>
    <w:p w14:paraId="0E7FB84B" w14:textId="77777777" w:rsidR="00B0176D" w:rsidRPr="008C3DB4" w:rsidRDefault="00B0176D" w:rsidP="00B0176D">
      <w:pPr>
        <w:spacing w:line="276" w:lineRule="auto"/>
        <w:ind w:firstLine="720"/>
        <w:jc w:val="both"/>
      </w:pPr>
      <w:r w:rsidRPr="008C3DB4">
        <w:t xml:space="preserve">Saskaņā ar </w:t>
      </w:r>
      <w:r w:rsidR="005663F6" w:rsidRPr="008C3DB4">
        <w:t>Krimināllikuma 19. pant</w:t>
      </w:r>
      <w:r w:rsidRPr="008C3DB4">
        <w:t>u par dalību (līdzizdarīšanu) uzskatāma apzināta noziedzīga darbība, ar kuru tīšu noziedzīgu nodarījumu kopīgi, to apzinoties, tieši izdarījušas divas vai vairākas personas (tas ir, grupa). Katra no šīm personām ir noziedzīgā nodarījuma dalībnieks (līdzizdarītājs).</w:t>
      </w:r>
    </w:p>
    <w:p w14:paraId="78C7AE47" w14:textId="371D33BA" w:rsidR="00B0176D" w:rsidRPr="008C3DB4" w:rsidRDefault="00B0176D" w:rsidP="00B0176D">
      <w:pPr>
        <w:spacing w:line="276" w:lineRule="auto"/>
        <w:ind w:firstLine="720"/>
        <w:jc w:val="both"/>
      </w:pPr>
      <w:r w:rsidRPr="008C3DB4">
        <w:t>Tādējādi, lai konstatētu kvalificējošo pazīmi – personu grupa pēc iepriekšējas vienošanās – nepieciešams konstatēt ne tikai to, ka divas vai vairākas personas pirms noziedzīga nodarījuma sastāva realizācijas tiešas uzsākšanas jebkādā veidā ir vienojušās par kopīgi izdarāmo noziedzīgo nodarījumu, bet arī to, ka vismaz divas personas ir tieši realizējušas noziedzīga nodarījuma sastāva objektīvo pusi, proti, ka katra no viņām izpildījusi kādu daļu no Krimināllikuma 327. panta otrās daļas dispozīcijā norādītajām darbībām.</w:t>
      </w:r>
    </w:p>
    <w:p w14:paraId="37A85B7D" w14:textId="6AE9C59C" w:rsidR="005663F6" w:rsidRPr="008C3DB4" w:rsidRDefault="008A30EC" w:rsidP="00B0176D">
      <w:pPr>
        <w:spacing w:line="276" w:lineRule="auto"/>
        <w:ind w:firstLine="720"/>
        <w:jc w:val="both"/>
      </w:pPr>
      <w:r w:rsidRPr="008C3DB4">
        <w:t>No objektīvās puses Krimināllikuma 327. pantā paredzētais noziedzīgais nodarījums raksturojas ar aktīvām darbībām, kas izpaužas 1) dokument</w:t>
      </w:r>
      <w:r w:rsidR="00AF3043" w:rsidRPr="008C3DB4">
        <w:t>a</w:t>
      </w:r>
      <w:r w:rsidRPr="008C3DB4">
        <w:t xml:space="preserve"> viltošanā vai 2) viltota dokumenta izsniegšanā, vai 3) viltota dokumenta izmantošanā.</w:t>
      </w:r>
    </w:p>
    <w:p w14:paraId="2B217B39" w14:textId="7B10E004" w:rsidR="004D44F8" w:rsidRPr="008C3DB4" w:rsidRDefault="008A30EC" w:rsidP="00B808DD">
      <w:pPr>
        <w:spacing w:line="276" w:lineRule="auto"/>
        <w:ind w:firstLine="720"/>
        <w:jc w:val="both"/>
      </w:pPr>
      <w:r w:rsidRPr="008C3DB4">
        <w:t>Ar dokumentu viltošanu Krimināllikuma 327. panta izpratnē jāsaprot ne tikai šo dokumentu materiāla viltošana, bet arī gadījumi, kad persona, kurai ir tiesības sastādīt dokumentu, tajā jau sākotnēji ietvērusi faktus vai notikumus, kas neatbilst īstenībai (</w:t>
      </w:r>
      <w:r w:rsidRPr="008C3DB4">
        <w:rPr>
          <w:i/>
          <w:iCs/>
        </w:rPr>
        <w:t>Senāta</w:t>
      </w:r>
      <w:r w:rsidR="00261C0C" w:rsidRPr="008C3DB4">
        <w:rPr>
          <w:i/>
          <w:iCs/>
        </w:rPr>
        <w:t> </w:t>
      </w:r>
      <w:r w:rsidRPr="008C3DB4">
        <w:rPr>
          <w:i/>
          <w:iCs/>
        </w:rPr>
        <w:t>2013. gada 18. jūnija lēmuma lietā Nr. </w:t>
      </w:r>
      <w:hyperlink r:id="rId8" w:history="1">
        <w:r w:rsidRPr="008C3DB4">
          <w:rPr>
            <w:rStyle w:val="Hyperlink"/>
            <w:i/>
            <w:iCs/>
          </w:rPr>
          <w:t>SKK</w:t>
        </w:r>
        <w:r w:rsidRPr="008C3DB4">
          <w:rPr>
            <w:rStyle w:val="Hyperlink"/>
            <w:i/>
            <w:iCs/>
          </w:rPr>
          <w:noBreakHyphen/>
          <w:t>5/2013</w:t>
        </w:r>
      </w:hyperlink>
      <w:r w:rsidRPr="008C3DB4">
        <w:rPr>
          <w:i/>
          <w:iCs/>
        </w:rPr>
        <w:t>, 11510500208</w:t>
      </w:r>
      <w:r w:rsidRPr="008C3DB4">
        <w:t>).</w:t>
      </w:r>
    </w:p>
    <w:p w14:paraId="6121BC42" w14:textId="753EA942" w:rsidR="006A5638" w:rsidRPr="008C3DB4" w:rsidRDefault="006A5638" w:rsidP="004D44F8">
      <w:pPr>
        <w:spacing w:line="276" w:lineRule="auto"/>
        <w:ind w:firstLine="720"/>
        <w:jc w:val="both"/>
      </w:pPr>
      <w:r w:rsidRPr="008C3DB4">
        <w:t xml:space="preserve">Tādējādi, ja persona nav veikusi darbības, lai realizētu </w:t>
      </w:r>
      <w:r w:rsidR="00AF3043" w:rsidRPr="008C3DB4">
        <w:t xml:space="preserve">noziedzīga </w:t>
      </w:r>
      <w:r w:rsidRPr="008C3DB4">
        <w:t>nodarījuma sastāva</w:t>
      </w:r>
      <w:r w:rsidR="00AF3043" w:rsidRPr="008C3DB4">
        <w:t xml:space="preserve"> objektīvās puses</w:t>
      </w:r>
      <w:r w:rsidRPr="008C3DB4">
        <w:t xml:space="preserve"> pazīmes, proti, nav izdarījusi nevienu darbību, ko izskatāmajā lietā var kvalificēt kā daļu no dokumenta viltošanas objektīvās puses, viņa nav attiecīgā noziedzīgā grupējuma dalībniece (izdarītāja).</w:t>
      </w:r>
    </w:p>
    <w:p w14:paraId="6FC409B9" w14:textId="7A202836" w:rsidR="009B1B9E" w:rsidRPr="008C3DB4" w:rsidRDefault="007908E2" w:rsidP="00D326A1">
      <w:pPr>
        <w:spacing w:line="276" w:lineRule="auto"/>
        <w:ind w:firstLine="720"/>
        <w:jc w:val="both"/>
      </w:pPr>
      <w:r w:rsidRPr="008C3DB4">
        <w:t>[6.2] </w:t>
      </w:r>
      <w:r w:rsidR="00D4712A" w:rsidRPr="008C3DB4">
        <w:t>Pirmās instances tiesa atzinusi par pierādītu, ka</w:t>
      </w:r>
      <w:r w:rsidR="00C7333C" w:rsidRPr="008C3DB4">
        <w:t xml:space="preserve"> apsūdzētais </w:t>
      </w:r>
      <w:r w:rsidR="00D326A1" w:rsidRPr="008C3DB4">
        <w:t>[pers. A]</w:t>
      </w:r>
      <w:r w:rsidR="00C7333C" w:rsidRPr="008C3DB4">
        <w:t xml:space="preserve"> </w:t>
      </w:r>
      <w:r w:rsidR="00C404C0" w:rsidRPr="008C3DB4">
        <w:t xml:space="preserve">personu grupā pēc iepriekšējas vienošanās kopā ar </w:t>
      </w:r>
      <w:r w:rsidR="00D326A1" w:rsidRPr="008C3DB4">
        <w:t>[pers. B]</w:t>
      </w:r>
      <w:r w:rsidR="00C404C0" w:rsidRPr="008C3DB4">
        <w:t xml:space="preserve"> un </w:t>
      </w:r>
      <w:r w:rsidR="00D326A1" w:rsidRPr="008C3DB4">
        <w:t>[pers. C]</w:t>
      </w:r>
      <w:r w:rsidR="00C404C0" w:rsidRPr="008C3DB4">
        <w:t xml:space="preserve"> ar savstarpēji saskaņotām darbībām un vienotu nodomu laika periodā no 2017. gada </w:t>
      </w:r>
      <w:r w:rsidR="00D326A1" w:rsidRPr="008C3DB4">
        <w:t>[..]</w:t>
      </w:r>
      <w:r w:rsidR="00C404C0" w:rsidRPr="008C3DB4">
        <w:t xml:space="preserve"> līdz 2019. gada </w:t>
      </w:r>
      <w:r w:rsidR="00D326A1" w:rsidRPr="008C3DB4">
        <w:t>[..]</w:t>
      </w:r>
      <w:r w:rsidR="00C404C0" w:rsidRPr="008C3DB4">
        <w:t xml:space="preserve">, bet </w:t>
      </w:r>
      <w:r w:rsidR="00D326A1" w:rsidRPr="008C3DB4">
        <w:t>[pers.</w:t>
      </w:r>
      <w:r w:rsidR="00340DDA" w:rsidRPr="008C3DB4">
        <w:t> </w:t>
      </w:r>
      <w:r w:rsidR="00D326A1" w:rsidRPr="008C3DB4">
        <w:t>B]</w:t>
      </w:r>
      <w:r w:rsidR="00E371E0" w:rsidRPr="008C3DB4">
        <w:t xml:space="preserve"> </w:t>
      </w:r>
      <w:r w:rsidR="00C404C0" w:rsidRPr="008C3DB4">
        <w:t xml:space="preserve">līdz 2019. gada </w:t>
      </w:r>
      <w:r w:rsidR="00D326A1" w:rsidRPr="008C3DB4">
        <w:t>[..]</w:t>
      </w:r>
      <w:r w:rsidR="00C404C0" w:rsidRPr="008C3DB4">
        <w:t xml:space="preserve">, </w:t>
      </w:r>
      <w:r w:rsidR="00937032" w:rsidRPr="008C3DB4">
        <w:rPr>
          <w:shd w:val="clear" w:color="auto" w:fill="FFFFFF"/>
        </w:rPr>
        <w:t xml:space="preserve">[Organizācija] </w:t>
      </w:r>
      <w:r w:rsidR="008C3DB4">
        <w:rPr>
          <w:shd w:val="clear" w:color="auto" w:fill="FFFFFF"/>
        </w:rPr>
        <w:t>[struktūrvienība</w:t>
      </w:r>
      <w:r w:rsidR="00937032" w:rsidRPr="008C3DB4">
        <w:rPr>
          <w:shd w:val="clear" w:color="auto" w:fill="FFFFFF"/>
        </w:rPr>
        <w:t xml:space="preserve"> A] </w:t>
      </w:r>
      <w:r w:rsidR="00C404C0" w:rsidRPr="008C3DB4">
        <w:t xml:space="preserve">telpās, </w:t>
      </w:r>
      <w:r w:rsidR="00D326A1" w:rsidRPr="008C3DB4">
        <w:t>[adrese]</w:t>
      </w:r>
      <w:r w:rsidR="00C404C0" w:rsidRPr="008C3DB4">
        <w:t xml:space="preserve">, apzināti veica dienesta viltojumu – falsificēja </w:t>
      </w:r>
      <w:r w:rsidR="00872488" w:rsidRPr="008C3DB4">
        <w:t>apsūdzībā uzskaitīt</w:t>
      </w:r>
      <w:r w:rsidR="002709BE" w:rsidRPr="008C3DB4">
        <w:t>u</w:t>
      </w:r>
      <w:r w:rsidR="00872488" w:rsidRPr="008C3DB4">
        <w:t xml:space="preserve">s </w:t>
      </w:r>
      <w:r w:rsidR="00C404C0" w:rsidRPr="008C3DB4">
        <w:t>dienesta dokumentus</w:t>
      </w:r>
      <w:r w:rsidR="00872488" w:rsidRPr="008C3DB4">
        <w:t>,</w:t>
      </w:r>
      <w:r w:rsidR="00C404C0" w:rsidRPr="008C3DB4">
        <w:t xml:space="preserve"> uz kuru </w:t>
      </w:r>
      <w:r w:rsidR="00C404C0" w:rsidRPr="008C3DB4">
        <w:lastRenderedPageBreak/>
        <w:t xml:space="preserve">pamata tika veikta darba organizēšana, aprēķināta un izmaksāta darba alga darbiniecei </w:t>
      </w:r>
      <w:r w:rsidR="00D326A1" w:rsidRPr="008C3DB4">
        <w:t>[pers. D]</w:t>
      </w:r>
      <w:r w:rsidR="00C404C0" w:rsidRPr="008C3DB4">
        <w:t xml:space="preserve">, kura faktiski darba vietā neatradās un savus darba pienākumus neveica, bet viņas vietā tos veica viņas meita </w:t>
      </w:r>
      <w:r w:rsidR="00D326A1" w:rsidRPr="008C3DB4">
        <w:t>[pers.</w:t>
      </w:r>
      <w:r w:rsidR="00F457E6">
        <w:t> </w:t>
      </w:r>
      <w:r w:rsidR="00D326A1" w:rsidRPr="008C3DB4">
        <w:t>E]</w:t>
      </w:r>
      <w:r w:rsidR="00C404C0" w:rsidRPr="008C3DB4">
        <w:t>.</w:t>
      </w:r>
    </w:p>
    <w:p w14:paraId="2F3FFDA4" w14:textId="541519D8" w:rsidR="00D4712A" w:rsidRPr="008C3DB4" w:rsidRDefault="00D4712A" w:rsidP="00D326A1">
      <w:pPr>
        <w:spacing w:line="276" w:lineRule="auto"/>
        <w:ind w:firstLine="720"/>
        <w:jc w:val="both"/>
      </w:pPr>
      <w:r w:rsidRPr="008C3DB4">
        <w:t>Apelācijas instances tiesa, atstājot negrozītu pirmās instances tiesas spriedumu, i</w:t>
      </w:r>
      <w:r w:rsidR="00C7333C" w:rsidRPr="008C3DB4">
        <w:t xml:space="preserve">zvērtējusi apsūdzētā </w:t>
      </w:r>
      <w:r w:rsidR="00D326A1" w:rsidRPr="008C3DB4">
        <w:t>[pers. A]</w:t>
      </w:r>
      <w:r w:rsidR="00C7333C" w:rsidRPr="008C3DB4">
        <w:t xml:space="preserve"> aizstāves iebildumus par apsūdzētā darbību kvalifikāciju pēc Krimināllikuma 327. panta otrās daļas </w:t>
      </w:r>
      <w:r w:rsidR="006A6F4C" w:rsidRPr="008C3DB4">
        <w:t xml:space="preserve">un </w:t>
      </w:r>
      <w:r w:rsidR="00C7333C" w:rsidRPr="008C3DB4">
        <w:t xml:space="preserve">atzinusi, ka apsūdzētais, pildot </w:t>
      </w:r>
      <w:r w:rsidR="00937032" w:rsidRPr="008C3DB4">
        <w:rPr>
          <w:shd w:val="clear" w:color="auto" w:fill="FFFFFF"/>
        </w:rPr>
        <w:t xml:space="preserve">[Organizācija] </w:t>
      </w:r>
      <w:r w:rsidR="00C7333C" w:rsidRPr="008C3DB4">
        <w:t xml:space="preserve"> </w:t>
      </w:r>
      <w:r w:rsidR="008C3DB4">
        <w:rPr>
          <w:shd w:val="clear" w:color="auto" w:fill="FFFFFF"/>
        </w:rPr>
        <w:t>[struktūrvienība</w:t>
      </w:r>
      <w:r w:rsidR="00937032" w:rsidRPr="008C3DB4">
        <w:rPr>
          <w:shd w:val="clear" w:color="auto" w:fill="FFFFFF"/>
        </w:rPr>
        <w:t> A]</w:t>
      </w:r>
      <w:r w:rsidR="00C7333C" w:rsidRPr="008C3DB4">
        <w:t xml:space="preserve"> </w:t>
      </w:r>
      <w:r w:rsidR="00937032" w:rsidRPr="008C3DB4">
        <w:t>[amata]</w:t>
      </w:r>
      <w:r w:rsidR="00C7333C" w:rsidRPr="008C3DB4">
        <w:t xml:space="preserve"> pienākumus un zinot, ka </w:t>
      </w:r>
      <w:r w:rsidR="00180EF9" w:rsidRPr="008C3DB4">
        <w:t>[amats]</w:t>
      </w:r>
      <w:r w:rsidR="00C7333C" w:rsidRPr="008C3DB4">
        <w:t xml:space="preserve"> pienākumus </w:t>
      </w:r>
      <w:r w:rsidR="008C3DB4">
        <w:t>[struktūrvienība</w:t>
      </w:r>
      <w:r w:rsidR="00340DDA" w:rsidRPr="008C3DB4">
        <w:t> A]</w:t>
      </w:r>
      <w:r w:rsidR="00C7333C" w:rsidRPr="008C3DB4">
        <w:t xml:space="preserve"> telpās </w:t>
      </w:r>
      <w:r w:rsidR="00D326A1" w:rsidRPr="008C3DB4">
        <w:t>[adrese]</w:t>
      </w:r>
      <w:r w:rsidR="00C7333C" w:rsidRPr="008C3DB4">
        <w:t xml:space="preserve">, veic </w:t>
      </w:r>
      <w:r w:rsidR="00D326A1" w:rsidRPr="008C3DB4">
        <w:t>[pers.</w:t>
      </w:r>
      <w:r w:rsidR="00340DDA" w:rsidRPr="008C3DB4">
        <w:t> </w:t>
      </w:r>
      <w:r w:rsidR="00D326A1" w:rsidRPr="008C3DB4">
        <w:t>E]</w:t>
      </w:r>
      <w:r w:rsidR="00C7333C" w:rsidRPr="008C3DB4">
        <w:t xml:space="preserve">, 2019. gada </w:t>
      </w:r>
      <w:r w:rsidR="00D326A1" w:rsidRPr="008C3DB4">
        <w:t>[mēnesis</w:t>
      </w:r>
      <w:r w:rsidR="00F27EEC">
        <w:t>]</w:t>
      </w:r>
      <w:r w:rsidR="00C7333C" w:rsidRPr="008C3DB4">
        <w:t xml:space="preserve">, </w:t>
      </w:r>
      <w:r w:rsidR="00D326A1" w:rsidRPr="008C3DB4">
        <w:t>[mēnesis]</w:t>
      </w:r>
      <w:r w:rsidR="00C7333C" w:rsidRPr="008C3DB4">
        <w:t xml:space="preserve">, </w:t>
      </w:r>
      <w:r w:rsidR="00D326A1" w:rsidRPr="008C3DB4">
        <w:t>[mēnesis]</w:t>
      </w:r>
      <w:r w:rsidR="00C7333C" w:rsidRPr="008C3DB4">
        <w:t xml:space="preserve"> un </w:t>
      </w:r>
      <w:r w:rsidR="00D326A1" w:rsidRPr="008C3DB4">
        <w:t>[mēnesis],</w:t>
      </w:r>
      <w:r w:rsidR="00C7333C" w:rsidRPr="008C3DB4">
        <w:t xml:space="preserve"> saskaņojot darba laika uzskaites tabeli </w:t>
      </w:r>
      <w:r w:rsidR="00D326A1" w:rsidRPr="008C3DB4">
        <w:t>[pers.</w:t>
      </w:r>
      <w:r w:rsidR="00340DDA" w:rsidRPr="008C3DB4">
        <w:t> </w:t>
      </w:r>
      <w:r w:rsidR="00D326A1" w:rsidRPr="008C3DB4">
        <w:t>D]</w:t>
      </w:r>
      <w:r w:rsidR="00C7333C" w:rsidRPr="008C3DB4">
        <w:t xml:space="preserve">, kā arī 2019. gada </w:t>
      </w:r>
      <w:r w:rsidR="00D326A1" w:rsidRPr="008C3DB4">
        <w:t>[..]</w:t>
      </w:r>
      <w:r w:rsidR="00C7333C" w:rsidRPr="008C3DB4">
        <w:t xml:space="preserve"> sastādot un parakstot ziņojumu par </w:t>
      </w:r>
      <w:r w:rsidR="00D326A1" w:rsidRPr="008C3DB4">
        <w:t>[pers.</w:t>
      </w:r>
      <w:r w:rsidR="00340DDA" w:rsidRPr="008C3DB4">
        <w:t> </w:t>
      </w:r>
      <w:r w:rsidR="00D326A1" w:rsidRPr="008C3DB4">
        <w:t>D]</w:t>
      </w:r>
      <w:r w:rsidR="00C7333C" w:rsidRPr="008C3DB4">
        <w:t xml:space="preserve"> darba laika izmaiņām, 2019. gada </w:t>
      </w:r>
      <w:r w:rsidR="00D326A1" w:rsidRPr="008C3DB4">
        <w:t>[..]</w:t>
      </w:r>
      <w:r w:rsidR="00C7333C" w:rsidRPr="008C3DB4">
        <w:t xml:space="preserve"> </w:t>
      </w:r>
      <w:r w:rsidR="007D5262" w:rsidRPr="008C3DB4">
        <w:t>sastād</w:t>
      </w:r>
      <w:r w:rsidR="002709BE" w:rsidRPr="008C3DB4">
        <w:t>ot</w:t>
      </w:r>
      <w:r w:rsidR="007D5262" w:rsidRPr="008C3DB4">
        <w:t xml:space="preserve"> un parakst</w:t>
      </w:r>
      <w:r w:rsidR="002709BE" w:rsidRPr="008C3DB4">
        <w:t>ot</w:t>
      </w:r>
      <w:r w:rsidR="007D5262" w:rsidRPr="008C3DB4">
        <w:t xml:space="preserve"> </w:t>
      </w:r>
      <w:r w:rsidR="00C7333C" w:rsidRPr="008C3DB4">
        <w:t xml:space="preserve">ziņojumu par ārštata līgumdarbinieces </w:t>
      </w:r>
      <w:r w:rsidR="00D326A1" w:rsidRPr="008C3DB4">
        <w:t>[pers.</w:t>
      </w:r>
      <w:r w:rsidR="00340DDA" w:rsidRPr="008C3DB4">
        <w:t> </w:t>
      </w:r>
      <w:r w:rsidR="00D326A1" w:rsidRPr="008C3DB4">
        <w:t>D]</w:t>
      </w:r>
      <w:r w:rsidR="00C7333C" w:rsidRPr="008C3DB4">
        <w:t xml:space="preserve"> prombūtni, ir izdarījis dienesta viltojumu, jo uz apsūdzētā parakstīto dokumentu, k</w:t>
      </w:r>
      <w:r w:rsidR="00E371E0" w:rsidRPr="008C3DB4">
        <w:t>urā norādītas</w:t>
      </w:r>
      <w:r w:rsidR="00C7333C" w:rsidRPr="008C3DB4">
        <w:t xml:space="preserve"> patiesībai neatbilstošas ziņas, pamata aprēķināta un izmaksāta darba alga </w:t>
      </w:r>
      <w:r w:rsidR="00D326A1" w:rsidRPr="008C3DB4">
        <w:t>[pers.</w:t>
      </w:r>
      <w:r w:rsidR="00340DDA" w:rsidRPr="008C3DB4">
        <w:t> </w:t>
      </w:r>
      <w:r w:rsidR="00D326A1" w:rsidRPr="008C3DB4">
        <w:t>D]</w:t>
      </w:r>
      <w:r w:rsidR="00C7333C" w:rsidRPr="008C3DB4">
        <w:t xml:space="preserve">, kura </w:t>
      </w:r>
      <w:r w:rsidR="00180EF9" w:rsidRPr="008C3DB4">
        <w:t>[amats]</w:t>
      </w:r>
      <w:r w:rsidR="002709BE" w:rsidRPr="008C3DB4">
        <w:t xml:space="preserve"> pienākumus </w:t>
      </w:r>
      <w:r w:rsidR="00D77E03" w:rsidRPr="008C3DB4">
        <w:t>neveica</w:t>
      </w:r>
      <w:r w:rsidR="00C7333C" w:rsidRPr="008C3DB4">
        <w:t>.</w:t>
      </w:r>
    </w:p>
    <w:p w14:paraId="156D0019" w14:textId="05A32521" w:rsidR="003F50E6" w:rsidRPr="008C3DB4" w:rsidRDefault="003F50E6" w:rsidP="003F50E6">
      <w:pPr>
        <w:spacing w:line="276" w:lineRule="auto"/>
        <w:ind w:firstLine="720"/>
        <w:jc w:val="both"/>
      </w:pPr>
      <w:r w:rsidRPr="008C3DB4">
        <w:t xml:space="preserve">Turklāt apelācijas instances tiesa norādījusi, ka apsūdzētais </w:t>
      </w:r>
      <w:r w:rsidR="00D326A1" w:rsidRPr="008C3DB4">
        <w:t>[pers. A]</w:t>
      </w:r>
      <w:r w:rsidRPr="008C3DB4">
        <w:t xml:space="preserve"> jau no 2017.</w:t>
      </w:r>
      <w:r w:rsidR="00A81562" w:rsidRPr="008C3DB4">
        <w:t> </w:t>
      </w:r>
      <w:r w:rsidRPr="008C3DB4">
        <w:t xml:space="preserve">gada </w:t>
      </w:r>
      <w:r w:rsidR="00D326A1" w:rsidRPr="008C3DB4">
        <w:t>[..]</w:t>
      </w:r>
      <w:r w:rsidRPr="008C3DB4">
        <w:t xml:space="preserve">, kad parakstīts ārštata civilā darbinieka darba līgums starp </w:t>
      </w:r>
      <w:r w:rsidR="00D326A1" w:rsidRPr="008C3DB4">
        <w:t>[pers. D]</w:t>
      </w:r>
      <w:r w:rsidRPr="008C3DB4">
        <w:t xml:space="preserve"> un </w:t>
      </w:r>
      <w:r w:rsidR="00937032" w:rsidRPr="008C3DB4">
        <w:rPr>
          <w:shd w:val="clear" w:color="auto" w:fill="FFFFFF"/>
        </w:rPr>
        <w:t xml:space="preserve">[Organizācija] </w:t>
      </w:r>
      <w:r w:rsidR="008C3DB4">
        <w:t>[struktūrvienība C]</w:t>
      </w:r>
      <w:r w:rsidRPr="008C3DB4">
        <w:t xml:space="preserve">, apzinājās, ka noslēgtajā darba līgumā ietverti fakti, kas neatbilst īstenībai, kā arī </w:t>
      </w:r>
      <w:r w:rsidR="00A84E59" w:rsidRPr="008C3DB4">
        <w:t xml:space="preserve">to, ka </w:t>
      </w:r>
      <w:r w:rsidRPr="008C3DB4">
        <w:t>no darba līguma izrietošajos dokumentos, tostarp darba algas izmaksas dokumentos, tiks ietvertas patiesībai neatbilstošas jeb fiktīvas ziņas.</w:t>
      </w:r>
    </w:p>
    <w:p w14:paraId="64790B3A" w14:textId="018598ED" w:rsidR="004669C8" w:rsidRPr="008C3DB4" w:rsidRDefault="008C711E" w:rsidP="004669C8">
      <w:pPr>
        <w:spacing w:line="276" w:lineRule="auto"/>
        <w:ind w:firstLine="720"/>
        <w:jc w:val="both"/>
      </w:pPr>
      <w:r w:rsidRPr="008C3DB4">
        <w:t>[6.3] </w:t>
      </w:r>
      <w:r w:rsidR="00F5201C" w:rsidRPr="008C3DB4">
        <w:t xml:space="preserve">Senāts </w:t>
      </w:r>
      <w:r w:rsidR="00E371E0" w:rsidRPr="008C3DB4">
        <w:t>konstatē</w:t>
      </w:r>
      <w:r w:rsidR="00F5201C" w:rsidRPr="008C3DB4">
        <w:t xml:space="preserve">, ka apelācijas instances tiesa, atzīstot apsūdzēto </w:t>
      </w:r>
      <w:r w:rsidR="00D326A1" w:rsidRPr="008C3DB4">
        <w:t>[pers. A]</w:t>
      </w:r>
      <w:r w:rsidR="00F5201C" w:rsidRPr="008C3DB4">
        <w:t xml:space="preserve"> par vainīgu Krimināllikuma 327. panta otrajā daļā paredzētajā noziedzīgajā nodarījumā, izdarījusi </w:t>
      </w:r>
      <w:r w:rsidR="003F50E6" w:rsidRPr="008C3DB4">
        <w:t>nepamatotu</w:t>
      </w:r>
      <w:r w:rsidR="00F5201C" w:rsidRPr="008C3DB4">
        <w:t xml:space="preserve"> atzinumu par noziedzīgā nodarījuma objektīvās puses esību </w:t>
      </w:r>
      <w:r w:rsidR="003F50E6" w:rsidRPr="008C3DB4">
        <w:t>noziedzīgā nodarījuma aprakstā</w:t>
      </w:r>
      <w:r w:rsidR="002776CC" w:rsidRPr="008C3DB4">
        <w:t xml:space="preserve"> </w:t>
      </w:r>
      <w:r w:rsidR="00221BAA" w:rsidRPr="008C3DB4">
        <w:t xml:space="preserve">visā </w:t>
      </w:r>
      <w:r w:rsidR="002776CC" w:rsidRPr="008C3DB4">
        <w:t>norādītajā laika periodā.</w:t>
      </w:r>
    </w:p>
    <w:p w14:paraId="2AB06301" w14:textId="6D6C6D2C" w:rsidR="007746E0" w:rsidRPr="008C3DB4" w:rsidRDefault="009D53F7" w:rsidP="00D326A1">
      <w:pPr>
        <w:spacing w:line="276" w:lineRule="auto"/>
        <w:ind w:firstLine="720"/>
        <w:jc w:val="both"/>
      </w:pPr>
      <w:r w:rsidRPr="008C3DB4">
        <w:t xml:space="preserve">No </w:t>
      </w:r>
      <w:r w:rsidR="00F13DA6" w:rsidRPr="008C3DB4">
        <w:t>apelācijas instances tiesas konstatētie</w:t>
      </w:r>
      <w:r w:rsidRPr="008C3DB4">
        <w:t>m</w:t>
      </w:r>
      <w:r w:rsidR="00F13DA6" w:rsidRPr="008C3DB4">
        <w:t xml:space="preserve"> faktisk</w:t>
      </w:r>
      <w:r w:rsidRPr="008C3DB4">
        <w:t>aj</w:t>
      </w:r>
      <w:r w:rsidR="00F13DA6" w:rsidRPr="008C3DB4">
        <w:t>ie</w:t>
      </w:r>
      <w:r w:rsidRPr="008C3DB4">
        <w:t>m</w:t>
      </w:r>
      <w:r w:rsidR="00F13DA6" w:rsidRPr="008C3DB4">
        <w:t xml:space="preserve"> apstākļi</w:t>
      </w:r>
      <w:r w:rsidRPr="008C3DB4">
        <w:t>em</w:t>
      </w:r>
      <w:r w:rsidR="00F13DA6" w:rsidRPr="008C3DB4">
        <w:t xml:space="preserve"> </w:t>
      </w:r>
      <w:r w:rsidRPr="008C3DB4">
        <w:t>izriet</w:t>
      </w:r>
      <w:r w:rsidR="00F13DA6" w:rsidRPr="008C3DB4">
        <w:t xml:space="preserve">, ka apsūdzētais </w:t>
      </w:r>
      <w:r w:rsidR="00D326A1" w:rsidRPr="008C3DB4">
        <w:t>[pers. A]</w:t>
      </w:r>
      <w:r w:rsidR="00A206E4" w:rsidRPr="008C3DB4">
        <w:t xml:space="preserve"> noziedzīg</w:t>
      </w:r>
      <w:r w:rsidR="007E0F38" w:rsidRPr="008C3DB4">
        <w:t>aj</w:t>
      </w:r>
      <w:r w:rsidR="00A206E4" w:rsidRPr="008C3DB4">
        <w:t xml:space="preserve">ā nodarījumā iesaistījies, kad </w:t>
      </w:r>
      <w:r w:rsidR="00D326A1" w:rsidRPr="008C3DB4">
        <w:t>[pers.</w:t>
      </w:r>
      <w:r w:rsidR="00340DDA" w:rsidRPr="008C3DB4">
        <w:t> </w:t>
      </w:r>
      <w:r w:rsidR="00D326A1" w:rsidRPr="008C3DB4">
        <w:t>B]</w:t>
      </w:r>
      <w:r w:rsidR="00A206E4" w:rsidRPr="008C3DB4">
        <w:t xml:space="preserve"> atvaļinājās no dienesta</w:t>
      </w:r>
      <w:r w:rsidR="004C65DE" w:rsidRPr="008C3DB4">
        <w:t>, proti,</w:t>
      </w:r>
      <w:r w:rsidR="00A206E4" w:rsidRPr="008C3DB4">
        <w:t xml:space="preserve"> </w:t>
      </w:r>
      <w:r w:rsidR="00937032" w:rsidRPr="008C3DB4">
        <w:rPr>
          <w:shd w:val="clear" w:color="auto" w:fill="FFFFFF"/>
        </w:rPr>
        <w:t xml:space="preserve">[Organizācija] </w:t>
      </w:r>
      <w:r w:rsidR="008C3DB4">
        <w:rPr>
          <w:shd w:val="clear" w:color="auto" w:fill="FFFFFF"/>
        </w:rPr>
        <w:t>[struktūrvienība</w:t>
      </w:r>
      <w:r w:rsidR="00937032" w:rsidRPr="008C3DB4">
        <w:rPr>
          <w:shd w:val="clear" w:color="auto" w:fill="FFFFFF"/>
        </w:rPr>
        <w:t> A]</w:t>
      </w:r>
      <w:r w:rsidR="00FC2DCE" w:rsidRPr="008C3DB4">
        <w:t xml:space="preserve"> ārštata civilo darbinieku darba uzskaites tabeļu sagatavošanu un saskaņošanu, kā arī citu dokumentu sastādīšanu veica </w:t>
      </w:r>
      <w:r w:rsidR="004C65DE" w:rsidRPr="008C3DB4">
        <w:t xml:space="preserve">no </w:t>
      </w:r>
      <w:r w:rsidR="00A206E4" w:rsidRPr="008C3DB4">
        <w:t>2019.</w:t>
      </w:r>
      <w:r w:rsidR="004C65DE" w:rsidRPr="008C3DB4">
        <w:t> </w:t>
      </w:r>
      <w:r w:rsidR="00A206E4" w:rsidRPr="008C3DB4">
        <w:t xml:space="preserve">gada </w:t>
      </w:r>
      <w:r w:rsidR="00D326A1" w:rsidRPr="008C3DB4">
        <w:t>[..]</w:t>
      </w:r>
      <w:r w:rsidR="004C65DE" w:rsidRPr="008C3DB4">
        <w:t xml:space="preserve">. </w:t>
      </w:r>
      <w:r w:rsidR="007746E0" w:rsidRPr="008C3DB4">
        <w:t>T</w:t>
      </w:r>
      <w:r w:rsidR="00221BAA" w:rsidRPr="008C3DB4">
        <w:t>ajā pašā laikā t</w:t>
      </w:r>
      <w:r w:rsidR="007746E0" w:rsidRPr="008C3DB4">
        <w:t>iesa, pamatojot dienesta viltojuma izdarīšanu personu grupā pēc iepriekšēj</w:t>
      </w:r>
      <w:r w:rsidR="00FC2DCE" w:rsidRPr="008C3DB4">
        <w:t>a</w:t>
      </w:r>
      <w:r w:rsidR="007746E0" w:rsidRPr="008C3DB4">
        <w:t>s vienošanās</w:t>
      </w:r>
      <w:r w:rsidR="004F0168" w:rsidRPr="008C3DB4">
        <w:t>, aptverot arī</w:t>
      </w:r>
      <w:r w:rsidR="00E371E0" w:rsidRPr="008C3DB4">
        <w:t xml:space="preserve"> laika</w:t>
      </w:r>
      <w:r w:rsidR="004F0168" w:rsidRPr="008C3DB4">
        <w:t xml:space="preserve"> periodu līdz </w:t>
      </w:r>
      <w:r w:rsidR="00D326A1" w:rsidRPr="008C3DB4">
        <w:t xml:space="preserve">[pers. B] </w:t>
      </w:r>
      <w:r w:rsidR="004F0168" w:rsidRPr="008C3DB4">
        <w:t xml:space="preserve">atvaļināšanās, </w:t>
      </w:r>
      <w:r w:rsidR="00221BAA" w:rsidRPr="008C3DB4">
        <w:t>kā argumentu norādīja</w:t>
      </w:r>
      <w:r w:rsidR="00F36DA8" w:rsidRPr="008C3DB4">
        <w:t xml:space="preserve"> </w:t>
      </w:r>
      <w:r w:rsidR="007746E0" w:rsidRPr="008C3DB4">
        <w:t xml:space="preserve">to, ka apsūdzētais </w:t>
      </w:r>
      <w:r w:rsidR="00D326A1" w:rsidRPr="008C3DB4">
        <w:t>[pers. A]</w:t>
      </w:r>
      <w:r w:rsidR="007746E0" w:rsidRPr="008C3DB4">
        <w:t xml:space="preserve"> jau no 2017.</w:t>
      </w:r>
      <w:r w:rsidR="00FC2DCE" w:rsidRPr="008C3DB4">
        <w:t> </w:t>
      </w:r>
      <w:r w:rsidR="007746E0" w:rsidRPr="008C3DB4">
        <w:t xml:space="preserve">gada </w:t>
      </w:r>
      <w:r w:rsidR="00D326A1" w:rsidRPr="008C3DB4">
        <w:t>[..]</w:t>
      </w:r>
      <w:r w:rsidR="007746E0" w:rsidRPr="008C3DB4">
        <w:t xml:space="preserve"> apzinājās, ka citas personas veiks dienesta dokumentu viltojumu.</w:t>
      </w:r>
    </w:p>
    <w:p w14:paraId="0891B7B1" w14:textId="718EF410" w:rsidR="00A56970" w:rsidRPr="008C3DB4" w:rsidRDefault="0098770C" w:rsidP="00877B94">
      <w:pPr>
        <w:spacing w:line="276" w:lineRule="auto"/>
        <w:ind w:firstLine="720"/>
        <w:jc w:val="both"/>
      </w:pPr>
      <w:r w:rsidRPr="008C3DB4">
        <w:t>Senāts norāda, ka pat</w:t>
      </w:r>
      <w:r w:rsidR="00F82AB6" w:rsidRPr="008C3DB4">
        <w:t>i</w:t>
      </w:r>
      <w:r w:rsidRPr="008C3DB4">
        <w:t xml:space="preserve"> par sevi apzināšanās</w:t>
      </w:r>
      <w:r w:rsidR="00F82AB6" w:rsidRPr="008C3DB4">
        <w:t>, ka citas personas izdara noziedzīgu nodarījumu,</w:t>
      </w:r>
      <w:r w:rsidRPr="008C3DB4">
        <w:t xml:space="preserve"> nav uzskatām</w:t>
      </w:r>
      <w:r w:rsidR="00F82AB6" w:rsidRPr="008C3DB4">
        <w:t>a</w:t>
      </w:r>
      <w:r w:rsidRPr="008C3DB4">
        <w:t xml:space="preserve"> par panāktu vienošanos kopīgi izdarīt noziedzīgu nodarījumu</w:t>
      </w:r>
      <w:r w:rsidR="00175F96" w:rsidRPr="008C3DB4">
        <w:t>, jo t</w:t>
      </w:r>
      <w:r w:rsidR="00F82AB6" w:rsidRPr="008C3DB4">
        <w:t>ā</w:t>
      </w:r>
      <w:r w:rsidR="00175F96" w:rsidRPr="008C3DB4">
        <w:t xml:space="preserve"> nav vēr</w:t>
      </w:r>
      <w:r w:rsidR="00C31A84" w:rsidRPr="008C3DB4">
        <w:t>s</w:t>
      </w:r>
      <w:r w:rsidR="00175F96" w:rsidRPr="008C3DB4">
        <w:t>t</w:t>
      </w:r>
      <w:r w:rsidR="00F82AB6" w:rsidRPr="008C3DB4">
        <w:t>a</w:t>
      </w:r>
      <w:r w:rsidR="00175F96" w:rsidRPr="008C3DB4">
        <w:t xml:space="preserve"> uz aktīvu piedalīšanos noziedzīgā nodarījuma izdarīšan</w:t>
      </w:r>
      <w:r w:rsidR="00C31A84" w:rsidRPr="008C3DB4">
        <w:t>ā</w:t>
      </w:r>
      <w:r w:rsidR="00175F96" w:rsidRPr="008C3DB4">
        <w:t>.</w:t>
      </w:r>
    </w:p>
    <w:p w14:paraId="4060FFDD" w14:textId="238DADEA" w:rsidR="00877B94" w:rsidRPr="008C3DB4" w:rsidRDefault="00DB3C6A" w:rsidP="00F82AB6">
      <w:pPr>
        <w:spacing w:line="276" w:lineRule="auto"/>
        <w:ind w:firstLine="720"/>
        <w:jc w:val="both"/>
      </w:pPr>
      <w:r w:rsidRPr="008C3DB4">
        <w:t>Turklāt</w:t>
      </w:r>
      <w:r w:rsidR="00877B94" w:rsidRPr="008C3DB4">
        <w:t xml:space="preserve"> līdz 2019.</w:t>
      </w:r>
      <w:r w:rsidR="00C31A84" w:rsidRPr="008C3DB4">
        <w:t> </w:t>
      </w:r>
      <w:r w:rsidR="00877B94" w:rsidRPr="008C3DB4">
        <w:t xml:space="preserve">gada </w:t>
      </w:r>
      <w:r w:rsidR="00D326A1" w:rsidRPr="008C3DB4">
        <w:t>[..]</w:t>
      </w:r>
      <w:r w:rsidR="00877B94" w:rsidRPr="008C3DB4">
        <w:t xml:space="preserve"> amata pienākumus – </w:t>
      </w:r>
      <w:r w:rsidR="00937032" w:rsidRPr="008C3DB4">
        <w:rPr>
          <w:shd w:val="clear" w:color="auto" w:fill="FFFFFF"/>
        </w:rPr>
        <w:t xml:space="preserve">[Organizācija] </w:t>
      </w:r>
      <w:r w:rsidR="008C3DB4">
        <w:rPr>
          <w:shd w:val="clear" w:color="auto" w:fill="FFFFFF"/>
        </w:rPr>
        <w:t>[struktūrvienība</w:t>
      </w:r>
      <w:r w:rsidR="00937032" w:rsidRPr="008C3DB4">
        <w:rPr>
          <w:shd w:val="clear" w:color="auto" w:fill="FFFFFF"/>
        </w:rPr>
        <w:t> A]</w:t>
      </w:r>
      <w:r w:rsidR="00877B94" w:rsidRPr="008C3DB4">
        <w:t xml:space="preserve"> ārštata civilo darbinieku darba uzskaites tabeļu sagatavošanu un saskaņošanu – pildīja citas amatpersonas, nevis </w:t>
      </w:r>
      <w:r w:rsidR="00D326A1" w:rsidRPr="008C3DB4">
        <w:t>[pers. A]</w:t>
      </w:r>
      <w:r w:rsidR="00877B94" w:rsidRPr="008C3DB4">
        <w:t xml:space="preserve">. Tādējādi </w:t>
      </w:r>
      <w:r w:rsidR="00A56970" w:rsidRPr="008C3DB4">
        <w:t>viņš nevarēja panākt vienošanos par dalību dokumentu viltošanā</w:t>
      </w:r>
      <w:r w:rsidR="00F82AB6" w:rsidRPr="008C3DB4">
        <w:t xml:space="preserve"> un viņa nodoms neaptvēra citu personu iepriekš izdarītās noziedzīgās darbības.</w:t>
      </w:r>
    </w:p>
    <w:p w14:paraId="5F23DF30" w14:textId="015043AB" w:rsidR="007746E0" w:rsidRPr="008C3DB4" w:rsidRDefault="007746E0" w:rsidP="007746E0">
      <w:pPr>
        <w:spacing w:line="276" w:lineRule="auto"/>
        <w:ind w:firstLine="720"/>
        <w:jc w:val="both"/>
      </w:pPr>
      <w:r w:rsidRPr="008C3DB4">
        <w:t xml:space="preserve">Senāts atzīst, ka apelācijas instances tiesa </w:t>
      </w:r>
      <w:r w:rsidR="00F954A8" w:rsidRPr="008C3DB4">
        <w:t>nav izvērtējusi un pamatojusi pazīmes, kas</w:t>
      </w:r>
      <w:r w:rsidRPr="008C3DB4">
        <w:t xml:space="preserve"> raksturo noziedzīgā nodarījuma izdarīšanu dalībā un to, vai </w:t>
      </w:r>
      <w:r w:rsidR="00B165B8" w:rsidRPr="008C3DB4">
        <w:t xml:space="preserve">apsūdzētā </w:t>
      </w:r>
      <w:r w:rsidR="00D326A1" w:rsidRPr="008C3DB4">
        <w:t>[pers. A]</w:t>
      </w:r>
      <w:r w:rsidR="00CD7A7D" w:rsidRPr="008C3DB4">
        <w:t xml:space="preserve"> </w:t>
      </w:r>
      <w:r w:rsidR="00B165B8" w:rsidRPr="008C3DB4">
        <w:t xml:space="preserve">darbības </w:t>
      </w:r>
      <w:r w:rsidR="00DC1661" w:rsidRPr="008C3DB4">
        <w:t xml:space="preserve">laika periodā </w:t>
      </w:r>
      <w:r w:rsidR="00CD7A7D" w:rsidRPr="008C3DB4">
        <w:t xml:space="preserve">no 2017. gada </w:t>
      </w:r>
      <w:r w:rsidR="00D326A1" w:rsidRPr="008C3DB4">
        <w:t>[..]</w:t>
      </w:r>
      <w:r w:rsidR="00CD7A7D" w:rsidRPr="008C3DB4">
        <w:t xml:space="preserve"> </w:t>
      </w:r>
      <w:r w:rsidR="00DC1661" w:rsidRPr="008C3DB4">
        <w:t xml:space="preserve">līdz 2019. gada </w:t>
      </w:r>
      <w:r w:rsidR="00D326A1" w:rsidRPr="008C3DB4">
        <w:t>[..]</w:t>
      </w:r>
      <w:r w:rsidR="00DC1661" w:rsidRPr="008C3DB4">
        <w:t xml:space="preserve"> </w:t>
      </w:r>
      <w:r w:rsidR="008B742C" w:rsidRPr="008C3DB4">
        <w:t xml:space="preserve">ietver </w:t>
      </w:r>
      <w:r w:rsidR="003B2E4A" w:rsidRPr="008C3DB4">
        <w:t xml:space="preserve">Krimināllikuma 327. panta otrās </w:t>
      </w:r>
      <w:r w:rsidR="003B2E4A" w:rsidRPr="008C3DB4">
        <w:lastRenderedPageBreak/>
        <w:t xml:space="preserve">daļas dispozīcijā norādītās darbības, proti, </w:t>
      </w:r>
      <w:r w:rsidR="00D70B54" w:rsidRPr="008C3DB4">
        <w:t>to, vai viņš kopā ar vismaz vienu</w:t>
      </w:r>
      <w:r w:rsidR="00F473B6" w:rsidRPr="008C3DB4">
        <w:t xml:space="preserve"> person</w:t>
      </w:r>
      <w:r w:rsidR="00D70B54" w:rsidRPr="008C3DB4">
        <w:t>u</w:t>
      </w:r>
      <w:r w:rsidR="00F473B6" w:rsidRPr="008C3DB4">
        <w:t xml:space="preserve"> ir tieši realizēj</w:t>
      </w:r>
      <w:r w:rsidR="00D70B54" w:rsidRPr="008C3DB4">
        <w:t>is</w:t>
      </w:r>
      <w:r w:rsidR="00F473B6" w:rsidRPr="008C3DB4">
        <w:t xml:space="preserve"> noziedzīg</w:t>
      </w:r>
      <w:r w:rsidR="003776E8" w:rsidRPr="008C3DB4">
        <w:t>ā</w:t>
      </w:r>
      <w:r w:rsidR="00F473B6" w:rsidRPr="008C3DB4">
        <w:t xml:space="preserve"> nodarījuma sastāva objektīvo pusi</w:t>
      </w:r>
      <w:r w:rsidRPr="008C3DB4">
        <w:t>.</w:t>
      </w:r>
    </w:p>
    <w:p w14:paraId="40F55228" w14:textId="7EADA333" w:rsidR="001B5900" w:rsidRPr="008C3DB4" w:rsidRDefault="001B5900" w:rsidP="001B5900">
      <w:pPr>
        <w:widowControl w:val="0"/>
        <w:tabs>
          <w:tab w:val="left" w:pos="1710"/>
        </w:tabs>
        <w:spacing w:line="276" w:lineRule="auto"/>
        <w:ind w:firstLine="720"/>
        <w:jc w:val="both"/>
      </w:pPr>
      <w:r w:rsidRPr="008C3DB4">
        <w:t>Senāts atzīst, ka apelācijas instances tiesas pieļautie Kriminālprocesa likuma 124. panta otrās daļas un 564. panta ceturtās daļas pārkāpumi ir atzīstami par Kriminālprocesa likuma būtiskiem pārkāpumiem šā likuma 575. panta trešās daļas izpratnē, kas ir noveduši pie nelikumīga nolēmuma.</w:t>
      </w:r>
    </w:p>
    <w:p w14:paraId="4A4F6A22" w14:textId="21253B02" w:rsidR="007908E2" w:rsidRPr="008C3DB4" w:rsidRDefault="003776E8" w:rsidP="001B5900">
      <w:pPr>
        <w:spacing w:line="276" w:lineRule="auto"/>
        <w:ind w:firstLine="720"/>
        <w:jc w:val="both"/>
      </w:pPr>
      <w:r w:rsidRPr="008C3DB4">
        <w:t>[6.4] </w:t>
      </w:r>
      <w:r w:rsidR="007908E2" w:rsidRPr="008C3DB4">
        <w:t xml:space="preserve">Ievērojot to, ka apsūdzētie </w:t>
      </w:r>
      <w:r w:rsidR="00D326A1" w:rsidRPr="008C3DB4">
        <w:t>[pers. B]</w:t>
      </w:r>
      <w:r w:rsidR="00705983" w:rsidRPr="008C3DB4">
        <w:t xml:space="preserve"> un </w:t>
      </w:r>
      <w:r w:rsidR="00D326A1" w:rsidRPr="008C3DB4">
        <w:t>[pers. C]</w:t>
      </w:r>
      <w:r w:rsidR="007908E2" w:rsidRPr="008C3DB4">
        <w:t xml:space="preserve"> kasācijas sūdzības par apelācijas instances tiesas </w:t>
      </w:r>
      <w:r w:rsidR="00705983" w:rsidRPr="008C3DB4">
        <w:t xml:space="preserve">lēmumu </w:t>
      </w:r>
      <w:r w:rsidR="007908E2" w:rsidRPr="008C3DB4">
        <w:t xml:space="preserve">nav iesnieguši, bet apelācijas instances tiesas pieļautie Kriminālprocesa likuma pārkāpumi attiecas arī uz lietas iztiesāšanu daļā par viņiem, </w:t>
      </w:r>
      <w:r w:rsidR="00492AB0" w:rsidRPr="008C3DB4">
        <w:t xml:space="preserve">jo saskaņā ar </w:t>
      </w:r>
      <w:r w:rsidR="003A37C2" w:rsidRPr="008C3DB4">
        <w:t>nolēmumā pierādītā noziedzīgā nodarījuma aprakst</w:t>
      </w:r>
      <w:r w:rsidR="009D2D1A" w:rsidRPr="008C3DB4">
        <w:t xml:space="preserve">u </w:t>
      </w:r>
      <w:r w:rsidR="00492AB0" w:rsidRPr="008C3DB4">
        <w:t xml:space="preserve">noziedzīgais nodarījums ir izdarīts personu grupā pēc iepriekšējas vienošanās, </w:t>
      </w:r>
      <w:r w:rsidR="007908E2" w:rsidRPr="008C3DB4">
        <w:t>Senāts, pamatojoties uz Kriminālprocesa likuma 584.</w:t>
      </w:r>
      <w:r w:rsidR="00705983" w:rsidRPr="008C3DB4">
        <w:t> </w:t>
      </w:r>
      <w:r w:rsidR="007908E2" w:rsidRPr="008C3DB4">
        <w:t>panta otro daļu, atzīst par nepieciešamu pārsniegt apsūdzēt</w:t>
      </w:r>
      <w:r w:rsidR="00705983" w:rsidRPr="008C3DB4">
        <w:t xml:space="preserve">ā </w:t>
      </w:r>
      <w:r w:rsidR="00D326A1" w:rsidRPr="008C3DB4">
        <w:t>[pers. A]</w:t>
      </w:r>
      <w:r w:rsidR="007908E2" w:rsidRPr="008C3DB4">
        <w:t xml:space="preserve"> kasācijas sūdzīb</w:t>
      </w:r>
      <w:r w:rsidR="00705983" w:rsidRPr="008C3DB4">
        <w:t>as</w:t>
      </w:r>
      <w:r w:rsidR="007908E2" w:rsidRPr="008C3DB4">
        <w:t xml:space="preserve"> ietvarus un atcelt apelācijas instances tiesas </w:t>
      </w:r>
      <w:r w:rsidR="00705983" w:rsidRPr="008C3DB4">
        <w:t>lēmumu</w:t>
      </w:r>
      <w:r w:rsidR="007908E2" w:rsidRPr="008C3DB4">
        <w:t xml:space="preserve"> arī attiecībā uz apsūdzētajiem </w:t>
      </w:r>
      <w:r w:rsidR="00D326A1" w:rsidRPr="008C3DB4">
        <w:t>[pers. B]</w:t>
      </w:r>
      <w:r w:rsidR="00705983" w:rsidRPr="008C3DB4">
        <w:t xml:space="preserve"> un </w:t>
      </w:r>
      <w:r w:rsidR="00D326A1" w:rsidRPr="008C3DB4">
        <w:t>[pers. C]</w:t>
      </w:r>
      <w:r w:rsidR="007908E2" w:rsidRPr="008C3DB4">
        <w:t>.</w:t>
      </w:r>
    </w:p>
    <w:p w14:paraId="4154FAB8" w14:textId="77777777" w:rsidR="00C5118D" w:rsidRPr="008C3DB4" w:rsidRDefault="00C5118D" w:rsidP="005E67E2">
      <w:pPr>
        <w:spacing w:line="276" w:lineRule="auto"/>
        <w:ind w:firstLine="720"/>
        <w:jc w:val="both"/>
      </w:pPr>
    </w:p>
    <w:p w14:paraId="3B588AB5" w14:textId="29823A36" w:rsidR="00826413" w:rsidRPr="008C3DB4" w:rsidRDefault="00826413" w:rsidP="00D326A1">
      <w:pPr>
        <w:tabs>
          <w:tab w:val="left" w:pos="1710"/>
        </w:tabs>
        <w:spacing w:line="276" w:lineRule="auto"/>
        <w:ind w:firstLine="709"/>
        <w:jc w:val="both"/>
      </w:pPr>
      <w:r w:rsidRPr="008C3DB4">
        <w:t>[</w:t>
      </w:r>
      <w:r w:rsidR="00AB237D" w:rsidRPr="008C3DB4">
        <w:t>7</w:t>
      </w:r>
      <w:r w:rsidRPr="008C3DB4">
        <w:t xml:space="preserve">] Ņemot vērā, ka apelācijas instances tiesas lēmums tiek atcelts pilnībā un lieta </w:t>
      </w:r>
      <w:r w:rsidR="00AB03C5" w:rsidRPr="008C3DB4">
        <w:t xml:space="preserve">apelācijas instances tiesā jāiztiesā </w:t>
      </w:r>
      <w:r w:rsidRPr="008C3DB4">
        <w:t xml:space="preserve">no jauna atbilstoši Kriminālprocesa likuma 53. nodaļas prasībām, apsūdzētā </w:t>
      </w:r>
      <w:r w:rsidR="00D326A1" w:rsidRPr="008C3DB4">
        <w:t>[pers.</w:t>
      </w:r>
      <w:r w:rsidR="00340DDA" w:rsidRPr="008C3DB4">
        <w:t> </w:t>
      </w:r>
      <w:r w:rsidR="00D326A1" w:rsidRPr="008C3DB4">
        <w:t>A]</w:t>
      </w:r>
      <w:r w:rsidRPr="008C3DB4">
        <w:t xml:space="preserve"> aizstāves kasācijas sūdzībā norādītie argumenti par apsūdzētajam nosakāmo sodu netiek vērtēti.</w:t>
      </w:r>
    </w:p>
    <w:p w14:paraId="27DCA799" w14:textId="77777777" w:rsidR="007908E2" w:rsidRPr="008C3DB4" w:rsidRDefault="007908E2" w:rsidP="00D44B47">
      <w:pPr>
        <w:spacing w:line="276" w:lineRule="auto"/>
        <w:ind w:firstLine="720"/>
        <w:jc w:val="both"/>
      </w:pPr>
    </w:p>
    <w:p w14:paraId="2A47300C" w14:textId="2468648D" w:rsidR="00EF7745" w:rsidRPr="008C3DB4" w:rsidRDefault="00EF7745" w:rsidP="00EF7745">
      <w:pPr>
        <w:shd w:val="clear" w:color="auto" w:fill="FFFFFF"/>
        <w:spacing w:line="276" w:lineRule="auto"/>
        <w:ind w:firstLine="720"/>
        <w:jc w:val="both"/>
      </w:pPr>
      <w:r w:rsidRPr="008C3DB4">
        <w:t>[</w:t>
      </w:r>
      <w:r w:rsidR="00AB237D" w:rsidRPr="008C3DB4">
        <w:t>8</w:t>
      </w:r>
      <w:r w:rsidRPr="008C3DB4">
        <w:t>] Kriminālprocesa likuma 588. panta 3.</w:t>
      </w:r>
      <w:r w:rsidRPr="008C3DB4">
        <w:rPr>
          <w:vertAlign w:val="superscript"/>
        </w:rPr>
        <w:t>1</w:t>
      </w:r>
      <w:r w:rsidRPr="008C3DB4">
        <w:t> daļa noteic, ka gadījumā, ja kasācijas instances tiesa pieņem šā likuma 587. panta pirmās daļas 2. punktā paredzēto lēmumu, tā izlemj jautājumu arī par drošības līdzekli.</w:t>
      </w:r>
    </w:p>
    <w:p w14:paraId="080B183A" w14:textId="53E26EEE" w:rsidR="00EF7745" w:rsidRPr="008C3DB4" w:rsidRDefault="00EF7745" w:rsidP="00EF7745">
      <w:pPr>
        <w:shd w:val="clear" w:color="auto" w:fill="FFFFFF"/>
        <w:spacing w:line="276" w:lineRule="auto"/>
        <w:ind w:firstLine="720"/>
        <w:jc w:val="both"/>
      </w:pPr>
      <w:r w:rsidRPr="008C3DB4">
        <w:t>Apsūdzētaj</w:t>
      </w:r>
      <w:r w:rsidR="008C4B9C" w:rsidRPr="008C3DB4">
        <w:t xml:space="preserve">iem </w:t>
      </w:r>
      <w:r w:rsidR="00D326A1" w:rsidRPr="008C3DB4">
        <w:t>[pers. B]</w:t>
      </w:r>
      <w:r w:rsidR="008C4B9C" w:rsidRPr="008C3DB4">
        <w:t xml:space="preserve">, </w:t>
      </w:r>
      <w:r w:rsidR="00D326A1" w:rsidRPr="008C3DB4">
        <w:t>[pers. A]</w:t>
      </w:r>
      <w:r w:rsidR="008C4B9C" w:rsidRPr="008C3DB4">
        <w:t xml:space="preserve"> un </w:t>
      </w:r>
      <w:r w:rsidR="00D326A1" w:rsidRPr="008C3DB4">
        <w:t xml:space="preserve">[pers. C] </w:t>
      </w:r>
      <w:r w:rsidRPr="008C3DB4">
        <w:t>drošības līdzek</w:t>
      </w:r>
      <w:r w:rsidR="008C4B9C" w:rsidRPr="008C3DB4">
        <w:t>ļi</w:t>
      </w:r>
      <w:r w:rsidRPr="008C3DB4">
        <w:t xml:space="preserve"> nav piemērot</w:t>
      </w:r>
      <w:r w:rsidR="008C4B9C" w:rsidRPr="008C3DB4">
        <w:t>i</w:t>
      </w:r>
      <w:r w:rsidRPr="008C3DB4">
        <w:t>.</w:t>
      </w:r>
    </w:p>
    <w:p w14:paraId="2CAD10B5" w14:textId="3227545A" w:rsidR="00EF7745" w:rsidRPr="008C3DB4" w:rsidRDefault="00EF7745" w:rsidP="00EF7745">
      <w:pPr>
        <w:shd w:val="clear" w:color="auto" w:fill="FFFFFF"/>
        <w:spacing w:line="276" w:lineRule="auto"/>
        <w:ind w:firstLine="720"/>
        <w:jc w:val="both"/>
      </w:pPr>
      <w:r w:rsidRPr="008C3DB4">
        <w:t xml:space="preserve">Senāts atzīst, ka drošības līdzekļa piemērošanai </w:t>
      </w:r>
      <w:r w:rsidR="008C4B9C" w:rsidRPr="008C3DB4">
        <w:t>apsūdzētajiem</w:t>
      </w:r>
      <w:r w:rsidRPr="008C3DB4">
        <w:t xml:space="preserve"> šajā </w:t>
      </w:r>
      <w:r w:rsidR="008C4B9C" w:rsidRPr="008C3DB4">
        <w:t>krimināl</w:t>
      </w:r>
      <w:r w:rsidRPr="008C3DB4">
        <w:t>procesa stadijā nav tiesiska pamata.</w:t>
      </w:r>
    </w:p>
    <w:p w14:paraId="7379B300" w14:textId="77777777" w:rsidR="00D44B47" w:rsidRPr="008C3DB4" w:rsidRDefault="00D44B47" w:rsidP="00D44B47">
      <w:pPr>
        <w:spacing w:line="276" w:lineRule="auto"/>
        <w:ind w:firstLine="720"/>
        <w:jc w:val="both"/>
      </w:pPr>
    </w:p>
    <w:p w14:paraId="12CBFC44" w14:textId="2B856DC1" w:rsidR="00447EE6" w:rsidRPr="008C3DB4" w:rsidRDefault="00447EE6" w:rsidP="00245AF5">
      <w:pPr>
        <w:shd w:val="clear" w:color="auto" w:fill="FFFFFF"/>
        <w:spacing w:line="276" w:lineRule="auto"/>
        <w:jc w:val="center"/>
        <w:rPr>
          <w:b/>
        </w:rPr>
      </w:pPr>
      <w:r w:rsidRPr="008C3DB4">
        <w:rPr>
          <w:b/>
        </w:rPr>
        <w:t>Rezolutīvā daļa</w:t>
      </w:r>
    </w:p>
    <w:p w14:paraId="2A848316" w14:textId="77777777" w:rsidR="00245AF5" w:rsidRPr="008C3DB4" w:rsidRDefault="00245AF5" w:rsidP="00245AF5">
      <w:pPr>
        <w:shd w:val="clear" w:color="auto" w:fill="FFFFFF"/>
        <w:spacing w:line="276" w:lineRule="auto"/>
        <w:jc w:val="center"/>
        <w:rPr>
          <w:bCs/>
        </w:rPr>
      </w:pPr>
    </w:p>
    <w:p w14:paraId="44D4DC65" w14:textId="77777777" w:rsidR="00245AF5" w:rsidRPr="008C3DB4" w:rsidRDefault="00245AF5" w:rsidP="00245AF5">
      <w:pPr>
        <w:pStyle w:val="tv213"/>
        <w:widowControl w:val="0"/>
        <w:spacing w:before="0" w:beforeAutospacing="0" w:after="0" w:afterAutospacing="0" w:line="276" w:lineRule="auto"/>
        <w:ind w:firstLine="720"/>
        <w:jc w:val="both"/>
      </w:pPr>
      <w:r w:rsidRPr="008C3DB4">
        <w:t>Pamatojoties uz Kriminālprocesa likuma 585. un 587. panta pirmās daļas 2. punktu, Senāts</w:t>
      </w:r>
    </w:p>
    <w:p w14:paraId="3B28DB94" w14:textId="77777777" w:rsidR="00447EE6" w:rsidRPr="008C3DB4" w:rsidRDefault="00447EE6" w:rsidP="00245AF5">
      <w:pPr>
        <w:shd w:val="clear" w:color="auto" w:fill="FFFFFF"/>
        <w:spacing w:line="276" w:lineRule="auto"/>
        <w:jc w:val="center"/>
        <w:rPr>
          <w:bCs/>
        </w:rPr>
      </w:pPr>
    </w:p>
    <w:p w14:paraId="297C80CD" w14:textId="5470BBB3" w:rsidR="00447EE6" w:rsidRPr="008C3DB4" w:rsidRDefault="00447EE6" w:rsidP="00245AF5">
      <w:pPr>
        <w:shd w:val="clear" w:color="auto" w:fill="FFFFFF"/>
        <w:spacing w:line="276" w:lineRule="auto"/>
        <w:jc w:val="center"/>
        <w:rPr>
          <w:b/>
        </w:rPr>
      </w:pPr>
      <w:r w:rsidRPr="008C3DB4">
        <w:rPr>
          <w:b/>
        </w:rPr>
        <w:t>no</w:t>
      </w:r>
      <w:r w:rsidR="00245AF5" w:rsidRPr="008C3DB4">
        <w:rPr>
          <w:b/>
        </w:rPr>
        <w:t>lēma</w:t>
      </w:r>
    </w:p>
    <w:p w14:paraId="28660F9E" w14:textId="77777777" w:rsidR="00447EE6" w:rsidRPr="008C3DB4" w:rsidRDefault="00447EE6" w:rsidP="00245AF5">
      <w:pPr>
        <w:shd w:val="clear" w:color="auto" w:fill="FFFFFF"/>
        <w:spacing w:line="276" w:lineRule="auto"/>
        <w:jc w:val="center"/>
        <w:rPr>
          <w:bCs/>
        </w:rPr>
      </w:pPr>
    </w:p>
    <w:p w14:paraId="6B947EA3" w14:textId="6D181101" w:rsidR="00245AF5" w:rsidRPr="008C3DB4" w:rsidRDefault="00245AF5" w:rsidP="00245AF5">
      <w:pPr>
        <w:spacing w:line="276" w:lineRule="auto"/>
        <w:ind w:firstLine="720"/>
        <w:jc w:val="both"/>
        <w:rPr>
          <w:color w:val="000000"/>
        </w:rPr>
      </w:pPr>
      <w:r w:rsidRPr="008C3DB4">
        <w:rPr>
          <w:color w:val="000000"/>
        </w:rPr>
        <w:t xml:space="preserve">atcelt </w:t>
      </w:r>
      <w:r w:rsidR="00B95CB7" w:rsidRPr="008C3DB4">
        <w:rPr>
          <w:color w:val="000000"/>
        </w:rPr>
        <w:t>[..]</w:t>
      </w:r>
      <w:r w:rsidR="00B53C40" w:rsidRPr="008C3DB4">
        <w:rPr>
          <w:color w:val="000000"/>
        </w:rPr>
        <w:t xml:space="preserve"> apgabaltiesas 2024. gada </w:t>
      </w:r>
      <w:r w:rsidR="00D326A1" w:rsidRPr="008C3DB4">
        <w:rPr>
          <w:color w:val="000000"/>
        </w:rPr>
        <w:t>[..]</w:t>
      </w:r>
      <w:r w:rsidR="00B53C40" w:rsidRPr="008C3DB4">
        <w:rPr>
          <w:color w:val="000000"/>
        </w:rPr>
        <w:t xml:space="preserve"> lēmumu pilnībā un nosūtīt lietu jaunai izskatīšanai </w:t>
      </w:r>
      <w:r w:rsidR="00D326A1" w:rsidRPr="008C3DB4">
        <w:rPr>
          <w:color w:val="000000"/>
        </w:rPr>
        <w:t xml:space="preserve">[..] </w:t>
      </w:r>
      <w:r w:rsidR="00B53C40" w:rsidRPr="008C3DB4">
        <w:rPr>
          <w:color w:val="000000"/>
        </w:rPr>
        <w:t>apgabaltiesā.</w:t>
      </w:r>
    </w:p>
    <w:p w14:paraId="1D4A469C" w14:textId="77777777" w:rsidR="00245AF5" w:rsidRPr="008C3DB4" w:rsidRDefault="00245AF5" w:rsidP="00245AF5">
      <w:pPr>
        <w:spacing w:line="276" w:lineRule="auto"/>
        <w:ind w:firstLine="720"/>
        <w:jc w:val="both"/>
        <w:rPr>
          <w:color w:val="000000"/>
        </w:rPr>
      </w:pPr>
    </w:p>
    <w:p w14:paraId="049D1CB4" w14:textId="60AFDF56" w:rsidR="00447EE6" w:rsidRPr="005E392D" w:rsidRDefault="00245AF5" w:rsidP="00180EF9">
      <w:pPr>
        <w:spacing w:line="276" w:lineRule="auto"/>
        <w:ind w:firstLine="720"/>
        <w:jc w:val="both"/>
      </w:pPr>
      <w:r w:rsidRPr="008C3DB4">
        <w:rPr>
          <w:color w:val="000000"/>
        </w:rPr>
        <w:t>Lēmums nav pārsūdzams.</w:t>
      </w:r>
    </w:p>
    <w:sectPr w:rsidR="00447EE6" w:rsidRPr="005E392D" w:rsidSect="00E044C5">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B164" w14:textId="77777777" w:rsidR="00797B33" w:rsidRDefault="00797B33" w:rsidP="00F359F5">
      <w:r>
        <w:separator/>
      </w:r>
    </w:p>
  </w:endnote>
  <w:endnote w:type="continuationSeparator" w:id="0">
    <w:p w14:paraId="0C39F205" w14:textId="77777777" w:rsidR="00797B33" w:rsidRDefault="00797B33" w:rsidP="00F3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676843"/>
      <w:docPartObj>
        <w:docPartGallery w:val="Page Numbers (Bottom of Page)"/>
        <w:docPartUnique/>
      </w:docPartObj>
    </w:sdtPr>
    <w:sdtEndPr/>
    <w:sdtContent>
      <w:sdt>
        <w:sdtPr>
          <w:id w:val="1728636285"/>
          <w:docPartObj>
            <w:docPartGallery w:val="Page Numbers (Top of Page)"/>
            <w:docPartUnique/>
          </w:docPartObj>
        </w:sdtPr>
        <w:sdtEndPr/>
        <w:sdtContent>
          <w:p w14:paraId="4AF491B0" w14:textId="71BD816C" w:rsidR="00F359F5" w:rsidRDefault="00F359F5" w:rsidP="00F359F5">
            <w:pPr>
              <w:pStyle w:val="Footer"/>
              <w:jc w:val="center"/>
            </w:pPr>
            <w:r w:rsidRPr="00F359F5">
              <w:rPr>
                <w:sz w:val="20"/>
                <w:szCs w:val="20"/>
              </w:rPr>
              <w:fldChar w:fldCharType="begin"/>
            </w:r>
            <w:r w:rsidRPr="00F359F5">
              <w:rPr>
                <w:sz w:val="20"/>
                <w:szCs w:val="20"/>
              </w:rPr>
              <w:instrText xml:space="preserve"> PAGE </w:instrText>
            </w:r>
            <w:r w:rsidRPr="00F359F5">
              <w:rPr>
                <w:sz w:val="20"/>
                <w:szCs w:val="20"/>
              </w:rPr>
              <w:fldChar w:fldCharType="separate"/>
            </w:r>
            <w:r w:rsidRPr="00F359F5">
              <w:rPr>
                <w:noProof/>
                <w:sz w:val="20"/>
                <w:szCs w:val="20"/>
              </w:rPr>
              <w:t>2</w:t>
            </w:r>
            <w:r w:rsidRPr="00F359F5">
              <w:rPr>
                <w:sz w:val="20"/>
                <w:szCs w:val="20"/>
              </w:rPr>
              <w:fldChar w:fldCharType="end"/>
            </w:r>
            <w:r w:rsidRPr="00F359F5">
              <w:rPr>
                <w:sz w:val="20"/>
                <w:szCs w:val="20"/>
              </w:rPr>
              <w:t xml:space="preserve"> no </w:t>
            </w:r>
            <w:r w:rsidRPr="00F359F5">
              <w:rPr>
                <w:sz w:val="20"/>
                <w:szCs w:val="20"/>
              </w:rPr>
              <w:fldChar w:fldCharType="begin"/>
            </w:r>
            <w:r w:rsidRPr="00F359F5">
              <w:rPr>
                <w:sz w:val="20"/>
                <w:szCs w:val="20"/>
              </w:rPr>
              <w:instrText xml:space="preserve"> NUMPAGES  </w:instrText>
            </w:r>
            <w:r w:rsidRPr="00F359F5">
              <w:rPr>
                <w:sz w:val="20"/>
                <w:szCs w:val="20"/>
              </w:rPr>
              <w:fldChar w:fldCharType="separate"/>
            </w:r>
            <w:r w:rsidRPr="00F359F5">
              <w:rPr>
                <w:noProof/>
                <w:sz w:val="20"/>
                <w:szCs w:val="20"/>
              </w:rPr>
              <w:t>2</w:t>
            </w:r>
            <w:r w:rsidRPr="00F359F5">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01DD" w14:textId="77777777" w:rsidR="00797B33" w:rsidRDefault="00797B33" w:rsidP="00F359F5">
      <w:r>
        <w:separator/>
      </w:r>
    </w:p>
  </w:footnote>
  <w:footnote w:type="continuationSeparator" w:id="0">
    <w:p w14:paraId="088EF68A" w14:textId="77777777" w:rsidR="00797B33" w:rsidRDefault="00797B33" w:rsidP="00F359F5">
      <w:r>
        <w:continuationSeparator/>
      </w:r>
    </w:p>
  </w:footnote>
  <w:footnote w:id="1">
    <w:p w14:paraId="536349A3" w14:textId="77777777" w:rsidR="00D326A1" w:rsidRDefault="00D326A1" w:rsidP="00D326A1">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14A3D"/>
    <w:rsid w:val="00016F43"/>
    <w:rsid w:val="00020A4B"/>
    <w:rsid w:val="000273A5"/>
    <w:rsid w:val="00031FE6"/>
    <w:rsid w:val="00036518"/>
    <w:rsid w:val="00054432"/>
    <w:rsid w:val="00092B86"/>
    <w:rsid w:val="00096136"/>
    <w:rsid w:val="000A09D6"/>
    <w:rsid w:val="000A1567"/>
    <w:rsid w:val="000A4F70"/>
    <w:rsid w:val="000D6556"/>
    <w:rsid w:val="000D7A9A"/>
    <w:rsid w:val="000F613B"/>
    <w:rsid w:val="001025D3"/>
    <w:rsid w:val="001034CD"/>
    <w:rsid w:val="0011124A"/>
    <w:rsid w:val="0014118B"/>
    <w:rsid w:val="00175F96"/>
    <w:rsid w:val="00177A7F"/>
    <w:rsid w:val="00180EF9"/>
    <w:rsid w:val="00181022"/>
    <w:rsid w:val="0018504C"/>
    <w:rsid w:val="001A04D4"/>
    <w:rsid w:val="001B249A"/>
    <w:rsid w:val="001B5900"/>
    <w:rsid w:val="001E397C"/>
    <w:rsid w:val="001F559B"/>
    <w:rsid w:val="00212086"/>
    <w:rsid w:val="00217E00"/>
    <w:rsid w:val="00221BAA"/>
    <w:rsid w:val="00241AA2"/>
    <w:rsid w:val="00245AF5"/>
    <w:rsid w:val="002500F3"/>
    <w:rsid w:val="00261C0C"/>
    <w:rsid w:val="002665C4"/>
    <w:rsid w:val="002709BE"/>
    <w:rsid w:val="002776CC"/>
    <w:rsid w:val="00281E06"/>
    <w:rsid w:val="00287A9D"/>
    <w:rsid w:val="002A69E1"/>
    <w:rsid w:val="002A6FB2"/>
    <w:rsid w:val="002B76B6"/>
    <w:rsid w:val="002C41D2"/>
    <w:rsid w:val="002E2D86"/>
    <w:rsid w:val="002E5CAB"/>
    <w:rsid w:val="002F108D"/>
    <w:rsid w:val="002F19B6"/>
    <w:rsid w:val="00315132"/>
    <w:rsid w:val="003209A9"/>
    <w:rsid w:val="003269AB"/>
    <w:rsid w:val="00340DDA"/>
    <w:rsid w:val="003419D9"/>
    <w:rsid w:val="003776E8"/>
    <w:rsid w:val="00390CA7"/>
    <w:rsid w:val="003A37C2"/>
    <w:rsid w:val="003A6500"/>
    <w:rsid w:val="003B1565"/>
    <w:rsid w:val="003B2C40"/>
    <w:rsid w:val="003B2E4A"/>
    <w:rsid w:val="003B4B80"/>
    <w:rsid w:val="003D3BC2"/>
    <w:rsid w:val="003D4014"/>
    <w:rsid w:val="003D41E1"/>
    <w:rsid w:val="003E19A0"/>
    <w:rsid w:val="003E2111"/>
    <w:rsid w:val="003F50E6"/>
    <w:rsid w:val="004049C2"/>
    <w:rsid w:val="004203AA"/>
    <w:rsid w:val="00425A05"/>
    <w:rsid w:val="00447EE6"/>
    <w:rsid w:val="00453E01"/>
    <w:rsid w:val="004554C7"/>
    <w:rsid w:val="004669C8"/>
    <w:rsid w:val="004759AA"/>
    <w:rsid w:val="00482846"/>
    <w:rsid w:val="00492AB0"/>
    <w:rsid w:val="004A312F"/>
    <w:rsid w:val="004A5494"/>
    <w:rsid w:val="004B2A94"/>
    <w:rsid w:val="004B4724"/>
    <w:rsid w:val="004C5641"/>
    <w:rsid w:val="004C65DE"/>
    <w:rsid w:val="004D44F8"/>
    <w:rsid w:val="004E4D6E"/>
    <w:rsid w:val="004F0168"/>
    <w:rsid w:val="00500985"/>
    <w:rsid w:val="00500BB1"/>
    <w:rsid w:val="00503A38"/>
    <w:rsid w:val="005144E4"/>
    <w:rsid w:val="0052051A"/>
    <w:rsid w:val="005262ED"/>
    <w:rsid w:val="00547C02"/>
    <w:rsid w:val="005663F6"/>
    <w:rsid w:val="00567624"/>
    <w:rsid w:val="005B460F"/>
    <w:rsid w:val="005E67E2"/>
    <w:rsid w:val="006266C1"/>
    <w:rsid w:val="00657846"/>
    <w:rsid w:val="0066537C"/>
    <w:rsid w:val="00675607"/>
    <w:rsid w:val="00681D6B"/>
    <w:rsid w:val="00690BEB"/>
    <w:rsid w:val="006A5638"/>
    <w:rsid w:val="006A6F4C"/>
    <w:rsid w:val="006C29FE"/>
    <w:rsid w:val="006E5B90"/>
    <w:rsid w:val="00705983"/>
    <w:rsid w:val="00724974"/>
    <w:rsid w:val="00751928"/>
    <w:rsid w:val="00767D89"/>
    <w:rsid w:val="007746E0"/>
    <w:rsid w:val="007772D5"/>
    <w:rsid w:val="0079051E"/>
    <w:rsid w:val="007908E2"/>
    <w:rsid w:val="00797B33"/>
    <w:rsid w:val="007A1CD4"/>
    <w:rsid w:val="007C4D1E"/>
    <w:rsid w:val="007C7F09"/>
    <w:rsid w:val="007D1A7A"/>
    <w:rsid w:val="007D3815"/>
    <w:rsid w:val="007D5262"/>
    <w:rsid w:val="007D5DC8"/>
    <w:rsid w:val="007E0F38"/>
    <w:rsid w:val="007E6128"/>
    <w:rsid w:val="007F560B"/>
    <w:rsid w:val="0080118C"/>
    <w:rsid w:val="00826413"/>
    <w:rsid w:val="00864507"/>
    <w:rsid w:val="008645B6"/>
    <w:rsid w:val="00865255"/>
    <w:rsid w:val="00872488"/>
    <w:rsid w:val="00877B94"/>
    <w:rsid w:val="00883B3C"/>
    <w:rsid w:val="008A30EC"/>
    <w:rsid w:val="008B742C"/>
    <w:rsid w:val="008C3DB4"/>
    <w:rsid w:val="008C4B9C"/>
    <w:rsid w:val="008C711E"/>
    <w:rsid w:val="008D1D46"/>
    <w:rsid w:val="008F0164"/>
    <w:rsid w:val="008F0317"/>
    <w:rsid w:val="008F0CC0"/>
    <w:rsid w:val="008F203E"/>
    <w:rsid w:val="00906ACF"/>
    <w:rsid w:val="00911196"/>
    <w:rsid w:val="00911401"/>
    <w:rsid w:val="00934665"/>
    <w:rsid w:val="0093696F"/>
    <w:rsid w:val="00937032"/>
    <w:rsid w:val="00952FBD"/>
    <w:rsid w:val="009766D6"/>
    <w:rsid w:val="0098770C"/>
    <w:rsid w:val="00996ECB"/>
    <w:rsid w:val="009A4AD5"/>
    <w:rsid w:val="009B1B9E"/>
    <w:rsid w:val="009B1DA3"/>
    <w:rsid w:val="009B3108"/>
    <w:rsid w:val="009D2D1A"/>
    <w:rsid w:val="009D53F7"/>
    <w:rsid w:val="009E4B05"/>
    <w:rsid w:val="009F011A"/>
    <w:rsid w:val="009F16D0"/>
    <w:rsid w:val="00A00D9A"/>
    <w:rsid w:val="00A05666"/>
    <w:rsid w:val="00A206E4"/>
    <w:rsid w:val="00A56970"/>
    <w:rsid w:val="00A81562"/>
    <w:rsid w:val="00A84E59"/>
    <w:rsid w:val="00A8544F"/>
    <w:rsid w:val="00AB03C5"/>
    <w:rsid w:val="00AB237D"/>
    <w:rsid w:val="00AF1B45"/>
    <w:rsid w:val="00AF3043"/>
    <w:rsid w:val="00AF55E6"/>
    <w:rsid w:val="00B0176D"/>
    <w:rsid w:val="00B165B8"/>
    <w:rsid w:val="00B24911"/>
    <w:rsid w:val="00B41CCE"/>
    <w:rsid w:val="00B53C40"/>
    <w:rsid w:val="00B54F4B"/>
    <w:rsid w:val="00B6115C"/>
    <w:rsid w:val="00B6690B"/>
    <w:rsid w:val="00B808DD"/>
    <w:rsid w:val="00B95CB7"/>
    <w:rsid w:val="00BA2041"/>
    <w:rsid w:val="00BB2928"/>
    <w:rsid w:val="00BF2CB6"/>
    <w:rsid w:val="00C202D3"/>
    <w:rsid w:val="00C24E79"/>
    <w:rsid w:val="00C31A84"/>
    <w:rsid w:val="00C35DD5"/>
    <w:rsid w:val="00C36A4A"/>
    <w:rsid w:val="00C404C0"/>
    <w:rsid w:val="00C4170B"/>
    <w:rsid w:val="00C46694"/>
    <w:rsid w:val="00C5023B"/>
    <w:rsid w:val="00C5118D"/>
    <w:rsid w:val="00C60316"/>
    <w:rsid w:val="00C65371"/>
    <w:rsid w:val="00C713C6"/>
    <w:rsid w:val="00C7333C"/>
    <w:rsid w:val="00C76D3B"/>
    <w:rsid w:val="00C76DAD"/>
    <w:rsid w:val="00C91B81"/>
    <w:rsid w:val="00CD7A7D"/>
    <w:rsid w:val="00D17AD1"/>
    <w:rsid w:val="00D31531"/>
    <w:rsid w:val="00D326A1"/>
    <w:rsid w:val="00D44B47"/>
    <w:rsid w:val="00D4712A"/>
    <w:rsid w:val="00D47F57"/>
    <w:rsid w:val="00D5269C"/>
    <w:rsid w:val="00D70B54"/>
    <w:rsid w:val="00D77E03"/>
    <w:rsid w:val="00D83FAE"/>
    <w:rsid w:val="00DB1B8B"/>
    <w:rsid w:val="00DB3C6A"/>
    <w:rsid w:val="00DC1661"/>
    <w:rsid w:val="00E044C5"/>
    <w:rsid w:val="00E07269"/>
    <w:rsid w:val="00E13180"/>
    <w:rsid w:val="00E371E0"/>
    <w:rsid w:val="00EB66D5"/>
    <w:rsid w:val="00ED34E1"/>
    <w:rsid w:val="00EE5695"/>
    <w:rsid w:val="00EF7745"/>
    <w:rsid w:val="00F13DA6"/>
    <w:rsid w:val="00F2212C"/>
    <w:rsid w:val="00F27EEC"/>
    <w:rsid w:val="00F30CD0"/>
    <w:rsid w:val="00F359F5"/>
    <w:rsid w:val="00F36DA8"/>
    <w:rsid w:val="00F457E6"/>
    <w:rsid w:val="00F473B6"/>
    <w:rsid w:val="00F5201C"/>
    <w:rsid w:val="00F71FC8"/>
    <w:rsid w:val="00F82AB6"/>
    <w:rsid w:val="00F954A8"/>
    <w:rsid w:val="00F9798A"/>
    <w:rsid w:val="00FC2DCE"/>
    <w:rsid w:val="00FC4963"/>
    <w:rsid w:val="00FC713D"/>
    <w:rsid w:val="00FE1C38"/>
    <w:rsid w:val="00FF0C42"/>
    <w:rsid w:val="00FF6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customStyle="1" w:styleId="tv213">
    <w:name w:val="tv213"/>
    <w:basedOn w:val="Normal"/>
    <w:rsid w:val="00245AF5"/>
    <w:pPr>
      <w:spacing w:before="100" w:beforeAutospacing="1" w:after="100" w:afterAutospacing="1"/>
    </w:pPr>
    <w:rPr>
      <w:lang w:eastAsia="lv-LV"/>
    </w:rPr>
  </w:style>
  <w:style w:type="paragraph" w:styleId="Header">
    <w:name w:val="header"/>
    <w:basedOn w:val="Normal"/>
    <w:link w:val="HeaderChar"/>
    <w:uiPriority w:val="99"/>
    <w:unhideWhenUsed/>
    <w:rsid w:val="00F359F5"/>
    <w:pPr>
      <w:tabs>
        <w:tab w:val="center" w:pos="4153"/>
        <w:tab w:val="right" w:pos="8306"/>
      </w:tabs>
    </w:pPr>
  </w:style>
  <w:style w:type="character" w:customStyle="1" w:styleId="HeaderChar">
    <w:name w:val="Header Char"/>
    <w:basedOn w:val="DefaultParagraphFont"/>
    <w:link w:val="Header"/>
    <w:uiPriority w:val="99"/>
    <w:rsid w:val="00F359F5"/>
    <w:rPr>
      <w:rFonts w:eastAsia="Times New Roman" w:cs="Times New Roman"/>
      <w:szCs w:val="24"/>
      <w:lang w:val="lv-LV" w:eastAsia="ru-RU"/>
    </w:rPr>
  </w:style>
  <w:style w:type="paragraph" w:styleId="Footer">
    <w:name w:val="footer"/>
    <w:basedOn w:val="Normal"/>
    <w:link w:val="FooterChar"/>
    <w:uiPriority w:val="99"/>
    <w:unhideWhenUsed/>
    <w:rsid w:val="00F359F5"/>
    <w:pPr>
      <w:tabs>
        <w:tab w:val="center" w:pos="4153"/>
        <w:tab w:val="right" w:pos="8306"/>
      </w:tabs>
    </w:pPr>
  </w:style>
  <w:style w:type="character" w:customStyle="1" w:styleId="FooterChar">
    <w:name w:val="Footer Char"/>
    <w:basedOn w:val="DefaultParagraphFont"/>
    <w:link w:val="Footer"/>
    <w:uiPriority w:val="99"/>
    <w:rsid w:val="00F359F5"/>
    <w:rPr>
      <w:rFonts w:eastAsia="Times New Roman" w:cs="Times New Roman"/>
      <w:szCs w:val="24"/>
      <w:lang w:val="lv-LV" w:eastAsia="ru-RU"/>
    </w:rPr>
  </w:style>
  <w:style w:type="character" w:styleId="Hyperlink">
    <w:name w:val="Hyperlink"/>
    <w:basedOn w:val="DefaultParagraphFont"/>
    <w:uiPriority w:val="99"/>
    <w:unhideWhenUsed/>
    <w:rsid w:val="00D44B47"/>
    <w:rPr>
      <w:color w:val="0000FF"/>
      <w:u w:val="single"/>
    </w:rPr>
  </w:style>
  <w:style w:type="character" w:styleId="UnresolvedMention">
    <w:name w:val="Unresolved Mention"/>
    <w:basedOn w:val="DefaultParagraphFont"/>
    <w:uiPriority w:val="99"/>
    <w:semiHidden/>
    <w:unhideWhenUsed/>
    <w:rsid w:val="008A30EC"/>
    <w:rPr>
      <w:color w:val="605E5C"/>
      <w:shd w:val="clear" w:color="auto" w:fill="E1DFDD"/>
    </w:rPr>
  </w:style>
  <w:style w:type="paragraph" w:styleId="Revision">
    <w:name w:val="Revision"/>
    <w:hidden/>
    <w:uiPriority w:val="99"/>
    <w:semiHidden/>
    <w:rsid w:val="00036518"/>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C76D3B"/>
    <w:rPr>
      <w:sz w:val="16"/>
      <w:szCs w:val="16"/>
    </w:rPr>
  </w:style>
  <w:style w:type="paragraph" w:styleId="CommentText">
    <w:name w:val="annotation text"/>
    <w:basedOn w:val="Normal"/>
    <w:link w:val="CommentTextChar"/>
    <w:uiPriority w:val="99"/>
    <w:unhideWhenUsed/>
    <w:rsid w:val="00C76D3B"/>
    <w:rPr>
      <w:sz w:val="20"/>
      <w:szCs w:val="20"/>
    </w:rPr>
  </w:style>
  <w:style w:type="character" w:customStyle="1" w:styleId="CommentTextChar">
    <w:name w:val="Comment Text Char"/>
    <w:basedOn w:val="DefaultParagraphFont"/>
    <w:link w:val="CommentText"/>
    <w:uiPriority w:val="99"/>
    <w:rsid w:val="00C76D3B"/>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76D3B"/>
    <w:rPr>
      <w:b/>
      <w:bCs/>
    </w:rPr>
  </w:style>
  <w:style w:type="character" w:customStyle="1" w:styleId="CommentSubjectChar">
    <w:name w:val="Comment Subject Char"/>
    <w:basedOn w:val="CommentTextChar"/>
    <w:link w:val="CommentSubject"/>
    <w:uiPriority w:val="99"/>
    <w:semiHidden/>
    <w:rsid w:val="00C76D3B"/>
    <w:rPr>
      <w:rFonts w:eastAsia="Times New Roman" w:cs="Times New Roman"/>
      <w:b/>
      <w:bCs/>
      <w:sz w:val="20"/>
      <w:szCs w:val="20"/>
      <w:lang w:val="lv-LV" w:eastAsia="ru-RU"/>
    </w:rPr>
  </w:style>
  <w:style w:type="paragraph" w:styleId="FootnoteText">
    <w:name w:val="footnote text"/>
    <w:basedOn w:val="Normal"/>
    <w:link w:val="FootnoteTextChar"/>
    <w:uiPriority w:val="99"/>
    <w:semiHidden/>
    <w:unhideWhenUsed/>
    <w:rsid w:val="00D326A1"/>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326A1"/>
    <w:rPr>
      <w:sz w:val="20"/>
      <w:szCs w:val="20"/>
      <w:lang w:val="lv-LV"/>
    </w:rPr>
  </w:style>
  <w:style w:type="character" w:styleId="FootnoteReference">
    <w:name w:val="footnote reference"/>
    <w:basedOn w:val="DefaultParagraphFont"/>
    <w:uiPriority w:val="99"/>
    <w:semiHidden/>
    <w:unhideWhenUsed/>
    <w:rsid w:val="00D326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785" TargetMode="External"/><Relationship Id="rId3" Type="http://schemas.openxmlformats.org/officeDocument/2006/relationships/settings" Target="settings.xml"/><Relationship Id="rId7" Type="http://schemas.openxmlformats.org/officeDocument/2006/relationships/hyperlink" Target="https://www.at.gov.lv/downloadlawfile/85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8682</Words>
  <Characters>4949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2026-02-02T05:00:00Z</dcterms:created>
  <dcterms:modified xsi:type="dcterms:W3CDTF">2026-02-03T07:21:00Z</dcterms:modified>
</cp:coreProperties>
</file>