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0C7D" w14:textId="1982C069" w:rsidR="00E35A06" w:rsidRPr="00875CC3" w:rsidRDefault="00E35A06" w:rsidP="00875CC3">
      <w:pPr>
        <w:autoSpaceDE w:val="0"/>
        <w:autoSpaceDN w:val="0"/>
        <w:spacing w:line="276" w:lineRule="auto"/>
        <w:jc w:val="both"/>
        <w:rPr>
          <w:b/>
          <w:bCs/>
          <w:lang w:eastAsia="en-US"/>
          <w14:ligatures w14:val="standardContextual"/>
        </w:rPr>
      </w:pPr>
      <w:r>
        <w:rPr>
          <w:b/>
          <w:bCs/>
          <w14:ligatures w14:val="standardContextual"/>
        </w:rPr>
        <w:t>Pienākums ievērot nevainīguma prezumpciju iestādes lēmumā par disciplinārsoda piemērošanu un tiesas spriedumā par šī lēmuma vērtējumu</w:t>
      </w:r>
    </w:p>
    <w:p w14:paraId="493555BF" w14:textId="5515E08D" w:rsidR="001C46D7" w:rsidRPr="00005F06" w:rsidRDefault="001C46D7" w:rsidP="00875CC3">
      <w:pPr>
        <w:pStyle w:val="BodyText2"/>
        <w:spacing w:after="0" w:line="276" w:lineRule="auto"/>
        <w:mirrorIndents/>
        <w:jc w:val="center"/>
        <w:rPr>
          <w:rFonts w:asciiTheme="majorBidi" w:hAnsiTheme="majorBidi" w:cstheme="majorBidi"/>
          <w:lang w:val="lv-LV"/>
        </w:rPr>
      </w:pPr>
    </w:p>
    <w:p w14:paraId="1E275E80" w14:textId="1B655651" w:rsidR="001C46D7" w:rsidRPr="004711FD" w:rsidRDefault="001C46D7" w:rsidP="00875CC3">
      <w:pPr>
        <w:spacing w:line="276" w:lineRule="auto"/>
        <w:mirrorIndents/>
        <w:jc w:val="center"/>
        <w:rPr>
          <w:rFonts w:asciiTheme="majorBidi" w:hAnsiTheme="majorBidi" w:cstheme="majorBidi"/>
          <w:b/>
        </w:rPr>
      </w:pPr>
      <w:r w:rsidRPr="004711FD">
        <w:rPr>
          <w:rFonts w:asciiTheme="majorBidi" w:hAnsiTheme="majorBidi" w:cstheme="majorBidi"/>
          <w:b/>
        </w:rPr>
        <w:t>Latvijas Republikas Senāt</w:t>
      </w:r>
      <w:r w:rsidR="004711FD" w:rsidRPr="004711FD">
        <w:rPr>
          <w:rFonts w:asciiTheme="majorBidi" w:hAnsiTheme="majorBidi" w:cstheme="majorBidi"/>
          <w:b/>
        </w:rPr>
        <w:t>a</w:t>
      </w:r>
      <w:r w:rsidR="004711FD" w:rsidRPr="004711FD">
        <w:rPr>
          <w:rFonts w:asciiTheme="majorBidi" w:hAnsiTheme="majorBidi" w:cstheme="majorBidi"/>
          <w:b/>
        </w:rPr>
        <w:br/>
        <w:t>Administratīvo lietu departamenta</w:t>
      </w:r>
      <w:r w:rsidR="004711FD" w:rsidRPr="004711FD">
        <w:rPr>
          <w:rFonts w:asciiTheme="majorBidi" w:hAnsiTheme="majorBidi" w:cstheme="majorBidi"/>
          <w:b/>
        </w:rPr>
        <w:br/>
        <w:t>2025.gada 23.decembrī</w:t>
      </w:r>
    </w:p>
    <w:p w14:paraId="3A048AFE" w14:textId="41311D2D" w:rsidR="004711FD" w:rsidRPr="004711FD" w:rsidRDefault="001C46D7" w:rsidP="00875CC3">
      <w:pPr>
        <w:spacing w:line="276" w:lineRule="auto"/>
        <w:mirrorIndents/>
        <w:jc w:val="center"/>
        <w:rPr>
          <w:rFonts w:asciiTheme="majorBidi" w:hAnsiTheme="majorBidi" w:cstheme="majorBidi"/>
        </w:rPr>
      </w:pPr>
      <w:r w:rsidRPr="004711FD">
        <w:rPr>
          <w:rFonts w:asciiTheme="majorBidi" w:hAnsiTheme="majorBidi" w:cstheme="majorBidi"/>
          <w:b/>
        </w:rPr>
        <w:t>SPRIEDUMS</w:t>
      </w:r>
      <w:r w:rsidRPr="004711FD">
        <w:rPr>
          <w:rFonts w:asciiTheme="majorBidi" w:hAnsiTheme="majorBidi" w:cstheme="majorBidi"/>
        </w:rPr>
        <w:t xml:space="preserve"> </w:t>
      </w:r>
    </w:p>
    <w:p w14:paraId="12CB1B12" w14:textId="1405370C" w:rsidR="004711FD" w:rsidRPr="004711FD" w:rsidRDefault="004711FD" w:rsidP="00875CC3">
      <w:pPr>
        <w:spacing w:line="276" w:lineRule="auto"/>
        <w:mirrorIndents/>
        <w:jc w:val="center"/>
        <w:rPr>
          <w:rFonts w:asciiTheme="majorBidi" w:hAnsiTheme="majorBidi" w:cstheme="majorBidi"/>
          <w:b/>
          <w:bCs/>
        </w:rPr>
      </w:pPr>
      <w:r w:rsidRPr="004711FD">
        <w:rPr>
          <w:rFonts w:asciiTheme="majorBidi" w:hAnsiTheme="majorBidi" w:cstheme="majorBidi"/>
          <w:b/>
          <w:bCs/>
        </w:rPr>
        <w:t>Lieta Nr. A420249522, SKA-101/2025</w:t>
      </w:r>
    </w:p>
    <w:p w14:paraId="114ACA2F" w14:textId="572DDD33" w:rsidR="001C46D7" w:rsidRPr="004711FD" w:rsidRDefault="004711FD" w:rsidP="00875CC3">
      <w:pPr>
        <w:spacing w:line="276" w:lineRule="auto"/>
        <w:mirrorIndents/>
        <w:jc w:val="center"/>
        <w:rPr>
          <w:rFonts w:asciiTheme="majorBidi" w:hAnsiTheme="majorBidi" w:cstheme="majorBidi"/>
        </w:rPr>
      </w:pPr>
      <w:r w:rsidRPr="004711FD">
        <w:t xml:space="preserve"> </w:t>
      </w:r>
      <w:hyperlink r:id="rId7" w:history="1">
        <w:r w:rsidRPr="004711FD">
          <w:rPr>
            <w:rStyle w:val="Hyperlink"/>
          </w:rPr>
          <w:t>ECLI:LV:AT:2025:1223.A420249522.15.S</w:t>
        </w:r>
      </w:hyperlink>
    </w:p>
    <w:p w14:paraId="61D24215" w14:textId="77777777" w:rsidR="001C46D7" w:rsidRDefault="001C46D7" w:rsidP="00875CC3">
      <w:pPr>
        <w:spacing w:line="276" w:lineRule="auto"/>
        <w:mirrorIndents/>
        <w:jc w:val="both"/>
        <w:rPr>
          <w:rFonts w:asciiTheme="majorBidi" w:hAnsiTheme="majorBidi" w:cstheme="majorBidi"/>
        </w:rPr>
      </w:pPr>
    </w:p>
    <w:p w14:paraId="5A3DFA5E" w14:textId="5153E7A9" w:rsidR="001C46D7" w:rsidRDefault="001C46D7" w:rsidP="00875CC3">
      <w:pPr>
        <w:spacing w:line="276" w:lineRule="auto"/>
        <w:ind w:firstLine="720"/>
        <w:mirrorIndents/>
        <w:jc w:val="both"/>
        <w:rPr>
          <w:rFonts w:asciiTheme="majorBidi" w:hAnsiTheme="majorBidi" w:cstheme="majorBidi"/>
        </w:rPr>
      </w:pPr>
      <w:r>
        <w:rPr>
          <w:rFonts w:asciiTheme="majorBidi" w:hAnsiTheme="majorBidi" w:cstheme="majorBidi"/>
        </w:rPr>
        <w:t>Sen</w:t>
      </w:r>
      <w:r w:rsidRPr="00005F06">
        <w:rPr>
          <w:rFonts w:asciiTheme="majorBidi" w:hAnsiTheme="majorBidi" w:cstheme="majorBidi"/>
        </w:rPr>
        <w:t>āts šādā sastāvā: senatore referente Anita Kovaļevska, senator</w:t>
      </w:r>
      <w:r w:rsidR="00D17E67">
        <w:rPr>
          <w:rFonts w:asciiTheme="majorBidi" w:hAnsiTheme="majorBidi" w:cstheme="majorBidi"/>
        </w:rPr>
        <w:t>i</w:t>
      </w:r>
      <w:r w:rsidRPr="00005F06">
        <w:rPr>
          <w:rFonts w:asciiTheme="majorBidi" w:hAnsiTheme="majorBidi" w:cstheme="majorBidi"/>
        </w:rPr>
        <w:t xml:space="preserve"> Ermīns Darapoļskis un Rudīte Vīduša</w:t>
      </w:r>
      <w:r>
        <w:rPr>
          <w:rFonts w:asciiTheme="majorBidi" w:hAnsiTheme="majorBidi" w:cstheme="majorBidi"/>
        </w:rPr>
        <w:t xml:space="preserve"> </w:t>
      </w:r>
    </w:p>
    <w:p w14:paraId="16BAC0B7" w14:textId="77777777" w:rsidR="001C46D7" w:rsidRDefault="001C46D7" w:rsidP="00875CC3">
      <w:pPr>
        <w:spacing w:line="276" w:lineRule="auto"/>
        <w:ind w:firstLine="720"/>
        <w:mirrorIndents/>
        <w:jc w:val="both"/>
        <w:rPr>
          <w:rFonts w:asciiTheme="majorBidi" w:hAnsiTheme="majorBidi" w:cstheme="majorBidi"/>
        </w:rPr>
      </w:pPr>
    </w:p>
    <w:p w14:paraId="157FFAC9" w14:textId="67C1FE11" w:rsidR="001C46D7" w:rsidRPr="007963B0" w:rsidRDefault="001C46D7" w:rsidP="00875CC3">
      <w:pPr>
        <w:spacing w:line="276" w:lineRule="auto"/>
        <w:ind w:firstLine="720"/>
        <w:mirrorIndents/>
        <w:jc w:val="both"/>
        <w:rPr>
          <w:rFonts w:asciiTheme="majorBidi" w:hAnsiTheme="majorBidi" w:cstheme="majorBidi"/>
        </w:rPr>
      </w:pPr>
      <w:r>
        <w:rPr>
          <w:rFonts w:asciiTheme="majorBidi" w:hAnsiTheme="majorBidi" w:cstheme="majorBidi"/>
        </w:rPr>
        <w:t>rak</w:t>
      </w:r>
      <w:r w:rsidRPr="00005F06">
        <w:rPr>
          <w:rFonts w:asciiTheme="majorBidi" w:hAnsiTheme="majorBidi" w:cstheme="majorBidi"/>
        </w:rPr>
        <w:t xml:space="preserve">stveida procesā izskatīja administratīvo lietu, kas ierosināta, pamatojoties uz </w:t>
      </w:r>
      <w:r w:rsidR="004711FD">
        <w:t xml:space="preserve">[pers. A] </w:t>
      </w:r>
      <w:r w:rsidRPr="00005F06">
        <w:rPr>
          <w:rFonts w:asciiTheme="majorBidi" w:eastAsiaTheme="minorHAnsi" w:hAnsiTheme="majorBidi" w:cstheme="majorBidi"/>
          <w:lang w:eastAsia="en-US"/>
        </w:rPr>
        <w:t xml:space="preserve">pieteikumu par </w:t>
      </w:r>
      <w:proofErr w:type="spellStart"/>
      <w:r>
        <w:t>Iekšlietu</w:t>
      </w:r>
      <w:proofErr w:type="spellEnd"/>
      <w:r>
        <w:t xml:space="preserve"> ministrijas 2022.gada 9.jūnija lēmuma Nr. 1-61/186 atcelšanu, sakarā ar </w:t>
      </w:r>
      <w:r w:rsidR="00E35A06">
        <w:t xml:space="preserve">[pers. A] </w:t>
      </w:r>
      <w:r>
        <w:t>kasācijas sūdzību par Administratīvās apgabaltiesas 2023.gada 14.jūlija spriedumu.</w:t>
      </w:r>
    </w:p>
    <w:p w14:paraId="69C49D60" w14:textId="77777777" w:rsidR="001C46D7" w:rsidRPr="00E56BC8" w:rsidRDefault="001C46D7" w:rsidP="00875CC3">
      <w:pPr>
        <w:spacing w:line="276" w:lineRule="auto"/>
        <w:ind w:firstLine="720"/>
        <w:mirrorIndents/>
        <w:jc w:val="both"/>
        <w:rPr>
          <w:rFonts w:asciiTheme="majorBidi" w:eastAsiaTheme="minorHAnsi" w:hAnsiTheme="majorBidi" w:cstheme="majorBidi"/>
          <w:lang w:eastAsia="en-US"/>
        </w:rPr>
      </w:pPr>
    </w:p>
    <w:p w14:paraId="36D65A18" w14:textId="77777777" w:rsidR="001C46D7" w:rsidRPr="00005F06" w:rsidRDefault="001C46D7" w:rsidP="00875CC3">
      <w:pPr>
        <w:pStyle w:val="ATvirsraksts"/>
        <w:mirrorIndents/>
        <w:rPr>
          <w:rFonts w:asciiTheme="majorBidi" w:hAnsiTheme="majorBidi" w:cstheme="majorBidi"/>
        </w:rPr>
      </w:pPr>
      <w:r w:rsidRPr="00005F06">
        <w:rPr>
          <w:rFonts w:asciiTheme="majorBidi" w:hAnsiTheme="majorBidi" w:cstheme="majorBidi"/>
        </w:rPr>
        <w:t>Aprakstošā daļa</w:t>
      </w:r>
    </w:p>
    <w:p w14:paraId="584B2BF9" w14:textId="77777777" w:rsidR="001C46D7" w:rsidRPr="00005F06" w:rsidRDefault="001C46D7" w:rsidP="00875CC3">
      <w:pPr>
        <w:spacing w:line="276" w:lineRule="auto"/>
        <w:ind w:firstLine="720"/>
        <w:mirrorIndents/>
        <w:jc w:val="both"/>
        <w:rPr>
          <w:rFonts w:asciiTheme="majorBidi" w:hAnsiTheme="majorBidi" w:cstheme="majorBidi"/>
        </w:rPr>
      </w:pPr>
    </w:p>
    <w:p w14:paraId="56E2E6D1" w14:textId="708AC2F8" w:rsidR="001C46D7" w:rsidRDefault="001C46D7" w:rsidP="00875CC3">
      <w:pPr>
        <w:spacing w:line="276" w:lineRule="auto"/>
        <w:ind w:firstLine="720"/>
        <w:jc w:val="both"/>
      </w:pPr>
      <w:r w:rsidRPr="00005F06">
        <w:rPr>
          <w:rFonts w:asciiTheme="majorBidi" w:hAnsiTheme="majorBidi" w:cstheme="majorBidi"/>
        </w:rPr>
        <w:t>[1]</w:t>
      </w:r>
      <w:r w:rsidR="00802BF2">
        <w:rPr>
          <w:rFonts w:asciiTheme="majorBidi" w:eastAsiaTheme="minorHAnsi" w:hAnsiTheme="majorBidi" w:cstheme="majorBidi"/>
          <w:lang w:eastAsia="en-US"/>
        </w:rPr>
        <w:t> </w:t>
      </w:r>
      <w:r>
        <w:t xml:space="preserve">Ar Valsts policijas priekšnieka 2022.gada 14.marta lēmumu Nr. 97 pieteicējai </w:t>
      </w:r>
      <w:r w:rsidR="004711FD">
        <w:t xml:space="preserve">[pers. A] </w:t>
      </w:r>
      <w:r>
        <w:t>piemērots disciplinārsods – viņa ar 2022.gada 17.martu</w:t>
      </w:r>
      <w:r w:rsidRPr="002606E1">
        <w:t xml:space="preserve"> </w:t>
      </w:r>
      <w:r>
        <w:t>atvaļināta no dienesta. Disciplinārsods piemērots par to, ka pieteicēja rīkojusies ne</w:t>
      </w:r>
      <w:r w:rsidRPr="007963B0">
        <w:t>ētisk</w:t>
      </w:r>
      <w:r>
        <w:t>i</w:t>
      </w:r>
      <w:r w:rsidRPr="007963B0">
        <w:t xml:space="preserve"> </w:t>
      </w:r>
      <w:r>
        <w:t xml:space="preserve">un </w:t>
      </w:r>
      <w:r w:rsidRPr="007963B0">
        <w:t>kaitēj</w:t>
      </w:r>
      <w:r>
        <w:t>usi</w:t>
      </w:r>
      <w:r w:rsidRPr="007963B0">
        <w:t xml:space="preserve"> Valsts policijas prestižam, ar savu rīcību rad</w:t>
      </w:r>
      <w:r>
        <w:t>ot</w:t>
      </w:r>
      <w:r w:rsidRPr="007963B0">
        <w:t xml:space="preserve"> pamatotas aizdomas, ka </w:t>
      </w:r>
      <w:r>
        <w:t xml:space="preserve">veikalā </w:t>
      </w:r>
      <w:r w:rsidRPr="007963B0">
        <w:t>ar nodomu nav norēķinājusies par precēm</w:t>
      </w:r>
      <w:r>
        <w:t xml:space="preserve"> – </w:t>
      </w:r>
      <w:r w:rsidRPr="007963B0">
        <w:t>tonālo krēmu un skropstu tušu.</w:t>
      </w:r>
    </w:p>
    <w:p w14:paraId="0BFD4217" w14:textId="77777777" w:rsidR="00C01401" w:rsidRDefault="001C46D7" w:rsidP="00875CC3">
      <w:pPr>
        <w:spacing w:line="276" w:lineRule="auto"/>
        <w:ind w:firstLine="720"/>
        <w:jc w:val="both"/>
      </w:pPr>
      <w:r>
        <w:t>Administratīvais process iestādē noslēdzās ar Iekšlietu ministrijas valsts sekretāra pienākumu izpildītāja 2022.gada 9.jūnija lēmumu Nr. 1-61/186 (turpmāk – lēmums), ar kuru Valsts policijas priekšnieka lēmums atstāts negrozīts.</w:t>
      </w:r>
    </w:p>
    <w:p w14:paraId="59BDC753" w14:textId="74911C3C" w:rsidR="001C46D7" w:rsidRDefault="001C46D7" w:rsidP="00875CC3">
      <w:pPr>
        <w:spacing w:line="276" w:lineRule="auto"/>
        <w:ind w:firstLine="720"/>
        <w:jc w:val="both"/>
      </w:pPr>
      <w:r>
        <w:t>Pieteicēja lēmumu pārsūdzēja administratīvajā tiesā.</w:t>
      </w:r>
    </w:p>
    <w:p w14:paraId="6094AE77" w14:textId="77777777" w:rsidR="001C46D7" w:rsidRDefault="001C46D7" w:rsidP="00875CC3">
      <w:pPr>
        <w:spacing w:line="276" w:lineRule="auto"/>
        <w:ind w:firstLine="720"/>
        <w:jc w:val="both"/>
      </w:pPr>
    </w:p>
    <w:p w14:paraId="42F5F9FA" w14:textId="61D24575" w:rsidR="001C46D7" w:rsidRDefault="001C46D7" w:rsidP="00875CC3">
      <w:pPr>
        <w:spacing w:line="276" w:lineRule="auto"/>
        <w:ind w:firstLine="720"/>
        <w:jc w:val="both"/>
      </w:pPr>
      <w:r>
        <w:t>[2]</w:t>
      </w:r>
      <w:r w:rsidR="00802BF2">
        <w:t> </w:t>
      </w:r>
      <w:r>
        <w:t>Administratīv</w:t>
      </w:r>
      <w:r w:rsidR="00C01401">
        <w:t>ā</w:t>
      </w:r>
      <w:r>
        <w:t xml:space="preserve"> apgabalties</w:t>
      </w:r>
      <w:r w:rsidR="00C01401">
        <w:t>a</w:t>
      </w:r>
      <w:r w:rsidR="00A777E1">
        <w:t xml:space="preserve"> ar</w:t>
      </w:r>
      <w:r>
        <w:t xml:space="preserve"> 2023.gada 14.jūlija spriedumu pieteikum</w:t>
      </w:r>
      <w:r w:rsidR="00A777E1">
        <w:t>u</w:t>
      </w:r>
      <w:r>
        <w:t xml:space="preserve"> noraidī</w:t>
      </w:r>
      <w:r w:rsidR="00A777E1">
        <w:t>ja</w:t>
      </w:r>
      <w:r>
        <w:t xml:space="preserve">. Apgabaltiesa pievienojās pirmās instances sprieduma motivācijai un </w:t>
      </w:r>
      <w:r w:rsidRPr="003774FD">
        <w:t>papildus pamatoja</w:t>
      </w:r>
      <w:r>
        <w:t xml:space="preserve"> spriedumu ar turpmāk minētajiem argumentiem.</w:t>
      </w:r>
    </w:p>
    <w:p w14:paraId="642F1980" w14:textId="23530EA1" w:rsidR="001C46D7" w:rsidRDefault="001C46D7" w:rsidP="00875CC3">
      <w:pPr>
        <w:spacing w:line="276" w:lineRule="auto"/>
        <w:ind w:firstLine="720"/>
        <w:jc w:val="both"/>
      </w:pPr>
      <w:r>
        <w:t>[2.</w:t>
      </w:r>
      <w:r w:rsidR="003774FD">
        <w:t>1</w:t>
      </w:r>
      <w:r>
        <w:t>]</w:t>
      </w:r>
      <w:r w:rsidR="00802BF2">
        <w:t> </w:t>
      </w:r>
      <w:r>
        <w:t>Viens un tas pats notikums var būt pamat</w:t>
      </w:r>
      <w:r w:rsidR="00D17E67">
        <w:t>s</w:t>
      </w:r>
      <w:r>
        <w:t xml:space="preserve"> vairāku juridiskās atbildības veidu piemērošanai. Apstāklis, ka nav konstatēts</w:t>
      </w:r>
      <w:r w:rsidRPr="00F36505">
        <w:t xml:space="preserve"> </w:t>
      </w:r>
      <w:r>
        <w:t>noziedzīga nodarījuma sastāvs, nav pietiekams, lai secinātu, ka nav pamata personas saukšanai pie disciplināratbildības. Kriminālatbildība un disciplināratbildība ir divi patstāvīgi juridiskās atbildības veidi ar atšķirīgiem mērķiem un viens otru neizslēdz.</w:t>
      </w:r>
    </w:p>
    <w:p w14:paraId="7DF22D85" w14:textId="2E37CD9C" w:rsidR="001C46D7" w:rsidRDefault="001C46D7" w:rsidP="00875CC3">
      <w:pPr>
        <w:spacing w:line="276" w:lineRule="auto"/>
        <w:ind w:firstLine="720"/>
        <w:jc w:val="both"/>
      </w:pPr>
      <w:r>
        <w:t>[2.</w:t>
      </w:r>
      <w:r w:rsidR="003774FD">
        <w:t>2</w:t>
      </w:r>
      <w:r>
        <w:t>] </w:t>
      </w:r>
      <w:r w:rsidRPr="00F36505">
        <w:t>Iekšlietu ministrijas sistēmas iestāžu un Ieslodzījuma vietu pārvaldes amatpersonu ar speciālajām dienesta pakāpēm dienesta gaitas likum</w:t>
      </w:r>
      <w:r>
        <w:t xml:space="preserve">a (turpmāk – Dienesta gaitas likums) 14.pantā noteikti gadījumi, kad amatpersonas obligāti atstādināmas no amata pienākumu izpildes (lēmuma pieņēmējam nav rīcības brīvības) un kad tās var tikt atstādinātas no amata pienākumu izpildes (lēmuma pieņēmējam ir rīcības brīvība). Šī tiesību norma neparedz, ka iestādei pirms lēmuma par disciplinārsoda piemērošanu jāsagaida tiesas nolēmums kriminālprocesā. </w:t>
      </w:r>
      <w:r w:rsidR="003774FD">
        <w:t>A</w:t>
      </w:r>
      <w:r>
        <w:t xml:space="preserve">rī tiesai nav jāsagaida </w:t>
      </w:r>
      <w:r>
        <w:lastRenderedPageBreak/>
        <w:t xml:space="preserve">nolēmums krimināllietā, lai varētu pieņemt lēmumu disciplinārlietā, </w:t>
      </w:r>
      <w:r w:rsidR="003774FD">
        <w:t xml:space="preserve">tāpēc </w:t>
      </w:r>
      <w:r>
        <w:t>nav pārkāpta nevainīguma prezumpcija, kā arī tiesai nav pamata apturēt tiesvedību saskaņā ar Administratīvā procesa likuma 273.panta trešo daļu.</w:t>
      </w:r>
    </w:p>
    <w:p w14:paraId="4EC94858" w14:textId="165EF23F" w:rsidR="001C46D7" w:rsidRDefault="001C46D7" w:rsidP="00875CC3">
      <w:pPr>
        <w:spacing w:line="276" w:lineRule="auto"/>
        <w:ind w:firstLine="720"/>
        <w:jc w:val="both"/>
      </w:pPr>
      <w:r>
        <w:t>[2.</w:t>
      </w:r>
      <w:r w:rsidR="00EB4CCD">
        <w:t>3</w:t>
      </w:r>
      <w:r>
        <w:t xml:space="preserve">] Lietā esošie pierādījumu ir pietiekami, lai izdarītu objektīvus un pamatotus secinājumus par pārsūdzētā lēmuma tiesiskumu. Fakts, ka pieteicēja veikalā ielika kosmētikas preces somā, lai gan viņai un </w:t>
      </w:r>
      <w:r w:rsidR="00EB4CCD">
        <w:t xml:space="preserve">arī </w:t>
      </w:r>
      <w:r>
        <w:t>vīram rokās bija iepirkuma grozs, rada pamatotas šaubas par pieteicējas patieso vēlmi maksāt par šīm kosmētikas precēm. Turklāt, tiklīdz pieteicējai pienācis klāt veikala apsargs, viņa uzreiz atcerējusies, ka nav samaksājusi par kosmētikas precēm. Tas liecina, ka pieteicēja, izejot no pašapkalpošanās kases, apzinājās, ka somā ir kosmētikas preces, par kurām viņa nav samaksājusi, un</w:t>
      </w:r>
      <w:r w:rsidR="00C01401">
        <w:t>,</w:t>
      </w:r>
      <w:r>
        <w:t xml:space="preserve"> visticamāk</w:t>
      </w:r>
      <w:r w:rsidR="00C01401">
        <w:t>,</w:t>
      </w:r>
      <w:r>
        <w:t xml:space="preserve"> viņa vēlējās šīs preces iznest no veikala, nesamaksājot par tām. Apstāklis, ka pieteicēja vēlējās samaksāt par precēm, kad apsargs viņu apturēja, vai vēlāk, nemaina tiesas iepriekš izdarītos secinājumus. Vispārzināms, ka svešas mantas paņemšana veikalā, par to nenorēķinoties, ir zādzība, kas ir aizliegta ar normatīvajiem aktiem, un nav šaubu, ka pieteicējai kā policistei tas bija zināms. Pieteicēja, ieliekot kosmētikas preces somā, rīkojās pretēji ierasta</w:t>
      </w:r>
      <w:r w:rsidR="00EB4CCD">
        <w:t>ja</w:t>
      </w:r>
      <w:r>
        <w:t>i iepirkšanās praksei, kā arī nesamaksāja par kosmētikas precēm</w:t>
      </w:r>
      <w:r w:rsidR="00EB4CCD">
        <w:t>,</w:t>
      </w:r>
      <w:r>
        <w:t xml:space="preserve"> pirms iz</w:t>
      </w:r>
      <w:r w:rsidR="00EB4CCD">
        <w:t>gāja</w:t>
      </w:r>
      <w:r>
        <w:t xml:space="preserve"> no pašapkalpošanās kases zonas. Tas bija pamats pārkāpuma konstatēšanai, kriminālprocesa ierosināšanai un apsūdzības celšanai. Pieteicējas rīcība veikalā kopsakarā ar viņas pretrunīgajiem paskaidrojumiem par tās iemesliem norāda, ka</w:t>
      </w:r>
      <w:r w:rsidR="00C01401">
        <w:t>,</w:t>
      </w:r>
      <w:r>
        <w:t xml:space="preserve"> visticamāk</w:t>
      </w:r>
      <w:r w:rsidR="00C01401">
        <w:t>,</w:t>
      </w:r>
      <w:r>
        <w:t xml:space="preserve"> viņa vēlējās nesamaksāt par paņemtajām kosmētikas precēm. </w:t>
      </w:r>
      <w:r w:rsidR="00EB4CCD">
        <w:t>Tādējādi</w:t>
      </w:r>
      <w:r>
        <w:t xml:space="preserve"> pieteicēja ar savām darbībām ir diskreditējusi Valsts policiju.</w:t>
      </w:r>
    </w:p>
    <w:p w14:paraId="1AE929B8" w14:textId="3DFF17A8" w:rsidR="001C46D7" w:rsidRDefault="001C46D7" w:rsidP="00875CC3">
      <w:pPr>
        <w:spacing w:line="276" w:lineRule="auto"/>
        <w:ind w:firstLine="720"/>
        <w:jc w:val="both"/>
      </w:pPr>
      <w:r>
        <w:t>[2.</w:t>
      </w:r>
      <w:r w:rsidR="00EB4CCD">
        <w:t>4</w:t>
      </w:r>
      <w:r>
        <w:t xml:space="preserve">] Katrs iespējamais disciplinārpārkāpums vērtējams individuāli, ievērojot konkrētā gadījuma apstākļus. </w:t>
      </w:r>
      <w:r w:rsidR="00A777E1">
        <w:t>Ja</w:t>
      </w:r>
      <w:r>
        <w:t xml:space="preserve"> kādā citā lietā kāda amatpersona nav sodīta, </w:t>
      </w:r>
      <w:r w:rsidR="00A777E1">
        <w:t xml:space="preserve">tas </w:t>
      </w:r>
      <w:r>
        <w:t>nenozīmē, ka pieteicējai jāpaliek nesodītai</w:t>
      </w:r>
      <w:r w:rsidRPr="00194832">
        <w:t xml:space="preserve"> </w:t>
      </w:r>
      <w:r>
        <w:t xml:space="preserve">par disciplinārpārkāpumu. Proti, vienlīdzība nepastāv prettiesiskumā. </w:t>
      </w:r>
      <w:r w:rsidR="002B7019">
        <w:t>N</w:t>
      </w:r>
      <w:r>
        <w:t>orādītajā līdzīgajā gadījumā disciplinārlietas izmeklēšanas laikā personai kriminālproces</w:t>
      </w:r>
      <w:r w:rsidR="002B7019">
        <w:t xml:space="preserve">ā </w:t>
      </w:r>
      <w:r>
        <w:t>tika piemērots drošības līdzeklis – noteiktas nodarbošanās aizliegums. Tādējādi persona, vēl pirms tika pieņemts lēmums disciplinārlietā, tika atstādināta no amata pienākumu pildīšanas. Tas, ka pieteicēja netika atstādināta no dienesta pienākumu pildīšanas, nenozīmē, ka pārsūdzētais lēmums nav tiesisks. Vienlaikus apgabaltiesa konstatē, ka līdzīgā gadījumā, kad notikusi zādzība, bet persona ir atzinusi vainu, Valsts policija personai ir piemērojusi disciplinārsodu – atbrīvošanu no amata.</w:t>
      </w:r>
    </w:p>
    <w:p w14:paraId="7DF231D6" w14:textId="01535E70" w:rsidR="001C46D7" w:rsidRDefault="001C46D7" w:rsidP="00875CC3">
      <w:pPr>
        <w:spacing w:line="276" w:lineRule="auto"/>
        <w:ind w:firstLine="720"/>
        <w:jc w:val="both"/>
      </w:pPr>
      <w:r>
        <w:t>[2.</w:t>
      </w:r>
      <w:r w:rsidR="001701A4">
        <w:t>5</w:t>
      </w:r>
      <w:r>
        <w:t xml:space="preserve">] Priekšzīmīga dienesta pienākuma izpilde ir mērķis, uz kuru jātiecas katrai amatpersonai, un tā nav atzīstama par atbildību mīkstinošu apstākli, kas būtu pamats vieglāka </w:t>
      </w:r>
      <w:r w:rsidR="00A777E1">
        <w:t>disciplinār</w:t>
      </w:r>
      <w:r>
        <w:t>soda piemērošanai.</w:t>
      </w:r>
    </w:p>
    <w:p w14:paraId="4F6ECF35" w14:textId="77777777" w:rsidR="001C46D7" w:rsidRDefault="001C46D7" w:rsidP="00875CC3">
      <w:pPr>
        <w:spacing w:line="276" w:lineRule="auto"/>
        <w:ind w:firstLine="720"/>
        <w:jc w:val="both"/>
      </w:pPr>
    </w:p>
    <w:p w14:paraId="691016D1" w14:textId="7EF37D34" w:rsidR="001C46D7" w:rsidRDefault="001C46D7" w:rsidP="00875CC3">
      <w:pPr>
        <w:spacing w:line="276" w:lineRule="auto"/>
        <w:ind w:firstLine="720"/>
        <w:jc w:val="both"/>
      </w:pPr>
      <w:r>
        <w:t>[3]</w:t>
      </w:r>
      <w:r w:rsidR="00802BF2">
        <w:t> </w:t>
      </w:r>
      <w:r>
        <w:t>Pieteicēja par Administratīvās apgabaltiesas spriedumu iesniedza kasācijas sūdzību. Tā pamatota ar turpmāk norādītajiem apsvērumiem.</w:t>
      </w:r>
    </w:p>
    <w:p w14:paraId="294845B7" w14:textId="70F11F32" w:rsidR="001C46D7" w:rsidRPr="0063500B" w:rsidRDefault="001C46D7" w:rsidP="00875CC3">
      <w:pPr>
        <w:spacing w:line="276" w:lineRule="auto"/>
        <w:ind w:firstLine="720"/>
        <w:jc w:val="both"/>
      </w:pPr>
      <w:r>
        <w:t>[3.1]</w:t>
      </w:r>
      <w:r w:rsidR="00802BF2">
        <w:t> </w:t>
      </w:r>
      <w:r>
        <w:t xml:space="preserve">Tiesa nav piemērojusi </w:t>
      </w:r>
      <w:r w:rsidRPr="002822AA">
        <w:t xml:space="preserve">Latvijas Republikas Satversmes </w:t>
      </w:r>
      <w:r w:rsidR="00BA4C53">
        <w:t xml:space="preserve">(turpmāk – Satversme) </w:t>
      </w:r>
      <w:r w:rsidRPr="002822AA">
        <w:t>92.pantu, Eiropas Cilvēk</w:t>
      </w:r>
      <w:r w:rsidR="00D17E67">
        <w:t xml:space="preserve">a </w:t>
      </w:r>
      <w:r w:rsidRPr="002822AA">
        <w:t xml:space="preserve">tiesību </w:t>
      </w:r>
      <w:r w:rsidR="00492B40">
        <w:t xml:space="preserve">un pamatbrīvību aizsardzības </w:t>
      </w:r>
      <w:r w:rsidRPr="002822AA">
        <w:t>konve</w:t>
      </w:r>
      <w:r>
        <w:t>n</w:t>
      </w:r>
      <w:r w:rsidRPr="002822AA">
        <w:t>cijas</w:t>
      </w:r>
      <w:r w:rsidR="00BA4C53">
        <w:t xml:space="preserve"> (turpmāk – </w:t>
      </w:r>
      <w:r w:rsidR="00D17E67">
        <w:t>K</w:t>
      </w:r>
      <w:r w:rsidR="00BA4C53">
        <w:t>onvencija)</w:t>
      </w:r>
      <w:r w:rsidRPr="002822AA">
        <w:t xml:space="preserve"> 6.pantu, Kriminālprocesa likuma 19.pantu</w:t>
      </w:r>
      <w:r>
        <w:t>,</w:t>
      </w:r>
      <w:r w:rsidRPr="002822AA">
        <w:t xml:space="preserve"> Eiropas Parlamenta un Padomes Direktīv</w:t>
      </w:r>
      <w:r>
        <w:t>u</w:t>
      </w:r>
      <w:r w:rsidRPr="002822AA">
        <w:t xml:space="preserve"> (ES) 2016/343, kas nostiprina konkrētus nevainīguma prezumpcijas aspektus</w:t>
      </w:r>
      <w:r>
        <w:t xml:space="preserve">, </w:t>
      </w:r>
      <w:r w:rsidR="00D17E67">
        <w:t xml:space="preserve">un </w:t>
      </w:r>
      <w:r>
        <w:t>līdz ar to nav ievērojusi nevainīguma prezumpciju.</w:t>
      </w:r>
      <w:r w:rsidRPr="002822AA">
        <w:t xml:space="preserve"> </w:t>
      </w:r>
      <w:r w:rsidR="00C01401">
        <w:t>J</w:t>
      </w:r>
      <w:r w:rsidRPr="0063500B">
        <w:t xml:space="preserve">a nav galīga notiesājoša sprieduma krimināllietā, </w:t>
      </w:r>
      <w:r>
        <w:t>bet</w:t>
      </w:r>
      <w:r w:rsidRPr="0063500B">
        <w:t xml:space="preserve"> citā tiesvedībā pieņemtā lēmumā ietverta deklarācija, </w:t>
      </w:r>
      <w:r>
        <w:t xml:space="preserve">ar </w:t>
      </w:r>
      <w:r w:rsidRPr="0063500B">
        <w:t>kur</w:t>
      </w:r>
      <w:r>
        <w:t>u</w:t>
      </w:r>
      <w:r w:rsidRPr="0063500B">
        <w:t xml:space="preserve"> </w:t>
      </w:r>
      <w:r>
        <w:t>personai</w:t>
      </w:r>
      <w:r w:rsidRPr="0063500B">
        <w:t xml:space="preserve"> tiek uzlikta kriminālatbildība, tas </w:t>
      </w:r>
      <w:r>
        <w:t>ir pretrunā</w:t>
      </w:r>
      <w:r w:rsidRPr="0063500B">
        <w:t xml:space="preserve"> </w:t>
      </w:r>
      <w:r w:rsidR="00D17E67">
        <w:t>K</w:t>
      </w:r>
      <w:r w:rsidRPr="002822AA">
        <w:t>onve</w:t>
      </w:r>
      <w:r>
        <w:t>n</w:t>
      </w:r>
      <w:r w:rsidRPr="002822AA">
        <w:t>cijas</w:t>
      </w:r>
      <w:r w:rsidRPr="0063500B">
        <w:t xml:space="preserve"> 6.panta 2.punkt</w:t>
      </w:r>
      <w:r>
        <w:t>am. Ir</w:t>
      </w:r>
      <w:r w:rsidRPr="0063500B">
        <w:t xml:space="preserve"> būtiska atšķirība starp vienkāršu apgalvojumu, ka </w:t>
      </w:r>
      <w:r>
        <w:t>persona</w:t>
      </w:r>
      <w:r w:rsidRPr="0063500B">
        <w:t xml:space="preserve"> tiek turēt</w:t>
      </w:r>
      <w:r>
        <w:t>a</w:t>
      </w:r>
      <w:r w:rsidRPr="0063500B">
        <w:t xml:space="preserve"> aizdomās par noziedzīga nodarījuma izdarīšanu, un nepārprotamu tiesas paziņojumu, ka, </w:t>
      </w:r>
      <w:r>
        <w:t>lai gan</w:t>
      </w:r>
      <w:r w:rsidRPr="0063500B">
        <w:t xml:space="preserve"> </w:t>
      </w:r>
      <w:r>
        <w:t>persona nav</w:t>
      </w:r>
      <w:r w:rsidRPr="0063500B">
        <w:t xml:space="preserve"> notiesā</w:t>
      </w:r>
      <w:r>
        <w:t>ta</w:t>
      </w:r>
      <w:r w:rsidRPr="0063500B">
        <w:t xml:space="preserve">, </w:t>
      </w:r>
      <w:r>
        <w:t>tā</w:t>
      </w:r>
      <w:r w:rsidRPr="0063500B">
        <w:t xml:space="preserve"> ir izdarījusi attiecīgo nodarījumu.</w:t>
      </w:r>
    </w:p>
    <w:p w14:paraId="54A745A3" w14:textId="47CF97CD" w:rsidR="001C46D7" w:rsidRDefault="001C46D7" w:rsidP="00875CC3">
      <w:pPr>
        <w:spacing w:line="276" w:lineRule="auto"/>
        <w:ind w:firstLine="720"/>
        <w:jc w:val="both"/>
      </w:pPr>
      <w:r w:rsidRPr="0063500B">
        <w:t>Administratīvās tiesas apgalvojum</w:t>
      </w:r>
      <w:r w:rsidR="00492B40">
        <w:t>s, ka pieteicēja ir vainojama ētikas pārkāpumā, ir aplams</w:t>
      </w:r>
      <w:r w:rsidR="00A777E1">
        <w:t>. Ē</w:t>
      </w:r>
      <w:r w:rsidR="00492B40">
        <w:t xml:space="preserve">tikas pārkāpums būtu noticis, ja būtu izdarīts noziedzīgs nodarījums, bet to var atzīt tikai tiesa ar spēkā esošu spriedumu. Ja pieteicēja nav izdarījusi noziedzīgu nodarījumu, tad nav noticis ētikas pārkāpums. Bez spēkā esoša tiesas sprieduma apgalvojot, ka ir izdarīta zādzība, apgabaltiesa pārkāpusi </w:t>
      </w:r>
      <w:r w:rsidR="00492B40" w:rsidRPr="004D19D2">
        <w:t>nevainīguma prezumpcij</w:t>
      </w:r>
      <w:r w:rsidR="00492B40">
        <w:t>u.</w:t>
      </w:r>
    </w:p>
    <w:p w14:paraId="279B1921" w14:textId="1B4B9D0A" w:rsidR="00492B40" w:rsidRPr="00D3061A" w:rsidRDefault="00492B40" w:rsidP="00875CC3">
      <w:pPr>
        <w:spacing w:line="276" w:lineRule="auto"/>
        <w:ind w:firstLine="720"/>
        <w:jc w:val="both"/>
      </w:pPr>
      <w:r>
        <w:t>[3.2]</w:t>
      </w:r>
      <w:r w:rsidR="00802BF2">
        <w:t> </w:t>
      </w:r>
      <w:r>
        <w:t xml:space="preserve">Saskaņā ar Administratīvā procesa likuma </w:t>
      </w:r>
      <w:r w:rsidRPr="00D3061A">
        <w:t>302.pant</w:t>
      </w:r>
      <w:r>
        <w:t>a pirmo daļu a</w:t>
      </w:r>
      <w:r w:rsidRPr="00D3061A">
        <w:t>pelācijas instances tiesa</w:t>
      </w:r>
      <w:r>
        <w:t>i</w:t>
      </w:r>
      <w:r w:rsidRPr="00D3061A">
        <w:t xml:space="preserve"> </w:t>
      </w:r>
      <w:r>
        <w:t>jā</w:t>
      </w:r>
      <w:r w:rsidRPr="00D3061A">
        <w:t>izskata liet</w:t>
      </w:r>
      <w:r>
        <w:t>a</w:t>
      </w:r>
      <w:r w:rsidRPr="00D3061A">
        <w:t xml:space="preserve"> pēc būtības sakarā ar apelācijas sūdzību tādā apjomā, kā</w:t>
      </w:r>
      <w:r w:rsidR="001701A4">
        <w:t>dā</w:t>
      </w:r>
      <w:r w:rsidRPr="00D3061A">
        <w:t xml:space="preserve"> lūgts šajā sūdzībā.</w:t>
      </w:r>
      <w:r>
        <w:t xml:space="preserve"> Tiesa ir būtiski pārkāpusi prasības robežas un tā vietā, lai vērtētu, vai, piemērojot disciplinārsodu, ir ievērots D</w:t>
      </w:r>
      <w:r w:rsidRPr="00D3061A">
        <w:t>ienesta gaitas likums</w:t>
      </w:r>
      <w:r>
        <w:t xml:space="preserve"> un </w:t>
      </w:r>
      <w:r w:rsidRPr="00593F16">
        <w:t>Ieslodzījuma vietu pārvaldes amatpersonu ar speciālajām dienesta pakāpēm disciplināratbildības likum</w:t>
      </w:r>
      <w:r>
        <w:t xml:space="preserve">s (turpmāk – Disciplināratbildības likums), visu spriedumu veltījusi pieteicējas sniegto paskaidrojumu interpretācijai un nosaukusi viņu par zagli bez spēkā esoša </w:t>
      </w:r>
      <w:r w:rsidR="001701A4">
        <w:t xml:space="preserve">tiesas </w:t>
      </w:r>
      <w:r>
        <w:t>sprieduma kriminālprocesā.</w:t>
      </w:r>
    </w:p>
    <w:p w14:paraId="0DDE5614" w14:textId="73851CA1" w:rsidR="001C46D7" w:rsidRDefault="00BA4C53" w:rsidP="00875CC3">
      <w:pPr>
        <w:spacing w:line="276" w:lineRule="auto"/>
        <w:ind w:firstLine="720"/>
        <w:jc w:val="both"/>
      </w:pPr>
      <w:r>
        <w:t>[3.</w:t>
      </w:r>
      <w:r w:rsidR="00492B40">
        <w:t>3</w:t>
      </w:r>
      <w:r>
        <w:t>]</w:t>
      </w:r>
      <w:r w:rsidR="00802BF2">
        <w:t> </w:t>
      </w:r>
      <w:r>
        <w:t xml:space="preserve">Tiesa </w:t>
      </w:r>
      <w:r w:rsidRPr="007E6B49">
        <w:t>nepareizi interpretējusi materiālo tiesību norm</w:t>
      </w:r>
      <w:r>
        <w:t>as. Dienesta gaitas likuma</w:t>
      </w:r>
      <w:r w:rsidRPr="004D19D2">
        <w:t xml:space="preserve"> 14.panta </w:t>
      </w:r>
      <w:r>
        <w:t xml:space="preserve">pirmajā </w:t>
      </w:r>
      <w:r w:rsidRPr="004D19D2">
        <w:t xml:space="preserve">daļā noteikts, ka </w:t>
      </w:r>
      <w:r>
        <w:t>a</w:t>
      </w:r>
      <w:r w:rsidRPr="004D19D2">
        <w:t>matpersonu, pret kuru ir uzsākta kriminālvajāšana, var atstādināt no amata pienākumu izpildes</w:t>
      </w:r>
      <w:r w:rsidR="00C01401">
        <w:t>. Šā panta</w:t>
      </w:r>
      <w:r>
        <w:t xml:space="preserve"> otrajā </w:t>
      </w:r>
      <w:r w:rsidRPr="004D19D2">
        <w:t xml:space="preserve">daļā noteikts, ka </w:t>
      </w:r>
      <w:r>
        <w:t>a</w:t>
      </w:r>
      <w:r w:rsidRPr="004D19D2">
        <w:t xml:space="preserve">matpersonu, kurai kā drošības līdzeklis piemērots noteiktas nodarbošanās aizliegums ar ierobežojumu uz laiku pildīt konkrēta amata pienākumus vai mājas arests, atstādina no amata pienākumu izpildes. </w:t>
      </w:r>
      <w:r>
        <w:t xml:space="preserve">Savukārt </w:t>
      </w:r>
      <w:r w:rsidR="00C01401">
        <w:t xml:space="preserve">atbilstoši </w:t>
      </w:r>
      <w:r>
        <w:t>Dienesta gaitas likuma</w:t>
      </w:r>
      <w:r w:rsidRPr="004D19D2">
        <w:t xml:space="preserve"> 14.panta </w:t>
      </w:r>
      <w:r>
        <w:t>ceturtaj</w:t>
      </w:r>
      <w:r w:rsidR="00C01401">
        <w:t>ai</w:t>
      </w:r>
      <w:r>
        <w:t xml:space="preserve"> </w:t>
      </w:r>
      <w:r w:rsidRPr="004D19D2">
        <w:t>daļ</w:t>
      </w:r>
      <w:r w:rsidR="00C01401">
        <w:t>ai</w:t>
      </w:r>
      <w:r>
        <w:t>, ja</w:t>
      </w:r>
      <w:r w:rsidRPr="004D19D2">
        <w:t xml:space="preserve"> </w:t>
      </w:r>
      <w:r w:rsidRPr="00BA4C53">
        <w:t xml:space="preserve">atstādināto amatpersonu tiesa attaisno vai kriminālprocess pret to tiek izbeigts uz reabilitējoša pamata, </w:t>
      </w:r>
      <w:r>
        <w:t>š</w:t>
      </w:r>
      <w:r w:rsidRPr="00BA4C53">
        <w:t>ai amatpersonai izmaksā darba samaksu par atstādināšanas laiku.</w:t>
      </w:r>
      <w:r>
        <w:t xml:space="preserve"> No tā secināms, ka iestādei un tiesai </w:t>
      </w:r>
      <w:r w:rsidR="00A777E1">
        <w:t xml:space="preserve">pirms lēmuma pieņemšanas par disciplinārsodu </w:t>
      </w:r>
      <w:r>
        <w:t>bija jāsagaida tiesas nolēmums kriminālprocesā. Konkrētajā gadījumā tiesai saskaņā ar Administratīvā procesa likuma 273.panta trešo daļu bija</w:t>
      </w:r>
      <w:r w:rsidRPr="009B0678">
        <w:t xml:space="preserve"> </w:t>
      </w:r>
      <w:r>
        <w:t>jā</w:t>
      </w:r>
      <w:r w:rsidRPr="009B0678">
        <w:t>aptur tiesvedīb</w:t>
      </w:r>
      <w:r>
        <w:t>a</w:t>
      </w:r>
      <w:r w:rsidRPr="009B0678">
        <w:t>, j</w:t>
      </w:r>
      <w:r>
        <w:t xml:space="preserve">o </w:t>
      </w:r>
      <w:r w:rsidRPr="009B0678">
        <w:t>lietas izskatīšana n</w:t>
      </w:r>
      <w:r>
        <w:t>ebija</w:t>
      </w:r>
      <w:r w:rsidRPr="009B0678">
        <w:t xml:space="preserve"> iespējama, iekams nav izlemta </w:t>
      </w:r>
      <w:r>
        <w:t>krimināllieta.</w:t>
      </w:r>
    </w:p>
    <w:p w14:paraId="2598EAAD" w14:textId="4B1C6B6F" w:rsidR="001C46D7" w:rsidRDefault="001C46D7" w:rsidP="00875CC3">
      <w:pPr>
        <w:spacing w:line="276" w:lineRule="auto"/>
        <w:ind w:firstLine="720"/>
        <w:jc w:val="both"/>
      </w:pPr>
      <w:r>
        <w:t>[3.</w:t>
      </w:r>
      <w:r w:rsidR="00492B40">
        <w:t>4</w:t>
      </w:r>
      <w:r>
        <w:t>]</w:t>
      </w:r>
      <w:r w:rsidR="00802BF2">
        <w:t> </w:t>
      </w:r>
      <w:r>
        <w:t>Tiesa pavirši vērtējusi pieteicējas norādi, ka noticis diskriminācijas aizlieguma pārkāpums. Pieteicēja norāda uz gadījumiem, kad citi policijas darbinieki, kuri, iespējams, veikuši pārkāpumus dienestā un ārpus dienesta, nav atvaļināti no dienesta.</w:t>
      </w:r>
      <w:r w:rsidR="00202C28">
        <w:t xml:space="preserve"> </w:t>
      </w:r>
      <w:r>
        <w:t>Tiesa nav piemērojusi</w:t>
      </w:r>
      <w:r>
        <w:rPr>
          <w:i/>
          <w:iCs/>
        </w:rPr>
        <w:t xml:space="preserve"> </w:t>
      </w:r>
      <w:r w:rsidRPr="0054660E">
        <w:t>Darba likuma 7.pant</w:t>
      </w:r>
      <w:r>
        <w:t xml:space="preserve">u, </w:t>
      </w:r>
      <w:r w:rsidRPr="0054660E">
        <w:t>ANO Vispārējās cilvēktiesību deklarācijas 7.pant</w:t>
      </w:r>
      <w:r>
        <w:t>u.</w:t>
      </w:r>
      <w:r w:rsidRPr="00350076">
        <w:t xml:space="preserve"> </w:t>
      </w:r>
      <w:r>
        <w:t xml:space="preserve">Satversmes 91.pantu, kurā ietverts </w:t>
      </w:r>
      <w:r w:rsidRPr="0054660E">
        <w:t>vienlīdzības princips un diskriminācijas aizlieguma princips</w:t>
      </w:r>
      <w:r>
        <w:t>.</w:t>
      </w:r>
    </w:p>
    <w:p w14:paraId="766FA52B" w14:textId="77777777" w:rsidR="001C46D7" w:rsidRDefault="001C46D7" w:rsidP="00875CC3">
      <w:pPr>
        <w:spacing w:line="276" w:lineRule="auto"/>
        <w:ind w:firstLine="720"/>
        <w:jc w:val="both"/>
      </w:pPr>
    </w:p>
    <w:p w14:paraId="342056E9" w14:textId="2E46CB50" w:rsidR="001C46D7" w:rsidRDefault="001C46D7" w:rsidP="00875CC3">
      <w:pPr>
        <w:suppressAutoHyphens/>
        <w:autoSpaceDE w:val="0"/>
        <w:autoSpaceDN w:val="0"/>
        <w:adjustRightInd w:val="0"/>
        <w:spacing w:line="276" w:lineRule="auto"/>
        <w:ind w:firstLine="709"/>
        <w:jc w:val="both"/>
        <w:rPr>
          <w:lang w:eastAsia="ar-SA"/>
        </w:rPr>
      </w:pPr>
      <w:r>
        <w:t>[4] </w:t>
      </w:r>
      <w:r w:rsidRPr="006B1680">
        <w:rPr>
          <w:lang w:eastAsia="ar-SA"/>
        </w:rPr>
        <w:t xml:space="preserve">Valsts policija </w:t>
      </w:r>
      <w:r>
        <w:rPr>
          <w:lang w:eastAsia="ar-SA"/>
        </w:rPr>
        <w:t>iesniegusi paskaidrojumu, kurā lūdz Senātu</w:t>
      </w:r>
      <w:r w:rsidRPr="006B1680">
        <w:rPr>
          <w:lang w:eastAsia="ar-SA"/>
        </w:rPr>
        <w:t xml:space="preserve"> atzīt </w:t>
      </w:r>
      <w:r w:rsidR="00202C28">
        <w:rPr>
          <w:lang w:eastAsia="ar-SA"/>
        </w:rPr>
        <w:t>kasācijas sūdzību</w:t>
      </w:r>
      <w:r w:rsidR="00202C28" w:rsidRPr="006B1680">
        <w:rPr>
          <w:lang w:eastAsia="ar-SA"/>
        </w:rPr>
        <w:t xml:space="preserve"> </w:t>
      </w:r>
      <w:r w:rsidRPr="006B1680">
        <w:rPr>
          <w:lang w:eastAsia="ar-SA"/>
        </w:rPr>
        <w:t>par nepamatotu un pilnībā noraidīt.</w:t>
      </w:r>
    </w:p>
    <w:p w14:paraId="35713D57" w14:textId="77777777" w:rsidR="00A97AEA" w:rsidRDefault="00A97AEA" w:rsidP="00875CC3">
      <w:pPr>
        <w:suppressAutoHyphens/>
        <w:autoSpaceDE w:val="0"/>
        <w:autoSpaceDN w:val="0"/>
        <w:adjustRightInd w:val="0"/>
        <w:spacing w:line="276" w:lineRule="auto"/>
        <w:ind w:firstLine="709"/>
        <w:jc w:val="both"/>
        <w:rPr>
          <w:lang w:eastAsia="ar-SA"/>
        </w:rPr>
      </w:pPr>
    </w:p>
    <w:p w14:paraId="08E926EE" w14:textId="77777777" w:rsidR="001C46D7" w:rsidRPr="00005F06" w:rsidRDefault="001C46D7" w:rsidP="00875CC3">
      <w:pPr>
        <w:spacing w:line="276" w:lineRule="auto"/>
        <w:mirrorIndents/>
        <w:jc w:val="center"/>
        <w:rPr>
          <w:rFonts w:asciiTheme="majorBidi" w:hAnsiTheme="majorBidi" w:cstheme="majorBidi"/>
          <w:b/>
        </w:rPr>
      </w:pPr>
      <w:r w:rsidRPr="00005F06">
        <w:rPr>
          <w:rFonts w:asciiTheme="majorBidi" w:hAnsiTheme="majorBidi" w:cstheme="majorBidi"/>
          <w:b/>
        </w:rPr>
        <w:t>Motīvu daļa</w:t>
      </w:r>
    </w:p>
    <w:p w14:paraId="763BC128" w14:textId="77777777" w:rsidR="00A7742F" w:rsidRDefault="00A7742F" w:rsidP="00875CC3">
      <w:pPr>
        <w:spacing w:line="276" w:lineRule="auto"/>
        <w:mirrorIndents/>
        <w:jc w:val="both"/>
        <w:rPr>
          <w:rFonts w:asciiTheme="majorBidi" w:hAnsiTheme="majorBidi" w:cstheme="majorBidi"/>
          <w:b/>
        </w:rPr>
      </w:pPr>
    </w:p>
    <w:p w14:paraId="33881AAB" w14:textId="18C2B303" w:rsidR="00802BF2" w:rsidRDefault="00A7742F" w:rsidP="00875CC3">
      <w:pPr>
        <w:spacing w:line="276" w:lineRule="auto"/>
        <w:ind w:firstLine="720"/>
        <w:mirrorIndents/>
        <w:jc w:val="both"/>
      </w:pPr>
      <w:r>
        <w:t>[5] </w:t>
      </w:r>
      <w:r w:rsidR="00802BF2">
        <w:t>Kasācijas kārtībā pirmām kārtām izšķirams jautājums, vai tiesa, izskatot lietu par disciplinārsoda piemērošanu, ir pārkāpusi nevainīguma prezumpcij</w:t>
      </w:r>
      <w:r w:rsidR="00D17E67">
        <w:t>u</w:t>
      </w:r>
      <w:r w:rsidR="00802BF2">
        <w:t>.</w:t>
      </w:r>
    </w:p>
    <w:p w14:paraId="29830020" w14:textId="77777777" w:rsidR="00802BF2" w:rsidRDefault="00802BF2" w:rsidP="00875CC3">
      <w:pPr>
        <w:spacing w:line="276" w:lineRule="auto"/>
        <w:ind w:firstLine="720"/>
        <w:mirrorIndents/>
        <w:jc w:val="both"/>
      </w:pPr>
    </w:p>
    <w:p w14:paraId="1E7E6D29" w14:textId="193DFC71" w:rsidR="00F42F65" w:rsidRDefault="00802BF2" w:rsidP="00875CC3">
      <w:pPr>
        <w:spacing w:line="276" w:lineRule="auto"/>
        <w:ind w:firstLine="720"/>
        <w:jc w:val="both"/>
      </w:pPr>
      <w:r>
        <w:t>[6] </w:t>
      </w:r>
      <w:r w:rsidR="00D938B8">
        <w:t xml:space="preserve">Senāts vispārīgi piekrīt, ka par valsts dienestā nodarbinātas personas darbību </w:t>
      </w:r>
      <w:r w:rsidR="00EA4C57">
        <w:t>uzsākts kriminālprocess</w:t>
      </w:r>
      <w:r w:rsidR="00D938B8">
        <w:t xml:space="preserve"> nav šķērslis, lai neatkarīgi no iespējamā </w:t>
      </w:r>
      <w:r w:rsidR="00EA4C57">
        <w:t xml:space="preserve">kriminālprocesa </w:t>
      </w:r>
      <w:r w:rsidR="00D938B8">
        <w:t xml:space="preserve">iznākuma </w:t>
      </w:r>
      <w:r w:rsidR="00EA4C57">
        <w:t>p</w:t>
      </w:r>
      <w:r w:rsidR="00D938B8">
        <w:t>ersonai piemērotu disciplinārsodu.</w:t>
      </w:r>
    </w:p>
    <w:p w14:paraId="7FEE759A" w14:textId="7C1A8030" w:rsidR="00F42F65" w:rsidRDefault="00F42F65" w:rsidP="00875CC3">
      <w:pPr>
        <w:spacing w:line="276" w:lineRule="auto"/>
        <w:ind w:firstLine="720"/>
        <w:jc w:val="both"/>
      </w:pPr>
      <w:r>
        <w:t xml:space="preserve">Kā </w:t>
      </w:r>
      <w:r w:rsidR="00D938B8">
        <w:t>atzinusi Eiropas Cilvēktiesību tiesa</w:t>
      </w:r>
      <w:r>
        <w:t xml:space="preserve">, tad nevainīguma prezumpcijas mērķis nav liegt </w:t>
      </w:r>
      <w:r w:rsidRPr="00F42F65">
        <w:t xml:space="preserve">iestādēm, kurām ir piešķirtas disciplinārās pilnvaras, piemērot </w:t>
      </w:r>
      <w:r>
        <w:t>disciplinārsodu</w:t>
      </w:r>
      <w:r w:rsidRPr="00F42F65">
        <w:t xml:space="preserve"> ierēdnim par darbībām, par kurām viņš ir apsūdzēts kriminālprocesā, ja šāds pārkāpums ir pienācīgi pierādīts</w:t>
      </w:r>
      <w:r>
        <w:t xml:space="preserve">. </w:t>
      </w:r>
      <w:r w:rsidRPr="00F42F65">
        <w:t xml:space="preserve">Konvencija neaizliedz to, ka </w:t>
      </w:r>
      <w:r>
        <w:t>viena un tā pati rīcība</w:t>
      </w:r>
      <w:r w:rsidRPr="00F42F65">
        <w:t xml:space="preserve"> var būt gan krimināllietas, gan disciplinārlietas pamatā vai ka paralēli var </w:t>
      </w:r>
      <w:r>
        <w:t>no</w:t>
      </w:r>
      <w:r w:rsidRPr="00F42F65">
        <w:t xml:space="preserve">tikt </w:t>
      </w:r>
      <w:r>
        <w:t>divi procesi</w:t>
      </w:r>
      <w:r w:rsidRPr="00F42F65">
        <w:t xml:space="preserve">. Eiropas Cilvēktiesību tiesa </w:t>
      </w:r>
      <w:r>
        <w:t xml:space="preserve">ir norādījusi, ka civiltiesiskās </w:t>
      </w:r>
      <w:r w:rsidRPr="00F42F65">
        <w:t xml:space="preserve">vai cita veida atbildības noteikšana, pamatojoties uz mazāk stingru pierādīšanas pienākumu </w:t>
      </w:r>
      <w:r>
        <w:t xml:space="preserve">krimināllietai </w:t>
      </w:r>
      <w:r w:rsidRPr="00F42F65">
        <w:t>paralēl</w:t>
      </w:r>
      <w:r>
        <w:t>ā</w:t>
      </w:r>
      <w:r w:rsidRPr="00F42F65">
        <w:t xml:space="preserve"> </w:t>
      </w:r>
      <w:r>
        <w:t>procesā, pati par sevi</w:t>
      </w:r>
      <w:r w:rsidRPr="00F42F65">
        <w:t xml:space="preserve"> nav nesavienojama ar nevainīguma prezumpciju</w:t>
      </w:r>
      <w:r>
        <w:t>. Turklāt nevainīguma prezumpcija arī nenosaka valsts pienākumu apturēt disciplinārlietas izskatīšanu, lai sagaidītu iznākumu krimināllietā (</w:t>
      </w:r>
      <w:r w:rsidRPr="00C0122A">
        <w:rPr>
          <w:i/>
          <w:iCs/>
        </w:rPr>
        <w:t>Eiropas Cilvēktiesību tiesas 201</w:t>
      </w:r>
      <w:r>
        <w:rPr>
          <w:i/>
          <w:iCs/>
        </w:rPr>
        <w:t>7</w:t>
      </w:r>
      <w:r w:rsidRPr="00C0122A">
        <w:rPr>
          <w:i/>
          <w:iCs/>
        </w:rPr>
        <w:t xml:space="preserve">.gada </w:t>
      </w:r>
      <w:r>
        <w:rPr>
          <w:i/>
          <w:iCs/>
        </w:rPr>
        <w:t>28.marta</w:t>
      </w:r>
      <w:r w:rsidRPr="00C0122A">
        <w:rPr>
          <w:i/>
          <w:iCs/>
        </w:rPr>
        <w:t xml:space="preserve"> spriedums lietā „</w:t>
      </w:r>
      <w:r w:rsidRPr="00F42F65">
        <w:rPr>
          <w:i/>
          <w:iCs/>
        </w:rPr>
        <w:t>Kemal Coşkun v. T</w:t>
      </w:r>
      <w:r>
        <w:rPr>
          <w:i/>
          <w:iCs/>
        </w:rPr>
        <w:t>urkey</w:t>
      </w:r>
      <w:r w:rsidRPr="00C0122A">
        <w:rPr>
          <w:i/>
          <w:iCs/>
        </w:rPr>
        <w:t>”, iesnieguma Nr.</w:t>
      </w:r>
      <w:r>
        <w:rPr>
          <w:i/>
          <w:iCs/>
        </w:rPr>
        <w:t> </w:t>
      </w:r>
      <w:r w:rsidRPr="00F42F65">
        <w:rPr>
          <w:i/>
          <w:iCs/>
        </w:rPr>
        <w:t>45028/07</w:t>
      </w:r>
      <w:r w:rsidRPr="00C0122A">
        <w:rPr>
          <w:i/>
          <w:iCs/>
        </w:rPr>
        <w:t>, 5</w:t>
      </w:r>
      <w:r>
        <w:rPr>
          <w:i/>
          <w:iCs/>
        </w:rPr>
        <w:t>2</w:t>
      </w:r>
      <w:r w:rsidRPr="00C0122A">
        <w:rPr>
          <w:i/>
          <w:iCs/>
        </w:rPr>
        <w:t>.punkts</w:t>
      </w:r>
      <w:r>
        <w:t>).</w:t>
      </w:r>
    </w:p>
    <w:p w14:paraId="178570AE" w14:textId="4D68F099" w:rsidR="00336ED3" w:rsidRDefault="00BC4ABF" w:rsidP="00875CC3">
      <w:pPr>
        <w:spacing w:line="276" w:lineRule="auto"/>
        <w:ind w:firstLine="720"/>
        <w:jc w:val="both"/>
      </w:pPr>
      <w:r>
        <w:t>Nevainīguma prezumpcija uzliek pienākumu tiesai un iestādei</w:t>
      </w:r>
      <w:r w:rsidR="00F42F65" w:rsidRPr="00F42F65">
        <w:t xml:space="preserve"> paralēl</w:t>
      </w:r>
      <w:r>
        <w:t>os</w:t>
      </w:r>
      <w:r w:rsidR="00F42F65" w:rsidRPr="00F42F65">
        <w:t xml:space="preserve"> vai turpmāk</w:t>
      </w:r>
      <w:r>
        <w:t xml:space="preserve">os procesos, piemēram, disciplinārlietās palikt savas kompetences robežās </w:t>
      </w:r>
      <w:r w:rsidR="00F42F65" w:rsidRPr="00F42F65">
        <w:t>un atturēties no komentāriem par personas vainu</w:t>
      </w:r>
      <w:r>
        <w:t xml:space="preserve"> noziedzīgā nodarījumā</w:t>
      </w:r>
      <w:r w:rsidR="00F42F65" w:rsidRPr="00F42F65">
        <w:t xml:space="preserve">, ja </w:t>
      </w:r>
      <w:r>
        <w:t>krimināllietā</w:t>
      </w:r>
      <w:r w:rsidR="00F42F65" w:rsidRPr="00F42F65">
        <w:t xml:space="preserve"> šād</w:t>
      </w:r>
      <w:r>
        <w:t>a</w:t>
      </w:r>
      <w:r w:rsidR="00F42F65" w:rsidRPr="00F42F65">
        <w:t xml:space="preserve"> vain</w:t>
      </w:r>
      <w:r>
        <w:t>a</w:t>
      </w:r>
      <w:r w:rsidR="00F42F65" w:rsidRPr="00F42F65">
        <w:t xml:space="preserve"> nav konstatē</w:t>
      </w:r>
      <w:r>
        <w:t>ta. Līdz ar to nav pieļaujams lēmumā disciplinārlietā ietvert apgalvojumu par personas vainu noziedzīga nodarījuma izdarīšanā, ja vēl nav stājies spēkā galīgais nolēmums krimināllietā, ar kuru ir konstatēta personas vaina (</w:t>
      </w:r>
      <w:r w:rsidRPr="00BC4ABF">
        <w:rPr>
          <w:i/>
          <w:iCs/>
        </w:rPr>
        <w:t>turpat</w:t>
      </w:r>
      <w:r>
        <w:t>).</w:t>
      </w:r>
      <w:r w:rsidR="00336ED3" w:rsidRPr="00336ED3">
        <w:t xml:space="preserve"> </w:t>
      </w:r>
      <w:r w:rsidR="00336ED3">
        <w:t xml:space="preserve">Turklāt pat tad, ja tiesas nolēmumā vai amatpersonas paziņojumā nav formāli konstatēta personas vaina noziedzīgā nodarījumā, </w:t>
      </w:r>
      <w:r w:rsidR="00336ED3" w:rsidRPr="00336ED3">
        <w:t xml:space="preserve">pietiek ar to, ka </w:t>
      </w:r>
      <w:r w:rsidR="00336ED3">
        <w:t>kaut kas nolēmuma pamatojumā vai amatpersonas paziņojumā</w:t>
      </w:r>
      <w:r w:rsidR="00336ED3" w:rsidRPr="00336ED3">
        <w:t xml:space="preserve"> liek domāt, ka tiesa vai amatpersona uzskata </w:t>
      </w:r>
      <w:r w:rsidR="00336ED3">
        <w:t>personu</w:t>
      </w:r>
      <w:r w:rsidR="00336ED3" w:rsidRPr="00336ED3">
        <w:t xml:space="preserve"> par vainīgu</w:t>
      </w:r>
      <w:r w:rsidR="00336ED3">
        <w:t xml:space="preserve"> noziedzīgā nodarījumā (</w:t>
      </w:r>
      <w:r w:rsidR="00336ED3" w:rsidRPr="00C0122A">
        <w:rPr>
          <w:i/>
          <w:iCs/>
        </w:rPr>
        <w:t>Eiropas Cilvēktiesību tiesas 201</w:t>
      </w:r>
      <w:r w:rsidR="00336ED3">
        <w:rPr>
          <w:i/>
          <w:iCs/>
        </w:rPr>
        <w:t>1</w:t>
      </w:r>
      <w:r w:rsidR="00336ED3" w:rsidRPr="00C0122A">
        <w:rPr>
          <w:i/>
          <w:iCs/>
        </w:rPr>
        <w:t xml:space="preserve">.gada </w:t>
      </w:r>
      <w:r w:rsidR="00336ED3">
        <w:rPr>
          <w:i/>
          <w:iCs/>
        </w:rPr>
        <w:t>27.septembra</w:t>
      </w:r>
      <w:r w:rsidR="00336ED3" w:rsidRPr="00C0122A">
        <w:rPr>
          <w:i/>
          <w:iCs/>
        </w:rPr>
        <w:t xml:space="preserve"> spriedums lietā „</w:t>
      </w:r>
      <w:r w:rsidR="00F9438E" w:rsidRPr="00F9438E">
        <w:rPr>
          <w:i/>
          <w:iCs/>
        </w:rPr>
        <w:t>H</w:t>
      </w:r>
      <w:r w:rsidR="00F9438E">
        <w:rPr>
          <w:i/>
          <w:iCs/>
        </w:rPr>
        <w:t>rdalo</w:t>
      </w:r>
      <w:r w:rsidR="00F9438E" w:rsidRPr="00F9438E">
        <w:rPr>
          <w:i/>
          <w:iCs/>
        </w:rPr>
        <w:t xml:space="preserve"> v. C</w:t>
      </w:r>
      <w:r w:rsidR="00F9438E">
        <w:rPr>
          <w:i/>
          <w:iCs/>
        </w:rPr>
        <w:t>roatia</w:t>
      </w:r>
      <w:r w:rsidR="00336ED3" w:rsidRPr="00C0122A">
        <w:rPr>
          <w:i/>
          <w:iCs/>
        </w:rPr>
        <w:t>”, iesnieguma Nr.</w:t>
      </w:r>
      <w:r w:rsidR="00336ED3">
        <w:rPr>
          <w:i/>
          <w:iCs/>
        </w:rPr>
        <w:t> </w:t>
      </w:r>
      <w:r w:rsidR="00F9438E" w:rsidRPr="00F9438E">
        <w:rPr>
          <w:i/>
          <w:iCs/>
        </w:rPr>
        <w:t>23272/07</w:t>
      </w:r>
      <w:r w:rsidR="00336ED3" w:rsidRPr="00C0122A">
        <w:rPr>
          <w:i/>
          <w:iCs/>
        </w:rPr>
        <w:t>, 5</w:t>
      </w:r>
      <w:r w:rsidR="00F9438E">
        <w:rPr>
          <w:i/>
          <w:iCs/>
        </w:rPr>
        <w:t>0</w:t>
      </w:r>
      <w:r w:rsidR="00336ED3" w:rsidRPr="00C0122A">
        <w:rPr>
          <w:i/>
          <w:iCs/>
        </w:rPr>
        <w:t>.punkts</w:t>
      </w:r>
      <w:r w:rsidR="00336ED3">
        <w:t>)</w:t>
      </w:r>
      <w:r w:rsidR="00F9438E">
        <w:t>.</w:t>
      </w:r>
    </w:p>
    <w:p w14:paraId="2D060623" w14:textId="41D4062E" w:rsidR="00BC4ABF" w:rsidRDefault="00F9438E" w:rsidP="00875CC3">
      <w:pPr>
        <w:spacing w:line="276" w:lineRule="auto"/>
        <w:ind w:firstLine="720"/>
        <w:jc w:val="both"/>
      </w:pPr>
      <w:r>
        <w:t>A</w:t>
      </w:r>
      <w:r w:rsidR="00BC4ABF">
        <w:t>rī tad, ja personas vaina noziedzīgā nodarījumā vēlāk tiek konstatēta kriminālprocesuālā kārtībā, tas nemain</w:t>
      </w:r>
      <w:r>
        <w:t>a</w:t>
      </w:r>
      <w:r w:rsidR="00BC4ABF">
        <w:t xml:space="preserve"> to, ka sākotnēji tika pārkāptas viņas tiesības tikt uzskatīta</w:t>
      </w:r>
      <w:r>
        <w:t>i</w:t>
      </w:r>
      <w:r w:rsidR="00BC4ABF">
        <w:t xml:space="preserve"> par nevainīgu, kamēr viņas vaina nebija pierādīta likumā noteiktajā kārtībā (sk., piemēram, </w:t>
      </w:r>
      <w:r w:rsidR="00BC4ABF">
        <w:rPr>
          <w:i/>
          <w:iCs/>
        </w:rPr>
        <w:t>Eiropas Cilvēktiesību tiesas 2006.gada 19.septembra sprieduma lietā „</w:t>
      </w:r>
      <w:r w:rsidR="00BC4ABF" w:rsidRPr="00DB5641">
        <w:rPr>
          <w:rFonts w:eastAsiaTheme="majorEastAsia"/>
          <w:i/>
          <w:iCs/>
        </w:rPr>
        <w:t>Matijašević v. Serbia</w:t>
      </w:r>
      <w:r w:rsidR="00BC4ABF">
        <w:rPr>
          <w:i/>
          <w:iCs/>
        </w:rPr>
        <w:t>”, iesnieguma Nr. </w:t>
      </w:r>
      <w:hyperlink r:id="rId8" w:anchor="{%22itemid%22:[%22001-76896%22]}" w:history="1">
        <w:r w:rsidR="00BC4ABF" w:rsidRPr="00DB5641">
          <w:rPr>
            <w:rStyle w:val="Hyperlink"/>
            <w:rFonts w:eastAsiaTheme="majorEastAsia"/>
            <w:i/>
            <w:iCs/>
          </w:rPr>
          <w:t>23037/04</w:t>
        </w:r>
      </w:hyperlink>
      <w:r w:rsidR="00BC4ABF">
        <w:rPr>
          <w:i/>
          <w:iCs/>
        </w:rPr>
        <w:t>, 49.punktu; Eiropas Cilvēktiesību tiesas 2007.gada 27.februāra sprieduma lietā „</w:t>
      </w:r>
      <w:r w:rsidR="00BC4ABF" w:rsidRPr="00E773A4">
        <w:rPr>
          <w:rFonts w:eastAsiaTheme="majorEastAsia"/>
          <w:i/>
          <w:iCs/>
        </w:rPr>
        <w:t>Nešták v. Slovakia</w:t>
      </w:r>
      <w:r w:rsidR="00BC4ABF">
        <w:rPr>
          <w:i/>
          <w:iCs/>
        </w:rPr>
        <w:t>”, iesnieguma Nr. </w:t>
      </w:r>
      <w:hyperlink r:id="rId9" w:anchor="{%22itemid%22:[%22001-79608%22]}" w:history="1">
        <w:r w:rsidR="00BC4ABF" w:rsidRPr="00E773A4">
          <w:rPr>
            <w:rStyle w:val="Hyperlink"/>
            <w:i/>
            <w:iCs/>
          </w:rPr>
          <w:t>65559/01</w:t>
        </w:r>
      </w:hyperlink>
      <w:r w:rsidR="00BC4ABF">
        <w:rPr>
          <w:i/>
          <w:iCs/>
        </w:rPr>
        <w:t>, 90.punktu</w:t>
      </w:r>
      <w:r w:rsidR="00BC4ABF">
        <w:t>).</w:t>
      </w:r>
    </w:p>
    <w:p w14:paraId="7A796DAE" w14:textId="77777777" w:rsidR="00BC4ABF" w:rsidRDefault="00BC4ABF" w:rsidP="00875CC3">
      <w:pPr>
        <w:spacing w:line="276" w:lineRule="auto"/>
        <w:ind w:firstLine="720"/>
        <w:jc w:val="both"/>
      </w:pPr>
    </w:p>
    <w:p w14:paraId="0F3A123F" w14:textId="01E2B53C" w:rsidR="00BC4ABF" w:rsidRDefault="00BC4ABF" w:rsidP="00875CC3">
      <w:pPr>
        <w:spacing w:line="276" w:lineRule="auto"/>
        <w:ind w:firstLine="720"/>
        <w:jc w:val="both"/>
      </w:pPr>
      <w:r>
        <w:t>[7] Lai konstatētu, vai konkrētā gadījumā ir pārkāpt</w:t>
      </w:r>
      <w:r w:rsidR="00F15A33">
        <w:t>a</w:t>
      </w:r>
      <w:r>
        <w:t xml:space="preserve"> nevainīguma prezumpcija</w:t>
      </w:r>
      <w:r w:rsidR="00EA4C57">
        <w:t>,</w:t>
      </w:r>
      <w:r>
        <w:t xml:space="preserve"> liela nozīme ir institūciju lietotajiem vārdiem un formulējumiem. Eiropas Cilvēktiesību tiesa uzsvērusi, ka būtiski ir nošķirt apgalvojumu, ka personu tikai tur aizdomās par noziedzīgu nodarījumu, no apgalvojuma, ka persona ir izdarījusi attiecīgo noziedzīgo nodarījumu, ja nav pasludināts galīgs notiesājošs spriedums. Pirmais apgalvojums parasti tiek uzskatīts par atbilstošu Konvencijai, kamēr otrais apgalvojums pārkāpj nevainīguma prezumpciju (sk., piemēram,</w:t>
      </w:r>
      <w:r>
        <w:rPr>
          <w:i/>
          <w:iCs/>
        </w:rPr>
        <w:t xml:space="preserve"> Eiropas Cilvēktiesību tiesas 2014.gada 28.oktobra spriedumu lietā „</w:t>
      </w:r>
      <w:r w:rsidRPr="00DB5641">
        <w:rPr>
          <w:rFonts w:eastAsiaTheme="majorEastAsia"/>
          <w:i/>
          <w:iCs/>
        </w:rPr>
        <w:t>Peltereau-Villeneuve c. Suisse</w:t>
      </w:r>
      <w:r>
        <w:rPr>
          <w:i/>
          <w:iCs/>
        </w:rPr>
        <w:t>”, iesnieguma Nr. </w:t>
      </w:r>
      <w:hyperlink r:id="rId10" w:anchor="{%22itemid%22:[%22001-147605%22]}" w:history="1">
        <w:r w:rsidRPr="00DB5641">
          <w:rPr>
            <w:rStyle w:val="Hyperlink"/>
            <w:i/>
            <w:iCs/>
          </w:rPr>
          <w:t>60101/09</w:t>
        </w:r>
      </w:hyperlink>
      <w:r>
        <w:rPr>
          <w:i/>
          <w:iCs/>
        </w:rPr>
        <w:t>, 32.punktu</w:t>
      </w:r>
      <w:r>
        <w:t>).</w:t>
      </w:r>
    </w:p>
    <w:p w14:paraId="60F1E681" w14:textId="5DBE03AF" w:rsidR="00030A59" w:rsidRDefault="00F9438E" w:rsidP="00875CC3">
      <w:pPr>
        <w:spacing w:line="276" w:lineRule="auto"/>
        <w:ind w:firstLine="720"/>
        <w:jc w:val="both"/>
      </w:pPr>
      <w:r>
        <w:t xml:space="preserve">Piemēram, </w:t>
      </w:r>
      <w:r w:rsidRPr="00F9438E">
        <w:t>lietā „Hrdalo v. Croatia”</w:t>
      </w:r>
      <w:r>
        <w:t xml:space="preserve"> Eiropas Cilvēktiesību tiesa atzina, ka nav pārkāpta nevainīguma prezumpcija situācijā, kad persona tika atbrīvota no amata, jo pret viņu bija uzsākts kriminālprocess. </w:t>
      </w:r>
      <w:r w:rsidR="006B03C3">
        <w:t>Šajā gadījumā atbrīvošana no amata tika pamatota ar apsvērumu, ka sabiedrība var uztvert negatīvi un uzticēšanos civildienestam var graut jau kriminālprocesa uzsākšana. Līdz ar to Eiropas Cilvēktiesību tiesa atzina, ka ne iestādes lēmumā, ne tiesas nolēmumā disciplinārlietā nebija nekādas norādes, ka persona tiktu uzskatīta par vainīgu noziedzīgā nodarījumā (</w:t>
      </w:r>
      <w:r w:rsidR="006B03C3" w:rsidRPr="00C0122A">
        <w:rPr>
          <w:i/>
          <w:iCs/>
        </w:rPr>
        <w:t>Eiropas Cilvēktiesību tiesas 201</w:t>
      </w:r>
      <w:r w:rsidR="006B03C3">
        <w:rPr>
          <w:i/>
          <w:iCs/>
        </w:rPr>
        <w:t>1</w:t>
      </w:r>
      <w:r w:rsidR="006B03C3" w:rsidRPr="00C0122A">
        <w:rPr>
          <w:i/>
          <w:iCs/>
        </w:rPr>
        <w:t xml:space="preserve">.gada </w:t>
      </w:r>
      <w:r w:rsidR="006B03C3">
        <w:rPr>
          <w:i/>
          <w:iCs/>
        </w:rPr>
        <w:t>27.septembra</w:t>
      </w:r>
      <w:r w:rsidR="006B03C3" w:rsidRPr="00C0122A">
        <w:rPr>
          <w:i/>
          <w:iCs/>
        </w:rPr>
        <w:t xml:space="preserve"> spriedums lietā „</w:t>
      </w:r>
      <w:r w:rsidR="006B03C3" w:rsidRPr="00F9438E">
        <w:rPr>
          <w:i/>
          <w:iCs/>
        </w:rPr>
        <w:t>H</w:t>
      </w:r>
      <w:r w:rsidR="006B03C3">
        <w:rPr>
          <w:i/>
          <w:iCs/>
        </w:rPr>
        <w:t>rdalo</w:t>
      </w:r>
      <w:r w:rsidR="006B03C3" w:rsidRPr="00F9438E">
        <w:rPr>
          <w:i/>
          <w:iCs/>
        </w:rPr>
        <w:t xml:space="preserve"> v. C</w:t>
      </w:r>
      <w:r w:rsidR="006B03C3">
        <w:rPr>
          <w:i/>
          <w:iCs/>
        </w:rPr>
        <w:t>roatia</w:t>
      </w:r>
      <w:r w:rsidR="006B03C3" w:rsidRPr="00C0122A">
        <w:rPr>
          <w:i/>
          <w:iCs/>
        </w:rPr>
        <w:t>”, iesnieguma Nr.</w:t>
      </w:r>
      <w:r w:rsidR="006B03C3">
        <w:rPr>
          <w:i/>
          <w:iCs/>
        </w:rPr>
        <w:t> </w:t>
      </w:r>
      <w:r w:rsidR="006B03C3" w:rsidRPr="00F9438E">
        <w:rPr>
          <w:i/>
          <w:iCs/>
        </w:rPr>
        <w:t>23272/07</w:t>
      </w:r>
      <w:r w:rsidR="006B03C3" w:rsidRPr="00C0122A">
        <w:rPr>
          <w:i/>
          <w:iCs/>
        </w:rPr>
        <w:t>, 5</w:t>
      </w:r>
      <w:r w:rsidR="006B03C3">
        <w:rPr>
          <w:i/>
          <w:iCs/>
        </w:rPr>
        <w:t>5</w:t>
      </w:r>
      <w:r w:rsidR="006B03C3" w:rsidRPr="00C0122A">
        <w:rPr>
          <w:i/>
          <w:iCs/>
        </w:rPr>
        <w:t>.punkts</w:t>
      </w:r>
      <w:r w:rsidR="006B03C3">
        <w:t xml:space="preserve">). Savukārt </w:t>
      </w:r>
      <w:r w:rsidR="006B03C3" w:rsidRPr="006B03C3">
        <w:t>lietā „Kemal Coşkun v. Turkey”</w:t>
      </w:r>
      <w:r w:rsidR="006B03C3">
        <w:t xml:space="preserve"> Eiropas Cilvēktiesību tiesa konstatēja nevainīguma prezumpcijas pārkāpumu, jo persona tika atbrīvots no amata policijā</w:t>
      </w:r>
      <w:r w:rsidR="00030A59">
        <w:t>, balstoties uz to, ka viņ</w:t>
      </w:r>
      <w:r w:rsidR="00EF73B6">
        <w:t>a</w:t>
      </w:r>
      <w:r w:rsidR="00030A59">
        <w:t xml:space="preserve"> ir nelikumīgi atņēm</w:t>
      </w:r>
      <w:r w:rsidR="00EF73B6">
        <w:t>usi</w:t>
      </w:r>
      <w:r w:rsidR="00030A59">
        <w:t xml:space="preserve"> brīvību citai personai, vei</w:t>
      </w:r>
      <w:r w:rsidR="00EF73B6">
        <w:t>kusi</w:t>
      </w:r>
      <w:r w:rsidR="00030A59">
        <w:t xml:space="preserve"> laupīšanu un izvarošanas mēģinājumu, par ko pret viņu bija uzsākts arī kriminālprocess. Eiropas Cilvēktiesību tiesa atzina, ka nacionālā tiesa nolēmumā disciplinārlietā ir lietojusi tādus formulējumus, kas nepārprotami pasludina personu par vainīgu attiecīgajos noziedzīgajos nodarījumos (</w:t>
      </w:r>
      <w:r w:rsidR="00030A59" w:rsidRPr="00C0122A">
        <w:rPr>
          <w:i/>
          <w:iCs/>
        </w:rPr>
        <w:t>Eiropas Cilvēktiesību tiesas 201</w:t>
      </w:r>
      <w:r w:rsidR="00030A59">
        <w:rPr>
          <w:i/>
          <w:iCs/>
        </w:rPr>
        <w:t>7</w:t>
      </w:r>
      <w:r w:rsidR="00030A59" w:rsidRPr="00C0122A">
        <w:rPr>
          <w:i/>
          <w:iCs/>
        </w:rPr>
        <w:t xml:space="preserve">.gada </w:t>
      </w:r>
      <w:r w:rsidR="00030A59">
        <w:rPr>
          <w:i/>
          <w:iCs/>
        </w:rPr>
        <w:t>28.marta</w:t>
      </w:r>
      <w:r w:rsidR="00030A59" w:rsidRPr="00C0122A">
        <w:rPr>
          <w:i/>
          <w:iCs/>
        </w:rPr>
        <w:t xml:space="preserve"> spriedums lietā „</w:t>
      </w:r>
      <w:r w:rsidR="00030A59" w:rsidRPr="00F42F65">
        <w:rPr>
          <w:i/>
          <w:iCs/>
        </w:rPr>
        <w:t>Kemal Coşkun v. T</w:t>
      </w:r>
      <w:r w:rsidR="00030A59">
        <w:rPr>
          <w:i/>
          <w:iCs/>
        </w:rPr>
        <w:t>urkey</w:t>
      </w:r>
      <w:r w:rsidR="00030A59" w:rsidRPr="00C0122A">
        <w:rPr>
          <w:i/>
          <w:iCs/>
        </w:rPr>
        <w:t>”, iesnieguma Nr.</w:t>
      </w:r>
      <w:r w:rsidR="00030A59">
        <w:rPr>
          <w:i/>
          <w:iCs/>
        </w:rPr>
        <w:t> </w:t>
      </w:r>
      <w:r w:rsidR="00030A59" w:rsidRPr="00F42F65">
        <w:rPr>
          <w:i/>
          <w:iCs/>
        </w:rPr>
        <w:t>45028/07</w:t>
      </w:r>
      <w:r w:rsidR="00030A59" w:rsidRPr="00C0122A">
        <w:rPr>
          <w:i/>
          <w:iCs/>
        </w:rPr>
        <w:t>, 5</w:t>
      </w:r>
      <w:r w:rsidR="00030A59">
        <w:rPr>
          <w:i/>
          <w:iCs/>
        </w:rPr>
        <w:t>3</w:t>
      </w:r>
      <w:r w:rsidR="00030A59" w:rsidRPr="00C0122A">
        <w:rPr>
          <w:i/>
          <w:iCs/>
        </w:rPr>
        <w:t>.punkts</w:t>
      </w:r>
      <w:r w:rsidR="00030A59">
        <w:t>).</w:t>
      </w:r>
    </w:p>
    <w:p w14:paraId="4698DDFB" w14:textId="77777777" w:rsidR="00BC4ABF" w:rsidRDefault="00BC4ABF" w:rsidP="00875CC3">
      <w:pPr>
        <w:spacing w:line="276" w:lineRule="auto"/>
        <w:ind w:firstLine="720"/>
        <w:jc w:val="both"/>
      </w:pPr>
    </w:p>
    <w:p w14:paraId="5647B3C2" w14:textId="4902A5E7" w:rsidR="003518E9" w:rsidRDefault="00030A59" w:rsidP="00875CC3">
      <w:pPr>
        <w:spacing w:line="276" w:lineRule="auto"/>
        <w:ind w:firstLine="720"/>
        <w:jc w:val="both"/>
      </w:pPr>
      <w:r>
        <w:t>[8] </w:t>
      </w:r>
      <w:r w:rsidR="009D1711">
        <w:t xml:space="preserve">Izvērtējot pārsūdzēto spriedumu, Senāts konstatē, ka tiesa ne tikai nav pienācīgi pārbaudījusi, vai iestāde ar savu lēmumu nav pārkāpusi nevainīguma prezumpciju, bet pati ir pārkāpusi nevainīguma prezumpciju. </w:t>
      </w:r>
      <w:r>
        <w:t>Izskatāmajā lietā tiesa</w:t>
      </w:r>
      <w:r w:rsidR="005862B8">
        <w:t>, vērtējot iestādes lēmumu</w:t>
      </w:r>
      <w:r w:rsidR="00CE2567">
        <w:t xml:space="preserve"> par disciplinārsoda piemērošanu</w:t>
      </w:r>
      <w:r w:rsidR="00A7742F">
        <w:t xml:space="preserve">, </w:t>
      </w:r>
      <w:r w:rsidR="00E773A4">
        <w:t>norādījusi</w:t>
      </w:r>
      <w:r w:rsidR="009D1711">
        <w:t>:</w:t>
      </w:r>
      <w:r w:rsidR="005862B8">
        <w:t xml:space="preserve"> „Vispārzināms, ka svešas mantas paņemšana veikalā, par to nenorēķinoties, ir zādzība, kas ir aizliegta ar normatīvajiem aktiem</w:t>
      </w:r>
      <w:r w:rsidR="00C950C5">
        <w:t>,</w:t>
      </w:r>
      <w:r w:rsidR="005862B8">
        <w:t xml:space="preserve"> un nav šaubu, ka pieteicējai kā policistei tas bija zināms. [..] Apgabaltiesas ieskatā pieteicējas rīcība veikalā kopsakarā ar pretrunīgajiem paskaidrojumiem par tās iemesliem norāda, ka, visticamāk, viņa vēlējās nesamaksāt par paņemtajām kosmētikas precēm. [..] [L]īdzīgā gadījumā, kad notikusi zādzība, bet persona ir atzinusi vainu, Valsts policija personai ir piemērojusi disciplinārsodu</w:t>
      </w:r>
      <w:r w:rsidR="00B17229">
        <w:t xml:space="preserve"> </w:t>
      </w:r>
      <w:r w:rsidR="005862B8">
        <w:t>–</w:t>
      </w:r>
      <w:r w:rsidR="00B17229">
        <w:t xml:space="preserve"> </w:t>
      </w:r>
      <w:r w:rsidR="005862B8">
        <w:t>atbrīvošanu no amata.”</w:t>
      </w:r>
      <w:r w:rsidR="009D1711">
        <w:t xml:space="preserve"> Līdz ar to, lai arī tiesa nav tiešā tekstā pateikusi, ka pieteicēja ir izdarījusi zādzību, tomēr no tiesas lietotās valodas pietiekami skaidri izriet, ka tiesa ir uzskatījusi pieteicēju par vainīgu zādzībā.</w:t>
      </w:r>
      <w:r w:rsidR="00EA4C57">
        <w:t xml:space="preserve"> </w:t>
      </w:r>
      <w:r w:rsidR="009D1711">
        <w:t xml:space="preserve">Šajā gadījumā tiesa nav aprobežojusies </w:t>
      </w:r>
      <w:r w:rsidR="00EA4C57">
        <w:t xml:space="preserve">tikai </w:t>
      </w:r>
      <w:r w:rsidR="009D1711">
        <w:t>ar konstatējumu, ka pret pieteicēju ir uzsākts kriminālprocess par zādzību</w:t>
      </w:r>
      <w:r w:rsidR="00EA4C57">
        <w:t>. Tāpat tiesa šajā gadījumā nav vienkārši pati novērtējusi pierādījumus, secinājusi, ka pieteicēja nav norēķinājusies par precēm, un pamatojusi, kāpēc nenorēķināšanās par precēm ir atzīstama par disciplinārpārkāpumu. Tā vietā tiesa pieteicējas rīcību ir saistījusi tieši ar zādzību.</w:t>
      </w:r>
    </w:p>
    <w:p w14:paraId="4240BD7D" w14:textId="40A2840B" w:rsidR="00D938B8" w:rsidRDefault="003518E9" w:rsidP="00875CC3">
      <w:pPr>
        <w:spacing w:line="276" w:lineRule="auto"/>
        <w:ind w:firstLine="720"/>
        <w:jc w:val="both"/>
      </w:pPr>
      <w:r>
        <w:t>Senāts vērš uzmanību uz to, ka z</w:t>
      </w:r>
      <w:r w:rsidR="00D938B8">
        <w:t>ādzība atbilstoši Krimināllikumam ir noziedzīgs nodarījums, kuru konstatē kriminālproces</w:t>
      </w:r>
      <w:r w:rsidR="006155AE">
        <w:t>ā,</w:t>
      </w:r>
      <w:r w:rsidR="006155AE" w:rsidRPr="006155AE">
        <w:t xml:space="preserve"> </w:t>
      </w:r>
      <w:r w:rsidR="006155AE">
        <w:t xml:space="preserve">kurā apsūdzētajai personai </w:t>
      </w:r>
      <w:r w:rsidR="00CE2567">
        <w:t xml:space="preserve">citastarp </w:t>
      </w:r>
      <w:r w:rsidR="006155AE">
        <w:t>ir kriminālprocesuālas garantijas, kā, piemēram, tiesības uz aizstāvību</w:t>
      </w:r>
      <w:r w:rsidR="00D938B8">
        <w:t>. Kriminālprocesa likuma 19.panta pirmajā daļā noteikts, ka neviena persona netiek uzskatīta par vainīgu, kamēr tās vaina noziedzīga nodarījuma izdarīšanā netiek konstatēta Kriminālprocesa likumā noteiktajā kārtībā</w:t>
      </w:r>
      <w:r w:rsidR="00B17229">
        <w:t>,</w:t>
      </w:r>
      <w:r w:rsidR="00D938B8">
        <w:t xml:space="preserve"> proti, ar tiesas spriedumu vai vienošanos par vainas atzīšanu un sodu.</w:t>
      </w:r>
    </w:p>
    <w:p w14:paraId="35247254" w14:textId="77777777" w:rsidR="00030A59" w:rsidRDefault="00030A59" w:rsidP="00875CC3">
      <w:pPr>
        <w:spacing w:line="276" w:lineRule="auto"/>
        <w:ind w:firstLine="720"/>
        <w:jc w:val="both"/>
      </w:pPr>
    </w:p>
    <w:p w14:paraId="1261A6AA" w14:textId="1EFC3D18" w:rsidR="0064180C" w:rsidRDefault="00B17229" w:rsidP="00875CC3">
      <w:pPr>
        <w:spacing w:line="276" w:lineRule="auto"/>
        <w:ind w:firstLine="720"/>
        <w:jc w:val="both"/>
      </w:pPr>
      <w:r>
        <w:t>[</w:t>
      </w:r>
      <w:r w:rsidR="00EA4C57">
        <w:t>9</w:t>
      </w:r>
      <w:r>
        <w:t>]</w:t>
      </w:r>
      <w:r w:rsidR="0064180C">
        <w:t xml:space="preserve"> Ņemot vērā minēto, Senāts </w:t>
      </w:r>
      <w:r w:rsidR="00EA4C57">
        <w:t>atzīst</w:t>
      </w:r>
      <w:r w:rsidR="0064180C">
        <w:t>, ka tiesa, vērtējot lēmuma par disciplinārsoda piemērošanu tiesiskumu, ir pārkāpusi nevainīguma prezumpciju</w:t>
      </w:r>
      <w:r w:rsidR="00C733FC">
        <w:t>.</w:t>
      </w:r>
      <w:r w:rsidR="0064180C">
        <w:t xml:space="preserve"> </w:t>
      </w:r>
      <w:r w:rsidR="00C733FC">
        <w:t>T</w:t>
      </w:r>
      <w:r w:rsidR="0064180C">
        <w:t>āpēc Administratīvās apgabaltiesas spriedums ir atceļams un lieta nosūtāma jaunai izskatīšanai.</w:t>
      </w:r>
    </w:p>
    <w:p w14:paraId="279DA7DD" w14:textId="05A3774C" w:rsidR="00B17229" w:rsidRDefault="0064180C" w:rsidP="00875CC3">
      <w:pPr>
        <w:spacing w:line="276" w:lineRule="auto"/>
        <w:ind w:firstLine="720"/>
        <w:jc w:val="both"/>
      </w:pPr>
      <w:r>
        <w:t xml:space="preserve">Izskatot lietu no jauna, tiesai jāizvērtē, vai </w:t>
      </w:r>
      <w:r w:rsidR="00C733FC">
        <w:t xml:space="preserve">iestāde pamatoti </w:t>
      </w:r>
      <w:r>
        <w:t xml:space="preserve">pieteicējai </w:t>
      </w:r>
      <w:r w:rsidR="00C733FC">
        <w:t>piemērojusi konkrēto</w:t>
      </w:r>
      <w:r>
        <w:t xml:space="preserve"> disciplinārsod</w:t>
      </w:r>
      <w:r w:rsidR="00C733FC">
        <w:t>u</w:t>
      </w:r>
      <w:r w:rsidRPr="007963B0">
        <w:t>.</w:t>
      </w:r>
      <w:r w:rsidR="00C733FC">
        <w:t xml:space="preserve"> Vērtējot minēto, tiesai arī</w:t>
      </w:r>
      <w:r>
        <w:t xml:space="preserve"> jāpārliecinās, vai iestāde, pieņemot </w:t>
      </w:r>
      <w:r w:rsidR="00C733FC">
        <w:t xml:space="preserve">pārsūdzēto </w:t>
      </w:r>
      <w:r>
        <w:t xml:space="preserve">lēmumu par disciplinārsoda piemērošanu, ir </w:t>
      </w:r>
      <w:r w:rsidR="00C733FC">
        <w:t>ievērojusi nevainīguma prezumpcij</w:t>
      </w:r>
      <w:r w:rsidR="00EA4C57">
        <w:t>u.</w:t>
      </w:r>
    </w:p>
    <w:p w14:paraId="06C069ED" w14:textId="77777777" w:rsidR="00C733FC" w:rsidRDefault="00C733FC" w:rsidP="00875CC3">
      <w:pPr>
        <w:spacing w:line="276" w:lineRule="auto"/>
        <w:ind w:firstLine="720"/>
        <w:jc w:val="both"/>
        <w:rPr>
          <w:i/>
          <w:iCs/>
        </w:rPr>
      </w:pPr>
    </w:p>
    <w:p w14:paraId="36529C01" w14:textId="65FDD3B9" w:rsidR="00D75F46" w:rsidRDefault="00C733FC" w:rsidP="00875CC3">
      <w:pPr>
        <w:spacing w:line="276" w:lineRule="auto"/>
        <w:ind w:firstLine="720"/>
        <w:jc w:val="both"/>
      </w:pPr>
      <w:r>
        <w:t>[</w:t>
      </w:r>
      <w:r w:rsidR="00EA4C57">
        <w:t>10</w:t>
      </w:r>
      <w:r w:rsidR="00D938B8">
        <w:t>]</w:t>
      </w:r>
      <w:r>
        <w:t> </w:t>
      </w:r>
      <w:r w:rsidR="00D75F46">
        <w:t xml:space="preserve">Tā kā Senāts ir </w:t>
      </w:r>
      <w:r w:rsidR="00D75F46" w:rsidRPr="00D75F46">
        <w:t>konstatē</w:t>
      </w:r>
      <w:r w:rsidR="00D75F46">
        <w:t>jis</w:t>
      </w:r>
      <w:r w:rsidR="00D75F46" w:rsidRPr="00D75F46">
        <w:t xml:space="preserve"> </w:t>
      </w:r>
      <w:r w:rsidR="00DB25E2">
        <w:t>pamat</w:t>
      </w:r>
      <w:r>
        <w:t>u</w:t>
      </w:r>
      <w:r w:rsidR="00DB25E2">
        <w:t xml:space="preserve"> spriedum</w:t>
      </w:r>
      <w:r>
        <w:t xml:space="preserve">a atcelšanai, </w:t>
      </w:r>
      <w:r w:rsidR="00D75F46">
        <w:t>procesuālās</w:t>
      </w:r>
      <w:r w:rsidR="00DB25E2">
        <w:t xml:space="preserve"> </w:t>
      </w:r>
      <w:r w:rsidR="00D75F46">
        <w:t xml:space="preserve">ekonomijas nolūkā Senāts nevērtēs </w:t>
      </w:r>
      <w:r w:rsidR="00DB25E2">
        <w:t>pārējos</w:t>
      </w:r>
      <w:r w:rsidR="00D75F46">
        <w:t xml:space="preserve"> </w:t>
      </w:r>
      <w:r w:rsidR="00DB25E2">
        <w:t>kasācijas</w:t>
      </w:r>
      <w:r w:rsidR="00305E4E">
        <w:t xml:space="preserve"> sūdzības</w:t>
      </w:r>
      <w:r w:rsidR="00DB25E2">
        <w:t xml:space="preserve"> </w:t>
      </w:r>
      <w:r w:rsidR="00D75F46">
        <w:t>argumentus</w:t>
      </w:r>
      <w:r w:rsidR="00DB25E2">
        <w:t>.</w:t>
      </w:r>
    </w:p>
    <w:p w14:paraId="558B2D94" w14:textId="77777777" w:rsidR="00D938B8" w:rsidRDefault="00D938B8" w:rsidP="00875CC3">
      <w:pPr>
        <w:spacing w:line="276" w:lineRule="auto"/>
        <w:ind w:firstLine="720"/>
        <w:jc w:val="both"/>
      </w:pPr>
    </w:p>
    <w:p w14:paraId="57606B51" w14:textId="77777777" w:rsidR="00D938B8" w:rsidRDefault="00D938B8" w:rsidP="00875CC3">
      <w:pPr>
        <w:spacing w:line="276" w:lineRule="auto"/>
        <w:jc w:val="center"/>
        <w:rPr>
          <w:b/>
          <w:bCs/>
        </w:rPr>
      </w:pPr>
      <w:r>
        <w:rPr>
          <w:b/>
          <w:bCs/>
        </w:rPr>
        <w:t>Rezolutīvā daļa</w:t>
      </w:r>
    </w:p>
    <w:p w14:paraId="2901F97D" w14:textId="77777777" w:rsidR="00D938B8" w:rsidRDefault="00D938B8" w:rsidP="00875CC3">
      <w:pPr>
        <w:spacing w:line="276" w:lineRule="auto"/>
        <w:jc w:val="both"/>
      </w:pPr>
    </w:p>
    <w:p w14:paraId="3FF32921" w14:textId="77777777" w:rsidR="00802BF2" w:rsidRDefault="00D938B8" w:rsidP="00875CC3">
      <w:pPr>
        <w:spacing w:line="276" w:lineRule="auto"/>
        <w:ind w:firstLine="720"/>
        <w:jc w:val="both"/>
      </w:pPr>
      <w:r>
        <w:t>Pamatojoties uz Administratīvā procesa likuma 129.</w:t>
      </w:r>
      <w:r>
        <w:rPr>
          <w:vertAlign w:val="superscript"/>
        </w:rPr>
        <w:t>1</w:t>
      </w:r>
      <w:r>
        <w:t xml:space="preserve">panta pirmās daļas 1.punktu, 348.panta pirmās daļas 2.punktu un 351.pantu, Senāts </w:t>
      </w:r>
    </w:p>
    <w:p w14:paraId="2B8F9770" w14:textId="77777777" w:rsidR="00802BF2" w:rsidRPr="00D708A0" w:rsidRDefault="00802BF2" w:rsidP="00875CC3">
      <w:pPr>
        <w:spacing w:line="276" w:lineRule="auto"/>
        <w:ind w:firstLine="720"/>
        <w:jc w:val="both"/>
      </w:pPr>
    </w:p>
    <w:p w14:paraId="3EB178CE" w14:textId="77777777" w:rsidR="00802BF2" w:rsidRDefault="00802BF2" w:rsidP="00875CC3">
      <w:pPr>
        <w:shd w:val="clear" w:color="auto" w:fill="FFFFFF"/>
        <w:spacing w:line="276" w:lineRule="auto"/>
        <w:jc w:val="center"/>
        <w:rPr>
          <w:b/>
        </w:rPr>
      </w:pPr>
      <w:r>
        <w:rPr>
          <w:b/>
        </w:rPr>
        <w:t>n</w:t>
      </w:r>
      <w:r w:rsidRPr="00A53E41">
        <w:rPr>
          <w:b/>
        </w:rPr>
        <w:t>osprieda</w:t>
      </w:r>
    </w:p>
    <w:p w14:paraId="3ACED35E" w14:textId="77777777" w:rsidR="00802BF2" w:rsidRDefault="00802BF2" w:rsidP="00875CC3">
      <w:pPr>
        <w:spacing w:line="276" w:lineRule="auto"/>
        <w:ind w:firstLine="720"/>
        <w:jc w:val="both"/>
      </w:pPr>
    </w:p>
    <w:p w14:paraId="4BCCFBF0" w14:textId="4041B7C2" w:rsidR="00D938B8" w:rsidRDefault="00D938B8" w:rsidP="00875CC3">
      <w:pPr>
        <w:spacing w:line="276" w:lineRule="auto"/>
        <w:ind w:firstLine="720"/>
        <w:jc w:val="both"/>
      </w:pPr>
      <w:r>
        <w:t>atcelt Administratīvās apgabaltiesas 2023.gada 14.jūlija spriedumu un nosūtīt lietu jaunai izskatīšanai Administratīvajai apgabaltiesai;</w:t>
      </w:r>
    </w:p>
    <w:p w14:paraId="11EA03A0" w14:textId="7724D288" w:rsidR="00D938B8" w:rsidRDefault="00D938B8" w:rsidP="00875CC3">
      <w:pPr>
        <w:spacing w:line="276" w:lineRule="auto"/>
        <w:jc w:val="both"/>
      </w:pPr>
      <w:r>
        <w:tab/>
        <w:t xml:space="preserve">atmaksāt </w:t>
      </w:r>
      <w:r w:rsidR="004711FD">
        <w:t xml:space="preserve">[pers. A] </w:t>
      </w:r>
      <w:r>
        <w:t>drošības naudu 70 </w:t>
      </w:r>
      <w:proofErr w:type="spellStart"/>
      <w:r>
        <w:rPr>
          <w:i/>
          <w:iCs/>
        </w:rPr>
        <w:t>euro</w:t>
      </w:r>
      <w:proofErr w:type="spellEnd"/>
      <w:r>
        <w:t>.</w:t>
      </w:r>
    </w:p>
    <w:p w14:paraId="5999D802" w14:textId="77777777" w:rsidR="00D938B8" w:rsidRDefault="00D938B8" w:rsidP="00875CC3">
      <w:pPr>
        <w:spacing w:line="276" w:lineRule="auto"/>
        <w:jc w:val="both"/>
      </w:pPr>
    </w:p>
    <w:p w14:paraId="7E00981E" w14:textId="77777777" w:rsidR="00D938B8" w:rsidRDefault="00D938B8" w:rsidP="00875CC3">
      <w:pPr>
        <w:spacing w:line="276" w:lineRule="auto"/>
        <w:ind w:firstLine="720"/>
        <w:jc w:val="both"/>
      </w:pPr>
      <w:r>
        <w:t>Spriedums nav pārsūdzams.</w:t>
      </w:r>
    </w:p>
    <w:p w14:paraId="50E98720" w14:textId="77777777" w:rsidR="00D938B8" w:rsidRDefault="00D938B8" w:rsidP="00875CC3">
      <w:pPr>
        <w:spacing w:line="276" w:lineRule="auto"/>
        <w:ind w:firstLine="720"/>
        <w:jc w:val="both"/>
      </w:pPr>
    </w:p>
    <w:p w14:paraId="29F1AB12" w14:textId="77777777" w:rsidR="00D938B8" w:rsidRDefault="00D938B8" w:rsidP="00875CC3">
      <w:pPr>
        <w:spacing w:line="276" w:lineRule="auto"/>
        <w:ind w:firstLine="720"/>
        <w:jc w:val="both"/>
      </w:pPr>
    </w:p>
    <w:p w14:paraId="373CA037" w14:textId="77777777" w:rsidR="00D938B8" w:rsidRDefault="00D938B8" w:rsidP="00875CC3">
      <w:pPr>
        <w:spacing w:line="276" w:lineRule="auto"/>
        <w:ind w:firstLine="720"/>
        <w:jc w:val="both"/>
      </w:pPr>
    </w:p>
    <w:p w14:paraId="2BDB2D2E" w14:textId="77777777" w:rsidR="00D938B8" w:rsidRDefault="00D938B8" w:rsidP="00875CC3">
      <w:pPr>
        <w:spacing w:line="276" w:lineRule="auto"/>
        <w:ind w:firstLine="720"/>
        <w:jc w:val="both"/>
      </w:pPr>
    </w:p>
    <w:p w14:paraId="12611754" w14:textId="77777777" w:rsidR="00D938B8" w:rsidRDefault="00D938B8" w:rsidP="00875CC3">
      <w:pPr>
        <w:spacing w:line="276" w:lineRule="auto"/>
        <w:ind w:firstLine="720"/>
        <w:jc w:val="both"/>
      </w:pPr>
    </w:p>
    <w:p w14:paraId="474A0C54" w14:textId="2005DC01" w:rsidR="00E409AD" w:rsidRDefault="00E409AD" w:rsidP="00875CC3">
      <w:pPr>
        <w:spacing w:line="276" w:lineRule="auto"/>
      </w:pPr>
    </w:p>
    <w:sectPr w:rsidR="00E409AD" w:rsidSect="00BB37B3">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EAF6E" w14:textId="77777777" w:rsidR="00A34F0C" w:rsidRDefault="00A34F0C" w:rsidP="00A97AEA">
      <w:r>
        <w:separator/>
      </w:r>
    </w:p>
  </w:endnote>
  <w:endnote w:type="continuationSeparator" w:id="0">
    <w:p w14:paraId="60CA2718" w14:textId="77777777" w:rsidR="00A34F0C" w:rsidRDefault="00A34F0C" w:rsidP="00A9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970812"/>
      <w:docPartObj>
        <w:docPartGallery w:val="Page Numbers (Bottom of Page)"/>
        <w:docPartUnique/>
      </w:docPartObj>
    </w:sdtPr>
    <w:sdtEndPr>
      <w:rPr>
        <w:noProof/>
      </w:rPr>
    </w:sdtEndPr>
    <w:sdtContent>
      <w:p w14:paraId="1FF80983" w14:textId="4D501772" w:rsidR="00A97AEA" w:rsidRDefault="00A97AEA">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no 6</w:t>
        </w:r>
      </w:p>
    </w:sdtContent>
  </w:sdt>
  <w:p w14:paraId="77D40692" w14:textId="77777777" w:rsidR="00A97AEA" w:rsidRDefault="00A97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3D348" w14:textId="77777777" w:rsidR="00A34F0C" w:rsidRDefault="00A34F0C" w:rsidP="00A97AEA">
      <w:r>
        <w:separator/>
      </w:r>
    </w:p>
  </w:footnote>
  <w:footnote w:type="continuationSeparator" w:id="0">
    <w:p w14:paraId="2314D16C" w14:textId="77777777" w:rsidR="00A34F0C" w:rsidRDefault="00A34F0C" w:rsidP="00A97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03060156">
    <w:abstractNumId w:val="0"/>
  </w:num>
  <w:num w:numId="2" w16cid:durableId="1346131191">
    <w:abstractNumId w:val="2"/>
  </w:num>
  <w:num w:numId="3" w16cid:durableId="193713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7"/>
    <w:rsid w:val="000125C6"/>
    <w:rsid w:val="00030A59"/>
    <w:rsid w:val="000A4BC9"/>
    <w:rsid w:val="00160593"/>
    <w:rsid w:val="001701A4"/>
    <w:rsid w:val="001C46D7"/>
    <w:rsid w:val="00202C28"/>
    <w:rsid w:val="00257C7A"/>
    <w:rsid w:val="002B1A88"/>
    <w:rsid w:val="002B7019"/>
    <w:rsid w:val="002C20A6"/>
    <w:rsid w:val="002D72A9"/>
    <w:rsid w:val="00305E4E"/>
    <w:rsid w:val="00336ED3"/>
    <w:rsid w:val="003518E9"/>
    <w:rsid w:val="003774FD"/>
    <w:rsid w:val="004711FD"/>
    <w:rsid w:val="00492B40"/>
    <w:rsid w:val="00510E7D"/>
    <w:rsid w:val="005259BD"/>
    <w:rsid w:val="00525F11"/>
    <w:rsid w:val="00530A9A"/>
    <w:rsid w:val="005862B8"/>
    <w:rsid w:val="00591E95"/>
    <w:rsid w:val="005A692B"/>
    <w:rsid w:val="005B6B95"/>
    <w:rsid w:val="005B7314"/>
    <w:rsid w:val="006155AE"/>
    <w:rsid w:val="0064180C"/>
    <w:rsid w:val="006B03C3"/>
    <w:rsid w:val="00705E12"/>
    <w:rsid w:val="007776F8"/>
    <w:rsid w:val="00802BF2"/>
    <w:rsid w:val="00817BD3"/>
    <w:rsid w:val="00875CC3"/>
    <w:rsid w:val="008C768D"/>
    <w:rsid w:val="00985A09"/>
    <w:rsid w:val="009D1711"/>
    <w:rsid w:val="00A34F0C"/>
    <w:rsid w:val="00A7742F"/>
    <w:rsid w:val="00A777E1"/>
    <w:rsid w:val="00A97AEA"/>
    <w:rsid w:val="00B17229"/>
    <w:rsid w:val="00B2119D"/>
    <w:rsid w:val="00B4257C"/>
    <w:rsid w:val="00B96C00"/>
    <w:rsid w:val="00BA4C53"/>
    <w:rsid w:val="00BB37B3"/>
    <w:rsid w:val="00BC4ABF"/>
    <w:rsid w:val="00C0122A"/>
    <w:rsid w:val="00C01401"/>
    <w:rsid w:val="00C61F33"/>
    <w:rsid w:val="00C66EF0"/>
    <w:rsid w:val="00C733FC"/>
    <w:rsid w:val="00C950C5"/>
    <w:rsid w:val="00CB0017"/>
    <w:rsid w:val="00CC4CA6"/>
    <w:rsid w:val="00CE2567"/>
    <w:rsid w:val="00D17E67"/>
    <w:rsid w:val="00D24C02"/>
    <w:rsid w:val="00D64673"/>
    <w:rsid w:val="00D71410"/>
    <w:rsid w:val="00D75F46"/>
    <w:rsid w:val="00D938B8"/>
    <w:rsid w:val="00D95EC1"/>
    <w:rsid w:val="00DB25E2"/>
    <w:rsid w:val="00DB50F3"/>
    <w:rsid w:val="00DB5641"/>
    <w:rsid w:val="00DC1D7D"/>
    <w:rsid w:val="00DD4199"/>
    <w:rsid w:val="00E34B1F"/>
    <w:rsid w:val="00E35A06"/>
    <w:rsid w:val="00E409AD"/>
    <w:rsid w:val="00E773A4"/>
    <w:rsid w:val="00E87AE7"/>
    <w:rsid w:val="00EA4C57"/>
    <w:rsid w:val="00EB4CCD"/>
    <w:rsid w:val="00EC5C67"/>
    <w:rsid w:val="00EF1BBC"/>
    <w:rsid w:val="00EF73B6"/>
    <w:rsid w:val="00F15A33"/>
    <w:rsid w:val="00F42F65"/>
    <w:rsid w:val="00F546ED"/>
    <w:rsid w:val="00F63AB1"/>
    <w:rsid w:val="00F9438E"/>
    <w:rsid w:val="00FB1C87"/>
    <w:rsid w:val="00FE3994"/>
    <w:rsid w:val="00FF15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8C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D7"/>
    <w:pPr>
      <w:spacing w:after="0" w:line="240" w:lineRule="auto"/>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1C46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C46D7"/>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D7"/>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Heading3Char">
    <w:name w:val="Heading 3 Char"/>
    <w:basedOn w:val="DefaultParagraphFont"/>
    <w:link w:val="Heading3"/>
    <w:uiPriority w:val="9"/>
    <w:rsid w:val="001C46D7"/>
    <w:rPr>
      <w:rFonts w:eastAsia="Times New Roman" w:cs="Times New Roman"/>
      <w:b/>
      <w:bCs/>
      <w:kern w:val="0"/>
      <w:sz w:val="27"/>
      <w:szCs w:val="27"/>
      <w:lang w:val="en-US"/>
      <w14:ligatures w14:val="none"/>
    </w:rPr>
  </w:style>
  <w:style w:type="paragraph" w:styleId="Header">
    <w:name w:val="header"/>
    <w:basedOn w:val="Normal"/>
    <w:link w:val="HeaderChar"/>
    <w:rsid w:val="001C46D7"/>
    <w:pPr>
      <w:tabs>
        <w:tab w:val="center" w:pos="4320"/>
        <w:tab w:val="right" w:pos="8640"/>
      </w:tabs>
    </w:pPr>
    <w:rPr>
      <w:lang w:val="x-none"/>
    </w:rPr>
  </w:style>
  <w:style w:type="character" w:customStyle="1" w:styleId="HeaderChar">
    <w:name w:val="Header Char"/>
    <w:basedOn w:val="DefaultParagraphFont"/>
    <w:link w:val="Header"/>
    <w:rsid w:val="001C46D7"/>
    <w:rPr>
      <w:rFonts w:eastAsia="Times New Roman" w:cs="Times New Roman"/>
      <w:kern w:val="0"/>
      <w:szCs w:val="24"/>
      <w:lang w:val="x-none" w:eastAsia="ru-RU"/>
      <w14:ligatures w14:val="none"/>
    </w:rPr>
  </w:style>
  <w:style w:type="paragraph" w:styleId="BodyText2">
    <w:name w:val="Body Text 2"/>
    <w:basedOn w:val="Normal"/>
    <w:link w:val="BodyText2Char"/>
    <w:rsid w:val="001C46D7"/>
    <w:pPr>
      <w:spacing w:after="120" w:line="480" w:lineRule="auto"/>
    </w:pPr>
    <w:rPr>
      <w:lang w:val="x-none"/>
    </w:rPr>
  </w:style>
  <w:style w:type="character" w:customStyle="1" w:styleId="BodyText2Char">
    <w:name w:val="Body Text 2 Char"/>
    <w:basedOn w:val="DefaultParagraphFont"/>
    <w:link w:val="BodyText2"/>
    <w:rsid w:val="001C46D7"/>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1C46D7"/>
    <w:pPr>
      <w:tabs>
        <w:tab w:val="center" w:pos="4153"/>
        <w:tab w:val="right" w:pos="8306"/>
      </w:tabs>
    </w:pPr>
  </w:style>
  <w:style w:type="character" w:customStyle="1" w:styleId="FooterChar">
    <w:name w:val="Footer Char"/>
    <w:basedOn w:val="DefaultParagraphFont"/>
    <w:link w:val="Footer"/>
    <w:uiPriority w:val="99"/>
    <w:rsid w:val="001C46D7"/>
    <w:rPr>
      <w:rFonts w:eastAsia="Times New Roman" w:cs="Times New Roman"/>
      <w:kern w:val="0"/>
      <w:szCs w:val="24"/>
      <w:lang w:eastAsia="ru-RU"/>
      <w14:ligatures w14:val="none"/>
    </w:rPr>
  </w:style>
  <w:style w:type="character" w:styleId="CommentReference">
    <w:name w:val="annotation reference"/>
    <w:basedOn w:val="DefaultParagraphFont"/>
    <w:uiPriority w:val="99"/>
    <w:semiHidden/>
    <w:unhideWhenUsed/>
    <w:rsid w:val="001C46D7"/>
    <w:rPr>
      <w:sz w:val="16"/>
      <w:szCs w:val="16"/>
    </w:rPr>
  </w:style>
  <w:style w:type="paragraph" w:styleId="CommentText">
    <w:name w:val="annotation text"/>
    <w:basedOn w:val="Normal"/>
    <w:link w:val="CommentTextChar"/>
    <w:uiPriority w:val="99"/>
    <w:semiHidden/>
    <w:unhideWhenUsed/>
    <w:rsid w:val="001C46D7"/>
    <w:rPr>
      <w:sz w:val="20"/>
      <w:szCs w:val="20"/>
    </w:rPr>
  </w:style>
  <w:style w:type="character" w:customStyle="1" w:styleId="CommentTextChar">
    <w:name w:val="Comment Text Char"/>
    <w:basedOn w:val="DefaultParagraphFont"/>
    <w:link w:val="CommentText"/>
    <w:uiPriority w:val="99"/>
    <w:semiHidden/>
    <w:rsid w:val="001C46D7"/>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1C46D7"/>
    <w:rPr>
      <w:b/>
      <w:bCs/>
    </w:rPr>
  </w:style>
  <w:style w:type="character" w:customStyle="1" w:styleId="CommentSubjectChar">
    <w:name w:val="Comment Subject Char"/>
    <w:basedOn w:val="CommentTextChar"/>
    <w:link w:val="CommentSubject"/>
    <w:uiPriority w:val="99"/>
    <w:semiHidden/>
    <w:rsid w:val="001C46D7"/>
    <w:rPr>
      <w:rFonts w:eastAsia="Times New Roman" w:cs="Times New Roman"/>
      <w:b/>
      <w:bCs/>
      <w:kern w:val="0"/>
      <w:sz w:val="20"/>
      <w:szCs w:val="20"/>
      <w:lang w:eastAsia="ru-RU"/>
      <w14:ligatures w14:val="none"/>
    </w:rPr>
  </w:style>
  <w:style w:type="paragraph" w:styleId="BalloonText">
    <w:name w:val="Balloon Text"/>
    <w:basedOn w:val="Normal"/>
    <w:link w:val="BalloonTextChar"/>
    <w:uiPriority w:val="99"/>
    <w:semiHidden/>
    <w:unhideWhenUsed/>
    <w:rsid w:val="001C4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6D7"/>
    <w:rPr>
      <w:rFonts w:ascii="Segoe UI" w:eastAsia="Times New Roman" w:hAnsi="Segoe UI" w:cs="Segoe UI"/>
      <w:kern w:val="0"/>
      <w:sz w:val="18"/>
      <w:szCs w:val="18"/>
      <w:lang w:eastAsia="ru-RU"/>
      <w14:ligatures w14:val="none"/>
    </w:rPr>
  </w:style>
  <w:style w:type="character" w:styleId="PageNumber">
    <w:name w:val="page number"/>
    <w:basedOn w:val="DefaultParagraphFont"/>
    <w:rsid w:val="001C46D7"/>
  </w:style>
  <w:style w:type="paragraph" w:customStyle="1" w:styleId="ATpamattesksts">
    <w:name w:val="AT pamattesksts"/>
    <w:basedOn w:val="BodyText2"/>
    <w:link w:val="ATpamatteskstsChar"/>
    <w:qFormat/>
    <w:rsid w:val="001C46D7"/>
    <w:pPr>
      <w:spacing w:after="0" w:line="276" w:lineRule="auto"/>
      <w:ind w:firstLine="567"/>
      <w:jc w:val="both"/>
    </w:pPr>
  </w:style>
  <w:style w:type="character" w:customStyle="1" w:styleId="ATpamatteskstsChar">
    <w:name w:val="AT pamattesksts Char"/>
    <w:basedOn w:val="BodyText2Char"/>
    <w:link w:val="ATpamattesksts"/>
    <w:rsid w:val="001C46D7"/>
    <w:rPr>
      <w:rFonts w:eastAsia="Times New Roman" w:cs="Times New Roman"/>
      <w:kern w:val="0"/>
      <w:szCs w:val="24"/>
      <w:lang w:val="x-none" w:eastAsia="ru-RU"/>
      <w14:ligatures w14:val="none"/>
    </w:rPr>
  </w:style>
  <w:style w:type="paragraph" w:customStyle="1" w:styleId="ATvirsraksts">
    <w:name w:val="AT virsraksts"/>
    <w:basedOn w:val="Normal"/>
    <w:link w:val="ATvirsrakstsChar"/>
    <w:qFormat/>
    <w:rsid w:val="001C46D7"/>
    <w:pPr>
      <w:spacing w:line="276" w:lineRule="auto"/>
      <w:jc w:val="center"/>
      <w:outlineLvl w:val="0"/>
    </w:pPr>
    <w:rPr>
      <w:b/>
    </w:rPr>
  </w:style>
  <w:style w:type="character" w:customStyle="1" w:styleId="ATvirsrakstsChar">
    <w:name w:val="AT virsraksts Char"/>
    <w:basedOn w:val="DefaultParagraphFont"/>
    <w:link w:val="ATvirsraksts"/>
    <w:rsid w:val="001C46D7"/>
    <w:rPr>
      <w:rFonts w:eastAsia="Times New Roman" w:cs="Times New Roman"/>
      <w:b/>
      <w:kern w:val="0"/>
      <w:szCs w:val="24"/>
      <w:lang w:eastAsia="ru-RU"/>
      <w14:ligatures w14:val="none"/>
    </w:rPr>
  </w:style>
  <w:style w:type="table" w:styleId="TableGrid">
    <w:name w:val="Table Grid"/>
    <w:basedOn w:val="TableNormal"/>
    <w:uiPriority w:val="59"/>
    <w:rsid w:val="001C46D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46D7"/>
    <w:pPr>
      <w:spacing w:after="0" w:line="240" w:lineRule="auto"/>
    </w:pPr>
    <w:rPr>
      <w:kern w:val="0"/>
      <w14:ligatures w14:val="none"/>
    </w:rPr>
  </w:style>
  <w:style w:type="paragraph" w:styleId="ListParagraph">
    <w:name w:val="List Paragraph"/>
    <w:basedOn w:val="Normal"/>
    <w:uiPriority w:val="34"/>
    <w:qFormat/>
    <w:rsid w:val="001C46D7"/>
    <w:pPr>
      <w:ind w:left="720"/>
      <w:contextualSpacing/>
    </w:pPr>
  </w:style>
  <w:style w:type="paragraph" w:customStyle="1" w:styleId="tv213">
    <w:name w:val="tv213"/>
    <w:basedOn w:val="Normal"/>
    <w:rsid w:val="001C46D7"/>
    <w:pPr>
      <w:spacing w:before="100" w:beforeAutospacing="1" w:after="100" w:afterAutospacing="1"/>
    </w:pPr>
    <w:rPr>
      <w:lang w:val="en-US" w:eastAsia="en-US"/>
    </w:rPr>
  </w:style>
  <w:style w:type="character" w:styleId="Hyperlink">
    <w:name w:val="Hyperlink"/>
    <w:basedOn w:val="DefaultParagraphFont"/>
    <w:uiPriority w:val="99"/>
    <w:unhideWhenUsed/>
    <w:rsid w:val="001C46D7"/>
    <w:rPr>
      <w:color w:val="0000FF"/>
      <w:u w:val="single"/>
    </w:rPr>
  </w:style>
  <w:style w:type="paragraph" w:styleId="NormalWeb">
    <w:name w:val="Normal (Web)"/>
    <w:basedOn w:val="Normal"/>
    <w:uiPriority w:val="99"/>
    <w:unhideWhenUsed/>
    <w:rsid w:val="001C46D7"/>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1C46D7"/>
    <w:rPr>
      <w:color w:val="605E5C"/>
      <w:shd w:val="clear" w:color="auto" w:fill="E1DFDD"/>
    </w:rPr>
  </w:style>
  <w:style w:type="character" w:styleId="FollowedHyperlink">
    <w:name w:val="FollowedHyperlink"/>
    <w:basedOn w:val="DefaultParagraphFont"/>
    <w:uiPriority w:val="99"/>
    <w:semiHidden/>
    <w:unhideWhenUsed/>
    <w:rsid w:val="001C46D7"/>
    <w:rPr>
      <w:color w:val="954F72" w:themeColor="followedHyperlink"/>
      <w:u w:val="single"/>
    </w:rPr>
  </w:style>
  <w:style w:type="paragraph" w:styleId="FootnoteText">
    <w:name w:val="footnote text"/>
    <w:basedOn w:val="Normal"/>
    <w:link w:val="FootnoteTextChar"/>
    <w:uiPriority w:val="99"/>
    <w:unhideWhenUsed/>
    <w:rsid w:val="001C46D7"/>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1C46D7"/>
    <w:rPr>
      <w:kern w:val="0"/>
      <w:sz w:val="20"/>
      <w:szCs w:val="20"/>
      <w14:ligatures w14:val="none"/>
    </w:rPr>
  </w:style>
  <w:style w:type="character" w:styleId="FootnoteReference">
    <w:name w:val="footnote reference"/>
    <w:basedOn w:val="DefaultParagraphFont"/>
    <w:uiPriority w:val="99"/>
    <w:semiHidden/>
    <w:unhideWhenUsed/>
    <w:rsid w:val="001C46D7"/>
    <w:rPr>
      <w:vertAlign w:val="superscript"/>
    </w:rPr>
  </w:style>
  <w:style w:type="character" w:customStyle="1" w:styleId="note">
    <w:name w:val="note"/>
    <w:basedOn w:val="DefaultParagraphFont"/>
    <w:rsid w:val="001C46D7"/>
  </w:style>
  <w:style w:type="paragraph" w:customStyle="1" w:styleId="Normal1">
    <w:name w:val="Normal1"/>
    <w:basedOn w:val="Normal"/>
    <w:rsid w:val="001C46D7"/>
    <w:pPr>
      <w:spacing w:before="100" w:beforeAutospacing="1" w:after="100" w:afterAutospacing="1"/>
    </w:pPr>
    <w:rPr>
      <w:lang w:eastAsia="lv-LV"/>
    </w:rPr>
  </w:style>
  <w:style w:type="paragraph" w:styleId="Revision">
    <w:name w:val="Revision"/>
    <w:hidden/>
    <w:uiPriority w:val="99"/>
    <w:semiHidden/>
    <w:rsid w:val="001C46D7"/>
    <w:pPr>
      <w:spacing w:after="0" w:line="240" w:lineRule="auto"/>
    </w:pPr>
    <w:rPr>
      <w:rFonts w:eastAsia="Times New Roman" w:cs="Times New Roman"/>
      <w:kern w:val="0"/>
      <w:szCs w:val="24"/>
      <w:lang w:eastAsia="ru-RU"/>
      <w14:ligatures w14:val="none"/>
    </w:rPr>
  </w:style>
  <w:style w:type="paragraph" w:styleId="Title">
    <w:name w:val="Title"/>
    <w:basedOn w:val="Normal"/>
    <w:link w:val="TitleChar"/>
    <w:qFormat/>
    <w:rsid w:val="001C46D7"/>
    <w:pPr>
      <w:jc w:val="center"/>
    </w:pPr>
    <w:rPr>
      <w:sz w:val="28"/>
      <w:szCs w:val="20"/>
      <w:lang w:eastAsia="en-US"/>
    </w:rPr>
  </w:style>
  <w:style w:type="character" w:customStyle="1" w:styleId="TitleChar">
    <w:name w:val="Title Char"/>
    <w:basedOn w:val="DefaultParagraphFont"/>
    <w:link w:val="Title"/>
    <w:rsid w:val="001C46D7"/>
    <w:rPr>
      <w:rFonts w:eastAsia="Times New Roman" w:cs="Times New Roman"/>
      <w:kern w:val="0"/>
      <w:sz w:val="28"/>
      <w:szCs w:val="20"/>
      <w14:ligatures w14:val="none"/>
    </w:rPr>
  </w:style>
  <w:style w:type="paragraph" w:styleId="List">
    <w:name w:val="List"/>
    <w:basedOn w:val="Normal"/>
    <w:uiPriority w:val="99"/>
    <w:unhideWhenUsed/>
    <w:rsid w:val="001C46D7"/>
    <w:pPr>
      <w:ind w:left="283" w:hanging="283"/>
      <w:contextualSpacing/>
    </w:pPr>
  </w:style>
  <w:style w:type="paragraph" w:styleId="BodyText">
    <w:name w:val="Body Text"/>
    <w:basedOn w:val="Normal"/>
    <w:link w:val="BodyTextChar"/>
    <w:uiPriority w:val="99"/>
    <w:unhideWhenUsed/>
    <w:rsid w:val="001C46D7"/>
    <w:pPr>
      <w:spacing w:after="120"/>
    </w:pPr>
  </w:style>
  <w:style w:type="character" w:customStyle="1" w:styleId="BodyTextChar">
    <w:name w:val="Body Text Char"/>
    <w:basedOn w:val="DefaultParagraphFont"/>
    <w:link w:val="BodyText"/>
    <w:uiPriority w:val="99"/>
    <w:rsid w:val="001C46D7"/>
    <w:rPr>
      <w:rFonts w:eastAsia="Times New Roman" w:cs="Times New Roman"/>
      <w:kern w:val="0"/>
      <w:szCs w:val="24"/>
      <w:lang w:eastAsia="ru-RU"/>
      <w14:ligatures w14:val="none"/>
    </w:rPr>
  </w:style>
  <w:style w:type="paragraph" w:styleId="Subtitle">
    <w:name w:val="Subtitle"/>
    <w:basedOn w:val="Normal"/>
    <w:next w:val="Normal"/>
    <w:link w:val="SubtitleChar"/>
    <w:uiPriority w:val="11"/>
    <w:qFormat/>
    <w:rsid w:val="001C46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C46D7"/>
    <w:rPr>
      <w:rFonts w:asciiTheme="minorHAnsi" w:eastAsiaTheme="minorEastAsia" w:hAnsiTheme="minorHAnsi"/>
      <w:color w:val="5A5A5A" w:themeColor="text1" w:themeTint="A5"/>
      <w:spacing w:val="15"/>
      <w:kern w:val="0"/>
      <w:sz w:val="22"/>
      <w:lang w:eastAsia="ru-RU"/>
      <w14:ligatures w14:val="none"/>
    </w:rPr>
  </w:style>
  <w:style w:type="paragraph" w:styleId="BodyTextFirstIndent">
    <w:name w:val="Body Text First Indent"/>
    <w:basedOn w:val="BodyText"/>
    <w:link w:val="BodyTextFirstIndentChar"/>
    <w:uiPriority w:val="99"/>
    <w:unhideWhenUsed/>
    <w:rsid w:val="001C46D7"/>
    <w:pPr>
      <w:spacing w:after="0"/>
      <w:ind w:firstLine="360"/>
    </w:pPr>
  </w:style>
  <w:style w:type="character" w:customStyle="1" w:styleId="BodyTextFirstIndentChar">
    <w:name w:val="Body Text First Indent Char"/>
    <w:basedOn w:val="BodyTextChar"/>
    <w:link w:val="BodyTextFirstIndent"/>
    <w:uiPriority w:val="99"/>
    <w:rsid w:val="001C46D7"/>
    <w:rPr>
      <w:rFonts w:eastAsia="Times New Roman" w:cs="Times New Roman"/>
      <w:kern w:val="0"/>
      <w:szCs w:val="24"/>
      <w:lang w:eastAsia="ru-RU"/>
      <w14:ligatures w14:val="none"/>
    </w:rPr>
  </w:style>
  <w:style w:type="paragraph" w:customStyle="1" w:styleId="Default">
    <w:name w:val="Default"/>
    <w:rsid w:val="004711FD"/>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47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3accde6a-d1be-409a-a25d-d2cc424459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udoc.echr.coe.int/eng" TargetMode="External"/><Relationship Id="rId4" Type="http://schemas.openxmlformats.org/officeDocument/2006/relationships/webSettings" Target="webSettings.xml"/><Relationship Id="rId9"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10908</Words>
  <Characters>6218</Characters>
  <Application>Microsoft Office Word</Application>
  <DocSecurity>0</DocSecurity>
  <Lines>51</Lines>
  <Paragraphs>34</Paragraphs>
  <ScaleCrop>false</ScaleCrop>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2026-02-09T15:10:00Z</dcterms:created>
  <dcterms:modified xsi:type="dcterms:W3CDTF">2026-02-09T15:10:00Z</dcterms:modified>
</cp:coreProperties>
</file>