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F23BE" w14:textId="29CE13A7" w:rsidR="002D3655" w:rsidRPr="00E81AF2" w:rsidRDefault="00123C7E" w:rsidP="00123C7E">
      <w:pPr>
        <w:spacing w:line="276" w:lineRule="auto"/>
        <w:jc w:val="both"/>
        <w:rPr>
          <w:b/>
          <w:bCs/>
        </w:rPr>
      </w:pPr>
      <w:r w:rsidRPr="00E81AF2">
        <w:rPr>
          <w:b/>
          <w:bCs/>
        </w:rPr>
        <w:t>Zināmā mantinieka gadījumā rakstveida uzaicinājumu (izteikt gribu mantot) neaizstāj sludinājums</w:t>
      </w:r>
      <w:r w:rsidRPr="00E81AF2">
        <w:rPr>
          <w:b/>
          <w:bCs/>
        </w:rPr>
        <w:t xml:space="preserve"> laikrakstā</w:t>
      </w:r>
    </w:p>
    <w:p w14:paraId="7E56A4F5" w14:textId="77777777" w:rsidR="00123C7E" w:rsidRPr="00E81AF2" w:rsidRDefault="00123C7E" w:rsidP="00E81AF2">
      <w:pPr>
        <w:spacing w:line="276" w:lineRule="auto"/>
        <w:jc w:val="both"/>
      </w:pPr>
      <w:r w:rsidRPr="00E81AF2">
        <w:t>Uzaicinājuma sludinājums domāts nezināmiem mantiniekiem. Zināmos mantiniekus uzrāda pieteikumā par apstiprināšanu mantojuma tiesībās un neatkarīgi no sludinājuma paziņo par izsludināšanu un sludinājuma saturu zināmiem mantiniekiem.</w:t>
      </w:r>
    </w:p>
    <w:p w14:paraId="39B1C683" w14:textId="77777777" w:rsidR="00123C7E" w:rsidRPr="00E81AF2" w:rsidRDefault="00123C7E" w:rsidP="00123C7E">
      <w:pPr>
        <w:spacing w:line="276" w:lineRule="auto"/>
        <w:jc w:val="both"/>
        <w:rPr>
          <w:lang w:eastAsia="lv-LV"/>
        </w:rPr>
      </w:pPr>
    </w:p>
    <w:p w14:paraId="53DAE2FA" w14:textId="0A8F5C50" w:rsidR="002D3655" w:rsidRPr="00E81AF2" w:rsidRDefault="002D3655" w:rsidP="00123C7E">
      <w:pPr>
        <w:spacing w:line="276" w:lineRule="auto"/>
        <w:jc w:val="center"/>
        <w:rPr>
          <w:b/>
        </w:rPr>
      </w:pPr>
      <w:r w:rsidRPr="00E81AF2">
        <w:rPr>
          <w:b/>
        </w:rPr>
        <w:t>Latvijas Republikas Senāt</w:t>
      </w:r>
      <w:r w:rsidR="006E1A12" w:rsidRPr="00E81AF2">
        <w:rPr>
          <w:b/>
        </w:rPr>
        <w:t>a</w:t>
      </w:r>
    </w:p>
    <w:p w14:paraId="654CADEE" w14:textId="3C5F36E0" w:rsidR="006E1A12" w:rsidRPr="00E81AF2" w:rsidRDefault="006E1A12" w:rsidP="00123C7E">
      <w:pPr>
        <w:spacing w:line="276" w:lineRule="auto"/>
        <w:jc w:val="center"/>
        <w:rPr>
          <w:b/>
        </w:rPr>
      </w:pPr>
      <w:r w:rsidRPr="00E81AF2">
        <w:rPr>
          <w:b/>
        </w:rPr>
        <w:t>Civillietu departamenta</w:t>
      </w:r>
    </w:p>
    <w:p w14:paraId="5770F74F" w14:textId="76707623" w:rsidR="006E1A12" w:rsidRPr="00E81AF2" w:rsidRDefault="006E1A12" w:rsidP="00123C7E">
      <w:pPr>
        <w:spacing w:line="276" w:lineRule="auto"/>
        <w:jc w:val="center"/>
        <w:rPr>
          <w:b/>
        </w:rPr>
      </w:pPr>
      <w:r w:rsidRPr="00E81AF2">
        <w:rPr>
          <w:b/>
        </w:rPr>
        <w:t>2026. gada 29. janvāra</w:t>
      </w:r>
    </w:p>
    <w:p w14:paraId="0F426394" w14:textId="77777777" w:rsidR="002D3655" w:rsidRPr="00E81AF2" w:rsidRDefault="002D3655" w:rsidP="00123C7E">
      <w:pPr>
        <w:spacing w:line="276" w:lineRule="auto"/>
        <w:jc w:val="center"/>
        <w:rPr>
          <w:b/>
        </w:rPr>
      </w:pPr>
      <w:r w:rsidRPr="00E81AF2">
        <w:rPr>
          <w:b/>
        </w:rPr>
        <w:t>SPRIEDUMS</w:t>
      </w:r>
      <w:r w:rsidRPr="00E81AF2" w:rsidDel="000D5B2A">
        <w:rPr>
          <w:b/>
        </w:rPr>
        <w:t xml:space="preserve"> </w:t>
      </w:r>
    </w:p>
    <w:p w14:paraId="5147FB09" w14:textId="77777777" w:rsidR="006E1A12" w:rsidRPr="00E81AF2" w:rsidRDefault="006E1A12" w:rsidP="00123C7E">
      <w:pPr>
        <w:spacing w:line="276" w:lineRule="auto"/>
        <w:jc w:val="center"/>
        <w:rPr>
          <w:b/>
        </w:rPr>
      </w:pPr>
      <w:r w:rsidRPr="00E81AF2">
        <w:rPr>
          <w:b/>
        </w:rPr>
        <w:t>Lieta Nr. </w:t>
      </w:r>
      <w:r w:rsidRPr="00E81AF2">
        <w:rPr>
          <w:b/>
          <w:shd w:val="clear" w:color="auto" w:fill="FFFFFF"/>
        </w:rPr>
        <w:t>C68400421</w:t>
      </w:r>
      <w:r w:rsidRPr="00E81AF2">
        <w:rPr>
          <w:b/>
          <w:lang w:eastAsia="lv-LV"/>
        </w:rPr>
        <w:t xml:space="preserve">, </w:t>
      </w:r>
      <w:r w:rsidRPr="00E81AF2">
        <w:rPr>
          <w:b/>
        </w:rPr>
        <w:t>SKC-101/2026</w:t>
      </w:r>
    </w:p>
    <w:p w14:paraId="45879EE1" w14:textId="7FE30CED" w:rsidR="006E1A12" w:rsidRPr="00E81AF2" w:rsidRDefault="006E1A12" w:rsidP="00123C7E">
      <w:pPr>
        <w:spacing w:line="276" w:lineRule="auto"/>
        <w:jc w:val="center"/>
        <w:rPr>
          <w:lang w:eastAsia="lv-LV"/>
        </w:rPr>
      </w:pPr>
      <w:hyperlink r:id="rId7" w:history="1">
        <w:r w:rsidRPr="00E81AF2">
          <w:rPr>
            <w:rStyle w:val="Hyperlink"/>
            <w:lang w:eastAsia="lv-LV"/>
          </w:rPr>
          <w:t>ECLI:LV:AT:2026:0129.C68400421.14.S</w:t>
        </w:r>
      </w:hyperlink>
    </w:p>
    <w:p w14:paraId="0CD2FD15" w14:textId="77777777" w:rsidR="00505FFB" w:rsidRPr="00E81AF2" w:rsidRDefault="00505FFB" w:rsidP="00123C7E">
      <w:pPr>
        <w:spacing w:line="276" w:lineRule="auto"/>
        <w:contextualSpacing/>
        <w:jc w:val="center"/>
        <w:rPr>
          <w:b/>
        </w:rPr>
      </w:pPr>
    </w:p>
    <w:p w14:paraId="1543D67D" w14:textId="547C8902" w:rsidR="00505FFB" w:rsidRPr="00E81AF2" w:rsidRDefault="00505FFB" w:rsidP="00123C7E">
      <w:pPr>
        <w:spacing w:line="276" w:lineRule="auto"/>
        <w:ind w:firstLine="720"/>
        <w:jc w:val="both"/>
      </w:pPr>
      <w:r w:rsidRPr="00E81AF2">
        <w:t xml:space="preserve">Senāts šādā sastāvā: senators referents Intars Bisters, senatori </w:t>
      </w:r>
      <w:r w:rsidR="00460F77" w:rsidRPr="00E81AF2">
        <w:t>Kaspars Balodis</w:t>
      </w:r>
      <w:r w:rsidRPr="00E81AF2">
        <w:t xml:space="preserve"> un </w:t>
      </w:r>
      <w:r w:rsidR="00460F77" w:rsidRPr="00E81AF2">
        <w:t>Inese Grauda</w:t>
      </w:r>
    </w:p>
    <w:p w14:paraId="58F96AFD" w14:textId="25763735" w:rsidR="00574158" w:rsidRPr="00E81AF2" w:rsidRDefault="00505FFB" w:rsidP="00123C7E">
      <w:pPr>
        <w:spacing w:line="276" w:lineRule="auto"/>
        <w:ind w:firstLine="720"/>
        <w:jc w:val="both"/>
      </w:pPr>
      <w:r w:rsidRPr="00E81AF2">
        <w:t>izskatīja rakstveida procesā</w:t>
      </w:r>
      <w:r w:rsidR="00455E7E" w:rsidRPr="00E81AF2">
        <w:t xml:space="preserve"> </w:t>
      </w:r>
      <w:r w:rsidR="006E1A12" w:rsidRPr="00E81AF2">
        <w:t>[pers. A]</w:t>
      </w:r>
      <w:r w:rsidR="00460F77" w:rsidRPr="00E81AF2">
        <w:rPr>
          <w:lang w:eastAsia="lv-LV"/>
        </w:rPr>
        <w:t xml:space="preserve"> </w:t>
      </w:r>
      <w:r w:rsidRPr="00E81AF2">
        <w:t xml:space="preserve">kasācijas sūdzību par </w:t>
      </w:r>
      <w:r w:rsidR="00C278E5" w:rsidRPr="00E81AF2">
        <w:t>Rīgas apgabaltiesas 2025.</w:t>
      </w:r>
      <w:r w:rsidR="0037772E" w:rsidRPr="00E81AF2">
        <w:t> </w:t>
      </w:r>
      <w:r w:rsidR="00C278E5" w:rsidRPr="00E81AF2">
        <w:t>gada 2.</w:t>
      </w:r>
      <w:r w:rsidR="0037772E" w:rsidRPr="00E81AF2">
        <w:t> </w:t>
      </w:r>
      <w:r w:rsidR="00C278E5" w:rsidRPr="00E81AF2">
        <w:t xml:space="preserve">aprīļa </w:t>
      </w:r>
      <w:r w:rsidRPr="00E81AF2">
        <w:t xml:space="preserve">spriedumu civillietā </w:t>
      </w:r>
      <w:r w:rsidR="006E1A12" w:rsidRPr="00E81AF2">
        <w:t>[pers. A]</w:t>
      </w:r>
      <w:r w:rsidRPr="00E81AF2">
        <w:t xml:space="preserve"> prasībā pret </w:t>
      </w:r>
      <w:r w:rsidR="006E1A12" w:rsidRPr="00E81AF2">
        <w:t>[pers. B]</w:t>
      </w:r>
      <w:r w:rsidR="00C278E5" w:rsidRPr="00E81AF2">
        <w:t xml:space="preserve"> </w:t>
      </w:r>
      <w:r w:rsidRPr="00E81AF2">
        <w:t xml:space="preserve">par </w:t>
      </w:r>
      <w:r w:rsidR="00C278E5" w:rsidRPr="00E81AF2">
        <w:t>mantojuma apliecības atzīšanu par spēkā neesošu un īpašuma tiesību atzīšanu.</w:t>
      </w:r>
    </w:p>
    <w:p w14:paraId="536A140D" w14:textId="77777777" w:rsidR="002F39E4" w:rsidRPr="00E81AF2" w:rsidRDefault="002F39E4" w:rsidP="00123C7E">
      <w:pPr>
        <w:spacing w:line="276" w:lineRule="auto"/>
        <w:jc w:val="center"/>
        <w:rPr>
          <w:b/>
          <w:shd w:val="clear" w:color="auto" w:fill="FFFFFF"/>
        </w:rPr>
      </w:pPr>
    </w:p>
    <w:p w14:paraId="124B6556" w14:textId="56F01532" w:rsidR="00505FFB" w:rsidRPr="00E81AF2" w:rsidRDefault="00505FFB" w:rsidP="00123C7E">
      <w:pPr>
        <w:spacing w:line="276" w:lineRule="auto"/>
        <w:jc w:val="center"/>
        <w:rPr>
          <w:shd w:val="clear" w:color="auto" w:fill="FFFFFF"/>
        </w:rPr>
      </w:pPr>
      <w:r w:rsidRPr="00E81AF2">
        <w:rPr>
          <w:b/>
          <w:shd w:val="clear" w:color="auto" w:fill="FFFFFF"/>
        </w:rPr>
        <w:t>Aprakstošā daļa</w:t>
      </w:r>
    </w:p>
    <w:p w14:paraId="5F68E24F" w14:textId="77777777" w:rsidR="00123C7E" w:rsidRPr="00E81AF2" w:rsidRDefault="00123C7E" w:rsidP="00123C7E">
      <w:pPr>
        <w:spacing w:line="276" w:lineRule="auto"/>
        <w:ind w:firstLine="720"/>
        <w:contextualSpacing/>
        <w:jc w:val="both"/>
        <w:rPr>
          <w:shd w:val="clear" w:color="auto" w:fill="FFFFFF"/>
        </w:rPr>
      </w:pPr>
    </w:p>
    <w:p w14:paraId="115063AE" w14:textId="263BCE5F" w:rsidR="004B0B4E" w:rsidRPr="00E81AF2" w:rsidRDefault="00505FFB" w:rsidP="00123C7E">
      <w:pPr>
        <w:spacing w:line="276" w:lineRule="auto"/>
        <w:ind w:firstLine="720"/>
        <w:contextualSpacing/>
        <w:jc w:val="both"/>
        <w:rPr>
          <w:shd w:val="clear" w:color="auto" w:fill="FFFFFF"/>
        </w:rPr>
      </w:pPr>
      <w:r w:rsidRPr="00E81AF2">
        <w:rPr>
          <w:shd w:val="clear" w:color="auto" w:fill="FFFFFF"/>
        </w:rPr>
        <w:t>[1]</w:t>
      </w:r>
      <w:r w:rsidR="00002F68" w:rsidRPr="00E81AF2">
        <w:rPr>
          <w:shd w:val="clear" w:color="auto" w:fill="FFFFFF"/>
        </w:rPr>
        <w:t> </w:t>
      </w:r>
      <w:r w:rsidR="006E1A12" w:rsidRPr="00E81AF2">
        <w:rPr>
          <w:shd w:val="clear" w:color="auto" w:fill="FFFFFF"/>
        </w:rPr>
        <w:t>[</w:t>
      </w:r>
      <w:r w:rsidR="004F0458" w:rsidRPr="00E81AF2">
        <w:rPr>
          <w:shd w:val="clear" w:color="auto" w:fill="FFFFFF"/>
        </w:rPr>
        <w:t>P</w:t>
      </w:r>
      <w:r w:rsidR="006E1A12" w:rsidRPr="00E81AF2">
        <w:rPr>
          <w:shd w:val="clear" w:color="auto" w:fill="FFFFFF"/>
        </w:rPr>
        <w:t>ers. C]</w:t>
      </w:r>
      <w:r w:rsidR="00D84CD2" w:rsidRPr="00E81AF2">
        <w:rPr>
          <w:shd w:val="clear" w:color="auto" w:fill="FFFFFF"/>
        </w:rPr>
        <w:t xml:space="preserve"> mantojums</w:t>
      </w:r>
      <w:r w:rsidR="006E780A" w:rsidRPr="00E81AF2">
        <w:rPr>
          <w:shd w:val="clear" w:color="auto" w:fill="FFFFFF"/>
        </w:rPr>
        <w:t xml:space="preserve"> atklājās </w:t>
      </w:r>
      <w:r w:rsidR="006E1A12" w:rsidRPr="00E81AF2">
        <w:rPr>
          <w:shd w:val="clear" w:color="auto" w:fill="FFFFFF"/>
        </w:rPr>
        <w:t>[..]</w:t>
      </w:r>
      <w:r w:rsidR="00D84CD2" w:rsidRPr="00E81AF2">
        <w:rPr>
          <w:shd w:val="clear" w:color="auto" w:fill="FFFFFF"/>
        </w:rPr>
        <w:t xml:space="preserve">. </w:t>
      </w:r>
    </w:p>
    <w:p w14:paraId="3841A8AD" w14:textId="7608D939" w:rsidR="007F743C" w:rsidRPr="00E81AF2" w:rsidRDefault="004F060C" w:rsidP="00123C7E">
      <w:pPr>
        <w:spacing w:line="276" w:lineRule="auto"/>
        <w:ind w:firstLine="720"/>
        <w:contextualSpacing/>
        <w:jc w:val="both"/>
        <w:rPr>
          <w:shd w:val="clear" w:color="auto" w:fill="FFFFFF"/>
        </w:rPr>
      </w:pPr>
      <w:r w:rsidRPr="00E81AF2">
        <w:rPr>
          <w:shd w:val="clear" w:color="auto" w:fill="FFFFFF"/>
        </w:rPr>
        <w:t xml:space="preserve">Atbildētāja </w:t>
      </w:r>
      <w:r w:rsidR="006E1A12" w:rsidRPr="00E81AF2">
        <w:rPr>
          <w:shd w:val="clear" w:color="auto" w:fill="FFFFFF"/>
        </w:rPr>
        <w:t>[pers. B]</w:t>
      </w:r>
      <w:r w:rsidRPr="00E81AF2">
        <w:rPr>
          <w:shd w:val="clear" w:color="auto" w:fill="FFFFFF"/>
        </w:rPr>
        <w:t xml:space="preserve"> kā pārdzīvoju</w:t>
      </w:r>
      <w:r w:rsidR="00156422" w:rsidRPr="00E81AF2">
        <w:rPr>
          <w:shd w:val="clear" w:color="auto" w:fill="FFFFFF"/>
        </w:rPr>
        <w:t>sī</w:t>
      </w:r>
      <w:r w:rsidRPr="00E81AF2">
        <w:rPr>
          <w:shd w:val="clear" w:color="auto" w:fill="FFFFFF"/>
        </w:rPr>
        <w:t xml:space="preserve"> laulātā </w:t>
      </w:r>
      <w:r w:rsidR="006E1A12" w:rsidRPr="00E81AF2">
        <w:rPr>
          <w:shd w:val="clear" w:color="auto" w:fill="FFFFFF"/>
        </w:rPr>
        <w:t xml:space="preserve">[datums] </w:t>
      </w:r>
      <w:r w:rsidRPr="00E81AF2">
        <w:rPr>
          <w:shd w:val="clear" w:color="auto" w:fill="FFFFFF"/>
        </w:rPr>
        <w:t>iesniedza zvērināta</w:t>
      </w:r>
      <w:r w:rsidR="006E780A" w:rsidRPr="00E81AF2">
        <w:rPr>
          <w:shd w:val="clear" w:color="auto" w:fill="FFFFFF"/>
        </w:rPr>
        <w:t>m</w:t>
      </w:r>
      <w:r w:rsidR="00206FB5" w:rsidRPr="00E81AF2">
        <w:rPr>
          <w:shd w:val="clear" w:color="auto" w:fill="FFFFFF"/>
        </w:rPr>
        <w:t xml:space="preserve"> </w:t>
      </w:r>
      <w:r w:rsidRPr="00E81AF2">
        <w:rPr>
          <w:shd w:val="clear" w:color="auto" w:fill="FFFFFF"/>
        </w:rPr>
        <w:t>notār</w:t>
      </w:r>
      <w:r w:rsidR="006E780A" w:rsidRPr="00E81AF2">
        <w:rPr>
          <w:shd w:val="clear" w:color="auto" w:fill="FFFFFF"/>
        </w:rPr>
        <w:t>am</w:t>
      </w:r>
      <w:r w:rsidRPr="00E81AF2">
        <w:rPr>
          <w:shd w:val="clear" w:color="auto" w:fill="FFFFFF"/>
        </w:rPr>
        <w:t xml:space="preserve"> iesniegumu par mantojuma pieņemšanu un apstiprināšanu mantojuma tiesībās, norādot, ka mantojuma atstājējam ir dēls, taču viņa atrašanās vieta </w:t>
      </w:r>
      <w:r w:rsidR="00ED72AD" w:rsidRPr="00E81AF2">
        <w:rPr>
          <w:shd w:val="clear" w:color="auto" w:fill="FFFFFF"/>
        </w:rPr>
        <w:t>viņai</w:t>
      </w:r>
      <w:r w:rsidRPr="00E81AF2">
        <w:rPr>
          <w:shd w:val="clear" w:color="auto" w:fill="FFFFFF"/>
        </w:rPr>
        <w:t xml:space="preserve"> nav zināma. </w:t>
      </w:r>
    </w:p>
    <w:p w14:paraId="28687037" w14:textId="4C697400" w:rsidR="00747026" w:rsidRPr="00E81AF2" w:rsidRDefault="0037772E" w:rsidP="00123C7E">
      <w:pPr>
        <w:spacing w:line="276" w:lineRule="auto"/>
        <w:ind w:firstLine="720"/>
        <w:contextualSpacing/>
        <w:jc w:val="both"/>
        <w:rPr>
          <w:shd w:val="clear" w:color="auto" w:fill="FFFFFF"/>
        </w:rPr>
      </w:pPr>
      <w:r w:rsidRPr="00E81AF2">
        <w:rPr>
          <w:shd w:val="clear" w:color="auto" w:fill="FFFFFF"/>
        </w:rPr>
        <w:t>Z</w:t>
      </w:r>
      <w:r w:rsidR="00E62AB3" w:rsidRPr="00E81AF2">
        <w:rPr>
          <w:shd w:val="clear" w:color="auto" w:fill="FFFFFF"/>
        </w:rPr>
        <w:t>vērināt</w:t>
      </w:r>
      <w:r w:rsidRPr="00E81AF2">
        <w:rPr>
          <w:shd w:val="clear" w:color="auto" w:fill="FFFFFF"/>
        </w:rPr>
        <w:t>s</w:t>
      </w:r>
      <w:r w:rsidR="00E62AB3" w:rsidRPr="00E81AF2">
        <w:rPr>
          <w:shd w:val="clear" w:color="auto" w:fill="FFFFFF"/>
        </w:rPr>
        <w:t xml:space="preserve"> notār</w:t>
      </w:r>
      <w:r w:rsidRPr="00E81AF2">
        <w:rPr>
          <w:shd w:val="clear" w:color="auto" w:fill="FFFFFF"/>
        </w:rPr>
        <w:t>s</w:t>
      </w:r>
      <w:r w:rsidR="00E62AB3" w:rsidRPr="00E81AF2">
        <w:rPr>
          <w:shd w:val="clear" w:color="auto" w:fill="FFFFFF"/>
        </w:rPr>
        <w:t xml:space="preserve"> </w:t>
      </w:r>
      <w:r w:rsidR="006E1A12" w:rsidRPr="00E81AF2">
        <w:rPr>
          <w:shd w:val="clear" w:color="auto" w:fill="FFFFFF"/>
        </w:rPr>
        <w:t>[</w:t>
      </w:r>
      <w:r w:rsidR="004F0458" w:rsidRPr="00E81AF2">
        <w:rPr>
          <w:shd w:val="clear" w:color="auto" w:fill="FFFFFF"/>
        </w:rPr>
        <w:t>datums</w:t>
      </w:r>
      <w:r w:rsidR="006E1A12" w:rsidRPr="00E81AF2">
        <w:rPr>
          <w:shd w:val="clear" w:color="auto" w:fill="FFFFFF"/>
        </w:rPr>
        <w:t>]</w:t>
      </w:r>
      <w:r w:rsidRPr="00E81AF2">
        <w:rPr>
          <w:shd w:val="clear" w:color="auto" w:fill="FFFFFF"/>
        </w:rPr>
        <w:t xml:space="preserve"> </w:t>
      </w:r>
      <w:r w:rsidR="00E62AB3" w:rsidRPr="00E81AF2">
        <w:rPr>
          <w:shd w:val="clear" w:color="auto" w:fill="FFFFFF"/>
        </w:rPr>
        <w:t xml:space="preserve">oficiālajā izdevumā „Latvijas Vēstnesis” izsludināja </w:t>
      </w:r>
      <w:r w:rsidR="006E1A12" w:rsidRPr="00E81AF2">
        <w:rPr>
          <w:shd w:val="clear" w:color="auto" w:fill="FFFFFF"/>
        </w:rPr>
        <w:t>[pers. C]</w:t>
      </w:r>
      <w:r w:rsidRPr="00E81AF2">
        <w:rPr>
          <w:shd w:val="clear" w:color="auto" w:fill="FFFFFF"/>
        </w:rPr>
        <w:t xml:space="preserve"> </w:t>
      </w:r>
      <w:r w:rsidR="00E62AB3" w:rsidRPr="00E81AF2">
        <w:rPr>
          <w:shd w:val="clear" w:color="auto" w:fill="FFFFFF"/>
        </w:rPr>
        <w:t xml:space="preserve">mantojuma atklāšanos, uzaicinot pieteikties visus mantiniekus, kreditorus un citas personas, kurām ir </w:t>
      </w:r>
      <w:r w:rsidR="00ED72AD" w:rsidRPr="00E81AF2">
        <w:rPr>
          <w:shd w:val="clear" w:color="auto" w:fill="FFFFFF"/>
        </w:rPr>
        <w:t xml:space="preserve">kādas </w:t>
      </w:r>
      <w:r w:rsidR="00E62AB3" w:rsidRPr="00E81AF2">
        <w:rPr>
          <w:shd w:val="clear" w:color="auto" w:fill="FFFFFF"/>
        </w:rPr>
        <w:t xml:space="preserve">tiesības uz </w:t>
      </w:r>
      <w:r w:rsidRPr="00E81AF2">
        <w:rPr>
          <w:shd w:val="clear" w:color="auto" w:fill="FFFFFF"/>
        </w:rPr>
        <w:t xml:space="preserve">atstāto </w:t>
      </w:r>
      <w:r w:rsidR="00E62AB3" w:rsidRPr="00E81AF2">
        <w:rPr>
          <w:shd w:val="clear" w:color="auto" w:fill="FFFFFF"/>
        </w:rPr>
        <w:t>mantojumu, līdz 2019.</w:t>
      </w:r>
      <w:r w:rsidRPr="00E81AF2">
        <w:rPr>
          <w:shd w:val="clear" w:color="auto" w:fill="FFFFFF"/>
        </w:rPr>
        <w:t> </w:t>
      </w:r>
      <w:r w:rsidR="00E62AB3" w:rsidRPr="00E81AF2">
        <w:rPr>
          <w:shd w:val="clear" w:color="auto" w:fill="FFFFFF"/>
        </w:rPr>
        <w:t>gada 2.</w:t>
      </w:r>
      <w:r w:rsidRPr="00E81AF2">
        <w:rPr>
          <w:shd w:val="clear" w:color="auto" w:fill="FFFFFF"/>
        </w:rPr>
        <w:t> </w:t>
      </w:r>
      <w:r w:rsidR="00E62AB3" w:rsidRPr="00E81AF2">
        <w:rPr>
          <w:shd w:val="clear" w:color="auto" w:fill="FFFFFF"/>
        </w:rPr>
        <w:t>oktobrim.</w:t>
      </w:r>
      <w:r w:rsidR="00E96307" w:rsidRPr="00E81AF2">
        <w:rPr>
          <w:shd w:val="clear" w:color="auto" w:fill="FFFFFF"/>
        </w:rPr>
        <w:t xml:space="preserve"> </w:t>
      </w:r>
      <w:r w:rsidRPr="00E81AF2">
        <w:rPr>
          <w:shd w:val="clear" w:color="auto" w:fill="FFFFFF"/>
        </w:rPr>
        <w:t>U</w:t>
      </w:r>
      <w:r w:rsidR="00E96307" w:rsidRPr="00E81AF2">
        <w:rPr>
          <w:shd w:val="clear" w:color="auto" w:fill="FFFFFF"/>
        </w:rPr>
        <w:t xml:space="preserve">zaicinājuma termiņā citi mantinieki un personas, kurām būtu </w:t>
      </w:r>
      <w:r w:rsidRPr="00E81AF2">
        <w:rPr>
          <w:shd w:val="clear" w:color="auto" w:fill="FFFFFF"/>
        </w:rPr>
        <w:t xml:space="preserve">kādas </w:t>
      </w:r>
      <w:r w:rsidR="00E96307" w:rsidRPr="00E81AF2">
        <w:rPr>
          <w:shd w:val="clear" w:color="auto" w:fill="FFFFFF"/>
        </w:rPr>
        <w:t xml:space="preserve">tiesības uz </w:t>
      </w:r>
      <w:r w:rsidR="006E1A12" w:rsidRPr="00E81AF2">
        <w:rPr>
          <w:shd w:val="clear" w:color="auto" w:fill="FFFFFF"/>
        </w:rPr>
        <w:t>[pers. C]</w:t>
      </w:r>
      <w:r w:rsidR="00E96307" w:rsidRPr="00E81AF2">
        <w:rPr>
          <w:shd w:val="clear" w:color="auto" w:fill="FFFFFF"/>
        </w:rPr>
        <w:t xml:space="preserve"> atstāto mantojumu, nepieteicās. </w:t>
      </w:r>
    </w:p>
    <w:p w14:paraId="5C5A43AF" w14:textId="366DA6D1" w:rsidR="006E780A" w:rsidRPr="00E81AF2" w:rsidRDefault="0037772E" w:rsidP="00123C7E">
      <w:pPr>
        <w:spacing w:line="276" w:lineRule="auto"/>
        <w:ind w:firstLine="720"/>
        <w:contextualSpacing/>
        <w:jc w:val="both"/>
        <w:rPr>
          <w:shd w:val="clear" w:color="auto" w:fill="FFFFFF"/>
        </w:rPr>
      </w:pPr>
      <w:r w:rsidRPr="00E81AF2">
        <w:rPr>
          <w:shd w:val="clear" w:color="auto" w:fill="FFFFFF"/>
        </w:rPr>
        <w:t>Pamatojoties uz</w:t>
      </w:r>
      <w:r w:rsidR="004F060C" w:rsidRPr="00E81AF2">
        <w:rPr>
          <w:shd w:val="clear" w:color="auto" w:fill="FFFFFF"/>
        </w:rPr>
        <w:t xml:space="preserve"> zvērināta notār</w:t>
      </w:r>
      <w:r w:rsidRPr="00E81AF2">
        <w:rPr>
          <w:shd w:val="clear" w:color="auto" w:fill="FFFFFF"/>
        </w:rPr>
        <w:t>a</w:t>
      </w:r>
      <w:r w:rsidR="004F060C" w:rsidRPr="00E81AF2">
        <w:rPr>
          <w:shd w:val="clear" w:color="auto" w:fill="FFFFFF"/>
        </w:rPr>
        <w:t xml:space="preserve"> 2019.</w:t>
      </w:r>
      <w:r w:rsidRPr="00E81AF2">
        <w:rPr>
          <w:shd w:val="clear" w:color="auto" w:fill="FFFFFF"/>
        </w:rPr>
        <w:t> </w:t>
      </w:r>
      <w:r w:rsidR="004F060C" w:rsidRPr="00E81AF2">
        <w:rPr>
          <w:shd w:val="clear" w:color="auto" w:fill="FFFFFF"/>
        </w:rPr>
        <w:t>gada 14.</w:t>
      </w:r>
      <w:r w:rsidRPr="00E81AF2">
        <w:rPr>
          <w:shd w:val="clear" w:color="auto" w:fill="FFFFFF"/>
        </w:rPr>
        <w:t> </w:t>
      </w:r>
      <w:r w:rsidR="004F060C" w:rsidRPr="00E81AF2">
        <w:rPr>
          <w:shd w:val="clear" w:color="auto" w:fill="FFFFFF"/>
        </w:rPr>
        <w:t>oktobrī izdoto mantojuma apliecību</w:t>
      </w:r>
      <w:r w:rsidRPr="00E81AF2">
        <w:rPr>
          <w:shd w:val="clear" w:color="auto" w:fill="FFFFFF"/>
        </w:rPr>
        <w:t>,</w:t>
      </w:r>
      <w:r w:rsidR="004F060C" w:rsidRPr="00E81AF2">
        <w:rPr>
          <w:shd w:val="clear" w:color="auto" w:fill="FFFFFF"/>
        </w:rPr>
        <w:t xml:space="preserve"> </w:t>
      </w:r>
      <w:r w:rsidR="00DE24BF" w:rsidRPr="00E81AF2">
        <w:rPr>
          <w:shd w:val="clear" w:color="auto" w:fill="FFFFFF"/>
        </w:rPr>
        <w:t xml:space="preserve">mantojuma tiesībās </w:t>
      </w:r>
      <w:r w:rsidR="004F060C" w:rsidRPr="00E81AF2">
        <w:rPr>
          <w:shd w:val="clear" w:color="auto" w:fill="FFFFFF"/>
        </w:rPr>
        <w:t>u</w:t>
      </w:r>
      <w:r w:rsidR="00D84CD2" w:rsidRPr="00E81AF2">
        <w:rPr>
          <w:shd w:val="clear" w:color="auto" w:fill="FFFFFF"/>
        </w:rPr>
        <w:t xml:space="preserve">z visu </w:t>
      </w:r>
      <w:r w:rsidR="006E1A12" w:rsidRPr="00E81AF2">
        <w:rPr>
          <w:shd w:val="clear" w:color="auto" w:fill="FFFFFF"/>
        </w:rPr>
        <w:t>[pers. C]</w:t>
      </w:r>
      <w:r w:rsidR="004F060C" w:rsidRPr="00E81AF2">
        <w:rPr>
          <w:shd w:val="clear" w:color="auto" w:fill="FFFFFF"/>
        </w:rPr>
        <w:t xml:space="preserve"> atstāto</w:t>
      </w:r>
      <w:r w:rsidR="00D84CD2" w:rsidRPr="00E81AF2">
        <w:rPr>
          <w:shd w:val="clear" w:color="auto" w:fill="FFFFFF"/>
        </w:rPr>
        <w:t xml:space="preserve"> mantojumu </w:t>
      </w:r>
      <w:r w:rsidR="006E780A" w:rsidRPr="00E81AF2">
        <w:rPr>
          <w:shd w:val="clear" w:color="auto" w:fill="FFFFFF"/>
        </w:rPr>
        <w:t xml:space="preserve">kā vienīgā mantiniece </w:t>
      </w:r>
      <w:r w:rsidR="00D84CD2" w:rsidRPr="00E81AF2">
        <w:rPr>
          <w:shd w:val="clear" w:color="auto" w:fill="FFFFFF"/>
        </w:rPr>
        <w:t>tika apstiprināta atbildētāja</w:t>
      </w:r>
      <w:r w:rsidRPr="00E81AF2">
        <w:rPr>
          <w:shd w:val="clear" w:color="auto" w:fill="FFFFFF"/>
        </w:rPr>
        <w:t xml:space="preserve"> </w:t>
      </w:r>
      <w:r w:rsidR="006E1A12" w:rsidRPr="00E81AF2">
        <w:rPr>
          <w:shd w:val="clear" w:color="auto" w:fill="FFFFFF"/>
        </w:rPr>
        <w:t>[pers. B]</w:t>
      </w:r>
      <w:r w:rsidR="004F060C" w:rsidRPr="00E81AF2">
        <w:rPr>
          <w:shd w:val="clear" w:color="auto" w:fill="FFFFFF"/>
        </w:rPr>
        <w:t xml:space="preserve">. </w:t>
      </w:r>
    </w:p>
    <w:p w14:paraId="30044135" w14:textId="7BEB4725" w:rsidR="00D84CD2" w:rsidRPr="00E81AF2" w:rsidRDefault="006E1A12" w:rsidP="00123C7E">
      <w:pPr>
        <w:spacing w:line="276" w:lineRule="auto"/>
        <w:ind w:firstLine="720"/>
        <w:contextualSpacing/>
        <w:jc w:val="both"/>
        <w:rPr>
          <w:shd w:val="clear" w:color="auto" w:fill="FFFFFF"/>
        </w:rPr>
      </w:pPr>
      <w:r w:rsidRPr="00E81AF2">
        <w:rPr>
          <w:shd w:val="clear" w:color="auto" w:fill="FFFFFF"/>
        </w:rPr>
        <w:t>[</w:t>
      </w:r>
      <w:r w:rsidR="004F0458" w:rsidRPr="00E81AF2">
        <w:rPr>
          <w:shd w:val="clear" w:color="auto" w:fill="FFFFFF"/>
        </w:rPr>
        <w:t>P</w:t>
      </w:r>
      <w:r w:rsidRPr="00E81AF2">
        <w:rPr>
          <w:shd w:val="clear" w:color="auto" w:fill="FFFFFF"/>
        </w:rPr>
        <w:t>ers. C]</w:t>
      </w:r>
      <w:r w:rsidR="0037772E" w:rsidRPr="00E81AF2">
        <w:rPr>
          <w:shd w:val="clear" w:color="auto" w:fill="FFFFFF"/>
        </w:rPr>
        <w:t xml:space="preserve"> m</w:t>
      </w:r>
      <w:r w:rsidR="00D57729" w:rsidRPr="00E81AF2">
        <w:rPr>
          <w:shd w:val="clear" w:color="auto" w:fill="FFFFFF"/>
        </w:rPr>
        <w:t>antojum</w:t>
      </w:r>
      <w:r w:rsidR="0037772E" w:rsidRPr="00E81AF2">
        <w:rPr>
          <w:shd w:val="clear" w:color="auto" w:fill="FFFFFF"/>
        </w:rPr>
        <w:t>ā</w:t>
      </w:r>
      <w:r w:rsidR="00D57729" w:rsidRPr="00E81AF2">
        <w:rPr>
          <w:shd w:val="clear" w:color="auto" w:fill="FFFFFF"/>
        </w:rPr>
        <w:t xml:space="preserve"> ietilpst dzīvokļa </w:t>
      </w:r>
      <w:r w:rsidR="004F0458" w:rsidRPr="00E81AF2">
        <w:rPr>
          <w:shd w:val="clear" w:color="auto" w:fill="FFFFFF"/>
        </w:rPr>
        <w:t>[adrese]</w:t>
      </w:r>
      <w:r w:rsidR="00D57729" w:rsidRPr="00E81AF2">
        <w:rPr>
          <w:shd w:val="clear" w:color="auto" w:fill="FFFFFF"/>
        </w:rPr>
        <w:t xml:space="preserve">, un naudas līdzekļi </w:t>
      </w:r>
      <w:r w:rsidR="0037772E" w:rsidRPr="00E81AF2">
        <w:rPr>
          <w:shd w:val="clear" w:color="auto" w:fill="FFFFFF"/>
        </w:rPr>
        <w:t xml:space="preserve">bankas </w:t>
      </w:r>
      <w:r w:rsidR="00D57729" w:rsidRPr="00E81AF2">
        <w:rPr>
          <w:shd w:val="clear" w:color="auto" w:fill="FFFFFF"/>
        </w:rPr>
        <w:t xml:space="preserve">norēķinu kontā </w:t>
      </w:r>
      <w:r w:rsidR="004F0458" w:rsidRPr="00E81AF2">
        <w:rPr>
          <w:shd w:val="clear" w:color="auto" w:fill="FFFFFF"/>
        </w:rPr>
        <w:t>[..]</w:t>
      </w:r>
      <w:r w:rsidR="00496275" w:rsidRPr="00E81AF2">
        <w:rPr>
          <w:shd w:val="clear" w:color="auto" w:fill="FFFFFF"/>
        </w:rPr>
        <w:t> </w:t>
      </w:r>
      <w:proofErr w:type="spellStart"/>
      <w:r w:rsidR="00D57729" w:rsidRPr="00E81AF2">
        <w:rPr>
          <w:i/>
          <w:iCs/>
          <w:shd w:val="clear" w:color="auto" w:fill="FFFFFF"/>
        </w:rPr>
        <w:t>euro</w:t>
      </w:r>
      <w:proofErr w:type="spellEnd"/>
      <w:r w:rsidR="00D57729" w:rsidRPr="00E81AF2">
        <w:rPr>
          <w:shd w:val="clear" w:color="auto" w:fill="FFFFFF"/>
        </w:rPr>
        <w:t xml:space="preserve">. </w:t>
      </w:r>
    </w:p>
    <w:p w14:paraId="5A0A1C69" w14:textId="77777777" w:rsidR="00505FFB" w:rsidRPr="00E81AF2" w:rsidRDefault="00505FFB" w:rsidP="00123C7E">
      <w:pPr>
        <w:spacing w:line="276" w:lineRule="auto"/>
        <w:contextualSpacing/>
        <w:jc w:val="both"/>
        <w:rPr>
          <w:shd w:val="clear" w:color="auto" w:fill="FFFFFF"/>
        </w:rPr>
      </w:pPr>
    </w:p>
    <w:p w14:paraId="50F0C761" w14:textId="3BD13614" w:rsidR="00505FFB" w:rsidRPr="00E81AF2" w:rsidRDefault="00505FFB" w:rsidP="00123C7E">
      <w:pPr>
        <w:spacing w:line="276" w:lineRule="auto"/>
        <w:ind w:firstLine="720"/>
        <w:contextualSpacing/>
        <w:jc w:val="both"/>
      </w:pPr>
      <w:r w:rsidRPr="00E81AF2">
        <w:rPr>
          <w:shd w:val="clear" w:color="auto" w:fill="FFFFFF"/>
        </w:rPr>
        <w:t>[2]</w:t>
      </w:r>
      <w:r w:rsidR="00002F68" w:rsidRPr="00E81AF2">
        <w:rPr>
          <w:shd w:val="clear" w:color="auto" w:fill="FFFFFF"/>
        </w:rPr>
        <w:t> </w:t>
      </w:r>
      <w:r w:rsidRPr="00E81AF2">
        <w:rPr>
          <w:shd w:val="clear" w:color="auto" w:fill="FFFFFF"/>
        </w:rPr>
        <w:t xml:space="preserve">Prasītājs </w:t>
      </w:r>
      <w:r w:rsidR="00D84CD2" w:rsidRPr="00E81AF2">
        <w:t>2021.</w:t>
      </w:r>
      <w:r w:rsidR="006E780A" w:rsidRPr="00E81AF2">
        <w:t> </w:t>
      </w:r>
      <w:r w:rsidR="00D84CD2" w:rsidRPr="00E81AF2">
        <w:t>gada 10.</w:t>
      </w:r>
      <w:r w:rsidR="006E780A" w:rsidRPr="00E81AF2">
        <w:t> </w:t>
      </w:r>
      <w:r w:rsidR="00D84CD2" w:rsidRPr="00E81AF2">
        <w:t>jūnijā</w:t>
      </w:r>
      <w:r w:rsidRPr="00E81AF2">
        <w:t xml:space="preserve"> cēla prasību tiesā pret </w:t>
      </w:r>
      <w:r w:rsidR="006E1A12" w:rsidRPr="00E81AF2">
        <w:t>[pers. B]</w:t>
      </w:r>
      <w:r w:rsidR="00D84CD2" w:rsidRPr="00E81AF2">
        <w:t xml:space="preserve"> par mantojuma apliecības atzīšanu par spēkā neesošu un īpašuma tiesību atzīšanu. </w:t>
      </w:r>
    </w:p>
    <w:p w14:paraId="607852EC" w14:textId="2F00BE94" w:rsidR="00ED72AD" w:rsidRPr="00E81AF2" w:rsidRDefault="00ED72AD" w:rsidP="00123C7E">
      <w:pPr>
        <w:spacing w:line="276" w:lineRule="auto"/>
        <w:ind w:firstLine="720"/>
        <w:contextualSpacing/>
        <w:jc w:val="both"/>
        <w:rPr>
          <w:shd w:val="clear" w:color="auto" w:fill="FFFFFF"/>
        </w:rPr>
      </w:pPr>
      <w:r w:rsidRPr="00E81AF2">
        <w:rPr>
          <w:shd w:val="clear" w:color="auto" w:fill="FFFFFF"/>
        </w:rPr>
        <w:t xml:space="preserve">Prasībā norādīts, ka </w:t>
      </w:r>
      <w:r w:rsidR="006E1A12" w:rsidRPr="00E81AF2">
        <w:rPr>
          <w:shd w:val="clear" w:color="auto" w:fill="FFFFFF"/>
        </w:rPr>
        <w:t>[pers. A]</w:t>
      </w:r>
      <w:r w:rsidRPr="00E81AF2">
        <w:rPr>
          <w:shd w:val="clear" w:color="auto" w:fill="FFFFFF"/>
        </w:rPr>
        <w:t xml:space="preserve"> ir mantojuma atstājēja dēls, kurš 2021.</w:t>
      </w:r>
      <w:r w:rsidR="00B476CA" w:rsidRPr="00E81AF2">
        <w:rPr>
          <w:shd w:val="clear" w:color="auto" w:fill="FFFFFF"/>
        </w:rPr>
        <w:t> </w:t>
      </w:r>
      <w:r w:rsidRPr="00E81AF2">
        <w:rPr>
          <w:shd w:val="clear" w:color="auto" w:fill="FFFFFF"/>
        </w:rPr>
        <w:t xml:space="preserve">gada aprīlī uzzināja par tēva nāvi. </w:t>
      </w:r>
      <w:r w:rsidR="00B476CA" w:rsidRPr="00E81AF2">
        <w:rPr>
          <w:shd w:val="clear" w:color="auto" w:fill="FFFFFF"/>
        </w:rPr>
        <w:t>Nekavējoties</w:t>
      </w:r>
      <w:r w:rsidRPr="00E81AF2">
        <w:rPr>
          <w:shd w:val="clear" w:color="auto" w:fill="FFFFFF"/>
        </w:rPr>
        <w:t xml:space="preserve"> </w:t>
      </w:r>
      <w:r w:rsidR="00002F68" w:rsidRPr="00E81AF2">
        <w:rPr>
          <w:shd w:val="clear" w:color="auto" w:fill="FFFFFF"/>
        </w:rPr>
        <w:t>prasītājs</w:t>
      </w:r>
      <w:r w:rsidRPr="00E81AF2">
        <w:rPr>
          <w:shd w:val="clear" w:color="auto" w:fill="FFFFFF"/>
        </w:rPr>
        <w:t xml:space="preserve"> vērsās pie zvērināta notāra</w:t>
      </w:r>
      <w:r w:rsidR="00B476CA" w:rsidRPr="00E81AF2">
        <w:rPr>
          <w:shd w:val="clear" w:color="auto" w:fill="FFFFFF"/>
        </w:rPr>
        <w:t>, kur</w:t>
      </w:r>
      <w:r w:rsidRPr="00E81AF2">
        <w:rPr>
          <w:shd w:val="clear" w:color="auto" w:fill="FFFFFF"/>
        </w:rPr>
        <w:t xml:space="preserve"> noskaidroja, ka tēva mantojuma lieta ir pabeigta. </w:t>
      </w:r>
    </w:p>
    <w:p w14:paraId="22987420" w14:textId="6A007F62" w:rsidR="00505FFB" w:rsidRPr="00E81AF2" w:rsidRDefault="00505FFB" w:rsidP="00123C7E">
      <w:pPr>
        <w:spacing w:line="276" w:lineRule="auto"/>
        <w:ind w:firstLine="720"/>
        <w:contextualSpacing/>
        <w:jc w:val="both"/>
      </w:pPr>
      <w:r w:rsidRPr="00E81AF2">
        <w:lastRenderedPageBreak/>
        <w:t xml:space="preserve">Prasības pieteikumā norādīts, ka </w:t>
      </w:r>
      <w:r w:rsidR="00E96820" w:rsidRPr="00E81AF2">
        <w:t xml:space="preserve">prasītājam kā mantojuma atstājēja vienīgajam dēlam un pirmās šķiras mantiniekam ir tiesības prasīt izdot mantojuma daļu, kas pēc likuma </w:t>
      </w:r>
      <w:r w:rsidR="00742E6A" w:rsidRPr="00E81AF2">
        <w:t>viņam</w:t>
      </w:r>
      <w:r w:rsidR="00E96820" w:rsidRPr="00E81AF2">
        <w:t xml:space="preserve"> pienākas kā līdzmantiniekam uz sava tēva atstāto mantojumu.</w:t>
      </w:r>
    </w:p>
    <w:p w14:paraId="68864413" w14:textId="22A9D017" w:rsidR="00B476CA" w:rsidRPr="00E81AF2" w:rsidRDefault="00B476CA" w:rsidP="00123C7E">
      <w:pPr>
        <w:spacing w:line="276" w:lineRule="auto"/>
        <w:ind w:firstLine="720"/>
        <w:contextualSpacing/>
        <w:jc w:val="both"/>
      </w:pPr>
      <w:r w:rsidRPr="00E81AF2">
        <w:t>Prasītājs kā zināmais mantinieks nav ticis aicināts izteikt gribu pieņemt tēva atstāto mantojumu.</w:t>
      </w:r>
    </w:p>
    <w:p w14:paraId="4DABA400" w14:textId="77777777" w:rsidR="00505FFB" w:rsidRPr="00E81AF2" w:rsidRDefault="00505FFB" w:rsidP="00123C7E">
      <w:pPr>
        <w:spacing w:line="276" w:lineRule="auto"/>
        <w:ind w:firstLine="720"/>
        <w:contextualSpacing/>
        <w:jc w:val="both"/>
      </w:pPr>
    </w:p>
    <w:p w14:paraId="4CBF6C91" w14:textId="43BB7894" w:rsidR="00505FFB" w:rsidRPr="00E81AF2" w:rsidRDefault="00505FFB" w:rsidP="00123C7E">
      <w:pPr>
        <w:spacing w:line="276" w:lineRule="auto"/>
        <w:ind w:firstLine="720"/>
        <w:contextualSpacing/>
        <w:jc w:val="both"/>
        <w:rPr>
          <w:shd w:val="clear" w:color="auto" w:fill="FFFFFF"/>
        </w:rPr>
      </w:pPr>
      <w:r w:rsidRPr="00E81AF2">
        <w:rPr>
          <w:shd w:val="clear" w:color="auto" w:fill="FFFFFF"/>
          <w:lang w:eastAsia="lv-LV"/>
        </w:rPr>
        <w:t>[</w:t>
      </w:r>
      <w:r w:rsidRPr="00E81AF2">
        <w:rPr>
          <w:shd w:val="clear" w:color="auto" w:fill="FFFFFF"/>
        </w:rPr>
        <w:t>3</w:t>
      </w:r>
      <w:r w:rsidRPr="00E81AF2">
        <w:rPr>
          <w:shd w:val="clear" w:color="auto" w:fill="FFFFFF"/>
          <w:lang w:eastAsia="lv-LV"/>
        </w:rPr>
        <w:t xml:space="preserve">] Ar </w:t>
      </w:r>
      <w:r w:rsidR="00FF2002" w:rsidRPr="00E81AF2">
        <w:rPr>
          <w:shd w:val="clear" w:color="auto" w:fill="FFFFFF"/>
        </w:rPr>
        <w:t xml:space="preserve">Rīgas pilsētas </w:t>
      </w:r>
      <w:r w:rsidR="006E5A7B" w:rsidRPr="00E81AF2">
        <w:rPr>
          <w:shd w:val="clear" w:color="auto" w:fill="FFFFFF"/>
        </w:rPr>
        <w:t xml:space="preserve">tiesas </w:t>
      </w:r>
      <w:r w:rsidR="00FF2002" w:rsidRPr="00E81AF2">
        <w:rPr>
          <w:shd w:val="clear" w:color="auto" w:fill="FFFFFF"/>
        </w:rPr>
        <w:t>2022.</w:t>
      </w:r>
      <w:r w:rsidR="00B476CA" w:rsidRPr="00E81AF2">
        <w:rPr>
          <w:shd w:val="clear" w:color="auto" w:fill="FFFFFF"/>
        </w:rPr>
        <w:t> </w:t>
      </w:r>
      <w:r w:rsidR="00FF2002" w:rsidRPr="00E81AF2">
        <w:rPr>
          <w:shd w:val="clear" w:color="auto" w:fill="FFFFFF"/>
        </w:rPr>
        <w:t>gada 30.</w:t>
      </w:r>
      <w:r w:rsidR="00B476CA" w:rsidRPr="00E81AF2">
        <w:rPr>
          <w:shd w:val="clear" w:color="auto" w:fill="FFFFFF"/>
        </w:rPr>
        <w:t> </w:t>
      </w:r>
      <w:r w:rsidR="00FF2002" w:rsidRPr="00E81AF2">
        <w:rPr>
          <w:shd w:val="clear" w:color="auto" w:fill="FFFFFF"/>
        </w:rPr>
        <w:t>jūnija</w:t>
      </w:r>
      <w:r w:rsidRPr="00E81AF2">
        <w:rPr>
          <w:shd w:val="clear" w:color="auto" w:fill="FFFFFF"/>
          <w:lang w:eastAsia="lv-LV"/>
        </w:rPr>
        <w:t xml:space="preserve"> spriedumu prasība </w:t>
      </w:r>
      <w:r w:rsidR="00FF2002" w:rsidRPr="00E81AF2">
        <w:rPr>
          <w:shd w:val="clear" w:color="auto" w:fill="FFFFFF"/>
        </w:rPr>
        <w:t>noraidīta.</w:t>
      </w:r>
    </w:p>
    <w:p w14:paraId="3B4626E4" w14:textId="1D7F1B88" w:rsidR="00FF2002" w:rsidRPr="00E81AF2" w:rsidRDefault="00FF2002" w:rsidP="00123C7E">
      <w:pPr>
        <w:spacing w:line="276" w:lineRule="auto"/>
        <w:ind w:firstLine="720"/>
        <w:contextualSpacing/>
        <w:jc w:val="both"/>
        <w:rPr>
          <w:shd w:val="clear" w:color="auto" w:fill="FFFFFF"/>
        </w:rPr>
      </w:pPr>
      <w:r w:rsidRPr="00E81AF2">
        <w:rPr>
          <w:shd w:val="clear" w:color="auto" w:fill="FFFFFF"/>
        </w:rPr>
        <w:t xml:space="preserve">Spriedums pamatots ar šādiem argumentiem. </w:t>
      </w:r>
    </w:p>
    <w:p w14:paraId="192124CF" w14:textId="67318C56" w:rsidR="00553528" w:rsidRPr="00E81AF2" w:rsidRDefault="00FF21B5" w:rsidP="00123C7E">
      <w:pPr>
        <w:spacing w:line="276" w:lineRule="auto"/>
        <w:ind w:firstLine="720"/>
        <w:contextualSpacing/>
        <w:jc w:val="both"/>
        <w:rPr>
          <w:shd w:val="clear" w:color="auto" w:fill="FFFFFF"/>
        </w:rPr>
      </w:pPr>
      <w:r w:rsidRPr="00E81AF2">
        <w:rPr>
          <w:shd w:val="clear" w:color="auto" w:fill="FFFFFF"/>
        </w:rPr>
        <w:t>Civillikuma 688.</w:t>
      </w:r>
      <w:r w:rsidR="00496275" w:rsidRPr="00E81AF2">
        <w:rPr>
          <w:shd w:val="clear" w:color="auto" w:fill="FFFFFF"/>
        </w:rPr>
        <w:t> </w:t>
      </w:r>
      <w:r w:rsidRPr="00E81AF2">
        <w:rPr>
          <w:shd w:val="clear" w:color="auto" w:fill="FFFFFF"/>
        </w:rPr>
        <w:t xml:space="preserve">pants noteic, ka ar mantojuma atklāšanos un aicinājumu mantot nodibinās vienīgi iespēja kļūt par mantinieku, bet mantojuma iegūšanai vēl vajadzīgs, lai aicinātais izteiktu gribu pieņemt viņam piekritušo mantojumu. </w:t>
      </w:r>
      <w:r w:rsidR="00155259" w:rsidRPr="00E81AF2">
        <w:rPr>
          <w:shd w:val="clear" w:color="auto" w:fill="FFFFFF"/>
        </w:rPr>
        <w:t>Papildus</w:t>
      </w:r>
      <w:r w:rsidR="00553528" w:rsidRPr="00E81AF2">
        <w:rPr>
          <w:shd w:val="clear" w:color="auto" w:fill="FFFFFF"/>
        </w:rPr>
        <w:t xml:space="preserve"> Civillikuma 693.</w:t>
      </w:r>
      <w:r w:rsidR="00496275" w:rsidRPr="00E81AF2">
        <w:rPr>
          <w:shd w:val="clear" w:color="auto" w:fill="FFFFFF"/>
        </w:rPr>
        <w:t> </w:t>
      </w:r>
      <w:r w:rsidR="00553528" w:rsidRPr="00E81AF2">
        <w:rPr>
          <w:shd w:val="clear" w:color="auto" w:fill="FFFFFF"/>
        </w:rPr>
        <w:t>pants paredz, ja mantinieki ir uzaicināti, ta</w:t>
      </w:r>
      <w:r w:rsidR="00B476CA" w:rsidRPr="00E81AF2">
        <w:rPr>
          <w:shd w:val="clear" w:color="auto" w:fill="FFFFFF"/>
        </w:rPr>
        <w:t xml:space="preserve">d </w:t>
      </w:r>
      <w:r w:rsidR="00553528" w:rsidRPr="00E81AF2">
        <w:rPr>
          <w:shd w:val="clear" w:color="auto" w:fill="FFFFFF"/>
        </w:rPr>
        <w:t xml:space="preserve">mantot aicinātam sava griba </w:t>
      </w:r>
      <w:r w:rsidR="00B476CA" w:rsidRPr="00E81AF2">
        <w:rPr>
          <w:shd w:val="clear" w:color="auto" w:fill="FFFFFF"/>
        </w:rPr>
        <w:t>pieņemt</w:t>
      </w:r>
      <w:r w:rsidR="00553528" w:rsidRPr="00E81AF2">
        <w:rPr>
          <w:shd w:val="clear" w:color="auto" w:fill="FFFFFF"/>
        </w:rPr>
        <w:t xml:space="preserve"> mantojum</w:t>
      </w:r>
      <w:r w:rsidR="00B476CA" w:rsidRPr="00E81AF2">
        <w:rPr>
          <w:shd w:val="clear" w:color="auto" w:fill="FFFFFF"/>
        </w:rPr>
        <w:t>u</w:t>
      </w:r>
      <w:r w:rsidR="00553528" w:rsidRPr="00E81AF2">
        <w:rPr>
          <w:shd w:val="clear" w:color="auto" w:fill="FFFFFF"/>
        </w:rPr>
        <w:t xml:space="preserve"> jāizteic līdz uzaicinājumā noliktam termiņam.</w:t>
      </w:r>
    </w:p>
    <w:p w14:paraId="3B777571" w14:textId="163521D7" w:rsidR="00A74850" w:rsidRPr="00E81AF2" w:rsidRDefault="00553528" w:rsidP="00123C7E">
      <w:pPr>
        <w:spacing w:line="276" w:lineRule="auto"/>
        <w:ind w:firstLine="720"/>
        <w:contextualSpacing/>
        <w:jc w:val="both"/>
        <w:rPr>
          <w:shd w:val="clear" w:color="auto" w:fill="FFFFFF"/>
        </w:rPr>
      </w:pPr>
      <w:r w:rsidRPr="00E81AF2">
        <w:rPr>
          <w:shd w:val="clear" w:color="auto" w:fill="FFFFFF"/>
        </w:rPr>
        <w:t xml:space="preserve">Ņemot vērā, ka prasītājs nokavēja </w:t>
      </w:r>
      <w:r w:rsidR="00A74850" w:rsidRPr="00E81AF2">
        <w:rPr>
          <w:shd w:val="clear" w:color="auto" w:fill="FFFFFF"/>
        </w:rPr>
        <w:t>uzaicinājumā no</w:t>
      </w:r>
      <w:r w:rsidR="003C01F6" w:rsidRPr="00E81AF2">
        <w:rPr>
          <w:shd w:val="clear" w:color="auto" w:fill="FFFFFF"/>
        </w:rPr>
        <w:t>teikto</w:t>
      </w:r>
      <w:r w:rsidR="00A74850" w:rsidRPr="00E81AF2">
        <w:rPr>
          <w:shd w:val="clear" w:color="auto" w:fill="FFFFFF"/>
        </w:rPr>
        <w:t xml:space="preserve"> termiņu, </w:t>
      </w:r>
      <w:r w:rsidR="00155259" w:rsidRPr="00E81AF2">
        <w:rPr>
          <w:shd w:val="clear" w:color="auto" w:fill="FFFFFF"/>
        </w:rPr>
        <w:t>neizsakot gribu mantojumu pieņemt</w:t>
      </w:r>
      <w:r w:rsidR="00A74850" w:rsidRPr="00E81AF2">
        <w:rPr>
          <w:shd w:val="clear" w:color="auto" w:fill="FFFFFF"/>
        </w:rPr>
        <w:t xml:space="preserve">, atzīstams, ka prasītājs </w:t>
      </w:r>
      <w:r w:rsidR="00B476CA" w:rsidRPr="00E81AF2">
        <w:rPr>
          <w:shd w:val="clear" w:color="auto" w:fill="FFFFFF"/>
        </w:rPr>
        <w:t>mantojumu</w:t>
      </w:r>
      <w:r w:rsidR="00A74850" w:rsidRPr="00E81AF2">
        <w:rPr>
          <w:shd w:val="clear" w:color="auto" w:fill="FFFFFF"/>
        </w:rPr>
        <w:t xml:space="preserve"> atraidījis. Savukārt</w:t>
      </w:r>
      <w:r w:rsidR="00930130" w:rsidRPr="00E81AF2">
        <w:rPr>
          <w:shd w:val="clear" w:color="auto" w:fill="FFFFFF"/>
        </w:rPr>
        <w:t xml:space="preserve">, </w:t>
      </w:r>
      <w:r w:rsidR="00A74850" w:rsidRPr="00E81AF2">
        <w:rPr>
          <w:shd w:val="clear" w:color="auto" w:fill="FFFFFF"/>
        </w:rPr>
        <w:t>atraidot mantojumu, mantiniekam zūd tiesība vēlāk prasīt izdot mantojuma daļu</w:t>
      </w:r>
      <w:r w:rsidR="00930130" w:rsidRPr="00E81AF2">
        <w:rPr>
          <w:shd w:val="clear" w:color="auto" w:fill="FFFFFF"/>
        </w:rPr>
        <w:t>, kas viņam pienā</w:t>
      </w:r>
      <w:r w:rsidR="00B476CA" w:rsidRPr="00E81AF2">
        <w:rPr>
          <w:shd w:val="clear" w:color="auto" w:fill="FFFFFF"/>
        </w:rPr>
        <w:t>cā</w:t>
      </w:r>
      <w:r w:rsidR="00930130" w:rsidRPr="00E81AF2">
        <w:rPr>
          <w:shd w:val="clear" w:color="auto" w:fill="FFFFFF"/>
        </w:rPr>
        <w:t>s</w:t>
      </w:r>
      <w:r w:rsidR="00155259" w:rsidRPr="00E81AF2">
        <w:rPr>
          <w:shd w:val="clear" w:color="auto" w:fill="FFFFFF"/>
        </w:rPr>
        <w:t>.</w:t>
      </w:r>
    </w:p>
    <w:p w14:paraId="66B4C4F9" w14:textId="77777777" w:rsidR="00505FFB" w:rsidRPr="00E81AF2" w:rsidRDefault="00505FFB" w:rsidP="00123C7E">
      <w:pPr>
        <w:spacing w:line="276" w:lineRule="auto"/>
        <w:contextualSpacing/>
        <w:jc w:val="both"/>
      </w:pPr>
    </w:p>
    <w:p w14:paraId="3FF57D8B" w14:textId="4533871D" w:rsidR="00505FFB" w:rsidRPr="00E81AF2" w:rsidRDefault="00505FFB" w:rsidP="00123C7E">
      <w:pPr>
        <w:spacing w:line="276" w:lineRule="auto"/>
        <w:ind w:firstLine="720"/>
        <w:contextualSpacing/>
        <w:jc w:val="both"/>
        <w:rPr>
          <w:shd w:val="clear" w:color="auto" w:fill="FFFFFF"/>
        </w:rPr>
      </w:pPr>
      <w:r w:rsidRPr="00E81AF2">
        <w:rPr>
          <w:shd w:val="clear" w:color="auto" w:fill="FFFFFF"/>
        </w:rPr>
        <w:t>[4]</w:t>
      </w:r>
      <w:r w:rsidR="00957C7F" w:rsidRPr="00E81AF2">
        <w:rPr>
          <w:shd w:val="clear" w:color="auto" w:fill="FFFFFF"/>
        </w:rPr>
        <w:t> </w:t>
      </w:r>
      <w:r w:rsidRPr="00E81AF2">
        <w:rPr>
          <w:shd w:val="clear" w:color="auto" w:fill="FFFFFF"/>
        </w:rPr>
        <w:t>Izskatījusi liet</w:t>
      </w:r>
      <w:r w:rsidR="006E5A7B" w:rsidRPr="00E81AF2">
        <w:rPr>
          <w:shd w:val="clear" w:color="auto" w:fill="FFFFFF"/>
        </w:rPr>
        <w:t>ā</w:t>
      </w:r>
      <w:r w:rsidRPr="00E81AF2">
        <w:rPr>
          <w:shd w:val="clear" w:color="auto" w:fill="FFFFFF"/>
        </w:rPr>
        <w:t xml:space="preserve"> </w:t>
      </w:r>
      <w:r w:rsidR="00FF2002" w:rsidRPr="00E81AF2">
        <w:rPr>
          <w:shd w:val="clear" w:color="auto" w:fill="FFFFFF"/>
        </w:rPr>
        <w:t>prasītāja</w:t>
      </w:r>
      <w:r w:rsidRPr="00E81AF2">
        <w:rPr>
          <w:shd w:val="clear" w:color="auto" w:fill="FFFFFF"/>
        </w:rPr>
        <w:t xml:space="preserve"> apelācijas sūdzību, </w:t>
      </w:r>
      <w:r w:rsidR="00FF2002" w:rsidRPr="00E81AF2">
        <w:rPr>
          <w:shd w:val="clear" w:color="auto" w:fill="FFFFFF"/>
        </w:rPr>
        <w:t>Rīgas apgabaltiesa ar 2022.</w:t>
      </w:r>
      <w:r w:rsidR="00B476CA" w:rsidRPr="00E81AF2">
        <w:rPr>
          <w:shd w:val="clear" w:color="auto" w:fill="FFFFFF"/>
        </w:rPr>
        <w:t> </w:t>
      </w:r>
      <w:r w:rsidR="00FF2002" w:rsidRPr="00E81AF2">
        <w:rPr>
          <w:shd w:val="clear" w:color="auto" w:fill="FFFFFF"/>
        </w:rPr>
        <w:t>gada 29.</w:t>
      </w:r>
      <w:r w:rsidR="00B476CA" w:rsidRPr="00E81AF2">
        <w:rPr>
          <w:shd w:val="clear" w:color="auto" w:fill="FFFFFF"/>
        </w:rPr>
        <w:t> </w:t>
      </w:r>
      <w:r w:rsidR="00FF2002" w:rsidRPr="00E81AF2">
        <w:rPr>
          <w:shd w:val="clear" w:color="auto" w:fill="FFFFFF"/>
        </w:rPr>
        <w:t>novembra</w:t>
      </w:r>
      <w:r w:rsidRPr="00E81AF2">
        <w:rPr>
          <w:shd w:val="clear" w:color="auto" w:fill="FFFFFF"/>
        </w:rPr>
        <w:t xml:space="preserve"> spriedumu prasību </w:t>
      </w:r>
      <w:r w:rsidR="00FF2002" w:rsidRPr="00E81AF2">
        <w:rPr>
          <w:shd w:val="clear" w:color="auto" w:fill="FFFFFF"/>
        </w:rPr>
        <w:t>apmierināja.</w:t>
      </w:r>
    </w:p>
    <w:p w14:paraId="47DE055A" w14:textId="77777777" w:rsidR="00505FFB" w:rsidRPr="00E81AF2" w:rsidRDefault="00505FFB" w:rsidP="00123C7E">
      <w:pPr>
        <w:spacing w:line="276" w:lineRule="auto"/>
        <w:ind w:firstLine="720"/>
        <w:contextualSpacing/>
        <w:jc w:val="both"/>
        <w:rPr>
          <w:shd w:val="clear" w:color="auto" w:fill="FFFFFF"/>
        </w:rPr>
      </w:pPr>
      <w:r w:rsidRPr="00E81AF2">
        <w:rPr>
          <w:shd w:val="clear" w:color="auto" w:fill="FFFFFF"/>
        </w:rPr>
        <w:t>Spriedums pamatots ar turpmākiem argumentiem.</w:t>
      </w:r>
    </w:p>
    <w:p w14:paraId="2F01899F" w14:textId="010F1D6B" w:rsidR="00481F73" w:rsidRPr="00E81AF2" w:rsidRDefault="00505FFB" w:rsidP="00123C7E">
      <w:pPr>
        <w:spacing w:line="276" w:lineRule="auto"/>
        <w:ind w:firstLine="720"/>
        <w:contextualSpacing/>
        <w:jc w:val="both"/>
        <w:rPr>
          <w:shd w:val="clear" w:color="auto" w:fill="FFFFFF"/>
        </w:rPr>
      </w:pPr>
      <w:r w:rsidRPr="00E81AF2">
        <w:rPr>
          <w:shd w:val="clear" w:color="auto" w:fill="FFFFFF"/>
        </w:rPr>
        <w:t>[4.1]</w:t>
      </w:r>
      <w:r w:rsidR="00957C7F" w:rsidRPr="00E81AF2">
        <w:rPr>
          <w:shd w:val="clear" w:color="auto" w:fill="FFFFFF"/>
        </w:rPr>
        <w:t> </w:t>
      </w:r>
      <w:r w:rsidR="007D7171" w:rsidRPr="00E81AF2">
        <w:rPr>
          <w:shd w:val="clear" w:color="auto" w:fill="FFFFFF"/>
        </w:rPr>
        <w:t>Notariāta likuma 296.</w:t>
      </w:r>
      <w:r w:rsidR="00B476CA" w:rsidRPr="00E81AF2">
        <w:rPr>
          <w:shd w:val="clear" w:color="auto" w:fill="FFFFFF"/>
        </w:rPr>
        <w:t> </w:t>
      </w:r>
      <w:r w:rsidR="007D7171" w:rsidRPr="00E81AF2">
        <w:rPr>
          <w:shd w:val="clear" w:color="auto" w:fill="FFFFFF"/>
        </w:rPr>
        <w:t>panta 2.</w:t>
      </w:r>
      <w:r w:rsidR="00B476CA" w:rsidRPr="00E81AF2">
        <w:rPr>
          <w:shd w:val="clear" w:color="auto" w:fill="FFFFFF"/>
        </w:rPr>
        <w:t> </w:t>
      </w:r>
      <w:r w:rsidR="007D7171" w:rsidRPr="00E81AF2">
        <w:rPr>
          <w:shd w:val="clear" w:color="auto" w:fill="FFFFFF"/>
        </w:rPr>
        <w:t xml:space="preserve">punkts paredz, ka mantojuma izsludināšanas iesniegumā jānorāda lietā </w:t>
      </w:r>
      <w:r w:rsidR="00DB2D87" w:rsidRPr="00E81AF2">
        <w:rPr>
          <w:shd w:val="clear" w:color="auto" w:fill="FFFFFF"/>
        </w:rPr>
        <w:t xml:space="preserve">zināmās </w:t>
      </w:r>
      <w:r w:rsidR="007D7171" w:rsidRPr="00E81AF2">
        <w:rPr>
          <w:shd w:val="clear" w:color="auto" w:fill="FFFFFF"/>
        </w:rPr>
        <w:t xml:space="preserve">ieinteresētās personas un šo personu dzīvesvieta. </w:t>
      </w:r>
      <w:r w:rsidR="006E5A7B" w:rsidRPr="00E81AF2">
        <w:rPr>
          <w:shd w:val="clear" w:color="auto" w:fill="FFFFFF"/>
        </w:rPr>
        <w:t>M</w:t>
      </w:r>
      <w:r w:rsidR="00481F73" w:rsidRPr="00E81AF2">
        <w:rPr>
          <w:shd w:val="clear" w:color="auto" w:fill="FFFFFF"/>
        </w:rPr>
        <w:t>inēto likuma prasību atbildētāja nav izpildījusi pienācīgi. Ievērojot</w:t>
      </w:r>
      <w:r w:rsidR="006A116D" w:rsidRPr="00E81AF2">
        <w:rPr>
          <w:shd w:val="clear" w:color="auto" w:fill="FFFFFF"/>
        </w:rPr>
        <w:t xml:space="preserve"> to</w:t>
      </w:r>
      <w:r w:rsidR="00481F73" w:rsidRPr="00E81AF2">
        <w:rPr>
          <w:shd w:val="clear" w:color="auto" w:fill="FFFFFF"/>
        </w:rPr>
        <w:t>, ka viņa zināja</w:t>
      </w:r>
      <w:r w:rsidR="00B476CA" w:rsidRPr="00E81AF2">
        <w:rPr>
          <w:shd w:val="clear" w:color="auto" w:fill="FFFFFF"/>
        </w:rPr>
        <w:t xml:space="preserve"> par</w:t>
      </w:r>
      <w:r w:rsidR="00481F73" w:rsidRPr="00E81AF2">
        <w:rPr>
          <w:shd w:val="clear" w:color="auto" w:fill="FFFFFF"/>
        </w:rPr>
        <w:t xml:space="preserve"> mantojuma atstājēja dēl</w:t>
      </w:r>
      <w:r w:rsidR="00B476CA" w:rsidRPr="00E81AF2">
        <w:rPr>
          <w:shd w:val="clear" w:color="auto" w:fill="FFFFFF"/>
        </w:rPr>
        <w:t>u</w:t>
      </w:r>
      <w:r w:rsidR="00481F73" w:rsidRPr="00E81AF2">
        <w:rPr>
          <w:shd w:val="clear" w:color="auto" w:fill="FFFFFF"/>
        </w:rPr>
        <w:t xml:space="preserve">, atbildētāja varēja uzzināt </w:t>
      </w:r>
      <w:r w:rsidR="00B476CA" w:rsidRPr="00E81AF2">
        <w:rPr>
          <w:shd w:val="clear" w:color="auto" w:fill="FFFFFF"/>
        </w:rPr>
        <w:t>arī dēla personas</w:t>
      </w:r>
      <w:r w:rsidR="00481F73" w:rsidRPr="00E81AF2">
        <w:rPr>
          <w:shd w:val="clear" w:color="auto" w:fill="FFFFFF"/>
        </w:rPr>
        <w:t xml:space="preserve"> datus. </w:t>
      </w:r>
      <w:r w:rsidR="00745796" w:rsidRPr="00E81AF2">
        <w:rPr>
          <w:shd w:val="clear" w:color="auto" w:fill="FFFFFF"/>
        </w:rPr>
        <w:t>Z</w:t>
      </w:r>
      <w:r w:rsidR="00481F73" w:rsidRPr="00E81AF2">
        <w:rPr>
          <w:shd w:val="clear" w:color="auto" w:fill="FFFFFF"/>
        </w:rPr>
        <w:t xml:space="preserve">vērināts notārs </w:t>
      </w:r>
      <w:r w:rsidR="006A116D" w:rsidRPr="00E81AF2">
        <w:rPr>
          <w:shd w:val="clear" w:color="auto" w:fill="FFFFFF"/>
        </w:rPr>
        <w:t xml:space="preserve">kā maksas pakalpojumu </w:t>
      </w:r>
      <w:r w:rsidR="00481F73" w:rsidRPr="00E81AF2">
        <w:rPr>
          <w:shd w:val="clear" w:color="auto" w:fill="FFFFFF"/>
        </w:rPr>
        <w:t>var</w:t>
      </w:r>
      <w:r w:rsidR="006A116D" w:rsidRPr="00E81AF2">
        <w:rPr>
          <w:shd w:val="clear" w:color="auto" w:fill="FFFFFF"/>
        </w:rPr>
        <w:t xml:space="preserve"> sniegt personai</w:t>
      </w:r>
      <w:r w:rsidR="00481F73" w:rsidRPr="00E81AF2">
        <w:rPr>
          <w:shd w:val="clear" w:color="auto" w:fill="FFFFFF"/>
        </w:rPr>
        <w:t xml:space="preserve"> </w:t>
      </w:r>
      <w:r w:rsidR="006E5A7B" w:rsidRPr="00E81AF2">
        <w:rPr>
          <w:shd w:val="clear" w:color="auto" w:fill="FFFFFF"/>
        </w:rPr>
        <w:t>ziņas, kas atrodas</w:t>
      </w:r>
      <w:r w:rsidR="00481F73" w:rsidRPr="00E81AF2">
        <w:rPr>
          <w:shd w:val="clear" w:color="auto" w:fill="FFFFFF"/>
        </w:rPr>
        <w:t xml:space="preserve"> publiskajos</w:t>
      </w:r>
      <w:r w:rsidR="003A003F" w:rsidRPr="00E81AF2">
        <w:rPr>
          <w:shd w:val="clear" w:color="auto" w:fill="FFFFFF"/>
        </w:rPr>
        <w:t xml:space="preserve"> reģistros</w:t>
      </w:r>
      <w:r w:rsidR="00DB2D87" w:rsidRPr="00E81AF2">
        <w:rPr>
          <w:shd w:val="clear" w:color="auto" w:fill="FFFFFF"/>
        </w:rPr>
        <w:t>.</w:t>
      </w:r>
      <w:r w:rsidR="00565381" w:rsidRPr="00E81AF2">
        <w:rPr>
          <w:shd w:val="clear" w:color="auto" w:fill="FFFFFF"/>
        </w:rPr>
        <w:t xml:space="preserve"> </w:t>
      </w:r>
      <w:r w:rsidR="006E5A7B" w:rsidRPr="00E81AF2">
        <w:rPr>
          <w:shd w:val="clear" w:color="auto" w:fill="FFFFFF"/>
        </w:rPr>
        <w:t>S</w:t>
      </w:r>
      <w:r w:rsidR="00481F73" w:rsidRPr="00E81AF2">
        <w:rPr>
          <w:shd w:val="clear" w:color="auto" w:fill="FFFFFF"/>
        </w:rPr>
        <w:t xml:space="preserve">niedzot </w:t>
      </w:r>
      <w:r w:rsidR="006E5A7B" w:rsidRPr="00E81AF2">
        <w:rPr>
          <w:shd w:val="clear" w:color="auto" w:fill="FFFFFF"/>
        </w:rPr>
        <w:t xml:space="preserve">nepilnīgu </w:t>
      </w:r>
      <w:r w:rsidR="00481F73" w:rsidRPr="00E81AF2">
        <w:rPr>
          <w:shd w:val="clear" w:color="auto" w:fill="FFFFFF"/>
        </w:rPr>
        <w:t xml:space="preserve">informāciju vai apzināti </w:t>
      </w:r>
      <w:r w:rsidR="00EE6460" w:rsidRPr="00E81AF2">
        <w:rPr>
          <w:shd w:val="clear" w:color="auto" w:fill="FFFFFF"/>
        </w:rPr>
        <w:t xml:space="preserve">to </w:t>
      </w:r>
      <w:r w:rsidR="00481F73" w:rsidRPr="00E81AF2">
        <w:rPr>
          <w:shd w:val="clear" w:color="auto" w:fill="FFFFFF"/>
        </w:rPr>
        <w:t>noklusējot par citiem zināmajiem mantiniekiem, atbildētāja nav rīkojusies godprātīgi.</w:t>
      </w:r>
    </w:p>
    <w:p w14:paraId="44ED80B5" w14:textId="3EEB41F8" w:rsidR="008936DF" w:rsidRPr="00E81AF2" w:rsidRDefault="008936DF" w:rsidP="00123C7E">
      <w:pPr>
        <w:spacing w:line="276" w:lineRule="auto"/>
        <w:ind w:firstLine="720"/>
        <w:contextualSpacing/>
        <w:jc w:val="both"/>
        <w:rPr>
          <w:shd w:val="clear" w:color="auto" w:fill="FFFFFF"/>
        </w:rPr>
      </w:pPr>
      <w:r w:rsidRPr="00E81AF2">
        <w:rPr>
          <w:shd w:val="clear" w:color="auto" w:fill="FFFFFF"/>
        </w:rPr>
        <w:t>[4.2]</w:t>
      </w:r>
      <w:r w:rsidR="00957C7F" w:rsidRPr="00E81AF2">
        <w:rPr>
          <w:shd w:val="clear" w:color="auto" w:fill="FFFFFF"/>
        </w:rPr>
        <w:t> </w:t>
      </w:r>
      <w:r w:rsidR="003D7AE4" w:rsidRPr="00E81AF2">
        <w:rPr>
          <w:shd w:val="clear" w:color="auto" w:fill="FFFFFF"/>
        </w:rPr>
        <w:t>Neskatoties uz to, ka oficiālajā izdevumā ,,Latvijas Vēstnesis” zvērināta notār</w:t>
      </w:r>
      <w:r w:rsidR="006E5A7B" w:rsidRPr="00E81AF2">
        <w:rPr>
          <w:shd w:val="clear" w:color="auto" w:fill="FFFFFF"/>
        </w:rPr>
        <w:t>a</w:t>
      </w:r>
      <w:r w:rsidR="003D7AE4" w:rsidRPr="00E81AF2">
        <w:rPr>
          <w:shd w:val="clear" w:color="auto" w:fill="FFFFFF"/>
        </w:rPr>
        <w:t xml:space="preserve"> izsludinātais uzaicinājuma termiņš</w:t>
      </w:r>
      <w:r w:rsidR="00745796" w:rsidRPr="00E81AF2">
        <w:rPr>
          <w:shd w:val="clear" w:color="auto" w:fill="FFFFFF"/>
        </w:rPr>
        <w:t xml:space="preserve"> bija </w:t>
      </w:r>
      <w:r w:rsidR="002F56E7" w:rsidRPr="00E81AF2">
        <w:rPr>
          <w:shd w:val="clear" w:color="auto" w:fill="FFFFFF"/>
        </w:rPr>
        <w:t>garāks par minimālo</w:t>
      </w:r>
      <w:r w:rsidR="003D7AE4" w:rsidRPr="00E81AF2">
        <w:rPr>
          <w:shd w:val="clear" w:color="auto" w:fill="FFFFFF"/>
        </w:rPr>
        <w:t>, nevar uzskatīt, ka veiktas visas saprātīgi sagaidāmās darbības, lai apzinātu mantinieku loku un noskaidrotu viņu attieksmi pret mantojumu.</w:t>
      </w:r>
      <w:r w:rsidR="002F56E7" w:rsidRPr="00E81AF2">
        <w:rPr>
          <w:shd w:val="clear" w:color="auto" w:fill="FFFFFF"/>
        </w:rPr>
        <w:t xml:space="preserve"> </w:t>
      </w:r>
      <w:r w:rsidR="00745796" w:rsidRPr="00E81AF2">
        <w:rPr>
          <w:shd w:val="clear" w:color="auto" w:fill="FFFFFF"/>
        </w:rPr>
        <w:t>S</w:t>
      </w:r>
      <w:r w:rsidR="002F56E7" w:rsidRPr="00E81AF2">
        <w:rPr>
          <w:shd w:val="clear" w:color="auto" w:fill="FFFFFF"/>
        </w:rPr>
        <w:t xml:space="preserve">ludinājuma publiskošana laikrakstā ,,Latvijas Vēstnesis” ir likuma prasību izpilde, taču izskatāmās lietas apstākļu vispusīga </w:t>
      </w:r>
      <w:proofErr w:type="spellStart"/>
      <w:r w:rsidR="002F56E7" w:rsidRPr="00E81AF2">
        <w:rPr>
          <w:shd w:val="clear" w:color="auto" w:fill="FFFFFF"/>
        </w:rPr>
        <w:t>izvērtējuma</w:t>
      </w:r>
      <w:proofErr w:type="spellEnd"/>
      <w:r w:rsidR="002F56E7" w:rsidRPr="00E81AF2">
        <w:rPr>
          <w:shd w:val="clear" w:color="auto" w:fill="FFFFFF"/>
        </w:rPr>
        <w:t xml:space="preserve"> kontekstā minētajam apstāklim nevar piešķirt izšķirošu nozīmi, vērtējot prasītāja kā likumiskā mantinieka tiesību aizskārumu.</w:t>
      </w:r>
    </w:p>
    <w:p w14:paraId="7D3DBEF6" w14:textId="77777777" w:rsidR="00242002" w:rsidRPr="00E81AF2" w:rsidRDefault="00242002" w:rsidP="00123C7E">
      <w:pPr>
        <w:spacing w:line="276" w:lineRule="auto"/>
        <w:contextualSpacing/>
        <w:jc w:val="both"/>
      </w:pPr>
    </w:p>
    <w:p w14:paraId="6BE94846" w14:textId="7B83F962" w:rsidR="00D66483" w:rsidRPr="00E81AF2" w:rsidRDefault="00242002" w:rsidP="00123C7E">
      <w:pPr>
        <w:spacing w:line="276" w:lineRule="auto"/>
        <w:ind w:firstLine="720"/>
        <w:contextualSpacing/>
        <w:jc w:val="both"/>
        <w:rPr>
          <w:shd w:val="clear" w:color="auto" w:fill="FFFFFF"/>
        </w:rPr>
      </w:pPr>
      <w:r w:rsidRPr="00E81AF2">
        <w:t>[</w:t>
      </w:r>
      <w:r w:rsidR="007533B0" w:rsidRPr="00E81AF2">
        <w:t>5</w:t>
      </w:r>
      <w:r w:rsidRPr="00E81AF2">
        <w:t>]</w:t>
      </w:r>
      <w:r w:rsidR="00957C7F" w:rsidRPr="00E81AF2">
        <w:t> </w:t>
      </w:r>
      <w:r w:rsidRPr="00E81AF2">
        <w:t>Izskatot lietu kasācijas kārtībā</w:t>
      </w:r>
      <w:r w:rsidR="00C3110B" w:rsidRPr="00E81AF2">
        <w:t xml:space="preserve"> pirmo reizi</w:t>
      </w:r>
      <w:r w:rsidRPr="00E81AF2">
        <w:t xml:space="preserve">, Senāts </w:t>
      </w:r>
      <w:r w:rsidR="00D66483" w:rsidRPr="00E81AF2">
        <w:t>ar 2024.</w:t>
      </w:r>
      <w:r w:rsidR="00745796" w:rsidRPr="00E81AF2">
        <w:t> </w:t>
      </w:r>
      <w:r w:rsidR="00D66483" w:rsidRPr="00E81AF2">
        <w:t>gada 12.</w:t>
      </w:r>
      <w:r w:rsidR="00745796" w:rsidRPr="00E81AF2">
        <w:t> </w:t>
      </w:r>
      <w:r w:rsidR="00D66483" w:rsidRPr="00E81AF2">
        <w:t xml:space="preserve">decembra spriedumu atcēla </w:t>
      </w:r>
      <w:r w:rsidR="00D66483" w:rsidRPr="00E81AF2">
        <w:rPr>
          <w:shd w:val="clear" w:color="auto" w:fill="FFFFFF"/>
        </w:rPr>
        <w:t>Rīgas apgabaltiesas 2022.</w:t>
      </w:r>
      <w:r w:rsidR="00C3110B" w:rsidRPr="00E81AF2">
        <w:rPr>
          <w:shd w:val="clear" w:color="auto" w:fill="FFFFFF"/>
        </w:rPr>
        <w:t> </w:t>
      </w:r>
      <w:r w:rsidR="00D66483" w:rsidRPr="00E81AF2">
        <w:rPr>
          <w:shd w:val="clear" w:color="auto" w:fill="FFFFFF"/>
        </w:rPr>
        <w:t>gada 29.</w:t>
      </w:r>
      <w:r w:rsidR="00C3110B" w:rsidRPr="00E81AF2">
        <w:rPr>
          <w:shd w:val="clear" w:color="auto" w:fill="FFFFFF"/>
        </w:rPr>
        <w:t> </w:t>
      </w:r>
      <w:r w:rsidR="00D66483" w:rsidRPr="00E81AF2">
        <w:rPr>
          <w:shd w:val="clear" w:color="auto" w:fill="FFFFFF"/>
        </w:rPr>
        <w:t xml:space="preserve">novembra spriedumu, nododot lietu jaunai izskatīšanai apelācijas instances tiesā. </w:t>
      </w:r>
    </w:p>
    <w:p w14:paraId="49D929A3" w14:textId="24EEBD39" w:rsidR="004A04D3" w:rsidRPr="00E81AF2" w:rsidRDefault="00944A67" w:rsidP="00123C7E">
      <w:pPr>
        <w:spacing w:line="276" w:lineRule="auto"/>
        <w:ind w:firstLine="720"/>
        <w:contextualSpacing/>
        <w:jc w:val="both"/>
        <w:rPr>
          <w:shd w:val="clear" w:color="auto" w:fill="FFFFFF"/>
        </w:rPr>
      </w:pPr>
      <w:r w:rsidRPr="00E81AF2">
        <w:rPr>
          <w:shd w:val="clear" w:color="auto" w:fill="FFFFFF"/>
        </w:rPr>
        <w:t>S</w:t>
      </w:r>
      <w:r w:rsidR="00C3110B" w:rsidRPr="00E81AF2">
        <w:rPr>
          <w:shd w:val="clear" w:color="auto" w:fill="FFFFFF"/>
        </w:rPr>
        <w:t>enāts norādīja, ka a</w:t>
      </w:r>
      <w:r w:rsidR="001B0B33" w:rsidRPr="00E81AF2">
        <w:rPr>
          <w:shd w:val="clear" w:color="auto" w:fill="FFFFFF"/>
        </w:rPr>
        <w:t xml:space="preserve">pelācijas instances tiesas pienākums </w:t>
      </w:r>
      <w:r w:rsidR="00BB65B8" w:rsidRPr="00E81AF2">
        <w:rPr>
          <w:shd w:val="clear" w:color="auto" w:fill="FFFFFF"/>
        </w:rPr>
        <w:t>ir</w:t>
      </w:r>
      <w:r w:rsidR="001B0B33" w:rsidRPr="00E81AF2">
        <w:rPr>
          <w:shd w:val="clear" w:color="auto" w:fill="FFFFFF"/>
        </w:rPr>
        <w:t xml:space="preserve"> noskaidrot, vai prasītājs likumā noteiktajā kārtībā un termiņā bija izteicis gribu pieņemt tēva atstāto mantojumu, taču šiem apstākļiem apgabaltiesa spriedumā vispār nepievērsās.</w:t>
      </w:r>
      <w:r w:rsidR="004A04D3" w:rsidRPr="00E81AF2">
        <w:rPr>
          <w:shd w:val="clear" w:color="auto" w:fill="FFFFFF"/>
        </w:rPr>
        <w:t xml:space="preserve"> </w:t>
      </w:r>
      <w:r w:rsidR="001B0B33" w:rsidRPr="00E81AF2">
        <w:rPr>
          <w:shd w:val="clear" w:color="auto" w:fill="FFFFFF"/>
        </w:rPr>
        <w:t xml:space="preserve">Tā vietā, balstoties uz </w:t>
      </w:r>
      <w:r w:rsidR="001B0B33" w:rsidRPr="00E81AF2">
        <w:rPr>
          <w:shd w:val="clear" w:color="auto" w:fill="FFFFFF"/>
        </w:rPr>
        <w:lastRenderedPageBreak/>
        <w:t>pieņēmumiem, tiesa iztei</w:t>
      </w:r>
      <w:r w:rsidR="004A04D3" w:rsidRPr="00E81AF2">
        <w:rPr>
          <w:shd w:val="clear" w:color="auto" w:fill="FFFFFF"/>
        </w:rPr>
        <w:t>ca</w:t>
      </w:r>
      <w:r w:rsidR="001B0B33" w:rsidRPr="00E81AF2">
        <w:rPr>
          <w:shd w:val="clear" w:color="auto" w:fill="FFFFFF"/>
        </w:rPr>
        <w:t xml:space="preserve"> pārmetumus atbildētājai par nepilnīgas informācijas sniegšanu vai apzinātu noklusēšanu par </w:t>
      </w:r>
      <w:r w:rsidR="00C3110B" w:rsidRPr="00E81AF2">
        <w:rPr>
          <w:shd w:val="clear" w:color="auto" w:fill="FFFFFF"/>
        </w:rPr>
        <w:t xml:space="preserve">ziņām, kas attiecas </w:t>
      </w:r>
      <w:r w:rsidR="001B0B33" w:rsidRPr="00E81AF2">
        <w:rPr>
          <w:shd w:val="clear" w:color="auto" w:fill="FFFFFF"/>
        </w:rPr>
        <w:t>cit</w:t>
      </w:r>
      <w:r w:rsidR="00C3110B" w:rsidRPr="00E81AF2">
        <w:rPr>
          <w:shd w:val="clear" w:color="auto" w:fill="FFFFFF"/>
        </w:rPr>
        <w:t>u</w:t>
      </w:r>
      <w:r w:rsidR="001B0B33" w:rsidRPr="00E81AF2">
        <w:rPr>
          <w:shd w:val="clear" w:color="auto" w:fill="FFFFFF"/>
        </w:rPr>
        <w:t xml:space="preserve"> zinām</w:t>
      </w:r>
      <w:r w:rsidR="00C3110B" w:rsidRPr="00E81AF2">
        <w:rPr>
          <w:shd w:val="clear" w:color="auto" w:fill="FFFFFF"/>
        </w:rPr>
        <w:t>o</w:t>
      </w:r>
      <w:r w:rsidR="001B0B33" w:rsidRPr="00E81AF2">
        <w:rPr>
          <w:shd w:val="clear" w:color="auto" w:fill="FFFFFF"/>
        </w:rPr>
        <w:t xml:space="preserve"> mantiniek</w:t>
      </w:r>
      <w:r w:rsidR="00C3110B" w:rsidRPr="00E81AF2">
        <w:rPr>
          <w:shd w:val="clear" w:color="auto" w:fill="FFFFFF"/>
        </w:rPr>
        <w:t>u.</w:t>
      </w:r>
    </w:p>
    <w:p w14:paraId="3BB365F8" w14:textId="5C1D370D" w:rsidR="00C3110B" w:rsidRPr="00E81AF2" w:rsidRDefault="00BB65B8" w:rsidP="00123C7E">
      <w:pPr>
        <w:spacing w:line="276" w:lineRule="auto"/>
        <w:ind w:firstLine="720"/>
        <w:contextualSpacing/>
        <w:jc w:val="both"/>
        <w:rPr>
          <w:shd w:val="clear" w:color="auto" w:fill="FFFFFF"/>
        </w:rPr>
      </w:pPr>
      <w:r w:rsidRPr="00E81AF2">
        <w:rPr>
          <w:shd w:val="clear" w:color="auto" w:fill="FFFFFF"/>
        </w:rPr>
        <w:t>Izsakot pārmetumus atbildētājai, t</w:t>
      </w:r>
      <w:r w:rsidR="00A57057" w:rsidRPr="00E81AF2">
        <w:rPr>
          <w:shd w:val="clear" w:color="auto" w:fill="FFFFFF"/>
        </w:rPr>
        <w:t>iesa nav ņēmusi vērā lietas materiālos esošo mantošanas iesniegumu un mantojuma apliecību, kur</w:t>
      </w:r>
      <w:r w:rsidRPr="00E81AF2">
        <w:rPr>
          <w:shd w:val="clear" w:color="auto" w:fill="FFFFFF"/>
        </w:rPr>
        <w:t>ā</w:t>
      </w:r>
      <w:r w:rsidR="00A57057" w:rsidRPr="00E81AF2">
        <w:rPr>
          <w:shd w:val="clear" w:color="auto" w:fill="FFFFFF"/>
        </w:rPr>
        <w:t xml:space="preserve"> </w:t>
      </w:r>
      <w:r w:rsidRPr="00E81AF2">
        <w:rPr>
          <w:shd w:val="clear" w:color="auto" w:fill="FFFFFF"/>
        </w:rPr>
        <w:t xml:space="preserve">apstiprināta </w:t>
      </w:r>
      <w:r w:rsidR="00A57057" w:rsidRPr="00E81AF2">
        <w:rPr>
          <w:shd w:val="clear" w:color="auto" w:fill="FFFFFF"/>
        </w:rPr>
        <w:t>atbildētājas veikt</w:t>
      </w:r>
      <w:r w:rsidRPr="00E81AF2">
        <w:rPr>
          <w:shd w:val="clear" w:color="auto" w:fill="FFFFFF"/>
        </w:rPr>
        <w:t>ā</w:t>
      </w:r>
      <w:r w:rsidR="00A57057" w:rsidRPr="00E81AF2">
        <w:rPr>
          <w:shd w:val="clear" w:color="auto" w:fill="FFFFFF"/>
        </w:rPr>
        <w:t xml:space="preserve"> </w:t>
      </w:r>
      <w:r w:rsidRPr="00E81AF2">
        <w:rPr>
          <w:shd w:val="clear" w:color="auto" w:fill="FFFFFF"/>
        </w:rPr>
        <w:t xml:space="preserve">mantojuma lietas </w:t>
      </w:r>
      <w:r w:rsidR="00A57057" w:rsidRPr="00E81AF2">
        <w:rPr>
          <w:shd w:val="clear" w:color="auto" w:fill="FFFFFF"/>
        </w:rPr>
        <w:t>izdevum</w:t>
      </w:r>
      <w:r w:rsidRPr="00E81AF2">
        <w:rPr>
          <w:shd w:val="clear" w:color="auto" w:fill="FFFFFF"/>
        </w:rPr>
        <w:t>u samaksa</w:t>
      </w:r>
      <w:r w:rsidR="00C3110B" w:rsidRPr="00E81AF2">
        <w:rPr>
          <w:shd w:val="clear" w:color="auto" w:fill="FFFFFF"/>
        </w:rPr>
        <w:t>, tostarp</w:t>
      </w:r>
      <w:r w:rsidR="00A57057" w:rsidRPr="00E81AF2">
        <w:rPr>
          <w:shd w:val="clear" w:color="auto" w:fill="FFFFFF"/>
        </w:rPr>
        <w:t xml:space="preserve"> par ieskatīšanos Iedzīvotāju reģistra centrālajā datu bāzē. </w:t>
      </w:r>
      <w:r w:rsidR="00C3110B" w:rsidRPr="00E81AF2">
        <w:rPr>
          <w:shd w:val="clear" w:color="auto" w:fill="FFFFFF"/>
        </w:rPr>
        <w:t>Proti, n</w:t>
      </w:r>
      <w:r w:rsidR="00A57057" w:rsidRPr="00E81AF2">
        <w:rPr>
          <w:shd w:val="clear" w:color="auto" w:fill="FFFFFF"/>
        </w:rPr>
        <w:t xml:space="preserve">o pārbaudāmā sprieduma neizriet, ka tiesa šos </w:t>
      </w:r>
      <w:r w:rsidR="00C3110B" w:rsidRPr="00E81AF2">
        <w:rPr>
          <w:shd w:val="clear" w:color="auto" w:fill="FFFFFF"/>
        </w:rPr>
        <w:t xml:space="preserve">pierādījumus </w:t>
      </w:r>
      <w:r w:rsidR="00A57057" w:rsidRPr="00E81AF2">
        <w:rPr>
          <w:shd w:val="clear" w:color="auto" w:fill="FFFFFF"/>
        </w:rPr>
        <w:t>būtu vērtējusi, turklāt kopsakarā ar atbildētājas paskaidrojumiem</w:t>
      </w:r>
      <w:r w:rsidR="004A04D3" w:rsidRPr="00E81AF2">
        <w:rPr>
          <w:shd w:val="clear" w:color="auto" w:fill="FFFFFF"/>
        </w:rPr>
        <w:t xml:space="preserve">, kuros norādīts, ka viņai nebija zināms ne mantojuma atstājēja dēla vārds, ne arī </w:t>
      </w:r>
      <w:r w:rsidR="00C3110B" w:rsidRPr="00E81AF2">
        <w:rPr>
          <w:shd w:val="clear" w:color="auto" w:fill="FFFFFF"/>
        </w:rPr>
        <w:t xml:space="preserve">cita </w:t>
      </w:r>
      <w:r w:rsidR="004A04D3" w:rsidRPr="00E81AF2">
        <w:rPr>
          <w:shd w:val="clear" w:color="auto" w:fill="FFFFFF"/>
        </w:rPr>
        <w:t xml:space="preserve">kontaktinformācija. </w:t>
      </w:r>
    </w:p>
    <w:p w14:paraId="4BD320FE" w14:textId="77777777" w:rsidR="00242002" w:rsidRPr="00E81AF2" w:rsidRDefault="00242002" w:rsidP="00123C7E">
      <w:pPr>
        <w:spacing w:line="276" w:lineRule="auto"/>
        <w:contextualSpacing/>
        <w:jc w:val="both"/>
      </w:pPr>
    </w:p>
    <w:p w14:paraId="536843EE" w14:textId="1476999D" w:rsidR="00242002" w:rsidRPr="00E81AF2" w:rsidRDefault="00242002" w:rsidP="00123C7E">
      <w:pPr>
        <w:spacing w:line="276" w:lineRule="auto"/>
        <w:ind w:firstLine="720"/>
        <w:contextualSpacing/>
        <w:jc w:val="both"/>
        <w:rPr>
          <w:iCs/>
        </w:rPr>
      </w:pPr>
      <w:r w:rsidRPr="00E81AF2">
        <w:t>[</w:t>
      </w:r>
      <w:r w:rsidR="007533B0" w:rsidRPr="00E81AF2">
        <w:t>6</w:t>
      </w:r>
      <w:r w:rsidRPr="00E81AF2">
        <w:t>]</w:t>
      </w:r>
      <w:r w:rsidR="00957C7F" w:rsidRPr="00E81AF2">
        <w:t> </w:t>
      </w:r>
      <w:r w:rsidR="00C3110B" w:rsidRPr="00E81AF2">
        <w:t>Skatot lietu a</w:t>
      </w:r>
      <w:r w:rsidRPr="00E81AF2">
        <w:rPr>
          <w:iCs/>
        </w:rPr>
        <w:t xml:space="preserve">tkārtoti apelācijas kārtībā, Rīgas apgabaltiesa ar </w:t>
      </w:r>
      <w:r w:rsidR="00944A67" w:rsidRPr="00E81AF2">
        <w:rPr>
          <w:iCs/>
        </w:rPr>
        <w:t>2025.</w:t>
      </w:r>
      <w:r w:rsidR="00C3110B" w:rsidRPr="00E81AF2">
        <w:rPr>
          <w:iCs/>
        </w:rPr>
        <w:t> </w:t>
      </w:r>
      <w:r w:rsidR="00944A67" w:rsidRPr="00E81AF2">
        <w:rPr>
          <w:iCs/>
        </w:rPr>
        <w:t>gada 2.</w:t>
      </w:r>
      <w:r w:rsidR="00C3110B" w:rsidRPr="00E81AF2">
        <w:rPr>
          <w:iCs/>
        </w:rPr>
        <w:t> </w:t>
      </w:r>
      <w:r w:rsidR="00944A67" w:rsidRPr="00E81AF2">
        <w:rPr>
          <w:iCs/>
        </w:rPr>
        <w:t xml:space="preserve">aprīļa spriedumu prasību noraidīja. </w:t>
      </w:r>
    </w:p>
    <w:p w14:paraId="2F96C756" w14:textId="77777777" w:rsidR="00944A67" w:rsidRPr="00E81AF2" w:rsidRDefault="00944A67" w:rsidP="00123C7E">
      <w:pPr>
        <w:spacing w:line="276" w:lineRule="auto"/>
        <w:ind w:firstLine="720"/>
        <w:contextualSpacing/>
        <w:jc w:val="both"/>
        <w:rPr>
          <w:shd w:val="clear" w:color="auto" w:fill="FFFFFF"/>
        </w:rPr>
      </w:pPr>
      <w:r w:rsidRPr="00E81AF2">
        <w:rPr>
          <w:shd w:val="clear" w:color="auto" w:fill="FFFFFF"/>
        </w:rPr>
        <w:t xml:space="preserve">Spriedums pamatots ar šādiem argumentiem. </w:t>
      </w:r>
    </w:p>
    <w:p w14:paraId="6BC7FB2E" w14:textId="2684121F" w:rsidR="003843ED" w:rsidRPr="00E81AF2" w:rsidRDefault="00944A67" w:rsidP="00123C7E">
      <w:pPr>
        <w:spacing w:line="276" w:lineRule="auto"/>
        <w:ind w:firstLine="720"/>
        <w:contextualSpacing/>
        <w:jc w:val="both"/>
        <w:rPr>
          <w:shd w:val="clear" w:color="auto" w:fill="FFFFFF"/>
        </w:rPr>
      </w:pPr>
      <w:r w:rsidRPr="00E81AF2">
        <w:rPr>
          <w:iCs/>
        </w:rPr>
        <w:t>[</w:t>
      </w:r>
      <w:r w:rsidR="007533B0" w:rsidRPr="00E81AF2">
        <w:rPr>
          <w:iCs/>
        </w:rPr>
        <w:t>6</w:t>
      </w:r>
      <w:r w:rsidRPr="00E81AF2">
        <w:rPr>
          <w:iCs/>
        </w:rPr>
        <w:t>.1]</w:t>
      </w:r>
      <w:r w:rsidR="00957C7F" w:rsidRPr="00E81AF2">
        <w:rPr>
          <w:iCs/>
        </w:rPr>
        <w:t> </w:t>
      </w:r>
      <w:r w:rsidR="003843ED" w:rsidRPr="00E81AF2">
        <w:rPr>
          <w:shd w:val="clear" w:color="auto" w:fill="FFFFFF"/>
        </w:rPr>
        <w:t>Civillikuma 693.</w:t>
      </w:r>
      <w:r w:rsidR="00496275" w:rsidRPr="00E81AF2">
        <w:rPr>
          <w:shd w:val="clear" w:color="auto" w:fill="FFFFFF"/>
        </w:rPr>
        <w:t> </w:t>
      </w:r>
      <w:r w:rsidR="003843ED" w:rsidRPr="00E81AF2">
        <w:rPr>
          <w:shd w:val="clear" w:color="auto" w:fill="FFFFFF"/>
        </w:rPr>
        <w:t>pants noteic, ja mantinieki ir uzaicināti, tad mantot aicinātam griba par mantojuma pieņemšanu jāizteic līdz uzaicinājumā noliktam termiņam.</w:t>
      </w:r>
      <w:r w:rsidR="004940E6" w:rsidRPr="00E81AF2">
        <w:rPr>
          <w:shd w:val="clear" w:color="auto" w:fill="FFFFFF"/>
        </w:rPr>
        <w:t xml:space="preserve"> Atbilstoši Oficiālo publikāciju un tiesiskās informācijas likuma 2.</w:t>
      </w:r>
      <w:r w:rsidR="00496275" w:rsidRPr="00E81AF2">
        <w:rPr>
          <w:shd w:val="clear" w:color="auto" w:fill="FFFFFF"/>
        </w:rPr>
        <w:t> </w:t>
      </w:r>
      <w:r w:rsidR="004940E6" w:rsidRPr="00E81AF2">
        <w:rPr>
          <w:shd w:val="clear" w:color="auto" w:fill="FFFFFF"/>
        </w:rPr>
        <w:t xml:space="preserve">panta otrajai daļai publikācija izdevumā ,,Latvijas Vēstnesis” ir publiski ticama un saistoša, līdz ar to neviens nevar aizbildināties ar oficiālajā izdevumā publicēto tiesību aktu vai oficiālo paziņojumu nezināšanu. Ievērojot minēto, prasītājs nevarēja nezināt, ka mantojuma atklāšanās viņa tēva mantojuma lietā tika izsludināta. </w:t>
      </w:r>
      <w:r w:rsidR="00E46E8B" w:rsidRPr="00E81AF2">
        <w:rPr>
          <w:shd w:val="clear" w:color="auto" w:fill="FFFFFF"/>
        </w:rPr>
        <w:t xml:space="preserve">Tādēļ arī nav pamatots prasītāja iebildums, ka pieteikšanās termiņš šai lietā būtu skaitāms no brīža, kad </w:t>
      </w:r>
      <w:r w:rsidR="0068493C" w:rsidRPr="00E81AF2">
        <w:rPr>
          <w:shd w:val="clear" w:color="auto" w:fill="FFFFFF"/>
        </w:rPr>
        <w:t>viņš</w:t>
      </w:r>
      <w:r w:rsidR="00E46E8B" w:rsidRPr="00E81AF2">
        <w:rPr>
          <w:shd w:val="clear" w:color="auto" w:fill="FFFFFF"/>
        </w:rPr>
        <w:t xml:space="preserve"> uzzināja par mantojuma atklāšanos. Ņ</w:t>
      </w:r>
      <w:r w:rsidR="004940E6" w:rsidRPr="00E81AF2">
        <w:rPr>
          <w:shd w:val="clear" w:color="auto" w:fill="FFFFFF"/>
        </w:rPr>
        <w:t>emot vērā</w:t>
      </w:r>
      <w:r w:rsidR="00D769A8" w:rsidRPr="00E81AF2">
        <w:rPr>
          <w:shd w:val="clear" w:color="auto" w:fill="FFFFFF"/>
        </w:rPr>
        <w:t xml:space="preserve"> to</w:t>
      </w:r>
      <w:r w:rsidR="004940E6" w:rsidRPr="00E81AF2">
        <w:rPr>
          <w:shd w:val="clear" w:color="auto" w:fill="FFFFFF"/>
        </w:rPr>
        <w:t>, ka prasītājs neatsaucās uz zvērināta notār</w:t>
      </w:r>
      <w:r w:rsidR="00DF3439" w:rsidRPr="00E81AF2">
        <w:rPr>
          <w:shd w:val="clear" w:color="auto" w:fill="FFFFFF"/>
        </w:rPr>
        <w:t>a</w:t>
      </w:r>
      <w:r w:rsidR="004940E6" w:rsidRPr="00E81AF2">
        <w:rPr>
          <w:shd w:val="clear" w:color="auto" w:fill="FFFFFF"/>
        </w:rPr>
        <w:t xml:space="preserve"> sludinājumu, secināms, ka viņš likumā noteiktajā kārtībā un termiņā </w:t>
      </w:r>
      <w:r w:rsidR="00C6206B" w:rsidRPr="00E81AF2">
        <w:rPr>
          <w:shd w:val="clear" w:color="auto" w:fill="FFFFFF"/>
        </w:rPr>
        <w:t>neizteica</w:t>
      </w:r>
      <w:r w:rsidR="004940E6" w:rsidRPr="00E81AF2">
        <w:rPr>
          <w:shd w:val="clear" w:color="auto" w:fill="FFFFFF"/>
        </w:rPr>
        <w:t xml:space="preserve"> gribu pieņemt tēva atstāto mantojumu. </w:t>
      </w:r>
    </w:p>
    <w:p w14:paraId="273F4D2C" w14:textId="40AAA461" w:rsidR="00F21801" w:rsidRPr="00E81AF2" w:rsidRDefault="00F21801" w:rsidP="00123C7E">
      <w:pPr>
        <w:spacing w:line="276" w:lineRule="auto"/>
        <w:ind w:firstLine="720"/>
        <w:contextualSpacing/>
        <w:jc w:val="both"/>
        <w:rPr>
          <w:shd w:val="clear" w:color="auto" w:fill="FFFFFF"/>
        </w:rPr>
      </w:pPr>
      <w:r w:rsidRPr="00E81AF2">
        <w:rPr>
          <w:shd w:val="clear" w:color="auto" w:fill="FFFFFF"/>
        </w:rPr>
        <w:t>[6.2]</w:t>
      </w:r>
      <w:r w:rsidR="00957C7F" w:rsidRPr="00E81AF2">
        <w:rPr>
          <w:shd w:val="clear" w:color="auto" w:fill="FFFFFF"/>
        </w:rPr>
        <w:t> </w:t>
      </w:r>
      <w:r w:rsidR="00650225" w:rsidRPr="00E81AF2">
        <w:rPr>
          <w:shd w:val="clear" w:color="auto" w:fill="FFFFFF"/>
        </w:rPr>
        <w:t xml:space="preserve">Lietas materiāli </w:t>
      </w:r>
      <w:r w:rsidR="00DF3439" w:rsidRPr="00E81AF2">
        <w:rPr>
          <w:shd w:val="clear" w:color="auto" w:fill="FFFFFF"/>
        </w:rPr>
        <w:t>pierāda</w:t>
      </w:r>
      <w:r w:rsidR="00650225" w:rsidRPr="00E81AF2">
        <w:rPr>
          <w:shd w:val="clear" w:color="auto" w:fill="FFFFFF"/>
        </w:rPr>
        <w:t>, ka atbildētāja informēja zvērinātu notār</w:t>
      </w:r>
      <w:r w:rsidR="00DF3439" w:rsidRPr="00E81AF2">
        <w:rPr>
          <w:shd w:val="clear" w:color="auto" w:fill="FFFFFF"/>
        </w:rPr>
        <w:t>u</w:t>
      </w:r>
      <w:r w:rsidR="00650225" w:rsidRPr="00E81AF2">
        <w:rPr>
          <w:shd w:val="clear" w:color="auto" w:fill="FFFFFF"/>
        </w:rPr>
        <w:t>, ka mantojuma atstājējam ir dēls, un arī apmaksāja izdevumus par ieskatīšanos Iedzīvotāju reģistrā</w:t>
      </w:r>
      <w:r w:rsidR="000F7B7F" w:rsidRPr="00E81AF2">
        <w:rPr>
          <w:shd w:val="clear" w:color="auto" w:fill="FFFFFF"/>
        </w:rPr>
        <w:t xml:space="preserve">, lai </w:t>
      </w:r>
      <w:r w:rsidR="00D01AC8" w:rsidRPr="00E81AF2">
        <w:rPr>
          <w:shd w:val="clear" w:color="auto" w:fill="FFFFFF"/>
        </w:rPr>
        <w:t>ie</w:t>
      </w:r>
      <w:r w:rsidR="000F7B7F" w:rsidRPr="00E81AF2">
        <w:rPr>
          <w:shd w:val="clear" w:color="auto" w:fill="FFFFFF"/>
        </w:rPr>
        <w:t>gūtu datus par šo personu. Atbildētājai nebija pienākum</w:t>
      </w:r>
      <w:r w:rsidR="002D198F" w:rsidRPr="00E81AF2">
        <w:rPr>
          <w:shd w:val="clear" w:color="auto" w:fill="FFFFFF"/>
        </w:rPr>
        <w:t>s</w:t>
      </w:r>
      <w:r w:rsidR="000F7B7F" w:rsidRPr="00E81AF2">
        <w:rPr>
          <w:shd w:val="clear" w:color="auto" w:fill="FFFFFF"/>
        </w:rPr>
        <w:t xml:space="preserve"> meklēt citus mantiniekus</w:t>
      </w:r>
      <w:r w:rsidR="008B715C" w:rsidRPr="00E81AF2">
        <w:rPr>
          <w:shd w:val="clear" w:color="auto" w:fill="FFFFFF"/>
        </w:rPr>
        <w:t>, t</w:t>
      </w:r>
      <w:r w:rsidR="00492E61" w:rsidRPr="00E81AF2">
        <w:rPr>
          <w:shd w:val="clear" w:color="auto" w:fill="FFFFFF"/>
        </w:rPr>
        <w:t>urklāt</w:t>
      </w:r>
      <w:r w:rsidR="000F7B7F" w:rsidRPr="00E81AF2">
        <w:rPr>
          <w:shd w:val="clear" w:color="auto" w:fill="FFFFFF"/>
        </w:rPr>
        <w:t xml:space="preserve"> lietā nav pierādīts, ka </w:t>
      </w:r>
      <w:r w:rsidR="000E26F1" w:rsidRPr="00E81AF2">
        <w:rPr>
          <w:shd w:val="clear" w:color="auto" w:fill="FFFFFF"/>
        </w:rPr>
        <w:t>viņai</w:t>
      </w:r>
      <w:r w:rsidR="000F7B7F" w:rsidRPr="00E81AF2">
        <w:rPr>
          <w:shd w:val="clear" w:color="auto" w:fill="FFFFFF"/>
        </w:rPr>
        <w:t xml:space="preserve"> bija zināma </w:t>
      </w:r>
      <w:r w:rsidR="00D01AC8" w:rsidRPr="00E81AF2">
        <w:rPr>
          <w:shd w:val="clear" w:color="auto" w:fill="FFFFFF"/>
        </w:rPr>
        <w:t xml:space="preserve">kāda cita informācija par </w:t>
      </w:r>
      <w:r w:rsidR="000F7B7F" w:rsidRPr="00E81AF2">
        <w:rPr>
          <w:shd w:val="clear" w:color="auto" w:fill="FFFFFF"/>
        </w:rPr>
        <w:t>prasītāj</w:t>
      </w:r>
      <w:r w:rsidR="00D01AC8" w:rsidRPr="00E81AF2">
        <w:rPr>
          <w:shd w:val="clear" w:color="auto" w:fill="FFFFFF"/>
        </w:rPr>
        <w:t>u.</w:t>
      </w:r>
      <w:r w:rsidR="000F7B7F" w:rsidRPr="00E81AF2">
        <w:rPr>
          <w:shd w:val="clear" w:color="auto" w:fill="FFFFFF"/>
        </w:rPr>
        <w:t xml:space="preserve"> Ievērojot iepriekš minēto, nav pamata apšaubīt, ka atbildētāja ir mantojuma labticīga valdītāja un </w:t>
      </w:r>
      <w:r w:rsidR="00D01AC8" w:rsidRPr="00E81AF2">
        <w:rPr>
          <w:shd w:val="clear" w:color="auto" w:fill="FFFFFF"/>
        </w:rPr>
        <w:t xml:space="preserve">no viņas puses </w:t>
      </w:r>
      <w:r w:rsidR="000F7B7F" w:rsidRPr="00E81AF2">
        <w:rPr>
          <w:shd w:val="clear" w:color="auto" w:fill="FFFFFF"/>
        </w:rPr>
        <w:t xml:space="preserve">veiktas visas saprātīgi sagaidāmās darbības, lai apzinātu mantinieku loku un noskaidrotu viņu attieksmi pret mantojumu. </w:t>
      </w:r>
    </w:p>
    <w:p w14:paraId="2BA276F3" w14:textId="77777777" w:rsidR="00242002" w:rsidRPr="00E81AF2" w:rsidRDefault="00242002" w:rsidP="00123C7E">
      <w:pPr>
        <w:spacing w:line="276" w:lineRule="auto"/>
        <w:contextualSpacing/>
        <w:jc w:val="both"/>
        <w:rPr>
          <w:iCs/>
        </w:rPr>
      </w:pPr>
    </w:p>
    <w:p w14:paraId="36B2910A" w14:textId="211433D4" w:rsidR="00242002" w:rsidRPr="00E81AF2" w:rsidRDefault="00242002" w:rsidP="00123C7E">
      <w:pPr>
        <w:spacing w:line="276" w:lineRule="auto"/>
        <w:ind w:firstLine="720"/>
        <w:contextualSpacing/>
        <w:jc w:val="both"/>
        <w:rPr>
          <w:shd w:val="clear" w:color="auto" w:fill="FFFFFF"/>
        </w:rPr>
      </w:pPr>
      <w:r w:rsidRPr="00E81AF2">
        <w:rPr>
          <w:iCs/>
        </w:rPr>
        <w:t>[</w:t>
      </w:r>
      <w:r w:rsidR="007533B0" w:rsidRPr="00E81AF2">
        <w:rPr>
          <w:iCs/>
        </w:rPr>
        <w:t>7</w:t>
      </w:r>
      <w:r w:rsidRPr="00E81AF2">
        <w:rPr>
          <w:iCs/>
        </w:rPr>
        <w:t>]</w:t>
      </w:r>
      <w:r w:rsidR="00957C7F" w:rsidRPr="00E81AF2">
        <w:rPr>
          <w:iCs/>
        </w:rPr>
        <w:t> </w:t>
      </w:r>
      <w:r w:rsidRPr="00E81AF2">
        <w:rPr>
          <w:shd w:val="clear" w:color="auto" w:fill="FFFFFF"/>
        </w:rPr>
        <w:t>Kasācijas sūdzību par augstāk minēto apelācijas instances tiesas spriedumu iesniedz</w:t>
      </w:r>
      <w:r w:rsidR="00A22057" w:rsidRPr="00E81AF2">
        <w:rPr>
          <w:shd w:val="clear" w:color="auto" w:fill="FFFFFF"/>
        </w:rPr>
        <w:t>a</w:t>
      </w:r>
      <w:r w:rsidRPr="00E81AF2">
        <w:rPr>
          <w:shd w:val="clear" w:color="auto" w:fill="FFFFFF"/>
        </w:rPr>
        <w:t xml:space="preserve"> </w:t>
      </w:r>
      <w:r w:rsidR="00944A67" w:rsidRPr="00E81AF2">
        <w:rPr>
          <w:shd w:val="clear" w:color="auto" w:fill="FFFFFF"/>
        </w:rPr>
        <w:t>prasītājs</w:t>
      </w:r>
      <w:r w:rsidRPr="00E81AF2">
        <w:rPr>
          <w:shd w:val="clear" w:color="auto" w:fill="FFFFFF"/>
        </w:rPr>
        <w:t>, lūdz</w:t>
      </w:r>
      <w:r w:rsidR="00944A67" w:rsidRPr="00E81AF2">
        <w:rPr>
          <w:shd w:val="clear" w:color="auto" w:fill="FFFFFF"/>
        </w:rPr>
        <w:t>ot</w:t>
      </w:r>
      <w:r w:rsidRPr="00E81AF2">
        <w:rPr>
          <w:shd w:val="clear" w:color="auto" w:fill="FFFFFF"/>
        </w:rPr>
        <w:t xml:space="preserve"> spriedumu atcelt un nodot lietu jaunai izskatīšanai apelācijas instances tiesā. </w:t>
      </w:r>
    </w:p>
    <w:p w14:paraId="7B72EE7E" w14:textId="77777777" w:rsidR="00242002" w:rsidRPr="00E81AF2" w:rsidRDefault="00242002" w:rsidP="00123C7E">
      <w:pPr>
        <w:spacing w:line="276" w:lineRule="auto"/>
        <w:ind w:firstLine="720"/>
        <w:contextualSpacing/>
        <w:jc w:val="both"/>
      </w:pPr>
      <w:r w:rsidRPr="00E81AF2">
        <w:rPr>
          <w:shd w:val="clear" w:color="auto" w:fill="FFFFFF"/>
        </w:rPr>
        <w:t>Kasācijas sūdzība pamatota ar šādiem argumentiem.</w:t>
      </w:r>
      <w:r w:rsidRPr="00E81AF2">
        <w:t xml:space="preserve"> </w:t>
      </w:r>
    </w:p>
    <w:p w14:paraId="4D852F43" w14:textId="4AEF20D6" w:rsidR="00DF3439" w:rsidRPr="00E81AF2" w:rsidRDefault="00944A67" w:rsidP="00123C7E">
      <w:pPr>
        <w:spacing w:line="276" w:lineRule="auto"/>
        <w:ind w:firstLine="720"/>
        <w:contextualSpacing/>
        <w:jc w:val="both"/>
      </w:pPr>
      <w:r w:rsidRPr="00E81AF2">
        <w:t>[</w:t>
      </w:r>
      <w:r w:rsidR="007533B0" w:rsidRPr="00E81AF2">
        <w:t>7</w:t>
      </w:r>
      <w:r w:rsidRPr="00E81AF2">
        <w:t>.1]</w:t>
      </w:r>
      <w:r w:rsidR="002D3655" w:rsidRPr="00E81AF2">
        <w:t> </w:t>
      </w:r>
      <w:r w:rsidR="009B1A88" w:rsidRPr="00E81AF2">
        <w:t>Apelācijas instances tiesa pār</w:t>
      </w:r>
      <w:r w:rsidR="0006420C" w:rsidRPr="00E81AF2">
        <w:t>lieku</w:t>
      </w:r>
      <w:r w:rsidR="009B1A88" w:rsidRPr="00E81AF2">
        <w:t xml:space="preserve"> formāli piemēroja Civillikuma 688., 693. un 694.</w:t>
      </w:r>
      <w:r w:rsidR="00496275" w:rsidRPr="00E81AF2">
        <w:t> </w:t>
      </w:r>
      <w:r w:rsidR="009B1A88" w:rsidRPr="00E81AF2">
        <w:t>panta prasības</w:t>
      </w:r>
      <w:r w:rsidR="00D01AC8" w:rsidRPr="00E81AF2">
        <w:t xml:space="preserve"> par</w:t>
      </w:r>
      <w:r w:rsidR="009B1A88" w:rsidRPr="00E81AF2">
        <w:t xml:space="preserve"> gribas izteik</w:t>
      </w:r>
      <w:r w:rsidR="00D01AC8" w:rsidRPr="00E81AF2">
        <w:t>umu</w:t>
      </w:r>
      <w:r w:rsidR="009B1A88" w:rsidRPr="00E81AF2">
        <w:t xml:space="preserve"> mantojuma pieņemšanā, neskatot konkrētās </w:t>
      </w:r>
      <w:r w:rsidR="009034EE" w:rsidRPr="00E81AF2">
        <w:t>tiesību</w:t>
      </w:r>
      <w:r w:rsidR="009B1A88" w:rsidRPr="00E81AF2">
        <w:t xml:space="preserve"> normas kopsakarā ar mantojuma atklāšanās izsludināšanas mērķi pēc būtības.</w:t>
      </w:r>
    </w:p>
    <w:p w14:paraId="6BEE8872" w14:textId="6D28EBC9" w:rsidR="00DF3439" w:rsidRPr="00E81AF2" w:rsidRDefault="009B1A88" w:rsidP="00123C7E">
      <w:pPr>
        <w:spacing w:line="276" w:lineRule="auto"/>
        <w:ind w:firstLine="720"/>
        <w:contextualSpacing/>
        <w:jc w:val="both"/>
      </w:pPr>
      <w:r w:rsidRPr="00E81AF2">
        <w:t>Zvērināta</w:t>
      </w:r>
      <w:r w:rsidR="00DF3439" w:rsidRPr="00E81AF2">
        <w:t>m</w:t>
      </w:r>
      <w:r w:rsidRPr="00E81AF2">
        <w:t xml:space="preserve"> notār</w:t>
      </w:r>
      <w:r w:rsidR="00DF3439" w:rsidRPr="00E81AF2">
        <w:t>am</w:t>
      </w:r>
      <w:r w:rsidRPr="00E81AF2">
        <w:t xml:space="preserve"> šajā mantojuma lietā</w:t>
      </w:r>
      <w:r w:rsidR="00DF3439" w:rsidRPr="00E81AF2">
        <w:t xml:space="preserve"> vispār</w:t>
      </w:r>
      <w:r w:rsidRPr="00E81AF2">
        <w:t xml:space="preserve"> nebija pamats un nepieciešamība izsludināt mantojuma atklāšanos un noteikt mantojuma pieņemšanas termiņu, jo visi līdzmantinieki bija zināmi un sasniedzami.</w:t>
      </w:r>
    </w:p>
    <w:p w14:paraId="3ABA20A2" w14:textId="6AE9C16E" w:rsidR="00DE00E7" w:rsidRPr="00E81AF2" w:rsidRDefault="009B1A88" w:rsidP="00123C7E">
      <w:pPr>
        <w:spacing w:line="276" w:lineRule="auto"/>
        <w:ind w:firstLine="720"/>
        <w:contextualSpacing/>
        <w:jc w:val="both"/>
      </w:pPr>
      <w:r w:rsidRPr="00E81AF2">
        <w:t>[7.2]</w:t>
      </w:r>
      <w:r w:rsidR="00957C7F" w:rsidRPr="00E81AF2">
        <w:t> </w:t>
      </w:r>
      <w:r w:rsidR="00DE00E7" w:rsidRPr="00E81AF2">
        <w:t>Zvērināta notār</w:t>
      </w:r>
      <w:r w:rsidR="00D01AC8" w:rsidRPr="00E81AF2">
        <w:t>a</w:t>
      </w:r>
      <w:r w:rsidR="00DE00E7" w:rsidRPr="00E81AF2">
        <w:t xml:space="preserve"> rīcība, </w:t>
      </w:r>
      <w:r w:rsidR="00CE7513" w:rsidRPr="00E81AF2">
        <w:t xml:space="preserve">formāli </w:t>
      </w:r>
      <w:r w:rsidR="00DE00E7" w:rsidRPr="00E81AF2">
        <w:t xml:space="preserve">izsludinot mantojuma atklāšanos izdevumā ,,Latvijas Vēstnesis”, bet nepaziņojot par to ieinteresētajām personām, </w:t>
      </w:r>
      <w:r w:rsidR="008B222A" w:rsidRPr="00E81AF2">
        <w:t xml:space="preserve">aizskar prasītāja </w:t>
      </w:r>
      <w:r w:rsidR="008B222A" w:rsidRPr="00E81AF2">
        <w:lastRenderedPageBreak/>
        <w:t>tiesības uz mantojumu</w:t>
      </w:r>
      <w:r w:rsidR="00DE00E7" w:rsidRPr="00E81AF2">
        <w:t xml:space="preserve">. </w:t>
      </w:r>
      <w:r w:rsidR="008B222A" w:rsidRPr="00E81AF2">
        <w:t>Ar</w:t>
      </w:r>
      <w:r w:rsidR="00DE00E7" w:rsidRPr="00E81AF2">
        <w:t xml:space="preserve"> šādu </w:t>
      </w:r>
      <w:r w:rsidR="00CE7513" w:rsidRPr="00E81AF2">
        <w:t>rīcību</w:t>
      </w:r>
      <w:r w:rsidR="00DE00E7" w:rsidRPr="00E81AF2">
        <w:t xml:space="preserve"> netika </w:t>
      </w:r>
      <w:r w:rsidR="00CE7513" w:rsidRPr="00E81AF2">
        <w:t>nodrošināta</w:t>
      </w:r>
      <w:r w:rsidR="00DE00E7" w:rsidRPr="00E81AF2">
        <w:t xml:space="preserve"> prasītāja kā likumiskā mantinieka </w:t>
      </w:r>
      <w:r w:rsidR="00CE7513" w:rsidRPr="00E81AF2">
        <w:t>interešu aizsardzība</w:t>
      </w:r>
      <w:r w:rsidR="00DE00E7" w:rsidRPr="00E81AF2">
        <w:t xml:space="preserve"> un netika </w:t>
      </w:r>
      <w:r w:rsidR="00D01AC8" w:rsidRPr="00E81AF2">
        <w:t>nodrošināta</w:t>
      </w:r>
      <w:r w:rsidR="00DE00E7" w:rsidRPr="00E81AF2">
        <w:t xml:space="preserve"> zvērināta notār</w:t>
      </w:r>
      <w:r w:rsidR="00D01AC8" w:rsidRPr="00E81AF2">
        <w:t>a</w:t>
      </w:r>
      <w:r w:rsidR="00DE00E7" w:rsidRPr="00E81AF2">
        <w:t xml:space="preserve"> amata pienākum</w:t>
      </w:r>
      <w:r w:rsidR="00D01AC8" w:rsidRPr="00E81AF2">
        <w:t>a izpilde</w:t>
      </w:r>
      <w:r w:rsidR="00DE00E7" w:rsidRPr="00E81AF2">
        <w:t xml:space="preserve"> ar pienācīgu rūpību un atbildību.</w:t>
      </w:r>
      <w:r w:rsidR="00DD40A6" w:rsidRPr="00E81AF2">
        <w:t xml:space="preserve"> </w:t>
      </w:r>
      <w:r w:rsidR="00CE7513" w:rsidRPr="00E81AF2">
        <w:t>M</w:t>
      </w:r>
      <w:r w:rsidR="00DD40A6" w:rsidRPr="00E81AF2">
        <w:t>antojuma atstājēja dēlam bija tiesības uzzināt par mantojuma atklāšanos no atbildētājas vai zvērināta notār</w:t>
      </w:r>
      <w:r w:rsidR="008B222A" w:rsidRPr="00E81AF2">
        <w:t>a</w:t>
      </w:r>
      <w:r w:rsidR="00DD40A6" w:rsidRPr="00E81AF2">
        <w:t xml:space="preserve">, kas veda mantojuma lietu. </w:t>
      </w:r>
    </w:p>
    <w:p w14:paraId="352DA890" w14:textId="76A82BA1" w:rsidR="001A62F5" w:rsidRPr="00E81AF2" w:rsidRDefault="00805FEA" w:rsidP="00123C7E">
      <w:pPr>
        <w:spacing w:line="276" w:lineRule="auto"/>
        <w:ind w:firstLine="720"/>
        <w:contextualSpacing/>
        <w:jc w:val="both"/>
      </w:pPr>
      <w:r w:rsidRPr="00E81AF2">
        <w:t>Turklāt</w:t>
      </w:r>
      <w:r w:rsidR="001A62F5" w:rsidRPr="00E81AF2">
        <w:t xml:space="preserve"> kopš 2025.</w:t>
      </w:r>
      <w:r w:rsidR="00CE7513" w:rsidRPr="00E81AF2">
        <w:t> </w:t>
      </w:r>
      <w:r w:rsidR="001A62F5" w:rsidRPr="00E81AF2">
        <w:t>gada 1.</w:t>
      </w:r>
      <w:r w:rsidR="00CE7513" w:rsidRPr="00E81AF2">
        <w:t> </w:t>
      </w:r>
      <w:r w:rsidR="001A62F5" w:rsidRPr="00E81AF2">
        <w:t>janvāra ir spēkā Notariāta likuma 259.1</w:t>
      </w:r>
      <w:r w:rsidR="00496275" w:rsidRPr="00E81AF2">
        <w:t> </w:t>
      </w:r>
      <w:r w:rsidR="001A62F5" w:rsidRPr="00E81AF2">
        <w:t xml:space="preserve">panta regulējums, kas </w:t>
      </w:r>
      <w:r w:rsidR="001B3247" w:rsidRPr="00E81AF2">
        <w:t xml:space="preserve">zvērinātam notāram pēc mantojuma lietas uzsākšanas uzliek pienākumu noskaidrot visus </w:t>
      </w:r>
      <w:r w:rsidR="00F21B8A" w:rsidRPr="00E81AF2">
        <w:t>F</w:t>
      </w:r>
      <w:r w:rsidR="001B3247" w:rsidRPr="00E81AF2">
        <w:t xml:space="preserve">izisko personu reģistrā mantot aicinātos līdz trešajai šķirai un informēt viņus par mantojuma izsludināšanu ar elektroniski parakstītu vēstuli, kā arī nosūtot </w:t>
      </w:r>
      <w:r w:rsidR="00CE7513" w:rsidRPr="00E81AF2">
        <w:t>attiecīgu paziņojumu</w:t>
      </w:r>
      <w:r w:rsidR="001B3247" w:rsidRPr="00E81AF2">
        <w:t xml:space="preserve"> uz deklarēto dzīvesvietu. </w:t>
      </w:r>
      <w:r w:rsidR="00A8285C" w:rsidRPr="00E81AF2">
        <w:t>Respektīvi</w:t>
      </w:r>
      <w:r w:rsidR="00BE687D" w:rsidRPr="00E81AF2">
        <w:t xml:space="preserve">, līdzšinējā mantojuma atklāšanās izsludināšana nebija uzskatāma par efektīvu un nesasniedza likumiskās mantošanas mērķi, bet </w:t>
      </w:r>
      <w:r w:rsidR="006B5A13" w:rsidRPr="00E81AF2">
        <w:t>tā vietā</w:t>
      </w:r>
      <w:r w:rsidR="00BE687D" w:rsidRPr="00E81AF2">
        <w:t xml:space="preserve"> </w:t>
      </w:r>
      <w:r w:rsidR="00D769A8" w:rsidRPr="00E81AF2">
        <w:t>pieļāva</w:t>
      </w:r>
      <w:r w:rsidR="00BE687D" w:rsidRPr="00E81AF2">
        <w:t xml:space="preserve"> labai ticībai pretēju praksi, k</w:t>
      </w:r>
      <w:r w:rsidR="00D769A8" w:rsidRPr="00E81AF2">
        <w:t>as nenodrošināja</w:t>
      </w:r>
      <w:r w:rsidR="00BE687D" w:rsidRPr="00E81AF2">
        <w:t xml:space="preserve"> likumisko mantinieku tiesības. </w:t>
      </w:r>
    </w:p>
    <w:p w14:paraId="04DC22B4" w14:textId="541DACB8" w:rsidR="00242002" w:rsidRPr="00E81AF2" w:rsidRDefault="00944655" w:rsidP="00123C7E">
      <w:pPr>
        <w:spacing w:line="276" w:lineRule="auto"/>
        <w:ind w:firstLine="720"/>
        <w:contextualSpacing/>
        <w:jc w:val="both"/>
      </w:pPr>
      <w:r w:rsidRPr="00E81AF2">
        <w:t>[7.3]</w:t>
      </w:r>
      <w:r w:rsidR="00957C7F" w:rsidRPr="00E81AF2">
        <w:t> </w:t>
      </w:r>
      <w:r w:rsidR="00F70E62" w:rsidRPr="00E81AF2">
        <w:t xml:space="preserve">Apgabaltiesa spriedumā norādīja uz faktu, ka atbildētāja apmaksāja izdevumus par ieskatīšanos Iedzīvotāju reģistra centrālajā datu bāzē, taču </w:t>
      </w:r>
      <w:r w:rsidR="00CE7513" w:rsidRPr="00E81AF2">
        <w:t>tiesa nepārbaudīja</w:t>
      </w:r>
      <w:r w:rsidR="00F70E62" w:rsidRPr="00E81AF2">
        <w:t>, kāda informācija no datu bāzes tika gūta, kāds bija datu bāzes izmantošanas mērķis un ko šāda atbildētājas rīcība</w:t>
      </w:r>
      <w:r w:rsidR="00CE7513" w:rsidRPr="00E81AF2">
        <w:t>, apmaksājot izdevumus,</w:t>
      </w:r>
      <w:r w:rsidR="00F70E62" w:rsidRPr="00E81AF2">
        <w:t xml:space="preserve"> pierāda. Ar izdevumu par ieskatīšanos publiskajā reģistrā apmaksas faktu nav pietiekami, lai </w:t>
      </w:r>
      <w:r w:rsidR="00CE7513" w:rsidRPr="00E81AF2">
        <w:t xml:space="preserve">atzītu, ka </w:t>
      </w:r>
      <w:r w:rsidR="00A22057" w:rsidRPr="00E81AF2">
        <w:t>izpildītas Notariāta likuma 296.</w:t>
      </w:r>
      <w:r w:rsidR="00496275" w:rsidRPr="00E81AF2">
        <w:t> </w:t>
      </w:r>
      <w:r w:rsidR="00A22057" w:rsidRPr="00E81AF2">
        <w:t xml:space="preserve">panta prasības un </w:t>
      </w:r>
      <w:r w:rsidR="00CE7513" w:rsidRPr="00E81AF2">
        <w:t>prasīt</w:t>
      </w:r>
      <w:r w:rsidR="00A22057" w:rsidRPr="00E81AF2">
        <w:t>āja tiesību aizskārums nepastāv.</w:t>
      </w:r>
    </w:p>
    <w:p w14:paraId="332DEEF1" w14:textId="77777777" w:rsidR="00505FFB" w:rsidRPr="00E81AF2" w:rsidRDefault="00505FFB" w:rsidP="00123C7E">
      <w:pPr>
        <w:shd w:val="clear" w:color="auto" w:fill="FFFFFF"/>
        <w:spacing w:line="276" w:lineRule="auto"/>
        <w:jc w:val="center"/>
      </w:pPr>
      <w:r w:rsidRPr="00E81AF2">
        <w:rPr>
          <w:b/>
        </w:rPr>
        <w:t>Motīvu daļa</w:t>
      </w:r>
    </w:p>
    <w:p w14:paraId="7F27CCCE" w14:textId="3FCD3741" w:rsidR="004D4F26" w:rsidRPr="00E81AF2" w:rsidRDefault="00505FFB" w:rsidP="00123C7E">
      <w:pPr>
        <w:shd w:val="clear" w:color="auto" w:fill="FFFFFF"/>
        <w:spacing w:line="276" w:lineRule="auto"/>
        <w:ind w:firstLine="720"/>
        <w:contextualSpacing/>
        <w:jc w:val="both"/>
        <w:rPr>
          <w:bCs/>
        </w:rPr>
      </w:pPr>
      <w:r w:rsidRPr="00E81AF2">
        <w:t>[</w:t>
      </w:r>
      <w:r w:rsidR="007533B0" w:rsidRPr="00E81AF2">
        <w:t>8</w:t>
      </w:r>
      <w:r w:rsidRPr="00E81AF2">
        <w:t>]</w:t>
      </w:r>
      <w:r w:rsidR="00957C7F" w:rsidRPr="00E81AF2">
        <w:t> </w:t>
      </w:r>
      <w:r w:rsidRPr="00E81AF2">
        <w:rPr>
          <w:bCs/>
        </w:rPr>
        <w:t>Pārbaudījis spriedumu attiecībā uz personu, k</w:t>
      </w:r>
      <w:r w:rsidR="00496275" w:rsidRPr="00E81AF2">
        <w:rPr>
          <w:bCs/>
        </w:rPr>
        <w:t>ura</w:t>
      </w:r>
      <w:r w:rsidRPr="00E81AF2">
        <w:rPr>
          <w:bCs/>
        </w:rPr>
        <w:t xml:space="preserve"> to pārsūdzējusi, un argumentiem, kas minēti kasācijas sūdzībā, kā to nosaka Civilprocesa likuma 473. panta pirmā daļa</w:t>
      </w:r>
      <w:r w:rsidRPr="00E81AF2">
        <w:t xml:space="preserve">, </w:t>
      </w:r>
      <w:r w:rsidRPr="00E81AF2">
        <w:rPr>
          <w:bCs/>
        </w:rPr>
        <w:t xml:space="preserve">Senāts atzīst, ka </w:t>
      </w:r>
      <w:r w:rsidR="004D4F26" w:rsidRPr="00E81AF2">
        <w:rPr>
          <w:bCs/>
        </w:rPr>
        <w:t>pār</w:t>
      </w:r>
      <w:r w:rsidR="00496275" w:rsidRPr="00E81AF2">
        <w:rPr>
          <w:bCs/>
        </w:rPr>
        <w:t>baudāmais</w:t>
      </w:r>
      <w:r w:rsidR="004D4F26" w:rsidRPr="00E81AF2">
        <w:rPr>
          <w:bCs/>
        </w:rPr>
        <w:t xml:space="preserve"> spriedums atceļams un lieta nododama jaunai izskatīšanai apelācijas instances tiesā. </w:t>
      </w:r>
    </w:p>
    <w:p w14:paraId="6602B8CA" w14:textId="77777777" w:rsidR="00505FFB" w:rsidRPr="00E81AF2" w:rsidRDefault="00505FFB" w:rsidP="00123C7E">
      <w:pPr>
        <w:shd w:val="clear" w:color="auto" w:fill="FFFFFF"/>
        <w:spacing w:line="276" w:lineRule="auto"/>
        <w:contextualSpacing/>
        <w:jc w:val="both"/>
      </w:pPr>
    </w:p>
    <w:p w14:paraId="6889BE31" w14:textId="714CC8BB" w:rsidR="00902E9F" w:rsidRPr="00E81AF2" w:rsidRDefault="00505FFB" w:rsidP="00123C7E">
      <w:pPr>
        <w:spacing w:line="276" w:lineRule="auto"/>
        <w:ind w:firstLine="720"/>
        <w:contextualSpacing/>
        <w:jc w:val="both"/>
      </w:pPr>
      <w:r w:rsidRPr="00E81AF2">
        <w:t>[</w:t>
      </w:r>
      <w:r w:rsidR="007533B0" w:rsidRPr="00E81AF2">
        <w:t>9</w:t>
      </w:r>
      <w:r w:rsidRPr="00E81AF2">
        <w:t>]</w:t>
      </w:r>
      <w:r w:rsidR="00957C7F" w:rsidRPr="00E81AF2">
        <w:t> </w:t>
      </w:r>
      <w:r w:rsidR="00902E9F" w:rsidRPr="00E81AF2">
        <w:t>Civillikuma 693. pants (</w:t>
      </w:r>
      <w:r w:rsidR="00421170" w:rsidRPr="00E81AF2">
        <w:rPr>
          <w:i/>
          <w:iCs/>
        </w:rPr>
        <w:t>šeit un turpmāk Civillikuma tiesību normu</w:t>
      </w:r>
      <w:r w:rsidR="00902E9F" w:rsidRPr="00E81AF2">
        <w:rPr>
          <w:i/>
          <w:iCs/>
        </w:rPr>
        <w:t xml:space="preserve"> redakcij</w:t>
      </w:r>
      <w:r w:rsidR="00421170" w:rsidRPr="00E81AF2">
        <w:rPr>
          <w:i/>
          <w:iCs/>
        </w:rPr>
        <w:t>a, kas bija spēkā mantojuma atklāšanās brīdī</w:t>
      </w:r>
      <w:r w:rsidR="00902E9F" w:rsidRPr="00E81AF2">
        <w:t>) noteic:</w:t>
      </w:r>
    </w:p>
    <w:p w14:paraId="2867D31B" w14:textId="075259E3" w:rsidR="00902E9F" w:rsidRPr="00E81AF2" w:rsidRDefault="00902E9F" w:rsidP="00123C7E">
      <w:pPr>
        <w:spacing w:line="276" w:lineRule="auto"/>
        <w:ind w:firstLine="720"/>
        <w:contextualSpacing/>
        <w:jc w:val="both"/>
      </w:pPr>
      <w:r w:rsidRPr="00E81AF2">
        <w:t>Ja mantojuma pieņemšanai mantojuma atstājējs noteicis zināmu termiņu, tad ieceltam mantiniekam tas jāievēro.</w:t>
      </w:r>
    </w:p>
    <w:p w14:paraId="321A87DA" w14:textId="77777777" w:rsidR="00902E9F" w:rsidRPr="00E81AF2" w:rsidRDefault="00902E9F" w:rsidP="00123C7E">
      <w:pPr>
        <w:shd w:val="clear" w:color="auto" w:fill="FFFFFF"/>
        <w:spacing w:line="276" w:lineRule="auto"/>
        <w:ind w:firstLine="720"/>
        <w:contextualSpacing/>
        <w:jc w:val="both"/>
      </w:pPr>
      <w:r w:rsidRPr="00E81AF2">
        <w:t>Ja tāds termiņš nav noteikts, bet mantinieki ir uzaicināti, tad mantot aicinātam sava griba par mantojuma pieņemšanu jāizteic līdz uzaicinājumā noliktam termiņam.</w:t>
      </w:r>
    </w:p>
    <w:p w14:paraId="3EDA9641" w14:textId="6369A7A5" w:rsidR="00902E9F" w:rsidRPr="00E81AF2" w:rsidRDefault="00902E9F" w:rsidP="00123C7E">
      <w:pPr>
        <w:shd w:val="clear" w:color="auto" w:fill="FFFFFF"/>
        <w:spacing w:line="276" w:lineRule="auto"/>
        <w:ind w:firstLine="720"/>
        <w:contextualSpacing/>
        <w:jc w:val="both"/>
      </w:pPr>
      <w:r w:rsidRPr="00E81AF2">
        <w:t>Ja uzaicinājuma nav bijis, tad mantiniekam jāizsaka sava griba pieņemt mantojumu gada laikā, skaitot šo termiņu no mantojuma atklāšanās dienas, ja mantojums atrodas viņa faktiskā valdījumā (692.</w:t>
      </w:r>
      <w:r w:rsidR="00957C7F" w:rsidRPr="00E81AF2">
        <w:t> </w:t>
      </w:r>
      <w:r w:rsidRPr="00E81AF2">
        <w:t>p.</w:t>
      </w:r>
      <w:r w:rsidR="00957C7F" w:rsidRPr="00E81AF2">
        <w:t> </w:t>
      </w:r>
      <w:r w:rsidRPr="00E81AF2">
        <w:t>2.</w:t>
      </w:r>
      <w:r w:rsidR="00957C7F" w:rsidRPr="00E81AF2">
        <w:t> </w:t>
      </w:r>
      <w:r w:rsidRPr="00E81AF2">
        <w:t xml:space="preserve">d.), bet pretējā gadījumā </w:t>
      </w:r>
      <w:r w:rsidR="00D769A8" w:rsidRPr="00E81AF2">
        <w:t>–</w:t>
      </w:r>
      <w:r w:rsidRPr="00E81AF2">
        <w:t xml:space="preserve"> no ziņu saņemšanas laika par to, ka mantojums atklājies.</w:t>
      </w:r>
    </w:p>
    <w:p w14:paraId="28C21C52" w14:textId="53D73F07" w:rsidR="0091235C" w:rsidRPr="00E81AF2" w:rsidRDefault="00496275" w:rsidP="00123C7E">
      <w:pPr>
        <w:shd w:val="clear" w:color="auto" w:fill="FFFFFF"/>
        <w:spacing w:line="276" w:lineRule="auto"/>
        <w:ind w:firstLine="720"/>
        <w:contextualSpacing/>
        <w:jc w:val="both"/>
      </w:pPr>
      <w:r w:rsidRPr="00E81AF2">
        <w:t xml:space="preserve">Senāts, </w:t>
      </w:r>
      <w:r w:rsidR="00D769A8" w:rsidRPr="00E81AF2">
        <w:t>iz</w:t>
      </w:r>
      <w:r w:rsidRPr="00E81AF2">
        <w:t>skatot lietu pirmo reizi, nor</w:t>
      </w:r>
      <w:r w:rsidR="00517D4A" w:rsidRPr="00E81AF2">
        <w:t>ā</w:t>
      </w:r>
      <w:r w:rsidRPr="00E81AF2">
        <w:t xml:space="preserve">dīja, ka šajā lietā ir būtiski noskaidrot, vai </w:t>
      </w:r>
      <w:r w:rsidRPr="00E81AF2">
        <w:rPr>
          <w:shd w:val="clear" w:color="auto" w:fill="FFFFFF"/>
        </w:rPr>
        <w:t xml:space="preserve">likumā noteiktajā kārtībā un termiņā </w:t>
      </w:r>
      <w:r w:rsidR="00517D4A" w:rsidRPr="00E81AF2">
        <w:rPr>
          <w:shd w:val="clear" w:color="auto" w:fill="FFFFFF"/>
        </w:rPr>
        <w:t xml:space="preserve">prasītājs </w:t>
      </w:r>
      <w:r w:rsidR="0091235C" w:rsidRPr="00E81AF2">
        <w:rPr>
          <w:shd w:val="clear" w:color="auto" w:fill="FFFFFF"/>
        </w:rPr>
        <w:t>ir</w:t>
      </w:r>
      <w:r w:rsidRPr="00E81AF2">
        <w:rPr>
          <w:shd w:val="clear" w:color="auto" w:fill="FFFFFF"/>
        </w:rPr>
        <w:t xml:space="preserve"> izteicis gribu pieņemt tēva atstāto mantojumu</w:t>
      </w:r>
      <w:r w:rsidR="0091235C" w:rsidRPr="00E81AF2">
        <w:rPr>
          <w:shd w:val="clear" w:color="auto" w:fill="FFFFFF"/>
        </w:rPr>
        <w:t>.</w:t>
      </w:r>
    </w:p>
    <w:p w14:paraId="60680CA7" w14:textId="500A1768" w:rsidR="00496275" w:rsidRPr="00E81AF2" w:rsidRDefault="00496275" w:rsidP="00123C7E">
      <w:pPr>
        <w:shd w:val="clear" w:color="auto" w:fill="FFFFFF"/>
        <w:spacing w:line="276" w:lineRule="auto"/>
        <w:ind w:firstLine="720"/>
        <w:contextualSpacing/>
        <w:jc w:val="both"/>
      </w:pPr>
      <w:r w:rsidRPr="00E81AF2">
        <w:t>Apelācijas instances tiesa, pievēršoties</w:t>
      </w:r>
      <w:r w:rsidR="0091235C" w:rsidRPr="00E81AF2">
        <w:t xml:space="preserve"> šim pierādīšanas priekšmetā ietilpstošajam apstāklim, </w:t>
      </w:r>
      <w:r w:rsidR="004330FE" w:rsidRPr="00E81AF2">
        <w:t xml:space="preserve">likumā noteiktā </w:t>
      </w:r>
      <w:r w:rsidR="00421170" w:rsidRPr="00E81AF2">
        <w:t xml:space="preserve">gribas izteikuma </w:t>
      </w:r>
      <w:r w:rsidR="004330FE" w:rsidRPr="00E81AF2">
        <w:t xml:space="preserve">termiņa </w:t>
      </w:r>
      <w:r w:rsidR="0091235C" w:rsidRPr="00E81AF2">
        <w:t>nokavējumu saistīja ar izdevumā ,,Latvijas Vēstnesis” publicēt</w:t>
      </w:r>
      <w:r w:rsidR="00D769A8" w:rsidRPr="00E81AF2">
        <w:t>a</w:t>
      </w:r>
      <w:r w:rsidR="0091235C" w:rsidRPr="00E81AF2">
        <w:t xml:space="preserve">jā </w:t>
      </w:r>
      <w:r w:rsidR="002D3655" w:rsidRPr="00E81AF2">
        <w:t>s</w:t>
      </w:r>
      <w:r w:rsidR="0091235C" w:rsidRPr="00E81AF2">
        <w:t xml:space="preserve">ludinājumā norādītā termiņa </w:t>
      </w:r>
      <w:r w:rsidR="004330FE" w:rsidRPr="00E81AF2">
        <w:t>n</w:t>
      </w:r>
      <w:r w:rsidR="0091235C" w:rsidRPr="00E81AF2">
        <w:t>eievērošanu</w:t>
      </w:r>
      <w:r w:rsidR="00902E9F" w:rsidRPr="00E81AF2">
        <w:t xml:space="preserve">, atzīstot, ka </w:t>
      </w:r>
      <w:r w:rsidR="00D44208" w:rsidRPr="00E81AF2">
        <w:t>prasītājs līdz ar sludinājuma termiņa nokavējumu</w:t>
      </w:r>
      <w:r w:rsidR="00DF6575" w:rsidRPr="00E81AF2">
        <w:t xml:space="preserve"> ir zaudējis tiesības uz tēva atstāto mantojumu</w:t>
      </w:r>
      <w:r w:rsidR="00D769A8" w:rsidRPr="00E81AF2">
        <w:t xml:space="preserve"> jeb,</w:t>
      </w:r>
      <w:r w:rsidR="00DF6575" w:rsidRPr="00E81AF2">
        <w:t xml:space="preserve"> citiem vārdiem,</w:t>
      </w:r>
      <w:r w:rsidR="00D44208" w:rsidRPr="00E81AF2">
        <w:t xml:space="preserve"> mantojumu ir atraidījis</w:t>
      </w:r>
      <w:r w:rsidR="004330FE" w:rsidRPr="00E81AF2">
        <w:t>.</w:t>
      </w:r>
    </w:p>
    <w:p w14:paraId="10E2026A" w14:textId="113E41D9" w:rsidR="00D44208" w:rsidRPr="00E81AF2" w:rsidRDefault="00421170" w:rsidP="00123C7E">
      <w:pPr>
        <w:shd w:val="clear" w:color="auto" w:fill="FFFFFF"/>
        <w:spacing w:line="276" w:lineRule="auto"/>
        <w:ind w:firstLine="720"/>
        <w:contextualSpacing/>
        <w:jc w:val="both"/>
      </w:pPr>
      <w:r w:rsidRPr="00E81AF2">
        <w:lastRenderedPageBreak/>
        <w:t>Līdz ar to pamatjautājums, uz ko Senātam jāatbild</w:t>
      </w:r>
      <w:r w:rsidR="00D769A8" w:rsidRPr="00E81AF2">
        <w:t xml:space="preserve"> ir tāds</w:t>
      </w:r>
      <w:r w:rsidRPr="00E81AF2">
        <w:t>, vai uzaicinājum</w:t>
      </w:r>
      <w:r w:rsidR="00676030" w:rsidRPr="00E81AF2">
        <w:t xml:space="preserve">u </w:t>
      </w:r>
      <w:r w:rsidR="004D2195" w:rsidRPr="00E81AF2">
        <w:t xml:space="preserve">zināmam mantiniekam </w:t>
      </w:r>
      <w:r w:rsidR="00676030" w:rsidRPr="00E81AF2">
        <w:t>izteikt gribu pieņemt mantojumu</w:t>
      </w:r>
      <w:r w:rsidRPr="00E81AF2">
        <w:t xml:space="preserve"> Civillikuma 693.</w:t>
      </w:r>
      <w:r w:rsidR="002D3655" w:rsidRPr="00E81AF2">
        <w:t> </w:t>
      </w:r>
      <w:r w:rsidRPr="00E81AF2">
        <w:t xml:space="preserve">panta izpratnē </w:t>
      </w:r>
      <w:r w:rsidR="00FB69B0" w:rsidRPr="00E81AF2">
        <w:t>aizstāj</w:t>
      </w:r>
      <w:r w:rsidR="00676030" w:rsidRPr="00E81AF2">
        <w:t xml:space="preserve"> izdevumā ,,Latvijas Vēstnesis”</w:t>
      </w:r>
      <w:r w:rsidR="00D4125D" w:rsidRPr="00E81AF2">
        <w:t xml:space="preserve"> ievietotais sludinājums</w:t>
      </w:r>
      <w:r w:rsidR="00676030" w:rsidRPr="00E81AF2">
        <w:t>.</w:t>
      </w:r>
    </w:p>
    <w:p w14:paraId="4E32B140" w14:textId="13433550" w:rsidR="005F2C41" w:rsidRPr="00E81AF2" w:rsidRDefault="00676030" w:rsidP="00123C7E">
      <w:pPr>
        <w:shd w:val="clear" w:color="auto" w:fill="FFFFFF"/>
        <w:spacing w:line="276" w:lineRule="auto"/>
        <w:ind w:firstLine="720"/>
        <w:contextualSpacing/>
        <w:jc w:val="both"/>
      </w:pPr>
      <w:r w:rsidRPr="00E81AF2">
        <w:t>[9.1] </w:t>
      </w:r>
      <w:r w:rsidR="00D4125D" w:rsidRPr="00E81AF2">
        <w:t xml:space="preserve">Senāts, </w:t>
      </w:r>
      <w:r w:rsidR="00D769A8" w:rsidRPr="00E81AF2">
        <w:t>iz</w:t>
      </w:r>
      <w:r w:rsidR="00D4125D" w:rsidRPr="00E81AF2">
        <w:t xml:space="preserve">skaidrojot sludinājuma par matojuma atklāšanos un uzaicinājumu </w:t>
      </w:r>
      <w:r w:rsidR="00DB1CC9" w:rsidRPr="00E81AF2">
        <w:t xml:space="preserve">mantiniekiem un citām personām, kurām ir kādas tiesības uz mantojumu, tvērumu, ir norādījis, ka uzaicinājuma sludinājums domāts nezināmiem mantiniekiem. Zināmos mantiniekus uzrāda </w:t>
      </w:r>
      <w:smartTag w:uri="schemas-tilde-lv/tildestengine" w:element="veidnes">
        <w:smartTagPr>
          <w:attr w:name="text" w:val="pieteikumā"/>
          <w:attr w:name="id" w:val="-1"/>
          <w:attr w:name="baseform" w:val="pieteikum|s"/>
        </w:smartTagPr>
        <w:r w:rsidR="00DB1CC9" w:rsidRPr="00E81AF2">
          <w:t>pieteikumā</w:t>
        </w:r>
      </w:smartTag>
      <w:r w:rsidR="00DB1CC9" w:rsidRPr="00E81AF2">
        <w:t xml:space="preserve"> par apstiprināšanu mantojuma tiesībās, un neatkarīgi no sludinājuma </w:t>
      </w:r>
      <w:r w:rsidR="00100747" w:rsidRPr="00E81AF2">
        <w:t xml:space="preserve">paziņo </w:t>
      </w:r>
      <w:r w:rsidR="00DB1CC9" w:rsidRPr="00E81AF2">
        <w:t>par izsludināšanu</w:t>
      </w:r>
      <w:r w:rsidR="00100747" w:rsidRPr="00E81AF2">
        <w:t xml:space="preserve"> un sludinājuma saturu zināmiem mantiniekiem </w:t>
      </w:r>
      <w:r w:rsidR="005F2C41" w:rsidRPr="00E81AF2">
        <w:t>(sk.</w:t>
      </w:r>
      <w:r w:rsidR="005F2C41" w:rsidRPr="00E81AF2">
        <w:rPr>
          <w:i/>
          <w:iCs/>
        </w:rPr>
        <w:t xml:space="preserve"> Senāta 2008. gada 15. oktobra spriedumu lietā Nr. </w:t>
      </w:r>
      <w:hyperlink r:id="rId8" w:history="1">
        <w:r w:rsidR="005F2C41" w:rsidRPr="00E81AF2">
          <w:rPr>
            <w:rStyle w:val="Hyperlink"/>
            <w:i/>
            <w:iCs/>
          </w:rPr>
          <w:t>SKC-344/2008</w:t>
        </w:r>
      </w:hyperlink>
      <w:r w:rsidR="005F2C41" w:rsidRPr="00E81AF2">
        <w:t>,</w:t>
      </w:r>
      <w:r w:rsidR="005F2C41" w:rsidRPr="00E81AF2">
        <w:rPr>
          <w:i/>
          <w:iCs/>
        </w:rPr>
        <w:t xml:space="preserve"> C40120503; 2010. gada 19. maija rīcības sēdes lēmuma lietā Nr. SKC-711/2010, C06055807, 8. punktu; Augstākās tiesas Plēnuma 1995. gada 27. marta lēmuma Nr. 1 „Par likumu piemērošanu mantojuma lietās” 12. punktu (2000. gada 14. februāra redakcijā)</w:t>
      </w:r>
      <w:r w:rsidR="005F2C41" w:rsidRPr="00E81AF2">
        <w:t xml:space="preserve">, pieejams: </w:t>
      </w:r>
      <w:hyperlink r:id="rId9" w:history="1">
        <w:r w:rsidR="005F2C41" w:rsidRPr="00E81AF2">
          <w:rPr>
            <w:rStyle w:val="Hyperlink"/>
            <w:i/>
            <w:iCs/>
          </w:rPr>
          <w:t>https://www.at.gov.lv/files/uploads/files/2_Par_Augstako_tiesu/Plenums/Plen_lem_1995_1_mantojums.docx</w:t>
        </w:r>
      </w:hyperlink>
      <w:r w:rsidR="005F2C41" w:rsidRPr="00E81AF2">
        <w:t>).</w:t>
      </w:r>
    </w:p>
    <w:p w14:paraId="4BDF7B3C" w14:textId="37169093" w:rsidR="003C0DD5" w:rsidRPr="00E81AF2" w:rsidRDefault="00FB69B0" w:rsidP="00123C7E">
      <w:pPr>
        <w:shd w:val="clear" w:color="auto" w:fill="FFFFFF"/>
        <w:spacing w:line="276" w:lineRule="auto"/>
        <w:ind w:firstLine="720"/>
        <w:contextualSpacing/>
        <w:jc w:val="both"/>
      </w:pPr>
      <w:r w:rsidRPr="00E81AF2">
        <w:t xml:space="preserve">Tas, ka </w:t>
      </w:r>
      <w:r w:rsidR="005250E3" w:rsidRPr="00E81AF2">
        <w:t>Senāts atbilstošo atziņu ir formulējis laikā, kad mantojuma lietas vešanu nodrošināja tiesa</w:t>
      </w:r>
      <w:r w:rsidR="003C0DD5" w:rsidRPr="00E81AF2">
        <w:t xml:space="preserve"> nevi</w:t>
      </w:r>
      <w:r w:rsidR="002D3655" w:rsidRPr="00E81AF2">
        <w:t>s</w:t>
      </w:r>
      <w:r w:rsidRPr="00E81AF2">
        <w:t xml:space="preserve"> </w:t>
      </w:r>
      <w:r w:rsidR="00D769A8" w:rsidRPr="00E81AF2">
        <w:t xml:space="preserve">zvērināts </w:t>
      </w:r>
      <w:r w:rsidRPr="00E81AF2">
        <w:t>notār</w:t>
      </w:r>
      <w:r w:rsidR="00B0081E" w:rsidRPr="00E81AF2">
        <w:t>s, nepārgroza izpratni par uzaicin</w:t>
      </w:r>
      <w:r w:rsidR="005250E3" w:rsidRPr="00E81AF2">
        <w:t>ā</w:t>
      </w:r>
      <w:r w:rsidR="00B0081E" w:rsidRPr="00E81AF2">
        <w:t xml:space="preserve">juma </w:t>
      </w:r>
      <w:r w:rsidR="005250E3" w:rsidRPr="00E81AF2">
        <w:t>spēku materiālajās tiesībās</w:t>
      </w:r>
      <w:r w:rsidR="00B0081E" w:rsidRPr="00E81AF2">
        <w:t>, jo procesuālā kārtība</w:t>
      </w:r>
      <w:r w:rsidR="003C0DD5" w:rsidRPr="00E81AF2">
        <w:t xml:space="preserve"> neatkarīgi no subjekta, kas realizē mantojuma lietas vešanu,</w:t>
      </w:r>
      <w:r w:rsidR="00B0081E" w:rsidRPr="00E81AF2">
        <w:t xml:space="preserve"> </w:t>
      </w:r>
      <w:r w:rsidR="00FF296C" w:rsidRPr="00E81AF2">
        <w:t xml:space="preserve">tikai </w:t>
      </w:r>
      <w:r w:rsidR="005250E3" w:rsidRPr="00E81AF2">
        <w:t xml:space="preserve">nodrošina </w:t>
      </w:r>
      <w:r w:rsidR="00B0081E" w:rsidRPr="00E81AF2">
        <w:t xml:space="preserve">materiālajās tiesībās </w:t>
      </w:r>
      <w:r w:rsidR="005250E3" w:rsidRPr="00E81AF2">
        <w:t>paredzēto tiesību un pienākumu realizāciju.</w:t>
      </w:r>
    </w:p>
    <w:p w14:paraId="05B7E7B8" w14:textId="014550A0" w:rsidR="003C0DD5" w:rsidRPr="00E81AF2" w:rsidRDefault="00CF7EA4" w:rsidP="00123C7E">
      <w:pPr>
        <w:shd w:val="clear" w:color="auto" w:fill="FFFFFF"/>
        <w:spacing w:line="276" w:lineRule="auto"/>
        <w:ind w:firstLine="720"/>
        <w:contextualSpacing/>
        <w:jc w:val="both"/>
        <w:rPr>
          <w:shd w:val="clear" w:color="auto" w:fill="FFFFFF"/>
        </w:rPr>
      </w:pPr>
      <w:r w:rsidRPr="00E81AF2">
        <w:t xml:space="preserve">To uzskatāmi parāda arī </w:t>
      </w:r>
      <w:r w:rsidR="00E23F1B" w:rsidRPr="00E81AF2">
        <w:rPr>
          <w:shd w:val="clear" w:color="auto" w:fill="FFFFFF"/>
        </w:rPr>
        <w:t>Ministru kabineta 2008. gada 4. augusta noteikumu Nr.</w:t>
      </w:r>
      <w:r w:rsidR="002D3655" w:rsidRPr="00E81AF2">
        <w:rPr>
          <w:shd w:val="clear" w:color="auto" w:fill="FFFFFF"/>
        </w:rPr>
        <w:t> </w:t>
      </w:r>
      <w:r w:rsidR="00E23F1B" w:rsidRPr="00E81AF2">
        <w:rPr>
          <w:shd w:val="clear" w:color="auto" w:fill="FFFFFF"/>
        </w:rPr>
        <w:t>618 ,,</w:t>
      </w:r>
      <w:r w:rsidR="00E23F1B" w:rsidRPr="00E81AF2">
        <w:t>P</w:t>
      </w:r>
      <w:r w:rsidR="00E23F1B" w:rsidRPr="00E81AF2">
        <w:rPr>
          <w:shd w:val="clear" w:color="auto" w:fill="FFFFFF"/>
        </w:rPr>
        <w:t>ar mantojuma reģistra un mantojuma lietu vešanu” 77.</w:t>
      </w:r>
      <w:r w:rsidR="0070487D" w:rsidRPr="00E81AF2">
        <w:rPr>
          <w:shd w:val="clear" w:color="auto" w:fill="FFFFFF"/>
        </w:rPr>
        <w:t> </w:t>
      </w:r>
      <w:r w:rsidR="00E23F1B" w:rsidRPr="00E81AF2">
        <w:rPr>
          <w:shd w:val="clear" w:color="auto" w:fill="FFFFFF"/>
        </w:rPr>
        <w:t>punkts (</w:t>
      </w:r>
      <w:r w:rsidR="00E23F1B" w:rsidRPr="00E81AF2">
        <w:rPr>
          <w:i/>
          <w:iCs/>
          <w:shd w:val="clear" w:color="auto" w:fill="FFFFFF"/>
        </w:rPr>
        <w:t>redakcijā, kas bija spēkā mantojuma lietas vešanas laikā</w:t>
      </w:r>
      <w:r w:rsidR="00E23F1B" w:rsidRPr="00E81AF2">
        <w:rPr>
          <w:shd w:val="clear" w:color="auto" w:fill="FFFFFF"/>
        </w:rPr>
        <w:t>), kas paredz, ka zvērināt</w:t>
      </w:r>
      <w:r w:rsidR="00A32928" w:rsidRPr="00E81AF2">
        <w:rPr>
          <w:shd w:val="clear" w:color="auto" w:fill="FFFFFF"/>
        </w:rPr>
        <w:t>s</w:t>
      </w:r>
      <w:r w:rsidR="00E23F1B" w:rsidRPr="00E81AF2">
        <w:rPr>
          <w:shd w:val="clear" w:color="auto" w:fill="FFFFFF"/>
        </w:rPr>
        <w:t xml:space="preserve"> notār</w:t>
      </w:r>
      <w:r w:rsidR="00A32928" w:rsidRPr="00E81AF2">
        <w:rPr>
          <w:shd w:val="clear" w:color="auto" w:fill="FFFFFF"/>
        </w:rPr>
        <w:t>s</w:t>
      </w:r>
      <w:r w:rsidR="00E23F1B" w:rsidRPr="00E81AF2">
        <w:rPr>
          <w:shd w:val="clear" w:color="auto" w:fill="FFFFFF"/>
        </w:rPr>
        <w:t xml:space="preserve"> par mantojuma atklāšanās sludinājuma saturu </w:t>
      </w:r>
      <w:proofErr w:type="spellStart"/>
      <w:r w:rsidR="00E23F1B" w:rsidRPr="00E81AF2">
        <w:rPr>
          <w:shd w:val="clear" w:color="auto" w:fill="FFFFFF"/>
        </w:rPr>
        <w:t>rakstveidā</w:t>
      </w:r>
      <w:proofErr w:type="spellEnd"/>
      <w:r w:rsidR="00E23F1B" w:rsidRPr="00E81AF2">
        <w:rPr>
          <w:shd w:val="clear" w:color="auto" w:fill="FFFFFF"/>
        </w:rPr>
        <w:t xml:space="preserve"> paziņo zināmajām mantojuma lietā ieinteresētajām personām.</w:t>
      </w:r>
      <w:r w:rsidR="00A32928" w:rsidRPr="00E81AF2">
        <w:rPr>
          <w:shd w:val="clear" w:color="auto" w:fill="FFFFFF"/>
        </w:rPr>
        <w:t xml:space="preserve"> No minētās tiesību normas gramatiskā tvēruma redzams, ka tā formulēta kā imperatīva tiesību norma, kas rīcības brīvīb</w:t>
      </w:r>
      <w:r w:rsidR="00DF6575" w:rsidRPr="00E81AF2">
        <w:rPr>
          <w:shd w:val="clear" w:color="auto" w:fill="FFFFFF"/>
        </w:rPr>
        <w:t>u</w:t>
      </w:r>
      <w:r w:rsidR="00A32928" w:rsidRPr="00E81AF2">
        <w:rPr>
          <w:shd w:val="clear" w:color="auto" w:fill="FFFFFF"/>
        </w:rPr>
        <w:t xml:space="preserve"> </w:t>
      </w:r>
      <w:r w:rsidR="00FF296C" w:rsidRPr="00E81AF2">
        <w:rPr>
          <w:shd w:val="clear" w:color="auto" w:fill="FFFFFF"/>
        </w:rPr>
        <w:t xml:space="preserve">amatpersonai </w:t>
      </w:r>
      <w:r w:rsidR="00A32928" w:rsidRPr="00E81AF2">
        <w:rPr>
          <w:shd w:val="clear" w:color="auto" w:fill="FFFFFF"/>
        </w:rPr>
        <w:t>neparedz.</w:t>
      </w:r>
    </w:p>
    <w:p w14:paraId="53B965B4" w14:textId="5243642C" w:rsidR="0090795E" w:rsidRPr="00E81AF2" w:rsidRDefault="0090795E" w:rsidP="00123C7E">
      <w:pPr>
        <w:shd w:val="clear" w:color="auto" w:fill="FFFFFF"/>
        <w:spacing w:line="276" w:lineRule="auto"/>
        <w:ind w:firstLine="720"/>
        <w:contextualSpacing/>
        <w:jc w:val="both"/>
      </w:pPr>
      <w:r w:rsidRPr="00E81AF2">
        <w:rPr>
          <w:shd w:val="clear" w:color="auto" w:fill="FFFFFF"/>
        </w:rPr>
        <w:t xml:space="preserve">Ja zvērināta </w:t>
      </w:r>
      <w:r w:rsidRPr="00E81AF2">
        <w:t>notāra rīcība (darbīb</w:t>
      </w:r>
      <w:r w:rsidR="002D3655" w:rsidRPr="00E81AF2">
        <w:t>a</w:t>
      </w:r>
      <w:r w:rsidRPr="00E81AF2">
        <w:t xml:space="preserve"> vai bezdarbīb</w:t>
      </w:r>
      <w:r w:rsidR="002D3655" w:rsidRPr="00E81AF2">
        <w:t>a</w:t>
      </w:r>
      <w:r w:rsidRPr="00E81AF2">
        <w:t xml:space="preserve">) neatbilst normatīvā akta priekšrakstiem, tā nevar radīt negatīvas </w:t>
      </w:r>
      <w:r w:rsidR="00FF296C" w:rsidRPr="00E81AF2">
        <w:t xml:space="preserve">tiesiskās </w:t>
      </w:r>
      <w:r w:rsidRPr="00E81AF2">
        <w:t>sekas zināmajam mantiniekam, aizskarot viņa tiesības uz mantojumu.</w:t>
      </w:r>
    </w:p>
    <w:p w14:paraId="7BC82697" w14:textId="1E221321" w:rsidR="0090795E" w:rsidRPr="00E81AF2" w:rsidRDefault="00A81FD6" w:rsidP="00123C7E">
      <w:pPr>
        <w:shd w:val="clear" w:color="auto" w:fill="FFFFFF"/>
        <w:spacing w:line="276" w:lineRule="auto"/>
        <w:ind w:firstLine="720"/>
        <w:contextualSpacing/>
        <w:jc w:val="both"/>
        <w:rPr>
          <w:shd w:val="clear" w:color="auto" w:fill="FFFFFF"/>
        </w:rPr>
      </w:pPr>
      <w:r w:rsidRPr="00E81AF2">
        <w:t>[9.2] </w:t>
      </w:r>
      <w:r w:rsidR="002C702C" w:rsidRPr="00E81AF2">
        <w:t>Kā l</w:t>
      </w:r>
      <w:r w:rsidRPr="00E81AF2">
        <w:t>ietā nodibinājusi</w:t>
      </w:r>
      <w:r w:rsidR="002C702C" w:rsidRPr="00E81AF2">
        <w:t xml:space="preserve"> tiesa</w:t>
      </w:r>
      <w:r w:rsidRPr="00E81AF2">
        <w:t xml:space="preserve">, </w:t>
      </w:r>
      <w:r w:rsidRPr="00E81AF2">
        <w:rPr>
          <w:shd w:val="clear" w:color="auto" w:fill="FFFFFF"/>
        </w:rPr>
        <w:t>atbildētāja informēja zvērinātu notāru, ka mantojuma atstājējam ir dēls, un arī apmaksāja izdevumus par ieskatīšanos Iedzīvotāju reģistrā, lai iegūtu datus par šo personu</w:t>
      </w:r>
      <w:r w:rsidR="00A32928" w:rsidRPr="00E81AF2">
        <w:rPr>
          <w:shd w:val="clear" w:color="auto" w:fill="FFFFFF"/>
        </w:rPr>
        <w:t>, tostarp informāciju par zināmā mantinieka dzīves vietu</w:t>
      </w:r>
      <w:r w:rsidR="0090795E" w:rsidRPr="00E81AF2">
        <w:rPr>
          <w:shd w:val="clear" w:color="auto" w:fill="FFFFFF"/>
        </w:rPr>
        <w:t>, taču nodi</w:t>
      </w:r>
      <w:r w:rsidR="00944D85" w:rsidRPr="00E81AF2">
        <w:rPr>
          <w:shd w:val="clear" w:color="auto" w:fill="FFFFFF"/>
        </w:rPr>
        <w:t>bi</w:t>
      </w:r>
      <w:r w:rsidR="0090795E" w:rsidRPr="00E81AF2">
        <w:rPr>
          <w:shd w:val="clear" w:color="auto" w:fill="FFFFFF"/>
        </w:rPr>
        <w:t>nātie fakti nepierāda</w:t>
      </w:r>
      <w:r w:rsidR="002C702C" w:rsidRPr="00E81AF2">
        <w:rPr>
          <w:shd w:val="clear" w:color="auto" w:fill="FFFFFF"/>
        </w:rPr>
        <w:t xml:space="preserve"> to, ka būtu izpildīts</w:t>
      </w:r>
      <w:r w:rsidR="0090795E" w:rsidRPr="00E81AF2">
        <w:rPr>
          <w:shd w:val="clear" w:color="auto" w:fill="FFFFFF"/>
        </w:rPr>
        <w:t xml:space="preserve"> zvērināta notāra pienākum</w:t>
      </w:r>
      <w:r w:rsidR="002C702C" w:rsidRPr="00E81AF2">
        <w:rPr>
          <w:shd w:val="clear" w:color="auto" w:fill="FFFFFF"/>
        </w:rPr>
        <w:t>s</w:t>
      </w:r>
      <w:r w:rsidR="00E122FA" w:rsidRPr="00E81AF2">
        <w:rPr>
          <w:shd w:val="clear" w:color="auto" w:fill="FFFFFF"/>
        </w:rPr>
        <w:t xml:space="preserve"> </w:t>
      </w:r>
      <w:proofErr w:type="spellStart"/>
      <w:r w:rsidR="00E122FA" w:rsidRPr="00E81AF2">
        <w:rPr>
          <w:shd w:val="clear" w:color="auto" w:fill="FFFFFF"/>
        </w:rPr>
        <w:t>rakstveidā</w:t>
      </w:r>
      <w:proofErr w:type="spellEnd"/>
      <w:r w:rsidR="00E122FA" w:rsidRPr="00E81AF2">
        <w:rPr>
          <w:shd w:val="clear" w:color="auto" w:fill="FFFFFF"/>
        </w:rPr>
        <w:t xml:space="preserve"> paziņot </w:t>
      </w:r>
      <w:r w:rsidR="0090795E" w:rsidRPr="00E81AF2">
        <w:rPr>
          <w:shd w:val="clear" w:color="auto" w:fill="FFFFFF"/>
        </w:rPr>
        <w:t>prasītājam kā zināmajam mantiniekam par mantojuma atklāšanās sludinājuma saturu.</w:t>
      </w:r>
    </w:p>
    <w:p w14:paraId="66EB052F" w14:textId="3050C132" w:rsidR="00B31F84" w:rsidRPr="00E81AF2" w:rsidRDefault="00A0203D" w:rsidP="00123C7E">
      <w:pPr>
        <w:shd w:val="clear" w:color="auto" w:fill="FFFFFF"/>
        <w:spacing w:line="276" w:lineRule="auto"/>
        <w:ind w:firstLine="720"/>
        <w:contextualSpacing/>
        <w:jc w:val="both"/>
      </w:pPr>
      <w:r w:rsidRPr="00E81AF2">
        <w:t>Paziņošanas faktam par mantojuma atklāšanos un sludinājuma saturu ir būtiska nozīme</w:t>
      </w:r>
      <w:r w:rsidR="00FF296C" w:rsidRPr="00E81AF2">
        <w:t xml:space="preserve"> lietā</w:t>
      </w:r>
      <w:r w:rsidR="00132165" w:rsidRPr="00E81AF2">
        <w:t>, lai sludinājumā norādīto uzaicinājuma termiņu gribas izteikumam pieņemt mantojumu atzītu par prasītāja tiesības (iestāties tēva atstātajā mantojumā) izbeidzošu</w:t>
      </w:r>
      <w:r w:rsidR="00B31F84" w:rsidRPr="00E81AF2">
        <w:t>, jo, neesot paziņojumam</w:t>
      </w:r>
      <w:r w:rsidR="00132165" w:rsidRPr="00E81AF2">
        <w:t xml:space="preserve">, </w:t>
      </w:r>
      <w:r w:rsidR="00B31F84" w:rsidRPr="00E81AF2">
        <w:t>sludinājum</w:t>
      </w:r>
      <w:r w:rsidR="00A32928" w:rsidRPr="00E81AF2">
        <w:t>ā norādītais</w:t>
      </w:r>
      <w:r w:rsidR="00B31F84" w:rsidRPr="00E81AF2">
        <w:t xml:space="preserve"> uzaicinājuma termiņš zināmajam mantiniekam</w:t>
      </w:r>
      <w:r w:rsidR="00DF6575" w:rsidRPr="00E81AF2">
        <w:t>, kurš nezin</w:t>
      </w:r>
      <w:r w:rsidR="0019589B" w:rsidRPr="00E81AF2">
        <w:t>a</w:t>
      </w:r>
      <w:r w:rsidR="00DF6575" w:rsidRPr="00E81AF2">
        <w:t xml:space="preserve"> par mantojuma atklāšanos,</w:t>
      </w:r>
      <w:r w:rsidR="00B31F84" w:rsidRPr="00E81AF2">
        <w:t xml:space="preserve"> nebūs </w:t>
      </w:r>
      <w:proofErr w:type="spellStart"/>
      <w:r w:rsidR="00B31F84" w:rsidRPr="00E81AF2">
        <w:t>prekluzīvs</w:t>
      </w:r>
      <w:proofErr w:type="spellEnd"/>
      <w:r w:rsidR="00B31F84" w:rsidRPr="00E81AF2">
        <w:t xml:space="preserve"> mantojuma tiesības realizācijai.</w:t>
      </w:r>
    </w:p>
    <w:p w14:paraId="073B51D9" w14:textId="262D6FC8" w:rsidR="00AD4A41" w:rsidRPr="00E81AF2" w:rsidRDefault="00A32928" w:rsidP="00123C7E">
      <w:pPr>
        <w:spacing w:line="276" w:lineRule="auto"/>
        <w:ind w:firstLine="567"/>
        <w:jc w:val="both"/>
      </w:pPr>
      <w:r w:rsidRPr="00E81AF2">
        <w:t xml:space="preserve">Senāts jau iepriekš ir </w:t>
      </w:r>
      <w:r w:rsidR="00AD4A41" w:rsidRPr="00E81AF2">
        <w:t>atzinis</w:t>
      </w:r>
      <w:r w:rsidRPr="00E81AF2">
        <w:t>, ka</w:t>
      </w:r>
      <w:r w:rsidR="002C702C" w:rsidRPr="00E81AF2">
        <w:t>,</w:t>
      </w:r>
      <w:r w:rsidRPr="00E81AF2">
        <w:t xml:space="preserve"> izšķirot </w:t>
      </w:r>
      <w:r w:rsidR="00AD4A41" w:rsidRPr="00E81AF2">
        <w:t>strīdu starp mantiniekiem, pārbauda prasības pamatā norādīto, vai amatpersonas rīcība (darbīb</w:t>
      </w:r>
      <w:r w:rsidR="0019589B" w:rsidRPr="00E81AF2">
        <w:t>a</w:t>
      </w:r>
      <w:r w:rsidR="00AD4A41" w:rsidRPr="00E81AF2">
        <w:t xml:space="preserve"> vai b</w:t>
      </w:r>
      <w:r w:rsidR="0070487D" w:rsidRPr="00E81AF2">
        <w:t>e</w:t>
      </w:r>
      <w:r w:rsidR="00AD4A41" w:rsidRPr="00E81AF2">
        <w:t>zdarbīb</w:t>
      </w:r>
      <w:r w:rsidR="0019589B" w:rsidRPr="00E81AF2">
        <w:t>a</w:t>
      </w:r>
      <w:r w:rsidR="00AD4A41" w:rsidRPr="00E81AF2">
        <w:t xml:space="preserve">) </w:t>
      </w:r>
      <w:r w:rsidR="0070487D" w:rsidRPr="00E81AF2">
        <w:t xml:space="preserve">nepamatoti </w:t>
      </w:r>
      <w:r w:rsidR="00AD4A41" w:rsidRPr="00E81AF2">
        <w:t xml:space="preserve">nav atstājusi negatīvu ietekmi uz mantinieka tiesībām iestāties mantojumā (sk. </w:t>
      </w:r>
      <w:r w:rsidR="00AD4A41" w:rsidRPr="00E81AF2">
        <w:rPr>
          <w:i/>
          <w:iCs/>
        </w:rPr>
        <w:t>Senāta 2023.</w:t>
      </w:r>
      <w:r w:rsidR="00957C7F" w:rsidRPr="00E81AF2">
        <w:rPr>
          <w:i/>
          <w:iCs/>
        </w:rPr>
        <w:t> </w:t>
      </w:r>
      <w:r w:rsidR="00AD4A41" w:rsidRPr="00E81AF2">
        <w:rPr>
          <w:i/>
          <w:iCs/>
        </w:rPr>
        <w:t xml:space="preserve">gada </w:t>
      </w:r>
      <w:r w:rsidR="00AD4A41" w:rsidRPr="00E81AF2">
        <w:rPr>
          <w:i/>
          <w:iCs/>
        </w:rPr>
        <w:lastRenderedPageBreak/>
        <w:t>25.</w:t>
      </w:r>
      <w:r w:rsidR="00957C7F" w:rsidRPr="00E81AF2">
        <w:rPr>
          <w:i/>
          <w:iCs/>
        </w:rPr>
        <w:t> </w:t>
      </w:r>
      <w:r w:rsidR="00AD4A41" w:rsidRPr="00E81AF2">
        <w:rPr>
          <w:i/>
          <w:iCs/>
        </w:rPr>
        <w:t>septembra sprieduma lietā Nr.</w:t>
      </w:r>
      <w:r w:rsidR="002D3655" w:rsidRPr="00E81AF2">
        <w:rPr>
          <w:i/>
          <w:iCs/>
        </w:rPr>
        <w:t> </w:t>
      </w:r>
      <w:r w:rsidR="00AD4A41" w:rsidRPr="00E81AF2">
        <w:rPr>
          <w:i/>
          <w:iCs/>
        </w:rPr>
        <w:t>SKC-</w:t>
      </w:r>
      <w:r w:rsidR="00D82217" w:rsidRPr="00E81AF2">
        <w:rPr>
          <w:i/>
          <w:iCs/>
        </w:rPr>
        <w:t>3</w:t>
      </w:r>
      <w:r w:rsidR="00AD4A41" w:rsidRPr="00E81AF2">
        <w:rPr>
          <w:i/>
          <w:iCs/>
        </w:rPr>
        <w:t>5/2023,</w:t>
      </w:r>
      <w:r w:rsidR="002D3655" w:rsidRPr="00E81AF2">
        <w:rPr>
          <w:i/>
          <w:iCs/>
        </w:rPr>
        <w:t xml:space="preserve"> </w:t>
      </w:r>
      <w:hyperlink r:id="rId10" w:history="1">
        <w:r w:rsidR="002D3655" w:rsidRPr="00E81AF2">
          <w:rPr>
            <w:rStyle w:val="Hyperlink"/>
            <w:i/>
            <w:iCs/>
          </w:rPr>
          <w:t>ECLI:LV:AT:2023:0925.C33548318.9.S</w:t>
        </w:r>
      </w:hyperlink>
      <w:r w:rsidR="002D3655" w:rsidRPr="00E81AF2">
        <w:rPr>
          <w:i/>
          <w:iCs/>
        </w:rPr>
        <w:t>,</w:t>
      </w:r>
      <w:r w:rsidR="00AD4A41" w:rsidRPr="00E81AF2">
        <w:rPr>
          <w:i/>
          <w:iCs/>
        </w:rPr>
        <w:t xml:space="preserve"> 5.2.</w:t>
      </w:r>
      <w:r w:rsidR="00957C7F" w:rsidRPr="00E81AF2">
        <w:rPr>
          <w:i/>
          <w:iCs/>
        </w:rPr>
        <w:t> </w:t>
      </w:r>
      <w:r w:rsidR="00AD4A41" w:rsidRPr="00E81AF2">
        <w:rPr>
          <w:i/>
          <w:iCs/>
        </w:rPr>
        <w:t>punktu</w:t>
      </w:r>
      <w:r w:rsidR="00AD4A41" w:rsidRPr="00E81AF2">
        <w:t>).</w:t>
      </w:r>
    </w:p>
    <w:p w14:paraId="70A3161D" w14:textId="4926907F" w:rsidR="00132165" w:rsidRPr="00E81AF2" w:rsidRDefault="00B31F84" w:rsidP="00123C7E">
      <w:pPr>
        <w:shd w:val="clear" w:color="auto" w:fill="FFFFFF"/>
        <w:spacing w:line="276" w:lineRule="auto"/>
        <w:ind w:firstLine="720"/>
        <w:contextualSpacing/>
        <w:jc w:val="both"/>
      </w:pPr>
      <w:r w:rsidRPr="00E81AF2">
        <w:rPr>
          <w:shd w:val="clear" w:color="auto" w:fill="FFFFFF"/>
        </w:rPr>
        <w:t>T</w:t>
      </w:r>
      <w:r w:rsidR="00132165" w:rsidRPr="00E81AF2">
        <w:rPr>
          <w:shd w:val="clear" w:color="auto" w:fill="FFFFFF"/>
        </w:rPr>
        <w:t xml:space="preserve">iesa bez vērtējuma atstājusi </w:t>
      </w:r>
      <w:r w:rsidR="00132165" w:rsidRPr="00E81AF2">
        <w:t xml:space="preserve">prasības pamata faktu, ka paziņojumu par mantojuma atklāšanos un sludinājuma saturu prasītājs </w:t>
      </w:r>
      <w:r w:rsidR="001E017F" w:rsidRPr="00E81AF2">
        <w:t xml:space="preserve">kā zināmais mantinieks </w:t>
      </w:r>
      <w:r w:rsidR="00132165" w:rsidRPr="00E81AF2">
        <w:t>nav saņēmis</w:t>
      </w:r>
      <w:r w:rsidRPr="00E81AF2">
        <w:t xml:space="preserve">, līdz ar to </w:t>
      </w:r>
      <w:r w:rsidR="00AD4A41" w:rsidRPr="00E81AF2">
        <w:t>arī secinājums par to</w:t>
      </w:r>
      <w:r w:rsidR="00DF6575" w:rsidRPr="00E81AF2">
        <w:t xml:space="preserve">, ka prasītājs </w:t>
      </w:r>
      <w:r w:rsidR="008275F7" w:rsidRPr="00E81AF2">
        <w:t>likumā noteiktā termiņā un kārtībā gribu pieņemt tēva atstāto mantojumu nav izteicis</w:t>
      </w:r>
      <w:r w:rsidR="00DF6575" w:rsidRPr="00E81AF2">
        <w:t xml:space="preserve">, </w:t>
      </w:r>
      <w:r w:rsidR="00FF296C" w:rsidRPr="00E81AF2">
        <w:t xml:space="preserve">kā atzīst Senāts, </w:t>
      </w:r>
      <w:r w:rsidR="00DF6575" w:rsidRPr="00E81AF2">
        <w:t>ir pārsteidzīgs.</w:t>
      </w:r>
    </w:p>
    <w:p w14:paraId="3593E809" w14:textId="3826104B" w:rsidR="00132165" w:rsidRPr="00E81AF2" w:rsidRDefault="001E017F" w:rsidP="00123C7E">
      <w:pPr>
        <w:shd w:val="clear" w:color="auto" w:fill="FFFFFF"/>
        <w:spacing w:line="276" w:lineRule="auto"/>
        <w:ind w:firstLine="720"/>
        <w:contextualSpacing/>
        <w:jc w:val="both"/>
      </w:pPr>
      <w:r w:rsidRPr="00E81AF2">
        <w:t>No paziņošana</w:t>
      </w:r>
      <w:r w:rsidR="00E122FA" w:rsidRPr="00E81AF2">
        <w:t>s</w:t>
      </w:r>
      <w:r w:rsidRPr="00E81AF2">
        <w:t xml:space="preserve"> fakta, kas pārbaudāms izskatot lietu pēc būtības, ir atkarīgs vai prasītājs kā zināmais mantinieks ir nokavējis likumā noteikto uzaicinājuma (paziņojuma) termiņu gribas izteikumam pieņemt </w:t>
      </w:r>
      <w:r w:rsidR="0062553D" w:rsidRPr="00E81AF2">
        <w:t xml:space="preserve">tēva </w:t>
      </w:r>
      <w:r w:rsidRPr="00E81AF2">
        <w:t>atstāto mantojumu, vai, neesot uzaicinājumam, dz</w:t>
      </w:r>
      <w:r w:rsidR="004D2195" w:rsidRPr="00E81AF2">
        <w:t>ī</w:t>
      </w:r>
      <w:r w:rsidRPr="00E81AF2">
        <w:t>ves faktiskā gadījuma sastāv</w:t>
      </w:r>
      <w:r w:rsidR="004D2195" w:rsidRPr="00E81AF2">
        <w:t>s atbilst Civillikuma 693.</w:t>
      </w:r>
      <w:r w:rsidR="0070487D" w:rsidRPr="00E81AF2">
        <w:t> </w:t>
      </w:r>
      <w:r w:rsidR="004D2195" w:rsidRPr="00E81AF2">
        <w:t xml:space="preserve">panta trešajā daļā paredzētās tiesību normas sastāva pazīmēm, </w:t>
      </w:r>
      <w:r w:rsidR="0062553D" w:rsidRPr="00E81AF2">
        <w:t>kas paredz,</w:t>
      </w:r>
      <w:r w:rsidR="004D2195" w:rsidRPr="00E81AF2">
        <w:t xml:space="preserve"> </w:t>
      </w:r>
      <w:r w:rsidR="0062553D" w:rsidRPr="00E81AF2">
        <w:t xml:space="preserve">ka </w:t>
      </w:r>
      <w:r w:rsidR="004D2195" w:rsidRPr="00E81AF2">
        <w:t xml:space="preserve">griba pieņemt mantojumu </w:t>
      </w:r>
      <w:proofErr w:type="spellStart"/>
      <w:r w:rsidR="0062553D" w:rsidRPr="00E81AF2">
        <w:t>jaizsaka</w:t>
      </w:r>
      <w:proofErr w:type="spellEnd"/>
      <w:r w:rsidR="004D2195" w:rsidRPr="00E81AF2">
        <w:t xml:space="preserve"> gada laikā no ziņu par to, ka mantojums atklājies</w:t>
      </w:r>
      <w:r w:rsidR="00944D85" w:rsidRPr="00E81AF2">
        <w:t>, saņemšanas brīža</w:t>
      </w:r>
      <w:r w:rsidR="004D2195" w:rsidRPr="00E81AF2">
        <w:t>.</w:t>
      </w:r>
    </w:p>
    <w:p w14:paraId="0AACBF83" w14:textId="77777777" w:rsidR="0070487D" w:rsidRPr="00E81AF2" w:rsidRDefault="0070487D" w:rsidP="00123C7E">
      <w:pPr>
        <w:shd w:val="clear" w:color="auto" w:fill="FFFFFF"/>
        <w:spacing w:line="276" w:lineRule="auto"/>
        <w:ind w:firstLine="720"/>
        <w:contextualSpacing/>
        <w:jc w:val="both"/>
      </w:pPr>
    </w:p>
    <w:p w14:paraId="7E790255" w14:textId="7BBC12C9" w:rsidR="00E40402" w:rsidRPr="00E81AF2" w:rsidRDefault="008275F7" w:rsidP="00123C7E">
      <w:pPr>
        <w:spacing w:line="276" w:lineRule="auto"/>
        <w:ind w:firstLine="567"/>
        <w:jc w:val="both"/>
      </w:pPr>
      <w:r w:rsidRPr="00E81AF2">
        <w:t>[</w:t>
      </w:r>
      <w:r w:rsidR="0070487D" w:rsidRPr="00E81AF2">
        <w:t>10</w:t>
      </w:r>
      <w:r w:rsidRPr="00E81AF2">
        <w:t>] </w:t>
      </w:r>
      <w:r w:rsidR="00E40402" w:rsidRPr="00E81AF2">
        <w:t>Tiesa, nenodibinot zināmā mantinieka informēšanu par mantojuma atklāšanos un sludinājuma saturu, Civillikuma 693.</w:t>
      </w:r>
      <w:r w:rsidR="0070487D" w:rsidRPr="00E81AF2">
        <w:t> </w:t>
      </w:r>
      <w:r w:rsidR="00E40402" w:rsidRPr="00E81AF2">
        <w:t>pant</w:t>
      </w:r>
      <w:r w:rsidR="002C702C" w:rsidRPr="00E81AF2">
        <w:t>a noteikumus</w:t>
      </w:r>
      <w:r w:rsidR="00E40402" w:rsidRPr="00E81AF2">
        <w:t xml:space="preserve"> par uzaicinājuma spēku ir iztulkojusi nepareizi, aizstājot</w:t>
      </w:r>
      <w:r w:rsidR="00FF296C" w:rsidRPr="00E81AF2">
        <w:t xml:space="preserve"> rakstveida</w:t>
      </w:r>
      <w:r w:rsidR="00E40402" w:rsidRPr="00E81AF2">
        <w:t xml:space="preserve"> uzaicinājumu </w:t>
      </w:r>
      <w:r w:rsidR="00FF296C" w:rsidRPr="00E81AF2">
        <w:t xml:space="preserve">izteikt attieksmi pret mantojumu </w:t>
      </w:r>
      <w:r w:rsidR="00E40402" w:rsidRPr="00E81AF2">
        <w:t>ar izdevumā ,,Latvijas Vēstnesis” ievietoto sludinājumu.</w:t>
      </w:r>
      <w:r w:rsidR="00F726F9" w:rsidRPr="00E81AF2">
        <w:t xml:space="preserve"> T</w:t>
      </w:r>
      <w:r w:rsidR="00E40402" w:rsidRPr="00E81AF2">
        <w:t>iesa</w:t>
      </w:r>
      <w:r w:rsidR="009B23B3" w:rsidRPr="00E81AF2">
        <w:t>i</w:t>
      </w:r>
      <w:r w:rsidR="00E40402" w:rsidRPr="00E81AF2">
        <w:t xml:space="preserve"> atstājot bez </w:t>
      </w:r>
      <w:r w:rsidR="009B23B3" w:rsidRPr="00E81AF2">
        <w:t>ievērības</w:t>
      </w:r>
      <w:r w:rsidR="00E40402" w:rsidRPr="00E81AF2">
        <w:t xml:space="preserve"> tādu</w:t>
      </w:r>
      <w:r w:rsidR="009B23B3" w:rsidRPr="00E81AF2">
        <w:t xml:space="preserve"> lietā nozīmīgu</w:t>
      </w:r>
      <w:r w:rsidR="00E40402" w:rsidRPr="00E81AF2">
        <w:t xml:space="preserve"> apstākli, kas ir būtisks no tiesību piemērošanas viedok</w:t>
      </w:r>
      <w:r w:rsidR="009B23B3" w:rsidRPr="00E81AF2">
        <w:t>ļa</w:t>
      </w:r>
      <w:r w:rsidR="00E40402" w:rsidRPr="00E81AF2">
        <w:t xml:space="preserve">, </w:t>
      </w:r>
      <w:r w:rsidR="009B23B3" w:rsidRPr="00E81AF2">
        <w:t xml:space="preserve">Senāts </w:t>
      </w:r>
      <w:r w:rsidR="00E40402" w:rsidRPr="00E81AF2">
        <w:t>nevar atzīt</w:t>
      </w:r>
      <w:r w:rsidR="00C94ED2" w:rsidRPr="00E81AF2">
        <w:t>,</w:t>
      </w:r>
      <w:r w:rsidR="00E40402" w:rsidRPr="00E81AF2">
        <w:t xml:space="preserve"> ka izpildīti </w:t>
      </w:r>
      <w:r w:rsidR="00E40402" w:rsidRPr="00E81AF2">
        <w:rPr>
          <w:lang w:eastAsia="lv-LV"/>
        </w:rPr>
        <w:t xml:space="preserve">Civilprocesa likuma 97. panta </w:t>
      </w:r>
      <w:r w:rsidR="00F726F9" w:rsidRPr="00E81AF2">
        <w:rPr>
          <w:lang w:eastAsia="lv-LV"/>
        </w:rPr>
        <w:t xml:space="preserve">pirmās un </w:t>
      </w:r>
      <w:r w:rsidR="00E40402" w:rsidRPr="00E81AF2">
        <w:rPr>
          <w:lang w:eastAsia="lv-LV"/>
        </w:rPr>
        <w:t>trešās daļas un 193. panta piektās daļas tiesību normas</w:t>
      </w:r>
      <w:r w:rsidR="00E40402" w:rsidRPr="00E81AF2">
        <w:t xml:space="preserve"> </w:t>
      </w:r>
      <w:r w:rsidR="009B23B3" w:rsidRPr="00E81AF2">
        <w:t>priekšraksti.</w:t>
      </w:r>
    </w:p>
    <w:p w14:paraId="63BB376A" w14:textId="77777777" w:rsidR="00E40402" w:rsidRPr="00E81AF2" w:rsidRDefault="00E40402" w:rsidP="00123C7E">
      <w:pPr>
        <w:spacing w:line="276" w:lineRule="auto"/>
        <w:ind w:firstLine="567"/>
        <w:jc w:val="both"/>
      </w:pPr>
    </w:p>
    <w:p w14:paraId="44D814D8" w14:textId="49BE4B89" w:rsidR="00D15275" w:rsidRPr="00E81AF2" w:rsidRDefault="00D15275" w:rsidP="00123C7E">
      <w:pPr>
        <w:shd w:val="clear" w:color="auto" w:fill="FFFFFF"/>
        <w:spacing w:line="276" w:lineRule="auto"/>
        <w:ind w:firstLine="720"/>
        <w:contextualSpacing/>
        <w:jc w:val="both"/>
        <w:rPr>
          <w:shd w:val="clear" w:color="auto" w:fill="FFFFFF"/>
        </w:rPr>
      </w:pPr>
      <w:r w:rsidRPr="00E81AF2">
        <w:t>[1</w:t>
      </w:r>
      <w:r w:rsidR="00097D18" w:rsidRPr="00E81AF2">
        <w:t>1</w:t>
      </w:r>
      <w:r w:rsidRPr="00E81AF2">
        <w:t>]</w:t>
      </w:r>
      <w:r w:rsidR="00957C7F" w:rsidRPr="00E81AF2">
        <w:t> </w:t>
      </w:r>
      <w:r w:rsidRPr="00E81AF2">
        <w:t>Atbilstoši Civilprocesa likuma 458.</w:t>
      </w:r>
      <w:r w:rsidR="00957C7F" w:rsidRPr="00E81AF2">
        <w:t> </w:t>
      </w:r>
      <w:r w:rsidRPr="00E81AF2">
        <w:t xml:space="preserve">panta otrajai daļai, spriedumu atceļot, atmaksājama kasācijas sūdzības iesniedzējam tā samaksātā drošības nauda 300 </w:t>
      </w:r>
      <w:proofErr w:type="spellStart"/>
      <w:r w:rsidRPr="00E81AF2">
        <w:rPr>
          <w:i/>
          <w:iCs/>
        </w:rPr>
        <w:t>euro</w:t>
      </w:r>
      <w:proofErr w:type="spellEnd"/>
      <w:r w:rsidRPr="00E81AF2">
        <w:t xml:space="preserve"> (trīs simti </w:t>
      </w:r>
      <w:proofErr w:type="spellStart"/>
      <w:r w:rsidRPr="00E81AF2">
        <w:rPr>
          <w:i/>
          <w:iCs/>
        </w:rPr>
        <w:t>euro</w:t>
      </w:r>
      <w:proofErr w:type="spellEnd"/>
      <w:r w:rsidRPr="00E81AF2">
        <w:t xml:space="preserve">). </w:t>
      </w:r>
    </w:p>
    <w:p w14:paraId="77E0C98E" w14:textId="77777777" w:rsidR="00505FFB" w:rsidRPr="00E81AF2" w:rsidRDefault="00505FFB" w:rsidP="00123C7E">
      <w:pPr>
        <w:spacing w:line="276" w:lineRule="auto"/>
        <w:contextualSpacing/>
        <w:jc w:val="both"/>
      </w:pPr>
    </w:p>
    <w:p w14:paraId="05A15303" w14:textId="77777777" w:rsidR="00505FFB" w:rsidRPr="00E81AF2" w:rsidRDefault="00505FFB" w:rsidP="00123C7E">
      <w:pPr>
        <w:shd w:val="clear" w:color="auto" w:fill="FFFFFF"/>
        <w:spacing w:line="276" w:lineRule="auto"/>
        <w:jc w:val="center"/>
        <w:rPr>
          <w:b/>
        </w:rPr>
      </w:pPr>
      <w:r w:rsidRPr="00E81AF2">
        <w:rPr>
          <w:b/>
        </w:rPr>
        <w:t xml:space="preserve">Rezolutīvā daļa </w:t>
      </w:r>
    </w:p>
    <w:p w14:paraId="18FA4879" w14:textId="56301DDC" w:rsidR="00505FFB" w:rsidRPr="00E81AF2" w:rsidRDefault="00505FFB" w:rsidP="00123C7E">
      <w:pPr>
        <w:shd w:val="clear" w:color="auto" w:fill="FFFFFF"/>
        <w:spacing w:line="276" w:lineRule="auto"/>
        <w:ind w:firstLine="720"/>
        <w:jc w:val="both"/>
      </w:pPr>
      <w:r w:rsidRPr="00E81AF2">
        <w:t xml:space="preserve">Pamatojoties uz Civilprocesa likuma 474. panta </w:t>
      </w:r>
      <w:r w:rsidR="00D15275" w:rsidRPr="00E81AF2">
        <w:t>2.</w:t>
      </w:r>
      <w:r w:rsidR="0070487D" w:rsidRPr="00E81AF2">
        <w:t> </w:t>
      </w:r>
      <w:r w:rsidRPr="00E81AF2">
        <w:t>punktu, Senāts</w:t>
      </w:r>
      <w:r w:rsidR="00E55F33" w:rsidRPr="00E81AF2">
        <w:t xml:space="preserve"> </w:t>
      </w:r>
    </w:p>
    <w:p w14:paraId="54BB0E24" w14:textId="77777777" w:rsidR="00505FFB" w:rsidRPr="00E81AF2" w:rsidRDefault="00505FFB" w:rsidP="00123C7E">
      <w:pPr>
        <w:shd w:val="clear" w:color="auto" w:fill="FFFFFF"/>
        <w:spacing w:line="276" w:lineRule="auto"/>
        <w:jc w:val="center"/>
        <w:rPr>
          <w:b/>
        </w:rPr>
      </w:pPr>
      <w:r w:rsidRPr="00E81AF2">
        <w:rPr>
          <w:b/>
        </w:rPr>
        <w:t>nosprieda</w:t>
      </w:r>
    </w:p>
    <w:p w14:paraId="3AC0C6CF" w14:textId="18DF6F31" w:rsidR="00D15275" w:rsidRPr="00E81AF2" w:rsidRDefault="00D15275" w:rsidP="00123C7E">
      <w:pPr>
        <w:shd w:val="clear" w:color="auto" w:fill="FFFFFF"/>
        <w:spacing w:line="276" w:lineRule="auto"/>
        <w:ind w:firstLine="720"/>
        <w:contextualSpacing/>
        <w:jc w:val="both"/>
      </w:pPr>
      <w:r w:rsidRPr="00E81AF2">
        <w:rPr>
          <w:bCs/>
        </w:rPr>
        <w:t>atcelt Rīgas</w:t>
      </w:r>
      <w:r w:rsidRPr="00E81AF2">
        <w:rPr>
          <w:lang w:val="lt-LT"/>
        </w:rPr>
        <w:t xml:space="preserve"> apgabaltiesas 2025. gada </w:t>
      </w:r>
      <w:r w:rsidRPr="00E81AF2">
        <w:t>2.</w:t>
      </w:r>
      <w:r w:rsidR="009B23B3" w:rsidRPr="00E81AF2">
        <w:t> </w:t>
      </w:r>
      <w:r w:rsidRPr="00E81AF2">
        <w:t>aprīļa</w:t>
      </w:r>
      <w:r w:rsidR="009B23B3" w:rsidRPr="00E81AF2">
        <w:rPr>
          <w:lang w:val="lt-LT"/>
        </w:rPr>
        <w:t xml:space="preserve"> </w:t>
      </w:r>
      <w:r w:rsidRPr="00E81AF2">
        <w:rPr>
          <w:lang w:val="lt-LT"/>
        </w:rPr>
        <w:t xml:space="preserve">spriedumu </w:t>
      </w:r>
      <w:r w:rsidRPr="00E81AF2">
        <w:rPr>
          <w:bCs/>
        </w:rPr>
        <w:t xml:space="preserve">un </w:t>
      </w:r>
      <w:r w:rsidRPr="00E81AF2">
        <w:t>nodot lietu jaunai izskatīšanai apelācijas instances tiesā;</w:t>
      </w:r>
    </w:p>
    <w:p w14:paraId="1097CFF7" w14:textId="68C45241" w:rsidR="00D15275" w:rsidRPr="00E81AF2" w:rsidRDefault="00D15275" w:rsidP="00123C7E">
      <w:pPr>
        <w:shd w:val="clear" w:color="auto" w:fill="FFFFFF"/>
        <w:spacing w:line="276" w:lineRule="auto"/>
        <w:ind w:firstLine="720"/>
        <w:contextualSpacing/>
        <w:jc w:val="both"/>
      </w:pPr>
      <w:r w:rsidRPr="00E81AF2">
        <w:rPr>
          <w:bCs/>
        </w:rPr>
        <w:t xml:space="preserve">atmaksāt </w:t>
      </w:r>
      <w:r w:rsidR="006E1A12" w:rsidRPr="00E81AF2">
        <w:t>[pers. A]</w:t>
      </w:r>
      <w:r w:rsidRPr="00E81AF2">
        <w:rPr>
          <w:shd w:val="clear" w:color="auto" w:fill="FFFFFF"/>
        </w:rPr>
        <w:t xml:space="preserve"> </w:t>
      </w:r>
      <w:r w:rsidRPr="00E81AF2">
        <w:rPr>
          <w:bCs/>
        </w:rPr>
        <w:t>drošības naudu 300 </w:t>
      </w:r>
      <w:proofErr w:type="spellStart"/>
      <w:r w:rsidRPr="00E81AF2">
        <w:rPr>
          <w:bCs/>
          <w:i/>
          <w:iCs/>
        </w:rPr>
        <w:t>euro</w:t>
      </w:r>
      <w:proofErr w:type="spellEnd"/>
      <w:r w:rsidRPr="00E81AF2">
        <w:t xml:space="preserve"> (trīs simti </w:t>
      </w:r>
      <w:proofErr w:type="spellStart"/>
      <w:r w:rsidRPr="00E81AF2">
        <w:rPr>
          <w:i/>
          <w:iCs/>
        </w:rPr>
        <w:t>euro</w:t>
      </w:r>
      <w:proofErr w:type="spellEnd"/>
      <w:r w:rsidRPr="00E81AF2">
        <w:t xml:space="preserve">). </w:t>
      </w:r>
    </w:p>
    <w:p w14:paraId="271A6029" w14:textId="2CFB2B81" w:rsidR="00505FFB" w:rsidRPr="00E81AF2" w:rsidRDefault="00505FFB" w:rsidP="00123C7E">
      <w:pPr>
        <w:shd w:val="clear" w:color="auto" w:fill="FFFFFF"/>
        <w:spacing w:line="276" w:lineRule="auto"/>
        <w:ind w:firstLine="567"/>
        <w:contextualSpacing/>
        <w:jc w:val="both"/>
      </w:pPr>
    </w:p>
    <w:p w14:paraId="09C9C3FD" w14:textId="77777777" w:rsidR="00505FFB" w:rsidRPr="00E81AF2" w:rsidRDefault="00505FFB" w:rsidP="00123C7E">
      <w:pPr>
        <w:shd w:val="clear" w:color="auto" w:fill="FFFFFF"/>
        <w:spacing w:line="276" w:lineRule="auto"/>
        <w:ind w:firstLine="720"/>
        <w:contextualSpacing/>
        <w:jc w:val="both"/>
      </w:pPr>
      <w:r w:rsidRPr="00E81AF2">
        <w:t>Spriedums nav pārsūdzams.</w:t>
      </w:r>
    </w:p>
    <w:sectPr w:rsidR="00505FFB" w:rsidRPr="00E81AF2" w:rsidSect="004E7046">
      <w:footerReference w:type="default" r:id="rId11"/>
      <w:pgSz w:w="12240" w:h="15840"/>
      <w:pgMar w:top="1134" w:right="1701" w:bottom="1134" w:left="1701" w:header="720" w:footer="10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BF802" w14:textId="77777777" w:rsidR="00BF78D6" w:rsidRDefault="00BF78D6" w:rsidP="00B40FF3">
      <w:r>
        <w:separator/>
      </w:r>
    </w:p>
  </w:endnote>
  <w:endnote w:type="continuationSeparator" w:id="0">
    <w:p w14:paraId="302D6549" w14:textId="77777777" w:rsidR="00BF78D6" w:rsidRDefault="00BF78D6" w:rsidP="00B40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23E4" w14:textId="77777777" w:rsidR="00E35AE8" w:rsidRPr="00B40FF3" w:rsidRDefault="00000000" w:rsidP="00E35AE8">
    <w:pPr>
      <w:pStyle w:val="Footer"/>
      <w:jc w:val="center"/>
    </w:pPr>
    <w:sdt>
      <w:sdtPr>
        <w:id w:val="1728636285"/>
        <w:docPartObj>
          <w:docPartGallery w:val="Page Numbers (Top of Page)"/>
          <w:docPartUnique/>
        </w:docPartObj>
      </w:sdtPr>
      <w:sdtContent>
        <w:r w:rsidR="00E35AE8" w:rsidRPr="00B40FF3">
          <w:fldChar w:fldCharType="begin"/>
        </w:r>
        <w:r w:rsidR="00E35AE8" w:rsidRPr="00B40FF3">
          <w:instrText xml:space="preserve"> PAGE </w:instrText>
        </w:r>
        <w:r w:rsidR="00E35AE8" w:rsidRPr="00B40FF3">
          <w:fldChar w:fldCharType="separate"/>
        </w:r>
        <w:r w:rsidR="00E35AE8">
          <w:t>6</w:t>
        </w:r>
        <w:r w:rsidR="00E35AE8" w:rsidRPr="00B40FF3">
          <w:fldChar w:fldCharType="end"/>
        </w:r>
        <w:r w:rsidR="00E35AE8" w:rsidRPr="00B40FF3">
          <w:t xml:space="preserve"> no </w:t>
        </w:r>
        <w:r w:rsidR="00E35AE8" w:rsidRPr="00B40FF3">
          <w:fldChar w:fldCharType="begin"/>
        </w:r>
        <w:r w:rsidR="00E35AE8" w:rsidRPr="00B40FF3">
          <w:instrText xml:space="preserve"> NUMPAGES  </w:instrText>
        </w:r>
        <w:r w:rsidR="00E35AE8" w:rsidRPr="00B40FF3">
          <w:fldChar w:fldCharType="separate"/>
        </w:r>
        <w:r w:rsidR="00E35AE8">
          <w:t>6</w:t>
        </w:r>
        <w:r w:rsidR="00E35AE8" w:rsidRPr="00B40FF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D5089" w14:textId="77777777" w:rsidR="00BF78D6" w:rsidRDefault="00BF78D6" w:rsidP="00B40FF3">
      <w:r>
        <w:separator/>
      </w:r>
    </w:p>
  </w:footnote>
  <w:footnote w:type="continuationSeparator" w:id="0">
    <w:p w14:paraId="12F6714F" w14:textId="77777777" w:rsidR="00BF78D6" w:rsidRDefault="00BF78D6" w:rsidP="00B40F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FB"/>
    <w:rsid w:val="000001B7"/>
    <w:rsid w:val="00002F68"/>
    <w:rsid w:val="00022FCC"/>
    <w:rsid w:val="0003342D"/>
    <w:rsid w:val="000409D3"/>
    <w:rsid w:val="0006420C"/>
    <w:rsid w:val="00073C97"/>
    <w:rsid w:val="00094340"/>
    <w:rsid w:val="00097D18"/>
    <w:rsid w:val="000A3293"/>
    <w:rsid w:val="000A77E5"/>
    <w:rsid w:val="000C031C"/>
    <w:rsid w:val="000C2236"/>
    <w:rsid w:val="000C4233"/>
    <w:rsid w:val="000C6BFB"/>
    <w:rsid w:val="000D42E1"/>
    <w:rsid w:val="000E26F1"/>
    <w:rsid w:val="000F7B7F"/>
    <w:rsid w:val="00100747"/>
    <w:rsid w:val="001100C8"/>
    <w:rsid w:val="00116E3C"/>
    <w:rsid w:val="00123C7E"/>
    <w:rsid w:val="00132165"/>
    <w:rsid w:val="00155259"/>
    <w:rsid w:val="00156422"/>
    <w:rsid w:val="001759DE"/>
    <w:rsid w:val="0019589B"/>
    <w:rsid w:val="001A389C"/>
    <w:rsid w:val="001A62F5"/>
    <w:rsid w:val="001B0B33"/>
    <w:rsid w:val="001B3247"/>
    <w:rsid w:val="001D4ACD"/>
    <w:rsid w:val="001D62C1"/>
    <w:rsid w:val="001E017F"/>
    <w:rsid w:val="00206FB5"/>
    <w:rsid w:val="00213BF9"/>
    <w:rsid w:val="00241D5F"/>
    <w:rsid w:val="00242002"/>
    <w:rsid w:val="00243E1D"/>
    <w:rsid w:val="00261FE3"/>
    <w:rsid w:val="0026230E"/>
    <w:rsid w:val="002716D5"/>
    <w:rsid w:val="002810A2"/>
    <w:rsid w:val="002917A7"/>
    <w:rsid w:val="002A3163"/>
    <w:rsid w:val="002C5675"/>
    <w:rsid w:val="002C702C"/>
    <w:rsid w:val="002D198F"/>
    <w:rsid w:val="002D3655"/>
    <w:rsid w:val="002E3E2E"/>
    <w:rsid w:val="002E43B8"/>
    <w:rsid w:val="002F39E4"/>
    <w:rsid w:val="002F56E7"/>
    <w:rsid w:val="002F736C"/>
    <w:rsid w:val="00300AF7"/>
    <w:rsid w:val="003417C9"/>
    <w:rsid w:val="00345A1C"/>
    <w:rsid w:val="00353B89"/>
    <w:rsid w:val="0037572F"/>
    <w:rsid w:val="0037772E"/>
    <w:rsid w:val="003823FB"/>
    <w:rsid w:val="003843ED"/>
    <w:rsid w:val="00387005"/>
    <w:rsid w:val="003A003F"/>
    <w:rsid w:val="003A4219"/>
    <w:rsid w:val="003B00E4"/>
    <w:rsid w:val="003C01F6"/>
    <w:rsid w:val="003C0DD5"/>
    <w:rsid w:val="003D601C"/>
    <w:rsid w:val="003D7AE4"/>
    <w:rsid w:val="003F46DF"/>
    <w:rsid w:val="003F75BE"/>
    <w:rsid w:val="0040067F"/>
    <w:rsid w:val="004057BC"/>
    <w:rsid w:val="00421170"/>
    <w:rsid w:val="00427A98"/>
    <w:rsid w:val="004330FE"/>
    <w:rsid w:val="00447CAD"/>
    <w:rsid w:val="00450342"/>
    <w:rsid w:val="00455E7E"/>
    <w:rsid w:val="00457D84"/>
    <w:rsid w:val="00457E3B"/>
    <w:rsid w:val="00460F77"/>
    <w:rsid w:val="00471F53"/>
    <w:rsid w:val="0047272E"/>
    <w:rsid w:val="00481F73"/>
    <w:rsid w:val="00492E61"/>
    <w:rsid w:val="004940E6"/>
    <w:rsid w:val="00496275"/>
    <w:rsid w:val="004A04D3"/>
    <w:rsid w:val="004A44D8"/>
    <w:rsid w:val="004A59A9"/>
    <w:rsid w:val="004B0B4E"/>
    <w:rsid w:val="004B1D04"/>
    <w:rsid w:val="004C082F"/>
    <w:rsid w:val="004D2195"/>
    <w:rsid w:val="004D4F26"/>
    <w:rsid w:val="004E7046"/>
    <w:rsid w:val="004F0458"/>
    <w:rsid w:val="004F060C"/>
    <w:rsid w:val="004F1174"/>
    <w:rsid w:val="00505416"/>
    <w:rsid w:val="00505FFB"/>
    <w:rsid w:val="00512F09"/>
    <w:rsid w:val="00517D4A"/>
    <w:rsid w:val="0052159E"/>
    <w:rsid w:val="005250E3"/>
    <w:rsid w:val="00525EBF"/>
    <w:rsid w:val="00553528"/>
    <w:rsid w:val="00554C2F"/>
    <w:rsid w:val="005613CB"/>
    <w:rsid w:val="00565381"/>
    <w:rsid w:val="00567F48"/>
    <w:rsid w:val="00574158"/>
    <w:rsid w:val="00577715"/>
    <w:rsid w:val="005852DA"/>
    <w:rsid w:val="005953CB"/>
    <w:rsid w:val="00596F01"/>
    <w:rsid w:val="005A09E4"/>
    <w:rsid w:val="005A0DD9"/>
    <w:rsid w:val="005B0C83"/>
    <w:rsid w:val="005B70ED"/>
    <w:rsid w:val="005C7650"/>
    <w:rsid w:val="005F2C41"/>
    <w:rsid w:val="0061134B"/>
    <w:rsid w:val="00621EE6"/>
    <w:rsid w:val="0062553D"/>
    <w:rsid w:val="00626B3B"/>
    <w:rsid w:val="006275D9"/>
    <w:rsid w:val="00627C1E"/>
    <w:rsid w:val="00645F70"/>
    <w:rsid w:val="00650225"/>
    <w:rsid w:val="00676030"/>
    <w:rsid w:val="0068493C"/>
    <w:rsid w:val="006A0E86"/>
    <w:rsid w:val="006A116D"/>
    <w:rsid w:val="006A579D"/>
    <w:rsid w:val="006B5A13"/>
    <w:rsid w:val="006C3BE3"/>
    <w:rsid w:val="006D3561"/>
    <w:rsid w:val="006E1A12"/>
    <w:rsid w:val="006E5A7B"/>
    <w:rsid w:val="006E780A"/>
    <w:rsid w:val="006F44E6"/>
    <w:rsid w:val="0070024E"/>
    <w:rsid w:val="0070487D"/>
    <w:rsid w:val="007104C6"/>
    <w:rsid w:val="0071418C"/>
    <w:rsid w:val="00727F8D"/>
    <w:rsid w:val="00730629"/>
    <w:rsid w:val="00734799"/>
    <w:rsid w:val="00734902"/>
    <w:rsid w:val="00737834"/>
    <w:rsid w:val="00742E6A"/>
    <w:rsid w:val="00745796"/>
    <w:rsid w:val="00747026"/>
    <w:rsid w:val="00747CA6"/>
    <w:rsid w:val="007533B0"/>
    <w:rsid w:val="007542B1"/>
    <w:rsid w:val="00761D67"/>
    <w:rsid w:val="00775C57"/>
    <w:rsid w:val="00792480"/>
    <w:rsid w:val="007974E1"/>
    <w:rsid w:val="007A21FE"/>
    <w:rsid w:val="007A4A46"/>
    <w:rsid w:val="007A5235"/>
    <w:rsid w:val="007B1F6A"/>
    <w:rsid w:val="007B7B08"/>
    <w:rsid w:val="007C33F2"/>
    <w:rsid w:val="007D131C"/>
    <w:rsid w:val="007D276E"/>
    <w:rsid w:val="007D4631"/>
    <w:rsid w:val="007D6706"/>
    <w:rsid w:val="007D7171"/>
    <w:rsid w:val="007F743C"/>
    <w:rsid w:val="00802FA8"/>
    <w:rsid w:val="00805FEA"/>
    <w:rsid w:val="008164DF"/>
    <w:rsid w:val="008275F7"/>
    <w:rsid w:val="00836C06"/>
    <w:rsid w:val="00840333"/>
    <w:rsid w:val="0086509F"/>
    <w:rsid w:val="00882F68"/>
    <w:rsid w:val="00885CCA"/>
    <w:rsid w:val="008936DF"/>
    <w:rsid w:val="008B222A"/>
    <w:rsid w:val="008B715C"/>
    <w:rsid w:val="008C5E2B"/>
    <w:rsid w:val="008D7952"/>
    <w:rsid w:val="008E4E9A"/>
    <w:rsid w:val="008F19E1"/>
    <w:rsid w:val="008F3700"/>
    <w:rsid w:val="008F5A92"/>
    <w:rsid w:val="008F6284"/>
    <w:rsid w:val="00902E9F"/>
    <w:rsid w:val="009034EE"/>
    <w:rsid w:val="0090795E"/>
    <w:rsid w:val="0091235C"/>
    <w:rsid w:val="009204DC"/>
    <w:rsid w:val="00930130"/>
    <w:rsid w:val="00942838"/>
    <w:rsid w:val="00944655"/>
    <w:rsid w:val="00944A4F"/>
    <w:rsid w:val="00944A67"/>
    <w:rsid w:val="00944D85"/>
    <w:rsid w:val="00957C7F"/>
    <w:rsid w:val="00962475"/>
    <w:rsid w:val="00970E72"/>
    <w:rsid w:val="009810AD"/>
    <w:rsid w:val="00982BBE"/>
    <w:rsid w:val="00991211"/>
    <w:rsid w:val="009B1A88"/>
    <w:rsid w:val="009B1FC3"/>
    <w:rsid w:val="009B23B3"/>
    <w:rsid w:val="009C36B4"/>
    <w:rsid w:val="009C56AA"/>
    <w:rsid w:val="009D31EF"/>
    <w:rsid w:val="009F3E7B"/>
    <w:rsid w:val="00A0203D"/>
    <w:rsid w:val="00A22057"/>
    <w:rsid w:val="00A32928"/>
    <w:rsid w:val="00A3799A"/>
    <w:rsid w:val="00A42E0C"/>
    <w:rsid w:val="00A51D62"/>
    <w:rsid w:val="00A57057"/>
    <w:rsid w:val="00A61F26"/>
    <w:rsid w:val="00A636A6"/>
    <w:rsid w:val="00A66D2E"/>
    <w:rsid w:val="00A74850"/>
    <w:rsid w:val="00A81FD6"/>
    <w:rsid w:val="00A8285C"/>
    <w:rsid w:val="00A83A0C"/>
    <w:rsid w:val="00A83C92"/>
    <w:rsid w:val="00A8555B"/>
    <w:rsid w:val="00A97157"/>
    <w:rsid w:val="00AC4DE1"/>
    <w:rsid w:val="00AD4A41"/>
    <w:rsid w:val="00AD5C51"/>
    <w:rsid w:val="00AE7CB3"/>
    <w:rsid w:val="00AF2AEF"/>
    <w:rsid w:val="00B0081E"/>
    <w:rsid w:val="00B04296"/>
    <w:rsid w:val="00B12AB2"/>
    <w:rsid w:val="00B166B4"/>
    <w:rsid w:val="00B20524"/>
    <w:rsid w:val="00B2282E"/>
    <w:rsid w:val="00B23FC7"/>
    <w:rsid w:val="00B2411B"/>
    <w:rsid w:val="00B31B0A"/>
    <w:rsid w:val="00B31F84"/>
    <w:rsid w:val="00B40FF3"/>
    <w:rsid w:val="00B413CA"/>
    <w:rsid w:val="00B476CA"/>
    <w:rsid w:val="00B507C5"/>
    <w:rsid w:val="00B53563"/>
    <w:rsid w:val="00B56228"/>
    <w:rsid w:val="00B612A4"/>
    <w:rsid w:val="00B876E9"/>
    <w:rsid w:val="00B96DED"/>
    <w:rsid w:val="00BA743D"/>
    <w:rsid w:val="00BA7C8B"/>
    <w:rsid w:val="00BB65B8"/>
    <w:rsid w:val="00BC0315"/>
    <w:rsid w:val="00BD145F"/>
    <w:rsid w:val="00BE687D"/>
    <w:rsid w:val="00BF78D6"/>
    <w:rsid w:val="00BF7AFC"/>
    <w:rsid w:val="00C01A53"/>
    <w:rsid w:val="00C036DA"/>
    <w:rsid w:val="00C278E5"/>
    <w:rsid w:val="00C3110B"/>
    <w:rsid w:val="00C43D33"/>
    <w:rsid w:val="00C450FD"/>
    <w:rsid w:val="00C46CF5"/>
    <w:rsid w:val="00C57ECF"/>
    <w:rsid w:val="00C6206B"/>
    <w:rsid w:val="00C62ADD"/>
    <w:rsid w:val="00C65202"/>
    <w:rsid w:val="00C656DF"/>
    <w:rsid w:val="00C83590"/>
    <w:rsid w:val="00C844B3"/>
    <w:rsid w:val="00C94ED2"/>
    <w:rsid w:val="00C95762"/>
    <w:rsid w:val="00C96B63"/>
    <w:rsid w:val="00CA6A6D"/>
    <w:rsid w:val="00CB1E30"/>
    <w:rsid w:val="00CB3A3E"/>
    <w:rsid w:val="00CC6481"/>
    <w:rsid w:val="00CE1BA7"/>
    <w:rsid w:val="00CE53A2"/>
    <w:rsid w:val="00CE7513"/>
    <w:rsid w:val="00CF7EA4"/>
    <w:rsid w:val="00D01AC8"/>
    <w:rsid w:val="00D034C5"/>
    <w:rsid w:val="00D07755"/>
    <w:rsid w:val="00D15275"/>
    <w:rsid w:val="00D4125D"/>
    <w:rsid w:val="00D4133E"/>
    <w:rsid w:val="00D44208"/>
    <w:rsid w:val="00D572A6"/>
    <w:rsid w:val="00D57729"/>
    <w:rsid w:val="00D64F8E"/>
    <w:rsid w:val="00D66483"/>
    <w:rsid w:val="00D769A8"/>
    <w:rsid w:val="00D76CE4"/>
    <w:rsid w:val="00D82217"/>
    <w:rsid w:val="00D84CD2"/>
    <w:rsid w:val="00D90648"/>
    <w:rsid w:val="00DB1CC9"/>
    <w:rsid w:val="00DB2D87"/>
    <w:rsid w:val="00DC6B1C"/>
    <w:rsid w:val="00DD40A6"/>
    <w:rsid w:val="00DE00E7"/>
    <w:rsid w:val="00DE24BF"/>
    <w:rsid w:val="00DF1E1A"/>
    <w:rsid w:val="00DF3439"/>
    <w:rsid w:val="00DF4E77"/>
    <w:rsid w:val="00DF6575"/>
    <w:rsid w:val="00E00904"/>
    <w:rsid w:val="00E0259C"/>
    <w:rsid w:val="00E0522D"/>
    <w:rsid w:val="00E122FA"/>
    <w:rsid w:val="00E23F1B"/>
    <w:rsid w:val="00E330F9"/>
    <w:rsid w:val="00E35AE8"/>
    <w:rsid w:val="00E368A4"/>
    <w:rsid w:val="00E40402"/>
    <w:rsid w:val="00E46E8B"/>
    <w:rsid w:val="00E55F33"/>
    <w:rsid w:val="00E62AB3"/>
    <w:rsid w:val="00E63FB1"/>
    <w:rsid w:val="00E652D0"/>
    <w:rsid w:val="00E67F8C"/>
    <w:rsid w:val="00E81AF2"/>
    <w:rsid w:val="00E9469A"/>
    <w:rsid w:val="00E95329"/>
    <w:rsid w:val="00E96307"/>
    <w:rsid w:val="00E96820"/>
    <w:rsid w:val="00EC0D9B"/>
    <w:rsid w:val="00ED023D"/>
    <w:rsid w:val="00ED0F53"/>
    <w:rsid w:val="00ED72AD"/>
    <w:rsid w:val="00EE6460"/>
    <w:rsid w:val="00EF70B3"/>
    <w:rsid w:val="00F013E0"/>
    <w:rsid w:val="00F138BE"/>
    <w:rsid w:val="00F17F99"/>
    <w:rsid w:val="00F21801"/>
    <w:rsid w:val="00F21B8A"/>
    <w:rsid w:val="00F25A4E"/>
    <w:rsid w:val="00F25B8D"/>
    <w:rsid w:val="00F40B09"/>
    <w:rsid w:val="00F42192"/>
    <w:rsid w:val="00F50B29"/>
    <w:rsid w:val="00F57B2F"/>
    <w:rsid w:val="00F61AFD"/>
    <w:rsid w:val="00F70E62"/>
    <w:rsid w:val="00F726F9"/>
    <w:rsid w:val="00F86EC5"/>
    <w:rsid w:val="00F878ED"/>
    <w:rsid w:val="00F96C6E"/>
    <w:rsid w:val="00FB69B0"/>
    <w:rsid w:val="00FC6466"/>
    <w:rsid w:val="00FD1335"/>
    <w:rsid w:val="00FD7527"/>
    <w:rsid w:val="00FE4080"/>
    <w:rsid w:val="00FF015D"/>
    <w:rsid w:val="00FF2002"/>
    <w:rsid w:val="00FF21B5"/>
    <w:rsid w:val="00FF29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543806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FB"/>
    <w:pPr>
      <w:spacing w:after="0" w:line="240" w:lineRule="auto"/>
    </w:pPr>
    <w:rPr>
      <w:rFonts w:eastAsia="Times New Roman" w:cs="Times New Roman"/>
      <w:kern w:val="0"/>
      <w:lang w:val="lv-LV" w:eastAsia="ru-RU"/>
      <w14:ligatures w14:val="none"/>
    </w:rPr>
  </w:style>
  <w:style w:type="paragraph" w:styleId="Heading1">
    <w:name w:val="heading 1"/>
    <w:basedOn w:val="Normal"/>
    <w:next w:val="Normal"/>
    <w:link w:val="Heading1Char"/>
    <w:uiPriority w:val="9"/>
    <w:qFormat/>
    <w:rsid w:val="00505FF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05FF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05FF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05FFB"/>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05FFB"/>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05FFB"/>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05FFB"/>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05FFB"/>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05FFB"/>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FFB"/>
    <w:rPr>
      <w:rFonts w:asciiTheme="majorHAnsi" w:eastAsiaTheme="majorEastAsia" w:hAnsiTheme="majorHAnsi" w:cstheme="majorBidi"/>
      <w:color w:val="2F5496" w:themeColor="accent1" w:themeShade="BF"/>
      <w:sz w:val="40"/>
      <w:szCs w:val="40"/>
      <w:lang w:val="lv-LV"/>
    </w:rPr>
  </w:style>
  <w:style w:type="character" w:customStyle="1" w:styleId="Heading2Char">
    <w:name w:val="Heading 2 Char"/>
    <w:basedOn w:val="DefaultParagraphFont"/>
    <w:link w:val="Heading2"/>
    <w:uiPriority w:val="9"/>
    <w:semiHidden/>
    <w:rsid w:val="00505FFB"/>
    <w:rPr>
      <w:rFonts w:asciiTheme="majorHAnsi" w:eastAsiaTheme="majorEastAsia" w:hAnsiTheme="majorHAnsi" w:cstheme="majorBidi"/>
      <w:color w:val="2F5496" w:themeColor="accent1" w:themeShade="BF"/>
      <w:sz w:val="32"/>
      <w:szCs w:val="32"/>
      <w:lang w:val="lv-LV"/>
    </w:rPr>
  </w:style>
  <w:style w:type="character" w:customStyle="1" w:styleId="Heading3Char">
    <w:name w:val="Heading 3 Char"/>
    <w:basedOn w:val="DefaultParagraphFont"/>
    <w:link w:val="Heading3"/>
    <w:uiPriority w:val="9"/>
    <w:semiHidden/>
    <w:rsid w:val="00505FFB"/>
    <w:rPr>
      <w:rFonts w:asciiTheme="minorHAnsi" w:eastAsiaTheme="majorEastAsia" w:hAnsiTheme="minorHAnsi" w:cstheme="majorBidi"/>
      <w:color w:val="2F5496" w:themeColor="accent1" w:themeShade="BF"/>
      <w:sz w:val="28"/>
      <w:szCs w:val="28"/>
      <w:lang w:val="lv-LV"/>
    </w:rPr>
  </w:style>
  <w:style w:type="character" w:customStyle="1" w:styleId="Heading4Char">
    <w:name w:val="Heading 4 Char"/>
    <w:basedOn w:val="DefaultParagraphFont"/>
    <w:link w:val="Heading4"/>
    <w:uiPriority w:val="9"/>
    <w:semiHidden/>
    <w:rsid w:val="00505FFB"/>
    <w:rPr>
      <w:rFonts w:asciiTheme="minorHAnsi" w:eastAsiaTheme="majorEastAsia" w:hAnsiTheme="minorHAnsi" w:cstheme="majorBidi"/>
      <w:i/>
      <w:iCs/>
      <w:color w:val="2F5496" w:themeColor="accent1" w:themeShade="BF"/>
      <w:lang w:val="lv-LV"/>
    </w:rPr>
  </w:style>
  <w:style w:type="character" w:customStyle="1" w:styleId="Heading5Char">
    <w:name w:val="Heading 5 Char"/>
    <w:basedOn w:val="DefaultParagraphFont"/>
    <w:link w:val="Heading5"/>
    <w:uiPriority w:val="9"/>
    <w:semiHidden/>
    <w:rsid w:val="00505FFB"/>
    <w:rPr>
      <w:rFonts w:asciiTheme="minorHAnsi" w:eastAsiaTheme="majorEastAsia" w:hAnsiTheme="minorHAnsi" w:cstheme="majorBidi"/>
      <w:color w:val="2F5496" w:themeColor="accent1" w:themeShade="BF"/>
      <w:lang w:val="lv-LV"/>
    </w:rPr>
  </w:style>
  <w:style w:type="character" w:customStyle="1" w:styleId="Heading6Char">
    <w:name w:val="Heading 6 Char"/>
    <w:basedOn w:val="DefaultParagraphFont"/>
    <w:link w:val="Heading6"/>
    <w:uiPriority w:val="9"/>
    <w:semiHidden/>
    <w:rsid w:val="00505FFB"/>
    <w:rPr>
      <w:rFonts w:asciiTheme="minorHAnsi" w:eastAsiaTheme="majorEastAsia" w:hAnsiTheme="minorHAnsi" w:cstheme="majorBidi"/>
      <w:i/>
      <w:iCs/>
      <w:color w:val="595959" w:themeColor="text1" w:themeTint="A6"/>
      <w:lang w:val="lv-LV"/>
    </w:rPr>
  </w:style>
  <w:style w:type="character" w:customStyle="1" w:styleId="Heading7Char">
    <w:name w:val="Heading 7 Char"/>
    <w:basedOn w:val="DefaultParagraphFont"/>
    <w:link w:val="Heading7"/>
    <w:uiPriority w:val="9"/>
    <w:semiHidden/>
    <w:rsid w:val="00505FFB"/>
    <w:rPr>
      <w:rFonts w:asciiTheme="minorHAnsi" w:eastAsiaTheme="majorEastAsia" w:hAnsiTheme="minorHAnsi" w:cstheme="majorBidi"/>
      <w:color w:val="595959" w:themeColor="text1" w:themeTint="A6"/>
      <w:lang w:val="lv-LV"/>
    </w:rPr>
  </w:style>
  <w:style w:type="character" w:customStyle="1" w:styleId="Heading8Char">
    <w:name w:val="Heading 8 Char"/>
    <w:basedOn w:val="DefaultParagraphFont"/>
    <w:link w:val="Heading8"/>
    <w:uiPriority w:val="9"/>
    <w:semiHidden/>
    <w:rsid w:val="00505FFB"/>
    <w:rPr>
      <w:rFonts w:asciiTheme="minorHAnsi" w:eastAsiaTheme="majorEastAsia" w:hAnsiTheme="minorHAnsi" w:cstheme="majorBidi"/>
      <w:i/>
      <w:iCs/>
      <w:color w:val="272727" w:themeColor="text1" w:themeTint="D8"/>
      <w:lang w:val="lv-LV"/>
    </w:rPr>
  </w:style>
  <w:style w:type="character" w:customStyle="1" w:styleId="Heading9Char">
    <w:name w:val="Heading 9 Char"/>
    <w:basedOn w:val="DefaultParagraphFont"/>
    <w:link w:val="Heading9"/>
    <w:uiPriority w:val="9"/>
    <w:semiHidden/>
    <w:rsid w:val="00505FFB"/>
    <w:rPr>
      <w:rFonts w:asciiTheme="minorHAnsi" w:eastAsiaTheme="majorEastAsia" w:hAnsiTheme="minorHAnsi" w:cstheme="majorBidi"/>
      <w:color w:val="272727" w:themeColor="text1" w:themeTint="D8"/>
      <w:lang w:val="lv-LV"/>
    </w:rPr>
  </w:style>
  <w:style w:type="paragraph" w:styleId="Title">
    <w:name w:val="Title"/>
    <w:basedOn w:val="Normal"/>
    <w:next w:val="Normal"/>
    <w:link w:val="TitleChar"/>
    <w:uiPriority w:val="10"/>
    <w:qFormat/>
    <w:rsid w:val="00505FF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05FFB"/>
    <w:rPr>
      <w:rFonts w:asciiTheme="majorHAnsi" w:eastAsiaTheme="majorEastAsia" w:hAnsiTheme="majorHAnsi" w:cstheme="majorBidi"/>
      <w:spacing w:val="-10"/>
      <w:kern w:val="28"/>
      <w:sz w:val="56"/>
      <w:szCs w:val="56"/>
      <w:lang w:val="lv-LV"/>
    </w:rPr>
  </w:style>
  <w:style w:type="paragraph" w:styleId="Subtitle">
    <w:name w:val="Subtitle"/>
    <w:basedOn w:val="Normal"/>
    <w:next w:val="Normal"/>
    <w:link w:val="SubtitleChar"/>
    <w:uiPriority w:val="11"/>
    <w:qFormat/>
    <w:rsid w:val="00505FF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05FFB"/>
    <w:rPr>
      <w:rFonts w:asciiTheme="minorHAnsi" w:eastAsiaTheme="majorEastAsia" w:hAnsiTheme="minorHAnsi" w:cstheme="majorBidi"/>
      <w:color w:val="595959" w:themeColor="text1" w:themeTint="A6"/>
      <w:spacing w:val="15"/>
      <w:sz w:val="28"/>
      <w:szCs w:val="28"/>
      <w:lang w:val="lv-LV"/>
    </w:rPr>
  </w:style>
  <w:style w:type="paragraph" w:styleId="Quote">
    <w:name w:val="Quote"/>
    <w:basedOn w:val="Normal"/>
    <w:next w:val="Normal"/>
    <w:link w:val="QuoteChar"/>
    <w:uiPriority w:val="29"/>
    <w:qFormat/>
    <w:rsid w:val="00505FFB"/>
    <w:pPr>
      <w:spacing w:before="160" w:after="160" w:line="278" w:lineRule="auto"/>
      <w:jc w:val="center"/>
    </w:pPr>
    <w:rPr>
      <w:rFonts w:eastAsia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05FFB"/>
    <w:rPr>
      <w:i/>
      <w:iCs/>
      <w:color w:val="404040" w:themeColor="text1" w:themeTint="BF"/>
      <w:lang w:val="lv-LV"/>
    </w:rPr>
  </w:style>
  <w:style w:type="paragraph" w:styleId="ListParagraph">
    <w:name w:val="List Paragraph"/>
    <w:basedOn w:val="Normal"/>
    <w:uiPriority w:val="34"/>
    <w:qFormat/>
    <w:rsid w:val="00505FFB"/>
    <w:pPr>
      <w:spacing w:after="160" w:line="278" w:lineRule="auto"/>
      <w:ind w:left="720"/>
      <w:contextualSpacing/>
    </w:pPr>
    <w:rPr>
      <w:rFonts w:eastAsiaTheme="minorHAnsi" w:cstheme="minorBidi"/>
      <w:kern w:val="2"/>
      <w:lang w:eastAsia="en-US"/>
      <w14:ligatures w14:val="standardContextual"/>
    </w:rPr>
  </w:style>
  <w:style w:type="character" w:styleId="IntenseEmphasis">
    <w:name w:val="Intense Emphasis"/>
    <w:basedOn w:val="DefaultParagraphFont"/>
    <w:uiPriority w:val="21"/>
    <w:qFormat/>
    <w:rsid w:val="00505FFB"/>
    <w:rPr>
      <w:i/>
      <w:iCs/>
      <w:color w:val="2F5496" w:themeColor="accent1" w:themeShade="BF"/>
    </w:rPr>
  </w:style>
  <w:style w:type="paragraph" w:styleId="IntenseQuote">
    <w:name w:val="Intense Quote"/>
    <w:basedOn w:val="Normal"/>
    <w:next w:val="Normal"/>
    <w:link w:val="IntenseQuoteChar"/>
    <w:uiPriority w:val="30"/>
    <w:qFormat/>
    <w:rsid w:val="00505FF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05FFB"/>
    <w:rPr>
      <w:i/>
      <w:iCs/>
      <w:color w:val="2F5496" w:themeColor="accent1" w:themeShade="BF"/>
      <w:lang w:val="lv-LV"/>
    </w:rPr>
  </w:style>
  <w:style w:type="character" w:styleId="IntenseReference">
    <w:name w:val="Intense Reference"/>
    <w:basedOn w:val="DefaultParagraphFont"/>
    <w:uiPriority w:val="32"/>
    <w:qFormat/>
    <w:rsid w:val="00505FFB"/>
    <w:rPr>
      <w:b/>
      <w:bCs/>
      <w:smallCaps/>
      <w:color w:val="2F5496" w:themeColor="accent1" w:themeShade="BF"/>
      <w:spacing w:val="5"/>
    </w:rPr>
  </w:style>
  <w:style w:type="paragraph" w:styleId="Header">
    <w:name w:val="header"/>
    <w:basedOn w:val="Normal"/>
    <w:link w:val="HeaderChar"/>
    <w:uiPriority w:val="99"/>
    <w:unhideWhenUsed/>
    <w:rsid w:val="00B40FF3"/>
    <w:pPr>
      <w:tabs>
        <w:tab w:val="center" w:pos="4320"/>
        <w:tab w:val="right" w:pos="8640"/>
      </w:tabs>
    </w:pPr>
  </w:style>
  <w:style w:type="character" w:customStyle="1" w:styleId="HeaderChar">
    <w:name w:val="Header Char"/>
    <w:basedOn w:val="DefaultParagraphFont"/>
    <w:link w:val="Header"/>
    <w:uiPriority w:val="99"/>
    <w:rsid w:val="00B40FF3"/>
    <w:rPr>
      <w:rFonts w:eastAsia="Times New Roman" w:cs="Times New Roman"/>
      <w:kern w:val="0"/>
      <w:lang w:val="lv-LV" w:eastAsia="ru-RU"/>
      <w14:ligatures w14:val="none"/>
    </w:rPr>
  </w:style>
  <w:style w:type="paragraph" w:styleId="Footer">
    <w:name w:val="footer"/>
    <w:basedOn w:val="Normal"/>
    <w:link w:val="FooterChar"/>
    <w:uiPriority w:val="99"/>
    <w:unhideWhenUsed/>
    <w:rsid w:val="00B40FF3"/>
    <w:pPr>
      <w:tabs>
        <w:tab w:val="center" w:pos="4320"/>
        <w:tab w:val="right" w:pos="8640"/>
      </w:tabs>
    </w:pPr>
  </w:style>
  <w:style w:type="character" w:customStyle="1" w:styleId="FooterChar">
    <w:name w:val="Footer Char"/>
    <w:basedOn w:val="DefaultParagraphFont"/>
    <w:link w:val="Footer"/>
    <w:uiPriority w:val="99"/>
    <w:rsid w:val="00B40FF3"/>
    <w:rPr>
      <w:rFonts w:eastAsia="Times New Roman" w:cs="Times New Roman"/>
      <w:kern w:val="0"/>
      <w:lang w:val="lv-LV" w:eastAsia="ru-RU"/>
      <w14:ligatures w14:val="none"/>
    </w:rPr>
  </w:style>
  <w:style w:type="character" w:styleId="Hyperlink">
    <w:name w:val="Hyperlink"/>
    <w:basedOn w:val="DefaultParagraphFont"/>
    <w:uiPriority w:val="99"/>
    <w:unhideWhenUsed/>
    <w:rsid w:val="002D3655"/>
    <w:rPr>
      <w:color w:val="0563C1" w:themeColor="hyperlink"/>
      <w:u w:val="single"/>
    </w:rPr>
  </w:style>
  <w:style w:type="character" w:styleId="UnresolvedMention">
    <w:name w:val="Unresolved Mention"/>
    <w:basedOn w:val="DefaultParagraphFont"/>
    <w:uiPriority w:val="99"/>
    <w:semiHidden/>
    <w:unhideWhenUsed/>
    <w:rsid w:val="002D3655"/>
    <w:rPr>
      <w:color w:val="605E5C"/>
      <w:shd w:val="clear" w:color="auto" w:fill="E1DFDD"/>
    </w:rPr>
  </w:style>
  <w:style w:type="character" w:styleId="FollowedHyperlink">
    <w:name w:val="FollowedHyperlink"/>
    <w:basedOn w:val="DefaultParagraphFont"/>
    <w:uiPriority w:val="99"/>
    <w:semiHidden/>
    <w:unhideWhenUsed/>
    <w:rsid w:val="002D3655"/>
    <w:rPr>
      <w:color w:val="954F72" w:themeColor="followedHyperlink"/>
      <w:u w:val="single"/>
    </w:rPr>
  </w:style>
  <w:style w:type="paragraph" w:styleId="Revision">
    <w:name w:val="Revision"/>
    <w:hidden/>
    <w:uiPriority w:val="99"/>
    <w:semiHidden/>
    <w:rsid w:val="006A116D"/>
    <w:pPr>
      <w:spacing w:after="0" w:line="240" w:lineRule="auto"/>
    </w:pPr>
    <w:rPr>
      <w:rFonts w:eastAsia="Times New Roman" w:cs="Times New Roman"/>
      <w:kern w:val="0"/>
      <w:lang w:val="lv-LV" w:eastAsia="ru-RU"/>
      <w14:ligatures w14:val="none"/>
    </w:rPr>
  </w:style>
  <w:style w:type="character" w:styleId="CommentReference">
    <w:name w:val="annotation reference"/>
    <w:basedOn w:val="DefaultParagraphFont"/>
    <w:uiPriority w:val="99"/>
    <w:semiHidden/>
    <w:unhideWhenUsed/>
    <w:rsid w:val="003A003F"/>
    <w:rPr>
      <w:sz w:val="16"/>
      <w:szCs w:val="16"/>
    </w:rPr>
  </w:style>
  <w:style w:type="paragraph" w:styleId="CommentText">
    <w:name w:val="annotation text"/>
    <w:basedOn w:val="Normal"/>
    <w:link w:val="CommentTextChar"/>
    <w:uiPriority w:val="99"/>
    <w:semiHidden/>
    <w:unhideWhenUsed/>
    <w:rsid w:val="003A003F"/>
    <w:rPr>
      <w:sz w:val="20"/>
      <w:szCs w:val="20"/>
    </w:rPr>
  </w:style>
  <w:style w:type="character" w:customStyle="1" w:styleId="CommentTextChar">
    <w:name w:val="Comment Text Char"/>
    <w:basedOn w:val="DefaultParagraphFont"/>
    <w:link w:val="CommentText"/>
    <w:uiPriority w:val="99"/>
    <w:semiHidden/>
    <w:rsid w:val="003A003F"/>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3A003F"/>
    <w:rPr>
      <w:b/>
      <w:bCs/>
    </w:rPr>
  </w:style>
  <w:style w:type="character" w:customStyle="1" w:styleId="CommentSubjectChar">
    <w:name w:val="Comment Subject Char"/>
    <w:basedOn w:val="CommentTextChar"/>
    <w:link w:val="CommentSubject"/>
    <w:uiPriority w:val="99"/>
    <w:semiHidden/>
    <w:rsid w:val="003A003F"/>
    <w:rPr>
      <w:rFonts w:eastAsia="Times New Roman" w:cs="Times New Roman"/>
      <w:b/>
      <w:bCs/>
      <w:kern w:val="0"/>
      <w:sz w:val="20"/>
      <w:szCs w:val="20"/>
      <w:lang w:val="lv-LV"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335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ateway.elieta.lv/api/v1/PublicMaterialDownload/624175d1-a63c-4ea1-9dfc-c1c0e9d9d33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t.gov.lv/downloadlawfile/9527" TargetMode="External"/><Relationship Id="rId4" Type="http://schemas.openxmlformats.org/officeDocument/2006/relationships/webSettings" Target="webSettings.xml"/><Relationship Id="rId9" Type="http://schemas.openxmlformats.org/officeDocument/2006/relationships/hyperlink" Target="https://www.at.gov.lv/files/uploads/files/2_Par_Augstako_tiesu/Plenums/Plen_lem_1995_1_mantojum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F30F8-C24B-45E7-8921-5ABC011CB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10719</Words>
  <Characters>6110</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2026-02-09T14:56:00Z</dcterms:created>
  <dcterms:modified xsi:type="dcterms:W3CDTF">2026-02-11T11:47:00Z</dcterms:modified>
</cp:coreProperties>
</file>