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EE6FC" w14:textId="4245865C" w:rsidR="000B77FD" w:rsidRPr="0089375D" w:rsidRDefault="0089375D" w:rsidP="0089375D">
      <w:pPr>
        <w:spacing w:after="160" w:line="276" w:lineRule="auto"/>
        <w:jc w:val="both"/>
        <w:rPr>
          <w:b/>
          <w:bCs/>
          <w:lang w:eastAsia="en-US"/>
          <w14:ligatures w14:val="standardContextual"/>
        </w:rPr>
      </w:pPr>
      <w:r>
        <w:rPr>
          <w:b/>
          <w:bCs/>
          <w:lang w:eastAsia="en-US"/>
          <w14:ligatures w14:val="standardContextual"/>
        </w:rPr>
        <w:t xml:space="preserve">Valsts nodevas par kreditēšanas pakalpojumu sniedzēja darbības uzraudzību neatmaksāšana speciālās atļaujas (licences) patērētāju kreditēšanas pakalpojumu sniegšanai anulēšanas gadījumā </w:t>
      </w:r>
    </w:p>
    <w:p w14:paraId="46900AE8" w14:textId="5F35054F" w:rsidR="000B77FD" w:rsidRPr="0089375D" w:rsidRDefault="000B77FD" w:rsidP="0089375D">
      <w:pPr>
        <w:spacing w:before="240" w:line="276" w:lineRule="auto"/>
        <w:jc w:val="center"/>
        <w:rPr>
          <w:b/>
        </w:rPr>
      </w:pPr>
      <w:r w:rsidRPr="0089375D">
        <w:rPr>
          <w:b/>
        </w:rPr>
        <w:t>Latvijas Republikas Senāt</w:t>
      </w:r>
      <w:r w:rsidR="0089375D" w:rsidRPr="0089375D">
        <w:rPr>
          <w:b/>
        </w:rPr>
        <w:t>a</w:t>
      </w:r>
      <w:r w:rsidR="0089375D" w:rsidRPr="0089375D">
        <w:rPr>
          <w:b/>
        </w:rPr>
        <w:br/>
        <w:t>Administratīvo lietu departamenta</w:t>
      </w:r>
      <w:r w:rsidR="0089375D" w:rsidRPr="0089375D">
        <w:rPr>
          <w:b/>
        </w:rPr>
        <w:br/>
        <w:t>2025.gada 30.decembra</w:t>
      </w:r>
    </w:p>
    <w:p w14:paraId="5CFF3330" w14:textId="38E47F37" w:rsidR="008E312A" w:rsidRPr="0089375D" w:rsidRDefault="00C826B0" w:rsidP="0089375D">
      <w:pPr>
        <w:pStyle w:val="NoSpacing"/>
        <w:spacing w:line="276" w:lineRule="auto"/>
        <w:contextualSpacing/>
        <w:jc w:val="center"/>
        <w:rPr>
          <w:b/>
          <w:szCs w:val="24"/>
          <w:lang w:val="lv-LV"/>
        </w:rPr>
      </w:pPr>
      <w:r w:rsidRPr="0089375D">
        <w:rPr>
          <w:b/>
          <w:szCs w:val="24"/>
          <w:lang w:val="lv-LV"/>
        </w:rPr>
        <w:t>SPRIEDUMS</w:t>
      </w:r>
    </w:p>
    <w:p w14:paraId="0122F811" w14:textId="0D2EEB68" w:rsidR="0089375D" w:rsidRPr="0089375D" w:rsidRDefault="0089375D" w:rsidP="0089375D">
      <w:pPr>
        <w:pStyle w:val="NoSpacing"/>
        <w:spacing w:line="276" w:lineRule="auto"/>
        <w:jc w:val="center"/>
        <w:rPr>
          <w:b/>
          <w:bCs/>
          <w:szCs w:val="24"/>
          <w:lang w:val="lv-LV"/>
        </w:rPr>
      </w:pPr>
      <w:r w:rsidRPr="0089375D">
        <w:rPr>
          <w:b/>
          <w:bCs/>
          <w:szCs w:val="24"/>
          <w:lang w:val="lv-LV"/>
        </w:rPr>
        <w:t>Lieta Nr. A420132322, SKA</w:t>
      </w:r>
      <w:r w:rsidRPr="0089375D">
        <w:rPr>
          <w:b/>
          <w:bCs/>
          <w:szCs w:val="24"/>
          <w:lang w:val="lv-LV" w:eastAsia="lv-LV"/>
        </w:rPr>
        <w:t>-88/2025</w:t>
      </w:r>
    </w:p>
    <w:p w14:paraId="3D1E78A9" w14:textId="470A425E" w:rsidR="0089375D" w:rsidRPr="0089375D" w:rsidRDefault="0089375D" w:rsidP="0089375D">
      <w:pPr>
        <w:pStyle w:val="NoSpacing"/>
        <w:spacing w:line="276" w:lineRule="auto"/>
        <w:contextualSpacing/>
        <w:jc w:val="center"/>
        <w:rPr>
          <w:b/>
          <w:szCs w:val="24"/>
          <w:lang w:val="lv-LV"/>
        </w:rPr>
      </w:pPr>
      <w:r w:rsidRPr="0089375D">
        <w:rPr>
          <w:szCs w:val="24"/>
        </w:rPr>
        <w:t xml:space="preserve"> </w:t>
      </w:r>
      <w:hyperlink r:id="rId8" w:history="1">
        <w:r w:rsidRPr="0089375D">
          <w:rPr>
            <w:rStyle w:val="Hyperlink"/>
            <w:szCs w:val="24"/>
          </w:rPr>
          <w:t>ECLI:LV:</w:t>
        </w:r>
        <w:proofErr w:type="gramStart"/>
        <w:r w:rsidRPr="0089375D">
          <w:rPr>
            <w:rStyle w:val="Hyperlink"/>
            <w:szCs w:val="24"/>
          </w:rPr>
          <w:t>AT:2025:1230</w:t>
        </w:r>
        <w:proofErr w:type="gramEnd"/>
        <w:r w:rsidRPr="0089375D">
          <w:rPr>
            <w:rStyle w:val="Hyperlink"/>
            <w:szCs w:val="24"/>
          </w:rPr>
          <w:t>.A420132322.</w:t>
        </w:r>
        <w:proofErr w:type="gramStart"/>
        <w:r w:rsidRPr="0089375D">
          <w:rPr>
            <w:rStyle w:val="Hyperlink"/>
            <w:szCs w:val="24"/>
          </w:rPr>
          <w:t>10.S</w:t>
        </w:r>
        <w:proofErr w:type="gramEnd"/>
      </w:hyperlink>
    </w:p>
    <w:p w14:paraId="68DE933C" w14:textId="399CE987" w:rsidR="008E312A" w:rsidRPr="00546D76" w:rsidRDefault="008E312A" w:rsidP="0089375D">
      <w:pPr>
        <w:pStyle w:val="NoSpacing"/>
        <w:spacing w:line="276" w:lineRule="auto"/>
        <w:ind w:firstLine="720"/>
        <w:contextualSpacing/>
        <w:rPr>
          <w:lang w:val="lv-LV"/>
        </w:rPr>
      </w:pPr>
    </w:p>
    <w:p w14:paraId="7E2B2E54" w14:textId="37DC3A85" w:rsidR="008E2FD7" w:rsidRPr="00546D76" w:rsidRDefault="008E2FD7" w:rsidP="0089375D">
      <w:pPr>
        <w:spacing w:line="276" w:lineRule="auto"/>
        <w:ind w:firstLine="720"/>
        <w:contextualSpacing/>
        <w:jc w:val="both"/>
      </w:pPr>
      <w:r w:rsidRPr="00546D76">
        <w:t xml:space="preserve">Senāts šādā sastāvā: senatore referente </w:t>
      </w:r>
      <w:r w:rsidR="00BB4E80" w:rsidRPr="00546D76">
        <w:t>Laura Konošonoka</w:t>
      </w:r>
      <w:r w:rsidRPr="00546D76">
        <w:t>, senator</w:t>
      </w:r>
      <w:r w:rsidR="00BB4E80" w:rsidRPr="00546D76">
        <w:t>es Dzintra Amerika</w:t>
      </w:r>
      <w:r w:rsidRPr="00546D76">
        <w:t xml:space="preserve"> un </w:t>
      </w:r>
      <w:r w:rsidR="00BB4E80" w:rsidRPr="00546D76">
        <w:t>Diāna Makarova</w:t>
      </w:r>
    </w:p>
    <w:p w14:paraId="5A77CECF" w14:textId="77777777" w:rsidR="00C826B0" w:rsidRPr="00546D76" w:rsidRDefault="00C826B0" w:rsidP="0089375D">
      <w:pPr>
        <w:spacing w:line="276" w:lineRule="auto"/>
        <w:ind w:firstLine="720"/>
        <w:contextualSpacing/>
        <w:jc w:val="both"/>
      </w:pPr>
    </w:p>
    <w:p w14:paraId="4145BBA2" w14:textId="00D3BDF0" w:rsidR="00C826B0" w:rsidRPr="00546D76" w:rsidRDefault="00C826B0" w:rsidP="0089375D">
      <w:pPr>
        <w:spacing w:line="276" w:lineRule="auto"/>
        <w:ind w:firstLine="720"/>
        <w:contextualSpacing/>
        <w:jc w:val="both"/>
      </w:pPr>
      <w:r w:rsidRPr="00546D76">
        <w:t xml:space="preserve">rakstveida procesā izskatīja administratīvo lietu, kas ierosināta, pamatojoties uz </w:t>
      </w:r>
      <w:r w:rsidR="00BB4E80" w:rsidRPr="00546D76">
        <w:t>AS „4finance” pieteikumu par labvēlīga administratīvā akta</w:t>
      </w:r>
      <w:r w:rsidR="00386E06">
        <w:t xml:space="preserve"> izdošanu</w:t>
      </w:r>
      <w:r w:rsidR="00BB4E80" w:rsidRPr="00546D76">
        <w:t xml:space="preserve">, ar </w:t>
      </w:r>
      <w:r w:rsidR="00386E06">
        <w:t xml:space="preserve">kuru </w:t>
      </w:r>
      <w:r w:rsidR="00BB4E80" w:rsidRPr="00546D76">
        <w:t xml:space="preserve">tiktu atmaksāta </w:t>
      </w:r>
      <w:r w:rsidR="00291E35">
        <w:t xml:space="preserve">daļa no </w:t>
      </w:r>
      <w:r w:rsidR="00291E35" w:rsidRPr="00BB4E80">
        <w:t>SIA</w:t>
      </w:r>
      <w:r w:rsidR="00291E35">
        <w:t> </w:t>
      </w:r>
      <w:r w:rsidR="00291E35" w:rsidRPr="00BB4E80">
        <w:t>„ONDO” un SIA</w:t>
      </w:r>
      <w:r w:rsidR="00291E35">
        <w:t> </w:t>
      </w:r>
      <w:r w:rsidR="00291E35" w:rsidRPr="00BB4E80">
        <w:t>„VIVUS”</w:t>
      </w:r>
      <w:r w:rsidR="00291E35">
        <w:t xml:space="preserve"> samaksātās </w:t>
      </w:r>
      <w:r w:rsidR="00BB4E80" w:rsidRPr="00546D76">
        <w:t>valsts nodeva</w:t>
      </w:r>
      <w:r w:rsidR="00291E35">
        <w:t>s</w:t>
      </w:r>
      <w:r w:rsidR="00BB4E80" w:rsidRPr="00546D76">
        <w:t xml:space="preserve"> </w:t>
      </w:r>
      <w:r w:rsidR="00291E35" w:rsidRPr="001F2546">
        <w:t>par kreditēšanas pakalpojumu sniedzēja darbības uzraudzību</w:t>
      </w:r>
      <w:r w:rsidR="00BB4E80" w:rsidRPr="00546D76">
        <w:t>,</w:t>
      </w:r>
      <w:r w:rsidRPr="00546D76">
        <w:rPr>
          <w:bCs/>
        </w:rPr>
        <w:t xml:space="preserve"> </w:t>
      </w:r>
      <w:r w:rsidRPr="00546D76">
        <w:t xml:space="preserve">sakarā ar </w:t>
      </w:r>
      <w:r w:rsidR="00BB4E80" w:rsidRPr="00546D76">
        <w:t xml:space="preserve">AS „4finance” </w:t>
      </w:r>
      <w:r w:rsidRPr="00546D76">
        <w:t>kasācijas sūdzību par Administratīvās apgabaltiesas 202</w:t>
      </w:r>
      <w:r w:rsidR="00BB4E80" w:rsidRPr="00546D76">
        <w:t>3</w:t>
      </w:r>
      <w:r w:rsidRPr="00546D76">
        <w:t xml:space="preserve">.gada </w:t>
      </w:r>
      <w:r w:rsidR="00AA118D" w:rsidRPr="00546D76">
        <w:t>6</w:t>
      </w:r>
      <w:r w:rsidRPr="00546D76">
        <w:t>.</w:t>
      </w:r>
      <w:r w:rsidR="00AA118D" w:rsidRPr="00546D76">
        <w:t>jūnija</w:t>
      </w:r>
      <w:r w:rsidRPr="00546D76">
        <w:t xml:space="preserve"> spriedumu.</w:t>
      </w:r>
    </w:p>
    <w:p w14:paraId="2B3C06ED" w14:textId="77777777" w:rsidR="00C826B0" w:rsidRPr="00546D76" w:rsidRDefault="00C826B0" w:rsidP="0089375D">
      <w:pPr>
        <w:spacing w:line="276" w:lineRule="auto"/>
        <w:ind w:firstLine="567"/>
        <w:contextualSpacing/>
        <w:jc w:val="both"/>
      </w:pPr>
    </w:p>
    <w:p w14:paraId="38E27A1B" w14:textId="77777777" w:rsidR="00C826B0" w:rsidRPr="00546D76" w:rsidRDefault="00C826B0" w:rsidP="0089375D">
      <w:pPr>
        <w:pStyle w:val="ATvirsraksts"/>
        <w:contextualSpacing/>
      </w:pPr>
      <w:r w:rsidRPr="00546D76">
        <w:t>Aprakstošā daļa</w:t>
      </w:r>
    </w:p>
    <w:p w14:paraId="53B7C532" w14:textId="77777777" w:rsidR="00C826B0" w:rsidRPr="00546D76" w:rsidRDefault="00C826B0" w:rsidP="0089375D">
      <w:pPr>
        <w:pStyle w:val="NoSpacing"/>
        <w:spacing w:line="276" w:lineRule="auto"/>
        <w:rPr>
          <w:lang w:val="lv-LV"/>
        </w:rPr>
      </w:pPr>
    </w:p>
    <w:p w14:paraId="07C97FD6" w14:textId="13DB7964" w:rsidR="001E4F84" w:rsidRPr="001E4F84" w:rsidRDefault="00C826B0" w:rsidP="0089375D">
      <w:pPr>
        <w:spacing w:line="276" w:lineRule="auto"/>
        <w:ind w:firstLine="720"/>
        <w:jc w:val="both"/>
      </w:pPr>
      <w:r w:rsidRPr="00546D76">
        <w:t>[1] </w:t>
      </w:r>
      <w:r w:rsidR="00BB4E80" w:rsidRPr="00BB4E80">
        <w:t xml:space="preserve">Pieteicēja AS „4finance”, </w:t>
      </w:r>
      <w:r w:rsidR="001E4F84">
        <w:t xml:space="preserve">kā arī </w:t>
      </w:r>
      <w:r w:rsidR="00BB4E80" w:rsidRPr="00BB4E80">
        <w:t>SIA</w:t>
      </w:r>
      <w:r w:rsidR="001948F9">
        <w:t> </w:t>
      </w:r>
      <w:r w:rsidR="00BB4E80" w:rsidRPr="00BB4E80">
        <w:t>„ONDO” un SIA</w:t>
      </w:r>
      <w:r w:rsidR="001948F9">
        <w:t> </w:t>
      </w:r>
      <w:r w:rsidR="00BB4E80" w:rsidRPr="00BB4E80">
        <w:t>„VIVUS” sniedza patērētāju kreditēšanas pakalpojumus</w:t>
      </w:r>
      <w:r w:rsidR="001E4F84">
        <w:t xml:space="preserve">. </w:t>
      </w:r>
      <w:r w:rsidR="00BB4E80" w:rsidRPr="00BB4E80">
        <w:t>2021.gada 30.jūlijā tika veikta reorganizācija, AS „4finance” pievienojot SIA</w:t>
      </w:r>
      <w:r w:rsidR="00BB4E80" w:rsidRPr="00546D76">
        <w:t> </w:t>
      </w:r>
      <w:r w:rsidR="00BB4E80" w:rsidRPr="00BB4E80">
        <w:t>„ONDO” un SIA</w:t>
      </w:r>
      <w:r w:rsidR="00BB4E80" w:rsidRPr="00546D76">
        <w:t> </w:t>
      </w:r>
      <w:r w:rsidR="00BB4E80" w:rsidRPr="00BB4E80">
        <w:t xml:space="preserve">„VIVUS”. </w:t>
      </w:r>
      <w:r w:rsidR="001E4F84">
        <w:t xml:space="preserve">Ar </w:t>
      </w:r>
      <w:r w:rsidR="00BB4E80" w:rsidRPr="00BB4E80">
        <w:t>Patērētāju tiesību aizsardzības centr</w:t>
      </w:r>
      <w:r w:rsidR="001E4F84" w:rsidRPr="00C46DAD">
        <w:t>a 2021.gada 12.august</w:t>
      </w:r>
      <w:r w:rsidR="001456EB">
        <w:t>a</w:t>
      </w:r>
      <w:r w:rsidR="001E4F84" w:rsidRPr="00C46DAD">
        <w:t xml:space="preserve"> lēmumiem SIA</w:t>
      </w:r>
      <w:r w:rsidR="001456EB">
        <w:t> </w:t>
      </w:r>
      <w:r w:rsidR="001E4F84" w:rsidRPr="00C46DAD">
        <w:t>„VIVUS” un SIA</w:t>
      </w:r>
      <w:r w:rsidR="001456EB">
        <w:t> </w:t>
      </w:r>
      <w:r w:rsidR="001E4F84" w:rsidRPr="00C46DAD">
        <w:t>„ONDO” tika anulētas speciālās atļaujas (licences) patērētāju kreditēšanas pakalpojumu</w:t>
      </w:r>
      <w:r w:rsidR="001E4F84" w:rsidRPr="00184094">
        <w:t xml:space="preserve"> sniegšanai.</w:t>
      </w:r>
    </w:p>
    <w:p w14:paraId="6D16A6FB" w14:textId="3791E038" w:rsidR="00BB4E80" w:rsidRPr="00546D76" w:rsidRDefault="0080637C" w:rsidP="0089375D">
      <w:pPr>
        <w:spacing w:line="276" w:lineRule="auto"/>
        <w:ind w:firstLine="720"/>
        <w:jc w:val="both"/>
      </w:pPr>
      <w:r w:rsidRPr="00BB4E80">
        <w:t>Tā kā SIA</w:t>
      </w:r>
      <w:r w:rsidR="001456EB">
        <w:t> </w:t>
      </w:r>
      <w:r w:rsidRPr="00BB4E80">
        <w:t>„ONDO” un SIA</w:t>
      </w:r>
      <w:r w:rsidR="001456EB">
        <w:t> </w:t>
      </w:r>
      <w:r w:rsidRPr="00BB4E80">
        <w:t xml:space="preserve">„VIVUS” pēc reorganizācijas vairs nesniedza kreditēšanas pakalpojumus, </w:t>
      </w:r>
      <w:r>
        <w:t xml:space="preserve">pieteicēja vērsās Valsts ieņēmumu dienestā, </w:t>
      </w:r>
      <w:r w:rsidRPr="00546D76">
        <w:t xml:space="preserve">lūdzot </w:t>
      </w:r>
      <w:r w:rsidR="001456EB">
        <w:t>atmaksāt</w:t>
      </w:r>
      <w:r w:rsidRPr="00BB4E80">
        <w:t xml:space="preserve"> daļu no SIA</w:t>
      </w:r>
      <w:r w:rsidR="001456EB">
        <w:t> </w:t>
      </w:r>
      <w:r w:rsidRPr="00BB4E80">
        <w:t>„ONDO” un SIA</w:t>
      </w:r>
      <w:r w:rsidR="001456EB">
        <w:t> </w:t>
      </w:r>
      <w:r w:rsidRPr="00BB4E80">
        <w:t xml:space="preserve">„VIVUS” samaksātās </w:t>
      </w:r>
      <w:r w:rsidRPr="001E4F84">
        <w:t>ikgadēj</w:t>
      </w:r>
      <w:r>
        <w:t>ās</w:t>
      </w:r>
      <w:r w:rsidRPr="001E4F84">
        <w:t xml:space="preserve"> valsts nodev</w:t>
      </w:r>
      <w:r w:rsidR="00C46DAD">
        <w:t>as</w:t>
      </w:r>
      <w:r w:rsidRPr="001E4F84">
        <w:t xml:space="preserve"> par kreditēšanas pakalpojumu sniedzēja darbības uzraudzību</w:t>
      </w:r>
      <w:r>
        <w:t xml:space="preserve">. </w:t>
      </w:r>
      <w:r w:rsidR="00BB4E80" w:rsidRPr="00BB4E80">
        <w:t>Valsts ieņēmumu dienests</w:t>
      </w:r>
      <w:r w:rsidR="00BB4E80" w:rsidRPr="00546D76">
        <w:t xml:space="preserve"> pieteicējai a</w:t>
      </w:r>
      <w:r w:rsidR="00BB4E80" w:rsidRPr="00BB4E80">
        <w:t>tteica</w:t>
      </w:r>
      <w:r w:rsidR="00D6783F">
        <w:t>.</w:t>
      </w:r>
    </w:p>
    <w:p w14:paraId="03CA57C5" w14:textId="57EB386A" w:rsidR="00AB5087" w:rsidRPr="00BB4E80" w:rsidRDefault="00AB5087" w:rsidP="0089375D">
      <w:pPr>
        <w:spacing w:line="276" w:lineRule="auto"/>
        <w:ind w:firstLine="720"/>
        <w:jc w:val="both"/>
      </w:pPr>
      <w:r w:rsidRPr="00546D76">
        <w:t xml:space="preserve">Pieteicēja nepiekrita Valsts ieņēmumu dienesta lēmumam un vēlējās atgūt </w:t>
      </w:r>
      <w:r w:rsidR="0080637C">
        <w:t xml:space="preserve">daļu no </w:t>
      </w:r>
      <w:r w:rsidR="0080637C" w:rsidRPr="00BB4E80">
        <w:t>SIA</w:t>
      </w:r>
      <w:r w:rsidR="001456EB">
        <w:t> </w:t>
      </w:r>
      <w:r w:rsidR="0080637C" w:rsidRPr="00BB4E80">
        <w:t>„ONDO” un SIA</w:t>
      </w:r>
      <w:r w:rsidR="001456EB">
        <w:t> </w:t>
      </w:r>
      <w:r w:rsidR="0080637C" w:rsidRPr="00BB4E80">
        <w:t xml:space="preserve">„VIVUS” samaksātās </w:t>
      </w:r>
      <w:r w:rsidR="0080637C" w:rsidRPr="001E4F84">
        <w:t>valsts nodev</w:t>
      </w:r>
      <w:r w:rsidR="0080637C">
        <w:t>as</w:t>
      </w:r>
      <w:r w:rsidRPr="00546D76">
        <w:t>, tādēļ vērsās tiesā.</w:t>
      </w:r>
    </w:p>
    <w:p w14:paraId="22B842E9" w14:textId="77777777" w:rsidR="00BB4E80" w:rsidRPr="00546D76" w:rsidRDefault="00BB4E80" w:rsidP="0089375D">
      <w:pPr>
        <w:spacing w:line="276" w:lineRule="auto"/>
        <w:ind w:firstLine="720"/>
        <w:jc w:val="both"/>
      </w:pPr>
    </w:p>
    <w:p w14:paraId="1616C6D1" w14:textId="6B456444" w:rsidR="007857F6" w:rsidRPr="00546D76" w:rsidRDefault="00AB5087" w:rsidP="0089375D">
      <w:pPr>
        <w:spacing w:line="276" w:lineRule="auto"/>
        <w:ind w:firstLine="720"/>
        <w:jc w:val="both"/>
      </w:pPr>
      <w:r w:rsidRPr="00546D76">
        <w:t>[2]</w:t>
      </w:r>
      <w:r w:rsidR="007857F6" w:rsidRPr="00546D76">
        <w:t> </w:t>
      </w:r>
      <w:r w:rsidR="007857F6" w:rsidRPr="00546D76">
        <w:rPr>
          <w:rFonts w:eastAsiaTheme="minorEastAsia"/>
          <w:lang w:eastAsia="en-US"/>
        </w:rPr>
        <w:t>Administratīvā apgabaltiesa</w:t>
      </w:r>
      <w:r w:rsidR="007857F6" w:rsidRPr="00546D76">
        <w:t xml:space="preserve"> </w:t>
      </w:r>
      <w:r w:rsidR="001456EB">
        <w:t>pieteikumu noraidīja</w:t>
      </w:r>
      <w:r w:rsidR="007857F6" w:rsidRPr="00546D76">
        <w:rPr>
          <w:color w:val="000000"/>
        </w:rPr>
        <w:t>.</w:t>
      </w:r>
      <w:r w:rsidR="007857F6" w:rsidRPr="00546D76">
        <w:t xml:space="preserve"> Apgabaltiesa</w:t>
      </w:r>
      <w:r w:rsidR="003F4021" w:rsidRPr="00546D76">
        <w:t xml:space="preserve"> pievienoj</w:t>
      </w:r>
      <w:r w:rsidR="00F61243" w:rsidRPr="00546D76">
        <w:t>ā</w:t>
      </w:r>
      <w:r w:rsidR="003F4021" w:rsidRPr="00546D76">
        <w:t>s pirmās instances tiesas sprieduma motivācijai</w:t>
      </w:r>
      <w:r w:rsidR="00F61243" w:rsidRPr="00546D76">
        <w:t xml:space="preserve"> un </w:t>
      </w:r>
      <w:r w:rsidR="00181BDF" w:rsidRPr="00546D76">
        <w:t>spriedumu</w:t>
      </w:r>
      <w:r w:rsidR="00F61243" w:rsidRPr="00546D76">
        <w:t xml:space="preserve"> pamatoja</w:t>
      </w:r>
      <w:r w:rsidR="00181BDF" w:rsidRPr="00546D76">
        <w:t xml:space="preserve"> ar</w:t>
      </w:r>
      <w:r w:rsidR="007857F6" w:rsidRPr="00546D76">
        <w:t xml:space="preserve"> turpmāk minētajiem argumentiem.</w:t>
      </w:r>
    </w:p>
    <w:p w14:paraId="39CE0EA3" w14:textId="06323210" w:rsidR="00AB5087" w:rsidRPr="00546D76" w:rsidRDefault="00DD0F63" w:rsidP="0089375D">
      <w:pPr>
        <w:pStyle w:val="NoSpacing"/>
        <w:spacing w:line="276" w:lineRule="auto"/>
        <w:ind w:firstLine="720"/>
        <w:jc w:val="both"/>
        <w:rPr>
          <w:lang w:val="lv-LV"/>
        </w:rPr>
      </w:pPr>
      <w:r w:rsidRPr="00546D76">
        <w:rPr>
          <w:lang w:val="lv-LV"/>
        </w:rPr>
        <w:t>[</w:t>
      </w:r>
      <w:r w:rsidR="00AB5087" w:rsidRPr="00546D76">
        <w:rPr>
          <w:lang w:val="lv-LV"/>
        </w:rPr>
        <w:t>2</w:t>
      </w:r>
      <w:r w:rsidRPr="00546D76">
        <w:rPr>
          <w:lang w:val="lv-LV"/>
        </w:rPr>
        <w:t>.1] </w:t>
      </w:r>
      <w:r w:rsidR="00AB5087" w:rsidRPr="00AB5087">
        <w:rPr>
          <w:lang w:val="lv-LV"/>
        </w:rPr>
        <w:t>SIA</w:t>
      </w:r>
      <w:r w:rsidR="001456EB">
        <w:rPr>
          <w:lang w:val="lv-LV"/>
        </w:rPr>
        <w:t> </w:t>
      </w:r>
      <w:r w:rsidR="00AB5087" w:rsidRPr="00AB5087">
        <w:rPr>
          <w:lang w:val="lv-LV"/>
        </w:rPr>
        <w:t>„VIVUS” un SIA</w:t>
      </w:r>
      <w:r w:rsidR="001456EB">
        <w:rPr>
          <w:lang w:val="lv-LV"/>
        </w:rPr>
        <w:t> </w:t>
      </w:r>
      <w:r w:rsidR="00AB5087" w:rsidRPr="00AB5087">
        <w:rPr>
          <w:lang w:val="lv-LV"/>
        </w:rPr>
        <w:t xml:space="preserve">„ONDO” speciālās atļaujas (licences) ar Patērētāju tiesību aizsardzības centra lēmumiem tika anulētas. </w:t>
      </w:r>
      <w:r w:rsidR="00D6783F" w:rsidRPr="00C46DAD">
        <w:rPr>
          <w:lang w:val="lv-LV"/>
        </w:rPr>
        <w:t xml:space="preserve">Ministru kabineta 2011.gada 29.marta </w:t>
      </w:r>
      <w:r w:rsidR="00D6783F" w:rsidRPr="00BB4E80">
        <w:rPr>
          <w:lang w:val="lv-LV"/>
        </w:rPr>
        <w:t>noteikum</w:t>
      </w:r>
      <w:r w:rsidR="00D6783F" w:rsidRPr="00C46DAD">
        <w:rPr>
          <w:lang w:val="lv-LV"/>
        </w:rPr>
        <w:t>u</w:t>
      </w:r>
      <w:r w:rsidR="00D6783F" w:rsidRPr="00BB4E80">
        <w:rPr>
          <w:lang w:val="lv-LV"/>
        </w:rPr>
        <w:t xml:space="preserve"> Nr.</w:t>
      </w:r>
      <w:r w:rsidR="00D6783F" w:rsidRPr="00C46DAD">
        <w:rPr>
          <w:lang w:val="lv-LV"/>
        </w:rPr>
        <w:t> </w:t>
      </w:r>
      <w:r w:rsidR="00D6783F" w:rsidRPr="00BB4E80">
        <w:rPr>
          <w:lang w:val="lv-LV"/>
        </w:rPr>
        <w:t>245</w:t>
      </w:r>
      <w:r w:rsidR="00D6783F" w:rsidRPr="00C46DAD">
        <w:rPr>
          <w:lang w:val="lv-LV"/>
        </w:rPr>
        <w:t xml:space="preserve"> „Noteikumi par speciālo atļauju (licenci) patērētāju kreditēšanas pakalpojumu sniegšanai” (turpmāk – noteikumi Nr. 245)</w:t>
      </w:r>
      <w:r w:rsidR="00D6783F" w:rsidRPr="00BB4E80">
        <w:rPr>
          <w:lang w:val="lv-LV"/>
        </w:rPr>
        <w:t xml:space="preserve"> </w:t>
      </w:r>
      <w:r w:rsidR="00AB5087" w:rsidRPr="00AB5087">
        <w:rPr>
          <w:lang w:val="lv-LV"/>
        </w:rPr>
        <w:t>48.punkt</w:t>
      </w:r>
      <w:r w:rsidR="00D6783F">
        <w:rPr>
          <w:lang w:val="lv-LV"/>
        </w:rPr>
        <w:t xml:space="preserve">s noteic, ka šādā gadījumā </w:t>
      </w:r>
      <w:r w:rsidR="00AB5087" w:rsidRPr="00AB5087">
        <w:rPr>
          <w:lang w:val="lv-LV"/>
        </w:rPr>
        <w:lastRenderedPageBreak/>
        <w:t>ikgadējā valsts nodeva par kreditēšanas pakalpojumu sniedzēja darbības uzraudzību netiek atmaksāta.</w:t>
      </w:r>
    </w:p>
    <w:p w14:paraId="110D5FAB" w14:textId="740EB7AD" w:rsidR="00AB5087" w:rsidRPr="00546D76" w:rsidRDefault="00AB5087" w:rsidP="0089375D">
      <w:pPr>
        <w:pStyle w:val="NoSpacing"/>
        <w:spacing w:line="276" w:lineRule="auto"/>
        <w:ind w:firstLine="720"/>
        <w:jc w:val="both"/>
        <w:rPr>
          <w:lang w:val="lv-LV"/>
        </w:rPr>
      </w:pPr>
      <w:r w:rsidRPr="00546D76">
        <w:rPr>
          <w:lang w:val="lv-LV"/>
        </w:rPr>
        <w:t>[2.2] </w:t>
      </w:r>
      <w:r w:rsidRPr="00AB5087">
        <w:rPr>
          <w:lang w:val="lv-LV"/>
        </w:rPr>
        <w:t>Pieteicējas iebildumi galvenokārt attiecas uz to, ka iestādes ir nepareizi interpretējušas noteikumu Nr.</w:t>
      </w:r>
      <w:r w:rsidR="001456EB">
        <w:rPr>
          <w:lang w:val="lv-LV"/>
        </w:rPr>
        <w:t> </w:t>
      </w:r>
      <w:r w:rsidRPr="00AB5087">
        <w:rPr>
          <w:lang w:val="lv-LV"/>
        </w:rPr>
        <w:t>245 42.4.</w:t>
      </w:r>
      <w:r w:rsidR="00C46DAD">
        <w:rPr>
          <w:lang w:val="lv-LV"/>
        </w:rPr>
        <w:t>apakš</w:t>
      </w:r>
      <w:r w:rsidRPr="00AB5087">
        <w:rPr>
          <w:lang w:val="lv-LV"/>
        </w:rPr>
        <w:t xml:space="preserve">punktu par kapitālsabiedrības darbības izbeigšanu, ar kuru citstarp </w:t>
      </w:r>
      <w:r w:rsidRPr="00706C7F">
        <w:rPr>
          <w:lang w:val="lv-LV"/>
        </w:rPr>
        <w:t>pamatot</w:t>
      </w:r>
      <w:r w:rsidR="00706C7F" w:rsidRPr="00706C7F">
        <w:rPr>
          <w:lang w:val="lv-LV"/>
        </w:rPr>
        <w:t>i</w:t>
      </w:r>
      <w:r w:rsidRPr="00AB5087">
        <w:rPr>
          <w:lang w:val="lv-LV"/>
        </w:rPr>
        <w:t xml:space="preserve"> Patērētāju tiesību aizsardzības centra </w:t>
      </w:r>
      <w:r w:rsidRPr="00706C7F">
        <w:rPr>
          <w:lang w:val="lv-LV"/>
        </w:rPr>
        <w:t>lēmum</w:t>
      </w:r>
      <w:r w:rsidR="00706C7F" w:rsidRPr="00706C7F">
        <w:rPr>
          <w:lang w:val="lv-LV"/>
        </w:rPr>
        <w:t>i</w:t>
      </w:r>
      <w:r w:rsidRPr="00AB5087">
        <w:rPr>
          <w:lang w:val="lv-LV"/>
        </w:rPr>
        <w:t xml:space="preserve">. Tomēr, ja pieteicējai bija iebildumi pret Patērētāju tiesību aizsardzības centra lēmumos par speciālās atļaujas (licences) anulēšanu piemērotajām tiesību normām, tad minētie lēmumi bija jāpārsūdz. </w:t>
      </w:r>
      <w:r w:rsidR="001456EB">
        <w:rPr>
          <w:lang w:val="lv-LV"/>
        </w:rPr>
        <w:t>Pieteicēja to nav darījusi</w:t>
      </w:r>
      <w:r w:rsidRPr="00AB5087">
        <w:rPr>
          <w:lang w:val="lv-LV"/>
        </w:rPr>
        <w:t>. Līdz ar to</w:t>
      </w:r>
      <w:r w:rsidRPr="00546D76">
        <w:rPr>
          <w:lang w:val="lv-LV"/>
        </w:rPr>
        <w:t xml:space="preserve"> Valsts ieņēmumu</w:t>
      </w:r>
      <w:r w:rsidRPr="00AB5087">
        <w:rPr>
          <w:lang w:val="lv-LV"/>
        </w:rPr>
        <w:t xml:space="preserve"> dienests sava lēmuma pamatojumam ir pamatoti atsaucies uz </w:t>
      </w:r>
      <w:r w:rsidR="007F043F">
        <w:rPr>
          <w:lang w:val="lv-LV"/>
        </w:rPr>
        <w:t>neapstrīdamiem</w:t>
      </w:r>
      <w:r w:rsidRPr="00AB5087">
        <w:rPr>
          <w:lang w:val="lv-LV"/>
        </w:rPr>
        <w:t xml:space="preserve"> iestāžu lēmumiem.</w:t>
      </w:r>
    </w:p>
    <w:p w14:paraId="653BC45E" w14:textId="1A35FC99" w:rsidR="00AB5087" w:rsidRPr="00546D76" w:rsidRDefault="00AB5087" w:rsidP="0089375D">
      <w:pPr>
        <w:pStyle w:val="NoSpacing"/>
        <w:spacing w:line="276" w:lineRule="auto"/>
        <w:ind w:firstLine="720"/>
        <w:jc w:val="both"/>
        <w:rPr>
          <w:lang w:val="lv-LV"/>
        </w:rPr>
      </w:pPr>
      <w:r w:rsidRPr="00546D76">
        <w:rPr>
          <w:lang w:val="lv-LV"/>
        </w:rPr>
        <w:t>[2.3] </w:t>
      </w:r>
      <w:r w:rsidR="003B2D8E">
        <w:rPr>
          <w:lang w:val="lv-LV"/>
        </w:rPr>
        <w:t>Iemeslam</w:t>
      </w:r>
      <w:r w:rsidRPr="00AB5087">
        <w:rPr>
          <w:lang w:val="lv-LV"/>
        </w:rPr>
        <w:t xml:space="preserve">, </w:t>
      </w:r>
      <w:r w:rsidR="003B2D8E">
        <w:rPr>
          <w:lang w:val="lv-LV"/>
        </w:rPr>
        <w:t xml:space="preserve">kāpēc </w:t>
      </w:r>
      <w:r w:rsidRPr="00AB5087">
        <w:rPr>
          <w:lang w:val="lv-LV"/>
        </w:rPr>
        <w:t>SIA</w:t>
      </w:r>
      <w:r w:rsidR="001456EB">
        <w:rPr>
          <w:lang w:val="lv-LV"/>
        </w:rPr>
        <w:t> </w:t>
      </w:r>
      <w:r w:rsidRPr="00AB5087">
        <w:rPr>
          <w:lang w:val="lv-LV"/>
        </w:rPr>
        <w:t>„VIVUS” un SIA</w:t>
      </w:r>
      <w:r w:rsidR="001456EB">
        <w:rPr>
          <w:lang w:val="lv-LV"/>
        </w:rPr>
        <w:t> </w:t>
      </w:r>
      <w:r w:rsidRPr="00AB5087">
        <w:rPr>
          <w:lang w:val="lv-LV"/>
        </w:rPr>
        <w:t xml:space="preserve">„ONDO” darbība ir izbeigta, nav būtiskas nozīmes, jo pamats valsts nodevas neatmaksāšanai ir speciālās atļaujas (licences) anulēšana </w:t>
      </w:r>
      <w:r w:rsidR="001456EB">
        <w:rPr>
          <w:lang w:val="lv-LV"/>
        </w:rPr>
        <w:t>minētajām sabiedrībām</w:t>
      </w:r>
      <w:r w:rsidRPr="00AB5087">
        <w:rPr>
          <w:lang w:val="lv-LV"/>
        </w:rPr>
        <w:t>.</w:t>
      </w:r>
    </w:p>
    <w:p w14:paraId="2BCC467E" w14:textId="57C73BAD" w:rsidR="00AB5087" w:rsidRPr="00546D76" w:rsidRDefault="00AB5087" w:rsidP="0089375D">
      <w:pPr>
        <w:pStyle w:val="NoSpacing"/>
        <w:spacing w:line="276" w:lineRule="auto"/>
        <w:ind w:firstLine="720"/>
        <w:jc w:val="both"/>
        <w:rPr>
          <w:lang w:val="lv-LV"/>
        </w:rPr>
      </w:pPr>
      <w:r w:rsidRPr="00546D76">
        <w:rPr>
          <w:lang w:val="lv-LV"/>
        </w:rPr>
        <w:t>[2.4] </w:t>
      </w:r>
      <w:r w:rsidRPr="00AB5087">
        <w:rPr>
          <w:lang w:val="lv-LV"/>
        </w:rPr>
        <w:t>Ikgadējā valsts nodeva par kreditēšanas pakalpojuma sniedzēja darbības uzraudzību ir vienots maksājums, kas par katru nākamo kalendāra gadu ir maksājams līdz kārtējā gada 1.decembrim, šis maksājums nav sadalāms pa mēnešiem. Gadījumā, ja valsts nodeva kādā no daļām būtu atmaksājama, tas būtu tieši noteikts normatīvajā aktā. Noteikumos Nr. 245 valsts nodevas atmaksāšana ir paredzēta tikai 54.punktā minētajā gadījumā.</w:t>
      </w:r>
    </w:p>
    <w:p w14:paraId="41D96D7D" w14:textId="21FAE8EC" w:rsidR="00AB5087" w:rsidRPr="00AB5087" w:rsidRDefault="00AB5087" w:rsidP="0089375D">
      <w:pPr>
        <w:pStyle w:val="NoSpacing"/>
        <w:spacing w:line="276" w:lineRule="auto"/>
        <w:ind w:firstLine="720"/>
        <w:jc w:val="both"/>
        <w:rPr>
          <w:lang w:val="lv-LV"/>
        </w:rPr>
      </w:pPr>
      <w:r w:rsidRPr="00546D76">
        <w:rPr>
          <w:lang w:val="lv-LV"/>
        </w:rPr>
        <w:t>[2.5] </w:t>
      </w:r>
      <w:r w:rsidRPr="00AB5087">
        <w:rPr>
          <w:lang w:val="lv-LV"/>
        </w:rPr>
        <w:t>Tā kā noteikumu Nr.</w:t>
      </w:r>
      <w:r w:rsidR="001456EB">
        <w:rPr>
          <w:lang w:val="lv-LV"/>
        </w:rPr>
        <w:t> </w:t>
      </w:r>
      <w:r w:rsidRPr="00AB5087">
        <w:rPr>
          <w:lang w:val="lv-LV"/>
        </w:rPr>
        <w:t>245 48.punktā ir tieši noteikts, ka speciālā</w:t>
      </w:r>
      <w:r w:rsidR="00707CDA">
        <w:rPr>
          <w:lang w:val="lv-LV"/>
        </w:rPr>
        <w:t>s</w:t>
      </w:r>
      <w:r w:rsidRPr="00AB5087">
        <w:rPr>
          <w:lang w:val="lv-LV"/>
        </w:rPr>
        <w:t xml:space="preserve"> atļauja</w:t>
      </w:r>
      <w:r w:rsidR="00707CDA">
        <w:rPr>
          <w:lang w:val="lv-LV"/>
        </w:rPr>
        <w:t>s</w:t>
      </w:r>
      <w:r w:rsidRPr="00AB5087">
        <w:rPr>
          <w:lang w:val="lv-LV"/>
        </w:rPr>
        <w:t xml:space="preserve"> (licence</w:t>
      </w:r>
      <w:r w:rsidR="00707CDA">
        <w:rPr>
          <w:lang w:val="lv-LV"/>
        </w:rPr>
        <w:t>s</w:t>
      </w:r>
      <w:r w:rsidRPr="00AB5087">
        <w:rPr>
          <w:lang w:val="lv-LV"/>
        </w:rPr>
        <w:t>) anulē</w:t>
      </w:r>
      <w:r w:rsidR="00707CDA">
        <w:rPr>
          <w:lang w:val="lv-LV"/>
        </w:rPr>
        <w:t>šanas gadījumā</w:t>
      </w:r>
      <w:r w:rsidRPr="00AB5087">
        <w:rPr>
          <w:lang w:val="lv-LV"/>
        </w:rPr>
        <w:t xml:space="preserve"> valsts nodeva netiek atmaksāta, un noteikumu 54.punktā ir precīzi norādīti gadījumi, kad valsts nodevu atmaksā, nav pamata pieteikuma apmierināšanai.</w:t>
      </w:r>
    </w:p>
    <w:p w14:paraId="51656980" w14:textId="77777777" w:rsidR="00AB5087" w:rsidRPr="00546D76" w:rsidRDefault="00AB5087" w:rsidP="0089375D">
      <w:pPr>
        <w:pStyle w:val="NoSpacing"/>
        <w:spacing w:line="276" w:lineRule="auto"/>
        <w:ind w:firstLine="720"/>
        <w:jc w:val="both"/>
        <w:rPr>
          <w:lang w:val="lv-LV"/>
        </w:rPr>
      </w:pPr>
    </w:p>
    <w:p w14:paraId="14430A13" w14:textId="72269527" w:rsidR="00AB5087" w:rsidRPr="00546D76" w:rsidRDefault="00AB5087" w:rsidP="0089375D">
      <w:pPr>
        <w:spacing w:line="276" w:lineRule="auto"/>
        <w:ind w:firstLine="720"/>
        <w:jc w:val="both"/>
      </w:pPr>
      <w:r w:rsidRPr="00546D76">
        <w:t>[3] </w:t>
      </w:r>
      <w:r w:rsidRPr="00546D76">
        <w:rPr>
          <w:bCs/>
          <w:shd w:val="clear" w:color="auto" w:fill="FFFFFF"/>
        </w:rPr>
        <w:t xml:space="preserve">Pieteicēja </w:t>
      </w:r>
      <w:r w:rsidRPr="00546D76">
        <w:t xml:space="preserve">iesniedza kasācijas sūdzību par apgabaltiesas spriedumu, </w:t>
      </w:r>
      <w:r w:rsidR="00707CDA">
        <w:t>norādot</w:t>
      </w:r>
      <w:r w:rsidRPr="00546D76">
        <w:t xml:space="preserve"> turpmāk minētos argumentus.</w:t>
      </w:r>
    </w:p>
    <w:p w14:paraId="6BB43F74" w14:textId="1F93CD4A" w:rsidR="003A64E4" w:rsidRPr="00546D76" w:rsidRDefault="003A64E4" w:rsidP="0089375D">
      <w:pPr>
        <w:pStyle w:val="NoSpacing"/>
        <w:spacing w:line="276" w:lineRule="auto"/>
        <w:ind w:firstLine="720"/>
        <w:jc w:val="both"/>
        <w:rPr>
          <w:lang w:val="lv-LV"/>
        </w:rPr>
      </w:pPr>
      <w:r w:rsidRPr="00546D76">
        <w:rPr>
          <w:lang w:val="lv-LV"/>
        </w:rPr>
        <w:t>[3.1] </w:t>
      </w:r>
      <w:r w:rsidRPr="003A64E4">
        <w:rPr>
          <w:lang w:val="lv-LV"/>
        </w:rPr>
        <w:t xml:space="preserve">Tiesa ir nepareizi interpretējusi un piemērojusi noteikumus Nr. 245, nepamatoti ierobežojot pieteicējas pamattiesības, lai gan šāds ierobežojums normatīvajos aktos nav noteikts. Tiesa </w:t>
      </w:r>
      <w:r w:rsidR="00707CDA">
        <w:rPr>
          <w:lang w:val="lv-LV"/>
        </w:rPr>
        <w:t>nav ņēmusi vērā,</w:t>
      </w:r>
      <w:r w:rsidRPr="003A64E4">
        <w:rPr>
          <w:lang w:val="lv-LV"/>
        </w:rPr>
        <w:t xml:space="preserve"> ka </w:t>
      </w:r>
      <w:r w:rsidR="00707CDA">
        <w:rPr>
          <w:lang w:val="lv-LV"/>
        </w:rPr>
        <w:t>konkrētais</w:t>
      </w:r>
      <w:r w:rsidRPr="003A64E4">
        <w:rPr>
          <w:lang w:val="lv-LV"/>
        </w:rPr>
        <w:t xml:space="preserve"> gadījums neatbilst nevienam no noteikumos Nr. 245 izsmeļoši uzskaitītajiem licences anulēšanas gadījumiem. Lai nodevu atmaksātu, pietiek ar likumā „Par nodokļiem un nodevām” ietverto regulējumu. </w:t>
      </w:r>
    </w:p>
    <w:p w14:paraId="625E09E6" w14:textId="4290C54F" w:rsidR="003A64E4" w:rsidRPr="00546D76" w:rsidRDefault="003A64E4" w:rsidP="0089375D">
      <w:pPr>
        <w:pStyle w:val="NoSpacing"/>
        <w:spacing w:line="276" w:lineRule="auto"/>
        <w:ind w:firstLine="720"/>
        <w:jc w:val="both"/>
        <w:rPr>
          <w:lang w:val="lv-LV"/>
        </w:rPr>
      </w:pPr>
      <w:r w:rsidRPr="00546D76">
        <w:rPr>
          <w:lang w:val="lv-LV"/>
        </w:rPr>
        <w:t>[3.2] </w:t>
      </w:r>
      <w:r w:rsidRPr="003A64E4">
        <w:rPr>
          <w:lang w:val="lv-LV"/>
        </w:rPr>
        <w:t xml:space="preserve">Tiesa </w:t>
      </w:r>
      <w:r w:rsidR="00707CDA">
        <w:rPr>
          <w:lang w:val="lv-LV"/>
        </w:rPr>
        <w:t xml:space="preserve">ir </w:t>
      </w:r>
      <w:r w:rsidRPr="003A64E4">
        <w:rPr>
          <w:lang w:val="lv-LV"/>
        </w:rPr>
        <w:t>nepamatoti uzskatīj</w:t>
      </w:r>
      <w:r w:rsidR="00707CDA">
        <w:rPr>
          <w:lang w:val="lv-LV"/>
        </w:rPr>
        <w:t>usi</w:t>
      </w:r>
      <w:r w:rsidRPr="003A64E4">
        <w:rPr>
          <w:lang w:val="lv-LV"/>
        </w:rPr>
        <w:t>, ka pieteicējai bija pienākums pārsūdzēt lēmumus par speciālās atļaujas anulēšanu. Šie lēmumi neliedza dienestam atmaksāt valsts nodevu</w:t>
      </w:r>
      <w:r w:rsidR="00684F9C" w:rsidRPr="00684F9C">
        <w:rPr>
          <w:lang w:val="lv-LV"/>
        </w:rPr>
        <w:t>, tie ir tikai viens no pierādījumiem, kas tiesai šajā lietā jāvērtē.</w:t>
      </w:r>
    </w:p>
    <w:p w14:paraId="3C450524" w14:textId="1CA76662" w:rsidR="003A64E4" w:rsidRPr="00546D76" w:rsidRDefault="003A64E4" w:rsidP="0089375D">
      <w:pPr>
        <w:pStyle w:val="NoSpacing"/>
        <w:spacing w:line="276" w:lineRule="auto"/>
        <w:ind w:firstLine="720"/>
        <w:jc w:val="both"/>
        <w:rPr>
          <w:lang w:val="lv-LV"/>
        </w:rPr>
      </w:pPr>
      <w:r w:rsidRPr="00546D76">
        <w:rPr>
          <w:lang w:val="lv-LV"/>
        </w:rPr>
        <w:t>[3.3] </w:t>
      </w:r>
      <w:r w:rsidRPr="003A64E4">
        <w:rPr>
          <w:lang w:val="lv-LV"/>
        </w:rPr>
        <w:t xml:space="preserve">Tiesa ir nepamatoti uzskatījusi, ka darbības izbeigšanas sekas ir tādas pašas kā reorganizācijas sekas. Visos licences anulēšanas gadījumos, kas minēti noteikumu Nr. 245 42. un 43.punktā, kapitālsabiedrība pēc licences anulēšanas turpina pastāvēt, tādējādi ir uzraugāma. </w:t>
      </w:r>
      <w:r w:rsidR="00707CDA">
        <w:rPr>
          <w:lang w:val="lv-LV"/>
        </w:rPr>
        <w:t>R</w:t>
      </w:r>
      <w:r w:rsidRPr="003A64E4">
        <w:rPr>
          <w:lang w:val="lv-LV"/>
        </w:rPr>
        <w:t>eorganizācijas gadījumā tiesību subjekts beidz pastāvēt uzreiz</w:t>
      </w:r>
      <w:r w:rsidR="00707CDA">
        <w:rPr>
          <w:lang w:val="lv-LV"/>
        </w:rPr>
        <w:t>,</w:t>
      </w:r>
      <w:r w:rsidRPr="003A64E4">
        <w:rPr>
          <w:lang w:val="lv-LV"/>
        </w:rPr>
        <w:t xml:space="preserve"> un tiesību subjekta tiesības un pienākumus pārņem cits tiesību subjekts, tādējādi uzraudzības darbības vairs </w:t>
      </w:r>
      <w:r w:rsidR="00707CDA">
        <w:rPr>
          <w:lang w:val="lv-LV"/>
        </w:rPr>
        <w:t xml:space="preserve">nav </w:t>
      </w:r>
      <w:r w:rsidRPr="003A64E4">
        <w:rPr>
          <w:lang w:val="lv-LV"/>
        </w:rPr>
        <w:t xml:space="preserve">veicamas. Patērētāju tiesību aizsardzības centrs </w:t>
      </w:r>
      <w:r w:rsidR="00F4607B">
        <w:rPr>
          <w:lang w:val="lv-LV"/>
        </w:rPr>
        <w:t>uzrauga</w:t>
      </w:r>
      <w:r w:rsidRPr="003A64E4">
        <w:rPr>
          <w:lang w:val="lv-LV"/>
        </w:rPr>
        <w:t xml:space="preserve"> pieteicēju, k</w:t>
      </w:r>
      <w:r w:rsidR="00F4607B">
        <w:rPr>
          <w:lang w:val="lv-LV"/>
        </w:rPr>
        <w:t xml:space="preserve">ura ir </w:t>
      </w:r>
      <w:r w:rsidRPr="003A64E4">
        <w:rPr>
          <w:lang w:val="lv-LV"/>
        </w:rPr>
        <w:t>pārņ</w:t>
      </w:r>
      <w:r w:rsidR="00F4607B">
        <w:rPr>
          <w:lang w:val="lv-LV"/>
        </w:rPr>
        <w:t>ēmusi attiecīgo</w:t>
      </w:r>
      <w:r w:rsidRPr="003A64E4">
        <w:rPr>
          <w:lang w:val="lv-LV"/>
        </w:rPr>
        <w:t xml:space="preserve"> sabiedrību saistības un samaksājusi ikgadējo valsts nodevu par kreditēšanas pakalpojumu sniedzēja darbības uzraudzību. </w:t>
      </w:r>
      <w:r w:rsidR="00F4607B">
        <w:rPr>
          <w:lang w:val="lv-LV"/>
        </w:rPr>
        <w:t>Līdz ar to nav</w:t>
      </w:r>
      <w:r w:rsidRPr="003A64E4">
        <w:rPr>
          <w:lang w:val="lv-LV"/>
        </w:rPr>
        <w:t xml:space="preserve"> pamatoti valsts budžetā saglabāt vairākkārt</w:t>
      </w:r>
      <w:r w:rsidR="00F4607B">
        <w:rPr>
          <w:lang w:val="lv-LV"/>
        </w:rPr>
        <w:t>ēju</w:t>
      </w:r>
      <w:r w:rsidRPr="003A64E4">
        <w:rPr>
          <w:lang w:val="lv-LV"/>
        </w:rPr>
        <w:t xml:space="preserve"> samaksu par </w:t>
      </w:r>
      <w:r w:rsidR="00F4607B">
        <w:rPr>
          <w:lang w:val="lv-LV"/>
        </w:rPr>
        <w:t xml:space="preserve">viena un tā paša </w:t>
      </w:r>
      <w:r w:rsidRPr="003A64E4">
        <w:rPr>
          <w:lang w:val="lv-LV"/>
        </w:rPr>
        <w:t xml:space="preserve">uzraudzības pakalpojuma </w:t>
      </w:r>
      <w:r w:rsidR="00F4607B">
        <w:rPr>
          <w:lang w:val="lv-LV"/>
        </w:rPr>
        <w:t>sniegšanu</w:t>
      </w:r>
      <w:r w:rsidR="00C46DAD">
        <w:rPr>
          <w:lang w:val="lv-LV"/>
        </w:rPr>
        <w:t>.</w:t>
      </w:r>
      <w:r w:rsidRPr="003A64E4">
        <w:rPr>
          <w:lang w:val="lv-LV"/>
        </w:rPr>
        <w:t xml:space="preserve"> </w:t>
      </w:r>
    </w:p>
    <w:p w14:paraId="7767CFDB" w14:textId="174BEC8D" w:rsidR="003A64E4" w:rsidRPr="00546D76" w:rsidRDefault="003A64E4" w:rsidP="0089375D">
      <w:pPr>
        <w:pStyle w:val="NoSpacing"/>
        <w:spacing w:line="276" w:lineRule="auto"/>
        <w:ind w:firstLine="720"/>
        <w:jc w:val="both"/>
        <w:rPr>
          <w:lang w:val="lv-LV"/>
        </w:rPr>
      </w:pPr>
      <w:r w:rsidRPr="00546D76">
        <w:rPr>
          <w:lang w:val="lv-LV"/>
        </w:rPr>
        <w:t>[3.4] </w:t>
      </w:r>
      <w:r w:rsidRPr="003A64E4">
        <w:rPr>
          <w:lang w:val="lv-LV"/>
        </w:rPr>
        <w:t>Apgabaltiesa nav izvērtējusi visus pieteikumā, apelācijas sūdzībā un paskaidrojumos ietvertos argumentus</w:t>
      </w:r>
      <w:r w:rsidR="00414C2F" w:rsidRPr="00401E4C">
        <w:rPr>
          <w:lang w:val="lv-LV"/>
        </w:rPr>
        <w:t>,</w:t>
      </w:r>
      <w:r w:rsidRPr="003A64E4">
        <w:rPr>
          <w:lang w:val="lv-LV"/>
        </w:rPr>
        <w:t xml:space="preserve"> nav </w:t>
      </w:r>
      <w:r w:rsidR="00707CDA">
        <w:rPr>
          <w:lang w:val="lv-LV"/>
        </w:rPr>
        <w:t>pamatojusi</w:t>
      </w:r>
      <w:r w:rsidRPr="003A64E4">
        <w:rPr>
          <w:lang w:val="lv-LV"/>
        </w:rPr>
        <w:t>, kādēļ tie noraidīti</w:t>
      </w:r>
      <w:r w:rsidR="001446B9" w:rsidRPr="00401E4C">
        <w:rPr>
          <w:lang w:val="lv-LV"/>
        </w:rPr>
        <w:t>, tostarp par komersanta darbības izbeigšanas atšķirībām no reorganizācijas, par iespēju sadalīt valsts nodevas maksājumu</w:t>
      </w:r>
      <w:r w:rsidR="00F4607B">
        <w:rPr>
          <w:lang w:val="lv-LV"/>
        </w:rPr>
        <w:t xml:space="preserve"> un</w:t>
      </w:r>
      <w:r w:rsidR="001446B9" w:rsidRPr="00401E4C">
        <w:rPr>
          <w:lang w:val="lv-LV"/>
        </w:rPr>
        <w:t xml:space="preserve"> par to, ka valsts nodevu</w:t>
      </w:r>
      <w:r w:rsidR="001446B9">
        <w:rPr>
          <w:lang w:val="lv-LV"/>
        </w:rPr>
        <w:t xml:space="preserve"> var </w:t>
      </w:r>
      <w:r w:rsidR="001446B9" w:rsidRPr="003A40ED">
        <w:rPr>
          <w:lang w:val="lv-LV"/>
        </w:rPr>
        <w:t>neatmaksāt tikai tad, kad tas tieši ir paredzēts normatīvajā aktā</w:t>
      </w:r>
      <w:r w:rsidR="001446B9">
        <w:rPr>
          <w:lang w:val="lv-LV"/>
        </w:rPr>
        <w:t>.</w:t>
      </w:r>
    </w:p>
    <w:p w14:paraId="11466857" w14:textId="39990849" w:rsidR="003A64E4" w:rsidRPr="003A64E4" w:rsidRDefault="003A64E4" w:rsidP="0089375D">
      <w:pPr>
        <w:pStyle w:val="NoSpacing"/>
        <w:spacing w:line="276" w:lineRule="auto"/>
        <w:ind w:firstLine="720"/>
        <w:jc w:val="both"/>
        <w:rPr>
          <w:lang w:val="lv-LV"/>
        </w:rPr>
      </w:pPr>
      <w:r w:rsidRPr="00546D76">
        <w:rPr>
          <w:lang w:val="lv-LV"/>
        </w:rPr>
        <w:t>[3.5] </w:t>
      </w:r>
      <w:r w:rsidRPr="003A64E4">
        <w:rPr>
          <w:lang w:val="lv-LV"/>
        </w:rPr>
        <w:t xml:space="preserve">Gadījumā, ja normatīvie akti neparedz valsts nodevas atmaksu pieteicējai, </w:t>
      </w:r>
      <w:r w:rsidR="00F4607B">
        <w:rPr>
          <w:lang w:val="lv-LV"/>
        </w:rPr>
        <w:t>jāvēršas</w:t>
      </w:r>
      <w:r w:rsidRPr="003A64E4">
        <w:rPr>
          <w:lang w:val="lv-LV"/>
        </w:rPr>
        <w:t xml:space="preserve"> Satversmes tiesā. </w:t>
      </w:r>
      <w:r w:rsidR="00414C2F">
        <w:rPr>
          <w:lang w:val="lv-LV"/>
        </w:rPr>
        <w:t>N</w:t>
      </w:r>
      <w:r w:rsidRPr="003A64E4">
        <w:rPr>
          <w:lang w:val="lv-LV"/>
        </w:rPr>
        <w:t>oteikumu Nr.</w:t>
      </w:r>
      <w:r w:rsidR="00707CDA">
        <w:rPr>
          <w:lang w:val="lv-LV"/>
        </w:rPr>
        <w:t> </w:t>
      </w:r>
      <w:r w:rsidRPr="003A64E4">
        <w:rPr>
          <w:lang w:val="lv-LV"/>
        </w:rPr>
        <w:t>245 54.punkts, cik</w:t>
      </w:r>
      <w:r w:rsidR="00707CDA">
        <w:rPr>
          <w:lang w:val="lv-LV"/>
        </w:rPr>
        <w:t>tāl tas</w:t>
      </w:r>
      <w:r w:rsidRPr="003A64E4">
        <w:rPr>
          <w:lang w:val="lv-LV"/>
        </w:rPr>
        <w:t xml:space="preserve"> neparedz nodevas atmaksu reorganizācijas gadījumā, neatbilst Latvijas Republikas Satversmes (turpmāk – Satversme) 1.pantam (tiesiskās paļāvības principam) un 105.pantam. </w:t>
      </w:r>
      <w:r w:rsidR="00414C2F">
        <w:rPr>
          <w:lang w:val="lv-LV"/>
        </w:rPr>
        <w:t>N</w:t>
      </w:r>
      <w:r w:rsidRPr="003A64E4">
        <w:rPr>
          <w:lang w:val="lv-LV"/>
        </w:rPr>
        <w:t>o Satversmes</w:t>
      </w:r>
      <w:r w:rsidR="00414C2F">
        <w:rPr>
          <w:lang w:val="lv-LV"/>
        </w:rPr>
        <w:t xml:space="preserve"> tiesas</w:t>
      </w:r>
      <w:r w:rsidRPr="003A64E4">
        <w:rPr>
          <w:lang w:val="lv-LV"/>
        </w:rPr>
        <w:t xml:space="preserve"> prakses izriet, ka nodevu var neatmaksāt tikai gadījumos, kad tas tieši ir noteikts normatīvajos aktos. Tā kā noteikumos Nr.</w:t>
      </w:r>
      <w:r w:rsidR="00707CDA">
        <w:rPr>
          <w:lang w:val="lv-LV"/>
        </w:rPr>
        <w:t> </w:t>
      </w:r>
      <w:r w:rsidRPr="003A64E4">
        <w:rPr>
          <w:lang w:val="lv-LV"/>
        </w:rPr>
        <w:t>245 bija izsmeļoši uzska</w:t>
      </w:r>
      <w:r w:rsidR="00015F4F">
        <w:rPr>
          <w:lang w:val="lv-LV"/>
        </w:rPr>
        <w:t>i</w:t>
      </w:r>
      <w:r w:rsidRPr="003A64E4">
        <w:rPr>
          <w:lang w:val="lv-LV"/>
        </w:rPr>
        <w:t>tīti</w:t>
      </w:r>
      <w:r w:rsidR="00015F4F">
        <w:rPr>
          <w:lang w:val="lv-LV"/>
        </w:rPr>
        <w:t xml:space="preserve"> atļaujas</w:t>
      </w:r>
      <w:r w:rsidRPr="003A64E4">
        <w:rPr>
          <w:lang w:val="lv-LV"/>
        </w:rPr>
        <w:t xml:space="preserve"> anulēšanas gadījumi, kad nodevu neatmaksā, un reorganizācija nebija viens no šiem gadījumiem, pieteicēja paļāvās, ka saņems nodevas atmaksu. </w:t>
      </w:r>
      <w:r w:rsidR="00414C2F">
        <w:rPr>
          <w:lang w:val="lv-LV"/>
        </w:rPr>
        <w:t>N</w:t>
      </w:r>
      <w:r w:rsidRPr="003A64E4">
        <w:rPr>
          <w:lang w:val="lv-LV"/>
        </w:rPr>
        <w:t>oteikumi Nr.</w:t>
      </w:r>
      <w:r w:rsidR="00414C2F">
        <w:rPr>
          <w:lang w:val="lv-LV"/>
        </w:rPr>
        <w:t> </w:t>
      </w:r>
      <w:r w:rsidRPr="003A64E4">
        <w:rPr>
          <w:lang w:val="lv-LV"/>
        </w:rPr>
        <w:t>245 nav pietiekami skaidr</w:t>
      </w:r>
      <w:r w:rsidR="00414C2F">
        <w:rPr>
          <w:lang w:val="lv-LV"/>
        </w:rPr>
        <w:t>i</w:t>
      </w:r>
      <w:r w:rsidRPr="003A64E4">
        <w:rPr>
          <w:lang w:val="lv-LV"/>
        </w:rPr>
        <w:t xml:space="preserve"> attiecībā uz </w:t>
      </w:r>
      <w:r w:rsidR="00414C2F">
        <w:rPr>
          <w:lang w:val="lv-LV"/>
        </w:rPr>
        <w:t xml:space="preserve">valsts </w:t>
      </w:r>
      <w:r w:rsidRPr="003A64E4">
        <w:rPr>
          <w:lang w:val="lv-LV"/>
        </w:rPr>
        <w:t xml:space="preserve">nodevas atmaksu, jo neparedz, kā rīkoties gadījumos, kas nav tieši </w:t>
      </w:r>
      <w:r w:rsidR="00414C2F">
        <w:rPr>
          <w:lang w:val="lv-LV"/>
        </w:rPr>
        <w:t>uzskaitīti</w:t>
      </w:r>
      <w:r w:rsidRPr="003A64E4">
        <w:rPr>
          <w:lang w:val="lv-LV"/>
        </w:rPr>
        <w:t>. Tāpat ar strīdus normām netiek sasniegts leģitīms mērķis</w:t>
      </w:r>
      <w:r w:rsidR="00414C2F">
        <w:rPr>
          <w:lang w:val="lv-LV"/>
        </w:rPr>
        <w:t xml:space="preserve"> un </w:t>
      </w:r>
      <w:r w:rsidRPr="003A64E4">
        <w:rPr>
          <w:lang w:val="lv-LV"/>
        </w:rPr>
        <w:t xml:space="preserve">nav konstatējama atbilstība samērīguma principam, jo varēja tikt paredzēti tiesības mazāk ierobežojoši nosacījumi </w:t>
      </w:r>
      <w:r w:rsidR="00414C2F">
        <w:rPr>
          <w:lang w:val="lv-LV"/>
        </w:rPr>
        <w:t xml:space="preserve">valsts </w:t>
      </w:r>
      <w:r w:rsidRPr="003A64E4">
        <w:rPr>
          <w:lang w:val="lv-LV"/>
        </w:rPr>
        <w:t>nodevas atmaksai.</w:t>
      </w:r>
    </w:p>
    <w:p w14:paraId="0B0C867C" w14:textId="77777777" w:rsidR="00C04B3B" w:rsidRPr="00546D76" w:rsidRDefault="00C04B3B" w:rsidP="0089375D">
      <w:pPr>
        <w:pStyle w:val="NoSpacing"/>
        <w:spacing w:line="276" w:lineRule="auto"/>
        <w:jc w:val="both"/>
        <w:rPr>
          <w:lang w:val="lv-LV"/>
        </w:rPr>
      </w:pPr>
    </w:p>
    <w:p w14:paraId="5DD25088" w14:textId="61775A59" w:rsidR="00712110" w:rsidRPr="00546D76" w:rsidRDefault="008E312A" w:rsidP="0089375D">
      <w:pPr>
        <w:pStyle w:val="NoSpacing"/>
        <w:spacing w:line="276" w:lineRule="auto"/>
        <w:ind w:firstLine="720"/>
        <w:jc w:val="both"/>
        <w:rPr>
          <w:lang w:val="lv-LV"/>
        </w:rPr>
      </w:pPr>
      <w:r w:rsidRPr="00B74F70">
        <w:rPr>
          <w:lang w:val="lv-LV"/>
        </w:rPr>
        <w:t>[</w:t>
      </w:r>
      <w:r w:rsidR="00291E35" w:rsidRPr="00B74F70">
        <w:rPr>
          <w:lang w:val="lv-LV"/>
        </w:rPr>
        <w:t>4</w:t>
      </w:r>
      <w:r w:rsidRPr="00B74F70">
        <w:rPr>
          <w:lang w:val="lv-LV"/>
        </w:rPr>
        <w:t>]</w:t>
      </w:r>
      <w:r w:rsidR="005D2DFD" w:rsidRPr="00B74F70">
        <w:rPr>
          <w:lang w:val="lv-LV"/>
        </w:rPr>
        <w:t> </w:t>
      </w:r>
      <w:r w:rsidR="003A64E4" w:rsidRPr="00B74F70">
        <w:rPr>
          <w:lang w:val="lv-LV"/>
        </w:rPr>
        <w:t>Valsts ieņēmumu dienests</w:t>
      </w:r>
      <w:r w:rsidR="003C50BF" w:rsidRPr="00B74F70">
        <w:rPr>
          <w:lang w:val="lv-LV"/>
        </w:rPr>
        <w:t xml:space="preserve"> un Patērētāju tiesību aizsardzības centrs</w:t>
      </w:r>
      <w:r w:rsidR="003A64E4" w:rsidRPr="00B74F70">
        <w:rPr>
          <w:lang w:val="lv-LV"/>
        </w:rPr>
        <w:t xml:space="preserve"> </w:t>
      </w:r>
      <w:r w:rsidR="00322267" w:rsidRPr="00B74F70">
        <w:rPr>
          <w:lang w:val="lv-LV"/>
        </w:rPr>
        <w:t>paskaidrojum</w:t>
      </w:r>
      <w:r w:rsidR="003C50BF" w:rsidRPr="00B74F70">
        <w:rPr>
          <w:lang w:val="lv-LV"/>
        </w:rPr>
        <w:t>os</w:t>
      </w:r>
      <w:r w:rsidR="00322267" w:rsidRPr="00B74F70">
        <w:rPr>
          <w:lang w:val="lv-LV"/>
        </w:rPr>
        <w:t xml:space="preserve"> par kasācijas sūdzību norāda, ka tā nav pamatota.</w:t>
      </w:r>
    </w:p>
    <w:p w14:paraId="41170267" w14:textId="2AC404C2" w:rsidR="00322267" w:rsidRPr="00546D76" w:rsidRDefault="00322267" w:rsidP="0089375D">
      <w:pPr>
        <w:pStyle w:val="NoSpacing"/>
        <w:spacing w:line="276" w:lineRule="auto"/>
        <w:ind w:firstLine="720"/>
        <w:jc w:val="both"/>
        <w:rPr>
          <w:lang w:val="lv-LV"/>
        </w:rPr>
      </w:pPr>
    </w:p>
    <w:p w14:paraId="3D75BCEB" w14:textId="77777777" w:rsidR="00322267" w:rsidRPr="00546D76" w:rsidRDefault="00322267" w:rsidP="0089375D">
      <w:pPr>
        <w:pStyle w:val="ATvirsraksts"/>
        <w:contextualSpacing/>
      </w:pPr>
      <w:r w:rsidRPr="00546D76">
        <w:rPr>
          <w:rFonts w:asciiTheme="majorBidi" w:hAnsiTheme="majorBidi" w:cstheme="majorBidi"/>
        </w:rPr>
        <w:t>Motīvu</w:t>
      </w:r>
      <w:r w:rsidRPr="00546D76">
        <w:t xml:space="preserve"> daļa</w:t>
      </w:r>
    </w:p>
    <w:p w14:paraId="68DD6B38" w14:textId="77777777" w:rsidR="00322267" w:rsidRPr="00546D76" w:rsidRDefault="00322267" w:rsidP="0089375D">
      <w:pPr>
        <w:spacing w:line="276" w:lineRule="auto"/>
        <w:ind w:firstLine="720"/>
        <w:contextualSpacing/>
        <w:jc w:val="both"/>
        <w:rPr>
          <w:lang w:eastAsia="lv-LV"/>
        </w:rPr>
      </w:pPr>
    </w:p>
    <w:p w14:paraId="779011FF" w14:textId="77777777" w:rsidR="00707CDA" w:rsidRDefault="00191270" w:rsidP="0089375D">
      <w:pPr>
        <w:pStyle w:val="NoSpacing"/>
        <w:spacing w:line="276" w:lineRule="auto"/>
        <w:ind w:firstLine="720"/>
        <w:contextualSpacing/>
        <w:jc w:val="both"/>
        <w:rPr>
          <w:lang w:val="lv-LV"/>
        </w:rPr>
      </w:pPr>
      <w:bookmarkStart w:id="0" w:name="_Hlk169100896"/>
      <w:r w:rsidRPr="00546D76">
        <w:rPr>
          <w:lang w:val="lv-LV"/>
        </w:rPr>
        <w:t>[</w:t>
      </w:r>
      <w:r w:rsidR="00232F3A">
        <w:rPr>
          <w:lang w:val="lv-LV"/>
        </w:rPr>
        <w:t>5</w:t>
      </w:r>
      <w:r w:rsidRPr="00546D76">
        <w:rPr>
          <w:lang w:val="lv-LV"/>
        </w:rPr>
        <w:t>] </w:t>
      </w:r>
      <w:r w:rsidR="002E7137">
        <w:rPr>
          <w:lang w:val="lv-LV"/>
        </w:rPr>
        <w:t xml:space="preserve">Lietā ir strīds par </w:t>
      </w:r>
      <w:r w:rsidR="001E4F84" w:rsidRPr="00AB5087">
        <w:rPr>
          <w:lang w:val="lv-LV"/>
        </w:rPr>
        <w:t>noteikumu Nr.</w:t>
      </w:r>
      <w:r w:rsidR="004102E6">
        <w:rPr>
          <w:lang w:val="lv-LV"/>
        </w:rPr>
        <w:t> </w:t>
      </w:r>
      <w:r w:rsidR="001E4F84" w:rsidRPr="00AB5087">
        <w:rPr>
          <w:lang w:val="lv-LV"/>
        </w:rPr>
        <w:t>245</w:t>
      </w:r>
      <w:r w:rsidR="001E4F84">
        <w:rPr>
          <w:lang w:val="lv-LV"/>
        </w:rPr>
        <w:t xml:space="preserve"> interpretāciju un piemērošanu jautājumā par samaksātas valsts nodevas </w:t>
      </w:r>
      <w:r w:rsidR="004102E6" w:rsidRPr="001F2546">
        <w:rPr>
          <w:lang w:val="lv-LV"/>
        </w:rPr>
        <w:t>par kreditēšanas pakalpojumu sniedzēja darbības uzraudzību</w:t>
      </w:r>
      <w:r w:rsidR="004102E6">
        <w:rPr>
          <w:lang w:val="lv-LV"/>
        </w:rPr>
        <w:t xml:space="preserve"> </w:t>
      </w:r>
      <w:r w:rsidR="001E4F84">
        <w:rPr>
          <w:lang w:val="lv-LV"/>
        </w:rPr>
        <w:t xml:space="preserve">atmaksu. </w:t>
      </w:r>
    </w:p>
    <w:p w14:paraId="3C92C14F" w14:textId="3EDFA5B2" w:rsidR="007F74F1" w:rsidRPr="00546D76" w:rsidRDefault="00484FE6" w:rsidP="0089375D">
      <w:pPr>
        <w:pStyle w:val="NoSpacing"/>
        <w:spacing w:line="276" w:lineRule="auto"/>
        <w:ind w:firstLine="720"/>
        <w:contextualSpacing/>
        <w:jc w:val="both"/>
        <w:rPr>
          <w:lang w:val="lv-LV"/>
        </w:rPr>
      </w:pPr>
      <w:r>
        <w:rPr>
          <w:lang w:val="lv-LV"/>
        </w:rPr>
        <w:t>Pieteicēja uzskata, ka no noteikumiem Nr.</w:t>
      </w:r>
      <w:r w:rsidR="004102E6">
        <w:rPr>
          <w:lang w:val="lv-LV"/>
        </w:rPr>
        <w:t> </w:t>
      </w:r>
      <w:r w:rsidR="00FF72C0" w:rsidRPr="00AB5087">
        <w:rPr>
          <w:lang w:val="lv-LV"/>
        </w:rPr>
        <w:t>245</w:t>
      </w:r>
      <w:r w:rsidR="00FF72C0">
        <w:rPr>
          <w:lang w:val="lv-LV"/>
        </w:rPr>
        <w:t xml:space="preserve"> neizriet aizliegums</w:t>
      </w:r>
      <w:r w:rsidR="004102E6">
        <w:rPr>
          <w:lang w:val="lv-LV"/>
        </w:rPr>
        <w:t xml:space="preserve"> daļēji</w:t>
      </w:r>
      <w:r w:rsidR="00FF72C0">
        <w:rPr>
          <w:lang w:val="lv-LV"/>
        </w:rPr>
        <w:t xml:space="preserve"> atmaksāt </w:t>
      </w:r>
      <w:r w:rsidR="004102E6">
        <w:rPr>
          <w:lang w:val="lv-LV"/>
        </w:rPr>
        <w:t xml:space="preserve">šo </w:t>
      </w:r>
      <w:r w:rsidR="00FF72C0">
        <w:rPr>
          <w:lang w:val="lv-LV"/>
        </w:rPr>
        <w:t>valsts nodevu gadījumā, ja notikusi</w:t>
      </w:r>
      <w:r w:rsidR="004102E6">
        <w:rPr>
          <w:lang w:val="lv-LV"/>
        </w:rPr>
        <w:t xml:space="preserve"> reorganizācija, kuras rezultātā</w:t>
      </w:r>
      <w:r w:rsidR="00A25D3F">
        <w:rPr>
          <w:lang w:val="lv-LV"/>
        </w:rPr>
        <w:t xml:space="preserve"> sabiedrība pārtrauca darbību</w:t>
      </w:r>
      <w:r w:rsidR="00015F4F">
        <w:rPr>
          <w:lang w:val="lv-LV"/>
        </w:rPr>
        <w:t>,</w:t>
      </w:r>
      <w:r w:rsidR="00A25D3F">
        <w:rPr>
          <w:lang w:val="lv-LV"/>
        </w:rPr>
        <w:t xml:space="preserve"> un </w:t>
      </w:r>
      <w:r w:rsidR="00901A3B">
        <w:rPr>
          <w:lang w:val="lv-LV"/>
        </w:rPr>
        <w:t>sabiedrības</w:t>
      </w:r>
      <w:r w:rsidR="004102E6">
        <w:rPr>
          <w:lang w:val="lv-LV"/>
        </w:rPr>
        <w:t xml:space="preserve"> uzraudzīb</w:t>
      </w:r>
      <w:r w:rsidR="00A25D3F">
        <w:rPr>
          <w:lang w:val="lv-LV"/>
        </w:rPr>
        <w:t>a</w:t>
      </w:r>
      <w:r w:rsidR="004102E6">
        <w:rPr>
          <w:lang w:val="lv-LV"/>
        </w:rPr>
        <w:t xml:space="preserve"> nebija jāveic visu gadu. Savukārt gan Valsts ieņēmumu dienests, gan apgabaltiesa uzskata, ka valsts nodeva nav atmaksājama, pamatojoties uz noteikumu Nr. 245 </w:t>
      </w:r>
      <w:r w:rsidR="004102E6" w:rsidRPr="00AB5087">
        <w:rPr>
          <w:lang w:val="lv-LV"/>
        </w:rPr>
        <w:t>48.punkt</w:t>
      </w:r>
      <w:r w:rsidR="004102E6">
        <w:rPr>
          <w:lang w:val="lv-LV"/>
        </w:rPr>
        <w:t>u.</w:t>
      </w:r>
    </w:p>
    <w:p w14:paraId="255DCEB3" w14:textId="77777777" w:rsidR="006F0FCC" w:rsidRDefault="006F0FCC" w:rsidP="0089375D">
      <w:pPr>
        <w:pStyle w:val="NoSpacing"/>
        <w:spacing w:line="276" w:lineRule="auto"/>
        <w:ind w:firstLine="720"/>
        <w:contextualSpacing/>
        <w:jc w:val="both"/>
        <w:rPr>
          <w:lang w:val="lv-LV"/>
        </w:rPr>
      </w:pPr>
    </w:p>
    <w:p w14:paraId="7E5BC5D0" w14:textId="77777777" w:rsidR="001C2E44" w:rsidRDefault="0031093A" w:rsidP="0089375D">
      <w:pPr>
        <w:pStyle w:val="NoSpacing"/>
        <w:spacing w:line="276" w:lineRule="auto"/>
        <w:ind w:firstLine="720"/>
        <w:contextualSpacing/>
        <w:jc w:val="both"/>
        <w:rPr>
          <w:lang w:val="lv-LV"/>
        </w:rPr>
      </w:pPr>
      <w:r>
        <w:rPr>
          <w:lang w:val="lv-LV"/>
        </w:rPr>
        <w:t>[</w:t>
      </w:r>
      <w:r w:rsidR="00232F3A">
        <w:rPr>
          <w:lang w:val="lv-LV"/>
        </w:rPr>
        <w:t>6</w:t>
      </w:r>
      <w:r>
        <w:rPr>
          <w:lang w:val="lv-LV"/>
        </w:rPr>
        <w:t>] </w:t>
      </w:r>
      <w:r w:rsidR="00922D5C">
        <w:rPr>
          <w:lang w:val="lv-LV"/>
        </w:rPr>
        <w:t xml:space="preserve">Saskaņā ar </w:t>
      </w:r>
      <w:r w:rsidR="001F2546">
        <w:rPr>
          <w:lang w:val="lv-LV"/>
        </w:rPr>
        <w:t>Patērētāju tiesību aizsardzības likuma 8.panta 1.</w:t>
      </w:r>
      <w:r w:rsidR="001F2546">
        <w:rPr>
          <w:vertAlign w:val="superscript"/>
          <w:lang w:val="lv-LV"/>
        </w:rPr>
        <w:t>1</w:t>
      </w:r>
      <w:r w:rsidR="001F2546">
        <w:rPr>
          <w:lang w:val="lv-LV"/>
        </w:rPr>
        <w:t>daļu k</w:t>
      </w:r>
      <w:r w:rsidR="001F2546" w:rsidRPr="001F2546">
        <w:rPr>
          <w:lang w:val="lv-LV"/>
        </w:rPr>
        <w:t xml:space="preserve">reditēšanas pakalpojumu patērētājam drīkst sniegt kapitālsabiedrība, kura </w:t>
      </w:r>
      <w:r w:rsidR="001F2546">
        <w:rPr>
          <w:lang w:val="lv-LV"/>
        </w:rPr>
        <w:t xml:space="preserve">citstarp </w:t>
      </w:r>
      <w:r w:rsidR="001F2546" w:rsidRPr="001F2546">
        <w:rPr>
          <w:lang w:val="lv-LV"/>
        </w:rPr>
        <w:t>saņēmusi speciālu atļauju (licenci) patērētāja kreditēšanas pakalpojuma sniegšanai</w:t>
      </w:r>
      <w:r w:rsidR="001F2546">
        <w:rPr>
          <w:lang w:val="lv-LV"/>
        </w:rPr>
        <w:t>. Atbilstoši šā panta 1.</w:t>
      </w:r>
      <w:r w:rsidR="001F2546">
        <w:rPr>
          <w:vertAlign w:val="superscript"/>
          <w:lang w:val="lv-LV"/>
        </w:rPr>
        <w:t>2</w:t>
      </w:r>
      <w:r w:rsidR="001F2546">
        <w:rPr>
          <w:lang w:val="lv-LV"/>
        </w:rPr>
        <w:t>daļai p</w:t>
      </w:r>
      <w:r w:rsidR="001F2546" w:rsidRPr="001F2546">
        <w:rPr>
          <w:lang w:val="lv-LV"/>
        </w:rPr>
        <w:t>ar speciālās atļaujas (licences) izsniegšanu patērētāja kreditēšanas pakalpojumu sniegšanai, kā arī par kreditēšanas pakalpojumu sniedzēja darbības uzraudzību kapitālsabiedrība maksā valsts nodevu.</w:t>
      </w:r>
      <w:r w:rsidR="001F2546">
        <w:rPr>
          <w:lang w:val="lv-LV"/>
        </w:rPr>
        <w:t xml:space="preserve"> Saskaņā ar 8.panta 1.</w:t>
      </w:r>
      <w:r w:rsidR="001F2546">
        <w:rPr>
          <w:vertAlign w:val="superscript"/>
          <w:lang w:val="lv-LV"/>
        </w:rPr>
        <w:t>3</w:t>
      </w:r>
      <w:r w:rsidR="001F2546">
        <w:rPr>
          <w:lang w:val="lv-LV"/>
        </w:rPr>
        <w:t>daļu s</w:t>
      </w:r>
      <w:r w:rsidR="001F2546" w:rsidRPr="001F2546">
        <w:rPr>
          <w:lang w:val="lv-LV"/>
        </w:rPr>
        <w:t>peciālā atļauja (licence) tiek izsniegta uz nenoteiktu laiku. Speciālās atļaujas (licences) izsniegšanas, anulēšanas un darbības apturēšanas kārtību, prasības, kādām jāatbilst kapitālsabiedrībai, lai tā varētu saņemt speciālo atļauju (licenci), tajā skaitā prasības par pamatkapitālu, kā arī prasības attiecībā uz kapitālsabiedrības padomes un valdes locekļiem, valsts nodevas apmēru par speciālās atļaujas (licences) izsniegšanu un ikgadējās valsts nodevas apmēru par kreditēšanas pakalpojumu sniedzēja darbības uzraudzību un maksāšanas kārtību nosaka Ministru kabinets.</w:t>
      </w:r>
    </w:p>
    <w:p w14:paraId="4A44A908" w14:textId="17727D1E" w:rsidR="001F2546" w:rsidRDefault="001C2E44" w:rsidP="0089375D">
      <w:pPr>
        <w:pStyle w:val="NoSpacing"/>
        <w:spacing w:line="276" w:lineRule="auto"/>
        <w:ind w:firstLine="720"/>
        <w:contextualSpacing/>
        <w:jc w:val="both"/>
        <w:rPr>
          <w:lang w:val="lv-LV"/>
        </w:rPr>
      </w:pPr>
      <w:r>
        <w:rPr>
          <w:lang w:val="lv-LV"/>
        </w:rPr>
        <w:t>Pamatojoties uz Patērētāju tiesību aizsardzības likuma 8.panta 1.</w:t>
      </w:r>
      <w:r>
        <w:rPr>
          <w:vertAlign w:val="superscript"/>
          <w:lang w:val="lv-LV"/>
        </w:rPr>
        <w:t>3</w:t>
      </w:r>
      <w:r>
        <w:rPr>
          <w:lang w:val="lv-LV"/>
        </w:rPr>
        <w:t>daļā ietverto deleģējumu,</w:t>
      </w:r>
      <w:r w:rsidR="001F2546">
        <w:rPr>
          <w:lang w:val="lv-LV"/>
        </w:rPr>
        <w:t xml:space="preserve"> ir izdoti noteikum</w:t>
      </w:r>
      <w:r>
        <w:rPr>
          <w:lang w:val="lv-LV"/>
        </w:rPr>
        <w:t>i</w:t>
      </w:r>
      <w:r w:rsidR="001F2546">
        <w:rPr>
          <w:lang w:val="lv-LV"/>
        </w:rPr>
        <w:t xml:space="preserve"> Nr.</w:t>
      </w:r>
      <w:r w:rsidR="00B74F70">
        <w:rPr>
          <w:lang w:val="lv-LV"/>
        </w:rPr>
        <w:t> </w:t>
      </w:r>
      <w:r w:rsidR="001F2546">
        <w:rPr>
          <w:lang w:val="lv-LV"/>
        </w:rPr>
        <w:t>245.</w:t>
      </w:r>
    </w:p>
    <w:p w14:paraId="6965EB72" w14:textId="77777777" w:rsidR="00232F3A" w:rsidRDefault="00232F3A" w:rsidP="0089375D">
      <w:pPr>
        <w:pStyle w:val="NoSpacing"/>
        <w:spacing w:line="276" w:lineRule="auto"/>
        <w:contextualSpacing/>
        <w:jc w:val="both"/>
        <w:rPr>
          <w:lang w:val="lv-LV"/>
        </w:rPr>
      </w:pPr>
    </w:p>
    <w:p w14:paraId="527BFB30" w14:textId="0199D690" w:rsidR="00D13737" w:rsidRPr="007F4144" w:rsidRDefault="00586C96" w:rsidP="0089375D">
      <w:pPr>
        <w:pStyle w:val="NoSpacing"/>
        <w:spacing w:line="276" w:lineRule="auto"/>
        <w:ind w:firstLine="720"/>
        <w:contextualSpacing/>
        <w:jc w:val="both"/>
        <w:rPr>
          <w:lang w:val="lv-LV"/>
        </w:rPr>
      </w:pPr>
      <w:r w:rsidRPr="007F4144">
        <w:rPr>
          <w:lang w:val="lv-LV"/>
        </w:rPr>
        <w:t>[7] </w:t>
      </w:r>
      <w:r w:rsidR="001F2546" w:rsidRPr="007F4144">
        <w:rPr>
          <w:lang w:val="lv-LV"/>
        </w:rPr>
        <w:t>Noteikumu Nr. 245 50.punkts paredz, ka ikgadējās valsts nodevas apmērs par kreditēšanas pakalpojumu sniedzēja darbības uzraudzību ir 55</w:t>
      </w:r>
      <w:r w:rsidR="00A37EC4">
        <w:rPr>
          <w:lang w:val="lv-LV"/>
        </w:rPr>
        <w:t> </w:t>
      </w:r>
      <w:r w:rsidR="001F2546" w:rsidRPr="007F4144">
        <w:rPr>
          <w:lang w:val="lv-LV"/>
        </w:rPr>
        <w:t>000</w:t>
      </w:r>
      <w:r w:rsidR="00A37EC4">
        <w:rPr>
          <w:lang w:val="lv-LV"/>
        </w:rPr>
        <w:t> </w:t>
      </w:r>
      <w:r w:rsidR="001F2546" w:rsidRPr="00A37EC4">
        <w:rPr>
          <w:i/>
          <w:iCs/>
          <w:lang w:val="lv-LV"/>
        </w:rPr>
        <w:t>euro</w:t>
      </w:r>
      <w:r w:rsidR="001F2546" w:rsidRPr="007F4144">
        <w:rPr>
          <w:lang w:val="lv-LV"/>
        </w:rPr>
        <w:t>.</w:t>
      </w:r>
      <w:r w:rsidR="00216307" w:rsidRPr="007F4144">
        <w:rPr>
          <w:lang w:val="lv-LV"/>
        </w:rPr>
        <w:t xml:space="preserve"> </w:t>
      </w:r>
    </w:p>
    <w:p w14:paraId="0211DB65" w14:textId="046392C2" w:rsidR="00FB0480" w:rsidRDefault="00FB0480" w:rsidP="0089375D">
      <w:pPr>
        <w:pStyle w:val="NoSpacing"/>
        <w:spacing w:line="276" w:lineRule="auto"/>
        <w:ind w:firstLine="720"/>
        <w:contextualSpacing/>
        <w:jc w:val="both"/>
        <w:rPr>
          <w:lang w:val="lv-LV"/>
        </w:rPr>
      </w:pPr>
      <w:r w:rsidRPr="007F4144">
        <w:rPr>
          <w:lang w:val="lv-LV"/>
        </w:rPr>
        <w:t>Atbilstoši likuma „Par nodokļiem un nodevām” 1.panta 2.punktam valsts nodeva ir obligāts maksājums valsts budžetā vai šajā likumā noteiktajos gadījumos pašvaldības budžetā par valsts vai pašvaldības institūcijas veicamo darbību, kas izriet no šīs institūcijas funkcijām. Valsts nodevas mērķis ir personu</w:t>
      </w:r>
      <w:r w:rsidRPr="00FB0480">
        <w:rPr>
          <w:lang w:val="lv-LV"/>
        </w:rPr>
        <w:t xml:space="preserve"> darbību regulēšana (kontrolēšana, veicināšana, ierobežošana). Valsts nodevas apmērs nav tiešā veidā saistīts ar institūcijas veiktās darbības izmaksu segšanu</w:t>
      </w:r>
      <w:r>
        <w:rPr>
          <w:lang w:val="lv-LV"/>
        </w:rPr>
        <w:t xml:space="preserve">. Arī </w:t>
      </w:r>
      <w:r w:rsidR="00C90703" w:rsidRPr="00C90703">
        <w:rPr>
          <w:lang w:val="lv-LV"/>
        </w:rPr>
        <w:t>2016.gada 5.janvār</w:t>
      </w:r>
      <w:r w:rsidR="00C90703">
        <w:rPr>
          <w:lang w:val="lv-LV"/>
        </w:rPr>
        <w:t>a grozījumu noteikumos Nr.</w:t>
      </w:r>
      <w:r w:rsidR="00FD7BB1">
        <w:rPr>
          <w:lang w:val="lv-LV"/>
        </w:rPr>
        <w:t> </w:t>
      </w:r>
      <w:r w:rsidR="00C90703">
        <w:rPr>
          <w:lang w:val="lv-LV"/>
        </w:rPr>
        <w:t xml:space="preserve">245 </w:t>
      </w:r>
      <w:r w:rsidR="00FD7BB1">
        <w:rPr>
          <w:lang w:val="lv-LV"/>
        </w:rPr>
        <w:t xml:space="preserve">anotācijā </w:t>
      </w:r>
      <w:r w:rsidR="00BB3C1A">
        <w:rPr>
          <w:lang w:val="lv-LV"/>
        </w:rPr>
        <w:t xml:space="preserve">apskatīts jautājums par valsts nodevu, norādot: </w:t>
      </w:r>
      <w:r w:rsidR="00C90703" w:rsidRPr="00FD7BB1">
        <w:rPr>
          <w:lang w:val="lv-LV"/>
        </w:rPr>
        <w:t>v</w:t>
      </w:r>
      <w:r w:rsidRPr="00FD7BB1">
        <w:rPr>
          <w:lang w:val="lv-LV"/>
        </w:rPr>
        <w:t>alsts nodevas noteiktā apmēra mērķis ir gan valsts izdevumu segšana par kapitālsabiedrību, kas</w:t>
      </w:r>
      <w:r w:rsidRPr="00FB0480">
        <w:rPr>
          <w:lang w:val="lv-LV"/>
        </w:rPr>
        <w:t xml:space="preserve"> sniedz patērētāju kreditēšanas pakalpojumu</w:t>
      </w:r>
      <w:r w:rsidR="00FD7BB1">
        <w:rPr>
          <w:lang w:val="lv-LV"/>
        </w:rPr>
        <w:t>,</w:t>
      </w:r>
      <w:r w:rsidRPr="00FB0480">
        <w:rPr>
          <w:lang w:val="lv-LV"/>
        </w:rPr>
        <w:t xml:space="preserve"> uzraudzību ilgtermiņā, kā arī daļēji kā nebanku kredītu devēju tirgu regulējošs mehānisms</w:t>
      </w:r>
      <w:r w:rsidR="00C90703">
        <w:rPr>
          <w:lang w:val="lv-LV"/>
        </w:rPr>
        <w:t xml:space="preserve"> (</w:t>
      </w:r>
      <w:r w:rsidR="00C90703" w:rsidRPr="00C90703">
        <w:rPr>
          <w:i/>
          <w:iCs/>
          <w:lang w:val="lv-LV"/>
        </w:rPr>
        <w:t>Ministru kabineta noteikumu projekta „Grozījumi noteikumos Nr.245” sākotnējās ietekmes novērtējuma ziņojums (</w:t>
      </w:r>
      <w:hyperlink r:id="rId9" w:history="1">
        <w:r w:rsidR="00C90703" w:rsidRPr="00C90703">
          <w:rPr>
            <w:rStyle w:val="Hyperlink"/>
            <w:i/>
            <w:iCs/>
            <w:lang w:val="lv-LV"/>
          </w:rPr>
          <w:t>anotācija</w:t>
        </w:r>
      </w:hyperlink>
      <w:r w:rsidR="00C90703" w:rsidRPr="00C90703">
        <w:rPr>
          <w:i/>
          <w:iCs/>
          <w:lang w:val="lv-LV"/>
        </w:rPr>
        <w:t>)</w:t>
      </w:r>
      <w:r w:rsidR="00C90703">
        <w:rPr>
          <w:lang w:val="lv-LV"/>
        </w:rPr>
        <w:t>)</w:t>
      </w:r>
      <w:r w:rsidRPr="00FB0480">
        <w:rPr>
          <w:lang w:val="lv-LV"/>
        </w:rPr>
        <w:t xml:space="preserve">. </w:t>
      </w:r>
    </w:p>
    <w:p w14:paraId="30DA38A5" w14:textId="23B59E63" w:rsidR="00FD7BB1" w:rsidRDefault="00F35CC1" w:rsidP="0089375D">
      <w:pPr>
        <w:pStyle w:val="NoSpacing"/>
        <w:spacing w:line="276" w:lineRule="auto"/>
        <w:ind w:firstLine="720"/>
        <w:contextualSpacing/>
        <w:jc w:val="both"/>
        <w:rPr>
          <w:lang w:val="lv-LV"/>
        </w:rPr>
      </w:pPr>
      <w:r>
        <w:rPr>
          <w:lang w:val="lv-LV"/>
        </w:rPr>
        <w:t>Tātad</w:t>
      </w:r>
      <w:r w:rsidR="00BB3C1A">
        <w:rPr>
          <w:lang w:val="lv-LV"/>
        </w:rPr>
        <w:t xml:space="preserve"> </w:t>
      </w:r>
      <w:r w:rsidR="00401E4C">
        <w:rPr>
          <w:lang w:val="lv-LV"/>
        </w:rPr>
        <w:t xml:space="preserve">maksājamās valsts </w:t>
      </w:r>
      <w:r w:rsidR="00FD7BB1">
        <w:rPr>
          <w:lang w:val="lv-LV"/>
        </w:rPr>
        <w:t xml:space="preserve">nodevas apmērs </w:t>
      </w:r>
      <w:r w:rsidR="00FD7BB1" w:rsidRPr="00FB0480">
        <w:rPr>
          <w:lang w:val="lv-LV"/>
        </w:rPr>
        <w:t xml:space="preserve">nav tiešā veidā saistīts ar </w:t>
      </w:r>
      <w:r w:rsidR="00FD7BB1">
        <w:rPr>
          <w:lang w:val="lv-LV"/>
        </w:rPr>
        <w:t xml:space="preserve">Patērētāju tiesību aizsardzības centra </w:t>
      </w:r>
      <w:r w:rsidR="00FD7BB1" w:rsidRPr="00FB0480">
        <w:rPr>
          <w:lang w:val="lv-LV"/>
        </w:rPr>
        <w:t xml:space="preserve">veiktās </w:t>
      </w:r>
      <w:r w:rsidR="00FD7BB1">
        <w:rPr>
          <w:lang w:val="lv-LV"/>
        </w:rPr>
        <w:t xml:space="preserve">uzraudzības </w:t>
      </w:r>
      <w:r w:rsidR="00FD7BB1" w:rsidRPr="00FB0480">
        <w:rPr>
          <w:lang w:val="lv-LV"/>
        </w:rPr>
        <w:t>izmaksu segšanu</w:t>
      </w:r>
      <w:r w:rsidR="00FD7BB1">
        <w:rPr>
          <w:lang w:val="lv-LV"/>
        </w:rPr>
        <w:t xml:space="preserve">. Attiecīgi tam, cik ilgi </w:t>
      </w:r>
      <w:r w:rsidR="007F4144" w:rsidRPr="00AB5087">
        <w:rPr>
          <w:lang w:val="lv-LV"/>
        </w:rPr>
        <w:t>SIA</w:t>
      </w:r>
      <w:r w:rsidR="00BB3C1A">
        <w:rPr>
          <w:lang w:val="lv-LV"/>
        </w:rPr>
        <w:t> </w:t>
      </w:r>
      <w:r w:rsidR="007F4144" w:rsidRPr="00AB5087">
        <w:rPr>
          <w:lang w:val="lv-LV"/>
        </w:rPr>
        <w:t>„VIVUS” un SIA</w:t>
      </w:r>
      <w:r>
        <w:rPr>
          <w:lang w:val="lv-LV"/>
        </w:rPr>
        <w:t> </w:t>
      </w:r>
      <w:r w:rsidR="007F4144" w:rsidRPr="00AB5087">
        <w:rPr>
          <w:lang w:val="lv-LV"/>
        </w:rPr>
        <w:t xml:space="preserve">„ONDO” </w:t>
      </w:r>
      <w:r w:rsidR="007F4144">
        <w:rPr>
          <w:lang w:val="lv-LV"/>
        </w:rPr>
        <w:t xml:space="preserve">sniedza kreditēšanas pakalpojumus, kuru uzraudzība bija jānodrošina </w:t>
      </w:r>
      <w:r w:rsidR="00FD7BB1">
        <w:rPr>
          <w:lang w:val="lv-LV"/>
        </w:rPr>
        <w:t>Patērētāju tiesību aizsardzības centr</w:t>
      </w:r>
      <w:r w:rsidR="007F4144">
        <w:rPr>
          <w:lang w:val="lv-LV"/>
        </w:rPr>
        <w:t xml:space="preserve">am, nav tiešas ietekmes uz </w:t>
      </w:r>
      <w:r w:rsidR="003A40ED">
        <w:rPr>
          <w:lang w:val="lv-LV"/>
        </w:rPr>
        <w:t>maksājamās v</w:t>
      </w:r>
      <w:r w:rsidR="007F4144">
        <w:rPr>
          <w:lang w:val="lv-LV"/>
        </w:rPr>
        <w:t xml:space="preserve">alsts nodevas apmēru. </w:t>
      </w:r>
    </w:p>
    <w:p w14:paraId="25F9AA2E" w14:textId="77777777" w:rsidR="00BA6CDA" w:rsidRDefault="00BA6CDA" w:rsidP="0089375D">
      <w:pPr>
        <w:pStyle w:val="NoSpacing"/>
        <w:spacing w:line="276" w:lineRule="auto"/>
        <w:ind w:firstLine="720"/>
        <w:contextualSpacing/>
        <w:jc w:val="both"/>
        <w:rPr>
          <w:lang w:val="lv-LV"/>
        </w:rPr>
      </w:pPr>
    </w:p>
    <w:p w14:paraId="23510F3E" w14:textId="0CB927F5" w:rsidR="00D13737" w:rsidRDefault="00BA6CDA" w:rsidP="0089375D">
      <w:pPr>
        <w:pStyle w:val="NoSpacing"/>
        <w:spacing w:line="276" w:lineRule="auto"/>
        <w:ind w:firstLine="720"/>
        <w:contextualSpacing/>
        <w:jc w:val="both"/>
        <w:rPr>
          <w:lang w:val="lv-LV"/>
        </w:rPr>
      </w:pPr>
      <w:r>
        <w:rPr>
          <w:lang w:val="lv-LV"/>
        </w:rPr>
        <w:t>[</w:t>
      </w:r>
      <w:r w:rsidR="007F4144">
        <w:rPr>
          <w:lang w:val="lv-LV"/>
        </w:rPr>
        <w:t>8</w:t>
      </w:r>
      <w:r>
        <w:rPr>
          <w:lang w:val="lv-LV"/>
        </w:rPr>
        <w:t>]</w:t>
      </w:r>
      <w:r w:rsidR="00D418C4">
        <w:rPr>
          <w:lang w:val="lv-LV"/>
        </w:rPr>
        <w:t> </w:t>
      </w:r>
      <w:r w:rsidR="00922D5C">
        <w:rPr>
          <w:lang w:val="lv-LV"/>
        </w:rPr>
        <w:t>N</w:t>
      </w:r>
      <w:r w:rsidR="00D13737">
        <w:rPr>
          <w:lang w:val="lv-LV"/>
        </w:rPr>
        <w:t>oteikumu</w:t>
      </w:r>
      <w:r w:rsidR="00922D5C">
        <w:rPr>
          <w:lang w:val="lv-LV"/>
        </w:rPr>
        <w:t xml:space="preserve"> Nr. 245</w:t>
      </w:r>
      <w:r w:rsidR="00D13737">
        <w:rPr>
          <w:lang w:val="lv-LV"/>
        </w:rPr>
        <w:t xml:space="preserve"> 48.punkt</w:t>
      </w:r>
      <w:r w:rsidR="00155C86">
        <w:rPr>
          <w:lang w:val="lv-LV"/>
        </w:rPr>
        <w:t>a</w:t>
      </w:r>
      <w:r w:rsidR="00901A3B">
        <w:rPr>
          <w:lang w:val="lv-LV"/>
        </w:rPr>
        <w:t xml:space="preserve">, uz ko pārsūdzētajā spriedumā atsaucas </w:t>
      </w:r>
      <w:r w:rsidR="00155C86">
        <w:rPr>
          <w:lang w:val="lv-LV"/>
        </w:rPr>
        <w:t>apgabal</w:t>
      </w:r>
      <w:r w:rsidR="00901A3B">
        <w:rPr>
          <w:lang w:val="lv-LV"/>
        </w:rPr>
        <w:t>tiesa,</w:t>
      </w:r>
      <w:r w:rsidR="00D13737">
        <w:rPr>
          <w:lang w:val="lv-LV"/>
        </w:rPr>
        <w:t xml:space="preserve"> </w:t>
      </w:r>
      <w:r w:rsidR="00155C86">
        <w:rPr>
          <w:lang w:val="lv-LV"/>
        </w:rPr>
        <w:t xml:space="preserve">otrais teikums </w:t>
      </w:r>
      <w:r w:rsidR="00D13737">
        <w:rPr>
          <w:lang w:val="lv-LV"/>
        </w:rPr>
        <w:t xml:space="preserve">noteic: </w:t>
      </w:r>
      <w:r w:rsidR="00155C86">
        <w:rPr>
          <w:lang w:val="lv-LV"/>
        </w:rPr>
        <w:t>j</w:t>
      </w:r>
      <w:r w:rsidR="00D13737" w:rsidRPr="00D13737">
        <w:rPr>
          <w:lang w:val="lv-LV"/>
        </w:rPr>
        <w:t>a speciālā atļauja (licence) tiek anulēta, kapitālsabiedrībai samaksātā valsts nodeva par speciālās atļaujas (licences) izsniegšanu un ikgadējā valsts nodeva par kreditēšanas pakalpojumu sniedzēja darbības uzraudzību netiek atmaksāta.</w:t>
      </w:r>
    </w:p>
    <w:p w14:paraId="3357F1DF" w14:textId="4F26E14A" w:rsidR="00B80A7F" w:rsidRDefault="00BB3C1A" w:rsidP="0089375D">
      <w:pPr>
        <w:pStyle w:val="NoSpacing"/>
        <w:spacing w:line="276" w:lineRule="auto"/>
        <w:ind w:firstLine="720"/>
        <w:contextualSpacing/>
        <w:jc w:val="both"/>
        <w:rPr>
          <w:lang w:val="lv-LV"/>
        </w:rPr>
      </w:pPr>
      <w:r>
        <w:rPr>
          <w:lang w:val="lv-LV"/>
        </w:rPr>
        <w:t>No kasācijas sūdzības izriet viedoklis, ka šī norma jāskata kopsakarā ar noteikumu Nr. 245 42.</w:t>
      </w:r>
      <w:r w:rsidR="00B80A7F">
        <w:rPr>
          <w:lang w:val="lv-LV"/>
        </w:rPr>
        <w:t xml:space="preserve"> un 43.</w:t>
      </w:r>
      <w:r>
        <w:rPr>
          <w:lang w:val="lv-LV"/>
        </w:rPr>
        <w:t>punktu, kur</w:t>
      </w:r>
      <w:r w:rsidR="00B80A7F">
        <w:rPr>
          <w:lang w:val="lv-LV"/>
        </w:rPr>
        <w:t>os</w:t>
      </w:r>
      <w:r>
        <w:rPr>
          <w:lang w:val="lv-LV"/>
        </w:rPr>
        <w:t xml:space="preserve"> </w:t>
      </w:r>
      <w:r w:rsidR="00B80A7F">
        <w:rPr>
          <w:lang w:val="lv-LV"/>
        </w:rPr>
        <w:t xml:space="preserve">uzskaitīti gadījumi, kādos </w:t>
      </w:r>
      <w:r w:rsidR="00B80A7F" w:rsidRPr="00D25B7E">
        <w:rPr>
          <w:lang w:val="lv-LV"/>
        </w:rPr>
        <w:t>Patērētāju tiesību aizsardzības centrs pieņem</w:t>
      </w:r>
      <w:r w:rsidR="00B80A7F">
        <w:rPr>
          <w:lang w:val="lv-LV"/>
        </w:rPr>
        <w:t xml:space="preserve"> vai i</w:t>
      </w:r>
      <w:r w:rsidR="00401E4C">
        <w:rPr>
          <w:lang w:val="lv-LV"/>
        </w:rPr>
        <w:t>r</w:t>
      </w:r>
      <w:r w:rsidR="00B80A7F">
        <w:rPr>
          <w:lang w:val="lv-LV"/>
        </w:rPr>
        <w:t xml:space="preserve"> tiesīgs pieņemt</w:t>
      </w:r>
      <w:r w:rsidR="00B80A7F" w:rsidRPr="00D25B7E">
        <w:rPr>
          <w:lang w:val="lv-LV"/>
        </w:rPr>
        <w:t xml:space="preserve"> lēmumu par speciālās atļaujas (licences) anulēšanu</w:t>
      </w:r>
      <w:r w:rsidR="00B80A7F">
        <w:rPr>
          <w:lang w:val="lv-LV"/>
        </w:rPr>
        <w:t>. Pieteicēja uz</w:t>
      </w:r>
      <w:r w:rsidR="00F35CC1">
        <w:rPr>
          <w:lang w:val="lv-LV"/>
        </w:rPr>
        <w:t>s</w:t>
      </w:r>
      <w:r w:rsidR="00B80A7F">
        <w:rPr>
          <w:lang w:val="lv-LV"/>
        </w:rPr>
        <w:t xml:space="preserve">ver, ka šajās </w:t>
      </w:r>
      <w:r w:rsidR="003A40ED">
        <w:rPr>
          <w:lang w:val="lv-LV"/>
        </w:rPr>
        <w:t xml:space="preserve">tiesību </w:t>
      </w:r>
      <w:r w:rsidR="00B80A7F">
        <w:rPr>
          <w:lang w:val="lv-LV"/>
        </w:rPr>
        <w:t xml:space="preserve">normās </w:t>
      </w:r>
      <w:r>
        <w:rPr>
          <w:lang w:val="lv-LV"/>
        </w:rPr>
        <w:t xml:space="preserve">nav minēta </w:t>
      </w:r>
      <w:r w:rsidR="00F35CC1">
        <w:rPr>
          <w:lang w:val="lv-LV"/>
        </w:rPr>
        <w:t xml:space="preserve">šīs lietas </w:t>
      </w:r>
      <w:r>
        <w:rPr>
          <w:lang w:val="lv-LV"/>
        </w:rPr>
        <w:t xml:space="preserve">situācija, kad reorganizācijas rezultātā kāda sabiedrība tiek pievienota citai sabiedrībai. Pieteicēja uzskata, ka tiesai šajā lietā ir jāpārbauda </w:t>
      </w:r>
      <w:r w:rsidR="00D418C4">
        <w:rPr>
          <w:lang w:val="lv-LV"/>
        </w:rPr>
        <w:t xml:space="preserve">iemesls, kādēļ </w:t>
      </w:r>
      <w:r w:rsidRPr="00D25B7E">
        <w:rPr>
          <w:lang w:val="lv-LV"/>
        </w:rPr>
        <w:t>speciālās atļaujas (licences</w:t>
      </w:r>
      <w:r w:rsidRPr="001C2E44">
        <w:rPr>
          <w:lang w:val="lv-LV"/>
        </w:rPr>
        <w:t xml:space="preserve">) </w:t>
      </w:r>
      <w:r w:rsidR="00D418C4" w:rsidRPr="001C2E44">
        <w:rPr>
          <w:lang w:val="lv-LV"/>
        </w:rPr>
        <w:t xml:space="preserve">tika </w:t>
      </w:r>
      <w:r w:rsidR="001C2E44" w:rsidRPr="001C2E44">
        <w:rPr>
          <w:lang w:val="lv-LV"/>
        </w:rPr>
        <w:t>anulētas</w:t>
      </w:r>
      <w:r w:rsidR="002C12B9" w:rsidRPr="001C2E44">
        <w:rPr>
          <w:lang w:val="lv-LV"/>
        </w:rPr>
        <w:t xml:space="preserve">, </w:t>
      </w:r>
      <w:r w:rsidR="00D418C4" w:rsidRPr="001C2E44">
        <w:rPr>
          <w:lang w:val="lv-LV"/>
        </w:rPr>
        <w:t xml:space="preserve">nevis </w:t>
      </w:r>
      <w:r w:rsidR="001C2E44" w:rsidRPr="001C2E44">
        <w:rPr>
          <w:lang w:val="lv-LV"/>
        </w:rPr>
        <w:t>izbeigtas</w:t>
      </w:r>
      <w:r>
        <w:rPr>
          <w:lang w:val="lv-LV"/>
        </w:rPr>
        <w:t>. Savukārt</w:t>
      </w:r>
      <w:r w:rsidR="00B80A7F">
        <w:rPr>
          <w:lang w:val="lv-LV"/>
        </w:rPr>
        <w:t xml:space="preserve"> pārsūdzētajā spriedumā konstatēts, ka gan attiecībā uz </w:t>
      </w:r>
      <w:r w:rsidR="00B80A7F" w:rsidRPr="00BB4E80">
        <w:rPr>
          <w:lang w:val="lv-LV"/>
        </w:rPr>
        <w:t>SIA</w:t>
      </w:r>
      <w:r w:rsidR="002C12B9">
        <w:rPr>
          <w:lang w:val="lv-LV"/>
        </w:rPr>
        <w:t> </w:t>
      </w:r>
      <w:r w:rsidR="00B80A7F" w:rsidRPr="00BB4E80">
        <w:rPr>
          <w:lang w:val="lv-LV"/>
        </w:rPr>
        <w:t>„ONDO”</w:t>
      </w:r>
      <w:r w:rsidR="00B80A7F">
        <w:rPr>
          <w:lang w:val="lv-LV"/>
        </w:rPr>
        <w:t>, gan attiecībā uz</w:t>
      </w:r>
      <w:r w:rsidR="00B80A7F" w:rsidRPr="00BB4E80">
        <w:rPr>
          <w:lang w:val="lv-LV"/>
        </w:rPr>
        <w:t xml:space="preserve"> SIA</w:t>
      </w:r>
      <w:r w:rsidR="002C12B9">
        <w:rPr>
          <w:lang w:val="lv-LV"/>
        </w:rPr>
        <w:t> </w:t>
      </w:r>
      <w:r w:rsidR="00B80A7F" w:rsidRPr="00BB4E80">
        <w:rPr>
          <w:lang w:val="lv-LV"/>
        </w:rPr>
        <w:t>„VIVUS”</w:t>
      </w:r>
      <w:r w:rsidR="00B80A7F">
        <w:rPr>
          <w:lang w:val="lv-LV"/>
        </w:rPr>
        <w:t xml:space="preserve"> Patērētāju tiesību aizsardzības centrs ir pieņēmis lēmumus par speciālās atļaujas (licences) anulēšanu, pamatojoties citstarp uz noteikumu Nr. 245 42.4.apakšpunktu, </w:t>
      </w:r>
      <w:r w:rsidR="002C12B9">
        <w:rPr>
          <w:lang w:val="lv-LV"/>
        </w:rPr>
        <w:t xml:space="preserve">un </w:t>
      </w:r>
      <w:r w:rsidR="00B80A7F">
        <w:rPr>
          <w:lang w:val="lv-LV"/>
        </w:rPr>
        <w:t xml:space="preserve">šie lēmumi ir </w:t>
      </w:r>
      <w:r w:rsidR="007F043F">
        <w:rPr>
          <w:lang w:val="lv-LV"/>
        </w:rPr>
        <w:t>kļuvuši neapstrīdami</w:t>
      </w:r>
      <w:r w:rsidR="00401E4C">
        <w:rPr>
          <w:lang w:val="lv-LV"/>
        </w:rPr>
        <w:t xml:space="preserve">. </w:t>
      </w:r>
      <w:r w:rsidR="00B80A7F">
        <w:rPr>
          <w:lang w:val="lv-LV"/>
        </w:rPr>
        <w:t>Tiesa uzskatīja, ka</w:t>
      </w:r>
      <w:r w:rsidR="00401E4C">
        <w:rPr>
          <w:lang w:val="lv-LV"/>
        </w:rPr>
        <w:t xml:space="preserve"> ar</w:t>
      </w:r>
      <w:r w:rsidR="00B80A7F">
        <w:rPr>
          <w:lang w:val="lv-LV"/>
        </w:rPr>
        <w:t xml:space="preserve"> šiem lēmumiem ir </w:t>
      </w:r>
      <w:r w:rsidR="00DE0E63">
        <w:rPr>
          <w:lang w:val="lv-LV"/>
        </w:rPr>
        <w:t>apliecināta</w:t>
      </w:r>
      <w:r w:rsidR="00B80A7F">
        <w:rPr>
          <w:lang w:val="lv-LV"/>
        </w:rPr>
        <w:t xml:space="preserve"> izskatāmās situācijas atbilstība noteikumu Nr. 245 48.punktam, kā arī uzsvēra, ka izskatāmās lietas ietvaros nav pārbaudāma šo lēmumu pareizība. </w:t>
      </w:r>
    </w:p>
    <w:p w14:paraId="2A97FFD1" w14:textId="77777777" w:rsidR="00E62DA9" w:rsidRDefault="00E62DA9" w:rsidP="0089375D">
      <w:pPr>
        <w:pStyle w:val="NoSpacing"/>
        <w:spacing w:line="276" w:lineRule="auto"/>
        <w:ind w:firstLine="720"/>
        <w:contextualSpacing/>
        <w:jc w:val="both"/>
        <w:rPr>
          <w:lang w:val="lv-LV"/>
        </w:rPr>
      </w:pPr>
    </w:p>
    <w:p w14:paraId="358599C5" w14:textId="0D9E5BA1" w:rsidR="001165D5" w:rsidRDefault="0043059A" w:rsidP="0089375D">
      <w:pPr>
        <w:pStyle w:val="NoSpacing"/>
        <w:spacing w:line="276" w:lineRule="auto"/>
        <w:ind w:firstLine="720"/>
        <w:contextualSpacing/>
        <w:jc w:val="both"/>
        <w:rPr>
          <w:lang w:val="lv-LV"/>
        </w:rPr>
      </w:pPr>
      <w:r>
        <w:rPr>
          <w:lang w:val="lv-LV"/>
        </w:rPr>
        <w:t>[</w:t>
      </w:r>
      <w:r w:rsidR="00B80A7F">
        <w:rPr>
          <w:lang w:val="lv-LV"/>
        </w:rPr>
        <w:t>9</w:t>
      </w:r>
      <w:r>
        <w:rPr>
          <w:lang w:val="lv-LV"/>
        </w:rPr>
        <w:t>] </w:t>
      </w:r>
      <w:r w:rsidR="00586C96">
        <w:rPr>
          <w:lang w:val="lv-LV"/>
        </w:rPr>
        <w:t>Senāts atzīst</w:t>
      </w:r>
      <w:r w:rsidR="000C157E">
        <w:rPr>
          <w:lang w:val="lv-LV"/>
        </w:rPr>
        <w:t>, ka</w:t>
      </w:r>
      <w:r>
        <w:rPr>
          <w:lang w:val="lv-LV"/>
        </w:rPr>
        <w:t xml:space="preserve"> noteikumu Nr. 245 48.punkt</w:t>
      </w:r>
      <w:r w:rsidR="000C157E">
        <w:rPr>
          <w:lang w:val="lv-LV"/>
        </w:rPr>
        <w:t>s paredz tikai vienu</w:t>
      </w:r>
      <w:r>
        <w:rPr>
          <w:lang w:val="lv-LV"/>
        </w:rPr>
        <w:t xml:space="preserve"> tiesiskā sastāva pazīm</w:t>
      </w:r>
      <w:r w:rsidR="000C157E">
        <w:rPr>
          <w:lang w:val="lv-LV"/>
        </w:rPr>
        <w:t>i</w:t>
      </w:r>
      <w:r>
        <w:rPr>
          <w:lang w:val="lv-LV"/>
        </w:rPr>
        <w:t xml:space="preserve"> </w:t>
      </w:r>
      <w:r w:rsidR="000C157E">
        <w:rPr>
          <w:lang w:val="lv-LV"/>
        </w:rPr>
        <w:t>–</w:t>
      </w:r>
      <w:r>
        <w:rPr>
          <w:lang w:val="lv-LV"/>
        </w:rPr>
        <w:t xml:space="preserve"> </w:t>
      </w:r>
      <w:r w:rsidRPr="00D13737">
        <w:rPr>
          <w:lang w:val="lv-LV"/>
        </w:rPr>
        <w:t xml:space="preserve">speciālās atļaujas (licences) </w:t>
      </w:r>
      <w:r>
        <w:rPr>
          <w:lang w:val="lv-LV"/>
        </w:rPr>
        <w:t>anulēšan</w:t>
      </w:r>
      <w:r w:rsidR="000C157E">
        <w:rPr>
          <w:lang w:val="lv-LV"/>
        </w:rPr>
        <w:t>u</w:t>
      </w:r>
      <w:r w:rsidR="004337D8">
        <w:rPr>
          <w:lang w:val="lv-LV"/>
        </w:rPr>
        <w:t>. Līdz ar to</w:t>
      </w:r>
      <w:r>
        <w:rPr>
          <w:lang w:val="lv-LV"/>
        </w:rPr>
        <w:t xml:space="preserve"> </w:t>
      </w:r>
      <w:r w:rsidR="004337D8">
        <w:rPr>
          <w:lang w:val="lv-LV"/>
        </w:rPr>
        <w:t xml:space="preserve">tiesību piemērotājam ir jānoskaidro, vai </w:t>
      </w:r>
      <w:r w:rsidR="004337D8" w:rsidRPr="004337D8">
        <w:rPr>
          <w:lang w:val="lv-LV"/>
        </w:rPr>
        <w:t>konkrētā gadījuma faktiskie apstākļi atbilst</w:t>
      </w:r>
      <w:r w:rsidR="004337D8">
        <w:rPr>
          <w:lang w:val="lv-LV"/>
        </w:rPr>
        <w:t xml:space="preserve"> šai pazīmei. </w:t>
      </w:r>
    </w:p>
    <w:p w14:paraId="61B1AF96" w14:textId="01CFFEF3" w:rsidR="00D418C4" w:rsidRDefault="001165D5" w:rsidP="0089375D">
      <w:pPr>
        <w:pStyle w:val="NoSpacing"/>
        <w:spacing w:line="276" w:lineRule="auto"/>
        <w:ind w:firstLine="720"/>
        <w:contextualSpacing/>
        <w:jc w:val="both"/>
        <w:rPr>
          <w:lang w:val="lv-LV"/>
        </w:rPr>
      </w:pPr>
      <w:r>
        <w:rPr>
          <w:lang w:val="lv-LV"/>
        </w:rPr>
        <w:t xml:space="preserve">No pārsūdzētā sprieduma izriet, ka tiesa </w:t>
      </w:r>
      <w:r w:rsidR="00DE0E63">
        <w:rPr>
          <w:lang w:val="lv-LV"/>
        </w:rPr>
        <w:t xml:space="preserve">ir atzinusi, ka </w:t>
      </w:r>
      <w:r>
        <w:rPr>
          <w:lang w:val="lv-LV"/>
        </w:rPr>
        <w:t>Patērētāju tiesību aizsardzības centra lēmum</w:t>
      </w:r>
      <w:r w:rsidR="00DE0E63">
        <w:rPr>
          <w:lang w:val="lv-LV"/>
        </w:rPr>
        <w:t>i</w:t>
      </w:r>
      <w:r>
        <w:rPr>
          <w:lang w:val="lv-LV"/>
        </w:rPr>
        <w:t xml:space="preserve"> par </w:t>
      </w:r>
      <w:r w:rsidRPr="00D25B7E">
        <w:rPr>
          <w:lang w:val="lv-LV"/>
        </w:rPr>
        <w:t xml:space="preserve">speciālās atļaujas (licences) </w:t>
      </w:r>
      <w:r>
        <w:rPr>
          <w:lang w:val="lv-LV"/>
        </w:rPr>
        <w:t xml:space="preserve">anulēšanu </w:t>
      </w:r>
      <w:r w:rsidR="00DE0E63">
        <w:rPr>
          <w:lang w:val="lv-LV"/>
        </w:rPr>
        <w:t xml:space="preserve">apliecina </w:t>
      </w:r>
      <w:r w:rsidRPr="00AB5087">
        <w:rPr>
          <w:lang w:val="lv-LV"/>
        </w:rPr>
        <w:t>SIA</w:t>
      </w:r>
      <w:r w:rsidR="00E62DA9">
        <w:rPr>
          <w:lang w:val="lv-LV"/>
        </w:rPr>
        <w:t> </w:t>
      </w:r>
      <w:r w:rsidRPr="00AB5087">
        <w:rPr>
          <w:lang w:val="lv-LV"/>
        </w:rPr>
        <w:t>„VIVUS” un SIA</w:t>
      </w:r>
      <w:r w:rsidR="004B36EE">
        <w:rPr>
          <w:lang w:val="lv-LV"/>
        </w:rPr>
        <w:t> </w:t>
      </w:r>
      <w:r w:rsidRPr="00AB5087">
        <w:rPr>
          <w:lang w:val="lv-LV"/>
        </w:rPr>
        <w:t>„ONDO”</w:t>
      </w:r>
      <w:r>
        <w:rPr>
          <w:lang w:val="lv-LV"/>
        </w:rPr>
        <w:t xml:space="preserve"> </w:t>
      </w:r>
      <w:r w:rsidR="00DE0E63">
        <w:rPr>
          <w:lang w:val="lv-LV"/>
        </w:rPr>
        <w:t xml:space="preserve">izsniegto </w:t>
      </w:r>
      <w:r>
        <w:rPr>
          <w:lang w:val="lv-LV"/>
        </w:rPr>
        <w:t>speciāl</w:t>
      </w:r>
      <w:r w:rsidR="00DE0E63">
        <w:rPr>
          <w:lang w:val="lv-LV"/>
        </w:rPr>
        <w:t>o</w:t>
      </w:r>
      <w:r>
        <w:rPr>
          <w:lang w:val="lv-LV"/>
        </w:rPr>
        <w:t xml:space="preserve"> </w:t>
      </w:r>
      <w:r w:rsidRPr="00D25B7E">
        <w:rPr>
          <w:lang w:val="lv-LV"/>
        </w:rPr>
        <w:t>atļauj</w:t>
      </w:r>
      <w:r w:rsidR="00DE0E63">
        <w:rPr>
          <w:lang w:val="lv-LV"/>
        </w:rPr>
        <w:t>u</w:t>
      </w:r>
      <w:r w:rsidRPr="00D25B7E">
        <w:rPr>
          <w:lang w:val="lv-LV"/>
        </w:rPr>
        <w:t xml:space="preserve"> (licen</w:t>
      </w:r>
      <w:r w:rsidR="00DE0E63">
        <w:rPr>
          <w:lang w:val="lv-LV"/>
        </w:rPr>
        <w:t>ču</w:t>
      </w:r>
      <w:r w:rsidRPr="00D25B7E">
        <w:rPr>
          <w:lang w:val="lv-LV"/>
        </w:rPr>
        <w:t>)</w:t>
      </w:r>
      <w:r>
        <w:rPr>
          <w:lang w:val="lv-LV"/>
        </w:rPr>
        <w:t xml:space="preserve"> </w:t>
      </w:r>
      <w:r w:rsidR="00DE0E63">
        <w:rPr>
          <w:lang w:val="lv-LV"/>
        </w:rPr>
        <w:t>anulēšanu</w:t>
      </w:r>
      <w:r>
        <w:rPr>
          <w:lang w:val="lv-LV"/>
        </w:rPr>
        <w:t>.</w:t>
      </w:r>
      <w:r w:rsidR="001179D9">
        <w:rPr>
          <w:lang w:val="lv-LV"/>
        </w:rPr>
        <w:t xml:space="preserve"> </w:t>
      </w:r>
      <w:r w:rsidR="007F4144">
        <w:rPr>
          <w:lang w:val="lv-LV"/>
        </w:rPr>
        <w:t xml:space="preserve">Senāts </w:t>
      </w:r>
      <w:r w:rsidR="00BD1E6D">
        <w:rPr>
          <w:lang w:val="lv-LV"/>
        </w:rPr>
        <w:t>nepiekrīt pieteicējas viedoklim</w:t>
      </w:r>
      <w:r w:rsidR="00751144">
        <w:rPr>
          <w:lang w:val="lv-LV"/>
        </w:rPr>
        <w:t xml:space="preserve">, ka Valsts ieņēmumu dienestam un tiesai, vērtējot jautājumu par valsts nodevas atmaksu, ir atkārtoti jāpārvērtē Patērētāju tiesību aizsardzības centra lēmumu par </w:t>
      </w:r>
      <w:r w:rsidR="00751144" w:rsidRPr="00D25B7E">
        <w:rPr>
          <w:lang w:val="lv-LV"/>
        </w:rPr>
        <w:t>speciālās atļaujas (licences) anulēšan</w:t>
      </w:r>
      <w:r w:rsidR="00751144">
        <w:rPr>
          <w:lang w:val="lv-LV"/>
        </w:rPr>
        <w:t xml:space="preserve">u pareizība. Šie lēmumi </w:t>
      </w:r>
      <w:r w:rsidR="007F4144">
        <w:rPr>
          <w:lang w:val="lv-LV"/>
        </w:rPr>
        <w:t xml:space="preserve">ir </w:t>
      </w:r>
      <w:r w:rsidR="00751144">
        <w:rPr>
          <w:lang w:val="lv-LV"/>
        </w:rPr>
        <w:t xml:space="preserve">administratīvie akti, </w:t>
      </w:r>
      <w:r w:rsidR="007F4144">
        <w:rPr>
          <w:lang w:val="lv-LV"/>
        </w:rPr>
        <w:t xml:space="preserve">kas </w:t>
      </w:r>
      <w:r w:rsidR="00C159ED">
        <w:rPr>
          <w:lang w:val="lv-LV"/>
        </w:rPr>
        <w:t xml:space="preserve">rada tiesiskas sekas un </w:t>
      </w:r>
      <w:r w:rsidR="007F4144">
        <w:rPr>
          <w:lang w:val="lv-LV"/>
        </w:rPr>
        <w:t xml:space="preserve">ir atsevišķi pārsūdzami. </w:t>
      </w:r>
      <w:r w:rsidR="009F467A">
        <w:rPr>
          <w:lang w:val="lv-LV"/>
        </w:rPr>
        <w:t>G</w:t>
      </w:r>
      <w:r w:rsidR="00CF7175">
        <w:rPr>
          <w:lang w:val="lv-LV"/>
        </w:rPr>
        <w:t xml:space="preserve">adījumā, ja tie nav apstrīdēti un pārsūdzēti, pieteicējai kā </w:t>
      </w:r>
      <w:r w:rsidR="00CF7175" w:rsidRPr="00AB5087">
        <w:rPr>
          <w:lang w:val="lv-LV"/>
        </w:rPr>
        <w:t>SIA</w:t>
      </w:r>
      <w:r w:rsidR="00E62DA9">
        <w:rPr>
          <w:lang w:val="lv-LV"/>
        </w:rPr>
        <w:t> </w:t>
      </w:r>
      <w:r w:rsidR="00CF7175" w:rsidRPr="00AB5087">
        <w:rPr>
          <w:lang w:val="lv-LV"/>
        </w:rPr>
        <w:t>„VIVUS” un SIA</w:t>
      </w:r>
      <w:r w:rsidR="00E62DA9">
        <w:rPr>
          <w:lang w:val="lv-LV"/>
        </w:rPr>
        <w:t> </w:t>
      </w:r>
      <w:r w:rsidR="00CF7175" w:rsidRPr="00AB5087">
        <w:rPr>
          <w:lang w:val="lv-LV"/>
        </w:rPr>
        <w:t>„ONDO”</w:t>
      </w:r>
      <w:r w:rsidR="00CF7175">
        <w:rPr>
          <w:lang w:val="lv-LV"/>
        </w:rPr>
        <w:t xml:space="preserve"> tiesību un saistību pārņēmējai ir saistošas </w:t>
      </w:r>
      <w:r w:rsidR="00E62DA9">
        <w:rPr>
          <w:lang w:val="lv-LV"/>
        </w:rPr>
        <w:t>minēto lēmumu</w:t>
      </w:r>
      <w:r w:rsidR="00CF7175">
        <w:rPr>
          <w:lang w:val="lv-LV"/>
        </w:rPr>
        <w:t xml:space="preserve"> tiesiskās sekas. </w:t>
      </w:r>
      <w:r w:rsidR="00D418C4">
        <w:rPr>
          <w:lang w:val="lv-LV"/>
        </w:rPr>
        <w:t xml:space="preserve">Ja pieteicēja uzskatīja, ka Patērētāju </w:t>
      </w:r>
      <w:r w:rsidR="003A40ED">
        <w:rPr>
          <w:lang w:val="lv-LV"/>
        </w:rPr>
        <w:t xml:space="preserve">tiesību </w:t>
      </w:r>
      <w:r w:rsidR="00D418C4">
        <w:rPr>
          <w:lang w:val="lv-LV"/>
        </w:rPr>
        <w:t xml:space="preserve">aizsardzības centrs ir nepamatoti konstatējis pamatu </w:t>
      </w:r>
      <w:r w:rsidR="009F467A" w:rsidRPr="00D25B7E">
        <w:rPr>
          <w:lang w:val="lv-LV"/>
        </w:rPr>
        <w:t>speciāl</w:t>
      </w:r>
      <w:r w:rsidR="009F467A">
        <w:rPr>
          <w:lang w:val="lv-LV"/>
        </w:rPr>
        <w:t>o</w:t>
      </w:r>
      <w:r w:rsidR="009F467A" w:rsidRPr="00D25B7E">
        <w:rPr>
          <w:lang w:val="lv-LV"/>
        </w:rPr>
        <w:t xml:space="preserve"> atļauj</w:t>
      </w:r>
      <w:r w:rsidR="009F467A">
        <w:rPr>
          <w:lang w:val="lv-LV"/>
        </w:rPr>
        <w:t>u</w:t>
      </w:r>
      <w:r w:rsidR="009F467A" w:rsidRPr="00D25B7E">
        <w:rPr>
          <w:lang w:val="lv-LV"/>
        </w:rPr>
        <w:t xml:space="preserve"> (licen</w:t>
      </w:r>
      <w:r w:rsidR="009F467A">
        <w:rPr>
          <w:lang w:val="lv-LV"/>
        </w:rPr>
        <w:t>ču</w:t>
      </w:r>
      <w:r w:rsidR="009F467A" w:rsidRPr="00D25B7E">
        <w:rPr>
          <w:lang w:val="lv-LV"/>
        </w:rPr>
        <w:t>)</w:t>
      </w:r>
      <w:r w:rsidR="009F467A">
        <w:rPr>
          <w:lang w:val="lv-LV"/>
        </w:rPr>
        <w:t xml:space="preserve"> </w:t>
      </w:r>
      <w:r w:rsidR="00D418C4">
        <w:rPr>
          <w:lang w:val="lv-LV"/>
        </w:rPr>
        <w:t xml:space="preserve">anulēšanai un pareizi bija </w:t>
      </w:r>
      <w:r w:rsidR="009F467A">
        <w:rPr>
          <w:lang w:val="lv-LV"/>
        </w:rPr>
        <w:t xml:space="preserve">tās </w:t>
      </w:r>
      <w:r w:rsidR="00D418C4">
        <w:rPr>
          <w:lang w:val="lv-LV"/>
        </w:rPr>
        <w:t>izbeigt</w:t>
      </w:r>
      <w:r w:rsidR="00E62DA9">
        <w:rPr>
          <w:lang w:val="lv-LV"/>
        </w:rPr>
        <w:t xml:space="preserve">, </w:t>
      </w:r>
      <w:r w:rsidR="009F467A">
        <w:rPr>
          <w:lang w:val="lv-LV"/>
        </w:rPr>
        <w:t>nevis anulēt</w:t>
      </w:r>
      <w:r w:rsidR="003A40ED">
        <w:rPr>
          <w:lang w:val="lv-LV"/>
        </w:rPr>
        <w:t>, pieteicējai šie iebildumi bija jāpauž, apstrīdot un pārsūdzot Patērētāju tiesību aizsardzības centra lēmumus.</w:t>
      </w:r>
      <w:r w:rsidR="00D543F2">
        <w:rPr>
          <w:lang w:val="lv-LV"/>
        </w:rPr>
        <w:t xml:space="preserve"> Tā kā </w:t>
      </w:r>
      <w:r w:rsidR="00E62DA9">
        <w:rPr>
          <w:lang w:val="lv-LV"/>
        </w:rPr>
        <w:t>pieteicēja to nav darījusi</w:t>
      </w:r>
      <w:r w:rsidR="00D543F2">
        <w:rPr>
          <w:lang w:val="lv-LV"/>
        </w:rPr>
        <w:t>, tiesa ir pamatoti ņēmusi vērā šos lēmumus un atzinusi, ka pieteicējas gadījuma faktiskie apstākļi atbilst noteikumu Nr.</w:t>
      </w:r>
      <w:r w:rsidR="00B90192">
        <w:rPr>
          <w:lang w:val="lv-LV"/>
        </w:rPr>
        <w:t> </w:t>
      </w:r>
      <w:r w:rsidR="00D543F2">
        <w:rPr>
          <w:lang w:val="lv-LV"/>
        </w:rPr>
        <w:t>245 48.punkta</w:t>
      </w:r>
      <w:r w:rsidR="00E62DA9">
        <w:rPr>
          <w:lang w:val="lv-LV"/>
        </w:rPr>
        <w:t xml:space="preserve"> tiesiskajam sastāvam</w:t>
      </w:r>
      <w:r w:rsidR="00D543F2">
        <w:rPr>
          <w:lang w:val="lv-LV"/>
        </w:rPr>
        <w:t>.</w:t>
      </w:r>
    </w:p>
    <w:p w14:paraId="7574D1AC" w14:textId="7047242D" w:rsidR="001C7173" w:rsidRDefault="00CF7175" w:rsidP="0089375D">
      <w:pPr>
        <w:pStyle w:val="NoSpacing"/>
        <w:spacing w:line="276" w:lineRule="auto"/>
        <w:ind w:firstLine="720"/>
        <w:contextualSpacing/>
        <w:jc w:val="both"/>
        <w:rPr>
          <w:lang w:val="lv-LV"/>
        </w:rPr>
      </w:pPr>
      <w:r>
        <w:rPr>
          <w:lang w:val="lv-LV"/>
        </w:rPr>
        <w:t>Senāts uzskata, ka noteikumu Nr.</w:t>
      </w:r>
      <w:r w:rsidR="00B90192">
        <w:rPr>
          <w:lang w:val="lv-LV"/>
        </w:rPr>
        <w:t> </w:t>
      </w:r>
      <w:r>
        <w:rPr>
          <w:lang w:val="lv-LV"/>
        </w:rPr>
        <w:t xml:space="preserve">245 48.punkta otrajā teikumā ietvertais regulējums par valsts nodevas neatmaksāšanu </w:t>
      </w:r>
      <w:r w:rsidRPr="00D13737">
        <w:rPr>
          <w:lang w:val="lv-LV"/>
        </w:rPr>
        <w:t xml:space="preserve">speciālās atļaujas (licences) </w:t>
      </w:r>
      <w:r>
        <w:rPr>
          <w:lang w:val="lv-LV"/>
        </w:rPr>
        <w:t xml:space="preserve">anulēšanas gadījumā ir skaidrs un nepārprotams un nevarēja radīt pieteicējai maldīgu iespaidu, ka </w:t>
      </w:r>
      <w:r w:rsidR="00B90192">
        <w:rPr>
          <w:lang w:val="lv-LV"/>
        </w:rPr>
        <w:t>tās</w:t>
      </w:r>
      <w:r>
        <w:rPr>
          <w:lang w:val="lv-LV"/>
        </w:rPr>
        <w:t xml:space="preserve"> gadījum</w:t>
      </w:r>
      <w:r w:rsidR="00D418C4">
        <w:rPr>
          <w:lang w:val="lv-LV"/>
        </w:rPr>
        <w:t>s jāuzlūko atšķirīgi</w:t>
      </w:r>
      <w:r>
        <w:rPr>
          <w:lang w:val="lv-LV"/>
        </w:rPr>
        <w:t xml:space="preserve">, jo īpaši </w:t>
      </w:r>
      <w:r w:rsidR="003A40ED">
        <w:rPr>
          <w:lang w:val="lv-LV"/>
        </w:rPr>
        <w:t xml:space="preserve">ņemot vērā </w:t>
      </w:r>
      <w:r>
        <w:rPr>
          <w:lang w:val="lv-LV"/>
        </w:rPr>
        <w:t>Patērētāju tiesību aizsardzības centra lēmum</w:t>
      </w:r>
      <w:r w:rsidR="001C7173">
        <w:rPr>
          <w:lang w:val="lv-LV"/>
        </w:rPr>
        <w:t>us</w:t>
      </w:r>
      <w:r>
        <w:rPr>
          <w:lang w:val="lv-LV"/>
        </w:rPr>
        <w:t xml:space="preserve"> par </w:t>
      </w:r>
      <w:r w:rsidRPr="00D25B7E">
        <w:rPr>
          <w:lang w:val="lv-LV"/>
        </w:rPr>
        <w:t>speciālās atļaujas (licences) anulēšan</w:t>
      </w:r>
      <w:r>
        <w:rPr>
          <w:lang w:val="lv-LV"/>
        </w:rPr>
        <w:t>u.</w:t>
      </w:r>
      <w:r w:rsidR="001179D9">
        <w:rPr>
          <w:lang w:val="lv-LV"/>
        </w:rPr>
        <w:t xml:space="preserve"> </w:t>
      </w:r>
    </w:p>
    <w:p w14:paraId="19EFA0E4" w14:textId="7443B4A7" w:rsidR="00D543F2" w:rsidRDefault="001179D9" w:rsidP="0089375D">
      <w:pPr>
        <w:pStyle w:val="NoSpacing"/>
        <w:spacing w:line="276" w:lineRule="auto"/>
        <w:ind w:firstLine="720"/>
        <w:contextualSpacing/>
        <w:jc w:val="both"/>
        <w:rPr>
          <w:lang w:val="lv-LV"/>
        </w:rPr>
      </w:pPr>
      <w:r>
        <w:rPr>
          <w:lang w:val="lv-LV"/>
        </w:rPr>
        <w:t>Senāts nekonstatē kļūdas pierādījumu novērtēšanā</w:t>
      </w:r>
      <w:r w:rsidR="00B90192">
        <w:rPr>
          <w:lang w:val="lv-LV"/>
        </w:rPr>
        <w:t xml:space="preserve"> vai</w:t>
      </w:r>
      <w:r w:rsidR="001C7173">
        <w:rPr>
          <w:lang w:val="lv-LV"/>
        </w:rPr>
        <w:t xml:space="preserve"> ka </w:t>
      </w:r>
      <w:r w:rsidR="001446B9">
        <w:rPr>
          <w:lang w:val="lv-LV"/>
        </w:rPr>
        <w:t xml:space="preserve">pārsūdzētajā spriedumā </w:t>
      </w:r>
      <w:r>
        <w:rPr>
          <w:lang w:val="lv-LV"/>
        </w:rPr>
        <w:t>nebūtu atbildē</w:t>
      </w:r>
      <w:r w:rsidR="002F1EE6">
        <w:rPr>
          <w:lang w:val="lv-LV"/>
        </w:rPr>
        <w:t xml:space="preserve">ts </w:t>
      </w:r>
      <w:r>
        <w:rPr>
          <w:lang w:val="lv-LV"/>
        </w:rPr>
        <w:t>uz kādiem lietas iznāku</w:t>
      </w:r>
      <w:r w:rsidR="001C7173">
        <w:rPr>
          <w:lang w:val="lv-LV"/>
        </w:rPr>
        <w:t>mam</w:t>
      </w:r>
      <w:r>
        <w:rPr>
          <w:lang w:val="lv-LV"/>
        </w:rPr>
        <w:t xml:space="preserve"> būtisk</w:t>
      </w:r>
      <w:r w:rsidR="00B90192">
        <w:rPr>
          <w:lang w:val="lv-LV"/>
        </w:rPr>
        <w:t>iem</w:t>
      </w:r>
      <w:r>
        <w:rPr>
          <w:lang w:val="lv-LV"/>
        </w:rPr>
        <w:t xml:space="preserve"> pieteicējas argument</w:t>
      </w:r>
      <w:r w:rsidR="00B90192">
        <w:rPr>
          <w:lang w:val="lv-LV"/>
        </w:rPr>
        <w:t>iem</w:t>
      </w:r>
      <w:r>
        <w:rPr>
          <w:lang w:val="lv-LV"/>
        </w:rPr>
        <w:t>.</w:t>
      </w:r>
      <w:r w:rsidR="002F1EE6">
        <w:rPr>
          <w:lang w:val="lv-LV"/>
        </w:rPr>
        <w:t xml:space="preserve"> </w:t>
      </w:r>
    </w:p>
    <w:p w14:paraId="28BC59F5" w14:textId="77777777" w:rsidR="00470DA1" w:rsidRDefault="00470DA1" w:rsidP="0089375D">
      <w:pPr>
        <w:pStyle w:val="NoSpacing"/>
        <w:spacing w:line="276" w:lineRule="auto"/>
        <w:contextualSpacing/>
        <w:jc w:val="both"/>
        <w:rPr>
          <w:lang w:val="lv-LV"/>
        </w:rPr>
      </w:pPr>
    </w:p>
    <w:p w14:paraId="5AEC98E2" w14:textId="6F6584A1" w:rsidR="00C159ED" w:rsidRDefault="00C159ED" w:rsidP="0089375D">
      <w:pPr>
        <w:pStyle w:val="NoSpacing"/>
        <w:spacing w:line="276" w:lineRule="auto"/>
        <w:ind w:firstLine="720"/>
        <w:contextualSpacing/>
        <w:jc w:val="both"/>
        <w:rPr>
          <w:lang w:val="lv-LV"/>
        </w:rPr>
      </w:pPr>
      <w:r>
        <w:rPr>
          <w:lang w:val="lv-LV"/>
        </w:rPr>
        <w:t>[</w:t>
      </w:r>
      <w:r w:rsidR="00C46DAD">
        <w:rPr>
          <w:lang w:val="lv-LV"/>
        </w:rPr>
        <w:t>1</w:t>
      </w:r>
      <w:r w:rsidR="00B80A7F">
        <w:rPr>
          <w:lang w:val="lv-LV"/>
        </w:rPr>
        <w:t>0</w:t>
      </w:r>
      <w:r>
        <w:rPr>
          <w:lang w:val="lv-LV"/>
        </w:rPr>
        <w:t>] Pieteicēja ir lūgusi Senātu vērsties Satversmes tiesā</w:t>
      </w:r>
      <w:r w:rsidR="00B90192">
        <w:rPr>
          <w:lang w:val="lv-LV"/>
        </w:rPr>
        <w:t>, jo uzskata,</w:t>
      </w:r>
      <w:r w:rsidR="00470DA1">
        <w:rPr>
          <w:lang w:val="lv-LV"/>
        </w:rPr>
        <w:t xml:space="preserve"> ka noteikumu Nr. 245 </w:t>
      </w:r>
      <w:r w:rsidR="00470DA1" w:rsidRPr="00470DA1">
        <w:rPr>
          <w:lang w:val="lv-LV"/>
        </w:rPr>
        <w:t>54.punkts</w:t>
      </w:r>
      <w:r w:rsidR="00B90192">
        <w:rPr>
          <w:lang w:val="lv-LV"/>
        </w:rPr>
        <w:t>,</w:t>
      </w:r>
      <w:r w:rsidR="00470DA1" w:rsidRPr="00470DA1">
        <w:rPr>
          <w:lang w:val="lv-LV"/>
        </w:rPr>
        <w:t xml:space="preserve"> </w:t>
      </w:r>
      <w:r w:rsidR="00B90192">
        <w:rPr>
          <w:lang w:val="lv-LV"/>
        </w:rPr>
        <w:t>ciktāl tas</w:t>
      </w:r>
      <w:r w:rsidR="00470DA1" w:rsidRPr="00470DA1">
        <w:rPr>
          <w:lang w:val="lv-LV"/>
        </w:rPr>
        <w:t xml:space="preserve"> neparedz valsts nodevas atmaksu kapitālsabiedrības reorganizācijas gadījumā, neatbilst Satversmes 1. un 105.pantam.</w:t>
      </w:r>
    </w:p>
    <w:p w14:paraId="481FAE32" w14:textId="77777777" w:rsidR="00A574E1" w:rsidRPr="00C159ED" w:rsidRDefault="00A574E1" w:rsidP="0089375D">
      <w:pPr>
        <w:pStyle w:val="NoSpacing"/>
        <w:spacing w:line="276" w:lineRule="auto"/>
        <w:ind w:firstLine="720"/>
        <w:contextualSpacing/>
        <w:jc w:val="both"/>
        <w:rPr>
          <w:lang w:val="lv-LV"/>
        </w:rPr>
      </w:pPr>
      <w:r w:rsidRPr="00C159ED">
        <w:rPr>
          <w:lang w:val="lv-LV"/>
        </w:rPr>
        <w:t>Atbilstoši Administratīvā procesa likuma 104.panta otrās daļas pirmajam teikumam,</w:t>
      </w:r>
      <w:r>
        <w:rPr>
          <w:lang w:val="lv-LV"/>
        </w:rPr>
        <w:t xml:space="preserve"> </w:t>
      </w:r>
      <w:r w:rsidRPr="00C159ED">
        <w:rPr>
          <w:lang w:val="lv-LV"/>
        </w:rPr>
        <w:t>ja tiesa uzskata, ka tiesību norma neatbilst Satversmei vai starptautisko tiesību normai (aktam), tā</w:t>
      </w:r>
      <w:r>
        <w:rPr>
          <w:lang w:val="lv-LV"/>
        </w:rPr>
        <w:t xml:space="preserve"> </w:t>
      </w:r>
      <w:r w:rsidRPr="00C159ED">
        <w:rPr>
          <w:lang w:val="lv-LV"/>
        </w:rPr>
        <w:t>tiesvedību lietā aptur un nosūta motivētu pieteikumu Satversmes tiesai.</w:t>
      </w:r>
    </w:p>
    <w:p w14:paraId="026A9892" w14:textId="32E6FD26" w:rsidR="00A574E1" w:rsidRPr="00C159ED" w:rsidRDefault="00A574E1" w:rsidP="0089375D">
      <w:pPr>
        <w:pStyle w:val="NoSpacing"/>
        <w:spacing w:line="276" w:lineRule="auto"/>
        <w:ind w:firstLine="720"/>
        <w:contextualSpacing/>
        <w:jc w:val="both"/>
        <w:rPr>
          <w:lang w:val="lv-LV"/>
        </w:rPr>
      </w:pPr>
      <w:r w:rsidRPr="00C159ED">
        <w:rPr>
          <w:lang w:val="lv-LV"/>
        </w:rPr>
        <w:t>Tiesību doktrīnā skaidrots, ka tiesas lēmumam par vēršanos Satversmes tiesā ir</w:t>
      </w:r>
      <w:r>
        <w:rPr>
          <w:lang w:val="lv-LV"/>
        </w:rPr>
        <w:t xml:space="preserve"> </w:t>
      </w:r>
      <w:r w:rsidRPr="00C159ED">
        <w:rPr>
          <w:lang w:val="lv-LV"/>
        </w:rPr>
        <w:t>jāatspoguļo tiesneša pārliecība par normas neatbilstību. Tas nozīmē, ka tiesai ar juridiskiem</w:t>
      </w:r>
      <w:r>
        <w:rPr>
          <w:lang w:val="lv-LV"/>
        </w:rPr>
        <w:t xml:space="preserve"> </w:t>
      </w:r>
      <w:r w:rsidRPr="00C159ED">
        <w:rPr>
          <w:lang w:val="lv-LV"/>
        </w:rPr>
        <w:t>argumentiem ir jāpamato, kā veidojas šis uzskats. Pieteikuma pamatā nevar būt šaubas (</w:t>
      </w:r>
      <w:r w:rsidRPr="00C159ED">
        <w:rPr>
          <w:i/>
          <w:iCs/>
          <w:lang w:val="lv-LV"/>
        </w:rPr>
        <w:t>Neimanis</w:t>
      </w:r>
      <w:r>
        <w:rPr>
          <w:i/>
          <w:iCs/>
          <w:lang w:val="lv-LV"/>
        </w:rPr>
        <w:t xml:space="preserve"> </w:t>
      </w:r>
      <w:r w:rsidRPr="00C159ED">
        <w:rPr>
          <w:i/>
          <w:iCs/>
          <w:lang w:val="lv-LV"/>
        </w:rPr>
        <w:t>J. Satversmes tiesas procesa tiesības. Rīga: Tiesu namu aģentūra, 2019, 212.lpp.</w:t>
      </w:r>
      <w:r w:rsidRPr="00C159ED">
        <w:rPr>
          <w:lang w:val="lv-LV"/>
        </w:rPr>
        <w:t>). Savukārt</w:t>
      </w:r>
      <w:r>
        <w:rPr>
          <w:lang w:val="lv-LV"/>
        </w:rPr>
        <w:t xml:space="preserve"> </w:t>
      </w:r>
      <w:r w:rsidRPr="00C159ED">
        <w:rPr>
          <w:lang w:val="lv-LV"/>
        </w:rPr>
        <w:t>Senāts norādījis, ka jautājuma izlemšana par vēršanos Satversmes tiesā ir administratīvās tiesas</w:t>
      </w:r>
      <w:r>
        <w:rPr>
          <w:lang w:val="lv-LV"/>
        </w:rPr>
        <w:t xml:space="preserve"> </w:t>
      </w:r>
      <w:r w:rsidRPr="00C159ED">
        <w:rPr>
          <w:lang w:val="lv-LV"/>
        </w:rPr>
        <w:t>prerogatīva un pieteicējam nav subjektīvo tiesību uz to, lai administratīvā tiesa vērstos ar</w:t>
      </w:r>
      <w:r>
        <w:rPr>
          <w:lang w:val="lv-LV"/>
        </w:rPr>
        <w:t xml:space="preserve"> </w:t>
      </w:r>
      <w:r w:rsidRPr="00C159ED">
        <w:rPr>
          <w:lang w:val="lv-LV"/>
        </w:rPr>
        <w:t>pieteikumu Satversmes tiesā (</w:t>
      </w:r>
      <w:r w:rsidRPr="00C159ED">
        <w:rPr>
          <w:i/>
          <w:iCs/>
          <w:lang w:val="lv-LV"/>
        </w:rPr>
        <w:t>Senāta 2010.gada 23.jūlija lēmuma lietā Nr.</w:t>
      </w:r>
      <w:r w:rsidR="00B90192">
        <w:rPr>
          <w:i/>
          <w:iCs/>
          <w:lang w:val="lv-LV"/>
        </w:rPr>
        <w:t> </w:t>
      </w:r>
      <w:r w:rsidRPr="00C159ED">
        <w:rPr>
          <w:i/>
          <w:iCs/>
          <w:lang w:val="lv-LV"/>
        </w:rPr>
        <w:t>SKA-442/2010,</w:t>
      </w:r>
      <w:r>
        <w:rPr>
          <w:i/>
          <w:iCs/>
          <w:lang w:val="lv-LV"/>
        </w:rPr>
        <w:t xml:space="preserve"> </w:t>
      </w:r>
      <w:r w:rsidRPr="00C159ED">
        <w:rPr>
          <w:i/>
          <w:iCs/>
          <w:lang w:val="lv-LV"/>
        </w:rPr>
        <w:t>A42449708, 19.punkts</w:t>
      </w:r>
      <w:r w:rsidRPr="00C159ED">
        <w:rPr>
          <w:lang w:val="lv-LV"/>
        </w:rPr>
        <w:t>). Tādējādi tiesas vēršanās Satversmes tiesā pamatā ir tiesas pārliecība par</w:t>
      </w:r>
      <w:r>
        <w:rPr>
          <w:lang w:val="lv-LV"/>
        </w:rPr>
        <w:t xml:space="preserve"> </w:t>
      </w:r>
      <w:r w:rsidRPr="00C159ED">
        <w:rPr>
          <w:lang w:val="lv-LV"/>
        </w:rPr>
        <w:t>tiesību normas neatbilstību Satversmei vai starptautisko tiesību normai, nevis tikai šaubas vai</w:t>
      </w:r>
      <w:r>
        <w:rPr>
          <w:lang w:val="lv-LV"/>
        </w:rPr>
        <w:t xml:space="preserve"> </w:t>
      </w:r>
      <w:r w:rsidR="00B90192">
        <w:rPr>
          <w:lang w:val="lv-LV"/>
        </w:rPr>
        <w:t>attiecīgs procesa dalībnieka</w:t>
      </w:r>
      <w:r w:rsidRPr="00C159ED">
        <w:rPr>
          <w:lang w:val="lv-LV"/>
        </w:rPr>
        <w:t xml:space="preserve"> lūgums.</w:t>
      </w:r>
    </w:p>
    <w:p w14:paraId="2AD2EAA1" w14:textId="3CD536F3" w:rsidR="00A574E1" w:rsidRPr="001038CF" w:rsidRDefault="00A574E1" w:rsidP="0089375D">
      <w:pPr>
        <w:pStyle w:val="NoSpacing"/>
        <w:spacing w:line="276" w:lineRule="auto"/>
        <w:ind w:firstLine="720"/>
        <w:contextualSpacing/>
        <w:jc w:val="both"/>
        <w:rPr>
          <w:lang w:val="lv-LV"/>
        </w:rPr>
      </w:pPr>
      <w:r w:rsidRPr="001038CF">
        <w:rPr>
          <w:lang w:val="lv-LV"/>
        </w:rPr>
        <w:t>Senāts konkrētajā gadījumā nesaskata pamatu vērsties ar pieteikumu Satversmes tiesā turpmāk norādīto iemeslu dēļ.</w:t>
      </w:r>
    </w:p>
    <w:p w14:paraId="60481377" w14:textId="77777777" w:rsidR="00A574E1" w:rsidRPr="001038CF" w:rsidRDefault="00A574E1" w:rsidP="0089375D">
      <w:pPr>
        <w:pStyle w:val="NoSpacing"/>
        <w:spacing w:line="276" w:lineRule="auto"/>
        <w:ind w:firstLine="720"/>
        <w:contextualSpacing/>
        <w:jc w:val="both"/>
        <w:rPr>
          <w:lang w:val="lv-LV"/>
        </w:rPr>
      </w:pPr>
    </w:p>
    <w:p w14:paraId="5377E11F" w14:textId="1C907B32" w:rsidR="00222187" w:rsidRPr="001038CF" w:rsidRDefault="00A574E1" w:rsidP="0089375D">
      <w:pPr>
        <w:pStyle w:val="NoSpacing"/>
        <w:spacing w:line="276" w:lineRule="auto"/>
        <w:ind w:firstLine="720"/>
        <w:contextualSpacing/>
        <w:jc w:val="both"/>
        <w:rPr>
          <w:lang w:val="lv-LV"/>
        </w:rPr>
      </w:pPr>
      <w:bookmarkStart w:id="1" w:name="_Hlk217382167"/>
      <w:r w:rsidRPr="001038CF">
        <w:rPr>
          <w:lang w:val="lv-LV"/>
        </w:rPr>
        <w:t>[</w:t>
      </w:r>
      <w:r w:rsidR="00C46DAD" w:rsidRPr="001038CF">
        <w:rPr>
          <w:lang w:val="lv-LV"/>
        </w:rPr>
        <w:t>1</w:t>
      </w:r>
      <w:r w:rsidR="00B80A7F" w:rsidRPr="001038CF">
        <w:rPr>
          <w:lang w:val="lv-LV"/>
        </w:rPr>
        <w:t>1</w:t>
      </w:r>
      <w:r w:rsidRPr="001038CF">
        <w:rPr>
          <w:lang w:val="lv-LV"/>
        </w:rPr>
        <w:t>] </w:t>
      </w:r>
      <w:r w:rsidR="005B3876" w:rsidRPr="001038CF">
        <w:rPr>
          <w:lang w:val="lv-LV"/>
        </w:rPr>
        <w:t xml:space="preserve">Kā minēts iepriekš, valsts nodeva maksājama gan par speciālās atļaujas (licences) izsniegšanu, gan arī par </w:t>
      </w:r>
      <w:r w:rsidR="00377125" w:rsidRPr="001038CF">
        <w:rPr>
          <w:lang w:val="lv-LV"/>
        </w:rPr>
        <w:t xml:space="preserve">kreditēšanas pakalpojumu sniedzēja darbības uzraudzību. </w:t>
      </w:r>
    </w:p>
    <w:p w14:paraId="50D80488" w14:textId="2F81A28C" w:rsidR="00377125" w:rsidRPr="001038CF" w:rsidRDefault="00377125" w:rsidP="0089375D">
      <w:pPr>
        <w:pStyle w:val="NoSpacing"/>
        <w:spacing w:line="276" w:lineRule="auto"/>
        <w:ind w:firstLine="720"/>
        <w:contextualSpacing/>
        <w:jc w:val="both"/>
        <w:rPr>
          <w:lang w:val="lv-LV"/>
        </w:rPr>
      </w:pPr>
      <w:r w:rsidRPr="001038CF">
        <w:rPr>
          <w:lang w:val="lv-LV"/>
        </w:rPr>
        <w:t>Atbilstoši noteikumu Nr. 245 51.punktam valsts nodeva par speciālās atļaujas (licences) izsniegšanu ir maksājama pirms iesnieguma speciālās atļaujas (licences) saņemšanai iesniegšanas Patērētāju tiesību aizsardzības centrā.</w:t>
      </w:r>
    </w:p>
    <w:p w14:paraId="601F6561" w14:textId="0C88FE6D" w:rsidR="00470DA1" w:rsidRPr="001038CF" w:rsidRDefault="00377125" w:rsidP="0089375D">
      <w:pPr>
        <w:pStyle w:val="NoSpacing"/>
        <w:spacing w:line="276" w:lineRule="auto"/>
        <w:ind w:firstLine="720"/>
        <w:contextualSpacing/>
        <w:jc w:val="both"/>
        <w:rPr>
          <w:lang w:val="lv-LV"/>
        </w:rPr>
      </w:pPr>
      <w:r w:rsidRPr="001038CF">
        <w:rPr>
          <w:lang w:val="lv-LV"/>
        </w:rPr>
        <w:t>Attiecīgi n</w:t>
      </w:r>
      <w:r w:rsidR="00470DA1" w:rsidRPr="001038CF">
        <w:rPr>
          <w:lang w:val="lv-LV"/>
        </w:rPr>
        <w:t xml:space="preserve">oteikumu Nr. 245 54.punkts </w:t>
      </w:r>
      <w:r w:rsidRPr="001038CF">
        <w:rPr>
          <w:lang w:val="lv-LV"/>
        </w:rPr>
        <w:t>paredz</w:t>
      </w:r>
      <w:r w:rsidR="00470DA1" w:rsidRPr="001038CF">
        <w:rPr>
          <w:lang w:val="lv-LV"/>
        </w:rPr>
        <w:t>: ja speciālās atļaujas (licences) izsniegšana tiek atteikta vai līdz Patērētāju tiesību aizsardzības centra lēmuma pieņemšanas brīdim kapitālsabiedrība atsauc iesniegumu speciālās atļaujas (licences) saņemšanai, Valsts ieņēmumu dienests, pamatojoties uz Patērētāju tiesību aizsardzības centra lēmumu par speciālās atļaujas (licences) izsniegšanas atteikumu vai sniegto informāciju par speciālās atļaujas (licences) atsaukšanu, atmaksā kapitālsabiedrībai samaksāto valsts nodevu 70</w:t>
      </w:r>
      <w:r w:rsidR="001C7173" w:rsidRPr="001038CF">
        <w:rPr>
          <w:lang w:val="lv-LV"/>
        </w:rPr>
        <w:t> </w:t>
      </w:r>
      <w:r w:rsidR="00470DA1" w:rsidRPr="001038CF">
        <w:rPr>
          <w:lang w:val="lv-LV"/>
        </w:rPr>
        <w:t xml:space="preserve">procentu apmērā saskaņā ar likumā </w:t>
      </w:r>
      <w:r w:rsidR="001C7173" w:rsidRPr="001038CF">
        <w:rPr>
          <w:lang w:val="lv-LV"/>
        </w:rPr>
        <w:t>„</w:t>
      </w:r>
      <w:r w:rsidR="00470DA1" w:rsidRPr="001038CF">
        <w:rPr>
          <w:lang w:val="lv-LV"/>
        </w:rPr>
        <w:t>Par nodokļiem un nodevām</w:t>
      </w:r>
      <w:r w:rsidR="001C7173" w:rsidRPr="001038CF">
        <w:rPr>
          <w:lang w:val="lv-LV"/>
        </w:rPr>
        <w:t>”</w:t>
      </w:r>
      <w:r w:rsidR="00470DA1" w:rsidRPr="001038CF">
        <w:rPr>
          <w:lang w:val="lv-LV"/>
        </w:rPr>
        <w:t xml:space="preserve"> noteikto kārtību.</w:t>
      </w:r>
    </w:p>
    <w:p w14:paraId="52C3B3DF" w14:textId="32C794A8" w:rsidR="00D301F8" w:rsidRPr="001038CF" w:rsidRDefault="00D301F8" w:rsidP="0089375D">
      <w:pPr>
        <w:pStyle w:val="NoSpacing"/>
        <w:spacing w:line="276" w:lineRule="auto"/>
        <w:ind w:firstLine="720"/>
        <w:contextualSpacing/>
        <w:jc w:val="both"/>
        <w:rPr>
          <w:rFonts w:cs="Times New Roman"/>
          <w:szCs w:val="24"/>
          <w:lang w:val="lv-LV"/>
        </w:rPr>
      </w:pPr>
      <w:r w:rsidRPr="001038CF">
        <w:rPr>
          <w:lang w:val="lv-LV"/>
        </w:rPr>
        <w:t xml:space="preserve">No 2019.gada 29.oktobra grozījumu noteikumos Nr. 245 anotācijas izriet, ka minētais regulējums ieviests, jo Patērētāju tiesību aizsardzības centrs pieteikumu izskatīšanai novirza zināmus </w:t>
      </w:r>
      <w:r w:rsidRPr="001038CF">
        <w:rPr>
          <w:rFonts w:cs="Times New Roman"/>
          <w:szCs w:val="24"/>
          <w:lang w:val="lv-LV"/>
        </w:rPr>
        <w:t>administratīvos resursus, līdz ar to arī normā minētajos gadījumos tiek ieturēta daļa no samaksātās nodevas par Patērētāju tiesību aizsardzības centra veikto darbu (</w:t>
      </w:r>
      <w:r w:rsidRPr="001038CF">
        <w:rPr>
          <w:rFonts w:cs="Times New Roman"/>
          <w:i/>
          <w:iCs/>
          <w:szCs w:val="24"/>
          <w:lang w:val="lv-LV"/>
        </w:rPr>
        <w:t>Ministru kabineta noteikumu projekta „Grozījumi noteikumos Nr. 245” sākotnējās ietekmes novērtējuma ziņojums (</w:t>
      </w:r>
      <w:hyperlink r:id="rId10" w:history="1">
        <w:r w:rsidRPr="006623F4">
          <w:rPr>
            <w:rStyle w:val="Hyperlink"/>
            <w:rFonts w:cs="Times New Roman"/>
            <w:i/>
            <w:iCs/>
            <w:szCs w:val="24"/>
            <w:lang w:val="lv-LV"/>
          </w:rPr>
          <w:t>anotācija</w:t>
        </w:r>
      </w:hyperlink>
      <w:r w:rsidRPr="001038CF">
        <w:rPr>
          <w:rFonts w:cs="Times New Roman"/>
          <w:i/>
          <w:iCs/>
          <w:szCs w:val="24"/>
          <w:lang w:val="lv-LV"/>
        </w:rPr>
        <w:t>)</w:t>
      </w:r>
      <w:r w:rsidRPr="001038CF">
        <w:rPr>
          <w:rFonts w:cs="Times New Roman"/>
          <w:szCs w:val="24"/>
          <w:lang w:val="lv-LV"/>
        </w:rPr>
        <w:t>).</w:t>
      </w:r>
    </w:p>
    <w:p w14:paraId="69DBE7E3" w14:textId="0EC40370" w:rsidR="00D301F8" w:rsidRPr="001038CF" w:rsidRDefault="00D301F8" w:rsidP="0089375D">
      <w:pPr>
        <w:pStyle w:val="NoSpacing"/>
        <w:spacing w:line="276" w:lineRule="auto"/>
        <w:ind w:firstLine="720"/>
        <w:contextualSpacing/>
        <w:jc w:val="both"/>
        <w:rPr>
          <w:lang w:val="lv-LV"/>
        </w:rPr>
      </w:pPr>
      <w:r w:rsidRPr="001038CF">
        <w:rPr>
          <w:lang w:val="lv-LV"/>
        </w:rPr>
        <w:t xml:space="preserve">Tātad noteikumu Nr. 245 54.punkts attiecas uz gadījumiem, kad kapitālsabiedrība ir lūgusi Patērētāju tiesību aizsardzības centru izsniegt speciālo atļauju (licenci) patērētāja kreditēšanas pakalpojuma sniegšanai, bet centrs atsaka izsniegt atļauju vai arī kapitālsabiedrība pati atsakās no atļaujas saņemšanas. Šādā gadījumā kapitālsabiedrībai tiek atmaksāta daļa no samaksātās valsts nodevas, jo, lai arī atļauja netiek izsniegta, </w:t>
      </w:r>
      <w:r w:rsidR="004B34AE" w:rsidRPr="001038CF">
        <w:rPr>
          <w:lang w:val="lv-LV"/>
        </w:rPr>
        <w:t>iestāde patērē resursus iesnieguma izskatīšanai.</w:t>
      </w:r>
    </w:p>
    <w:p w14:paraId="44285D26" w14:textId="078BD8DC" w:rsidR="007F173A" w:rsidRPr="001038CF" w:rsidRDefault="004B34AE" w:rsidP="0089375D">
      <w:pPr>
        <w:pStyle w:val="NoSpacing"/>
        <w:spacing w:line="276" w:lineRule="auto"/>
        <w:ind w:firstLine="720"/>
        <w:contextualSpacing/>
        <w:jc w:val="both"/>
        <w:rPr>
          <w:lang w:val="lv-LV"/>
        </w:rPr>
      </w:pPr>
      <w:r w:rsidRPr="001038CF">
        <w:rPr>
          <w:lang w:val="lv-LV"/>
        </w:rPr>
        <w:t xml:space="preserve">Savukārt ikgadējo valsts nodevu par kreditēšanas pakalpojumu sniedzēja darbības uzraudzību, par kuras atmaksu ir strīds šajā lietā, kapitālsabiedrība </w:t>
      </w:r>
      <w:r w:rsidR="00612053" w:rsidRPr="001038CF">
        <w:rPr>
          <w:lang w:val="lv-LV"/>
        </w:rPr>
        <w:t xml:space="preserve">sāk </w:t>
      </w:r>
      <w:r w:rsidRPr="001038CF">
        <w:rPr>
          <w:lang w:val="lv-LV"/>
        </w:rPr>
        <w:t>maksā</w:t>
      </w:r>
      <w:r w:rsidR="00612053" w:rsidRPr="001038CF">
        <w:rPr>
          <w:lang w:val="lv-LV"/>
        </w:rPr>
        <w:t>t pēc tam, kad noteiktu laiku jau ir sniegusi kreditēšanas pakalpojumus. Proti, atbilstoši</w:t>
      </w:r>
      <w:r w:rsidRPr="001038CF">
        <w:rPr>
          <w:lang w:val="lv-LV"/>
        </w:rPr>
        <w:t xml:space="preserve"> noteikumu Nr. 245 51.</w:t>
      </w:r>
      <w:r w:rsidRPr="001038CF">
        <w:rPr>
          <w:vertAlign w:val="superscript"/>
          <w:lang w:val="lv-LV"/>
        </w:rPr>
        <w:t>1</w:t>
      </w:r>
      <w:r w:rsidRPr="001038CF">
        <w:rPr>
          <w:lang w:val="lv-LV"/>
        </w:rPr>
        <w:t>punkt</w:t>
      </w:r>
      <w:r w:rsidR="00612053" w:rsidRPr="001038CF">
        <w:rPr>
          <w:lang w:val="lv-LV"/>
        </w:rPr>
        <w:t>am</w:t>
      </w:r>
      <w:r w:rsidRPr="001038CF">
        <w:rPr>
          <w:lang w:val="lv-LV"/>
        </w:rPr>
        <w:t xml:space="preserve"> pirmo reizi šī nodeva </w:t>
      </w:r>
      <w:r w:rsidR="007F173A" w:rsidRPr="001038CF">
        <w:rPr>
          <w:lang w:val="lv-LV"/>
        </w:rPr>
        <w:t xml:space="preserve">jāmaksā pēc tam, kad pagājis gads no speciālās atļaujas (licences) izsniegšanas dienas, bet pēc tam par katru nākamo kalendāra gadu. Līdz ar to ir acīmredzami, ka noteikumu Nr. 245 54.punkts neregulē par kreditēšanas pakalpojumu sniedzēja darbības uzraudzību samaksātās valsts nodevas atmaksu, jo pirms atļaujas izsniegšanas šāda nodeva nav jāmaksā. </w:t>
      </w:r>
    </w:p>
    <w:p w14:paraId="52436DBE" w14:textId="145849B0" w:rsidR="00893B60" w:rsidRPr="001038CF" w:rsidRDefault="00A574E1" w:rsidP="0089375D">
      <w:pPr>
        <w:pStyle w:val="NoSpacing"/>
        <w:spacing w:line="276" w:lineRule="auto"/>
        <w:ind w:firstLine="720"/>
        <w:contextualSpacing/>
        <w:jc w:val="both"/>
        <w:rPr>
          <w:lang w:val="lv-LV"/>
        </w:rPr>
      </w:pPr>
      <w:r w:rsidRPr="001038CF">
        <w:rPr>
          <w:lang w:val="lv-LV"/>
        </w:rPr>
        <w:t xml:space="preserve">Ievērojot minēto, Senāts </w:t>
      </w:r>
      <w:r w:rsidR="00612053" w:rsidRPr="001038CF">
        <w:rPr>
          <w:lang w:val="lv-LV"/>
        </w:rPr>
        <w:t>secina</w:t>
      </w:r>
      <w:r w:rsidRPr="001038CF">
        <w:rPr>
          <w:lang w:val="lv-LV"/>
        </w:rPr>
        <w:t>, ka noteikumu Nr. 245 54.p</w:t>
      </w:r>
      <w:r w:rsidR="00612053" w:rsidRPr="001038CF">
        <w:rPr>
          <w:lang w:val="lv-LV"/>
        </w:rPr>
        <w:t>unktā</w:t>
      </w:r>
      <w:r w:rsidRPr="001038CF">
        <w:rPr>
          <w:lang w:val="lv-LV"/>
        </w:rPr>
        <w:t xml:space="preserve"> ir noteikti atsevišķi izņēmuma gadījumi, kad, neskatoties uz speciālās atļauja</w:t>
      </w:r>
      <w:r w:rsidR="00612053" w:rsidRPr="001038CF">
        <w:rPr>
          <w:lang w:val="lv-LV"/>
        </w:rPr>
        <w:t>s</w:t>
      </w:r>
      <w:r w:rsidRPr="001038CF">
        <w:rPr>
          <w:lang w:val="lv-LV"/>
        </w:rPr>
        <w:t xml:space="preserve"> (licence</w:t>
      </w:r>
      <w:r w:rsidR="00612053" w:rsidRPr="001038CF">
        <w:rPr>
          <w:lang w:val="lv-LV"/>
        </w:rPr>
        <w:t>s</w:t>
      </w:r>
      <w:r w:rsidRPr="001038CF">
        <w:rPr>
          <w:lang w:val="lv-LV"/>
        </w:rPr>
        <w:t xml:space="preserve">) nesaņemšanu, netiek atmaksāta visa iepriekš samaksātā valsts nodeva par speciālās atļaujas (licences) izsniegšanu. </w:t>
      </w:r>
    </w:p>
    <w:p w14:paraId="69414C61" w14:textId="2FD4ADA7" w:rsidR="00DD46FB" w:rsidRPr="001038CF" w:rsidRDefault="00DD46FB" w:rsidP="0089375D">
      <w:pPr>
        <w:pStyle w:val="NoSpacing"/>
        <w:spacing w:line="276" w:lineRule="auto"/>
        <w:ind w:firstLine="720"/>
        <w:contextualSpacing/>
        <w:jc w:val="both"/>
        <w:rPr>
          <w:lang w:val="lv-LV"/>
        </w:rPr>
      </w:pPr>
      <w:r w:rsidRPr="001038CF">
        <w:rPr>
          <w:lang w:val="lv-LV"/>
        </w:rPr>
        <w:t xml:space="preserve">Tomēr šajā lietā netiek risināts strīds par valsts nodevas par speciālās atļaujas (licences) izsniegšanu atmaksu. SIA „VIVUS” un SIA „ONDO” ir bijušas izsniegtas speciālās atļaujas (licences), bet strīds ir par </w:t>
      </w:r>
      <w:r w:rsidR="003E7CD9" w:rsidRPr="001038CF">
        <w:rPr>
          <w:lang w:val="lv-LV"/>
        </w:rPr>
        <w:t xml:space="preserve">šo sabiedrību samaksātās ikgadējās valsts nodevas atmaksu. </w:t>
      </w:r>
      <w:r w:rsidRPr="001038CF">
        <w:rPr>
          <w:lang w:val="lv-LV"/>
        </w:rPr>
        <w:t>Tātad noteiku</w:t>
      </w:r>
      <w:r w:rsidR="00222187" w:rsidRPr="001038CF">
        <w:rPr>
          <w:lang w:val="lv-LV"/>
        </w:rPr>
        <w:t>m</w:t>
      </w:r>
      <w:r w:rsidRPr="001038CF">
        <w:rPr>
          <w:lang w:val="lv-LV"/>
        </w:rPr>
        <w:t>u Nr. 245 54.punkts neattiecas uz pieteicējas situāciju</w:t>
      </w:r>
      <w:r w:rsidR="003E7CD9" w:rsidRPr="001038CF">
        <w:rPr>
          <w:lang w:val="lv-LV"/>
        </w:rPr>
        <w:t>.</w:t>
      </w:r>
      <w:r w:rsidR="00612053" w:rsidRPr="001038CF">
        <w:rPr>
          <w:lang w:val="lv-LV"/>
        </w:rPr>
        <w:t xml:space="preserve"> Citus gadījumus, kad kapitālsabiedrības samaksātā valsts nodeva būtu atmaksājama, noteikumi Nr. 245 neparedz.</w:t>
      </w:r>
    </w:p>
    <w:p w14:paraId="48246D8F" w14:textId="0FBCB74F" w:rsidR="00015F4F" w:rsidRPr="001038CF" w:rsidRDefault="00015F4F" w:rsidP="0089375D">
      <w:pPr>
        <w:pStyle w:val="NoSpacing"/>
        <w:spacing w:line="276" w:lineRule="auto"/>
        <w:ind w:firstLine="720"/>
        <w:contextualSpacing/>
        <w:jc w:val="both"/>
        <w:rPr>
          <w:lang w:val="lv-LV"/>
        </w:rPr>
      </w:pPr>
      <w:r w:rsidRPr="001038CF">
        <w:rPr>
          <w:lang w:val="lv-LV"/>
        </w:rPr>
        <w:t xml:space="preserve">Vienlaikus Senāts </w:t>
      </w:r>
      <w:r w:rsidR="00222187" w:rsidRPr="001038CF">
        <w:rPr>
          <w:lang w:val="lv-LV"/>
        </w:rPr>
        <w:t>norāda, ka minētais neierobežo pieteicējas tiesības pašai vērsties Satversmes tiesā ar konstitucionālo sūdzību Satversmes tiesas likuma 19.</w:t>
      </w:r>
      <w:r w:rsidR="00222187" w:rsidRPr="001038CF">
        <w:rPr>
          <w:vertAlign w:val="superscript"/>
          <w:lang w:val="lv-LV"/>
        </w:rPr>
        <w:t>2</w:t>
      </w:r>
      <w:r w:rsidR="00222187" w:rsidRPr="001038CF">
        <w:rPr>
          <w:lang w:val="lv-LV"/>
        </w:rPr>
        <w:t>pantā noteiktajā kārtībā.</w:t>
      </w:r>
    </w:p>
    <w:bookmarkEnd w:id="1"/>
    <w:p w14:paraId="519198A6" w14:textId="77777777" w:rsidR="0031093A" w:rsidRPr="001038CF" w:rsidRDefault="0031093A" w:rsidP="0089375D">
      <w:pPr>
        <w:pStyle w:val="NoSpacing"/>
        <w:spacing w:line="276" w:lineRule="auto"/>
        <w:contextualSpacing/>
        <w:jc w:val="both"/>
        <w:rPr>
          <w:lang w:val="lv-LV"/>
        </w:rPr>
      </w:pPr>
    </w:p>
    <w:p w14:paraId="03D9F9DA" w14:textId="7B14E33A" w:rsidR="006F0FCC" w:rsidRPr="001038CF" w:rsidRDefault="006F0FCC" w:rsidP="0089375D">
      <w:pPr>
        <w:pStyle w:val="NoSpacing"/>
        <w:spacing w:line="276" w:lineRule="auto"/>
        <w:ind w:firstLine="720"/>
        <w:contextualSpacing/>
        <w:jc w:val="both"/>
        <w:rPr>
          <w:lang w:val="lv-LV"/>
        </w:rPr>
      </w:pPr>
      <w:r w:rsidRPr="001038CF">
        <w:rPr>
          <w:lang w:val="lv-LV"/>
        </w:rPr>
        <w:t>[1</w:t>
      </w:r>
      <w:r w:rsidR="00B80A7F" w:rsidRPr="001038CF">
        <w:rPr>
          <w:lang w:val="lv-LV"/>
        </w:rPr>
        <w:t>2</w:t>
      </w:r>
      <w:r w:rsidRPr="001038CF">
        <w:rPr>
          <w:lang w:val="lv-LV"/>
        </w:rPr>
        <w:t>] Apkopojot minēto, Senāts atzīst, ka kasācijas sūdzības argumenti nav pamats apgabaltiesas sprieduma atcelšanai.</w:t>
      </w:r>
    </w:p>
    <w:bookmarkEnd w:id="0"/>
    <w:p w14:paraId="6BF8EAA1" w14:textId="77777777" w:rsidR="00577708" w:rsidRPr="001038CF" w:rsidRDefault="00577708" w:rsidP="0089375D">
      <w:pPr>
        <w:spacing w:line="276" w:lineRule="auto"/>
        <w:ind w:firstLine="567"/>
        <w:jc w:val="both"/>
      </w:pPr>
    </w:p>
    <w:p w14:paraId="4165E59A" w14:textId="77777777" w:rsidR="0012586F" w:rsidRPr="001038CF" w:rsidRDefault="0012586F" w:rsidP="0089375D">
      <w:pPr>
        <w:spacing w:line="276" w:lineRule="auto"/>
        <w:jc w:val="center"/>
        <w:rPr>
          <w:b/>
          <w:bCs/>
        </w:rPr>
      </w:pPr>
      <w:r w:rsidRPr="001038CF">
        <w:rPr>
          <w:b/>
          <w:bCs/>
        </w:rPr>
        <w:t>Rezolutīvā daļa</w:t>
      </w:r>
    </w:p>
    <w:p w14:paraId="7D2610D8" w14:textId="77777777" w:rsidR="0012586F" w:rsidRPr="001038CF" w:rsidRDefault="0012586F" w:rsidP="0089375D">
      <w:pPr>
        <w:spacing w:line="276" w:lineRule="auto"/>
        <w:jc w:val="center"/>
        <w:rPr>
          <w:b/>
          <w:bCs/>
        </w:rPr>
      </w:pPr>
    </w:p>
    <w:p w14:paraId="2379B3AF" w14:textId="77777777" w:rsidR="001218EE" w:rsidRPr="001038CF" w:rsidRDefault="001218EE" w:rsidP="0089375D">
      <w:pPr>
        <w:tabs>
          <w:tab w:val="left" w:pos="6660"/>
        </w:tabs>
        <w:spacing w:line="276" w:lineRule="auto"/>
        <w:ind w:firstLine="720"/>
        <w:jc w:val="both"/>
      </w:pPr>
      <w:r w:rsidRPr="001038CF">
        <w:t>Pamatojoties uz Administratīvā procesa likuma 348.panta pirmās daļas 1.punktu un 351.pantu, Senāts</w:t>
      </w:r>
    </w:p>
    <w:p w14:paraId="034B2E08" w14:textId="77777777" w:rsidR="0012586F" w:rsidRPr="001038CF" w:rsidRDefault="0012586F" w:rsidP="0089375D">
      <w:pPr>
        <w:tabs>
          <w:tab w:val="left" w:pos="6660"/>
        </w:tabs>
        <w:spacing w:line="276" w:lineRule="auto"/>
        <w:ind w:firstLine="720"/>
        <w:jc w:val="both"/>
        <w:rPr>
          <w:strike/>
        </w:rPr>
      </w:pPr>
    </w:p>
    <w:p w14:paraId="763197CF" w14:textId="77777777" w:rsidR="0012586F" w:rsidRPr="001038CF" w:rsidRDefault="0012586F" w:rsidP="0089375D">
      <w:pPr>
        <w:spacing w:line="276" w:lineRule="auto"/>
        <w:jc w:val="center"/>
        <w:rPr>
          <w:b/>
          <w:bCs/>
        </w:rPr>
      </w:pPr>
      <w:r w:rsidRPr="001038CF">
        <w:rPr>
          <w:b/>
          <w:bCs/>
        </w:rPr>
        <w:t>nosprieda</w:t>
      </w:r>
    </w:p>
    <w:p w14:paraId="6799D52A" w14:textId="77777777" w:rsidR="0012586F" w:rsidRPr="001038CF" w:rsidRDefault="0012586F" w:rsidP="0089375D">
      <w:pPr>
        <w:spacing w:line="276" w:lineRule="auto"/>
        <w:jc w:val="center"/>
        <w:rPr>
          <w:b/>
        </w:rPr>
      </w:pPr>
    </w:p>
    <w:p w14:paraId="1709272A" w14:textId="0B5FA343" w:rsidR="001218EE" w:rsidRPr="001038CF" w:rsidRDefault="001218EE" w:rsidP="0089375D">
      <w:pPr>
        <w:tabs>
          <w:tab w:val="left" w:pos="2700"/>
          <w:tab w:val="left" w:pos="6660"/>
        </w:tabs>
        <w:spacing w:line="276" w:lineRule="auto"/>
        <w:ind w:firstLine="720"/>
        <w:jc w:val="both"/>
      </w:pPr>
      <w:bookmarkStart w:id="2" w:name="_Hlk107329799"/>
      <w:r w:rsidRPr="001038CF">
        <w:t>atstāt negrozītu Administratīvās apgabaltiesas 202</w:t>
      </w:r>
      <w:r w:rsidR="00546D76" w:rsidRPr="001038CF">
        <w:t>3</w:t>
      </w:r>
      <w:r w:rsidRPr="001038CF">
        <w:t xml:space="preserve">.gada 6.jūnija spriedumu, bet </w:t>
      </w:r>
      <w:r w:rsidR="00546D76" w:rsidRPr="001038CF">
        <w:t>AS „4finance”</w:t>
      </w:r>
      <w:r w:rsidRPr="001038CF">
        <w:t xml:space="preserve"> kasācijas sūdzību noraidīt.</w:t>
      </w:r>
    </w:p>
    <w:p w14:paraId="5530441B" w14:textId="77777777" w:rsidR="001218EE" w:rsidRPr="001038CF" w:rsidRDefault="001218EE" w:rsidP="0089375D">
      <w:pPr>
        <w:pStyle w:val="NoSpacing"/>
        <w:spacing w:line="276" w:lineRule="auto"/>
        <w:ind w:firstLine="720"/>
        <w:jc w:val="both"/>
        <w:rPr>
          <w:iCs/>
          <w:lang w:val="lv-LV"/>
        </w:rPr>
      </w:pPr>
    </w:p>
    <w:p w14:paraId="37B1B572" w14:textId="77777777" w:rsidR="001218EE" w:rsidRPr="001038CF" w:rsidRDefault="001218EE" w:rsidP="0089375D">
      <w:pPr>
        <w:tabs>
          <w:tab w:val="left" w:pos="6660"/>
        </w:tabs>
        <w:spacing w:line="276" w:lineRule="auto"/>
        <w:ind w:firstLine="720"/>
        <w:contextualSpacing/>
        <w:jc w:val="both"/>
      </w:pPr>
      <w:r w:rsidRPr="001038CF">
        <w:t>Spriedums nav pārsūdzams.</w:t>
      </w:r>
    </w:p>
    <w:p w14:paraId="378AB6FF" w14:textId="77777777" w:rsidR="001218EE" w:rsidRPr="001038CF" w:rsidRDefault="001218EE" w:rsidP="001218EE">
      <w:pPr>
        <w:spacing w:line="276" w:lineRule="auto"/>
        <w:ind w:firstLine="567"/>
        <w:contextualSpacing/>
        <w:jc w:val="both"/>
        <w:rPr>
          <w:rFonts w:asciiTheme="majorBidi" w:hAnsiTheme="majorBidi" w:cstheme="majorBidi"/>
        </w:rPr>
      </w:pPr>
    </w:p>
    <w:p w14:paraId="74622A1B" w14:textId="77777777" w:rsidR="00EE294B" w:rsidRPr="001038CF" w:rsidRDefault="00EE294B" w:rsidP="00011D66">
      <w:pPr>
        <w:spacing w:line="276" w:lineRule="auto"/>
        <w:ind w:firstLine="567"/>
        <w:contextualSpacing/>
        <w:jc w:val="both"/>
        <w:rPr>
          <w:rFonts w:asciiTheme="majorBidi" w:hAnsiTheme="majorBidi" w:cstheme="majorBidi"/>
        </w:rPr>
      </w:pPr>
    </w:p>
    <w:bookmarkEnd w:id="2"/>
    <w:p w14:paraId="44109405" w14:textId="09A5D4DA" w:rsidR="00621B4B" w:rsidRPr="001038CF" w:rsidRDefault="00621B4B" w:rsidP="00011D66">
      <w:pPr>
        <w:tabs>
          <w:tab w:val="left" w:pos="2700"/>
          <w:tab w:val="left" w:pos="6660"/>
        </w:tabs>
        <w:spacing w:line="276" w:lineRule="auto"/>
        <w:ind w:firstLine="567"/>
        <w:rPr>
          <w:rFonts w:asciiTheme="majorBidi" w:hAnsiTheme="majorBidi" w:cstheme="majorBidi"/>
        </w:rPr>
      </w:pPr>
    </w:p>
    <w:p w14:paraId="1FD44B9E" w14:textId="77777777" w:rsidR="006522B7" w:rsidRPr="001038CF" w:rsidRDefault="006522B7" w:rsidP="00011D66">
      <w:pPr>
        <w:tabs>
          <w:tab w:val="left" w:pos="2700"/>
          <w:tab w:val="left" w:pos="6660"/>
        </w:tabs>
        <w:spacing w:line="276" w:lineRule="auto"/>
        <w:ind w:firstLine="567"/>
        <w:rPr>
          <w:rFonts w:asciiTheme="majorBidi" w:hAnsiTheme="majorBidi" w:cstheme="majorBidi"/>
        </w:rPr>
      </w:pPr>
    </w:p>
    <w:p w14:paraId="3CDB75F5" w14:textId="77777777" w:rsidR="006522B7" w:rsidRPr="00546D76" w:rsidRDefault="006522B7" w:rsidP="006522B7">
      <w:pPr>
        <w:spacing w:line="276" w:lineRule="auto"/>
        <w:jc w:val="both"/>
        <w:rPr>
          <w:rFonts w:eastAsiaTheme="minorEastAsia"/>
          <w:sz w:val="6"/>
          <w:szCs w:val="6"/>
          <w:lang w:eastAsia="en-US"/>
        </w:rPr>
      </w:pPr>
    </w:p>
    <w:p w14:paraId="0CEC77F4" w14:textId="77777777" w:rsidR="006522B7" w:rsidRPr="00546D76" w:rsidRDefault="006522B7" w:rsidP="00011D66">
      <w:pPr>
        <w:tabs>
          <w:tab w:val="left" w:pos="2700"/>
          <w:tab w:val="left" w:pos="6660"/>
        </w:tabs>
        <w:spacing w:line="276" w:lineRule="auto"/>
        <w:ind w:firstLine="567"/>
        <w:rPr>
          <w:rFonts w:asciiTheme="majorBidi" w:hAnsiTheme="majorBidi" w:cstheme="majorBidi"/>
          <w:sz w:val="2"/>
          <w:szCs w:val="2"/>
        </w:rPr>
      </w:pPr>
    </w:p>
    <w:sectPr w:rsidR="006522B7" w:rsidRPr="00546D76" w:rsidSect="009F3C70">
      <w:footerReference w:type="default" r:id="rId11"/>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4A289" w14:textId="77777777" w:rsidR="004A62BE" w:rsidRDefault="004A62BE" w:rsidP="006C4394">
      <w:r>
        <w:separator/>
      </w:r>
    </w:p>
  </w:endnote>
  <w:endnote w:type="continuationSeparator" w:id="0">
    <w:p w14:paraId="74F8AAA7" w14:textId="77777777" w:rsidR="004A62BE" w:rsidRDefault="004A62BE" w:rsidP="006C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13B6" w14:textId="57833757" w:rsidR="006C4394" w:rsidRPr="00FD6155" w:rsidRDefault="006C4394" w:rsidP="006C4394">
    <w:pPr>
      <w:pStyle w:val="Footer"/>
      <w:jc w:val="center"/>
      <w:rPr>
        <w:sz w:val="20"/>
        <w:szCs w:val="20"/>
      </w:rPr>
    </w:pPr>
    <w:r w:rsidRPr="00FD6155">
      <w:rPr>
        <w:bCs/>
        <w:sz w:val="20"/>
        <w:szCs w:val="20"/>
      </w:rPr>
      <w:fldChar w:fldCharType="begin"/>
    </w:r>
    <w:r w:rsidRPr="00FD6155">
      <w:rPr>
        <w:bCs/>
        <w:sz w:val="20"/>
        <w:szCs w:val="20"/>
      </w:rPr>
      <w:instrText xml:space="preserve"> PAGE </w:instrText>
    </w:r>
    <w:r w:rsidRPr="00FD6155">
      <w:rPr>
        <w:bCs/>
        <w:sz w:val="20"/>
        <w:szCs w:val="20"/>
      </w:rPr>
      <w:fldChar w:fldCharType="separate"/>
    </w:r>
    <w:r w:rsidRPr="00FD6155">
      <w:rPr>
        <w:bCs/>
        <w:sz w:val="20"/>
        <w:szCs w:val="20"/>
      </w:rPr>
      <w:t>1</w:t>
    </w:r>
    <w:r w:rsidRPr="00FD6155">
      <w:rPr>
        <w:bCs/>
        <w:sz w:val="20"/>
        <w:szCs w:val="20"/>
      </w:rPr>
      <w:fldChar w:fldCharType="end"/>
    </w:r>
    <w:r w:rsidRPr="00FD6155">
      <w:rPr>
        <w:sz w:val="20"/>
        <w:szCs w:val="20"/>
      </w:rPr>
      <w:t xml:space="preserve"> no </w:t>
    </w:r>
    <w:r w:rsidRPr="00FD6155">
      <w:rPr>
        <w:bCs/>
        <w:sz w:val="20"/>
        <w:szCs w:val="20"/>
      </w:rPr>
      <w:fldChar w:fldCharType="begin"/>
    </w:r>
    <w:r w:rsidRPr="00FD6155">
      <w:rPr>
        <w:bCs/>
        <w:sz w:val="20"/>
        <w:szCs w:val="20"/>
      </w:rPr>
      <w:instrText xml:space="preserve"> NUMPAGES  </w:instrText>
    </w:r>
    <w:r w:rsidRPr="00FD6155">
      <w:rPr>
        <w:bCs/>
        <w:sz w:val="20"/>
        <w:szCs w:val="20"/>
      </w:rPr>
      <w:fldChar w:fldCharType="separate"/>
    </w:r>
    <w:r w:rsidRPr="00FD6155">
      <w:rPr>
        <w:bCs/>
        <w:sz w:val="20"/>
        <w:szCs w:val="20"/>
      </w:rPr>
      <w:t>3</w:t>
    </w:r>
    <w:r w:rsidRPr="00FD6155">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0FA0F" w14:textId="77777777" w:rsidR="004A62BE" w:rsidRDefault="004A62BE" w:rsidP="006C4394">
      <w:r>
        <w:separator/>
      </w:r>
    </w:p>
  </w:footnote>
  <w:footnote w:type="continuationSeparator" w:id="0">
    <w:p w14:paraId="463BCB4A" w14:textId="77777777" w:rsidR="004A62BE" w:rsidRDefault="004A62BE" w:rsidP="006C4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FFFFFFFF"/>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1E781F0D"/>
    <w:multiLevelType w:val="multilevel"/>
    <w:tmpl w:val="BABA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B2889"/>
    <w:multiLevelType w:val="hybridMultilevel"/>
    <w:tmpl w:val="A8622FC0"/>
    <w:lvl w:ilvl="0" w:tplc="D33060BC">
      <w:start w:val="202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2F60CF"/>
    <w:multiLevelType w:val="hybridMultilevel"/>
    <w:tmpl w:val="C1009ADA"/>
    <w:lvl w:ilvl="0" w:tplc="2CB221BE">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78CA2A2D"/>
    <w:multiLevelType w:val="hybridMultilevel"/>
    <w:tmpl w:val="92D2F08A"/>
    <w:lvl w:ilvl="0" w:tplc="D33060BC">
      <w:start w:val="202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36303140">
    <w:abstractNumId w:val="0"/>
  </w:num>
  <w:num w:numId="2" w16cid:durableId="639188930">
    <w:abstractNumId w:val="1"/>
  </w:num>
  <w:num w:numId="3" w16cid:durableId="500851148">
    <w:abstractNumId w:val="3"/>
  </w:num>
  <w:num w:numId="4" w16cid:durableId="1314336924">
    <w:abstractNumId w:val="4"/>
  </w:num>
  <w:num w:numId="5" w16cid:durableId="42295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D49"/>
    <w:rsid w:val="00000D80"/>
    <w:rsid w:val="00004887"/>
    <w:rsid w:val="00006545"/>
    <w:rsid w:val="00010692"/>
    <w:rsid w:val="00011D66"/>
    <w:rsid w:val="00011F02"/>
    <w:rsid w:val="0001387A"/>
    <w:rsid w:val="00015F4F"/>
    <w:rsid w:val="00016CBA"/>
    <w:rsid w:val="00020755"/>
    <w:rsid w:val="000228B9"/>
    <w:rsid w:val="00024EAC"/>
    <w:rsid w:val="00031887"/>
    <w:rsid w:val="00034092"/>
    <w:rsid w:val="00034B0B"/>
    <w:rsid w:val="00050973"/>
    <w:rsid w:val="000517AC"/>
    <w:rsid w:val="00053FCC"/>
    <w:rsid w:val="000551DC"/>
    <w:rsid w:val="0005701F"/>
    <w:rsid w:val="00060029"/>
    <w:rsid w:val="00061396"/>
    <w:rsid w:val="0007135E"/>
    <w:rsid w:val="00076DDA"/>
    <w:rsid w:val="00080E5F"/>
    <w:rsid w:val="00084591"/>
    <w:rsid w:val="0008677B"/>
    <w:rsid w:val="00087085"/>
    <w:rsid w:val="00087531"/>
    <w:rsid w:val="00092CC3"/>
    <w:rsid w:val="000A385C"/>
    <w:rsid w:val="000A4560"/>
    <w:rsid w:val="000A6A30"/>
    <w:rsid w:val="000B111D"/>
    <w:rsid w:val="000B37AF"/>
    <w:rsid w:val="000B427C"/>
    <w:rsid w:val="000B77FD"/>
    <w:rsid w:val="000C157E"/>
    <w:rsid w:val="000C19AF"/>
    <w:rsid w:val="000C3EE2"/>
    <w:rsid w:val="000C5187"/>
    <w:rsid w:val="000C5292"/>
    <w:rsid w:val="000E0494"/>
    <w:rsid w:val="000E454A"/>
    <w:rsid w:val="000E4A10"/>
    <w:rsid w:val="000E4B46"/>
    <w:rsid w:val="000F00FC"/>
    <w:rsid w:val="000F2C75"/>
    <w:rsid w:val="000F5FD3"/>
    <w:rsid w:val="000F6058"/>
    <w:rsid w:val="000F6B50"/>
    <w:rsid w:val="00101CBA"/>
    <w:rsid w:val="001038CF"/>
    <w:rsid w:val="00104459"/>
    <w:rsid w:val="00105554"/>
    <w:rsid w:val="0010691F"/>
    <w:rsid w:val="00107BEE"/>
    <w:rsid w:val="0011194B"/>
    <w:rsid w:val="00112224"/>
    <w:rsid w:val="00113B6A"/>
    <w:rsid w:val="00113CB7"/>
    <w:rsid w:val="001147BF"/>
    <w:rsid w:val="00116036"/>
    <w:rsid w:val="001165D5"/>
    <w:rsid w:val="001179D9"/>
    <w:rsid w:val="001218EE"/>
    <w:rsid w:val="001219E1"/>
    <w:rsid w:val="0012586F"/>
    <w:rsid w:val="00126684"/>
    <w:rsid w:val="00127A2B"/>
    <w:rsid w:val="0013526A"/>
    <w:rsid w:val="00140200"/>
    <w:rsid w:val="001430E6"/>
    <w:rsid w:val="00144406"/>
    <w:rsid w:val="00144495"/>
    <w:rsid w:val="001446B9"/>
    <w:rsid w:val="001456EB"/>
    <w:rsid w:val="0014776E"/>
    <w:rsid w:val="00153CA2"/>
    <w:rsid w:val="0015408C"/>
    <w:rsid w:val="00154975"/>
    <w:rsid w:val="00155C86"/>
    <w:rsid w:val="001608D9"/>
    <w:rsid w:val="00165B84"/>
    <w:rsid w:val="00166D1C"/>
    <w:rsid w:val="001709DC"/>
    <w:rsid w:val="00172EB1"/>
    <w:rsid w:val="00181BDF"/>
    <w:rsid w:val="00182598"/>
    <w:rsid w:val="00183AC3"/>
    <w:rsid w:val="00183D4B"/>
    <w:rsid w:val="00185511"/>
    <w:rsid w:val="00187E48"/>
    <w:rsid w:val="00190BD6"/>
    <w:rsid w:val="00191270"/>
    <w:rsid w:val="0019129B"/>
    <w:rsid w:val="00191DFC"/>
    <w:rsid w:val="001948AD"/>
    <w:rsid w:val="001948F9"/>
    <w:rsid w:val="001970F7"/>
    <w:rsid w:val="00197FFE"/>
    <w:rsid w:val="001A120A"/>
    <w:rsid w:val="001A6A00"/>
    <w:rsid w:val="001B5308"/>
    <w:rsid w:val="001C2E44"/>
    <w:rsid w:val="001C5008"/>
    <w:rsid w:val="001C7173"/>
    <w:rsid w:val="001C7881"/>
    <w:rsid w:val="001D2560"/>
    <w:rsid w:val="001D402E"/>
    <w:rsid w:val="001D4A10"/>
    <w:rsid w:val="001E4F84"/>
    <w:rsid w:val="001E567C"/>
    <w:rsid w:val="001E7AC9"/>
    <w:rsid w:val="001F0016"/>
    <w:rsid w:val="001F2546"/>
    <w:rsid w:val="001F47F7"/>
    <w:rsid w:val="002004F3"/>
    <w:rsid w:val="00202FFA"/>
    <w:rsid w:val="002100F4"/>
    <w:rsid w:val="00211DE0"/>
    <w:rsid w:val="00212D21"/>
    <w:rsid w:val="00216307"/>
    <w:rsid w:val="00217791"/>
    <w:rsid w:val="0022027A"/>
    <w:rsid w:val="0022153A"/>
    <w:rsid w:val="00222187"/>
    <w:rsid w:val="00223D5F"/>
    <w:rsid w:val="00232F3A"/>
    <w:rsid w:val="00237EF7"/>
    <w:rsid w:val="00240CB3"/>
    <w:rsid w:val="0024409D"/>
    <w:rsid w:val="002474E7"/>
    <w:rsid w:val="0025533D"/>
    <w:rsid w:val="00262B51"/>
    <w:rsid w:val="00271EFC"/>
    <w:rsid w:val="00272C72"/>
    <w:rsid w:val="002743F0"/>
    <w:rsid w:val="0028661E"/>
    <w:rsid w:val="00286B74"/>
    <w:rsid w:val="002878A0"/>
    <w:rsid w:val="00291E1D"/>
    <w:rsid w:val="00291E35"/>
    <w:rsid w:val="00291FF9"/>
    <w:rsid w:val="0029400F"/>
    <w:rsid w:val="00294C9A"/>
    <w:rsid w:val="00297A20"/>
    <w:rsid w:val="002A0D50"/>
    <w:rsid w:val="002A1B71"/>
    <w:rsid w:val="002A4F6B"/>
    <w:rsid w:val="002B2B8D"/>
    <w:rsid w:val="002B3CC6"/>
    <w:rsid w:val="002B6132"/>
    <w:rsid w:val="002B6AE8"/>
    <w:rsid w:val="002C10B8"/>
    <w:rsid w:val="002C12B9"/>
    <w:rsid w:val="002C27F0"/>
    <w:rsid w:val="002C2B29"/>
    <w:rsid w:val="002C5D2F"/>
    <w:rsid w:val="002C792E"/>
    <w:rsid w:val="002D1DF5"/>
    <w:rsid w:val="002D23C6"/>
    <w:rsid w:val="002D2EE5"/>
    <w:rsid w:val="002D54DC"/>
    <w:rsid w:val="002E47BE"/>
    <w:rsid w:val="002E7137"/>
    <w:rsid w:val="002F03E3"/>
    <w:rsid w:val="002F0BBF"/>
    <w:rsid w:val="002F0FE9"/>
    <w:rsid w:val="002F1EE6"/>
    <w:rsid w:val="002F6BDB"/>
    <w:rsid w:val="002F7C53"/>
    <w:rsid w:val="0030243A"/>
    <w:rsid w:val="003032B4"/>
    <w:rsid w:val="00304401"/>
    <w:rsid w:val="0031043E"/>
    <w:rsid w:val="0031093A"/>
    <w:rsid w:val="00310A2A"/>
    <w:rsid w:val="00310CA8"/>
    <w:rsid w:val="003138F7"/>
    <w:rsid w:val="003154CB"/>
    <w:rsid w:val="003179DB"/>
    <w:rsid w:val="00317A12"/>
    <w:rsid w:val="00322267"/>
    <w:rsid w:val="00322787"/>
    <w:rsid w:val="00322791"/>
    <w:rsid w:val="00325316"/>
    <w:rsid w:val="00327054"/>
    <w:rsid w:val="00331FCF"/>
    <w:rsid w:val="0033319F"/>
    <w:rsid w:val="00334ED3"/>
    <w:rsid w:val="00335F2C"/>
    <w:rsid w:val="0034612F"/>
    <w:rsid w:val="00347039"/>
    <w:rsid w:val="00347A2D"/>
    <w:rsid w:val="00347A8F"/>
    <w:rsid w:val="00352A69"/>
    <w:rsid w:val="00354CC7"/>
    <w:rsid w:val="00356FF2"/>
    <w:rsid w:val="00360AAA"/>
    <w:rsid w:val="0037011F"/>
    <w:rsid w:val="003709EA"/>
    <w:rsid w:val="00370E3A"/>
    <w:rsid w:val="0037131E"/>
    <w:rsid w:val="0037176A"/>
    <w:rsid w:val="0037335E"/>
    <w:rsid w:val="00373FA3"/>
    <w:rsid w:val="00374299"/>
    <w:rsid w:val="0037505E"/>
    <w:rsid w:val="003754EA"/>
    <w:rsid w:val="00377125"/>
    <w:rsid w:val="00377780"/>
    <w:rsid w:val="00380EA9"/>
    <w:rsid w:val="00383F72"/>
    <w:rsid w:val="00384D2B"/>
    <w:rsid w:val="00385EF9"/>
    <w:rsid w:val="00386306"/>
    <w:rsid w:val="00386E06"/>
    <w:rsid w:val="00387D37"/>
    <w:rsid w:val="003917A4"/>
    <w:rsid w:val="00394A14"/>
    <w:rsid w:val="003A37FC"/>
    <w:rsid w:val="003A3D4D"/>
    <w:rsid w:val="003A40ED"/>
    <w:rsid w:val="003A6289"/>
    <w:rsid w:val="003A64E4"/>
    <w:rsid w:val="003A6EF0"/>
    <w:rsid w:val="003B2D8E"/>
    <w:rsid w:val="003B42C3"/>
    <w:rsid w:val="003C1194"/>
    <w:rsid w:val="003C3CF8"/>
    <w:rsid w:val="003C50BF"/>
    <w:rsid w:val="003C6EF7"/>
    <w:rsid w:val="003D3D62"/>
    <w:rsid w:val="003D5365"/>
    <w:rsid w:val="003D5521"/>
    <w:rsid w:val="003D6F4E"/>
    <w:rsid w:val="003E1032"/>
    <w:rsid w:val="003E1064"/>
    <w:rsid w:val="003E5982"/>
    <w:rsid w:val="003E7807"/>
    <w:rsid w:val="003E7CD9"/>
    <w:rsid w:val="003F0F9F"/>
    <w:rsid w:val="003F28BC"/>
    <w:rsid w:val="003F2C71"/>
    <w:rsid w:val="003F2CA0"/>
    <w:rsid w:val="003F4021"/>
    <w:rsid w:val="003F43D3"/>
    <w:rsid w:val="003F4A42"/>
    <w:rsid w:val="003F5049"/>
    <w:rsid w:val="003F6DB5"/>
    <w:rsid w:val="004014AB"/>
    <w:rsid w:val="00401E4C"/>
    <w:rsid w:val="0040546F"/>
    <w:rsid w:val="004077C7"/>
    <w:rsid w:val="004102E6"/>
    <w:rsid w:val="00410FB4"/>
    <w:rsid w:val="00414C2F"/>
    <w:rsid w:val="0042023C"/>
    <w:rsid w:val="00425279"/>
    <w:rsid w:val="00425817"/>
    <w:rsid w:val="0043059A"/>
    <w:rsid w:val="00430625"/>
    <w:rsid w:val="004337D8"/>
    <w:rsid w:val="004363F0"/>
    <w:rsid w:val="00442774"/>
    <w:rsid w:val="004435BE"/>
    <w:rsid w:val="0045708A"/>
    <w:rsid w:val="00462397"/>
    <w:rsid w:val="004708A3"/>
    <w:rsid w:val="00470DA1"/>
    <w:rsid w:val="00475D54"/>
    <w:rsid w:val="00476F77"/>
    <w:rsid w:val="00481EF3"/>
    <w:rsid w:val="00482B13"/>
    <w:rsid w:val="00484FE6"/>
    <w:rsid w:val="004878B6"/>
    <w:rsid w:val="0049076F"/>
    <w:rsid w:val="00491B8C"/>
    <w:rsid w:val="00492182"/>
    <w:rsid w:val="00493DC1"/>
    <w:rsid w:val="00496DFE"/>
    <w:rsid w:val="004A5F78"/>
    <w:rsid w:val="004A62BE"/>
    <w:rsid w:val="004B34AE"/>
    <w:rsid w:val="004B36EE"/>
    <w:rsid w:val="004B6257"/>
    <w:rsid w:val="004B676F"/>
    <w:rsid w:val="004C1755"/>
    <w:rsid w:val="004C2AA9"/>
    <w:rsid w:val="004C3CFA"/>
    <w:rsid w:val="004C4E5B"/>
    <w:rsid w:val="004D0809"/>
    <w:rsid w:val="004D3D7D"/>
    <w:rsid w:val="004D4572"/>
    <w:rsid w:val="004D5C5E"/>
    <w:rsid w:val="004D670C"/>
    <w:rsid w:val="004F2A57"/>
    <w:rsid w:val="004F2B16"/>
    <w:rsid w:val="004F6B35"/>
    <w:rsid w:val="004F6B43"/>
    <w:rsid w:val="004F7D6E"/>
    <w:rsid w:val="00502A3C"/>
    <w:rsid w:val="0050302E"/>
    <w:rsid w:val="005143A7"/>
    <w:rsid w:val="00521807"/>
    <w:rsid w:val="00524AFF"/>
    <w:rsid w:val="00525910"/>
    <w:rsid w:val="00544ADF"/>
    <w:rsid w:val="005462C2"/>
    <w:rsid w:val="005466B1"/>
    <w:rsid w:val="00546D76"/>
    <w:rsid w:val="00547096"/>
    <w:rsid w:val="005471D7"/>
    <w:rsid w:val="005602B3"/>
    <w:rsid w:val="00561E55"/>
    <w:rsid w:val="00563A1F"/>
    <w:rsid w:val="00566B09"/>
    <w:rsid w:val="00567304"/>
    <w:rsid w:val="00573CC5"/>
    <w:rsid w:val="00577708"/>
    <w:rsid w:val="0058278D"/>
    <w:rsid w:val="005847DF"/>
    <w:rsid w:val="00585973"/>
    <w:rsid w:val="00586C96"/>
    <w:rsid w:val="005903AD"/>
    <w:rsid w:val="00591BF7"/>
    <w:rsid w:val="005968D3"/>
    <w:rsid w:val="00596F9E"/>
    <w:rsid w:val="005A45B3"/>
    <w:rsid w:val="005A52EC"/>
    <w:rsid w:val="005A544E"/>
    <w:rsid w:val="005A54E6"/>
    <w:rsid w:val="005B0921"/>
    <w:rsid w:val="005B3876"/>
    <w:rsid w:val="005B5561"/>
    <w:rsid w:val="005B55F7"/>
    <w:rsid w:val="005B72B5"/>
    <w:rsid w:val="005C20B7"/>
    <w:rsid w:val="005C46E8"/>
    <w:rsid w:val="005C4C58"/>
    <w:rsid w:val="005D098F"/>
    <w:rsid w:val="005D2DFD"/>
    <w:rsid w:val="005D32C8"/>
    <w:rsid w:val="005D453A"/>
    <w:rsid w:val="005E004A"/>
    <w:rsid w:val="005E02CC"/>
    <w:rsid w:val="005E322D"/>
    <w:rsid w:val="005E5E6A"/>
    <w:rsid w:val="005F1444"/>
    <w:rsid w:val="005F1DD2"/>
    <w:rsid w:val="005F37B8"/>
    <w:rsid w:val="005F73F4"/>
    <w:rsid w:val="005F74B5"/>
    <w:rsid w:val="005F760B"/>
    <w:rsid w:val="00602AB4"/>
    <w:rsid w:val="00612053"/>
    <w:rsid w:val="006157D3"/>
    <w:rsid w:val="00616B37"/>
    <w:rsid w:val="006177AB"/>
    <w:rsid w:val="00621B4B"/>
    <w:rsid w:val="00622AE4"/>
    <w:rsid w:val="00624C94"/>
    <w:rsid w:val="00626C92"/>
    <w:rsid w:val="00627887"/>
    <w:rsid w:val="00632607"/>
    <w:rsid w:val="0063328C"/>
    <w:rsid w:val="00634ED8"/>
    <w:rsid w:val="00636495"/>
    <w:rsid w:val="006453D6"/>
    <w:rsid w:val="00646A1F"/>
    <w:rsid w:val="00646E55"/>
    <w:rsid w:val="00647150"/>
    <w:rsid w:val="006522B7"/>
    <w:rsid w:val="00652712"/>
    <w:rsid w:val="006540C3"/>
    <w:rsid w:val="006558CB"/>
    <w:rsid w:val="00657A50"/>
    <w:rsid w:val="006623F4"/>
    <w:rsid w:val="00662842"/>
    <w:rsid w:val="00672A33"/>
    <w:rsid w:val="00672DB9"/>
    <w:rsid w:val="006738B2"/>
    <w:rsid w:val="00676F90"/>
    <w:rsid w:val="00680B34"/>
    <w:rsid w:val="00684F9C"/>
    <w:rsid w:val="00685DC5"/>
    <w:rsid w:val="00690430"/>
    <w:rsid w:val="00691A96"/>
    <w:rsid w:val="0069271A"/>
    <w:rsid w:val="006A0D1A"/>
    <w:rsid w:val="006A1772"/>
    <w:rsid w:val="006A36E3"/>
    <w:rsid w:val="006A6F71"/>
    <w:rsid w:val="006B4001"/>
    <w:rsid w:val="006B4FC6"/>
    <w:rsid w:val="006C4394"/>
    <w:rsid w:val="006C5475"/>
    <w:rsid w:val="006C5D0C"/>
    <w:rsid w:val="006C7AF6"/>
    <w:rsid w:val="006D32EF"/>
    <w:rsid w:val="006D44D3"/>
    <w:rsid w:val="006D5BA1"/>
    <w:rsid w:val="006D7C17"/>
    <w:rsid w:val="006D7E3B"/>
    <w:rsid w:val="006E24BE"/>
    <w:rsid w:val="006E3BEC"/>
    <w:rsid w:val="006F0FCC"/>
    <w:rsid w:val="006F1CB0"/>
    <w:rsid w:val="006F3120"/>
    <w:rsid w:val="006F3BE7"/>
    <w:rsid w:val="006F41DB"/>
    <w:rsid w:val="006F4554"/>
    <w:rsid w:val="007014B0"/>
    <w:rsid w:val="00706C7F"/>
    <w:rsid w:val="00707CDA"/>
    <w:rsid w:val="00712110"/>
    <w:rsid w:val="00712E48"/>
    <w:rsid w:val="007155D5"/>
    <w:rsid w:val="00735E96"/>
    <w:rsid w:val="00736998"/>
    <w:rsid w:val="00737DDB"/>
    <w:rsid w:val="0074158F"/>
    <w:rsid w:val="00743F7D"/>
    <w:rsid w:val="00751144"/>
    <w:rsid w:val="0075212E"/>
    <w:rsid w:val="00755E63"/>
    <w:rsid w:val="00757365"/>
    <w:rsid w:val="00760ED0"/>
    <w:rsid w:val="007614A1"/>
    <w:rsid w:val="007622BF"/>
    <w:rsid w:val="0077098F"/>
    <w:rsid w:val="00771F21"/>
    <w:rsid w:val="0077241E"/>
    <w:rsid w:val="007747FD"/>
    <w:rsid w:val="00774F77"/>
    <w:rsid w:val="00780C5D"/>
    <w:rsid w:val="007857F6"/>
    <w:rsid w:val="00790EDF"/>
    <w:rsid w:val="007A2AB2"/>
    <w:rsid w:val="007A2B58"/>
    <w:rsid w:val="007A301A"/>
    <w:rsid w:val="007B7DB0"/>
    <w:rsid w:val="007C50DE"/>
    <w:rsid w:val="007D176A"/>
    <w:rsid w:val="007D54CF"/>
    <w:rsid w:val="007E0A7B"/>
    <w:rsid w:val="007E165F"/>
    <w:rsid w:val="007E5E82"/>
    <w:rsid w:val="007F043F"/>
    <w:rsid w:val="007F173A"/>
    <w:rsid w:val="007F27D8"/>
    <w:rsid w:val="007F3A4B"/>
    <w:rsid w:val="007F4144"/>
    <w:rsid w:val="007F6C66"/>
    <w:rsid w:val="007F74F1"/>
    <w:rsid w:val="007F7AAB"/>
    <w:rsid w:val="00801AFC"/>
    <w:rsid w:val="00803F2F"/>
    <w:rsid w:val="00804CD4"/>
    <w:rsid w:val="0080637C"/>
    <w:rsid w:val="008100F6"/>
    <w:rsid w:val="0081450D"/>
    <w:rsid w:val="00823EDA"/>
    <w:rsid w:val="00824567"/>
    <w:rsid w:val="00825247"/>
    <w:rsid w:val="00825D49"/>
    <w:rsid w:val="00825D52"/>
    <w:rsid w:val="0083024A"/>
    <w:rsid w:val="008342B5"/>
    <w:rsid w:val="00843857"/>
    <w:rsid w:val="00847B8E"/>
    <w:rsid w:val="00847CAB"/>
    <w:rsid w:val="00852D37"/>
    <w:rsid w:val="00860795"/>
    <w:rsid w:val="00862B94"/>
    <w:rsid w:val="00862C82"/>
    <w:rsid w:val="008668AC"/>
    <w:rsid w:val="008708C2"/>
    <w:rsid w:val="008729B5"/>
    <w:rsid w:val="00877ED8"/>
    <w:rsid w:val="008804F9"/>
    <w:rsid w:val="00886B6E"/>
    <w:rsid w:val="00890D05"/>
    <w:rsid w:val="0089375D"/>
    <w:rsid w:val="00893B60"/>
    <w:rsid w:val="008953AF"/>
    <w:rsid w:val="008963C8"/>
    <w:rsid w:val="008979A9"/>
    <w:rsid w:val="008A020E"/>
    <w:rsid w:val="008A1562"/>
    <w:rsid w:val="008A3BFE"/>
    <w:rsid w:val="008B014A"/>
    <w:rsid w:val="008B2E96"/>
    <w:rsid w:val="008C0EFC"/>
    <w:rsid w:val="008C4893"/>
    <w:rsid w:val="008C7110"/>
    <w:rsid w:val="008D1551"/>
    <w:rsid w:val="008D20F5"/>
    <w:rsid w:val="008D5374"/>
    <w:rsid w:val="008E1A2B"/>
    <w:rsid w:val="008E2E61"/>
    <w:rsid w:val="008E2FD7"/>
    <w:rsid w:val="008E312A"/>
    <w:rsid w:val="008E4922"/>
    <w:rsid w:val="008E513A"/>
    <w:rsid w:val="008F0BE3"/>
    <w:rsid w:val="008F703A"/>
    <w:rsid w:val="00901A3B"/>
    <w:rsid w:val="00902258"/>
    <w:rsid w:val="00905111"/>
    <w:rsid w:val="00905F60"/>
    <w:rsid w:val="00906EA4"/>
    <w:rsid w:val="0091261E"/>
    <w:rsid w:val="0091427F"/>
    <w:rsid w:val="00917927"/>
    <w:rsid w:val="009217C4"/>
    <w:rsid w:val="00922B6E"/>
    <w:rsid w:val="00922D5C"/>
    <w:rsid w:val="00925D23"/>
    <w:rsid w:val="00926F9B"/>
    <w:rsid w:val="009273AB"/>
    <w:rsid w:val="00931D5E"/>
    <w:rsid w:val="009359EE"/>
    <w:rsid w:val="00936105"/>
    <w:rsid w:val="0093744A"/>
    <w:rsid w:val="00944506"/>
    <w:rsid w:val="009527BF"/>
    <w:rsid w:val="009550D1"/>
    <w:rsid w:val="00961A03"/>
    <w:rsid w:val="0096770D"/>
    <w:rsid w:val="00967BDE"/>
    <w:rsid w:val="00976681"/>
    <w:rsid w:val="00983A5D"/>
    <w:rsid w:val="00987F1A"/>
    <w:rsid w:val="00991FA6"/>
    <w:rsid w:val="00993DEC"/>
    <w:rsid w:val="009978A5"/>
    <w:rsid w:val="009A100E"/>
    <w:rsid w:val="009A1C48"/>
    <w:rsid w:val="009A2826"/>
    <w:rsid w:val="009A32A8"/>
    <w:rsid w:val="009A58D8"/>
    <w:rsid w:val="009A72A2"/>
    <w:rsid w:val="009B19B1"/>
    <w:rsid w:val="009C055C"/>
    <w:rsid w:val="009C2713"/>
    <w:rsid w:val="009C28D8"/>
    <w:rsid w:val="009C2BCE"/>
    <w:rsid w:val="009C658B"/>
    <w:rsid w:val="009C6E78"/>
    <w:rsid w:val="009D2E0E"/>
    <w:rsid w:val="009D48B1"/>
    <w:rsid w:val="009D7AC6"/>
    <w:rsid w:val="009E2D9C"/>
    <w:rsid w:val="009F0776"/>
    <w:rsid w:val="009F1330"/>
    <w:rsid w:val="009F3659"/>
    <w:rsid w:val="009F3C70"/>
    <w:rsid w:val="009F467A"/>
    <w:rsid w:val="009F4FD1"/>
    <w:rsid w:val="00A01105"/>
    <w:rsid w:val="00A049F4"/>
    <w:rsid w:val="00A11381"/>
    <w:rsid w:val="00A12A14"/>
    <w:rsid w:val="00A22307"/>
    <w:rsid w:val="00A23C68"/>
    <w:rsid w:val="00A2404C"/>
    <w:rsid w:val="00A249A3"/>
    <w:rsid w:val="00A249D0"/>
    <w:rsid w:val="00A24A21"/>
    <w:rsid w:val="00A25D3F"/>
    <w:rsid w:val="00A2626B"/>
    <w:rsid w:val="00A26D24"/>
    <w:rsid w:val="00A26F0A"/>
    <w:rsid w:val="00A31630"/>
    <w:rsid w:val="00A316EE"/>
    <w:rsid w:val="00A36445"/>
    <w:rsid w:val="00A37EC4"/>
    <w:rsid w:val="00A4082C"/>
    <w:rsid w:val="00A45241"/>
    <w:rsid w:val="00A551C4"/>
    <w:rsid w:val="00A5622B"/>
    <w:rsid w:val="00A5728B"/>
    <w:rsid w:val="00A574E1"/>
    <w:rsid w:val="00A60204"/>
    <w:rsid w:val="00A61BFD"/>
    <w:rsid w:val="00A722DB"/>
    <w:rsid w:val="00A72463"/>
    <w:rsid w:val="00A72ED8"/>
    <w:rsid w:val="00A72EDA"/>
    <w:rsid w:val="00A74D9A"/>
    <w:rsid w:val="00A76AED"/>
    <w:rsid w:val="00A80059"/>
    <w:rsid w:val="00A83EAD"/>
    <w:rsid w:val="00A850D0"/>
    <w:rsid w:val="00A86E55"/>
    <w:rsid w:val="00A91B29"/>
    <w:rsid w:val="00A9293A"/>
    <w:rsid w:val="00A92F4C"/>
    <w:rsid w:val="00A93D0A"/>
    <w:rsid w:val="00A9732D"/>
    <w:rsid w:val="00AA118D"/>
    <w:rsid w:val="00AA3C98"/>
    <w:rsid w:val="00AA59BC"/>
    <w:rsid w:val="00AB215C"/>
    <w:rsid w:val="00AB26EE"/>
    <w:rsid w:val="00AB2930"/>
    <w:rsid w:val="00AB5087"/>
    <w:rsid w:val="00AB6DC6"/>
    <w:rsid w:val="00AC0001"/>
    <w:rsid w:val="00AC0809"/>
    <w:rsid w:val="00AC58D4"/>
    <w:rsid w:val="00AD1D1F"/>
    <w:rsid w:val="00AD6AE3"/>
    <w:rsid w:val="00AE0D6E"/>
    <w:rsid w:val="00AE50AA"/>
    <w:rsid w:val="00AE58D0"/>
    <w:rsid w:val="00AE7091"/>
    <w:rsid w:val="00AE767E"/>
    <w:rsid w:val="00AE7CDD"/>
    <w:rsid w:val="00AF0276"/>
    <w:rsid w:val="00AF6041"/>
    <w:rsid w:val="00AF613B"/>
    <w:rsid w:val="00AF6E64"/>
    <w:rsid w:val="00B04ED6"/>
    <w:rsid w:val="00B0562A"/>
    <w:rsid w:val="00B101FD"/>
    <w:rsid w:val="00B105D2"/>
    <w:rsid w:val="00B14D4C"/>
    <w:rsid w:val="00B15C44"/>
    <w:rsid w:val="00B36D98"/>
    <w:rsid w:val="00B4068B"/>
    <w:rsid w:val="00B41346"/>
    <w:rsid w:val="00B4734D"/>
    <w:rsid w:val="00B5707B"/>
    <w:rsid w:val="00B61CC1"/>
    <w:rsid w:val="00B737D5"/>
    <w:rsid w:val="00B739D8"/>
    <w:rsid w:val="00B73A06"/>
    <w:rsid w:val="00B73FAD"/>
    <w:rsid w:val="00B74F70"/>
    <w:rsid w:val="00B7621B"/>
    <w:rsid w:val="00B765B1"/>
    <w:rsid w:val="00B804B5"/>
    <w:rsid w:val="00B80A7F"/>
    <w:rsid w:val="00B90192"/>
    <w:rsid w:val="00B9157F"/>
    <w:rsid w:val="00B93BAC"/>
    <w:rsid w:val="00B956F0"/>
    <w:rsid w:val="00B97A8C"/>
    <w:rsid w:val="00BA6CDA"/>
    <w:rsid w:val="00BA7637"/>
    <w:rsid w:val="00BA7D9B"/>
    <w:rsid w:val="00BB001F"/>
    <w:rsid w:val="00BB1068"/>
    <w:rsid w:val="00BB186B"/>
    <w:rsid w:val="00BB3C1A"/>
    <w:rsid w:val="00BB4E80"/>
    <w:rsid w:val="00BC0867"/>
    <w:rsid w:val="00BC1F83"/>
    <w:rsid w:val="00BC2291"/>
    <w:rsid w:val="00BC4032"/>
    <w:rsid w:val="00BC4514"/>
    <w:rsid w:val="00BC5CF2"/>
    <w:rsid w:val="00BD1151"/>
    <w:rsid w:val="00BD1E6D"/>
    <w:rsid w:val="00BD3ABA"/>
    <w:rsid w:val="00BD5E3A"/>
    <w:rsid w:val="00BE4C43"/>
    <w:rsid w:val="00BE571F"/>
    <w:rsid w:val="00BE5FC4"/>
    <w:rsid w:val="00BE7900"/>
    <w:rsid w:val="00BF33B7"/>
    <w:rsid w:val="00BF3A9C"/>
    <w:rsid w:val="00C03130"/>
    <w:rsid w:val="00C04B3B"/>
    <w:rsid w:val="00C07B11"/>
    <w:rsid w:val="00C159ED"/>
    <w:rsid w:val="00C23CBE"/>
    <w:rsid w:val="00C25AB5"/>
    <w:rsid w:val="00C3732B"/>
    <w:rsid w:val="00C40619"/>
    <w:rsid w:val="00C4207F"/>
    <w:rsid w:val="00C46145"/>
    <w:rsid w:val="00C46DAD"/>
    <w:rsid w:val="00C540C2"/>
    <w:rsid w:val="00C57B9A"/>
    <w:rsid w:val="00C718DB"/>
    <w:rsid w:val="00C72E6E"/>
    <w:rsid w:val="00C80D24"/>
    <w:rsid w:val="00C826B0"/>
    <w:rsid w:val="00C85D9F"/>
    <w:rsid w:val="00C85E1D"/>
    <w:rsid w:val="00C8711F"/>
    <w:rsid w:val="00C90703"/>
    <w:rsid w:val="00C922F7"/>
    <w:rsid w:val="00C9355F"/>
    <w:rsid w:val="00C93E1A"/>
    <w:rsid w:val="00C97736"/>
    <w:rsid w:val="00CA4ED9"/>
    <w:rsid w:val="00CA5995"/>
    <w:rsid w:val="00CA770B"/>
    <w:rsid w:val="00CB1B3E"/>
    <w:rsid w:val="00CB7DA8"/>
    <w:rsid w:val="00CC3E18"/>
    <w:rsid w:val="00CD31DF"/>
    <w:rsid w:val="00CE733B"/>
    <w:rsid w:val="00CE7843"/>
    <w:rsid w:val="00CF04E8"/>
    <w:rsid w:val="00CF3231"/>
    <w:rsid w:val="00CF5203"/>
    <w:rsid w:val="00CF7175"/>
    <w:rsid w:val="00D00BA8"/>
    <w:rsid w:val="00D07505"/>
    <w:rsid w:val="00D0780C"/>
    <w:rsid w:val="00D07F20"/>
    <w:rsid w:val="00D13737"/>
    <w:rsid w:val="00D14C13"/>
    <w:rsid w:val="00D16ACB"/>
    <w:rsid w:val="00D214FC"/>
    <w:rsid w:val="00D240E9"/>
    <w:rsid w:val="00D25B7E"/>
    <w:rsid w:val="00D301F8"/>
    <w:rsid w:val="00D31DA4"/>
    <w:rsid w:val="00D37C57"/>
    <w:rsid w:val="00D40ACC"/>
    <w:rsid w:val="00D418C4"/>
    <w:rsid w:val="00D431BC"/>
    <w:rsid w:val="00D44DC9"/>
    <w:rsid w:val="00D543F2"/>
    <w:rsid w:val="00D554F8"/>
    <w:rsid w:val="00D61AFE"/>
    <w:rsid w:val="00D63349"/>
    <w:rsid w:val="00D63CB6"/>
    <w:rsid w:val="00D640EE"/>
    <w:rsid w:val="00D64B41"/>
    <w:rsid w:val="00D67577"/>
    <w:rsid w:val="00D6783F"/>
    <w:rsid w:val="00D72AAD"/>
    <w:rsid w:val="00D74178"/>
    <w:rsid w:val="00D823BA"/>
    <w:rsid w:val="00D829B2"/>
    <w:rsid w:val="00D83689"/>
    <w:rsid w:val="00D949E3"/>
    <w:rsid w:val="00D96043"/>
    <w:rsid w:val="00D9670F"/>
    <w:rsid w:val="00D96F96"/>
    <w:rsid w:val="00DA16B3"/>
    <w:rsid w:val="00DA5197"/>
    <w:rsid w:val="00DA543C"/>
    <w:rsid w:val="00DA740C"/>
    <w:rsid w:val="00DB1A34"/>
    <w:rsid w:val="00DB4332"/>
    <w:rsid w:val="00DB6E3F"/>
    <w:rsid w:val="00DC5DC2"/>
    <w:rsid w:val="00DD04DA"/>
    <w:rsid w:val="00DD0F63"/>
    <w:rsid w:val="00DD1DEC"/>
    <w:rsid w:val="00DD41CD"/>
    <w:rsid w:val="00DD46FB"/>
    <w:rsid w:val="00DD63D8"/>
    <w:rsid w:val="00DE031E"/>
    <w:rsid w:val="00DE0E63"/>
    <w:rsid w:val="00DE1EE0"/>
    <w:rsid w:val="00DE3192"/>
    <w:rsid w:val="00DF156A"/>
    <w:rsid w:val="00DF55F6"/>
    <w:rsid w:val="00E0035B"/>
    <w:rsid w:val="00E1073C"/>
    <w:rsid w:val="00E151D1"/>
    <w:rsid w:val="00E177AD"/>
    <w:rsid w:val="00E2084C"/>
    <w:rsid w:val="00E232ED"/>
    <w:rsid w:val="00E253F9"/>
    <w:rsid w:val="00E27A7F"/>
    <w:rsid w:val="00E30158"/>
    <w:rsid w:val="00E3042D"/>
    <w:rsid w:val="00E30DFB"/>
    <w:rsid w:val="00E325F4"/>
    <w:rsid w:val="00E45EDE"/>
    <w:rsid w:val="00E4730A"/>
    <w:rsid w:val="00E5053D"/>
    <w:rsid w:val="00E50C89"/>
    <w:rsid w:val="00E550CC"/>
    <w:rsid w:val="00E61EC0"/>
    <w:rsid w:val="00E62DA9"/>
    <w:rsid w:val="00E671C9"/>
    <w:rsid w:val="00E67B17"/>
    <w:rsid w:val="00E76D44"/>
    <w:rsid w:val="00E8073E"/>
    <w:rsid w:val="00E83117"/>
    <w:rsid w:val="00E844F4"/>
    <w:rsid w:val="00E87C4A"/>
    <w:rsid w:val="00E90444"/>
    <w:rsid w:val="00EA1662"/>
    <w:rsid w:val="00EA3394"/>
    <w:rsid w:val="00EA672E"/>
    <w:rsid w:val="00EB0CDB"/>
    <w:rsid w:val="00EB4EBF"/>
    <w:rsid w:val="00EB53D6"/>
    <w:rsid w:val="00EB554D"/>
    <w:rsid w:val="00EB5CF6"/>
    <w:rsid w:val="00EB663E"/>
    <w:rsid w:val="00EB68DC"/>
    <w:rsid w:val="00EB6AB5"/>
    <w:rsid w:val="00EC3369"/>
    <w:rsid w:val="00EC481F"/>
    <w:rsid w:val="00EC69F0"/>
    <w:rsid w:val="00EC6AE6"/>
    <w:rsid w:val="00ED1290"/>
    <w:rsid w:val="00ED2E0E"/>
    <w:rsid w:val="00ED2FEE"/>
    <w:rsid w:val="00ED69E0"/>
    <w:rsid w:val="00EE0247"/>
    <w:rsid w:val="00EE08AD"/>
    <w:rsid w:val="00EE1750"/>
    <w:rsid w:val="00EE294B"/>
    <w:rsid w:val="00EE3D96"/>
    <w:rsid w:val="00EF4755"/>
    <w:rsid w:val="00EF4A4C"/>
    <w:rsid w:val="00F00EA8"/>
    <w:rsid w:val="00F019B8"/>
    <w:rsid w:val="00F040AB"/>
    <w:rsid w:val="00F059A1"/>
    <w:rsid w:val="00F05EAF"/>
    <w:rsid w:val="00F0719C"/>
    <w:rsid w:val="00F07D04"/>
    <w:rsid w:val="00F07D6C"/>
    <w:rsid w:val="00F11C96"/>
    <w:rsid w:val="00F138A2"/>
    <w:rsid w:val="00F13A24"/>
    <w:rsid w:val="00F14A59"/>
    <w:rsid w:val="00F15638"/>
    <w:rsid w:val="00F16B85"/>
    <w:rsid w:val="00F254F2"/>
    <w:rsid w:val="00F3221B"/>
    <w:rsid w:val="00F348BA"/>
    <w:rsid w:val="00F35CC1"/>
    <w:rsid w:val="00F3643F"/>
    <w:rsid w:val="00F405D3"/>
    <w:rsid w:val="00F40B1C"/>
    <w:rsid w:val="00F43F80"/>
    <w:rsid w:val="00F4607B"/>
    <w:rsid w:val="00F46CC2"/>
    <w:rsid w:val="00F53576"/>
    <w:rsid w:val="00F53893"/>
    <w:rsid w:val="00F5437A"/>
    <w:rsid w:val="00F557F8"/>
    <w:rsid w:val="00F602C3"/>
    <w:rsid w:val="00F60793"/>
    <w:rsid w:val="00F61243"/>
    <w:rsid w:val="00F61B07"/>
    <w:rsid w:val="00F630FE"/>
    <w:rsid w:val="00F70BFC"/>
    <w:rsid w:val="00F72429"/>
    <w:rsid w:val="00F74A2E"/>
    <w:rsid w:val="00F750F5"/>
    <w:rsid w:val="00F7640E"/>
    <w:rsid w:val="00F76799"/>
    <w:rsid w:val="00F82B65"/>
    <w:rsid w:val="00F92B6A"/>
    <w:rsid w:val="00F942BD"/>
    <w:rsid w:val="00F94C0C"/>
    <w:rsid w:val="00F976EE"/>
    <w:rsid w:val="00F978C9"/>
    <w:rsid w:val="00FB0480"/>
    <w:rsid w:val="00FB4766"/>
    <w:rsid w:val="00FB4D3F"/>
    <w:rsid w:val="00FB762C"/>
    <w:rsid w:val="00FC0CEB"/>
    <w:rsid w:val="00FC0DDF"/>
    <w:rsid w:val="00FC1510"/>
    <w:rsid w:val="00FC527A"/>
    <w:rsid w:val="00FD3CD1"/>
    <w:rsid w:val="00FD47DD"/>
    <w:rsid w:val="00FD4A14"/>
    <w:rsid w:val="00FD6155"/>
    <w:rsid w:val="00FD7BB1"/>
    <w:rsid w:val="00FE2AFF"/>
    <w:rsid w:val="00FE2CCE"/>
    <w:rsid w:val="00FE6A53"/>
    <w:rsid w:val="00FF72C0"/>
    <w:rsid w:val="00FF7A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5D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4B"/>
    <w:pPr>
      <w:spacing w:after="0" w:line="240" w:lineRule="auto"/>
    </w:pPr>
    <w:rPr>
      <w:rFonts w:eastAsia="Times New Roman" w:cs="Times New Roman"/>
      <w:szCs w:val="24"/>
      <w:lang w:val="lv-LV" w:eastAsia="ru-RU"/>
    </w:rPr>
  </w:style>
  <w:style w:type="paragraph" w:styleId="Heading3">
    <w:name w:val="heading 3"/>
    <w:basedOn w:val="Normal"/>
    <w:next w:val="Normal"/>
    <w:link w:val="Heading3Char"/>
    <w:uiPriority w:val="9"/>
    <w:semiHidden/>
    <w:unhideWhenUsed/>
    <w:qFormat/>
    <w:rsid w:val="00AB293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E312A"/>
    <w:pPr>
      <w:spacing w:after="120" w:line="480" w:lineRule="auto"/>
    </w:pPr>
    <w:rPr>
      <w:lang w:val="x-none"/>
    </w:rPr>
  </w:style>
  <w:style w:type="character" w:customStyle="1" w:styleId="BodyText2Char">
    <w:name w:val="Body Text 2 Char"/>
    <w:basedOn w:val="DefaultParagraphFont"/>
    <w:link w:val="BodyText2"/>
    <w:rsid w:val="008E312A"/>
    <w:rPr>
      <w:rFonts w:eastAsia="Times New Roman" w:cs="Times New Roman"/>
      <w:szCs w:val="24"/>
      <w:lang w:val="x-none" w:eastAsia="ru-RU"/>
    </w:rPr>
  </w:style>
  <w:style w:type="paragraph" w:customStyle="1" w:styleId="ATpamatteksts">
    <w:name w:val="AT pamatteksts"/>
    <w:basedOn w:val="BodyText2"/>
    <w:link w:val="ATpamattekstsChar"/>
    <w:qFormat/>
    <w:rsid w:val="008E312A"/>
    <w:pPr>
      <w:spacing w:after="0" w:line="276" w:lineRule="auto"/>
      <w:ind w:firstLine="567"/>
      <w:jc w:val="both"/>
    </w:pPr>
  </w:style>
  <w:style w:type="character" w:customStyle="1" w:styleId="ATpamattekstsChar">
    <w:name w:val="AT pamatteksts Char"/>
    <w:basedOn w:val="BodyText2Char"/>
    <w:link w:val="ATpamatteksts"/>
    <w:rsid w:val="008E312A"/>
    <w:rPr>
      <w:rFonts w:eastAsia="Times New Roman" w:cs="Times New Roman"/>
      <w:szCs w:val="24"/>
      <w:lang w:val="x-none" w:eastAsia="ru-RU"/>
    </w:rPr>
  </w:style>
  <w:style w:type="paragraph" w:styleId="NoSpacing">
    <w:name w:val="No Spacing"/>
    <w:uiPriority w:val="1"/>
    <w:qFormat/>
    <w:rsid w:val="008E312A"/>
    <w:pPr>
      <w:spacing w:after="0" w:line="240" w:lineRule="auto"/>
    </w:pPr>
  </w:style>
  <w:style w:type="character" w:styleId="PageNumber">
    <w:name w:val="page number"/>
    <w:basedOn w:val="DefaultParagraphFont"/>
    <w:rsid w:val="008E312A"/>
  </w:style>
  <w:style w:type="paragraph" w:styleId="Header">
    <w:name w:val="header"/>
    <w:basedOn w:val="Normal"/>
    <w:link w:val="HeaderChar"/>
    <w:uiPriority w:val="99"/>
    <w:unhideWhenUsed/>
    <w:rsid w:val="006C4394"/>
    <w:pPr>
      <w:tabs>
        <w:tab w:val="center" w:pos="4680"/>
        <w:tab w:val="right" w:pos="9360"/>
      </w:tabs>
    </w:pPr>
  </w:style>
  <w:style w:type="character" w:customStyle="1" w:styleId="HeaderChar">
    <w:name w:val="Header Char"/>
    <w:basedOn w:val="DefaultParagraphFont"/>
    <w:link w:val="Header"/>
    <w:uiPriority w:val="99"/>
    <w:rsid w:val="006C4394"/>
    <w:rPr>
      <w:rFonts w:eastAsia="Times New Roman" w:cs="Times New Roman"/>
      <w:szCs w:val="24"/>
      <w:lang w:val="lv-LV" w:eastAsia="ru-RU"/>
    </w:rPr>
  </w:style>
  <w:style w:type="paragraph" w:styleId="Footer">
    <w:name w:val="footer"/>
    <w:basedOn w:val="Normal"/>
    <w:link w:val="FooterChar"/>
    <w:uiPriority w:val="99"/>
    <w:unhideWhenUsed/>
    <w:rsid w:val="006C4394"/>
    <w:pPr>
      <w:tabs>
        <w:tab w:val="center" w:pos="4680"/>
        <w:tab w:val="right" w:pos="9360"/>
      </w:tabs>
    </w:pPr>
  </w:style>
  <w:style w:type="character" w:customStyle="1" w:styleId="FooterChar">
    <w:name w:val="Footer Char"/>
    <w:basedOn w:val="DefaultParagraphFont"/>
    <w:link w:val="Footer"/>
    <w:uiPriority w:val="99"/>
    <w:rsid w:val="006C4394"/>
    <w:rPr>
      <w:rFonts w:eastAsia="Times New Roman" w:cs="Times New Roman"/>
      <w:szCs w:val="24"/>
      <w:lang w:val="lv-LV" w:eastAsia="ru-RU"/>
    </w:rPr>
  </w:style>
  <w:style w:type="table" w:styleId="TableGrid">
    <w:name w:val="Table Grid"/>
    <w:basedOn w:val="TableNormal"/>
    <w:uiPriority w:val="39"/>
    <w:rsid w:val="00011D66"/>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locked/>
    <w:rsid w:val="007F3A4B"/>
    <w:rPr>
      <w:rFonts w:cs="Times New Roman"/>
      <w:shd w:val="clear" w:color="auto" w:fill="FFFFFF"/>
    </w:rPr>
  </w:style>
  <w:style w:type="paragraph" w:customStyle="1" w:styleId="Bodytext21">
    <w:name w:val="Body text (2)"/>
    <w:basedOn w:val="Normal"/>
    <w:link w:val="Bodytext20"/>
    <w:uiPriority w:val="99"/>
    <w:rsid w:val="007F3A4B"/>
    <w:pPr>
      <w:widowControl w:val="0"/>
      <w:shd w:val="clear" w:color="auto" w:fill="FFFFFF"/>
      <w:spacing w:after="240" w:line="274" w:lineRule="exact"/>
      <w:jc w:val="right"/>
    </w:pPr>
    <w:rPr>
      <w:rFonts w:eastAsiaTheme="minorHAnsi"/>
      <w:szCs w:val="22"/>
      <w:lang w:val="en-US" w:eastAsia="en-US"/>
    </w:rPr>
  </w:style>
  <w:style w:type="character" w:styleId="Hyperlink">
    <w:name w:val="Hyperlink"/>
    <w:basedOn w:val="DefaultParagraphFont"/>
    <w:uiPriority w:val="99"/>
    <w:unhideWhenUsed/>
    <w:rsid w:val="005B72B5"/>
    <w:rPr>
      <w:color w:val="0563C1" w:themeColor="hyperlink"/>
      <w:u w:val="single"/>
    </w:rPr>
  </w:style>
  <w:style w:type="character" w:styleId="UnresolvedMention">
    <w:name w:val="Unresolved Mention"/>
    <w:basedOn w:val="DefaultParagraphFont"/>
    <w:uiPriority w:val="99"/>
    <w:semiHidden/>
    <w:unhideWhenUsed/>
    <w:rsid w:val="005B72B5"/>
    <w:rPr>
      <w:color w:val="605E5C"/>
      <w:shd w:val="clear" w:color="auto" w:fill="E1DFDD"/>
    </w:rPr>
  </w:style>
  <w:style w:type="character" w:customStyle="1" w:styleId="ATvirsrakstsChar">
    <w:name w:val="AT virsraksts Char"/>
    <w:basedOn w:val="DefaultParagraphFont"/>
    <w:link w:val="ATvirsraksts"/>
    <w:locked/>
    <w:rsid w:val="00C826B0"/>
    <w:rPr>
      <w:rFonts w:eastAsia="Times New Roman" w:cs="Times New Roman"/>
      <w:b/>
      <w:szCs w:val="24"/>
      <w:lang w:val="lv-LV" w:eastAsia="ru-RU"/>
    </w:rPr>
  </w:style>
  <w:style w:type="paragraph" w:customStyle="1" w:styleId="ATvirsraksts">
    <w:name w:val="AT virsraksts"/>
    <w:basedOn w:val="Normal"/>
    <w:link w:val="ATvirsrakstsChar"/>
    <w:qFormat/>
    <w:rsid w:val="00C826B0"/>
    <w:pPr>
      <w:spacing w:line="276" w:lineRule="auto"/>
      <w:jc w:val="center"/>
      <w:outlineLvl w:val="0"/>
    </w:pPr>
    <w:rPr>
      <w:b/>
    </w:rPr>
  </w:style>
  <w:style w:type="paragraph" w:customStyle="1" w:styleId="Default">
    <w:name w:val="Default"/>
    <w:rsid w:val="00771F21"/>
    <w:pPr>
      <w:autoSpaceDE w:val="0"/>
      <w:autoSpaceDN w:val="0"/>
      <w:adjustRightInd w:val="0"/>
      <w:spacing w:after="0" w:line="240" w:lineRule="auto"/>
    </w:pPr>
    <w:rPr>
      <w:rFonts w:cs="Times New Roman"/>
      <w:color w:val="000000"/>
      <w:szCs w:val="24"/>
      <w:lang w:val="lv-LV"/>
    </w:rPr>
  </w:style>
  <w:style w:type="character" w:styleId="CommentReference">
    <w:name w:val="annotation reference"/>
    <w:basedOn w:val="DefaultParagraphFont"/>
    <w:uiPriority w:val="99"/>
    <w:semiHidden/>
    <w:unhideWhenUsed/>
    <w:rsid w:val="005D098F"/>
    <w:rPr>
      <w:sz w:val="16"/>
      <w:szCs w:val="16"/>
    </w:rPr>
  </w:style>
  <w:style w:type="paragraph" w:styleId="CommentText">
    <w:name w:val="annotation text"/>
    <w:basedOn w:val="Normal"/>
    <w:link w:val="CommentTextChar"/>
    <w:uiPriority w:val="99"/>
    <w:semiHidden/>
    <w:unhideWhenUsed/>
    <w:rsid w:val="005D098F"/>
    <w:rPr>
      <w:sz w:val="20"/>
      <w:szCs w:val="20"/>
    </w:rPr>
  </w:style>
  <w:style w:type="character" w:customStyle="1" w:styleId="CommentTextChar">
    <w:name w:val="Comment Text Char"/>
    <w:basedOn w:val="DefaultParagraphFont"/>
    <w:link w:val="CommentText"/>
    <w:uiPriority w:val="99"/>
    <w:semiHidden/>
    <w:rsid w:val="005D098F"/>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5D098F"/>
    <w:rPr>
      <w:b/>
      <w:bCs/>
    </w:rPr>
  </w:style>
  <w:style w:type="character" w:customStyle="1" w:styleId="CommentSubjectChar">
    <w:name w:val="Comment Subject Char"/>
    <w:basedOn w:val="CommentTextChar"/>
    <w:link w:val="CommentSubject"/>
    <w:uiPriority w:val="99"/>
    <w:semiHidden/>
    <w:rsid w:val="005D098F"/>
    <w:rPr>
      <w:rFonts w:eastAsia="Times New Roman" w:cs="Times New Roman"/>
      <w:b/>
      <w:bCs/>
      <w:sz w:val="20"/>
      <w:szCs w:val="20"/>
      <w:lang w:val="lv-LV" w:eastAsia="ru-RU"/>
    </w:rPr>
  </w:style>
  <w:style w:type="paragraph" w:customStyle="1" w:styleId="tv213">
    <w:name w:val="tv213"/>
    <w:basedOn w:val="Normal"/>
    <w:rsid w:val="0012586F"/>
    <w:pPr>
      <w:spacing w:before="100" w:beforeAutospacing="1" w:after="100" w:afterAutospacing="1"/>
    </w:pPr>
    <w:rPr>
      <w:lang w:eastAsia="lv-LV"/>
    </w:rPr>
  </w:style>
  <w:style w:type="paragraph" w:customStyle="1" w:styleId="c01pointaltn">
    <w:name w:val="c01pointaltn"/>
    <w:basedOn w:val="Normal"/>
    <w:rsid w:val="00847B8E"/>
    <w:pPr>
      <w:spacing w:before="100" w:beforeAutospacing="1" w:after="100" w:afterAutospacing="1"/>
    </w:pPr>
    <w:rPr>
      <w:lang w:eastAsia="lv-LV"/>
    </w:rPr>
  </w:style>
  <w:style w:type="paragraph" w:customStyle="1" w:styleId="labojumupamats">
    <w:name w:val="labojumu_pamats"/>
    <w:basedOn w:val="Normal"/>
    <w:rsid w:val="00C922F7"/>
    <w:pPr>
      <w:spacing w:before="100" w:beforeAutospacing="1" w:after="100" w:afterAutospacing="1"/>
    </w:pPr>
    <w:rPr>
      <w:lang w:eastAsia="lv-LV"/>
    </w:rPr>
  </w:style>
  <w:style w:type="paragraph" w:styleId="NormalWeb">
    <w:name w:val="Normal (Web)"/>
    <w:basedOn w:val="Normal"/>
    <w:uiPriority w:val="99"/>
    <w:unhideWhenUsed/>
    <w:rsid w:val="000E4B46"/>
    <w:pPr>
      <w:spacing w:before="100" w:beforeAutospacing="1" w:after="100" w:afterAutospacing="1"/>
    </w:pPr>
    <w:rPr>
      <w:lang w:eastAsia="lv-LV"/>
    </w:rPr>
  </w:style>
  <w:style w:type="paragraph" w:styleId="FootnoteText">
    <w:name w:val="footnote text"/>
    <w:basedOn w:val="Normal"/>
    <w:link w:val="FootnoteTextChar"/>
    <w:uiPriority w:val="99"/>
    <w:semiHidden/>
    <w:unhideWhenUsed/>
    <w:rsid w:val="00006545"/>
    <w:rPr>
      <w:rFonts w:eastAsia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006545"/>
    <w:rPr>
      <w:kern w:val="2"/>
      <w:sz w:val="20"/>
      <w:szCs w:val="20"/>
      <w:lang w:val="lv-LV"/>
      <w14:ligatures w14:val="standardContextual"/>
    </w:rPr>
  </w:style>
  <w:style w:type="character" w:styleId="FootnoteReference">
    <w:name w:val="footnote reference"/>
    <w:basedOn w:val="DefaultParagraphFont"/>
    <w:uiPriority w:val="99"/>
    <w:semiHidden/>
    <w:unhideWhenUsed/>
    <w:rsid w:val="00006545"/>
    <w:rPr>
      <w:vertAlign w:val="superscript"/>
    </w:rPr>
  </w:style>
  <w:style w:type="paragraph" w:styleId="ListParagraph">
    <w:name w:val="List Paragraph"/>
    <w:basedOn w:val="Normal"/>
    <w:uiPriority w:val="34"/>
    <w:qFormat/>
    <w:rsid w:val="00AB2930"/>
    <w:pPr>
      <w:spacing w:after="160" w:line="259" w:lineRule="auto"/>
      <w:ind w:left="720"/>
      <w:contextualSpacing/>
    </w:pPr>
    <w:rPr>
      <w:rFonts w:eastAsiaTheme="minorHAnsi" w:cstheme="minorBidi"/>
      <w:kern w:val="2"/>
      <w:szCs w:val="22"/>
      <w:lang w:eastAsia="en-US"/>
      <w14:ligatures w14:val="standardContextual"/>
    </w:rPr>
  </w:style>
  <w:style w:type="paragraph" w:customStyle="1" w:styleId="Stils4">
    <w:name w:val="Stils4"/>
    <w:basedOn w:val="Heading3"/>
    <w:link w:val="Stils4Rakstz"/>
    <w:qFormat/>
    <w:rsid w:val="00AB2930"/>
    <w:pPr>
      <w:spacing w:line="259" w:lineRule="auto"/>
    </w:pPr>
    <w:rPr>
      <w:i/>
      <w:kern w:val="2"/>
      <w14:ligatures w14:val="standardContextual"/>
    </w:rPr>
  </w:style>
  <w:style w:type="character" w:customStyle="1" w:styleId="Stils4Rakstz">
    <w:name w:val="Stils4 Rakstz."/>
    <w:basedOn w:val="Heading3Char"/>
    <w:link w:val="Stils4"/>
    <w:rsid w:val="00AB2930"/>
    <w:rPr>
      <w:rFonts w:asciiTheme="majorHAnsi" w:eastAsiaTheme="majorEastAsia" w:hAnsiTheme="majorHAnsi" w:cstheme="majorBidi"/>
      <w:i/>
      <w:color w:val="1F3763" w:themeColor="accent1" w:themeShade="7F"/>
      <w:kern w:val="2"/>
      <w:szCs w:val="24"/>
      <w:lang w:val="lv-LV" w:eastAsia="ru-RU"/>
      <w14:ligatures w14:val="standardContextual"/>
    </w:rPr>
  </w:style>
  <w:style w:type="character" w:customStyle="1" w:styleId="Heading3Char">
    <w:name w:val="Heading 3 Char"/>
    <w:basedOn w:val="DefaultParagraphFont"/>
    <w:link w:val="Heading3"/>
    <w:uiPriority w:val="9"/>
    <w:semiHidden/>
    <w:rsid w:val="00AB2930"/>
    <w:rPr>
      <w:rFonts w:asciiTheme="majorHAnsi" w:eastAsiaTheme="majorEastAsia" w:hAnsiTheme="majorHAnsi" w:cstheme="majorBidi"/>
      <w:color w:val="1F3763" w:themeColor="accent1" w:themeShade="7F"/>
      <w:szCs w:val="24"/>
      <w:lang w:val="lv-LV" w:eastAsia="ru-RU"/>
    </w:rPr>
  </w:style>
  <w:style w:type="paragraph" w:customStyle="1" w:styleId="c02alineaalta">
    <w:name w:val="c02alineaalta"/>
    <w:basedOn w:val="Normal"/>
    <w:rsid w:val="006D7C17"/>
    <w:pPr>
      <w:spacing w:before="100" w:beforeAutospacing="1" w:after="100" w:afterAutospacing="1"/>
    </w:pPr>
    <w:rPr>
      <w:lang w:eastAsia="lv-LV"/>
    </w:rPr>
  </w:style>
  <w:style w:type="paragraph" w:customStyle="1" w:styleId="text-align-justify">
    <w:name w:val="text-align-justify"/>
    <w:basedOn w:val="Normal"/>
    <w:rsid w:val="00886B6E"/>
    <w:pPr>
      <w:spacing w:before="100" w:beforeAutospacing="1" w:after="100" w:afterAutospacing="1"/>
    </w:pPr>
    <w:rPr>
      <w:lang w:eastAsia="lv-LV"/>
    </w:rPr>
  </w:style>
  <w:style w:type="paragraph" w:customStyle="1" w:styleId="c01pointnumerotealtn">
    <w:name w:val="c01pointnumerotealtn"/>
    <w:basedOn w:val="Normal"/>
    <w:rsid w:val="001147BF"/>
    <w:pPr>
      <w:spacing w:before="100" w:beforeAutospacing="1" w:after="100" w:afterAutospacing="1"/>
    </w:pPr>
    <w:rPr>
      <w:lang w:eastAsia="lv-LV"/>
    </w:rPr>
  </w:style>
  <w:style w:type="character" w:customStyle="1" w:styleId="cf01">
    <w:name w:val="cf01"/>
    <w:basedOn w:val="DefaultParagraphFont"/>
    <w:rsid w:val="00A22307"/>
    <w:rPr>
      <w:rFonts w:ascii="Segoe UI" w:hAnsi="Segoe UI" w:cs="Segoe UI" w:hint="default"/>
      <w:sz w:val="18"/>
      <w:szCs w:val="18"/>
    </w:rPr>
  </w:style>
  <w:style w:type="paragraph" w:styleId="BodyText">
    <w:name w:val="Body Text"/>
    <w:basedOn w:val="Normal"/>
    <w:link w:val="BodyTextChar"/>
    <w:uiPriority w:val="99"/>
    <w:semiHidden/>
    <w:unhideWhenUsed/>
    <w:rsid w:val="00061396"/>
    <w:pPr>
      <w:spacing w:after="120"/>
    </w:pPr>
  </w:style>
  <w:style w:type="character" w:customStyle="1" w:styleId="BodyTextChar">
    <w:name w:val="Body Text Char"/>
    <w:basedOn w:val="DefaultParagraphFont"/>
    <w:link w:val="BodyText"/>
    <w:uiPriority w:val="99"/>
    <w:semiHidden/>
    <w:rsid w:val="00061396"/>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6623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4811">
      <w:bodyDiv w:val="1"/>
      <w:marLeft w:val="0"/>
      <w:marRight w:val="0"/>
      <w:marTop w:val="0"/>
      <w:marBottom w:val="0"/>
      <w:divBdr>
        <w:top w:val="none" w:sz="0" w:space="0" w:color="auto"/>
        <w:left w:val="none" w:sz="0" w:space="0" w:color="auto"/>
        <w:bottom w:val="none" w:sz="0" w:space="0" w:color="auto"/>
        <w:right w:val="none" w:sz="0" w:space="0" w:color="auto"/>
      </w:divBdr>
    </w:div>
    <w:div w:id="171115349">
      <w:bodyDiv w:val="1"/>
      <w:marLeft w:val="0"/>
      <w:marRight w:val="0"/>
      <w:marTop w:val="0"/>
      <w:marBottom w:val="0"/>
      <w:divBdr>
        <w:top w:val="none" w:sz="0" w:space="0" w:color="auto"/>
        <w:left w:val="none" w:sz="0" w:space="0" w:color="auto"/>
        <w:bottom w:val="none" w:sz="0" w:space="0" w:color="auto"/>
        <w:right w:val="none" w:sz="0" w:space="0" w:color="auto"/>
      </w:divBdr>
    </w:div>
    <w:div w:id="238755236">
      <w:bodyDiv w:val="1"/>
      <w:marLeft w:val="0"/>
      <w:marRight w:val="0"/>
      <w:marTop w:val="0"/>
      <w:marBottom w:val="0"/>
      <w:divBdr>
        <w:top w:val="none" w:sz="0" w:space="0" w:color="auto"/>
        <w:left w:val="none" w:sz="0" w:space="0" w:color="auto"/>
        <w:bottom w:val="none" w:sz="0" w:space="0" w:color="auto"/>
        <w:right w:val="none" w:sz="0" w:space="0" w:color="auto"/>
      </w:divBdr>
      <w:divsChild>
        <w:div w:id="1326081799">
          <w:marLeft w:val="300"/>
          <w:marRight w:val="0"/>
          <w:marTop w:val="0"/>
          <w:marBottom w:val="0"/>
          <w:divBdr>
            <w:top w:val="none" w:sz="0" w:space="0" w:color="auto"/>
            <w:left w:val="none" w:sz="0" w:space="0" w:color="auto"/>
            <w:bottom w:val="none" w:sz="0" w:space="0" w:color="auto"/>
            <w:right w:val="none" w:sz="0" w:space="0" w:color="auto"/>
          </w:divBdr>
        </w:div>
      </w:divsChild>
    </w:div>
    <w:div w:id="245772105">
      <w:bodyDiv w:val="1"/>
      <w:marLeft w:val="0"/>
      <w:marRight w:val="0"/>
      <w:marTop w:val="0"/>
      <w:marBottom w:val="0"/>
      <w:divBdr>
        <w:top w:val="none" w:sz="0" w:space="0" w:color="auto"/>
        <w:left w:val="none" w:sz="0" w:space="0" w:color="auto"/>
        <w:bottom w:val="none" w:sz="0" w:space="0" w:color="auto"/>
        <w:right w:val="none" w:sz="0" w:space="0" w:color="auto"/>
      </w:divBdr>
    </w:div>
    <w:div w:id="295918132">
      <w:bodyDiv w:val="1"/>
      <w:marLeft w:val="0"/>
      <w:marRight w:val="0"/>
      <w:marTop w:val="0"/>
      <w:marBottom w:val="0"/>
      <w:divBdr>
        <w:top w:val="none" w:sz="0" w:space="0" w:color="auto"/>
        <w:left w:val="none" w:sz="0" w:space="0" w:color="auto"/>
        <w:bottom w:val="none" w:sz="0" w:space="0" w:color="auto"/>
        <w:right w:val="none" w:sz="0" w:space="0" w:color="auto"/>
      </w:divBdr>
    </w:div>
    <w:div w:id="439419963">
      <w:bodyDiv w:val="1"/>
      <w:marLeft w:val="0"/>
      <w:marRight w:val="0"/>
      <w:marTop w:val="0"/>
      <w:marBottom w:val="0"/>
      <w:divBdr>
        <w:top w:val="none" w:sz="0" w:space="0" w:color="auto"/>
        <w:left w:val="none" w:sz="0" w:space="0" w:color="auto"/>
        <w:bottom w:val="none" w:sz="0" w:space="0" w:color="auto"/>
        <w:right w:val="none" w:sz="0" w:space="0" w:color="auto"/>
      </w:divBdr>
    </w:div>
    <w:div w:id="445781701">
      <w:bodyDiv w:val="1"/>
      <w:marLeft w:val="0"/>
      <w:marRight w:val="0"/>
      <w:marTop w:val="0"/>
      <w:marBottom w:val="0"/>
      <w:divBdr>
        <w:top w:val="none" w:sz="0" w:space="0" w:color="auto"/>
        <w:left w:val="none" w:sz="0" w:space="0" w:color="auto"/>
        <w:bottom w:val="none" w:sz="0" w:space="0" w:color="auto"/>
        <w:right w:val="none" w:sz="0" w:space="0" w:color="auto"/>
      </w:divBdr>
    </w:div>
    <w:div w:id="512115442">
      <w:bodyDiv w:val="1"/>
      <w:marLeft w:val="0"/>
      <w:marRight w:val="0"/>
      <w:marTop w:val="0"/>
      <w:marBottom w:val="0"/>
      <w:divBdr>
        <w:top w:val="none" w:sz="0" w:space="0" w:color="auto"/>
        <w:left w:val="none" w:sz="0" w:space="0" w:color="auto"/>
        <w:bottom w:val="none" w:sz="0" w:space="0" w:color="auto"/>
        <w:right w:val="none" w:sz="0" w:space="0" w:color="auto"/>
      </w:divBdr>
    </w:div>
    <w:div w:id="874318242">
      <w:bodyDiv w:val="1"/>
      <w:marLeft w:val="0"/>
      <w:marRight w:val="0"/>
      <w:marTop w:val="0"/>
      <w:marBottom w:val="0"/>
      <w:divBdr>
        <w:top w:val="none" w:sz="0" w:space="0" w:color="auto"/>
        <w:left w:val="none" w:sz="0" w:space="0" w:color="auto"/>
        <w:bottom w:val="none" w:sz="0" w:space="0" w:color="auto"/>
        <w:right w:val="none" w:sz="0" w:space="0" w:color="auto"/>
      </w:divBdr>
    </w:div>
    <w:div w:id="950092466">
      <w:bodyDiv w:val="1"/>
      <w:marLeft w:val="0"/>
      <w:marRight w:val="0"/>
      <w:marTop w:val="0"/>
      <w:marBottom w:val="0"/>
      <w:divBdr>
        <w:top w:val="none" w:sz="0" w:space="0" w:color="auto"/>
        <w:left w:val="none" w:sz="0" w:space="0" w:color="auto"/>
        <w:bottom w:val="none" w:sz="0" w:space="0" w:color="auto"/>
        <w:right w:val="none" w:sz="0" w:space="0" w:color="auto"/>
      </w:divBdr>
    </w:div>
    <w:div w:id="968780641">
      <w:bodyDiv w:val="1"/>
      <w:marLeft w:val="0"/>
      <w:marRight w:val="0"/>
      <w:marTop w:val="0"/>
      <w:marBottom w:val="0"/>
      <w:divBdr>
        <w:top w:val="none" w:sz="0" w:space="0" w:color="auto"/>
        <w:left w:val="none" w:sz="0" w:space="0" w:color="auto"/>
        <w:bottom w:val="none" w:sz="0" w:space="0" w:color="auto"/>
        <w:right w:val="none" w:sz="0" w:space="0" w:color="auto"/>
      </w:divBdr>
    </w:div>
    <w:div w:id="1051156486">
      <w:bodyDiv w:val="1"/>
      <w:marLeft w:val="0"/>
      <w:marRight w:val="0"/>
      <w:marTop w:val="0"/>
      <w:marBottom w:val="0"/>
      <w:divBdr>
        <w:top w:val="none" w:sz="0" w:space="0" w:color="auto"/>
        <w:left w:val="none" w:sz="0" w:space="0" w:color="auto"/>
        <w:bottom w:val="none" w:sz="0" w:space="0" w:color="auto"/>
        <w:right w:val="none" w:sz="0" w:space="0" w:color="auto"/>
      </w:divBdr>
    </w:div>
    <w:div w:id="1069306602">
      <w:bodyDiv w:val="1"/>
      <w:marLeft w:val="0"/>
      <w:marRight w:val="0"/>
      <w:marTop w:val="0"/>
      <w:marBottom w:val="0"/>
      <w:divBdr>
        <w:top w:val="none" w:sz="0" w:space="0" w:color="auto"/>
        <w:left w:val="none" w:sz="0" w:space="0" w:color="auto"/>
        <w:bottom w:val="none" w:sz="0" w:space="0" w:color="auto"/>
        <w:right w:val="none" w:sz="0" w:space="0" w:color="auto"/>
      </w:divBdr>
    </w:div>
    <w:div w:id="1094324879">
      <w:bodyDiv w:val="1"/>
      <w:marLeft w:val="0"/>
      <w:marRight w:val="0"/>
      <w:marTop w:val="0"/>
      <w:marBottom w:val="0"/>
      <w:divBdr>
        <w:top w:val="none" w:sz="0" w:space="0" w:color="auto"/>
        <w:left w:val="none" w:sz="0" w:space="0" w:color="auto"/>
        <w:bottom w:val="none" w:sz="0" w:space="0" w:color="auto"/>
        <w:right w:val="none" w:sz="0" w:space="0" w:color="auto"/>
      </w:divBdr>
    </w:div>
    <w:div w:id="1216503191">
      <w:bodyDiv w:val="1"/>
      <w:marLeft w:val="0"/>
      <w:marRight w:val="0"/>
      <w:marTop w:val="0"/>
      <w:marBottom w:val="0"/>
      <w:divBdr>
        <w:top w:val="none" w:sz="0" w:space="0" w:color="auto"/>
        <w:left w:val="none" w:sz="0" w:space="0" w:color="auto"/>
        <w:bottom w:val="none" w:sz="0" w:space="0" w:color="auto"/>
        <w:right w:val="none" w:sz="0" w:space="0" w:color="auto"/>
      </w:divBdr>
    </w:div>
    <w:div w:id="1220435501">
      <w:bodyDiv w:val="1"/>
      <w:marLeft w:val="0"/>
      <w:marRight w:val="0"/>
      <w:marTop w:val="0"/>
      <w:marBottom w:val="0"/>
      <w:divBdr>
        <w:top w:val="none" w:sz="0" w:space="0" w:color="auto"/>
        <w:left w:val="none" w:sz="0" w:space="0" w:color="auto"/>
        <w:bottom w:val="none" w:sz="0" w:space="0" w:color="auto"/>
        <w:right w:val="none" w:sz="0" w:space="0" w:color="auto"/>
      </w:divBdr>
    </w:div>
    <w:div w:id="1275138070">
      <w:bodyDiv w:val="1"/>
      <w:marLeft w:val="0"/>
      <w:marRight w:val="0"/>
      <w:marTop w:val="0"/>
      <w:marBottom w:val="0"/>
      <w:divBdr>
        <w:top w:val="none" w:sz="0" w:space="0" w:color="auto"/>
        <w:left w:val="none" w:sz="0" w:space="0" w:color="auto"/>
        <w:bottom w:val="none" w:sz="0" w:space="0" w:color="auto"/>
        <w:right w:val="none" w:sz="0" w:space="0" w:color="auto"/>
      </w:divBdr>
    </w:div>
    <w:div w:id="1329361881">
      <w:bodyDiv w:val="1"/>
      <w:marLeft w:val="0"/>
      <w:marRight w:val="0"/>
      <w:marTop w:val="0"/>
      <w:marBottom w:val="0"/>
      <w:divBdr>
        <w:top w:val="none" w:sz="0" w:space="0" w:color="auto"/>
        <w:left w:val="none" w:sz="0" w:space="0" w:color="auto"/>
        <w:bottom w:val="none" w:sz="0" w:space="0" w:color="auto"/>
        <w:right w:val="none" w:sz="0" w:space="0" w:color="auto"/>
      </w:divBdr>
    </w:div>
    <w:div w:id="1390686808">
      <w:bodyDiv w:val="1"/>
      <w:marLeft w:val="0"/>
      <w:marRight w:val="0"/>
      <w:marTop w:val="0"/>
      <w:marBottom w:val="0"/>
      <w:divBdr>
        <w:top w:val="none" w:sz="0" w:space="0" w:color="auto"/>
        <w:left w:val="none" w:sz="0" w:space="0" w:color="auto"/>
        <w:bottom w:val="none" w:sz="0" w:space="0" w:color="auto"/>
        <w:right w:val="none" w:sz="0" w:space="0" w:color="auto"/>
      </w:divBdr>
    </w:div>
    <w:div w:id="1464731049">
      <w:bodyDiv w:val="1"/>
      <w:marLeft w:val="0"/>
      <w:marRight w:val="0"/>
      <w:marTop w:val="0"/>
      <w:marBottom w:val="0"/>
      <w:divBdr>
        <w:top w:val="none" w:sz="0" w:space="0" w:color="auto"/>
        <w:left w:val="none" w:sz="0" w:space="0" w:color="auto"/>
        <w:bottom w:val="none" w:sz="0" w:space="0" w:color="auto"/>
        <w:right w:val="none" w:sz="0" w:space="0" w:color="auto"/>
      </w:divBdr>
    </w:div>
    <w:div w:id="1593051337">
      <w:bodyDiv w:val="1"/>
      <w:marLeft w:val="0"/>
      <w:marRight w:val="0"/>
      <w:marTop w:val="0"/>
      <w:marBottom w:val="0"/>
      <w:divBdr>
        <w:top w:val="none" w:sz="0" w:space="0" w:color="auto"/>
        <w:left w:val="none" w:sz="0" w:space="0" w:color="auto"/>
        <w:bottom w:val="none" w:sz="0" w:space="0" w:color="auto"/>
        <w:right w:val="none" w:sz="0" w:space="0" w:color="auto"/>
      </w:divBdr>
    </w:div>
    <w:div w:id="1662656738">
      <w:bodyDiv w:val="1"/>
      <w:marLeft w:val="0"/>
      <w:marRight w:val="0"/>
      <w:marTop w:val="0"/>
      <w:marBottom w:val="0"/>
      <w:divBdr>
        <w:top w:val="none" w:sz="0" w:space="0" w:color="auto"/>
        <w:left w:val="none" w:sz="0" w:space="0" w:color="auto"/>
        <w:bottom w:val="none" w:sz="0" w:space="0" w:color="auto"/>
        <w:right w:val="none" w:sz="0" w:space="0" w:color="auto"/>
      </w:divBdr>
    </w:div>
    <w:div w:id="1782606474">
      <w:bodyDiv w:val="1"/>
      <w:marLeft w:val="0"/>
      <w:marRight w:val="0"/>
      <w:marTop w:val="0"/>
      <w:marBottom w:val="0"/>
      <w:divBdr>
        <w:top w:val="none" w:sz="0" w:space="0" w:color="auto"/>
        <w:left w:val="none" w:sz="0" w:space="0" w:color="auto"/>
        <w:bottom w:val="none" w:sz="0" w:space="0" w:color="auto"/>
        <w:right w:val="none" w:sz="0" w:space="0" w:color="auto"/>
      </w:divBdr>
    </w:div>
    <w:div w:id="1884095551">
      <w:bodyDiv w:val="1"/>
      <w:marLeft w:val="0"/>
      <w:marRight w:val="0"/>
      <w:marTop w:val="0"/>
      <w:marBottom w:val="0"/>
      <w:divBdr>
        <w:top w:val="none" w:sz="0" w:space="0" w:color="auto"/>
        <w:left w:val="none" w:sz="0" w:space="0" w:color="auto"/>
        <w:bottom w:val="none" w:sz="0" w:space="0" w:color="auto"/>
        <w:right w:val="none" w:sz="0" w:space="0" w:color="auto"/>
      </w:divBdr>
    </w:div>
    <w:div w:id="1932544337">
      <w:bodyDiv w:val="1"/>
      <w:marLeft w:val="0"/>
      <w:marRight w:val="0"/>
      <w:marTop w:val="0"/>
      <w:marBottom w:val="0"/>
      <w:divBdr>
        <w:top w:val="none" w:sz="0" w:space="0" w:color="auto"/>
        <w:left w:val="none" w:sz="0" w:space="0" w:color="auto"/>
        <w:bottom w:val="none" w:sz="0" w:space="0" w:color="auto"/>
        <w:right w:val="none" w:sz="0" w:space="0" w:color="auto"/>
      </w:divBdr>
    </w:div>
    <w:div w:id="2093433977">
      <w:bodyDiv w:val="1"/>
      <w:marLeft w:val="0"/>
      <w:marRight w:val="0"/>
      <w:marTop w:val="0"/>
      <w:marBottom w:val="0"/>
      <w:divBdr>
        <w:top w:val="none" w:sz="0" w:space="0" w:color="auto"/>
        <w:left w:val="none" w:sz="0" w:space="0" w:color="auto"/>
        <w:bottom w:val="none" w:sz="0" w:space="0" w:color="auto"/>
        <w:right w:val="none" w:sz="0" w:space="0" w:color="auto"/>
      </w:divBdr>
    </w:div>
    <w:div w:id="211478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33aa46a7-a49e-49d2-b4a0-e27f3b1036d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wwwraksti/ANOTACIJAS/TAP/2019_10/EMANOT_291019_PATKREDIT.1787.DOCX" TargetMode="External"/><Relationship Id="rId4" Type="http://schemas.openxmlformats.org/officeDocument/2006/relationships/settings" Target="settings.xml"/><Relationship Id="rId9" Type="http://schemas.openxmlformats.org/officeDocument/2006/relationships/hyperlink" Target="https://likumi.lv/wwwraksti/ANOTACIJAS/TAP/2016_01/EMANOT_211215_MK245.29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5BC3-C8D3-4985-B150-9FA59A6F2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12240</Words>
  <Characters>6978</Characters>
  <Application>Microsoft Office Word</Application>
  <DocSecurity>0</DocSecurity>
  <Lines>58</Lines>
  <Paragraphs>38</Paragraphs>
  <ScaleCrop>false</ScaleCrop>
  <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2026-02-17T21:19:00Z</dcterms:created>
  <dcterms:modified xsi:type="dcterms:W3CDTF">2026-02-17T21:20:00Z</dcterms:modified>
</cp:coreProperties>
</file>