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97DC" w14:textId="77777777" w:rsidR="00144EFC" w:rsidRDefault="00144EFC" w:rsidP="00385DA5">
      <w:pPr>
        <w:autoSpaceDE w:val="0"/>
        <w:autoSpaceDN w:val="0"/>
        <w:spacing w:line="276" w:lineRule="auto"/>
        <w:jc w:val="both"/>
        <w:rPr>
          <w:b/>
          <w:bCs/>
          <w:i/>
          <w:iCs/>
          <w:lang w:eastAsia="lv-LV"/>
          <w14:ligatures w14:val="standardContextual"/>
        </w:rPr>
      </w:pPr>
      <w:r>
        <w:rPr>
          <w:b/>
          <w:bCs/>
          <w:color w:val="000000"/>
          <w14:ligatures w14:val="standardContextual"/>
        </w:rPr>
        <w:t>Lietā piemērojamo tiesību normu izvērtēšana kā tiesas pienākums (tiesa zina tiesības princips)</w:t>
      </w:r>
    </w:p>
    <w:p w14:paraId="64B6DA48" w14:textId="1527369A" w:rsidR="00447EE6" w:rsidRDefault="00144EFC" w:rsidP="00385DA5">
      <w:pPr>
        <w:spacing w:line="276" w:lineRule="auto"/>
        <w:jc w:val="both"/>
      </w:pPr>
      <w:r>
        <w:t>Lietā piemērojamo tiesību normu izvērtēšana ir tiesas pienākums. Ar šo pienākumu nesavienojama būtu situācija, kurā tiesa piemērotu regulējumu kādam notikumam, kuru ar šo regulējumu nemaz nav paredzēts aptvert, tikai tādēļ, ka neviens no lietas dalībniekiem tiešiem vārdiem nav to apšaubījis.</w:t>
      </w:r>
    </w:p>
    <w:p w14:paraId="27BC2E44" w14:textId="77777777" w:rsidR="00385DA5" w:rsidRPr="00DE6BC0" w:rsidRDefault="00385DA5" w:rsidP="00385DA5">
      <w:pPr>
        <w:spacing w:line="276" w:lineRule="auto"/>
        <w:jc w:val="both"/>
      </w:pPr>
    </w:p>
    <w:p w14:paraId="46750107" w14:textId="6EDBF645" w:rsidR="008E0ADD" w:rsidRPr="00385DA5" w:rsidRDefault="008E0ADD" w:rsidP="00385DA5">
      <w:pPr>
        <w:spacing w:before="120" w:line="276" w:lineRule="auto"/>
        <w:jc w:val="center"/>
        <w:rPr>
          <w:b/>
        </w:rPr>
      </w:pPr>
      <w:r w:rsidRPr="00385DA5">
        <w:rPr>
          <w:b/>
        </w:rPr>
        <w:t>Latvijas Republikas Senāt</w:t>
      </w:r>
      <w:r w:rsidR="00144EFC" w:rsidRPr="00385DA5">
        <w:rPr>
          <w:b/>
        </w:rPr>
        <w:t>a</w:t>
      </w:r>
      <w:r w:rsidR="00144EFC" w:rsidRPr="00385DA5">
        <w:rPr>
          <w:b/>
        </w:rPr>
        <w:br/>
        <w:t>Administratīvo lietu departamenta</w:t>
      </w:r>
      <w:r w:rsidR="00144EFC" w:rsidRPr="00385DA5">
        <w:rPr>
          <w:b/>
        </w:rPr>
        <w:br/>
        <w:t xml:space="preserve">2025.gada 10.decembra </w:t>
      </w:r>
    </w:p>
    <w:p w14:paraId="4FA56546" w14:textId="77777777" w:rsidR="00385DA5" w:rsidRPr="00385DA5" w:rsidRDefault="008E0ADD" w:rsidP="00385DA5">
      <w:pPr>
        <w:spacing w:line="276" w:lineRule="auto"/>
        <w:jc w:val="center"/>
        <w:rPr>
          <w:b/>
          <w:bCs/>
        </w:rPr>
      </w:pPr>
      <w:r w:rsidRPr="00385DA5">
        <w:rPr>
          <w:b/>
        </w:rPr>
        <w:t>LĒMUMS</w:t>
      </w:r>
      <w:r w:rsidR="00144EFC" w:rsidRPr="00385DA5">
        <w:rPr>
          <w:b/>
          <w:bCs/>
        </w:rPr>
        <w:br/>
      </w:r>
      <w:r w:rsidR="00144EFC" w:rsidRPr="00385DA5">
        <w:rPr>
          <w:b/>
          <w:bCs/>
        </w:rPr>
        <w:t>Lieta Nr. A420223025,</w:t>
      </w:r>
      <w:r w:rsidR="00144EFC" w:rsidRPr="00385DA5">
        <w:rPr>
          <w:b/>
          <w:bCs/>
          <w:lang w:eastAsia="lv-LV"/>
        </w:rPr>
        <w:t> </w:t>
      </w:r>
      <w:r w:rsidR="00144EFC" w:rsidRPr="00385DA5">
        <w:rPr>
          <w:b/>
          <w:bCs/>
        </w:rPr>
        <w:t>SKA-950/2025</w:t>
      </w:r>
    </w:p>
    <w:p w14:paraId="04C508FC" w14:textId="6FE9FDD8" w:rsidR="008E0ADD" w:rsidRPr="00385DA5" w:rsidRDefault="00385DA5" w:rsidP="00385DA5">
      <w:pPr>
        <w:spacing w:line="276" w:lineRule="auto"/>
        <w:jc w:val="center"/>
        <w:rPr>
          <w:b/>
        </w:rPr>
      </w:pPr>
      <w:r w:rsidRPr="00385DA5">
        <w:t xml:space="preserve"> </w:t>
      </w:r>
      <w:hyperlink r:id="rId8" w:history="1">
        <w:r w:rsidRPr="00385DA5">
          <w:rPr>
            <w:rStyle w:val="Hyperlink"/>
          </w:rPr>
          <w:t>ECLI:LV:AT:2025:1210.A420223025.7.L</w:t>
        </w:r>
      </w:hyperlink>
    </w:p>
    <w:p w14:paraId="22155A45" w14:textId="77777777" w:rsidR="00144EFC" w:rsidRPr="00DE6BC0" w:rsidRDefault="00144EFC" w:rsidP="00385DA5">
      <w:pPr>
        <w:spacing w:line="276" w:lineRule="auto"/>
        <w:ind w:firstLine="567"/>
        <w:jc w:val="center"/>
      </w:pPr>
    </w:p>
    <w:p w14:paraId="15F64ED7" w14:textId="1881F696" w:rsidR="008E0ADD" w:rsidRPr="00DE6BC0" w:rsidRDefault="008E0ADD" w:rsidP="00385DA5">
      <w:pPr>
        <w:spacing w:line="276" w:lineRule="auto"/>
        <w:ind w:firstLine="720"/>
        <w:jc w:val="both"/>
      </w:pPr>
      <w:r w:rsidRPr="00DE6BC0">
        <w:t>Senāts šādā sastāvā: senatore referente Vēsma Kakste, senator</w:t>
      </w:r>
      <w:r w:rsidR="004378D7" w:rsidRPr="00DE6BC0">
        <w:t>i Jānis Pleps un Līvija Slica</w:t>
      </w:r>
    </w:p>
    <w:p w14:paraId="253B56CA" w14:textId="77777777" w:rsidR="008E0ADD" w:rsidRPr="00DE6BC0" w:rsidRDefault="008E0ADD" w:rsidP="00385DA5">
      <w:pPr>
        <w:spacing w:line="276" w:lineRule="auto"/>
        <w:ind w:firstLine="720"/>
        <w:jc w:val="both"/>
      </w:pPr>
    </w:p>
    <w:p w14:paraId="378C3636" w14:textId="128E1E36" w:rsidR="008E0ADD" w:rsidRPr="00DE6BC0" w:rsidRDefault="008E0ADD" w:rsidP="00385DA5">
      <w:pPr>
        <w:spacing w:line="276" w:lineRule="auto"/>
        <w:ind w:firstLine="720"/>
        <w:jc w:val="both"/>
      </w:pPr>
      <w:r w:rsidRPr="00A22280">
        <w:t xml:space="preserve">rakstveida procesā izskatīja </w:t>
      </w:r>
      <w:r w:rsidR="00FB0182" w:rsidRPr="00A22280">
        <w:t>SIA „</w:t>
      </w:r>
      <w:r w:rsidR="00A3025C" w:rsidRPr="00A22280">
        <w:t>CareLat</w:t>
      </w:r>
      <w:r w:rsidR="00FB0182" w:rsidRPr="00A22280">
        <w:t>”</w:t>
      </w:r>
      <w:r w:rsidR="009724EE" w:rsidRPr="00A22280">
        <w:t xml:space="preserve"> </w:t>
      </w:r>
      <w:r w:rsidRPr="00A22280">
        <w:t xml:space="preserve">blakus sūdzību par Administratīvās rajona tiesas 2025.gada </w:t>
      </w:r>
      <w:r w:rsidR="009724EE" w:rsidRPr="00A22280">
        <w:t>1</w:t>
      </w:r>
      <w:r w:rsidR="00A3025C" w:rsidRPr="00A22280">
        <w:t>7</w:t>
      </w:r>
      <w:r w:rsidRPr="00A22280">
        <w:t>.</w:t>
      </w:r>
      <w:r w:rsidR="00FB0182" w:rsidRPr="00A22280">
        <w:t>oktobra</w:t>
      </w:r>
      <w:r w:rsidRPr="00A22280">
        <w:t xml:space="preserve"> </w:t>
      </w:r>
      <w:r w:rsidR="00F572D1" w:rsidRPr="00A22280">
        <w:t>lēmumu</w:t>
      </w:r>
      <w:r w:rsidRPr="00A22280">
        <w:t>, ar kuru</w:t>
      </w:r>
      <w:r w:rsidR="00F572D1" w:rsidRPr="00A22280">
        <w:t xml:space="preserve"> </w:t>
      </w:r>
      <w:r w:rsidR="00FB0182" w:rsidRPr="00A22280">
        <w:t xml:space="preserve">noraidīts </w:t>
      </w:r>
      <w:r w:rsidR="0080094C" w:rsidRPr="00A22280">
        <w:t xml:space="preserve">lūgums </w:t>
      </w:r>
      <w:r w:rsidR="008F3007" w:rsidRPr="00A22280">
        <w:t xml:space="preserve">uzlikt pienākumu </w:t>
      </w:r>
      <w:r w:rsidR="00796BDC" w:rsidRPr="00A3025C">
        <w:rPr>
          <w:rFonts w:asciiTheme="majorBidi" w:hAnsiTheme="majorBidi" w:cstheme="majorBidi"/>
        </w:rPr>
        <w:t>Rīgas valstspilsētas pašvaldīb</w:t>
      </w:r>
      <w:r w:rsidR="00796BDC">
        <w:rPr>
          <w:rFonts w:asciiTheme="majorBidi" w:hAnsiTheme="majorBidi" w:cstheme="majorBidi"/>
        </w:rPr>
        <w:t>ai</w:t>
      </w:r>
      <w:r w:rsidR="00796BDC" w:rsidRPr="00A22280">
        <w:t xml:space="preserve"> </w:t>
      </w:r>
      <w:r w:rsidR="008F3007" w:rsidRPr="00A22280">
        <w:t xml:space="preserve">noslēgt ar SIA </w:t>
      </w:r>
      <w:r w:rsidR="007D2CEB" w:rsidRPr="00A22280">
        <w:t>„</w:t>
      </w:r>
      <w:r w:rsidR="008F3007" w:rsidRPr="00A22280">
        <w:t>CareLat” vispārīgo</w:t>
      </w:r>
      <w:r w:rsidR="008F3007" w:rsidRPr="008F3007">
        <w:t xml:space="preserve"> vienošanos ar tādiem pašiem noteikumiem, kādi tiek attiecināti uz</w:t>
      </w:r>
      <w:r w:rsidR="008F3007">
        <w:rPr>
          <w:rFonts w:asciiTheme="majorBidi" w:hAnsiTheme="majorBidi" w:cstheme="majorBidi"/>
        </w:rPr>
        <w:t xml:space="preserve"> iepirkuma </w:t>
      </w:r>
      <w:r w:rsidR="008F3007" w:rsidRPr="00A3025C">
        <w:rPr>
          <w:rFonts w:asciiTheme="majorBidi" w:hAnsiTheme="majorBidi" w:cstheme="majorBidi"/>
        </w:rPr>
        <w:t>Nr.</w:t>
      </w:r>
      <w:r w:rsidR="00A16B8A">
        <w:rPr>
          <w:rFonts w:asciiTheme="majorBidi" w:hAnsiTheme="majorBidi" w:cstheme="majorBidi"/>
        </w:rPr>
        <w:t> </w:t>
      </w:r>
      <w:r w:rsidR="008F3007" w:rsidRPr="00A3025C">
        <w:rPr>
          <w:rFonts w:asciiTheme="majorBidi" w:hAnsiTheme="majorBidi" w:cstheme="majorBidi"/>
        </w:rPr>
        <w:t>CAIP 2025/25</w:t>
      </w:r>
      <w:r w:rsidR="008F3007">
        <w:rPr>
          <w:rFonts w:asciiTheme="majorBidi" w:hAnsiTheme="majorBidi" w:cstheme="majorBidi"/>
        </w:rPr>
        <w:t xml:space="preserve"> </w:t>
      </w:r>
      <w:r w:rsidR="00796BDC">
        <w:t>uzvarētājiem</w:t>
      </w:r>
      <w:r w:rsidR="008F3007">
        <w:t>.</w:t>
      </w:r>
    </w:p>
    <w:p w14:paraId="046A4B2D" w14:textId="77777777" w:rsidR="0079345F" w:rsidRPr="00DE6BC0" w:rsidRDefault="0079345F" w:rsidP="00385DA5">
      <w:pPr>
        <w:spacing w:line="276" w:lineRule="auto"/>
        <w:ind w:firstLine="720"/>
        <w:jc w:val="both"/>
      </w:pPr>
    </w:p>
    <w:p w14:paraId="293E4C8B" w14:textId="77777777" w:rsidR="008E0ADD" w:rsidRPr="00DE6BC0" w:rsidRDefault="008E0ADD" w:rsidP="00385DA5">
      <w:pPr>
        <w:spacing w:line="276" w:lineRule="auto"/>
        <w:jc w:val="center"/>
        <w:rPr>
          <w:b/>
        </w:rPr>
      </w:pPr>
      <w:r w:rsidRPr="00DE6BC0">
        <w:rPr>
          <w:b/>
        </w:rPr>
        <w:t>Aprakstošā daļa</w:t>
      </w:r>
    </w:p>
    <w:p w14:paraId="560B3235" w14:textId="77777777" w:rsidR="008E0ADD" w:rsidRPr="00DE6BC0" w:rsidRDefault="008E0ADD" w:rsidP="00385DA5">
      <w:pPr>
        <w:spacing w:line="276" w:lineRule="auto"/>
        <w:rPr>
          <w:b/>
        </w:rPr>
      </w:pPr>
    </w:p>
    <w:p w14:paraId="352EB20D" w14:textId="709A05F7" w:rsidR="00E9723F" w:rsidRDefault="008E0ADD" w:rsidP="00385DA5">
      <w:pPr>
        <w:spacing w:line="276" w:lineRule="auto"/>
        <w:ind w:firstLine="720"/>
        <w:jc w:val="both"/>
        <w:rPr>
          <w:rFonts w:asciiTheme="majorBidi" w:hAnsiTheme="majorBidi" w:cstheme="majorBidi"/>
        </w:rPr>
      </w:pPr>
      <w:r w:rsidRPr="00DE6BC0">
        <w:t>[1]</w:t>
      </w:r>
      <w:r w:rsidR="00B12F77">
        <w:t xml:space="preserve"> </w:t>
      </w:r>
      <w:r w:rsidR="00B24D67">
        <w:t>Pieteicēj</w:t>
      </w:r>
      <w:r w:rsidR="00913DCC">
        <w:t>a</w:t>
      </w:r>
      <w:r w:rsidR="00501F5B">
        <w:t xml:space="preserve"> – </w:t>
      </w:r>
      <w:r w:rsidR="00615E58">
        <w:t>SIA</w:t>
      </w:r>
      <w:r w:rsidR="00B12F77">
        <w:t> </w:t>
      </w:r>
      <w:r w:rsidR="00615E58" w:rsidRPr="00DE6BC0">
        <w:t>„</w:t>
      </w:r>
      <w:r w:rsidR="00A3025C" w:rsidRPr="00A3025C">
        <w:t>CareLat</w:t>
      </w:r>
      <w:r w:rsidR="00615E58">
        <w:t>”</w:t>
      </w:r>
      <w:r w:rsidR="00501F5B">
        <w:t xml:space="preserve"> – </w:t>
      </w:r>
      <w:r w:rsidR="009B2062" w:rsidRPr="00DE6BC0">
        <w:rPr>
          <w:rFonts w:asciiTheme="majorBidi" w:hAnsiTheme="majorBidi" w:cstheme="majorBidi"/>
        </w:rPr>
        <w:t xml:space="preserve">Administratīvajā rajona </w:t>
      </w:r>
      <w:r w:rsidR="009B2062" w:rsidRPr="00615E58">
        <w:rPr>
          <w:rFonts w:asciiTheme="majorBidi" w:hAnsiTheme="majorBidi" w:cstheme="majorBidi"/>
        </w:rPr>
        <w:t xml:space="preserve">tiesā </w:t>
      </w:r>
      <w:r w:rsidR="00B24D67">
        <w:rPr>
          <w:rFonts w:asciiTheme="majorBidi" w:hAnsiTheme="majorBidi" w:cstheme="majorBidi"/>
        </w:rPr>
        <w:t xml:space="preserve">iesniedza </w:t>
      </w:r>
      <w:r w:rsidR="009B2062" w:rsidRPr="00DE6BC0">
        <w:rPr>
          <w:rFonts w:asciiTheme="majorBidi" w:hAnsiTheme="majorBidi" w:cstheme="majorBidi"/>
        </w:rPr>
        <w:t>pieteikum</w:t>
      </w:r>
      <w:r w:rsidR="00B24D67">
        <w:rPr>
          <w:rFonts w:asciiTheme="majorBidi" w:hAnsiTheme="majorBidi" w:cstheme="majorBidi"/>
        </w:rPr>
        <w:t>u</w:t>
      </w:r>
      <w:r w:rsidR="009B2062" w:rsidRPr="00DE6BC0">
        <w:rPr>
          <w:rFonts w:asciiTheme="majorBidi" w:hAnsiTheme="majorBidi" w:cstheme="majorBidi"/>
        </w:rPr>
        <w:t xml:space="preserve"> par </w:t>
      </w:r>
      <w:r w:rsidR="00913DCC">
        <w:t>Iepirkumu uzraudzības biroja (turpmāk</w:t>
      </w:r>
      <w:r w:rsidR="00B12F77">
        <w:t xml:space="preserve"> </w:t>
      </w:r>
      <w:r w:rsidR="00913DCC">
        <w:t>–</w:t>
      </w:r>
      <w:r w:rsidR="00B12F77">
        <w:t xml:space="preserve"> </w:t>
      </w:r>
      <w:r w:rsidR="00913DCC">
        <w:t xml:space="preserve">birojs) </w:t>
      </w:r>
      <w:r w:rsidR="00A3025C" w:rsidRPr="00A3025C">
        <w:t>2025.gada 25.augusta</w:t>
      </w:r>
      <w:r w:rsidR="00A3025C">
        <w:t xml:space="preserve"> </w:t>
      </w:r>
      <w:r w:rsidR="00913DCC">
        <w:t xml:space="preserve">lēmuma </w:t>
      </w:r>
      <w:r w:rsidR="00A3025C" w:rsidRPr="00A3025C">
        <w:t>Nr.</w:t>
      </w:r>
      <w:r w:rsidR="00A16B8A">
        <w:t> </w:t>
      </w:r>
      <w:r w:rsidR="00A3025C" w:rsidRPr="00A3025C">
        <w:t>4-1.2/25-193</w:t>
      </w:r>
      <w:r w:rsidR="009B2062" w:rsidRPr="00DE6BC0">
        <w:rPr>
          <w:rFonts w:asciiTheme="majorBidi" w:hAnsiTheme="majorBidi" w:cstheme="majorBidi"/>
        </w:rPr>
        <w:t xml:space="preserve"> (turpmāk</w:t>
      </w:r>
      <w:r w:rsidR="00B12F77">
        <w:rPr>
          <w:rFonts w:asciiTheme="majorBidi" w:hAnsiTheme="majorBidi" w:cstheme="majorBidi"/>
        </w:rPr>
        <w:t xml:space="preserve"> </w:t>
      </w:r>
      <w:r w:rsidR="009B2062" w:rsidRPr="00DE6BC0">
        <w:rPr>
          <w:rFonts w:asciiTheme="majorBidi" w:hAnsiTheme="majorBidi" w:cstheme="majorBidi"/>
        </w:rPr>
        <w:t>–</w:t>
      </w:r>
      <w:r w:rsidR="00B12F77">
        <w:rPr>
          <w:rFonts w:asciiTheme="majorBidi" w:hAnsiTheme="majorBidi" w:cstheme="majorBidi"/>
        </w:rPr>
        <w:t xml:space="preserve"> </w:t>
      </w:r>
      <w:r w:rsidR="00913DCC">
        <w:rPr>
          <w:rFonts w:asciiTheme="majorBidi" w:hAnsiTheme="majorBidi" w:cstheme="majorBidi"/>
        </w:rPr>
        <w:t>lēmums</w:t>
      </w:r>
      <w:r w:rsidR="009B2062" w:rsidRPr="00DE6BC0">
        <w:rPr>
          <w:rFonts w:asciiTheme="majorBidi" w:hAnsiTheme="majorBidi" w:cstheme="majorBidi"/>
        </w:rPr>
        <w:t>)</w:t>
      </w:r>
      <w:r w:rsidR="00501F5B">
        <w:rPr>
          <w:rFonts w:asciiTheme="majorBidi" w:hAnsiTheme="majorBidi" w:cstheme="majorBidi"/>
        </w:rPr>
        <w:t xml:space="preserve"> </w:t>
      </w:r>
      <w:r w:rsidR="00904496">
        <w:rPr>
          <w:rFonts w:asciiTheme="majorBidi" w:hAnsiTheme="majorBidi" w:cstheme="majorBidi"/>
        </w:rPr>
        <w:t>atcel</w:t>
      </w:r>
      <w:r w:rsidR="00501F5B">
        <w:rPr>
          <w:rFonts w:asciiTheme="majorBidi" w:hAnsiTheme="majorBidi" w:cstheme="majorBidi"/>
        </w:rPr>
        <w:t>šanu</w:t>
      </w:r>
      <w:r w:rsidR="00904496">
        <w:rPr>
          <w:rFonts w:asciiTheme="majorBidi" w:hAnsiTheme="majorBidi" w:cstheme="majorBidi"/>
        </w:rPr>
        <w:t xml:space="preserve"> un </w:t>
      </w:r>
      <w:r w:rsidR="00615E58" w:rsidRPr="00615E58">
        <w:rPr>
          <w:rFonts w:asciiTheme="majorBidi" w:hAnsiTheme="majorBidi" w:cstheme="majorBidi"/>
        </w:rPr>
        <w:t>pagaidu noregulējum</w:t>
      </w:r>
      <w:r w:rsidR="00C71FD2">
        <w:rPr>
          <w:rFonts w:asciiTheme="majorBidi" w:hAnsiTheme="majorBidi" w:cstheme="majorBidi"/>
        </w:rPr>
        <w:t>u</w:t>
      </w:r>
      <w:r w:rsidR="007D2CEB">
        <w:rPr>
          <w:rFonts w:asciiTheme="majorBidi" w:hAnsiTheme="majorBidi" w:cstheme="majorBidi"/>
        </w:rPr>
        <w:t> </w:t>
      </w:r>
      <w:r w:rsidR="00615E58" w:rsidRPr="00615E58">
        <w:rPr>
          <w:rFonts w:asciiTheme="majorBidi" w:hAnsiTheme="majorBidi" w:cstheme="majorBidi"/>
        </w:rPr>
        <w:t>–</w:t>
      </w:r>
      <w:r w:rsidR="00767632">
        <w:rPr>
          <w:rFonts w:asciiTheme="majorBidi" w:hAnsiTheme="majorBidi" w:cstheme="majorBidi"/>
        </w:rPr>
        <w:t xml:space="preserve"> noteikt pienākumu pasūtītājai</w:t>
      </w:r>
      <w:r w:rsidR="00501F5B">
        <w:rPr>
          <w:rFonts w:asciiTheme="majorBidi" w:hAnsiTheme="majorBidi" w:cstheme="majorBidi"/>
        </w:rPr>
        <w:t xml:space="preserve"> – </w:t>
      </w:r>
      <w:r w:rsidR="00796BDC" w:rsidRPr="00A3025C">
        <w:rPr>
          <w:rFonts w:asciiTheme="majorBidi" w:hAnsiTheme="majorBidi" w:cstheme="majorBidi"/>
        </w:rPr>
        <w:t>Rīgas valstspilsētas pašvaldīb</w:t>
      </w:r>
      <w:r w:rsidR="00796BDC">
        <w:rPr>
          <w:rFonts w:asciiTheme="majorBidi" w:hAnsiTheme="majorBidi" w:cstheme="majorBidi"/>
        </w:rPr>
        <w:t>ai</w:t>
      </w:r>
      <w:r w:rsidR="008454FF">
        <w:rPr>
          <w:rFonts w:asciiTheme="majorBidi" w:hAnsiTheme="majorBidi" w:cstheme="majorBidi"/>
        </w:rPr>
        <w:t xml:space="preserve"> </w:t>
      </w:r>
      <w:r w:rsidR="00501F5B">
        <w:rPr>
          <w:rFonts w:asciiTheme="majorBidi" w:hAnsiTheme="majorBidi" w:cstheme="majorBidi"/>
        </w:rPr>
        <w:t xml:space="preserve">– </w:t>
      </w:r>
      <w:r w:rsidR="00615E58" w:rsidRPr="00615E58">
        <w:rPr>
          <w:rFonts w:asciiTheme="majorBidi" w:hAnsiTheme="majorBidi" w:cstheme="majorBidi"/>
        </w:rPr>
        <w:t xml:space="preserve">slēgt </w:t>
      </w:r>
      <w:r w:rsidR="008F3007">
        <w:rPr>
          <w:rFonts w:asciiTheme="majorBidi" w:hAnsiTheme="majorBidi" w:cstheme="majorBidi"/>
        </w:rPr>
        <w:t>vispār</w:t>
      </w:r>
      <w:r w:rsidR="000D7F1E">
        <w:rPr>
          <w:rFonts w:asciiTheme="majorBidi" w:hAnsiTheme="majorBidi" w:cstheme="majorBidi"/>
        </w:rPr>
        <w:t>īgo</w:t>
      </w:r>
      <w:r w:rsidR="008F3007">
        <w:rPr>
          <w:rFonts w:asciiTheme="majorBidi" w:hAnsiTheme="majorBidi" w:cstheme="majorBidi"/>
        </w:rPr>
        <w:t xml:space="preserve"> vienošanos</w:t>
      </w:r>
      <w:r w:rsidR="00615E58" w:rsidRPr="00615E58">
        <w:rPr>
          <w:rFonts w:asciiTheme="majorBidi" w:hAnsiTheme="majorBidi" w:cstheme="majorBidi"/>
        </w:rPr>
        <w:t xml:space="preserve"> ar </w:t>
      </w:r>
      <w:r w:rsidR="00356FB0">
        <w:rPr>
          <w:rFonts w:asciiTheme="majorBidi" w:hAnsiTheme="majorBidi" w:cstheme="majorBidi"/>
        </w:rPr>
        <w:t>pieteicēju</w:t>
      </w:r>
      <w:r w:rsidR="00767632" w:rsidRPr="008F3007">
        <w:t xml:space="preserve"> ar tādiem pašiem noteikumiem, kādi tiek attiecināti uz</w:t>
      </w:r>
      <w:r w:rsidR="00767632">
        <w:t xml:space="preserve"> </w:t>
      </w:r>
      <w:r w:rsidR="000D7F1E">
        <w:t xml:space="preserve">pārējiem </w:t>
      </w:r>
      <w:r w:rsidR="00615E58">
        <w:rPr>
          <w:rFonts w:asciiTheme="majorBidi" w:hAnsiTheme="majorBidi" w:cstheme="majorBidi"/>
        </w:rPr>
        <w:t>i</w:t>
      </w:r>
      <w:r w:rsidR="00615E58" w:rsidRPr="00615E58">
        <w:rPr>
          <w:rFonts w:asciiTheme="majorBidi" w:hAnsiTheme="majorBidi" w:cstheme="majorBidi"/>
        </w:rPr>
        <w:t>epirkuma</w:t>
      </w:r>
      <w:r w:rsidR="00767632">
        <w:rPr>
          <w:rFonts w:asciiTheme="majorBidi" w:hAnsiTheme="majorBidi" w:cstheme="majorBidi"/>
        </w:rPr>
        <w:t xml:space="preserve"> </w:t>
      </w:r>
      <w:r w:rsidR="00356FB0">
        <w:rPr>
          <w:rFonts w:asciiTheme="majorBidi" w:hAnsiTheme="majorBidi" w:cstheme="majorBidi"/>
        </w:rPr>
        <w:t>„</w:t>
      </w:r>
      <w:r w:rsidR="00A3025C" w:rsidRPr="00A3025C">
        <w:rPr>
          <w:rFonts w:asciiTheme="majorBidi" w:hAnsiTheme="majorBidi" w:cstheme="majorBidi"/>
        </w:rPr>
        <w:t>Atbalsta personas pakalpojums ģimenēm, kuras audzina bērnu ar funkcionēšanas traucējumiem” (id.</w:t>
      </w:r>
      <w:r w:rsidR="00A16B8A">
        <w:rPr>
          <w:rFonts w:asciiTheme="majorBidi" w:hAnsiTheme="majorBidi" w:cstheme="majorBidi"/>
        </w:rPr>
        <w:t> </w:t>
      </w:r>
      <w:r w:rsidR="00A3025C" w:rsidRPr="00A3025C">
        <w:rPr>
          <w:rFonts w:asciiTheme="majorBidi" w:hAnsiTheme="majorBidi" w:cstheme="majorBidi"/>
        </w:rPr>
        <w:t>Nr.</w:t>
      </w:r>
      <w:r w:rsidR="00A16B8A">
        <w:rPr>
          <w:rFonts w:asciiTheme="majorBidi" w:hAnsiTheme="majorBidi" w:cstheme="majorBidi"/>
        </w:rPr>
        <w:t> </w:t>
      </w:r>
      <w:r w:rsidR="00A3025C" w:rsidRPr="00A3025C">
        <w:rPr>
          <w:rFonts w:asciiTheme="majorBidi" w:hAnsiTheme="majorBidi" w:cstheme="majorBidi"/>
        </w:rPr>
        <w:t>CAIP 2025/25)</w:t>
      </w:r>
      <w:r w:rsidR="00615E58" w:rsidRPr="00615E58">
        <w:rPr>
          <w:rFonts w:asciiTheme="majorBidi" w:hAnsiTheme="majorBidi" w:cstheme="majorBidi"/>
        </w:rPr>
        <w:t xml:space="preserve"> (turpmāk – iepirkums)</w:t>
      </w:r>
      <w:r w:rsidR="00767632">
        <w:rPr>
          <w:rFonts w:asciiTheme="majorBidi" w:hAnsiTheme="majorBidi" w:cstheme="majorBidi"/>
        </w:rPr>
        <w:t xml:space="preserve"> </w:t>
      </w:r>
      <w:r w:rsidR="00767632">
        <w:t>pretendentiem</w:t>
      </w:r>
      <w:r w:rsidR="00615E58" w:rsidRPr="00615E58">
        <w:rPr>
          <w:rFonts w:asciiTheme="majorBidi" w:hAnsiTheme="majorBidi" w:cstheme="majorBidi"/>
        </w:rPr>
        <w:t>.</w:t>
      </w:r>
    </w:p>
    <w:p w14:paraId="5442C368" w14:textId="77777777" w:rsidR="00356FB0" w:rsidRDefault="00356FB0" w:rsidP="00385DA5">
      <w:pPr>
        <w:spacing w:line="276" w:lineRule="auto"/>
        <w:ind w:firstLine="720"/>
        <w:jc w:val="both"/>
        <w:rPr>
          <w:rFonts w:asciiTheme="majorBidi" w:hAnsiTheme="majorBidi" w:cstheme="majorBidi"/>
        </w:rPr>
      </w:pPr>
    </w:p>
    <w:p w14:paraId="0F0DF4D7" w14:textId="08BAD463" w:rsidR="009D7455" w:rsidRPr="00767632" w:rsidRDefault="00356FB0" w:rsidP="00385DA5">
      <w:pPr>
        <w:spacing w:line="276" w:lineRule="auto"/>
        <w:ind w:firstLine="720"/>
        <w:jc w:val="both"/>
        <w:rPr>
          <w:rFonts w:asciiTheme="majorBidi" w:hAnsiTheme="majorBidi" w:cstheme="majorBidi"/>
        </w:rPr>
      </w:pPr>
      <w:r>
        <w:rPr>
          <w:rFonts w:asciiTheme="majorBidi" w:hAnsiTheme="majorBidi" w:cstheme="majorBidi"/>
        </w:rPr>
        <w:t xml:space="preserve">[2] </w:t>
      </w:r>
      <w:r w:rsidR="00050481">
        <w:rPr>
          <w:rFonts w:asciiTheme="majorBidi" w:hAnsiTheme="majorBidi" w:cstheme="majorBidi"/>
        </w:rPr>
        <w:t>Pieteicēja</w:t>
      </w:r>
      <w:r w:rsidR="00501F5B">
        <w:rPr>
          <w:rFonts w:asciiTheme="majorBidi" w:hAnsiTheme="majorBidi" w:cstheme="majorBidi"/>
        </w:rPr>
        <w:t xml:space="preserve">, vēršoties birojā, </w:t>
      </w:r>
      <w:r w:rsidR="00767632">
        <w:rPr>
          <w:rFonts w:asciiTheme="majorBidi" w:hAnsiTheme="majorBidi" w:cstheme="majorBidi"/>
        </w:rPr>
        <w:t xml:space="preserve">norādīja, ka </w:t>
      </w:r>
      <w:r w:rsidR="007D2824">
        <w:rPr>
          <w:rFonts w:asciiTheme="majorBidi" w:hAnsiTheme="majorBidi" w:cstheme="majorBidi"/>
        </w:rPr>
        <w:t>tās</w:t>
      </w:r>
      <w:r w:rsidR="00767632">
        <w:rPr>
          <w:rFonts w:asciiTheme="majorBidi" w:hAnsiTheme="majorBidi" w:cstheme="majorBidi"/>
        </w:rPr>
        <w:t xml:space="preserve"> piedāvājums tika atzīts par neatbilstošu </w:t>
      </w:r>
      <w:r w:rsidR="00A16B8A">
        <w:rPr>
          <w:rFonts w:asciiTheme="majorBidi" w:hAnsiTheme="majorBidi" w:cstheme="majorBidi"/>
        </w:rPr>
        <w:t>i</w:t>
      </w:r>
      <w:r w:rsidR="00767632" w:rsidRPr="00767632">
        <w:rPr>
          <w:rFonts w:asciiTheme="majorBidi" w:hAnsiTheme="majorBidi" w:cstheme="majorBidi"/>
        </w:rPr>
        <w:t>epirkuma nolikuma prasībām, jo piedāvājumā norādītā pakalpojuma stundas likme pārsniedza pasūtītāja</w:t>
      </w:r>
      <w:r w:rsidR="00C00A9F">
        <w:rPr>
          <w:rFonts w:asciiTheme="majorBidi" w:hAnsiTheme="majorBidi" w:cstheme="majorBidi"/>
        </w:rPr>
        <w:t>s</w:t>
      </w:r>
      <w:r w:rsidR="00767632" w:rsidRPr="00767632">
        <w:rPr>
          <w:rFonts w:asciiTheme="majorBidi" w:hAnsiTheme="majorBidi" w:cstheme="majorBidi"/>
        </w:rPr>
        <w:t xml:space="preserve"> sagaidīto</w:t>
      </w:r>
      <w:r w:rsidR="00E729A0" w:rsidRPr="00501F5B">
        <w:rPr>
          <w:rFonts w:asciiTheme="majorBidi" w:hAnsiTheme="majorBidi" w:cstheme="majorBidi"/>
        </w:rPr>
        <w:t>.</w:t>
      </w:r>
      <w:r>
        <w:rPr>
          <w:rFonts w:asciiTheme="majorBidi" w:hAnsiTheme="majorBidi" w:cstheme="majorBidi"/>
        </w:rPr>
        <w:t xml:space="preserve"> P</w:t>
      </w:r>
      <w:r w:rsidR="007D2824">
        <w:rPr>
          <w:rFonts w:asciiTheme="majorBidi" w:hAnsiTheme="majorBidi" w:cstheme="majorBidi"/>
        </w:rPr>
        <w:t>ieteicēja</w:t>
      </w:r>
      <w:r w:rsidR="00767632">
        <w:rPr>
          <w:rFonts w:asciiTheme="majorBidi" w:hAnsiTheme="majorBidi" w:cstheme="majorBidi"/>
        </w:rPr>
        <w:t xml:space="preserve"> argumentēja, </w:t>
      </w:r>
      <w:r w:rsidR="007D2824">
        <w:rPr>
          <w:rFonts w:asciiTheme="majorBidi" w:hAnsiTheme="majorBidi" w:cstheme="majorBidi"/>
        </w:rPr>
        <w:t xml:space="preserve">ka </w:t>
      </w:r>
      <w:r w:rsidR="00C02FCF">
        <w:rPr>
          <w:rFonts w:asciiTheme="majorBidi" w:hAnsiTheme="majorBidi" w:cstheme="majorBidi"/>
        </w:rPr>
        <w:t>i</w:t>
      </w:r>
      <w:r w:rsidR="00767632" w:rsidRPr="00767632">
        <w:rPr>
          <w:rFonts w:asciiTheme="majorBidi" w:hAnsiTheme="majorBidi" w:cstheme="majorBidi"/>
        </w:rPr>
        <w:t>epirkuma nolikumā tieši nenorādītā stundas likme pretendentam, sagatavojot piedāvājumu, nebija un nevarēja būt zināma.</w:t>
      </w:r>
      <w:r w:rsidR="005C2A77">
        <w:rPr>
          <w:rFonts w:asciiTheme="majorBidi" w:hAnsiTheme="majorBidi" w:cstheme="majorBidi"/>
        </w:rPr>
        <w:t xml:space="preserve"> P</w:t>
      </w:r>
      <w:r w:rsidR="005C2A77" w:rsidRPr="005C2A77">
        <w:rPr>
          <w:rFonts w:asciiTheme="majorBidi" w:hAnsiTheme="majorBidi" w:cstheme="majorBidi"/>
        </w:rPr>
        <w:t xml:space="preserve">ēc iepazīšanās ar informāciju par </w:t>
      </w:r>
      <w:r w:rsidR="00230CF7">
        <w:rPr>
          <w:rFonts w:asciiTheme="majorBidi" w:hAnsiTheme="majorBidi" w:cstheme="majorBidi"/>
        </w:rPr>
        <w:t>i</w:t>
      </w:r>
      <w:r w:rsidR="005C2A77" w:rsidRPr="005C2A77">
        <w:rPr>
          <w:rFonts w:asciiTheme="majorBidi" w:hAnsiTheme="majorBidi" w:cstheme="majorBidi"/>
        </w:rPr>
        <w:t xml:space="preserve">epirkuma rezultātiem </w:t>
      </w:r>
      <w:r w:rsidR="00230CF7">
        <w:rPr>
          <w:rFonts w:asciiTheme="majorBidi" w:hAnsiTheme="majorBidi" w:cstheme="majorBidi"/>
        </w:rPr>
        <w:t>esot</w:t>
      </w:r>
      <w:r w:rsidR="005C2A77" w:rsidRPr="005C2A77">
        <w:rPr>
          <w:rFonts w:asciiTheme="majorBidi" w:hAnsiTheme="majorBidi" w:cstheme="majorBidi"/>
        </w:rPr>
        <w:t xml:space="preserve"> redzams, ka </w:t>
      </w:r>
      <w:r w:rsidR="00230CF7">
        <w:rPr>
          <w:rFonts w:asciiTheme="majorBidi" w:hAnsiTheme="majorBidi" w:cstheme="majorBidi"/>
        </w:rPr>
        <w:t>p</w:t>
      </w:r>
      <w:r w:rsidR="005C2A77" w:rsidRPr="005C2A77">
        <w:rPr>
          <w:rFonts w:asciiTheme="majorBidi" w:hAnsiTheme="majorBidi" w:cstheme="majorBidi"/>
        </w:rPr>
        <w:t>asūtītāj</w:t>
      </w:r>
      <w:r w:rsidR="00230CF7">
        <w:rPr>
          <w:rFonts w:asciiTheme="majorBidi" w:hAnsiTheme="majorBidi" w:cstheme="majorBidi"/>
        </w:rPr>
        <w:t xml:space="preserve">a </w:t>
      </w:r>
      <w:r w:rsidR="005C2A77" w:rsidRPr="005C2A77">
        <w:rPr>
          <w:rFonts w:asciiTheme="majorBidi" w:hAnsiTheme="majorBidi" w:cstheme="majorBidi"/>
        </w:rPr>
        <w:t>bija vēlēj</w:t>
      </w:r>
      <w:r w:rsidR="00230CF7">
        <w:rPr>
          <w:rFonts w:asciiTheme="majorBidi" w:hAnsiTheme="majorBidi" w:cstheme="majorBidi"/>
        </w:rPr>
        <w:t>usies</w:t>
      </w:r>
      <w:r w:rsidR="005C2A77" w:rsidRPr="005C2A77">
        <w:rPr>
          <w:rFonts w:asciiTheme="majorBidi" w:hAnsiTheme="majorBidi" w:cstheme="majorBidi"/>
        </w:rPr>
        <w:t xml:space="preserve"> saņemt piedāvājumus ar cenu, kas nepārsniedz 13</w:t>
      </w:r>
      <w:r w:rsidR="001D6790">
        <w:rPr>
          <w:rFonts w:asciiTheme="majorBidi" w:hAnsiTheme="majorBidi" w:cstheme="majorBidi"/>
        </w:rPr>
        <w:t>,</w:t>
      </w:r>
      <w:r w:rsidR="005C2A77" w:rsidRPr="005C2A77">
        <w:rPr>
          <w:rFonts w:asciiTheme="majorBidi" w:hAnsiTheme="majorBidi" w:cstheme="majorBidi"/>
        </w:rPr>
        <w:t>45</w:t>
      </w:r>
      <w:r w:rsidR="005C2A77">
        <w:rPr>
          <w:rFonts w:asciiTheme="majorBidi" w:hAnsiTheme="majorBidi" w:cstheme="majorBidi"/>
        </w:rPr>
        <w:t> </w:t>
      </w:r>
      <w:r w:rsidRPr="00356FB0">
        <w:rPr>
          <w:rFonts w:asciiTheme="majorBidi" w:hAnsiTheme="majorBidi" w:cstheme="majorBidi"/>
          <w:i/>
          <w:iCs/>
        </w:rPr>
        <w:t>euro</w:t>
      </w:r>
      <w:r w:rsidR="005C2A77" w:rsidRPr="005C2A77">
        <w:rPr>
          <w:rFonts w:asciiTheme="majorBidi" w:hAnsiTheme="majorBidi" w:cstheme="majorBidi"/>
        </w:rPr>
        <w:t xml:space="preserve"> par vienu stundu. Taču no </w:t>
      </w:r>
      <w:r w:rsidR="00C02FCF">
        <w:rPr>
          <w:rFonts w:asciiTheme="majorBidi" w:hAnsiTheme="majorBidi" w:cstheme="majorBidi"/>
        </w:rPr>
        <w:t>i</w:t>
      </w:r>
      <w:r w:rsidR="005C2A77" w:rsidRPr="005C2A77">
        <w:rPr>
          <w:rFonts w:asciiTheme="majorBidi" w:hAnsiTheme="majorBidi" w:cstheme="majorBidi"/>
        </w:rPr>
        <w:t xml:space="preserve">epirkuma dokumentu teksta šāds ierobežojums nebija skaidri secināms. Līdz ar to </w:t>
      </w:r>
      <w:r w:rsidR="007D53B3">
        <w:t xml:space="preserve">pieteicējas </w:t>
      </w:r>
      <w:r w:rsidR="005C2A77" w:rsidRPr="005C2A77">
        <w:rPr>
          <w:rFonts w:asciiTheme="majorBidi" w:hAnsiTheme="majorBidi" w:cstheme="majorBidi"/>
        </w:rPr>
        <w:t xml:space="preserve">piedāvājums ir noraidīts nepamatoti, prettiesiski un neatbilstoši </w:t>
      </w:r>
      <w:r w:rsidR="0064538C">
        <w:rPr>
          <w:rFonts w:asciiTheme="majorBidi" w:hAnsiTheme="majorBidi" w:cstheme="majorBidi"/>
        </w:rPr>
        <w:t>i</w:t>
      </w:r>
      <w:r w:rsidR="005C2A77" w:rsidRPr="005C2A77">
        <w:rPr>
          <w:rFonts w:asciiTheme="majorBidi" w:hAnsiTheme="majorBidi" w:cstheme="majorBidi"/>
        </w:rPr>
        <w:t>epirkuma dokumentos ietvertajām prasībām.</w:t>
      </w:r>
    </w:p>
    <w:p w14:paraId="68A11231" w14:textId="468384CC" w:rsidR="00767632" w:rsidRPr="00E729A0" w:rsidRDefault="00767632" w:rsidP="00385DA5">
      <w:pPr>
        <w:spacing w:line="276" w:lineRule="auto"/>
        <w:ind w:firstLine="720"/>
        <w:jc w:val="both"/>
        <w:rPr>
          <w:rFonts w:asciiTheme="majorBidi" w:hAnsiTheme="majorBidi" w:cstheme="majorBidi"/>
        </w:rPr>
      </w:pPr>
      <w:r w:rsidRPr="00767632">
        <w:rPr>
          <w:rFonts w:asciiTheme="majorBidi" w:hAnsiTheme="majorBidi" w:cstheme="majorBidi"/>
        </w:rPr>
        <w:t>Birojs pieteicējas iesniegumu noraidīja un atļāva pasūtītājai slēgt vispār</w:t>
      </w:r>
      <w:r w:rsidR="000D7F1E">
        <w:rPr>
          <w:rFonts w:asciiTheme="majorBidi" w:hAnsiTheme="majorBidi" w:cstheme="majorBidi"/>
        </w:rPr>
        <w:t>īgo</w:t>
      </w:r>
      <w:r w:rsidRPr="00767632">
        <w:rPr>
          <w:rFonts w:asciiTheme="majorBidi" w:hAnsiTheme="majorBidi" w:cstheme="majorBidi"/>
        </w:rPr>
        <w:t xml:space="preserve"> vienošanos ar pārējiem </w:t>
      </w:r>
      <w:r w:rsidR="00C26292">
        <w:rPr>
          <w:rFonts w:asciiTheme="majorBidi" w:hAnsiTheme="majorBidi" w:cstheme="majorBidi"/>
        </w:rPr>
        <w:t xml:space="preserve">pretendentiem. </w:t>
      </w:r>
      <w:r w:rsidR="004B0A2F">
        <w:rPr>
          <w:rFonts w:asciiTheme="majorBidi" w:hAnsiTheme="majorBidi" w:cstheme="majorBidi"/>
        </w:rPr>
        <w:t xml:space="preserve">Birojs </w:t>
      </w:r>
      <w:r w:rsidR="004B0A2F" w:rsidRPr="004B0A2F">
        <w:rPr>
          <w:rFonts w:asciiTheme="majorBidi" w:hAnsiTheme="majorBidi" w:cstheme="majorBidi"/>
        </w:rPr>
        <w:t>konstatē</w:t>
      </w:r>
      <w:r w:rsidR="00C00A9F">
        <w:rPr>
          <w:rFonts w:asciiTheme="majorBidi" w:hAnsiTheme="majorBidi" w:cstheme="majorBidi"/>
        </w:rPr>
        <w:t>ja</w:t>
      </w:r>
      <w:r w:rsidR="004B0A2F" w:rsidRPr="004B0A2F">
        <w:rPr>
          <w:rFonts w:asciiTheme="majorBidi" w:hAnsiTheme="majorBidi" w:cstheme="majorBidi"/>
        </w:rPr>
        <w:t xml:space="preserve">, ka </w:t>
      </w:r>
      <w:r w:rsidR="004B0A2F">
        <w:rPr>
          <w:rFonts w:asciiTheme="majorBidi" w:hAnsiTheme="majorBidi" w:cstheme="majorBidi"/>
        </w:rPr>
        <w:t>p</w:t>
      </w:r>
      <w:r w:rsidR="004B0A2F" w:rsidRPr="004B0A2F">
        <w:rPr>
          <w:rFonts w:asciiTheme="majorBidi" w:hAnsiTheme="majorBidi" w:cstheme="majorBidi"/>
        </w:rPr>
        <w:t>asūtītāj</w:t>
      </w:r>
      <w:r w:rsidR="00C00A9F">
        <w:rPr>
          <w:rFonts w:asciiTheme="majorBidi" w:hAnsiTheme="majorBidi" w:cstheme="majorBidi"/>
        </w:rPr>
        <w:t xml:space="preserve">a </w:t>
      </w:r>
      <w:r w:rsidR="00C02FCF">
        <w:rPr>
          <w:rFonts w:asciiTheme="majorBidi" w:hAnsiTheme="majorBidi" w:cstheme="majorBidi"/>
        </w:rPr>
        <w:t>i</w:t>
      </w:r>
      <w:r w:rsidR="004B0A2F" w:rsidRPr="004B0A2F">
        <w:rPr>
          <w:rFonts w:asciiTheme="majorBidi" w:hAnsiTheme="majorBidi" w:cstheme="majorBidi"/>
        </w:rPr>
        <w:t>epirkuma nolikum</w:t>
      </w:r>
      <w:r w:rsidR="00356FB0">
        <w:rPr>
          <w:rFonts w:asciiTheme="majorBidi" w:hAnsiTheme="majorBidi" w:cstheme="majorBidi"/>
        </w:rPr>
        <w:t>ā</w:t>
      </w:r>
      <w:r w:rsidR="004B0A2F" w:rsidRPr="004B0A2F">
        <w:rPr>
          <w:rFonts w:asciiTheme="majorBidi" w:hAnsiTheme="majorBidi" w:cstheme="majorBidi"/>
        </w:rPr>
        <w:t xml:space="preserve"> ir notei</w:t>
      </w:r>
      <w:r w:rsidR="00C00A9F">
        <w:rPr>
          <w:rFonts w:asciiTheme="majorBidi" w:hAnsiTheme="majorBidi" w:cstheme="majorBidi"/>
        </w:rPr>
        <w:t>kusi</w:t>
      </w:r>
      <w:r w:rsidR="004B0A2F" w:rsidRPr="004B0A2F">
        <w:rPr>
          <w:rFonts w:asciiTheme="majorBidi" w:hAnsiTheme="majorBidi" w:cstheme="majorBidi"/>
        </w:rPr>
        <w:t xml:space="preserve"> maksimālo līgumcenu, ko t</w:t>
      </w:r>
      <w:r w:rsidR="00C00A9F">
        <w:rPr>
          <w:rFonts w:asciiTheme="majorBidi" w:hAnsiTheme="majorBidi" w:cstheme="majorBidi"/>
        </w:rPr>
        <w:t xml:space="preserve">ā </w:t>
      </w:r>
      <w:r w:rsidR="004B0A2F" w:rsidRPr="004B0A2F">
        <w:rPr>
          <w:rFonts w:asciiTheme="majorBidi" w:hAnsiTheme="majorBidi" w:cstheme="majorBidi"/>
        </w:rPr>
        <w:t>ir paredzēj</w:t>
      </w:r>
      <w:r w:rsidR="00C00A9F">
        <w:rPr>
          <w:rFonts w:asciiTheme="majorBidi" w:hAnsiTheme="majorBidi" w:cstheme="majorBidi"/>
        </w:rPr>
        <w:t>usi</w:t>
      </w:r>
      <w:r w:rsidR="004B0A2F" w:rsidRPr="004B0A2F">
        <w:rPr>
          <w:rFonts w:asciiTheme="majorBidi" w:hAnsiTheme="majorBidi" w:cstheme="majorBidi"/>
        </w:rPr>
        <w:t xml:space="preserve"> konkrētā iepirkuma </w:t>
      </w:r>
      <w:r w:rsidR="004B0A2F" w:rsidRPr="004B0A2F">
        <w:rPr>
          <w:rFonts w:asciiTheme="majorBidi" w:hAnsiTheme="majorBidi" w:cstheme="majorBidi"/>
        </w:rPr>
        <w:lastRenderedPageBreak/>
        <w:t xml:space="preserve">priekšmeta </w:t>
      </w:r>
      <w:r w:rsidR="00356FB0">
        <w:rPr>
          <w:rFonts w:asciiTheme="majorBidi" w:hAnsiTheme="majorBidi" w:cstheme="majorBidi"/>
        </w:rPr>
        <w:t>īstenošanai</w:t>
      </w:r>
      <w:r w:rsidR="004B0A2F" w:rsidRPr="004B0A2F">
        <w:rPr>
          <w:rFonts w:asciiTheme="majorBidi" w:hAnsiTheme="majorBidi" w:cstheme="majorBidi"/>
        </w:rPr>
        <w:t xml:space="preserve">. Vienlaikus </w:t>
      </w:r>
      <w:r w:rsidR="004B0A2F">
        <w:rPr>
          <w:rFonts w:asciiTheme="majorBidi" w:hAnsiTheme="majorBidi" w:cstheme="majorBidi"/>
        </w:rPr>
        <w:t>p</w:t>
      </w:r>
      <w:r w:rsidR="004B0A2F" w:rsidRPr="004B0A2F">
        <w:rPr>
          <w:rFonts w:asciiTheme="majorBidi" w:hAnsiTheme="majorBidi" w:cstheme="majorBidi"/>
        </w:rPr>
        <w:t>asūtītāj</w:t>
      </w:r>
      <w:r w:rsidR="00C00A9F">
        <w:rPr>
          <w:rFonts w:asciiTheme="majorBidi" w:hAnsiTheme="majorBidi" w:cstheme="majorBidi"/>
        </w:rPr>
        <w:t>a</w:t>
      </w:r>
      <w:r w:rsidR="004B0A2F" w:rsidRPr="004B0A2F">
        <w:rPr>
          <w:rFonts w:asciiTheme="majorBidi" w:hAnsiTheme="majorBidi" w:cstheme="majorBidi"/>
        </w:rPr>
        <w:t xml:space="preserve"> </w:t>
      </w:r>
      <w:r w:rsidR="00C02FCF">
        <w:rPr>
          <w:rFonts w:asciiTheme="majorBidi" w:hAnsiTheme="majorBidi" w:cstheme="majorBidi"/>
        </w:rPr>
        <w:t>i</w:t>
      </w:r>
      <w:r w:rsidR="004B0A2F" w:rsidRPr="004B0A2F">
        <w:rPr>
          <w:rFonts w:asciiTheme="majorBidi" w:hAnsiTheme="majorBidi" w:cstheme="majorBidi"/>
        </w:rPr>
        <w:t>epirkuma nolikum</w:t>
      </w:r>
      <w:r w:rsidR="00356FB0">
        <w:rPr>
          <w:rFonts w:asciiTheme="majorBidi" w:hAnsiTheme="majorBidi" w:cstheme="majorBidi"/>
        </w:rPr>
        <w:t>ā</w:t>
      </w:r>
      <w:r w:rsidR="004B0A2F" w:rsidRPr="004B0A2F">
        <w:rPr>
          <w:rFonts w:asciiTheme="majorBidi" w:hAnsiTheme="majorBidi" w:cstheme="majorBidi"/>
        </w:rPr>
        <w:t xml:space="preserve"> ir notei</w:t>
      </w:r>
      <w:r w:rsidR="00C00A9F">
        <w:rPr>
          <w:rFonts w:asciiTheme="majorBidi" w:hAnsiTheme="majorBidi" w:cstheme="majorBidi"/>
        </w:rPr>
        <w:t>kusi</w:t>
      </w:r>
      <w:r w:rsidR="004B0A2F" w:rsidRPr="004B0A2F">
        <w:rPr>
          <w:rFonts w:asciiTheme="majorBidi" w:hAnsiTheme="majorBidi" w:cstheme="majorBidi"/>
        </w:rPr>
        <w:t xml:space="preserve"> pretendentiem ierobežojumu finanšu piedāvājumam attiecībā uz piedāvājamās vienas pakalpojuma stundas cenu, ievērojot nosacījumu, ka pretendentam jāspēj nodrošināt vis</w:t>
      </w:r>
      <w:r w:rsidR="00356FB0">
        <w:rPr>
          <w:rFonts w:asciiTheme="majorBidi" w:hAnsiTheme="majorBidi" w:cstheme="majorBidi"/>
        </w:rPr>
        <w:t>u</w:t>
      </w:r>
      <w:r w:rsidR="004B0A2F" w:rsidRPr="004B0A2F">
        <w:rPr>
          <w:rFonts w:asciiTheme="majorBidi" w:hAnsiTheme="majorBidi" w:cstheme="majorBidi"/>
        </w:rPr>
        <w:t xml:space="preserve"> pakalpojuma apjom</w:t>
      </w:r>
      <w:r w:rsidR="00356FB0">
        <w:rPr>
          <w:rFonts w:asciiTheme="majorBidi" w:hAnsiTheme="majorBidi" w:cstheme="majorBidi"/>
        </w:rPr>
        <w:t>u</w:t>
      </w:r>
      <w:r w:rsidR="004B0A2F" w:rsidRPr="004B0A2F">
        <w:rPr>
          <w:rFonts w:asciiTheme="majorBidi" w:hAnsiTheme="majorBidi" w:cstheme="majorBidi"/>
        </w:rPr>
        <w:t xml:space="preserve"> </w:t>
      </w:r>
      <w:r w:rsidR="00011DC3">
        <w:rPr>
          <w:rFonts w:asciiTheme="majorBidi" w:hAnsiTheme="majorBidi" w:cstheme="majorBidi"/>
        </w:rPr>
        <w:t>noteiktā vērtībā</w:t>
      </w:r>
      <w:r w:rsidR="00356FB0">
        <w:rPr>
          <w:rFonts w:asciiTheme="majorBidi" w:hAnsiTheme="majorBidi" w:cstheme="majorBidi"/>
        </w:rPr>
        <w:t>.</w:t>
      </w:r>
      <w:r w:rsidR="004B0A2F" w:rsidRPr="004B0A2F">
        <w:rPr>
          <w:rFonts w:asciiTheme="majorBidi" w:hAnsiTheme="majorBidi" w:cstheme="majorBidi"/>
        </w:rPr>
        <w:t xml:space="preserve"> </w:t>
      </w:r>
    </w:p>
    <w:p w14:paraId="307D7751" w14:textId="77777777" w:rsidR="00E729A0" w:rsidRDefault="00E729A0" w:rsidP="00385DA5">
      <w:pPr>
        <w:spacing w:line="276" w:lineRule="auto"/>
        <w:ind w:firstLine="720"/>
        <w:jc w:val="both"/>
        <w:rPr>
          <w:rFonts w:asciiTheme="majorBidi" w:hAnsiTheme="majorBidi" w:cstheme="majorBidi"/>
        </w:rPr>
      </w:pPr>
    </w:p>
    <w:p w14:paraId="3DB3CF30" w14:textId="2D2BA1F1" w:rsidR="00CF1A4B" w:rsidRDefault="009D7455" w:rsidP="00385DA5">
      <w:pPr>
        <w:spacing w:line="276" w:lineRule="auto"/>
        <w:ind w:firstLine="720"/>
        <w:jc w:val="both"/>
        <w:rPr>
          <w:rFonts w:asciiTheme="majorBidi" w:hAnsiTheme="majorBidi" w:cstheme="majorBidi"/>
        </w:rPr>
      </w:pPr>
      <w:r w:rsidRPr="00DE6BC0">
        <w:rPr>
          <w:rFonts w:asciiTheme="majorBidi" w:hAnsiTheme="majorBidi" w:cstheme="majorBidi"/>
        </w:rPr>
        <w:t>[</w:t>
      </w:r>
      <w:r w:rsidR="00DD72DF">
        <w:rPr>
          <w:rFonts w:asciiTheme="majorBidi" w:hAnsiTheme="majorBidi" w:cstheme="majorBidi"/>
        </w:rPr>
        <w:t>3</w:t>
      </w:r>
      <w:r w:rsidRPr="00DE6BC0">
        <w:rPr>
          <w:rFonts w:asciiTheme="majorBidi" w:hAnsiTheme="majorBidi" w:cstheme="majorBidi"/>
        </w:rPr>
        <w:t>]</w:t>
      </w:r>
      <w:r w:rsidR="00B12F77">
        <w:rPr>
          <w:rFonts w:asciiTheme="majorBidi" w:hAnsiTheme="majorBidi" w:cstheme="majorBidi"/>
        </w:rPr>
        <w:t xml:space="preserve"> </w:t>
      </w:r>
      <w:r w:rsidR="00501F5B">
        <w:rPr>
          <w:rFonts w:asciiTheme="majorBidi" w:hAnsiTheme="majorBidi" w:cstheme="majorBidi"/>
        </w:rPr>
        <w:t>A</w:t>
      </w:r>
      <w:r w:rsidR="00356FB0">
        <w:rPr>
          <w:rFonts w:asciiTheme="majorBidi" w:hAnsiTheme="majorBidi" w:cstheme="majorBidi"/>
        </w:rPr>
        <w:t>dministratīvā rajona tiesa a</w:t>
      </w:r>
      <w:r w:rsidR="00501F5B">
        <w:rPr>
          <w:rFonts w:asciiTheme="majorBidi" w:hAnsiTheme="majorBidi" w:cstheme="majorBidi"/>
        </w:rPr>
        <w:t xml:space="preserve">r </w:t>
      </w:r>
      <w:r w:rsidR="00615E58">
        <w:rPr>
          <w:rFonts w:asciiTheme="majorBidi" w:hAnsiTheme="majorBidi" w:cstheme="majorBidi"/>
        </w:rPr>
        <w:t>2025.gada 17.</w:t>
      </w:r>
      <w:r w:rsidR="00767632">
        <w:rPr>
          <w:rFonts w:asciiTheme="majorBidi" w:hAnsiTheme="majorBidi" w:cstheme="majorBidi"/>
        </w:rPr>
        <w:t>oktobra</w:t>
      </w:r>
      <w:r w:rsidR="00501F5B">
        <w:rPr>
          <w:rFonts w:asciiTheme="majorBidi" w:hAnsiTheme="majorBidi" w:cstheme="majorBidi"/>
        </w:rPr>
        <w:t xml:space="preserve"> lēmumu </w:t>
      </w:r>
      <w:r w:rsidR="00615E58">
        <w:rPr>
          <w:rFonts w:asciiTheme="majorBidi" w:hAnsiTheme="majorBidi" w:cstheme="majorBidi"/>
        </w:rPr>
        <w:t>noraidīja pieteicējas lūgumu piemērot pagaidu aizsardzību</w:t>
      </w:r>
      <w:r w:rsidR="00751565">
        <w:rPr>
          <w:rFonts w:asciiTheme="majorBidi" w:hAnsiTheme="majorBidi" w:cstheme="majorBidi"/>
        </w:rPr>
        <w:t>,</w:t>
      </w:r>
      <w:r w:rsidR="00050481">
        <w:rPr>
          <w:rFonts w:asciiTheme="majorBidi" w:hAnsiTheme="majorBidi" w:cstheme="majorBidi"/>
        </w:rPr>
        <w:t xml:space="preserve"> </w:t>
      </w:r>
      <w:r w:rsidR="00333A7B">
        <w:rPr>
          <w:rFonts w:asciiTheme="majorBidi" w:hAnsiTheme="majorBidi" w:cstheme="majorBidi"/>
        </w:rPr>
        <w:t xml:space="preserve">lēmumu </w:t>
      </w:r>
      <w:r w:rsidR="00751565">
        <w:rPr>
          <w:rFonts w:asciiTheme="majorBidi" w:hAnsiTheme="majorBidi" w:cstheme="majorBidi"/>
        </w:rPr>
        <w:t>motivējot ar tālāk izklāstītajiem argumentiem.</w:t>
      </w:r>
    </w:p>
    <w:p w14:paraId="4A8E0075" w14:textId="343AA7CB" w:rsidR="006F3F34" w:rsidRDefault="00AB1941" w:rsidP="00385DA5">
      <w:pPr>
        <w:spacing w:line="276" w:lineRule="auto"/>
        <w:ind w:firstLine="720"/>
        <w:jc w:val="both"/>
        <w:rPr>
          <w:rFonts w:asciiTheme="majorBidi" w:hAnsiTheme="majorBidi" w:cstheme="majorBidi"/>
        </w:rPr>
      </w:pPr>
      <w:r>
        <w:rPr>
          <w:rFonts w:asciiTheme="majorBidi" w:hAnsiTheme="majorBidi" w:cstheme="majorBidi"/>
        </w:rPr>
        <w:t>[</w:t>
      </w:r>
      <w:r w:rsidR="00DD72DF">
        <w:rPr>
          <w:rFonts w:asciiTheme="majorBidi" w:hAnsiTheme="majorBidi" w:cstheme="majorBidi"/>
        </w:rPr>
        <w:t>3</w:t>
      </w:r>
      <w:r>
        <w:rPr>
          <w:rFonts w:asciiTheme="majorBidi" w:hAnsiTheme="majorBidi" w:cstheme="majorBidi"/>
        </w:rPr>
        <w:t xml:space="preserve">.1] </w:t>
      </w:r>
      <w:r w:rsidR="00FD07CB">
        <w:rPr>
          <w:rFonts w:asciiTheme="majorBidi" w:hAnsiTheme="majorBidi" w:cstheme="majorBidi"/>
        </w:rPr>
        <w:t>I</w:t>
      </w:r>
      <w:r w:rsidR="00FD07CB" w:rsidRPr="00FD07CB">
        <w:rPr>
          <w:rFonts w:asciiTheme="majorBidi" w:hAnsiTheme="majorBidi" w:cstheme="majorBidi"/>
        </w:rPr>
        <w:t xml:space="preserve">epirkuma nolikuma 1.pielikuma </w:t>
      </w:r>
      <w:r w:rsidR="00DC6875" w:rsidRPr="00DE6BC0">
        <w:t>„</w:t>
      </w:r>
      <w:r w:rsidR="00FD07CB" w:rsidRPr="00FD07CB">
        <w:rPr>
          <w:rFonts w:asciiTheme="majorBidi" w:hAnsiTheme="majorBidi" w:cstheme="majorBidi"/>
        </w:rPr>
        <w:t xml:space="preserve">Tehniskā specifikācija” 5.punktā </w:t>
      </w:r>
      <w:r w:rsidR="00DC6875" w:rsidRPr="00DE6BC0">
        <w:t>„</w:t>
      </w:r>
      <w:r w:rsidR="00FD07CB" w:rsidRPr="00FD07CB">
        <w:rPr>
          <w:rFonts w:asciiTheme="majorBidi" w:hAnsiTheme="majorBidi" w:cstheme="majorBidi"/>
        </w:rPr>
        <w:t xml:space="preserve">Pakalpojuma apjoms” norādīts </w:t>
      </w:r>
      <w:r w:rsidR="00DD72DF">
        <w:rPr>
          <w:rFonts w:asciiTheme="majorBidi" w:hAnsiTheme="majorBidi" w:cstheme="majorBidi"/>
        </w:rPr>
        <w:t>– līdz</w:t>
      </w:r>
      <w:r w:rsidR="00FD07CB" w:rsidRPr="00FD07CB">
        <w:rPr>
          <w:rFonts w:asciiTheme="majorBidi" w:hAnsiTheme="majorBidi" w:cstheme="majorBidi"/>
        </w:rPr>
        <w:t xml:space="preserve"> 300</w:t>
      </w:r>
      <w:r w:rsidR="008454FF">
        <w:rPr>
          <w:rFonts w:asciiTheme="majorBidi" w:hAnsiTheme="majorBidi" w:cstheme="majorBidi"/>
        </w:rPr>
        <w:t> </w:t>
      </w:r>
      <w:r w:rsidR="00FD07CB" w:rsidRPr="00FD07CB">
        <w:rPr>
          <w:rFonts w:asciiTheme="majorBidi" w:hAnsiTheme="majorBidi" w:cstheme="majorBidi"/>
        </w:rPr>
        <w:t>612 stundām bērniem ar funkcionāliem traucējumiem.</w:t>
      </w:r>
      <w:r w:rsidR="00FD07CB">
        <w:rPr>
          <w:rFonts w:asciiTheme="majorBidi" w:hAnsiTheme="majorBidi" w:cstheme="majorBidi"/>
        </w:rPr>
        <w:t xml:space="preserve"> </w:t>
      </w:r>
      <w:r w:rsidR="00FD07CB" w:rsidRPr="00FD07CB">
        <w:rPr>
          <w:rFonts w:asciiTheme="majorBidi" w:hAnsiTheme="majorBidi" w:cstheme="majorBidi"/>
        </w:rPr>
        <w:t>Vienlaikus iepirkuma nolikuma 2.1.5.apakšpunkts noteic, ka kopējā maksimālā līgumcena 36 mēnešiem ir 4</w:t>
      </w:r>
      <w:r w:rsidR="008454FF">
        <w:rPr>
          <w:rFonts w:asciiTheme="majorBidi" w:hAnsiTheme="majorBidi" w:cstheme="majorBidi"/>
        </w:rPr>
        <w:t> </w:t>
      </w:r>
      <w:r w:rsidR="00FD07CB" w:rsidRPr="00FD07CB">
        <w:rPr>
          <w:rFonts w:asciiTheme="majorBidi" w:hAnsiTheme="majorBidi" w:cstheme="majorBidi"/>
        </w:rPr>
        <w:t>043</w:t>
      </w:r>
      <w:r w:rsidR="00F91E2E">
        <w:rPr>
          <w:rFonts w:asciiTheme="majorBidi" w:hAnsiTheme="majorBidi" w:cstheme="majorBidi"/>
        </w:rPr>
        <w:t> </w:t>
      </w:r>
      <w:r w:rsidR="00FD07CB" w:rsidRPr="00FD07CB">
        <w:rPr>
          <w:rFonts w:asciiTheme="majorBidi" w:hAnsiTheme="majorBidi" w:cstheme="majorBidi"/>
        </w:rPr>
        <w:t>232</w:t>
      </w:r>
      <w:r w:rsidR="00F91E2E">
        <w:rPr>
          <w:rFonts w:asciiTheme="majorBidi" w:hAnsiTheme="majorBidi" w:cstheme="majorBidi"/>
        </w:rPr>
        <w:t xml:space="preserve"> </w:t>
      </w:r>
      <w:r w:rsidR="00FD07CB">
        <w:rPr>
          <w:rFonts w:asciiTheme="majorBidi" w:hAnsiTheme="majorBidi" w:cstheme="majorBidi"/>
        </w:rPr>
        <w:t> </w:t>
      </w:r>
      <w:r w:rsidR="00356FB0" w:rsidRPr="00356FB0">
        <w:rPr>
          <w:rFonts w:asciiTheme="majorBidi" w:hAnsiTheme="majorBidi" w:cstheme="majorBidi"/>
          <w:i/>
          <w:iCs/>
        </w:rPr>
        <w:t>euro</w:t>
      </w:r>
      <w:r w:rsidR="00FD07CB" w:rsidRPr="00FD07CB">
        <w:rPr>
          <w:rFonts w:asciiTheme="majorBidi" w:hAnsiTheme="majorBidi" w:cstheme="majorBidi"/>
          <w:i/>
          <w:iCs/>
        </w:rPr>
        <w:t xml:space="preserve">. </w:t>
      </w:r>
      <w:r w:rsidR="00FD07CB" w:rsidRPr="00FD07CB">
        <w:rPr>
          <w:rFonts w:asciiTheme="majorBidi" w:hAnsiTheme="majorBidi" w:cstheme="majorBidi"/>
        </w:rPr>
        <w:t>Savukārt iepirkuma nolikuma 4.3.5.apakšpunkts paredz, ka finanšu piedāvājums par vienu pakalpojuma stundu nedrīkst pārsniegt maksimālo pakalpojuma apjomu kopumā (tehniskās specifikācijas/tehniskā piedāvājuma 5.punkts), ka pretendentam jāspēj nodrošināt vis</w:t>
      </w:r>
      <w:r w:rsidR="00356FB0">
        <w:rPr>
          <w:rFonts w:asciiTheme="majorBidi" w:hAnsiTheme="majorBidi" w:cstheme="majorBidi"/>
        </w:rPr>
        <w:t>u</w:t>
      </w:r>
      <w:r w:rsidR="00FD07CB" w:rsidRPr="00FD07CB">
        <w:rPr>
          <w:rFonts w:asciiTheme="majorBidi" w:hAnsiTheme="majorBidi" w:cstheme="majorBidi"/>
        </w:rPr>
        <w:t xml:space="preserve"> pakalpojuma apjom</w:t>
      </w:r>
      <w:r w:rsidR="00356FB0">
        <w:rPr>
          <w:rFonts w:asciiTheme="majorBidi" w:hAnsiTheme="majorBidi" w:cstheme="majorBidi"/>
        </w:rPr>
        <w:t>u</w:t>
      </w:r>
      <w:r w:rsidR="00FD07CB" w:rsidRPr="00FD07CB">
        <w:rPr>
          <w:rFonts w:asciiTheme="majorBidi" w:hAnsiTheme="majorBidi" w:cstheme="majorBidi"/>
        </w:rPr>
        <w:t>.</w:t>
      </w:r>
      <w:r w:rsidR="00FD07CB" w:rsidRPr="00FD07CB">
        <w:rPr>
          <w:rFonts w:eastAsiaTheme="minorHAnsi"/>
          <w:color w:val="000000"/>
          <w:sz w:val="23"/>
          <w:szCs w:val="23"/>
          <w:lang w:eastAsia="en-US"/>
        </w:rPr>
        <w:t xml:space="preserve"> </w:t>
      </w:r>
      <w:r w:rsidR="00FD07CB" w:rsidRPr="00FD07CB">
        <w:rPr>
          <w:rFonts w:asciiTheme="majorBidi" w:hAnsiTheme="majorBidi" w:cstheme="majorBidi"/>
        </w:rPr>
        <w:t>No minētaj</w:t>
      </w:r>
      <w:r w:rsidR="00DD72DF">
        <w:rPr>
          <w:rFonts w:asciiTheme="majorBidi" w:hAnsiTheme="majorBidi" w:cstheme="majorBidi"/>
        </w:rPr>
        <w:t>ām</w:t>
      </w:r>
      <w:r w:rsidR="00FD07CB" w:rsidRPr="00FD07CB">
        <w:rPr>
          <w:rFonts w:asciiTheme="majorBidi" w:hAnsiTheme="majorBidi" w:cstheme="majorBidi"/>
        </w:rPr>
        <w:t xml:space="preserve"> iepirkuma nolikuma </w:t>
      </w:r>
      <w:r w:rsidR="00DD72DF">
        <w:rPr>
          <w:rFonts w:asciiTheme="majorBidi" w:hAnsiTheme="majorBidi" w:cstheme="majorBidi"/>
        </w:rPr>
        <w:t>prasībām</w:t>
      </w:r>
      <w:r w:rsidR="00FD07CB" w:rsidRPr="00FD07CB">
        <w:rPr>
          <w:rFonts w:asciiTheme="majorBidi" w:hAnsiTheme="majorBidi" w:cstheme="majorBidi"/>
        </w:rPr>
        <w:t xml:space="preserve"> secināms, ka pretendentam ir jāspēj nodrošināt vis</w:t>
      </w:r>
      <w:r w:rsidR="00356FB0">
        <w:rPr>
          <w:rFonts w:asciiTheme="majorBidi" w:hAnsiTheme="majorBidi" w:cstheme="majorBidi"/>
        </w:rPr>
        <w:t>u</w:t>
      </w:r>
      <w:r w:rsidR="00FD07CB" w:rsidRPr="00FD07CB">
        <w:rPr>
          <w:rFonts w:asciiTheme="majorBidi" w:hAnsiTheme="majorBidi" w:cstheme="majorBidi"/>
        </w:rPr>
        <w:t xml:space="preserve"> pakalpojuma apjom</w:t>
      </w:r>
      <w:r w:rsidR="00356FB0">
        <w:rPr>
          <w:rFonts w:asciiTheme="majorBidi" w:hAnsiTheme="majorBidi" w:cstheme="majorBidi"/>
        </w:rPr>
        <w:t>u</w:t>
      </w:r>
      <w:r w:rsidR="00FD07CB" w:rsidRPr="00FD07CB">
        <w:rPr>
          <w:rFonts w:asciiTheme="majorBidi" w:hAnsiTheme="majorBidi" w:cstheme="majorBidi"/>
        </w:rPr>
        <w:t xml:space="preserve"> kopumā, nepārsniedzot maksimālo līguma summu. No</w:t>
      </w:r>
      <w:r w:rsidR="00C00A9F">
        <w:rPr>
          <w:rFonts w:asciiTheme="majorBidi" w:hAnsiTheme="majorBidi" w:cstheme="majorBidi"/>
        </w:rPr>
        <w:t xml:space="preserve"> iepirkuma</w:t>
      </w:r>
      <w:r w:rsidR="00FD07CB" w:rsidRPr="00FD07CB">
        <w:rPr>
          <w:rFonts w:asciiTheme="majorBidi" w:hAnsiTheme="majorBidi" w:cstheme="majorBidi"/>
        </w:rPr>
        <w:t xml:space="preserve"> nolikuma </w:t>
      </w:r>
      <w:r w:rsidR="00DD72DF">
        <w:rPr>
          <w:rFonts w:asciiTheme="majorBidi" w:hAnsiTheme="majorBidi" w:cstheme="majorBidi"/>
        </w:rPr>
        <w:t>prasībām</w:t>
      </w:r>
      <w:r w:rsidR="00FD07CB" w:rsidRPr="00FD07CB">
        <w:rPr>
          <w:rFonts w:asciiTheme="majorBidi" w:hAnsiTheme="majorBidi" w:cstheme="majorBidi"/>
        </w:rPr>
        <w:t xml:space="preserve"> izriet, kāda ir maksimālā cena, kuru pretendents nedrīkst pārsniegt, proti, 4</w:t>
      </w:r>
      <w:r w:rsidR="008454FF">
        <w:rPr>
          <w:rFonts w:asciiTheme="majorBidi" w:hAnsiTheme="majorBidi" w:cstheme="majorBidi"/>
        </w:rPr>
        <w:t> </w:t>
      </w:r>
      <w:r w:rsidR="00FD07CB" w:rsidRPr="00FD07CB">
        <w:rPr>
          <w:rFonts w:asciiTheme="majorBidi" w:hAnsiTheme="majorBidi" w:cstheme="majorBidi"/>
        </w:rPr>
        <w:t>043</w:t>
      </w:r>
      <w:r w:rsidR="008454FF">
        <w:rPr>
          <w:rFonts w:asciiTheme="majorBidi" w:hAnsiTheme="majorBidi" w:cstheme="majorBidi"/>
        </w:rPr>
        <w:t> </w:t>
      </w:r>
      <w:r w:rsidR="00FD07CB" w:rsidRPr="00FD07CB">
        <w:rPr>
          <w:rFonts w:asciiTheme="majorBidi" w:hAnsiTheme="majorBidi" w:cstheme="majorBidi"/>
        </w:rPr>
        <w:t>232</w:t>
      </w:r>
      <w:r w:rsidR="008454FF">
        <w:rPr>
          <w:rFonts w:asciiTheme="majorBidi" w:hAnsiTheme="majorBidi" w:cstheme="majorBidi"/>
        </w:rPr>
        <w:t> </w:t>
      </w:r>
      <w:r w:rsidRPr="00AB1941">
        <w:rPr>
          <w:rFonts w:asciiTheme="majorBidi" w:hAnsiTheme="majorBidi" w:cstheme="majorBidi"/>
          <w:i/>
          <w:iCs/>
        </w:rPr>
        <w:t>euro</w:t>
      </w:r>
      <w:r>
        <w:rPr>
          <w:rFonts w:asciiTheme="majorBidi" w:hAnsiTheme="majorBidi" w:cstheme="majorBidi"/>
        </w:rPr>
        <w:t xml:space="preserve">. To </w:t>
      </w:r>
      <w:r w:rsidR="00FD07CB" w:rsidRPr="00FD07CB">
        <w:rPr>
          <w:rFonts w:asciiTheme="majorBidi" w:hAnsiTheme="majorBidi" w:cstheme="majorBidi"/>
        </w:rPr>
        <w:t>izdalot ar pakalpojuma apjomā paredzēto stundu skaitu</w:t>
      </w:r>
      <w:r>
        <w:rPr>
          <w:rFonts w:asciiTheme="majorBidi" w:hAnsiTheme="majorBidi" w:cstheme="majorBidi"/>
        </w:rPr>
        <w:t xml:space="preserve"> – </w:t>
      </w:r>
      <w:r w:rsidR="00FD07CB" w:rsidRPr="00FD07CB">
        <w:rPr>
          <w:rFonts w:asciiTheme="majorBidi" w:hAnsiTheme="majorBidi" w:cstheme="majorBidi"/>
        </w:rPr>
        <w:t>300</w:t>
      </w:r>
      <w:r>
        <w:rPr>
          <w:rFonts w:asciiTheme="majorBidi" w:hAnsiTheme="majorBidi" w:cstheme="majorBidi"/>
        </w:rPr>
        <w:t> </w:t>
      </w:r>
      <w:r w:rsidR="00FD07CB" w:rsidRPr="00FD07CB">
        <w:rPr>
          <w:rFonts w:asciiTheme="majorBidi" w:hAnsiTheme="majorBidi" w:cstheme="majorBidi"/>
        </w:rPr>
        <w:t>612</w:t>
      </w:r>
      <w:r>
        <w:rPr>
          <w:rFonts w:asciiTheme="majorBidi" w:hAnsiTheme="majorBidi" w:cstheme="majorBidi"/>
        </w:rPr>
        <w:t>,</w:t>
      </w:r>
      <w:r w:rsidR="00FD07CB" w:rsidRPr="00FD07CB">
        <w:rPr>
          <w:rFonts w:asciiTheme="majorBidi" w:hAnsiTheme="majorBidi" w:cstheme="majorBidi"/>
        </w:rPr>
        <w:t xml:space="preserve"> maksimālā iespējamā vienas stundas pakalpojuma cena ir 13</w:t>
      </w:r>
      <w:r w:rsidR="001D6790">
        <w:rPr>
          <w:rFonts w:asciiTheme="majorBidi" w:hAnsiTheme="majorBidi" w:cstheme="majorBidi"/>
        </w:rPr>
        <w:t>,</w:t>
      </w:r>
      <w:r w:rsidR="00FD07CB" w:rsidRPr="00FD07CB">
        <w:rPr>
          <w:rFonts w:asciiTheme="majorBidi" w:hAnsiTheme="majorBidi" w:cstheme="majorBidi"/>
        </w:rPr>
        <w:t xml:space="preserve">45 </w:t>
      </w:r>
      <w:r w:rsidR="00FD07CB">
        <w:rPr>
          <w:rFonts w:asciiTheme="majorBidi" w:hAnsiTheme="majorBidi" w:cstheme="majorBidi"/>
        </w:rPr>
        <w:t> </w:t>
      </w:r>
      <w:r w:rsidRPr="00AB1941">
        <w:rPr>
          <w:rFonts w:asciiTheme="majorBidi" w:hAnsiTheme="majorBidi" w:cstheme="majorBidi"/>
          <w:i/>
          <w:iCs/>
        </w:rPr>
        <w:t>euro</w:t>
      </w:r>
      <w:r w:rsidR="00FD07CB" w:rsidRPr="00FD07CB">
        <w:rPr>
          <w:rFonts w:asciiTheme="majorBidi" w:hAnsiTheme="majorBidi" w:cstheme="majorBidi"/>
          <w:i/>
          <w:iCs/>
        </w:rPr>
        <w:t>.</w:t>
      </w:r>
    </w:p>
    <w:p w14:paraId="31437585" w14:textId="0190095F" w:rsidR="001D6790" w:rsidRDefault="00AB1941" w:rsidP="00385DA5">
      <w:pPr>
        <w:spacing w:line="276" w:lineRule="auto"/>
        <w:ind w:firstLine="720"/>
        <w:jc w:val="both"/>
        <w:rPr>
          <w:rFonts w:asciiTheme="majorBidi" w:hAnsiTheme="majorBidi" w:cstheme="majorBidi"/>
        </w:rPr>
      </w:pPr>
      <w:r>
        <w:rPr>
          <w:rFonts w:asciiTheme="majorBidi" w:hAnsiTheme="majorBidi" w:cstheme="majorBidi"/>
        </w:rPr>
        <w:t>[</w:t>
      </w:r>
      <w:r w:rsidR="00DD72DF">
        <w:rPr>
          <w:rFonts w:asciiTheme="majorBidi" w:hAnsiTheme="majorBidi" w:cstheme="majorBidi"/>
        </w:rPr>
        <w:t>3</w:t>
      </w:r>
      <w:r>
        <w:rPr>
          <w:rFonts w:asciiTheme="majorBidi" w:hAnsiTheme="majorBidi" w:cstheme="majorBidi"/>
        </w:rPr>
        <w:t>.</w:t>
      </w:r>
      <w:r w:rsidR="00011DC3">
        <w:rPr>
          <w:rFonts w:asciiTheme="majorBidi" w:hAnsiTheme="majorBidi" w:cstheme="majorBidi"/>
        </w:rPr>
        <w:t>2</w:t>
      </w:r>
      <w:r>
        <w:rPr>
          <w:rFonts w:asciiTheme="majorBidi" w:hAnsiTheme="majorBidi" w:cstheme="majorBidi"/>
        </w:rPr>
        <w:t>] P</w:t>
      </w:r>
      <w:r w:rsidR="001D6790" w:rsidRPr="001D6790">
        <w:rPr>
          <w:rFonts w:asciiTheme="majorBidi" w:hAnsiTheme="majorBidi" w:cstheme="majorBidi"/>
        </w:rPr>
        <w:t>ieteicējas piedāvātā stundas cena ir 15,5</w:t>
      </w:r>
      <w:r w:rsidR="001D6790">
        <w:rPr>
          <w:rFonts w:asciiTheme="majorBidi" w:hAnsiTheme="majorBidi" w:cstheme="majorBidi"/>
        </w:rPr>
        <w:t>0</w:t>
      </w:r>
      <w:r w:rsidR="008454FF">
        <w:rPr>
          <w:rFonts w:asciiTheme="majorBidi" w:hAnsiTheme="majorBidi" w:cstheme="majorBidi"/>
        </w:rPr>
        <w:t> </w:t>
      </w:r>
      <w:r w:rsidRPr="00AB1941">
        <w:rPr>
          <w:rFonts w:asciiTheme="majorBidi" w:hAnsiTheme="majorBidi" w:cstheme="majorBidi"/>
          <w:i/>
          <w:iCs/>
        </w:rPr>
        <w:t>euro</w:t>
      </w:r>
      <w:r w:rsidR="001D6790" w:rsidRPr="001D6790">
        <w:rPr>
          <w:rFonts w:asciiTheme="majorBidi" w:hAnsiTheme="majorBidi" w:cstheme="majorBidi"/>
        </w:rPr>
        <w:t xml:space="preserve">. </w:t>
      </w:r>
      <w:r>
        <w:rPr>
          <w:rFonts w:asciiTheme="majorBidi" w:hAnsiTheme="majorBidi" w:cstheme="majorBidi"/>
        </w:rPr>
        <w:t>Tādējādi p</w:t>
      </w:r>
      <w:r w:rsidR="001D6790" w:rsidRPr="001D6790">
        <w:rPr>
          <w:rFonts w:asciiTheme="majorBidi" w:hAnsiTheme="majorBidi" w:cstheme="majorBidi"/>
        </w:rPr>
        <w:t>asūtītāj</w:t>
      </w:r>
      <w:r w:rsidR="00C00A9F">
        <w:rPr>
          <w:rFonts w:asciiTheme="majorBidi" w:hAnsiTheme="majorBidi" w:cstheme="majorBidi"/>
        </w:rPr>
        <w:t>a</w:t>
      </w:r>
      <w:r w:rsidR="001D6790" w:rsidRPr="001D6790">
        <w:rPr>
          <w:rFonts w:asciiTheme="majorBidi" w:hAnsiTheme="majorBidi" w:cstheme="majorBidi"/>
        </w:rPr>
        <w:t xml:space="preserve"> pamatoti </w:t>
      </w:r>
      <w:r>
        <w:rPr>
          <w:rFonts w:asciiTheme="majorBidi" w:hAnsiTheme="majorBidi" w:cstheme="majorBidi"/>
        </w:rPr>
        <w:t>atzinusi, ka cena</w:t>
      </w:r>
      <w:r w:rsidR="001D6790" w:rsidRPr="001D6790">
        <w:rPr>
          <w:rFonts w:asciiTheme="majorBidi" w:hAnsiTheme="majorBidi" w:cstheme="majorBidi"/>
        </w:rPr>
        <w:t xml:space="preserve"> neatbilst </w:t>
      </w:r>
      <w:r>
        <w:rPr>
          <w:rFonts w:asciiTheme="majorBidi" w:hAnsiTheme="majorBidi" w:cstheme="majorBidi"/>
        </w:rPr>
        <w:t xml:space="preserve">nolikuma </w:t>
      </w:r>
      <w:r w:rsidR="001D6790" w:rsidRPr="001D6790">
        <w:rPr>
          <w:rFonts w:asciiTheme="majorBidi" w:hAnsiTheme="majorBidi" w:cstheme="majorBidi"/>
        </w:rPr>
        <w:t xml:space="preserve">prasībām. </w:t>
      </w:r>
      <w:r>
        <w:rPr>
          <w:rFonts w:asciiTheme="majorBidi" w:hAnsiTheme="majorBidi" w:cstheme="majorBidi"/>
        </w:rPr>
        <w:t>I</w:t>
      </w:r>
      <w:r w:rsidR="001D6790" w:rsidRPr="001D6790">
        <w:rPr>
          <w:rFonts w:asciiTheme="majorBidi" w:hAnsiTheme="majorBidi" w:cstheme="majorBidi"/>
        </w:rPr>
        <w:t>epirkuma nolikuma prasības ir definētas skaidri un nepārprotami</w:t>
      </w:r>
      <w:r w:rsidR="000D7F1E">
        <w:rPr>
          <w:rFonts w:asciiTheme="majorBidi" w:hAnsiTheme="majorBidi" w:cstheme="majorBidi"/>
        </w:rPr>
        <w:t>,</w:t>
      </w:r>
      <w:r>
        <w:rPr>
          <w:rFonts w:asciiTheme="majorBidi" w:hAnsiTheme="majorBidi" w:cstheme="majorBidi"/>
        </w:rPr>
        <w:t xml:space="preserve"> un p</w:t>
      </w:r>
      <w:r w:rsidRPr="001D6790">
        <w:rPr>
          <w:rFonts w:asciiTheme="majorBidi" w:hAnsiTheme="majorBidi" w:cstheme="majorBidi"/>
        </w:rPr>
        <w:t>asūtītāja</w:t>
      </w:r>
      <w:r>
        <w:rPr>
          <w:rFonts w:asciiTheme="majorBidi" w:hAnsiTheme="majorBidi" w:cstheme="majorBidi"/>
        </w:rPr>
        <w:t>i</w:t>
      </w:r>
      <w:r w:rsidRPr="001D6790">
        <w:rPr>
          <w:rFonts w:asciiTheme="majorBidi" w:hAnsiTheme="majorBidi" w:cstheme="majorBidi"/>
        </w:rPr>
        <w:t xml:space="preserve"> nav tiesiska pamata atkāpties no </w:t>
      </w:r>
      <w:r>
        <w:rPr>
          <w:rFonts w:asciiTheme="majorBidi" w:hAnsiTheme="majorBidi" w:cstheme="majorBidi"/>
        </w:rPr>
        <w:t>tām</w:t>
      </w:r>
      <w:r w:rsidRPr="001D6790">
        <w:rPr>
          <w:rFonts w:asciiTheme="majorBidi" w:hAnsiTheme="majorBidi" w:cstheme="majorBidi"/>
        </w:rPr>
        <w:t>.</w:t>
      </w:r>
      <w:r>
        <w:rPr>
          <w:rFonts w:asciiTheme="majorBidi" w:hAnsiTheme="majorBidi" w:cstheme="majorBidi"/>
        </w:rPr>
        <w:t xml:space="preserve"> </w:t>
      </w:r>
      <w:r w:rsidR="001D6790" w:rsidRPr="001D6790">
        <w:rPr>
          <w:rFonts w:asciiTheme="majorBidi" w:hAnsiTheme="majorBidi" w:cstheme="majorBidi"/>
        </w:rPr>
        <w:t>Pasūtītāj</w:t>
      </w:r>
      <w:r w:rsidR="00C00A9F">
        <w:rPr>
          <w:rFonts w:asciiTheme="majorBidi" w:hAnsiTheme="majorBidi" w:cstheme="majorBidi"/>
        </w:rPr>
        <w:t>a</w:t>
      </w:r>
      <w:r w:rsidR="001D6790" w:rsidRPr="001D6790">
        <w:rPr>
          <w:rFonts w:asciiTheme="majorBidi" w:hAnsiTheme="majorBidi" w:cstheme="majorBidi"/>
        </w:rPr>
        <w:t xml:space="preserve"> ir paud</w:t>
      </w:r>
      <w:r w:rsidR="00C00A9F">
        <w:rPr>
          <w:rFonts w:asciiTheme="majorBidi" w:hAnsiTheme="majorBidi" w:cstheme="majorBidi"/>
        </w:rPr>
        <w:t>usi</w:t>
      </w:r>
      <w:r w:rsidR="001D6790" w:rsidRPr="001D6790">
        <w:rPr>
          <w:rFonts w:asciiTheme="majorBidi" w:hAnsiTheme="majorBidi" w:cstheme="majorBidi"/>
        </w:rPr>
        <w:t xml:space="preserve"> skaidru gribas izteikumu, norādot maksimālo līguma summu un maksimālo iespējamo pakalpojuma apjomu, no kā secināma maksimālā iespējamā pakalpojuma vienas stundas cena. </w:t>
      </w:r>
    </w:p>
    <w:p w14:paraId="40A5739A" w14:textId="27BEED45" w:rsidR="001D6790" w:rsidRDefault="001D6790" w:rsidP="00385DA5">
      <w:pPr>
        <w:spacing w:line="276" w:lineRule="auto"/>
        <w:ind w:firstLine="720"/>
        <w:jc w:val="both"/>
        <w:rPr>
          <w:rFonts w:asciiTheme="majorBidi" w:hAnsiTheme="majorBidi" w:cstheme="majorBidi"/>
        </w:rPr>
      </w:pPr>
      <w:r>
        <w:rPr>
          <w:rFonts w:asciiTheme="majorBidi" w:hAnsiTheme="majorBidi" w:cstheme="majorBidi"/>
        </w:rPr>
        <w:t xml:space="preserve">Attiecībā uz pieteicējas argumentu, ka iepirkuma nolikuma prasība pieļāva arī augstākas cenas piedāvāšanu, jo </w:t>
      </w:r>
      <w:r w:rsidRPr="00FD07CB">
        <w:rPr>
          <w:rFonts w:asciiTheme="majorBidi" w:hAnsiTheme="majorBidi" w:cstheme="majorBidi"/>
        </w:rPr>
        <w:t xml:space="preserve">1.pielikuma </w:t>
      </w:r>
      <w:r w:rsidR="00DC6875" w:rsidRPr="00DE6BC0">
        <w:t>„</w:t>
      </w:r>
      <w:r w:rsidRPr="00FD07CB">
        <w:rPr>
          <w:rFonts w:asciiTheme="majorBidi" w:hAnsiTheme="majorBidi" w:cstheme="majorBidi"/>
        </w:rPr>
        <w:t xml:space="preserve">Tehniskā specifikācija” 5.punktā </w:t>
      </w:r>
      <w:r w:rsidR="00DC6875" w:rsidRPr="00DE6BC0">
        <w:t>„</w:t>
      </w:r>
      <w:r w:rsidRPr="00FD07CB">
        <w:rPr>
          <w:rFonts w:asciiTheme="majorBidi" w:hAnsiTheme="majorBidi" w:cstheme="majorBidi"/>
        </w:rPr>
        <w:t>Pakalpojuma apjoms” norādīts</w:t>
      </w:r>
      <w:r w:rsidR="00AB1941">
        <w:rPr>
          <w:rFonts w:asciiTheme="majorBidi" w:hAnsiTheme="majorBidi" w:cstheme="majorBidi"/>
        </w:rPr>
        <w:t>,</w:t>
      </w:r>
      <w:r w:rsidRPr="00FD07CB">
        <w:rPr>
          <w:rFonts w:asciiTheme="majorBidi" w:hAnsiTheme="majorBidi" w:cstheme="majorBidi"/>
        </w:rPr>
        <w:t xml:space="preserve"> </w:t>
      </w:r>
      <w:r>
        <w:rPr>
          <w:rFonts w:asciiTheme="majorBidi" w:hAnsiTheme="majorBidi" w:cstheme="majorBidi"/>
        </w:rPr>
        <w:t xml:space="preserve">lietojot vārdu </w:t>
      </w:r>
      <w:r w:rsidR="00DC6875" w:rsidRPr="00DE6BC0">
        <w:t>„</w:t>
      </w:r>
      <w:r w:rsidRPr="00FD07CB">
        <w:rPr>
          <w:rFonts w:asciiTheme="majorBidi" w:hAnsiTheme="majorBidi" w:cstheme="majorBidi"/>
        </w:rPr>
        <w:t>līdz</w:t>
      </w:r>
      <w:r>
        <w:rPr>
          <w:rFonts w:asciiTheme="majorBidi" w:hAnsiTheme="majorBidi" w:cstheme="majorBidi"/>
        </w:rPr>
        <w:t xml:space="preserve">”, </w:t>
      </w:r>
      <w:r w:rsidR="00AB1941">
        <w:rPr>
          <w:rFonts w:asciiTheme="majorBidi" w:hAnsiTheme="majorBidi" w:cstheme="majorBidi"/>
        </w:rPr>
        <w:t xml:space="preserve">norādāms, ka </w:t>
      </w:r>
      <w:r>
        <w:rPr>
          <w:rFonts w:asciiTheme="majorBidi" w:hAnsiTheme="majorBidi" w:cstheme="majorBidi"/>
        </w:rPr>
        <w:t xml:space="preserve">tas </w:t>
      </w:r>
      <w:r w:rsidRPr="001D6790">
        <w:rPr>
          <w:rFonts w:asciiTheme="majorBidi" w:hAnsiTheme="majorBidi" w:cstheme="majorBidi"/>
        </w:rPr>
        <w:t>saprotams tādējādi, ka pasūtītāja</w:t>
      </w:r>
      <w:r w:rsidR="00C00A9F">
        <w:rPr>
          <w:rFonts w:asciiTheme="majorBidi" w:hAnsiTheme="majorBidi" w:cstheme="majorBidi"/>
        </w:rPr>
        <w:t>i</w:t>
      </w:r>
      <w:r w:rsidRPr="001D6790">
        <w:rPr>
          <w:rFonts w:asciiTheme="majorBidi" w:hAnsiTheme="majorBidi" w:cstheme="majorBidi"/>
        </w:rPr>
        <w:t xml:space="preserve"> var nebūt nepieciešams viss pakalpojuma apjoms un faktiski var tikt izmantots mazāks stundu skaits. Šis formulējums nerada pretendentam paļāvību, ka tiks pasūtīts viss pakalpojuma apjoms. Tai pat laikā kopējā maksimālā līguma summa ir noteikta par maksimālo pakalpojuma apmēru un atbilstoši iepirkuma nolikuma prasībām pieteicējai ir jābūt gatavai nodrošināt maksimālā pakalpojuma apjoma sniegšanu.</w:t>
      </w:r>
    </w:p>
    <w:p w14:paraId="32F25707" w14:textId="77777777" w:rsidR="00FD07CB" w:rsidRPr="00FD07CB" w:rsidRDefault="00FD07CB" w:rsidP="00385DA5">
      <w:pPr>
        <w:spacing w:line="276" w:lineRule="auto"/>
        <w:ind w:firstLine="720"/>
        <w:jc w:val="both"/>
        <w:rPr>
          <w:rFonts w:asciiTheme="majorBidi" w:hAnsiTheme="majorBidi" w:cstheme="majorBidi"/>
        </w:rPr>
      </w:pPr>
    </w:p>
    <w:p w14:paraId="405E9D6F" w14:textId="2F100806" w:rsidR="00DC43AF" w:rsidRDefault="009D7455" w:rsidP="00385DA5">
      <w:pPr>
        <w:spacing w:line="276" w:lineRule="auto"/>
        <w:ind w:firstLine="720"/>
        <w:jc w:val="both"/>
        <w:rPr>
          <w:rFonts w:asciiTheme="majorBidi" w:hAnsiTheme="majorBidi" w:cstheme="majorBidi"/>
        </w:rPr>
      </w:pPr>
      <w:r w:rsidRPr="00DE6BC0">
        <w:rPr>
          <w:rFonts w:asciiTheme="majorBidi" w:hAnsiTheme="majorBidi" w:cstheme="majorBidi"/>
        </w:rPr>
        <w:t>[</w:t>
      </w:r>
      <w:r w:rsidR="00DD72DF">
        <w:rPr>
          <w:rFonts w:asciiTheme="majorBidi" w:hAnsiTheme="majorBidi" w:cstheme="majorBidi"/>
        </w:rPr>
        <w:t>4</w:t>
      </w:r>
      <w:r w:rsidRPr="00DE6BC0">
        <w:rPr>
          <w:rFonts w:asciiTheme="majorBidi" w:hAnsiTheme="majorBidi" w:cstheme="majorBidi"/>
        </w:rPr>
        <w:t>]</w:t>
      </w:r>
      <w:r w:rsidR="00615E58">
        <w:rPr>
          <w:rFonts w:asciiTheme="majorBidi" w:hAnsiTheme="majorBidi" w:cstheme="majorBidi"/>
        </w:rPr>
        <w:t xml:space="preserve"> P</w:t>
      </w:r>
      <w:r w:rsidR="00751565">
        <w:rPr>
          <w:rFonts w:asciiTheme="majorBidi" w:hAnsiTheme="majorBidi" w:cstheme="majorBidi"/>
        </w:rPr>
        <w:t>ieteicēja p</w:t>
      </w:r>
      <w:r w:rsidR="00615E58">
        <w:rPr>
          <w:rFonts w:asciiTheme="majorBidi" w:hAnsiTheme="majorBidi" w:cstheme="majorBidi"/>
        </w:rPr>
        <w:t xml:space="preserve">ar </w:t>
      </w:r>
      <w:r w:rsidR="00751565">
        <w:rPr>
          <w:rFonts w:asciiTheme="majorBidi" w:hAnsiTheme="majorBidi" w:cstheme="majorBidi"/>
        </w:rPr>
        <w:t>rajona tiesas lēmumu iesniedza blakus sūdzību</w:t>
      </w:r>
      <w:r w:rsidR="008E10E0">
        <w:rPr>
          <w:rFonts w:asciiTheme="majorBidi" w:hAnsiTheme="majorBidi" w:cstheme="majorBidi"/>
        </w:rPr>
        <w:t>.</w:t>
      </w:r>
    </w:p>
    <w:p w14:paraId="70492BBD" w14:textId="1A98D05B" w:rsidR="00455745" w:rsidRPr="00455745" w:rsidRDefault="001C2F90" w:rsidP="00385DA5">
      <w:pPr>
        <w:spacing w:line="276" w:lineRule="auto"/>
        <w:ind w:firstLine="720"/>
        <w:jc w:val="both"/>
        <w:rPr>
          <w:rFonts w:asciiTheme="majorBidi" w:hAnsiTheme="majorBidi" w:cstheme="majorBidi"/>
        </w:rPr>
      </w:pPr>
      <w:r w:rsidRPr="001C2F90">
        <w:rPr>
          <w:rFonts w:asciiTheme="majorBidi" w:hAnsiTheme="majorBidi" w:cstheme="majorBidi"/>
        </w:rPr>
        <w:t>Pieteicēja uzskata, ka</w:t>
      </w:r>
      <w:r w:rsidR="006F3F34">
        <w:rPr>
          <w:rFonts w:asciiTheme="majorBidi" w:hAnsiTheme="majorBidi" w:cstheme="majorBidi"/>
        </w:rPr>
        <w:t xml:space="preserve"> </w:t>
      </w:r>
      <w:r w:rsidR="00455745">
        <w:rPr>
          <w:rFonts w:asciiTheme="majorBidi" w:hAnsiTheme="majorBidi" w:cstheme="majorBidi"/>
        </w:rPr>
        <w:t xml:space="preserve">rajona tiesa ir </w:t>
      </w:r>
      <w:r w:rsidR="00455745" w:rsidRPr="00455745">
        <w:rPr>
          <w:rFonts w:asciiTheme="majorBidi" w:hAnsiTheme="majorBidi" w:cstheme="majorBidi"/>
        </w:rPr>
        <w:t xml:space="preserve">kļūdījusies un tā vietā, lai sniegtu objektīvu novērtējumu </w:t>
      </w:r>
      <w:r w:rsidR="00455745">
        <w:rPr>
          <w:rFonts w:asciiTheme="majorBidi" w:hAnsiTheme="majorBidi" w:cstheme="majorBidi"/>
        </w:rPr>
        <w:t>i</w:t>
      </w:r>
      <w:r w:rsidR="00455745" w:rsidRPr="00455745">
        <w:rPr>
          <w:rFonts w:asciiTheme="majorBidi" w:hAnsiTheme="majorBidi" w:cstheme="majorBidi"/>
        </w:rPr>
        <w:t>epirkuma dokumentu saprotamībai, ir šauri vērtējusi to, kā šos dokumentus ir sapratuši citi pretendenti.</w:t>
      </w:r>
      <w:r w:rsidR="00455745">
        <w:rPr>
          <w:rFonts w:asciiTheme="majorBidi" w:hAnsiTheme="majorBidi" w:cstheme="majorBidi"/>
        </w:rPr>
        <w:t xml:space="preserve"> Pieteicēja uzskata, ka </w:t>
      </w:r>
      <w:r w:rsidR="00455745" w:rsidRPr="00455745">
        <w:rPr>
          <w:rFonts w:asciiTheme="majorBidi" w:hAnsiTheme="majorBidi" w:cstheme="majorBidi"/>
        </w:rPr>
        <w:t xml:space="preserve">ne visiem pakalpojuma saņēmējiem ir nepieciešams maksimāli pieejamais atbalsta stundu skaits, tādēļ tā nepieciešamās matemātiskās darbības veica nevis attiecībā pret maksimālo pieejamo stundu skaitu, bet attiecībā pret vidējo praksē un reālajā dzīvē nepieciešamo stundu skaitu. </w:t>
      </w:r>
    </w:p>
    <w:p w14:paraId="321D9F3B" w14:textId="6CA2F93D" w:rsidR="00751565" w:rsidRDefault="00455745" w:rsidP="00385DA5">
      <w:pPr>
        <w:spacing w:line="276" w:lineRule="auto"/>
        <w:ind w:firstLine="720"/>
        <w:jc w:val="both"/>
        <w:rPr>
          <w:rFonts w:asciiTheme="majorBidi" w:hAnsiTheme="majorBidi" w:cstheme="majorBidi"/>
        </w:rPr>
      </w:pPr>
      <w:r w:rsidRPr="00455745">
        <w:rPr>
          <w:rFonts w:asciiTheme="majorBidi" w:hAnsiTheme="majorBidi" w:cstheme="majorBidi"/>
        </w:rPr>
        <w:t>Iepirkuma nolikuma prasības tajā nebija atspoguļotas pietiekami skaidri, un tādēļ iepirkumu jomā nespecializējies pretendents objektīvi tās varēja saprast tā, kā tās saprata</w:t>
      </w:r>
      <w:r>
        <w:rPr>
          <w:rFonts w:asciiTheme="majorBidi" w:hAnsiTheme="majorBidi" w:cstheme="majorBidi"/>
        </w:rPr>
        <w:t xml:space="preserve"> pieteicēja</w:t>
      </w:r>
      <w:r w:rsidRPr="00455745">
        <w:rPr>
          <w:rFonts w:asciiTheme="majorBidi" w:hAnsiTheme="majorBidi" w:cstheme="majorBidi"/>
        </w:rPr>
        <w:t xml:space="preserve">. Tāpat tiesa nav pievērsusi uzmanību </w:t>
      </w:r>
      <w:r w:rsidR="00DE3ECA">
        <w:rPr>
          <w:rFonts w:asciiTheme="majorBidi" w:hAnsiTheme="majorBidi" w:cstheme="majorBidi"/>
        </w:rPr>
        <w:t>pieteicējas</w:t>
      </w:r>
      <w:r w:rsidRPr="00455745">
        <w:rPr>
          <w:rFonts w:asciiTheme="majorBidi" w:hAnsiTheme="majorBidi" w:cstheme="majorBidi"/>
        </w:rPr>
        <w:t xml:space="preserve"> paļāvībai uz to, ka iepriekš izsludinātajā iepirkumā maksimālā stundas likme bija norādīta skaidri, tādēļ izmaiņas šajā noregulējumā noved pie loģiska secinājuma, ka ir mainījušās arī pašas prasības.</w:t>
      </w:r>
    </w:p>
    <w:p w14:paraId="36D2B844" w14:textId="12C822B3" w:rsidR="004D674F" w:rsidRDefault="004D674F" w:rsidP="00385DA5">
      <w:pPr>
        <w:spacing w:line="276" w:lineRule="auto"/>
        <w:ind w:firstLine="720"/>
        <w:jc w:val="both"/>
        <w:rPr>
          <w:rFonts w:asciiTheme="majorBidi" w:hAnsiTheme="majorBidi" w:cstheme="majorBidi"/>
        </w:rPr>
      </w:pPr>
      <w:r w:rsidRPr="007D2824">
        <w:rPr>
          <w:rFonts w:asciiTheme="majorBidi" w:hAnsiTheme="majorBidi" w:cstheme="majorBidi"/>
        </w:rPr>
        <w:t>Pirms piedāvājuma iesniegšanas no pasūtītāja</w:t>
      </w:r>
      <w:r w:rsidR="00C71FD2">
        <w:rPr>
          <w:rFonts w:asciiTheme="majorBidi" w:hAnsiTheme="majorBidi" w:cstheme="majorBidi"/>
        </w:rPr>
        <w:t>s</w:t>
      </w:r>
      <w:r w:rsidRPr="007D2824">
        <w:rPr>
          <w:rFonts w:asciiTheme="majorBidi" w:hAnsiTheme="majorBidi" w:cstheme="majorBidi"/>
        </w:rPr>
        <w:t xml:space="preserve"> </w:t>
      </w:r>
      <w:r w:rsidR="00505ACF" w:rsidRPr="007D2824">
        <w:rPr>
          <w:rFonts w:asciiTheme="majorBidi" w:hAnsiTheme="majorBidi" w:cstheme="majorBidi"/>
        </w:rPr>
        <w:t>visiem kandidātiem tika nosūtīts aicinājums iesūtīt iepirkuma dokumentus pārbaudei. Turklāt pieteicēja esot saņēmusi</w:t>
      </w:r>
      <w:r w:rsidRPr="007D2824">
        <w:rPr>
          <w:rFonts w:asciiTheme="majorBidi" w:hAnsiTheme="majorBidi" w:cstheme="majorBidi"/>
        </w:rPr>
        <w:t xml:space="preserve"> apstiprinājum</w:t>
      </w:r>
      <w:r w:rsidR="00505ACF" w:rsidRPr="007D2824">
        <w:rPr>
          <w:rFonts w:asciiTheme="majorBidi" w:hAnsiTheme="majorBidi" w:cstheme="majorBidi"/>
        </w:rPr>
        <w:t>u par dokumentu pareizību, kas izpaudās kā pasūtītājas frāze e</w:t>
      </w:r>
      <w:r w:rsidR="00771D4B" w:rsidRPr="007D2824">
        <w:rPr>
          <w:rFonts w:asciiTheme="majorBidi" w:hAnsiTheme="majorBidi" w:cstheme="majorBidi"/>
        </w:rPr>
        <w:t>lektroniskā pasta vēstul</w:t>
      </w:r>
      <w:r w:rsidR="004C7D39">
        <w:rPr>
          <w:rFonts w:asciiTheme="majorBidi" w:hAnsiTheme="majorBidi" w:cstheme="majorBidi"/>
        </w:rPr>
        <w:t>ē</w:t>
      </w:r>
      <w:r w:rsidR="00505ACF" w:rsidRPr="007D2824">
        <w:rPr>
          <w:rFonts w:asciiTheme="majorBidi" w:hAnsiTheme="majorBidi" w:cstheme="majorBidi"/>
        </w:rPr>
        <w:t xml:space="preserve"> </w:t>
      </w:r>
      <w:r w:rsidR="004C7D39">
        <w:rPr>
          <w:rFonts w:asciiTheme="majorBidi" w:hAnsiTheme="majorBidi" w:cstheme="majorBidi"/>
        </w:rPr>
        <w:t xml:space="preserve">– </w:t>
      </w:r>
      <w:r w:rsidR="00771D4B" w:rsidRPr="007D2824">
        <w:t>„</w:t>
      </w:r>
      <w:r w:rsidR="00505ACF" w:rsidRPr="007D2824">
        <w:rPr>
          <w:rFonts w:asciiTheme="majorBidi" w:hAnsiTheme="majorBidi" w:cstheme="majorBidi"/>
        </w:rPr>
        <w:t>varat sniegt iekšā”.</w:t>
      </w:r>
      <w:r w:rsidRPr="004D674F">
        <w:rPr>
          <w:rFonts w:asciiTheme="majorBidi" w:hAnsiTheme="majorBidi" w:cstheme="majorBidi"/>
        </w:rPr>
        <w:t xml:space="preserve"> Tas arī tika izdarīts, paļaujoties, ka iesniedzami</w:t>
      </w:r>
      <w:r w:rsidR="007D2824">
        <w:rPr>
          <w:rFonts w:asciiTheme="majorBidi" w:hAnsiTheme="majorBidi" w:cstheme="majorBidi"/>
        </w:rPr>
        <w:t>e</w:t>
      </w:r>
      <w:r w:rsidRPr="004D674F">
        <w:rPr>
          <w:rFonts w:asciiTheme="majorBidi" w:hAnsiTheme="majorBidi" w:cstheme="majorBidi"/>
        </w:rPr>
        <w:t xml:space="preserve"> dokumenti ir noformēti pareizi un netiks noraidīti tehnisku kļūdu dēļ, par kādu uzskatāms arī šajā lietā aplūkojamais jautājums. Šāds saskaņojums, papildus jau iepriekš aprakstītajiem argumentiem un apsvērumiem, deva tiesības</w:t>
      </w:r>
      <w:r w:rsidR="007D6FB6">
        <w:rPr>
          <w:rFonts w:asciiTheme="majorBidi" w:hAnsiTheme="majorBidi" w:cstheme="majorBidi"/>
        </w:rPr>
        <w:t xml:space="preserve"> pieteicējai</w:t>
      </w:r>
      <w:r w:rsidRPr="004D674F">
        <w:rPr>
          <w:rFonts w:asciiTheme="majorBidi" w:hAnsiTheme="majorBidi" w:cstheme="majorBidi"/>
        </w:rPr>
        <w:t xml:space="preserve"> paļauties, ka dokumenti ir sagatavoti pareizi un</w:t>
      </w:r>
      <w:r w:rsidR="007D6FB6">
        <w:rPr>
          <w:rFonts w:asciiTheme="majorBidi" w:hAnsiTheme="majorBidi" w:cstheme="majorBidi"/>
        </w:rPr>
        <w:t xml:space="preserve"> tās</w:t>
      </w:r>
      <w:r w:rsidRPr="004D674F">
        <w:rPr>
          <w:rFonts w:asciiTheme="majorBidi" w:hAnsiTheme="majorBidi" w:cstheme="majorBidi"/>
        </w:rPr>
        <w:t xml:space="preserve"> izpratne par </w:t>
      </w:r>
      <w:r w:rsidR="007D6FB6">
        <w:rPr>
          <w:rFonts w:asciiTheme="majorBidi" w:hAnsiTheme="majorBidi" w:cstheme="majorBidi"/>
        </w:rPr>
        <w:t>i</w:t>
      </w:r>
      <w:r w:rsidRPr="004D674F">
        <w:rPr>
          <w:rFonts w:asciiTheme="majorBidi" w:hAnsiTheme="majorBidi" w:cstheme="majorBidi"/>
        </w:rPr>
        <w:t>epirkuma dokumentu prasībām ir pamatota.</w:t>
      </w:r>
    </w:p>
    <w:p w14:paraId="307B00E9" w14:textId="372F7716" w:rsidR="000457E9" w:rsidRPr="00FA67A9" w:rsidRDefault="000457E9" w:rsidP="00385DA5">
      <w:pPr>
        <w:spacing w:line="276" w:lineRule="auto"/>
        <w:ind w:firstLine="720"/>
        <w:jc w:val="both"/>
        <w:rPr>
          <w:rFonts w:asciiTheme="majorBidi" w:hAnsiTheme="majorBidi" w:cstheme="majorBidi"/>
        </w:rPr>
      </w:pPr>
      <w:r w:rsidRPr="00FA67A9">
        <w:t xml:space="preserve">Pieteicēja </w:t>
      </w:r>
      <w:r w:rsidR="00A01D0A">
        <w:t xml:space="preserve">arī </w:t>
      </w:r>
      <w:r w:rsidRPr="00FA67A9">
        <w:t>norāda, ka konkrētais pakalpojums ir specifisks un tā tirgū nav vērojama būtiska konkurence.</w:t>
      </w:r>
    </w:p>
    <w:p w14:paraId="66B38C63" w14:textId="10504BAA" w:rsidR="000457E9" w:rsidRDefault="000457E9" w:rsidP="00385DA5">
      <w:pPr>
        <w:spacing w:line="276" w:lineRule="auto"/>
        <w:ind w:firstLine="720"/>
        <w:jc w:val="both"/>
      </w:pPr>
      <w:r w:rsidRPr="00FA67A9">
        <w:t>Tāpat pieteicēja atsaucas uz nepieciešamību nodrošināt pakalpojuma sniegšanas nepārtrauktību ģimenēm, kuru ikdienas dzīves kvalitāte ir tieši atkarīga no pieteicējas sniegtajiem pakalpojumiem. Tādēļ pieteicēja lūdz uzlikt pienākumu pasūtītājam noslēgt ar pieteicēju vispārīgo vienošanos ar tādiem pašiem noteikumiem, kādi tiek attiecināti uz pārējiem pakalpojuma sniedzējiem.</w:t>
      </w:r>
    </w:p>
    <w:p w14:paraId="1A468763" w14:textId="77777777" w:rsidR="001C2F90" w:rsidRPr="00DE6BC0" w:rsidRDefault="001C2F90" w:rsidP="00385DA5">
      <w:pPr>
        <w:spacing w:line="276" w:lineRule="auto"/>
        <w:ind w:firstLine="720"/>
        <w:jc w:val="both"/>
        <w:rPr>
          <w:rFonts w:asciiTheme="majorBidi" w:hAnsiTheme="majorBidi" w:cstheme="majorBidi"/>
        </w:rPr>
      </w:pPr>
    </w:p>
    <w:p w14:paraId="00B726B9" w14:textId="22622C5D" w:rsidR="00674A38" w:rsidRDefault="008E0ADD" w:rsidP="00385DA5">
      <w:pPr>
        <w:keepNext/>
        <w:spacing w:line="276" w:lineRule="auto"/>
        <w:jc w:val="center"/>
        <w:rPr>
          <w:b/>
        </w:rPr>
      </w:pPr>
      <w:r w:rsidRPr="00DE6BC0">
        <w:rPr>
          <w:b/>
        </w:rPr>
        <w:t>Motīvu daļa</w:t>
      </w:r>
    </w:p>
    <w:p w14:paraId="6D92CBA3" w14:textId="77777777" w:rsidR="009E2852" w:rsidRPr="00CA1697" w:rsidRDefault="009E2852" w:rsidP="00385DA5">
      <w:pPr>
        <w:keepNext/>
        <w:spacing w:line="276" w:lineRule="auto"/>
        <w:jc w:val="center"/>
        <w:rPr>
          <w:b/>
        </w:rPr>
      </w:pPr>
    </w:p>
    <w:p w14:paraId="318E29AE" w14:textId="6822F1BB" w:rsidR="000F4A10" w:rsidRPr="00A44316" w:rsidRDefault="00DC67BD" w:rsidP="00385DA5">
      <w:pPr>
        <w:spacing w:line="276" w:lineRule="auto"/>
        <w:ind w:firstLine="720"/>
        <w:jc w:val="both"/>
      </w:pPr>
      <w:r w:rsidRPr="00DE6BC0">
        <w:rPr>
          <w:rFonts w:asciiTheme="majorBidi" w:hAnsiTheme="majorBidi" w:cstheme="majorBidi"/>
        </w:rPr>
        <w:t>[</w:t>
      </w:r>
      <w:r w:rsidR="00DD72DF">
        <w:rPr>
          <w:rFonts w:asciiTheme="majorBidi" w:hAnsiTheme="majorBidi" w:cstheme="majorBidi"/>
        </w:rPr>
        <w:t>5</w:t>
      </w:r>
      <w:r w:rsidRPr="00DE6BC0">
        <w:rPr>
          <w:rFonts w:asciiTheme="majorBidi" w:hAnsiTheme="majorBidi" w:cstheme="majorBidi"/>
        </w:rPr>
        <w:t>]</w:t>
      </w:r>
      <w:r w:rsidR="00B12F77">
        <w:rPr>
          <w:rFonts w:asciiTheme="majorBidi" w:hAnsiTheme="majorBidi" w:cstheme="majorBidi"/>
        </w:rPr>
        <w:t xml:space="preserve"> </w:t>
      </w:r>
      <w:r w:rsidR="000F4A10" w:rsidRPr="00A44316">
        <w:t>Atbilstoši Administratīvā procesa likuma 1</w:t>
      </w:r>
      <w:r w:rsidR="00725478">
        <w:t>9</w:t>
      </w:r>
      <w:r w:rsidR="000F4A10" w:rsidRPr="00A44316">
        <w:t xml:space="preserve">5.pantam pagaidu </w:t>
      </w:r>
      <w:r w:rsidR="00A1549F">
        <w:t>noregulējuma</w:t>
      </w:r>
      <w:r w:rsidR="000F4A10" w:rsidRPr="00A44316">
        <w:t xml:space="preserve"> līdzekļ</w:t>
      </w:r>
      <w:r w:rsidR="00A01D0A">
        <w:t>a</w:t>
      </w:r>
      <w:r w:rsidR="000F4A10" w:rsidRPr="00A44316">
        <w:t xml:space="preserve"> piemērošanas pamats </w:t>
      </w:r>
      <w:r w:rsidR="00747BAE">
        <w:t xml:space="preserve">ir </w:t>
      </w:r>
      <w:r w:rsidR="004F3071">
        <w:t>pozitīvs secinājums par lietā izskatāmās situācij</w:t>
      </w:r>
      <w:r w:rsidR="00DD72DF">
        <w:t>a</w:t>
      </w:r>
      <w:r w:rsidR="004F3071">
        <w:t xml:space="preserve">s atbilstību </w:t>
      </w:r>
      <w:r w:rsidR="000F4A10" w:rsidRPr="00A44316">
        <w:t>div</w:t>
      </w:r>
      <w:r w:rsidR="004F3071">
        <w:t>iem</w:t>
      </w:r>
      <w:r w:rsidR="000F4A10" w:rsidRPr="00A44316">
        <w:t xml:space="preserve"> kumulatīv</w:t>
      </w:r>
      <w:r w:rsidR="00A01D0A">
        <w:t>iem</w:t>
      </w:r>
      <w:r w:rsidR="000F4A10" w:rsidRPr="00A44316">
        <w:t xml:space="preserve"> </w:t>
      </w:r>
      <w:r w:rsidR="004F3071">
        <w:t>kritērijiem</w:t>
      </w:r>
      <w:r w:rsidR="000F4A10" w:rsidRPr="00A44316">
        <w:t>: pirmkārt, ja pagaidu aizsardzības līdzek</w:t>
      </w:r>
      <w:r w:rsidR="00B54F40">
        <w:t>lis</w:t>
      </w:r>
      <w:r w:rsidR="000F4A10" w:rsidRPr="00A44316">
        <w:t xml:space="preserve"> netiktu piemērot</w:t>
      </w:r>
      <w:r w:rsidR="00B54F40">
        <w:t>s</w:t>
      </w:r>
      <w:r w:rsidR="000F4A10" w:rsidRPr="00A44316">
        <w:t>, varētu rasties būtisks kaitējums vai zaudējumi, kuru novēršana vai atlīdzināšana būtu ievērojami apgrūtināta vai prasītu nesamērīgus resursus (subjektīvais kritērijs), un, otrkārt, pārsūdzētais lēmums ir pirmšķietami prettiesisks (objektīvais kritērijs).</w:t>
      </w:r>
    </w:p>
    <w:p w14:paraId="3CD6D5B7" w14:textId="170D4308" w:rsidR="00E3268F" w:rsidRDefault="00A01D0A" w:rsidP="00385DA5">
      <w:pPr>
        <w:spacing w:line="276" w:lineRule="auto"/>
        <w:ind w:firstLine="720"/>
        <w:jc w:val="both"/>
      </w:pPr>
      <w:r>
        <w:t>N</w:t>
      </w:r>
      <w:r w:rsidR="000F4A10" w:rsidRPr="00A44316">
        <w:t xml:space="preserve">oskaidrojams, vai </w:t>
      </w:r>
      <w:r w:rsidR="006729CB">
        <w:t xml:space="preserve">izskatāmajā gadījumā </w:t>
      </w:r>
      <w:r>
        <w:t xml:space="preserve">ir konstatējami </w:t>
      </w:r>
      <w:r w:rsidR="006729CB">
        <w:t xml:space="preserve">minētie kritēriji </w:t>
      </w:r>
      <w:r w:rsidR="000F4A10" w:rsidRPr="00A44316">
        <w:t>pagaidu aizsardzības līdzekļ</w:t>
      </w:r>
      <w:r w:rsidR="00747BAE">
        <w:t>a</w:t>
      </w:r>
      <w:r w:rsidR="000F4A10" w:rsidRPr="00A44316">
        <w:t xml:space="preserve"> piemērošana</w:t>
      </w:r>
      <w:r w:rsidR="006729CB">
        <w:t>i</w:t>
      </w:r>
      <w:r w:rsidR="000F4A10" w:rsidRPr="00A44316">
        <w:t>.</w:t>
      </w:r>
    </w:p>
    <w:p w14:paraId="249AF7A8" w14:textId="77777777" w:rsidR="001D16C4" w:rsidRPr="00DE6BC0" w:rsidRDefault="001D16C4" w:rsidP="00385DA5">
      <w:pPr>
        <w:spacing w:line="276" w:lineRule="auto"/>
        <w:ind w:firstLine="720"/>
        <w:jc w:val="both"/>
        <w:rPr>
          <w:rFonts w:asciiTheme="majorBidi" w:hAnsiTheme="majorBidi" w:cstheme="majorBidi"/>
        </w:rPr>
      </w:pPr>
    </w:p>
    <w:p w14:paraId="134A3A09" w14:textId="1B62D363" w:rsidR="00154A08" w:rsidRDefault="001D16C4" w:rsidP="00385DA5">
      <w:pPr>
        <w:spacing w:line="276" w:lineRule="auto"/>
        <w:ind w:firstLine="720"/>
        <w:jc w:val="both"/>
      </w:pPr>
      <w:r w:rsidRPr="00DE6BC0">
        <w:rPr>
          <w:rFonts w:asciiTheme="majorBidi" w:hAnsiTheme="majorBidi" w:cstheme="majorBidi"/>
        </w:rPr>
        <w:t>[</w:t>
      </w:r>
      <w:r w:rsidR="00DD72DF">
        <w:rPr>
          <w:rFonts w:asciiTheme="majorBidi" w:hAnsiTheme="majorBidi" w:cstheme="majorBidi"/>
        </w:rPr>
        <w:t>6</w:t>
      </w:r>
      <w:r w:rsidRPr="00DE6BC0">
        <w:rPr>
          <w:rFonts w:asciiTheme="majorBidi" w:hAnsiTheme="majorBidi" w:cstheme="majorBidi"/>
        </w:rPr>
        <w:t>]</w:t>
      </w:r>
      <w:r w:rsidR="0028250F">
        <w:t xml:space="preserve"> </w:t>
      </w:r>
      <w:r w:rsidR="00830E3F">
        <w:t xml:space="preserve">Lietā citstarp </w:t>
      </w:r>
      <w:r w:rsidR="00A01D0A">
        <w:t>ir</w:t>
      </w:r>
      <w:r w:rsidR="00E3268F">
        <w:t xml:space="preserve"> strīds par to, vai </w:t>
      </w:r>
      <w:r w:rsidR="00A04F90">
        <w:t xml:space="preserve">tiesa (kā arī </w:t>
      </w:r>
      <w:r w:rsidR="00E3268F">
        <w:t>pasūtītāj</w:t>
      </w:r>
      <w:r w:rsidR="00C00A9F">
        <w:t>a</w:t>
      </w:r>
      <w:r w:rsidR="00E3268F">
        <w:t xml:space="preserve"> un birojs</w:t>
      </w:r>
      <w:r w:rsidR="00856C78">
        <w:t>)</w:t>
      </w:r>
      <w:r w:rsidR="00E3268F">
        <w:t xml:space="preserve"> pareizi interpretēja iepirkuma nolikuma</w:t>
      </w:r>
      <w:r w:rsidR="00241E77">
        <w:t xml:space="preserve"> 4.3.5.</w:t>
      </w:r>
      <w:r w:rsidR="00DD72DF">
        <w:t>apakš</w:t>
      </w:r>
      <w:r w:rsidR="00241E77">
        <w:t>punktā paredzēto finanšu piedāvājumu</w:t>
      </w:r>
      <w:r w:rsidR="00E3268F">
        <w:t xml:space="preserve"> prasību </w:t>
      </w:r>
      <w:r w:rsidR="00830E3F">
        <w:t>un</w:t>
      </w:r>
      <w:r w:rsidR="00E3268F">
        <w:t xml:space="preserve"> </w:t>
      </w:r>
      <w:r w:rsidR="00830E3F">
        <w:t xml:space="preserve">to, vai </w:t>
      </w:r>
      <w:r w:rsidR="00E3268F">
        <w:t xml:space="preserve">minētā prasība </w:t>
      </w:r>
      <w:r w:rsidR="00316177">
        <w:t>ir pietiekami skaidra</w:t>
      </w:r>
      <w:r w:rsidR="00E3268F">
        <w:t>.</w:t>
      </w:r>
      <w:r w:rsidR="00523A49" w:rsidRPr="00523A49">
        <w:t xml:space="preserve"> </w:t>
      </w:r>
    </w:p>
    <w:p w14:paraId="597A3206" w14:textId="1FB9CA36" w:rsidR="005A4AF8" w:rsidRPr="00154A08" w:rsidRDefault="00830E3F" w:rsidP="00385DA5">
      <w:pPr>
        <w:spacing w:line="276" w:lineRule="auto"/>
        <w:ind w:firstLine="720"/>
        <w:jc w:val="both"/>
      </w:pPr>
      <w:r w:rsidRPr="00E843CF">
        <w:t>Šajā jautājumā</w:t>
      </w:r>
      <w:r w:rsidRPr="00FA67A9">
        <w:t xml:space="preserve"> </w:t>
      </w:r>
      <w:r w:rsidR="00026C24" w:rsidRPr="00FA67A9">
        <w:t>Senāts atzīst rajona tiesas motivāciju par pareizu un tai pievienojas</w:t>
      </w:r>
      <w:r w:rsidR="00DD72DF" w:rsidRPr="00FA67A9">
        <w:t>,</w:t>
      </w:r>
      <w:r w:rsidR="00026C24" w:rsidRPr="00FA67A9">
        <w:t xml:space="preserve"> to vēlreiz neatkārtojot. Savukārt pieteicējas blakus sūdzība</w:t>
      </w:r>
      <w:r w:rsidR="001D6790" w:rsidRPr="00FA67A9">
        <w:t xml:space="preserve">, ciktāl tajā norādītie argumenti </w:t>
      </w:r>
      <w:r w:rsidRPr="00E843CF">
        <w:t>par iepirkuma nolikuma 4.3.5.apakšpunkta interpretāciju un skaidrību</w:t>
      </w:r>
      <w:r w:rsidRPr="00FA67A9">
        <w:t xml:space="preserve"> </w:t>
      </w:r>
      <w:r w:rsidR="001D6790" w:rsidRPr="00FA67A9">
        <w:t>atšķiras no tiem, kas iekļauti pieteikumā,</w:t>
      </w:r>
      <w:r w:rsidR="00026C24" w:rsidRPr="00FA67A9">
        <w:t xml:space="preserve"> ir noraidām</w:t>
      </w:r>
      <w:r w:rsidRPr="00FA67A9">
        <w:t>i</w:t>
      </w:r>
      <w:r w:rsidR="00026C24" w:rsidRPr="00FA67A9">
        <w:t xml:space="preserve"> tālāk izklāstīto iemeslu dēļ.</w:t>
      </w:r>
    </w:p>
    <w:p w14:paraId="37B0F252" w14:textId="77777777" w:rsidR="007A1F77" w:rsidRDefault="007A1F77" w:rsidP="00385DA5">
      <w:pPr>
        <w:shd w:val="clear" w:color="auto" w:fill="FFFFFF"/>
        <w:spacing w:line="276" w:lineRule="auto"/>
        <w:ind w:firstLine="567"/>
        <w:jc w:val="both"/>
      </w:pPr>
    </w:p>
    <w:p w14:paraId="63B323BD" w14:textId="2D83D52D" w:rsidR="00751646" w:rsidRDefault="007A1F77" w:rsidP="00385DA5">
      <w:pPr>
        <w:spacing w:line="276" w:lineRule="auto"/>
        <w:ind w:firstLine="720"/>
        <w:jc w:val="both"/>
        <w:rPr>
          <w:rFonts w:asciiTheme="majorBidi" w:hAnsiTheme="majorBidi" w:cstheme="majorBidi"/>
        </w:rPr>
      </w:pPr>
      <w:r>
        <w:t>[</w:t>
      </w:r>
      <w:r w:rsidR="00DD72DF">
        <w:t>7</w:t>
      </w:r>
      <w:r>
        <w:t>]</w:t>
      </w:r>
      <w:r w:rsidR="00590090">
        <w:t xml:space="preserve"> </w:t>
      </w:r>
      <w:r w:rsidR="00EC288E">
        <w:t>Iepirkuma nolikuma 4.3.5.</w:t>
      </w:r>
      <w:r w:rsidR="00DD72DF">
        <w:t>apakš</w:t>
      </w:r>
      <w:r w:rsidR="00EC288E">
        <w:t xml:space="preserve">punkts, kas </w:t>
      </w:r>
      <w:r w:rsidR="00AB0E0F">
        <w:t>atbilstoši iepirkuma nolikuma 4.3.</w:t>
      </w:r>
      <w:r w:rsidR="00DD72DF">
        <w:t>apakš</w:t>
      </w:r>
      <w:r w:rsidR="00AB0E0F">
        <w:t xml:space="preserve">punktam regulē finanšu piedāvājuma iesniegšanu, </w:t>
      </w:r>
      <w:r w:rsidR="00EC288E">
        <w:t xml:space="preserve">paredz: </w:t>
      </w:r>
      <w:r w:rsidR="00DC6875" w:rsidRPr="00DE6BC0">
        <w:t>„</w:t>
      </w:r>
      <w:r w:rsidR="00EC288E" w:rsidRPr="0053559C">
        <w:t>Finanšu piedāvājums par vienu pakalpojuma stundu nedrīkst pārsniegt maksimālo pakalpojuma apjomu kopumā (tehniskās specifikācijas/tehniskā piedāvājuma 5.punkts). Pretendentam jāspēj nodrošināt vis</w:t>
      </w:r>
      <w:r w:rsidR="002C3049">
        <w:t>u</w:t>
      </w:r>
      <w:r w:rsidR="00EC288E" w:rsidRPr="0053559C">
        <w:t xml:space="preserve"> pakalpojuma apjom</w:t>
      </w:r>
      <w:r w:rsidR="002C3049">
        <w:t>u</w:t>
      </w:r>
      <w:r w:rsidR="00EC288E">
        <w:t>”</w:t>
      </w:r>
      <w:r w:rsidR="002C3049">
        <w:t>.</w:t>
      </w:r>
      <w:r w:rsidR="00EC288E">
        <w:t xml:space="preserve"> Iepirkuma tehniskās specifikācijas 5.punkts no</w:t>
      </w:r>
      <w:r w:rsidR="002C3049">
        <w:t>teic</w:t>
      </w:r>
      <w:r w:rsidR="00EC288E">
        <w:t xml:space="preserve">, ka pakalpojuma, kuru paredzēts iepirkt, apmērs ir </w:t>
      </w:r>
      <w:r w:rsidR="00DC6875" w:rsidRPr="00DE6BC0">
        <w:t>„</w:t>
      </w:r>
      <w:r w:rsidR="00EC288E">
        <w:t>līdz 300</w:t>
      </w:r>
      <w:r w:rsidR="008454FF">
        <w:t> </w:t>
      </w:r>
      <w:r w:rsidR="00EC288E">
        <w:t>612 stundām bērniem ar funkcionāliem traucējumiem”</w:t>
      </w:r>
      <w:r w:rsidR="002C3049">
        <w:t>.</w:t>
      </w:r>
    </w:p>
    <w:p w14:paraId="303BEC6A" w14:textId="77777777" w:rsidR="00AB0E0F" w:rsidRPr="00751646" w:rsidRDefault="00AB0E0F" w:rsidP="00385DA5">
      <w:pPr>
        <w:spacing w:line="276" w:lineRule="auto"/>
        <w:ind w:firstLine="720"/>
        <w:jc w:val="both"/>
      </w:pPr>
    </w:p>
    <w:p w14:paraId="6B5C3614" w14:textId="622C02C9" w:rsidR="006F3F34" w:rsidRPr="006F3F34" w:rsidRDefault="002C3049" w:rsidP="00385DA5">
      <w:pPr>
        <w:spacing w:line="276" w:lineRule="auto"/>
        <w:ind w:firstLine="720"/>
        <w:jc w:val="both"/>
        <w:rPr>
          <w:rFonts w:asciiTheme="majorBidi" w:hAnsiTheme="majorBidi" w:cstheme="majorBidi"/>
        </w:rPr>
      </w:pPr>
      <w:r w:rsidRPr="00FA67A9">
        <w:rPr>
          <w:rFonts w:asciiTheme="majorBidi" w:hAnsiTheme="majorBidi" w:cstheme="majorBidi"/>
        </w:rPr>
        <w:t>[</w:t>
      </w:r>
      <w:r w:rsidR="006C4C2F" w:rsidRPr="00FA67A9">
        <w:rPr>
          <w:rFonts w:asciiTheme="majorBidi" w:hAnsiTheme="majorBidi" w:cstheme="majorBidi"/>
        </w:rPr>
        <w:t>8</w:t>
      </w:r>
      <w:r w:rsidRPr="00FA67A9">
        <w:rPr>
          <w:rFonts w:asciiTheme="majorBidi" w:hAnsiTheme="majorBidi" w:cstheme="majorBidi"/>
        </w:rPr>
        <w:t xml:space="preserve">] </w:t>
      </w:r>
      <w:r w:rsidR="003B1A62" w:rsidRPr="00FA67A9">
        <w:rPr>
          <w:rFonts w:asciiTheme="majorBidi" w:hAnsiTheme="majorBidi" w:cstheme="majorBidi"/>
        </w:rPr>
        <w:t>Iepirkuma n</w:t>
      </w:r>
      <w:r w:rsidR="006F3F34" w:rsidRPr="00FA67A9">
        <w:rPr>
          <w:rFonts w:asciiTheme="majorBidi" w:hAnsiTheme="majorBidi" w:cstheme="majorBidi"/>
        </w:rPr>
        <w:t>olikuma prasību formulējumā</w:t>
      </w:r>
      <w:r w:rsidR="00830E3F" w:rsidRPr="00FA67A9">
        <w:rPr>
          <w:rFonts w:asciiTheme="majorBidi" w:hAnsiTheme="majorBidi" w:cstheme="majorBidi"/>
        </w:rPr>
        <w:t xml:space="preserve">, </w:t>
      </w:r>
      <w:r w:rsidR="00830E3F" w:rsidRPr="00E843CF">
        <w:rPr>
          <w:rFonts w:asciiTheme="majorBidi" w:hAnsiTheme="majorBidi" w:cstheme="majorBidi"/>
        </w:rPr>
        <w:t xml:space="preserve">aplūkojot to </w:t>
      </w:r>
      <w:r w:rsidR="006729CB">
        <w:rPr>
          <w:rFonts w:asciiTheme="majorBidi" w:hAnsiTheme="majorBidi" w:cstheme="majorBidi"/>
        </w:rPr>
        <w:t xml:space="preserve">Publisko iepirkumu likuma (turpmāk – Iepirkumu likums) </w:t>
      </w:r>
      <w:r w:rsidR="00830E3F" w:rsidRPr="00E843CF">
        <w:rPr>
          <w:rFonts w:asciiTheme="majorBidi" w:hAnsiTheme="majorBidi" w:cstheme="majorBidi"/>
        </w:rPr>
        <w:t xml:space="preserve">prasību </w:t>
      </w:r>
      <w:r w:rsidR="00830E3F" w:rsidRPr="00FA67A9">
        <w:rPr>
          <w:rFonts w:asciiTheme="majorBidi" w:hAnsiTheme="majorBidi" w:cstheme="majorBidi"/>
        </w:rPr>
        <w:t xml:space="preserve">ietvarā, </w:t>
      </w:r>
      <w:r w:rsidR="006F3F34" w:rsidRPr="00FA67A9">
        <w:rPr>
          <w:rFonts w:asciiTheme="majorBidi" w:hAnsiTheme="majorBidi" w:cstheme="majorBidi"/>
        </w:rPr>
        <w:t>ir ietērpta pasūtītāja</w:t>
      </w:r>
      <w:r w:rsidRPr="00FA67A9">
        <w:rPr>
          <w:rFonts w:asciiTheme="majorBidi" w:hAnsiTheme="majorBidi" w:cstheme="majorBidi"/>
        </w:rPr>
        <w:t>s</w:t>
      </w:r>
      <w:r w:rsidR="006F3F34" w:rsidRPr="00FA67A9">
        <w:rPr>
          <w:rFonts w:asciiTheme="majorBidi" w:hAnsiTheme="majorBidi" w:cstheme="majorBidi"/>
        </w:rPr>
        <w:t xml:space="preserve"> griba konkrētā iepirkuma</w:t>
      </w:r>
      <w:r w:rsidR="006F3F34" w:rsidRPr="006F3F34">
        <w:rPr>
          <w:rFonts w:asciiTheme="majorBidi" w:hAnsiTheme="majorBidi" w:cstheme="majorBidi"/>
        </w:rPr>
        <w:t xml:space="preserve"> kontekstā, un nolikuma interpretācijas mērķis ir noskaidrot, kāda</w:t>
      </w:r>
      <w:r w:rsidR="006F3F34">
        <w:rPr>
          <w:rFonts w:asciiTheme="majorBidi" w:hAnsiTheme="majorBidi" w:cstheme="majorBidi"/>
        </w:rPr>
        <w:t xml:space="preserve"> </w:t>
      </w:r>
      <w:r w:rsidR="006F3F34" w:rsidRPr="006F3F34">
        <w:rPr>
          <w:rFonts w:asciiTheme="majorBidi" w:hAnsiTheme="majorBidi" w:cstheme="majorBidi"/>
        </w:rPr>
        <w:t>bijusi šī griba. Ja pasūtītājs nav izteicies skaidri un nepārprotami un rodas strīds par nolikuma prasību saturu, Senāta praksē ir atzīts, ka atbilstoši tiesiskās</w:t>
      </w:r>
      <w:r w:rsidR="006F3F34">
        <w:rPr>
          <w:rFonts w:asciiTheme="majorBidi" w:hAnsiTheme="majorBidi" w:cstheme="majorBidi"/>
        </w:rPr>
        <w:t xml:space="preserve"> </w:t>
      </w:r>
      <w:r w:rsidR="006F3F34" w:rsidRPr="006F3F34">
        <w:rPr>
          <w:rFonts w:asciiTheme="majorBidi" w:hAnsiTheme="majorBidi" w:cstheme="majorBidi"/>
        </w:rPr>
        <w:t>drošības un prognozējamības principam šādā gadījumā nozīme ir nevis tam, kā šo prasību ir sapratis pasūtītājs, bet gan tam, kā pretendenti minēto</w:t>
      </w:r>
      <w:r w:rsidR="006F3F34">
        <w:rPr>
          <w:rFonts w:asciiTheme="majorBidi" w:hAnsiTheme="majorBidi" w:cstheme="majorBidi"/>
        </w:rPr>
        <w:t xml:space="preserve"> </w:t>
      </w:r>
      <w:r w:rsidR="006F3F34" w:rsidRPr="006F3F34">
        <w:rPr>
          <w:rFonts w:asciiTheme="majorBidi" w:hAnsiTheme="majorBidi" w:cstheme="majorBidi"/>
        </w:rPr>
        <w:t>prasību objektīvi varēja saprast kā pasūtītāja gribu (</w:t>
      </w:r>
      <w:r w:rsidR="006F3F34">
        <w:rPr>
          <w:rFonts w:asciiTheme="majorBidi" w:hAnsiTheme="majorBidi" w:cstheme="majorBidi"/>
        </w:rPr>
        <w:t>sk.</w:t>
      </w:r>
      <w:r w:rsidR="008454FF">
        <w:rPr>
          <w:rFonts w:asciiTheme="majorBidi" w:hAnsiTheme="majorBidi" w:cstheme="majorBidi"/>
        </w:rPr>
        <w:t> </w:t>
      </w:r>
      <w:r w:rsidR="006F3F34" w:rsidRPr="006F3F34">
        <w:rPr>
          <w:rFonts w:asciiTheme="majorBidi" w:hAnsiTheme="majorBidi" w:cstheme="majorBidi"/>
          <w:i/>
          <w:iCs/>
        </w:rPr>
        <w:t xml:space="preserve">Senāta 2020.gada </w:t>
      </w:r>
      <w:r w:rsidR="006F3F34">
        <w:rPr>
          <w:rFonts w:asciiTheme="majorBidi" w:hAnsiTheme="majorBidi" w:cstheme="majorBidi"/>
          <w:i/>
          <w:iCs/>
        </w:rPr>
        <w:t>4</w:t>
      </w:r>
      <w:r w:rsidR="006F3F34" w:rsidRPr="006F3F34">
        <w:rPr>
          <w:rFonts w:asciiTheme="majorBidi" w:hAnsiTheme="majorBidi" w:cstheme="majorBidi"/>
          <w:i/>
          <w:iCs/>
        </w:rPr>
        <w:t>.</w:t>
      </w:r>
      <w:r w:rsidR="006F3F34">
        <w:rPr>
          <w:rFonts w:asciiTheme="majorBidi" w:hAnsiTheme="majorBidi" w:cstheme="majorBidi"/>
          <w:i/>
          <w:iCs/>
        </w:rPr>
        <w:t>jūnija</w:t>
      </w:r>
      <w:r w:rsidR="006F3F34" w:rsidRPr="006F3F34">
        <w:rPr>
          <w:rFonts w:asciiTheme="majorBidi" w:hAnsiTheme="majorBidi" w:cstheme="majorBidi"/>
          <w:i/>
          <w:iCs/>
        </w:rPr>
        <w:t xml:space="preserve"> sprieduma lietā Nr.</w:t>
      </w:r>
      <w:r w:rsidR="00DC6875">
        <w:rPr>
          <w:rFonts w:asciiTheme="majorBidi" w:hAnsiTheme="majorBidi" w:cstheme="majorBidi"/>
          <w:i/>
          <w:iCs/>
        </w:rPr>
        <w:t> </w:t>
      </w:r>
      <w:r w:rsidR="006F3F34" w:rsidRPr="006F3F34">
        <w:rPr>
          <w:rFonts w:asciiTheme="majorBidi" w:hAnsiTheme="majorBidi" w:cstheme="majorBidi"/>
          <w:i/>
          <w:iCs/>
        </w:rPr>
        <w:t>SKA-619/2020</w:t>
      </w:r>
      <w:r>
        <w:rPr>
          <w:rFonts w:asciiTheme="majorBidi" w:hAnsiTheme="majorBidi" w:cstheme="majorBidi"/>
          <w:i/>
          <w:iCs/>
        </w:rPr>
        <w:t>,</w:t>
      </w:r>
      <w:r w:rsidR="006F3F34" w:rsidRPr="006F3F34">
        <w:rPr>
          <w:rFonts w:asciiTheme="majorBidi" w:hAnsiTheme="majorBidi" w:cstheme="majorBidi"/>
          <w:i/>
          <w:iCs/>
        </w:rPr>
        <w:t xml:space="preserve"> </w:t>
      </w:r>
      <w:hyperlink r:id="rId9" w:history="1">
        <w:r w:rsidR="006F3F34" w:rsidRPr="00F93852">
          <w:rPr>
            <w:rStyle w:val="Hyperlink"/>
            <w:rFonts w:asciiTheme="majorBidi" w:hAnsiTheme="majorBidi" w:cstheme="majorBidi"/>
            <w:i/>
            <w:iCs/>
          </w:rPr>
          <w:t>ECLI:LV:AT:2020:0604.A420268518.6.S</w:t>
        </w:r>
      </w:hyperlink>
      <w:r>
        <w:rPr>
          <w:rFonts w:asciiTheme="majorBidi" w:hAnsiTheme="majorBidi" w:cstheme="majorBidi"/>
          <w:i/>
          <w:iCs/>
        </w:rPr>
        <w:t xml:space="preserve">, </w:t>
      </w:r>
      <w:r w:rsidR="006F3F34">
        <w:rPr>
          <w:rFonts w:asciiTheme="majorBidi" w:hAnsiTheme="majorBidi" w:cstheme="majorBidi"/>
          <w:i/>
          <w:iCs/>
        </w:rPr>
        <w:t>11</w:t>
      </w:r>
      <w:r w:rsidR="006F3F34" w:rsidRPr="006F3F34">
        <w:rPr>
          <w:rFonts w:asciiTheme="majorBidi" w:hAnsiTheme="majorBidi" w:cstheme="majorBidi"/>
          <w:i/>
          <w:iCs/>
        </w:rPr>
        <w:t>.punkt</w:t>
      </w:r>
      <w:r w:rsidR="006F3F34">
        <w:rPr>
          <w:rFonts w:asciiTheme="majorBidi" w:hAnsiTheme="majorBidi" w:cstheme="majorBidi"/>
          <w:i/>
          <w:iCs/>
        </w:rPr>
        <w:t>u</w:t>
      </w:r>
      <w:r w:rsidR="006F3F34" w:rsidRPr="006F3F34">
        <w:rPr>
          <w:rFonts w:asciiTheme="majorBidi" w:hAnsiTheme="majorBidi" w:cstheme="majorBidi"/>
        </w:rPr>
        <w:t>).</w:t>
      </w:r>
      <w:r w:rsidR="006F3F34">
        <w:rPr>
          <w:rFonts w:asciiTheme="majorBidi" w:hAnsiTheme="majorBidi" w:cstheme="majorBidi"/>
        </w:rPr>
        <w:t xml:space="preserve"> </w:t>
      </w:r>
      <w:r w:rsidR="00EC288E">
        <w:rPr>
          <w:rFonts w:asciiTheme="majorBidi" w:hAnsiTheme="majorBidi" w:cstheme="majorBidi"/>
        </w:rPr>
        <w:t xml:space="preserve">Senāts iepriekš </w:t>
      </w:r>
      <w:r>
        <w:rPr>
          <w:rFonts w:asciiTheme="majorBidi" w:hAnsiTheme="majorBidi" w:cstheme="majorBidi"/>
        </w:rPr>
        <w:t xml:space="preserve">arī </w:t>
      </w:r>
      <w:r w:rsidR="00EC288E">
        <w:rPr>
          <w:rFonts w:asciiTheme="majorBidi" w:hAnsiTheme="majorBidi" w:cstheme="majorBidi"/>
        </w:rPr>
        <w:t xml:space="preserve">norādījis, ka </w:t>
      </w:r>
      <w:r w:rsidR="00EC288E" w:rsidRPr="00641B6A">
        <w:rPr>
          <w:rFonts w:asciiTheme="majorBidi" w:hAnsiTheme="majorBidi" w:cstheme="majorBidi"/>
        </w:rPr>
        <w:t>nav pamata domāt, ka ikvienā gadījumā, kad atsevišķa pretendenta un pasūtītāja izpratne par nolikuma prasību saturu atšķiras, priekšroka dodama tai</w:t>
      </w:r>
      <w:r w:rsidR="00EC288E">
        <w:rPr>
          <w:rFonts w:asciiTheme="majorBidi" w:hAnsiTheme="majorBidi" w:cstheme="majorBidi"/>
        </w:rPr>
        <w:t xml:space="preserve"> </w:t>
      </w:r>
      <w:r w:rsidR="00EC288E" w:rsidRPr="00641B6A">
        <w:rPr>
          <w:rFonts w:asciiTheme="majorBidi" w:hAnsiTheme="majorBidi" w:cstheme="majorBidi"/>
        </w:rPr>
        <w:t xml:space="preserve">nolikuma izpratnei, kādu pārstāv konkrētais pretendents. Nozīme ir tam, kā pretendenti – gribas izteikuma adresāti – prasības </w:t>
      </w:r>
      <w:r w:rsidR="00EC288E" w:rsidRPr="002C3049">
        <w:rPr>
          <w:rFonts w:asciiTheme="majorBidi" w:hAnsiTheme="majorBidi" w:cstheme="majorBidi"/>
        </w:rPr>
        <w:t>objektīvi varēja saprast</w:t>
      </w:r>
      <w:r w:rsidR="00EC288E" w:rsidRPr="00641B6A">
        <w:rPr>
          <w:rFonts w:asciiTheme="majorBidi" w:hAnsiTheme="majorBidi" w:cstheme="majorBidi"/>
          <w:i/>
          <w:iCs/>
        </w:rPr>
        <w:t xml:space="preserve"> </w:t>
      </w:r>
      <w:r w:rsidR="00EC288E" w:rsidRPr="00641B6A">
        <w:rPr>
          <w:rFonts w:asciiTheme="majorBidi" w:hAnsiTheme="majorBidi" w:cstheme="majorBidi"/>
        </w:rPr>
        <w:t>kā pasūtītāja gribu</w:t>
      </w:r>
      <w:r w:rsidR="00EC288E">
        <w:rPr>
          <w:rFonts w:asciiTheme="majorBidi" w:hAnsiTheme="majorBidi" w:cstheme="majorBidi"/>
        </w:rPr>
        <w:t xml:space="preserve"> (</w:t>
      </w:r>
      <w:r w:rsidR="00EC288E">
        <w:rPr>
          <w:rFonts w:asciiTheme="majorBidi" w:hAnsiTheme="majorBidi" w:cstheme="majorBidi"/>
          <w:i/>
          <w:iCs/>
        </w:rPr>
        <w:t xml:space="preserve">Senāta </w:t>
      </w:r>
      <w:r w:rsidR="00EC288E" w:rsidRPr="00751646">
        <w:rPr>
          <w:rFonts w:asciiTheme="majorBidi" w:hAnsiTheme="majorBidi" w:cstheme="majorBidi"/>
          <w:i/>
          <w:iCs/>
        </w:rPr>
        <w:t xml:space="preserve">2017.gada 3.maija </w:t>
      </w:r>
      <w:r w:rsidR="00EC288E" w:rsidRPr="00641B6A">
        <w:rPr>
          <w:rFonts w:asciiTheme="majorBidi" w:hAnsiTheme="majorBidi" w:cstheme="majorBidi"/>
          <w:i/>
          <w:iCs/>
        </w:rPr>
        <w:t>sprieduma lietā</w:t>
      </w:r>
      <w:r w:rsidR="00EC288E">
        <w:rPr>
          <w:rFonts w:asciiTheme="majorBidi" w:hAnsiTheme="majorBidi" w:cstheme="majorBidi"/>
          <w:i/>
          <w:iCs/>
        </w:rPr>
        <w:t xml:space="preserve"> Nr.</w:t>
      </w:r>
      <w:r w:rsidR="00C91796">
        <w:rPr>
          <w:rFonts w:asciiTheme="majorBidi" w:hAnsiTheme="majorBidi" w:cstheme="majorBidi"/>
          <w:i/>
          <w:iCs/>
        </w:rPr>
        <w:t> </w:t>
      </w:r>
      <w:r w:rsidR="00EC288E">
        <w:rPr>
          <w:rFonts w:asciiTheme="majorBidi" w:hAnsiTheme="majorBidi" w:cstheme="majorBidi"/>
          <w:i/>
          <w:iCs/>
        </w:rPr>
        <w:t xml:space="preserve">SKA-47/2017, </w:t>
      </w:r>
      <w:hyperlink r:id="rId10" w:history="1">
        <w:r w:rsidR="00EC288E" w:rsidRPr="00F93852">
          <w:rPr>
            <w:rStyle w:val="Hyperlink"/>
            <w:rFonts w:asciiTheme="majorBidi" w:hAnsiTheme="majorBidi" w:cstheme="majorBidi"/>
            <w:i/>
            <w:iCs/>
          </w:rPr>
          <w:t>A420372214</w:t>
        </w:r>
      </w:hyperlink>
      <w:r w:rsidR="00EC288E" w:rsidRPr="00751646">
        <w:rPr>
          <w:rFonts w:asciiTheme="majorBidi" w:hAnsiTheme="majorBidi" w:cstheme="majorBidi"/>
          <w:i/>
          <w:iCs/>
        </w:rPr>
        <w:t xml:space="preserve">, </w:t>
      </w:r>
      <w:r w:rsidR="00EC288E">
        <w:rPr>
          <w:rFonts w:asciiTheme="majorBidi" w:hAnsiTheme="majorBidi" w:cstheme="majorBidi"/>
          <w:i/>
          <w:iCs/>
        </w:rPr>
        <w:t>13.punkts</w:t>
      </w:r>
      <w:r w:rsidR="00EC288E">
        <w:rPr>
          <w:rFonts w:asciiTheme="majorBidi" w:hAnsiTheme="majorBidi" w:cstheme="majorBidi"/>
        </w:rPr>
        <w:t>)</w:t>
      </w:r>
      <w:r w:rsidR="006729CB">
        <w:rPr>
          <w:rFonts w:asciiTheme="majorBidi" w:hAnsiTheme="majorBidi" w:cstheme="majorBidi"/>
        </w:rPr>
        <w:t>.</w:t>
      </w:r>
      <w:r w:rsidR="006F3F34">
        <w:rPr>
          <w:rFonts w:asciiTheme="majorBidi" w:hAnsiTheme="majorBidi" w:cstheme="majorBidi"/>
        </w:rPr>
        <w:t xml:space="preserve"> </w:t>
      </w:r>
      <w:r w:rsidR="006F3F34" w:rsidRPr="006F3F34">
        <w:t>Senāts arī uzsvēris, ka, vērtējot nolikuma prasību saturu, nolikuma prasības uzlūkojamas tā, lai tās pilnīgi iegūtu praktisko iedarbību un tā, lai</w:t>
      </w:r>
      <w:r w:rsidR="006F3F34">
        <w:t xml:space="preserve"> </w:t>
      </w:r>
      <w:r w:rsidR="006F3F34" w:rsidRPr="006F3F34">
        <w:t>interpretācijas rezultāts atbilstu prasības jēgai (</w:t>
      </w:r>
      <w:r w:rsidR="006F3F34">
        <w:rPr>
          <w:i/>
          <w:iCs/>
        </w:rPr>
        <w:t>Senāta</w:t>
      </w:r>
      <w:r w:rsidR="006F3F34" w:rsidRPr="006F3F34">
        <w:rPr>
          <w:i/>
          <w:iCs/>
        </w:rPr>
        <w:t xml:space="preserve"> 2018.gada 29.jūnija sprieduma lietā Nr.</w:t>
      </w:r>
      <w:r>
        <w:rPr>
          <w:i/>
          <w:iCs/>
        </w:rPr>
        <w:t> </w:t>
      </w:r>
      <w:r w:rsidR="006F3F34" w:rsidRPr="006F3F34">
        <w:rPr>
          <w:i/>
          <w:iCs/>
          <w:lang w:val="en-US"/>
        </w:rPr>
        <w:t>SKA-537/2019</w:t>
      </w:r>
      <w:r w:rsidR="006F3F34">
        <w:rPr>
          <w:i/>
          <w:iCs/>
          <w:lang w:val="en-US"/>
        </w:rPr>
        <w:t>,</w:t>
      </w:r>
      <w:r w:rsidR="006F3F34" w:rsidRPr="006F3F34">
        <w:rPr>
          <w:i/>
          <w:iCs/>
          <w:lang w:val="en-US"/>
        </w:rPr>
        <w:t xml:space="preserve"> </w:t>
      </w:r>
      <w:hyperlink r:id="rId11" w:history="1">
        <w:r w:rsidR="006F3F34" w:rsidRPr="00F93852">
          <w:rPr>
            <w:rStyle w:val="Hyperlink"/>
            <w:i/>
            <w:iCs/>
            <w:lang w:val="en-US"/>
          </w:rPr>
          <w:t>ECLI:LV:AT:2018:0629.A420348816.4.S</w:t>
        </w:r>
      </w:hyperlink>
      <w:r w:rsidR="006F3F34">
        <w:rPr>
          <w:i/>
          <w:iCs/>
          <w:lang w:val="en-US"/>
        </w:rPr>
        <w:t>,</w:t>
      </w:r>
      <w:r w:rsidR="006F3F34" w:rsidRPr="006F3F34">
        <w:rPr>
          <w:i/>
          <w:iCs/>
          <w:lang w:val="en-US"/>
        </w:rPr>
        <w:t xml:space="preserve"> 7.punkts, 2016.gada 22.februāra</w:t>
      </w:r>
      <w:r>
        <w:rPr>
          <w:i/>
          <w:iCs/>
          <w:lang w:val="en-US"/>
        </w:rPr>
        <w:t xml:space="preserve"> </w:t>
      </w:r>
      <w:r w:rsidRPr="002C3049">
        <w:rPr>
          <w:i/>
          <w:iCs/>
        </w:rPr>
        <w:t xml:space="preserve">sprieduma </w:t>
      </w:r>
      <w:r w:rsidR="006F3F34" w:rsidRPr="002C3049">
        <w:rPr>
          <w:i/>
          <w:iCs/>
        </w:rPr>
        <w:t>lietā</w:t>
      </w:r>
      <w:r w:rsidR="006F3F34" w:rsidRPr="006F3F34">
        <w:rPr>
          <w:i/>
          <w:iCs/>
          <w:lang w:val="en-US"/>
        </w:rPr>
        <w:t xml:space="preserve"> Nr.</w:t>
      </w:r>
      <w:r>
        <w:rPr>
          <w:i/>
          <w:iCs/>
          <w:lang w:val="en-US"/>
        </w:rPr>
        <w:t> </w:t>
      </w:r>
      <w:r w:rsidR="006F3F34" w:rsidRPr="006F3F34">
        <w:rPr>
          <w:i/>
          <w:iCs/>
          <w:lang w:val="en-US"/>
        </w:rPr>
        <w:t>SKA-292/2016</w:t>
      </w:r>
      <w:r w:rsidR="006F3F34">
        <w:rPr>
          <w:i/>
          <w:iCs/>
          <w:lang w:val="en-US"/>
        </w:rPr>
        <w:t xml:space="preserve">, </w:t>
      </w:r>
      <w:hyperlink r:id="rId12" w:history="1">
        <w:r w:rsidR="006F3F34" w:rsidRPr="00F93852">
          <w:rPr>
            <w:rStyle w:val="Hyperlink"/>
            <w:i/>
            <w:iCs/>
            <w:lang w:val="en-US"/>
          </w:rPr>
          <w:t>A420386714</w:t>
        </w:r>
      </w:hyperlink>
      <w:r>
        <w:rPr>
          <w:i/>
          <w:iCs/>
          <w:lang w:val="en-US"/>
        </w:rPr>
        <w:t>,</w:t>
      </w:r>
      <w:r w:rsidR="006F3F34" w:rsidRPr="006F3F34">
        <w:rPr>
          <w:i/>
          <w:iCs/>
          <w:lang w:val="en-US"/>
        </w:rPr>
        <w:t xml:space="preserve"> 11.punkts</w:t>
      </w:r>
      <w:r w:rsidR="006F3F34" w:rsidRPr="006F3F34">
        <w:rPr>
          <w:lang w:val="en-US"/>
        </w:rPr>
        <w:t>).</w:t>
      </w:r>
      <w:r w:rsidR="006F3F34">
        <w:rPr>
          <w:lang w:val="en-US"/>
        </w:rPr>
        <w:t xml:space="preserve"> </w:t>
      </w:r>
      <w:r w:rsidR="006F3F34">
        <w:t>Iepirkuma nolikuma prasību nevar interpretēt, izdalot un izolē</w:t>
      </w:r>
      <w:r w:rsidR="009F2ECC">
        <w:t>ti aplūkojot tikai</w:t>
      </w:r>
      <w:r w:rsidR="006F3F34">
        <w:t xml:space="preserve"> konkrētu tā punktu; nolikums un visas tā daļas ir vienots regulējums, kurā viena punkta interpretācija nedrīkst padarīt citu par </w:t>
      </w:r>
      <w:r w:rsidR="006F3F34" w:rsidRPr="00FA67A9">
        <w:t xml:space="preserve">neefektīvu. Turklāt katrs </w:t>
      </w:r>
      <w:r w:rsidR="00DE3ECA" w:rsidRPr="00FA67A9">
        <w:t xml:space="preserve">iepirkuma </w:t>
      </w:r>
      <w:r w:rsidR="006F3F34" w:rsidRPr="00FA67A9">
        <w:t xml:space="preserve">nolikums </w:t>
      </w:r>
      <w:r w:rsidR="00830E3F" w:rsidRPr="00E843CF">
        <w:t>vispārīgi</w:t>
      </w:r>
      <w:r w:rsidR="00830E3F" w:rsidRPr="00FA67A9">
        <w:t xml:space="preserve"> </w:t>
      </w:r>
      <w:r w:rsidR="006F3F34" w:rsidRPr="00FA67A9">
        <w:t>ir patstāvīgs dokuments un tā interpretācijā nav pamata ņemt vērā cita iepirkum</w:t>
      </w:r>
      <w:r w:rsidRPr="00FA67A9">
        <w:t>a</w:t>
      </w:r>
      <w:r w:rsidR="006F3F34" w:rsidRPr="00FA67A9">
        <w:t xml:space="preserve"> nolikum</w:t>
      </w:r>
      <w:r w:rsidR="005B7F41" w:rsidRPr="00FA67A9">
        <w:t>a</w:t>
      </w:r>
      <w:r w:rsidR="006F3F34" w:rsidRPr="00FA67A9">
        <w:t xml:space="preserve"> formulējumus</w:t>
      </w:r>
      <w:r w:rsidR="005B7F41" w:rsidRPr="00FA67A9">
        <w:t>. I</w:t>
      </w:r>
      <w:r w:rsidR="006F3F34" w:rsidRPr="00FA67A9">
        <w:t>zņēmums var būt, ja pa</w:t>
      </w:r>
      <w:r w:rsidR="005B7F41" w:rsidRPr="00FA67A9">
        <w:t xml:space="preserve">šā strīdus </w:t>
      </w:r>
      <w:r w:rsidR="006F3F34" w:rsidRPr="00FA67A9">
        <w:t>nolikum</w:t>
      </w:r>
      <w:r w:rsidR="005B7F41" w:rsidRPr="00FA67A9">
        <w:t xml:space="preserve">ā ir </w:t>
      </w:r>
      <w:r w:rsidR="006F3F34" w:rsidRPr="00FA67A9">
        <w:t xml:space="preserve">atsauces uz citu nolikumu vai to acīmredzami pamato </w:t>
      </w:r>
      <w:r w:rsidR="005B7F41" w:rsidRPr="00FA67A9">
        <w:t xml:space="preserve">konkrētā </w:t>
      </w:r>
      <w:r w:rsidR="006F3F34" w:rsidRPr="00FA67A9">
        <w:t>iepirkuma apstākļi.</w:t>
      </w:r>
    </w:p>
    <w:p w14:paraId="5B642AAF" w14:textId="77777777" w:rsidR="009F2ECC" w:rsidRDefault="009F2ECC" w:rsidP="00385DA5">
      <w:pPr>
        <w:spacing w:line="276" w:lineRule="auto"/>
        <w:ind w:firstLine="720"/>
        <w:jc w:val="both"/>
      </w:pPr>
    </w:p>
    <w:p w14:paraId="11749427" w14:textId="787097CE" w:rsidR="00853619" w:rsidRDefault="006C4C2F" w:rsidP="00385DA5">
      <w:pPr>
        <w:spacing w:line="276" w:lineRule="auto"/>
        <w:ind w:firstLine="720"/>
        <w:jc w:val="both"/>
      </w:pPr>
      <w:r>
        <w:t xml:space="preserve">[9] </w:t>
      </w:r>
      <w:r w:rsidR="00EC288E">
        <w:t>Iepirkuma nolikuma 4.3.5.</w:t>
      </w:r>
      <w:r>
        <w:t>apakš</w:t>
      </w:r>
      <w:r w:rsidR="00EC288E">
        <w:t>punkta</w:t>
      </w:r>
      <w:r w:rsidR="00751646">
        <w:t xml:space="preserve"> interpretācij</w:t>
      </w:r>
      <w:r>
        <w:t>ā būtiski ir v</w:t>
      </w:r>
      <w:r w:rsidR="00C91796">
        <w:t xml:space="preserve">airāki </w:t>
      </w:r>
      <w:r w:rsidR="0064538C">
        <w:t>savstarpēji saistīti</w:t>
      </w:r>
      <w:r>
        <w:t xml:space="preserve"> </w:t>
      </w:r>
      <w:r w:rsidR="00C91796">
        <w:t>jautājumi</w:t>
      </w:r>
      <w:r>
        <w:t>.</w:t>
      </w:r>
      <w:r w:rsidR="00C91796">
        <w:t xml:space="preserve"> Pirmkārt, vai pretendents varēja objektīvi saprast, ka frāze </w:t>
      </w:r>
      <w:r w:rsidR="004D674F" w:rsidRPr="00DE6BC0">
        <w:t>„</w:t>
      </w:r>
      <w:r w:rsidR="00C91796" w:rsidRPr="0053559C">
        <w:t>nedrīkst pārsniegt maksimālo pakalpojuma apjomu kopumā (tehniskās specifikācijas/tehniskā piedāvājuma 5.punkts)</w:t>
      </w:r>
      <w:r w:rsidR="00EC288E">
        <w:t>”</w:t>
      </w:r>
      <w:r w:rsidR="00A84977">
        <w:t xml:space="preserve"> ir</w:t>
      </w:r>
      <w:r w:rsidR="00C91796">
        <w:t xml:space="preserve"> netieši saistīta ar iepirkuma nolikuma 2.1.5.</w:t>
      </w:r>
      <w:r>
        <w:t>apakš</w:t>
      </w:r>
      <w:r w:rsidR="00C91796">
        <w:t>punktu. Otrkārt, kā pretendents varēja objektīvi izprast to, kād</w:t>
      </w:r>
      <w:r w:rsidR="00DE3ECA">
        <w:t>s</w:t>
      </w:r>
      <w:r w:rsidR="00C91796">
        <w:t xml:space="preserve"> </w:t>
      </w:r>
      <w:r w:rsidR="00A84977">
        <w:t xml:space="preserve">ir </w:t>
      </w:r>
      <w:r w:rsidR="00C91796">
        <w:t>iepirkuma nolikuma 4.3.5.</w:t>
      </w:r>
      <w:r>
        <w:t>apakš</w:t>
      </w:r>
      <w:r w:rsidR="00C91796">
        <w:t>punkta otr</w:t>
      </w:r>
      <w:r>
        <w:t>aj</w:t>
      </w:r>
      <w:r w:rsidR="00C91796">
        <w:t>ā teikum</w:t>
      </w:r>
      <w:r w:rsidR="00DE3ECA">
        <w:t>ā iekļautās norādes</w:t>
      </w:r>
      <w:r w:rsidR="00C91796">
        <w:t xml:space="preserve">: </w:t>
      </w:r>
      <w:r>
        <w:t>„</w:t>
      </w:r>
      <w:r w:rsidR="00C91796">
        <w:t>p</w:t>
      </w:r>
      <w:r w:rsidR="00C91796" w:rsidRPr="0053559C">
        <w:t>retendentam jāspēj nodrošināt vis</w:t>
      </w:r>
      <w:r>
        <w:t>u</w:t>
      </w:r>
      <w:r w:rsidR="00C91796" w:rsidRPr="0053559C">
        <w:t xml:space="preserve"> pakalpojuma apjom</w:t>
      </w:r>
      <w:r>
        <w:t>u</w:t>
      </w:r>
      <w:r w:rsidR="00C91796">
        <w:t>”</w:t>
      </w:r>
      <w:r w:rsidR="00DE3ECA">
        <w:t xml:space="preserve"> saturs</w:t>
      </w:r>
      <w:r w:rsidR="00C91796">
        <w:t>,</w:t>
      </w:r>
      <w:r w:rsidR="00A84977">
        <w:t xml:space="preserve"> un kāda šai norādei ir</w:t>
      </w:r>
      <w:r w:rsidR="00C91796">
        <w:t xml:space="preserve"> ietekme uz finanšu piedāvājuma sagatavošanu. Treškārt, kā</w:t>
      </w:r>
      <w:r w:rsidR="004031E6">
        <w:t xml:space="preserve">da ietekme ir vārdam </w:t>
      </w:r>
      <w:r w:rsidR="004D674F" w:rsidRPr="00DE6BC0">
        <w:t>„</w:t>
      </w:r>
      <w:r w:rsidR="004031E6">
        <w:t>līdz” formulējumā</w:t>
      </w:r>
      <w:r w:rsidR="00A84977">
        <w:t>,</w:t>
      </w:r>
      <w:r w:rsidR="004031E6">
        <w:t xml:space="preserve"> ka pakalpojuma apjoms ir </w:t>
      </w:r>
      <w:r w:rsidR="004D674F" w:rsidRPr="00DE6BC0">
        <w:t>„</w:t>
      </w:r>
      <w:r w:rsidR="004031E6">
        <w:t>līdz 300</w:t>
      </w:r>
      <w:r w:rsidR="008454FF">
        <w:t> </w:t>
      </w:r>
      <w:r w:rsidR="004031E6">
        <w:t xml:space="preserve">612 stundām”, kopsakarā ar frāzi </w:t>
      </w:r>
      <w:r w:rsidR="004D674F" w:rsidRPr="00DE6BC0">
        <w:t>„</w:t>
      </w:r>
      <w:r w:rsidR="004031E6" w:rsidRPr="0053559C">
        <w:t>piedāvājums par vienu pakalpojuma stundu nedrīkst pārsniegt maksimālo pakalpojuma</w:t>
      </w:r>
      <w:r w:rsidR="004031E6">
        <w:t xml:space="preserve"> apjomu kopumā”.</w:t>
      </w:r>
      <w:r w:rsidR="00A84977">
        <w:t xml:space="preserve"> Tomēr visi šie </w:t>
      </w:r>
      <w:r>
        <w:t xml:space="preserve">jautājumi pamatā </w:t>
      </w:r>
      <w:r w:rsidR="00A84977">
        <w:t xml:space="preserve">ir saistīti ar to, kā saprotama frāze </w:t>
      </w:r>
      <w:r>
        <w:t>„</w:t>
      </w:r>
      <w:r w:rsidR="00A84977" w:rsidRPr="0053559C">
        <w:t>maksimālo pakalpojuma apjomu kopumā</w:t>
      </w:r>
      <w:r w:rsidR="00A84977">
        <w:t>”.</w:t>
      </w:r>
    </w:p>
    <w:p w14:paraId="3D797016" w14:textId="6A2963AB" w:rsidR="001A0FA0" w:rsidRDefault="009F2ECC" w:rsidP="00385DA5">
      <w:pPr>
        <w:spacing w:line="276" w:lineRule="auto"/>
        <w:ind w:firstLine="720"/>
        <w:jc w:val="both"/>
      </w:pPr>
      <w:r>
        <w:t>I</w:t>
      </w:r>
      <w:r w:rsidR="00297A6A">
        <w:t>epirkuma nolikuma 2.1.5.</w:t>
      </w:r>
      <w:r w:rsidR="006C4C2F">
        <w:t>apakš</w:t>
      </w:r>
      <w:r w:rsidR="00297A6A">
        <w:t>punkts no</w:t>
      </w:r>
      <w:r w:rsidR="006C4C2F">
        <w:t>teic, ka k</w:t>
      </w:r>
      <w:r w:rsidR="00297A6A" w:rsidRPr="00A53B63">
        <w:t>opējā maksimālā līgumcena 36 mēnešiem</w:t>
      </w:r>
      <w:r w:rsidR="006C4C2F">
        <w:t xml:space="preserve"> ir</w:t>
      </w:r>
      <w:r w:rsidR="00297A6A" w:rsidRPr="00A53B63">
        <w:t xml:space="preserve"> 4</w:t>
      </w:r>
      <w:r w:rsidR="008454FF">
        <w:t> </w:t>
      </w:r>
      <w:r w:rsidR="00297A6A" w:rsidRPr="00A53B63">
        <w:t>043</w:t>
      </w:r>
      <w:r w:rsidR="008454FF">
        <w:t> </w:t>
      </w:r>
      <w:r w:rsidR="00297A6A" w:rsidRPr="00A53B63">
        <w:t>232</w:t>
      </w:r>
      <w:r w:rsidR="008454FF">
        <w:t> </w:t>
      </w:r>
      <w:r w:rsidR="006C4C2F" w:rsidRPr="006C4C2F">
        <w:rPr>
          <w:i/>
          <w:iCs/>
        </w:rPr>
        <w:t>euro</w:t>
      </w:r>
      <w:r w:rsidR="006C4C2F">
        <w:t>.</w:t>
      </w:r>
      <w:r w:rsidR="00297A6A" w:rsidRPr="00751646">
        <w:rPr>
          <w:rFonts w:asciiTheme="majorBidi" w:hAnsiTheme="majorBidi" w:cstheme="majorBidi"/>
        </w:rPr>
        <w:t xml:space="preserve"> </w:t>
      </w:r>
      <w:r w:rsidR="00297A6A">
        <w:t xml:space="preserve">Pakalpojuma </w:t>
      </w:r>
      <w:r w:rsidR="007F4D6A">
        <w:t>iepirkumu veido divi aspekti</w:t>
      </w:r>
      <w:r w:rsidR="00297A6A">
        <w:t xml:space="preserve"> </w:t>
      </w:r>
      <w:r w:rsidR="00227F55">
        <w:t xml:space="preserve">– </w:t>
      </w:r>
      <w:r w:rsidR="006C4C2F">
        <w:t>nepieciešamā</w:t>
      </w:r>
      <w:r w:rsidR="00227F55">
        <w:t xml:space="preserve"> rīcība</w:t>
      </w:r>
      <w:r>
        <w:t xml:space="preserve"> (pakalpojums)</w:t>
      </w:r>
      <w:r w:rsidR="00227F55">
        <w:t xml:space="preserve"> un </w:t>
      </w:r>
      <w:r w:rsidR="00DD4839">
        <w:t>atlīdzība</w:t>
      </w:r>
      <w:r w:rsidR="007F4D6A">
        <w:t xml:space="preserve"> </w:t>
      </w:r>
      <w:r w:rsidR="00227F55" w:rsidRPr="00227F55">
        <w:t>par to</w:t>
      </w:r>
      <w:r w:rsidR="00DD4839">
        <w:t xml:space="preserve"> (sk.</w:t>
      </w:r>
      <w:r w:rsidR="008454FF">
        <w:t> </w:t>
      </w:r>
      <w:r w:rsidR="00DD4839" w:rsidRPr="00E74CF8">
        <w:rPr>
          <w:i/>
          <w:iCs/>
        </w:rPr>
        <w:t>Eiropas Savienības Tiesas 202</w:t>
      </w:r>
      <w:r w:rsidR="00DD4839">
        <w:rPr>
          <w:i/>
          <w:iCs/>
        </w:rPr>
        <w:t>0</w:t>
      </w:r>
      <w:r w:rsidR="00DD4839" w:rsidRPr="00E74CF8">
        <w:rPr>
          <w:i/>
          <w:iCs/>
        </w:rPr>
        <w:t>.gada 1</w:t>
      </w:r>
      <w:r w:rsidR="00DD4839">
        <w:rPr>
          <w:i/>
          <w:iCs/>
        </w:rPr>
        <w:t>0</w:t>
      </w:r>
      <w:r w:rsidR="00DD4839" w:rsidRPr="00E74CF8">
        <w:rPr>
          <w:i/>
          <w:iCs/>
        </w:rPr>
        <w:t>.</w:t>
      </w:r>
      <w:r w:rsidR="00DD4839">
        <w:rPr>
          <w:i/>
          <w:iCs/>
        </w:rPr>
        <w:t>septembra</w:t>
      </w:r>
      <w:r w:rsidR="00DD4839" w:rsidRPr="00E74CF8">
        <w:rPr>
          <w:i/>
          <w:iCs/>
        </w:rPr>
        <w:t xml:space="preserve"> sprieduma lietā „</w:t>
      </w:r>
      <w:r w:rsidR="00DD4839" w:rsidRPr="00DD4839">
        <w:rPr>
          <w:i/>
          <w:iCs/>
        </w:rPr>
        <w:t>Tax-Fin-Lex</w:t>
      </w:r>
      <w:r w:rsidR="00DD4839" w:rsidRPr="00E74CF8">
        <w:rPr>
          <w:i/>
          <w:iCs/>
        </w:rPr>
        <w:t xml:space="preserve">” </w:t>
      </w:r>
      <w:r w:rsidR="00DD4839" w:rsidRPr="00DD4839">
        <w:rPr>
          <w:i/>
          <w:iCs/>
        </w:rPr>
        <w:t>C‑367/19</w:t>
      </w:r>
      <w:r w:rsidR="00DD4839">
        <w:rPr>
          <w:i/>
          <w:iCs/>
        </w:rPr>
        <w:t>,</w:t>
      </w:r>
      <w:r w:rsidR="00DD4839" w:rsidRPr="00E74CF8">
        <w:rPr>
          <w:i/>
          <w:iCs/>
        </w:rPr>
        <w:t xml:space="preserve"> </w:t>
      </w:r>
      <w:hyperlink r:id="rId13" w:anchor="ctx1" w:history="1">
        <w:r w:rsidR="00DD4839" w:rsidRPr="00DD4839">
          <w:rPr>
            <w:rStyle w:val="Hyperlink"/>
            <w:i/>
            <w:iCs/>
          </w:rPr>
          <w:t>ECLI:EU:C:2020:685</w:t>
        </w:r>
      </w:hyperlink>
      <w:r w:rsidR="00DD4839" w:rsidRPr="00E74CF8">
        <w:rPr>
          <w:i/>
          <w:iCs/>
        </w:rPr>
        <w:t xml:space="preserve">, </w:t>
      </w:r>
      <w:r w:rsidR="00DD4839">
        <w:rPr>
          <w:i/>
          <w:iCs/>
        </w:rPr>
        <w:t>25</w:t>
      </w:r>
      <w:r w:rsidR="00DD4839" w:rsidRPr="00E74CF8">
        <w:rPr>
          <w:i/>
          <w:iCs/>
        </w:rPr>
        <w:t>.punktu</w:t>
      </w:r>
      <w:r w:rsidR="00DD4839">
        <w:t>)</w:t>
      </w:r>
      <w:r w:rsidR="00227F55" w:rsidRPr="00227F55">
        <w:t>.</w:t>
      </w:r>
      <w:r w:rsidR="009C10A2">
        <w:t xml:space="preserve"> Tādēļ</w:t>
      </w:r>
      <w:r w:rsidR="00227F55">
        <w:t xml:space="preserve"> nevar ignorēt iepirkuma nolikuma 2.1.5.</w:t>
      </w:r>
      <w:r w:rsidR="006C4C2F">
        <w:t>apakš</w:t>
      </w:r>
      <w:r w:rsidR="00227F55">
        <w:t>punktā norādīto neatkarīgi no tā, ka iepirkuma nolikuma 4.3.5.</w:t>
      </w:r>
      <w:r w:rsidR="006C4C2F">
        <w:t>apakš</w:t>
      </w:r>
      <w:r w:rsidR="00227F55">
        <w:t xml:space="preserve">punktā </w:t>
      </w:r>
      <w:r w:rsidR="009C10A2">
        <w:t>nav tiešas atsauces uz minēto punktu</w:t>
      </w:r>
      <w:r w:rsidR="00227F55">
        <w:t>.</w:t>
      </w:r>
      <w:r w:rsidR="009C10A2">
        <w:t xml:space="preserve"> </w:t>
      </w:r>
      <w:r w:rsidR="007F4D6A">
        <w:t>Iepirkuma nolikuma 2.1.5.</w:t>
      </w:r>
      <w:r w:rsidR="006C4C2F">
        <w:t>apakš</w:t>
      </w:r>
      <w:r w:rsidR="007F4D6A">
        <w:t>punkts kopsakarā ar</w:t>
      </w:r>
      <w:r w:rsidR="009C10A2">
        <w:t xml:space="preserve"> iepirkuma nolikuma 4.3.5.</w:t>
      </w:r>
      <w:r w:rsidR="006C4C2F">
        <w:t>apakš</w:t>
      </w:r>
      <w:r w:rsidR="009C10A2">
        <w:t>punkt</w:t>
      </w:r>
      <w:r w:rsidR="007F4D6A">
        <w:t>ā</w:t>
      </w:r>
      <w:r w:rsidR="009C10A2">
        <w:t xml:space="preserve"> minēt</w:t>
      </w:r>
      <w:r w:rsidR="007F4D6A">
        <w:t>o</w:t>
      </w:r>
      <w:r w:rsidR="009C10A2">
        <w:t xml:space="preserve"> atsauc</w:t>
      </w:r>
      <w:r w:rsidR="007F4D6A">
        <w:t>i</w:t>
      </w:r>
      <w:r w:rsidR="009C10A2">
        <w:t xml:space="preserve"> uz tehniskās specifikācijas 5.punktu nodrošina, ka pretendentiem ir visa nepieciešamā informācija, lai izdarītu secinājumu par </w:t>
      </w:r>
      <w:r w:rsidR="009C10A2" w:rsidRPr="006C4C2F">
        <w:t xml:space="preserve">finanšu piedāvājumā norādāmo </w:t>
      </w:r>
      <w:r w:rsidR="003C03B7" w:rsidRPr="006C4C2F">
        <w:t xml:space="preserve">maksimālo </w:t>
      </w:r>
      <w:r w:rsidR="009C10A2" w:rsidRPr="006C4C2F">
        <w:t>cenu</w:t>
      </w:r>
      <w:r w:rsidR="009C10A2">
        <w:t xml:space="preserve"> par </w:t>
      </w:r>
      <w:r w:rsidR="009C10A2" w:rsidRPr="0053559C">
        <w:t>vienu pakalpojuma stundu</w:t>
      </w:r>
      <w:r w:rsidR="009C10A2">
        <w:t xml:space="preserve">. </w:t>
      </w:r>
      <w:r w:rsidR="007F4D6A">
        <w:t>Tādēļ</w:t>
      </w:r>
      <w:r w:rsidR="001A0FA0">
        <w:t xml:space="preserve"> saprātīgs </w:t>
      </w:r>
      <w:r w:rsidR="00505ACF">
        <w:t>kandidāts vai pretendents</w:t>
      </w:r>
      <w:r w:rsidR="001A0FA0">
        <w:t xml:space="preserve">, kurš </w:t>
      </w:r>
      <w:r w:rsidR="001A0FA0" w:rsidRPr="00505ACF">
        <w:t>darbojas</w:t>
      </w:r>
      <w:r w:rsidR="001A0FA0">
        <w:t xml:space="preserve"> nozarē, kurā veikts attiecīgais iepirkums </w:t>
      </w:r>
      <w:r w:rsidR="001A0FA0">
        <w:rPr>
          <w:rFonts w:asciiTheme="majorBidi" w:hAnsiTheme="majorBidi" w:cstheme="majorBidi"/>
        </w:rPr>
        <w:t>(sk.</w:t>
      </w:r>
      <w:r w:rsidR="006729CB">
        <w:rPr>
          <w:rFonts w:asciiTheme="majorBidi" w:hAnsiTheme="majorBidi" w:cstheme="majorBidi"/>
        </w:rPr>
        <w:t> </w:t>
      </w:r>
      <w:r w:rsidR="001A0FA0">
        <w:rPr>
          <w:rFonts w:asciiTheme="majorBidi" w:hAnsiTheme="majorBidi" w:cstheme="majorBidi"/>
          <w:i/>
          <w:iCs/>
        </w:rPr>
        <w:t xml:space="preserve">Senāta </w:t>
      </w:r>
      <w:r w:rsidR="001A0FA0" w:rsidRPr="00641B6A">
        <w:rPr>
          <w:rFonts w:asciiTheme="majorBidi" w:hAnsiTheme="majorBidi" w:cstheme="majorBidi"/>
          <w:i/>
          <w:iCs/>
        </w:rPr>
        <w:t>2017.gada 3.maija sprieduma lietā</w:t>
      </w:r>
      <w:r w:rsidR="001A0FA0">
        <w:rPr>
          <w:rFonts w:asciiTheme="majorBidi" w:hAnsiTheme="majorBidi" w:cstheme="majorBidi"/>
          <w:i/>
          <w:iCs/>
        </w:rPr>
        <w:t xml:space="preserve"> Nr. SKA-47/2017, </w:t>
      </w:r>
      <w:hyperlink r:id="rId14" w:history="1">
        <w:r w:rsidR="001A0FA0" w:rsidRPr="00F93852">
          <w:rPr>
            <w:rStyle w:val="Hyperlink"/>
            <w:rFonts w:asciiTheme="majorBidi" w:hAnsiTheme="majorBidi" w:cstheme="majorBidi"/>
            <w:i/>
            <w:iCs/>
          </w:rPr>
          <w:t>A420372214</w:t>
        </w:r>
      </w:hyperlink>
      <w:r w:rsidR="001A0FA0" w:rsidRPr="00641B6A">
        <w:rPr>
          <w:rFonts w:asciiTheme="majorBidi" w:hAnsiTheme="majorBidi" w:cstheme="majorBidi"/>
          <w:i/>
          <w:iCs/>
        </w:rPr>
        <w:t xml:space="preserve">, </w:t>
      </w:r>
      <w:r w:rsidR="001A0FA0">
        <w:rPr>
          <w:rFonts w:asciiTheme="majorBidi" w:hAnsiTheme="majorBidi" w:cstheme="majorBidi"/>
          <w:i/>
          <w:iCs/>
        </w:rPr>
        <w:t>13.punkt</w:t>
      </w:r>
      <w:r w:rsidR="007F4D6A">
        <w:rPr>
          <w:rFonts w:asciiTheme="majorBidi" w:hAnsiTheme="majorBidi" w:cstheme="majorBidi"/>
          <w:i/>
          <w:iCs/>
        </w:rPr>
        <w:t>u</w:t>
      </w:r>
      <w:r w:rsidR="001A0FA0">
        <w:rPr>
          <w:rFonts w:asciiTheme="majorBidi" w:hAnsiTheme="majorBidi" w:cstheme="majorBidi"/>
        </w:rPr>
        <w:t>)</w:t>
      </w:r>
      <w:r w:rsidR="003C03B7">
        <w:rPr>
          <w:rFonts w:asciiTheme="majorBidi" w:hAnsiTheme="majorBidi" w:cstheme="majorBidi"/>
        </w:rPr>
        <w:t>,</w:t>
      </w:r>
      <w:r w:rsidR="001A0FA0">
        <w:t xml:space="preserve"> nevarētu nonākt pie secinājuma, ka būtu iesniedzams tāds finanšu piedāvājums, kura rezultātā pa</w:t>
      </w:r>
      <w:r>
        <w:t>sūtītāja</w:t>
      </w:r>
      <w:r w:rsidR="00C00A9F">
        <w:t>s</w:t>
      </w:r>
      <w:r w:rsidR="001A0FA0">
        <w:t xml:space="preserve"> izmaksas iepirkuma ietvaros pārsniegtu iepirkuma nolikuma 2.1.5.</w:t>
      </w:r>
      <w:r w:rsidR="003C03B7">
        <w:t>apakš</w:t>
      </w:r>
      <w:r w:rsidR="001A0FA0">
        <w:t xml:space="preserve">punktā norādīto. </w:t>
      </w:r>
    </w:p>
    <w:p w14:paraId="2F223CFF" w14:textId="4B6BA8B5" w:rsidR="00316177" w:rsidRDefault="002A4450" w:rsidP="00385DA5">
      <w:pPr>
        <w:spacing w:line="276" w:lineRule="auto"/>
        <w:ind w:firstLine="720"/>
        <w:jc w:val="both"/>
      </w:pPr>
      <w:r>
        <w:t xml:space="preserve">Tāpat, lai gan vārdi </w:t>
      </w:r>
      <w:r w:rsidR="004D674F" w:rsidRPr="00DE6BC0">
        <w:t>„</w:t>
      </w:r>
      <w:r>
        <w:t>p</w:t>
      </w:r>
      <w:r w:rsidRPr="0053559C">
        <w:t>retendentam jāspēj nodrošināt</w:t>
      </w:r>
      <w:r>
        <w:t xml:space="preserve">” </w:t>
      </w:r>
      <w:r w:rsidR="002C7EFA">
        <w:t xml:space="preserve">paši par sevi norāda uz </w:t>
      </w:r>
      <w:r w:rsidR="00F54AC8">
        <w:t>t</w:t>
      </w:r>
      <w:r w:rsidR="00F54AC8" w:rsidRPr="00F54AC8">
        <w:t>ehniskās un profesionālās spējas</w:t>
      </w:r>
      <w:r w:rsidR="00F54AC8">
        <w:t xml:space="preserve"> prasību</w:t>
      </w:r>
      <w:r w:rsidR="009F2ECC">
        <w:t>, nevis prasību finanšu piedāvājuma sagatavošanai</w:t>
      </w:r>
      <w:r w:rsidR="00F54AC8">
        <w:t xml:space="preserve">, </w:t>
      </w:r>
      <w:r w:rsidR="002C7EFA">
        <w:t xml:space="preserve">tomēr, </w:t>
      </w:r>
      <w:r w:rsidR="00F54AC8">
        <w:t xml:space="preserve">tā kā </w:t>
      </w:r>
      <w:r w:rsidR="002C7EFA">
        <w:t xml:space="preserve">tie </w:t>
      </w:r>
      <w:r w:rsidR="00F54AC8">
        <w:t>ir iekļaut</w:t>
      </w:r>
      <w:r w:rsidR="002C7EFA">
        <w:t>i</w:t>
      </w:r>
      <w:r w:rsidR="00F54AC8">
        <w:t xml:space="preserve"> punktā</w:t>
      </w:r>
      <w:r w:rsidR="002C7EFA">
        <w:t xml:space="preserve"> </w:t>
      </w:r>
      <w:r w:rsidR="004D674F" w:rsidRPr="00DE6BC0">
        <w:t>„</w:t>
      </w:r>
      <w:r w:rsidR="00F54AC8">
        <w:t>4.3.</w:t>
      </w:r>
      <w:r w:rsidR="00F54AC8" w:rsidRPr="00F54AC8">
        <w:t>Finanšu piedāvājums</w:t>
      </w:r>
      <w:r w:rsidR="00F54AC8">
        <w:t>”</w:t>
      </w:r>
      <w:r w:rsidR="002C7EFA">
        <w:t xml:space="preserve">, objektīvi ir saprotami tādējādi, ka tie </w:t>
      </w:r>
      <w:r w:rsidR="00D021A4">
        <w:t xml:space="preserve">regulē piedāvājuma finanšu aspektus, nevis cilvēkresursu </w:t>
      </w:r>
      <w:r w:rsidR="002C7EFA">
        <w:t>aspektus</w:t>
      </w:r>
      <w:r w:rsidR="00D021A4">
        <w:t xml:space="preserve">. </w:t>
      </w:r>
    </w:p>
    <w:p w14:paraId="7315FEBF" w14:textId="6AED996A" w:rsidR="00F04A08" w:rsidRDefault="002C7EFA" w:rsidP="00385DA5">
      <w:pPr>
        <w:spacing w:line="276" w:lineRule="auto"/>
        <w:ind w:firstLine="720"/>
        <w:jc w:val="both"/>
      </w:pPr>
      <w:r>
        <w:t>A</w:t>
      </w:r>
      <w:r w:rsidR="00D021A4">
        <w:t xml:space="preserve">tbilstoši </w:t>
      </w:r>
      <w:r w:rsidR="009F2ECC">
        <w:t>minētajai frāzei</w:t>
      </w:r>
      <w:r w:rsidR="00D021A4">
        <w:t xml:space="preserve"> pretend</w:t>
      </w:r>
      <w:r w:rsidR="009F2ECC">
        <w:t>en</w:t>
      </w:r>
      <w:r w:rsidR="00D021A4">
        <w:t xml:space="preserve">tam </w:t>
      </w:r>
      <w:r w:rsidR="009F2ECC">
        <w:t>finanšu piedāvājums jāsagatavo, pieņemot, ka tikai pretendentam vienam būtu jānodrošina</w:t>
      </w:r>
      <w:r w:rsidR="00462957">
        <w:t xml:space="preserve"> paredzētais maksimālais stundu apmērs</w:t>
      </w:r>
      <w:r w:rsidR="009F2ECC">
        <w:t>, kas noteikts tehniskās specifikācijas 5.punktā</w:t>
      </w:r>
      <w:r w:rsidR="00462957">
        <w:t>.</w:t>
      </w:r>
      <w:r w:rsidR="00D021A4">
        <w:t xml:space="preserve"> Tātad ar šo frāzi ne vien tiek apstiprināts tas, ka </w:t>
      </w:r>
      <w:r w:rsidR="007F4D6A">
        <w:t xml:space="preserve">pretendents </w:t>
      </w:r>
      <w:r w:rsidR="00D021A4">
        <w:t>nevar iesniegt tādu piedāvājumu, kura rezultātā pasūtītāja</w:t>
      </w:r>
      <w:r w:rsidR="007F4D6A">
        <w:t xml:space="preserve"> iepirkumam atvēlētā budžeta ietvaros </w:t>
      </w:r>
      <w:r w:rsidR="00D021A4">
        <w:t xml:space="preserve">spētu </w:t>
      </w:r>
      <w:r w:rsidR="0064538C">
        <w:t>nodrošināt</w:t>
      </w:r>
      <w:r w:rsidR="00D021A4">
        <w:t xml:space="preserve"> pakalpojumu mazāk nekā 300</w:t>
      </w:r>
      <w:r w:rsidR="008454FF">
        <w:t> </w:t>
      </w:r>
      <w:r w:rsidR="00D021A4">
        <w:t>612 stundu apmērā, kā tas būtu, ja cena par vienu stundu būtu li</w:t>
      </w:r>
      <w:r w:rsidR="001A0FA0">
        <w:t xml:space="preserve">elāka nekā </w:t>
      </w:r>
      <w:r w:rsidR="001A0FA0" w:rsidRPr="00751646">
        <w:rPr>
          <w:rFonts w:asciiTheme="majorBidi" w:hAnsiTheme="majorBidi" w:cstheme="majorBidi"/>
        </w:rPr>
        <w:t>13</w:t>
      </w:r>
      <w:r w:rsidR="001A0FA0">
        <w:rPr>
          <w:rFonts w:asciiTheme="majorBidi" w:hAnsiTheme="majorBidi" w:cstheme="majorBidi"/>
        </w:rPr>
        <w:t>,</w:t>
      </w:r>
      <w:r w:rsidR="001A0FA0" w:rsidRPr="00751646">
        <w:rPr>
          <w:rFonts w:asciiTheme="majorBidi" w:hAnsiTheme="majorBidi" w:cstheme="majorBidi"/>
        </w:rPr>
        <w:t>45</w:t>
      </w:r>
      <w:r w:rsidR="001A0FA0">
        <w:rPr>
          <w:rFonts w:asciiTheme="majorBidi" w:hAnsiTheme="majorBidi" w:cstheme="majorBidi"/>
        </w:rPr>
        <w:t> </w:t>
      </w:r>
      <w:r w:rsidR="0072345E" w:rsidRPr="0072345E">
        <w:rPr>
          <w:rFonts w:asciiTheme="majorBidi" w:hAnsiTheme="majorBidi" w:cstheme="majorBidi"/>
          <w:i/>
          <w:iCs/>
        </w:rPr>
        <w:t>euro</w:t>
      </w:r>
      <w:r w:rsidR="00462957">
        <w:rPr>
          <w:rFonts w:asciiTheme="majorBidi" w:hAnsiTheme="majorBidi" w:cstheme="majorBidi"/>
        </w:rPr>
        <w:t>,</w:t>
      </w:r>
      <w:r w:rsidR="001A0FA0">
        <w:rPr>
          <w:rFonts w:asciiTheme="majorBidi" w:hAnsiTheme="majorBidi" w:cstheme="majorBidi"/>
        </w:rPr>
        <w:t xml:space="preserve"> </w:t>
      </w:r>
      <w:r w:rsidR="00D021A4">
        <w:t xml:space="preserve">bet arī, ka ir acīmredzami noraidāma </w:t>
      </w:r>
      <w:r w:rsidR="007F4D6A">
        <w:t>iespēja iepirkuma nolikuma 4.3.5.</w:t>
      </w:r>
      <w:r w:rsidR="0072345E">
        <w:t>apakš</w:t>
      </w:r>
      <w:r w:rsidR="007F4D6A">
        <w:t>punktu interpretēt tādējādi, k</w:t>
      </w:r>
      <w:r w:rsidR="0072345E">
        <w:t>ā</w:t>
      </w:r>
      <w:r w:rsidR="007F4D6A">
        <w:t xml:space="preserve"> </w:t>
      </w:r>
      <w:r w:rsidR="00C00A9F">
        <w:t>to piedāvā pieteicēja, proti</w:t>
      </w:r>
      <w:r w:rsidR="00D021A4">
        <w:t xml:space="preserve">, ka </w:t>
      </w:r>
      <w:r w:rsidR="0064538C">
        <w:t>pretendents</w:t>
      </w:r>
      <w:r w:rsidR="00D021A4">
        <w:t xml:space="preserve"> var iesniegt </w:t>
      </w:r>
      <w:r w:rsidR="001A0FA0">
        <w:t>paša</w:t>
      </w:r>
      <w:r w:rsidR="0064538C">
        <w:t xml:space="preserve"> </w:t>
      </w:r>
      <w:r w:rsidR="001A0FA0">
        <w:t xml:space="preserve">aprēķinātu paredzamo stundu apmēru. </w:t>
      </w:r>
    </w:p>
    <w:p w14:paraId="162EDB19" w14:textId="725495CD" w:rsidR="007F4D6A" w:rsidRDefault="009F2ECC" w:rsidP="00385DA5">
      <w:pPr>
        <w:spacing w:line="276" w:lineRule="auto"/>
        <w:ind w:firstLine="720"/>
        <w:jc w:val="both"/>
      </w:pPr>
      <w:r>
        <w:t>Tādēļ, l</w:t>
      </w:r>
      <w:r w:rsidR="004031E6">
        <w:t xml:space="preserve">ai gan var piekrist, ka </w:t>
      </w:r>
      <w:r w:rsidR="0064538C">
        <w:t>konkrētais</w:t>
      </w:r>
      <w:r w:rsidR="004031E6">
        <w:t xml:space="preserve"> formulējums </w:t>
      </w:r>
      <w:r w:rsidR="008364D0">
        <w:t>nav labākais</w:t>
      </w:r>
      <w:r w:rsidR="00A84977">
        <w:t xml:space="preserve">, </w:t>
      </w:r>
      <w:r w:rsidR="008364D0">
        <w:t xml:space="preserve">kāds varētu būt, </w:t>
      </w:r>
      <w:r w:rsidR="004C7D39">
        <w:t xml:space="preserve">tomēr </w:t>
      </w:r>
      <w:r w:rsidR="0064538C">
        <w:t>iepirkuma nolikuma 4.3.5.</w:t>
      </w:r>
      <w:r w:rsidR="008364D0">
        <w:t>apakš</w:t>
      </w:r>
      <w:r w:rsidR="0064538C">
        <w:t xml:space="preserve">punktu </w:t>
      </w:r>
      <w:r w:rsidR="00241E77">
        <w:t>nevar interpretēt citādi kā vien, ka p</w:t>
      </w:r>
      <w:r w:rsidR="00241E77" w:rsidRPr="00B312E3">
        <w:t>asūtītāj</w:t>
      </w:r>
      <w:r w:rsidR="00C00A9F">
        <w:t>a</w:t>
      </w:r>
      <w:r w:rsidR="00241E77" w:rsidRPr="00B312E3">
        <w:t xml:space="preserve"> ir </w:t>
      </w:r>
      <w:r w:rsidR="00241E77">
        <w:t>vēlēj</w:t>
      </w:r>
      <w:r w:rsidR="00C00A9F">
        <w:t>usies</w:t>
      </w:r>
      <w:r w:rsidR="00241E77" w:rsidRPr="00B312E3">
        <w:t xml:space="preserve"> iepirkt </w:t>
      </w:r>
      <w:r w:rsidR="00A84977">
        <w:t>ne vairāk</w:t>
      </w:r>
      <w:r w:rsidR="001A0FA0">
        <w:t xml:space="preserve"> </w:t>
      </w:r>
      <w:r w:rsidR="00A84977">
        <w:t xml:space="preserve">kā </w:t>
      </w:r>
      <w:r w:rsidR="00241E77" w:rsidRPr="00B312E3">
        <w:t>300 612 stundas konkrētā pakalpojuma</w:t>
      </w:r>
      <w:r w:rsidR="00A84977">
        <w:t xml:space="preserve">, </w:t>
      </w:r>
      <w:r>
        <w:t xml:space="preserve">nepārsniedzot </w:t>
      </w:r>
      <w:r w:rsidR="00A84977">
        <w:t>pakalpojumam atvēlēto budžetu</w:t>
      </w:r>
      <w:r w:rsidR="008454FF">
        <w:t xml:space="preserve"> </w:t>
      </w:r>
      <w:r w:rsidR="00241E77" w:rsidRPr="00B312E3">
        <w:t>– 4</w:t>
      </w:r>
      <w:r w:rsidR="008454FF">
        <w:t> </w:t>
      </w:r>
      <w:r w:rsidR="00241E77" w:rsidRPr="00B312E3">
        <w:t>043</w:t>
      </w:r>
      <w:r w:rsidR="00241E77">
        <w:t> </w:t>
      </w:r>
      <w:r w:rsidR="00241E77" w:rsidRPr="00B312E3">
        <w:t>232</w:t>
      </w:r>
      <w:r w:rsidR="00241E77">
        <w:t> </w:t>
      </w:r>
      <w:r w:rsidR="008364D0" w:rsidRPr="008364D0">
        <w:rPr>
          <w:i/>
          <w:iCs/>
        </w:rPr>
        <w:t>euro</w:t>
      </w:r>
      <w:r w:rsidR="00241E77" w:rsidRPr="00B312E3">
        <w:t>.</w:t>
      </w:r>
      <w:r w:rsidR="001A0FA0">
        <w:t xml:space="preserve"> </w:t>
      </w:r>
      <w:r w:rsidR="00F04A08">
        <w:t xml:space="preserve">Tāpat var piekrist, ka norāde </w:t>
      </w:r>
      <w:r w:rsidR="004D674F" w:rsidRPr="00DE6BC0">
        <w:t>„</w:t>
      </w:r>
      <w:r w:rsidR="00F04A08">
        <w:t xml:space="preserve">jāspēj nodrošināt </w:t>
      </w:r>
      <w:r w:rsidR="00F04A08" w:rsidRPr="0053559C">
        <w:t>vis</w:t>
      </w:r>
      <w:r w:rsidR="008364D0">
        <w:t>u</w:t>
      </w:r>
      <w:r w:rsidR="00F04A08" w:rsidRPr="0053559C">
        <w:t xml:space="preserve"> pakalpojuma apjom</w:t>
      </w:r>
      <w:r w:rsidR="008364D0">
        <w:t>u</w:t>
      </w:r>
      <w:r w:rsidR="00F04A08">
        <w:t>”</w:t>
      </w:r>
      <w:r w:rsidR="005B1617">
        <w:t xml:space="preserve"> un tas, ka </w:t>
      </w:r>
      <w:r w:rsidR="0064538C">
        <w:t xml:space="preserve">iepirkuma nolikuma </w:t>
      </w:r>
      <w:r w:rsidR="005B1617">
        <w:t>4.3.5.</w:t>
      </w:r>
      <w:r w:rsidR="008364D0">
        <w:t>apakš</w:t>
      </w:r>
      <w:r w:rsidR="005B1617">
        <w:t>punktā ir norāde tikai uz paredzamo pakalpojuma stundu apmēru, bet nav tiešas saiknes ar 2.1.5.</w:t>
      </w:r>
      <w:r w:rsidR="008364D0">
        <w:t>apakš</w:t>
      </w:r>
      <w:r w:rsidR="005B1617">
        <w:t>punktu</w:t>
      </w:r>
      <w:r w:rsidR="001A0FA0">
        <w:t>,</w:t>
      </w:r>
      <w:r w:rsidR="00F04A08">
        <w:t xml:space="preserve"> </w:t>
      </w:r>
      <w:r w:rsidR="00A71138">
        <w:t xml:space="preserve">pirmšķietami </w:t>
      </w:r>
      <w:r w:rsidR="005B1617">
        <w:t xml:space="preserve">var būt </w:t>
      </w:r>
      <w:r w:rsidR="00F04A08">
        <w:t>maldinoš</w:t>
      </w:r>
      <w:r w:rsidR="001A0FA0">
        <w:t>i</w:t>
      </w:r>
      <w:r w:rsidR="00F04A08">
        <w:t xml:space="preserve">, </w:t>
      </w:r>
      <w:r w:rsidR="00A71138">
        <w:t xml:space="preserve">tomēr </w:t>
      </w:r>
      <w:r w:rsidR="005B1617">
        <w:t>pieteicējas izpratne, ka tā var piedāvāt</w:t>
      </w:r>
      <w:r w:rsidR="0064538C">
        <w:t xml:space="preserve"> pašas noteiktu</w:t>
      </w:r>
      <w:r w:rsidR="005B1617">
        <w:t xml:space="preserve"> </w:t>
      </w:r>
      <w:r w:rsidR="005B1617" w:rsidRPr="00853619">
        <w:t>vidējo praksē un reālajā dzīvē nepieciešamo stundu skaitu</w:t>
      </w:r>
      <w:r w:rsidR="0064538C">
        <w:t>,</w:t>
      </w:r>
      <w:r w:rsidR="005B1617">
        <w:t xml:space="preserve"> nevar būt pamatota, jo situācij</w:t>
      </w:r>
      <w:r w:rsidR="006729CB">
        <w:t>ā</w:t>
      </w:r>
      <w:r w:rsidR="005B1617">
        <w:t xml:space="preserve">, kurā, ja </w:t>
      </w:r>
      <w:r w:rsidR="006F3F34">
        <w:t>izrādītos, ka</w:t>
      </w:r>
      <w:r w:rsidR="005B1617">
        <w:t xml:space="preserve"> </w:t>
      </w:r>
      <w:r w:rsidR="00DE3ECA">
        <w:t xml:space="preserve">pasūtītājai </w:t>
      </w:r>
      <w:r w:rsidR="005B1617">
        <w:t>būtu nepieciešamas visas 300</w:t>
      </w:r>
      <w:r w:rsidR="008454FF">
        <w:t> </w:t>
      </w:r>
      <w:r w:rsidR="005B1617">
        <w:t xml:space="preserve">612 stundas, </w:t>
      </w:r>
      <w:r w:rsidR="00567AB2">
        <w:t xml:space="preserve">novestu pie tā, ka </w:t>
      </w:r>
      <w:r w:rsidR="005B1617">
        <w:t xml:space="preserve">būtu jāpārsniedz iepirkuma budžets vai </w:t>
      </w:r>
      <w:r w:rsidR="0064538C">
        <w:t xml:space="preserve">arī </w:t>
      </w:r>
      <w:r w:rsidR="005B1617">
        <w:t xml:space="preserve">jāatzīst, ka tā tomēr nevar nodrošināt nepieciešamo stundu apmēru. </w:t>
      </w:r>
    </w:p>
    <w:p w14:paraId="6E1BE15F" w14:textId="1235FE9B" w:rsidR="00241E77" w:rsidRDefault="008364D0" w:rsidP="00385DA5">
      <w:pPr>
        <w:spacing w:line="276" w:lineRule="auto"/>
        <w:ind w:firstLine="720"/>
        <w:jc w:val="both"/>
      </w:pPr>
      <w:r>
        <w:t>M</w:t>
      </w:r>
      <w:r w:rsidR="007F4D6A">
        <w:t>inēto apliecina arī tas, ka pārējie četri pretendenti savos finanšu piedāvājumos iesniedza cenas, kas nav lielākas par 13,45 </w:t>
      </w:r>
      <w:r w:rsidRPr="008364D0">
        <w:rPr>
          <w:i/>
          <w:iCs/>
        </w:rPr>
        <w:t>euro</w:t>
      </w:r>
      <w:r w:rsidR="007F4D6A">
        <w:t xml:space="preserve">. </w:t>
      </w:r>
      <w:r>
        <w:t>T</w:t>
      </w:r>
      <w:r w:rsidR="007F4D6A">
        <w:t xml:space="preserve">as, ka pārējie pretendenti prasību izprata vienādi, </w:t>
      </w:r>
      <w:r>
        <w:t xml:space="preserve">pats par sevi </w:t>
      </w:r>
      <w:r w:rsidR="007F4D6A">
        <w:t xml:space="preserve">secinājumu par prasības interpretāciju </w:t>
      </w:r>
      <w:r>
        <w:t xml:space="preserve">un </w:t>
      </w:r>
      <w:r w:rsidR="007F4D6A">
        <w:t xml:space="preserve">skaidrību </w:t>
      </w:r>
      <w:r>
        <w:t>ne</w:t>
      </w:r>
      <w:r w:rsidR="007F4D6A">
        <w:t>padara kategorisku</w:t>
      </w:r>
      <w:r>
        <w:t>. Tomēr</w:t>
      </w:r>
      <w:r w:rsidR="007F4D6A">
        <w:t xml:space="preserve">, </w:t>
      </w:r>
      <w:r>
        <w:t xml:space="preserve">ievērojot, </w:t>
      </w:r>
      <w:r w:rsidR="007F4D6A">
        <w:t xml:space="preserve">ka nozares </w:t>
      </w:r>
      <w:r>
        <w:t xml:space="preserve">pārstāvji </w:t>
      </w:r>
      <w:r w:rsidR="007F4D6A">
        <w:t xml:space="preserve">ir zinoši </w:t>
      </w:r>
      <w:r>
        <w:t xml:space="preserve">par tajā </w:t>
      </w:r>
      <w:r w:rsidR="007F4D6A">
        <w:t xml:space="preserve">lietotajiem jēdzieniem un </w:t>
      </w:r>
      <w:r>
        <w:t xml:space="preserve">formulējumu </w:t>
      </w:r>
      <w:r w:rsidR="007F4D6A">
        <w:t xml:space="preserve">paņēmieniem </w:t>
      </w:r>
      <w:r w:rsidR="007F4D6A">
        <w:rPr>
          <w:rFonts w:asciiTheme="majorBidi" w:hAnsiTheme="majorBidi" w:cstheme="majorBidi"/>
        </w:rPr>
        <w:t>(sk.</w:t>
      </w:r>
      <w:r w:rsidR="008454FF">
        <w:rPr>
          <w:rFonts w:asciiTheme="majorBidi" w:hAnsiTheme="majorBidi" w:cstheme="majorBidi"/>
        </w:rPr>
        <w:t> </w:t>
      </w:r>
      <w:r w:rsidR="007F4D6A">
        <w:rPr>
          <w:rFonts w:asciiTheme="majorBidi" w:hAnsiTheme="majorBidi" w:cstheme="majorBidi"/>
          <w:i/>
          <w:iCs/>
        </w:rPr>
        <w:t xml:space="preserve">Senāta </w:t>
      </w:r>
      <w:r w:rsidR="007F4D6A" w:rsidRPr="00641B6A">
        <w:rPr>
          <w:rFonts w:asciiTheme="majorBidi" w:hAnsiTheme="majorBidi" w:cstheme="majorBidi"/>
          <w:i/>
          <w:iCs/>
        </w:rPr>
        <w:t>2017.gada 3.maija sprieduma lietā</w:t>
      </w:r>
      <w:r w:rsidR="007F4D6A">
        <w:rPr>
          <w:rFonts w:asciiTheme="majorBidi" w:hAnsiTheme="majorBidi" w:cstheme="majorBidi"/>
          <w:i/>
          <w:iCs/>
        </w:rPr>
        <w:t xml:space="preserve"> Nr. SKA-47/2017, </w:t>
      </w:r>
      <w:hyperlink r:id="rId15" w:history="1">
        <w:r w:rsidR="00232EC4" w:rsidRPr="00F93852">
          <w:rPr>
            <w:rStyle w:val="Hyperlink"/>
            <w:rFonts w:asciiTheme="majorBidi" w:hAnsiTheme="majorBidi" w:cstheme="majorBidi"/>
            <w:i/>
            <w:iCs/>
          </w:rPr>
          <w:t>A420372214</w:t>
        </w:r>
      </w:hyperlink>
      <w:r w:rsidR="007F4D6A" w:rsidRPr="00641B6A">
        <w:rPr>
          <w:rFonts w:asciiTheme="majorBidi" w:hAnsiTheme="majorBidi" w:cstheme="majorBidi"/>
          <w:i/>
          <w:iCs/>
        </w:rPr>
        <w:t xml:space="preserve">, </w:t>
      </w:r>
      <w:r w:rsidR="007F4D6A">
        <w:rPr>
          <w:rFonts w:asciiTheme="majorBidi" w:hAnsiTheme="majorBidi" w:cstheme="majorBidi"/>
          <w:i/>
          <w:iCs/>
        </w:rPr>
        <w:t>12.punktu</w:t>
      </w:r>
      <w:r w:rsidR="007F4D6A">
        <w:rPr>
          <w:rFonts w:asciiTheme="majorBidi" w:hAnsiTheme="majorBidi" w:cstheme="majorBidi"/>
        </w:rPr>
        <w:t>)</w:t>
      </w:r>
      <w:r w:rsidR="007F4D6A">
        <w:t xml:space="preserve">, to izpratne </w:t>
      </w:r>
      <w:r>
        <w:t xml:space="preserve">par iepirkuma </w:t>
      </w:r>
      <w:r w:rsidR="009F2ECC">
        <w:t xml:space="preserve">nolikuma </w:t>
      </w:r>
      <w:r>
        <w:t xml:space="preserve">strīdus </w:t>
      </w:r>
      <w:r w:rsidR="009F2ECC">
        <w:t>prasīb</w:t>
      </w:r>
      <w:r>
        <w:t>as</w:t>
      </w:r>
      <w:r w:rsidR="009F2ECC">
        <w:t xml:space="preserve"> interpretāciju </w:t>
      </w:r>
      <w:r w:rsidR="00A04F90">
        <w:t>var būt</w:t>
      </w:r>
      <w:r w:rsidR="007F4D6A">
        <w:t xml:space="preserve"> </w:t>
      </w:r>
      <w:r w:rsidR="009F2ECC">
        <w:t xml:space="preserve">vērā </w:t>
      </w:r>
      <w:r w:rsidR="007F4D6A">
        <w:t xml:space="preserve">ņemams </w:t>
      </w:r>
      <w:r>
        <w:t xml:space="preserve">papildu </w:t>
      </w:r>
      <w:r w:rsidR="007F4D6A">
        <w:t>apstāklis.</w:t>
      </w:r>
    </w:p>
    <w:p w14:paraId="7C001EED" w14:textId="77777777" w:rsidR="00A04F90" w:rsidRDefault="00A04F90" w:rsidP="00385DA5">
      <w:pPr>
        <w:spacing w:line="276" w:lineRule="auto"/>
        <w:ind w:firstLine="720"/>
        <w:jc w:val="both"/>
      </w:pPr>
    </w:p>
    <w:p w14:paraId="1648D70E" w14:textId="7EC38325" w:rsidR="00B14CF4" w:rsidRDefault="00A04F90" w:rsidP="00385DA5">
      <w:pPr>
        <w:spacing w:line="276" w:lineRule="auto"/>
        <w:ind w:firstLine="720"/>
        <w:jc w:val="both"/>
      </w:pPr>
      <w:r>
        <w:t>[</w:t>
      </w:r>
      <w:r w:rsidR="00590090">
        <w:t>10</w:t>
      </w:r>
      <w:r>
        <w:t>] Ievērojot minēto, Senāts atzīst, ka iepirkuma nolikuma 4.3.5.apakšpunktā paredzētā finanšu piedāvājuma prasība ir pietiekami skaidra un tiesa to interpretēj</w:t>
      </w:r>
      <w:r w:rsidR="00856C78">
        <w:t>a</w:t>
      </w:r>
      <w:r>
        <w:t xml:space="preserve"> pareizi.</w:t>
      </w:r>
      <w:r w:rsidR="00856C78">
        <w:t xml:space="preserve"> </w:t>
      </w:r>
    </w:p>
    <w:p w14:paraId="7B2FCC47" w14:textId="3E726413" w:rsidR="00A04F90" w:rsidRDefault="00856C78" w:rsidP="00385DA5">
      <w:pPr>
        <w:spacing w:line="276" w:lineRule="auto"/>
        <w:ind w:firstLine="720"/>
        <w:jc w:val="both"/>
      </w:pPr>
      <w:r>
        <w:t xml:space="preserve">Vienlaikus Senāts atzīst, ka tālāk norādīto apsvērumu dēļ konkrētajos apstākļos pirmšķietami </w:t>
      </w:r>
      <w:r w:rsidR="00B14CF4">
        <w:t xml:space="preserve">tas </w:t>
      </w:r>
      <w:r>
        <w:t xml:space="preserve">nav izšķiroši. </w:t>
      </w:r>
    </w:p>
    <w:p w14:paraId="61C4C971" w14:textId="7743A895" w:rsidR="00EC288E" w:rsidRDefault="00EC288E" w:rsidP="00385DA5">
      <w:pPr>
        <w:spacing w:line="276" w:lineRule="auto"/>
        <w:ind w:firstLine="720"/>
        <w:jc w:val="both"/>
      </w:pPr>
    </w:p>
    <w:p w14:paraId="72B9CA4C" w14:textId="3F9D41D6" w:rsidR="00DD4839" w:rsidRDefault="00DD4839" w:rsidP="00385DA5">
      <w:pPr>
        <w:spacing w:line="276" w:lineRule="auto"/>
        <w:ind w:firstLine="720"/>
        <w:jc w:val="both"/>
        <w:rPr>
          <w:bCs/>
        </w:rPr>
      </w:pPr>
      <w:bookmarkStart w:id="0" w:name="_Hlk215138357"/>
      <w:r>
        <w:rPr>
          <w:bCs/>
        </w:rPr>
        <w:t>[</w:t>
      </w:r>
      <w:r w:rsidR="00590090">
        <w:rPr>
          <w:bCs/>
        </w:rPr>
        <w:t>11</w:t>
      </w:r>
      <w:r>
        <w:rPr>
          <w:bCs/>
        </w:rPr>
        <w:t>] Senāts</w:t>
      </w:r>
      <w:r>
        <w:rPr>
          <w:bCs/>
          <w:i/>
          <w:iCs/>
        </w:rPr>
        <w:t xml:space="preserve"> </w:t>
      </w:r>
      <w:r>
        <w:rPr>
          <w:bCs/>
        </w:rPr>
        <w:t>atgādina, ka l</w:t>
      </w:r>
      <w:r w:rsidRPr="00AC6FBE">
        <w:rPr>
          <w:bCs/>
        </w:rPr>
        <w:t>ietā piemēro</w:t>
      </w:r>
      <w:r w:rsidR="006729CB">
        <w:rPr>
          <w:bCs/>
        </w:rPr>
        <w:t>jamo</w:t>
      </w:r>
      <w:r w:rsidRPr="00AC6FBE">
        <w:rPr>
          <w:bCs/>
        </w:rPr>
        <w:t xml:space="preserve"> tiesību normu izvērtēšana ir tiesas pienākums. Tas vispirms izriet no principa </w:t>
      </w:r>
      <w:r w:rsidRPr="00AC6FBE">
        <w:rPr>
          <w:bCs/>
          <w:i/>
          <w:iCs/>
        </w:rPr>
        <w:t>jura novit curia</w:t>
      </w:r>
      <w:r w:rsidRPr="00AC6FBE">
        <w:rPr>
          <w:bCs/>
        </w:rPr>
        <w:t xml:space="preserve"> (tiesa zina tiesības) </w:t>
      </w:r>
      <w:r>
        <w:rPr>
          <w:bCs/>
        </w:rPr>
        <w:t>(</w:t>
      </w:r>
      <w:r w:rsidRPr="00AC6FBE">
        <w:rPr>
          <w:bCs/>
          <w:i/>
          <w:iCs/>
        </w:rPr>
        <w:t>Senāta 2024.gada 26.novembra spriedums lietā Nr. </w:t>
      </w:r>
      <w:r w:rsidRPr="00AC6FBE">
        <w:rPr>
          <w:i/>
          <w:iCs/>
        </w:rPr>
        <w:t>SKA</w:t>
      </w:r>
      <w:bookmarkStart w:id="1" w:name="_Hlk129772518"/>
      <w:r w:rsidRPr="00AC6FBE">
        <w:rPr>
          <w:i/>
          <w:iCs/>
        </w:rPr>
        <w:noBreakHyphen/>
      </w:r>
      <w:bookmarkEnd w:id="1"/>
      <w:r w:rsidRPr="00AC6FBE">
        <w:rPr>
          <w:i/>
          <w:iCs/>
        </w:rPr>
        <w:t xml:space="preserve">155/2024, </w:t>
      </w:r>
      <w:hyperlink r:id="rId16" w:history="1">
        <w:r w:rsidRPr="00AC6FBE">
          <w:rPr>
            <w:rStyle w:val="Hyperlink"/>
            <w:i/>
            <w:iCs/>
          </w:rPr>
          <w:t>ECLI:LV:AT:2024:1126.A420170320.10.S</w:t>
        </w:r>
      </w:hyperlink>
      <w:r w:rsidRPr="00AC6FBE">
        <w:rPr>
          <w:i/>
          <w:iCs/>
        </w:rPr>
        <w:t>, 13.punkts</w:t>
      </w:r>
      <w:r>
        <w:t>)</w:t>
      </w:r>
      <w:r w:rsidRPr="00AC6FBE">
        <w:rPr>
          <w:bCs/>
        </w:rPr>
        <w:t>.</w:t>
      </w:r>
      <w:r w:rsidR="008828DF">
        <w:rPr>
          <w:bCs/>
        </w:rPr>
        <w:t xml:space="preserve"> </w:t>
      </w:r>
      <w:r>
        <w:rPr>
          <w:bCs/>
        </w:rPr>
        <w:t>Senā</w:t>
      </w:r>
      <w:r w:rsidR="00BF4EAD">
        <w:rPr>
          <w:bCs/>
        </w:rPr>
        <w:t>t</w:t>
      </w:r>
      <w:r>
        <w:rPr>
          <w:bCs/>
        </w:rPr>
        <w:t>s uzsver, ka ar šo pienākumu nesavienojama būtu situācija, kurā tiesa piemēro</w:t>
      </w:r>
      <w:r w:rsidR="00E1516B">
        <w:rPr>
          <w:bCs/>
        </w:rPr>
        <w:t>tu</w:t>
      </w:r>
      <w:r>
        <w:rPr>
          <w:bCs/>
        </w:rPr>
        <w:t xml:space="preserve"> regulējumu</w:t>
      </w:r>
      <w:r w:rsidR="000D7F1E">
        <w:rPr>
          <w:bCs/>
        </w:rPr>
        <w:t xml:space="preserve"> kādam</w:t>
      </w:r>
      <w:r>
        <w:rPr>
          <w:bCs/>
        </w:rPr>
        <w:t xml:space="preserve"> notikumam, kuru </w:t>
      </w:r>
      <w:r w:rsidR="00856C78">
        <w:rPr>
          <w:bCs/>
        </w:rPr>
        <w:t xml:space="preserve">ar šo </w:t>
      </w:r>
      <w:r>
        <w:rPr>
          <w:bCs/>
        </w:rPr>
        <w:t>regulējum</w:t>
      </w:r>
      <w:r w:rsidR="00856C78">
        <w:rPr>
          <w:bCs/>
        </w:rPr>
        <w:t>u</w:t>
      </w:r>
      <w:r>
        <w:rPr>
          <w:bCs/>
        </w:rPr>
        <w:t xml:space="preserve"> </w:t>
      </w:r>
      <w:r w:rsidR="000D7F1E">
        <w:rPr>
          <w:bCs/>
        </w:rPr>
        <w:t xml:space="preserve">nemaz </w:t>
      </w:r>
      <w:r>
        <w:rPr>
          <w:bCs/>
        </w:rPr>
        <w:t>nav paredzē</w:t>
      </w:r>
      <w:r w:rsidR="00856C78">
        <w:rPr>
          <w:bCs/>
        </w:rPr>
        <w:t>ts</w:t>
      </w:r>
      <w:r>
        <w:rPr>
          <w:bCs/>
        </w:rPr>
        <w:t xml:space="preserve"> aptvert</w:t>
      </w:r>
      <w:r w:rsidR="00E1516B">
        <w:rPr>
          <w:bCs/>
        </w:rPr>
        <w:t>,</w:t>
      </w:r>
      <w:r>
        <w:rPr>
          <w:bCs/>
        </w:rPr>
        <w:t xml:space="preserve"> tikai tādēļ, ka neviens no lietas dalībniekiem </w:t>
      </w:r>
      <w:r w:rsidR="00856C78">
        <w:rPr>
          <w:bCs/>
        </w:rPr>
        <w:t xml:space="preserve">tiešiem vārdiem </w:t>
      </w:r>
      <w:r>
        <w:rPr>
          <w:bCs/>
        </w:rPr>
        <w:t xml:space="preserve">nav </w:t>
      </w:r>
      <w:r w:rsidR="00856C78">
        <w:rPr>
          <w:bCs/>
        </w:rPr>
        <w:t>to</w:t>
      </w:r>
      <w:r>
        <w:rPr>
          <w:bCs/>
        </w:rPr>
        <w:t xml:space="preserve"> apšaubījis. </w:t>
      </w:r>
    </w:p>
    <w:p w14:paraId="5C92ADD5" w14:textId="7CD70293" w:rsidR="00DD4839" w:rsidRDefault="00856C78" w:rsidP="00385DA5">
      <w:pPr>
        <w:spacing w:line="276" w:lineRule="auto"/>
        <w:ind w:firstLine="720"/>
        <w:jc w:val="both"/>
      </w:pPr>
      <w:r>
        <w:rPr>
          <w:bCs/>
        </w:rPr>
        <w:t>N</w:t>
      </w:r>
      <w:r w:rsidR="00DD4839">
        <w:rPr>
          <w:bCs/>
        </w:rPr>
        <w:t xml:space="preserve">osacījums Iepirkumu likuma piemērošanai ir tas, </w:t>
      </w:r>
      <w:r w:rsidR="0012770D">
        <w:rPr>
          <w:bCs/>
        </w:rPr>
        <w:t>vai</w:t>
      </w:r>
      <w:r w:rsidR="00DD4839">
        <w:rPr>
          <w:bCs/>
        </w:rPr>
        <w:t xml:space="preserve"> </w:t>
      </w:r>
      <w:r w:rsidR="00E1516B">
        <w:rPr>
          <w:bCs/>
        </w:rPr>
        <w:t>konkrētajā gadījumā</w:t>
      </w:r>
      <w:r w:rsidR="00DD4839">
        <w:rPr>
          <w:bCs/>
        </w:rPr>
        <w:t xml:space="preserve"> ir konstatējams </w:t>
      </w:r>
      <w:r w:rsidR="00DD4839" w:rsidRPr="00DE6BC0">
        <w:t>„</w:t>
      </w:r>
      <w:r w:rsidR="00DD4839">
        <w:t>publisks līgums” š</w:t>
      </w:r>
      <w:r w:rsidR="00E1516B">
        <w:t>ā</w:t>
      </w:r>
      <w:r w:rsidR="00DD4839">
        <w:t xml:space="preserve"> jēdziena Eiropas Savienības tiesību autonomajā izpratnē, kas izriet no </w:t>
      </w:r>
      <w:r w:rsidR="00DD4839" w:rsidRPr="00E74CF8">
        <w:t>Eiropas Parlamenta un Padomes Direktīva</w:t>
      </w:r>
      <w:r w:rsidR="0012770D">
        <w:t>s</w:t>
      </w:r>
      <w:r w:rsidR="00DD4839" w:rsidRPr="00E74CF8">
        <w:t xml:space="preserve"> 2014/24/ES par publisko iepirkumu un ar ko atceļ Direktīvu 2004/18/EK</w:t>
      </w:r>
      <w:r w:rsidR="00C55902">
        <w:t xml:space="preserve"> (turpmāk</w:t>
      </w:r>
      <w:r w:rsidR="008454FF">
        <w:t xml:space="preserve"> </w:t>
      </w:r>
      <w:r w:rsidR="00C55902">
        <w:t>–</w:t>
      </w:r>
      <w:r w:rsidR="008454FF">
        <w:t xml:space="preserve"> </w:t>
      </w:r>
      <w:r w:rsidR="00C55902">
        <w:t>Iepirkumu direktīva)</w:t>
      </w:r>
      <w:r w:rsidR="00DD4839">
        <w:t xml:space="preserve"> (sk.</w:t>
      </w:r>
      <w:r w:rsidR="008454FF">
        <w:t> </w:t>
      </w:r>
      <w:r w:rsidR="00DD4839" w:rsidRPr="00E74CF8">
        <w:rPr>
          <w:i/>
          <w:iCs/>
        </w:rPr>
        <w:t xml:space="preserve">Eiropas Savienības Tiesas 2022.gada 14.jūlija sprieduma lietā „ASADE” C-436/20, </w:t>
      </w:r>
      <w:hyperlink r:id="rId17" w:history="1">
        <w:r w:rsidR="00DD4839" w:rsidRPr="00E74CF8">
          <w:rPr>
            <w:rStyle w:val="Hyperlink"/>
            <w:i/>
            <w:iCs/>
          </w:rPr>
          <w:t>ECLI:EU:C:2022:559</w:t>
        </w:r>
      </w:hyperlink>
      <w:r w:rsidR="00DD4839" w:rsidRPr="00E74CF8">
        <w:rPr>
          <w:i/>
          <w:iCs/>
        </w:rPr>
        <w:t>, 55.</w:t>
      </w:r>
      <w:r w:rsidR="0012770D">
        <w:rPr>
          <w:i/>
          <w:iCs/>
        </w:rPr>
        <w:t>–</w:t>
      </w:r>
      <w:r w:rsidR="00DD4839" w:rsidRPr="00E74CF8">
        <w:rPr>
          <w:i/>
          <w:iCs/>
        </w:rPr>
        <w:t>66.punktu</w:t>
      </w:r>
      <w:r w:rsidR="00DD4839">
        <w:t>)</w:t>
      </w:r>
      <w:r w:rsidR="00E1516B">
        <w:t>,</w:t>
      </w:r>
      <w:r w:rsidR="00DD4839">
        <w:t xml:space="preserve"> vai Iepirkum</w:t>
      </w:r>
      <w:r w:rsidR="0012770D">
        <w:t>u</w:t>
      </w:r>
      <w:r w:rsidR="00DD4839">
        <w:t xml:space="preserve"> likuma izpratnē, ciktāl šī izpratne ir plašāka nekā iepriekš minētā Eiropas Savienības tiesību autonomā izpratne. </w:t>
      </w:r>
      <w:r w:rsidR="00BA28C9">
        <w:t xml:space="preserve">Šajā ziņā var būt nozīme tam, ka </w:t>
      </w:r>
      <w:r w:rsidR="0012770D">
        <w:t xml:space="preserve">atbilstoši </w:t>
      </w:r>
      <w:r w:rsidR="00BA28C9" w:rsidRPr="00DC0170">
        <w:t>Ministru kabineta 2021.gada 18.maija noteikum</w:t>
      </w:r>
      <w:r w:rsidR="0012770D">
        <w:t>u</w:t>
      </w:r>
      <w:r w:rsidR="00BA28C9" w:rsidRPr="00DC0170">
        <w:t xml:space="preserve"> Nr.</w:t>
      </w:r>
      <w:r w:rsidR="00B14CF4">
        <w:t> </w:t>
      </w:r>
      <w:r w:rsidR="00BA28C9" w:rsidRPr="00DC0170">
        <w:t xml:space="preserve">316 </w:t>
      </w:r>
      <w:r w:rsidR="0012770D">
        <w:t>„</w:t>
      </w:r>
      <w:r w:rsidR="00BA28C9" w:rsidRPr="00DC0170">
        <w:t>Noteikumi par asistenta, pavadoņa un aprūpes mājās pakalpojumu personām ar invaliditāti</w:t>
      </w:r>
      <w:r w:rsidR="0012770D">
        <w:t>”</w:t>
      </w:r>
      <w:r w:rsidR="00BA28C9">
        <w:t xml:space="preserve"> 6.punktam līgumus ar šāda pakalpojuma sniedzējiem slēdz </w:t>
      </w:r>
      <w:r w:rsidR="0012770D">
        <w:t>„</w:t>
      </w:r>
      <w:r w:rsidR="00BA28C9" w:rsidRPr="00DC0170">
        <w:t>publiskos iepirkumus regulējošajos normatīvajos aktos noteiktajā kārtībā</w:t>
      </w:r>
      <w:r w:rsidR="00BA28C9">
        <w:t xml:space="preserve">”. </w:t>
      </w:r>
    </w:p>
    <w:p w14:paraId="4C078370" w14:textId="73147B0E" w:rsidR="00B14CF4" w:rsidRDefault="0012770D" w:rsidP="00385DA5">
      <w:pPr>
        <w:spacing w:line="276" w:lineRule="auto"/>
        <w:ind w:firstLine="720"/>
        <w:jc w:val="both"/>
      </w:pPr>
      <w:r>
        <w:t xml:space="preserve">Tādēļ </w:t>
      </w:r>
      <w:r w:rsidR="00DD4839">
        <w:t>tiesai</w:t>
      </w:r>
      <w:r>
        <w:t xml:space="preserve">, izskatot lietu pēc būtības, </w:t>
      </w:r>
      <w:r w:rsidR="00DD4839">
        <w:t>ir jāpārbaud</w:t>
      </w:r>
      <w:r>
        <w:t>a</w:t>
      </w:r>
      <w:r w:rsidR="00DD4839">
        <w:t xml:space="preserve">, vai izskatāmajā gadījumā ir konstatējams </w:t>
      </w:r>
      <w:r w:rsidR="00DD4839" w:rsidRPr="00DE6BC0">
        <w:t>„</w:t>
      </w:r>
      <w:r w:rsidR="00DD4839">
        <w:t>publisks līgums”</w:t>
      </w:r>
      <w:r>
        <w:t xml:space="preserve"> norādītajā izpratnē</w:t>
      </w:r>
      <w:r w:rsidR="00DD4839">
        <w:t xml:space="preserve">. Šī pārbaude </w:t>
      </w:r>
      <w:r>
        <w:t>jāveic</w:t>
      </w:r>
      <w:r w:rsidR="00B14CF4">
        <w:t>,</w:t>
      </w:r>
      <w:r>
        <w:t xml:space="preserve"> </w:t>
      </w:r>
      <w:r w:rsidR="00DD4839">
        <w:t>izdar</w:t>
      </w:r>
      <w:r>
        <w:t>ot</w:t>
      </w:r>
      <w:r w:rsidR="00DD4839">
        <w:t xml:space="preserve"> secinājumus par, piemēram, pakalpojuma raksturu</w:t>
      </w:r>
      <w:r w:rsidR="001A7B37">
        <w:t xml:space="preserve"> un </w:t>
      </w:r>
      <w:r w:rsidR="00DD4839">
        <w:t xml:space="preserve">finansēšanas apsvērumiem, </w:t>
      </w:r>
      <w:r>
        <w:t xml:space="preserve">un </w:t>
      </w:r>
      <w:r w:rsidR="00FA67A9" w:rsidRPr="00E1516B">
        <w:t>citiem</w:t>
      </w:r>
      <w:r w:rsidR="00E843CF" w:rsidRPr="00E1516B">
        <w:t xml:space="preserve"> Eiropas Savienības Tiesas judikatūrā attīstītiem</w:t>
      </w:r>
      <w:r w:rsidR="00FA67A9" w:rsidRPr="00E1516B">
        <w:t xml:space="preserve"> aspektiem, kas pamato </w:t>
      </w:r>
      <w:r w:rsidRPr="00E1516B">
        <w:t>to, vai</w:t>
      </w:r>
      <w:r>
        <w:t xml:space="preserve"> konkrētaj</w:t>
      </w:r>
      <w:r w:rsidR="00B14CF4">
        <w:t>a</w:t>
      </w:r>
      <w:r>
        <w:t xml:space="preserve">m </w:t>
      </w:r>
      <w:r w:rsidR="00DD4839">
        <w:t xml:space="preserve">pakalpojumam ir </w:t>
      </w:r>
      <w:r w:rsidRPr="00E1516B">
        <w:t>komerciāla</w:t>
      </w:r>
      <w:r>
        <w:t xml:space="preserve"> </w:t>
      </w:r>
      <w:r w:rsidR="00DD4839">
        <w:t>daba</w:t>
      </w:r>
      <w:r>
        <w:t xml:space="preserve">. Šis </w:t>
      </w:r>
      <w:r w:rsidR="00DD4839">
        <w:t xml:space="preserve">ir </w:t>
      </w:r>
      <w:r w:rsidR="00E1516B">
        <w:t xml:space="preserve">būtiski </w:t>
      </w:r>
      <w:r w:rsidR="00DD4839">
        <w:t xml:space="preserve">secinājumam </w:t>
      </w:r>
      <w:r w:rsidR="00E1516B">
        <w:t>par to</w:t>
      </w:r>
      <w:r w:rsidR="00DD4839">
        <w:t xml:space="preserve">, vai konkrētais </w:t>
      </w:r>
      <w:r>
        <w:t xml:space="preserve">pakalpojums </w:t>
      </w:r>
      <w:r w:rsidR="00DD4839">
        <w:t>iekļaujas minētās direktīvas materiāltiesiskajā tvērumā (sk.</w:t>
      </w:r>
      <w:r w:rsidR="00B14CF4">
        <w:t> </w:t>
      </w:r>
      <w:r w:rsidR="00DD4839" w:rsidRPr="00E74CF8">
        <w:rPr>
          <w:i/>
          <w:iCs/>
        </w:rPr>
        <w:t xml:space="preserve">Eiropas Savienības Tiesas 2022.gada 14.jūlija sprieduma lietā „ASADE” C-436/20, </w:t>
      </w:r>
      <w:hyperlink r:id="rId18" w:history="1">
        <w:r w:rsidR="00DD4839" w:rsidRPr="00E74CF8">
          <w:rPr>
            <w:rStyle w:val="Hyperlink"/>
            <w:i/>
            <w:iCs/>
          </w:rPr>
          <w:t>ECLI:EU:C:2022:559</w:t>
        </w:r>
      </w:hyperlink>
      <w:r w:rsidR="00DD4839" w:rsidRPr="00E74CF8">
        <w:rPr>
          <w:i/>
          <w:iCs/>
        </w:rPr>
        <w:t xml:space="preserve">, </w:t>
      </w:r>
      <w:r w:rsidR="00DD4839">
        <w:rPr>
          <w:i/>
          <w:iCs/>
        </w:rPr>
        <w:t>60.</w:t>
      </w:r>
      <w:r w:rsidR="008454FF">
        <w:rPr>
          <w:i/>
          <w:iCs/>
        </w:rPr>
        <w:t>–</w:t>
      </w:r>
      <w:r w:rsidR="00DD4839">
        <w:rPr>
          <w:i/>
          <w:iCs/>
        </w:rPr>
        <w:t>6</w:t>
      </w:r>
      <w:r w:rsidR="00AD51AD">
        <w:rPr>
          <w:i/>
          <w:iCs/>
        </w:rPr>
        <w:t>6</w:t>
      </w:r>
      <w:r w:rsidR="00DD4839" w:rsidRPr="00E74CF8">
        <w:rPr>
          <w:i/>
          <w:iCs/>
        </w:rPr>
        <w:t>.punktu</w:t>
      </w:r>
      <w:r w:rsidR="00DD4839">
        <w:t xml:space="preserve">). </w:t>
      </w:r>
    </w:p>
    <w:p w14:paraId="13DC96AB" w14:textId="5D151E59" w:rsidR="00BF4EAD" w:rsidRDefault="008828DF" w:rsidP="00385DA5">
      <w:pPr>
        <w:spacing w:line="276" w:lineRule="auto"/>
        <w:ind w:firstLine="720"/>
        <w:jc w:val="both"/>
      </w:pPr>
      <w:r>
        <w:t xml:space="preserve">Senāts vērš uzmanību, ka </w:t>
      </w:r>
      <w:r w:rsidR="0061631C">
        <w:t>Eiropas Savienības Tiesa</w:t>
      </w:r>
      <w:r w:rsidR="001713D9">
        <w:t>, lai gan izskat</w:t>
      </w:r>
      <w:r w:rsidR="00E1516B">
        <w:t>ījusi</w:t>
      </w:r>
      <w:r w:rsidR="001713D9">
        <w:t xml:space="preserve"> lietu par valsts atbalsta tiesībām,</w:t>
      </w:r>
      <w:r w:rsidR="0061631C">
        <w:t xml:space="preserve"> ir atzinusi, ka izvērtējumā par to, vai kādai rīcībai </w:t>
      </w:r>
      <w:r w:rsidR="0012770D">
        <w:t xml:space="preserve">ir </w:t>
      </w:r>
      <w:r w:rsidR="00E843CF" w:rsidRPr="00E1516B">
        <w:t>komerciāla</w:t>
      </w:r>
      <w:r w:rsidR="00E843CF">
        <w:t xml:space="preserve"> </w:t>
      </w:r>
      <w:r w:rsidR="0061631C">
        <w:t>daba, var būt svarīgi, ka rīcība veikta, izpildot starptautiskas saistības</w:t>
      </w:r>
      <w:r w:rsidR="00C55902">
        <w:t>, kas paredz pienākumu kā publisku funkciju</w:t>
      </w:r>
      <w:r w:rsidR="0061631C">
        <w:t xml:space="preserve"> (sk.</w:t>
      </w:r>
      <w:r w:rsidR="008454FF">
        <w:t> </w:t>
      </w:r>
      <w:r w:rsidR="0061631C" w:rsidRPr="0061631C">
        <w:rPr>
          <w:i/>
          <w:iCs/>
        </w:rPr>
        <w:t>Eiropas Savienības Tiesas 1994.gada 19.janvāra spriedum</w:t>
      </w:r>
      <w:r w:rsidR="0061631C">
        <w:rPr>
          <w:i/>
          <w:iCs/>
        </w:rPr>
        <w:t>a</w:t>
      </w:r>
      <w:r w:rsidR="0061631C" w:rsidRPr="0061631C">
        <w:rPr>
          <w:i/>
          <w:iCs/>
        </w:rPr>
        <w:t xml:space="preserve"> lietā „SAT</w:t>
      </w:r>
      <w:r w:rsidR="00590090">
        <w:rPr>
          <w:i/>
          <w:iCs/>
        </w:rPr>
        <w:t> </w:t>
      </w:r>
      <w:r w:rsidR="0061631C" w:rsidRPr="0061631C">
        <w:rPr>
          <w:i/>
          <w:iCs/>
        </w:rPr>
        <w:t xml:space="preserve">Fluggesellschaft” C-364/92, </w:t>
      </w:r>
      <w:hyperlink r:id="rId19" w:history="1">
        <w:r w:rsidR="0061631C" w:rsidRPr="0061631C">
          <w:rPr>
            <w:rStyle w:val="Hyperlink"/>
            <w:i/>
            <w:iCs/>
          </w:rPr>
          <w:t>ECLI:EU:C:1994:7</w:t>
        </w:r>
      </w:hyperlink>
      <w:r w:rsidR="0061631C" w:rsidRPr="0061631C">
        <w:rPr>
          <w:i/>
          <w:iCs/>
        </w:rPr>
        <w:t>, 20. un 30.</w:t>
      </w:r>
      <w:r w:rsidR="0061631C">
        <w:rPr>
          <w:i/>
          <w:iCs/>
        </w:rPr>
        <w:t>punktu</w:t>
      </w:r>
      <w:r w:rsidR="003A4C5C">
        <w:t>)</w:t>
      </w:r>
      <w:r w:rsidR="0012770D">
        <w:t>,</w:t>
      </w:r>
      <w:r w:rsidR="00831EF5">
        <w:rPr>
          <w:i/>
          <w:iCs/>
        </w:rPr>
        <w:t xml:space="preserve"> </w:t>
      </w:r>
      <w:r w:rsidR="003A4C5C">
        <w:t>kā arī atzinusi, ka nozīme ir tam, vai pakalpojums sniegts</w:t>
      </w:r>
      <w:r w:rsidR="00607508">
        <w:t>,</w:t>
      </w:r>
      <w:r w:rsidR="003A4C5C">
        <w:t xml:space="preserve"> izpildot likumā paredzētu </w:t>
      </w:r>
      <w:r w:rsidR="00607508">
        <w:t>publisku</w:t>
      </w:r>
      <w:r w:rsidR="00FA67A9">
        <w:t xml:space="preserve"> </w:t>
      </w:r>
      <w:r w:rsidR="003A4C5C">
        <w:t>pienākumu (sk.</w:t>
      </w:r>
      <w:r w:rsidR="008454FF">
        <w:t> </w:t>
      </w:r>
      <w:r w:rsidR="003A4C5C" w:rsidRPr="003A4C5C">
        <w:rPr>
          <w:i/>
          <w:iCs/>
        </w:rPr>
        <w:t xml:space="preserve">Eiropas Savienības Tiesas </w:t>
      </w:r>
      <w:r w:rsidR="00831EF5" w:rsidRPr="00831EF5">
        <w:rPr>
          <w:i/>
          <w:iCs/>
        </w:rPr>
        <w:t>spriedum</w:t>
      </w:r>
      <w:r w:rsidR="00831EF5">
        <w:rPr>
          <w:i/>
          <w:iCs/>
        </w:rPr>
        <w:t>a</w:t>
      </w:r>
      <w:r w:rsidR="00831EF5" w:rsidRPr="00831EF5">
        <w:rPr>
          <w:i/>
          <w:iCs/>
        </w:rPr>
        <w:t xml:space="preserve"> lietā </w:t>
      </w:r>
      <w:r w:rsidR="00831EF5" w:rsidRPr="0061631C">
        <w:rPr>
          <w:i/>
          <w:iCs/>
        </w:rPr>
        <w:t>„</w:t>
      </w:r>
      <w:r w:rsidR="00831EF5" w:rsidRPr="00831EF5">
        <w:rPr>
          <w:i/>
          <w:iCs/>
        </w:rPr>
        <w:t>Compass-Datenbank GmbH</w:t>
      </w:r>
      <w:r w:rsidR="00831EF5" w:rsidRPr="0061631C">
        <w:rPr>
          <w:i/>
          <w:iCs/>
        </w:rPr>
        <w:t>”</w:t>
      </w:r>
      <w:r w:rsidR="00831EF5" w:rsidRPr="00831EF5">
        <w:rPr>
          <w:i/>
          <w:iCs/>
        </w:rPr>
        <w:t xml:space="preserve"> C-138/11,</w:t>
      </w:r>
      <w:r w:rsidR="00831EF5">
        <w:rPr>
          <w:i/>
          <w:iCs/>
        </w:rPr>
        <w:t xml:space="preserve"> </w:t>
      </w:r>
      <w:hyperlink r:id="rId20" w:history="1">
        <w:r w:rsidR="00831EF5" w:rsidRPr="00831EF5">
          <w:rPr>
            <w:rStyle w:val="Hyperlink"/>
            <w:i/>
            <w:iCs/>
          </w:rPr>
          <w:t>ECLI:EU:C:2012:449</w:t>
        </w:r>
      </w:hyperlink>
      <w:r w:rsidR="00831EF5">
        <w:rPr>
          <w:i/>
          <w:iCs/>
        </w:rPr>
        <w:t>,</w:t>
      </w:r>
      <w:r w:rsidR="00831EF5" w:rsidRPr="00831EF5">
        <w:rPr>
          <w:i/>
          <w:iCs/>
        </w:rPr>
        <w:t xml:space="preserve"> 40</w:t>
      </w:r>
      <w:r w:rsidR="00831EF5">
        <w:rPr>
          <w:i/>
          <w:iCs/>
        </w:rPr>
        <w:t>.punkt</w:t>
      </w:r>
      <w:r w:rsidR="003A4C5C">
        <w:rPr>
          <w:i/>
          <w:iCs/>
        </w:rPr>
        <w:t>u</w:t>
      </w:r>
      <w:r w:rsidR="0061631C">
        <w:t xml:space="preserve">). </w:t>
      </w:r>
    </w:p>
    <w:p w14:paraId="21D96598" w14:textId="3F5F6427" w:rsidR="00607508" w:rsidRDefault="00382341" w:rsidP="00385DA5">
      <w:pPr>
        <w:spacing w:line="276" w:lineRule="auto"/>
        <w:ind w:firstLine="720"/>
        <w:jc w:val="both"/>
      </w:pPr>
      <w:r>
        <w:t xml:space="preserve">Šajā ziņā </w:t>
      </w:r>
      <w:r w:rsidR="00607508">
        <w:t>j</w:t>
      </w:r>
      <w:r w:rsidR="00B14CF4">
        <w:t>ā</w:t>
      </w:r>
      <w:r w:rsidR="00607508">
        <w:t xml:space="preserve">ņem vērā arī </w:t>
      </w:r>
      <w:r w:rsidRPr="00382341">
        <w:t>Konvencija</w:t>
      </w:r>
      <w:r>
        <w:t>s</w:t>
      </w:r>
      <w:r w:rsidRPr="00382341">
        <w:t xml:space="preserve"> par personu ar invaliditāti tiesībām</w:t>
      </w:r>
      <w:r w:rsidR="00BF4EAD">
        <w:t>, kas ir saistoša Latvijai</w:t>
      </w:r>
      <w:r w:rsidR="008828DF">
        <w:t xml:space="preserve">, </w:t>
      </w:r>
      <w:r>
        <w:t>23.panta trešā daļa</w:t>
      </w:r>
      <w:r w:rsidR="00607508">
        <w:t>, kas</w:t>
      </w:r>
      <w:r>
        <w:t xml:space="preserve"> paredz, ka </w:t>
      </w:r>
      <w:r w:rsidRPr="00382341">
        <w:t>dalībvalstis apņemas sniegt pakalpojumus un atbalstu bērniem ar invaliditāti un viņu ģimenēm</w:t>
      </w:r>
      <w:r w:rsidR="00607508">
        <w:t>.</w:t>
      </w:r>
      <w:r>
        <w:t xml:space="preserve"> </w:t>
      </w:r>
      <w:r w:rsidR="00607508">
        <w:t>Š</w:t>
      </w:r>
      <w:r w:rsidR="008828DF">
        <w:t xml:space="preserve">īs konvencijas 19.panta </w:t>
      </w:r>
      <w:r w:rsidR="00607508">
        <w:t>„</w:t>
      </w:r>
      <w:r w:rsidR="008828DF">
        <w:t>b” punkts no</w:t>
      </w:r>
      <w:r w:rsidR="00607508">
        <w:t>teic</w:t>
      </w:r>
      <w:r w:rsidR="008828DF">
        <w:t xml:space="preserve">, ka viens no pakalpojumiem, kuriem jābūt pieejamiem </w:t>
      </w:r>
      <w:r w:rsidR="005A76E4">
        <w:t>personām ar invaliditāti</w:t>
      </w:r>
      <w:r w:rsidR="00607508">
        <w:t>,</w:t>
      </w:r>
      <w:r w:rsidR="005A76E4">
        <w:t xml:space="preserve"> ir </w:t>
      </w:r>
      <w:r w:rsidR="005A76E4" w:rsidRPr="005A76E4">
        <w:t>personīgā palīdzība, kas nepieciešama, lai dzīvotu un iekļautos sabiedrībā un lai nepieļautu izolēšanu vai nošķiršanu no sabiedrības</w:t>
      </w:r>
      <w:r w:rsidR="005A76E4">
        <w:t xml:space="preserve">. </w:t>
      </w:r>
      <w:r>
        <w:t xml:space="preserve">Eiropas </w:t>
      </w:r>
      <w:r w:rsidRPr="00382341">
        <w:t xml:space="preserve">Savienība ir apstiprinājusi </w:t>
      </w:r>
      <w:r>
        <w:t xml:space="preserve">minēto </w:t>
      </w:r>
      <w:r w:rsidRPr="00382341">
        <w:t xml:space="preserve">konvenciju, kuras normas tādējādi no šīs konvencijas spēkā stāšanās brīža ir neatņemama Savienības tiesību sistēmas sastāvdaļa </w:t>
      </w:r>
      <w:r>
        <w:t>(sk.</w:t>
      </w:r>
      <w:r w:rsidR="008454FF">
        <w:t> </w:t>
      </w:r>
      <w:r w:rsidRPr="00E74CF8">
        <w:rPr>
          <w:i/>
          <w:iCs/>
        </w:rPr>
        <w:t>Eiropas Savienības Tiesas 202</w:t>
      </w:r>
      <w:r>
        <w:rPr>
          <w:i/>
          <w:iCs/>
        </w:rPr>
        <w:t>5</w:t>
      </w:r>
      <w:r w:rsidRPr="00E74CF8">
        <w:rPr>
          <w:i/>
          <w:iCs/>
        </w:rPr>
        <w:t xml:space="preserve">.gada </w:t>
      </w:r>
      <w:r>
        <w:rPr>
          <w:i/>
          <w:iCs/>
        </w:rPr>
        <w:t>11</w:t>
      </w:r>
      <w:r w:rsidRPr="00E74CF8">
        <w:rPr>
          <w:i/>
          <w:iCs/>
        </w:rPr>
        <w:t>.</w:t>
      </w:r>
      <w:r>
        <w:rPr>
          <w:i/>
          <w:iCs/>
        </w:rPr>
        <w:t>septembra</w:t>
      </w:r>
      <w:r w:rsidRPr="00E74CF8">
        <w:rPr>
          <w:i/>
          <w:iCs/>
        </w:rPr>
        <w:t xml:space="preserve"> sprieduma lietā „</w:t>
      </w:r>
      <w:r w:rsidRPr="00382341">
        <w:rPr>
          <w:i/>
          <w:iCs/>
        </w:rPr>
        <w:t>Bervidi</w:t>
      </w:r>
      <w:r w:rsidRPr="00E74CF8">
        <w:rPr>
          <w:i/>
          <w:iCs/>
        </w:rPr>
        <w:t xml:space="preserve">” </w:t>
      </w:r>
      <w:r w:rsidRPr="00382341">
        <w:rPr>
          <w:i/>
          <w:iCs/>
        </w:rPr>
        <w:t>C-38/24</w:t>
      </w:r>
      <w:r w:rsidRPr="00E74CF8">
        <w:rPr>
          <w:i/>
          <w:iCs/>
        </w:rPr>
        <w:t xml:space="preserve">, </w:t>
      </w:r>
      <w:hyperlink r:id="rId21" w:history="1">
        <w:r w:rsidRPr="007D3436">
          <w:rPr>
            <w:rStyle w:val="Hyperlink"/>
            <w:i/>
            <w:iCs/>
          </w:rPr>
          <w:t>ECLI:EU:C:2025:690</w:t>
        </w:r>
      </w:hyperlink>
      <w:r w:rsidRPr="00E74CF8">
        <w:rPr>
          <w:i/>
          <w:iCs/>
        </w:rPr>
        <w:t>,</w:t>
      </w:r>
      <w:r>
        <w:rPr>
          <w:i/>
          <w:iCs/>
        </w:rPr>
        <w:t xml:space="preserve"> 46</w:t>
      </w:r>
      <w:r w:rsidRPr="00E74CF8">
        <w:rPr>
          <w:i/>
          <w:iCs/>
        </w:rPr>
        <w:t>.punkt</w:t>
      </w:r>
      <w:r w:rsidR="008454FF">
        <w:rPr>
          <w:i/>
          <w:iCs/>
        </w:rPr>
        <w:t>u</w:t>
      </w:r>
      <w:r>
        <w:t>)</w:t>
      </w:r>
      <w:r w:rsidR="003A4C5C">
        <w:t>. Eiropas Savienības Tiesa, izskatot lietu, kurā</w:t>
      </w:r>
      <w:r w:rsidR="00BF4EAD">
        <w:t xml:space="preserve"> </w:t>
      </w:r>
      <w:r w:rsidR="00DB1FFE">
        <w:t xml:space="preserve">vērtēts </w:t>
      </w:r>
      <w:r w:rsidR="00DB1FFE" w:rsidRPr="00DB1FFE">
        <w:t>personīg</w:t>
      </w:r>
      <w:r w:rsidR="00DB1FFE">
        <w:t>ās</w:t>
      </w:r>
      <w:r w:rsidR="00DB1FFE" w:rsidRPr="00DB1FFE">
        <w:t xml:space="preserve"> palīdzīb</w:t>
      </w:r>
      <w:r w:rsidR="00DB1FFE">
        <w:t>as pakalpojums</w:t>
      </w:r>
      <w:r w:rsidR="003A4C5C">
        <w:t xml:space="preserve">, </w:t>
      </w:r>
      <w:r w:rsidR="00ED4955">
        <w:t>ir atzinusi</w:t>
      </w:r>
      <w:r w:rsidR="00DB1FFE">
        <w:t xml:space="preserve">, ka </w:t>
      </w:r>
      <w:r w:rsidR="00C81099">
        <w:t>ar šo</w:t>
      </w:r>
      <w:r w:rsidR="00607508">
        <w:t xml:space="preserve"> </w:t>
      </w:r>
      <w:r w:rsidR="003A4C5C">
        <w:t>konvencij</w:t>
      </w:r>
      <w:r w:rsidR="00C81099">
        <w:t>u</w:t>
      </w:r>
      <w:r w:rsidR="003A4C5C">
        <w:t xml:space="preserve"> garantēt</w:t>
      </w:r>
      <w:r w:rsidR="005A76E4">
        <w:t>o</w:t>
      </w:r>
      <w:r w:rsidR="003A4C5C">
        <w:t xml:space="preserve"> </w:t>
      </w:r>
      <w:r w:rsidR="003A4C5C" w:rsidRPr="003A4C5C">
        <w:t>personas ar invaliditāti tiesību uz pašnoteikšan</w:t>
      </w:r>
      <w:r w:rsidR="00C81099">
        <w:t>o</w:t>
      </w:r>
      <w:r w:rsidR="005A76E4">
        <w:t>s</w:t>
      </w:r>
      <w:r w:rsidR="003A4C5C" w:rsidRPr="003A4C5C">
        <w:t xml:space="preserve"> aizsardzīb</w:t>
      </w:r>
      <w:r w:rsidR="00C81099">
        <w:t>a</w:t>
      </w:r>
      <w:r w:rsidR="00DB1FFE">
        <w:t xml:space="preserve"> </w:t>
      </w:r>
      <w:r w:rsidR="00BF4EAD">
        <w:t>ir svarīgs elements</w:t>
      </w:r>
      <w:r w:rsidR="00C81099">
        <w:t xml:space="preserve"> </w:t>
      </w:r>
      <w:r w:rsidR="00DB1FFE">
        <w:t>(</w:t>
      </w:r>
      <w:r w:rsidR="00DB1FFE" w:rsidRPr="00E74CF8">
        <w:rPr>
          <w:i/>
          <w:iCs/>
        </w:rPr>
        <w:t>Eiropas Savienības Tiesas 202</w:t>
      </w:r>
      <w:r w:rsidR="00DB1FFE">
        <w:rPr>
          <w:i/>
          <w:iCs/>
        </w:rPr>
        <w:t>2</w:t>
      </w:r>
      <w:r w:rsidR="00DB1FFE" w:rsidRPr="00E74CF8">
        <w:rPr>
          <w:i/>
          <w:iCs/>
        </w:rPr>
        <w:t xml:space="preserve">.gada </w:t>
      </w:r>
      <w:r w:rsidR="00DB1FFE">
        <w:rPr>
          <w:i/>
          <w:iCs/>
        </w:rPr>
        <w:t>2</w:t>
      </w:r>
      <w:r w:rsidR="00DB1FFE" w:rsidRPr="00E74CF8">
        <w:rPr>
          <w:i/>
          <w:iCs/>
        </w:rPr>
        <w:t>.</w:t>
      </w:r>
      <w:r w:rsidR="00DB1FFE">
        <w:rPr>
          <w:i/>
          <w:iCs/>
        </w:rPr>
        <w:t>augusta</w:t>
      </w:r>
      <w:r w:rsidR="00DB1FFE" w:rsidRPr="00E74CF8">
        <w:rPr>
          <w:i/>
          <w:iCs/>
        </w:rPr>
        <w:t xml:space="preserve"> sprieduma lietā „</w:t>
      </w:r>
      <w:r w:rsidR="00DB1FFE" w:rsidRPr="00DB1FFE">
        <w:rPr>
          <w:i/>
          <w:iCs/>
        </w:rPr>
        <w:t>AP</w:t>
      </w:r>
      <w:r w:rsidR="00590090">
        <w:rPr>
          <w:i/>
          <w:iCs/>
        </w:rPr>
        <w:t> </w:t>
      </w:r>
      <w:r w:rsidR="00DB1FFE" w:rsidRPr="00DB1FFE">
        <w:rPr>
          <w:i/>
          <w:iCs/>
        </w:rPr>
        <w:t>Assistenzprofis</w:t>
      </w:r>
      <w:r w:rsidR="00DB1FFE" w:rsidRPr="00E74CF8">
        <w:rPr>
          <w:i/>
          <w:iCs/>
        </w:rPr>
        <w:t xml:space="preserve">” </w:t>
      </w:r>
      <w:r w:rsidR="00DB1FFE" w:rsidRPr="00DB1FFE">
        <w:rPr>
          <w:i/>
          <w:iCs/>
        </w:rPr>
        <w:t>C-518/22</w:t>
      </w:r>
      <w:r w:rsidR="00DB1FFE" w:rsidRPr="007D3436">
        <w:rPr>
          <w:i/>
          <w:iCs/>
        </w:rPr>
        <w:t xml:space="preserve">, </w:t>
      </w:r>
      <w:hyperlink r:id="rId22" w:history="1">
        <w:r w:rsidR="00DB1FFE" w:rsidRPr="007D3436">
          <w:rPr>
            <w:rStyle w:val="Hyperlink"/>
            <w:i/>
            <w:iCs/>
          </w:rPr>
          <w:t>ECLI:EU:C:2023:956</w:t>
        </w:r>
      </w:hyperlink>
      <w:r w:rsidR="00DB1FFE" w:rsidRPr="00E74CF8">
        <w:rPr>
          <w:i/>
          <w:iCs/>
        </w:rPr>
        <w:t>,</w:t>
      </w:r>
      <w:r w:rsidR="00DB1FFE">
        <w:rPr>
          <w:i/>
          <w:iCs/>
        </w:rPr>
        <w:t xml:space="preserve"> </w:t>
      </w:r>
      <w:r w:rsidR="00BF4EAD">
        <w:rPr>
          <w:i/>
          <w:iCs/>
        </w:rPr>
        <w:t>62.</w:t>
      </w:r>
      <w:r w:rsidR="00C81099">
        <w:rPr>
          <w:i/>
          <w:iCs/>
        </w:rPr>
        <w:t xml:space="preserve"> un </w:t>
      </w:r>
      <w:r w:rsidR="00BF4EAD">
        <w:rPr>
          <w:i/>
          <w:iCs/>
        </w:rPr>
        <w:t>63.</w:t>
      </w:r>
      <w:r w:rsidR="00C81099">
        <w:rPr>
          <w:i/>
          <w:iCs/>
        </w:rPr>
        <w:t>punkts</w:t>
      </w:r>
      <w:r w:rsidR="00DB1FFE">
        <w:t>).</w:t>
      </w:r>
      <w:r w:rsidR="00DC0170">
        <w:t xml:space="preserve"> </w:t>
      </w:r>
      <w:r w:rsidR="00E843CF" w:rsidRPr="00CA086E">
        <w:t xml:space="preserve">Šajā lietā Tiesa </w:t>
      </w:r>
      <w:r w:rsidR="00451CFA" w:rsidRPr="00CA086E">
        <w:t>aplūkoja valsts tiesību aktu</w:t>
      </w:r>
      <w:r w:rsidR="00CA086E" w:rsidRPr="00CA086E">
        <w:t xml:space="preserve">s ar </w:t>
      </w:r>
      <w:r w:rsidR="00E843CF" w:rsidRPr="00CA086E">
        <w:t>mērķi</w:t>
      </w:r>
      <w:r w:rsidR="00451CFA" w:rsidRPr="00CA086E">
        <w:t xml:space="preserve"> aizsargāt </w:t>
      </w:r>
      <w:r w:rsidR="00E843CF" w:rsidRPr="00CA086E">
        <w:t>personu ar invaliditāti pašnoteikšan</w:t>
      </w:r>
      <w:r w:rsidR="00451CFA" w:rsidRPr="00CA086E">
        <w:t>os</w:t>
      </w:r>
      <w:r w:rsidR="00E843CF" w:rsidRPr="00CA086E">
        <w:t xml:space="preserve">, garantējot </w:t>
      </w:r>
      <w:r w:rsidR="00CA086E" w:rsidRPr="00CA086E">
        <w:t>šo</w:t>
      </w:r>
      <w:r w:rsidR="00E843CF" w:rsidRPr="00CA086E">
        <w:t xml:space="preserve"> personu tiesības paust vēlmes un veikt brīvu izvēli, kad tiek pieņemti lēmumi par personīgās palīdzības pakalpojumu sniegšanu, jo šie pakalpojumi skar visas dzīves jomas un dziļi iesniedzas personu, kas tos saņem, privātajā un intīmajā sfērā. </w:t>
      </w:r>
      <w:r w:rsidR="00CA086E" w:rsidRPr="00CA086E">
        <w:t xml:space="preserve">Šo tiesību aktu </w:t>
      </w:r>
      <w:r w:rsidR="00E843CF" w:rsidRPr="00CA086E">
        <w:t>mērķi</w:t>
      </w:r>
      <w:r w:rsidR="00CA086E" w:rsidRPr="00CA086E">
        <w:t xml:space="preserve">s bija </w:t>
      </w:r>
      <w:r w:rsidR="00E843CF" w:rsidRPr="00CA086E">
        <w:t>nodrošināt personu ar invaliditāti tiesības organizēt savus dzīves apstākļus</w:t>
      </w:r>
      <w:r w:rsidR="00CA086E" w:rsidRPr="00CA086E">
        <w:t>,</w:t>
      </w:r>
      <w:r w:rsidR="00E843CF" w:rsidRPr="00CA086E">
        <w:t xml:space="preserve"> cik vien iespējams patstāvīgi un neatkarīgi.</w:t>
      </w:r>
      <w:r w:rsidR="00CA086E" w:rsidRPr="00CA086E">
        <w:t xml:space="preserve"> Tiesa atzina, ka š</w:t>
      </w:r>
      <w:r w:rsidR="00E843CF" w:rsidRPr="00CA086E">
        <w:t xml:space="preserve">ādas tiesības noteikti ietver iespēju </w:t>
      </w:r>
      <w:r w:rsidR="00CA086E" w:rsidRPr="00CA086E">
        <w:t xml:space="preserve">personām ar invaliditāti plānot </w:t>
      </w:r>
      <w:r w:rsidR="00E843CF" w:rsidRPr="00CA086E">
        <w:t>sniedzamo personīgās palīdzības pakalpojumu, tostarp definēt tās personas atlases kritērijus, kura sniedz šādu pakalpojumu, un aktīvi piedalīties šīs personas darbā pieņemšanas procesā (</w:t>
      </w:r>
      <w:r w:rsidR="00E843CF" w:rsidRPr="00CA086E">
        <w:rPr>
          <w:i/>
          <w:iCs/>
        </w:rPr>
        <w:t xml:space="preserve">turpat, </w:t>
      </w:r>
      <w:r w:rsidR="00CA086E" w:rsidRPr="00CA086E">
        <w:rPr>
          <w:i/>
          <w:iCs/>
        </w:rPr>
        <w:t xml:space="preserve">58., </w:t>
      </w:r>
      <w:r w:rsidR="00E843CF" w:rsidRPr="00CA086E">
        <w:rPr>
          <w:i/>
          <w:iCs/>
        </w:rPr>
        <w:t>60.punkts</w:t>
      </w:r>
      <w:r w:rsidR="00E843CF" w:rsidRPr="00CA086E">
        <w:t>).</w:t>
      </w:r>
    </w:p>
    <w:p w14:paraId="495310E2" w14:textId="71EA27A5" w:rsidR="00DC0170" w:rsidRDefault="00607508" w:rsidP="00385DA5">
      <w:pPr>
        <w:spacing w:line="276" w:lineRule="auto"/>
        <w:ind w:firstLine="720"/>
        <w:jc w:val="both"/>
      </w:pPr>
      <w:r>
        <w:t xml:space="preserve">Ievērojot minēto, </w:t>
      </w:r>
      <w:r w:rsidR="00DD4839">
        <w:t>lietas apstākļi</w:t>
      </w:r>
      <w:r w:rsidR="00DD4839">
        <w:rPr>
          <w:bCs/>
        </w:rPr>
        <w:t xml:space="preserve"> </w:t>
      </w:r>
      <w:r w:rsidR="00DD4839">
        <w:t xml:space="preserve">prasa tiesai iegūt pārliecību un nolēmumā, kurā lieta izskatīta pēc būtības, norādīt pamatojumu tam, </w:t>
      </w:r>
      <w:r w:rsidR="003E4D13">
        <w:t xml:space="preserve">vai un </w:t>
      </w:r>
      <w:r w:rsidR="00DD4839">
        <w:t xml:space="preserve">kādēļ Iepirkumu likums ir piemērojams </w:t>
      </w:r>
      <w:r w:rsidR="003E4D13">
        <w:t>konkrētajam pakalpojumam</w:t>
      </w:r>
      <w:r w:rsidR="000E7E2A">
        <w:t>,</w:t>
      </w:r>
      <w:r w:rsidR="003E4D13">
        <w:t xml:space="preserve"> </w:t>
      </w:r>
      <w:r w:rsidR="009C4594">
        <w:t xml:space="preserve">un </w:t>
      </w:r>
      <w:r w:rsidR="00AD51AD">
        <w:t xml:space="preserve">arī tad, ja ir piemērojams, vai no lietas apstākļiem nav izdibināmi kādi apsvērumi, kas pamato to, ka </w:t>
      </w:r>
      <w:r w:rsidR="00AD51AD" w:rsidRPr="000E7E2A">
        <w:t>Iepirkum</w:t>
      </w:r>
      <w:r w:rsidR="003E4D13" w:rsidRPr="000E7E2A">
        <w:t>u</w:t>
      </w:r>
      <w:r w:rsidR="00AD51AD">
        <w:t xml:space="preserve"> likuma noteikumi ir piemērojami līdz noteiktam </w:t>
      </w:r>
      <w:r w:rsidR="009C4594">
        <w:t>apmēr</w:t>
      </w:r>
      <w:r w:rsidR="00AD51AD">
        <w:t>am</w:t>
      </w:r>
      <w:r w:rsidR="009C4594">
        <w:t xml:space="preserve"> vai ar kādām </w:t>
      </w:r>
      <w:r w:rsidR="000D7F1E">
        <w:t>atšķirībām</w:t>
      </w:r>
      <w:r w:rsidR="00DD4839">
        <w:t>.</w:t>
      </w:r>
      <w:r w:rsidR="008828DF">
        <w:t xml:space="preserve"> </w:t>
      </w:r>
    </w:p>
    <w:p w14:paraId="7BC8E355" w14:textId="77777777" w:rsidR="003E4D13" w:rsidRDefault="003E4D13" w:rsidP="00385DA5">
      <w:pPr>
        <w:spacing w:line="276" w:lineRule="auto"/>
        <w:ind w:firstLine="720"/>
        <w:jc w:val="both"/>
      </w:pPr>
    </w:p>
    <w:p w14:paraId="1B31A84E" w14:textId="46CC7007" w:rsidR="000E7E2A" w:rsidRDefault="003E4D13" w:rsidP="00385DA5">
      <w:pPr>
        <w:spacing w:line="276" w:lineRule="auto"/>
        <w:ind w:firstLine="720"/>
        <w:jc w:val="both"/>
      </w:pPr>
      <w:r>
        <w:t>[</w:t>
      </w:r>
      <w:r w:rsidR="00590090">
        <w:t>12</w:t>
      </w:r>
      <w:r>
        <w:t xml:space="preserve">] </w:t>
      </w:r>
      <w:r w:rsidR="00AD51AD">
        <w:t xml:space="preserve">Senāts jau ir atzinis, ka pagaidu aizsardzības izlemšanā lietas faktisko un tiesisko apstākļu vērtējums jebkurā gadījumā ir pirmšķietams, un jo īpaši </w:t>
      </w:r>
      <w:r w:rsidR="000D7F1E">
        <w:t xml:space="preserve">tas ir </w:t>
      </w:r>
      <w:r w:rsidR="00AD51AD">
        <w:t>sarežģītās lietās, kurās pastāv strīds gan par dažādiem, varbūt tikai ar ekspertu atzinumiem konstatējamiem</w:t>
      </w:r>
      <w:r w:rsidR="000D7F1E">
        <w:t>,</w:t>
      </w:r>
      <w:r w:rsidR="00AD51AD">
        <w:t xml:space="preserve"> faktiskajiem apstākļiem, gan par kompleksiem tiesību jautājumiem (</w:t>
      </w:r>
      <w:r w:rsidR="00AD51AD" w:rsidRPr="009C4594">
        <w:rPr>
          <w:i/>
          <w:iCs/>
        </w:rPr>
        <w:t>Senāta 2012.gada 25.maija lēmum</w:t>
      </w:r>
      <w:r w:rsidR="008454FF">
        <w:rPr>
          <w:i/>
          <w:iCs/>
        </w:rPr>
        <w:t>a</w:t>
      </w:r>
      <w:r w:rsidR="00AD51AD" w:rsidRPr="009C4594">
        <w:rPr>
          <w:i/>
          <w:iCs/>
        </w:rPr>
        <w:t xml:space="preserve"> lietā Nr. SKA–608/2012, A42631408, 9.punkts</w:t>
      </w:r>
      <w:r w:rsidR="00AD51AD">
        <w:t xml:space="preserve">). </w:t>
      </w:r>
    </w:p>
    <w:p w14:paraId="47FD4CBB" w14:textId="362D2EFE" w:rsidR="008828DF" w:rsidRDefault="00DC0170" w:rsidP="00385DA5">
      <w:pPr>
        <w:spacing w:line="276" w:lineRule="auto"/>
        <w:ind w:firstLine="720"/>
        <w:jc w:val="both"/>
      </w:pPr>
      <w:r>
        <w:t xml:space="preserve">Ņemot vērā </w:t>
      </w:r>
      <w:r w:rsidR="000E7E2A">
        <w:t xml:space="preserve">izskatāmās </w:t>
      </w:r>
      <w:r>
        <w:t>l</w:t>
      </w:r>
      <w:r w:rsidR="008828DF">
        <w:t>ietas materiālu satur</w:t>
      </w:r>
      <w:r>
        <w:t>u šobrīd</w:t>
      </w:r>
      <w:r w:rsidR="008828DF">
        <w:t xml:space="preserve">, </w:t>
      </w:r>
      <w:r w:rsidR="00BA28C9">
        <w:t>paturot prāt</w:t>
      </w:r>
      <w:r w:rsidR="003E4D13">
        <w:t>ā</w:t>
      </w:r>
      <w:r w:rsidR="008828DF">
        <w:t xml:space="preserve"> to, ka izvērtējums izdarāms</w:t>
      </w:r>
      <w:r w:rsidR="00BA28C9">
        <w:t>,</w:t>
      </w:r>
      <w:r w:rsidR="008828DF">
        <w:t xml:space="preserve"> balstoties uz skrupulozu pakalpojuma rakstura, tā finansēšanas</w:t>
      </w:r>
      <w:r w:rsidR="00BA28C9">
        <w:t xml:space="preserve"> metodes un principu</w:t>
      </w:r>
      <w:r w:rsidR="008828DF">
        <w:t xml:space="preserve"> un </w:t>
      </w:r>
      <w:r w:rsidR="009C4594">
        <w:t xml:space="preserve">pakalpojuma sniegšanas </w:t>
      </w:r>
      <w:r w:rsidR="008828DF">
        <w:t>vides, tostarp ekonomiskās, analīz</w:t>
      </w:r>
      <w:r w:rsidR="00BA28C9">
        <w:t>i</w:t>
      </w:r>
      <w:r w:rsidR="000D7F1E">
        <w:t xml:space="preserve"> kopsakarā ar </w:t>
      </w:r>
      <w:r w:rsidR="000D7F1E" w:rsidRPr="00382341">
        <w:t>Konvencij</w:t>
      </w:r>
      <w:r w:rsidR="000D7F1E">
        <w:t>u</w:t>
      </w:r>
      <w:r w:rsidR="000D7F1E" w:rsidRPr="00382341">
        <w:t xml:space="preserve"> par personu ar invaliditāti tiesībām</w:t>
      </w:r>
      <w:r w:rsidR="008828DF">
        <w:t>,</w:t>
      </w:r>
      <w:r>
        <w:t xml:space="preserve"> kā arī t</w:t>
      </w:r>
      <w:r w:rsidR="00BA28C9">
        <w:t>o</w:t>
      </w:r>
      <w:r>
        <w:t>, ka jautājums skar Eiropas Savienības tiesības, šobrīd</w:t>
      </w:r>
      <w:r w:rsidR="008454FF">
        <w:t xml:space="preserve"> </w:t>
      </w:r>
      <w:r w:rsidR="00BA28C9">
        <w:t>– pa</w:t>
      </w:r>
      <w:r>
        <w:t xml:space="preserve">gaidu aizsardzības </w:t>
      </w:r>
      <w:r w:rsidR="000E7E2A">
        <w:t xml:space="preserve">piemērošanas </w:t>
      </w:r>
      <w:r>
        <w:t>stadijā</w:t>
      </w:r>
      <w:r w:rsidR="008454FF">
        <w:t xml:space="preserve"> </w:t>
      </w:r>
      <w:r w:rsidR="00BA28C9">
        <w:t>–</w:t>
      </w:r>
      <w:r w:rsidR="008454FF">
        <w:t xml:space="preserve"> </w:t>
      </w:r>
      <w:r w:rsidR="00BA28C9">
        <w:t>nav</w:t>
      </w:r>
      <w:r w:rsidR="008828DF">
        <w:t xml:space="preserve"> iespējams</w:t>
      </w:r>
      <w:r w:rsidR="00C55902">
        <w:t xml:space="preserve"> izšķirīgi</w:t>
      </w:r>
      <w:r w:rsidR="008828DF">
        <w:t xml:space="preserve"> atbildēt uz jautājumu, vai pakalpojums ir atzīstams par tādu, kas </w:t>
      </w:r>
      <w:r w:rsidR="00C55902">
        <w:t xml:space="preserve">ir vai nav ar </w:t>
      </w:r>
      <w:r w:rsidR="00E843CF" w:rsidRPr="000E7E2A">
        <w:t>komerciālu</w:t>
      </w:r>
      <w:r w:rsidR="00C55902">
        <w:t xml:space="preserve"> dabu</w:t>
      </w:r>
      <w:r w:rsidR="008828DF">
        <w:t>.</w:t>
      </w:r>
      <w:r w:rsidR="00C55902">
        <w:t xml:space="preserve"> </w:t>
      </w:r>
    </w:p>
    <w:p w14:paraId="3CD92D46" w14:textId="0FD3D82C" w:rsidR="00221AC3" w:rsidRDefault="00232EC4" w:rsidP="00385DA5">
      <w:pPr>
        <w:spacing w:line="276" w:lineRule="auto"/>
        <w:ind w:firstLine="720"/>
        <w:jc w:val="both"/>
      </w:pPr>
      <w:r>
        <w:t>Vienlaikus, ņ</w:t>
      </w:r>
      <w:r w:rsidR="00BA28C9">
        <w:t xml:space="preserve">emot vērā </w:t>
      </w:r>
      <w:r>
        <w:t>iepriekš minētos</w:t>
      </w:r>
      <w:r w:rsidR="00BA28C9">
        <w:t xml:space="preserve"> apsvērumus, </w:t>
      </w:r>
      <w:r w:rsidR="00DC0170">
        <w:t>Senāts norāda: l</w:t>
      </w:r>
      <w:r w:rsidR="00C55902">
        <w:t xml:space="preserve">ai gan izvērtējums par situācijas atbilstību subjektīvajam kritērijam </w:t>
      </w:r>
      <w:r w:rsidR="003E4D13">
        <w:t xml:space="preserve">pagaidu aizsardzības piemērošanā </w:t>
      </w:r>
      <w:r w:rsidR="00C55902">
        <w:t>ir nodalāms un pa</w:t>
      </w:r>
      <w:r w:rsidR="00AD51AD">
        <w:t>tst</w:t>
      </w:r>
      <w:r w:rsidR="00C55902">
        <w:t xml:space="preserve">āvīgs no objektīvā kritērija izvērtējuma, var būt situācijas, kurās subjektīvais kritērijs ietekmē </w:t>
      </w:r>
      <w:r w:rsidR="00BA28C9">
        <w:t xml:space="preserve">to, cik lielai pārliecībai jābūt par </w:t>
      </w:r>
      <w:r w:rsidR="00C55902">
        <w:t xml:space="preserve">objektīvā kritērija </w:t>
      </w:r>
      <w:r w:rsidR="009C4594">
        <w:t xml:space="preserve">esību </w:t>
      </w:r>
      <w:r w:rsidR="00DC0170" w:rsidRPr="009C4594">
        <w:t>(</w:t>
      </w:r>
      <w:r w:rsidR="00BA28C9" w:rsidRPr="00ED4955">
        <w:t>sal</w:t>
      </w:r>
      <w:r w:rsidR="00BA28C9" w:rsidRPr="009C4594">
        <w:t>.</w:t>
      </w:r>
      <w:r w:rsidR="008454FF">
        <w:t> </w:t>
      </w:r>
      <w:r w:rsidRPr="009C4594">
        <w:rPr>
          <w:i/>
          <w:iCs/>
        </w:rPr>
        <w:t xml:space="preserve">Senāta </w:t>
      </w:r>
      <w:bookmarkStart w:id="2" w:name="Dropdown13"/>
      <w:r w:rsidR="009C4594" w:rsidRPr="009C4594">
        <w:rPr>
          <w:i/>
          <w:iCs/>
        </w:rPr>
        <w:t>2012.gada 25.maija lēmum</w:t>
      </w:r>
      <w:r w:rsidR="009C4594">
        <w:rPr>
          <w:i/>
          <w:iCs/>
        </w:rPr>
        <w:t>a</w:t>
      </w:r>
      <w:r w:rsidR="009C4594" w:rsidRPr="009C4594">
        <w:rPr>
          <w:i/>
          <w:iCs/>
        </w:rPr>
        <w:t xml:space="preserve"> lietā Nr. SKA</w:t>
      </w:r>
      <w:r w:rsidR="00273A24">
        <w:rPr>
          <w:i/>
          <w:iCs/>
        </w:rPr>
        <w:t>-</w:t>
      </w:r>
      <w:r w:rsidR="009C4594" w:rsidRPr="009C4594">
        <w:rPr>
          <w:i/>
          <w:iCs/>
        </w:rPr>
        <w:t xml:space="preserve">608/2012, A42631408, </w:t>
      </w:r>
      <w:r w:rsidR="009C4594">
        <w:rPr>
          <w:i/>
          <w:iCs/>
        </w:rPr>
        <w:t>9</w:t>
      </w:r>
      <w:r w:rsidR="009C4594" w:rsidRPr="009C4594">
        <w:rPr>
          <w:i/>
          <w:iCs/>
        </w:rPr>
        <w:t>.punkt</w:t>
      </w:r>
      <w:r w:rsidR="00273A24">
        <w:rPr>
          <w:i/>
          <w:iCs/>
        </w:rPr>
        <w:t>s</w:t>
      </w:r>
      <w:r w:rsidR="009C4594">
        <w:rPr>
          <w:i/>
          <w:iCs/>
        </w:rPr>
        <w:t xml:space="preserve">; </w:t>
      </w:r>
      <w:r w:rsidRPr="009C4594">
        <w:rPr>
          <w:i/>
          <w:iCs/>
        </w:rPr>
        <w:t>201</w:t>
      </w:r>
      <w:bookmarkEnd w:id="2"/>
      <w:r w:rsidRPr="009C4594">
        <w:rPr>
          <w:i/>
          <w:iCs/>
        </w:rPr>
        <w:t>4.gada 10.oktobra lēmuma lietā Nr. SKA</w:t>
      </w:r>
      <w:r w:rsidR="00273A24">
        <w:rPr>
          <w:i/>
          <w:iCs/>
        </w:rPr>
        <w:t>-</w:t>
      </w:r>
      <w:r w:rsidRPr="009C4594">
        <w:rPr>
          <w:i/>
          <w:iCs/>
        </w:rPr>
        <w:t xml:space="preserve">1177/2014, </w:t>
      </w:r>
      <w:r w:rsidRPr="009C4594">
        <w:rPr>
          <w:i/>
          <w:iCs/>
          <w:color w:val="000000"/>
          <w:lang w:eastAsia="lv-LV"/>
        </w:rPr>
        <w:t>A420229214, 11. un 12.punkt</w:t>
      </w:r>
      <w:r w:rsidR="00273A24">
        <w:rPr>
          <w:i/>
          <w:iCs/>
          <w:color w:val="000000"/>
          <w:lang w:eastAsia="lv-LV"/>
        </w:rPr>
        <w:t>s</w:t>
      </w:r>
      <w:r w:rsidR="00BA28C9">
        <w:t>)</w:t>
      </w:r>
      <w:r w:rsidR="00C55902">
        <w:t xml:space="preserve">. </w:t>
      </w:r>
      <w:r w:rsidR="00F93852" w:rsidRPr="005A76E4">
        <w:t xml:space="preserve">Šajā ziņā Senāts jau iepriekš </w:t>
      </w:r>
      <w:r w:rsidR="005A76E4" w:rsidRPr="005A76E4">
        <w:t>i</w:t>
      </w:r>
      <w:r w:rsidR="00F93852" w:rsidRPr="005A76E4">
        <w:t>r ņēmis vērā plašākus apsvērumus, n</w:t>
      </w:r>
      <w:r w:rsidR="00F93852">
        <w:t xml:space="preserve">ekā tikai </w:t>
      </w:r>
      <w:r w:rsidR="00221AC3">
        <w:t xml:space="preserve">lēmuma </w:t>
      </w:r>
      <w:r w:rsidR="00F93852">
        <w:t>ietekmi uz konkrētā pieteicēja tiesisko situāciju (sk. </w:t>
      </w:r>
      <w:r w:rsidR="009C4594" w:rsidRPr="00232EC4">
        <w:rPr>
          <w:i/>
          <w:iCs/>
        </w:rPr>
        <w:t>Senāta</w:t>
      </w:r>
      <w:r w:rsidR="009C4594" w:rsidRPr="009C4594">
        <w:rPr>
          <w:i/>
          <w:iCs/>
        </w:rPr>
        <w:t xml:space="preserve"> 2012.gada 25.maija lēmum</w:t>
      </w:r>
      <w:r w:rsidR="009C4594">
        <w:rPr>
          <w:i/>
          <w:iCs/>
        </w:rPr>
        <w:t>a</w:t>
      </w:r>
      <w:r w:rsidR="009C4594" w:rsidRPr="009C4594">
        <w:rPr>
          <w:i/>
          <w:iCs/>
        </w:rPr>
        <w:t xml:space="preserve"> lietā Nr. SKA–608/2012, A42631408, </w:t>
      </w:r>
      <w:r w:rsidR="009C4594">
        <w:rPr>
          <w:i/>
          <w:iCs/>
        </w:rPr>
        <w:t>10</w:t>
      </w:r>
      <w:r w:rsidR="009C4594" w:rsidRPr="009C4594">
        <w:rPr>
          <w:i/>
          <w:iCs/>
        </w:rPr>
        <w:t>.punkt</w:t>
      </w:r>
      <w:r w:rsidR="009C4594">
        <w:rPr>
          <w:i/>
          <w:iCs/>
        </w:rPr>
        <w:t>u;</w:t>
      </w:r>
      <w:r w:rsidR="009C4594" w:rsidRPr="009C4594">
        <w:rPr>
          <w:i/>
          <w:iCs/>
        </w:rPr>
        <w:t xml:space="preserve"> </w:t>
      </w:r>
      <w:r w:rsidR="009C4594" w:rsidRPr="00232EC4">
        <w:rPr>
          <w:i/>
          <w:iCs/>
        </w:rPr>
        <w:t>2018.gada 23.augusta lēmum</w:t>
      </w:r>
      <w:r w:rsidR="009C4594">
        <w:rPr>
          <w:i/>
          <w:iCs/>
        </w:rPr>
        <w:t>a</w:t>
      </w:r>
      <w:r w:rsidR="009C4594" w:rsidRPr="00232EC4">
        <w:rPr>
          <w:i/>
          <w:iCs/>
        </w:rPr>
        <w:t xml:space="preserve"> lietā Nr. SKA-1475/2018, </w:t>
      </w:r>
      <w:hyperlink r:id="rId23" w:history="1">
        <w:r w:rsidR="009C4594" w:rsidRPr="00232EC4">
          <w:rPr>
            <w:rStyle w:val="Hyperlink"/>
            <w:i/>
            <w:iCs/>
          </w:rPr>
          <w:t>ECLI:LV:AT:2018:0823.A420346615.11.L</w:t>
        </w:r>
      </w:hyperlink>
      <w:r w:rsidR="009C4594" w:rsidRPr="00232EC4">
        <w:rPr>
          <w:i/>
          <w:iCs/>
        </w:rPr>
        <w:t>, 13.punktu</w:t>
      </w:r>
      <w:r w:rsidRPr="00232EC4">
        <w:t>)</w:t>
      </w:r>
      <w:r w:rsidR="00AD51AD">
        <w:t xml:space="preserve">. </w:t>
      </w:r>
    </w:p>
    <w:p w14:paraId="11D43C2E" w14:textId="3EC10813" w:rsidR="00C55902" w:rsidRDefault="00221AC3" w:rsidP="00385DA5">
      <w:pPr>
        <w:spacing w:line="276" w:lineRule="auto"/>
        <w:ind w:firstLine="720"/>
        <w:jc w:val="both"/>
      </w:pPr>
      <w:r>
        <w:t>Konkrētajā gadījumā</w:t>
      </w:r>
      <w:r w:rsidR="00273A24">
        <w:t>, ņemot vērā minētos apsvērumus par atbalsta pakalpojuma person</w:t>
      </w:r>
      <w:r w:rsidR="00F65DFA">
        <w:t xml:space="preserve">ām ar </w:t>
      </w:r>
      <w:r w:rsidR="00273A24">
        <w:t xml:space="preserve">invaliditāti iespējamo dabu, Senātam pirmšķietami ir pamats uzskatīt, ka </w:t>
      </w:r>
      <w:r w:rsidR="00F65DFA">
        <w:t>pārsūdzētais</w:t>
      </w:r>
      <w:r w:rsidR="00273A24">
        <w:t xml:space="preserve"> lēmums varētu būt prettiesisks.</w:t>
      </w:r>
      <w:r w:rsidR="00F65DFA">
        <w:t xml:space="preserve"> Turklāt </w:t>
      </w:r>
      <w:r w:rsidR="00C55902" w:rsidRPr="00232EC4">
        <w:t>Senāts</w:t>
      </w:r>
      <w:r w:rsidR="00C55902">
        <w:t xml:space="preserve"> ņem vērā</w:t>
      </w:r>
      <w:r w:rsidR="00F65DFA">
        <w:t>,</w:t>
      </w:r>
      <w:r w:rsidR="00C55902">
        <w:t xml:space="preserve"> ka </w:t>
      </w:r>
      <w:r w:rsidR="00F65DFA">
        <w:t xml:space="preserve">konkrētā </w:t>
      </w:r>
      <w:r w:rsidR="00DC0170">
        <w:t xml:space="preserve">iepirkuma priekšmets ir </w:t>
      </w:r>
      <w:r w:rsidR="00C55902">
        <w:t xml:space="preserve">pakalpojums, </w:t>
      </w:r>
      <w:r w:rsidR="00DC0170">
        <w:t>kas</w:t>
      </w:r>
      <w:r w:rsidR="00C55902">
        <w:t>, visticamāk</w:t>
      </w:r>
      <w:r w:rsidR="00DC0170">
        <w:t>,</w:t>
      </w:r>
      <w:r w:rsidR="00C55902">
        <w:t xml:space="preserve"> atbilst pakalpojumam, kuru personām ar invaliditāti un to ģimenēm i</w:t>
      </w:r>
      <w:r w:rsidR="00DC0170">
        <w:t xml:space="preserve">r tiesības saņemt atbilstoši </w:t>
      </w:r>
      <w:r w:rsidR="00DC0170" w:rsidRPr="00382341">
        <w:t>Konvencija</w:t>
      </w:r>
      <w:r w:rsidR="005A76E4">
        <w:t>s</w:t>
      </w:r>
      <w:r w:rsidR="00DC0170" w:rsidRPr="00382341">
        <w:t xml:space="preserve"> par personu ar invaliditāti tiesībām</w:t>
      </w:r>
      <w:r w:rsidR="005A76E4">
        <w:t xml:space="preserve"> 19.panta </w:t>
      </w:r>
      <w:r>
        <w:t>„</w:t>
      </w:r>
      <w:r w:rsidR="005A76E4">
        <w:t>b” punktam un 23.panta trešajai daļai</w:t>
      </w:r>
      <w:r w:rsidR="00DC0170">
        <w:t>. Tāpat Senāts ņem vērā, ka arī tad, ja Iepirkumu direktīva ir piemērojama, pakalpojums varētu atbilst Iepirkumu direktīvas III</w:t>
      </w:r>
      <w:r>
        <w:t> </w:t>
      </w:r>
      <w:r w:rsidR="00DC0170">
        <w:t xml:space="preserve">sadaļas </w:t>
      </w:r>
      <w:r>
        <w:t>I </w:t>
      </w:r>
      <w:r w:rsidR="00DC0170">
        <w:t xml:space="preserve">nodaļas pakalpojumiem, kuru ietvaros viens no šādiem iepirkumiem piemērojamajiem principiem atbilstoši tās 76.panta 2.punktam ir pakalpojumu </w:t>
      </w:r>
      <w:r w:rsidR="00DC0170" w:rsidRPr="00DC0170">
        <w:t>nepārtrauktīb</w:t>
      </w:r>
      <w:r w:rsidR="00DC0170">
        <w:t>a.</w:t>
      </w:r>
    </w:p>
    <w:p w14:paraId="753AA2BE" w14:textId="122BA737" w:rsidR="00F65DFA" w:rsidRPr="00F93852" w:rsidRDefault="00F65DFA" w:rsidP="00385DA5">
      <w:pPr>
        <w:spacing w:line="276" w:lineRule="auto"/>
        <w:ind w:firstLine="720"/>
        <w:jc w:val="both"/>
        <w:rPr>
          <w:b/>
          <w:u w:val="single"/>
        </w:rPr>
      </w:pPr>
      <w:r>
        <w:t>Šādos apstākļos ir pietiekams pamats apmierināt pieteicējas lūgumu par pagaidu aizsardzības piemērošanu.</w:t>
      </w:r>
    </w:p>
    <w:bookmarkEnd w:id="0"/>
    <w:p w14:paraId="79669166" w14:textId="77777777" w:rsidR="00DD4839" w:rsidRDefault="00DD4839" w:rsidP="00385DA5">
      <w:pPr>
        <w:spacing w:line="276" w:lineRule="auto"/>
        <w:jc w:val="both"/>
        <w:rPr>
          <w:rFonts w:asciiTheme="majorBidi" w:hAnsiTheme="majorBidi" w:cstheme="majorBidi"/>
        </w:rPr>
      </w:pPr>
    </w:p>
    <w:p w14:paraId="127AA1E6" w14:textId="77777777" w:rsidR="00731746" w:rsidRPr="00DE6BC0" w:rsidRDefault="00731746" w:rsidP="00385DA5">
      <w:pPr>
        <w:spacing w:line="276" w:lineRule="auto"/>
        <w:jc w:val="center"/>
        <w:rPr>
          <w:b/>
        </w:rPr>
      </w:pPr>
      <w:r w:rsidRPr="00DE6BC0">
        <w:rPr>
          <w:b/>
        </w:rPr>
        <w:t>Rezolutīvā daļa</w:t>
      </w:r>
    </w:p>
    <w:p w14:paraId="7D9206AC" w14:textId="77777777" w:rsidR="001A18E4" w:rsidRDefault="001A18E4" w:rsidP="00385DA5">
      <w:pPr>
        <w:spacing w:line="276" w:lineRule="auto"/>
        <w:ind w:firstLine="567"/>
        <w:jc w:val="both"/>
        <w:rPr>
          <w:bCs/>
          <w:spacing w:val="70"/>
        </w:rPr>
      </w:pPr>
    </w:p>
    <w:p w14:paraId="6F753F24" w14:textId="68AC1BDC" w:rsidR="00C55902" w:rsidRPr="00DE6BC0" w:rsidRDefault="00C55902" w:rsidP="00385DA5">
      <w:pPr>
        <w:spacing w:line="276" w:lineRule="auto"/>
        <w:ind w:firstLine="720"/>
        <w:jc w:val="both"/>
      </w:pPr>
      <w:r w:rsidRPr="00D429C2">
        <w:t>Pamatojoties uz Administratīvā procesa likuma 129.</w:t>
      </w:r>
      <w:r w:rsidRPr="00D429C2">
        <w:rPr>
          <w:vertAlign w:val="superscript"/>
        </w:rPr>
        <w:t>1</w:t>
      </w:r>
      <w:r w:rsidRPr="00D429C2">
        <w:t xml:space="preserve">panta pirmās daļas 1.punktu, </w:t>
      </w:r>
      <w:r w:rsidR="00725478">
        <w:t xml:space="preserve">196.panta </w:t>
      </w:r>
      <w:r w:rsidR="00B1653F">
        <w:t>2</w:t>
      </w:r>
      <w:r w:rsidR="00725478">
        <w:t xml:space="preserve">.punktu, </w:t>
      </w:r>
      <w:r w:rsidRPr="00D429C2">
        <w:t>323.panta pirmās daļas 3.punktu</w:t>
      </w:r>
      <w:r>
        <w:t xml:space="preserve"> un</w:t>
      </w:r>
      <w:r w:rsidRPr="00D429C2">
        <w:t xml:space="preserve"> 324.panta pirmo daļu, Senāts</w:t>
      </w:r>
    </w:p>
    <w:p w14:paraId="19CCD4A7" w14:textId="77777777" w:rsidR="001A18E4" w:rsidRDefault="001A18E4" w:rsidP="00385DA5">
      <w:pPr>
        <w:spacing w:line="276" w:lineRule="auto"/>
        <w:ind w:firstLine="720"/>
        <w:jc w:val="both"/>
      </w:pPr>
    </w:p>
    <w:p w14:paraId="6206CA0E" w14:textId="77777777" w:rsidR="001A18E4" w:rsidRPr="001F40A0" w:rsidRDefault="001A18E4" w:rsidP="00385DA5">
      <w:pPr>
        <w:spacing w:line="276" w:lineRule="auto"/>
        <w:jc w:val="center"/>
        <w:rPr>
          <w:b/>
        </w:rPr>
      </w:pPr>
      <w:r w:rsidRPr="001F40A0">
        <w:rPr>
          <w:b/>
        </w:rPr>
        <w:t>nolēma</w:t>
      </w:r>
    </w:p>
    <w:p w14:paraId="39826E8D" w14:textId="77777777" w:rsidR="001A18E4" w:rsidRPr="001F40A0" w:rsidRDefault="001A18E4" w:rsidP="00385DA5">
      <w:pPr>
        <w:spacing w:line="276" w:lineRule="auto"/>
        <w:jc w:val="center"/>
        <w:rPr>
          <w:b/>
        </w:rPr>
      </w:pPr>
    </w:p>
    <w:p w14:paraId="50DB74E5" w14:textId="6224F784" w:rsidR="00C55902" w:rsidRDefault="00C55902" w:rsidP="00385DA5">
      <w:pPr>
        <w:spacing w:line="276" w:lineRule="auto"/>
        <w:ind w:firstLine="720"/>
        <w:jc w:val="both"/>
      </w:pPr>
      <w:r w:rsidRPr="00DE6BC0">
        <w:t>atcelt Administratīvās rajona tiesas 2025.gada 1</w:t>
      </w:r>
      <w:r>
        <w:t>7</w:t>
      </w:r>
      <w:r w:rsidRPr="00DE6BC0">
        <w:t>.</w:t>
      </w:r>
      <w:r>
        <w:t>oktobra</w:t>
      </w:r>
      <w:r w:rsidRPr="00DE6BC0">
        <w:t xml:space="preserve"> lēmumu;</w:t>
      </w:r>
    </w:p>
    <w:p w14:paraId="30F2280D" w14:textId="70C486E5" w:rsidR="00C55902" w:rsidRPr="009003D3" w:rsidRDefault="00C55902" w:rsidP="00385DA5">
      <w:pPr>
        <w:spacing w:line="276" w:lineRule="auto"/>
        <w:ind w:firstLine="720"/>
        <w:jc w:val="both"/>
      </w:pPr>
      <w:r>
        <w:t xml:space="preserve">piemērot pagaidu </w:t>
      </w:r>
      <w:r w:rsidR="00C71FD2">
        <w:t>noregulējumu</w:t>
      </w:r>
      <w:r>
        <w:t xml:space="preserve"> un noteikt, ka </w:t>
      </w:r>
      <w:r w:rsidR="00796BDC">
        <w:t xml:space="preserve">Rīgas valstpilsētas pašvaldībai </w:t>
      </w:r>
      <w:r>
        <w:t xml:space="preserve">ir pienākums </w:t>
      </w:r>
      <w:r w:rsidR="00B1653F">
        <w:t xml:space="preserve">viena mēneša laikā </w:t>
      </w:r>
      <w:r w:rsidRPr="008F3007">
        <w:t xml:space="preserve">noslēgt ar SIA </w:t>
      </w:r>
      <w:r w:rsidRPr="00DE6BC0">
        <w:t>„</w:t>
      </w:r>
      <w:r w:rsidRPr="008F3007">
        <w:t xml:space="preserve">CareLat” </w:t>
      </w:r>
      <w:r w:rsidR="00221AC3">
        <w:t>vispārīgo</w:t>
      </w:r>
      <w:r w:rsidR="00FA67A9">
        <w:t xml:space="preserve"> </w:t>
      </w:r>
      <w:r w:rsidRPr="008F3007">
        <w:t xml:space="preserve">vienošanos ar tādiem pašiem noteikumiem, kādi tiek attiecināti uz </w:t>
      </w:r>
      <w:r>
        <w:rPr>
          <w:rFonts w:asciiTheme="majorBidi" w:hAnsiTheme="majorBidi" w:cstheme="majorBidi"/>
        </w:rPr>
        <w:t xml:space="preserve">iepirkuma </w:t>
      </w:r>
      <w:r w:rsidRPr="00A3025C">
        <w:rPr>
          <w:rFonts w:asciiTheme="majorBidi" w:hAnsiTheme="majorBidi" w:cstheme="majorBidi"/>
        </w:rPr>
        <w:t>Nr.</w:t>
      </w:r>
      <w:r>
        <w:rPr>
          <w:rFonts w:asciiTheme="majorBidi" w:hAnsiTheme="majorBidi" w:cstheme="majorBidi"/>
        </w:rPr>
        <w:t> </w:t>
      </w:r>
      <w:r w:rsidRPr="00A3025C">
        <w:rPr>
          <w:rFonts w:asciiTheme="majorBidi" w:hAnsiTheme="majorBidi" w:cstheme="majorBidi"/>
        </w:rPr>
        <w:t>CAIP 2025/25</w:t>
      </w:r>
      <w:r>
        <w:rPr>
          <w:rFonts w:asciiTheme="majorBidi" w:hAnsiTheme="majorBidi" w:cstheme="majorBidi"/>
        </w:rPr>
        <w:t xml:space="preserve"> </w:t>
      </w:r>
      <w:r>
        <w:t xml:space="preserve">uzvarētājiem, kas būtu spēkā līdz </w:t>
      </w:r>
      <w:r w:rsidR="00221AC3">
        <w:t xml:space="preserve">šādas vienošanās termiņa beigām vai brīdim, kad </w:t>
      </w:r>
      <w:r>
        <w:t xml:space="preserve">lietā </w:t>
      </w:r>
      <w:r>
        <w:rPr>
          <w:rFonts w:asciiTheme="majorBidi" w:hAnsiTheme="majorBidi" w:cstheme="majorBidi"/>
        </w:rPr>
        <w:t>Nr. </w:t>
      </w:r>
      <w:r w:rsidRPr="009F063D">
        <w:rPr>
          <w:bCs/>
        </w:rPr>
        <w:t>A420223025</w:t>
      </w:r>
      <w:r>
        <w:t xml:space="preserve"> stāsies spēkā </w:t>
      </w:r>
      <w:r w:rsidRPr="00B54A75">
        <w:t>galīg</w:t>
      </w:r>
      <w:r>
        <w:t>ais nolēmums</w:t>
      </w:r>
      <w:r w:rsidR="00D020FE">
        <w:t>,</w:t>
      </w:r>
      <w:r w:rsidR="00221AC3">
        <w:t xml:space="preserve"> atkarībā, kurš no šiem apstākļiem iestājas pirmais</w:t>
      </w:r>
      <w:r w:rsidR="00590090">
        <w:t>;</w:t>
      </w:r>
    </w:p>
    <w:p w14:paraId="05C0AA91" w14:textId="5465E3D6" w:rsidR="001A18E4" w:rsidRDefault="00C55902" w:rsidP="00385DA5">
      <w:pPr>
        <w:spacing w:line="276" w:lineRule="auto"/>
        <w:ind w:firstLine="714"/>
        <w:jc w:val="both"/>
        <w:rPr>
          <w:rFonts w:asciiTheme="majorBidi" w:hAnsiTheme="majorBidi" w:cstheme="majorBidi"/>
        </w:rPr>
      </w:pPr>
      <w:r w:rsidRPr="00DE6BC0">
        <w:rPr>
          <w:rFonts w:asciiTheme="majorBidi" w:hAnsiTheme="majorBidi" w:cstheme="majorBidi"/>
        </w:rPr>
        <w:t xml:space="preserve">atmaksāt </w:t>
      </w:r>
      <w:r w:rsidRPr="008F3007">
        <w:t>SI</w:t>
      </w:r>
      <w:r w:rsidR="008454FF">
        <w:t>A </w:t>
      </w:r>
      <w:r w:rsidRPr="00DE6BC0">
        <w:t>„</w:t>
      </w:r>
      <w:r w:rsidRPr="008F3007">
        <w:t>CareLat”</w:t>
      </w:r>
      <w:r>
        <w:t xml:space="preserve"> </w:t>
      </w:r>
      <w:r w:rsidRPr="00DE6BC0">
        <w:rPr>
          <w:rFonts w:asciiTheme="majorBidi" w:hAnsiTheme="majorBidi" w:cstheme="majorBidi"/>
        </w:rPr>
        <w:t>par blakus sūdzības iesniegšanu samaksāto drošības naudu 15 </w:t>
      </w:r>
      <w:r w:rsidRPr="00DE6BC0">
        <w:rPr>
          <w:rFonts w:asciiTheme="majorBidi" w:hAnsiTheme="majorBidi" w:cstheme="majorBidi"/>
          <w:i/>
          <w:iCs/>
        </w:rPr>
        <w:t>euro</w:t>
      </w:r>
      <w:r w:rsidRPr="00DE6BC0">
        <w:rPr>
          <w:rFonts w:asciiTheme="majorBidi" w:hAnsiTheme="majorBidi" w:cstheme="majorBidi"/>
        </w:rPr>
        <w:t>.</w:t>
      </w:r>
    </w:p>
    <w:p w14:paraId="0332C559" w14:textId="77777777" w:rsidR="00BA28C9" w:rsidRPr="00BA28C9" w:rsidRDefault="00BA28C9" w:rsidP="00385DA5">
      <w:pPr>
        <w:spacing w:line="276" w:lineRule="auto"/>
        <w:ind w:firstLine="714"/>
        <w:jc w:val="both"/>
        <w:rPr>
          <w:rFonts w:asciiTheme="majorBidi" w:hAnsiTheme="majorBidi" w:cstheme="majorBidi"/>
        </w:rPr>
      </w:pPr>
    </w:p>
    <w:p w14:paraId="4B5C3193" w14:textId="77777777" w:rsidR="001A18E4" w:rsidRDefault="001A18E4" w:rsidP="00385DA5">
      <w:pPr>
        <w:spacing w:line="276" w:lineRule="auto"/>
        <w:ind w:firstLine="720"/>
        <w:jc w:val="both"/>
      </w:pPr>
      <w:r w:rsidRPr="001F40A0">
        <w:t>Lēmums nav pārsūdzams.</w:t>
      </w:r>
    </w:p>
    <w:p w14:paraId="03BE8486" w14:textId="77777777" w:rsidR="001B2F01" w:rsidRPr="00DE6BC0" w:rsidRDefault="001B2F01" w:rsidP="001B2F01">
      <w:pPr>
        <w:spacing w:line="276" w:lineRule="auto"/>
        <w:jc w:val="both"/>
      </w:pPr>
    </w:p>
    <w:p w14:paraId="2B97835C" w14:textId="77777777" w:rsidR="00E01116" w:rsidRPr="00DE6BC0" w:rsidRDefault="00E01116" w:rsidP="001B2F01">
      <w:pPr>
        <w:spacing w:line="276" w:lineRule="auto"/>
        <w:jc w:val="both"/>
      </w:pPr>
    </w:p>
    <w:p w14:paraId="7E18D50E" w14:textId="77777777" w:rsidR="001B2F01" w:rsidRPr="00DE6BC0" w:rsidRDefault="001B2F01" w:rsidP="001B2F01">
      <w:pPr>
        <w:spacing w:line="276" w:lineRule="auto"/>
        <w:jc w:val="both"/>
      </w:pPr>
    </w:p>
    <w:p w14:paraId="1DC169D9" w14:textId="77777777" w:rsidR="00B54F4B" w:rsidRPr="00DE6BC0" w:rsidRDefault="00B54F4B" w:rsidP="00E01116"/>
    <w:sectPr w:rsidR="00B54F4B" w:rsidRPr="00DE6BC0" w:rsidSect="00BD286D">
      <w:footerReference w:type="default" r:id="rId24"/>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8111" w14:textId="77777777" w:rsidR="002811A3" w:rsidRDefault="002811A3" w:rsidP="009F7ACE">
      <w:r>
        <w:separator/>
      </w:r>
    </w:p>
  </w:endnote>
  <w:endnote w:type="continuationSeparator" w:id="0">
    <w:p w14:paraId="00DE870B" w14:textId="77777777" w:rsidR="002811A3" w:rsidRDefault="002811A3"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00CC0115" w:rsidR="009F7ACE" w:rsidRDefault="009F7ACE" w:rsidP="009F7ACE">
    <w:pPr>
      <w:pStyle w:val="Footer"/>
      <w:jc w:val="center"/>
      <w:rPr>
        <w:rStyle w:val="PageNumber"/>
        <w:noProof/>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2811A3">
      <w:rPr>
        <w:rStyle w:val="PageNumber"/>
        <w:noProof/>
        <w:sz w:val="20"/>
        <w:szCs w:val="20"/>
      </w:rPr>
      <w:t>1</w:t>
    </w:r>
    <w:r>
      <w:rPr>
        <w:rStyle w:val="PageNumber"/>
        <w:noProof/>
        <w:sz w:val="20"/>
        <w:szCs w:val="20"/>
      </w:rPr>
      <w:fldChar w:fldCharType="end"/>
    </w:r>
  </w:p>
  <w:p w14:paraId="4577B1AA" w14:textId="77777777" w:rsidR="0012770D" w:rsidRPr="009F7ACE" w:rsidRDefault="0012770D" w:rsidP="009F7AC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D5CD" w14:textId="77777777" w:rsidR="002811A3" w:rsidRDefault="002811A3" w:rsidP="009F7ACE">
      <w:r>
        <w:separator/>
      </w:r>
    </w:p>
  </w:footnote>
  <w:footnote w:type="continuationSeparator" w:id="0">
    <w:p w14:paraId="613D3E32" w14:textId="77777777" w:rsidR="002811A3" w:rsidRDefault="002811A3"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8B3"/>
    <w:rsid w:val="00004625"/>
    <w:rsid w:val="00005345"/>
    <w:rsid w:val="00010223"/>
    <w:rsid w:val="00011DC3"/>
    <w:rsid w:val="000126DD"/>
    <w:rsid w:val="00017152"/>
    <w:rsid w:val="000171A9"/>
    <w:rsid w:val="00022F39"/>
    <w:rsid w:val="00024D02"/>
    <w:rsid w:val="00026C24"/>
    <w:rsid w:val="000308BC"/>
    <w:rsid w:val="000353D3"/>
    <w:rsid w:val="00035728"/>
    <w:rsid w:val="000457E9"/>
    <w:rsid w:val="00046EFD"/>
    <w:rsid w:val="00050481"/>
    <w:rsid w:val="00066BE8"/>
    <w:rsid w:val="00075E63"/>
    <w:rsid w:val="00076345"/>
    <w:rsid w:val="00086BB3"/>
    <w:rsid w:val="00093086"/>
    <w:rsid w:val="000A3F7C"/>
    <w:rsid w:val="000A475E"/>
    <w:rsid w:val="000A65CA"/>
    <w:rsid w:val="000B18A4"/>
    <w:rsid w:val="000B3EFF"/>
    <w:rsid w:val="000D0F45"/>
    <w:rsid w:val="000D152D"/>
    <w:rsid w:val="000D2102"/>
    <w:rsid w:val="000D642B"/>
    <w:rsid w:val="000D7F1E"/>
    <w:rsid w:val="000E008F"/>
    <w:rsid w:val="000E0C0C"/>
    <w:rsid w:val="000E27D2"/>
    <w:rsid w:val="000E2C51"/>
    <w:rsid w:val="000E6864"/>
    <w:rsid w:val="000E7E2A"/>
    <w:rsid w:val="000F0504"/>
    <w:rsid w:val="000F141F"/>
    <w:rsid w:val="000F40D1"/>
    <w:rsid w:val="000F44D3"/>
    <w:rsid w:val="000F4952"/>
    <w:rsid w:val="000F4A10"/>
    <w:rsid w:val="000F6845"/>
    <w:rsid w:val="00100BF7"/>
    <w:rsid w:val="00101F77"/>
    <w:rsid w:val="00103836"/>
    <w:rsid w:val="00104B9C"/>
    <w:rsid w:val="001052C8"/>
    <w:rsid w:val="00105C1C"/>
    <w:rsid w:val="001123A9"/>
    <w:rsid w:val="00114D5A"/>
    <w:rsid w:val="001274DB"/>
    <w:rsid w:val="0012770D"/>
    <w:rsid w:val="00135FD7"/>
    <w:rsid w:val="00136CCD"/>
    <w:rsid w:val="00144EFC"/>
    <w:rsid w:val="001451FE"/>
    <w:rsid w:val="00147A27"/>
    <w:rsid w:val="001544F5"/>
    <w:rsid w:val="00154A08"/>
    <w:rsid w:val="00155534"/>
    <w:rsid w:val="0016183E"/>
    <w:rsid w:val="00161F76"/>
    <w:rsid w:val="00163FA1"/>
    <w:rsid w:val="001713D9"/>
    <w:rsid w:val="001761FA"/>
    <w:rsid w:val="0017643F"/>
    <w:rsid w:val="00176629"/>
    <w:rsid w:val="0018733C"/>
    <w:rsid w:val="001902EE"/>
    <w:rsid w:val="00193B08"/>
    <w:rsid w:val="00194044"/>
    <w:rsid w:val="00194C45"/>
    <w:rsid w:val="001A01B6"/>
    <w:rsid w:val="001A0FA0"/>
    <w:rsid w:val="001A18E4"/>
    <w:rsid w:val="001A7B37"/>
    <w:rsid w:val="001B214E"/>
    <w:rsid w:val="001B2F01"/>
    <w:rsid w:val="001C2F90"/>
    <w:rsid w:val="001C7530"/>
    <w:rsid w:val="001D16C4"/>
    <w:rsid w:val="001D193E"/>
    <w:rsid w:val="001D1A89"/>
    <w:rsid w:val="001D2794"/>
    <w:rsid w:val="001D3F0B"/>
    <w:rsid w:val="001D4B36"/>
    <w:rsid w:val="001D6790"/>
    <w:rsid w:val="001E1537"/>
    <w:rsid w:val="001E1ACA"/>
    <w:rsid w:val="00201A90"/>
    <w:rsid w:val="00211F2C"/>
    <w:rsid w:val="002123A4"/>
    <w:rsid w:val="0021396F"/>
    <w:rsid w:val="002147FF"/>
    <w:rsid w:val="00215C96"/>
    <w:rsid w:val="0021797C"/>
    <w:rsid w:val="00220163"/>
    <w:rsid w:val="0022033F"/>
    <w:rsid w:val="002211A4"/>
    <w:rsid w:val="00221AC3"/>
    <w:rsid w:val="00222F34"/>
    <w:rsid w:val="00225DC2"/>
    <w:rsid w:val="00227F55"/>
    <w:rsid w:val="00230CF7"/>
    <w:rsid w:val="00232EC4"/>
    <w:rsid w:val="002334AF"/>
    <w:rsid w:val="00235467"/>
    <w:rsid w:val="00240E70"/>
    <w:rsid w:val="00241E77"/>
    <w:rsid w:val="00242D48"/>
    <w:rsid w:val="002457F6"/>
    <w:rsid w:val="00245BF4"/>
    <w:rsid w:val="0024623F"/>
    <w:rsid w:val="00246871"/>
    <w:rsid w:val="00251695"/>
    <w:rsid w:val="002516ED"/>
    <w:rsid w:val="00254D9E"/>
    <w:rsid w:val="00255247"/>
    <w:rsid w:val="00255C64"/>
    <w:rsid w:val="00260D42"/>
    <w:rsid w:val="00273A24"/>
    <w:rsid w:val="00273A50"/>
    <w:rsid w:val="00276A68"/>
    <w:rsid w:val="00276BA9"/>
    <w:rsid w:val="0028024F"/>
    <w:rsid w:val="00280AD5"/>
    <w:rsid w:val="002811A3"/>
    <w:rsid w:val="0028250F"/>
    <w:rsid w:val="00283455"/>
    <w:rsid w:val="00283AEC"/>
    <w:rsid w:val="0028601E"/>
    <w:rsid w:val="00286DEE"/>
    <w:rsid w:val="00286F65"/>
    <w:rsid w:val="00290E99"/>
    <w:rsid w:val="00297A6A"/>
    <w:rsid w:val="002A4101"/>
    <w:rsid w:val="002A4450"/>
    <w:rsid w:val="002B5032"/>
    <w:rsid w:val="002B70EA"/>
    <w:rsid w:val="002B7DB9"/>
    <w:rsid w:val="002C3049"/>
    <w:rsid w:val="002C32EE"/>
    <w:rsid w:val="002C7EFA"/>
    <w:rsid w:val="002D09DD"/>
    <w:rsid w:val="002D360F"/>
    <w:rsid w:val="002D7C35"/>
    <w:rsid w:val="002E666F"/>
    <w:rsid w:val="002E6FA4"/>
    <w:rsid w:val="002E7233"/>
    <w:rsid w:val="002F02FE"/>
    <w:rsid w:val="002F1797"/>
    <w:rsid w:val="002F2234"/>
    <w:rsid w:val="002F6831"/>
    <w:rsid w:val="00301512"/>
    <w:rsid w:val="00303385"/>
    <w:rsid w:val="00307B8A"/>
    <w:rsid w:val="003121D5"/>
    <w:rsid w:val="00313262"/>
    <w:rsid w:val="003154C0"/>
    <w:rsid w:val="00316177"/>
    <w:rsid w:val="0031672E"/>
    <w:rsid w:val="00333A7B"/>
    <w:rsid w:val="00334E47"/>
    <w:rsid w:val="0033597A"/>
    <w:rsid w:val="00341541"/>
    <w:rsid w:val="00342DE7"/>
    <w:rsid w:val="003512B4"/>
    <w:rsid w:val="00353725"/>
    <w:rsid w:val="00353D93"/>
    <w:rsid w:val="00354952"/>
    <w:rsid w:val="00356FB0"/>
    <w:rsid w:val="00357BD3"/>
    <w:rsid w:val="00364C07"/>
    <w:rsid w:val="00365067"/>
    <w:rsid w:val="00370231"/>
    <w:rsid w:val="003716B3"/>
    <w:rsid w:val="00371BAB"/>
    <w:rsid w:val="00372702"/>
    <w:rsid w:val="00377493"/>
    <w:rsid w:val="003778D4"/>
    <w:rsid w:val="00382341"/>
    <w:rsid w:val="00385DA5"/>
    <w:rsid w:val="00391AA3"/>
    <w:rsid w:val="003928E2"/>
    <w:rsid w:val="00393C35"/>
    <w:rsid w:val="00393F6B"/>
    <w:rsid w:val="003A4A3C"/>
    <w:rsid w:val="003A4C5C"/>
    <w:rsid w:val="003A5FD6"/>
    <w:rsid w:val="003B1A62"/>
    <w:rsid w:val="003B1C05"/>
    <w:rsid w:val="003B40ED"/>
    <w:rsid w:val="003B4A87"/>
    <w:rsid w:val="003B4D6C"/>
    <w:rsid w:val="003C03B7"/>
    <w:rsid w:val="003D0102"/>
    <w:rsid w:val="003D0420"/>
    <w:rsid w:val="003D43A0"/>
    <w:rsid w:val="003D5BEC"/>
    <w:rsid w:val="003D6244"/>
    <w:rsid w:val="003D6659"/>
    <w:rsid w:val="003D7607"/>
    <w:rsid w:val="003E0635"/>
    <w:rsid w:val="003E203B"/>
    <w:rsid w:val="003E4D13"/>
    <w:rsid w:val="003E4D1B"/>
    <w:rsid w:val="003E7432"/>
    <w:rsid w:val="003E786B"/>
    <w:rsid w:val="003F0162"/>
    <w:rsid w:val="003F2938"/>
    <w:rsid w:val="003F4047"/>
    <w:rsid w:val="003F4813"/>
    <w:rsid w:val="003F4FE8"/>
    <w:rsid w:val="003F5C8A"/>
    <w:rsid w:val="003F676E"/>
    <w:rsid w:val="004013B4"/>
    <w:rsid w:val="00402417"/>
    <w:rsid w:val="004031E6"/>
    <w:rsid w:val="00411CD0"/>
    <w:rsid w:val="00416C98"/>
    <w:rsid w:val="00423A05"/>
    <w:rsid w:val="00427012"/>
    <w:rsid w:val="00431DDF"/>
    <w:rsid w:val="00434F6A"/>
    <w:rsid w:val="004378D7"/>
    <w:rsid w:val="00443C80"/>
    <w:rsid w:val="00447EE6"/>
    <w:rsid w:val="00451CFA"/>
    <w:rsid w:val="004555DD"/>
    <w:rsid w:val="00455745"/>
    <w:rsid w:val="00455D3F"/>
    <w:rsid w:val="004569BF"/>
    <w:rsid w:val="00460E6E"/>
    <w:rsid w:val="004625E1"/>
    <w:rsid w:val="00462957"/>
    <w:rsid w:val="004644A1"/>
    <w:rsid w:val="004717FC"/>
    <w:rsid w:val="00480ED1"/>
    <w:rsid w:val="004855CD"/>
    <w:rsid w:val="0048738F"/>
    <w:rsid w:val="0049233C"/>
    <w:rsid w:val="00493885"/>
    <w:rsid w:val="00496BB7"/>
    <w:rsid w:val="0049741C"/>
    <w:rsid w:val="004A44E3"/>
    <w:rsid w:val="004A56BB"/>
    <w:rsid w:val="004B0943"/>
    <w:rsid w:val="004B0A2F"/>
    <w:rsid w:val="004B2101"/>
    <w:rsid w:val="004B2A94"/>
    <w:rsid w:val="004C3C9B"/>
    <w:rsid w:val="004C3F45"/>
    <w:rsid w:val="004C7D39"/>
    <w:rsid w:val="004D1AC4"/>
    <w:rsid w:val="004D674F"/>
    <w:rsid w:val="004E01CD"/>
    <w:rsid w:val="004E2498"/>
    <w:rsid w:val="004E49A7"/>
    <w:rsid w:val="004E5CA3"/>
    <w:rsid w:val="004E7A66"/>
    <w:rsid w:val="004F1025"/>
    <w:rsid w:val="004F1494"/>
    <w:rsid w:val="004F3071"/>
    <w:rsid w:val="004F5357"/>
    <w:rsid w:val="00501602"/>
    <w:rsid w:val="00501F12"/>
    <w:rsid w:val="00501F5B"/>
    <w:rsid w:val="00505ACF"/>
    <w:rsid w:val="00506762"/>
    <w:rsid w:val="0051016C"/>
    <w:rsid w:val="005118F2"/>
    <w:rsid w:val="00516BD6"/>
    <w:rsid w:val="00520945"/>
    <w:rsid w:val="00520BAE"/>
    <w:rsid w:val="00521A53"/>
    <w:rsid w:val="00523A49"/>
    <w:rsid w:val="0053559C"/>
    <w:rsid w:val="0053626F"/>
    <w:rsid w:val="00536E6E"/>
    <w:rsid w:val="005407F2"/>
    <w:rsid w:val="00544687"/>
    <w:rsid w:val="00547C02"/>
    <w:rsid w:val="005523DC"/>
    <w:rsid w:val="00553DD6"/>
    <w:rsid w:val="00554427"/>
    <w:rsid w:val="0055453F"/>
    <w:rsid w:val="00556057"/>
    <w:rsid w:val="005565FF"/>
    <w:rsid w:val="00557408"/>
    <w:rsid w:val="0056198B"/>
    <w:rsid w:val="00561EBF"/>
    <w:rsid w:val="00563534"/>
    <w:rsid w:val="005663E0"/>
    <w:rsid w:val="00567AB2"/>
    <w:rsid w:val="005774FC"/>
    <w:rsid w:val="00586808"/>
    <w:rsid w:val="00590090"/>
    <w:rsid w:val="005907ED"/>
    <w:rsid w:val="00592048"/>
    <w:rsid w:val="00594BAC"/>
    <w:rsid w:val="00595280"/>
    <w:rsid w:val="00596F75"/>
    <w:rsid w:val="005A0133"/>
    <w:rsid w:val="005A3768"/>
    <w:rsid w:val="005A4AF8"/>
    <w:rsid w:val="005A672D"/>
    <w:rsid w:val="005A76E4"/>
    <w:rsid w:val="005B0A7D"/>
    <w:rsid w:val="005B1617"/>
    <w:rsid w:val="005B745B"/>
    <w:rsid w:val="005B7A40"/>
    <w:rsid w:val="005B7F41"/>
    <w:rsid w:val="005C2A77"/>
    <w:rsid w:val="005C7B97"/>
    <w:rsid w:val="005D10B8"/>
    <w:rsid w:val="005D4256"/>
    <w:rsid w:val="005E514A"/>
    <w:rsid w:val="005E5D87"/>
    <w:rsid w:val="005F0B80"/>
    <w:rsid w:val="005F0C6E"/>
    <w:rsid w:val="005F1F74"/>
    <w:rsid w:val="005F44FC"/>
    <w:rsid w:val="005F7EBA"/>
    <w:rsid w:val="00607508"/>
    <w:rsid w:val="00615E58"/>
    <w:rsid w:val="00615E6C"/>
    <w:rsid w:val="0061631C"/>
    <w:rsid w:val="00625781"/>
    <w:rsid w:val="006266C1"/>
    <w:rsid w:val="00633670"/>
    <w:rsid w:val="0063681B"/>
    <w:rsid w:val="00641B6A"/>
    <w:rsid w:val="0064538C"/>
    <w:rsid w:val="006471FE"/>
    <w:rsid w:val="00647BD5"/>
    <w:rsid w:val="00656B6C"/>
    <w:rsid w:val="006668AD"/>
    <w:rsid w:val="00666DFB"/>
    <w:rsid w:val="00667582"/>
    <w:rsid w:val="006729CB"/>
    <w:rsid w:val="00674A38"/>
    <w:rsid w:val="00680473"/>
    <w:rsid w:val="00685F65"/>
    <w:rsid w:val="00687B2A"/>
    <w:rsid w:val="00691A9E"/>
    <w:rsid w:val="00691C97"/>
    <w:rsid w:val="006951E1"/>
    <w:rsid w:val="006A57FC"/>
    <w:rsid w:val="006A5839"/>
    <w:rsid w:val="006A60B0"/>
    <w:rsid w:val="006A7647"/>
    <w:rsid w:val="006B0FE2"/>
    <w:rsid w:val="006B3725"/>
    <w:rsid w:val="006B5F0C"/>
    <w:rsid w:val="006C0430"/>
    <w:rsid w:val="006C4C2F"/>
    <w:rsid w:val="006C7F0B"/>
    <w:rsid w:val="006D2005"/>
    <w:rsid w:val="006E173D"/>
    <w:rsid w:val="006E3319"/>
    <w:rsid w:val="006F3F34"/>
    <w:rsid w:val="006F5D67"/>
    <w:rsid w:val="006F7C3B"/>
    <w:rsid w:val="006F7E00"/>
    <w:rsid w:val="007102E2"/>
    <w:rsid w:val="00712674"/>
    <w:rsid w:val="00713181"/>
    <w:rsid w:val="00720880"/>
    <w:rsid w:val="007214A2"/>
    <w:rsid w:val="00722D2F"/>
    <w:rsid w:val="0072345E"/>
    <w:rsid w:val="00725478"/>
    <w:rsid w:val="00726884"/>
    <w:rsid w:val="00731273"/>
    <w:rsid w:val="00731746"/>
    <w:rsid w:val="00733C82"/>
    <w:rsid w:val="0074008F"/>
    <w:rsid w:val="007437D9"/>
    <w:rsid w:val="00747226"/>
    <w:rsid w:val="00747BAE"/>
    <w:rsid w:val="00751565"/>
    <w:rsid w:val="00751646"/>
    <w:rsid w:val="0075765C"/>
    <w:rsid w:val="00763D2A"/>
    <w:rsid w:val="00767632"/>
    <w:rsid w:val="00767F35"/>
    <w:rsid w:val="00771D4B"/>
    <w:rsid w:val="00775EE0"/>
    <w:rsid w:val="007827B3"/>
    <w:rsid w:val="00783965"/>
    <w:rsid w:val="00785FDD"/>
    <w:rsid w:val="007918AD"/>
    <w:rsid w:val="0079302D"/>
    <w:rsid w:val="0079345F"/>
    <w:rsid w:val="00796BDC"/>
    <w:rsid w:val="00797DE4"/>
    <w:rsid w:val="007A1F77"/>
    <w:rsid w:val="007A3341"/>
    <w:rsid w:val="007A3F54"/>
    <w:rsid w:val="007B4EDC"/>
    <w:rsid w:val="007B501C"/>
    <w:rsid w:val="007C069C"/>
    <w:rsid w:val="007C091C"/>
    <w:rsid w:val="007C1B8D"/>
    <w:rsid w:val="007C32C8"/>
    <w:rsid w:val="007C4C98"/>
    <w:rsid w:val="007C5CC7"/>
    <w:rsid w:val="007C7704"/>
    <w:rsid w:val="007D21E0"/>
    <w:rsid w:val="007D2824"/>
    <w:rsid w:val="007D2CEB"/>
    <w:rsid w:val="007D3436"/>
    <w:rsid w:val="007D53B3"/>
    <w:rsid w:val="007D6FB6"/>
    <w:rsid w:val="007F3ACA"/>
    <w:rsid w:val="007F4768"/>
    <w:rsid w:val="007F4D6A"/>
    <w:rsid w:val="007F57CA"/>
    <w:rsid w:val="0080094C"/>
    <w:rsid w:val="00801169"/>
    <w:rsid w:val="00801D2B"/>
    <w:rsid w:val="00802CF5"/>
    <w:rsid w:val="00804C8A"/>
    <w:rsid w:val="00807909"/>
    <w:rsid w:val="00822BD7"/>
    <w:rsid w:val="00830E3F"/>
    <w:rsid w:val="00831EF5"/>
    <w:rsid w:val="008364D0"/>
    <w:rsid w:val="00837904"/>
    <w:rsid w:val="008454FF"/>
    <w:rsid w:val="008519A3"/>
    <w:rsid w:val="00853619"/>
    <w:rsid w:val="00855774"/>
    <w:rsid w:val="00856C78"/>
    <w:rsid w:val="00862897"/>
    <w:rsid w:val="00864D62"/>
    <w:rsid w:val="00871F3D"/>
    <w:rsid w:val="008744A3"/>
    <w:rsid w:val="008774FB"/>
    <w:rsid w:val="00881C58"/>
    <w:rsid w:val="008828DF"/>
    <w:rsid w:val="008835F9"/>
    <w:rsid w:val="008839D8"/>
    <w:rsid w:val="00886F8A"/>
    <w:rsid w:val="00890E5D"/>
    <w:rsid w:val="00897446"/>
    <w:rsid w:val="008A100E"/>
    <w:rsid w:val="008A362F"/>
    <w:rsid w:val="008A74A2"/>
    <w:rsid w:val="008B44D5"/>
    <w:rsid w:val="008B4B46"/>
    <w:rsid w:val="008B7DF8"/>
    <w:rsid w:val="008C43F1"/>
    <w:rsid w:val="008C57BE"/>
    <w:rsid w:val="008C5B03"/>
    <w:rsid w:val="008C7C3D"/>
    <w:rsid w:val="008D258B"/>
    <w:rsid w:val="008D2F39"/>
    <w:rsid w:val="008D6EA0"/>
    <w:rsid w:val="008E0ADD"/>
    <w:rsid w:val="008E10E0"/>
    <w:rsid w:val="008E3CD8"/>
    <w:rsid w:val="008E6CFF"/>
    <w:rsid w:val="008F0317"/>
    <w:rsid w:val="008F3007"/>
    <w:rsid w:val="008F614C"/>
    <w:rsid w:val="009003D3"/>
    <w:rsid w:val="00904496"/>
    <w:rsid w:val="00905043"/>
    <w:rsid w:val="00911D59"/>
    <w:rsid w:val="00911D6A"/>
    <w:rsid w:val="00913620"/>
    <w:rsid w:val="00913935"/>
    <w:rsid w:val="00913DCC"/>
    <w:rsid w:val="00913F9E"/>
    <w:rsid w:val="00916AFE"/>
    <w:rsid w:val="009331FC"/>
    <w:rsid w:val="00944969"/>
    <w:rsid w:val="00944A62"/>
    <w:rsid w:val="00947D1D"/>
    <w:rsid w:val="009506C2"/>
    <w:rsid w:val="00952438"/>
    <w:rsid w:val="009527D6"/>
    <w:rsid w:val="00953B30"/>
    <w:rsid w:val="009549FF"/>
    <w:rsid w:val="00962834"/>
    <w:rsid w:val="009641EA"/>
    <w:rsid w:val="009724EE"/>
    <w:rsid w:val="00973020"/>
    <w:rsid w:val="00973863"/>
    <w:rsid w:val="009751F0"/>
    <w:rsid w:val="009831B4"/>
    <w:rsid w:val="009924B3"/>
    <w:rsid w:val="00997F48"/>
    <w:rsid w:val="009A4AD5"/>
    <w:rsid w:val="009B158B"/>
    <w:rsid w:val="009B2062"/>
    <w:rsid w:val="009C10A2"/>
    <w:rsid w:val="009C1A3D"/>
    <w:rsid w:val="009C4594"/>
    <w:rsid w:val="009C531C"/>
    <w:rsid w:val="009D0DF0"/>
    <w:rsid w:val="009D1D3A"/>
    <w:rsid w:val="009D6EFF"/>
    <w:rsid w:val="009D7455"/>
    <w:rsid w:val="009E0F1E"/>
    <w:rsid w:val="009E2852"/>
    <w:rsid w:val="009F063D"/>
    <w:rsid w:val="009F2ECC"/>
    <w:rsid w:val="009F3467"/>
    <w:rsid w:val="009F7466"/>
    <w:rsid w:val="009F74A7"/>
    <w:rsid w:val="009F7ACE"/>
    <w:rsid w:val="00A012B7"/>
    <w:rsid w:val="00A01D0A"/>
    <w:rsid w:val="00A0382B"/>
    <w:rsid w:val="00A039CD"/>
    <w:rsid w:val="00A042CD"/>
    <w:rsid w:val="00A04F90"/>
    <w:rsid w:val="00A07719"/>
    <w:rsid w:val="00A11873"/>
    <w:rsid w:val="00A1549F"/>
    <w:rsid w:val="00A16B8A"/>
    <w:rsid w:val="00A179B3"/>
    <w:rsid w:val="00A21C08"/>
    <w:rsid w:val="00A22280"/>
    <w:rsid w:val="00A3025C"/>
    <w:rsid w:val="00A3570A"/>
    <w:rsid w:val="00A4070C"/>
    <w:rsid w:val="00A47CD9"/>
    <w:rsid w:val="00A50150"/>
    <w:rsid w:val="00A5216D"/>
    <w:rsid w:val="00A53B63"/>
    <w:rsid w:val="00A6085F"/>
    <w:rsid w:val="00A61151"/>
    <w:rsid w:val="00A621C1"/>
    <w:rsid w:val="00A62414"/>
    <w:rsid w:val="00A6260D"/>
    <w:rsid w:val="00A70644"/>
    <w:rsid w:val="00A71138"/>
    <w:rsid w:val="00A719A9"/>
    <w:rsid w:val="00A74333"/>
    <w:rsid w:val="00A74581"/>
    <w:rsid w:val="00A840BF"/>
    <w:rsid w:val="00A84977"/>
    <w:rsid w:val="00A91463"/>
    <w:rsid w:val="00A96041"/>
    <w:rsid w:val="00AA05E2"/>
    <w:rsid w:val="00AB0E0F"/>
    <w:rsid w:val="00AB1941"/>
    <w:rsid w:val="00AB3A47"/>
    <w:rsid w:val="00AC3ADB"/>
    <w:rsid w:val="00AC4C62"/>
    <w:rsid w:val="00AC5A33"/>
    <w:rsid w:val="00AC7C14"/>
    <w:rsid w:val="00AD13E3"/>
    <w:rsid w:val="00AD51AD"/>
    <w:rsid w:val="00AE191F"/>
    <w:rsid w:val="00AE24C5"/>
    <w:rsid w:val="00AE6EE5"/>
    <w:rsid w:val="00AF280D"/>
    <w:rsid w:val="00AF5A28"/>
    <w:rsid w:val="00AF6A77"/>
    <w:rsid w:val="00B02E9B"/>
    <w:rsid w:val="00B04040"/>
    <w:rsid w:val="00B12F77"/>
    <w:rsid w:val="00B149DA"/>
    <w:rsid w:val="00B14CF4"/>
    <w:rsid w:val="00B1653F"/>
    <w:rsid w:val="00B21FE5"/>
    <w:rsid w:val="00B24D67"/>
    <w:rsid w:val="00B279E6"/>
    <w:rsid w:val="00B30B87"/>
    <w:rsid w:val="00B30C43"/>
    <w:rsid w:val="00B312E3"/>
    <w:rsid w:val="00B33FDD"/>
    <w:rsid w:val="00B354CA"/>
    <w:rsid w:val="00B36ADB"/>
    <w:rsid w:val="00B41E0C"/>
    <w:rsid w:val="00B421B0"/>
    <w:rsid w:val="00B42AD9"/>
    <w:rsid w:val="00B54F40"/>
    <w:rsid w:val="00B54F4B"/>
    <w:rsid w:val="00B6243F"/>
    <w:rsid w:val="00B7291D"/>
    <w:rsid w:val="00B763DA"/>
    <w:rsid w:val="00B8082E"/>
    <w:rsid w:val="00B80893"/>
    <w:rsid w:val="00B844FA"/>
    <w:rsid w:val="00B867E2"/>
    <w:rsid w:val="00B90241"/>
    <w:rsid w:val="00B907EE"/>
    <w:rsid w:val="00B9117B"/>
    <w:rsid w:val="00B91DFE"/>
    <w:rsid w:val="00B92A92"/>
    <w:rsid w:val="00B94A69"/>
    <w:rsid w:val="00BA28C9"/>
    <w:rsid w:val="00BA7B30"/>
    <w:rsid w:val="00BB66DA"/>
    <w:rsid w:val="00BD06A1"/>
    <w:rsid w:val="00BD286D"/>
    <w:rsid w:val="00BE7218"/>
    <w:rsid w:val="00BF1AB2"/>
    <w:rsid w:val="00BF21E2"/>
    <w:rsid w:val="00BF4494"/>
    <w:rsid w:val="00BF4EAD"/>
    <w:rsid w:val="00BF5E72"/>
    <w:rsid w:val="00C00A9F"/>
    <w:rsid w:val="00C02FCF"/>
    <w:rsid w:val="00C06B2D"/>
    <w:rsid w:val="00C0747F"/>
    <w:rsid w:val="00C07873"/>
    <w:rsid w:val="00C10AE8"/>
    <w:rsid w:val="00C10F68"/>
    <w:rsid w:val="00C119C7"/>
    <w:rsid w:val="00C1458D"/>
    <w:rsid w:val="00C15804"/>
    <w:rsid w:val="00C165BF"/>
    <w:rsid w:val="00C22C5A"/>
    <w:rsid w:val="00C25994"/>
    <w:rsid w:val="00C26292"/>
    <w:rsid w:val="00C342A4"/>
    <w:rsid w:val="00C40791"/>
    <w:rsid w:val="00C40F49"/>
    <w:rsid w:val="00C426AA"/>
    <w:rsid w:val="00C451A9"/>
    <w:rsid w:val="00C46535"/>
    <w:rsid w:val="00C50222"/>
    <w:rsid w:val="00C5023B"/>
    <w:rsid w:val="00C519D9"/>
    <w:rsid w:val="00C5223F"/>
    <w:rsid w:val="00C532CD"/>
    <w:rsid w:val="00C53A8B"/>
    <w:rsid w:val="00C55902"/>
    <w:rsid w:val="00C5657B"/>
    <w:rsid w:val="00C5706F"/>
    <w:rsid w:val="00C57C54"/>
    <w:rsid w:val="00C71FD2"/>
    <w:rsid w:val="00C724C3"/>
    <w:rsid w:val="00C72898"/>
    <w:rsid w:val="00C756DB"/>
    <w:rsid w:val="00C805F7"/>
    <w:rsid w:val="00C81099"/>
    <w:rsid w:val="00C8205A"/>
    <w:rsid w:val="00C827D4"/>
    <w:rsid w:val="00C82801"/>
    <w:rsid w:val="00C905F3"/>
    <w:rsid w:val="00C91796"/>
    <w:rsid w:val="00C9501B"/>
    <w:rsid w:val="00CA086E"/>
    <w:rsid w:val="00CA1697"/>
    <w:rsid w:val="00CA67BC"/>
    <w:rsid w:val="00CA6A3C"/>
    <w:rsid w:val="00CB00F3"/>
    <w:rsid w:val="00CB10A8"/>
    <w:rsid w:val="00CB12CB"/>
    <w:rsid w:val="00CB17E8"/>
    <w:rsid w:val="00CB1F94"/>
    <w:rsid w:val="00CB632E"/>
    <w:rsid w:val="00CC5F76"/>
    <w:rsid w:val="00CD47B9"/>
    <w:rsid w:val="00CE04B5"/>
    <w:rsid w:val="00CE126D"/>
    <w:rsid w:val="00CE400D"/>
    <w:rsid w:val="00CE59AB"/>
    <w:rsid w:val="00CF1A4B"/>
    <w:rsid w:val="00D00696"/>
    <w:rsid w:val="00D0193C"/>
    <w:rsid w:val="00D020FE"/>
    <w:rsid w:val="00D021A4"/>
    <w:rsid w:val="00D0630F"/>
    <w:rsid w:val="00D10429"/>
    <w:rsid w:val="00D12339"/>
    <w:rsid w:val="00D17944"/>
    <w:rsid w:val="00D25D87"/>
    <w:rsid w:val="00D262BD"/>
    <w:rsid w:val="00D3327B"/>
    <w:rsid w:val="00D359F8"/>
    <w:rsid w:val="00D35FE9"/>
    <w:rsid w:val="00D429C2"/>
    <w:rsid w:val="00D45F2B"/>
    <w:rsid w:val="00D463FE"/>
    <w:rsid w:val="00D6136A"/>
    <w:rsid w:val="00D672A6"/>
    <w:rsid w:val="00D71476"/>
    <w:rsid w:val="00D7659D"/>
    <w:rsid w:val="00D775DB"/>
    <w:rsid w:val="00D84BAD"/>
    <w:rsid w:val="00D86828"/>
    <w:rsid w:val="00D87582"/>
    <w:rsid w:val="00D95C49"/>
    <w:rsid w:val="00DA24FF"/>
    <w:rsid w:val="00DA2661"/>
    <w:rsid w:val="00DB1CC7"/>
    <w:rsid w:val="00DB1FFE"/>
    <w:rsid w:val="00DC0170"/>
    <w:rsid w:val="00DC0C66"/>
    <w:rsid w:val="00DC43AF"/>
    <w:rsid w:val="00DC67BD"/>
    <w:rsid w:val="00DC6875"/>
    <w:rsid w:val="00DD0AC0"/>
    <w:rsid w:val="00DD2F87"/>
    <w:rsid w:val="00DD4839"/>
    <w:rsid w:val="00DD72DF"/>
    <w:rsid w:val="00DE3ECA"/>
    <w:rsid w:val="00DE434D"/>
    <w:rsid w:val="00DE6BC0"/>
    <w:rsid w:val="00DF0D98"/>
    <w:rsid w:val="00DF1E5D"/>
    <w:rsid w:val="00DF209A"/>
    <w:rsid w:val="00DF43E5"/>
    <w:rsid w:val="00DF64AA"/>
    <w:rsid w:val="00DF6D5E"/>
    <w:rsid w:val="00E006BB"/>
    <w:rsid w:val="00E01116"/>
    <w:rsid w:val="00E02080"/>
    <w:rsid w:val="00E10EF2"/>
    <w:rsid w:val="00E1265A"/>
    <w:rsid w:val="00E1309A"/>
    <w:rsid w:val="00E1516B"/>
    <w:rsid w:val="00E20A24"/>
    <w:rsid w:val="00E225FA"/>
    <w:rsid w:val="00E261D9"/>
    <w:rsid w:val="00E279E0"/>
    <w:rsid w:val="00E30028"/>
    <w:rsid w:val="00E3268F"/>
    <w:rsid w:val="00E3291E"/>
    <w:rsid w:val="00E32A07"/>
    <w:rsid w:val="00E513E8"/>
    <w:rsid w:val="00E526DD"/>
    <w:rsid w:val="00E6029A"/>
    <w:rsid w:val="00E64034"/>
    <w:rsid w:val="00E7236D"/>
    <w:rsid w:val="00E729A0"/>
    <w:rsid w:val="00E774E6"/>
    <w:rsid w:val="00E843CF"/>
    <w:rsid w:val="00E90118"/>
    <w:rsid w:val="00E93A2C"/>
    <w:rsid w:val="00E9723F"/>
    <w:rsid w:val="00EA251C"/>
    <w:rsid w:val="00EA3C9D"/>
    <w:rsid w:val="00EC288E"/>
    <w:rsid w:val="00EC71BF"/>
    <w:rsid w:val="00ED3094"/>
    <w:rsid w:val="00ED4955"/>
    <w:rsid w:val="00ED7D6D"/>
    <w:rsid w:val="00EE173E"/>
    <w:rsid w:val="00EE5735"/>
    <w:rsid w:val="00EE7C01"/>
    <w:rsid w:val="00F02845"/>
    <w:rsid w:val="00F04A08"/>
    <w:rsid w:val="00F05AD1"/>
    <w:rsid w:val="00F10E40"/>
    <w:rsid w:val="00F13A6B"/>
    <w:rsid w:val="00F211D2"/>
    <w:rsid w:val="00F22424"/>
    <w:rsid w:val="00F246B1"/>
    <w:rsid w:val="00F2667A"/>
    <w:rsid w:val="00F27433"/>
    <w:rsid w:val="00F27C06"/>
    <w:rsid w:val="00F31CFB"/>
    <w:rsid w:val="00F33115"/>
    <w:rsid w:val="00F349BE"/>
    <w:rsid w:val="00F37194"/>
    <w:rsid w:val="00F40D07"/>
    <w:rsid w:val="00F41C2D"/>
    <w:rsid w:val="00F54AC8"/>
    <w:rsid w:val="00F572D1"/>
    <w:rsid w:val="00F61CB7"/>
    <w:rsid w:val="00F651DB"/>
    <w:rsid w:val="00F6550C"/>
    <w:rsid w:val="00F65DFA"/>
    <w:rsid w:val="00F72E37"/>
    <w:rsid w:val="00F76735"/>
    <w:rsid w:val="00F80F35"/>
    <w:rsid w:val="00F86942"/>
    <w:rsid w:val="00F9016C"/>
    <w:rsid w:val="00F91E2E"/>
    <w:rsid w:val="00F93852"/>
    <w:rsid w:val="00F9455B"/>
    <w:rsid w:val="00F967D6"/>
    <w:rsid w:val="00FA67A9"/>
    <w:rsid w:val="00FA6986"/>
    <w:rsid w:val="00FB0182"/>
    <w:rsid w:val="00FB0A42"/>
    <w:rsid w:val="00FB6315"/>
    <w:rsid w:val="00FD0705"/>
    <w:rsid w:val="00FD07CB"/>
    <w:rsid w:val="00FD7B96"/>
    <w:rsid w:val="00FE326F"/>
    <w:rsid w:val="00FE6079"/>
    <w:rsid w:val="00FF0F41"/>
    <w:rsid w:val="00FF26AD"/>
    <w:rsid w:val="00FF6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4">
    <w:name w:val="heading 4"/>
    <w:basedOn w:val="Normal"/>
    <w:next w:val="Normal"/>
    <w:link w:val="Heading4Char"/>
    <w:uiPriority w:val="9"/>
    <w:semiHidden/>
    <w:unhideWhenUsed/>
    <w:qFormat/>
    <w:rsid w:val="003823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E10EF2"/>
    <w:rPr>
      <w:color w:val="0563C1" w:themeColor="hyperlink"/>
      <w:u w:val="single"/>
    </w:rPr>
  </w:style>
  <w:style w:type="character" w:styleId="UnresolvedMention">
    <w:name w:val="Unresolved Mention"/>
    <w:basedOn w:val="DefaultParagraphFont"/>
    <w:uiPriority w:val="99"/>
    <w:semiHidden/>
    <w:unhideWhenUsed/>
    <w:rsid w:val="00E10EF2"/>
    <w:rPr>
      <w:color w:val="605E5C"/>
      <w:shd w:val="clear" w:color="auto" w:fill="E1DFDD"/>
    </w:rPr>
  </w:style>
  <w:style w:type="character" w:styleId="CommentReference">
    <w:name w:val="annotation reference"/>
    <w:basedOn w:val="DefaultParagraphFont"/>
    <w:uiPriority w:val="99"/>
    <w:semiHidden/>
    <w:unhideWhenUsed/>
    <w:rsid w:val="00855774"/>
    <w:rPr>
      <w:sz w:val="16"/>
      <w:szCs w:val="16"/>
    </w:rPr>
  </w:style>
  <w:style w:type="paragraph" w:styleId="CommentText">
    <w:name w:val="annotation text"/>
    <w:basedOn w:val="Normal"/>
    <w:link w:val="CommentTextChar"/>
    <w:uiPriority w:val="99"/>
    <w:unhideWhenUsed/>
    <w:rsid w:val="00855774"/>
    <w:rPr>
      <w:sz w:val="20"/>
      <w:szCs w:val="20"/>
    </w:rPr>
  </w:style>
  <w:style w:type="character" w:customStyle="1" w:styleId="CommentTextChar">
    <w:name w:val="Comment Text Char"/>
    <w:basedOn w:val="DefaultParagraphFont"/>
    <w:link w:val="CommentText"/>
    <w:uiPriority w:val="99"/>
    <w:rsid w:val="008557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55774"/>
    <w:rPr>
      <w:b/>
      <w:bCs/>
    </w:rPr>
  </w:style>
  <w:style w:type="character" w:customStyle="1" w:styleId="CommentSubjectChar">
    <w:name w:val="Comment Subject Char"/>
    <w:basedOn w:val="CommentTextChar"/>
    <w:link w:val="CommentSubject"/>
    <w:uiPriority w:val="99"/>
    <w:semiHidden/>
    <w:rsid w:val="00855774"/>
    <w:rPr>
      <w:rFonts w:eastAsia="Times New Roman" w:cs="Times New Roman"/>
      <w:b/>
      <w:bCs/>
      <w:sz w:val="20"/>
      <w:szCs w:val="20"/>
      <w:lang w:val="lv-LV" w:eastAsia="ru-RU"/>
    </w:rPr>
  </w:style>
  <w:style w:type="paragraph" w:styleId="Revision">
    <w:name w:val="Revision"/>
    <w:hidden/>
    <w:uiPriority w:val="99"/>
    <w:semiHidden/>
    <w:rsid w:val="00C8280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F1F74"/>
    <w:rPr>
      <w:color w:val="954F72" w:themeColor="followedHyperlink"/>
      <w:u w:val="single"/>
    </w:rPr>
  </w:style>
  <w:style w:type="character" w:customStyle="1" w:styleId="Heading4Char">
    <w:name w:val="Heading 4 Char"/>
    <w:basedOn w:val="DefaultParagraphFont"/>
    <w:link w:val="Heading4"/>
    <w:uiPriority w:val="9"/>
    <w:semiHidden/>
    <w:rsid w:val="00382341"/>
    <w:rPr>
      <w:rFonts w:asciiTheme="majorHAnsi" w:eastAsiaTheme="majorEastAsia" w:hAnsiTheme="majorHAnsi" w:cstheme="majorBidi"/>
      <w:i/>
      <w:iCs/>
      <w:color w:val="2E74B5" w:themeColor="accent1" w:themeShade="BF"/>
      <w:szCs w:val="24"/>
      <w:lang w:val="lv-LV" w:eastAsia="ru-RU"/>
    </w:rPr>
  </w:style>
  <w:style w:type="paragraph" w:customStyle="1" w:styleId="Default">
    <w:name w:val="Default"/>
    <w:rsid w:val="00385DA5"/>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4159">
      <w:bodyDiv w:val="1"/>
      <w:marLeft w:val="0"/>
      <w:marRight w:val="0"/>
      <w:marTop w:val="0"/>
      <w:marBottom w:val="0"/>
      <w:divBdr>
        <w:top w:val="none" w:sz="0" w:space="0" w:color="auto"/>
        <w:left w:val="none" w:sz="0" w:space="0" w:color="auto"/>
        <w:bottom w:val="none" w:sz="0" w:space="0" w:color="auto"/>
        <w:right w:val="none" w:sz="0" w:space="0" w:color="auto"/>
      </w:divBdr>
    </w:div>
    <w:div w:id="333000080">
      <w:bodyDiv w:val="1"/>
      <w:marLeft w:val="0"/>
      <w:marRight w:val="0"/>
      <w:marTop w:val="0"/>
      <w:marBottom w:val="0"/>
      <w:divBdr>
        <w:top w:val="none" w:sz="0" w:space="0" w:color="auto"/>
        <w:left w:val="none" w:sz="0" w:space="0" w:color="auto"/>
        <w:bottom w:val="none" w:sz="0" w:space="0" w:color="auto"/>
        <w:right w:val="none" w:sz="0" w:space="0" w:color="auto"/>
      </w:divBdr>
    </w:div>
    <w:div w:id="459423511">
      <w:bodyDiv w:val="1"/>
      <w:marLeft w:val="0"/>
      <w:marRight w:val="0"/>
      <w:marTop w:val="0"/>
      <w:marBottom w:val="0"/>
      <w:divBdr>
        <w:top w:val="none" w:sz="0" w:space="0" w:color="auto"/>
        <w:left w:val="none" w:sz="0" w:space="0" w:color="auto"/>
        <w:bottom w:val="none" w:sz="0" w:space="0" w:color="auto"/>
        <w:right w:val="none" w:sz="0" w:space="0" w:color="auto"/>
      </w:divBdr>
    </w:div>
    <w:div w:id="886333718">
      <w:bodyDiv w:val="1"/>
      <w:marLeft w:val="0"/>
      <w:marRight w:val="0"/>
      <w:marTop w:val="0"/>
      <w:marBottom w:val="0"/>
      <w:divBdr>
        <w:top w:val="none" w:sz="0" w:space="0" w:color="auto"/>
        <w:left w:val="none" w:sz="0" w:space="0" w:color="auto"/>
        <w:bottom w:val="none" w:sz="0" w:space="0" w:color="auto"/>
        <w:right w:val="none" w:sz="0" w:space="0" w:color="auto"/>
      </w:divBdr>
    </w:div>
    <w:div w:id="1161846623">
      <w:bodyDiv w:val="1"/>
      <w:marLeft w:val="0"/>
      <w:marRight w:val="0"/>
      <w:marTop w:val="0"/>
      <w:marBottom w:val="0"/>
      <w:divBdr>
        <w:top w:val="none" w:sz="0" w:space="0" w:color="auto"/>
        <w:left w:val="none" w:sz="0" w:space="0" w:color="auto"/>
        <w:bottom w:val="none" w:sz="0" w:space="0" w:color="auto"/>
        <w:right w:val="none" w:sz="0" w:space="0" w:color="auto"/>
      </w:divBdr>
    </w:div>
    <w:div w:id="1257249870">
      <w:bodyDiv w:val="1"/>
      <w:marLeft w:val="0"/>
      <w:marRight w:val="0"/>
      <w:marTop w:val="0"/>
      <w:marBottom w:val="0"/>
      <w:divBdr>
        <w:top w:val="none" w:sz="0" w:space="0" w:color="auto"/>
        <w:left w:val="none" w:sz="0" w:space="0" w:color="auto"/>
        <w:bottom w:val="none" w:sz="0" w:space="0" w:color="auto"/>
        <w:right w:val="none" w:sz="0" w:space="0" w:color="auto"/>
      </w:divBdr>
    </w:div>
    <w:div w:id="1486699732">
      <w:bodyDiv w:val="1"/>
      <w:marLeft w:val="0"/>
      <w:marRight w:val="0"/>
      <w:marTop w:val="0"/>
      <w:marBottom w:val="0"/>
      <w:divBdr>
        <w:top w:val="none" w:sz="0" w:space="0" w:color="auto"/>
        <w:left w:val="none" w:sz="0" w:space="0" w:color="auto"/>
        <w:bottom w:val="none" w:sz="0" w:space="0" w:color="auto"/>
        <w:right w:val="none" w:sz="0" w:space="0" w:color="auto"/>
      </w:divBdr>
    </w:div>
    <w:div w:id="1531911327">
      <w:bodyDiv w:val="1"/>
      <w:marLeft w:val="0"/>
      <w:marRight w:val="0"/>
      <w:marTop w:val="0"/>
      <w:marBottom w:val="0"/>
      <w:divBdr>
        <w:top w:val="none" w:sz="0" w:space="0" w:color="auto"/>
        <w:left w:val="none" w:sz="0" w:space="0" w:color="auto"/>
        <w:bottom w:val="none" w:sz="0" w:space="0" w:color="auto"/>
        <w:right w:val="none" w:sz="0" w:space="0" w:color="auto"/>
      </w:divBdr>
    </w:div>
    <w:div w:id="158147892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1473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d1c2bb1-c102-4311-8535-ad4317dad4f1" TargetMode="External"/><Relationship Id="rId13" Type="http://schemas.openxmlformats.org/officeDocument/2006/relationships/hyperlink" Target="https://curia.europa.eu/juris/document/document.jsf?text=%2522concept%2Bof%2Bpublic%2Bcontract%2522&amp;docid=230864&amp;pageIndex=0&amp;doclang=LV&amp;mode=req&amp;dir=&amp;occ=first&amp;part=1&amp;cid=12616463" TargetMode="External"/><Relationship Id="rId18" Type="http://schemas.openxmlformats.org/officeDocument/2006/relationships/hyperlink" Target="https://curia.europa.eu/juris/document/document.jsf?text=&amp;docid=262937&amp;pageIndex=0&amp;doclang=LV&amp;mode=lst&amp;dir=&amp;occ=first&amp;part=1&amp;cid=127707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uria.europa.eu/juris/document/document.jsf?text=%2522Convention%2Bon%2Bthe%2BRights%2Bof%2BPersons%2Bwith%2BDisabilities%2522&amp;docid=304245&amp;pageIndex=0&amp;doclang=LV&amp;mode=req&amp;dir=&amp;occ=first&amp;part=1&amp;cid=12643426" TargetMode="External"/><Relationship Id="rId7" Type="http://schemas.openxmlformats.org/officeDocument/2006/relationships/endnotes" Target="endnotes.xml"/><Relationship Id="rId12" Type="http://schemas.openxmlformats.org/officeDocument/2006/relationships/hyperlink" Target="https://gateway.elieta.lv/api/v1/PublicMaterialDownload/7f899383-42cd-4eb0-a3a3-34e17314b76a" TargetMode="External"/><Relationship Id="rId17" Type="http://schemas.openxmlformats.org/officeDocument/2006/relationships/hyperlink" Target="https://curia.europa.eu/juris/document/document.jsf?text=&amp;docid=262937&amp;pageIndex=0&amp;doclang=LV&amp;mode=lst&amp;dir=&amp;occ=first&amp;part=1&amp;cid=127707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nolemumi/pdf/544413.pdf" TargetMode="External"/><Relationship Id="rId20" Type="http://schemas.openxmlformats.org/officeDocument/2006/relationships/hyperlink" Target="https://curia.europa.eu/juris/document/document.jsf?text=&amp;docid=124999&amp;pageIndex=0&amp;doclang=LV&amp;mode=lst&amp;dir=&amp;occ=first&amp;part=1&amp;cid=12651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52de9bd1-e4f5-4880-b9b8-fdb6fb7a2d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ateway.elieta.lv/api/v1/PublicMaterialDownload/734f3810-e818-45dc-b2a9-06dc01d9b5e2" TargetMode="External"/><Relationship Id="rId23" Type="http://schemas.openxmlformats.org/officeDocument/2006/relationships/hyperlink" Target="https://gateway.elieta.lv/api/v1/PublicMaterialDownload/b14e8e5f-6a92-444d-84ff-1c2682b90bc3" TargetMode="External"/><Relationship Id="rId10" Type="http://schemas.openxmlformats.org/officeDocument/2006/relationships/hyperlink" Target="https://gateway.elieta.lv/api/v1/PublicMaterialDownload/734f3810-e818-45dc-b2a9-06dc01d9b5e2" TargetMode="External"/><Relationship Id="rId19" Type="http://schemas.openxmlformats.org/officeDocument/2006/relationships/hyperlink" Target="https://curia.europa.eu/juris/showPdf.jsf?text=&amp;docid=98685&amp;pageIndex=0&amp;doclang=EN&amp;mode=lst&amp;dir=&amp;occ=first&amp;part=1&amp;cid=12647247" TargetMode="External"/><Relationship Id="rId4" Type="http://schemas.openxmlformats.org/officeDocument/2006/relationships/settings" Target="settings.xml"/><Relationship Id="rId9" Type="http://schemas.openxmlformats.org/officeDocument/2006/relationships/hyperlink" Target="https://gateway.elieta.lv/api/v1/PublicMaterialDownload/2cc1511a-b1a8-47cb-b411-968f249b175d" TargetMode="External"/><Relationship Id="rId14" Type="http://schemas.openxmlformats.org/officeDocument/2006/relationships/hyperlink" Target="https://gateway.elieta.lv/api/v1/PublicMaterialDownload/734f3810-e818-45dc-b2a9-06dc01d9b5e2" TargetMode="External"/><Relationship Id="rId22" Type="http://schemas.openxmlformats.org/officeDocument/2006/relationships/hyperlink" Target="https://curia.europa.eu/juris/document/document.jsf?text=%2522Convention%2Bon%2Bthe%2BRights%2Bof%2BPersons%2Bwith%2BDisabilities%2522&amp;docid=280433&amp;pageIndex=0&amp;doclang=LV&amp;mode=req&amp;dir=&amp;occ=first&amp;part=1&amp;cid=12653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097F-1BBA-469E-8BDF-1A2971FD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17019</Words>
  <Characters>9701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2026-02-20T07:03:00Z</dcterms:created>
  <dcterms:modified xsi:type="dcterms:W3CDTF">2026-02-20T07:20:00Z</dcterms:modified>
</cp:coreProperties>
</file>