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C9FE" w14:textId="77777777" w:rsidR="009871C6" w:rsidRPr="009871C6" w:rsidRDefault="009871C6" w:rsidP="009871C6">
      <w:pPr>
        <w:spacing w:line="276" w:lineRule="auto"/>
        <w:jc w:val="both"/>
        <w:rPr>
          <w:b/>
          <w:bCs/>
          <w:lang w:eastAsia="lv-LV"/>
          <w14:ligatures w14:val="standardContextual"/>
        </w:rPr>
      </w:pPr>
      <w:r w:rsidRPr="009871C6">
        <w:rPr>
          <w:b/>
          <w:bCs/>
          <w14:ligatures w14:val="standardContextual"/>
        </w:rPr>
        <w:t>Jēdziena „pētniecības un zināšanu izplatīšanas organizācija” tvērums un pētniecība kā pamatdarbība</w:t>
      </w:r>
    </w:p>
    <w:p w14:paraId="7BA8C11A" w14:textId="77777777" w:rsidR="009871C6" w:rsidRPr="009871C6" w:rsidRDefault="009871C6" w:rsidP="009871C6">
      <w:pPr>
        <w:spacing w:line="276" w:lineRule="auto"/>
        <w:jc w:val="both"/>
        <w:rPr>
          <w14:ligatures w14:val="standardContextual"/>
        </w:rPr>
      </w:pPr>
      <w:r w:rsidRPr="009871C6">
        <w:rPr>
          <w14:ligatures w14:val="standardContextual"/>
        </w:rPr>
        <w:t>Lai projekta iesniedzējs varētu pretendēt uz finansējuma saņemšanu kā pētniecības un zināšanu izplatīšanas organizācija, jāizpildās šādiem kumulatīviem kritērijiem: 1) tam ir jābūt reģistrētam zinātnisko institūciju reģistrā; 2) tam ir jāveic ar saimniecisko darbību nesaistītas pamatdarbības (neatkarīga pētniecība vai pētniecības rezultātu izplatīšana); 3) tam ir jāatbilst pētniecības organizācijas definīcijai Eiropas Komisijas 2014.gada 17.jūnija Regulas (ES) Nr. 651/2014, ar ko noteiktas atbalsta kategorijas atzīst par saderīgām ar iekšējo tirgu, piemērojot Līguma 107. un 108.pantu, 2.panta 83.punkta izpratnē.</w:t>
      </w:r>
    </w:p>
    <w:p w14:paraId="14050C9E" w14:textId="1F3E3F12" w:rsidR="009871C6" w:rsidRPr="009871C6" w:rsidRDefault="009871C6" w:rsidP="009871C6">
      <w:pPr>
        <w:spacing w:line="276" w:lineRule="auto"/>
        <w:jc w:val="both"/>
        <w:rPr>
          <w14:ligatures w14:val="standardContextual"/>
        </w:rPr>
      </w:pPr>
      <w:r w:rsidRPr="009871C6">
        <w:rPr>
          <w14:ligatures w14:val="standardContextual"/>
        </w:rPr>
        <w:t>Pētniecības un zināšanu izplatīšanas organizācija var veikt arī citas darbības, tostarp izglītības pakalpojumu sniegšanu par maksu, taču šīm darbībām ir jābūt sekundārām un pakārtotām pētniecībai. Lai noteiktu, vai organizācijas galvenais mērķis ir pētniecība, ir jāvērtē visi apstākļi, kuriem varētu būt nozīme minētā noteikšanā kopsakarā, tostarp institūcijas statūtos noteiktie mērķi, faktiski īstenotā pētniecības darbība un tās rezultātu izplatīšana, kā arī ieņēmumu struktūra.</w:t>
      </w:r>
      <w:r w:rsidRPr="009871C6">
        <w:rPr>
          <w14:ligatures w14:val="standardContextual"/>
        </w:rPr>
        <w:t xml:space="preserve"> </w:t>
      </w:r>
      <w:r w:rsidRPr="009871C6">
        <w:rPr>
          <w14:ligatures w14:val="standardContextual"/>
        </w:rPr>
        <w:t>Ieņēmumu struktūra pati par sevi nevar būt izšķirošs kritērijs pētniecības organizācijas statusa noteikšanā, tomēr tā tāpat var būt būtisks novērtējuma elements.</w:t>
      </w:r>
    </w:p>
    <w:p w14:paraId="073DEDF0" w14:textId="603C002F" w:rsidR="008D30F1" w:rsidRPr="00E71F04" w:rsidRDefault="008D30F1" w:rsidP="009871C6">
      <w:pPr>
        <w:spacing w:line="276" w:lineRule="auto"/>
        <w:rPr>
          <w:lang w:eastAsia="lv-LV"/>
        </w:rPr>
      </w:pPr>
    </w:p>
    <w:p w14:paraId="645338F4" w14:textId="108E17C6" w:rsidR="00447EE6" w:rsidRPr="00F47D19" w:rsidRDefault="00447EE6" w:rsidP="009871C6">
      <w:pPr>
        <w:spacing w:line="276" w:lineRule="auto"/>
        <w:jc w:val="center"/>
        <w:rPr>
          <w:b/>
          <w:bCs/>
        </w:rPr>
      </w:pPr>
      <w:r w:rsidRPr="00F47D19">
        <w:rPr>
          <w:b/>
          <w:bCs/>
        </w:rPr>
        <w:t>Latvijas Republikas Senāt</w:t>
      </w:r>
      <w:r w:rsidR="009871C6">
        <w:rPr>
          <w:b/>
          <w:bCs/>
        </w:rPr>
        <w:t>a</w:t>
      </w:r>
      <w:r w:rsidR="009871C6">
        <w:rPr>
          <w:b/>
          <w:bCs/>
        </w:rPr>
        <w:br/>
        <w:t>Administratīvo lietu departamenta</w:t>
      </w:r>
      <w:r w:rsidR="009871C6">
        <w:rPr>
          <w:b/>
          <w:bCs/>
        </w:rPr>
        <w:br/>
        <w:t>2025.gada 23.decembra</w:t>
      </w:r>
    </w:p>
    <w:p w14:paraId="67BCDFC6" w14:textId="05CD971A" w:rsidR="00447EE6" w:rsidRDefault="00793346" w:rsidP="009871C6">
      <w:pPr>
        <w:spacing w:line="276" w:lineRule="auto"/>
        <w:jc w:val="center"/>
        <w:rPr>
          <w:b/>
          <w:bCs/>
        </w:rPr>
      </w:pPr>
      <w:r w:rsidRPr="00F47D19">
        <w:rPr>
          <w:b/>
          <w:bCs/>
        </w:rPr>
        <w:t>SPRIEDUMS</w:t>
      </w:r>
    </w:p>
    <w:p w14:paraId="7D5E6227" w14:textId="3CB18615" w:rsidR="009871C6" w:rsidRPr="009871C6" w:rsidRDefault="009871C6" w:rsidP="009871C6">
      <w:pPr>
        <w:spacing w:line="276" w:lineRule="auto"/>
        <w:jc w:val="center"/>
        <w:rPr>
          <w:b/>
          <w:bCs/>
          <w:lang w:eastAsia="lv-LV"/>
        </w:rPr>
      </w:pPr>
      <w:r w:rsidRPr="009871C6">
        <w:rPr>
          <w:b/>
          <w:bCs/>
          <w:lang w:eastAsia="lv-LV"/>
        </w:rPr>
        <w:t>Lieta Nr.</w:t>
      </w:r>
      <w:r w:rsidRPr="009871C6">
        <w:rPr>
          <w:b/>
          <w:bCs/>
        </w:rPr>
        <w:t> </w:t>
      </w:r>
      <w:r w:rsidRPr="009871C6">
        <w:rPr>
          <w:b/>
          <w:bCs/>
          <w:lang w:eastAsia="lv-LV"/>
        </w:rPr>
        <w:t>A420280619, SKA</w:t>
      </w:r>
      <w:r w:rsidRPr="009871C6">
        <w:rPr>
          <w:b/>
          <w:bCs/>
          <w:lang w:eastAsia="lv-LV"/>
        </w:rPr>
        <w:noBreakHyphen/>
        <w:t>91/2025</w:t>
      </w:r>
    </w:p>
    <w:p w14:paraId="04B863C0" w14:textId="1B4E4AE3" w:rsidR="009871C6" w:rsidRPr="009871C6" w:rsidRDefault="009871C6" w:rsidP="009871C6">
      <w:pPr>
        <w:spacing w:line="276" w:lineRule="auto"/>
        <w:jc w:val="center"/>
        <w:rPr>
          <w:b/>
          <w:bCs/>
        </w:rPr>
      </w:pPr>
      <w:r>
        <w:t xml:space="preserve"> </w:t>
      </w:r>
      <w:hyperlink r:id="rId8" w:history="1">
        <w:r w:rsidRPr="009871C6">
          <w:rPr>
            <w:rStyle w:val="Hyperlink"/>
          </w:rPr>
          <w:t>ECLI:LV:AT:2025:1223.A420280619.17.S</w:t>
        </w:r>
      </w:hyperlink>
    </w:p>
    <w:p w14:paraId="4AF555FC" w14:textId="77777777" w:rsidR="00793346" w:rsidRPr="00E71F04" w:rsidRDefault="00793346" w:rsidP="009871C6">
      <w:pPr>
        <w:spacing w:line="276" w:lineRule="auto"/>
        <w:jc w:val="both"/>
      </w:pPr>
    </w:p>
    <w:p w14:paraId="66FF52C5" w14:textId="04FD00ED" w:rsidR="00793346" w:rsidRPr="00424DA9" w:rsidRDefault="00447EE6" w:rsidP="009871C6">
      <w:pPr>
        <w:spacing w:line="276" w:lineRule="auto"/>
        <w:ind w:firstLine="720"/>
        <w:jc w:val="both"/>
      </w:pPr>
      <w:r w:rsidRPr="00E71F04">
        <w:t>Senāts šādā sastāvā:</w:t>
      </w:r>
      <w:r w:rsidR="00793346" w:rsidRPr="00E71F04">
        <w:t xml:space="preserve"> senator</w:t>
      </w:r>
      <w:r w:rsidR="00FF0AAC" w:rsidRPr="00E71F04">
        <w:t>s</w:t>
      </w:r>
      <w:r w:rsidR="00793346" w:rsidRPr="00E71F04">
        <w:t xml:space="preserve"> referent</w:t>
      </w:r>
      <w:r w:rsidR="00FF0AAC" w:rsidRPr="00E71F04">
        <w:t>s</w:t>
      </w:r>
      <w:r w:rsidR="00793346" w:rsidRPr="00E71F04">
        <w:t xml:space="preserve"> </w:t>
      </w:r>
      <w:r w:rsidR="00FF0AAC" w:rsidRPr="00E71F04">
        <w:t>Ermīns Darapoļskis</w:t>
      </w:r>
      <w:r w:rsidR="00793346" w:rsidRPr="00E71F04">
        <w:t>, senatore</w:t>
      </w:r>
      <w:r w:rsidR="00FF0AAC" w:rsidRPr="00E71F04">
        <w:t xml:space="preserve">s </w:t>
      </w:r>
      <w:r w:rsidR="00A82406" w:rsidRPr="00424DA9">
        <w:t>Indra Meldere</w:t>
      </w:r>
      <w:r w:rsidR="00FF0AAC" w:rsidRPr="00424DA9">
        <w:t xml:space="preserve"> un </w:t>
      </w:r>
      <w:r w:rsidR="00A82406" w:rsidRPr="00424DA9">
        <w:t>Rudīte Vīduš</w:t>
      </w:r>
      <w:r w:rsidR="00424DA9">
        <w:t>a</w:t>
      </w:r>
    </w:p>
    <w:p w14:paraId="12EEC9B3" w14:textId="66ABBC6F" w:rsidR="00447EE6" w:rsidRPr="00E71F04" w:rsidRDefault="00447EE6" w:rsidP="009871C6">
      <w:pPr>
        <w:spacing w:line="276" w:lineRule="auto"/>
        <w:ind w:firstLine="720"/>
        <w:jc w:val="both"/>
        <w:rPr>
          <w:lang w:eastAsia="lv-LV"/>
        </w:rPr>
      </w:pPr>
    </w:p>
    <w:p w14:paraId="224AF355" w14:textId="5E6963F3" w:rsidR="000B3B71" w:rsidRPr="00E71F04" w:rsidRDefault="00793346" w:rsidP="009871C6">
      <w:pPr>
        <w:spacing w:line="276" w:lineRule="auto"/>
        <w:ind w:firstLine="720"/>
        <w:jc w:val="both"/>
      </w:pPr>
      <w:r w:rsidRPr="00E71F04">
        <w:t xml:space="preserve">rakstveida procesā izskatīja administratīvo lietu, kas ierosināta, pamatojoties uz </w:t>
      </w:r>
      <w:r w:rsidR="00A90301">
        <w:t>sabiedrības ar ierobežotu atbildību</w:t>
      </w:r>
      <w:r w:rsidR="003D7325">
        <w:t xml:space="preserve"> </w:t>
      </w:r>
      <w:r w:rsidR="00523DFE" w:rsidRPr="00523DFE">
        <w:t>„</w:t>
      </w:r>
      <w:r w:rsidR="00A90301" w:rsidRPr="00523DFE">
        <w:t>STOCKHOLM SCHOOL OF ECONOMICS IN RIGA</w:t>
      </w:r>
      <w:r w:rsidR="00523DFE" w:rsidRPr="00523DFE">
        <w:t>” pieteikumu par Latvijas Zinātnes</w:t>
      </w:r>
      <w:r w:rsidR="00523DFE">
        <w:t xml:space="preserve"> </w:t>
      </w:r>
      <w:r w:rsidR="00523DFE" w:rsidRPr="00523DFE">
        <w:t>padomes 2019.gada 19.septembra lēmuma Nr.</w:t>
      </w:r>
      <w:r w:rsidR="00523DFE">
        <w:t> </w:t>
      </w:r>
      <w:r w:rsidR="00523DFE" w:rsidRPr="00523DFE">
        <w:t>58-2-7 atzīšanu par prettiesisku un</w:t>
      </w:r>
      <w:r w:rsidR="00523DFE">
        <w:t xml:space="preserve"> </w:t>
      </w:r>
      <w:r w:rsidR="00523DFE" w:rsidRPr="00523DFE">
        <w:t>zaudējum</w:t>
      </w:r>
      <w:r w:rsidR="00F32DAC">
        <w:t>u</w:t>
      </w:r>
      <w:r w:rsidR="00523DFE" w:rsidRPr="00523DFE">
        <w:t xml:space="preserve"> 300</w:t>
      </w:r>
      <w:r w:rsidR="00523DFE">
        <w:t> </w:t>
      </w:r>
      <w:r w:rsidR="00523DFE" w:rsidRPr="00523DFE">
        <w:t>000</w:t>
      </w:r>
      <w:r w:rsidR="00523DFE">
        <w:t> </w:t>
      </w:r>
      <w:r w:rsidR="00523DFE" w:rsidRPr="00523DFE">
        <w:rPr>
          <w:i/>
          <w:iCs/>
        </w:rPr>
        <w:t xml:space="preserve">euro </w:t>
      </w:r>
      <w:r w:rsidR="00523DFE" w:rsidRPr="00523DFE">
        <w:t>atlīdzināšanu</w:t>
      </w:r>
      <w:r w:rsidRPr="00E71F04">
        <w:t xml:space="preserve">, sakarā ar </w:t>
      </w:r>
      <w:r w:rsidR="003D7325">
        <w:t xml:space="preserve">sabiedrības ar ierobežotu atbildību </w:t>
      </w:r>
      <w:r w:rsidR="003D7325" w:rsidRPr="00523DFE">
        <w:t>„STOCKHOLM SCHOOL OF ECONOMICS IN RIGA”</w:t>
      </w:r>
      <w:r w:rsidR="00523DFE">
        <w:t xml:space="preserve"> </w:t>
      </w:r>
      <w:r w:rsidRPr="00E71F04">
        <w:t xml:space="preserve">kasācijas sūdzību par Administratīvās </w:t>
      </w:r>
      <w:r w:rsidR="008963DF">
        <w:t>apgabal</w:t>
      </w:r>
      <w:r w:rsidRPr="00E71F04">
        <w:t>tiesas 202</w:t>
      </w:r>
      <w:r w:rsidR="001E50DB" w:rsidRPr="00E71F04">
        <w:t>3</w:t>
      </w:r>
      <w:r w:rsidRPr="00E71F04">
        <w:t xml:space="preserve">.gada </w:t>
      </w:r>
      <w:r w:rsidR="00523DFE">
        <w:t>19.jūnija</w:t>
      </w:r>
      <w:r w:rsidRPr="00E71F04">
        <w:t xml:space="preserve"> spriedumu.</w:t>
      </w:r>
    </w:p>
    <w:p w14:paraId="772D74D3" w14:textId="77777777" w:rsidR="009E5F77" w:rsidRPr="00E71F04" w:rsidRDefault="009E5F77" w:rsidP="009871C6">
      <w:pPr>
        <w:spacing w:line="276" w:lineRule="auto"/>
        <w:ind w:firstLine="720"/>
        <w:jc w:val="both"/>
      </w:pPr>
    </w:p>
    <w:p w14:paraId="0AD60069" w14:textId="77777777" w:rsidR="008F79A9" w:rsidRPr="00F47D19" w:rsidRDefault="008F79A9" w:rsidP="009871C6">
      <w:pPr>
        <w:spacing w:line="276" w:lineRule="auto"/>
        <w:jc w:val="center"/>
        <w:rPr>
          <w:b/>
          <w:bCs/>
          <w:shd w:val="clear" w:color="auto" w:fill="FFFFFF"/>
        </w:rPr>
      </w:pPr>
      <w:r w:rsidRPr="00F47D19">
        <w:rPr>
          <w:b/>
          <w:bCs/>
          <w:shd w:val="clear" w:color="auto" w:fill="FFFFFF"/>
        </w:rPr>
        <w:t>Aprakstošā</w:t>
      </w:r>
      <w:r w:rsidRPr="00F47D19">
        <w:rPr>
          <w:b/>
          <w:bCs/>
          <w:noProof/>
        </w:rPr>
        <w:t xml:space="preserve"> </w:t>
      </w:r>
      <w:r w:rsidRPr="00F47D19">
        <w:rPr>
          <w:b/>
          <w:bCs/>
          <w:shd w:val="clear" w:color="auto" w:fill="FFFFFF"/>
        </w:rPr>
        <w:t>daļa</w:t>
      </w:r>
    </w:p>
    <w:p w14:paraId="30471F53" w14:textId="77777777" w:rsidR="009E5F77" w:rsidRPr="00E71F04" w:rsidRDefault="009E5F77" w:rsidP="009871C6">
      <w:pPr>
        <w:spacing w:line="276" w:lineRule="auto"/>
        <w:jc w:val="center"/>
        <w:rPr>
          <w:noProof/>
        </w:rPr>
      </w:pPr>
    </w:p>
    <w:p w14:paraId="50A9DC9D" w14:textId="1B646A77" w:rsidR="00B03DA1" w:rsidRDefault="00447EE6" w:rsidP="009871C6">
      <w:pPr>
        <w:spacing w:line="276" w:lineRule="auto"/>
        <w:ind w:firstLine="709"/>
        <w:jc w:val="both"/>
      </w:pPr>
      <w:r w:rsidRPr="00E71F04">
        <w:rPr>
          <w:shd w:val="clear" w:color="auto" w:fill="FFFFFF"/>
        </w:rPr>
        <w:t>[</w:t>
      </w:r>
      <w:r w:rsidRPr="00445925">
        <w:rPr>
          <w:shd w:val="clear" w:color="auto" w:fill="FFFFFF"/>
        </w:rPr>
        <w:t>1]</w:t>
      </w:r>
      <w:r w:rsidR="00523DFE">
        <w:t> </w:t>
      </w:r>
      <w:r w:rsidR="00523DFE" w:rsidRPr="00523DFE">
        <w:t>Latvijas Zinātnes padome (turpmāk – padome) izsludināja 2019.gada</w:t>
      </w:r>
      <w:r w:rsidR="00523DFE">
        <w:t xml:space="preserve"> </w:t>
      </w:r>
      <w:r w:rsidR="00523DFE" w:rsidRPr="00523DFE">
        <w:t>fundamentālo un lietišķo pētījumu projektu konkursu</w:t>
      </w:r>
      <w:r w:rsidR="00B03DA1">
        <w:t>, kurā p</w:t>
      </w:r>
      <w:r w:rsidR="00037A32" w:rsidRPr="00445925">
        <w:t>ieteicēja</w:t>
      </w:r>
      <w:r w:rsidR="00DD4A24">
        <w:t xml:space="preserve"> –</w:t>
      </w:r>
      <w:r w:rsidR="00037A32" w:rsidRPr="00445925">
        <w:t xml:space="preserve"> </w:t>
      </w:r>
      <w:r w:rsidR="00A90301">
        <w:t>sabiedrība ar ierobežotu atbildību </w:t>
      </w:r>
      <w:r w:rsidR="00A90301" w:rsidRPr="00523DFE">
        <w:t>„STOCKHOLM SCHOOL OF ECONOMICS IN RIGA”</w:t>
      </w:r>
      <w:r w:rsidR="00DD4A24">
        <w:t xml:space="preserve"> –</w:t>
      </w:r>
      <w:r w:rsidR="00A90301">
        <w:t xml:space="preserve"> </w:t>
      </w:r>
      <w:r w:rsidR="00B03DA1" w:rsidRPr="00B8040F">
        <w:rPr>
          <w:rFonts w:asciiTheme="majorBidi" w:hAnsiTheme="majorBidi" w:cstheme="majorBidi"/>
        </w:rPr>
        <w:t>iesniedza projekta iesniegumu.</w:t>
      </w:r>
    </w:p>
    <w:p w14:paraId="50C9814E" w14:textId="24EC0C60" w:rsidR="00B03DA1" w:rsidRDefault="00B03DA1" w:rsidP="009871C6">
      <w:pPr>
        <w:spacing w:line="276" w:lineRule="auto"/>
        <w:ind w:firstLine="709"/>
        <w:jc w:val="both"/>
      </w:pPr>
      <w:r w:rsidRPr="00B03DA1">
        <w:rPr>
          <w:rFonts w:asciiTheme="majorBidi" w:hAnsiTheme="majorBidi" w:cstheme="majorBidi"/>
        </w:rPr>
        <w:t>Ar padomes</w:t>
      </w:r>
      <w:r>
        <w:rPr>
          <w:rFonts w:asciiTheme="majorBidi" w:hAnsiTheme="majorBidi" w:cstheme="majorBidi"/>
        </w:rPr>
        <w:t xml:space="preserve"> </w:t>
      </w:r>
      <w:r w:rsidRPr="00523DFE">
        <w:t>2019.gada 19.septembra lēmum</w:t>
      </w:r>
      <w:r>
        <w:t>u</w:t>
      </w:r>
      <w:r w:rsidRPr="00523DFE">
        <w:t xml:space="preserve"> </w:t>
      </w:r>
      <w:r>
        <w:rPr>
          <w:rFonts w:asciiTheme="majorBidi" w:hAnsiTheme="majorBidi" w:cstheme="majorBidi"/>
        </w:rPr>
        <w:t>(turpmāk – pārsūdzētais lēmums)</w:t>
      </w:r>
      <w:r w:rsidRPr="00B03DA1">
        <w:rPr>
          <w:rFonts w:asciiTheme="majorBidi" w:hAnsiTheme="majorBidi" w:cstheme="majorBidi"/>
        </w:rPr>
        <w:t xml:space="preserve"> projekta iesniegums noraidīts kā neatbilstošs Ministru kabineta 2017.gada 12.decembra noteikumu Nr. 725</w:t>
      </w:r>
      <w:r>
        <w:rPr>
          <w:rFonts w:asciiTheme="majorBidi" w:hAnsiTheme="majorBidi" w:cstheme="majorBidi"/>
        </w:rPr>
        <w:t> </w:t>
      </w:r>
      <w:r w:rsidRPr="00B03DA1">
        <w:rPr>
          <w:rFonts w:asciiTheme="majorBidi" w:hAnsiTheme="majorBidi" w:cstheme="majorBidi"/>
        </w:rPr>
        <w:t xml:space="preserve">„Fundamentālo un lietišķo pētījumu projektu izvērtēšanas un </w:t>
      </w:r>
      <w:r w:rsidRPr="00B03DA1">
        <w:rPr>
          <w:rFonts w:asciiTheme="majorBidi" w:hAnsiTheme="majorBidi" w:cstheme="majorBidi"/>
        </w:rPr>
        <w:lastRenderedPageBreak/>
        <w:t>finansējuma administrēšanas kārtība”</w:t>
      </w:r>
      <w:r>
        <w:rPr>
          <w:rFonts w:asciiTheme="majorBidi" w:hAnsiTheme="majorBidi" w:cstheme="majorBidi"/>
        </w:rPr>
        <w:t xml:space="preserve"> (turpmāk – Ministru kabineta noteikumi Nr. 725)</w:t>
      </w:r>
      <w:r w:rsidRPr="00B03DA1">
        <w:rPr>
          <w:rFonts w:asciiTheme="majorBidi" w:hAnsiTheme="majorBidi" w:cstheme="majorBidi"/>
        </w:rPr>
        <w:t xml:space="preserve"> 12.5.apakšpunktā ietvertajam administratīvās atbilstības kritērijam, kas paredz projekta īstenošanu šo noteikumu prasībām atbilstošā zinātniskajā institūcijā.</w:t>
      </w:r>
    </w:p>
    <w:p w14:paraId="0A292CCC" w14:textId="77777777" w:rsidR="00B03DA1" w:rsidRDefault="00B03DA1" w:rsidP="009871C6">
      <w:pPr>
        <w:spacing w:line="276" w:lineRule="auto"/>
        <w:ind w:firstLine="709"/>
        <w:jc w:val="both"/>
      </w:pPr>
    </w:p>
    <w:p w14:paraId="5604480C" w14:textId="22F77979" w:rsidR="00B03DA1" w:rsidRPr="00B03DA1" w:rsidRDefault="00B03DA1" w:rsidP="009871C6">
      <w:pPr>
        <w:spacing w:line="276" w:lineRule="auto"/>
        <w:ind w:firstLine="709"/>
        <w:jc w:val="both"/>
      </w:pPr>
      <w:r>
        <w:t>[2] </w:t>
      </w:r>
      <w:r w:rsidR="008963DF" w:rsidRPr="00B03DA1">
        <w:t xml:space="preserve">Pieteicēja vērsās tiesā ar pieteikumu par </w:t>
      </w:r>
      <w:r w:rsidRPr="00B03DA1">
        <w:rPr>
          <w:rFonts w:asciiTheme="majorBidi" w:hAnsiTheme="majorBidi" w:cstheme="majorBidi"/>
        </w:rPr>
        <w:t>pārsūdzēt</w:t>
      </w:r>
      <w:r w:rsidR="0050702A">
        <w:rPr>
          <w:rFonts w:asciiTheme="majorBidi" w:hAnsiTheme="majorBidi" w:cstheme="majorBidi"/>
        </w:rPr>
        <w:t>ā</w:t>
      </w:r>
      <w:r w:rsidRPr="00B03DA1">
        <w:rPr>
          <w:rFonts w:asciiTheme="majorBidi" w:hAnsiTheme="majorBidi" w:cstheme="majorBidi"/>
        </w:rPr>
        <w:t xml:space="preserve"> lēmum</w:t>
      </w:r>
      <w:r w:rsidR="0050702A">
        <w:rPr>
          <w:rFonts w:asciiTheme="majorBidi" w:hAnsiTheme="majorBidi" w:cstheme="majorBidi"/>
        </w:rPr>
        <w:t>a</w:t>
      </w:r>
      <w:r w:rsidRPr="00B03DA1">
        <w:rPr>
          <w:rFonts w:asciiTheme="majorBidi" w:hAnsiTheme="majorBidi" w:cstheme="majorBidi"/>
        </w:rPr>
        <w:t xml:space="preserve"> atzī</w:t>
      </w:r>
      <w:r w:rsidR="0050702A">
        <w:rPr>
          <w:rFonts w:asciiTheme="majorBidi" w:hAnsiTheme="majorBidi" w:cstheme="majorBidi"/>
        </w:rPr>
        <w:t>šanu</w:t>
      </w:r>
      <w:r w:rsidRPr="00B03DA1">
        <w:rPr>
          <w:rFonts w:asciiTheme="majorBidi" w:hAnsiTheme="majorBidi" w:cstheme="majorBidi"/>
        </w:rPr>
        <w:t xml:space="preserve"> par prettiesisku, kā arī zaudējumu </w:t>
      </w:r>
      <w:r w:rsidR="0050702A">
        <w:rPr>
          <w:rFonts w:asciiTheme="majorBidi" w:hAnsiTheme="majorBidi" w:cstheme="majorBidi"/>
        </w:rPr>
        <w:t>atlīdzināšanu.</w:t>
      </w:r>
    </w:p>
    <w:p w14:paraId="5C2F5571" w14:textId="77777777" w:rsidR="00523DFE" w:rsidRPr="00E71F04" w:rsidRDefault="00523DFE" w:rsidP="009871C6">
      <w:pPr>
        <w:spacing w:line="276" w:lineRule="auto"/>
        <w:jc w:val="both"/>
      </w:pPr>
    </w:p>
    <w:p w14:paraId="699B9FB9" w14:textId="3E33D757" w:rsidR="00793346" w:rsidRPr="00E71F04" w:rsidRDefault="00793346" w:rsidP="009871C6">
      <w:pPr>
        <w:spacing w:line="276" w:lineRule="auto"/>
        <w:ind w:firstLine="709"/>
        <w:jc w:val="both"/>
      </w:pPr>
      <w:r w:rsidRPr="00E71F04">
        <w:t>[</w:t>
      </w:r>
      <w:r w:rsidR="00B03DA1">
        <w:t>3</w:t>
      </w:r>
      <w:r w:rsidRPr="00E71F04">
        <w:t xml:space="preserve">] Administratīvā </w:t>
      </w:r>
      <w:r w:rsidR="008963DF">
        <w:t>apgabal</w:t>
      </w:r>
      <w:r w:rsidR="00E50433" w:rsidRPr="00E71F04">
        <w:t>t</w:t>
      </w:r>
      <w:r w:rsidRPr="00E71F04">
        <w:t xml:space="preserve">iesa ar </w:t>
      </w:r>
      <w:r w:rsidR="00F7667E" w:rsidRPr="00E71F04">
        <w:t>202</w:t>
      </w:r>
      <w:r w:rsidR="00E50433" w:rsidRPr="00E71F04">
        <w:t>3</w:t>
      </w:r>
      <w:r w:rsidR="00F7667E" w:rsidRPr="00E71F04">
        <w:t xml:space="preserve">.gada </w:t>
      </w:r>
      <w:r w:rsidR="00523DFE">
        <w:t>19.jūnija</w:t>
      </w:r>
      <w:r w:rsidRPr="00E71F04">
        <w:t xml:space="preserve"> spriedumu pieteikumu noraidīja.</w:t>
      </w:r>
      <w:r w:rsidR="008963DF">
        <w:t xml:space="preserve"> </w:t>
      </w:r>
      <w:r w:rsidR="00505D15" w:rsidRPr="00E71F04">
        <w:t>Sprieduma pamatojums ir turpmāk minētie apsvērumi.</w:t>
      </w:r>
    </w:p>
    <w:p w14:paraId="6DCDE572" w14:textId="46163E1F" w:rsidR="0050702A" w:rsidRPr="009E1503" w:rsidRDefault="00793346" w:rsidP="009871C6">
      <w:pPr>
        <w:spacing w:line="276" w:lineRule="auto"/>
        <w:ind w:firstLine="709"/>
        <w:jc w:val="both"/>
      </w:pPr>
      <w:r w:rsidRPr="00E71F04">
        <w:t>[</w:t>
      </w:r>
      <w:r w:rsidR="00B03DA1">
        <w:t>3</w:t>
      </w:r>
      <w:r w:rsidRPr="00E71F04">
        <w:t>.1</w:t>
      </w:r>
      <w:r w:rsidR="0050702A">
        <w:t>]</w:t>
      </w:r>
      <w:r w:rsidR="009E1503">
        <w:t> Atbilstoši normatīvajam regulējumam, l</w:t>
      </w:r>
      <w:r w:rsidR="0050702A">
        <w:t xml:space="preserve">ai pretendētu uz finansējumu, projekta iesniedzēja darbībai ar saimniecisko darbību nesaistītās jomās ir jābūt prioritārai jeb ar vislielāko īpatsvaru. </w:t>
      </w:r>
      <w:r w:rsidR="0050702A" w:rsidRPr="00B8040F">
        <w:rPr>
          <w:rFonts w:asciiTheme="majorBidi" w:hAnsiTheme="majorBidi" w:cstheme="majorBidi"/>
        </w:rPr>
        <w:t>Lietā ir strīds</w:t>
      </w:r>
      <w:r w:rsidR="00717FC0">
        <w:rPr>
          <w:rFonts w:asciiTheme="majorBidi" w:hAnsiTheme="majorBidi" w:cstheme="majorBidi"/>
        </w:rPr>
        <w:t xml:space="preserve"> </w:t>
      </w:r>
      <w:r w:rsidR="0050702A">
        <w:rPr>
          <w:rFonts w:asciiTheme="majorBidi" w:hAnsiTheme="majorBidi" w:cstheme="majorBidi"/>
        </w:rPr>
        <w:t xml:space="preserve">par to, </w:t>
      </w:r>
      <w:r w:rsidR="0050702A" w:rsidRPr="00B8040F">
        <w:rPr>
          <w:rFonts w:asciiTheme="majorBidi" w:hAnsiTheme="majorBidi" w:cstheme="majorBidi"/>
        </w:rPr>
        <w:t xml:space="preserve">vai pieteicēja ir uzskatāma par pētniecības organizāciju, kas </w:t>
      </w:r>
      <w:r w:rsidR="0050702A">
        <w:rPr>
          <w:rFonts w:asciiTheme="majorBidi" w:hAnsiTheme="majorBidi" w:cstheme="majorBidi"/>
        </w:rPr>
        <w:t xml:space="preserve">galvenokārt </w:t>
      </w:r>
      <w:r w:rsidR="0050702A" w:rsidRPr="00B8040F">
        <w:rPr>
          <w:rFonts w:asciiTheme="majorBidi" w:hAnsiTheme="majorBidi" w:cstheme="majorBidi"/>
        </w:rPr>
        <w:t>veic ar saimniecisko darbību nesaistītas pamatdarbības.</w:t>
      </w:r>
    </w:p>
    <w:p w14:paraId="0466EFBF" w14:textId="2527D654" w:rsidR="004554E1" w:rsidRDefault="0050702A" w:rsidP="009871C6">
      <w:pPr>
        <w:spacing w:line="276" w:lineRule="auto"/>
        <w:ind w:firstLine="709"/>
        <w:jc w:val="both"/>
        <w:rPr>
          <w:rFonts w:asciiTheme="majorBidi" w:hAnsiTheme="majorBidi" w:cstheme="majorBidi"/>
        </w:rPr>
      </w:pPr>
      <w:r>
        <w:rPr>
          <w:rFonts w:asciiTheme="majorBidi" w:hAnsiTheme="majorBidi" w:cstheme="majorBidi"/>
        </w:rPr>
        <w:t>[3.2] </w:t>
      </w:r>
      <w:r w:rsidR="00E32997">
        <w:rPr>
          <w:rFonts w:asciiTheme="majorBidi" w:hAnsiTheme="majorBidi" w:cstheme="majorBidi"/>
        </w:rPr>
        <w:t>T</w:t>
      </w:r>
      <w:r w:rsidR="009E1503">
        <w:rPr>
          <w:rFonts w:asciiTheme="majorBidi" w:hAnsiTheme="majorBidi" w:cstheme="majorBidi"/>
        </w:rPr>
        <w:t>iesa</w:t>
      </w:r>
      <w:r w:rsidR="004554E1">
        <w:rPr>
          <w:rFonts w:asciiTheme="majorBidi" w:hAnsiTheme="majorBidi" w:cstheme="majorBidi"/>
        </w:rPr>
        <w:t xml:space="preserve"> vērsās </w:t>
      </w:r>
      <w:r w:rsidR="00376D25">
        <w:rPr>
          <w:rFonts w:asciiTheme="majorBidi" w:hAnsiTheme="majorBidi" w:cstheme="majorBidi"/>
        </w:rPr>
        <w:t>Eiropas Savienības Tiesā</w:t>
      </w:r>
      <w:r w:rsidR="004554E1">
        <w:rPr>
          <w:rFonts w:asciiTheme="majorBidi" w:hAnsiTheme="majorBidi" w:cstheme="majorBidi"/>
        </w:rPr>
        <w:t xml:space="preserve"> ar prejudiciālu jautājumu, </w:t>
      </w:r>
      <w:r w:rsidR="004554E1" w:rsidRPr="004554E1">
        <w:rPr>
          <w:rFonts w:asciiTheme="majorBidi" w:hAnsiTheme="majorBidi" w:cstheme="majorBidi"/>
        </w:rPr>
        <w:t xml:space="preserve">kā interpretēt </w:t>
      </w:r>
      <w:r w:rsidR="00FD6231">
        <w:rPr>
          <w:rFonts w:asciiTheme="majorBidi" w:hAnsiTheme="majorBidi" w:cstheme="majorBidi"/>
        </w:rPr>
        <w:t>Eiropas K</w:t>
      </w:r>
      <w:r w:rsidR="00376D25" w:rsidRPr="00376D25">
        <w:rPr>
          <w:rFonts w:asciiTheme="majorBidi" w:hAnsiTheme="majorBidi" w:cstheme="majorBidi"/>
        </w:rPr>
        <w:t>omisijas 2014.gada 17.jūnija Regulas (ES)</w:t>
      </w:r>
      <w:r w:rsidR="00376D25">
        <w:rPr>
          <w:rFonts w:asciiTheme="majorBidi" w:hAnsiTheme="majorBidi" w:cstheme="majorBidi"/>
        </w:rPr>
        <w:t xml:space="preserve"> </w:t>
      </w:r>
      <w:r w:rsidR="00376D25" w:rsidRPr="00376D25">
        <w:rPr>
          <w:rFonts w:asciiTheme="majorBidi" w:hAnsiTheme="majorBidi" w:cstheme="majorBidi"/>
        </w:rPr>
        <w:t>Nr.</w:t>
      </w:r>
      <w:r w:rsidR="00376D25">
        <w:rPr>
          <w:rFonts w:asciiTheme="majorBidi" w:hAnsiTheme="majorBidi" w:cstheme="majorBidi"/>
        </w:rPr>
        <w:t> </w:t>
      </w:r>
      <w:r w:rsidR="00376D25" w:rsidRPr="00376D25">
        <w:rPr>
          <w:rFonts w:asciiTheme="majorBidi" w:hAnsiTheme="majorBidi" w:cstheme="majorBidi"/>
        </w:rPr>
        <w:t>651/2014, ar ko noteiktas atbalsta kategorijas atzīst par saderīgām ar iekšējo tirgu,</w:t>
      </w:r>
      <w:r w:rsidR="00376D25">
        <w:rPr>
          <w:rFonts w:asciiTheme="majorBidi" w:hAnsiTheme="majorBidi" w:cstheme="majorBidi"/>
        </w:rPr>
        <w:t xml:space="preserve"> </w:t>
      </w:r>
      <w:r w:rsidR="00376D25" w:rsidRPr="00376D25">
        <w:rPr>
          <w:rFonts w:asciiTheme="majorBidi" w:hAnsiTheme="majorBidi" w:cstheme="majorBidi"/>
        </w:rPr>
        <w:t xml:space="preserve">piemērojot Līguma 107. un 108.pantu (turpmāk – </w:t>
      </w:r>
      <w:r w:rsidR="00376D25">
        <w:rPr>
          <w:rFonts w:asciiTheme="majorBidi" w:hAnsiTheme="majorBidi" w:cstheme="majorBidi"/>
        </w:rPr>
        <w:t>R</w:t>
      </w:r>
      <w:r w:rsidR="00376D25" w:rsidRPr="00376D25">
        <w:rPr>
          <w:rFonts w:asciiTheme="majorBidi" w:hAnsiTheme="majorBidi" w:cstheme="majorBidi"/>
        </w:rPr>
        <w:t>egula Nr.</w:t>
      </w:r>
      <w:r w:rsidR="00376D25">
        <w:rPr>
          <w:rFonts w:asciiTheme="majorBidi" w:hAnsiTheme="majorBidi" w:cstheme="majorBidi"/>
        </w:rPr>
        <w:t> </w:t>
      </w:r>
      <w:r w:rsidR="00376D25" w:rsidRPr="00376D25">
        <w:rPr>
          <w:rFonts w:asciiTheme="majorBidi" w:hAnsiTheme="majorBidi" w:cstheme="majorBidi"/>
        </w:rPr>
        <w:t>651/2014), 2.panta</w:t>
      </w:r>
      <w:r w:rsidR="00376D25">
        <w:rPr>
          <w:rFonts w:asciiTheme="majorBidi" w:hAnsiTheme="majorBidi" w:cstheme="majorBidi"/>
        </w:rPr>
        <w:t xml:space="preserve"> </w:t>
      </w:r>
      <w:r w:rsidR="00376D25" w:rsidRPr="00376D25">
        <w:rPr>
          <w:rFonts w:asciiTheme="majorBidi" w:hAnsiTheme="majorBidi" w:cstheme="majorBidi"/>
        </w:rPr>
        <w:t>83.punktā</w:t>
      </w:r>
      <w:r w:rsidR="004554E1" w:rsidRPr="004554E1">
        <w:rPr>
          <w:rFonts w:asciiTheme="majorBidi" w:hAnsiTheme="majorBidi" w:cstheme="majorBidi"/>
        </w:rPr>
        <w:t xml:space="preserve"> definēto jēdzienu </w:t>
      </w:r>
      <w:r w:rsidR="00717FC0">
        <w:rPr>
          <w:rFonts w:asciiTheme="majorBidi" w:hAnsiTheme="majorBidi" w:cstheme="majorBidi"/>
        </w:rPr>
        <w:t>„</w:t>
      </w:r>
      <w:r w:rsidR="004554E1" w:rsidRPr="004554E1">
        <w:rPr>
          <w:rFonts w:asciiTheme="majorBidi" w:hAnsiTheme="majorBidi" w:cstheme="majorBidi"/>
        </w:rPr>
        <w:t>pētniecības un zināšanu izplatīšanas organizācija”</w:t>
      </w:r>
      <w:r w:rsidR="00E9097E">
        <w:rPr>
          <w:rFonts w:asciiTheme="majorBidi" w:hAnsiTheme="majorBidi" w:cstheme="majorBidi"/>
        </w:rPr>
        <w:t>.</w:t>
      </w:r>
    </w:p>
    <w:p w14:paraId="7F8B00E7" w14:textId="6AD060E2" w:rsidR="00DD4A24" w:rsidRDefault="0050702A" w:rsidP="009871C6">
      <w:pPr>
        <w:spacing w:line="276" w:lineRule="auto"/>
        <w:ind w:firstLine="709"/>
        <w:jc w:val="both"/>
        <w:rPr>
          <w:rFonts w:asciiTheme="majorBidi" w:hAnsiTheme="majorBidi" w:cstheme="majorBidi"/>
        </w:rPr>
      </w:pPr>
      <w:r w:rsidRPr="00B8040F">
        <w:rPr>
          <w:rFonts w:asciiTheme="majorBidi" w:hAnsiTheme="majorBidi" w:cstheme="majorBidi"/>
        </w:rPr>
        <w:t>Eiropas Savienības Tiesa</w:t>
      </w:r>
      <w:r>
        <w:rPr>
          <w:rFonts w:asciiTheme="majorBidi" w:hAnsiTheme="majorBidi" w:cstheme="majorBidi"/>
        </w:rPr>
        <w:t xml:space="preserve"> </w:t>
      </w:r>
      <w:r w:rsidRPr="00B8040F">
        <w:rPr>
          <w:rFonts w:asciiTheme="majorBidi" w:hAnsiTheme="majorBidi" w:cstheme="majorBidi"/>
        </w:rPr>
        <w:t>2022.gada 13.oktobra spriedumā apvienot</w:t>
      </w:r>
      <w:r>
        <w:rPr>
          <w:rFonts w:asciiTheme="majorBidi" w:hAnsiTheme="majorBidi" w:cstheme="majorBidi"/>
        </w:rPr>
        <w:t>aj</w:t>
      </w:r>
      <w:r w:rsidRPr="00B8040F">
        <w:rPr>
          <w:rFonts w:asciiTheme="majorBidi" w:hAnsiTheme="majorBidi" w:cstheme="majorBidi"/>
        </w:rPr>
        <w:t>ā</w:t>
      </w:r>
      <w:r w:rsidR="0038382E">
        <w:rPr>
          <w:rFonts w:asciiTheme="majorBidi" w:hAnsiTheme="majorBidi" w:cstheme="majorBidi"/>
        </w:rPr>
        <w:t>s</w:t>
      </w:r>
      <w:r w:rsidRPr="00B8040F">
        <w:rPr>
          <w:rFonts w:asciiTheme="majorBidi" w:hAnsiTheme="majorBidi" w:cstheme="majorBidi"/>
        </w:rPr>
        <w:t xml:space="preserve"> lietā</w:t>
      </w:r>
      <w:r w:rsidR="0038382E">
        <w:rPr>
          <w:rFonts w:asciiTheme="majorBidi" w:hAnsiTheme="majorBidi" w:cstheme="majorBidi"/>
        </w:rPr>
        <w:t>s</w:t>
      </w:r>
      <w:r w:rsidRPr="00B8040F">
        <w:rPr>
          <w:rFonts w:asciiTheme="majorBidi" w:hAnsiTheme="majorBidi" w:cstheme="majorBidi"/>
        </w:rPr>
        <w:t xml:space="preserve"> </w:t>
      </w:r>
      <w:r w:rsidR="009445E3">
        <w:rPr>
          <w:rFonts w:asciiTheme="majorBidi" w:hAnsiTheme="majorBidi" w:cstheme="majorBidi"/>
        </w:rPr>
        <w:br/>
      </w:r>
      <w:r w:rsidRPr="00B8040F">
        <w:rPr>
          <w:rFonts w:asciiTheme="majorBidi" w:hAnsiTheme="majorBidi" w:cstheme="majorBidi"/>
        </w:rPr>
        <w:t>C-164/21 un C-318/21</w:t>
      </w:r>
      <w:r w:rsidR="00376D25">
        <w:rPr>
          <w:rFonts w:asciiTheme="majorBidi" w:hAnsiTheme="majorBidi" w:cstheme="majorBidi"/>
        </w:rPr>
        <w:t xml:space="preserve">, </w:t>
      </w:r>
      <w:hyperlink r:id="rId9" w:history="1">
        <w:r w:rsidR="00376D25" w:rsidRPr="00376D25">
          <w:rPr>
            <w:rStyle w:val="Hyperlink"/>
            <w:rFonts w:asciiTheme="majorBidi" w:hAnsiTheme="majorBidi" w:cstheme="majorBidi"/>
          </w:rPr>
          <w:t>ECLI:EU:C:2022:785</w:t>
        </w:r>
      </w:hyperlink>
      <w:r w:rsidR="00376D25">
        <w:rPr>
          <w:rFonts w:asciiTheme="majorBidi" w:hAnsiTheme="majorBidi" w:cstheme="majorBidi"/>
        </w:rPr>
        <w:t>,</w:t>
      </w:r>
      <w:r w:rsidRPr="00B8040F">
        <w:rPr>
          <w:rFonts w:asciiTheme="majorBidi" w:hAnsiTheme="majorBidi" w:cstheme="majorBidi"/>
        </w:rPr>
        <w:t xml:space="preserve"> atzina, </w:t>
      </w:r>
      <w:r w:rsidR="00A90301" w:rsidRPr="00B8040F">
        <w:rPr>
          <w:rFonts w:asciiTheme="majorBidi" w:hAnsiTheme="majorBidi" w:cstheme="majorBidi"/>
        </w:rPr>
        <w:t>ka centrālais kritērijs, lai subjektu kvalificētu par pētniecības un zināšanu izplatīšanas organizāciju, ir tā galvenais mērķis.</w:t>
      </w:r>
      <w:r w:rsidR="00A90301">
        <w:rPr>
          <w:rFonts w:asciiTheme="majorBidi" w:hAnsiTheme="majorBidi" w:cstheme="majorBidi"/>
        </w:rPr>
        <w:t xml:space="preserve"> </w:t>
      </w:r>
      <w:r w:rsidR="00A90301" w:rsidRPr="00B8040F">
        <w:rPr>
          <w:rFonts w:asciiTheme="majorBidi" w:hAnsiTheme="majorBidi" w:cstheme="majorBidi"/>
        </w:rPr>
        <w:t>Lai novērtētu subjekta galveno mērķi, saskaņā ar šo tiesību normu ir atļauts ņemt vērā visus nozīmīgos kritērijus, kā, piemēram, atbilstošo tiesisko regulējumu vai attiecīgā subjekta statūtus.</w:t>
      </w:r>
      <w:r w:rsidR="00376D25">
        <w:rPr>
          <w:rFonts w:asciiTheme="majorBidi" w:hAnsiTheme="majorBidi" w:cstheme="majorBidi"/>
        </w:rPr>
        <w:t xml:space="preserve"> </w:t>
      </w:r>
      <w:r w:rsidR="00376D25" w:rsidRPr="00376D25">
        <w:rPr>
          <w:rFonts w:asciiTheme="majorBidi" w:hAnsiTheme="majorBidi" w:cstheme="majorBidi"/>
        </w:rPr>
        <w:t xml:space="preserve">Šajā ziņā no </w:t>
      </w:r>
      <w:r w:rsidR="00DD4A24">
        <w:rPr>
          <w:rFonts w:asciiTheme="majorBidi" w:hAnsiTheme="majorBidi" w:cstheme="majorBidi"/>
        </w:rPr>
        <w:t>s</w:t>
      </w:r>
      <w:r w:rsidR="00376D25" w:rsidRPr="00376D25">
        <w:rPr>
          <w:rFonts w:asciiTheme="majorBidi" w:hAnsiTheme="majorBidi" w:cstheme="majorBidi"/>
        </w:rPr>
        <w:t>ubjekta</w:t>
      </w:r>
      <w:r w:rsidR="00376D25">
        <w:rPr>
          <w:rFonts w:asciiTheme="majorBidi" w:hAnsiTheme="majorBidi" w:cstheme="majorBidi"/>
        </w:rPr>
        <w:t xml:space="preserve"> </w:t>
      </w:r>
      <w:r w:rsidR="00376D25" w:rsidRPr="00376D25">
        <w:rPr>
          <w:rFonts w:asciiTheme="majorBidi" w:hAnsiTheme="majorBidi" w:cstheme="majorBidi"/>
        </w:rPr>
        <w:t>nevar prasīt, lai tas konkrētu proporciju no saviem ieņēmumiem gūtu no pētniecības</w:t>
      </w:r>
      <w:r w:rsidR="00376D25">
        <w:rPr>
          <w:rFonts w:asciiTheme="majorBidi" w:hAnsiTheme="majorBidi" w:cstheme="majorBidi"/>
        </w:rPr>
        <w:t xml:space="preserve"> </w:t>
      </w:r>
      <w:r w:rsidR="00376D25" w:rsidRPr="00376D25">
        <w:rPr>
          <w:rFonts w:asciiTheme="majorBidi" w:hAnsiTheme="majorBidi" w:cstheme="majorBidi"/>
        </w:rPr>
        <w:t>un zināšanu izplatīšanas darbībām, kurām nav saimnieciska rakstura.</w:t>
      </w:r>
      <w:r w:rsidR="00717FC0">
        <w:rPr>
          <w:rFonts w:asciiTheme="majorBidi" w:hAnsiTheme="majorBidi" w:cstheme="majorBidi"/>
        </w:rPr>
        <w:t xml:space="preserve"> </w:t>
      </w:r>
      <w:r w:rsidR="00376D25" w:rsidRPr="00376D25">
        <w:rPr>
          <w:rFonts w:asciiTheme="majorBidi" w:hAnsiTheme="majorBidi" w:cstheme="majorBidi"/>
        </w:rPr>
        <w:t xml:space="preserve">Tāpat </w:t>
      </w:r>
      <w:r w:rsidR="00DD4A24" w:rsidRPr="00B8040F">
        <w:rPr>
          <w:rFonts w:asciiTheme="majorBidi" w:hAnsiTheme="majorBidi" w:cstheme="majorBidi"/>
        </w:rPr>
        <w:t>Eiropas Savienības Tiesa</w:t>
      </w:r>
      <w:r w:rsidR="00DD4A24">
        <w:rPr>
          <w:rFonts w:asciiTheme="majorBidi" w:hAnsiTheme="majorBidi" w:cstheme="majorBidi"/>
        </w:rPr>
        <w:t xml:space="preserve"> atzina:</w:t>
      </w:r>
      <w:r w:rsidR="00376D25" w:rsidRPr="00376D25">
        <w:rPr>
          <w:rFonts w:asciiTheme="majorBidi" w:hAnsiTheme="majorBidi" w:cstheme="majorBidi"/>
        </w:rPr>
        <w:t xml:space="preserve"> lai subjektu varētu uzskatīt par pētniecības un zināšanu</w:t>
      </w:r>
      <w:r w:rsidR="00376D25">
        <w:rPr>
          <w:rFonts w:asciiTheme="majorBidi" w:hAnsiTheme="majorBidi" w:cstheme="majorBidi"/>
        </w:rPr>
        <w:t xml:space="preserve"> </w:t>
      </w:r>
      <w:r w:rsidR="00376D25" w:rsidRPr="00376D25">
        <w:rPr>
          <w:rFonts w:asciiTheme="majorBidi" w:hAnsiTheme="majorBidi" w:cstheme="majorBidi"/>
        </w:rPr>
        <w:t xml:space="preserve">izplatīšanas organizāciju </w:t>
      </w:r>
      <w:r w:rsidR="00DD4A24">
        <w:rPr>
          <w:rFonts w:asciiTheme="majorBidi" w:hAnsiTheme="majorBidi" w:cstheme="majorBidi"/>
        </w:rPr>
        <w:t>R</w:t>
      </w:r>
      <w:r w:rsidR="00DD4A24" w:rsidRPr="00376D25">
        <w:rPr>
          <w:rFonts w:asciiTheme="majorBidi" w:hAnsiTheme="majorBidi" w:cstheme="majorBidi"/>
        </w:rPr>
        <w:t>egulas Nr.</w:t>
      </w:r>
      <w:r w:rsidR="00FC0B50">
        <w:rPr>
          <w:rFonts w:asciiTheme="majorBidi" w:hAnsiTheme="majorBidi" w:cstheme="majorBidi"/>
        </w:rPr>
        <w:t> </w:t>
      </w:r>
      <w:r w:rsidR="00DD4A24" w:rsidRPr="00376D25">
        <w:rPr>
          <w:rFonts w:asciiTheme="majorBidi" w:hAnsiTheme="majorBidi" w:cstheme="majorBidi"/>
        </w:rPr>
        <w:t>651/2014 2.panta 83.punkt</w:t>
      </w:r>
      <w:r w:rsidR="00DD4A24">
        <w:rPr>
          <w:rFonts w:asciiTheme="majorBidi" w:hAnsiTheme="majorBidi" w:cstheme="majorBidi"/>
        </w:rPr>
        <w:t xml:space="preserve">a </w:t>
      </w:r>
      <w:r w:rsidR="00376D25" w:rsidRPr="00376D25">
        <w:rPr>
          <w:rFonts w:asciiTheme="majorBidi" w:hAnsiTheme="majorBidi" w:cstheme="majorBidi"/>
        </w:rPr>
        <w:t xml:space="preserve">izpratnē, nav nepieciešams, lai </w:t>
      </w:r>
      <w:r w:rsidR="00DD4A24">
        <w:rPr>
          <w:rFonts w:asciiTheme="majorBidi" w:hAnsiTheme="majorBidi" w:cstheme="majorBidi"/>
        </w:rPr>
        <w:t>tas</w:t>
      </w:r>
      <w:r w:rsidR="00376D25" w:rsidRPr="00376D25">
        <w:rPr>
          <w:rFonts w:asciiTheme="majorBidi" w:hAnsiTheme="majorBidi" w:cstheme="majorBidi"/>
        </w:rPr>
        <w:t xml:space="preserve"> savā pamatdarbībā reinvestētu ieņēmumus no šīs pašas darbības.</w:t>
      </w:r>
      <w:bookmarkStart w:id="0" w:name="_Hlk202267927"/>
    </w:p>
    <w:p w14:paraId="38B868B9" w14:textId="7DCA96E2" w:rsidR="004B0BBA" w:rsidRDefault="00E32997" w:rsidP="009871C6">
      <w:pPr>
        <w:spacing w:line="276" w:lineRule="auto"/>
        <w:ind w:firstLine="709"/>
        <w:jc w:val="both"/>
        <w:rPr>
          <w:rFonts w:asciiTheme="majorBidi" w:hAnsiTheme="majorBidi" w:cstheme="majorBidi"/>
        </w:rPr>
      </w:pPr>
      <w:r>
        <w:rPr>
          <w:rFonts w:asciiTheme="majorBidi" w:hAnsiTheme="majorBidi" w:cstheme="majorBidi"/>
        </w:rPr>
        <w:t>T</w:t>
      </w:r>
      <w:r w:rsidR="0050702A" w:rsidRPr="00B8040F">
        <w:rPr>
          <w:rFonts w:asciiTheme="majorBidi" w:hAnsiTheme="majorBidi" w:cstheme="majorBidi"/>
        </w:rPr>
        <w:t>iesa konstatēja, ka no pieteicējas darbību reglamentējošiem dokumentiem nav acīmredzami izsecināms tās darbības galvenais mērķis. Arī atbilstoši pieteicējas grāmatvedības politikā definētajam pieteicējai ir divas pamatdarbības: gan izglītības pakalpojum</w:t>
      </w:r>
      <w:r w:rsidR="000A1A25">
        <w:rPr>
          <w:rFonts w:asciiTheme="majorBidi" w:hAnsiTheme="majorBidi" w:cstheme="majorBidi"/>
        </w:rPr>
        <w:t>u sniegšana</w:t>
      </w:r>
      <w:r w:rsidR="0050702A" w:rsidRPr="00B8040F">
        <w:rPr>
          <w:rFonts w:asciiTheme="majorBidi" w:hAnsiTheme="majorBidi" w:cstheme="majorBidi"/>
        </w:rPr>
        <w:t xml:space="preserve">, gan pētījumu veikšana. </w:t>
      </w:r>
      <w:r w:rsidR="0050702A" w:rsidRPr="0050702A">
        <w:rPr>
          <w:rFonts w:asciiTheme="majorBidi" w:hAnsiTheme="majorBidi" w:cstheme="majorBidi"/>
        </w:rPr>
        <w:t>Tomēr tas, ka pieteicējas saimnieciskās darbības ieņēmumi dominē pār darbībām, kurām nav saimnieciska rakstura, tiesas ieskatā, liecina, ka pieteicējas pamatdarbība un galvenais mērķis ir tieši saimnieciskā darbība – izglītības pakalpojumu sniegšana.</w:t>
      </w:r>
      <w:r w:rsidR="0050702A" w:rsidRPr="00B8040F">
        <w:rPr>
          <w:rFonts w:asciiTheme="majorBidi" w:hAnsiTheme="majorBidi" w:cstheme="majorBidi"/>
        </w:rPr>
        <w:t xml:space="preserve"> Proti, no </w:t>
      </w:r>
      <w:r w:rsidR="00DF0B4B">
        <w:rPr>
          <w:rFonts w:asciiTheme="majorBidi" w:hAnsiTheme="majorBidi" w:cstheme="majorBidi"/>
        </w:rPr>
        <w:t>visu lietā konstatēto</w:t>
      </w:r>
      <w:r w:rsidR="0050702A" w:rsidRPr="00B8040F">
        <w:rPr>
          <w:rFonts w:asciiTheme="majorBidi" w:hAnsiTheme="majorBidi" w:cstheme="majorBidi"/>
        </w:rPr>
        <w:t xml:space="preserve"> apstākļu</w:t>
      </w:r>
      <w:r w:rsidR="00DF0B4B">
        <w:rPr>
          <w:rFonts w:asciiTheme="majorBidi" w:hAnsiTheme="majorBidi" w:cstheme="majorBidi"/>
        </w:rPr>
        <w:t xml:space="preserve"> </w:t>
      </w:r>
      <w:r w:rsidR="0050702A" w:rsidRPr="00B8040F">
        <w:rPr>
          <w:rFonts w:asciiTheme="majorBidi" w:hAnsiTheme="majorBidi" w:cstheme="majorBidi"/>
        </w:rPr>
        <w:t>kopuma</w:t>
      </w:r>
      <w:r w:rsidR="004B0BBA">
        <w:rPr>
          <w:rFonts w:asciiTheme="majorBidi" w:hAnsiTheme="majorBidi" w:cstheme="majorBidi"/>
        </w:rPr>
        <w:t xml:space="preserve"> izriet, ka </w:t>
      </w:r>
      <w:r w:rsidR="004B0BBA" w:rsidRPr="00B8040F">
        <w:rPr>
          <w:rFonts w:asciiTheme="majorBidi" w:hAnsiTheme="majorBidi" w:cstheme="majorBidi"/>
        </w:rPr>
        <w:t>pieteicējas galvenais mērķis ir augstākās izglītības sniegšana jeb izglītošanas darbības par maksu</w:t>
      </w:r>
      <w:r w:rsidR="004B0BBA">
        <w:rPr>
          <w:rFonts w:asciiTheme="majorBidi" w:hAnsiTheme="majorBidi" w:cstheme="majorBidi"/>
        </w:rPr>
        <w:t>.</w:t>
      </w:r>
      <w:r w:rsidR="004B0BBA" w:rsidRPr="00B8040F">
        <w:rPr>
          <w:rFonts w:asciiTheme="majorBidi" w:hAnsiTheme="majorBidi" w:cstheme="majorBidi"/>
        </w:rPr>
        <w:t xml:space="preserve"> </w:t>
      </w:r>
      <w:r w:rsidR="0050702A" w:rsidRPr="00B8040F">
        <w:rPr>
          <w:rFonts w:asciiTheme="majorBidi" w:hAnsiTheme="majorBidi" w:cstheme="majorBidi"/>
        </w:rPr>
        <w:t>Lai gan šī procesa ietvaros tiek veiktas arī citas darbības, tostarp pētniecības un zināšanu izplatīšanas darbības, turklāt zinātniski pētnieciskā darbība var tikt uzlūkota arī kā daļa no izglītošanas procesa, tomēr nav pamata uzskatīt, ka neatkarīgu pētījumu veikšana ir pieteicējas galvenais mērķis.</w:t>
      </w:r>
      <w:bookmarkEnd w:id="0"/>
    </w:p>
    <w:p w14:paraId="55A09CD6" w14:textId="7F94BC21" w:rsidR="00523DFE" w:rsidRPr="0050702A" w:rsidRDefault="0050702A" w:rsidP="009871C6">
      <w:pPr>
        <w:spacing w:line="276" w:lineRule="auto"/>
        <w:ind w:firstLine="709"/>
        <w:jc w:val="both"/>
        <w:rPr>
          <w:rFonts w:asciiTheme="majorBidi" w:hAnsiTheme="majorBidi" w:cstheme="majorBidi"/>
        </w:rPr>
      </w:pPr>
      <w:r>
        <w:rPr>
          <w:rFonts w:asciiTheme="majorBidi" w:hAnsiTheme="majorBidi" w:cstheme="majorBidi"/>
        </w:rPr>
        <w:t>[3.</w:t>
      </w:r>
      <w:r w:rsidR="00DD4A24">
        <w:rPr>
          <w:rFonts w:asciiTheme="majorBidi" w:hAnsiTheme="majorBidi" w:cstheme="majorBidi"/>
        </w:rPr>
        <w:t>3</w:t>
      </w:r>
      <w:r>
        <w:rPr>
          <w:rFonts w:asciiTheme="majorBidi" w:hAnsiTheme="majorBidi" w:cstheme="majorBidi"/>
        </w:rPr>
        <w:t>] </w:t>
      </w:r>
      <w:r w:rsidR="00E9097E">
        <w:rPr>
          <w:rFonts w:asciiTheme="majorBidi" w:hAnsiTheme="majorBidi" w:cstheme="majorBidi"/>
        </w:rPr>
        <w:t>P</w:t>
      </w:r>
      <w:r w:rsidR="004B0BBA" w:rsidRPr="004B0BBA">
        <w:rPr>
          <w:rFonts w:asciiTheme="majorBidi" w:hAnsiTheme="majorBidi" w:cstheme="majorBidi"/>
        </w:rPr>
        <w:t>ārsūdzētais lēmums nav atzī</w:t>
      </w:r>
      <w:r w:rsidR="004B0BBA">
        <w:rPr>
          <w:rFonts w:asciiTheme="majorBidi" w:hAnsiTheme="majorBidi" w:cstheme="majorBidi"/>
        </w:rPr>
        <w:t xml:space="preserve">stams </w:t>
      </w:r>
      <w:r w:rsidR="004B0BBA" w:rsidRPr="004B0BBA">
        <w:rPr>
          <w:rFonts w:asciiTheme="majorBidi" w:hAnsiTheme="majorBidi" w:cstheme="majorBidi"/>
        </w:rPr>
        <w:t>par prettiesisku</w:t>
      </w:r>
      <w:r w:rsidR="004B0BBA">
        <w:rPr>
          <w:rFonts w:asciiTheme="majorBidi" w:hAnsiTheme="majorBidi" w:cstheme="majorBidi"/>
        </w:rPr>
        <w:t xml:space="preserve">, </w:t>
      </w:r>
      <w:r w:rsidR="004B0BBA" w:rsidRPr="004B0BBA">
        <w:rPr>
          <w:rFonts w:asciiTheme="majorBidi" w:hAnsiTheme="majorBidi" w:cstheme="majorBidi"/>
        </w:rPr>
        <w:t xml:space="preserve">tātad nav konstatējams zaudējuma atlīdzinājuma pamats. </w:t>
      </w:r>
      <w:r w:rsidR="004B0BBA">
        <w:t>Savukārt p</w:t>
      </w:r>
      <w:r>
        <w:t>rasījums par juridiskās palīdzības iz</w:t>
      </w:r>
      <w:r w:rsidR="00E32997">
        <w:t>devumu</w:t>
      </w:r>
      <w:r>
        <w:t xml:space="preserve"> atlīdzināšanu nebija izvirzīts pirmās instances tiesā, līdz ar to šāda prasījuma izskatīšanai apelācijas instances tiesā nav pamata.</w:t>
      </w:r>
    </w:p>
    <w:p w14:paraId="5BC490F3" w14:textId="77777777" w:rsidR="00523DFE" w:rsidRDefault="00523DFE" w:rsidP="009871C6">
      <w:pPr>
        <w:spacing w:line="276" w:lineRule="auto"/>
        <w:ind w:firstLine="709"/>
        <w:jc w:val="both"/>
      </w:pPr>
    </w:p>
    <w:p w14:paraId="72220537" w14:textId="22658F04" w:rsidR="00A37205" w:rsidRPr="003E6147" w:rsidRDefault="00793346" w:rsidP="009871C6">
      <w:pPr>
        <w:spacing w:line="276" w:lineRule="auto"/>
        <w:ind w:firstLine="709"/>
        <w:jc w:val="both"/>
      </w:pPr>
      <w:r w:rsidRPr="00E71F04">
        <w:t>[</w:t>
      </w:r>
      <w:r w:rsidR="00B03DA1">
        <w:t>4</w:t>
      </w:r>
      <w:r w:rsidRPr="00E71F04">
        <w:t>] Pieteicēj</w:t>
      </w:r>
      <w:r w:rsidR="00E50433" w:rsidRPr="00E71F04">
        <w:t>a</w:t>
      </w:r>
      <w:r w:rsidRPr="00E71F04">
        <w:t xml:space="preserve"> par tiesas spriedumu iesniedza kasācijas sūdzību</w:t>
      </w:r>
      <w:r w:rsidR="00D30F0D" w:rsidRPr="00E71F04">
        <w:t>, kur</w:t>
      </w:r>
      <w:r w:rsidR="003E6147">
        <w:t>ā norāda, ka t</w:t>
      </w:r>
      <w:r w:rsidR="006F3B72">
        <w:rPr>
          <w:rFonts w:asciiTheme="majorBidi" w:hAnsiTheme="majorBidi" w:cstheme="majorBidi"/>
        </w:rPr>
        <w:t xml:space="preserve">iesa </w:t>
      </w:r>
      <w:r w:rsidR="006F3B72" w:rsidRPr="00B8040F">
        <w:rPr>
          <w:rFonts w:asciiTheme="majorBidi" w:hAnsiTheme="majorBidi" w:cstheme="majorBidi"/>
        </w:rPr>
        <w:t xml:space="preserve">nav ņēmusi vērā Eiropas Savienības Tiesas spriedumā sniegto Regulas Nr. 651/2014 2.panta 83.punkta interpretāciju, </w:t>
      </w:r>
      <w:r w:rsidR="006052B8">
        <w:rPr>
          <w:rFonts w:asciiTheme="majorBidi" w:hAnsiTheme="majorBidi" w:cstheme="majorBidi"/>
        </w:rPr>
        <w:t>kā rezultātā kļūdaini interpret</w:t>
      </w:r>
      <w:r w:rsidR="003E6147">
        <w:rPr>
          <w:rFonts w:asciiTheme="majorBidi" w:hAnsiTheme="majorBidi" w:cstheme="majorBidi"/>
        </w:rPr>
        <w:t xml:space="preserve">ējusi </w:t>
      </w:r>
      <w:r w:rsidR="006F3B72" w:rsidRPr="00B8040F">
        <w:rPr>
          <w:rFonts w:asciiTheme="majorBidi" w:hAnsiTheme="majorBidi" w:cstheme="majorBidi"/>
        </w:rPr>
        <w:t>Ministru kabineta noteikumu Nr. 725 2.7.</w:t>
      </w:r>
      <w:r w:rsidR="00886CB3">
        <w:rPr>
          <w:rFonts w:asciiTheme="majorBidi" w:hAnsiTheme="majorBidi" w:cstheme="majorBidi"/>
        </w:rPr>
        <w:t>apakš</w:t>
      </w:r>
      <w:r w:rsidR="006F3B72" w:rsidRPr="00B8040F">
        <w:rPr>
          <w:rFonts w:asciiTheme="majorBidi" w:hAnsiTheme="majorBidi" w:cstheme="majorBidi"/>
        </w:rPr>
        <w:t>punk</w:t>
      </w:r>
      <w:r w:rsidR="004B0BBA">
        <w:rPr>
          <w:rFonts w:asciiTheme="majorBidi" w:hAnsiTheme="majorBidi" w:cstheme="majorBidi"/>
        </w:rPr>
        <w:t>t</w:t>
      </w:r>
      <w:r w:rsidR="003E6147">
        <w:rPr>
          <w:rFonts w:asciiTheme="majorBidi" w:hAnsiTheme="majorBidi" w:cstheme="majorBidi"/>
        </w:rPr>
        <w:t>u</w:t>
      </w:r>
      <w:r w:rsidR="006052B8">
        <w:rPr>
          <w:rFonts w:asciiTheme="majorBidi" w:hAnsiTheme="majorBidi" w:cstheme="majorBidi"/>
        </w:rPr>
        <w:t>.</w:t>
      </w:r>
      <w:r w:rsidR="003E6147">
        <w:t xml:space="preserve"> </w:t>
      </w:r>
      <w:r w:rsidR="003E6147">
        <w:rPr>
          <w:rFonts w:asciiTheme="majorBidi" w:hAnsiTheme="majorBidi" w:cstheme="majorBidi"/>
        </w:rPr>
        <w:t>Minēto pieteicēja pamato ar to, ka t</w:t>
      </w:r>
      <w:r w:rsidR="006052B8" w:rsidRPr="006052B8">
        <w:rPr>
          <w:rFonts w:asciiTheme="majorBidi" w:hAnsiTheme="majorBidi" w:cstheme="majorBidi"/>
        </w:rPr>
        <w:t>iesa galveno pieteicējas darbības mērķi noteica, balstoties tikai uz ieņēmumu proporciju</w:t>
      </w:r>
      <w:r w:rsidR="006052B8">
        <w:rPr>
          <w:rFonts w:asciiTheme="majorBidi" w:hAnsiTheme="majorBidi" w:cstheme="majorBidi"/>
        </w:rPr>
        <w:t xml:space="preserve"> </w:t>
      </w:r>
      <w:r w:rsidR="006052B8" w:rsidRPr="006052B8">
        <w:rPr>
          <w:rFonts w:asciiTheme="majorBidi" w:hAnsiTheme="majorBidi" w:cstheme="majorBidi"/>
        </w:rPr>
        <w:t>starp pieteicējas saimniecisko darbību un ar saimniecisko darbību nesaistītu darbību,</w:t>
      </w:r>
      <w:r w:rsidR="00E9097E">
        <w:rPr>
          <w:rFonts w:asciiTheme="majorBidi" w:hAnsiTheme="majorBidi" w:cstheme="majorBidi"/>
        </w:rPr>
        <w:t xml:space="preserve"> pienācīgi</w:t>
      </w:r>
      <w:r w:rsidR="006052B8" w:rsidRPr="006052B8">
        <w:rPr>
          <w:rFonts w:asciiTheme="majorBidi" w:hAnsiTheme="majorBidi" w:cstheme="majorBidi"/>
        </w:rPr>
        <w:t xml:space="preserve"> neanalizējot statūtos noteiktos mērķus</w:t>
      </w:r>
      <w:r w:rsidR="00026744">
        <w:rPr>
          <w:rFonts w:asciiTheme="majorBidi" w:hAnsiTheme="majorBidi" w:cstheme="majorBidi"/>
        </w:rPr>
        <w:t xml:space="preserve"> un citus iesniegtos</w:t>
      </w:r>
      <w:r w:rsidR="006052B8" w:rsidRPr="006052B8">
        <w:rPr>
          <w:rFonts w:asciiTheme="majorBidi" w:hAnsiTheme="majorBidi" w:cstheme="majorBidi"/>
        </w:rPr>
        <w:t xml:space="preserve"> pierādījumus par </w:t>
      </w:r>
      <w:r w:rsidR="00717FC0">
        <w:rPr>
          <w:rFonts w:asciiTheme="majorBidi" w:hAnsiTheme="majorBidi" w:cstheme="majorBidi"/>
        </w:rPr>
        <w:t xml:space="preserve">pieteicējas veikto </w:t>
      </w:r>
      <w:r w:rsidR="006052B8" w:rsidRPr="006052B8">
        <w:rPr>
          <w:rFonts w:asciiTheme="majorBidi" w:hAnsiTheme="majorBidi" w:cstheme="majorBidi"/>
        </w:rPr>
        <w:t xml:space="preserve">zinātnisko darbību. </w:t>
      </w:r>
      <w:r w:rsidR="00717FC0">
        <w:rPr>
          <w:rFonts w:asciiTheme="majorBidi" w:hAnsiTheme="majorBidi" w:cstheme="majorBidi"/>
        </w:rPr>
        <w:t>K</w:t>
      </w:r>
      <w:r w:rsidR="003E6147">
        <w:rPr>
          <w:rFonts w:asciiTheme="majorBidi" w:hAnsiTheme="majorBidi" w:cstheme="majorBidi"/>
        </w:rPr>
        <w:t>asācijas sūdzībā</w:t>
      </w:r>
      <w:r w:rsidR="00717FC0">
        <w:rPr>
          <w:rFonts w:asciiTheme="majorBidi" w:hAnsiTheme="majorBidi" w:cstheme="majorBidi"/>
        </w:rPr>
        <w:t xml:space="preserve"> arī</w:t>
      </w:r>
      <w:r w:rsidR="003E6147">
        <w:rPr>
          <w:rFonts w:asciiTheme="majorBidi" w:hAnsiTheme="majorBidi" w:cstheme="majorBidi"/>
        </w:rPr>
        <w:t xml:space="preserve"> argumentēts, ka</w:t>
      </w:r>
      <w:r w:rsidR="004B0BBA">
        <w:rPr>
          <w:rFonts w:asciiTheme="majorBidi" w:hAnsiTheme="majorBidi" w:cstheme="majorBidi"/>
        </w:rPr>
        <w:t xml:space="preserve"> </w:t>
      </w:r>
      <w:r w:rsidR="003E6147">
        <w:rPr>
          <w:rFonts w:asciiTheme="majorBidi" w:hAnsiTheme="majorBidi" w:cstheme="majorBidi"/>
        </w:rPr>
        <w:t>i</w:t>
      </w:r>
      <w:r w:rsidR="00A37205" w:rsidRPr="00B8040F">
        <w:rPr>
          <w:rFonts w:asciiTheme="majorBidi" w:hAnsiTheme="majorBidi" w:cstheme="majorBidi"/>
        </w:rPr>
        <w:t>z</w:t>
      </w:r>
      <w:r w:rsidR="00E32997">
        <w:rPr>
          <w:rFonts w:asciiTheme="majorBidi" w:hAnsiTheme="majorBidi" w:cstheme="majorBidi"/>
        </w:rPr>
        <w:t>devumi</w:t>
      </w:r>
      <w:r w:rsidR="00A37205" w:rsidRPr="00B8040F">
        <w:rPr>
          <w:rFonts w:asciiTheme="majorBidi" w:hAnsiTheme="majorBidi" w:cstheme="majorBidi"/>
        </w:rPr>
        <w:t xml:space="preserve"> par tiesvedību Eiropas Savienības Tiesā pieteicējai radās tieši apelācijas instances tiesā, un pirmās instance</w:t>
      </w:r>
      <w:r w:rsidR="00886CB3">
        <w:rPr>
          <w:rFonts w:asciiTheme="majorBidi" w:hAnsiTheme="majorBidi" w:cstheme="majorBidi"/>
        </w:rPr>
        <w:t>s</w:t>
      </w:r>
      <w:r w:rsidR="00A37205" w:rsidRPr="00B8040F">
        <w:rPr>
          <w:rFonts w:asciiTheme="majorBidi" w:hAnsiTheme="majorBidi" w:cstheme="majorBidi"/>
        </w:rPr>
        <w:t xml:space="preserve"> tiesā šād</w:t>
      </w:r>
      <w:r w:rsidR="00E32997">
        <w:rPr>
          <w:rFonts w:asciiTheme="majorBidi" w:hAnsiTheme="majorBidi" w:cstheme="majorBidi"/>
        </w:rPr>
        <w:t>us</w:t>
      </w:r>
      <w:r w:rsidR="00A37205" w:rsidRPr="00B8040F">
        <w:rPr>
          <w:rFonts w:asciiTheme="majorBidi" w:hAnsiTheme="majorBidi" w:cstheme="majorBidi"/>
        </w:rPr>
        <w:t xml:space="preserve"> iz</w:t>
      </w:r>
      <w:r w:rsidR="00E32997">
        <w:rPr>
          <w:rFonts w:asciiTheme="majorBidi" w:hAnsiTheme="majorBidi" w:cstheme="majorBidi"/>
        </w:rPr>
        <w:t>devumus</w:t>
      </w:r>
      <w:r w:rsidR="00A37205" w:rsidRPr="00B8040F">
        <w:rPr>
          <w:rFonts w:asciiTheme="majorBidi" w:hAnsiTheme="majorBidi" w:cstheme="majorBidi"/>
        </w:rPr>
        <w:t xml:space="preserve"> nemaz nevarēja pieteikt. </w:t>
      </w:r>
    </w:p>
    <w:p w14:paraId="742E0967" w14:textId="77777777" w:rsidR="00523DFE" w:rsidRDefault="00523DFE" w:rsidP="009871C6">
      <w:pPr>
        <w:spacing w:line="276" w:lineRule="auto"/>
        <w:jc w:val="both"/>
      </w:pPr>
    </w:p>
    <w:p w14:paraId="69B836B6" w14:textId="5C00E0C1" w:rsidR="00E50433" w:rsidRPr="00E71F04" w:rsidRDefault="00793346" w:rsidP="009871C6">
      <w:pPr>
        <w:spacing w:line="276" w:lineRule="auto"/>
        <w:ind w:firstLine="709"/>
        <w:jc w:val="both"/>
      </w:pPr>
      <w:r w:rsidRPr="00E71F04">
        <w:t>[</w:t>
      </w:r>
      <w:r w:rsidR="0035360E">
        <w:t>5</w:t>
      </w:r>
      <w:r w:rsidRPr="00E71F04">
        <w:t>] </w:t>
      </w:r>
      <w:r w:rsidR="00886CB3">
        <w:t>Padome</w:t>
      </w:r>
      <w:r w:rsidR="00886CB3" w:rsidRPr="00E71F04">
        <w:t xml:space="preserve"> </w:t>
      </w:r>
      <w:r w:rsidRPr="00E71F04">
        <w:t xml:space="preserve">paskaidrojumos par kasācijas sūdzību </w:t>
      </w:r>
      <w:r w:rsidR="00F314B2" w:rsidRPr="00E71F04">
        <w:t>norāda, ka tā nav pamatota.</w:t>
      </w:r>
      <w:r w:rsidR="00AA3867" w:rsidRPr="00E71F04">
        <w:t xml:space="preserve"> </w:t>
      </w:r>
    </w:p>
    <w:p w14:paraId="730CAEB6" w14:textId="77777777" w:rsidR="00375AB5" w:rsidRDefault="008F79A9" w:rsidP="009871C6">
      <w:pPr>
        <w:spacing w:line="276" w:lineRule="auto"/>
        <w:jc w:val="center"/>
        <w:rPr>
          <w:b/>
          <w:bCs/>
          <w:shd w:val="clear" w:color="auto" w:fill="FFFFFF"/>
        </w:rPr>
      </w:pPr>
      <w:r w:rsidRPr="00816A67">
        <w:rPr>
          <w:b/>
          <w:bCs/>
          <w:shd w:val="clear" w:color="auto" w:fill="FFFFFF"/>
        </w:rPr>
        <w:t>Motīvu daļa</w:t>
      </w:r>
    </w:p>
    <w:p w14:paraId="77919BA3" w14:textId="77777777" w:rsidR="00375AB5" w:rsidRDefault="00375AB5" w:rsidP="009871C6">
      <w:pPr>
        <w:spacing w:line="276" w:lineRule="auto"/>
        <w:jc w:val="center"/>
        <w:rPr>
          <w:b/>
          <w:bCs/>
          <w:shd w:val="clear" w:color="auto" w:fill="FFFFFF"/>
        </w:rPr>
      </w:pPr>
    </w:p>
    <w:p w14:paraId="65EC6A30" w14:textId="27657320" w:rsidR="003E6147" w:rsidRDefault="00447EE6" w:rsidP="009871C6">
      <w:pPr>
        <w:spacing w:line="276" w:lineRule="auto"/>
        <w:ind w:firstLine="709"/>
        <w:jc w:val="both"/>
      </w:pPr>
      <w:r w:rsidRPr="00E71F04">
        <w:t>[</w:t>
      </w:r>
      <w:r w:rsidR="00947985">
        <w:t>6</w:t>
      </w:r>
      <w:r w:rsidRPr="00E71F04">
        <w:t>]</w:t>
      </w:r>
      <w:r w:rsidR="00793346" w:rsidRPr="00E71F04">
        <w:t> </w:t>
      </w:r>
      <w:r w:rsidR="00375AB5">
        <w:t>Senātam kasācijas tiesvedības ietvaros jāpārbauda</w:t>
      </w:r>
      <w:r w:rsidR="004178F9" w:rsidRPr="00E71F04">
        <w:t>,</w:t>
      </w:r>
      <w:r w:rsidR="00487E30" w:rsidRPr="00E71F04">
        <w:t xml:space="preserve"> </w:t>
      </w:r>
      <w:r w:rsidR="00947985">
        <w:t xml:space="preserve">vai </w:t>
      </w:r>
      <w:r w:rsidR="003E6147">
        <w:t xml:space="preserve">tiesa </w:t>
      </w:r>
      <w:r w:rsidR="0016334C">
        <w:t xml:space="preserve">pārsūdzētajā spriedumā </w:t>
      </w:r>
      <w:r w:rsidR="000A1A25">
        <w:t>ir pareizi piemērojusi Ministru kabineta n</w:t>
      </w:r>
      <w:r w:rsidR="000A1A25" w:rsidRPr="0053096D">
        <w:t>oteikumu Nr. 725 12.5.apakšpunkt</w:t>
      </w:r>
      <w:r w:rsidR="000A1A25">
        <w:t xml:space="preserve">u attiecībā uz pieteicējas atbilstību šajā normā </w:t>
      </w:r>
      <w:r w:rsidR="00947985">
        <w:t>noteiktaj</w:t>
      </w:r>
      <w:r w:rsidR="000A1A25">
        <w:t>iem</w:t>
      </w:r>
      <w:r w:rsidR="00947985">
        <w:t xml:space="preserve"> </w:t>
      </w:r>
      <w:r w:rsidR="00947985" w:rsidRPr="0053096D">
        <w:t>kritērijam</w:t>
      </w:r>
      <w:r w:rsidR="003E6147">
        <w:t xml:space="preserve">, </w:t>
      </w:r>
      <w:r w:rsidR="003E6147" w:rsidRPr="00B03DA1">
        <w:rPr>
          <w:rFonts w:asciiTheme="majorBidi" w:hAnsiTheme="majorBidi" w:cstheme="majorBidi"/>
        </w:rPr>
        <w:t>kas paredz projekta īstenošanu atbilstošā zinātniskajā institūcijā.</w:t>
      </w:r>
      <w:r w:rsidR="003E6147">
        <w:rPr>
          <w:rFonts w:asciiTheme="majorBidi" w:hAnsiTheme="majorBidi" w:cstheme="majorBidi"/>
        </w:rPr>
        <w:t xml:space="preserve"> Tāpat Senātam jāvērtē, vai </w:t>
      </w:r>
      <w:r w:rsidR="003E6147">
        <w:t>tiesa</w:t>
      </w:r>
      <w:r w:rsidR="00E32997">
        <w:t xml:space="preserve"> pieļāvusi</w:t>
      </w:r>
      <w:r w:rsidR="003E6147">
        <w:t xml:space="preserve"> </w:t>
      </w:r>
      <w:r w:rsidR="00E32997">
        <w:t xml:space="preserve">procesuālo tiesību normu pārkāpumu attiecībā uz prasījumu par </w:t>
      </w:r>
      <w:r w:rsidR="003E6147">
        <w:t>juridiskās palīdzības iz</w:t>
      </w:r>
      <w:r w:rsidR="000A1A25">
        <w:t>devumu</w:t>
      </w:r>
      <w:r w:rsidR="003E6147">
        <w:t xml:space="preserve"> atlīdzināšanu.</w:t>
      </w:r>
      <w:r w:rsidR="00A16BFF">
        <w:t xml:space="preserve"> </w:t>
      </w:r>
    </w:p>
    <w:p w14:paraId="6D807849" w14:textId="77777777" w:rsidR="00523DFE" w:rsidRDefault="00523DFE" w:rsidP="009871C6">
      <w:pPr>
        <w:spacing w:line="276" w:lineRule="auto"/>
        <w:jc w:val="both"/>
      </w:pPr>
    </w:p>
    <w:p w14:paraId="3E5ADF99" w14:textId="27C7B9F0" w:rsidR="00947985" w:rsidRPr="00947985" w:rsidRDefault="00DF0B4B" w:rsidP="009871C6">
      <w:pPr>
        <w:spacing w:line="276" w:lineRule="auto"/>
        <w:ind w:firstLine="720"/>
        <w:jc w:val="both"/>
        <w:rPr>
          <w:i/>
          <w:iCs/>
        </w:rPr>
      </w:pPr>
      <w:r>
        <w:rPr>
          <w:rFonts w:asciiTheme="majorBidi" w:hAnsiTheme="majorBidi" w:cstheme="majorBidi"/>
          <w:i/>
          <w:iCs/>
        </w:rPr>
        <w:t xml:space="preserve">Jēdziena </w:t>
      </w:r>
      <w:r w:rsidR="00266E79">
        <w:rPr>
          <w:rFonts w:asciiTheme="majorBidi" w:hAnsiTheme="majorBidi" w:cstheme="majorBidi"/>
          <w:i/>
          <w:iCs/>
        </w:rPr>
        <w:t>„</w:t>
      </w:r>
      <w:r w:rsidR="00440805" w:rsidRPr="00440805">
        <w:rPr>
          <w:rFonts w:asciiTheme="majorBidi" w:hAnsiTheme="majorBidi" w:cstheme="majorBidi"/>
          <w:i/>
          <w:iCs/>
        </w:rPr>
        <w:t>pētniecības un zināšanu izplatīšanas organizācija</w:t>
      </w:r>
      <w:r w:rsidR="00947985" w:rsidRPr="00947985">
        <w:rPr>
          <w:rFonts w:asciiTheme="majorBidi" w:hAnsiTheme="majorBidi" w:cstheme="majorBidi"/>
          <w:i/>
          <w:iCs/>
        </w:rPr>
        <w:t>”</w:t>
      </w:r>
      <w:r>
        <w:rPr>
          <w:rFonts w:asciiTheme="majorBidi" w:hAnsiTheme="majorBidi" w:cstheme="majorBidi"/>
          <w:i/>
          <w:iCs/>
        </w:rPr>
        <w:t xml:space="preserve"> tvērums</w:t>
      </w:r>
    </w:p>
    <w:p w14:paraId="58D781E4" w14:textId="1DDAB5D2" w:rsidR="00CE13EA" w:rsidRDefault="00947985" w:rsidP="009871C6">
      <w:pPr>
        <w:spacing w:line="276" w:lineRule="auto"/>
        <w:ind w:firstLine="720"/>
        <w:jc w:val="both"/>
      </w:pPr>
      <w:r>
        <w:t>[7]</w:t>
      </w:r>
      <w:r w:rsidR="00C13C93">
        <w:t> </w:t>
      </w:r>
      <w:r w:rsidR="00CE13EA">
        <w:t>Ministru kabineta n</w:t>
      </w:r>
      <w:r w:rsidR="00CE13EA" w:rsidRPr="0053096D">
        <w:t>oteikum</w:t>
      </w:r>
      <w:r w:rsidR="00C13C93">
        <w:t>i</w:t>
      </w:r>
      <w:r w:rsidR="00CE13EA" w:rsidRPr="0053096D">
        <w:t xml:space="preserve"> Nr. 725</w:t>
      </w:r>
      <w:r w:rsidR="00C13C93">
        <w:t xml:space="preserve"> </w:t>
      </w:r>
      <w:r w:rsidR="00C13C93" w:rsidRPr="00C13C93">
        <w:t>nosaka kārtību, kādā izvērtē un finansē fundamentālo un lietišķo pētījumu projektus un administrē projektu finansēšanai piešķirtos valsts budžeta līdzekļus</w:t>
      </w:r>
      <w:r w:rsidR="00C13C93">
        <w:t xml:space="preserve"> (</w:t>
      </w:r>
      <w:r w:rsidR="00C13C93" w:rsidRPr="00C13C93">
        <w:rPr>
          <w:i/>
          <w:iCs/>
        </w:rPr>
        <w:t>šeit un turpmāk tiesību normas redakcijā, kas bija spēkā pārsūdzētā lēmuma pieņemšanas brīdī</w:t>
      </w:r>
      <w:r w:rsidR="00C13C93">
        <w:t>).</w:t>
      </w:r>
    </w:p>
    <w:p w14:paraId="45D26914" w14:textId="6394A358" w:rsidR="00266E79" w:rsidRDefault="00FD4976" w:rsidP="009871C6">
      <w:pPr>
        <w:spacing w:line="276" w:lineRule="auto"/>
        <w:ind w:firstLine="720"/>
        <w:jc w:val="both"/>
      </w:pPr>
      <w:r>
        <w:t>N</w:t>
      </w:r>
      <w:r w:rsidR="00C13C93">
        <w:t>oteikumu 12.5.apakšpunkts noteic, ka</w:t>
      </w:r>
      <w:r w:rsidR="00266E79">
        <w:t xml:space="preserve"> p</w:t>
      </w:r>
      <w:r w:rsidR="00266E79" w:rsidRPr="00266E79">
        <w:t>adome</w:t>
      </w:r>
      <w:r w:rsidR="00266E79">
        <w:t>i</w:t>
      </w:r>
      <w:r w:rsidR="00266E79" w:rsidRPr="00266E79">
        <w:t xml:space="preserve"> </w:t>
      </w:r>
      <w:r w:rsidR="00266E79">
        <w:t>jā</w:t>
      </w:r>
      <w:r w:rsidR="00266E79" w:rsidRPr="00266E79">
        <w:t>izvērtē projekta iesnieguma atbilstīb</w:t>
      </w:r>
      <w:r w:rsidR="00266E79">
        <w:t>a</w:t>
      </w:r>
      <w:r w:rsidR="00266E79" w:rsidRPr="00266E79">
        <w:t xml:space="preserve"> administratīvās atbilstības kritērij</w:t>
      </w:r>
      <w:r w:rsidR="00266E79">
        <w:t>am –</w:t>
      </w:r>
      <w:r>
        <w:t xml:space="preserve"> </w:t>
      </w:r>
      <w:r w:rsidR="00C13C93" w:rsidRPr="00C13C93">
        <w:t>projekts tiks īstenots zinātniskajā institūcijā, kas atbilst</w:t>
      </w:r>
      <w:r>
        <w:t xml:space="preserve"> šo</w:t>
      </w:r>
      <w:r w:rsidR="00C13C93" w:rsidRPr="00C13C93">
        <w:t xml:space="preserve"> noteikumu prasībām</w:t>
      </w:r>
      <w:r w:rsidR="00C13C93">
        <w:t xml:space="preserve">. </w:t>
      </w:r>
    </w:p>
    <w:p w14:paraId="4285C133" w14:textId="05675BC4" w:rsidR="00C13C93" w:rsidRDefault="00266E79" w:rsidP="009871C6">
      <w:pPr>
        <w:spacing w:line="276" w:lineRule="auto"/>
        <w:ind w:firstLine="720"/>
        <w:jc w:val="both"/>
      </w:pPr>
      <w:r>
        <w:t xml:space="preserve">No </w:t>
      </w:r>
      <w:r w:rsidR="00FD4976">
        <w:t xml:space="preserve">minēto </w:t>
      </w:r>
      <w:r>
        <w:t xml:space="preserve">noteikumu 2.7.apakšpunkta izriet, </w:t>
      </w:r>
      <w:r w:rsidR="00FD4976">
        <w:t xml:space="preserve">ka </w:t>
      </w:r>
      <w:r w:rsidRPr="00AE27B7">
        <w:t xml:space="preserve">zinātniskā institūcija ir tāda institūcija, kas ir reģistrēta zinātnisko institūciju reģistrā un neatkarīgi no tās juridiskā statusa (publisko tiesību subjekts vai privāto tiesību subjekts) vai finansēšanas veida atbilstoši tās darbību reglamentējošiem normatīvajiem aktiem (statūtiem, nolikumam vai satversmei) veic ar saimniecisko darbību nesaistītas pamatdarbības, un kas atbilst </w:t>
      </w:r>
      <w:r w:rsidRPr="00AE27B7">
        <w:rPr>
          <w:rFonts w:asciiTheme="majorBidi" w:hAnsiTheme="majorBidi" w:cstheme="majorBidi"/>
        </w:rPr>
        <w:t>Regulas Nr. 651/2014 2.panta 83.punktā</w:t>
      </w:r>
      <w:r w:rsidRPr="00AE27B7">
        <w:t xml:space="preserve"> pētniecības organizācijai noteiktajai definīcijai.</w:t>
      </w:r>
      <w:r w:rsidR="00FB4C81" w:rsidRPr="00AE27B7">
        <w:t xml:space="preserve"> Savukārt noteikumu 2.9.apakšpunktā skaidrota ar saimniecisko darbību nesaistīta pamatdarbība – tā ir pētniecības organizācijas darbība, kura neietilpst Līguma par Eiropas Savienības darbību 107.panta 1.punktā noteiktajā darbības jomā, tai skaitā: 1) izglītības pasākumi, lai panāktu personāla skaita un kvalifikācijas pieaugumu; 2) neatkarīga pētniecība un izstrāde, lai gūtu vairāk zināšanu un labāku izpratni; 3) pētniecības rezultātu izplatīšana</w:t>
      </w:r>
      <w:r w:rsidR="00FB4C81" w:rsidRPr="00FB4C81">
        <w:t xml:space="preserve"> bez ekskluzivitātes un diskriminēšanas;</w:t>
      </w:r>
      <w:r w:rsidR="00FB4C81">
        <w:t xml:space="preserve"> </w:t>
      </w:r>
      <w:r w:rsidR="00FB4C81" w:rsidRPr="00FB4C81">
        <w:t>4)</w:t>
      </w:r>
      <w:r w:rsidR="00FB4C81">
        <w:t> </w:t>
      </w:r>
      <w:r w:rsidR="00FB4C81" w:rsidRPr="00FB4C81">
        <w:t>zināšanu un tehnoloģiju pārnese</w:t>
      </w:r>
      <w:r w:rsidR="00FB4C81">
        <w:t>.</w:t>
      </w:r>
    </w:p>
    <w:p w14:paraId="758118FE" w14:textId="7B25A315" w:rsidR="00266E79" w:rsidRDefault="00266E79" w:rsidP="009871C6">
      <w:pPr>
        <w:spacing w:line="276" w:lineRule="auto"/>
        <w:ind w:firstLine="720"/>
        <w:jc w:val="both"/>
        <w:rPr>
          <w:rFonts w:asciiTheme="majorBidi" w:hAnsiTheme="majorBidi" w:cstheme="majorBidi"/>
        </w:rPr>
      </w:pPr>
      <w:r>
        <w:rPr>
          <w:rFonts w:asciiTheme="majorBidi" w:hAnsiTheme="majorBidi" w:cstheme="majorBidi"/>
        </w:rPr>
        <w:t>R</w:t>
      </w:r>
      <w:r w:rsidRPr="00376D25">
        <w:rPr>
          <w:rFonts w:asciiTheme="majorBidi" w:hAnsiTheme="majorBidi" w:cstheme="majorBidi"/>
        </w:rPr>
        <w:t>egula</w:t>
      </w:r>
      <w:r>
        <w:rPr>
          <w:rFonts w:asciiTheme="majorBidi" w:hAnsiTheme="majorBidi" w:cstheme="majorBidi"/>
        </w:rPr>
        <w:t>s</w:t>
      </w:r>
      <w:r w:rsidRPr="00376D25">
        <w:rPr>
          <w:rFonts w:asciiTheme="majorBidi" w:hAnsiTheme="majorBidi" w:cstheme="majorBidi"/>
        </w:rPr>
        <w:t xml:space="preserve"> Nr.</w:t>
      </w:r>
      <w:r>
        <w:rPr>
          <w:rFonts w:asciiTheme="majorBidi" w:hAnsiTheme="majorBidi" w:cstheme="majorBidi"/>
        </w:rPr>
        <w:t> </w:t>
      </w:r>
      <w:r w:rsidRPr="00376D25">
        <w:rPr>
          <w:rFonts w:asciiTheme="majorBidi" w:hAnsiTheme="majorBidi" w:cstheme="majorBidi"/>
        </w:rPr>
        <w:t>651/2014 2.panta</w:t>
      </w:r>
      <w:r>
        <w:rPr>
          <w:rFonts w:asciiTheme="majorBidi" w:hAnsiTheme="majorBidi" w:cstheme="majorBidi"/>
        </w:rPr>
        <w:t xml:space="preserve"> </w:t>
      </w:r>
      <w:r w:rsidRPr="00376D25">
        <w:rPr>
          <w:rFonts w:asciiTheme="majorBidi" w:hAnsiTheme="majorBidi" w:cstheme="majorBidi"/>
        </w:rPr>
        <w:t>83.punkt</w:t>
      </w:r>
      <w:r>
        <w:rPr>
          <w:rFonts w:asciiTheme="majorBidi" w:hAnsiTheme="majorBidi" w:cstheme="majorBidi"/>
        </w:rPr>
        <w:t xml:space="preserve">s savukārt noteic, ka </w:t>
      </w:r>
      <w:r w:rsidR="00B77E3C">
        <w:rPr>
          <w:rFonts w:asciiTheme="majorBidi" w:hAnsiTheme="majorBidi" w:cstheme="majorBidi"/>
        </w:rPr>
        <w:t>p</w:t>
      </w:r>
      <w:r w:rsidR="00B77E3C" w:rsidRPr="00B77E3C">
        <w:rPr>
          <w:rFonts w:asciiTheme="majorBidi" w:hAnsiTheme="majorBidi" w:cstheme="majorBidi"/>
        </w:rPr>
        <w:t>ētniecības un zināšanu izplatīšanas organizācija ir subjekts (piemēram, universitātes vai pētniecības institūti, tehnoloģiju pārneses aģentūras, inovācijas starpnieki, uz pētniecību orientēti fiziskas vai virtuālas sadarbības subjekti) neatkarīgi no tā juridiskā statusa (publisko vai privāto tiesību subjekts) vai finansējuma veida</w:t>
      </w:r>
      <w:r w:rsidR="00B77E3C" w:rsidRPr="00B143F5">
        <w:rPr>
          <w:rFonts w:asciiTheme="majorBidi" w:hAnsiTheme="majorBidi" w:cstheme="majorBidi"/>
        </w:rPr>
        <w:t>, kura galvenais mērķis ir neatkarīgi veikt fundamentālos pētījumus, rūpnieciskos pētījumus vai eksperimentālo izstrādi vai plaši izplatīt šādu darbību rezultātus mācību, publikāciju vai zināšanu pārneses veidā. Ja šis subjekts veic arī saimniecisko darbību, tās finansējums, izmaksas un ieņēmumi</w:t>
      </w:r>
      <w:r w:rsidR="00B77E3C" w:rsidRPr="00B77E3C">
        <w:rPr>
          <w:rFonts w:asciiTheme="majorBidi" w:hAnsiTheme="majorBidi" w:cstheme="majorBidi"/>
        </w:rPr>
        <w:t xml:space="preserve"> ir jāuzskaita atsevišķi. Uzņēmumiem, kas var izšķiroši ietekmēt šo subjektu, piemēram, būdami tā akcionāri vai dalībnieki, nedrīkst būt privileģēta piekļuve šā subjekta radītajiem rezultātiem</w:t>
      </w:r>
      <w:r w:rsidR="00B77E3C">
        <w:rPr>
          <w:rFonts w:asciiTheme="majorBidi" w:hAnsiTheme="majorBidi" w:cstheme="majorBidi"/>
        </w:rPr>
        <w:t>.</w:t>
      </w:r>
    </w:p>
    <w:p w14:paraId="1FEA0568" w14:textId="77777777" w:rsidR="00440805" w:rsidRDefault="00AE27B7" w:rsidP="009871C6">
      <w:pPr>
        <w:spacing w:line="276" w:lineRule="auto"/>
        <w:ind w:firstLine="720"/>
        <w:jc w:val="both"/>
        <w:rPr>
          <w:rFonts w:asciiTheme="majorBidi" w:hAnsiTheme="majorBidi" w:cstheme="majorBidi"/>
        </w:rPr>
      </w:pPr>
      <w:r>
        <w:rPr>
          <w:rFonts w:asciiTheme="majorBidi" w:hAnsiTheme="majorBidi" w:cstheme="majorBidi"/>
        </w:rPr>
        <w:t>Ievērojot minēto, n</w:t>
      </w:r>
      <w:r w:rsidR="005E6F32">
        <w:rPr>
          <w:rFonts w:asciiTheme="majorBidi" w:hAnsiTheme="majorBidi" w:cstheme="majorBidi"/>
        </w:rPr>
        <w:t xml:space="preserve">o </w:t>
      </w:r>
      <w:r>
        <w:rPr>
          <w:rFonts w:asciiTheme="majorBidi" w:hAnsiTheme="majorBidi" w:cstheme="majorBidi"/>
        </w:rPr>
        <w:t>tiesību normām izriet</w:t>
      </w:r>
      <w:r w:rsidRPr="00AE27B7">
        <w:rPr>
          <w:rFonts w:asciiTheme="majorBidi" w:hAnsiTheme="majorBidi" w:cstheme="majorBidi"/>
        </w:rPr>
        <w:t xml:space="preserve"> vairāki</w:t>
      </w:r>
      <w:r w:rsidR="00440805">
        <w:rPr>
          <w:rFonts w:asciiTheme="majorBidi" w:hAnsiTheme="majorBidi" w:cstheme="majorBidi"/>
        </w:rPr>
        <w:t xml:space="preserve"> kumulatīvi</w:t>
      </w:r>
      <w:r w:rsidRPr="00AE27B7">
        <w:rPr>
          <w:rFonts w:asciiTheme="majorBidi" w:hAnsiTheme="majorBidi" w:cstheme="majorBidi"/>
        </w:rPr>
        <w:t xml:space="preserve"> kritēriji, </w:t>
      </w:r>
      <w:r w:rsidR="00E97697">
        <w:rPr>
          <w:rFonts w:asciiTheme="majorBidi" w:hAnsiTheme="majorBidi" w:cstheme="majorBidi"/>
        </w:rPr>
        <w:t>kuriem</w:t>
      </w:r>
      <w:r w:rsidRPr="00AE27B7">
        <w:rPr>
          <w:rFonts w:asciiTheme="majorBidi" w:hAnsiTheme="majorBidi" w:cstheme="majorBidi"/>
        </w:rPr>
        <w:t xml:space="preserve"> jāizpildās, lai projekta iesniedzējs varētu</w:t>
      </w:r>
      <w:r>
        <w:rPr>
          <w:rFonts w:asciiTheme="majorBidi" w:hAnsiTheme="majorBidi" w:cstheme="majorBidi"/>
        </w:rPr>
        <w:t xml:space="preserve"> </w:t>
      </w:r>
      <w:r w:rsidRPr="00AE27B7">
        <w:rPr>
          <w:rFonts w:asciiTheme="majorBidi" w:hAnsiTheme="majorBidi" w:cstheme="majorBidi"/>
        </w:rPr>
        <w:t>pretendēt uz finansējuma saņemšanu</w:t>
      </w:r>
      <w:r w:rsidR="00650CA6">
        <w:rPr>
          <w:rFonts w:asciiTheme="majorBidi" w:hAnsiTheme="majorBidi" w:cstheme="majorBidi"/>
        </w:rPr>
        <w:t xml:space="preserve">: 1) tam ir </w:t>
      </w:r>
      <w:r w:rsidR="00650CA6" w:rsidRPr="00650CA6">
        <w:rPr>
          <w:rFonts w:asciiTheme="majorBidi" w:hAnsiTheme="majorBidi" w:cstheme="majorBidi"/>
        </w:rPr>
        <w:t xml:space="preserve">jābūt reģistrētam </w:t>
      </w:r>
      <w:r w:rsidR="00650CA6">
        <w:rPr>
          <w:rFonts w:asciiTheme="majorBidi" w:hAnsiTheme="majorBidi" w:cstheme="majorBidi"/>
        </w:rPr>
        <w:t>z</w:t>
      </w:r>
      <w:r w:rsidR="00650CA6" w:rsidRPr="00650CA6">
        <w:rPr>
          <w:rFonts w:asciiTheme="majorBidi" w:hAnsiTheme="majorBidi" w:cstheme="majorBidi"/>
        </w:rPr>
        <w:t>inātnisko institūciju reģistrā</w:t>
      </w:r>
      <w:r w:rsidR="00650CA6">
        <w:rPr>
          <w:rFonts w:asciiTheme="majorBidi" w:hAnsiTheme="majorBidi" w:cstheme="majorBidi"/>
        </w:rPr>
        <w:t>;</w:t>
      </w:r>
      <w:r w:rsidR="00E97697">
        <w:rPr>
          <w:rFonts w:asciiTheme="majorBidi" w:hAnsiTheme="majorBidi" w:cstheme="majorBidi"/>
        </w:rPr>
        <w:t xml:space="preserve"> </w:t>
      </w:r>
      <w:r w:rsidR="00650CA6">
        <w:rPr>
          <w:rFonts w:asciiTheme="majorBidi" w:hAnsiTheme="majorBidi" w:cstheme="majorBidi"/>
        </w:rPr>
        <w:t> </w:t>
      </w:r>
      <w:r w:rsidR="00650CA6" w:rsidRPr="00650CA6">
        <w:rPr>
          <w:rFonts w:asciiTheme="majorBidi" w:hAnsiTheme="majorBidi" w:cstheme="majorBidi"/>
        </w:rPr>
        <w:t>2)</w:t>
      </w:r>
      <w:r w:rsidR="00E97697">
        <w:rPr>
          <w:rFonts w:asciiTheme="majorBidi" w:hAnsiTheme="majorBidi" w:cstheme="majorBidi"/>
        </w:rPr>
        <w:t> tam ir jā</w:t>
      </w:r>
      <w:r w:rsidR="00650CA6" w:rsidRPr="00650CA6">
        <w:rPr>
          <w:rFonts w:asciiTheme="majorBidi" w:hAnsiTheme="majorBidi" w:cstheme="majorBidi"/>
        </w:rPr>
        <w:t>veic ar saimniecisko darbību nesaistītas pamatdarbības</w:t>
      </w:r>
      <w:r w:rsidR="00E97697">
        <w:rPr>
          <w:rFonts w:asciiTheme="majorBidi" w:hAnsiTheme="majorBidi" w:cstheme="majorBidi"/>
        </w:rPr>
        <w:t xml:space="preserve"> (</w:t>
      </w:r>
      <w:r w:rsidR="00E97697" w:rsidRPr="00E97697">
        <w:rPr>
          <w:rFonts w:asciiTheme="majorBidi" w:hAnsiTheme="majorBidi" w:cstheme="majorBidi"/>
        </w:rPr>
        <w:t>neatkarīga pētniecība vai pētniecības rezultātu izplatīšana</w:t>
      </w:r>
      <w:r w:rsidR="00E97697">
        <w:rPr>
          <w:rFonts w:asciiTheme="majorBidi" w:hAnsiTheme="majorBidi" w:cstheme="majorBidi"/>
        </w:rPr>
        <w:t>)</w:t>
      </w:r>
      <w:r w:rsidR="00650CA6" w:rsidRPr="00650CA6">
        <w:rPr>
          <w:rFonts w:asciiTheme="majorBidi" w:hAnsiTheme="majorBidi" w:cstheme="majorBidi"/>
        </w:rPr>
        <w:t>; 3)</w:t>
      </w:r>
      <w:r w:rsidR="00E97697">
        <w:rPr>
          <w:rFonts w:asciiTheme="majorBidi" w:hAnsiTheme="majorBidi" w:cstheme="majorBidi"/>
        </w:rPr>
        <w:t> tam ir jā</w:t>
      </w:r>
      <w:r w:rsidR="00650CA6" w:rsidRPr="00650CA6">
        <w:rPr>
          <w:rFonts w:asciiTheme="majorBidi" w:hAnsiTheme="majorBidi" w:cstheme="majorBidi"/>
        </w:rPr>
        <w:t>atbilst pētniecības</w:t>
      </w:r>
      <w:r w:rsidR="00E97697">
        <w:rPr>
          <w:rFonts w:asciiTheme="majorBidi" w:hAnsiTheme="majorBidi" w:cstheme="majorBidi"/>
        </w:rPr>
        <w:t xml:space="preserve"> </w:t>
      </w:r>
      <w:r w:rsidR="00650CA6" w:rsidRPr="00650CA6">
        <w:rPr>
          <w:rFonts w:asciiTheme="majorBidi" w:hAnsiTheme="majorBidi" w:cstheme="majorBidi"/>
        </w:rPr>
        <w:t>organizācijas definīcijai</w:t>
      </w:r>
      <w:r w:rsidR="00E97697">
        <w:rPr>
          <w:rFonts w:asciiTheme="majorBidi" w:hAnsiTheme="majorBidi" w:cstheme="majorBidi"/>
        </w:rPr>
        <w:t xml:space="preserve"> </w:t>
      </w:r>
      <w:r w:rsidR="00E97697" w:rsidRPr="00E97697">
        <w:rPr>
          <w:rFonts w:asciiTheme="majorBidi" w:hAnsiTheme="majorBidi" w:cstheme="majorBidi"/>
        </w:rPr>
        <w:t>Regulas Nr.</w:t>
      </w:r>
      <w:r w:rsidR="00E97697">
        <w:rPr>
          <w:rFonts w:asciiTheme="majorBidi" w:hAnsiTheme="majorBidi" w:cstheme="majorBidi"/>
        </w:rPr>
        <w:t> </w:t>
      </w:r>
      <w:r w:rsidR="00E97697" w:rsidRPr="00E97697">
        <w:rPr>
          <w:rFonts w:asciiTheme="majorBidi" w:hAnsiTheme="majorBidi" w:cstheme="majorBidi"/>
        </w:rPr>
        <w:t>651/2014 2.panta 83.punkta izpratnē</w:t>
      </w:r>
      <w:r w:rsidR="00E97697">
        <w:rPr>
          <w:rFonts w:asciiTheme="majorBidi" w:hAnsiTheme="majorBidi" w:cstheme="majorBidi"/>
        </w:rPr>
        <w:t xml:space="preserve">. </w:t>
      </w:r>
    </w:p>
    <w:p w14:paraId="6D947367" w14:textId="77777777" w:rsidR="00AF067B" w:rsidRDefault="00AF067B" w:rsidP="009871C6">
      <w:pPr>
        <w:spacing w:line="276" w:lineRule="auto"/>
        <w:ind w:firstLine="720"/>
        <w:jc w:val="both"/>
      </w:pPr>
    </w:p>
    <w:p w14:paraId="65CC8A24" w14:textId="4A7EE346" w:rsidR="00C36E01" w:rsidRPr="005F51C5" w:rsidRDefault="00B77E3C" w:rsidP="009871C6">
      <w:pPr>
        <w:spacing w:line="276" w:lineRule="auto"/>
        <w:ind w:firstLine="720"/>
        <w:jc w:val="both"/>
        <w:rPr>
          <w:rFonts w:asciiTheme="majorBidi" w:hAnsiTheme="majorBidi" w:cstheme="majorBidi"/>
        </w:rPr>
      </w:pPr>
      <w:r>
        <w:t>[8]</w:t>
      </w:r>
      <w:r w:rsidR="00C36E01">
        <w:t> </w:t>
      </w:r>
      <w:r w:rsidR="00C36E01">
        <w:rPr>
          <w:rFonts w:asciiTheme="majorBidi" w:hAnsiTheme="majorBidi" w:cstheme="majorBidi"/>
        </w:rPr>
        <w:t xml:space="preserve">Izskatāmajā lietā ir strīds par to, </w:t>
      </w:r>
      <w:r w:rsidR="00C36E01" w:rsidRPr="00440805">
        <w:rPr>
          <w:rFonts w:asciiTheme="majorBidi" w:hAnsiTheme="majorBidi" w:cstheme="majorBidi"/>
        </w:rPr>
        <w:t>vai pieteicēja ir uzskatāma par pētniecības organizāciju, k</w:t>
      </w:r>
      <w:r w:rsidR="00C36E01">
        <w:rPr>
          <w:rFonts w:asciiTheme="majorBidi" w:hAnsiTheme="majorBidi" w:cstheme="majorBidi"/>
        </w:rPr>
        <w:t xml:space="preserve">uras galvenais mērķis ir konkrēta </w:t>
      </w:r>
      <w:r w:rsidR="00C36E01" w:rsidRPr="00440805">
        <w:rPr>
          <w:rFonts w:asciiTheme="majorBidi" w:hAnsiTheme="majorBidi" w:cstheme="majorBidi"/>
        </w:rPr>
        <w:t>ar</w:t>
      </w:r>
      <w:r w:rsidR="00C36E01">
        <w:rPr>
          <w:rFonts w:asciiTheme="majorBidi" w:hAnsiTheme="majorBidi" w:cstheme="majorBidi"/>
        </w:rPr>
        <w:t xml:space="preserve"> </w:t>
      </w:r>
      <w:r w:rsidR="00C36E01" w:rsidRPr="00440805">
        <w:rPr>
          <w:rFonts w:asciiTheme="majorBidi" w:hAnsiTheme="majorBidi" w:cstheme="majorBidi"/>
        </w:rPr>
        <w:t>saimniecisko darbību nesaistīta pamatdarbība</w:t>
      </w:r>
      <w:r w:rsidR="00C36E01">
        <w:rPr>
          <w:rFonts w:asciiTheme="majorBidi" w:hAnsiTheme="majorBidi" w:cstheme="majorBidi"/>
        </w:rPr>
        <w:t xml:space="preserve"> – neatkarīga pētniecība. </w:t>
      </w:r>
      <w:r w:rsidR="00C36E01" w:rsidRPr="0050693F">
        <w:t xml:space="preserve">Eiropas Savienības Tiesa </w:t>
      </w:r>
      <w:r w:rsidR="00C36E01">
        <w:t>spriedumā</w:t>
      </w:r>
      <w:r w:rsidR="00C36E01" w:rsidRPr="0050693F">
        <w:t xml:space="preserve"> sniedza skaidrojumu par to, kā nosakāms, vai subjekta galvenais mērķis ir neatkarīga pētniecība, lai to varētu kvalificēt par pētniecības un zināšanu izplatīšanas organizāciju</w:t>
      </w:r>
      <w:r w:rsidR="00C36E01">
        <w:t xml:space="preserve">. </w:t>
      </w:r>
    </w:p>
    <w:p w14:paraId="72DC7F09" w14:textId="77777777" w:rsidR="00C36E01" w:rsidRDefault="00C36E01" w:rsidP="009871C6">
      <w:pPr>
        <w:spacing w:line="276" w:lineRule="auto"/>
        <w:ind w:firstLine="720"/>
        <w:jc w:val="both"/>
      </w:pPr>
      <w:r>
        <w:t xml:space="preserve">Pirmkārt, </w:t>
      </w:r>
      <w:r w:rsidRPr="0050693F">
        <w:t xml:space="preserve">Eiropas Savienības </w:t>
      </w:r>
      <w:r w:rsidRPr="00607FD3">
        <w:t>Tiesa uzsvēra, ka</w:t>
      </w:r>
      <w:r>
        <w:t xml:space="preserve"> ar</w:t>
      </w:r>
      <w:r w:rsidRPr="00607FD3">
        <w:t xml:space="preserve"> jēdzien</w:t>
      </w:r>
      <w:r>
        <w:t>u</w:t>
      </w:r>
      <w:r w:rsidRPr="00607FD3">
        <w:t xml:space="preserve"> </w:t>
      </w:r>
      <w:r>
        <w:t>„</w:t>
      </w:r>
      <w:r w:rsidRPr="00607FD3">
        <w:t xml:space="preserve">galvenais mērķis” </w:t>
      </w:r>
      <w:r w:rsidRPr="007E0F6C">
        <w:t>saprot</w:t>
      </w:r>
      <w:r>
        <w:t>ams</w:t>
      </w:r>
      <w:r w:rsidRPr="007E0F6C">
        <w:t xml:space="preserve"> </w:t>
      </w:r>
      <w:r>
        <w:t xml:space="preserve">tāds </w:t>
      </w:r>
      <w:r w:rsidRPr="007E0F6C">
        <w:t>mērķis, ko tas</w:t>
      </w:r>
      <w:r>
        <w:t xml:space="preserve"> pats</w:t>
      </w:r>
      <w:r w:rsidRPr="007E0F6C">
        <w:t xml:space="preserve"> sev ir noteicis, un ka šis mērķis ir svarīgāks </w:t>
      </w:r>
      <w:r>
        <w:t xml:space="preserve">– </w:t>
      </w:r>
      <w:r w:rsidRPr="007E0F6C">
        <w:t>prioritārāks par citiem iespējamiem subjekta mērķiem</w:t>
      </w:r>
      <w:r>
        <w:t xml:space="preserve">. Proti, </w:t>
      </w:r>
      <w:r w:rsidRPr="007E0F6C">
        <w:t xml:space="preserve">organizācijai var būt vairāki mērķi un tā var veikt dažāda veida darbības, </w:t>
      </w:r>
      <w:r>
        <w:t>tomēr</w:t>
      </w:r>
      <w:r w:rsidRPr="007E0F6C">
        <w:t xml:space="preserve"> šo dažādo mērķu vidū neatkarīgu pētījumu veikšana un šo darbību rezultātu plaša izplatīšana ir galvenais mērķis, kas ir pārāks par citiem mērķiem </w:t>
      </w:r>
      <w:r w:rsidRPr="00607FD3">
        <w:t>(</w:t>
      </w:r>
      <w:r w:rsidRPr="00607FD3">
        <w:rPr>
          <w:i/>
          <w:iCs/>
        </w:rPr>
        <w:t>46.</w:t>
      </w:r>
      <w:r w:rsidRPr="005D44DF">
        <w:rPr>
          <w:i/>
          <w:iCs/>
        </w:rPr>
        <w:t>–47.</w:t>
      </w:r>
      <w:r w:rsidRPr="00607FD3">
        <w:rPr>
          <w:i/>
          <w:iCs/>
        </w:rPr>
        <w:t>punkt</w:t>
      </w:r>
      <w:r w:rsidRPr="005D44DF">
        <w:rPr>
          <w:i/>
          <w:iCs/>
        </w:rPr>
        <w:t>s</w:t>
      </w:r>
      <w:r w:rsidRPr="00607FD3">
        <w:t xml:space="preserve">). </w:t>
      </w:r>
      <w:r>
        <w:t>P</w:t>
      </w:r>
      <w:r w:rsidRPr="00607FD3">
        <w:t xml:space="preserve">ētniecības un zināšanu izplatīšanas organizācija var veikt arī citas darbības, tostarp saimnieciska rakstura, piemēram, izglītības pakalpojumu sniegšanu par maksu, </w:t>
      </w:r>
      <w:r w:rsidRPr="00D710BA">
        <w:t>taču šīm darbībām ir jābūt sekundārām un pakārtotām pētniecībai, nevis dominējošām</w:t>
      </w:r>
      <w:r w:rsidRPr="00607FD3">
        <w:t xml:space="preserve"> (</w:t>
      </w:r>
      <w:r w:rsidRPr="00607FD3">
        <w:rPr>
          <w:i/>
          <w:iCs/>
        </w:rPr>
        <w:t>48.punkts</w:t>
      </w:r>
      <w:r w:rsidRPr="00607FD3">
        <w:t>). Izšķiroša nozīme ir tam, vai attiecīgais subjekts faktiski veic neatkarīgus pētījumus, ko papildina šo pētījumu rezultātu izplatīšanas darbības, piemēram, caur mācībām, publikācijām vai zināšanu pārnesi (</w:t>
      </w:r>
      <w:r w:rsidRPr="00607FD3">
        <w:rPr>
          <w:i/>
          <w:iCs/>
        </w:rPr>
        <w:t>50.punkts</w:t>
      </w:r>
      <w:r w:rsidRPr="00607FD3">
        <w:t>).</w:t>
      </w:r>
    </w:p>
    <w:p w14:paraId="1002750F" w14:textId="7BE4A38E" w:rsidR="00C36E01" w:rsidRDefault="00C36E01" w:rsidP="009871C6">
      <w:pPr>
        <w:spacing w:line="276" w:lineRule="auto"/>
        <w:ind w:firstLine="720"/>
        <w:jc w:val="both"/>
      </w:pPr>
      <w:r>
        <w:t>Eiropas Savienības Tiesa norādīja: l</w:t>
      </w:r>
      <w:r w:rsidRPr="00607FD3">
        <w:t xml:space="preserve">ai </w:t>
      </w:r>
      <w:r w:rsidRPr="005D44DF">
        <w:t>novērtētu subjekta galveno mērķi</w:t>
      </w:r>
      <w:r>
        <w:t>,</w:t>
      </w:r>
      <w:r w:rsidRPr="005D44DF">
        <w:t xml:space="preserve"> ir </w:t>
      </w:r>
      <w:r>
        <w:t xml:space="preserve">jāņem vērā </w:t>
      </w:r>
      <w:r w:rsidRPr="005D44DF">
        <w:t>visi nozīmīgie kritēriji, kā, piemēram, atbilstoš</w:t>
      </w:r>
      <w:r>
        <w:t xml:space="preserve">s </w:t>
      </w:r>
      <w:r w:rsidRPr="005D44DF">
        <w:t>tiesisk</w:t>
      </w:r>
      <w:r>
        <w:t>ais</w:t>
      </w:r>
      <w:r w:rsidRPr="005D44DF">
        <w:t xml:space="preserve"> regulējum</w:t>
      </w:r>
      <w:r>
        <w:t>s</w:t>
      </w:r>
      <w:r w:rsidRPr="005D44DF">
        <w:t xml:space="preserve"> vai attiecīgā subjekta statūt</w:t>
      </w:r>
      <w:r>
        <w:t>i (</w:t>
      </w:r>
      <w:r w:rsidRPr="00C36E01">
        <w:rPr>
          <w:i/>
          <w:iCs/>
        </w:rPr>
        <w:t>52.punkts</w:t>
      </w:r>
      <w:r>
        <w:t>)</w:t>
      </w:r>
      <w:r w:rsidRPr="005D44DF">
        <w:t>.</w:t>
      </w:r>
      <w:r>
        <w:t xml:space="preserve"> </w:t>
      </w:r>
      <w:r w:rsidRPr="00607FD3">
        <w:t>Vienlaikus T</w:t>
      </w:r>
      <w:r w:rsidR="0087662F">
        <w:t>iesa</w:t>
      </w:r>
      <w:r w:rsidRPr="00607FD3">
        <w:t xml:space="preserve"> skaidri atzina, ka subjekta kvalifikāciju nevar balstīt tikai uz ieņēmumu struktūru – proti, to, ka lielāko daļu ienākumu tas gūst no saimnieciskas darbības, piemēram, maksas izglītības sniegšanas. Šāds rādītājs var tikt ņemts vērā, taču tas nedrīkst būt vienīgais vai izšķirošais novērtējuma kritērijs (</w:t>
      </w:r>
      <w:r w:rsidRPr="00C36E01">
        <w:rPr>
          <w:i/>
          <w:iCs/>
        </w:rPr>
        <w:t>54.–</w:t>
      </w:r>
      <w:r w:rsidRPr="00607FD3">
        <w:rPr>
          <w:i/>
          <w:iCs/>
        </w:rPr>
        <w:t>5</w:t>
      </w:r>
      <w:r>
        <w:rPr>
          <w:i/>
          <w:iCs/>
        </w:rPr>
        <w:t>8.</w:t>
      </w:r>
      <w:r w:rsidRPr="00607FD3">
        <w:rPr>
          <w:i/>
          <w:iCs/>
        </w:rPr>
        <w:t>punkts</w:t>
      </w:r>
      <w:r w:rsidRPr="00607FD3">
        <w:t>).</w:t>
      </w:r>
      <w:r>
        <w:t xml:space="preserve"> Proti, </w:t>
      </w:r>
      <w:r w:rsidRPr="00C36E01">
        <w:t>privāto tiesību subjektu, kurš veic vairākas darbības, tostarp pētniecību, bet lielāko ieņēmumu daļu gūst no tādām saimnieciskām darbībām kā izglītības pakalpojumu sniegšana par maksu, var uzskatīt par pētniecības un zināšanu izplatīšanas organizāciju Regulas Nr. 651/2014</w:t>
      </w:r>
      <w:r w:rsidR="00C047EA">
        <w:t xml:space="preserve"> </w:t>
      </w:r>
      <w:r w:rsidRPr="00C36E01">
        <w:t>2.panta 83.punkt</w:t>
      </w:r>
      <w:r>
        <w:t xml:space="preserve">a izpratnē </w:t>
      </w:r>
      <w:r w:rsidRPr="00C36E01">
        <w:t>ar nosacījumu, ka, ņemot vērā visus apstākļus, kuriem ir nozīme attiecīgajā lietā, var konstatēt, ka tā galvenais mērķis ir pilnīgi neatkarīgi veikt fundamentālos pētījumus, rūpnieciskos pētījumus vai eksperimentālo izstrādi, ko, iespējams, papildina šādu pētījumu rezultātu izplatīšanas darbības, mācību, publikāciju vai zināšanu pārneses veidā. Šajā ziņā no šāda subjekta nevar prasīt, lai tas konkrētu proporciju no saviem ieņēmumiem gūtu no pētniecības un zināšanu izplatīšanas darbībām, kurām nav saimnieciska rakstura</w:t>
      </w:r>
      <w:r>
        <w:t xml:space="preserve"> (</w:t>
      </w:r>
      <w:r w:rsidRPr="00C36E01">
        <w:rPr>
          <w:i/>
          <w:iCs/>
        </w:rPr>
        <w:t>59.punkts</w:t>
      </w:r>
      <w:r>
        <w:t xml:space="preserve">). </w:t>
      </w:r>
      <w:r w:rsidRPr="003053D4">
        <w:t>Tāpat Eiropas Savienības Tiesa atzina, ka pētniecības organizācijai nav obligāti jāreinvestē savi ieņēmumi pētniecībā, lai atbilstu Regulas Nr.</w:t>
      </w:r>
      <w:r>
        <w:t> </w:t>
      </w:r>
      <w:r w:rsidRPr="003053D4">
        <w:t>651/2014 2.panta 83.punktā paredzētajai definīcijai</w:t>
      </w:r>
      <w:r>
        <w:t xml:space="preserve"> (</w:t>
      </w:r>
      <w:r w:rsidRPr="00C36E01">
        <w:rPr>
          <w:i/>
          <w:iCs/>
        </w:rPr>
        <w:t>60.–64.punkts</w:t>
      </w:r>
      <w:r>
        <w:t>).</w:t>
      </w:r>
    </w:p>
    <w:p w14:paraId="0B8B7738" w14:textId="7416713A" w:rsidR="005C012C" w:rsidRPr="005C012C" w:rsidRDefault="005C012C" w:rsidP="009871C6">
      <w:pPr>
        <w:spacing w:line="276" w:lineRule="auto"/>
        <w:ind w:firstLine="720"/>
        <w:jc w:val="both"/>
      </w:pPr>
      <w:r>
        <w:t xml:space="preserve">Senāts atzīst, ka, </w:t>
      </w:r>
      <w:r w:rsidR="00E32997">
        <w:t>t</w:t>
      </w:r>
      <w:r w:rsidRPr="00E36E25">
        <w:t xml:space="preserve">iesa </w:t>
      </w:r>
      <w:r>
        <w:t xml:space="preserve">spriedumā </w:t>
      </w:r>
      <w:r w:rsidRPr="00E36E25">
        <w:t>ir ņēmusi vērā</w:t>
      </w:r>
      <w:r w:rsidR="002249B7">
        <w:t xml:space="preserve"> un pareizi piemērojusi</w:t>
      </w:r>
      <w:r w:rsidRPr="00E36E25">
        <w:t xml:space="preserve"> Eiropas Savienības Tiesas spriedumā izteiktās atziņas attiecībā uz Regulas Nr. 651/2014 2.panta 83.punktā noteikto pētniecības organizācijas definīcij</w:t>
      </w:r>
      <w:r w:rsidR="006C6CF1">
        <w:t xml:space="preserve">u. </w:t>
      </w:r>
    </w:p>
    <w:p w14:paraId="64198E45" w14:textId="77777777" w:rsidR="005C012C" w:rsidRPr="00C21CA1" w:rsidRDefault="005C012C" w:rsidP="009871C6">
      <w:pPr>
        <w:spacing w:line="276" w:lineRule="auto"/>
        <w:ind w:firstLine="720"/>
        <w:jc w:val="both"/>
      </w:pPr>
    </w:p>
    <w:p w14:paraId="70C3C7AB" w14:textId="45A0E593" w:rsidR="00D67B5B" w:rsidRPr="00C21CA1" w:rsidRDefault="005C012C" w:rsidP="009871C6">
      <w:pPr>
        <w:spacing w:line="276" w:lineRule="auto"/>
        <w:ind w:firstLine="720"/>
        <w:jc w:val="both"/>
      </w:pPr>
      <w:r w:rsidRPr="00C21CA1">
        <w:t>[</w:t>
      </w:r>
      <w:r w:rsidR="00EF3655">
        <w:t>9</w:t>
      </w:r>
      <w:r w:rsidRPr="00C21CA1">
        <w:t>] </w:t>
      </w:r>
      <w:r w:rsidR="0061634A" w:rsidRPr="00C21CA1">
        <w:t xml:space="preserve">Atbilstoši </w:t>
      </w:r>
      <w:r w:rsidR="006C6CF1" w:rsidRPr="00C21CA1">
        <w:t>Eiropas Savienības Tiesa</w:t>
      </w:r>
      <w:r w:rsidR="00C21CA1">
        <w:t>s</w:t>
      </w:r>
      <w:r w:rsidR="006C6CF1" w:rsidRPr="00C21CA1">
        <w:t xml:space="preserve"> </w:t>
      </w:r>
      <w:r w:rsidR="0061634A" w:rsidRPr="00C21CA1">
        <w:t xml:space="preserve">spriedumam </w:t>
      </w:r>
      <w:r w:rsidR="00D67B5B" w:rsidRPr="00C21CA1">
        <w:rPr>
          <w:color w:val="000000" w:themeColor="text1"/>
        </w:rPr>
        <w:t xml:space="preserve">pētniecības un zināšanu </w:t>
      </w:r>
      <w:r w:rsidR="00D67B5B" w:rsidRPr="00C21CA1">
        <w:t xml:space="preserve">izplatīšanas organizācija var veikt arī citas darbības, tostarp izglītības pakalpojumu sniegšanu par maksu, taču šīm darbībām ir jābūt </w:t>
      </w:r>
      <w:r w:rsidR="00D67B5B" w:rsidRPr="00D717DB">
        <w:t>sekundārām un pakārtotām</w:t>
      </w:r>
      <w:r w:rsidR="00D67B5B" w:rsidRPr="00194E72">
        <w:rPr>
          <w:i/>
          <w:iCs/>
        </w:rPr>
        <w:t xml:space="preserve"> </w:t>
      </w:r>
      <w:r w:rsidR="00D67B5B" w:rsidRPr="00194E72">
        <w:t>pētniecībai,</w:t>
      </w:r>
      <w:r w:rsidR="00D67B5B" w:rsidRPr="00C21CA1">
        <w:t xml:space="preserve"> nevis dominējošām. </w:t>
      </w:r>
      <w:r w:rsidR="00B55083" w:rsidRPr="00C21CA1">
        <w:t xml:space="preserve">Lai noteiktu, vai organizācijas galvenais mērķis ir pētniecība, ir jāvērtē visi apstākļi, kuriem varētu būt nozīme minētā noteikšanā kopsakarā, </w:t>
      </w:r>
      <w:r w:rsidR="0061634A" w:rsidRPr="00C21CA1">
        <w:t>tostarp</w:t>
      </w:r>
      <w:r w:rsidR="00B55083" w:rsidRPr="00C21CA1">
        <w:t xml:space="preserve"> </w:t>
      </w:r>
      <w:r w:rsidR="0061634A" w:rsidRPr="00C21CA1">
        <w:t xml:space="preserve">institūcijas </w:t>
      </w:r>
      <w:r w:rsidR="00B55083" w:rsidRPr="00C21CA1">
        <w:t xml:space="preserve">statūtos noteiktie mērķi, faktiski īstenotā pētniecības darbība un tās rezultātu izplatīšana, </w:t>
      </w:r>
      <w:r w:rsidR="0061634A" w:rsidRPr="00C21CA1">
        <w:t xml:space="preserve">kā </w:t>
      </w:r>
      <w:r w:rsidR="00B55083" w:rsidRPr="00C21CA1">
        <w:t>arī ieņēmumu struktūra</w:t>
      </w:r>
      <w:r w:rsidR="00DD68B9" w:rsidRPr="00C21CA1">
        <w:t>.</w:t>
      </w:r>
    </w:p>
    <w:p w14:paraId="1BAA21DE" w14:textId="56974B82" w:rsidR="00A419CA" w:rsidRDefault="0061634A" w:rsidP="009871C6">
      <w:pPr>
        <w:spacing w:line="276" w:lineRule="auto"/>
        <w:ind w:firstLine="720"/>
        <w:jc w:val="both"/>
      </w:pPr>
      <w:r w:rsidRPr="00C21CA1">
        <w:t>Izskatāmajā gadījumā to, ka pieteicējas</w:t>
      </w:r>
      <w:r w:rsidR="00D67B5B" w:rsidRPr="00C21CA1">
        <w:t xml:space="preserve"> galven</w:t>
      </w:r>
      <w:r w:rsidRPr="00C21CA1">
        <w:t>ais</w:t>
      </w:r>
      <w:r w:rsidR="00D67B5B" w:rsidRPr="00C21CA1">
        <w:t xml:space="preserve"> mērķi</w:t>
      </w:r>
      <w:r w:rsidRPr="00C21CA1">
        <w:t>s ir izglītības pakalpojumu sniegšana</w:t>
      </w:r>
      <w:r w:rsidR="00C21CA1" w:rsidRPr="00C21CA1">
        <w:t xml:space="preserve">, nevis </w:t>
      </w:r>
      <w:r w:rsidR="00A419CA">
        <w:t xml:space="preserve">neatkarīga </w:t>
      </w:r>
      <w:r w:rsidR="00C21CA1" w:rsidRPr="00C21CA1">
        <w:t>pētniecība, tiesa</w:t>
      </w:r>
      <w:r w:rsidR="00D67B5B" w:rsidRPr="00C21CA1">
        <w:t xml:space="preserve"> </w:t>
      </w:r>
      <w:r w:rsidR="00C21CA1" w:rsidRPr="00C21CA1">
        <w:t>ir konstatējusi, pamatojoties uz šādiem apstākļiem:</w:t>
      </w:r>
    </w:p>
    <w:p w14:paraId="41133120" w14:textId="192F7877" w:rsidR="00A419CA" w:rsidRDefault="00A419CA" w:rsidP="009871C6">
      <w:pPr>
        <w:spacing w:line="276" w:lineRule="auto"/>
        <w:ind w:firstLine="720"/>
        <w:jc w:val="both"/>
      </w:pPr>
      <w:r>
        <w:t>1) t</w:t>
      </w:r>
      <w:r w:rsidRPr="00A419CA">
        <w:t xml:space="preserve">iesa izvērtēja </w:t>
      </w:r>
      <w:r w:rsidRPr="009214CE">
        <w:t>likuma „Par Rīgas Ekonomikas augstskolu” 4., 7. un 8.pant</w:t>
      </w:r>
      <w:r w:rsidR="00194E72">
        <w:t>ā noteikto</w:t>
      </w:r>
      <w:r w:rsidRPr="009214CE">
        <w:t xml:space="preserve"> </w:t>
      </w:r>
      <w:r w:rsidR="006A370A">
        <w:t xml:space="preserve">kopsakarā ar </w:t>
      </w:r>
      <w:r w:rsidR="006A370A" w:rsidRPr="00A419CA">
        <w:t>pieteicējas darbību reglamentējoš</w:t>
      </w:r>
      <w:r w:rsidR="006A370A">
        <w:t>iem</w:t>
      </w:r>
      <w:r w:rsidR="006A370A" w:rsidRPr="00A419CA">
        <w:t xml:space="preserve"> </w:t>
      </w:r>
      <w:r w:rsidR="006A370A" w:rsidRPr="009214CE">
        <w:t>dokument</w:t>
      </w:r>
      <w:r w:rsidR="006A370A">
        <w:t>iem</w:t>
      </w:r>
      <w:r w:rsidR="006A370A" w:rsidRPr="009214CE">
        <w:t xml:space="preserve"> </w:t>
      </w:r>
      <w:r w:rsidR="005B0589">
        <w:t>–</w:t>
      </w:r>
      <w:r w:rsidR="006A370A" w:rsidRPr="009214CE">
        <w:rPr>
          <w:rFonts w:eastAsiaTheme="minorHAnsi"/>
        </w:rPr>
        <w:t xml:space="preserve"> Satversm</w:t>
      </w:r>
      <w:r w:rsidR="006A370A" w:rsidRPr="009214CE">
        <w:t>i un statūt</w:t>
      </w:r>
      <w:r w:rsidR="005B0589">
        <w:t xml:space="preserve">iem – </w:t>
      </w:r>
      <w:r w:rsidRPr="009214CE">
        <w:t xml:space="preserve">un </w:t>
      </w:r>
      <w:r w:rsidR="00EC2B91" w:rsidRPr="009214CE">
        <w:t>konstatēja</w:t>
      </w:r>
      <w:r w:rsidRPr="009214CE">
        <w:t>, ka pieteicējai ir vairāki mērķi: gan sniegt augstāko izglītību, gan</w:t>
      </w:r>
      <w:r>
        <w:t xml:space="preserve"> </w:t>
      </w:r>
      <w:r w:rsidRPr="00A419CA">
        <w:t>attīstīt zinātni un izplatīt zinātniskās</w:t>
      </w:r>
      <w:r>
        <w:t xml:space="preserve"> </w:t>
      </w:r>
      <w:r w:rsidRPr="00A419CA">
        <w:t>atziņas un pētījumu rezultātus.</w:t>
      </w:r>
      <w:r>
        <w:t xml:space="preserve"> Ņemot vērā, ka no</w:t>
      </w:r>
      <w:r w:rsidRPr="00A419CA">
        <w:t xml:space="preserve"> pieteicējas</w:t>
      </w:r>
      <w:r>
        <w:t xml:space="preserve"> </w:t>
      </w:r>
      <w:r w:rsidRPr="00A419CA">
        <w:t>darbību reglamentējošiem dokumentiem nav acīmredzami izsecināms tās darbības</w:t>
      </w:r>
      <w:r>
        <w:t xml:space="preserve"> </w:t>
      </w:r>
      <w:r w:rsidRPr="00A419CA">
        <w:t>galvenais mērķis un pakārtotības attiecības starp definētajiem mērķiem un</w:t>
      </w:r>
      <w:r>
        <w:t xml:space="preserve"> </w:t>
      </w:r>
      <w:r w:rsidRPr="00A419CA">
        <w:t xml:space="preserve">uzdevumiem, </w:t>
      </w:r>
      <w:r>
        <w:t xml:space="preserve">tiesa atzina par </w:t>
      </w:r>
      <w:r w:rsidRPr="00A419CA">
        <w:t>nepiecieša</w:t>
      </w:r>
      <w:r>
        <w:t>mu</w:t>
      </w:r>
      <w:r w:rsidRPr="00A419CA">
        <w:t xml:space="preserve"> novērtēt arī citus pieteicējas darbību</w:t>
      </w:r>
      <w:r>
        <w:t xml:space="preserve"> </w:t>
      </w:r>
      <w:r w:rsidRPr="00A419CA">
        <w:t>raksturojošus apstākļus</w:t>
      </w:r>
      <w:r>
        <w:t>;</w:t>
      </w:r>
    </w:p>
    <w:p w14:paraId="05A5D054" w14:textId="1EE4ADE0" w:rsidR="00C473D4" w:rsidRDefault="00A419CA" w:rsidP="009871C6">
      <w:pPr>
        <w:spacing w:line="276" w:lineRule="auto"/>
        <w:ind w:firstLine="720"/>
        <w:jc w:val="both"/>
      </w:pPr>
      <w:r>
        <w:t>2) </w:t>
      </w:r>
      <w:r w:rsidR="009214CE">
        <w:t xml:space="preserve">tiesa izvērtēja </w:t>
      </w:r>
      <w:r w:rsidR="009214CE" w:rsidRPr="003775EB">
        <w:t>projekta iesniegumam pievienot</w:t>
      </w:r>
      <w:r w:rsidR="009214CE">
        <w:t xml:space="preserve">ajā pieteicējas </w:t>
      </w:r>
      <w:r w:rsidR="009214CE" w:rsidRPr="003775EB">
        <w:t>grāmatvedības politikā</w:t>
      </w:r>
      <w:r w:rsidR="009214CE">
        <w:t xml:space="preserve"> un </w:t>
      </w:r>
      <w:r w:rsidR="009214CE" w:rsidRPr="003775EB">
        <w:t>finanšu apgrozījuma veidlap</w:t>
      </w:r>
      <w:r w:rsidR="009214CE">
        <w:t xml:space="preserve">ā norādīto informāciju, kā arī pieteicējas </w:t>
      </w:r>
      <w:r w:rsidR="009214CE" w:rsidRPr="003775EB">
        <w:t>gada pārskat</w:t>
      </w:r>
      <w:r w:rsidR="009214CE">
        <w:t xml:space="preserve">u </w:t>
      </w:r>
      <w:r w:rsidR="009214CE" w:rsidRPr="003775EB">
        <w:t>par 2018.gadu</w:t>
      </w:r>
      <w:r w:rsidR="00194E72">
        <w:t xml:space="preserve">. Vērtējuma rezultātā tiesa </w:t>
      </w:r>
      <w:r w:rsidR="009214CE">
        <w:t>konstatēja, ka</w:t>
      </w:r>
      <w:r w:rsidR="009214CE">
        <w:rPr>
          <w:color w:val="EE0000"/>
        </w:rPr>
        <w:t xml:space="preserve"> </w:t>
      </w:r>
      <w:r w:rsidR="009214CE" w:rsidRPr="003775EB">
        <w:t>pieteicējas saimnieciskās darbības</w:t>
      </w:r>
      <w:r w:rsidR="009214CE">
        <w:t xml:space="preserve"> (</w:t>
      </w:r>
      <w:r w:rsidR="009214CE" w:rsidRPr="003775EB">
        <w:t>bakalaura un maģistra studiju programmas, vadītāju</w:t>
      </w:r>
      <w:r w:rsidR="009214CE">
        <w:t xml:space="preserve"> </w:t>
      </w:r>
      <w:r w:rsidR="009214CE" w:rsidRPr="003775EB">
        <w:t>tālākizglītības programmas, kā arī atsevišķi pētniecības pakalpojumi</w:t>
      </w:r>
      <w:r w:rsidR="009214CE">
        <w:t>)</w:t>
      </w:r>
      <w:r w:rsidR="009214CE" w:rsidRPr="003775EB">
        <w:t xml:space="preserve"> </w:t>
      </w:r>
      <w:r w:rsidR="009214CE" w:rsidRPr="00650CA6">
        <w:t xml:space="preserve">ieņēmumi dominē </w:t>
      </w:r>
      <w:r w:rsidR="009214CE" w:rsidRPr="003775EB">
        <w:t>pār darbībām, kurām nav saimnieciska rakstura</w:t>
      </w:r>
      <w:r w:rsidR="009214CE">
        <w:t xml:space="preserve"> (</w:t>
      </w:r>
      <w:r w:rsidR="009214CE" w:rsidRPr="003775EB">
        <w:t>fundamentālo pētījumu, rūpniecisko pētījumu un eksperimentālās izstrādes, t</w:t>
      </w:r>
      <w:r w:rsidR="0087662F">
        <w:t xml:space="preserve">ai </w:t>
      </w:r>
      <w:r w:rsidR="009214CE" w:rsidRPr="003775EB">
        <w:t>sk</w:t>
      </w:r>
      <w:r w:rsidR="0087662F">
        <w:t>aitā</w:t>
      </w:r>
      <w:r w:rsidR="009214CE">
        <w:t xml:space="preserve"> </w:t>
      </w:r>
      <w:r w:rsidR="009214CE" w:rsidRPr="003775EB">
        <w:t>sadarbības projektu ietvaros, veikšana un to rezultātu izplatīšana mācību, publikāciju</w:t>
      </w:r>
      <w:r w:rsidR="009214CE">
        <w:t xml:space="preserve"> </w:t>
      </w:r>
      <w:r w:rsidR="009214CE" w:rsidRPr="003775EB">
        <w:t>vai tehnoloģiju nodošanas veidā</w:t>
      </w:r>
      <w:r w:rsidR="009214CE">
        <w:t>)</w:t>
      </w:r>
      <w:r w:rsidR="009214CE" w:rsidRPr="003775EB">
        <w:t xml:space="preserve">. </w:t>
      </w:r>
      <w:r w:rsidR="009214CE">
        <w:t xml:space="preserve">Tiesa </w:t>
      </w:r>
      <w:r w:rsidR="001B2FFE">
        <w:t>atzina</w:t>
      </w:r>
      <w:r w:rsidR="009214CE">
        <w:t>,</w:t>
      </w:r>
      <w:r w:rsidR="001B2FFE">
        <w:t xml:space="preserve"> ka</w:t>
      </w:r>
      <w:r w:rsidR="009214CE">
        <w:t xml:space="preserve"> t</w:t>
      </w:r>
      <w:r w:rsidR="009214CE" w:rsidRPr="003775EB">
        <w:t>as liecina, ka</w:t>
      </w:r>
      <w:r w:rsidR="009214CE">
        <w:t xml:space="preserve"> </w:t>
      </w:r>
      <w:r w:rsidR="009214CE" w:rsidRPr="003775EB">
        <w:t xml:space="preserve">pieteicējas pamatdarbība </w:t>
      </w:r>
      <w:r w:rsidR="00194E72">
        <w:t xml:space="preserve">tomēr </w:t>
      </w:r>
      <w:r w:rsidR="009214CE" w:rsidRPr="003775EB">
        <w:t>ir tieši saimnieciskā darbība – izglītības pakalpojumu</w:t>
      </w:r>
      <w:r w:rsidR="009214CE">
        <w:t xml:space="preserve"> </w:t>
      </w:r>
      <w:r w:rsidR="009214CE" w:rsidRPr="003775EB">
        <w:t>sniegšana</w:t>
      </w:r>
      <w:r w:rsidR="001B2FFE">
        <w:t>;</w:t>
      </w:r>
    </w:p>
    <w:p w14:paraId="002BE42E" w14:textId="75357AB0" w:rsidR="009214CE" w:rsidRDefault="009214CE" w:rsidP="009871C6">
      <w:pPr>
        <w:spacing w:line="276" w:lineRule="auto"/>
        <w:ind w:firstLine="720"/>
        <w:jc w:val="both"/>
      </w:pPr>
      <w:r>
        <w:t xml:space="preserve">3) tiesa vērtēja pieteicējas sniegto informāciju par tās </w:t>
      </w:r>
      <w:r w:rsidRPr="009214CE">
        <w:t>studentu veiktajiem</w:t>
      </w:r>
      <w:r>
        <w:t xml:space="preserve"> </w:t>
      </w:r>
      <w:r w:rsidRPr="009214CE">
        <w:t>pētnieciskajiem darbiem un mācībspēku veiktajiem pētījumiem, kā arī zinātniski pētniecisko darbību dažādu projektu ietvaros</w:t>
      </w:r>
      <w:r w:rsidR="00194E72">
        <w:t xml:space="preserve">. Vērtējuma rezultātā tiesa </w:t>
      </w:r>
      <w:r>
        <w:t xml:space="preserve">secināja, ka </w:t>
      </w:r>
      <w:r w:rsidR="00194E72">
        <w:t>pieteicēja</w:t>
      </w:r>
      <w:r>
        <w:t xml:space="preserve"> </w:t>
      </w:r>
      <w:r w:rsidRPr="009214CE">
        <w:t>īsteno arī zinātniski pētniecisku darbību</w:t>
      </w:r>
      <w:r>
        <w:t xml:space="preserve">. </w:t>
      </w:r>
      <w:r w:rsidRPr="009214CE">
        <w:t>Proti,</w:t>
      </w:r>
      <w:r>
        <w:t xml:space="preserve"> </w:t>
      </w:r>
      <w:r w:rsidRPr="009214CE">
        <w:t>studiju procesa ietvaros bakalaura un maģistra studiju programmās studējošie izstrādā pētnieciskos darbus, pētījumus veic arī mācībspēki.</w:t>
      </w:r>
      <w:r>
        <w:t xml:space="preserve"> T</w:t>
      </w:r>
      <w:r w:rsidR="00194E72">
        <w:t>āpat t</w:t>
      </w:r>
      <w:r>
        <w:t>iesa konstatēja, ka pieteicējai</w:t>
      </w:r>
      <w:r w:rsidR="005B0589">
        <w:t xml:space="preserve"> strīdus periodā</w:t>
      </w:r>
      <w:r>
        <w:t xml:space="preserve"> ir bijušas gan vairākas zinātniskās publikācijas, gan </w:t>
      </w:r>
      <w:r w:rsidR="00194E72">
        <w:t xml:space="preserve">arī </w:t>
      </w:r>
      <w:r>
        <w:t xml:space="preserve">tā </w:t>
      </w:r>
      <w:r w:rsidR="005B0589">
        <w:t>iesaistījusies</w:t>
      </w:r>
      <w:r>
        <w:t xml:space="preserve"> dažādos projektos. </w:t>
      </w:r>
      <w:r w:rsidRPr="009214CE">
        <w:t xml:space="preserve">Tomēr </w:t>
      </w:r>
      <w:r>
        <w:t xml:space="preserve">tiesa atzina, ka </w:t>
      </w:r>
      <w:r w:rsidRPr="009214CE">
        <w:t>no minētās informācijas nav gūstams apstiprinājums tam, ka neatkarīgu</w:t>
      </w:r>
      <w:r>
        <w:t xml:space="preserve"> </w:t>
      </w:r>
      <w:r w:rsidRPr="009214CE">
        <w:t>zinātnisko pētījumu veikšana ir pieteicējas pamatdarbība un ka tā dominētu pār citām</w:t>
      </w:r>
      <w:r>
        <w:t xml:space="preserve"> </w:t>
      </w:r>
      <w:r w:rsidRPr="009214CE">
        <w:t>pieteicējas veiktajām darbībām</w:t>
      </w:r>
      <w:r>
        <w:t>;</w:t>
      </w:r>
    </w:p>
    <w:p w14:paraId="38712692" w14:textId="132E39CF" w:rsidR="001B2FFE" w:rsidRDefault="009214CE" w:rsidP="009871C6">
      <w:pPr>
        <w:spacing w:line="276" w:lineRule="auto"/>
        <w:ind w:firstLine="720"/>
        <w:jc w:val="both"/>
      </w:pPr>
      <w:r>
        <w:t xml:space="preserve">4) tiesa vērtēja pieteicējas </w:t>
      </w:r>
      <w:r w:rsidRPr="009214CE">
        <w:t>attīstības stratēģijā</w:t>
      </w:r>
      <w:r>
        <w:t xml:space="preserve"> norādīto un </w:t>
      </w:r>
      <w:r w:rsidRPr="009214CE">
        <w:t>secinā</w:t>
      </w:r>
      <w:r>
        <w:t>ja</w:t>
      </w:r>
      <w:r w:rsidRPr="009214CE">
        <w:t xml:space="preserve">, </w:t>
      </w:r>
      <w:r>
        <w:t>ka pieteicēja savā</w:t>
      </w:r>
      <w:r w:rsidRPr="009214CE">
        <w:t xml:space="preserve"> darbībā nodalījusi</w:t>
      </w:r>
      <w:r>
        <w:t xml:space="preserve"> </w:t>
      </w:r>
      <w:r w:rsidRPr="009214CE">
        <w:t>piecus atšķirīgus darbības virzienus, kas aptver bakalauru studiju programmu</w:t>
      </w:r>
      <w:r>
        <w:t xml:space="preserve"> </w:t>
      </w:r>
      <w:r w:rsidRPr="009214CE">
        <w:t>īstenošanu, maģistra studiju programmu īstenošanu, vadības programmu īstenošanu,</w:t>
      </w:r>
      <w:r>
        <w:t xml:space="preserve"> </w:t>
      </w:r>
      <w:r w:rsidRPr="009214CE">
        <w:t xml:space="preserve">Mediju studiju centru un pētniecības darbības. Tādējādi </w:t>
      </w:r>
      <w:r>
        <w:t xml:space="preserve">tiesa konstatēja, ka </w:t>
      </w:r>
      <w:r w:rsidRPr="009214CE">
        <w:t>arī pati</w:t>
      </w:r>
      <w:r>
        <w:t xml:space="preserve"> </w:t>
      </w:r>
      <w:r w:rsidRPr="009214CE">
        <w:t>pieteicēja ir saskatījusi nošķīrumu starp studiju programmu īstenošanu un pētniecisku</w:t>
      </w:r>
      <w:r>
        <w:t xml:space="preserve"> </w:t>
      </w:r>
      <w:r w:rsidRPr="009214CE">
        <w:t>projektu īstenošanu</w:t>
      </w:r>
      <w:r>
        <w:t>;</w:t>
      </w:r>
    </w:p>
    <w:p w14:paraId="1656E300" w14:textId="71C48133" w:rsidR="001B2FFE" w:rsidRPr="005300B4" w:rsidRDefault="001B2FFE" w:rsidP="009871C6">
      <w:pPr>
        <w:spacing w:line="276" w:lineRule="auto"/>
        <w:ind w:firstLine="720"/>
        <w:jc w:val="both"/>
      </w:pPr>
      <w:r>
        <w:t xml:space="preserve">5) tiesa atzina, ka apstāklim, ka </w:t>
      </w:r>
      <w:r w:rsidRPr="001B2FFE">
        <w:t>pieteicējas</w:t>
      </w:r>
      <w:r>
        <w:t xml:space="preserve"> </w:t>
      </w:r>
      <w:r w:rsidRPr="001B2FFE">
        <w:t>dalībnieks ir nodibinājums,</w:t>
      </w:r>
      <w:r>
        <w:t xml:space="preserve"> nav izšķirošas nozīmes konkrētā strīda izšķiršanā, jo tas</w:t>
      </w:r>
      <w:r w:rsidRPr="001B2FFE">
        <w:t xml:space="preserve"> pats par sevi neietekmē pieteicējas iespējas veikt</w:t>
      </w:r>
      <w:r>
        <w:t xml:space="preserve"> </w:t>
      </w:r>
      <w:r w:rsidRPr="001B2FFE">
        <w:t>saimnieciska rakstura darbības – izglītošanas darbības par maksu. Turklāt atbilstoši</w:t>
      </w:r>
      <w:r>
        <w:t xml:space="preserve"> </w:t>
      </w:r>
      <w:r w:rsidRPr="001B2FFE">
        <w:t>Eiropas Savienības Tiesas norādītajam nav nepieciešams, lai subjekts savā</w:t>
      </w:r>
      <w:r>
        <w:t xml:space="preserve"> </w:t>
      </w:r>
      <w:r w:rsidRPr="001B2FFE">
        <w:t>pamatdarbībā reinvestētu ieņēmumus no šīs pašas pamatdarbības. Tātad arī tam, vai</w:t>
      </w:r>
      <w:r w:rsidRPr="005300B4">
        <w:t xml:space="preserve"> </w:t>
      </w:r>
      <w:r w:rsidRPr="001B2FFE">
        <w:t>pieteicēja iegulda peļņu savā pamatdarbībā, nav būtiskas nozīmes, un šis apstāklis arī</w:t>
      </w:r>
      <w:r w:rsidRPr="005300B4">
        <w:t xml:space="preserve"> neizšķir, vai attiecīgais subjekts kvalificējams kā pētniecības organizācija.</w:t>
      </w:r>
    </w:p>
    <w:p w14:paraId="1997C60D" w14:textId="683229FD" w:rsidR="005F51C5" w:rsidRDefault="00B55083" w:rsidP="009871C6">
      <w:pPr>
        <w:spacing w:line="276" w:lineRule="auto"/>
        <w:ind w:firstLine="720"/>
        <w:jc w:val="both"/>
      </w:pPr>
      <w:r w:rsidRPr="005300B4">
        <w:rPr>
          <w:rFonts w:asciiTheme="majorBidi" w:hAnsiTheme="majorBidi" w:cstheme="majorBidi"/>
        </w:rPr>
        <w:t xml:space="preserve">Ievērojot minēto, nevar piekrist kasācijas sūdzībā norādītajam, ka tiesa galveno pieteicējas darbības mērķi noteica, balstoties </w:t>
      </w:r>
      <w:r w:rsidR="0061634A" w:rsidRPr="005300B4">
        <w:rPr>
          <w:rFonts w:asciiTheme="majorBidi" w:hAnsiTheme="majorBidi" w:cstheme="majorBidi"/>
        </w:rPr>
        <w:t xml:space="preserve">vien </w:t>
      </w:r>
      <w:r w:rsidRPr="005300B4">
        <w:rPr>
          <w:rFonts w:asciiTheme="majorBidi" w:hAnsiTheme="majorBidi" w:cstheme="majorBidi"/>
        </w:rPr>
        <w:t xml:space="preserve">uz ieņēmumu proporciju. </w:t>
      </w:r>
      <w:r w:rsidR="00E93C1D">
        <w:rPr>
          <w:rFonts w:asciiTheme="majorBidi" w:hAnsiTheme="majorBidi" w:cstheme="majorBidi"/>
        </w:rPr>
        <w:t>T</w:t>
      </w:r>
      <w:r w:rsidRPr="005300B4">
        <w:t xml:space="preserve">iesa ir </w:t>
      </w:r>
      <w:r w:rsidR="005B0589" w:rsidRPr="005300B4">
        <w:t>vērtējusi</w:t>
      </w:r>
      <w:r w:rsidRPr="005300B4">
        <w:t xml:space="preserve"> </w:t>
      </w:r>
      <w:r w:rsidR="00C21CA1" w:rsidRPr="005300B4">
        <w:t xml:space="preserve">gan </w:t>
      </w:r>
      <w:r w:rsidRPr="005300B4">
        <w:t>pieteicējas darbību reglamentējošos dokumentus</w:t>
      </w:r>
      <w:r w:rsidR="00E457BB" w:rsidRPr="005300B4">
        <w:t xml:space="preserve">, gan </w:t>
      </w:r>
      <w:r w:rsidR="005B0589" w:rsidRPr="005300B4">
        <w:t xml:space="preserve">ņēmusi vērā </w:t>
      </w:r>
      <w:r w:rsidR="00E457BB" w:rsidRPr="005300B4">
        <w:t>pieteicējas faktiski veikto zinātnisko darbību.</w:t>
      </w:r>
      <w:r w:rsidR="005300B4" w:rsidRPr="005300B4">
        <w:t xml:space="preserve"> Vienlaikus tiesa vērtēja arī pieteicējas finanšu informāciju. Lai gan Eiropas Savienības Tiesa spriedumā šajā lietā atzina, ka ieņēmumu struktūra pati par sevi nevar būt izšķirošs kritērijs</w:t>
      </w:r>
      <w:r w:rsidR="005300B4">
        <w:t xml:space="preserve"> pētniecības </w:t>
      </w:r>
      <w:r w:rsidR="005300B4" w:rsidRPr="005300B4">
        <w:t xml:space="preserve">organizācijas statusa noteikšanā, tā nav </w:t>
      </w:r>
      <w:r w:rsidR="00FB5F59">
        <w:t>pilnībā izslēgusi</w:t>
      </w:r>
      <w:r w:rsidR="005300B4" w:rsidRPr="005300B4">
        <w:t xml:space="preserve"> šo kritēriju </w:t>
      </w:r>
      <w:r w:rsidR="00FB5F59">
        <w:t xml:space="preserve">no </w:t>
      </w:r>
      <w:r w:rsidR="005300B4" w:rsidRPr="005300B4">
        <w:t>vērtē</w:t>
      </w:r>
      <w:r w:rsidR="00FB5F59">
        <w:t>jamiem apstākļiem</w:t>
      </w:r>
      <w:r w:rsidR="005300B4" w:rsidRPr="005300B4">
        <w:t xml:space="preserve">. </w:t>
      </w:r>
      <w:r w:rsidR="00D33125">
        <w:t>Citiem vārdiem</w:t>
      </w:r>
      <w:r w:rsidR="00E93C1D">
        <w:t xml:space="preserve">, </w:t>
      </w:r>
      <w:r w:rsidR="00DD68B9" w:rsidRPr="005300B4">
        <w:t xml:space="preserve">ieņēmumu struktūrai pašai par sevi nevar būt izšķiroša nozīme, </w:t>
      </w:r>
      <w:r w:rsidR="00D33125">
        <w:t xml:space="preserve">tomēr </w:t>
      </w:r>
      <w:r w:rsidR="00DD68B9" w:rsidRPr="005300B4">
        <w:t>t</w:t>
      </w:r>
      <w:r w:rsidR="00FB5F59">
        <w:t xml:space="preserve">ā </w:t>
      </w:r>
      <w:r w:rsidR="00730DE5">
        <w:t>tāpat</w:t>
      </w:r>
      <w:r w:rsidR="00DD68B9" w:rsidRPr="005300B4">
        <w:t xml:space="preserve"> var būt būtisks novērtējuma elements</w:t>
      </w:r>
      <w:r w:rsidR="005300B4">
        <w:t xml:space="preserve">. </w:t>
      </w:r>
    </w:p>
    <w:p w14:paraId="3680DCF7" w14:textId="0CA2B4ED" w:rsidR="005B5840" w:rsidRDefault="005F51C5" w:rsidP="009871C6">
      <w:pPr>
        <w:spacing w:line="276" w:lineRule="auto"/>
        <w:ind w:firstLine="720"/>
        <w:jc w:val="both"/>
      </w:pPr>
      <w:r>
        <w:t xml:space="preserve">Kā jau iepriekš minēts, </w:t>
      </w:r>
      <w:r w:rsidRPr="005F51C5">
        <w:t>Eiropas Savienības Tiesa</w:t>
      </w:r>
      <w:r>
        <w:t xml:space="preserve"> spriedumā</w:t>
      </w:r>
      <w:r w:rsidRPr="005F51C5">
        <w:t xml:space="preserve"> uzsvēra, ka ar jēdzienu „galvenais mērķis” saprotams tāds mērķis, ko subjekts pats sev ir noteicis. </w:t>
      </w:r>
      <w:r>
        <w:t>Senāts atzīst, ka a</w:t>
      </w:r>
      <w:r w:rsidR="00CE401E">
        <w:t xml:space="preserve">pstākļos, kad </w:t>
      </w:r>
      <w:r w:rsidR="00D67B5B">
        <w:t>pati pieteicēja</w:t>
      </w:r>
      <w:r w:rsidR="005300B4">
        <w:t xml:space="preserve"> savu </w:t>
      </w:r>
      <w:r w:rsidR="005300B4" w:rsidRPr="005300B4">
        <w:t>darbību reglamentējošos dokument</w:t>
      </w:r>
      <w:r w:rsidR="00730DE5">
        <w:t>os</w:t>
      </w:r>
      <w:r w:rsidR="00D67B5B">
        <w:t xml:space="preserve"> nav nošķīrusi </w:t>
      </w:r>
      <w:r w:rsidR="0073549B">
        <w:t>neatkarīgu pētniecību kā g</w:t>
      </w:r>
      <w:r w:rsidR="00D67B5B">
        <w:t>alveno mērķi</w:t>
      </w:r>
      <w:r w:rsidR="0073549B">
        <w:t>, kas prevalē pār citiem darbības mērķiem</w:t>
      </w:r>
      <w:r w:rsidR="00A419CA">
        <w:t>, n</w:t>
      </w:r>
      <w:r>
        <w:t>av saskatāma t</w:t>
      </w:r>
      <w:r w:rsidR="00A419CA">
        <w:t>iesas pieļaut</w:t>
      </w:r>
      <w:r w:rsidR="00E93C1D">
        <w:t>a</w:t>
      </w:r>
      <w:r w:rsidR="00A419CA">
        <w:t xml:space="preserve"> kļūd</w:t>
      </w:r>
      <w:r>
        <w:t>a</w:t>
      </w:r>
      <w:r w:rsidR="00A419CA">
        <w:t xml:space="preserve"> tajā, ka</w:t>
      </w:r>
      <w:r w:rsidR="005300B4">
        <w:t>, veicot visaptverošu konkrētā gadījuma apstākļu un pierādījumu vērtējumu, ieņēmumu proporcijai tika piešķirta būtiska nozīme.</w:t>
      </w:r>
    </w:p>
    <w:p w14:paraId="00B704E8" w14:textId="77777777" w:rsidR="00BD0096" w:rsidRDefault="00BD0096" w:rsidP="009871C6">
      <w:pPr>
        <w:spacing w:line="276" w:lineRule="auto"/>
        <w:jc w:val="both"/>
        <w:rPr>
          <w:color w:val="EE0000"/>
        </w:rPr>
      </w:pPr>
    </w:p>
    <w:p w14:paraId="6AE4BE67" w14:textId="740840A2" w:rsidR="00BD0096" w:rsidRPr="00BD0096" w:rsidRDefault="00BD0096" w:rsidP="009871C6">
      <w:pPr>
        <w:spacing w:line="276" w:lineRule="auto"/>
        <w:ind w:firstLine="720"/>
        <w:jc w:val="both"/>
        <w:rPr>
          <w:rFonts w:asciiTheme="majorBidi" w:hAnsiTheme="majorBidi" w:cstheme="majorBidi"/>
          <w:color w:val="000000" w:themeColor="text1"/>
        </w:rPr>
      </w:pPr>
      <w:r w:rsidRPr="00BD0096">
        <w:rPr>
          <w:color w:val="000000" w:themeColor="text1"/>
        </w:rPr>
        <w:t>[1</w:t>
      </w:r>
      <w:r w:rsidR="00EF3655">
        <w:rPr>
          <w:color w:val="000000" w:themeColor="text1"/>
        </w:rPr>
        <w:t>0</w:t>
      </w:r>
      <w:r w:rsidRPr="00BD0096">
        <w:rPr>
          <w:color w:val="000000" w:themeColor="text1"/>
        </w:rPr>
        <w:t>] P</w:t>
      </w:r>
      <w:r w:rsidR="005B5840" w:rsidRPr="00BD0096">
        <w:rPr>
          <w:color w:val="000000" w:themeColor="text1"/>
        </w:rPr>
        <w:t xml:space="preserve">ieteicēja </w:t>
      </w:r>
      <w:r w:rsidRPr="00BD0096">
        <w:rPr>
          <w:color w:val="000000" w:themeColor="text1"/>
        </w:rPr>
        <w:t>uzskata</w:t>
      </w:r>
      <w:r w:rsidR="005B5840" w:rsidRPr="00BD0096">
        <w:rPr>
          <w:color w:val="000000" w:themeColor="text1"/>
        </w:rPr>
        <w:t>,</w:t>
      </w:r>
      <w:r w:rsidRPr="00BD0096">
        <w:rPr>
          <w:color w:val="000000" w:themeColor="text1"/>
        </w:rPr>
        <w:t xml:space="preserve"> ka</w:t>
      </w:r>
      <w:r w:rsidR="005B5840" w:rsidRPr="00BD0096">
        <w:rPr>
          <w:color w:val="000000" w:themeColor="text1"/>
        </w:rPr>
        <w:t xml:space="preserve"> </w:t>
      </w:r>
      <w:r w:rsidRPr="00BD0096">
        <w:rPr>
          <w:rFonts w:asciiTheme="majorBidi" w:hAnsiTheme="majorBidi" w:cstheme="majorBidi"/>
          <w:color w:val="000000" w:themeColor="text1"/>
        </w:rPr>
        <w:t xml:space="preserve">tiesa </w:t>
      </w:r>
      <w:r w:rsidR="005B5840" w:rsidRPr="00BD0096">
        <w:rPr>
          <w:rFonts w:asciiTheme="majorBidi" w:hAnsiTheme="majorBidi" w:cstheme="majorBidi"/>
          <w:color w:val="000000" w:themeColor="text1"/>
        </w:rPr>
        <w:t>nav pienācīgi izvērtējusi visus</w:t>
      </w:r>
      <w:r w:rsidRPr="00BD0096">
        <w:rPr>
          <w:rFonts w:asciiTheme="majorBidi" w:hAnsiTheme="majorBidi" w:cstheme="majorBidi"/>
          <w:color w:val="000000" w:themeColor="text1"/>
        </w:rPr>
        <w:t xml:space="preserve"> pieteicējas</w:t>
      </w:r>
      <w:r w:rsidR="005B5840" w:rsidRPr="00BD0096">
        <w:rPr>
          <w:rFonts w:asciiTheme="majorBidi" w:hAnsiTheme="majorBidi" w:cstheme="majorBidi"/>
          <w:color w:val="000000" w:themeColor="text1"/>
        </w:rPr>
        <w:t xml:space="preserve"> iesniegtos pierādījumus par pieteicējas </w:t>
      </w:r>
      <w:r w:rsidR="00C0009B">
        <w:rPr>
          <w:rFonts w:asciiTheme="majorBidi" w:hAnsiTheme="majorBidi" w:cstheme="majorBidi"/>
          <w:color w:val="000000" w:themeColor="text1"/>
        </w:rPr>
        <w:t xml:space="preserve">faktiski </w:t>
      </w:r>
      <w:r w:rsidR="00C01661">
        <w:rPr>
          <w:rFonts w:asciiTheme="majorBidi" w:hAnsiTheme="majorBidi" w:cstheme="majorBidi"/>
          <w:color w:val="000000" w:themeColor="text1"/>
        </w:rPr>
        <w:t xml:space="preserve">veikto </w:t>
      </w:r>
      <w:r w:rsidR="005B5840" w:rsidRPr="00BD0096">
        <w:rPr>
          <w:rFonts w:asciiTheme="majorBidi" w:hAnsiTheme="majorBidi" w:cstheme="majorBidi"/>
          <w:color w:val="000000" w:themeColor="text1"/>
        </w:rPr>
        <w:t>zinātnisko darbību (piemēram, interneta vietnēs publicēto informāciju par pieteicējas projektiem vai publikācijas citās valodās) to savstarpējā kopsakarā.</w:t>
      </w:r>
      <w:r w:rsidRPr="00BD0096">
        <w:rPr>
          <w:rFonts w:asciiTheme="majorBidi" w:hAnsiTheme="majorBidi" w:cstheme="majorBidi"/>
          <w:color w:val="000000" w:themeColor="text1"/>
        </w:rPr>
        <w:t xml:space="preserve"> </w:t>
      </w:r>
      <w:r w:rsidRPr="00BD0096">
        <w:rPr>
          <w:color w:val="000000" w:themeColor="text1"/>
        </w:rPr>
        <w:t>Pieteicēja uzskata, ka no minētajiem pierādījumiem</w:t>
      </w:r>
      <w:r w:rsidR="001B2FFE">
        <w:rPr>
          <w:color w:val="000000" w:themeColor="text1"/>
        </w:rPr>
        <w:t xml:space="preserve"> par pieteicējas faktiski īstenoto darbību</w:t>
      </w:r>
      <w:r w:rsidRPr="00BD0096">
        <w:rPr>
          <w:color w:val="000000" w:themeColor="text1"/>
        </w:rPr>
        <w:t xml:space="preserve"> izriet, ka </w:t>
      </w:r>
      <w:r w:rsidRPr="00BD0096">
        <w:rPr>
          <w:rFonts w:asciiTheme="majorBidi" w:hAnsiTheme="majorBidi" w:cstheme="majorBidi"/>
          <w:color w:val="000000" w:themeColor="text1"/>
        </w:rPr>
        <w:t xml:space="preserve">pieteicējas galvenais mērķis ir </w:t>
      </w:r>
      <w:r w:rsidR="00C01661" w:rsidRPr="00B8040F">
        <w:rPr>
          <w:rFonts w:asciiTheme="majorBidi" w:hAnsiTheme="majorBidi" w:cstheme="majorBidi"/>
        </w:rPr>
        <w:t>zinātniskā darbība, pētījumu veikšana un pētījumu rezultātu izplatīšana.</w:t>
      </w:r>
    </w:p>
    <w:p w14:paraId="327C1897" w14:textId="77777777" w:rsidR="004F1CA8" w:rsidRDefault="00BD0096" w:rsidP="009871C6">
      <w:pPr>
        <w:spacing w:line="276" w:lineRule="auto"/>
        <w:ind w:firstLine="720"/>
        <w:jc w:val="both"/>
        <w:rPr>
          <w:rFonts w:asciiTheme="majorBidi" w:hAnsiTheme="majorBidi" w:cstheme="majorBidi"/>
          <w:color w:val="000000" w:themeColor="text1"/>
        </w:rPr>
      </w:pPr>
      <w:r w:rsidRPr="00BD0096">
        <w:rPr>
          <w:rFonts w:asciiTheme="majorBidi" w:hAnsiTheme="majorBidi" w:cstheme="majorBidi"/>
          <w:color w:val="000000" w:themeColor="text1"/>
        </w:rPr>
        <w:t>Senāts minētajam nepiekrīt.</w:t>
      </w:r>
      <w:r w:rsidR="001B2FFE">
        <w:rPr>
          <w:rFonts w:asciiTheme="majorBidi" w:hAnsiTheme="majorBidi" w:cstheme="majorBidi"/>
          <w:color w:val="000000" w:themeColor="text1"/>
        </w:rPr>
        <w:t xml:space="preserve"> </w:t>
      </w:r>
    </w:p>
    <w:p w14:paraId="6FEDF145" w14:textId="6D8B02EC" w:rsidR="009015F5" w:rsidRPr="00332BEE" w:rsidRDefault="00D67B5B" w:rsidP="009871C6">
      <w:pPr>
        <w:spacing w:line="276" w:lineRule="auto"/>
        <w:ind w:firstLine="720"/>
        <w:jc w:val="both"/>
      </w:pPr>
      <w:r>
        <w:rPr>
          <w:color w:val="000000" w:themeColor="text1"/>
        </w:rPr>
        <w:t>Lietā strīd</w:t>
      </w:r>
      <w:r w:rsidR="005C147D">
        <w:rPr>
          <w:color w:val="000000" w:themeColor="text1"/>
        </w:rPr>
        <w:t>s</w:t>
      </w:r>
      <w:r w:rsidR="006F35E6">
        <w:rPr>
          <w:color w:val="000000" w:themeColor="text1"/>
        </w:rPr>
        <w:t xml:space="preserve"> </w:t>
      </w:r>
      <w:r w:rsidR="0073549B">
        <w:rPr>
          <w:color w:val="000000" w:themeColor="text1"/>
        </w:rPr>
        <w:t xml:space="preserve">ir nevis </w:t>
      </w:r>
      <w:r w:rsidR="006F35E6">
        <w:rPr>
          <w:color w:val="000000" w:themeColor="text1"/>
        </w:rPr>
        <w:t>par to</w:t>
      </w:r>
      <w:r>
        <w:rPr>
          <w:color w:val="000000" w:themeColor="text1"/>
        </w:rPr>
        <w:t xml:space="preserve">, ka pieteicēja faktiski veic </w:t>
      </w:r>
      <w:r w:rsidR="001B2FFE">
        <w:rPr>
          <w:color w:val="000000" w:themeColor="text1"/>
        </w:rPr>
        <w:t xml:space="preserve">zinātniski </w:t>
      </w:r>
      <w:r>
        <w:rPr>
          <w:color w:val="000000" w:themeColor="text1"/>
        </w:rPr>
        <w:t>pētniecisk</w:t>
      </w:r>
      <w:r w:rsidR="001B2FFE">
        <w:rPr>
          <w:color w:val="000000" w:themeColor="text1"/>
        </w:rPr>
        <w:t>u</w:t>
      </w:r>
      <w:r>
        <w:rPr>
          <w:color w:val="000000" w:themeColor="text1"/>
        </w:rPr>
        <w:t xml:space="preserve"> darbību</w:t>
      </w:r>
      <w:r w:rsidR="00C01661">
        <w:rPr>
          <w:color w:val="000000" w:themeColor="text1"/>
        </w:rPr>
        <w:t>, bet gan par to, vai tas ir pieteicējas galvenais mērķis</w:t>
      </w:r>
      <w:r w:rsidR="006F35E6">
        <w:rPr>
          <w:color w:val="000000" w:themeColor="text1"/>
        </w:rPr>
        <w:t>, k</w:t>
      </w:r>
      <w:r w:rsidR="004F1CA8">
        <w:rPr>
          <w:color w:val="000000" w:themeColor="text1"/>
        </w:rPr>
        <w:t xml:space="preserve">as </w:t>
      </w:r>
      <w:r w:rsidR="006F35E6">
        <w:rPr>
          <w:color w:val="000000" w:themeColor="text1"/>
        </w:rPr>
        <w:t xml:space="preserve">ir pārāks </w:t>
      </w:r>
      <w:r w:rsidR="0038382E">
        <w:rPr>
          <w:color w:val="000000" w:themeColor="text1"/>
        </w:rPr>
        <w:t xml:space="preserve">par </w:t>
      </w:r>
      <w:r w:rsidR="006F35E6">
        <w:rPr>
          <w:color w:val="000000" w:themeColor="text1"/>
        </w:rPr>
        <w:t>citiem tās mērķiem</w:t>
      </w:r>
      <w:r>
        <w:rPr>
          <w:color w:val="000000" w:themeColor="text1"/>
        </w:rPr>
        <w:t xml:space="preserve">. Senāts </w:t>
      </w:r>
      <w:r w:rsidR="00C01661">
        <w:rPr>
          <w:color w:val="000000" w:themeColor="text1"/>
        </w:rPr>
        <w:t xml:space="preserve">šajā sakarā </w:t>
      </w:r>
      <w:r w:rsidR="00332BEE">
        <w:rPr>
          <w:color w:val="000000" w:themeColor="text1"/>
        </w:rPr>
        <w:t xml:space="preserve">piekrīt tiesai, ka tas vien, ka pieteicēja veic </w:t>
      </w:r>
      <w:r w:rsidR="00332BEE" w:rsidRPr="00954B94">
        <w:rPr>
          <w:color w:val="000000" w:themeColor="text1"/>
        </w:rPr>
        <w:t>neatkarīgu</w:t>
      </w:r>
      <w:r w:rsidR="00332BEE">
        <w:rPr>
          <w:color w:val="000000" w:themeColor="text1"/>
        </w:rPr>
        <w:t xml:space="preserve"> </w:t>
      </w:r>
      <w:r w:rsidR="00332BEE" w:rsidRPr="00954B94">
        <w:rPr>
          <w:color w:val="000000" w:themeColor="text1"/>
        </w:rPr>
        <w:t>pēt</w:t>
      </w:r>
      <w:r w:rsidR="00332BEE">
        <w:rPr>
          <w:color w:val="000000" w:themeColor="text1"/>
        </w:rPr>
        <w:t xml:space="preserve">niecību, nenozīmē, ka tas arī ir </w:t>
      </w:r>
      <w:r w:rsidR="00332BEE" w:rsidRPr="00954B94">
        <w:rPr>
          <w:color w:val="000000" w:themeColor="text1"/>
        </w:rPr>
        <w:t>pieteicējas galvenais mērķis</w:t>
      </w:r>
      <w:r w:rsidR="00332BEE">
        <w:rPr>
          <w:color w:val="000000" w:themeColor="text1"/>
        </w:rPr>
        <w:t xml:space="preserve"> </w:t>
      </w:r>
      <w:r w:rsidR="001B2FFE">
        <w:rPr>
          <w:color w:val="000000" w:themeColor="text1"/>
        </w:rPr>
        <w:t>un ka izglītības sniegšana</w:t>
      </w:r>
      <w:r w:rsidR="00332BEE">
        <w:rPr>
          <w:color w:val="000000" w:themeColor="text1"/>
        </w:rPr>
        <w:t xml:space="preserve"> ir</w:t>
      </w:r>
      <w:r w:rsidR="001B2FFE">
        <w:rPr>
          <w:color w:val="000000" w:themeColor="text1"/>
        </w:rPr>
        <w:t xml:space="preserve"> tam tikai pakārtota</w:t>
      </w:r>
      <w:r w:rsidR="00C0009B">
        <w:rPr>
          <w:color w:val="000000" w:themeColor="text1"/>
        </w:rPr>
        <w:t xml:space="preserve"> –</w:t>
      </w:r>
      <w:r w:rsidR="006A370A">
        <w:rPr>
          <w:color w:val="000000" w:themeColor="text1"/>
        </w:rPr>
        <w:t xml:space="preserve"> sekundāra</w:t>
      </w:r>
      <w:r>
        <w:rPr>
          <w:color w:val="000000" w:themeColor="text1"/>
        </w:rPr>
        <w:t>.</w:t>
      </w:r>
      <w:r w:rsidR="00954B94">
        <w:rPr>
          <w:color w:val="000000" w:themeColor="text1"/>
        </w:rPr>
        <w:t xml:space="preserve"> </w:t>
      </w:r>
      <w:r w:rsidR="00332BEE">
        <w:rPr>
          <w:color w:val="000000" w:themeColor="text1"/>
        </w:rPr>
        <w:t>N</w:t>
      </w:r>
      <w:r>
        <w:rPr>
          <w:color w:val="000000" w:themeColor="text1"/>
        </w:rPr>
        <w:t>e no</w:t>
      </w:r>
      <w:r w:rsidR="004F1CA8">
        <w:rPr>
          <w:color w:val="000000" w:themeColor="text1"/>
        </w:rPr>
        <w:t xml:space="preserve"> lietā piemēro</w:t>
      </w:r>
      <w:r w:rsidR="0073549B">
        <w:rPr>
          <w:color w:val="000000" w:themeColor="text1"/>
        </w:rPr>
        <w:t>tajām</w:t>
      </w:r>
      <w:r>
        <w:rPr>
          <w:color w:val="000000" w:themeColor="text1"/>
        </w:rPr>
        <w:t xml:space="preserve"> tiesību normām, ne no Eiropas Savienības Tiesas sprieduma neizriet konkrēti kvantitatīvi kritēriji</w:t>
      </w:r>
      <w:r w:rsidR="00B55083">
        <w:rPr>
          <w:color w:val="000000" w:themeColor="text1"/>
        </w:rPr>
        <w:t>, piemēram, noteikts pētījumu vai publikāciju skaits</w:t>
      </w:r>
      <w:r w:rsidR="00CE401E">
        <w:rPr>
          <w:color w:val="000000" w:themeColor="text1"/>
        </w:rPr>
        <w:t xml:space="preserve"> vai apjoms</w:t>
      </w:r>
      <w:r w:rsidR="00B55083">
        <w:rPr>
          <w:color w:val="000000" w:themeColor="text1"/>
        </w:rPr>
        <w:t>, kuru izpilde ļautu atzīt</w:t>
      </w:r>
      <w:r w:rsidR="00CE401E">
        <w:rPr>
          <w:color w:val="000000" w:themeColor="text1"/>
        </w:rPr>
        <w:t xml:space="preserve"> institūciju</w:t>
      </w:r>
      <w:r w:rsidR="00332BEE">
        <w:rPr>
          <w:color w:val="000000" w:themeColor="text1"/>
        </w:rPr>
        <w:t xml:space="preserve"> par </w:t>
      </w:r>
      <w:r w:rsidR="00332BEE" w:rsidRPr="00C21CA1">
        <w:rPr>
          <w:color w:val="000000" w:themeColor="text1"/>
        </w:rPr>
        <w:t xml:space="preserve">pētniecības un zināšanu </w:t>
      </w:r>
      <w:r w:rsidR="00332BEE" w:rsidRPr="00C21CA1">
        <w:t>izplatīšanas organizācij</w:t>
      </w:r>
      <w:r w:rsidR="00332BEE">
        <w:t>u. Līdz ar to tas vien, ka tiesa nav atsevišķi aplūkojusi un vērtējusi katru pieteicējas veikto pēt</w:t>
      </w:r>
      <w:r w:rsidR="00C01661">
        <w:t>ī</w:t>
      </w:r>
      <w:r w:rsidR="00332BEE">
        <w:t xml:space="preserve">jumu un to apjomu strīdus periodā, </w:t>
      </w:r>
      <w:r w:rsidR="004F1CA8">
        <w:t xml:space="preserve">pats par sevi </w:t>
      </w:r>
      <w:r w:rsidR="00332BEE">
        <w:t xml:space="preserve">neliecina par </w:t>
      </w:r>
      <w:r w:rsidR="00C01661">
        <w:t xml:space="preserve">tiesas pieļautiem procesuāliem pārkāpumiem </w:t>
      </w:r>
      <w:r w:rsidR="00332BEE">
        <w:t>pierādījumu novērtēšanā</w:t>
      </w:r>
      <w:r w:rsidR="00C01661">
        <w:t>.</w:t>
      </w:r>
      <w:r w:rsidR="004F1CA8">
        <w:t xml:space="preserve"> No pārsūdzētā sprieduma turklāt neizriet, ka tiesa būtu atzinusi, ka pieteicēja strīdus periodā neveica pētniecisko darbību</w:t>
      </w:r>
      <w:r w:rsidR="00730DE5">
        <w:t xml:space="preserve"> pietiekamā apmērā, </w:t>
      </w:r>
      <w:r w:rsidR="004F1CA8">
        <w:t>lai tā varētu tikt atzīta par pētniecības organizāciju</w:t>
      </w:r>
      <w:r w:rsidR="00730DE5">
        <w:t>. A</w:t>
      </w:r>
      <w:r w:rsidR="006E0DF6" w:rsidRPr="00C01661">
        <w:t xml:space="preserve">rī pieteicēja kasācijas sūdzībā </w:t>
      </w:r>
      <w:r w:rsidR="00C01661" w:rsidRPr="00C01661">
        <w:t>atzīst</w:t>
      </w:r>
      <w:r w:rsidR="006E0DF6" w:rsidRPr="00C01661">
        <w:t>, ka pētījumu skaits pats par sevi vēl neko neliecina.</w:t>
      </w:r>
    </w:p>
    <w:p w14:paraId="55BF63A1" w14:textId="508DBDC7" w:rsidR="005B0589" w:rsidRPr="006F35E6" w:rsidRDefault="005B0589" w:rsidP="009871C6">
      <w:pPr>
        <w:spacing w:line="276" w:lineRule="auto"/>
        <w:ind w:firstLine="720"/>
        <w:jc w:val="both"/>
      </w:pPr>
      <w:r>
        <w:rPr>
          <w:color w:val="000000" w:themeColor="text1"/>
        </w:rPr>
        <w:t>T</w:t>
      </w:r>
      <w:r w:rsidR="00CE401E" w:rsidRPr="00607FD3">
        <w:t xml:space="preserve">am, vai </w:t>
      </w:r>
      <w:r w:rsidR="00650735">
        <w:t xml:space="preserve">un </w:t>
      </w:r>
      <w:r w:rsidR="00650735" w:rsidRPr="00650735">
        <w:t xml:space="preserve">cik lielā mērā </w:t>
      </w:r>
      <w:r w:rsidR="00CE401E" w:rsidRPr="00650735">
        <w:t xml:space="preserve">subjekts faktiski veic neatkarīgus pētījumus, ko papildina šo pētījumu rezultātu izplatīšanas darbības, </w:t>
      </w:r>
      <w:r w:rsidR="00332BEE" w:rsidRPr="00650735">
        <w:t xml:space="preserve">noteikti </w:t>
      </w:r>
      <w:r w:rsidR="00CE401E" w:rsidRPr="00650735">
        <w:t>ir piešķirama nozīme</w:t>
      </w:r>
      <w:r w:rsidR="006F35E6">
        <w:t>. T</w:t>
      </w:r>
      <w:r w:rsidRPr="00650735">
        <w:t xml:space="preserve">omēr subjekta </w:t>
      </w:r>
      <w:r w:rsidR="00B55083" w:rsidRPr="00650735">
        <w:t xml:space="preserve">galvenais mērķis ir nosakāms, vērtējot visus būtiskos apstākļus kopsakarā. Proti, ir jāveic visaptverošs izvērtējums, ņemot vērā </w:t>
      </w:r>
      <w:r w:rsidR="00B55083" w:rsidRPr="006F35E6">
        <w:t>ne tikai reāli veikt</w:t>
      </w:r>
      <w:r w:rsidR="00CE401E" w:rsidRPr="006F35E6">
        <w:t>o darbību</w:t>
      </w:r>
      <w:r w:rsidR="00B55083" w:rsidRPr="006F35E6">
        <w:t>, bet arī statūtos vai citos reglamentējošos dokumentos noteikto darbības virzienu, kā arī ieņēmumu struktūru</w:t>
      </w:r>
      <w:r w:rsidRPr="006F35E6">
        <w:t xml:space="preserve"> un citus būtiskus apstākļus</w:t>
      </w:r>
      <w:r w:rsidR="00B55083" w:rsidRPr="006F35E6">
        <w:t>.</w:t>
      </w:r>
      <w:r w:rsidR="00332BEE" w:rsidRPr="006F35E6">
        <w:t xml:space="preserve"> Kā jau konstatēts</w:t>
      </w:r>
      <w:r w:rsidR="00C0009B" w:rsidRPr="006F35E6">
        <w:t xml:space="preserve"> šā sprieduma iepriekšējā punktā</w:t>
      </w:r>
      <w:r w:rsidR="00332BEE" w:rsidRPr="006F35E6">
        <w:t xml:space="preserve">, </w:t>
      </w:r>
      <w:r w:rsidR="00C01661" w:rsidRPr="006F35E6">
        <w:t>tiesa konkrētajā gadījumā šādu vērtējumu ir veikusi.</w:t>
      </w:r>
      <w:r w:rsidR="006F35E6" w:rsidRPr="006F35E6">
        <w:t xml:space="preserve"> </w:t>
      </w:r>
      <w:r w:rsidR="00332BEE" w:rsidRPr="006F35E6">
        <w:t xml:space="preserve">Savukārt </w:t>
      </w:r>
      <w:r w:rsidR="006F35E6">
        <w:t>atbilstoši Administratīvā procesa likuma 325.–327.pant</w:t>
      </w:r>
      <w:r w:rsidR="00EF3655">
        <w:t xml:space="preserve">am </w:t>
      </w:r>
      <w:r w:rsidR="00EF3655" w:rsidRPr="006F35E6">
        <w:t xml:space="preserve">Senāta </w:t>
      </w:r>
      <w:r w:rsidR="006F35E6">
        <w:t>kompetenc</w:t>
      </w:r>
      <w:r w:rsidR="00EF3655">
        <w:t>ē nav</w:t>
      </w:r>
      <w:r w:rsidR="006F35E6" w:rsidRPr="006F35E6">
        <w:t xml:space="preserve"> pārvērtēt lietas faktiskos apstākļus un pierādījumus.</w:t>
      </w:r>
    </w:p>
    <w:p w14:paraId="55CC680B" w14:textId="77777777" w:rsidR="00B55083" w:rsidRDefault="00B55083" w:rsidP="009871C6">
      <w:pPr>
        <w:spacing w:line="276" w:lineRule="auto"/>
        <w:jc w:val="both"/>
        <w:rPr>
          <w:color w:val="000000" w:themeColor="text1"/>
        </w:rPr>
      </w:pPr>
    </w:p>
    <w:p w14:paraId="3EC68828" w14:textId="77777777" w:rsidR="0038382E" w:rsidRDefault="00DD68B9" w:rsidP="009871C6">
      <w:pPr>
        <w:spacing w:line="276" w:lineRule="auto"/>
        <w:ind w:firstLine="720"/>
        <w:jc w:val="both"/>
      </w:pPr>
      <w:r w:rsidRPr="00F210FE">
        <w:t>[1</w:t>
      </w:r>
      <w:r w:rsidR="00EF3655">
        <w:t>1</w:t>
      </w:r>
      <w:r w:rsidRPr="00F210FE">
        <w:t>] </w:t>
      </w:r>
      <w:r w:rsidR="004F1CA8" w:rsidRPr="00F210FE">
        <w:t>Pieteicēja</w:t>
      </w:r>
      <w:r w:rsidR="00E97FDC" w:rsidRPr="00F210FE">
        <w:t xml:space="preserve"> nepamatoti</w:t>
      </w:r>
      <w:r w:rsidR="004F1CA8" w:rsidRPr="00F210FE">
        <w:t xml:space="preserve"> uzskata, ka Senātam, izskatot šo lietu, ir jā</w:t>
      </w:r>
      <w:r w:rsidR="00E97FDC" w:rsidRPr="00F210FE">
        <w:t xml:space="preserve">ņem </w:t>
      </w:r>
      <w:r w:rsidR="004F1CA8" w:rsidRPr="00F210FE">
        <w:t xml:space="preserve">vērā </w:t>
      </w:r>
      <w:bookmarkStart w:id="1" w:name="OLE_LINK1"/>
      <w:r w:rsidR="004F1CA8" w:rsidRPr="00F210FE">
        <w:t xml:space="preserve">Izglītības un zinātnes ministrijas </w:t>
      </w:r>
      <w:r w:rsidR="00E97FDC" w:rsidRPr="00F210FE">
        <w:t>izstrādātā</w:t>
      </w:r>
      <w:r w:rsidR="004F1CA8" w:rsidRPr="00F210FE">
        <w:t xml:space="preserve"> </w:t>
      </w:r>
      <w:hyperlink r:id="rId10" w:history="1">
        <w:r w:rsidR="004F1CA8" w:rsidRPr="00F210FE">
          <w:rPr>
            <w:rStyle w:val="Hyperlink"/>
            <w:color w:val="auto"/>
            <w:u w:val="none"/>
          </w:rPr>
          <w:t>Metodik</w:t>
        </w:r>
        <w:r w:rsidR="00E97FDC" w:rsidRPr="00F210FE">
          <w:rPr>
            <w:rStyle w:val="Hyperlink"/>
            <w:color w:val="auto"/>
            <w:u w:val="none"/>
          </w:rPr>
          <w:t>a</w:t>
        </w:r>
        <w:r w:rsidR="004F1CA8" w:rsidRPr="00F210FE">
          <w:rPr>
            <w:rStyle w:val="Hyperlink"/>
            <w:color w:val="auto"/>
            <w:u w:val="none"/>
          </w:rPr>
          <w:t xml:space="preserve"> atbilstības pētniecības un zināšanu izplatīšanas organizācijas noteikšanai</w:t>
        </w:r>
      </w:hyperlink>
      <w:bookmarkEnd w:id="1"/>
      <w:r w:rsidR="00E97FDC" w:rsidRPr="00F210FE">
        <w:t xml:space="preserve">. </w:t>
      </w:r>
    </w:p>
    <w:p w14:paraId="2ACC1606" w14:textId="43E57BB5" w:rsidR="00947985" w:rsidRPr="00F210FE" w:rsidRDefault="00F210FE" w:rsidP="009871C6">
      <w:pPr>
        <w:spacing w:line="276" w:lineRule="auto"/>
        <w:ind w:firstLine="720"/>
        <w:jc w:val="both"/>
        <w:rPr>
          <w:i/>
          <w:iCs/>
        </w:rPr>
      </w:pPr>
      <w:r>
        <w:rPr>
          <w:rFonts w:cs="Calibri"/>
          <w:szCs w:val="18"/>
        </w:rPr>
        <w:t>Š</w:t>
      </w:r>
      <w:r w:rsidR="00E97FDC" w:rsidRPr="00F210FE">
        <w:rPr>
          <w:rFonts w:cs="Calibri"/>
          <w:szCs w:val="18"/>
        </w:rPr>
        <w:t xml:space="preserve">ai metodikai </w:t>
      </w:r>
      <w:r w:rsidR="00E97FDC" w:rsidRPr="00F210FE">
        <w:t>labākajā gadījumā var būt tikai ieteikuma raksturs</w:t>
      </w:r>
      <w:r w:rsidRPr="00F210FE">
        <w:t>.</w:t>
      </w:r>
      <w:r>
        <w:t xml:space="preserve"> </w:t>
      </w:r>
      <w:r w:rsidR="00E97FDC" w:rsidRPr="00F210FE">
        <w:t>Senāts</w:t>
      </w:r>
      <w:r w:rsidRPr="00F210FE">
        <w:t xml:space="preserve"> turklāt</w:t>
      </w:r>
      <w:r w:rsidR="00E97FDC" w:rsidRPr="00F210FE">
        <w:t xml:space="preserve"> konstatē, ka </w:t>
      </w:r>
      <w:r>
        <w:t>t</w:t>
      </w:r>
      <w:r w:rsidRPr="00F210FE">
        <w:t>ajā</w:t>
      </w:r>
      <w:r>
        <w:t xml:space="preserve"> </w:t>
      </w:r>
      <w:r w:rsidRPr="00F210FE">
        <w:t xml:space="preserve">sniegtā tiesību normu interpretācija balstīta galvenokārt ģenerāladvokātes T. Čapetas 2022.gada 28.aprīļa secinājumos apvienotajās lietās C-164/21 un C-318/21, </w:t>
      </w:r>
      <w:hyperlink r:id="rId11" w:history="1">
        <w:r w:rsidR="00091611" w:rsidRPr="00091611">
          <w:rPr>
            <w:rStyle w:val="Hyperlink"/>
          </w:rPr>
          <w:t>ECLI:EU:C:2022:333</w:t>
        </w:r>
      </w:hyperlink>
      <w:r w:rsidR="00091611">
        <w:t xml:space="preserve">, </w:t>
      </w:r>
      <w:r w:rsidRPr="00F210FE">
        <w:t>nevis Eiropas Savienības Tiesas spriedum</w:t>
      </w:r>
      <w:r w:rsidR="00EF3655">
        <w:t>ā šajā lietā</w:t>
      </w:r>
      <w:r w:rsidRPr="00F210FE">
        <w:t>.</w:t>
      </w:r>
    </w:p>
    <w:p w14:paraId="58F925F2" w14:textId="77777777" w:rsidR="00E97FDC" w:rsidRPr="00E97FDC" w:rsidRDefault="00E97FDC" w:rsidP="009871C6">
      <w:pPr>
        <w:spacing w:line="276" w:lineRule="auto"/>
        <w:ind w:firstLine="720"/>
        <w:jc w:val="both"/>
        <w:rPr>
          <w:color w:val="EE0000"/>
        </w:rPr>
      </w:pPr>
    </w:p>
    <w:p w14:paraId="73CB8C99" w14:textId="192A7D54" w:rsidR="00947985" w:rsidRPr="00E457BB" w:rsidRDefault="00292616" w:rsidP="009871C6">
      <w:pPr>
        <w:spacing w:line="276" w:lineRule="auto"/>
        <w:ind w:firstLine="720"/>
        <w:jc w:val="both"/>
        <w:rPr>
          <w:rFonts w:asciiTheme="majorBidi" w:hAnsiTheme="majorBidi" w:cstheme="majorBidi"/>
        </w:rPr>
      </w:pPr>
      <w:r w:rsidRPr="00875383">
        <w:t>[1</w:t>
      </w:r>
      <w:r w:rsidR="00EF3655">
        <w:t>2</w:t>
      </w:r>
      <w:r w:rsidRPr="00875383">
        <w:t>] </w:t>
      </w:r>
      <w:r w:rsidR="00713A4C" w:rsidRPr="00875383">
        <w:t xml:space="preserve">Apkopojot minēto, </w:t>
      </w:r>
      <w:r w:rsidR="00C1032C" w:rsidRPr="00875383">
        <w:t>Senāts atzīst, ka</w:t>
      </w:r>
      <w:r w:rsidR="00875383" w:rsidRPr="00875383">
        <w:t xml:space="preserve"> tiesa spriedumā</w:t>
      </w:r>
      <w:r w:rsidR="00E457BB">
        <w:t xml:space="preserve"> ir </w:t>
      </w:r>
      <w:r w:rsidR="00E457BB" w:rsidRPr="00B8040F">
        <w:rPr>
          <w:rFonts w:asciiTheme="majorBidi" w:hAnsiTheme="majorBidi" w:cstheme="majorBidi"/>
        </w:rPr>
        <w:t>ņēmusi vērā Eiropas Savienības Tiesas spriedumā sniegto skaidrojumu par Regulas Nr. 651/2014 2.panta 83.punkta interpretāciju</w:t>
      </w:r>
      <w:r w:rsidR="00E457BB">
        <w:rPr>
          <w:rFonts w:asciiTheme="majorBidi" w:hAnsiTheme="majorBidi" w:cstheme="majorBidi"/>
        </w:rPr>
        <w:t>, tādējādi</w:t>
      </w:r>
      <w:r w:rsidR="00875383" w:rsidRPr="00875383">
        <w:t xml:space="preserve"> ir</w:t>
      </w:r>
      <w:r w:rsidR="00C1032C" w:rsidRPr="00875383">
        <w:t xml:space="preserve"> </w:t>
      </w:r>
      <w:r w:rsidR="00875383" w:rsidRPr="00875383">
        <w:t xml:space="preserve">pareizi interpretējusi </w:t>
      </w:r>
      <w:r w:rsidR="00875383" w:rsidRPr="00875383">
        <w:rPr>
          <w:rFonts w:asciiTheme="majorBidi" w:hAnsiTheme="majorBidi" w:cstheme="majorBidi"/>
        </w:rPr>
        <w:t>Ministru kabineta noteikumu Nr. 725 12.5.apakšpunktu un</w:t>
      </w:r>
      <w:r w:rsidR="00875383" w:rsidRPr="00875383">
        <w:t xml:space="preserve"> </w:t>
      </w:r>
      <w:r w:rsidR="00875383" w:rsidRPr="00875383">
        <w:rPr>
          <w:rFonts w:asciiTheme="majorBidi" w:hAnsiTheme="majorBidi" w:cstheme="majorBidi"/>
        </w:rPr>
        <w:t>pamatoti atzinusi, ka pieteicēja neatbilst minēto noteikumu 2.7.apakšpunktā noteiktajam projekta iesniedzēja statusam</w:t>
      </w:r>
      <w:r w:rsidR="00875383" w:rsidRPr="00875383">
        <w:t xml:space="preserve">. </w:t>
      </w:r>
    </w:p>
    <w:p w14:paraId="37F45A3F" w14:textId="77777777" w:rsidR="00947985" w:rsidRDefault="00947985" w:rsidP="009871C6">
      <w:pPr>
        <w:spacing w:line="276" w:lineRule="auto"/>
        <w:jc w:val="both"/>
      </w:pPr>
    </w:p>
    <w:p w14:paraId="3AC9D16B" w14:textId="02C157E9" w:rsidR="00947985" w:rsidRDefault="00E32997" w:rsidP="009871C6">
      <w:pPr>
        <w:spacing w:line="276" w:lineRule="auto"/>
        <w:ind w:firstLine="720"/>
        <w:jc w:val="both"/>
        <w:rPr>
          <w:i/>
          <w:iCs/>
        </w:rPr>
      </w:pPr>
      <w:r>
        <w:rPr>
          <w:i/>
          <w:iCs/>
        </w:rPr>
        <w:t>J</w:t>
      </w:r>
      <w:r w:rsidR="00947985" w:rsidRPr="00947985">
        <w:rPr>
          <w:i/>
          <w:iCs/>
        </w:rPr>
        <w:t>uridiskās palīdzības iz</w:t>
      </w:r>
      <w:r>
        <w:rPr>
          <w:i/>
          <w:iCs/>
        </w:rPr>
        <w:t>devumu</w:t>
      </w:r>
      <w:r w:rsidR="00947985" w:rsidRPr="00947985">
        <w:rPr>
          <w:i/>
          <w:iCs/>
        </w:rPr>
        <w:t xml:space="preserve"> atlīdzināšan</w:t>
      </w:r>
      <w:r>
        <w:rPr>
          <w:i/>
          <w:iCs/>
        </w:rPr>
        <w:t>a</w:t>
      </w:r>
    </w:p>
    <w:p w14:paraId="45F633DB" w14:textId="710B3904" w:rsidR="00C77ADD" w:rsidRPr="00806BF4" w:rsidRDefault="00DF0B4B" w:rsidP="009871C6">
      <w:pPr>
        <w:spacing w:line="276" w:lineRule="auto"/>
        <w:ind w:firstLine="720"/>
        <w:jc w:val="both"/>
      </w:pPr>
      <w:r w:rsidRPr="00DF0B4B">
        <w:t>[</w:t>
      </w:r>
      <w:r w:rsidR="00713A4C">
        <w:t>1</w:t>
      </w:r>
      <w:r w:rsidR="00EF3655">
        <w:t>3</w:t>
      </w:r>
      <w:r w:rsidRPr="00DF0B4B">
        <w:t>]</w:t>
      </w:r>
      <w:r w:rsidR="000D4864">
        <w:t> </w:t>
      </w:r>
      <w:r w:rsidR="006B11D2">
        <w:t>T</w:t>
      </w:r>
      <w:r w:rsidR="00806BF4">
        <w:t xml:space="preserve">iesa </w:t>
      </w:r>
      <w:r w:rsidR="00C77ADD">
        <w:t xml:space="preserve">atzina, ka </w:t>
      </w:r>
      <w:r w:rsidR="00C77ADD" w:rsidRPr="001E34AB">
        <w:t>atbilstoši Administratīvā procesa likuma</w:t>
      </w:r>
      <w:r w:rsidR="00C77ADD">
        <w:t xml:space="preserve"> </w:t>
      </w:r>
      <w:r w:rsidR="00C77ADD" w:rsidRPr="001E34AB">
        <w:t xml:space="preserve">302.panta otrajai daļai </w:t>
      </w:r>
      <w:r w:rsidR="00806BF4">
        <w:t xml:space="preserve">(noteic, ka </w:t>
      </w:r>
      <w:r w:rsidR="00806BF4" w:rsidRPr="003C42B0">
        <w:t>apelācijas instances tiesa izskata lietu pēc būtības sakarā ar apelācijas sūdzību tādā apjomā, kā lūgts šajā sūdzībā, kā arī apelācijas instances tiesa izskata tikai tos prasījumus, kuri izskatīti pirmās instances tiesā</w:t>
      </w:r>
      <w:r w:rsidR="00806BF4">
        <w:t xml:space="preserve">) </w:t>
      </w:r>
      <w:r w:rsidR="00C77ADD">
        <w:t>prasījuma par juridiskās palīdzības iz</w:t>
      </w:r>
      <w:r w:rsidR="00E32997">
        <w:t>devumu</w:t>
      </w:r>
      <w:r w:rsidR="00C77ADD">
        <w:t xml:space="preserve"> atlīdzināšanu izskatīšanai apelācijas instances tiesā nav pamata, jo šāds prasījums nebija izvirzīts pirmās instances tiesā. </w:t>
      </w:r>
      <w:r w:rsidR="00806BF4" w:rsidRPr="00806BF4">
        <w:t>P</w:t>
      </w:r>
      <w:r w:rsidR="00C77ADD" w:rsidRPr="00806BF4">
        <w:t>ieteicēja</w:t>
      </w:r>
      <w:r w:rsidR="00806BF4" w:rsidRPr="00806BF4">
        <w:t xml:space="preserve"> kasācijas sūdzībā</w:t>
      </w:r>
      <w:r w:rsidR="00C77ADD" w:rsidRPr="00806BF4">
        <w:t xml:space="preserve"> šajā sakarā iebilst, ka i</w:t>
      </w:r>
      <w:r w:rsidR="00C77ADD" w:rsidRPr="00806BF4">
        <w:rPr>
          <w:rFonts w:asciiTheme="majorBidi" w:hAnsiTheme="majorBidi" w:cstheme="majorBidi"/>
        </w:rPr>
        <w:t>z</w:t>
      </w:r>
      <w:r w:rsidR="00E32997">
        <w:rPr>
          <w:rFonts w:asciiTheme="majorBidi" w:hAnsiTheme="majorBidi" w:cstheme="majorBidi"/>
        </w:rPr>
        <w:t>devumi</w:t>
      </w:r>
      <w:r w:rsidR="00C77ADD" w:rsidRPr="00806BF4">
        <w:rPr>
          <w:rFonts w:asciiTheme="majorBidi" w:hAnsiTheme="majorBidi" w:cstheme="majorBidi"/>
        </w:rPr>
        <w:t xml:space="preserve"> par tiesvedību Eiropas Savienības Tiesā </w:t>
      </w:r>
      <w:r w:rsidR="00806BF4" w:rsidRPr="00806BF4">
        <w:rPr>
          <w:rFonts w:asciiTheme="majorBidi" w:hAnsiTheme="majorBidi" w:cstheme="majorBidi"/>
        </w:rPr>
        <w:t>t</w:t>
      </w:r>
      <w:r w:rsidR="00C77ADD" w:rsidRPr="00806BF4">
        <w:rPr>
          <w:rFonts w:asciiTheme="majorBidi" w:hAnsiTheme="majorBidi" w:cstheme="majorBidi"/>
        </w:rPr>
        <w:t>ai radās tikai apelācijas instances tiesā, un pirmās instance tiesā šād</w:t>
      </w:r>
      <w:r w:rsidR="00E32997">
        <w:rPr>
          <w:rFonts w:asciiTheme="majorBidi" w:hAnsiTheme="majorBidi" w:cstheme="majorBidi"/>
        </w:rPr>
        <w:t>us</w:t>
      </w:r>
      <w:r w:rsidR="00C77ADD" w:rsidRPr="00806BF4">
        <w:rPr>
          <w:rFonts w:asciiTheme="majorBidi" w:hAnsiTheme="majorBidi" w:cstheme="majorBidi"/>
        </w:rPr>
        <w:t xml:space="preserve"> iz</w:t>
      </w:r>
      <w:r w:rsidR="00E32997">
        <w:rPr>
          <w:rFonts w:asciiTheme="majorBidi" w:hAnsiTheme="majorBidi" w:cstheme="majorBidi"/>
        </w:rPr>
        <w:t>devumus</w:t>
      </w:r>
      <w:r w:rsidR="00C77ADD" w:rsidRPr="00806BF4">
        <w:rPr>
          <w:rFonts w:asciiTheme="majorBidi" w:hAnsiTheme="majorBidi" w:cstheme="majorBidi"/>
        </w:rPr>
        <w:t xml:space="preserve"> nemaz nevarēja pieteikt.</w:t>
      </w:r>
    </w:p>
    <w:p w14:paraId="4C9D7A0D" w14:textId="77777777" w:rsidR="00C77ADD" w:rsidRDefault="00C77ADD" w:rsidP="009871C6">
      <w:pPr>
        <w:spacing w:line="276" w:lineRule="auto"/>
        <w:jc w:val="both"/>
      </w:pPr>
    </w:p>
    <w:p w14:paraId="7979A6A2" w14:textId="4D612222" w:rsidR="00E10BA8" w:rsidRPr="00091611" w:rsidRDefault="00C77ADD" w:rsidP="009871C6">
      <w:pPr>
        <w:spacing w:line="276" w:lineRule="auto"/>
        <w:ind w:firstLine="720"/>
        <w:jc w:val="both"/>
      </w:pPr>
      <w:r>
        <w:t>[</w:t>
      </w:r>
      <w:r w:rsidR="00713A4C">
        <w:t>1</w:t>
      </w:r>
      <w:r w:rsidR="00EF3655">
        <w:t>4</w:t>
      </w:r>
      <w:r>
        <w:t>] </w:t>
      </w:r>
      <w:r w:rsidR="00C21CA1">
        <w:t xml:space="preserve">Senāts </w:t>
      </w:r>
      <w:r w:rsidR="00C21CA1" w:rsidRPr="00091611">
        <w:t>atzīst, ka</w:t>
      </w:r>
      <w:r w:rsidR="00C21CA1" w:rsidRPr="00091611">
        <w:rPr>
          <w:color w:val="000000" w:themeColor="text1"/>
        </w:rPr>
        <w:t xml:space="preserve"> </w:t>
      </w:r>
      <w:r w:rsidR="006C081C" w:rsidRPr="00091611">
        <w:t>t</w:t>
      </w:r>
      <w:r w:rsidR="00D75307" w:rsidRPr="00091611">
        <w:t>iktāl, ciktāl</w:t>
      </w:r>
      <w:r w:rsidR="00E10BA8" w:rsidRPr="00091611">
        <w:t xml:space="preserve"> </w:t>
      </w:r>
      <w:r w:rsidR="00C21CA1" w:rsidRPr="00091611">
        <w:t xml:space="preserve">lietas dalībnieks </w:t>
      </w:r>
      <w:r w:rsidR="00E10BA8" w:rsidRPr="00091611">
        <w:t>apelācijas instance</w:t>
      </w:r>
      <w:r w:rsidR="008D32CE" w:rsidRPr="00091611">
        <w:t>s tiesai</w:t>
      </w:r>
      <w:r w:rsidR="00E10BA8" w:rsidRPr="00091611">
        <w:t xml:space="preserve"> lūdz </w:t>
      </w:r>
      <w:r w:rsidR="008D32CE" w:rsidRPr="00091611">
        <w:t xml:space="preserve">atlīdzināt tādus </w:t>
      </w:r>
      <w:r w:rsidR="00E10BA8" w:rsidRPr="00091611">
        <w:t>juridiskās palīdzības izdevumu</w:t>
      </w:r>
      <w:r w:rsidR="008D32CE" w:rsidRPr="00091611">
        <w:t>s</w:t>
      </w:r>
      <w:r w:rsidR="00E10BA8" w:rsidRPr="00091611">
        <w:t xml:space="preserve">, kas saistīti tieši ar apelācijas instancē sniegto juridisko palīdzību, </w:t>
      </w:r>
      <w:r w:rsidR="00140D28" w:rsidRPr="00091611">
        <w:t xml:space="preserve">nav </w:t>
      </w:r>
      <w:r w:rsidR="00E10BA8" w:rsidRPr="00091611">
        <w:t>saskat</w:t>
      </w:r>
      <w:r w:rsidR="00140D28" w:rsidRPr="00091611">
        <w:t>āmi</w:t>
      </w:r>
      <w:r w:rsidR="001E4C32" w:rsidRPr="00091611">
        <w:t xml:space="preserve"> procesuāl</w:t>
      </w:r>
      <w:r w:rsidR="00140D28" w:rsidRPr="00091611">
        <w:t xml:space="preserve">i </w:t>
      </w:r>
      <w:r w:rsidR="00E10BA8" w:rsidRPr="00091611">
        <w:t>šķēršļ</w:t>
      </w:r>
      <w:r w:rsidR="00140D28" w:rsidRPr="00091611">
        <w:t>i</w:t>
      </w:r>
      <w:r w:rsidR="00E10BA8" w:rsidRPr="00091611">
        <w:t xml:space="preserve"> pieteicējam </w:t>
      </w:r>
      <w:r w:rsidR="008D32CE" w:rsidRPr="00091611">
        <w:t xml:space="preserve">ļaut </w:t>
      </w:r>
      <w:r w:rsidR="00E10BA8" w:rsidRPr="00091611">
        <w:t xml:space="preserve">papildināt </w:t>
      </w:r>
      <w:r w:rsidR="00F71AA2" w:rsidRPr="00091611">
        <w:t>pieteikumu ar</w:t>
      </w:r>
      <w:r w:rsidR="00140D28" w:rsidRPr="00091611">
        <w:t xml:space="preserve"> attiecīgu</w:t>
      </w:r>
      <w:r w:rsidR="00F71AA2" w:rsidRPr="00091611">
        <w:t xml:space="preserve"> </w:t>
      </w:r>
      <w:r w:rsidR="00E10BA8" w:rsidRPr="00091611">
        <w:t xml:space="preserve">prasījumu </w:t>
      </w:r>
      <w:r w:rsidR="00F71AA2" w:rsidRPr="00091611">
        <w:t>p</w:t>
      </w:r>
      <w:r w:rsidR="001E4C32" w:rsidRPr="00091611">
        <w:t xml:space="preserve">ar </w:t>
      </w:r>
      <w:r w:rsidR="00E10BA8" w:rsidRPr="00091611">
        <w:t>juridiskās palīdzības izdevumu atlīdzinā</w:t>
      </w:r>
      <w:r w:rsidR="00F71AA2" w:rsidRPr="00091611">
        <w:t>šanu</w:t>
      </w:r>
      <w:r w:rsidR="00C21CA1" w:rsidRPr="00091611">
        <w:t xml:space="preserve"> (sal. </w:t>
      </w:r>
      <w:r w:rsidR="00C21CA1" w:rsidRPr="00091611">
        <w:rPr>
          <w:i/>
          <w:iCs/>
        </w:rPr>
        <w:t xml:space="preserve">Senāta 2025.gada 30.jūnija sprieduma lietā Nr. SKA-238/2025, </w:t>
      </w:r>
      <w:hyperlink r:id="rId12" w:history="1">
        <w:r w:rsidR="00C21CA1" w:rsidRPr="00091611">
          <w:rPr>
            <w:rStyle w:val="Hyperlink"/>
            <w:i/>
            <w:iCs/>
          </w:rPr>
          <w:t>ECLI:LV:AT:2025:0630.A420207422.15.S</w:t>
        </w:r>
      </w:hyperlink>
      <w:r w:rsidR="00C21CA1" w:rsidRPr="00091611">
        <w:rPr>
          <w:i/>
          <w:iCs/>
        </w:rPr>
        <w:t>, 12.punktu</w:t>
      </w:r>
      <w:r w:rsidR="00C21CA1" w:rsidRPr="00091611">
        <w:t xml:space="preserve">). </w:t>
      </w:r>
    </w:p>
    <w:p w14:paraId="028AF307" w14:textId="77777777" w:rsidR="00C21CA1" w:rsidRPr="00091611" w:rsidRDefault="003B7B6A" w:rsidP="009871C6">
      <w:pPr>
        <w:spacing w:line="276" w:lineRule="auto"/>
        <w:ind w:firstLine="720"/>
        <w:jc w:val="both"/>
      </w:pPr>
      <w:r w:rsidRPr="00091611">
        <w:t>Šajā sakarā gan vēršama uzmanība uz to, ka personai ir atlīdzināmi tikai tādi izdevumi saistībā ar vēršanos tiesā, kas ir saistīti ar pamatotu prasījumu un sūdzību sagatavošanu un uzturēšanu (</w:t>
      </w:r>
      <w:r w:rsidRPr="00091611">
        <w:rPr>
          <w:i/>
          <w:iCs/>
        </w:rPr>
        <w:t xml:space="preserve">Senāta 2019.gada 29.oktobra sprieduma lietā Nr. SKA-461/2019, </w:t>
      </w:r>
      <w:hyperlink r:id="rId13" w:history="1">
        <w:r w:rsidRPr="00091611">
          <w:rPr>
            <w:rStyle w:val="Hyperlink"/>
            <w:i/>
            <w:iCs/>
          </w:rPr>
          <w:t>ECLI:LV:AT:2019:1029.A420352016.5.S</w:t>
        </w:r>
      </w:hyperlink>
      <w:r w:rsidRPr="00091611">
        <w:rPr>
          <w:i/>
          <w:iCs/>
        </w:rPr>
        <w:t>, 9.punkts</w:t>
      </w:r>
      <w:r w:rsidRPr="00091611">
        <w:t>).</w:t>
      </w:r>
      <w:r w:rsidR="00A01471" w:rsidRPr="00091611">
        <w:t xml:space="preserve"> </w:t>
      </w:r>
    </w:p>
    <w:p w14:paraId="3B1DD18F" w14:textId="4B11ECE8" w:rsidR="006C081C" w:rsidRDefault="00C21CA1" w:rsidP="009871C6">
      <w:pPr>
        <w:spacing w:line="276" w:lineRule="auto"/>
        <w:ind w:firstLine="720"/>
        <w:jc w:val="both"/>
      </w:pPr>
      <w:r w:rsidRPr="00091611">
        <w:t>I</w:t>
      </w:r>
      <w:r w:rsidR="006C081C" w:rsidRPr="00091611">
        <w:t>zskatām</w:t>
      </w:r>
      <w:r w:rsidR="006F35E6" w:rsidRPr="00091611">
        <w:t xml:space="preserve">ajā gadījumā šāds zaudējumu atlīdzināšanas pamats netika konstatēts. Līdz ar to </w:t>
      </w:r>
      <w:r w:rsidRPr="00091611">
        <w:t>pats par sevi apstāklis, ka tiesa šo</w:t>
      </w:r>
      <w:r w:rsidR="006F35E6" w:rsidRPr="00091611">
        <w:t xml:space="preserve"> </w:t>
      </w:r>
      <w:r w:rsidRPr="00091611">
        <w:t>prasījumu</w:t>
      </w:r>
      <w:r w:rsidR="006F35E6" w:rsidRPr="00091611">
        <w:t xml:space="preserve"> nav</w:t>
      </w:r>
      <w:r w:rsidR="006F35E6">
        <w:t xml:space="preserve"> izskatījusi</w:t>
      </w:r>
      <w:r>
        <w:t>, nevar būt pamat</w:t>
      </w:r>
      <w:r w:rsidR="00EF3655">
        <w:t>s</w:t>
      </w:r>
      <w:r>
        <w:t xml:space="preserve"> sprieduma atcelšanai</w:t>
      </w:r>
      <w:r w:rsidR="006F35E6">
        <w:t xml:space="preserve"> un lietas nodošanai jaunai izskatīšanai.</w:t>
      </w:r>
    </w:p>
    <w:p w14:paraId="0D4814AE" w14:textId="77777777" w:rsidR="000D4864" w:rsidRDefault="000D4864" w:rsidP="009871C6">
      <w:pPr>
        <w:spacing w:line="276" w:lineRule="auto"/>
        <w:ind w:firstLine="720"/>
        <w:jc w:val="both"/>
        <w:rPr>
          <w:i/>
          <w:iCs/>
        </w:rPr>
      </w:pPr>
    </w:p>
    <w:p w14:paraId="517FF137" w14:textId="77777777" w:rsidR="00091611" w:rsidRDefault="00091611" w:rsidP="009871C6">
      <w:pPr>
        <w:spacing w:line="276" w:lineRule="auto"/>
        <w:ind w:firstLine="720"/>
        <w:jc w:val="both"/>
        <w:rPr>
          <w:i/>
          <w:iCs/>
        </w:rPr>
      </w:pPr>
    </w:p>
    <w:p w14:paraId="5804F6E7" w14:textId="77777777" w:rsidR="00091611" w:rsidRDefault="00091611" w:rsidP="009871C6">
      <w:pPr>
        <w:spacing w:line="276" w:lineRule="auto"/>
        <w:ind w:firstLine="720"/>
        <w:jc w:val="both"/>
        <w:rPr>
          <w:i/>
          <w:iCs/>
        </w:rPr>
      </w:pPr>
    </w:p>
    <w:p w14:paraId="4B10C732" w14:textId="5BDA6FE3" w:rsidR="000D4864" w:rsidRDefault="002B2579" w:rsidP="009871C6">
      <w:pPr>
        <w:spacing w:line="276" w:lineRule="auto"/>
        <w:ind w:firstLine="720"/>
        <w:jc w:val="both"/>
      </w:pPr>
      <w:r w:rsidRPr="002B2579">
        <w:rPr>
          <w:i/>
          <w:iCs/>
        </w:rPr>
        <w:t>Kopsavilkums</w:t>
      </w:r>
    </w:p>
    <w:p w14:paraId="18B9559B" w14:textId="7B92E5E6" w:rsidR="005056C8" w:rsidRPr="005C012C" w:rsidRDefault="00476576" w:rsidP="009871C6">
      <w:pPr>
        <w:spacing w:line="276" w:lineRule="auto"/>
        <w:ind w:firstLine="720"/>
        <w:jc w:val="both"/>
        <w:rPr>
          <w:rFonts w:asciiTheme="majorBidi" w:hAnsiTheme="majorBidi" w:cstheme="majorBidi"/>
        </w:rPr>
      </w:pPr>
      <w:r w:rsidRPr="006C081C">
        <w:rPr>
          <w:bCs/>
          <w:shd w:val="clear" w:color="auto" w:fill="FFFFFF"/>
        </w:rPr>
        <w:t>[</w:t>
      </w:r>
      <w:r w:rsidR="00C21CA1">
        <w:rPr>
          <w:bCs/>
          <w:shd w:val="clear" w:color="auto" w:fill="FFFFFF"/>
        </w:rPr>
        <w:t>1</w:t>
      </w:r>
      <w:r w:rsidR="00EF3655">
        <w:rPr>
          <w:bCs/>
          <w:shd w:val="clear" w:color="auto" w:fill="FFFFFF"/>
        </w:rPr>
        <w:t>5</w:t>
      </w:r>
      <w:r w:rsidRPr="006C081C">
        <w:rPr>
          <w:bCs/>
          <w:shd w:val="clear" w:color="auto" w:fill="FFFFFF"/>
        </w:rPr>
        <w:t>]</w:t>
      </w:r>
      <w:r w:rsidR="00375AB5" w:rsidRPr="006C081C">
        <w:rPr>
          <w:bCs/>
          <w:shd w:val="clear" w:color="auto" w:fill="FFFFFF"/>
        </w:rPr>
        <w:t> </w:t>
      </w:r>
      <w:r w:rsidR="00DE7BC1" w:rsidRPr="006C081C">
        <w:t>Apkopojot</w:t>
      </w:r>
      <w:r w:rsidR="00375AB5" w:rsidRPr="006C081C">
        <w:t xml:space="preserve"> minēto, </w:t>
      </w:r>
      <w:r w:rsidR="00AB159F" w:rsidRPr="006C081C">
        <w:t xml:space="preserve">Senāts atzīst, </w:t>
      </w:r>
      <w:r w:rsidR="00C1032C" w:rsidRPr="006C081C">
        <w:t>ka</w:t>
      </w:r>
      <w:r w:rsidR="005056C8" w:rsidRPr="006C081C">
        <w:t xml:space="preserve"> tiesa</w:t>
      </w:r>
      <w:r w:rsidR="00875383">
        <w:t xml:space="preserve">s spriedums ir atstājams negrozīts. </w:t>
      </w:r>
      <w:r w:rsidR="005056C8" w:rsidRPr="006C081C">
        <w:t>Pieteicējas kasācijas sūdzības argumenti neatspēko spriedumā paustos tiesas secinājumus, tādējādi sprieduma atcelšanai</w:t>
      </w:r>
      <w:r w:rsidR="005C012C">
        <w:t xml:space="preserve"> </w:t>
      </w:r>
      <w:r w:rsidR="005C012C" w:rsidRPr="006C081C">
        <w:t>nav pamata</w:t>
      </w:r>
      <w:r w:rsidR="005056C8" w:rsidRPr="006C081C">
        <w:t>.</w:t>
      </w:r>
    </w:p>
    <w:p w14:paraId="0E474EAE" w14:textId="77777777" w:rsidR="00716B1E" w:rsidRPr="00375AB5" w:rsidRDefault="00716B1E" w:rsidP="009871C6">
      <w:pPr>
        <w:spacing w:line="276" w:lineRule="auto"/>
        <w:ind w:firstLine="567"/>
        <w:jc w:val="both"/>
      </w:pPr>
    </w:p>
    <w:p w14:paraId="720C66E3" w14:textId="0F53B2DC" w:rsidR="008F79A9" w:rsidRDefault="008F79A9" w:rsidP="009871C6">
      <w:pPr>
        <w:spacing w:line="276" w:lineRule="auto"/>
        <w:jc w:val="center"/>
        <w:rPr>
          <w:b/>
          <w:bCs/>
          <w:shd w:val="clear" w:color="auto" w:fill="FFFFFF"/>
        </w:rPr>
      </w:pPr>
      <w:r w:rsidRPr="00A00D0A">
        <w:rPr>
          <w:b/>
          <w:bCs/>
          <w:shd w:val="clear" w:color="auto" w:fill="FFFFFF"/>
        </w:rPr>
        <w:t>Rezolutīvā daļa</w:t>
      </w:r>
    </w:p>
    <w:p w14:paraId="4AE4F9DB" w14:textId="77777777" w:rsidR="005056C8" w:rsidRPr="00A00D0A" w:rsidRDefault="005056C8" w:rsidP="009871C6">
      <w:pPr>
        <w:spacing w:line="276" w:lineRule="auto"/>
        <w:jc w:val="center"/>
        <w:rPr>
          <w:b/>
          <w:bCs/>
          <w:shd w:val="clear" w:color="auto" w:fill="FFFFFF"/>
        </w:rPr>
      </w:pPr>
    </w:p>
    <w:p w14:paraId="47F7280C" w14:textId="77777777" w:rsidR="005056C8" w:rsidRPr="00467A51" w:rsidRDefault="005056C8" w:rsidP="009871C6">
      <w:pPr>
        <w:shd w:val="clear" w:color="auto" w:fill="FFFFFF"/>
        <w:spacing w:line="276" w:lineRule="auto"/>
        <w:ind w:firstLine="720"/>
        <w:jc w:val="both"/>
        <w:rPr>
          <w:rFonts w:asciiTheme="majorBidi" w:hAnsiTheme="majorBidi" w:cstheme="majorBidi"/>
        </w:rPr>
      </w:pPr>
      <w:r w:rsidRPr="009547EC">
        <w:rPr>
          <w:rFonts w:asciiTheme="majorBidi" w:hAnsiTheme="majorBidi" w:cstheme="majorBidi"/>
        </w:rPr>
        <w:t xml:space="preserve">Pamatojoties uz </w:t>
      </w:r>
      <w:r w:rsidRPr="009547EC">
        <w:rPr>
          <w:rFonts w:asciiTheme="majorBidi" w:eastAsiaTheme="minorHAnsi" w:hAnsiTheme="majorBidi" w:cstheme="majorBidi"/>
          <w:lang w:eastAsia="en-US"/>
        </w:rPr>
        <w:t>Administratīvā procesa likuma</w:t>
      </w:r>
      <w:r w:rsidRPr="009547EC">
        <w:rPr>
          <w:rFonts w:eastAsiaTheme="minorHAnsi"/>
          <w:lang w:eastAsia="en-US"/>
        </w:rPr>
        <w:t xml:space="preserve">, </w:t>
      </w:r>
      <w:r w:rsidRPr="009547EC">
        <w:rPr>
          <w:rFonts w:asciiTheme="majorBidi" w:eastAsiaTheme="minorHAnsi" w:hAnsiTheme="majorBidi" w:cstheme="majorBidi"/>
          <w:lang w:eastAsia="en-US"/>
        </w:rPr>
        <w:t>348.panta pirmās daļas 1.punktu un 351.pantu</w:t>
      </w:r>
      <w:r w:rsidRPr="009547EC">
        <w:rPr>
          <w:rFonts w:asciiTheme="majorBidi" w:hAnsiTheme="majorBidi" w:cstheme="majorBidi"/>
        </w:rPr>
        <w:t>, Senāts</w:t>
      </w:r>
    </w:p>
    <w:p w14:paraId="2B0837FE" w14:textId="77777777" w:rsidR="00212CB5" w:rsidRPr="003D7325" w:rsidRDefault="00212CB5" w:rsidP="009871C6">
      <w:pPr>
        <w:spacing w:line="276" w:lineRule="auto"/>
        <w:ind w:firstLine="720"/>
        <w:jc w:val="both"/>
      </w:pPr>
    </w:p>
    <w:p w14:paraId="3B7B518F" w14:textId="77777777" w:rsidR="00F404BD" w:rsidRPr="003D7325" w:rsidRDefault="00F404BD" w:rsidP="009871C6">
      <w:pPr>
        <w:spacing w:line="276" w:lineRule="auto"/>
        <w:jc w:val="center"/>
        <w:rPr>
          <w:b/>
          <w:bCs/>
        </w:rPr>
      </w:pPr>
      <w:r w:rsidRPr="003D7325">
        <w:rPr>
          <w:b/>
          <w:bCs/>
        </w:rPr>
        <w:t>nosprieda</w:t>
      </w:r>
    </w:p>
    <w:p w14:paraId="04F4BF6F" w14:textId="77777777" w:rsidR="00F404BD" w:rsidRPr="003D7325" w:rsidRDefault="00F404BD" w:rsidP="009871C6">
      <w:pPr>
        <w:spacing w:line="276" w:lineRule="auto"/>
        <w:ind w:firstLine="720"/>
        <w:jc w:val="both"/>
      </w:pPr>
    </w:p>
    <w:p w14:paraId="223219D2" w14:textId="0FB59E4E" w:rsidR="00374068" w:rsidRPr="003D7325" w:rsidRDefault="00374068" w:rsidP="009871C6">
      <w:pPr>
        <w:spacing w:line="276" w:lineRule="auto"/>
        <w:ind w:firstLine="709"/>
        <w:jc w:val="both"/>
      </w:pPr>
      <w:r w:rsidRPr="003D7325">
        <w:t>at</w:t>
      </w:r>
      <w:r w:rsidR="005056C8">
        <w:t>stāt negrozītu</w:t>
      </w:r>
      <w:r w:rsidR="00F404BD" w:rsidRPr="003D7325">
        <w:t xml:space="preserve"> Administratīvās </w:t>
      </w:r>
      <w:r w:rsidR="00226779" w:rsidRPr="003D7325">
        <w:t>apgabal</w:t>
      </w:r>
      <w:r w:rsidR="00F404BD" w:rsidRPr="003D7325">
        <w:t>tiesas 202</w:t>
      </w:r>
      <w:r w:rsidR="00E50433" w:rsidRPr="003D7325">
        <w:t>3</w:t>
      </w:r>
      <w:r w:rsidR="00F404BD" w:rsidRPr="003D7325">
        <w:t xml:space="preserve">.gada </w:t>
      </w:r>
      <w:r w:rsidR="00523DFE" w:rsidRPr="003D7325">
        <w:t>19.jūnija</w:t>
      </w:r>
      <w:r w:rsidR="00F404BD" w:rsidRPr="003D7325">
        <w:t xml:space="preserve"> spriedumu</w:t>
      </w:r>
      <w:r w:rsidR="005056C8">
        <w:t xml:space="preserve">, bet </w:t>
      </w:r>
      <w:r w:rsidR="003D7325" w:rsidRPr="003D7325">
        <w:t>sabiedrība</w:t>
      </w:r>
      <w:r w:rsidR="005056C8">
        <w:t xml:space="preserve">s </w:t>
      </w:r>
      <w:r w:rsidR="003D7325" w:rsidRPr="003D7325">
        <w:t>ar ierobežotu atbildību „STOCKHOLM SCHOOL OF ECONOMICS IN RIGA”</w:t>
      </w:r>
      <w:r w:rsidR="00E50433" w:rsidRPr="003D7325">
        <w:t xml:space="preserve"> </w:t>
      </w:r>
      <w:r w:rsidR="00635F63" w:rsidRPr="003D7325">
        <w:t xml:space="preserve">kasācijas sūdzību </w:t>
      </w:r>
      <w:r w:rsidR="005056C8">
        <w:t>noraidīt.</w:t>
      </w:r>
    </w:p>
    <w:p w14:paraId="63345DF3" w14:textId="77777777" w:rsidR="00F404BD" w:rsidRPr="003D7325" w:rsidRDefault="00F404BD" w:rsidP="009871C6">
      <w:pPr>
        <w:spacing w:line="276" w:lineRule="auto"/>
        <w:ind w:firstLine="720"/>
        <w:jc w:val="both"/>
      </w:pPr>
    </w:p>
    <w:p w14:paraId="6B051056" w14:textId="77777777" w:rsidR="00F404BD" w:rsidRPr="003D7325" w:rsidRDefault="00F404BD" w:rsidP="009871C6">
      <w:pPr>
        <w:spacing w:line="276" w:lineRule="auto"/>
        <w:ind w:firstLine="709"/>
        <w:jc w:val="both"/>
      </w:pPr>
      <w:r w:rsidRPr="003D7325">
        <w:t>Spriedums nav pārsūdzams.</w:t>
      </w:r>
    </w:p>
    <w:p w14:paraId="0B4762D9" w14:textId="4CA7DF7F" w:rsidR="00C93C1A" w:rsidRPr="003D7325" w:rsidRDefault="00C93C1A" w:rsidP="008B658A">
      <w:pPr>
        <w:spacing w:line="276" w:lineRule="auto"/>
      </w:pPr>
    </w:p>
    <w:p w14:paraId="4348F543" w14:textId="77777777" w:rsidR="00A06AB1" w:rsidRPr="00E71F04" w:rsidRDefault="00A06AB1" w:rsidP="008B658A">
      <w:pPr>
        <w:spacing w:line="276" w:lineRule="auto"/>
      </w:pPr>
    </w:p>
    <w:p w14:paraId="5F35DB9C" w14:textId="3036CCA9" w:rsidR="00C93C1A" w:rsidRPr="00E71F04" w:rsidRDefault="00C93C1A" w:rsidP="008B658A">
      <w:pPr>
        <w:spacing w:line="276" w:lineRule="auto"/>
      </w:pPr>
    </w:p>
    <w:p w14:paraId="415632D5" w14:textId="77777777" w:rsidR="00C93C1A" w:rsidRPr="00E71F04" w:rsidRDefault="00C93C1A" w:rsidP="008B658A">
      <w:pPr>
        <w:spacing w:line="276" w:lineRule="auto"/>
      </w:pPr>
    </w:p>
    <w:p w14:paraId="4EDC0F97" w14:textId="77777777" w:rsidR="00B54F4B" w:rsidRPr="00E71F04" w:rsidRDefault="00B54F4B" w:rsidP="008B658A">
      <w:pPr>
        <w:spacing w:line="276" w:lineRule="auto"/>
      </w:pPr>
    </w:p>
    <w:sectPr w:rsidR="00B54F4B" w:rsidRPr="00E71F04" w:rsidSect="0091093E">
      <w:footerReference w:type="default" r:id="rId14"/>
      <w:pgSz w:w="11906" w:h="16838" w:code="9"/>
      <w:pgMar w:top="1077" w:right="1644" w:bottom="1077"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F34C" w14:textId="77777777" w:rsidR="00A20394" w:rsidRDefault="00A20394" w:rsidP="00C92956">
      <w:r>
        <w:separator/>
      </w:r>
    </w:p>
  </w:endnote>
  <w:endnote w:type="continuationSeparator" w:id="0">
    <w:p w14:paraId="7864D5E1" w14:textId="77777777" w:rsidR="00A20394" w:rsidRDefault="00A20394" w:rsidP="00C9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4A07" w14:textId="586CF0F4" w:rsidR="00EF033B" w:rsidRPr="00EF033B" w:rsidRDefault="00EF033B">
    <w:pPr>
      <w:pStyle w:val="Footer"/>
      <w:jc w:val="center"/>
      <w:rPr>
        <w:sz w:val="20"/>
        <w:szCs w:val="20"/>
      </w:rPr>
    </w:pPr>
    <w:r w:rsidRPr="00EF033B">
      <w:rPr>
        <w:sz w:val="20"/>
        <w:szCs w:val="20"/>
      </w:rPr>
      <w:t xml:space="preserve"> </w:t>
    </w:r>
    <w:r w:rsidRPr="00EF033B">
      <w:rPr>
        <w:sz w:val="20"/>
        <w:szCs w:val="20"/>
      </w:rPr>
      <w:fldChar w:fldCharType="begin"/>
    </w:r>
    <w:r w:rsidRPr="00EF033B">
      <w:rPr>
        <w:sz w:val="20"/>
        <w:szCs w:val="20"/>
      </w:rPr>
      <w:instrText xml:space="preserve"> PAGE  \* Arabic  \* MERGEFORMAT </w:instrText>
    </w:r>
    <w:r w:rsidRPr="00EF033B">
      <w:rPr>
        <w:sz w:val="20"/>
        <w:szCs w:val="20"/>
      </w:rPr>
      <w:fldChar w:fldCharType="separate"/>
    </w:r>
    <w:r w:rsidRPr="00EF033B">
      <w:rPr>
        <w:noProof/>
        <w:sz w:val="20"/>
        <w:szCs w:val="20"/>
      </w:rPr>
      <w:t>2</w:t>
    </w:r>
    <w:r w:rsidRPr="00EF033B">
      <w:rPr>
        <w:sz w:val="20"/>
        <w:szCs w:val="20"/>
      </w:rPr>
      <w:fldChar w:fldCharType="end"/>
    </w:r>
    <w:r w:rsidRPr="00EF033B">
      <w:rPr>
        <w:sz w:val="20"/>
        <w:szCs w:val="20"/>
      </w:rPr>
      <w:t xml:space="preserve"> no </w:t>
    </w:r>
    <w:r w:rsidRPr="00EF033B">
      <w:rPr>
        <w:sz w:val="20"/>
        <w:szCs w:val="20"/>
      </w:rPr>
      <w:fldChar w:fldCharType="begin"/>
    </w:r>
    <w:r w:rsidRPr="00EF033B">
      <w:rPr>
        <w:sz w:val="20"/>
        <w:szCs w:val="20"/>
      </w:rPr>
      <w:instrText xml:space="preserve"> NUMPAGES  \* Arabic  \* MERGEFORMAT </w:instrText>
    </w:r>
    <w:r w:rsidRPr="00EF033B">
      <w:rPr>
        <w:sz w:val="20"/>
        <w:szCs w:val="20"/>
      </w:rPr>
      <w:fldChar w:fldCharType="separate"/>
    </w:r>
    <w:r w:rsidRPr="00EF033B">
      <w:rPr>
        <w:noProof/>
        <w:sz w:val="20"/>
        <w:szCs w:val="20"/>
      </w:rPr>
      <w:t>2</w:t>
    </w:r>
    <w:r w:rsidRPr="00EF033B">
      <w:rPr>
        <w:sz w:val="20"/>
        <w:szCs w:val="20"/>
      </w:rPr>
      <w:fldChar w:fldCharType="end"/>
    </w:r>
  </w:p>
  <w:p w14:paraId="5996B25F" w14:textId="36D46F85" w:rsidR="00C92956" w:rsidRPr="004D7B85" w:rsidRDefault="00C92956" w:rsidP="004D7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F0EE" w14:textId="77777777" w:rsidR="00A20394" w:rsidRDefault="00A20394" w:rsidP="00C92956">
      <w:r>
        <w:separator/>
      </w:r>
    </w:p>
  </w:footnote>
  <w:footnote w:type="continuationSeparator" w:id="0">
    <w:p w14:paraId="495050A9" w14:textId="77777777" w:rsidR="00A20394" w:rsidRDefault="00A20394" w:rsidP="00C92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03264DE"/>
    <w:multiLevelType w:val="hybridMultilevel"/>
    <w:tmpl w:val="77ECFB70"/>
    <w:lvl w:ilvl="0" w:tplc="9AC61052">
      <w:start w:val="1"/>
      <w:numFmt w:val="decimal"/>
      <w:lvlText w:val="%1)"/>
      <w:lvlJc w:val="left"/>
      <w:pPr>
        <w:ind w:left="720" w:hanging="360"/>
      </w:pPr>
      <w:rPr>
        <w:rFonts w:asciiTheme="majorBidi" w:hAnsiTheme="majorBidi" w:cstheme="maj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ED4FE0"/>
    <w:multiLevelType w:val="hybridMultilevel"/>
    <w:tmpl w:val="0B5038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9885947"/>
    <w:multiLevelType w:val="multilevel"/>
    <w:tmpl w:val="1EB8C4E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E94EDB"/>
    <w:multiLevelType w:val="hybridMultilevel"/>
    <w:tmpl w:val="F29AC2E8"/>
    <w:lvl w:ilvl="0" w:tplc="C980D4D8">
      <w:start w:val="1"/>
      <w:numFmt w:val="decimal"/>
      <w:lvlText w:val="[%1]"/>
      <w:lvlJc w:val="left"/>
      <w:pPr>
        <w:ind w:left="720" w:hanging="360"/>
      </w:pPr>
      <w:rPr>
        <w:rFonts w:hint="default"/>
        <w:b w:val="0"/>
        <w:i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390080"/>
    <w:multiLevelType w:val="hybridMultilevel"/>
    <w:tmpl w:val="0D584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36E73"/>
    <w:multiLevelType w:val="hybridMultilevel"/>
    <w:tmpl w:val="BCA45B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6412158"/>
    <w:multiLevelType w:val="hybridMultilevel"/>
    <w:tmpl w:val="2B82A28E"/>
    <w:lvl w:ilvl="0" w:tplc="6EE47ABE">
      <w:start w:val="1"/>
      <w:numFmt w:val="decimal"/>
      <w:lvlText w:val="%1)"/>
      <w:lvlJc w:val="left"/>
      <w:pPr>
        <w:ind w:left="1080" w:hanging="360"/>
      </w:pPr>
      <w:rPr>
        <w:rFonts w:hint="default"/>
        <w:color w:val="EE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8C17C40"/>
    <w:multiLevelType w:val="hybridMultilevel"/>
    <w:tmpl w:val="7E7000A0"/>
    <w:lvl w:ilvl="0" w:tplc="AABEE80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7F04F6"/>
    <w:multiLevelType w:val="hybridMultilevel"/>
    <w:tmpl w:val="BDD41556"/>
    <w:lvl w:ilvl="0" w:tplc="9EF0D756">
      <w:start w:val="15"/>
      <w:numFmt w:val="bullet"/>
      <w:lvlText w:val=""/>
      <w:lvlJc w:val="left"/>
      <w:pPr>
        <w:ind w:left="927" w:hanging="360"/>
      </w:pPr>
      <w:rPr>
        <w:rFonts w:ascii="Symbol" w:eastAsia="Times New Roman" w:hAnsi="Symbol" w:cstheme="majorBid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1" w15:restartNumberingAfterBreak="0">
    <w:nsid w:val="79D544BD"/>
    <w:multiLevelType w:val="hybridMultilevel"/>
    <w:tmpl w:val="27962664"/>
    <w:lvl w:ilvl="0" w:tplc="2DC40E0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695882">
    <w:abstractNumId w:val="0"/>
  </w:num>
  <w:num w:numId="2" w16cid:durableId="774446487">
    <w:abstractNumId w:val="9"/>
  </w:num>
  <w:num w:numId="3" w16cid:durableId="548687117">
    <w:abstractNumId w:val="6"/>
  </w:num>
  <w:num w:numId="4" w16cid:durableId="1306623654">
    <w:abstractNumId w:val="7"/>
  </w:num>
  <w:num w:numId="5" w16cid:durableId="347414124">
    <w:abstractNumId w:val="1"/>
  </w:num>
  <w:num w:numId="6" w16cid:durableId="1682581768">
    <w:abstractNumId w:val="10"/>
  </w:num>
  <w:num w:numId="7" w16cid:durableId="2116515123">
    <w:abstractNumId w:val="11"/>
  </w:num>
  <w:num w:numId="8" w16cid:durableId="520124915">
    <w:abstractNumId w:val="3"/>
  </w:num>
  <w:num w:numId="9" w16cid:durableId="1256401574">
    <w:abstractNumId w:val="2"/>
  </w:num>
  <w:num w:numId="10" w16cid:durableId="1718695894">
    <w:abstractNumId w:val="4"/>
  </w:num>
  <w:num w:numId="11" w16cid:durableId="1762530502">
    <w:abstractNumId w:val="8"/>
  </w:num>
  <w:num w:numId="12" w16cid:durableId="1078210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44C4"/>
    <w:rsid w:val="00005537"/>
    <w:rsid w:val="00010F3D"/>
    <w:rsid w:val="00012265"/>
    <w:rsid w:val="000130BF"/>
    <w:rsid w:val="00014DC2"/>
    <w:rsid w:val="0002071C"/>
    <w:rsid w:val="00026744"/>
    <w:rsid w:val="000310D1"/>
    <w:rsid w:val="0003356F"/>
    <w:rsid w:val="00033C7D"/>
    <w:rsid w:val="00034657"/>
    <w:rsid w:val="00037A32"/>
    <w:rsid w:val="0004081E"/>
    <w:rsid w:val="00044FE0"/>
    <w:rsid w:val="00046A5D"/>
    <w:rsid w:val="000505F6"/>
    <w:rsid w:val="00055E01"/>
    <w:rsid w:val="000570A8"/>
    <w:rsid w:val="000632C5"/>
    <w:rsid w:val="000637E3"/>
    <w:rsid w:val="000647E7"/>
    <w:rsid w:val="00071ABF"/>
    <w:rsid w:val="00071D10"/>
    <w:rsid w:val="00072B9E"/>
    <w:rsid w:val="00073524"/>
    <w:rsid w:val="00073909"/>
    <w:rsid w:val="00081BB4"/>
    <w:rsid w:val="00083FA8"/>
    <w:rsid w:val="00091611"/>
    <w:rsid w:val="0009205B"/>
    <w:rsid w:val="00092DB7"/>
    <w:rsid w:val="0009383E"/>
    <w:rsid w:val="000A1A25"/>
    <w:rsid w:val="000A2BEB"/>
    <w:rsid w:val="000A3F42"/>
    <w:rsid w:val="000A5890"/>
    <w:rsid w:val="000B1383"/>
    <w:rsid w:val="000B2980"/>
    <w:rsid w:val="000B3B71"/>
    <w:rsid w:val="000B3CDF"/>
    <w:rsid w:val="000B449F"/>
    <w:rsid w:val="000C13EE"/>
    <w:rsid w:val="000C1A0A"/>
    <w:rsid w:val="000C33AC"/>
    <w:rsid w:val="000C3C41"/>
    <w:rsid w:val="000C541F"/>
    <w:rsid w:val="000C5DA4"/>
    <w:rsid w:val="000C67AB"/>
    <w:rsid w:val="000C7701"/>
    <w:rsid w:val="000D1FED"/>
    <w:rsid w:val="000D26FE"/>
    <w:rsid w:val="000D4864"/>
    <w:rsid w:val="000E170E"/>
    <w:rsid w:val="000E1864"/>
    <w:rsid w:val="000E1D57"/>
    <w:rsid w:val="000E3AFC"/>
    <w:rsid w:val="000E7B65"/>
    <w:rsid w:val="000F0CF7"/>
    <w:rsid w:val="000F4131"/>
    <w:rsid w:val="000F492B"/>
    <w:rsid w:val="000F637C"/>
    <w:rsid w:val="00105DB0"/>
    <w:rsid w:val="001114E6"/>
    <w:rsid w:val="00113A01"/>
    <w:rsid w:val="001153A6"/>
    <w:rsid w:val="00117467"/>
    <w:rsid w:val="00120133"/>
    <w:rsid w:val="00125EFA"/>
    <w:rsid w:val="001321D8"/>
    <w:rsid w:val="001368BB"/>
    <w:rsid w:val="00140D28"/>
    <w:rsid w:val="00142E8E"/>
    <w:rsid w:val="00145AE8"/>
    <w:rsid w:val="00146C53"/>
    <w:rsid w:val="00147B00"/>
    <w:rsid w:val="00147BAB"/>
    <w:rsid w:val="0015396C"/>
    <w:rsid w:val="00155E1E"/>
    <w:rsid w:val="00160E1C"/>
    <w:rsid w:val="00161A8D"/>
    <w:rsid w:val="0016334C"/>
    <w:rsid w:val="00163747"/>
    <w:rsid w:val="001724BE"/>
    <w:rsid w:val="00176515"/>
    <w:rsid w:val="0018031C"/>
    <w:rsid w:val="00182227"/>
    <w:rsid w:val="00185A38"/>
    <w:rsid w:val="00186486"/>
    <w:rsid w:val="00186F2D"/>
    <w:rsid w:val="00187B15"/>
    <w:rsid w:val="00187C8F"/>
    <w:rsid w:val="001914FE"/>
    <w:rsid w:val="00194E72"/>
    <w:rsid w:val="001962BE"/>
    <w:rsid w:val="001A0369"/>
    <w:rsid w:val="001A268A"/>
    <w:rsid w:val="001A2B3A"/>
    <w:rsid w:val="001A2D31"/>
    <w:rsid w:val="001A327F"/>
    <w:rsid w:val="001A557A"/>
    <w:rsid w:val="001B0980"/>
    <w:rsid w:val="001B2FFE"/>
    <w:rsid w:val="001B35FC"/>
    <w:rsid w:val="001B5D7D"/>
    <w:rsid w:val="001B6BDC"/>
    <w:rsid w:val="001C44FC"/>
    <w:rsid w:val="001C5B23"/>
    <w:rsid w:val="001C6FF6"/>
    <w:rsid w:val="001D144A"/>
    <w:rsid w:val="001D491A"/>
    <w:rsid w:val="001D799A"/>
    <w:rsid w:val="001E0D0F"/>
    <w:rsid w:val="001E1C9C"/>
    <w:rsid w:val="001E34AB"/>
    <w:rsid w:val="001E3EF7"/>
    <w:rsid w:val="001E4C32"/>
    <w:rsid w:val="001E50DB"/>
    <w:rsid w:val="001E5C91"/>
    <w:rsid w:val="001E75B8"/>
    <w:rsid w:val="001F63B4"/>
    <w:rsid w:val="002027CB"/>
    <w:rsid w:val="00204459"/>
    <w:rsid w:val="00212CB5"/>
    <w:rsid w:val="00221170"/>
    <w:rsid w:val="002249B7"/>
    <w:rsid w:val="00226779"/>
    <w:rsid w:val="0023626F"/>
    <w:rsid w:val="00240C40"/>
    <w:rsid w:val="002419A5"/>
    <w:rsid w:val="00244700"/>
    <w:rsid w:val="002448AB"/>
    <w:rsid w:val="00246B1B"/>
    <w:rsid w:val="00261812"/>
    <w:rsid w:val="002623A2"/>
    <w:rsid w:val="00266243"/>
    <w:rsid w:val="00266E79"/>
    <w:rsid w:val="0027200F"/>
    <w:rsid w:val="002729C0"/>
    <w:rsid w:val="00275EE6"/>
    <w:rsid w:val="00276063"/>
    <w:rsid w:val="00276276"/>
    <w:rsid w:val="00280DDA"/>
    <w:rsid w:val="0028192A"/>
    <w:rsid w:val="002834B4"/>
    <w:rsid w:val="00285FB9"/>
    <w:rsid w:val="0028618D"/>
    <w:rsid w:val="00287313"/>
    <w:rsid w:val="002921EC"/>
    <w:rsid w:val="00292616"/>
    <w:rsid w:val="00297935"/>
    <w:rsid w:val="002A57F2"/>
    <w:rsid w:val="002A707A"/>
    <w:rsid w:val="002B00EF"/>
    <w:rsid w:val="002B086C"/>
    <w:rsid w:val="002B1C8C"/>
    <w:rsid w:val="002B2579"/>
    <w:rsid w:val="002B72B0"/>
    <w:rsid w:val="002B72BA"/>
    <w:rsid w:val="002C380F"/>
    <w:rsid w:val="002C6066"/>
    <w:rsid w:val="002C7160"/>
    <w:rsid w:val="002D554D"/>
    <w:rsid w:val="002E3A20"/>
    <w:rsid w:val="002E4FE4"/>
    <w:rsid w:val="002E5FEE"/>
    <w:rsid w:val="002E73D0"/>
    <w:rsid w:val="002F0A73"/>
    <w:rsid w:val="002F0F4F"/>
    <w:rsid w:val="002F4C2D"/>
    <w:rsid w:val="00301BAA"/>
    <w:rsid w:val="00304E75"/>
    <w:rsid w:val="0030514E"/>
    <w:rsid w:val="003053D4"/>
    <w:rsid w:val="003059DE"/>
    <w:rsid w:val="003204F0"/>
    <w:rsid w:val="003268AB"/>
    <w:rsid w:val="00332995"/>
    <w:rsid w:val="00332BEE"/>
    <w:rsid w:val="0033556D"/>
    <w:rsid w:val="00336103"/>
    <w:rsid w:val="00340A5B"/>
    <w:rsid w:val="00344903"/>
    <w:rsid w:val="00344F2D"/>
    <w:rsid w:val="00350A5D"/>
    <w:rsid w:val="0035360E"/>
    <w:rsid w:val="00354911"/>
    <w:rsid w:val="003577A5"/>
    <w:rsid w:val="003606F7"/>
    <w:rsid w:val="00364354"/>
    <w:rsid w:val="0036477E"/>
    <w:rsid w:val="00365744"/>
    <w:rsid w:val="00372B79"/>
    <w:rsid w:val="00372D2C"/>
    <w:rsid w:val="0037326A"/>
    <w:rsid w:val="00374068"/>
    <w:rsid w:val="00375AB5"/>
    <w:rsid w:val="00376D25"/>
    <w:rsid w:val="003775EB"/>
    <w:rsid w:val="003802B0"/>
    <w:rsid w:val="00381252"/>
    <w:rsid w:val="00382907"/>
    <w:rsid w:val="0038382E"/>
    <w:rsid w:val="00386C23"/>
    <w:rsid w:val="00387F8A"/>
    <w:rsid w:val="0039026F"/>
    <w:rsid w:val="00391D5C"/>
    <w:rsid w:val="00392A75"/>
    <w:rsid w:val="003948D6"/>
    <w:rsid w:val="00396E2D"/>
    <w:rsid w:val="003A1A15"/>
    <w:rsid w:val="003A2136"/>
    <w:rsid w:val="003A2C7C"/>
    <w:rsid w:val="003A4E0E"/>
    <w:rsid w:val="003B15C6"/>
    <w:rsid w:val="003B46D9"/>
    <w:rsid w:val="003B5403"/>
    <w:rsid w:val="003B7B0F"/>
    <w:rsid w:val="003B7B6A"/>
    <w:rsid w:val="003C42B0"/>
    <w:rsid w:val="003C4A51"/>
    <w:rsid w:val="003C7834"/>
    <w:rsid w:val="003D0FF1"/>
    <w:rsid w:val="003D31D8"/>
    <w:rsid w:val="003D44D4"/>
    <w:rsid w:val="003D7325"/>
    <w:rsid w:val="003E07ED"/>
    <w:rsid w:val="003E6147"/>
    <w:rsid w:val="003F2FCF"/>
    <w:rsid w:val="003F4CFD"/>
    <w:rsid w:val="003F5E79"/>
    <w:rsid w:val="003F6561"/>
    <w:rsid w:val="004002B1"/>
    <w:rsid w:val="00401A24"/>
    <w:rsid w:val="00407116"/>
    <w:rsid w:val="00412A47"/>
    <w:rsid w:val="004133E0"/>
    <w:rsid w:val="00416F90"/>
    <w:rsid w:val="004178F9"/>
    <w:rsid w:val="00417D6A"/>
    <w:rsid w:val="00422783"/>
    <w:rsid w:val="00424DA9"/>
    <w:rsid w:val="00424E0D"/>
    <w:rsid w:val="0043269E"/>
    <w:rsid w:val="0043412A"/>
    <w:rsid w:val="00436C03"/>
    <w:rsid w:val="0043745A"/>
    <w:rsid w:val="00440805"/>
    <w:rsid w:val="004432BE"/>
    <w:rsid w:val="00445925"/>
    <w:rsid w:val="00446C6C"/>
    <w:rsid w:val="00447EE6"/>
    <w:rsid w:val="0045462D"/>
    <w:rsid w:val="004554E1"/>
    <w:rsid w:val="00462A79"/>
    <w:rsid w:val="00462AF1"/>
    <w:rsid w:val="004639C7"/>
    <w:rsid w:val="00463BFE"/>
    <w:rsid w:val="00465109"/>
    <w:rsid w:val="00465D9E"/>
    <w:rsid w:val="00466301"/>
    <w:rsid w:val="00467381"/>
    <w:rsid w:val="004712FB"/>
    <w:rsid w:val="004728A0"/>
    <w:rsid w:val="0047342B"/>
    <w:rsid w:val="00475925"/>
    <w:rsid w:val="00476458"/>
    <w:rsid w:val="00476576"/>
    <w:rsid w:val="00477526"/>
    <w:rsid w:val="004806BF"/>
    <w:rsid w:val="004831F6"/>
    <w:rsid w:val="00487E30"/>
    <w:rsid w:val="004A0CA1"/>
    <w:rsid w:val="004A4E28"/>
    <w:rsid w:val="004A7A65"/>
    <w:rsid w:val="004B0BBA"/>
    <w:rsid w:val="004B2A94"/>
    <w:rsid w:val="004B3768"/>
    <w:rsid w:val="004B6A70"/>
    <w:rsid w:val="004B73F9"/>
    <w:rsid w:val="004C53B9"/>
    <w:rsid w:val="004C58B9"/>
    <w:rsid w:val="004D2BF5"/>
    <w:rsid w:val="004D5A52"/>
    <w:rsid w:val="004D7B85"/>
    <w:rsid w:val="004E0226"/>
    <w:rsid w:val="004E0802"/>
    <w:rsid w:val="004E6F14"/>
    <w:rsid w:val="004E7A1E"/>
    <w:rsid w:val="004E7C55"/>
    <w:rsid w:val="004F1946"/>
    <w:rsid w:val="004F1CA8"/>
    <w:rsid w:val="004F2977"/>
    <w:rsid w:val="004F60F0"/>
    <w:rsid w:val="005056C8"/>
    <w:rsid w:val="00505D15"/>
    <w:rsid w:val="0050693F"/>
    <w:rsid w:val="00506A27"/>
    <w:rsid w:val="0050702A"/>
    <w:rsid w:val="00510283"/>
    <w:rsid w:val="0051066F"/>
    <w:rsid w:val="0051412A"/>
    <w:rsid w:val="00522682"/>
    <w:rsid w:val="00523C26"/>
    <w:rsid w:val="00523D53"/>
    <w:rsid w:val="00523DFE"/>
    <w:rsid w:val="005300B4"/>
    <w:rsid w:val="005406AF"/>
    <w:rsid w:val="00546F91"/>
    <w:rsid w:val="0054788A"/>
    <w:rsid w:val="00547C02"/>
    <w:rsid w:val="00550C5D"/>
    <w:rsid w:val="00550EBB"/>
    <w:rsid w:val="0055424A"/>
    <w:rsid w:val="005556B3"/>
    <w:rsid w:val="005565CF"/>
    <w:rsid w:val="005573A5"/>
    <w:rsid w:val="0056361E"/>
    <w:rsid w:val="005755AD"/>
    <w:rsid w:val="005821AC"/>
    <w:rsid w:val="00584088"/>
    <w:rsid w:val="00584C31"/>
    <w:rsid w:val="005864AB"/>
    <w:rsid w:val="00586CFD"/>
    <w:rsid w:val="00587E09"/>
    <w:rsid w:val="0059207C"/>
    <w:rsid w:val="00596505"/>
    <w:rsid w:val="005A0ABD"/>
    <w:rsid w:val="005B0589"/>
    <w:rsid w:val="005B279F"/>
    <w:rsid w:val="005B5840"/>
    <w:rsid w:val="005B77C2"/>
    <w:rsid w:val="005C012C"/>
    <w:rsid w:val="005C147D"/>
    <w:rsid w:val="005C1C63"/>
    <w:rsid w:val="005C232F"/>
    <w:rsid w:val="005D0EBE"/>
    <w:rsid w:val="005D2096"/>
    <w:rsid w:val="005D44DF"/>
    <w:rsid w:val="005D5DC8"/>
    <w:rsid w:val="005D6D00"/>
    <w:rsid w:val="005E18B3"/>
    <w:rsid w:val="005E6F32"/>
    <w:rsid w:val="005F15F5"/>
    <w:rsid w:val="005F1CA0"/>
    <w:rsid w:val="005F1EEF"/>
    <w:rsid w:val="005F2351"/>
    <w:rsid w:val="005F3034"/>
    <w:rsid w:val="005F51C5"/>
    <w:rsid w:val="00601AEB"/>
    <w:rsid w:val="0060472E"/>
    <w:rsid w:val="006052B8"/>
    <w:rsid w:val="00606426"/>
    <w:rsid w:val="0060649F"/>
    <w:rsid w:val="006065FD"/>
    <w:rsid w:val="00607546"/>
    <w:rsid w:val="00607FD3"/>
    <w:rsid w:val="00610623"/>
    <w:rsid w:val="00610D29"/>
    <w:rsid w:val="006117C2"/>
    <w:rsid w:val="006134B1"/>
    <w:rsid w:val="0061634A"/>
    <w:rsid w:val="00617BD2"/>
    <w:rsid w:val="00623496"/>
    <w:rsid w:val="006266C1"/>
    <w:rsid w:val="00627F5E"/>
    <w:rsid w:val="00635F63"/>
    <w:rsid w:val="006370DD"/>
    <w:rsid w:val="00643453"/>
    <w:rsid w:val="00644B1B"/>
    <w:rsid w:val="006500DA"/>
    <w:rsid w:val="00650735"/>
    <w:rsid w:val="00650CA6"/>
    <w:rsid w:val="0065736F"/>
    <w:rsid w:val="0065749C"/>
    <w:rsid w:val="006601AC"/>
    <w:rsid w:val="00661AEC"/>
    <w:rsid w:val="0066213A"/>
    <w:rsid w:val="00664B91"/>
    <w:rsid w:val="00667E25"/>
    <w:rsid w:val="00671543"/>
    <w:rsid w:val="00672F00"/>
    <w:rsid w:val="006742D5"/>
    <w:rsid w:val="006820D7"/>
    <w:rsid w:val="00682D3D"/>
    <w:rsid w:val="00685F5F"/>
    <w:rsid w:val="00694FA4"/>
    <w:rsid w:val="006A11EB"/>
    <w:rsid w:val="006A370A"/>
    <w:rsid w:val="006B11D2"/>
    <w:rsid w:val="006B13F9"/>
    <w:rsid w:val="006B38F5"/>
    <w:rsid w:val="006B639B"/>
    <w:rsid w:val="006B658B"/>
    <w:rsid w:val="006B792E"/>
    <w:rsid w:val="006C081C"/>
    <w:rsid w:val="006C0967"/>
    <w:rsid w:val="006C2475"/>
    <w:rsid w:val="006C49DD"/>
    <w:rsid w:val="006C6CF1"/>
    <w:rsid w:val="006C7023"/>
    <w:rsid w:val="006D3E55"/>
    <w:rsid w:val="006E0DF6"/>
    <w:rsid w:val="006E4D7B"/>
    <w:rsid w:val="006F35E6"/>
    <w:rsid w:val="006F3B72"/>
    <w:rsid w:val="006F3EE7"/>
    <w:rsid w:val="006F3FF6"/>
    <w:rsid w:val="0070704C"/>
    <w:rsid w:val="007124A9"/>
    <w:rsid w:val="00713A4C"/>
    <w:rsid w:val="00716160"/>
    <w:rsid w:val="00716B1E"/>
    <w:rsid w:val="00717FC0"/>
    <w:rsid w:val="00721284"/>
    <w:rsid w:val="00723844"/>
    <w:rsid w:val="00730DE5"/>
    <w:rsid w:val="00733C8A"/>
    <w:rsid w:val="00735352"/>
    <w:rsid w:val="0073549B"/>
    <w:rsid w:val="0074480C"/>
    <w:rsid w:val="00745292"/>
    <w:rsid w:val="007513BC"/>
    <w:rsid w:val="007546D9"/>
    <w:rsid w:val="0076072E"/>
    <w:rsid w:val="00763B8C"/>
    <w:rsid w:val="0076471D"/>
    <w:rsid w:val="00766FF9"/>
    <w:rsid w:val="00770545"/>
    <w:rsid w:val="00775FC4"/>
    <w:rsid w:val="00777A10"/>
    <w:rsid w:val="00780EDD"/>
    <w:rsid w:val="00781F95"/>
    <w:rsid w:val="007820C2"/>
    <w:rsid w:val="0078258B"/>
    <w:rsid w:val="00793346"/>
    <w:rsid w:val="00793B56"/>
    <w:rsid w:val="007948C1"/>
    <w:rsid w:val="00794B04"/>
    <w:rsid w:val="00795481"/>
    <w:rsid w:val="007957CF"/>
    <w:rsid w:val="007A06B4"/>
    <w:rsid w:val="007A0943"/>
    <w:rsid w:val="007A4430"/>
    <w:rsid w:val="007A4B02"/>
    <w:rsid w:val="007A5C89"/>
    <w:rsid w:val="007A77DB"/>
    <w:rsid w:val="007B08BF"/>
    <w:rsid w:val="007B2CA9"/>
    <w:rsid w:val="007B3E86"/>
    <w:rsid w:val="007C7A56"/>
    <w:rsid w:val="007D2E4A"/>
    <w:rsid w:val="007D4C24"/>
    <w:rsid w:val="007D7EA1"/>
    <w:rsid w:val="007E0B43"/>
    <w:rsid w:val="007E0F6C"/>
    <w:rsid w:val="007E41C0"/>
    <w:rsid w:val="007E7D36"/>
    <w:rsid w:val="007F0574"/>
    <w:rsid w:val="007F22F6"/>
    <w:rsid w:val="007F5D40"/>
    <w:rsid w:val="007F5F5C"/>
    <w:rsid w:val="007F7D9C"/>
    <w:rsid w:val="0080195E"/>
    <w:rsid w:val="00805499"/>
    <w:rsid w:val="0080579E"/>
    <w:rsid w:val="00805868"/>
    <w:rsid w:val="00805FD3"/>
    <w:rsid w:val="00806BF4"/>
    <w:rsid w:val="00806EEA"/>
    <w:rsid w:val="00811CBC"/>
    <w:rsid w:val="00815C6B"/>
    <w:rsid w:val="008165D0"/>
    <w:rsid w:val="00816A67"/>
    <w:rsid w:val="008179F2"/>
    <w:rsid w:val="0082533B"/>
    <w:rsid w:val="008314BE"/>
    <w:rsid w:val="00840104"/>
    <w:rsid w:val="008508D3"/>
    <w:rsid w:val="00850FC2"/>
    <w:rsid w:val="008517D0"/>
    <w:rsid w:val="00855C7A"/>
    <w:rsid w:val="00861F34"/>
    <w:rsid w:val="00862CD2"/>
    <w:rsid w:val="0086660D"/>
    <w:rsid w:val="00867777"/>
    <w:rsid w:val="00871963"/>
    <w:rsid w:val="00872512"/>
    <w:rsid w:val="008746C4"/>
    <w:rsid w:val="00875383"/>
    <w:rsid w:val="00875494"/>
    <w:rsid w:val="0087662F"/>
    <w:rsid w:val="00886CB3"/>
    <w:rsid w:val="0089394E"/>
    <w:rsid w:val="008963DF"/>
    <w:rsid w:val="00896769"/>
    <w:rsid w:val="008A1026"/>
    <w:rsid w:val="008A5D91"/>
    <w:rsid w:val="008B097A"/>
    <w:rsid w:val="008B49F3"/>
    <w:rsid w:val="008B4C11"/>
    <w:rsid w:val="008B54D0"/>
    <w:rsid w:val="008B658A"/>
    <w:rsid w:val="008B7E5A"/>
    <w:rsid w:val="008C1227"/>
    <w:rsid w:val="008C1C51"/>
    <w:rsid w:val="008C30B9"/>
    <w:rsid w:val="008C4340"/>
    <w:rsid w:val="008C50CB"/>
    <w:rsid w:val="008D090B"/>
    <w:rsid w:val="008D164F"/>
    <w:rsid w:val="008D1D35"/>
    <w:rsid w:val="008D30F1"/>
    <w:rsid w:val="008D32CE"/>
    <w:rsid w:val="008D3A7E"/>
    <w:rsid w:val="008D45D3"/>
    <w:rsid w:val="008D5893"/>
    <w:rsid w:val="008E02CF"/>
    <w:rsid w:val="008E5A89"/>
    <w:rsid w:val="008E5E22"/>
    <w:rsid w:val="008F0317"/>
    <w:rsid w:val="008F49B7"/>
    <w:rsid w:val="008F6C5C"/>
    <w:rsid w:val="008F79A9"/>
    <w:rsid w:val="00900427"/>
    <w:rsid w:val="00900B4A"/>
    <w:rsid w:val="009015F5"/>
    <w:rsid w:val="0090318B"/>
    <w:rsid w:val="0090604E"/>
    <w:rsid w:val="00906DCB"/>
    <w:rsid w:val="0091093E"/>
    <w:rsid w:val="009113C2"/>
    <w:rsid w:val="00912F3C"/>
    <w:rsid w:val="00913258"/>
    <w:rsid w:val="00913731"/>
    <w:rsid w:val="009214CE"/>
    <w:rsid w:val="0092187B"/>
    <w:rsid w:val="0092293E"/>
    <w:rsid w:val="009234D8"/>
    <w:rsid w:val="00924E45"/>
    <w:rsid w:val="00927965"/>
    <w:rsid w:val="00930D43"/>
    <w:rsid w:val="00932358"/>
    <w:rsid w:val="00933226"/>
    <w:rsid w:val="00933FC3"/>
    <w:rsid w:val="00935377"/>
    <w:rsid w:val="009414A6"/>
    <w:rsid w:val="009445E3"/>
    <w:rsid w:val="00944C6E"/>
    <w:rsid w:val="00947985"/>
    <w:rsid w:val="00952000"/>
    <w:rsid w:val="009520B3"/>
    <w:rsid w:val="00952BF7"/>
    <w:rsid w:val="00954B94"/>
    <w:rsid w:val="00955E84"/>
    <w:rsid w:val="00965193"/>
    <w:rsid w:val="00967FF7"/>
    <w:rsid w:val="00975307"/>
    <w:rsid w:val="00975D9B"/>
    <w:rsid w:val="00976001"/>
    <w:rsid w:val="0098433D"/>
    <w:rsid w:val="009871C6"/>
    <w:rsid w:val="009A0A26"/>
    <w:rsid w:val="009A1B82"/>
    <w:rsid w:val="009A282F"/>
    <w:rsid w:val="009A4AD5"/>
    <w:rsid w:val="009A4CF7"/>
    <w:rsid w:val="009B0050"/>
    <w:rsid w:val="009B0274"/>
    <w:rsid w:val="009C0C25"/>
    <w:rsid w:val="009C114A"/>
    <w:rsid w:val="009C1F2D"/>
    <w:rsid w:val="009C2152"/>
    <w:rsid w:val="009C7844"/>
    <w:rsid w:val="009D7A93"/>
    <w:rsid w:val="009E092E"/>
    <w:rsid w:val="009E1503"/>
    <w:rsid w:val="009E377C"/>
    <w:rsid w:val="009E4D09"/>
    <w:rsid w:val="009E576A"/>
    <w:rsid w:val="009E5F77"/>
    <w:rsid w:val="009E6195"/>
    <w:rsid w:val="009F7537"/>
    <w:rsid w:val="00A00D0A"/>
    <w:rsid w:val="00A01471"/>
    <w:rsid w:val="00A06AB1"/>
    <w:rsid w:val="00A07C5F"/>
    <w:rsid w:val="00A106C2"/>
    <w:rsid w:val="00A11089"/>
    <w:rsid w:val="00A1287A"/>
    <w:rsid w:val="00A1521F"/>
    <w:rsid w:val="00A16BFF"/>
    <w:rsid w:val="00A20394"/>
    <w:rsid w:val="00A21A24"/>
    <w:rsid w:val="00A2429F"/>
    <w:rsid w:val="00A37205"/>
    <w:rsid w:val="00A40288"/>
    <w:rsid w:val="00A41734"/>
    <w:rsid w:val="00A417BA"/>
    <w:rsid w:val="00A41875"/>
    <w:rsid w:val="00A419CA"/>
    <w:rsid w:val="00A429D5"/>
    <w:rsid w:val="00A443B1"/>
    <w:rsid w:val="00A5303C"/>
    <w:rsid w:val="00A53D65"/>
    <w:rsid w:val="00A54943"/>
    <w:rsid w:val="00A56C42"/>
    <w:rsid w:val="00A6009E"/>
    <w:rsid w:val="00A66EA9"/>
    <w:rsid w:val="00A71B6A"/>
    <w:rsid w:val="00A7225D"/>
    <w:rsid w:val="00A73E04"/>
    <w:rsid w:val="00A802CC"/>
    <w:rsid w:val="00A82406"/>
    <w:rsid w:val="00A82C17"/>
    <w:rsid w:val="00A87345"/>
    <w:rsid w:val="00A90301"/>
    <w:rsid w:val="00A9039F"/>
    <w:rsid w:val="00A9527F"/>
    <w:rsid w:val="00A96722"/>
    <w:rsid w:val="00AA3550"/>
    <w:rsid w:val="00AA3867"/>
    <w:rsid w:val="00AA6412"/>
    <w:rsid w:val="00AB0F8E"/>
    <w:rsid w:val="00AB159F"/>
    <w:rsid w:val="00AB4703"/>
    <w:rsid w:val="00AB7075"/>
    <w:rsid w:val="00AC29CC"/>
    <w:rsid w:val="00AC6F6B"/>
    <w:rsid w:val="00AD7292"/>
    <w:rsid w:val="00AD76AD"/>
    <w:rsid w:val="00AE1503"/>
    <w:rsid w:val="00AE27B7"/>
    <w:rsid w:val="00AE3EB4"/>
    <w:rsid w:val="00AE4220"/>
    <w:rsid w:val="00AF067B"/>
    <w:rsid w:val="00AF45C6"/>
    <w:rsid w:val="00AF50CC"/>
    <w:rsid w:val="00AF726E"/>
    <w:rsid w:val="00AF7465"/>
    <w:rsid w:val="00B03DA1"/>
    <w:rsid w:val="00B0638B"/>
    <w:rsid w:val="00B06693"/>
    <w:rsid w:val="00B07BEA"/>
    <w:rsid w:val="00B12882"/>
    <w:rsid w:val="00B143F5"/>
    <w:rsid w:val="00B1474E"/>
    <w:rsid w:val="00B15852"/>
    <w:rsid w:val="00B20315"/>
    <w:rsid w:val="00B25BA8"/>
    <w:rsid w:val="00B3124A"/>
    <w:rsid w:val="00B32B46"/>
    <w:rsid w:val="00B32BF3"/>
    <w:rsid w:val="00B37FB4"/>
    <w:rsid w:val="00B4039A"/>
    <w:rsid w:val="00B41BB8"/>
    <w:rsid w:val="00B46361"/>
    <w:rsid w:val="00B50A92"/>
    <w:rsid w:val="00B51096"/>
    <w:rsid w:val="00B54F4B"/>
    <w:rsid w:val="00B55083"/>
    <w:rsid w:val="00B62505"/>
    <w:rsid w:val="00B657FD"/>
    <w:rsid w:val="00B66088"/>
    <w:rsid w:val="00B6646D"/>
    <w:rsid w:val="00B67C85"/>
    <w:rsid w:val="00B717CF"/>
    <w:rsid w:val="00B72E67"/>
    <w:rsid w:val="00B73527"/>
    <w:rsid w:val="00B77E3C"/>
    <w:rsid w:val="00B81DC4"/>
    <w:rsid w:val="00B83128"/>
    <w:rsid w:val="00B83EC6"/>
    <w:rsid w:val="00B87FD2"/>
    <w:rsid w:val="00B908A2"/>
    <w:rsid w:val="00B924B3"/>
    <w:rsid w:val="00B93301"/>
    <w:rsid w:val="00B9546C"/>
    <w:rsid w:val="00BA1711"/>
    <w:rsid w:val="00BA21C5"/>
    <w:rsid w:val="00BA2E1F"/>
    <w:rsid w:val="00BA38BF"/>
    <w:rsid w:val="00BA574E"/>
    <w:rsid w:val="00BA6124"/>
    <w:rsid w:val="00BA64D8"/>
    <w:rsid w:val="00BB2BBE"/>
    <w:rsid w:val="00BB61D1"/>
    <w:rsid w:val="00BB726A"/>
    <w:rsid w:val="00BB729D"/>
    <w:rsid w:val="00BC2C6A"/>
    <w:rsid w:val="00BD0096"/>
    <w:rsid w:val="00BD4102"/>
    <w:rsid w:val="00BD7BAC"/>
    <w:rsid w:val="00BE3F44"/>
    <w:rsid w:val="00BE70B8"/>
    <w:rsid w:val="00BE7A8B"/>
    <w:rsid w:val="00BE7BAA"/>
    <w:rsid w:val="00BF08AF"/>
    <w:rsid w:val="00C0009B"/>
    <w:rsid w:val="00C01661"/>
    <w:rsid w:val="00C01A71"/>
    <w:rsid w:val="00C047EA"/>
    <w:rsid w:val="00C1032C"/>
    <w:rsid w:val="00C110C2"/>
    <w:rsid w:val="00C13254"/>
    <w:rsid w:val="00C13946"/>
    <w:rsid w:val="00C13C93"/>
    <w:rsid w:val="00C161E3"/>
    <w:rsid w:val="00C1625D"/>
    <w:rsid w:val="00C21CA1"/>
    <w:rsid w:val="00C239D2"/>
    <w:rsid w:val="00C24296"/>
    <w:rsid w:val="00C2637C"/>
    <w:rsid w:val="00C356D5"/>
    <w:rsid w:val="00C35BBE"/>
    <w:rsid w:val="00C36E01"/>
    <w:rsid w:val="00C400FC"/>
    <w:rsid w:val="00C4161B"/>
    <w:rsid w:val="00C43E82"/>
    <w:rsid w:val="00C44691"/>
    <w:rsid w:val="00C473D4"/>
    <w:rsid w:val="00C5023B"/>
    <w:rsid w:val="00C5333E"/>
    <w:rsid w:val="00C6557E"/>
    <w:rsid w:val="00C65DB6"/>
    <w:rsid w:val="00C7012B"/>
    <w:rsid w:val="00C705F7"/>
    <w:rsid w:val="00C70B2A"/>
    <w:rsid w:val="00C77ADD"/>
    <w:rsid w:val="00C824DA"/>
    <w:rsid w:val="00C859AD"/>
    <w:rsid w:val="00C87B58"/>
    <w:rsid w:val="00C87D60"/>
    <w:rsid w:val="00C92956"/>
    <w:rsid w:val="00C93C1A"/>
    <w:rsid w:val="00C94712"/>
    <w:rsid w:val="00CB469E"/>
    <w:rsid w:val="00CC3961"/>
    <w:rsid w:val="00CC6A6E"/>
    <w:rsid w:val="00CE13EA"/>
    <w:rsid w:val="00CE2370"/>
    <w:rsid w:val="00CE2F10"/>
    <w:rsid w:val="00CE401E"/>
    <w:rsid w:val="00CE4DDF"/>
    <w:rsid w:val="00CF0454"/>
    <w:rsid w:val="00CF1B56"/>
    <w:rsid w:val="00D02174"/>
    <w:rsid w:val="00D048C3"/>
    <w:rsid w:val="00D04B72"/>
    <w:rsid w:val="00D063D0"/>
    <w:rsid w:val="00D079DD"/>
    <w:rsid w:val="00D15BAF"/>
    <w:rsid w:val="00D163A7"/>
    <w:rsid w:val="00D26FA8"/>
    <w:rsid w:val="00D30F0D"/>
    <w:rsid w:val="00D31D7E"/>
    <w:rsid w:val="00D33125"/>
    <w:rsid w:val="00D3624C"/>
    <w:rsid w:val="00D36A18"/>
    <w:rsid w:val="00D37221"/>
    <w:rsid w:val="00D40393"/>
    <w:rsid w:val="00D573FE"/>
    <w:rsid w:val="00D61E52"/>
    <w:rsid w:val="00D67B5B"/>
    <w:rsid w:val="00D710BA"/>
    <w:rsid w:val="00D717DB"/>
    <w:rsid w:val="00D72C35"/>
    <w:rsid w:val="00D74E9B"/>
    <w:rsid w:val="00D75307"/>
    <w:rsid w:val="00D844BE"/>
    <w:rsid w:val="00D85B27"/>
    <w:rsid w:val="00D86738"/>
    <w:rsid w:val="00D9506B"/>
    <w:rsid w:val="00DA19EC"/>
    <w:rsid w:val="00DA1BBE"/>
    <w:rsid w:val="00DA614D"/>
    <w:rsid w:val="00DA633E"/>
    <w:rsid w:val="00DA6CDF"/>
    <w:rsid w:val="00DA779F"/>
    <w:rsid w:val="00DB53E1"/>
    <w:rsid w:val="00DB60D9"/>
    <w:rsid w:val="00DB637E"/>
    <w:rsid w:val="00DB7EA9"/>
    <w:rsid w:val="00DD011C"/>
    <w:rsid w:val="00DD0FB8"/>
    <w:rsid w:val="00DD1843"/>
    <w:rsid w:val="00DD27A8"/>
    <w:rsid w:val="00DD364F"/>
    <w:rsid w:val="00DD3C7A"/>
    <w:rsid w:val="00DD425D"/>
    <w:rsid w:val="00DD4A24"/>
    <w:rsid w:val="00DD68B9"/>
    <w:rsid w:val="00DE0467"/>
    <w:rsid w:val="00DE236E"/>
    <w:rsid w:val="00DE38E0"/>
    <w:rsid w:val="00DE462A"/>
    <w:rsid w:val="00DE5B25"/>
    <w:rsid w:val="00DE6C7D"/>
    <w:rsid w:val="00DE6E6F"/>
    <w:rsid w:val="00DE7BC1"/>
    <w:rsid w:val="00DF0B4B"/>
    <w:rsid w:val="00DF1CB2"/>
    <w:rsid w:val="00DF4046"/>
    <w:rsid w:val="00DF6D9F"/>
    <w:rsid w:val="00DF7C6A"/>
    <w:rsid w:val="00E01390"/>
    <w:rsid w:val="00E016C9"/>
    <w:rsid w:val="00E03086"/>
    <w:rsid w:val="00E03947"/>
    <w:rsid w:val="00E10627"/>
    <w:rsid w:val="00E10BA8"/>
    <w:rsid w:val="00E20386"/>
    <w:rsid w:val="00E2764C"/>
    <w:rsid w:val="00E3040F"/>
    <w:rsid w:val="00E32997"/>
    <w:rsid w:val="00E34325"/>
    <w:rsid w:val="00E346B8"/>
    <w:rsid w:val="00E354DA"/>
    <w:rsid w:val="00E36E25"/>
    <w:rsid w:val="00E375AE"/>
    <w:rsid w:val="00E40A27"/>
    <w:rsid w:val="00E40E21"/>
    <w:rsid w:val="00E40EE6"/>
    <w:rsid w:val="00E43767"/>
    <w:rsid w:val="00E4421B"/>
    <w:rsid w:val="00E4478D"/>
    <w:rsid w:val="00E4490A"/>
    <w:rsid w:val="00E457BB"/>
    <w:rsid w:val="00E46F0F"/>
    <w:rsid w:val="00E50433"/>
    <w:rsid w:val="00E51010"/>
    <w:rsid w:val="00E51097"/>
    <w:rsid w:val="00E5395F"/>
    <w:rsid w:val="00E633AC"/>
    <w:rsid w:val="00E667F2"/>
    <w:rsid w:val="00E71F04"/>
    <w:rsid w:val="00E74A12"/>
    <w:rsid w:val="00E7592B"/>
    <w:rsid w:val="00E82F53"/>
    <w:rsid w:val="00E835C6"/>
    <w:rsid w:val="00E9084C"/>
    <w:rsid w:val="00E9097E"/>
    <w:rsid w:val="00E93420"/>
    <w:rsid w:val="00E93C1D"/>
    <w:rsid w:val="00E95661"/>
    <w:rsid w:val="00E97697"/>
    <w:rsid w:val="00E97FDC"/>
    <w:rsid w:val="00EA21EB"/>
    <w:rsid w:val="00EA2574"/>
    <w:rsid w:val="00EA259B"/>
    <w:rsid w:val="00EA33C6"/>
    <w:rsid w:val="00EB165F"/>
    <w:rsid w:val="00EB627A"/>
    <w:rsid w:val="00EC2B91"/>
    <w:rsid w:val="00EC7EB4"/>
    <w:rsid w:val="00ED0521"/>
    <w:rsid w:val="00ED5482"/>
    <w:rsid w:val="00ED7469"/>
    <w:rsid w:val="00EE0D6D"/>
    <w:rsid w:val="00EE1134"/>
    <w:rsid w:val="00EE48A5"/>
    <w:rsid w:val="00EE7A3B"/>
    <w:rsid w:val="00EE7B52"/>
    <w:rsid w:val="00EF033B"/>
    <w:rsid w:val="00EF0C2B"/>
    <w:rsid w:val="00EF2725"/>
    <w:rsid w:val="00EF3655"/>
    <w:rsid w:val="00F01B79"/>
    <w:rsid w:val="00F027BD"/>
    <w:rsid w:val="00F02CB4"/>
    <w:rsid w:val="00F02DCD"/>
    <w:rsid w:val="00F0791F"/>
    <w:rsid w:val="00F10CB2"/>
    <w:rsid w:val="00F14E69"/>
    <w:rsid w:val="00F210FE"/>
    <w:rsid w:val="00F27525"/>
    <w:rsid w:val="00F27B2C"/>
    <w:rsid w:val="00F314B2"/>
    <w:rsid w:val="00F32DAC"/>
    <w:rsid w:val="00F3377F"/>
    <w:rsid w:val="00F33791"/>
    <w:rsid w:val="00F35848"/>
    <w:rsid w:val="00F358D4"/>
    <w:rsid w:val="00F37AAC"/>
    <w:rsid w:val="00F404BD"/>
    <w:rsid w:val="00F43BF7"/>
    <w:rsid w:val="00F44509"/>
    <w:rsid w:val="00F47D19"/>
    <w:rsid w:val="00F503F0"/>
    <w:rsid w:val="00F56B4F"/>
    <w:rsid w:val="00F6311D"/>
    <w:rsid w:val="00F65BA7"/>
    <w:rsid w:val="00F676D8"/>
    <w:rsid w:val="00F70931"/>
    <w:rsid w:val="00F71AA2"/>
    <w:rsid w:val="00F72A89"/>
    <w:rsid w:val="00F7366A"/>
    <w:rsid w:val="00F742B7"/>
    <w:rsid w:val="00F751D9"/>
    <w:rsid w:val="00F7667E"/>
    <w:rsid w:val="00F76FD5"/>
    <w:rsid w:val="00F803BC"/>
    <w:rsid w:val="00F8120D"/>
    <w:rsid w:val="00F82A0C"/>
    <w:rsid w:val="00F94FEA"/>
    <w:rsid w:val="00F9770E"/>
    <w:rsid w:val="00FB4C81"/>
    <w:rsid w:val="00FB5676"/>
    <w:rsid w:val="00FB5F59"/>
    <w:rsid w:val="00FB6515"/>
    <w:rsid w:val="00FC0B50"/>
    <w:rsid w:val="00FC1724"/>
    <w:rsid w:val="00FD4976"/>
    <w:rsid w:val="00FD6231"/>
    <w:rsid w:val="00FE0A76"/>
    <w:rsid w:val="00FE468A"/>
    <w:rsid w:val="00FF09A3"/>
    <w:rsid w:val="00FF0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Revision">
    <w:name w:val="Revision"/>
    <w:hidden/>
    <w:uiPriority w:val="99"/>
    <w:semiHidden/>
    <w:rsid w:val="00672F00"/>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3356F"/>
    <w:rPr>
      <w:sz w:val="16"/>
      <w:szCs w:val="16"/>
    </w:rPr>
  </w:style>
  <w:style w:type="paragraph" w:styleId="CommentText">
    <w:name w:val="annotation text"/>
    <w:basedOn w:val="Normal"/>
    <w:link w:val="CommentTextChar"/>
    <w:uiPriority w:val="99"/>
    <w:unhideWhenUsed/>
    <w:rsid w:val="0003356F"/>
    <w:rPr>
      <w:sz w:val="20"/>
      <w:szCs w:val="20"/>
    </w:rPr>
  </w:style>
  <w:style w:type="character" w:customStyle="1" w:styleId="CommentTextChar">
    <w:name w:val="Comment Text Char"/>
    <w:basedOn w:val="DefaultParagraphFont"/>
    <w:link w:val="CommentText"/>
    <w:uiPriority w:val="99"/>
    <w:rsid w:val="0003356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3356F"/>
    <w:rPr>
      <w:b/>
      <w:bCs/>
    </w:rPr>
  </w:style>
  <w:style w:type="character" w:customStyle="1" w:styleId="CommentSubjectChar">
    <w:name w:val="Comment Subject Char"/>
    <w:basedOn w:val="CommentTextChar"/>
    <w:link w:val="CommentSubject"/>
    <w:uiPriority w:val="99"/>
    <w:semiHidden/>
    <w:rsid w:val="0003356F"/>
    <w:rPr>
      <w:rFonts w:eastAsia="Times New Roman" w:cs="Times New Roman"/>
      <w:b/>
      <w:bCs/>
      <w:sz w:val="20"/>
      <w:szCs w:val="20"/>
      <w:lang w:val="lv-LV" w:eastAsia="ru-RU"/>
    </w:rPr>
  </w:style>
  <w:style w:type="paragraph" w:styleId="Header">
    <w:name w:val="header"/>
    <w:basedOn w:val="Normal"/>
    <w:link w:val="HeaderChar"/>
    <w:uiPriority w:val="99"/>
    <w:unhideWhenUsed/>
    <w:rsid w:val="00C92956"/>
    <w:pPr>
      <w:tabs>
        <w:tab w:val="center" w:pos="4513"/>
        <w:tab w:val="right" w:pos="9026"/>
      </w:tabs>
    </w:pPr>
  </w:style>
  <w:style w:type="character" w:customStyle="1" w:styleId="HeaderChar">
    <w:name w:val="Header Char"/>
    <w:basedOn w:val="DefaultParagraphFont"/>
    <w:link w:val="Header"/>
    <w:uiPriority w:val="99"/>
    <w:rsid w:val="00C92956"/>
    <w:rPr>
      <w:rFonts w:eastAsia="Times New Roman" w:cs="Times New Roman"/>
      <w:szCs w:val="24"/>
      <w:lang w:val="lv-LV" w:eastAsia="ru-RU"/>
    </w:rPr>
  </w:style>
  <w:style w:type="paragraph" w:styleId="Footer">
    <w:name w:val="footer"/>
    <w:basedOn w:val="Normal"/>
    <w:link w:val="FooterChar"/>
    <w:uiPriority w:val="99"/>
    <w:unhideWhenUsed/>
    <w:rsid w:val="00C92956"/>
    <w:pPr>
      <w:tabs>
        <w:tab w:val="center" w:pos="4513"/>
        <w:tab w:val="right" w:pos="9026"/>
      </w:tabs>
    </w:pPr>
  </w:style>
  <w:style w:type="character" w:customStyle="1" w:styleId="FooterChar">
    <w:name w:val="Footer Char"/>
    <w:basedOn w:val="DefaultParagraphFont"/>
    <w:link w:val="Footer"/>
    <w:uiPriority w:val="99"/>
    <w:rsid w:val="00C92956"/>
    <w:rPr>
      <w:rFonts w:eastAsia="Times New Roman" w:cs="Times New Roman"/>
      <w:szCs w:val="24"/>
      <w:lang w:val="lv-LV" w:eastAsia="ru-RU"/>
    </w:rPr>
  </w:style>
  <w:style w:type="character" w:styleId="Hyperlink">
    <w:name w:val="Hyperlink"/>
    <w:basedOn w:val="DefaultParagraphFont"/>
    <w:uiPriority w:val="99"/>
    <w:unhideWhenUsed/>
    <w:rsid w:val="00DD0FB8"/>
    <w:rPr>
      <w:color w:val="0563C1" w:themeColor="hyperlink"/>
      <w:u w:val="single"/>
    </w:rPr>
  </w:style>
  <w:style w:type="character" w:styleId="UnresolvedMention">
    <w:name w:val="Unresolved Mention"/>
    <w:basedOn w:val="DefaultParagraphFont"/>
    <w:uiPriority w:val="99"/>
    <w:semiHidden/>
    <w:unhideWhenUsed/>
    <w:rsid w:val="00DD0FB8"/>
    <w:rPr>
      <w:color w:val="605E5C"/>
      <w:shd w:val="clear" w:color="auto" w:fill="E1DFDD"/>
    </w:rPr>
  </w:style>
  <w:style w:type="paragraph" w:styleId="ListParagraph">
    <w:name w:val="List Paragraph"/>
    <w:basedOn w:val="Normal"/>
    <w:link w:val="ListParagraphChar"/>
    <w:uiPriority w:val="34"/>
    <w:qFormat/>
    <w:rsid w:val="00775FC4"/>
    <w:pPr>
      <w:spacing w:after="160" w:line="259" w:lineRule="auto"/>
      <w:ind w:left="720"/>
      <w:contextualSpacing/>
    </w:pPr>
    <w:rPr>
      <w:rFonts w:eastAsiaTheme="minorHAnsi" w:cstheme="minorBidi"/>
      <w:szCs w:val="22"/>
      <w:lang w:val="en-US" w:eastAsia="en-US"/>
    </w:rPr>
  </w:style>
  <w:style w:type="paragraph" w:styleId="FootnoteText">
    <w:name w:val="footnote text"/>
    <w:aliases w:val="Char Char Char,Footnote Text1,Footnote Text1 Char Char Char,Footnote Text1 Char,Char Char,Footnote,Fußnote,Char,Char Rakstz. Rakstz. Rakstz. Rakstz. Rakstz. Rakstz. Rakstz.,Char Rakstz. Rakstz. Rakstz. Rakstz. Rakstz. Rakstz.,f"/>
    <w:basedOn w:val="Normal"/>
    <w:link w:val="FootnoteTextChar"/>
    <w:uiPriority w:val="99"/>
    <w:unhideWhenUsed/>
    <w:qFormat/>
    <w:rsid w:val="006D3E55"/>
    <w:rPr>
      <w:rFonts w:asciiTheme="minorHAnsi" w:eastAsiaTheme="minorHAnsi" w:hAnsiTheme="minorHAnsi" w:cstheme="minorBidi"/>
      <w:sz w:val="20"/>
      <w:szCs w:val="20"/>
      <w:lang w:eastAsia="en-US"/>
    </w:rPr>
  </w:style>
  <w:style w:type="character" w:customStyle="1" w:styleId="FootnoteTextChar">
    <w:name w:val="Footnote Text Char"/>
    <w:aliases w:val="Char Char Char Char1,Footnote Text1 Char1,Footnote Text1 Char Char Char Char,Footnote Text1 Char Char,Char Char Char1,Footnote Char,Fußnote Char,Char Char1,Char Rakstz. Rakstz. Rakstz. Rakstz. Rakstz. Rakstz. Rakstz. Char,f Char"/>
    <w:basedOn w:val="DefaultParagraphFont"/>
    <w:link w:val="FootnoteText"/>
    <w:uiPriority w:val="99"/>
    <w:qFormat/>
    <w:rsid w:val="006D3E55"/>
    <w:rPr>
      <w:rFonts w:asciiTheme="minorHAnsi" w:hAnsiTheme="minorHAnsi"/>
      <w:sz w:val="20"/>
      <w:szCs w:val="20"/>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6D3E55"/>
    <w:rPr>
      <w:vertAlign w:val="superscript"/>
    </w:rPr>
  </w:style>
  <w:style w:type="paragraph" w:customStyle="1" w:styleId="CharCharCharChar">
    <w:name w:val="Char Char Char Char"/>
    <w:aliases w:val="Char2"/>
    <w:basedOn w:val="Normal"/>
    <w:next w:val="Normal"/>
    <w:link w:val="FootnoteReference"/>
    <w:uiPriority w:val="99"/>
    <w:rsid w:val="006D3E55"/>
    <w:pPr>
      <w:spacing w:after="160" w:line="240" w:lineRule="exact"/>
      <w:jc w:val="both"/>
      <w:textAlignment w:val="baseline"/>
    </w:pPr>
    <w:rPr>
      <w:rFonts w:eastAsiaTheme="minorHAnsi" w:cstheme="minorBidi"/>
      <w:szCs w:val="22"/>
      <w:vertAlign w:val="superscript"/>
      <w:lang w:val="en-US" w:eastAsia="en-US"/>
    </w:rPr>
  </w:style>
  <w:style w:type="paragraph" w:customStyle="1" w:styleId="tv213">
    <w:name w:val="tv213"/>
    <w:basedOn w:val="Normal"/>
    <w:rsid w:val="006D3E55"/>
    <w:pPr>
      <w:spacing w:before="100" w:beforeAutospacing="1" w:after="100" w:afterAutospacing="1"/>
    </w:pPr>
    <w:rPr>
      <w:lang w:eastAsia="lv-LV"/>
    </w:rPr>
  </w:style>
  <w:style w:type="paragraph" w:customStyle="1" w:styleId="Default">
    <w:name w:val="Default"/>
    <w:rsid w:val="006065FD"/>
    <w:pPr>
      <w:autoSpaceDE w:val="0"/>
      <w:autoSpaceDN w:val="0"/>
      <w:adjustRightInd w:val="0"/>
      <w:spacing w:after="0" w:line="240" w:lineRule="auto"/>
    </w:pPr>
    <w:rPr>
      <w:rFonts w:cs="Times New Roman"/>
      <w:color w:val="000000"/>
      <w:szCs w:val="24"/>
    </w:rPr>
  </w:style>
  <w:style w:type="character" w:styleId="FollowedHyperlink">
    <w:name w:val="FollowedHyperlink"/>
    <w:basedOn w:val="DefaultParagraphFont"/>
    <w:uiPriority w:val="99"/>
    <w:semiHidden/>
    <w:unhideWhenUsed/>
    <w:rsid w:val="002B72B0"/>
    <w:rPr>
      <w:color w:val="954F72" w:themeColor="followedHyperlink"/>
      <w:u w:val="single"/>
    </w:rPr>
  </w:style>
  <w:style w:type="character" w:customStyle="1" w:styleId="ListParagraphChar">
    <w:name w:val="List Paragraph Char"/>
    <w:basedOn w:val="DefaultParagraphFont"/>
    <w:link w:val="ListParagraph"/>
    <w:uiPriority w:val="34"/>
    <w:rsid w:val="00B07BEA"/>
  </w:style>
  <w:style w:type="character" w:styleId="Emphasis">
    <w:name w:val="Emphasis"/>
    <w:basedOn w:val="DefaultParagraphFont"/>
    <w:uiPriority w:val="20"/>
    <w:qFormat/>
    <w:rsid w:val="00301BAA"/>
    <w:rPr>
      <w:i/>
      <w:iCs/>
    </w:rPr>
  </w:style>
  <w:style w:type="character" w:customStyle="1" w:styleId="apple-converted-space">
    <w:name w:val="apple-converted-space"/>
    <w:basedOn w:val="DefaultParagraphFont"/>
    <w:rsid w:val="00793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588">
      <w:bodyDiv w:val="1"/>
      <w:marLeft w:val="0"/>
      <w:marRight w:val="0"/>
      <w:marTop w:val="0"/>
      <w:marBottom w:val="0"/>
      <w:divBdr>
        <w:top w:val="none" w:sz="0" w:space="0" w:color="auto"/>
        <w:left w:val="none" w:sz="0" w:space="0" w:color="auto"/>
        <w:bottom w:val="none" w:sz="0" w:space="0" w:color="auto"/>
        <w:right w:val="none" w:sz="0" w:space="0" w:color="auto"/>
      </w:divBdr>
      <w:divsChild>
        <w:div w:id="1114789590">
          <w:marLeft w:val="0"/>
          <w:marRight w:val="0"/>
          <w:marTop w:val="0"/>
          <w:marBottom w:val="240"/>
          <w:divBdr>
            <w:top w:val="single" w:sz="6" w:space="24" w:color="000000"/>
            <w:left w:val="none" w:sz="0" w:space="0" w:color="auto"/>
            <w:bottom w:val="none" w:sz="0" w:space="0" w:color="auto"/>
            <w:right w:val="none" w:sz="0" w:space="0" w:color="auto"/>
          </w:divBdr>
          <w:divsChild>
            <w:div w:id="164906264">
              <w:marLeft w:val="3360"/>
              <w:marRight w:val="0"/>
              <w:marTop w:val="0"/>
              <w:marBottom w:val="108"/>
              <w:divBdr>
                <w:top w:val="none" w:sz="0" w:space="0" w:color="auto"/>
                <w:left w:val="none" w:sz="0" w:space="0" w:color="auto"/>
                <w:bottom w:val="none" w:sz="0" w:space="0" w:color="auto"/>
                <w:right w:val="none" w:sz="0" w:space="0" w:color="auto"/>
              </w:divBdr>
            </w:div>
          </w:divsChild>
        </w:div>
      </w:divsChild>
    </w:div>
    <w:div w:id="40053860">
      <w:bodyDiv w:val="1"/>
      <w:marLeft w:val="0"/>
      <w:marRight w:val="0"/>
      <w:marTop w:val="0"/>
      <w:marBottom w:val="0"/>
      <w:divBdr>
        <w:top w:val="none" w:sz="0" w:space="0" w:color="auto"/>
        <w:left w:val="none" w:sz="0" w:space="0" w:color="auto"/>
        <w:bottom w:val="none" w:sz="0" w:space="0" w:color="auto"/>
        <w:right w:val="none" w:sz="0" w:space="0" w:color="auto"/>
      </w:divBdr>
    </w:div>
    <w:div w:id="276526967">
      <w:bodyDiv w:val="1"/>
      <w:marLeft w:val="0"/>
      <w:marRight w:val="0"/>
      <w:marTop w:val="0"/>
      <w:marBottom w:val="0"/>
      <w:divBdr>
        <w:top w:val="none" w:sz="0" w:space="0" w:color="auto"/>
        <w:left w:val="none" w:sz="0" w:space="0" w:color="auto"/>
        <w:bottom w:val="none" w:sz="0" w:space="0" w:color="auto"/>
        <w:right w:val="none" w:sz="0" w:space="0" w:color="auto"/>
      </w:divBdr>
    </w:div>
    <w:div w:id="291445466">
      <w:bodyDiv w:val="1"/>
      <w:marLeft w:val="0"/>
      <w:marRight w:val="0"/>
      <w:marTop w:val="0"/>
      <w:marBottom w:val="0"/>
      <w:divBdr>
        <w:top w:val="none" w:sz="0" w:space="0" w:color="auto"/>
        <w:left w:val="none" w:sz="0" w:space="0" w:color="auto"/>
        <w:bottom w:val="none" w:sz="0" w:space="0" w:color="auto"/>
        <w:right w:val="none" w:sz="0" w:space="0" w:color="auto"/>
      </w:divBdr>
    </w:div>
    <w:div w:id="297495432">
      <w:bodyDiv w:val="1"/>
      <w:marLeft w:val="0"/>
      <w:marRight w:val="0"/>
      <w:marTop w:val="0"/>
      <w:marBottom w:val="0"/>
      <w:divBdr>
        <w:top w:val="none" w:sz="0" w:space="0" w:color="auto"/>
        <w:left w:val="none" w:sz="0" w:space="0" w:color="auto"/>
        <w:bottom w:val="none" w:sz="0" w:space="0" w:color="auto"/>
        <w:right w:val="none" w:sz="0" w:space="0" w:color="auto"/>
      </w:divBdr>
    </w:div>
    <w:div w:id="311368758">
      <w:bodyDiv w:val="1"/>
      <w:marLeft w:val="0"/>
      <w:marRight w:val="0"/>
      <w:marTop w:val="0"/>
      <w:marBottom w:val="0"/>
      <w:divBdr>
        <w:top w:val="none" w:sz="0" w:space="0" w:color="auto"/>
        <w:left w:val="none" w:sz="0" w:space="0" w:color="auto"/>
        <w:bottom w:val="none" w:sz="0" w:space="0" w:color="auto"/>
        <w:right w:val="none" w:sz="0" w:space="0" w:color="auto"/>
      </w:divBdr>
    </w:div>
    <w:div w:id="380978250">
      <w:bodyDiv w:val="1"/>
      <w:marLeft w:val="0"/>
      <w:marRight w:val="0"/>
      <w:marTop w:val="0"/>
      <w:marBottom w:val="0"/>
      <w:divBdr>
        <w:top w:val="none" w:sz="0" w:space="0" w:color="auto"/>
        <w:left w:val="none" w:sz="0" w:space="0" w:color="auto"/>
        <w:bottom w:val="none" w:sz="0" w:space="0" w:color="auto"/>
        <w:right w:val="none" w:sz="0" w:space="0" w:color="auto"/>
      </w:divBdr>
    </w:div>
    <w:div w:id="397704374">
      <w:bodyDiv w:val="1"/>
      <w:marLeft w:val="0"/>
      <w:marRight w:val="0"/>
      <w:marTop w:val="0"/>
      <w:marBottom w:val="0"/>
      <w:divBdr>
        <w:top w:val="none" w:sz="0" w:space="0" w:color="auto"/>
        <w:left w:val="none" w:sz="0" w:space="0" w:color="auto"/>
        <w:bottom w:val="none" w:sz="0" w:space="0" w:color="auto"/>
        <w:right w:val="none" w:sz="0" w:space="0" w:color="auto"/>
      </w:divBdr>
    </w:div>
    <w:div w:id="471992689">
      <w:bodyDiv w:val="1"/>
      <w:marLeft w:val="0"/>
      <w:marRight w:val="0"/>
      <w:marTop w:val="0"/>
      <w:marBottom w:val="0"/>
      <w:divBdr>
        <w:top w:val="none" w:sz="0" w:space="0" w:color="auto"/>
        <w:left w:val="none" w:sz="0" w:space="0" w:color="auto"/>
        <w:bottom w:val="none" w:sz="0" w:space="0" w:color="auto"/>
        <w:right w:val="none" w:sz="0" w:space="0" w:color="auto"/>
      </w:divBdr>
    </w:div>
    <w:div w:id="515576166">
      <w:bodyDiv w:val="1"/>
      <w:marLeft w:val="0"/>
      <w:marRight w:val="0"/>
      <w:marTop w:val="0"/>
      <w:marBottom w:val="0"/>
      <w:divBdr>
        <w:top w:val="none" w:sz="0" w:space="0" w:color="auto"/>
        <w:left w:val="none" w:sz="0" w:space="0" w:color="auto"/>
        <w:bottom w:val="none" w:sz="0" w:space="0" w:color="auto"/>
        <w:right w:val="none" w:sz="0" w:space="0" w:color="auto"/>
      </w:divBdr>
    </w:div>
    <w:div w:id="598610986">
      <w:bodyDiv w:val="1"/>
      <w:marLeft w:val="0"/>
      <w:marRight w:val="0"/>
      <w:marTop w:val="0"/>
      <w:marBottom w:val="0"/>
      <w:divBdr>
        <w:top w:val="none" w:sz="0" w:space="0" w:color="auto"/>
        <w:left w:val="none" w:sz="0" w:space="0" w:color="auto"/>
        <w:bottom w:val="none" w:sz="0" w:space="0" w:color="auto"/>
        <w:right w:val="none" w:sz="0" w:space="0" w:color="auto"/>
      </w:divBdr>
    </w:div>
    <w:div w:id="675808095">
      <w:bodyDiv w:val="1"/>
      <w:marLeft w:val="0"/>
      <w:marRight w:val="0"/>
      <w:marTop w:val="0"/>
      <w:marBottom w:val="0"/>
      <w:divBdr>
        <w:top w:val="none" w:sz="0" w:space="0" w:color="auto"/>
        <w:left w:val="none" w:sz="0" w:space="0" w:color="auto"/>
        <w:bottom w:val="none" w:sz="0" w:space="0" w:color="auto"/>
        <w:right w:val="none" w:sz="0" w:space="0" w:color="auto"/>
      </w:divBdr>
      <w:divsChild>
        <w:div w:id="350036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877123">
      <w:bodyDiv w:val="1"/>
      <w:marLeft w:val="0"/>
      <w:marRight w:val="0"/>
      <w:marTop w:val="0"/>
      <w:marBottom w:val="0"/>
      <w:divBdr>
        <w:top w:val="none" w:sz="0" w:space="0" w:color="auto"/>
        <w:left w:val="none" w:sz="0" w:space="0" w:color="auto"/>
        <w:bottom w:val="none" w:sz="0" w:space="0" w:color="auto"/>
        <w:right w:val="none" w:sz="0" w:space="0" w:color="auto"/>
      </w:divBdr>
    </w:div>
    <w:div w:id="1004286570">
      <w:bodyDiv w:val="1"/>
      <w:marLeft w:val="0"/>
      <w:marRight w:val="0"/>
      <w:marTop w:val="0"/>
      <w:marBottom w:val="0"/>
      <w:divBdr>
        <w:top w:val="none" w:sz="0" w:space="0" w:color="auto"/>
        <w:left w:val="none" w:sz="0" w:space="0" w:color="auto"/>
        <w:bottom w:val="none" w:sz="0" w:space="0" w:color="auto"/>
        <w:right w:val="none" w:sz="0" w:space="0" w:color="auto"/>
      </w:divBdr>
    </w:div>
    <w:div w:id="1045984980">
      <w:bodyDiv w:val="1"/>
      <w:marLeft w:val="0"/>
      <w:marRight w:val="0"/>
      <w:marTop w:val="0"/>
      <w:marBottom w:val="0"/>
      <w:divBdr>
        <w:top w:val="none" w:sz="0" w:space="0" w:color="auto"/>
        <w:left w:val="none" w:sz="0" w:space="0" w:color="auto"/>
        <w:bottom w:val="none" w:sz="0" w:space="0" w:color="auto"/>
        <w:right w:val="none" w:sz="0" w:space="0" w:color="auto"/>
      </w:divBdr>
    </w:div>
    <w:div w:id="1067651425">
      <w:bodyDiv w:val="1"/>
      <w:marLeft w:val="0"/>
      <w:marRight w:val="0"/>
      <w:marTop w:val="0"/>
      <w:marBottom w:val="0"/>
      <w:divBdr>
        <w:top w:val="none" w:sz="0" w:space="0" w:color="auto"/>
        <w:left w:val="none" w:sz="0" w:space="0" w:color="auto"/>
        <w:bottom w:val="none" w:sz="0" w:space="0" w:color="auto"/>
        <w:right w:val="none" w:sz="0" w:space="0" w:color="auto"/>
      </w:divBdr>
    </w:div>
    <w:div w:id="1199900573">
      <w:bodyDiv w:val="1"/>
      <w:marLeft w:val="0"/>
      <w:marRight w:val="0"/>
      <w:marTop w:val="0"/>
      <w:marBottom w:val="0"/>
      <w:divBdr>
        <w:top w:val="none" w:sz="0" w:space="0" w:color="auto"/>
        <w:left w:val="none" w:sz="0" w:space="0" w:color="auto"/>
        <w:bottom w:val="none" w:sz="0" w:space="0" w:color="auto"/>
        <w:right w:val="none" w:sz="0" w:space="0" w:color="auto"/>
      </w:divBdr>
      <w:divsChild>
        <w:div w:id="1519663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123685">
      <w:bodyDiv w:val="1"/>
      <w:marLeft w:val="0"/>
      <w:marRight w:val="0"/>
      <w:marTop w:val="0"/>
      <w:marBottom w:val="0"/>
      <w:divBdr>
        <w:top w:val="none" w:sz="0" w:space="0" w:color="auto"/>
        <w:left w:val="none" w:sz="0" w:space="0" w:color="auto"/>
        <w:bottom w:val="none" w:sz="0" w:space="0" w:color="auto"/>
        <w:right w:val="none" w:sz="0" w:space="0" w:color="auto"/>
      </w:divBdr>
    </w:div>
    <w:div w:id="1278945055">
      <w:bodyDiv w:val="1"/>
      <w:marLeft w:val="0"/>
      <w:marRight w:val="0"/>
      <w:marTop w:val="0"/>
      <w:marBottom w:val="0"/>
      <w:divBdr>
        <w:top w:val="none" w:sz="0" w:space="0" w:color="auto"/>
        <w:left w:val="none" w:sz="0" w:space="0" w:color="auto"/>
        <w:bottom w:val="none" w:sz="0" w:space="0" w:color="auto"/>
        <w:right w:val="none" w:sz="0" w:space="0" w:color="auto"/>
      </w:divBdr>
    </w:div>
    <w:div w:id="1346665740">
      <w:bodyDiv w:val="1"/>
      <w:marLeft w:val="0"/>
      <w:marRight w:val="0"/>
      <w:marTop w:val="0"/>
      <w:marBottom w:val="0"/>
      <w:divBdr>
        <w:top w:val="none" w:sz="0" w:space="0" w:color="auto"/>
        <w:left w:val="none" w:sz="0" w:space="0" w:color="auto"/>
        <w:bottom w:val="none" w:sz="0" w:space="0" w:color="auto"/>
        <w:right w:val="none" w:sz="0" w:space="0" w:color="auto"/>
      </w:divBdr>
      <w:divsChild>
        <w:div w:id="1798064185">
          <w:marLeft w:val="0"/>
          <w:marRight w:val="0"/>
          <w:marTop w:val="0"/>
          <w:marBottom w:val="0"/>
          <w:divBdr>
            <w:top w:val="none" w:sz="0" w:space="0" w:color="auto"/>
            <w:left w:val="none" w:sz="0" w:space="0" w:color="auto"/>
            <w:bottom w:val="none" w:sz="0" w:space="0" w:color="auto"/>
            <w:right w:val="none" w:sz="0" w:space="0" w:color="auto"/>
          </w:divBdr>
          <w:divsChild>
            <w:div w:id="891691543">
              <w:marLeft w:val="0"/>
              <w:marRight w:val="0"/>
              <w:marTop w:val="0"/>
              <w:marBottom w:val="0"/>
              <w:divBdr>
                <w:top w:val="none" w:sz="0" w:space="0" w:color="auto"/>
                <w:left w:val="none" w:sz="0" w:space="0" w:color="auto"/>
                <w:bottom w:val="none" w:sz="0" w:space="0" w:color="auto"/>
                <w:right w:val="none" w:sz="0" w:space="0" w:color="auto"/>
              </w:divBdr>
              <w:divsChild>
                <w:div w:id="873813279">
                  <w:marLeft w:val="0"/>
                  <w:marRight w:val="0"/>
                  <w:marTop w:val="0"/>
                  <w:marBottom w:val="0"/>
                  <w:divBdr>
                    <w:top w:val="none" w:sz="0" w:space="0" w:color="auto"/>
                    <w:left w:val="none" w:sz="0" w:space="0" w:color="auto"/>
                    <w:bottom w:val="none" w:sz="0" w:space="0" w:color="auto"/>
                    <w:right w:val="none" w:sz="0" w:space="0" w:color="auto"/>
                  </w:divBdr>
                  <w:divsChild>
                    <w:div w:id="312368199">
                      <w:marLeft w:val="0"/>
                      <w:marRight w:val="0"/>
                      <w:marTop w:val="0"/>
                      <w:marBottom w:val="0"/>
                      <w:divBdr>
                        <w:top w:val="none" w:sz="0" w:space="0" w:color="auto"/>
                        <w:left w:val="none" w:sz="0" w:space="0" w:color="auto"/>
                        <w:bottom w:val="none" w:sz="0" w:space="0" w:color="auto"/>
                        <w:right w:val="none" w:sz="0" w:space="0" w:color="auto"/>
                      </w:divBdr>
                      <w:divsChild>
                        <w:div w:id="799539557">
                          <w:marLeft w:val="0"/>
                          <w:marRight w:val="0"/>
                          <w:marTop w:val="0"/>
                          <w:marBottom w:val="0"/>
                          <w:divBdr>
                            <w:top w:val="none" w:sz="0" w:space="0" w:color="auto"/>
                            <w:left w:val="none" w:sz="0" w:space="0" w:color="auto"/>
                            <w:bottom w:val="none" w:sz="0" w:space="0" w:color="auto"/>
                            <w:right w:val="none" w:sz="0" w:space="0" w:color="auto"/>
                          </w:divBdr>
                          <w:divsChild>
                            <w:div w:id="12327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83810">
      <w:bodyDiv w:val="1"/>
      <w:marLeft w:val="0"/>
      <w:marRight w:val="0"/>
      <w:marTop w:val="0"/>
      <w:marBottom w:val="0"/>
      <w:divBdr>
        <w:top w:val="none" w:sz="0" w:space="0" w:color="auto"/>
        <w:left w:val="none" w:sz="0" w:space="0" w:color="auto"/>
        <w:bottom w:val="none" w:sz="0" w:space="0" w:color="auto"/>
        <w:right w:val="none" w:sz="0" w:space="0" w:color="auto"/>
      </w:divBdr>
    </w:div>
    <w:div w:id="1490171868">
      <w:bodyDiv w:val="1"/>
      <w:marLeft w:val="0"/>
      <w:marRight w:val="0"/>
      <w:marTop w:val="0"/>
      <w:marBottom w:val="0"/>
      <w:divBdr>
        <w:top w:val="none" w:sz="0" w:space="0" w:color="auto"/>
        <w:left w:val="none" w:sz="0" w:space="0" w:color="auto"/>
        <w:bottom w:val="none" w:sz="0" w:space="0" w:color="auto"/>
        <w:right w:val="none" w:sz="0" w:space="0" w:color="auto"/>
      </w:divBdr>
    </w:div>
    <w:div w:id="1535731865">
      <w:bodyDiv w:val="1"/>
      <w:marLeft w:val="0"/>
      <w:marRight w:val="0"/>
      <w:marTop w:val="0"/>
      <w:marBottom w:val="0"/>
      <w:divBdr>
        <w:top w:val="none" w:sz="0" w:space="0" w:color="auto"/>
        <w:left w:val="none" w:sz="0" w:space="0" w:color="auto"/>
        <w:bottom w:val="none" w:sz="0" w:space="0" w:color="auto"/>
        <w:right w:val="none" w:sz="0" w:space="0" w:color="auto"/>
      </w:divBdr>
    </w:div>
    <w:div w:id="1537111021">
      <w:bodyDiv w:val="1"/>
      <w:marLeft w:val="0"/>
      <w:marRight w:val="0"/>
      <w:marTop w:val="0"/>
      <w:marBottom w:val="0"/>
      <w:divBdr>
        <w:top w:val="none" w:sz="0" w:space="0" w:color="auto"/>
        <w:left w:val="none" w:sz="0" w:space="0" w:color="auto"/>
        <w:bottom w:val="none" w:sz="0" w:space="0" w:color="auto"/>
        <w:right w:val="none" w:sz="0" w:space="0" w:color="auto"/>
      </w:divBdr>
    </w:div>
    <w:div w:id="1561599919">
      <w:bodyDiv w:val="1"/>
      <w:marLeft w:val="0"/>
      <w:marRight w:val="0"/>
      <w:marTop w:val="0"/>
      <w:marBottom w:val="0"/>
      <w:divBdr>
        <w:top w:val="none" w:sz="0" w:space="0" w:color="auto"/>
        <w:left w:val="none" w:sz="0" w:space="0" w:color="auto"/>
        <w:bottom w:val="none" w:sz="0" w:space="0" w:color="auto"/>
        <w:right w:val="none" w:sz="0" w:space="0" w:color="auto"/>
      </w:divBdr>
      <w:divsChild>
        <w:div w:id="690574398">
          <w:marLeft w:val="0"/>
          <w:marRight w:val="0"/>
          <w:marTop w:val="0"/>
          <w:marBottom w:val="0"/>
          <w:divBdr>
            <w:top w:val="none" w:sz="0" w:space="0" w:color="auto"/>
            <w:left w:val="none" w:sz="0" w:space="0" w:color="auto"/>
            <w:bottom w:val="none" w:sz="0" w:space="0" w:color="auto"/>
            <w:right w:val="none" w:sz="0" w:space="0" w:color="auto"/>
          </w:divBdr>
          <w:divsChild>
            <w:div w:id="138963559">
              <w:marLeft w:val="0"/>
              <w:marRight w:val="0"/>
              <w:marTop w:val="0"/>
              <w:marBottom w:val="0"/>
              <w:divBdr>
                <w:top w:val="none" w:sz="0" w:space="0" w:color="auto"/>
                <w:left w:val="none" w:sz="0" w:space="0" w:color="auto"/>
                <w:bottom w:val="none" w:sz="0" w:space="0" w:color="auto"/>
                <w:right w:val="none" w:sz="0" w:space="0" w:color="auto"/>
              </w:divBdr>
              <w:divsChild>
                <w:div w:id="1184171279">
                  <w:marLeft w:val="0"/>
                  <w:marRight w:val="0"/>
                  <w:marTop w:val="0"/>
                  <w:marBottom w:val="0"/>
                  <w:divBdr>
                    <w:top w:val="none" w:sz="0" w:space="0" w:color="auto"/>
                    <w:left w:val="none" w:sz="0" w:space="0" w:color="auto"/>
                    <w:bottom w:val="none" w:sz="0" w:space="0" w:color="auto"/>
                    <w:right w:val="none" w:sz="0" w:space="0" w:color="auto"/>
                  </w:divBdr>
                  <w:divsChild>
                    <w:div w:id="30225824">
                      <w:marLeft w:val="0"/>
                      <w:marRight w:val="0"/>
                      <w:marTop w:val="0"/>
                      <w:marBottom w:val="0"/>
                      <w:divBdr>
                        <w:top w:val="none" w:sz="0" w:space="0" w:color="auto"/>
                        <w:left w:val="none" w:sz="0" w:space="0" w:color="auto"/>
                        <w:bottom w:val="none" w:sz="0" w:space="0" w:color="auto"/>
                        <w:right w:val="none" w:sz="0" w:space="0" w:color="auto"/>
                      </w:divBdr>
                      <w:divsChild>
                        <w:div w:id="198402535">
                          <w:marLeft w:val="0"/>
                          <w:marRight w:val="0"/>
                          <w:marTop w:val="0"/>
                          <w:marBottom w:val="0"/>
                          <w:divBdr>
                            <w:top w:val="none" w:sz="0" w:space="0" w:color="auto"/>
                            <w:left w:val="none" w:sz="0" w:space="0" w:color="auto"/>
                            <w:bottom w:val="none" w:sz="0" w:space="0" w:color="auto"/>
                            <w:right w:val="none" w:sz="0" w:space="0" w:color="auto"/>
                          </w:divBdr>
                          <w:divsChild>
                            <w:div w:id="2793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635412">
      <w:bodyDiv w:val="1"/>
      <w:marLeft w:val="0"/>
      <w:marRight w:val="0"/>
      <w:marTop w:val="0"/>
      <w:marBottom w:val="0"/>
      <w:divBdr>
        <w:top w:val="none" w:sz="0" w:space="0" w:color="auto"/>
        <w:left w:val="none" w:sz="0" w:space="0" w:color="auto"/>
        <w:bottom w:val="none" w:sz="0" w:space="0" w:color="auto"/>
        <w:right w:val="none" w:sz="0" w:space="0" w:color="auto"/>
      </w:divBdr>
    </w:div>
    <w:div w:id="1718435129">
      <w:bodyDiv w:val="1"/>
      <w:marLeft w:val="0"/>
      <w:marRight w:val="0"/>
      <w:marTop w:val="0"/>
      <w:marBottom w:val="0"/>
      <w:divBdr>
        <w:top w:val="none" w:sz="0" w:space="0" w:color="auto"/>
        <w:left w:val="none" w:sz="0" w:space="0" w:color="auto"/>
        <w:bottom w:val="none" w:sz="0" w:space="0" w:color="auto"/>
        <w:right w:val="none" w:sz="0" w:space="0" w:color="auto"/>
      </w:divBdr>
    </w:div>
    <w:div w:id="1944072899">
      <w:bodyDiv w:val="1"/>
      <w:marLeft w:val="0"/>
      <w:marRight w:val="0"/>
      <w:marTop w:val="0"/>
      <w:marBottom w:val="0"/>
      <w:divBdr>
        <w:top w:val="none" w:sz="0" w:space="0" w:color="auto"/>
        <w:left w:val="none" w:sz="0" w:space="0" w:color="auto"/>
        <w:bottom w:val="none" w:sz="0" w:space="0" w:color="auto"/>
        <w:right w:val="none" w:sz="0" w:space="0" w:color="auto"/>
      </w:divBdr>
    </w:div>
    <w:div w:id="1988165859">
      <w:bodyDiv w:val="1"/>
      <w:marLeft w:val="0"/>
      <w:marRight w:val="0"/>
      <w:marTop w:val="0"/>
      <w:marBottom w:val="0"/>
      <w:divBdr>
        <w:top w:val="none" w:sz="0" w:space="0" w:color="auto"/>
        <w:left w:val="none" w:sz="0" w:space="0" w:color="auto"/>
        <w:bottom w:val="none" w:sz="0" w:space="0" w:color="auto"/>
        <w:right w:val="none" w:sz="0" w:space="0" w:color="auto"/>
      </w:divBdr>
    </w:div>
    <w:div w:id="200770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631709b-f1bf-4037-ab9b-3d383c6f6c08" TargetMode="External"/><Relationship Id="rId13" Type="http://schemas.openxmlformats.org/officeDocument/2006/relationships/hyperlink" Target="https://manas.tiesas.lv/eTiesasMvc/nolemumi/pdf/39349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2d519f30-0476-45cd-a07b-50a9ef4a1db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CELEX:62021CC016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zm.gov.lv/lv/metodika-petniecibas-un-zinasanu-izplatisanas-organizaciju-statusa-izvertejumam" TargetMode="External"/><Relationship Id="rId4" Type="http://schemas.openxmlformats.org/officeDocument/2006/relationships/settings" Target="settings.xml"/><Relationship Id="rId9" Type="http://schemas.openxmlformats.org/officeDocument/2006/relationships/hyperlink" Target="https://eur-lex.europa.eu/legal-content/LV/TXT/?uri=celex:62021CJ016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766D3-156A-4E75-A86D-C5DB642E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15991</Words>
  <Characters>9115</Characters>
  <Application>Microsoft Office Word</Application>
  <DocSecurity>0</DocSecurity>
  <Lines>75</Lines>
  <Paragraphs>50</Paragraphs>
  <ScaleCrop>false</ScaleCrop>
  <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2026-02-23T19:42:00Z</dcterms:created>
  <dcterms:modified xsi:type="dcterms:W3CDTF">2026-02-23T19:42:00Z</dcterms:modified>
</cp:coreProperties>
</file>