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5704E" w14:textId="77777777" w:rsidR="000A305C" w:rsidRDefault="000A305C" w:rsidP="000A7A28">
      <w:pPr>
        <w:autoSpaceDE w:val="0"/>
        <w:autoSpaceDN w:val="0"/>
        <w:spacing w:line="276" w:lineRule="auto"/>
        <w:rPr>
          <w:b/>
          <w:bCs/>
          <w:color w:val="000000"/>
          <w14:ligatures w14:val="standardContextual"/>
        </w:rPr>
      </w:pPr>
      <w:bookmarkStart w:id="0" w:name="_Hlk201833343"/>
      <w:r>
        <w:rPr>
          <w:b/>
          <w:bCs/>
          <w:color w:val="000000"/>
          <w14:ligatures w14:val="standardContextual"/>
        </w:rPr>
        <w:t>Kritēriji, kam jāizpildās, lai persona varētu pretendēt uz valsts atbalstu par dīkstāvi</w:t>
      </w:r>
    </w:p>
    <w:p w14:paraId="457224D2" w14:textId="77777777" w:rsidR="000A305C" w:rsidRDefault="000A305C" w:rsidP="000A7A28">
      <w:pPr>
        <w:autoSpaceDE w:val="0"/>
        <w:autoSpaceDN w:val="0"/>
        <w:spacing w:line="276" w:lineRule="auto"/>
        <w:rPr>
          <w:color w:val="000000"/>
          <w14:ligatures w14:val="standardContextual"/>
        </w:rPr>
      </w:pPr>
      <w:r>
        <w:rPr>
          <w:color w:val="000000"/>
          <w14:ligatures w14:val="standardContextual"/>
        </w:rPr>
        <w:t xml:space="preserve">Lai varētu pretendēt uz atbalstu par dīkstāvi, ir jāizpildās diviem kumulatīviem kritērijiem – gan kritērijam par ieņēmumu samazinājumu konkrētā apmērā, gan kritērijam par cēloņsakarības esību starp šo ieņēmumu samazinājumu un saimnieciskās darbības ierobežojumiem. Tādējādi personai, kura vēlas saņemt valsts atbalstu par dīkstāvi, ir pienākums sniegt pamatojumu, kas ļauj secināt, ka tās ieņēmumu samazinājums izriet no noteiktajiem saimnieciskās darbības ierobežojumiem, nevis citiem, ar ārkārtējo situāciju nesaistītiem apstākļiem. Proti, nepieciešams konstatēt, ka ieņēmumi atbalsta mēnesī personai samazinājušies tādu saimnieciskās darbības ierobežojumu dēļ, kuri noteikti tiesību aktos un saistīti ar epidemioloģiskās drošības </w:t>
      </w:r>
      <w:r>
        <w:rPr>
          <w14:ligatures w14:val="standardContextual"/>
        </w:rPr>
        <w:t>pasākumiem Covid-19 infekcijas izplatības ierobežošanai. Ar vispārēju teorētisku cēloņsakarību starp valstī noteiktajiem ierobežojumiem un ieņēmumu kritumu nepietiek.</w:t>
      </w:r>
    </w:p>
    <w:p w14:paraId="35A6905E" w14:textId="77777777" w:rsidR="000A305C" w:rsidRDefault="000A305C" w:rsidP="000A7A28">
      <w:pPr>
        <w:autoSpaceDE w:val="0"/>
        <w:autoSpaceDN w:val="0"/>
        <w:spacing w:line="276" w:lineRule="auto"/>
        <w:rPr>
          <w:rFonts w:ascii="Calibri" w:hAnsi="Calibri" w:cs="Calibri"/>
          <w:b/>
          <w:bCs/>
          <w:sz w:val="22"/>
          <w:szCs w:val="22"/>
          <w14:ligatures w14:val="standardContextual"/>
        </w:rPr>
      </w:pPr>
    </w:p>
    <w:p w14:paraId="51FD3CB1" w14:textId="1586F7F1" w:rsidR="000A305C" w:rsidRDefault="000A305C" w:rsidP="000A7A28">
      <w:pPr>
        <w:autoSpaceDE w:val="0"/>
        <w:autoSpaceDN w:val="0"/>
        <w:spacing w:line="276" w:lineRule="auto"/>
        <w:rPr>
          <w:b/>
          <w:bCs/>
          <w:color w:val="000000"/>
          <w14:ligatures w14:val="standardContextual"/>
        </w:rPr>
      </w:pPr>
      <w:r>
        <w:rPr>
          <w:b/>
          <w:bCs/>
          <w:color w:val="000000"/>
          <w14:ligatures w14:val="standardContextual"/>
        </w:rPr>
        <w:t>Iestādes pienākums katrā konkrētajā gadījumā vērtēt</w:t>
      </w:r>
      <w:r>
        <w:rPr>
          <w:color w:val="000000"/>
          <w14:ligatures w14:val="standardContextual"/>
        </w:rPr>
        <w:t xml:space="preserve"> </w:t>
      </w:r>
      <w:r>
        <w:rPr>
          <w:b/>
          <w:bCs/>
          <w:color w:val="000000"/>
          <w14:ligatures w14:val="standardContextual"/>
        </w:rPr>
        <w:t>personas sniegto pamatojumu pabalsta par dīkstāvi sakarā ar valstī noteiktajiem saimnieciskās darbības ierobežojumiem Covid-19 infekcijas izplatības mazināšanai piešķiršanai</w:t>
      </w:r>
    </w:p>
    <w:p w14:paraId="7B0E2445" w14:textId="77777777" w:rsidR="000A305C" w:rsidRDefault="000A305C" w:rsidP="000A7A28">
      <w:pPr>
        <w:autoSpaceDE w:val="0"/>
        <w:autoSpaceDN w:val="0"/>
        <w:spacing w:line="276" w:lineRule="auto"/>
        <w:rPr>
          <w:color w:val="000000"/>
          <w14:ligatures w14:val="standardContextual"/>
        </w:rPr>
      </w:pPr>
      <w:r>
        <w:rPr>
          <w:color w:val="000000"/>
          <w14:ligatures w14:val="standardContextual"/>
        </w:rPr>
        <w:t>Iestādei, lemjot par to, vai personai pienākas atbalsts par dīkstāvi, jebkurā gadījumā ir jāvērtē personas sniegtais pamatojums ieņēmumu samazinājuma saistībai ar saimnieciskās darbības ierobežojumiem un faktiskie apstākļi to kopsakarā. Proti, vai un kādā mērā normatīvajos aktos noteiktie ierobežojumi faktiski ietekmēja personas iespēju gūt ieņēmumus, vai šis ieņēmumu samazinājums ir cēloniski saistāms ar šiem ierobežojumiem un vai personas saimnieciskā darbība bija pakļauta šiem apstākļiem tādā intensitātē, kas rada tiesisku pamatu atbalsta par dīkstāvi piešķiršanai. Tas ir katra individuālā gadījuma faktisko apstākļu un pierādījumu vērtēšanas jautājums.</w:t>
      </w:r>
    </w:p>
    <w:p w14:paraId="769E4E08" w14:textId="23378417" w:rsidR="00D27708" w:rsidRPr="006F7C39" w:rsidRDefault="00D27708" w:rsidP="000A7A28">
      <w:pPr>
        <w:pStyle w:val="Caption"/>
        <w:spacing w:before="0" w:after="0" w:line="276" w:lineRule="auto"/>
        <w:rPr>
          <w:rFonts w:asciiTheme="majorBidi" w:hAnsiTheme="majorBidi" w:cstheme="majorBidi"/>
          <w:b/>
        </w:rPr>
      </w:pPr>
    </w:p>
    <w:p w14:paraId="3BBA4FCE" w14:textId="3EB9FAAF" w:rsidR="00081193" w:rsidRPr="006F7C39" w:rsidRDefault="00081193" w:rsidP="000A7A28">
      <w:pPr>
        <w:spacing w:line="276" w:lineRule="auto"/>
        <w:jc w:val="center"/>
        <w:rPr>
          <w:rFonts w:asciiTheme="majorBidi" w:hAnsiTheme="majorBidi" w:cstheme="majorBidi"/>
          <w:b/>
        </w:rPr>
      </w:pPr>
      <w:r w:rsidRPr="006F7C39">
        <w:rPr>
          <w:rFonts w:asciiTheme="majorBidi" w:hAnsiTheme="majorBidi" w:cstheme="majorBidi"/>
          <w:b/>
        </w:rPr>
        <w:t>Latvijas Republikas Senāt</w:t>
      </w:r>
      <w:r w:rsidR="000A7A28">
        <w:rPr>
          <w:rFonts w:asciiTheme="majorBidi" w:hAnsiTheme="majorBidi" w:cstheme="majorBidi"/>
          <w:b/>
        </w:rPr>
        <w:t>a</w:t>
      </w:r>
      <w:r w:rsidR="000A7A28">
        <w:rPr>
          <w:rFonts w:asciiTheme="majorBidi" w:hAnsiTheme="majorBidi" w:cstheme="majorBidi"/>
          <w:b/>
        </w:rPr>
        <w:br/>
        <w:t>Administratīvo lietu departamenta</w:t>
      </w:r>
      <w:r w:rsidR="000A7A28">
        <w:rPr>
          <w:rFonts w:asciiTheme="majorBidi" w:hAnsiTheme="majorBidi" w:cstheme="majorBidi"/>
          <w:b/>
        </w:rPr>
        <w:br/>
        <w:t>2025.gaad 23.decembra</w:t>
      </w:r>
    </w:p>
    <w:p w14:paraId="65BFB9F1" w14:textId="074D4E1C" w:rsidR="00081193" w:rsidRPr="006F7C39" w:rsidRDefault="00081193" w:rsidP="000A7A28">
      <w:pPr>
        <w:spacing w:line="276" w:lineRule="auto"/>
        <w:jc w:val="center"/>
        <w:rPr>
          <w:rFonts w:asciiTheme="majorBidi" w:hAnsiTheme="majorBidi" w:cstheme="majorBidi"/>
          <w:b/>
        </w:rPr>
      </w:pPr>
      <w:r w:rsidRPr="006F7C39">
        <w:rPr>
          <w:rFonts w:asciiTheme="majorBidi" w:hAnsiTheme="majorBidi" w:cstheme="majorBidi"/>
          <w:b/>
        </w:rPr>
        <w:t xml:space="preserve">SPRIEDUMS </w:t>
      </w:r>
    </w:p>
    <w:p w14:paraId="172400AD" w14:textId="71564224" w:rsidR="000A7A28" w:rsidRPr="000A7A28" w:rsidRDefault="000A7A28" w:rsidP="000A7A28">
      <w:pPr>
        <w:pStyle w:val="Caption"/>
        <w:spacing w:before="0" w:after="0" w:line="276" w:lineRule="auto"/>
        <w:jc w:val="center"/>
        <w:rPr>
          <w:rFonts w:asciiTheme="majorBidi" w:hAnsiTheme="majorBidi" w:cstheme="majorBidi"/>
          <w:b/>
          <w:bCs/>
          <w:i w:val="0"/>
          <w:iCs w:val="0"/>
        </w:rPr>
      </w:pPr>
      <w:r w:rsidRPr="000A7A28">
        <w:rPr>
          <w:rFonts w:asciiTheme="majorBidi" w:hAnsiTheme="majorBidi" w:cstheme="majorBidi"/>
          <w:b/>
          <w:bCs/>
          <w:i w:val="0"/>
          <w:iCs w:val="0"/>
        </w:rPr>
        <w:t>Lieta Nr. A420226621, SKA</w:t>
      </w:r>
      <w:r w:rsidRPr="000A7A28">
        <w:rPr>
          <w:rFonts w:asciiTheme="majorBidi" w:hAnsiTheme="majorBidi" w:cstheme="majorBidi"/>
          <w:b/>
          <w:bCs/>
          <w:i w:val="0"/>
          <w:iCs w:val="0"/>
        </w:rPr>
        <w:noBreakHyphen/>
        <w:t>60/2025</w:t>
      </w:r>
    </w:p>
    <w:p w14:paraId="3AE24032" w14:textId="75955C5D" w:rsidR="00FC21F2" w:rsidRPr="000A7A28" w:rsidRDefault="000A7A28" w:rsidP="000A7A28">
      <w:pPr>
        <w:spacing w:line="276" w:lineRule="auto"/>
        <w:jc w:val="center"/>
        <w:rPr>
          <w:rFonts w:asciiTheme="majorBidi" w:hAnsiTheme="majorBidi" w:cstheme="majorBidi"/>
        </w:rPr>
      </w:pPr>
      <w:r w:rsidRPr="000A7A28">
        <w:t xml:space="preserve"> </w:t>
      </w:r>
      <w:hyperlink r:id="rId8" w:history="1">
        <w:r w:rsidRPr="000A7A28">
          <w:rPr>
            <w:rStyle w:val="Hyperlink"/>
          </w:rPr>
          <w:t>ECLI:LV:AT:2026:0130.A420136423.11.S</w:t>
        </w:r>
      </w:hyperlink>
    </w:p>
    <w:p w14:paraId="381E94C0" w14:textId="77777777" w:rsidR="000A7A28" w:rsidRPr="006F7C39" w:rsidRDefault="000A7A28" w:rsidP="000A7A28">
      <w:pPr>
        <w:spacing w:line="276" w:lineRule="auto"/>
        <w:jc w:val="center"/>
        <w:rPr>
          <w:rFonts w:asciiTheme="majorBidi" w:hAnsiTheme="majorBidi" w:cstheme="majorBidi"/>
        </w:rPr>
      </w:pPr>
    </w:p>
    <w:p w14:paraId="68BC04FC" w14:textId="09F10982" w:rsidR="00081193" w:rsidRPr="006F7C39" w:rsidRDefault="00081193" w:rsidP="000A7A28">
      <w:pPr>
        <w:spacing w:line="276" w:lineRule="auto"/>
        <w:ind w:firstLine="720"/>
        <w:rPr>
          <w:rFonts w:asciiTheme="majorBidi" w:eastAsia="Calibri" w:hAnsiTheme="majorBidi" w:cstheme="majorBidi"/>
        </w:rPr>
      </w:pPr>
      <w:r w:rsidRPr="006F7C39">
        <w:rPr>
          <w:rFonts w:asciiTheme="majorBidi" w:eastAsia="Calibri" w:hAnsiTheme="majorBidi" w:cstheme="majorBidi"/>
        </w:rPr>
        <w:t>Senāts šādā sastāvā: senators referents Ermīns Darapoļskis, senatores Indra Meldere un Rudīte Vīduša</w:t>
      </w:r>
    </w:p>
    <w:p w14:paraId="36F60207" w14:textId="77777777" w:rsidR="00B3264A" w:rsidRPr="006F7C39" w:rsidRDefault="00B3264A" w:rsidP="000A7A28">
      <w:pPr>
        <w:spacing w:line="276" w:lineRule="auto"/>
        <w:ind w:firstLine="720"/>
        <w:rPr>
          <w:rFonts w:asciiTheme="majorBidi" w:eastAsia="Calibri" w:hAnsiTheme="majorBidi" w:cstheme="majorBidi"/>
        </w:rPr>
      </w:pPr>
    </w:p>
    <w:p w14:paraId="4A790586" w14:textId="4E309E48" w:rsidR="00081193" w:rsidRPr="006F7C39" w:rsidRDefault="00081193" w:rsidP="000A7A28">
      <w:pPr>
        <w:spacing w:line="276" w:lineRule="auto"/>
        <w:ind w:firstLine="720"/>
        <w:rPr>
          <w:rFonts w:asciiTheme="majorBidi" w:eastAsia="Calibri" w:hAnsiTheme="majorBidi" w:cstheme="majorBidi"/>
        </w:rPr>
      </w:pPr>
      <w:r w:rsidRPr="006F7C39">
        <w:rPr>
          <w:rFonts w:asciiTheme="majorBidi" w:eastAsia="Calibri" w:hAnsiTheme="majorBidi" w:cstheme="majorBidi"/>
        </w:rPr>
        <w:t xml:space="preserve">rakstveida procesā izskatīja administratīvo lietu, kas ierosināta, pamatojoties uz </w:t>
      </w:r>
      <w:r w:rsidR="000A7A28">
        <w:rPr>
          <w:rFonts w:asciiTheme="majorBidi" w:eastAsia="Calibri" w:hAnsiTheme="majorBidi" w:cstheme="majorBidi"/>
        </w:rPr>
        <w:t>[pers.</w:t>
      </w:r>
      <w:r w:rsidR="000A7A28">
        <w:rPr>
          <w:rFonts w:asciiTheme="majorBidi" w:eastAsia="Calibri" w:hAnsiTheme="majorBidi" w:cstheme="majorBidi"/>
        </w:rPr>
        <w:t> </w:t>
      </w:r>
      <w:r w:rsidR="000A7A28">
        <w:rPr>
          <w:rFonts w:asciiTheme="majorBidi" w:eastAsia="Calibri" w:hAnsiTheme="majorBidi" w:cstheme="majorBidi"/>
        </w:rPr>
        <w:t xml:space="preserve">A] </w:t>
      </w:r>
      <w:r w:rsidR="006B21B6" w:rsidRPr="006F7C39">
        <w:rPr>
          <w:rFonts w:asciiTheme="majorBidi" w:eastAsia="Calibri" w:hAnsiTheme="majorBidi" w:cstheme="majorBidi"/>
        </w:rPr>
        <w:t>pieteikumu</w:t>
      </w:r>
      <w:r w:rsidRPr="006F7C39">
        <w:rPr>
          <w:rFonts w:asciiTheme="majorBidi" w:eastAsia="Calibri" w:hAnsiTheme="majorBidi" w:cstheme="majorBidi"/>
        </w:rPr>
        <w:t xml:space="preserve"> par</w:t>
      </w:r>
      <w:r w:rsidR="00541902" w:rsidRPr="006F7C39">
        <w:rPr>
          <w:rFonts w:asciiTheme="majorBidi" w:eastAsia="Calibri" w:hAnsiTheme="majorBidi" w:cstheme="majorBidi"/>
        </w:rPr>
        <w:t xml:space="preserve"> </w:t>
      </w:r>
      <w:r w:rsidR="006B21B6" w:rsidRPr="006F7C39">
        <w:rPr>
          <w:rFonts w:asciiTheme="majorBidi" w:eastAsia="Calibri" w:hAnsiTheme="majorBidi" w:cstheme="majorBidi"/>
        </w:rPr>
        <w:t>labvēlīga administratīvā akta</w:t>
      </w:r>
      <w:r w:rsidR="0008699D" w:rsidRPr="006F7C39">
        <w:rPr>
          <w:rFonts w:asciiTheme="majorBidi" w:eastAsia="Calibri" w:hAnsiTheme="majorBidi" w:cstheme="majorBidi"/>
        </w:rPr>
        <w:t xml:space="preserve">, ar kuru </w:t>
      </w:r>
      <w:r w:rsidR="000A7A28">
        <w:rPr>
          <w:rFonts w:asciiTheme="majorBidi" w:eastAsia="Calibri" w:hAnsiTheme="majorBidi" w:cstheme="majorBidi"/>
        </w:rPr>
        <w:t xml:space="preserve">[pers. A] </w:t>
      </w:r>
      <w:r w:rsidR="0008699D" w:rsidRPr="006F7C39">
        <w:rPr>
          <w:rFonts w:asciiTheme="majorBidi" w:eastAsia="Calibri" w:hAnsiTheme="majorBidi" w:cstheme="majorBidi"/>
        </w:rPr>
        <w:t>tiktu piešķirts atbalsts par dīkstāvi par 2021.gada maiju un jūniju,</w:t>
      </w:r>
      <w:r w:rsidR="006B21B6" w:rsidRPr="006F7C39">
        <w:rPr>
          <w:rFonts w:asciiTheme="majorBidi" w:eastAsia="Calibri" w:hAnsiTheme="majorBidi" w:cstheme="majorBidi"/>
        </w:rPr>
        <w:t xml:space="preserve"> izdošanu</w:t>
      </w:r>
      <w:r w:rsidR="00541902" w:rsidRPr="006F7C39">
        <w:rPr>
          <w:rFonts w:asciiTheme="majorBidi" w:eastAsia="Calibri" w:hAnsiTheme="majorBidi" w:cstheme="majorBidi"/>
        </w:rPr>
        <w:t xml:space="preserve">, </w:t>
      </w:r>
      <w:r w:rsidRPr="006F7C39">
        <w:rPr>
          <w:rFonts w:asciiTheme="majorBidi" w:eastAsia="Calibri" w:hAnsiTheme="majorBidi" w:cstheme="majorBidi"/>
        </w:rPr>
        <w:t xml:space="preserve">sakarā ar </w:t>
      </w:r>
      <w:r w:rsidR="006B21B6" w:rsidRPr="006F7C39">
        <w:rPr>
          <w:rFonts w:asciiTheme="majorBidi" w:eastAsia="Calibri" w:hAnsiTheme="majorBidi" w:cstheme="majorBidi"/>
        </w:rPr>
        <w:t>Valsts ieņēmumu dienesta</w:t>
      </w:r>
      <w:r w:rsidRPr="006F7C39">
        <w:rPr>
          <w:rFonts w:asciiTheme="majorBidi" w:eastAsia="Calibri" w:hAnsiTheme="majorBidi" w:cstheme="majorBidi"/>
        </w:rPr>
        <w:t xml:space="preserve"> kasācijas sūdzību par Administratīvās </w:t>
      </w:r>
      <w:r w:rsidR="005901CE" w:rsidRPr="006F7C39">
        <w:rPr>
          <w:rFonts w:asciiTheme="majorBidi" w:eastAsia="Calibri" w:hAnsiTheme="majorBidi" w:cstheme="majorBidi"/>
        </w:rPr>
        <w:t>apgabal</w:t>
      </w:r>
      <w:r w:rsidR="006954E4" w:rsidRPr="006F7C39">
        <w:rPr>
          <w:rFonts w:asciiTheme="majorBidi" w:eastAsia="Calibri" w:hAnsiTheme="majorBidi" w:cstheme="majorBidi"/>
        </w:rPr>
        <w:t>t</w:t>
      </w:r>
      <w:r w:rsidRPr="006F7C39">
        <w:rPr>
          <w:rFonts w:asciiTheme="majorBidi" w:eastAsia="Calibri" w:hAnsiTheme="majorBidi" w:cstheme="majorBidi"/>
        </w:rPr>
        <w:t>iesas 202</w:t>
      </w:r>
      <w:r w:rsidR="002A4462" w:rsidRPr="006F7C39">
        <w:rPr>
          <w:rFonts w:asciiTheme="majorBidi" w:eastAsia="Calibri" w:hAnsiTheme="majorBidi" w:cstheme="majorBidi"/>
        </w:rPr>
        <w:t>3</w:t>
      </w:r>
      <w:r w:rsidRPr="006F7C39">
        <w:rPr>
          <w:rFonts w:asciiTheme="majorBidi" w:eastAsia="Calibri" w:hAnsiTheme="majorBidi" w:cstheme="majorBidi"/>
        </w:rPr>
        <w:t xml:space="preserve">.gada </w:t>
      </w:r>
      <w:r w:rsidR="006B21B6" w:rsidRPr="006F7C39">
        <w:rPr>
          <w:rFonts w:asciiTheme="majorBidi" w:eastAsia="Calibri" w:hAnsiTheme="majorBidi" w:cstheme="majorBidi"/>
        </w:rPr>
        <w:t>24.marta</w:t>
      </w:r>
      <w:r w:rsidRPr="006F7C39">
        <w:rPr>
          <w:rFonts w:asciiTheme="majorBidi" w:eastAsia="Calibri" w:hAnsiTheme="majorBidi" w:cstheme="majorBidi"/>
        </w:rPr>
        <w:t xml:space="preserve"> spriedumu.</w:t>
      </w:r>
      <w:r w:rsidR="006B21B6" w:rsidRPr="006F7C39">
        <w:rPr>
          <w:rFonts w:asciiTheme="majorBidi" w:eastAsia="Calibri" w:hAnsiTheme="majorBidi" w:cstheme="majorBidi"/>
        </w:rPr>
        <w:t xml:space="preserve"> </w:t>
      </w:r>
    </w:p>
    <w:p w14:paraId="4AD76E25" w14:textId="77777777" w:rsidR="00B3264A" w:rsidRPr="006F7C39" w:rsidRDefault="00B3264A" w:rsidP="000A7A28">
      <w:pPr>
        <w:spacing w:line="276" w:lineRule="auto"/>
        <w:rPr>
          <w:rFonts w:asciiTheme="majorBidi" w:eastAsia="Calibri" w:hAnsiTheme="majorBidi" w:cstheme="majorBidi"/>
        </w:rPr>
      </w:pPr>
    </w:p>
    <w:p w14:paraId="45FF9133" w14:textId="3CE8CFCF" w:rsidR="00FC21F2" w:rsidRPr="006F7C39" w:rsidRDefault="00FC21F2" w:rsidP="000A7A28">
      <w:pPr>
        <w:spacing w:line="276" w:lineRule="auto"/>
        <w:jc w:val="center"/>
        <w:rPr>
          <w:rFonts w:asciiTheme="majorBidi" w:hAnsiTheme="majorBidi" w:cstheme="majorBidi"/>
          <w:b/>
        </w:rPr>
      </w:pPr>
      <w:r w:rsidRPr="006F7C39">
        <w:rPr>
          <w:rFonts w:asciiTheme="majorBidi" w:hAnsiTheme="majorBidi" w:cstheme="majorBidi"/>
          <w:b/>
        </w:rPr>
        <w:t>Aprakstošā daļa</w:t>
      </w:r>
    </w:p>
    <w:p w14:paraId="0F5BB118" w14:textId="77777777" w:rsidR="00B3264A" w:rsidRPr="006F7C39" w:rsidRDefault="00B3264A" w:rsidP="000A7A28">
      <w:pPr>
        <w:spacing w:line="276" w:lineRule="auto"/>
        <w:rPr>
          <w:rFonts w:asciiTheme="majorBidi" w:hAnsiTheme="majorBidi" w:cstheme="majorBidi"/>
          <w:b/>
        </w:rPr>
      </w:pPr>
    </w:p>
    <w:p w14:paraId="40832721" w14:textId="1F1DF533" w:rsidR="006B21B6" w:rsidRPr="006F7C39" w:rsidRDefault="00FC21F2" w:rsidP="000A7A28">
      <w:pPr>
        <w:spacing w:line="276" w:lineRule="auto"/>
        <w:ind w:firstLine="709"/>
      </w:pPr>
      <w:r w:rsidRPr="006F7C39">
        <w:rPr>
          <w:rFonts w:asciiTheme="majorBidi" w:eastAsia="Times New Roman" w:hAnsiTheme="majorBidi" w:cstheme="majorBidi"/>
          <w:lang w:eastAsia="lv-LV"/>
        </w:rPr>
        <w:t>[1] </w:t>
      </w:r>
      <w:r w:rsidR="006B21B6" w:rsidRPr="006F7C39">
        <w:rPr>
          <w:rFonts w:asciiTheme="majorBidi" w:hAnsiTheme="majorBidi" w:cstheme="majorBidi"/>
        </w:rPr>
        <w:t xml:space="preserve">Pieteicējs </w:t>
      </w:r>
      <w:r w:rsidR="000A7A28">
        <w:rPr>
          <w:rFonts w:asciiTheme="majorBidi" w:eastAsia="Calibri" w:hAnsiTheme="majorBidi" w:cstheme="majorBidi"/>
        </w:rPr>
        <w:t xml:space="preserve">[pers. A] </w:t>
      </w:r>
      <w:r w:rsidR="006B21B6" w:rsidRPr="006F7C39">
        <w:rPr>
          <w:rFonts w:asciiTheme="majorBidi" w:hAnsiTheme="majorBidi" w:cstheme="majorBidi"/>
        </w:rPr>
        <w:t>2021.gada jūnijā vērsās Valsts ieņēmumu dienestā</w:t>
      </w:r>
      <w:r w:rsidR="005813EF" w:rsidRPr="006F7C39">
        <w:rPr>
          <w:rFonts w:asciiTheme="majorBidi" w:hAnsiTheme="majorBidi" w:cstheme="majorBidi"/>
        </w:rPr>
        <w:t xml:space="preserve"> (turpmāk – dienests) </w:t>
      </w:r>
      <w:r w:rsidR="006B21B6" w:rsidRPr="006F7C39">
        <w:rPr>
          <w:rFonts w:asciiTheme="majorBidi" w:hAnsiTheme="majorBidi" w:cstheme="majorBidi"/>
        </w:rPr>
        <w:t xml:space="preserve">ar iesniegumiem, kuros lūdza piešķirt pabalstu par dīkstāvi sakarā ar </w:t>
      </w:r>
      <w:r w:rsidR="00303016" w:rsidRPr="006F7C39">
        <w:rPr>
          <w:rFonts w:asciiTheme="majorBidi" w:hAnsiTheme="majorBidi" w:cstheme="majorBidi"/>
        </w:rPr>
        <w:t xml:space="preserve">valstī </w:t>
      </w:r>
      <w:r w:rsidR="00303016" w:rsidRPr="006F7C39">
        <w:rPr>
          <w:rFonts w:asciiTheme="majorBidi" w:hAnsiTheme="majorBidi" w:cstheme="majorBidi"/>
        </w:rPr>
        <w:lastRenderedPageBreak/>
        <w:t xml:space="preserve">noteiktajiem saimnieciskās darbības ierobežojumiem Covid-19 infekcijas izplatības mazināšanai </w:t>
      </w:r>
      <w:r w:rsidR="006B21B6" w:rsidRPr="006F7C39">
        <w:rPr>
          <w:rFonts w:asciiTheme="majorBidi" w:hAnsiTheme="majorBidi" w:cstheme="majorBidi"/>
        </w:rPr>
        <w:t>par 2021.gada maiju un jūniju.</w:t>
      </w:r>
    </w:p>
    <w:p w14:paraId="7D7B32EF" w14:textId="5DE2E09B" w:rsidR="00116643" w:rsidRPr="006F7C39" w:rsidRDefault="006B21B6" w:rsidP="000A7A28">
      <w:pPr>
        <w:spacing w:line="276" w:lineRule="auto"/>
        <w:ind w:firstLine="709"/>
        <w:rPr>
          <w:rFonts w:asciiTheme="majorBidi" w:hAnsiTheme="majorBidi" w:cstheme="majorBidi"/>
        </w:rPr>
      </w:pPr>
      <w:r w:rsidRPr="006F7C39">
        <w:rPr>
          <w:rFonts w:asciiTheme="majorBidi" w:hAnsiTheme="majorBidi" w:cstheme="majorBidi"/>
        </w:rPr>
        <w:t>Dienests ar 2021.gada 28.jūnija lēmumu Nr.31.3-17.9.3/17.9.3/67468 un 2021.gada 17.augusta lēmumu 31.3-22.7/22.7/8905 atteica piešķirt pieteicējam prasīto atbalstu</w:t>
      </w:r>
      <w:r w:rsidR="00BA2E0D" w:rsidRPr="006F7C39">
        <w:rPr>
          <w:rFonts w:asciiTheme="majorBidi" w:hAnsiTheme="majorBidi" w:cstheme="majorBidi"/>
        </w:rPr>
        <w:t>, pamatojoties uz</w:t>
      </w:r>
      <w:r w:rsidR="00116643" w:rsidRPr="006F7C39">
        <w:rPr>
          <w:rFonts w:asciiTheme="majorBidi" w:hAnsiTheme="majorBidi" w:cstheme="majorBidi"/>
        </w:rPr>
        <w:t xml:space="preserve"> to, ka</w:t>
      </w:r>
      <w:r w:rsidR="00E3706B" w:rsidRPr="006F7C39">
        <w:rPr>
          <w:rFonts w:asciiTheme="majorBidi" w:hAnsiTheme="majorBidi" w:cstheme="majorBidi"/>
        </w:rPr>
        <w:t xml:space="preserve"> pieteicējs neatbilst </w:t>
      </w:r>
      <w:r w:rsidR="00116643" w:rsidRPr="006F7C39">
        <w:rPr>
          <w:rFonts w:asciiTheme="majorBidi" w:hAnsiTheme="majorBidi" w:cstheme="majorBidi"/>
        </w:rPr>
        <w:t xml:space="preserve">Ministru kabineta 2020.gada 24.novembra noteikumos Nr. 709 „Noteikumi par atbalstu par dīkstāvi nodokļu maksātājiem to darbības turpināšanai Covid-19 izraisītās krīzes apstākļos” (turpmāk – </w:t>
      </w:r>
      <w:r w:rsidR="003B3527" w:rsidRPr="006F7C39">
        <w:rPr>
          <w:rFonts w:asciiTheme="majorBidi" w:hAnsiTheme="majorBidi" w:cstheme="majorBidi"/>
        </w:rPr>
        <w:t>Atbalsta n</w:t>
      </w:r>
      <w:r w:rsidR="00116643" w:rsidRPr="006F7C39">
        <w:rPr>
          <w:rFonts w:asciiTheme="majorBidi" w:hAnsiTheme="majorBidi" w:cstheme="majorBidi"/>
        </w:rPr>
        <w:t xml:space="preserve">oteikumi </w:t>
      </w:r>
      <w:r w:rsidR="003B3527" w:rsidRPr="006F7C39">
        <w:rPr>
          <w:rFonts w:asciiTheme="majorBidi" w:hAnsiTheme="majorBidi" w:cstheme="majorBidi"/>
        </w:rPr>
        <w:t>par dīkstāvi</w:t>
      </w:r>
      <w:r w:rsidR="00116643" w:rsidRPr="006F7C39">
        <w:rPr>
          <w:rFonts w:asciiTheme="majorBidi" w:hAnsiTheme="majorBidi" w:cstheme="majorBidi"/>
        </w:rPr>
        <w:t>) 3.punktā noteiktajiem kritērijiem atbalst</w:t>
      </w:r>
      <w:r w:rsidR="00E3706B" w:rsidRPr="006F7C39">
        <w:rPr>
          <w:rFonts w:asciiTheme="majorBidi" w:hAnsiTheme="majorBidi" w:cstheme="majorBidi"/>
        </w:rPr>
        <w:t>a</w:t>
      </w:r>
      <w:r w:rsidR="00116643" w:rsidRPr="006F7C39">
        <w:rPr>
          <w:rFonts w:asciiTheme="majorBidi" w:hAnsiTheme="majorBidi" w:cstheme="majorBidi"/>
        </w:rPr>
        <w:t xml:space="preserve"> par dīkstāvi </w:t>
      </w:r>
      <w:r w:rsidR="00E3706B" w:rsidRPr="006F7C39">
        <w:rPr>
          <w:rFonts w:asciiTheme="majorBidi" w:hAnsiTheme="majorBidi" w:cstheme="majorBidi"/>
        </w:rPr>
        <w:t>piešķiršanai</w:t>
      </w:r>
      <w:r w:rsidR="007E147C" w:rsidRPr="006F7C39">
        <w:rPr>
          <w:rFonts w:asciiTheme="majorBidi" w:hAnsiTheme="majorBidi" w:cstheme="majorBidi"/>
        </w:rPr>
        <w:t>, jo pieteicēja ieņēmumu samazinājums nav saistīts ar saimnieciskās darbības ierobežojumiem</w:t>
      </w:r>
      <w:r w:rsidR="00496070" w:rsidRPr="006F7C39">
        <w:rPr>
          <w:rFonts w:asciiTheme="majorBidi" w:hAnsiTheme="majorBidi" w:cstheme="majorBidi"/>
        </w:rPr>
        <w:t>.</w:t>
      </w:r>
    </w:p>
    <w:p w14:paraId="1C5E39F8" w14:textId="77777777" w:rsidR="006B21B6" w:rsidRPr="006F7C39" w:rsidRDefault="006B21B6" w:rsidP="000A7A28">
      <w:pPr>
        <w:spacing w:line="276" w:lineRule="auto"/>
        <w:rPr>
          <w:rFonts w:asciiTheme="majorBidi" w:hAnsiTheme="majorBidi" w:cstheme="majorBidi"/>
        </w:rPr>
      </w:pPr>
    </w:p>
    <w:p w14:paraId="30684EE8" w14:textId="6970A962" w:rsidR="002A4462" w:rsidRPr="006F7C39" w:rsidRDefault="00D80C65" w:rsidP="000A7A28">
      <w:pPr>
        <w:spacing w:line="276" w:lineRule="auto"/>
        <w:ind w:firstLine="709"/>
        <w:rPr>
          <w:rFonts w:asciiTheme="majorBidi" w:eastAsia="Calibri" w:hAnsiTheme="majorBidi" w:cstheme="majorBidi"/>
        </w:rPr>
      </w:pPr>
      <w:r w:rsidRPr="006F7C39">
        <w:rPr>
          <w:rFonts w:asciiTheme="majorBidi" w:hAnsiTheme="majorBidi" w:cstheme="majorBidi"/>
        </w:rPr>
        <w:t>[2] </w:t>
      </w:r>
      <w:r w:rsidR="003454BD" w:rsidRPr="006F7C39">
        <w:rPr>
          <w:rFonts w:asciiTheme="majorBidi" w:hAnsiTheme="majorBidi" w:cstheme="majorBidi"/>
        </w:rPr>
        <w:t>Pieteicēj</w:t>
      </w:r>
      <w:r w:rsidR="00E3706B" w:rsidRPr="006F7C39">
        <w:rPr>
          <w:rFonts w:asciiTheme="majorBidi" w:hAnsiTheme="majorBidi" w:cstheme="majorBidi"/>
        </w:rPr>
        <w:t>s</w:t>
      </w:r>
      <w:r w:rsidR="003454BD" w:rsidRPr="006F7C39">
        <w:rPr>
          <w:rFonts w:asciiTheme="majorBidi" w:hAnsiTheme="majorBidi" w:cstheme="majorBidi"/>
        </w:rPr>
        <w:t xml:space="preserve"> </w:t>
      </w:r>
      <w:r w:rsidRPr="006F7C39">
        <w:rPr>
          <w:rFonts w:asciiTheme="majorBidi" w:hAnsiTheme="majorBidi" w:cstheme="majorBidi"/>
        </w:rPr>
        <w:t xml:space="preserve">vērsās tiesā ar pieteikumu </w:t>
      </w:r>
      <w:r w:rsidRPr="006F7C39">
        <w:rPr>
          <w:rFonts w:asciiTheme="majorBidi" w:eastAsia="Times New Roman" w:hAnsiTheme="majorBidi" w:cstheme="majorBidi"/>
          <w:lang w:eastAsia="lv-LV"/>
        </w:rPr>
        <w:t>par</w:t>
      </w:r>
      <w:r w:rsidR="00303016" w:rsidRPr="006F7C39">
        <w:rPr>
          <w:rFonts w:asciiTheme="majorBidi" w:eastAsia="Calibri" w:hAnsiTheme="majorBidi" w:cstheme="majorBidi"/>
        </w:rPr>
        <w:t xml:space="preserve"> labvēlīga administratīvā akta, ar kuru viņam tiktu piešķirts atbalsts par dīkstāvi par 2021.gada maiju un jūniju, izdošanu.</w:t>
      </w:r>
    </w:p>
    <w:p w14:paraId="6A4AF616" w14:textId="77777777" w:rsidR="00303016" w:rsidRPr="006F7C39" w:rsidRDefault="00303016" w:rsidP="000A7A28">
      <w:pPr>
        <w:spacing w:line="276" w:lineRule="auto"/>
        <w:ind w:firstLine="709"/>
        <w:rPr>
          <w:rFonts w:asciiTheme="majorBidi" w:eastAsia="Times New Roman" w:hAnsiTheme="majorBidi" w:cstheme="majorBidi"/>
          <w:lang w:eastAsia="lv-LV"/>
        </w:rPr>
      </w:pPr>
    </w:p>
    <w:p w14:paraId="1B8D952A" w14:textId="0688BCF5" w:rsidR="00303016" w:rsidRPr="006F7C39" w:rsidRDefault="000F2DE9" w:rsidP="000A7A28">
      <w:pPr>
        <w:spacing w:line="276" w:lineRule="auto"/>
        <w:ind w:firstLine="709"/>
        <w:rPr>
          <w:rFonts w:asciiTheme="majorBidi" w:hAnsiTheme="majorBidi" w:cstheme="majorBidi"/>
          <w:b/>
          <w:bCs/>
        </w:rPr>
      </w:pPr>
      <w:r w:rsidRPr="006F7C39">
        <w:rPr>
          <w:rFonts w:asciiTheme="majorBidi" w:eastAsia="Times New Roman" w:hAnsiTheme="majorBidi" w:cstheme="majorBidi"/>
          <w:lang w:eastAsia="lv-LV"/>
        </w:rPr>
        <w:t>[</w:t>
      </w:r>
      <w:r w:rsidR="00D80C65" w:rsidRPr="006F7C39">
        <w:rPr>
          <w:rFonts w:asciiTheme="majorBidi" w:eastAsia="Times New Roman" w:hAnsiTheme="majorBidi" w:cstheme="majorBidi"/>
          <w:lang w:eastAsia="lv-LV"/>
        </w:rPr>
        <w:t>3</w:t>
      </w:r>
      <w:r w:rsidRPr="006F7C39">
        <w:rPr>
          <w:rFonts w:asciiTheme="majorBidi" w:eastAsia="Times New Roman" w:hAnsiTheme="majorBidi" w:cstheme="majorBidi"/>
          <w:lang w:eastAsia="lv-LV"/>
        </w:rPr>
        <w:t>]</w:t>
      </w:r>
      <w:r w:rsidR="00D80C65" w:rsidRPr="006F7C39">
        <w:rPr>
          <w:rFonts w:asciiTheme="majorBidi" w:eastAsia="Times New Roman" w:hAnsiTheme="majorBidi" w:cstheme="majorBidi"/>
          <w:lang w:eastAsia="lv-LV"/>
        </w:rPr>
        <w:t> </w:t>
      </w:r>
      <w:r w:rsidR="007C2AE5" w:rsidRPr="006F7C39">
        <w:rPr>
          <w:rFonts w:asciiTheme="majorBidi" w:eastAsia="Times New Roman" w:hAnsiTheme="majorBidi" w:cstheme="majorBidi"/>
          <w:lang w:eastAsia="lv-LV"/>
        </w:rPr>
        <w:t xml:space="preserve">Administratīvā </w:t>
      </w:r>
      <w:r w:rsidR="006B21B6" w:rsidRPr="006F7C39">
        <w:rPr>
          <w:rFonts w:asciiTheme="majorBidi" w:eastAsia="Times New Roman" w:hAnsiTheme="majorBidi" w:cstheme="majorBidi"/>
          <w:lang w:eastAsia="lv-LV"/>
        </w:rPr>
        <w:t>apgabal</w:t>
      </w:r>
      <w:r w:rsidR="007C2AE5" w:rsidRPr="006F7C39">
        <w:rPr>
          <w:rFonts w:asciiTheme="majorBidi" w:eastAsia="Times New Roman" w:hAnsiTheme="majorBidi" w:cstheme="majorBidi"/>
          <w:lang w:eastAsia="lv-LV"/>
        </w:rPr>
        <w:t>tiesa</w:t>
      </w:r>
      <w:r w:rsidR="00AF7D5F" w:rsidRPr="006F7C39">
        <w:rPr>
          <w:rFonts w:asciiTheme="majorBidi" w:eastAsia="Times New Roman" w:hAnsiTheme="majorBidi" w:cstheme="majorBidi"/>
          <w:lang w:eastAsia="lv-LV"/>
        </w:rPr>
        <w:t xml:space="preserve"> ar </w:t>
      </w:r>
      <w:r w:rsidR="006954E4" w:rsidRPr="006F7C39">
        <w:rPr>
          <w:rFonts w:asciiTheme="majorBidi" w:eastAsia="Calibri" w:hAnsiTheme="majorBidi" w:cstheme="majorBidi"/>
        </w:rPr>
        <w:t xml:space="preserve">2023.gada </w:t>
      </w:r>
      <w:r w:rsidR="0008699D" w:rsidRPr="006F7C39">
        <w:rPr>
          <w:rFonts w:asciiTheme="majorBidi" w:eastAsia="Calibri" w:hAnsiTheme="majorBidi" w:cstheme="majorBidi"/>
        </w:rPr>
        <w:t>24.marta</w:t>
      </w:r>
      <w:r w:rsidR="006954E4" w:rsidRPr="006F7C39">
        <w:rPr>
          <w:rFonts w:asciiTheme="majorBidi" w:eastAsia="Calibri" w:hAnsiTheme="majorBidi" w:cstheme="majorBidi"/>
        </w:rPr>
        <w:t xml:space="preserve"> spriedumu</w:t>
      </w:r>
      <w:r w:rsidR="006954E4" w:rsidRPr="006F7C39">
        <w:rPr>
          <w:rFonts w:asciiTheme="majorBidi" w:eastAsia="Times New Roman" w:hAnsiTheme="majorBidi" w:cstheme="majorBidi"/>
          <w:lang w:eastAsia="lv-LV"/>
        </w:rPr>
        <w:t xml:space="preserve"> </w:t>
      </w:r>
      <w:r w:rsidR="007C2AE5" w:rsidRPr="006F7C39">
        <w:rPr>
          <w:rFonts w:asciiTheme="majorBidi" w:eastAsia="Times New Roman" w:hAnsiTheme="majorBidi" w:cstheme="majorBidi"/>
          <w:lang w:eastAsia="lv-LV"/>
        </w:rPr>
        <w:t>pieteikum</w:t>
      </w:r>
      <w:r w:rsidR="00AF7D5F" w:rsidRPr="006F7C39">
        <w:rPr>
          <w:rFonts w:asciiTheme="majorBidi" w:eastAsia="Times New Roman" w:hAnsiTheme="majorBidi" w:cstheme="majorBidi"/>
          <w:lang w:eastAsia="lv-LV"/>
        </w:rPr>
        <w:t>u</w:t>
      </w:r>
      <w:r w:rsidR="007C2AE5" w:rsidRPr="006F7C39">
        <w:rPr>
          <w:rFonts w:asciiTheme="majorBidi" w:eastAsia="Times New Roman" w:hAnsiTheme="majorBidi" w:cstheme="majorBidi"/>
          <w:lang w:eastAsia="lv-LV"/>
        </w:rPr>
        <w:t xml:space="preserve"> </w:t>
      </w:r>
      <w:r w:rsidR="0008699D" w:rsidRPr="006F7C39">
        <w:rPr>
          <w:rFonts w:asciiTheme="majorBidi" w:eastAsia="Times New Roman" w:hAnsiTheme="majorBidi" w:cstheme="majorBidi"/>
          <w:lang w:eastAsia="lv-LV"/>
        </w:rPr>
        <w:t>apmierināja</w:t>
      </w:r>
      <w:r w:rsidR="007C2AE5" w:rsidRPr="006F7C39">
        <w:rPr>
          <w:rFonts w:asciiTheme="majorBidi" w:eastAsia="Times New Roman" w:hAnsiTheme="majorBidi" w:cstheme="majorBidi"/>
          <w:lang w:eastAsia="lv-LV"/>
        </w:rPr>
        <w:t>.</w:t>
      </w:r>
      <w:r w:rsidR="00410986" w:rsidRPr="006F7C39">
        <w:rPr>
          <w:rFonts w:asciiTheme="majorBidi" w:eastAsia="Times New Roman" w:hAnsiTheme="majorBidi" w:cstheme="majorBidi"/>
          <w:lang w:eastAsia="lv-LV"/>
        </w:rPr>
        <w:t xml:space="preserve"> </w:t>
      </w:r>
      <w:r w:rsidR="00303016" w:rsidRPr="006F7C39">
        <w:rPr>
          <w:rFonts w:asciiTheme="majorBidi" w:hAnsiTheme="majorBidi" w:cstheme="majorBidi"/>
        </w:rPr>
        <w:t xml:space="preserve">Tiesa </w:t>
      </w:r>
      <w:r w:rsidR="006268C3" w:rsidRPr="006F7C39">
        <w:rPr>
          <w:rFonts w:asciiTheme="majorBidi" w:hAnsiTheme="majorBidi" w:cstheme="majorBidi"/>
        </w:rPr>
        <w:t xml:space="preserve">izvērtēja lietas tiesiskos un faktiskos apstākļus un </w:t>
      </w:r>
      <w:r w:rsidR="00303016" w:rsidRPr="006F7C39">
        <w:rPr>
          <w:rFonts w:asciiTheme="majorBidi" w:hAnsiTheme="majorBidi" w:cstheme="majorBidi"/>
        </w:rPr>
        <w:t xml:space="preserve">atzina, ka pieteicēja kā pašnodarbinātas personas, kura saskaņā ar rakstveida vienošanos bija uzņēmusies saistības sniegt tulkošanas pakalpojumus </w:t>
      </w:r>
      <w:r w:rsidR="00496070" w:rsidRPr="006F7C39">
        <w:rPr>
          <w:rFonts w:asciiTheme="majorBidi" w:hAnsiTheme="majorBidi" w:cstheme="majorBidi"/>
        </w:rPr>
        <w:t xml:space="preserve">izmeklēšanas iestādei – </w:t>
      </w:r>
      <w:r w:rsidR="00303016" w:rsidRPr="006F7C39">
        <w:rPr>
          <w:rFonts w:asciiTheme="majorBidi" w:hAnsiTheme="majorBidi" w:cstheme="majorBidi"/>
        </w:rPr>
        <w:t>Valsts policijai</w:t>
      </w:r>
      <w:r w:rsidR="00496070" w:rsidRPr="006F7C39">
        <w:rPr>
          <w:rFonts w:asciiTheme="majorBidi" w:hAnsiTheme="majorBidi" w:cstheme="majorBidi"/>
        </w:rPr>
        <w:t xml:space="preserve"> –</w:t>
      </w:r>
      <w:r w:rsidR="00303016" w:rsidRPr="006F7C39">
        <w:rPr>
          <w:rFonts w:asciiTheme="majorBidi" w:hAnsiTheme="majorBidi" w:cstheme="majorBidi"/>
        </w:rPr>
        <w:t>, sniegto pakalpojumu apjoma un attiecīgi ieņēmumu samazinājums 2021.gada maijā un jūnijā bija saistīts ar valstī noteiktajiem saimnieciskās darbības ierobežojumiem Covid-19 infekcijas izplatības mazināšanai</w:t>
      </w:r>
      <w:r w:rsidR="00116643" w:rsidRPr="006F7C39">
        <w:rPr>
          <w:rFonts w:asciiTheme="majorBidi" w:hAnsiTheme="majorBidi" w:cstheme="majorBidi"/>
        </w:rPr>
        <w:t xml:space="preserve">, tāpēc pieteicējs atbilst tai personu kategorijai, kurai saskaņā ar </w:t>
      </w:r>
      <w:r w:rsidR="00496070" w:rsidRPr="006F7C39">
        <w:rPr>
          <w:rFonts w:asciiTheme="majorBidi" w:hAnsiTheme="majorBidi" w:cstheme="majorBidi"/>
        </w:rPr>
        <w:t xml:space="preserve">Atbalsta noteikumiem par dīkstāvi </w:t>
      </w:r>
      <w:r w:rsidR="001051BD" w:rsidRPr="006F7C39">
        <w:rPr>
          <w:rFonts w:asciiTheme="majorBidi" w:hAnsiTheme="majorBidi" w:cstheme="majorBidi"/>
        </w:rPr>
        <w:t>ir</w:t>
      </w:r>
      <w:r w:rsidR="00116643" w:rsidRPr="006F7C39">
        <w:rPr>
          <w:rFonts w:asciiTheme="majorBidi" w:hAnsiTheme="majorBidi" w:cstheme="majorBidi"/>
        </w:rPr>
        <w:t xml:space="preserve"> tiesības saņemt atbalstu.</w:t>
      </w:r>
    </w:p>
    <w:p w14:paraId="085EE1F8" w14:textId="68262CB2" w:rsidR="002A4462" w:rsidRPr="006F7C39" w:rsidRDefault="004B23BD" w:rsidP="000A7A28">
      <w:pPr>
        <w:spacing w:line="276" w:lineRule="auto"/>
        <w:ind w:firstLine="709"/>
        <w:rPr>
          <w:rFonts w:asciiTheme="majorBidi" w:eastAsia="Times New Roman" w:hAnsiTheme="majorBidi" w:cstheme="majorBidi"/>
          <w:lang w:eastAsia="lv-LV"/>
        </w:rPr>
      </w:pPr>
      <w:r w:rsidRPr="006F7C39">
        <w:rPr>
          <w:rFonts w:asciiTheme="majorBidi" w:eastAsia="Times New Roman" w:hAnsiTheme="majorBidi" w:cstheme="majorBidi"/>
          <w:lang w:eastAsia="lv-LV"/>
        </w:rPr>
        <w:t>Sprieduma pamatojums ir turpmāk minētie apsvērumi.</w:t>
      </w:r>
    </w:p>
    <w:p w14:paraId="07A3B58D" w14:textId="77777777" w:rsidR="0041039E" w:rsidRPr="006F7C39" w:rsidRDefault="004B23BD" w:rsidP="000A7A28">
      <w:pPr>
        <w:spacing w:line="276" w:lineRule="auto"/>
        <w:ind w:firstLine="709"/>
        <w:rPr>
          <w:rFonts w:asciiTheme="majorBidi" w:hAnsiTheme="majorBidi" w:cstheme="majorBidi"/>
        </w:rPr>
      </w:pPr>
      <w:r w:rsidRPr="006F7C39">
        <w:rPr>
          <w:rFonts w:asciiTheme="majorBidi" w:eastAsia="Times New Roman" w:hAnsiTheme="majorBidi" w:cstheme="majorBidi"/>
          <w:lang w:eastAsia="lv-LV"/>
        </w:rPr>
        <w:t>[3.1]</w:t>
      </w:r>
      <w:r w:rsidR="0050699D" w:rsidRPr="006F7C39">
        <w:rPr>
          <w:rFonts w:asciiTheme="majorBidi" w:eastAsia="Times New Roman" w:hAnsiTheme="majorBidi" w:cstheme="majorBidi"/>
          <w:lang w:eastAsia="lv-LV"/>
        </w:rPr>
        <w:t> </w:t>
      </w:r>
      <w:r w:rsidR="0041039E" w:rsidRPr="006F7C39">
        <w:rPr>
          <w:rFonts w:asciiTheme="majorBidi" w:hAnsiTheme="majorBidi" w:cstheme="majorBidi"/>
        </w:rPr>
        <w:t xml:space="preserve">Nav pamata uzskatīt, ka Atbalsta noteikumos par dīkstāvi lietotais jēdziens „saimnieciskās darbības ierobežojumi” būtu interpretējams šauri, tādējādi ierobežojot atbalsta saņēmēju loku. Minēto noteikumu normas kā priekšnoteikumu atbalsta piešķiršanai nenoteic, lai saimnieciskās darbības ierobežojumi būtu noteikti tieši konkrētajai saimnieciskajai darbībai, bet gan lai pastāvētu pamatojama saistība starp šiem ierobežojumiem un ieņēmumu samazinājumu. </w:t>
      </w:r>
    </w:p>
    <w:p w14:paraId="0A2F39B1" w14:textId="5708BE8E" w:rsidR="0041039E" w:rsidRPr="006F7C39" w:rsidRDefault="0041039E" w:rsidP="000A7A28">
      <w:pPr>
        <w:spacing w:line="276" w:lineRule="auto"/>
        <w:ind w:firstLine="709"/>
        <w:rPr>
          <w:rFonts w:asciiTheme="majorBidi" w:hAnsiTheme="majorBidi" w:cstheme="majorBidi"/>
        </w:rPr>
      </w:pPr>
      <w:r w:rsidRPr="006F7C39">
        <w:rPr>
          <w:rFonts w:asciiTheme="majorBidi" w:hAnsiTheme="majorBidi" w:cstheme="majorBidi"/>
        </w:rPr>
        <w:t>Arī no minēto noteikumu</w:t>
      </w:r>
      <w:r w:rsidR="00641FFC" w:rsidRPr="006F7C39">
        <w:rPr>
          <w:rFonts w:asciiTheme="majorBidi" w:hAnsiTheme="majorBidi" w:cstheme="majorBidi"/>
        </w:rPr>
        <w:t xml:space="preserve"> grozījumu</w:t>
      </w:r>
      <w:r w:rsidRPr="006F7C39">
        <w:rPr>
          <w:rFonts w:asciiTheme="majorBidi" w:hAnsiTheme="majorBidi" w:cstheme="majorBidi"/>
        </w:rPr>
        <w:t xml:space="preserve"> anotācijas neizriet, ka ar tajā lietoto jēdzienu „vistiešāk skartajām pašnodarbinātajām personām” būtu jāsaprot, ka priekšnoteikums atbalsta piešķiršanai konkrētai saimnieciskai darbībai ir tiešu ierobežojumu esība, kas izpaudusies aizlieguma vai būtiska ierobežojuma veidā. Minētais jēdziens lietots ar mērķi pamatot nepieciešamību pieprasīt no atbalsta pretendenta iesniegt pamatojumu ieņēmumu samazinājuma saistībai ar saimnieciskās darbības ierobežojumiem. Jāņem vērā, ka iepriekš šāds pamatojums netika prasīts. Konkrētajā gadījumā nav pamata uzskatīt, ka pieteicēja ieņēmumu samazinājums būtu saistāms ar nepareizu vai neveiksmīgu biznesa attīstību.</w:t>
      </w:r>
    </w:p>
    <w:p w14:paraId="222DA432" w14:textId="41AEB359" w:rsidR="00303016" w:rsidRPr="006F7C39" w:rsidRDefault="0041039E" w:rsidP="000A7A28">
      <w:pPr>
        <w:spacing w:line="276" w:lineRule="auto"/>
        <w:ind w:firstLine="709"/>
        <w:rPr>
          <w:rFonts w:asciiTheme="majorBidi" w:hAnsiTheme="majorBidi" w:cstheme="majorBidi"/>
        </w:rPr>
      </w:pPr>
      <w:r w:rsidRPr="006F7C39">
        <w:rPr>
          <w:rFonts w:asciiTheme="majorBidi" w:hAnsiTheme="majorBidi" w:cstheme="majorBidi"/>
        </w:rPr>
        <w:t>Līdz ar to nav pamatots, ka atbalsts nepienākas tikai tādēļ, ka konkrētā pieteicēja saimnieciskā darbība tiešā veidā nebija aizliegta vai ierobežota.</w:t>
      </w:r>
    </w:p>
    <w:p w14:paraId="4F596122" w14:textId="49AA3983" w:rsidR="00303016" w:rsidRPr="006F7C39" w:rsidRDefault="00303016" w:rsidP="000A7A28">
      <w:pPr>
        <w:spacing w:line="276" w:lineRule="auto"/>
        <w:ind w:firstLine="709"/>
        <w:rPr>
          <w:rFonts w:asciiTheme="majorBidi" w:hAnsiTheme="majorBidi" w:cstheme="majorBidi"/>
        </w:rPr>
      </w:pPr>
      <w:r w:rsidRPr="006F7C39">
        <w:rPr>
          <w:rFonts w:asciiTheme="majorBidi" w:hAnsiTheme="majorBidi" w:cstheme="majorBidi"/>
        </w:rPr>
        <w:t>[3.2] </w:t>
      </w:r>
      <w:r w:rsidR="00E3706B" w:rsidRPr="006F7C39">
        <w:rPr>
          <w:rFonts w:asciiTheme="majorBidi" w:hAnsiTheme="majorBidi" w:cstheme="majorBidi"/>
        </w:rPr>
        <w:t>Pieteicēja norādītais pamatojums ieņēmumu samazinājumam ir ticams. Pieteicējs neapgalvo, ka valsts bija aizliegusi sniegt tulkošanas pakalpojumus, bet gan, ka epidemioloģiskās piesardzības pasākumu dēļ strīdus periodā ievērojami samazinājās pieprasījums pēc pieteicēja sniegtajiem tulkošanas pakalpojumiem.</w:t>
      </w:r>
    </w:p>
    <w:p w14:paraId="09EDA51A" w14:textId="65774E41" w:rsidR="0041039E" w:rsidRPr="006F7C39" w:rsidRDefault="00E3706B" w:rsidP="000A7A28">
      <w:pPr>
        <w:spacing w:line="276" w:lineRule="auto"/>
        <w:ind w:firstLine="709"/>
        <w:rPr>
          <w:rFonts w:asciiTheme="majorBidi" w:hAnsiTheme="majorBidi" w:cstheme="majorBidi"/>
        </w:rPr>
      </w:pPr>
      <w:r w:rsidRPr="006F7C39">
        <w:rPr>
          <w:rFonts w:asciiTheme="majorBidi" w:hAnsiTheme="majorBidi" w:cstheme="majorBidi"/>
        </w:rPr>
        <w:t>[3.3] </w:t>
      </w:r>
      <w:r w:rsidR="00303016" w:rsidRPr="006F7C39">
        <w:rPr>
          <w:rFonts w:asciiTheme="majorBidi" w:hAnsiTheme="majorBidi" w:cstheme="majorBidi"/>
        </w:rPr>
        <w:t xml:space="preserve">Būtiski, ka </w:t>
      </w:r>
      <w:r w:rsidR="0041039E" w:rsidRPr="006F7C39">
        <w:rPr>
          <w:rFonts w:asciiTheme="majorBidi" w:hAnsiTheme="majorBidi" w:cstheme="majorBidi"/>
        </w:rPr>
        <w:t>pieteicējs tulkošanas pakalpojumus</w:t>
      </w:r>
      <w:r w:rsidR="00B23B8F" w:rsidRPr="006F7C39">
        <w:rPr>
          <w:rFonts w:asciiTheme="majorBidi" w:hAnsiTheme="majorBidi" w:cstheme="majorBidi"/>
        </w:rPr>
        <w:t xml:space="preserve"> izmeklēšanas iestādei</w:t>
      </w:r>
      <w:r w:rsidR="0041039E" w:rsidRPr="006F7C39">
        <w:rPr>
          <w:rFonts w:asciiTheme="majorBidi" w:hAnsiTheme="majorBidi" w:cstheme="majorBidi"/>
        </w:rPr>
        <w:t xml:space="preserve"> sniedza, pamatojoties 2020.gada 19.februārī noslēgt</w:t>
      </w:r>
      <w:r w:rsidR="00B23B8F" w:rsidRPr="006F7C39">
        <w:rPr>
          <w:rFonts w:asciiTheme="majorBidi" w:hAnsiTheme="majorBidi" w:cstheme="majorBidi"/>
        </w:rPr>
        <w:t xml:space="preserve">u </w:t>
      </w:r>
      <w:r w:rsidR="0041039E" w:rsidRPr="006F7C39">
        <w:rPr>
          <w:rFonts w:asciiTheme="majorBidi" w:hAnsiTheme="majorBidi" w:cstheme="majorBidi"/>
        </w:rPr>
        <w:t>līgumu</w:t>
      </w:r>
      <w:r w:rsidR="00B23B8F" w:rsidRPr="006F7C39">
        <w:rPr>
          <w:rFonts w:asciiTheme="majorBidi" w:hAnsiTheme="majorBidi" w:cstheme="majorBidi"/>
        </w:rPr>
        <w:t xml:space="preserve">, un ka </w:t>
      </w:r>
      <w:r w:rsidR="00303016" w:rsidRPr="006F7C39">
        <w:rPr>
          <w:rFonts w:asciiTheme="majorBidi" w:hAnsiTheme="majorBidi" w:cstheme="majorBidi"/>
        </w:rPr>
        <w:t>ierobežojumi tika noteikti ar normatīvo aktu, kas tieši skāra pieteicēju</w:t>
      </w:r>
      <w:r w:rsidR="00B23B8F" w:rsidRPr="006F7C39">
        <w:rPr>
          <w:rFonts w:asciiTheme="majorBidi" w:hAnsiTheme="majorBidi" w:cstheme="majorBidi"/>
        </w:rPr>
        <w:t xml:space="preserve">. Proti, </w:t>
      </w:r>
      <w:r w:rsidR="001051BD" w:rsidRPr="006F7C39">
        <w:rPr>
          <w:rFonts w:asciiTheme="majorBidi" w:hAnsiTheme="majorBidi" w:cstheme="majorBidi"/>
        </w:rPr>
        <w:t xml:space="preserve">Ministru kabineta 2020.gada 6.novembra </w:t>
      </w:r>
      <w:r w:rsidR="00303016" w:rsidRPr="006F7C39">
        <w:rPr>
          <w:rFonts w:asciiTheme="majorBidi" w:hAnsiTheme="majorBidi" w:cstheme="majorBidi"/>
        </w:rPr>
        <w:t xml:space="preserve">rīkojuma Nr. 655 </w:t>
      </w:r>
      <w:r w:rsidR="001051BD" w:rsidRPr="006F7C39">
        <w:rPr>
          <w:rFonts w:asciiTheme="majorBidi" w:hAnsiTheme="majorBidi" w:cstheme="majorBidi"/>
        </w:rPr>
        <w:t>„Par ārkārtējās situācijas izsludināšanu”</w:t>
      </w:r>
      <w:r w:rsidR="007465FA" w:rsidRPr="006F7C39">
        <w:rPr>
          <w:rFonts w:asciiTheme="majorBidi" w:hAnsiTheme="majorBidi" w:cstheme="majorBidi"/>
        </w:rPr>
        <w:t xml:space="preserve"> (turpmāk – rīkojums</w:t>
      </w:r>
      <w:r w:rsidR="0041039E" w:rsidRPr="006F7C39">
        <w:rPr>
          <w:rFonts w:asciiTheme="majorBidi" w:hAnsiTheme="majorBidi" w:cstheme="majorBidi"/>
        </w:rPr>
        <w:t xml:space="preserve"> Nr. 655</w:t>
      </w:r>
      <w:r w:rsidR="007465FA" w:rsidRPr="006F7C39">
        <w:rPr>
          <w:rFonts w:asciiTheme="majorBidi" w:hAnsiTheme="majorBidi" w:cstheme="majorBidi"/>
        </w:rPr>
        <w:t>)</w:t>
      </w:r>
      <w:r w:rsidR="001051BD" w:rsidRPr="006F7C39">
        <w:rPr>
          <w:rFonts w:asciiTheme="majorBidi" w:hAnsiTheme="majorBidi" w:cstheme="majorBidi"/>
        </w:rPr>
        <w:t xml:space="preserve"> </w:t>
      </w:r>
      <w:r w:rsidR="00303016" w:rsidRPr="006F7C39">
        <w:rPr>
          <w:rFonts w:asciiTheme="majorBidi" w:hAnsiTheme="majorBidi" w:cstheme="majorBidi"/>
        </w:rPr>
        <w:t>5.20.</w:t>
      </w:r>
      <w:r w:rsidR="00FE493C" w:rsidRPr="006F7C39">
        <w:rPr>
          <w:rFonts w:asciiTheme="majorBidi" w:hAnsiTheme="majorBidi" w:cstheme="majorBidi"/>
        </w:rPr>
        <w:t xml:space="preserve"> un </w:t>
      </w:r>
      <w:r w:rsidR="00303016" w:rsidRPr="006F7C39">
        <w:rPr>
          <w:rFonts w:asciiTheme="majorBidi" w:hAnsiTheme="majorBidi" w:cstheme="majorBidi"/>
        </w:rPr>
        <w:t>5.29.apakšpunkt</w:t>
      </w:r>
      <w:r w:rsidR="00B23B8F" w:rsidRPr="006F7C39">
        <w:rPr>
          <w:rFonts w:asciiTheme="majorBidi" w:hAnsiTheme="majorBidi" w:cstheme="majorBidi"/>
        </w:rPr>
        <w:t>s noteica konkrētus ierobežojumus izmeklēšanas darbību veikšanai, kas neapšaubāmi ietekmēja arī nepieciešamību pēc pieteicēja sniegtajiem pakalpojumiem</w:t>
      </w:r>
      <w:r w:rsidR="00FE493C" w:rsidRPr="006F7C39">
        <w:rPr>
          <w:rFonts w:asciiTheme="majorBidi" w:hAnsiTheme="majorBidi" w:cstheme="majorBidi"/>
        </w:rPr>
        <w:t xml:space="preserve">. </w:t>
      </w:r>
      <w:r w:rsidR="00303016" w:rsidRPr="006F7C39">
        <w:rPr>
          <w:rFonts w:asciiTheme="majorBidi" w:hAnsiTheme="majorBidi" w:cstheme="majorBidi"/>
        </w:rPr>
        <w:t>Tādējādi starp epidemioloģiskās drošības dēļ noteiktajiem ierobežojumiem un pieteicēja sniegto pakalpojumu apjomu, un līdz ar to ar ieņēmumu kritumu, ir saskatāma faktiska, nevis šķietama cēloņsakarība.</w:t>
      </w:r>
      <w:r w:rsidR="001124A4" w:rsidRPr="006F7C39">
        <w:rPr>
          <w:rFonts w:asciiTheme="majorBidi" w:hAnsiTheme="majorBidi" w:cstheme="majorBidi"/>
        </w:rPr>
        <w:t xml:space="preserve"> Arī pēc tam, kad rīkojums</w:t>
      </w:r>
      <w:r w:rsidR="001C180E" w:rsidRPr="006F7C39">
        <w:rPr>
          <w:rFonts w:asciiTheme="majorBidi" w:hAnsiTheme="majorBidi" w:cstheme="majorBidi"/>
        </w:rPr>
        <w:t xml:space="preserve"> Nr. 655</w:t>
      </w:r>
      <w:r w:rsidR="001124A4" w:rsidRPr="006F7C39">
        <w:rPr>
          <w:rFonts w:asciiTheme="majorBidi" w:hAnsiTheme="majorBidi" w:cstheme="majorBidi"/>
        </w:rPr>
        <w:t xml:space="preserve"> zaudēja spēku 2021.gada 7.aprīlī,</w:t>
      </w:r>
      <w:r w:rsidR="00B23B8F" w:rsidRPr="006F7C39">
        <w:rPr>
          <w:rFonts w:asciiTheme="majorBidi" w:hAnsiTheme="majorBidi" w:cstheme="majorBidi"/>
        </w:rPr>
        <w:t xml:space="preserve"> minētie</w:t>
      </w:r>
      <w:r w:rsidR="001124A4" w:rsidRPr="006F7C39">
        <w:rPr>
          <w:rFonts w:asciiTheme="majorBidi" w:hAnsiTheme="majorBidi" w:cstheme="majorBidi"/>
        </w:rPr>
        <w:t xml:space="preserve"> ierobežojumi tika atstāti spēkā, iekļaujot tos Covid-19 infekcijas izplatības pārvaldības likuma 10.</w:t>
      </w:r>
      <w:r w:rsidR="001124A4" w:rsidRPr="006F7C39">
        <w:rPr>
          <w:rFonts w:asciiTheme="majorBidi" w:hAnsiTheme="majorBidi" w:cstheme="majorBidi"/>
          <w:vertAlign w:val="superscript"/>
        </w:rPr>
        <w:t>2</w:t>
      </w:r>
      <w:r w:rsidR="001124A4" w:rsidRPr="006F7C39">
        <w:rPr>
          <w:rFonts w:asciiTheme="majorBidi" w:hAnsiTheme="majorBidi" w:cstheme="majorBidi"/>
        </w:rPr>
        <w:t>pantā.</w:t>
      </w:r>
    </w:p>
    <w:p w14:paraId="2A377531" w14:textId="77777777" w:rsidR="00496070" w:rsidRPr="006F7C39" w:rsidRDefault="00496070" w:rsidP="000A7A28">
      <w:pPr>
        <w:spacing w:line="276" w:lineRule="auto"/>
        <w:ind w:firstLine="709"/>
        <w:rPr>
          <w:rFonts w:asciiTheme="majorBidi" w:hAnsiTheme="majorBidi" w:cstheme="majorBidi"/>
        </w:rPr>
      </w:pPr>
    </w:p>
    <w:p w14:paraId="69D21AA4" w14:textId="46C5B6B4" w:rsidR="005C2E3D" w:rsidRPr="006F7C39" w:rsidRDefault="00C33156" w:rsidP="000A7A28">
      <w:pPr>
        <w:spacing w:line="276" w:lineRule="auto"/>
        <w:ind w:firstLine="709"/>
        <w:rPr>
          <w:rFonts w:asciiTheme="majorBidi" w:hAnsiTheme="majorBidi" w:cstheme="majorBidi"/>
        </w:rPr>
      </w:pPr>
      <w:r w:rsidRPr="006F7C39">
        <w:rPr>
          <w:rFonts w:asciiTheme="majorBidi" w:eastAsia="Times New Roman" w:hAnsiTheme="majorBidi" w:cstheme="majorBidi"/>
          <w:lang w:eastAsia="lv-LV"/>
        </w:rPr>
        <w:t>[</w:t>
      </w:r>
      <w:r w:rsidR="00185795" w:rsidRPr="006F7C39">
        <w:rPr>
          <w:rFonts w:asciiTheme="majorBidi" w:eastAsia="Times New Roman" w:hAnsiTheme="majorBidi" w:cstheme="majorBidi"/>
          <w:lang w:eastAsia="lv-LV"/>
        </w:rPr>
        <w:t>4</w:t>
      </w:r>
      <w:r w:rsidRPr="006F7C39">
        <w:rPr>
          <w:rFonts w:asciiTheme="majorBidi" w:eastAsia="Times New Roman" w:hAnsiTheme="majorBidi" w:cstheme="majorBidi"/>
          <w:lang w:eastAsia="lv-LV"/>
        </w:rPr>
        <w:t>]</w:t>
      </w:r>
      <w:r w:rsidR="00D80C65" w:rsidRPr="006F7C39">
        <w:rPr>
          <w:rFonts w:asciiTheme="majorBidi" w:hAnsiTheme="majorBidi" w:cstheme="majorBidi"/>
        </w:rPr>
        <w:t> </w:t>
      </w:r>
      <w:r w:rsidR="00B23B8F" w:rsidRPr="006F7C39">
        <w:rPr>
          <w:rFonts w:asciiTheme="majorBidi" w:hAnsiTheme="majorBidi" w:cstheme="majorBidi"/>
        </w:rPr>
        <w:t>Iestāde</w:t>
      </w:r>
      <w:r w:rsidR="00AF7D5F" w:rsidRPr="006F7C39">
        <w:rPr>
          <w:rFonts w:asciiTheme="majorBidi" w:hAnsiTheme="majorBidi" w:cstheme="majorBidi"/>
        </w:rPr>
        <w:t xml:space="preserve"> par tiesas spriedumu iesniedza kasācijas sūdzību, kurā argumentē, ka</w:t>
      </w:r>
      <w:r w:rsidR="00AB62C4" w:rsidRPr="006F7C39">
        <w:rPr>
          <w:rFonts w:asciiTheme="majorBidi" w:hAnsiTheme="majorBidi" w:cstheme="majorBidi"/>
        </w:rPr>
        <w:t xml:space="preserve"> </w:t>
      </w:r>
      <w:r w:rsidR="00FD3FDB" w:rsidRPr="006F7C39">
        <w:rPr>
          <w:rFonts w:asciiTheme="majorBidi" w:hAnsiTheme="majorBidi" w:cstheme="majorBidi"/>
        </w:rPr>
        <w:t>t</w:t>
      </w:r>
      <w:r w:rsidR="00FD3FDB" w:rsidRPr="006F7C39">
        <w:t xml:space="preserve">iesa </w:t>
      </w:r>
      <w:r w:rsidR="00641FFC" w:rsidRPr="006F7C39">
        <w:t xml:space="preserve">nepareizi </w:t>
      </w:r>
      <w:r w:rsidR="00FD3FDB" w:rsidRPr="006F7C39">
        <w:t xml:space="preserve">piemērojusi un interpretējusi </w:t>
      </w:r>
      <w:r w:rsidR="00496070" w:rsidRPr="006F7C39">
        <w:t>Atbalsta noteikumu par dīkstāvi</w:t>
      </w:r>
      <w:r w:rsidR="00FD3FDB" w:rsidRPr="006F7C39">
        <w:t xml:space="preserve"> </w:t>
      </w:r>
      <w:r w:rsidR="00496070" w:rsidRPr="006F7C39">
        <w:t xml:space="preserve">tiesību </w:t>
      </w:r>
      <w:r w:rsidR="00FE493C" w:rsidRPr="006F7C39">
        <w:t>normas.</w:t>
      </w:r>
      <w:r w:rsidR="00FD3FDB" w:rsidRPr="006F7C39">
        <w:t xml:space="preserve"> </w:t>
      </w:r>
      <w:r w:rsidR="005E7967" w:rsidRPr="006F7C39">
        <w:t>Iestāde</w:t>
      </w:r>
      <w:r w:rsidR="00FE493C" w:rsidRPr="006F7C39">
        <w:t xml:space="preserve"> uzskata</w:t>
      </w:r>
      <w:r w:rsidR="00FD3FDB" w:rsidRPr="006F7C39">
        <w:t>,</w:t>
      </w:r>
      <w:r w:rsidR="00FE493C" w:rsidRPr="006F7C39">
        <w:t xml:space="preserve"> ka</w:t>
      </w:r>
      <w:r w:rsidR="00FD3FDB" w:rsidRPr="006F7C39">
        <w:t xml:space="preserve"> pieteicējs nav tiesīgs saņemt </w:t>
      </w:r>
      <w:r w:rsidR="00496070" w:rsidRPr="006F7C39">
        <w:t>konkrēto atbalstu</w:t>
      </w:r>
      <w:r w:rsidR="00FD3FDB" w:rsidRPr="006F7C39">
        <w:t xml:space="preserve">, </w:t>
      </w:r>
      <w:r w:rsidR="00AB4F00" w:rsidRPr="006F7C39">
        <w:t xml:space="preserve">jo </w:t>
      </w:r>
      <w:r w:rsidR="00FD3FDB" w:rsidRPr="006F7C39">
        <w:t>strīdus periodā viņam netika liegta iespēja sniegt tulkošanas pakalpojumus</w:t>
      </w:r>
      <w:r w:rsidR="00BA2E0D" w:rsidRPr="006F7C39">
        <w:t xml:space="preserve">, līdz ar to </w:t>
      </w:r>
      <w:r w:rsidR="00BA2E0D" w:rsidRPr="006F7C39">
        <w:rPr>
          <w:rFonts w:asciiTheme="majorBidi" w:hAnsiTheme="majorBidi" w:cstheme="majorBidi"/>
        </w:rPr>
        <w:t>viņa ieņēmumu samazinājums nav</w:t>
      </w:r>
      <w:r w:rsidR="00117FD6" w:rsidRPr="006F7C39">
        <w:rPr>
          <w:rFonts w:asciiTheme="majorBidi" w:hAnsiTheme="majorBidi" w:cstheme="majorBidi"/>
        </w:rPr>
        <w:t xml:space="preserve"> tieši</w:t>
      </w:r>
      <w:r w:rsidR="00BA2E0D" w:rsidRPr="006F7C39">
        <w:rPr>
          <w:rFonts w:asciiTheme="majorBidi" w:hAnsiTheme="majorBidi" w:cstheme="majorBidi"/>
        </w:rPr>
        <w:t xml:space="preserve"> saistīts ar saimnieciskās darbības ierobežojumiem</w:t>
      </w:r>
      <w:r w:rsidR="00FE493C" w:rsidRPr="006F7C39">
        <w:t xml:space="preserve">. </w:t>
      </w:r>
      <w:r w:rsidR="00B23B8F" w:rsidRPr="006F7C39">
        <w:rPr>
          <w:rFonts w:asciiTheme="majorBidi" w:hAnsiTheme="majorBidi" w:cstheme="majorBidi"/>
        </w:rPr>
        <w:t xml:space="preserve">Kasācijas sūdzībā </w:t>
      </w:r>
      <w:r w:rsidR="00AB4F00" w:rsidRPr="006F7C39">
        <w:rPr>
          <w:rFonts w:asciiTheme="majorBidi" w:hAnsiTheme="majorBidi" w:cstheme="majorBidi"/>
        </w:rPr>
        <w:t>argumentē</w:t>
      </w:r>
      <w:r w:rsidR="00B23B8F" w:rsidRPr="006F7C39">
        <w:rPr>
          <w:rFonts w:asciiTheme="majorBidi" w:hAnsiTheme="majorBidi" w:cstheme="majorBidi"/>
        </w:rPr>
        <w:t>ts</w:t>
      </w:r>
      <w:r w:rsidR="00AB4F00" w:rsidRPr="006F7C39">
        <w:rPr>
          <w:rFonts w:asciiTheme="majorBidi" w:hAnsiTheme="majorBidi" w:cstheme="majorBidi"/>
        </w:rPr>
        <w:t xml:space="preserve">, ka </w:t>
      </w:r>
      <w:r w:rsidR="00AB4F00" w:rsidRPr="006F7C39">
        <w:t>p</w:t>
      </w:r>
      <w:r w:rsidR="00FD3FDB" w:rsidRPr="006F7C39">
        <w:t>iešķir</w:t>
      </w:r>
      <w:r w:rsidR="00AB4F00" w:rsidRPr="006F7C39">
        <w:t>t</w:t>
      </w:r>
      <w:r w:rsidR="00FD3FDB" w:rsidRPr="006F7C39">
        <w:t xml:space="preserve"> dīkstāves pabalstu</w:t>
      </w:r>
      <w:r w:rsidR="00AB4F00" w:rsidRPr="006F7C39">
        <w:t xml:space="preserve"> pieteicēja gadījumā</w:t>
      </w:r>
      <w:r w:rsidR="00FD3FDB" w:rsidRPr="006F7C39">
        <w:t xml:space="preserve"> būtu pretēji likumdevēja mērķim, kā arī </w:t>
      </w:r>
      <w:r w:rsidR="00AB4F00" w:rsidRPr="006F7C39">
        <w:t>tiktu</w:t>
      </w:r>
      <w:r w:rsidR="00FD3FDB" w:rsidRPr="006F7C39">
        <w:t xml:space="preserve"> pieļauta nepamatota atkāpe no tiesu prakses par to, ka saimnieciskās darbības ierobežojumiem ir jābūt tieši saistītiem ar valstī noteiktiem ierobežojumiem.</w:t>
      </w:r>
      <w:r w:rsidR="002852A3" w:rsidRPr="006F7C39">
        <w:t xml:space="preserve"> Tāpat dienests izteic iebildumus, ka </w:t>
      </w:r>
      <w:r w:rsidR="002852A3" w:rsidRPr="006F7C39">
        <w:rPr>
          <w:rFonts w:asciiTheme="majorBidi" w:hAnsiTheme="majorBidi" w:cstheme="majorBidi"/>
          <w:lang w:eastAsia="lv-LV"/>
        </w:rPr>
        <w:t xml:space="preserve">lietā nav atrodami objektīvi pierādījumi, kas apliecinātu, ka pieprasījums pēc </w:t>
      </w:r>
      <w:r w:rsidR="00A906CF" w:rsidRPr="006F7C39">
        <w:rPr>
          <w:rFonts w:asciiTheme="majorBidi" w:hAnsiTheme="majorBidi" w:cstheme="majorBidi"/>
          <w:lang w:eastAsia="lv-LV"/>
        </w:rPr>
        <w:t xml:space="preserve">tulkošanas </w:t>
      </w:r>
      <w:r w:rsidR="002852A3" w:rsidRPr="006F7C39">
        <w:rPr>
          <w:rFonts w:asciiTheme="majorBidi" w:hAnsiTheme="majorBidi" w:cstheme="majorBidi"/>
          <w:lang w:eastAsia="lv-LV"/>
        </w:rPr>
        <w:t xml:space="preserve">pakalpojuma sniegšanas būtu ievērojami samazinājies. Dienests uzskata, </w:t>
      </w:r>
      <w:r w:rsidR="0041039E" w:rsidRPr="006F7C39">
        <w:rPr>
          <w:rFonts w:asciiTheme="majorBidi" w:hAnsiTheme="majorBidi" w:cstheme="majorBidi"/>
          <w:lang w:eastAsia="lv-LV"/>
        </w:rPr>
        <w:t>ka</w:t>
      </w:r>
      <w:r w:rsidR="002852A3" w:rsidRPr="006F7C39">
        <w:rPr>
          <w:rFonts w:asciiTheme="majorBidi" w:hAnsiTheme="majorBidi" w:cstheme="majorBidi"/>
        </w:rPr>
        <w:t xml:space="preserve"> pieprasījums pēc pakalpojuma ir samazinājies tieši pieteicējam, jo pakalpojuma izpildei tika piesaistīti citi tulki. </w:t>
      </w:r>
      <w:r w:rsidR="0041039E" w:rsidRPr="006F7C39">
        <w:rPr>
          <w:rFonts w:asciiTheme="majorBidi" w:hAnsiTheme="majorBidi" w:cstheme="majorBidi"/>
        </w:rPr>
        <w:t>Arī</w:t>
      </w:r>
      <w:r w:rsidR="005C2E3D" w:rsidRPr="006F7C39">
        <w:rPr>
          <w:rFonts w:asciiTheme="majorBidi" w:hAnsiTheme="majorBidi" w:cstheme="majorBidi"/>
        </w:rPr>
        <w:t xml:space="preserve"> </w:t>
      </w:r>
      <w:r w:rsidR="005C2E3D" w:rsidRPr="006F7C39">
        <w:rPr>
          <w:rFonts w:asciiTheme="majorBidi" w:hAnsiTheme="majorBidi" w:cstheme="majorBidi"/>
          <w:lang w:eastAsia="lv-LV"/>
        </w:rPr>
        <w:t xml:space="preserve">tas, ka pieteicējam nav piedāvāts </w:t>
      </w:r>
      <w:r w:rsidR="00F32D65" w:rsidRPr="006F7C39">
        <w:rPr>
          <w:rFonts w:asciiTheme="majorBidi" w:hAnsiTheme="majorBidi" w:cstheme="majorBidi"/>
          <w:lang w:eastAsia="lv-LV"/>
        </w:rPr>
        <w:t xml:space="preserve">sniegt </w:t>
      </w:r>
      <w:r w:rsidR="005C2E3D" w:rsidRPr="006F7C39">
        <w:rPr>
          <w:rFonts w:asciiTheme="majorBidi" w:hAnsiTheme="majorBidi" w:cstheme="majorBidi"/>
          <w:lang w:eastAsia="lv-LV"/>
        </w:rPr>
        <w:t xml:space="preserve">tulkojuma pakalpojumus videokonferences režīmā, nav sasaistāms ar valstī noteiktiem ierobežojumiem, bet ar pakalpojuma </w:t>
      </w:r>
      <w:r w:rsidR="0060056D" w:rsidRPr="006F7C39">
        <w:rPr>
          <w:rFonts w:asciiTheme="majorBidi" w:hAnsiTheme="majorBidi" w:cstheme="majorBidi"/>
          <w:lang w:eastAsia="lv-LV"/>
        </w:rPr>
        <w:t>sa</w:t>
      </w:r>
      <w:r w:rsidR="005C2E3D" w:rsidRPr="006F7C39">
        <w:rPr>
          <w:rFonts w:asciiTheme="majorBidi" w:hAnsiTheme="majorBidi" w:cstheme="majorBidi"/>
          <w:lang w:eastAsia="lv-LV"/>
        </w:rPr>
        <w:t>ņēmēja izvēli.</w:t>
      </w:r>
    </w:p>
    <w:p w14:paraId="1D734EA3" w14:textId="77777777" w:rsidR="0008699D" w:rsidRPr="006F7C39" w:rsidRDefault="0008699D" w:rsidP="000A7A28">
      <w:pPr>
        <w:spacing w:line="276" w:lineRule="auto"/>
        <w:rPr>
          <w:rFonts w:asciiTheme="majorBidi" w:hAnsiTheme="majorBidi" w:cstheme="majorBidi"/>
        </w:rPr>
      </w:pPr>
    </w:p>
    <w:p w14:paraId="4702757B" w14:textId="20D09EB4" w:rsidR="004B3BFA" w:rsidRPr="006F7C39" w:rsidRDefault="00E628B7" w:rsidP="000A7A28">
      <w:pPr>
        <w:spacing w:line="276" w:lineRule="auto"/>
        <w:ind w:firstLine="709"/>
        <w:rPr>
          <w:rFonts w:asciiTheme="majorBidi" w:hAnsiTheme="majorBidi" w:cstheme="majorBidi"/>
        </w:rPr>
      </w:pPr>
      <w:r w:rsidRPr="006F7C39">
        <w:rPr>
          <w:rFonts w:asciiTheme="majorBidi" w:eastAsia="Times New Roman" w:hAnsiTheme="majorBidi" w:cstheme="majorBidi"/>
          <w:lang w:eastAsia="lv-LV"/>
        </w:rPr>
        <w:t>[</w:t>
      </w:r>
      <w:r w:rsidR="00185795" w:rsidRPr="006F7C39">
        <w:rPr>
          <w:rFonts w:asciiTheme="majorBidi" w:eastAsia="Times New Roman" w:hAnsiTheme="majorBidi" w:cstheme="majorBidi"/>
          <w:lang w:eastAsia="lv-LV"/>
        </w:rPr>
        <w:t>5</w:t>
      </w:r>
      <w:r w:rsidRPr="006F7C39">
        <w:rPr>
          <w:rFonts w:asciiTheme="majorBidi" w:eastAsia="Times New Roman" w:hAnsiTheme="majorBidi" w:cstheme="majorBidi"/>
          <w:lang w:eastAsia="lv-LV"/>
        </w:rPr>
        <w:t>]</w:t>
      </w:r>
      <w:r w:rsidR="00AF7D5F" w:rsidRPr="006F7C39">
        <w:rPr>
          <w:rFonts w:asciiTheme="majorBidi" w:eastAsia="Times New Roman" w:hAnsiTheme="majorBidi" w:cstheme="majorBidi"/>
          <w:lang w:eastAsia="lv-LV"/>
        </w:rPr>
        <w:t> </w:t>
      </w:r>
      <w:r w:rsidR="0008699D" w:rsidRPr="006F7C39">
        <w:rPr>
          <w:rFonts w:asciiTheme="majorBidi" w:hAnsiTheme="majorBidi" w:cstheme="majorBidi"/>
        </w:rPr>
        <w:t>Pieteicējs</w:t>
      </w:r>
      <w:r w:rsidR="00AF7D5F" w:rsidRPr="006F7C39">
        <w:rPr>
          <w:rFonts w:asciiTheme="majorBidi" w:hAnsiTheme="majorBidi" w:cstheme="majorBidi"/>
        </w:rPr>
        <w:t xml:space="preserve"> paskaidrojumos par kasācijas sūdzību norāda, ka tā nav pamatota.</w:t>
      </w:r>
    </w:p>
    <w:p w14:paraId="5ED9779D" w14:textId="77777777" w:rsidR="00FE493C" w:rsidRPr="006F7C39" w:rsidRDefault="00FE493C" w:rsidP="000A7A28">
      <w:pPr>
        <w:spacing w:line="276" w:lineRule="auto"/>
        <w:rPr>
          <w:rStyle w:val="CharStyle3"/>
          <w:rFonts w:asciiTheme="majorBidi" w:hAnsiTheme="majorBidi" w:cstheme="majorBidi"/>
          <w:b/>
          <w:bCs/>
        </w:rPr>
      </w:pPr>
    </w:p>
    <w:p w14:paraId="66036B50" w14:textId="2B5E61C4" w:rsidR="00FA3ED3" w:rsidRPr="006F7C39" w:rsidRDefault="00FA3ED3" w:rsidP="000A7A28">
      <w:pPr>
        <w:spacing w:line="276" w:lineRule="auto"/>
        <w:jc w:val="center"/>
        <w:rPr>
          <w:rStyle w:val="CharStyle3"/>
          <w:rFonts w:asciiTheme="majorBidi" w:hAnsiTheme="majorBidi" w:cstheme="majorBidi"/>
          <w:b/>
          <w:bCs/>
        </w:rPr>
      </w:pPr>
      <w:r w:rsidRPr="006F7C39">
        <w:rPr>
          <w:rStyle w:val="CharStyle3"/>
          <w:rFonts w:asciiTheme="majorBidi" w:hAnsiTheme="majorBidi" w:cstheme="majorBidi"/>
          <w:b/>
          <w:bCs/>
        </w:rPr>
        <w:t>Motīvu daļa</w:t>
      </w:r>
    </w:p>
    <w:p w14:paraId="179F6A78" w14:textId="77777777" w:rsidR="00D80C65" w:rsidRPr="006F7C39" w:rsidRDefault="00D80C65" w:rsidP="000A7A28">
      <w:pPr>
        <w:spacing w:line="276" w:lineRule="auto"/>
        <w:jc w:val="center"/>
        <w:rPr>
          <w:rFonts w:asciiTheme="majorBidi" w:hAnsiTheme="majorBidi" w:cstheme="majorBidi"/>
          <w:b/>
          <w:bCs/>
        </w:rPr>
      </w:pPr>
    </w:p>
    <w:p w14:paraId="189C9D7E" w14:textId="330FED56" w:rsidR="00F419E8" w:rsidRPr="006F7C39" w:rsidRDefault="00FA3ED3" w:rsidP="000A7A28">
      <w:pPr>
        <w:spacing w:line="276" w:lineRule="auto"/>
        <w:ind w:firstLine="709"/>
      </w:pPr>
      <w:r w:rsidRPr="006F7C39">
        <w:rPr>
          <w:rFonts w:asciiTheme="majorBidi" w:hAnsiTheme="majorBidi" w:cstheme="majorBidi"/>
        </w:rPr>
        <w:t>[</w:t>
      </w:r>
      <w:r w:rsidR="00185795" w:rsidRPr="006F7C39">
        <w:rPr>
          <w:rFonts w:asciiTheme="majorBidi" w:hAnsiTheme="majorBidi" w:cstheme="majorBidi"/>
        </w:rPr>
        <w:t>6</w:t>
      </w:r>
      <w:r w:rsidRPr="006F7C39">
        <w:rPr>
          <w:rFonts w:asciiTheme="majorBidi" w:hAnsiTheme="majorBidi" w:cstheme="majorBidi"/>
        </w:rPr>
        <w:t>]</w:t>
      </w:r>
      <w:r w:rsidR="00AF7D5F" w:rsidRPr="006F7C39">
        <w:rPr>
          <w:rFonts w:asciiTheme="majorBidi" w:hAnsiTheme="majorBidi" w:cstheme="majorBidi"/>
        </w:rPr>
        <w:t> </w:t>
      </w:r>
      <w:r w:rsidR="00F419E8" w:rsidRPr="006F7C39">
        <w:rPr>
          <w:rFonts w:asciiTheme="majorBidi" w:hAnsiTheme="majorBidi" w:cstheme="majorBidi"/>
        </w:rPr>
        <w:t xml:space="preserve">Kasācijas tiesvedības ietvaros </w:t>
      </w:r>
      <w:r w:rsidR="00F419E8" w:rsidRPr="006F7C39">
        <w:t xml:space="preserve">Senātam jānoskaidro, vai no Atbalsta noteikumu par dīkstāvi 3.punkta </w:t>
      </w:r>
      <w:r w:rsidR="00F419E8" w:rsidRPr="006F7C39">
        <w:rPr>
          <w:rFonts w:asciiTheme="majorBidi" w:hAnsiTheme="majorBidi" w:cstheme="majorBidi"/>
        </w:rPr>
        <w:t>(</w:t>
      </w:r>
      <w:r w:rsidR="00F419E8" w:rsidRPr="006F7C39">
        <w:rPr>
          <w:rFonts w:asciiTheme="majorBidi" w:hAnsiTheme="majorBidi" w:cstheme="majorBidi"/>
          <w:i/>
          <w:iCs/>
        </w:rPr>
        <w:t>redakcijā, kas bija spēkā no 2021.gada 16.marta</w:t>
      </w:r>
      <w:r w:rsidR="00F419E8" w:rsidRPr="006F7C39">
        <w:rPr>
          <w:rFonts w:asciiTheme="majorBidi" w:hAnsiTheme="majorBidi" w:cstheme="majorBidi"/>
        </w:rPr>
        <w:t xml:space="preserve">) </w:t>
      </w:r>
      <w:r w:rsidR="00F419E8" w:rsidRPr="006F7C39">
        <w:t xml:space="preserve">izriet, ka jēdziens – saimnieciskās darbības ierobežojumi – ir saprotams kā tiesību aktos tieši noteikti ierobežojumi atbalsta prasītāja saimnieciskās darbības veidam. </w:t>
      </w:r>
      <w:r w:rsidR="00CC5CD5" w:rsidRPr="006F7C39">
        <w:t xml:space="preserve">Tāpat </w:t>
      </w:r>
      <w:r w:rsidR="00F419E8" w:rsidRPr="006F7C39">
        <w:t>Senātam jāpārbauda, vai apgabaltiesa</w:t>
      </w:r>
      <w:r w:rsidR="00CC5CD5" w:rsidRPr="006F7C39">
        <w:t>, konstatējot cēlonisko sakaru starp saimnieciskās darbības ierobežojumiem un pieteicēja ieņēmumu kritumu,</w:t>
      </w:r>
      <w:r w:rsidR="00F419E8" w:rsidRPr="006F7C39">
        <w:t xml:space="preserve"> pierādījumus lietā ir novērtējusi atbilstoši Administratīvā procesa likuma 154.pantam.</w:t>
      </w:r>
    </w:p>
    <w:p w14:paraId="2E0E940D" w14:textId="77777777" w:rsidR="00BA2E0D" w:rsidRPr="006F7C39" w:rsidRDefault="00BA2E0D" w:rsidP="000A7A28">
      <w:pPr>
        <w:spacing w:line="276" w:lineRule="auto"/>
        <w:ind w:firstLine="709"/>
        <w:rPr>
          <w:rFonts w:asciiTheme="majorBidi" w:hAnsiTheme="majorBidi" w:cstheme="majorBidi"/>
        </w:rPr>
      </w:pPr>
    </w:p>
    <w:p w14:paraId="13074660" w14:textId="68B0FE99" w:rsidR="002B15B9" w:rsidRPr="006F7C39" w:rsidRDefault="000D542D" w:rsidP="000A7A28">
      <w:pPr>
        <w:spacing w:line="276" w:lineRule="auto"/>
        <w:ind w:firstLine="709"/>
        <w:rPr>
          <w:rFonts w:asciiTheme="majorBidi" w:hAnsiTheme="majorBidi" w:cstheme="majorBidi"/>
        </w:rPr>
      </w:pPr>
      <w:r w:rsidRPr="006F7C39">
        <w:rPr>
          <w:rFonts w:asciiTheme="majorBidi" w:hAnsiTheme="majorBidi" w:cstheme="majorBidi"/>
        </w:rPr>
        <w:t>[</w:t>
      </w:r>
      <w:r w:rsidR="00185795" w:rsidRPr="006F7C39">
        <w:rPr>
          <w:rFonts w:asciiTheme="majorBidi" w:hAnsiTheme="majorBidi" w:cstheme="majorBidi"/>
        </w:rPr>
        <w:t>7</w:t>
      </w:r>
      <w:r w:rsidRPr="006F7C39">
        <w:rPr>
          <w:rFonts w:asciiTheme="majorBidi" w:hAnsiTheme="majorBidi" w:cstheme="majorBidi"/>
        </w:rPr>
        <w:t>] </w:t>
      </w:r>
      <w:r w:rsidR="002B15B9" w:rsidRPr="006F7C39">
        <w:t xml:space="preserve">Covid-19 infekcijas izplatības seku pārvarēšanas likums </w:t>
      </w:r>
      <w:r w:rsidR="00523B18" w:rsidRPr="006F7C39">
        <w:t>noteic tiesisko kārtību Covid-19 infekcijas izplatības laikā, paredzot atbilstošu pasākumu kopumu Covid-19 izplatības seku pārvarēšanai un īpašos atbalsta mehānismus un izdevumus, kas tieši saistīti ar Covid-19 izplatības ierobežošanu, lai nodrošinātu sabiedrības ekonomiskās situācijas uzlabošanos un veicinātu valsts tautsaimniecības stabilitāti. L</w:t>
      </w:r>
      <w:r w:rsidR="002B15B9" w:rsidRPr="006F7C39">
        <w:t xml:space="preserve">ikuma 2.pants noteic, ka Ministru kabinets, izvērtējot ekonomisko situāciju, nosaka kritērijus un kārtību šā likuma 15.pantā noteikto pasākumu un īpašo atbalsta mehānismu piemērošanai nodokļu maksātājiem, kurus skārusi Covid-19 izraisītā krīze. Savukārt likuma 15.panta trešā daļa noteic, ka Ministru kabinets var noteikt arī citus atbalsta pasākumus Covid-19 izraisītās krīzes skartajiem nodokļu maksātājiem. Pamatojoties uz Covid-19 infekcijas izplatības seku pārvarēšanas likuma 2.pantā un 15.panta trešajā daļā ietverto deleģējumu, Ministru kabinets izdevis </w:t>
      </w:r>
      <w:r w:rsidR="00523B18" w:rsidRPr="006F7C39">
        <w:t>Atbalsta noteikumus par dīkstāvi.</w:t>
      </w:r>
    </w:p>
    <w:p w14:paraId="3157AABA" w14:textId="7161510B" w:rsidR="004A2FA1" w:rsidRPr="006F7C39" w:rsidRDefault="00523B18" w:rsidP="000A7A28">
      <w:pPr>
        <w:spacing w:line="276" w:lineRule="auto"/>
        <w:ind w:firstLine="709"/>
        <w:rPr>
          <w:rFonts w:asciiTheme="majorBidi" w:hAnsiTheme="majorBidi" w:cstheme="majorBidi"/>
        </w:rPr>
      </w:pPr>
      <w:r w:rsidRPr="006F7C39">
        <w:t>Atbalsta noteikumi par dīkstāvi</w:t>
      </w:r>
      <w:r w:rsidR="00EA0508" w:rsidRPr="006F7C39">
        <w:t xml:space="preserve"> </w:t>
      </w:r>
      <w:r w:rsidR="004A2FA1" w:rsidRPr="006F7C39">
        <w:rPr>
          <w:rFonts w:asciiTheme="majorBidi" w:hAnsiTheme="majorBidi" w:cstheme="majorBidi"/>
        </w:rPr>
        <w:t>nosaka kritērijus un kārtību atbalsta sniegšanai pašnodarbinātām personām to ienākumu kompensēšanai.</w:t>
      </w:r>
    </w:p>
    <w:p w14:paraId="7C781737" w14:textId="6E627572" w:rsidR="004A2FA1" w:rsidRPr="006F7C39" w:rsidRDefault="00EA0508" w:rsidP="000A7A28">
      <w:pPr>
        <w:spacing w:line="276" w:lineRule="auto"/>
        <w:ind w:firstLine="709"/>
        <w:rPr>
          <w:rFonts w:asciiTheme="majorBidi" w:hAnsiTheme="majorBidi" w:cstheme="majorBidi"/>
        </w:rPr>
      </w:pPr>
      <w:r w:rsidRPr="006F7C39">
        <w:rPr>
          <w:rFonts w:asciiTheme="majorBidi" w:hAnsiTheme="majorBidi" w:cstheme="majorBidi"/>
        </w:rPr>
        <w:t>Minētie noteikumi noteic, ka a</w:t>
      </w:r>
      <w:r w:rsidR="004A2FA1" w:rsidRPr="006F7C39">
        <w:rPr>
          <w:rFonts w:asciiTheme="majorBidi" w:hAnsiTheme="majorBidi" w:cstheme="majorBidi"/>
        </w:rPr>
        <w:t>tbalstam par dīkstāvi ir tiesīgas pieteikties pašnodarbinātas personas, kuru ieņēmumi no saimnieciskās darbības par konkrēto atbalsta mēnesi, salīdzinot ar mēneša vidējiem ieņēmumiem 2020.gada augustā, septembrī un oktobrī, kuros uzņēmums faktiski darbojies, ir samazinājušies ne mazāk kā par 20 %</w:t>
      </w:r>
      <w:r w:rsidR="00C34EBF" w:rsidRPr="006F7C39">
        <w:rPr>
          <w:rFonts w:asciiTheme="majorBidi" w:hAnsiTheme="majorBidi" w:cstheme="majorBidi"/>
        </w:rPr>
        <w:t xml:space="preserve"> </w:t>
      </w:r>
      <w:r w:rsidR="004A2FA1" w:rsidRPr="006F7C39">
        <w:rPr>
          <w:rFonts w:asciiTheme="majorBidi" w:hAnsiTheme="majorBidi" w:cstheme="majorBidi"/>
        </w:rPr>
        <w:t>un šis ieņēmumu samazinājums ir saistīts ar saimnieciskās darbības ierobežojumiem (3.punkts).</w:t>
      </w:r>
    </w:p>
    <w:p w14:paraId="0569623B" w14:textId="6583286A" w:rsidR="00477CDD" w:rsidRPr="006F7C39" w:rsidRDefault="004A2FA1" w:rsidP="000A7A28">
      <w:pPr>
        <w:spacing w:line="276" w:lineRule="auto"/>
        <w:ind w:firstLine="709"/>
        <w:rPr>
          <w:rFonts w:asciiTheme="majorBidi" w:hAnsiTheme="majorBidi" w:cstheme="majorBidi"/>
        </w:rPr>
      </w:pPr>
      <w:r w:rsidRPr="006F7C39">
        <w:rPr>
          <w:rFonts w:asciiTheme="majorBidi" w:hAnsiTheme="majorBidi" w:cstheme="majorBidi"/>
        </w:rPr>
        <w:t>Pašnodarbinātai personai iesniegumā dienestam jānorāda informācija par šo noteikumu 3.punktā minēto ieņēmumu samazinājumu un pamatojums tā saistībai ar saimnieciskās darbības ierobežojumiem</w:t>
      </w:r>
      <w:r w:rsidR="00477CDD" w:rsidRPr="006F7C39">
        <w:rPr>
          <w:rFonts w:asciiTheme="majorBidi" w:hAnsiTheme="majorBidi" w:cstheme="majorBidi"/>
        </w:rPr>
        <w:t xml:space="preserve"> (15.3.apakšpunkts). </w:t>
      </w:r>
      <w:r w:rsidR="00EA0508" w:rsidRPr="006F7C39">
        <w:rPr>
          <w:rFonts w:asciiTheme="majorBidi" w:hAnsiTheme="majorBidi" w:cstheme="majorBidi"/>
        </w:rPr>
        <w:t>D</w:t>
      </w:r>
      <w:r w:rsidR="00477CDD" w:rsidRPr="006F7C39">
        <w:rPr>
          <w:rFonts w:asciiTheme="majorBidi" w:hAnsiTheme="majorBidi" w:cstheme="majorBidi"/>
        </w:rPr>
        <w:t>ienests atbalstu par dīkstāvi nepiešķir</w:t>
      </w:r>
      <w:r w:rsidR="00A844A4" w:rsidRPr="006F7C39">
        <w:rPr>
          <w:rFonts w:asciiTheme="majorBidi" w:hAnsiTheme="majorBidi" w:cstheme="majorBidi"/>
        </w:rPr>
        <w:t>, ja pašnodarbinātā persona nav iesniegusi pamatojumu atbilstoši šo noteikumu 15.3.apakšpunktam vai ja dienests, izvērtējot pašnodarbinātās personas vai patentmaksātāja iesniegumu, konstatē, ka ieņēmumu samazinājums nav saistīts ar saimnieciskās darbības ierobežojumiem (20.7.apakšpunkts).</w:t>
      </w:r>
    </w:p>
    <w:p w14:paraId="5E53584C" w14:textId="29FEFDF8" w:rsidR="004A2FA1" w:rsidRPr="006F7C39" w:rsidRDefault="001234B4" w:rsidP="000A7A28">
      <w:pPr>
        <w:spacing w:line="276" w:lineRule="auto"/>
        <w:ind w:firstLine="709"/>
        <w:rPr>
          <w:rFonts w:asciiTheme="majorBidi" w:hAnsiTheme="majorBidi" w:cstheme="majorBidi"/>
        </w:rPr>
      </w:pPr>
      <w:r w:rsidRPr="006F7C39">
        <w:rPr>
          <w:rFonts w:asciiTheme="majorBidi" w:hAnsiTheme="majorBidi" w:cstheme="majorBidi"/>
        </w:rPr>
        <w:t xml:space="preserve">No minētajām tiesību normām izriet, ka, lai </w:t>
      </w:r>
      <w:r w:rsidR="00523B18" w:rsidRPr="006F7C39">
        <w:rPr>
          <w:rFonts w:asciiTheme="majorBidi" w:hAnsiTheme="majorBidi" w:cstheme="majorBidi"/>
        </w:rPr>
        <w:t>pretendētu uz</w:t>
      </w:r>
      <w:r w:rsidRPr="006F7C39">
        <w:rPr>
          <w:rFonts w:asciiTheme="majorBidi" w:hAnsiTheme="majorBidi" w:cstheme="majorBidi"/>
        </w:rPr>
        <w:t xml:space="preserve"> atbalstu par dīkstāvi, </w:t>
      </w:r>
      <w:r w:rsidR="004F4DB1" w:rsidRPr="006F7C39">
        <w:rPr>
          <w:rFonts w:asciiTheme="majorBidi" w:hAnsiTheme="majorBidi" w:cstheme="majorBidi"/>
        </w:rPr>
        <w:t>ir jā</w:t>
      </w:r>
      <w:r w:rsidR="00FE4BA0" w:rsidRPr="006F7C39">
        <w:rPr>
          <w:rFonts w:asciiTheme="majorBidi" w:hAnsiTheme="majorBidi" w:cstheme="majorBidi"/>
        </w:rPr>
        <w:t>izpildās</w:t>
      </w:r>
      <w:r w:rsidR="004F4DB1" w:rsidRPr="006F7C39">
        <w:rPr>
          <w:rFonts w:asciiTheme="majorBidi" w:hAnsiTheme="majorBidi" w:cstheme="majorBidi"/>
        </w:rPr>
        <w:t xml:space="preserve"> </w:t>
      </w:r>
      <w:r w:rsidR="009033E8" w:rsidRPr="006F7C39">
        <w:rPr>
          <w:rFonts w:asciiTheme="majorBidi" w:hAnsiTheme="majorBidi" w:cstheme="majorBidi"/>
        </w:rPr>
        <w:t>divi</w:t>
      </w:r>
      <w:r w:rsidR="00FE4BA0" w:rsidRPr="006F7C39">
        <w:rPr>
          <w:rFonts w:asciiTheme="majorBidi" w:hAnsiTheme="majorBidi" w:cstheme="majorBidi"/>
        </w:rPr>
        <w:t>em</w:t>
      </w:r>
      <w:r w:rsidR="009033E8" w:rsidRPr="006F7C39">
        <w:rPr>
          <w:rFonts w:asciiTheme="majorBidi" w:hAnsiTheme="majorBidi" w:cstheme="majorBidi"/>
        </w:rPr>
        <w:t xml:space="preserve"> kumulatīvi</w:t>
      </w:r>
      <w:r w:rsidR="00FE4BA0" w:rsidRPr="006F7C39">
        <w:rPr>
          <w:rFonts w:asciiTheme="majorBidi" w:hAnsiTheme="majorBidi" w:cstheme="majorBidi"/>
        </w:rPr>
        <w:t>em</w:t>
      </w:r>
      <w:r w:rsidR="009033E8" w:rsidRPr="006F7C39">
        <w:rPr>
          <w:rFonts w:asciiTheme="majorBidi" w:hAnsiTheme="majorBidi" w:cstheme="majorBidi"/>
        </w:rPr>
        <w:t xml:space="preserve"> kritēriji</w:t>
      </w:r>
      <w:r w:rsidR="00FE4BA0" w:rsidRPr="006F7C39">
        <w:rPr>
          <w:rFonts w:asciiTheme="majorBidi" w:hAnsiTheme="majorBidi" w:cstheme="majorBidi"/>
        </w:rPr>
        <w:t>em</w:t>
      </w:r>
      <w:r w:rsidR="009033E8" w:rsidRPr="006F7C39">
        <w:rPr>
          <w:rFonts w:asciiTheme="majorBidi" w:hAnsiTheme="majorBidi" w:cstheme="majorBidi"/>
        </w:rPr>
        <w:t>: 1) </w:t>
      </w:r>
      <w:r w:rsidR="004F4DB1" w:rsidRPr="006F7C39">
        <w:rPr>
          <w:rFonts w:asciiTheme="majorBidi" w:hAnsiTheme="majorBidi" w:cstheme="majorBidi"/>
        </w:rPr>
        <w:t>ieņēmumu samazinājum</w:t>
      </w:r>
      <w:r w:rsidR="00FE4BA0" w:rsidRPr="006F7C39">
        <w:rPr>
          <w:rFonts w:asciiTheme="majorBidi" w:hAnsiTheme="majorBidi" w:cstheme="majorBidi"/>
        </w:rPr>
        <w:t>am</w:t>
      </w:r>
      <w:r w:rsidR="004F4DB1" w:rsidRPr="006F7C39">
        <w:rPr>
          <w:rFonts w:asciiTheme="majorBidi" w:hAnsiTheme="majorBidi" w:cstheme="majorBidi"/>
        </w:rPr>
        <w:t xml:space="preserve"> konkrētā apmērā</w:t>
      </w:r>
      <w:r w:rsidR="009033E8" w:rsidRPr="006F7C39">
        <w:rPr>
          <w:rFonts w:asciiTheme="majorBidi" w:hAnsiTheme="majorBidi" w:cstheme="majorBidi"/>
        </w:rPr>
        <w:t>; 2) </w:t>
      </w:r>
      <w:r w:rsidR="004F4DB1" w:rsidRPr="006F7C39">
        <w:rPr>
          <w:rFonts w:asciiTheme="majorBidi" w:hAnsiTheme="majorBidi" w:cstheme="majorBidi"/>
        </w:rPr>
        <w:t>cēloņsakarība</w:t>
      </w:r>
      <w:r w:rsidR="00FE4BA0" w:rsidRPr="006F7C39">
        <w:rPr>
          <w:rFonts w:asciiTheme="majorBidi" w:hAnsiTheme="majorBidi" w:cstheme="majorBidi"/>
        </w:rPr>
        <w:t>i</w:t>
      </w:r>
      <w:r w:rsidR="009033E8" w:rsidRPr="006F7C39">
        <w:rPr>
          <w:rFonts w:asciiTheme="majorBidi" w:hAnsiTheme="majorBidi" w:cstheme="majorBidi"/>
        </w:rPr>
        <w:t xml:space="preserve"> </w:t>
      </w:r>
      <w:r w:rsidR="004F4DB1" w:rsidRPr="006F7C39">
        <w:rPr>
          <w:rFonts w:asciiTheme="majorBidi" w:hAnsiTheme="majorBidi" w:cstheme="majorBidi"/>
        </w:rPr>
        <w:t>starp šo ieņēmumu samazinājumu un saimnieciskās darbības ierobežojumiem. Proti, personai</w:t>
      </w:r>
      <w:r w:rsidR="00523B18" w:rsidRPr="006F7C39">
        <w:rPr>
          <w:rFonts w:asciiTheme="majorBidi" w:hAnsiTheme="majorBidi" w:cstheme="majorBidi"/>
        </w:rPr>
        <w:t>, kura vēlas saņemt konkrēto atbalstu,</w:t>
      </w:r>
      <w:r w:rsidR="004F4DB1" w:rsidRPr="006F7C39">
        <w:rPr>
          <w:rFonts w:asciiTheme="majorBidi" w:hAnsiTheme="majorBidi" w:cstheme="majorBidi"/>
        </w:rPr>
        <w:t xml:space="preserve"> ir pienākums sniegt </w:t>
      </w:r>
      <w:r w:rsidR="005925A5" w:rsidRPr="006F7C39">
        <w:rPr>
          <w:rFonts w:asciiTheme="majorBidi" w:hAnsiTheme="majorBidi" w:cstheme="majorBidi"/>
        </w:rPr>
        <w:t>pamatojumu</w:t>
      </w:r>
      <w:r w:rsidR="004F4DB1" w:rsidRPr="006F7C39">
        <w:rPr>
          <w:rFonts w:asciiTheme="majorBidi" w:hAnsiTheme="majorBidi" w:cstheme="majorBidi"/>
        </w:rPr>
        <w:t>, kas ļauj secināt, ka</w:t>
      </w:r>
      <w:r w:rsidR="00523B18" w:rsidRPr="006F7C39">
        <w:rPr>
          <w:rFonts w:asciiTheme="majorBidi" w:hAnsiTheme="majorBidi" w:cstheme="majorBidi"/>
        </w:rPr>
        <w:t xml:space="preserve"> tās</w:t>
      </w:r>
      <w:r w:rsidR="004F4DB1" w:rsidRPr="006F7C39">
        <w:rPr>
          <w:rFonts w:asciiTheme="majorBidi" w:hAnsiTheme="majorBidi" w:cstheme="majorBidi"/>
        </w:rPr>
        <w:t xml:space="preserve"> ieņēmumu samazinājums izriet no noteiktajiem saimnieciskās darbības ierobežojumiem, nevis citiem, ar ārkārtējo situāciju nesaistītiem apstākļiem.</w:t>
      </w:r>
    </w:p>
    <w:p w14:paraId="79480243" w14:textId="77777777" w:rsidR="00EA0508" w:rsidRPr="006F7C39" w:rsidRDefault="00EA0508" w:rsidP="000A7A28">
      <w:pPr>
        <w:spacing w:line="276" w:lineRule="auto"/>
        <w:ind w:firstLine="709"/>
        <w:rPr>
          <w:rFonts w:asciiTheme="majorBidi" w:hAnsiTheme="majorBidi" w:cstheme="majorBidi"/>
        </w:rPr>
      </w:pPr>
    </w:p>
    <w:p w14:paraId="3E259694" w14:textId="69DDB9B8" w:rsidR="00C34EBF" w:rsidRPr="006F7C39" w:rsidRDefault="004F4DB1" w:rsidP="000A7A28">
      <w:pPr>
        <w:spacing w:line="276" w:lineRule="auto"/>
        <w:ind w:firstLine="709"/>
        <w:rPr>
          <w:rFonts w:asciiTheme="majorBidi" w:hAnsiTheme="majorBidi" w:cstheme="majorBidi"/>
        </w:rPr>
      </w:pPr>
      <w:r w:rsidRPr="006F7C39">
        <w:rPr>
          <w:rFonts w:asciiTheme="majorBidi" w:hAnsiTheme="majorBidi" w:cstheme="majorBidi"/>
        </w:rPr>
        <w:t>[</w:t>
      </w:r>
      <w:r w:rsidR="00185795" w:rsidRPr="006F7C39">
        <w:rPr>
          <w:rFonts w:asciiTheme="majorBidi" w:hAnsiTheme="majorBidi" w:cstheme="majorBidi"/>
        </w:rPr>
        <w:t>8</w:t>
      </w:r>
      <w:r w:rsidRPr="006F7C39">
        <w:rPr>
          <w:rFonts w:asciiTheme="majorBidi" w:hAnsiTheme="majorBidi" w:cstheme="majorBidi"/>
        </w:rPr>
        <w:t>] </w:t>
      </w:r>
      <w:r w:rsidRPr="006F7C39">
        <w:t xml:space="preserve">Lietā nav strīda par </w:t>
      </w:r>
      <w:r w:rsidR="00117FD6" w:rsidRPr="006F7C39">
        <w:t>pirmā kritērija izpildi, proti</w:t>
      </w:r>
      <w:r w:rsidRPr="006F7C39">
        <w:t xml:space="preserve">, ka </w:t>
      </w:r>
      <w:r w:rsidR="00523557" w:rsidRPr="006F7C39">
        <w:t>pieteicēja ieņēmumi no saimnieciskās darbības 2021.gada attiecīgajos mēnešos samazinājušies ne mazāk kā par 20 %, salīdzinot ar mēneša vidējiem ieņēmumiem 2020.gada augustā, septembrī un oktobrī</w:t>
      </w:r>
      <w:r w:rsidR="009033E8" w:rsidRPr="006F7C39">
        <w:t>.</w:t>
      </w:r>
      <w:r w:rsidR="007465FA" w:rsidRPr="006F7C39">
        <w:t xml:space="preserve"> </w:t>
      </w:r>
      <w:r w:rsidR="009033E8" w:rsidRPr="006F7C39">
        <w:rPr>
          <w:rFonts w:asciiTheme="majorBidi" w:hAnsiTheme="majorBidi" w:cstheme="majorBidi"/>
        </w:rPr>
        <w:t xml:space="preserve">Tomēr </w:t>
      </w:r>
      <w:r w:rsidR="00975566" w:rsidRPr="006F7C39">
        <w:rPr>
          <w:rFonts w:asciiTheme="majorBidi" w:hAnsiTheme="majorBidi" w:cstheme="majorBidi"/>
        </w:rPr>
        <w:t>l</w:t>
      </w:r>
      <w:r w:rsidRPr="006F7C39">
        <w:rPr>
          <w:rFonts w:asciiTheme="majorBidi" w:hAnsiTheme="majorBidi" w:cstheme="majorBidi"/>
        </w:rPr>
        <w:t xml:space="preserve">ietā ir strīds </w:t>
      </w:r>
      <w:r w:rsidR="00975566" w:rsidRPr="006F7C39">
        <w:rPr>
          <w:rFonts w:asciiTheme="majorBidi" w:hAnsiTheme="majorBidi" w:cstheme="majorBidi"/>
        </w:rPr>
        <w:t>par otr</w:t>
      </w:r>
      <w:r w:rsidR="00117FD6" w:rsidRPr="006F7C39">
        <w:rPr>
          <w:rFonts w:asciiTheme="majorBidi" w:hAnsiTheme="majorBidi" w:cstheme="majorBidi"/>
        </w:rPr>
        <w:t>ā</w:t>
      </w:r>
      <w:r w:rsidR="00975566" w:rsidRPr="006F7C39">
        <w:rPr>
          <w:rFonts w:asciiTheme="majorBidi" w:hAnsiTheme="majorBidi" w:cstheme="majorBidi"/>
        </w:rPr>
        <w:t xml:space="preserve"> kritērija</w:t>
      </w:r>
      <w:r w:rsidR="00C34EBF" w:rsidRPr="006F7C39">
        <w:rPr>
          <w:rFonts w:asciiTheme="majorBidi" w:hAnsiTheme="majorBidi" w:cstheme="majorBidi"/>
        </w:rPr>
        <w:t xml:space="preserve"> – šo ieņēmumu samazinājuma saistības ar saimnieciskās darbības ierobežojumiem</w:t>
      </w:r>
      <w:r w:rsidR="00975566" w:rsidRPr="006F7C39">
        <w:rPr>
          <w:rFonts w:asciiTheme="majorBidi" w:hAnsiTheme="majorBidi" w:cstheme="majorBidi"/>
        </w:rPr>
        <w:t xml:space="preserve"> </w:t>
      </w:r>
      <w:r w:rsidR="00C34EBF" w:rsidRPr="006F7C39">
        <w:rPr>
          <w:rFonts w:asciiTheme="majorBidi" w:hAnsiTheme="majorBidi" w:cstheme="majorBidi"/>
        </w:rPr>
        <w:t xml:space="preserve">– </w:t>
      </w:r>
      <w:r w:rsidR="00975566" w:rsidRPr="006F7C39">
        <w:rPr>
          <w:rFonts w:asciiTheme="majorBidi" w:hAnsiTheme="majorBidi" w:cstheme="majorBidi"/>
        </w:rPr>
        <w:t>izpildi.</w:t>
      </w:r>
    </w:p>
    <w:p w14:paraId="19EB5462" w14:textId="77777777" w:rsidR="007465FA" w:rsidRPr="006F7C39" w:rsidRDefault="007465FA" w:rsidP="000A7A28">
      <w:pPr>
        <w:spacing w:line="276" w:lineRule="auto"/>
        <w:ind w:firstLine="709"/>
        <w:rPr>
          <w:rFonts w:asciiTheme="majorBidi" w:hAnsiTheme="majorBidi" w:cstheme="majorBidi"/>
        </w:rPr>
      </w:pPr>
    </w:p>
    <w:p w14:paraId="7B414DCC" w14:textId="1526A57F" w:rsidR="00117FD6" w:rsidRPr="006F7C39" w:rsidRDefault="007465FA" w:rsidP="000A7A28">
      <w:pPr>
        <w:spacing w:line="276" w:lineRule="auto"/>
        <w:ind w:firstLine="709"/>
        <w:rPr>
          <w:rFonts w:asciiTheme="majorBidi" w:hAnsiTheme="majorBidi" w:cstheme="majorBidi"/>
        </w:rPr>
      </w:pPr>
      <w:r w:rsidRPr="006F7C39">
        <w:rPr>
          <w:rFonts w:asciiTheme="majorBidi" w:hAnsiTheme="majorBidi" w:cstheme="majorBidi"/>
        </w:rPr>
        <w:t>[9] </w:t>
      </w:r>
      <w:r w:rsidR="001124A4" w:rsidRPr="006F7C39">
        <w:rPr>
          <w:rFonts w:asciiTheme="majorBidi" w:hAnsiTheme="majorBidi" w:cstheme="majorBidi"/>
        </w:rPr>
        <w:t>Apgabalt</w:t>
      </w:r>
      <w:r w:rsidR="004F4DB1" w:rsidRPr="006F7C39">
        <w:rPr>
          <w:rFonts w:asciiTheme="majorBidi" w:hAnsiTheme="majorBidi" w:cstheme="majorBidi"/>
        </w:rPr>
        <w:t>iesa</w:t>
      </w:r>
      <w:r w:rsidR="005E7967" w:rsidRPr="006F7C39">
        <w:rPr>
          <w:rFonts w:asciiTheme="majorBidi" w:hAnsiTheme="majorBidi" w:cstheme="majorBidi"/>
        </w:rPr>
        <w:t xml:space="preserve"> </w:t>
      </w:r>
      <w:r w:rsidR="001124A4" w:rsidRPr="006F7C39">
        <w:rPr>
          <w:rFonts w:asciiTheme="majorBidi" w:hAnsiTheme="majorBidi" w:cstheme="majorBidi"/>
        </w:rPr>
        <w:t>pievienoj</w:t>
      </w:r>
      <w:r w:rsidR="005E7967" w:rsidRPr="006F7C39">
        <w:rPr>
          <w:rFonts w:asciiTheme="majorBidi" w:hAnsiTheme="majorBidi" w:cstheme="majorBidi"/>
        </w:rPr>
        <w:t>ās</w:t>
      </w:r>
      <w:r w:rsidR="001124A4" w:rsidRPr="006F7C39">
        <w:rPr>
          <w:rFonts w:asciiTheme="majorBidi" w:hAnsiTheme="majorBidi" w:cstheme="majorBidi"/>
        </w:rPr>
        <w:t xml:space="preserve"> rajona tiesas sprieduma motivācijai</w:t>
      </w:r>
      <w:r w:rsidR="005E7967" w:rsidRPr="006F7C39">
        <w:rPr>
          <w:rFonts w:asciiTheme="majorBidi" w:hAnsiTheme="majorBidi" w:cstheme="majorBidi"/>
        </w:rPr>
        <w:t xml:space="preserve"> un</w:t>
      </w:r>
      <w:r w:rsidR="004F4DB1" w:rsidRPr="006F7C39">
        <w:rPr>
          <w:rFonts w:asciiTheme="majorBidi" w:hAnsiTheme="majorBidi" w:cstheme="majorBidi"/>
        </w:rPr>
        <w:t xml:space="preserve"> </w:t>
      </w:r>
      <w:r w:rsidR="00523B18" w:rsidRPr="006F7C39">
        <w:rPr>
          <w:rFonts w:asciiTheme="majorBidi" w:hAnsiTheme="majorBidi" w:cstheme="majorBidi"/>
        </w:rPr>
        <w:t>atzina, ka dīkstāves atbalsta piešķiršanai nav nepieciešams, lai ierobežojumi būtu noteikti tieši konkrētajai saimnieciskajai darbībai</w:t>
      </w:r>
      <w:r w:rsidR="001124A4" w:rsidRPr="006F7C39">
        <w:rPr>
          <w:rFonts w:asciiTheme="majorBidi" w:hAnsiTheme="majorBidi" w:cstheme="majorBidi"/>
        </w:rPr>
        <w:t>, bet gan</w:t>
      </w:r>
      <w:r w:rsidR="00523B18" w:rsidRPr="006F7C39">
        <w:rPr>
          <w:rFonts w:asciiTheme="majorBidi" w:hAnsiTheme="majorBidi" w:cstheme="majorBidi"/>
        </w:rPr>
        <w:t xml:space="preserve"> </w:t>
      </w:r>
      <w:r w:rsidR="001124A4" w:rsidRPr="006F7C39">
        <w:rPr>
          <w:rFonts w:asciiTheme="majorBidi" w:hAnsiTheme="majorBidi" w:cstheme="majorBidi"/>
        </w:rPr>
        <w:t xml:space="preserve">lai pastāvētu pamatojama saistība starp ierobežojumiem un ieņēmumu samazinājumu. </w:t>
      </w:r>
    </w:p>
    <w:p w14:paraId="2541A28F" w14:textId="4D503E50" w:rsidR="00D40ADF" w:rsidRPr="006F7C39" w:rsidRDefault="00117FD6" w:rsidP="000A7A28">
      <w:pPr>
        <w:spacing w:line="276" w:lineRule="auto"/>
        <w:ind w:firstLine="709"/>
        <w:rPr>
          <w:rFonts w:asciiTheme="majorBidi" w:hAnsiTheme="majorBidi" w:cstheme="majorBidi"/>
        </w:rPr>
      </w:pPr>
      <w:r w:rsidRPr="006F7C39">
        <w:rPr>
          <w:rFonts w:asciiTheme="majorBidi" w:hAnsiTheme="majorBidi" w:cstheme="majorBidi"/>
        </w:rPr>
        <w:t>D</w:t>
      </w:r>
      <w:r w:rsidR="00D40ADF" w:rsidRPr="006F7C39">
        <w:rPr>
          <w:rFonts w:asciiTheme="majorBidi" w:hAnsiTheme="majorBidi" w:cstheme="majorBidi"/>
        </w:rPr>
        <w:t>ienests</w:t>
      </w:r>
      <w:r w:rsidR="004F4DB1" w:rsidRPr="006F7C39">
        <w:rPr>
          <w:rFonts w:asciiTheme="majorBidi" w:hAnsiTheme="majorBidi" w:cstheme="majorBidi"/>
        </w:rPr>
        <w:t xml:space="preserve"> iebilst šādai</w:t>
      </w:r>
      <w:r w:rsidRPr="006F7C39">
        <w:rPr>
          <w:rFonts w:asciiTheme="majorBidi" w:hAnsiTheme="majorBidi" w:cstheme="majorBidi"/>
        </w:rPr>
        <w:t xml:space="preserve"> strīdus tiesību normu</w:t>
      </w:r>
      <w:r w:rsidR="004F4DB1" w:rsidRPr="006F7C39">
        <w:rPr>
          <w:rFonts w:asciiTheme="majorBidi" w:hAnsiTheme="majorBidi" w:cstheme="majorBidi"/>
        </w:rPr>
        <w:t xml:space="preserve"> interpretācijai un argumentē, ka </w:t>
      </w:r>
      <w:r w:rsidR="00D40ADF" w:rsidRPr="006F7C39">
        <w:rPr>
          <w:rFonts w:asciiTheme="majorBidi" w:hAnsiTheme="majorBidi" w:cstheme="majorBidi"/>
        </w:rPr>
        <w:t xml:space="preserve">atbilstoši Ministru kabineta 2020.gada 9.jūnija noteikumu Nr. 360 „Epidemioloģiskās drošības pasākumi Covid-19 infekcijas izplatības ierobežošanai” (turpmāk – </w:t>
      </w:r>
      <w:r w:rsidR="00A906CF" w:rsidRPr="006F7C39">
        <w:rPr>
          <w:rFonts w:asciiTheme="majorBidi" w:hAnsiTheme="majorBidi" w:cstheme="majorBidi"/>
        </w:rPr>
        <w:t xml:space="preserve">noteikumi </w:t>
      </w:r>
      <w:r w:rsidR="00D40ADF" w:rsidRPr="006F7C39">
        <w:rPr>
          <w:rFonts w:asciiTheme="majorBidi" w:hAnsiTheme="majorBidi" w:cstheme="majorBidi"/>
        </w:rPr>
        <w:t>Nr. 360) normām 2021.gada maijā Latvijā nebija aizlieg</w:t>
      </w:r>
      <w:r w:rsidR="00CB2635" w:rsidRPr="006F7C39">
        <w:rPr>
          <w:rFonts w:asciiTheme="majorBidi" w:hAnsiTheme="majorBidi" w:cstheme="majorBidi"/>
        </w:rPr>
        <w:t xml:space="preserve">ts </w:t>
      </w:r>
      <w:r w:rsidR="00D40ADF" w:rsidRPr="006F7C39">
        <w:rPr>
          <w:rFonts w:asciiTheme="majorBidi" w:hAnsiTheme="majorBidi" w:cstheme="majorBidi"/>
        </w:rPr>
        <w:t xml:space="preserve">sniegt tulka pakalpojumus, ievērojot epidemioloģiskās drošības prasības. </w:t>
      </w:r>
      <w:r w:rsidR="005A44AE" w:rsidRPr="006F7C39">
        <w:rPr>
          <w:rFonts w:asciiTheme="majorBidi" w:hAnsiTheme="majorBidi" w:cstheme="majorBidi"/>
        </w:rPr>
        <w:t xml:space="preserve">Tāpat no normatīvajiem aktiem neizriet aizliegums veikt pirmstiesas kriminālprocesa izmeklēšanas darbības, kurās ir neieciešams piesaistīt tulku. </w:t>
      </w:r>
      <w:r w:rsidR="00EA0508" w:rsidRPr="006F7C39">
        <w:rPr>
          <w:rFonts w:asciiTheme="majorBidi" w:hAnsiTheme="majorBidi" w:cstheme="majorBidi"/>
        </w:rPr>
        <w:t xml:space="preserve">Līdz ar to </w:t>
      </w:r>
      <w:r w:rsidR="00D40ADF" w:rsidRPr="006F7C39">
        <w:rPr>
          <w:rFonts w:asciiTheme="majorBidi" w:hAnsiTheme="majorBidi" w:cstheme="majorBidi"/>
        </w:rPr>
        <w:t>normatīvie akti neparedz saimnieciskās darbības ierobežojumus pieteicēja izvēlētā faktiskā darbības veida veikšanai, t.i., nepastāv tiesiskie šķēršļi tulka pakalpojumu sniegšana</w:t>
      </w:r>
      <w:r w:rsidR="005A44AE" w:rsidRPr="006F7C39">
        <w:rPr>
          <w:rFonts w:asciiTheme="majorBidi" w:hAnsiTheme="majorBidi" w:cstheme="majorBidi"/>
        </w:rPr>
        <w:t>i</w:t>
      </w:r>
      <w:r w:rsidR="00D40ADF" w:rsidRPr="006F7C39">
        <w:rPr>
          <w:rFonts w:asciiTheme="majorBidi" w:hAnsiTheme="majorBidi" w:cstheme="majorBidi"/>
        </w:rPr>
        <w:t xml:space="preserve">, jo pieteicējam vispārīgi bija iespēja strādāt. </w:t>
      </w:r>
      <w:r w:rsidR="00A07105" w:rsidRPr="006F7C39">
        <w:rPr>
          <w:rFonts w:asciiTheme="majorBidi" w:hAnsiTheme="majorBidi" w:cstheme="majorBidi"/>
        </w:rPr>
        <w:t>I</w:t>
      </w:r>
      <w:r w:rsidR="00D40ADF" w:rsidRPr="006F7C39">
        <w:rPr>
          <w:rFonts w:asciiTheme="majorBidi" w:hAnsiTheme="majorBidi" w:cstheme="majorBidi"/>
        </w:rPr>
        <w:t>estāde argumentē, ka</w:t>
      </w:r>
      <w:r w:rsidR="00E245E7" w:rsidRPr="006F7C39">
        <w:rPr>
          <w:rFonts w:asciiTheme="majorBidi" w:hAnsiTheme="majorBidi" w:cstheme="majorBidi"/>
        </w:rPr>
        <w:t xml:space="preserve"> no personas, kura ir ieinteresēta veikt saimniecisko darbību, ir sagaidāms, ka tiks meklēts risinājums, lai varētu sekmīgi veikt saimniecisko darbību aktuālajos apstākļos, un arī pieteicējam bija laiks </w:t>
      </w:r>
      <w:r w:rsidR="00EA0508" w:rsidRPr="006F7C39">
        <w:rPr>
          <w:rFonts w:asciiTheme="majorBidi" w:hAnsiTheme="majorBidi" w:cstheme="majorBidi"/>
        </w:rPr>
        <w:t xml:space="preserve">meklēt </w:t>
      </w:r>
      <w:r w:rsidR="00E245E7" w:rsidRPr="006F7C39">
        <w:rPr>
          <w:rFonts w:asciiTheme="majorBidi" w:hAnsiTheme="majorBidi" w:cstheme="majorBidi"/>
        </w:rPr>
        <w:t>risinājumus saimnieciskās darbības pārkārtošanai.</w:t>
      </w:r>
    </w:p>
    <w:p w14:paraId="5487E112" w14:textId="77777777" w:rsidR="004F4DB1" w:rsidRPr="006F7C39" w:rsidRDefault="004F4DB1" w:rsidP="000A7A28">
      <w:pPr>
        <w:spacing w:line="276" w:lineRule="auto"/>
        <w:ind w:firstLine="709"/>
        <w:rPr>
          <w:rFonts w:asciiTheme="majorBidi" w:hAnsiTheme="majorBidi" w:cstheme="majorBidi"/>
        </w:rPr>
      </w:pPr>
    </w:p>
    <w:p w14:paraId="59DA3EBC" w14:textId="47166590" w:rsidR="001756D7" w:rsidRPr="006F7C39" w:rsidRDefault="004F4DB1" w:rsidP="000A7A28">
      <w:pPr>
        <w:spacing w:line="276" w:lineRule="auto"/>
        <w:ind w:firstLine="709"/>
        <w:rPr>
          <w:rFonts w:asciiTheme="majorBidi" w:hAnsiTheme="majorBidi" w:cstheme="majorBidi"/>
        </w:rPr>
      </w:pPr>
      <w:r w:rsidRPr="006F7C39">
        <w:rPr>
          <w:rFonts w:asciiTheme="majorBidi" w:hAnsiTheme="majorBidi" w:cstheme="majorBidi"/>
        </w:rPr>
        <w:t>[</w:t>
      </w:r>
      <w:r w:rsidR="00185795" w:rsidRPr="006F7C39">
        <w:rPr>
          <w:rFonts w:asciiTheme="majorBidi" w:hAnsiTheme="majorBidi" w:cstheme="majorBidi"/>
        </w:rPr>
        <w:t>10</w:t>
      </w:r>
      <w:r w:rsidRPr="006F7C39">
        <w:rPr>
          <w:rFonts w:asciiTheme="majorBidi" w:hAnsiTheme="majorBidi" w:cstheme="majorBidi"/>
        </w:rPr>
        <w:t>] </w:t>
      </w:r>
      <w:r w:rsidR="00523B18" w:rsidRPr="006F7C39">
        <w:rPr>
          <w:rFonts w:asciiTheme="majorBidi" w:hAnsiTheme="majorBidi" w:cstheme="majorBidi"/>
        </w:rPr>
        <w:t xml:space="preserve">Senāts konstatē, ka </w:t>
      </w:r>
      <w:r w:rsidR="00BD2E6F" w:rsidRPr="006F7C39">
        <w:rPr>
          <w:rFonts w:asciiTheme="majorBidi" w:hAnsiTheme="majorBidi" w:cstheme="majorBidi"/>
        </w:rPr>
        <w:t>n</w:t>
      </w:r>
      <w:r w:rsidR="001756D7" w:rsidRPr="006F7C39">
        <w:rPr>
          <w:rFonts w:asciiTheme="majorBidi" w:hAnsiTheme="majorBidi" w:cstheme="majorBidi"/>
        </w:rPr>
        <w:t xml:space="preserve">osacījums par ieņēmumu samazinājuma saistību ar saimnieciskās darbības ierobežojumiem </w:t>
      </w:r>
      <w:r w:rsidR="00BD2E6F" w:rsidRPr="006F7C39">
        <w:rPr>
          <w:rFonts w:asciiTheme="majorBidi" w:hAnsiTheme="majorBidi" w:cstheme="majorBidi"/>
        </w:rPr>
        <w:t>Atbalsta</w:t>
      </w:r>
      <w:r w:rsidR="00523B18" w:rsidRPr="006F7C39">
        <w:rPr>
          <w:rFonts w:asciiTheme="majorBidi" w:hAnsiTheme="majorBidi" w:cstheme="majorBidi"/>
        </w:rPr>
        <w:t xml:space="preserve"> </w:t>
      </w:r>
      <w:r w:rsidR="001756D7" w:rsidRPr="006F7C39">
        <w:rPr>
          <w:rFonts w:asciiTheme="majorBidi" w:hAnsiTheme="majorBidi" w:cstheme="majorBidi"/>
        </w:rPr>
        <w:t xml:space="preserve">noteikumos </w:t>
      </w:r>
      <w:r w:rsidR="00BD2E6F" w:rsidRPr="006F7C39">
        <w:rPr>
          <w:rFonts w:asciiTheme="majorBidi" w:hAnsiTheme="majorBidi" w:cstheme="majorBidi"/>
        </w:rPr>
        <w:t xml:space="preserve">par dīkstāvi </w:t>
      </w:r>
      <w:r w:rsidR="001756D7" w:rsidRPr="006F7C39">
        <w:rPr>
          <w:rFonts w:asciiTheme="majorBidi" w:hAnsiTheme="majorBidi" w:cstheme="majorBidi"/>
        </w:rPr>
        <w:t xml:space="preserve">ietverts no 2021.gada 15.janvāra, kad spēkā stājās Ministru kabineta 2021.gada 12.janvāra noteikumi Nr. 29 „Grozījumi Ministru kabineta 2020.gada 24.novembra noteikumos Nr. 709 „Noteikumi par atbalstu par dīkstāvi nodokļu maksātājiem to darbības turpināšanai </w:t>
      </w:r>
      <w:r w:rsidR="00185795" w:rsidRPr="006F7C39">
        <w:rPr>
          <w:rFonts w:asciiTheme="majorBidi" w:hAnsiTheme="majorBidi" w:cstheme="majorBidi"/>
        </w:rPr>
        <w:br/>
      </w:r>
      <w:r w:rsidR="001756D7" w:rsidRPr="006F7C39">
        <w:rPr>
          <w:rFonts w:asciiTheme="majorBidi" w:hAnsiTheme="majorBidi" w:cstheme="majorBidi"/>
        </w:rPr>
        <w:t>Covid-19 izraisītās krīzes apstākļos”</w:t>
      </w:r>
      <w:r w:rsidR="005E7967" w:rsidRPr="006F7C39">
        <w:rPr>
          <w:rFonts w:asciiTheme="majorBidi" w:hAnsiTheme="majorBidi" w:cstheme="majorBidi"/>
        </w:rPr>
        <w:t>”</w:t>
      </w:r>
      <w:r w:rsidR="001756D7" w:rsidRPr="006F7C39">
        <w:rPr>
          <w:rFonts w:asciiTheme="majorBidi" w:hAnsiTheme="majorBidi" w:cstheme="majorBidi"/>
        </w:rPr>
        <w:t>.</w:t>
      </w:r>
      <w:r w:rsidR="00BD2E6F" w:rsidRPr="006F7C39">
        <w:rPr>
          <w:rFonts w:asciiTheme="majorBidi" w:hAnsiTheme="majorBidi" w:cstheme="majorBidi"/>
        </w:rPr>
        <w:t xml:space="preserve"> </w:t>
      </w:r>
      <w:r w:rsidR="00185795" w:rsidRPr="006F7C39">
        <w:rPr>
          <w:rFonts w:asciiTheme="majorBidi" w:hAnsiTheme="majorBidi" w:cstheme="majorBidi"/>
        </w:rPr>
        <w:t xml:space="preserve">Proti, </w:t>
      </w:r>
      <w:r w:rsidR="00D73C8B" w:rsidRPr="006F7C39">
        <w:t xml:space="preserve">tiesību normās redakcijā, kas bija spēkā iepriekšējā laika posmā, šāda prasība nebija iekļauta, bet kā kritērijs atbalsta izmaksai tika izmantots vienīgi apgrozījuma kritums. Savukārt </w:t>
      </w:r>
      <w:r w:rsidR="00185795" w:rsidRPr="006F7C39">
        <w:rPr>
          <w:rFonts w:asciiTheme="majorBidi" w:hAnsiTheme="majorBidi" w:cstheme="majorBidi"/>
        </w:rPr>
        <w:t>a</w:t>
      </w:r>
      <w:r w:rsidR="00BD2E6F" w:rsidRPr="006F7C39">
        <w:rPr>
          <w:rFonts w:asciiTheme="majorBidi" w:hAnsiTheme="majorBidi" w:cstheme="majorBidi"/>
        </w:rPr>
        <w:t xml:space="preserve">r minētajiem grozījumiem </w:t>
      </w:r>
      <w:r w:rsidR="004A07C8" w:rsidRPr="006F7C39">
        <w:rPr>
          <w:rFonts w:asciiTheme="majorBidi" w:hAnsiTheme="majorBidi" w:cstheme="majorBidi"/>
        </w:rPr>
        <w:t xml:space="preserve">Atbalsta </w:t>
      </w:r>
      <w:r w:rsidR="00BD2E6F" w:rsidRPr="006F7C39">
        <w:rPr>
          <w:rFonts w:asciiTheme="majorBidi" w:hAnsiTheme="majorBidi" w:cstheme="majorBidi"/>
        </w:rPr>
        <w:t xml:space="preserve">noteikumu </w:t>
      </w:r>
      <w:r w:rsidR="004A07C8" w:rsidRPr="006F7C39">
        <w:rPr>
          <w:rFonts w:asciiTheme="majorBidi" w:hAnsiTheme="majorBidi" w:cstheme="majorBidi"/>
        </w:rPr>
        <w:t xml:space="preserve">par dīkstāvi </w:t>
      </w:r>
      <w:r w:rsidR="00BD2E6F" w:rsidRPr="006F7C39">
        <w:rPr>
          <w:rFonts w:asciiTheme="majorBidi" w:hAnsiTheme="majorBidi" w:cstheme="majorBidi"/>
        </w:rPr>
        <w:t>3.punkt</w:t>
      </w:r>
      <w:r w:rsidR="00D73C8B" w:rsidRPr="006F7C39">
        <w:rPr>
          <w:rFonts w:asciiTheme="majorBidi" w:hAnsiTheme="majorBidi" w:cstheme="majorBidi"/>
        </w:rPr>
        <w:t xml:space="preserve">s </w:t>
      </w:r>
      <w:r w:rsidR="00185795" w:rsidRPr="006F7C39">
        <w:rPr>
          <w:rFonts w:asciiTheme="majorBidi" w:hAnsiTheme="majorBidi" w:cstheme="majorBidi"/>
        </w:rPr>
        <w:t>papildināt</w:t>
      </w:r>
      <w:r w:rsidR="00D73C8B" w:rsidRPr="006F7C39">
        <w:rPr>
          <w:rFonts w:asciiTheme="majorBidi" w:hAnsiTheme="majorBidi" w:cstheme="majorBidi"/>
        </w:rPr>
        <w:t xml:space="preserve">s </w:t>
      </w:r>
      <w:r w:rsidR="00185795" w:rsidRPr="006F7C39">
        <w:rPr>
          <w:rFonts w:asciiTheme="majorBidi" w:hAnsiTheme="majorBidi" w:cstheme="majorBidi"/>
        </w:rPr>
        <w:t>ar vārdiem „un šis ieņēmumu samazinājums ir saistīts ar saimnieciskās darbības ierobežojumiem”.</w:t>
      </w:r>
    </w:p>
    <w:p w14:paraId="6D78DE1A" w14:textId="04D6EAC2" w:rsidR="00185795" w:rsidRPr="006F7C39" w:rsidRDefault="001756D7" w:rsidP="000A7A28">
      <w:pPr>
        <w:spacing w:line="276" w:lineRule="auto"/>
        <w:ind w:firstLine="709"/>
        <w:rPr>
          <w:rFonts w:asciiTheme="majorBidi" w:hAnsiTheme="majorBidi" w:cstheme="majorBidi"/>
        </w:rPr>
      </w:pPr>
      <w:r w:rsidRPr="006F7C39">
        <w:rPr>
          <w:rFonts w:asciiTheme="majorBidi" w:hAnsiTheme="majorBidi" w:cstheme="majorBidi"/>
        </w:rPr>
        <w:t xml:space="preserve">Minēto grozījumu </w:t>
      </w:r>
      <w:r w:rsidR="005250F7" w:rsidRPr="006F7C39">
        <w:rPr>
          <w:rFonts w:asciiTheme="majorBidi" w:hAnsiTheme="majorBidi" w:cstheme="majorBidi"/>
        </w:rPr>
        <w:t xml:space="preserve">izstrādes </w:t>
      </w:r>
      <w:r w:rsidR="0075779A" w:rsidRPr="006F7C39">
        <w:rPr>
          <w:rFonts w:asciiTheme="majorBidi" w:hAnsiTheme="majorBidi" w:cstheme="majorBidi"/>
        </w:rPr>
        <w:t>materiālos</w:t>
      </w:r>
      <w:r w:rsidRPr="006F7C39">
        <w:rPr>
          <w:rFonts w:asciiTheme="majorBidi" w:hAnsiTheme="majorBidi" w:cstheme="majorBidi"/>
        </w:rPr>
        <w:t xml:space="preserve"> (anotācijā) norādīts, ka grozījumu mērķis ir precizēt to, ka atbalsts pieejams, ņemot vērā saimnieciskās darbības ierobežojumus </w:t>
      </w:r>
      <w:r w:rsidR="00CC5CD5" w:rsidRPr="006F7C39">
        <w:rPr>
          <w:rFonts w:asciiTheme="majorBidi" w:hAnsiTheme="majorBidi" w:cstheme="majorBidi"/>
        </w:rPr>
        <w:br/>
      </w:r>
      <w:r w:rsidRPr="006F7C39">
        <w:rPr>
          <w:rFonts w:asciiTheme="majorBidi" w:hAnsiTheme="majorBidi" w:cstheme="majorBidi"/>
        </w:rPr>
        <w:t xml:space="preserve">Covid-19 ierobežošanai. Anotācijā norādīts, ka noteiktie ierobežojumi skatāmi kopsakarībā ar, piemēram, </w:t>
      </w:r>
      <w:r w:rsidR="00A906CF" w:rsidRPr="006F7C39">
        <w:rPr>
          <w:rFonts w:asciiTheme="majorBidi" w:hAnsiTheme="majorBidi" w:cstheme="majorBidi"/>
        </w:rPr>
        <w:t xml:space="preserve">noteikumiem </w:t>
      </w:r>
      <w:r w:rsidR="00523B18" w:rsidRPr="006F7C39">
        <w:rPr>
          <w:rFonts w:asciiTheme="majorBidi" w:hAnsiTheme="majorBidi" w:cstheme="majorBidi"/>
        </w:rPr>
        <w:t>Nr. 360</w:t>
      </w:r>
      <w:r w:rsidRPr="006F7C39">
        <w:rPr>
          <w:rFonts w:asciiTheme="majorBidi" w:hAnsiTheme="majorBidi" w:cstheme="majorBidi"/>
        </w:rPr>
        <w:t xml:space="preserve"> un rīkojumā noteiktajiem ierobežojumiem vai citiem normatīvajiem aktiem, kuros noteikti ierobežojumi. </w:t>
      </w:r>
      <w:r w:rsidR="005E7967" w:rsidRPr="006F7C39">
        <w:rPr>
          <w:rFonts w:asciiTheme="majorBidi" w:hAnsiTheme="majorBidi" w:cstheme="majorBidi"/>
        </w:rPr>
        <w:t>Tāpat</w:t>
      </w:r>
      <w:r w:rsidRPr="006F7C39">
        <w:rPr>
          <w:rFonts w:asciiTheme="majorBidi" w:hAnsiTheme="majorBidi" w:cstheme="majorBidi"/>
        </w:rPr>
        <w:t xml:space="preserve"> arī norādīts uz mērķi sniegt atbalstu tām pašnodarbinātām personām, kuru saimniecisko darbību ir ietekmējuši tieši Covid-19 krīzes radītie apstākļi, jo ieņēmumu samazinājums var būt saistīts ar nepareizu vai neveiksmīgu biznesa attīstību, taču noteikumu projekta mērķis ir atbalstīt tos saimnieciskās darbības veicējus, kas cietuši no saimnieciskās darbības ierobežojumiem, kas saistīti ar epidemioloģiskās drošības pasākumiem. Lai nodrošinātu, ka atbalsts mērķtiecīgi tiek novirzīts vistiešāk skartajām pašnodarbinātām personām, noteikumu projekts tiek papildināts ar normām, kas paredz, ka, sākot ar 2021.gada 16.martu, iesniegumā sniedzams pamatojums par ieņēmumu samazinājumu saistību ar saimnieciskās darbības ierobežojumiem, kas saistīti ar epidemioloģiskās drošības pasākumiem Covid-19 infekcijas ierobežošanai. Ja pamatojums nav sniegts vai dienests konstatē, ka noteiktajam ieņēmumu kritumam nav saistība</w:t>
      </w:r>
      <w:r w:rsidR="0060056D" w:rsidRPr="006F7C39">
        <w:rPr>
          <w:rFonts w:asciiTheme="majorBidi" w:hAnsiTheme="majorBidi" w:cstheme="majorBidi"/>
        </w:rPr>
        <w:t>s</w:t>
      </w:r>
      <w:r w:rsidRPr="006F7C39">
        <w:rPr>
          <w:rFonts w:asciiTheme="majorBidi" w:hAnsiTheme="majorBidi" w:cstheme="majorBidi"/>
        </w:rPr>
        <w:t xml:space="preserve"> ar </w:t>
      </w:r>
      <w:r w:rsidR="00DD252A" w:rsidRPr="006F7C39">
        <w:rPr>
          <w:rFonts w:asciiTheme="majorBidi" w:hAnsiTheme="majorBidi" w:cstheme="majorBidi"/>
        </w:rPr>
        <w:br/>
      </w:r>
      <w:r w:rsidRPr="006F7C39">
        <w:rPr>
          <w:rFonts w:asciiTheme="majorBidi" w:hAnsiTheme="majorBidi" w:cstheme="majorBidi"/>
        </w:rPr>
        <w:t>Covid-19 radītajiem apstākļiem, dienests dīkstāves atbalstu nepiešķir</w:t>
      </w:r>
      <w:r w:rsidR="00185795" w:rsidRPr="006F7C39">
        <w:rPr>
          <w:rFonts w:asciiTheme="majorBidi" w:hAnsiTheme="majorBidi" w:cstheme="majorBidi"/>
        </w:rPr>
        <w:t xml:space="preserve"> (skat. </w:t>
      </w:r>
      <w:r w:rsidR="00185795" w:rsidRPr="006F7C39">
        <w:rPr>
          <w:i/>
          <w:iCs/>
        </w:rPr>
        <w:t xml:space="preserve">Ministru kabineta noteikumu projekta „Grozījumi </w:t>
      </w:r>
      <w:r w:rsidR="00185795" w:rsidRPr="006F7C39">
        <w:rPr>
          <w:rFonts w:eastAsia="Times New Roman"/>
          <w:i/>
          <w:iCs/>
        </w:rPr>
        <w:t>Ministru kabineta 2020.gada 24.novembra noteikumos Nr. 709 „Noteikumi par atbalstu par dīkstāvi nodokļu maksātājiem to darbības turpināšanai Covid-19 izraisītās krīzes apstākļos”” sākotnējās ietekmes novērtējuma ziņojumu (</w:t>
      </w:r>
      <w:r w:rsidR="0060056D" w:rsidRPr="006F7C39">
        <w:rPr>
          <w:rFonts w:eastAsia="Times New Roman"/>
          <w:i/>
          <w:iCs/>
        </w:rPr>
        <w:t>anotāc</w:t>
      </w:r>
      <w:r w:rsidR="0060056D" w:rsidRPr="006F7C39">
        <w:rPr>
          <w:i/>
          <w:iCs/>
        </w:rPr>
        <w:t>iju</w:t>
      </w:r>
      <w:r w:rsidR="00185795" w:rsidRPr="006F7C39">
        <w:rPr>
          <w:i/>
          <w:iCs/>
        </w:rPr>
        <w:t>)</w:t>
      </w:r>
      <w:bookmarkStart w:id="1" w:name="_Hlk56439641"/>
      <w:bookmarkEnd w:id="1"/>
      <w:r w:rsidR="00185795" w:rsidRPr="006F7C39">
        <w:t>).</w:t>
      </w:r>
    </w:p>
    <w:p w14:paraId="251E08A7" w14:textId="4F5D3AEA" w:rsidR="00094F25" w:rsidRPr="006F7C39" w:rsidRDefault="00166505" w:rsidP="000A7A28">
      <w:pPr>
        <w:spacing w:line="276" w:lineRule="auto"/>
        <w:ind w:firstLine="709"/>
        <w:rPr>
          <w:i/>
          <w:iCs/>
        </w:rPr>
      </w:pPr>
      <w:r w:rsidRPr="006F7C39">
        <w:t xml:space="preserve">Ņemot vērā minēto, </w:t>
      </w:r>
      <w:r w:rsidR="00CE468B" w:rsidRPr="006F7C39">
        <w:t xml:space="preserve">lai gan </w:t>
      </w:r>
      <w:r w:rsidR="00CE468B" w:rsidRPr="006F7C39">
        <w:rPr>
          <w:rFonts w:asciiTheme="majorBidi" w:hAnsiTheme="majorBidi" w:cstheme="majorBidi"/>
        </w:rPr>
        <w:t xml:space="preserve">likumdevēja mērķis bija piešķirt atbalstu vistiešāk skartajām personām, </w:t>
      </w:r>
      <w:r w:rsidR="001756D7" w:rsidRPr="006F7C39">
        <w:t xml:space="preserve">Senāts piekrīt tiesai, ka </w:t>
      </w:r>
      <w:r w:rsidR="00CE468B" w:rsidRPr="006F7C39">
        <w:t>minētais nenozīmē</w:t>
      </w:r>
      <w:r w:rsidR="001756D7" w:rsidRPr="006F7C39">
        <w:t xml:space="preserve">, ka </w:t>
      </w:r>
      <w:r w:rsidR="00CE468B" w:rsidRPr="006F7C39">
        <w:t>strīdus tiesību normās</w:t>
      </w:r>
      <w:r w:rsidR="001756D7" w:rsidRPr="006F7C39">
        <w:t xml:space="preserve"> lietotais jēdziens „saimnieciskās darbības ierobežojumi” būtu interpretējams </w:t>
      </w:r>
      <w:r w:rsidR="00CE468B" w:rsidRPr="006F7C39">
        <w:t xml:space="preserve">ļoti </w:t>
      </w:r>
      <w:r w:rsidR="001756D7" w:rsidRPr="006F7C39">
        <w:t xml:space="preserve">šauri – kā atbalsta pieprasītāja konkrētai saimnieciskajai darbībai noteiktie ierobežojumi –, tādējādi </w:t>
      </w:r>
      <w:r w:rsidR="00094F25" w:rsidRPr="006F7C39">
        <w:t xml:space="preserve">krietni </w:t>
      </w:r>
      <w:r w:rsidR="001756D7" w:rsidRPr="006F7C39">
        <w:t>ierobežojot atbalsta saņēmēju loku.</w:t>
      </w:r>
      <w:r w:rsidR="0075779A" w:rsidRPr="006F7C39">
        <w:t xml:space="preserve"> Ne tiesību normas, ne to izstrādes materiāl</w:t>
      </w:r>
      <w:r w:rsidR="00BD2E6F" w:rsidRPr="006F7C39">
        <w:t>i</w:t>
      </w:r>
      <w:r w:rsidR="0075779A" w:rsidRPr="006F7C39">
        <w:t xml:space="preserve"> nenoteic</w:t>
      </w:r>
      <w:r w:rsidR="002E31C7" w:rsidRPr="006F7C39">
        <w:t xml:space="preserve">, ka atbalstam par dīkstāvi ir tiesīgi pieteikties tikai tie subjekti, kuru ieņēmumu samazinājums ir </w:t>
      </w:r>
      <w:r w:rsidR="005E7967" w:rsidRPr="006F7C39">
        <w:t xml:space="preserve">tieši </w:t>
      </w:r>
      <w:r w:rsidR="002E31C7" w:rsidRPr="006F7C39">
        <w:t xml:space="preserve">saistīts ar pilnīgu </w:t>
      </w:r>
      <w:r w:rsidR="005E7967" w:rsidRPr="006F7C39">
        <w:t xml:space="preserve">subjekta veiktās </w:t>
      </w:r>
      <w:r w:rsidR="002E31C7" w:rsidRPr="006F7C39">
        <w:t>saimnieciskās darbības aizliegumu</w:t>
      </w:r>
      <w:r w:rsidR="0075779A" w:rsidRPr="006F7C39">
        <w:t>.</w:t>
      </w:r>
      <w:r w:rsidR="00BD2E6F" w:rsidRPr="006F7C39">
        <w:t xml:space="preserve"> </w:t>
      </w:r>
      <w:r w:rsidR="002E31C7" w:rsidRPr="006F7C39">
        <w:t>A</w:t>
      </w:r>
      <w:r w:rsidR="00094F25" w:rsidRPr="006F7C39">
        <w:t>notācijā</w:t>
      </w:r>
      <w:r w:rsidR="002361D9" w:rsidRPr="006F7C39">
        <w:t xml:space="preserve"> turklāt</w:t>
      </w:r>
      <w:r w:rsidR="00094F25" w:rsidRPr="006F7C39">
        <w:t xml:space="preserve"> īpaši uzsvērts, ka, nosakot ieņēmumu samazinājuma saistību ar ierobežojumiem, jāņem vērā visi normatīvajos aktos noteiktie epidemioloģiskās drošības pasākumi, nevis tikai </w:t>
      </w:r>
      <w:r w:rsidR="0060056D" w:rsidRPr="006F7C39">
        <w:t xml:space="preserve">noteikumos </w:t>
      </w:r>
      <w:r w:rsidR="00094F25" w:rsidRPr="006F7C39">
        <w:t xml:space="preserve">Nr. 360 paredzētie tiešie aizliegumi. </w:t>
      </w:r>
      <w:r w:rsidR="006D70A2" w:rsidRPr="006F7C39">
        <w:t xml:space="preserve">Tātad grozījumi noteikumos neizslēdz iespēju saņemt atbalstu arī tādos gadījumos, kas nav tieši saistīti ar konkrēta saimnieciskās darbības veida ierobežojumu (skat. </w:t>
      </w:r>
      <w:r w:rsidR="006D70A2" w:rsidRPr="006F7C39">
        <w:rPr>
          <w:i/>
          <w:iCs/>
        </w:rPr>
        <w:t xml:space="preserve">Senāta 2025.gada </w:t>
      </w:r>
      <w:r w:rsidR="00BE17B0" w:rsidRPr="006F7C39">
        <w:rPr>
          <w:i/>
          <w:iCs/>
        </w:rPr>
        <w:br/>
      </w:r>
      <w:r w:rsidR="006D70A2" w:rsidRPr="006F7C39">
        <w:rPr>
          <w:i/>
          <w:iCs/>
        </w:rPr>
        <w:t>19.decembra sprieduma lietā Nr. SKA-35/2025, ECLI:LV:AT:2025:1219.A420211621.12.S, 6.punktu</w:t>
      </w:r>
      <w:r w:rsidR="00BE17B0" w:rsidRPr="006F7C39">
        <w:rPr>
          <w:i/>
          <w:iCs/>
        </w:rPr>
        <w:t>, 2025.gada 19.decembra sprieduma lietā Nr. SKA-109/2025, ECLI:LV:AT:2025:1219.A420219221.14.S, 6.punktu</w:t>
      </w:r>
      <w:r w:rsidR="00BE17B0" w:rsidRPr="006F7C39">
        <w:t>).</w:t>
      </w:r>
    </w:p>
    <w:p w14:paraId="529E973E" w14:textId="409DE7EB" w:rsidR="00094F25" w:rsidRPr="006F7C39" w:rsidRDefault="00094F25" w:rsidP="000A7A28">
      <w:pPr>
        <w:spacing w:line="276" w:lineRule="auto"/>
        <w:ind w:firstLine="709"/>
      </w:pPr>
      <w:r w:rsidRPr="006F7C39">
        <w:t>Vienlaikus Senāts norāda, ka ir būtiski nošķirt tos saimnieciskās darbības veicējus, kuru iespējas gūt ieņēmumus būtiski ierobežoja epidemioloģiskās drošības pasākumi</w:t>
      </w:r>
      <w:r w:rsidR="00C8366E" w:rsidRPr="006F7C39">
        <w:t xml:space="preserve"> </w:t>
      </w:r>
      <w:r w:rsidR="0060056D" w:rsidRPr="006F7C39">
        <w:t>(„</w:t>
      </w:r>
      <w:r w:rsidR="00C8366E" w:rsidRPr="006F7C39">
        <w:rPr>
          <w:rFonts w:asciiTheme="majorBidi" w:hAnsiTheme="majorBidi" w:cstheme="majorBidi"/>
        </w:rPr>
        <w:t>vistiešāk skartās pašnodarbinātās personas”)</w:t>
      </w:r>
      <w:r w:rsidRPr="006F7C39">
        <w:t>, no tiem, kuri varēja turpināt darbību savā nozarē</w:t>
      </w:r>
      <w:r w:rsidR="00C8366E" w:rsidRPr="006F7C39">
        <w:t xml:space="preserve">, </w:t>
      </w:r>
      <w:r w:rsidR="00C8366E" w:rsidRPr="006F7C39">
        <w:rPr>
          <w:rFonts w:asciiTheme="majorBidi" w:hAnsiTheme="majorBidi" w:cstheme="majorBidi"/>
        </w:rPr>
        <w:t>pielāgojoties jaunajai situācijai</w:t>
      </w:r>
      <w:r w:rsidRPr="006F7C39">
        <w:t xml:space="preserve">. </w:t>
      </w:r>
      <w:r w:rsidR="00C8366E" w:rsidRPr="006F7C39">
        <w:t>Proti, n</w:t>
      </w:r>
      <w:r w:rsidR="00D73C8B" w:rsidRPr="006F7C39">
        <w:t>av šaubu, ka valstī izsludinātā ārkārtējā situācija radīja ietekmi uz jebkuru saimniecisko darbību</w:t>
      </w:r>
      <w:r w:rsidR="00C8366E" w:rsidRPr="006F7C39">
        <w:t>, tostarp mainot pieprasījuma pēc dažādiem pakalpojumiem struktūru</w:t>
      </w:r>
      <w:r w:rsidR="00D73C8B" w:rsidRPr="006F7C39">
        <w:t>, tomēr</w:t>
      </w:r>
      <w:r w:rsidRPr="006F7C39">
        <w:t xml:space="preserve"> konkrētais atbalsts nav paredzēts </w:t>
      </w:r>
      <w:r w:rsidR="00D73C8B" w:rsidRPr="006F7C39">
        <w:t xml:space="preserve">šādai </w:t>
      </w:r>
      <w:r w:rsidRPr="006F7C39">
        <w:t xml:space="preserve">vispārīgai risku pārņemšanai. </w:t>
      </w:r>
      <w:r w:rsidR="002E31C7" w:rsidRPr="006F7C39">
        <w:t>Atbilstoši anotācijā norādītajai likumdevēja gribai</w:t>
      </w:r>
      <w:r w:rsidRPr="006F7C39">
        <w:t xml:space="preserve"> jēdziens </w:t>
      </w:r>
      <w:r w:rsidR="002E31C7" w:rsidRPr="006F7C39">
        <w:t>„</w:t>
      </w:r>
      <w:r w:rsidRPr="006F7C39">
        <w:t xml:space="preserve">saimnieciskās darbības ierobežojumi” aptver tikai tādus normatīvajos aktos noteiktus epidemioloģiskās drošības pasākumus, kuru dēļ konkrētajai personai objektīvi bija ierobežotas iespējas gūt ieņēmumus, nevis situācijas, kad ieņēmumu samazinājums izriet no apstākļiem, kuri nav cēloniski saistāmi </w:t>
      </w:r>
      <w:r w:rsidR="001470CB" w:rsidRPr="006F7C39">
        <w:t xml:space="preserve">ar </w:t>
      </w:r>
      <w:r w:rsidR="00CE468B" w:rsidRPr="006F7C39">
        <w:t>normatīvajos aktos noteiktajiem</w:t>
      </w:r>
      <w:r w:rsidRPr="006F7C39">
        <w:t xml:space="preserve"> ierobežojumiem</w:t>
      </w:r>
      <w:r w:rsidR="002E31C7" w:rsidRPr="006F7C39">
        <w:t xml:space="preserve"> (</w:t>
      </w:r>
      <w:r w:rsidR="002361D9" w:rsidRPr="006F7C39">
        <w:t xml:space="preserve">piemēram, </w:t>
      </w:r>
      <w:r w:rsidR="002E31C7" w:rsidRPr="006F7C39">
        <w:rPr>
          <w:rFonts w:asciiTheme="majorBidi" w:hAnsiTheme="majorBidi" w:cstheme="majorBidi"/>
        </w:rPr>
        <w:t>nepareiza vai neveiksmīga biznesa attīstība)</w:t>
      </w:r>
      <w:r w:rsidRPr="006F7C39">
        <w:t>.</w:t>
      </w:r>
      <w:r w:rsidR="002E31C7" w:rsidRPr="006F7C39">
        <w:t xml:space="preserve"> Proti, lai persona varētu pretendēt uz strīdus atbalstu, nepieciešams konstatēt, ka ieņēmumi atbalsta mēnesī šai personai būtu samazinājušies tādu saimnieciskās darbības ierobežojumu dēļ, kuri būtu noteikti tiesību aktos un saistīti ar epidemioloģiskās drošības pasākumiem Covid-19 infekcijas izplatības ierobežošanai.</w:t>
      </w:r>
      <w:r w:rsidR="00D73C8B" w:rsidRPr="006F7C39">
        <w:t xml:space="preserve"> Ar vispārēju teorētisku cēloņsakarību starp valstī noteiktajiem ierobežojumiem un ieņēmumu kritumu nepietiek.</w:t>
      </w:r>
    </w:p>
    <w:p w14:paraId="2868CE53" w14:textId="77777777" w:rsidR="005E3D6C" w:rsidRPr="006F7C39" w:rsidRDefault="005E3D6C" w:rsidP="000A7A28">
      <w:pPr>
        <w:spacing w:line="276" w:lineRule="auto"/>
        <w:ind w:firstLine="709"/>
      </w:pPr>
    </w:p>
    <w:p w14:paraId="3CA6D858" w14:textId="392FF7EB" w:rsidR="00CB2635" w:rsidRPr="006F7C39" w:rsidRDefault="005E3D6C" w:rsidP="000A7A28">
      <w:pPr>
        <w:spacing w:line="276" w:lineRule="auto"/>
        <w:ind w:firstLine="709"/>
      </w:pPr>
      <w:r w:rsidRPr="006F7C39">
        <w:t>[1</w:t>
      </w:r>
      <w:r w:rsidR="00DD252A" w:rsidRPr="006F7C39">
        <w:t>1</w:t>
      </w:r>
      <w:r w:rsidRPr="006F7C39">
        <w:t>] </w:t>
      </w:r>
      <w:r w:rsidR="00BD2E6F" w:rsidRPr="006F7C39">
        <w:t>Ņemot vērā minēto, Senāts atzīst, ka</w:t>
      </w:r>
      <w:r w:rsidR="001124A4" w:rsidRPr="006F7C39">
        <w:t xml:space="preserve"> nav pamatots dienesta viedoklis, ka</w:t>
      </w:r>
      <w:r w:rsidR="001756D7" w:rsidRPr="006F7C39">
        <w:t xml:space="preserve"> konkrētajā gadījumā </w:t>
      </w:r>
      <w:r w:rsidR="001124A4" w:rsidRPr="006F7C39">
        <w:t xml:space="preserve">atbalsts nepienākas </w:t>
      </w:r>
      <w:r w:rsidR="00BD2E6F" w:rsidRPr="006F7C39">
        <w:t xml:space="preserve">tikai </w:t>
      </w:r>
      <w:r w:rsidR="001124A4" w:rsidRPr="006F7C39">
        <w:t xml:space="preserve">tādēļ, ka pieteicēja </w:t>
      </w:r>
      <w:r w:rsidR="001756D7" w:rsidRPr="006F7C39">
        <w:t xml:space="preserve">īstenotā </w:t>
      </w:r>
      <w:r w:rsidR="001124A4" w:rsidRPr="006F7C39">
        <w:t xml:space="preserve">saimnieciskā darbība </w:t>
      </w:r>
      <w:r w:rsidR="00094F25" w:rsidRPr="006F7C39">
        <w:t xml:space="preserve">nebija </w:t>
      </w:r>
      <w:r w:rsidR="001124A4" w:rsidRPr="006F7C39">
        <w:t>tiešā veidā aizliegta vai ierobežota.</w:t>
      </w:r>
      <w:r w:rsidR="001756D7" w:rsidRPr="006F7C39">
        <w:t xml:space="preserve"> </w:t>
      </w:r>
      <w:r w:rsidR="00A91059" w:rsidRPr="006F7C39">
        <w:t xml:space="preserve">Jebkurā gadījumā ir jāvērtē </w:t>
      </w:r>
      <w:r w:rsidR="00E078EE" w:rsidRPr="006F7C39">
        <w:t xml:space="preserve">pieteicēja </w:t>
      </w:r>
      <w:r w:rsidRPr="006F7C39">
        <w:t xml:space="preserve">sniegtais pamatojums </w:t>
      </w:r>
      <w:r w:rsidRPr="006F7C39">
        <w:rPr>
          <w:rFonts w:asciiTheme="majorBidi" w:hAnsiTheme="majorBidi" w:cstheme="majorBidi"/>
        </w:rPr>
        <w:t>ieņēmumu samazinājuma saistībai ar saimnieciskās darbības ierobežojumiem</w:t>
      </w:r>
      <w:r w:rsidRPr="006F7C39">
        <w:t xml:space="preserve"> un faktiskie apstākļi to kopsakarā, proti, vai un kādā mērā normatīvajos aktos noteiktie ierobežojumi faktiski ietekmēja p</w:t>
      </w:r>
      <w:r w:rsidR="00E078EE" w:rsidRPr="006F7C39">
        <w:t>ieteicēja</w:t>
      </w:r>
      <w:r w:rsidRPr="006F7C39">
        <w:t xml:space="preserve"> iespēju gūt ieņēmumus, vai šis ieņēmumu samazinājums ir cēloniski saistāms ar šiem ierobežojumiem un vai personas saimnieciskā darbība bija pakļauta šiem apstākļiem tādā intensitātē, kas rada tiesisku pamatu atbalsta piešķiršanai.</w:t>
      </w:r>
      <w:r w:rsidR="005C2E3D" w:rsidRPr="006F7C39">
        <w:t xml:space="preserve"> Tas ir katra individuālā gadījuma faktisko apstākļu un pierādījumu vērtēšanas jautājums.</w:t>
      </w:r>
    </w:p>
    <w:p w14:paraId="0E327318" w14:textId="77777777" w:rsidR="005E3D6C" w:rsidRPr="006F7C39" w:rsidRDefault="005E3D6C" w:rsidP="000A7A28">
      <w:pPr>
        <w:spacing w:line="276" w:lineRule="auto"/>
        <w:ind w:firstLine="709"/>
      </w:pPr>
    </w:p>
    <w:p w14:paraId="1172BC8C" w14:textId="35EA12BD" w:rsidR="000F74F7" w:rsidRPr="006F7C39" w:rsidRDefault="00A91059" w:rsidP="000A7A28">
      <w:pPr>
        <w:spacing w:line="276" w:lineRule="auto"/>
        <w:ind w:firstLine="720"/>
      </w:pPr>
      <w:r w:rsidRPr="006F7C39">
        <w:t>[1</w:t>
      </w:r>
      <w:r w:rsidR="00DD252A" w:rsidRPr="006F7C39">
        <w:t>2</w:t>
      </w:r>
      <w:r w:rsidRPr="006F7C39">
        <w:t>] </w:t>
      </w:r>
      <w:r w:rsidR="005E3D6C" w:rsidRPr="006F7C39">
        <w:t>Senāts konstatē, ka konkrētajā gadījumā tiesa</w:t>
      </w:r>
      <w:r w:rsidR="000F74F7" w:rsidRPr="006F7C39">
        <w:t xml:space="preserve"> cēloņsakarību starp epidemioloģiskās drošības dēļ noteiktajiem ierobežojumiem un pieteicēja sniegto pakalpojumu apjomu, un līdz ar to ar</w:t>
      </w:r>
      <w:r w:rsidR="00A052FF" w:rsidRPr="006F7C39">
        <w:t>ī</w:t>
      </w:r>
      <w:r w:rsidR="000F74F7" w:rsidRPr="006F7C39">
        <w:t xml:space="preserve"> ieņēmumu kritumu </w:t>
      </w:r>
      <w:r w:rsidR="005E3D6C" w:rsidRPr="006F7C39">
        <w:t>konstatēj</w:t>
      </w:r>
      <w:r w:rsidR="00A052FF" w:rsidRPr="006F7C39">
        <w:t>a</w:t>
      </w:r>
      <w:r w:rsidR="005E3D6C" w:rsidRPr="006F7C39">
        <w:t xml:space="preserve">, pamatojoties uz </w:t>
      </w:r>
      <w:r w:rsidR="00AB5F2A" w:rsidRPr="006F7C39">
        <w:t>turpmāk minēt</w:t>
      </w:r>
      <w:r w:rsidR="002D0951" w:rsidRPr="006F7C39">
        <w:t>ajiem apstākļiem.</w:t>
      </w:r>
    </w:p>
    <w:p w14:paraId="77D8002A" w14:textId="364D8AA3" w:rsidR="002D0951" w:rsidRPr="006F7C39" w:rsidRDefault="00C8366E" w:rsidP="000A7A28">
      <w:pPr>
        <w:spacing w:line="276" w:lineRule="auto"/>
        <w:ind w:firstLine="720"/>
      </w:pPr>
      <w:r w:rsidRPr="006F7C39">
        <w:t>T</w:t>
      </w:r>
      <w:r w:rsidR="00B2203A" w:rsidRPr="006F7C39">
        <w:t xml:space="preserve">iesa konstatēja, ka </w:t>
      </w:r>
      <w:r w:rsidR="002D0951" w:rsidRPr="006F7C39">
        <w:t xml:space="preserve">pieteicējs savu saimnieciskās darbības veidu „citur neklasificēti individuālie pakalpojumi” 2020.gada 1.janvārī reģistrēja, lai sniegtu tulka pakalpojumus </w:t>
      </w:r>
      <w:r w:rsidR="00A052FF" w:rsidRPr="006F7C39">
        <w:t xml:space="preserve">tieši </w:t>
      </w:r>
      <w:r w:rsidR="002D0951" w:rsidRPr="006F7C39">
        <w:t xml:space="preserve">izmeklēšanas iestāžu procesos iesaistītajām personām. Šie pakalpojumi tika sniegti, pamatojoties uz ar Valsts policiju 2020.gada 19.februārī noslēgto līgumu </w:t>
      </w:r>
      <w:r w:rsidR="00A052FF" w:rsidRPr="006F7C39">
        <w:t>„</w:t>
      </w:r>
      <w:r w:rsidR="002D0951" w:rsidRPr="006F7C39">
        <w:t>Par mutiskās tulkošanas nodrošināšanu (uz diviem gadiem)”</w:t>
      </w:r>
      <w:r w:rsidR="00A052FF" w:rsidRPr="006F7C39">
        <w:t>.</w:t>
      </w:r>
    </w:p>
    <w:p w14:paraId="67A609C3" w14:textId="3BC83848" w:rsidR="000F74F7" w:rsidRPr="006F7C39" w:rsidRDefault="00CE468B" w:rsidP="000A7A28">
      <w:pPr>
        <w:spacing w:line="276" w:lineRule="auto"/>
        <w:ind w:firstLine="720"/>
      </w:pPr>
      <w:r w:rsidRPr="006F7C39">
        <w:t>R</w:t>
      </w:r>
      <w:r w:rsidR="000F74F7" w:rsidRPr="006F7C39">
        <w:t>īkojuma</w:t>
      </w:r>
      <w:r w:rsidR="00C8366E" w:rsidRPr="006F7C39">
        <w:t xml:space="preserve"> Nr. 655</w:t>
      </w:r>
      <w:r w:rsidR="000F74F7" w:rsidRPr="006F7C39">
        <w:t xml:space="preserve"> 5.20.apakšpunkts noteica, ka pirmstiesas kriminālprocesā izmeklēšanas darbības, ja iespējams, veic attālināti; epidemioloģiskās drošības mērķu sasniegšanai izņēmuma gadījumā izmeklēšanas darbības var atlikt līdz ārkārtējās situācijas atcelšanai, ja izmeklēšanas darbību atlikšana nerada procesā iesaistīto personu nozīmīgu tiesību aizskārumu. Savukārt ar 5.29.apakšpunktu tika nolemts pārtraukt ieslodzīto konvojēšanu uz tiesām, izņemot lietās, kas satur valsts noslēpuma objektu; pārtraukt ieslodzīto konvojēšanu pēc procesa virzītāja pieprasījuma, izņemot gadījumus, ja ir saņemts iestādes vadītāja vai viņa pilnvarotas amatpersonas saskaņojums</w:t>
      </w:r>
      <w:r w:rsidR="00E81295" w:rsidRPr="006F7C39">
        <w:t>.</w:t>
      </w:r>
    </w:p>
    <w:p w14:paraId="0F09AD6C" w14:textId="38B71B2D" w:rsidR="00CF4FC5" w:rsidRPr="006F7C39" w:rsidRDefault="00B2203A" w:rsidP="000A7A28">
      <w:pPr>
        <w:spacing w:line="276" w:lineRule="auto"/>
        <w:ind w:firstLine="720"/>
      </w:pPr>
      <w:r w:rsidRPr="006F7C39">
        <w:t xml:space="preserve">Neskatoties uz to, ka rīkojums </w:t>
      </w:r>
      <w:r w:rsidR="001C180E" w:rsidRPr="006F7C39">
        <w:t xml:space="preserve">Nr. 655 </w:t>
      </w:r>
      <w:r w:rsidRPr="006F7C39">
        <w:t>zaudēja spēku 2021.gada 7.aprīlī, ierobežojumi tika atstāti spēkā, iekļaujot tos Covid-19 infekcijas izplatības pārvaldības likuma 10.</w:t>
      </w:r>
      <w:r w:rsidRPr="006F7C39">
        <w:rPr>
          <w:vertAlign w:val="superscript"/>
        </w:rPr>
        <w:t>2</w:t>
      </w:r>
      <w:r w:rsidRPr="006F7C39">
        <w:t xml:space="preserve">pantā, nosakot, ka epidemioloģiskās drošības mērķu sasniegšanai ieslodzījuma vietā esošas personas dalību pirmstiesas kriminālprocesa izmeklēšanas darbībās nodrošina, primāri izmantojot videokonferenci, izņemot lietas, kas satur valsts noslēpuma objektu. Savukārt ieslodzīto konvojēšanu pēc procesa virzītāja pieprasījuma nodrošina tikai gadījumos, kad ir saņemts iestādes vadītāja vai viņa pilnvarotas amatpersonas saskaņojums. </w:t>
      </w:r>
      <w:r w:rsidR="00AB5F2A" w:rsidRPr="006F7C39">
        <w:t>Tiesa konstatēja, ka m</w:t>
      </w:r>
      <w:r w:rsidRPr="006F7C39">
        <w:t>inētie grozījumi Covid-19 infekcijas izplatības pārvaldības likumā stājās spēkā 2021.gada 1.aprīlī, un vēlāk vērojams pieteicēja ienākumu samazinājums, kas maijā bija 175,</w:t>
      </w:r>
      <w:r w:rsidR="00CC5CD5" w:rsidRPr="006F7C39">
        <w:t>50 </w:t>
      </w:r>
      <w:r w:rsidRPr="006F7C39">
        <w:rPr>
          <w:i/>
          <w:iCs/>
        </w:rPr>
        <w:t>euro</w:t>
      </w:r>
      <w:r w:rsidRPr="006F7C39">
        <w:t xml:space="preserve"> un jūnijā tikai 82,50</w:t>
      </w:r>
      <w:r w:rsidR="00AB5F2A" w:rsidRPr="006F7C39">
        <w:t> </w:t>
      </w:r>
      <w:r w:rsidRPr="006F7C39">
        <w:rPr>
          <w:i/>
          <w:iCs/>
        </w:rPr>
        <w:t>euro</w:t>
      </w:r>
      <w:r w:rsidRPr="006F7C39">
        <w:t>.</w:t>
      </w:r>
    </w:p>
    <w:p w14:paraId="4EB421A8" w14:textId="3BB8645D" w:rsidR="000F74F7" w:rsidRPr="006F7C39" w:rsidRDefault="00E81295" w:rsidP="000A7A28">
      <w:pPr>
        <w:spacing w:line="276" w:lineRule="auto"/>
        <w:ind w:firstLine="709"/>
      </w:pPr>
      <w:r w:rsidRPr="006F7C39">
        <w:t xml:space="preserve">Ievērojot minēto, </w:t>
      </w:r>
      <w:r w:rsidR="00757625" w:rsidRPr="006F7C39">
        <w:t>Senāts atzīst, ka tiesa ir pienācīgi pamatojusi, ka periodā, par kuru pieteicējs prasa atbalstu, viņa saimnieciskajai darbībai</w:t>
      </w:r>
      <w:r w:rsidRPr="006F7C39">
        <w:t xml:space="preserve"> (tulkošanas pakalpojumu sniegšana izmeklēšanas iestādei)</w:t>
      </w:r>
      <w:r w:rsidR="00757625" w:rsidRPr="006F7C39">
        <w:t xml:space="preserve"> bija noteikti ierobežojumi</w:t>
      </w:r>
      <w:r w:rsidR="00A052FF" w:rsidRPr="006F7C39">
        <w:t xml:space="preserve">, proti, ka tieši epidemioloģiskās piesardzības pasākumu </w:t>
      </w:r>
      <w:r w:rsidRPr="006F7C39">
        <w:t xml:space="preserve">izmeklēšanas iestādēs </w:t>
      </w:r>
      <w:r w:rsidR="00A052FF" w:rsidRPr="006F7C39">
        <w:t>dēļ strīdus periodā ievērojami samazinājās pieprasījums pēc pieteicēja sniegtajiem tulkošanas pakalpojumiem</w:t>
      </w:r>
      <w:r w:rsidR="00C8366E" w:rsidRPr="006F7C39">
        <w:t>. Senāts piekrīt tiesas vērtējumam, ka izskatāmajā gadījumā pa</w:t>
      </w:r>
      <w:r w:rsidR="00AB5F2A" w:rsidRPr="006F7C39">
        <w:t>r svarīgu atz</w:t>
      </w:r>
      <w:r w:rsidR="00C8366E" w:rsidRPr="006F7C39">
        <w:t xml:space="preserve">īstams </w:t>
      </w:r>
      <w:r w:rsidR="00AB5F2A" w:rsidRPr="006F7C39">
        <w:t>apstākli</w:t>
      </w:r>
      <w:r w:rsidR="00C8366E" w:rsidRPr="006F7C39">
        <w:t>s</w:t>
      </w:r>
      <w:r w:rsidR="00AB5F2A" w:rsidRPr="006F7C39">
        <w:t xml:space="preserve">, ka pieteicējs tulkošanas pakalpojumus </w:t>
      </w:r>
      <w:r w:rsidR="00C8366E" w:rsidRPr="006F7C39">
        <w:t xml:space="preserve">saskaņā ar līgumu </w:t>
      </w:r>
      <w:r w:rsidR="00AB5F2A" w:rsidRPr="006F7C39">
        <w:t>sniedz</w:t>
      </w:r>
      <w:r w:rsidR="00C8366E" w:rsidRPr="006F7C39">
        <w:t>a</w:t>
      </w:r>
      <w:r w:rsidR="00AB5F2A" w:rsidRPr="006F7C39">
        <w:t xml:space="preserve"> </w:t>
      </w:r>
      <w:r w:rsidRPr="006F7C39">
        <w:t>policijai</w:t>
      </w:r>
      <w:r w:rsidR="00A052FF" w:rsidRPr="006F7C39">
        <w:t xml:space="preserve"> </w:t>
      </w:r>
      <w:r w:rsidR="00C8366E" w:rsidRPr="006F7C39">
        <w:t xml:space="preserve">un ka </w:t>
      </w:r>
      <w:r w:rsidRPr="006F7C39">
        <w:t xml:space="preserve">tādējādi </w:t>
      </w:r>
      <w:r w:rsidR="00A052FF" w:rsidRPr="006F7C39">
        <w:t xml:space="preserve">ierobežojumi tika noteikti ar normatīvo aktu, kas tieši skāra pieteicēju. </w:t>
      </w:r>
      <w:r w:rsidR="00C63B1E" w:rsidRPr="006F7C39">
        <w:t>Proti, saskaņā ar rīkojumu Nr.</w:t>
      </w:r>
      <w:r w:rsidR="00340E8D" w:rsidRPr="006F7C39">
        <w:t> </w:t>
      </w:r>
      <w:r w:rsidR="00C63B1E" w:rsidRPr="006F7C39">
        <w:t xml:space="preserve">655 (vēlāk – Covid-19 infekcijas izplatības pārvaldības likumu) pieteicējam pastāvēja ierobežojumi sniegt tulkošanas pakalpojumus izmeklēšanas iestādei klātienē. Nav šaubu, ka šādi ierobežojumi, tostarp ieslodzīto konvojēšanas pārtraukšana, varēja objektīvi ietekmēt nepieciešamību pēc pieteicēja sniegtajiem pakalpojumiem. </w:t>
      </w:r>
      <w:r w:rsidR="006049C9" w:rsidRPr="006F7C39">
        <w:t>Senāts piekrīt tiesai, ka m</w:t>
      </w:r>
      <w:r w:rsidR="00C63B1E" w:rsidRPr="006F7C39">
        <w:t>inētie ierobežojumi bija tieši saistīti ar Covid-19 izplatības ierobežošanu</w:t>
      </w:r>
      <w:r w:rsidR="006049C9" w:rsidRPr="006F7C39">
        <w:t>.</w:t>
      </w:r>
    </w:p>
    <w:p w14:paraId="516A2927" w14:textId="77777777" w:rsidR="00A75421" w:rsidRPr="006F7C39" w:rsidRDefault="00A75421" w:rsidP="000A7A28">
      <w:pPr>
        <w:spacing w:line="276" w:lineRule="auto"/>
        <w:rPr>
          <w:rFonts w:asciiTheme="majorBidi" w:hAnsiTheme="majorBidi" w:cstheme="majorBidi"/>
        </w:rPr>
      </w:pPr>
    </w:p>
    <w:p w14:paraId="504A5520" w14:textId="289AE1F5" w:rsidR="00C229BD" w:rsidRPr="006F7C39" w:rsidRDefault="001756D7" w:rsidP="000A7A28">
      <w:pPr>
        <w:spacing w:line="276" w:lineRule="auto"/>
        <w:ind w:firstLine="709"/>
        <w:rPr>
          <w:rFonts w:asciiTheme="majorBidi" w:hAnsiTheme="majorBidi" w:cstheme="majorBidi"/>
        </w:rPr>
      </w:pPr>
      <w:r w:rsidRPr="006F7C39">
        <w:rPr>
          <w:rFonts w:asciiTheme="majorBidi" w:hAnsiTheme="majorBidi" w:cstheme="majorBidi"/>
        </w:rPr>
        <w:t>[1</w:t>
      </w:r>
      <w:r w:rsidR="00DD252A" w:rsidRPr="006F7C39">
        <w:rPr>
          <w:rFonts w:asciiTheme="majorBidi" w:hAnsiTheme="majorBidi" w:cstheme="majorBidi"/>
        </w:rPr>
        <w:t>3</w:t>
      </w:r>
      <w:r w:rsidRPr="006F7C39">
        <w:rPr>
          <w:rFonts w:asciiTheme="majorBidi" w:hAnsiTheme="majorBidi" w:cstheme="majorBidi"/>
        </w:rPr>
        <w:t>] </w:t>
      </w:r>
      <w:r w:rsidR="006049C9" w:rsidRPr="006F7C39">
        <w:rPr>
          <w:rFonts w:asciiTheme="majorBidi" w:hAnsiTheme="majorBidi" w:cstheme="majorBidi"/>
        </w:rPr>
        <w:t>Dienests kasācijas sūdzībā iebilst tiesas sniegtajam vērtējumam par cēloņsakarības konstatēšanu</w:t>
      </w:r>
      <w:r w:rsidR="00C229BD" w:rsidRPr="006F7C39">
        <w:rPr>
          <w:rFonts w:asciiTheme="majorBidi" w:hAnsiTheme="majorBidi" w:cstheme="majorBidi"/>
        </w:rPr>
        <w:t xml:space="preserve">, argumentējot, ka pieteicēja ieņēmumu samazinājums nebija tieši saistīts ar Covid-19 ierobežojumiem. </w:t>
      </w:r>
      <w:r w:rsidR="00802316" w:rsidRPr="006F7C39">
        <w:rPr>
          <w:rFonts w:asciiTheme="majorBidi" w:hAnsiTheme="majorBidi" w:cstheme="majorBidi"/>
        </w:rPr>
        <w:t xml:space="preserve">Dienests atsaucas uz normatīvo regulējumu, kas paredzēja iespēju izmeklēšanas darbības veikt attālināti, izmantojot videokonferences režīmu, un uzsver, ka pieteicējam tādējādi bija iespēja turpināt saimniecisko </w:t>
      </w:r>
      <w:r w:rsidR="00802316" w:rsidRPr="006F7C39">
        <w:rPr>
          <w:rFonts w:asciiTheme="majorBidi" w:hAnsiTheme="majorBidi" w:cstheme="majorBidi"/>
        </w:rPr>
        <w:br/>
        <w:t>darbību.</w:t>
      </w:r>
      <w:r w:rsidR="007C0C8F" w:rsidRPr="006F7C39">
        <w:rPr>
          <w:rFonts w:asciiTheme="majorBidi" w:hAnsiTheme="majorBidi" w:cstheme="majorBidi"/>
        </w:rPr>
        <w:t xml:space="preserve"> Kasācijas sūdzībā argumentēts, ka materiāltehniskā nodrošinājuma trūkums videokonferences režīma nodrošināšanai pats par sevi nav pamats atbalsta piešķiršanai.</w:t>
      </w:r>
      <w:r w:rsidR="00802316" w:rsidRPr="006F7C39">
        <w:rPr>
          <w:rFonts w:asciiTheme="majorBidi" w:hAnsiTheme="majorBidi" w:cstheme="majorBidi"/>
        </w:rPr>
        <w:t xml:space="preserve"> </w:t>
      </w:r>
      <w:r w:rsidR="00957EC8" w:rsidRPr="006F7C39">
        <w:rPr>
          <w:rFonts w:asciiTheme="majorBidi" w:hAnsiTheme="majorBidi" w:cstheme="majorBidi"/>
        </w:rPr>
        <w:t xml:space="preserve">Dienesta ieskatā pieprasījums pēc tulka pakalpojumiem saglabājās arī Covid-19 ierobežojumu laikā, ko apliecina pieteicēja sniegtie paskaidrojumi, ka tulka pakalpojumus faktiski sniedza citi, tostarp vietējie tulki. </w:t>
      </w:r>
      <w:r w:rsidR="00802316" w:rsidRPr="006F7C39">
        <w:rPr>
          <w:rFonts w:asciiTheme="majorBidi" w:hAnsiTheme="majorBidi" w:cstheme="majorBidi"/>
        </w:rPr>
        <w:t>Savukārt tas, ka pieteicējam netika piedāvāta attālināta tulkošana, ir saistāms ar pakalpojuma saņēmēja izvēli, nevis ar normatīvajos aktos noteiktiem ierobežojumiem.</w:t>
      </w:r>
      <w:r w:rsidR="00C229BD" w:rsidRPr="006F7C39">
        <w:rPr>
          <w:rFonts w:asciiTheme="majorBidi" w:hAnsiTheme="majorBidi" w:cstheme="majorBidi"/>
        </w:rPr>
        <w:t xml:space="preserve"> </w:t>
      </w:r>
      <w:r w:rsidR="007C0C8F" w:rsidRPr="006F7C39">
        <w:rPr>
          <w:rFonts w:asciiTheme="majorBidi" w:hAnsiTheme="majorBidi" w:cstheme="majorBidi"/>
        </w:rPr>
        <w:t xml:space="preserve">Iestāde arī iebilst ar policiju noslēgtā līguma nozīmei cēloņsakarības konstatēšanā. </w:t>
      </w:r>
      <w:r w:rsidR="00802316" w:rsidRPr="006F7C39">
        <w:rPr>
          <w:rFonts w:asciiTheme="majorBidi" w:hAnsiTheme="majorBidi" w:cstheme="majorBidi"/>
        </w:rPr>
        <w:t>Dienests uzskata, ka tiesa savus secinājumus balstījusi uz pieņēmumiem, nevis pierādījumiem, tādējādi pārkāpjot Administratīvā procesa likuma 154.pantu.</w:t>
      </w:r>
    </w:p>
    <w:p w14:paraId="3BCE2A4B" w14:textId="6683CFA2" w:rsidR="007C0C8F" w:rsidRPr="006F7C39" w:rsidRDefault="00957EC8" w:rsidP="000A7A28">
      <w:pPr>
        <w:spacing w:line="276" w:lineRule="auto"/>
        <w:ind w:firstLine="709"/>
        <w:rPr>
          <w:rFonts w:asciiTheme="majorBidi" w:hAnsiTheme="majorBidi" w:cstheme="majorBidi"/>
        </w:rPr>
      </w:pPr>
      <w:r w:rsidRPr="006F7C39">
        <w:rPr>
          <w:rFonts w:asciiTheme="majorBidi" w:hAnsiTheme="majorBidi" w:cstheme="majorBidi"/>
        </w:rPr>
        <w:t>T</w:t>
      </w:r>
      <w:r w:rsidR="007C0C8F" w:rsidRPr="006F7C39">
        <w:rPr>
          <w:rFonts w:asciiTheme="majorBidi" w:hAnsiTheme="majorBidi" w:cstheme="majorBidi"/>
        </w:rPr>
        <w:t>iesa spriedumā ir izvērtējusi iebildumus par to, kāda nozīme ir tam, ka likumdevējs ieslodzījuma vietā esošas personas dalībai pirmstiesas kriminālprocesa izmeklēšanas darbībās Covid-19 laikā bija noteicis primāri izmantot videokonferenci</w:t>
      </w:r>
      <w:r w:rsidRPr="006F7C39">
        <w:rPr>
          <w:rFonts w:asciiTheme="majorBidi" w:hAnsiTheme="majorBidi" w:cstheme="majorBidi"/>
        </w:rPr>
        <w:t>, un pamatojusi, kāpēc tieši konkrētā gadījuma apstākļos tas faktiski nav bijis iespējams. Tiesa ir arī vērtējusi pieteicēja paskaidrojumos norādīto par to, ka materiāltehnisko līdzekļu trūkuma dēļ procesa virzītāji arvien biežāk paši devās izbraukumos pie ieslodzītajiem uz cietumiem citās pilsētās, kur tulka pakalpojumus viņiem sniedza vietējie tulki (</w:t>
      </w:r>
      <w:r w:rsidRPr="006F7C39">
        <w:rPr>
          <w:rFonts w:asciiTheme="majorBidi" w:hAnsiTheme="majorBidi" w:cstheme="majorBidi"/>
          <w:i/>
          <w:iCs/>
        </w:rPr>
        <w:t>sprieduma 9.punkts</w:t>
      </w:r>
      <w:r w:rsidRPr="006F7C39">
        <w:rPr>
          <w:rFonts w:asciiTheme="majorBidi" w:hAnsiTheme="majorBidi" w:cstheme="majorBidi"/>
        </w:rPr>
        <w:t>). Senāts atzīst, ka tiesas sniegtais vērtējums, ka konkrētie apstākļi ir no pieteicēja gribas neatkarīgi, ir loģisks un nav patvaļīgs.</w:t>
      </w:r>
    </w:p>
    <w:p w14:paraId="0814B658" w14:textId="757CD393" w:rsidR="00142123" w:rsidRPr="006F7C39" w:rsidRDefault="00957EC8" w:rsidP="000A7A28">
      <w:pPr>
        <w:spacing w:line="276" w:lineRule="auto"/>
        <w:ind w:firstLine="709"/>
        <w:rPr>
          <w:rFonts w:asciiTheme="majorBidi" w:hAnsiTheme="majorBidi" w:cstheme="majorBidi"/>
        </w:rPr>
      </w:pPr>
      <w:r w:rsidRPr="006F7C39">
        <w:rPr>
          <w:rFonts w:asciiTheme="majorBidi" w:hAnsiTheme="majorBidi" w:cstheme="majorBidi"/>
        </w:rPr>
        <w:t xml:space="preserve">Senāts </w:t>
      </w:r>
      <w:r w:rsidR="00142123" w:rsidRPr="006F7C39">
        <w:rPr>
          <w:rFonts w:asciiTheme="majorBidi" w:hAnsiTheme="majorBidi" w:cstheme="majorBidi"/>
        </w:rPr>
        <w:t xml:space="preserve">atzīst, ka </w:t>
      </w:r>
      <w:r w:rsidR="007C0C8F" w:rsidRPr="006F7C39">
        <w:rPr>
          <w:rFonts w:asciiTheme="majorBidi" w:hAnsiTheme="majorBidi" w:cstheme="majorBidi"/>
        </w:rPr>
        <w:t>minētie</w:t>
      </w:r>
      <w:r w:rsidRPr="006F7C39">
        <w:rPr>
          <w:rFonts w:asciiTheme="majorBidi" w:hAnsiTheme="majorBidi" w:cstheme="majorBidi"/>
        </w:rPr>
        <w:t xml:space="preserve"> dienesta</w:t>
      </w:r>
      <w:r w:rsidR="007C0C8F" w:rsidRPr="006F7C39">
        <w:rPr>
          <w:rFonts w:asciiTheme="majorBidi" w:hAnsiTheme="majorBidi" w:cstheme="majorBidi"/>
        </w:rPr>
        <w:t xml:space="preserve"> iebildumi</w:t>
      </w:r>
      <w:r w:rsidRPr="006F7C39">
        <w:rPr>
          <w:rFonts w:asciiTheme="majorBidi" w:hAnsiTheme="majorBidi" w:cstheme="majorBidi"/>
        </w:rPr>
        <w:t xml:space="preserve"> (tostarp, piemēram, par </w:t>
      </w:r>
      <w:r w:rsidR="00C51314" w:rsidRPr="006F7C39">
        <w:rPr>
          <w:rFonts w:asciiTheme="majorBidi" w:hAnsiTheme="majorBidi" w:cstheme="majorBidi"/>
        </w:rPr>
        <w:t xml:space="preserve">nozīmi, kāda ir </w:t>
      </w:r>
      <w:r w:rsidRPr="006F7C39">
        <w:rPr>
          <w:rFonts w:asciiTheme="majorBidi" w:hAnsiTheme="majorBidi" w:cstheme="majorBidi"/>
        </w:rPr>
        <w:t>ar policiju noslēgt</w:t>
      </w:r>
      <w:r w:rsidR="00C51314" w:rsidRPr="006F7C39">
        <w:rPr>
          <w:rFonts w:asciiTheme="majorBidi" w:hAnsiTheme="majorBidi" w:cstheme="majorBidi"/>
        </w:rPr>
        <w:t>ajam</w:t>
      </w:r>
      <w:r w:rsidRPr="006F7C39">
        <w:rPr>
          <w:rFonts w:asciiTheme="majorBidi" w:hAnsiTheme="majorBidi" w:cstheme="majorBidi"/>
        </w:rPr>
        <w:t xml:space="preserve"> rakstveida līgum</w:t>
      </w:r>
      <w:r w:rsidR="00C51314" w:rsidRPr="006F7C39">
        <w:rPr>
          <w:rFonts w:asciiTheme="majorBidi" w:hAnsiTheme="majorBidi" w:cstheme="majorBidi"/>
        </w:rPr>
        <w:t>am</w:t>
      </w:r>
      <w:r w:rsidRPr="006F7C39">
        <w:rPr>
          <w:rFonts w:asciiTheme="majorBidi" w:hAnsiTheme="majorBidi" w:cstheme="majorBidi"/>
        </w:rPr>
        <w:t xml:space="preserve">), </w:t>
      </w:r>
      <w:r w:rsidR="007C0C8F" w:rsidRPr="006F7C39">
        <w:rPr>
          <w:rFonts w:asciiTheme="majorBidi" w:hAnsiTheme="majorBidi" w:cstheme="majorBidi"/>
        </w:rPr>
        <w:t xml:space="preserve">ir vērsti uz lietas faktisko apstākļu un pierādījumu pārvērtēšanu. Proti, </w:t>
      </w:r>
      <w:r w:rsidR="00142123" w:rsidRPr="006F7C39">
        <w:rPr>
          <w:rFonts w:asciiTheme="majorBidi" w:hAnsiTheme="majorBidi" w:cstheme="majorBidi"/>
        </w:rPr>
        <w:t xml:space="preserve">dienests pamatā ir neapmierināts ar to, kā tiesa vērtējusi lietas faktiskos apstākļus </w:t>
      </w:r>
      <w:r w:rsidR="007C0C8F" w:rsidRPr="006F7C39">
        <w:rPr>
          <w:rFonts w:asciiTheme="majorBidi" w:hAnsiTheme="majorBidi" w:cstheme="majorBidi"/>
        </w:rPr>
        <w:t xml:space="preserve">un pierādījumus </w:t>
      </w:r>
      <w:r w:rsidR="00142123" w:rsidRPr="006F7C39">
        <w:rPr>
          <w:rFonts w:asciiTheme="majorBidi" w:hAnsiTheme="majorBidi" w:cstheme="majorBidi"/>
        </w:rPr>
        <w:t>un kādus secinājumus no tiem izdarījusi, nevis iebilst par procesuālo tiesību normu pārkāpumiem. Tomēr pārvērtēt lietas faktiskos apstākļus pēc būtības atbilstoši Administratīvā procesa likuma 325.pantam nav kasācijas instances tiesas kompetencē.</w:t>
      </w:r>
    </w:p>
    <w:p w14:paraId="04E207EB" w14:textId="77777777" w:rsidR="00802316" w:rsidRPr="006F7C39" w:rsidRDefault="00802316" w:rsidP="000A7A28">
      <w:pPr>
        <w:spacing w:line="276" w:lineRule="auto"/>
        <w:ind w:firstLine="709"/>
        <w:rPr>
          <w:rFonts w:asciiTheme="majorBidi" w:hAnsiTheme="majorBidi" w:cstheme="majorBidi"/>
        </w:rPr>
      </w:pPr>
    </w:p>
    <w:p w14:paraId="08833A05" w14:textId="3629BE53" w:rsidR="00802316" w:rsidRPr="006F7C39" w:rsidRDefault="00802316" w:rsidP="000A7A28">
      <w:pPr>
        <w:spacing w:line="276" w:lineRule="auto"/>
        <w:ind w:firstLine="709"/>
      </w:pPr>
      <w:r w:rsidRPr="006F7C39">
        <w:t>[1</w:t>
      </w:r>
      <w:r w:rsidR="00DD252A" w:rsidRPr="006F7C39">
        <w:t>4</w:t>
      </w:r>
      <w:r w:rsidRPr="006F7C39">
        <w:t>] </w:t>
      </w:r>
      <w:r w:rsidR="00C64710" w:rsidRPr="006F7C39">
        <w:t>Nav pamatots k</w:t>
      </w:r>
      <w:r w:rsidRPr="006F7C39">
        <w:t>asācijas sūdzībā paust</w:t>
      </w:r>
      <w:r w:rsidR="00C64710" w:rsidRPr="006F7C39">
        <w:t>ai</w:t>
      </w:r>
      <w:r w:rsidRPr="006F7C39">
        <w:t xml:space="preserve">s uzskats, ka izskatāmajā lietā tiesa vairs nevar lemt par labvēlīga administratīvā akta izdošanu, jo </w:t>
      </w:r>
      <w:r w:rsidR="00F678B5" w:rsidRPr="006F7C39">
        <w:t xml:space="preserve">ir beidzies tiesību normās </w:t>
      </w:r>
      <w:r w:rsidRPr="006F7C39">
        <w:t xml:space="preserve">noteiktais termiņš </w:t>
      </w:r>
      <w:r w:rsidR="00E77EDC" w:rsidRPr="006F7C39">
        <w:t>dīkstāves atbalsta piešķiršanai</w:t>
      </w:r>
      <w:r w:rsidR="00F678B5" w:rsidRPr="006F7C39">
        <w:t>.</w:t>
      </w:r>
    </w:p>
    <w:p w14:paraId="6ECEBE05" w14:textId="24904708" w:rsidR="00F678B5" w:rsidRPr="006F7C39" w:rsidRDefault="00F678B5" w:rsidP="000A7A28">
      <w:pPr>
        <w:spacing w:line="276" w:lineRule="auto"/>
        <w:ind w:firstLine="709"/>
      </w:pPr>
      <w:r w:rsidRPr="006F7C39">
        <w:t xml:space="preserve">Atbalsta noteikumi </w:t>
      </w:r>
      <w:r w:rsidR="00C3485B" w:rsidRPr="006F7C39">
        <w:t xml:space="preserve">par dīkstāvi </w:t>
      </w:r>
      <w:r w:rsidRPr="006F7C39">
        <w:t xml:space="preserve">izstrādāti </w:t>
      </w:r>
      <w:r w:rsidR="00C3485B" w:rsidRPr="006F7C39">
        <w:t>atbilstoši</w:t>
      </w:r>
      <w:r w:rsidRPr="006F7C39">
        <w:t xml:space="preserve"> Eiropas Komisija 2020.gada 19.marta paziņojuma</w:t>
      </w:r>
      <w:r w:rsidR="00C3485B" w:rsidRPr="006F7C39">
        <w:t>m</w:t>
      </w:r>
      <w:r w:rsidRPr="006F7C39">
        <w:t xml:space="preserve"> „Pagaidu regulējums valsts atbalsta pasākumiem, ar ko atbalsta ekonomiku pašreizējā Covid-19 uzliesmojuma situācijā” (C(2020)1863) (turpmāk – Pagaidu regulējums) (s</w:t>
      </w:r>
      <w:r w:rsidR="00C3485B" w:rsidRPr="006F7C39">
        <w:t>kat</w:t>
      </w:r>
      <w:r w:rsidRPr="006F7C39">
        <w:t xml:space="preserve">. </w:t>
      </w:r>
      <w:r w:rsidRPr="006F7C39">
        <w:rPr>
          <w:i/>
          <w:iCs/>
        </w:rPr>
        <w:t>Senāta 2025.gada 19.decembra sprieduma lietā Nr. SKA-35/2025, ECLI:LV:AT:2025:1219.A420211621.12.S, 6.punkt</w:t>
      </w:r>
      <w:r w:rsidR="00C3485B" w:rsidRPr="006F7C39">
        <w:rPr>
          <w:i/>
          <w:iCs/>
        </w:rPr>
        <w:t>u</w:t>
      </w:r>
      <w:r w:rsidRPr="006F7C39">
        <w:t>).</w:t>
      </w:r>
    </w:p>
    <w:p w14:paraId="357802C3" w14:textId="64676D08" w:rsidR="00F678B5" w:rsidRPr="006F7C39" w:rsidRDefault="00F678B5" w:rsidP="000A7A28">
      <w:pPr>
        <w:spacing w:line="276" w:lineRule="auto"/>
        <w:ind w:firstLine="709"/>
      </w:pPr>
      <w:r w:rsidRPr="006F7C39">
        <w:t>Eiropas Savienības Tiesa, vērtējot Pagaidu regulējumā ietverto termiņu atbalsta piešķiršanai, ir norādījusi, ka atbalsts ir uzskatāms par piešķirtu datumā, kad kompetentā iestāde ir nepamatoti atteikusies to piešķirt privātpersonai, kura bija to pieprasījusi tā piešķiršanai paredzētajā termiņā, bet kas šai privātpersonai tiek izmaksāts, izpildot labvēlīgu administratīvo aktu, kurš izdots, jo tiesa to ir uzdevusi nolēmumā, ar ko pēc šā termiņa beigām konstatēts šā atteikuma prettiesiskums (</w:t>
      </w:r>
      <w:r w:rsidRPr="006F7C39">
        <w:rPr>
          <w:i/>
          <w:iCs/>
        </w:rPr>
        <w:t>Eiropas Savienības Tiesas 2025.gada 3.jūlija sprieduma lietā „SIA „TOODE””, C</w:t>
      </w:r>
      <w:r w:rsidRPr="006F7C39">
        <w:rPr>
          <w:i/>
          <w:iCs/>
        </w:rPr>
        <w:noBreakHyphen/>
        <w:t>653/23, ECLI:EU:C:2025:517, 37.punkts</w:t>
      </w:r>
      <w:r w:rsidRPr="006F7C39">
        <w:t>).</w:t>
      </w:r>
    </w:p>
    <w:p w14:paraId="0E956E08" w14:textId="2DD4F175" w:rsidR="00142123" w:rsidRDefault="00F678B5" w:rsidP="000A7A28">
      <w:pPr>
        <w:spacing w:line="276" w:lineRule="auto"/>
        <w:ind w:firstLine="709"/>
      </w:pPr>
      <w:r w:rsidRPr="006F7C39">
        <w:t xml:space="preserve">Ievērojot minēto, pieteikuma priekšmeta grozīšana uz iestādes izdotā administratīvā akta prettiesiskuma atzīšanu neatbilstu Eiropas Savienības tiesībām, jo liedz tiesas nolēmuma efektivitāti, proti, liedz pieteicējam saņemt atbalstu, ja izrādītos, ka atbalsts tai nav piešķirts prettiesiski. Tātad tiesa pamatoti skatījusi lietu par labvēlīga administratīvā akta izdošanas pienākuma noteikšanu. Dienestam nav šķēršļu izpildīt šādu spriedumu un izmaksāt pieteicējam prasīto atbalstu </w:t>
      </w:r>
      <w:r w:rsidR="00142123" w:rsidRPr="006F7C39">
        <w:t>(</w:t>
      </w:r>
      <w:r w:rsidRPr="006F7C39">
        <w:t xml:space="preserve">skat. </w:t>
      </w:r>
      <w:r w:rsidR="00142123" w:rsidRPr="006F7C39">
        <w:rPr>
          <w:i/>
          <w:iCs/>
        </w:rPr>
        <w:t xml:space="preserve">Senāta </w:t>
      </w:r>
      <w:r w:rsidR="00E77EDC" w:rsidRPr="006F7C39">
        <w:rPr>
          <w:i/>
          <w:iCs/>
        </w:rPr>
        <w:t xml:space="preserve">2025.gada </w:t>
      </w:r>
      <w:r w:rsidR="00C3485B" w:rsidRPr="006F7C39">
        <w:rPr>
          <w:i/>
          <w:iCs/>
        </w:rPr>
        <w:t xml:space="preserve">5.decembra sprieduma lietā Nr. SKA-63/2025, ECLI:LV:AT:2025:1205.A420216421.11.S, 9.punktu; 2025.gada </w:t>
      </w:r>
      <w:r w:rsidR="00E77EDC" w:rsidRPr="006F7C39">
        <w:rPr>
          <w:i/>
          <w:iCs/>
        </w:rPr>
        <w:t>27.novembra sprieduma lietā Nr.</w:t>
      </w:r>
      <w:r w:rsidR="00C3485B" w:rsidRPr="006F7C39">
        <w:rPr>
          <w:i/>
          <w:iCs/>
        </w:rPr>
        <w:t> </w:t>
      </w:r>
      <w:r w:rsidR="00E77EDC" w:rsidRPr="006F7C39">
        <w:rPr>
          <w:i/>
          <w:iCs/>
        </w:rPr>
        <w:t xml:space="preserve">SKA-117/2025, </w:t>
      </w:r>
      <w:r w:rsidR="006D70A2" w:rsidRPr="006F7C39">
        <w:rPr>
          <w:i/>
          <w:iCs/>
        </w:rPr>
        <w:t>ECLI:LV:AT:2025:1127.A420191022.9.S</w:t>
      </w:r>
      <w:r w:rsidR="00E77EDC" w:rsidRPr="006F7C39">
        <w:rPr>
          <w:i/>
          <w:iCs/>
        </w:rPr>
        <w:t xml:space="preserve">, </w:t>
      </w:r>
      <w:r w:rsidR="006120EC">
        <w:rPr>
          <w:i/>
          <w:iCs/>
        </w:rPr>
        <w:t>9</w:t>
      </w:r>
      <w:r w:rsidR="00E77EDC" w:rsidRPr="006F7C39">
        <w:rPr>
          <w:i/>
          <w:iCs/>
        </w:rPr>
        <w:t>.punkt</w:t>
      </w:r>
      <w:r w:rsidRPr="006F7C39">
        <w:rPr>
          <w:i/>
          <w:iCs/>
        </w:rPr>
        <w:t>u</w:t>
      </w:r>
      <w:r w:rsidR="00E77EDC" w:rsidRPr="006F7C39">
        <w:t>).</w:t>
      </w:r>
    </w:p>
    <w:p w14:paraId="03FF7302" w14:textId="77777777" w:rsidR="0008699D" w:rsidRPr="006F7C39" w:rsidRDefault="0008699D" w:rsidP="000A7A28">
      <w:pPr>
        <w:spacing w:line="276" w:lineRule="auto"/>
        <w:rPr>
          <w:rFonts w:asciiTheme="majorBidi" w:hAnsiTheme="majorBidi" w:cstheme="majorBidi"/>
        </w:rPr>
      </w:pPr>
    </w:p>
    <w:p w14:paraId="7419C408" w14:textId="7406DEC1" w:rsidR="005925A5" w:rsidRPr="006F7C39" w:rsidRDefault="007D5E11" w:rsidP="000A7A28">
      <w:pPr>
        <w:spacing w:line="276" w:lineRule="auto"/>
        <w:ind w:firstLine="720"/>
      </w:pPr>
      <w:r w:rsidRPr="006F7C39">
        <w:t>[</w:t>
      </w:r>
      <w:r w:rsidR="00C7334B" w:rsidRPr="006F7C39">
        <w:t>1</w:t>
      </w:r>
      <w:r w:rsidR="00DD252A" w:rsidRPr="006F7C39">
        <w:t>5</w:t>
      </w:r>
      <w:r w:rsidRPr="006F7C39">
        <w:t>] </w:t>
      </w:r>
      <w:r w:rsidR="005925A5" w:rsidRPr="006F7C39">
        <w:t xml:space="preserve">Pamatojoties uz minēto, Senāts atzīst, ka tiesa ir pareizi interpretējusi </w:t>
      </w:r>
      <w:r w:rsidR="00A052FF" w:rsidRPr="006F7C39">
        <w:t xml:space="preserve">Atbalsta </w:t>
      </w:r>
      <w:r w:rsidR="005925A5" w:rsidRPr="006F7C39">
        <w:t xml:space="preserve">noteikumu </w:t>
      </w:r>
      <w:r w:rsidR="00A052FF" w:rsidRPr="006F7C39">
        <w:t>par dīkstāvi</w:t>
      </w:r>
      <w:r w:rsidR="005925A5" w:rsidRPr="006F7C39">
        <w:t xml:space="preserve"> 3.punktu un konstatējusi visus priekšnoteikumus tā piemērošanai konkrētajā gadījumā. Dienesta argumenti neatspēko spriedumā paustos tiesas secinājumus, tādējādi nav pamata sprieduma atcelšanai.</w:t>
      </w:r>
    </w:p>
    <w:p w14:paraId="32FDEA34" w14:textId="77777777" w:rsidR="005925A5" w:rsidRPr="006F7C39" w:rsidRDefault="005925A5" w:rsidP="000A7A28">
      <w:pPr>
        <w:spacing w:line="276" w:lineRule="auto"/>
        <w:ind w:firstLine="720"/>
      </w:pPr>
    </w:p>
    <w:p w14:paraId="13E90714" w14:textId="77777777" w:rsidR="00FA3ED3" w:rsidRPr="006F7C39" w:rsidRDefault="00FA3ED3" w:rsidP="000A7A28">
      <w:pPr>
        <w:spacing w:line="276" w:lineRule="auto"/>
        <w:jc w:val="center"/>
        <w:rPr>
          <w:rFonts w:asciiTheme="majorBidi" w:hAnsiTheme="majorBidi" w:cstheme="majorBidi"/>
          <w:b/>
          <w:bCs/>
        </w:rPr>
      </w:pPr>
      <w:r w:rsidRPr="006F7C39">
        <w:rPr>
          <w:rFonts w:asciiTheme="majorBidi" w:hAnsiTheme="majorBidi" w:cstheme="majorBidi"/>
          <w:b/>
          <w:bCs/>
        </w:rPr>
        <w:t>Rezolutīvā daļa</w:t>
      </w:r>
    </w:p>
    <w:p w14:paraId="55523602" w14:textId="77777777" w:rsidR="00367A89" w:rsidRPr="006F7C39" w:rsidRDefault="00367A89" w:rsidP="000A7A28">
      <w:pPr>
        <w:spacing w:line="276" w:lineRule="auto"/>
        <w:rPr>
          <w:rFonts w:asciiTheme="majorBidi" w:hAnsiTheme="majorBidi" w:cstheme="majorBidi"/>
          <w:b/>
          <w:bCs/>
        </w:rPr>
      </w:pPr>
    </w:p>
    <w:p w14:paraId="51429280" w14:textId="62E9DB2B" w:rsidR="00410986" w:rsidRPr="006F7C39" w:rsidRDefault="00410986" w:rsidP="000A7A28">
      <w:pPr>
        <w:spacing w:line="276" w:lineRule="auto"/>
        <w:ind w:firstLine="720"/>
        <w:rPr>
          <w:rFonts w:asciiTheme="majorBidi" w:hAnsiTheme="majorBidi" w:cstheme="majorBidi"/>
          <w:shd w:val="clear" w:color="auto" w:fill="FFFFFF"/>
        </w:rPr>
      </w:pPr>
      <w:r w:rsidRPr="006F7C39">
        <w:rPr>
          <w:rFonts w:asciiTheme="majorBidi" w:hAnsiTheme="majorBidi" w:cstheme="majorBidi"/>
        </w:rPr>
        <w:t>Pamatojoties uz Administratīvā procesa likuma 348.panta pirmās daļas 1.punktu un 351.pantu, Senāts</w:t>
      </w:r>
    </w:p>
    <w:p w14:paraId="5CACD833" w14:textId="77777777" w:rsidR="00367A89" w:rsidRPr="006F7C39" w:rsidRDefault="00367A89" w:rsidP="000A7A28">
      <w:pPr>
        <w:spacing w:line="276" w:lineRule="auto"/>
        <w:ind w:firstLine="720"/>
        <w:rPr>
          <w:rFonts w:asciiTheme="majorBidi" w:hAnsiTheme="majorBidi" w:cstheme="majorBidi"/>
          <w:shd w:val="clear" w:color="auto" w:fill="FFFFFF"/>
        </w:rPr>
      </w:pPr>
    </w:p>
    <w:p w14:paraId="2BD757C3" w14:textId="282814FD" w:rsidR="00FA3ED3" w:rsidRPr="006F7C39" w:rsidRDefault="00367A89" w:rsidP="000A7A28">
      <w:pPr>
        <w:spacing w:line="276" w:lineRule="auto"/>
        <w:jc w:val="center"/>
        <w:rPr>
          <w:rStyle w:val="CharStyle3"/>
          <w:rFonts w:asciiTheme="majorBidi" w:hAnsiTheme="majorBidi" w:cstheme="majorBidi"/>
          <w:b/>
        </w:rPr>
      </w:pPr>
      <w:r w:rsidRPr="006F7C39">
        <w:rPr>
          <w:rStyle w:val="CharStyle3"/>
          <w:rFonts w:asciiTheme="majorBidi" w:hAnsiTheme="majorBidi" w:cstheme="majorBidi"/>
          <w:b/>
        </w:rPr>
        <w:t>n</w:t>
      </w:r>
      <w:r w:rsidR="00FA3ED3" w:rsidRPr="006F7C39">
        <w:rPr>
          <w:rStyle w:val="CharStyle3"/>
          <w:rFonts w:asciiTheme="majorBidi" w:hAnsiTheme="majorBidi" w:cstheme="majorBidi"/>
          <w:b/>
        </w:rPr>
        <w:t>osprieda</w:t>
      </w:r>
    </w:p>
    <w:p w14:paraId="04B31736" w14:textId="77777777" w:rsidR="00367A89" w:rsidRPr="006F7C39" w:rsidRDefault="00367A89" w:rsidP="000A7A28">
      <w:pPr>
        <w:spacing w:line="276" w:lineRule="auto"/>
        <w:jc w:val="center"/>
        <w:rPr>
          <w:rStyle w:val="CharStyle3"/>
          <w:rFonts w:asciiTheme="majorBidi" w:hAnsiTheme="majorBidi" w:cstheme="majorBidi"/>
          <w:b/>
        </w:rPr>
      </w:pPr>
    </w:p>
    <w:bookmarkEnd w:id="0"/>
    <w:p w14:paraId="3C555A1B" w14:textId="5B546DC2" w:rsidR="00383D5A" w:rsidRPr="000A7A28" w:rsidRDefault="00410986" w:rsidP="000A7A28">
      <w:pPr>
        <w:pStyle w:val="NoSpacing"/>
        <w:spacing w:line="276" w:lineRule="auto"/>
        <w:ind w:firstLine="720"/>
        <w:rPr>
          <w:rFonts w:asciiTheme="majorBidi" w:hAnsiTheme="majorBidi" w:cstheme="majorBidi"/>
          <w:sz w:val="24"/>
          <w:szCs w:val="24"/>
        </w:rPr>
      </w:pPr>
      <w:r w:rsidRPr="006F7C39">
        <w:rPr>
          <w:rFonts w:asciiTheme="majorBidi" w:hAnsiTheme="majorBidi" w:cstheme="majorBidi"/>
          <w:sz w:val="24"/>
          <w:szCs w:val="24"/>
        </w:rPr>
        <w:t xml:space="preserve">atstāt negrozītu Administratīvās apgabaltiesas 2023.gada </w:t>
      </w:r>
      <w:r w:rsidR="0008699D" w:rsidRPr="006F7C39">
        <w:rPr>
          <w:rFonts w:asciiTheme="majorBidi" w:hAnsiTheme="majorBidi" w:cstheme="majorBidi"/>
          <w:sz w:val="24"/>
          <w:szCs w:val="24"/>
        </w:rPr>
        <w:t>24.marta</w:t>
      </w:r>
      <w:r w:rsidRPr="006F7C39">
        <w:rPr>
          <w:rFonts w:asciiTheme="majorBidi" w:hAnsiTheme="majorBidi" w:cstheme="majorBidi"/>
          <w:sz w:val="24"/>
          <w:szCs w:val="24"/>
        </w:rPr>
        <w:t xml:space="preserve"> spriedumu, bet </w:t>
      </w:r>
      <w:r w:rsidR="0008699D" w:rsidRPr="006F7C39">
        <w:rPr>
          <w:rFonts w:asciiTheme="majorBidi" w:hAnsiTheme="majorBidi" w:cstheme="majorBidi"/>
          <w:sz w:val="24"/>
          <w:szCs w:val="24"/>
        </w:rPr>
        <w:t>Valsts ieņēmumu dienesta</w:t>
      </w:r>
      <w:r w:rsidR="007D5E11" w:rsidRPr="006F7C39">
        <w:rPr>
          <w:rFonts w:asciiTheme="majorBidi" w:hAnsiTheme="majorBidi" w:cstheme="majorBidi"/>
          <w:sz w:val="24"/>
          <w:szCs w:val="24"/>
        </w:rPr>
        <w:t xml:space="preserve"> </w:t>
      </w:r>
      <w:r w:rsidRPr="006F7C39">
        <w:rPr>
          <w:rFonts w:asciiTheme="majorBidi" w:hAnsiTheme="majorBidi" w:cstheme="majorBidi"/>
          <w:sz w:val="24"/>
          <w:szCs w:val="24"/>
        </w:rPr>
        <w:t>kasācijas sūdzības noraidīt.</w:t>
      </w:r>
    </w:p>
    <w:p w14:paraId="7721D67D" w14:textId="77777777" w:rsidR="00383D5A" w:rsidRDefault="00383D5A" w:rsidP="000A7A28">
      <w:pPr>
        <w:pStyle w:val="NoSpacing"/>
        <w:spacing w:line="276" w:lineRule="auto"/>
        <w:rPr>
          <w:rFonts w:asciiTheme="majorBidi" w:hAnsiTheme="majorBidi" w:cstheme="majorBidi"/>
          <w:sz w:val="24"/>
          <w:szCs w:val="24"/>
          <w:shd w:val="clear" w:color="auto" w:fill="FFFFFF"/>
        </w:rPr>
      </w:pPr>
    </w:p>
    <w:p w14:paraId="4B0DD135" w14:textId="4F54610B" w:rsidR="00175FEF" w:rsidRPr="006F7C39" w:rsidRDefault="00175FEF" w:rsidP="000A7A28">
      <w:pPr>
        <w:pStyle w:val="NoSpacing"/>
        <w:spacing w:line="276" w:lineRule="auto"/>
        <w:ind w:firstLine="720"/>
        <w:rPr>
          <w:rFonts w:asciiTheme="majorBidi" w:hAnsiTheme="majorBidi" w:cstheme="majorBidi"/>
          <w:sz w:val="24"/>
          <w:szCs w:val="24"/>
          <w:shd w:val="clear" w:color="auto" w:fill="FFFFFF"/>
        </w:rPr>
      </w:pPr>
      <w:r w:rsidRPr="006F7C39">
        <w:rPr>
          <w:rFonts w:asciiTheme="majorBidi" w:hAnsiTheme="majorBidi" w:cstheme="majorBidi"/>
          <w:sz w:val="24"/>
          <w:szCs w:val="24"/>
          <w:shd w:val="clear" w:color="auto" w:fill="FFFFFF"/>
        </w:rPr>
        <w:t xml:space="preserve">Spriedums nav pārsūdzams. </w:t>
      </w:r>
    </w:p>
    <w:p w14:paraId="27BD0BD1" w14:textId="77777777" w:rsidR="00367A89" w:rsidRPr="006F7C39" w:rsidRDefault="00367A89" w:rsidP="00383D5A">
      <w:pPr>
        <w:pStyle w:val="NoSpacing"/>
        <w:spacing w:line="276" w:lineRule="auto"/>
        <w:rPr>
          <w:rFonts w:asciiTheme="majorBidi" w:hAnsiTheme="majorBidi" w:cstheme="majorBidi"/>
          <w:sz w:val="24"/>
          <w:szCs w:val="24"/>
          <w:shd w:val="clear" w:color="auto" w:fill="FFFFFF"/>
        </w:rPr>
      </w:pPr>
    </w:p>
    <w:p w14:paraId="50131D15" w14:textId="77777777" w:rsidR="00AB240B" w:rsidRPr="006F7C39" w:rsidRDefault="00AB240B" w:rsidP="00075C6F">
      <w:pPr>
        <w:pStyle w:val="NoSpacing"/>
        <w:spacing w:line="276" w:lineRule="auto"/>
        <w:ind w:firstLine="720"/>
        <w:rPr>
          <w:rFonts w:asciiTheme="majorBidi" w:hAnsiTheme="majorBidi" w:cstheme="majorBidi"/>
          <w:sz w:val="24"/>
          <w:szCs w:val="24"/>
          <w:shd w:val="clear" w:color="auto" w:fill="FFFFFF"/>
        </w:rPr>
      </w:pPr>
    </w:p>
    <w:p w14:paraId="7DE8C3A1" w14:textId="77777777" w:rsidR="00367A89" w:rsidRPr="006F7C39" w:rsidRDefault="00367A89" w:rsidP="00075C6F">
      <w:pPr>
        <w:pStyle w:val="NoSpacing"/>
        <w:spacing w:line="276" w:lineRule="auto"/>
        <w:ind w:firstLine="720"/>
        <w:rPr>
          <w:rFonts w:asciiTheme="majorBidi" w:hAnsiTheme="majorBidi" w:cstheme="majorBidi"/>
          <w:sz w:val="24"/>
          <w:szCs w:val="24"/>
          <w:shd w:val="clear" w:color="auto" w:fill="FFFFFF"/>
        </w:rPr>
      </w:pPr>
    </w:p>
    <w:p w14:paraId="42A17333" w14:textId="77777777" w:rsidR="00410986" w:rsidRPr="006F7C39" w:rsidRDefault="00410986" w:rsidP="00057320">
      <w:pPr>
        <w:tabs>
          <w:tab w:val="center" w:pos="1701"/>
          <w:tab w:val="center" w:pos="4536"/>
          <w:tab w:val="center" w:pos="7371"/>
        </w:tabs>
        <w:spacing w:line="276" w:lineRule="auto"/>
        <w:ind w:firstLine="720"/>
        <w:rPr>
          <w:rFonts w:asciiTheme="majorBidi" w:hAnsiTheme="majorBidi" w:cstheme="majorBidi"/>
        </w:rPr>
      </w:pPr>
    </w:p>
    <w:p w14:paraId="4B05032A" w14:textId="77777777" w:rsidR="00410986" w:rsidRPr="006F7C39" w:rsidRDefault="00410986" w:rsidP="00057320">
      <w:pPr>
        <w:tabs>
          <w:tab w:val="center" w:pos="1701"/>
          <w:tab w:val="center" w:pos="4536"/>
          <w:tab w:val="center" w:pos="7371"/>
        </w:tabs>
        <w:spacing w:line="276" w:lineRule="auto"/>
        <w:ind w:firstLine="720"/>
        <w:rPr>
          <w:rFonts w:asciiTheme="majorBidi" w:hAnsiTheme="majorBidi" w:cstheme="majorBidi"/>
        </w:rPr>
      </w:pPr>
    </w:p>
    <w:p w14:paraId="2301F638" w14:textId="77777777" w:rsidR="00410986" w:rsidRPr="006F7C39" w:rsidRDefault="00410986" w:rsidP="00057320">
      <w:pPr>
        <w:tabs>
          <w:tab w:val="center" w:pos="1701"/>
          <w:tab w:val="center" w:pos="4536"/>
          <w:tab w:val="center" w:pos="7371"/>
        </w:tabs>
        <w:spacing w:line="276" w:lineRule="auto"/>
        <w:ind w:firstLine="720"/>
        <w:rPr>
          <w:rFonts w:asciiTheme="majorBidi" w:hAnsiTheme="majorBidi" w:cstheme="majorBidi"/>
        </w:rPr>
      </w:pPr>
    </w:p>
    <w:sectPr w:rsidR="00410986" w:rsidRPr="006F7C39" w:rsidSect="00E66209">
      <w:footerReference w:type="default" r:id="rId9"/>
      <w:pgSz w:w="11906" w:h="16838"/>
      <w:pgMar w:top="1361" w:right="1531" w:bottom="136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B45B5" w14:textId="77777777" w:rsidR="003C5A99" w:rsidRDefault="003C5A99" w:rsidP="003913B7">
      <w:r>
        <w:separator/>
      </w:r>
    </w:p>
  </w:endnote>
  <w:endnote w:type="continuationSeparator" w:id="0">
    <w:p w14:paraId="70819015" w14:textId="77777777" w:rsidR="003C5A99" w:rsidRDefault="003C5A99" w:rsidP="0039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784390841"/>
      <w:docPartObj>
        <w:docPartGallery w:val="Page Numbers (Bottom of Page)"/>
        <w:docPartUnique/>
      </w:docPartObj>
    </w:sdtPr>
    <w:sdtEndPr/>
    <w:sdtContent>
      <w:sdt>
        <w:sdtPr>
          <w:rPr>
            <w:sz w:val="22"/>
            <w:szCs w:val="22"/>
          </w:rPr>
          <w:id w:val="-1669238322"/>
          <w:docPartObj>
            <w:docPartGallery w:val="Page Numbers (Top of Page)"/>
            <w:docPartUnique/>
          </w:docPartObj>
        </w:sdtPr>
        <w:sdtEndPr/>
        <w:sdtContent>
          <w:p w14:paraId="3F7DDF0A" w14:textId="77777777" w:rsidR="00107C94" w:rsidRPr="00A02D0C" w:rsidRDefault="00107C94">
            <w:pPr>
              <w:pStyle w:val="Footer"/>
              <w:jc w:val="center"/>
              <w:rPr>
                <w:sz w:val="22"/>
                <w:szCs w:val="22"/>
              </w:rPr>
            </w:pPr>
            <w:r w:rsidRPr="00A02D0C">
              <w:rPr>
                <w:sz w:val="22"/>
                <w:szCs w:val="22"/>
              </w:rPr>
              <w:fldChar w:fldCharType="begin"/>
            </w:r>
            <w:r w:rsidRPr="00A02D0C">
              <w:rPr>
                <w:sz w:val="22"/>
                <w:szCs w:val="22"/>
              </w:rPr>
              <w:instrText>PAGE</w:instrText>
            </w:r>
            <w:r w:rsidRPr="00A02D0C">
              <w:rPr>
                <w:sz w:val="22"/>
                <w:szCs w:val="22"/>
              </w:rPr>
              <w:fldChar w:fldCharType="separate"/>
            </w:r>
            <w:r w:rsidR="00A973F1" w:rsidRPr="00A02D0C">
              <w:rPr>
                <w:noProof/>
                <w:sz w:val="22"/>
                <w:szCs w:val="22"/>
              </w:rPr>
              <w:t>1</w:t>
            </w:r>
            <w:r w:rsidRPr="00A02D0C">
              <w:rPr>
                <w:sz w:val="22"/>
                <w:szCs w:val="22"/>
              </w:rPr>
              <w:fldChar w:fldCharType="end"/>
            </w:r>
            <w:r w:rsidRPr="00A02D0C">
              <w:rPr>
                <w:sz w:val="22"/>
                <w:szCs w:val="22"/>
              </w:rPr>
              <w:t xml:space="preserve"> no </w:t>
            </w:r>
            <w:r w:rsidRPr="00A02D0C">
              <w:rPr>
                <w:sz w:val="22"/>
                <w:szCs w:val="22"/>
              </w:rPr>
              <w:fldChar w:fldCharType="begin"/>
            </w:r>
            <w:r w:rsidRPr="00A02D0C">
              <w:rPr>
                <w:sz w:val="22"/>
                <w:szCs w:val="22"/>
              </w:rPr>
              <w:instrText>NUMPAGES</w:instrText>
            </w:r>
            <w:r w:rsidRPr="00A02D0C">
              <w:rPr>
                <w:sz w:val="22"/>
                <w:szCs w:val="22"/>
              </w:rPr>
              <w:fldChar w:fldCharType="separate"/>
            </w:r>
            <w:r w:rsidR="00A973F1" w:rsidRPr="00A02D0C">
              <w:rPr>
                <w:noProof/>
                <w:sz w:val="22"/>
                <w:szCs w:val="22"/>
              </w:rPr>
              <w:t>18</w:t>
            </w:r>
            <w:r w:rsidRPr="00A02D0C">
              <w:rPr>
                <w:sz w:val="22"/>
                <w:szCs w:val="22"/>
              </w:rPr>
              <w:fldChar w:fldCharType="end"/>
            </w:r>
          </w:p>
        </w:sdtContent>
      </w:sdt>
    </w:sdtContent>
  </w:sdt>
  <w:p w14:paraId="5AE2531B" w14:textId="77777777" w:rsidR="00107C94" w:rsidRDefault="00107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7B370" w14:textId="77777777" w:rsidR="003C5A99" w:rsidRDefault="003C5A99" w:rsidP="003913B7">
      <w:r>
        <w:separator/>
      </w:r>
    </w:p>
  </w:footnote>
  <w:footnote w:type="continuationSeparator" w:id="0">
    <w:p w14:paraId="088C1BBC" w14:textId="77777777" w:rsidR="003C5A99" w:rsidRDefault="003C5A99" w:rsidP="00391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092"/>
    <w:multiLevelType w:val="hybridMultilevel"/>
    <w:tmpl w:val="CE66D98A"/>
    <w:lvl w:ilvl="0" w:tplc="9A2E4202">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6A56204"/>
    <w:multiLevelType w:val="hybridMultilevel"/>
    <w:tmpl w:val="09BCCCE8"/>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 w15:restartNumberingAfterBreak="0">
    <w:nsid w:val="208B25D7"/>
    <w:multiLevelType w:val="hybridMultilevel"/>
    <w:tmpl w:val="5AD892C2"/>
    <w:lvl w:ilvl="0" w:tplc="2AF0C74C">
      <w:start w:val="201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12545E"/>
    <w:multiLevelType w:val="hybridMultilevel"/>
    <w:tmpl w:val="CF8CDD3E"/>
    <w:lvl w:ilvl="0" w:tplc="51FE06B6">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4" w15:restartNumberingAfterBreak="0">
    <w:nsid w:val="634A5DD2"/>
    <w:multiLevelType w:val="hybridMultilevel"/>
    <w:tmpl w:val="F7E800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48754BB"/>
    <w:multiLevelType w:val="hybridMultilevel"/>
    <w:tmpl w:val="7A80E6AE"/>
    <w:lvl w:ilvl="0" w:tplc="B3C4110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663C64F4"/>
    <w:multiLevelType w:val="hybridMultilevel"/>
    <w:tmpl w:val="AB80C3A2"/>
    <w:lvl w:ilvl="0" w:tplc="51FE06B6">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7" w15:restartNumberingAfterBreak="0">
    <w:nsid w:val="6D202DD5"/>
    <w:multiLevelType w:val="hybridMultilevel"/>
    <w:tmpl w:val="7E029074"/>
    <w:lvl w:ilvl="0" w:tplc="2BDE4892">
      <w:start w:val="2012"/>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514269217">
    <w:abstractNumId w:val="1"/>
  </w:num>
  <w:num w:numId="2" w16cid:durableId="1861888612">
    <w:abstractNumId w:val="3"/>
  </w:num>
  <w:num w:numId="3" w16cid:durableId="1130974714">
    <w:abstractNumId w:val="6"/>
  </w:num>
  <w:num w:numId="4" w16cid:durableId="723917951">
    <w:abstractNumId w:val="7"/>
  </w:num>
  <w:num w:numId="5" w16cid:durableId="782110036">
    <w:abstractNumId w:val="4"/>
  </w:num>
  <w:num w:numId="6" w16cid:durableId="1489250390">
    <w:abstractNumId w:val="2"/>
  </w:num>
  <w:num w:numId="7" w16cid:durableId="578715488">
    <w:abstractNumId w:val="0"/>
  </w:num>
  <w:num w:numId="8" w16cid:durableId="16322485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E02"/>
    <w:rsid w:val="000060DD"/>
    <w:rsid w:val="000068AB"/>
    <w:rsid w:val="0000716B"/>
    <w:rsid w:val="00010BCC"/>
    <w:rsid w:val="00010CAB"/>
    <w:rsid w:val="000111EB"/>
    <w:rsid w:val="00011FA7"/>
    <w:rsid w:val="0001210E"/>
    <w:rsid w:val="0001275D"/>
    <w:rsid w:val="00012F97"/>
    <w:rsid w:val="00014AEE"/>
    <w:rsid w:val="000160FA"/>
    <w:rsid w:val="0001680E"/>
    <w:rsid w:val="00016C8F"/>
    <w:rsid w:val="00016F13"/>
    <w:rsid w:val="00016FA7"/>
    <w:rsid w:val="00020465"/>
    <w:rsid w:val="00020508"/>
    <w:rsid w:val="00021FDD"/>
    <w:rsid w:val="000233DE"/>
    <w:rsid w:val="0002480B"/>
    <w:rsid w:val="00027914"/>
    <w:rsid w:val="00030274"/>
    <w:rsid w:val="000305C0"/>
    <w:rsid w:val="00030B9A"/>
    <w:rsid w:val="00032D65"/>
    <w:rsid w:val="000334E2"/>
    <w:rsid w:val="00037006"/>
    <w:rsid w:val="00041C80"/>
    <w:rsid w:val="000427BE"/>
    <w:rsid w:val="000437BE"/>
    <w:rsid w:val="000454E9"/>
    <w:rsid w:val="00047778"/>
    <w:rsid w:val="0005067A"/>
    <w:rsid w:val="00052AE1"/>
    <w:rsid w:val="00054E8E"/>
    <w:rsid w:val="0005595D"/>
    <w:rsid w:val="00055F5B"/>
    <w:rsid w:val="0005611F"/>
    <w:rsid w:val="00056B97"/>
    <w:rsid w:val="00057320"/>
    <w:rsid w:val="00057550"/>
    <w:rsid w:val="00060DED"/>
    <w:rsid w:val="00072698"/>
    <w:rsid w:val="00073F28"/>
    <w:rsid w:val="000751A0"/>
    <w:rsid w:val="000758C7"/>
    <w:rsid w:val="00075C6F"/>
    <w:rsid w:val="000767F9"/>
    <w:rsid w:val="0008070B"/>
    <w:rsid w:val="000809C6"/>
    <w:rsid w:val="00081193"/>
    <w:rsid w:val="00082AE5"/>
    <w:rsid w:val="00085125"/>
    <w:rsid w:val="000860CA"/>
    <w:rsid w:val="00086976"/>
    <w:rsid w:val="0008699D"/>
    <w:rsid w:val="0009054E"/>
    <w:rsid w:val="000908B3"/>
    <w:rsid w:val="00090945"/>
    <w:rsid w:val="00093B59"/>
    <w:rsid w:val="000945F3"/>
    <w:rsid w:val="00094A70"/>
    <w:rsid w:val="00094F25"/>
    <w:rsid w:val="00097602"/>
    <w:rsid w:val="000A18C8"/>
    <w:rsid w:val="000A1C85"/>
    <w:rsid w:val="000A305C"/>
    <w:rsid w:val="000A32D8"/>
    <w:rsid w:val="000A4782"/>
    <w:rsid w:val="000A4FEE"/>
    <w:rsid w:val="000A70E2"/>
    <w:rsid w:val="000A7A28"/>
    <w:rsid w:val="000B2FDA"/>
    <w:rsid w:val="000B362F"/>
    <w:rsid w:val="000B39CD"/>
    <w:rsid w:val="000B53AB"/>
    <w:rsid w:val="000B5B74"/>
    <w:rsid w:val="000C0CB6"/>
    <w:rsid w:val="000C0E4C"/>
    <w:rsid w:val="000C131D"/>
    <w:rsid w:val="000C58D9"/>
    <w:rsid w:val="000C7064"/>
    <w:rsid w:val="000D21FC"/>
    <w:rsid w:val="000D4900"/>
    <w:rsid w:val="000D4B9B"/>
    <w:rsid w:val="000D5028"/>
    <w:rsid w:val="000D542D"/>
    <w:rsid w:val="000E0FC0"/>
    <w:rsid w:val="000E33B3"/>
    <w:rsid w:val="000E556E"/>
    <w:rsid w:val="000E6B00"/>
    <w:rsid w:val="000E6E4D"/>
    <w:rsid w:val="000E7FB5"/>
    <w:rsid w:val="000F0A4C"/>
    <w:rsid w:val="000F0FD3"/>
    <w:rsid w:val="000F2DE9"/>
    <w:rsid w:val="000F316C"/>
    <w:rsid w:val="000F6AC5"/>
    <w:rsid w:val="000F74F7"/>
    <w:rsid w:val="000F7568"/>
    <w:rsid w:val="00100E63"/>
    <w:rsid w:val="0010127F"/>
    <w:rsid w:val="00101300"/>
    <w:rsid w:val="001025A1"/>
    <w:rsid w:val="001051BD"/>
    <w:rsid w:val="00105B1B"/>
    <w:rsid w:val="00106FBE"/>
    <w:rsid w:val="00107799"/>
    <w:rsid w:val="001077DA"/>
    <w:rsid w:val="00107C94"/>
    <w:rsid w:val="00107D06"/>
    <w:rsid w:val="001114B2"/>
    <w:rsid w:val="00112484"/>
    <w:rsid w:val="001124A4"/>
    <w:rsid w:val="00112BC9"/>
    <w:rsid w:val="00113DD9"/>
    <w:rsid w:val="00116643"/>
    <w:rsid w:val="001171EB"/>
    <w:rsid w:val="00117ACE"/>
    <w:rsid w:val="00117FD6"/>
    <w:rsid w:val="001205D1"/>
    <w:rsid w:val="001227BC"/>
    <w:rsid w:val="001234B4"/>
    <w:rsid w:val="00124841"/>
    <w:rsid w:val="00127165"/>
    <w:rsid w:val="00130A28"/>
    <w:rsid w:val="00130DCB"/>
    <w:rsid w:val="0013101D"/>
    <w:rsid w:val="00132435"/>
    <w:rsid w:val="00133656"/>
    <w:rsid w:val="001338F9"/>
    <w:rsid w:val="001342BF"/>
    <w:rsid w:val="0013473D"/>
    <w:rsid w:val="00141294"/>
    <w:rsid w:val="00142123"/>
    <w:rsid w:val="0014429D"/>
    <w:rsid w:val="00144D5D"/>
    <w:rsid w:val="00145AC5"/>
    <w:rsid w:val="001470CB"/>
    <w:rsid w:val="001507C7"/>
    <w:rsid w:val="001509F9"/>
    <w:rsid w:val="00154574"/>
    <w:rsid w:val="00155163"/>
    <w:rsid w:val="001561D8"/>
    <w:rsid w:val="00156C5D"/>
    <w:rsid w:val="00162448"/>
    <w:rsid w:val="001627F2"/>
    <w:rsid w:val="00164333"/>
    <w:rsid w:val="0016509B"/>
    <w:rsid w:val="00166505"/>
    <w:rsid w:val="00166CF8"/>
    <w:rsid w:val="001674BB"/>
    <w:rsid w:val="00170C8B"/>
    <w:rsid w:val="001717CE"/>
    <w:rsid w:val="001748F7"/>
    <w:rsid w:val="001756D7"/>
    <w:rsid w:val="00175A56"/>
    <w:rsid w:val="00175FEF"/>
    <w:rsid w:val="00177C35"/>
    <w:rsid w:val="001805E3"/>
    <w:rsid w:val="00180665"/>
    <w:rsid w:val="00180E14"/>
    <w:rsid w:val="001826F9"/>
    <w:rsid w:val="00182CF9"/>
    <w:rsid w:val="0018388C"/>
    <w:rsid w:val="00184C2C"/>
    <w:rsid w:val="00184E50"/>
    <w:rsid w:val="00185795"/>
    <w:rsid w:val="001864A3"/>
    <w:rsid w:val="00187960"/>
    <w:rsid w:val="00191B59"/>
    <w:rsid w:val="0019212B"/>
    <w:rsid w:val="00196420"/>
    <w:rsid w:val="0019715C"/>
    <w:rsid w:val="001A097C"/>
    <w:rsid w:val="001A0D34"/>
    <w:rsid w:val="001A1943"/>
    <w:rsid w:val="001A337E"/>
    <w:rsid w:val="001A37BF"/>
    <w:rsid w:val="001A4864"/>
    <w:rsid w:val="001A64FD"/>
    <w:rsid w:val="001B1205"/>
    <w:rsid w:val="001B1894"/>
    <w:rsid w:val="001B1F59"/>
    <w:rsid w:val="001B2778"/>
    <w:rsid w:val="001B3293"/>
    <w:rsid w:val="001B5999"/>
    <w:rsid w:val="001B6725"/>
    <w:rsid w:val="001B71FC"/>
    <w:rsid w:val="001B7DCB"/>
    <w:rsid w:val="001C180E"/>
    <w:rsid w:val="001C25AA"/>
    <w:rsid w:val="001C42B6"/>
    <w:rsid w:val="001C58C5"/>
    <w:rsid w:val="001C5C16"/>
    <w:rsid w:val="001C6570"/>
    <w:rsid w:val="001C66A6"/>
    <w:rsid w:val="001D1384"/>
    <w:rsid w:val="001D1CF2"/>
    <w:rsid w:val="001D3480"/>
    <w:rsid w:val="001D42FF"/>
    <w:rsid w:val="001D70E3"/>
    <w:rsid w:val="001E00CA"/>
    <w:rsid w:val="001E03F9"/>
    <w:rsid w:val="001E1A47"/>
    <w:rsid w:val="001E4E4E"/>
    <w:rsid w:val="001E544F"/>
    <w:rsid w:val="001E69AA"/>
    <w:rsid w:val="001F42C7"/>
    <w:rsid w:val="001F612B"/>
    <w:rsid w:val="00202AC9"/>
    <w:rsid w:val="002069CE"/>
    <w:rsid w:val="00207C37"/>
    <w:rsid w:val="00210451"/>
    <w:rsid w:val="002125A2"/>
    <w:rsid w:val="00212606"/>
    <w:rsid w:val="002126EA"/>
    <w:rsid w:val="0021286F"/>
    <w:rsid w:val="00213503"/>
    <w:rsid w:val="002164CB"/>
    <w:rsid w:val="00216737"/>
    <w:rsid w:val="00217FC0"/>
    <w:rsid w:val="002208B3"/>
    <w:rsid w:val="00220D71"/>
    <w:rsid w:val="002236D2"/>
    <w:rsid w:val="00225D2B"/>
    <w:rsid w:val="0023004C"/>
    <w:rsid w:val="00230C4F"/>
    <w:rsid w:val="00231462"/>
    <w:rsid w:val="0023185C"/>
    <w:rsid w:val="00232D3B"/>
    <w:rsid w:val="00232FA0"/>
    <w:rsid w:val="00233068"/>
    <w:rsid w:val="002334C6"/>
    <w:rsid w:val="0023380A"/>
    <w:rsid w:val="002341D3"/>
    <w:rsid w:val="002342B7"/>
    <w:rsid w:val="0023591D"/>
    <w:rsid w:val="002359F9"/>
    <w:rsid w:val="002361D9"/>
    <w:rsid w:val="00237063"/>
    <w:rsid w:val="00242FE9"/>
    <w:rsid w:val="002448CD"/>
    <w:rsid w:val="00244C81"/>
    <w:rsid w:val="00245733"/>
    <w:rsid w:val="002457FD"/>
    <w:rsid w:val="00246B29"/>
    <w:rsid w:val="00247227"/>
    <w:rsid w:val="0024787E"/>
    <w:rsid w:val="002527B1"/>
    <w:rsid w:val="002540B0"/>
    <w:rsid w:val="002549B3"/>
    <w:rsid w:val="00255184"/>
    <w:rsid w:val="002569E6"/>
    <w:rsid w:val="00260018"/>
    <w:rsid w:val="00263367"/>
    <w:rsid w:val="002633F2"/>
    <w:rsid w:val="002639CC"/>
    <w:rsid w:val="00267A1D"/>
    <w:rsid w:val="002717C9"/>
    <w:rsid w:val="00271C02"/>
    <w:rsid w:val="0027391F"/>
    <w:rsid w:val="00275E8D"/>
    <w:rsid w:val="002774E0"/>
    <w:rsid w:val="00280D9B"/>
    <w:rsid w:val="00282852"/>
    <w:rsid w:val="002840A6"/>
    <w:rsid w:val="00285191"/>
    <w:rsid w:val="002852A3"/>
    <w:rsid w:val="00285C74"/>
    <w:rsid w:val="00286B58"/>
    <w:rsid w:val="002900FA"/>
    <w:rsid w:val="00291C6E"/>
    <w:rsid w:val="002925EE"/>
    <w:rsid w:val="00292AC8"/>
    <w:rsid w:val="00292F05"/>
    <w:rsid w:val="002933C3"/>
    <w:rsid w:val="00294C80"/>
    <w:rsid w:val="00296FDD"/>
    <w:rsid w:val="002970B9"/>
    <w:rsid w:val="002A1724"/>
    <w:rsid w:val="002A4462"/>
    <w:rsid w:val="002A4467"/>
    <w:rsid w:val="002A79D3"/>
    <w:rsid w:val="002A79EC"/>
    <w:rsid w:val="002B15B9"/>
    <w:rsid w:val="002B16DA"/>
    <w:rsid w:val="002B31DE"/>
    <w:rsid w:val="002B6394"/>
    <w:rsid w:val="002B6C5E"/>
    <w:rsid w:val="002B7B74"/>
    <w:rsid w:val="002B7E96"/>
    <w:rsid w:val="002C10FD"/>
    <w:rsid w:val="002C1302"/>
    <w:rsid w:val="002C1617"/>
    <w:rsid w:val="002C3166"/>
    <w:rsid w:val="002C3470"/>
    <w:rsid w:val="002C4C5C"/>
    <w:rsid w:val="002C5A57"/>
    <w:rsid w:val="002D0951"/>
    <w:rsid w:val="002D14FB"/>
    <w:rsid w:val="002D4380"/>
    <w:rsid w:val="002D4983"/>
    <w:rsid w:val="002D6F7F"/>
    <w:rsid w:val="002E022E"/>
    <w:rsid w:val="002E09CE"/>
    <w:rsid w:val="002E2BD4"/>
    <w:rsid w:val="002E31C7"/>
    <w:rsid w:val="002E346C"/>
    <w:rsid w:val="002E4B5D"/>
    <w:rsid w:val="002E7161"/>
    <w:rsid w:val="002F366D"/>
    <w:rsid w:val="002F68A0"/>
    <w:rsid w:val="002F7FF8"/>
    <w:rsid w:val="00301760"/>
    <w:rsid w:val="003019B8"/>
    <w:rsid w:val="00303016"/>
    <w:rsid w:val="00304192"/>
    <w:rsid w:val="00305A5D"/>
    <w:rsid w:val="00306D8E"/>
    <w:rsid w:val="00310656"/>
    <w:rsid w:val="003107E6"/>
    <w:rsid w:val="0031585D"/>
    <w:rsid w:val="0031739E"/>
    <w:rsid w:val="00320BA3"/>
    <w:rsid w:val="00322662"/>
    <w:rsid w:val="00322F4E"/>
    <w:rsid w:val="0032325E"/>
    <w:rsid w:val="00324075"/>
    <w:rsid w:val="003273DB"/>
    <w:rsid w:val="003302F0"/>
    <w:rsid w:val="00330DC0"/>
    <w:rsid w:val="0033202C"/>
    <w:rsid w:val="0033356C"/>
    <w:rsid w:val="003347BF"/>
    <w:rsid w:val="00335011"/>
    <w:rsid w:val="00340E8D"/>
    <w:rsid w:val="00341804"/>
    <w:rsid w:val="00343BEA"/>
    <w:rsid w:val="00344AC1"/>
    <w:rsid w:val="00344FC8"/>
    <w:rsid w:val="003454BD"/>
    <w:rsid w:val="00350C5A"/>
    <w:rsid w:val="00352B03"/>
    <w:rsid w:val="0035444C"/>
    <w:rsid w:val="003568CB"/>
    <w:rsid w:val="00357DE2"/>
    <w:rsid w:val="00360902"/>
    <w:rsid w:val="0036125D"/>
    <w:rsid w:val="00367A89"/>
    <w:rsid w:val="00367C20"/>
    <w:rsid w:val="0037211C"/>
    <w:rsid w:val="003721B9"/>
    <w:rsid w:val="00372635"/>
    <w:rsid w:val="003726A1"/>
    <w:rsid w:val="0037290A"/>
    <w:rsid w:val="003729BA"/>
    <w:rsid w:val="00372BE9"/>
    <w:rsid w:val="0037310F"/>
    <w:rsid w:val="0037347B"/>
    <w:rsid w:val="00373D21"/>
    <w:rsid w:val="00375650"/>
    <w:rsid w:val="00376FF8"/>
    <w:rsid w:val="00377B40"/>
    <w:rsid w:val="00382BDC"/>
    <w:rsid w:val="00383D5A"/>
    <w:rsid w:val="00384D7E"/>
    <w:rsid w:val="003873D0"/>
    <w:rsid w:val="00390D08"/>
    <w:rsid w:val="003913B7"/>
    <w:rsid w:val="00393483"/>
    <w:rsid w:val="00394BDC"/>
    <w:rsid w:val="00394CB5"/>
    <w:rsid w:val="003953FD"/>
    <w:rsid w:val="0039570C"/>
    <w:rsid w:val="00395893"/>
    <w:rsid w:val="00396828"/>
    <w:rsid w:val="00397CEB"/>
    <w:rsid w:val="003A0405"/>
    <w:rsid w:val="003A1425"/>
    <w:rsid w:val="003A28B3"/>
    <w:rsid w:val="003A71D7"/>
    <w:rsid w:val="003B0646"/>
    <w:rsid w:val="003B06C9"/>
    <w:rsid w:val="003B0D94"/>
    <w:rsid w:val="003B3527"/>
    <w:rsid w:val="003B370D"/>
    <w:rsid w:val="003C2C78"/>
    <w:rsid w:val="003C31B9"/>
    <w:rsid w:val="003C37E3"/>
    <w:rsid w:val="003C5A99"/>
    <w:rsid w:val="003C6F46"/>
    <w:rsid w:val="003D1979"/>
    <w:rsid w:val="003D388F"/>
    <w:rsid w:val="003D5631"/>
    <w:rsid w:val="003D5F1F"/>
    <w:rsid w:val="003D71D2"/>
    <w:rsid w:val="003D7AAF"/>
    <w:rsid w:val="003E236F"/>
    <w:rsid w:val="003E3532"/>
    <w:rsid w:val="003E4A7A"/>
    <w:rsid w:val="003E512B"/>
    <w:rsid w:val="003E5421"/>
    <w:rsid w:val="003E5486"/>
    <w:rsid w:val="003E70C3"/>
    <w:rsid w:val="003F07A9"/>
    <w:rsid w:val="003F0CC7"/>
    <w:rsid w:val="003F2B30"/>
    <w:rsid w:val="003F2D3A"/>
    <w:rsid w:val="003F4455"/>
    <w:rsid w:val="003F4ECF"/>
    <w:rsid w:val="003F50BC"/>
    <w:rsid w:val="003F5CF9"/>
    <w:rsid w:val="003F735E"/>
    <w:rsid w:val="00402AB6"/>
    <w:rsid w:val="00403731"/>
    <w:rsid w:val="0040520E"/>
    <w:rsid w:val="00406E92"/>
    <w:rsid w:val="0041039E"/>
    <w:rsid w:val="00410986"/>
    <w:rsid w:val="00410ACA"/>
    <w:rsid w:val="00412057"/>
    <w:rsid w:val="0041226C"/>
    <w:rsid w:val="00413FAF"/>
    <w:rsid w:val="00415D1F"/>
    <w:rsid w:val="00416433"/>
    <w:rsid w:val="004172DC"/>
    <w:rsid w:val="004206FC"/>
    <w:rsid w:val="00420C09"/>
    <w:rsid w:val="00421560"/>
    <w:rsid w:val="0042335F"/>
    <w:rsid w:val="0042525F"/>
    <w:rsid w:val="00426779"/>
    <w:rsid w:val="00430A69"/>
    <w:rsid w:val="00432B8A"/>
    <w:rsid w:val="00435ADA"/>
    <w:rsid w:val="00444CED"/>
    <w:rsid w:val="00445457"/>
    <w:rsid w:val="00445753"/>
    <w:rsid w:val="00446620"/>
    <w:rsid w:val="0044786E"/>
    <w:rsid w:val="004506AC"/>
    <w:rsid w:val="00452FE6"/>
    <w:rsid w:val="004537C7"/>
    <w:rsid w:val="00455D46"/>
    <w:rsid w:val="00462A48"/>
    <w:rsid w:val="00465EBE"/>
    <w:rsid w:val="00467648"/>
    <w:rsid w:val="00471615"/>
    <w:rsid w:val="00472019"/>
    <w:rsid w:val="0047285F"/>
    <w:rsid w:val="004728B8"/>
    <w:rsid w:val="0047294B"/>
    <w:rsid w:val="0047517E"/>
    <w:rsid w:val="0047529C"/>
    <w:rsid w:val="00475AAC"/>
    <w:rsid w:val="00477CDD"/>
    <w:rsid w:val="00480ED0"/>
    <w:rsid w:val="00482CA0"/>
    <w:rsid w:val="00483801"/>
    <w:rsid w:val="00483D99"/>
    <w:rsid w:val="00484648"/>
    <w:rsid w:val="00487070"/>
    <w:rsid w:val="0049181A"/>
    <w:rsid w:val="00493431"/>
    <w:rsid w:val="00495672"/>
    <w:rsid w:val="00496070"/>
    <w:rsid w:val="00496898"/>
    <w:rsid w:val="004972C8"/>
    <w:rsid w:val="004A0601"/>
    <w:rsid w:val="004A07C8"/>
    <w:rsid w:val="004A0C4C"/>
    <w:rsid w:val="004A2836"/>
    <w:rsid w:val="004A29C3"/>
    <w:rsid w:val="004A2FA1"/>
    <w:rsid w:val="004A40A9"/>
    <w:rsid w:val="004A6329"/>
    <w:rsid w:val="004A7DCE"/>
    <w:rsid w:val="004B0274"/>
    <w:rsid w:val="004B0D98"/>
    <w:rsid w:val="004B23BD"/>
    <w:rsid w:val="004B3484"/>
    <w:rsid w:val="004B3BFA"/>
    <w:rsid w:val="004B4C37"/>
    <w:rsid w:val="004B72C0"/>
    <w:rsid w:val="004B78D9"/>
    <w:rsid w:val="004B7BEB"/>
    <w:rsid w:val="004B7C5E"/>
    <w:rsid w:val="004C2564"/>
    <w:rsid w:val="004C4303"/>
    <w:rsid w:val="004C5E5E"/>
    <w:rsid w:val="004C5F65"/>
    <w:rsid w:val="004C75CD"/>
    <w:rsid w:val="004D01E2"/>
    <w:rsid w:val="004D0D86"/>
    <w:rsid w:val="004D4A2C"/>
    <w:rsid w:val="004E1E17"/>
    <w:rsid w:val="004E2E8F"/>
    <w:rsid w:val="004E34F2"/>
    <w:rsid w:val="004E4A90"/>
    <w:rsid w:val="004E50FF"/>
    <w:rsid w:val="004E55A0"/>
    <w:rsid w:val="004E57C0"/>
    <w:rsid w:val="004E76AD"/>
    <w:rsid w:val="004F38C7"/>
    <w:rsid w:val="004F4D96"/>
    <w:rsid w:val="004F4DB1"/>
    <w:rsid w:val="004F5403"/>
    <w:rsid w:val="004F6086"/>
    <w:rsid w:val="004F6761"/>
    <w:rsid w:val="004F7037"/>
    <w:rsid w:val="004F7EB6"/>
    <w:rsid w:val="00500074"/>
    <w:rsid w:val="005014F2"/>
    <w:rsid w:val="00502359"/>
    <w:rsid w:val="0050261D"/>
    <w:rsid w:val="005027B6"/>
    <w:rsid w:val="00502FE7"/>
    <w:rsid w:val="0050409E"/>
    <w:rsid w:val="00504218"/>
    <w:rsid w:val="005057F7"/>
    <w:rsid w:val="0050699D"/>
    <w:rsid w:val="00511AA5"/>
    <w:rsid w:val="00511CFC"/>
    <w:rsid w:val="00514CFE"/>
    <w:rsid w:val="005159F0"/>
    <w:rsid w:val="0051682D"/>
    <w:rsid w:val="00523557"/>
    <w:rsid w:val="00523B18"/>
    <w:rsid w:val="005246C4"/>
    <w:rsid w:val="005250F7"/>
    <w:rsid w:val="00525162"/>
    <w:rsid w:val="00532E1A"/>
    <w:rsid w:val="005338D2"/>
    <w:rsid w:val="005340F3"/>
    <w:rsid w:val="005359E7"/>
    <w:rsid w:val="00536DF0"/>
    <w:rsid w:val="00540BB1"/>
    <w:rsid w:val="005410EC"/>
    <w:rsid w:val="00541902"/>
    <w:rsid w:val="0054198A"/>
    <w:rsid w:val="005421AF"/>
    <w:rsid w:val="00544365"/>
    <w:rsid w:val="00544728"/>
    <w:rsid w:val="00544F5A"/>
    <w:rsid w:val="0054554E"/>
    <w:rsid w:val="00547F7A"/>
    <w:rsid w:val="00551B5B"/>
    <w:rsid w:val="00551CE9"/>
    <w:rsid w:val="00554FE0"/>
    <w:rsid w:val="0055599C"/>
    <w:rsid w:val="00556C37"/>
    <w:rsid w:val="00560BF0"/>
    <w:rsid w:val="00561265"/>
    <w:rsid w:val="005623D0"/>
    <w:rsid w:val="005625B1"/>
    <w:rsid w:val="00562C12"/>
    <w:rsid w:val="00563C2F"/>
    <w:rsid w:val="00564864"/>
    <w:rsid w:val="005657BD"/>
    <w:rsid w:val="00565A90"/>
    <w:rsid w:val="005714F2"/>
    <w:rsid w:val="00572379"/>
    <w:rsid w:val="005737F1"/>
    <w:rsid w:val="00574C47"/>
    <w:rsid w:val="00574E50"/>
    <w:rsid w:val="00575F99"/>
    <w:rsid w:val="005813EF"/>
    <w:rsid w:val="00582E30"/>
    <w:rsid w:val="00584E10"/>
    <w:rsid w:val="005901CE"/>
    <w:rsid w:val="005908D5"/>
    <w:rsid w:val="00590B21"/>
    <w:rsid w:val="00591610"/>
    <w:rsid w:val="00592175"/>
    <w:rsid w:val="0059229B"/>
    <w:rsid w:val="005925A5"/>
    <w:rsid w:val="00592968"/>
    <w:rsid w:val="00592FEB"/>
    <w:rsid w:val="0059430D"/>
    <w:rsid w:val="0059541E"/>
    <w:rsid w:val="00596A4D"/>
    <w:rsid w:val="00596DE3"/>
    <w:rsid w:val="005975E8"/>
    <w:rsid w:val="005A0600"/>
    <w:rsid w:val="005A2019"/>
    <w:rsid w:val="005A2BCA"/>
    <w:rsid w:val="005A2C99"/>
    <w:rsid w:val="005A366F"/>
    <w:rsid w:val="005A44AE"/>
    <w:rsid w:val="005A5650"/>
    <w:rsid w:val="005A5F67"/>
    <w:rsid w:val="005A6F07"/>
    <w:rsid w:val="005B3FA4"/>
    <w:rsid w:val="005B6191"/>
    <w:rsid w:val="005B74B2"/>
    <w:rsid w:val="005C0BFE"/>
    <w:rsid w:val="005C1C47"/>
    <w:rsid w:val="005C2B14"/>
    <w:rsid w:val="005C2E3D"/>
    <w:rsid w:val="005C3D6B"/>
    <w:rsid w:val="005C5638"/>
    <w:rsid w:val="005C7F6A"/>
    <w:rsid w:val="005D4815"/>
    <w:rsid w:val="005D4FEE"/>
    <w:rsid w:val="005D60CA"/>
    <w:rsid w:val="005D646D"/>
    <w:rsid w:val="005D6556"/>
    <w:rsid w:val="005E17A1"/>
    <w:rsid w:val="005E30B7"/>
    <w:rsid w:val="005E3D6C"/>
    <w:rsid w:val="005E3D8E"/>
    <w:rsid w:val="005E5409"/>
    <w:rsid w:val="005E7074"/>
    <w:rsid w:val="005E781D"/>
    <w:rsid w:val="005E7967"/>
    <w:rsid w:val="005F25FC"/>
    <w:rsid w:val="005F26EA"/>
    <w:rsid w:val="005F535F"/>
    <w:rsid w:val="0060056D"/>
    <w:rsid w:val="00600C77"/>
    <w:rsid w:val="00601900"/>
    <w:rsid w:val="00603713"/>
    <w:rsid w:val="006043C4"/>
    <w:rsid w:val="006049C9"/>
    <w:rsid w:val="0060682E"/>
    <w:rsid w:val="00607662"/>
    <w:rsid w:val="006110BA"/>
    <w:rsid w:val="00611967"/>
    <w:rsid w:val="006120EC"/>
    <w:rsid w:val="00613336"/>
    <w:rsid w:val="0061387C"/>
    <w:rsid w:val="00613DE4"/>
    <w:rsid w:val="00614151"/>
    <w:rsid w:val="00617AD6"/>
    <w:rsid w:val="00621C4B"/>
    <w:rsid w:val="00622098"/>
    <w:rsid w:val="00622C17"/>
    <w:rsid w:val="00623121"/>
    <w:rsid w:val="00623A14"/>
    <w:rsid w:val="00623B05"/>
    <w:rsid w:val="006245D2"/>
    <w:rsid w:val="006253FF"/>
    <w:rsid w:val="006258A1"/>
    <w:rsid w:val="00626437"/>
    <w:rsid w:val="006268C3"/>
    <w:rsid w:val="00631EA7"/>
    <w:rsid w:val="00640C4A"/>
    <w:rsid w:val="00640DD4"/>
    <w:rsid w:val="00641FFC"/>
    <w:rsid w:val="00643069"/>
    <w:rsid w:val="00643D67"/>
    <w:rsid w:val="0064626A"/>
    <w:rsid w:val="006466E1"/>
    <w:rsid w:val="00650608"/>
    <w:rsid w:val="00654884"/>
    <w:rsid w:val="00655A0D"/>
    <w:rsid w:val="0065672C"/>
    <w:rsid w:val="0065754D"/>
    <w:rsid w:val="006601F0"/>
    <w:rsid w:val="0066748E"/>
    <w:rsid w:val="006676E9"/>
    <w:rsid w:val="006714D3"/>
    <w:rsid w:val="006761D8"/>
    <w:rsid w:val="00676FEE"/>
    <w:rsid w:val="00677D57"/>
    <w:rsid w:val="00681316"/>
    <w:rsid w:val="006833F8"/>
    <w:rsid w:val="00690D1C"/>
    <w:rsid w:val="00692956"/>
    <w:rsid w:val="00692F3F"/>
    <w:rsid w:val="006937A0"/>
    <w:rsid w:val="00694AF7"/>
    <w:rsid w:val="00695357"/>
    <w:rsid w:val="006954E4"/>
    <w:rsid w:val="006A000F"/>
    <w:rsid w:val="006A7277"/>
    <w:rsid w:val="006A7BDC"/>
    <w:rsid w:val="006B1973"/>
    <w:rsid w:val="006B21B6"/>
    <w:rsid w:val="006B6262"/>
    <w:rsid w:val="006B7C53"/>
    <w:rsid w:val="006C01D5"/>
    <w:rsid w:val="006C02AD"/>
    <w:rsid w:val="006C0834"/>
    <w:rsid w:val="006C0858"/>
    <w:rsid w:val="006C1D89"/>
    <w:rsid w:val="006C27DB"/>
    <w:rsid w:val="006C3C5C"/>
    <w:rsid w:val="006D049F"/>
    <w:rsid w:val="006D0ADA"/>
    <w:rsid w:val="006D22BC"/>
    <w:rsid w:val="006D5BBB"/>
    <w:rsid w:val="006D63E4"/>
    <w:rsid w:val="006D701F"/>
    <w:rsid w:val="006D70A2"/>
    <w:rsid w:val="006E21CE"/>
    <w:rsid w:val="006E2317"/>
    <w:rsid w:val="006E3E40"/>
    <w:rsid w:val="006E597D"/>
    <w:rsid w:val="006E6342"/>
    <w:rsid w:val="006F23AB"/>
    <w:rsid w:val="006F296E"/>
    <w:rsid w:val="006F4978"/>
    <w:rsid w:val="006F4CCA"/>
    <w:rsid w:val="006F7C39"/>
    <w:rsid w:val="00701706"/>
    <w:rsid w:val="0070414B"/>
    <w:rsid w:val="0070436D"/>
    <w:rsid w:val="00704EA2"/>
    <w:rsid w:val="00707ADE"/>
    <w:rsid w:val="0071279E"/>
    <w:rsid w:val="00712D7E"/>
    <w:rsid w:val="007139AF"/>
    <w:rsid w:val="007163E8"/>
    <w:rsid w:val="007176F8"/>
    <w:rsid w:val="007201F9"/>
    <w:rsid w:val="007218A8"/>
    <w:rsid w:val="007232ED"/>
    <w:rsid w:val="00725DD3"/>
    <w:rsid w:val="00727F9A"/>
    <w:rsid w:val="00730C37"/>
    <w:rsid w:val="00733956"/>
    <w:rsid w:val="00734AE3"/>
    <w:rsid w:val="0073549E"/>
    <w:rsid w:val="00737639"/>
    <w:rsid w:val="00744088"/>
    <w:rsid w:val="007465FA"/>
    <w:rsid w:val="00746C1F"/>
    <w:rsid w:val="00747627"/>
    <w:rsid w:val="00751A43"/>
    <w:rsid w:val="00751C31"/>
    <w:rsid w:val="00751E5B"/>
    <w:rsid w:val="00753E47"/>
    <w:rsid w:val="00754A41"/>
    <w:rsid w:val="00757625"/>
    <w:rsid w:val="0075779A"/>
    <w:rsid w:val="00757D0F"/>
    <w:rsid w:val="00757D9E"/>
    <w:rsid w:val="0076013A"/>
    <w:rsid w:val="00760188"/>
    <w:rsid w:val="00760A03"/>
    <w:rsid w:val="00760A7A"/>
    <w:rsid w:val="00760AC1"/>
    <w:rsid w:val="00760C36"/>
    <w:rsid w:val="0076257A"/>
    <w:rsid w:val="007638A0"/>
    <w:rsid w:val="00763BFB"/>
    <w:rsid w:val="00764D1F"/>
    <w:rsid w:val="007650F8"/>
    <w:rsid w:val="007656A5"/>
    <w:rsid w:val="00767584"/>
    <w:rsid w:val="00767630"/>
    <w:rsid w:val="00770794"/>
    <w:rsid w:val="00770CD2"/>
    <w:rsid w:val="00771B18"/>
    <w:rsid w:val="00772D28"/>
    <w:rsid w:val="00772F0F"/>
    <w:rsid w:val="00772F69"/>
    <w:rsid w:val="007731FE"/>
    <w:rsid w:val="007744D7"/>
    <w:rsid w:val="00774BA6"/>
    <w:rsid w:val="00775ACB"/>
    <w:rsid w:val="00775D52"/>
    <w:rsid w:val="00775F43"/>
    <w:rsid w:val="00776159"/>
    <w:rsid w:val="007768BC"/>
    <w:rsid w:val="00781448"/>
    <w:rsid w:val="0078243B"/>
    <w:rsid w:val="007824C9"/>
    <w:rsid w:val="00782772"/>
    <w:rsid w:val="00784880"/>
    <w:rsid w:val="00786029"/>
    <w:rsid w:val="00787EE2"/>
    <w:rsid w:val="00791D9B"/>
    <w:rsid w:val="007943F7"/>
    <w:rsid w:val="007A06D8"/>
    <w:rsid w:val="007A25E1"/>
    <w:rsid w:val="007A265A"/>
    <w:rsid w:val="007A3711"/>
    <w:rsid w:val="007A518B"/>
    <w:rsid w:val="007A549A"/>
    <w:rsid w:val="007A7CD8"/>
    <w:rsid w:val="007A7D81"/>
    <w:rsid w:val="007B0546"/>
    <w:rsid w:val="007B09BD"/>
    <w:rsid w:val="007B0EE4"/>
    <w:rsid w:val="007B317D"/>
    <w:rsid w:val="007C0AF7"/>
    <w:rsid w:val="007C0C8F"/>
    <w:rsid w:val="007C14F5"/>
    <w:rsid w:val="007C2AE5"/>
    <w:rsid w:val="007C479A"/>
    <w:rsid w:val="007C4CD4"/>
    <w:rsid w:val="007C5FBA"/>
    <w:rsid w:val="007C6CFB"/>
    <w:rsid w:val="007D31AD"/>
    <w:rsid w:val="007D3437"/>
    <w:rsid w:val="007D42B9"/>
    <w:rsid w:val="007D5E11"/>
    <w:rsid w:val="007D755E"/>
    <w:rsid w:val="007D7A6E"/>
    <w:rsid w:val="007D7AA4"/>
    <w:rsid w:val="007E147C"/>
    <w:rsid w:val="007E2EF3"/>
    <w:rsid w:val="007E5AF7"/>
    <w:rsid w:val="007E7610"/>
    <w:rsid w:val="007E7E2F"/>
    <w:rsid w:val="007F081A"/>
    <w:rsid w:val="007F3EB8"/>
    <w:rsid w:val="007F4203"/>
    <w:rsid w:val="007F5B0A"/>
    <w:rsid w:val="007F5B31"/>
    <w:rsid w:val="007F763D"/>
    <w:rsid w:val="008009A0"/>
    <w:rsid w:val="00801278"/>
    <w:rsid w:val="008018C3"/>
    <w:rsid w:val="0080229E"/>
    <w:rsid w:val="008022F4"/>
    <w:rsid w:val="00802316"/>
    <w:rsid w:val="00802E02"/>
    <w:rsid w:val="008046A8"/>
    <w:rsid w:val="0080505E"/>
    <w:rsid w:val="0080613E"/>
    <w:rsid w:val="00806A8C"/>
    <w:rsid w:val="00806C4F"/>
    <w:rsid w:val="00810D59"/>
    <w:rsid w:val="00813527"/>
    <w:rsid w:val="008135EE"/>
    <w:rsid w:val="00814AF2"/>
    <w:rsid w:val="00814F74"/>
    <w:rsid w:val="0083221C"/>
    <w:rsid w:val="008333B7"/>
    <w:rsid w:val="0083384F"/>
    <w:rsid w:val="00834C95"/>
    <w:rsid w:val="00835BD8"/>
    <w:rsid w:val="00835E2B"/>
    <w:rsid w:val="00837A66"/>
    <w:rsid w:val="008413FF"/>
    <w:rsid w:val="00841F22"/>
    <w:rsid w:val="0084225F"/>
    <w:rsid w:val="0084281D"/>
    <w:rsid w:val="00847E33"/>
    <w:rsid w:val="00850220"/>
    <w:rsid w:val="008539CC"/>
    <w:rsid w:val="00853EF9"/>
    <w:rsid w:val="00853F99"/>
    <w:rsid w:val="00854562"/>
    <w:rsid w:val="00854578"/>
    <w:rsid w:val="008548F5"/>
    <w:rsid w:val="008551FD"/>
    <w:rsid w:val="00855C0B"/>
    <w:rsid w:val="008566F1"/>
    <w:rsid w:val="00857DDF"/>
    <w:rsid w:val="00860487"/>
    <w:rsid w:val="008625AC"/>
    <w:rsid w:val="00863AB6"/>
    <w:rsid w:val="00864F1B"/>
    <w:rsid w:val="00870D7D"/>
    <w:rsid w:val="00871A32"/>
    <w:rsid w:val="00871C9C"/>
    <w:rsid w:val="0087270E"/>
    <w:rsid w:val="00874244"/>
    <w:rsid w:val="00874A99"/>
    <w:rsid w:val="00876CBE"/>
    <w:rsid w:val="00877BCF"/>
    <w:rsid w:val="00882385"/>
    <w:rsid w:val="00883CA8"/>
    <w:rsid w:val="0088400F"/>
    <w:rsid w:val="008844FD"/>
    <w:rsid w:val="008845C4"/>
    <w:rsid w:val="00891D90"/>
    <w:rsid w:val="00893346"/>
    <w:rsid w:val="0089593D"/>
    <w:rsid w:val="00895D61"/>
    <w:rsid w:val="00896F55"/>
    <w:rsid w:val="00897031"/>
    <w:rsid w:val="0089765F"/>
    <w:rsid w:val="008977B3"/>
    <w:rsid w:val="008978E2"/>
    <w:rsid w:val="008A13A9"/>
    <w:rsid w:val="008A2779"/>
    <w:rsid w:val="008A5443"/>
    <w:rsid w:val="008B0A15"/>
    <w:rsid w:val="008B29E7"/>
    <w:rsid w:val="008B6F45"/>
    <w:rsid w:val="008C3890"/>
    <w:rsid w:val="008C5363"/>
    <w:rsid w:val="008C7496"/>
    <w:rsid w:val="008C77BD"/>
    <w:rsid w:val="008D02A6"/>
    <w:rsid w:val="008D0C9C"/>
    <w:rsid w:val="008D13BC"/>
    <w:rsid w:val="008D1F4E"/>
    <w:rsid w:val="008D20D2"/>
    <w:rsid w:val="008D25E4"/>
    <w:rsid w:val="008D29AE"/>
    <w:rsid w:val="008D33A1"/>
    <w:rsid w:val="008D39EC"/>
    <w:rsid w:val="008D530A"/>
    <w:rsid w:val="008D61D3"/>
    <w:rsid w:val="008D696D"/>
    <w:rsid w:val="008D7E3F"/>
    <w:rsid w:val="008E6059"/>
    <w:rsid w:val="008F1C7C"/>
    <w:rsid w:val="008F448C"/>
    <w:rsid w:val="008F64AC"/>
    <w:rsid w:val="00900B7A"/>
    <w:rsid w:val="0090211B"/>
    <w:rsid w:val="009033E8"/>
    <w:rsid w:val="00903E85"/>
    <w:rsid w:val="00903EB0"/>
    <w:rsid w:val="00904646"/>
    <w:rsid w:val="00905E16"/>
    <w:rsid w:val="00906585"/>
    <w:rsid w:val="00910DD0"/>
    <w:rsid w:val="00912CE6"/>
    <w:rsid w:val="009138B7"/>
    <w:rsid w:val="00914D98"/>
    <w:rsid w:val="00915964"/>
    <w:rsid w:val="009159E2"/>
    <w:rsid w:val="00915C6C"/>
    <w:rsid w:val="00920766"/>
    <w:rsid w:val="00920DF3"/>
    <w:rsid w:val="00920E9D"/>
    <w:rsid w:val="00921CF4"/>
    <w:rsid w:val="00922CC4"/>
    <w:rsid w:val="00923240"/>
    <w:rsid w:val="009233D8"/>
    <w:rsid w:val="00924890"/>
    <w:rsid w:val="00927817"/>
    <w:rsid w:val="009321DA"/>
    <w:rsid w:val="00934A60"/>
    <w:rsid w:val="00934EF5"/>
    <w:rsid w:val="00935F86"/>
    <w:rsid w:val="00936F93"/>
    <w:rsid w:val="0094088F"/>
    <w:rsid w:val="00941020"/>
    <w:rsid w:val="009411A2"/>
    <w:rsid w:val="009415BB"/>
    <w:rsid w:val="00942C68"/>
    <w:rsid w:val="00950077"/>
    <w:rsid w:val="00950400"/>
    <w:rsid w:val="00950CE8"/>
    <w:rsid w:val="00951662"/>
    <w:rsid w:val="00952F61"/>
    <w:rsid w:val="00955186"/>
    <w:rsid w:val="00955D13"/>
    <w:rsid w:val="00957EC8"/>
    <w:rsid w:val="0096044C"/>
    <w:rsid w:val="00960563"/>
    <w:rsid w:val="009609EE"/>
    <w:rsid w:val="00962668"/>
    <w:rsid w:val="009637FD"/>
    <w:rsid w:val="00963BC6"/>
    <w:rsid w:val="00970FEF"/>
    <w:rsid w:val="009712E7"/>
    <w:rsid w:val="00971FDF"/>
    <w:rsid w:val="00972056"/>
    <w:rsid w:val="009721DA"/>
    <w:rsid w:val="00975566"/>
    <w:rsid w:val="00975C41"/>
    <w:rsid w:val="0097622B"/>
    <w:rsid w:val="00976B71"/>
    <w:rsid w:val="009819B0"/>
    <w:rsid w:val="009836A1"/>
    <w:rsid w:val="00984609"/>
    <w:rsid w:val="00985265"/>
    <w:rsid w:val="00985B9D"/>
    <w:rsid w:val="009903A3"/>
    <w:rsid w:val="00991559"/>
    <w:rsid w:val="00994ACE"/>
    <w:rsid w:val="00996205"/>
    <w:rsid w:val="009A00CA"/>
    <w:rsid w:val="009A06B6"/>
    <w:rsid w:val="009A148F"/>
    <w:rsid w:val="009A2E6C"/>
    <w:rsid w:val="009A360B"/>
    <w:rsid w:val="009A3F62"/>
    <w:rsid w:val="009A4AB9"/>
    <w:rsid w:val="009A5AD2"/>
    <w:rsid w:val="009A631B"/>
    <w:rsid w:val="009A6363"/>
    <w:rsid w:val="009B063F"/>
    <w:rsid w:val="009B07D5"/>
    <w:rsid w:val="009B1AF2"/>
    <w:rsid w:val="009B1E63"/>
    <w:rsid w:val="009B2B68"/>
    <w:rsid w:val="009B4109"/>
    <w:rsid w:val="009B49C8"/>
    <w:rsid w:val="009B59EF"/>
    <w:rsid w:val="009B5A67"/>
    <w:rsid w:val="009B66E9"/>
    <w:rsid w:val="009B6A3F"/>
    <w:rsid w:val="009B6D0B"/>
    <w:rsid w:val="009B77A7"/>
    <w:rsid w:val="009C34B7"/>
    <w:rsid w:val="009C586C"/>
    <w:rsid w:val="009D064E"/>
    <w:rsid w:val="009D1352"/>
    <w:rsid w:val="009D4E07"/>
    <w:rsid w:val="009D76E9"/>
    <w:rsid w:val="009E4B30"/>
    <w:rsid w:val="009E70BF"/>
    <w:rsid w:val="009F53DF"/>
    <w:rsid w:val="009F5576"/>
    <w:rsid w:val="009F7855"/>
    <w:rsid w:val="00A01AD4"/>
    <w:rsid w:val="00A02D0C"/>
    <w:rsid w:val="00A035A2"/>
    <w:rsid w:val="00A045B5"/>
    <w:rsid w:val="00A052FF"/>
    <w:rsid w:val="00A06DEA"/>
    <w:rsid w:val="00A07105"/>
    <w:rsid w:val="00A11132"/>
    <w:rsid w:val="00A1246C"/>
    <w:rsid w:val="00A125FA"/>
    <w:rsid w:val="00A12947"/>
    <w:rsid w:val="00A133B5"/>
    <w:rsid w:val="00A13B56"/>
    <w:rsid w:val="00A13D54"/>
    <w:rsid w:val="00A14090"/>
    <w:rsid w:val="00A14D9A"/>
    <w:rsid w:val="00A173A7"/>
    <w:rsid w:val="00A21658"/>
    <w:rsid w:val="00A235A8"/>
    <w:rsid w:val="00A24123"/>
    <w:rsid w:val="00A252AF"/>
    <w:rsid w:val="00A254C3"/>
    <w:rsid w:val="00A259D4"/>
    <w:rsid w:val="00A26179"/>
    <w:rsid w:val="00A27E2A"/>
    <w:rsid w:val="00A30D1A"/>
    <w:rsid w:val="00A3131B"/>
    <w:rsid w:val="00A3386C"/>
    <w:rsid w:val="00A33A38"/>
    <w:rsid w:val="00A359C5"/>
    <w:rsid w:val="00A35B50"/>
    <w:rsid w:val="00A3793C"/>
    <w:rsid w:val="00A37BF7"/>
    <w:rsid w:val="00A416BD"/>
    <w:rsid w:val="00A418D3"/>
    <w:rsid w:val="00A42388"/>
    <w:rsid w:val="00A429A9"/>
    <w:rsid w:val="00A42D0A"/>
    <w:rsid w:val="00A43E77"/>
    <w:rsid w:val="00A44A22"/>
    <w:rsid w:val="00A44EE7"/>
    <w:rsid w:val="00A4571E"/>
    <w:rsid w:val="00A477D5"/>
    <w:rsid w:val="00A50FE6"/>
    <w:rsid w:val="00A517C2"/>
    <w:rsid w:val="00A54615"/>
    <w:rsid w:val="00A566CF"/>
    <w:rsid w:val="00A570EE"/>
    <w:rsid w:val="00A60215"/>
    <w:rsid w:val="00A61C03"/>
    <w:rsid w:val="00A61F21"/>
    <w:rsid w:val="00A66AC8"/>
    <w:rsid w:val="00A66B3F"/>
    <w:rsid w:val="00A67B93"/>
    <w:rsid w:val="00A67DAA"/>
    <w:rsid w:val="00A703F1"/>
    <w:rsid w:val="00A71980"/>
    <w:rsid w:val="00A7248E"/>
    <w:rsid w:val="00A7519A"/>
    <w:rsid w:val="00A75421"/>
    <w:rsid w:val="00A766F3"/>
    <w:rsid w:val="00A80321"/>
    <w:rsid w:val="00A81230"/>
    <w:rsid w:val="00A81740"/>
    <w:rsid w:val="00A81796"/>
    <w:rsid w:val="00A831AE"/>
    <w:rsid w:val="00A844A4"/>
    <w:rsid w:val="00A84813"/>
    <w:rsid w:val="00A86C0B"/>
    <w:rsid w:val="00A86DFA"/>
    <w:rsid w:val="00A879D3"/>
    <w:rsid w:val="00A87FB4"/>
    <w:rsid w:val="00A906CF"/>
    <w:rsid w:val="00A91059"/>
    <w:rsid w:val="00A94A0A"/>
    <w:rsid w:val="00A94CD0"/>
    <w:rsid w:val="00A94F0C"/>
    <w:rsid w:val="00A957BC"/>
    <w:rsid w:val="00A957EA"/>
    <w:rsid w:val="00A9591D"/>
    <w:rsid w:val="00A96730"/>
    <w:rsid w:val="00A96893"/>
    <w:rsid w:val="00A96954"/>
    <w:rsid w:val="00A973F1"/>
    <w:rsid w:val="00AA080C"/>
    <w:rsid w:val="00AA2C9A"/>
    <w:rsid w:val="00AA57A4"/>
    <w:rsid w:val="00AA66EA"/>
    <w:rsid w:val="00AA6E6A"/>
    <w:rsid w:val="00AA7191"/>
    <w:rsid w:val="00AB087B"/>
    <w:rsid w:val="00AB0EFE"/>
    <w:rsid w:val="00AB1E40"/>
    <w:rsid w:val="00AB240B"/>
    <w:rsid w:val="00AB42B8"/>
    <w:rsid w:val="00AB452A"/>
    <w:rsid w:val="00AB4F00"/>
    <w:rsid w:val="00AB54A7"/>
    <w:rsid w:val="00AB5A87"/>
    <w:rsid w:val="00AB5F2A"/>
    <w:rsid w:val="00AB62C4"/>
    <w:rsid w:val="00AB701D"/>
    <w:rsid w:val="00AC0429"/>
    <w:rsid w:val="00AC0B4E"/>
    <w:rsid w:val="00AC252F"/>
    <w:rsid w:val="00AC3240"/>
    <w:rsid w:val="00AC6062"/>
    <w:rsid w:val="00AC63AB"/>
    <w:rsid w:val="00AC65D1"/>
    <w:rsid w:val="00AC7135"/>
    <w:rsid w:val="00AD1FA4"/>
    <w:rsid w:val="00AD2FA0"/>
    <w:rsid w:val="00AD36F5"/>
    <w:rsid w:val="00AD4243"/>
    <w:rsid w:val="00AD54A5"/>
    <w:rsid w:val="00AD55A0"/>
    <w:rsid w:val="00AD6862"/>
    <w:rsid w:val="00AD6E4F"/>
    <w:rsid w:val="00AD7E84"/>
    <w:rsid w:val="00AE0CC2"/>
    <w:rsid w:val="00AE2600"/>
    <w:rsid w:val="00AE2865"/>
    <w:rsid w:val="00AE4A26"/>
    <w:rsid w:val="00AE4E5D"/>
    <w:rsid w:val="00AE63C6"/>
    <w:rsid w:val="00AE649F"/>
    <w:rsid w:val="00AF0A74"/>
    <w:rsid w:val="00AF1E09"/>
    <w:rsid w:val="00AF20B3"/>
    <w:rsid w:val="00AF343E"/>
    <w:rsid w:val="00AF485B"/>
    <w:rsid w:val="00AF7AF4"/>
    <w:rsid w:val="00AF7D5F"/>
    <w:rsid w:val="00B04CF5"/>
    <w:rsid w:val="00B0504B"/>
    <w:rsid w:val="00B0712F"/>
    <w:rsid w:val="00B079DF"/>
    <w:rsid w:val="00B1615E"/>
    <w:rsid w:val="00B17351"/>
    <w:rsid w:val="00B2203A"/>
    <w:rsid w:val="00B23B8F"/>
    <w:rsid w:val="00B3028A"/>
    <w:rsid w:val="00B31384"/>
    <w:rsid w:val="00B3264A"/>
    <w:rsid w:val="00B34BC4"/>
    <w:rsid w:val="00B3684A"/>
    <w:rsid w:val="00B36E2F"/>
    <w:rsid w:val="00B37490"/>
    <w:rsid w:val="00B41E91"/>
    <w:rsid w:val="00B42091"/>
    <w:rsid w:val="00B42FFB"/>
    <w:rsid w:val="00B433DF"/>
    <w:rsid w:val="00B4516D"/>
    <w:rsid w:val="00B45D1A"/>
    <w:rsid w:val="00B46D65"/>
    <w:rsid w:val="00B46D79"/>
    <w:rsid w:val="00B47D76"/>
    <w:rsid w:val="00B51455"/>
    <w:rsid w:val="00B52577"/>
    <w:rsid w:val="00B529EA"/>
    <w:rsid w:val="00B539C0"/>
    <w:rsid w:val="00B539DD"/>
    <w:rsid w:val="00B56C7A"/>
    <w:rsid w:val="00B6142E"/>
    <w:rsid w:val="00B62873"/>
    <w:rsid w:val="00B62CA8"/>
    <w:rsid w:val="00B63CBC"/>
    <w:rsid w:val="00B665B0"/>
    <w:rsid w:val="00B728C9"/>
    <w:rsid w:val="00B76BA4"/>
    <w:rsid w:val="00B778A6"/>
    <w:rsid w:val="00B82E2E"/>
    <w:rsid w:val="00B83291"/>
    <w:rsid w:val="00B834E7"/>
    <w:rsid w:val="00B83BF1"/>
    <w:rsid w:val="00B86028"/>
    <w:rsid w:val="00B900AF"/>
    <w:rsid w:val="00B9527D"/>
    <w:rsid w:val="00B95AE8"/>
    <w:rsid w:val="00B97A12"/>
    <w:rsid w:val="00BA0F92"/>
    <w:rsid w:val="00BA2E0D"/>
    <w:rsid w:val="00BA46C4"/>
    <w:rsid w:val="00BA534E"/>
    <w:rsid w:val="00BA62CE"/>
    <w:rsid w:val="00BA779C"/>
    <w:rsid w:val="00BB0EEE"/>
    <w:rsid w:val="00BB1982"/>
    <w:rsid w:val="00BB541B"/>
    <w:rsid w:val="00BC0D4D"/>
    <w:rsid w:val="00BC1BB4"/>
    <w:rsid w:val="00BC3666"/>
    <w:rsid w:val="00BC721D"/>
    <w:rsid w:val="00BD088E"/>
    <w:rsid w:val="00BD0C4A"/>
    <w:rsid w:val="00BD0E5D"/>
    <w:rsid w:val="00BD1238"/>
    <w:rsid w:val="00BD269A"/>
    <w:rsid w:val="00BD2E6F"/>
    <w:rsid w:val="00BD464E"/>
    <w:rsid w:val="00BD4819"/>
    <w:rsid w:val="00BE07D6"/>
    <w:rsid w:val="00BE17B0"/>
    <w:rsid w:val="00BE1CE3"/>
    <w:rsid w:val="00BE2AB1"/>
    <w:rsid w:val="00BE2F90"/>
    <w:rsid w:val="00BE46FC"/>
    <w:rsid w:val="00BE664A"/>
    <w:rsid w:val="00BE66F5"/>
    <w:rsid w:val="00BE76C3"/>
    <w:rsid w:val="00BF0542"/>
    <w:rsid w:val="00BF0FD3"/>
    <w:rsid w:val="00BF2BD6"/>
    <w:rsid w:val="00BF2E7E"/>
    <w:rsid w:val="00BF32B2"/>
    <w:rsid w:val="00BF3A83"/>
    <w:rsid w:val="00BF514F"/>
    <w:rsid w:val="00BF5AFF"/>
    <w:rsid w:val="00BF7445"/>
    <w:rsid w:val="00BF7AD5"/>
    <w:rsid w:val="00C0061E"/>
    <w:rsid w:val="00C02911"/>
    <w:rsid w:val="00C06598"/>
    <w:rsid w:val="00C070FF"/>
    <w:rsid w:val="00C10860"/>
    <w:rsid w:val="00C10B72"/>
    <w:rsid w:val="00C10C6E"/>
    <w:rsid w:val="00C11FFB"/>
    <w:rsid w:val="00C12F43"/>
    <w:rsid w:val="00C14967"/>
    <w:rsid w:val="00C154CE"/>
    <w:rsid w:val="00C1671E"/>
    <w:rsid w:val="00C16780"/>
    <w:rsid w:val="00C215DD"/>
    <w:rsid w:val="00C21AA8"/>
    <w:rsid w:val="00C229BD"/>
    <w:rsid w:val="00C22DFF"/>
    <w:rsid w:val="00C22EB2"/>
    <w:rsid w:val="00C276E0"/>
    <w:rsid w:val="00C27DD2"/>
    <w:rsid w:val="00C31C46"/>
    <w:rsid w:val="00C33156"/>
    <w:rsid w:val="00C33437"/>
    <w:rsid w:val="00C3434C"/>
    <w:rsid w:val="00C3485B"/>
    <w:rsid w:val="00C349B7"/>
    <w:rsid w:val="00C34EBF"/>
    <w:rsid w:val="00C36478"/>
    <w:rsid w:val="00C36B89"/>
    <w:rsid w:val="00C40E36"/>
    <w:rsid w:val="00C4340F"/>
    <w:rsid w:val="00C4360B"/>
    <w:rsid w:val="00C43F52"/>
    <w:rsid w:val="00C4424F"/>
    <w:rsid w:val="00C4561D"/>
    <w:rsid w:val="00C462A1"/>
    <w:rsid w:val="00C478FA"/>
    <w:rsid w:val="00C50DCD"/>
    <w:rsid w:val="00C511E7"/>
    <w:rsid w:val="00C51314"/>
    <w:rsid w:val="00C515AB"/>
    <w:rsid w:val="00C51998"/>
    <w:rsid w:val="00C532DA"/>
    <w:rsid w:val="00C55A0A"/>
    <w:rsid w:val="00C56D1D"/>
    <w:rsid w:val="00C6138F"/>
    <w:rsid w:val="00C63B1E"/>
    <w:rsid w:val="00C64178"/>
    <w:rsid w:val="00C645A2"/>
    <w:rsid w:val="00C64710"/>
    <w:rsid w:val="00C673D0"/>
    <w:rsid w:val="00C718C7"/>
    <w:rsid w:val="00C71E30"/>
    <w:rsid w:val="00C7334B"/>
    <w:rsid w:val="00C73E5A"/>
    <w:rsid w:val="00C7740C"/>
    <w:rsid w:val="00C778F6"/>
    <w:rsid w:val="00C77B7C"/>
    <w:rsid w:val="00C800B6"/>
    <w:rsid w:val="00C81FD6"/>
    <w:rsid w:val="00C8262D"/>
    <w:rsid w:val="00C8293C"/>
    <w:rsid w:val="00C829FE"/>
    <w:rsid w:val="00C8366E"/>
    <w:rsid w:val="00C83E7F"/>
    <w:rsid w:val="00C9016D"/>
    <w:rsid w:val="00C90DB0"/>
    <w:rsid w:val="00C90E16"/>
    <w:rsid w:val="00C91458"/>
    <w:rsid w:val="00C931F4"/>
    <w:rsid w:val="00C932E2"/>
    <w:rsid w:val="00C93EAD"/>
    <w:rsid w:val="00C94269"/>
    <w:rsid w:val="00C95992"/>
    <w:rsid w:val="00C96ED9"/>
    <w:rsid w:val="00CA0429"/>
    <w:rsid w:val="00CA20CA"/>
    <w:rsid w:val="00CA3F0B"/>
    <w:rsid w:val="00CA3FA5"/>
    <w:rsid w:val="00CA5CDA"/>
    <w:rsid w:val="00CB10FF"/>
    <w:rsid w:val="00CB2635"/>
    <w:rsid w:val="00CB29D0"/>
    <w:rsid w:val="00CB44B9"/>
    <w:rsid w:val="00CB76C1"/>
    <w:rsid w:val="00CB7CD0"/>
    <w:rsid w:val="00CB7F20"/>
    <w:rsid w:val="00CC1154"/>
    <w:rsid w:val="00CC55EC"/>
    <w:rsid w:val="00CC5CD5"/>
    <w:rsid w:val="00CC5F40"/>
    <w:rsid w:val="00CC6563"/>
    <w:rsid w:val="00CD1E28"/>
    <w:rsid w:val="00CD1E86"/>
    <w:rsid w:val="00CD2CEE"/>
    <w:rsid w:val="00CD3382"/>
    <w:rsid w:val="00CD5EC0"/>
    <w:rsid w:val="00CD6C24"/>
    <w:rsid w:val="00CD6C41"/>
    <w:rsid w:val="00CE0933"/>
    <w:rsid w:val="00CE1E42"/>
    <w:rsid w:val="00CE371E"/>
    <w:rsid w:val="00CE468B"/>
    <w:rsid w:val="00CE4B48"/>
    <w:rsid w:val="00CE6553"/>
    <w:rsid w:val="00CE6611"/>
    <w:rsid w:val="00CE666D"/>
    <w:rsid w:val="00CF1E6D"/>
    <w:rsid w:val="00CF353B"/>
    <w:rsid w:val="00CF3A8E"/>
    <w:rsid w:val="00CF4FC5"/>
    <w:rsid w:val="00CF5577"/>
    <w:rsid w:val="00CF65F4"/>
    <w:rsid w:val="00CF7B0D"/>
    <w:rsid w:val="00D00053"/>
    <w:rsid w:val="00D00503"/>
    <w:rsid w:val="00D00B9E"/>
    <w:rsid w:val="00D01355"/>
    <w:rsid w:val="00D06ABE"/>
    <w:rsid w:val="00D1007F"/>
    <w:rsid w:val="00D110E9"/>
    <w:rsid w:val="00D11D3B"/>
    <w:rsid w:val="00D133D7"/>
    <w:rsid w:val="00D16651"/>
    <w:rsid w:val="00D17111"/>
    <w:rsid w:val="00D17D09"/>
    <w:rsid w:val="00D21256"/>
    <w:rsid w:val="00D212FA"/>
    <w:rsid w:val="00D215B4"/>
    <w:rsid w:val="00D270F5"/>
    <w:rsid w:val="00D27708"/>
    <w:rsid w:val="00D32059"/>
    <w:rsid w:val="00D32456"/>
    <w:rsid w:val="00D3311D"/>
    <w:rsid w:val="00D3368A"/>
    <w:rsid w:val="00D35A12"/>
    <w:rsid w:val="00D4089C"/>
    <w:rsid w:val="00D40ADF"/>
    <w:rsid w:val="00D42485"/>
    <w:rsid w:val="00D43F29"/>
    <w:rsid w:val="00D44124"/>
    <w:rsid w:val="00D4467F"/>
    <w:rsid w:val="00D461DB"/>
    <w:rsid w:val="00D4689A"/>
    <w:rsid w:val="00D52C94"/>
    <w:rsid w:val="00D55805"/>
    <w:rsid w:val="00D56DC1"/>
    <w:rsid w:val="00D60927"/>
    <w:rsid w:val="00D6515F"/>
    <w:rsid w:val="00D6574E"/>
    <w:rsid w:val="00D66DCD"/>
    <w:rsid w:val="00D67E43"/>
    <w:rsid w:val="00D7037B"/>
    <w:rsid w:val="00D704E7"/>
    <w:rsid w:val="00D7052E"/>
    <w:rsid w:val="00D70750"/>
    <w:rsid w:val="00D735F2"/>
    <w:rsid w:val="00D73C8B"/>
    <w:rsid w:val="00D75238"/>
    <w:rsid w:val="00D809D5"/>
    <w:rsid w:val="00D80C65"/>
    <w:rsid w:val="00D81B4F"/>
    <w:rsid w:val="00D848E3"/>
    <w:rsid w:val="00D84D94"/>
    <w:rsid w:val="00D855A1"/>
    <w:rsid w:val="00D8679C"/>
    <w:rsid w:val="00D871B2"/>
    <w:rsid w:val="00D91E49"/>
    <w:rsid w:val="00D92DEE"/>
    <w:rsid w:val="00D9473F"/>
    <w:rsid w:val="00D94798"/>
    <w:rsid w:val="00D95DAC"/>
    <w:rsid w:val="00D96C92"/>
    <w:rsid w:val="00D97689"/>
    <w:rsid w:val="00DA026F"/>
    <w:rsid w:val="00DA03F7"/>
    <w:rsid w:val="00DA0B36"/>
    <w:rsid w:val="00DA1991"/>
    <w:rsid w:val="00DA3A92"/>
    <w:rsid w:val="00DA50C8"/>
    <w:rsid w:val="00DA7D5B"/>
    <w:rsid w:val="00DB0274"/>
    <w:rsid w:val="00DB12E1"/>
    <w:rsid w:val="00DB4D67"/>
    <w:rsid w:val="00DB5116"/>
    <w:rsid w:val="00DB5698"/>
    <w:rsid w:val="00DC1382"/>
    <w:rsid w:val="00DC13B1"/>
    <w:rsid w:val="00DC1EA0"/>
    <w:rsid w:val="00DC26E5"/>
    <w:rsid w:val="00DC4628"/>
    <w:rsid w:val="00DC5013"/>
    <w:rsid w:val="00DC7975"/>
    <w:rsid w:val="00DD252A"/>
    <w:rsid w:val="00DD2DD3"/>
    <w:rsid w:val="00DD4A4C"/>
    <w:rsid w:val="00DD6C90"/>
    <w:rsid w:val="00DD793B"/>
    <w:rsid w:val="00DE2E5E"/>
    <w:rsid w:val="00DE417C"/>
    <w:rsid w:val="00DE57DD"/>
    <w:rsid w:val="00DE7F9A"/>
    <w:rsid w:val="00DF049E"/>
    <w:rsid w:val="00DF07C3"/>
    <w:rsid w:val="00DF1B41"/>
    <w:rsid w:val="00DF3F00"/>
    <w:rsid w:val="00DF5ED7"/>
    <w:rsid w:val="00DF69C1"/>
    <w:rsid w:val="00DF6CCC"/>
    <w:rsid w:val="00DF76E3"/>
    <w:rsid w:val="00DF7FFC"/>
    <w:rsid w:val="00E0057C"/>
    <w:rsid w:val="00E020C5"/>
    <w:rsid w:val="00E030A8"/>
    <w:rsid w:val="00E03833"/>
    <w:rsid w:val="00E044F5"/>
    <w:rsid w:val="00E078EE"/>
    <w:rsid w:val="00E07EC3"/>
    <w:rsid w:val="00E109BD"/>
    <w:rsid w:val="00E12E6A"/>
    <w:rsid w:val="00E1382C"/>
    <w:rsid w:val="00E13C2C"/>
    <w:rsid w:val="00E144F6"/>
    <w:rsid w:val="00E15258"/>
    <w:rsid w:val="00E16589"/>
    <w:rsid w:val="00E173C8"/>
    <w:rsid w:val="00E20D04"/>
    <w:rsid w:val="00E21E73"/>
    <w:rsid w:val="00E245E7"/>
    <w:rsid w:val="00E26421"/>
    <w:rsid w:val="00E27CE8"/>
    <w:rsid w:val="00E31DE4"/>
    <w:rsid w:val="00E3312F"/>
    <w:rsid w:val="00E33968"/>
    <w:rsid w:val="00E3659F"/>
    <w:rsid w:val="00E3706B"/>
    <w:rsid w:val="00E3771F"/>
    <w:rsid w:val="00E40260"/>
    <w:rsid w:val="00E41A22"/>
    <w:rsid w:val="00E45F7E"/>
    <w:rsid w:val="00E474C2"/>
    <w:rsid w:val="00E47B41"/>
    <w:rsid w:val="00E47EF6"/>
    <w:rsid w:val="00E51D76"/>
    <w:rsid w:val="00E54C72"/>
    <w:rsid w:val="00E55C36"/>
    <w:rsid w:val="00E5719D"/>
    <w:rsid w:val="00E60FB9"/>
    <w:rsid w:val="00E628B7"/>
    <w:rsid w:val="00E63C1C"/>
    <w:rsid w:val="00E63ED5"/>
    <w:rsid w:val="00E66209"/>
    <w:rsid w:val="00E708A1"/>
    <w:rsid w:val="00E70A2D"/>
    <w:rsid w:val="00E72569"/>
    <w:rsid w:val="00E73033"/>
    <w:rsid w:val="00E73FD9"/>
    <w:rsid w:val="00E74D9F"/>
    <w:rsid w:val="00E757EB"/>
    <w:rsid w:val="00E75C36"/>
    <w:rsid w:val="00E77B83"/>
    <w:rsid w:val="00E77EDC"/>
    <w:rsid w:val="00E80B22"/>
    <w:rsid w:val="00E81295"/>
    <w:rsid w:val="00E822BA"/>
    <w:rsid w:val="00E82A81"/>
    <w:rsid w:val="00E82FED"/>
    <w:rsid w:val="00E8385D"/>
    <w:rsid w:val="00E85573"/>
    <w:rsid w:val="00E859F8"/>
    <w:rsid w:val="00E931F7"/>
    <w:rsid w:val="00E94969"/>
    <w:rsid w:val="00E96993"/>
    <w:rsid w:val="00E97296"/>
    <w:rsid w:val="00EA0508"/>
    <w:rsid w:val="00EA1451"/>
    <w:rsid w:val="00EA1B65"/>
    <w:rsid w:val="00EA20A8"/>
    <w:rsid w:val="00EA2A2A"/>
    <w:rsid w:val="00EA3BC3"/>
    <w:rsid w:val="00EA496C"/>
    <w:rsid w:val="00EA7526"/>
    <w:rsid w:val="00EA7556"/>
    <w:rsid w:val="00EB208F"/>
    <w:rsid w:val="00EB2BF6"/>
    <w:rsid w:val="00EB4EB5"/>
    <w:rsid w:val="00EC3136"/>
    <w:rsid w:val="00EC349A"/>
    <w:rsid w:val="00EC653F"/>
    <w:rsid w:val="00EC69DE"/>
    <w:rsid w:val="00EC6D90"/>
    <w:rsid w:val="00EC75DC"/>
    <w:rsid w:val="00EC7659"/>
    <w:rsid w:val="00ED2657"/>
    <w:rsid w:val="00ED45DC"/>
    <w:rsid w:val="00ED565B"/>
    <w:rsid w:val="00ED6F3F"/>
    <w:rsid w:val="00ED77F8"/>
    <w:rsid w:val="00ED7F51"/>
    <w:rsid w:val="00EE0ECD"/>
    <w:rsid w:val="00EE65B8"/>
    <w:rsid w:val="00EE68DD"/>
    <w:rsid w:val="00EF0A62"/>
    <w:rsid w:val="00EF3095"/>
    <w:rsid w:val="00EF5B11"/>
    <w:rsid w:val="00F01C8E"/>
    <w:rsid w:val="00F03145"/>
    <w:rsid w:val="00F04DE2"/>
    <w:rsid w:val="00F06152"/>
    <w:rsid w:val="00F065E2"/>
    <w:rsid w:val="00F07B65"/>
    <w:rsid w:val="00F112A5"/>
    <w:rsid w:val="00F11FA1"/>
    <w:rsid w:val="00F12114"/>
    <w:rsid w:val="00F278FF"/>
    <w:rsid w:val="00F27B32"/>
    <w:rsid w:val="00F32D65"/>
    <w:rsid w:val="00F33CD9"/>
    <w:rsid w:val="00F34512"/>
    <w:rsid w:val="00F357B0"/>
    <w:rsid w:val="00F37E87"/>
    <w:rsid w:val="00F419E8"/>
    <w:rsid w:val="00F43662"/>
    <w:rsid w:val="00F44B56"/>
    <w:rsid w:val="00F45697"/>
    <w:rsid w:val="00F51481"/>
    <w:rsid w:val="00F52513"/>
    <w:rsid w:val="00F53214"/>
    <w:rsid w:val="00F55E6E"/>
    <w:rsid w:val="00F561FB"/>
    <w:rsid w:val="00F57AA0"/>
    <w:rsid w:val="00F6224B"/>
    <w:rsid w:val="00F62FC1"/>
    <w:rsid w:val="00F63D6F"/>
    <w:rsid w:val="00F6609F"/>
    <w:rsid w:val="00F678B5"/>
    <w:rsid w:val="00F73347"/>
    <w:rsid w:val="00F73617"/>
    <w:rsid w:val="00F806FA"/>
    <w:rsid w:val="00F8197C"/>
    <w:rsid w:val="00F8240B"/>
    <w:rsid w:val="00F838B3"/>
    <w:rsid w:val="00F843E3"/>
    <w:rsid w:val="00F849D3"/>
    <w:rsid w:val="00F8533C"/>
    <w:rsid w:val="00F87A18"/>
    <w:rsid w:val="00F9218E"/>
    <w:rsid w:val="00F9394C"/>
    <w:rsid w:val="00F9410C"/>
    <w:rsid w:val="00F95DE4"/>
    <w:rsid w:val="00F97557"/>
    <w:rsid w:val="00FA0A80"/>
    <w:rsid w:val="00FA29D8"/>
    <w:rsid w:val="00FA3BC6"/>
    <w:rsid w:val="00FA3ED3"/>
    <w:rsid w:val="00FB21EA"/>
    <w:rsid w:val="00FB3BB2"/>
    <w:rsid w:val="00FB58A0"/>
    <w:rsid w:val="00FB6415"/>
    <w:rsid w:val="00FB6F7D"/>
    <w:rsid w:val="00FB7C62"/>
    <w:rsid w:val="00FC068A"/>
    <w:rsid w:val="00FC21F2"/>
    <w:rsid w:val="00FC32D9"/>
    <w:rsid w:val="00FC3D67"/>
    <w:rsid w:val="00FC5A1F"/>
    <w:rsid w:val="00FC6616"/>
    <w:rsid w:val="00FC7C05"/>
    <w:rsid w:val="00FD34FF"/>
    <w:rsid w:val="00FD3FDB"/>
    <w:rsid w:val="00FD6124"/>
    <w:rsid w:val="00FD62EA"/>
    <w:rsid w:val="00FD7728"/>
    <w:rsid w:val="00FE0C4A"/>
    <w:rsid w:val="00FE1A4D"/>
    <w:rsid w:val="00FE493C"/>
    <w:rsid w:val="00FE4BA0"/>
    <w:rsid w:val="00FE4D7E"/>
    <w:rsid w:val="00FE58DC"/>
    <w:rsid w:val="00FE7846"/>
    <w:rsid w:val="00FF0048"/>
    <w:rsid w:val="00FF2E87"/>
    <w:rsid w:val="00FF3275"/>
    <w:rsid w:val="00FF4351"/>
    <w:rsid w:val="00FF5A2D"/>
    <w:rsid w:val="00FF5AAF"/>
    <w:rsid w:val="00FF5AD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D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E02"/>
    <w:pPr>
      <w:spacing w:after="0" w:line="240" w:lineRule="auto"/>
      <w:jc w:val="both"/>
    </w:pPr>
    <w:rPr>
      <w:rFonts w:ascii="Times New Roman" w:hAnsi="Times New Roman" w:cs="Times New Roman"/>
      <w:sz w:val="24"/>
      <w:szCs w:val="24"/>
    </w:rPr>
  </w:style>
  <w:style w:type="paragraph" w:styleId="Heading1">
    <w:name w:val="heading 1"/>
    <w:basedOn w:val="Normal"/>
    <w:next w:val="Normal"/>
    <w:link w:val="Heading1Char"/>
    <w:qFormat/>
    <w:rsid w:val="00FF5ADE"/>
    <w:pPr>
      <w:keepNext/>
      <w:outlineLvl w:val="0"/>
    </w:pPr>
    <w:rPr>
      <w:rFonts w:eastAsia="Times New Roman"/>
      <w:b/>
      <w:szCs w:val="20"/>
    </w:rPr>
  </w:style>
  <w:style w:type="paragraph" w:styleId="Heading3">
    <w:name w:val="heading 3"/>
    <w:basedOn w:val="Normal"/>
    <w:next w:val="Normal"/>
    <w:link w:val="Heading3Char"/>
    <w:uiPriority w:val="9"/>
    <w:semiHidden/>
    <w:unhideWhenUsed/>
    <w:qFormat/>
    <w:rsid w:val="0074762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unhideWhenUsed/>
    <w:qFormat/>
    <w:rsid w:val="00802E02"/>
    <w:pPr>
      <w:suppressLineNumbers/>
      <w:spacing w:before="120" w:after="120"/>
    </w:pPr>
    <w:rPr>
      <w:rFonts w:cs="Arial"/>
      <w:i/>
      <w:iCs/>
    </w:rPr>
  </w:style>
  <w:style w:type="paragraph" w:styleId="BodyText">
    <w:name w:val="Body Text"/>
    <w:basedOn w:val="Normal"/>
    <w:link w:val="BodyTextChar"/>
    <w:semiHidden/>
    <w:unhideWhenUsed/>
    <w:rsid w:val="00802E02"/>
    <w:pPr>
      <w:suppressAutoHyphens/>
      <w:spacing w:after="120" w:line="252" w:lineRule="auto"/>
    </w:pPr>
    <w:rPr>
      <w:rFonts w:eastAsia="SimSun" w:cs="Calibri"/>
      <w:kern w:val="2"/>
      <w:lang w:eastAsia="ar-SA"/>
    </w:rPr>
  </w:style>
  <w:style w:type="character" w:customStyle="1" w:styleId="BodyTextChar">
    <w:name w:val="Body Text Char"/>
    <w:basedOn w:val="DefaultParagraphFont"/>
    <w:link w:val="BodyText"/>
    <w:semiHidden/>
    <w:rsid w:val="00802E02"/>
    <w:rPr>
      <w:rFonts w:ascii="Times New Roman" w:eastAsia="SimSun" w:hAnsi="Times New Roman" w:cs="Calibri"/>
      <w:kern w:val="2"/>
      <w:sz w:val="24"/>
      <w:szCs w:val="24"/>
      <w:lang w:eastAsia="ar-SA"/>
    </w:rPr>
  </w:style>
  <w:style w:type="paragraph" w:styleId="NoSpacing">
    <w:name w:val="No Spacing"/>
    <w:aliases w:val="Body Text1"/>
    <w:link w:val="NoSpacingChar"/>
    <w:qFormat/>
    <w:rsid w:val="00802E02"/>
    <w:pPr>
      <w:spacing w:after="0" w:line="240" w:lineRule="auto"/>
      <w:jc w:val="both"/>
    </w:pPr>
    <w:rPr>
      <w:rFonts w:ascii="Times New Roman" w:eastAsia="Calibri" w:hAnsi="Times New Roman" w:cs="Times New Roman"/>
    </w:rPr>
  </w:style>
  <w:style w:type="character" w:customStyle="1" w:styleId="CharStyle16">
    <w:name w:val="Char Style 16"/>
    <w:basedOn w:val="DefaultParagraphFont"/>
    <w:link w:val="Style5"/>
    <w:uiPriority w:val="99"/>
    <w:locked/>
    <w:rsid w:val="00802E02"/>
    <w:rPr>
      <w:shd w:val="clear" w:color="auto" w:fill="FFFFFF"/>
    </w:rPr>
  </w:style>
  <w:style w:type="paragraph" w:customStyle="1" w:styleId="Style5">
    <w:name w:val="Style 5"/>
    <w:basedOn w:val="Normal"/>
    <w:link w:val="CharStyle16"/>
    <w:uiPriority w:val="99"/>
    <w:rsid w:val="00802E02"/>
    <w:pPr>
      <w:widowControl w:val="0"/>
      <w:shd w:val="clear" w:color="auto" w:fill="FFFFFF"/>
      <w:spacing w:line="244" w:lineRule="exact"/>
      <w:ind w:hanging="500"/>
      <w:jc w:val="left"/>
    </w:pPr>
    <w:rPr>
      <w:rFonts w:asciiTheme="minorHAnsi" w:hAnsiTheme="minorHAnsi" w:cstheme="minorBidi"/>
      <w:sz w:val="22"/>
      <w:szCs w:val="22"/>
    </w:rPr>
  </w:style>
  <w:style w:type="character" w:customStyle="1" w:styleId="CharStyle3">
    <w:name w:val="Char Style 3"/>
    <w:uiPriority w:val="99"/>
    <w:qFormat/>
    <w:locked/>
    <w:rsid w:val="00802E02"/>
    <w:rPr>
      <w:shd w:val="clear" w:color="auto" w:fill="FFFFFF"/>
    </w:rPr>
  </w:style>
  <w:style w:type="paragraph" w:styleId="BalloonText">
    <w:name w:val="Balloon Text"/>
    <w:basedOn w:val="Normal"/>
    <w:link w:val="BalloonTextChar"/>
    <w:uiPriority w:val="99"/>
    <w:semiHidden/>
    <w:unhideWhenUsed/>
    <w:rsid w:val="00802E02"/>
    <w:rPr>
      <w:rFonts w:ascii="Tahoma" w:hAnsi="Tahoma" w:cs="Tahoma"/>
      <w:sz w:val="16"/>
      <w:szCs w:val="16"/>
    </w:rPr>
  </w:style>
  <w:style w:type="character" w:customStyle="1" w:styleId="BalloonTextChar">
    <w:name w:val="Balloon Text Char"/>
    <w:basedOn w:val="DefaultParagraphFont"/>
    <w:link w:val="BalloonText"/>
    <w:uiPriority w:val="99"/>
    <w:semiHidden/>
    <w:rsid w:val="00802E02"/>
    <w:rPr>
      <w:rFonts w:ascii="Tahoma" w:hAnsi="Tahoma" w:cs="Tahoma"/>
      <w:sz w:val="16"/>
      <w:szCs w:val="16"/>
    </w:rPr>
  </w:style>
  <w:style w:type="paragraph" w:styleId="Header">
    <w:name w:val="header"/>
    <w:basedOn w:val="Normal"/>
    <w:link w:val="HeaderChar"/>
    <w:uiPriority w:val="99"/>
    <w:unhideWhenUsed/>
    <w:rsid w:val="003913B7"/>
    <w:pPr>
      <w:tabs>
        <w:tab w:val="center" w:pos="4153"/>
        <w:tab w:val="right" w:pos="8306"/>
      </w:tabs>
    </w:pPr>
  </w:style>
  <w:style w:type="character" w:customStyle="1" w:styleId="HeaderChar">
    <w:name w:val="Header Char"/>
    <w:basedOn w:val="DefaultParagraphFont"/>
    <w:link w:val="Header"/>
    <w:uiPriority w:val="99"/>
    <w:rsid w:val="003913B7"/>
    <w:rPr>
      <w:rFonts w:ascii="Times New Roman" w:hAnsi="Times New Roman" w:cs="Times New Roman"/>
      <w:sz w:val="24"/>
      <w:szCs w:val="24"/>
    </w:rPr>
  </w:style>
  <w:style w:type="paragraph" w:styleId="Footer">
    <w:name w:val="footer"/>
    <w:basedOn w:val="Normal"/>
    <w:link w:val="FooterChar"/>
    <w:uiPriority w:val="99"/>
    <w:unhideWhenUsed/>
    <w:rsid w:val="003913B7"/>
    <w:pPr>
      <w:tabs>
        <w:tab w:val="center" w:pos="4153"/>
        <w:tab w:val="right" w:pos="8306"/>
      </w:tabs>
    </w:pPr>
  </w:style>
  <w:style w:type="character" w:customStyle="1" w:styleId="FooterChar">
    <w:name w:val="Footer Char"/>
    <w:basedOn w:val="DefaultParagraphFont"/>
    <w:link w:val="Footer"/>
    <w:uiPriority w:val="99"/>
    <w:rsid w:val="003913B7"/>
    <w:rPr>
      <w:rFonts w:ascii="Times New Roman" w:hAnsi="Times New Roman" w:cs="Times New Roman"/>
      <w:sz w:val="24"/>
      <w:szCs w:val="24"/>
    </w:rPr>
  </w:style>
  <w:style w:type="paragraph" w:customStyle="1" w:styleId="tv213">
    <w:name w:val="tv213"/>
    <w:basedOn w:val="Normal"/>
    <w:rsid w:val="00654884"/>
    <w:pPr>
      <w:spacing w:before="100" w:beforeAutospacing="1" w:after="100" w:afterAutospacing="1"/>
      <w:jc w:val="left"/>
    </w:pPr>
    <w:rPr>
      <w:rFonts w:eastAsia="Times New Roman"/>
      <w:lang w:eastAsia="lv-LV"/>
    </w:rPr>
  </w:style>
  <w:style w:type="character" w:customStyle="1" w:styleId="NoSpacingChar">
    <w:name w:val="No Spacing Char"/>
    <w:aliases w:val="Body Text1 Char"/>
    <w:link w:val="NoSpacing"/>
    <w:rsid w:val="00654884"/>
    <w:rPr>
      <w:rFonts w:ascii="Times New Roman" w:eastAsia="Calibri" w:hAnsi="Times New Roman" w:cs="Times New Roman"/>
    </w:rPr>
  </w:style>
  <w:style w:type="paragraph" w:styleId="ListParagraph">
    <w:name w:val="List Paragraph"/>
    <w:basedOn w:val="Normal"/>
    <w:uiPriority w:val="34"/>
    <w:qFormat/>
    <w:rsid w:val="00320BA3"/>
    <w:pPr>
      <w:ind w:left="720"/>
      <w:contextualSpacing/>
    </w:pPr>
  </w:style>
  <w:style w:type="paragraph" w:customStyle="1" w:styleId="naisf">
    <w:name w:val="naisf"/>
    <w:basedOn w:val="Normal"/>
    <w:rsid w:val="000E7FB5"/>
    <w:pPr>
      <w:spacing w:before="100" w:beforeAutospacing="1" w:after="100" w:afterAutospacing="1"/>
      <w:jc w:val="left"/>
    </w:pPr>
    <w:rPr>
      <w:rFonts w:eastAsia="Times New Roman"/>
      <w:lang w:val="en-US"/>
    </w:rPr>
  </w:style>
  <w:style w:type="character" w:customStyle="1" w:styleId="Heading1Char">
    <w:name w:val="Heading 1 Char"/>
    <w:basedOn w:val="DefaultParagraphFont"/>
    <w:link w:val="Heading1"/>
    <w:rsid w:val="00FF5ADE"/>
    <w:rPr>
      <w:rFonts w:ascii="Times New Roman" w:eastAsia="Times New Roman" w:hAnsi="Times New Roman" w:cs="Times New Roman"/>
      <w:b/>
      <w:sz w:val="24"/>
      <w:szCs w:val="20"/>
    </w:rPr>
  </w:style>
  <w:style w:type="character" w:customStyle="1" w:styleId="Style1Char">
    <w:name w:val="Style1 Char"/>
    <w:basedOn w:val="DefaultParagraphFont"/>
    <w:link w:val="Style1"/>
    <w:locked/>
    <w:rsid w:val="00607662"/>
  </w:style>
  <w:style w:type="paragraph" w:customStyle="1" w:styleId="Style1">
    <w:name w:val="Style1"/>
    <w:basedOn w:val="Normal"/>
    <w:link w:val="Style1Char"/>
    <w:qFormat/>
    <w:rsid w:val="00607662"/>
    <w:pPr>
      <w:spacing w:line="276" w:lineRule="auto"/>
      <w:ind w:firstLine="567"/>
    </w:pPr>
    <w:rPr>
      <w:rFonts w:asciiTheme="minorHAnsi" w:hAnsiTheme="minorHAnsi" w:cstheme="minorBidi"/>
      <w:sz w:val="22"/>
      <w:szCs w:val="22"/>
    </w:rPr>
  </w:style>
  <w:style w:type="paragraph" w:customStyle="1" w:styleId="Normal1">
    <w:name w:val="Normal1"/>
    <w:rsid w:val="00073F28"/>
    <w:pPr>
      <w:keepNext/>
      <w:shd w:val="clear" w:color="auto" w:fill="FFFFFF"/>
      <w:spacing w:after="0" w:line="240" w:lineRule="auto"/>
    </w:pPr>
    <w:rPr>
      <w:rFonts w:ascii="Liberation Serif" w:eastAsia="Liberation Serif" w:hAnsi="Liberation Serif" w:cs="Liberation Serif"/>
      <w:sz w:val="24"/>
      <w:szCs w:val="24"/>
      <w:lang w:eastAsia="lv-LV"/>
    </w:rPr>
  </w:style>
  <w:style w:type="paragraph" w:styleId="FootnoteText">
    <w:name w:val="footnote text"/>
    <w:basedOn w:val="Normal"/>
    <w:link w:val="FootnoteTextChar"/>
    <w:uiPriority w:val="99"/>
    <w:unhideWhenUsed/>
    <w:qFormat/>
    <w:rsid w:val="00E1382C"/>
    <w:pPr>
      <w:ind w:left="142" w:hanging="142"/>
    </w:pPr>
    <w:rPr>
      <w:rFonts w:eastAsia="Times New Roman"/>
      <w:sz w:val="20"/>
      <w:szCs w:val="20"/>
      <w:lang w:val="en-GB"/>
    </w:rPr>
  </w:style>
  <w:style w:type="character" w:customStyle="1" w:styleId="FootnoteTextChar">
    <w:name w:val="Footnote Text Char"/>
    <w:basedOn w:val="DefaultParagraphFont"/>
    <w:link w:val="FootnoteText"/>
    <w:uiPriority w:val="99"/>
    <w:rsid w:val="00E1382C"/>
    <w:rPr>
      <w:rFonts w:ascii="Times New Roman" w:eastAsia="Times New Roman" w:hAnsi="Times New Roman" w:cs="Times New Roman"/>
      <w:sz w:val="20"/>
      <w:szCs w:val="20"/>
      <w:lang w:val="en-GB"/>
    </w:rPr>
  </w:style>
  <w:style w:type="character" w:styleId="FootnoteReference">
    <w:name w:val="footnote reference"/>
    <w:aliases w:val="Footnote Reference Number,SUPERS"/>
    <w:basedOn w:val="DefaultParagraphFont"/>
    <w:uiPriority w:val="99"/>
    <w:unhideWhenUsed/>
    <w:rsid w:val="00E1382C"/>
    <w:rPr>
      <w:vertAlign w:val="superscript"/>
    </w:rPr>
  </w:style>
  <w:style w:type="character" w:styleId="Hyperlink">
    <w:name w:val="Hyperlink"/>
    <w:basedOn w:val="DefaultParagraphFont"/>
    <w:uiPriority w:val="99"/>
    <w:unhideWhenUsed/>
    <w:rsid w:val="000B2FDA"/>
    <w:rPr>
      <w:color w:val="0000FF" w:themeColor="hyperlink"/>
      <w:u w:val="single"/>
    </w:rPr>
  </w:style>
  <w:style w:type="character" w:styleId="UnresolvedMention">
    <w:name w:val="Unresolved Mention"/>
    <w:basedOn w:val="DefaultParagraphFont"/>
    <w:uiPriority w:val="99"/>
    <w:semiHidden/>
    <w:unhideWhenUsed/>
    <w:rsid w:val="000B2FDA"/>
    <w:rPr>
      <w:color w:val="605E5C"/>
      <w:shd w:val="clear" w:color="auto" w:fill="E1DFDD"/>
    </w:rPr>
  </w:style>
  <w:style w:type="paragraph" w:styleId="NormalWeb">
    <w:name w:val="Normal (Web)"/>
    <w:basedOn w:val="Normal"/>
    <w:uiPriority w:val="99"/>
    <w:unhideWhenUsed/>
    <w:rsid w:val="00EC349A"/>
  </w:style>
  <w:style w:type="character" w:customStyle="1" w:styleId="Heading3Char">
    <w:name w:val="Heading 3 Char"/>
    <w:basedOn w:val="DefaultParagraphFont"/>
    <w:link w:val="Heading3"/>
    <w:uiPriority w:val="9"/>
    <w:semiHidden/>
    <w:rsid w:val="00747627"/>
    <w:rPr>
      <w:rFonts w:asciiTheme="majorHAnsi" w:eastAsiaTheme="majorEastAsia" w:hAnsiTheme="majorHAnsi" w:cstheme="majorBidi"/>
      <w:color w:val="243F60" w:themeColor="accent1" w:themeShade="7F"/>
      <w:sz w:val="24"/>
      <w:szCs w:val="24"/>
    </w:rPr>
  </w:style>
  <w:style w:type="paragraph" w:customStyle="1" w:styleId="Default">
    <w:name w:val="Default"/>
    <w:rsid w:val="0085457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437BE"/>
    <w:rPr>
      <w:color w:val="800080" w:themeColor="followedHyperlink"/>
      <w:u w:val="single"/>
    </w:rPr>
  </w:style>
  <w:style w:type="paragraph" w:styleId="Revision">
    <w:name w:val="Revision"/>
    <w:hidden/>
    <w:uiPriority w:val="99"/>
    <w:semiHidden/>
    <w:rsid w:val="00D8679C"/>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8679C"/>
    <w:rPr>
      <w:sz w:val="16"/>
      <w:szCs w:val="16"/>
    </w:rPr>
  </w:style>
  <w:style w:type="paragraph" w:styleId="CommentText">
    <w:name w:val="annotation text"/>
    <w:basedOn w:val="Normal"/>
    <w:link w:val="CommentTextChar"/>
    <w:uiPriority w:val="99"/>
    <w:unhideWhenUsed/>
    <w:rsid w:val="00D8679C"/>
    <w:rPr>
      <w:sz w:val="20"/>
      <w:szCs w:val="20"/>
    </w:rPr>
  </w:style>
  <w:style w:type="character" w:customStyle="1" w:styleId="CommentTextChar">
    <w:name w:val="Comment Text Char"/>
    <w:basedOn w:val="DefaultParagraphFont"/>
    <w:link w:val="CommentText"/>
    <w:uiPriority w:val="99"/>
    <w:rsid w:val="00D8679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679C"/>
    <w:rPr>
      <w:b/>
      <w:bCs/>
    </w:rPr>
  </w:style>
  <w:style w:type="character" w:customStyle="1" w:styleId="CommentSubjectChar">
    <w:name w:val="Comment Subject Char"/>
    <w:basedOn w:val="CommentTextChar"/>
    <w:link w:val="CommentSubject"/>
    <w:uiPriority w:val="99"/>
    <w:semiHidden/>
    <w:rsid w:val="00D8679C"/>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5239">
      <w:bodyDiv w:val="1"/>
      <w:marLeft w:val="0"/>
      <w:marRight w:val="0"/>
      <w:marTop w:val="0"/>
      <w:marBottom w:val="0"/>
      <w:divBdr>
        <w:top w:val="none" w:sz="0" w:space="0" w:color="auto"/>
        <w:left w:val="none" w:sz="0" w:space="0" w:color="auto"/>
        <w:bottom w:val="none" w:sz="0" w:space="0" w:color="auto"/>
        <w:right w:val="none" w:sz="0" w:space="0" w:color="auto"/>
      </w:divBdr>
    </w:div>
    <w:div w:id="123819438">
      <w:bodyDiv w:val="1"/>
      <w:marLeft w:val="0"/>
      <w:marRight w:val="0"/>
      <w:marTop w:val="0"/>
      <w:marBottom w:val="0"/>
      <w:divBdr>
        <w:top w:val="none" w:sz="0" w:space="0" w:color="auto"/>
        <w:left w:val="none" w:sz="0" w:space="0" w:color="auto"/>
        <w:bottom w:val="none" w:sz="0" w:space="0" w:color="auto"/>
        <w:right w:val="none" w:sz="0" w:space="0" w:color="auto"/>
      </w:divBdr>
    </w:div>
    <w:div w:id="220292991">
      <w:bodyDiv w:val="1"/>
      <w:marLeft w:val="0"/>
      <w:marRight w:val="0"/>
      <w:marTop w:val="0"/>
      <w:marBottom w:val="0"/>
      <w:divBdr>
        <w:top w:val="none" w:sz="0" w:space="0" w:color="auto"/>
        <w:left w:val="none" w:sz="0" w:space="0" w:color="auto"/>
        <w:bottom w:val="none" w:sz="0" w:space="0" w:color="auto"/>
        <w:right w:val="none" w:sz="0" w:space="0" w:color="auto"/>
      </w:divBdr>
    </w:div>
    <w:div w:id="254243675">
      <w:bodyDiv w:val="1"/>
      <w:marLeft w:val="0"/>
      <w:marRight w:val="0"/>
      <w:marTop w:val="0"/>
      <w:marBottom w:val="0"/>
      <w:divBdr>
        <w:top w:val="none" w:sz="0" w:space="0" w:color="auto"/>
        <w:left w:val="none" w:sz="0" w:space="0" w:color="auto"/>
        <w:bottom w:val="none" w:sz="0" w:space="0" w:color="auto"/>
        <w:right w:val="none" w:sz="0" w:space="0" w:color="auto"/>
      </w:divBdr>
    </w:div>
    <w:div w:id="333459658">
      <w:bodyDiv w:val="1"/>
      <w:marLeft w:val="0"/>
      <w:marRight w:val="0"/>
      <w:marTop w:val="0"/>
      <w:marBottom w:val="0"/>
      <w:divBdr>
        <w:top w:val="none" w:sz="0" w:space="0" w:color="auto"/>
        <w:left w:val="none" w:sz="0" w:space="0" w:color="auto"/>
        <w:bottom w:val="none" w:sz="0" w:space="0" w:color="auto"/>
        <w:right w:val="none" w:sz="0" w:space="0" w:color="auto"/>
      </w:divBdr>
    </w:div>
    <w:div w:id="392431071">
      <w:bodyDiv w:val="1"/>
      <w:marLeft w:val="0"/>
      <w:marRight w:val="0"/>
      <w:marTop w:val="0"/>
      <w:marBottom w:val="0"/>
      <w:divBdr>
        <w:top w:val="none" w:sz="0" w:space="0" w:color="auto"/>
        <w:left w:val="none" w:sz="0" w:space="0" w:color="auto"/>
        <w:bottom w:val="none" w:sz="0" w:space="0" w:color="auto"/>
        <w:right w:val="none" w:sz="0" w:space="0" w:color="auto"/>
      </w:divBdr>
    </w:div>
    <w:div w:id="478302475">
      <w:bodyDiv w:val="1"/>
      <w:marLeft w:val="0"/>
      <w:marRight w:val="0"/>
      <w:marTop w:val="0"/>
      <w:marBottom w:val="0"/>
      <w:divBdr>
        <w:top w:val="none" w:sz="0" w:space="0" w:color="auto"/>
        <w:left w:val="none" w:sz="0" w:space="0" w:color="auto"/>
        <w:bottom w:val="none" w:sz="0" w:space="0" w:color="auto"/>
        <w:right w:val="none" w:sz="0" w:space="0" w:color="auto"/>
      </w:divBdr>
    </w:div>
    <w:div w:id="512957169">
      <w:bodyDiv w:val="1"/>
      <w:marLeft w:val="0"/>
      <w:marRight w:val="0"/>
      <w:marTop w:val="0"/>
      <w:marBottom w:val="0"/>
      <w:divBdr>
        <w:top w:val="none" w:sz="0" w:space="0" w:color="auto"/>
        <w:left w:val="none" w:sz="0" w:space="0" w:color="auto"/>
        <w:bottom w:val="none" w:sz="0" w:space="0" w:color="auto"/>
        <w:right w:val="none" w:sz="0" w:space="0" w:color="auto"/>
      </w:divBdr>
    </w:div>
    <w:div w:id="565452171">
      <w:bodyDiv w:val="1"/>
      <w:marLeft w:val="0"/>
      <w:marRight w:val="0"/>
      <w:marTop w:val="0"/>
      <w:marBottom w:val="0"/>
      <w:divBdr>
        <w:top w:val="none" w:sz="0" w:space="0" w:color="auto"/>
        <w:left w:val="none" w:sz="0" w:space="0" w:color="auto"/>
        <w:bottom w:val="none" w:sz="0" w:space="0" w:color="auto"/>
        <w:right w:val="none" w:sz="0" w:space="0" w:color="auto"/>
      </w:divBdr>
    </w:div>
    <w:div w:id="578447463">
      <w:bodyDiv w:val="1"/>
      <w:marLeft w:val="0"/>
      <w:marRight w:val="0"/>
      <w:marTop w:val="0"/>
      <w:marBottom w:val="0"/>
      <w:divBdr>
        <w:top w:val="none" w:sz="0" w:space="0" w:color="auto"/>
        <w:left w:val="none" w:sz="0" w:space="0" w:color="auto"/>
        <w:bottom w:val="none" w:sz="0" w:space="0" w:color="auto"/>
        <w:right w:val="none" w:sz="0" w:space="0" w:color="auto"/>
      </w:divBdr>
    </w:div>
    <w:div w:id="584873864">
      <w:bodyDiv w:val="1"/>
      <w:marLeft w:val="0"/>
      <w:marRight w:val="0"/>
      <w:marTop w:val="0"/>
      <w:marBottom w:val="0"/>
      <w:divBdr>
        <w:top w:val="none" w:sz="0" w:space="0" w:color="auto"/>
        <w:left w:val="none" w:sz="0" w:space="0" w:color="auto"/>
        <w:bottom w:val="none" w:sz="0" w:space="0" w:color="auto"/>
        <w:right w:val="none" w:sz="0" w:space="0" w:color="auto"/>
      </w:divBdr>
    </w:div>
    <w:div w:id="659383243">
      <w:bodyDiv w:val="1"/>
      <w:marLeft w:val="0"/>
      <w:marRight w:val="0"/>
      <w:marTop w:val="0"/>
      <w:marBottom w:val="0"/>
      <w:divBdr>
        <w:top w:val="none" w:sz="0" w:space="0" w:color="auto"/>
        <w:left w:val="none" w:sz="0" w:space="0" w:color="auto"/>
        <w:bottom w:val="none" w:sz="0" w:space="0" w:color="auto"/>
        <w:right w:val="none" w:sz="0" w:space="0" w:color="auto"/>
      </w:divBdr>
    </w:div>
    <w:div w:id="679743647">
      <w:bodyDiv w:val="1"/>
      <w:marLeft w:val="0"/>
      <w:marRight w:val="0"/>
      <w:marTop w:val="0"/>
      <w:marBottom w:val="0"/>
      <w:divBdr>
        <w:top w:val="none" w:sz="0" w:space="0" w:color="auto"/>
        <w:left w:val="none" w:sz="0" w:space="0" w:color="auto"/>
        <w:bottom w:val="none" w:sz="0" w:space="0" w:color="auto"/>
        <w:right w:val="none" w:sz="0" w:space="0" w:color="auto"/>
      </w:divBdr>
    </w:div>
    <w:div w:id="763258685">
      <w:bodyDiv w:val="1"/>
      <w:marLeft w:val="0"/>
      <w:marRight w:val="0"/>
      <w:marTop w:val="0"/>
      <w:marBottom w:val="0"/>
      <w:divBdr>
        <w:top w:val="none" w:sz="0" w:space="0" w:color="auto"/>
        <w:left w:val="none" w:sz="0" w:space="0" w:color="auto"/>
        <w:bottom w:val="none" w:sz="0" w:space="0" w:color="auto"/>
        <w:right w:val="none" w:sz="0" w:space="0" w:color="auto"/>
      </w:divBdr>
    </w:div>
    <w:div w:id="773597055">
      <w:bodyDiv w:val="1"/>
      <w:marLeft w:val="0"/>
      <w:marRight w:val="0"/>
      <w:marTop w:val="0"/>
      <w:marBottom w:val="0"/>
      <w:divBdr>
        <w:top w:val="none" w:sz="0" w:space="0" w:color="auto"/>
        <w:left w:val="none" w:sz="0" w:space="0" w:color="auto"/>
        <w:bottom w:val="none" w:sz="0" w:space="0" w:color="auto"/>
        <w:right w:val="none" w:sz="0" w:space="0" w:color="auto"/>
      </w:divBdr>
    </w:div>
    <w:div w:id="785193758">
      <w:bodyDiv w:val="1"/>
      <w:marLeft w:val="0"/>
      <w:marRight w:val="0"/>
      <w:marTop w:val="0"/>
      <w:marBottom w:val="0"/>
      <w:divBdr>
        <w:top w:val="none" w:sz="0" w:space="0" w:color="auto"/>
        <w:left w:val="none" w:sz="0" w:space="0" w:color="auto"/>
        <w:bottom w:val="none" w:sz="0" w:space="0" w:color="auto"/>
        <w:right w:val="none" w:sz="0" w:space="0" w:color="auto"/>
      </w:divBdr>
    </w:div>
    <w:div w:id="791821554">
      <w:bodyDiv w:val="1"/>
      <w:marLeft w:val="0"/>
      <w:marRight w:val="0"/>
      <w:marTop w:val="0"/>
      <w:marBottom w:val="0"/>
      <w:divBdr>
        <w:top w:val="none" w:sz="0" w:space="0" w:color="auto"/>
        <w:left w:val="none" w:sz="0" w:space="0" w:color="auto"/>
        <w:bottom w:val="none" w:sz="0" w:space="0" w:color="auto"/>
        <w:right w:val="none" w:sz="0" w:space="0" w:color="auto"/>
      </w:divBdr>
    </w:div>
    <w:div w:id="840044057">
      <w:bodyDiv w:val="1"/>
      <w:marLeft w:val="0"/>
      <w:marRight w:val="0"/>
      <w:marTop w:val="0"/>
      <w:marBottom w:val="0"/>
      <w:divBdr>
        <w:top w:val="none" w:sz="0" w:space="0" w:color="auto"/>
        <w:left w:val="none" w:sz="0" w:space="0" w:color="auto"/>
        <w:bottom w:val="none" w:sz="0" w:space="0" w:color="auto"/>
        <w:right w:val="none" w:sz="0" w:space="0" w:color="auto"/>
      </w:divBdr>
    </w:div>
    <w:div w:id="889656500">
      <w:bodyDiv w:val="1"/>
      <w:marLeft w:val="0"/>
      <w:marRight w:val="0"/>
      <w:marTop w:val="0"/>
      <w:marBottom w:val="0"/>
      <w:divBdr>
        <w:top w:val="none" w:sz="0" w:space="0" w:color="auto"/>
        <w:left w:val="none" w:sz="0" w:space="0" w:color="auto"/>
        <w:bottom w:val="none" w:sz="0" w:space="0" w:color="auto"/>
        <w:right w:val="none" w:sz="0" w:space="0" w:color="auto"/>
      </w:divBdr>
    </w:div>
    <w:div w:id="920724576">
      <w:bodyDiv w:val="1"/>
      <w:marLeft w:val="0"/>
      <w:marRight w:val="0"/>
      <w:marTop w:val="0"/>
      <w:marBottom w:val="0"/>
      <w:divBdr>
        <w:top w:val="none" w:sz="0" w:space="0" w:color="auto"/>
        <w:left w:val="none" w:sz="0" w:space="0" w:color="auto"/>
        <w:bottom w:val="none" w:sz="0" w:space="0" w:color="auto"/>
        <w:right w:val="none" w:sz="0" w:space="0" w:color="auto"/>
      </w:divBdr>
    </w:div>
    <w:div w:id="926308798">
      <w:bodyDiv w:val="1"/>
      <w:marLeft w:val="0"/>
      <w:marRight w:val="0"/>
      <w:marTop w:val="0"/>
      <w:marBottom w:val="0"/>
      <w:divBdr>
        <w:top w:val="none" w:sz="0" w:space="0" w:color="auto"/>
        <w:left w:val="none" w:sz="0" w:space="0" w:color="auto"/>
        <w:bottom w:val="none" w:sz="0" w:space="0" w:color="auto"/>
        <w:right w:val="none" w:sz="0" w:space="0" w:color="auto"/>
      </w:divBdr>
    </w:div>
    <w:div w:id="928152058">
      <w:bodyDiv w:val="1"/>
      <w:marLeft w:val="0"/>
      <w:marRight w:val="0"/>
      <w:marTop w:val="0"/>
      <w:marBottom w:val="0"/>
      <w:divBdr>
        <w:top w:val="none" w:sz="0" w:space="0" w:color="auto"/>
        <w:left w:val="none" w:sz="0" w:space="0" w:color="auto"/>
        <w:bottom w:val="none" w:sz="0" w:space="0" w:color="auto"/>
        <w:right w:val="none" w:sz="0" w:space="0" w:color="auto"/>
      </w:divBdr>
    </w:div>
    <w:div w:id="1082140354">
      <w:bodyDiv w:val="1"/>
      <w:marLeft w:val="0"/>
      <w:marRight w:val="0"/>
      <w:marTop w:val="0"/>
      <w:marBottom w:val="0"/>
      <w:divBdr>
        <w:top w:val="none" w:sz="0" w:space="0" w:color="auto"/>
        <w:left w:val="none" w:sz="0" w:space="0" w:color="auto"/>
        <w:bottom w:val="none" w:sz="0" w:space="0" w:color="auto"/>
        <w:right w:val="none" w:sz="0" w:space="0" w:color="auto"/>
      </w:divBdr>
    </w:div>
    <w:div w:id="1099182069">
      <w:bodyDiv w:val="1"/>
      <w:marLeft w:val="0"/>
      <w:marRight w:val="0"/>
      <w:marTop w:val="0"/>
      <w:marBottom w:val="0"/>
      <w:divBdr>
        <w:top w:val="none" w:sz="0" w:space="0" w:color="auto"/>
        <w:left w:val="none" w:sz="0" w:space="0" w:color="auto"/>
        <w:bottom w:val="none" w:sz="0" w:space="0" w:color="auto"/>
        <w:right w:val="none" w:sz="0" w:space="0" w:color="auto"/>
      </w:divBdr>
    </w:div>
    <w:div w:id="1200972345">
      <w:bodyDiv w:val="1"/>
      <w:marLeft w:val="0"/>
      <w:marRight w:val="0"/>
      <w:marTop w:val="0"/>
      <w:marBottom w:val="0"/>
      <w:divBdr>
        <w:top w:val="none" w:sz="0" w:space="0" w:color="auto"/>
        <w:left w:val="none" w:sz="0" w:space="0" w:color="auto"/>
        <w:bottom w:val="none" w:sz="0" w:space="0" w:color="auto"/>
        <w:right w:val="none" w:sz="0" w:space="0" w:color="auto"/>
      </w:divBdr>
    </w:div>
    <w:div w:id="1229072117">
      <w:bodyDiv w:val="1"/>
      <w:marLeft w:val="0"/>
      <w:marRight w:val="0"/>
      <w:marTop w:val="0"/>
      <w:marBottom w:val="0"/>
      <w:divBdr>
        <w:top w:val="none" w:sz="0" w:space="0" w:color="auto"/>
        <w:left w:val="none" w:sz="0" w:space="0" w:color="auto"/>
        <w:bottom w:val="none" w:sz="0" w:space="0" w:color="auto"/>
        <w:right w:val="none" w:sz="0" w:space="0" w:color="auto"/>
      </w:divBdr>
    </w:div>
    <w:div w:id="1300762684">
      <w:bodyDiv w:val="1"/>
      <w:marLeft w:val="0"/>
      <w:marRight w:val="0"/>
      <w:marTop w:val="0"/>
      <w:marBottom w:val="0"/>
      <w:divBdr>
        <w:top w:val="none" w:sz="0" w:space="0" w:color="auto"/>
        <w:left w:val="none" w:sz="0" w:space="0" w:color="auto"/>
        <w:bottom w:val="none" w:sz="0" w:space="0" w:color="auto"/>
        <w:right w:val="none" w:sz="0" w:space="0" w:color="auto"/>
      </w:divBdr>
    </w:div>
    <w:div w:id="1347512958">
      <w:bodyDiv w:val="1"/>
      <w:marLeft w:val="0"/>
      <w:marRight w:val="0"/>
      <w:marTop w:val="0"/>
      <w:marBottom w:val="0"/>
      <w:divBdr>
        <w:top w:val="none" w:sz="0" w:space="0" w:color="auto"/>
        <w:left w:val="none" w:sz="0" w:space="0" w:color="auto"/>
        <w:bottom w:val="none" w:sz="0" w:space="0" w:color="auto"/>
        <w:right w:val="none" w:sz="0" w:space="0" w:color="auto"/>
      </w:divBdr>
    </w:div>
    <w:div w:id="1433284344">
      <w:bodyDiv w:val="1"/>
      <w:marLeft w:val="0"/>
      <w:marRight w:val="0"/>
      <w:marTop w:val="0"/>
      <w:marBottom w:val="0"/>
      <w:divBdr>
        <w:top w:val="none" w:sz="0" w:space="0" w:color="auto"/>
        <w:left w:val="none" w:sz="0" w:space="0" w:color="auto"/>
        <w:bottom w:val="none" w:sz="0" w:space="0" w:color="auto"/>
        <w:right w:val="none" w:sz="0" w:space="0" w:color="auto"/>
      </w:divBdr>
    </w:div>
    <w:div w:id="1547914891">
      <w:bodyDiv w:val="1"/>
      <w:marLeft w:val="0"/>
      <w:marRight w:val="0"/>
      <w:marTop w:val="0"/>
      <w:marBottom w:val="0"/>
      <w:divBdr>
        <w:top w:val="none" w:sz="0" w:space="0" w:color="auto"/>
        <w:left w:val="none" w:sz="0" w:space="0" w:color="auto"/>
        <w:bottom w:val="none" w:sz="0" w:space="0" w:color="auto"/>
        <w:right w:val="none" w:sz="0" w:space="0" w:color="auto"/>
      </w:divBdr>
    </w:div>
    <w:div w:id="1614314695">
      <w:bodyDiv w:val="1"/>
      <w:marLeft w:val="0"/>
      <w:marRight w:val="0"/>
      <w:marTop w:val="0"/>
      <w:marBottom w:val="0"/>
      <w:divBdr>
        <w:top w:val="none" w:sz="0" w:space="0" w:color="auto"/>
        <w:left w:val="none" w:sz="0" w:space="0" w:color="auto"/>
        <w:bottom w:val="none" w:sz="0" w:space="0" w:color="auto"/>
        <w:right w:val="none" w:sz="0" w:space="0" w:color="auto"/>
      </w:divBdr>
    </w:div>
    <w:div w:id="1636326834">
      <w:bodyDiv w:val="1"/>
      <w:marLeft w:val="0"/>
      <w:marRight w:val="0"/>
      <w:marTop w:val="0"/>
      <w:marBottom w:val="0"/>
      <w:divBdr>
        <w:top w:val="none" w:sz="0" w:space="0" w:color="auto"/>
        <w:left w:val="none" w:sz="0" w:space="0" w:color="auto"/>
        <w:bottom w:val="none" w:sz="0" w:space="0" w:color="auto"/>
        <w:right w:val="none" w:sz="0" w:space="0" w:color="auto"/>
      </w:divBdr>
    </w:div>
    <w:div w:id="1721585438">
      <w:bodyDiv w:val="1"/>
      <w:marLeft w:val="0"/>
      <w:marRight w:val="0"/>
      <w:marTop w:val="0"/>
      <w:marBottom w:val="0"/>
      <w:divBdr>
        <w:top w:val="none" w:sz="0" w:space="0" w:color="auto"/>
        <w:left w:val="none" w:sz="0" w:space="0" w:color="auto"/>
        <w:bottom w:val="none" w:sz="0" w:space="0" w:color="auto"/>
        <w:right w:val="none" w:sz="0" w:space="0" w:color="auto"/>
      </w:divBdr>
    </w:div>
    <w:div w:id="1753311477">
      <w:bodyDiv w:val="1"/>
      <w:marLeft w:val="0"/>
      <w:marRight w:val="0"/>
      <w:marTop w:val="0"/>
      <w:marBottom w:val="0"/>
      <w:divBdr>
        <w:top w:val="none" w:sz="0" w:space="0" w:color="auto"/>
        <w:left w:val="none" w:sz="0" w:space="0" w:color="auto"/>
        <w:bottom w:val="none" w:sz="0" w:space="0" w:color="auto"/>
        <w:right w:val="none" w:sz="0" w:space="0" w:color="auto"/>
      </w:divBdr>
    </w:div>
    <w:div w:id="1776440002">
      <w:bodyDiv w:val="1"/>
      <w:marLeft w:val="0"/>
      <w:marRight w:val="0"/>
      <w:marTop w:val="0"/>
      <w:marBottom w:val="0"/>
      <w:divBdr>
        <w:top w:val="none" w:sz="0" w:space="0" w:color="auto"/>
        <w:left w:val="none" w:sz="0" w:space="0" w:color="auto"/>
        <w:bottom w:val="none" w:sz="0" w:space="0" w:color="auto"/>
        <w:right w:val="none" w:sz="0" w:space="0" w:color="auto"/>
      </w:divBdr>
    </w:div>
    <w:div w:id="1832405983">
      <w:bodyDiv w:val="1"/>
      <w:marLeft w:val="0"/>
      <w:marRight w:val="0"/>
      <w:marTop w:val="0"/>
      <w:marBottom w:val="0"/>
      <w:divBdr>
        <w:top w:val="none" w:sz="0" w:space="0" w:color="auto"/>
        <w:left w:val="none" w:sz="0" w:space="0" w:color="auto"/>
        <w:bottom w:val="none" w:sz="0" w:space="0" w:color="auto"/>
        <w:right w:val="none" w:sz="0" w:space="0" w:color="auto"/>
      </w:divBdr>
    </w:div>
    <w:div w:id="1861317889">
      <w:bodyDiv w:val="1"/>
      <w:marLeft w:val="0"/>
      <w:marRight w:val="0"/>
      <w:marTop w:val="0"/>
      <w:marBottom w:val="0"/>
      <w:divBdr>
        <w:top w:val="none" w:sz="0" w:space="0" w:color="auto"/>
        <w:left w:val="none" w:sz="0" w:space="0" w:color="auto"/>
        <w:bottom w:val="none" w:sz="0" w:space="0" w:color="auto"/>
        <w:right w:val="none" w:sz="0" w:space="0" w:color="auto"/>
      </w:divBdr>
    </w:div>
    <w:div w:id="204721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19f509c7-db48-41af-991a-d577317114b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F406E-F2CA-459D-83E7-7811BEEB2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17491</Words>
  <Characters>9971</Characters>
  <Application>Microsoft Office Word</Application>
  <DocSecurity>0</DocSecurity>
  <Lines>83</Lines>
  <Paragraphs>54</Paragraphs>
  <ScaleCrop>false</ScaleCrop>
  <Company/>
  <LinksUpToDate>false</LinksUpToDate>
  <CharactersWithSpaces>27408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2026-02-24T07:00:00Z</dcterms:created>
  <dcterms:modified xsi:type="dcterms:W3CDTF">2026-02-24T07:00:00Z</dcterms:modified>
</cp:coreProperties>
</file>