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29981" w14:textId="77777777" w:rsidR="00026124" w:rsidRPr="00955D0E" w:rsidRDefault="00026124" w:rsidP="00026124">
      <w:pPr>
        <w:spacing w:line="276" w:lineRule="auto"/>
        <w:jc w:val="both"/>
        <w:rPr>
          <w:b/>
          <w:bCs/>
        </w:rPr>
      </w:pPr>
      <w:r w:rsidRPr="00955D0E">
        <w:rPr>
          <w:b/>
          <w:bCs/>
        </w:rPr>
        <w:t>Valsts noslēpuma nelikumīgas vākšanas nolūks (Krimināllikuma 85. panta otrā daļa likuma redakcijā līdz 2023. gada 29. decembrim)</w:t>
      </w:r>
    </w:p>
    <w:p w14:paraId="7AA7D17C" w14:textId="77777777" w:rsidR="00026124" w:rsidRPr="00955D0E" w:rsidRDefault="00026124" w:rsidP="00026124">
      <w:pPr>
        <w:spacing w:line="276" w:lineRule="auto"/>
        <w:jc w:val="both"/>
      </w:pPr>
      <w:r w:rsidRPr="00955D0E">
        <w:t>Krimināllikuma 85. panta otrajā daļā paredzētā noziedzīgā nodarījuma dispozīcijā ietvertā darbība „vākšana” ir obligāti saistāma ar nolūku nodot valsts noslēpumu ārvalstij vai ārvalsts organizācijai. Šis nolūks var izpausties sadarbībā vai saziņā ar spiegošanas koordinatoru, pamatoti izrietēt no vāktā valsts noslēpuma rakstura vai arī būt konstatējams citādi, izvērtējot visus lietā esošos pierādījumus un konstatētos apstākļus kopumā un savstarpējā sakarībā.</w:t>
      </w:r>
    </w:p>
    <w:p w14:paraId="7BEF5762" w14:textId="77777777" w:rsidR="00026124" w:rsidRDefault="00026124" w:rsidP="00026124">
      <w:pPr>
        <w:spacing w:line="276" w:lineRule="auto"/>
        <w:jc w:val="center"/>
        <w:rPr>
          <w:b/>
        </w:rPr>
      </w:pPr>
    </w:p>
    <w:p w14:paraId="1A68A3B8" w14:textId="77777777" w:rsidR="00026124" w:rsidRPr="00955D0E" w:rsidRDefault="00026124" w:rsidP="00026124">
      <w:pPr>
        <w:spacing w:line="276" w:lineRule="auto"/>
        <w:jc w:val="both"/>
        <w:rPr>
          <w:b/>
          <w:bCs/>
        </w:rPr>
      </w:pPr>
      <w:r w:rsidRPr="00955D0E">
        <w:rPr>
          <w:b/>
          <w:bCs/>
        </w:rPr>
        <w:t>Dienesta stāvokļa ļaunprātīga izmantošana, kas izpaudusies kā valsts noslēpuma aprites noteikumu pārkāpums (Krimināllikuma 318. panta redakcijā līdz 2021.</w:t>
      </w:r>
      <w:r>
        <w:rPr>
          <w:b/>
          <w:bCs/>
        </w:rPr>
        <w:t> </w:t>
      </w:r>
      <w:r w:rsidRPr="00955D0E">
        <w:rPr>
          <w:b/>
          <w:bCs/>
        </w:rPr>
        <w:t>gada 4.</w:t>
      </w:r>
      <w:r>
        <w:rPr>
          <w:b/>
          <w:bCs/>
        </w:rPr>
        <w:t> </w:t>
      </w:r>
      <w:r w:rsidRPr="00955D0E">
        <w:rPr>
          <w:b/>
          <w:bCs/>
        </w:rPr>
        <w:t>augustam)</w:t>
      </w:r>
    </w:p>
    <w:p w14:paraId="3B5D80FE" w14:textId="35B7CE04" w:rsidR="00026124" w:rsidRPr="00955D0E" w:rsidRDefault="00026124" w:rsidP="00026124">
      <w:pPr>
        <w:spacing w:line="276" w:lineRule="auto"/>
        <w:jc w:val="both"/>
      </w:pPr>
      <w:r w:rsidRPr="00955D0E">
        <w:t>Valsts amatpersonu pilnvaru robežas darbā ar valsts noslēpumu nosaka likums „Par valsts noslēpumu” un uz tā pamata izdotie Ministru kabineta noteikumi. Valsts noslēpuma objekts var būt personas valdījumā vai lietošanā tādos gadījumos un tādā kārtībā, kāda noteikta likumā vai Ministru kabineta noteikumos (likuma „Par valsts noslēpumu” 6.</w:t>
      </w:r>
      <w:r>
        <w:t> </w:t>
      </w:r>
      <w:r w:rsidRPr="00955D0E">
        <w:t xml:space="preserve">panta trešā daļa). Tās ir situācijas, kad amatpersonai valsts noslēpums nepieciešams amata pienākumu veikšanai. </w:t>
      </w:r>
    </w:p>
    <w:p w14:paraId="0D2A5E21" w14:textId="0B4D4878" w:rsidR="00026124" w:rsidRPr="00955D0E" w:rsidRDefault="00026124" w:rsidP="00026124">
      <w:pPr>
        <w:spacing w:line="276" w:lineRule="auto"/>
        <w:jc w:val="both"/>
      </w:pPr>
      <w:r w:rsidRPr="00026124">
        <w:t>V</w:t>
      </w:r>
      <w:r w:rsidRPr="00955D0E">
        <w:t>alsts amatpersonas pieļauti valsts noslēpuma aprites kārtības pārkāpumi, kas izpaudušies kā darbības, kuras nav nepieciešamas tās profesionālo pienākumu veikšanai, bet kuras ir iespējams veikt amatpersonas statusa dēļ, piemēram, valsts noslēpuma objektu iegūšana, glabāšana vai pārvietošana, ir atzīstamas par Krimināllikuma 318.</w:t>
      </w:r>
      <w:r>
        <w:t> </w:t>
      </w:r>
      <w:r w:rsidRPr="00955D0E">
        <w:t>panta pirmajā daļā (likuma redakcijā līdz 2021.</w:t>
      </w:r>
      <w:r>
        <w:t> </w:t>
      </w:r>
      <w:r w:rsidRPr="00955D0E">
        <w:t>gada 4. augustam) minētajām darbībām, ja vien tās neatbilst dienesta pilnvaru acīmredzamai pārsniegšanai (Krimināllikuma 317.</w:t>
      </w:r>
      <w:r>
        <w:t> </w:t>
      </w:r>
      <w:r w:rsidRPr="00955D0E">
        <w:t>pants).</w:t>
      </w:r>
    </w:p>
    <w:p w14:paraId="0CCC5DDA" w14:textId="77777777" w:rsidR="00026124" w:rsidRDefault="00026124" w:rsidP="00026124">
      <w:pPr>
        <w:spacing w:line="276" w:lineRule="auto"/>
        <w:jc w:val="both"/>
        <w:rPr>
          <w:b/>
          <w:bCs/>
        </w:rPr>
      </w:pPr>
    </w:p>
    <w:p w14:paraId="4385F316" w14:textId="17F0D29C" w:rsidR="00026124" w:rsidRPr="00955D0E" w:rsidRDefault="00026124" w:rsidP="00026124">
      <w:pPr>
        <w:spacing w:line="276" w:lineRule="auto"/>
        <w:jc w:val="both"/>
        <w:rPr>
          <w:b/>
          <w:bCs/>
        </w:rPr>
      </w:pPr>
      <w:r w:rsidRPr="00955D0E">
        <w:rPr>
          <w:b/>
          <w:bCs/>
        </w:rPr>
        <w:t xml:space="preserve">Dienesta stāvokļa ļaunprātīga izmantošana, kā rezultātā radīts būtisks kaitējums – valsts noslēpuma izpaušanas risks </w:t>
      </w:r>
    </w:p>
    <w:p w14:paraId="04CB79B9" w14:textId="77777777" w:rsidR="00026124" w:rsidRPr="00955D0E" w:rsidRDefault="00026124" w:rsidP="00026124">
      <w:pPr>
        <w:spacing w:line="276" w:lineRule="auto"/>
        <w:jc w:val="both"/>
      </w:pPr>
      <w:r w:rsidRPr="00955D0E">
        <w:t>Krimināllikuma 318.</w:t>
      </w:r>
      <w:r>
        <w:t> </w:t>
      </w:r>
      <w:r w:rsidRPr="00955D0E">
        <w:t>panta pirmajā daļā paredzētā noziedzīgā nodarījuma sastāva kvalificējošā pazīme – būtisks kaitējums – konstatējama arī tad, ja ievērojami apdraudētas citas ar likumu aizsargātās intereses, konkrētajā gadījumā – pārvaldes kārtības intereses (likuma „Par Krimināllikuma spēkā stāšanās un piemērošanas kārtību” 23.</w:t>
      </w:r>
      <w:r>
        <w:t> </w:t>
      </w:r>
      <w:r w:rsidRPr="00955D0E">
        <w:t>panta pirmās daļas 3.</w:t>
      </w:r>
      <w:r>
        <w:t> </w:t>
      </w:r>
      <w:r w:rsidRPr="00955D0E">
        <w:t>punkts).</w:t>
      </w:r>
    </w:p>
    <w:p w14:paraId="0D0962CF" w14:textId="37FA54A3" w:rsidR="00026124" w:rsidRPr="00955D0E" w:rsidRDefault="00026124" w:rsidP="00026124">
      <w:pPr>
        <w:spacing w:line="276" w:lineRule="auto"/>
        <w:jc w:val="both"/>
      </w:pPr>
      <w:r w:rsidRPr="00955D0E">
        <w:t>Valsts noslēpuma statusa noteikšana ir saistīta ar to, ka tā izpaušana vai nozaudēšana var radīt kaitējumu valsts drošībai, ekonomiskajām vai politiskajām interesēm (likuma „Par valsts noslēpumu” 2.</w:t>
      </w:r>
      <w:r>
        <w:t> </w:t>
      </w:r>
      <w:r w:rsidRPr="00955D0E">
        <w:t xml:space="preserve">panta pirmā daļa). </w:t>
      </w:r>
      <w:r>
        <w:t xml:space="preserve">Tas nozīmē, ka </w:t>
      </w:r>
      <w:r w:rsidRPr="00955D0E">
        <w:t>valsts noslēpuma aprites kārtības pārkāpumi vienmēr rada tā izpaušanas vai nozaudēšanas risku.</w:t>
      </w:r>
      <w:r>
        <w:t xml:space="preserve"> Š</w:t>
      </w:r>
      <w:r w:rsidRPr="00955D0E">
        <w:t>ā riska iestāšanās iespējamība un reālās sekas ir atkarīgas arī no valsts noslēpuma aprites kārtības pārkāpuma izdarīšanas ilguma, veida un vietas, ārpus minētās kārtības nonākušo valsts noslēpuma objektu daudzuma, kā arī tā, kāda ir konkrētā valsts noslēpuma objekta slepenības un svarīguma pakāpe.</w:t>
      </w:r>
    </w:p>
    <w:p w14:paraId="7C9C8418" w14:textId="77777777" w:rsidR="00026124" w:rsidRDefault="00026124" w:rsidP="00026124">
      <w:pPr>
        <w:spacing w:line="276" w:lineRule="auto"/>
        <w:rPr>
          <w:b/>
        </w:rPr>
      </w:pPr>
    </w:p>
    <w:p w14:paraId="30EF74F0" w14:textId="27F85333" w:rsidR="00447EE6" w:rsidRDefault="00447EE6" w:rsidP="00424707">
      <w:pPr>
        <w:spacing w:line="276" w:lineRule="auto"/>
        <w:jc w:val="center"/>
        <w:rPr>
          <w:b/>
        </w:rPr>
      </w:pPr>
      <w:r w:rsidRPr="00424707">
        <w:rPr>
          <w:b/>
        </w:rPr>
        <w:t>Latvijas Republikas Senāt</w:t>
      </w:r>
      <w:r w:rsidR="006B4B99">
        <w:rPr>
          <w:b/>
        </w:rPr>
        <w:t>a</w:t>
      </w:r>
    </w:p>
    <w:p w14:paraId="53F02393" w14:textId="7245574C" w:rsidR="006B4B99" w:rsidRPr="006B4B99" w:rsidRDefault="006B4B99" w:rsidP="006B4B99">
      <w:pPr>
        <w:spacing w:line="276" w:lineRule="auto"/>
        <w:jc w:val="center"/>
        <w:rPr>
          <w:b/>
          <w:bCs/>
          <w:lang w:eastAsia="lv-LV"/>
        </w:rPr>
      </w:pPr>
      <w:r w:rsidRPr="006B4B99">
        <w:rPr>
          <w:b/>
          <w:bCs/>
          <w:lang w:eastAsia="lv-LV"/>
        </w:rPr>
        <w:t>Krimināllietu departamenta</w:t>
      </w:r>
    </w:p>
    <w:p w14:paraId="6CC8FD95" w14:textId="11284985" w:rsidR="006B4B99" w:rsidRPr="006B4B99" w:rsidRDefault="006B4B99" w:rsidP="00424707">
      <w:pPr>
        <w:spacing w:line="276" w:lineRule="auto"/>
        <w:jc w:val="center"/>
        <w:rPr>
          <w:b/>
          <w:bCs/>
        </w:rPr>
      </w:pPr>
      <w:r w:rsidRPr="006B4B99">
        <w:rPr>
          <w:b/>
          <w:bCs/>
        </w:rPr>
        <w:lastRenderedPageBreak/>
        <w:t>2026. gada [..]</w:t>
      </w:r>
    </w:p>
    <w:p w14:paraId="489FCBE8" w14:textId="195928F0" w:rsidR="006B4B99" w:rsidRPr="006B4B99" w:rsidRDefault="00052B49" w:rsidP="006B4B99">
      <w:pPr>
        <w:spacing w:line="276" w:lineRule="auto"/>
        <w:jc w:val="center"/>
        <w:rPr>
          <w:b/>
          <w:bCs/>
        </w:rPr>
      </w:pPr>
      <w:r w:rsidRPr="006B4B99">
        <w:rPr>
          <w:b/>
          <w:bCs/>
        </w:rPr>
        <w:t>LĒMUMS</w:t>
      </w:r>
      <w:r w:rsidR="006B4B99" w:rsidRPr="006B4B99">
        <w:rPr>
          <w:rFonts w:asciiTheme="majorBidi" w:hAnsiTheme="majorBidi" w:cstheme="majorBidi"/>
          <w:b/>
          <w:color w:val="000000" w:themeColor="text1"/>
          <w:vertAlign w:val="superscript"/>
        </w:rPr>
        <w:t xml:space="preserve"> </w:t>
      </w:r>
      <w:r w:rsidR="006B4B99" w:rsidRPr="006B4B99">
        <w:rPr>
          <w:b/>
          <w:bCs/>
          <w:vertAlign w:val="superscript"/>
        </w:rPr>
        <w:footnoteReference w:id="1"/>
      </w:r>
      <w:r w:rsidR="006B4B99" w:rsidRPr="006B4B99">
        <w:rPr>
          <w:b/>
          <w:bCs/>
        </w:rPr>
        <w:t xml:space="preserve"> </w:t>
      </w:r>
    </w:p>
    <w:p w14:paraId="47DB5887" w14:textId="44367D65" w:rsidR="006B4B99" w:rsidRDefault="006B4B99" w:rsidP="006B4B99">
      <w:pPr>
        <w:spacing w:line="276" w:lineRule="auto"/>
        <w:jc w:val="center"/>
        <w:rPr>
          <w:b/>
          <w:bCs/>
          <w:lang w:eastAsia="lv-LV"/>
        </w:rPr>
      </w:pPr>
      <w:r w:rsidRPr="006B4B99">
        <w:rPr>
          <w:b/>
          <w:bCs/>
          <w:lang w:eastAsia="lv-LV"/>
        </w:rPr>
        <w:t>Lieta Nr. [..], SKK</w:t>
      </w:r>
      <w:r w:rsidRPr="006B4B99">
        <w:rPr>
          <w:b/>
          <w:bCs/>
          <w:lang w:eastAsia="lv-LV"/>
        </w:rPr>
        <w:noBreakHyphen/>
        <w:t>[A]/2026</w:t>
      </w:r>
    </w:p>
    <w:p w14:paraId="7FBB9C31" w14:textId="6A90D938" w:rsidR="00026124" w:rsidRPr="007A5242" w:rsidRDefault="007A5242" w:rsidP="007A5242">
      <w:pPr>
        <w:spacing w:line="276" w:lineRule="auto"/>
        <w:jc w:val="center"/>
        <w:rPr>
          <w:lang w:eastAsia="lv-LV"/>
        </w:rPr>
      </w:pPr>
      <w:r w:rsidRPr="007A5242">
        <w:rPr>
          <w:lang w:eastAsia="lv-LV"/>
        </w:rPr>
        <w:t>ECLI:LV:AT:2026:</w:t>
      </w:r>
      <w:r>
        <w:rPr>
          <w:lang w:eastAsia="lv-LV"/>
        </w:rPr>
        <w:t>[..]</w:t>
      </w:r>
    </w:p>
    <w:p w14:paraId="69050A18" w14:textId="77777777" w:rsidR="006B4B99" w:rsidRPr="00424707" w:rsidRDefault="006B4B99" w:rsidP="00026124">
      <w:pPr>
        <w:spacing w:line="276" w:lineRule="auto"/>
      </w:pPr>
    </w:p>
    <w:p w14:paraId="1609D6F5" w14:textId="08FAAD5B" w:rsidR="00447EE6" w:rsidRPr="00424707" w:rsidRDefault="00447EE6" w:rsidP="00424707">
      <w:pPr>
        <w:spacing w:line="276" w:lineRule="auto"/>
        <w:ind w:firstLine="720"/>
        <w:jc w:val="both"/>
      </w:pPr>
      <w:r w:rsidRPr="00424707">
        <w:t>Senāts šādā sastāvā:</w:t>
      </w:r>
      <w:r w:rsidR="00661A59" w:rsidRPr="00424707">
        <w:t xml:space="preserve"> senatore referente Anita Poļakova, senatori Sandra Kaija</w:t>
      </w:r>
      <w:r w:rsidR="007642D7" w:rsidRPr="00424707">
        <w:t xml:space="preserve"> un Māris Leja</w:t>
      </w:r>
    </w:p>
    <w:p w14:paraId="0BD45239" w14:textId="1CB734E3" w:rsidR="00661A59" w:rsidRDefault="00661A59" w:rsidP="006B4B99">
      <w:pPr>
        <w:spacing w:line="276" w:lineRule="auto"/>
        <w:ind w:firstLine="720"/>
        <w:jc w:val="both"/>
      </w:pPr>
      <w:r w:rsidRPr="00424707">
        <w:t xml:space="preserve">rakstveida procesā </w:t>
      </w:r>
      <w:r w:rsidR="003B51BD" w:rsidRPr="00424707">
        <w:t xml:space="preserve">izskatīja krimināllietu sakarā ar apsūdzētā </w:t>
      </w:r>
      <w:r w:rsidR="006B4B99">
        <w:t>[pers. A]</w:t>
      </w:r>
      <w:r w:rsidR="003B51BD" w:rsidRPr="00424707">
        <w:t xml:space="preserve"> aizstāvja zvērināta advokāta Aleksandra Berezina kasācijas sūdzību par </w:t>
      </w:r>
      <w:r w:rsidR="006B4B99">
        <w:t>[..]</w:t>
      </w:r>
      <w:r w:rsidR="003B51BD" w:rsidRPr="00424707">
        <w:t xml:space="preserve"> apgabaltiesas 2024. gada </w:t>
      </w:r>
      <w:r w:rsidR="006B4B99">
        <w:t>[..]</w:t>
      </w:r>
      <w:r w:rsidR="003B51BD" w:rsidRPr="00424707">
        <w:t xml:space="preserve"> lēmumu.</w:t>
      </w:r>
    </w:p>
    <w:p w14:paraId="37C985A1" w14:textId="77777777" w:rsidR="005C68A5" w:rsidRPr="00424707" w:rsidRDefault="005C68A5" w:rsidP="00424707">
      <w:pPr>
        <w:spacing w:line="276" w:lineRule="auto"/>
        <w:ind w:firstLine="720"/>
        <w:jc w:val="both"/>
        <w:rPr>
          <w:lang w:eastAsia="lv-LV"/>
        </w:rPr>
      </w:pPr>
    </w:p>
    <w:p w14:paraId="12882064" w14:textId="77777777" w:rsidR="00447EE6" w:rsidRDefault="00447EE6" w:rsidP="00424707">
      <w:pPr>
        <w:spacing w:line="276" w:lineRule="auto"/>
        <w:jc w:val="center"/>
        <w:rPr>
          <w:b/>
          <w:shd w:val="clear" w:color="auto" w:fill="FFFFFF"/>
        </w:rPr>
      </w:pPr>
      <w:r w:rsidRPr="00424707">
        <w:rPr>
          <w:b/>
          <w:shd w:val="clear" w:color="auto" w:fill="FFFFFF"/>
        </w:rPr>
        <w:t>Aprakstošā daļa</w:t>
      </w:r>
    </w:p>
    <w:p w14:paraId="05DC06FD" w14:textId="77777777" w:rsidR="005C68A5" w:rsidRPr="00424707" w:rsidRDefault="005C68A5" w:rsidP="00424707">
      <w:pPr>
        <w:spacing w:line="276" w:lineRule="auto"/>
        <w:jc w:val="center"/>
        <w:rPr>
          <w:shd w:val="clear" w:color="auto" w:fill="FFFFFF"/>
        </w:rPr>
      </w:pPr>
    </w:p>
    <w:p w14:paraId="756C6ABC" w14:textId="01EDD8C8" w:rsidR="00D0133D" w:rsidRPr="00424707" w:rsidRDefault="00447EE6" w:rsidP="006B4B99">
      <w:pPr>
        <w:pStyle w:val="NormalWeb"/>
        <w:shd w:val="clear" w:color="auto" w:fill="FFFFFF"/>
        <w:spacing w:before="0" w:beforeAutospacing="0" w:after="0" w:afterAutospacing="0" w:line="276" w:lineRule="auto"/>
        <w:ind w:firstLine="720"/>
        <w:jc w:val="both"/>
        <w:rPr>
          <w:shd w:val="clear" w:color="auto" w:fill="FFFFFF"/>
        </w:rPr>
      </w:pPr>
      <w:r w:rsidRPr="00424707">
        <w:rPr>
          <w:shd w:val="clear" w:color="auto" w:fill="FFFFFF"/>
        </w:rPr>
        <w:t>[1]</w:t>
      </w:r>
      <w:r w:rsidR="00D0133D" w:rsidRPr="00424707">
        <w:rPr>
          <w:shd w:val="clear" w:color="auto" w:fill="FFFFFF"/>
        </w:rPr>
        <w:t xml:space="preserve"> Ar </w:t>
      </w:r>
      <w:r w:rsidR="006B4B99" w:rsidRPr="006B4B99">
        <w:rPr>
          <w:shd w:val="clear" w:color="auto" w:fill="FFFFFF"/>
        </w:rPr>
        <w:t xml:space="preserve">[rajona (pilsētas)] </w:t>
      </w:r>
      <w:r w:rsidR="00D0133D" w:rsidRPr="00424707">
        <w:rPr>
          <w:shd w:val="clear" w:color="auto" w:fill="FFFFFF"/>
        </w:rPr>
        <w:t xml:space="preserve">tiesas 2023. gada </w:t>
      </w:r>
      <w:r w:rsidR="006B4B99">
        <w:rPr>
          <w:shd w:val="clear" w:color="auto" w:fill="FFFFFF"/>
        </w:rPr>
        <w:t>[..]</w:t>
      </w:r>
      <w:r w:rsidR="00D0133D" w:rsidRPr="00424707">
        <w:rPr>
          <w:shd w:val="clear" w:color="auto" w:fill="FFFFFF"/>
        </w:rPr>
        <w:t xml:space="preserve"> spriedumu</w:t>
      </w:r>
    </w:p>
    <w:p w14:paraId="78A01711" w14:textId="2A6BE691" w:rsidR="00D0133D" w:rsidRPr="00424707" w:rsidRDefault="006B4B99" w:rsidP="00424707">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[pers. A]</w:t>
      </w:r>
      <w:r w:rsidR="00D0133D" w:rsidRPr="00424707">
        <w:rPr>
          <w:shd w:val="clear" w:color="auto" w:fill="FFFFFF"/>
        </w:rPr>
        <w:t xml:space="preserve">, personas kods </w:t>
      </w:r>
      <w:r>
        <w:rPr>
          <w:shd w:val="clear" w:color="auto" w:fill="FFFFFF"/>
        </w:rPr>
        <w:t>[..]</w:t>
      </w:r>
      <w:r w:rsidR="00D0133D" w:rsidRPr="00424707">
        <w:rPr>
          <w:shd w:val="clear" w:color="auto" w:fill="FFFFFF"/>
        </w:rPr>
        <w:t>,</w:t>
      </w:r>
    </w:p>
    <w:p w14:paraId="5EB7DAF2" w14:textId="52393754" w:rsidR="00D0133D" w:rsidRPr="00424707" w:rsidRDefault="00D0133D" w:rsidP="00424707">
      <w:pPr>
        <w:pStyle w:val="NormalWeb"/>
        <w:shd w:val="clear" w:color="auto" w:fill="FFFFFF"/>
        <w:spacing w:before="0" w:beforeAutospacing="0" w:after="0" w:afterAutospacing="0" w:line="276" w:lineRule="auto"/>
        <w:ind w:firstLine="720"/>
        <w:jc w:val="both"/>
        <w:rPr>
          <w:shd w:val="clear" w:color="auto" w:fill="FFFFFF"/>
        </w:rPr>
      </w:pPr>
      <w:r w:rsidRPr="00424707">
        <w:rPr>
          <w:shd w:val="clear" w:color="auto" w:fill="FFFFFF"/>
        </w:rPr>
        <w:t>atzīts par vainīgu Krimināllikuma 85. panta otrajā daļā paredzētajā noziedzīgajā nodarījumā un sodīts ar brīvības atņemšanu uz 3 gadiem 1 mēnesi</w:t>
      </w:r>
      <w:r w:rsidR="00BE31E0" w:rsidRPr="00424707">
        <w:rPr>
          <w:shd w:val="clear" w:color="auto" w:fill="FFFFFF"/>
        </w:rPr>
        <w:t xml:space="preserve"> un </w:t>
      </w:r>
      <w:r w:rsidRPr="00424707">
        <w:rPr>
          <w:shd w:val="clear" w:color="auto" w:fill="FFFFFF"/>
        </w:rPr>
        <w:t>probācijas uzraudzību uz 2 gadiem;</w:t>
      </w:r>
    </w:p>
    <w:p w14:paraId="231A29D3" w14:textId="4A65458F" w:rsidR="00D0133D" w:rsidRPr="00424707" w:rsidRDefault="00D0133D" w:rsidP="00424707">
      <w:pPr>
        <w:pStyle w:val="NormalWeb"/>
        <w:shd w:val="clear" w:color="auto" w:fill="FFFFFF"/>
        <w:spacing w:before="0" w:beforeAutospacing="0" w:after="0" w:afterAutospacing="0" w:line="276" w:lineRule="auto"/>
        <w:ind w:firstLine="720"/>
        <w:jc w:val="both"/>
        <w:rPr>
          <w:shd w:val="clear" w:color="auto" w:fill="FFFFFF"/>
        </w:rPr>
      </w:pPr>
      <w:r w:rsidRPr="00424707">
        <w:rPr>
          <w:shd w:val="clear" w:color="auto" w:fill="FFFFFF"/>
        </w:rPr>
        <w:t>atzīts par vainīgu Krimināllikuma 318. panta pirmajā daļā paredzētājā noziedzīgajā nodarījumā un sodīts ar brīvības atņemšanu uz 6 mēnešiem.</w:t>
      </w:r>
    </w:p>
    <w:p w14:paraId="346F3CA3" w14:textId="3212BE1F" w:rsidR="00D0133D" w:rsidRPr="00424707" w:rsidRDefault="00D0133D" w:rsidP="00424707">
      <w:pPr>
        <w:pStyle w:val="NormalWeb"/>
        <w:shd w:val="clear" w:color="auto" w:fill="FFFFFF"/>
        <w:spacing w:before="0" w:beforeAutospacing="0" w:after="0" w:afterAutospacing="0" w:line="276" w:lineRule="auto"/>
        <w:ind w:firstLine="720"/>
        <w:jc w:val="both"/>
        <w:rPr>
          <w:shd w:val="clear" w:color="auto" w:fill="FFFFFF"/>
        </w:rPr>
      </w:pPr>
      <w:r w:rsidRPr="00424707">
        <w:rPr>
          <w:shd w:val="clear" w:color="auto" w:fill="FFFFFF"/>
        </w:rPr>
        <w:t>Saskaņā ar Krimināllikuma 50. panta pirmo un trešo daļu</w:t>
      </w:r>
      <w:r w:rsidR="00BE31E0" w:rsidRPr="00424707">
        <w:rPr>
          <w:shd w:val="clear" w:color="auto" w:fill="FFFFFF"/>
        </w:rPr>
        <w:t xml:space="preserve"> galīgais sods </w:t>
      </w:r>
      <w:r w:rsidR="006B4B99">
        <w:rPr>
          <w:shd w:val="clear" w:color="auto" w:fill="FFFFFF"/>
        </w:rPr>
        <w:t>[pers. A]</w:t>
      </w:r>
      <w:r w:rsidR="00BE31E0" w:rsidRPr="00424707">
        <w:rPr>
          <w:shd w:val="clear" w:color="auto" w:fill="FFFFFF"/>
        </w:rPr>
        <w:t xml:space="preserve"> noteikts brīvības atņemšana uz 3 gadiem 2 mēnešiem un probācijas uzraudzība uz 2 gadiem.</w:t>
      </w:r>
    </w:p>
    <w:p w14:paraId="42729149" w14:textId="77777777" w:rsidR="00BE31E0" w:rsidRPr="00424707" w:rsidRDefault="00BE31E0" w:rsidP="00424707">
      <w:pPr>
        <w:pStyle w:val="NormalWeb"/>
        <w:shd w:val="clear" w:color="auto" w:fill="FFFFFF"/>
        <w:spacing w:before="0" w:beforeAutospacing="0" w:after="0" w:afterAutospacing="0" w:line="276" w:lineRule="auto"/>
        <w:ind w:firstLine="720"/>
        <w:jc w:val="both"/>
        <w:rPr>
          <w:shd w:val="clear" w:color="auto" w:fill="FFFFFF"/>
        </w:rPr>
      </w:pPr>
    </w:p>
    <w:p w14:paraId="6AE9D406" w14:textId="23957ECB" w:rsidR="00BE31E0" w:rsidRPr="00424707" w:rsidRDefault="00BE31E0" w:rsidP="00424707">
      <w:pPr>
        <w:pStyle w:val="NormalWeb"/>
        <w:shd w:val="clear" w:color="auto" w:fill="FFFFFF"/>
        <w:spacing w:before="0" w:beforeAutospacing="0" w:after="0" w:afterAutospacing="0" w:line="276" w:lineRule="auto"/>
        <w:ind w:firstLine="720"/>
        <w:jc w:val="both"/>
        <w:rPr>
          <w:shd w:val="clear" w:color="auto" w:fill="FFFFFF"/>
        </w:rPr>
      </w:pPr>
      <w:r w:rsidRPr="00424707">
        <w:rPr>
          <w:shd w:val="clear" w:color="auto" w:fill="FFFFFF"/>
        </w:rPr>
        <w:t xml:space="preserve">[2] Ar pirmās instances tiesas spriedumu </w:t>
      </w:r>
      <w:r w:rsidR="006B4B99">
        <w:rPr>
          <w:shd w:val="clear" w:color="auto" w:fill="FFFFFF"/>
        </w:rPr>
        <w:t>[pers. A]</w:t>
      </w:r>
      <w:r w:rsidRPr="00424707">
        <w:rPr>
          <w:shd w:val="clear" w:color="auto" w:fill="FFFFFF"/>
        </w:rPr>
        <w:t xml:space="preserve"> atzīts par vainīgu un sodīts pēc Krimināllikuma 85. panta otrās daļas par valsts noslēpuma nelikumīgu vākšanu un pēc Krimināllikuma 318. panta pirmās daļas par</w:t>
      </w:r>
      <w:r w:rsidR="004B7938" w:rsidRPr="00424707">
        <w:rPr>
          <w:shd w:val="clear" w:color="auto" w:fill="FFFFFF"/>
        </w:rPr>
        <w:t xml:space="preserve"> to, ka, būdams valsts amatpersona,</w:t>
      </w:r>
      <w:r w:rsidRPr="00424707">
        <w:rPr>
          <w:shd w:val="clear" w:color="auto" w:fill="FFFFFF"/>
        </w:rPr>
        <w:t xml:space="preserve"> </w:t>
      </w:r>
      <w:r w:rsidR="004B7938" w:rsidRPr="00424707">
        <w:rPr>
          <w:shd w:val="clear" w:color="auto" w:fill="FFFFFF"/>
        </w:rPr>
        <w:t>ļaunprātīgi izmantojot dienesta stāvokli, izdarīja tīšas darbības, kas radījušas būtisku kaitējumu pārvaldības kārtībai un ar likumu aizsargātām personu interesēm</w:t>
      </w:r>
      <w:r w:rsidRPr="00424707">
        <w:rPr>
          <w:shd w:val="clear" w:color="auto" w:fill="FFFFFF"/>
        </w:rPr>
        <w:t>.</w:t>
      </w:r>
    </w:p>
    <w:p w14:paraId="7DB8D6A7" w14:textId="77777777" w:rsidR="004B7938" w:rsidRPr="00424707" w:rsidRDefault="004B7938" w:rsidP="00424707">
      <w:pPr>
        <w:pStyle w:val="NormalWeb"/>
        <w:shd w:val="clear" w:color="auto" w:fill="FFFFFF"/>
        <w:spacing w:before="0" w:beforeAutospacing="0" w:after="0" w:afterAutospacing="0" w:line="276" w:lineRule="auto"/>
        <w:ind w:firstLine="720"/>
        <w:jc w:val="both"/>
        <w:rPr>
          <w:shd w:val="clear" w:color="auto" w:fill="FFFFFF"/>
        </w:rPr>
      </w:pPr>
    </w:p>
    <w:p w14:paraId="72AFF460" w14:textId="7D3140E9" w:rsidR="004B7938" w:rsidRPr="00424707" w:rsidRDefault="004B7938" w:rsidP="006B4B99">
      <w:pPr>
        <w:pStyle w:val="NormalWeb"/>
        <w:shd w:val="clear" w:color="auto" w:fill="FFFFFF"/>
        <w:spacing w:before="0" w:beforeAutospacing="0" w:after="0" w:afterAutospacing="0" w:line="276" w:lineRule="auto"/>
        <w:ind w:firstLine="720"/>
        <w:jc w:val="both"/>
        <w:rPr>
          <w:shd w:val="clear" w:color="auto" w:fill="FFFFFF"/>
        </w:rPr>
      </w:pPr>
      <w:r w:rsidRPr="00424707">
        <w:rPr>
          <w:shd w:val="clear" w:color="auto" w:fill="FFFFFF"/>
        </w:rPr>
        <w:t xml:space="preserve">[3] Ar </w:t>
      </w:r>
      <w:r w:rsidR="009A7235">
        <w:rPr>
          <w:shd w:val="clear" w:color="auto" w:fill="FFFFFF"/>
        </w:rPr>
        <w:t>[..]</w:t>
      </w:r>
      <w:r w:rsidRPr="00424707">
        <w:rPr>
          <w:shd w:val="clear" w:color="auto" w:fill="FFFFFF"/>
        </w:rPr>
        <w:t xml:space="preserve"> apgabaltiesas 2024. gada </w:t>
      </w:r>
      <w:r w:rsidR="009A7235">
        <w:rPr>
          <w:shd w:val="clear" w:color="auto" w:fill="FFFFFF"/>
        </w:rPr>
        <w:t>[..]</w:t>
      </w:r>
      <w:r w:rsidRPr="00424707">
        <w:rPr>
          <w:shd w:val="clear" w:color="auto" w:fill="FFFFFF"/>
        </w:rPr>
        <w:t xml:space="preserve"> lēmumu, iztiesājot lietu apelācijas kārtībā sakarā ar apsūdzētā</w:t>
      </w:r>
      <w:r w:rsidR="00F00D8E" w:rsidRPr="00424707">
        <w:rPr>
          <w:shd w:val="clear" w:color="auto" w:fill="FFFFFF"/>
        </w:rPr>
        <w:t xml:space="preserve"> </w:t>
      </w:r>
      <w:r w:rsidR="006B4B99">
        <w:rPr>
          <w:shd w:val="clear" w:color="auto" w:fill="FFFFFF"/>
        </w:rPr>
        <w:t>[pers. A]</w:t>
      </w:r>
      <w:r w:rsidRPr="00424707">
        <w:rPr>
          <w:shd w:val="clear" w:color="auto" w:fill="FFFFFF"/>
        </w:rPr>
        <w:t xml:space="preserve"> aizstāvja A</w:t>
      </w:r>
      <w:r w:rsidR="00F00D8E" w:rsidRPr="00424707">
        <w:rPr>
          <w:shd w:val="clear" w:color="auto" w:fill="FFFFFF"/>
        </w:rPr>
        <w:t>. </w:t>
      </w:r>
      <w:r w:rsidRPr="00424707">
        <w:rPr>
          <w:shd w:val="clear" w:color="auto" w:fill="FFFFFF"/>
        </w:rPr>
        <w:t xml:space="preserve">Berezina apelācijas sūdzību, </w:t>
      </w:r>
      <w:r w:rsidR="006B4B99" w:rsidRPr="006B4B99">
        <w:rPr>
          <w:shd w:val="clear" w:color="auto" w:fill="FFFFFF"/>
        </w:rPr>
        <w:t xml:space="preserve">[rajona (pilsētas)] </w:t>
      </w:r>
      <w:r w:rsidRPr="00424707">
        <w:rPr>
          <w:shd w:val="clear" w:color="auto" w:fill="FFFFFF"/>
        </w:rPr>
        <w:t xml:space="preserve">tiesas 2023. gada </w:t>
      </w:r>
      <w:r w:rsidR="006B4B99">
        <w:rPr>
          <w:shd w:val="clear" w:color="auto" w:fill="FFFFFF"/>
        </w:rPr>
        <w:t>[..]</w:t>
      </w:r>
      <w:r w:rsidRPr="00424707">
        <w:rPr>
          <w:shd w:val="clear" w:color="auto" w:fill="FFFFFF"/>
        </w:rPr>
        <w:t xml:space="preserve"> spriedums atstāts negrozīts.</w:t>
      </w:r>
    </w:p>
    <w:p w14:paraId="437653F5" w14:textId="77777777" w:rsidR="004B7938" w:rsidRPr="00424707" w:rsidRDefault="004B7938" w:rsidP="00424707">
      <w:pPr>
        <w:pStyle w:val="NormalWeb"/>
        <w:shd w:val="clear" w:color="auto" w:fill="FFFFFF"/>
        <w:spacing w:before="0" w:beforeAutospacing="0" w:after="0" w:afterAutospacing="0" w:line="276" w:lineRule="auto"/>
        <w:ind w:firstLine="720"/>
        <w:jc w:val="both"/>
        <w:rPr>
          <w:shd w:val="clear" w:color="auto" w:fill="FFFFFF"/>
        </w:rPr>
      </w:pPr>
    </w:p>
    <w:p w14:paraId="1801A80A" w14:textId="66C36466" w:rsidR="004B7938" w:rsidRPr="00424707" w:rsidRDefault="004B7938" w:rsidP="00424707">
      <w:pPr>
        <w:pStyle w:val="NormalWeb"/>
        <w:shd w:val="clear" w:color="auto" w:fill="FFFFFF"/>
        <w:spacing w:before="0" w:beforeAutospacing="0" w:after="0" w:afterAutospacing="0" w:line="276" w:lineRule="auto"/>
        <w:ind w:firstLine="720"/>
        <w:jc w:val="both"/>
        <w:rPr>
          <w:shd w:val="clear" w:color="auto" w:fill="FFFFFF"/>
        </w:rPr>
      </w:pPr>
      <w:r w:rsidRPr="00424707">
        <w:rPr>
          <w:shd w:val="clear" w:color="auto" w:fill="FFFFFF"/>
        </w:rPr>
        <w:t xml:space="preserve">[4] Par </w:t>
      </w:r>
      <w:r w:rsidR="009A7235">
        <w:rPr>
          <w:shd w:val="clear" w:color="auto" w:fill="FFFFFF"/>
        </w:rPr>
        <w:t>[..]</w:t>
      </w:r>
      <w:r w:rsidRPr="00424707">
        <w:rPr>
          <w:shd w:val="clear" w:color="auto" w:fill="FFFFFF"/>
        </w:rPr>
        <w:t xml:space="preserve"> apgabaltiesas 2024. gada </w:t>
      </w:r>
      <w:r w:rsidR="009A7235">
        <w:rPr>
          <w:shd w:val="clear" w:color="auto" w:fill="FFFFFF"/>
        </w:rPr>
        <w:t>[..]</w:t>
      </w:r>
      <w:r w:rsidRPr="00424707">
        <w:rPr>
          <w:shd w:val="clear" w:color="auto" w:fill="FFFFFF"/>
        </w:rPr>
        <w:t xml:space="preserve"> lēmumu</w:t>
      </w:r>
      <w:r w:rsidR="007B0B89" w:rsidRPr="00424707">
        <w:rPr>
          <w:shd w:val="clear" w:color="auto" w:fill="FFFFFF"/>
        </w:rPr>
        <w:t xml:space="preserve"> </w:t>
      </w:r>
      <w:r w:rsidRPr="00424707">
        <w:rPr>
          <w:shd w:val="clear" w:color="auto" w:fill="FFFFFF"/>
        </w:rPr>
        <w:t>aizstāvis</w:t>
      </w:r>
      <w:r w:rsidR="007B0B89" w:rsidRPr="00424707">
        <w:rPr>
          <w:shd w:val="clear" w:color="auto" w:fill="FFFFFF"/>
        </w:rPr>
        <w:t xml:space="preserve"> </w:t>
      </w:r>
      <w:r w:rsidR="00CE59B5">
        <w:rPr>
          <w:shd w:val="clear" w:color="auto" w:fill="FFFFFF"/>
        </w:rPr>
        <w:t xml:space="preserve">A. Berezins </w:t>
      </w:r>
      <w:r w:rsidRPr="00424707">
        <w:rPr>
          <w:shd w:val="clear" w:color="auto" w:fill="FFFFFF"/>
        </w:rPr>
        <w:t xml:space="preserve">iesniedzis kasācijas sūdzību, </w:t>
      </w:r>
      <w:r w:rsidR="00CE59B5">
        <w:rPr>
          <w:shd w:val="clear" w:color="auto" w:fill="FFFFFF"/>
        </w:rPr>
        <w:t xml:space="preserve">kurā </w:t>
      </w:r>
      <w:r w:rsidR="00CE59B5" w:rsidRPr="00424707">
        <w:rPr>
          <w:shd w:val="clear" w:color="auto" w:fill="FFFFFF"/>
        </w:rPr>
        <w:t>lūdz</w:t>
      </w:r>
      <w:r w:rsidR="00CE59B5">
        <w:rPr>
          <w:shd w:val="clear" w:color="auto" w:fill="FFFFFF"/>
        </w:rPr>
        <w:t>is</w:t>
      </w:r>
      <w:r w:rsidR="00CE59B5" w:rsidRPr="00424707">
        <w:rPr>
          <w:shd w:val="clear" w:color="auto" w:fill="FFFFFF"/>
        </w:rPr>
        <w:t xml:space="preserve"> </w:t>
      </w:r>
      <w:r w:rsidRPr="00424707">
        <w:rPr>
          <w:shd w:val="clear" w:color="auto" w:fill="FFFFFF"/>
        </w:rPr>
        <w:t xml:space="preserve">atcelt apelācijas instances tiesas nolēmumu </w:t>
      </w:r>
      <w:r w:rsidR="00113F04">
        <w:rPr>
          <w:shd w:val="clear" w:color="auto" w:fill="FFFFFF"/>
        </w:rPr>
        <w:t xml:space="preserve">pilnībā </w:t>
      </w:r>
      <w:r w:rsidRPr="00424707">
        <w:rPr>
          <w:shd w:val="clear" w:color="auto" w:fill="FFFFFF"/>
        </w:rPr>
        <w:t>un nosūtīt lietu jaunai izskatīšanai apelācijas instances tiesā.</w:t>
      </w:r>
    </w:p>
    <w:p w14:paraId="059B760E" w14:textId="2684A29A" w:rsidR="004B7938" w:rsidRPr="00424707" w:rsidRDefault="004B7938" w:rsidP="00424707">
      <w:pPr>
        <w:pStyle w:val="NormalWeb"/>
        <w:shd w:val="clear" w:color="auto" w:fill="FFFFFF"/>
        <w:spacing w:before="0" w:beforeAutospacing="0" w:after="0" w:afterAutospacing="0" w:line="276" w:lineRule="auto"/>
        <w:ind w:firstLine="720"/>
        <w:jc w:val="both"/>
        <w:rPr>
          <w:shd w:val="clear" w:color="auto" w:fill="FFFFFF"/>
        </w:rPr>
      </w:pPr>
      <w:r w:rsidRPr="00424707">
        <w:rPr>
          <w:shd w:val="clear" w:color="auto" w:fill="FFFFFF"/>
        </w:rPr>
        <w:t>Kasācijas sūdzīb</w:t>
      </w:r>
      <w:r w:rsidR="003F39AB" w:rsidRPr="00424707">
        <w:rPr>
          <w:shd w:val="clear" w:color="auto" w:fill="FFFFFF"/>
        </w:rPr>
        <w:t>u aizstāvis</w:t>
      </w:r>
      <w:r w:rsidRPr="00424707">
        <w:rPr>
          <w:shd w:val="clear" w:color="auto" w:fill="FFFFFF"/>
        </w:rPr>
        <w:t xml:space="preserve"> </w:t>
      </w:r>
      <w:r w:rsidR="003F39AB" w:rsidRPr="00424707">
        <w:rPr>
          <w:shd w:val="clear" w:color="auto" w:fill="FFFFFF"/>
        </w:rPr>
        <w:t>pamatojis</w:t>
      </w:r>
      <w:r w:rsidRPr="00424707">
        <w:rPr>
          <w:shd w:val="clear" w:color="auto" w:fill="FFFFFF"/>
        </w:rPr>
        <w:t xml:space="preserve"> ar </w:t>
      </w:r>
      <w:r w:rsidR="003F39AB" w:rsidRPr="00424707">
        <w:rPr>
          <w:shd w:val="clear" w:color="auto" w:fill="FFFFFF"/>
        </w:rPr>
        <w:t>turpmāk norādītajiem</w:t>
      </w:r>
      <w:r w:rsidRPr="00424707">
        <w:rPr>
          <w:shd w:val="clear" w:color="auto" w:fill="FFFFFF"/>
        </w:rPr>
        <w:t xml:space="preserve"> argumentiem.</w:t>
      </w:r>
    </w:p>
    <w:p w14:paraId="24782326" w14:textId="5CDE5165" w:rsidR="004B7938" w:rsidRPr="00424707" w:rsidRDefault="004B7938" w:rsidP="00424707">
      <w:pPr>
        <w:pStyle w:val="NormalWeb"/>
        <w:shd w:val="clear" w:color="auto" w:fill="FFFFFF"/>
        <w:spacing w:before="0" w:beforeAutospacing="0" w:after="0" w:afterAutospacing="0" w:line="276" w:lineRule="auto"/>
        <w:ind w:firstLine="720"/>
        <w:jc w:val="both"/>
        <w:rPr>
          <w:shd w:val="clear" w:color="auto" w:fill="FFFFFF"/>
        </w:rPr>
      </w:pPr>
      <w:r w:rsidRPr="00424707">
        <w:rPr>
          <w:shd w:val="clear" w:color="auto" w:fill="FFFFFF"/>
        </w:rPr>
        <w:t>[4.1] </w:t>
      </w:r>
      <w:r w:rsidR="00B80448" w:rsidRPr="00424707">
        <w:rPr>
          <w:shd w:val="clear" w:color="auto" w:fill="FFFFFF"/>
        </w:rPr>
        <w:t xml:space="preserve">Apelācijas instances tiesa </w:t>
      </w:r>
      <w:r w:rsidR="00F453AA" w:rsidRPr="00424707">
        <w:rPr>
          <w:shd w:val="clear" w:color="auto" w:fill="FFFFFF"/>
        </w:rPr>
        <w:t>nav ievērojusi Krimināllikuma 1. pantu un nepamatoti konstatējusi Krimināllikuma 85. panta otrajā daļā paredzētā noziedzīgā nodarījuma sastāva esību apsūdzētā darbībās, proti, nepamatoti secinājusi, ka valsts noslēpuma vākšana bez spiegošanas pazīmēm veido konkrētā noziedzīgā nodarījuma sastāvu.</w:t>
      </w:r>
    </w:p>
    <w:p w14:paraId="54CBF4F5" w14:textId="1A8D13AE" w:rsidR="00D77632" w:rsidRPr="00424707" w:rsidRDefault="00F453AA" w:rsidP="00424707">
      <w:pPr>
        <w:pStyle w:val="NormalWeb"/>
        <w:shd w:val="clear" w:color="auto" w:fill="FFFFFF"/>
        <w:spacing w:before="0" w:beforeAutospacing="0" w:after="0" w:afterAutospacing="0" w:line="276" w:lineRule="auto"/>
        <w:ind w:firstLine="720"/>
        <w:jc w:val="both"/>
        <w:rPr>
          <w:shd w:val="clear" w:color="auto" w:fill="FFFFFF"/>
        </w:rPr>
      </w:pPr>
      <w:r w:rsidRPr="00424707">
        <w:rPr>
          <w:shd w:val="clear" w:color="auto" w:fill="FFFFFF"/>
        </w:rPr>
        <w:lastRenderedPageBreak/>
        <w:t>[4.1.1] </w:t>
      </w:r>
      <w:r w:rsidR="001C3412" w:rsidRPr="00424707">
        <w:rPr>
          <w:shd w:val="clear" w:color="auto" w:fill="FFFFFF"/>
        </w:rPr>
        <w:t>Krimināllikumā nav paredzēta kriminālatbildība par valsts noslēpuma vākšanu bez spiegošanas pazīmēm, valsts noslēpuma pārvietošanu un glabāšanu</w:t>
      </w:r>
      <w:r w:rsidR="00296A93" w:rsidRPr="00424707">
        <w:rPr>
          <w:shd w:val="clear" w:color="auto" w:fill="FFFFFF"/>
        </w:rPr>
        <w:t>.</w:t>
      </w:r>
      <w:r w:rsidR="001C3412" w:rsidRPr="00424707">
        <w:rPr>
          <w:shd w:val="clear" w:color="auto" w:fill="FFFFFF"/>
        </w:rPr>
        <w:t xml:space="preserve"> Kriminālatbildība paredzēta tikai par valsts noslēpuma vākšanu spiegošanas nolūkā (Krimināllikuma 85. panta otrā daļa) un valsts noslēpuma izpaušanu apzināti (Krimināllikuma 94. pants) vai aiz neuzmanības (Krimināllikuma 95. pants).</w:t>
      </w:r>
    </w:p>
    <w:p w14:paraId="0CC6F91F" w14:textId="35EC72AE" w:rsidR="00D77632" w:rsidRPr="00424707" w:rsidRDefault="001711D2" w:rsidP="00424707">
      <w:pPr>
        <w:pStyle w:val="NormalWeb"/>
        <w:shd w:val="clear" w:color="auto" w:fill="FFFFFF"/>
        <w:spacing w:before="0" w:beforeAutospacing="0" w:after="0" w:afterAutospacing="0" w:line="276" w:lineRule="auto"/>
        <w:ind w:firstLine="720"/>
        <w:jc w:val="both"/>
        <w:rPr>
          <w:shd w:val="clear" w:color="auto" w:fill="FFFFFF"/>
        </w:rPr>
      </w:pPr>
      <w:r w:rsidRPr="00424707">
        <w:rPr>
          <w:shd w:val="clear" w:color="auto" w:fill="FFFFFF"/>
        </w:rPr>
        <w:t>[4.1.2] </w:t>
      </w:r>
      <w:r w:rsidR="00894F5A" w:rsidRPr="00424707">
        <w:rPr>
          <w:shd w:val="clear" w:color="auto" w:fill="FFFFFF"/>
        </w:rPr>
        <w:t xml:space="preserve">Tiesa ir nepareizi interpretējusi jēdzienu valsts noslēpumu saturošās informācijas „vākšana”. </w:t>
      </w:r>
      <w:r w:rsidR="00D77632" w:rsidRPr="00424707">
        <w:rPr>
          <w:shd w:val="clear" w:color="auto" w:fill="FFFFFF"/>
        </w:rPr>
        <w:t>Likumdevējs</w:t>
      </w:r>
      <w:r w:rsidR="006A0E8E" w:rsidRPr="00424707">
        <w:rPr>
          <w:shd w:val="clear" w:color="auto" w:fill="FFFFFF"/>
        </w:rPr>
        <w:t>, skaidrojot</w:t>
      </w:r>
      <w:r w:rsidR="00D77632" w:rsidRPr="00424707">
        <w:rPr>
          <w:shd w:val="clear" w:color="auto" w:fill="FFFFFF"/>
        </w:rPr>
        <w:t xml:space="preserve"> Krimināllikuma 85. pant</w:t>
      </w:r>
      <w:r w:rsidR="006A0E8E" w:rsidRPr="00424707">
        <w:rPr>
          <w:shd w:val="clear" w:color="auto" w:fill="FFFFFF"/>
        </w:rPr>
        <w:t>a saturu,</w:t>
      </w:r>
      <w:r w:rsidR="00D77632" w:rsidRPr="00424707">
        <w:rPr>
          <w:shd w:val="clear" w:color="auto" w:fill="FFFFFF"/>
        </w:rPr>
        <w:t xml:space="preserve"> likumprojekta Nr. 514/Lp2 „Grozījumi Krimināllikumā”</w:t>
      </w:r>
      <w:r w:rsidR="00DE4EC9" w:rsidRPr="00424707">
        <w:rPr>
          <w:shd w:val="clear" w:color="auto" w:fill="FFFFFF"/>
        </w:rPr>
        <w:t xml:space="preserve"> anotācijā</w:t>
      </w:r>
      <w:r w:rsidR="00D77632" w:rsidRPr="00424707">
        <w:rPr>
          <w:shd w:val="clear" w:color="auto" w:fill="FFFFFF"/>
        </w:rPr>
        <w:t xml:space="preserve"> ir sniedzis termina „vākšana” legālo definīciju, proti, „vākšana” ir jebkāda veida šo ziņu iegūšana, lai tās nodotu ārvalstij vai ārvalsts organizācijai tieši vai ar citas personas starpniecību.</w:t>
      </w:r>
    </w:p>
    <w:p w14:paraId="307C9015" w14:textId="763756C1" w:rsidR="00FA708A" w:rsidRPr="00424707" w:rsidRDefault="00BD107A" w:rsidP="00424707">
      <w:pPr>
        <w:pStyle w:val="NormalWeb"/>
        <w:shd w:val="clear" w:color="auto" w:fill="FFFFFF"/>
        <w:spacing w:before="0" w:beforeAutospacing="0" w:after="0" w:afterAutospacing="0" w:line="276" w:lineRule="auto"/>
        <w:ind w:firstLine="720"/>
        <w:jc w:val="both"/>
        <w:rPr>
          <w:shd w:val="clear" w:color="auto" w:fill="FFFFFF"/>
        </w:rPr>
      </w:pPr>
      <w:r w:rsidRPr="00424707">
        <w:rPr>
          <w:shd w:val="clear" w:color="auto" w:fill="FFFFFF"/>
        </w:rPr>
        <w:t>[4.1.</w:t>
      </w:r>
      <w:r w:rsidR="00FA708A" w:rsidRPr="00424707">
        <w:rPr>
          <w:shd w:val="clear" w:color="auto" w:fill="FFFFFF"/>
        </w:rPr>
        <w:t>3</w:t>
      </w:r>
      <w:r w:rsidRPr="00424707">
        <w:rPr>
          <w:shd w:val="clear" w:color="auto" w:fill="FFFFFF"/>
        </w:rPr>
        <w:t xml:space="preserve">] Apelācijas instances tiesa nepamatoti </w:t>
      </w:r>
      <w:r w:rsidR="00ED4F6F" w:rsidRPr="00424707">
        <w:rPr>
          <w:shd w:val="clear" w:color="auto" w:fill="FFFFFF"/>
        </w:rPr>
        <w:t>atzinusi</w:t>
      </w:r>
      <w:r w:rsidRPr="00424707">
        <w:rPr>
          <w:shd w:val="clear" w:color="auto" w:fill="FFFFFF"/>
        </w:rPr>
        <w:t xml:space="preserve">, ka, izslēdzot </w:t>
      </w:r>
      <w:r w:rsidR="00113F04" w:rsidRPr="00424707">
        <w:rPr>
          <w:shd w:val="clear" w:color="auto" w:fill="FFFFFF"/>
        </w:rPr>
        <w:t xml:space="preserve">no Krimināllikuma 85. panta otrās daļas aktuālās redakcijas </w:t>
      </w:r>
      <w:r w:rsidRPr="00424707">
        <w:rPr>
          <w:shd w:val="clear" w:color="auto" w:fill="FFFFFF"/>
        </w:rPr>
        <w:t>norādi uz ārvalsts izlūkdienesta uzdevumu, izslēgta arī norāde uz ārvalsts interesi, tādējādi padarot valsts noslēpuma vākšanu pašu par sevi par krimināli sodāmu darbību.</w:t>
      </w:r>
      <w:r w:rsidR="00FE1B02" w:rsidRPr="00424707">
        <w:rPr>
          <w:shd w:val="clear" w:color="auto" w:fill="FFFFFF"/>
        </w:rPr>
        <w:t xml:space="preserve"> Norāde uz nolūku vākt valsts noslēpumu ārvalsts izlūkdienesta uzdevumā tikusi izslēgta tādēļ</w:t>
      </w:r>
      <w:r w:rsidR="00DD6D38" w:rsidRPr="00424707">
        <w:rPr>
          <w:shd w:val="clear" w:color="auto" w:fill="FFFFFF"/>
        </w:rPr>
        <w:t>,</w:t>
      </w:r>
      <w:r w:rsidR="00FE1B02" w:rsidRPr="00424707">
        <w:rPr>
          <w:shd w:val="clear" w:color="auto" w:fill="FFFFFF"/>
        </w:rPr>
        <w:t xml:space="preserve"> ka praksē spiegošana notiek</w:t>
      </w:r>
      <w:r w:rsidR="00654C2B" w:rsidRPr="00424707">
        <w:rPr>
          <w:shd w:val="clear" w:color="auto" w:fill="FFFFFF"/>
        </w:rPr>
        <w:t>,</w:t>
      </w:r>
      <w:r w:rsidR="00FE1B02" w:rsidRPr="00424707">
        <w:rPr>
          <w:shd w:val="clear" w:color="auto" w:fill="FFFFFF"/>
        </w:rPr>
        <w:t xml:space="preserve"> </w:t>
      </w:r>
      <w:r w:rsidR="00DD6D38" w:rsidRPr="00424707">
        <w:rPr>
          <w:shd w:val="clear" w:color="auto" w:fill="FFFFFF"/>
        </w:rPr>
        <w:t>izmantojot trešās personas</w:t>
      </w:r>
      <w:r w:rsidR="00FE1B02" w:rsidRPr="00424707">
        <w:rPr>
          <w:shd w:val="clear" w:color="auto" w:fill="FFFFFF"/>
        </w:rPr>
        <w:t>, kuras nav tieši saistītas ar ārvalsts izlūkdienestu. Likumprojekt</w:t>
      </w:r>
      <w:r w:rsidR="003813C7">
        <w:rPr>
          <w:shd w:val="clear" w:color="auto" w:fill="FFFFFF"/>
        </w:rPr>
        <w:t>a</w:t>
      </w:r>
      <w:r w:rsidR="00FE1B02" w:rsidRPr="00424707">
        <w:rPr>
          <w:shd w:val="clear" w:color="auto" w:fill="FFFFFF"/>
        </w:rPr>
        <w:t xml:space="preserve"> Nr. 514/Lp2 „Grozījumi Krimināllikumā” anotācijā norādīts, ka, izslēdzot līdz tam paredzēto spiegošanas pazīmi „izlūkdienesta uzdevumā”, tiek noteikta kriminālatbildība par neizpaužamu ziņu vākšanu vai nodošanu ārvalstij vai ārvalsts organizācijai</w:t>
      </w:r>
      <w:r w:rsidR="003813C7">
        <w:rPr>
          <w:shd w:val="clear" w:color="auto" w:fill="FFFFFF"/>
        </w:rPr>
        <w:t>,</w:t>
      </w:r>
      <w:r w:rsidR="00FE1B02" w:rsidRPr="00424707">
        <w:rPr>
          <w:shd w:val="clear" w:color="auto" w:fill="FFFFFF"/>
        </w:rPr>
        <w:t xml:space="preserve"> neatkarīgi no tā, vai tas izdarīts tieši vai pastarpināti, un kurš ir spiegošanas iniciators. Būtiskākais ir tas, ka persona apzinās, ka tās vāktā informācija nonāks ārvalsts rīcībā.</w:t>
      </w:r>
    </w:p>
    <w:p w14:paraId="02167FCC" w14:textId="707161BC" w:rsidR="00BD107A" w:rsidRPr="00424707" w:rsidRDefault="00FA708A" w:rsidP="00424707">
      <w:pPr>
        <w:pStyle w:val="NormalWeb"/>
        <w:shd w:val="clear" w:color="auto" w:fill="FFFFFF"/>
        <w:spacing w:before="0" w:beforeAutospacing="0" w:after="0" w:afterAutospacing="0" w:line="276" w:lineRule="auto"/>
        <w:ind w:firstLine="720"/>
        <w:jc w:val="both"/>
        <w:rPr>
          <w:shd w:val="clear" w:color="auto" w:fill="FFFFFF"/>
        </w:rPr>
      </w:pPr>
      <w:r w:rsidRPr="00424707">
        <w:rPr>
          <w:shd w:val="clear" w:color="auto" w:fill="FFFFFF"/>
        </w:rPr>
        <w:t>[4.1.4] Ja valsts amatpersonai ir piekļuve valsts noslēpumu saturošiem materiāliem sakarā ar dienesta pienākumu pildīšanu, tad šo materiālu nonākšana šīs personas rīcībā nevar būt prettiesiska. Līdz ar to apsūdzētais nav prettiesiski ieguvis valsts noslēpumu.</w:t>
      </w:r>
    </w:p>
    <w:p w14:paraId="2820BEDC" w14:textId="45799E42" w:rsidR="00C56AD7" w:rsidRPr="00424707" w:rsidRDefault="00C56AD7" w:rsidP="00424707">
      <w:pPr>
        <w:pStyle w:val="NormalWeb"/>
        <w:shd w:val="clear" w:color="auto" w:fill="FFFFFF"/>
        <w:spacing w:before="0" w:beforeAutospacing="0" w:after="0" w:afterAutospacing="0" w:line="276" w:lineRule="auto"/>
        <w:ind w:firstLine="720"/>
        <w:jc w:val="both"/>
        <w:rPr>
          <w:shd w:val="clear" w:color="auto" w:fill="FFFFFF"/>
        </w:rPr>
      </w:pPr>
      <w:r w:rsidRPr="00424707">
        <w:rPr>
          <w:shd w:val="clear" w:color="auto" w:fill="FFFFFF"/>
        </w:rPr>
        <w:t>[4.2] </w:t>
      </w:r>
      <w:r w:rsidR="006860CE" w:rsidRPr="00424707">
        <w:rPr>
          <w:shd w:val="clear" w:color="auto" w:fill="FFFFFF"/>
        </w:rPr>
        <w:t>Apelācijas instances tiesa nepamatoti konstatējusi Krimināllikuma 318. pant</w:t>
      </w:r>
      <w:r w:rsidR="00B51CE4" w:rsidRPr="00424707">
        <w:rPr>
          <w:shd w:val="clear" w:color="auto" w:fill="FFFFFF"/>
        </w:rPr>
        <w:t>a</w:t>
      </w:r>
      <w:r w:rsidR="006860CE" w:rsidRPr="00424707">
        <w:rPr>
          <w:shd w:val="clear" w:color="auto" w:fill="FFFFFF"/>
        </w:rPr>
        <w:t xml:space="preserve"> pirmajā daļā paredzētā noziedzīgā nodarījuma sastāva esību apsūdzētā darbībās</w:t>
      </w:r>
      <w:r w:rsidR="00B51CE4" w:rsidRPr="00424707">
        <w:rPr>
          <w:shd w:val="clear" w:color="auto" w:fill="FFFFFF"/>
        </w:rPr>
        <w:t>. Tiesa atzinusi, ka apsūdzētais ir ļaunprātīgi izmantojis savu dienesta stāvokli</w:t>
      </w:r>
      <w:r w:rsidR="003813C7">
        <w:rPr>
          <w:shd w:val="clear" w:color="auto" w:fill="FFFFFF"/>
        </w:rPr>
        <w:t>,</w:t>
      </w:r>
      <w:r w:rsidR="00B51CE4" w:rsidRPr="00424707">
        <w:rPr>
          <w:shd w:val="clear" w:color="auto" w:fill="FFFFFF"/>
        </w:rPr>
        <w:t xml:space="preserve"> nelikumīgi iegūstot, pārvietojot un glabājot valsts noslēpumu.</w:t>
      </w:r>
      <w:r w:rsidR="006860CE" w:rsidRPr="00424707">
        <w:rPr>
          <w:shd w:val="clear" w:color="auto" w:fill="FFFFFF"/>
        </w:rPr>
        <w:t xml:space="preserve"> </w:t>
      </w:r>
      <w:r w:rsidR="00B51CE4" w:rsidRPr="00424707">
        <w:rPr>
          <w:shd w:val="clear" w:color="auto" w:fill="FFFFFF"/>
        </w:rPr>
        <w:t>T</w:t>
      </w:r>
      <w:r w:rsidR="006860CE" w:rsidRPr="00424707">
        <w:rPr>
          <w:shd w:val="clear" w:color="auto" w:fill="FFFFFF"/>
        </w:rPr>
        <w:t>iesa nepamatoti attiecinājusi Krimināllikuma 318. panta pirmo daļu uz darbībām, kuras apsūdzētais ir veicis pēc dienesta attiecību izbeigšanas, t. i., uz valsts noslēpuma pārvietošanu un glabāšanu, turklāt tiesa nav konstatējusi būtisk</w:t>
      </w:r>
      <w:r w:rsidR="00792ED9" w:rsidRPr="00424707">
        <w:rPr>
          <w:shd w:val="clear" w:color="auto" w:fill="FFFFFF"/>
        </w:rPr>
        <w:t>u</w:t>
      </w:r>
      <w:r w:rsidR="006860CE" w:rsidRPr="00424707">
        <w:rPr>
          <w:shd w:val="clear" w:color="auto" w:fill="FFFFFF"/>
        </w:rPr>
        <w:t xml:space="preserve"> kaitējumu </w:t>
      </w:r>
      <w:r w:rsidR="00792ED9" w:rsidRPr="00424707">
        <w:rPr>
          <w:shd w:val="clear" w:color="auto" w:fill="FFFFFF"/>
        </w:rPr>
        <w:t>saistībā ar</w:t>
      </w:r>
      <w:r w:rsidR="006860CE" w:rsidRPr="00424707">
        <w:rPr>
          <w:shd w:val="clear" w:color="auto" w:fill="FFFFFF"/>
        </w:rPr>
        <w:t xml:space="preserve"> valsts noslēpuma nelikumīgu iegūšanu, bet gan tikai attiecībā uz valsts noslēpuma glabāšanu.</w:t>
      </w:r>
    </w:p>
    <w:p w14:paraId="4FDC487D" w14:textId="7E500324" w:rsidR="0013554D" w:rsidRPr="00424707" w:rsidRDefault="0013554D" w:rsidP="00424707">
      <w:pPr>
        <w:pStyle w:val="NormalWeb"/>
        <w:shd w:val="clear" w:color="auto" w:fill="FFFFFF"/>
        <w:spacing w:before="0" w:beforeAutospacing="0" w:after="0" w:afterAutospacing="0" w:line="276" w:lineRule="auto"/>
        <w:ind w:firstLine="720"/>
        <w:jc w:val="both"/>
        <w:rPr>
          <w:shd w:val="clear" w:color="auto" w:fill="FFFFFF"/>
        </w:rPr>
      </w:pPr>
      <w:r w:rsidRPr="00424707">
        <w:rPr>
          <w:shd w:val="clear" w:color="auto" w:fill="FFFFFF"/>
        </w:rPr>
        <w:t>Tiesa nav motivējusi, kā attiecībā uz valsts noslēpuma pārvietošanu un tā turpmāku glabāšanu attiecināma dienesta pilnvaru ļaunprātīga izmantošana un kādas tieši amata pilnvaras apsūdzētais ir izmantojis, ņemot vērā, ka minēto darbību izdarīšanas laikā apsūdzētais vairs neatradās dienestā.</w:t>
      </w:r>
    </w:p>
    <w:p w14:paraId="374DB532" w14:textId="17E2BC8C" w:rsidR="00D30E51" w:rsidRPr="00424707" w:rsidRDefault="001D15B9" w:rsidP="00424707">
      <w:pPr>
        <w:pStyle w:val="NormalWeb"/>
        <w:shd w:val="clear" w:color="auto" w:fill="FFFFFF"/>
        <w:spacing w:before="0" w:beforeAutospacing="0" w:after="0" w:afterAutospacing="0" w:line="276" w:lineRule="auto"/>
        <w:ind w:firstLine="720"/>
        <w:jc w:val="both"/>
        <w:rPr>
          <w:shd w:val="clear" w:color="auto" w:fill="FFFFFF"/>
        </w:rPr>
      </w:pPr>
      <w:r w:rsidRPr="00424707">
        <w:rPr>
          <w:shd w:val="clear" w:color="auto" w:fill="FFFFFF"/>
        </w:rPr>
        <w:t>B</w:t>
      </w:r>
      <w:r w:rsidR="00D30E51" w:rsidRPr="00424707">
        <w:rPr>
          <w:shd w:val="clear" w:color="auto" w:fill="FFFFFF"/>
        </w:rPr>
        <w:t xml:space="preserve">ūtiskā kaitējuma </w:t>
      </w:r>
      <w:r w:rsidRPr="00424707">
        <w:rPr>
          <w:shd w:val="clear" w:color="auto" w:fill="FFFFFF"/>
        </w:rPr>
        <w:t>esību tiesa ir</w:t>
      </w:r>
      <w:r w:rsidR="00D30E51" w:rsidRPr="00424707">
        <w:rPr>
          <w:shd w:val="clear" w:color="auto" w:fill="FFFFFF"/>
        </w:rPr>
        <w:t xml:space="preserve"> pamato</w:t>
      </w:r>
      <w:r w:rsidR="00765685" w:rsidRPr="00424707">
        <w:rPr>
          <w:shd w:val="clear" w:color="auto" w:fill="FFFFFF"/>
        </w:rPr>
        <w:t>jusi</w:t>
      </w:r>
      <w:r w:rsidR="00D30E51" w:rsidRPr="00424707">
        <w:rPr>
          <w:shd w:val="clear" w:color="auto" w:fill="FFFFFF"/>
        </w:rPr>
        <w:t xml:space="preserve"> ar valsts noslēpuma glabāšanu, uzsverot, ka tik ilgstoša glabāšana radīj</w:t>
      </w:r>
      <w:r w:rsidR="00832E5F" w:rsidRPr="00424707">
        <w:rPr>
          <w:shd w:val="clear" w:color="auto" w:fill="FFFFFF"/>
        </w:rPr>
        <w:t>usi</w:t>
      </w:r>
      <w:r w:rsidR="00D30E51" w:rsidRPr="00424707">
        <w:rPr>
          <w:shd w:val="clear" w:color="auto" w:fill="FFFFFF"/>
        </w:rPr>
        <w:t xml:space="preserve"> riskus valsts noslēpuma izpaušanai, apdraudot attiecīgās intereses. Tiesa nepamatoti secinājusi, ka valsts noslēpuma nelikumīga glabāšana, kas nav saistīta ar dienesta stāvok</w:t>
      </w:r>
      <w:r w:rsidR="00146F61" w:rsidRPr="00424707">
        <w:rPr>
          <w:shd w:val="clear" w:color="auto" w:fill="FFFFFF"/>
        </w:rPr>
        <w:t>ļa izmantošanu un nav</w:t>
      </w:r>
      <w:r w:rsidR="00D30E51" w:rsidRPr="00424707">
        <w:rPr>
          <w:shd w:val="clear" w:color="auto" w:fill="FFFFFF"/>
        </w:rPr>
        <w:t xml:space="preserve"> Krimināllikuma 318. panta pirmajā daļā paredzētā noziedzīgā nodarījuma objektīvās puses izpausm</w:t>
      </w:r>
      <w:r w:rsidR="00146F61" w:rsidRPr="00424707">
        <w:rPr>
          <w:shd w:val="clear" w:color="auto" w:fill="FFFFFF"/>
        </w:rPr>
        <w:t>e</w:t>
      </w:r>
      <w:r w:rsidR="00D30E51" w:rsidRPr="00424707">
        <w:rPr>
          <w:shd w:val="clear" w:color="auto" w:fill="FFFFFF"/>
        </w:rPr>
        <w:t>, radīj</w:t>
      </w:r>
      <w:r w:rsidR="003813C7">
        <w:rPr>
          <w:shd w:val="clear" w:color="auto" w:fill="FFFFFF"/>
        </w:rPr>
        <w:t>usi</w:t>
      </w:r>
      <w:r w:rsidR="00D30E51" w:rsidRPr="00424707">
        <w:rPr>
          <w:shd w:val="clear" w:color="auto" w:fill="FFFFFF"/>
        </w:rPr>
        <w:t xml:space="preserve"> kaitīgas sekas</w:t>
      </w:r>
      <w:r w:rsidR="00146F61" w:rsidRPr="00424707">
        <w:rPr>
          <w:shd w:val="clear" w:color="auto" w:fill="FFFFFF"/>
        </w:rPr>
        <w:t>, kas</w:t>
      </w:r>
      <w:r w:rsidR="00D30E51" w:rsidRPr="00424707">
        <w:rPr>
          <w:shd w:val="clear" w:color="auto" w:fill="FFFFFF"/>
        </w:rPr>
        <w:t xml:space="preserve"> attiecināmas uz iespējamu dienesta stāvokļa ļaunprātīgu izmantošanu.</w:t>
      </w:r>
    </w:p>
    <w:p w14:paraId="341B4488" w14:textId="6D0487CA" w:rsidR="009B3A73" w:rsidRDefault="00C56AD7" w:rsidP="00424707">
      <w:pPr>
        <w:pStyle w:val="NormalWeb"/>
        <w:shd w:val="clear" w:color="auto" w:fill="FFFFFF"/>
        <w:spacing w:before="0" w:beforeAutospacing="0" w:after="0" w:afterAutospacing="0" w:line="276" w:lineRule="auto"/>
        <w:ind w:firstLine="720"/>
        <w:jc w:val="both"/>
        <w:rPr>
          <w:shd w:val="clear" w:color="auto" w:fill="FFFFFF"/>
        </w:rPr>
      </w:pPr>
      <w:r w:rsidRPr="00424707">
        <w:rPr>
          <w:shd w:val="clear" w:color="auto" w:fill="FFFFFF"/>
        </w:rPr>
        <w:lastRenderedPageBreak/>
        <w:t>[4.3] </w:t>
      </w:r>
      <w:r w:rsidR="00B80448" w:rsidRPr="00424707">
        <w:rPr>
          <w:shd w:val="clear" w:color="auto" w:fill="FFFFFF"/>
        </w:rPr>
        <w:t>Apelācijas</w:t>
      </w:r>
      <w:r w:rsidRPr="00424707">
        <w:rPr>
          <w:shd w:val="clear" w:color="auto" w:fill="FFFFFF"/>
        </w:rPr>
        <w:t xml:space="preserve"> instances tiesa spriedumu pamatojusi ar nepieļaujamiem pierādījumiem ‒ </w:t>
      </w:r>
      <w:r w:rsidR="00984810">
        <w:rPr>
          <w:shd w:val="clear" w:color="auto" w:fill="FFFFFF"/>
        </w:rPr>
        <w:t xml:space="preserve">[valsts drošības </w:t>
      </w:r>
      <w:r w:rsidR="002D032B">
        <w:rPr>
          <w:shd w:val="clear" w:color="auto" w:fill="FFFFFF"/>
        </w:rPr>
        <w:t>iestādes</w:t>
      </w:r>
      <w:r w:rsidR="00984810">
        <w:rPr>
          <w:shd w:val="clear" w:color="auto" w:fill="FFFFFF"/>
        </w:rPr>
        <w:t> A]</w:t>
      </w:r>
      <w:r w:rsidR="00DF5791" w:rsidRPr="00424707">
        <w:rPr>
          <w:shd w:val="clear" w:color="auto" w:fill="FFFFFF"/>
        </w:rPr>
        <w:t xml:space="preserve"> 2021. gada </w:t>
      </w:r>
      <w:r w:rsidR="009A7235">
        <w:rPr>
          <w:shd w:val="clear" w:color="auto" w:fill="FFFFFF"/>
        </w:rPr>
        <w:t>[..]</w:t>
      </w:r>
      <w:r w:rsidR="00DF5791" w:rsidRPr="00424707">
        <w:rPr>
          <w:shd w:val="clear" w:color="auto" w:fill="FFFFFF"/>
        </w:rPr>
        <w:t xml:space="preserve"> </w:t>
      </w:r>
      <w:r w:rsidR="00B63698" w:rsidRPr="00424707">
        <w:rPr>
          <w:shd w:val="clear" w:color="auto" w:fill="FFFFFF"/>
        </w:rPr>
        <w:t>viedokli</w:t>
      </w:r>
      <w:r w:rsidR="00B80448" w:rsidRPr="00424707">
        <w:rPr>
          <w:shd w:val="clear" w:color="auto" w:fill="FFFFFF"/>
        </w:rPr>
        <w:t xml:space="preserve"> par Krimināllikuma 85. panta piemērošanu</w:t>
      </w:r>
      <w:r w:rsidR="00DF5791" w:rsidRPr="00424707">
        <w:rPr>
          <w:shd w:val="clear" w:color="auto" w:fill="FFFFFF"/>
        </w:rPr>
        <w:t xml:space="preserve"> un </w:t>
      </w:r>
      <w:r w:rsidR="00984810">
        <w:rPr>
          <w:shd w:val="clear" w:color="auto" w:fill="FFFFFF"/>
        </w:rPr>
        <w:t xml:space="preserve">[valsts drošības </w:t>
      </w:r>
      <w:r w:rsidR="002D032B">
        <w:rPr>
          <w:shd w:val="clear" w:color="auto" w:fill="FFFFFF"/>
        </w:rPr>
        <w:t>iestādes</w:t>
      </w:r>
      <w:r w:rsidR="00984810">
        <w:rPr>
          <w:shd w:val="clear" w:color="auto" w:fill="FFFFFF"/>
        </w:rPr>
        <w:t> B]</w:t>
      </w:r>
      <w:r w:rsidR="00DF5791" w:rsidRPr="00424707">
        <w:rPr>
          <w:shd w:val="clear" w:color="auto" w:fill="FFFFFF"/>
        </w:rPr>
        <w:t xml:space="preserve"> 2021. gada </w:t>
      </w:r>
      <w:r w:rsidR="009A7235">
        <w:rPr>
          <w:shd w:val="clear" w:color="auto" w:fill="FFFFFF"/>
        </w:rPr>
        <w:t>[..]</w:t>
      </w:r>
      <w:r w:rsidR="00DF5791" w:rsidRPr="00424707">
        <w:rPr>
          <w:shd w:val="clear" w:color="auto" w:fill="FFFFFF"/>
        </w:rPr>
        <w:t xml:space="preserve"> </w:t>
      </w:r>
      <w:bookmarkStart w:id="0" w:name="OLE_LINK1"/>
      <w:r w:rsidR="00B63698" w:rsidRPr="00424707">
        <w:rPr>
          <w:shd w:val="clear" w:color="auto" w:fill="FFFFFF"/>
        </w:rPr>
        <w:t>atbildi</w:t>
      </w:r>
      <w:r w:rsidR="00B80448" w:rsidRPr="00424707">
        <w:rPr>
          <w:shd w:val="clear" w:color="auto" w:fill="FFFFFF"/>
        </w:rPr>
        <w:t xml:space="preserve"> par apsūdzētā attieksmi pret prettiesisko rīcību</w:t>
      </w:r>
      <w:bookmarkEnd w:id="0"/>
      <w:r w:rsidR="009B3A73" w:rsidRPr="00424707">
        <w:rPr>
          <w:shd w:val="clear" w:color="auto" w:fill="FFFFFF"/>
        </w:rPr>
        <w:t>. Tiesa iestāžu atbildes nepamatoti atzinusi par kompetentās institūcijas atzinum</w:t>
      </w:r>
      <w:r w:rsidR="00B80448" w:rsidRPr="00424707">
        <w:rPr>
          <w:shd w:val="clear" w:color="auto" w:fill="FFFFFF"/>
        </w:rPr>
        <w:t>iem</w:t>
      </w:r>
      <w:r w:rsidR="009B3A73" w:rsidRPr="00424707">
        <w:rPr>
          <w:shd w:val="clear" w:color="auto" w:fill="FFFFFF"/>
        </w:rPr>
        <w:t xml:space="preserve"> saskaņā ar Kriminālprocesa likuma 133. pantu.</w:t>
      </w:r>
      <w:r w:rsidR="00B63698" w:rsidRPr="00424707">
        <w:rPr>
          <w:shd w:val="clear" w:color="auto" w:fill="FFFFFF"/>
        </w:rPr>
        <w:t xml:space="preserve"> Minētās iestāžu atbildes neatbilst Kriminālprocesa likuma 127. panta pirmajā daļā noteiktajam, ka pierādījums ir ziņas par faktiem</w:t>
      </w:r>
      <w:r w:rsidR="00B36B69" w:rsidRPr="00424707">
        <w:rPr>
          <w:shd w:val="clear" w:color="auto" w:fill="FFFFFF"/>
        </w:rPr>
        <w:t xml:space="preserve">. </w:t>
      </w:r>
      <w:r w:rsidR="002D032B">
        <w:rPr>
          <w:shd w:val="clear" w:color="auto" w:fill="FFFFFF"/>
        </w:rPr>
        <w:t>[Valsts drošības iestāde A]</w:t>
      </w:r>
      <w:r w:rsidR="00B36B69" w:rsidRPr="00424707">
        <w:rPr>
          <w:shd w:val="clear" w:color="auto" w:fill="FFFFFF"/>
        </w:rPr>
        <w:t xml:space="preserve"> un </w:t>
      </w:r>
      <w:r w:rsidR="002D032B">
        <w:rPr>
          <w:shd w:val="clear" w:color="auto" w:fill="FFFFFF"/>
        </w:rPr>
        <w:t>[valsts drošības iestāde B]</w:t>
      </w:r>
      <w:r w:rsidR="00B36B69" w:rsidRPr="00424707">
        <w:rPr>
          <w:shd w:val="clear" w:color="auto" w:fill="FFFFFF"/>
        </w:rPr>
        <w:t xml:space="preserve"> nav kompetenti sniegt juridiskus atzinumus par Krimināllikuma piemērošanu konkrētajā kriminālprocesā vai par personas attieksmi pret tās darbībām.</w:t>
      </w:r>
    </w:p>
    <w:p w14:paraId="401424B2" w14:textId="77777777" w:rsidR="003813C7" w:rsidRPr="00424707" w:rsidRDefault="003813C7" w:rsidP="00424707">
      <w:pPr>
        <w:pStyle w:val="NormalWeb"/>
        <w:shd w:val="clear" w:color="auto" w:fill="FFFFFF"/>
        <w:spacing w:before="0" w:beforeAutospacing="0" w:after="0" w:afterAutospacing="0" w:line="276" w:lineRule="auto"/>
        <w:ind w:firstLine="720"/>
        <w:jc w:val="both"/>
        <w:rPr>
          <w:shd w:val="clear" w:color="auto" w:fill="FFFFFF"/>
        </w:rPr>
      </w:pPr>
    </w:p>
    <w:p w14:paraId="7DAF7841" w14:textId="77777777" w:rsidR="00447EE6" w:rsidRDefault="00447EE6" w:rsidP="00424707">
      <w:pPr>
        <w:shd w:val="clear" w:color="auto" w:fill="FFFFFF"/>
        <w:spacing w:line="276" w:lineRule="auto"/>
        <w:jc w:val="center"/>
        <w:rPr>
          <w:b/>
        </w:rPr>
      </w:pPr>
      <w:r w:rsidRPr="00424707">
        <w:rPr>
          <w:b/>
        </w:rPr>
        <w:t>Motīvu daļa</w:t>
      </w:r>
    </w:p>
    <w:p w14:paraId="339891CC" w14:textId="77777777" w:rsidR="003813C7" w:rsidRPr="00424707" w:rsidRDefault="003813C7" w:rsidP="00424707">
      <w:pPr>
        <w:shd w:val="clear" w:color="auto" w:fill="FFFFFF"/>
        <w:spacing w:line="276" w:lineRule="auto"/>
        <w:jc w:val="center"/>
      </w:pPr>
    </w:p>
    <w:p w14:paraId="577681C3" w14:textId="7B245E6D" w:rsidR="00256801" w:rsidRPr="00424707" w:rsidRDefault="00256801" w:rsidP="00424707">
      <w:pPr>
        <w:shd w:val="clear" w:color="auto" w:fill="FFFFFF"/>
        <w:spacing w:line="276" w:lineRule="auto"/>
        <w:ind w:firstLine="720"/>
        <w:jc w:val="both"/>
      </w:pPr>
      <w:r w:rsidRPr="00424707">
        <w:t xml:space="preserve">[5] Ievērojot iesniegtās kasācijas sūdzības saturu, Senātam izskatāmajā lietā jāizvērtē, </w:t>
      </w:r>
      <w:bookmarkStart w:id="1" w:name="_Hlk206059601"/>
      <w:r w:rsidRPr="00424707">
        <w:t>vai atbilstoši Krimināllikuma 85. panta otrajai daļai (šeit un turpmāk – redakcijā, kas spēkā līdz 2023. gada 29. decembrim) valsts noslēpuma nelikumīgas vākšanas sastāvā ietilpst nolūks vākto valsts noslēpumu nodot ārvalstij vai ārvalsts organizācijai</w:t>
      </w:r>
      <w:bookmarkEnd w:id="1"/>
      <w:r w:rsidRPr="00424707">
        <w:t>.</w:t>
      </w:r>
    </w:p>
    <w:p w14:paraId="61440D70" w14:textId="03DCCB0A" w:rsidR="008E4073" w:rsidRPr="00424707" w:rsidRDefault="00256801" w:rsidP="00424707">
      <w:pPr>
        <w:shd w:val="clear" w:color="auto" w:fill="FFFFFF"/>
        <w:spacing w:line="276" w:lineRule="auto"/>
        <w:ind w:firstLine="720"/>
        <w:jc w:val="both"/>
      </w:pPr>
      <w:r w:rsidRPr="00424707">
        <w:t>[5.1] </w:t>
      </w:r>
      <w:r w:rsidR="008E4073" w:rsidRPr="00424707">
        <w:t>Krimināllikuma 85. panta pirmā daļa noteic kriminālatbildību par neizpaužamu ziņu nelikumīgu vākšanu nolūkā tās nodot vai to nodošanu ārvalstij vai ārvalsts organizācijai tieši vai ar citas personas starpniecību vai par citu ziņu nelikumīgu vākšanu</w:t>
      </w:r>
      <w:r w:rsidR="0035344D" w:rsidRPr="00424707">
        <w:t xml:space="preserve"> vai nodošanu ārvalsts izlūkdienestam tā uzdevumā tieši vai ar citas personas starpniecību.</w:t>
      </w:r>
    </w:p>
    <w:p w14:paraId="785CFFDC" w14:textId="7293D932" w:rsidR="00256801" w:rsidRPr="00424707" w:rsidRDefault="00256801" w:rsidP="00424707">
      <w:pPr>
        <w:shd w:val="clear" w:color="auto" w:fill="FFFFFF"/>
        <w:spacing w:line="276" w:lineRule="auto"/>
        <w:ind w:firstLine="720"/>
        <w:jc w:val="both"/>
      </w:pPr>
      <w:r w:rsidRPr="00424707">
        <w:t>Krimināllikuma 85. panta otrajā daļā paredzēta kriminālatbildība par spiegošanu</w:t>
      </w:r>
      <w:r w:rsidRPr="00424707">
        <w:rPr>
          <w:b/>
          <w:bCs/>
        </w:rPr>
        <w:t>,</w:t>
      </w:r>
      <w:r w:rsidRPr="00424707">
        <w:t xml:space="preserve"> kas izpaudusies kā valsts noslēpuma nelikumīga vākšana vai nodošana ārvalstij vai ārvalsts organizācijai tieši vai ar citas personas starpniecību. Iztulkojot gramatiski, š</w:t>
      </w:r>
      <w:r w:rsidR="00AB4ACB" w:rsidRPr="00424707">
        <w:t>īs normas</w:t>
      </w:r>
      <w:r w:rsidRPr="00424707">
        <w:t xml:space="preserve"> formulējums neļauj nepārprotami secināt, ka valsts noslēpuma nelikumīga vākšana ir noziedzīga darbība pati par sevi neatkarīgi no tā, kādā nolūkā notikusi. No vienas puses, Krimināllikuma 85. panta otrajā daļā lietotie vārdi </w:t>
      </w:r>
      <w:r w:rsidR="009B40D1">
        <w:t>„</w:t>
      </w:r>
      <w:r w:rsidRPr="00424707">
        <w:t xml:space="preserve">ārvalstij vai ārvalsts organizācijai” varētu tikt attiecināti gan uz nelikumīgu valsts noslēpuma nodošanu (ārvalstij vai ārvalsts organizācijai), gan uz nelikumīgu valsts noslēpuma vākšanu (ārvalstij vai ārvalsts organizācijai). No otras puses, šā noziedzīgā nodarījuma dispozīcija attiecībā uz valsts noslēpuma vākšanu neietver vārdus </w:t>
      </w:r>
      <w:r w:rsidR="009B40D1">
        <w:t>„</w:t>
      </w:r>
      <w:r w:rsidRPr="00424707">
        <w:t>nolūkā to nodot”, kā tas ir Krimināllikuma 85. panta pirmajā daļā.</w:t>
      </w:r>
    </w:p>
    <w:p w14:paraId="22D09BF3" w14:textId="7B57D4DA" w:rsidR="00256801" w:rsidRPr="00424707" w:rsidRDefault="00256801" w:rsidP="00424707">
      <w:pPr>
        <w:shd w:val="clear" w:color="auto" w:fill="FFFFFF"/>
        <w:spacing w:line="276" w:lineRule="auto"/>
        <w:ind w:firstLine="720"/>
        <w:jc w:val="both"/>
      </w:pPr>
      <w:r w:rsidRPr="00424707">
        <w:t>[5.2] </w:t>
      </w:r>
      <w:r w:rsidR="007F62BB">
        <w:t>Tāpat</w:t>
      </w:r>
      <w:r w:rsidR="00CC7777" w:rsidRPr="00424707">
        <w:t xml:space="preserve"> </w:t>
      </w:r>
      <w:r w:rsidRPr="00424707">
        <w:t>Senāts ņem vērā</w:t>
      </w:r>
      <w:r w:rsidR="00CC7777" w:rsidRPr="00424707">
        <w:t xml:space="preserve"> arī</w:t>
      </w:r>
      <w:r w:rsidRPr="00424707">
        <w:t xml:space="preserve"> Krimināllikuma 85. panta uzbūvi un vietu Krimināllikuma sistēmā.</w:t>
      </w:r>
    </w:p>
    <w:p w14:paraId="37FB8B06" w14:textId="65FD4E47" w:rsidR="00256801" w:rsidRPr="00424707" w:rsidRDefault="00256801" w:rsidP="00424707">
      <w:pPr>
        <w:shd w:val="clear" w:color="auto" w:fill="FFFFFF"/>
        <w:spacing w:line="276" w:lineRule="auto"/>
        <w:ind w:firstLine="720"/>
        <w:jc w:val="both"/>
      </w:pPr>
      <w:r w:rsidRPr="00424707">
        <w:t xml:space="preserve">[5.2.1] Krimināllikuma 85. pantā ietverto noziedzīgo nodarījumu būtību likumdevējs nosaucis šā panta nosaukumā – </w:t>
      </w:r>
      <w:r w:rsidR="007F62BB">
        <w:t>„</w:t>
      </w:r>
      <w:r w:rsidRPr="00424707">
        <w:t>spiegošana”.</w:t>
      </w:r>
    </w:p>
    <w:p w14:paraId="4811458A" w14:textId="1D54B07B" w:rsidR="00256801" w:rsidRPr="00424707" w:rsidRDefault="00256801" w:rsidP="00424707">
      <w:pPr>
        <w:shd w:val="clear" w:color="auto" w:fill="FFFFFF"/>
        <w:spacing w:line="276" w:lineRule="auto"/>
        <w:ind w:firstLine="720"/>
        <w:jc w:val="both"/>
        <w:rPr>
          <w:highlight w:val="yellow"/>
        </w:rPr>
      </w:pPr>
      <w:r w:rsidRPr="00424707">
        <w:t xml:space="preserve">Skaidrojošajā vārdnīcā vārds </w:t>
      </w:r>
      <w:r w:rsidR="009B40D1">
        <w:t>„</w:t>
      </w:r>
      <w:r w:rsidRPr="00424707">
        <w:t xml:space="preserve">spiegošana” visupirms skaidrots kā </w:t>
      </w:r>
      <w:r w:rsidR="007F62BB">
        <w:t>„</w:t>
      </w:r>
      <w:r w:rsidRPr="00424707">
        <w:t xml:space="preserve">valsts vai militāru noslēpumu saturošu ziņu vākšana, zagšana ar nolūku tās nodot citai valstij, citas valsts izlūkošanas organizācijai”. Šis vārds skaidrots arī kā slepena informācijas vākšana, taču šis process ierastos gadījumos saistīts ar </w:t>
      </w:r>
      <w:r w:rsidR="007F62BB">
        <w:t>„</w:t>
      </w:r>
      <w:r w:rsidRPr="00424707">
        <w:t>politiskiem, valsts drošības vai ekonomiskiem mērķiem”, proti, spiegošanā informācijas vākšana notiek konkrētā nolūkā (</w:t>
      </w:r>
      <w:r w:rsidRPr="00424707">
        <w:rPr>
          <w:i/>
          <w:iCs/>
        </w:rPr>
        <w:t xml:space="preserve">Latviešu literārās valodas vārdnīca. Pieejams: </w:t>
      </w:r>
      <w:hyperlink r:id="rId7" w:history="1">
        <w:r w:rsidRPr="00424707">
          <w:rPr>
            <w:rStyle w:val="Hyperlink"/>
            <w:i/>
            <w:iCs/>
          </w:rPr>
          <w:t>tezaurs.lv</w:t>
        </w:r>
      </w:hyperlink>
      <w:r w:rsidRPr="00424707">
        <w:t>).</w:t>
      </w:r>
    </w:p>
    <w:p w14:paraId="59A5893C" w14:textId="061AC780" w:rsidR="00256801" w:rsidRPr="00424707" w:rsidRDefault="00256801" w:rsidP="00424707">
      <w:pPr>
        <w:shd w:val="clear" w:color="auto" w:fill="FFFFFF"/>
        <w:spacing w:line="276" w:lineRule="auto"/>
        <w:ind w:firstLine="720"/>
        <w:jc w:val="both"/>
      </w:pPr>
      <w:r w:rsidRPr="00424707">
        <w:lastRenderedPageBreak/>
        <w:t>Senāta ieskatā tāds Krimināllikuma 85. panta otrās daļas iztulkojums, kurā šā panta nosaukums kļūtu lieks, nevar tikt atzīts par saprātīgu.</w:t>
      </w:r>
    </w:p>
    <w:p w14:paraId="3E8EB54A" w14:textId="4C642795" w:rsidR="00256801" w:rsidRPr="00424707" w:rsidRDefault="00256801" w:rsidP="00424707">
      <w:pPr>
        <w:shd w:val="clear" w:color="auto" w:fill="FFFFFF"/>
        <w:spacing w:line="276" w:lineRule="auto"/>
        <w:ind w:firstLine="720"/>
        <w:jc w:val="both"/>
      </w:pPr>
      <w:r w:rsidRPr="00424707">
        <w:t xml:space="preserve">[5.2.2] Senāts norāda, ka Krimināllikuma 85. pants ir ietverts šā likuma X nodaļā </w:t>
      </w:r>
      <w:r w:rsidR="007F62BB">
        <w:t>„</w:t>
      </w:r>
      <w:r w:rsidRPr="00424707">
        <w:t>Noziegumi pret valsti”, un tajā paredzētais nodarījums apdraud Latvijas valsts drošības, ekonomiskās un politiskās intereses. Šajā Krimināllikuma nodaļā ietvertās normas ir viens no instrumentiem, ar kuru palīdzību valsts aizsargā savu valstisko neatkarību un demokrātisko iekārtu, un tādējādi ir daļa no valsts drošības aizsardzības sistēmas. Valsts noslēpuma aizsardzība ir daļa no šīs sistēmas.</w:t>
      </w:r>
    </w:p>
    <w:p w14:paraId="03CDA058" w14:textId="3E1C1FD5" w:rsidR="00256801" w:rsidRPr="00424707" w:rsidRDefault="00256801" w:rsidP="00424707">
      <w:pPr>
        <w:shd w:val="clear" w:color="auto" w:fill="FFFFFF"/>
        <w:spacing w:line="276" w:lineRule="auto"/>
        <w:ind w:firstLine="720"/>
        <w:jc w:val="both"/>
      </w:pPr>
      <w:r w:rsidRPr="00424707">
        <w:t>[5.2.3] Valsts noslēpums ir tāda militāra, politiska, ekonomiska, zinātniska, tehniska vai cita rakstura informācija, kuras nozaudēšana vai nelikumīga izpaušana var nodarīt kaitējumu valsts drošībai, ekonomiskajām vai politiskajām interesēm. Personai, kas ir tiesīga veikt ar valsts noslēpumu vai tā aizsardzību saistītu darbu, jāievēro tā aizsardzības prasības, kā arī noteiktais slepenības režīms un sevišķās lietvedības noteikumi. Valsts noslēpuma objekts var būt kādas personas valdījumā vai lietošanā tādos gadījumos un tādā kārtībā, kāda noteikta likumā vai Ministru kabineta noteikumos. Šo prasību pārkāpuma gadījumā personu var saukt pie disciplinārās vai kriminālās atbildības (</w:t>
      </w:r>
      <w:r w:rsidRPr="00424707">
        <w:rPr>
          <w:i/>
          <w:iCs/>
        </w:rPr>
        <w:t xml:space="preserve">likuma </w:t>
      </w:r>
      <w:r w:rsidR="009B40D1">
        <w:rPr>
          <w:i/>
          <w:iCs/>
        </w:rPr>
        <w:t>„</w:t>
      </w:r>
      <w:r w:rsidRPr="00424707">
        <w:rPr>
          <w:i/>
          <w:iCs/>
        </w:rPr>
        <w:t>Par valsts noslēpumu” 2. panta pirmā daļa, 6. panta trešā daļa, 14. panta pirmā daļa un 15. panta pirmā daļa</w:t>
      </w:r>
      <w:r w:rsidRPr="00424707">
        <w:t>).</w:t>
      </w:r>
    </w:p>
    <w:p w14:paraId="028CF5E3" w14:textId="24B4CFED" w:rsidR="00256801" w:rsidRPr="00424707" w:rsidRDefault="00256801" w:rsidP="00424707">
      <w:pPr>
        <w:shd w:val="clear" w:color="auto" w:fill="FFFFFF"/>
        <w:spacing w:line="276" w:lineRule="auto"/>
        <w:ind w:firstLine="720"/>
        <w:jc w:val="both"/>
      </w:pPr>
      <w:r w:rsidRPr="00424707">
        <w:t>Krimināllikumā ir paredzēta kriminālatbildība par dažādām darbībām, kas var apdraudēt valsts noslēpuma aizsardzības intereses vai būt saistīta ar valsts noslēpuma aprites pārkāpumiem. Laikā, kad izskatāmajā lietā piemērota Krimināllikuma 85. panta otrā daļa, Krimināllikuma 94. un 95. pantā bija paredzēta atbildība par valsts noslēpuma izpaušanu apzināti vai aiz neuzmanības, bet 85. panta otrajā daļā – par spiegošanu, kas izpaudusies kā valsts noslēpuma nelikumīga vākšana. Valsts noslēpuma aizsardzības intereses apdraudošas darbības varēja izpausties arī kā sagatavošanās iepriekš norādītajiem noziedzīgajiem nodarījumiem vai Krimināllikuma 80. vai 89. pantā minētajiem noziegumiem – pret Latvijas Republiku vērstai darbībai vai kaitniecībai. Turklāt atsevišķos gadījumos valsts amatpersonu veikti valsts noslēpuma aprites pārkāpumi varēja veidot arī Krimināllikuma 317. un 318. pantā minēto noziedzīgo nodarījumu – dienesta pilnvaru pārsniegšana</w:t>
      </w:r>
      <w:r w:rsidR="00485143">
        <w:t>s</w:t>
      </w:r>
      <w:r w:rsidRPr="00424707">
        <w:t xml:space="preserve"> un dienesta stāvokļa ļaunprātīga</w:t>
      </w:r>
      <w:r w:rsidR="00485143">
        <w:t>s</w:t>
      </w:r>
      <w:r w:rsidRPr="00424707">
        <w:t xml:space="preserve"> izmantošana</w:t>
      </w:r>
      <w:r w:rsidR="00485143">
        <w:t>s</w:t>
      </w:r>
      <w:r w:rsidRPr="00424707">
        <w:t xml:space="preserve"> – sastāvus.</w:t>
      </w:r>
    </w:p>
    <w:p w14:paraId="534FC6C7" w14:textId="1240EFE7" w:rsidR="00780D31" w:rsidRPr="00424707" w:rsidRDefault="00256801" w:rsidP="00424707">
      <w:pPr>
        <w:shd w:val="clear" w:color="auto" w:fill="FFFFFF"/>
        <w:spacing w:line="276" w:lineRule="auto"/>
        <w:ind w:firstLine="720"/>
        <w:jc w:val="both"/>
      </w:pPr>
      <w:r w:rsidRPr="00424707">
        <w:t>[5.2.4] </w:t>
      </w:r>
      <w:r w:rsidR="00C92EF9" w:rsidRPr="00424707">
        <w:t xml:space="preserve">Sistēmiski </w:t>
      </w:r>
      <w:r w:rsidR="00E40AC3" w:rsidRPr="00424707">
        <w:t>i</w:t>
      </w:r>
      <w:r w:rsidR="00780D31" w:rsidRPr="00424707">
        <w:t>ztulkojot Krimināllikuma Sevišķās daļas normas, nozīme var būt sankciju salīdzinājumam.</w:t>
      </w:r>
    </w:p>
    <w:p w14:paraId="74C1B57E" w14:textId="211F2D26" w:rsidR="00256801" w:rsidRPr="00424707" w:rsidRDefault="00256801" w:rsidP="00424707">
      <w:pPr>
        <w:shd w:val="clear" w:color="auto" w:fill="FFFFFF"/>
        <w:spacing w:line="276" w:lineRule="auto"/>
        <w:ind w:firstLine="720"/>
        <w:jc w:val="both"/>
      </w:pPr>
      <w:r w:rsidRPr="00424707">
        <w:t>Atbilstoši tiesību sistēmas vienotības principam un racionāla likumdevēja principam likumdevējs pieņem savstarpēji saskaņotas tiesību normas, kas harmoniski darbojas visas tiesību sistēmas ietvaros (sk. </w:t>
      </w:r>
      <w:r w:rsidRPr="00424707">
        <w:rPr>
          <w:i/>
          <w:iCs/>
        </w:rPr>
        <w:t>Satversmes tiesas 2022. gada 27. maija lēmuma par tiesvedības izbeigšanu lietā Nr. </w:t>
      </w:r>
      <w:hyperlink r:id="rId8" w:anchor="search=" w:history="1">
        <w:r w:rsidRPr="00424707">
          <w:rPr>
            <w:rStyle w:val="Hyperlink"/>
            <w:i/>
            <w:iCs/>
          </w:rPr>
          <w:t>2021-34-01</w:t>
        </w:r>
      </w:hyperlink>
      <w:r w:rsidRPr="00424707">
        <w:rPr>
          <w:i/>
          <w:iCs/>
        </w:rPr>
        <w:t xml:space="preserve"> 18.3. punktu</w:t>
      </w:r>
      <w:r w:rsidRPr="00424707">
        <w:t xml:space="preserve">). Viena no šo principu izpausmēm krimināltiesībās ir tā, ka likumdevējs kriminālatbildības sistēmu veido, ņemot vērā personas vai sabiedrības interešu apdraudējuma raksturu un prettiesisko darbību kaitīguma pakāpi un personas attieksmi pret šīm darbībām, paredzot par tām taisnīgas un samērīgas soda veida un mēra robežas un atbilstoši tām klasificējot noziedzīgos nodarījumus. Piemēram, par kaitīgāku darbību likumdevējs paredz lielāku maksimālo brīvības atņemšanas soda robežu nekā par mazāk kaitīgu darbību. Tas ir viens no veidiem, kā valsts nodrošina, </w:t>
      </w:r>
      <w:r w:rsidR="00EB14AB" w:rsidRPr="00424707">
        <w:t>lai</w:t>
      </w:r>
      <w:r w:rsidRPr="00424707">
        <w:t xml:space="preserve"> soda smagums </w:t>
      </w:r>
      <w:r w:rsidR="00EB14AB" w:rsidRPr="00424707">
        <w:t>ir</w:t>
      </w:r>
      <w:r w:rsidRPr="00424707">
        <w:t xml:space="preserve"> samērīgs ar noziedzīgā nodarījuma smagumu.</w:t>
      </w:r>
    </w:p>
    <w:p w14:paraId="465C8D2D" w14:textId="790ED040" w:rsidR="00256801" w:rsidRPr="00424707" w:rsidRDefault="00256801" w:rsidP="00424707">
      <w:pPr>
        <w:shd w:val="clear" w:color="auto" w:fill="FFFFFF"/>
        <w:spacing w:line="276" w:lineRule="auto"/>
        <w:ind w:firstLine="720"/>
        <w:jc w:val="both"/>
      </w:pPr>
      <w:r w:rsidRPr="00424707">
        <w:lastRenderedPageBreak/>
        <w:t>Iepriekš izklāstītie principi attiecināmi arī uz likumdevēja noteikto kriminālatbildību par valsts noslēpuma aprites pārkāpumiem. Šie pārkāpumi var nodarīt kaitējumu valsts drošībai, ekonomiskajām vai politiskajām interesēm, ja valsts noslēpums tiek nozaudēts vai izpausts (sal. </w:t>
      </w:r>
      <w:r w:rsidRPr="00424707">
        <w:rPr>
          <w:i/>
          <w:iCs/>
        </w:rPr>
        <w:t xml:space="preserve">likuma </w:t>
      </w:r>
      <w:r w:rsidR="00485143">
        <w:rPr>
          <w:i/>
          <w:iCs/>
        </w:rPr>
        <w:t>„</w:t>
      </w:r>
      <w:r w:rsidRPr="00424707">
        <w:rPr>
          <w:i/>
          <w:iCs/>
        </w:rPr>
        <w:t>Par valsts noslēpumu” 2. panta pirmā daļa</w:t>
      </w:r>
      <w:r w:rsidRPr="00424707">
        <w:t>). Likumdevējs ir noteicis, ka valsts noslēpuma tīša izpaušana ir smags noziegums, bet tā izpaušana aiz neuzmanības – mazāk smags noziegums (</w:t>
      </w:r>
      <w:r w:rsidRPr="00424707">
        <w:rPr>
          <w:i/>
          <w:iCs/>
        </w:rPr>
        <w:t>Krimināllikuma 94. un 95. pants</w:t>
      </w:r>
      <w:r w:rsidRPr="00424707">
        <w:t>). Savukārt spiegošana, kas izpaudusies kā valsts noslēpuma nelikumīga vākšana, ir sevišķi smags noziegums (</w:t>
      </w:r>
      <w:r w:rsidRPr="00424707">
        <w:rPr>
          <w:i/>
          <w:iCs/>
        </w:rPr>
        <w:t>Krimināllikuma 85. panta otrā daļa</w:t>
      </w:r>
      <w:r w:rsidRPr="00424707">
        <w:t>). Proti, likumdevējs par spiegošanu, kas izpaudusies kā valsts noslēpuma nelikumīga vākšana, ir paredzējis smagāku sankciju nekā par valsts noslēpuma izpaušanu, tādējādi atzīstot spiegošanu, kas izpaudusies kā valsts noslēpuma nelikumīga vākšana, par kaitīgāku darbību nekā valsts noslēpuma izpaušana.</w:t>
      </w:r>
    </w:p>
    <w:p w14:paraId="67A0BF34" w14:textId="570FA8CB" w:rsidR="00256801" w:rsidRPr="00424707" w:rsidRDefault="00256801" w:rsidP="00424707">
      <w:pPr>
        <w:shd w:val="clear" w:color="auto" w:fill="FFFFFF"/>
        <w:spacing w:line="276" w:lineRule="auto"/>
        <w:ind w:firstLine="720"/>
        <w:jc w:val="both"/>
      </w:pPr>
      <w:r w:rsidRPr="00424707">
        <w:t>Senāts atzīst, ka valsts noslēpuma nelikumīga vākšana pati par sevi ir mazāk kaitīga darbība nekā valsts noslēpuma izpaušana, jo valsts noslēpuma vākšanas gadījumā vēl automātiski neiestājas tā izpaušanai raksturīgās sekas un ar tām saistītais valsts drošības apdraudējums. Savukārt valsts noslēpuma nelikumīga vākšana nolūkā to nodot ārvalstij vai ārvalsts organizācijai ir kaitīgāka darbība nekā valsts noslēpuma izpaušana, kas notikusi bez minētā nolūka un nav saistāma ar risku, ka valsts noslēpums nonāks ārvalsts vai tās organizācijas rīcībā. Tādējādi, ja valsts noslēpuma nelikumīga vākšana netiktu saistīta ar nolūku to nodot ārvalstij vai ārvalsts organizācijai, veidotos Krimināllikuma iekšējai loģikai pretēja situācija, kurā par mazāk kaitīgu darbību – vākšanu – būtu paredzēta smagāka sankcija nekā par kaitīg</w:t>
      </w:r>
      <w:r w:rsidR="00485143">
        <w:t>āk</w:t>
      </w:r>
      <w:r w:rsidRPr="00424707">
        <w:t>u darbību – izpaušanu.</w:t>
      </w:r>
    </w:p>
    <w:p w14:paraId="5BC9832D" w14:textId="64AAB055" w:rsidR="009766DE" w:rsidRPr="00424707" w:rsidRDefault="00256801" w:rsidP="00424707">
      <w:pPr>
        <w:shd w:val="clear" w:color="auto" w:fill="FFFFFF"/>
        <w:spacing w:line="276" w:lineRule="auto"/>
        <w:ind w:firstLine="720"/>
        <w:jc w:val="both"/>
      </w:pPr>
      <w:r w:rsidRPr="00424707">
        <w:t>[5.3]</w:t>
      </w:r>
      <w:r w:rsidR="00485143">
        <w:t> </w:t>
      </w:r>
      <w:r w:rsidR="00132415" w:rsidRPr="00424707">
        <w:t>Iepriekš minēt</w:t>
      </w:r>
      <w:r w:rsidR="009905FC" w:rsidRPr="00424707">
        <w:t>os</w:t>
      </w:r>
      <w:r w:rsidR="00132415" w:rsidRPr="00424707">
        <w:t xml:space="preserve"> secinājum</w:t>
      </w:r>
      <w:r w:rsidR="009905FC" w:rsidRPr="00424707">
        <w:t>us</w:t>
      </w:r>
      <w:r w:rsidR="00132415" w:rsidRPr="00424707">
        <w:t xml:space="preserve"> par Krimināllikuma</w:t>
      </w:r>
      <w:r w:rsidR="009766DE" w:rsidRPr="00424707">
        <w:t xml:space="preserve"> </w:t>
      </w:r>
      <w:r w:rsidR="00132415" w:rsidRPr="00424707">
        <w:t>85.</w:t>
      </w:r>
      <w:r w:rsidR="009766DE" w:rsidRPr="00424707">
        <w:t> </w:t>
      </w:r>
      <w:r w:rsidR="00132415" w:rsidRPr="00424707">
        <w:t>panta ot</w:t>
      </w:r>
      <w:r w:rsidR="009766DE" w:rsidRPr="00424707">
        <w:t>r</w:t>
      </w:r>
      <w:r w:rsidR="00132415" w:rsidRPr="00424707">
        <w:t>o daļu</w:t>
      </w:r>
      <w:r w:rsidR="009905FC" w:rsidRPr="00424707">
        <w:t xml:space="preserve"> papildus</w:t>
      </w:r>
      <w:r w:rsidR="009766DE" w:rsidRPr="00424707">
        <w:t xml:space="preserve"> </w:t>
      </w:r>
      <w:r w:rsidR="00132415" w:rsidRPr="00424707">
        <w:t>apstiprin</w:t>
      </w:r>
      <w:r w:rsidR="009905FC" w:rsidRPr="00424707">
        <w:t>a</w:t>
      </w:r>
      <w:r w:rsidR="00132415" w:rsidRPr="00424707">
        <w:t xml:space="preserve"> arī likumprojekta izstrādes materiāli, kas izskatīti Saeimā pēc šajā lietā inkriminēto darbību izdarīšanas.</w:t>
      </w:r>
    </w:p>
    <w:p w14:paraId="1CD40F26" w14:textId="0FE88BD2" w:rsidR="00256801" w:rsidRPr="00424707" w:rsidRDefault="00256801" w:rsidP="00424707">
      <w:pPr>
        <w:shd w:val="clear" w:color="auto" w:fill="FFFFFF"/>
        <w:spacing w:line="276" w:lineRule="auto"/>
        <w:ind w:firstLine="720"/>
        <w:jc w:val="both"/>
      </w:pPr>
      <w:r w:rsidRPr="00424707">
        <w:t>Krimināllikum</w:t>
      </w:r>
      <w:r w:rsidR="00CB703A" w:rsidRPr="00424707">
        <w:t>a</w:t>
      </w:r>
      <w:r w:rsidRPr="00424707">
        <w:t xml:space="preserve"> 85. panta otr</w:t>
      </w:r>
      <w:r w:rsidR="00CB703A" w:rsidRPr="00424707">
        <w:t>ās</w:t>
      </w:r>
      <w:r w:rsidRPr="00424707">
        <w:t xml:space="preserve"> daļ</w:t>
      </w:r>
      <w:r w:rsidR="00CB703A" w:rsidRPr="00424707">
        <w:t>as</w:t>
      </w:r>
      <w:r w:rsidRPr="00424707">
        <w:t xml:space="preserve"> redakcij</w:t>
      </w:r>
      <w:r w:rsidR="00CB703A" w:rsidRPr="00424707">
        <w:t>a</w:t>
      </w:r>
      <w:r w:rsidRPr="00424707">
        <w:t>, kas</w:t>
      </w:r>
      <w:r w:rsidR="00CB703A" w:rsidRPr="00424707">
        <w:t xml:space="preserve"> bija</w:t>
      </w:r>
      <w:r w:rsidRPr="00424707">
        <w:t xml:space="preserve"> spēkā līdz 2023. gada 29. decembrim, tika papildināt</w:t>
      </w:r>
      <w:r w:rsidR="00CB703A" w:rsidRPr="00424707">
        <w:t>a</w:t>
      </w:r>
      <w:r w:rsidRPr="00424707">
        <w:t xml:space="preserve"> ar 12. Saeimai iesniegto likumprojektu Nr. 514/Lp12</w:t>
      </w:r>
      <w:r w:rsidR="00485143">
        <w:t> „</w:t>
      </w:r>
      <w:r w:rsidRPr="00424707">
        <w:t>Grozījumi Krimināllikumā” (turpmāk – Likumprojekts).</w:t>
      </w:r>
    </w:p>
    <w:p w14:paraId="0E55F5CE" w14:textId="3C81133D" w:rsidR="00256801" w:rsidRPr="00424707" w:rsidRDefault="00256801" w:rsidP="00424707">
      <w:pPr>
        <w:shd w:val="clear" w:color="auto" w:fill="FFFFFF"/>
        <w:spacing w:line="276" w:lineRule="auto"/>
        <w:ind w:firstLine="720"/>
        <w:jc w:val="both"/>
      </w:pPr>
      <w:r w:rsidRPr="00424707">
        <w:t xml:space="preserve">[5.3.1] Likumprojekta anotācijā norādīts, ka, ņemot vērā tābrīža ģeopolitiskās situācijas radītos nacionālās drošības izaicinājumus, nepieciešams pārskatīt Krimināllikuma X nodaļa regulējumu. Anotācijā skaidrots, ka par spiegošanu turpmāk paredzēts uzskatīt </w:t>
      </w:r>
      <w:r w:rsidR="00050D11" w:rsidRPr="00424707">
        <w:t>arī</w:t>
      </w:r>
      <w:r w:rsidRPr="00424707">
        <w:t xml:space="preserve"> neizpaužamu ziņu, tai skaitā valsts noslēpuma, vākšanu vai nodošanu ārvalstij vai ārvalsts organizācijai tieši vai ar citas personas starpniecību. Savukārt minēto ziņu </w:t>
      </w:r>
      <w:r w:rsidR="00A84D78">
        <w:t>„</w:t>
      </w:r>
      <w:r w:rsidRPr="00424707">
        <w:t xml:space="preserve">vākšana” skaidrota kā </w:t>
      </w:r>
      <w:r w:rsidR="00A84D78">
        <w:t>„</w:t>
      </w:r>
      <w:r w:rsidRPr="00424707">
        <w:t>jebkāda veida šo ziņu iegūšana, lai tās nodotu ārvalstij vai ārvalsts organizācijai tieši vai ar citas personas starpniecību” (</w:t>
      </w:r>
      <w:r w:rsidRPr="00424707">
        <w:rPr>
          <w:i/>
          <w:iCs/>
        </w:rPr>
        <w:t>12. Saeimas likumprojekta Nr. </w:t>
      </w:r>
      <w:hyperlink r:id="rId9" w:history="1">
        <w:r w:rsidRPr="00424707">
          <w:rPr>
            <w:rStyle w:val="Hyperlink"/>
            <w:i/>
            <w:iCs/>
          </w:rPr>
          <w:t>514/Lp12</w:t>
        </w:r>
      </w:hyperlink>
      <w:r w:rsidRPr="00424707">
        <w:rPr>
          <w:i/>
          <w:iCs/>
        </w:rPr>
        <w:t xml:space="preserve"> </w:t>
      </w:r>
      <w:r w:rsidR="00A84D78">
        <w:rPr>
          <w:i/>
          <w:iCs/>
        </w:rPr>
        <w:t>„</w:t>
      </w:r>
      <w:r w:rsidRPr="00424707">
        <w:rPr>
          <w:i/>
          <w:iCs/>
        </w:rPr>
        <w:t xml:space="preserve">Grozījumi Krimināllikumā” </w:t>
      </w:r>
      <w:hyperlink r:id="rId10" w:history="1">
        <w:r w:rsidRPr="00424707">
          <w:rPr>
            <w:rStyle w:val="Hyperlink"/>
            <w:i/>
            <w:iCs/>
          </w:rPr>
          <w:t>anotācija</w:t>
        </w:r>
      </w:hyperlink>
      <w:r w:rsidRPr="00424707">
        <w:t>).</w:t>
      </w:r>
    </w:p>
    <w:p w14:paraId="12C3A0E0" w14:textId="10412501" w:rsidR="00256801" w:rsidRPr="00424707" w:rsidRDefault="00256801" w:rsidP="00424707">
      <w:pPr>
        <w:shd w:val="clear" w:color="auto" w:fill="FFFFFF"/>
        <w:spacing w:line="276" w:lineRule="auto"/>
        <w:ind w:firstLine="720"/>
        <w:jc w:val="both"/>
      </w:pPr>
      <w:r w:rsidRPr="00424707">
        <w:t>Likumprojekts tika skatīts 12. Saeimas Juridiskajā komisijā, taču izvērsta diskusija par Krimināllikuma 85. panta otrās daļas redakciju tajā nenotika, vien pēc iekšlietu ministra priekšlikuma precizējot, ka šajā normā minētajā</w:t>
      </w:r>
      <w:r w:rsidR="00B01416" w:rsidRPr="00424707">
        <w:t>m</w:t>
      </w:r>
      <w:r w:rsidRPr="00424707">
        <w:t xml:space="preserve"> darbībām jābūt nelikumīgām (</w:t>
      </w:r>
      <w:r w:rsidRPr="00424707">
        <w:rPr>
          <w:i/>
          <w:iCs/>
        </w:rPr>
        <w:t xml:space="preserve">Iekšlietu ministra 2016. gada 17. marta </w:t>
      </w:r>
      <w:hyperlink r:id="rId11" w:history="1">
        <w:r w:rsidRPr="00424707">
          <w:rPr>
            <w:rStyle w:val="Hyperlink"/>
            <w:i/>
            <w:iCs/>
          </w:rPr>
          <w:t>vēstule</w:t>
        </w:r>
      </w:hyperlink>
      <w:r w:rsidRPr="00424707">
        <w:rPr>
          <w:i/>
          <w:iCs/>
        </w:rPr>
        <w:t xml:space="preserve"> Nr. 1</w:t>
      </w:r>
      <w:r w:rsidR="00361E97" w:rsidRPr="00170A97">
        <w:rPr>
          <w:lang w:eastAsia="lv-LV"/>
        </w:rPr>
        <w:noBreakHyphen/>
      </w:r>
      <w:r w:rsidRPr="00424707">
        <w:rPr>
          <w:i/>
          <w:iCs/>
        </w:rPr>
        <w:t xml:space="preserve">28/761 </w:t>
      </w:r>
      <w:r w:rsidR="00361E97">
        <w:rPr>
          <w:i/>
          <w:iCs/>
        </w:rPr>
        <w:t>„</w:t>
      </w:r>
      <w:r w:rsidRPr="00424707">
        <w:rPr>
          <w:i/>
          <w:iCs/>
        </w:rPr>
        <w:t xml:space="preserve">Par priekšlikumiem likumprojektam </w:t>
      </w:r>
      <w:r w:rsidR="00361E97">
        <w:rPr>
          <w:i/>
          <w:iCs/>
        </w:rPr>
        <w:t>„</w:t>
      </w:r>
      <w:r w:rsidRPr="00424707">
        <w:rPr>
          <w:i/>
          <w:iCs/>
        </w:rPr>
        <w:t xml:space="preserve">Grozījumi Krimināllikumā” (reģ. Nr. 514/Lp12)”; 12. Saeimas Juridiskās komisijas 2016. gada 19. aprīļa sēdes </w:t>
      </w:r>
      <w:hyperlink r:id="rId12" w:history="1">
        <w:r w:rsidRPr="00424707">
          <w:rPr>
            <w:rStyle w:val="Hyperlink"/>
            <w:i/>
            <w:iCs/>
          </w:rPr>
          <w:t>protokols</w:t>
        </w:r>
      </w:hyperlink>
      <w:r w:rsidRPr="00424707">
        <w:rPr>
          <w:i/>
          <w:iCs/>
        </w:rPr>
        <w:t>, 6. lpp.</w:t>
      </w:r>
      <w:r w:rsidRPr="00424707">
        <w:t xml:space="preserve">). Tomēr Saeimas sēdē informējot deputātus par Likumprojektu un paredzētajām izmaiņām Krimināllikuma 85. pantā kopumā, deputāte </w:t>
      </w:r>
      <w:r w:rsidRPr="00424707">
        <w:lastRenderedPageBreak/>
        <w:t>Solvita Āboltiņa saistīja spiegošanas jēdzienu ar valsts noslēpuma nonākšanu ārvalsts rīcībā, norādot, ka spiegošana tiek veikta, gan izmantojot izlūkdienestus, gan tieši iesaistot citas valsts institūcijas vai organizācijas. Deputāte minēja, ka izlūkdienests ir tikai viens no instrumentiem, ko ārvalsts var izmantot sev noderīgas informācijas iegūšanā. Viņa uzsvēra, ka tad, ja izspiegots tiek valsts noslēpums vai neizpaužamas ziņas, nav būtiskas nozīmes, kādā ārvalsts institūcijā vai organizācijā šāda informācija nonāk. Būtiska nozīme esot tieši tam, ka informācija ārvalsts rīcībā nonāk nelikumīgā veidā, proti, neievērojot noteikto kārtību (</w:t>
      </w:r>
      <w:r w:rsidRPr="00424707">
        <w:rPr>
          <w:i/>
          <w:iCs/>
        </w:rPr>
        <w:t xml:space="preserve">12. Saeimas 2016. gada 21. aprīļa sēdes </w:t>
      </w:r>
      <w:hyperlink r:id="rId13" w:history="1">
        <w:r w:rsidRPr="00424707">
          <w:rPr>
            <w:rStyle w:val="Hyperlink"/>
            <w:i/>
            <w:iCs/>
          </w:rPr>
          <w:t>stenogramma</w:t>
        </w:r>
      </w:hyperlink>
      <w:r w:rsidRPr="00424707">
        <w:t>).</w:t>
      </w:r>
    </w:p>
    <w:p w14:paraId="75FF7E53" w14:textId="605F5D8A" w:rsidR="00256801" w:rsidRPr="00424707" w:rsidRDefault="00256801" w:rsidP="00424707">
      <w:pPr>
        <w:shd w:val="clear" w:color="auto" w:fill="FFFFFF"/>
        <w:spacing w:line="276" w:lineRule="auto"/>
        <w:ind w:firstLine="720"/>
        <w:jc w:val="both"/>
      </w:pPr>
      <w:r w:rsidRPr="00424707">
        <w:t>[5.3.2] Ar Likumprojektu bija paredzēts Krimināllikumu papildināt arī ar 95.</w:t>
      </w:r>
      <w:r w:rsidRPr="00424707">
        <w:rPr>
          <w:vertAlign w:val="superscript"/>
        </w:rPr>
        <w:t>1</w:t>
      </w:r>
      <w:r w:rsidRPr="00424707">
        <w:t> pantu, kurā būtu noteikta atbildība par valsts noslēpuma nelikumīgu iegūšanu, ja šim nodarījumam nav spiegošanas pazīmju. Šāda regulējuma ieviešana pamatota citstarp ar to, ka Likumprojekta izstrādes brīdī Krimināllikumā nebija paredzēta kriminālatbildība par valsts noslēpuma nelikumīgu iegūšanu – jebkādu apzinātu darbību valsts noslēpuma iegūšanai, zinot, ka iegūstamā informācija ir valsts noslēpums, kuram persona nedrīkst piekļūt (</w:t>
      </w:r>
      <w:r w:rsidRPr="00424707">
        <w:rPr>
          <w:i/>
          <w:iCs/>
        </w:rPr>
        <w:t>12. Saeimas likumprojekta Nr. </w:t>
      </w:r>
      <w:hyperlink r:id="rId14" w:history="1">
        <w:r w:rsidRPr="00424707">
          <w:rPr>
            <w:rStyle w:val="Hyperlink"/>
            <w:i/>
            <w:iCs/>
          </w:rPr>
          <w:t>514/Lp12</w:t>
        </w:r>
      </w:hyperlink>
      <w:r w:rsidRPr="00424707">
        <w:rPr>
          <w:i/>
          <w:iCs/>
        </w:rPr>
        <w:t xml:space="preserve"> </w:t>
      </w:r>
      <w:r w:rsidR="00361E97">
        <w:rPr>
          <w:i/>
          <w:iCs/>
        </w:rPr>
        <w:t>„</w:t>
      </w:r>
      <w:r w:rsidRPr="00424707">
        <w:rPr>
          <w:i/>
          <w:iCs/>
        </w:rPr>
        <w:t xml:space="preserve">Grozījumi Krimināllikumā” </w:t>
      </w:r>
      <w:hyperlink r:id="rId15" w:history="1">
        <w:r w:rsidRPr="00424707">
          <w:rPr>
            <w:rStyle w:val="Hyperlink"/>
            <w:i/>
            <w:iCs/>
          </w:rPr>
          <w:t>anotācija</w:t>
        </w:r>
      </w:hyperlink>
      <w:r w:rsidRPr="00424707">
        <w:t>). Senāta ieskatā šīs darbības pēc būtības ir pielīdzināmas valsts noslēpuma nelikumīgai vākšanai, jo abos gadījumos persona iegūst valsts noslēpumu pretēji atļautajai valsts noslēpuma aprites kārtībai.</w:t>
      </w:r>
    </w:p>
    <w:p w14:paraId="659E24E5" w14:textId="77777777" w:rsidR="00256801" w:rsidRPr="00424707" w:rsidRDefault="00256801" w:rsidP="00424707">
      <w:pPr>
        <w:shd w:val="clear" w:color="auto" w:fill="FFFFFF"/>
        <w:spacing w:line="276" w:lineRule="auto"/>
        <w:ind w:firstLine="720"/>
        <w:jc w:val="both"/>
      </w:pPr>
      <w:r w:rsidRPr="00424707">
        <w:t>Saeimas Juridiskā komisija plaši diskutēja par valsts noslēpuma nelikumīgas iegūšanas kriminalizāciju, taču, atsaucoties uz nepieciešamību izvērtēt un novērst ar to saistītos cilvēktiesību nepamatotas ierobežošanas riskus, lēma no Likumprojekta izslēgt pantu, ar kuru paredzēts noteikt kriminālatbildību par šīm darbībām (</w:t>
      </w:r>
      <w:r w:rsidRPr="00424707">
        <w:rPr>
          <w:i/>
          <w:iCs/>
        </w:rPr>
        <w:t xml:space="preserve">12. Saeimas Juridiskās komisijas 2016. gada 19. aprīļa sēdes </w:t>
      </w:r>
      <w:hyperlink r:id="rId16" w:history="1">
        <w:r w:rsidRPr="00424707">
          <w:rPr>
            <w:rStyle w:val="Hyperlink"/>
            <w:i/>
            <w:iCs/>
          </w:rPr>
          <w:t>protokols</w:t>
        </w:r>
      </w:hyperlink>
      <w:r w:rsidRPr="00424707">
        <w:rPr>
          <w:i/>
          <w:iCs/>
        </w:rPr>
        <w:t xml:space="preserve"> </w:t>
      </w:r>
      <w:r w:rsidRPr="00424707">
        <w:t>un</w:t>
      </w:r>
      <w:r w:rsidRPr="00424707">
        <w:rPr>
          <w:i/>
          <w:iCs/>
        </w:rPr>
        <w:t xml:space="preserve"> 2016. gada 20. aprīļa sēdes </w:t>
      </w:r>
      <w:hyperlink r:id="rId17" w:history="1">
        <w:r w:rsidRPr="00424707">
          <w:rPr>
            <w:rStyle w:val="Hyperlink"/>
            <w:i/>
            <w:iCs/>
          </w:rPr>
          <w:t>protokols</w:t>
        </w:r>
      </w:hyperlink>
      <w:r w:rsidRPr="00424707">
        <w:rPr>
          <w:i/>
          <w:iCs/>
        </w:rPr>
        <w:t>, 2.-5. lpp.</w:t>
      </w:r>
      <w:r w:rsidRPr="00424707">
        <w:t>). Šāds lēmums tika pieņemts arī Saeimas sēdē, deputātam Andrejam Judinam norādot, ka ir gadījumi, kad ir vajadzība pēc attiecīgās normas, bet tās tvērums ir pārāk plašs (</w:t>
      </w:r>
      <w:r w:rsidRPr="00424707">
        <w:rPr>
          <w:i/>
          <w:iCs/>
        </w:rPr>
        <w:t xml:space="preserve">12. Saeimas 2016. gada 21. aprīļa sēdes </w:t>
      </w:r>
      <w:hyperlink r:id="rId18" w:history="1">
        <w:r w:rsidRPr="00424707">
          <w:rPr>
            <w:rStyle w:val="Hyperlink"/>
            <w:i/>
            <w:iCs/>
          </w:rPr>
          <w:t>stenogramma</w:t>
        </w:r>
      </w:hyperlink>
      <w:r w:rsidRPr="00424707">
        <w:t>).</w:t>
      </w:r>
    </w:p>
    <w:p w14:paraId="7EFA5102" w14:textId="1FB85885" w:rsidR="00256801" w:rsidRPr="00424707" w:rsidRDefault="00256801" w:rsidP="00424707">
      <w:pPr>
        <w:shd w:val="clear" w:color="auto" w:fill="FFFFFF"/>
        <w:spacing w:line="276" w:lineRule="auto"/>
        <w:ind w:firstLine="720"/>
        <w:jc w:val="both"/>
      </w:pPr>
      <w:r w:rsidRPr="00424707">
        <w:t xml:space="preserve">[5.3.3] Ievērojot minēto, Senāts secina, ka, </w:t>
      </w:r>
      <w:r w:rsidR="00D31064" w:rsidRPr="00424707">
        <w:t>izdarot grozījumus</w:t>
      </w:r>
      <w:r w:rsidRPr="00424707">
        <w:t xml:space="preserve"> Krimināllikuma 85. panta otr</w:t>
      </w:r>
      <w:r w:rsidR="00D31064" w:rsidRPr="00424707">
        <w:t>ajā</w:t>
      </w:r>
      <w:r w:rsidRPr="00424707">
        <w:t xml:space="preserve"> daļ</w:t>
      </w:r>
      <w:r w:rsidR="00D31064" w:rsidRPr="00424707">
        <w:t>ā</w:t>
      </w:r>
      <w:r w:rsidRPr="00424707">
        <w:t>, likumdevēja mērķis bija saistīt tajā minēto valsts noslēpuma nelikumīgu vākšanu ar nolūku nodot vākto valsts noslēpumu ārvalstij vai ārvalsts organizācijai.</w:t>
      </w:r>
    </w:p>
    <w:p w14:paraId="6402C88A" w14:textId="25B364D5" w:rsidR="00256801" w:rsidRPr="00424707" w:rsidRDefault="00256801" w:rsidP="00424707">
      <w:pPr>
        <w:shd w:val="clear" w:color="auto" w:fill="FFFFFF"/>
        <w:spacing w:line="276" w:lineRule="auto"/>
        <w:ind w:firstLine="720"/>
        <w:jc w:val="both"/>
      </w:pPr>
      <w:r w:rsidRPr="00424707">
        <w:t>[5.3.4] Senāts ņem vērā, ka 13. Saeimas Juridiskās komisijas Krimināltiesību politikas apakškomisijas 2022. gada 22. februāra, 31. maija un 7. jūnija sēdēs diskutēts par Krimināllikuma 85. panta otrās daļas dispozīcijas saturu, šo sēžu dalībniekiem paužot atšķirīgus viedokļus</w:t>
      </w:r>
      <w:r w:rsidR="00860185" w:rsidRPr="00424707">
        <w:t xml:space="preserve"> par valsts noslēpuma vākšanas saistību ar nodomu nodot to ārvalstij</w:t>
      </w:r>
      <w:r w:rsidRPr="00424707">
        <w:t xml:space="preserve"> (</w:t>
      </w:r>
      <w:bookmarkStart w:id="2" w:name="_Hlk209437799"/>
      <w:r w:rsidRPr="00424707">
        <w:rPr>
          <w:i/>
          <w:iCs/>
        </w:rPr>
        <w:t xml:space="preserve">13. Saeimas Juridiskās komisijas Krimināltiesību politikas apakškomisijas 2022. gada </w:t>
      </w:r>
      <w:hyperlink r:id="rId19" w:history="1">
        <w:r w:rsidRPr="00424707">
          <w:rPr>
            <w:rStyle w:val="Hyperlink"/>
            <w:i/>
            <w:iCs/>
          </w:rPr>
          <w:t>22. februāra</w:t>
        </w:r>
      </w:hyperlink>
      <w:r w:rsidRPr="00424707">
        <w:rPr>
          <w:i/>
          <w:iCs/>
        </w:rPr>
        <w:t xml:space="preserve">, </w:t>
      </w:r>
      <w:hyperlink r:id="rId20" w:history="1">
        <w:r w:rsidRPr="00424707">
          <w:rPr>
            <w:rStyle w:val="Hyperlink"/>
            <w:i/>
            <w:iCs/>
          </w:rPr>
          <w:t>31. maija</w:t>
        </w:r>
      </w:hyperlink>
      <w:r w:rsidRPr="00424707">
        <w:rPr>
          <w:i/>
          <w:iCs/>
        </w:rPr>
        <w:t xml:space="preserve"> un </w:t>
      </w:r>
      <w:hyperlink r:id="rId21" w:history="1">
        <w:r w:rsidRPr="00424707">
          <w:rPr>
            <w:rStyle w:val="Hyperlink"/>
            <w:i/>
            <w:iCs/>
          </w:rPr>
          <w:t>7. jūnija</w:t>
        </w:r>
      </w:hyperlink>
      <w:r w:rsidRPr="00424707">
        <w:rPr>
          <w:i/>
          <w:iCs/>
        </w:rPr>
        <w:t xml:space="preserve"> sēžu protokoli</w:t>
      </w:r>
      <w:bookmarkEnd w:id="2"/>
      <w:r w:rsidRPr="00424707">
        <w:t>). Tomēr Saeimas komisijas vai apakškomisijas viedoklis par tiesību normu atzīstams par neoficiālu ikdienišķo iztulkošanu, kas atspoguļo komisijas sēdes dalībnieku subjektīvo uztveri par šīs normas saturu un kam nav saistoša spēka vai kādu citu tiesisku seku (sal.: </w:t>
      </w:r>
      <w:r w:rsidRPr="00424707">
        <w:rPr>
          <w:i/>
          <w:iCs/>
        </w:rPr>
        <w:t>Krūkle G. Tiesību normas satura noskaidrošana. Grām.: Rezevska D. (red.) Juridisko metožu mācība. Astoņi soļi tiesību normu piemērošanā. Rīga: Latvijas Universitāte, 2025, 111.-112. lpp.</w:t>
      </w:r>
      <w:r w:rsidRPr="00424707">
        <w:t xml:space="preserve">). Turklāt Saeimas komisijas vai apakškomisijas viedoklis par kādas tiesību normas saturu neatbrīvo tiesību </w:t>
      </w:r>
      <w:r w:rsidRPr="00424707">
        <w:lastRenderedPageBreak/>
        <w:t>normu piemērotāju no pienākuma</w:t>
      </w:r>
      <w:r w:rsidR="00F75582" w:rsidRPr="00424707">
        <w:t xml:space="preserve"> satura noskaidrošanā</w:t>
      </w:r>
      <w:r w:rsidRPr="00424707">
        <w:t xml:space="preserve"> izmantot visas </w:t>
      </w:r>
      <w:r w:rsidR="00F75582" w:rsidRPr="00424707">
        <w:t xml:space="preserve">tiesību normas iztulkošanas </w:t>
      </w:r>
      <w:r w:rsidRPr="00424707">
        <w:t>metodes.</w:t>
      </w:r>
    </w:p>
    <w:p w14:paraId="298C314A" w14:textId="28FB3BB3" w:rsidR="00256801" w:rsidRPr="00424707" w:rsidRDefault="00256801" w:rsidP="00424707">
      <w:pPr>
        <w:shd w:val="clear" w:color="auto" w:fill="FFFFFF"/>
        <w:spacing w:line="276" w:lineRule="auto"/>
        <w:ind w:firstLine="720"/>
        <w:jc w:val="both"/>
      </w:pPr>
      <w:r w:rsidRPr="00424707">
        <w:t>[5.</w:t>
      </w:r>
      <w:r w:rsidR="008B5278" w:rsidRPr="00424707">
        <w:t>4</w:t>
      </w:r>
      <w:r w:rsidRPr="00424707">
        <w:t xml:space="preserve">] Krimināllikuma normu iztulkošana saistāma ar Satversmes 92. panta otro teikumu, kas nosaka: </w:t>
      </w:r>
      <w:r w:rsidR="00AE7CE9">
        <w:t>„</w:t>
      </w:r>
      <w:r w:rsidRPr="00424707">
        <w:t>Ikviens uzskatāms par nevainīgu, iekams viņa vaina nav atzīta saskaņā ar likumu”</w:t>
      </w:r>
      <w:r w:rsidR="00AE7CE9">
        <w:t>.</w:t>
      </w:r>
      <w:r w:rsidRPr="00424707">
        <w:t xml:space="preserve"> Šī Satversmes norma aptver Eiropas Cilvēka tiesību un pamatbrīvību aizsardzības konvencijas (turpmāk – Konvencija) 7. panta pirmajā daļā noteiktās cilvēka pamattiesības un citastarp ietver principu </w:t>
      </w:r>
      <w:r w:rsidRPr="00424707">
        <w:rPr>
          <w:i/>
          <w:iCs/>
        </w:rPr>
        <w:t>nullum crimen, nulla poena sine lege</w:t>
      </w:r>
      <w:r w:rsidRPr="00424707">
        <w:t>, proti, principu, ka personu var atzīt par vainīgu un sodīt tikai par tādu rīcību, kas ir atzīta par noziedzīgu saskaņā ar likumu (sk. </w:t>
      </w:r>
      <w:r w:rsidRPr="00424707">
        <w:rPr>
          <w:i/>
          <w:iCs/>
        </w:rPr>
        <w:t>Satversmes tiesas 2019. gada 21. februāra sprieduma lietā Nr. </w:t>
      </w:r>
      <w:hyperlink r:id="rId22" w:history="1">
        <w:r w:rsidRPr="00424707">
          <w:rPr>
            <w:rStyle w:val="Hyperlink"/>
            <w:i/>
            <w:iCs/>
          </w:rPr>
          <w:t>2018-10-0103</w:t>
        </w:r>
      </w:hyperlink>
      <w:r w:rsidRPr="00424707">
        <w:rPr>
          <w:i/>
          <w:iCs/>
        </w:rPr>
        <w:t xml:space="preserve"> 13.2. punktu</w:t>
      </w:r>
      <w:r w:rsidRPr="00424707">
        <w:t>). Šīs tiesības un ar tām saistītais princips veido tiesiskas valsts principa kodolu, un valsts nedrīkst atkāpties no to nodrošināšanas pat vissarežģītākajos apstākļos (sal. </w:t>
      </w:r>
      <w:bookmarkStart w:id="3" w:name="_Hlk209442909"/>
      <w:r w:rsidRPr="00424707">
        <w:rPr>
          <w:i/>
          <w:iCs/>
        </w:rPr>
        <w:t xml:space="preserve">Eiropas Cilvēktiesību tiesas (Lielā palāta) 2023. gada 26. septembra sprieduma lietā </w:t>
      </w:r>
      <w:r w:rsidR="009B40D1">
        <w:rPr>
          <w:i/>
          <w:iCs/>
        </w:rPr>
        <w:t>„</w:t>
      </w:r>
      <w:r w:rsidRPr="00424707">
        <w:rPr>
          <w:i/>
          <w:iCs/>
        </w:rPr>
        <w:t>Yüksel Yalçınkaya v. Türkiye”, iesnieguma Nr. </w:t>
      </w:r>
      <w:hyperlink r:id="rId23" w:history="1">
        <w:r w:rsidRPr="00424707">
          <w:rPr>
            <w:rStyle w:val="Hyperlink"/>
            <w:i/>
            <w:iCs/>
          </w:rPr>
          <w:t>15669/20</w:t>
        </w:r>
      </w:hyperlink>
      <w:r w:rsidRPr="00424707">
        <w:rPr>
          <w:i/>
          <w:iCs/>
        </w:rPr>
        <w:t>, 270. punkt</w:t>
      </w:r>
      <w:r w:rsidR="00AE7CE9">
        <w:rPr>
          <w:i/>
          <w:iCs/>
        </w:rPr>
        <w:t>s</w:t>
      </w:r>
      <w:bookmarkEnd w:id="3"/>
      <w:r w:rsidRPr="00424707">
        <w:t xml:space="preserve">). </w:t>
      </w:r>
      <w:r w:rsidR="009B40D1">
        <w:t>Lai gan</w:t>
      </w:r>
      <w:r w:rsidR="009B40D1" w:rsidRPr="00424707">
        <w:t xml:space="preserve"> </w:t>
      </w:r>
      <w:r w:rsidRPr="00424707">
        <w:t xml:space="preserve">tās neliedz krimināltiesību normu satura pakāpenisku izskaidrošanu tiesu sniegtās interpretācijas ceļā, </w:t>
      </w:r>
      <w:r w:rsidRPr="00B72E15">
        <w:t>tomēr</w:t>
      </w:r>
      <w:r w:rsidRPr="00424707">
        <w:t xml:space="preserve"> šādai interpretācijai jāatbilst attiecīgā nodarījuma būtībai un jābūt saprātīgi paredzamai (sk. </w:t>
      </w:r>
      <w:r w:rsidRPr="00424707">
        <w:rPr>
          <w:i/>
          <w:iCs/>
        </w:rPr>
        <w:t xml:space="preserve">Eiropas Cilvēktiesību tiesas 2017. gada 17. oktobra sprieduma lietā </w:t>
      </w:r>
      <w:r w:rsidR="009B40D1">
        <w:rPr>
          <w:i/>
          <w:iCs/>
        </w:rPr>
        <w:t>„</w:t>
      </w:r>
      <w:r w:rsidRPr="00424707">
        <w:rPr>
          <w:i/>
          <w:iCs/>
        </w:rPr>
        <w:t>Navalnyye v. Russia”, iesniegums Nr. </w:t>
      </w:r>
      <w:hyperlink r:id="rId24" w:history="1">
        <w:r w:rsidRPr="00424707">
          <w:rPr>
            <w:rStyle w:val="Hyperlink"/>
            <w:i/>
            <w:iCs/>
          </w:rPr>
          <w:t>101/15</w:t>
        </w:r>
      </w:hyperlink>
      <w:r w:rsidRPr="00424707">
        <w:rPr>
          <w:i/>
          <w:iCs/>
        </w:rPr>
        <w:t>, 55. punktu</w:t>
      </w:r>
      <w:r w:rsidRPr="00424707">
        <w:t>).</w:t>
      </w:r>
    </w:p>
    <w:p w14:paraId="79A2A101" w14:textId="6D79F211" w:rsidR="008F61EF" w:rsidRPr="00424707" w:rsidRDefault="008F61EF" w:rsidP="00424707">
      <w:pPr>
        <w:shd w:val="clear" w:color="auto" w:fill="FFFFFF"/>
        <w:spacing w:line="276" w:lineRule="auto"/>
        <w:ind w:firstLine="720"/>
        <w:jc w:val="both"/>
      </w:pPr>
      <w:r w:rsidRPr="00424707">
        <w:t>Apelācijas instances tiesa atzinusi, ka Krimināllikuma 85. panta otrajā daļā kriminālatbildība paredzēta par valsts noslēpuma nelikumīgu vākšanu neatkarīgi no nolūka, kādā šī darbība veikta.</w:t>
      </w:r>
      <w:r w:rsidR="00053DFD" w:rsidRPr="00424707">
        <w:t xml:space="preserve"> Turklāt tiesa </w:t>
      </w:r>
      <w:r w:rsidR="008526D9" w:rsidRPr="00424707">
        <w:t>secinājusi, ka normas saturs ir viennozīmīgi saprotams un tās piemērošanā nav nepieciešams izmantot tiesību normu iztulkošanas metodes.</w:t>
      </w:r>
    </w:p>
    <w:p w14:paraId="024BB449" w14:textId="0F0F1F59" w:rsidR="00256801" w:rsidRPr="00424707" w:rsidRDefault="00256801" w:rsidP="00424707">
      <w:pPr>
        <w:shd w:val="clear" w:color="auto" w:fill="FFFFFF"/>
        <w:spacing w:line="276" w:lineRule="auto"/>
        <w:ind w:firstLine="720"/>
        <w:jc w:val="both"/>
      </w:pPr>
      <w:r w:rsidRPr="00424707">
        <w:t>Senāta ieskatā apelācijas instances tiesas lēmumā ietverto Krimināllikuma 85. panta</w:t>
      </w:r>
      <w:r w:rsidR="00D16B54" w:rsidRPr="00424707">
        <w:t xml:space="preserve"> </w:t>
      </w:r>
      <w:r w:rsidRPr="00424707">
        <w:t xml:space="preserve">otrās daļas interpretāciju nevar uzskatīt par saprātīgi paredzamu un atbilstošu spiegošanas būtībai. Pirmkārt, tā attiecībā uz valsts noslēpuma nelikumīgu vākšanu padara lieku panta nosaukumu. Otrkārt, tā pieļauj Krimināllikuma iekšējai loģikai pretēju situāciju, kurā par </w:t>
      </w:r>
      <w:r w:rsidR="002363E0" w:rsidRPr="00424707">
        <w:t xml:space="preserve">mazāk kaitīgu darbību – vākšanu – būtu paredzēta smagāka sankcija </w:t>
      </w:r>
      <w:r w:rsidR="00F3261B">
        <w:t>ne</w:t>
      </w:r>
      <w:r w:rsidR="002363E0" w:rsidRPr="00424707">
        <w:t xml:space="preserve">kā par </w:t>
      </w:r>
      <w:r w:rsidRPr="00424707">
        <w:t>kaitīg</w:t>
      </w:r>
      <w:r w:rsidR="00F3261B">
        <w:t>āk</w:t>
      </w:r>
      <w:r w:rsidRPr="00424707">
        <w:t xml:space="preserve">u darbību </w:t>
      </w:r>
      <w:r w:rsidR="002363E0" w:rsidRPr="00424707">
        <w:t>– izpaušanu</w:t>
      </w:r>
      <w:r w:rsidRPr="00424707">
        <w:t>. Treškārt, no šī Krimināllikuma panta izstrādes procesa materiāliem neizriet, ka likumdevējs ar to būtu vēlējies</w:t>
      </w:r>
      <w:r w:rsidR="00C02D34" w:rsidRPr="00424707">
        <w:t xml:space="preserve"> šajā tiesību normā</w:t>
      </w:r>
      <w:r w:rsidRPr="00424707">
        <w:t xml:space="preserve"> </w:t>
      </w:r>
      <w:r w:rsidR="002554E4" w:rsidRPr="00424707">
        <w:t>noteikt kriminālatbildību par</w:t>
      </w:r>
      <w:r w:rsidRPr="00424707">
        <w:t xml:space="preserve"> tādu valsts noslēpuma nelikumīgu vākšanu, kas nav saistīta ar nolūku savākto valsts noslēpumu nodot ārvalstij vai ārvalsts organizācijai.</w:t>
      </w:r>
    </w:p>
    <w:p w14:paraId="2D50042D" w14:textId="53D18CF0" w:rsidR="00256801" w:rsidRPr="00424707" w:rsidRDefault="00256801" w:rsidP="00424707">
      <w:pPr>
        <w:shd w:val="clear" w:color="auto" w:fill="FFFFFF"/>
        <w:spacing w:line="276" w:lineRule="auto"/>
        <w:ind w:firstLine="720"/>
        <w:jc w:val="both"/>
      </w:pPr>
      <w:r w:rsidRPr="00424707">
        <w:t>[5.5] Ievērojot iepriekš izklāstīto, Senāts secina, ka Krimināllikuma 85. panta otrajā daļā paredzētā noziedzīgā nodarījuma dispozīcijā ietvertā darbība „vākšana” ir obligāti saistāma ar nolūku nodot valsts noslēpumu ārvalstij vai ārvalsts organizācijai. Šis nolūks var izpausties sadarbībā vai saziņā ar spiegošanas koordinatoru, pamatoti izrietēt no vāktā valsts noslēpuma rakstura vai arī būt konstatējams citādi, izvērtējot visus lietā esošos pierādījumus un konstatētos apstākļus kopumā un savstarpējā sakarībā.</w:t>
      </w:r>
    </w:p>
    <w:p w14:paraId="71BCF9E7" w14:textId="645107FA" w:rsidR="00256801" w:rsidRDefault="001F5722" w:rsidP="00424707">
      <w:pPr>
        <w:shd w:val="clear" w:color="auto" w:fill="FFFFFF"/>
        <w:spacing w:line="276" w:lineRule="auto"/>
        <w:ind w:firstLine="720"/>
        <w:jc w:val="both"/>
      </w:pPr>
      <w:r w:rsidRPr="00424707">
        <w:t>[5.6]</w:t>
      </w:r>
      <w:r w:rsidR="00F3261B">
        <w:t> </w:t>
      </w:r>
      <w:r w:rsidRPr="00424707">
        <w:t>Pamatojoties uz izklāstīto apsvērumu kopumu, Senāts atzīst, ka</w:t>
      </w:r>
      <w:r w:rsidR="00256801" w:rsidRPr="00424707">
        <w:t xml:space="preserve"> apelācijas instances tiesa</w:t>
      </w:r>
      <w:r w:rsidRPr="00424707">
        <w:t xml:space="preserve">, kvalificējot </w:t>
      </w:r>
      <w:r w:rsidR="006B4B99">
        <w:t>[pers. A]</w:t>
      </w:r>
      <w:r w:rsidR="00923B0C" w:rsidRPr="00424707">
        <w:t xml:space="preserve"> nodarījumu</w:t>
      </w:r>
      <w:r w:rsidR="00F3261B">
        <w:t>,</w:t>
      </w:r>
      <w:r w:rsidR="00923B0C" w:rsidRPr="00424707">
        <w:t xml:space="preserve"> ir nepareizi piemērojusi</w:t>
      </w:r>
      <w:r w:rsidR="00256801" w:rsidRPr="00424707">
        <w:t xml:space="preserve"> Krimināllikuma 85. panta otr</w:t>
      </w:r>
      <w:r w:rsidR="00923B0C" w:rsidRPr="00424707">
        <w:t>o daļu</w:t>
      </w:r>
      <w:r w:rsidR="00256801" w:rsidRPr="00424707">
        <w:t>.</w:t>
      </w:r>
    </w:p>
    <w:p w14:paraId="26F11428" w14:textId="77777777" w:rsidR="00F3261B" w:rsidRPr="00424707" w:rsidRDefault="00F3261B" w:rsidP="00424707">
      <w:pPr>
        <w:shd w:val="clear" w:color="auto" w:fill="FFFFFF"/>
        <w:spacing w:line="276" w:lineRule="auto"/>
        <w:ind w:firstLine="720"/>
        <w:jc w:val="both"/>
      </w:pPr>
    </w:p>
    <w:p w14:paraId="79B0E875" w14:textId="675CF1BD" w:rsidR="00104B5C" w:rsidRPr="00424707" w:rsidRDefault="00256801" w:rsidP="00424707">
      <w:pPr>
        <w:shd w:val="clear" w:color="auto" w:fill="FFFFFF"/>
        <w:spacing w:line="276" w:lineRule="auto"/>
        <w:ind w:firstLine="720"/>
        <w:jc w:val="both"/>
      </w:pPr>
      <w:r w:rsidRPr="00424707">
        <w:lastRenderedPageBreak/>
        <w:t xml:space="preserve">[6] Senātam ir jāsniedz atbilde arī uz jautājumu, vai </w:t>
      </w:r>
      <w:r w:rsidR="00984810">
        <w:t>[valsts drošības iestādes A]</w:t>
      </w:r>
      <w:r w:rsidRPr="00424707">
        <w:t xml:space="preserve"> atzinums un </w:t>
      </w:r>
      <w:r w:rsidR="00984810">
        <w:t>[valsts drošības iestādes B]</w:t>
      </w:r>
      <w:r w:rsidRPr="00424707">
        <w:t xml:space="preserve"> atzinums izskatāmajā lietā ir atzīstami par pierādījumiem kriminālprocesā.</w:t>
      </w:r>
    </w:p>
    <w:p w14:paraId="12AB8885" w14:textId="40B1986B" w:rsidR="00104B5C" w:rsidRPr="00424707" w:rsidRDefault="00D90281" w:rsidP="00424707">
      <w:pPr>
        <w:shd w:val="clear" w:color="auto" w:fill="FFFFFF"/>
        <w:spacing w:line="276" w:lineRule="auto"/>
        <w:ind w:firstLine="720"/>
        <w:jc w:val="both"/>
      </w:pPr>
      <w:r w:rsidRPr="00424707">
        <w:t>P</w:t>
      </w:r>
      <w:r w:rsidR="00104B5C" w:rsidRPr="00424707">
        <w:t xml:space="preserve">irmās instances tiesa nolēmumu pamatojusi ar </w:t>
      </w:r>
      <w:r w:rsidR="00984810" w:rsidRPr="000A1289">
        <w:t>[valsts drošības iestādes A]</w:t>
      </w:r>
      <w:r w:rsidR="00653F7D">
        <w:t xml:space="preserve"> atzinumu</w:t>
      </w:r>
      <w:r w:rsidR="00104B5C" w:rsidRPr="000A1289">
        <w:t xml:space="preserve"> </w:t>
      </w:r>
      <w:r w:rsidR="00104B5C" w:rsidRPr="00424707">
        <w:t xml:space="preserve">par Krimināllikuma 85. panta otrās daļas interpretāciju un </w:t>
      </w:r>
      <w:r w:rsidR="00984810">
        <w:t>[valsts drošības iestādes B]</w:t>
      </w:r>
      <w:r w:rsidR="00104B5C" w:rsidRPr="00424707">
        <w:t xml:space="preserve"> atzinumu</w:t>
      </w:r>
      <w:r w:rsidRPr="00424707">
        <w:t>, kurā ietvertas ziņas par vākto valsts noslēpumu, tā uzglabāšanas un iegūšanas apstākļiem un viedoklis</w:t>
      </w:r>
      <w:r w:rsidR="00104B5C" w:rsidRPr="00424707">
        <w:t xml:space="preserve"> par apsūdzētā subjektīvo attieksmi pret viņa veiktajām darbībām.</w:t>
      </w:r>
    </w:p>
    <w:p w14:paraId="59A1061F" w14:textId="77777777" w:rsidR="00104B5C" w:rsidRPr="00424707" w:rsidRDefault="00104B5C" w:rsidP="00424707">
      <w:pPr>
        <w:shd w:val="clear" w:color="auto" w:fill="FFFFFF"/>
        <w:spacing w:line="276" w:lineRule="auto"/>
        <w:ind w:firstLine="720"/>
        <w:jc w:val="both"/>
      </w:pPr>
      <w:r w:rsidRPr="00424707">
        <w:t>[6.1] Pierādījumi kriminālprocesā ir likumā noteiktā kārtībā iegūtas ziņas par faktiem. Šīs ziņas var būt arī tādas institūcijas rīcībā, kurai normatīvajos tiesību aktos noteikta kontroles vai uzraudzības funkcija ar minētajām ziņām saistītā jomā, un šīs institūcijas atzinums par minētajām ziņām var tikt atzīts par pierādījumu – kompetentās institūcijas atzinumu (</w:t>
      </w:r>
      <w:r w:rsidRPr="00424707">
        <w:rPr>
          <w:i/>
          <w:iCs/>
        </w:rPr>
        <w:t>Kriminālprocesa likuma 127. panta pirmā daļa un 133. panta pirmā daļa</w:t>
      </w:r>
      <w:r w:rsidRPr="00424707">
        <w:t>).</w:t>
      </w:r>
    </w:p>
    <w:p w14:paraId="1174A8C2" w14:textId="08101E88" w:rsidR="00104B5C" w:rsidRPr="00424707" w:rsidRDefault="00104B5C" w:rsidP="00424707">
      <w:pPr>
        <w:shd w:val="clear" w:color="auto" w:fill="FFFFFF"/>
        <w:spacing w:line="276" w:lineRule="auto"/>
        <w:ind w:firstLine="720"/>
        <w:jc w:val="both"/>
      </w:pPr>
      <w:r w:rsidRPr="00424707">
        <w:t xml:space="preserve">No Senāta judikatūras izriet, ka valsts institūciju viedoklis par tiesību normu piemērošanu nevar tikt uzskatīts par pierādījumu kriminālprocesā, jo tas nesatur ziņas par faktiem, bet gan par tiesībām. Šāds atzinums var tikt izmantots nolēmuma pamatošanā, ja ar to netiek aizstāts pašas tiesas veikts pierādījumu novērtējums un tiesību normu piemērošana (sk. </w:t>
      </w:r>
      <w:r w:rsidRPr="00424707">
        <w:rPr>
          <w:i/>
          <w:iCs/>
        </w:rPr>
        <w:t>Senāta 2025. gada 21. marta lēmuma lietā Nr. SKK</w:t>
      </w:r>
      <w:r w:rsidR="00691748" w:rsidRPr="00170A97">
        <w:rPr>
          <w:lang w:eastAsia="lv-LV"/>
        </w:rPr>
        <w:noBreakHyphen/>
      </w:r>
      <w:r w:rsidRPr="00424707">
        <w:rPr>
          <w:i/>
          <w:iCs/>
        </w:rPr>
        <w:t xml:space="preserve">9/2025, </w:t>
      </w:r>
      <w:hyperlink r:id="rId25" w:history="1">
        <w:r w:rsidR="00BF489D" w:rsidRPr="00BF489D">
          <w:rPr>
            <w:rStyle w:val="Hyperlink"/>
            <w:i/>
            <w:iCs/>
          </w:rPr>
          <w:t>ECLI:LV:AT:2025:0321.11817001020.6.L</w:t>
        </w:r>
      </w:hyperlink>
      <w:r w:rsidRPr="00424707">
        <w:rPr>
          <w:i/>
          <w:iCs/>
        </w:rPr>
        <w:t>, 8.2.-8.6. punktu</w:t>
      </w:r>
      <w:r w:rsidRPr="00424707">
        <w:t>).</w:t>
      </w:r>
    </w:p>
    <w:p w14:paraId="5AAEAAA1" w14:textId="58394552" w:rsidR="00104B5C" w:rsidRPr="00424707" w:rsidRDefault="00104B5C" w:rsidP="00424707">
      <w:pPr>
        <w:shd w:val="clear" w:color="auto" w:fill="FFFFFF"/>
        <w:spacing w:line="276" w:lineRule="auto"/>
        <w:ind w:firstLine="720"/>
        <w:jc w:val="both"/>
      </w:pPr>
      <w:r w:rsidRPr="00424707">
        <w:t xml:space="preserve">Izskatāmajā lietā apelācijas instances tiesa </w:t>
      </w:r>
      <w:r w:rsidR="002D032B">
        <w:t>[valsts drošības iestādes A]</w:t>
      </w:r>
      <w:r w:rsidRPr="00424707">
        <w:t xml:space="preserve"> atzinumu</w:t>
      </w:r>
      <w:r w:rsidR="00DF2667" w:rsidRPr="00424707">
        <w:t>, kurā sniegts viedoklis par Krimināllikuma 85.</w:t>
      </w:r>
      <w:r w:rsidR="00AA6EAB" w:rsidRPr="00424707">
        <w:t> </w:t>
      </w:r>
      <w:r w:rsidR="00DF2667" w:rsidRPr="00424707">
        <w:t>panta otrās daļas piemērošanu,</w:t>
      </w:r>
      <w:r w:rsidRPr="00424707">
        <w:t xml:space="preserve"> kļūdaini novērtējusi kā kompetentās institūcijas atzinumu Kriminālprocesa likuma 133. panta izpratnē, taču šis</w:t>
      </w:r>
      <w:r w:rsidR="00B90328" w:rsidRPr="00424707">
        <w:t xml:space="preserve"> </w:t>
      </w:r>
      <w:r w:rsidRPr="00424707">
        <w:t>vērtējums nav ietekmējis to, ka pati apelācijas instances tiesa ir veikusi Krimināllikuma 85. panta otrās daļas interpretāciju.</w:t>
      </w:r>
    </w:p>
    <w:p w14:paraId="661DF4FA" w14:textId="37CB3313" w:rsidR="00B90328" w:rsidRPr="00424707" w:rsidRDefault="00104B5C" w:rsidP="002D032B">
      <w:pPr>
        <w:shd w:val="clear" w:color="auto" w:fill="FFFFFF"/>
        <w:spacing w:line="276" w:lineRule="auto"/>
        <w:ind w:firstLine="720"/>
        <w:jc w:val="both"/>
      </w:pPr>
      <w:r w:rsidRPr="00424707">
        <w:t>[6.2]</w:t>
      </w:r>
      <w:r w:rsidR="001C065E">
        <w:t> </w:t>
      </w:r>
      <w:r w:rsidR="002D032B">
        <w:t>[Valsts drošības iestādes</w:t>
      </w:r>
      <w:r w:rsidR="00BA028B">
        <w:t> </w:t>
      </w:r>
      <w:r w:rsidR="002D032B">
        <w:t>B]</w:t>
      </w:r>
      <w:r w:rsidR="00655EB5" w:rsidRPr="00424707">
        <w:t xml:space="preserve"> atzinumā ir sniegtas ziņas par</w:t>
      </w:r>
      <w:r w:rsidR="008E41EE" w:rsidRPr="00424707">
        <w:t xml:space="preserve"> vākt</w:t>
      </w:r>
      <w:r w:rsidR="00B90328" w:rsidRPr="00424707">
        <w:t>o</w:t>
      </w:r>
      <w:r w:rsidR="008E41EE" w:rsidRPr="00424707">
        <w:t xml:space="preserve"> valsts noslēpumu, tā uzglabāšanas</w:t>
      </w:r>
      <w:r w:rsidR="00B90328" w:rsidRPr="00424707">
        <w:t xml:space="preserve"> nosacījumiem</w:t>
      </w:r>
      <w:r w:rsidR="008E41EE" w:rsidRPr="00424707">
        <w:t xml:space="preserve"> un iegūšanas apstākļiem</w:t>
      </w:r>
      <w:r w:rsidR="00691748">
        <w:t>,</w:t>
      </w:r>
      <w:r w:rsidR="00B90328" w:rsidRPr="00424707">
        <w:t xml:space="preserve"> kā arī</w:t>
      </w:r>
      <w:r w:rsidR="008E41EE" w:rsidRPr="00424707">
        <w:t xml:space="preserve"> viedoklis par apsūdzētā subjektīvo attieksmi pret viņa veiktajām darbībām</w:t>
      </w:r>
      <w:r w:rsidR="00B90328" w:rsidRPr="00424707">
        <w:t>. Tādējādi šis atzinums ietver ne tikai viedokli, bet arī ziņas par faktiem.</w:t>
      </w:r>
    </w:p>
    <w:p w14:paraId="79D4C158" w14:textId="28AF557E" w:rsidR="00104B5C" w:rsidRPr="00424707" w:rsidRDefault="00104B5C" w:rsidP="00424707">
      <w:pPr>
        <w:shd w:val="clear" w:color="auto" w:fill="FFFFFF"/>
        <w:spacing w:line="276" w:lineRule="auto"/>
        <w:ind w:firstLine="720"/>
        <w:jc w:val="both"/>
      </w:pPr>
      <w:r w:rsidRPr="00424707">
        <w:t xml:space="preserve">Atbilstoši likuma </w:t>
      </w:r>
      <w:r w:rsidR="00691748">
        <w:t>„</w:t>
      </w:r>
      <w:r w:rsidRPr="00424707">
        <w:t xml:space="preserve">Par valsts noslēpumu” 7. panta trešajai daļai un </w:t>
      </w:r>
      <w:r w:rsidR="00984810">
        <w:t>[valsts drošības iestādes B]</w:t>
      </w:r>
      <w:r w:rsidRPr="00424707">
        <w:t xml:space="preserve"> likuma 1. panta otrajai daļai </w:t>
      </w:r>
      <w:r w:rsidR="00984810">
        <w:t>[valsts drošības iestāde  B]</w:t>
      </w:r>
      <w:r w:rsidRPr="00424707">
        <w:t xml:space="preserve"> veic, koordinē un kontrolē klasificētas informācijas, tostarp valsts noslēpuma, aizsardzības pasākumus, tādējādi tas ir atzīstams par kompetentu institūciju valsts noslēpuma aizsardzības jomā Kriminālprocesa likuma 133. panta izpratnē.</w:t>
      </w:r>
    </w:p>
    <w:p w14:paraId="720A4B85" w14:textId="7077A9D2" w:rsidR="00104B5C" w:rsidRPr="00424707" w:rsidRDefault="00104B5C" w:rsidP="00424707">
      <w:pPr>
        <w:shd w:val="clear" w:color="auto" w:fill="FFFFFF"/>
        <w:spacing w:line="276" w:lineRule="auto"/>
        <w:ind w:firstLine="720"/>
        <w:jc w:val="both"/>
      </w:pPr>
      <w:r w:rsidRPr="00424707">
        <w:t>Personām pieeja valsts noslēpumam tiek atļauta saistībā ar amata (dienesta) pienākumiem vai konkrētu darba (dienesta) uzdevumu, un tā izmantošana citiem mērķiem ir aizliegta (</w:t>
      </w:r>
      <w:r w:rsidRPr="00424707">
        <w:rPr>
          <w:i/>
          <w:iCs/>
        </w:rPr>
        <w:t xml:space="preserve">likuma </w:t>
      </w:r>
      <w:r w:rsidR="00691748">
        <w:rPr>
          <w:i/>
          <w:iCs/>
        </w:rPr>
        <w:t>„</w:t>
      </w:r>
      <w:r w:rsidRPr="00424707">
        <w:rPr>
          <w:i/>
          <w:iCs/>
        </w:rPr>
        <w:t>Par valsts noslēpumu” 9. panta pirmā daļa un 12. panta sestā daļa</w:t>
      </w:r>
      <w:r w:rsidRPr="00424707">
        <w:t>). Jebkura persona, kura ir tiesīga veikt darbu, kas saistīts ar valsts noslēpumu vai tā aizsardzību, ir personīgi atbildīga par normatīvajos aktos noteikto valsts noslēpuma aizsardzības prasību izpildi, noteiktā slepenības režīma un sevišķās lietvedības noteikumu ievērošanu (</w:t>
      </w:r>
      <w:r w:rsidRPr="00424707">
        <w:rPr>
          <w:i/>
          <w:iCs/>
        </w:rPr>
        <w:t xml:space="preserve">likuma </w:t>
      </w:r>
      <w:r w:rsidR="00691748">
        <w:rPr>
          <w:i/>
          <w:iCs/>
        </w:rPr>
        <w:t>„</w:t>
      </w:r>
      <w:r w:rsidRPr="00424707">
        <w:rPr>
          <w:i/>
          <w:iCs/>
        </w:rPr>
        <w:t>Par valsts noslēpumu” 14. panta pirmā daļa</w:t>
      </w:r>
      <w:r w:rsidRPr="00424707">
        <w:t>). Šāda persona nevar neapzināties, ka tiesiskas darbības ar valsts noslēpumu ietver tā izmantošanu tikai tādā apjomā un veidā, kā</w:t>
      </w:r>
      <w:r w:rsidR="00F56213" w:rsidRPr="00424707">
        <w:t>dā tas</w:t>
      </w:r>
      <w:r w:rsidRPr="00424707">
        <w:t xml:space="preserve"> nepieciešams </w:t>
      </w:r>
      <w:r w:rsidR="00F56213" w:rsidRPr="00424707">
        <w:t>personas</w:t>
      </w:r>
      <w:r w:rsidRPr="00424707">
        <w:t xml:space="preserve"> profesionālo pienākumu veikšanai.</w:t>
      </w:r>
    </w:p>
    <w:p w14:paraId="10002594" w14:textId="786B3332" w:rsidR="00104B5C" w:rsidRPr="00424707" w:rsidRDefault="00104B5C" w:rsidP="00424707">
      <w:pPr>
        <w:shd w:val="clear" w:color="auto" w:fill="FFFFFF"/>
        <w:spacing w:line="276" w:lineRule="auto"/>
        <w:ind w:firstLine="720"/>
        <w:jc w:val="both"/>
      </w:pPr>
      <w:r w:rsidRPr="00424707">
        <w:lastRenderedPageBreak/>
        <w:t xml:space="preserve">Informācija par to, kādā apjomā un veidā personai tās profesionālo pienākumu veikšanai bijis nepieciešams strādāt ar valsts noslēpumu, ir visupirms tās institūcijas rīcībā, kurā šī persona nodarbināta. Izskatāmajā lietā apsūdzētais bija nodarbināts </w:t>
      </w:r>
      <w:r w:rsidR="00984810">
        <w:t>[valsts drošības iestāde B]</w:t>
      </w:r>
      <w:r w:rsidRPr="00424707">
        <w:t xml:space="preserve"> un </w:t>
      </w:r>
      <w:r w:rsidR="00810AAC" w:rsidRPr="00424707">
        <w:t>šajā iestādē</w:t>
      </w:r>
      <w:r w:rsidRPr="00424707">
        <w:t xml:space="preserve"> amata pienākumu veikšana</w:t>
      </w:r>
      <w:r w:rsidR="007E4D0A" w:rsidRPr="00424707">
        <w:t>s laikā</w:t>
      </w:r>
      <w:r w:rsidRPr="00424707">
        <w:t xml:space="preserve"> </w:t>
      </w:r>
      <w:r w:rsidR="00810AAC" w:rsidRPr="00424707">
        <w:t>ie</w:t>
      </w:r>
      <w:r w:rsidRPr="00424707">
        <w:t xml:space="preserve">guva pieeju valsts noslēpumam. Līdz ar to </w:t>
      </w:r>
      <w:r w:rsidR="00984810">
        <w:t>[valsts drošības iestādes B]</w:t>
      </w:r>
      <w:r w:rsidRPr="00424707">
        <w:t xml:space="preserve"> rīcībā varēja būt informācija par to, kādas apsūdzētā darbības ar valsts noslēpumu bija pamatoti saistāmas ar viņa amata pienākumiem. Balstoties uz šo informāciju, iespējams secināt, vai apsūdzētais, pretēji viņam zināmajai un saistošajai valsts noslēpuma aprites kārtībai, izmantojis to nelikumīgi. Apelācijas instances tiesa </w:t>
      </w:r>
      <w:r w:rsidR="00BA028B">
        <w:t>[valsts drošības iestādes B]</w:t>
      </w:r>
      <w:r w:rsidRPr="00424707">
        <w:t xml:space="preserve"> atzinumu </w:t>
      </w:r>
      <w:r w:rsidR="007E4D0A" w:rsidRPr="00424707">
        <w:t>šādā nozīmē</w:t>
      </w:r>
      <w:r w:rsidRPr="00424707">
        <w:t xml:space="preserve"> </w:t>
      </w:r>
      <w:r w:rsidR="007E4D0A" w:rsidRPr="00424707">
        <w:t>ir</w:t>
      </w:r>
      <w:r w:rsidRPr="00424707">
        <w:t xml:space="preserve"> vērtējusi un izmantojusi.</w:t>
      </w:r>
    </w:p>
    <w:p w14:paraId="07E8CF57" w14:textId="79551FE3" w:rsidR="004941AF" w:rsidRDefault="00954396" w:rsidP="00424707">
      <w:pPr>
        <w:shd w:val="clear" w:color="auto" w:fill="FFFFFF"/>
        <w:spacing w:line="276" w:lineRule="auto"/>
        <w:ind w:firstLine="720"/>
        <w:jc w:val="both"/>
      </w:pPr>
      <w:r w:rsidRPr="00424707">
        <w:t>[6.3]</w:t>
      </w:r>
      <w:r w:rsidR="00691748">
        <w:t> </w:t>
      </w:r>
      <w:r w:rsidR="00104B5C" w:rsidRPr="00424707">
        <w:t xml:space="preserve">Ievērojot minēto, Senāts secina, ka apelācijas instances tiesa, atzīstot, ka </w:t>
      </w:r>
      <w:r w:rsidR="00984810">
        <w:t>[valsts drošības iestādes B]</w:t>
      </w:r>
      <w:r w:rsidR="00104B5C" w:rsidRPr="00424707">
        <w:t xml:space="preserve"> atzinums izskatāmajā lietā ir pierādījums, nav pieļāvusi Kriminālprocesa likuma pārkāpumu.</w:t>
      </w:r>
    </w:p>
    <w:p w14:paraId="493B3241" w14:textId="77777777" w:rsidR="00691748" w:rsidRPr="00424707" w:rsidRDefault="00691748" w:rsidP="00424707">
      <w:pPr>
        <w:shd w:val="clear" w:color="auto" w:fill="FFFFFF"/>
        <w:spacing w:line="276" w:lineRule="auto"/>
        <w:ind w:firstLine="720"/>
        <w:jc w:val="both"/>
      </w:pPr>
    </w:p>
    <w:p w14:paraId="633D325E" w14:textId="0BD3734A" w:rsidR="004941AF" w:rsidRPr="00424707" w:rsidRDefault="004941AF" w:rsidP="00424707">
      <w:pPr>
        <w:shd w:val="clear" w:color="auto" w:fill="FFFFFF"/>
        <w:spacing w:line="276" w:lineRule="auto"/>
        <w:ind w:firstLine="720"/>
        <w:jc w:val="both"/>
      </w:pPr>
      <w:r w:rsidRPr="00424707">
        <w:t>[7] Senātam jāpārbauda, vai Krimināllikuma 318. panta pirmā daļa (šeit un turpmāk</w:t>
      </w:r>
      <w:r w:rsidR="00B72E15">
        <w:t> </w:t>
      </w:r>
      <w:r w:rsidRPr="00424707">
        <w:t>–</w:t>
      </w:r>
      <w:r w:rsidR="00B72E15">
        <w:t> </w:t>
      </w:r>
      <w:r w:rsidRPr="00424707">
        <w:t>redakcijā, kas bija spēkā līdz 2021. gada 4. augustam) ir iztulkojama tādējādi, ka, pirmkārt, valsts amatpersonas izdarītas tīšas darbības, ļaunprātīgi izmantojot dienesta stāvokli, ietver valsts noslēpuma aprites noteikumu pārkāpumus, un, otrkārt, šo pārkāpumu rezultātā</w:t>
      </w:r>
      <w:r w:rsidR="00D057CD" w:rsidRPr="00424707">
        <w:t xml:space="preserve"> konkrētajā lietā konstatētais</w:t>
      </w:r>
      <w:r w:rsidRPr="00424707">
        <w:t xml:space="preserve"> valsts noslēpuma izpaušanas risks ir uzskatāms par būtisku kaitējumu.</w:t>
      </w:r>
    </w:p>
    <w:p w14:paraId="3DC22201" w14:textId="0476EE5D" w:rsidR="004941AF" w:rsidRPr="00424707" w:rsidRDefault="004941AF" w:rsidP="00691748">
      <w:pPr>
        <w:shd w:val="clear" w:color="auto" w:fill="FFFFFF"/>
        <w:spacing w:line="276" w:lineRule="auto"/>
        <w:ind w:firstLine="720"/>
        <w:jc w:val="both"/>
      </w:pPr>
      <w:r w:rsidRPr="00424707">
        <w:t>[7.1] Dienesta stāvokļa ļaunprātīgas izmantošanas situācijā valsts amatpersona darbojas savu pilnvaru robežās, taču pretēji dienesta interesēm</w:t>
      </w:r>
      <w:r w:rsidR="00691748">
        <w:t>,</w:t>
      </w:r>
      <w:r w:rsidRPr="00424707">
        <w:t xml:space="preserve"> vai arī veic darbības, kuras neietilpst tās kompetencē, bet kuras var izdarīt, izmantojot savu dienesta stāvokli (</w:t>
      </w:r>
      <w:r w:rsidRPr="00424707">
        <w:rPr>
          <w:i/>
          <w:iCs/>
        </w:rPr>
        <w:t>Senāta 2019. gada 4. jūnija lēmuma lietā Nr. SKK</w:t>
      </w:r>
      <w:r w:rsidR="00691748" w:rsidRPr="00170A97">
        <w:rPr>
          <w:lang w:eastAsia="lv-LV"/>
        </w:rPr>
        <w:noBreakHyphen/>
      </w:r>
      <w:r w:rsidRPr="00424707">
        <w:rPr>
          <w:i/>
          <w:iCs/>
        </w:rPr>
        <w:t>17/2019</w:t>
      </w:r>
      <w:r w:rsidR="00691748">
        <w:rPr>
          <w:i/>
          <w:iCs/>
        </w:rPr>
        <w:t xml:space="preserve">, </w:t>
      </w:r>
      <w:hyperlink r:id="rId26" w:history="1">
        <w:r w:rsidR="00691748" w:rsidRPr="00691748">
          <w:rPr>
            <w:rStyle w:val="Hyperlink"/>
            <w:i/>
            <w:iCs/>
          </w:rPr>
          <w:t>ECLI:LV:AT:2019:0604.16870002309.3.L</w:t>
        </w:r>
      </w:hyperlink>
      <w:r w:rsidR="00691748">
        <w:rPr>
          <w:i/>
          <w:iCs/>
        </w:rPr>
        <w:t>,</w:t>
      </w:r>
      <w:r w:rsidRPr="00424707">
        <w:rPr>
          <w:i/>
          <w:iCs/>
        </w:rPr>
        <w:t xml:space="preserve"> 10. punkts</w:t>
      </w:r>
      <w:r w:rsidRPr="00424707">
        <w:t>).</w:t>
      </w:r>
    </w:p>
    <w:p w14:paraId="5B9F62BE" w14:textId="6F72CBE9" w:rsidR="004941AF" w:rsidRPr="00424707" w:rsidRDefault="004941AF" w:rsidP="00424707">
      <w:pPr>
        <w:shd w:val="clear" w:color="auto" w:fill="FFFFFF"/>
        <w:spacing w:line="276" w:lineRule="auto"/>
        <w:ind w:firstLine="720"/>
        <w:jc w:val="both"/>
      </w:pPr>
      <w:r w:rsidRPr="00424707">
        <w:t xml:space="preserve">Valsts amatpersonu pilnvaru robežas darbā ar valsts noslēpumu nosaka likums </w:t>
      </w:r>
      <w:r w:rsidR="00691748">
        <w:t>„</w:t>
      </w:r>
      <w:r w:rsidRPr="00424707">
        <w:t>Par valsts noslēpumu” un uz tā pamata izdotie Ministru kabineta noteikumi. Valsts noslēpuma objekts var būt kādas personas valdījumā vai lietošanā tādos gadījumos un tādā kārtībā, kāda noteikta likumā vai Ministru kabineta noteikumos (</w:t>
      </w:r>
      <w:r w:rsidRPr="00424707">
        <w:rPr>
          <w:i/>
          <w:iCs/>
        </w:rPr>
        <w:t xml:space="preserve">likuma </w:t>
      </w:r>
      <w:r w:rsidR="00691748">
        <w:rPr>
          <w:i/>
          <w:iCs/>
        </w:rPr>
        <w:t>„</w:t>
      </w:r>
      <w:r w:rsidRPr="00424707">
        <w:rPr>
          <w:i/>
          <w:iCs/>
        </w:rPr>
        <w:t>Par valsts noslēpumu” 6. panta trešā daļa</w:t>
      </w:r>
      <w:r w:rsidRPr="00424707">
        <w:t>). Tās ir situācijas, kad amatpersonai valsts noslēpums nepieciešams amata pienākumu veikšanai</w:t>
      </w:r>
      <w:r w:rsidR="00C55E04" w:rsidRPr="00424707">
        <w:t xml:space="preserve">. </w:t>
      </w:r>
      <w:r w:rsidRPr="00424707">
        <w:t>Tādējādi valsts amatpersonas pieļauti valsts noslēpuma aprites kārtības pārkāpumi, kas izpaudušies kā darbības, kuras nav nepieciešamas tās profesionālo pienākumu veikšanai, bet kuras ir iespējams veikt amatpersonas statusa dēļ, piemēram, valsts noslēpuma objektu iegūšana, glabāšana vai pārvietošana, ir atzīstamas par Krimināllikuma 318. panta pirmajā daļā minētajām darbībām</w:t>
      </w:r>
      <w:r w:rsidR="00C55E04" w:rsidRPr="00424707">
        <w:t>, ja vien tās neatbilst dienesta pilnvaru acīmredzamai pārsniegšanai (sk. Krimināllikuma 317. pantu).</w:t>
      </w:r>
    </w:p>
    <w:p w14:paraId="0C9BFFD3" w14:textId="7982CE85" w:rsidR="004941AF" w:rsidRPr="00424707" w:rsidRDefault="004941AF" w:rsidP="00424707">
      <w:pPr>
        <w:shd w:val="clear" w:color="auto" w:fill="FFFFFF"/>
        <w:spacing w:line="276" w:lineRule="auto"/>
        <w:ind w:firstLine="720"/>
        <w:jc w:val="both"/>
      </w:pPr>
      <w:r w:rsidRPr="00424707">
        <w:t>Senāts norāda, ka personas nelikumīgas darbības var izpausties dažādi – gan kā atkārtotas tādas pašas darbības (piemēram, vairākkārtēja pārvietošana vai vairākkārtēja iegūšana vienā un tajā pašā vietā), gan kā ilgstoša viena darbība (piemēram, neatļauta glabāšana), gan kā šo atšķirīgo darbību kopums, ja veikts ar vienotu mērķi. Senāts jau ir atzinis: gadījumos, kad veiktas savstarpēji saistītas uz vienota mērķa sasniegšanu vērstas vairākas atšķirīgas viena noziedzīgā nodarījuma sastāvā paredzētas objektīvās puses darbības, tās kvalificējamas kā viens vienots noziedzīgs nodarījums (sal. </w:t>
      </w:r>
      <w:r w:rsidRPr="00424707">
        <w:rPr>
          <w:i/>
          <w:iCs/>
        </w:rPr>
        <w:t xml:space="preserve">Senāta 2021. gada </w:t>
      </w:r>
      <w:r w:rsidRPr="00424707">
        <w:rPr>
          <w:i/>
          <w:iCs/>
        </w:rPr>
        <w:lastRenderedPageBreak/>
        <w:t>28. maija lēmuma lietā Nr. SKK</w:t>
      </w:r>
      <w:r w:rsidR="00691748" w:rsidRPr="00170A97">
        <w:rPr>
          <w:lang w:eastAsia="lv-LV"/>
        </w:rPr>
        <w:noBreakHyphen/>
      </w:r>
      <w:r w:rsidRPr="00424707">
        <w:rPr>
          <w:i/>
          <w:iCs/>
        </w:rPr>
        <w:t xml:space="preserve">14/2021, </w:t>
      </w:r>
      <w:hyperlink r:id="rId27" w:history="1">
        <w:r w:rsidR="00475145" w:rsidRPr="00475145">
          <w:rPr>
            <w:rStyle w:val="Hyperlink"/>
            <w:i/>
            <w:iCs/>
          </w:rPr>
          <w:t>ECLI:LV:AT:2021:0528.11270000219.7.L</w:t>
        </w:r>
      </w:hyperlink>
      <w:r w:rsidRPr="00424707">
        <w:rPr>
          <w:i/>
          <w:iCs/>
        </w:rPr>
        <w:t>, 5.2. punkt</w:t>
      </w:r>
      <w:r w:rsidR="00AE7CE9">
        <w:rPr>
          <w:i/>
          <w:iCs/>
        </w:rPr>
        <w:t>s</w:t>
      </w:r>
      <w:r w:rsidRPr="00424707">
        <w:t>).</w:t>
      </w:r>
    </w:p>
    <w:p w14:paraId="4937FA19" w14:textId="5F43D770" w:rsidR="006842E5" w:rsidRPr="00424707" w:rsidRDefault="006842E5" w:rsidP="00424707">
      <w:pPr>
        <w:shd w:val="clear" w:color="auto" w:fill="FFFFFF"/>
        <w:spacing w:line="276" w:lineRule="auto"/>
        <w:ind w:firstLine="720"/>
        <w:jc w:val="both"/>
      </w:pPr>
      <w:r w:rsidRPr="00424707">
        <w:t xml:space="preserve">Izskatāmajā lietā tiesa ir konstatējusi, ka apsūdzētais, būdams </w:t>
      </w:r>
      <w:r w:rsidR="00D501E5" w:rsidRPr="00D501E5">
        <w:t>[valsts drošības iestādes B]</w:t>
      </w:r>
      <w:r w:rsidRPr="00D501E5">
        <w:t xml:space="preserve"> </w:t>
      </w:r>
      <w:r w:rsidR="00BE6208" w:rsidRPr="00D501E5">
        <w:t>[amats]</w:t>
      </w:r>
      <w:r w:rsidRPr="00D501E5">
        <w:t>,</w:t>
      </w:r>
      <w:r w:rsidRPr="00424707">
        <w:t xml:space="preserve"> nelikumīgi vāca valsts noslēpumu saturošu informāciju, kuru ieguva pildot dienesta pienākumus,</w:t>
      </w:r>
      <w:r w:rsidR="004F0A7F" w:rsidRPr="00424707">
        <w:t xml:space="preserve"> un</w:t>
      </w:r>
      <w:r w:rsidR="003A5C4A" w:rsidRPr="00424707">
        <w:t xml:space="preserve"> bez nepieciešamās atļaujas un nepastāvot dienesta vajadzībai nelikumīgi un pretēji dienesta interesēm paturēja savā valdījumā iegūtās informācijas nesējus</w:t>
      </w:r>
      <w:r w:rsidR="004F0A7F" w:rsidRPr="00424707">
        <w:t>,</w:t>
      </w:r>
      <w:r w:rsidR="003A5C4A" w:rsidRPr="00424707">
        <w:t xml:space="preserve"> </w:t>
      </w:r>
      <w:r w:rsidR="004F0A7F" w:rsidRPr="00424707">
        <w:t xml:space="preserve">vispirms glabāja </w:t>
      </w:r>
      <w:r w:rsidR="00D44D27" w:rsidRPr="00424707">
        <w:t>tos</w:t>
      </w:r>
      <w:r w:rsidR="004F0A7F" w:rsidRPr="00424707">
        <w:t xml:space="preserve"> dienesta telpās, pēc tam iegūtās informācijas kopumu pārvietoja un glabāja savā dzīves vietā.</w:t>
      </w:r>
    </w:p>
    <w:p w14:paraId="57B1EB3D" w14:textId="77777777" w:rsidR="004941AF" w:rsidRPr="00424707" w:rsidRDefault="004941AF" w:rsidP="00424707">
      <w:pPr>
        <w:shd w:val="clear" w:color="auto" w:fill="FFFFFF"/>
        <w:spacing w:line="276" w:lineRule="auto"/>
        <w:ind w:firstLine="720"/>
        <w:jc w:val="both"/>
      </w:pPr>
      <w:r w:rsidRPr="00424707">
        <w:t>Konkrētajā gadījumā gan pirmās instances tiesa, gan apelācijas instances tiesa vērtējusi apsūdzētā veiktās darbības ar valsts noslēpumu kopsakarā, tās pamatoti kvalificējot pēc Krimināllikuma 318. panta pirmās daļas. Tas vien, ka glabāšana kā ilgstoša darbība turpinājusies pēc dienesta attiecību izbeigšanās, nemaina to, ka tā bija iespējama valsts noslēpuma aprites kārtības pārkāpuma rezultātā un ka tā būtu vērtējama kā vienots nodarījums ar valsts noslēpuma iegūšanu un pārvietošanu.</w:t>
      </w:r>
    </w:p>
    <w:p w14:paraId="5F9A55BB" w14:textId="77777777" w:rsidR="004941AF" w:rsidRPr="00424707" w:rsidRDefault="004941AF" w:rsidP="00424707">
      <w:pPr>
        <w:shd w:val="clear" w:color="auto" w:fill="FFFFFF"/>
        <w:spacing w:line="276" w:lineRule="auto"/>
        <w:ind w:firstLine="720"/>
        <w:jc w:val="both"/>
      </w:pPr>
      <w:r w:rsidRPr="00424707">
        <w:t>[7.2] Lai par Krimināllikuma 318. panta pirmajā daļā minētajām darbībām varētu iestāties kriminālatbildība, nepieciešams konstatēt, ka to rezultātā radīts būtisks kaitējums</w:t>
      </w:r>
    </w:p>
    <w:p w14:paraId="3ED7C738" w14:textId="678AE4C1" w:rsidR="004941AF" w:rsidRPr="00424707" w:rsidRDefault="004941AF" w:rsidP="00011C0A">
      <w:pPr>
        <w:shd w:val="clear" w:color="auto" w:fill="FFFFFF"/>
        <w:spacing w:line="276" w:lineRule="auto"/>
        <w:ind w:firstLine="720"/>
        <w:jc w:val="both"/>
      </w:pPr>
      <w:r w:rsidRPr="00424707">
        <w:t xml:space="preserve">Atbildība par Krimināllikumā paredzēto noziedzīgo nodarījumu, ar kuru radīts būtisks kaitējums, iestājas </w:t>
      </w:r>
      <w:r w:rsidR="00542188" w:rsidRPr="00424707">
        <w:t>arī</w:t>
      </w:r>
      <w:r w:rsidRPr="00424707">
        <w:t xml:space="preserve"> tad, ja ievērojami apdraudētas citas ar likumu aizsargātās intereses, konkrētajā gadījumā – pārvaldes kārtības intereses (</w:t>
      </w:r>
      <w:r w:rsidRPr="00424707">
        <w:rPr>
          <w:i/>
          <w:iCs/>
        </w:rPr>
        <w:t xml:space="preserve">likuma </w:t>
      </w:r>
      <w:r w:rsidR="00011C0A">
        <w:rPr>
          <w:i/>
          <w:iCs/>
        </w:rPr>
        <w:t>„</w:t>
      </w:r>
      <w:r w:rsidRPr="00424707">
        <w:rPr>
          <w:i/>
          <w:iCs/>
        </w:rPr>
        <w:t>Par Krimināllikuma spēkā stāšanās un piemērošanas kārtību” 23. panta pirmās daļas 3. punkts</w:t>
      </w:r>
      <w:r w:rsidRPr="00424707">
        <w:t>). Interešu apdraudējums ir ievērojams, ja personas veiktās darbības raksturo tād</w:t>
      </w:r>
      <w:r w:rsidR="00577EEE" w:rsidRPr="00424707">
        <w:t>s kaitīgums</w:t>
      </w:r>
      <w:r w:rsidRPr="00424707">
        <w:t>, ka sabiedrības turpmākas harmoniskas funkcionēšanas interesēs valstij ir uz šo personu jāiedarbojas ar tās uzvedību un vērtību sistēmu koriģējošiem līdzekļiem. To, vai interešu apdraudējums ir ievērojams, var konstatēt, ņemot vērā apdraudējuma veidu, saturu un intensitāti, personas, pret kuru tas vērsts, viedokli, kā arī reāla kaitējuma iestāšanās risku un tā novēršanas iespēju (sal. </w:t>
      </w:r>
      <w:r w:rsidRPr="00424707">
        <w:rPr>
          <w:i/>
          <w:iCs/>
        </w:rPr>
        <w:t>Senāta 2016. gada 29. septembra lēmums lietā Nr. </w:t>
      </w:r>
      <w:hyperlink r:id="rId28" w:history="1">
        <w:r w:rsidRPr="00011C0A">
          <w:rPr>
            <w:rStyle w:val="Hyperlink"/>
            <w:i/>
            <w:iCs/>
          </w:rPr>
          <w:t>SKK</w:t>
        </w:r>
        <w:r w:rsidR="00011C0A" w:rsidRPr="00011C0A">
          <w:rPr>
            <w:rStyle w:val="Hyperlink"/>
            <w:lang w:eastAsia="lv-LV"/>
          </w:rPr>
          <w:noBreakHyphen/>
        </w:r>
        <w:r w:rsidRPr="00011C0A">
          <w:rPr>
            <w:rStyle w:val="Hyperlink"/>
            <w:i/>
            <w:iCs/>
          </w:rPr>
          <w:t>190/2016</w:t>
        </w:r>
      </w:hyperlink>
      <w:r w:rsidR="00011C0A">
        <w:rPr>
          <w:i/>
          <w:iCs/>
        </w:rPr>
        <w:t xml:space="preserve">, </w:t>
      </w:r>
      <w:r w:rsidR="00011C0A" w:rsidRPr="00011C0A">
        <w:rPr>
          <w:bCs/>
          <w:i/>
          <w:iCs/>
        </w:rPr>
        <w:t>11816003310</w:t>
      </w:r>
      <w:r w:rsidRPr="00424707">
        <w:t>). Par būtiska kaitējuma esību var liecināt arī cits amatpersonas izdarīts noziedzīgs nodarījums (</w:t>
      </w:r>
      <w:r w:rsidRPr="00424707">
        <w:rPr>
          <w:i/>
          <w:iCs/>
        </w:rPr>
        <w:t>Senāta 2014. gada 18. februāra lēmums lietā Nr. </w:t>
      </w:r>
      <w:hyperlink r:id="rId29" w:history="1">
        <w:r w:rsidRPr="00011C0A">
          <w:rPr>
            <w:rStyle w:val="Hyperlink"/>
            <w:i/>
            <w:iCs/>
          </w:rPr>
          <w:t>SKK</w:t>
        </w:r>
        <w:r w:rsidR="00011C0A" w:rsidRPr="00011C0A">
          <w:rPr>
            <w:rStyle w:val="Hyperlink"/>
            <w:i/>
            <w:iCs/>
          </w:rPr>
          <w:noBreakHyphen/>
        </w:r>
        <w:r w:rsidRPr="00011C0A">
          <w:rPr>
            <w:rStyle w:val="Hyperlink"/>
            <w:i/>
            <w:iCs/>
          </w:rPr>
          <w:t>1/2014</w:t>
        </w:r>
      </w:hyperlink>
      <w:r w:rsidR="00011C0A">
        <w:rPr>
          <w:i/>
          <w:iCs/>
        </w:rPr>
        <w:t xml:space="preserve">, </w:t>
      </w:r>
      <w:r w:rsidR="00011C0A" w:rsidRPr="00011C0A">
        <w:rPr>
          <w:i/>
          <w:iCs/>
        </w:rPr>
        <w:t>16870003006</w:t>
      </w:r>
      <w:r w:rsidRPr="00424707">
        <w:t>).</w:t>
      </w:r>
    </w:p>
    <w:p w14:paraId="7702727A" w14:textId="6D403B98" w:rsidR="004941AF" w:rsidRPr="00424707" w:rsidRDefault="004941AF" w:rsidP="00424707">
      <w:pPr>
        <w:shd w:val="clear" w:color="auto" w:fill="FFFFFF"/>
        <w:spacing w:line="276" w:lineRule="auto"/>
        <w:ind w:firstLine="720"/>
        <w:jc w:val="both"/>
      </w:pPr>
      <w:r w:rsidRPr="00424707">
        <w:t>Valsts noslēpuma statusa noteikšana ir saistīta ar to, ka tā izpaušana vai nozaudēšana var radīt kaitējumu valsts drošībai, ekonomiskajām vai politiskajām interesēm (</w:t>
      </w:r>
      <w:r w:rsidRPr="00424707">
        <w:rPr>
          <w:i/>
          <w:iCs/>
        </w:rPr>
        <w:t xml:space="preserve">likuma </w:t>
      </w:r>
      <w:r w:rsidR="00011C0A">
        <w:rPr>
          <w:i/>
          <w:iCs/>
        </w:rPr>
        <w:t>„</w:t>
      </w:r>
      <w:r w:rsidRPr="00424707">
        <w:rPr>
          <w:i/>
          <w:iCs/>
        </w:rPr>
        <w:t>Par valsts noslēpumu” 2. panta pirmā daļa</w:t>
      </w:r>
      <w:r w:rsidRPr="00424707">
        <w:t>). Proti, valsts noslēpuma aprites kārtības pārkāpumi vienmēr rada tā izpaušanas vai nozaudēšanas risku. Tomēr šā riska iestāšanās iespējamība un reālās sekas ir atkarīgas</w:t>
      </w:r>
      <w:r w:rsidR="00577EEE" w:rsidRPr="00424707">
        <w:t xml:space="preserve"> arī</w:t>
      </w:r>
      <w:r w:rsidRPr="00424707">
        <w:t xml:space="preserve"> no valsts noslēpuma aprites kārtības pārkāpuma izdarīšanas ilguma, veida un vietas, ārpus minētās kārtības nonākušo valsts noslēpuma objektu daudzuma, kā arī tā, kāda ir konkrētā valsts noslēpuma objekta slepenības un tādējādi arī svarīguma pakāpe.</w:t>
      </w:r>
    </w:p>
    <w:p w14:paraId="33EEA8EF" w14:textId="474FFC7E" w:rsidR="004941AF" w:rsidRPr="00424707" w:rsidRDefault="004941AF" w:rsidP="00424707">
      <w:pPr>
        <w:shd w:val="clear" w:color="auto" w:fill="FFFFFF"/>
        <w:spacing w:line="276" w:lineRule="auto"/>
        <w:ind w:firstLine="720"/>
        <w:jc w:val="both"/>
      </w:pPr>
      <w:r w:rsidRPr="00424707">
        <w:t xml:space="preserve">Apelācijas instances tiesa ir pievienojusies pirmās instances tiesas secinājumiem par to, ka apsūdzētā </w:t>
      </w:r>
      <w:r w:rsidR="006B4B99">
        <w:t>[pers. A]</w:t>
      </w:r>
      <w:r w:rsidRPr="00424707">
        <w:t xml:space="preserve"> darbības radījušas būtisku kaitējumu pārvaldes kārtībai, jo ievērojami apdraudētas operatīvās darbības intereses. Proti, citām personām pieejamā vietā glabāti valsts noslēpuma objekti, kas satur informāciju par </w:t>
      </w:r>
      <w:r w:rsidR="00D501E5">
        <w:t>[valsts drošības iestādes B]</w:t>
      </w:r>
      <w:r w:rsidRPr="00424707">
        <w:t xml:space="preserve"> operatīvās darbības metodēm. Tādējādi apelācijas instances tiesa pamatoti saistījusi būtiska </w:t>
      </w:r>
      <w:r w:rsidRPr="00424707">
        <w:lastRenderedPageBreak/>
        <w:t>kaitējuma rašanos ar valsts noslēpuma slepenības pakāpi,</w:t>
      </w:r>
      <w:r w:rsidR="00577EEE" w:rsidRPr="00424707">
        <w:t xml:space="preserve"> nelikumīgi glabāto dokumentu satura nozīmību</w:t>
      </w:r>
      <w:r w:rsidRPr="00424707">
        <w:t xml:space="preserve"> un izdarītā pārkāpuma veidu – glabāšan</w:t>
      </w:r>
      <w:r w:rsidR="00577EEE" w:rsidRPr="00424707">
        <w:t>as ilgumu</w:t>
      </w:r>
      <w:r w:rsidRPr="00424707">
        <w:t>.</w:t>
      </w:r>
    </w:p>
    <w:p w14:paraId="05921C0E" w14:textId="514B0A65" w:rsidR="000D29D9" w:rsidRDefault="004941AF" w:rsidP="00424707">
      <w:pPr>
        <w:shd w:val="clear" w:color="auto" w:fill="FFFFFF"/>
        <w:spacing w:line="276" w:lineRule="auto"/>
        <w:ind w:firstLine="720"/>
        <w:jc w:val="both"/>
      </w:pPr>
      <w:r w:rsidRPr="00424707">
        <w:t>Ievērojot minēto, Senāts secina, ka apelācijas instances tiesa, kvalificēt apsūdzētā izdarītās noziedzīgās darbības, ir pareizi piemērojusi Krimināllikuma 318. panta pirmo daļu.</w:t>
      </w:r>
    </w:p>
    <w:p w14:paraId="6ECA9D55" w14:textId="77777777" w:rsidR="00011C0A" w:rsidRPr="00424707" w:rsidRDefault="00011C0A" w:rsidP="00424707">
      <w:pPr>
        <w:shd w:val="clear" w:color="auto" w:fill="FFFFFF"/>
        <w:spacing w:line="276" w:lineRule="auto"/>
        <w:ind w:firstLine="720"/>
        <w:jc w:val="both"/>
      </w:pPr>
    </w:p>
    <w:p w14:paraId="02D393F4" w14:textId="32EE4917" w:rsidR="004941AF" w:rsidRDefault="000D29D9" w:rsidP="00424707">
      <w:pPr>
        <w:shd w:val="clear" w:color="auto" w:fill="FFFFFF"/>
        <w:spacing w:line="276" w:lineRule="auto"/>
        <w:ind w:firstLine="720"/>
        <w:jc w:val="both"/>
      </w:pPr>
      <w:r w:rsidRPr="00424707">
        <w:t>[8]</w:t>
      </w:r>
      <w:r w:rsidR="00011C0A">
        <w:t> </w:t>
      </w:r>
      <w:r w:rsidRPr="00424707">
        <w:t xml:space="preserve">Ņemot vērā, ka apelācijas instances tiesa, kvalificējot apsūdzētā </w:t>
      </w:r>
      <w:r w:rsidR="006B4B99">
        <w:t>[pers. A]</w:t>
      </w:r>
      <w:r w:rsidRPr="00424707">
        <w:t xml:space="preserve"> nodarījumu </w:t>
      </w:r>
      <w:r w:rsidR="00F36848" w:rsidRPr="00424707">
        <w:t>ir nepareizi piemērojusi</w:t>
      </w:r>
      <w:r w:rsidRPr="00424707">
        <w:t xml:space="preserve"> Krimināllikuma 85. panta otr</w:t>
      </w:r>
      <w:r w:rsidR="00F36848" w:rsidRPr="00424707">
        <w:t>o</w:t>
      </w:r>
      <w:r w:rsidRPr="00424707">
        <w:t xml:space="preserve"> daļ</w:t>
      </w:r>
      <w:r w:rsidR="00F36848" w:rsidRPr="00424707">
        <w:t>u</w:t>
      </w:r>
      <w:r w:rsidR="00711E4A" w:rsidRPr="00424707">
        <w:t xml:space="preserve">, savukārt apsūdzība </w:t>
      </w:r>
      <w:r w:rsidR="006B4B99">
        <w:t>[pers. A]</w:t>
      </w:r>
      <w:r w:rsidR="00711E4A" w:rsidRPr="00424707">
        <w:t xml:space="preserve"> ir celta par noziedzīgiem nodarījumiem, kas izdarīti ideālā kopībā, apelācijas instances tiesas lēmums </w:t>
      </w:r>
      <w:r w:rsidRPr="00424707">
        <w:t>ir atceļams</w:t>
      </w:r>
      <w:r w:rsidR="00711E4A" w:rsidRPr="00424707">
        <w:t xml:space="preserve"> pilnībā</w:t>
      </w:r>
      <w:r w:rsidRPr="00424707">
        <w:t>.</w:t>
      </w:r>
    </w:p>
    <w:p w14:paraId="29957907" w14:textId="77777777" w:rsidR="00011C0A" w:rsidRPr="00424707" w:rsidRDefault="00011C0A" w:rsidP="00424707">
      <w:pPr>
        <w:shd w:val="clear" w:color="auto" w:fill="FFFFFF"/>
        <w:spacing w:line="276" w:lineRule="auto"/>
        <w:ind w:firstLine="720"/>
        <w:jc w:val="both"/>
      </w:pPr>
    </w:p>
    <w:p w14:paraId="09DFB828" w14:textId="260FDDD0" w:rsidR="004941AF" w:rsidRPr="00424707" w:rsidRDefault="004941AF" w:rsidP="00424707">
      <w:pPr>
        <w:shd w:val="clear" w:color="auto" w:fill="FFFFFF"/>
        <w:spacing w:line="276" w:lineRule="auto"/>
        <w:ind w:firstLine="720"/>
        <w:jc w:val="both"/>
      </w:pPr>
      <w:r w:rsidRPr="00424707">
        <w:t>[</w:t>
      </w:r>
      <w:r w:rsidR="00711E4A" w:rsidRPr="00424707">
        <w:t>9</w:t>
      </w:r>
      <w:r w:rsidRPr="00424707">
        <w:t>]</w:t>
      </w:r>
      <w:r w:rsidR="00011C0A">
        <w:t> </w:t>
      </w:r>
      <w:r w:rsidRPr="00424707">
        <w:t>Ap</w:t>
      </w:r>
      <w:r w:rsidR="00D56E49" w:rsidRPr="00424707">
        <w:t xml:space="preserve">elācijas instances tiesa atstājusi negrozītus </w:t>
      </w:r>
      <w:r w:rsidR="006B4B99">
        <w:t>[pers. A]</w:t>
      </w:r>
      <w:r w:rsidRPr="00424707">
        <w:t xml:space="preserve"> ar pirmās instances tiesas spriedumu </w:t>
      </w:r>
      <w:r w:rsidR="00D56E49" w:rsidRPr="00424707">
        <w:t>piemērotos</w:t>
      </w:r>
      <w:r w:rsidRPr="00424707">
        <w:t xml:space="preserve"> drošības līdzekļ</w:t>
      </w:r>
      <w:r w:rsidR="00D56E49" w:rsidRPr="00424707">
        <w:t>us</w:t>
      </w:r>
      <w:r w:rsidRPr="00424707">
        <w:t xml:space="preserve"> – dzīvesvietas maiņas paziņošan</w:t>
      </w:r>
      <w:r w:rsidR="00011C0A">
        <w:t>u</w:t>
      </w:r>
      <w:r w:rsidRPr="00424707">
        <w:t xml:space="preserve"> un aizliegum</w:t>
      </w:r>
      <w:r w:rsidR="00011C0A">
        <w:t>u</w:t>
      </w:r>
      <w:r w:rsidRPr="00424707">
        <w:t xml:space="preserve"> izbraukt no valsts.</w:t>
      </w:r>
    </w:p>
    <w:p w14:paraId="66A89911" w14:textId="797390C4" w:rsidR="004941AF" w:rsidRDefault="004941AF" w:rsidP="001E5EA9">
      <w:pPr>
        <w:shd w:val="clear" w:color="auto" w:fill="FFFFFF"/>
        <w:spacing w:line="276" w:lineRule="auto"/>
        <w:ind w:firstLine="720"/>
        <w:jc w:val="both"/>
      </w:pPr>
      <w:r w:rsidRPr="00424707">
        <w:t>Senāts atzīst, ka</w:t>
      </w:r>
      <w:r w:rsidR="001E5EA9">
        <w:t>,</w:t>
      </w:r>
      <w:r w:rsidRPr="00424707">
        <w:t xml:space="preserve"> </w:t>
      </w:r>
      <w:r w:rsidR="001E5EA9">
        <w:t xml:space="preserve">atceļot apelācijas instances tiesas nolēmumu, apsūdzētajam </w:t>
      </w:r>
      <w:r w:rsidR="006B4B99">
        <w:t>[pers. A]</w:t>
      </w:r>
      <w:r w:rsidR="001E5EA9" w:rsidRPr="00424707">
        <w:t xml:space="preserve"> </w:t>
      </w:r>
      <w:r w:rsidR="001E5EA9">
        <w:t xml:space="preserve">turpināma </w:t>
      </w:r>
      <w:r w:rsidR="001E5EA9" w:rsidRPr="001E5EA9">
        <w:t>minēt</w:t>
      </w:r>
      <w:r w:rsidR="001E5EA9">
        <w:t>o</w:t>
      </w:r>
      <w:r w:rsidR="001E5EA9" w:rsidRPr="001E5EA9">
        <w:t xml:space="preserve"> drošības līdzekļ</w:t>
      </w:r>
      <w:r w:rsidR="001E5EA9">
        <w:t>u piemērošana.</w:t>
      </w:r>
      <w:r w:rsidR="001E5EA9" w:rsidRPr="001E5EA9">
        <w:t xml:space="preserve"> </w:t>
      </w:r>
      <w:r w:rsidR="001E5EA9">
        <w:t xml:space="preserve">Piemērotie drošības līdzekļi </w:t>
      </w:r>
      <w:r w:rsidR="001E5EA9" w:rsidRPr="001E5EA9">
        <w:t xml:space="preserve">ir samērīgi un </w:t>
      </w:r>
      <w:r w:rsidR="001E5EA9">
        <w:t>tie</w:t>
      </w:r>
      <w:r w:rsidR="001E5EA9" w:rsidRPr="001E5EA9">
        <w:t xml:space="preserve"> nepamatoti neierobežo apsūdzētā pamattiesības</w:t>
      </w:r>
      <w:r w:rsidR="001E5EA9">
        <w:t>.</w:t>
      </w:r>
    </w:p>
    <w:p w14:paraId="764A0912" w14:textId="77777777" w:rsidR="00DC7F39" w:rsidRPr="00424707" w:rsidRDefault="00DC7F39" w:rsidP="00424707">
      <w:pPr>
        <w:shd w:val="clear" w:color="auto" w:fill="FFFFFF"/>
        <w:spacing w:line="276" w:lineRule="auto"/>
        <w:ind w:firstLine="720"/>
        <w:jc w:val="both"/>
      </w:pPr>
    </w:p>
    <w:p w14:paraId="6D051D65" w14:textId="6A720104" w:rsidR="004941AF" w:rsidRDefault="004941AF" w:rsidP="00424707">
      <w:pPr>
        <w:shd w:val="clear" w:color="auto" w:fill="FFFFFF"/>
        <w:spacing w:line="276" w:lineRule="auto"/>
        <w:jc w:val="center"/>
        <w:rPr>
          <w:b/>
        </w:rPr>
      </w:pPr>
      <w:r w:rsidRPr="00424707">
        <w:rPr>
          <w:b/>
        </w:rPr>
        <w:t>Rezolutīvā daļa</w:t>
      </w:r>
    </w:p>
    <w:p w14:paraId="1A9112F6" w14:textId="77777777" w:rsidR="00DC7F39" w:rsidRPr="00475145" w:rsidRDefault="00DC7F39" w:rsidP="00424707">
      <w:pPr>
        <w:shd w:val="clear" w:color="auto" w:fill="FFFFFF"/>
        <w:spacing w:line="276" w:lineRule="auto"/>
        <w:jc w:val="center"/>
        <w:rPr>
          <w:bCs/>
        </w:rPr>
      </w:pPr>
    </w:p>
    <w:p w14:paraId="7845A2C0" w14:textId="77777777" w:rsidR="004941AF" w:rsidRPr="00424707" w:rsidRDefault="004941AF" w:rsidP="00424707">
      <w:pPr>
        <w:shd w:val="clear" w:color="auto" w:fill="FFFFFF"/>
        <w:spacing w:line="276" w:lineRule="auto"/>
        <w:ind w:firstLine="720"/>
        <w:jc w:val="both"/>
      </w:pPr>
      <w:r w:rsidRPr="00424707">
        <w:t>Pamatojoties uz Kriminālprocesa likuma 585. pantu un 587. panta pirmās daļas 2. punktu, Senāts</w:t>
      </w:r>
    </w:p>
    <w:p w14:paraId="228191B8" w14:textId="77777777" w:rsidR="004941AF" w:rsidRPr="00424707" w:rsidRDefault="004941AF" w:rsidP="00424707">
      <w:pPr>
        <w:shd w:val="clear" w:color="auto" w:fill="FFFFFF"/>
        <w:spacing w:line="276" w:lineRule="auto"/>
        <w:jc w:val="center"/>
        <w:rPr>
          <w:b/>
        </w:rPr>
      </w:pPr>
    </w:p>
    <w:p w14:paraId="5FBFFDF5" w14:textId="77777777" w:rsidR="004941AF" w:rsidRPr="00424707" w:rsidRDefault="004941AF" w:rsidP="00424707">
      <w:pPr>
        <w:shd w:val="clear" w:color="auto" w:fill="FFFFFF"/>
        <w:spacing w:line="276" w:lineRule="auto"/>
        <w:jc w:val="center"/>
        <w:rPr>
          <w:b/>
        </w:rPr>
      </w:pPr>
      <w:r w:rsidRPr="00424707">
        <w:rPr>
          <w:b/>
        </w:rPr>
        <w:t>nolēma</w:t>
      </w:r>
    </w:p>
    <w:p w14:paraId="637E9018" w14:textId="77777777" w:rsidR="004941AF" w:rsidRPr="00424707" w:rsidRDefault="004941AF" w:rsidP="00424707">
      <w:pPr>
        <w:shd w:val="clear" w:color="auto" w:fill="FFFFFF"/>
        <w:spacing w:line="276" w:lineRule="auto"/>
        <w:jc w:val="both"/>
        <w:rPr>
          <w:b/>
        </w:rPr>
      </w:pPr>
    </w:p>
    <w:p w14:paraId="7767690A" w14:textId="23F08B46" w:rsidR="004941AF" w:rsidRPr="00424707" w:rsidRDefault="004941AF" w:rsidP="00424707">
      <w:pPr>
        <w:spacing w:line="276" w:lineRule="auto"/>
        <w:ind w:firstLine="709"/>
        <w:jc w:val="both"/>
        <w:rPr>
          <w:shd w:val="clear" w:color="auto" w:fill="FFFFFF"/>
        </w:rPr>
      </w:pPr>
      <w:r w:rsidRPr="00475145">
        <w:t xml:space="preserve">atcelt </w:t>
      </w:r>
      <w:r w:rsidR="009A7235">
        <w:t>[..]</w:t>
      </w:r>
      <w:r w:rsidRPr="00475145">
        <w:t xml:space="preserve"> apgabaltiesas </w:t>
      </w:r>
      <w:r w:rsidRPr="00475145">
        <w:rPr>
          <w:shd w:val="clear" w:color="auto" w:fill="FFFFFF"/>
        </w:rPr>
        <w:t xml:space="preserve">2024. gada </w:t>
      </w:r>
      <w:r w:rsidR="009A7235">
        <w:rPr>
          <w:shd w:val="clear" w:color="auto" w:fill="FFFFFF"/>
        </w:rPr>
        <w:t>[..]</w:t>
      </w:r>
      <w:r w:rsidRPr="00475145">
        <w:rPr>
          <w:shd w:val="clear" w:color="auto" w:fill="FFFFFF"/>
        </w:rPr>
        <w:t xml:space="preserve"> lēmumu </w:t>
      </w:r>
      <w:r w:rsidR="00711E4A" w:rsidRPr="00475145">
        <w:rPr>
          <w:shd w:val="clear" w:color="auto" w:fill="FFFFFF"/>
        </w:rPr>
        <w:t xml:space="preserve">pilnībā un nosūtīt lietu jaunai izskatīšanai </w:t>
      </w:r>
      <w:r w:rsidR="009A7235">
        <w:rPr>
          <w:shd w:val="clear" w:color="auto" w:fill="FFFFFF"/>
        </w:rPr>
        <w:t>[..]</w:t>
      </w:r>
      <w:r w:rsidR="00711E4A" w:rsidRPr="00475145">
        <w:rPr>
          <w:shd w:val="clear" w:color="auto" w:fill="FFFFFF"/>
        </w:rPr>
        <w:t xml:space="preserve"> </w:t>
      </w:r>
      <w:r w:rsidR="00011C0A" w:rsidRPr="00475145">
        <w:rPr>
          <w:shd w:val="clear" w:color="auto" w:fill="FFFFFF"/>
        </w:rPr>
        <w:t>apgabalties</w:t>
      </w:r>
      <w:r w:rsidR="00011C0A" w:rsidRPr="00011C0A">
        <w:rPr>
          <w:shd w:val="clear" w:color="auto" w:fill="FFFFFF"/>
        </w:rPr>
        <w:t>ā</w:t>
      </w:r>
      <w:r w:rsidR="00A45D5A">
        <w:rPr>
          <w:shd w:val="clear" w:color="auto" w:fill="FFFFFF"/>
        </w:rPr>
        <w:t>;</w:t>
      </w:r>
    </w:p>
    <w:p w14:paraId="55358CA2" w14:textId="6EC19997" w:rsidR="004941AF" w:rsidRDefault="00A45D5A" w:rsidP="009A7235">
      <w:pPr>
        <w:spacing w:line="276" w:lineRule="auto"/>
        <w:ind w:firstLine="709"/>
        <w:jc w:val="both"/>
        <w:rPr>
          <w:shd w:val="clear" w:color="auto" w:fill="FFFFFF"/>
        </w:rPr>
      </w:pPr>
      <w:r>
        <w:rPr>
          <w:shd w:val="clear" w:color="auto" w:fill="FFFFFF"/>
        </w:rPr>
        <w:t>a</w:t>
      </w:r>
      <w:r w:rsidR="004941AF" w:rsidRPr="00424707">
        <w:rPr>
          <w:shd w:val="clear" w:color="auto" w:fill="FFFFFF"/>
        </w:rPr>
        <w:t xml:space="preserve">psūdzētajam </w:t>
      </w:r>
      <w:r w:rsidR="009A7235">
        <w:rPr>
          <w:shd w:val="clear" w:color="auto" w:fill="FFFFFF"/>
        </w:rPr>
        <w:t xml:space="preserve">[pers. A] </w:t>
      </w:r>
      <w:r w:rsidR="004941AF" w:rsidRPr="00424707">
        <w:rPr>
          <w:shd w:val="clear" w:color="auto" w:fill="FFFFFF"/>
        </w:rPr>
        <w:t>turpināt piemērot drošības līdzekļus – dzīvesvietas maiņas paziņošan</w:t>
      </w:r>
      <w:r w:rsidR="00A6466A">
        <w:rPr>
          <w:shd w:val="clear" w:color="auto" w:fill="FFFFFF"/>
        </w:rPr>
        <w:t>u</w:t>
      </w:r>
      <w:r w:rsidR="004941AF" w:rsidRPr="00424707">
        <w:rPr>
          <w:shd w:val="clear" w:color="auto" w:fill="FFFFFF"/>
        </w:rPr>
        <w:t xml:space="preserve"> un aizliegumu izbraukt no valsts.</w:t>
      </w:r>
    </w:p>
    <w:p w14:paraId="29AEF8B4" w14:textId="77777777" w:rsidR="00011C0A" w:rsidRPr="00424707" w:rsidRDefault="00011C0A" w:rsidP="00424707">
      <w:pPr>
        <w:spacing w:line="276" w:lineRule="auto"/>
        <w:ind w:firstLine="709"/>
        <w:jc w:val="both"/>
        <w:rPr>
          <w:shd w:val="clear" w:color="auto" w:fill="FFFFFF"/>
        </w:rPr>
      </w:pPr>
    </w:p>
    <w:p w14:paraId="79CC15AA" w14:textId="142E30D1" w:rsidR="00256801" w:rsidRPr="009A7235" w:rsidRDefault="004941AF" w:rsidP="009A7235">
      <w:pPr>
        <w:spacing w:line="276" w:lineRule="auto"/>
        <w:ind w:firstLine="709"/>
        <w:jc w:val="both"/>
        <w:rPr>
          <w:shd w:val="clear" w:color="auto" w:fill="FFFFFF"/>
        </w:rPr>
      </w:pPr>
      <w:r w:rsidRPr="00424707">
        <w:rPr>
          <w:shd w:val="clear" w:color="auto" w:fill="FFFFFF"/>
        </w:rPr>
        <w:t>Lēmums nav pārsūdzams.</w:t>
      </w:r>
    </w:p>
    <w:sectPr w:rsidR="00256801" w:rsidRPr="009A7235" w:rsidSect="00E044C5">
      <w:footerReference w:type="default" r:id="rId30"/>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8C16B" w14:textId="77777777" w:rsidR="00E907DA" w:rsidRDefault="00E907DA" w:rsidP="00661A59">
      <w:r>
        <w:separator/>
      </w:r>
    </w:p>
  </w:endnote>
  <w:endnote w:type="continuationSeparator" w:id="0">
    <w:p w14:paraId="1BB61B2E" w14:textId="77777777" w:rsidR="00E907DA" w:rsidRDefault="00E907DA" w:rsidP="00661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337405"/>
      <w:docPartObj>
        <w:docPartGallery w:val="Page Numbers (Bottom of Page)"/>
        <w:docPartUnique/>
      </w:docPartObj>
    </w:sdtPr>
    <w:sdtEndPr/>
    <w:sdtContent>
      <w:sdt>
        <w:sdtPr>
          <w:id w:val="1728636285"/>
          <w:docPartObj>
            <w:docPartGallery w:val="Page Numbers (Top of Page)"/>
            <w:docPartUnique/>
          </w:docPartObj>
        </w:sdtPr>
        <w:sdtEndPr/>
        <w:sdtContent>
          <w:p w14:paraId="2A33B29E" w14:textId="726D7B48" w:rsidR="00661A59" w:rsidRPr="00661A59" w:rsidRDefault="00661A59" w:rsidP="00B72E15">
            <w:pPr>
              <w:pStyle w:val="Footer"/>
              <w:jc w:val="center"/>
            </w:pPr>
            <w:r w:rsidRPr="00B72E15">
              <w:rPr>
                <w:sz w:val="20"/>
                <w:szCs w:val="20"/>
              </w:rPr>
              <w:fldChar w:fldCharType="begin"/>
            </w:r>
            <w:r w:rsidRPr="00B72E15">
              <w:rPr>
                <w:sz w:val="20"/>
                <w:szCs w:val="20"/>
              </w:rPr>
              <w:instrText xml:space="preserve"> PAGE </w:instrText>
            </w:r>
            <w:r w:rsidRPr="00B72E15">
              <w:rPr>
                <w:sz w:val="20"/>
                <w:szCs w:val="20"/>
              </w:rPr>
              <w:fldChar w:fldCharType="separate"/>
            </w:r>
            <w:r w:rsidRPr="00B72E15">
              <w:rPr>
                <w:noProof/>
                <w:sz w:val="20"/>
                <w:szCs w:val="20"/>
              </w:rPr>
              <w:t>2</w:t>
            </w:r>
            <w:r w:rsidRPr="00B72E15">
              <w:rPr>
                <w:sz w:val="20"/>
                <w:szCs w:val="20"/>
              </w:rPr>
              <w:fldChar w:fldCharType="end"/>
            </w:r>
            <w:r w:rsidRPr="00B72E15">
              <w:rPr>
                <w:sz w:val="20"/>
                <w:szCs w:val="20"/>
              </w:rPr>
              <w:t xml:space="preserve"> no </w:t>
            </w:r>
            <w:r w:rsidRPr="00B72E15">
              <w:rPr>
                <w:sz w:val="20"/>
                <w:szCs w:val="20"/>
              </w:rPr>
              <w:fldChar w:fldCharType="begin"/>
            </w:r>
            <w:r w:rsidRPr="00B72E15">
              <w:rPr>
                <w:sz w:val="20"/>
                <w:szCs w:val="20"/>
              </w:rPr>
              <w:instrText xml:space="preserve"> NUMPAGES  </w:instrText>
            </w:r>
            <w:r w:rsidRPr="00B72E15">
              <w:rPr>
                <w:sz w:val="20"/>
                <w:szCs w:val="20"/>
              </w:rPr>
              <w:fldChar w:fldCharType="separate"/>
            </w:r>
            <w:r w:rsidRPr="00B72E15">
              <w:rPr>
                <w:noProof/>
                <w:sz w:val="20"/>
                <w:szCs w:val="20"/>
              </w:rPr>
              <w:t>2</w:t>
            </w:r>
            <w:r w:rsidRPr="00B72E15">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A5B14" w14:textId="77777777" w:rsidR="00E907DA" w:rsidRDefault="00E907DA" w:rsidP="00661A59">
      <w:r>
        <w:separator/>
      </w:r>
    </w:p>
  </w:footnote>
  <w:footnote w:type="continuationSeparator" w:id="0">
    <w:p w14:paraId="3B86F7E7" w14:textId="77777777" w:rsidR="00E907DA" w:rsidRDefault="00E907DA" w:rsidP="00661A59">
      <w:r>
        <w:continuationSeparator/>
      </w:r>
    </w:p>
  </w:footnote>
  <w:footnote w:id="1">
    <w:p w14:paraId="7DEE308A" w14:textId="77777777" w:rsidR="006B4B99" w:rsidRDefault="006B4B99" w:rsidP="006B4B99">
      <w:pPr>
        <w:pStyle w:val="FootnoteText"/>
      </w:pPr>
      <w:r>
        <w:rPr>
          <w:rStyle w:val="FootnoteReference"/>
        </w:rPr>
        <w:footnoteRef/>
      </w:r>
      <w:r>
        <w:t xml:space="preserve"> Slēgtas lietas statuss.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num w:numId="1" w16cid:durableId="1800880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06F08"/>
    <w:rsid w:val="00011C0A"/>
    <w:rsid w:val="00026124"/>
    <w:rsid w:val="00034FE3"/>
    <w:rsid w:val="00050D11"/>
    <w:rsid w:val="00052B49"/>
    <w:rsid w:val="00053DFD"/>
    <w:rsid w:val="00060A7D"/>
    <w:rsid w:val="000642B8"/>
    <w:rsid w:val="000929CA"/>
    <w:rsid w:val="000A1289"/>
    <w:rsid w:val="000D29D9"/>
    <w:rsid w:val="001011BC"/>
    <w:rsid w:val="00104B5C"/>
    <w:rsid w:val="001071C4"/>
    <w:rsid w:val="00113F04"/>
    <w:rsid w:val="001174BB"/>
    <w:rsid w:val="00121274"/>
    <w:rsid w:val="0012510B"/>
    <w:rsid w:val="00132362"/>
    <w:rsid w:val="00132415"/>
    <w:rsid w:val="0013554D"/>
    <w:rsid w:val="00144862"/>
    <w:rsid w:val="00146F61"/>
    <w:rsid w:val="001711D2"/>
    <w:rsid w:val="00177A7F"/>
    <w:rsid w:val="00197092"/>
    <w:rsid w:val="001B61AB"/>
    <w:rsid w:val="001C065E"/>
    <w:rsid w:val="001C3412"/>
    <w:rsid w:val="001D15B9"/>
    <w:rsid w:val="001D255E"/>
    <w:rsid w:val="001E5EA9"/>
    <w:rsid w:val="001E680E"/>
    <w:rsid w:val="001F5722"/>
    <w:rsid w:val="00214621"/>
    <w:rsid w:val="002363E0"/>
    <w:rsid w:val="002554E4"/>
    <w:rsid w:val="00256801"/>
    <w:rsid w:val="00296A93"/>
    <w:rsid w:val="002C0414"/>
    <w:rsid w:val="002D032B"/>
    <w:rsid w:val="003176E4"/>
    <w:rsid w:val="0035344D"/>
    <w:rsid w:val="003614CC"/>
    <w:rsid w:val="00361E97"/>
    <w:rsid w:val="00363EC5"/>
    <w:rsid w:val="00365A31"/>
    <w:rsid w:val="003813C7"/>
    <w:rsid w:val="00394DFA"/>
    <w:rsid w:val="003A5C4A"/>
    <w:rsid w:val="003B51BD"/>
    <w:rsid w:val="003B54AE"/>
    <w:rsid w:val="003C1C93"/>
    <w:rsid w:val="003C52A7"/>
    <w:rsid w:val="003F39AB"/>
    <w:rsid w:val="00423664"/>
    <w:rsid w:val="00424707"/>
    <w:rsid w:val="00430D70"/>
    <w:rsid w:val="00436E25"/>
    <w:rsid w:val="00440D76"/>
    <w:rsid w:val="00447EE6"/>
    <w:rsid w:val="00475145"/>
    <w:rsid w:val="00476471"/>
    <w:rsid w:val="004849A8"/>
    <w:rsid w:val="00485143"/>
    <w:rsid w:val="004941AF"/>
    <w:rsid w:val="004A2A94"/>
    <w:rsid w:val="004B2866"/>
    <w:rsid w:val="004B2A94"/>
    <w:rsid w:val="004B7938"/>
    <w:rsid w:val="004B7939"/>
    <w:rsid w:val="004F0A7F"/>
    <w:rsid w:val="00506836"/>
    <w:rsid w:val="00511328"/>
    <w:rsid w:val="0051462B"/>
    <w:rsid w:val="00542188"/>
    <w:rsid w:val="00547C02"/>
    <w:rsid w:val="00567624"/>
    <w:rsid w:val="00577EEE"/>
    <w:rsid w:val="005820BA"/>
    <w:rsid w:val="00592A24"/>
    <w:rsid w:val="005C663B"/>
    <w:rsid w:val="005C68A5"/>
    <w:rsid w:val="005E0084"/>
    <w:rsid w:val="005E6909"/>
    <w:rsid w:val="00604D7A"/>
    <w:rsid w:val="006266C1"/>
    <w:rsid w:val="00647DF4"/>
    <w:rsid w:val="00650A16"/>
    <w:rsid w:val="00650B1E"/>
    <w:rsid w:val="00653F7D"/>
    <w:rsid w:val="00654C2B"/>
    <w:rsid w:val="00655EB5"/>
    <w:rsid w:val="00661A59"/>
    <w:rsid w:val="006842E5"/>
    <w:rsid w:val="006860CE"/>
    <w:rsid w:val="00691748"/>
    <w:rsid w:val="006A0E8E"/>
    <w:rsid w:val="006A1DBA"/>
    <w:rsid w:val="006B4B99"/>
    <w:rsid w:val="006D63C8"/>
    <w:rsid w:val="006E255A"/>
    <w:rsid w:val="006E481E"/>
    <w:rsid w:val="006E5B90"/>
    <w:rsid w:val="006E62E0"/>
    <w:rsid w:val="00704D8C"/>
    <w:rsid w:val="00711E4A"/>
    <w:rsid w:val="00713F45"/>
    <w:rsid w:val="00745F79"/>
    <w:rsid w:val="00762D73"/>
    <w:rsid w:val="007642D7"/>
    <w:rsid w:val="00765685"/>
    <w:rsid w:val="00770CF5"/>
    <w:rsid w:val="00780D31"/>
    <w:rsid w:val="00792ED9"/>
    <w:rsid w:val="007A5242"/>
    <w:rsid w:val="007B0B89"/>
    <w:rsid w:val="007B4BD4"/>
    <w:rsid w:val="007D171E"/>
    <w:rsid w:val="007E4D0A"/>
    <w:rsid w:val="007F62BB"/>
    <w:rsid w:val="00810AAC"/>
    <w:rsid w:val="00832E5F"/>
    <w:rsid w:val="008526D9"/>
    <w:rsid w:val="00860185"/>
    <w:rsid w:val="00864554"/>
    <w:rsid w:val="00884BED"/>
    <w:rsid w:val="00892A99"/>
    <w:rsid w:val="00894F5A"/>
    <w:rsid w:val="008A2D46"/>
    <w:rsid w:val="008B4A80"/>
    <w:rsid w:val="008B5278"/>
    <w:rsid w:val="008C3DAA"/>
    <w:rsid w:val="008D46E7"/>
    <w:rsid w:val="008E4073"/>
    <w:rsid w:val="008E41EE"/>
    <w:rsid w:val="008E5669"/>
    <w:rsid w:val="008E70D5"/>
    <w:rsid w:val="008F0317"/>
    <w:rsid w:val="008F61EF"/>
    <w:rsid w:val="00923B0C"/>
    <w:rsid w:val="00936B58"/>
    <w:rsid w:val="00954396"/>
    <w:rsid w:val="009646C8"/>
    <w:rsid w:val="009766DE"/>
    <w:rsid w:val="00984810"/>
    <w:rsid w:val="009905FC"/>
    <w:rsid w:val="009A4AD5"/>
    <w:rsid w:val="009A7235"/>
    <w:rsid w:val="009B3A73"/>
    <w:rsid w:val="009B40D1"/>
    <w:rsid w:val="009C5068"/>
    <w:rsid w:val="009F16D0"/>
    <w:rsid w:val="009F2209"/>
    <w:rsid w:val="009F2BB4"/>
    <w:rsid w:val="00A17D2D"/>
    <w:rsid w:val="00A25AE6"/>
    <w:rsid w:val="00A45D5A"/>
    <w:rsid w:val="00A55A14"/>
    <w:rsid w:val="00A6466A"/>
    <w:rsid w:val="00A816FF"/>
    <w:rsid w:val="00A84D78"/>
    <w:rsid w:val="00A974EE"/>
    <w:rsid w:val="00AA6EAB"/>
    <w:rsid w:val="00AB3C58"/>
    <w:rsid w:val="00AB4ACB"/>
    <w:rsid w:val="00AC401D"/>
    <w:rsid w:val="00AC5730"/>
    <w:rsid w:val="00AC61E5"/>
    <w:rsid w:val="00AC6B84"/>
    <w:rsid w:val="00AE7CE9"/>
    <w:rsid w:val="00B01416"/>
    <w:rsid w:val="00B36B69"/>
    <w:rsid w:val="00B51CE4"/>
    <w:rsid w:val="00B54F4B"/>
    <w:rsid w:val="00B63698"/>
    <w:rsid w:val="00B72E15"/>
    <w:rsid w:val="00B7390D"/>
    <w:rsid w:val="00B80448"/>
    <w:rsid w:val="00B90328"/>
    <w:rsid w:val="00BA028B"/>
    <w:rsid w:val="00BD107A"/>
    <w:rsid w:val="00BD180E"/>
    <w:rsid w:val="00BE31E0"/>
    <w:rsid w:val="00BE6208"/>
    <w:rsid w:val="00BF14CC"/>
    <w:rsid w:val="00BF489D"/>
    <w:rsid w:val="00C02D34"/>
    <w:rsid w:val="00C03BE4"/>
    <w:rsid w:val="00C0721A"/>
    <w:rsid w:val="00C5023B"/>
    <w:rsid w:val="00C55E04"/>
    <w:rsid w:val="00C56AD7"/>
    <w:rsid w:val="00C60316"/>
    <w:rsid w:val="00C91B81"/>
    <w:rsid w:val="00C92EF9"/>
    <w:rsid w:val="00CA6D91"/>
    <w:rsid w:val="00CB703A"/>
    <w:rsid w:val="00CC7777"/>
    <w:rsid w:val="00CE4663"/>
    <w:rsid w:val="00CE59B5"/>
    <w:rsid w:val="00D0133D"/>
    <w:rsid w:val="00D057CD"/>
    <w:rsid w:val="00D16B54"/>
    <w:rsid w:val="00D30E51"/>
    <w:rsid w:val="00D31064"/>
    <w:rsid w:val="00D44D27"/>
    <w:rsid w:val="00D501E5"/>
    <w:rsid w:val="00D56E49"/>
    <w:rsid w:val="00D77632"/>
    <w:rsid w:val="00D90281"/>
    <w:rsid w:val="00D92F16"/>
    <w:rsid w:val="00D973FD"/>
    <w:rsid w:val="00DA0802"/>
    <w:rsid w:val="00DA1AAD"/>
    <w:rsid w:val="00DA267E"/>
    <w:rsid w:val="00DA6C62"/>
    <w:rsid w:val="00DB1F88"/>
    <w:rsid w:val="00DC0D9D"/>
    <w:rsid w:val="00DC3973"/>
    <w:rsid w:val="00DC7F39"/>
    <w:rsid w:val="00DD6D38"/>
    <w:rsid w:val="00DE21DF"/>
    <w:rsid w:val="00DE4EC9"/>
    <w:rsid w:val="00DF0F82"/>
    <w:rsid w:val="00DF2667"/>
    <w:rsid w:val="00DF5791"/>
    <w:rsid w:val="00E01C7E"/>
    <w:rsid w:val="00E044C5"/>
    <w:rsid w:val="00E33EE4"/>
    <w:rsid w:val="00E367DA"/>
    <w:rsid w:val="00E40AC3"/>
    <w:rsid w:val="00E454CE"/>
    <w:rsid w:val="00E51246"/>
    <w:rsid w:val="00E76BD6"/>
    <w:rsid w:val="00E81849"/>
    <w:rsid w:val="00E907DA"/>
    <w:rsid w:val="00EA13F8"/>
    <w:rsid w:val="00EB14AB"/>
    <w:rsid w:val="00ED04D0"/>
    <w:rsid w:val="00ED4F6F"/>
    <w:rsid w:val="00EE7D34"/>
    <w:rsid w:val="00F00D8E"/>
    <w:rsid w:val="00F3261B"/>
    <w:rsid w:val="00F36848"/>
    <w:rsid w:val="00F453AA"/>
    <w:rsid w:val="00F56213"/>
    <w:rsid w:val="00F6539C"/>
    <w:rsid w:val="00F75582"/>
    <w:rsid w:val="00F91F7A"/>
    <w:rsid w:val="00FA054A"/>
    <w:rsid w:val="00FA1AE1"/>
    <w:rsid w:val="00FA5155"/>
    <w:rsid w:val="00FA708A"/>
    <w:rsid w:val="00FB56C6"/>
    <w:rsid w:val="00FC075A"/>
    <w:rsid w:val="00FD01B0"/>
    <w:rsid w:val="00FD5B20"/>
    <w:rsid w:val="00FD6F45"/>
    <w:rsid w:val="00FE1B02"/>
    <w:rsid w:val="00FE1C38"/>
    <w:rsid w:val="00FF1A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D46DF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Header">
    <w:name w:val="header"/>
    <w:basedOn w:val="Normal"/>
    <w:link w:val="HeaderChar"/>
    <w:uiPriority w:val="99"/>
    <w:unhideWhenUsed/>
    <w:rsid w:val="00661A59"/>
    <w:pPr>
      <w:tabs>
        <w:tab w:val="center" w:pos="4320"/>
        <w:tab w:val="right" w:pos="8640"/>
      </w:tabs>
    </w:pPr>
  </w:style>
  <w:style w:type="character" w:customStyle="1" w:styleId="HeaderChar">
    <w:name w:val="Header Char"/>
    <w:basedOn w:val="DefaultParagraphFont"/>
    <w:link w:val="Header"/>
    <w:uiPriority w:val="99"/>
    <w:rsid w:val="00661A59"/>
    <w:rPr>
      <w:rFonts w:eastAsia="Times New Roman" w:cs="Times New Roman"/>
      <w:szCs w:val="24"/>
      <w:lang w:val="lv-LV" w:eastAsia="ru-RU"/>
    </w:rPr>
  </w:style>
  <w:style w:type="paragraph" w:styleId="Footer">
    <w:name w:val="footer"/>
    <w:basedOn w:val="Normal"/>
    <w:link w:val="FooterChar"/>
    <w:uiPriority w:val="99"/>
    <w:unhideWhenUsed/>
    <w:rsid w:val="00661A59"/>
    <w:pPr>
      <w:tabs>
        <w:tab w:val="center" w:pos="4320"/>
        <w:tab w:val="right" w:pos="8640"/>
      </w:tabs>
    </w:pPr>
  </w:style>
  <w:style w:type="character" w:customStyle="1" w:styleId="FooterChar">
    <w:name w:val="Footer Char"/>
    <w:basedOn w:val="DefaultParagraphFont"/>
    <w:link w:val="Footer"/>
    <w:uiPriority w:val="99"/>
    <w:rsid w:val="00661A59"/>
    <w:rPr>
      <w:rFonts w:eastAsia="Times New Roman" w:cs="Times New Roman"/>
      <w:szCs w:val="24"/>
      <w:lang w:val="lv-LV" w:eastAsia="ru-RU"/>
    </w:rPr>
  </w:style>
  <w:style w:type="character" w:styleId="CommentReference">
    <w:name w:val="annotation reference"/>
    <w:basedOn w:val="DefaultParagraphFont"/>
    <w:uiPriority w:val="99"/>
    <w:semiHidden/>
    <w:unhideWhenUsed/>
    <w:rsid w:val="001174BB"/>
    <w:rPr>
      <w:sz w:val="16"/>
      <w:szCs w:val="16"/>
    </w:rPr>
  </w:style>
  <w:style w:type="paragraph" w:styleId="CommentText">
    <w:name w:val="annotation text"/>
    <w:basedOn w:val="Normal"/>
    <w:link w:val="CommentTextChar"/>
    <w:uiPriority w:val="99"/>
    <w:unhideWhenUsed/>
    <w:rsid w:val="001174BB"/>
    <w:rPr>
      <w:sz w:val="20"/>
      <w:szCs w:val="20"/>
    </w:rPr>
  </w:style>
  <w:style w:type="character" w:customStyle="1" w:styleId="CommentTextChar">
    <w:name w:val="Comment Text Char"/>
    <w:basedOn w:val="DefaultParagraphFont"/>
    <w:link w:val="CommentText"/>
    <w:uiPriority w:val="99"/>
    <w:rsid w:val="001174BB"/>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1174BB"/>
    <w:rPr>
      <w:b/>
      <w:bCs/>
    </w:rPr>
  </w:style>
  <w:style w:type="character" w:customStyle="1" w:styleId="CommentSubjectChar">
    <w:name w:val="Comment Subject Char"/>
    <w:basedOn w:val="CommentTextChar"/>
    <w:link w:val="CommentSubject"/>
    <w:uiPriority w:val="99"/>
    <w:semiHidden/>
    <w:rsid w:val="001174BB"/>
    <w:rPr>
      <w:rFonts w:eastAsia="Times New Roman" w:cs="Times New Roman"/>
      <w:b/>
      <w:bCs/>
      <w:sz w:val="20"/>
      <w:szCs w:val="20"/>
      <w:lang w:val="lv-LV" w:eastAsia="ru-RU"/>
    </w:rPr>
  </w:style>
  <w:style w:type="character" w:styleId="Hyperlink">
    <w:name w:val="Hyperlink"/>
    <w:basedOn w:val="DefaultParagraphFont"/>
    <w:uiPriority w:val="99"/>
    <w:unhideWhenUsed/>
    <w:rsid w:val="00256801"/>
    <w:rPr>
      <w:color w:val="0563C1" w:themeColor="hyperlink"/>
      <w:u w:val="single"/>
    </w:rPr>
  </w:style>
  <w:style w:type="character" w:styleId="UnresolvedMention">
    <w:name w:val="Unresolved Mention"/>
    <w:basedOn w:val="DefaultParagraphFont"/>
    <w:uiPriority w:val="99"/>
    <w:semiHidden/>
    <w:unhideWhenUsed/>
    <w:rsid w:val="008E70D5"/>
    <w:rPr>
      <w:color w:val="605E5C"/>
      <w:shd w:val="clear" w:color="auto" w:fill="E1DFDD"/>
    </w:rPr>
  </w:style>
  <w:style w:type="paragraph" w:styleId="Revision">
    <w:name w:val="Revision"/>
    <w:hidden/>
    <w:uiPriority w:val="99"/>
    <w:semiHidden/>
    <w:rsid w:val="00424707"/>
    <w:pPr>
      <w:spacing w:after="0" w:line="240" w:lineRule="auto"/>
    </w:pPr>
    <w:rPr>
      <w:rFonts w:eastAsia="Times New Roman" w:cs="Times New Roman"/>
      <w:szCs w:val="24"/>
      <w:lang w:val="lv-LV" w:eastAsia="ru-RU"/>
    </w:rPr>
  </w:style>
  <w:style w:type="character" w:styleId="FollowedHyperlink">
    <w:name w:val="FollowedHyperlink"/>
    <w:basedOn w:val="DefaultParagraphFont"/>
    <w:uiPriority w:val="99"/>
    <w:semiHidden/>
    <w:unhideWhenUsed/>
    <w:rsid w:val="00B72E15"/>
    <w:rPr>
      <w:color w:val="954F72" w:themeColor="followedHyperlink"/>
      <w:u w:val="single"/>
    </w:rPr>
  </w:style>
  <w:style w:type="paragraph" w:styleId="FootnoteText">
    <w:name w:val="footnote text"/>
    <w:basedOn w:val="Normal"/>
    <w:link w:val="FootnoteTextChar"/>
    <w:uiPriority w:val="99"/>
    <w:semiHidden/>
    <w:unhideWhenUsed/>
    <w:rsid w:val="006B4B99"/>
    <w:rPr>
      <w:sz w:val="20"/>
      <w:szCs w:val="20"/>
    </w:rPr>
  </w:style>
  <w:style w:type="character" w:customStyle="1" w:styleId="FootnoteTextChar">
    <w:name w:val="Footnote Text Char"/>
    <w:basedOn w:val="DefaultParagraphFont"/>
    <w:link w:val="FootnoteText"/>
    <w:uiPriority w:val="99"/>
    <w:semiHidden/>
    <w:rsid w:val="006B4B99"/>
    <w:rPr>
      <w:rFonts w:eastAsia="Times New Roman" w:cs="Times New Roman"/>
      <w:sz w:val="20"/>
      <w:szCs w:val="20"/>
      <w:lang w:val="lv-LV" w:eastAsia="ru-RU"/>
    </w:rPr>
  </w:style>
  <w:style w:type="character" w:styleId="FootnoteReference">
    <w:name w:val="footnote reference"/>
    <w:basedOn w:val="DefaultParagraphFont"/>
    <w:uiPriority w:val="99"/>
    <w:semiHidden/>
    <w:unhideWhenUsed/>
    <w:rsid w:val="006B4B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863491">
      <w:bodyDiv w:val="1"/>
      <w:marLeft w:val="0"/>
      <w:marRight w:val="0"/>
      <w:marTop w:val="0"/>
      <w:marBottom w:val="0"/>
      <w:divBdr>
        <w:top w:val="none" w:sz="0" w:space="0" w:color="auto"/>
        <w:left w:val="none" w:sz="0" w:space="0" w:color="auto"/>
        <w:bottom w:val="none" w:sz="0" w:space="0" w:color="auto"/>
        <w:right w:val="none" w:sz="0" w:space="0" w:color="auto"/>
      </w:divBdr>
      <w:divsChild>
        <w:div w:id="864713700">
          <w:marLeft w:val="0"/>
          <w:marRight w:val="0"/>
          <w:marTop w:val="0"/>
          <w:marBottom w:val="0"/>
          <w:divBdr>
            <w:top w:val="none" w:sz="0" w:space="0" w:color="auto"/>
            <w:left w:val="none" w:sz="0" w:space="0" w:color="auto"/>
            <w:bottom w:val="none" w:sz="0" w:space="0" w:color="auto"/>
            <w:right w:val="none" w:sz="0" w:space="0" w:color="auto"/>
          </w:divBdr>
        </w:div>
      </w:divsChild>
    </w:div>
    <w:div w:id="1810249602">
      <w:bodyDiv w:val="1"/>
      <w:marLeft w:val="0"/>
      <w:marRight w:val="0"/>
      <w:marTop w:val="0"/>
      <w:marBottom w:val="0"/>
      <w:divBdr>
        <w:top w:val="none" w:sz="0" w:space="0" w:color="auto"/>
        <w:left w:val="none" w:sz="0" w:space="0" w:color="auto"/>
        <w:bottom w:val="none" w:sz="0" w:space="0" w:color="auto"/>
        <w:right w:val="none" w:sz="0" w:space="0" w:color="auto"/>
      </w:divBdr>
      <w:divsChild>
        <w:div w:id="3628984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tv.tiesa.gov.lv/web/viewer.html?file=https://www.satv.tiesa.gov.lv/wp-content/uploads/2021/08/2021-34-01_lemums_par_tiesvedibas_izbeigsanu.pdf" TargetMode="External"/><Relationship Id="rId13" Type="http://schemas.openxmlformats.org/officeDocument/2006/relationships/hyperlink" Target="https://titania.saeima.lv/LIVS12/saeimalivs12.nsf/0/BDC12C82811832ABC2257FB700394E1C?OpenDocument" TargetMode="External"/><Relationship Id="rId18" Type="http://schemas.openxmlformats.org/officeDocument/2006/relationships/hyperlink" Target="https://titania.saeima.lv/LIVS12/saeimalivs12.nsf/0/BDC12C82811832ABC2257FB700394E1C?OpenDocument" TargetMode="External"/><Relationship Id="rId26" Type="http://schemas.openxmlformats.org/officeDocument/2006/relationships/hyperlink" Target="https://www.at.gov.lv/downloadlawfile/5897" TargetMode="External"/><Relationship Id="rId3" Type="http://schemas.openxmlformats.org/officeDocument/2006/relationships/settings" Target="settings.xml"/><Relationship Id="rId21" Type="http://schemas.openxmlformats.org/officeDocument/2006/relationships/hyperlink" Target="https://titania.saeima.lv/livs/saeimasnotikumi.nsf/0/CB55E26E58A91576C2258855004A1D81?OpenDocument&amp;srcv=dt" TargetMode="External"/><Relationship Id="rId7" Type="http://schemas.openxmlformats.org/officeDocument/2006/relationships/hyperlink" Target="https://tezaurs.lv/spiego%C5%A1ana" TargetMode="External"/><Relationship Id="rId12" Type="http://schemas.openxmlformats.org/officeDocument/2006/relationships/hyperlink" Target="https://titania.saeima.lv/livs/saeimasnotikumi.nsf/0/EFA49E54B53A7B5EC2257F950030B537?OpenDocument&amp;srcv=dt" TargetMode="External"/><Relationship Id="rId17" Type="http://schemas.openxmlformats.org/officeDocument/2006/relationships/hyperlink" Target="https://titania.saeima.lv/livs/saeimasnotikumi.nsf/0/6C3C7B5F01FE2881C2257F950030C51B?OpenDocument&amp;srcv=dt" TargetMode="External"/><Relationship Id="rId25" Type="http://schemas.openxmlformats.org/officeDocument/2006/relationships/hyperlink" Target="https://www.at.gov.lv/downloadlawfile/10848" TargetMode="External"/><Relationship Id="rId2" Type="http://schemas.openxmlformats.org/officeDocument/2006/relationships/styles" Target="styles.xml"/><Relationship Id="rId16" Type="http://schemas.openxmlformats.org/officeDocument/2006/relationships/hyperlink" Target="https://titania.saeima.lv/livs/saeimasnotikumi.nsf/0/EFA49E54B53A7B5EC2257F950030B537?OpenDocument&amp;srcv=dt" TargetMode="External"/><Relationship Id="rId20" Type="http://schemas.openxmlformats.org/officeDocument/2006/relationships/hyperlink" Target="https://titania.saeima.lv/livs/saeimasnotikumi.nsf/0/0938D0AF32600C7FC225884F0030049F?OpenDocument&amp;srcv=dt" TargetMode="External"/><Relationship Id="rId29" Type="http://schemas.openxmlformats.org/officeDocument/2006/relationships/hyperlink" Target="https://www.at.gov.lv/downloadlawfile/373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itania.saeima.lv/LIVS12/SaeimaLIVS12.nsf/0/13D2CFD52167C4B8C2257F7A0050A6F1?OpenDocument" TargetMode="External"/><Relationship Id="rId24" Type="http://schemas.openxmlformats.org/officeDocument/2006/relationships/hyperlink" Target="https://hudoc.echr.coe.int/eng?i=001-177665"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titania.saeima.lv/LIVS12/SaeimaLIVS12.nsf/0/1E98BDABA1279243C2257F7D003D59A6?OpenDocument" TargetMode="External"/><Relationship Id="rId23" Type="http://schemas.openxmlformats.org/officeDocument/2006/relationships/hyperlink" Target="https://hudoc.echr.coe.int/eng?i=001-227636" TargetMode="External"/><Relationship Id="rId28" Type="http://schemas.openxmlformats.org/officeDocument/2006/relationships/hyperlink" Target="https://www.at.gov.lv/downloadlawfile/3640" TargetMode="External"/><Relationship Id="rId10" Type="http://schemas.openxmlformats.org/officeDocument/2006/relationships/hyperlink" Target="https://titania.saeima.lv/LIVS12/saeimalivs12.nsf/0/30EDC058E283C869C2257F6A003B9620?OpenDocument" TargetMode="External"/><Relationship Id="rId19" Type="http://schemas.openxmlformats.org/officeDocument/2006/relationships/hyperlink" Target="https://titania.saeima.lv/livs/saeimasnotikumi.nsf/0/96724C7DA1D7D2A2C22587EC005093E5?OpenDocument&amp;srcv=dt"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itania.saeima.lv/LIVS12/saeimalivs12.nsf/webSasaiste?OpenView&amp;restricttocategory=514/Lp12" TargetMode="External"/><Relationship Id="rId14" Type="http://schemas.openxmlformats.org/officeDocument/2006/relationships/hyperlink" Target="https://titania.saeima.lv/LIVS12/saeimalivs12.nsf/webSasaiste?OpenView&amp;restricttocategory=514/Lp12" TargetMode="External"/><Relationship Id="rId22" Type="http://schemas.openxmlformats.org/officeDocument/2006/relationships/hyperlink" Target="https://www.satv.tiesa.gov.lv/web/viewer.html?file=/wp-content/uploads/2018/06/2018-10-0103_Spriedums.pdf" TargetMode="External"/><Relationship Id="rId27" Type="http://schemas.openxmlformats.org/officeDocument/2006/relationships/hyperlink" Target="https://www.at.gov.lv/downloadlawfile/7795"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24921</Words>
  <Characters>14205</Characters>
  <Application>Microsoft Office Word</Application>
  <DocSecurity>0</DocSecurity>
  <Lines>118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2026-02-10T06:38:00Z</dcterms:created>
  <dcterms:modified xsi:type="dcterms:W3CDTF">2026-02-26T12:45:00Z</dcterms:modified>
</cp:coreProperties>
</file>