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7AB5" w14:textId="77777777" w:rsidR="005823B7" w:rsidRPr="00DB0B3A" w:rsidRDefault="005823B7" w:rsidP="005823B7">
      <w:pPr>
        <w:spacing w:line="276" w:lineRule="auto"/>
        <w:jc w:val="both"/>
        <w:rPr>
          <w:b/>
          <w:bCs/>
        </w:rPr>
      </w:pPr>
      <w:r w:rsidRPr="00DB0B3A">
        <w:rPr>
          <w:b/>
          <w:bCs/>
        </w:rPr>
        <w:t>Drošības līdzekļa – apcietinājuma – piemērošana pēc iztiesāšanas uzsākšanas</w:t>
      </w:r>
    </w:p>
    <w:p w14:paraId="7A5D3449" w14:textId="77777777" w:rsidR="005823B7" w:rsidRPr="00DB0B3A" w:rsidRDefault="005823B7" w:rsidP="005823B7">
      <w:pPr>
        <w:spacing w:line="276" w:lineRule="auto"/>
        <w:jc w:val="both"/>
      </w:pPr>
      <w:r w:rsidRPr="00DB0B3A">
        <w:t>Pēc savas iniciatīvas piemērojot drošības līdzekli – apcietinājumu – pēc iztiesāšanas uzsākšanas (Kriminālprocesa likuma 276.</w:t>
      </w:r>
      <w:r>
        <w:t> </w:t>
      </w:r>
      <w:r w:rsidRPr="00DB0B3A">
        <w:t>pants), tiesa nodrošina personas tiesības būt informētai un tikt uzklausītai par izskatāmo jautājumu.</w:t>
      </w:r>
    </w:p>
    <w:p w14:paraId="64ABE01C" w14:textId="77777777" w:rsidR="005823B7" w:rsidRPr="00DB0B3A" w:rsidRDefault="005823B7" w:rsidP="005823B7">
      <w:pPr>
        <w:spacing w:line="276" w:lineRule="auto"/>
        <w:jc w:val="both"/>
      </w:pPr>
      <w:r w:rsidRPr="00DB0B3A">
        <w:t>Tiesas atzinums par</w:t>
      </w:r>
      <w:r>
        <w:t xml:space="preserve"> šāda </w:t>
      </w:r>
      <w:r w:rsidRPr="00DB0B3A">
        <w:t>procesuālā piespiedu līdzekļa piemērošanas pamatu un tā izvēli ir motivējams.</w:t>
      </w:r>
    </w:p>
    <w:p w14:paraId="65137DE4" w14:textId="77777777" w:rsidR="005823B7" w:rsidRDefault="005823B7" w:rsidP="006E6ADE">
      <w:pPr>
        <w:spacing w:line="276" w:lineRule="auto"/>
        <w:jc w:val="center"/>
        <w:rPr>
          <w:b/>
        </w:rPr>
      </w:pPr>
    </w:p>
    <w:p w14:paraId="30EF74F0" w14:textId="59C491A0" w:rsidR="00447EE6" w:rsidRPr="006E6ADE" w:rsidRDefault="00447EE6" w:rsidP="00CA70A7">
      <w:pPr>
        <w:spacing w:line="276" w:lineRule="auto"/>
        <w:jc w:val="center"/>
        <w:rPr>
          <w:b/>
        </w:rPr>
      </w:pPr>
      <w:r w:rsidRPr="006E6ADE">
        <w:rPr>
          <w:b/>
        </w:rPr>
        <w:t>Latvijas Republikas Senāt</w:t>
      </w:r>
      <w:r w:rsidR="006E6ADE" w:rsidRPr="006E6ADE">
        <w:rPr>
          <w:b/>
        </w:rPr>
        <w:t>a</w:t>
      </w:r>
    </w:p>
    <w:p w14:paraId="52747035" w14:textId="645E7694" w:rsidR="006E6ADE" w:rsidRPr="006E6ADE" w:rsidRDefault="006E6ADE" w:rsidP="00CA70A7">
      <w:pPr>
        <w:spacing w:line="276" w:lineRule="auto"/>
        <w:jc w:val="center"/>
        <w:rPr>
          <w:b/>
        </w:rPr>
      </w:pPr>
      <w:r w:rsidRPr="006E6ADE">
        <w:rPr>
          <w:b/>
          <w:lang w:eastAsia="lv-LV"/>
        </w:rPr>
        <w:t>Krimināllietu departamenta</w:t>
      </w:r>
      <w:r>
        <w:rPr>
          <w:b/>
          <w:lang w:eastAsia="lv-LV"/>
        </w:rPr>
        <w:t xml:space="preserve"> senatores</w:t>
      </w:r>
    </w:p>
    <w:p w14:paraId="1644486E" w14:textId="6448BDBF" w:rsidR="006E6ADE" w:rsidRPr="006E6ADE" w:rsidRDefault="006E6ADE" w:rsidP="00CA70A7">
      <w:pPr>
        <w:spacing w:line="276" w:lineRule="auto"/>
        <w:jc w:val="center"/>
        <w:rPr>
          <w:b/>
        </w:rPr>
      </w:pPr>
      <w:r w:rsidRPr="006E6ADE">
        <w:rPr>
          <w:b/>
        </w:rPr>
        <w:t xml:space="preserve">2025. gada </w:t>
      </w:r>
      <w:r>
        <w:rPr>
          <w:b/>
        </w:rPr>
        <w:t>[..]</w:t>
      </w:r>
    </w:p>
    <w:p w14:paraId="369F3193" w14:textId="69C7FF9F" w:rsidR="006E6ADE" w:rsidRPr="006E6ADE" w:rsidRDefault="005B4AEB" w:rsidP="00CA70A7">
      <w:pPr>
        <w:spacing w:line="276" w:lineRule="auto"/>
        <w:jc w:val="center"/>
        <w:rPr>
          <w:b/>
          <w:lang w:eastAsia="lv-LV"/>
        </w:rPr>
      </w:pPr>
      <w:r w:rsidRPr="006E6ADE">
        <w:rPr>
          <w:b/>
        </w:rPr>
        <w:t>LĒMUMS</w:t>
      </w:r>
      <w:r w:rsidR="00CA70A7" w:rsidRPr="006E6ADE">
        <w:rPr>
          <w:b/>
          <w:vertAlign w:val="superscript"/>
        </w:rPr>
        <w:footnoteReference w:id="1"/>
      </w:r>
    </w:p>
    <w:p w14:paraId="45FC6628" w14:textId="033038B1" w:rsidR="006E6ADE" w:rsidRDefault="006E6ADE" w:rsidP="00CA70A7">
      <w:pPr>
        <w:spacing w:line="276" w:lineRule="auto"/>
        <w:jc w:val="center"/>
        <w:rPr>
          <w:b/>
          <w:lang w:eastAsia="lv-LV"/>
        </w:rPr>
      </w:pPr>
      <w:r w:rsidRPr="006E6ADE">
        <w:rPr>
          <w:b/>
          <w:lang w:eastAsia="lv-LV"/>
        </w:rPr>
        <w:t>Lieta Nr. </w:t>
      </w:r>
      <w:r>
        <w:rPr>
          <w:b/>
          <w:lang w:eastAsia="lv-LV"/>
        </w:rPr>
        <w:t>[..]</w:t>
      </w:r>
      <w:r w:rsidRPr="006E6ADE">
        <w:rPr>
          <w:b/>
          <w:lang w:eastAsia="lv-LV"/>
        </w:rPr>
        <w:t>, SKK-</w:t>
      </w:r>
      <w:r>
        <w:rPr>
          <w:b/>
          <w:lang w:eastAsia="lv-LV"/>
        </w:rPr>
        <w:t>[K]</w:t>
      </w:r>
      <w:r w:rsidRPr="006E6ADE">
        <w:rPr>
          <w:b/>
          <w:lang w:eastAsia="lv-LV"/>
        </w:rPr>
        <w:t>/2025</w:t>
      </w:r>
    </w:p>
    <w:p w14:paraId="51CA2E06" w14:textId="1479D6D3" w:rsidR="006E6ADE" w:rsidRPr="006E6ADE" w:rsidRDefault="006E6ADE" w:rsidP="00CA70A7">
      <w:pPr>
        <w:spacing w:line="276" w:lineRule="auto"/>
        <w:jc w:val="center"/>
        <w:rPr>
          <w:bCs/>
          <w:lang w:eastAsia="lv-LV"/>
        </w:rPr>
      </w:pPr>
      <w:r w:rsidRPr="006E6ADE">
        <w:rPr>
          <w:bCs/>
          <w:lang w:eastAsia="lv-LV"/>
        </w:rPr>
        <w:t>ECLI:LV:AT:2025:</w:t>
      </w:r>
      <w:r>
        <w:rPr>
          <w:bCs/>
          <w:lang w:eastAsia="lv-LV"/>
        </w:rPr>
        <w:t>[..]</w:t>
      </w:r>
    </w:p>
    <w:p w14:paraId="1609D6F5" w14:textId="25BBCB18" w:rsidR="00447EE6" w:rsidRDefault="005B4AEB" w:rsidP="00355666">
      <w:pPr>
        <w:spacing w:before="360" w:line="276" w:lineRule="auto"/>
        <w:ind w:firstLine="720"/>
        <w:jc w:val="both"/>
        <w:rPr>
          <w:lang w:eastAsia="lv-LV"/>
        </w:rPr>
      </w:pPr>
      <w:r>
        <w:t xml:space="preserve">Latvijas Republikas Augstākās tiesas senatore Anita Poļakova izskatīja slēgtā tiesas sēdē apsūdzētā </w:t>
      </w:r>
      <w:r w:rsidR="006E6ADE">
        <w:t>[pers. A]</w:t>
      </w:r>
      <w:r>
        <w:t xml:space="preserve"> aizstāvja zvērināta advokāta Artūra </w:t>
      </w:r>
      <w:proofErr w:type="spellStart"/>
      <w:r>
        <w:t>Parfjonova</w:t>
      </w:r>
      <w:proofErr w:type="spellEnd"/>
      <w:r>
        <w:t xml:space="preserve"> sūdzību par </w:t>
      </w:r>
      <w:r w:rsidR="006E6ADE">
        <w:t>[..]</w:t>
      </w:r>
      <w:r>
        <w:t xml:space="preserve"> apgabaltiesas 2025. gada </w:t>
      </w:r>
      <w:r w:rsidR="006E6ADE">
        <w:t>[..]</w:t>
      </w:r>
      <w:r>
        <w:t xml:space="preserve"> lēmumu</w:t>
      </w:r>
      <w:r w:rsidR="00865F39">
        <w:t xml:space="preserve"> par drošības līdzekļa apcietinājuma piemērošanu </w:t>
      </w:r>
      <w:r w:rsidR="006E6ADE">
        <w:t>[pers. A]</w:t>
      </w:r>
      <w:r w:rsidR="00865F39">
        <w:t xml:space="preserve"> un viņa meklēšanas izsludināšanu</w:t>
      </w:r>
      <w:r>
        <w:t>.</w:t>
      </w:r>
    </w:p>
    <w:p w14:paraId="12882064" w14:textId="77777777" w:rsidR="00447EE6" w:rsidRPr="00011547" w:rsidRDefault="00447EE6" w:rsidP="00355666">
      <w:pPr>
        <w:spacing w:before="360" w:after="360" w:line="276" w:lineRule="auto"/>
        <w:jc w:val="center"/>
        <w:rPr>
          <w:shd w:val="clear" w:color="auto" w:fill="FFFFFF"/>
        </w:rPr>
      </w:pPr>
      <w:r w:rsidRPr="00011547">
        <w:rPr>
          <w:b/>
          <w:shd w:val="clear" w:color="auto" w:fill="FFFFFF"/>
        </w:rPr>
        <w:t>Aprakstošā daļa</w:t>
      </w:r>
    </w:p>
    <w:p w14:paraId="0B4F5653" w14:textId="4B086BEF" w:rsidR="00447EE6" w:rsidRDefault="00447EE6" w:rsidP="006E6ADE">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3748C5">
        <w:rPr>
          <w:shd w:val="clear" w:color="auto" w:fill="FFFFFF"/>
        </w:rPr>
        <w:t xml:space="preserve">] Ar </w:t>
      </w:r>
      <w:r w:rsidR="006E6ADE" w:rsidRPr="006E6ADE">
        <w:rPr>
          <w:bCs/>
          <w:shd w:val="clear" w:color="auto" w:fill="FFFFFF"/>
        </w:rPr>
        <w:t xml:space="preserve">[rajona (pilsētas)] </w:t>
      </w:r>
      <w:r w:rsidR="003748C5">
        <w:rPr>
          <w:shd w:val="clear" w:color="auto" w:fill="FFFFFF"/>
        </w:rPr>
        <w:t xml:space="preserve">tiesas 2021. gada </w:t>
      </w:r>
      <w:r w:rsidR="006E6ADE">
        <w:rPr>
          <w:shd w:val="clear" w:color="auto" w:fill="FFFFFF"/>
        </w:rPr>
        <w:t>[..]</w:t>
      </w:r>
      <w:r w:rsidR="003748C5">
        <w:rPr>
          <w:shd w:val="clear" w:color="auto" w:fill="FFFFFF"/>
        </w:rPr>
        <w:t xml:space="preserve"> spriedumu</w:t>
      </w:r>
    </w:p>
    <w:p w14:paraId="1C5EF5DF" w14:textId="28DBB4FE" w:rsidR="003748C5" w:rsidRDefault="003748C5"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[1.1] </w:t>
      </w:r>
      <w:r w:rsidR="006E6ADE">
        <w:rPr>
          <w:shd w:val="clear" w:color="auto" w:fill="FFFFFF"/>
        </w:rPr>
        <w:t>[pers. A]</w:t>
      </w:r>
      <w:r w:rsidR="00F44B95">
        <w:rPr>
          <w:shd w:val="clear" w:color="auto" w:fill="FFFFFF"/>
        </w:rPr>
        <w:t xml:space="preserve">, personas kods </w:t>
      </w:r>
      <w:r w:rsidR="006E6ADE">
        <w:rPr>
          <w:shd w:val="clear" w:color="auto" w:fill="FFFFFF"/>
        </w:rPr>
        <w:t>[..]</w:t>
      </w:r>
      <w:r w:rsidR="00F44B95">
        <w:rPr>
          <w:shd w:val="clear" w:color="auto" w:fill="FFFFFF"/>
        </w:rPr>
        <w:t>,</w:t>
      </w:r>
    </w:p>
    <w:p w14:paraId="2D994870" w14:textId="182F92D3" w:rsidR="00F44B95" w:rsidRDefault="00F44B95"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atzīts par vainīgu Krimināllikuma 176. panta pirmajā daļā paredzēt</w:t>
      </w:r>
      <w:r w:rsidR="00BD428F">
        <w:rPr>
          <w:shd w:val="clear" w:color="auto" w:fill="FFFFFF"/>
        </w:rPr>
        <w:t>aj</w:t>
      </w:r>
      <w:r>
        <w:rPr>
          <w:shd w:val="clear" w:color="auto" w:fill="FFFFFF"/>
        </w:rPr>
        <w:t>ā noziedzīgajā nodarījumā un sodīts ar piespiedu darbu uz 280 stundām.</w:t>
      </w:r>
    </w:p>
    <w:p w14:paraId="26DA2740" w14:textId="52553381" w:rsidR="00F44B95" w:rsidRDefault="00F44B95" w:rsidP="006E6A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Saskaņā ar Krimināllikuma 50. panta piekto daļu</w:t>
      </w:r>
      <w:r w:rsidR="000E125A">
        <w:rPr>
          <w:shd w:val="clear" w:color="auto" w:fill="FFFFFF"/>
        </w:rPr>
        <w:t xml:space="preserve"> </w:t>
      </w:r>
      <w:r w:rsidR="006E6ADE">
        <w:rPr>
          <w:shd w:val="clear" w:color="auto" w:fill="FFFFFF"/>
        </w:rPr>
        <w:t>[pers. A]</w:t>
      </w:r>
      <w:r w:rsidR="000E125A">
        <w:rPr>
          <w:shd w:val="clear" w:color="auto" w:fill="FFFFFF"/>
        </w:rPr>
        <w:t xml:space="preserve"> galīgais sods noteikts,</w:t>
      </w:r>
      <w:r>
        <w:rPr>
          <w:shd w:val="clear" w:color="auto" w:fill="FFFFFF"/>
        </w:rPr>
        <w:t xml:space="preserve"> sodam </w:t>
      </w:r>
      <w:r w:rsidR="000E125A">
        <w:rPr>
          <w:shd w:val="clear" w:color="auto" w:fill="FFFFFF"/>
        </w:rPr>
        <w:t>daļēji pieskaitot sodu, kas viņam noteikts</w:t>
      </w:r>
      <w:r>
        <w:rPr>
          <w:shd w:val="clear" w:color="auto" w:fill="FFFFFF"/>
        </w:rPr>
        <w:t xml:space="preserve"> ar </w:t>
      </w:r>
      <w:r w:rsidR="006E6ADE" w:rsidRPr="006E6ADE">
        <w:rPr>
          <w:bCs/>
          <w:shd w:val="clear" w:color="auto" w:fill="FFFFFF"/>
        </w:rPr>
        <w:t xml:space="preserve">[rajona (pilsētas)] </w:t>
      </w:r>
      <w:r>
        <w:rPr>
          <w:shd w:val="clear" w:color="auto" w:fill="FFFFFF"/>
        </w:rPr>
        <w:t xml:space="preserve">tiesas 2021. gada </w:t>
      </w:r>
      <w:r w:rsidR="006E6ADE">
        <w:rPr>
          <w:shd w:val="clear" w:color="auto" w:fill="FFFFFF"/>
        </w:rPr>
        <w:t>[..]</w:t>
      </w:r>
      <w:r>
        <w:rPr>
          <w:shd w:val="clear" w:color="auto" w:fill="FFFFFF"/>
        </w:rPr>
        <w:t xml:space="preserve"> lēmumu pēc </w:t>
      </w:r>
      <w:r w:rsidR="006E6ADE">
        <w:rPr>
          <w:shd w:val="clear" w:color="auto" w:fill="FFFFFF"/>
        </w:rPr>
        <w:t>[..]</w:t>
      </w:r>
      <w:r>
        <w:rPr>
          <w:shd w:val="clear" w:color="auto" w:fill="FFFFFF"/>
        </w:rPr>
        <w:t xml:space="preserve"> prokuratūras 2021. gada </w:t>
      </w:r>
      <w:r w:rsidR="006E6ADE">
        <w:rPr>
          <w:shd w:val="clear" w:color="auto" w:fill="FFFFFF"/>
        </w:rPr>
        <w:t>[..]</w:t>
      </w:r>
      <w:r>
        <w:rPr>
          <w:shd w:val="clear" w:color="auto" w:fill="FFFFFF"/>
        </w:rPr>
        <w:t xml:space="preserve"> prokurora priekšraksta par sodu un </w:t>
      </w:r>
      <w:r w:rsidR="006E6ADE" w:rsidRPr="006E6ADE">
        <w:rPr>
          <w:bCs/>
          <w:shd w:val="clear" w:color="auto" w:fill="FFFFFF"/>
        </w:rPr>
        <w:t xml:space="preserve">[rajona (pilsētas)] </w:t>
      </w:r>
      <w:r>
        <w:rPr>
          <w:shd w:val="clear" w:color="auto" w:fill="FFFFFF"/>
        </w:rPr>
        <w:t xml:space="preserve">tiesas 2021. gada </w:t>
      </w:r>
      <w:r w:rsidR="006E6ADE">
        <w:rPr>
          <w:shd w:val="clear" w:color="auto" w:fill="FFFFFF"/>
        </w:rPr>
        <w:t>[..]</w:t>
      </w:r>
      <w:r>
        <w:rPr>
          <w:shd w:val="clear" w:color="auto" w:fill="FFFFFF"/>
        </w:rPr>
        <w:t xml:space="preserve"> </w:t>
      </w:r>
      <w:r w:rsidR="0033549A">
        <w:rPr>
          <w:shd w:val="clear" w:color="auto" w:fill="FFFFFF"/>
        </w:rPr>
        <w:t>sprieduma</w:t>
      </w:r>
      <w:r w:rsidR="00B961B8">
        <w:rPr>
          <w:shd w:val="clear" w:color="auto" w:fill="FFFFFF"/>
        </w:rPr>
        <w:t> – brīvības atņemšana uz 2 gadiem un 1 mēnesi, piespiedu darbs uz 420 stundām, probācijas uzraudzība uz 3 gadiem, atņemot transportlīdzekļa vadīšanas tiesības uz 2 gadiem un 6 mēnešiem.</w:t>
      </w:r>
    </w:p>
    <w:p w14:paraId="520E16D8" w14:textId="5D48580B" w:rsidR="00B961B8" w:rsidRDefault="00B961B8" w:rsidP="006E6A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piekto daļu soda izciešanas termiņā </w:t>
      </w:r>
      <w:r w:rsidR="006E6ADE">
        <w:rPr>
          <w:shd w:val="clear" w:color="auto" w:fill="FFFFFF"/>
        </w:rPr>
        <w:t>[pers. A]</w:t>
      </w:r>
      <w:r>
        <w:rPr>
          <w:shd w:val="clear" w:color="auto" w:fill="FFFFFF"/>
        </w:rPr>
        <w:t xml:space="preserve"> ieskaitīts pēc </w:t>
      </w:r>
      <w:r w:rsidR="006E6ADE" w:rsidRPr="006E6ADE">
        <w:rPr>
          <w:bCs/>
          <w:shd w:val="clear" w:color="auto" w:fill="FFFFFF"/>
        </w:rPr>
        <w:t xml:space="preserve">[rajona (pilsētas)] </w:t>
      </w:r>
      <w:r>
        <w:rPr>
          <w:shd w:val="clear" w:color="auto" w:fill="FFFFFF"/>
        </w:rPr>
        <w:t xml:space="preserve">tiesas 2019. gada </w:t>
      </w:r>
      <w:r w:rsidR="006E6ADE">
        <w:rPr>
          <w:shd w:val="clear" w:color="auto" w:fill="FFFFFF"/>
        </w:rPr>
        <w:t>[..]</w:t>
      </w:r>
      <w:r>
        <w:rPr>
          <w:shd w:val="clear" w:color="auto" w:fill="FFFFFF"/>
        </w:rPr>
        <w:t xml:space="preserve"> sprieduma izciestais brīvības atņemšanas sods 1 gads un 6 mēneši, izciestais piespiedu darbs uz 200 stundām un probācijas uzraudzībā pavadītais laiks no 2020. gada </w:t>
      </w:r>
      <w:r w:rsidR="006E6ADE">
        <w:rPr>
          <w:shd w:val="clear" w:color="auto" w:fill="FFFFFF"/>
        </w:rPr>
        <w:t>[..]</w:t>
      </w:r>
      <w:r>
        <w:rPr>
          <w:shd w:val="clear" w:color="auto" w:fill="FFFFFF"/>
        </w:rPr>
        <w:t xml:space="preserve"> līdz 2021. gada </w:t>
      </w:r>
      <w:r w:rsidR="006E6ADE">
        <w:rPr>
          <w:shd w:val="clear" w:color="auto" w:fill="FFFFFF"/>
        </w:rPr>
        <w:t>[..]</w:t>
      </w:r>
      <w:r>
        <w:rPr>
          <w:shd w:val="clear" w:color="auto" w:fill="FFFFFF"/>
        </w:rPr>
        <w:t xml:space="preserve">, pēc </w:t>
      </w:r>
      <w:r w:rsidR="006E6ADE">
        <w:rPr>
          <w:shd w:val="clear" w:color="auto" w:fill="FFFFFF"/>
        </w:rPr>
        <w:t>[..]</w:t>
      </w:r>
      <w:r>
        <w:rPr>
          <w:shd w:val="clear" w:color="auto" w:fill="FFFFFF"/>
        </w:rPr>
        <w:t xml:space="preserve"> prokuratūras 2021. gada </w:t>
      </w:r>
      <w:r w:rsidR="006E6ADE">
        <w:rPr>
          <w:shd w:val="clear" w:color="auto" w:fill="FFFFFF"/>
        </w:rPr>
        <w:t>[..]</w:t>
      </w:r>
      <w:r>
        <w:rPr>
          <w:shd w:val="clear" w:color="auto" w:fill="FFFFFF"/>
        </w:rPr>
        <w:t xml:space="preserve"> prokurora priekšraksta par sodu izciestais papildsods – transportlīdzekļa vadīšanas tiesību atņemšana no 2021. gada </w:t>
      </w:r>
      <w:r w:rsidR="006E6ADE">
        <w:rPr>
          <w:shd w:val="clear" w:color="auto" w:fill="FFFFFF"/>
        </w:rPr>
        <w:t>[..]</w:t>
      </w:r>
      <w:r>
        <w:rPr>
          <w:shd w:val="clear" w:color="auto" w:fill="FFFFFF"/>
        </w:rPr>
        <w:t xml:space="preserve"> līdz 2021. gada </w:t>
      </w:r>
      <w:r w:rsidR="006E6ADE">
        <w:rPr>
          <w:shd w:val="clear" w:color="auto" w:fill="FFFFFF"/>
        </w:rPr>
        <w:t>[..]</w:t>
      </w:r>
      <w:r w:rsidR="00FF26A8">
        <w:rPr>
          <w:shd w:val="clear" w:color="auto" w:fill="FFFFFF"/>
        </w:rPr>
        <w:t>.</w:t>
      </w:r>
    </w:p>
    <w:p w14:paraId="19EC6755" w14:textId="049B04CE" w:rsidR="00FF26A8" w:rsidRDefault="00FF26A8"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55. panta pirmo un trešo daļu brīvības atņemšanas sods </w:t>
      </w:r>
      <w:r w:rsidR="006E6ADE">
        <w:rPr>
          <w:shd w:val="clear" w:color="auto" w:fill="FFFFFF"/>
        </w:rPr>
        <w:t>[pers. A]</w:t>
      </w:r>
      <w:r>
        <w:rPr>
          <w:shd w:val="clear" w:color="auto" w:fill="FFFFFF"/>
        </w:rPr>
        <w:t xml:space="preserve"> noteikts nosacīti ar pārbaudes laiku uz 1 gadu.</w:t>
      </w:r>
    </w:p>
    <w:p w14:paraId="672E0A39" w14:textId="00F58FDF" w:rsidR="00FF26A8" w:rsidRDefault="00FF26A8"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Saskaņā ar Krimināllikuma 55. panta piekto daļu</w:t>
      </w:r>
      <w:r w:rsidR="00601909">
        <w:rPr>
          <w:shd w:val="clear" w:color="auto" w:fill="FFFFFF"/>
        </w:rPr>
        <w:t xml:space="preserve"> papildsodu – probācijas uzraudzība – izpildīt tikai tad, ja tiesa nolemj izpildīt spriedumā noteikto pamatsodu.</w:t>
      </w:r>
    </w:p>
    <w:p w14:paraId="674F03F5" w14:textId="2F7E3C14" w:rsidR="00601909" w:rsidRDefault="00601909"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52. panta ceturto daļu soda izciešanas termiņā </w:t>
      </w:r>
      <w:r w:rsidR="006E6ADE">
        <w:rPr>
          <w:shd w:val="clear" w:color="auto" w:fill="FFFFFF"/>
        </w:rPr>
        <w:t>[pers. A]</w:t>
      </w:r>
      <w:r>
        <w:rPr>
          <w:shd w:val="clear" w:color="auto" w:fill="FFFFFF"/>
        </w:rPr>
        <w:t xml:space="preserve"> ieskaitīts apcietinājumā pavadītais laiks no 2018. gada </w:t>
      </w:r>
      <w:r w:rsidR="006E6ADE">
        <w:rPr>
          <w:shd w:val="clear" w:color="auto" w:fill="FFFFFF"/>
        </w:rPr>
        <w:t>[..]</w:t>
      </w:r>
      <w:r>
        <w:rPr>
          <w:shd w:val="clear" w:color="auto" w:fill="FFFFFF"/>
        </w:rPr>
        <w:t xml:space="preserve"> plkst. 14.00 līdz 2018. gada </w:t>
      </w:r>
      <w:r w:rsidR="006E6ADE">
        <w:rPr>
          <w:shd w:val="clear" w:color="auto" w:fill="FFFFFF"/>
        </w:rPr>
        <w:t>[..]</w:t>
      </w:r>
      <w:r>
        <w:rPr>
          <w:shd w:val="clear" w:color="auto" w:fill="FFFFFF"/>
        </w:rPr>
        <w:t xml:space="preserve"> plkst. 14.00, no 2018. gada </w:t>
      </w:r>
      <w:r w:rsidR="006E6ADE">
        <w:rPr>
          <w:shd w:val="clear" w:color="auto" w:fill="FFFFFF"/>
        </w:rPr>
        <w:t>[..]</w:t>
      </w:r>
      <w:r>
        <w:rPr>
          <w:shd w:val="clear" w:color="auto" w:fill="FFFFFF"/>
        </w:rPr>
        <w:t xml:space="preserve"> līdz 2018. gada </w:t>
      </w:r>
      <w:r w:rsidR="006E6ADE">
        <w:rPr>
          <w:shd w:val="clear" w:color="auto" w:fill="FFFFFF"/>
        </w:rPr>
        <w:t>[..]</w:t>
      </w:r>
    </w:p>
    <w:p w14:paraId="7126B144" w14:textId="5D135FB1" w:rsidR="00601909" w:rsidRDefault="006E6ADE"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601909">
        <w:rPr>
          <w:shd w:val="clear" w:color="auto" w:fill="FFFFFF"/>
        </w:rPr>
        <w:t xml:space="preserve"> drošības līdzeklis kriminālprocesā nav piemērots.</w:t>
      </w:r>
    </w:p>
    <w:p w14:paraId="69D3E869" w14:textId="7AB41EF8" w:rsidR="00601909" w:rsidRDefault="00601909" w:rsidP="006E6ADE">
      <w:pPr>
        <w:pStyle w:val="NormalWeb"/>
        <w:shd w:val="clear" w:color="auto" w:fill="FFFFFF"/>
        <w:spacing w:before="0" w:beforeAutospacing="0" w:after="0" w:afterAutospacing="0" w:line="276" w:lineRule="auto"/>
        <w:ind w:firstLine="720"/>
        <w:jc w:val="both"/>
      </w:pPr>
      <w:r>
        <w:t xml:space="preserve">[1.2] Vēl ar pirmās instances tiesas spriedumu atzīti par vainīgiem un sodīti </w:t>
      </w:r>
      <w:r w:rsidR="006E6ADE">
        <w:t>[pers. B]</w:t>
      </w:r>
      <w:r w:rsidR="000F1483">
        <w:t xml:space="preserve">, </w:t>
      </w:r>
      <w:r w:rsidR="006E6ADE">
        <w:t>[pers. C]</w:t>
      </w:r>
      <w:r w:rsidR="000F1483">
        <w:t>.</w:t>
      </w:r>
    </w:p>
    <w:p w14:paraId="4D06806A" w14:textId="77777777" w:rsidR="00DB4FBE" w:rsidRDefault="00DB4FBE" w:rsidP="00355666">
      <w:pPr>
        <w:pStyle w:val="NormalWeb"/>
        <w:shd w:val="clear" w:color="auto" w:fill="FFFFFF"/>
        <w:spacing w:before="0" w:beforeAutospacing="0" w:after="0" w:afterAutospacing="0" w:line="276" w:lineRule="auto"/>
        <w:ind w:firstLine="720"/>
        <w:jc w:val="both"/>
      </w:pPr>
    </w:p>
    <w:p w14:paraId="018B174C" w14:textId="6B706B4A" w:rsidR="00DB4FBE" w:rsidRDefault="00CD6802" w:rsidP="00CD44FA">
      <w:pPr>
        <w:pStyle w:val="NormalWeb"/>
        <w:shd w:val="clear" w:color="auto" w:fill="FFFFFF"/>
        <w:spacing w:before="0" w:beforeAutospacing="0" w:after="0" w:afterAutospacing="0" w:line="276" w:lineRule="auto"/>
        <w:ind w:firstLine="720"/>
        <w:jc w:val="both"/>
        <w:rPr>
          <w:shd w:val="clear" w:color="auto" w:fill="FFFFFF"/>
        </w:rPr>
      </w:pPr>
      <w:r>
        <w:t xml:space="preserve">[2] Ar </w:t>
      </w:r>
      <w:r w:rsidR="00CD44FA" w:rsidRPr="00CD44FA">
        <w:rPr>
          <w:bCs/>
        </w:rPr>
        <w:t xml:space="preserve">[rajona (pilsētas)] </w:t>
      </w:r>
      <w:r>
        <w:t xml:space="preserve">tiesas </w:t>
      </w:r>
      <w:r>
        <w:rPr>
          <w:shd w:val="clear" w:color="auto" w:fill="FFFFFF"/>
        </w:rPr>
        <w:t xml:space="preserve">2021. gada </w:t>
      </w:r>
      <w:r w:rsidR="00CD44FA">
        <w:rPr>
          <w:shd w:val="clear" w:color="auto" w:fill="FFFFFF"/>
        </w:rPr>
        <w:t>[..]</w:t>
      </w:r>
      <w:r>
        <w:rPr>
          <w:shd w:val="clear" w:color="auto" w:fill="FFFFFF"/>
        </w:rPr>
        <w:t xml:space="preserve"> spriedumu </w:t>
      </w:r>
      <w:r w:rsidR="00CD44FA">
        <w:rPr>
          <w:shd w:val="clear" w:color="auto" w:fill="FFFFFF"/>
        </w:rPr>
        <w:t>[pers. A]</w:t>
      </w:r>
      <w:r>
        <w:rPr>
          <w:shd w:val="clear" w:color="auto" w:fill="FFFFFF"/>
        </w:rPr>
        <w:t xml:space="preserve"> atzīts par vainīgu un sodīts pēc Krimināllikuma 176. panta pirmās daļas par </w:t>
      </w:r>
      <w:r w:rsidR="006D1AB5">
        <w:rPr>
          <w:shd w:val="clear" w:color="auto" w:fill="FFFFFF"/>
        </w:rPr>
        <w:t>svešas kustamas mantas nolaupīšanu, pielietojot vardarbību.</w:t>
      </w:r>
    </w:p>
    <w:p w14:paraId="3A5AF7E3" w14:textId="77777777" w:rsidR="00865F39" w:rsidRDefault="00865F39" w:rsidP="00355666">
      <w:pPr>
        <w:pStyle w:val="NormalWeb"/>
        <w:shd w:val="clear" w:color="auto" w:fill="FFFFFF"/>
        <w:spacing w:before="0" w:beforeAutospacing="0" w:after="0" w:afterAutospacing="0" w:line="276" w:lineRule="auto"/>
        <w:ind w:firstLine="720"/>
        <w:jc w:val="both"/>
        <w:rPr>
          <w:shd w:val="clear" w:color="auto" w:fill="FFFFFF"/>
        </w:rPr>
      </w:pPr>
    </w:p>
    <w:p w14:paraId="3255DCF5" w14:textId="3DE9AA9B" w:rsidR="00865F39" w:rsidRDefault="00865F39"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Ar </w:t>
      </w:r>
      <w:r w:rsidR="00CD44FA">
        <w:rPr>
          <w:shd w:val="clear" w:color="auto" w:fill="FFFFFF"/>
        </w:rPr>
        <w:t xml:space="preserve">[..] </w:t>
      </w:r>
      <w:r>
        <w:rPr>
          <w:shd w:val="clear" w:color="auto" w:fill="FFFFFF"/>
        </w:rPr>
        <w:t>apgabaltiesas 2022.</w:t>
      </w:r>
      <w:r w:rsidR="00A261B6">
        <w:rPr>
          <w:shd w:val="clear" w:color="auto" w:fill="FFFFFF"/>
        </w:rPr>
        <w:t> </w:t>
      </w:r>
      <w:r>
        <w:rPr>
          <w:shd w:val="clear" w:color="auto" w:fill="FFFFFF"/>
        </w:rPr>
        <w:t xml:space="preserve">gada </w:t>
      </w:r>
      <w:r w:rsidR="00CD44FA">
        <w:rPr>
          <w:shd w:val="clear" w:color="auto" w:fill="FFFFFF"/>
        </w:rPr>
        <w:t>[..]</w:t>
      </w:r>
      <w:r>
        <w:rPr>
          <w:shd w:val="clear" w:color="auto" w:fill="FFFFFF"/>
        </w:rPr>
        <w:t xml:space="preserve"> spriedumu </w:t>
      </w:r>
      <w:r w:rsidR="00CD44FA">
        <w:rPr>
          <w:shd w:val="clear" w:color="auto" w:fill="FFFFFF"/>
        </w:rPr>
        <w:t>[pers. A]</w:t>
      </w:r>
      <w:r>
        <w:rPr>
          <w:shd w:val="clear" w:color="auto" w:fill="FFFFFF"/>
        </w:rPr>
        <w:t xml:space="preserve"> atzīts par vainīgu un sodīts pēc Krimināllikuma 176.</w:t>
      </w:r>
      <w:r w:rsidR="00A261B6">
        <w:rPr>
          <w:shd w:val="clear" w:color="auto" w:fill="FFFFFF"/>
        </w:rPr>
        <w:t> </w:t>
      </w:r>
      <w:r>
        <w:rPr>
          <w:shd w:val="clear" w:color="auto" w:fill="FFFFFF"/>
        </w:rPr>
        <w:t>panta otrās daļas ar brīvības atņemšanu uz 1 gadu 6 mēnešiem un ar probācijas uzraudzību uz 2 gadiem par svešas kustamas mantas nolaupīšanu grupā pēc iepriekšējas vienošanās, pielietojot vardarbību.</w:t>
      </w:r>
    </w:p>
    <w:p w14:paraId="7B55E6AD" w14:textId="77777777" w:rsidR="006F33A0" w:rsidRDefault="006F33A0" w:rsidP="00355666">
      <w:pPr>
        <w:pStyle w:val="NormalWeb"/>
        <w:shd w:val="clear" w:color="auto" w:fill="FFFFFF"/>
        <w:spacing w:before="0" w:beforeAutospacing="0" w:after="0" w:afterAutospacing="0" w:line="276" w:lineRule="auto"/>
        <w:ind w:firstLine="720"/>
        <w:jc w:val="both"/>
        <w:rPr>
          <w:shd w:val="clear" w:color="auto" w:fill="FFFFFF"/>
        </w:rPr>
      </w:pPr>
    </w:p>
    <w:p w14:paraId="18B4E983" w14:textId="5ABE7175" w:rsidR="006F33A0" w:rsidRDefault="006F33A0" w:rsidP="0035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w:t>
      </w:r>
      <w:r w:rsidR="001F398F">
        <w:rPr>
          <w:shd w:val="clear" w:color="auto" w:fill="FFFFFF"/>
        </w:rPr>
        <w:t>Ar Senāta 2023.</w:t>
      </w:r>
      <w:r w:rsidR="00A261B6">
        <w:rPr>
          <w:shd w:val="clear" w:color="auto" w:fill="FFFFFF"/>
        </w:rPr>
        <w:t> </w:t>
      </w:r>
      <w:r w:rsidR="001F398F">
        <w:rPr>
          <w:shd w:val="clear" w:color="auto" w:fill="FFFFFF"/>
        </w:rPr>
        <w:t xml:space="preserve">gada </w:t>
      </w:r>
      <w:r w:rsidR="00CD44FA">
        <w:rPr>
          <w:shd w:val="clear" w:color="auto" w:fill="FFFFFF"/>
        </w:rPr>
        <w:t xml:space="preserve">[..] </w:t>
      </w:r>
      <w:r w:rsidR="001F398F">
        <w:rPr>
          <w:shd w:val="clear" w:color="auto" w:fill="FFFFFF"/>
        </w:rPr>
        <w:t xml:space="preserve">lēmumu </w:t>
      </w:r>
      <w:r w:rsidR="00CD44FA">
        <w:rPr>
          <w:shd w:val="clear" w:color="auto" w:fill="FFFFFF"/>
        </w:rPr>
        <w:t>[  ]</w:t>
      </w:r>
      <w:r w:rsidR="001F398F">
        <w:rPr>
          <w:shd w:val="clear" w:color="auto" w:fill="FFFFFF"/>
        </w:rPr>
        <w:t xml:space="preserve"> apgabaltiesas 2022.</w:t>
      </w:r>
      <w:r w:rsidR="00A261B6">
        <w:rPr>
          <w:shd w:val="clear" w:color="auto" w:fill="FFFFFF"/>
        </w:rPr>
        <w:t> </w:t>
      </w:r>
      <w:r w:rsidR="001F398F">
        <w:rPr>
          <w:shd w:val="clear" w:color="auto" w:fill="FFFFFF"/>
        </w:rPr>
        <w:t xml:space="preserve">gada </w:t>
      </w:r>
      <w:r w:rsidR="00CD44FA">
        <w:rPr>
          <w:shd w:val="clear" w:color="auto" w:fill="FFFFFF"/>
        </w:rPr>
        <w:t>[..]</w:t>
      </w:r>
      <w:r w:rsidR="001F398F">
        <w:rPr>
          <w:shd w:val="clear" w:color="auto" w:fill="FFFFFF"/>
        </w:rPr>
        <w:t xml:space="preserve"> spriedums atcelts pilnībā.</w:t>
      </w:r>
    </w:p>
    <w:p w14:paraId="7601E4C7" w14:textId="77777777" w:rsidR="006D1AB5" w:rsidRDefault="006D1AB5" w:rsidP="00355666">
      <w:pPr>
        <w:pStyle w:val="NormalWeb"/>
        <w:shd w:val="clear" w:color="auto" w:fill="FFFFFF"/>
        <w:spacing w:before="0" w:beforeAutospacing="0" w:after="0" w:afterAutospacing="0" w:line="276" w:lineRule="auto"/>
        <w:ind w:firstLine="720"/>
        <w:jc w:val="both"/>
        <w:rPr>
          <w:shd w:val="clear" w:color="auto" w:fill="FFFFFF"/>
        </w:rPr>
      </w:pPr>
    </w:p>
    <w:p w14:paraId="79885779" w14:textId="69CFE495" w:rsidR="006D1AB5" w:rsidRDefault="006D1AB5" w:rsidP="00355666">
      <w:pPr>
        <w:pStyle w:val="NormalWeb"/>
        <w:shd w:val="clear" w:color="auto" w:fill="FFFFFF"/>
        <w:spacing w:before="0" w:beforeAutospacing="0" w:after="0" w:afterAutospacing="0" w:line="276" w:lineRule="auto"/>
        <w:ind w:firstLine="720"/>
        <w:jc w:val="both"/>
      </w:pPr>
      <w:r>
        <w:rPr>
          <w:shd w:val="clear" w:color="auto" w:fill="FFFFFF"/>
        </w:rPr>
        <w:t>[</w:t>
      </w:r>
      <w:r w:rsidR="00A261B6">
        <w:rPr>
          <w:shd w:val="clear" w:color="auto" w:fill="FFFFFF"/>
        </w:rPr>
        <w:t>5</w:t>
      </w:r>
      <w:r>
        <w:rPr>
          <w:shd w:val="clear" w:color="auto" w:fill="FFFFFF"/>
        </w:rPr>
        <w:t xml:space="preserve">] Ar </w:t>
      </w:r>
      <w:r w:rsidR="00CD44FA">
        <w:t>[..]</w:t>
      </w:r>
      <w:r w:rsidRPr="00A261B6">
        <w:t xml:space="preserve"> apgabaltiesas 2025. gada </w:t>
      </w:r>
      <w:r w:rsidR="00CD44FA">
        <w:t>[..]</w:t>
      </w:r>
      <w:r w:rsidRPr="00A261B6">
        <w:t xml:space="preserve"> lēmumu</w:t>
      </w:r>
      <w:r w:rsidR="008D6BFA" w:rsidRPr="00A261B6">
        <w:t xml:space="preserve"> </w:t>
      </w:r>
      <w:r w:rsidR="00CD44FA">
        <w:t>[pers. A]</w:t>
      </w:r>
      <w:r w:rsidR="008D6BFA" w:rsidRPr="00A261B6">
        <w:t xml:space="preserve"> piemērots drošības līdzeklis apcietinājums un </w:t>
      </w:r>
      <w:r w:rsidR="00CD44FA">
        <w:t>[pers. A]</w:t>
      </w:r>
      <w:r w:rsidR="008D6BFA" w:rsidRPr="00A261B6">
        <w:t xml:space="preserve"> izsludināts meklēšanā.</w:t>
      </w:r>
    </w:p>
    <w:p w14:paraId="052B8335" w14:textId="77777777" w:rsidR="00D911E2" w:rsidRDefault="00D911E2" w:rsidP="00355666">
      <w:pPr>
        <w:pStyle w:val="NormalWeb"/>
        <w:shd w:val="clear" w:color="auto" w:fill="FFFFFF"/>
        <w:spacing w:before="0" w:beforeAutospacing="0" w:after="0" w:afterAutospacing="0" w:line="276" w:lineRule="auto"/>
        <w:ind w:firstLine="720"/>
        <w:jc w:val="both"/>
      </w:pPr>
    </w:p>
    <w:p w14:paraId="6B29A5E6" w14:textId="7E6F6010" w:rsidR="00D911E2" w:rsidRDefault="00D911E2" w:rsidP="00355666">
      <w:pPr>
        <w:pStyle w:val="NormalWeb"/>
        <w:shd w:val="clear" w:color="auto" w:fill="FFFFFF"/>
        <w:spacing w:before="0" w:beforeAutospacing="0" w:after="0" w:afterAutospacing="0" w:line="276" w:lineRule="auto"/>
        <w:ind w:firstLine="720"/>
        <w:jc w:val="both"/>
      </w:pPr>
      <w:r>
        <w:t>[</w:t>
      </w:r>
      <w:r w:rsidR="00A261B6">
        <w:t>6</w:t>
      </w:r>
      <w:r>
        <w:t xml:space="preserve">] Par </w:t>
      </w:r>
      <w:r w:rsidR="0013429E">
        <w:t>[..]</w:t>
      </w:r>
      <w:r>
        <w:t xml:space="preserve"> apgabaltiesas 2025. gada </w:t>
      </w:r>
      <w:r w:rsidR="0013429E">
        <w:t>[..]</w:t>
      </w:r>
      <w:r>
        <w:t xml:space="preserve"> lēmumu </w:t>
      </w:r>
      <w:r w:rsidR="0013429E">
        <w:t>[pers. A]</w:t>
      </w:r>
      <w:r>
        <w:t xml:space="preserve"> aizstāvis zvērināts advokāts Artūrs </w:t>
      </w:r>
      <w:proofErr w:type="spellStart"/>
      <w:r>
        <w:t>Parfjonovs</w:t>
      </w:r>
      <w:proofErr w:type="spellEnd"/>
      <w:r>
        <w:t xml:space="preserve"> iesniedzis sūdzību, kurā lūdz atcelt šo lēmumu. Sūdzību aizstāvis pamatojis ar turpmāk norādītajiem argumentiem.</w:t>
      </w:r>
    </w:p>
    <w:p w14:paraId="793E6906" w14:textId="67462134" w:rsidR="00D911E2" w:rsidRDefault="00D911E2" w:rsidP="00355666">
      <w:pPr>
        <w:pStyle w:val="NormalWeb"/>
        <w:shd w:val="clear" w:color="auto" w:fill="FFFFFF"/>
        <w:spacing w:before="0" w:beforeAutospacing="0" w:after="0" w:afterAutospacing="0" w:line="276" w:lineRule="auto"/>
        <w:ind w:firstLine="720"/>
        <w:jc w:val="both"/>
      </w:pPr>
      <w:r>
        <w:t>[</w:t>
      </w:r>
      <w:r w:rsidR="00A261B6">
        <w:t>6</w:t>
      </w:r>
      <w:r>
        <w:t>.1] </w:t>
      </w:r>
      <w:r w:rsidR="000226EC">
        <w:t xml:space="preserve">Tiesa, taisot lēmumu, ir pārkāpusi Kriminālprocesa likuma 274. panta pirmo un otro daļu, jo, izlemjot jautājumu par apcietinājuma piemērošanu </w:t>
      </w:r>
      <w:r w:rsidR="0013429E">
        <w:t>[pers. A]</w:t>
      </w:r>
      <w:r w:rsidR="000226EC">
        <w:t xml:space="preserve">, netika uzklausīts </w:t>
      </w:r>
      <w:r w:rsidR="0013429E">
        <w:t>[pers. A]</w:t>
      </w:r>
      <w:r w:rsidR="000226EC">
        <w:t xml:space="preserve"> aizstāvja un citu procesa dalībnieku viedoklis par apcietinājuma piemērošanas pamata esību vai neesību. </w:t>
      </w:r>
    </w:p>
    <w:p w14:paraId="3AFE7F3E" w14:textId="3E629695" w:rsidR="00D44530" w:rsidRDefault="00D44530" w:rsidP="00355666">
      <w:pPr>
        <w:pStyle w:val="NormalWeb"/>
        <w:shd w:val="clear" w:color="auto" w:fill="FFFFFF"/>
        <w:spacing w:before="0" w:beforeAutospacing="0" w:after="0" w:afterAutospacing="0" w:line="276" w:lineRule="auto"/>
        <w:ind w:firstLine="720"/>
        <w:jc w:val="both"/>
      </w:pPr>
      <w:r>
        <w:t>[</w:t>
      </w:r>
      <w:r w:rsidR="00854ABC">
        <w:t>6</w:t>
      </w:r>
      <w:r>
        <w:t>.2] </w:t>
      </w:r>
      <w:r w:rsidR="000226EC">
        <w:t>L</w:t>
      </w:r>
      <w:r w:rsidR="00156B53">
        <w:t>ēmum</w:t>
      </w:r>
      <w:r w:rsidR="000226EC">
        <w:t>s ir pamatots</w:t>
      </w:r>
      <w:r w:rsidR="00156B53">
        <w:t xml:space="preserve"> ar ziņām no Tiesu informatīvās sistēmas par to, ka </w:t>
      </w:r>
      <w:r w:rsidR="0034504D">
        <w:t>[pers. A]</w:t>
      </w:r>
      <w:r w:rsidR="00156B53">
        <w:t xml:space="preserve"> </w:t>
      </w:r>
      <w:r w:rsidR="000226EC">
        <w:t xml:space="preserve">ir </w:t>
      </w:r>
      <w:r w:rsidR="00156B53">
        <w:t xml:space="preserve">iepriekš sodīts, kriminālprocess </w:t>
      </w:r>
      <w:r w:rsidR="000226EC">
        <w:t>viņa</w:t>
      </w:r>
      <w:r w:rsidR="00156B53" w:rsidRPr="00237FAE">
        <w:rPr>
          <w:color w:val="000000"/>
        </w:rPr>
        <w:t xml:space="preserve"> </w:t>
      </w:r>
      <w:r w:rsidR="00156B53" w:rsidRPr="00156B53">
        <w:rPr>
          <w:color w:val="000000"/>
        </w:rPr>
        <w:t>apsūdzībā pēc Krimināllikuma 312.</w:t>
      </w:r>
      <w:r w:rsidR="00156B53">
        <w:rPr>
          <w:color w:val="000000"/>
        </w:rPr>
        <w:t> </w:t>
      </w:r>
      <w:r w:rsidR="00156B53" w:rsidRPr="00156B53">
        <w:rPr>
          <w:color w:val="000000"/>
        </w:rPr>
        <w:t>panta otrās daļas 2024.</w:t>
      </w:r>
      <w:r w:rsidR="00156B53">
        <w:rPr>
          <w:color w:val="000000"/>
        </w:rPr>
        <w:t> </w:t>
      </w:r>
      <w:r w:rsidR="00156B53" w:rsidRPr="00156B53">
        <w:rPr>
          <w:color w:val="000000"/>
        </w:rPr>
        <w:t xml:space="preserve">gada </w:t>
      </w:r>
      <w:r w:rsidR="0034504D">
        <w:rPr>
          <w:color w:val="000000"/>
        </w:rPr>
        <w:t>[..]</w:t>
      </w:r>
      <w:r w:rsidR="00156B53" w:rsidRPr="00156B53">
        <w:rPr>
          <w:color w:val="000000"/>
        </w:rPr>
        <w:t xml:space="preserve"> </w:t>
      </w:r>
      <w:r w:rsidR="000226EC">
        <w:rPr>
          <w:color w:val="000000"/>
        </w:rPr>
        <w:t xml:space="preserve">ir </w:t>
      </w:r>
      <w:r w:rsidR="00156B53" w:rsidRPr="00156B53">
        <w:rPr>
          <w:color w:val="000000"/>
        </w:rPr>
        <w:t xml:space="preserve">apturēts </w:t>
      </w:r>
      <w:r w:rsidR="000226EC">
        <w:rPr>
          <w:color w:val="000000"/>
        </w:rPr>
        <w:t>saskaņā ar</w:t>
      </w:r>
      <w:r w:rsidR="00156B53" w:rsidRPr="00156B53">
        <w:rPr>
          <w:color w:val="000000"/>
        </w:rPr>
        <w:t xml:space="preserve"> Kriminālprocesa likuma 378.</w:t>
      </w:r>
      <w:r w:rsidR="00156B53">
        <w:rPr>
          <w:color w:val="000000"/>
        </w:rPr>
        <w:t> </w:t>
      </w:r>
      <w:r w:rsidR="00156B53" w:rsidRPr="00156B53">
        <w:rPr>
          <w:color w:val="000000"/>
        </w:rPr>
        <w:t>panta pirmās daļas 2.</w:t>
      </w:r>
      <w:r w:rsidR="00156B53">
        <w:rPr>
          <w:color w:val="000000"/>
        </w:rPr>
        <w:t> </w:t>
      </w:r>
      <w:r w:rsidR="00156B53" w:rsidRPr="00156B53">
        <w:rPr>
          <w:color w:val="000000"/>
        </w:rPr>
        <w:t xml:space="preserve">punktu, jo apsūdzētais </w:t>
      </w:r>
      <w:r w:rsidR="0034504D">
        <w:rPr>
          <w:color w:val="000000"/>
        </w:rPr>
        <w:t>[pers. A]</w:t>
      </w:r>
      <w:r w:rsidR="00156B53" w:rsidRPr="00156B53">
        <w:rPr>
          <w:color w:val="000000"/>
        </w:rPr>
        <w:t xml:space="preserve"> slēpjas un nav zināma viņa atrašanās vieta</w:t>
      </w:r>
      <w:r w:rsidR="000226EC">
        <w:rPr>
          <w:color w:val="000000"/>
        </w:rPr>
        <w:t>, l</w:t>
      </w:r>
      <w:r w:rsidR="00156B53" w:rsidRPr="00156B53">
        <w:rPr>
          <w:color w:val="000000"/>
        </w:rPr>
        <w:t>ietā nav iegūtas ziņas, ka apsūdzētais būtu atrasts un kriminālprocess</w:t>
      </w:r>
      <w:r w:rsidR="000226EC">
        <w:rPr>
          <w:color w:val="000000"/>
        </w:rPr>
        <w:t xml:space="preserve"> –</w:t>
      </w:r>
      <w:r w:rsidR="00156B53" w:rsidRPr="00156B53">
        <w:rPr>
          <w:color w:val="000000"/>
        </w:rPr>
        <w:t xml:space="preserve"> atjaunots</w:t>
      </w:r>
      <w:r w:rsidR="00156B53">
        <w:rPr>
          <w:color w:val="000000"/>
        </w:rPr>
        <w:t>.</w:t>
      </w:r>
      <w:r>
        <w:t xml:space="preserve"> </w:t>
      </w:r>
      <w:r w:rsidR="006429CC">
        <w:t>Minētās ziņas</w:t>
      </w:r>
      <w:r w:rsidRPr="000226EC">
        <w:t xml:space="preserve"> neatrodas lietas materiālos un nav pieejamas aizstāvībai,</w:t>
      </w:r>
      <w:r w:rsidR="00F67008">
        <w:t xml:space="preserve"> tādējādi aizstāvībai liegta iespēja</w:t>
      </w:r>
      <w:r>
        <w:t xml:space="preserve"> sniegt paskaidrojumus par </w:t>
      </w:r>
      <w:r w:rsidR="006429CC">
        <w:t>tām</w:t>
      </w:r>
      <w:r w:rsidR="00B55B10">
        <w:t xml:space="preserve">. </w:t>
      </w:r>
      <w:r w:rsidR="00540419">
        <w:t xml:space="preserve">Turklāt tiesa savus apsvērumus balstījusi uz </w:t>
      </w:r>
      <w:r w:rsidR="000226EC">
        <w:t>faktu,</w:t>
      </w:r>
      <w:r w:rsidR="00020032">
        <w:t xml:space="preserve"> ka</w:t>
      </w:r>
      <w:r w:rsidR="00540419">
        <w:t xml:space="preserve"> </w:t>
      </w:r>
      <w:r w:rsidR="000D64B7">
        <w:t xml:space="preserve">lietā </w:t>
      </w:r>
      <w:r w:rsidR="00540419">
        <w:t>nav ziņu, kas attaisnotu apsūdzētā neierašanos uz tiesas sēdi</w:t>
      </w:r>
      <w:r w:rsidR="006429CC">
        <w:t>, proti,</w:t>
      </w:r>
      <w:r w:rsidR="00540419">
        <w:t xml:space="preserve"> tiesa apcietinājumu pamatojusi ar ziņu neesību, nevis ar konkrētiem uz lietas materiāliem balstītiem apsvērumiem.</w:t>
      </w:r>
      <w:r w:rsidR="00B55B10">
        <w:t xml:space="preserve"> Tādējādi tiesa pārkāpusi Kriminālprocesa likuma 274. panta piekto daļu. </w:t>
      </w:r>
    </w:p>
    <w:p w14:paraId="281057EE" w14:textId="75D256B0" w:rsidR="00C86A4C" w:rsidRDefault="00C86A4C" w:rsidP="00355666">
      <w:pPr>
        <w:pStyle w:val="NormalWeb"/>
        <w:shd w:val="clear" w:color="auto" w:fill="FFFFFF"/>
        <w:spacing w:before="0" w:beforeAutospacing="0" w:after="0" w:afterAutospacing="0" w:line="276" w:lineRule="auto"/>
        <w:ind w:firstLine="720"/>
        <w:jc w:val="both"/>
      </w:pPr>
      <w:r>
        <w:lastRenderedPageBreak/>
        <w:t>[</w:t>
      </w:r>
      <w:r w:rsidR="00854ABC">
        <w:t>6</w:t>
      </w:r>
      <w:r>
        <w:t xml:space="preserve">.3] Tiesa </w:t>
      </w:r>
      <w:r w:rsidRPr="006429CC">
        <w:t>nepamatoti pēc savas iniciatīvas</w:t>
      </w:r>
      <w:r w:rsidR="006429CC">
        <w:t xml:space="preserve"> ir</w:t>
      </w:r>
      <w:r w:rsidRPr="006429CC">
        <w:t xml:space="preserve"> ieguvusi pierādījumus</w:t>
      </w:r>
      <w:r>
        <w:t xml:space="preserve"> no Tiesu informatīvās sistēmas, pārkāpjot Kriminālprocesa likuma 17. pantu un 455. panta otro daļu.</w:t>
      </w:r>
    </w:p>
    <w:p w14:paraId="3ACD1211" w14:textId="715445EB" w:rsidR="00283A3A" w:rsidRDefault="00283A3A" w:rsidP="00355666">
      <w:pPr>
        <w:pStyle w:val="NormalWeb"/>
        <w:shd w:val="clear" w:color="auto" w:fill="FFFFFF"/>
        <w:spacing w:before="0" w:beforeAutospacing="0" w:after="0" w:afterAutospacing="0" w:line="276" w:lineRule="auto"/>
        <w:ind w:firstLine="720"/>
        <w:jc w:val="both"/>
      </w:pPr>
      <w:r>
        <w:t>[</w:t>
      </w:r>
      <w:r w:rsidR="00854ABC">
        <w:t>6</w:t>
      </w:r>
      <w:r>
        <w:t xml:space="preserve">.4] Tiesa nav noskaidrojusi, kādu iemeslu dēļ </w:t>
      </w:r>
      <w:r w:rsidR="0034504D">
        <w:t>[pers. A]</w:t>
      </w:r>
      <w:r>
        <w:t xml:space="preserve"> neieradās uz tiesas sēdi un lēmumā izdarījusi </w:t>
      </w:r>
      <w:r w:rsidRPr="006429CC">
        <w:t>pretrunīgus secinājumus, norādot, ka apsūdzētais bez attaisnota iemesla nav ieradies tiesā un ka apsūdzētais par neierašanās iemesliem nav paziņojis.</w:t>
      </w:r>
    </w:p>
    <w:p w14:paraId="3C6BCB27" w14:textId="529D2319" w:rsidR="00283A3A" w:rsidRDefault="00283A3A" w:rsidP="00355666">
      <w:pPr>
        <w:pStyle w:val="NormalWeb"/>
        <w:shd w:val="clear" w:color="auto" w:fill="FFFFFF"/>
        <w:spacing w:before="0" w:beforeAutospacing="0" w:after="0" w:afterAutospacing="0" w:line="276" w:lineRule="auto"/>
        <w:ind w:firstLine="720"/>
        <w:jc w:val="both"/>
      </w:pPr>
      <w:r>
        <w:t>[</w:t>
      </w:r>
      <w:r w:rsidR="00854ABC">
        <w:t>6</w:t>
      </w:r>
      <w:r>
        <w:t>.5] </w:t>
      </w:r>
      <w:r w:rsidR="004A77CF">
        <w:t xml:space="preserve">Pretēji Kriminālprocesa likuma 244. panta pirmajā daļā noteiktajam </w:t>
      </w:r>
      <w:r w:rsidR="004A77CF" w:rsidRPr="006429CC">
        <w:t>tiesa nav izvērtējusi citu procesuālo piespiedu līdzekļu piemērošanu, kas pēc iespējas mazāk aizskartu personas pamattiesības un būtu samērīgs,</w:t>
      </w:r>
      <w:r w:rsidR="004A77CF">
        <w:t xml:space="preserve"> ievērojot, ka līdz šim </w:t>
      </w:r>
      <w:r w:rsidR="0034504D">
        <w:t>[pers. A]</w:t>
      </w:r>
      <w:r w:rsidR="004A77CF">
        <w:t xml:space="preserve"> nav pārkāpis procesuālo kārtību un ir ieradies uz tiesas sēdēm. Lietas izskatīšana iepriekš atlikta cietušā, liecinieku, citu apsūdzēto neierašanās dēļ, kā arī citu procesa dalībnieku pieteikto lūgumu dēļ. Tiesa nav pamatojusi, k</w:t>
      </w:r>
      <w:r w:rsidR="006429CC">
        <w:t>ādēļ</w:t>
      </w:r>
      <w:r w:rsidR="004A77CF">
        <w:t xml:space="preserve"> cits </w:t>
      </w:r>
      <w:r w:rsidR="00D87F46">
        <w:t>procesuālais piespiedu</w:t>
      </w:r>
      <w:r w:rsidR="004A77CF">
        <w:t xml:space="preserve"> līdzeklis nevar nodrošināt, ka </w:t>
      </w:r>
      <w:r w:rsidR="0034504D">
        <w:t>[pers. A]</w:t>
      </w:r>
      <w:r w:rsidR="004A77CF">
        <w:t xml:space="preserve"> neizvairīsies no tiesas</w:t>
      </w:r>
      <w:r w:rsidR="006429CC">
        <w:t>,</w:t>
      </w:r>
      <w:r w:rsidR="004A77CF">
        <w:t xml:space="preserve"> un nav izvērtējusi iespēju noteikt mazāk ierobežojošu līdzekli.</w:t>
      </w:r>
    </w:p>
    <w:p w14:paraId="2FD99F2A" w14:textId="00CD80E4" w:rsidR="00CE69D3" w:rsidRDefault="00CE69D3" w:rsidP="00355666">
      <w:pPr>
        <w:pStyle w:val="NormalWeb"/>
        <w:shd w:val="clear" w:color="auto" w:fill="FFFFFF"/>
        <w:spacing w:before="0" w:beforeAutospacing="0" w:after="0" w:afterAutospacing="0" w:line="276" w:lineRule="auto"/>
        <w:ind w:firstLine="720"/>
        <w:jc w:val="both"/>
      </w:pPr>
      <w:r>
        <w:t xml:space="preserve">Piemērotais </w:t>
      </w:r>
      <w:r w:rsidR="006429CC" w:rsidRPr="003B6835">
        <w:t>drošības līdzeklis</w:t>
      </w:r>
      <w:r w:rsidRPr="003B6835">
        <w:t xml:space="preserve"> atzīstams par nesamērīgu</w:t>
      </w:r>
      <w:r>
        <w:t>. Tiesa nav ņēmusi vērā, ka</w:t>
      </w:r>
      <w:r w:rsidR="00A35643">
        <w:t>: 1) </w:t>
      </w:r>
      <w:r w:rsidR="003E6B8D">
        <w:t> </w:t>
      </w:r>
      <w:r>
        <w:t xml:space="preserve">ar pirmās instances tiesas spriedumu </w:t>
      </w:r>
      <w:r w:rsidR="001A22AE">
        <w:t>[pers. A]</w:t>
      </w:r>
      <w:r>
        <w:t xml:space="preserve"> sodīts ar piespiedu darbu uz 280 stundām</w:t>
      </w:r>
      <w:r w:rsidR="00A35643">
        <w:t xml:space="preserve">; 2) piemērojot apcietinājumu un nākamo tiesas sēdi nozīmējot uz 2026. gada </w:t>
      </w:r>
      <w:r w:rsidR="001A22AE">
        <w:t>[..]</w:t>
      </w:r>
      <w:r w:rsidR="00A35643">
        <w:t xml:space="preserve">, pastāv risks, ka apcietinājuma rezultātā tiks pārsniegts </w:t>
      </w:r>
      <w:r w:rsidR="001A22AE">
        <w:t>[pers. A]</w:t>
      </w:r>
      <w:r w:rsidR="00A35643">
        <w:t xml:space="preserve"> piespriestais sods; 3) tiesa nav ar pietiekamu rūpību nodrošinājusi lietas savlaicīgu izskatīšanu; 4) </w:t>
      </w:r>
      <w:r w:rsidR="001A22AE">
        <w:t>[pers. A]</w:t>
      </w:r>
      <w:r w:rsidR="00A35643">
        <w:t xml:space="preserve"> ir vienīgais no apsūdzētajiem, kurš ir noslēdzis izlīgumu, noziedzīga nodarījuma izdarīšanas laikā viņš bija nepilngadīgs, ir saņēmis ilgstošas sociālās aprūpes un sociālās rehabilitācijas pakalpojumus bāreņiem un bez vecāku gādības palikušiem bērniem, kā arī bērniem ar uzvedības traucējumiem.</w:t>
      </w:r>
    </w:p>
    <w:p w14:paraId="3364E811" w14:textId="15760C1A" w:rsidR="00B23337" w:rsidRDefault="00B23337" w:rsidP="00355666">
      <w:pPr>
        <w:pStyle w:val="NormalWeb"/>
        <w:shd w:val="clear" w:color="auto" w:fill="FFFFFF"/>
        <w:spacing w:before="0" w:beforeAutospacing="0" w:after="0" w:afterAutospacing="0" w:line="276" w:lineRule="auto"/>
        <w:ind w:firstLine="720"/>
        <w:jc w:val="both"/>
      </w:pPr>
      <w:r>
        <w:t>[</w:t>
      </w:r>
      <w:r w:rsidR="00854ABC">
        <w:t>6</w:t>
      </w:r>
      <w:r>
        <w:t>.6] Tiesa pārkāpusi Kriminālprocesa likuma 496. panta pirmo un otro daļu, jo pirms apcietinājuma piemērošanas nav izlēmusi prokurores pieteiktos lūgumu apsūdzētajam piemērot piespiedu atvešanu un piespiedu naudu.</w:t>
      </w:r>
    </w:p>
    <w:p w14:paraId="5DB54230" w14:textId="65AC145D" w:rsidR="00FC6C7B" w:rsidRDefault="00FC6C7B" w:rsidP="00355666">
      <w:pPr>
        <w:pStyle w:val="NormalWeb"/>
        <w:shd w:val="clear" w:color="auto" w:fill="FFFFFF"/>
        <w:spacing w:before="0" w:beforeAutospacing="0" w:after="0" w:afterAutospacing="0" w:line="276" w:lineRule="auto"/>
        <w:ind w:firstLine="720"/>
        <w:jc w:val="both"/>
      </w:pPr>
      <w:r>
        <w:t>[</w:t>
      </w:r>
      <w:r w:rsidR="00854ABC">
        <w:t>6</w:t>
      </w:r>
      <w:r>
        <w:t xml:space="preserve">.7] Tiesa </w:t>
      </w:r>
      <w:r w:rsidRPr="0070003B">
        <w:t>pārkāpusi vienlīdzības principu</w:t>
      </w:r>
      <w:r>
        <w:t xml:space="preserve">, </w:t>
      </w:r>
      <w:r w:rsidR="0070003B">
        <w:t>bez saprātīga pamata pieļaujot atšķirīgu attieksmi</w:t>
      </w:r>
      <w:r>
        <w:t xml:space="preserve"> pret </w:t>
      </w:r>
      <w:r w:rsidR="001A22AE">
        <w:t>[pers. A]</w:t>
      </w:r>
      <w:r w:rsidR="0070003B">
        <w:t>, kurš</w:t>
      </w:r>
      <w:r>
        <w:t xml:space="preserve"> 2025. gada </w:t>
      </w:r>
      <w:r w:rsidR="001A22AE">
        <w:t>[..]</w:t>
      </w:r>
      <w:r>
        <w:t xml:space="preserve"> pirmo reizi neieradās uz apelācijas instances tiesas sēdi, savukārt apsūdzētie </w:t>
      </w:r>
      <w:r w:rsidR="001A22AE">
        <w:t>[pers. B]</w:t>
      </w:r>
      <w:r>
        <w:t xml:space="preserve"> un </w:t>
      </w:r>
      <w:r w:rsidR="001A22AE">
        <w:t>[pers. C]</w:t>
      </w:r>
      <w:r>
        <w:t xml:space="preserve"> iepriekš vairākkārt</w:t>
      </w:r>
      <w:r w:rsidR="0070003B">
        <w:t xml:space="preserve"> ir</w:t>
      </w:r>
      <w:r>
        <w:t xml:space="preserve"> kavējuši tiesas sēdes, </w:t>
      </w:r>
      <w:r w:rsidR="0070003B">
        <w:t xml:space="preserve">tomēr </w:t>
      </w:r>
      <w:r>
        <w:t>viņiem tika piemērots</w:t>
      </w:r>
      <w:r w:rsidR="0070003B">
        <w:t xml:space="preserve"> nevis</w:t>
      </w:r>
      <w:r>
        <w:t xml:space="preserve"> apcietinājums, bet piespiedu atvešana un piespiedu nauda.</w:t>
      </w:r>
    </w:p>
    <w:p w14:paraId="7EE29676" w14:textId="11C83F83" w:rsidR="00A35643" w:rsidRPr="00DA23B7" w:rsidRDefault="00A35643" w:rsidP="00355666">
      <w:pPr>
        <w:pStyle w:val="NormalWeb"/>
        <w:shd w:val="clear" w:color="auto" w:fill="FFFFFF"/>
        <w:spacing w:before="0" w:beforeAutospacing="0" w:after="0" w:afterAutospacing="0" w:line="276" w:lineRule="auto"/>
        <w:ind w:firstLine="720"/>
        <w:jc w:val="both"/>
      </w:pPr>
      <w:r>
        <w:t>[</w:t>
      </w:r>
      <w:r w:rsidR="00854ABC">
        <w:t>6</w:t>
      </w:r>
      <w:r>
        <w:t xml:space="preserve">.8] Tiesa nepamatoti un nemotivēti izsludinājusi </w:t>
      </w:r>
      <w:r w:rsidR="005E4610">
        <w:t>[pers. A]</w:t>
      </w:r>
      <w:r>
        <w:t xml:space="preserve"> meklēšan</w:t>
      </w:r>
      <w:r w:rsidR="0070003B">
        <w:t>u</w:t>
      </w:r>
      <w:r>
        <w:t>.</w:t>
      </w:r>
    </w:p>
    <w:p w14:paraId="7529ED28" w14:textId="77777777" w:rsidR="00221679" w:rsidRDefault="00221679" w:rsidP="00355666">
      <w:pPr>
        <w:pStyle w:val="NormalWeb"/>
        <w:shd w:val="clear" w:color="auto" w:fill="FFFFFF"/>
        <w:spacing w:before="0" w:beforeAutospacing="0" w:after="0" w:afterAutospacing="0" w:line="276" w:lineRule="auto"/>
        <w:ind w:firstLine="720"/>
        <w:jc w:val="both"/>
      </w:pPr>
    </w:p>
    <w:p w14:paraId="0590B11A" w14:textId="29FB356C" w:rsidR="00221679" w:rsidRPr="003748C5" w:rsidRDefault="00221679" w:rsidP="00355666">
      <w:pPr>
        <w:pStyle w:val="NormalWeb"/>
        <w:shd w:val="clear" w:color="auto" w:fill="FFFFFF"/>
        <w:spacing w:before="0" w:beforeAutospacing="0" w:after="0" w:afterAutospacing="0" w:line="276" w:lineRule="auto"/>
        <w:ind w:firstLine="720"/>
        <w:jc w:val="both"/>
      </w:pPr>
      <w:r>
        <w:t>[</w:t>
      </w:r>
      <w:r w:rsidR="00DF1A93">
        <w:t>7</w:t>
      </w:r>
      <w:r>
        <w:t>]</w:t>
      </w:r>
      <w:r w:rsidR="007A4C79">
        <w:t> </w:t>
      </w:r>
      <w:r>
        <w:t xml:space="preserve">Tiesas sēdē apsūdzētā </w:t>
      </w:r>
      <w:r w:rsidR="005E4610">
        <w:t>[pers. A]</w:t>
      </w:r>
      <w:r>
        <w:t xml:space="preserve"> aizstāvis uzturēja iesniegto sūdzību un tajā norādītos mot</w:t>
      </w:r>
      <w:r w:rsidR="007A4C79">
        <w:t>īvus.</w:t>
      </w:r>
      <w:r w:rsidR="00664D5A">
        <w:t xml:space="preserve"> Papildus lūdzot ņemt vērā ziņas par to, ka apsūdzētais kopš 2024.</w:t>
      </w:r>
      <w:r w:rsidR="00700F23">
        <w:t> </w:t>
      </w:r>
      <w:r w:rsidR="00664D5A">
        <w:t xml:space="preserve">gada </w:t>
      </w:r>
      <w:r w:rsidR="002A2B7C">
        <w:t>[..]</w:t>
      </w:r>
      <w:r w:rsidR="00664D5A">
        <w:t xml:space="preserve"> atrodas apcietinājumā Vācijā</w:t>
      </w:r>
      <w:r w:rsidR="00700F23">
        <w:t>, tādēļ nevarēja saņemt tiesas paziņojumu par tiesas sēdi un piedalīties tajā.</w:t>
      </w:r>
    </w:p>
    <w:p w14:paraId="7DAF7841" w14:textId="77777777" w:rsidR="00447EE6" w:rsidRPr="00011547" w:rsidRDefault="00447EE6" w:rsidP="00355666">
      <w:pPr>
        <w:shd w:val="clear" w:color="auto" w:fill="FFFFFF"/>
        <w:spacing w:before="360" w:after="360" w:line="276" w:lineRule="auto"/>
        <w:jc w:val="center"/>
      </w:pPr>
      <w:r w:rsidRPr="00011547">
        <w:rPr>
          <w:b/>
        </w:rPr>
        <w:t>Motīvu daļa</w:t>
      </w:r>
    </w:p>
    <w:p w14:paraId="4FA5481A" w14:textId="0CC386B8" w:rsidR="00447EE6" w:rsidRDefault="00447EE6" w:rsidP="002A2B7C">
      <w:pPr>
        <w:shd w:val="clear" w:color="auto" w:fill="FFFFFF"/>
        <w:spacing w:line="276" w:lineRule="auto"/>
        <w:ind w:firstLine="720"/>
        <w:jc w:val="both"/>
      </w:pPr>
      <w:r w:rsidRPr="00011547">
        <w:t>[</w:t>
      </w:r>
      <w:r w:rsidR="00DF1A93">
        <w:t>8</w:t>
      </w:r>
      <w:r w:rsidRPr="00011547">
        <w:t>]</w:t>
      </w:r>
      <w:r w:rsidR="000169BC">
        <w:t> </w:t>
      </w:r>
      <w:r w:rsidR="00964A11">
        <w:t xml:space="preserve">Senatore atzīst, ka apsūdzētā </w:t>
      </w:r>
      <w:r w:rsidR="002A2B7C">
        <w:t>[pers. A]</w:t>
      </w:r>
      <w:r w:rsidR="00964A11">
        <w:t xml:space="preserve"> aizstāvja A.</w:t>
      </w:r>
      <w:r w:rsidR="000169BC">
        <w:t> </w:t>
      </w:r>
      <w:proofErr w:type="spellStart"/>
      <w:r w:rsidR="00964A11">
        <w:t>Parfjonova</w:t>
      </w:r>
      <w:proofErr w:type="spellEnd"/>
      <w:r w:rsidR="00964A11">
        <w:t xml:space="preserve"> sūdzība ir apmierināma un </w:t>
      </w:r>
      <w:r w:rsidR="002A2B7C">
        <w:t>[..]</w:t>
      </w:r>
      <w:r w:rsidR="00964A11">
        <w:t xml:space="preserve"> apgabaltiesas 2025. gada </w:t>
      </w:r>
      <w:r w:rsidR="002A2B7C">
        <w:t>[..]</w:t>
      </w:r>
      <w:r w:rsidR="00964A11">
        <w:t xml:space="preserve"> lēmums atceļams.</w:t>
      </w:r>
    </w:p>
    <w:p w14:paraId="7D6DD384" w14:textId="77777777" w:rsidR="000169BC" w:rsidRDefault="000169BC" w:rsidP="00355666">
      <w:pPr>
        <w:shd w:val="clear" w:color="auto" w:fill="FFFFFF"/>
        <w:spacing w:line="276" w:lineRule="auto"/>
        <w:ind w:firstLine="720"/>
        <w:jc w:val="both"/>
      </w:pPr>
    </w:p>
    <w:p w14:paraId="37B77624" w14:textId="7CE1CD29" w:rsidR="00542850" w:rsidRDefault="00964A11" w:rsidP="00355666">
      <w:pPr>
        <w:shd w:val="clear" w:color="auto" w:fill="FFFFFF"/>
        <w:spacing w:line="276" w:lineRule="auto"/>
        <w:ind w:firstLine="720"/>
        <w:jc w:val="both"/>
      </w:pPr>
      <w:r>
        <w:lastRenderedPageBreak/>
        <w:t>[9]</w:t>
      </w:r>
      <w:r w:rsidR="000169BC">
        <w:t> </w:t>
      </w:r>
      <w:r>
        <w:t>Kriminālprocesa likuma 241.</w:t>
      </w:r>
      <w:r w:rsidR="00542850">
        <w:t> </w:t>
      </w:r>
      <w:r>
        <w:t xml:space="preserve">panta pirmā daļa noteic, ka procesuālā piespiedu līdzekļa piemērošanas pamats ir personas pretdarbība kriminālprocesa mērķa sasniegšanai konkrētajā kriminālprocesā vai atsevišķas procesuālās darbības veikšanai, savu procesuālo pienākumu nepildīšana vai nepienācīga pildīšana. Saskaņā ar </w:t>
      </w:r>
      <w:r w:rsidR="00542850">
        <w:t>šā panta otro daļu drošības līdzekli kā procesuālo piespiedu līdzekli piemēro aizdomās turētajam vai apsūdzētajam, ja ir pamats uzskatīt, ka attiecīgā persona turpinās noziedzīgās darbības, traucēs pirmstiesas kriminālprocesu vai tiesu vai izvairīsies no šā procesa vai tiesas.</w:t>
      </w:r>
    </w:p>
    <w:p w14:paraId="526D8F1A" w14:textId="77777777" w:rsidR="000169BC" w:rsidRDefault="000169BC" w:rsidP="00355666">
      <w:pPr>
        <w:shd w:val="clear" w:color="auto" w:fill="FFFFFF"/>
        <w:spacing w:line="276" w:lineRule="auto"/>
        <w:ind w:firstLine="720"/>
        <w:jc w:val="both"/>
      </w:pPr>
    </w:p>
    <w:p w14:paraId="228DE091" w14:textId="1EE8C833" w:rsidR="00117480" w:rsidRDefault="00117480" w:rsidP="00355666">
      <w:pPr>
        <w:shd w:val="clear" w:color="auto" w:fill="FFFFFF"/>
        <w:spacing w:line="276" w:lineRule="auto"/>
        <w:ind w:firstLine="720"/>
        <w:jc w:val="both"/>
      </w:pPr>
      <w:r>
        <w:t>[10]</w:t>
      </w:r>
      <w:r w:rsidR="000169BC">
        <w:t> </w:t>
      </w:r>
      <w:r>
        <w:t xml:space="preserve">No lietas materiāliem redzams, ka pirms aplūkojamā lēmuma par drošības līdzekļa apcietinājuma piemērošanu </w:t>
      </w:r>
      <w:r w:rsidR="009016D0">
        <w:t>[pers. A]</w:t>
      </w:r>
      <w:r>
        <w:t xml:space="preserve"> drošības līdzeklis nav piemērots</w:t>
      </w:r>
      <w:r w:rsidR="001250DE">
        <w:t>, tādēļ secināms, ka pirms minētā lēmuma pieņemšanas Kriminālprocesa likuma 241.</w:t>
      </w:r>
      <w:r w:rsidR="00320016">
        <w:t> </w:t>
      </w:r>
      <w:r w:rsidR="001250DE">
        <w:t xml:space="preserve">panta pirmajā un otrajā daļā noteiktais pamats drošības līdzekļa piemērošanai nav </w:t>
      </w:r>
      <w:r w:rsidR="00320016">
        <w:t>konstatēts</w:t>
      </w:r>
      <w:r w:rsidR="001250DE">
        <w:t>.</w:t>
      </w:r>
    </w:p>
    <w:p w14:paraId="034A2A04" w14:textId="77777777" w:rsidR="000169BC" w:rsidRDefault="000169BC" w:rsidP="00355666">
      <w:pPr>
        <w:shd w:val="clear" w:color="auto" w:fill="FFFFFF"/>
        <w:spacing w:line="276" w:lineRule="auto"/>
        <w:ind w:firstLine="720"/>
        <w:jc w:val="both"/>
      </w:pPr>
    </w:p>
    <w:p w14:paraId="22362ADC" w14:textId="5A6B84B2" w:rsidR="00C5007C" w:rsidRDefault="00320016" w:rsidP="00355666">
      <w:pPr>
        <w:shd w:val="clear" w:color="auto" w:fill="FFFFFF"/>
        <w:spacing w:line="276" w:lineRule="auto"/>
        <w:ind w:firstLine="720"/>
        <w:jc w:val="both"/>
      </w:pPr>
      <w:r>
        <w:t>[11]</w:t>
      </w:r>
      <w:r w:rsidR="000169BC">
        <w:t> </w:t>
      </w:r>
      <w:r w:rsidR="00C5007C">
        <w:t>Saskaņā ar Kriminālprocesa likuma 272.</w:t>
      </w:r>
      <w:r w:rsidR="000169BC">
        <w:t> </w:t>
      </w:r>
      <w:r w:rsidR="00C5007C">
        <w:t xml:space="preserve">panta pirmo daļu apcietinājumu var piemērot tikai tad, </w:t>
      </w:r>
      <w:r w:rsidR="00C60FE9" w:rsidRPr="00C60FE9">
        <w:t>ja kriminālprocesā iegūtās konkrētās ziņas par faktiem rada pamatotas aizdomas, ka persona ir izdarījusi noziedzīgu nodarījumu, par kuru likums paredz brīvības atņemšanas sodu, un cita drošības līdzekļa piemērošana nevar nodrošināt, ka persona neizdarīs jaunu noziedzīgu nodarījumu, netraucēs vai neizvairīsies no pirmstiesas kriminālprocesa, tiesas vai sprieduma izpildīšanas</w:t>
      </w:r>
      <w:r w:rsidR="00C5007C">
        <w:t>.</w:t>
      </w:r>
    </w:p>
    <w:p w14:paraId="4A3AF45D" w14:textId="279B65DA" w:rsidR="00394029" w:rsidRDefault="00320016" w:rsidP="00355666">
      <w:pPr>
        <w:shd w:val="clear" w:color="auto" w:fill="FFFFFF"/>
        <w:spacing w:line="276" w:lineRule="auto"/>
        <w:ind w:firstLine="720"/>
        <w:jc w:val="both"/>
      </w:pPr>
      <w:r>
        <w:t xml:space="preserve">Apelācijas instances tiesa ir konstatējusi faktu, ka apsūdzētais </w:t>
      </w:r>
      <w:r w:rsidR="005A168F">
        <w:t>[pers. A]</w:t>
      </w:r>
      <w:r>
        <w:t xml:space="preserve"> 2025.</w:t>
      </w:r>
      <w:r w:rsidR="00117DFE">
        <w:t> </w:t>
      </w:r>
      <w:r>
        <w:t xml:space="preserve">gada </w:t>
      </w:r>
      <w:r w:rsidR="005A168F">
        <w:t>[..]</w:t>
      </w:r>
      <w:r w:rsidR="00294340">
        <w:t xml:space="preserve"> uz tiesas sēdi</w:t>
      </w:r>
      <w:r>
        <w:t xml:space="preserve"> dalībai attālināti nav ieradies, lai gan par tās norises laiku un vietu ticis informēts Kriminālprocesa likumā noteiktajā kārtībā</w:t>
      </w:r>
      <w:r w:rsidR="00117DFE">
        <w:t xml:space="preserve">, par neierašanās iemesliem tiesu nav informējis un neierašanos attaisnojošus dokumentus nav iesniedzis. Tiesa atzinusi, ka </w:t>
      </w:r>
      <w:r w:rsidR="005A168F">
        <w:t>[pers. A]</w:t>
      </w:r>
      <w:r w:rsidR="00117DFE">
        <w:t xml:space="preserve"> tiesā nav ieradies bez attaisnojoša iemesla, tādējādi izvairās no tiesas un traucē tiesas procesu. </w:t>
      </w:r>
      <w:r w:rsidR="00294340">
        <w:t>Balstoties uz minētajiem faktiem un atzinumiem, apelācijas instances tiesa secinājusi, ka konstatējams Kriminālprocesa likuma 272. panta pirmajā daļā noteiktais pamats apcietinājuma piemērošanai, jo cits drošības līdzeklis nevar nodrošināt, ka apsūdzētais netraucēs un neizvairīsies no tiesas.</w:t>
      </w:r>
    </w:p>
    <w:p w14:paraId="6189050C" w14:textId="193DAFD1" w:rsidR="00C5007C" w:rsidRDefault="00C5007C" w:rsidP="005A168F">
      <w:pPr>
        <w:shd w:val="clear" w:color="auto" w:fill="FFFFFF"/>
        <w:spacing w:line="276" w:lineRule="auto"/>
        <w:ind w:firstLine="720"/>
        <w:jc w:val="both"/>
      </w:pPr>
      <w:r>
        <w:t xml:space="preserve">Senatore konstatē, ka apelācijas instances tiesa nav </w:t>
      </w:r>
      <w:r w:rsidR="00351B26">
        <w:t>motivējusi</w:t>
      </w:r>
      <w:r>
        <w:t xml:space="preserve"> atzinumu, ka cita drošības līdzekļa piemērošana nevar nodrošināt, ka </w:t>
      </w:r>
      <w:r w:rsidR="005A168F">
        <w:t>[pers. A]</w:t>
      </w:r>
      <w:r>
        <w:t xml:space="preserve"> netraucēs un neizvairīsies no tiesas.</w:t>
      </w:r>
    </w:p>
    <w:p w14:paraId="224A470C" w14:textId="065C2FBF" w:rsidR="00C5007C" w:rsidRDefault="0048697B" w:rsidP="00355666">
      <w:pPr>
        <w:shd w:val="clear" w:color="auto" w:fill="FFFFFF"/>
        <w:spacing w:line="276" w:lineRule="auto"/>
        <w:ind w:firstLine="720"/>
        <w:jc w:val="both"/>
      </w:pPr>
      <w:r>
        <w:t>Atbilstoši Kriminālprocesa likuma 244.</w:t>
      </w:r>
      <w:r w:rsidR="007406F6">
        <w:t> </w:t>
      </w:r>
      <w:r>
        <w:t>panta pirmajai daļai</w:t>
      </w:r>
      <w:r w:rsidR="00857BF5">
        <w:t xml:space="preserve"> procesa virzītājam ir jāizvēlas tāds procesuālais piespiedu līdzeklis, kas pēc iespējas mazāk aizskar personas pamattiesības un ir samērīgs. </w:t>
      </w:r>
    </w:p>
    <w:p w14:paraId="5BC58076" w14:textId="45AE5177" w:rsidR="00507A3F" w:rsidRDefault="005A168F" w:rsidP="00355666">
      <w:pPr>
        <w:shd w:val="clear" w:color="auto" w:fill="FFFFFF"/>
        <w:spacing w:line="276" w:lineRule="auto"/>
        <w:ind w:firstLine="720"/>
        <w:jc w:val="both"/>
      </w:pPr>
      <w:r>
        <w:t>[Pers. A]</w:t>
      </w:r>
      <w:r w:rsidR="00857BF5">
        <w:t xml:space="preserve"> ar pirmās instances tiesas spriedumu un arī apelācijas instances tiesas spriedumu drošības līdzeklis nav piemērots. No lietas materiāliem redzams, ka </w:t>
      </w:r>
      <w:r>
        <w:t>[pers. A]</w:t>
      </w:r>
      <w:r w:rsidR="00857BF5">
        <w:t xml:space="preserve"> iepriekš uz tiesas sēdēm apelācijas instances tiesā ir ieradies.</w:t>
      </w:r>
    </w:p>
    <w:p w14:paraId="15673BA6" w14:textId="440E5B43" w:rsidR="00857BF5" w:rsidRDefault="00507A3F" w:rsidP="00355666">
      <w:pPr>
        <w:shd w:val="clear" w:color="auto" w:fill="FFFFFF"/>
        <w:spacing w:line="276" w:lineRule="auto"/>
        <w:ind w:firstLine="720"/>
        <w:jc w:val="both"/>
      </w:pPr>
      <w:r>
        <w:t>Arī Eiropas Cilvēktiesību tiesa ir norādījusi, ka nacionālajām iestādēm vienmēr jāapsver iespēja noteikt mazāk ierobežojošu līdzekli</w:t>
      </w:r>
      <w:r w:rsidRPr="00355666">
        <w:t xml:space="preserve"> (</w:t>
      </w:r>
      <w:r w:rsidRPr="00355666">
        <w:rPr>
          <w:i/>
          <w:iCs/>
        </w:rPr>
        <w:t>sk., piemēram, Eiropas Cilvēktiesību tiesas 2008.</w:t>
      </w:r>
      <w:r w:rsidR="008F61C0" w:rsidRPr="00355666">
        <w:rPr>
          <w:i/>
          <w:iCs/>
        </w:rPr>
        <w:t> </w:t>
      </w:r>
      <w:r w:rsidRPr="00355666">
        <w:rPr>
          <w:i/>
          <w:iCs/>
        </w:rPr>
        <w:t>gada 18.</w:t>
      </w:r>
      <w:r w:rsidR="008F61C0" w:rsidRPr="00355666">
        <w:rPr>
          <w:i/>
          <w:iCs/>
        </w:rPr>
        <w:t> </w:t>
      </w:r>
      <w:r w:rsidRPr="00355666">
        <w:rPr>
          <w:i/>
          <w:iCs/>
        </w:rPr>
        <w:t xml:space="preserve">marta spriedumā lietā </w:t>
      </w:r>
      <w:r w:rsidR="00355666">
        <w:rPr>
          <w:i/>
          <w:iCs/>
        </w:rPr>
        <w:t>„</w:t>
      </w:r>
      <w:proofErr w:type="spellStart"/>
      <w:r w:rsidRPr="00355666">
        <w:rPr>
          <w:i/>
          <w:iCs/>
        </w:rPr>
        <w:t>Ladent</w:t>
      </w:r>
      <w:proofErr w:type="spellEnd"/>
      <w:r w:rsidRPr="00355666">
        <w:rPr>
          <w:i/>
          <w:iCs/>
        </w:rPr>
        <w:t xml:space="preserve"> v.</w:t>
      </w:r>
      <w:r w:rsidR="008F61C0" w:rsidRPr="00355666">
        <w:rPr>
          <w:i/>
          <w:iCs/>
        </w:rPr>
        <w:t> </w:t>
      </w:r>
      <w:proofErr w:type="spellStart"/>
      <w:r w:rsidR="00080073" w:rsidRPr="00355666">
        <w:rPr>
          <w:i/>
          <w:iCs/>
        </w:rPr>
        <w:t>Poland</w:t>
      </w:r>
      <w:proofErr w:type="spellEnd"/>
      <w:r w:rsidR="00080073" w:rsidRPr="00355666">
        <w:rPr>
          <w:i/>
          <w:iCs/>
        </w:rPr>
        <w:t>”, pieteikuma Nr.</w:t>
      </w:r>
      <w:r w:rsidR="008F61C0" w:rsidRPr="00355666">
        <w:rPr>
          <w:i/>
          <w:iCs/>
        </w:rPr>
        <w:t> </w:t>
      </w:r>
      <w:hyperlink r:id="rId7" w:anchor="{%22languageisocode%22:[%22ENG%22],%22appno%22:[%2211036/03%22],%22documentcollectionid2%22:[%22CHAMBER%22],%22itemid%22:[%22001-85487%22]}" w:history="1">
        <w:r w:rsidR="00080073" w:rsidRPr="00F51658">
          <w:rPr>
            <w:rStyle w:val="Hyperlink"/>
            <w:i/>
            <w:iCs/>
          </w:rPr>
          <w:t>11036/03</w:t>
        </w:r>
      </w:hyperlink>
      <w:r w:rsidR="00080073" w:rsidRPr="00355666">
        <w:rPr>
          <w:i/>
          <w:iCs/>
        </w:rPr>
        <w:t>, 56.</w:t>
      </w:r>
      <w:r w:rsidR="008F61C0" w:rsidRPr="00355666">
        <w:rPr>
          <w:i/>
          <w:iCs/>
        </w:rPr>
        <w:t> </w:t>
      </w:r>
      <w:r w:rsidR="00080073" w:rsidRPr="00355666">
        <w:rPr>
          <w:i/>
          <w:iCs/>
        </w:rPr>
        <w:t>punktu un 2004.</w:t>
      </w:r>
      <w:r w:rsidR="008F61C0" w:rsidRPr="00355666">
        <w:rPr>
          <w:i/>
          <w:iCs/>
        </w:rPr>
        <w:t> </w:t>
      </w:r>
      <w:r w:rsidR="00080073" w:rsidRPr="00355666">
        <w:rPr>
          <w:i/>
          <w:iCs/>
        </w:rPr>
        <w:t>gada 20.</w:t>
      </w:r>
      <w:r w:rsidR="008F61C0" w:rsidRPr="00355666">
        <w:rPr>
          <w:i/>
          <w:iCs/>
        </w:rPr>
        <w:t> </w:t>
      </w:r>
      <w:r w:rsidR="00080073" w:rsidRPr="00355666">
        <w:rPr>
          <w:i/>
          <w:iCs/>
        </w:rPr>
        <w:t xml:space="preserve">janvāra sprieduma lietā </w:t>
      </w:r>
      <w:r w:rsidR="00355666">
        <w:rPr>
          <w:i/>
          <w:iCs/>
        </w:rPr>
        <w:t>„</w:t>
      </w:r>
      <w:r w:rsidR="00080073" w:rsidRPr="00355666">
        <w:rPr>
          <w:i/>
          <w:iCs/>
        </w:rPr>
        <w:t>G.K. v.</w:t>
      </w:r>
      <w:r w:rsidR="008F61C0" w:rsidRPr="00355666">
        <w:rPr>
          <w:i/>
          <w:iCs/>
        </w:rPr>
        <w:t> </w:t>
      </w:r>
      <w:proofErr w:type="spellStart"/>
      <w:r w:rsidR="00080073" w:rsidRPr="00355666">
        <w:rPr>
          <w:i/>
          <w:iCs/>
        </w:rPr>
        <w:t>Poland</w:t>
      </w:r>
      <w:proofErr w:type="spellEnd"/>
      <w:r w:rsidR="00080073" w:rsidRPr="00355666">
        <w:rPr>
          <w:i/>
          <w:iCs/>
        </w:rPr>
        <w:t>” pieteikuma Nr.</w:t>
      </w:r>
      <w:r w:rsidR="00355666">
        <w:rPr>
          <w:i/>
          <w:iCs/>
        </w:rPr>
        <w:t> </w:t>
      </w:r>
      <w:hyperlink r:id="rId8" w:anchor="{%22respondent%22:[%22POL%22],%22documentcollectionid2%22:[%22GRANDCHAMBER%22,%22CHAMBER%22],%22kpdate%22:[%222004-01-20T00:00:00.0Z%22,%222004-01-20T00:00:00.0Z%22],%22itemid%22:[%22001-61589%22]}" w:history="1">
        <w:r w:rsidR="00080073" w:rsidRPr="00F51658">
          <w:rPr>
            <w:rStyle w:val="Hyperlink"/>
            <w:i/>
            <w:iCs/>
          </w:rPr>
          <w:t>3881</w:t>
        </w:r>
        <w:r w:rsidR="00F51658" w:rsidRPr="00F51658">
          <w:rPr>
            <w:rStyle w:val="Hyperlink"/>
            <w:i/>
            <w:iCs/>
          </w:rPr>
          <w:t>6</w:t>
        </w:r>
        <w:r w:rsidR="00080073" w:rsidRPr="00F51658">
          <w:rPr>
            <w:rStyle w:val="Hyperlink"/>
            <w:i/>
            <w:iCs/>
          </w:rPr>
          <w:t>/97</w:t>
        </w:r>
      </w:hyperlink>
      <w:r w:rsidR="00080073" w:rsidRPr="00355666">
        <w:rPr>
          <w:i/>
          <w:iCs/>
        </w:rPr>
        <w:t>, 85.</w:t>
      </w:r>
      <w:r w:rsidR="008F61C0" w:rsidRPr="00355666">
        <w:rPr>
          <w:i/>
          <w:iCs/>
        </w:rPr>
        <w:t> </w:t>
      </w:r>
      <w:r w:rsidR="00080073" w:rsidRPr="00355666">
        <w:rPr>
          <w:i/>
          <w:iCs/>
        </w:rPr>
        <w:t>punktu</w:t>
      </w:r>
      <w:r w:rsidR="00080073" w:rsidRPr="00355666">
        <w:t>).</w:t>
      </w:r>
    </w:p>
    <w:p w14:paraId="2CF55ADF" w14:textId="77777777" w:rsidR="00F51658" w:rsidRPr="00355666" w:rsidRDefault="00F51658" w:rsidP="00355666">
      <w:pPr>
        <w:shd w:val="clear" w:color="auto" w:fill="FFFFFF"/>
        <w:spacing w:line="276" w:lineRule="auto"/>
        <w:ind w:firstLine="720"/>
        <w:jc w:val="both"/>
      </w:pPr>
    </w:p>
    <w:p w14:paraId="1DE71504" w14:textId="57F58372" w:rsidR="00320016" w:rsidRDefault="00351B26" w:rsidP="005A168F">
      <w:pPr>
        <w:shd w:val="clear" w:color="auto" w:fill="FFFFFF"/>
        <w:spacing w:line="276" w:lineRule="auto"/>
        <w:ind w:firstLine="720"/>
        <w:jc w:val="both"/>
      </w:pPr>
      <w:r>
        <w:t>[12]</w:t>
      </w:r>
      <w:r w:rsidR="00F51658">
        <w:t> </w:t>
      </w:r>
      <w:r w:rsidR="00EA50FC">
        <w:t>Papildus motivējot</w:t>
      </w:r>
      <w:r w:rsidR="00320016">
        <w:t xml:space="preserve"> lēmumu par apcietinājuma</w:t>
      </w:r>
      <w:r>
        <w:t xml:space="preserve"> piemērošanu un </w:t>
      </w:r>
      <w:r w:rsidR="005A168F">
        <w:t>[pers. A]</w:t>
      </w:r>
      <w:r>
        <w:t xml:space="preserve"> izsludināšanu meklēšanā</w:t>
      </w:r>
      <w:r w:rsidR="00EA50FC">
        <w:t>,</w:t>
      </w:r>
      <w:r>
        <w:t xml:space="preserve"> tiesa ir atsaukusies uz faktu, ka</w:t>
      </w:r>
      <w:r w:rsidR="00EA50FC">
        <w:t xml:space="preserve"> cits kriminālprocess </w:t>
      </w:r>
      <w:r w:rsidR="005A168F">
        <w:t>[pers. A]</w:t>
      </w:r>
      <w:r w:rsidR="00EA50FC">
        <w:t xml:space="preserve"> apsūdzībā ir apturēts saskaņā ar Kriminālprocesa likuma 378. panta pirmās daļas 2. punktu, jo </w:t>
      </w:r>
      <w:r w:rsidR="005A168F">
        <w:t>[pers. A]</w:t>
      </w:r>
      <w:r w:rsidR="00EA50FC">
        <w:t xml:space="preserve"> slēpjas un nav zināma viņa atrašanās vieta</w:t>
      </w:r>
      <w:r w:rsidR="003D46E9">
        <w:t>.</w:t>
      </w:r>
      <w:r w:rsidR="00EA50FC">
        <w:t xml:space="preserve"> Par šāda fakta esību tiesa nav informējusi procesa dalībniekus, kuriem ir tiesības zināt argumentus, kas var tikt izmantoti lēmuma pamatošanā, un izteikt par tiem savus apsvērumus.</w:t>
      </w:r>
      <w:r w:rsidR="00E97502" w:rsidRPr="00E97502">
        <w:t xml:space="preserve"> </w:t>
      </w:r>
    </w:p>
    <w:p w14:paraId="49F38B08" w14:textId="1FE127CE" w:rsidR="00E97502" w:rsidRDefault="00E97502" w:rsidP="00355666">
      <w:pPr>
        <w:shd w:val="clear" w:color="auto" w:fill="FFFFFF"/>
        <w:spacing w:line="276" w:lineRule="auto"/>
        <w:ind w:firstLine="720"/>
        <w:jc w:val="both"/>
      </w:pPr>
      <w:r>
        <w:t xml:space="preserve">Eiropas Cilvēktiesību tiesa lietā </w:t>
      </w:r>
      <w:r w:rsidR="00496C97">
        <w:t>„</w:t>
      </w:r>
      <w:proofErr w:type="spellStart"/>
      <w:r>
        <w:t>Vorotņikova</w:t>
      </w:r>
      <w:proofErr w:type="spellEnd"/>
      <w:r>
        <w:t xml:space="preserve"> pret Latviju” ir norādījusi, ka sacīkstes princips noteic procesa dalībnieku tiesību būt informētiem par visiem lietā iesniegtajiem pierādījumiem vai apsvērumiem, kuru mērķis ir ietekmēt tiesas lēmumu, un sniegt par tiem savus </w:t>
      </w:r>
      <w:r w:rsidRPr="00496C97">
        <w:t>apsvērumus (</w:t>
      </w:r>
      <w:r w:rsidR="00496C97" w:rsidRPr="00496C97">
        <w:rPr>
          <w:i/>
          <w:iCs/>
        </w:rPr>
        <w:t xml:space="preserve">Eiropas Cilvēktiesību tiesas 2021. gada 4. februāra sprieduma lietā </w:t>
      </w:r>
      <w:r w:rsidR="00496C97" w:rsidRPr="00496C97">
        <w:rPr>
          <w:i/>
          <w:color w:val="000000"/>
          <w:shd w:val="clear" w:color="auto" w:fill="FFFFFF"/>
        </w:rPr>
        <w:t>„</w:t>
      </w:r>
      <w:proofErr w:type="spellStart"/>
      <w:r w:rsidR="00496C97" w:rsidRPr="00496C97">
        <w:rPr>
          <w:i/>
          <w:iCs/>
        </w:rPr>
        <w:t>Vorotņikova</w:t>
      </w:r>
      <w:proofErr w:type="spellEnd"/>
      <w:r w:rsidR="00496C97" w:rsidRPr="00496C97">
        <w:rPr>
          <w:i/>
          <w:iCs/>
        </w:rPr>
        <w:t xml:space="preserve"> v. Latvia” pieteikuma Nr. </w:t>
      </w:r>
      <w:hyperlink r:id="rId9" w:anchor="{%22appno%22:[%2268188/13%22],%22documentcollectionid2%22:[%22GRANDCHAMBER%22,%22CHAMBER%22],%22itemid%22:[%22001-207632%22]}" w:history="1">
        <w:r w:rsidR="00496C97" w:rsidRPr="00496C97">
          <w:rPr>
            <w:rStyle w:val="Hyperlink"/>
            <w:i/>
          </w:rPr>
          <w:t>68188/13</w:t>
        </w:r>
      </w:hyperlink>
      <w:r w:rsidR="00496C97" w:rsidRPr="00496C97">
        <w:rPr>
          <w:i/>
          <w:color w:val="101820"/>
        </w:rPr>
        <w:t>,</w:t>
      </w:r>
      <w:r w:rsidR="00496C97" w:rsidRPr="00496C97">
        <w:rPr>
          <w:i/>
          <w:iCs/>
        </w:rPr>
        <w:t xml:space="preserve"> 21. punkts</w:t>
      </w:r>
      <w:r w:rsidRPr="00496C97">
        <w:t>)</w:t>
      </w:r>
      <w:r w:rsidR="008C2EDF" w:rsidRPr="00496C97">
        <w:t>.</w:t>
      </w:r>
      <w:r w:rsidRPr="00496C97">
        <w:t xml:space="preserve"> Šī prasība ir vienlīdz attiecināma arī uz informāciju un atzinumiem, ko tiesa ieguvusi pēc savas iniciatīvas, lai pieņemtu pamatotu lēmumu. Tikai lietas dalībnieku pašu ziņā ir spriest, vai attiecībā uz konkrētu dokumentu ir nepieciešami viņu apsvērumi (</w:t>
      </w:r>
      <w:r w:rsidR="00496C97" w:rsidRPr="00496C97">
        <w:rPr>
          <w:i/>
          <w:iCs/>
        </w:rPr>
        <w:t xml:space="preserve">Eiropas Cilvēktiesību tiesas 2021. gada 4. februāra sprieduma lietā </w:t>
      </w:r>
      <w:r w:rsidR="00496C97" w:rsidRPr="00496C97">
        <w:rPr>
          <w:i/>
          <w:color w:val="000000"/>
          <w:shd w:val="clear" w:color="auto" w:fill="FFFFFF"/>
        </w:rPr>
        <w:t>„</w:t>
      </w:r>
      <w:proofErr w:type="spellStart"/>
      <w:r w:rsidR="00496C97" w:rsidRPr="00496C97">
        <w:rPr>
          <w:i/>
          <w:iCs/>
        </w:rPr>
        <w:t>Vorotņikova</w:t>
      </w:r>
      <w:proofErr w:type="spellEnd"/>
      <w:r w:rsidR="00496C97" w:rsidRPr="00496C97">
        <w:rPr>
          <w:i/>
          <w:iCs/>
        </w:rPr>
        <w:t xml:space="preserve"> v. Latvia” pieteikuma Nr. </w:t>
      </w:r>
      <w:hyperlink r:id="rId10" w:anchor="{%22appno%22:[%2268188/13%22],%22documentcollectionid2%22:[%22GRANDCHAMBER%22,%22CHAMBER%22],%22itemid%22:[%22001-207632%22]}" w:history="1">
        <w:r w:rsidR="00496C97" w:rsidRPr="00496C97">
          <w:rPr>
            <w:rStyle w:val="Hyperlink"/>
            <w:i/>
          </w:rPr>
          <w:t>68188/13</w:t>
        </w:r>
      </w:hyperlink>
      <w:r w:rsidR="00496C97" w:rsidRPr="00496C97">
        <w:rPr>
          <w:i/>
          <w:color w:val="101820"/>
        </w:rPr>
        <w:t>,</w:t>
      </w:r>
      <w:r w:rsidR="00496C97" w:rsidRPr="00496C97">
        <w:rPr>
          <w:i/>
          <w:iCs/>
        </w:rPr>
        <w:t xml:space="preserve"> 22. punkts</w:t>
      </w:r>
      <w:r w:rsidRPr="00496C97">
        <w:t>)</w:t>
      </w:r>
      <w:r w:rsidR="008C2EDF" w:rsidRPr="00496C97">
        <w:t>.</w:t>
      </w:r>
    </w:p>
    <w:p w14:paraId="1424E7CC" w14:textId="77777777" w:rsidR="000C7451" w:rsidRDefault="000C7451" w:rsidP="00355666">
      <w:pPr>
        <w:shd w:val="clear" w:color="auto" w:fill="FFFFFF"/>
        <w:spacing w:line="276" w:lineRule="auto"/>
        <w:ind w:firstLine="720"/>
        <w:jc w:val="both"/>
      </w:pPr>
    </w:p>
    <w:p w14:paraId="578580FD" w14:textId="1CE27124" w:rsidR="008C2EDF" w:rsidRDefault="008C2EDF" w:rsidP="00355666">
      <w:pPr>
        <w:shd w:val="clear" w:color="auto" w:fill="FFFFFF"/>
        <w:spacing w:line="276" w:lineRule="auto"/>
        <w:ind w:firstLine="720"/>
        <w:jc w:val="both"/>
      </w:pPr>
      <w:r>
        <w:t>[13]</w:t>
      </w:r>
      <w:r w:rsidR="000C7451">
        <w:t> </w:t>
      </w:r>
      <w:r>
        <w:t>Turklāt no 2025.</w:t>
      </w:r>
      <w:r w:rsidR="000C7451">
        <w:t> </w:t>
      </w:r>
      <w:r>
        <w:t xml:space="preserve">gada </w:t>
      </w:r>
      <w:r w:rsidR="005A168F">
        <w:t>[..]</w:t>
      </w:r>
      <w:r>
        <w:t xml:space="preserve"> tiesas sēdes audio ieraksta secināms, ka tiesas sēdē netika apsvērts jautājums par drošības līdzekļa, jo īpaši apcietinājuma kā visvairāk ierobežojoša līdzekļa, piemērošanu apsūdzētajam </w:t>
      </w:r>
      <w:r w:rsidR="005A168F">
        <w:t>[pers. A]</w:t>
      </w:r>
      <w:r>
        <w:t>, tādējādi procesa dalībniekiem netika dota iespēja izteikt savus apsvērumus par</w:t>
      </w:r>
      <w:r w:rsidR="00D2454D">
        <w:t xml:space="preserve"> būtisku</w:t>
      </w:r>
      <w:r>
        <w:t xml:space="preserve"> </w:t>
      </w:r>
      <w:r w:rsidR="00D2454D">
        <w:t>tiesā izlemjamu jautājumu.</w:t>
      </w:r>
    </w:p>
    <w:p w14:paraId="5F64D9F7" w14:textId="220B7EE5" w:rsidR="00D2454D" w:rsidRDefault="00D2454D" w:rsidP="00355666">
      <w:pPr>
        <w:shd w:val="clear" w:color="auto" w:fill="FFFFFF"/>
        <w:spacing w:line="276" w:lineRule="auto"/>
        <w:ind w:firstLine="720"/>
        <w:jc w:val="both"/>
      </w:pPr>
      <w:r>
        <w:t>Apelācijas instances tiesa pamatoti norādījusi, ka saskaņā ar Kriminālprocesa likuma 276.</w:t>
      </w:r>
      <w:r w:rsidR="007F4B6E">
        <w:t> </w:t>
      </w:r>
      <w:r>
        <w:t>pantu pēc iztiesāšanas uzsākšanas tiesa drošības līdzekli apcietinājumu var piemērot arī pēc savas iniciatīvas, tomēr</w:t>
      </w:r>
      <w:r w:rsidR="007F4B6E">
        <w:t xml:space="preserve">, </w:t>
      </w:r>
      <w:r w:rsidR="00FD04DB">
        <w:t>īstenojot</w:t>
      </w:r>
      <w:r w:rsidR="002C25B4">
        <w:t xml:space="preserve"> likumā noteikto,</w:t>
      </w:r>
      <w:r w:rsidR="007F4B6E">
        <w:t xml:space="preserve"> jā</w:t>
      </w:r>
      <w:r w:rsidR="002541F6">
        <w:t>ievēro</w:t>
      </w:r>
      <w:r w:rsidR="007F4B6E">
        <w:t xml:space="preserve"> personas tiesības</w:t>
      </w:r>
      <w:r w:rsidR="00FB2765">
        <w:t xml:space="preserve"> uz taisnīgu tiesu, kas ietver tiesības</w:t>
      </w:r>
      <w:r w:rsidR="007F4B6E">
        <w:t xml:space="preserve"> būt informēt</w:t>
      </w:r>
      <w:r w:rsidR="002C25B4">
        <w:t>a</w:t>
      </w:r>
      <w:r w:rsidR="007F4B6E">
        <w:t>m un</w:t>
      </w:r>
      <w:r w:rsidR="00FB2765">
        <w:t xml:space="preserve"> tikt uzklausītam par izskatāmo jautājumu.</w:t>
      </w:r>
    </w:p>
    <w:p w14:paraId="311ADA0F" w14:textId="77777777" w:rsidR="000C7451" w:rsidRDefault="000C7451" w:rsidP="00355666">
      <w:pPr>
        <w:shd w:val="clear" w:color="auto" w:fill="FFFFFF"/>
        <w:spacing w:line="276" w:lineRule="auto"/>
        <w:ind w:firstLine="720"/>
        <w:jc w:val="both"/>
      </w:pPr>
    </w:p>
    <w:p w14:paraId="53DB7074" w14:textId="24ED4361" w:rsidR="00964A11" w:rsidRDefault="00FD04DB" w:rsidP="00001B5B">
      <w:pPr>
        <w:shd w:val="clear" w:color="auto" w:fill="FFFFFF"/>
        <w:spacing w:line="276" w:lineRule="auto"/>
        <w:ind w:firstLine="720"/>
        <w:jc w:val="both"/>
      </w:pPr>
      <w:r>
        <w:t>[14]</w:t>
      </w:r>
      <w:r w:rsidR="000C7451">
        <w:t> </w:t>
      </w:r>
      <w:r>
        <w:t>Pamatojoties uz izklāstīto apsvērumu kopumu, senatore atzīst, ka apelācijas instances tiesa, taisot lēmumu par drošības līdzekļa – apcietinājuma</w:t>
      </w:r>
      <w:r w:rsidR="000C7451">
        <w:t xml:space="preserve"> </w:t>
      </w:r>
      <w:r w:rsidR="000C7451">
        <w:softHyphen/>
      </w:r>
      <w:r>
        <w:t xml:space="preserve"> piemērošanu apsūdzētajam </w:t>
      </w:r>
      <w:r w:rsidR="005A168F">
        <w:t>[pers. A]</w:t>
      </w:r>
      <w:r>
        <w:t xml:space="preserve"> un viņa izsludināšanu meklēšanā, ir pārkāpusi Kriminālprocesa likuma</w:t>
      </w:r>
      <w:r w:rsidR="00EB1A46">
        <w:t xml:space="preserve"> 15. pantu, kas noteic</w:t>
      </w:r>
      <w:r w:rsidR="00E8377B">
        <w:t xml:space="preserve"> ikviena tiesības uz lietas izskatīšanu taisnīgā tiesā, un</w:t>
      </w:r>
      <w:r>
        <w:t xml:space="preserve"> 244.</w:t>
      </w:r>
      <w:r w:rsidR="00EB1A46">
        <w:t> </w:t>
      </w:r>
      <w:r>
        <w:t>panta pirmo daļu</w:t>
      </w:r>
      <w:r w:rsidR="00E8377B">
        <w:t>, tādēļ lēmums ir atceļams.</w:t>
      </w:r>
      <w:r>
        <w:t xml:space="preserve"> </w:t>
      </w:r>
      <w:r w:rsidR="00964A11">
        <w:t xml:space="preserve"> </w:t>
      </w:r>
    </w:p>
    <w:p w14:paraId="12CBFC44" w14:textId="77777777" w:rsidR="00447EE6" w:rsidRPr="00847F44" w:rsidRDefault="00447EE6" w:rsidP="00355666">
      <w:pPr>
        <w:shd w:val="clear" w:color="auto" w:fill="FFFFFF"/>
        <w:spacing w:before="360" w:after="360" w:line="276" w:lineRule="auto"/>
        <w:jc w:val="center"/>
        <w:rPr>
          <w:b/>
        </w:rPr>
      </w:pPr>
      <w:r w:rsidRPr="00847F44">
        <w:rPr>
          <w:b/>
        </w:rPr>
        <w:t xml:space="preserve">Rezolutīvā daļa </w:t>
      </w:r>
    </w:p>
    <w:p w14:paraId="64BF57CE" w14:textId="05239065" w:rsidR="003E6B8D" w:rsidRDefault="00447EE6" w:rsidP="00001B5B">
      <w:pPr>
        <w:shd w:val="clear" w:color="auto" w:fill="FFFFFF"/>
        <w:spacing w:line="276" w:lineRule="auto"/>
        <w:ind w:firstLine="720"/>
        <w:jc w:val="both"/>
      </w:pPr>
      <w:r>
        <w:t xml:space="preserve">Pamatojoties uz </w:t>
      </w:r>
      <w:r w:rsidR="005B4AEB">
        <w:t xml:space="preserve">Kriminālprocesa likuma 287. panta trešās </w:t>
      </w:r>
      <w:r w:rsidR="005B4AEB" w:rsidRPr="00FB4ADE">
        <w:t xml:space="preserve">daļas </w:t>
      </w:r>
      <w:r w:rsidR="00FB4ADE" w:rsidRPr="00FB4ADE">
        <w:t>2</w:t>
      </w:r>
      <w:r w:rsidR="005B4AEB" w:rsidRPr="00FB4ADE">
        <w:t>. punktu, senatore</w:t>
      </w:r>
    </w:p>
    <w:p w14:paraId="4DB4CDE0" w14:textId="77777777" w:rsidR="00001B5B" w:rsidRPr="00001B5B" w:rsidRDefault="00001B5B" w:rsidP="00001B5B">
      <w:pPr>
        <w:shd w:val="clear" w:color="auto" w:fill="FFFFFF"/>
        <w:spacing w:line="276" w:lineRule="auto"/>
        <w:ind w:firstLine="720"/>
        <w:jc w:val="both"/>
      </w:pPr>
    </w:p>
    <w:p w14:paraId="297C80CD" w14:textId="23C35E8F" w:rsidR="00447EE6" w:rsidRDefault="005B4AEB" w:rsidP="00355666">
      <w:pPr>
        <w:shd w:val="clear" w:color="auto" w:fill="FFFFFF"/>
        <w:spacing w:line="276" w:lineRule="auto"/>
        <w:jc w:val="center"/>
        <w:rPr>
          <w:b/>
        </w:rPr>
      </w:pPr>
      <w:r>
        <w:rPr>
          <w:b/>
        </w:rPr>
        <w:t>nolēma</w:t>
      </w:r>
    </w:p>
    <w:p w14:paraId="28660F9E" w14:textId="77777777" w:rsidR="00447EE6" w:rsidRPr="00A53E41" w:rsidRDefault="00447EE6" w:rsidP="00355666">
      <w:pPr>
        <w:shd w:val="clear" w:color="auto" w:fill="FFFFFF"/>
        <w:spacing w:line="276" w:lineRule="auto"/>
        <w:jc w:val="center"/>
        <w:rPr>
          <w:b/>
        </w:rPr>
      </w:pPr>
    </w:p>
    <w:p w14:paraId="6E71DD63" w14:textId="6F9AB00E" w:rsidR="00447EE6" w:rsidRDefault="005B4AEB" w:rsidP="00355666">
      <w:pPr>
        <w:spacing w:line="276" w:lineRule="auto"/>
        <w:ind w:firstLine="709"/>
        <w:jc w:val="both"/>
      </w:pPr>
      <w:r>
        <w:t xml:space="preserve">apsūdzētā </w:t>
      </w:r>
      <w:r w:rsidR="005A168F">
        <w:t>[pers. A]</w:t>
      </w:r>
      <w:r>
        <w:t xml:space="preserve"> aizstāvja zvērināta advokāta Artūra </w:t>
      </w:r>
      <w:proofErr w:type="spellStart"/>
      <w:r>
        <w:t>Parfjonova</w:t>
      </w:r>
      <w:proofErr w:type="spellEnd"/>
      <w:r>
        <w:t xml:space="preserve"> sūdzību</w:t>
      </w:r>
      <w:r w:rsidR="00FB4ADE">
        <w:t xml:space="preserve"> apmierināt</w:t>
      </w:r>
      <w:r w:rsidR="005A1FC6">
        <w:t xml:space="preserve"> un </w:t>
      </w:r>
      <w:r w:rsidR="005A168F">
        <w:t>[..]</w:t>
      </w:r>
      <w:r w:rsidR="005A1FC6">
        <w:t xml:space="preserve"> apgabaltiesas 2025. gada </w:t>
      </w:r>
      <w:r w:rsidR="005A168F">
        <w:t>[..]</w:t>
      </w:r>
      <w:r w:rsidR="005A1FC6">
        <w:t xml:space="preserve"> lēmumu </w:t>
      </w:r>
      <w:r w:rsidR="00FB4ADE">
        <w:t>atcelt</w:t>
      </w:r>
      <w:r w:rsidR="005A1FC6">
        <w:t>.</w:t>
      </w:r>
    </w:p>
    <w:p w14:paraId="049D1CB4" w14:textId="1C610AF0" w:rsidR="00447EE6" w:rsidRPr="005E392D" w:rsidRDefault="005B4AEB" w:rsidP="005A168F">
      <w:pPr>
        <w:spacing w:line="276" w:lineRule="auto"/>
        <w:ind w:firstLine="709"/>
        <w:jc w:val="both"/>
      </w:pPr>
      <w:r>
        <w:t>Lēmums nav pārsūdzams.</w:t>
      </w:r>
    </w:p>
    <w:sectPr w:rsidR="00447EE6" w:rsidRPr="005E392D" w:rsidSect="00E044C5">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EA5F" w14:textId="77777777" w:rsidR="00F51658" w:rsidRDefault="00F51658" w:rsidP="00F51658">
      <w:r>
        <w:separator/>
      </w:r>
    </w:p>
  </w:endnote>
  <w:endnote w:type="continuationSeparator" w:id="0">
    <w:p w14:paraId="603CDE6D" w14:textId="77777777" w:rsidR="00F51658" w:rsidRDefault="00F51658" w:rsidP="00F5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15769"/>
      <w:docPartObj>
        <w:docPartGallery w:val="Page Numbers (Bottom of Page)"/>
        <w:docPartUnique/>
      </w:docPartObj>
    </w:sdtPr>
    <w:sdtEndPr/>
    <w:sdtContent>
      <w:sdt>
        <w:sdtPr>
          <w:id w:val="1728636285"/>
          <w:docPartObj>
            <w:docPartGallery w:val="Page Numbers (Top of Page)"/>
            <w:docPartUnique/>
          </w:docPartObj>
        </w:sdtPr>
        <w:sdtEndPr/>
        <w:sdtContent>
          <w:p w14:paraId="5FE5F9CD" w14:textId="587D5FD5" w:rsidR="00F51658" w:rsidRPr="00F51658" w:rsidRDefault="00F51658">
            <w:pPr>
              <w:pStyle w:val="Footer"/>
              <w:jc w:val="center"/>
            </w:pPr>
            <w:r w:rsidRPr="00F51658">
              <w:fldChar w:fldCharType="begin"/>
            </w:r>
            <w:r w:rsidRPr="00F51658">
              <w:instrText xml:space="preserve"> PAGE </w:instrText>
            </w:r>
            <w:r w:rsidRPr="00F51658">
              <w:fldChar w:fldCharType="separate"/>
            </w:r>
            <w:r w:rsidRPr="00F51658">
              <w:rPr>
                <w:noProof/>
              </w:rPr>
              <w:t>2</w:t>
            </w:r>
            <w:r w:rsidRPr="00F51658">
              <w:fldChar w:fldCharType="end"/>
            </w:r>
            <w:r w:rsidRPr="00F51658">
              <w:t xml:space="preserve"> no </w:t>
            </w:r>
            <w:r w:rsidRPr="00F51658">
              <w:fldChar w:fldCharType="begin"/>
            </w:r>
            <w:r w:rsidRPr="00F51658">
              <w:instrText xml:space="preserve"> NUMPAGES  </w:instrText>
            </w:r>
            <w:r w:rsidRPr="00F51658">
              <w:fldChar w:fldCharType="separate"/>
            </w:r>
            <w:r w:rsidRPr="00F51658">
              <w:rPr>
                <w:noProof/>
              </w:rPr>
              <w:t>2</w:t>
            </w:r>
            <w:r w:rsidRPr="00F51658">
              <w:fldChar w:fldCharType="end"/>
            </w:r>
          </w:p>
        </w:sdtContent>
      </w:sdt>
    </w:sdtContent>
  </w:sdt>
  <w:p w14:paraId="074640D1" w14:textId="77777777" w:rsidR="00F51658" w:rsidRPr="00F51658" w:rsidRDefault="00F5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5292" w14:textId="77777777" w:rsidR="00F51658" w:rsidRDefault="00F51658" w:rsidP="00F51658">
      <w:r>
        <w:separator/>
      </w:r>
    </w:p>
  </w:footnote>
  <w:footnote w:type="continuationSeparator" w:id="0">
    <w:p w14:paraId="4326AC50" w14:textId="77777777" w:rsidR="00F51658" w:rsidRDefault="00F51658" w:rsidP="00F51658">
      <w:r>
        <w:continuationSeparator/>
      </w:r>
    </w:p>
  </w:footnote>
  <w:footnote w:id="1">
    <w:p w14:paraId="38A670F8" w14:textId="77777777" w:rsidR="00CA70A7" w:rsidRDefault="00CA70A7" w:rsidP="00CA70A7">
      <w:pPr>
        <w:pStyle w:val="FootnoteText"/>
      </w:pPr>
      <w:r>
        <w:rPr>
          <w:rStyle w:val="FootnoteReference"/>
        </w:rPr>
        <w:footnoteRef/>
      </w:r>
      <w:r>
        <w:t xml:space="preserve"> Slēgtas lietas statuss.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9296D2A"/>
    <w:multiLevelType w:val="hybridMultilevel"/>
    <w:tmpl w:val="D6CE5628"/>
    <w:lvl w:ilvl="0" w:tplc="10561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880893">
    <w:abstractNumId w:val="0"/>
  </w:num>
  <w:num w:numId="2" w16cid:durableId="708385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5B"/>
    <w:rsid w:val="00006F08"/>
    <w:rsid w:val="000169BC"/>
    <w:rsid w:val="00020032"/>
    <w:rsid w:val="000226EC"/>
    <w:rsid w:val="00080073"/>
    <w:rsid w:val="000B4759"/>
    <w:rsid w:val="000C7451"/>
    <w:rsid w:val="000D64B7"/>
    <w:rsid w:val="000E125A"/>
    <w:rsid w:val="000F1483"/>
    <w:rsid w:val="00117480"/>
    <w:rsid w:val="00117DFE"/>
    <w:rsid w:val="001250DE"/>
    <w:rsid w:val="0013429E"/>
    <w:rsid w:val="00156B53"/>
    <w:rsid w:val="00177A7F"/>
    <w:rsid w:val="00186CFB"/>
    <w:rsid w:val="001A22AE"/>
    <w:rsid w:val="001F398F"/>
    <w:rsid w:val="00210F75"/>
    <w:rsid w:val="00221679"/>
    <w:rsid w:val="00251C17"/>
    <w:rsid w:val="002541F6"/>
    <w:rsid w:val="00283A3A"/>
    <w:rsid w:val="00283B9D"/>
    <w:rsid w:val="00294340"/>
    <w:rsid w:val="002A2B7C"/>
    <w:rsid w:val="002C25B4"/>
    <w:rsid w:val="002C689B"/>
    <w:rsid w:val="00320016"/>
    <w:rsid w:val="0033549A"/>
    <w:rsid w:val="0034504D"/>
    <w:rsid w:val="00351B26"/>
    <w:rsid w:val="00351EA6"/>
    <w:rsid w:val="00355666"/>
    <w:rsid w:val="003748C5"/>
    <w:rsid w:val="00394029"/>
    <w:rsid w:val="003B0A7E"/>
    <w:rsid w:val="003B6835"/>
    <w:rsid w:val="003D46E9"/>
    <w:rsid w:val="003E6B8D"/>
    <w:rsid w:val="00431CFB"/>
    <w:rsid w:val="00447EE6"/>
    <w:rsid w:val="004653B4"/>
    <w:rsid w:val="00473A34"/>
    <w:rsid w:val="0048697B"/>
    <w:rsid w:val="00496C97"/>
    <w:rsid w:val="004A13DB"/>
    <w:rsid w:val="004A77CF"/>
    <w:rsid w:val="004B2A94"/>
    <w:rsid w:val="004D3811"/>
    <w:rsid w:val="00507A3F"/>
    <w:rsid w:val="00540072"/>
    <w:rsid w:val="00540419"/>
    <w:rsid w:val="00542850"/>
    <w:rsid w:val="00547C02"/>
    <w:rsid w:val="00567624"/>
    <w:rsid w:val="005823B7"/>
    <w:rsid w:val="005A168F"/>
    <w:rsid w:val="005A1FC6"/>
    <w:rsid w:val="005B4AEB"/>
    <w:rsid w:val="005E4610"/>
    <w:rsid w:val="00601909"/>
    <w:rsid w:val="006266C1"/>
    <w:rsid w:val="006429CC"/>
    <w:rsid w:val="00664D5A"/>
    <w:rsid w:val="006D1AB5"/>
    <w:rsid w:val="006E5B90"/>
    <w:rsid w:val="006E6ADE"/>
    <w:rsid w:val="006F3071"/>
    <w:rsid w:val="006F33A0"/>
    <w:rsid w:val="0070003B"/>
    <w:rsid w:val="00700F23"/>
    <w:rsid w:val="007406F6"/>
    <w:rsid w:val="00762686"/>
    <w:rsid w:val="007A4C79"/>
    <w:rsid w:val="007F2B03"/>
    <w:rsid w:val="007F4B6E"/>
    <w:rsid w:val="00840FD5"/>
    <w:rsid w:val="00854ABC"/>
    <w:rsid w:val="00857BF5"/>
    <w:rsid w:val="00865F39"/>
    <w:rsid w:val="008C2EDF"/>
    <w:rsid w:val="008D6BFA"/>
    <w:rsid w:val="008F0317"/>
    <w:rsid w:val="008F61C0"/>
    <w:rsid w:val="00900F56"/>
    <w:rsid w:val="009016D0"/>
    <w:rsid w:val="00964A11"/>
    <w:rsid w:val="009A4AD5"/>
    <w:rsid w:val="009F16D0"/>
    <w:rsid w:val="00A261B6"/>
    <w:rsid w:val="00A35643"/>
    <w:rsid w:val="00A96E40"/>
    <w:rsid w:val="00AB166A"/>
    <w:rsid w:val="00B23337"/>
    <w:rsid w:val="00B54F4B"/>
    <w:rsid w:val="00B55B10"/>
    <w:rsid w:val="00B63AAF"/>
    <w:rsid w:val="00B961B8"/>
    <w:rsid w:val="00BD428F"/>
    <w:rsid w:val="00BF793F"/>
    <w:rsid w:val="00C5007C"/>
    <w:rsid w:val="00C5023B"/>
    <w:rsid w:val="00C60316"/>
    <w:rsid w:val="00C60FE9"/>
    <w:rsid w:val="00C86A4C"/>
    <w:rsid w:val="00C91B81"/>
    <w:rsid w:val="00CA70A7"/>
    <w:rsid w:val="00CD44FA"/>
    <w:rsid w:val="00CD6802"/>
    <w:rsid w:val="00CE69D3"/>
    <w:rsid w:val="00D2454D"/>
    <w:rsid w:val="00D335D7"/>
    <w:rsid w:val="00D44530"/>
    <w:rsid w:val="00D87F46"/>
    <w:rsid w:val="00D911E2"/>
    <w:rsid w:val="00DA23B7"/>
    <w:rsid w:val="00DB4FBE"/>
    <w:rsid w:val="00DF1A93"/>
    <w:rsid w:val="00E044C5"/>
    <w:rsid w:val="00E8377B"/>
    <w:rsid w:val="00E923CA"/>
    <w:rsid w:val="00E97502"/>
    <w:rsid w:val="00EA50FC"/>
    <w:rsid w:val="00EB1A46"/>
    <w:rsid w:val="00F44B95"/>
    <w:rsid w:val="00F51287"/>
    <w:rsid w:val="00F51658"/>
    <w:rsid w:val="00F631C8"/>
    <w:rsid w:val="00F67008"/>
    <w:rsid w:val="00FA42DE"/>
    <w:rsid w:val="00FB2765"/>
    <w:rsid w:val="00FB4ADE"/>
    <w:rsid w:val="00FC6C7B"/>
    <w:rsid w:val="00FD04DB"/>
    <w:rsid w:val="00FE1C38"/>
    <w:rsid w:val="00FF2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ListParagraph">
    <w:name w:val="List Paragraph"/>
    <w:basedOn w:val="Normal"/>
    <w:uiPriority w:val="34"/>
    <w:qFormat/>
    <w:rsid w:val="00507A3F"/>
    <w:pPr>
      <w:ind w:left="720"/>
      <w:contextualSpacing/>
    </w:pPr>
  </w:style>
  <w:style w:type="character" w:styleId="Hyperlink">
    <w:name w:val="Hyperlink"/>
    <w:basedOn w:val="DefaultParagraphFont"/>
    <w:uiPriority w:val="99"/>
    <w:unhideWhenUsed/>
    <w:rsid w:val="00F51658"/>
    <w:rPr>
      <w:color w:val="0563C1" w:themeColor="hyperlink"/>
      <w:u w:val="single"/>
    </w:rPr>
  </w:style>
  <w:style w:type="character" w:styleId="UnresolvedMention">
    <w:name w:val="Unresolved Mention"/>
    <w:basedOn w:val="DefaultParagraphFont"/>
    <w:uiPriority w:val="99"/>
    <w:semiHidden/>
    <w:unhideWhenUsed/>
    <w:rsid w:val="00F51658"/>
    <w:rPr>
      <w:color w:val="605E5C"/>
      <w:shd w:val="clear" w:color="auto" w:fill="E1DFDD"/>
    </w:rPr>
  </w:style>
  <w:style w:type="character" w:styleId="FollowedHyperlink">
    <w:name w:val="FollowedHyperlink"/>
    <w:basedOn w:val="DefaultParagraphFont"/>
    <w:uiPriority w:val="99"/>
    <w:semiHidden/>
    <w:unhideWhenUsed/>
    <w:rsid w:val="00F51658"/>
    <w:rPr>
      <w:color w:val="954F72" w:themeColor="followedHyperlink"/>
      <w:u w:val="single"/>
    </w:rPr>
  </w:style>
  <w:style w:type="paragraph" w:styleId="Header">
    <w:name w:val="header"/>
    <w:basedOn w:val="Normal"/>
    <w:link w:val="HeaderChar"/>
    <w:uiPriority w:val="99"/>
    <w:unhideWhenUsed/>
    <w:rsid w:val="00F51658"/>
    <w:pPr>
      <w:tabs>
        <w:tab w:val="center" w:pos="4680"/>
        <w:tab w:val="right" w:pos="9360"/>
      </w:tabs>
    </w:pPr>
  </w:style>
  <w:style w:type="character" w:customStyle="1" w:styleId="HeaderChar">
    <w:name w:val="Header Char"/>
    <w:basedOn w:val="DefaultParagraphFont"/>
    <w:link w:val="Header"/>
    <w:uiPriority w:val="99"/>
    <w:rsid w:val="00F51658"/>
    <w:rPr>
      <w:rFonts w:eastAsia="Times New Roman" w:cs="Times New Roman"/>
      <w:szCs w:val="24"/>
      <w:lang w:val="lv-LV" w:eastAsia="ru-RU"/>
    </w:rPr>
  </w:style>
  <w:style w:type="paragraph" w:styleId="Footer">
    <w:name w:val="footer"/>
    <w:basedOn w:val="Normal"/>
    <w:link w:val="FooterChar"/>
    <w:uiPriority w:val="99"/>
    <w:unhideWhenUsed/>
    <w:rsid w:val="00F51658"/>
    <w:pPr>
      <w:tabs>
        <w:tab w:val="center" w:pos="4680"/>
        <w:tab w:val="right" w:pos="9360"/>
      </w:tabs>
    </w:pPr>
  </w:style>
  <w:style w:type="character" w:customStyle="1" w:styleId="FooterChar">
    <w:name w:val="Footer Char"/>
    <w:basedOn w:val="DefaultParagraphFont"/>
    <w:link w:val="Footer"/>
    <w:uiPriority w:val="99"/>
    <w:rsid w:val="00F51658"/>
    <w:rPr>
      <w:rFonts w:eastAsia="Times New Roman" w:cs="Times New Roman"/>
      <w:szCs w:val="24"/>
      <w:lang w:val="lv-LV" w:eastAsia="ru-RU"/>
    </w:rPr>
  </w:style>
  <w:style w:type="paragraph" w:styleId="FootnoteText">
    <w:name w:val="footnote text"/>
    <w:basedOn w:val="Normal"/>
    <w:link w:val="FootnoteTextChar"/>
    <w:uiPriority w:val="99"/>
    <w:semiHidden/>
    <w:unhideWhenUsed/>
    <w:rsid w:val="006E6ADE"/>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E6ADE"/>
    <w:rPr>
      <w:sz w:val="20"/>
      <w:szCs w:val="20"/>
      <w:lang w:val="lv-LV"/>
    </w:rPr>
  </w:style>
  <w:style w:type="character" w:styleId="FootnoteReference">
    <w:name w:val="footnote reference"/>
    <w:basedOn w:val="DefaultParagraphFont"/>
    <w:uiPriority w:val="99"/>
    <w:semiHidden/>
    <w:unhideWhenUsed/>
    <w:rsid w:val="006E6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doc.echr.coe.int/f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udoc.echr.coe.int/" TargetMode="External"/><Relationship Id="rId4" Type="http://schemas.openxmlformats.org/officeDocument/2006/relationships/webSettings" Target="webSettings.xml"/><Relationship Id="rId9" Type="http://schemas.openxmlformats.org/officeDocument/2006/relationships/hyperlink" Target="https://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9208</Words>
  <Characters>5249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2026-03-03T14:21:00Z</dcterms:created>
  <dcterms:modified xsi:type="dcterms:W3CDTF">2026-03-03T14:21:00Z</dcterms:modified>
</cp:coreProperties>
</file>