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D1109" w14:textId="77777777" w:rsidR="00392DA4" w:rsidRDefault="00392DA4" w:rsidP="00C929E7">
      <w:pPr>
        <w:spacing w:line="276" w:lineRule="auto"/>
        <w:jc w:val="both"/>
        <w:rPr>
          <w:b/>
          <w:bCs/>
          <w:lang w:eastAsia="lv-LV"/>
        </w:rPr>
      </w:pPr>
      <w:r>
        <w:rPr>
          <w:b/>
          <w:bCs/>
        </w:rPr>
        <w:t>Izdevumu par juridiskās palīdzības sniegšanu atlīdzināšana</w:t>
      </w:r>
    </w:p>
    <w:p w14:paraId="690369B2" w14:textId="77777777" w:rsidR="00392DA4" w:rsidRDefault="00392DA4" w:rsidP="00C929E7">
      <w:pPr>
        <w:spacing w:line="276" w:lineRule="auto"/>
        <w:jc w:val="both"/>
      </w:pPr>
    </w:p>
    <w:p w14:paraId="42FAD34A" w14:textId="77777777" w:rsidR="00392DA4" w:rsidRDefault="00392DA4" w:rsidP="00C929E7">
      <w:pPr>
        <w:spacing w:line="276" w:lineRule="auto"/>
        <w:jc w:val="both"/>
        <w:rPr>
          <w:b/>
          <w:bCs/>
        </w:rPr>
      </w:pPr>
      <w:r>
        <w:rPr>
          <w:b/>
          <w:bCs/>
        </w:rPr>
        <w:t>Nemantiskā kaitējuma atlīdzināšana zvērinātam advokātam par pret viņu vērstām procesuālām darbībām</w:t>
      </w:r>
    </w:p>
    <w:p w14:paraId="49511FE3" w14:textId="1BE68517" w:rsidR="00884F1C" w:rsidRPr="00331CDF" w:rsidRDefault="00884F1C" w:rsidP="00C929E7">
      <w:pPr>
        <w:pStyle w:val="BodyText2"/>
        <w:spacing w:after="0" w:line="276" w:lineRule="auto"/>
        <w:rPr>
          <w:lang w:val="lv-LV"/>
        </w:rPr>
      </w:pPr>
    </w:p>
    <w:p w14:paraId="48413695" w14:textId="0A2BECC5" w:rsidR="00884F1C" w:rsidRDefault="00884F1C" w:rsidP="00C929E7">
      <w:pPr>
        <w:spacing w:line="276" w:lineRule="auto"/>
        <w:jc w:val="center"/>
        <w:rPr>
          <w:b/>
        </w:rPr>
      </w:pPr>
      <w:r w:rsidRPr="00331CDF">
        <w:rPr>
          <w:b/>
        </w:rPr>
        <w:t>Latvijas Republikas Senāt</w:t>
      </w:r>
      <w:r w:rsidR="00392DA4">
        <w:rPr>
          <w:b/>
        </w:rPr>
        <w:t>a</w:t>
      </w:r>
    </w:p>
    <w:p w14:paraId="32FD32A9" w14:textId="37D74C1D" w:rsidR="00392DA4" w:rsidRPr="00331CDF" w:rsidRDefault="00392DA4" w:rsidP="00C929E7">
      <w:pPr>
        <w:spacing w:line="276" w:lineRule="auto"/>
        <w:jc w:val="center"/>
        <w:rPr>
          <w:b/>
        </w:rPr>
      </w:pPr>
      <w:r>
        <w:rPr>
          <w:b/>
        </w:rPr>
        <w:t>Administratīvo lietu departamenta</w:t>
      </w:r>
      <w:r>
        <w:rPr>
          <w:b/>
        </w:rPr>
        <w:br/>
        <w:t>2026.gada 12.februāra</w:t>
      </w:r>
    </w:p>
    <w:p w14:paraId="08D7DA48" w14:textId="77777777" w:rsidR="00884F1C" w:rsidRDefault="00884F1C" w:rsidP="00C929E7">
      <w:pPr>
        <w:spacing w:line="276" w:lineRule="auto"/>
        <w:jc w:val="center"/>
        <w:rPr>
          <w:b/>
        </w:rPr>
      </w:pPr>
      <w:r w:rsidRPr="00331CDF">
        <w:rPr>
          <w:b/>
        </w:rPr>
        <w:t>SPRIEDUMS</w:t>
      </w:r>
    </w:p>
    <w:p w14:paraId="64F2F768" w14:textId="4BD5727D" w:rsidR="00392DA4" w:rsidRPr="00392DA4" w:rsidRDefault="00392DA4" w:rsidP="00C929E7">
      <w:pPr>
        <w:spacing w:line="276" w:lineRule="auto"/>
        <w:jc w:val="center"/>
        <w:rPr>
          <w:b/>
          <w:bCs/>
        </w:rPr>
      </w:pPr>
      <w:r w:rsidRPr="00392DA4">
        <w:rPr>
          <w:b/>
          <w:bCs/>
        </w:rPr>
        <w:t>Lieta Nr. A420251122</w:t>
      </w:r>
      <w:r w:rsidRPr="00392DA4">
        <w:rPr>
          <w:b/>
          <w:bCs/>
          <w:lang w:eastAsia="lv-LV"/>
        </w:rPr>
        <w:t xml:space="preserve">, </w:t>
      </w:r>
      <w:r w:rsidRPr="00392DA4">
        <w:rPr>
          <w:b/>
          <w:bCs/>
        </w:rPr>
        <w:t>SKA-41/2026</w:t>
      </w:r>
    </w:p>
    <w:p w14:paraId="320DF41E" w14:textId="7F192C01" w:rsidR="00392DA4" w:rsidRPr="00392DA4" w:rsidRDefault="00392DA4" w:rsidP="00C929E7">
      <w:pPr>
        <w:spacing w:line="276" w:lineRule="auto"/>
        <w:jc w:val="center"/>
        <w:rPr>
          <w:b/>
        </w:rPr>
      </w:pPr>
      <w:r w:rsidRPr="00392DA4">
        <w:t xml:space="preserve"> </w:t>
      </w:r>
      <w:hyperlink r:id="rId8" w:history="1">
        <w:r w:rsidRPr="00392DA4">
          <w:rPr>
            <w:rStyle w:val="Hyperlink"/>
          </w:rPr>
          <w:t>ECLI:LV:AT:2026:0212.A420251122.12.S</w:t>
        </w:r>
      </w:hyperlink>
    </w:p>
    <w:p w14:paraId="656ACBB5" w14:textId="77777777" w:rsidR="00884F1C" w:rsidRPr="00331CDF" w:rsidRDefault="00884F1C" w:rsidP="00C929E7">
      <w:pPr>
        <w:spacing w:line="276" w:lineRule="auto"/>
        <w:ind w:firstLine="567"/>
        <w:jc w:val="both"/>
      </w:pPr>
    </w:p>
    <w:p w14:paraId="4D15CE2C" w14:textId="52118F9F" w:rsidR="00884F1C" w:rsidRPr="00331CDF" w:rsidRDefault="00884F1C" w:rsidP="00C929E7">
      <w:pPr>
        <w:pStyle w:val="Style1"/>
      </w:pPr>
      <w:r w:rsidRPr="00331CDF">
        <w:t>Senāts šādā sastāvā: senator</w:t>
      </w:r>
      <w:r w:rsidR="007C595C" w:rsidRPr="00331CDF">
        <w:t>e</w:t>
      </w:r>
      <w:r w:rsidRPr="00331CDF">
        <w:t xml:space="preserve"> referent</w:t>
      </w:r>
      <w:r w:rsidR="007C595C" w:rsidRPr="00331CDF">
        <w:t>e</w:t>
      </w:r>
      <w:r w:rsidRPr="00331CDF">
        <w:t xml:space="preserve"> </w:t>
      </w:r>
      <w:r w:rsidR="00DC296F" w:rsidRPr="00331CDF">
        <w:t>Vēsma Kakste</w:t>
      </w:r>
      <w:r w:rsidR="007C595C" w:rsidRPr="00331CDF">
        <w:t>,</w:t>
      </w:r>
      <w:r w:rsidR="00DC296F" w:rsidRPr="00331CDF">
        <w:t xml:space="preserve"> </w:t>
      </w:r>
      <w:r w:rsidR="007C595C" w:rsidRPr="00BD5197">
        <w:t>senator</w:t>
      </w:r>
      <w:r w:rsidR="009B1AF4" w:rsidRPr="00BD5197">
        <w:t>es Dzintra Amerika un Indra Meldere</w:t>
      </w:r>
      <w:r w:rsidR="00372B11" w:rsidRPr="00331CDF">
        <w:t xml:space="preserve"> </w:t>
      </w:r>
    </w:p>
    <w:p w14:paraId="58934BA5" w14:textId="77777777" w:rsidR="00884F1C" w:rsidRPr="00331CDF" w:rsidRDefault="00884F1C" w:rsidP="00C929E7">
      <w:pPr>
        <w:spacing w:line="276" w:lineRule="auto"/>
        <w:ind w:firstLine="567"/>
        <w:jc w:val="both"/>
      </w:pPr>
    </w:p>
    <w:p w14:paraId="25C9D4BB" w14:textId="1EB7339A" w:rsidR="00884F1C" w:rsidRPr="00331CDF" w:rsidRDefault="009151FC" w:rsidP="00C929E7">
      <w:pPr>
        <w:pStyle w:val="Style1"/>
      </w:pPr>
      <w:bookmarkStart w:id="0" w:name="_Hlk92890879"/>
      <w:r w:rsidRPr="00331CDF">
        <w:t>rakstveida procesā izskatīja administratīvo lietu</w:t>
      </w:r>
      <w:r w:rsidR="001A6DBC" w:rsidRPr="00331CDF">
        <w:t>, kas ierosināta, pamatojoties uz</w:t>
      </w:r>
      <w:r w:rsidR="005323FA" w:rsidRPr="00331CDF">
        <w:t xml:space="preserve"> </w:t>
      </w:r>
      <w:r w:rsidR="00182AE5">
        <w:t xml:space="preserve">[pers. A] </w:t>
      </w:r>
      <w:r w:rsidRPr="00331CDF">
        <w:t>pieteikum</w:t>
      </w:r>
      <w:r w:rsidR="007C595C" w:rsidRPr="00331CDF">
        <w:t>u</w:t>
      </w:r>
      <w:r w:rsidR="000C1D71" w:rsidRPr="00331CDF">
        <w:t xml:space="preserve"> par </w:t>
      </w:r>
      <w:r w:rsidR="003A73A0" w:rsidRPr="00331CDF">
        <w:t>labvēlīgāka administratīvā akta</w:t>
      </w:r>
      <w:r w:rsidR="009B1AF4">
        <w:t xml:space="preserve"> izdošanu</w:t>
      </w:r>
      <w:r w:rsidR="003A73A0" w:rsidRPr="00331CDF">
        <w:t>,</w:t>
      </w:r>
      <w:r w:rsidR="003A73A0" w:rsidRPr="00331CDF">
        <w:rPr>
          <w:rFonts w:ascii="TimesNewRomanPSMT" w:eastAsiaTheme="minorHAnsi" w:hAnsi="TimesNewRomanPSMT" w:cs="TimesNewRomanPSMT"/>
          <w:lang w:eastAsia="en-US"/>
          <w14:ligatures w14:val="standardContextual"/>
        </w:rPr>
        <w:t xml:space="preserve"> </w:t>
      </w:r>
      <w:r w:rsidR="003A73A0" w:rsidRPr="00331CDF">
        <w:t xml:space="preserve">ar kuru viņai tiktu atlīdzināts kriminālprocesā nodarītais nemantiskais kaitējums un izdevumi par juridisko palīdzību, </w:t>
      </w:r>
      <w:r w:rsidRPr="00331CDF">
        <w:t>sakarā ar</w:t>
      </w:r>
      <w:r w:rsidR="003A73A0" w:rsidRPr="00331CDF">
        <w:t xml:space="preserve"> </w:t>
      </w:r>
      <w:r w:rsidR="00C70B91" w:rsidRPr="00331CDF">
        <w:t xml:space="preserve">Ģenerālprokuratūras </w:t>
      </w:r>
      <w:r w:rsidR="00C70B91">
        <w:t xml:space="preserve">un </w:t>
      </w:r>
      <w:r w:rsidR="00182AE5">
        <w:t xml:space="preserve">[pers. A] </w:t>
      </w:r>
      <w:r w:rsidRPr="00331CDF">
        <w:t>kasācijas sūdzīb</w:t>
      </w:r>
      <w:r w:rsidR="003A73A0" w:rsidRPr="00331CDF">
        <w:t>ām</w:t>
      </w:r>
      <w:r w:rsidRPr="00331CDF">
        <w:t xml:space="preserve"> par Administratīvās apgabaltiesas </w:t>
      </w:r>
      <w:r w:rsidR="00AE0A92" w:rsidRPr="00331CDF">
        <w:t xml:space="preserve">2024.gada 27.februāra </w:t>
      </w:r>
      <w:r w:rsidRPr="00331CDF">
        <w:t>spriedumu</w:t>
      </w:r>
      <w:r w:rsidR="00884F1C" w:rsidRPr="00331CDF">
        <w:t>.</w:t>
      </w:r>
    </w:p>
    <w:p w14:paraId="1058DAEC" w14:textId="77777777" w:rsidR="005840E1" w:rsidRPr="00331CDF" w:rsidRDefault="005840E1" w:rsidP="00C929E7">
      <w:pPr>
        <w:pStyle w:val="Style1"/>
      </w:pPr>
    </w:p>
    <w:bookmarkEnd w:id="0"/>
    <w:p w14:paraId="60477510" w14:textId="77777777" w:rsidR="00884F1C" w:rsidRPr="00331CDF" w:rsidRDefault="00884F1C" w:rsidP="00C929E7">
      <w:pPr>
        <w:pStyle w:val="ATpamattesksts"/>
        <w:ind w:firstLine="0"/>
        <w:jc w:val="center"/>
      </w:pPr>
      <w:r w:rsidRPr="00331CDF">
        <w:rPr>
          <w:b/>
        </w:rPr>
        <w:t>Aprakstošā</w:t>
      </w:r>
      <w:r w:rsidRPr="00331CDF">
        <w:t xml:space="preserve"> </w:t>
      </w:r>
      <w:r w:rsidRPr="00331CDF">
        <w:rPr>
          <w:b/>
        </w:rPr>
        <w:t>daļa</w:t>
      </w:r>
    </w:p>
    <w:p w14:paraId="3062BEC8" w14:textId="77777777" w:rsidR="00884F1C" w:rsidRPr="00331CDF" w:rsidRDefault="00884F1C" w:rsidP="00C929E7">
      <w:pPr>
        <w:spacing w:line="276" w:lineRule="auto"/>
        <w:ind w:firstLine="567"/>
        <w:jc w:val="both"/>
      </w:pPr>
    </w:p>
    <w:p w14:paraId="52D393A3" w14:textId="6EBE18DB" w:rsidR="00EA7A74" w:rsidRPr="00331CDF" w:rsidRDefault="00884F1C" w:rsidP="00C929E7">
      <w:pPr>
        <w:pStyle w:val="Style1"/>
      </w:pPr>
      <w:r w:rsidRPr="00331CDF">
        <w:t>[1]</w:t>
      </w:r>
      <w:r w:rsidR="00A92DFD" w:rsidRPr="00331CDF">
        <w:t> </w:t>
      </w:r>
      <w:r w:rsidR="00EA7A74" w:rsidRPr="00331CDF">
        <w:t xml:space="preserve">Pieteicēja </w:t>
      </w:r>
      <w:r w:rsidR="00182AE5">
        <w:t xml:space="preserve">[pers. A] </w:t>
      </w:r>
      <w:r w:rsidR="00EA7A74" w:rsidRPr="00331CDF">
        <w:t xml:space="preserve">lietas notikumu laikā bija zvērināta advokāte. </w:t>
      </w:r>
      <w:r w:rsidR="00433AB7" w:rsidRPr="00331CDF">
        <w:t>2019.gadā ierosināts kriminālprocess, kurā vēlāk apsūdzēts pieteicējas vīrs</w:t>
      </w:r>
      <w:r w:rsidR="00D0436F" w:rsidRPr="00331CDF">
        <w:t xml:space="preserve">. </w:t>
      </w:r>
      <w:r w:rsidR="00CE1109" w:rsidRPr="00331CDF">
        <w:t>K</w:t>
      </w:r>
      <w:r w:rsidR="00EA7A74" w:rsidRPr="00331CDF">
        <w:t>riminālprocesa ietvaros</w:t>
      </w:r>
      <w:r w:rsidR="00CE1109" w:rsidRPr="00331CDF">
        <w:t xml:space="preserve"> pieteicēja atzīta par personu, pret kuru ierosināts kriminālprocess</w:t>
      </w:r>
      <w:r w:rsidR="009B1AF4">
        <w:t>,</w:t>
      </w:r>
      <w:r w:rsidR="00CE1109" w:rsidRPr="00331CDF">
        <w:t xml:space="preserve"> un </w:t>
      </w:r>
      <w:r w:rsidR="00EA7A74" w:rsidRPr="00331CDF">
        <w:t>aizturēta</w:t>
      </w:r>
      <w:r w:rsidR="00CE1109" w:rsidRPr="00331CDF">
        <w:t>. Viņa a</w:t>
      </w:r>
      <w:r w:rsidR="00433AB7" w:rsidRPr="00331CDF">
        <w:t xml:space="preserve">izturējumā pavadīja 28 stundas un 40 minūtes </w:t>
      </w:r>
      <w:r w:rsidR="00CE1109" w:rsidRPr="00331CDF">
        <w:t xml:space="preserve">un </w:t>
      </w:r>
      <w:r w:rsidR="008773AC">
        <w:t xml:space="preserve">tika nopratināta divas </w:t>
      </w:r>
      <w:r w:rsidR="00433AB7" w:rsidRPr="00331CDF">
        <w:t>reizes</w:t>
      </w:r>
      <w:r w:rsidR="00EA7A74" w:rsidRPr="00331CDF">
        <w:t>.</w:t>
      </w:r>
      <w:r w:rsidR="00433AB7" w:rsidRPr="00331CDF">
        <w:t xml:space="preserve"> </w:t>
      </w:r>
      <w:r w:rsidR="00EA7A74" w:rsidRPr="00331CDF">
        <w:t>Tāpat</w:t>
      </w:r>
      <w:r w:rsidR="00BF5774">
        <w:t xml:space="preserve"> kriminālprocesa ietvaros</w:t>
      </w:r>
      <w:r w:rsidR="00EA7A74" w:rsidRPr="00331CDF">
        <w:t xml:space="preserve"> viņas</w:t>
      </w:r>
      <w:r w:rsidR="00222AA5" w:rsidRPr="00331CDF">
        <w:t xml:space="preserve"> un vīra kopīgajā dzīvoklī notika kratīšana, kuras gaitā tika izņemti, citstarp mobilie telefoni, portatīvie datori, diskdziņi, zibatmiņas, dažādi dokumenti un aploksnes</w:t>
      </w:r>
      <w:r w:rsidR="006E20DB">
        <w:t xml:space="preserve"> ar </w:t>
      </w:r>
      <w:r w:rsidR="00222AA5" w:rsidRPr="00331CDF">
        <w:t>naudaszīm</w:t>
      </w:r>
      <w:r w:rsidR="006E20DB">
        <w:t>ēm</w:t>
      </w:r>
      <w:r w:rsidR="00222AA5" w:rsidRPr="00331CDF">
        <w:t>. Kratīšanas izdarīšanu apstiprināja izmeklēšanas tiesnesis</w:t>
      </w:r>
      <w:r w:rsidR="009B1AF4">
        <w:t>,</w:t>
      </w:r>
      <w:r w:rsidR="00222AA5" w:rsidRPr="00331CDF">
        <w:t xml:space="preserve"> un tās tiesiskumu pārbaudīja augstāka</w:t>
      </w:r>
      <w:r w:rsidR="00C877F4">
        <w:t>s</w:t>
      </w:r>
      <w:r w:rsidR="00222AA5" w:rsidRPr="00331CDF">
        <w:t xml:space="preserve"> instances tiesa</w:t>
      </w:r>
      <w:r w:rsidR="005840E1" w:rsidRPr="00331CDF">
        <w:t xml:space="preserve">, atzīstot </w:t>
      </w:r>
      <w:r w:rsidR="009B1AF4">
        <w:t xml:space="preserve">par tiesisku </w:t>
      </w:r>
      <w:r w:rsidR="005840E1" w:rsidRPr="00331CDF">
        <w:t>gan lēmumu, ar kuru kratīšana atļauta, gan tās īstenošanu</w:t>
      </w:r>
      <w:r w:rsidR="00222AA5" w:rsidRPr="00331CDF">
        <w:t>.</w:t>
      </w:r>
      <w:r w:rsidR="00C877F4">
        <w:t xml:space="preserve"> </w:t>
      </w:r>
      <w:r w:rsidR="00427FD7">
        <w:t xml:space="preserve">Pirmstiesas stadijā </w:t>
      </w:r>
      <w:r w:rsidR="00427FD7" w:rsidRPr="00331CDF">
        <w:t xml:space="preserve">ierosinātais kriminālprocess </w:t>
      </w:r>
      <w:r w:rsidR="00427FD7">
        <w:t xml:space="preserve">pret pieteicēju </w:t>
      </w:r>
      <w:r w:rsidR="00427FD7" w:rsidRPr="00331CDF">
        <w:t>tika izbeigts</w:t>
      </w:r>
      <w:r w:rsidR="00427FD7">
        <w:t>.</w:t>
      </w:r>
    </w:p>
    <w:p w14:paraId="508AC318" w14:textId="561FDCFB" w:rsidR="008773AC" w:rsidRDefault="00D0436F" w:rsidP="00C929E7">
      <w:pPr>
        <w:pStyle w:val="Style1"/>
      </w:pPr>
      <w:r w:rsidRPr="00331CDF">
        <w:t xml:space="preserve">Pieteicēja vērsās Ģenerālprokuratūrā ar lūgumu atlīdzināt kriminālprocesā nodarīto nemantisko kaitējumu </w:t>
      </w:r>
      <w:r w:rsidRPr="00534124">
        <w:t>7000 </w:t>
      </w:r>
      <w:r w:rsidRPr="00534124">
        <w:rPr>
          <w:i/>
          <w:iCs/>
        </w:rPr>
        <w:t>euro</w:t>
      </w:r>
      <w:r w:rsidRPr="00331CDF">
        <w:t xml:space="preserve"> un izdevumus par juridisko palīdzību 330 </w:t>
      </w:r>
      <w:r w:rsidRPr="00331CDF">
        <w:rPr>
          <w:i/>
          <w:iCs/>
        </w:rPr>
        <w:t>euro</w:t>
      </w:r>
      <w:r w:rsidRPr="00331CDF">
        <w:t>.</w:t>
      </w:r>
      <w:r w:rsidR="008773AC">
        <w:t xml:space="preserve"> </w:t>
      </w:r>
    </w:p>
    <w:p w14:paraId="1B540A71" w14:textId="1547E24A" w:rsidR="007A7373" w:rsidRPr="00331CDF" w:rsidRDefault="007A7373" w:rsidP="00C929E7">
      <w:pPr>
        <w:pStyle w:val="Style1"/>
      </w:pPr>
      <w:r w:rsidRPr="00331CDF">
        <w:t xml:space="preserve">Ģenerālprokuratūra daļēji apmierināja pieteicējas lūgumu </w:t>
      </w:r>
      <w:r w:rsidR="009B1AF4">
        <w:t xml:space="preserve">un atlīdzināja </w:t>
      </w:r>
      <w:r w:rsidR="003063EE">
        <w:t xml:space="preserve">nemantisko kaitējumu </w:t>
      </w:r>
      <w:r w:rsidRPr="00331CDF">
        <w:t xml:space="preserve">par </w:t>
      </w:r>
      <w:r w:rsidR="003063EE">
        <w:t xml:space="preserve">nepamatotu brīvības ierobežošanu </w:t>
      </w:r>
      <w:r w:rsidRPr="00331CDF">
        <w:t>64</w:t>
      </w:r>
      <w:r w:rsidR="00CA3F26">
        <w:t> </w:t>
      </w:r>
      <w:r w:rsidRPr="00331CDF">
        <w:rPr>
          <w:i/>
          <w:iCs/>
        </w:rPr>
        <w:t>euro</w:t>
      </w:r>
      <w:r w:rsidR="00CE1109" w:rsidRPr="00331CDF">
        <w:t xml:space="preserve"> un </w:t>
      </w:r>
      <w:r w:rsidRPr="00331CDF">
        <w:t>izdevumus par juridisk</w:t>
      </w:r>
      <w:r w:rsidR="003063EE">
        <w:t>o</w:t>
      </w:r>
      <w:r w:rsidRPr="00331CDF">
        <w:t xml:space="preserve"> palīdzīb</w:t>
      </w:r>
      <w:r w:rsidR="00D71FA3">
        <w:t xml:space="preserve">u </w:t>
      </w:r>
      <w:r w:rsidRPr="00331CDF">
        <w:t>153,40</w:t>
      </w:r>
      <w:r w:rsidR="00CA3F26">
        <w:t> </w:t>
      </w:r>
      <w:r w:rsidRPr="00331CDF">
        <w:rPr>
          <w:i/>
          <w:iCs/>
        </w:rPr>
        <w:t>euro</w:t>
      </w:r>
      <w:r w:rsidR="00D71FA3">
        <w:t>. P</w:t>
      </w:r>
      <w:r w:rsidRPr="00331CDF">
        <w:t>ārējā daļā pieteicējas lūgum</w:t>
      </w:r>
      <w:r w:rsidR="004152DE">
        <w:t>u</w:t>
      </w:r>
      <w:r w:rsidRPr="00331CDF">
        <w:t xml:space="preserve"> noraidī</w:t>
      </w:r>
      <w:r w:rsidR="004152DE">
        <w:t>ja</w:t>
      </w:r>
      <w:r w:rsidRPr="00331CDF">
        <w:t xml:space="preserve">. </w:t>
      </w:r>
    </w:p>
    <w:p w14:paraId="61F6BB8F" w14:textId="77777777" w:rsidR="008B530F" w:rsidRPr="00331CDF" w:rsidRDefault="008B530F" w:rsidP="00C929E7">
      <w:pPr>
        <w:spacing w:line="276" w:lineRule="auto"/>
        <w:ind w:firstLine="567"/>
        <w:jc w:val="both"/>
      </w:pPr>
    </w:p>
    <w:p w14:paraId="3998C59A" w14:textId="39DB6396" w:rsidR="00816A0F" w:rsidRPr="00331CDF" w:rsidRDefault="008B530F" w:rsidP="00C929E7">
      <w:pPr>
        <w:pStyle w:val="Style1"/>
      </w:pPr>
      <w:r w:rsidRPr="00331CDF">
        <w:t>[2</w:t>
      </w:r>
      <w:r w:rsidR="007A7373" w:rsidRPr="00331CDF">
        <w:t>]</w:t>
      </w:r>
      <w:r w:rsidR="00A92DFD" w:rsidRPr="00331CDF">
        <w:t> </w:t>
      </w:r>
      <w:r w:rsidR="004152DE">
        <w:t>P</w:t>
      </w:r>
      <w:r w:rsidR="00C06F25" w:rsidRPr="00331CDF">
        <w:t>ieteicēj</w:t>
      </w:r>
      <w:r w:rsidR="007A7373" w:rsidRPr="00331CDF">
        <w:t xml:space="preserve">a vērsās </w:t>
      </w:r>
      <w:r w:rsidR="004152DE">
        <w:t xml:space="preserve">administratīvajā </w:t>
      </w:r>
      <w:r w:rsidR="007A7373" w:rsidRPr="00331CDF">
        <w:t>tiesā</w:t>
      </w:r>
      <w:r w:rsidR="00913E34">
        <w:t xml:space="preserve"> ar pieteikumu par atlīdzinājumu</w:t>
      </w:r>
      <w:r w:rsidR="003063EE">
        <w:t>.</w:t>
      </w:r>
    </w:p>
    <w:p w14:paraId="4B4BBC94" w14:textId="77777777" w:rsidR="00913E34" w:rsidRDefault="00913E34" w:rsidP="00C929E7">
      <w:pPr>
        <w:pStyle w:val="Style1"/>
      </w:pPr>
    </w:p>
    <w:p w14:paraId="0B7E85E3" w14:textId="3D664AB1" w:rsidR="003063EE" w:rsidRDefault="007A7373" w:rsidP="00C929E7">
      <w:pPr>
        <w:pStyle w:val="Style1"/>
      </w:pPr>
      <w:r w:rsidRPr="00331CDF">
        <w:t>[</w:t>
      </w:r>
      <w:r w:rsidR="003063EE">
        <w:t>3</w:t>
      </w:r>
      <w:r w:rsidRPr="00331CDF">
        <w:t>]</w:t>
      </w:r>
      <w:r w:rsidR="00E11E96" w:rsidRPr="00331CDF">
        <w:t> </w:t>
      </w:r>
      <w:r w:rsidR="003063EE" w:rsidRPr="00331CDF">
        <w:t xml:space="preserve">Ar Administratīvās apgabaltiesas 2024.gada 27.februāra spriedumu pieteikums apmierināts </w:t>
      </w:r>
      <w:r w:rsidR="003063EE" w:rsidRPr="00534124">
        <w:t>daļā</w:t>
      </w:r>
      <w:r w:rsidR="00C70B91">
        <w:t xml:space="preserve"> – Ģenerālprokuratūrai uzdots </w:t>
      </w:r>
      <w:r w:rsidR="00C70B91" w:rsidRPr="00C70B91">
        <w:t xml:space="preserve">atlīdzināt </w:t>
      </w:r>
      <w:r w:rsidR="00C70B91">
        <w:t xml:space="preserve">pieteicējai </w:t>
      </w:r>
      <w:r w:rsidR="00C70B91" w:rsidRPr="00C70B91">
        <w:t xml:space="preserve">kriminālprocesā nodarīto nemantisko kaitējumu 2920 </w:t>
      </w:r>
      <w:r w:rsidR="00C70B91" w:rsidRPr="00C70B91">
        <w:rPr>
          <w:i/>
          <w:iCs/>
        </w:rPr>
        <w:t>euro</w:t>
      </w:r>
      <w:r w:rsidR="00C70B91" w:rsidRPr="00C70B91">
        <w:t xml:space="preserve"> un izdevumus par juridisko palīdzību 203,36 </w:t>
      </w:r>
      <w:r w:rsidR="00C70B91" w:rsidRPr="00C70B91">
        <w:rPr>
          <w:i/>
          <w:iCs/>
        </w:rPr>
        <w:t>euro</w:t>
      </w:r>
      <w:r w:rsidR="003063EE" w:rsidRPr="00C70B91">
        <w:t xml:space="preserve">. </w:t>
      </w:r>
      <w:r w:rsidR="00C70B91">
        <w:t>Pārējā daļā pieteikums noraidīts.</w:t>
      </w:r>
    </w:p>
    <w:p w14:paraId="20F034F7" w14:textId="7992D073" w:rsidR="001D784A" w:rsidRPr="00331CDF" w:rsidRDefault="00913E34" w:rsidP="00C929E7">
      <w:pPr>
        <w:pStyle w:val="Style1"/>
      </w:pPr>
      <w:r>
        <w:lastRenderedPageBreak/>
        <w:t>Izvērtējusi pieteicējas tiesības uz zaudējumu atlīdzību, t</w:t>
      </w:r>
      <w:r w:rsidR="001D784A">
        <w:t xml:space="preserve">iesa atzina, ka nav šaubu, ka </w:t>
      </w:r>
      <w:r w:rsidR="001D784A" w:rsidRPr="00331CDF">
        <w:t>zvērināt</w:t>
      </w:r>
      <w:r w:rsidR="001D784A">
        <w:t>i</w:t>
      </w:r>
      <w:r w:rsidR="001D784A" w:rsidRPr="00331CDF">
        <w:t xml:space="preserve"> advokāt</w:t>
      </w:r>
      <w:r w:rsidR="001D784A">
        <w:t>i</w:t>
      </w:r>
      <w:r w:rsidR="001D784A" w:rsidRPr="00331CDF">
        <w:t xml:space="preserve"> </w:t>
      </w:r>
      <w:r w:rsidR="00182AE5">
        <w:t xml:space="preserve">[pers. </w:t>
      </w:r>
      <w:r w:rsidR="00182AE5">
        <w:t>B</w:t>
      </w:r>
      <w:r w:rsidR="00182AE5">
        <w:t xml:space="preserve">] </w:t>
      </w:r>
      <w:r w:rsidR="001D784A" w:rsidRPr="00331CDF">
        <w:t xml:space="preserve">un </w:t>
      </w:r>
      <w:r w:rsidR="00182AE5">
        <w:t xml:space="preserve">[pers. </w:t>
      </w:r>
      <w:r w:rsidR="00182AE5">
        <w:t>C</w:t>
      </w:r>
      <w:r w:rsidR="00182AE5">
        <w:t xml:space="preserve">] </w:t>
      </w:r>
      <w:r w:rsidR="001D784A" w:rsidRPr="00331CDF">
        <w:t>pieteicējai snie</w:t>
      </w:r>
      <w:r w:rsidR="001D784A">
        <w:t>dza</w:t>
      </w:r>
      <w:r w:rsidR="001D784A" w:rsidRPr="00331CDF">
        <w:t xml:space="preserve"> juridisk</w:t>
      </w:r>
      <w:r w:rsidR="001D784A">
        <w:t>o</w:t>
      </w:r>
      <w:r w:rsidR="001D784A" w:rsidRPr="00331CDF">
        <w:t xml:space="preserve"> palīdzīb</w:t>
      </w:r>
      <w:r w:rsidR="001D784A">
        <w:t>u</w:t>
      </w:r>
      <w:r w:rsidR="001D784A" w:rsidRPr="00331CDF">
        <w:t xml:space="preserve">, </w:t>
      </w:r>
      <w:r w:rsidR="001D784A">
        <w:t xml:space="preserve">īstenojot </w:t>
      </w:r>
      <w:r w:rsidR="001D784A" w:rsidRPr="00331CDF">
        <w:t>pieteicējas aizstāvību kriminālprocesā</w:t>
      </w:r>
      <w:r w:rsidR="001D784A">
        <w:t>, un tādējādi pieteicējai radās izdevumi.</w:t>
      </w:r>
      <w:r w:rsidR="001D784A" w:rsidRPr="00331CDF">
        <w:t xml:space="preserve"> </w:t>
      </w:r>
      <w:r w:rsidR="001D784A">
        <w:t xml:space="preserve">Tā kā </w:t>
      </w:r>
      <w:r w:rsidR="001D784A" w:rsidRPr="00331CDF">
        <w:t>Ministru kabineta 2009.gada 22.decembra noteikumu Nr.</w:t>
      </w:r>
      <w:r w:rsidR="001D784A">
        <w:t> </w:t>
      </w:r>
      <w:r w:rsidR="001D784A" w:rsidRPr="00331CDF">
        <w:t xml:space="preserve">1493 </w:t>
      </w:r>
      <w:r w:rsidR="001D784A">
        <w:t>„</w:t>
      </w:r>
      <w:r w:rsidR="001D784A" w:rsidRPr="00331CDF">
        <w:t>Noteikumi par valsts nodrošinātās juridiskās palīdzības apjomu, samaksas apmēru, atlīdzināmajiem izdevumiem un to izmaksas kārtību</w:t>
      </w:r>
      <w:r w:rsidR="001D784A">
        <w:t>”</w:t>
      </w:r>
      <w:r w:rsidR="001D784A" w:rsidRPr="00331CDF">
        <w:t xml:space="preserve"> (turpmāk</w:t>
      </w:r>
      <w:r w:rsidR="00CA3F26">
        <w:t xml:space="preserve"> </w:t>
      </w:r>
      <w:r w:rsidR="001D784A" w:rsidRPr="00331CDF">
        <w:t>–</w:t>
      </w:r>
      <w:r w:rsidR="00CA3F26">
        <w:t xml:space="preserve"> </w:t>
      </w:r>
      <w:r w:rsidR="001D784A">
        <w:t>n</w:t>
      </w:r>
      <w:r w:rsidR="001D784A" w:rsidRPr="00331CDF">
        <w:t>oteikumi Nr.</w:t>
      </w:r>
      <w:r w:rsidR="001D784A">
        <w:t> </w:t>
      </w:r>
      <w:r w:rsidR="001D784A" w:rsidRPr="00331CDF">
        <w:t xml:space="preserve">1493) 28.7.apakšpunktā noteiktā likme nav noteikta saprātīgā apmērā, zaudējumi pieteicējai ir atlīdzināmi </w:t>
      </w:r>
      <w:r w:rsidR="001D784A">
        <w:t>viņas</w:t>
      </w:r>
      <w:r w:rsidR="001D784A" w:rsidRPr="00331CDF">
        <w:t xml:space="preserve"> norādītajā apmērā – 160</w:t>
      </w:r>
      <w:r w:rsidR="001D784A">
        <w:t> </w:t>
      </w:r>
      <w:r w:rsidR="001D784A" w:rsidRPr="00331CDF">
        <w:rPr>
          <w:i/>
          <w:iCs/>
        </w:rPr>
        <w:t>euro</w:t>
      </w:r>
      <w:r w:rsidR="001D784A" w:rsidRPr="00331CDF">
        <w:t>. Piemērojot Centrālās statistikas pārvaldes noteikto patēriņa cenu indeksu, minētā summa ir palielināma par 27,1</w:t>
      </w:r>
      <w:r w:rsidR="001D784A">
        <w:t> </w:t>
      </w:r>
      <w:r w:rsidR="001D784A" w:rsidRPr="00331CDF">
        <w:t>procentu un sastāda 203,36</w:t>
      </w:r>
      <w:r w:rsidR="001D784A">
        <w:t> </w:t>
      </w:r>
      <w:r w:rsidR="001D784A" w:rsidRPr="00331CDF">
        <w:rPr>
          <w:i/>
          <w:iCs/>
        </w:rPr>
        <w:t>euro</w:t>
      </w:r>
      <w:r w:rsidR="001D784A" w:rsidRPr="00331CDF">
        <w:t>.</w:t>
      </w:r>
    </w:p>
    <w:p w14:paraId="3A2CB1E9" w14:textId="03E67715" w:rsidR="001D784A" w:rsidRPr="00331CDF" w:rsidRDefault="001D784A" w:rsidP="00C929E7">
      <w:pPr>
        <w:pStyle w:val="Style1"/>
      </w:pPr>
      <w:r>
        <w:t xml:space="preserve">Attiecībā uz </w:t>
      </w:r>
      <w:r w:rsidRPr="00331CDF">
        <w:t>nemantisk</w:t>
      </w:r>
      <w:r>
        <w:t>o</w:t>
      </w:r>
      <w:r w:rsidRPr="00331CDF">
        <w:t xml:space="preserve"> kaitējumu tiesa atzina, ka par pieteicējas norādītajiem personīgajiem pārdzīvojumiem saistībā ar pret viņas neaizskaramību veiktajām kriminālprocesuālajām darbībām par saprātīgu un taisnīgu atlīdzinājumu </w:t>
      </w:r>
      <w:r>
        <w:t>ir</w:t>
      </w:r>
      <w:r w:rsidRPr="00331CDF">
        <w:t xml:space="preserve"> uzskatām</w:t>
      </w:r>
      <w:r>
        <w:t>i</w:t>
      </w:r>
      <w:r w:rsidRPr="00331CDF">
        <w:t xml:space="preserve"> </w:t>
      </w:r>
      <w:r w:rsidRPr="00534124">
        <w:t>2920</w:t>
      </w:r>
      <w:r w:rsidR="00CA3F26" w:rsidRPr="00534124">
        <w:t> </w:t>
      </w:r>
      <w:r w:rsidRPr="00534124">
        <w:rPr>
          <w:i/>
          <w:iCs/>
        </w:rPr>
        <w:t>euro</w:t>
      </w:r>
      <w:r w:rsidRPr="005D3F94">
        <w:t xml:space="preserve">, </w:t>
      </w:r>
      <w:r w:rsidRPr="00534124">
        <w:t>kā to ir lūgusi pieteicēja</w:t>
      </w:r>
      <w:r w:rsidR="005D3F94">
        <w:t xml:space="preserve"> apelācijas sūdzībā</w:t>
      </w:r>
      <w:r w:rsidRPr="00331CDF">
        <w:t>.</w:t>
      </w:r>
      <w:r>
        <w:t xml:space="preserve"> T</w:t>
      </w:r>
      <w:r w:rsidRPr="00331CDF">
        <w:t>iesa uzskat</w:t>
      </w:r>
      <w:r>
        <w:t>īja</w:t>
      </w:r>
      <w:r w:rsidRPr="00331CDF">
        <w:t>, ka pieteicējas tiesību aizskārum</w:t>
      </w:r>
      <w:r>
        <w:t>s</w:t>
      </w:r>
      <w:r w:rsidRPr="00331CDF">
        <w:t xml:space="preserve"> ir jāvērtē pietiekami nopietni viņas profesionālās darbības dēļ.</w:t>
      </w:r>
      <w:r>
        <w:t xml:space="preserve"> </w:t>
      </w:r>
      <w:r w:rsidRPr="00331CDF">
        <w:t xml:space="preserve">Ar </w:t>
      </w:r>
      <w:r>
        <w:t>to</w:t>
      </w:r>
      <w:r w:rsidRPr="00331CDF">
        <w:t>, ka Latvijas Zvērinātu advokātu padomes priekšsēdētājs tika informēts par pieteicējai piemēroto statusu kriminālprocesā</w:t>
      </w:r>
      <w:r>
        <w:t>,</w:t>
      </w:r>
      <w:r w:rsidRPr="00331CDF">
        <w:t xml:space="preserve"> pietiekami nopietni tika aizskarta arī pieteicējas reputācija, gods un cieņa.</w:t>
      </w:r>
    </w:p>
    <w:p w14:paraId="4369128D" w14:textId="5FB20ABD" w:rsidR="001D784A" w:rsidRPr="00331CDF" w:rsidRDefault="001D784A" w:rsidP="00C929E7">
      <w:pPr>
        <w:pStyle w:val="Style1"/>
      </w:pPr>
    </w:p>
    <w:p w14:paraId="6E216B73" w14:textId="1008DF2C" w:rsidR="00710322" w:rsidRPr="00331CDF" w:rsidRDefault="00007DF1" w:rsidP="00C929E7">
      <w:pPr>
        <w:pStyle w:val="Style1"/>
      </w:pPr>
      <w:r w:rsidRPr="00331CDF">
        <w:t>[</w:t>
      </w:r>
      <w:r w:rsidR="001D784A">
        <w:t>4</w:t>
      </w:r>
      <w:r w:rsidRPr="00331CDF">
        <w:t>]</w:t>
      </w:r>
      <w:r w:rsidR="00E11E96" w:rsidRPr="00331CDF">
        <w:t> </w:t>
      </w:r>
      <w:r w:rsidR="007A7373" w:rsidRPr="00331CDF">
        <w:t>Ģenerālprokuratūra</w:t>
      </w:r>
      <w:r w:rsidR="00633E6A" w:rsidRPr="00331CDF">
        <w:t xml:space="preserve"> </w:t>
      </w:r>
      <w:r w:rsidR="00710322" w:rsidRPr="00331CDF">
        <w:t>iesniedza kasācijas sūdzību</w:t>
      </w:r>
      <w:r w:rsidR="005D3F94">
        <w:t xml:space="preserve"> </w:t>
      </w:r>
      <w:r w:rsidR="00C70B91">
        <w:t xml:space="preserve">par </w:t>
      </w:r>
      <w:r w:rsidR="005D3F94">
        <w:t xml:space="preserve">spriedumu daļā, kurā apmierināts </w:t>
      </w:r>
      <w:r w:rsidR="00E17698">
        <w:t>pieteikum</w:t>
      </w:r>
      <w:r w:rsidR="00E17698" w:rsidRPr="00E17698">
        <w:t>s</w:t>
      </w:r>
      <w:r w:rsidR="00C70B91">
        <w:t>. Tā pamatota ar turpmāk minētajiem ap</w:t>
      </w:r>
      <w:r w:rsidR="00710322" w:rsidRPr="00331CDF">
        <w:t>svērumiem.</w:t>
      </w:r>
    </w:p>
    <w:p w14:paraId="69761D4A" w14:textId="260A8455" w:rsidR="001D784A" w:rsidRPr="00331CDF" w:rsidRDefault="001D784A" w:rsidP="00C929E7">
      <w:pPr>
        <w:pStyle w:val="Style1"/>
      </w:pPr>
      <w:r w:rsidRPr="00331CDF">
        <w:t>[</w:t>
      </w:r>
      <w:r>
        <w:t>4</w:t>
      </w:r>
      <w:r w:rsidRPr="00331CDF">
        <w:t>.1] </w:t>
      </w:r>
      <w:r>
        <w:t xml:space="preserve">Atbilstoši </w:t>
      </w:r>
      <w:r w:rsidR="00CA3F26" w:rsidRPr="00CA3F26">
        <w:t>Kriminālprocesā un administratīvo pārkāpumu lietvedībā nodarītā kaitējuma atlīdzināšanas</w:t>
      </w:r>
      <w:r w:rsidR="00CA3F26">
        <w:t xml:space="preserve"> likuma (turpmāk – </w:t>
      </w:r>
      <w:r w:rsidR="006E20DB">
        <w:t>Kaitējuma a</w:t>
      </w:r>
      <w:r w:rsidRPr="00CA3F26">
        <w:t>tlīdzināšanas likum</w:t>
      </w:r>
      <w:r w:rsidR="00CA3F26" w:rsidRPr="00CA3F26">
        <w:t xml:space="preserve">s) </w:t>
      </w:r>
      <w:r w:rsidRPr="00331CDF">
        <w:t>7.pant</w:t>
      </w:r>
      <w:r>
        <w:t>am jā</w:t>
      </w:r>
      <w:r w:rsidRPr="00331CDF">
        <w:t xml:space="preserve">būt pierādījumiem ne tikai tam, ka juridiskā palīdzība ir sniegta, bet arī tam, ka personai ir izveidojusies maksājuma saistība pret juridiskās palīdzības sniedzēju. </w:t>
      </w:r>
    </w:p>
    <w:p w14:paraId="734E9B96" w14:textId="391270E8" w:rsidR="001D784A" w:rsidRPr="00331CDF" w:rsidRDefault="001D784A" w:rsidP="00C929E7">
      <w:pPr>
        <w:pStyle w:val="Style1"/>
      </w:pPr>
      <w:r w:rsidRPr="00331CDF">
        <w:t>[</w:t>
      </w:r>
      <w:r>
        <w:t>4</w:t>
      </w:r>
      <w:r w:rsidRPr="00331CDF">
        <w:t>.2] </w:t>
      </w:r>
      <w:r>
        <w:t>T</w:t>
      </w:r>
      <w:r w:rsidRPr="00331CDF">
        <w:t xml:space="preserve">iesa </w:t>
      </w:r>
      <w:r>
        <w:t xml:space="preserve">nav ievērojusi </w:t>
      </w:r>
      <w:r w:rsidR="006E20DB">
        <w:t>Kaitējuma a</w:t>
      </w:r>
      <w:r w:rsidR="006E20DB" w:rsidRPr="00CA3F26">
        <w:t xml:space="preserve">tlīdzināšanas </w:t>
      </w:r>
      <w:r>
        <w:t>likuma 9.panta pirmajā daļā un 12.panta pirmajā daļā noteikto, ka zaudējumu atlīdzības pamats un apmērs nosakāms, novērtējot pierādījumus, bet bez pamatojuma piekritusi pieteicējai, ka par saprātīgu atlīdzinājumu par juridisko palīdzību nosakāmi 160 </w:t>
      </w:r>
      <w:r w:rsidRPr="001D429F">
        <w:rPr>
          <w:i/>
          <w:iCs/>
        </w:rPr>
        <w:t>euro</w:t>
      </w:r>
      <w:r w:rsidRPr="00331CDF">
        <w:t>.</w:t>
      </w:r>
    </w:p>
    <w:p w14:paraId="29B3C56D" w14:textId="2296AC28" w:rsidR="001D784A" w:rsidRDefault="001D784A" w:rsidP="00C929E7">
      <w:pPr>
        <w:pStyle w:val="Style1"/>
      </w:pPr>
      <w:r w:rsidRPr="00331CDF">
        <w:t>[</w:t>
      </w:r>
      <w:r>
        <w:t>4</w:t>
      </w:r>
      <w:r w:rsidRPr="00331CDF">
        <w:t>.3]</w:t>
      </w:r>
      <w:r>
        <w:t xml:space="preserve"> Tiesa nav ņēmusi vērā Senāta judikatūru, atbilstoši kurai </w:t>
      </w:r>
      <w:r w:rsidR="006E20DB">
        <w:t>Kaitējuma a</w:t>
      </w:r>
      <w:r w:rsidR="006E20DB" w:rsidRPr="00CA3F26">
        <w:t xml:space="preserve">tlīdzināšanas </w:t>
      </w:r>
      <w:r>
        <w:t>likuma 14.pants atzīstams par vispārējo tiesību normu iepretī 15.pantam. Līdz ar to 14.pantā norādītie kritēriji nemantiskā kaitējuma atlīdzinājuma noteikšanai nevar būt piemērojami saistībā ar tāda nemantiskā kaitējuma novērtēšanu, kas nodarīts nepamatotas brīvības ierobežošanas rezultātā.</w:t>
      </w:r>
      <w:r w:rsidRPr="00E67B54">
        <w:t xml:space="preserve"> </w:t>
      </w:r>
    </w:p>
    <w:p w14:paraId="70A9AADB" w14:textId="77777777" w:rsidR="001D784A" w:rsidRPr="00331CDF" w:rsidRDefault="001D784A" w:rsidP="00C929E7">
      <w:pPr>
        <w:pStyle w:val="Style1"/>
      </w:pPr>
      <w:r w:rsidRPr="00331CDF">
        <w:t>[</w:t>
      </w:r>
      <w:r>
        <w:t>4</w:t>
      </w:r>
      <w:r w:rsidRPr="00331CDF">
        <w:t>.</w:t>
      </w:r>
      <w:r>
        <w:t>4</w:t>
      </w:r>
      <w:r w:rsidRPr="00331CDF">
        <w:t>] </w:t>
      </w:r>
      <w:r>
        <w:t>T</w:t>
      </w:r>
      <w:r w:rsidRPr="00331CDF">
        <w:t>iesa pārkāpusi Administratīvā procesa likuma 154.pantu un 251.panta piekto daļu</w:t>
      </w:r>
      <w:r>
        <w:t xml:space="preserve">, jo pirmkārt, nav norādījusi, par kādu nemantisko tiesību aizskārumu pieteicējai nosakāms atlīdzinājums, un, otrkārt, ir ignorējusi Senāta judikatūras atziņu, ka visas personas, kuras skārusi brīvības ierobežošana kriminālprocesā, </w:t>
      </w:r>
      <w:r w:rsidRPr="00EE0512">
        <w:t>atrodas salīdzināmos apstākļos</w:t>
      </w:r>
      <w:r>
        <w:t>.</w:t>
      </w:r>
    </w:p>
    <w:p w14:paraId="380C7F9B" w14:textId="77777777" w:rsidR="001D784A" w:rsidRPr="00331CDF" w:rsidRDefault="001D784A" w:rsidP="00C929E7">
      <w:pPr>
        <w:pStyle w:val="Style1"/>
      </w:pPr>
    </w:p>
    <w:p w14:paraId="6FFB4E91" w14:textId="419569FE" w:rsidR="001D784A" w:rsidRDefault="001D784A" w:rsidP="00C929E7">
      <w:pPr>
        <w:pStyle w:val="Style1"/>
      </w:pPr>
      <w:r w:rsidRPr="00331CDF">
        <w:t>[</w:t>
      </w:r>
      <w:r>
        <w:t>5</w:t>
      </w:r>
      <w:r w:rsidRPr="00331CDF">
        <w:t>] Pieteicēja Ģenerālprokuratūras kasācijas sūdzīb</w:t>
      </w:r>
      <w:r>
        <w:t>u neatzina</w:t>
      </w:r>
      <w:r w:rsidR="00913E34">
        <w:t xml:space="preserve">, kā arī </w:t>
      </w:r>
      <w:r w:rsidRPr="00331CDF">
        <w:t>iesniedz</w:t>
      </w:r>
      <w:r>
        <w:t>a</w:t>
      </w:r>
      <w:r w:rsidRPr="00331CDF">
        <w:t xml:space="preserve"> kasācijas sūdzību</w:t>
      </w:r>
      <w:r w:rsidR="00C70B91">
        <w:t xml:space="preserve"> par s</w:t>
      </w:r>
      <w:r w:rsidR="005D3F94" w:rsidRPr="00534124">
        <w:t>priedumu</w:t>
      </w:r>
      <w:r w:rsidR="00913E34" w:rsidRPr="00534124">
        <w:t xml:space="preserve"> daļā</w:t>
      </w:r>
      <w:r w:rsidR="00537F6A">
        <w:t>, ar kuru noraidīts pieteikums</w:t>
      </w:r>
      <w:r w:rsidR="00913E34" w:rsidRPr="00534124">
        <w:t xml:space="preserve"> par juridiskās palīdzības sniegšanas izdevumiem.</w:t>
      </w:r>
      <w:r w:rsidR="00913E34">
        <w:t xml:space="preserve"> </w:t>
      </w:r>
      <w:r>
        <w:t>Pieteicēja norāda, ka t</w:t>
      </w:r>
      <w:r w:rsidRPr="00331CDF">
        <w:t xml:space="preserve">iesa </w:t>
      </w:r>
      <w:r>
        <w:t xml:space="preserve">nepamatoti </w:t>
      </w:r>
      <w:r w:rsidRPr="00331CDF">
        <w:t xml:space="preserve">nav </w:t>
      </w:r>
      <w:r>
        <w:t xml:space="preserve">atlīdzinājusi </w:t>
      </w:r>
      <w:r w:rsidRPr="00331CDF">
        <w:t>izdevumu</w:t>
      </w:r>
      <w:r>
        <w:t>s</w:t>
      </w:r>
      <w:r w:rsidRPr="00331CDF">
        <w:t xml:space="preserve"> par </w:t>
      </w:r>
      <w:r>
        <w:t xml:space="preserve">zvērināta advokāta </w:t>
      </w:r>
      <w:r w:rsidR="00182AE5">
        <w:t xml:space="preserve">[pers. C] </w:t>
      </w:r>
      <w:r w:rsidRPr="00331CDF">
        <w:t xml:space="preserve">juridiskās palīdzības sniegšanu nopratināšanas laikā. Pieteicēja uzskata, ka tiesa </w:t>
      </w:r>
      <w:r>
        <w:t xml:space="preserve">nepamatoti </w:t>
      </w:r>
      <w:r w:rsidRPr="00331CDF">
        <w:t xml:space="preserve">nav piemērojusi </w:t>
      </w:r>
      <w:r>
        <w:t>n</w:t>
      </w:r>
      <w:r w:rsidRPr="00331CDF">
        <w:t>oteikumu Nr.</w:t>
      </w:r>
      <w:r>
        <w:t> </w:t>
      </w:r>
      <w:r w:rsidRPr="00331CDF">
        <w:t>1493 28.2.</w:t>
      </w:r>
      <w:r>
        <w:t xml:space="preserve"> un 28.7.</w:t>
      </w:r>
      <w:r w:rsidRPr="00331CDF">
        <w:t>apakšpunktu.</w:t>
      </w:r>
    </w:p>
    <w:p w14:paraId="7B69C20D" w14:textId="77777777" w:rsidR="00884F1C" w:rsidRPr="00331CDF" w:rsidRDefault="00884F1C" w:rsidP="00C929E7">
      <w:pPr>
        <w:spacing w:line="276" w:lineRule="auto"/>
        <w:ind w:firstLine="567"/>
        <w:jc w:val="both"/>
      </w:pPr>
    </w:p>
    <w:p w14:paraId="234654F3" w14:textId="77777777" w:rsidR="00884F1C" w:rsidRPr="00331CDF" w:rsidRDefault="00884F1C" w:rsidP="00C929E7">
      <w:pPr>
        <w:spacing w:line="276" w:lineRule="auto"/>
        <w:jc w:val="center"/>
        <w:rPr>
          <w:b/>
        </w:rPr>
      </w:pPr>
      <w:r w:rsidRPr="00331CDF">
        <w:rPr>
          <w:b/>
        </w:rPr>
        <w:t>Motīvu daļa</w:t>
      </w:r>
    </w:p>
    <w:p w14:paraId="5EBF4AA1" w14:textId="77777777" w:rsidR="00BD5F07" w:rsidRDefault="00BD5F07" w:rsidP="00C929E7">
      <w:pPr>
        <w:pStyle w:val="Style1"/>
      </w:pPr>
    </w:p>
    <w:p w14:paraId="3F99DB27" w14:textId="092F1709" w:rsidR="00065A74" w:rsidRDefault="00BD5F07" w:rsidP="00C929E7">
      <w:pPr>
        <w:pStyle w:val="Style1"/>
      </w:pPr>
      <w:r w:rsidRPr="00B50FA4">
        <w:t>[</w:t>
      </w:r>
      <w:r w:rsidR="00BD5197" w:rsidRPr="00B50FA4">
        <w:t>6</w:t>
      </w:r>
      <w:r w:rsidRPr="00B50FA4">
        <w:t>]</w:t>
      </w:r>
      <w:r w:rsidR="00CA3F26" w:rsidRPr="00B50FA4">
        <w:t> </w:t>
      </w:r>
      <w:r w:rsidRPr="00B50FA4">
        <w:t>Senātam</w:t>
      </w:r>
      <w:r>
        <w:t xml:space="preserve">, ievērojot kasācijas sūdzībās izteiktos argumentus, ir jāatbild uz šādiem tiesību jautājumiem: 1) </w:t>
      </w:r>
      <w:r w:rsidRPr="00331CDF">
        <w:t xml:space="preserve">vai izdevumi </w:t>
      </w:r>
      <w:r>
        <w:t xml:space="preserve">par juridiskās palīdzības sniegšanu </w:t>
      </w:r>
      <w:r w:rsidRPr="00331CDF">
        <w:t>ir atlīdzināmi tikai tādā gadījumā, ja pieteicēja atlīdzību juridiskās palīdzības sniedzējam ir jau samaksājusi un šo samaksu pierādījusi</w:t>
      </w:r>
      <w:r w:rsidR="00907DD5">
        <w:t>; vai tiesa pamatoti nav piemērojusi n</w:t>
      </w:r>
      <w:r w:rsidR="00907DD5" w:rsidRPr="00331CDF">
        <w:t>oteikumu Nr.</w:t>
      </w:r>
      <w:r w:rsidR="00907DD5">
        <w:t> </w:t>
      </w:r>
      <w:r w:rsidR="00907DD5" w:rsidRPr="00331CDF">
        <w:t xml:space="preserve">1493 28.2. </w:t>
      </w:r>
      <w:r w:rsidR="00907DD5">
        <w:t>un</w:t>
      </w:r>
      <w:r w:rsidR="00907DD5" w:rsidRPr="00331CDF">
        <w:t xml:space="preserve"> 28.7.apakšpunktu</w:t>
      </w:r>
      <w:r w:rsidR="00907DD5">
        <w:t xml:space="preserve">; </w:t>
      </w:r>
      <w:r>
        <w:t>2) vai tiesa</w:t>
      </w:r>
      <w:r w:rsidR="006E20DB">
        <w:t xml:space="preserve">, izvērtējot jautājumu par nemantisko kaitējumu, </w:t>
      </w:r>
      <w:r>
        <w:t xml:space="preserve">pareizi </w:t>
      </w:r>
      <w:r w:rsidR="006E20DB">
        <w:t>interpretēja materiālo tiesību normas.</w:t>
      </w:r>
    </w:p>
    <w:p w14:paraId="16336682" w14:textId="77777777" w:rsidR="00BD5F07" w:rsidRPr="00331CDF" w:rsidRDefault="00BD5F07" w:rsidP="00C929E7">
      <w:pPr>
        <w:pStyle w:val="Style1"/>
      </w:pPr>
    </w:p>
    <w:p w14:paraId="7EFD42C6" w14:textId="705DDB79" w:rsidR="00065A74" w:rsidRDefault="00065A74" w:rsidP="00C929E7">
      <w:pPr>
        <w:pStyle w:val="Style1"/>
        <w:rPr>
          <w:i/>
          <w:iCs/>
        </w:rPr>
      </w:pPr>
      <w:r w:rsidRPr="00331CDF">
        <w:rPr>
          <w:i/>
          <w:iCs/>
        </w:rPr>
        <w:t>Par izdevum</w:t>
      </w:r>
      <w:r w:rsidR="00913E34">
        <w:rPr>
          <w:i/>
          <w:iCs/>
        </w:rPr>
        <w:t>iem</w:t>
      </w:r>
      <w:r w:rsidR="00296148" w:rsidRPr="00331CDF">
        <w:rPr>
          <w:i/>
          <w:iCs/>
        </w:rPr>
        <w:t xml:space="preserve"> par juridisk</w:t>
      </w:r>
      <w:r w:rsidR="00913E34">
        <w:rPr>
          <w:i/>
          <w:iCs/>
        </w:rPr>
        <w:t>o</w:t>
      </w:r>
      <w:r w:rsidR="00296148" w:rsidRPr="00331CDF">
        <w:rPr>
          <w:i/>
          <w:iCs/>
        </w:rPr>
        <w:t xml:space="preserve"> palīdzīb</w:t>
      </w:r>
      <w:r w:rsidR="00913E34">
        <w:rPr>
          <w:i/>
          <w:iCs/>
        </w:rPr>
        <w:t>u</w:t>
      </w:r>
    </w:p>
    <w:p w14:paraId="5A94DAFC" w14:textId="77777777" w:rsidR="006E20DB" w:rsidRPr="00331CDF" w:rsidRDefault="006E20DB" w:rsidP="00C929E7">
      <w:pPr>
        <w:pStyle w:val="Style1"/>
        <w:rPr>
          <w:i/>
          <w:iCs/>
        </w:rPr>
      </w:pPr>
    </w:p>
    <w:p w14:paraId="40E0D821" w14:textId="580B6CB3" w:rsidR="00AF7068" w:rsidRPr="00331CDF" w:rsidRDefault="00065A74" w:rsidP="00C929E7">
      <w:pPr>
        <w:pStyle w:val="Style1"/>
      </w:pPr>
      <w:r w:rsidRPr="00331CDF">
        <w:t>[</w:t>
      </w:r>
      <w:r w:rsidR="00907DD5">
        <w:t>7</w:t>
      </w:r>
      <w:r w:rsidRPr="00331CDF">
        <w:t>] </w:t>
      </w:r>
      <w:r w:rsidRPr="001638EE">
        <w:t xml:space="preserve">Ģenerālprokuratūra kasācijas sūdzībā argumentē, ka </w:t>
      </w:r>
      <w:r w:rsidR="00537F6A">
        <w:t xml:space="preserve">tiesa nepamatoti nosprieda atlīdzināt </w:t>
      </w:r>
      <w:r w:rsidR="00AF7068" w:rsidRPr="001638EE">
        <w:t>izdevum</w:t>
      </w:r>
      <w:r w:rsidR="00537F6A">
        <w:t>us</w:t>
      </w:r>
      <w:r w:rsidR="00AF7068" w:rsidRPr="001638EE">
        <w:t xml:space="preserve"> par juridisko palīdzību </w:t>
      </w:r>
      <w:r w:rsidR="000B3F7A" w:rsidRPr="001638EE">
        <w:t xml:space="preserve">saistībā ar </w:t>
      </w:r>
      <w:r w:rsidR="00182AE5">
        <w:t xml:space="preserve">[pers. </w:t>
      </w:r>
      <w:r w:rsidR="00182AE5">
        <w:t>B</w:t>
      </w:r>
      <w:r w:rsidR="00182AE5">
        <w:t xml:space="preserve">] </w:t>
      </w:r>
      <w:r w:rsidR="000B3F7A" w:rsidRPr="001638EE">
        <w:t xml:space="preserve">konsultāciju </w:t>
      </w:r>
      <w:r w:rsidR="00537F6A">
        <w:t xml:space="preserve">pieteicējas </w:t>
      </w:r>
      <w:r w:rsidR="000B3F7A" w:rsidRPr="001638EE">
        <w:t>nopratināšanas laikā</w:t>
      </w:r>
      <w:r w:rsidRPr="00331CDF">
        <w:t xml:space="preserve">, jo tiesa </w:t>
      </w:r>
      <w:r w:rsidR="00AF7068" w:rsidRPr="00331CDF">
        <w:t xml:space="preserve">nepamatoti uzskatījusi, ka kriminālprocesuālās darbības protokolā ietvertās ziņas par zvērināta advokāta dalību pašas par sevi ir pietiekams pierādījums tam, ka pieteicējai ir radušies izdevumi </w:t>
      </w:r>
      <w:r w:rsidR="00AF7068" w:rsidRPr="001638EE">
        <w:t>par juridisko palīdzību</w:t>
      </w:r>
      <w:r w:rsidRPr="001638EE">
        <w:t>.</w:t>
      </w:r>
      <w:r w:rsidR="00AF7068" w:rsidRPr="00331CDF">
        <w:t xml:space="preserve"> Ģenerālprokuratūras ieskatā, ar šādu secinājumu ir nepareizi interpretēta </w:t>
      </w:r>
      <w:r w:rsidR="006E20DB">
        <w:t>Kaitējuma a</w:t>
      </w:r>
      <w:r w:rsidR="006E20DB" w:rsidRPr="00CA3F26">
        <w:t xml:space="preserve">tlīdzināšanas </w:t>
      </w:r>
      <w:r w:rsidR="00AF7068" w:rsidRPr="00331CDF">
        <w:t>likuma 9.panta pirmā daļa kopsakarā ar 12.panta pirmo daļu.</w:t>
      </w:r>
    </w:p>
    <w:p w14:paraId="0101A8DA" w14:textId="2B6171DD" w:rsidR="00065A74" w:rsidRDefault="00296148" w:rsidP="00C929E7">
      <w:pPr>
        <w:pStyle w:val="Style1"/>
      </w:pPr>
      <w:r w:rsidRPr="00331CDF">
        <w:t>Savukārt p</w:t>
      </w:r>
      <w:r w:rsidR="00EE1D0A" w:rsidRPr="00331CDF">
        <w:t>ieteicēja</w:t>
      </w:r>
      <w:r w:rsidR="00065A74" w:rsidRPr="00331CDF">
        <w:t xml:space="preserve"> kasācijas sūdzībā argumentē, ka </w:t>
      </w:r>
      <w:r w:rsidR="00935827" w:rsidRPr="00331CDF">
        <w:t>tiesa nepareizi izlēma jautājumu par izdevum</w:t>
      </w:r>
      <w:r w:rsidRPr="00331CDF">
        <w:t>u</w:t>
      </w:r>
      <w:r w:rsidR="00935827" w:rsidRPr="00331CDF">
        <w:t xml:space="preserve"> par </w:t>
      </w:r>
      <w:r w:rsidR="00935827" w:rsidRPr="001638EE">
        <w:t>div</w:t>
      </w:r>
      <w:r w:rsidR="000B3F7A" w:rsidRPr="001638EE">
        <w:t>u</w:t>
      </w:r>
      <w:r w:rsidR="00935827" w:rsidRPr="001638EE">
        <w:t xml:space="preserve"> </w:t>
      </w:r>
      <w:r w:rsidR="00182AE5">
        <w:t>[pers. C]</w:t>
      </w:r>
      <w:r w:rsidR="00935827" w:rsidRPr="00331CDF">
        <w:t xml:space="preserve"> </w:t>
      </w:r>
      <w:r w:rsidR="00C76AFA">
        <w:t>sastādīto</w:t>
      </w:r>
      <w:r w:rsidR="00935827" w:rsidRPr="00331CDF">
        <w:t xml:space="preserve"> sūdzīb</w:t>
      </w:r>
      <w:r w:rsidR="00967773">
        <w:t>u</w:t>
      </w:r>
      <w:r w:rsidR="00935827" w:rsidRPr="00331CDF">
        <w:t xml:space="preserve"> atlīdzināšanu</w:t>
      </w:r>
      <w:r w:rsidR="00AF7068" w:rsidRPr="00331CDF">
        <w:t xml:space="preserve"> un nav </w:t>
      </w:r>
      <w:r w:rsidR="00967773">
        <w:t xml:space="preserve">atlīdzinājusi </w:t>
      </w:r>
      <w:r w:rsidR="00AF7068" w:rsidRPr="00331CDF">
        <w:t>izdevumu</w:t>
      </w:r>
      <w:r w:rsidR="00967773">
        <w:t>s</w:t>
      </w:r>
      <w:r w:rsidR="00AF7068" w:rsidRPr="00331CDF">
        <w:t xml:space="preserve"> par </w:t>
      </w:r>
      <w:r w:rsidR="00182AE5">
        <w:t>[pers. C]</w:t>
      </w:r>
      <w:r w:rsidR="00182AE5">
        <w:t xml:space="preserve"> </w:t>
      </w:r>
      <w:r w:rsidR="00AF7068" w:rsidRPr="00331CDF">
        <w:t>juridiskās palīdzības sniegšanu nopratināšanas laikā</w:t>
      </w:r>
      <w:r w:rsidR="00065A74" w:rsidRPr="00331CDF">
        <w:t>.</w:t>
      </w:r>
      <w:r w:rsidR="00F47F31" w:rsidRPr="00331CDF">
        <w:t xml:space="preserve"> Pieteicēja uzskata, ka šādi tiesa</w:t>
      </w:r>
      <w:r w:rsidR="001D784A">
        <w:t xml:space="preserve"> nepamatoti</w:t>
      </w:r>
      <w:r w:rsidR="00F47F31" w:rsidRPr="00331CDF">
        <w:t xml:space="preserve"> nav piemērojusi </w:t>
      </w:r>
      <w:r w:rsidR="001D784A">
        <w:t>n</w:t>
      </w:r>
      <w:r w:rsidR="00F47F31" w:rsidRPr="00331CDF">
        <w:t>oteikumu Nr.</w:t>
      </w:r>
      <w:r w:rsidR="00ED275F">
        <w:t> </w:t>
      </w:r>
      <w:r w:rsidR="00F47F31" w:rsidRPr="00331CDF">
        <w:t xml:space="preserve">1493 28.2. </w:t>
      </w:r>
      <w:r w:rsidR="001D784A">
        <w:t>un</w:t>
      </w:r>
      <w:r w:rsidR="00F47F31" w:rsidRPr="00331CDF">
        <w:t xml:space="preserve"> 28.7.apakšpunktu.</w:t>
      </w:r>
    </w:p>
    <w:p w14:paraId="40BB90A0" w14:textId="77777777" w:rsidR="00376263" w:rsidRDefault="00376263" w:rsidP="00C929E7">
      <w:pPr>
        <w:pStyle w:val="Style1"/>
      </w:pPr>
    </w:p>
    <w:p w14:paraId="4D560F9B" w14:textId="3A943D6F" w:rsidR="00376263" w:rsidRDefault="00376263" w:rsidP="00C929E7">
      <w:pPr>
        <w:pStyle w:val="Style1"/>
      </w:pPr>
      <w:r>
        <w:t xml:space="preserve">[8] </w:t>
      </w:r>
      <w:r w:rsidR="006E20DB">
        <w:t>Kaitējuma a</w:t>
      </w:r>
      <w:r w:rsidR="006E20DB" w:rsidRPr="00CA3F26">
        <w:t xml:space="preserve">tlīdzināšanas </w:t>
      </w:r>
      <w:r w:rsidRPr="00331CDF">
        <w:t xml:space="preserve">likuma 9.panta pirmā daļa </w:t>
      </w:r>
      <w:r>
        <w:t>noteic, ka z</w:t>
      </w:r>
      <w:r w:rsidRPr="00311071">
        <w:t>audējuma atlīdzinājuma tiesisko pamatu un atlīdzības apmēru pierāda ar</w:t>
      </w:r>
      <w:r>
        <w:t xml:space="preserve"> </w:t>
      </w:r>
      <w:hyperlink r:id="rId9" w:tgtFrame="_blank" w:history="1">
        <w:r w:rsidRPr="00311071">
          <w:rPr>
            <w:rStyle w:val="Hyperlink"/>
            <w:color w:val="000000" w:themeColor="text1"/>
            <w:u w:val="none"/>
          </w:rPr>
          <w:t>Administratīvā procesa likumā</w:t>
        </w:r>
      </w:hyperlink>
      <w:r>
        <w:rPr>
          <w:color w:val="000000" w:themeColor="text1"/>
        </w:rPr>
        <w:t xml:space="preserve"> </w:t>
      </w:r>
      <w:r w:rsidRPr="00311071">
        <w:t>norādītajiem pierādīšanas līdzekļiem</w:t>
      </w:r>
      <w:r>
        <w:t xml:space="preserve">. Šā likuma </w:t>
      </w:r>
      <w:r w:rsidRPr="00331CDF">
        <w:t>12.panta pirm</w:t>
      </w:r>
      <w:r>
        <w:t>ā</w:t>
      </w:r>
      <w:r w:rsidRPr="00331CDF">
        <w:t xml:space="preserve"> daļ</w:t>
      </w:r>
      <w:r>
        <w:t>a noteic, ka z</w:t>
      </w:r>
      <w:r w:rsidRPr="00311071">
        <w:t>audējuma apmēru nosaka, novērtējot pierādījumus</w:t>
      </w:r>
      <w:r>
        <w:t>.</w:t>
      </w:r>
    </w:p>
    <w:p w14:paraId="2819244B" w14:textId="187E0208" w:rsidR="00376263" w:rsidRPr="00376263" w:rsidRDefault="00376263" w:rsidP="00C929E7">
      <w:pPr>
        <w:pStyle w:val="Style1"/>
      </w:pPr>
      <w:r>
        <w:t>Noteikumu Nr. 1493 28.2.apakšpunkts noteic, ka j</w:t>
      </w:r>
      <w:r w:rsidRPr="00376263">
        <w:t>uridiskās palīdzības sniedzējam par juridisko palīdzību vienai personai</w:t>
      </w:r>
      <w:r>
        <w:t xml:space="preserve"> </w:t>
      </w:r>
      <w:r w:rsidRPr="00376263">
        <w:t>par</w:t>
      </w:r>
      <w:r>
        <w:t xml:space="preserve"> </w:t>
      </w:r>
      <w:hyperlink r:id="rId10" w:tgtFrame="_blank" w:history="1">
        <w:r w:rsidRPr="00376263">
          <w:rPr>
            <w:rStyle w:val="Hyperlink"/>
            <w:color w:val="000000" w:themeColor="text1"/>
            <w:u w:val="none"/>
          </w:rPr>
          <w:t>Kriminālprocesa likumā</w:t>
        </w:r>
      </w:hyperlink>
      <w:r>
        <w:rPr>
          <w:color w:val="000000" w:themeColor="text1"/>
        </w:rPr>
        <w:t xml:space="preserve"> </w:t>
      </w:r>
      <w:r w:rsidRPr="00376263">
        <w:t xml:space="preserve">noteiktajos gadījumos paredzētās rakstiskās sūdzības sastādīšanu par kriminālprocesu veicošās amatpersonas rīcību vai nolēmumu un procesuālā piespiedu līdzekļa piemērošanu, grozīšanu vai atcelšanu </w:t>
      </w:r>
      <w:r>
        <w:t xml:space="preserve">valsts maksā </w:t>
      </w:r>
      <w:r w:rsidRPr="00376263">
        <w:t>50 </w:t>
      </w:r>
      <w:r w:rsidRPr="00376263">
        <w:rPr>
          <w:i/>
          <w:iCs/>
        </w:rPr>
        <w:t>euro</w:t>
      </w:r>
      <w:r>
        <w:t xml:space="preserve">. Bet </w:t>
      </w:r>
      <w:r w:rsidRPr="00376263">
        <w:t xml:space="preserve">par pārstāvību vai aizstāvību pirmstiesas procesa stadijā </w:t>
      </w:r>
      <w:r>
        <w:t xml:space="preserve">atbilstoši šo noteikumu 28.7.apakšpunktam </w:t>
      </w:r>
      <w:r w:rsidRPr="00376263">
        <w:t>– 35 </w:t>
      </w:r>
      <w:r w:rsidRPr="00376263">
        <w:rPr>
          <w:i/>
          <w:iCs/>
        </w:rPr>
        <w:t>euro</w:t>
      </w:r>
      <w:r>
        <w:t xml:space="preserve"> </w:t>
      </w:r>
      <w:r w:rsidRPr="00376263">
        <w:t>stundā</w:t>
      </w:r>
      <w:r>
        <w:t>.</w:t>
      </w:r>
    </w:p>
    <w:p w14:paraId="69FB830B" w14:textId="79A187F8" w:rsidR="00376263" w:rsidRPr="00331CDF" w:rsidRDefault="00376263" w:rsidP="00C929E7">
      <w:pPr>
        <w:pStyle w:val="Style1"/>
      </w:pPr>
    </w:p>
    <w:p w14:paraId="684B3BB9" w14:textId="77777777" w:rsidR="003D43B7" w:rsidRDefault="00065A74" w:rsidP="00C929E7">
      <w:pPr>
        <w:pStyle w:val="Style1"/>
      </w:pPr>
      <w:r w:rsidRPr="00331CDF">
        <w:t>[</w:t>
      </w:r>
      <w:r w:rsidR="00376263">
        <w:t>9</w:t>
      </w:r>
      <w:r w:rsidRPr="00331CDF">
        <w:t>] </w:t>
      </w:r>
      <w:r w:rsidR="003D43B7">
        <w:t xml:space="preserve">Attiecībā uz </w:t>
      </w:r>
      <w:r w:rsidR="003D43B7" w:rsidRPr="001638EE">
        <w:t>Ģenerālprokuratūra</w:t>
      </w:r>
      <w:r w:rsidR="003D43B7">
        <w:t>s</w:t>
      </w:r>
      <w:r w:rsidR="003D43B7" w:rsidRPr="001638EE">
        <w:t xml:space="preserve"> kasācijas sūdzīb</w:t>
      </w:r>
      <w:r w:rsidR="003D43B7">
        <w:t xml:space="preserve">as argumentiem norādāms turpmāk minētais. </w:t>
      </w:r>
    </w:p>
    <w:p w14:paraId="277E047B" w14:textId="738F9ACE" w:rsidR="0043183F" w:rsidRDefault="001D784A" w:rsidP="00C929E7">
      <w:pPr>
        <w:pStyle w:val="Style1"/>
      </w:pPr>
      <w:r>
        <w:t>J</w:t>
      </w:r>
      <w:r w:rsidR="00516961" w:rsidRPr="00331CDF">
        <w:t xml:space="preserve">autājums par </w:t>
      </w:r>
      <w:r w:rsidR="00A22688" w:rsidRPr="00331CDF">
        <w:t xml:space="preserve">to, vai pieteicējai saistībā ar konkrēto kriminālprocesu un procesuālo darbību tika sniegta juridiskā palīdzība, </w:t>
      </w:r>
      <w:r w:rsidR="00325F5D" w:rsidRPr="00331CDF">
        <w:t xml:space="preserve">ir jānodala </w:t>
      </w:r>
      <w:r w:rsidR="00ED275F">
        <w:t xml:space="preserve">no </w:t>
      </w:r>
      <w:r w:rsidR="00325F5D" w:rsidRPr="00331CDF">
        <w:t>jautājuma par to, vai ir pilnīga pārliecība</w:t>
      </w:r>
      <w:r w:rsidR="00ED275F">
        <w:t xml:space="preserve">, ka </w:t>
      </w:r>
      <w:r w:rsidR="00A22688" w:rsidRPr="00331CDF">
        <w:t>pieteicēja ir samaksājusi par to.</w:t>
      </w:r>
      <w:r w:rsidR="00325F5D" w:rsidRPr="00331CDF">
        <w:t xml:space="preserve"> </w:t>
      </w:r>
      <w:r w:rsidR="00A22688" w:rsidRPr="00331CDF">
        <w:t>Šie apstākļi ir nodalāmi, jo pirm</w:t>
      </w:r>
      <w:r w:rsidR="007048D4">
        <w:t>ajā</w:t>
      </w:r>
      <w:r w:rsidR="00A22688" w:rsidRPr="00331CDF">
        <w:t xml:space="preserve"> noskaidrojamais apstāklis ir, vai pakalpojums vispār </w:t>
      </w:r>
      <w:r w:rsidR="00446ADC">
        <w:t xml:space="preserve">ir </w:t>
      </w:r>
      <w:r w:rsidR="00A22688" w:rsidRPr="00331CDF">
        <w:t>sniegts, savukārt otra</w:t>
      </w:r>
      <w:r w:rsidR="007048D4">
        <w:t>jā</w:t>
      </w:r>
      <w:r w:rsidR="00A22688" w:rsidRPr="00331CDF">
        <w:t> – vai šī pakalpojuma sniegšana ir radījusi pieteicēja</w:t>
      </w:r>
      <w:r w:rsidR="001638EE">
        <w:t>s</w:t>
      </w:r>
      <w:r w:rsidR="00A22688" w:rsidRPr="00331CDF">
        <w:t xml:space="preserve"> mantas samazinājumu. </w:t>
      </w:r>
    </w:p>
    <w:p w14:paraId="442BA103" w14:textId="2280B33A" w:rsidR="00516961" w:rsidRDefault="001D784A" w:rsidP="00C929E7">
      <w:pPr>
        <w:pStyle w:val="Style1"/>
      </w:pPr>
      <w:r>
        <w:t>T</w:t>
      </w:r>
      <w:r w:rsidR="00A22688" w:rsidRPr="00331CDF">
        <w:t xml:space="preserve">iesa </w:t>
      </w:r>
      <w:r w:rsidR="00047C99">
        <w:t>atzinusi</w:t>
      </w:r>
      <w:r w:rsidR="00A22688" w:rsidRPr="00331CDF">
        <w:t>,</w:t>
      </w:r>
      <w:r w:rsidR="001638EE">
        <w:t xml:space="preserve"> ka</w:t>
      </w:r>
      <w:r w:rsidR="00A22688" w:rsidRPr="00331CDF">
        <w:t xml:space="preserve"> lietā ir pierādīts, ka </w:t>
      </w:r>
      <w:r w:rsidR="00182AE5">
        <w:t xml:space="preserve">[pers. B] </w:t>
      </w:r>
      <w:r w:rsidR="00B2247B" w:rsidRPr="00ED275F">
        <w:t>2021.gada 2.augustā apmeklēja pieteicēju brīvības atņemšanas iestādē</w:t>
      </w:r>
      <w:r w:rsidR="00325570" w:rsidRPr="00ED275F">
        <w:t>, jo a</w:t>
      </w:r>
      <w:r w:rsidR="000D6B33" w:rsidRPr="00ED275F">
        <w:t xml:space="preserve">pstākli, ka </w:t>
      </w:r>
      <w:r w:rsidR="00182AE5">
        <w:t xml:space="preserve">[pers. B] </w:t>
      </w:r>
      <w:r w:rsidR="000D6B33" w:rsidRPr="00331CDF">
        <w:t>sniedza konsultāciju</w:t>
      </w:r>
      <w:r w:rsidR="00325570" w:rsidRPr="00331CDF">
        <w:t xml:space="preserve"> saistībā ar konkrēto kriminālprocesu</w:t>
      </w:r>
      <w:r w:rsidR="007048D4">
        <w:t>,</w:t>
      </w:r>
      <w:r w:rsidR="000D6B33" w:rsidRPr="00331CDF">
        <w:t xml:space="preserve"> apliecina tas, ka viņa</w:t>
      </w:r>
      <w:r w:rsidR="00325570" w:rsidRPr="00331CDF">
        <w:t>s</w:t>
      </w:r>
      <w:r w:rsidR="000D6B33" w:rsidRPr="00331CDF">
        <w:t xml:space="preserve"> vārds pieminēts nopratināšanas protokolā</w:t>
      </w:r>
      <w:r w:rsidR="00325F5D" w:rsidRPr="00331CDF">
        <w:t xml:space="preserve">. </w:t>
      </w:r>
      <w:r w:rsidR="00B2247B" w:rsidRPr="00331CDF">
        <w:t xml:space="preserve">Tādēļ strīds pastāv tikai par to, vai izdevumi ir </w:t>
      </w:r>
      <w:r w:rsidR="00376263">
        <w:t xml:space="preserve">atlīdzināmi </w:t>
      </w:r>
      <w:r w:rsidR="00B2247B" w:rsidRPr="00331CDF">
        <w:t>tikai tādā gadījumā, ja</w:t>
      </w:r>
      <w:r w:rsidR="007048D4">
        <w:t xml:space="preserve"> par konkrēto</w:t>
      </w:r>
      <w:r w:rsidR="001638EE">
        <w:t xml:space="preserve"> juridiskās palīdzības sniegšanu</w:t>
      </w:r>
      <w:r w:rsidR="007048D4">
        <w:t xml:space="preserve"> ir izrakstīts advokāta rēķins</w:t>
      </w:r>
      <w:r w:rsidR="001638EE">
        <w:t xml:space="preserve"> vai par šo palīdzību jau </w:t>
      </w:r>
      <w:r>
        <w:t xml:space="preserve">ir </w:t>
      </w:r>
      <w:r w:rsidR="001638EE">
        <w:t>samaksā</w:t>
      </w:r>
      <w:r>
        <w:t>ts</w:t>
      </w:r>
      <w:r w:rsidR="001638EE">
        <w:t>.</w:t>
      </w:r>
    </w:p>
    <w:p w14:paraId="782D0BA8" w14:textId="2353932D" w:rsidR="003A7F81" w:rsidRPr="00331CDF" w:rsidRDefault="003B56D8" w:rsidP="00C929E7">
      <w:pPr>
        <w:pStyle w:val="Style1"/>
      </w:pPr>
      <w:r w:rsidRPr="00331CDF">
        <w:t xml:space="preserve">Senāts </w:t>
      </w:r>
      <w:r w:rsidR="00537F6A">
        <w:t xml:space="preserve">ir </w:t>
      </w:r>
      <w:r w:rsidRPr="00331CDF">
        <w:t>atzin</w:t>
      </w:r>
      <w:r w:rsidR="00537F6A">
        <w:t>is</w:t>
      </w:r>
      <w:r w:rsidRPr="00331CDF">
        <w:t xml:space="preserve">, ka tiesa bija nepareizi interpretējusi salīdzināmu </w:t>
      </w:r>
      <w:r w:rsidR="003B665E" w:rsidRPr="00331CDF">
        <w:t>Valsts pārvaldes iestāžu nodarīto zaudējumu atlīdzināšanas likuma tiesību normu, jo</w:t>
      </w:r>
      <w:r w:rsidR="00325570" w:rsidRPr="00331CDF">
        <w:t xml:space="preserve"> tā bija</w:t>
      </w:r>
      <w:r w:rsidR="003B665E" w:rsidRPr="00331CDF">
        <w:t xml:space="preserve"> </w:t>
      </w:r>
      <w:r w:rsidR="003B665E" w:rsidRPr="007048D4">
        <w:t>nepamatoti uzskatījusi,</w:t>
      </w:r>
      <w:r w:rsidR="003B665E" w:rsidRPr="00331CDF">
        <w:t xml:space="preserve"> ka rēķina par juridisko palīdzību </w:t>
      </w:r>
      <w:r w:rsidR="001D784A">
        <w:t>sa</w:t>
      </w:r>
      <w:r w:rsidR="003B665E" w:rsidRPr="00331CDF">
        <w:t>maksa ir priekšnoteikums šādu zaudējumu atlīdzināšanai</w:t>
      </w:r>
      <w:r w:rsidR="00C76AFA">
        <w:t xml:space="preserve"> (</w:t>
      </w:r>
      <w:r w:rsidR="00C76AFA" w:rsidRPr="00331CDF">
        <w:rPr>
          <w:i/>
          <w:iCs/>
        </w:rPr>
        <w:t>Senāta 20</w:t>
      </w:r>
      <w:r w:rsidR="00C76AFA">
        <w:rPr>
          <w:i/>
          <w:iCs/>
        </w:rPr>
        <w:t>19</w:t>
      </w:r>
      <w:r w:rsidR="00C76AFA" w:rsidRPr="00331CDF">
        <w:rPr>
          <w:i/>
          <w:iCs/>
        </w:rPr>
        <w:t xml:space="preserve">.gada </w:t>
      </w:r>
      <w:r w:rsidR="003C2F67">
        <w:rPr>
          <w:i/>
          <w:iCs/>
        </w:rPr>
        <w:t xml:space="preserve">23.septembra </w:t>
      </w:r>
      <w:r w:rsidR="00C76AFA" w:rsidRPr="00331CDF">
        <w:rPr>
          <w:i/>
          <w:iCs/>
        </w:rPr>
        <w:t>spriedum</w:t>
      </w:r>
      <w:r w:rsidR="00C76AFA">
        <w:rPr>
          <w:i/>
          <w:iCs/>
        </w:rPr>
        <w:t>a</w:t>
      </w:r>
      <w:r w:rsidR="00C76AFA" w:rsidRPr="00331CDF">
        <w:rPr>
          <w:i/>
          <w:iCs/>
        </w:rPr>
        <w:t xml:space="preserve"> lietā Nr.</w:t>
      </w:r>
      <w:r w:rsidR="00C76AFA">
        <w:rPr>
          <w:i/>
          <w:iCs/>
        </w:rPr>
        <w:t> </w:t>
      </w:r>
      <w:r w:rsidR="00C76AFA" w:rsidRPr="00331CDF">
        <w:rPr>
          <w:i/>
          <w:iCs/>
        </w:rPr>
        <w:t>SKA-1</w:t>
      </w:r>
      <w:r w:rsidR="00C76AFA">
        <w:rPr>
          <w:i/>
          <w:iCs/>
        </w:rPr>
        <w:t>31</w:t>
      </w:r>
      <w:r w:rsidR="00C76AFA" w:rsidRPr="00331CDF">
        <w:rPr>
          <w:i/>
          <w:iCs/>
        </w:rPr>
        <w:t>/20</w:t>
      </w:r>
      <w:r w:rsidR="00C76AFA">
        <w:rPr>
          <w:i/>
          <w:iCs/>
        </w:rPr>
        <w:t>19,</w:t>
      </w:r>
      <w:r w:rsidR="003D43B7" w:rsidRPr="003D43B7">
        <w:t xml:space="preserve"> </w:t>
      </w:r>
      <w:r w:rsidR="003D43B7" w:rsidRPr="003D43B7">
        <w:rPr>
          <w:i/>
          <w:iCs/>
        </w:rPr>
        <w:t>ECLI:LV:AT:2019:0923.A420172915.2.S</w:t>
      </w:r>
      <w:r w:rsidR="003D43B7">
        <w:rPr>
          <w:i/>
          <w:iCs/>
        </w:rPr>
        <w:t xml:space="preserve">, </w:t>
      </w:r>
      <w:r w:rsidR="003C2F67">
        <w:rPr>
          <w:i/>
          <w:iCs/>
        </w:rPr>
        <w:t>8.punkts</w:t>
      </w:r>
      <w:r w:rsidR="00C76AFA">
        <w:t>)</w:t>
      </w:r>
      <w:r w:rsidR="003B665E" w:rsidRPr="00331CDF">
        <w:rPr>
          <w:i/>
          <w:iCs/>
        </w:rPr>
        <w:t>.</w:t>
      </w:r>
      <w:r w:rsidR="003A7F81" w:rsidRPr="00331CDF">
        <w:t xml:space="preserve"> </w:t>
      </w:r>
      <w:r w:rsidR="007D11A6" w:rsidRPr="00331CDF">
        <w:t>Turklāt</w:t>
      </w:r>
      <w:r w:rsidR="00537F6A">
        <w:t xml:space="preserve"> </w:t>
      </w:r>
      <w:r w:rsidR="001D784A">
        <w:t>– j</w:t>
      </w:r>
      <w:r w:rsidR="007D11A6" w:rsidRPr="0043183F">
        <w:t>a</w:t>
      </w:r>
      <w:r w:rsidR="007D11A6" w:rsidRPr="00331CDF">
        <w:t xml:space="preserve"> personai ir radušās parādsaistības, tad tas vien, ka rēķinu par juridisko palīdzību persona, kurai tā ir sniegta, vēl nav samaksājusi, nevar būt par pamatu atteikumam atlīdzināt zaudējumus</w:t>
      </w:r>
      <w:r w:rsidR="001D784A">
        <w:t xml:space="preserve"> </w:t>
      </w:r>
      <w:r w:rsidR="007D11A6" w:rsidRPr="00331CDF">
        <w:t>(</w:t>
      </w:r>
      <w:r w:rsidR="007D11A6" w:rsidRPr="00331CDF">
        <w:rPr>
          <w:i/>
          <w:iCs/>
        </w:rPr>
        <w:t>Senāta 2022.gada 31.augusta spriedum</w:t>
      </w:r>
      <w:r w:rsidR="00C76AFA">
        <w:rPr>
          <w:i/>
          <w:iCs/>
        </w:rPr>
        <w:t>a</w:t>
      </w:r>
      <w:r w:rsidR="007D11A6" w:rsidRPr="00331CDF">
        <w:rPr>
          <w:i/>
          <w:iCs/>
        </w:rPr>
        <w:t xml:space="preserve"> lietā Nr.</w:t>
      </w:r>
      <w:r w:rsidR="009543E9">
        <w:rPr>
          <w:i/>
          <w:iCs/>
        </w:rPr>
        <w:t> </w:t>
      </w:r>
      <w:r w:rsidR="007D11A6" w:rsidRPr="00331CDF">
        <w:rPr>
          <w:i/>
          <w:iCs/>
        </w:rPr>
        <w:t>SKA-168/2022</w:t>
      </w:r>
      <w:r w:rsidR="00CA3F26">
        <w:rPr>
          <w:i/>
          <w:iCs/>
        </w:rPr>
        <w:t>,</w:t>
      </w:r>
      <w:r w:rsidR="007D11A6" w:rsidRPr="00331CDF">
        <w:rPr>
          <w:i/>
          <w:iCs/>
        </w:rPr>
        <w:t xml:space="preserve"> </w:t>
      </w:r>
      <w:hyperlink r:id="rId11" w:history="1">
        <w:r w:rsidR="007D11A6" w:rsidRPr="00331CDF">
          <w:rPr>
            <w:rStyle w:val="Hyperlink"/>
            <w:i/>
            <w:iCs/>
          </w:rPr>
          <w:t>ECLI:LV:AT:2022:0831.A420262818.11.S</w:t>
        </w:r>
      </w:hyperlink>
      <w:r w:rsidR="00CA3F26">
        <w:rPr>
          <w:i/>
          <w:iCs/>
        </w:rPr>
        <w:t>,</w:t>
      </w:r>
      <w:r w:rsidR="007D11A6" w:rsidRPr="00331CDF">
        <w:rPr>
          <w:i/>
          <w:iCs/>
        </w:rPr>
        <w:t xml:space="preserve"> 14.punkts</w:t>
      </w:r>
      <w:r w:rsidR="007D11A6" w:rsidRPr="00331CDF">
        <w:t xml:space="preserve">). </w:t>
      </w:r>
      <w:r w:rsidR="00325570" w:rsidRPr="00331CDF">
        <w:t>Tātad tas vien, ka nav pierādījumu, ka pieteicēja ir advokāt</w:t>
      </w:r>
      <w:r w:rsidR="001D784A">
        <w:t>am</w:t>
      </w:r>
      <w:r w:rsidR="00325570" w:rsidRPr="00331CDF">
        <w:t xml:space="preserve"> samaksājusi, nav pamats noraidīt izdevumu atlīdzināšanas prasību. </w:t>
      </w:r>
    </w:p>
    <w:p w14:paraId="4BE6B239" w14:textId="62DD65E6" w:rsidR="00296148" w:rsidRPr="00331CDF" w:rsidRDefault="00325570" w:rsidP="00C929E7">
      <w:pPr>
        <w:spacing w:line="276" w:lineRule="auto"/>
        <w:ind w:firstLine="567"/>
        <w:jc w:val="both"/>
      </w:pPr>
      <w:r w:rsidRPr="00331CDF">
        <w:t>M</w:t>
      </w:r>
      <w:r w:rsidR="00B2247B" w:rsidRPr="00331CDF">
        <w:t>inēto nemaina arī</w:t>
      </w:r>
      <w:r w:rsidR="00516961" w:rsidRPr="00331CDF">
        <w:t xml:space="preserve"> Ģenerālprokuratūras </w:t>
      </w:r>
      <w:r w:rsidR="00B2247B" w:rsidRPr="00331CDF">
        <w:t>netiešā atsauce uz Senāta secinājumiem lietā Nr.</w:t>
      </w:r>
      <w:r w:rsidR="00146507">
        <w:t> </w:t>
      </w:r>
      <w:r w:rsidR="00B2247B" w:rsidRPr="00331CDF">
        <w:t xml:space="preserve">SKA-471/2021. </w:t>
      </w:r>
      <w:r w:rsidR="004152DE">
        <w:t>M</w:t>
      </w:r>
      <w:r w:rsidR="004152DE" w:rsidRPr="00331CDF">
        <w:t>inētajā liet</w:t>
      </w:r>
      <w:r w:rsidR="004152DE">
        <w:t>ā</w:t>
      </w:r>
      <w:r w:rsidR="004152DE" w:rsidRPr="006F3B57">
        <w:t xml:space="preserve"> </w:t>
      </w:r>
      <w:r w:rsidR="004152DE" w:rsidRPr="00331CDF">
        <w:t xml:space="preserve">izdevumus par juridisko palīdzību </w:t>
      </w:r>
      <w:r w:rsidR="004152DE">
        <w:t xml:space="preserve">samaksāja </w:t>
      </w:r>
      <w:r w:rsidR="004152DE" w:rsidRPr="00331CDF">
        <w:t xml:space="preserve">trešā persona, nevis </w:t>
      </w:r>
      <w:r w:rsidR="004152DE">
        <w:t>juridiskās palīdzības saņēmējs.</w:t>
      </w:r>
      <w:r w:rsidR="004858D0" w:rsidRPr="00331CDF">
        <w:t xml:space="preserve"> </w:t>
      </w:r>
      <w:r w:rsidR="004152DE" w:rsidRPr="00331CDF">
        <w:t>Senāts norādīja</w:t>
      </w:r>
      <w:r w:rsidR="004152DE">
        <w:t xml:space="preserve"> – </w:t>
      </w:r>
      <w:r w:rsidR="004152DE" w:rsidRPr="00331CDF">
        <w:t xml:space="preserve">lai </w:t>
      </w:r>
      <w:r w:rsidR="004152DE">
        <w:t xml:space="preserve">tādos apstākļos </w:t>
      </w:r>
      <w:r w:rsidR="004152DE" w:rsidRPr="00331CDF">
        <w:t>personai, kurai ir sniegta palīdzība, būtu tiesības atgūt izdevumus</w:t>
      </w:r>
      <w:r w:rsidR="004152DE">
        <w:t>,</w:t>
      </w:r>
      <w:r w:rsidR="004152DE" w:rsidRPr="00331CDF">
        <w:t xml:space="preserve"> nepietiek secināt, ka advokāta </w:t>
      </w:r>
      <w:r w:rsidR="006E20DB">
        <w:t>izrakstīto</w:t>
      </w:r>
      <w:r w:rsidR="004152DE" w:rsidRPr="00331CDF">
        <w:t xml:space="preserve"> rēķinu kāda persona ir samaksājusi, būtiski ir arī konstatēt, ka personai, kura prasa atlīdzinājumu, ir radušies izdevumi sakarā ar to, ka viņa naudu ir atdevusi vai viņai radušās parādsaistības</w:t>
      </w:r>
      <w:r w:rsidR="004152DE">
        <w:t xml:space="preserve"> </w:t>
      </w:r>
      <w:r w:rsidR="004858D0" w:rsidRPr="00331CDF">
        <w:rPr>
          <w:color w:val="000000"/>
        </w:rPr>
        <w:t>(</w:t>
      </w:r>
      <w:r w:rsidR="004858D0" w:rsidRPr="00331CDF">
        <w:rPr>
          <w:i/>
          <w:iCs/>
          <w:color w:val="000000"/>
        </w:rPr>
        <w:t xml:space="preserve">Senāta 2021.gada 18.jūnija spriedums lietā </w:t>
      </w:r>
      <w:r w:rsidR="004858D0" w:rsidRPr="00331CDF">
        <w:rPr>
          <w:i/>
          <w:iCs/>
        </w:rPr>
        <w:t>Nr.</w:t>
      </w:r>
      <w:r w:rsidR="00FA7E7D">
        <w:rPr>
          <w:i/>
          <w:iCs/>
        </w:rPr>
        <w:t> </w:t>
      </w:r>
      <w:r w:rsidR="004858D0" w:rsidRPr="00331CDF">
        <w:rPr>
          <w:i/>
          <w:iCs/>
        </w:rPr>
        <w:t>SKA-471/2021</w:t>
      </w:r>
      <w:r w:rsidR="00CA3F26">
        <w:rPr>
          <w:i/>
          <w:iCs/>
        </w:rPr>
        <w:t>,</w:t>
      </w:r>
      <w:r w:rsidR="004858D0" w:rsidRPr="00331CDF">
        <w:rPr>
          <w:i/>
          <w:iCs/>
        </w:rPr>
        <w:t xml:space="preserve"> </w:t>
      </w:r>
      <w:hyperlink r:id="rId12" w:history="1">
        <w:r w:rsidR="004858D0" w:rsidRPr="00331CDF">
          <w:rPr>
            <w:rStyle w:val="Hyperlink"/>
            <w:i/>
            <w:iCs/>
          </w:rPr>
          <w:t>ECLI:LV:AT:2021:0618.A420160919.12.S</w:t>
        </w:r>
      </w:hyperlink>
      <w:r w:rsidR="00CA3F26">
        <w:rPr>
          <w:i/>
          <w:iCs/>
        </w:rPr>
        <w:t>,</w:t>
      </w:r>
      <w:r w:rsidR="004858D0" w:rsidRPr="00331CDF">
        <w:rPr>
          <w:i/>
          <w:iCs/>
        </w:rPr>
        <w:t xml:space="preserve"> 7.punkts</w:t>
      </w:r>
      <w:r w:rsidR="004858D0" w:rsidRPr="00331CDF">
        <w:t>).</w:t>
      </w:r>
      <w:r w:rsidR="001638EE">
        <w:t xml:space="preserve"> </w:t>
      </w:r>
      <w:r w:rsidR="004152DE">
        <w:t xml:space="preserve">Arī minētajā lietā tika norādīts </w:t>
      </w:r>
      <w:r w:rsidR="004152DE" w:rsidRPr="00331CDF">
        <w:t>uz Senāta 2019.gada 23.septembra spriedum</w:t>
      </w:r>
      <w:r w:rsidR="004152DE">
        <w:t>ā</w:t>
      </w:r>
      <w:r w:rsidR="004152DE" w:rsidRPr="00331CDF">
        <w:t xml:space="preserve"> lietā Nr.</w:t>
      </w:r>
      <w:r w:rsidR="004152DE">
        <w:t> </w:t>
      </w:r>
      <w:r w:rsidR="004152DE" w:rsidRPr="00331CDF">
        <w:t>SKA</w:t>
      </w:r>
      <w:r w:rsidR="004152DE">
        <w:t xml:space="preserve">– </w:t>
      </w:r>
      <w:r w:rsidR="004152DE" w:rsidRPr="00331CDF">
        <w:t xml:space="preserve">131/2019 </w:t>
      </w:r>
      <w:r w:rsidR="004152DE">
        <w:t>atzīto</w:t>
      </w:r>
      <w:r w:rsidR="004152DE" w:rsidRPr="00331CDF">
        <w:t xml:space="preserve">, ka </w:t>
      </w:r>
      <w:r w:rsidR="006E20DB">
        <w:t>Kaitējuma a</w:t>
      </w:r>
      <w:r w:rsidR="006E20DB" w:rsidRPr="00CA3F26">
        <w:t xml:space="preserve">tlīdzināšanas </w:t>
      </w:r>
      <w:r w:rsidR="004152DE" w:rsidRPr="00331CDF">
        <w:t>likumā ietvertais mantisko zaudējumu jēdziens neparedz, ka rēķina par juridisko palīdzību samaksa ir priekšnoteikums zaudējuma atlīdzināšanai. No tā tiesa secinājusi: ja tiek atzītas tiesības uz zaudējumu atlīdzību pat tad, ja rēķins nav samaksāts, tad tiesības uz zaudējumu atlīdzību jāatzīst arī gadījumā, ja rēķinu pieteicēja vietā ir samaksājusi cita persona. Senāts šādu secinājumu atzīst par daļēji pareizu. Senāts nepiekrīt, ka jebkurā gadījumā, kad rēķinu ir samaksājusi cita persona, ir atzīstamas tiesības saņemt atlīdzinājumu. Taču, ja no vienošanās starp personu, kurai sniegta juridiskā palīdzība, un personu, kas samaksājusi rēķinu par juridisko palīdzību, izriet, ka samaksātā summa ir aizdevums, kas paredzamā nākotnē ar lielu ticamību būs jāatdod, tad zaudējumi ir uzskatāmi par tādiem, kas radušies personai, kurai sniegta juridiskā palīdzība</w:t>
      </w:r>
      <w:r w:rsidR="004858D0" w:rsidRPr="00331CDF">
        <w:t xml:space="preserve"> (</w:t>
      </w:r>
      <w:r w:rsidR="004858D0" w:rsidRPr="00331CDF">
        <w:rPr>
          <w:i/>
          <w:iCs/>
        </w:rPr>
        <w:t>turpat</w:t>
      </w:r>
      <w:r w:rsidR="004152DE">
        <w:rPr>
          <w:i/>
          <w:iCs/>
        </w:rPr>
        <w:t>, 8.punkts</w:t>
      </w:r>
      <w:r w:rsidR="004858D0" w:rsidRPr="00331CDF">
        <w:t>). Tātad Senāts</w:t>
      </w:r>
      <w:r w:rsidRPr="00331CDF">
        <w:t xml:space="preserve"> spiedumā lietā Nr.</w:t>
      </w:r>
      <w:r w:rsidR="00146507">
        <w:t> </w:t>
      </w:r>
      <w:r w:rsidRPr="00331CDF">
        <w:t>SKA-471/2021</w:t>
      </w:r>
      <w:r w:rsidR="004858D0" w:rsidRPr="00331CDF">
        <w:t xml:space="preserve"> vēlreiz apstiprināja, ka</w:t>
      </w:r>
      <w:r w:rsidR="001638EE">
        <w:t xml:space="preserve"> advokāta</w:t>
      </w:r>
      <w:r w:rsidR="004858D0" w:rsidRPr="00331CDF">
        <w:t xml:space="preserve"> rēķina </w:t>
      </w:r>
      <w:r w:rsidR="003D43B7">
        <w:t>sa</w:t>
      </w:r>
      <w:r w:rsidR="004858D0" w:rsidRPr="00331CDF">
        <w:t xml:space="preserve">maksa nav nepieciešams nosacījums izdevumu </w:t>
      </w:r>
      <w:r w:rsidR="00446ADC">
        <w:t>atlīdzināšanai</w:t>
      </w:r>
      <w:r w:rsidR="00926C4E">
        <w:t xml:space="preserve">. Izšķirošais ir, vai pieteicējai ir </w:t>
      </w:r>
      <w:r w:rsidR="004858D0" w:rsidRPr="00331CDF">
        <w:t>radies mantas samazinājums.</w:t>
      </w:r>
      <w:r w:rsidR="00296148" w:rsidRPr="00331CDF">
        <w:t xml:space="preserve"> </w:t>
      </w:r>
      <w:r w:rsidR="007D11A6" w:rsidRPr="00331CDF">
        <w:t xml:space="preserve">Ģenerālprokuratūra nav norādījusi apsvērumus, kas </w:t>
      </w:r>
      <w:r w:rsidR="00296148" w:rsidRPr="00331CDF">
        <w:t>būtu par</w:t>
      </w:r>
      <w:r w:rsidR="007D11A6" w:rsidRPr="00331CDF">
        <w:t xml:space="preserve"> pamatu Senātam </w:t>
      </w:r>
      <w:r w:rsidR="00926C4E">
        <w:t>atkāpties</w:t>
      </w:r>
      <w:r w:rsidR="007D11A6" w:rsidRPr="00331CDF">
        <w:t xml:space="preserve"> no </w:t>
      </w:r>
      <w:r w:rsidR="00C76AFA">
        <w:t xml:space="preserve">minētajos </w:t>
      </w:r>
      <w:r w:rsidR="007D11A6" w:rsidRPr="00331CDF">
        <w:t xml:space="preserve">nolēmumos </w:t>
      </w:r>
      <w:r w:rsidR="00926C4E">
        <w:t xml:space="preserve">izteiktajām </w:t>
      </w:r>
      <w:r w:rsidR="007D11A6" w:rsidRPr="00331CDF">
        <w:t>atziņām.</w:t>
      </w:r>
    </w:p>
    <w:p w14:paraId="08D85369" w14:textId="1541FC33" w:rsidR="00715A77" w:rsidRPr="00331CDF" w:rsidRDefault="00296148" w:rsidP="00C929E7">
      <w:pPr>
        <w:spacing w:line="276" w:lineRule="auto"/>
        <w:ind w:firstLine="567"/>
        <w:jc w:val="both"/>
      </w:pPr>
      <w:r w:rsidRPr="00331CDF">
        <w:t xml:space="preserve">Tomēr </w:t>
      </w:r>
      <w:r w:rsidR="00926C4E">
        <w:t>arī</w:t>
      </w:r>
      <w:r w:rsidRPr="00331CDF">
        <w:t xml:space="preserve"> arguments, ka šajā gadījumā ir pamats apmierināt prasī</w:t>
      </w:r>
      <w:r w:rsidR="00537F6A">
        <w:t>jumu</w:t>
      </w:r>
      <w:r w:rsidRPr="00331CDF">
        <w:t xml:space="preserve"> par izdevumiem tikai tādēļ, ka nav šaubu par to, ka ir sniegta juridiskā palīdzība un arī ir </w:t>
      </w:r>
      <w:r w:rsidRPr="001638EE">
        <w:t xml:space="preserve">zināma tās </w:t>
      </w:r>
      <w:r w:rsidR="00A4282A" w:rsidRPr="001638EE">
        <w:t>likumiskā atlīdzināšanas norma</w:t>
      </w:r>
      <w:r w:rsidRPr="001638EE">
        <w:t>,</w:t>
      </w:r>
      <w:r w:rsidRPr="00331CDF">
        <w:t xml:space="preserve"> ir nepamatots. </w:t>
      </w:r>
      <w:r w:rsidR="001638EE" w:rsidRPr="00331CDF">
        <w:t xml:space="preserve">Civilprocesa likuma 540.panta 6.punkts advokātu izrakstītus rēķinus atzīst par izpildu dokumentiem. </w:t>
      </w:r>
      <w:r w:rsidRPr="00331CDF">
        <w:t>A</w:t>
      </w:r>
      <w:r w:rsidR="004858D0" w:rsidRPr="00331CDF">
        <w:t>tbilstoši</w:t>
      </w:r>
      <w:r w:rsidR="007D11A6" w:rsidRPr="00331CDF">
        <w:t xml:space="preserve"> Civilprocesa likuma 539.panta otrās daļas 3.punktam tiesu sistēmai piederīgo personu (notāri, advokāti, tiesu izpildītāji) nolēmumi par amata atlīdzību, atlīdzību par sniegto juridisko palīdzību un par izdevumiem, kas saistīti ar sniegtajiem pakalpojumiem, un valsts nodevu</w:t>
      </w:r>
      <w:r w:rsidR="00715A77" w:rsidRPr="00331CDF">
        <w:t xml:space="preserve"> ir izpildāmi tiesas spriedumu izpildes kārtībā.</w:t>
      </w:r>
      <w:r w:rsidR="00791687" w:rsidRPr="00331CDF">
        <w:t xml:space="preserve"> </w:t>
      </w:r>
      <w:r w:rsidR="00715A77" w:rsidRPr="00331CDF">
        <w:t>Tas nozīmē, ka</w:t>
      </w:r>
      <w:r w:rsidR="004858D0" w:rsidRPr="00331CDF">
        <w:t xml:space="preserve"> advokāta</w:t>
      </w:r>
      <w:r w:rsidR="00715A77" w:rsidRPr="00331CDF">
        <w:t xml:space="preserve"> rēķin</w:t>
      </w:r>
      <w:r w:rsidR="00A4282A" w:rsidRPr="00331CDF">
        <w:t>am Latvijas tiesību sistēmā tiek piešķirts īpašs status</w:t>
      </w:r>
      <w:r w:rsidR="00926C4E">
        <w:t xml:space="preserve"> un</w:t>
      </w:r>
      <w:r w:rsidR="004A105B">
        <w:t xml:space="preserve"> atbilstoši likumam</w:t>
      </w:r>
      <w:r w:rsidR="00926C4E">
        <w:t xml:space="preserve"> šāda veida parādu īstums netiek apšaubīts</w:t>
      </w:r>
      <w:r w:rsidR="004A105B">
        <w:t xml:space="preserve"> un tā piespiedu izpildei</w:t>
      </w:r>
      <w:r w:rsidR="001638EE" w:rsidRPr="001638EE">
        <w:t xml:space="preserve"> </w:t>
      </w:r>
      <w:r w:rsidR="001638EE">
        <w:t>nav nepieciešams tiesas nolēmums.</w:t>
      </w:r>
      <w:r w:rsidR="004A105B">
        <w:t xml:space="preserve"> </w:t>
      </w:r>
      <w:r w:rsidR="00926C4E">
        <w:t xml:space="preserve">Tādēļ </w:t>
      </w:r>
      <w:r w:rsidR="001638EE">
        <w:t>advokāta rēķina</w:t>
      </w:r>
      <w:r w:rsidR="00926C4E">
        <w:t xml:space="preserve"> </w:t>
      </w:r>
      <w:r w:rsidR="006E20DB">
        <w:t>izrakstīšanas</w:t>
      </w:r>
      <w:r w:rsidR="00926C4E">
        <w:t xml:space="preserve"> fakts</w:t>
      </w:r>
      <w:r w:rsidR="001638EE">
        <w:t>, tāpat kā tiesas nolēmums par piedziņu, kas stājies spēkā,</w:t>
      </w:r>
      <w:r w:rsidR="00715A77" w:rsidRPr="00331CDF">
        <w:t xml:space="preserve"> </w:t>
      </w:r>
      <w:r w:rsidR="00926C4E">
        <w:t xml:space="preserve">pats par sevi </w:t>
      </w:r>
      <w:r w:rsidR="00715A77" w:rsidRPr="00331CDF">
        <w:t>ir pierādījums, ka</w:t>
      </w:r>
      <w:r w:rsidR="001638EE">
        <w:t xml:space="preserve"> </w:t>
      </w:r>
      <w:r w:rsidR="00715A77" w:rsidRPr="00331CDF">
        <w:t>manta ir samazināta</w:t>
      </w:r>
      <w:r w:rsidR="00A4282A" w:rsidRPr="00331CDF">
        <w:t>.</w:t>
      </w:r>
      <w:r w:rsidR="00926C4E">
        <w:t xml:space="preserve"> </w:t>
      </w:r>
      <w:r w:rsidR="00A4282A" w:rsidRPr="00331CDF">
        <w:t>T</w:t>
      </w:r>
      <w:r w:rsidR="00715A77" w:rsidRPr="00331CDF">
        <w:t>ādēļ</w:t>
      </w:r>
      <w:r w:rsidR="001638EE">
        <w:t xml:space="preserve"> arī</w:t>
      </w:r>
      <w:r w:rsidR="00715A77" w:rsidRPr="00331CDF">
        <w:t xml:space="preserve"> uz advokāta rēķiniem nav attiecināms Civillikuma </w:t>
      </w:r>
      <w:r w:rsidR="00325570" w:rsidRPr="00331CDF">
        <w:t>1838.</w:t>
      </w:r>
      <w:r w:rsidR="00C76AFA">
        <w:t>–</w:t>
      </w:r>
      <w:r w:rsidR="00325570" w:rsidRPr="00331CDF">
        <w:t xml:space="preserve">1841.pants </w:t>
      </w:r>
      <w:r w:rsidR="00715A77" w:rsidRPr="00331CDF">
        <w:t>par samaksas pierādīšan</w:t>
      </w:r>
      <w:r w:rsidR="00325570" w:rsidRPr="00331CDF">
        <w:t xml:space="preserve">u. </w:t>
      </w:r>
      <w:r w:rsidRPr="00331CDF">
        <w:t xml:space="preserve">Taču </w:t>
      </w:r>
      <w:r w:rsidR="006E20DB">
        <w:t xml:space="preserve">izskatāmajā lietā tiesa nav pārbaudījusi ne to, vai </w:t>
      </w:r>
      <w:r w:rsidR="00182AE5">
        <w:t xml:space="preserve">[pers. B] </w:t>
      </w:r>
      <w:r w:rsidR="000C0D92">
        <w:t>ir</w:t>
      </w:r>
      <w:r w:rsidR="000C0D92" w:rsidRPr="00331CDF">
        <w:t xml:space="preserve"> par šiem izdevumiem iz</w:t>
      </w:r>
      <w:r w:rsidR="000C0D92">
        <w:t>rakstījusi</w:t>
      </w:r>
      <w:r w:rsidR="000C0D92" w:rsidRPr="00331CDF">
        <w:t xml:space="preserve"> rēķinu</w:t>
      </w:r>
      <w:r w:rsidR="000C0D92">
        <w:t xml:space="preserve">, ne to, vai </w:t>
      </w:r>
      <w:r w:rsidRPr="00331CDF">
        <w:t xml:space="preserve">pieteicēja </w:t>
      </w:r>
      <w:r w:rsidR="006E20DB">
        <w:t>ir</w:t>
      </w:r>
      <w:r w:rsidRPr="00331CDF">
        <w:t xml:space="preserve"> </w:t>
      </w:r>
      <w:r w:rsidR="00182AE5">
        <w:t xml:space="preserve">[pers. B] </w:t>
      </w:r>
      <w:r w:rsidRPr="00331CDF">
        <w:t xml:space="preserve">samaksājusi. </w:t>
      </w:r>
      <w:r w:rsidR="00325570" w:rsidRPr="00331CDF">
        <w:t>Tādējādi šajā lietā</w:t>
      </w:r>
      <w:r w:rsidR="001638EE" w:rsidRPr="00331CDF">
        <w:t xml:space="preserve"> pretēji iepriekš</w:t>
      </w:r>
      <w:r w:rsidR="00BB2DE9">
        <w:t xml:space="preserve"> minētajās </w:t>
      </w:r>
      <w:r w:rsidR="001638EE" w:rsidRPr="00331CDF">
        <w:t>lietās izskatītajām situācijām</w:t>
      </w:r>
      <w:r w:rsidR="00A4282A" w:rsidRPr="00331CDF">
        <w:t xml:space="preserve"> </w:t>
      </w:r>
      <w:r w:rsidR="006E20DB">
        <w:t xml:space="preserve">šobrīd </w:t>
      </w:r>
      <w:r w:rsidR="00A4282A" w:rsidRPr="00331CDF">
        <w:t>nav</w:t>
      </w:r>
      <w:r w:rsidR="00325570" w:rsidRPr="00331CDF">
        <w:t xml:space="preserve"> pamata uzskatīt, ka pieteicēja ir piedzīvojusi mantas samazinājumu. </w:t>
      </w:r>
    </w:p>
    <w:p w14:paraId="26655410" w14:textId="3BDE7870" w:rsidR="00715A77" w:rsidRPr="00331CDF" w:rsidRDefault="00C76AFA" w:rsidP="00C929E7">
      <w:pPr>
        <w:pStyle w:val="Style1"/>
      </w:pPr>
      <w:r>
        <w:t xml:space="preserve">Ievērojot minēto, </w:t>
      </w:r>
      <w:r w:rsidR="00715A77" w:rsidRPr="00331CDF">
        <w:t>Ģenerālprokuratūras sūdzīb</w:t>
      </w:r>
      <w:r>
        <w:t>a</w:t>
      </w:r>
      <w:r w:rsidR="00715A77" w:rsidRPr="00331CDF">
        <w:t xml:space="preserve"> šajā daļ</w:t>
      </w:r>
      <w:r>
        <w:t xml:space="preserve">ā ir atzīstama </w:t>
      </w:r>
      <w:r w:rsidR="004858D0" w:rsidRPr="00331CDF">
        <w:t xml:space="preserve">par pamatotu un </w:t>
      </w:r>
      <w:r w:rsidR="00715A77" w:rsidRPr="00331CDF">
        <w:t>tiesas spriedum</w:t>
      </w:r>
      <w:r>
        <w:t>s</w:t>
      </w:r>
      <w:r w:rsidR="00715A77" w:rsidRPr="00331CDF">
        <w:t xml:space="preserve"> </w:t>
      </w:r>
      <w:r w:rsidR="004858D0" w:rsidRPr="00331CDF">
        <w:t>šajā daļā</w:t>
      </w:r>
      <w:r>
        <w:t xml:space="preserve"> atceļams</w:t>
      </w:r>
      <w:r w:rsidR="00715A77" w:rsidRPr="00331CDF">
        <w:t>.</w:t>
      </w:r>
    </w:p>
    <w:p w14:paraId="332231BB" w14:textId="77777777" w:rsidR="00065A74" w:rsidRPr="00331CDF" w:rsidRDefault="00065A74" w:rsidP="00C929E7">
      <w:pPr>
        <w:pStyle w:val="Style1"/>
      </w:pPr>
    </w:p>
    <w:p w14:paraId="2A40FD0D" w14:textId="663A053E" w:rsidR="003D43B7" w:rsidRDefault="00065A74" w:rsidP="00C929E7">
      <w:pPr>
        <w:pStyle w:val="Style1"/>
      </w:pPr>
      <w:r w:rsidRPr="009D53E7">
        <w:t>[</w:t>
      </w:r>
      <w:r w:rsidR="00B50FA4" w:rsidRPr="009D53E7">
        <w:t>10</w:t>
      </w:r>
      <w:r w:rsidRPr="009D53E7">
        <w:t>] </w:t>
      </w:r>
      <w:r w:rsidR="003D43B7" w:rsidRPr="009D53E7">
        <w:t>Attiecībā uz pieteicējas kasācijas sūdzības argumentiem norādāms turpmāk minētais.</w:t>
      </w:r>
      <w:r w:rsidR="003D43B7">
        <w:t xml:space="preserve"> </w:t>
      </w:r>
    </w:p>
    <w:p w14:paraId="339EC575" w14:textId="605DC33D" w:rsidR="009D53E7" w:rsidRDefault="009D53E7" w:rsidP="00C929E7">
      <w:pPr>
        <w:pStyle w:val="Style1"/>
      </w:pPr>
      <w:r>
        <w:t xml:space="preserve">Pieteicēja savā pieteikumā un apelācijas sūdzībā lūdza tiesu noteikt, ka Ģenerālprokuratūrai ir jāatlīdzina izdevumi, kas radušies par </w:t>
      </w:r>
      <w:r w:rsidRPr="005C0FAA">
        <w:t>zvērināt</w:t>
      </w:r>
      <w:r>
        <w:t>a</w:t>
      </w:r>
      <w:r w:rsidRPr="005C0FAA">
        <w:t xml:space="preserve"> advokāt</w:t>
      </w:r>
      <w:r>
        <w:t>a</w:t>
      </w:r>
      <w:r w:rsidRPr="005C0FAA">
        <w:t xml:space="preserve"> </w:t>
      </w:r>
      <w:r w:rsidR="00182AE5">
        <w:t xml:space="preserve">[pers. C] </w:t>
      </w:r>
      <w:r>
        <w:t>dalību</w:t>
      </w:r>
      <w:r w:rsidRPr="0021448E">
        <w:t xml:space="preserve"> </w:t>
      </w:r>
      <w:r w:rsidRPr="00ED2219">
        <w:t>nopratināšanā</w:t>
      </w:r>
      <w:r>
        <w:t xml:space="preserve"> </w:t>
      </w:r>
      <w:r w:rsidRPr="00ED2219">
        <w:t>2021.gada 3.augustā laikā no plkst.</w:t>
      </w:r>
      <w:r>
        <w:t> </w:t>
      </w:r>
      <w:r w:rsidRPr="00ED2219">
        <w:t>12.45 līdz plkst.</w:t>
      </w:r>
      <w:r>
        <w:t> </w:t>
      </w:r>
      <w:r w:rsidRPr="00ED2219">
        <w:t xml:space="preserve">13.00 </w:t>
      </w:r>
      <w:r>
        <w:t xml:space="preserve">un viņa </w:t>
      </w:r>
      <w:r w:rsidRPr="00ED2219">
        <w:t xml:space="preserve">2021.gada </w:t>
      </w:r>
      <w:r w:rsidRPr="004B3B28">
        <w:t>12.augustā</w:t>
      </w:r>
      <w:r>
        <w:t xml:space="preserve"> </w:t>
      </w:r>
      <w:r w:rsidRPr="00ED2219">
        <w:t xml:space="preserve">un </w:t>
      </w:r>
      <w:r w:rsidRPr="004275F4">
        <w:t>20.septembrī</w:t>
      </w:r>
      <w:r>
        <w:t xml:space="preserve"> sagatavotajām</w:t>
      </w:r>
      <w:r w:rsidRPr="004275F4">
        <w:t xml:space="preserve"> </w:t>
      </w:r>
      <w:r>
        <w:t>sūdzībām.</w:t>
      </w:r>
    </w:p>
    <w:p w14:paraId="2C599E70" w14:textId="018EF31F" w:rsidR="00A4282A" w:rsidRDefault="00B2247B" w:rsidP="00C929E7">
      <w:pPr>
        <w:pStyle w:val="Style1"/>
      </w:pPr>
      <w:r w:rsidRPr="00331CDF">
        <w:t>Senāts</w:t>
      </w:r>
      <w:r w:rsidR="001B04B8" w:rsidRPr="00331CDF">
        <w:t xml:space="preserve"> </w:t>
      </w:r>
      <w:r w:rsidR="006E20DB">
        <w:t>konstatē</w:t>
      </w:r>
      <w:r w:rsidR="001B04B8" w:rsidRPr="00331CDF">
        <w:t xml:space="preserve">, </w:t>
      </w:r>
      <w:r w:rsidR="003D43B7">
        <w:t xml:space="preserve">ka </w:t>
      </w:r>
      <w:r w:rsidR="006E20DB">
        <w:t xml:space="preserve">rajona tiesa ir atzinusi, ka </w:t>
      </w:r>
      <w:r w:rsidR="00182AE5">
        <w:t xml:space="preserve">[pers. C] </w:t>
      </w:r>
      <w:r w:rsidR="001B04B8" w:rsidRPr="00331CDF">
        <w:t>ir sagatavojis 2021.gada 12.augusta un 2021.gada 20.septembra sūdzību</w:t>
      </w:r>
      <w:r w:rsidR="006E20DB">
        <w:t xml:space="preserve"> (</w:t>
      </w:r>
      <w:r w:rsidR="006E20DB" w:rsidRPr="006E20DB">
        <w:rPr>
          <w:i/>
          <w:iCs/>
        </w:rPr>
        <w:t>rajona tiesas sprieduma 1</w:t>
      </w:r>
      <w:r w:rsidR="006E20DB">
        <w:rPr>
          <w:i/>
          <w:iCs/>
        </w:rPr>
        <w:t>0</w:t>
      </w:r>
      <w:r w:rsidR="006E20DB" w:rsidRPr="006E20DB">
        <w:rPr>
          <w:i/>
          <w:iCs/>
        </w:rPr>
        <w:t>.3.punkts</w:t>
      </w:r>
      <w:r w:rsidR="006E20DB">
        <w:t>)</w:t>
      </w:r>
      <w:r w:rsidR="001B04B8" w:rsidRPr="00331CDF">
        <w:t>.</w:t>
      </w:r>
      <w:r w:rsidR="00296148" w:rsidRPr="00331CDF">
        <w:t xml:space="preserve"> </w:t>
      </w:r>
      <w:r w:rsidR="006E20DB">
        <w:t>Lai gan pieteicēja ir izteikusi prasījumu šos izdevumus atlīdzināt (</w:t>
      </w:r>
      <w:r w:rsidR="006E20DB" w:rsidRPr="006E20DB">
        <w:rPr>
          <w:i/>
          <w:iCs/>
        </w:rPr>
        <w:t>lietas 12.lapa, pieteikuma prasījumu daļas 2.2.punkts</w:t>
      </w:r>
      <w:r w:rsidR="006E20DB">
        <w:t>) un par šo jautājumu ir iesniegusi apelācijas sūdzību (</w:t>
      </w:r>
      <w:r w:rsidR="006E20DB" w:rsidRPr="006E20DB">
        <w:rPr>
          <w:i/>
          <w:iCs/>
        </w:rPr>
        <w:t>lietas 145.lapa</w:t>
      </w:r>
      <w:r w:rsidR="006E20DB">
        <w:t>), apgabaltiesa šo jautājumu vispār nav izskatījusi.</w:t>
      </w:r>
    </w:p>
    <w:p w14:paraId="2C75B233" w14:textId="0523D340" w:rsidR="00A033FD" w:rsidRPr="006E20DB" w:rsidRDefault="00A033FD" w:rsidP="00C929E7">
      <w:pPr>
        <w:pStyle w:val="Style1"/>
      </w:pPr>
      <w:r>
        <w:t xml:space="preserve">Tāpat </w:t>
      </w:r>
      <w:r w:rsidRPr="00331CDF">
        <w:t xml:space="preserve">Senāts </w:t>
      </w:r>
      <w:r>
        <w:t>konstatē</w:t>
      </w:r>
      <w:r w:rsidRPr="00331CDF">
        <w:t xml:space="preserve">, </w:t>
      </w:r>
      <w:r>
        <w:t xml:space="preserve">ka rajona tiesa ir atzinusi, ka </w:t>
      </w:r>
      <w:r w:rsidR="00182AE5">
        <w:t xml:space="preserve">[pers. C] </w:t>
      </w:r>
      <w:r w:rsidRPr="00331CDF">
        <w:t>piedalījās pieteicējas pratināšanā 2021.gada 3.augustā</w:t>
      </w:r>
      <w:r>
        <w:t xml:space="preserve"> (</w:t>
      </w:r>
      <w:r w:rsidRPr="006E20DB">
        <w:rPr>
          <w:i/>
          <w:iCs/>
        </w:rPr>
        <w:t>rajona tiesas sprieduma 10.3.punkts</w:t>
      </w:r>
      <w:r>
        <w:t>)</w:t>
      </w:r>
      <w:r w:rsidRPr="00331CDF">
        <w:t xml:space="preserve">. </w:t>
      </w:r>
      <w:r>
        <w:t>L</w:t>
      </w:r>
      <w:r w:rsidRPr="00331CDF">
        <w:t xml:space="preserve">ietas materiālos ir pieejams </w:t>
      </w:r>
      <w:r w:rsidR="00182AE5">
        <w:t xml:space="preserve">[pers. C] </w:t>
      </w:r>
      <w:r w:rsidRPr="00331CDF">
        <w:t>2021.gada 5.augusta rēķins par minētās juridiskās palīdzības sniegšanu.</w:t>
      </w:r>
      <w:r>
        <w:t xml:space="preserve"> Lai gan pieteicēja ir izteikusi prasījumu šos izdevumus atlīdzināt (</w:t>
      </w:r>
      <w:r w:rsidRPr="006E20DB">
        <w:rPr>
          <w:i/>
          <w:iCs/>
        </w:rPr>
        <w:t>lietas 12.lapa,</w:t>
      </w:r>
      <w:r>
        <w:t xml:space="preserve"> </w:t>
      </w:r>
      <w:r w:rsidRPr="006E20DB">
        <w:rPr>
          <w:i/>
          <w:iCs/>
        </w:rPr>
        <w:t>pieteikuma prasījumu daļas 2.2.punkts</w:t>
      </w:r>
      <w:r>
        <w:t>) un par šo jautājumu ir iesniegusi apelācijas sūdzību, apgabaltiesa arī šo jautājumu vispār nav izskatījusi.</w:t>
      </w:r>
    </w:p>
    <w:p w14:paraId="64B24073" w14:textId="1D8B4903" w:rsidR="001B04B8" w:rsidRDefault="00F94D53" w:rsidP="00C929E7">
      <w:pPr>
        <w:pStyle w:val="Style1"/>
      </w:pPr>
      <w:r>
        <w:t>Tādējādi p</w:t>
      </w:r>
      <w:r w:rsidR="006256D8" w:rsidRPr="00331CDF">
        <w:t>ieteicējas kasācijas sūdzība šajā daļā ir pamatota un spriedums</w:t>
      </w:r>
      <w:r w:rsidR="006256D8">
        <w:t xml:space="preserve"> šajā daļā</w:t>
      </w:r>
      <w:r w:rsidR="006256D8" w:rsidRPr="00331CDF">
        <w:t xml:space="preserve"> ir atceļams.</w:t>
      </w:r>
      <w:r w:rsidR="00085CB2">
        <w:t xml:space="preserve"> </w:t>
      </w:r>
      <w:r w:rsidR="0043183F">
        <w:t>Izskatot lietu atkārtoti</w:t>
      </w:r>
      <w:r w:rsidR="00A51CEB">
        <w:t>,</w:t>
      </w:r>
      <w:r w:rsidR="0043183F">
        <w:t xml:space="preserve"> </w:t>
      </w:r>
      <w:r w:rsidR="00A4282A" w:rsidRPr="00331CDF">
        <w:t xml:space="preserve">apgabaltiesai ir jāpārliecinās, </w:t>
      </w:r>
      <w:r>
        <w:t>vai</w:t>
      </w:r>
      <w:r w:rsidR="00A4282A" w:rsidRPr="00331CDF">
        <w:t xml:space="preserve"> ir pietiekams pamats uzskatīt, ka </w:t>
      </w:r>
      <w:r w:rsidR="00182AE5">
        <w:t xml:space="preserve">[pers. C] </w:t>
      </w:r>
      <w:r w:rsidR="00A4282A" w:rsidRPr="00331CDF">
        <w:t xml:space="preserve">2021.gada 5.augusta rēķins ir izdots par juridiskās palīdzības sniegšanu saistībā ar </w:t>
      </w:r>
      <w:r>
        <w:t xml:space="preserve">nopratināšanu </w:t>
      </w:r>
      <w:r w:rsidR="00A4282A" w:rsidRPr="00331CDF">
        <w:t>2021.gada 3.august</w:t>
      </w:r>
      <w:r>
        <w:t>ā</w:t>
      </w:r>
      <w:r w:rsidR="001638EE">
        <w:t>,</w:t>
      </w:r>
      <w:r w:rsidR="00791687" w:rsidRPr="00331CDF">
        <w:t xml:space="preserve"> kā arī </w:t>
      </w:r>
      <w:r w:rsidR="001638EE">
        <w:t>jāizvērtē</w:t>
      </w:r>
      <w:r w:rsidR="00791687" w:rsidRPr="00331CDF">
        <w:t xml:space="preserve"> tas, </w:t>
      </w:r>
      <w:r w:rsidR="001638EE">
        <w:t>vai</w:t>
      </w:r>
      <w:r w:rsidR="00791687" w:rsidRPr="00331CDF">
        <w:t xml:space="preserve"> Ģenerālprokuratūra </w:t>
      </w:r>
      <w:r w:rsidR="006256D8">
        <w:t xml:space="preserve">jau </w:t>
      </w:r>
      <w:r w:rsidR="00791687" w:rsidRPr="00331CDF">
        <w:t>daļēji</w:t>
      </w:r>
      <w:r w:rsidR="001638EE">
        <w:t xml:space="preserve"> </w:t>
      </w:r>
      <w:r w:rsidR="006E20DB">
        <w:t>nav</w:t>
      </w:r>
      <w:r w:rsidR="00791687" w:rsidRPr="00331CDF">
        <w:t xml:space="preserve"> apmierinā</w:t>
      </w:r>
      <w:r w:rsidR="001638EE">
        <w:t>jusi</w:t>
      </w:r>
      <w:r w:rsidR="00791687" w:rsidRPr="00331CDF">
        <w:t xml:space="preserve"> pieteicējas lūgumu par šo izdevumu atlīdzināšanu</w:t>
      </w:r>
      <w:r w:rsidR="00A4282A" w:rsidRPr="00331CDF">
        <w:t xml:space="preserve">. </w:t>
      </w:r>
    </w:p>
    <w:p w14:paraId="071E3692" w14:textId="77777777" w:rsidR="00F47F31" w:rsidRPr="00331CDF" w:rsidRDefault="00F47F31" w:rsidP="00C929E7">
      <w:pPr>
        <w:pStyle w:val="Style1"/>
      </w:pPr>
    </w:p>
    <w:p w14:paraId="2E48A180" w14:textId="4FC2B29B" w:rsidR="00AC3C4A" w:rsidRDefault="001411CA" w:rsidP="00C929E7">
      <w:pPr>
        <w:pStyle w:val="Style1"/>
        <w:rPr>
          <w:i/>
          <w:iCs/>
        </w:rPr>
      </w:pPr>
      <w:r w:rsidRPr="00331CDF">
        <w:rPr>
          <w:i/>
          <w:iCs/>
        </w:rPr>
        <w:t>Par nemantisk</w:t>
      </w:r>
      <w:r w:rsidR="00980114" w:rsidRPr="00331CDF">
        <w:rPr>
          <w:i/>
          <w:iCs/>
        </w:rPr>
        <w:t>o</w:t>
      </w:r>
      <w:r w:rsidRPr="00331CDF">
        <w:rPr>
          <w:i/>
          <w:iCs/>
        </w:rPr>
        <w:t xml:space="preserve"> kaitējum</w:t>
      </w:r>
      <w:r w:rsidR="00980114" w:rsidRPr="00331CDF">
        <w:rPr>
          <w:i/>
          <w:iCs/>
        </w:rPr>
        <w:t>u</w:t>
      </w:r>
    </w:p>
    <w:p w14:paraId="0568B214" w14:textId="77777777" w:rsidR="006E20DB" w:rsidRPr="00331CDF" w:rsidRDefault="006E20DB" w:rsidP="00C929E7">
      <w:pPr>
        <w:pStyle w:val="Style1"/>
      </w:pPr>
    </w:p>
    <w:p w14:paraId="744AA8E8" w14:textId="73BE9462" w:rsidR="00B75E91" w:rsidRDefault="00397180" w:rsidP="00C929E7">
      <w:pPr>
        <w:pStyle w:val="Style1"/>
      </w:pPr>
      <w:r w:rsidRPr="00331CDF">
        <w:t>[1</w:t>
      </w:r>
      <w:r w:rsidR="00A033FD">
        <w:t>1</w:t>
      </w:r>
      <w:r w:rsidRPr="00331CDF">
        <w:t>] </w:t>
      </w:r>
      <w:r w:rsidR="00980114" w:rsidRPr="00331CDF">
        <w:t xml:space="preserve">Pieteicēja </w:t>
      </w:r>
      <w:r w:rsidR="00331CDF" w:rsidRPr="00331CDF">
        <w:t>pieteikumā</w:t>
      </w:r>
      <w:r w:rsidR="00980114" w:rsidRPr="00331CDF">
        <w:t xml:space="preserve"> izvirzīj</w:t>
      </w:r>
      <w:r w:rsidR="00331CDF">
        <w:t>a</w:t>
      </w:r>
      <w:r w:rsidR="00B2247B" w:rsidRPr="00331CDF">
        <w:t xml:space="preserve"> četrus nemantisko kaitējumu izraisošus </w:t>
      </w:r>
      <w:r w:rsidR="00427FD7">
        <w:t>iemeslus</w:t>
      </w:r>
      <w:r w:rsidR="003D43B7">
        <w:t>: 1)</w:t>
      </w:r>
      <w:r w:rsidR="00427FD7">
        <w:t> </w:t>
      </w:r>
      <w:r w:rsidR="00B2247B" w:rsidRPr="00331CDF">
        <w:t>pieteicēja</w:t>
      </w:r>
      <w:r w:rsidR="003D43B7">
        <w:t>s</w:t>
      </w:r>
      <w:r w:rsidR="00B2247B" w:rsidRPr="00331CDF">
        <w:t xml:space="preserve"> aizturēšana</w:t>
      </w:r>
      <w:r w:rsidR="00B75E91">
        <w:t xml:space="preserve"> pati par sevi</w:t>
      </w:r>
      <w:r w:rsidR="00B2247B" w:rsidRPr="00331CDF">
        <w:t xml:space="preserve"> bija patvaļīga</w:t>
      </w:r>
      <w:r w:rsidR="00331CDF">
        <w:t xml:space="preserve"> un tādēļ prettiesiska</w:t>
      </w:r>
      <w:r w:rsidR="009B062E" w:rsidRPr="00331CDF">
        <w:t>,</w:t>
      </w:r>
      <w:r w:rsidR="004D62B7">
        <w:t xml:space="preserve"> turklāt tās motīvs bija viņas vīra ietekmēšana</w:t>
      </w:r>
      <w:r w:rsidR="003D43B7">
        <w:t>; 2)</w:t>
      </w:r>
      <w:r w:rsidR="00427FD7">
        <w:t> </w:t>
      </w:r>
      <w:r w:rsidR="00BB2DE9">
        <w:t xml:space="preserve">tika aizskarta </w:t>
      </w:r>
      <w:r w:rsidR="003D43B7">
        <w:t>pieteicējas</w:t>
      </w:r>
      <w:r w:rsidR="009B062E" w:rsidRPr="00331CDF">
        <w:t xml:space="preserve"> cieņa, jo</w:t>
      </w:r>
      <w:r w:rsidR="00D60F25" w:rsidRPr="00331CDF">
        <w:t xml:space="preserve">, </w:t>
      </w:r>
      <w:r w:rsidR="009B062E" w:rsidRPr="00331CDF">
        <w:t>izdarot personas kratīšanu pēc tam, kad viņa j</w:t>
      </w:r>
      <w:r w:rsidR="00D60F25" w:rsidRPr="00331CDF">
        <w:t>au</w:t>
      </w:r>
      <w:r w:rsidR="009B062E" w:rsidRPr="00331CDF">
        <w:t xml:space="preserve"> bija aizturēta un kratīta pie aizturēšanas, viņai bija jāizģērbjas un policijas darbinieki esot </w:t>
      </w:r>
      <w:r w:rsidR="0043183F" w:rsidRPr="00331CDF">
        <w:t>aizskāruši</w:t>
      </w:r>
      <w:r w:rsidR="009B062E" w:rsidRPr="00331CDF">
        <w:t xml:space="preserve"> viņas </w:t>
      </w:r>
      <w:r w:rsidR="000A2FA1">
        <w:t>„</w:t>
      </w:r>
      <w:r w:rsidR="009B062E" w:rsidRPr="00331CDF">
        <w:t>intīm</w:t>
      </w:r>
      <w:r w:rsidR="00907DD5">
        <w:t>ā</w:t>
      </w:r>
      <w:r w:rsidR="009B062E" w:rsidRPr="00331CDF">
        <w:t>s vietas</w:t>
      </w:r>
      <w:r w:rsidR="005D3F94">
        <w:t>”</w:t>
      </w:r>
      <w:r w:rsidR="003D43B7">
        <w:t>; 3)</w:t>
      </w:r>
      <w:r w:rsidR="00427FD7">
        <w:t> </w:t>
      </w:r>
      <w:r w:rsidR="003D43B7">
        <w:t xml:space="preserve">pieteicējas </w:t>
      </w:r>
      <w:r w:rsidR="009B062E" w:rsidRPr="00331CDF">
        <w:t xml:space="preserve">aizturēšana ir </w:t>
      </w:r>
      <w:r w:rsidR="00B75E91">
        <w:t>radījusi ciešanas viņas</w:t>
      </w:r>
      <w:r w:rsidR="009B062E" w:rsidRPr="00331CDF">
        <w:t xml:space="preserve"> bērn</w:t>
      </w:r>
      <w:r w:rsidR="00B75E91">
        <w:t>am</w:t>
      </w:r>
      <w:r w:rsidR="009B062E" w:rsidRPr="00331CDF">
        <w:t xml:space="preserve">, </w:t>
      </w:r>
      <w:r w:rsidR="00076085" w:rsidRPr="00331CDF">
        <w:t>vecāk</w:t>
      </w:r>
      <w:r w:rsidR="00B75E91">
        <w:t>iem</w:t>
      </w:r>
      <w:r w:rsidR="009B062E" w:rsidRPr="00331CDF">
        <w:t xml:space="preserve"> un vīr</w:t>
      </w:r>
      <w:r w:rsidR="00B75E91">
        <w:t>am</w:t>
      </w:r>
      <w:r w:rsidR="003D43B7">
        <w:t>; 4)</w:t>
      </w:r>
      <w:r w:rsidR="00427FD7">
        <w:t> </w:t>
      </w:r>
      <w:r w:rsidR="00076085" w:rsidRPr="00331CDF">
        <w:t xml:space="preserve">fakts, ka Latvijas Zvērinātu advokātu </w:t>
      </w:r>
      <w:r w:rsidR="005F1385">
        <w:t>kolēģijas</w:t>
      </w:r>
      <w:r w:rsidR="00076085" w:rsidRPr="00331CDF">
        <w:t xml:space="preserve"> priekšsēdētājs tika informēts par pieteicējai piemēroto statusu kriminālprocesā, ir aizsk</w:t>
      </w:r>
      <w:r w:rsidR="00907DD5">
        <w:t>ā</w:t>
      </w:r>
      <w:r w:rsidR="00076085" w:rsidRPr="00331CDF">
        <w:t xml:space="preserve">ris </w:t>
      </w:r>
      <w:r w:rsidR="00427FD7">
        <w:t xml:space="preserve">pieteicējas </w:t>
      </w:r>
      <w:r w:rsidR="00076085" w:rsidRPr="00331CDF">
        <w:t>reputāciju.</w:t>
      </w:r>
    </w:p>
    <w:p w14:paraId="694785C4" w14:textId="75F77F78" w:rsidR="00397180" w:rsidRPr="00331CDF" w:rsidRDefault="00FA576C" w:rsidP="00C929E7">
      <w:pPr>
        <w:pStyle w:val="Style1"/>
      </w:pPr>
      <w:r>
        <w:t>T</w:t>
      </w:r>
      <w:r w:rsidR="00F43D9A" w:rsidRPr="00331CDF">
        <w:t>iesa par pamatotu atzina pieteicējas prasību atlīdzināt nemantisko kaitējumu</w:t>
      </w:r>
      <w:r w:rsidR="005F1385">
        <w:t xml:space="preserve"> pieteicējas</w:t>
      </w:r>
      <w:r w:rsidR="005D3F94">
        <w:t xml:space="preserve"> apelācijas sūdzībā</w:t>
      </w:r>
      <w:r w:rsidR="005F1385">
        <w:t xml:space="preserve"> lūgtajā apmērā</w:t>
      </w:r>
      <w:r w:rsidR="00331CDF" w:rsidRPr="00331CDF">
        <w:t>, jo pieteicēja ir tiesu varai piederīga persona, kuras nodarbošanās ir saistīt</w:t>
      </w:r>
      <w:r w:rsidR="00907DD5">
        <w:t>a</w:t>
      </w:r>
      <w:r w:rsidR="00331CDF" w:rsidRPr="00331CDF">
        <w:t xml:space="preserve"> ar juridiskās palīdzības sniegšanu citām personām</w:t>
      </w:r>
      <w:r w:rsidR="001A42A6">
        <w:t>,</w:t>
      </w:r>
      <w:r w:rsidR="00331CDF" w:rsidRPr="00331CDF">
        <w:t xml:space="preserve"> un Latvijas Zvērinātu advokātu </w:t>
      </w:r>
      <w:r w:rsidR="006256D8">
        <w:t xml:space="preserve">kolēģijas </w:t>
      </w:r>
      <w:r w:rsidR="00331CDF" w:rsidRPr="00331CDF">
        <w:t>priekšsēdētājs tika informēts par</w:t>
      </w:r>
      <w:r w:rsidR="00331CDF">
        <w:t xml:space="preserve"> </w:t>
      </w:r>
      <w:r w:rsidR="00331CDF" w:rsidRPr="00331CDF">
        <w:t>pieteicējai piemēroto statusu kriminālprocesā, kas radīja pieteicējas reputācijas, goda un cieņas aizskārumu</w:t>
      </w:r>
      <w:r w:rsidR="00F43D9A" w:rsidRPr="00331CDF">
        <w:t xml:space="preserve">. </w:t>
      </w:r>
      <w:r w:rsidR="00331CDF" w:rsidRPr="00331CDF">
        <w:t>Pieteicējas argumentus par pārējiem nemantisko kaitējumu izraisoš</w:t>
      </w:r>
      <w:r w:rsidR="00907DD5">
        <w:t xml:space="preserve">ajiem </w:t>
      </w:r>
      <w:r w:rsidR="00BB2DE9">
        <w:t>iemesliem</w:t>
      </w:r>
      <w:r w:rsidR="00907DD5">
        <w:t xml:space="preserve"> </w:t>
      </w:r>
      <w:r w:rsidR="00F43D9A" w:rsidRPr="00331CDF">
        <w:t xml:space="preserve">tiesa </w:t>
      </w:r>
      <w:r w:rsidR="00331CDF" w:rsidRPr="00331CDF">
        <w:t>ne</w:t>
      </w:r>
      <w:r w:rsidR="00331CDF">
        <w:t>izvērtēja</w:t>
      </w:r>
      <w:r w:rsidR="00BB2DE9">
        <w:t>. P</w:t>
      </w:r>
      <w:r w:rsidR="00F43D9A" w:rsidRPr="00331CDF">
        <w:t xml:space="preserve">ieteicēja savā kasācijas sūdzībā </w:t>
      </w:r>
      <w:r w:rsidR="00331CDF">
        <w:t>par šādu tiesas rīcību nesūdzas</w:t>
      </w:r>
      <w:r w:rsidR="004D62B7">
        <w:t>.</w:t>
      </w:r>
      <w:r w:rsidR="00F43D9A" w:rsidRPr="00331CDF">
        <w:t xml:space="preserve"> </w:t>
      </w:r>
      <w:r w:rsidR="00331CDF" w:rsidRPr="00331CDF">
        <w:t xml:space="preserve">Tādēļ </w:t>
      </w:r>
      <w:r w:rsidR="00F43D9A" w:rsidRPr="00331CDF">
        <w:t xml:space="preserve">tiesas spriedums </w:t>
      </w:r>
      <w:r w:rsidR="00B75E91">
        <w:t>daļā par nemantiskā kaitējuma atlīdzināšanu</w:t>
      </w:r>
      <w:r w:rsidR="00B75E91" w:rsidRPr="00331CDF">
        <w:t xml:space="preserve"> </w:t>
      </w:r>
      <w:r w:rsidR="00BB2DE9">
        <w:t xml:space="preserve">ir </w:t>
      </w:r>
      <w:r w:rsidR="00AD1999">
        <w:t xml:space="preserve"> pārbaudāms</w:t>
      </w:r>
      <w:r w:rsidR="00F43D9A" w:rsidRPr="00331CDF">
        <w:t xml:space="preserve">, ciktāl par to </w:t>
      </w:r>
      <w:r w:rsidR="00E9081E">
        <w:t xml:space="preserve">kasācijas </w:t>
      </w:r>
      <w:r w:rsidR="00F43D9A" w:rsidRPr="00331CDF">
        <w:t xml:space="preserve">sūdzību </w:t>
      </w:r>
      <w:r w:rsidR="00BB2DE9">
        <w:t>ir</w:t>
      </w:r>
      <w:r w:rsidR="00F43D9A" w:rsidRPr="00331CDF">
        <w:t xml:space="preserve"> iesniegusi Ģenerālprokuratūra.</w:t>
      </w:r>
    </w:p>
    <w:p w14:paraId="51B70FDE" w14:textId="5E95CEC7" w:rsidR="00CC27E5" w:rsidRPr="00331CDF" w:rsidRDefault="00EB46F2" w:rsidP="00C929E7">
      <w:pPr>
        <w:pStyle w:val="Style1"/>
      </w:pPr>
      <w:r w:rsidRPr="00331CDF">
        <w:t xml:space="preserve">Ģenerālprokuratūra </w:t>
      </w:r>
      <w:r w:rsidR="00E9081E">
        <w:t xml:space="preserve">kasācijas sūdzībā </w:t>
      </w:r>
      <w:r w:rsidRPr="00331CDF">
        <w:t>argumentē, ka tiesa kļūdījās</w:t>
      </w:r>
      <w:r w:rsidR="00BB2DE9">
        <w:t>,</w:t>
      </w:r>
      <w:r w:rsidRPr="00331CDF">
        <w:t xml:space="preserve"> piemērojot </w:t>
      </w:r>
      <w:r w:rsidR="006E20DB">
        <w:t>Kaitējuma a</w:t>
      </w:r>
      <w:r w:rsidRPr="00331CDF">
        <w:t>tlīdzināšanas likuma 14.pantu, jo likuma 15.pants esot speciāl</w:t>
      </w:r>
      <w:r w:rsidR="00AD1999">
        <w:t xml:space="preserve">ā tiesību </w:t>
      </w:r>
      <w:r w:rsidRPr="00331CDF">
        <w:t>norma iepretim 14.pantam</w:t>
      </w:r>
      <w:r w:rsidR="00E9081E">
        <w:t xml:space="preserve"> un šīs tiesību normas nevar piemērot paralēli</w:t>
      </w:r>
      <w:r w:rsidRPr="00331CDF">
        <w:t>. Turklāt tiesa arī esot nepareizi izlēmusi jautājumu par to, ka pieteicējas profesija, kas saistīta ar juridiskās palīdzības sniegšanu, un piederība tiesu varai ir noteicoši</w:t>
      </w:r>
      <w:r w:rsidR="00BB2DE9">
        <w:t>e</w:t>
      </w:r>
      <w:r w:rsidRPr="00331CDF">
        <w:t xml:space="preserve"> faktori, lai pieteicējas tiesību aizskārumu vērtētu pietiekami nopietni</w:t>
      </w:r>
      <w:r w:rsidR="001A42A6">
        <w:t xml:space="preserve">; </w:t>
      </w:r>
      <w:r w:rsidR="00E9081E">
        <w:t xml:space="preserve">Ģenerālprokuratūras ieskatā, šādi tiek </w:t>
      </w:r>
      <w:r w:rsidR="00CC27E5" w:rsidRPr="00331CDF">
        <w:t>pārkāpts vienlīdzīgas attieksmes princips</w:t>
      </w:r>
      <w:r w:rsidRPr="00331CDF">
        <w:t>.</w:t>
      </w:r>
      <w:r w:rsidR="00CC27E5" w:rsidRPr="00331CDF">
        <w:t xml:space="preserve"> Tāpat Ģenerālprokuratūra argumentē, ka tiesa nav pamatojusi to, kā tā nonāca pie noteiktā nemantiskā kaitējuma atlīdzības apmēra un nav izvērtējusi un pamatojusi </w:t>
      </w:r>
      <w:r w:rsidR="0043183F">
        <w:t xml:space="preserve">to, </w:t>
      </w:r>
      <w:r w:rsidR="00CC27E5" w:rsidRPr="00331CDF">
        <w:t>kā Latvijas Zvērināt</w:t>
      </w:r>
      <w:r w:rsidR="008A0479">
        <w:t>u</w:t>
      </w:r>
      <w:r w:rsidR="00CC27E5" w:rsidRPr="00331CDF">
        <w:t xml:space="preserve"> advokātu </w:t>
      </w:r>
      <w:r w:rsidR="008A0479">
        <w:t xml:space="preserve">kolēģijas </w:t>
      </w:r>
      <w:r w:rsidR="00CC27E5" w:rsidRPr="00331CDF">
        <w:t xml:space="preserve">priekšsēdētāja informēšana par pieteicējas aizturēšanu radīja </w:t>
      </w:r>
      <w:r w:rsidR="007048D4">
        <w:t>nelabvēlīg</w:t>
      </w:r>
      <w:r w:rsidR="00427FD7">
        <w:t>a</w:t>
      </w:r>
      <w:r w:rsidR="007048D4">
        <w:t>s sekas</w:t>
      </w:r>
      <w:r w:rsidR="001A42A6">
        <w:t>.</w:t>
      </w:r>
    </w:p>
    <w:p w14:paraId="07768D7C" w14:textId="798038D9" w:rsidR="004D62B7" w:rsidRDefault="00F43D9A" w:rsidP="00C929E7">
      <w:pPr>
        <w:pStyle w:val="Style1"/>
      </w:pPr>
      <w:r w:rsidRPr="00331CDF">
        <w:t xml:space="preserve">Senāts secina, ka </w:t>
      </w:r>
      <w:r w:rsidR="00BB2DE9">
        <w:t xml:space="preserve">tādējādi kasācijas kārtībā </w:t>
      </w:r>
      <w:r w:rsidRPr="00331CDF">
        <w:t>ir jāizvērtē tikai argumenti, kas saistīti ar</w:t>
      </w:r>
      <w:r w:rsidR="00331CDF" w:rsidRPr="00331CDF">
        <w:t xml:space="preserve"> pieteicējas kā zvērinātas advokātes aizturēšanu un to, vai fakts, ka Latvijas Zvērinātu advokātu </w:t>
      </w:r>
      <w:r w:rsidR="008773AC">
        <w:t>kolēģijas</w:t>
      </w:r>
      <w:r w:rsidR="00331CDF" w:rsidRPr="00331CDF">
        <w:t xml:space="preserve"> priekšsēdētājs tika informēts par </w:t>
      </w:r>
      <w:r w:rsidR="001A42A6">
        <w:t>pieteicējas aizturēšanu</w:t>
      </w:r>
      <w:r w:rsidR="00331CDF" w:rsidRPr="00331CDF">
        <w:t>,</w:t>
      </w:r>
      <w:r w:rsidR="008773AC">
        <w:t xml:space="preserve"> konkrētajos apstākļos</w:t>
      </w:r>
      <w:r w:rsidR="00331CDF" w:rsidRPr="00331CDF">
        <w:t xml:space="preserve"> var</w:t>
      </w:r>
      <w:r w:rsidR="004D62B7">
        <w:t>ēja</w:t>
      </w:r>
      <w:r w:rsidR="00331CDF" w:rsidRPr="00331CDF">
        <w:t xml:space="preserve"> radīt pieteicējai nemantisko kaitējumu</w:t>
      </w:r>
      <w:r w:rsidRPr="00331CDF">
        <w:t xml:space="preserve">. </w:t>
      </w:r>
      <w:r w:rsidR="002755CC" w:rsidRPr="00331CDF">
        <w:t xml:space="preserve">Senāts </w:t>
      </w:r>
      <w:r w:rsidR="00BB2DE9">
        <w:t xml:space="preserve">tālāk </w:t>
      </w:r>
      <w:r w:rsidR="002755CC" w:rsidRPr="00331CDF">
        <w:t>katru argumentu izvērtēs atsevišķi</w:t>
      </w:r>
      <w:r w:rsidR="00331CDF">
        <w:t xml:space="preserve">. </w:t>
      </w:r>
    </w:p>
    <w:p w14:paraId="37FF78DF" w14:textId="071AFFD3" w:rsidR="002755CC" w:rsidRPr="00ED275F" w:rsidRDefault="001A42A6" w:rsidP="00C929E7">
      <w:pPr>
        <w:pStyle w:val="Style1"/>
      </w:pPr>
      <w:r>
        <w:t>Tomēr v</w:t>
      </w:r>
      <w:r w:rsidR="002755CC" w:rsidRPr="00331CDF">
        <w:t xml:space="preserve">ispirms </w:t>
      </w:r>
      <w:r w:rsidR="00076085" w:rsidRPr="00331CDF">
        <w:t xml:space="preserve">Senātam ir jāizvērtē tas, vai šajā administratīvajā lietā ir iespējams </w:t>
      </w:r>
      <w:r w:rsidR="00433ABF">
        <w:t xml:space="preserve">lemt par </w:t>
      </w:r>
      <w:r w:rsidR="00D60F25" w:rsidRPr="00331CDF">
        <w:t>nemantisk</w:t>
      </w:r>
      <w:r w:rsidR="00433ABF">
        <w:t>ā</w:t>
      </w:r>
      <w:r w:rsidR="00D60F25" w:rsidRPr="00331CDF">
        <w:t xml:space="preserve"> kaitējum</w:t>
      </w:r>
      <w:r w:rsidR="00433ABF">
        <w:t xml:space="preserve">a atlīdzināšanu </w:t>
      </w:r>
      <w:r w:rsidR="00D60F25" w:rsidRPr="00331CDF">
        <w:t>neatkarīgi no tā, ka pamatprocesā nav lēmuma, ar kuru atzīts aizturēšanas kā tādas un vēstules, ar kuru informēts Latvijas Zvērinātu advokātu padomes priekšsēdētājs, nosūtīšanas prettiesiskums</w:t>
      </w:r>
      <w:r w:rsidR="00BB2DE9">
        <w:t>,</w:t>
      </w:r>
      <w:r w:rsidR="00D60F25" w:rsidRPr="00331CDF">
        <w:t xml:space="preserve"> un pieteicējai nebija iespēja</w:t>
      </w:r>
      <w:r w:rsidR="00BB2DE9">
        <w:t>s</w:t>
      </w:r>
      <w:r w:rsidR="00D60F25" w:rsidRPr="00331CDF">
        <w:t xml:space="preserve"> iegūt tiesas pārbaudi p</w:t>
      </w:r>
      <w:r w:rsidR="00AD1999">
        <w:t>ā</w:t>
      </w:r>
      <w:r w:rsidR="00D60F25" w:rsidRPr="00331CDF">
        <w:t xml:space="preserve">r </w:t>
      </w:r>
      <w:r w:rsidR="00AD1999">
        <w:t>šo rīcību tiesiskumu</w:t>
      </w:r>
      <w:r w:rsidR="00D60F25" w:rsidRPr="00331CDF">
        <w:t>, jo attiecībā uz viņu ierosinātais kriminālprocess tika izbeigts pirmstiesas stadijā</w:t>
      </w:r>
      <w:r w:rsidR="002755CC" w:rsidRPr="00331CDF">
        <w:t>.</w:t>
      </w:r>
    </w:p>
    <w:p w14:paraId="70C5B0D3" w14:textId="77777777" w:rsidR="00EE1D0A" w:rsidRPr="00331CDF" w:rsidRDefault="00EE1D0A" w:rsidP="00C929E7">
      <w:pPr>
        <w:pStyle w:val="Style1"/>
      </w:pPr>
    </w:p>
    <w:p w14:paraId="539493FD" w14:textId="1BFD1D31" w:rsidR="00BE4B49" w:rsidRPr="00331CDF" w:rsidRDefault="00B30299" w:rsidP="00C929E7">
      <w:pPr>
        <w:pStyle w:val="Style1"/>
      </w:pPr>
      <w:r>
        <w:t>[1</w:t>
      </w:r>
      <w:r w:rsidR="00A033FD">
        <w:t>2</w:t>
      </w:r>
      <w:r>
        <w:t xml:space="preserve">] </w:t>
      </w:r>
      <w:r w:rsidR="00D60F25" w:rsidRPr="00331CDF">
        <w:t xml:space="preserve">Senāts jau ir atzinis, ka </w:t>
      </w:r>
      <w:r w:rsidR="00AF443C" w:rsidRPr="00331CDF">
        <w:t xml:space="preserve">gadījumos, kuros </w:t>
      </w:r>
      <w:r w:rsidR="00AF443C" w:rsidRPr="00331CDF">
        <w:rPr>
          <w:color w:val="000000" w:themeColor="text1"/>
        </w:rPr>
        <w:t>tiesiskais regulējums neparedz objektīvu iespēju personai panākt kaitējumu izraisošās rīcības prettiesiskuma izvērtējumu pamatprocesā</w:t>
      </w:r>
      <w:r w:rsidR="00ED275F">
        <w:rPr>
          <w:color w:val="000000" w:themeColor="text1"/>
        </w:rPr>
        <w:t>,</w:t>
      </w:r>
      <w:r w:rsidR="00AF443C" w:rsidRPr="00331CDF">
        <w:rPr>
          <w:color w:val="000000" w:themeColor="text1"/>
        </w:rPr>
        <w:t xml:space="preserve"> </w:t>
      </w:r>
      <w:r w:rsidR="00AF443C" w:rsidRPr="00331CDF">
        <w:t xml:space="preserve">ir pieļaujamas </w:t>
      </w:r>
      <w:r w:rsidR="00AF443C" w:rsidRPr="00331CDF">
        <w:rPr>
          <w:color w:val="000000" w:themeColor="text1"/>
        </w:rPr>
        <w:t xml:space="preserve">atkāpes no tā, ka </w:t>
      </w:r>
      <w:r w:rsidR="00AF443C" w:rsidRPr="00331CDF">
        <w:t>prettiesiskā rīcība būtu jākonstatē tajā procesā, kurā ir radies kaitējums</w:t>
      </w:r>
      <w:r w:rsidR="00ED275F">
        <w:t>. L</w:t>
      </w:r>
      <w:r w:rsidR="00AF443C" w:rsidRPr="00331CDF">
        <w:t>ī</w:t>
      </w:r>
      <w:r w:rsidR="00AF443C" w:rsidRPr="00331CDF">
        <w:rPr>
          <w:color w:val="000000" w:themeColor="text1"/>
        </w:rPr>
        <w:t>dz ar to personas iebildumi par iestādes procesuālo darbību tiesiskumu</w:t>
      </w:r>
      <w:r w:rsidR="00395C06">
        <w:rPr>
          <w:color w:val="000000" w:themeColor="text1"/>
        </w:rPr>
        <w:t xml:space="preserve"> izņēmuma kārtā</w:t>
      </w:r>
      <w:r w:rsidR="00AF443C" w:rsidRPr="00331CDF">
        <w:rPr>
          <w:color w:val="000000" w:themeColor="text1"/>
        </w:rPr>
        <w:t xml:space="preserve"> būtu izvirzāmi un izvērtējami </w:t>
      </w:r>
      <w:r w:rsidR="00395C06">
        <w:rPr>
          <w:color w:val="000000" w:themeColor="text1"/>
        </w:rPr>
        <w:t xml:space="preserve">administratīvajā procesā </w:t>
      </w:r>
      <w:r w:rsidR="00D60F25" w:rsidRPr="00331CDF">
        <w:t>(</w:t>
      </w:r>
      <w:r w:rsidR="00AF443C" w:rsidRPr="00331CDF">
        <w:t>sk.</w:t>
      </w:r>
      <w:r w:rsidR="00CA3F26">
        <w:t> </w:t>
      </w:r>
      <w:r w:rsidR="00D60F25" w:rsidRPr="00331CDF">
        <w:rPr>
          <w:i/>
          <w:iCs/>
        </w:rPr>
        <w:t>Senāta 2021.gada 8.novembra lēmum</w:t>
      </w:r>
      <w:r w:rsidR="00AF443C" w:rsidRPr="00331CDF">
        <w:rPr>
          <w:i/>
          <w:iCs/>
        </w:rPr>
        <w:t>a</w:t>
      </w:r>
      <w:r w:rsidR="00D60F25" w:rsidRPr="00331CDF">
        <w:rPr>
          <w:i/>
          <w:iCs/>
        </w:rPr>
        <w:t xml:space="preserve"> lietā Nr.</w:t>
      </w:r>
      <w:r w:rsidR="009543E9">
        <w:rPr>
          <w:i/>
          <w:iCs/>
        </w:rPr>
        <w:t> </w:t>
      </w:r>
      <w:r w:rsidR="00D60F25" w:rsidRPr="00331CDF">
        <w:rPr>
          <w:i/>
          <w:iCs/>
        </w:rPr>
        <w:t>SKA-619/2021</w:t>
      </w:r>
      <w:r w:rsidR="00CA3F26">
        <w:rPr>
          <w:i/>
          <w:iCs/>
        </w:rPr>
        <w:t>,</w:t>
      </w:r>
      <w:r w:rsidR="00D60F25" w:rsidRPr="00331CDF">
        <w:rPr>
          <w:i/>
          <w:iCs/>
        </w:rPr>
        <w:t xml:space="preserve"> </w:t>
      </w:r>
      <w:hyperlink r:id="rId13" w:history="1">
        <w:r w:rsidR="00D60F25" w:rsidRPr="00331CDF">
          <w:rPr>
            <w:rStyle w:val="Hyperlink"/>
            <w:i/>
            <w:iCs/>
          </w:rPr>
          <w:t>ECLI:LV:AT:2021:1108.A420229019.10.L</w:t>
        </w:r>
      </w:hyperlink>
      <w:r w:rsidR="00CA3F26">
        <w:rPr>
          <w:i/>
          <w:iCs/>
        </w:rPr>
        <w:t>,</w:t>
      </w:r>
      <w:r w:rsidR="00D60F25" w:rsidRPr="00331CDF">
        <w:rPr>
          <w:i/>
          <w:iCs/>
        </w:rPr>
        <w:t xml:space="preserve"> </w:t>
      </w:r>
      <w:r w:rsidR="00AF443C" w:rsidRPr="00331CDF">
        <w:rPr>
          <w:i/>
          <w:iCs/>
        </w:rPr>
        <w:t>9.</w:t>
      </w:r>
      <w:r w:rsidR="00395C06">
        <w:rPr>
          <w:i/>
          <w:iCs/>
        </w:rPr>
        <w:t xml:space="preserve">, </w:t>
      </w:r>
      <w:r w:rsidR="00AF443C" w:rsidRPr="00331CDF">
        <w:rPr>
          <w:i/>
          <w:iCs/>
        </w:rPr>
        <w:t>10.</w:t>
      </w:r>
      <w:r w:rsidR="00395C06">
        <w:rPr>
          <w:i/>
          <w:iCs/>
        </w:rPr>
        <w:t xml:space="preserve"> un 15.</w:t>
      </w:r>
      <w:r w:rsidR="00AF443C" w:rsidRPr="00331CDF">
        <w:rPr>
          <w:i/>
          <w:iCs/>
        </w:rPr>
        <w:t>punktu</w:t>
      </w:r>
      <w:r w:rsidR="00AF443C" w:rsidRPr="00331CDF">
        <w:t>).</w:t>
      </w:r>
    </w:p>
    <w:p w14:paraId="1BBD3D9A" w14:textId="77777777" w:rsidR="003660D4" w:rsidRDefault="003660D4" w:rsidP="00C929E7">
      <w:pPr>
        <w:pStyle w:val="Style1"/>
      </w:pPr>
    </w:p>
    <w:p w14:paraId="5DCE9B4B" w14:textId="44AE11FF" w:rsidR="00AF443C" w:rsidRPr="00331CDF" w:rsidRDefault="003660D4" w:rsidP="00C929E7">
      <w:pPr>
        <w:pStyle w:val="Style1"/>
      </w:pPr>
      <w:r>
        <w:t>[1</w:t>
      </w:r>
      <w:r w:rsidR="00A033FD">
        <w:t>3</w:t>
      </w:r>
      <w:r>
        <w:t>]</w:t>
      </w:r>
      <w:r w:rsidR="00CA3F26">
        <w:t> </w:t>
      </w:r>
      <w:r w:rsidR="00AF443C" w:rsidRPr="00331CDF">
        <w:t>Atbilstoši Kriminālprocesa likuma 263.pantam aizturēšana ir personas brīvības atņemšana uz laiku līdz 48 stundām bez izmeklēšanas tiesneša lēmuma, ja pastāv aizturēšanas nosacījumi. Šie</w:t>
      </w:r>
      <w:r w:rsidR="009036BD" w:rsidRPr="00331CDF">
        <w:t xml:space="preserve"> aizturēšanas</w:t>
      </w:r>
      <w:r w:rsidR="00AF443C" w:rsidRPr="00331CDF">
        <w:t xml:space="preserve"> nosacījumi izklāstīti Kriminālprocesa likuma 264.pantā. Kriminālprocesa likuma 269.panta pirmā daļa notiec gadījumus, kad persona ir nekavējoties jāatbrīvo</w:t>
      </w:r>
      <w:r w:rsidR="003E17A2">
        <w:t>, t</w:t>
      </w:r>
      <w:r w:rsidR="00B75E91">
        <w:t>omēr personas atbrīvošana ir procesa virzītāja pienākums.</w:t>
      </w:r>
      <w:r w:rsidR="00AF443C" w:rsidRPr="00331CDF">
        <w:t xml:space="preserve"> </w:t>
      </w:r>
      <w:r w:rsidR="00AF443C" w:rsidRPr="00146507">
        <w:t>Kriminālprocesa likuma 268.pant</w:t>
      </w:r>
      <w:r w:rsidR="00B30299">
        <w:t>s</w:t>
      </w:r>
      <w:r w:rsidR="009D79EF">
        <w:t xml:space="preserve"> </w:t>
      </w:r>
      <w:r w:rsidR="00AF443C" w:rsidRPr="00146507">
        <w:t>no</w:t>
      </w:r>
      <w:r>
        <w:t>teic</w:t>
      </w:r>
      <w:r w:rsidR="00AF443C" w:rsidRPr="00146507">
        <w:t xml:space="preserve">, ka </w:t>
      </w:r>
      <w:r w:rsidR="009036BD" w:rsidRPr="00146507">
        <w:t>procesa virzītājam nekavējoties, bet ne vēlāk kā 48</w:t>
      </w:r>
      <w:r w:rsidR="00CA761A">
        <w:t> </w:t>
      </w:r>
      <w:r w:rsidR="009036BD" w:rsidRPr="00146507">
        <w:t>stundu laikā jāizlemj par aizturētā atzīšanu par aizdomās turēto vai apsūdzēto un par drošības līdzekļa piemērošanu</w:t>
      </w:r>
      <w:r w:rsidR="00E64686" w:rsidRPr="00146507">
        <w:t xml:space="preserve"> un, </w:t>
      </w:r>
      <w:r w:rsidR="009036BD" w:rsidRPr="00146507">
        <w:t>ja aizturētais tiek atzīts par aizdomās turēto vai apsūdzēto</w:t>
      </w:r>
      <w:r w:rsidR="00E64686" w:rsidRPr="00146507">
        <w:t>,</w:t>
      </w:r>
      <w:r w:rsidR="00A43D1C" w:rsidRPr="00146507">
        <w:t xml:space="preserve"> </w:t>
      </w:r>
      <w:r w:rsidR="009036BD" w:rsidRPr="00146507">
        <w:t>jānogādā persona pie izmeklēšanas tiesneša</w:t>
      </w:r>
      <w:r w:rsidR="00B30299">
        <w:t xml:space="preserve"> (panta pirmā daļa)</w:t>
      </w:r>
      <w:r w:rsidR="009D79EF">
        <w:t xml:space="preserve">. </w:t>
      </w:r>
      <w:r w:rsidR="00B30299">
        <w:t>P</w:t>
      </w:r>
      <w:r w:rsidR="009D79EF" w:rsidRPr="009D79EF">
        <w:t>ēc aizturētā atzīšanas par aizdomās turēto vai apsūdzēto un nopratināšanas, ja tā ir nepieciešama, procesa virzītājs nekavējoties lemj par šīs personas atbrīvošanu no īslaicīgās aizturēšanas vietas, ja tai piemērots drošības līdzeklis, kas nav saistīts ar brīvības atņemšanu</w:t>
      </w:r>
      <w:r w:rsidR="009D79EF">
        <w:t xml:space="preserve"> </w:t>
      </w:r>
      <w:r w:rsidR="00B30299">
        <w:t xml:space="preserve">(panta otrā daļa). </w:t>
      </w:r>
      <w:r w:rsidR="009D79EF" w:rsidRPr="009D79EF">
        <w:t>Ja aizturētais tiek atzīts par aizdomās turēto vai apsūdzēto un nepieciešamības gadījumā nopratināts, bet procesa virzītāja izraudzītais drošības līdzeklis ir saistīts ar personas brīvības atņemšanu, persona var atrasties īslaicīgās aizturēšanas vietā līdz tās nogādāšanai pie izmeklēšanas tiesneša, ievērojot 48 stundu noteikto ierobežojumu no faktiskās aizturēšanas brīža</w:t>
      </w:r>
      <w:r w:rsidR="00B30299">
        <w:t xml:space="preserve"> (panta trešā daļa)</w:t>
      </w:r>
      <w:r w:rsidR="009D79EF">
        <w:t xml:space="preserve">. No minētā var secināt, ka </w:t>
      </w:r>
      <w:r w:rsidR="00CB53EB">
        <w:t xml:space="preserve">aizturētais tiek nogādāts pie </w:t>
      </w:r>
      <w:r w:rsidR="009D79EF">
        <w:t>i</w:t>
      </w:r>
      <w:r w:rsidR="009036BD" w:rsidRPr="00331CDF">
        <w:t>zmeklēšanas tiesne</w:t>
      </w:r>
      <w:r w:rsidR="00CB53EB">
        <w:t xml:space="preserve">ša tad, </w:t>
      </w:r>
      <w:r w:rsidR="009036BD" w:rsidRPr="00331CDF">
        <w:t xml:space="preserve">ja </w:t>
      </w:r>
      <w:r w:rsidR="00B30299">
        <w:t>tas</w:t>
      </w:r>
      <w:r w:rsidR="009036BD" w:rsidRPr="00331CDF">
        <w:t xml:space="preserve"> tiek atzīts par aizdomās turēto vai apsūdzēto,</w:t>
      </w:r>
      <w:r w:rsidR="009D79EF">
        <w:t xml:space="preserve"> un</w:t>
      </w:r>
      <w:r w:rsidR="009036BD" w:rsidRPr="00331CDF">
        <w:t xml:space="preserve"> </w:t>
      </w:r>
      <w:r w:rsidR="0021723E" w:rsidRPr="00534124">
        <w:t>ja</w:t>
      </w:r>
      <w:r w:rsidR="00B30299">
        <w:t>,</w:t>
      </w:r>
      <w:r w:rsidR="0021723E">
        <w:t xml:space="preserve"> </w:t>
      </w:r>
      <w:r w:rsidR="009036BD" w:rsidRPr="00331CDF">
        <w:t>procesa virzītāja ieskatā</w:t>
      </w:r>
      <w:r w:rsidR="00B30299">
        <w:t>,</w:t>
      </w:r>
      <w:r w:rsidR="009036BD" w:rsidRPr="00331CDF">
        <w:t xml:space="preserve"> ir pamats piemērot drošības līdzekli, kas saistīts ar personas brīvības atņemšanu. </w:t>
      </w:r>
      <w:r w:rsidR="00CB53EB">
        <w:t xml:space="preserve">Lai gan Kriminālprocesa likuma 269.panta pirmās daļas 2.punkts paredz, ka aizturētais ir nekavējoties jāatbrīvo, ja </w:t>
      </w:r>
      <w:r w:rsidR="00CB53EB" w:rsidRPr="00CB53EB">
        <w:t>noskaidrots, ka nav bijis aizturēšanas pamata un nosacījumu</w:t>
      </w:r>
      <w:r w:rsidR="00B30299">
        <w:t>,</w:t>
      </w:r>
      <w:r w:rsidR="00CB53EB" w:rsidRPr="00CB53EB">
        <w:t xml:space="preserve"> </w:t>
      </w:r>
      <w:r w:rsidR="00CB53EB">
        <w:t xml:space="preserve">un atbilstoši 5.punktam, ja </w:t>
      </w:r>
      <w:r w:rsidR="00CB53EB" w:rsidRPr="00CB53EB">
        <w:t>izmeklēšanas tiesnesis nav piemērojis ar brīvības atņemšanu saistītu drošības līdzekli</w:t>
      </w:r>
      <w:r w:rsidR="00CB53EB">
        <w:t>, no Kriminālprocesa likuma teksta neizriet, ka aizturēt</w:t>
      </w:r>
      <w:r w:rsidR="00882E9F">
        <w:t>ajam ir</w:t>
      </w:r>
      <w:r w:rsidR="00CB53EB">
        <w:t xml:space="preserve"> tiesības prasīt izmeklēšanas tiesneša kontrol</w:t>
      </w:r>
      <w:r w:rsidR="00882E9F">
        <w:t>i</w:t>
      </w:r>
      <w:r w:rsidR="00CB53EB">
        <w:t xml:space="preserve"> pār aizturēšanu</w:t>
      </w:r>
      <w:r w:rsidR="00882E9F">
        <w:t xml:space="preserve"> vai ka šāda izmeklēšanas tiesneša kontrole tiktu īstenota pēc katras aizturēšanas</w:t>
      </w:r>
      <w:r w:rsidR="00CB53EB">
        <w:t>.</w:t>
      </w:r>
    </w:p>
    <w:p w14:paraId="0DA638F5" w14:textId="199788D4" w:rsidR="00AF443C" w:rsidRPr="00331CDF" w:rsidRDefault="009036BD" w:rsidP="00C929E7">
      <w:pPr>
        <w:pStyle w:val="Style1"/>
      </w:pPr>
      <w:r w:rsidRPr="00331CDF">
        <w:t xml:space="preserve">Eiropas Cilvēktiesību tiesa jau ir atzinusi, ka </w:t>
      </w:r>
      <w:r w:rsidR="0021723E" w:rsidRPr="00534124">
        <w:t>Cilvēka</w:t>
      </w:r>
      <w:r w:rsidR="0021723E" w:rsidRPr="005D3F94">
        <w:t xml:space="preserve"> t</w:t>
      </w:r>
      <w:r w:rsidR="0021723E">
        <w:t xml:space="preserve">iesību un pamatbrīvību </w:t>
      </w:r>
      <w:r w:rsidR="00B30299">
        <w:t xml:space="preserve">aizsardzības </w:t>
      </w:r>
      <w:r w:rsidR="0021723E">
        <w:t xml:space="preserve">konvencijas (turpmāk – </w:t>
      </w:r>
      <w:r w:rsidR="005D3F94">
        <w:t>Eiropas Cilvēktiesību k</w:t>
      </w:r>
      <w:r w:rsidR="002A2256" w:rsidRPr="0021723E">
        <w:t>onvencija</w:t>
      </w:r>
      <w:r w:rsidR="0021723E">
        <w:t>)</w:t>
      </w:r>
      <w:r w:rsidR="002A2256" w:rsidRPr="00331CDF">
        <w:t xml:space="preserve"> 5.panta garantijas ir attiecināmas arī tad, ja </w:t>
      </w:r>
      <w:r w:rsidR="00882E9F">
        <w:t>brīvības atņemšana</w:t>
      </w:r>
      <w:r w:rsidR="00882E9F" w:rsidRPr="00331CDF">
        <w:t xml:space="preserve"> </w:t>
      </w:r>
      <w:r w:rsidR="002A2256" w:rsidRPr="00331CDF">
        <w:t>norit ļoti īsu laiku, piemēram, līdz 24</w:t>
      </w:r>
      <w:r w:rsidR="00433ABF">
        <w:t> </w:t>
      </w:r>
      <w:r w:rsidR="002A2256" w:rsidRPr="00331CDF">
        <w:t xml:space="preserve">stundām </w:t>
      </w:r>
      <w:r w:rsidR="00A43D1C" w:rsidRPr="00331CDF">
        <w:t>(</w:t>
      </w:r>
      <w:r w:rsidR="002A2256" w:rsidRPr="00331CDF">
        <w:t>sk.</w:t>
      </w:r>
      <w:r w:rsidR="00CA761A">
        <w:t> </w:t>
      </w:r>
      <w:r w:rsidR="00A43D1C" w:rsidRPr="00331CDF">
        <w:rPr>
          <w:i/>
          <w:iCs/>
        </w:rPr>
        <w:t>Eiropas Cilvēktiesību tiesas 2014.gada 24.jūnija spriedum</w:t>
      </w:r>
      <w:r w:rsidR="002A2256" w:rsidRPr="00331CDF">
        <w:rPr>
          <w:i/>
          <w:iCs/>
        </w:rPr>
        <w:t>a</w:t>
      </w:r>
      <w:r w:rsidR="00A43D1C" w:rsidRPr="00331CDF">
        <w:rPr>
          <w:i/>
          <w:iCs/>
        </w:rPr>
        <w:t xml:space="preserve"> lietā </w:t>
      </w:r>
      <w:r w:rsidR="000A2FA1">
        <w:rPr>
          <w:i/>
          <w:iCs/>
        </w:rPr>
        <w:t>„</w:t>
      </w:r>
      <w:r w:rsidR="00A43D1C" w:rsidRPr="00331CDF">
        <w:rPr>
          <w:i/>
          <w:iCs/>
        </w:rPr>
        <w:t>Petkov un Profirov pret Bulgāriju</w:t>
      </w:r>
      <w:r w:rsidR="00BF5774">
        <w:rPr>
          <w:i/>
          <w:iCs/>
        </w:rPr>
        <w:t>”,</w:t>
      </w:r>
      <w:r w:rsidR="00A43D1C" w:rsidRPr="00331CDF">
        <w:rPr>
          <w:i/>
          <w:iCs/>
        </w:rPr>
        <w:t xml:space="preserve"> iesniegumi Nr.</w:t>
      </w:r>
      <w:r w:rsidR="00BF5774">
        <w:rPr>
          <w:i/>
          <w:iCs/>
        </w:rPr>
        <w:t> </w:t>
      </w:r>
      <w:hyperlink r:id="rId14" w:history="1">
        <w:r w:rsidR="00A43D1C" w:rsidRPr="00BF5774">
          <w:rPr>
            <w:rStyle w:val="Hyperlink"/>
            <w:i/>
            <w:iCs/>
          </w:rPr>
          <w:t>50027/08 un 50781/09</w:t>
        </w:r>
      </w:hyperlink>
      <w:r w:rsidR="00A43D1C" w:rsidRPr="00331CDF">
        <w:rPr>
          <w:i/>
          <w:iCs/>
        </w:rPr>
        <w:t xml:space="preserve">, </w:t>
      </w:r>
      <w:r w:rsidR="002A2256" w:rsidRPr="00331CDF">
        <w:rPr>
          <w:i/>
          <w:iCs/>
        </w:rPr>
        <w:t>45., 65. un turpmākos punktus</w:t>
      </w:r>
      <w:r w:rsidR="00A43D1C" w:rsidRPr="00331CDF">
        <w:t>)</w:t>
      </w:r>
      <w:r w:rsidRPr="00331CDF">
        <w:t xml:space="preserve">. Tāpat </w:t>
      </w:r>
      <w:r w:rsidR="00AF443C" w:rsidRPr="00331CDF">
        <w:t>Eiropas Cilvēktiesību tiesa</w:t>
      </w:r>
      <w:r w:rsidR="007213D9" w:rsidRPr="00331CDF">
        <w:t xml:space="preserve"> lietā </w:t>
      </w:r>
      <w:r w:rsidR="000A2FA1">
        <w:t>„</w:t>
      </w:r>
      <w:r w:rsidR="007213D9" w:rsidRPr="00331CDF">
        <w:rPr>
          <w:i/>
          <w:iCs/>
        </w:rPr>
        <w:t>Rimšēvičs pret Latviju</w:t>
      </w:r>
      <w:r w:rsidR="000A2FA1">
        <w:rPr>
          <w:i/>
          <w:iCs/>
        </w:rPr>
        <w:t>”</w:t>
      </w:r>
      <w:r w:rsidR="007213D9" w:rsidRPr="00331CDF">
        <w:rPr>
          <w:i/>
          <w:iCs/>
        </w:rPr>
        <w:t xml:space="preserve"> </w:t>
      </w:r>
      <w:r w:rsidR="007213D9" w:rsidRPr="00331CDF">
        <w:t xml:space="preserve">atzina, ka </w:t>
      </w:r>
      <w:r w:rsidR="005D3F94">
        <w:t>Eiropas Cilvēktiesību k</w:t>
      </w:r>
      <w:r w:rsidR="007213D9" w:rsidRPr="00331CDF">
        <w:t>onvencijas 5.panta garantijas bija attiecināmas arī uz aizturēšanu un,</w:t>
      </w:r>
      <w:r w:rsidRPr="00331CDF">
        <w:t xml:space="preserve"> izskatot sūdzību par </w:t>
      </w:r>
      <w:r w:rsidR="007213D9" w:rsidRPr="00331CDF">
        <w:t xml:space="preserve">aizturētā </w:t>
      </w:r>
      <w:r w:rsidRPr="00331CDF">
        <w:t xml:space="preserve">nespēju </w:t>
      </w:r>
      <w:r w:rsidR="007213D9" w:rsidRPr="00331CDF">
        <w:t>panākt</w:t>
      </w:r>
      <w:r w:rsidRPr="00331CDF">
        <w:t xml:space="preserve"> aizturēšanas tiesiskuma izvērtējumu un iespēju panākt savu atbrīvošanu</w:t>
      </w:r>
      <w:r w:rsidR="00AB55FE" w:rsidRPr="00331CDF">
        <w:t xml:space="preserve">, norādīja, ka prokurora pārbaude par aizturēšanas tiesiskumu neatbilst </w:t>
      </w:r>
      <w:r w:rsidR="005D3F94">
        <w:t>Eiropas Cilvēktiesību k</w:t>
      </w:r>
      <w:r w:rsidR="00AB55FE" w:rsidRPr="00331CDF">
        <w:t xml:space="preserve">onvencijas 5.panta 4.punkta prasībām, jo prokurors nav uzskatāms par </w:t>
      </w:r>
      <w:r w:rsidR="0043183F">
        <w:t>„</w:t>
      </w:r>
      <w:r w:rsidR="00AB55FE" w:rsidRPr="00331CDF">
        <w:t>tiesu”, k</w:t>
      </w:r>
      <w:r w:rsidR="00976FF3">
        <w:t>as</w:t>
      </w:r>
      <w:r w:rsidR="00AB55FE" w:rsidRPr="00331CDF">
        <w:t xml:space="preserve"> nodrošina atbilstošas institucionālas un procesuālas garantijas </w:t>
      </w:r>
      <w:r w:rsidRPr="00331CDF">
        <w:t>(</w:t>
      </w:r>
      <w:r w:rsidR="00AB55FE" w:rsidRPr="00331CDF">
        <w:t>sk.</w:t>
      </w:r>
      <w:r w:rsidR="00CA761A">
        <w:t> </w:t>
      </w:r>
      <w:r w:rsidR="00AB55FE" w:rsidRPr="00331CDF">
        <w:rPr>
          <w:i/>
          <w:iCs/>
        </w:rPr>
        <w:t xml:space="preserve">Eiropas Cilvēktiesību tiesas 2022.gada 10.novembra sprieduma lietā </w:t>
      </w:r>
      <w:r w:rsidR="000A2FA1">
        <w:rPr>
          <w:i/>
          <w:iCs/>
        </w:rPr>
        <w:t>„</w:t>
      </w:r>
      <w:r w:rsidR="00AB55FE" w:rsidRPr="00331CDF">
        <w:rPr>
          <w:i/>
          <w:iCs/>
        </w:rPr>
        <w:t>Rimšēvičs pret Latviju</w:t>
      </w:r>
      <w:r w:rsidR="00BF5774">
        <w:rPr>
          <w:i/>
          <w:iCs/>
        </w:rPr>
        <w:t>”,</w:t>
      </w:r>
      <w:r w:rsidR="00AB55FE" w:rsidRPr="00331CDF">
        <w:rPr>
          <w:i/>
          <w:iCs/>
        </w:rPr>
        <w:t xml:space="preserve"> iesniegums Nr.</w:t>
      </w:r>
      <w:r w:rsidR="00BF5774">
        <w:rPr>
          <w:i/>
          <w:iCs/>
        </w:rPr>
        <w:t> </w:t>
      </w:r>
      <w:hyperlink r:id="rId15" w:history="1">
        <w:r w:rsidR="00AB55FE" w:rsidRPr="00BF5774">
          <w:rPr>
            <w:rStyle w:val="Hyperlink"/>
            <w:i/>
            <w:iCs/>
          </w:rPr>
          <w:t>56425/18</w:t>
        </w:r>
      </w:hyperlink>
      <w:r w:rsidR="00BF5774">
        <w:rPr>
          <w:i/>
          <w:iCs/>
        </w:rPr>
        <w:t>,</w:t>
      </w:r>
      <w:r w:rsidR="00AB55FE" w:rsidRPr="00331CDF">
        <w:rPr>
          <w:i/>
          <w:iCs/>
        </w:rPr>
        <w:t xml:space="preserve"> 75.</w:t>
      </w:r>
      <w:r w:rsidR="003660D4">
        <w:rPr>
          <w:i/>
          <w:iCs/>
        </w:rPr>
        <w:t>–</w:t>
      </w:r>
      <w:r w:rsidR="00AB55FE" w:rsidRPr="00331CDF">
        <w:rPr>
          <w:i/>
          <w:iCs/>
        </w:rPr>
        <w:t>76.punktu</w:t>
      </w:r>
      <w:r w:rsidRPr="00331CDF">
        <w:t>)</w:t>
      </w:r>
      <w:r w:rsidR="00AF443C" w:rsidRPr="00331CDF">
        <w:t xml:space="preserve">. </w:t>
      </w:r>
    </w:p>
    <w:p w14:paraId="19781262" w14:textId="5827B35C" w:rsidR="00595597" w:rsidRDefault="00595597" w:rsidP="00C929E7">
      <w:pPr>
        <w:pStyle w:val="Style1"/>
        <w:rPr>
          <w:color w:val="000000" w:themeColor="text1"/>
        </w:rPr>
      </w:pPr>
      <w:r w:rsidRPr="00331CDF">
        <w:t xml:space="preserve">Ņemot vērā minēto, Senāts secina, ka </w:t>
      </w:r>
      <w:r w:rsidR="0099231B">
        <w:t>konkrētajos</w:t>
      </w:r>
      <w:r w:rsidRPr="00331CDF">
        <w:t xml:space="preserve"> apstākļos </w:t>
      </w:r>
      <w:r w:rsidRPr="00331CDF">
        <w:rPr>
          <w:color w:val="000000" w:themeColor="text1"/>
        </w:rPr>
        <w:t>tiesiskais regulējums neparedz</w:t>
      </w:r>
      <w:r w:rsidR="00882E9F">
        <w:rPr>
          <w:color w:val="000000" w:themeColor="text1"/>
        </w:rPr>
        <w:t>ēja</w:t>
      </w:r>
      <w:r w:rsidRPr="00331CDF">
        <w:rPr>
          <w:color w:val="000000" w:themeColor="text1"/>
        </w:rPr>
        <w:t xml:space="preserve"> objektīvu iespēju personai panākt kaitējumu izraisošās rīcības prettiesiskuma izvērtējumu pamatprocesā un tādēļ tiesai </w:t>
      </w:r>
      <w:r w:rsidR="00433ABF">
        <w:rPr>
          <w:color w:val="000000" w:themeColor="text1"/>
        </w:rPr>
        <w:t xml:space="preserve">administratīvajā procesā ir </w:t>
      </w:r>
      <w:r w:rsidRPr="00331CDF">
        <w:t xml:space="preserve">pamats piemērot atkāpi no noteikuma, ka </w:t>
      </w:r>
      <w:r w:rsidRPr="00331CDF">
        <w:rPr>
          <w:color w:val="000000" w:themeColor="text1"/>
        </w:rPr>
        <w:t xml:space="preserve">personas iebildumi par iestādes procesuālo darbību tiesiskumu būtu izvirzāmi un izvērtējami pamatprocesā. </w:t>
      </w:r>
    </w:p>
    <w:p w14:paraId="38D2063F" w14:textId="77777777" w:rsidR="00433ABF" w:rsidRDefault="00433ABF" w:rsidP="00C929E7">
      <w:pPr>
        <w:pStyle w:val="Style1"/>
        <w:rPr>
          <w:color w:val="000000" w:themeColor="text1"/>
        </w:rPr>
      </w:pPr>
    </w:p>
    <w:p w14:paraId="58B22087" w14:textId="22FA4AAF" w:rsidR="00433ABF" w:rsidRDefault="00433ABF" w:rsidP="00C929E7">
      <w:pPr>
        <w:pStyle w:val="Style1"/>
      </w:pPr>
      <w:r w:rsidRPr="00331CDF">
        <w:t>[1</w:t>
      </w:r>
      <w:r w:rsidR="00A033FD">
        <w:t>4</w:t>
      </w:r>
      <w:r w:rsidRPr="00331CDF">
        <w:t>] </w:t>
      </w:r>
      <w:r>
        <w:t xml:space="preserve">Attiecībā uz </w:t>
      </w:r>
      <w:r w:rsidR="006E20DB">
        <w:t>Kaitējuma a</w:t>
      </w:r>
      <w:r w:rsidR="006E20DB" w:rsidRPr="00331CDF">
        <w:t xml:space="preserve">tlīdzināšanas </w:t>
      </w:r>
      <w:r w:rsidRPr="00331CDF">
        <w:t>likuma 14.</w:t>
      </w:r>
      <w:r>
        <w:t xml:space="preserve"> un </w:t>
      </w:r>
      <w:r w:rsidRPr="00331CDF">
        <w:t>15.pant</w:t>
      </w:r>
      <w:r>
        <w:t xml:space="preserve">a piemērošanu norādāms turpmāk minētais. </w:t>
      </w:r>
    </w:p>
    <w:p w14:paraId="7F5D099E" w14:textId="31BA0CBF" w:rsidR="00433ABF" w:rsidRPr="004F2A3C" w:rsidRDefault="006E20DB" w:rsidP="00C929E7">
      <w:pPr>
        <w:pStyle w:val="Style1"/>
      </w:pPr>
      <w:r>
        <w:t>Kaitējuma a</w:t>
      </w:r>
      <w:r w:rsidRPr="00331CDF">
        <w:t xml:space="preserve">tlīdzināšanas </w:t>
      </w:r>
      <w:r w:rsidR="00433ABF">
        <w:t>likuma 14.pants regulē</w:t>
      </w:r>
      <w:r w:rsidR="00433ABF" w:rsidRPr="004F2A3C">
        <w:rPr>
          <w:rFonts w:ascii="Arial" w:hAnsi="Arial" w:cs="Arial"/>
          <w:b/>
          <w:bCs/>
          <w:color w:val="414142"/>
          <w:sz w:val="20"/>
          <w:szCs w:val="20"/>
          <w:shd w:val="clear" w:color="auto" w:fill="FFFFFF"/>
        </w:rPr>
        <w:t xml:space="preserve"> </w:t>
      </w:r>
      <w:r w:rsidR="00433ABF">
        <w:t>ne</w:t>
      </w:r>
      <w:r w:rsidR="00433ABF" w:rsidRPr="004F2A3C">
        <w:t>mantiskā kaitējuma atlīdzinājuma noteikšan</w:t>
      </w:r>
      <w:r w:rsidR="00433ABF">
        <w:t>u, savukārt 15.pants – a</w:t>
      </w:r>
      <w:r w:rsidR="00433ABF" w:rsidRPr="004F2A3C">
        <w:t>r nepamatotu vai prettiesisku brīvības ierobežošanu nodarīta nemantiskā kaitējuma atlīdzības apmēra noteikšan</w:t>
      </w:r>
      <w:r w:rsidR="00433ABF">
        <w:t>u.</w:t>
      </w:r>
      <w:r w:rsidR="00433ABF" w:rsidRPr="004F2A3C">
        <w:t xml:space="preserve"> </w:t>
      </w:r>
    </w:p>
    <w:p w14:paraId="2F46DF45" w14:textId="606E80BD" w:rsidR="00433ABF" w:rsidRPr="00331CDF" w:rsidRDefault="00433ABF" w:rsidP="00C929E7">
      <w:pPr>
        <w:pStyle w:val="Style1"/>
      </w:pPr>
      <w:r w:rsidRPr="00331CDF">
        <w:t xml:space="preserve">Senāts ir atzinis, ka </w:t>
      </w:r>
      <w:r w:rsidR="006E20DB">
        <w:t>Kaitējuma a</w:t>
      </w:r>
      <w:r w:rsidR="006E20DB" w:rsidRPr="00331CDF">
        <w:t xml:space="preserve">tlīdzināšanas </w:t>
      </w:r>
      <w:r w:rsidRPr="00331CDF">
        <w:t xml:space="preserve">likuma 14. un 15.pants var tikt kopīgi piemērots situācijās, kurās papildus nepamatotam brīvības ierobežojumam noticis arī citu pamattiesību nepamatots ierobežojums. Tas nozīmē, ka, nosakot piešķiramā atlīdzinājuma apmēru, tiesai jāņem vērā </w:t>
      </w:r>
      <w:r w:rsidR="006E20DB">
        <w:t>Kaitējuma a</w:t>
      </w:r>
      <w:r w:rsidR="006E20DB" w:rsidRPr="00331CDF">
        <w:t xml:space="preserve">tlīdzināšanas </w:t>
      </w:r>
      <w:r w:rsidRPr="00331CDF">
        <w:t>likuma 14.panta normas, kas vispārīgi regulē atlīdzinājumu par nemantisk</w:t>
      </w:r>
      <w:r>
        <w:t>o</w:t>
      </w:r>
      <w:r w:rsidRPr="00331CDF">
        <w:t xml:space="preserve"> kaitējumu un ļauj novērtēt atbilstošāko atlīdzinājumu par dažādu aizskārumu kopsakarā radītu kaitējumu (</w:t>
      </w:r>
      <w:r w:rsidRPr="00331CDF">
        <w:rPr>
          <w:i/>
          <w:iCs/>
        </w:rPr>
        <w:t>Senāta 2021.gada 31.maija sprieduma lietā Nr.</w:t>
      </w:r>
      <w:r>
        <w:rPr>
          <w:i/>
          <w:iCs/>
        </w:rPr>
        <w:t> SKA-</w:t>
      </w:r>
      <w:r w:rsidRPr="00331CDF">
        <w:rPr>
          <w:i/>
          <w:iCs/>
        </w:rPr>
        <w:t>350/2021</w:t>
      </w:r>
      <w:r>
        <w:rPr>
          <w:i/>
          <w:iCs/>
        </w:rPr>
        <w:t>,</w:t>
      </w:r>
      <w:hyperlink r:id="rId16" w:history="1">
        <w:r>
          <w:rPr>
            <w:rStyle w:val="Hyperlink"/>
            <w:i/>
            <w:iCs/>
          </w:rPr>
          <w:t>EC</w:t>
        </w:r>
        <w:r w:rsidRPr="00BF5774">
          <w:rPr>
            <w:rStyle w:val="Hyperlink"/>
            <w:i/>
            <w:iCs/>
          </w:rPr>
          <w:t>LI:LV:AT:2021:0531.A420274418.13.S</w:t>
        </w:r>
      </w:hyperlink>
      <w:r>
        <w:rPr>
          <w:i/>
          <w:iCs/>
        </w:rPr>
        <w:t>,</w:t>
      </w:r>
      <w:r w:rsidRPr="00331CDF">
        <w:rPr>
          <w:i/>
          <w:iCs/>
        </w:rPr>
        <w:t xml:space="preserve"> 8.punkts</w:t>
      </w:r>
      <w:r w:rsidRPr="00331CDF">
        <w:t>).</w:t>
      </w:r>
    </w:p>
    <w:p w14:paraId="4B7615E0" w14:textId="77777777" w:rsidR="00433ABF" w:rsidRPr="00331CDF" w:rsidRDefault="00433ABF" w:rsidP="00C929E7">
      <w:pPr>
        <w:pStyle w:val="Style1"/>
        <w:rPr>
          <w:color w:val="000000" w:themeColor="text1"/>
        </w:rPr>
      </w:pPr>
    </w:p>
    <w:p w14:paraId="43A283D7" w14:textId="10845238" w:rsidR="00CC27E5" w:rsidRPr="00331CDF" w:rsidRDefault="00CC27E5" w:rsidP="00C929E7">
      <w:pPr>
        <w:pStyle w:val="Style1"/>
      </w:pPr>
      <w:r w:rsidRPr="00331CDF">
        <w:t>[1</w:t>
      </w:r>
      <w:r w:rsidR="00A033FD">
        <w:t>5</w:t>
      </w:r>
      <w:r w:rsidRPr="00331CDF">
        <w:t>] Ģenerālprokuratūra argumentē, ka tiesa nav pienācīgi pamatojusi to, kā tā nonākusi pie noteiktā</w:t>
      </w:r>
      <w:r w:rsidR="0040067F">
        <w:t xml:space="preserve"> nemantiskā kaitējuma</w:t>
      </w:r>
      <w:r w:rsidRPr="00331CDF">
        <w:t xml:space="preserve"> </w:t>
      </w:r>
      <w:r w:rsidR="0040067F">
        <w:t>atlīdzinājuma apmēra.</w:t>
      </w:r>
      <w:r w:rsidRPr="00331CDF">
        <w:t xml:space="preserve"> </w:t>
      </w:r>
      <w:r w:rsidR="00590242">
        <w:t xml:space="preserve">Senāts </w:t>
      </w:r>
      <w:r w:rsidR="003660D4">
        <w:t>piekrīt</w:t>
      </w:r>
      <w:r w:rsidR="00590242">
        <w:t xml:space="preserve">, ka apgabaltiesas spriedums šajā daļā nav </w:t>
      </w:r>
      <w:r w:rsidR="0021723E">
        <w:t>pietiekami pamatots</w:t>
      </w:r>
      <w:r w:rsidR="00590242">
        <w:t xml:space="preserve">. </w:t>
      </w:r>
    </w:p>
    <w:p w14:paraId="331D0ADB" w14:textId="7BE31304" w:rsidR="00CC27E5" w:rsidRPr="00331CDF" w:rsidRDefault="00CC27E5" w:rsidP="00C929E7">
      <w:pPr>
        <w:pStyle w:val="Style1"/>
      </w:pPr>
      <w:r w:rsidRPr="00331CDF">
        <w:t>Senāts jau ir atzinis</w:t>
      </w:r>
      <w:r w:rsidR="003660D4">
        <w:t xml:space="preserve"> – </w:t>
      </w:r>
      <w:r w:rsidRPr="00331CDF">
        <w:t xml:space="preserve">kā izriet no </w:t>
      </w:r>
      <w:r w:rsidR="006E20DB">
        <w:t>Kaitējuma a</w:t>
      </w:r>
      <w:r w:rsidR="006E20DB" w:rsidRPr="00331CDF">
        <w:t xml:space="preserve">tlīdzināšanas </w:t>
      </w:r>
      <w:r w:rsidRPr="00331CDF">
        <w:t>likuma 9.panta otrās daļas, tieši privātpersonai ir pienākums pamatot atlīdzinājuma apmēru un norādīt, kā izpaudies tās nemantisko tiesību un ar likumu aizsargāto interešu aizskārums (</w:t>
      </w:r>
      <w:r w:rsidRPr="00331CDF">
        <w:rPr>
          <w:i/>
          <w:iCs/>
        </w:rPr>
        <w:t xml:space="preserve">Senāta 2025.gada 16.jūnija </w:t>
      </w:r>
      <w:r w:rsidR="00BD5F07">
        <w:rPr>
          <w:i/>
          <w:iCs/>
        </w:rPr>
        <w:t>spriedum</w:t>
      </w:r>
      <w:r w:rsidR="003660D4">
        <w:rPr>
          <w:i/>
          <w:iCs/>
        </w:rPr>
        <w:t>a</w:t>
      </w:r>
      <w:r w:rsidR="00BD5F07">
        <w:rPr>
          <w:i/>
          <w:iCs/>
        </w:rPr>
        <w:t xml:space="preserve"> l</w:t>
      </w:r>
      <w:r w:rsidRPr="00331CDF">
        <w:rPr>
          <w:i/>
          <w:iCs/>
        </w:rPr>
        <w:t>iet</w:t>
      </w:r>
      <w:r w:rsidR="00BD5F07">
        <w:rPr>
          <w:i/>
          <w:iCs/>
        </w:rPr>
        <w:t>ā</w:t>
      </w:r>
      <w:r w:rsidRPr="00331CDF">
        <w:rPr>
          <w:i/>
          <w:iCs/>
        </w:rPr>
        <w:t xml:space="preserve"> Nr.</w:t>
      </w:r>
      <w:r w:rsidR="00BD5F07">
        <w:rPr>
          <w:i/>
          <w:iCs/>
        </w:rPr>
        <w:t> </w:t>
      </w:r>
      <w:r w:rsidRPr="00331CDF">
        <w:rPr>
          <w:i/>
          <w:iCs/>
        </w:rPr>
        <w:t>SKA-34/2025</w:t>
      </w:r>
      <w:r w:rsidR="003660D4">
        <w:rPr>
          <w:i/>
          <w:iCs/>
        </w:rPr>
        <w:t xml:space="preserve">, </w:t>
      </w:r>
      <w:hyperlink r:id="rId17" w:history="1">
        <w:r w:rsidRPr="00331CDF">
          <w:rPr>
            <w:rStyle w:val="Hyperlink"/>
            <w:i/>
            <w:iCs/>
          </w:rPr>
          <w:t>ECLI:LV:AT:2025:0616.A420229019.20.S</w:t>
        </w:r>
      </w:hyperlink>
      <w:r w:rsidR="003660D4">
        <w:rPr>
          <w:i/>
          <w:iCs/>
        </w:rPr>
        <w:t>,</w:t>
      </w:r>
      <w:r w:rsidRPr="00331CDF">
        <w:rPr>
          <w:i/>
          <w:iCs/>
        </w:rPr>
        <w:t xml:space="preserve"> 21.punkts</w:t>
      </w:r>
      <w:r w:rsidRPr="00331CDF">
        <w:t xml:space="preserve">). </w:t>
      </w:r>
      <w:r w:rsidR="00590242">
        <w:t>Savukārt t</w:t>
      </w:r>
      <w:r w:rsidR="00F43D9A" w:rsidRPr="00364E51">
        <w:t xml:space="preserve">iesai, kas lietu izskata pēc būtības, ir jāmotivē </w:t>
      </w:r>
      <w:r w:rsidR="001A42A6">
        <w:t>piešķirtais apmērs</w:t>
      </w:r>
      <w:r w:rsidR="00364E51" w:rsidRPr="00364E51">
        <w:t>, lai būtu iespējams pārliecināties</w:t>
      </w:r>
      <w:r w:rsidR="001A42A6">
        <w:t xml:space="preserve"> un pārbaudīt</w:t>
      </w:r>
      <w:r w:rsidR="00364E51" w:rsidRPr="00364E51">
        <w:t xml:space="preserve"> vērtējuma pamatā esoš</w:t>
      </w:r>
      <w:r w:rsidR="001A42A6">
        <w:t>os</w:t>
      </w:r>
      <w:r w:rsidR="00364E51" w:rsidRPr="00364E51">
        <w:t xml:space="preserve"> apsvērum</w:t>
      </w:r>
      <w:r w:rsidR="001A42A6">
        <w:t>us</w:t>
      </w:r>
      <w:r w:rsidR="00364E51" w:rsidRPr="00364E51">
        <w:t xml:space="preserve"> un to nozīmību. Turklāt vienlīdzības princips prasa, lai līdzīgās lietās tiktu piešķirts līdzīgs atlīdzinājums, līdz ar to tiesai ir jāņem vērā salīdzināmie gadījumi un atbilstīgs atlīdzinājums nedrīkst būt acīmredzami nesamērīgs vai būtiski zemāks nekā Eiropas Cilvēktiesību tiesas piešķirtais atlīdzinājums līdzīgās lietās (</w:t>
      </w:r>
      <w:r w:rsidR="00364E51">
        <w:t>sk.</w:t>
      </w:r>
      <w:r w:rsidR="00CA761A">
        <w:t> </w:t>
      </w:r>
      <w:r w:rsidR="00364E51" w:rsidRPr="00364E51">
        <w:rPr>
          <w:i/>
          <w:iCs/>
        </w:rPr>
        <w:t>Satversmes tiesas 2020.gada 7.maija lēmum</w:t>
      </w:r>
      <w:r w:rsidR="00BF5774">
        <w:rPr>
          <w:i/>
          <w:iCs/>
        </w:rPr>
        <w:t>a</w:t>
      </w:r>
      <w:r w:rsidR="00364E51" w:rsidRPr="00364E51">
        <w:rPr>
          <w:i/>
          <w:iCs/>
        </w:rPr>
        <w:t xml:space="preserve"> par tiesvedības izbeigšanu lietā Nr.</w:t>
      </w:r>
      <w:r w:rsidR="00BF5774">
        <w:rPr>
          <w:i/>
          <w:iCs/>
        </w:rPr>
        <w:t> </w:t>
      </w:r>
      <w:hyperlink r:id="rId18" w:history="1">
        <w:r w:rsidR="00364E51" w:rsidRPr="00BF5774">
          <w:rPr>
            <w:rStyle w:val="Hyperlink"/>
            <w:i/>
            <w:iCs/>
          </w:rPr>
          <w:t>2019-21-01</w:t>
        </w:r>
      </w:hyperlink>
      <w:r w:rsidR="00364E51" w:rsidRPr="00364E51">
        <w:rPr>
          <w:i/>
          <w:iCs/>
        </w:rPr>
        <w:t xml:space="preserve"> 10.2.punkt</w:t>
      </w:r>
      <w:r w:rsidR="00BF5774">
        <w:rPr>
          <w:i/>
          <w:iCs/>
        </w:rPr>
        <w:t>u</w:t>
      </w:r>
      <w:r w:rsidR="00364E51" w:rsidRPr="00364E51">
        <w:t>).</w:t>
      </w:r>
      <w:r w:rsidR="00364E51">
        <w:t xml:space="preserve"> </w:t>
      </w:r>
      <w:r w:rsidR="00364E51" w:rsidRPr="00364E51">
        <w:t>Šajā izvērtējumā</w:t>
      </w:r>
      <w:r w:rsidR="00364E51">
        <w:t xml:space="preserve"> jāapsver konkrētās</w:t>
      </w:r>
      <w:r w:rsidR="00364E51" w:rsidRPr="00364E51">
        <w:t xml:space="preserve"> lietas apstākļi, tai skaitā aizskarto tiesību un ar likumu aizsargāto interešu raksturs, konkrētā aizskāruma smagums un izpausmes, kā arī cietušā rīcība</w:t>
      </w:r>
      <w:r w:rsidR="00364E51">
        <w:t xml:space="preserve"> (</w:t>
      </w:r>
      <w:r w:rsidR="00364E51" w:rsidRPr="00364E51">
        <w:rPr>
          <w:i/>
          <w:iCs/>
        </w:rPr>
        <w:t>turpat</w:t>
      </w:r>
      <w:r w:rsidR="00364E51">
        <w:t>)</w:t>
      </w:r>
      <w:r w:rsidR="00364E51" w:rsidRPr="00364E51">
        <w:t>.</w:t>
      </w:r>
    </w:p>
    <w:p w14:paraId="477E41E7" w14:textId="3AF89225" w:rsidR="003660D4" w:rsidRDefault="00CC27E5" w:rsidP="00C929E7">
      <w:pPr>
        <w:pStyle w:val="Style1"/>
      </w:pPr>
      <w:r w:rsidRPr="0040067F">
        <w:t xml:space="preserve">Senāts secina, ka tiesa </w:t>
      </w:r>
      <w:r w:rsidR="003660D4">
        <w:t xml:space="preserve">ir </w:t>
      </w:r>
      <w:r w:rsidRPr="0040067F">
        <w:t xml:space="preserve">pilnā apmērā apmierinājusi </w:t>
      </w:r>
      <w:r w:rsidR="004442B7" w:rsidRPr="0040067F">
        <w:t>pieteicējas lūgto nemantiskā kaitējuma apmēru</w:t>
      </w:r>
      <w:r w:rsidRPr="0040067F">
        <w:t xml:space="preserve">. </w:t>
      </w:r>
      <w:r w:rsidR="003660D4">
        <w:t>To m</w:t>
      </w:r>
      <w:r w:rsidR="004442B7" w:rsidRPr="0040067F">
        <w:t>otivējot</w:t>
      </w:r>
      <w:r w:rsidR="0040067F" w:rsidRPr="0040067F">
        <w:t>,</w:t>
      </w:r>
      <w:r w:rsidR="004442B7" w:rsidRPr="0040067F">
        <w:t xml:space="preserve"> </w:t>
      </w:r>
      <w:r w:rsidR="009544EB" w:rsidRPr="0040067F">
        <w:t>tie</w:t>
      </w:r>
      <w:r w:rsidR="0040067F" w:rsidRPr="0040067F">
        <w:t>sa tikai norādīja, ka atbilstīgs un samērīgs atlīdzinājums ir pieteicējas lūgtais apmērs.</w:t>
      </w:r>
      <w:r w:rsidR="00590242">
        <w:t xml:space="preserve"> </w:t>
      </w:r>
      <w:r w:rsidR="003660D4">
        <w:t>T</w:t>
      </w:r>
      <w:r w:rsidR="00590242">
        <w:t xml:space="preserve">iesa savā </w:t>
      </w:r>
      <w:r w:rsidR="001A42A6">
        <w:t>motivācijā</w:t>
      </w:r>
      <w:r w:rsidR="00590242">
        <w:t xml:space="preserve"> neatklāj to, kādēļ tā uzskatīja, ka pārkāpumi ir nopietni</w:t>
      </w:r>
      <w:r w:rsidR="00E64686">
        <w:t xml:space="preserve"> un</w:t>
      </w:r>
      <w:r w:rsidR="00590242">
        <w:t xml:space="preserve"> konkrēti neidentificēja, kādi apstākļi norāda uz aizskāruma smagumu.</w:t>
      </w:r>
      <w:r w:rsidR="0040067F" w:rsidRPr="0040067F">
        <w:t xml:space="preserve"> </w:t>
      </w:r>
      <w:r w:rsidR="003660D4">
        <w:t>T</w:t>
      </w:r>
      <w:r w:rsidR="0040067F" w:rsidRPr="0040067F">
        <w:t>iesa</w:t>
      </w:r>
      <w:r w:rsidR="00590242">
        <w:t xml:space="preserve"> </w:t>
      </w:r>
      <w:r w:rsidR="00B0728F">
        <w:t xml:space="preserve">nav motivējusi to, kā tā nonāca pie noteiktā apmēra, </w:t>
      </w:r>
      <w:r w:rsidR="001A42A6">
        <w:t xml:space="preserve">un nav </w:t>
      </w:r>
      <w:r w:rsidR="00B0728F">
        <w:t xml:space="preserve">arī norādījusi to, kādēļ tā </w:t>
      </w:r>
      <w:r w:rsidR="001A42A6">
        <w:t>nepiemēroja</w:t>
      </w:r>
      <w:r w:rsidR="00B0728F">
        <w:t xml:space="preserve"> salīdzināšanas metodi, lai nonāktu </w:t>
      </w:r>
      <w:r w:rsidR="00590242">
        <w:t>pie individuāla un taisnīga nemantiskā kaitējuma atlīdzinājuma apmēr</w:t>
      </w:r>
      <w:r w:rsidR="00E64686">
        <w:t>a</w:t>
      </w:r>
      <w:r w:rsidR="00B0728F">
        <w:t>.</w:t>
      </w:r>
      <w:r w:rsidR="00590242">
        <w:t xml:space="preserve"> </w:t>
      </w:r>
    </w:p>
    <w:p w14:paraId="13CB3C73" w14:textId="1B605787" w:rsidR="004442B7" w:rsidRPr="0040067F" w:rsidRDefault="003660D4" w:rsidP="00C929E7">
      <w:pPr>
        <w:pStyle w:val="Style1"/>
      </w:pPr>
      <w:r>
        <w:t xml:space="preserve">Līdz ar to </w:t>
      </w:r>
      <w:r w:rsidR="0099231B">
        <w:t xml:space="preserve">atzīstams, ka </w:t>
      </w:r>
      <w:r w:rsidR="00590242">
        <w:t>tiesas spriedum</w:t>
      </w:r>
      <w:r w:rsidR="0099231B">
        <w:t>ā</w:t>
      </w:r>
      <w:r w:rsidR="00590242">
        <w:t xml:space="preserve"> šajā daļā </w:t>
      </w:r>
      <w:r w:rsidR="0099231B">
        <w:t xml:space="preserve">nav tiesiskā </w:t>
      </w:r>
      <w:r>
        <w:t>pamato</w:t>
      </w:r>
      <w:r w:rsidR="0099231B">
        <w:t xml:space="preserve">juma, tādēļ to nevar atzīt par </w:t>
      </w:r>
      <w:r>
        <w:t>tiesisk</w:t>
      </w:r>
      <w:r w:rsidR="0099231B">
        <w:t>u</w:t>
      </w:r>
      <w:r>
        <w:t xml:space="preserve"> un </w:t>
      </w:r>
      <w:r w:rsidR="0099231B">
        <w:t xml:space="preserve">tas </w:t>
      </w:r>
      <w:r w:rsidR="00590242">
        <w:t>ir atceļams.</w:t>
      </w:r>
      <w:r w:rsidR="00B0728F">
        <w:t xml:space="preserve"> </w:t>
      </w:r>
    </w:p>
    <w:p w14:paraId="1E5E9A54" w14:textId="0C370C60" w:rsidR="00CC27E5" w:rsidRDefault="009544EB" w:rsidP="00C929E7">
      <w:pPr>
        <w:pStyle w:val="Style1"/>
      </w:pPr>
      <w:r>
        <w:t xml:space="preserve">Turklāt </w:t>
      </w:r>
      <w:r w:rsidR="003660D4">
        <w:t>n</w:t>
      </w:r>
      <w:r>
        <w:t>orād</w:t>
      </w:r>
      <w:r w:rsidR="003660D4">
        <w:t>āms</w:t>
      </w:r>
      <w:r>
        <w:t xml:space="preserve">: </w:t>
      </w:r>
      <w:r w:rsidR="00CC27E5" w:rsidRPr="00331CDF">
        <w:t>vispārīg</w:t>
      </w:r>
      <w:r w:rsidR="003660D4">
        <w:t>i</w:t>
      </w:r>
      <w:r w:rsidR="00CC27E5" w:rsidRPr="00331CDF">
        <w:t xml:space="preserve"> tiesai</w:t>
      </w:r>
      <w:r w:rsidR="00F43D9A" w:rsidRPr="00331CDF">
        <w:t>, ja tā nea</w:t>
      </w:r>
      <w:r w:rsidR="003660D4">
        <w:t xml:space="preserve">tzīst par pierādītu </w:t>
      </w:r>
      <w:r w:rsidR="00F43D9A" w:rsidRPr="00331CDF">
        <w:t xml:space="preserve">kādu no </w:t>
      </w:r>
      <w:r>
        <w:t xml:space="preserve">pieteicējas norādītājiem </w:t>
      </w:r>
      <w:r w:rsidRPr="00331CDF">
        <w:t>kaitējumu izraisoš</w:t>
      </w:r>
      <w:r w:rsidR="0099231B">
        <w:t>ajiem iemesliem</w:t>
      </w:r>
      <w:r w:rsidR="00B0728F">
        <w:t>,</w:t>
      </w:r>
      <w:r w:rsidR="00F43D9A" w:rsidRPr="00331CDF">
        <w:t xml:space="preserve"> </w:t>
      </w:r>
      <w:r w:rsidR="00B0728F">
        <w:t>pieteicējas lūgtais apmērs nevarētu tikt apmierināts pilnā apmērā</w:t>
      </w:r>
      <w:r w:rsidR="00590242">
        <w:t>, ja vien kād</w:t>
      </w:r>
      <w:r w:rsidR="005F1385">
        <w:t xml:space="preserve">s no pārkāpumiem </w:t>
      </w:r>
      <w:r w:rsidR="003660D4">
        <w:t xml:space="preserve">nav </w:t>
      </w:r>
      <w:r w:rsidR="005F1385">
        <w:t>tik nopietns, ka pats par sevi ļauj noteikt atlīdzinājumu pieteicējas prasītajā apmērā.</w:t>
      </w:r>
      <w:r w:rsidR="00976FF3">
        <w:t xml:space="preserve"> </w:t>
      </w:r>
      <w:r w:rsidR="0050779D">
        <w:t>Arī š</w:t>
      </w:r>
      <w:r w:rsidR="00976FF3">
        <w:t>ād</w:t>
      </w:r>
      <w:r w:rsidR="0050779D">
        <w:t>ā</w:t>
      </w:r>
      <w:r w:rsidR="00976FF3">
        <w:t xml:space="preserve"> gadījum</w:t>
      </w:r>
      <w:r w:rsidR="0050779D">
        <w:t>ā</w:t>
      </w:r>
      <w:r w:rsidR="00976FF3">
        <w:t xml:space="preserve"> tiesai sava</w:t>
      </w:r>
      <w:r w:rsidR="0050779D">
        <w:t xml:space="preserve"> sprieduma </w:t>
      </w:r>
      <w:r w:rsidR="00976FF3">
        <w:t xml:space="preserve">motivācija jāatklāj </w:t>
      </w:r>
      <w:r w:rsidR="0050779D">
        <w:t>tā</w:t>
      </w:r>
      <w:r w:rsidR="00976FF3">
        <w:t xml:space="preserve"> motīvu daļ</w:t>
      </w:r>
      <w:r w:rsidR="0050779D">
        <w:t>ā</w:t>
      </w:r>
      <w:r w:rsidR="00976FF3">
        <w:t>.</w:t>
      </w:r>
    </w:p>
    <w:p w14:paraId="1A9EF807" w14:textId="77777777" w:rsidR="004D62B7" w:rsidRDefault="004D62B7" w:rsidP="00C929E7">
      <w:pPr>
        <w:pStyle w:val="Style1"/>
      </w:pPr>
    </w:p>
    <w:p w14:paraId="2B6E28F0" w14:textId="329D26EC" w:rsidR="004D62B7" w:rsidRPr="00331CDF" w:rsidRDefault="004D62B7" w:rsidP="00C929E7">
      <w:pPr>
        <w:pStyle w:val="Style1"/>
      </w:pPr>
      <w:r w:rsidRPr="00331CDF">
        <w:t>[1</w:t>
      </w:r>
      <w:r w:rsidR="00A033FD">
        <w:t>6</w:t>
      </w:r>
      <w:r w:rsidRPr="00331CDF">
        <w:t>] </w:t>
      </w:r>
      <w:r>
        <w:t xml:space="preserve">Lai gan iepriekš minētais vien ir iemesls </w:t>
      </w:r>
      <w:r w:rsidR="0050779D">
        <w:t xml:space="preserve">pārsūdzētā </w:t>
      </w:r>
      <w:r>
        <w:t xml:space="preserve">sprieduma atcelšanai, Senāts </w:t>
      </w:r>
      <w:r w:rsidR="003660D4">
        <w:t>atbildēs</w:t>
      </w:r>
      <w:r>
        <w:t xml:space="preserve"> arī </w:t>
      </w:r>
      <w:r w:rsidR="003660D4">
        <w:t xml:space="preserve">uz </w:t>
      </w:r>
      <w:r>
        <w:t>pārēj</w:t>
      </w:r>
      <w:r w:rsidR="003660D4">
        <w:t>iem</w:t>
      </w:r>
      <w:r>
        <w:t xml:space="preserve"> Ģenerālprokuratūras kasācijas sūdzībā norādīt</w:t>
      </w:r>
      <w:r w:rsidR="003660D4">
        <w:t xml:space="preserve">ajiem </w:t>
      </w:r>
      <w:r>
        <w:t>argument</w:t>
      </w:r>
      <w:r w:rsidR="003660D4">
        <w:t>iem</w:t>
      </w:r>
      <w:r>
        <w:t xml:space="preserve">. </w:t>
      </w:r>
    </w:p>
    <w:p w14:paraId="35687E50" w14:textId="77777777" w:rsidR="00EE1D0A" w:rsidRPr="00331CDF" w:rsidRDefault="00EE1D0A" w:rsidP="00C929E7">
      <w:pPr>
        <w:pStyle w:val="Style1"/>
      </w:pPr>
    </w:p>
    <w:p w14:paraId="68E719C4" w14:textId="6F3E0CF8" w:rsidR="00590242" w:rsidRDefault="00D15F29" w:rsidP="00C929E7">
      <w:pPr>
        <w:pStyle w:val="Style1"/>
      </w:pPr>
      <w:r w:rsidRPr="00331CDF">
        <w:t>[1</w:t>
      </w:r>
      <w:r w:rsidR="00A033FD">
        <w:t>7</w:t>
      </w:r>
      <w:r w:rsidR="00F702FA" w:rsidRPr="00331CDF">
        <w:t>] </w:t>
      </w:r>
      <w:r w:rsidR="00590242">
        <w:t>Ģenerālprokuratūra argumentē, ka tiesa nepamatoti atzinusi, ka</w:t>
      </w:r>
      <w:r w:rsidR="007902A7" w:rsidRPr="007902A7">
        <w:t xml:space="preserve"> </w:t>
      </w:r>
      <w:r w:rsidR="007902A7">
        <w:t>piete</w:t>
      </w:r>
      <w:r w:rsidR="00FA576C">
        <w:t>i</w:t>
      </w:r>
      <w:r w:rsidR="007902A7">
        <w:t>cēj</w:t>
      </w:r>
      <w:r w:rsidR="003660D4">
        <w:t>a</w:t>
      </w:r>
      <w:r w:rsidR="007902A7">
        <w:t xml:space="preserve">s kā zvērinātas advokātes statuss </w:t>
      </w:r>
      <w:r w:rsidR="001A42A6">
        <w:t>var būt</w:t>
      </w:r>
      <w:r w:rsidR="007902A7">
        <w:t xml:space="preserve"> cēloniskā sakarībā ar nemantisko kaitējumu </w:t>
      </w:r>
      <w:r w:rsidR="007902A7" w:rsidRPr="0021723E">
        <w:t>un tā intensitāti</w:t>
      </w:r>
      <w:r w:rsidR="006D153E">
        <w:t>. T</w:t>
      </w:r>
      <w:r w:rsidR="007902A7">
        <w:t>urklāt tiesa</w:t>
      </w:r>
      <w:r w:rsidR="00D516D3">
        <w:t xml:space="preserve"> esot</w:t>
      </w:r>
      <w:r w:rsidR="007902A7">
        <w:t xml:space="preserve"> pārkāpusi Administratīvā procesa likuma 6.pantā ietvert</w:t>
      </w:r>
      <w:r w:rsidR="00D516D3">
        <w:t>o</w:t>
      </w:r>
      <w:r w:rsidR="007902A7">
        <w:t xml:space="preserve"> vienlīdzības princip</w:t>
      </w:r>
      <w:r w:rsidR="00D516D3">
        <w:t>u</w:t>
      </w:r>
      <w:r w:rsidR="007902A7">
        <w:t xml:space="preserve">, </w:t>
      </w:r>
      <w:r w:rsidR="00D516D3">
        <w:t>atbilstoši kuram</w:t>
      </w:r>
      <w:r w:rsidR="007902A7">
        <w:t xml:space="preserve"> iestādei un tiesai lēmumi ir jāpieņem neatkarīgi no personas sociālās izcelšanās, izglītības, sociālā un mantiskā stāvokļa, nodarbošanās veida</w:t>
      </w:r>
      <w:r w:rsidR="006D153E">
        <w:t xml:space="preserve">, proti, tiesa nevar kā par pārkāpuma nopietnību pastiprinošu apstākli ņemt vērā to, ka persona ir </w:t>
      </w:r>
      <w:r w:rsidR="0021723E">
        <w:t xml:space="preserve">zvērināts </w:t>
      </w:r>
      <w:r w:rsidR="006D153E">
        <w:t>advokāts</w:t>
      </w:r>
      <w:r w:rsidR="007902A7">
        <w:t>.</w:t>
      </w:r>
    </w:p>
    <w:p w14:paraId="7D5DF806" w14:textId="2A049645" w:rsidR="00590242" w:rsidRDefault="00595597" w:rsidP="00C929E7">
      <w:pPr>
        <w:pStyle w:val="Style1"/>
      </w:pPr>
      <w:r w:rsidRPr="00331CDF">
        <w:t>Senāts piekrīt</w:t>
      </w:r>
      <w:r w:rsidR="00980114" w:rsidRPr="00331CDF">
        <w:t xml:space="preserve"> tiesai, ka </w:t>
      </w:r>
      <w:r w:rsidR="0021723E">
        <w:t xml:space="preserve">zvērināta </w:t>
      </w:r>
      <w:r w:rsidR="00980114" w:rsidRPr="00331CDF">
        <w:t>advokāta aizturēšana ir īpašs gadījums, kas prasa papildu garantijas.</w:t>
      </w:r>
      <w:r w:rsidR="00F43D9A" w:rsidRPr="00331CDF">
        <w:t xml:space="preserve"> </w:t>
      </w:r>
      <w:r w:rsidR="00590242" w:rsidRPr="00331CDF">
        <w:t xml:space="preserve">Taču Senāts </w:t>
      </w:r>
      <w:r w:rsidR="00FA576C">
        <w:t xml:space="preserve">tālāk norādīto </w:t>
      </w:r>
      <w:r w:rsidR="006E20DB">
        <w:t>ap</w:t>
      </w:r>
      <w:r w:rsidR="00FA576C">
        <w:t>svērumu dēļ atzīst</w:t>
      </w:r>
      <w:r w:rsidR="00590242" w:rsidRPr="00331CDF">
        <w:t xml:space="preserve">, ka tiesa </w:t>
      </w:r>
      <w:r w:rsidR="00D516D3">
        <w:t xml:space="preserve">konkrētajā gadījumā </w:t>
      </w:r>
      <w:r w:rsidR="00590242" w:rsidRPr="00331CDF">
        <w:t xml:space="preserve">nepareizi </w:t>
      </w:r>
      <w:r w:rsidR="0050779D">
        <w:t>iz</w:t>
      </w:r>
      <w:r w:rsidR="00FA576C" w:rsidRPr="0050779D">
        <w:t>vērtēja</w:t>
      </w:r>
      <w:r w:rsidR="00590242" w:rsidRPr="00331CDF">
        <w:t xml:space="preserve"> </w:t>
      </w:r>
      <w:r w:rsidR="008F7DBB">
        <w:t xml:space="preserve">šo </w:t>
      </w:r>
      <w:r w:rsidR="00590242" w:rsidRPr="00331CDF">
        <w:t xml:space="preserve">jautājumu. </w:t>
      </w:r>
    </w:p>
    <w:p w14:paraId="69ACF480" w14:textId="77777777" w:rsidR="00FA576C" w:rsidRDefault="00FA576C" w:rsidP="00C929E7">
      <w:pPr>
        <w:pStyle w:val="Style1"/>
      </w:pPr>
    </w:p>
    <w:p w14:paraId="3E17DC9E" w14:textId="1123EFDB" w:rsidR="00116C5F" w:rsidRDefault="00FA576C" w:rsidP="00C929E7">
      <w:pPr>
        <w:pStyle w:val="Style1"/>
      </w:pPr>
      <w:r>
        <w:t>[1</w:t>
      </w:r>
      <w:r w:rsidR="00A033FD">
        <w:t>8</w:t>
      </w:r>
      <w:r>
        <w:t>]</w:t>
      </w:r>
      <w:r w:rsidR="00CA761A">
        <w:t> </w:t>
      </w:r>
      <w:r w:rsidR="006D153E" w:rsidRPr="00C6151C">
        <w:t>Eiropas Padomes Konvencij</w:t>
      </w:r>
      <w:r>
        <w:t>as</w:t>
      </w:r>
      <w:r w:rsidR="006D153E" w:rsidRPr="00C6151C">
        <w:t xml:space="preserve"> par advokāta profesijas aizsardzību</w:t>
      </w:r>
      <w:r>
        <w:t xml:space="preserve"> </w:t>
      </w:r>
      <w:r w:rsidR="00B50FA4">
        <w:t>(</w:t>
      </w:r>
      <w:hyperlink r:id="rId19" w:history="1">
        <w:r w:rsidR="00085CB2" w:rsidRPr="00534124">
          <w:rPr>
            <w:rStyle w:val="Hyperlink"/>
            <w:i/>
            <w:iCs/>
          </w:rPr>
          <w:t>parakstī</w:t>
        </w:r>
        <w:r w:rsidR="00E177C1">
          <w:rPr>
            <w:rStyle w:val="Hyperlink"/>
            <w:i/>
            <w:iCs/>
          </w:rPr>
          <w:t>ta</w:t>
        </w:r>
        <w:r w:rsidR="00085CB2" w:rsidRPr="00534124">
          <w:rPr>
            <w:rStyle w:val="Hyperlink"/>
            <w:i/>
            <w:iCs/>
          </w:rPr>
          <w:t xml:space="preserve"> 2025.gada 23.oktobrī</w:t>
        </w:r>
      </w:hyperlink>
      <w:r w:rsidR="0050779D">
        <w:t>)</w:t>
      </w:r>
      <w:r w:rsidR="006D153E">
        <w:t xml:space="preserve"> preambulā norādīts, ka viens no š</w:t>
      </w:r>
      <w:r>
        <w:t>ā</w:t>
      </w:r>
      <w:r w:rsidR="006D153E">
        <w:t xml:space="preserve"> starptautiskā līguma izstrādi un pieņemšanu motivējošajiem apstākļiem ir lielas bažas</w:t>
      </w:r>
      <w:r w:rsidR="001A42A6">
        <w:t>,</w:t>
      </w:r>
      <w:r w:rsidR="00E25CAD">
        <w:t xml:space="preserve"> </w:t>
      </w:r>
      <w:r w:rsidR="006D153E" w:rsidRPr="00C6151C">
        <w:t>ka advokāti savas profesionālās darbības dēļ arvien biežāk tiek pakļauti uzbrukumiem, draudiem, vajāšanai un iebiedēšanai, kā arī savas profesionālās darbības veikšanas laikā viņi tiek nepamatoti traucēti vai piedzīvo iejaukšanos savā profesionālajā darbībā</w:t>
      </w:r>
      <w:r w:rsidR="006D153E">
        <w:t xml:space="preserve"> (sk.</w:t>
      </w:r>
      <w:r w:rsidR="00CA761A">
        <w:t> </w:t>
      </w:r>
      <w:hyperlink r:id="rId20" w:history="1">
        <w:r w:rsidR="006D153E" w:rsidRPr="00C6151C">
          <w:rPr>
            <w:rStyle w:val="Hyperlink"/>
            <w:i/>
            <w:iCs/>
          </w:rPr>
          <w:t>tulkojumu latviešu valodā</w:t>
        </w:r>
      </w:hyperlink>
      <w:r w:rsidR="006D153E">
        <w:t xml:space="preserve">). </w:t>
      </w:r>
      <w:r w:rsidR="00F43D9A" w:rsidRPr="00331CDF">
        <w:t>Eiropas Cilvēktiesību tiesa</w:t>
      </w:r>
      <w:r w:rsidR="00E64686">
        <w:t>,</w:t>
      </w:r>
      <w:r w:rsidR="00F43D9A" w:rsidRPr="00331CDF">
        <w:t xml:space="preserve"> </w:t>
      </w:r>
      <w:r w:rsidR="008D5AEF">
        <w:t xml:space="preserve">izskatot sūdzību par kratīšanu juridiskās palīdzības sniedzēju mājoklī, ir norādījusi, ka </w:t>
      </w:r>
      <w:r w:rsidR="00DA1DF3">
        <w:t xml:space="preserve">juridisko profesiju pārstāvju vajāšana un </w:t>
      </w:r>
      <w:r w:rsidR="00DB7F83">
        <w:t>aizskaršana</w:t>
      </w:r>
      <w:r w:rsidR="0050779D">
        <w:t xml:space="preserve"> </w:t>
      </w:r>
      <w:r w:rsidR="00DA1DF3">
        <w:t xml:space="preserve">ir pretrunā </w:t>
      </w:r>
      <w:r w:rsidR="0080442E">
        <w:t>Eiropas Cilvēktiesību k</w:t>
      </w:r>
      <w:r w:rsidR="00DA1DF3" w:rsidRPr="00534124">
        <w:t xml:space="preserve">onvencijas </w:t>
      </w:r>
      <w:r w:rsidR="00DA1DF3">
        <w:t>sistēmas pamatprincipiem. Tāpēc advokātu dzīvesvietu vai biroju kratīšanas ir jāpakļauj īpaši stingrai pārbaudei. Lai noteiktu, vai</w:t>
      </w:r>
      <w:r w:rsidR="006D153E">
        <w:t xml:space="preserve"> šādi</w:t>
      </w:r>
      <w:r w:rsidR="00DA1DF3">
        <w:t xml:space="preserve"> pasākumi </w:t>
      </w:r>
      <w:r w:rsidR="0050779D">
        <w:t>ir</w:t>
      </w:r>
      <w:r w:rsidR="00DA1DF3">
        <w:t xml:space="preserve"> nepieciešami demokrātiskā sabiedrībā, </w:t>
      </w:r>
      <w:r>
        <w:t>t</w:t>
      </w:r>
      <w:r w:rsidR="00DA1DF3">
        <w:t xml:space="preserve">iesai ir jāpārliecinās, vai valsts tiesību aktos </w:t>
      </w:r>
      <w:r w:rsidR="0050779D">
        <w:t>ir</w:t>
      </w:r>
      <w:r w:rsidR="00DA1DF3">
        <w:t xml:space="preserve"> paredzēti efektīvi aizsardzības pasākumi pret</w:t>
      </w:r>
      <w:r w:rsidR="006D153E">
        <w:t xml:space="preserve"> varas</w:t>
      </w:r>
      <w:r w:rsidR="00DA1DF3">
        <w:t xml:space="preserve"> ļaunprātīgu izmantošanu vai patvaļu un kā šie aizsardzības pasākumi darboj</w:t>
      </w:r>
      <w:r w:rsidR="00AF4D60">
        <w:t>ā</w:t>
      </w:r>
      <w:r w:rsidR="00DA1DF3">
        <w:t>s konkrētajos izskatāmajos gadījumos (</w:t>
      </w:r>
      <w:r w:rsidR="00DA1DF3" w:rsidRPr="00DA1DF3">
        <w:rPr>
          <w:i/>
          <w:iCs/>
        </w:rPr>
        <w:t>Eiropas Cilvēktiesību tiesas 2022.gada 13.oktobra spriedum</w:t>
      </w:r>
      <w:r w:rsidR="00EC1D2F">
        <w:rPr>
          <w:i/>
          <w:iCs/>
        </w:rPr>
        <w:t>a</w:t>
      </w:r>
      <w:r w:rsidR="00DA1DF3" w:rsidRPr="00DA1DF3">
        <w:rPr>
          <w:i/>
          <w:iCs/>
        </w:rPr>
        <w:t xml:space="preserve"> lietā </w:t>
      </w:r>
      <w:r w:rsidR="000A2FA1">
        <w:rPr>
          <w:i/>
          <w:iCs/>
        </w:rPr>
        <w:t>„</w:t>
      </w:r>
      <w:r w:rsidR="00DA1DF3" w:rsidRPr="00DA1DF3">
        <w:rPr>
          <w:i/>
          <w:iCs/>
        </w:rPr>
        <w:t>Agora un citi pret Krieviju</w:t>
      </w:r>
      <w:r w:rsidR="00EC1D2F">
        <w:rPr>
          <w:i/>
          <w:iCs/>
        </w:rPr>
        <w:t>”,</w:t>
      </w:r>
      <w:r w:rsidR="00DA1DF3" w:rsidRPr="00DA1DF3">
        <w:rPr>
          <w:i/>
          <w:iCs/>
        </w:rPr>
        <w:t xml:space="preserve"> iesniegum</w:t>
      </w:r>
      <w:r w:rsidR="00EC1D2F">
        <w:rPr>
          <w:i/>
          <w:iCs/>
        </w:rPr>
        <w:t>s</w:t>
      </w:r>
      <w:r w:rsidR="00DA1DF3" w:rsidRPr="00DA1DF3">
        <w:rPr>
          <w:i/>
          <w:iCs/>
        </w:rPr>
        <w:t xml:space="preserve"> Nr.</w:t>
      </w:r>
      <w:r w:rsidR="00EC1D2F">
        <w:rPr>
          <w:i/>
          <w:iCs/>
        </w:rPr>
        <w:t> </w:t>
      </w:r>
      <w:hyperlink r:id="rId21" w:history="1">
        <w:r w:rsidR="00DA1DF3" w:rsidRPr="00EC1D2F">
          <w:rPr>
            <w:rStyle w:val="Hyperlink"/>
            <w:i/>
            <w:iCs/>
          </w:rPr>
          <w:t>28539/10</w:t>
        </w:r>
      </w:hyperlink>
      <w:r w:rsidR="00DA1DF3" w:rsidRPr="00DA1DF3">
        <w:rPr>
          <w:i/>
          <w:iCs/>
        </w:rPr>
        <w:t xml:space="preserve"> un divi citi</w:t>
      </w:r>
      <w:r w:rsidR="00EC1D2F">
        <w:rPr>
          <w:i/>
          <w:iCs/>
        </w:rPr>
        <w:t>,</w:t>
      </w:r>
      <w:r w:rsidR="00DA1DF3" w:rsidRPr="00DA1DF3">
        <w:rPr>
          <w:i/>
          <w:iCs/>
        </w:rPr>
        <w:t xml:space="preserve"> 8.punkts</w:t>
      </w:r>
      <w:r w:rsidR="00DA1DF3">
        <w:t>)</w:t>
      </w:r>
      <w:r w:rsidR="008D5AEF">
        <w:t xml:space="preserve">. </w:t>
      </w:r>
      <w:r w:rsidR="00116C5F">
        <w:t>Tātad gadījum</w:t>
      </w:r>
      <w:r w:rsidR="00E64686">
        <w:t>i, kuros</w:t>
      </w:r>
      <w:r w:rsidR="00116C5F">
        <w:t xml:space="preserve"> kriminālprocesuālie pasākumi tiek vērsti pret advokāt</w:t>
      </w:r>
      <w:r w:rsidR="00AF4D60">
        <w:t>u</w:t>
      </w:r>
      <w:r w:rsidR="00E64686">
        <w:t>,</w:t>
      </w:r>
      <w:r w:rsidR="00116C5F">
        <w:t xml:space="preserve"> prasa uzturēt īpašas garantijas, kas pielāgotas juridiskās palīdzības sniegšanas būtībai, kā arī rūpīgi pārbaudīt to, vai</w:t>
      </w:r>
      <w:r w:rsidR="001A42A6">
        <w:t xml:space="preserve"> tiek ievērots viņu īpašas uzticības personas status</w:t>
      </w:r>
      <w:r>
        <w:t>s</w:t>
      </w:r>
      <w:r w:rsidR="001A42A6">
        <w:t xml:space="preserve"> un</w:t>
      </w:r>
      <w:r w:rsidR="00116C5F">
        <w:t xml:space="preserve"> nenotiek vēršanās pret advokātiem viņu </w:t>
      </w:r>
      <w:r w:rsidR="00E64686">
        <w:t>profesionālās</w:t>
      </w:r>
      <w:r w:rsidR="00116C5F">
        <w:t xml:space="preserve"> darbības dēļ.</w:t>
      </w:r>
    </w:p>
    <w:p w14:paraId="2C06E151" w14:textId="4A7316C4" w:rsidR="00980114" w:rsidRPr="00331CDF" w:rsidRDefault="00590242" w:rsidP="00C929E7">
      <w:pPr>
        <w:pStyle w:val="Style1"/>
      </w:pPr>
      <w:r>
        <w:t>P</w:t>
      </w:r>
      <w:r w:rsidR="00980114" w:rsidRPr="00331CDF">
        <w:t>ārkāpuma smagumu nepalielina personas profesionālā darbība vai sociālais statuss</w:t>
      </w:r>
      <w:r w:rsidR="00433ABF">
        <w:t xml:space="preserve"> kā tāds</w:t>
      </w:r>
      <w:r w:rsidR="008F7DBB">
        <w:t xml:space="preserve">. Turklāt </w:t>
      </w:r>
      <w:r w:rsidR="00980114" w:rsidRPr="00331CDF">
        <w:t>nav šaubu, ka arī advokāts var izdarīt noziedzīgus nodarījumus</w:t>
      </w:r>
      <w:r w:rsidR="00C808AD">
        <w:t xml:space="preserve"> (sk.</w:t>
      </w:r>
      <w:r w:rsidR="00CA761A">
        <w:t> </w:t>
      </w:r>
      <w:r w:rsidR="00C808AD">
        <w:t>piem</w:t>
      </w:r>
      <w:r w:rsidR="00590CC9">
        <w:t>ēram</w:t>
      </w:r>
      <w:r w:rsidR="00C808AD">
        <w:t>,</w:t>
      </w:r>
      <w:r w:rsidR="00481893">
        <w:t xml:space="preserve"> </w:t>
      </w:r>
      <w:r w:rsidR="00C808AD" w:rsidRPr="00C808AD">
        <w:rPr>
          <w:i/>
          <w:iCs/>
        </w:rPr>
        <w:t xml:space="preserve">Kanādas Finanšu darījumu un ziņojumu analīzes centra </w:t>
      </w:r>
      <w:r w:rsidR="000A2FA1">
        <w:rPr>
          <w:i/>
          <w:iCs/>
        </w:rPr>
        <w:t>„</w:t>
      </w:r>
      <w:r w:rsidR="00C808AD" w:rsidRPr="00C808AD">
        <w:rPr>
          <w:i/>
          <w:iCs/>
        </w:rPr>
        <w:t>Īpaš</w:t>
      </w:r>
      <w:r w:rsidR="00481893">
        <w:rPr>
          <w:i/>
          <w:iCs/>
        </w:rPr>
        <w:t>o</w:t>
      </w:r>
      <w:r w:rsidR="00C808AD" w:rsidRPr="00C808AD">
        <w:rPr>
          <w:i/>
          <w:iCs/>
        </w:rPr>
        <w:t xml:space="preserve"> paziņojum</w:t>
      </w:r>
      <w:r w:rsidR="00481893">
        <w:rPr>
          <w:i/>
          <w:iCs/>
        </w:rPr>
        <w:t>u</w:t>
      </w:r>
      <w:r w:rsidR="00C808AD" w:rsidRPr="00C808AD">
        <w:rPr>
          <w:i/>
          <w:iCs/>
        </w:rPr>
        <w:t xml:space="preserve"> par jurist</w:t>
      </w:r>
      <w:r w:rsidR="001A4CCE">
        <w:rPr>
          <w:i/>
          <w:iCs/>
        </w:rPr>
        <w:t>u</w:t>
      </w:r>
      <w:r w:rsidR="00C808AD" w:rsidRPr="00C808AD">
        <w:rPr>
          <w:i/>
          <w:iCs/>
        </w:rPr>
        <w:t xml:space="preserve"> izmantošanu naudas atmazgāšan</w:t>
      </w:r>
      <w:r w:rsidR="001A4CCE">
        <w:rPr>
          <w:i/>
          <w:iCs/>
        </w:rPr>
        <w:t>as</w:t>
      </w:r>
      <w:r w:rsidR="00C808AD" w:rsidRPr="00C808AD">
        <w:rPr>
          <w:i/>
          <w:iCs/>
        </w:rPr>
        <w:t xml:space="preserve"> un sankcij</w:t>
      </w:r>
      <w:r w:rsidR="001962C5">
        <w:rPr>
          <w:i/>
          <w:iCs/>
        </w:rPr>
        <w:t>u apiešan</w:t>
      </w:r>
      <w:r w:rsidR="001A4CCE">
        <w:rPr>
          <w:i/>
          <w:iCs/>
        </w:rPr>
        <w:t>as nolūkiem</w:t>
      </w:r>
      <w:r w:rsidR="00C808AD" w:rsidRPr="00C808AD">
        <w:rPr>
          <w:i/>
          <w:iCs/>
        </w:rPr>
        <w:t>”</w:t>
      </w:r>
      <w:r w:rsidR="00FA576C">
        <w:rPr>
          <w:i/>
          <w:iCs/>
        </w:rPr>
        <w:t>,</w:t>
      </w:r>
      <w:r w:rsidR="00C808AD" w:rsidRPr="00C808AD">
        <w:rPr>
          <w:i/>
          <w:iCs/>
        </w:rPr>
        <w:t xml:space="preserve"> pieejams</w:t>
      </w:r>
      <w:r w:rsidR="00E177C1">
        <w:rPr>
          <w:i/>
          <w:iCs/>
        </w:rPr>
        <w:t xml:space="preserve"> (angļu valodā)</w:t>
      </w:r>
      <w:r w:rsidR="00976FF3">
        <w:rPr>
          <w:i/>
          <w:iCs/>
        </w:rPr>
        <w:t xml:space="preserve"> </w:t>
      </w:r>
      <w:hyperlink r:id="rId22" w:history="1">
        <w:r w:rsidR="00976FF3" w:rsidRPr="00A214AB">
          <w:rPr>
            <w:rStyle w:val="Hyperlink"/>
            <w:i/>
            <w:iCs/>
          </w:rPr>
          <w:t>https://fintrac-canafe.canada.ca/intel/bulletins/legal-juridique-eng.pdf</w:t>
        </w:r>
      </w:hyperlink>
      <w:r w:rsidR="00C808AD" w:rsidRPr="00FA576C">
        <w:rPr>
          <w:i/>
          <w:iCs/>
        </w:rPr>
        <w:t>;</w:t>
      </w:r>
      <w:r w:rsidR="00481893">
        <w:t xml:space="preserve"> </w:t>
      </w:r>
      <w:r w:rsidR="00481893" w:rsidRPr="00481893">
        <w:rPr>
          <w:i/>
          <w:iCs/>
        </w:rPr>
        <w:t>Eiropas Padomes MONEYVAL 2021.gada ziņojum</w:t>
      </w:r>
      <w:r w:rsidR="00481893">
        <w:rPr>
          <w:i/>
          <w:iCs/>
        </w:rPr>
        <w:t>a</w:t>
      </w:r>
      <w:r w:rsidR="00481893" w:rsidRPr="00481893">
        <w:rPr>
          <w:i/>
          <w:iCs/>
        </w:rPr>
        <w:t xml:space="preserve"> 6.</w:t>
      </w:r>
      <w:r w:rsidR="00481893">
        <w:rPr>
          <w:i/>
          <w:iCs/>
        </w:rPr>
        <w:t>, 12. un 13.</w:t>
      </w:r>
      <w:r w:rsidR="00481893" w:rsidRPr="00481893">
        <w:rPr>
          <w:i/>
          <w:iCs/>
        </w:rPr>
        <w:t>lpp</w:t>
      </w:r>
      <w:r w:rsidR="00FA576C">
        <w:rPr>
          <w:i/>
          <w:iCs/>
        </w:rPr>
        <w:t>.,</w:t>
      </w:r>
      <w:r w:rsidR="00481893" w:rsidRPr="00481893">
        <w:rPr>
          <w:i/>
          <w:iCs/>
        </w:rPr>
        <w:t xml:space="preserve"> pieejams</w:t>
      </w:r>
      <w:r w:rsidR="00E177C1">
        <w:rPr>
          <w:i/>
          <w:iCs/>
        </w:rPr>
        <w:t xml:space="preserve"> (angļu valodā)</w:t>
      </w:r>
      <w:r w:rsidR="00976FF3">
        <w:rPr>
          <w:i/>
          <w:iCs/>
        </w:rPr>
        <w:t xml:space="preserve"> </w:t>
      </w:r>
      <w:hyperlink r:id="rId23" w:history="1">
        <w:r w:rsidR="00976FF3" w:rsidRPr="00A214AB">
          <w:rPr>
            <w:rStyle w:val="Hyperlink"/>
            <w:i/>
            <w:iCs/>
          </w:rPr>
          <w:t>https://edoc.coe.int/en/module/ec_addformat/download?cle=d7da8f9d99e5ed3ac7ab00568ae36915&amp;k=cd83526714034e32f1bd71b914455143</w:t>
        </w:r>
      </w:hyperlink>
      <w:r w:rsidR="00481893">
        <w:t xml:space="preserve">; </w:t>
      </w:r>
      <w:r w:rsidR="00C808AD" w:rsidRPr="00C808AD">
        <w:rPr>
          <w:i/>
          <w:iCs/>
        </w:rPr>
        <w:t>Finanšu darījumu darba grupa</w:t>
      </w:r>
      <w:r w:rsidR="00481893">
        <w:rPr>
          <w:i/>
          <w:iCs/>
        </w:rPr>
        <w:t>s</w:t>
      </w:r>
      <w:r w:rsidR="00C808AD" w:rsidRPr="00C808AD">
        <w:rPr>
          <w:i/>
          <w:iCs/>
        </w:rPr>
        <w:t xml:space="preserve"> </w:t>
      </w:r>
      <w:r w:rsidR="00FA576C" w:rsidRPr="00534124">
        <w:rPr>
          <w:i/>
          <w:iCs/>
        </w:rPr>
        <w:t>ziņojuma</w:t>
      </w:r>
      <w:r w:rsidR="00FA576C">
        <w:rPr>
          <w:i/>
          <w:iCs/>
        </w:rPr>
        <w:t xml:space="preserve"> </w:t>
      </w:r>
      <w:r w:rsidR="000A2FA1">
        <w:rPr>
          <w:i/>
          <w:iCs/>
        </w:rPr>
        <w:t>„</w:t>
      </w:r>
      <w:r w:rsidR="00C808AD" w:rsidRPr="00C808AD">
        <w:rPr>
          <w:i/>
          <w:iCs/>
        </w:rPr>
        <w:t>Patieso labuma guvēju slēpšana” 50.</w:t>
      </w:r>
      <w:r w:rsidR="00FA576C">
        <w:rPr>
          <w:i/>
          <w:iCs/>
        </w:rPr>
        <w:t>–</w:t>
      </w:r>
      <w:r w:rsidR="00C808AD" w:rsidRPr="00C808AD">
        <w:rPr>
          <w:i/>
          <w:iCs/>
        </w:rPr>
        <w:t>52.lpp</w:t>
      </w:r>
      <w:r w:rsidR="00FA576C">
        <w:rPr>
          <w:i/>
          <w:iCs/>
        </w:rPr>
        <w:t xml:space="preserve">., </w:t>
      </w:r>
      <w:r w:rsidR="00C808AD" w:rsidRPr="00C808AD">
        <w:rPr>
          <w:i/>
          <w:iCs/>
        </w:rPr>
        <w:t>pieejams</w:t>
      </w:r>
      <w:r w:rsidR="00E177C1">
        <w:rPr>
          <w:i/>
          <w:iCs/>
        </w:rPr>
        <w:t xml:space="preserve"> (angļu valodā) </w:t>
      </w:r>
      <w:r w:rsidR="00C808AD" w:rsidRPr="00C808AD">
        <w:rPr>
          <w:i/>
          <w:iCs/>
        </w:rPr>
        <w:t> </w:t>
      </w:r>
      <w:hyperlink r:id="rId24" w:history="1">
        <w:r w:rsidR="00976FF3" w:rsidRPr="00A214AB">
          <w:rPr>
            <w:rStyle w:val="Hyperlink"/>
            <w:i/>
            <w:iCs/>
          </w:rPr>
          <w:t>https://www.fatf-gafi.org/content/dam/fatf-gafi/reports/FATF-Egmont-Concealment-beneficial-ownership.pdf</w:t>
        </w:r>
      </w:hyperlink>
      <w:r w:rsidR="00C808AD">
        <w:t>)</w:t>
      </w:r>
      <w:r w:rsidR="00116C5F">
        <w:t>. Pārkāpuma smagumu veido apstāklis, ka</w:t>
      </w:r>
      <w:r w:rsidR="00980114" w:rsidRPr="00331CDF">
        <w:t xml:space="preserve"> pret advokātu tiek vērstas procesuālās darbības ar mērķi ietekmēt viņu vai viņa vai viņas tuvākos, partnerus, klientus vai saistītos cilvēkus, </w:t>
      </w:r>
      <w:r w:rsidR="00116C5F">
        <w:t>vai</w:t>
      </w:r>
      <w:r w:rsidR="00980114" w:rsidRPr="00331CDF">
        <w:t xml:space="preserve"> lai atriebtos par viņa vai viņas profesionālo </w:t>
      </w:r>
      <w:r w:rsidR="009543E9">
        <w:t>darbību</w:t>
      </w:r>
      <w:r w:rsidR="00980114" w:rsidRPr="00331CDF">
        <w:t xml:space="preserve">. </w:t>
      </w:r>
      <w:r w:rsidR="00980114" w:rsidRPr="00433ABF">
        <w:t>Tomēr</w:t>
      </w:r>
      <w:r w:rsidR="00980114" w:rsidRPr="00331CDF">
        <w:t xml:space="preserve"> par pierādījumu šādam procesa virzītāja motīvam nevar kalpot tikai fakts, ka apsūdzība izrādās nepamatota vai kriminālprocess izbeigts uz reabilitējoša pamata kādu citu iemeslu dēļ. </w:t>
      </w:r>
    </w:p>
    <w:p w14:paraId="7641FB95" w14:textId="3047530B" w:rsidR="001A4CCE" w:rsidRDefault="001A4CCE" w:rsidP="00C929E7">
      <w:pPr>
        <w:pStyle w:val="Style1"/>
      </w:pPr>
      <w:r w:rsidRPr="001A4CCE">
        <w:t>Procesa virzītāj</w:t>
      </w:r>
      <w:r w:rsidR="00F26931">
        <w:t>a</w:t>
      </w:r>
      <w:r w:rsidRPr="001A4CCE">
        <w:t>m</w:t>
      </w:r>
      <w:r w:rsidR="00F26931" w:rsidRPr="00F26931">
        <w:t xml:space="preserve"> </w:t>
      </w:r>
      <w:r w:rsidR="00F26931" w:rsidRPr="001A4CCE">
        <w:t>ir jābūt iespējai aizturēt, kratīt un pratināt advokātu</w:t>
      </w:r>
      <w:r w:rsidRPr="001A4CCE">
        <w:t>, ja</w:t>
      </w:r>
      <w:r w:rsidR="00980114" w:rsidRPr="001A4CCE">
        <w:t xml:space="preserve"> lietas materiāl</w:t>
      </w:r>
      <w:r w:rsidR="00B134F3">
        <w:t>u saturs</w:t>
      </w:r>
      <w:r w:rsidR="00980114" w:rsidRPr="001A4CCE">
        <w:t xml:space="preserve"> brīdī</w:t>
      </w:r>
      <w:r w:rsidR="009543E9">
        <w:t>,</w:t>
      </w:r>
      <w:r w:rsidR="00980114" w:rsidRPr="001A4CCE">
        <w:t xml:space="preserve"> kad </w:t>
      </w:r>
      <w:r w:rsidR="007C420F" w:rsidRPr="001A4CCE">
        <w:t>procesuālā darbība pret advokātu</w:t>
      </w:r>
      <w:r w:rsidR="00F26931">
        <w:t xml:space="preserve"> ir veicama</w:t>
      </w:r>
      <w:r w:rsidR="007C420F" w:rsidRPr="001A4CCE">
        <w:t>,</w:t>
      </w:r>
      <w:r w:rsidR="00980114" w:rsidRPr="001A4CCE">
        <w:t xml:space="preserve"> </w:t>
      </w:r>
      <w:r w:rsidR="00B134F3">
        <w:t>atklāj pamatu</w:t>
      </w:r>
      <w:r w:rsidR="00980114" w:rsidRPr="001A4CCE">
        <w:t xml:space="preserve"> aizdom</w:t>
      </w:r>
      <w:r w:rsidR="00B134F3">
        <w:t>ām</w:t>
      </w:r>
      <w:r w:rsidR="00980114" w:rsidRPr="001A4CCE">
        <w:t xml:space="preserve">, ka </w:t>
      </w:r>
      <w:r w:rsidRPr="001A4CCE">
        <w:t>advokāts</w:t>
      </w:r>
      <w:r w:rsidR="008F7DBB">
        <w:t xml:space="preserve"> kā dalībnieks vai līdzdalībnieks</w:t>
      </w:r>
      <w:r w:rsidR="00F26931">
        <w:t xml:space="preserve"> </w:t>
      </w:r>
      <w:r w:rsidR="00F26931" w:rsidRPr="001A4CCE">
        <w:t>varētu būt izdarījis</w:t>
      </w:r>
      <w:r w:rsidR="00980114" w:rsidRPr="001A4CCE">
        <w:t xml:space="preserve"> noziedzīgu nodarījumu, varētu būt iesaistīt</w:t>
      </w:r>
      <w:r w:rsidRPr="001A4CCE">
        <w:t xml:space="preserve">s </w:t>
      </w:r>
      <w:r w:rsidR="00F26931">
        <w:t xml:space="preserve">tajā </w:t>
      </w:r>
      <w:r w:rsidR="00980114" w:rsidRPr="001A4CCE">
        <w:t xml:space="preserve">vai </w:t>
      </w:r>
      <w:r w:rsidR="00980114" w:rsidRPr="00F26931">
        <w:t xml:space="preserve">varētu zināt apstākļus, kas </w:t>
      </w:r>
      <w:r w:rsidR="008F7DBB" w:rsidRPr="00F26931">
        <w:t>ir neatsverami</w:t>
      </w:r>
      <w:r w:rsidR="007C420F" w:rsidRPr="00F26931">
        <w:t xml:space="preserve"> noziedzīga nodarījuma atklāšanā</w:t>
      </w:r>
      <w:r w:rsidR="008F7DBB" w:rsidRPr="00F26931">
        <w:t xml:space="preserve">, </w:t>
      </w:r>
      <w:r w:rsidR="007C420F" w:rsidRPr="00F26931">
        <w:t xml:space="preserve">kurus neaizsargā juridiskās palīdzības ietvaros sniegtās informācijas </w:t>
      </w:r>
      <w:r w:rsidR="00971FA6">
        <w:t>konfidencialitāte</w:t>
      </w:r>
      <w:r w:rsidR="008F7DBB" w:rsidRPr="00F26931">
        <w:t xml:space="preserve"> un nav citu līdzekļu šo apstākļu noskaidrošanai</w:t>
      </w:r>
      <w:r w:rsidR="00980114" w:rsidRPr="001A4CCE">
        <w:t>.</w:t>
      </w:r>
      <w:r>
        <w:t xml:space="preserve"> Taču, kā Eiropas Cilvēktiesību tiesa norādīj</w:t>
      </w:r>
      <w:r w:rsidR="00F26931">
        <w:t>usi</w:t>
      </w:r>
      <w:r>
        <w:t xml:space="preserve"> lietā </w:t>
      </w:r>
      <w:r w:rsidR="000A2FA1">
        <w:t>„</w:t>
      </w:r>
      <w:r w:rsidRPr="008D5AEF">
        <w:rPr>
          <w:i/>
          <w:iCs/>
        </w:rPr>
        <w:t>Rutule pret Latviju</w:t>
      </w:r>
      <w:r w:rsidR="000A2FA1">
        <w:t>”</w:t>
      </w:r>
      <w:r>
        <w:t xml:space="preserve">, visu kriminālprocesā iesaistīto amatpersonu atbildība ir nodrošināt, ka juridiskās palīdzības sniegšanas fakts tiek </w:t>
      </w:r>
      <w:r w:rsidRPr="00AF4D60">
        <w:t>pamanīts</w:t>
      </w:r>
      <w:r w:rsidR="002E7580" w:rsidRPr="00AF4D60">
        <w:t xml:space="preserve"> un ievērots</w:t>
      </w:r>
      <w:r w:rsidR="002E7580">
        <w:t xml:space="preserve"> (</w:t>
      </w:r>
      <w:r w:rsidR="00EC1D2F" w:rsidRPr="00DA1DF3">
        <w:rPr>
          <w:i/>
          <w:iCs/>
        </w:rPr>
        <w:t>Eiropas Cilvēktiesību tiesas 2024.gada 24.oktobra spriedum</w:t>
      </w:r>
      <w:r w:rsidR="00EC1D2F">
        <w:rPr>
          <w:i/>
          <w:iCs/>
        </w:rPr>
        <w:t>a</w:t>
      </w:r>
      <w:r w:rsidR="00EC1D2F" w:rsidRPr="00DA1DF3">
        <w:rPr>
          <w:i/>
          <w:iCs/>
        </w:rPr>
        <w:t xml:space="preserve"> lietā </w:t>
      </w:r>
      <w:r w:rsidR="000A2FA1">
        <w:rPr>
          <w:i/>
          <w:iCs/>
        </w:rPr>
        <w:t>„</w:t>
      </w:r>
      <w:r w:rsidR="00EC1D2F" w:rsidRPr="00DA1DF3">
        <w:rPr>
          <w:i/>
          <w:iCs/>
        </w:rPr>
        <w:t>Rutule pret Latviju</w:t>
      </w:r>
      <w:r w:rsidR="00EC1D2F">
        <w:rPr>
          <w:i/>
          <w:iCs/>
        </w:rPr>
        <w:t>”,</w:t>
      </w:r>
      <w:r w:rsidR="00EC1D2F" w:rsidRPr="00DA1DF3">
        <w:rPr>
          <w:i/>
          <w:iCs/>
        </w:rPr>
        <w:t xml:space="preserve"> iesniegums Nr.</w:t>
      </w:r>
      <w:r w:rsidR="00EC1D2F">
        <w:rPr>
          <w:i/>
          <w:iCs/>
        </w:rPr>
        <w:t> </w:t>
      </w:r>
      <w:hyperlink r:id="rId25" w:history="1">
        <w:r w:rsidR="00EC1D2F" w:rsidRPr="00EC1D2F">
          <w:rPr>
            <w:rStyle w:val="Hyperlink"/>
            <w:i/>
            <w:iCs/>
          </w:rPr>
          <w:t>58195/16</w:t>
        </w:r>
      </w:hyperlink>
      <w:r w:rsidR="00EC1D2F">
        <w:rPr>
          <w:i/>
          <w:iCs/>
        </w:rPr>
        <w:t>,</w:t>
      </w:r>
      <w:r w:rsidR="00EC1D2F" w:rsidRPr="00DA1DF3">
        <w:rPr>
          <w:i/>
          <w:iCs/>
        </w:rPr>
        <w:t xml:space="preserve"> 20.punkts</w:t>
      </w:r>
      <w:r w:rsidR="002E7580">
        <w:t>)</w:t>
      </w:r>
      <w:r w:rsidR="00F26931">
        <w:t>. Pr</w:t>
      </w:r>
      <w:r w:rsidR="002E7580">
        <w:t>oti,</w:t>
      </w:r>
      <w:r>
        <w:t xml:space="preserve"> tiek veiktas apzinātas un efektīvas darbības, </w:t>
      </w:r>
      <w:r w:rsidRPr="00534124">
        <w:t>lai mazinātu ietekmi uz trešajām personām un nodrošinātu, ka papildus  procesuālajām garantijām</w:t>
      </w:r>
      <w:r w:rsidR="0080442E" w:rsidRPr="00534124">
        <w:t xml:space="preserve"> aiz</w:t>
      </w:r>
      <w:r w:rsidR="0080442E">
        <w:t>tu</w:t>
      </w:r>
      <w:r w:rsidR="0080442E" w:rsidRPr="00534124">
        <w:t>rēšanā</w:t>
      </w:r>
      <w:r w:rsidR="0080442E">
        <w:t xml:space="preserve">, tostarp </w:t>
      </w:r>
      <w:r w:rsidR="008F7DBB" w:rsidRPr="00534124">
        <w:t>pienākum</w:t>
      </w:r>
      <w:r w:rsidR="0080442E">
        <w:t>am</w:t>
      </w:r>
      <w:r w:rsidR="008F7DBB" w:rsidRPr="00534124">
        <w:t xml:space="preserve"> </w:t>
      </w:r>
      <w:r w:rsidR="0080442E">
        <w:t>uzrādīt</w:t>
      </w:r>
      <w:r w:rsidR="0080442E" w:rsidRPr="00534124">
        <w:t xml:space="preserve"> </w:t>
      </w:r>
      <w:r w:rsidRPr="00534124">
        <w:t>aizdomas pamato</w:t>
      </w:r>
      <w:r w:rsidR="008F7DBB" w:rsidRPr="00534124">
        <w:t>jošos</w:t>
      </w:r>
      <w:r w:rsidRPr="00534124">
        <w:t xml:space="preserve"> materiāl</w:t>
      </w:r>
      <w:r w:rsidR="008F7DBB" w:rsidRPr="00534124">
        <w:t>us</w:t>
      </w:r>
      <w:r w:rsidR="0080442E">
        <w:t xml:space="preserve"> tiesas pārbaudes nodrošināšanai</w:t>
      </w:r>
      <w:r w:rsidR="002E7580" w:rsidRPr="00534124">
        <w:t>, tiek īpaši paskaidrots tas, kādēļ procesuālās darbības ir jāvērš tieši pret juridiskās palīdzības sniedzēju</w:t>
      </w:r>
      <w:r w:rsidR="008F7DBB" w:rsidRPr="00534124">
        <w:t>, proti, apstākļus nevar noskaidrot ar citiem līdzekļiem</w:t>
      </w:r>
      <w:r w:rsidRPr="00534124">
        <w:t>.</w:t>
      </w:r>
    </w:p>
    <w:p w14:paraId="70967128" w14:textId="76D48B59" w:rsidR="008F7DBB" w:rsidRDefault="008F7DBB" w:rsidP="00C929E7">
      <w:pPr>
        <w:pStyle w:val="Style1"/>
      </w:pPr>
      <w:r>
        <w:t>Jebkura s</w:t>
      </w:r>
      <w:r w:rsidRPr="00331CDF">
        <w:t xml:space="preserve">ituācija, kurā kriminālprocesuālie līdzekļi tiek izmantoti </w:t>
      </w:r>
      <w:r>
        <w:t>pretēji to mērķiem,</w:t>
      </w:r>
      <w:r w:rsidRPr="00331CDF">
        <w:t xml:space="preserve"> </w:t>
      </w:r>
      <w:r w:rsidR="00223BAD">
        <w:t xml:space="preserve">ir nepieņemama </w:t>
      </w:r>
      <w:r w:rsidRPr="00331CDF">
        <w:t>jau vien tādēļ, ka</w:t>
      </w:r>
      <w:r>
        <w:t xml:space="preserve"> </w:t>
      </w:r>
      <w:r w:rsidRPr="00331CDF">
        <w:t>ir nepieļaujami izmantot kriminālprocesā paredzētās izmeklēšanas darbības vai procesuālos līdzekļus</w:t>
      </w:r>
      <w:r w:rsidR="00A305A8">
        <w:t xml:space="preserve"> iemeslu, kas neveicina kriminālprocesuālo attiecību taisnīgu noregulēšanu</w:t>
      </w:r>
      <w:r w:rsidR="009543E9">
        <w:t>, dēļ</w:t>
      </w:r>
      <w:r>
        <w:t xml:space="preserve">. Būtu </w:t>
      </w:r>
      <w:r w:rsidR="00223BAD">
        <w:t xml:space="preserve">nepieļaujami, ja </w:t>
      </w:r>
      <w:r w:rsidRPr="00331CDF">
        <w:t>kriminālprocesuālie līdzekļi</w:t>
      </w:r>
      <w:r>
        <w:t xml:space="preserve"> tiktu izmantoti</w:t>
      </w:r>
      <w:r w:rsidRPr="00331CDF">
        <w:t>, lai izdarīt</w:t>
      </w:r>
      <w:r>
        <w:t>u</w:t>
      </w:r>
      <w:r w:rsidRPr="00331CDF">
        <w:t xml:space="preserve"> spiedienu uz aizdomās turēto, aizturot viņ</w:t>
      </w:r>
      <w:r w:rsidR="00FE4B35">
        <w:t>u</w:t>
      </w:r>
      <w:r w:rsidRPr="00331CDF">
        <w:t xml:space="preserve"> vai viņa</w:t>
      </w:r>
      <w:r w:rsidR="00FE4B35">
        <w:t xml:space="preserve"> (viņas)</w:t>
      </w:r>
      <w:r w:rsidRPr="00331CDF">
        <w:t xml:space="preserve"> ģimenes locekļus. </w:t>
      </w:r>
      <w:r w:rsidR="00AF4D60">
        <w:t>N</w:t>
      </w:r>
      <w:r w:rsidR="00223BAD">
        <w:t xml:space="preserve">epieļaujami būtu </w:t>
      </w:r>
      <w:r w:rsidRPr="00331CDF">
        <w:t>aizturēt advokātu saistībā ar viņa vai viņas</w:t>
      </w:r>
      <w:r>
        <w:t xml:space="preserve"> labticīgi</w:t>
      </w:r>
      <w:r w:rsidRPr="00331CDF">
        <w:t xml:space="preserve"> sniegt</w:t>
      </w:r>
      <w:r>
        <w:t>u tiesisku</w:t>
      </w:r>
      <w:r w:rsidRPr="00331CDF">
        <w:t xml:space="preserve"> juridisko palīdzību</w:t>
      </w:r>
      <w:r w:rsidR="00A305A8">
        <w:t xml:space="preserve"> vai lai atvieglotu izmeklēšanas vai kriminālvajāšanas darbu</w:t>
      </w:r>
      <w:r w:rsidRPr="00331CDF">
        <w:t xml:space="preserve">. </w:t>
      </w:r>
      <w:r w:rsidR="00223BAD">
        <w:t>N</w:t>
      </w:r>
      <w:r w:rsidRPr="00331CDF">
        <w:t>av šaubu, ka ikviens šāds gadījums būtu uzskatāms par tādu prettiesisku rīcību, kuras rezultātā nodarīts nemantiskais kaitējums. Ja šāds</w:t>
      </w:r>
      <w:r>
        <w:t xml:space="preserve"> procesa virzītāja motīvs lietā</w:t>
      </w:r>
      <w:r w:rsidRPr="00331CDF">
        <w:t xml:space="preserve"> ir nodibinā</w:t>
      </w:r>
      <w:r w:rsidR="00223BAD">
        <w:t>ms</w:t>
      </w:r>
      <w:r w:rsidRPr="00331CDF">
        <w:t xml:space="preserve">, tad </w:t>
      </w:r>
      <w:r w:rsidR="00223BAD">
        <w:t xml:space="preserve">pārkāpuma smagumu un </w:t>
      </w:r>
      <w:r w:rsidRPr="00331CDF">
        <w:t>atlīdzinājum</w:t>
      </w:r>
      <w:r w:rsidR="00223BAD">
        <w:t xml:space="preserve">a apmēru noteic </w:t>
      </w:r>
      <w:r w:rsidRPr="00331CDF">
        <w:t>ne</w:t>
      </w:r>
      <w:r>
        <w:t xml:space="preserve"> </w:t>
      </w:r>
      <w:r w:rsidRPr="00331CDF">
        <w:t xml:space="preserve">vien aizturēšana </w:t>
      </w:r>
      <w:r w:rsidR="00223BAD">
        <w:t xml:space="preserve">kā </w:t>
      </w:r>
      <w:r w:rsidRPr="00331CDF">
        <w:t>nepamatota</w:t>
      </w:r>
      <w:r>
        <w:t xml:space="preserve"> vai prettiesiska</w:t>
      </w:r>
      <w:r w:rsidR="00223BAD">
        <w:t xml:space="preserve"> pati par sevi</w:t>
      </w:r>
      <w:r w:rsidRPr="00331CDF">
        <w:t>, bet arī</w:t>
      </w:r>
      <w:r w:rsidR="00223BAD">
        <w:t xml:space="preserve"> tās </w:t>
      </w:r>
      <w:r>
        <w:t>motīv</w:t>
      </w:r>
      <w:r w:rsidR="00223BAD">
        <w:t>i</w:t>
      </w:r>
      <w:r w:rsidRPr="00331CDF">
        <w:t>.</w:t>
      </w:r>
      <w:r w:rsidRPr="007902A7">
        <w:t xml:space="preserve"> </w:t>
      </w:r>
      <w:r>
        <w:t xml:space="preserve">Taču </w:t>
      </w:r>
      <w:r w:rsidRPr="00331CDF">
        <w:t xml:space="preserve">faktam, ka </w:t>
      </w:r>
      <w:r>
        <w:t>pietecēja</w:t>
      </w:r>
      <w:r w:rsidRPr="00331CDF">
        <w:t xml:space="preserve"> ir zvērināta advokāte, pašam par sevi nav nekādas </w:t>
      </w:r>
      <w:r w:rsidR="00E41239">
        <w:t xml:space="preserve">ietekmes </w:t>
      </w:r>
      <w:r w:rsidRPr="00331CDF">
        <w:t xml:space="preserve">attiecībā uz </w:t>
      </w:r>
      <w:r w:rsidR="00E41239">
        <w:t xml:space="preserve">vērtējumu par </w:t>
      </w:r>
      <w:r w:rsidRPr="00331CDF">
        <w:t>pārkāpuma esību vai smagumu</w:t>
      </w:r>
      <w:r>
        <w:t>.</w:t>
      </w:r>
    </w:p>
    <w:p w14:paraId="454B02A9" w14:textId="7CBDA2C3" w:rsidR="00E64686" w:rsidRPr="001A4CCE" w:rsidRDefault="00FE4B35" w:rsidP="00C929E7">
      <w:pPr>
        <w:pStyle w:val="Style1"/>
      </w:pPr>
      <w:r>
        <w:t>T</w:t>
      </w:r>
      <w:r w:rsidR="00E64686">
        <w:t xml:space="preserve">iesa, </w:t>
      </w:r>
      <w:r w:rsidR="00E64686" w:rsidRPr="008F7DBB">
        <w:t>uzskatot</w:t>
      </w:r>
      <w:r w:rsidR="00E25CAD" w:rsidRPr="008F7DBB">
        <w:t>, ka</w:t>
      </w:r>
      <w:r w:rsidR="00E64686" w:rsidRPr="008F7DBB">
        <w:t xml:space="preserve"> advokāta</w:t>
      </w:r>
      <w:r w:rsidR="00E64686">
        <w:t xml:space="preserve"> statuss pats par sevi padara aizturēšanu par </w:t>
      </w:r>
      <w:r w:rsidR="00E41239">
        <w:t>tādu</w:t>
      </w:r>
      <w:r w:rsidR="00E64686">
        <w:t xml:space="preserve">, </w:t>
      </w:r>
      <w:r w:rsidR="00E41239">
        <w:t xml:space="preserve">kas, ja tā ir atzīstama par prettiesisku, to padara par nopietnu pārkāpumu, </w:t>
      </w:r>
      <w:r w:rsidR="00E64686">
        <w:t xml:space="preserve">pārkāpj </w:t>
      </w:r>
      <w:r>
        <w:t xml:space="preserve">Latvijas Republikas </w:t>
      </w:r>
      <w:r w:rsidR="00E64686">
        <w:t>Satversmes 91.pantā ietverto vienlīdzības principu.</w:t>
      </w:r>
    </w:p>
    <w:p w14:paraId="396A2DB7" w14:textId="77777777" w:rsidR="00F43D9A" w:rsidRPr="00331CDF" w:rsidRDefault="00F43D9A" w:rsidP="00C929E7">
      <w:pPr>
        <w:pStyle w:val="Style1"/>
      </w:pPr>
    </w:p>
    <w:p w14:paraId="6D447D42" w14:textId="2974697F" w:rsidR="00B0728F" w:rsidRDefault="00CC27E5" w:rsidP="00C929E7">
      <w:pPr>
        <w:pStyle w:val="Style1"/>
      </w:pPr>
      <w:r w:rsidRPr="00331CDF">
        <w:t>[</w:t>
      </w:r>
      <w:r w:rsidR="00A033FD">
        <w:t>19</w:t>
      </w:r>
      <w:r w:rsidRPr="00331CDF">
        <w:t>] </w:t>
      </w:r>
      <w:r w:rsidR="00B0728F">
        <w:t>Ģenerālprokuratūra argumentē, ka tiesa nav izvērtējusi un pamatojusi to</w:t>
      </w:r>
      <w:r w:rsidR="008F7DBB">
        <w:t>,</w:t>
      </w:r>
      <w:r w:rsidR="00B0728F">
        <w:t xml:space="preserve"> kā Latvijas Zvērināt</w:t>
      </w:r>
      <w:r w:rsidR="008A0479">
        <w:t>u</w:t>
      </w:r>
      <w:r w:rsidR="00B0728F">
        <w:t xml:space="preserve"> advokātu</w:t>
      </w:r>
      <w:r w:rsidR="008A0479">
        <w:t xml:space="preserve"> kolēģijas </w:t>
      </w:r>
      <w:r w:rsidR="00B0728F">
        <w:t xml:space="preserve">priekšsēdētāja informēšana par pieteicējas aizturēšanu radīja pieteicējai </w:t>
      </w:r>
      <w:r w:rsidR="007048D4">
        <w:t>nelabvēlīgās sekas</w:t>
      </w:r>
      <w:r w:rsidR="00B0728F">
        <w:t xml:space="preserve">, proti, </w:t>
      </w:r>
      <w:r w:rsidR="008F7DBB">
        <w:t xml:space="preserve">kā </w:t>
      </w:r>
      <w:r w:rsidR="00B0728F">
        <w:t>t</w:t>
      </w:r>
      <w:r w:rsidR="008F7DBB">
        <w:t>ā</w:t>
      </w:r>
      <w:r w:rsidR="00B0728F">
        <w:t xml:space="preserve"> ietekmēja pieteicējas profesionālo darbību.</w:t>
      </w:r>
    </w:p>
    <w:p w14:paraId="3B14539C" w14:textId="6ED1217D" w:rsidR="00B0728F" w:rsidRDefault="00B0728F" w:rsidP="00C929E7">
      <w:pPr>
        <w:pStyle w:val="Style1"/>
      </w:pPr>
      <w:r>
        <w:t xml:space="preserve">Senāts </w:t>
      </w:r>
      <w:r w:rsidR="00296577">
        <w:t>secina, ka</w:t>
      </w:r>
      <w:r>
        <w:t xml:space="preserve"> tiesa </w:t>
      </w:r>
      <w:r w:rsidR="00FE4B35">
        <w:t xml:space="preserve">ir </w:t>
      </w:r>
      <w:r w:rsidR="00296577">
        <w:t>izdarījusi vienkāršu</w:t>
      </w:r>
      <w:r>
        <w:t xml:space="preserve"> pieņēmu</w:t>
      </w:r>
      <w:r w:rsidR="00296577">
        <w:t>mu</w:t>
      </w:r>
      <w:r>
        <w:t xml:space="preserve">, ka informācijas par to, ka </w:t>
      </w:r>
      <w:r w:rsidR="005F1385">
        <w:t>advokāts</w:t>
      </w:r>
      <w:r>
        <w:t xml:space="preserve"> ir atzīt</w:t>
      </w:r>
      <w:r w:rsidR="005F1385">
        <w:t>s</w:t>
      </w:r>
      <w:r>
        <w:t xml:space="preserve"> par personu, pret kuru ierosināts kriminālprocess, </w:t>
      </w:r>
      <w:r w:rsidR="005F1385">
        <w:t>paziņošana</w:t>
      </w:r>
      <w:r w:rsidR="007902A7">
        <w:t xml:space="preserve"> </w:t>
      </w:r>
      <w:r w:rsidR="005F1385">
        <w:t xml:space="preserve">Latvijas Zvērinātu advokātu kolēģijas priekšsēdētājam </w:t>
      </w:r>
      <w:r w:rsidR="007902A7">
        <w:t>rad</w:t>
      </w:r>
      <w:r w:rsidR="005F1385">
        <w:t>a</w:t>
      </w:r>
      <w:r w:rsidR="007902A7">
        <w:t xml:space="preserve"> viņa reputācijas</w:t>
      </w:r>
      <w:r w:rsidR="00E9081E">
        <w:t xml:space="preserve"> nopietnu</w:t>
      </w:r>
      <w:r w:rsidR="007902A7">
        <w:t xml:space="preserve"> aizskārumu.</w:t>
      </w:r>
      <w:r w:rsidR="00296577">
        <w:t xml:space="preserve"> Šād</w:t>
      </w:r>
      <w:r w:rsidR="005F1385">
        <w:t xml:space="preserve">s </w:t>
      </w:r>
      <w:r w:rsidR="00195DCA">
        <w:t xml:space="preserve">pamatojums </w:t>
      </w:r>
      <w:r w:rsidR="00296577">
        <w:t>ir nepareiz</w:t>
      </w:r>
      <w:r w:rsidR="005F1385">
        <w:t>s</w:t>
      </w:r>
      <w:r w:rsidR="00296577">
        <w:t xml:space="preserve"> ne vien tādēļ, ka tiesa nevar </w:t>
      </w:r>
      <w:r w:rsidR="00083221">
        <w:t>taisīt</w:t>
      </w:r>
      <w:r w:rsidR="00296577">
        <w:t xml:space="preserve"> spriedumu uz pieņēmumu pamata, bet arī tādēļ, ka tiesa nav pietiekami izvērtējusi šādas</w:t>
      </w:r>
      <w:r w:rsidR="007902A7">
        <w:t xml:space="preserve"> rīcības</w:t>
      </w:r>
      <w:r w:rsidR="00CA761A">
        <w:t xml:space="preserve"> </w:t>
      </w:r>
      <w:r w:rsidR="007902A7">
        <w:t>–</w:t>
      </w:r>
      <w:r w:rsidR="00CA761A">
        <w:t xml:space="preserve"> </w:t>
      </w:r>
      <w:r w:rsidR="007902A7">
        <w:t xml:space="preserve">paziņošanas par </w:t>
      </w:r>
      <w:r w:rsidR="00083221">
        <w:t>advokāta</w:t>
      </w:r>
      <w:r w:rsidR="007902A7">
        <w:t xml:space="preserve"> aizturēšanu</w:t>
      </w:r>
      <w:r w:rsidR="00FD086E">
        <w:t xml:space="preserve"> un piešķirto kriminālprocesuālo statusu</w:t>
      </w:r>
      <w:r w:rsidR="00296577">
        <w:t xml:space="preserve"> </w:t>
      </w:r>
      <w:r w:rsidR="007902A7">
        <w:t>Latvijas Zvērināt</w:t>
      </w:r>
      <w:r w:rsidR="008A0479">
        <w:t>u</w:t>
      </w:r>
      <w:r w:rsidR="007902A7">
        <w:t xml:space="preserve"> advokātu</w:t>
      </w:r>
      <w:r w:rsidR="008A0479">
        <w:t xml:space="preserve"> kolēģijas p</w:t>
      </w:r>
      <w:r w:rsidR="007902A7">
        <w:t>riekšsēdētājam</w:t>
      </w:r>
      <w:r w:rsidR="00CA761A">
        <w:t xml:space="preserve"> </w:t>
      </w:r>
      <w:r w:rsidR="007902A7">
        <w:t>–</w:t>
      </w:r>
      <w:r w:rsidR="00CA761A">
        <w:t xml:space="preserve"> </w:t>
      </w:r>
      <w:r w:rsidR="007902A7">
        <w:t>būtību</w:t>
      </w:r>
      <w:r w:rsidR="00E9081E">
        <w:t xml:space="preserve"> un to, vai tas vispār veido reputācijas aizskārumu</w:t>
      </w:r>
      <w:r w:rsidR="00296577">
        <w:t xml:space="preserve">. </w:t>
      </w:r>
    </w:p>
    <w:p w14:paraId="56BAF3BF" w14:textId="43116FF7" w:rsidR="00E9081E" w:rsidRDefault="00E9081E" w:rsidP="00C929E7">
      <w:pPr>
        <w:pStyle w:val="Style1"/>
      </w:pPr>
      <w:r>
        <w:t>K</w:t>
      </w:r>
      <w:r w:rsidR="007C420F">
        <w:t xml:space="preserve">ā atzinusi Eiropas Cilvēktiesību tiesa, jebkurš kriminālprocess ietver sekas indivīda, kurš ir izdarījis noziedzīgu nodarījumu, privātajai dzīvei. Šādas sekas ir atbilstošas </w:t>
      </w:r>
      <w:r w:rsidR="00E20C59">
        <w:rPr>
          <w:color w:val="000000" w:themeColor="text1"/>
        </w:rPr>
        <w:t>Eiropas Cilvēktiesību k</w:t>
      </w:r>
      <w:r w:rsidR="007C420F" w:rsidRPr="00AF4D60">
        <w:rPr>
          <w:color w:val="000000" w:themeColor="text1"/>
        </w:rPr>
        <w:t xml:space="preserve">onvencijas </w:t>
      </w:r>
      <w:r w:rsidR="007C420F">
        <w:t>8.pantam, ja tās nepārsniedz parastās un neizbēgamās šādas situācijas sekas (</w:t>
      </w:r>
      <w:r w:rsidR="007C420F" w:rsidRPr="00590242">
        <w:rPr>
          <w:i/>
          <w:iCs/>
        </w:rPr>
        <w:t>Eiropas Cilvēktiesību tiesas 2017.gada 27.jūnija spriedum</w:t>
      </w:r>
      <w:r w:rsidR="00EC1D2F">
        <w:rPr>
          <w:i/>
          <w:iCs/>
        </w:rPr>
        <w:t>a</w:t>
      </w:r>
      <w:r w:rsidR="007C420F" w:rsidRPr="00590242">
        <w:rPr>
          <w:i/>
          <w:iCs/>
        </w:rPr>
        <w:t xml:space="preserve"> lietā </w:t>
      </w:r>
      <w:r w:rsidR="000A2FA1">
        <w:rPr>
          <w:i/>
          <w:iCs/>
        </w:rPr>
        <w:t>„</w:t>
      </w:r>
      <w:r w:rsidR="007C420F" w:rsidRPr="00590242">
        <w:rPr>
          <w:i/>
          <w:iCs/>
        </w:rPr>
        <w:t>Jankauskas pret Lietuvu (Nr.</w:t>
      </w:r>
      <w:r w:rsidR="009543E9">
        <w:rPr>
          <w:i/>
          <w:iCs/>
        </w:rPr>
        <w:t> </w:t>
      </w:r>
      <w:r w:rsidR="007C420F" w:rsidRPr="00590242">
        <w:rPr>
          <w:i/>
          <w:iCs/>
        </w:rPr>
        <w:t>2)</w:t>
      </w:r>
      <w:r w:rsidR="00EC1D2F">
        <w:rPr>
          <w:i/>
          <w:iCs/>
        </w:rPr>
        <w:t>”,</w:t>
      </w:r>
      <w:r w:rsidR="007C420F" w:rsidRPr="00590242">
        <w:rPr>
          <w:i/>
          <w:iCs/>
        </w:rPr>
        <w:t xml:space="preserve"> iesniegums Nr.</w:t>
      </w:r>
      <w:r w:rsidR="00EC1D2F">
        <w:rPr>
          <w:i/>
          <w:iCs/>
        </w:rPr>
        <w:t> </w:t>
      </w:r>
      <w:hyperlink r:id="rId26" w:history="1">
        <w:r w:rsidR="007C420F" w:rsidRPr="00EC1D2F">
          <w:rPr>
            <w:rStyle w:val="Hyperlink"/>
            <w:i/>
            <w:iCs/>
          </w:rPr>
          <w:t>50446/09</w:t>
        </w:r>
      </w:hyperlink>
      <w:r w:rsidR="00EC1D2F">
        <w:rPr>
          <w:i/>
          <w:iCs/>
        </w:rPr>
        <w:t>,</w:t>
      </w:r>
      <w:r w:rsidR="007C420F" w:rsidRPr="00590242">
        <w:rPr>
          <w:i/>
          <w:iCs/>
        </w:rPr>
        <w:t xml:space="preserve"> 76.punkts</w:t>
      </w:r>
      <w:r w:rsidR="007C420F">
        <w:t xml:space="preserve">). </w:t>
      </w:r>
      <w:r w:rsidR="003E7206">
        <w:t>R</w:t>
      </w:r>
      <w:r w:rsidR="003E7206" w:rsidRPr="003E7206">
        <w:t>eputācija</w:t>
      </w:r>
      <w:r w:rsidR="003E7206">
        <w:t xml:space="preserve">s </w:t>
      </w:r>
      <w:r w:rsidR="003E7206" w:rsidRPr="003E7206">
        <w:t>vai goda</w:t>
      </w:r>
      <w:r w:rsidR="003E7206">
        <w:t xml:space="preserve"> graušanai</w:t>
      </w:r>
      <w:r w:rsidR="003E7206" w:rsidRPr="003E7206">
        <w:t xml:space="preserve"> ir jābūt pietiekami nopietna</w:t>
      </w:r>
      <w:r w:rsidR="003E7206">
        <w:t>i</w:t>
      </w:r>
      <w:r w:rsidR="003E7206" w:rsidRPr="003E7206">
        <w:t xml:space="preserve"> un īstenota</w:t>
      </w:r>
      <w:r w:rsidR="003E7206">
        <w:t>i</w:t>
      </w:r>
      <w:r w:rsidR="003E7206" w:rsidRPr="003E7206">
        <w:t xml:space="preserve"> tādā veidā, kas ierobežo personas tiesības uz privātās dzīves neaizskaramību</w:t>
      </w:r>
      <w:r w:rsidR="003E7206">
        <w:t xml:space="preserve"> (</w:t>
      </w:r>
      <w:r w:rsidR="003E7206" w:rsidRPr="003E7206">
        <w:rPr>
          <w:i/>
          <w:iCs/>
        </w:rPr>
        <w:t xml:space="preserve">Eiropas Cilvēktiesību tiesas 2023.gada 20.jūnija </w:t>
      </w:r>
      <w:r w:rsidR="00EC1D2F">
        <w:rPr>
          <w:i/>
          <w:iCs/>
        </w:rPr>
        <w:t xml:space="preserve">sprieduma </w:t>
      </w:r>
      <w:r w:rsidR="003E7206" w:rsidRPr="003E7206">
        <w:rPr>
          <w:i/>
          <w:iCs/>
        </w:rPr>
        <w:t xml:space="preserve">lieta </w:t>
      </w:r>
      <w:r w:rsidR="000A2FA1">
        <w:rPr>
          <w:i/>
          <w:iCs/>
        </w:rPr>
        <w:t>„</w:t>
      </w:r>
      <w:r w:rsidR="003E7206" w:rsidRPr="003E7206">
        <w:rPr>
          <w:i/>
          <w:iCs/>
        </w:rPr>
        <w:t>Margari pret Grieķiju</w:t>
      </w:r>
      <w:r w:rsidR="00EC1D2F">
        <w:rPr>
          <w:i/>
          <w:iCs/>
        </w:rPr>
        <w:t>”,</w:t>
      </w:r>
      <w:r w:rsidR="003E7206" w:rsidRPr="003E7206">
        <w:rPr>
          <w:i/>
          <w:iCs/>
        </w:rPr>
        <w:t xml:space="preserve"> iesniegums Nr.</w:t>
      </w:r>
      <w:r w:rsidR="00EC1D2F">
        <w:rPr>
          <w:i/>
          <w:iCs/>
        </w:rPr>
        <w:t> </w:t>
      </w:r>
      <w:hyperlink r:id="rId27" w:history="1">
        <w:r w:rsidR="003E7206" w:rsidRPr="00EC1D2F">
          <w:rPr>
            <w:rStyle w:val="Hyperlink"/>
            <w:i/>
            <w:iCs/>
          </w:rPr>
          <w:t>36705/16</w:t>
        </w:r>
      </w:hyperlink>
      <w:r w:rsidR="00EC1D2F">
        <w:rPr>
          <w:i/>
          <w:iCs/>
        </w:rPr>
        <w:t>,</w:t>
      </w:r>
      <w:r w:rsidR="003E7206" w:rsidRPr="003E7206">
        <w:rPr>
          <w:i/>
          <w:iCs/>
        </w:rPr>
        <w:t xml:space="preserve"> 29.punkts</w:t>
      </w:r>
      <w:r w:rsidR="003E7206">
        <w:t>)</w:t>
      </w:r>
      <w:r w:rsidR="003E7206" w:rsidRPr="003E7206">
        <w:t>.</w:t>
      </w:r>
      <w:r w:rsidR="00212690">
        <w:t xml:space="preserve"> Turklāt Eiropas Cilvēktiesību tiesa ir atzinusi, ka procesa virzītāj</w:t>
      </w:r>
      <w:r w:rsidR="00083221">
        <w:t>s</w:t>
      </w:r>
      <w:r w:rsidR="00212690">
        <w:t xml:space="preserve"> var publicēt informāciju par to, ka persona ir apsūdzēta, ja šādai informācijai ir informatīva daba un tās publicēšana izdarīta</w:t>
      </w:r>
      <w:r w:rsidR="002A3E14">
        <w:t>,</w:t>
      </w:r>
      <w:r w:rsidR="00212690">
        <w:t xml:space="preserve"> vadoties no leģitīmiem mērķiem (s</w:t>
      </w:r>
      <w:r w:rsidR="00E17698">
        <w:t>al</w:t>
      </w:r>
      <w:r w:rsidR="00212690">
        <w:t>.</w:t>
      </w:r>
      <w:r w:rsidR="00CA761A">
        <w:t> </w:t>
      </w:r>
      <w:r w:rsidR="00EC1D2F" w:rsidRPr="003E7206">
        <w:rPr>
          <w:i/>
          <w:iCs/>
        </w:rPr>
        <w:t xml:space="preserve">Eiropas Cilvēktiesību tiesas 2023.gada 20.jūnija </w:t>
      </w:r>
      <w:r w:rsidR="00EC1D2F">
        <w:rPr>
          <w:i/>
          <w:iCs/>
        </w:rPr>
        <w:t xml:space="preserve">sprieduma </w:t>
      </w:r>
      <w:r w:rsidR="00EC1D2F" w:rsidRPr="003E7206">
        <w:rPr>
          <w:i/>
          <w:iCs/>
        </w:rPr>
        <w:t xml:space="preserve">lieta </w:t>
      </w:r>
      <w:r w:rsidR="000A2FA1">
        <w:rPr>
          <w:i/>
          <w:iCs/>
        </w:rPr>
        <w:t>„</w:t>
      </w:r>
      <w:r w:rsidR="00EC1D2F" w:rsidRPr="003E7206">
        <w:rPr>
          <w:i/>
          <w:iCs/>
        </w:rPr>
        <w:t>Margari pret Grieķiju</w:t>
      </w:r>
      <w:r w:rsidR="00EC1D2F">
        <w:rPr>
          <w:i/>
          <w:iCs/>
        </w:rPr>
        <w:t>”,</w:t>
      </w:r>
      <w:r w:rsidR="00EC1D2F" w:rsidRPr="003E7206">
        <w:rPr>
          <w:i/>
          <w:iCs/>
        </w:rPr>
        <w:t xml:space="preserve"> iesniegums Nr.</w:t>
      </w:r>
      <w:r w:rsidR="00EC1D2F">
        <w:rPr>
          <w:i/>
          <w:iCs/>
        </w:rPr>
        <w:t> </w:t>
      </w:r>
      <w:hyperlink r:id="rId28" w:history="1">
        <w:r w:rsidR="00EC1D2F" w:rsidRPr="00EC1D2F">
          <w:rPr>
            <w:rStyle w:val="Hyperlink"/>
            <w:i/>
            <w:iCs/>
          </w:rPr>
          <w:t>36705/16</w:t>
        </w:r>
      </w:hyperlink>
      <w:r w:rsidR="00EC1D2F">
        <w:rPr>
          <w:i/>
          <w:iCs/>
        </w:rPr>
        <w:t xml:space="preserve">, </w:t>
      </w:r>
      <w:r w:rsidR="00FD086E">
        <w:rPr>
          <w:i/>
          <w:iCs/>
        </w:rPr>
        <w:t>54.</w:t>
      </w:r>
      <w:r w:rsidR="00195DCA">
        <w:rPr>
          <w:i/>
          <w:iCs/>
        </w:rPr>
        <w:t>–</w:t>
      </w:r>
      <w:r w:rsidR="00212690">
        <w:rPr>
          <w:i/>
          <w:iCs/>
        </w:rPr>
        <w:t>5</w:t>
      </w:r>
      <w:r w:rsidR="00E41239">
        <w:rPr>
          <w:i/>
          <w:iCs/>
        </w:rPr>
        <w:t>6</w:t>
      </w:r>
      <w:r w:rsidR="00212690" w:rsidRPr="003E7206">
        <w:rPr>
          <w:i/>
          <w:iCs/>
        </w:rPr>
        <w:t>.punkt</w:t>
      </w:r>
      <w:r w:rsidR="00195DCA">
        <w:rPr>
          <w:i/>
          <w:iCs/>
        </w:rPr>
        <w:t>s</w:t>
      </w:r>
      <w:r w:rsidR="00212690">
        <w:t>).</w:t>
      </w:r>
      <w:r w:rsidR="003E7206">
        <w:t xml:space="preserve"> </w:t>
      </w:r>
      <w:r>
        <w:t>No minētā izriet</w:t>
      </w:r>
      <w:r w:rsidR="00FE4B35">
        <w:t xml:space="preserve"> – </w:t>
      </w:r>
      <w:r w:rsidR="00FA7E7D">
        <w:t xml:space="preserve">tas, ka </w:t>
      </w:r>
      <w:r w:rsidR="00212690">
        <w:t xml:space="preserve">procesa virzītājs informē Latvijas Zvērinātu advokātu kolēģijas priekšsēdētāju </w:t>
      </w:r>
      <w:r>
        <w:t>par</w:t>
      </w:r>
      <w:r w:rsidR="00212690">
        <w:t xml:space="preserve"> to, ka advokāt</w:t>
      </w:r>
      <w:r w:rsidR="00C166E0">
        <w:t>s</w:t>
      </w:r>
      <w:r w:rsidR="00212690">
        <w:t xml:space="preserve"> ir atzīt</w:t>
      </w:r>
      <w:r w:rsidR="00C166E0">
        <w:t>s</w:t>
      </w:r>
      <w:r w:rsidR="00212690">
        <w:t xml:space="preserve"> par personu</w:t>
      </w:r>
      <w:r>
        <w:t>, pret kuru ierosināts kriminālprocess,</w:t>
      </w:r>
      <w:r w:rsidR="00FA7E7D">
        <w:t xml:space="preserve"> vai par to, ka advokāts ir aizturēts,</w:t>
      </w:r>
      <w:r>
        <w:t xml:space="preserve"> pats </w:t>
      </w:r>
      <w:r w:rsidR="00212690">
        <w:t>par sevi nerada reputācijas aizskārumu, ja šādai informēšanai ir tīri informatīva daba</w:t>
      </w:r>
      <w:r w:rsidR="008F7DBB">
        <w:t xml:space="preserve"> un t</w:t>
      </w:r>
      <w:r w:rsidR="00D71FA3">
        <w:t xml:space="preserve">ā izdarīta </w:t>
      </w:r>
      <w:r w:rsidR="008F7DBB">
        <w:t>leģitīm</w:t>
      </w:r>
      <w:r w:rsidR="00D71FA3">
        <w:t>u</w:t>
      </w:r>
      <w:r w:rsidR="008F7DBB">
        <w:t xml:space="preserve"> mērķ</w:t>
      </w:r>
      <w:r w:rsidR="00D71FA3">
        <w:t>u sasniegšanai</w:t>
      </w:r>
      <w:r w:rsidR="00212690">
        <w:t>.</w:t>
      </w:r>
    </w:p>
    <w:p w14:paraId="0845C925" w14:textId="4E3F24EB" w:rsidR="00811B43" w:rsidRDefault="00296577" w:rsidP="00C929E7">
      <w:pPr>
        <w:pStyle w:val="Style1"/>
      </w:pPr>
      <w:r>
        <w:t>Latvijas Zvērināt</w:t>
      </w:r>
      <w:r w:rsidR="008A0479">
        <w:t>u</w:t>
      </w:r>
      <w:r>
        <w:t xml:space="preserve"> advokātu </w:t>
      </w:r>
      <w:r w:rsidR="008A0479">
        <w:t xml:space="preserve">kolēģijas </w:t>
      </w:r>
      <w:r>
        <w:t xml:space="preserve">priekšsēdētāja informēšana par to, ka </w:t>
      </w:r>
      <w:r w:rsidR="00811B43">
        <w:t xml:space="preserve">tiek </w:t>
      </w:r>
      <w:r>
        <w:t>aizturēt</w:t>
      </w:r>
      <w:r w:rsidR="00811B43">
        <w:t xml:space="preserve">s tās </w:t>
      </w:r>
      <w:r w:rsidR="00083221">
        <w:t>advokāts</w:t>
      </w:r>
      <w:r>
        <w:t xml:space="preserve">, </w:t>
      </w:r>
      <w:r w:rsidR="00FD086E">
        <w:t xml:space="preserve">ir </w:t>
      </w:r>
      <w:r>
        <w:t>pasākum</w:t>
      </w:r>
      <w:r w:rsidR="00246252">
        <w:t>s</w:t>
      </w:r>
      <w:r>
        <w:t>, kas nodrošina advokāt</w:t>
      </w:r>
      <w:r w:rsidR="00083221">
        <w:t>a</w:t>
      </w:r>
      <w:r>
        <w:t xml:space="preserve"> aizsardzību pret varas patvaļīgu izmantošanu</w:t>
      </w:r>
      <w:r w:rsidR="00246252">
        <w:t xml:space="preserve"> (sk</w:t>
      </w:r>
      <w:r w:rsidR="00246252" w:rsidRPr="00534124">
        <w:rPr>
          <w:i/>
          <w:iCs/>
        </w:rPr>
        <w:t xml:space="preserve">. Eiropas Padomes 2025.gada 12.marta </w:t>
      </w:r>
      <w:r w:rsidR="00E177C1" w:rsidRPr="00534124">
        <w:rPr>
          <w:i/>
          <w:iCs/>
        </w:rPr>
        <w:t>Paskaidrojošā ziņojuma par Eiropas Padomes Konvencijas par advokāta profesijas aizsardzību</w:t>
      </w:r>
      <w:r w:rsidR="0090136F" w:rsidRPr="00534124">
        <w:rPr>
          <w:i/>
          <w:iCs/>
        </w:rPr>
        <w:t xml:space="preserve"> CM(2024)191-add2final</w:t>
      </w:r>
      <w:r w:rsidR="00E177C1" w:rsidRPr="00534124">
        <w:rPr>
          <w:i/>
          <w:iCs/>
        </w:rPr>
        <w:t xml:space="preserve">, pieejams (angļu valodā) </w:t>
      </w:r>
      <w:hyperlink r:id="rId29" w:history="1">
        <w:r w:rsidR="00E177C1" w:rsidRPr="00534124">
          <w:rPr>
            <w:rStyle w:val="Hyperlink"/>
            <w:i/>
            <w:iCs/>
          </w:rPr>
          <w:t>https://rm.coe.int/native/0900001680b4c022</w:t>
        </w:r>
      </w:hyperlink>
      <w:r w:rsidR="00E177C1" w:rsidRPr="00534124">
        <w:rPr>
          <w:i/>
          <w:iCs/>
        </w:rPr>
        <w:t xml:space="preserve">, </w:t>
      </w:r>
      <w:r w:rsidR="0090136F" w:rsidRPr="00534124">
        <w:rPr>
          <w:i/>
          <w:iCs/>
        </w:rPr>
        <w:t>69.rindkopa</w:t>
      </w:r>
      <w:r w:rsidR="00E177C1">
        <w:t>)</w:t>
      </w:r>
      <w:r w:rsidR="007C420F">
        <w:t>.</w:t>
      </w:r>
      <w:r w:rsidR="00E177C1">
        <w:t xml:space="preserve"> Šāda rīcība</w:t>
      </w:r>
      <w:r w:rsidR="008A0479">
        <w:t xml:space="preserve"> ļauj Latvijas Zvērinātu advokātu kolēģijai </w:t>
      </w:r>
      <w:r w:rsidR="00E177C1">
        <w:t>paš</w:t>
      </w:r>
      <w:r w:rsidR="008A0479">
        <w:t xml:space="preserve">organizēties, lai efektīvi nodrošinātu </w:t>
      </w:r>
      <w:r w:rsidR="00083221">
        <w:t>advokāta</w:t>
      </w:r>
      <w:r w:rsidR="008A0479">
        <w:t xml:space="preserve"> tiesību aizsardzību, ja tā nepieciešama</w:t>
      </w:r>
      <w:r w:rsidR="009313E2">
        <w:t xml:space="preserve">, kā arī ar Zvērinātu advokātu kolēģijas priekšsēdētāja starpniecību nodrošināt tiesu sistēmai nepieciešamu informāciju tādā apjomā, kāds </w:t>
      </w:r>
      <w:r w:rsidR="00E41239">
        <w:t>atbilst</w:t>
      </w:r>
      <w:r w:rsidR="009313E2">
        <w:t xml:space="preserve"> datu minimalizēšanas princip</w:t>
      </w:r>
      <w:r w:rsidR="00E41239">
        <w:t>am</w:t>
      </w:r>
      <w:r w:rsidR="009313E2">
        <w:t>.</w:t>
      </w:r>
      <w:r w:rsidR="007C420F">
        <w:t xml:space="preserve"> </w:t>
      </w:r>
      <w:r w:rsidR="00811B43">
        <w:t xml:space="preserve">Vienlaikus Senāts </w:t>
      </w:r>
      <w:r w:rsidR="00D71FA3">
        <w:t>vērš uzmanību uz</w:t>
      </w:r>
      <w:r w:rsidR="00811B43">
        <w:t xml:space="preserve"> to, ka Kriminālprocesa likuma 265.panta ceturtā daļa automātisku paziņošanas pienākumu paredz tikai I</w:t>
      </w:r>
      <w:r w:rsidR="00811B43" w:rsidRPr="00811B43">
        <w:t>ekšlietu ministrijas sistēmas iestādes amatperson</w:t>
      </w:r>
      <w:r w:rsidR="00811B43">
        <w:t>as aizturēšanas gadījumā</w:t>
      </w:r>
      <w:r w:rsidR="00083221">
        <w:t xml:space="preserve">. </w:t>
      </w:r>
    </w:p>
    <w:p w14:paraId="0145602F" w14:textId="03ACB04E" w:rsidR="00083221" w:rsidRDefault="00195DCA" w:rsidP="00C929E7">
      <w:pPr>
        <w:pStyle w:val="Style1"/>
      </w:pPr>
      <w:r>
        <w:t>Tādējādi atzīstams, ka t</w:t>
      </w:r>
      <w:r w:rsidR="00C166E0">
        <w:t xml:space="preserve">iesa nav noskaidrojusi </w:t>
      </w:r>
      <w:r>
        <w:t>konkrētā gadījuma apstākļus,</w:t>
      </w:r>
      <w:r w:rsidR="00C166E0">
        <w:t xml:space="preserve"> nav </w:t>
      </w:r>
      <w:r>
        <w:t xml:space="preserve">tos vērtējusi un </w:t>
      </w:r>
      <w:r w:rsidR="00C166E0">
        <w:t>pamatojusi, kādēļ Latvijas Zvērinātu advokātu kolēģijas priekšsēdētāja informēšana par pieteicējas aizturēšanu ir izraisījusi pieteicējas reputācijas aizskārumu un, ja šāds aizskārums pastāv, cik smagas ir nelabvēlīgās sekas</w:t>
      </w:r>
      <w:r w:rsidR="00D71FA3">
        <w:t xml:space="preserve">. </w:t>
      </w:r>
    </w:p>
    <w:p w14:paraId="15BF1C18" w14:textId="371F66EA" w:rsidR="00B0728F" w:rsidRDefault="00AC2F36" w:rsidP="00C929E7">
      <w:pPr>
        <w:pStyle w:val="Style1"/>
      </w:pPr>
      <w:r>
        <w:t>T</w:t>
      </w:r>
      <w:r w:rsidR="00590242">
        <w:t>iesai</w:t>
      </w:r>
      <w:r w:rsidR="00811B43">
        <w:t xml:space="preserve">, izskatot lietu atkārtoti, </w:t>
      </w:r>
      <w:r w:rsidR="00195DCA">
        <w:t xml:space="preserve">citstarp </w:t>
      </w:r>
      <w:r w:rsidR="00811B43">
        <w:t>ir jāpārbauda, vai pieteicēja</w:t>
      </w:r>
      <w:r w:rsidR="00195DCA">
        <w:t xml:space="preserve"> tieši vai netieši nebija </w:t>
      </w:r>
      <w:r w:rsidR="00811B43">
        <w:t>iztei</w:t>
      </w:r>
      <w:r w:rsidR="00195DCA">
        <w:t xml:space="preserve">kusi </w:t>
      </w:r>
      <w:r w:rsidR="00811B43">
        <w:t>lūgumu</w:t>
      </w:r>
      <w:r w:rsidR="00195DCA">
        <w:t xml:space="preserve"> par Latvijas Zvērinātu advokātu kolēģijas priekšsēdētāja informēšanu</w:t>
      </w:r>
      <w:r w:rsidR="008F7DBB">
        <w:t xml:space="preserve">, </w:t>
      </w:r>
      <w:r w:rsidR="00246252">
        <w:t>un</w:t>
      </w:r>
      <w:r w:rsidR="00195DCA">
        <w:t>, ievērojot, kādā veidā tā izpausta un kāds bijis izpaustās informācijas saturs, kā arī, kādas bijušas tā nelabvēlīgās sekas</w:t>
      </w:r>
      <w:r w:rsidR="00811B43">
        <w:t>,</w:t>
      </w:r>
      <w:r w:rsidR="00C166E0">
        <w:t xml:space="preserve"> </w:t>
      </w:r>
      <w:r w:rsidR="00195DCA">
        <w:t xml:space="preserve">jāvērtē, </w:t>
      </w:r>
      <w:r w:rsidR="00C166E0">
        <w:t>vai</w:t>
      </w:r>
      <w:r w:rsidR="00811B43">
        <w:t xml:space="preserve"> tā</w:t>
      </w:r>
      <w:r w:rsidR="00D71FA3">
        <w:t xml:space="preserve"> </w:t>
      </w:r>
      <w:r w:rsidR="00811B43">
        <w:t xml:space="preserve">ir radījusi pieteicējas reputācijas aizskārumu. </w:t>
      </w:r>
    </w:p>
    <w:p w14:paraId="207E0898" w14:textId="77777777" w:rsidR="00CC27E5" w:rsidRPr="00331CDF" w:rsidRDefault="00CC27E5" w:rsidP="00C929E7">
      <w:pPr>
        <w:shd w:val="clear" w:color="auto" w:fill="FFFFFF"/>
        <w:spacing w:line="276" w:lineRule="auto"/>
        <w:jc w:val="both"/>
      </w:pPr>
    </w:p>
    <w:p w14:paraId="1E1C847D" w14:textId="1C43FAD0" w:rsidR="00CC27E5" w:rsidRDefault="00CC27E5" w:rsidP="00C929E7">
      <w:pPr>
        <w:shd w:val="clear" w:color="auto" w:fill="FFFFFF"/>
        <w:spacing w:line="276" w:lineRule="auto"/>
        <w:ind w:firstLine="567"/>
        <w:jc w:val="both"/>
      </w:pPr>
      <w:r w:rsidRPr="00331CDF">
        <w:t>[</w:t>
      </w:r>
      <w:r w:rsidR="00B50FA4">
        <w:t>2</w:t>
      </w:r>
      <w:r w:rsidR="00A033FD">
        <w:t>0</w:t>
      </w:r>
      <w:r w:rsidRPr="00331CDF">
        <w:t>] Rezumējot</w:t>
      </w:r>
      <w:r w:rsidR="00AC2F36">
        <w:t xml:space="preserve"> minēto</w:t>
      </w:r>
      <w:r w:rsidRPr="00331CDF">
        <w:t xml:space="preserve">, Senāts atzīst, ka tiesas spriedums </w:t>
      </w:r>
      <w:r w:rsidR="00C166E0">
        <w:t xml:space="preserve">ir atceļams, </w:t>
      </w:r>
      <w:r w:rsidRPr="00331CDF">
        <w:t xml:space="preserve">jo tiesa </w:t>
      </w:r>
      <w:r w:rsidR="00B50FA4">
        <w:t>ne</w:t>
      </w:r>
      <w:r w:rsidRPr="00331CDF">
        <w:t>pareizi piemēro</w:t>
      </w:r>
      <w:r w:rsidR="00195DCA">
        <w:t>jot</w:t>
      </w:r>
      <w:r w:rsidRPr="00331CDF">
        <w:t xml:space="preserve"> tiesību normas</w:t>
      </w:r>
      <w:r w:rsidR="00195DCA">
        <w:t xml:space="preserve">, </w:t>
      </w:r>
      <w:r w:rsidR="00515CEA">
        <w:t>kā arī pienācīgi nemotivējot savu spriedumu, izdarījusi būtisku procesuālu pārkāpumu</w:t>
      </w:r>
      <w:r w:rsidRPr="00331CDF">
        <w:t>.</w:t>
      </w:r>
    </w:p>
    <w:p w14:paraId="6B6EFEA7" w14:textId="77777777" w:rsidR="00AC2F36" w:rsidRPr="00331CDF" w:rsidRDefault="00AC2F36" w:rsidP="00C929E7">
      <w:pPr>
        <w:shd w:val="clear" w:color="auto" w:fill="FFFFFF"/>
        <w:spacing w:line="276" w:lineRule="auto"/>
        <w:ind w:firstLine="567"/>
        <w:jc w:val="both"/>
      </w:pPr>
    </w:p>
    <w:p w14:paraId="24571A0D" w14:textId="77777777" w:rsidR="00884F1C" w:rsidRPr="00331CDF" w:rsidRDefault="00884F1C" w:rsidP="00C929E7">
      <w:pPr>
        <w:pStyle w:val="ATvirsraksts"/>
      </w:pPr>
      <w:r w:rsidRPr="00331CDF">
        <w:t>Rezolutīvā daļa</w:t>
      </w:r>
    </w:p>
    <w:p w14:paraId="3C8F34BF" w14:textId="77777777" w:rsidR="00884F1C" w:rsidRPr="00331CDF" w:rsidRDefault="00884F1C" w:rsidP="00C929E7">
      <w:pPr>
        <w:spacing w:line="276" w:lineRule="auto"/>
        <w:ind w:firstLine="567"/>
        <w:jc w:val="both"/>
      </w:pPr>
    </w:p>
    <w:p w14:paraId="5CE75CED" w14:textId="656183CE" w:rsidR="00884F1C" w:rsidRPr="00331CDF" w:rsidRDefault="00884F1C" w:rsidP="00C929E7">
      <w:pPr>
        <w:pStyle w:val="Style1"/>
      </w:pPr>
      <w:r w:rsidRPr="00537C41">
        <w:t>Pamatojoties uz Administratīvā procesa likuma</w:t>
      </w:r>
      <w:r w:rsidR="005F0811" w:rsidRPr="00537C41">
        <w:t xml:space="preserve"> </w:t>
      </w:r>
      <w:r w:rsidRPr="00537C41">
        <w:t xml:space="preserve">348.panta pirmās daļas </w:t>
      </w:r>
      <w:r w:rsidR="00537C41" w:rsidRPr="00537C41">
        <w:t>2</w:t>
      </w:r>
      <w:r w:rsidRPr="00537C41">
        <w:t>.</w:t>
      </w:r>
      <w:r w:rsidR="0079726B" w:rsidRPr="00537C41">
        <w:t>punktu</w:t>
      </w:r>
      <w:r w:rsidR="00537C41">
        <w:t xml:space="preserve">, </w:t>
      </w:r>
      <w:r w:rsidR="00537C41" w:rsidRPr="00F65BA8">
        <w:t>129.</w:t>
      </w:r>
      <w:r w:rsidR="00537C41" w:rsidRPr="00F65BA8">
        <w:rPr>
          <w:vertAlign w:val="superscript"/>
        </w:rPr>
        <w:t>1</w:t>
      </w:r>
      <w:r w:rsidR="00537C41" w:rsidRPr="00F65BA8">
        <w:t>pant</w:t>
      </w:r>
      <w:r w:rsidR="00537C41">
        <w:t xml:space="preserve">a pirmās daļas 1.punktu </w:t>
      </w:r>
      <w:r w:rsidRPr="00537C41">
        <w:t>un 351.pantu, Senāts</w:t>
      </w:r>
    </w:p>
    <w:p w14:paraId="78D0896C" w14:textId="77777777" w:rsidR="00E06A9A" w:rsidRPr="00331CDF" w:rsidRDefault="00E06A9A" w:rsidP="00C929E7">
      <w:pPr>
        <w:keepNext/>
        <w:spacing w:line="276" w:lineRule="auto"/>
        <w:jc w:val="center"/>
        <w:rPr>
          <w:b/>
        </w:rPr>
      </w:pPr>
    </w:p>
    <w:p w14:paraId="32E4CC43" w14:textId="64C1C5DD" w:rsidR="00884F1C" w:rsidRPr="00331CDF" w:rsidRDefault="00884F1C" w:rsidP="00C929E7">
      <w:pPr>
        <w:keepNext/>
        <w:spacing w:line="276" w:lineRule="auto"/>
        <w:jc w:val="center"/>
        <w:rPr>
          <w:b/>
        </w:rPr>
      </w:pPr>
      <w:r w:rsidRPr="00331CDF">
        <w:rPr>
          <w:b/>
        </w:rPr>
        <w:t>nosprieda</w:t>
      </w:r>
    </w:p>
    <w:p w14:paraId="0E7CE9DB" w14:textId="77777777" w:rsidR="00884F1C" w:rsidRPr="00331CDF" w:rsidRDefault="00884F1C" w:rsidP="00C929E7">
      <w:pPr>
        <w:keepNext/>
        <w:spacing w:line="276" w:lineRule="auto"/>
        <w:jc w:val="center"/>
        <w:rPr>
          <w:b/>
          <w:highlight w:val="yellow"/>
        </w:rPr>
      </w:pPr>
    </w:p>
    <w:p w14:paraId="46CCF726" w14:textId="1CE96738" w:rsidR="00E17698" w:rsidRDefault="00484433" w:rsidP="00C929E7">
      <w:pPr>
        <w:pStyle w:val="Style1"/>
      </w:pPr>
      <w:r>
        <w:rPr>
          <w:color w:val="000000"/>
        </w:rPr>
        <w:t xml:space="preserve">atcelt </w:t>
      </w:r>
      <w:r w:rsidRPr="00331CDF">
        <w:t>Administratīvās apgabaltiesas 2024.gada 27.februāra spriedumu</w:t>
      </w:r>
      <w:r>
        <w:t xml:space="preserve"> </w:t>
      </w:r>
      <w:r w:rsidRPr="00A301D4">
        <w:t>daļ</w:t>
      </w:r>
      <w:r w:rsidRPr="00E17698">
        <w:t>ā</w:t>
      </w:r>
      <w:r w:rsidR="00BB4056">
        <w:t>, ar kuru pieteikums apmierināts daļā (</w:t>
      </w:r>
      <w:r w:rsidR="00730EF9">
        <w:t xml:space="preserve">par </w:t>
      </w:r>
      <w:r w:rsidR="00E17698" w:rsidRPr="00534124">
        <w:t>nemantisk</w:t>
      </w:r>
      <w:r w:rsidR="00BB4056">
        <w:t>o</w:t>
      </w:r>
      <w:r w:rsidR="00E17698" w:rsidRPr="00534124">
        <w:t xml:space="preserve"> kaitējum</w:t>
      </w:r>
      <w:r w:rsidR="00BB4056">
        <w:t>u</w:t>
      </w:r>
      <w:r w:rsidR="00E17698" w:rsidRPr="00534124">
        <w:t xml:space="preserve"> 2920</w:t>
      </w:r>
      <w:r w:rsidR="00E17698">
        <w:t> </w:t>
      </w:r>
      <w:r w:rsidR="00515CEA" w:rsidRPr="009A6923">
        <w:rPr>
          <w:i/>
        </w:rPr>
        <w:t>euro</w:t>
      </w:r>
      <w:r w:rsidR="00BB4056">
        <w:rPr>
          <w:i/>
        </w:rPr>
        <w:t xml:space="preserve"> </w:t>
      </w:r>
      <w:r w:rsidR="00BB4056">
        <w:rPr>
          <w:iCs/>
        </w:rPr>
        <w:t xml:space="preserve">un </w:t>
      </w:r>
      <w:r w:rsidR="00BB4056">
        <w:t>juridisko palīdzību 203,36 </w:t>
      </w:r>
      <w:r w:rsidR="00BB4056" w:rsidRPr="009A6923">
        <w:rPr>
          <w:i/>
        </w:rPr>
        <w:t>euro</w:t>
      </w:r>
      <w:r w:rsidR="00BB4056">
        <w:t>) un daļā, ar kuru pieteikums noraidīts daļā (</w:t>
      </w:r>
      <w:r w:rsidR="00BB4056">
        <w:rPr>
          <w:iCs/>
        </w:rPr>
        <w:t xml:space="preserve">par </w:t>
      </w:r>
      <w:r>
        <w:t xml:space="preserve"> juridisko palīdzību par </w:t>
      </w:r>
      <w:r w:rsidR="00182AE5">
        <w:t xml:space="preserve">[pers. C] </w:t>
      </w:r>
      <w:r w:rsidRPr="00331CDF">
        <w:t>2021.gada 12.augusta</w:t>
      </w:r>
      <w:r>
        <w:t xml:space="preserve"> un </w:t>
      </w:r>
      <w:r w:rsidRPr="00331CDF">
        <w:t>2021.gada 20.septembra sūdzību</w:t>
      </w:r>
      <w:r>
        <w:t xml:space="preserve"> sagatavošanu</w:t>
      </w:r>
      <w:r w:rsidR="00BB4056">
        <w:t xml:space="preserve"> un </w:t>
      </w:r>
      <w:r w:rsidR="00182AE5">
        <w:t xml:space="preserve">[pers. C] </w:t>
      </w:r>
      <w:r>
        <w:t xml:space="preserve">sniegto juridisko palīdzību </w:t>
      </w:r>
      <w:r w:rsidRPr="00331CDF">
        <w:t xml:space="preserve">2021.gada </w:t>
      </w:r>
      <w:r>
        <w:t>3</w:t>
      </w:r>
      <w:r w:rsidRPr="00331CDF">
        <w:t>.august</w:t>
      </w:r>
      <w:r>
        <w:t>ā notikušajā pratināšanā</w:t>
      </w:r>
      <w:r w:rsidR="00BB4056">
        <w:t xml:space="preserve">) un </w:t>
      </w:r>
      <w:r w:rsidR="00F5317C">
        <w:t xml:space="preserve">nosūtīt lietu šajā daļā </w:t>
      </w:r>
      <w:r w:rsidR="00EC1D2F" w:rsidRPr="00B44868">
        <w:t>jaunai izskatīšanai Administratīvaj</w:t>
      </w:r>
      <w:r w:rsidR="00F5317C">
        <w:t>ā</w:t>
      </w:r>
      <w:r w:rsidR="00EC1D2F" w:rsidRPr="00B44868">
        <w:t xml:space="preserve"> apgabalties</w:t>
      </w:r>
      <w:r w:rsidR="00F5317C">
        <w:t>ā</w:t>
      </w:r>
      <w:r w:rsidR="00AC2F36">
        <w:t>;</w:t>
      </w:r>
    </w:p>
    <w:p w14:paraId="5C88647D" w14:textId="3BD47FFE" w:rsidR="00F5317C" w:rsidRPr="00331CDF" w:rsidRDefault="00F5317C" w:rsidP="00C929E7">
      <w:pPr>
        <w:pStyle w:val="Style1"/>
      </w:pPr>
      <w:r>
        <w:t>pārējā daļā spriedumu atstāt negrozītu;</w:t>
      </w:r>
    </w:p>
    <w:p w14:paraId="5452066D" w14:textId="6B86D680" w:rsidR="00EC1D2F" w:rsidRDefault="00EC1D2F" w:rsidP="00C929E7">
      <w:pPr>
        <w:spacing w:line="276" w:lineRule="auto"/>
        <w:ind w:firstLine="720"/>
        <w:jc w:val="both"/>
      </w:pPr>
      <w:r w:rsidRPr="009A6923">
        <w:t xml:space="preserve">atmaksāt </w:t>
      </w:r>
      <w:r w:rsidR="00182AE5">
        <w:t>[pers. A]</w:t>
      </w:r>
      <w:r w:rsidRPr="009A6923">
        <w:t xml:space="preserve"> drošības naudu 70 </w:t>
      </w:r>
      <w:r w:rsidRPr="009A6923">
        <w:rPr>
          <w:i/>
        </w:rPr>
        <w:t>euro</w:t>
      </w:r>
      <w:r w:rsidR="00AC2F36">
        <w:t>;</w:t>
      </w:r>
    </w:p>
    <w:p w14:paraId="218BD080" w14:textId="368F9ED4" w:rsidR="00EC1D2F" w:rsidRPr="009A6923" w:rsidRDefault="00EC1D2F" w:rsidP="00C929E7">
      <w:pPr>
        <w:spacing w:line="276" w:lineRule="auto"/>
        <w:ind w:firstLine="720"/>
        <w:jc w:val="both"/>
      </w:pPr>
      <w:r w:rsidRPr="009A6923">
        <w:t xml:space="preserve">atmaksāt </w:t>
      </w:r>
      <w:r>
        <w:t>Ģenerālprokurtūrai</w:t>
      </w:r>
      <w:r w:rsidRPr="009A6923">
        <w:t xml:space="preserve"> drošības naudu 70 </w:t>
      </w:r>
      <w:r w:rsidRPr="009A6923">
        <w:rPr>
          <w:i/>
        </w:rPr>
        <w:t>euro</w:t>
      </w:r>
      <w:r w:rsidRPr="009A6923">
        <w:t>.</w:t>
      </w:r>
    </w:p>
    <w:p w14:paraId="65BE89C6" w14:textId="77777777" w:rsidR="00EC1D2F" w:rsidRPr="009A6923" w:rsidRDefault="00EC1D2F" w:rsidP="00C929E7">
      <w:pPr>
        <w:spacing w:line="276" w:lineRule="auto"/>
        <w:ind w:firstLine="720"/>
        <w:jc w:val="both"/>
      </w:pPr>
    </w:p>
    <w:p w14:paraId="731D9785" w14:textId="6A2C27E7" w:rsidR="00A94FA5" w:rsidRDefault="00A94FA5" w:rsidP="00C929E7">
      <w:pPr>
        <w:pStyle w:val="Style1"/>
      </w:pPr>
      <w:r w:rsidRPr="00331CDF">
        <w:t>Spriedums nav pārsūdzams.</w:t>
      </w:r>
    </w:p>
    <w:p w14:paraId="3406C92A" w14:textId="77777777" w:rsidR="002A3E14" w:rsidRDefault="002A3E14" w:rsidP="009D646D">
      <w:pPr>
        <w:pStyle w:val="Style1"/>
      </w:pPr>
    </w:p>
    <w:p w14:paraId="7CC4279E" w14:textId="77777777" w:rsidR="002A3E14" w:rsidRPr="00331CDF" w:rsidRDefault="002A3E14" w:rsidP="009D646D">
      <w:pPr>
        <w:pStyle w:val="Style1"/>
      </w:pPr>
    </w:p>
    <w:p w14:paraId="3DD6D013" w14:textId="77777777" w:rsidR="00884F1C" w:rsidRPr="00331CDF" w:rsidRDefault="00884F1C" w:rsidP="00884F1C">
      <w:pPr>
        <w:spacing w:line="276" w:lineRule="auto"/>
        <w:jc w:val="both"/>
        <w:rPr>
          <w:bCs/>
        </w:rPr>
      </w:pPr>
    </w:p>
    <w:p w14:paraId="2428A1FE" w14:textId="77777777" w:rsidR="002D5F90" w:rsidRPr="00331CDF" w:rsidRDefault="002D5F90" w:rsidP="00884F1C">
      <w:pPr>
        <w:spacing w:line="276" w:lineRule="auto"/>
        <w:jc w:val="both"/>
        <w:rPr>
          <w:bCs/>
        </w:rPr>
      </w:pPr>
    </w:p>
    <w:p w14:paraId="70A3615C" w14:textId="7A6D15F8" w:rsidR="008A17B2" w:rsidRPr="00331CDF" w:rsidRDefault="008A17B2" w:rsidP="009D646D">
      <w:pPr>
        <w:tabs>
          <w:tab w:val="center" w:pos="1276"/>
          <w:tab w:val="center" w:pos="4678"/>
          <w:tab w:val="center" w:pos="8080"/>
        </w:tabs>
        <w:spacing w:line="276" w:lineRule="auto"/>
        <w:jc w:val="both"/>
        <w:rPr>
          <w:color w:val="000000"/>
        </w:rPr>
      </w:pPr>
    </w:p>
    <w:sectPr w:rsidR="008A17B2" w:rsidRPr="00331CDF" w:rsidSect="00187A49">
      <w:footerReference w:type="default" r:id="rId30"/>
      <w:pgSz w:w="11906" w:h="16838" w:code="9"/>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48FF2F" w14:textId="77777777" w:rsidR="006A59D2" w:rsidRPr="002D354A" w:rsidRDefault="006A59D2">
      <w:r w:rsidRPr="002D354A">
        <w:separator/>
      </w:r>
    </w:p>
  </w:endnote>
  <w:endnote w:type="continuationSeparator" w:id="0">
    <w:p w14:paraId="4A057476" w14:textId="77777777" w:rsidR="006A59D2" w:rsidRPr="002D354A" w:rsidRDefault="006A59D2">
      <w:r w:rsidRPr="002D354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NewRomanPSMT">
    <w:altName w:val="Times New Roman"/>
    <w:panose1 w:val="00000000000000000000"/>
    <w:charset w:val="BA"/>
    <w:family w:val="auto"/>
    <w:notTrueType/>
    <w:pitch w:val="default"/>
    <w:sig w:usb0="00000005" w:usb1="00000000" w:usb2="00000000" w:usb3="00000000" w:csb0="0000008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0B578" w14:textId="104877B2" w:rsidR="00191863" w:rsidRPr="002D354A" w:rsidRDefault="007012DC">
    <w:pPr>
      <w:pStyle w:val="Footer"/>
      <w:tabs>
        <w:tab w:val="clear" w:pos="4153"/>
        <w:tab w:val="clear" w:pos="8306"/>
      </w:tabs>
      <w:jc w:val="center"/>
      <w:rPr>
        <w:sz w:val="20"/>
        <w:szCs w:val="20"/>
      </w:rPr>
    </w:pPr>
    <w:r w:rsidRPr="002D354A">
      <w:rPr>
        <w:rStyle w:val="PageNumber"/>
        <w:sz w:val="20"/>
        <w:szCs w:val="20"/>
      </w:rPr>
      <w:fldChar w:fldCharType="begin"/>
    </w:r>
    <w:r w:rsidRPr="002D354A">
      <w:rPr>
        <w:rStyle w:val="PageNumber"/>
        <w:sz w:val="20"/>
        <w:szCs w:val="20"/>
      </w:rPr>
      <w:instrText xml:space="preserve">PAGE  </w:instrText>
    </w:r>
    <w:r w:rsidRPr="002D354A">
      <w:rPr>
        <w:rStyle w:val="PageNumber"/>
        <w:sz w:val="20"/>
        <w:szCs w:val="20"/>
      </w:rPr>
      <w:fldChar w:fldCharType="separate"/>
    </w:r>
    <w:r w:rsidRPr="002D354A">
      <w:rPr>
        <w:rStyle w:val="PageNumber"/>
        <w:sz w:val="20"/>
        <w:szCs w:val="20"/>
      </w:rPr>
      <w:t>2</w:t>
    </w:r>
    <w:r w:rsidRPr="002D354A">
      <w:rPr>
        <w:rStyle w:val="PageNumber"/>
        <w:sz w:val="20"/>
        <w:szCs w:val="20"/>
      </w:rPr>
      <w:fldChar w:fldCharType="end"/>
    </w:r>
    <w:r w:rsidRPr="002D354A">
      <w:rPr>
        <w:rStyle w:val="PageNumber"/>
        <w:sz w:val="20"/>
        <w:szCs w:val="20"/>
      </w:rPr>
      <w:t xml:space="preserve"> no </w:t>
    </w:r>
    <w:r w:rsidRPr="002D354A">
      <w:rPr>
        <w:rStyle w:val="PageNumber"/>
        <w:sz w:val="20"/>
        <w:szCs w:val="20"/>
      </w:rPr>
      <w:fldChar w:fldCharType="begin"/>
    </w:r>
    <w:r w:rsidRPr="002D354A">
      <w:rPr>
        <w:rStyle w:val="PageNumber"/>
        <w:sz w:val="20"/>
        <w:szCs w:val="20"/>
      </w:rPr>
      <w:instrText xml:space="preserve"> SECTIONPAGES   \* MERGEFORMAT </w:instrText>
    </w:r>
    <w:r w:rsidRPr="002D354A">
      <w:rPr>
        <w:rStyle w:val="PageNumber"/>
        <w:sz w:val="20"/>
        <w:szCs w:val="20"/>
      </w:rPr>
      <w:fldChar w:fldCharType="separate"/>
    </w:r>
    <w:r w:rsidR="006A59D2">
      <w:rPr>
        <w:rStyle w:val="PageNumber"/>
        <w:noProof/>
        <w:sz w:val="20"/>
        <w:szCs w:val="20"/>
      </w:rPr>
      <w:t>1</w:t>
    </w:r>
    <w:r w:rsidRPr="002D354A">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E179FF" w14:textId="77777777" w:rsidR="006A59D2" w:rsidRPr="002D354A" w:rsidRDefault="006A59D2">
      <w:r w:rsidRPr="002D354A">
        <w:separator/>
      </w:r>
    </w:p>
  </w:footnote>
  <w:footnote w:type="continuationSeparator" w:id="0">
    <w:p w14:paraId="0B8C42FE" w14:textId="77777777" w:rsidR="006A59D2" w:rsidRPr="002D354A" w:rsidRDefault="006A59D2">
      <w:r w:rsidRPr="002D354A">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DEEF1A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D8C550F"/>
    <w:multiLevelType w:val="hybridMultilevel"/>
    <w:tmpl w:val="82D81252"/>
    <w:lvl w:ilvl="0" w:tplc="7E26E2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4AB1EE9"/>
    <w:multiLevelType w:val="hybridMultilevel"/>
    <w:tmpl w:val="0600AF14"/>
    <w:lvl w:ilvl="0" w:tplc="0C80ECF2">
      <w:start w:val="1"/>
      <w:numFmt w:val="decimal"/>
      <w:lvlText w:val="%1)"/>
      <w:lvlJc w:val="left"/>
      <w:pPr>
        <w:ind w:left="720" w:hanging="360"/>
      </w:pPr>
    </w:lvl>
    <w:lvl w:ilvl="1" w:tplc="99BE86DE">
      <w:start w:val="1"/>
      <w:numFmt w:val="decimal"/>
      <w:lvlText w:val="%2)"/>
      <w:lvlJc w:val="left"/>
      <w:pPr>
        <w:ind w:left="720" w:hanging="360"/>
      </w:pPr>
    </w:lvl>
    <w:lvl w:ilvl="2" w:tplc="5B16F502">
      <w:start w:val="1"/>
      <w:numFmt w:val="decimal"/>
      <w:lvlText w:val="%3)"/>
      <w:lvlJc w:val="left"/>
      <w:pPr>
        <w:ind w:left="720" w:hanging="360"/>
      </w:pPr>
    </w:lvl>
    <w:lvl w:ilvl="3" w:tplc="EF68FA12">
      <w:start w:val="1"/>
      <w:numFmt w:val="decimal"/>
      <w:lvlText w:val="%4)"/>
      <w:lvlJc w:val="left"/>
      <w:pPr>
        <w:ind w:left="720" w:hanging="360"/>
      </w:pPr>
    </w:lvl>
    <w:lvl w:ilvl="4" w:tplc="05E6ACE6">
      <w:start w:val="1"/>
      <w:numFmt w:val="decimal"/>
      <w:lvlText w:val="%5)"/>
      <w:lvlJc w:val="left"/>
      <w:pPr>
        <w:ind w:left="720" w:hanging="360"/>
      </w:pPr>
    </w:lvl>
    <w:lvl w:ilvl="5" w:tplc="7AF807EA">
      <w:start w:val="1"/>
      <w:numFmt w:val="decimal"/>
      <w:lvlText w:val="%6)"/>
      <w:lvlJc w:val="left"/>
      <w:pPr>
        <w:ind w:left="720" w:hanging="360"/>
      </w:pPr>
    </w:lvl>
    <w:lvl w:ilvl="6" w:tplc="0AE4302E">
      <w:start w:val="1"/>
      <w:numFmt w:val="decimal"/>
      <w:lvlText w:val="%7)"/>
      <w:lvlJc w:val="left"/>
      <w:pPr>
        <w:ind w:left="720" w:hanging="360"/>
      </w:pPr>
    </w:lvl>
    <w:lvl w:ilvl="7" w:tplc="DC320EE8">
      <w:start w:val="1"/>
      <w:numFmt w:val="decimal"/>
      <w:lvlText w:val="%8)"/>
      <w:lvlJc w:val="left"/>
      <w:pPr>
        <w:ind w:left="720" w:hanging="360"/>
      </w:pPr>
    </w:lvl>
    <w:lvl w:ilvl="8" w:tplc="1E40BD56">
      <w:start w:val="1"/>
      <w:numFmt w:val="decimal"/>
      <w:lvlText w:val="%9)"/>
      <w:lvlJc w:val="left"/>
      <w:pPr>
        <w:ind w:left="720" w:hanging="360"/>
      </w:pPr>
    </w:lvl>
  </w:abstractNum>
  <w:abstractNum w:abstractNumId="3" w15:restartNumberingAfterBreak="0">
    <w:nsid w:val="1B1B02E6"/>
    <w:multiLevelType w:val="hybridMultilevel"/>
    <w:tmpl w:val="9E186EC8"/>
    <w:lvl w:ilvl="0" w:tplc="8966765C">
      <w:start w:val="1"/>
      <w:numFmt w:val="decimal"/>
      <w:lvlText w:val="%1)"/>
      <w:lvlJc w:val="left"/>
      <w:pPr>
        <w:ind w:left="720" w:hanging="360"/>
      </w:pPr>
    </w:lvl>
    <w:lvl w:ilvl="1" w:tplc="44140124">
      <w:start w:val="1"/>
      <w:numFmt w:val="decimal"/>
      <w:lvlText w:val="%2)"/>
      <w:lvlJc w:val="left"/>
      <w:pPr>
        <w:ind w:left="720" w:hanging="360"/>
      </w:pPr>
    </w:lvl>
    <w:lvl w:ilvl="2" w:tplc="36829C92">
      <w:start w:val="1"/>
      <w:numFmt w:val="decimal"/>
      <w:lvlText w:val="%3)"/>
      <w:lvlJc w:val="left"/>
      <w:pPr>
        <w:ind w:left="720" w:hanging="360"/>
      </w:pPr>
    </w:lvl>
    <w:lvl w:ilvl="3" w:tplc="36F25C0E">
      <w:start w:val="1"/>
      <w:numFmt w:val="decimal"/>
      <w:lvlText w:val="%4)"/>
      <w:lvlJc w:val="left"/>
      <w:pPr>
        <w:ind w:left="720" w:hanging="360"/>
      </w:pPr>
    </w:lvl>
    <w:lvl w:ilvl="4" w:tplc="22102DF2">
      <w:start w:val="1"/>
      <w:numFmt w:val="decimal"/>
      <w:lvlText w:val="%5)"/>
      <w:lvlJc w:val="left"/>
      <w:pPr>
        <w:ind w:left="720" w:hanging="360"/>
      </w:pPr>
    </w:lvl>
    <w:lvl w:ilvl="5" w:tplc="086A22FE">
      <w:start w:val="1"/>
      <w:numFmt w:val="decimal"/>
      <w:lvlText w:val="%6)"/>
      <w:lvlJc w:val="left"/>
      <w:pPr>
        <w:ind w:left="720" w:hanging="360"/>
      </w:pPr>
    </w:lvl>
    <w:lvl w:ilvl="6" w:tplc="D31C5B4E">
      <w:start w:val="1"/>
      <w:numFmt w:val="decimal"/>
      <w:lvlText w:val="%7)"/>
      <w:lvlJc w:val="left"/>
      <w:pPr>
        <w:ind w:left="720" w:hanging="360"/>
      </w:pPr>
    </w:lvl>
    <w:lvl w:ilvl="7" w:tplc="45229D7C">
      <w:start w:val="1"/>
      <w:numFmt w:val="decimal"/>
      <w:lvlText w:val="%8)"/>
      <w:lvlJc w:val="left"/>
      <w:pPr>
        <w:ind w:left="720" w:hanging="360"/>
      </w:pPr>
    </w:lvl>
    <w:lvl w:ilvl="8" w:tplc="1486D2D0">
      <w:start w:val="1"/>
      <w:numFmt w:val="decimal"/>
      <w:lvlText w:val="%9)"/>
      <w:lvlJc w:val="left"/>
      <w:pPr>
        <w:ind w:left="720" w:hanging="360"/>
      </w:pPr>
    </w:lvl>
  </w:abstractNum>
  <w:abstractNum w:abstractNumId="4" w15:restartNumberingAfterBreak="0">
    <w:nsid w:val="2DA70CA0"/>
    <w:multiLevelType w:val="hybridMultilevel"/>
    <w:tmpl w:val="5C94117C"/>
    <w:lvl w:ilvl="0" w:tplc="A1F25E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1153C08"/>
    <w:multiLevelType w:val="hybridMultilevel"/>
    <w:tmpl w:val="8FEA6AA8"/>
    <w:lvl w:ilvl="0" w:tplc="113C9D2E">
      <w:start w:val="1"/>
      <w:numFmt w:val="decimal"/>
      <w:lvlText w:val="%1)"/>
      <w:lvlJc w:val="left"/>
      <w:pPr>
        <w:ind w:left="1020" w:hanging="360"/>
      </w:pPr>
    </w:lvl>
    <w:lvl w:ilvl="1" w:tplc="7B20068E">
      <w:start w:val="1"/>
      <w:numFmt w:val="decimal"/>
      <w:lvlText w:val="%2)"/>
      <w:lvlJc w:val="left"/>
      <w:pPr>
        <w:ind w:left="1020" w:hanging="360"/>
      </w:pPr>
    </w:lvl>
    <w:lvl w:ilvl="2" w:tplc="EB9EAD24">
      <w:start w:val="1"/>
      <w:numFmt w:val="decimal"/>
      <w:lvlText w:val="%3)"/>
      <w:lvlJc w:val="left"/>
      <w:pPr>
        <w:ind w:left="1020" w:hanging="360"/>
      </w:pPr>
    </w:lvl>
    <w:lvl w:ilvl="3" w:tplc="C25E080E">
      <w:start w:val="1"/>
      <w:numFmt w:val="decimal"/>
      <w:lvlText w:val="%4)"/>
      <w:lvlJc w:val="left"/>
      <w:pPr>
        <w:ind w:left="1020" w:hanging="360"/>
      </w:pPr>
    </w:lvl>
    <w:lvl w:ilvl="4" w:tplc="53AE999C">
      <w:start w:val="1"/>
      <w:numFmt w:val="decimal"/>
      <w:lvlText w:val="%5)"/>
      <w:lvlJc w:val="left"/>
      <w:pPr>
        <w:ind w:left="1020" w:hanging="360"/>
      </w:pPr>
    </w:lvl>
    <w:lvl w:ilvl="5" w:tplc="63B0E2DC">
      <w:start w:val="1"/>
      <w:numFmt w:val="decimal"/>
      <w:lvlText w:val="%6)"/>
      <w:lvlJc w:val="left"/>
      <w:pPr>
        <w:ind w:left="1020" w:hanging="360"/>
      </w:pPr>
    </w:lvl>
    <w:lvl w:ilvl="6" w:tplc="A6AA74CA">
      <w:start w:val="1"/>
      <w:numFmt w:val="decimal"/>
      <w:lvlText w:val="%7)"/>
      <w:lvlJc w:val="left"/>
      <w:pPr>
        <w:ind w:left="1020" w:hanging="360"/>
      </w:pPr>
    </w:lvl>
    <w:lvl w:ilvl="7" w:tplc="C456D04C">
      <w:start w:val="1"/>
      <w:numFmt w:val="decimal"/>
      <w:lvlText w:val="%8)"/>
      <w:lvlJc w:val="left"/>
      <w:pPr>
        <w:ind w:left="1020" w:hanging="360"/>
      </w:pPr>
    </w:lvl>
    <w:lvl w:ilvl="8" w:tplc="9E78FF78">
      <w:start w:val="1"/>
      <w:numFmt w:val="decimal"/>
      <w:lvlText w:val="%9)"/>
      <w:lvlJc w:val="left"/>
      <w:pPr>
        <w:ind w:left="1020" w:hanging="360"/>
      </w:pPr>
    </w:lvl>
  </w:abstractNum>
  <w:abstractNum w:abstractNumId="6" w15:restartNumberingAfterBreak="0">
    <w:nsid w:val="795212EA"/>
    <w:multiLevelType w:val="hybridMultilevel"/>
    <w:tmpl w:val="9B9631B0"/>
    <w:lvl w:ilvl="0" w:tplc="A35A468E">
      <w:start w:val="1"/>
      <w:numFmt w:val="decimal"/>
      <w:lvlText w:val="%1)"/>
      <w:lvlJc w:val="left"/>
      <w:pPr>
        <w:ind w:left="720" w:hanging="360"/>
      </w:pPr>
    </w:lvl>
    <w:lvl w:ilvl="1" w:tplc="090E9AB0">
      <w:start w:val="1"/>
      <w:numFmt w:val="decimal"/>
      <w:lvlText w:val="%2)"/>
      <w:lvlJc w:val="left"/>
      <w:pPr>
        <w:ind w:left="720" w:hanging="360"/>
      </w:pPr>
    </w:lvl>
    <w:lvl w:ilvl="2" w:tplc="F7483E3A">
      <w:start w:val="1"/>
      <w:numFmt w:val="decimal"/>
      <w:lvlText w:val="%3)"/>
      <w:lvlJc w:val="left"/>
      <w:pPr>
        <w:ind w:left="720" w:hanging="360"/>
      </w:pPr>
    </w:lvl>
    <w:lvl w:ilvl="3" w:tplc="B7884A7A">
      <w:start w:val="1"/>
      <w:numFmt w:val="decimal"/>
      <w:lvlText w:val="%4)"/>
      <w:lvlJc w:val="left"/>
      <w:pPr>
        <w:ind w:left="720" w:hanging="360"/>
      </w:pPr>
    </w:lvl>
    <w:lvl w:ilvl="4" w:tplc="A01E36C6">
      <w:start w:val="1"/>
      <w:numFmt w:val="decimal"/>
      <w:lvlText w:val="%5)"/>
      <w:lvlJc w:val="left"/>
      <w:pPr>
        <w:ind w:left="720" w:hanging="360"/>
      </w:pPr>
    </w:lvl>
    <w:lvl w:ilvl="5" w:tplc="AFDC3A46">
      <w:start w:val="1"/>
      <w:numFmt w:val="decimal"/>
      <w:lvlText w:val="%6)"/>
      <w:lvlJc w:val="left"/>
      <w:pPr>
        <w:ind w:left="720" w:hanging="360"/>
      </w:pPr>
    </w:lvl>
    <w:lvl w:ilvl="6" w:tplc="DFC2A7AC">
      <w:start w:val="1"/>
      <w:numFmt w:val="decimal"/>
      <w:lvlText w:val="%7)"/>
      <w:lvlJc w:val="left"/>
      <w:pPr>
        <w:ind w:left="720" w:hanging="360"/>
      </w:pPr>
    </w:lvl>
    <w:lvl w:ilvl="7" w:tplc="FDE0FE40">
      <w:start w:val="1"/>
      <w:numFmt w:val="decimal"/>
      <w:lvlText w:val="%8)"/>
      <w:lvlJc w:val="left"/>
      <w:pPr>
        <w:ind w:left="720" w:hanging="360"/>
      </w:pPr>
    </w:lvl>
    <w:lvl w:ilvl="8" w:tplc="9936517A">
      <w:start w:val="1"/>
      <w:numFmt w:val="decimal"/>
      <w:lvlText w:val="%9)"/>
      <w:lvlJc w:val="left"/>
      <w:pPr>
        <w:ind w:left="720" w:hanging="360"/>
      </w:pPr>
    </w:lvl>
  </w:abstractNum>
  <w:num w:numId="1" w16cid:durableId="1130396930">
    <w:abstractNumId w:val="0"/>
  </w:num>
  <w:num w:numId="2" w16cid:durableId="539828606">
    <w:abstractNumId w:val="5"/>
  </w:num>
  <w:num w:numId="3" w16cid:durableId="284969965">
    <w:abstractNumId w:val="2"/>
  </w:num>
  <w:num w:numId="4" w16cid:durableId="20401113">
    <w:abstractNumId w:val="3"/>
  </w:num>
  <w:num w:numId="5" w16cid:durableId="417992192">
    <w:abstractNumId w:val="6"/>
  </w:num>
  <w:num w:numId="6" w16cid:durableId="615676087">
    <w:abstractNumId w:val="4"/>
  </w:num>
  <w:num w:numId="7" w16cid:durableId="18759272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defaultTabStop w:val="720"/>
  <w:drawingGridHorizontalSpacing w:val="120"/>
  <w:displayHorizontalDrawingGridEvery w:val="2"/>
  <w:displayVertic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F1C"/>
    <w:rsid w:val="0000055B"/>
    <w:rsid w:val="00001469"/>
    <w:rsid w:val="00001EEE"/>
    <w:rsid w:val="00002E82"/>
    <w:rsid w:val="00004140"/>
    <w:rsid w:val="00005CE6"/>
    <w:rsid w:val="000079C5"/>
    <w:rsid w:val="00007AAC"/>
    <w:rsid w:val="00007DF1"/>
    <w:rsid w:val="00011E1F"/>
    <w:rsid w:val="000131D9"/>
    <w:rsid w:val="0001353C"/>
    <w:rsid w:val="00015C86"/>
    <w:rsid w:val="00017826"/>
    <w:rsid w:val="000218AB"/>
    <w:rsid w:val="00021AD1"/>
    <w:rsid w:val="00024736"/>
    <w:rsid w:val="00024D53"/>
    <w:rsid w:val="00025945"/>
    <w:rsid w:val="00025C19"/>
    <w:rsid w:val="0003222A"/>
    <w:rsid w:val="00032289"/>
    <w:rsid w:val="00036CD8"/>
    <w:rsid w:val="0003700B"/>
    <w:rsid w:val="00045BA9"/>
    <w:rsid w:val="00047C99"/>
    <w:rsid w:val="000564FB"/>
    <w:rsid w:val="00056550"/>
    <w:rsid w:val="00060319"/>
    <w:rsid w:val="0006164F"/>
    <w:rsid w:val="00061F48"/>
    <w:rsid w:val="0006223E"/>
    <w:rsid w:val="00063395"/>
    <w:rsid w:val="0006461A"/>
    <w:rsid w:val="00065A74"/>
    <w:rsid w:val="00066859"/>
    <w:rsid w:val="000728D0"/>
    <w:rsid w:val="00073E7D"/>
    <w:rsid w:val="00076085"/>
    <w:rsid w:val="00083221"/>
    <w:rsid w:val="00084E46"/>
    <w:rsid w:val="00085CA5"/>
    <w:rsid w:val="00085CB2"/>
    <w:rsid w:val="00085D7B"/>
    <w:rsid w:val="00092F63"/>
    <w:rsid w:val="000946FD"/>
    <w:rsid w:val="00094E81"/>
    <w:rsid w:val="000963BF"/>
    <w:rsid w:val="000A0A5F"/>
    <w:rsid w:val="000A0ECB"/>
    <w:rsid w:val="000A1E78"/>
    <w:rsid w:val="000A2494"/>
    <w:rsid w:val="000A2CAB"/>
    <w:rsid w:val="000A2FA1"/>
    <w:rsid w:val="000A4018"/>
    <w:rsid w:val="000A4545"/>
    <w:rsid w:val="000A569E"/>
    <w:rsid w:val="000A6B26"/>
    <w:rsid w:val="000B0976"/>
    <w:rsid w:val="000B2FE1"/>
    <w:rsid w:val="000B3F7A"/>
    <w:rsid w:val="000B56B1"/>
    <w:rsid w:val="000B727E"/>
    <w:rsid w:val="000B74A0"/>
    <w:rsid w:val="000C0242"/>
    <w:rsid w:val="000C0D92"/>
    <w:rsid w:val="000C1D71"/>
    <w:rsid w:val="000C5310"/>
    <w:rsid w:val="000C5A32"/>
    <w:rsid w:val="000C6D4E"/>
    <w:rsid w:val="000C7558"/>
    <w:rsid w:val="000D1171"/>
    <w:rsid w:val="000D31AD"/>
    <w:rsid w:val="000D391A"/>
    <w:rsid w:val="000D3A17"/>
    <w:rsid w:val="000D4C05"/>
    <w:rsid w:val="000D54C3"/>
    <w:rsid w:val="000D6B33"/>
    <w:rsid w:val="000E2882"/>
    <w:rsid w:val="000E2B46"/>
    <w:rsid w:val="000E2D88"/>
    <w:rsid w:val="000E3244"/>
    <w:rsid w:val="000E3737"/>
    <w:rsid w:val="000E4F58"/>
    <w:rsid w:val="000E6BF1"/>
    <w:rsid w:val="000F09FA"/>
    <w:rsid w:val="000F1B28"/>
    <w:rsid w:val="000F3A1A"/>
    <w:rsid w:val="000F560C"/>
    <w:rsid w:val="00100FC4"/>
    <w:rsid w:val="00101A62"/>
    <w:rsid w:val="00102CFB"/>
    <w:rsid w:val="00104135"/>
    <w:rsid w:val="00106D36"/>
    <w:rsid w:val="001073F0"/>
    <w:rsid w:val="00107E0A"/>
    <w:rsid w:val="0011013D"/>
    <w:rsid w:val="0011055A"/>
    <w:rsid w:val="0011272E"/>
    <w:rsid w:val="00113060"/>
    <w:rsid w:val="001150E0"/>
    <w:rsid w:val="00116C5F"/>
    <w:rsid w:val="001173E7"/>
    <w:rsid w:val="0012016A"/>
    <w:rsid w:val="00120225"/>
    <w:rsid w:val="0012075B"/>
    <w:rsid w:val="00121BEC"/>
    <w:rsid w:val="0012244E"/>
    <w:rsid w:val="001235E1"/>
    <w:rsid w:val="0012404F"/>
    <w:rsid w:val="001250B9"/>
    <w:rsid w:val="00125C9A"/>
    <w:rsid w:val="001263DD"/>
    <w:rsid w:val="0012729D"/>
    <w:rsid w:val="00131E16"/>
    <w:rsid w:val="00132542"/>
    <w:rsid w:val="00133298"/>
    <w:rsid w:val="0013349C"/>
    <w:rsid w:val="001335D4"/>
    <w:rsid w:val="0013396E"/>
    <w:rsid w:val="001355A7"/>
    <w:rsid w:val="00135953"/>
    <w:rsid w:val="0013737D"/>
    <w:rsid w:val="00140B07"/>
    <w:rsid w:val="001411CA"/>
    <w:rsid w:val="00141918"/>
    <w:rsid w:val="00143AED"/>
    <w:rsid w:val="00143D5C"/>
    <w:rsid w:val="001440F0"/>
    <w:rsid w:val="001459C8"/>
    <w:rsid w:val="00146507"/>
    <w:rsid w:val="00150411"/>
    <w:rsid w:val="00150C23"/>
    <w:rsid w:val="001510C1"/>
    <w:rsid w:val="00151654"/>
    <w:rsid w:val="00151F3D"/>
    <w:rsid w:val="001529A6"/>
    <w:rsid w:val="00152CF4"/>
    <w:rsid w:val="00154463"/>
    <w:rsid w:val="00155FF6"/>
    <w:rsid w:val="00156153"/>
    <w:rsid w:val="00160834"/>
    <w:rsid w:val="001638EE"/>
    <w:rsid w:val="00163981"/>
    <w:rsid w:val="00165AAC"/>
    <w:rsid w:val="00165C22"/>
    <w:rsid w:val="00166055"/>
    <w:rsid w:val="00166551"/>
    <w:rsid w:val="001666C3"/>
    <w:rsid w:val="001667BB"/>
    <w:rsid w:val="001678E3"/>
    <w:rsid w:val="00170D31"/>
    <w:rsid w:val="0017259D"/>
    <w:rsid w:val="00172B11"/>
    <w:rsid w:val="001734B8"/>
    <w:rsid w:val="001738AA"/>
    <w:rsid w:val="00181148"/>
    <w:rsid w:val="00182AE5"/>
    <w:rsid w:val="00183888"/>
    <w:rsid w:val="00183B11"/>
    <w:rsid w:val="00187A49"/>
    <w:rsid w:val="00187FE6"/>
    <w:rsid w:val="00190A0A"/>
    <w:rsid w:val="00191863"/>
    <w:rsid w:val="00191F21"/>
    <w:rsid w:val="0019478D"/>
    <w:rsid w:val="00195615"/>
    <w:rsid w:val="001957B4"/>
    <w:rsid w:val="00195DCA"/>
    <w:rsid w:val="001962C5"/>
    <w:rsid w:val="00196F9B"/>
    <w:rsid w:val="0019796E"/>
    <w:rsid w:val="00197CEE"/>
    <w:rsid w:val="001A096E"/>
    <w:rsid w:val="001A0A69"/>
    <w:rsid w:val="001A2D68"/>
    <w:rsid w:val="001A3922"/>
    <w:rsid w:val="001A3B7B"/>
    <w:rsid w:val="001A42A6"/>
    <w:rsid w:val="001A4CCE"/>
    <w:rsid w:val="001A6DBC"/>
    <w:rsid w:val="001B04B8"/>
    <w:rsid w:val="001B104D"/>
    <w:rsid w:val="001B452B"/>
    <w:rsid w:val="001C1E0B"/>
    <w:rsid w:val="001C3421"/>
    <w:rsid w:val="001C5012"/>
    <w:rsid w:val="001C6803"/>
    <w:rsid w:val="001D3FF2"/>
    <w:rsid w:val="001D573B"/>
    <w:rsid w:val="001D5F7C"/>
    <w:rsid w:val="001D6E13"/>
    <w:rsid w:val="001D784A"/>
    <w:rsid w:val="001E4A9C"/>
    <w:rsid w:val="001E51F1"/>
    <w:rsid w:val="001F2ED4"/>
    <w:rsid w:val="001F6F2C"/>
    <w:rsid w:val="002044E2"/>
    <w:rsid w:val="002071CE"/>
    <w:rsid w:val="002111FE"/>
    <w:rsid w:val="00211A9D"/>
    <w:rsid w:val="00212412"/>
    <w:rsid w:val="00212690"/>
    <w:rsid w:val="0021723E"/>
    <w:rsid w:val="00217757"/>
    <w:rsid w:val="00220378"/>
    <w:rsid w:val="0022063D"/>
    <w:rsid w:val="00220B5E"/>
    <w:rsid w:val="00222AA5"/>
    <w:rsid w:val="002230D2"/>
    <w:rsid w:val="00223BAD"/>
    <w:rsid w:val="00226A2E"/>
    <w:rsid w:val="00227CC9"/>
    <w:rsid w:val="00230270"/>
    <w:rsid w:val="0023234D"/>
    <w:rsid w:val="00234030"/>
    <w:rsid w:val="002347C6"/>
    <w:rsid w:val="00236351"/>
    <w:rsid w:val="00236F92"/>
    <w:rsid w:val="0023732C"/>
    <w:rsid w:val="00240410"/>
    <w:rsid w:val="0024351F"/>
    <w:rsid w:val="00243EA3"/>
    <w:rsid w:val="002441B3"/>
    <w:rsid w:val="00244DB3"/>
    <w:rsid w:val="00245710"/>
    <w:rsid w:val="00246252"/>
    <w:rsid w:val="00246817"/>
    <w:rsid w:val="002520F5"/>
    <w:rsid w:val="00252566"/>
    <w:rsid w:val="00252BE1"/>
    <w:rsid w:val="002547B5"/>
    <w:rsid w:val="00257C29"/>
    <w:rsid w:val="002603E9"/>
    <w:rsid w:val="00262222"/>
    <w:rsid w:val="002636C2"/>
    <w:rsid w:val="002657FE"/>
    <w:rsid w:val="002658AB"/>
    <w:rsid w:val="00270269"/>
    <w:rsid w:val="00271D95"/>
    <w:rsid w:val="0027213B"/>
    <w:rsid w:val="00272BE6"/>
    <w:rsid w:val="00274AA0"/>
    <w:rsid w:val="002755CC"/>
    <w:rsid w:val="00277662"/>
    <w:rsid w:val="0028077D"/>
    <w:rsid w:val="002816C6"/>
    <w:rsid w:val="002843B0"/>
    <w:rsid w:val="00285E15"/>
    <w:rsid w:val="0028627D"/>
    <w:rsid w:val="002907CA"/>
    <w:rsid w:val="00290B5D"/>
    <w:rsid w:val="002930B0"/>
    <w:rsid w:val="002947AD"/>
    <w:rsid w:val="00296148"/>
    <w:rsid w:val="00296577"/>
    <w:rsid w:val="002965FF"/>
    <w:rsid w:val="002A1307"/>
    <w:rsid w:val="002A2256"/>
    <w:rsid w:val="002A32D0"/>
    <w:rsid w:val="002A3E14"/>
    <w:rsid w:val="002A5E22"/>
    <w:rsid w:val="002A6FB5"/>
    <w:rsid w:val="002B0129"/>
    <w:rsid w:val="002B3DB8"/>
    <w:rsid w:val="002B46C2"/>
    <w:rsid w:val="002B47D0"/>
    <w:rsid w:val="002B5540"/>
    <w:rsid w:val="002B6448"/>
    <w:rsid w:val="002C1AC0"/>
    <w:rsid w:val="002C2844"/>
    <w:rsid w:val="002C3876"/>
    <w:rsid w:val="002C4D4A"/>
    <w:rsid w:val="002C5518"/>
    <w:rsid w:val="002C55A3"/>
    <w:rsid w:val="002C625C"/>
    <w:rsid w:val="002C6D11"/>
    <w:rsid w:val="002D057F"/>
    <w:rsid w:val="002D2F93"/>
    <w:rsid w:val="002D354A"/>
    <w:rsid w:val="002D5F90"/>
    <w:rsid w:val="002D6CBD"/>
    <w:rsid w:val="002E0992"/>
    <w:rsid w:val="002E6F0A"/>
    <w:rsid w:val="002E7580"/>
    <w:rsid w:val="002F0BA8"/>
    <w:rsid w:val="002F0F84"/>
    <w:rsid w:val="002F1C8A"/>
    <w:rsid w:val="002F4C5B"/>
    <w:rsid w:val="002F65D9"/>
    <w:rsid w:val="002F76DB"/>
    <w:rsid w:val="002F788A"/>
    <w:rsid w:val="00302AB4"/>
    <w:rsid w:val="00306288"/>
    <w:rsid w:val="003063EE"/>
    <w:rsid w:val="003066C1"/>
    <w:rsid w:val="00306FE2"/>
    <w:rsid w:val="00311071"/>
    <w:rsid w:val="003139A2"/>
    <w:rsid w:val="003150ED"/>
    <w:rsid w:val="003177C9"/>
    <w:rsid w:val="0032032A"/>
    <w:rsid w:val="00321F5F"/>
    <w:rsid w:val="00321F94"/>
    <w:rsid w:val="00323EF5"/>
    <w:rsid w:val="00324327"/>
    <w:rsid w:val="00324A7E"/>
    <w:rsid w:val="00325570"/>
    <w:rsid w:val="00325D98"/>
    <w:rsid w:val="00325F5D"/>
    <w:rsid w:val="00327FDA"/>
    <w:rsid w:val="00331821"/>
    <w:rsid w:val="00331CDF"/>
    <w:rsid w:val="00331F9C"/>
    <w:rsid w:val="00337F82"/>
    <w:rsid w:val="00340115"/>
    <w:rsid w:val="00341996"/>
    <w:rsid w:val="003435CB"/>
    <w:rsid w:val="003504AC"/>
    <w:rsid w:val="003509A9"/>
    <w:rsid w:val="00354003"/>
    <w:rsid w:val="003554A2"/>
    <w:rsid w:val="00357F94"/>
    <w:rsid w:val="00364E51"/>
    <w:rsid w:val="003653B8"/>
    <w:rsid w:val="003660D4"/>
    <w:rsid w:val="00367F6E"/>
    <w:rsid w:val="0037079A"/>
    <w:rsid w:val="00371D23"/>
    <w:rsid w:val="00372B11"/>
    <w:rsid w:val="00372BBF"/>
    <w:rsid w:val="00373BF8"/>
    <w:rsid w:val="00376263"/>
    <w:rsid w:val="00381C94"/>
    <w:rsid w:val="003834E4"/>
    <w:rsid w:val="00383567"/>
    <w:rsid w:val="003858DD"/>
    <w:rsid w:val="0039001A"/>
    <w:rsid w:val="00390098"/>
    <w:rsid w:val="003911BD"/>
    <w:rsid w:val="00392A1B"/>
    <w:rsid w:val="00392DA4"/>
    <w:rsid w:val="00395199"/>
    <w:rsid w:val="0039581E"/>
    <w:rsid w:val="003958BE"/>
    <w:rsid w:val="00395C06"/>
    <w:rsid w:val="00396211"/>
    <w:rsid w:val="00397180"/>
    <w:rsid w:val="00397DE8"/>
    <w:rsid w:val="003A2B3E"/>
    <w:rsid w:val="003A382B"/>
    <w:rsid w:val="003A39A5"/>
    <w:rsid w:val="003A4C7A"/>
    <w:rsid w:val="003A73A0"/>
    <w:rsid w:val="003A7BE1"/>
    <w:rsid w:val="003A7F81"/>
    <w:rsid w:val="003B229D"/>
    <w:rsid w:val="003B3E5A"/>
    <w:rsid w:val="003B56D8"/>
    <w:rsid w:val="003B57B7"/>
    <w:rsid w:val="003B665E"/>
    <w:rsid w:val="003B6681"/>
    <w:rsid w:val="003B7925"/>
    <w:rsid w:val="003C0287"/>
    <w:rsid w:val="003C1332"/>
    <w:rsid w:val="003C2F67"/>
    <w:rsid w:val="003D07D5"/>
    <w:rsid w:val="003D2694"/>
    <w:rsid w:val="003D2743"/>
    <w:rsid w:val="003D3112"/>
    <w:rsid w:val="003D33B3"/>
    <w:rsid w:val="003D43B7"/>
    <w:rsid w:val="003D4CB7"/>
    <w:rsid w:val="003D5BEC"/>
    <w:rsid w:val="003D5E7A"/>
    <w:rsid w:val="003D758F"/>
    <w:rsid w:val="003E05C7"/>
    <w:rsid w:val="003E17A2"/>
    <w:rsid w:val="003E19D5"/>
    <w:rsid w:val="003E34E8"/>
    <w:rsid w:val="003E41B1"/>
    <w:rsid w:val="003E5986"/>
    <w:rsid w:val="003E5ADE"/>
    <w:rsid w:val="003E6093"/>
    <w:rsid w:val="003E6923"/>
    <w:rsid w:val="003E6EFB"/>
    <w:rsid w:val="003E7206"/>
    <w:rsid w:val="003F2FDE"/>
    <w:rsid w:val="003F4813"/>
    <w:rsid w:val="003F5D8F"/>
    <w:rsid w:val="003F5FCD"/>
    <w:rsid w:val="003F6AC6"/>
    <w:rsid w:val="0040025E"/>
    <w:rsid w:val="0040067F"/>
    <w:rsid w:val="00400EB1"/>
    <w:rsid w:val="00404E0A"/>
    <w:rsid w:val="00410061"/>
    <w:rsid w:val="00412E3B"/>
    <w:rsid w:val="004150CA"/>
    <w:rsid w:val="004152DE"/>
    <w:rsid w:val="0041670A"/>
    <w:rsid w:val="00417078"/>
    <w:rsid w:val="0041791A"/>
    <w:rsid w:val="00417E46"/>
    <w:rsid w:val="00422215"/>
    <w:rsid w:val="0042454A"/>
    <w:rsid w:val="00427FD7"/>
    <w:rsid w:val="0043183F"/>
    <w:rsid w:val="0043196F"/>
    <w:rsid w:val="00433533"/>
    <w:rsid w:val="0043358B"/>
    <w:rsid w:val="00433AB7"/>
    <w:rsid w:val="00433ABF"/>
    <w:rsid w:val="00434CA3"/>
    <w:rsid w:val="0043561C"/>
    <w:rsid w:val="00436B38"/>
    <w:rsid w:val="00436EB5"/>
    <w:rsid w:val="00440C17"/>
    <w:rsid w:val="004421FE"/>
    <w:rsid w:val="00443EC7"/>
    <w:rsid w:val="004442B7"/>
    <w:rsid w:val="00446ADC"/>
    <w:rsid w:val="00451360"/>
    <w:rsid w:val="004520BE"/>
    <w:rsid w:val="00452D25"/>
    <w:rsid w:val="00456887"/>
    <w:rsid w:val="00456A88"/>
    <w:rsid w:val="004578D6"/>
    <w:rsid w:val="00461397"/>
    <w:rsid w:val="004614A8"/>
    <w:rsid w:val="004702BC"/>
    <w:rsid w:val="004725E1"/>
    <w:rsid w:val="00472DFB"/>
    <w:rsid w:val="00472FED"/>
    <w:rsid w:val="00477FE6"/>
    <w:rsid w:val="0048102E"/>
    <w:rsid w:val="00481893"/>
    <w:rsid w:val="0048373E"/>
    <w:rsid w:val="00484433"/>
    <w:rsid w:val="004858D0"/>
    <w:rsid w:val="00487039"/>
    <w:rsid w:val="00487EA4"/>
    <w:rsid w:val="00490A7A"/>
    <w:rsid w:val="00492F69"/>
    <w:rsid w:val="00493A17"/>
    <w:rsid w:val="00493FD8"/>
    <w:rsid w:val="004951E4"/>
    <w:rsid w:val="00496B93"/>
    <w:rsid w:val="00497D17"/>
    <w:rsid w:val="00497E13"/>
    <w:rsid w:val="004A0003"/>
    <w:rsid w:val="004A105B"/>
    <w:rsid w:val="004A4CC1"/>
    <w:rsid w:val="004B1975"/>
    <w:rsid w:val="004B1D3B"/>
    <w:rsid w:val="004B26B9"/>
    <w:rsid w:val="004B3A8B"/>
    <w:rsid w:val="004B751B"/>
    <w:rsid w:val="004C03D2"/>
    <w:rsid w:val="004C0846"/>
    <w:rsid w:val="004C2C38"/>
    <w:rsid w:val="004C2C5B"/>
    <w:rsid w:val="004D3E90"/>
    <w:rsid w:val="004D5B23"/>
    <w:rsid w:val="004D62B7"/>
    <w:rsid w:val="004D659A"/>
    <w:rsid w:val="004D7C09"/>
    <w:rsid w:val="004E2325"/>
    <w:rsid w:val="004E39EE"/>
    <w:rsid w:val="004E56F9"/>
    <w:rsid w:val="004E60D3"/>
    <w:rsid w:val="004E745B"/>
    <w:rsid w:val="004F1B86"/>
    <w:rsid w:val="004F28A2"/>
    <w:rsid w:val="004F2A3C"/>
    <w:rsid w:val="004F4243"/>
    <w:rsid w:val="004F56E3"/>
    <w:rsid w:val="004F723D"/>
    <w:rsid w:val="00500B6F"/>
    <w:rsid w:val="00500FBD"/>
    <w:rsid w:val="00502B34"/>
    <w:rsid w:val="005050E7"/>
    <w:rsid w:val="0050779D"/>
    <w:rsid w:val="00512E03"/>
    <w:rsid w:val="00515CEA"/>
    <w:rsid w:val="00516264"/>
    <w:rsid w:val="00516961"/>
    <w:rsid w:val="00524E72"/>
    <w:rsid w:val="005278FC"/>
    <w:rsid w:val="00531B7F"/>
    <w:rsid w:val="005323FA"/>
    <w:rsid w:val="00533C06"/>
    <w:rsid w:val="00533E34"/>
    <w:rsid w:val="00534124"/>
    <w:rsid w:val="0053662F"/>
    <w:rsid w:val="00537C41"/>
    <w:rsid w:val="00537F6A"/>
    <w:rsid w:val="00540DDA"/>
    <w:rsid w:val="005413B6"/>
    <w:rsid w:val="0054278C"/>
    <w:rsid w:val="00542DDF"/>
    <w:rsid w:val="005438B3"/>
    <w:rsid w:val="00544B89"/>
    <w:rsid w:val="0054627C"/>
    <w:rsid w:val="0054697D"/>
    <w:rsid w:val="00546E7C"/>
    <w:rsid w:val="00547045"/>
    <w:rsid w:val="005471BD"/>
    <w:rsid w:val="00550AB1"/>
    <w:rsid w:val="00550B85"/>
    <w:rsid w:val="005525E7"/>
    <w:rsid w:val="00552AA7"/>
    <w:rsid w:val="00556B76"/>
    <w:rsid w:val="0055774A"/>
    <w:rsid w:val="0056780E"/>
    <w:rsid w:val="00571ABA"/>
    <w:rsid w:val="00573C0C"/>
    <w:rsid w:val="00576072"/>
    <w:rsid w:val="0057754A"/>
    <w:rsid w:val="005802B8"/>
    <w:rsid w:val="005840E1"/>
    <w:rsid w:val="00585043"/>
    <w:rsid w:val="0058689B"/>
    <w:rsid w:val="005874EE"/>
    <w:rsid w:val="00590242"/>
    <w:rsid w:val="005906E0"/>
    <w:rsid w:val="00590CC9"/>
    <w:rsid w:val="00590DCA"/>
    <w:rsid w:val="0059139A"/>
    <w:rsid w:val="00591644"/>
    <w:rsid w:val="0059201E"/>
    <w:rsid w:val="00595597"/>
    <w:rsid w:val="00597387"/>
    <w:rsid w:val="005A06D8"/>
    <w:rsid w:val="005A11F9"/>
    <w:rsid w:val="005A144B"/>
    <w:rsid w:val="005A1C34"/>
    <w:rsid w:val="005A1DBF"/>
    <w:rsid w:val="005A3556"/>
    <w:rsid w:val="005A3AA6"/>
    <w:rsid w:val="005A51E5"/>
    <w:rsid w:val="005B56FD"/>
    <w:rsid w:val="005B63E9"/>
    <w:rsid w:val="005B681E"/>
    <w:rsid w:val="005C1A0D"/>
    <w:rsid w:val="005C2183"/>
    <w:rsid w:val="005C77ED"/>
    <w:rsid w:val="005C7EC7"/>
    <w:rsid w:val="005D27C4"/>
    <w:rsid w:val="005D39A8"/>
    <w:rsid w:val="005D3F94"/>
    <w:rsid w:val="005D6C4B"/>
    <w:rsid w:val="005E4824"/>
    <w:rsid w:val="005E547F"/>
    <w:rsid w:val="005E7145"/>
    <w:rsid w:val="005E7185"/>
    <w:rsid w:val="005F0572"/>
    <w:rsid w:val="005F0811"/>
    <w:rsid w:val="005F1385"/>
    <w:rsid w:val="005F1908"/>
    <w:rsid w:val="005F3BB8"/>
    <w:rsid w:val="005F4B1E"/>
    <w:rsid w:val="005F5C38"/>
    <w:rsid w:val="005F7256"/>
    <w:rsid w:val="0060103D"/>
    <w:rsid w:val="00603E82"/>
    <w:rsid w:val="006049A0"/>
    <w:rsid w:val="00604D5A"/>
    <w:rsid w:val="00606264"/>
    <w:rsid w:val="0060657D"/>
    <w:rsid w:val="00607152"/>
    <w:rsid w:val="00607506"/>
    <w:rsid w:val="00607A1F"/>
    <w:rsid w:val="00612423"/>
    <w:rsid w:val="00620F10"/>
    <w:rsid w:val="0062282E"/>
    <w:rsid w:val="00623BE0"/>
    <w:rsid w:val="006245B2"/>
    <w:rsid w:val="00625147"/>
    <w:rsid w:val="006256D8"/>
    <w:rsid w:val="0062794F"/>
    <w:rsid w:val="006307CB"/>
    <w:rsid w:val="00630A95"/>
    <w:rsid w:val="0063123B"/>
    <w:rsid w:val="00633E6A"/>
    <w:rsid w:val="00634C8D"/>
    <w:rsid w:val="00636006"/>
    <w:rsid w:val="0064368C"/>
    <w:rsid w:val="00646436"/>
    <w:rsid w:val="00646CEC"/>
    <w:rsid w:val="00647F83"/>
    <w:rsid w:val="006518D7"/>
    <w:rsid w:val="0065485A"/>
    <w:rsid w:val="00656386"/>
    <w:rsid w:val="00660499"/>
    <w:rsid w:val="00661272"/>
    <w:rsid w:val="006614DA"/>
    <w:rsid w:val="006622AD"/>
    <w:rsid w:val="00663B29"/>
    <w:rsid w:val="00664C09"/>
    <w:rsid w:val="00664C93"/>
    <w:rsid w:val="00667FE0"/>
    <w:rsid w:val="0067173A"/>
    <w:rsid w:val="00674E81"/>
    <w:rsid w:val="006779DA"/>
    <w:rsid w:val="0068040C"/>
    <w:rsid w:val="00680CEC"/>
    <w:rsid w:val="00681497"/>
    <w:rsid w:val="0068280E"/>
    <w:rsid w:val="00682CD5"/>
    <w:rsid w:val="006843B6"/>
    <w:rsid w:val="00684A09"/>
    <w:rsid w:val="006868FA"/>
    <w:rsid w:val="00687857"/>
    <w:rsid w:val="00691691"/>
    <w:rsid w:val="00693355"/>
    <w:rsid w:val="0069556C"/>
    <w:rsid w:val="006A0552"/>
    <w:rsid w:val="006A2124"/>
    <w:rsid w:val="006A2402"/>
    <w:rsid w:val="006A4042"/>
    <w:rsid w:val="006A48D1"/>
    <w:rsid w:val="006A520D"/>
    <w:rsid w:val="006A59D2"/>
    <w:rsid w:val="006A5C4B"/>
    <w:rsid w:val="006A5F67"/>
    <w:rsid w:val="006A6264"/>
    <w:rsid w:val="006A7C42"/>
    <w:rsid w:val="006B2288"/>
    <w:rsid w:val="006B3B6D"/>
    <w:rsid w:val="006C13D7"/>
    <w:rsid w:val="006C3BE2"/>
    <w:rsid w:val="006C4040"/>
    <w:rsid w:val="006C762C"/>
    <w:rsid w:val="006C7DAA"/>
    <w:rsid w:val="006D109A"/>
    <w:rsid w:val="006D153E"/>
    <w:rsid w:val="006D1D6E"/>
    <w:rsid w:val="006D4A0B"/>
    <w:rsid w:val="006E0DFC"/>
    <w:rsid w:val="006E20DB"/>
    <w:rsid w:val="006E3C31"/>
    <w:rsid w:val="006E58EA"/>
    <w:rsid w:val="006F161E"/>
    <w:rsid w:val="006F244D"/>
    <w:rsid w:val="006F5B15"/>
    <w:rsid w:val="006F647B"/>
    <w:rsid w:val="006F7667"/>
    <w:rsid w:val="007003A8"/>
    <w:rsid w:val="007012DC"/>
    <w:rsid w:val="007025F3"/>
    <w:rsid w:val="00702914"/>
    <w:rsid w:val="00703D8F"/>
    <w:rsid w:val="00703F3D"/>
    <w:rsid w:val="007048D4"/>
    <w:rsid w:val="00705F15"/>
    <w:rsid w:val="00705F50"/>
    <w:rsid w:val="00706156"/>
    <w:rsid w:val="00707A6C"/>
    <w:rsid w:val="00710322"/>
    <w:rsid w:val="007109D4"/>
    <w:rsid w:val="0071253A"/>
    <w:rsid w:val="007130D4"/>
    <w:rsid w:val="00713FB3"/>
    <w:rsid w:val="00715A77"/>
    <w:rsid w:val="0071748E"/>
    <w:rsid w:val="00720DD1"/>
    <w:rsid w:val="007213D9"/>
    <w:rsid w:val="00722B2C"/>
    <w:rsid w:val="00730EF9"/>
    <w:rsid w:val="0073297A"/>
    <w:rsid w:val="00732B9F"/>
    <w:rsid w:val="00733993"/>
    <w:rsid w:val="00734A47"/>
    <w:rsid w:val="00737B59"/>
    <w:rsid w:val="00740782"/>
    <w:rsid w:val="007429FA"/>
    <w:rsid w:val="00744D81"/>
    <w:rsid w:val="00745877"/>
    <w:rsid w:val="007460A4"/>
    <w:rsid w:val="007466D6"/>
    <w:rsid w:val="00746D9A"/>
    <w:rsid w:val="00751A27"/>
    <w:rsid w:val="00752224"/>
    <w:rsid w:val="0075266F"/>
    <w:rsid w:val="00753DC3"/>
    <w:rsid w:val="0075549D"/>
    <w:rsid w:val="00755BE2"/>
    <w:rsid w:val="007563B4"/>
    <w:rsid w:val="00757443"/>
    <w:rsid w:val="0076043C"/>
    <w:rsid w:val="00760E68"/>
    <w:rsid w:val="007613BD"/>
    <w:rsid w:val="007624B3"/>
    <w:rsid w:val="00762C5F"/>
    <w:rsid w:val="00765E38"/>
    <w:rsid w:val="007732B4"/>
    <w:rsid w:val="007733F1"/>
    <w:rsid w:val="00773F6D"/>
    <w:rsid w:val="00776747"/>
    <w:rsid w:val="0077747C"/>
    <w:rsid w:val="00777F5A"/>
    <w:rsid w:val="00777FD6"/>
    <w:rsid w:val="00780F53"/>
    <w:rsid w:val="007816E2"/>
    <w:rsid w:val="00781AF0"/>
    <w:rsid w:val="00781CC0"/>
    <w:rsid w:val="00782F53"/>
    <w:rsid w:val="007852A0"/>
    <w:rsid w:val="0078579C"/>
    <w:rsid w:val="007902A7"/>
    <w:rsid w:val="00791687"/>
    <w:rsid w:val="0079217A"/>
    <w:rsid w:val="00793B20"/>
    <w:rsid w:val="00795A63"/>
    <w:rsid w:val="00796E70"/>
    <w:rsid w:val="0079726B"/>
    <w:rsid w:val="007A05BE"/>
    <w:rsid w:val="007A24ED"/>
    <w:rsid w:val="007A2BD3"/>
    <w:rsid w:val="007A30C7"/>
    <w:rsid w:val="007A410A"/>
    <w:rsid w:val="007A7373"/>
    <w:rsid w:val="007A7BE1"/>
    <w:rsid w:val="007B2055"/>
    <w:rsid w:val="007B233F"/>
    <w:rsid w:val="007B3354"/>
    <w:rsid w:val="007C2551"/>
    <w:rsid w:val="007C420F"/>
    <w:rsid w:val="007C595C"/>
    <w:rsid w:val="007D11A6"/>
    <w:rsid w:val="007D160F"/>
    <w:rsid w:val="007D187A"/>
    <w:rsid w:val="007D4FF5"/>
    <w:rsid w:val="007D54EF"/>
    <w:rsid w:val="007D5DB8"/>
    <w:rsid w:val="007E1E05"/>
    <w:rsid w:val="007E67CD"/>
    <w:rsid w:val="007E74EE"/>
    <w:rsid w:val="007F0925"/>
    <w:rsid w:val="007F0F01"/>
    <w:rsid w:val="007F184D"/>
    <w:rsid w:val="007F2BAC"/>
    <w:rsid w:val="007F33D9"/>
    <w:rsid w:val="007F589C"/>
    <w:rsid w:val="00800FF7"/>
    <w:rsid w:val="008016C1"/>
    <w:rsid w:val="008037DB"/>
    <w:rsid w:val="0080442E"/>
    <w:rsid w:val="00804AD8"/>
    <w:rsid w:val="008076A8"/>
    <w:rsid w:val="00810806"/>
    <w:rsid w:val="00811B43"/>
    <w:rsid w:val="0081352F"/>
    <w:rsid w:val="00816A0F"/>
    <w:rsid w:val="00820858"/>
    <w:rsid w:val="00823E09"/>
    <w:rsid w:val="008268D5"/>
    <w:rsid w:val="008317F1"/>
    <w:rsid w:val="00831B58"/>
    <w:rsid w:val="0083360E"/>
    <w:rsid w:val="00834BA7"/>
    <w:rsid w:val="00834BC9"/>
    <w:rsid w:val="00834C9D"/>
    <w:rsid w:val="008363E5"/>
    <w:rsid w:val="008368CC"/>
    <w:rsid w:val="00836990"/>
    <w:rsid w:val="00837730"/>
    <w:rsid w:val="00837A2E"/>
    <w:rsid w:val="0084788C"/>
    <w:rsid w:val="00851B0D"/>
    <w:rsid w:val="00851C30"/>
    <w:rsid w:val="008521F7"/>
    <w:rsid w:val="00855411"/>
    <w:rsid w:val="00856DDD"/>
    <w:rsid w:val="00863ED5"/>
    <w:rsid w:val="008653DF"/>
    <w:rsid w:val="00866C7E"/>
    <w:rsid w:val="008675FD"/>
    <w:rsid w:val="00872E22"/>
    <w:rsid w:val="00875A77"/>
    <w:rsid w:val="0087735D"/>
    <w:rsid w:val="008773AC"/>
    <w:rsid w:val="00881BF5"/>
    <w:rsid w:val="00882C9B"/>
    <w:rsid w:val="00882E9F"/>
    <w:rsid w:val="008840C1"/>
    <w:rsid w:val="00884F1C"/>
    <w:rsid w:val="008862B7"/>
    <w:rsid w:val="0088683A"/>
    <w:rsid w:val="00887875"/>
    <w:rsid w:val="008905BC"/>
    <w:rsid w:val="00892D88"/>
    <w:rsid w:val="008931A9"/>
    <w:rsid w:val="008933F0"/>
    <w:rsid w:val="00893ADB"/>
    <w:rsid w:val="008A0479"/>
    <w:rsid w:val="008A0DCB"/>
    <w:rsid w:val="008A1607"/>
    <w:rsid w:val="008A17B2"/>
    <w:rsid w:val="008A1F54"/>
    <w:rsid w:val="008A27FA"/>
    <w:rsid w:val="008A450A"/>
    <w:rsid w:val="008A54CF"/>
    <w:rsid w:val="008A7460"/>
    <w:rsid w:val="008A7CCD"/>
    <w:rsid w:val="008B3AF0"/>
    <w:rsid w:val="008B530F"/>
    <w:rsid w:val="008C0C32"/>
    <w:rsid w:val="008C33D6"/>
    <w:rsid w:val="008C34D7"/>
    <w:rsid w:val="008C7F6B"/>
    <w:rsid w:val="008D5416"/>
    <w:rsid w:val="008D5AEF"/>
    <w:rsid w:val="008D734A"/>
    <w:rsid w:val="008E2BF7"/>
    <w:rsid w:val="008E47DF"/>
    <w:rsid w:val="008E4E3E"/>
    <w:rsid w:val="008F115F"/>
    <w:rsid w:val="008F411D"/>
    <w:rsid w:val="008F67AF"/>
    <w:rsid w:val="008F7C94"/>
    <w:rsid w:val="008F7DBB"/>
    <w:rsid w:val="0090136F"/>
    <w:rsid w:val="009036BD"/>
    <w:rsid w:val="009039D9"/>
    <w:rsid w:val="00905635"/>
    <w:rsid w:val="00905848"/>
    <w:rsid w:val="00905D83"/>
    <w:rsid w:val="00907135"/>
    <w:rsid w:val="00907DD5"/>
    <w:rsid w:val="00907F91"/>
    <w:rsid w:val="00910F4B"/>
    <w:rsid w:val="00911A96"/>
    <w:rsid w:val="00913E34"/>
    <w:rsid w:val="009151FC"/>
    <w:rsid w:val="00917082"/>
    <w:rsid w:val="00917418"/>
    <w:rsid w:val="00917EAB"/>
    <w:rsid w:val="00920242"/>
    <w:rsid w:val="00920EC5"/>
    <w:rsid w:val="00922DB0"/>
    <w:rsid w:val="00923460"/>
    <w:rsid w:val="00926C4E"/>
    <w:rsid w:val="00926DE1"/>
    <w:rsid w:val="00930CC6"/>
    <w:rsid w:val="00931392"/>
    <w:rsid w:val="009313E2"/>
    <w:rsid w:val="00935827"/>
    <w:rsid w:val="009401D0"/>
    <w:rsid w:val="0094067D"/>
    <w:rsid w:val="00943C39"/>
    <w:rsid w:val="00947037"/>
    <w:rsid w:val="00947614"/>
    <w:rsid w:val="00951007"/>
    <w:rsid w:val="00951A38"/>
    <w:rsid w:val="009523D0"/>
    <w:rsid w:val="0095279F"/>
    <w:rsid w:val="009543E9"/>
    <w:rsid w:val="009544EB"/>
    <w:rsid w:val="00955698"/>
    <w:rsid w:val="009564A1"/>
    <w:rsid w:val="00962B6A"/>
    <w:rsid w:val="009668E7"/>
    <w:rsid w:val="0096747B"/>
    <w:rsid w:val="00967773"/>
    <w:rsid w:val="009679C5"/>
    <w:rsid w:val="00971FA6"/>
    <w:rsid w:val="00972A6A"/>
    <w:rsid w:val="00975AAD"/>
    <w:rsid w:val="00976FF3"/>
    <w:rsid w:val="0097795A"/>
    <w:rsid w:val="00980114"/>
    <w:rsid w:val="0098074A"/>
    <w:rsid w:val="009815F8"/>
    <w:rsid w:val="009843DC"/>
    <w:rsid w:val="00984573"/>
    <w:rsid w:val="0098612C"/>
    <w:rsid w:val="009877AC"/>
    <w:rsid w:val="0099231B"/>
    <w:rsid w:val="00997271"/>
    <w:rsid w:val="009A06C5"/>
    <w:rsid w:val="009A776A"/>
    <w:rsid w:val="009B062E"/>
    <w:rsid w:val="009B1AF4"/>
    <w:rsid w:val="009B5430"/>
    <w:rsid w:val="009B62F9"/>
    <w:rsid w:val="009B68CF"/>
    <w:rsid w:val="009B7127"/>
    <w:rsid w:val="009C174F"/>
    <w:rsid w:val="009C32B5"/>
    <w:rsid w:val="009C4AD1"/>
    <w:rsid w:val="009C5345"/>
    <w:rsid w:val="009C7D98"/>
    <w:rsid w:val="009D02D8"/>
    <w:rsid w:val="009D1319"/>
    <w:rsid w:val="009D1A26"/>
    <w:rsid w:val="009D3FDF"/>
    <w:rsid w:val="009D53E7"/>
    <w:rsid w:val="009D646D"/>
    <w:rsid w:val="009D6EBA"/>
    <w:rsid w:val="009D79EF"/>
    <w:rsid w:val="009E23AD"/>
    <w:rsid w:val="009E310F"/>
    <w:rsid w:val="009E6763"/>
    <w:rsid w:val="009E7421"/>
    <w:rsid w:val="009E79FD"/>
    <w:rsid w:val="009F2197"/>
    <w:rsid w:val="009F5C1E"/>
    <w:rsid w:val="009F61E4"/>
    <w:rsid w:val="009F6FD2"/>
    <w:rsid w:val="00A012AE"/>
    <w:rsid w:val="00A033FD"/>
    <w:rsid w:val="00A037F5"/>
    <w:rsid w:val="00A05418"/>
    <w:rsid w:val="00A06BEB"/>
    <w:rsid w:val="00A13A6E"/>
    <w:rsid w:val="00A14356"/>
    <w:rsid w:val="00A20228"/>
    <w:rsid w:val="00A2214B"/>
    <w:rsid w:val="00A22688"/>
    <w:rsid w:val="00A22971"/>
    <w:rsid w:val="00A22E75"/>
    <w:rsid w:val="00A23F00"/>
    <w:rsid w:val="00A2507C"/>
    <w:rsid w:val="00A27829"/>
    <w:rsid w:val="00A305A8"/>
    <w:rsid w:val="00A30906"/>
    <w:rsid w:val="00A312CF"/>
    <w:rsid w:val="00A36E9F"/>
    <w:rsid w:val="00A372A4"/>
    <w:rsid w:val="00A4033A"/>
    <w:rsid w:val="00A4282A"/>
    <w:rsid w:val="00A4310E"/>
    <w:rsid w:val="00A43343"/>
    <w:rsid w:val="00A43D1C"/>
    <w:rsid w:val="00A46278"/>
    <w:rsid w:val="00A5006C"/>
    <w:rsid w:val="00A51CEB"/>
    <w:rsid w:val="00A52D63"/>
    <w:rsid w:val="00A5492E"/>
    <w:rsid w:val="00A5535E"/>
    <w:rsid w:val="00A571E2"/>
    <w:rsid w:val="00A614BC"/>
    <w:rsid w:val="00A666C2"/>
    <w:rsid w:val="00A6751B"/>
    <w:rsid w:val="00A70D7A"/>
    <w:rsid w:val="00A71306"/>
    <w:rsid w:val="00A72728"/>
    <w:rsid w:val="00A72DA0"/>
    <w:rsid w:val="00A73847"/>
    <w:rsid w:val="00A77A42"/>
    <w:rsid w:val="00A85329"/>
    <w:rsid w:val="00A85492"/>
    <w:rsid w:val="00A854EB"/>
    <w:rsid w:val="00A91101"/>
    <w:rsid w:val="00A92DFD"/>
    <w:rsid w:val="00A93772"/>
    <w:rsid w:val="00A93F12"/>
    <w:rsid w:val="00A946D4"/>
    <w:rsid w:val="00A94FA5"/>
    <w:rsid w:val="00A95FEC"/>
    <w:rsid w:val="00A97044"/>
    <w:rsid w:val="00AA0EAB"/>
    <w:rsid w:val="00AA29B2"/>
    <w:rsid w:val="00AA357C"/>
    <w:rsid w:val="00AA4AD9"/>
    <w:rsid w:val="00AA4E77"/>
    <w:rsid w:val="00AB02A4"/>
    <w:rsid w:val="00AB30D6"/>
    <w:rsid w:val="00AB3A47"/>
    <w:rsid w:val="00AB3C62"/>
    <w:rsid w:val="00AB5293"/>
    <w:rsid w:val="00AB55FE"/>
    <w:rsid w:val="00AC018D"/>
    <w:rsid w:val="00AC2F36"/>
    <w:rsid w:val="00AC3192"/>
    <w:rsid w:val="00AC3C4A"/>
    <w:rsid w:val="00AC68A5"/>
    <w:rsid w:val="00AD1999"/>
    <w:rsid w:val="00AD2A4E"/>
    <w:rsid w:val="00AD3D28"/>
    <w:rsid w:val="00AD4549"/>
    <w:rsid w:val="00AD45B4"/>
    <w:rsid w:val="00AD5D55"/>
    <w:rsid w:val="00AD72CE"/>
    <w:rsid w:val="00AD79DA"/>
    <w:rsid w:val="00AE0A92"/>
    <w:rsid w:val="00AE13DB"/>
    <w:rsid w:val="00AE18F2"/>
    <w:rsid w:val="00AE1990"/>
    <w:rsid w:val="00AE1B75"/>
    <w:rsid w:val="00AE6038"/>
    <w:rsid w:val="00AE66E1"/>
    <w:rsid w:val="00AF118B"/>
    <w:rsid w:val="00AF20C4"/>
    <w:rsid w:val="00AF334A"/>
    <w:rsid w:val="00AF443C"/>
    <w:rsid w:val="00AF4D60"/>
    <w:rsid w:val="00AF7068"/>
    <w:rsid w:val="00B014B7"/>
    <w:rsid w:val="00B02CB3"/>
    <w:rsid w:val="00B03C80"/>
    <w:rsid w:val="00B05103"/>
    <w:rsid w:val="00B06483"/>
    <w:rsid w:val="00B0728F"/>
    <w:rsid w:val="00B105FD"/>
    <w:rsid w:val="00B107CD"/>
    <w:rsid w:val="00B10F7D"/>
    <w:rsid w:val="00B13018"/>
    <w:rsid w:val="00B134F3"/>
    <w:rsid w:val="00B17B6F"/>
    <w:rsid w:val="00B20EE6"/>
    <w:rsid w:val="00B20EF7"/>
    <w:rsid w:val="00B2247B"/>
    <w:rsid w:val="00B23927"/>
    <w:rsid w:val="00B2599B"/>
    <w:rsid w:val="00B27401"/>
    <w:rsid w:val="00B27487"/>
    <w:rsid w:val="00B30299"/>
    <w:rsid w:val="00B31DE7"/>
    <w:rsid w:val="00B354FE"/>
    <w:rsid w:val="00B377F7"/>
    <w:rsid w:val="00B404CE"/>
    <w:rsid w:val="00B43973"/>
    <w:rsid w:val="00B4441C"/>
    <w:rsid w:val="00B44D36"/>
    <w:rsid w:val="00B4603D"/>
    <w:rsid w:val="00B50FA4"/>
    <w:rsid w:val="00B5244E"/>
    <w:rsid w:val="00B52A7C"/>
    <w:rsid w:val="00B573E7"/>
    <w:rsid w:val="00B57498"/>
    <w:rsid w:val="00B57FC4"/>
    <w:rsid w:val="00B6099D"/>
    <w:rsid w:val="00B64176"/>
    <w:rsid w:val="00B6560D"/>
    <w:rsid w:val="00B66BFE"/>
    <w:rsid w:val="00B679FB"/>
    <w:rsid w:val="00B73599"/>
    <w:rsid w:val="00B75E91"/>
    <w:rsid w:val="00B809CD"/>
    <w:rsid w:val="00B823A3"/>
    <w:rsid w:val="00B845CD"/>
    <w:rsid w:val="00B8490B"/>
    <w:rsid w:val="00B8741F"/>
    <w:rsid w:val="00B87D1D"/>
    <w:rsid w:val="00B914C1"/>
    <w:rsid w:val="00B921A9"/>
    <w:rsid w:val="00B926E2"/>
    <w:rsid w:val="00B93382"/>
    <w:rsid w:val="00B94B6B"/>
    <w:rsid w:val="00B94C6B"/>
    <w:rsid w:val="00B96C88"/>
    <w:rsid w:val="00B97D73"/>
    <w:rsid w:val="00BA09C7"/>
    <w:rsid w:val="00BA13F9"/>
    <w:rsid w:val="00BA3C1B"/>
    <w:rsid w:val="00BA48BE"/>
    <w:rsid w:val="00BA49AF"/>
    <w:rsid w:val="00BA7106"/>
    <w:rsid w:val="00BA79A5"/>
    <w:rsid w:val="00BB005D"/>
    <w:rsid w:val="00BB07E1"/>
    <w:rsid w:val="00BB2DE9"/>
    <w:rsid w:val="00BB4056"/>
    <w:rsid w:val="00BB4D3A"/>
    <w:rsid w:val="00BB53BF"/>
    <w:rsid w:val="00BB78C1"/>
    <w:rsid w:val="00BB7C34"/>
    <w:rsid w:val="00BC04C2"/>
    <w:rsid w:val="00BC073B"/>
    <w:rsid w:val="00BC4CAE"/>
    <w:rsid w:val="00BC4EC5"/>
    <w:rsid w:val="00BC607C"/>
    <w:rsid w:val="00BC743F"/>
    <w:rsid w:val="00BC7BB3"/>
    <w:rsid w:val="00BD04DB"/>
    <w:rsid w:val="00BD094E"/>
    <w:rsid w:val="00BD1CCE"/>
    <w:rsid w:val="00BD3076"/>
    <w:rsid w:val="00BD5197"/>
    <w:rsid w:val="00BD5F07"/>
    <w:rsid w:val="00BD760C"/>
    <w:rsid w:val="00BE0A98"/>
    <w:rsid w:val="00BE22FF"/>
    <w:rsid w:val="00BE28DC"/>
    <w:rsid w:val="00BE4448"/>
    <w:rsid w:val="00BE4B49"/>
    <w:rsid w:val="00BE583F"/>
    <w:rsid w:val="00BE5C32"/>
    <w:rsid w:val="00BF1EB6"/>
    <w:rsid w:val="00BF4280"/>
    <w:rsid w:val="00BF5774"/>
    <w:rsid w:val="00BF7626"/>
    <w:rsid w:val="00C00848"/>
    <w:rsid w:val="00C02A2E"/>
    <w:rsid w:val="00C0327C"/>
    <w:rsid w:val="00C065E4"/>
    <w:rsid w:val="00C06DE2"/>
    <w:rsid w:val="00C06F25"/>
    <w:rsid w:val="00C10278"/>
    <w:rsid w:val="00C12378"/>
    <w:rsid w:val="00C14866"/>
    <w:rsid w:val="00C152C0"/>
    <w:rsid w:val="00C158C2"/>
    <w:rsid w:val="00C1603C"/>
    <w:rsid w:val="00C166E0"/>
    <w:rsid w:val="00C16BCA"/>
    <w:rsid w:val="00C20EBE"/>
    <w:rsid w:val="00C21910"/>
    <w:rsid w:val="00C21EE3"/>
    <w:rsid w:val="00C25575"/>
    <w:rsid w:val="00C34B68"/>
    <w:rsid w:val="00C36B8A"/>
    <w:rsid w:val="00C40E46"/>
    <w:rsid w:val="00C421B3"/>
    <w:rsid w:val="00C42774"/>
    <w:rsid w:val="00C43115"/>
    <w:rsid w:val="00C4347C"/>
    <w:rsid w:val="00C44A67"/>
    <w:rsid w:val="00C45E1D"/>
    <w:rsid w:val="00C46F4D"/>
    <w:rsid w:val="00C50497"/>
    <w:rsid w:val="00C547A3"/>
    <w:rsid w:val="00C54F32"/>
    <w:rsid w:val="00C56807"/>
    <w:rsid w:val="00C56855"/>
    <w:rsid w:val="00C6151C"/>
    <w:rsid w:val="00C63209"/>
    <w:rsid w:val="00C64293"/>
    <w:rsid w:val="00C64818"/>
    <w:rsid w:val="00C70B91"/>
    <w:rsid w:val="00C76AFA"/>
    <w:rsid w:val="00C808AD"/>
    <w:rsid w:val="00C83361"/>
    <w:rsid w:val="00C83565"/>
    <w:rsid w:val="00C85277"/>
    <w:rsid w:val="00C85604"/>
    <w:rsid w:val="00C86243"/>
    <w:rsid w:val="00C86E2D"/>
    <w:rsid w:val="00C877F4"/>
    <w:rsid w:val="00C91410"/>
    <w:rsid w:val="00C92363"/>
    <w:rsid w:val="00C929E7"/>
    <w:rsid w:val="00C92C11"/>
    <w:rsid w:val="00C9613C"/>
    <w:rsid w:val="00C962C1"/>
    <w:rsid w:val="00C96677"/>
    <w:rsid w:val="00CA051E"/>
    <w:rsid w:val="00CA11AA"/>
    <w:rsid w:val="00CA3422"/>
    <w:rsid w:val="00CA3F26"/>
    <w:rsid w:val="00CA4422"/>
    <w:rsid w:val="00CA761A"/>
    <w:rsid w:val="00CB1750"/>
    <w:rsid w:val="00CB2F5E"/>
    <w:rsid w:val="00CB3725"/>
    <w:rsid w:val="00CB40EA"/>
    <w:rsid w:val="00CB48AF"/>
    <w:rsid w:val="00CB4E5C"/>
    <w:rsid w:val="00CB53EB"/>
    <w:rsid w:val="00CB5AE6"/>
    <w:rsid w:val="00CB6D47"/>
    <w:rsid w:val="00CC110E"/>
    <w:rsid w:val="00CC1CB4"/>
    <w:rsid w:val="00CC27E5"/>
    <w:rsid w:val="00CC4E22"/>
    <w:rsid w:val="00CC5E2F"/>
    <w:rsid w:val="00CD2613"/>
    <w:rsid w:val="00CD4B81"/>
    <w:rsid w:val="00CD5BF8"/>
    <w:rsid w:val="00CD6127"/>
    <w:rsid w:val="00CD7109"/>
    <w:rsid w:val="00CE1109"/>
    <w:rsid w:val="00CF0391"/>
    <w:rsid w:val="00CF2662"/>
    <w:rsid w:val="00CF3D2E"/>
    <w:rsid w:val="00CF3E02"/>
    <w:rsid w:val="00D033B7"/>
    <w:rsid w:val="00D0436F"/>
    <w:rsid w:val="00D04BE1"/>
    <w:rsid w:val="00D0696C"/>
    <w:rsid w:val="00D06CFE"/>
    <w:rsid w:val="00D131DA"/>
    <w:rsid w:val="00D136E9"/>
    <w:rsid w:val="00D15F29"/>
    <w:rsid w:val="00D15FB9"/>
    <w:rsid w:val="00D22C62"/>
    <w:rsid w:val="00D2396D"/>
    <w:rsid w:val="00D25043"/>
    <w:rsid w:val="00D2597F"/>
    <w:rsid w:val="00D25C65"/>
    <w:rsid w:val="00D2785A"/>
    <w:rsid w:val="00D300F5"/>
    <w:rsid w:val="00D30DDB"/>
    <w:rsid w:val="00D31F42"/>
    <w:rsid w:val="00D331F2"/>
    <w:rsid w:val="00D33300"/>
    <w:rsid w:val="00D34358"/>
    <w:rsid w:val="00D355E1"/>
    <w:rsid w:val="00D364ED"/>
    <w:rsid w:val="00D377E5"/>
    <w:rsid w:val="00D411B3"/>
    <w:rsid w:val="00D442F7"/>
    <w:rsid w:val="00D450B8"/>
    <w:rsid w:val="00D45278"/>
    <w:rsid w:val="00D47533"/>
    <w:rsid w:val="00D502B1"/>
    <w:rsid w:val="00D516D3"/>
    <w:rsid w:val="00D51896"/>
    <w:rsid w:val="00D60F25"/>
    <w:rsid w:val="00D62292"/>
    <w:rsid w:val="00D633F3"/>
    <w:rsid w:val="00D676DC"/>
    <w:rsid w:val="00D71DE1"/>
    <w:rsid w:val="00D71FA3"/>
    <w:rsid w:val="00D76922"/>
    <w:rsid w:val="00D77796"/>
    <w:rsid w:val="00D80269"/>
    <w:rsid w:val="00D8278D"/>
    <w:rsid w:val="00D83C32"/>
    <w:rsid w:val="00D851D7"/>
    <w:rsid w:val="00D85A00"/>
    <w:rsid w:val="00D920F0"/>
    <w:rsid w:val="00D928BE"/>
    <w:rsid w:val="00D9586C"/>
    <w:rsid w:val="00D969BA"/>
    <w:rsid w:val="00DA0AB3"/>
    <w:rsid w:val="00DA0E47"/>
    <w:rsid w:val="00DA1A4C"/>
    <w:rsid w:val="00DA1DF3"/>
    <w:rsid w:val="00DA2B65"/>
    <w:rsid w:val="00DA3079"/>
    <w:rsid w:val="00DA5802"/>
    <w:rsid w:val="00DB016D"/>
    <w:rsid w:val="00DB0A63"/>
    <w:rsid w:val="00DB0EB7"/>
    <w:rsid w:val="00DB2063"/>
    <w:rsid w:val="00DB7356"/>
    <w:rsid w:val="00DB7F83"/>
    <w:rsid w:val="00DC24FF"/>
    <w:rsid w:val="00DC2890"/>
    <w:rsid w:val="00DC296F"/>
    <w:rsid w:val="00DC45AA"/>
    <w:rsid w:val="00DC4C70"/>
    <w:rsid w:val="00DC563C"/>
    <w:rsid w:val="00DC59F4"/>
    <w:rsid w:val="00DC6F15"/>
    <w:rsid w:val="00DC7C23"/>
    <w:rsid w:val="00DC7E58"/>
    <w:rsid w:val="00DD28D4"/>
    <w:rsid w:val="00DD292C"/>
    <w:rsid w:val="00DD3036"/>
    <w:rsid w:val="00DD4041"/>
    <w:rsid w:val="00DD4181"/>
    <w:rsid w:val="00DD6511"/>
    <w:rsid w:val="00DE2CF8"/>
    <w:rsid w:val="00DE4AF2"/>
    <w:rsid w:val="00DE6697"/>
    <w:rsid w:val="00DE6C30"/>
    <w:rsid w:val="00DE7084"/>
    <w:rsid w:val="00DF093D"/>
    <w:rsid w:val="00DF1114"/>
    <w:rsid w:val="00DF236F"/>
    <w:rsid w:val="00DF26F4"/>
    <w:rsid w:val="00DF3F7B"/>
    <w:rsid w:val="00DF7292"/>
    <w:rsid w:val="00DF7FF7"/>
    <w:rsid w:val="00E02DAC"/>
    <w:rsid w:val="00E063E6"/>
    <w:rsid w:val="00E06A9A"/>
    <w:rsid w:val="00E0704A"/>
    <w:rsid w:val="00E0751E"/>
    <w:rsid w:val="00E07F07"/>
    <w:rsid w:val="00E11E96"/>
    <w:rsid w:val="00E12D89"/>
    <w:rsid w:val="00E17698"/>
    <w:rsid w:val="00E177C1"/>
    <w:rsid w:val="00E20536"/>
    <w:rsid w:val="00E20C59"/>
    <w:rsid w:val="00E213EB"/>
    <w:rsid w:val="00E24168"/>
    <w:rsid w:val="00E25CAD"/>
    <w:rsid w:val="00E27956"/>
    <w:rsid w:val="00E30A6D"/>
    <w:rsid w:val="00E31F6A"/>
    <w:rsid w:val="00E35EA8"/>
    <w:rsid w:val="00E3652F"/>
    <w:rsid w:val="00E36D48"/>
    <w:rsid w:val="00E40636"/>
    <w:rsid w:val="00E41239"/>
    <w:rsid w:val="00E44542"/>
    <w:rsid w:val="00E45157"/>
    <w:rsid w:val="00E60A2B"/>
    <w:rsid w:val="00E60DFC"/>
    <w:rsid w:val="00E63902"/>
    <w:rsid w:val="00E64686"/>
    <w:rsid w:val="00E66219"/>
    <w:rsid w:val="00E67B54"/>
    <w:rsid w:val="00E71342"/>
    <w:rsid w:val="00E715E0"/>
    <w:rsid w:val="00E75113"/>
    <w:rsid w:val="00E761BA"/>
    <w:rsid w:val="00E76553"/>
    <w:rsid w:val="00E8145C"/>
    <w:rsid w:val="00E81958"/>
    <w:rsid w:val="00E81B0A"/>
    <w:rsid w:val="00E81C95"/>
    <w:rsid w:val="00E82A74"/>
    <w:rsid w:val="00E84106"/>
    <w:rsid w:val="00E8410F"/>
    <w:rsid w:val="00E84126"/>
    <w:rsid w:val="00E857F6"/>
    <w:rsid w:val="00E85947"/>
    <w:rsid w:val="00E876AD"/>
    <w:rsid w:val="00E87FD9"/>
    <w:rsid w:val="00E9081E"/>
    <w:rsid w:val="00E91B32"/>
    <w:rsid w:val="00E92734"/>
    <w:rsid w:val="00E93491"/>
    <w:rsid w:val="00E94556"/>
    <w:rsid w:val="00E95668"/>
    <w:rsid w:val="00E96549"/>
    <w:rsid w:val="00E97078"/>
    <w:rsid w:val="00EA04E4"/>
    <w:rsid w:val="00EA14E6"/>
    <w:rsid w:val="00EA2154"/>
    <w:rsid w:val="00EA319C"/>
    <w:rsid w:val="00EA428D"/>
    <w:rsid w:val="00EA77D3"/>
    <w:rsid w:val="00EA7A74"/>
    <w:rsid w:val="00EA7EDE"/>
    <w:rsid w:val="00EB46F2"/>
    <w:rsid w:val="00EB50AA"/>
    <w:rsid w:val="00EB5658"/>
    <w:rsid w:val="00EB693B"/>
    <w:rsid w:val="00EC1CE4"/>
    <w:rsid w:val="00EC1D2F"/>
    <w:rsid w:val="00EC5624"/>
    <w:rsid w:val="00EC5BEB"/>
    <w:rsid w:val="00EC7190"/>
    <w:rsid w:val="00EC7761"/>
    <w:rsid w:val="00EC7E2B"/>
    <w:rsid w:val="00ED0A5C"/>
    <w:rsid w:val="00ED1CB5"/>
    <w:rsid w:val="00ED275F"/>
    <w:rsid w:val="00ED3FB7"/>
    <w:rsid w:val="00ED506E"/>
    <w:rsid w:val="00ED5FF6"/>
    <w:rsid w:val="00ED7089"/>
    <w:rsid w:val="00EE11DD"/>
    <w:rsid w:val="00EE18C4"/>
    <w:rsid w:val="00EE1D0A"/>
    <w:rsid w:val="00EE1D15"/>
    <w:rsid w:val="00EE2884"/>
    <w:rsid w:val="00EE367C"/>
    <w:rsid w:val="00EE3F79"/>
    <w:rsid w:val="00EE4453"/>
    <w:rsid w:val="00EE6276"/>
    <w:rsid w:val="00EE70AF"/>
    <w:rsid w:val="00EF1906"/>
    <w:rsid w:val="00EF3ACA"/>
    <w:rsid w:val="00EF3F65"/>
    <w:rsid w:val="00EF6F15"/>
    <w:rsid w:val="00F00B32"/>
    <w:rsid w:val="00F01D18"/>
    <w:rsid w:val="00F0205B"/>
    <w:rsid w:val="00F04DC8"/>
    <w:rsid w:val="00F057C8"/>
    <w:rsid w:val="00F07436"/>
    <w:rsid w:val="00F07785"/>
    <w:rsid w:val="00F10421"/>
    <w:rsid w:val="00F12D21"/>
    <w:rsid w:val="00F14D1E"/>
    <w:rsid w:val="00F17D2D"/>
    <w:rsid w:val="00F22405"/>
    <w:rsid w:val="00F26774"/>
    <w:rsid w:val="00F26931"/>
    <w:rsid w:val="00F27CD4"/>
    <w:rsid w:val="00F30520"/>
    <w:rsid w:val="00F334E2"/>
    <w:rsid w:val="00F34B22"/>
    <w:rsid w:val="00F362DF"/>
    <w:rsid w:val="00F36865"/>
    <w:rsid w:val="00F41B58"/>
    <w:rsid w:val="00F43D9A"/>
    <w:rsid w:val="00F4444A"/>
    <w:rsid w:val="00F447C9"/>
    <w:rsid w:val="00F44AF2"/>
    <w:rsid w:val="00F47CF2"/>
    <w:rsid w:val="00F47F31"/>
    <w:rsid w:val="00F51EE8"/>
    <w:rsid w:val="00F5317C"/>
    <w:rsid w:val="00F621F3"/>
    <w:rsid w:val="00F6293A"/>
    <w:rsid w:val="00F679B2"/>
    <w:rsid w:val="00F70127"/>
    <w:rsid w:val="00F702FA"/>
    <w:rsid w:val="00F729B9"/>
    <w:rsid w:val="00F72BDF"/>
    <w:rsid w:val="00F72D96"/>
    <w:rsid w:val="00F74033"/>
    <w:rsid w:val="00F758D0"/>
    <w:rsid w:val="00F80F35"/>
    <w:rsid w:val="00F83068"/>
    <w:rsid w:val="00F85E5E"/>
    <w:rsid w:val="00F936B7"/>
    <w:rsid w:val="00F944EF"/>
    <w:rsid w:val="00F94D53"/>
    <w:rsid w:val="00F97286"/>
    <w:rsid w:val="00FA2F46"/>
    <w:rsid w:val="00FA3895"/>
    <w:rsid w:val="00FA49FB"/>
    <w:rsid w:val="00FA5292"/>
    <w:rsid w:val="00FA5527"/>
    <w:rsid w:val="00FA576C"/>
    <w:rsid w:val="00FA58B8"/>
    <w:rsid w:val="00FA6948"/>
    <w:rsid w:val="00FA6965"/>
    <w:rsid w:val="00FA7E7D"/>
    <w:rsid w:val="00FA7F23"/>
    <w:rsid w:val="00FA7F52"/>
    <w:rsid w:val="00FB0B44"/>
    <w:rsid w:val="00FB0E43"/>
    <w:rsid w:val="00FB18A2"/>
    <w:rsid w:val="00FB39E2"/>
    <w:rsid w:val="00FB4BC0"/>
    <w:rsid w:val="00FB7717"/>
    <w:rsid w:val="00FC1BE0"/>
    <w:rsid w:val="00FD086E"/>
    <w:rsid w:val="00FD287F"/>
    <w:rsid w:val="00FD5C34"/>
    <w:rsid w:val="00FE2E2E"/>
    <w:rsid w:val="00FE3E59"/>
    <w:rsid w:val="00FE4B35"/>
    <w:rsid w:val="00FF08B7"/>
    <w:rsid w:val="00FF4E9F"/>
    <w:rsid w:val="00FF54B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1A085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4F1C"/>
    <w:pPr>
      <w:spacing w:after="0" w:line="240" w:lineRule="auto"/>
    </w:pPr>
    <w:rPr>
      <w:rFonts w:eastAsia="Times New Roman" w:cs="Times New Roman"/>
      <w:kern w:val="0"/>
      <w:lang w:val="lv-LV" w:eastAsia="ru-RU"/>
      <w14:ligatures w14:val="none"/>
    </w:rPr>
  </w:style>
  <w:style w:type="paragraph" w:styleId="Heading1">
    <w:name w:val="heading 1"/>
    <w:basedOn w:val="Normal"/>
    <w:next w:val="Normal"/>
    <w:link w:val="Heading1Char"/>
    <w:uiPriority w:val="9"/>
    <w:qFormat/>
    <w:rsid w:val="00884F1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84F1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84F1C"/>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84F1C"/>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884F1C"/>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884F1C"/>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84F1C"/>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84F1C"/>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84F1C"/>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4F1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84F1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84F1C"/>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84F1C"/>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884F1C"/>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884F1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84F1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84F1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84F1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84F1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4F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4F1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4F1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84F1C"/>
    <w:pPr>
      <w:spacing w:before="160"/>
      <w:jc w:val="center"/>
    </w:pPr>
    <w:rPr>
      <w:i/>
      <w:iCs/>
      <w:color w:val="404040" w:themeColor="text1" w:themeTint="BF"/>
    </w:rPr>
  </w:style>
  <w:style w:type="character" w:customStyle="1" w:styleId="QuoteChar">
    <w:name w:val="Quote Char"/>
    <w:basedOn w:val="DefaultParagraphFont"/>
    <w:link w:val="Quote"/>
    <w:uiPriority w:val="29"/>
    <w:rsid w:val="00884F1C"/>
    <w:rPr>
      <w:i/>
      <w:iCs/>
      <w:color w:val="404040" w:themeColor="text1" w:themeTint="BF"/>
    </w:rPr>
  </w:style>
  <w:style w:type="paragraph" w:styleId="ListParagraph">
    <w:name w:val="List Paragraph"/>
    <w:basedOn w:val="Normal"/>
    <w:uiPriority w:val="34"/>
    <w:qFormat/>
    <w:rsid w:val="00884F1C"/>
    <w:pPr>
      <w:ind w:left="720"/>
      <w:contextualSpacing/>
    </w:pPr>
  </w:style>
  <w:style w:type="character" w:styleId="IntenseEmphasis">
    <w:name w:val="Intense Emphasis"/>
    <w:basedOn w:val="DefaultParagraphFont"/>
    <w:uiPriority w:val="21"/>
    <w:qFormat/>
    <w:rsid w:val="00884F1C"/>
    <w:rPr>
      <w:i/>
      <w:iCs/>
      <w:color w:val="2F5496" w:themeColor="accent1" w:themeShade="BF"/>
    </w:rPr>
  </w:style>
  <w:style w:type="paragraph" w:styleId="IntenseQuote">
    <w:name w:val="Intense Quote"/>
    <w:basedOn w:val="Normal"/>
    <w:next w:val="Normal"/>
    <w:link w:val="IntenseQuoteChar"/>
    <w:uiPriority w:val="30"/>
    <w:qFormat/>
    <w:rsid w:val="00884F1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84F1C"/>
    <w:rPr>
      <w:i/>
      <w:iCs/>
      <w:color w:val="2F5496" w:themeColor="accent1" w:themeShade="BF"/>
    </w:rPr>
  </w:style>
  <w:style w:type="character" w:styleId="IntenseReference">
    <w:name w:val="Intense Reference"/>
    <w:basedOn w:val="DefaultParagraphFont"/>
    <w:uiPriority w:val="32"/>
    <w:qFormat/>
    <w:rsid w:val="00884F1C"/>
    <w:rPr>
      <w:b/>
      <w:bCs/>
      <w:smallCaps/>
      <w:color w:val="2F5496" w:themeColor="accent1" w:themeShade="BF"/>
      <w:spacing w:val="5"/>
    </w:rPr>
  </w:style>
  <w:style w:type="paragraph" w:styleId="BodyText2">
    <w:name w:val="Body Text 2"/>
    <w:basedOn w:val="Normal"/>
    <w:link w:val="BodyText2Char"/>
    <w:rsid w:val="00884F1C"/>
    <w:pPr>
      <w:spacing w:after="120" w:line="480" w:lineRule="auto"/>
    </w:pPr>
    <w:rPr>
      <w:lang w:val="x-none"/>
    </w:rPr>
  </w:style>
  <w:style w:type="character" w:customStyle="1" w:styleId="BodyText2Char">
    <w:name w:val="Body Text 2 Char"/>
    <w:basedOn w:val="DefaultParagraphFont"/>
    <w:link w:val="BodyText2"/>
    <w:rsid w:val="00884F1C"/>
    <w:rPr>
      <w:rFonts w:eastAsia="Times New Roman" w:cs="Times New Roman"/>
      <w:kern w:val="0"/>
      <w:lang w:val="x-none" w:eastAsia="ru-RU"/>
      <w14:ligatures w14:val="none"/>
    </w:rPr>
  </w:style>
  <w:style w:type="paragraph" w:styleId="Footer">
    <w:name w:val="footer"/>
    <w:basedOn w:val="Normal"/>
    <w:link w:val="FooterChar"/>
    <w:unhideWhenUsed/>
    <w:rsid w:val="00884F1C"/>
    <w:pPr>
      <w:tabs>
        <w:tab w:val="center" w:pos="4153"/>
        <w:tab w:val="right" w:pos="8306"/>
      </w:tabs>
    </w:pPr>
  </w:style>
  <w:style w:type="character" w:customStyle="1" w:styleId="FooterChar">
    <w:name w:val="Footer Char"/>
    <w:basedOn w:val="DefaultParagraphFont"/>
    <w:link w:val="Footer"/>
    <w:rsid w:val="00884F1C"/>
    <w:rPr>
      <w:rFonts w:eastAsia="Times New Roman" w:cs="Times New Roman"/>
      <w:kern w:val="0"/>
      <w:lang w:val="lv-LV" w:eastAsia="ru-RU"/>
      <w14:ligatures w14:val="none"/>
    </w:rPr>
  </w:style>
  <w:style w:type="character" w:styleId="PageNumber">
    <w:name w:val="page number"/>
    <w:basedOn w:val="DefaultParagraphFont"/>
    <w:rsid w:val="00884F1C"/>
  </w:style>
  <w:style w:type="paragraph" w:customStyle="1" w:styleId="ATpamattesksts">
    <w:name w:val="AT pamattesksts"/>
    <w:basedOn w:val="BodyText2"/>
    <w:link w:val="ATpamatteskstsChar"/>
    <w:qFormat/>
    <w:rsid w:val="00884F1C"/>
    <w:pPr>
      <w:spacing w:after="0" w:line="276" w:lineRule="auto"/>
      <w:ind w:firstLine="567"/>
      <w:jc w:val="both"/>
    </w:pPr>
    <w:rPr>
      <w:lang w:val="lv-LV"/>
    </w:rPr>
  </w:style>
  <w:style w:type="character" w:customStyle="1" w:styleId="ATpamatteskstsChar">
    <w:name w:val="AT pamattesksts Char"/>
    <w:basedOn w:val="BodyText2Char"/>
    <w:link w:val="ATpamattesksts"/>
    <w:rsid w:val="00884F1C"/>
    <w:rPr>
      <w:rFonts w:eastAsia="Times New Roman" w:cs="Times New Roman"/>
      <w:kern w:val="0"/>
      <w:lang w:val="lv-LV" w:eastAsia="ru-RU"/>
      <w14:ligatures w14:val="none"/>
    </w:rPr>
  </w:style>
  <w:style w:type="paragraph" w:customStyle="1" w:styleId="ATvirsraksts">
    <w:name w:val="AT virsraksts"/>
    <w:basedOn w:val="Normal"/>
    <w:link w:val="ATvirsrakstsChar"/>
    <w:qFormat/>
    <w:rsid w:val="00884F1C"/>
    <w:pPr>
      <w:spacing w:line="276" w:lineRule="auto"/>
      <w:jc w:val="center"/>
      <w:outlineLvl w:val="0"/>
    </w:pPr>
    <w:rPr>
      <w:b/>
    </w:rPr>
  </w:style>
  <w:style w:type="character" w:customStyle="1" w:styleId="ATvirsrakstsChar">
    <w:name w:val="AT virsraksts Char"/>
    <w:basedOn w:val="DefaultParagraphFont"/>
    <w:link w:val="ATvirsraksts"/>
    <w:rsid w:val="00884F1C"/>
    <w:rPr>
      <w:rFonts w:eastAsia="Times New Roman" w:cs="Times New Roman"/>
      <w:b/>
      <w:kern w:val="0"/>
      <w:lang w:val="lv-LV" w:eastAsia="ru-RU"/>
      <w14:ligatures w14:val="none"/>
    </w:rPr>
  </w:style>
  <w:style w:type="character" w:styleId="Hyperlink">
    <w:name w:val="Hyperlink"/>
    <w:basedOn w:val="DefaultParagraphFont"/>
    <w:uiPriority w:val="99"/>
    <w:unhideWhenUsed/>
    <w:rsid w:val="00884F1C"/>
    <w:rPr>
      <w:color w:val="0563C1" w:themeColor="hyperlink"/>
      <w:u w:val="single"/>
    </w:rPr>
  </w:style>
  <w:style w:type="paragraph" w:styleId="NormalWeb">
    <w:name w:val="Normal (Web)"/>
    <w:basedOn w:val="Normal"/>
    <w:uiPriority w:val="99"/>
    <w:rsid w:val="00884F1C"/>
    <w:pPr>
      <w:spacing w:before="100" w:beforeAutospacing="1" w:after="100" w:afterAutospacing="1"/>
    </w:pPr>
    <w:rPr>
      <w:lang w:eastAsia="lv-LV"/>
    </w:rPr>
  </w:style>
  <w:style w:type="paragraph" w:styleId="ListBullet">
    <w:name w:val="List Bullet"/>
    <w:basedOn w:val="Normal"/>
    <w:uiPriority w:val="99"/>
    <w:unhideWhenUsed/>
    <w:rsid w:val="00884F1C"/>
    <w:pPr>
      <w:numPr>
        <w:numId w:val="1"/>
      </w:numPr>
      <w:contextualSpacing/>
    </w:pPr>
  </w:style>
  <w:style w:type="character" w:styleId="UnresolvedMention">
    <w:name w:val="Unresolved Mention"/>
    <w:basedOn w:val="DefaultParagraphFont"/>
    <w:uiPriority w:val="99"/>
    <w:semiHidden/>
    <w:unhideWhenUsed/>
    <w:rsid w:val="00ED5FF6"/>
    <w:rPr>
      <w:color w:val="605E5C"/>
      <w:shd w:val="clear" w:color="auto" w:fill="E1DFDD"/>
    </w:rPr>
  </w:style>
  <w:style w:type="character" w:styleId="CommentReference">
    <w:name w:val="annotation reference"/>
    <w:basedOn w:val="DefaultParagraphFont"/>
    <w:uiPriority w:val="99"/>
    <w:semiHidden/>
    <w:unhideWhenUsed/>
    <w:rsid w:val="009815F8"/>
    <w:rPr>
      <w:sz w:val="16"/>
      <w:szCs w:val="16"/>
    </w:rPr>
  </w:style>
  <w:style w:type="paragraph" w:styleId="CommentText">
    <w:name w:val="annotation text"/>
    <w:basedOn w:val="Normal"/>
    <w:link w:val="CommentTextChar"/>
    <w:uiPriority w:val="99"/>
    <w:unhideWhenUsed/>
    <w:rsid w:val="009815F8"/>
    <w:rPr>
      <w:sz w:val="20"/>
      <w:szCs w:val="20"/>
    </w:rPr>
  </w:style>
  <w:style w:type="character" w:customStyle="1" w:styleId="CommentTextChar">
    <w:name w:val="Comment Text Char"/>
    <w:basedOn w:val="DefaultParagraphFont"/>
    <w:link w:val="CommentText"/>
    <w:uiPriority w:val="99"/>
    <w:rsid w:val="009815F8"/>
    <w:rPr>
      <w:rFonts w:eastAsia="Times New Roman" w:cs="Times New Roman"/>
      <w:kern w:val="0"/>
      <w:sz w:val="20"/>
      <w:szCs w:val="20"/>
      <w:lang w:val="lv-LV" w:eastAsia="ru-RU"/>
      <w14:ligatures w14:val="none"/>
    </w:rPr>
  </w:style>
  <w:style w:type="paragraph" w:styleId="CommentSubject">
    <w:name w:val="annotation subject"/>
    <w:basedOn w:val="CommentText"/>
    <w:next w:val="CommentText"/>
    <w:link w:val="CommentSubjectChar"/>
    <w:uiPriority w:val="99"/>
    <w:semiHidden/>
    <w:unhideWhenUsed/>
    <w:rsid w:val="009815F8"/>
    <w:rPr>
      <w:b/>
      <w:bCs/>
    </w:rPr>
  </w:style>
  <w:style w:type="character" w:customStyle="1" w:styleId="CommentSubjectChar">
    <w:name w:val="Comment Subject Char"/>
    <w:basedOn w:val="CommentTextChar"/>
    <w:link w:val="CommentSubject"/>
    <w:uiPriority w:val="99"/>
    <w:semiHidden/>
    <w:rsid w:val="009815F8"/>
    <w:rPr>
      <w:rFonts w:eastAsia="Times New Roman" w:cs="Times New Roman"/>
      <w:b/>
      <w:bCs/>
      <w:kern w:val="0"/>
      <w:sz w:val="20"/>
      <w:szCs w:val="20"/>
      <w:lang w:val="lv-LV" w:eastAsia="ru-RU"/>
      <w14:ligatures w14:val="none"/>
    </w:rPr>
  </w:style>
  <w:style w:type="paragraph" w:styleId="Revision">
    <w:name w:val="Revision"/>
    <w:hidden/>
    <w:uiPriority w:val="99"/>
    <w:semiHidden/>
    <w:rsid w:val="001A6DBC"/>
    <w:pPr>
      <w:spacing w:after="0" w:line="240" w:lineRule="auto"/>
    </w:pPr>
    <w:rPr>
      <w:rFonts w:eastAsia="Times New Roman" w:cs="Times New Roman"/>
      <w:kern w:val="0"/>
      <w:lang w:val="lv-LV" w:eastAsia="ru-RU"/>
      <w14:ligatures w14:val="none"/>
    </w:rPr>
  </w:style>
  <w:style w:type="character" w:styleId="FollowedHyperlink">
    <w:name w:val="FollowedHyperlink"/>
    <w:basedOn w:val="DefaultParagraphFont"/>
    <w:uiPriority w:val="99"/>
    <w:semiHidden/>
    <w:unhideWhenUsed/>
    <w:rsid w:val="002D5F90"/>
    <w:rPr>
      <w:color w:val="954F72" w:themeColor="followedHyperlink"/>
      <w:u w:val="single"/>
    </w:rPr>
  </w:style>
  <w:style w:type="paragraph" w:customStyle="1" w:styleId="Default">
    <w:name w:val="Default"/>
    <w:rsid w:val="00E97078"/>
    <w:pPr>
      <w:autoSpaceDE w:val="0"/>
      <w:autoSpaceDN w:val="0"/>
      <w:adjustRightInd w:val="0"/>
      <w:spacing w:after="0" w:line="240" w:lineRule="auto"/>
    </w:pPr>
    <w:rPr>
      <w:rFonts w:cs="Times New Roman"/>
      <w:color w:val="000000"/>
      <w:kern w:val="0"/>
    </w:rPr>
  </w:style>
  <w:style w:type="paragraph" w:customStyle="1" w:styleId="Style1">
    <w:name w:val="Style1"/>
    <w:basedOn w:val="Normal"/>
    <w:link w:val="Style1Char"/>
    <w:qFormat/>
    <w:rsid w:val="009D646D"/>
    <w:pPr>
      <w:spacing w:line="276" w:lineRule="auto"/>
      <w:ind w:firstLine="720"/>
      <w:jc w:val="both"/>
    </w:pPr>
  </w:style>
  <w:style w:type="character" w:customStyle="1" w:styleId="Style1Char">
    <w:name w:val="Style1 Char"/>
    <w:basedOn w:val="DefaultParagraphFont"/>
    <w:link w:val="Style1"/>
    <w:rsid w:val="009D646D"/>
    <w:rPr>
      <w:rFonts w:eastAsia="Times New Roman" w:cs="Times New Roman"/>
      <w:kern w:val="0"/>
      <w:lang w:val="lv-LV" w:eastAsia="ru-RU"/>
      <w14:ligatures w14:val="none"/>
    </w:rPr>
  </w:style>
  <w:style w:type="paragraph" w:styleId="Header">
    <w:name w:val="header"/>
    <w:basedOn w:val="Normal"/>
    <w:link w:val="HeaderChar"/>
    <w:uiPriority w:val="99"/>
    <w:unhideWhenUsed/>
    <w:rsid w:val="009D646D"/>
    <w:pPr>
      <w:tabs>
        <w:tab w:val="center" w:pos="4320"/>
        <w:tab w:val="right" w:pos="8640"/>
      </w:tabs>
    </w:pPr>
  </w:style>
  <w:style w:type="character" w:customStyle="1" w:styleId="HeaderChar">
    <w:name w:val="Header Char"/>
    <w:basedOn w:val="DefaultParagraphFont"/>
    <w:link w:val="Header"/>
    <w:uiPriority w:val="99"/>
    <w:rsid w:val="009D646D"/>
    <w:rPr>
      <w:rFonts w:eastAsia="Times New Roman" w:cs="Times New Roman"/>
      <w:kern w:val="0"/>
      <w:lang w:val="lv-LV" w:eastAsia="ru-RU"/>
      <w14:ligatures w14:val="none"/>
    </w:rPr>
  </w:style>
  <w:style w:type="paragraph" w:styleId="FootnoteText">
    <w:name w:val="footnote text"/>
    <w:basedOn w:val="Normal"/>
    <w:link w:val="FootnoteTextChar"/>
    <w:uiPriority w:val="99"/>
    <w:semiHidden/>
    <w:unhideWhenUsed/>
    <w:rsid w:val="002E7580"/>
    <w:rPr>
      <w:sz w:val="20"/>
      <w:szCs w:val="20"/>
    </w:rPr>
  </w:style>
  <w:style w:type="character" w:customStyle="1" w:styleId="FootnoteTextChar">
    <w:name w:val="Footnote Text Char"/>
    <w:basedOn w:val="DefaultParagraphFont"/>
    <w:link w:val="FootnoteText"/>
    <w:uiPriority w:val="99"/>
    <w:semiHidden/>
    <w:rsid w:val="002E7580"/>
    <w:rPr>
      <w:rFonts w:eastAsia="Times New Roman" w:cs="Times New Roman"/>
      <w:kern w:val="0"/>
      <w:sz w:val="20"/>
      <w:szCs w:val="20"/>
      <w:lang w:val="lv-LV" w:eastAsia="ru-RU"/>
      <w14:ligatures w14:val="none"/>
    </w:rPr>
  </w:style>
  <w:style w:type="character" w:styleId="FootnoteReference">
    <w:name w:val="footnote reference"/>
    <w:basedOn w:val="DefaultParagraphFont"/>
    <w:uiPriority w:val="99"/>
    <w:semiHidden/>
    <w:unhideWhenUsed/>
    <w:rsid w:val="002E758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3340292">
      <w:bodyDiv w:val="1"/>
      <w:marLeft w:val="0"/>
      <w:marRight w:val="0"/>
      <w:marTop w:val="0"/>
      <w:marBottom w:val="0"/>
      <w:divBdr>
        <w:top w:val="none" w:sz="0" w:space="0" w:color="auto"/>
        <w:left w:val="none" w:sz="0" w:space="0" w:color="auto"/>
        <w:bottom w:val="none" w:sz="0" w:space="0" w:color="auto"/>
        <w:right w:val="none" w:sz="0" w:space="0" w:color="auto"/>
      </w:divBdr>
    </w:div>
    <w:div w:id="2084402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ateway.elieta.lv/api/v1/PublicMaterialDownload/8ef6967d-ec93-4427-9785-57dcff31f4ae" TargetMode="External"/><Relationship Id="rId13" Type="http://schemas.openxmlformats.org/officeDocument/2006/relationships/hyperlink" Target="https://manas.tiesas.lv/eTiesasMvc/eclinolemumi/ECLI:LV:AT:2021:1108.A420229019.10.L" TargetMode="External"/><Relationship Id="rId18" Type="http://schemas.openxmlformats.org/officeDocument/2006/relationships/hyperlink" Target="https://likumi.lv/ta/id/314560-par-tiesvedibas-izbeigsanu-lieta-nr-2019-21-01" TargetMode="External"/><Relationship Id="rId26" Type="http://schemas.openxmlformats.org/officeDocument/2006/relationships/hyperlink" Target="https://hudoc.echr.coe.int/?i=001-174617" TargetMode="External"/><Relationship Id="rId3" Type="http://schemas.openxmlformats.org/officeDocument/2006/relationships/styles" Target="styles.xml"/><Relationship Id="rId21" Type="http://schemas.openxmlformats.org/officeDocument/2006/relationships/hyperlink" Target="https://hudoc.echr.coe.int/?i=001-219654" TargetMode="External"/><Relationship Id="rId7" Type="http://schemas.openxmlformats.org/officeDocument/2006/relationships/endnotes" Target="endnotes.xml"/><Relationship Id="rId12" Type="http://schemas.openxmlformats.org/officeDocument/2006/relationships/hyperlink" Target="https://manas.tiesas.lv/eTiesasMvc/eclinolemumi/ECLI:LV:AT:2021:0618.A420160919.12.S" TargetMode="External"/><Relationship Id="rId17" Type="http://schemas.openxmlformats.org/officeDocument/2006/relationships/hyperlink" Target="https://gateway.elieta.lv/api/v1/PublicMaterialDownload/ffaac5ed-15ce-4a4c-abd2-4396f7e79f5e" TargetMode="External"/><Relationship Id="rId25" Type="http://schemas.openxmlformats.org/officeDocument/2006/relationships/hyperlink" Target="https://hudoc.echr.coe.int/?i=001-237506" TargetMode="External"/><Relationship Id="rId2" Type="http://schemas.openxmlformats.org/officeDocument/2006/relationships/numbering" Target="numbering.xml"/><Relationship Id="rId16" Type="http://schemas.openxmlformats.org/officeDocument/2006/relationships/hyperlink" Target="https://manas.tiesas.lv/eTiesasMvc/nolemumi/pdf/450482.pdf" TargetMode="External"/><Relationship Id="rId20" Type="http://schemas.openxmlformats.org/officeDocument/2006/relationships/hyperlink" Target="https://tapportals.mk.gov.lv/attachments/legal_acts/document_versions/2e32e4ca-f296-4fee-aa50-554e81e06b76/download" TargetMode="External"/><Relationship Id="rId29" Type="http://schemas.openxmlformats.org/officeDocument/2006/relationships/hyperlink" Target="https://rm.coe.int/native/0900001680b4c02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anas.tiesas.lv/eTiesasMvc/eclinolemumi/ECLI:LV:AT:2022:0831.A420262818.11.S" TargetMode="External"/><Relationship Id="rId24" Type="http://schemas.openxmlformats.org/officeDocument/2006/relationships/hyperlink" Target="https://www.fatf-gafi.org/content/dam/fatf-gafi/reports/FATF-Egmont-Concealment-beneficial-ownership.pdf"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hudoc.echr.coe.int/?i=001-220717" TargetMode="External"/><Relationship Id="rId23" Type="http://schemas.openxmlformats.org/officeDocument/2006/relationships/hyperlink" Target="https://edoc.coe.int/en/module/ec_addformat/download?cle=d7da8f9d99e5ed3ac7ab00568ae36915&amp;k=cd83526714034e32f1bd71b914455143" TargetMode="External"/><Relationship Id="rId28" Type="http://schemas.openxmlformats.org/officeDocument/2006/relationships/hyperlink" Target="https://hudoc.echr.coe.int/?i=001-225316" TargetMode="External"/><Relationship Id="rId10" Type="http://schemas.openxmlformats.org/officeDocument/2006/relationships/hyperlink" Target="https://likumi.lv/ta/id/107820-kriminalprocesa-likums" TargetMode="External"/><Relationship Id="rId19" Type="http://schemas.openxmlformats.org/officeDocument/2006/relationships/hyperlink" Target="https://www.coe.int/en/web/conventions/full-list?module=signatures-by-treaty&amp;treatynum=226"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ikumi.lv/ta/id/55567-administrativa-procesa-likums" TargetMode="External"/><Relationship Id="rId14" Type="http://schemas.openxmlformats.org/officeDocument/2006/relationships/hyperlink" Target="https://hudoc.echr.coe.int/?i=001-145006" TargetMode="External"/><Relationship Id="rId22" Type="http://schemas.openxmlformats.org/officeDocument/2006/relationships/hyperlink" Target="https://fintrac-canafe.canada.ca/intel/bulletins/legal-juridique-eng.pdf" TargetMode="External"/><Relationship Id="rId27" Type="http://schemas.openxmlformats.org/officeDocument/2006/relationships/hyperlink" Target="https://hudoc.echr.coe.int/?i=001-225316"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16339B-A2D3-4606-A5AE-8A162469F7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25133</Words>
  <Characters>14327</Characters>
  <Application>Microsoft Office Word</Application>
  <DocSecurity>0</DocSecurity>
  <Lines>119</Lines>
  <Paragraphs>78</Paragraphs>
  <ScaleCrop>false</ScaleCrop>
  <Company/>
  <LinksUpToDate>false</LinksUpToDate>
  <CharactersWithSpaces>39382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2026-03-04T09:46:00Z</dcterms:created>
  <dcterms:modified xsi:type="dcterms:W3CDTF">2026-03-04T09:46:00Z</dcterms:modified>
</cp:coreProperties>
</file>