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2500" w14:textId="77777777" w:rsidR="00253BD2" w:rsidRPr="006B1FEE" w:rsidRDefault="00253BD2" w:rsidP="00253BD2">
      <w:pPr>
        <w:ind w:firstLine="0"/>
      </w:pPr>
      <w:r w:rsidRPr="006B1FEE">
        <w:rPr>
          <w:b/>
          <w:bCs/>
        </w:rPr>
        <w:t>Pabeigts atsevišķs turpināts noziedzīgs nodarījums</w:t>
      </w:r>
      <w:r w:rsidRPr="006B1FEE">
        <w:t xml:space="preserve"> </w:t>
      </w:r>
    </w:p>
    <w:p w14:paraId="3D7E2FF1" w14:textId="77777777" w:rsidR="00253BD2" w:rsidRPr="006B1FEE" w:rsidRDefault="00253BD2" w:rsidP="00253BD2">
      <w:pPr>
        <w:ind w:firstLine="0"/>
      </w:pPr>
      <w:r w:rsidRPr="006B1FEE">
        <w:t>Ja kaut viena no turpinātu noziedzīgu nodarījumu veidojošām prettiesiskajām darbībām ir pabeigta, bet cita savstarpēji saistīta tāda pati noziedzīgā darbība nav izdarīta līdz galam no vainīgās personas gribas neatkarīgu iemeslu dēļ, noziedzīgais nodarījums kopumā kvalificējams kā pabeigts, ja vien vainīgās personas līdz galam nerealizētais nodoms nav bijis konkretizēts un vērsts uz smagāka noziedzīga nodarījuma izdarīšanu.</w:t>
      </w:r>
    </w:p>
    <w:p w14:paraId="3FE88BEF" w14:textId="77777777" w:rsidR="00253BD2" w:rsidRPr="006B1FEE" w:rsidRDefault="00253BD2" w:rsidP="00253BD2">
      <w:pPr>
        <w:ind w:firstLine="0"/>
        <w:rPr>
          <w:i/>
          <w:iCs/>
        </w:rPr>
      </w:pPr>
    </w:p>
    <w:p w14:paraId="574D3101" w14:textId="77777777" w:rsidR="00253BD2" w:rsidRPr="00175B3F" w:rsidRDefault="00253BD2" w:rsidP="00253BD2">
      <w:pPr>
        <w:ind w:firstLine="0"/>
        <w:rPr>
          <w:b/>
          <w:bCs/>
        </w:rPr>
      </w:pPr>
      <w:r w:rsidRPr="00175B3F">
        <w:rPr>
          <w:b/>
          <w:bCs/>
        </w:rPr>
        <w:t>Eiropas Savienības noteikto sankciju pārkāpšana (Krimināllikuma 84. pants)</w:t>
      </w:r>
    </w:p>
    <w:p w14:paraId="77F74EA2" w14:textId="77777777" w:rsidR="00253BD2" w:rsidRPr="006B1FEE" w:rsidRDefault="00253BD2" w:rsidP="00253BD2">
      <w:pPr>
        <w:rPr>
          <w:i/>
          <w:iCs/>
        </w:rPr>
      </w:pPr>
    </w:p>
    <w:p w14:paraId="65908FCA" w14:textId="77777777" w:rsidR="00253BD2" w:rsidRPr="00175B3F" w:rsidRDefault="00253BD2" w:rsidP="00253BD2">
      <w:pPr>
        <w:ind w:firstLine="0"/>
        <w:rPr>
          <w:b/>
          <w:bCs/>
        </w:rPr>
      </w:pPr>
      <w:r w:rsidRPr="00175B3F">
        <w:rPr>
          <w:b/>
          <w:bCs/>
        </w:rPr>
        <w:t>Speciālā izmeklēšanas eksperimenta gaitas fiksēšana</w:t>
      </w:r>
    </w:p>
    <w:p w14:paraId="515D8DA2" w14:textId="77777777" w:rsidR="005B3EAA" w:rsidRPr="009F5334" w:rsidRDefault="005B3EAA" w:rsidP="00253BD2">
      <w:pPr>
        <w:ind w:firstLine="0"/>
        <w:rPr>
          <w:rFonts w:asciiTheme="majorBidi" w:eastAsia="Times New Roman" w:hAnsiTheme="majorBidi" w:cstheme="majorBidi"/>
          <w:kern w:val="0"/>
          <w:szCs w:val="24"/>
          <w:lang w:eastAsia="lv-LV"/>
          <w14:ligatures w14:val="none"/>
        </w:rPr>
      </w:pPr>
    </w:p>
    <w:p w14:paraId="1A0C1F64" w14:textId="0F2D4880" w:rsidR="00DE0B03" w:rsidRPr="00253BD2" w:rsidRDefault="00DE0B03" w:rsidP="00253BD2">
      <w:pPr>
        <w:ind w:firstLine="0"/>
        <w:jc w:val="center"/>
        <w:rPr>
          <w:rFonts w:asciiTheme="majorBidi" w:eastAsia="Times New Roman" w:hAnsiTheme="majorBidi" w:cstheme="majorBidi"/>
          <w:b/>
          <w:bCs/>
          <w:kern w:val="0"/>
          <w:szCs w:val="24"/>
          <w:lang w:eastAsia="lv-LV"/>
          <w14:ligatures w14:val="none"/>
        </w:rPr>
      </w:pPr>
      <w:r w:rsidRPr="00253BD2">
        <w:rPr>
          <w:rFonts w:asciiTheme="majorBidi" w:eastAsia="Times New Roman" w:hAnsiTheme="majorBidi" w:cstheme="majorBidi"/>
          <w:b/>
          <w:bCs/>
          <w:kern w:val="0"/>
          <w:szCs w:val="24"/>
          <w:lang w:eastAsia="lv-LV"/>
          <w14:ligatures w14:val="none"/>
        </w:rPr>
        <w:t>Latvijas Republikas Senāt</w:t>
      </w:r>
      <w:r w:rsidR="00253BD2" w:rsidRPr="00253BD2">
        <w:rPr>
          <w:rFonts w:asciiTheme="majorBidi" w:eastAsia="Times New Roman" w:hAnsiTheme="majorBidi" w:cstheme="majorBidi"/>
          <w:b/>
          <w:bCs/>
          <w:kern w:val="0"/>
          <w:szCs w:val="24"/>
          <w:lang w:eastAsia="lv-LV"/>
          <w14:ligatures w14:val="none"/>
        </w:rPr>
        <w:t>a</w:t>
      </w:r>
    </w:p>
    <w:p w14:paraId="43555CCF" w14:textId="1E63F561" w:rsidR="00253BD2" w:rsidRPr="00253BD2" w:rsidRDefault="00253BD2" w:rsidP="00253BD2">
      <w:pPr>
        <w:ind w:firstLine="0"/>
        <w:jc w:val="center"/>
        <w:rPr>
          <w:rFonts w:asciiTheme="majorBidi" w:eastAsia="Times New Roman" w:hAnsiTheme="majorBidi" w:cstheme="majorBidi"/>
          <w:b/>
          <w:bCs/>
          <w:kern w:val="0"/>
          <w:szCs w:val="24"/>
          <w:lang w:eastAsia="lv-LV"/>
          <w14:ligatures w14:val="none"/>
        </w:rPr>
      </w:pPr>
      <w:r w:rsidRPr="00253BD2">
        <w:rPr>
          <w:rFonts w:asciiTheme="majorBidi" w:eastAsia="Times New Roman" w:hAnsiTheme="majorBidi" w:cstheme="majorBidi"/>
          <w:b/>
          <w:bCs/>
          <w:kern w:val="0"/>
          <w:szCs w:val="24"/>
          <w:lang w:eastAsia="lv-LV"/>
          <w14:ligatures w14:val="none"/>
        </w:rPr>
        <w:t>Krimināllietu departamenta</w:t>
      </w:r>
    </w:p>
    <w:p w14:paraId="58C0F201" w14:textId="77777777" w:rsidR="00253BD2" w:rsidRPr="00253BD2" w:rsidRDefault="00253BD2" w:rsidP="00253BD2">
      <w:pPr>
        <w:ind w:firstLine="0"/>
        <w:jc w:val="center"/>
        <w:rPr>
          <w:rFonts w:asciiTheme="majorBidi" w:eastAsia="Times New Roman" w:hAnsiTheme="majorBidi" w:cstheme="majorBidi"/>
          <w:b/>
          <w:bCs/>
          <w:kern w:val="0"/>
          <w:szCs w:val="24"/>
          <w:lang w:eastAsia="lv-LV"/>
          <w14:ligatures w14:val="none"/>
        </w:rPr>
      </w:pPr>
      <w:r w:rsidRPr="00253BD2">
        <w:rPr>
          <w:rFonts w:asciiTheme="majorBidi" w:eastAsia="Times New Roman" w:hAnsiTheme="majorBidi" w:cstheme="majorBidi"/>
          <w:b/>
          <w:bCs/>
          <w:kern w:val="0"/>
          <w:szCs w:val="24"/>
          <w:lang w:eastAsia="lv-LV"/>
          <w14:ligatures w14:val="none"/>
        </w:rPr>
        <w:t>2026. gada 24. februāra</w:t>
      </w:r>
    </w:p>
    <w:p w14:paraId="5E1CF08E" w14:textId="7D10F763" w:rsidR="00DE0B03" w:rsidRPr="00253BD2" w:rsidRDefault="00DE0B03" w:rsidP="00253BD2">
      <w:pPr>
        <w:ind w:firstLine="0"/>
        <w:jc w:val="center"/>
        <w:rPr>
          <w:rFonts w:asciiTheme="majorBidi" w:eastAsia="Times New Roman" w:hAnsiTheme="majorBidi" w:cstheme="majorBidi"/>
          <w:b/>
          <w:bCs/>
          <w:kern w:val="0"/>
          <w:szCs w:val="24"/>
          <w:lang w:eastAsia="lv-LV"/>
          <w14:ligatures w14:val="none"/>
        </w:rPr>
      </w:pPr>
      <w:r w:rsidRPr="00253BD2">
        <w:rPr>
          <w:rFonts w:asciiTheme="majorBidi" w:eastAsia="Times New Roman" w:hAnsiTheme="majorBidi" w:cstheme="majorBidi"/>
          <w:b/>
          <w:bCs/>
          <w:kern w:val="0"/>
          <w:szCs w:val="24"/>
          <w:lang w:eastAsia="lv-LV"/>
          <w14:ligatures w14:val="none"/>
        </w:rPr>
        <w:t>LĒMUMS</w:t>
      </w:r>
    </w:p>
    <w:p w14:paraId="27530BFD" w14:textId="2E7E618E" w:rsidR="00253BD2" w:rsidRDefault="00253BD2" w:rsidP="00253BD2">
      <w:pPr>
        <w:ind w:firstLine="0"/>
        <w:jc w:val="center"/>
        <w:rPr>
          <w:rFonts w:asciiTheme="majorBidi" w:eastAsia="Times New Roman" w:hAnsiTheme="majorBidi" w:cstheme="majorBidi"/>
          <w:b/>
          <w:bCs/>
          <w:kern w:val="0"/>
          <w:szCs w:val="24"/>
          <w:lang w:eastAsia="lv-LV"/>
          <w14:ligatures w14:val="none"/>
        </w:rPr>
      </w:pPr>
      <w:r w:rsidRPr="00253BD2">
        <w:rPr>
          <w:rFonts w:asciiTheme="majorBidi" w:eastAsia="Times New Roman" w:hAnsiTheme="majorBidi" w:cstheme="majorBidi"/>
          <w:b/>
          <w:bCs/>
          <w:kern w:val="0"/>
          <w:szCs w:val="24"/>
          <w:lang w:eastAsia="lv-LV"/>
          <w14:ligatures w14:val="none"/>
        </w:rPr>
        <w:t>Lieta Nr. </w:t>
      </w:r>
      <w:r w:rsidRPr="00253BD2">
        <w:rPr>
          <w:b/>
          <w:bCs/>
        </w:rPr>
        <w:t>11840002115</w:t>
      </w:r>
      <w:r w:rsidRPr="00253BD2">
        <w:rPr>
          <w:rFonts w:asciiTheme="majorBidi" w:eastAsia="Times New Roman" w:hAnsiTheme="majorBidi" w:cstheme="majorBidi"/>
          <w:b/>
          <w:bCs/>
          <w:kern w:val="0"/>
          <w:szCs w:val="24"/>
          <w:lang w:eastAsia="lv-LV"/>
          <w14:ligatures w14:val="none"/>
        </w:rPr>
        <w:t>, SKK</w:t>
      </w:r>
      <w:r w:rsidRPr="00253BD2">
        <w:rPr>
          <w:rFonts w:asciiTheme="majorBidi" w:eastAsia="Times New Roman" w:hAnsiTheme="majorBidi" w:cstheme="majorBidi"/>
          <w:b/>
          <w:bCs/>
          <w:kern w:val="0"/>
          <w:szCs w:val="24"/>
          <w:lang w:eastAsia="lv-LV"/>
          <w14:ligatures w14:val="none"/>
        </w:rPr>
        <w:noBreakHyphen/>
        <w:t>28/2026</w:t>
      </w:r>
    </w:p>
    <w:p w14:paraId="31B11644" w14:textId="36EB7846" w:rsidR="00253BD2" w:rsidRPr="00253BD2" w:rsidRDefault="00253BD2" w:rsidP="00253BD2">
      <w:pPr>
        <w:ind w:firstLine="0"/>
        <w:jc w:val="center"/>
        <w:rPr>
          <w:rFonts w:asciiTheme="majorBidi" w:eastAsia="Times New Roman" w:hAnsiTheme="majorBidi" w:cstheme="majorBidi"/>
          <w:kern w:val="0"/>
          <w:szCs w:val="24"/>
          <w:lang w:eastAsia="lv-LV"/>
          <w14:ligatures w14:val="none"/>
        </w:rPr>
      </w:pPr>
      <w:hyperlink r:id="rId8" w:history="1">
        <w:r w:rsidRPr="00253BD2">
          <w:rPr>
            <w:rStyle w:val="Hyperlink"/>
            <w:rFonts w:asciiTheme="majorBidi" w:eastAsia="Times New Roman" w:hAnsiTheme="majorBidi" w:cstheme="majorBidi"/>
            <w:kern w:val="0"/>
            <w:szCs w:val="24"/>
            <w:lang w:eastAsia="lv-LV"/>
            <w14:ligatures w14:val="none"/>
          </w:rPr>
          <w:t>ECLI:LV:AT:2026:0224.11840002115.4.L</w:t>
        </w:r>
      </w:hyperlink>
    </w:p>
    <w:p w14:paraId="5B42DDE5" w14:textId="77777777" w:rsidR="00DE0B03" w:rsidRPr="009F5334" w:rsidRDefault="00DE0B03" w:rsidP="00DE0B03">
      <w:pPr>
        <w:ind w:firstLine="0"/>
        <w:rPr>
          <w:rFonts w:asciiTheme="majorBidi" w:eastAsia="Times New Roman" w:hAnsiTheme="majorBidi" w:cstheme="majorBidi"/>
          <w:kern w:val="0"/>
          <w:szCs w:val="24"/>
          <w:lang w:eastAsia="lv-LV"/>
          <w14:ligatures w14:val="none"/>
        </w:rPr>
      </w:pPr>
    </w:p>
    <w:p w14:paraId="2F47838B" w14:textId="4F81278D" w:rsidR="00DE0B03" w:rsidRPr="009F5334" w:rsidRDefault="00DE0B03" w:rsidP="00DE0B03">
      <w:pPr>
        <w:ind w:firstLine="709"/>
        <w:rPr>
          <w:rFonts w:asciiTheme="majorBidi" w:hAnsiTheme="majorBidi" w:cstheme="majorBidi"/>
          <w:kern w:val="0"/>
          <w:szCs w:val="24"/>
          <w14:ligatures w14:val="none"/>
        </w:rPr>
      </w:pPr>
      <w:r w:rsidRPr="009F5334">
        <w:rPr>
          <w:rFonts w:asciiTheme="majorBidi" w:eastAsia="Times New Roman" w:hAnsiTheme="majorBidi" w:cstheme="majorBidi"/>
          <w:kern w:val="0"/>
          <w:szCs w:val="24"/>
          <w:lang w:eastAsia="lv-LV"/>
          <w14:ligatures w14:val="none"/>
        </w:rPr>
        <w:t>Senāts šādā sastāvā: senator</w:t>
      </w:r>
      <w:r w:rsidR="0035112C">
        <w:rPr>
          <w:rFonts w:asciiTheme="majorBidi" w:eastAsia="Times New Roman" w:hAnsiTheme="majorBidi" w:cstheme="majorBidi"/>
          <w:kern w:val="0"/>
          <w:szCs w:val="24"/>
          <w:lang w:eastAsia="lv-LV"/>
          <w14:ligatures w14:val="none"/>
        </w:rPr>
        <w:t>s referents</w:t>
      </w:r>
      <w:r w:rsidRPr="009F5334">
        <w:rPr>
          <w:rFonts w:asciiTheme="majorBidi" w:eastAsia="Times New Roman" w:hAnsiTheme="majorBidi" w:cstheme="majorBidi"/>
          <w:kern w:val="0"/>
          <w:szCs w:val="24"/>
          <w:lang w:eastAsia="lv-LV"/>
          <w14:ligatures w14:val="none"/>
        </w:rPr>
        <w:t xml:space="preserve"> </w:t>
      </w:r>
      <w:r w:rsidR="0035112C">
        <w:rPr>
          <w:rFonts w:asciiTheme="majorBidi" w:hAnsiTheme="majorBidi" w:cstheme="majorBidi"/>
          <w:kern w:val="0"/>
          <w:szCs w:val="24"/>
          <w14:ligatures w14:val="none"/>
        </w:rPr>
        <w:t>Jānis Rozenbergs</w:t>
      </w:r>
      <w:r w:rsidRPr="009F5334">
        <w:rPr>
          <w:rFonts w:asciiTheme="majorBidi" w:hAnsiTheme="majorBidi" w:cstheme="majorBidi"/>
          <w:kern w:val="0"/>
          <w:szCs w:val="24"/>
          <w14:ligatures w14:val="none"/>
        </w:rPr>
        <w:t xml:space="preserve">, </w:t>
      </w:r>
      <w:r w:rsidR="0035112C">
        <w:rPr>
          <w:rFonts w:asciiTheme="majorBidi" w:hAnsiTheme="majorBidi" w:cstheme="majorBidi"/>
          <w:kern w:val="0"/>
          <w:szCs w:val="24"/>
          <w14:ligatures w14:val="none"/>
        </w:rPr>
        <w:t>senator</w:t>
      </w:r>
      <w:r w:rsidR="00FB72E7">
        <w:rPr>
          <w:rFonts w:asciiTheme="majorBidi" w:hAnsiTheme="majorBidi" w:cstheme="majorBidi"/>
          <w:kern w:val="0"/>
          <w:szCs w:val="24"/>
          <w14:ligatures w14:val="none"/>
        </w:rPr>
        <w:t>es</w:t>
      </w:r>
      <w:r w:rsidR="0035112C">
        <w:rPr>
          <w:rFonts w:asciiTheme="majorBidi" w:hAnsiTheme="majorBidi" w:cstheme="majorBidi"/>
          <w:kern w:val="0"/>
          <w:szCs w:val="24"/>
          <w14:ligatures w14:val="none"/>
        </w:rPr>
        <w:t xml:space="preserve"> </w:t>
      </w:r>
      <w:r>
        <w:rPr>
          <w:rFonts w:asciiTheme="majorBidi" w:hAnsiTheme="majorBidi" w:cstheme="majorBidi"/>
          <w:kern w:val="0"/>
          <w:szCs w:val="24"/>
          <w14:ligatures w14:val="none"/>
        </w:rPr>
        <w:t>Aija Branta</w:t>
      </w:r>
      <w:r w:rsidR="00513351">
        <w:rPr>
          <w:rFonts w:asciiTheme="majorBidi" w:hAnsiTheme="majorBidi" w:cstheme="majorBidi"/>
          <w:kern w:val="0"/>
          <w:szCs w:val="24"/>
          <w14:ligatures w14:val="none"/>
        </w:rPr>
        <w:t xml:space="preserve"> un</w:t>
      </w:r>
      <w:r>
        <w:rPr>
          <w:rFonts w:asciiTheme="majorBidi" w:hAnsiTheme="majorBidi" w:cstheme="majorBidi"/>
          <w:kern w:val="0"/>
          <w:szCs w:val="24"/>
          <w14:ligatures w14:val="none"/>
        </w:rPr>
        <w:t xml:space="preserve"> Anita Poļakova,</w:t>
      </w:r>
      <w:r w:rsidRPr="009F5334">
        <w:rPr>
          <w:rFonts w:asciiTheme="majorBidi" w:hAnsiTheme="majorBidi" w:cstheme="majorBidi"/>
          <w:kern w:val="0"/>
          <w:szCs w:val="24"/>
          <w14:ligatures w14:val="none"/>
        </w:rPr>
        <w:t xml:space="preserve"> </w:t>
      </w:r>
    </w:p>
    <w:p w14:paraId="658E2DCE" w14:textId="77777777" w:rsidR="00DE0B03" w:rsidRPr="009F5334" w:rsidRDefault="00DE0B03" w:rsidP="00DE0B03">
      <w:pPr>
        <w:ind w:firstLine="709"/>
        <w:rPr>
          <w:rFonts w:asciiTheme="majorBidi" w:eastAsia="Times New Roman" w:hAnsiTheme="majorBidi" w:cstheme="majorBidi"/>
          <w:kern w:val="0"/>
          <w:szCs w:val="24"/>
          <w:lang w:eastAsia="lv-LV"/>
          <w14:ligatures w14:val="none"/>
        </w:rPr>
      </w:pPr>
    </w:p>
    <w:p w14:paraId="1A802E86" w14:textId="46835D1E" w:rsidR="00DE0B03" w:rsidRDefault="0035112C" w:rsidP="00DF171B">
      <w:pPr>
        <w:widowControl w:val="0"/>
        <w:rPr>
          <w:rFonts w:cs="Times New Roman"/>
        </w:rPr>
      </w:pPr>
      <w:r>
        <w:rPr>
          <w:rFonts w:cs="Times New Roman"/>
        </w:rPr>
        <w:t xml:space="preserve">izskatīja rakstveida procesā krimināllietu sakarā ar </w:t>
      </w:r>
      <w:r w:rsidR="00DE0B03" w:rsidRPr="009F5334">
        <w:rPr>
          <w:rFonts w:cs="Times New Roman"/>
        </w:rPr>
        <w:t>apsūdzētā</w:t>
      </w:r>
      <w:r>
        <w:rPr>
          <w:rFonts w:cs="Times New Roman"/>
        </w:rPr>
        <w:t>s</w:t>
      </w:r>
      <w:r w:rsidR="00DE0B03">
        <w:rPr>
          <w:rFonts w:cs="Times New Roman"/>
        </w:rPr>
        <w:t xml:space="preserve"> </w:t>
      </w:r>
      <w:r w:rsidR="00253BD2">
        <w:rPr>
          <w:rFonts w:cs="Times New Roman"/>
        </w:rPr>
        <w:t>[pers. A]</w:t>
      </w:r>
      <w:r w:rsidR="00DE0B03">
        <w:rPr>
          <w:rFonts w:cs="Times New Roman"/>
        </w:rPr>
        <w:t xml:space="preserve"> </w:t>
      </w:r>
      <w:r>
        <w:rPr>
          <w:rFonts w:cs="Times New Roman"/>
        </w:rPr>
        <w:t xml:space="preserve">kasācijas sūdzību </w:t>
      </w:r>
      <w:r w:rsidR="00DE0B03">
        <w:rPr>
          <w:rFonts w:cs="Times New Roman"/>
        </w:rPr>
        <w:t xml:space="preserve">un </w:t>
      </w:r>
      <w:bookmarkStart w:id="0" w:name="_Hlk203648515"/>
      <w:r w:rsidR="00DE0B03">
        <w:rPr>
          <w:rFonts w:cs="Times New Roman"/>
        </w:rPr>
        <w:t>SIA ,,</w:t>
      </w:r>
      <w:r w:rsidR="00253BD2">
        <w:rPr>
          <w:rFonts w:ascii="TimesNewRomanPSMT" w:hAnsi="TimesNewRomanPSMT" w:cs="TimesNewRomanPSMT"/>
          <w:szCs w:val="24"/>
        </w:rPr>
        <w:t>[Nosaukums A]</w:t>
      </w:r>
      <w:r w:rsidR="00DE0B03" w:rsidRPr="00424B7A">
        <w:rPr>
          <w:rFonts w:ascii="TimesNewRomanPSMT" w:hAnsi="TimesNewRomanPSMT" w:cs="TimesNewRomanPSMT"/>
          <w:szCs w:val="24"/>
        </w:rPr>
        <w:t>”</w:t>
      </w:r>
      <w:r w:rsidR="00DE0B03">
        <w:rPr>
          <w:rFonts w:ascii="TimesNewRomanPSMT" w:hAnsi="TimesNewRomanPSMT" w:cs="TimesNewRomanPSMT"/>
          <w:kern w:val="0"/>
          <w:szCs w:val="24"/>
        </w:rPr>
        <w:t xml:space="preserve"> </w:t>
      </w:r>
      <w:r w:rsidR="00DE0B03">
        <w:rPr>
          <w:rFonts w:ascii="TimesNewRomanPSMT" w:hAnsi="TimesNewRomanPSMT" w:cs="TimesNewRomanPSMT"/>
          <w:szCs w:val="24"/>
        </w:rPr>
        <w:t>pārstāves zvērinātas advokātes Ingas Lauces</w:t>
      </w:r>
      <w:r w:rsidR="00DE0B03" w:rsidRPr="009F5334">
        <w:rPr>
          <w:rFonts w:cs="Times New Roman"/>
        </w:rPr>
        <w:t xml:space="preserve"> </w:t>
      </w:r>
      <w:bookmarkEnd w:id="0"/>
      <w:r w:rsidR="00DE0B03" w:rsidRPr="009F5334">
        <w:rPr>
          <w:rFonts w:cs="Times New Roman"/>
        </w:rPr>
        <w:t>kasācijas sūdzīb</w:t>
      </w:r>
      <w:r>
        <w:rPr>
          <w:rFonts w:cs="Times New Roman"/>
        </w:rPr>
        <w:t>u un tās papildinājum</w:t>
      </w:r>
      <w:r w:rsidR="00DF171B">
        <w:rPr>
          <w:rFonts w:cs="Times New Roman"/>
        </w:rPr>
        <w:t xml:space="preserve">us (turpmāk – kasācijas sūdzība) </w:t>
      </w:r>
      <w:r w:rsidR="00DE0B03" w:rsidRPr="009F5334">
        <w:rPr>
          <w:rFonts w:cs="Times New Roman"/>
        </w:rPr>
        <w:t xml:space="preserve">par </w:t>
      </w:r>
      <w:r w:rsidR="00DE0B03">
        <w:rPr>
          <w:rFonts w:cs="Times New Roman"/>
        </w:rPr>
        <w:t xml:space="preserve">Latgales </w:t>
      </w:r>
      <w:r w:rsidR="00DE0B03" w:rsidRPr="009F5334">
        <w:rPr>
          <w:rFonts w:cs="Times New Roman"/>
        </w:rPr>
        <w:t xml:space="preserve">apgabaltiesas </w:t>
      </w:r>
      <w:bookmarkStart w:id="1" w:name="_Hlk199770595"/>
      <w:r w:rsidR="00DE0B03" w:rsidRPr="009F5334">
        <w:rPr>
          <w:rFonts w:cs="Times New Roman"/>
        </w:rPr>
        <w:t xml:space="preserve">2024. gada </w:t>
      </w:r>
      <w:r w:rsidR="00DE0B03">
        <w:rPr>
          <w:rFonts w:cs="Times New Roman"/>
        </w:rPr>
        <w:t>29</w:t>
      </w:r>
      <w:r w:rsidR="00DE0B03" w:rsidRPr="009F5334">
        <w:rPr>
          <w:rFonts w:cs="Times New Roman"/>
        </w:rPr>
        <w:t xml:space="preserve">. oktobra </w:t>
      </w:r>
      <w:bookmarkEnd w:id="1"/>
      <w:r w:rsidR="00DE0B03">
        <w:rPr>
          <w:rFonts w:cs="Times New Roman"/>
        </w:rPr>
        <w:t>spriedumu</w:t>
      </w:r>
      <w:r w:rsidR="00DE0B03" w:rsidRPr="009F5334">
        <w:rPr>
          <w:rFonts w:cs="Times New Roman"/>
        </w:rPr>
        <w:t>.</w:t>
      </w:r>
    </w:p>
    <w:p w14:paraId="4E463C14" w14:textId="77777777" w:rsidR="0035112C" w:rsidRDefault="0035112C" w:rsidP="00DE0B03">
      <w:pPr>
        <w:widowControl w:val="0"/>
        <w:rPr>
          <w:rFonts w:cs="Times New Roman"/>
        </w:rPr>
      </w:pPr>
    </w:p>
    <w:p w14:paraId="5C51C743" w14:textId="6FCC137C" w:rsidR="0035112C" w:rsidRPr="0035112C" w:rsidRDefault="0035112C" w:rsidP="00941E79">
      <w:pPr>
        <w:widowControl w:val="0"/>
        <w:ind w:firstLine="0"/>
        <w:jc w:val="center"/>
        <w:rPr>
          <w:rFonts w:cs="Times New Roman"/>
          <w:b/>
          <w:bCs/>
        </w:rPr>
      </w:pPr>
      <w:r>
        <w:rPr>
          <w:rFonts w:cs="Times New Roman"/>
          <w:b/>
          <w:bCs/>
        </w:rPr>
        <w:t>Aprakstošā daļa</w:t>
      </w:r>
    </w:p>
    <w:p w14:paraId="404C1EE6" w14:textId="77777777" w:rsidR="0035112C" w:rsidRDefault="0035112C" w:rsidP="00FE35D2">
      <w:pPr>
        <w:ind w:firstLine="0"/>
        <w:rPr>
          <w:rFonts w:asciiTheme="majorBidi" w:hAnsiTheme="majorBidi" w:cstheme="majorBidi"/>
          <w:kern w:val="0"/>
          <w:szCs w:val="24"/>
          <w14:ligatures w14:val="none"/>
        </w:rPr>
      </w:pPr>
      <w:bookmarkStart w:id="2" w:name="_Hlk197521735"/>
    </w:p>
    <w:p w14:paraId="7232BBB2" w14:textId="2867979C" w:rsidR="0007422B" w:rsidRDefault="0035112C" w:rsidP="00DF171B">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[1]</w:t>
      </w:r>
      <w:r w:rsidR="0007422B">
        <w:rPr>
          <w:rFonts w:asciiTheme="majorBidi" w:hAnsiTheme="majorBidi" w:cstheme="majorBidi"/>
          <w:kern w:val="0"/>
          <w:szCs w:val="24"/>
          <w14:ligatures w14:val="none"/>
        </w:rPr>
        <w:t> </w:t>
      </w:r>
      <w:r>
        <w:rPr>
          <w:rFonts w:asciiTheme="majorBidi" w:hAnsiTheme="majorBidi" w:cstheme="majorBidi"/>
          <w:kern w:val="0"/>
          <w:szCs w:val="24"/>
          <w14:ligatures w14:val="none"/>
        </w:rPr>
        <w:t>Ar Rīgas pilsētas tiesas 2023.</w:t>
      </w:r>
      <w:r w:rsidR="0007422B">
        <w:rPr>
          <w:rFonts w:asciiTheme="majorBidi" w:hAnsiTheme="majorBidi" w:cstheme="majorBidi"/>
          <w:kern w:val="0"/>
          <w:szCs w:val="24"/>
          <w14:ligatures w14:val="none"/>
        </w:rPr>
        <w:t> </w:t>
      </w:r>
      <w:r>
        <w:rPr>
          <w:rFonts w:asciiTheme="majorBidi" w:hAnsiTheme="majorBidi" w:cstheme="majorBidi"/>
          <w:kern w:val="0"/>
          <w:szCs w:val="24"/>
          <w14:ligatures w14:val="none"/>
        </w:rPr>
        <w:t>gada 23.</w:t>
      </w:r>
      <w:r w:rsidR="0007422B">
        <w:rPr>
          <w:rFonts w:asciiTheme="majorBidi" w:hAnsiTheme="majorBidi" w:cstheme="majorBidi"/>
          <w:kern w:val="0"/>
          <w:szCs w:val="24"/>
          <w14:ligatures w14:val="none"/>
        </w:rPr>
        <w:t> </w:t>
      </w:r>
      <w:r>
        <w:rPr>
          <w:rFonts w:asciiTheme="majorBidi" w:hAnsiTheme="majorBidi" w:cstheme="majorBidi"/>
          <w:kern w:val="0"/>
          <w:szCs w:val="24"/>
          <w14:ligatures w14:val="none"/>
        </w:rPr>
        <w:t>augusta spriedumu</w:t>
      </w:r>
      <w:r w:rsidR="000159AC">
        <w:rPr>
          <w:rFonts w:asciiTheme="majorBidi" w:hAnsiTheme="majorBidi" w:cstheme="majorBidi"/>
          <w:kern w:val="0"/>
          <w:szCs w:val="24"/>
          <w14:ligatures w14:val="none"/>
        </w:rPr>
        <w:t xml:space="preserve"> </w:t>
      </w:r>
    </w:p>
    <w:p w14:paraId="2094EB85" w14:textId="2A33E958" w:rsidR="00AE67D0" w:rsidRDefault="00253BD2" w:rsidP="00AE67D0">
      <w:pPr>
        <w:pStyle w:val="Default"/>
        <w:spacing w:line="276" w:lineRule="auto"/>
        <w:ind w:firstLine="680"/>
        <w:jc w:val="both"/>
        <w:rPr>
          <w:sz w:val="23"/>
          <w:szCs w:val="23"/>
        </w:rPr>
      </w:pPr>
      <w:r>
        <w:rPr>
          <w:rFonts w:asciiTheme="majorBidi" w:hAnsiTheme="majorBidi" w:cstheme="majorBidi"/>
          <w14:ligatures w14:val="none"/>
        </w:rPr>
        <w:t>[pers. A]</w:t>
      </w:r>
      <w:r w:rsidR="00AE67D0">
        <w:rPr>
          <w:rFonts w:asciiTheme="majorBidi" w:hAnsiTheme="majorBidi" w:cstheme="majorBidi"/>
          <w14:ligatures w14:val="none"/>
        </w:rPr>
        <w:t xml:space="preserve">, personas kods </w:t>
      </w:r>
      <w:r>
        <w:rPr>
          <w:rFonts w:asciiTheme="majorBidi" w:hAnsiTheme="majorBidi" w:cstheme="majorBidi"/>
          <w14:ligatures w14:val="none"/>
        </w:rPr>
        <w:t>[..]</w:t>
      </w:r>
      <w:r w:rsidR="00AE67D0">
        <w:rPr>
          <w:sz w:val="23"/>
          <w:szCs w:val="23"/>
        </w:rPr>
        <w:t>,</w:t>
      </w:r>
    </w:p>
    <w:p w14:paraId="19AD715F" w14:textId="78F315B6" w:rsidR="0007422B" w:rsidRPr="00AE67D0" w:rsidRDefault="000159AC" w:rsidP="00AE67D0">
      <w:pPr>
        <w:pStyle w:val="Default"/>
        <w:spacing w:line="276" w:lineRule="auto"/>
        <w:ind w:firstLine="680"/>
        <w:jc w:val="both"/>
      </w:pPr>
      <w:r w:rsidRPr="000159AC">
        <w:rPr>
          <w:rFonts w:asciiTheme="majorBidi" w:hAnsiTheme="majorBidi" w:cstheme="majorBidi"/>
          <w14:ligatures w14:val="none"/>
        </w:rPr>
        <w:t>atzīt</w:t>
      </w:r>
      <w:r>
        <w:rPr>
          <w:rFonts w:asciiTheme="majorBidi" w:hAnsiTheme="majorBidi" w:cstheme="majorBidi"/>
          <w14:ligatures w14:val="none"/>
        </w:rPr>
        <w:t>a</w:t>
      </w:r>
      <w:r w:rsidRPr="000159AC">
        <w:rPr>
          <w:rFonts w:asciiTheme="majorBidi" w:hAnsiTheme="majorBidi" w:cstheme="majorBidi"/>
          <w14:ligatures w14:val="none"/>
        </w:rPr>
        <w:t xml:space="preserve"> par nevainīgu </w:t>
      </w:r>
      <w:r w:rsidR="0007422B" w:rsidRPr="0007422B">
        <w:rPr>
          <w:rFonts w:asciiTheme="majorBidi" w:eastAsia="Times New Roman" w:hAnsiTheme="majorBidi" w:cstheme="majorBidi"/>
          <w:lang w:eastAsia="lv-LV"/>
          <w14:ligatures w14:val="none"/>
        </w:rPr>
        <w:t xml:space="preserve">Krimināllikuma </w:t>
      </w:r>
      <w:r w:rsidR="0007422B">
        <w:rPr>
          <w:rFonts w:asciiTheme="majorBidi" w:eastAsia="Times New Roman" w:hAnsiTheme="majorBidi" w:cstheme="majorBidi"/>
          <w:lang w:eastAsia="lv-LV"/>
          <w14:ligatures w14:val="none"/>
        </w:rPr>
        <w:t xml:space="preserve">84. panta pirmajā </w:t>
      </w:r>
      <w:r w:rsidR="0007422B" w:rsidRPr="0007422B">
        <w:rPr>
          <w:rFonts w:asciiTheme="majorBidi" w:eastAsia="Times New Roman" w:hAnsiTheme="majorBidi" w:cstheme="majorBidi"/>
          <w:lang w:eastAsia="lv-LV"/>
          <w14:ligatures w14:val="none"/>
        </w:rPr>
        <w:t xml:space="preserve">daļā paredzētajā noziedzīgajā nodarījumā un </w:t>
      </w:r>
      <w:r w:rsidRPr="000159AC">
        <w:rPr>
          <w:rFonts w:asciiTheme="majorBidi" w:hAnsiTheme="majorBidi" w:cstheme="majorBidi"/>
          <w14:ligatures w14:val="none"/>
        </w:rPr>
        <w:t>attaisnot</w:t>
      </w:r>
      <w:r>
        <w:rPr>
          <w:rFonts w:asciiTheme="majorBidi" w:hAnsiTheme="majorBidi" w:cstheme="majorBidi"/>
          <w14:ligatures w14:val="none"/>
        </w:rPr>
        <w:t>a</w:t>
      </w:r>
      <w:r w:rsidRPr="000159AC">
        <w:rPr>
          <w:rFonts w:asciiTheme="majorBidi" w:hAnsiTheme="majorBidi" w:cstheme="majorBidi"/>
          <w14:ligatures w14:val="none"/>
        </w:rPr>
        <w:t>.</w:t>
      </w:r>
      <w:r>
        <w:rPr>
          <w:rFonts w:asciiTheme="majorBidi" w:hAnsiTheme="majorBidi" w:cstheme="majorBidi"/>
          <w14:ligatures w14:val="none"/>
        </w:rPr>
        <w:t xml:space="preserve"> </w:t>
      </w:r>
    </w:p>
    <w:p w14:paraId="6FD49288" w14:textId="63C165B5" w:rsidR="000159AC" w:rsidRDefault="000159AC" w:rsidP="00AE67D0">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K</w:t>
      </w:r>
      <w:r w:rsidRPr="000159AC">
        <w:rPr>
          <w:rFonts w:asciiTheme="majorBidi" w:hAnsiTheme="majorBidi" w:cstheme="majorBidi"/>
          <w:kern w:val="0"/>
          <w:szCs w:val="24"/>
          <w14:ligatures w14:val="none"/>
        </w:rPr>
        <w:t>riminālproces</w:t>
      </w:r>
      <w:r>
        <w:rPr>
          <w:rFonts w:asciiTheme="majorBidi" w:hAnsiTheme="majorBidi" w:cstheme="majorBidi"/>
          <w:kern w:val="0"/>
          <w:szCs w:val="24"/>
          <w14:ligatures w14:val="none"/>
        </w:rPr>
        <w:t>s</w:t>
      </w:r>
      <w:r w:rsidRPr="000159AC">
        <w:rPr>
          <w:rFonts w:asciiTheme="majorBidi" w:hAnsiTheme="majorBidi" w:cstheme="majorBidi"/>
          <w:kern w:val="0"/>
          <w:szCs w:val="24"/>
          <w14:ligatures w14:val="none"/>
        </w:rPr>
        <w:t xml:space="preserve"> daļā par piespiedu ietekmēšanas līdzekļu piemērošanu SIA</w:t>
      </w:r>
      <w:r w:rsidR="0007422B">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[Nosaukums B]</w:t>
      </w:r>
      <w:r w:rsidRPr="000159AC">
        <w:rPr>
          <w:rFonts w:asciiTheme="majorBidi" w:hAnsiTheme="majorBidi" w:cstheme="majorBidi"/>
          <w:kern w:val="0"/>
          <w:szCs w:val="24"/>
          <w14:ligatures w14:val="none"/>
        </w:rPr>
        <w:t>”</w:t>
      </w:r>
      <w:r>
        <w:rPr>
          <w:rFonts w:asciiTheme="majorBidi" w:hAnsiTheme="majorBidi" w:cstheme="majorBidi"/>
          <w:kern w:val="0"/>
          <w:szCs w:val="24"/>
          <w14:ligatures w14:val="none"/>
        </w:rPr>
        <w:t xml:space="preserve"> izbeigts</w:t>
      </w:r>
      <w:r w:rsidRPr="000159AC">
        <w:rPr>
          <w:rFonts w:asciiTheme="majorBidi" w:hAnsiTheme="majorBidi" w:cstheme="majorBidi"/>
          <w:kern w:val="0"/>
          <w:szCs w:val="24"/>
          <w14:ligatures w14:val="none"/>
        </w:rPr>
        <w:t>.</w:t>
      </w:r>
    </w:p>
    <w:p w14:paraId="27D571A5" w14:textId="77777777" w:rsidR="000159AC" w:rsidRDefault="000159AC" w:rsidP="000159AC">
      <w:pPr>
        <w:ind w:firstLine="680"/>
        <w:rPr>
          <w:rFonts w:asciiTheme="majorBidi" w:hAnsiTheme="majorBidi" w:cstheme="majorBidi"/>
          <w:kern w:val="0"/>
          <w:szCs w:val="24"/>
          <w14:ligatures w14:val="none"/>
        </w:rPr>
      </w:pPr>
    </w:p>
    <w:p w14:paraId="4245E7B5" w14:textId="77777777" w:rsidR="0007422B" w:rsidRDefault="0035112C" w:rsidP="000159AC">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[2]</w:t>
      </w:r>
      <w:r w:rsidR="0007422B">
        <w:rPr>
          <w:rFonts w:asciiTheme="majorBidi" w:hAnsiTheme="majorBidi" w:cstheme="majorBidi"/>
          <w:kern w:val="0"/>
          <w:szCs w:val="24"/>
          <w14:ligatures w14:val="none"/>
        </w:rPr>
        <w:t> </w:t>
      </w:r>
      <w:r>
        <w:rPr>
          <w:rFonts w:asciiTheme="majorBidi" w:hAnsiTheme="majorBidi" w:cstheme="majorBidi"/>
          <w:kern w:val="0"/>
          <w:szCs w:val="24"/>
          <w14:ligatures w14:val="none"/>
        </w:rPr>
        <w:t>Ar Latgales apgabaltiesas 2024.</w:t>
      </w:r>
      <w:r w:rsidR="0007422B">
        <w:rPr>
          <w:rFonts w:asciiTheme="majorBidi" w:hAnsiTheme="majorBidi" w:cstheme="majorBidi"/>
          <w:kern w:val="0"/>
          <w:szCs w:val="24"/>
          <w14:ligatures w14:val="none"/>
        </w:rPr>
        <w:t> </w:t>
      </w:r>
      <w:r>
        <w:rPr>
          <w:rFonts w:asciiTheme="majorBidi" w:hAnsiTheme="majorBidi" w:cstheme="majorBidi"/>
          <w:kern w:val="0"/>
          <w:szCs w:val="24"/>
          <w14:ligatures w14:val="none"/>
        </w:rPr>
        <w:t>gada 29.</w:t>
      </w:r>
      <w:r w:rsidR="0007422B">
        <w:rPr>
          <w:rFonts w:asciiTheme="majorBidi" w:hAnsiTheme="majorBidi" w:cstheme="majorBidi"/>
          <w:kern w:val="0"/>
          <w:szCs w:val="24"/>
          <w14:ligatures w14:val="none"/>
        </w:rPr>
        <w:t> </w:t>
      </w:r>
      <w:r>
        <w:rPr>
          <w:rFonts w:asciiTheme="majorBidi" w:hAnsiTheme="majorBidi" w:cstheme="majorBidi"/>
          <w:kern w:val="0"/>
          <w:szCs w:val="24"/>
          <w14:ligatures w14:val="none"/>
        </w:rPr>
        <w:t>oktobra spriedum</w:t>
      </w:r>
      <w:r w:rsidR="000159AC">
        <w:rPr>
          <w:rFonts w:asciiTheme="majorBidi" w:hAnsiTheme="majorBidi" w:cstheme="majorBidi"/>
          <w:kern w:val="0"/>
          <w:szCs w:val="24"/>
          <w14:ligatures w14:val="none"/>
        </w:rPr>
        <w:t xml:space="preserve">u </w:t>
      </w:r>
      <w:r w:rsidR="0007422B">
        <w:rPr>
          <w:rFonts w:asciiTheme="majorBidi" w:hAnsiTheme="majorBidi" w:cstheme="majorBidi"/>
          <w:kern w:val="0"/>
          <w:szCs w:val="24"/>
          <w14:ligatures w14:val="none"/>
        </w:rPr>
        <w:t xml:space="preserve">Rīgas pilsētas tiesas 2023. gada 23. augusta spriedums </w:t>
      </w:r>
      <w:r w:rsidR="000159AC">
        <w:rPr>
          <w:rFonts w:asciiTheme="majorBidi" w:hAnsiTheme="majorBidi" w:cstheme="majorBidi"/>
          <w:kern w:val="0"/>
          <w:szCs w:val="24"/>
          <w14:ligatures w14:val="none"/>
        </w:rPr>
        <w:t xml:space="preserve">atcelts. </w:t>
      </w:r>
    </w:p>
    <w:p w14:paraId="0670F595" w14:textId="0E3AE5E1" w:rsidR="0007422B" w:rsidRDefault="00253BD2" w:rsidP="000159AC">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w:t>
      </w:r>
      <w:r w:rsidR="00B64385">
        <w:rPr>
          <w:rFonts w:asciiTheme="majorBidi" w:hAnsiTheme="majorBidi" w:cstheme="majorBidi"/>
          <w:kern w:val="0"/>
          <w:szCs w:val="24"/>
          <w14:ligatures w14:val="none"/>
        </w:rPr>
        <w:t>P</w:t>
      </w:r>
      <w:r>
        <w:rPr>
          <w:rFonts w:asciiTheme="majorBidi" w:hAnsiTheme="majorBidi" w:cstheme="majorBidi"/>
          <w:kern w:val="0"/>
          <w:szCs w:val="24"/>
          <w14:ligatures w14:val="none"/>
        </w:rPr>
        <w:t>ers. A]</w:t>
      </w:r>
      <w:r w:rsidR="000159AC" w:rsidRPr="000159AC">
        <w:rPr>
          <w:rFonts w:asciiTheme="majorBidi" w:hAnsiTheme="majorBidi" w:cstheme="majorBidi"/>
          <w:kern w:val="0"/>
          <w:szCs w:val="24"/>
          <w14:ligatures w14:val="none"/>
        </w:rPr>
        <w:t xml:space="preserve"> atzīt</w:t>
      </w:r>
      <w:r w:rsidR="000159AC">
        <w:rPr>
          <w:rFonts w:asciiTheme="majorBidi" w:hAnsiTheme="majorBidi" w:cstheme="majorBidi"/>
          <w:kern w:val="0"/>
          <w:szCs w:val="24"/>
          <w14:ligatures w14:val="none"/>
        </w:rPr>
        <w:t>a</w:t>
      </w:r>
      <w:r w:rsidR="000159AC" w:rsidRPr="000159AC">
        <w:rPr>
          <w:rFonts w:asciiTheme="majorBidi" w:hAnsiTheme="majorBidi" w:cstheme="majorBidi"/>
          <w:kern w:val="0"/>
          <w:szCs w:val="24"/>
          <w14:ligatures w14:val="none"/>
        </w:rPr>
        <w:t xml:space="preserve"> par vainīgu Krimināllikuma 84.</w:t>
      </w:r>
      <w:r w:rsidR="0007422B">
        <w:rPr>
          <w:rFonts w:asciiTheme="majorBidi" w:hAnsiTheme="majorBidi" w:cstheme="majorBidi"/>
          <w:kern w:val="0"/>
          <w:szCs w:val="24"/>
          <w14:ligatures w14:val="none"/>
        </w:rPr>
        <w:t> </w:t>
      </w:r>
      <w:r w:rsidR="000159AC" w:rsidRPr="000159AC">
        <w:rPr>
          <w:rFonts w:asciiTheme="majorBidi" w:hAnsiTheme="majorBidi" w:cstheme="majorBidi"/>
          <w:kern w:val="0"/>
          <w:szCs w:val="24"/>
          <w14:ligatures w14:val="none"/>
        </w:rPr>
        <w:t>panta pirmajā daļā paredzēt</w:t>
      </w:r>
      <w:r w:rsidR="0007422B">
        <w:rPr>
          <w:rFonts w:asciiTheme="majorBidi" w:hAnsiTheme="majorBidi" w:cstheme="majorBidi"/>
          <w:kern w:val="0"/>
          <w:szCs w:val="24"/>
          <w14:ligatures w14:val="none"/>
        </w:rPr>
        <w:t>ajā</w:t>
      </w:r>
      <w:r w:rsidR="000159AC">
        <w:rPr>
          <w:rFonts w:asciiTheme="majorBidi" w:hAnsiTheme="majorBidi" w:cstheme="majorBidi"/>
          <w:kern w:val="0"/>
          <w:szCs w:val="24"/>
          <w14:ligatures w14:val="none"/>
        </w:rPr>
        <w:t xml:space="preserve"> </w:t>
      </w:r>
      <w:r w:rsidR="000159AC" w:rsidRPr="000159AC">
        <w:rPr>
          <w:rFonts w:asciiTheme="majorBidi" w:hAnsiTheme="majorBidi" w:cstheme="majorBidi"/>
          <w:kern w:val="0"/>
          <w:szCs w:val="24"/>
          <w14:ligatures w14:val="none"/>
        </w:rPr>
        <w:t>noziedzīg</w:t>
      </w:r>
      <w:r w:rsidR="0007422B">
        <w:rPr>
          <w:rFonts w:asciiTheme="majorBidi" w:hAnsiTheme="majorBidi" w:cstheme="majorBidi"/>
          <w:kern w:val="0"/>
          <w:szCs w:val="24"/>
          <w14:ligatures w14:val="none"/>
        </w:rPr>
        <w:t>ajā</w:t>
      </w:r>
      <w:r w:rsidR="000159AC" w:rsidRPr="000159AC">
        <w:rPr>
          <w:rFonts w:asciiTheme="majorBidi" w:hAnsiTheme="majorBidi" w:cstheme="majorBidi"/>
          <w:kern w:val="0"/>
          <w:szCs w:val="24"/>
          <w14:ligatures w14:val="none"/>
        </w:rPr>
        <w:t xml:space="preserve"> nodarījum</w:t>
      </w:r>
      <w:r w:rsidR="0007422B">
        <w:rPr>
          <w:rFonts w:asciiTheme="majorBidi" w:hAnsiTheme="majorBidi" w:cstheme="majorBidi"/>
          <w:kern w:val="0"/>
          <w:szCs w:val="24"/>
          <w14:ligatures w14:val="none"/>
        </w:rPr>
        <w:t>ā</w:t>
      </w:r>
      <w:r w:rsidR="000159AC" w:rsidRPr="000159AC">
        <w:rPr>
          <w:rFonts w:asciiTheme="majorBidi" w:hAnsiTheme="majorBidi" w:cstheme="majorBidi"/>
          <w:kern w:val="0"/>
          <w:szCs w:val="24"/>
          <w14:ligatures w14:val="none"/>
        </w:rPr>
        <w:t xml:space="preserve"> un sodīt</w:t>
      </w:r>
      <w:r w:rsidR="000159AC">
        <w:rPr>
          <w:rFonts w:asciiTheme="majorBidi" w:hAnsiTheme="majorBidi" w:cstheme="majorBidi"/>
          <w:kern w:val="0"/>
          <w:szCs w:val="24"/>
          <w14:ligatures w14:val="none"/>
        </w:rPr>
        <w:t>a</w:t>
      </w:r>
      <w:r w:rsidR="000159AC" w:rsidRPr="000159AC">
        <w:rPr>
          <w:rFonts w:asciiTheme="majorBidi" w:hAnsiTheme="majorBidi" w:cstheme="majorBidi"/>
          <w:kern w:val="0"/>
          <w:szCs w:val="24"/>
          <w14:ligatures w14:val="none"/>
        </w:rPr>
        <w:t xml:space="preserve"> ar sabiedrisko darbu </w:t>
      </w:r>
      <w:r w:rsidR="0007422B">
        <w:rPr>
          <w:rFonts w:asciiTheme="majorBidi" w:hAnsiTheme="majorBidi" w:cstheme="majorBidi"/>
          <w:kern w:val="0"/>
          <w:szCs w:val="24"/>
          <w14:ligatures w14:val="none"/>
        </w:rPr>
        <w:t xml:space="preserve">uz </w:t>
      </w:r>
      <w:r w:rsidR="000159AC" w:rsidRPr="000159AC">
        <w:rPr>
          <w:rFonts w:asciiTheme="majorBidi" w:hAnsiTheme="majorBidi" w:cstheme="majorBidi"/>
          <w:kern w:val="0"/>
          <w:szCs w:val="24"/>
          <w14:ligatures w14:val="none"/>
        </w:rPr>
        <w:t>100 stund</w:t>
      </w:r>
      <w:r w:rsidR="0007422B">
        <w:rPr>
          <w:rFonts w:asciiTheme="majorBidi" w:hAnsiTheme="majorBidi" w:cstheme="majorBidi"/>
          <w:kern w:val="0"/>
          <w:szCs w:val="24"/>
          <w14:ligatures w14:val="none"/>
        </w:rPr>
        <w:t>ām</w:t>
      </w:r>
      <w:r w:rsidR="000159AC" w:rsidRPr="000159AC">
        <w:rPr>
          <w:rFonts w:asciiTheme="majorBidi" w:hAnsiTheme="majorBidi" w:cstheme="majorBidi"/>
          <w:kern w:val="0"/>
          <w:szCs w:val="24"/>
          <w14:ligatures w14:val="none"/>
        </w:rPr>
        <w:t xml:space="preserve">. </w:t>
      </w:r>
    </w:p>
    <w:p w14:paraId="7049E17A" w14:textId="2E033A82" w:rsidR="000159AC" w:rsidRDefault="000159AC" w:rsidP="00AE67D0">
      <w:pPr>
        <w:ind w:firstLine="680"/>
        <w:rPr>
          <w:rFonts w:asciiTheme="majorBidi" w:hAnsiTheme="majorBidi" w:cstheme="majorBidi"/>
          <w:kern w:val="0"/>
          <w:szCs w:val="24"/>
          <w14:ligatures w14:val="none"/>
        </w:rPr>
      </w:pPr>
      <w:r w:rsidRPr="000159AC">
        <w:rPr>
          <w:rFonts w:asciiTheme="majorBidi" w:hAnsiTheme="majorBidi" w:cstheme="majorBidi"/>
          <w:kern w:val="0"/>
          <w:szCs w:val="24"/>
          <w14:ligatures w14:val="none"/>
        </w:rPr>
        <w:t>SIA</w:t>
      </w:r>
      <w:r w:rsidR="0007422B">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[Nosaukums A]</w:t>
      </w:r>
      <w:r w:rsidRPr="000159AC">
        <w:rPr>
          <w:rFonts w:asciiTheme="majorBidi" w:hAnsiTheme="majorBidi" w:cstheme="majorBidi"/>
          <w:kern w:val="0"/>
          <w:szCs w:val="24"/>
          <w14:ligatures w14:val="none"/>
        </w:rPr>
        <w:t>” (pirms reorganizācijas</w:t>
      </w:r>
      <w:r w:rsidR="00AE67D0">
        <w:rPr>
          <w:rFonts w:asciiTheme="majorBidi" w:hAnsiTheme="majorBidi" w:cstheme="majorBidi"/>
          <w:kern w:val="0"/>
          <w:szCs w:val="24"/>
          <w14:ligatures w14:val="none"/>
        </w:rPr>
        <w:t xml:space="preserve"> – </w:t>
      </w:r>
      <w:r w:rsidRPr="000159AC">
        <w:rPr>
          <w:rFonts w:asciiTheme="majorBidi" w:hAnsiTheme="majorBidi" w:cstheme="majorBidi"/>
          <w:kern w:val="0"/>
          <w:szCs w:val="24"/>
          <w14:ligatures w14:val="none"/>
        </w:rPr>
        <w:t>SIA</w:t>
      </w:r>
      <w:r w:rsidR="0007422B">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[Nosaukums B]</w:t>
      </w:r>
      <w:r w:rsidRPr="000159AC">
        <w:rPr>
          <w:rFonts w:asciiTheme="majorBidi" w:hAnsiTheme="majorBidi" w:cstheme="majorBidi"/>
          <w:kern w:val="0"/>
          <w:szCs w:val="24"/>
          <w14:ligatures w14:val="none"/>
        </w:rPr>
        <w:t xml:space="preserve">”) </w:t>
      </w:r>
      <w:r>
        <w:rPr>
          <w:rFonts w:asciiTheme="majorBidi" w:hAnsiTheme="majorBidi" w:cstheme="majorBidi"/>
          <w:kern w:val="0"/>
          <w:szCs w:val="24"/>
          <w14:ligatures w14:val="none"/>
        </w:rPr>
        <w:t xml:space="preserve">piemērots </w:t>
      </w:r>
      <w:r w:rsidRPr="000159AC">
        <w:rPr>
          <w:rFonts w:asciiTheme="majorBidi" w:hAnsiTheme="majorBidi" w:cstheme="majorBidi"/>
          <w:kern w:val="0"/>
          <w:szCs w:val="24"/>
          <w14:ligatures w14:val="none"/>
        </w:rPr>
        <w:t>piespiedu ietekmēšanas</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līdzekli</w:t>
      </w:r>
      <w:r>
        <w:rPr>
          <w:rFonts w:asciiTheme="majorBidi" w:hAnsiTheme="majorBidi" w:cstheme="majorBidi"/>
          <w:kern w:val="0"/>
          <w:szCs w:val="24"/>
          <w14:ligatures w14:val="none"/>
        </w:rPr>
        <w:t>s</w:t>
      </w:r>
      <w:r w:rsidRPr="000159AC">
        <w:rPr>
          <w:rFonts w:asciiTheme="majorBidi" w:hAnsiTheme="majorBidi" w:cstheme="majorBidi"/>
          <w:kern w:val="0"/>
          <w:szCs w:val="24"/>
          <w14:ligatures w14:val="none"/>
        </w:rPr>
        <w:t xml:space="preserve"> – naudas piedziņ</w:t>
      </w:r>
      <w:r>
        <w:rPr>
          <w:rFonts w:asciiTheme="majorBidi" w:hAnsiTheme="majorBidi" w:cstheme="majorBidi"/>
          <w:kern w:val="0"/>
          <w:szCs w:val="24"/>
          <w14:ligatures w14:val="none"/>
        </w:rPr>
        <w:t>a</w:t>
      </w:r>
      <w:r w:rsidRPr="000159AC">
        <w:rPr>
          <w:rFonts w:asciiTheme="majorBidi" w:hAnsiTheme="majorBidi" w:cstheme="majorBidi"/>
          <w:kern w:val="0"/>
          <w:szCs w:val="24"/>
          <w14:ligatures w14:val="none"/>
        </w:rPr>
        <w:t xml:space="preserve"> 15 minimālo mēnešalgu apmērā jeb 10</w:t>
      </w:r>
      <w:r w:rsidR="0007422B">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500</w:t>
      </w:r>
      <w:r w:rsidR="0007422B">
        <w:rPr>
          <w:rFonts w:asciiTheme="majorBidi" w:hAnsiTheme="majorBidi" w:cstheme="majorBidi"/>
          <w:kern w:val="0"/>
          <w:szCs w:val="24"/>
          <w14:ligatures w14:val="none"/>
        </w:rPr>
        <w:t> </w:t>
      </w:r>
      <w:r w:rsidRPr="0007422B">
        <w:rPr>
          <w:rFonts w:asciiTheme="majorBidi" w:hAnsiTheme="majorBidi" w:cstheme="majorBidi"/>
          <w:i/>
          <w:iCs/>
          <w:kern w:val="0"/>
          <w:szCs w:val="24"/>
          <w14:ligatures w14:val="none"/>
        </w:rPr>
        <w:t>euro</w:t>
      </w:r>
      <w:r w:rsidRPr="000159AC">
        <w:rPr>
          <w:rFonts w:asciiTheme="majorBidi" w:hAnsiTheme="majorBidi" w:cstheme="majorBidi"/>
          <w:kern w:val="0"/>
          <w:szCs w:val="24"/>
          <w14:ligatures w14:val="none"/>
        </w:rPr>
        <w:t>.</w:t>
      </w:r>
    </w:p>
    <w:p w14:paraId="28D34C37" w14:textId="77777777" w:rsidR="00FF069C" w:rsidRDefault="00FF069C" w:rsidP="000159AC">
      <w:pPr>
        <w:ind w:firstLine="680"/>
        <w:rPr>
          <w:rFonts w:asciiTheme="majorBidi" w:hAnsiTheme="majorBidi" w:cstheme="majorBidi"/>
          <w:kern w:val="0"/>
          <w:szCs w:val="24"/>
          <w14:ligatures w14:val="none"/>
        </w:rPr>
      </w:pPr>
    </w:p>
    <w:p w14:paraId="78D2D2EA" w14:textId="0757306D" w:rsidR="000159AC" w:rsidRDefault="00FF069C" w:rsidP="000159AC">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[3]</w:t>
      </w:r>
      <w:r w:rsidR="0007422B">
        <w:rPr>
          <w:rFonts w:asciiTheme="majorBidi" w:hAnsiTheme="majorBidi" w:cstheme="majorBidi"/>
          <w:kern w:val="0"/>
          <w:szCs w:val="24"/>
          <w14:ligatures w14:val="none"/>
        </w:rPr>
        <w:t xml:space="preserve"> Ar Latgales apgabaltiesas 2024. gada 29. oktobra spriedumu </w:t>
      </w:r>
      <w:r w:rsidR="00253BD2">
        <w:rPr>
          <w:rFonts w:asciiTheme="majorBidi" w:hAnsiTheme="majorBidi" w:cstheme="majorBidi"/>
          <w:kern w:val="0"/>
          <w:szCs w:val="24"/>
          <w14:ligatures w14:val="none"/>
        </w:rPr>
        <w:t>[pers. A]</w:t>
      </w:r>
      <w:r w:rsidR="006212A8">
        <w:rPr>
          <w:rFonts w:asciiTheme="majorBidi" w:hAnsiTheme="majorBidi" w:cstheme="majorBidi"/>
          <w:kern w:val="0"/>
          <w:szCs w:val="24"/>
          <w14:ligatures w14:val="none"/>
        </w:rPr>
        <w:t xml:space="preserve"> atzīta par vainīgu un sodīta pēc Krimināllikuma 84. panta pirmās daļas par to, ka </w:t>
      </w:r>
      <w:r w:rsidR="000159AC" w:rsidRPr="000159AC">
        <w:rPr>
          <w:rFonts w:asciiTheme="majorBidi" w:hAnsiTheme="majorBidi" w:cstheme="majorBidi"/>
          <w:kern w:val="0"/>
          <w:szCs w:val="24"/>
          <w14:ligatures w14:val="none"/>
        </w:rPr>
        <w:t>tīši pārkāpa Eiropas Savienības noteiktās sankcijas šādos</w:t>
      </w:r>
      <w:r w:rsidR="000159AC">
        <w:rPr>
          <w:rFonts w:asciiTheme="majorBidi" w:hAnsiTheme="majorBidi" w:cstheme="majorBidi"/>
          <w:kern w:val="0"/>
          <w:szCs w:val="24"/>
          <w14:ligatures w14:val="none"/>
        </w:rPr>
        <w:t xml:space="preserve"> </w:t>
      </w:r>
      <w:r w:rsidR="000159AC" w:rsidRPr="000159AC">
        <w:rPr>
          <w:rFonts w:asciiTheme="majorBidi" w:hAnsiTheme="majorBidi" w:cstheme="majorBidi"/>
          <w:kern w:val="0"/>
          <w:szCs w:val="24"/>
          <w14:ligatures w14:val="none"/>
        </w:rPr>
        <w:t>apstākļos</w:t>
      </w:r>
      <w:r w:rsidR="000159AC">
        <w:rPr>
          <w:rFonts w:asciiTheme="majorBidi" w:hAnsiTheme="majorBidi" w:cstheme="majorBidi"/>
          <w:kern w:val="0"/>
          <w:szCs w:val="24"/>
          <w14:ligatures w14:val="none"/>
        </w:rPr>
        <w:t xml:space="preserve">. </w:t>
      </w:r>
    </w:p>
    <w:p w14:paraId="71AE6AE6" w14:textId="01244264" w:rsidR="000159AC" w:rsidRPr="000159AC" w:rsidRDefault="000159AC" w:rsidP="006212A8">
      <w:pPr>
        <w:ind w:firstLine="680"/>
        <w:rPr>
          <w:rFonts w:asciiTheme="majorBidi" w:hAnsiTheme="majorBidi" w:cstheme="majorBidi"/>
          <w:kern w:val="0"/>
          <w:szCs w:val="24"/>
          <w14:ligatures w14:val="none"/>
        </w:rPr>
      </w:pPr>
      <w:r w:rsidRPr="000159AC">
        <w:rPr>
          <w:rFonts w:asciiTheme="majorBidi" w:hAnsiTheme="majorBidi" w:cstheme="majorBidi"/>
          <w:kern w:val="0"/>
          <w:szCs w:val="24"/>
          <w14:ligatures w14:val="none"/>
        </w:rPr>
        <w:lastRenderedPageBreak/>
        <w:t>2014.</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18.</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decembrī Eiropas Savienības Padome pieņēma Padomes Regulu (ES) Nr.</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1351/2014, ar ko groza Regulu (ES)</w:t>
      </w:r>
      <w:r w:rsidR="00AE67D0">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Nr.</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692/2014 par ierobežojumiem, reaģējot uz Krimas un Sevastopoles nelikumīgo</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 xml:space="preserve">aneksiju. Minētās Regulas </w:t>
      </w:r>
      <w:r w:rsidR="00EF280B" w:rsidRPr="00EF280B">
        <w:rPr>
          <w:rFonts w:asciiTheme="majorBidi" w:hAnsiTheme="majorBidi" w:cstheme="majorBidi"/>
          <w:kern w:val="0"/>
          <w:szCs w:val="24"/>
          <w14:ligatures w14:val="none"/>
        </w:rPr>
        <w:t>2.</w:t>
      </w:r>
      <w:r w:rsidR="00EF280B">
        <w:rPr>
          <w:rFonts w:asciiTheme="majorBidi" w:hAnsiTheme="majorBidi" w:cstheme="majorBidi"/>
          <w:kern w:val="0"/>
          <w:szCs w:val="24"/>
          <w14:ligatures w14:val="none"/>
        </w:rPr>
        <w:t> </w:t>
      </w:r>
      <w:r w:rsidR="00EF280B" w:rsidRPr="00EF280B">
        <w:rPr>
          <w:rFonts w:asciiTheme="majorBidi" w:hAnsiTheme="majorBidi" w:cstheme="majorBidi"/>
          <w:kern w:val="0"/>
          <w:szCs w:val="24"/>
          <w14:ligatures w14:val="none"/>
        </w:rPr>
        <w:t>d</w:t>
      </w:r>
      <w:r w:rsidRPr="00EF280B">
        <w:rPr>
          <w:rFonts w:asciiTheme="majorBidi" w:hAnsiTheme="majorBidi" w:cstheme="majorBidi"/>
          <w:kern w:val="0"/>
          <w:szCs w:val="24"/>
          <w14:ligatures w14:val="none"/>
        </w:rPr>
        <w:t xml:space="preserve"> panta pirmā daļa nosaka,</w:t>
      </w:r>
      <w:r w:rsidRPr="000159AC">
        <w:rPr>
          <w:rFonts w:asciiTheme="majorBidi" w:hAnsiTheme="majorBidi" w:cstheme="majorBidi"/>
          <w:kern w:val="0"/>
          <w:szCs w:val="24"/>
          <w14:ligatures w14:val="none"/>
        </w:rPr>
        <w:t xml:space="preserve"> ka ir aizliegts sniegt pakalpojumus, kuri tieši saistīti ar tūrisma darbībām Krimā un Sevastopolē.</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Neievērojot minētajā Padomes Regulā (ES) Nr.</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 xml:space="preserve">1351/2014 noteikto aizliegumu </w:t>
      </w:r>
      <w:r>
        <w:rPr>
          <w:rFonts w:asciiTheme="majorBidi" w:hAnsiTheme="majorBidi" w:cstheme="majorBidi"/>
          <w:kern w:val="0"/>
          <w:szCs w:val="24"/>
          <w14:ligatures w14:val="none"/>
        </w:rPr>
        <w:t>–</w:t>
      </w:r>
      <w:r w:rsidRPr="000159AC">
        <w:rPr>
          <w:rFonts w:asciiTheme="majorBidi" w:hAnsiTheme="majorBidi" w:cstheme="majorBidi"/>
          <w:kern w:val="0"/>
          <w:szCs w:val="24"/>
          <w14:ligatures w14:val="none"/>
        </w:rPr>
        <w:t xml:space="preserve"> sniegt</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pakalpojumus, kuri tieši saistīti ar tūrisma darbībām Krimā un Sevastopolē un, zinot par</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 xml:space="preserve">minēto aizliegumu, </w:t>
      </w:r>
      <w:r w:rsidR="00253BD2">
        <w:rPr>
          <w:rFonts w:asciiTheme="majorBidi" w:hAnsiTheme="majorBidi" w:cstheme="majorBidi"/>
          <w:kern w:val="0"/>
          <w:szCs w:val="24"/>
          <w14:ligatures w14:val="none"/>
        </w:rPr>
        <w:t>[pers. A]</w:t>
      </w:r>
      <w:r w:rsidRPr="000159AC">
        <w:rPr>
          <w:rFonts w:asciiTheme="majorBidi" w:hAnsiTheme="majorBidi" w:cstheme="majorBidi"/>
          <w:kern w:val="0"/>
          <w:szCs w:val="24"/>
          <w14:ligatures w14:val="none"/>
        </w:rPr>
        <w:t>, būdama SIA</w:t>
      </w:r>
      <w:r w:rsidR="006212A8">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[Nosaukums B]</w:t>
      </w:r>
      <w:r w:rsidRPr="000159AC">
        <w:rPr>
          <w:rFonts w:asciiTheme="majorBidi" w:hAnsiTheme="majorBidi" w:cstheme="majorBidi"/>
          <w:kern w:val="0"/>
          <w:szCs w:val="24"/>
          <w14:ligatures w14:val="none"/>
        </w:rPr>
        <w:t>” ceļojumu aģente, laika</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periodā no 2015.</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22.</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aprīļa līdz 2015.</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19.</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jūnijam, pildot savus darba pienākumus</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SIA</w:t>
      </w:r>
      <w:r w:rsidR="006212A8">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[Nosaukums B]</w:t>
      </w:r>
      <w:r w:rsidRPr="000159AC">
        <w:rPr>
          <w:rFonts w:asciiTheme="majorBidi" w:hAnsiTheme="majorBidi" w:cstheme="majorBidi"/>
          <w:kern w:val="0"/>
          <w:szCs w:val="24"/>
          <w14:ligatures w14:val="none"/>
        </w:rPr>
        <w:t xml:space="preserve">” telpās, </w:t>
      </w:r>
      <w:r w:rsidR="00253BD2">
        <w:rPr>
          <w:rFonts w:asciiTheme="majorBidi" w:hAnsiTheme="majorBidi" w:cstheme="majorBidi"/>
          <w:kern w:val="0"/>
          <w:szCs w:val="24"/>
          <w14:ligatures w14:val="none"/>
        </w:rPr>
        <w:t>[adrese]</w:t>
      </w:r>
      <w:r w:rsidRPr="000159AC">
        <w:rPr>
          <w:rFonts w:asciiTheme="majorBidi" w:hAnsiTheme="majorBidi" w:cstheme="majorBidi"/>
          <w:kern w:val="0"/>
          <w:szCs w:val="24"/>
          <w14:ligatures w14:val="none"/>
        </w:rPr>
        <w:t>, SIA</w:t>
      </w:r>
      <w:r w:rsidR="006212A8">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w:t>
      </w:r>
      <w:r w:rsidR="004F6DA8">
        <w:rPr>
          <w:rFonts w:asciiTheme="majorBidi" w:hAnsiTheme="majorBidi" w:cstheme="majorBidi"/>
          <w:kern w:val="0"/>
          <w:szCs w:val="24"/>
          <w14:ligatures w14:val="none"/>
        </w:rPr>
        <w:t>osaukums</w:t>
      </w:r>
      <w:r w:rsidR="00253BD2">
        <w:rPr>
          <w:rFonts w:asciiTheme="majorBidi" w:hAnsiTheme="majorBidi" w:cstheme="majorBidi"/>
          <w:kern w:val="0"/>
          <w:szCs w:val="24"/>
          <w14:ligatures w14:val="none"/>
        </w:rPr>
        <w:t> B]</w:t>
      </w:r>
      <w:r w:rsidRPr="000159AC">
        <w:rPr>
          <w:rFonts w:asciiTheme="majorBidi" w:hAnsiTheme="majorBidi" w:cstheme="majorBidi"/>
          <w:kern w:val="0"/>
          <w:szCs w:val="24"/>
          <w14:ligatures w14:val="none"/>
        </w:rPr>
        <w:t>” interesēs,</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nolūkā gūt peļņu par tūrisma brauciena</w:t>
      </w:r>
      <w:r w:rsidR="006212A8">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 xml:space="preserve"> ceļazīmes pārdošanu, organizēja vairākus tūrisma</w:t>
      </w:r>
      <w:r>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braucienus no Latvijas uz Krimu:</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2015.</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22.</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aprīlī organizēja vienas personas tūrisma braucienu uz Krimu</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2015.</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24.</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aprīlī organizēja trīs personu tūrisma braucienu</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2015.</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19.</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jūnijā mēģināja organizēt piecpadsmit personu tūrisma braucienu</w:t>
      </w:r>
      <w:r w:rsidR="00FF069C">
        <w:rPr>
          <w:rFonts w:asciiTheme="majorBidi" w:hAnsiTheme="majorBidi" w:cstheme="majorBidi"/>
          <w:kern w:val="0"/>
          <w:szCs w:val="24"/>
          <w14:ligatures w14:val="none"/>
        </w:rPr>
        <w:t>.</w:t>
      </w:r>
      <w:r w:rsidRPr="000159AC">
        <w:rPr>
          <w:rFonts w:asciiTheme="majorBidi" w:hAnsiTheme="majorBidi" w:cstheme="majorBidi"/>
          <w:kern w:val="0"/>
          <w:szCs w:val="24"/>
          <w14:ligatures w14:val="none"/>
        </w:rPr>
        <w:t xml:space="preserve"> Ar savām darbībām </w:t>
      </w:r>
      <w:r w:rsidR="00253BD2">
        <w:rPr>
          <w:rFonts w:asciiTheme="majorBidi" w:hAnsiTheme="majorBidi" w:cstheme="majorBidi"/>
          <w:kern w:val="0"/>
          <w:szCs w:val="24"/>
          <w14:ligatures w14:val="none"/>
        </w:rPr>
        <w:t>[pers. A]</w:t>
      </w:r>
      <w:r w:rsidRPr="000159AC">
        <w:rPr>
          <w:rFonts w:asciiTheme="majorBidi" w:hAnsiTheme="majorBidi" w:cstheme="majorBidi"/>
          <w:kern w:val="0"/>
          <w:szCs w:val="24"/>
          <w14:ligatures w14:val="none"/>
        </w:rPr>
        <w:t xml:space="preserve"> SIA</w:t>
      </w:r>
      <w:r w:rsidR="006212A8">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w:t>
      </w:r>
      <w:r w:rsidR="004F6DA8">
        <w:rPr>
          <w:rFonts w:asciiTheme="majorBidi" w:hAnsiTheme="majorBidi" w:cstheme="majorBidi"/>
          <w:kern w:val="0"/>
          <w:szCs w:val="24"/>
          <w14:ligatures w14:val="none"/>
        </w:rPr>
        <w:t>osaukums </w:t>
      </w:r>
      <w:r w:rsidR="00253BD2">
        <w:rPr>
          <w:rFonts w:asciiTheme="majorBidi" w:hAnsiTheme="majorBidi" w:cstheme="majorBidi"/>
          <w:kern w:val="0"/>
          <w:szCs w:val="24"/>
          <w14:ligatures w14:val="none"/>
        </w:rPr>
        <w:t>B]</w:t>
      </w:r>
      <w:r w:rsidRPr="000159AC">
        <w:rPr>
          <w:rFonts w:asciiTheme="majorBidi" w:hAnsiTheme="majorBidi" w:cstheme="majorBidi"/>
          <w:kern w:val="0"/>
          <w:szCs w:val="24"/>
          <w14:ligatures w14:val="none"/>
        </w:rPr>
        <w:t>” interesēs, nolūkā gūt peļņu par</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tūrisma braucienu</w:t>
      </w:r>
      <w:r w:rsidR="006212A8">
        <w:rPr>
          <w:rFonts w:asciiTheme="majorBidi" w:hAnsiTheme="majorBidi" w:cstheme="majorBidi"/>
          <w:kern w:val="0"/>
          <w:szCs w:val="24"/>
          <w14:ligatures w14:val="none"/>
        </w:rPr>
        <w:t xml:space="preserve"> – </w:t>
      </w:r>
      <w:r w:rsidRPr="000159AC">
        <w:rPr>
          <w:rFonts w:asciiTheme="majorBidi" w:hAnsiTheme="majorBidi" w:cstheme="majorBidi"/>
          <w:kern w:val="0"/>
          <w:szCs w:val="24"/>
          <w14:ligatures w14:val="none"/>
        </w:rPr>
        <w:t>ceļazīmes pārdošanu, sniedza pakalpojumus, kuri tieši saistīti ar tūrisma</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darbībām Krimā un tīši pārkāpa Eiropas Savienības Padomes 2014.</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gada 18.</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decembra</w:t>
      </w:r>
      <w:r w:rsidR="006212A8">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Lēmumu 2014/933/KĀDP un Padomes Regulu (ES) Nr.</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1351/2014, ar ko groza Regulu</w:t>
      </w:r>
      <w:r w:rsidR="00CA450B">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(ES) Nr.</w:t>
      </w:r>
      <w:r w:rsidR="006212A8">
        <w:rPr>
          <w:rFonts w:asciiTheme="majorBidi" w:hAnsiTheme="majorBidi" w:cstheme="majorBidi"/>
          <w:kern w:val="0"/>
          <w:szCs w:val="24"/>
          <w14:ligatures w14:val="none"/>
        </w:rPr>
        <w:t> </w:t>
      </w:r>
      <w:r w:rsidRPr="000159AC">
        <w:rPr>
          <w:rFonts w:asciiTheme="majorBidi" w:hAnsiTheme="majorBidi" w:cstheme="majorBidi"/>
          <w:kern w:val="0"/>
          <w:szCs w:val="24"/>
          <w14:ligatures w14:val="none"/>
        </w:rPr>
        <w:t>692/2014 par ierobežojumiem, reaģējot uz Krimas un Sevastopoles nelikumīgo</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aneksiju, tādējādi, tīši pārkāpa normatīvos aktus, kuri regulē Eiropas Savienības noteikto</w:t>
      </w:r>
      <w:r w:rsidR="00FF069C">
        <w:rPr>
          <w:rFonts w:asciiTheme="majorBidi" w:hAnsiTheme="majorBidi" w:cstheme="majorBidi"/>
          <w:kern w:val="0"/>
          <w:szCs w:val="24"/>
          <w14:ligatures w14:val="none"/>
        </w:rPr>
        <w:t xml:space="preserve"> </w:t>
      </w:r>
      <w:r w:rsidRPr="000159AC">
        <w:rPr>
          <w:rFonts w:asciiTheme="majorBidi" w:hAnsiTheme="majorBidi" w:cstheme="majorBidi"/>
          <w:kern w:val="0"/>
          <w:szCs w:val="24"/>
          <w14:ligatures w14:val="none"/>
        </w:rPr>
        <w:t xml:space="preserve">sankciju darbību Latvijas Republikā. </w:t>
      </w:r>
    </w:p>
    <w:p w14:paraId="12149F4B" w14:textId="77777777" w:rsidR="0035112C" w:rsidRDefault="0035112C" w:rsidP="00DE0B03">
      <w:pPr>
        <w:ind w:firstLine="680"/>
        <w:rPr>
          <w:rFonts w:asciiTheme="majorBidi" w:hAnsiTheme="majorBidi" w:cstheme="majorBidi"/>
          <w:kern w:val="0"/>
          <w:szCs w:val="24"/>
          <w14:ligatures w14:val="none"/>
        </w:rPr>
      </w:pPr>
    </w:p>
    <w:p w14:paraId="0DEEC7CB" w14:textId="69924555" w:rsidR="0035112C" w:rsidRDefault="0035112C" w:rsidP="00DE0B03">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w:t>
      </w:r>
      <w:r w:rsidR="00FF069C">
        <w:rPr>
          <w:rFonts w:asciiTheme="majorBidi" w:hAnsiTheme="majorBidi" w:cstheme="majorBidi"/>
          <w:kern w:val="0"/>
          <w:szCs w:val="24"/>
          <w14:ligatures w14:val="none"/>
        </w:rPr>
        <w:t>4</w:t>
      </w:r>
      <w:r>
        <w:rPr>
          <w:rFonts w:asciiTheme="majorBidi" w:hAnsiTheme="majorBidi" w:cstheme="majorBidi"/>
          <w:kern w:val="0"/>
          <w:szCs w:val="24"/>
          <w14:ligatures w14:val="none"/>
        </w:rPr>
        <w:t>]</w:t>
      </w:r>
      <w:r w:rsidR="006212A8">
        <w:rPr>
          <w:rFonts w:asciiTheme="majorBidi" w:hAnsiTheme="majorBidi" w:cstheme="majorBidi"/>
          <w:kern w:val="0"/>
          <w:szCs w:val="24"/>
          <w14:ligatures w14:val="none"/>
        </w:rPr>
        <w:t> </w:t>
      </w:r>
      <w:r>
        <w:rPr>
          <w:rFonts w:asciiTheme="majorBidi" w:hAnsiTheme="majorBidi" w:cstheme="majorBidi"/>
          <w:kern w:val="0"/>
          <w:szCs w:val="24"/>
          <w14:ligatures w14:val="none"/>
        </w:rPr>
        <w:t>Par Latgales apgabaltiesas 2024.</w:t>
      </w:r>
      <w:r w:rsidR="006212A8">
        <w:rPr>
          <w:rFonts w:asciiTheme="majorBidi" w:hAnsiTheme="majorBidi" w:cstheme="majorBidi"/>
          <w:kern w:val="0"/>
          <w:szCs w:val="24"/>
          <w14:ligatures w14:val="none"/>
        </w:rPr>
        <w:t> </w:t>
      </w:r>
      <w:r>
        <w:rPr>
          <w:rFonts w:asciiTheme="majorBidi" w:hAnsiTheme="majorBidi" w:cstheme="majorBidi"/>
          <w:kern w:val="0"/>
          <w:szCs w:val="24"/>
          <w14:ligatures w14:val="none"/>
        </w:rPr>
        <w:t>gada 29.</w:t>
      </w:r>
      <w:r w:rsidR="006212A8">
        <w:rPr>
          <w:rFonts w:asciiTheme="majorBidi" w:hAnsiTheme="majorBidi" w:cstheme="majorBidi"/>
          <w:kern w:val="0"/>
          <w:szCs w:val="24"/>
          <w14:ligatures w14:val="none"/>
        </w:rPr>
        <w:t> </w:t>
      </w:r>
      <w:r>
        <w:rPr>
          <w:rFonts w:asciiTheme="majorBidi" w:hAnsiTheme="majorBidi" w:cstheme="majorBidi"/>
          <w:kern w:val="0"/>
          <w:szCs w:val="24"/>
          <w14:ligatures w14:val="none"/>
        </w:rPr>
        <w:t xml:space="preserve">oktobra spriedumu apsūdzētā </w:t>
      </w:r>
      <w:r w:rsidR="00253BD2">
        <w:rPr>
          <w:rFonts w:asciiTheme="majorBidi" w:hAnsiTheme="majorBidi" w:cstheme="majorBidi"/>
          <w:kern w:val="0"/>
          <w:szCs w:val="24"/>
          <w14:ligatures w14:val="none"/>
        </w:rPr>
        <w:t>[pers. A]</w:t>
      </w:r>
      <w:r>
        <w:rPr>
          <w:rFonts w:asciiTheme="majorBidi" w:hAnsiTheme="majorBidi" w:cstheme="majorBidi"/>
          <w:kern w:val="0"/>
          <w:szCs w:val="24"/>
          <w14:ligatures w14:val="none"/>
        </w:rPr>
        <w:t xml:space="preserve"> iesniegusi kasācijas sūdzību, kurā lūdz atcelt apelācijas instances tiesas spriedumu un nosūtīt lietu jaunai izskatīšanai apelācijas instances tiesā.</w:t>
      </w:r>
    </w:p>
    <w:p w14:paraId="244D7614" w14:textId="5D7DC597" w:rsidR="0035112C" w:rsidRDefault="0035112C" w:rsidP="00DE0B03">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Kasācijas sūdzībā izteiktais lūgums pamatots ar šādiem argumentiem.</w:t>
      </w:r>
    </w:p>
    <w:p w14:paraId="73152367" w14:textId="1DFF32CF" w:rsidR="0027079D" w:rsidRPr="00996C6F" w:rsidRDefault="0035112C" w:rsidP="00DE0B03">
      <w:pPr>
        <w:ind w:firstLine="680"/>
        <w:rPr>
          <w:kern w:val="0"/>
          <w14:ligatures w14:val="none"/>
        </w:rPr>
      </w:pPr>
      <w:r>
        <w:rPr>
          <w:rFonts w:asciiTheme="majorBidi" w:hAnsiTheme="majorBidi" w:cstheme="majorBidi"/>
          <w:kern w:val="0"/>
          <w:szCs w:val="24"/>
          <w14:ligatures w14:val="none"/>
        </w:rPr>
        <w:t>[</w:t>
      </w:r>
      <w:r w:rsidR="00FF069C">
        <w:rPr>
          <w:rFonts w:asciiTheme="majorBidi" w:hAnsiTheme="majorBidi" w:cstheme="majorBidi"/>
          <w:kern w:val="0"/>
          <w:szCs w:val="24"/>
          <w14:ligatures w14:val="none"/>
        </w:rPr>
        <w:t>4</w:t>
      </w:r>
      <w:r>
        <w:rPr>
          <w:rFonts w:asciiTheme="majorBidi" w:hAnsiTheme="majorBidi" w:cstheme="majorBidi"/>
          <w:kern w:val="0"/>
          <w:szCs w:val="24"/>
          <w14:ligatures w14:val="none"/>
        </w:rPr>
        <w:t>.1]</w:t>
      </w:r>
      <w:r w:rsidR="00413634">
        <w:rPr>
          <w:kern w:val="0"/>
          <w14:ligatures w14:val="none"/>
        </w:rPr>
        <w:t>L</w:t>
      </w:r>
      <w:r w:rsidR="00DC3728">
        <w:rPr>
          <w:kern w:val="0"/>
          <w14:ligatures w14:val="none"/>
        </w:rPr>
        <w:t xml:space="preserve">ietā </w:t>
      </w:r>
      <w:r w:rsidR="00743293">
        <w:rPr>
          <w:kern w:val="0"/>
          <w14:ligatures w14:val="none"/>
        </w:rPr>
        <w:t>nav pierādī</w:t>
      </w:r>
      <w:r w:rsidR="006E150C">
        <w:rPr>
          <w:kern w:val="0"/>
          <w14:ligatures w14:val="none"/>
        </w:rPr>
        <w:t>ts</w:t>
      </w:r>
      <w:r w:rsidR="00743293">
        <w:rPr>
          <w:kern w:val="0"/>
          <w14:ligatures w14:val="none"/>
        </w:rPr>
        <w:t xml:space="preserve">, ka </w:t>
      </w:r>
      <w:r w:rsidR="00253BD2">
        <w:rPr>
          <w:kern w:val="0"/>
          <w14:ligatures w14:val="none"/>
        </w:rPr>
        <w:t>[pers. A]</w:t>
      </w:r>
      <w:r w:rsidR="00743293">
        <w:rPr>
          <w:kern w:val="0"/>
          <w14:ligatures w14:val="none"/>
        </w:rPr>
        <w:t xml:space="preserve"> zināja par aizliegumu organizēt tūrisma braucienus uz Krimu. Tiesas pieņēmums, ka apsūdzētā zinājusi par ierobežojumiem, kas saistīti ar ceļojumu </w:t>
      </w:r>
      <w:r w:rsidR="006E150C">
        <w:rPr>
          <w:kern w:val="0"/>
          <w14:ligatures w14:val="none"/>
        </w:rPr>
        <w:t xml:space="preserve">uz Krimu </w:t>
      </w:r>
      <w:r w:rsidR="00743293">
        <w:rPr>
          <w:kern w:val="0"/>
          <w14:ligatures w14:val="none"/>
        </w:rPr>
        <w:t>pārdošanu, ir pretrunā ar Kriminālprocesa likuma 125.</w:t>
      </w:r>
      <w:r w:rsidR="006212A8">
        <w:rPr>
          <w:kern w:val="0"/>
          <w14:ligatures w14:val="none"/>
        </w:rPr>
        <w:t> </w:t>
      </w:r>
      <w:r w:rsidR="00743293">
        <w:rPr>
          <w:kern w:val="0"/>
          <w14:ligatures w14:val="none"/>
        </w:rPr>
        <w:t xml:space="preserve">panta pirmās daļas 4. </w:t>
      </w:r>
      <w:r w:rsidR="00743293" w:rsidRPr="00996C6F">
        <w:rPr>
          <w:kern w:val="0"/>
          <w14:ligatures w14:val="none"/>
        </w:rPr>
        <w:t>un 5.</w:t>
      </w:r>
      <w:r w:rsidR="006212A8" w:rsidRPr="00996C6F">
        <w:rPr>
          <w:kern w:val="0"/>
          <w14:ligatures w14:val="none"/>
        </w:rPr>
        <w:t> </w:t>
      </w:r>
      <w:r w:rsidR="00743293" w:rsidRPr="00996C6F">
        <w:rPr>
          <w:kern w:val="0"/>
          <w14:ligatures w14:val="none"/>
        </w:rPr>
        <w:t xml:space="preserve">punktu. </w:t>
      </w:r>
      <w:r w:rsidR="00EF280B" w:rsidRPr="00996C6F">
        <w:rPr>
          <w:kern w:val="0"/>
          <w14:ligatures w14:val="none"/>
        </w:rPr>
        <w:t xml:space="preserve">Tādējādi </w:t>
      </w:r>
      <w:r w:rsidR="00EF280B" w:rsidRPr="00996C6F">
        <w:rPr>
          <w:rFonts w:asciiTheme="majorBidi" w:hAnsiTheme="majorBidi" w:cstheme="majorBidi"/>
          <w:kern w:val="0"/>
          <w:szCs w:val="24"/>
          <w14:ligatures w14:val="none"/>
        </w:rPr>
        <w:t>apelācijas instances tiesa pārkāpusi Kriminālprocesa likuma 512. pantu</w:t>
      </w:r>
      <w:r w:rsidR="00167564" w:rsidRPr="00996C6F">
        <w:rPr>
          <w:rFonts w:asciiTheme="majorBidi" w:hAnsiTheme="majorBidi" w:cstheme="majorBidi"/>
          <w:kern w:val="0"/>
          <w:szCs w:val="24"/>
          <w14:ligatures w14:val="none"/>
        </w:rPr>
        <w:t>.</w:t>
      </w:r>
    </w:p>
    <w:p w14:paraId="7CD80A01" w14:textId="6FF88442" w:rsidR="00996C6F" w:rsidRPr="00996C6F" w:rsidRDefault="0027079D" w:rsidP="00996C6F">
      <w:pPr>
        <w:ind w:firstLine="680"/>
        <w:rPr>
          <w:rFonts w:ascii="TimesNewRomanPSMT" w:hAnsi="TimesNewRomanPSMT" w:cs="TimesNewRomanPSMT"/>
          <w:szCs w:val="24"/>
        </w:rPr>
      </w:pPr>
      <w:r w:rsidRPr="00996C6F">
        <w:rPr>
          <w:kern w:val="0"/>
          <w14:ligatures w14:val="none"/>
        </w:rPr>
        <w:t>[</w:t>
      </w:r>
      <w:r w:rsidR="00FF069C" w:rsidRPr="00996C6F">
        <w:rPr>
          <w:kern w:val="0"/>
          <w14:ligatures w14:val="none"/>
        </w:rPr>
        <w:t>4</w:t>
      </w:r>
      <w:r w:rsidRPr="00996C6F">
        <w:rPr>
          <w:kern w:val="0"/>
          <w14:ligatures w14:val="none"/>
        </w:rPr>
        <w:t>.2]</w:t>
      </w:r>
      <w:r w:rsidR="006212A8" w:rsidRPr="00996C6F">
        <w:rPr>
          <w:kern w:val="0"/>
          <w14:ligatures w14:val="none"/>
        </w:rPr>
        <w:t> </w:t>
      </w:r>
      <w:r w:rsidR="00EF7982" w:rsidRPr="00996C6F">
        <w:rPr>
          <w:rFonts w:ascii="TimesNewRomanPSMT" w:hAnsi="TimesNewRomanPSMT" w:cs="TimesNewRomanPSMT"/>
          <w:szCs w:val="24"/>
        </w:rPr>
        <w:t>Apelācijas instances tiesa nav</w:t>
      </w:r>
      <w:r w:rsidR="00EF7982">
        <w:rPr>
          <w:rFonts w:ascii="TimesNewRomanPSMT" w:hAnsi="TimesNewRomanPSMT" w:cs="TimesNewRomanPSMT"/>
          <w:szCs w:val="24"/>
        </w:rPr>
        <w:t xml:space="preserve"> vērtējusi Krimināllikuma 34.</w:t>
      </w:r>
      <w:r w:rsidR="007B773A">
        <w:rPr>
          <w:rFonts w:ascii="TimesNewRomanPSMT" w:hAnsi="TimesNewRomanPSMT" w:cs="TimesNewRomanPSMT"/>
          <w:szCs w:val="24"/>
        </w:rPr>
        <w:t> </w:t>
      </w:r>
      <w:r w:rsidR="00EF7982">
        <w:rPr>
          <w:rFonts w:ascii="TimesNewRomanPSMT" w:hAnsi="TimesNewRomanPSMT" w:cs="TimesNewRomanPSMT"/>
          <w:szCs w:val="24"/>
        </w:rPr>
        <w:t>pantā paredzētā apstākļa, kas izslēdz kriminālatbildību, proti, noziedzīgas pavēles un noziedzīga rīkojuma izpildīšana</w:t>
      </w:r>
      <w:r w:rsidR="00631F0A">
        <w:rPr>
          <w:rFonts w:ascii="TimesNewRomanPSMT" w:hAnsi="TimesNewRomanPSMT" w:cs="TimesNewRomanPSMT"/>
          <w:szCs w:val="24"/>
        </w:rPr>
        <w:t>s</w:t>
      </w:r>
      <w:r w:rsidR="00EF7982">
        <w:rPr>
          <w:rFonts w:ascii="TimesNewRomanPSMT" w:hAnsi="TimesNewRomanPSMT" w:cs="TimesNewRomanPSMT"/>
          <w:szCs w:val="24"/>
        </w:rPr>
        <w:t xml:space="preserve">, esību. Apsūdzētā nav </w:t>
      </w:r>
      <w:r w:rsidR="007B773A">
        <w:rPr>
          <w:rFonts w:ascii="TimesNewRomanPSMT" w:hAnsi="TimesNewRomanPSMT" w:cs="TimesNewRomanPSMT"/>
          <w:szCs w:val="24"/>
        </w:rPr>
        <w:t>zinājusi</w:t>
      </w:r>
      <w:r w:rsidR="00EF7982">
        <w:rPr>
          <w:rFonts w:ascii="TimesNewRomanPSMT" w:hAnsi="TimesNewRomanPSMT" w:cs="TimesNewRomanPSMT"/>
          <w:szCs w:val="24"/>
        </w:rPr>
        <w:t xml:space="preserve"> par darba devēja pavēles vai priekšraksta noziedzīgo raksturu</w:t>
      </w:r>
      <w:r w:rsidR="007B773A">
        <w:rPr>
          <w:rFonts w:ascii="TimesNewRomanPSMT" w:hAnsi="TimesNewRomanPSMT" w:cs="TimesNewRomanPSMT"/>
          <w:szCs w:val="24"/>
        </w:rPr>
        <w:t>.</w:t>
      </w:r>
    </w:p>
    <w:p w14:paraId="44A6DF30" w14:textId="54D6E7DD" w:rsidR="00183922" w:rsidRPr="00B71C7D" w:rsidRDefault="00743293" w:rsidP="00DE0B03">
      <w:pPr>
        <w:ind w:firstLine="680"/>
        <w:rPr>
          <w:kern w:val="0"/>
          <w14:ligatures w14:val="none"/>
        </w:rPr>
      </w:pPr>
      <w:r>
        <w:rPr>
          <w:kern w:val="0"/>
          <w14:ligatures w14:val="none"/>
        </w:rPr>
        <w:t>[</w:t>
      </w:r>
      <w:r w:rsidR="00FF069C">
        <w:rPr>
          <w:kern w:val="0"/>
          <w14:ligatures w14:val="none"/>
        </w:rPr>
        <w:t>4</w:t>
      </w:r>
      <w:r>
        <w:rPr>
          <w:kern w:val="0"/>
          <w14:ligatures w14:val="none"/>
        </w:rPr>
        <w:t>.</w:t>
      </w:r>
      <w:r w:rsidR="00971234">
        <w:rPr>
          <w:kern w:val="0"/>
          <w14:ligatures w14:val="none"/>
        </w:rPr>
        <w:t>3</w:t>
      </w:r>
      <w:r>
        <w:rPr>
          <w:kern w:val="0"/>
          <w14:ligatures w14:val="none"/>
        </w:rPr>
        <w:t>] </w:t>
      </w:r>
      <w:r w:rsidR="00AF560B">
        <w:rPr>
          <w:kern w:val="0"/>
          <w14:ligatures w14:val="none"/>
        </w:rPr>
        <w:t xml:space="preserve">Tiesa </w:t>
      </w:r>
      <w:r>
        <w:rPr>
          <w:kern w:val="0"/>
          <w14:ligatures w14:val="none"/>
        </w:rPr>
        <w:t xml:space="preserve">nav izvērtējusi speciālā </w:t>
      </w:r>
      <w:r w:rsidRPr="001C7295">
        <w:rPr>
          <w:kern w:val="0"/>
          <w14:ligatures w14:val="none"/>
        </w:rPr>
        <w:t>izm</w:t>
      </w:r>
      <w:r>
        <w:rPr>
          <w:kern w:val="0"/>
          <w14:ligatures w14:val="none"/>
        </w:rPr>
        <w:t>eklēšanas</w:t>
      </w:r>
      <w:r w:rsidRPr="001C7295">
        <w:rPr>
          <w:kern w:val="0"/>
          <w14:ligatures w14:val="none"/>
        </w:rPr>
        <w:t xml:space="preserve"> eks</w:t>
      </w:r>
      <w:r>
        <w:rPr>
          <w:kern w:val="0"/>
          <w14:ligatures w14:val="none"/>
        </w:rPr>
        <w:t>perimenta tiesiskumu un tajā iegūto ziņu pieļaujamību</w:t>
      </w:r>
      <w:r w:rsidR="0082522C">
        <w:rPr>
          <w:kern w:val="0"/>
          <w14:ligatures w14:val="none"/>
        </w:rPr>
        <w:t>,</w:t>
      </w:r>
      <w:r w:rsidR="00AF560B">
        <w:rPr>
          <w:kern w:val="0"/>
          <w14:ligatures w14:val="none"/>
        </w:rPr>
        <w:t xml:space="preserve"> </w:t>
      </w:r>
      <w:r w:rsidR="00055D01">
        <w:rPr>
          <w:kern w:val="0"/>
          <w14:ligatures w14:val="none"/>
        </w:rPr>
        <w:t>nav ņēmusi vērā, ka p</w:t>
      </w:r>
      <w:r w:rsidR="00971234">
        <w:rPr>
          <w:kern w:val="0"/>
          <w14:ligatures w14:val="none"/>
        </w:rPr>
        <w:t>olicija</w:t>
      </w:r>
      <w:r w:rsidR="00055D01">
        <w:rPr>
          <w:kern w:val="0"/>
          <w14:ligatures w14:val="none"/>
        </w:rPr>
        <w:t xml:space="preserve"> ir</w:t>
      </w:r>
      <w:r w:rsidR="00971234">
        <w:rPr>
          <w:kern w:val="0"/>
          <w14:ligatures w14:val="none"/>
        </w:rPr>
        <w:t xml:space="preserve"> pārkāp</w:t>
      </w:r>
      <w:r w:rsidR="007B773A">
        <w:rPr>
          <w:kern w:val="0"/>
          <w14:ligatures w14:val="none"/>
        </w:rPr>
        <w:t>usi</w:t>
      </w:r>
      <w:r w:rsidR="00971234">
        <w:rPr>
          <w:kern w:val="0"/>
          <w14:ligatures w14:val="none"/>
        </w:rPr>
        <w:t xml:space="preserve"> izmeklēšanas tiesneša lēmumā noteikto izmeklēšanas eksperimenta mērķi un robežas</w:t>
      </w:r>
      <w:r w:rsidR="00055D01">
        <w:rPr>
          <w:kern w:val="0"/>
          <w14:ligatures w14:val="none"/>
        </w:rPr>
        <w:t>, savukārt</w:t>
      </w:r>
      <w:r w:rsidR="00971234">
        <w:rPr>
          <w:kern w:val="0"/>
          <w14:ligatures w14:val="none"/>
        </w:rPr>
        <w:t xml:space="preserve"> </w:t>
      </w:r>
      <w:r w:rsidR="00055D01">
        <w:rPr>
          <w:kern w:val="0"/>
          <w14:ligatures w14:val="none"/>
        </w:rPr>
        <w:t>e</w:t>
      </w:r>
      <w:r w:rsidR="00971234">
        <w:rPr>
          <w:kern w:val="0"/>
          <w14:ligatures w14:val="none"/>
        </w:rPr>
        <w:t>ksperimenta dalībniece</w:t>
      </w:r>
      <w:r w:rsidR="00055D01">
        <w:rPr>
          <w:kern w:val="0"/>
          <w14:ligatures w14:val="none"/>
        </w:rPr>
        <w:t xml:space="preserve"> ir</w:t>
      </w:r>
      <w:r w:rsidR="00971234">
        <w:rPr>
          <w:kern w:val="0"/>
          <w14:ligatures w14:val="none"/>
        </w:rPr>
        <w:t xml:space="preserve"> pārsnie</w:t>
      </w:r>
      <w:r w:rsidR="00055D01">
        <w:rPr>
          <w:kern w:val="0"/>
          <w14:ligatures w14:val="none"/>
        </w:rPr>
        <w:t>gusi</w:t>
      </w:r>
      <w:r w:rsidR="00971234">
        <w:rPr>
          <w:kern w:val="0"/>
          <w14:ligatures w14:val="none"/>
        </w:rPr>
        <w:t xml:space="preserve"> savas pilnvaras, pasūtot un parakstot līgumu par ceļojuma pakalpojuma saņemšanu, prettiesiski piedāvājot sastādīt ceļojuma līgumu krievu valodā un saņemt apmaksu skaidrā naudā bez maksājuma dokumenta izsniegšanas. </w:t>
      </w:r>
      <w:r w:rsidR="00F81B84" w:rsidRPr="00B71C7D">
        <w:rPr>
          <w:kern w:val="0"/>
          <w14:ligatures w14:val="none"/>
        </w:rPr>
        <w:t xml:space="preserve">Proti, </w:t>
      </w:r>
      <w:r w:rsidR="00637DBC" w:rsidRPr="00B71C7D">
        <w:rPr>
          <w:kern w:val="0"/>
          <w14:ligatures w14:val="none"/>
        </w:rPr>
        <w:t xml:space="preserve">izmeklēšanas </w:t>
      </w:r>
      <w:r w:rsidR="00EA771B" w:rsidRPr="00B71C7D">
        <w:rPr>
          <w:kern w:val="0"/>
          <w14:ligatures w14:val="none"/>
        </w:rPr>
        <w:t>e</w:t>
      </w:r>
      <w:r w:rsidR="00971234" w:rsidRPr="00B71C7D">
        <w:rPr>
          <w:kern w:val="0"/>
          <w14:ligatures w14:val="none"/>
        </w:rPr>
        <w:t xml:space="preserve">ksperiments bijusi provokācija. </w:t>
      </w:r>
      <w:r w:rsidR="00616FD7" w:rsidRPr="00B71C7D">
        <w:rPr>
          <w:kern w:val="0"/>
          <w14:ligatures w14:val="none"/>
        </w:rPr>
        <w:t>Eksperimenta rezultāti fiksēti, pārkāpjot Kriminālprocesa likuma 216.</w:t>
      </w:r>
      <w:r w:rsidR="007B773A" w:rsidRPr="00B71C7D">
        <w:rPr>
          <w:kern w:val="0"/>
          <w14:ligatures w14:val="none"/>
        </w:rPr>
        <w:t> </w:t>
      </w:r>
      <w:r w:rsidR="00616FD7" w:rsidRPr="00B71C7D">
        <w:rPr>
          <w:kern w:val="0"/>
          <w14:ligatures w14:val="none"/>
        </w:rPr>
        <w:t xml:space="preserve">panta </w:t>
      </w:r>
      <w:r w:rsidR="00CE415C">
        <w:rPr>
          <w:kern w:val="0"/>
          <w14:ligatures w14:val="none"/>
        </w:rPr>
        <w:t xml:space="preserve">trešās daļas </w:t>
      </w:r>
      <w:r w:rsidR="00616FD7" w:rsidRPr="00B71C7D">
        <w:rPr>
          <w:kern w:val="0"/>
          <w14:ligatures w14:val="none"/>
        </w:rPr>
        <w:t>noteikumus.</w:t>
      </w:r>
    </w:p>
    <w:p w14:paraId="5C34B380" w14:textId="7565D1FD" w:rsidR="00183922" w:rsidRPr="00B71C7D" w:rsidRDefault="00183922" w:rsidP="00183922">
      <w:pPr>
        <w:ind w:firstLine="680"/>
        <w:rPr>
          <w:kern w:val="0"/>
          <w14:ligatures w14:val="none"/>
        </w:rPr>
      </w:pPr>
      <w:r w:rsidRPr="00B71C7D">
        <w:t xml:space="preserve">[4.4] Pratinot liecinieci </w:t>
      </w:r>
      <w:r w:rsidR="004F6DA8">
        <w:t>[pers. B]</w:t>
      </w:r>
      <w:r w:rsidRPr="00B71C7D">
        <w:t xml:space="preserve"> par eksperimenta gaitu, tiesa ir pārkāpusi Kriminālprocesa likuma 328.</w:t>
      </w:r>
      <w:r w:rsidR="00AF24FA">
        <w:t> </w:t>
      </w:r>
      <w:r w:rsidRPr="00B71C7D">
        <w:t>panta pirmo daļu.</w:t>
      </w:r>
    </w:p>
    <w:p w14:paraId="100D0817" w14:textId="2B15C20D" w:rsidR="00AF560B" w:rsidRDefault="00AF560B" w:rsidP="00183922">
      <w:pPr>
        <w:ind w:firstLine="680"/>
        <w:rPr>
          <w:kern w:val="0"/>
          <w14:ligatures w14:val="none"/>
        </w:rPr>
      </w:pPr>
      <w:r w:rsidRPr="00B71C7D">
        <w:rPr>
          <w:kern w:val="0"/>
          <w14:ligatures w14:val="none"/>
        </w:rPr>
        <w:lastRenderedPageBreak/>
        <w:t>[</w:t>
      </w:r>
      <w:r w:rsidR="00FF069C" w:rsidRPr="00B71C7D">
        <w:rPr>
          <w:kern w:val="0"/>
          <w14:ligatures w14:val="none"/>
        </w:rPr>
        <w:t>4</w:t>
      </w:r>
      <w:r w:rsidRPr="00B71C7D">
        <w:rPr>
          <w:kern w:val="0"/>
          <w14:ligatures w14:val="none"/>
        </w:rPr>
        <w:t>.</w:t>
      </w:r>
      <w:r w:rsidR="00866177" w:rsidRPr="00B71C7D">
        <w:rPr>
          <w:kern w:val="0"/>
          <w14:ligatures w14:val="none"/>
        </w:rPr>
        <w:t>5</w:t>
      </w:r>
      <w:r w:rsidRPr="00B71C7D">
        <w:rPr>
          <w:kern w:val="0"/>
          <w14:ligatures w14:val="none"/>
        </w:rPr>
        <w:t>]</w:t>
      </w:r>
      <w:r w:rsidR="007B773A" w:rsidRPr="00B71C7D">
        <w:rPr>
          <w:kern w:val="0"/>
          <w14:ligatures w14:val="none"/>
        </w:rPr>
        <w:t> Tiesa</w:t>
      </w:r>
      <w:r w:rsidR="00DC3728" w:rsidRPr="00B71C7D">
        <w:rPr>
          <w:kern w:val="0"/>
          <w14:ligatures w14:val="none"/>
        </w:rPr>
        <w:t xml:space="preserve"> pārkāpusi</w:t>
      </w:r>
      <w:r w:rsidRPr="00B71C7D">
        <w:rPr>
          <w:kern w:val="0"/>
          <w14:ligatures w14:val="none"/>
        </w:rPr>
        <w:t xml:space="preserve"> </w:t>
      </w:r>
      <w:r w:rsidR="00DC3728" w:rsidRPr="00B71C7D">
        <w:rPr>
          <w:kern w:val="0"/>
          <w14:ligatures w14:val="none"/>
        </w:rPr>
        <w:t xml:space="preserve">Kriminālprocesa likuma 14. pantu, jo </w:t>
      </w:r>
      <w:r w:rsidRPr="00B71C7D">
        <w:rPr>
          <w:kern w:val="0"/>
          <w14:ligatures w14:val="none"/>
        </w:rPr>
        <w:t>nepamatoti nav piemērojusi Krimināllikuma 49.</w:t>
      </w:r>
      <w:r w:rsidRPr="00B71C7D">
        <w:rPr>
          <w:kern w:val="0"/>
          <w:vertAlign w:val="superscript"/>
          <w14:ligatures w14:val="none"/>
        </w:rPr>
        <w:t>1</w:t>
      </w:r>
      <w:r w:rsidR="007B773A" w:rsidRPr="00B71C7D">
        <w:rPr>
          <w:kern w:val="0"/>
          <w14:ligatures w14:val="none"/>
        </w:rPr>
        <w:t> </w:t>
      </w:r>
      <w:r w:rsidRPr="00B71C7D">
        <w:rPr>
          <w:kern w:val="0"/>
          <w14:ligatures w14:val="none"/>
        </w:rPr>
        <w:t>panta noteikumus</w:t>
      </w:r>
      <w:r w:rsidR="00DC3728" w:rsidRPr="00B71C7D">
        <w:rPr>
          <w:kern w:val="0"/>
          <w14:ligatures w14:val="none"/>
        </w:rPr>
        <w:t>.</w:t>
      </w:r>
      <w:r>
        <w:rPr>
          <w:kern w:val="0"/>
          <w14:ligatures w14:val="none"/>
        </w:rPr>
        <w:t xml:space="preserve"> </w:t>
      </w:r>
    </w:p>
    <w:p w14:paraId="67217EDA" w14:textId="408038F5" w:rsidR="00743293" w:rsidRDefault="00743293" w:rsidP="00DE0B03">
      <w:pPr>
        <w:ind w:firstLine="680"/>
        <w:rPr>
          <w:rFonts w:asciiTheme="majorBidi" w:hAnsiTheme="majorBidi" w:cstheme="majorBidi"/>
          <w:kern w:val="0"/>
          <w:szCs w:val="24"/>
          <w14:ligatures w14:val="none"/>
        </w:rPr>
      </w:pPr>
    </w:p>
    <w:p w14:paraId="3F90FBF8" w14:textId="45875296" w:rsidR="00906E11" w:rsidRPr="00C95DA3" w:rsidRDefault="00906E11" w:rsidP="00DF171B">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w:t>
      </w:r>
      <w:r w:rsidR="00FF069C">
        <w:rPr>
          <w:rFonts w:asciiTheme="majorBidi" w:hAnsiTheme="majorBidi" w:cstheme="majorBidi"/>
          <w:kern w:val="0"/>
          <w:szCs w:val="24"/>
          <w14:ligatures w14:val="none"/>
        </w:rPr>
        <w:t>5</w:t>
      </w:r>
      <w:r>
        <w:rPr>
          <w:rFonts w:asciiTheme="majorBidi" w:hAnsiTheme="majorBidi" w:cstheme="majorBidi"/>
          <w:kern w:val="0"/>
          <w:szCs w:val="24"/>
          <w14:ligatures w14:val="none"/>
        </w:rPr>
        <w:t>]</w:t>
      </w:r>
      <w:r w:rsidR="007B773A">
        <w:rPr>
          <w:rFonts w:asciiTheme="majorBidi" w:hAnsiTheme="majorBidi" w:cstheme="majorBidi"/>
          <w:kern w:val="0"/>
          <w:szCs w:val="24"/>
          <w14:ligatures w14:val="none"/>
        </w:rPr>
        <w:t> </w:t>
      </w:r>
      <w:r w:rsidR="00DF171B">
        <w:rPr>
          <w:rFonts w:cs="Times New Roman"/>
        </w:rPr>
        <w:t>SIA ,,</w:t>
      </w:r>
      <w:r w:rsidR="00253BD2">
        <w:rPr>
          <w:rFonts w:ascii="TimesNewRomanPSMT" w:hAnsi="TimesNewRomanPSMT" w:cs="TimesNewRomanPSMT"/>
          <w:szCs w:val="24"/>
        </w:rPr>
        <w:t>[Nosaukums A]</w:t>
      </w:r>
      <w:r w:rsidR="00DF171B" w:rsidRPr="00424B7A">
        <w:rPr>
          <w:rFonts w:ascii="TimesNewRomanPSMT" w:hAnsi="TimesNewRomanPSMT" w:cs="TimesNewRomanPSMT"/>
          <w:szCs w:val="24"/>
        </w:rPr>
        <w:t>”</w:t>
      </w:r>
      <w:r w:rsidR="00DF171B">
        <w:rPr>
          <w:rFonts w:ascii="TimesNewRomanPSMT" w:hAnsi="TimesNewRomanPSMT" w:cs="TimesNewRomanPSMT"/>
          <w:kern w:val="0"/>
          <w:szCs w:val="24"/>
        </w:rPr>
        <w:t xml:space="preserve"> </w:t>
      </w:r>
      <w:r w:rsidR="00DF171B">
        <w:rPr>
          <w:rFonts w:ascii="TimesNewRomanPSMT" w:hAnsi="TimesNewRomanPSMT" w:cs="TimesNewRomanPSMT"/>
          <w:szCs w:val="24"/>
        </w:rPr>
        <w:t xml:space="preserve">pārstāve </w:t>
      </w:r>
      <w:r w:rsidR="00DF171B">
        <w:rPr>
          <w:rFonts w:asciiTheme="majorBidi" w:hAnsiTheme="majorBidi" w:cstheme="majorBidi"/>
          <w:kern w:val="0"/>
          <w:szCs w:val="24"/>
          <w14:ligatures w14:val="none"/>
        </w:rPr>
        <w:t>I. Lauce p</w:t>
      </w:r>
      <w:r>
        <w:rPr>
          <w:rFonts w:asciiTheme="majorBidi" w:hAnsiTheme="majorBidi" w:cstheme="majorBidi"/>
          <w:kern w:val="0"/>
          <w:szCs w:val="24"/>
          <w14:ligatures w14:val="none"/>
        </w:rPr>
        <w:t>ar Latgales apgabaltiesas 2024.</w:t>
      </w:r>
      <w:r w:rsidR="007B773A">
        <w:rPr>
          <w:rFonts w:asciiTheme="majorBidi" w:hAnsiTheme="majorBidi" w:cstheme="majorBidi"/>
          <w:kern w:val="0"/>
          <w:szCs w:val="24"/>
          <w14:ligatures w14:val="none"/>
        </w:rPr>
        <w:t> </w:t>
      </w:r>
      <w:r>
        <w:rPr>
          <w:rFonts w:asciiTheme="majorBidi" w:hAnsiTheme="majorBidi" w:cstheme="majorBidi"/>
          <w:kern w:val="0"/>
          <w:szCs w:val="24"/>
          <w14:ligatures w14:val="none"/>
        </w:rPr>
        <w:t>gada 29.</w:t>
      </w:r>
      <w:r w:rsidR="007B773A">
        <w:rPr>
          <w:rFonts w:asciiTheme="majorBidi" w:hAnsiTheme="majorBidi" w:cstheme="majorBidi"/>
          <w:kern w:val="0"/>
          <w:szCs w:val="24"/>
          <w14:ligatures w14:val="none"/>
        </w:rPr>
        <w:t> </w:t>
      </w:r>
      <w:r>
        <w:rPr>
          <w:rFonts w:asciiTheme="majorBidi" w:hAnsiTheme="majorBidi" w:cstheme="majorBidi"/>
          <w:kern w:val="0"/>
          <w:szCs w:val="24"/>
          <w14:ligatures w14:val="none"/>
        </w:rPr>
        <w:t xml:space="preserve">oktobra spriedumu iesniegusi kasācijas sūdzību, kurā lūdz atcelt apelācijas instances tiesas spriedumu un </w:t>
      </w:r>
      <w:r w:rsidR="001E5F82">
        <w:rPr>
          <w:rFonts w:asciiTheme="majorBidi" w:hAnsiTheme="majorBidi" w:cstheme="majorBidi"/>
          <w:kern w:val="0"/>
          <w:szCs w:val="24"/>
          <w14:ligatures w14:val="none"/>
        </w:rPr>
        <w:t xml:space="preserve">izbeigt kriminālprocesu, </w:t>
      </w:r>
      <w:r w:rsidR="001E5F82" w:rsidRPr="00C95DA3">
        <w:rPr>
          <w:rFonts w:asciiTheme="majorBidi" w:hAnsiTheme="majorBidi" w:cstheme="majorBidi"/>
          <w:kern w:val="0"/>
          <w:szCs w:val="24"/>
          <w14:ligatures w14:val="none"/>
        </w:rPr>
        <w:t>atzīstot pirmās instances tiesas spriedumu par tiesisku un pamatotu</w:t>
      </w:r>
      <w:r w:rsidRPr="00C95DA3">
        <w:rPr>
          <w:rFonts w:asciiTheme="majorBidi" w:hAnsiTheme="majorBidi" w:cstheme="majorBidi"/>
          <w:kern w:val="0"/>
          <w:szCs w:val="24"/>
          <w14:ligatures w14:val="none"/>
        </w:rPr>
        <w:t>.</w:t>
      </w:r>
    </w:p>
    <w:p w14:paraId="43734603" w14:textId="750AD397" w:rsidR="004F0D78" w:rsidRDefault="00906E11" w:rsidP="004F0D78">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Kasācijas sūdzībā izteiktais lūgums pamatots ar šādiem argumentiem</w:t>
      </w:r>
      <w:r w:rsidR="00424C8C">
        <w:rPr>
          <w:rFonts w:asciiTheme="majorBidi" w:hAnsiTheme="majorBidi" w:cstheme="majorBidi"/>
          <w:kern w:val="0"/>
          <w:szCs w:val="24"/>
          <w14:ligatures w14:val="none"/>
        </w:rPr>
        <w:t xml:space="preserve">. </w:t>
      </w:r>
    </w:p>
    <w:p w14:paraId="60C7F28D" w14:textId="5574425D" w:rsidR="00517644" w:rsidRDefault="00906E11" w:rsidP="00517644">
      <w:pPr>
        <w:ind w:firstLine="680"/>
        <w:rPr>
          <w:rFonts w:cs="Times New Roman"/>
          <w:szCs w:val="24"/>
        </w:rPr>
      </w:pPr>
      <w:r>
        <w:rPr>
          <w:rFonts w:asciiTheme="majorBidi" w:hAnsiTheme="majorBidi" w:cstheme="majorBidi"/>
          <w:kern w:val="0"/>
          <w:szCs w:val="24"/>
          <w14:ligatures w14:val="none"/>
        </w:rPr>
        <w:t>[</w:t>
      </w:r>
      <w:r w:rsidR="00FF069C">
        <w:rPr>
          <w:rFonts w:asciiTheme="majorBidi" w:hAnsiTheme="majorBidi" w:cstheme="majorBidi"/>
          <w:kern w:val="0"/>
          <w:szCs w:val="24"/>
          <w14:ligatures w14:val="none"/>
        </w:rPr>
        <w:t>5</w:t>
      </w:r>
      <w:r>
        <w:rPr>
          <w:rFonts w:asciiTheme="majorBidi" w:hAnsiTheme="majorBidi" w:cstheme="majorBidi"/>
          <w:kern w:val="0"/>
          <w:szCs w:val="24"/>
          <w14:ligatures w14:val="none"/>
        </w:rPr>
        <w:t>.1]</w:t>
      </w:r>
      <w:r w:rsidR="007B773A">
        <w:rPr>
          <w:rFonts w:asciiTheme="majorBidi" w:hAnsiTheme="majorBidi" w:cstheme="majorBidi"/>
          <w:kern w:val="0"/>
          <w:szCs w:val="24"/>
          <w14:ligatures w14:val="none"/>
        </w:rPr>
        <w:t> </w:t>
      </w:r>
      <w:r w:rsidR="004F0D78">
        <w:rPr>
          <w:rFonts w:asciiTheme="majorBidi" w:hAnsiTheme="majorBidi" w:cstheme="majorBidi"/>
          <w:kern w:val="0"/>
          <w:szCs w:val="24"/>
          <w14:ligatures w14:val="none"/>
        </w:rPr>
        <w:t xml:space="preserve">Apelācijas instances tiesa nepamatoti un prettiesiski konstatējusi </w:t>
      </w:r>
      <w:r w:rsidR="00253BD2">
        <w:rPr>
          <w:rFonts w:asciiTheme="majorBidi" w:hAnsiTheme="majorBidi" w:cstheme="majorBidi"/>
          <w:kern w:val="0"/>
          <w:szCs w:val="24"/>
          <w14:ligatures w14:val="none"/>
        </w:rPr>
        <w:t>[pers. A]</w:t>
      </w:r>
      <w:r w:rsidR="004F0D78">
        <w:rPr>
          <w:rFonts w:asciiTheme="majorBidi" w:hAnsiTheme="majorBidi" w:cstheme="majorBidi"/>
          <w:kern w:val="0"/>
          <w:szCs w:val="24"/>
          <w14:ligatures w14:val="none"/>
        </w:rPr>
        <w:t xml:space="preserve"> inkriminētā noziedzīgā nodarījuma </w:t>
      </w:r>
      <w:r w:rsidR="00DF171B">
        <w:rPr>
          <w:rFonts w:asciiTheme="majorBidi" w:hAnsiTheme="majorBidi" w:cstheme="majorBidi"/>
          <w:kern w:val="0"/>
          <w:szCs w:val="24"/>
          <w14:ligatures w14:val="none"/>
        </w:rPr>
        <w:t xml:space="preserve">sastāva </w:t>
      </w:r>
      <w:r w:rsidR="004F0D78">
        <w:rPr>
          <w:rFonts w:asciiTheme="majorBidi" w:hAnsiTheme="majorBidi" w:cstheme="majorBidi"/>
          <w:kern w:val="0"/>
          <w:szCs w:val="24"/>
          <w14:ligatures w14:val="none"/>
        </w:rPr>
        <w:t>subjektīvo pusi</w:t>
      </w:r>
      <w:r w:rsidR="006466BD">
        <w:rPr>
          <w:rFonts w:asciiTheme="majorBidi" w:hAnsiTheme="majorBidi" w:cstheme="majorBidi"/>
          <w:kern w:val="0"/>
          <w:szCs w:val="24"/>
          <w14:ligatures w14:val="none"/>
        </w:rPr>
        <w:t xml:space="preserve">, jo atzinumu, ka </w:t>
      </w:r>
      <w:r w:rsidR="005852CB">
        <w:rPr>
          <w:rFonts w:asciiTheme="majorBidi" w:hAnsiTheme="majorBidi" w:cstheme="majorBidi"/>
          <w:kern w:val="0"/>
          <w:szCs w:val="24"/>
          <w14:ligatures w14:val="none"/>
        </w:rPr>
        <w:t>apsūdzētā</w:t>
      </w:r>
      <w:r w:rsidR="006466BD">
        <w:rPr>
          <w:rFonts w:asciiTheme="majorBidi" w:hAnsiTheme="majorBidi" w:cstheme="majorBidi"/>
          <w:kern w:val="0"/>
          <w:szCs w:val="24"/>
          <w14:ligatures w14:val="none"/>
        </w:rPr>
        <w:t xml:space="preserve"> apzinājās liegumu pārdot ar Krimu</w:t>
      </w:r>
      <w:r w:rsidR="005852CB">
        <w:rPr>
          <w:rFonts w:asciiTheme="majorBidi" w:hAnsiTheme="majorBidi" w:cstheme="majorBidi"/>
          <w:kern w:val="0"/>
          <w:szCs w:val="24"/>
          <w14:ligatures w14:val="none"/>
        </w:rPr>
        <w:t xml:space="preserve"> saistītus tūrisma produktus, ir pamatojusi ar pieņēmumiem nevis ziņām, kas apstiprinātu, ka </w:t>
      </w:r>
      <w:r w:rsidR="00253BD2">
        <w:rPr>
          <w:rFonts w:asciiTheme="majorBidi" w:hAnsiTheme="majorBidi" w:cstheme="majorBidi"/>
          <w:kern w:val="0"/>
          <w:szCs w:val="24"/>
          <w14:ligatures w14:val="none"/>
        </w:rPr>
        <w:t>[pers. A]</w:t>
      </w:r>
      <w:r w:rsidR="002F3A37">
        <w:rPr>
          <w:rFonts w:asciiTheme="majorBidi" w:hAnsiTheme="majorBidi" w:cstheme="majorBidi"/>
          <w:kern w:val="0"/>
          <w:szCs w:val="24"/>
          <w14:ligatures w14:val="none"/>
        </w:rPr>
        <w:t>, slēdzot darījumu,</w:t>
      </w:r>
      <w:r w:rsidR="005852CB">
        <w:rPr>
          <w:rFonts w:asciiTheme="majorBidi" w:hAnsiTheme="majorBidi" w:cstheme="majorBidi"/>
          <w:kern w:val="0"/>
          <w:szCs w:val="24"/>
          <w14:ligatures w14:val="none"/>
        </w:rPr>
        <w:t xml:space="preserve"> apzinājās vai viņai vajadzēja apzināties </w:t>
      </w:r>
      <w:r w:rsidR="002F3A37">
        <w:rPr>
          <w:rFonts w:asciiTheme="majorBidi" w:hAnsiTheme="majorBidi" w:cstheme="majorBidi"/>
          <w:kern w:val="0"/>
          <w:szCs w:val="24"/>
          <w14:ligatures w14:val="none"/>
        </w:rPr>
        <w:t>minētā</w:t>
      </w:r>
      <w:r w:rsidR="005852CB">
        <w:rPr>
          <w:rFonts w:asciiTheme="majorBidi" w:hAnsiTheme="majorBidi" w:cstheme="majorBidi"/>
          <w:kern w:val="0"/>
          <w:szCs w:val="24"/>
          <w14:ligatures w14:val="none"/>
        </w:rPr>
        <w:t xml:space="preserve"> lieguma esamību</w:t>
      </w:r>
      <w:r w:rsidR="0082522C">
        <w:rPr>
          <w:rFonts w:asciiTheme="majorBidi" w:hAnsiTheme="majorBidi" w:cstheme="majorBidi"/>
          <w:kern w:val="0"/>
          <w:szCs w:val="24"/>
          <w14:ligatures w14:val="none"/>
        </w:rPr>
        <w:t>.</w:t>
      </w:r>
      <w:r w:rsidR="004F0D78">
        <w:rPr>
          <w:rFonts w:asciiTheme="majorBidi" w:hAnsiTheme="majorBidi" w:cstheme="majorBidi"/>
          <w:kern w:val="0"/>
          <w:szCs w:val="24"/>
          <w14:ligatures w14:val="none"/>
        </w:rPr>
        <w:t xml:space="preserve"> </w:t>
      </w:r>
      <w:r w:rsidR="000172CA">
        <w:rPr>
          <w:rFonts w:cs="Times New Roman"/>
          <w:szCs w:val="24"/>
        </w:rPr>
        <w:t xml:space="preserve">Tiesa nav ņēmusi vērā, ka </w:t>
      </w:r>
      <w:r w:rsidR="0082522C">
        <w:rPr>
          <w:rFonts w:cs="Times New Roman"/>
          <w:szCs w:val="24"/>
        </w:rPr>
        <w:t>n</w:t>
      </w:r>
      <w:r w:rsidR="004F0D78">
        <w:rPr>
          <w:rFonts w:cs="Times New Roman"/>
          <w:szCs w:val="24"/>
        </w:rPr>
        <w:t>o</w:t>
      </w:r>
      <w:r w:rsidR="004F0D78" w:rsidRPr="00D0092D">
        <w:rPr>
          <w:rFonts w:cs="Times New Roman"/>
          <w:szCs w:val="24"/>
        </w:rPr>
        <w:t xml:space="preserve"> Ekonomikas ministrijas, Tūrisma attīstības Valsts aģentūras un Latvijas Republikas Ārlietu ministrijas </w:t>
      </w:r>
      <w:r w:rsidR="004F0D78">
        <w:rPr>
          <w:rFonts w:cs="Times New Roman"/>
          <w:szCs w:val="24"/>
        </w:rPr>
        <w:t xml:space="preserve">nebija saņemtas </w:t>
      </w:r>
      <w:r w:rsidR="004F0D78" w:rsidRPr="0082522C">
        <w:rPr>
          <w:rFonts w:cs="Times New Roman"/>
          <w:szCs w:val="24"/>
        </w:rPr>
        <w:t>rekomendācijas, paziņojumi vai cita veida informācija par to, ka kopš noteikta laika ir aizliegta tūrisma pakalpojumu tirdzniecība uz Krimu. SIA</w:t>
      </w:r>
      <w:r w:rsidR="008659D3" w:rsidRPr="0082522C">
        <w:rPr>
          <w:rFonts w:cs="Times New Roman"/>
          <w:szCs w:val="24"/>
        </w:rPr>
        <w:t> </w:t>
      </w:r>
      <w:r w:rsidR="004F0D78" w:rsidRPr="0082522C">
        <w:rPr>
          <w:rFonts w:cs="Times New Roman"/>
          <w:szCs w:val="24"/>
        </w:rPr>
        <w:t>„</w:t>
      </w:r>
      <w:r w:rsidR="00253BD2">
        <w:rPr>
          <w:rFonts w:cs="Times New Roman"/>
          <w:szCs w:val="24"/>
        </w:rPr>
        <w:t>[</w:t>
      </w:r>
      <w:r w:rsidR="004F6DA8">
        <w:rPr>
          <w:rFonts w:cs="Times New Roman"/>
          <w:szCs w:val="24"/>
        </w:rPr>
        <w:t>Nosaukums</w:t>
      </w:r>
      <w:r w:rsidR="00253BD2">
        <w:rPr>
          <w:rFonts w:cs="Times New Roman"/>
          <w:szCs w:val="24"/>
        </w:rPr>
        <w:t> B]</w:t>
      </w:r>
      <w:r w:rsidR="004F0D78" w:rsidRPr="0082522C">
        <w:rPr>
          <w:rFonts w:cs="Times New Roman"/>
          <w:szCs w:val="24"/>
        </w:rPr>
        <w:t>” vadība bija paļāvusies uz to, ka jebkura svarīga informācija nozarē tiek izplatīta caur va</w:t>
      </w:r>
      <w:r w:rsidR="004F0D78" w:rsidRPr="00D0092D">
        <w:rPr>
          <w:rFonts w:cs="Times New Roman"/>
          <w:szCs w:val="24"/>
        </w:rPr>
        <w:t>lsts atbilstošajām ministrijām vai vismaz nozares aģentūrām.</w:t>
      </w:r>
      <w:r w:rsidR="002C5357">
        <w:rPr>
          <w:rFonts w:cs="Times New Roman"/>
          <w:szCs w:val="24"/>
        </w:rPr>
        <w:t xml:space="preserve"> </w:t>
      </w:r>
      <w:r w:rsidR="002C5357" w:rsidRPr="00D0092D">
        <w:rPr>
          <w:rFonts w:cs="Times New Roman"/>
          <w:szCs w:val="24"/>
        </w:rPr>
        <w:t xml:space="preserve">Latvijas Republikas regulējums sankciju jautājumā tūrisma jomā </w:t>
      </w:r>
      <w:r w:rsidR="00BC24E8">
        <w:rPr>
          <w:rFonts w:cs="Times New Roman"/>
          <w:szCs w:val="24"/>
        </w:rPr>
        <w:t xml:space="preserve">līdz </w:t>
      </w:r>
      <w:r w:rsidR="002C5357" w:rsidRPr="00D0092D">
        <w:rPr>
          <w:rFonts w:cs="Times New Roman"/>
          <w:szCs w:val="24"/>
        </w:rPr>
        <w:t>2015.</w:t>
      </w:r>
      <w:r w:rsidR="008659D3">
        <w:rPr>
          <w:rFonts w:cs="Times New Roman"/>
          <w:szCs w:val="24"/>
        </w:rPr>
        <w:t> </w:t>
      </w:r>
      <w:r w:rsidR="002C5357" w:rsidRPr="00D0092D">
        <w:rPr>
          <w:rFonts w:cs="Times New Roman"/>
          <w:szCs w:val="24"/>
        </w:rPr>
        <w:t>gada pavasari</w:t>
      </w:r>
      <w:r w:rsidR="00BC24E8">
        <w:rPr>
          <w:rFonts w:cs="Times New Roman"/>
          <w:szCs w:val="24"/>
        </w:rPr>
        <w:t>m</w:t>
      </w:r>
      <w:r w:rsidR="002C5357" w:rsidRPr="00D0092D">
        <w:rPr>
          <w:rFonts w:cs="Times New Roman"/>
          <w:szCs w:val="24"/>
        </w:rPr>
        <w:t xml:space="preserve"> nebija koordinēts tā, lai svarīga informācija </w:t>
      </w:r>
      <w:r w:rsidR="008659D3">
        <w:rPr>
          <w:rFonts w:cs="Times New Roman"/>
          <w:szCs w:val="24"/>
        </w:rPr>
        <w:t>nonāktu</w:t>
      </w:r>
      <w:r w:rsidR="002C5357" w:rsidRPr="00D0092D">
        <w:rPr>
          <w:rFonts w:cs="Times New Roman"/>
          <w:szCs w:val="24"/>
        </w:rPr>
        <w:t xml:space="preserve"> līdz adresātam.</w:t>
      </w:r>
    </w:p>
    <w:p w14:paraId="4F7D9F33" w14:textId="47E590D3" w:rsidR="007F480F" w:rsidRDefault="00831DC6" w:rsidP="00866177">
      <w:pPr>
        <w:ind w:firstLine="680"/>
        <w:rPr>
          <w:rFonts w:cs="Times New Roman"/>
          <w:szCs w:val="24"/>
        </w:rPr>
      </w:pPr>
      <w:r>
        <w:rPr>
          <w:rFonts w:cs="Times New Roman"/>
          <w:szCs w:val="24"/>
        </w:rPr>
        <w:t>[</w:t>
      </w:r>
      <w:r w:rsidR="00FF069C">
        <w:rPr>
          <w:rFonts w:cs="Times New Roman"/>
          <w:szCs w:val="24"/>
        </w:rPr>
        <w:t>5</w:t>
      </w:r>
      <w:r>
        <w:rPr>
          <w:rFonts w:cs="Times New Roman"/>
          <w:szCs w:val="24"/>
        </w:rPr>
        <w:t>.2]</w:t>
      </w:r>
      <w:r w:rsidR="008659D3">
        <w:rPr>
          <w:rFonts w:cs="Times New Roman"/>
          <w:szCs w:val="24"/>
        </w:rPr>
        <w:t> </w:t>
      </w:r>
      <w:r w:rsidR="00866177">
        <w:t xml:space="preserve">Apelācijas instances tiesa nav pamatojusi atzinumu, ka procesuālās darbības dalībniekus identificējošu datu nenorādīšana </w:t>
      </w:r>
      <w:r w:rsidR="004F6DA8">
        <w:t>[pers. B]</w:t>
      </w:r>
      <w:r w:rsidR="00866177">
        <w:t xml:space="preserve"> nopratināšanas protokolā un SIA ,,</w:t>
      </w:r>
      <w:r w:rsidR="00253BD2">
        <w:t>[Nosaukums B]</w:t>
      </w:r>
      <w:r w:rsidR="00866177">
        <w:t>" telpās veiktās kratīšanas protokolā nav Kriminālprocesa likuma 326. panta pirmās daļas 3., 4. punkta pārkāpums.</w:t>
      </w:r>
    </w:p>
    <w:p w14:paraId="13B0743A" w14:textId="15E4FD9F" w:rsidR="008B1558" w:rsidRDefault="00517644" w:rsidP="00AF24FA">
      <w:pPr>
        <w:ind w:firstLine="680"/>
        <w:rPr>
          <w:rFonts w:cs="Times New Roman"/>
          <w:szCs w:val="24"/>
        </w:rPr>
      </w:pPr>
      <w:r>
        <w:rPr>
          <w:rFonts w:cs="Times New Roman"/>
          <w:szCs w:val="24"/>
        </w:rPr>
        <w:t>[</w:t>
      </w:r>
      <w:r w:rsidR="00FF069C">
        <w:rPr>
          <w:rFonts w:cs="Times New Roman"/>
          <w:szCs w:val="24"/>
        </w:rPr>
        <w:t>5</w:t>
      </w:r>
      <w:r>
        <w:rPr>
          <w:rFonts w:cs="Times New Roman"/>
          <w:szCs w:val="24"/>
        </w:rPr>
        <w:t>.3]</w:t>
      </w:r>
      <w:r w:rsidR="008659D3">
        <w:rPr>
          <w:rFonts w:cs="Times New Roman"/>
          <w:szCs w:val="24"/>
        </w:rPr>
        <w:t> </w:t>
      </w:r>
      <w:r w:rsidR="0093557F">
        <w:rPr>
          <w:rFonts w:cs="Times New Roman"/>
          <w:szCs w:val="24"/>
        </w:rPr>
        <w:t>Apelācijas instances t</w:t>
      </w:r>
      <w:r w:rsidR="007F480F">
        <w:rPr>
          <w:rFonts w:cs="Times New Roman"/>
          <w:szCs w:val="24"/>
        </w:rPr>
        <w:t xml:space="preserve">iesa </w:t>
      </w:r>
      <w:r w:rsidR="007F480F" w:rsidRPr="00D0092D">
        <w:rPr>
          <w:rFonts w:cs="Times New Roman"/>
          <w:szCs w:val="24"/>
        </w:rPr>
        <w:t>n</w:t>
      </w:r>
      <w:r w:rsidR="008659D3">
        <w:rPr>
          <w:rFonts w:cs="Times New Roman"/>
          <w:szCs w:val="24"/>
        </w:rPr>
        <w:t>av izvērtējusi</w:t>
      </w:r>
      <w:r w:rsidR="007F480F" w:rsidRPr="00D0092D">
        <w:rPr>
          <w:rFonts w:cs="Times New Roman"/>
          <w:szCs w:val="24"/>
        </w:rPr>
        <w:t xml:space="preserve"> veiktā speciālā izmeklēšanas eksperimenta tiesiskumu un tā rezultātā iegūto pierādījumu pieļaujamību</w:t>
      </w:r>
      <w:r w:rsidR="0093557F">
        <w:rPr>
          <w:rFonts w:cs="Times New Roman"/>
          <w:szCs w:val="24"/>
        </w:rPr>
        <w:t xml:space="preserve"> un</w:t>
      </w:r>
      <w:r w:rsidR="007F480F" w:rsidRPr="00D0092D">
        <w:rPr>
          <w:rFonts w:cs="Times New Roman"/>
          <w:szCs w:val="24"/>
        </w:rPr>
        <w:t xml:space="preserve"> </w:t>
      </w:r>
      <w:r w:rsidR="007F480F">
        <w:rPr>
          <w:rFonts w:cs="Times New Roman"/>
          <w:szCs w:val="24"/>
        </w:rPr>
        <w:t xml:space="preserve">tādējādi </w:t>
      </w:r>
      <w:r w:rsidR="007F480F" w:rsidRPr="00D0092D">
        <w:rPr>
          <w:rFonts w:cs="Times New Roman"/>
          <w:szCs w:val="24"/>
        </w:rPr>
        <w:t>pieļ</w:t>
      </w:r>
      <w:r w:rsidR="0093557F">
        <w:rPr>
          <w:rFonts w:cs="Times New Roman"/>
          <w:szCs w:val="24"/>
        </w:rPr>
        <w:t>āvusi</w:t>
      </w:r>
      <w:r w:rsidR="007F480F" w:rsidRPr="00D0092D">
        <w:rPr>
          <w:rFonts w:cs="Times New Roman"/>
          <w:szCs w:val="24"/>
        </w:rPr>
        <w:t xml:space="preserve"> Kriminālprocesa likuma 130.</w:t>
      </w:r>
      <w:r w:rsidR="008659D3">
        <w:rPr>
          <w:rFonts w:cs="Times New Roman"/>
          <w:szCs w:val="24"/>
        </w:rPr>
        <w:t> </w:t>
      </w:r>
      <w:r w:rsidR="007F480F" w:rsidRPr="00D0092D">
        <w:rPr>
          <w:rFonts w:cs="Times New Roman"/>
          <w:szCs w:val="24"/>
        </w:rPr>
        <w:t>panta, 564.</w:t>
      </w:r>
      <w:r w:rsidR="008659D3">
        <w:rPr>
          <w:rFonts w:cs="Times New Roman"/>
          <w:szCs w:val="24"/>
        </w:rPr>
        <w:t> </w:t>
      </w:r>
      <w:r w:rsidR="007F480F" w:rsidRPr="00D0092D">
        <w:rPr>
          <w:rFonts w:cs="Times New Roman"/>
          <w:szCs w:val="24"/>
        </w:rPr>
        <w:t>panta ceturtās daļas, 511.</w:t>
      </w:r>
      <w:r w:rsidR="008659D3">
        <w:rPr>
          <w:rFonts w:cs="Times New Roman"/>
          <w:szCs w:val="24"/>
        </w:rPr>
        <w:t> </w:t>
      </w:r>
      <w:r w:rsidR="007F480F" w:rsidRPr="00D0092D">
        <w:rPr>
          <w:rFonts w:cs="Times New Roman"/>
          <w:szCs w:val="24"/>
        </w:rPr>
        <w:t>panta otrās daļas un 512.</w:t>
      </w:r>
      <w:r w:rsidR="008659D3">
        <w:rPr>
          <w:rFonts w:cs="Times New Roman"/>
          <w:szCs w:val="24"/>
        </w:rPr>
        <w:t> </w:t>
      </w:r>
      <w:r w:rsidR="007F480F" w:rsidRPr="00D0092D">
        <w:rPr>
          <w:rFonts w:cs="Times New Roman"/>
          <w:szCs w:val="24"/>
        </w:rPr>
        <w:t>panta pārkāpumus, kas atzīstami par Kriminālprocesa likuma būtiskiem pārkāpumiem šā likuma 575.</w:t>
      </w:r>
      <w:r w:rsidR="008659D3">
        <w:rPr>
          <w:rFonts w:cs="Times New Roman"/>
          <w:szCs w:val="24"/>
        </w:rPr>
        <w:t> </w:t>
      </w:r>
      <w:r w:rsidR="007F480F" w:rsidRPr="00D0092D">
        <w:rPr>
          <w:rFonts w:cs="Times New Roman"/>
          <w:szCs w:val="24"/>
        </w:rPr>
        <w:t>panta trešās daļas izpratnē.</w:t>
      </w:r>
      <w:r w:rsidR="007F480F">
        <w:rPr>
          <w:rFonts w:cs="Times New Roman"/>
          <w:szCs w:val="24"/>
        </w:rPr>
        <w:t xml:space="preserve"> </w:t>
      </w:r>
      <w:r w:rsidR="00053CA5">
        <w:rPr>
          <w:rFonts w:cs="Times New Roman"/>
          <w:szCs w:val="24"/>
        </w:rPr>
        <w:t xml:space="preserve">Tiesa nav ņēmusi vērā, ka </w:t>
      </w:r>
      <w:r w:rsidR="007156A6" w:rsidRPr="00C95DA3">
        <w:rPr>
          <w:rFonts w:cs="Times New Roman"/>
          <w:szCs w:val="24"/>
        </w:rPr>
        <w:t>speciāl</w:t>
      </w:r>
      <w:r w:rsidR="00053CA5">
        <w:rPr>
          <w:rFonts w:cs="Times New Roman"/>
          <w:szCs w:val="24"/>
        </w:rPr>
        <w:t>ais</w:t>
      </w:r>
      <w:r w:rsidR="007156A6" w:rsidRPr="00C95DA3">
        <w:rPr>
          <w:rFonts w:cs="Times New Roman"/>
          <w:szCs w:val="24"/>
        </w:rPr>
        <w:t xml:space="preserve"> izmeklēšanas eksperiment</w:t>
      </w:r>
      <w:r w:rsidR="00053CA5">
        <w:rPr>
          <w:rFonts w:cs="Times New Roman"/>
          <w:szCs w:val="24"/>
        </w:rPr>
        <w:t xml:space="preserve">s ir veikts ignorējot lēmumā par tā veikšanu norādīto </w:t>
      </w:r>
      <w:r w:rsidR="001516A9" w:rsidRPr="00C95DA3">
        <w:rPr>
          <w:rFonts w:cs="Times New Roman"/>
          <w:szCs w:val="24"/>
        </w:rPr>
        <w:t xml:space="preserve">mērķi </w:t>
      </w:r>
      <w:r w:rsidR="00AF24FA">
        <w:rPr>
          <w:rFonts w:cs="Times New Roman"/>
          <w:szCs w:val="24"/>
        </w:rPr>
        <w:t>–</w:t>
      </w:r>
      <w:r w:rsidR="00053CA5">
        <w:rPr>
          <w:rFonts w:cs="Times New Roman"/>
          <w:szCs w:val="24"/>
        </w:rPr>
        <w:t xml:space="preserve"> </w:t>
      </w:r>
      <w:r w:rsidR="001516A9" w:rsidRPr="00C95DA3">
        <w:rPr>
          <w:rFonts w:cs="Times New Roman"/>
          <w:szCs w:val="24"/>
        </w:rPr>
        <w:t>pārtraukt, atklāt noziedzīgu nodarījumu un iegūt ziņas par pierādāmajos apstākļos ietilpstošajiem faktiem.</w:t>
      </w:r>
      <w:r w:rsidR="007156A6">
        <w:rPr>
          <w:rFonts w:cs="Times New Roman"/>
          <w:szCs w:val="24"/>
        </w:rPr>
        <w:t xml:space="preserve"> </w:t>
      </w:r>
    </w:p>
    <w:p w14:paraId="23EB5056" w14:textId="79EB1847" w:rsidR="007156A6" w:rsidRPr="00E03197" w:rsidRDefault="008B1558" w:rsidP="00FA0EF7">
      <w:pPr>
        <w:ind w:firstLine="680"/>
        <w:rPr>
          <w:rFonts w:cs="Times New Roman"/>
          <w:szCs w:val="24"/>
        </w:rPr>
      </w:pPr>
      <w:r>
        <w:rPr>
          <w:rFonts w:cs="Times New Roman"/>
          <w:szCs w:val="24"/>
        </w:rPr>
        <w:t>Izmeklēšanas e</w:t>
      </w:r>
      <w:r w:rsidR="007156A6">
        <w:rPr>
          <w:rFonts w:cs="Times New Roman"/>
          <w:szCs w:val="24"/>
        </w:rPr>
        <w:t xml:space="preserve">ksperimenta dalībniece </w:t>
      </w:r>
      <w:r w:rsidR="009F5C4F">
        <w:rPr>
          <w:rFonts w:cs="Times New Roman"/>
          <w:szCs w:val="24"/>
        </w:rPr>
        <w:t xml:space="preserve">ir </w:t>
      </w:r>
      <w:r w:rsidR="007156A6">
        <w:rPr>
          <w:rFonts w:cs="Times New Roman"/>
          <w:szCs w:val="24"/>
        </w:rPr>
        <w:t>pārkāpusi savas pilnvaras,</w:t>
      </w:r>
      <w:r w:rsidR="00866177">
        <w:rPr>
          <w:rFonts w:cs="Times New Roman"/>
          <w:szCs w:val="24"/>
        </w:rPr>
        <w:t xml:space="preserve"> </w:t>
      </w:r>
      <w:r w:rsidR="007156A6" w:rsidRPr="000A2723">
        <w:rPr>
          <w:rFonts w:cs="Times New Roman"/>
          <w:szCs w:val="24"/>
        </w:rPr>
        <w:t>parakstot līgumu</w:t>
      </w:r>
      <w:r w:rsidR="007156A6" w:rsidRPr="00D0092D">
        <w:rPr>
          <w:rFonts w:cs="Times New Roman"/>
          <w:szCs w:val="24"/>
        </w:rPr>
        <w:t xml:space="preserve"> par tūrisma pakalpojumu sniegšanu, </w:t>
      </w:r>
      <w:r w:rsidR="00FA0EF7" w:rsidRPr="00FA0EF7">
        <w:rPr>
          <w:rFonts w:cs="Times New Roman"/>
          <w:szCs w:val="24"/>
        </w:rPr>
        <w:t>kas ietvēra kompānijas pienākumu rezervēt transporta biļetes un naktsmītnes, kā arī apmaksāt šos pakalpojumus</w:t>
      </w:r>
      <w:r w:rsidR="007156A6" w:rsidRPr="00D0092D">
        <w:rPr>
          <w:rFonts w:cs="Times New Roman"/>
          <w:szCs w:val="24"/>
        </w:rPr>
        <w:t xml:space="preserve">, kas varētu izraisīt </w:t>
      </w:r>
      <w:r w:rsidR="007156A6" w:rsidRPr="00E03197">
        <w:rPr>
          <w:rFonts w:cs="Times New Roman"/>
          <w:szCs w:val="24"/>
        </w:rPr>
        <w:t>kompānijai civiltiesiskas sekas.</w:t>
      </w:r>
      <w:r w:rsidRPr="00E03197">
        <w:rPr>
          <w:rFonts w:cs="Times New Roman"/>
          <w:szCs w:val="24"/>
        </w:rPr>
        <w:t xml:space="preserve"> </w:t>
      </w:r>
      <w:r w:rsidR="008659D3" w:rsidRPr="00E03197">
        <w:rPr>
          <w:rFonts w:cs="Times New Roman"/>
          <w:szCs w:val="24"/>
        </w:rPr>
        <w:t>I</w:t>
      </w:r>
      <w:r w:rsidRPr="00E03197">
        <w:rPr>
          <w:rFonts w:cs="Times New Roman"/>
          <w:szCs w:val="24"/>
        </w:rPr>
        <w:t>zmeklēšanas eksperiments bij</w:t>
      </w:r>
      <w:r w:rsidR="0093557F" w:rsidRPr="00E03197">
        <w:rPr>
          <w:rFonts w:cs="Times New Roman"/>
          <w:szCs w:val="24"/>
        </w:rPr>
        <w:t>usi</w:t>
      </w:r>
      <w:r w:rsidRPr="00E03197">
        <w:rPr>
          <w:rFonts w:cs="Times New Roman"/>
          <w:szCs w:val="24"/>
        </w:rPr>
        <w:t xml:space="preserve"> provokācija.</w:t>
      </w:r>
    </w:p>
    <w:p w14:paraId="14A8C339" w14:textId="7FC7A622" w:rsidR="00A66DB5" w:rsidRPr="00E03197" w:rsidRDefault="00A66DB5" w:rsidP="00A66DB5">
      <w:pPr>
        <w:ind w:firstLine="680"/>
        <w:rPr>
          <w:rFonts w:cs="Times New Roman"/>
          <w:szCs w:val="24"/>
        </w:rPr>
      </w:pPr>
      <w:r w:rsidRPr="00E03197">
        <w:rPr>
          <w:kern w:val="0"/>
          <w14:ligatures w14:val="none"/>
        </w:rPr>
        <w:t>S</w:t>
      </w:r>
      <w:r w:rsidRPr="00E03197">
        <w:rPr>
          <w:rFonts w:cs="Times New Roman"/>
          <w:szCs w:val="24"/>
        </w:rPr>
        <w:t xml:space="preserve">peciālā izmeklēšanas eksperimenta gaita fiksēta, pārkāpjot Kriminālprocesa likuma 216. panta </w:t>
      </w:r>
      <w:r w:rsidR="00CE415C">
        <w:rPr>
          <w:rFonts w:cs="Times New Roman"/>
          <w:szCs w:val="24"/>
        </w:rPr>
        <w:t xml:space="preserve">trešās daļas </w:t>
      </w:r>
      <w:r w:rsidRPr="00E03197">
        <w:rPr>
          <w:rFonts w:cs="Times New Roman"/>
          <w:szCs w:val="24"/>
        </w:rPr>
        <w:t xml:space="preserve">noteikumus, jo protokolu par izmeklēšanas eksperimenta gaitu ir sastādījis procesa virzītājs </w:t>
      </w:r>
      <w:r w:rsidR="00AA0C5B">
        <w:rPr>
          <w:rFonts w:cs="Times New Roman"/>
          <w:szCs w:val="24"/>
        </w:rPr>
        <w:t>[pers. C]</w:t>
      </w:r>
      <w:r w:rsidRPr="00E03197">
        <w:rPr>
          <w:rFonts w:cs="Times New Roman"/>
          <w:szCs w:val="24"/>
        </w:rPr>
        <w:t xml:space="preserve">, bet Kriminālprocesa likuma 216. panta </w:t>
      </w:r>
      <w:r w:rsidR="00CE415C">
        <w:rPr>
          <w:rFonts w:cs="Times New Roman"/>
          <w:szCs w:val="24"/>
        </w:rPr>
        <w:t>trešā</w:t>
      </w:r>
      <w:r w:rsidRPr="00E03197">
        <w:rPr>
          <w:rFonts w:cs="Times New Roman"/>
          <w:szCs w:val="24"/>
        </w:rPr>
        <w:t xml:space="preserve"> daļa paredz, ka, ja speciālo izmeklēšanas darbību procesa virzītāja uzdevumā veic cita persona, tā rakstveidā sniedz pārskatu procesa virzītājam un iesniedz viņam šīs darbības rezultātā iegūtos materiālus. </w:t>
      </w:r>
    </w:p>
    <w:p w14:paraId="616FCCF2" w14:textId="7F569F32" w:rsidR="008B1558" w:rsidRPr="00E03197" w:rsidRDefault="0093557F" w:rsidP="00A1498A">
      <w:pPr>
        <w:ind w:firstLine="680"/>
        <w:rPr>
          <w:rFonts w:cs="Times New Roman"/>
          <w:szCs w:val="24"/>
        </w:rPr>
      </w:pPr>
      <w:r w:rsidRPr="00E03197">
        <w:rPr>
          <w:rFonts w:cs="Times New Roman"/>
          <w:szCs w:val="24"/>
        </w:rPr>
        <w:t>Savukārt s</w:t>
      </w:r>
      <w:r w:rsidR="008B1558" w:rsidRPr="00E03197">
        <w:rPr>
          <w:rFonts w:cs="Times New Roman"/>
          <w:szCs w:val="24"/>
        </w:rPr>
        <w:t>evišķā izmeklēšanas eksperimenta</w:t>
      </w:r>
      <w:r w:rsidR="008B1558">
        <w:rPr>
          <w:rFonts w:cs="Times New Roman"/>
          <w:szCs w:val="24"/>
        </w:rPr>
        <w:t xml:space="preserve"> veicējas sarunas ar </w:t>
      </w:r>
      <w:r w:rsidR="00AA0C5B">
        <w:rPr>
          <w:rFonts w:cs="Times New Roman"/>
          <w:szCs w:val="24"/>
        </w:rPr>
        <w:t>[pers. A]</w:t>
      </w:r>
      <w:r w:rsidR="008B1558">
        <w:rPr>
          <w:rFonts w:cs="Times New Roman"/>
          <w:szCs w:val="24"/>
        </w:rPr>
        <w:t xml:space="preserve"> audioieraksta atšifrējumu veikusi neidentificēta persona. </w:t>
      </w:r>
      <w:r w:rsidR="008B1558" w:rsidRPr="00D0092D">
        <w:rPr>
          <w:rFonts w:cs="Times New Roman"/>
          <w:szCs w:val="24"/>
        </w:rPr>
        <w:t xml:space="preserve">Kriminālprocesa likuma </w:t>
      </w:r>
      <w:r w:rsidR="008B1558" w:rsidRPr="00E03197">
        <w:rPr>
          <w:rFonts w:cs="Times New Roman"/>
          <w:szCs w:val="24"/>
        </w:rPr>
        <w:t>229. panta trešā daļa noteic, ka gadījumā, ja speciālā izmeklēšanas darbība veikta, neievērojot atļaujas saņemšanas noteikumus, iegūtās ziņas pierādīšanā nedrīkst izmantot.</w:t>
      </w:r>
    </w:p>
    <w:p w14:paraId="5206E613" w14:textId="39263082" w:rsidR="008B1558" w:rsidRDefault="008B1558" w:rsidP="008B1558">
      <w:pPr>
        <w:ind w:firstLine="680"/>
        <w:rPr>
          <w:rFonts w:cs="Times New Roman"/>
          <w:szCs w:val="24"/>
        </w:rPr>
      </w:pPr>
      <w:r w:rsidRPr="00E03197">
        <w:rPr>
          <w:rFonts w:cs="Times New Roman"/>
          <w:szCs w:val="24"/>
        </w:rPr>
        <w:lastRenderedPageBreak/>
        <w:t>[5.4]</w:t>
      </w:r>
      <w:r w:rsidR="0012362B" w:rsidRPr="00E03197">
        <w:rPr>
          <w:rFonts w:cs="Times New Roman"/>
          <w:szCs w:val="24"/>
        </w:rPr>
        <w:t> </w:t>
      </w:r>
      <w:r w:rsidR="00E03197" w:rsidRPr="00E03197">
        <w:rPr>
          <w:szCs w:val="24"/>
        </w:rPr>
        <w:t xml:space="preserve">Apelācijas instances tiesa </w:t>
      </w:r>
      <w:r w:rsidR="00253BD2">
        <w:rPr>
          <w:szCs w:val="24"/>
        </w:rPr>
        <w:t>[pers. A]</w:t>
      </w:r>
      <w:r w:rsidR="00E03197" w:rsidRPr="00E03197">
        <w:rPr>
          <w:szCs w:val="24"/>
        </w:rPr>
        <w:t xml:space="preserve"> darbības pēc Krimināllikuma 84. panta pirmās daļas ir nepareizi kvalificējusi kā pabeigtu noziedzīgu nodarījumu, vienlaikus norādot, ka viņa ir mēģinājusi organizēt 15 personu tūrisma braucienu uz Krimu. L</w:t>
      </w:r>
      <w:r w:rsidR="00E03197" w:rsidRPr="00E03197">
        <w:rPr>
          <w:rFonts w:cs="Times New Roman"/>
          <w:szCs w:val="24"/>
        </w:rPr>
        <w:t>īgums par tūrisma braucienu juridiski nebija noslēgts, pirms nebija iemaksāta nauda par pakalpojumu.</w:t>
      </w:r>
    </w:p>
    <w:p w14:paraId="5D8302CF" w14:textId="5FA6D1C7" w:rsidR="006E16D8" w:rsidRPr="006E16D8" w:rsidRDefault="008B1558" w:rsidP="006E16D8">
      <w:pPr>
        <w:ind w:firstLine="680"/>
        <w:rPr>
          <w:rFonts w:cs="Times New Roman"/>
          <w:szCs w:val="24"/>
        </w:rPr>
      </w:pPr>
      <w:r>
        <w:rPr>
          <w:rFonts w:cs="Times New Roman"/>
          <w:szCs w:val="24"/>
        </w:rPr>
        <w:t>[5.5]</w:t>
      </w:r>
      <w:r w:rsidR="00AC62CC">
        <w:rPr>
          <w:rFonts w:cs="Times New Roman"/>
          <w:szCs w:val="24"/>
        </w:rPr>
        <w:t> </w:t>
      </w:r>
      <w:r w:rsidR="00AC62CC">
        <w:rPr>
          <w:rFonts w:ascii="TimesNewRomanPSMT" w:hAnsi="TimesNewRomanPSMT" w:cs="TimesNewRomanPSMT"/>
        </w:rPr>
        <w:t xml:space="preserve">Tiesa </w:t>
      </w:r>
      <w:r w:rsidR="004C34D4">
        <w:rPr>
          <w:rFonts w:ascii="TimesNewRomanPSMT" w:hAnsi="TimesNewRomanPSMT" w:cs="TimesNewRomanPSMT"/>
        </w:rPr>
        <w:t xml:space="preserve">nav ievērojusi </w:t>
      </w:r>
      <w:r w:rsidR="00AC62CC">
        <w:rPr>
          <w:rFonts w:ascii="TimesNewRomanPSMT" w:hAnsi="TimesNewRomanPSMT" w:cs="TimesNewRomanPSMT"/>
        </w:rPr>
        <w:t xml:space="preserve">Krimināllikuma </w:t>
      </w:r>
      <w:r w:rsidR="00AC62CC" w:rsidRPr="008602F5">
        <w:t>70.</w:t>
      </w:r>
      <w:r w:rsidR="00AC62CC" w:rsidRPr="008602F5">
        <w:rPr>
          <w:vertAlign w:val="superscript"/>
        </w:rPr>
        <w:t>8</w:t>
      </w:r>
      <w:r w:rsidR="00AC62CC" w:rsidRPr="008602F5">
        <w:t> pant</w:t>
      </w:r>
      <w:r w:rsidR="00AC62CC">
        <w:t>a n</w:t>
      </w:r>
      <w:r w:rsidR="00AC62CC" w:rsidRPr="008602F5">
        <w:t>osacījum</w:t>
      </w:r>
      <w:r w:rsidR="00AC62CC">
        <w:t>us</w:t>
      </w:r>
      <w:r w:rsidR="00AC62CC" w:rsidRPr="008602F5">
        <w:t xml:space="preserve"> piespiedu ietekmēšanas līdzekļu piemērošanai juridiskajai personai</w:t>
      </w:r>
      <w:r w:rsidR="00AC62CC">
        <w:t xml:space="preserve">, jo </w:t>
      </w:r>
      <w:r w:rsidR="006E16D8" w:rsidRPr="00D0092D">
        <w:rPr>
          <w:rFonts w:ascii="TimesNewRomanPSMT" w:hAnsi="TimesNewRomanPSMT" w:cs="TimesNewRomanPSMT"/>
        </w:rPr>
        <w:t>SIA</w:t>
      </w:r>
      <w:r w:rsidR="00AC62CC">
        <w:rPr>
          <w:rFonts w:ascii="TimesNewRomanPSMT" w:hAnsi="TimesNewRomanPSMT" w:cs="TimesNewRomanPSMT"/>
        </w:rPr>
        <w:t> ,,</w:t>
      </w:r>
      <w:r w:rsidR="00253BD2">
        <w:rPr>
          <w:rFonts w:ascii="TimesNewRomanPSMT" w:hAnsi="TimesNewRomanPSMT" w:cs="TimesNewRomanPSMT"/>
        </w:rPr>
        <w:t>[Nosaukums A]</w:t>
      </w:r>
      <w:r w:rsidR="006E16D8" w:rsidRPr="00D0092D">
        <w:rPr>
          <w:rFonts w:ascii="TimesNewRomanPSMT" w:hAnsi="TimesNewRomanPSMT" w:cs="TimesNewRomanPSMT"/>
        </w:rPr>
        <w:t xml:space="preserve">” </w:t>
      </w:r>
      <w:r w:rsidR="006E16D8">
        <w:rPr>
          <w:rFonts w:ascii="TimesNewRomanPSMT" w:hAnsi="TimesNewRomanPSMT" w:cs="TimesNewRomanPSMT"/>
        </w:rPr>
        <w:t>piemērotais</w:t>
      </w:r>
      <w:r w:rsidR="006E16D8" w:rsidRPr="00D0092D">
        <w:rPr>
          <w:rFonts w:ascii="TimesNewRomanPSMT" w:hAnsi="TimesNewRomanPSMT" w:cs="TimesNewRomanPSMT"/>
        </w:rPr>
        <w:t xml:space="preserve"> piespiedu ietekmēšanas līdzek</w:t>
      </w:r>
      <w:r w:rsidR="006E16D8">
        <w:rPr>
          <w:rFonts w:ascii="TimesNewRomanPSMT" w:hAnsi="TimesNewRomanPSMT" w:cs="TimesNewRomanPSMT"/>
        </w:rPr>
        <w:t>ļa apmērs ir nepamatots</w:t>
      </w:r>
      <w:r w:rsidR="00AC62CC">
        <w:rPr>
          <w:rFonts w:ascii="TimesNewRomanPSMT" w:hAnsi="TimesNewRomanPSMT" w:cs="TimesNewRomanPSMT"/>
        </w:rPr>
        <w:t xml:space="preserve">. </w:t>
      </w:r>
      <w:r w:rsidR="006E16D8">
        <w:t xml:space="preserve">Tiesa nav </w:t>
      </w:r>
      <w:r w:rsidR="006E16D8" w:rsidRPr="008602F5">
        <w:t>ņ</w:t>
      </w:r>
      <w:r w:rsidR="006E16D8">
        <w:t>ē</w:t>
      </w:r>
      <w:r w:rsidR="006E16D8" w:rsidRPr="008602F5">
        <w:t>m</w:t>
      </w:r>
      <w:r w:rsidR="006E16D8">
        <w:t>usi</w:t>
      </w:r>
      <w:r w:rsidR="006E16D8" w:rsidRPr="008602F5">
        <w:t xml:space="preserve"> vērā noziedzīgā nodarījuma raksturu, radīto kaitējumu un to, vai juridiskajai personai iepriekš bijis piemērots piespiedu līdzeklis.</w:t>
      </w:r>
      <w:r w:rsidR="006E16D8">
        <w:t xml:space="preserve"> Tiesa nav ņēmusi vērā nesamērīgi ilgo tiesvedības laiku šajā lietā, </w:t>
      </w:r>
      <w:r w:rsidR="00271A70">
        <w:t xml:space="preserve">un </w:t>
      </w:r>
      <w:r w:rsidR="006E16D8">
        <w:t>ziņ</w:t>
      </w:r>
      <w:r w:rsidR="00271A70">
        <w:t>as</w:t>
      </w:r>
      <w:r w:rsidR="006E16D8">
        <w:t xml:space="preserve"> par uzņēmuma </w:t>
      </w:r>
      <w:r w:rsidR="00D21BE7">
        <w:t xml:space="preserve">nodarbošanās veidu un </w:t>
      </w:r>
      <w:r w:rsidR="006E16D8">
        <w:t>finansiālo stāvokli.</w:t>
      </w:r>
    </w:p>
    <w:p w14:paraId="68E44F68" w14:textId="1E0EE23A" w:rsidR="009B6658" w:rsidRDefault="009B6658" w:rsidP="00DE0B03">
      <w:pPr>
        <w:ind w:firstLine="680"/>
        <w:rPr>
          <w:rFonts w:asciiTheme="majorBidi" w:hAnsiTheme="majorBidi" w:cstheme="majorBidi"/>
          <w:kern w:val="0"/>
          <w:szCs w:val="24"/>
          <w14:ligatures w14:val="none"/>
        </w:rPr>
      </w:pPr>
    </w:p>
    <w:p w14:paraId="19B72260" w14:textId="6E18CEF8" w:rsidR="0035112C" w:rsidRPr="00B644A3" w:rsidRDefault="00B644A3" w:rsidP="00941E79">
      <w:pPr>
        <w:ind w:firstLine="0"/>
        <w:jc w:val="center"/>
        <w:rPr>
          <w:rFonts w:asciiTheme="majorBidi" w:hAnsiTheme="majorBidi" w:cstheme="majorBidi"/>
          <w:b/>
          <w:bCs/>
          <w:kern w:val="0"/>
          <w:szCs w:val="24"/>
          <w14:ligatures w14:val="none"/>
        </w:rPr>
      </w:pPr>
      <w:r>
        <w:rPr>
          <w:rFonts w:asciiTheme="majorBidi" w:hAnsiTheme="majorBidi" w:cstheme="majorBidi"/>
          <w:b/>
          <w:bCs/>
          <w:kern w:val="0"/>
          <w:szCs w:val="24"/>
          <w14:ligatures w14:val="none"/>
        </w:rPr>
        <w:t>Motīvu daļa</w:t>
      </w:r>
    </w:p>
    <w:p w14:paraId="24756ED6" w14:textId="77777777" w:rsidR="00B644A3" w:rsidRDefault="00B644A3" w:rsidP="00DE0B03">
      <w:pPr>
        <w:ind w:firstLine="680"/>
        <w:rPr>
          <w:rFonts w:asciiTheme="majorBidi" w:hAnsiTheme="majorBidi" w:cstheme="majorBidi"/>
          <w:kern w:val="0"/>
          <w:szCs w:val="24"/>
          <w14:ligatures w14:val="none"/>
        </w:rPr>
      </w:pPr>
    </w:p>
    <w:p w14:paraId="1F4018E5" w14:textId="09EAF4DE" w:rsidR="008D2D40" w:rsidRPr="008D2D40" w:rsidRDefault="00C91365" w:rsidP="008D2D40">
      <w:pPr>
        <w:ind w:firstLine="680"/>
        <w:rPr>
          <w:kern w:val="0"/>
          <w14:ligatures w14:val="none"/>
        </w:rPr>
      </w:pPr>
      <w:r>
        <w:rPr>
          <w:kern w:val="0"/>
          <w14:ligatures w14:val="none"/>
        </w:rPr>
        <w:t>[6]</w:t>
      </w:r>
      <w:r w:rsidR="00373825">
        <w:rPr>
          <w:kern w:val="0"/>
          <w14:ligatures w14:val="none"/>
        </w:rPr>
        <w:t> </w:t>
      </w:r>
      <w:r w:rsidR="008D2D40" w:rsidRPr="008D2D40">
        <w:rPr>
          <w:kern w:val="0"/>
          <w14:ligatures w14:val="none"/>
        </w:rPr>
        <w:t>Kasācijas instances tiesas kompetencē izskatāmajā lietā ir sniegt atbildi, vai apelācijas instances tiesa</w:t>
      </w:r>
      <w:r w:rsidR="008D2D40">
        <w:rPr>
          <w:kern w:val="0"/>
          <w14:ligatures w14:val="none"/>
        </w:rPr>
        <w:t xml:space="preserve"> </w:t>
      </w:r>
      <w:r w:rsidR="008D2D40" w:rsidRPr="008D2D40">
        <w:rPr>
          <w:kern w:val="0"/>
          <w14:ligatures w14:val="none"/>
        </w:rPr>
        <w:t xml:space="preserve">pieļāvusi kasācijas </w:t>
      </w:r>
      <w:r w:rsidR="008D2D40">
        <w:rPr>
          <w:kern w:val="0"/>
          <w14:ligatures w14:val="none"/>
        </w:rPr>
        <w:t>sūdzībās</w:t>
      </w:r>
      <w:r w:rsidR="008D2D40" w:rsidRPr="008D2D40">
        <w:rPr>
          <w:kern w:val="0"/>
          <w14:ligatures w14:val="none"/>
        </w:rPr>
        <w:t xml:space="preserve"> norādītos Kriminālprocesa likuma pārkāpumus</w:t>
      </w:r>
      <w:r w:rsidR="008D2D40">
        <w:rPr>
          <w:kern w:val="0"/>
          <w14:ligatures w14:val="none"/>
        </w:rPr>
        <w:t xml:space="preserve"> un vai šie pārkāpumi ir būtiski un noveduši pie nelikumīga vai netaisnīga nolēmuma</w:t>
      </w:r>
      <w:r w:rsidR="008D2D40" w:rsidRPr="008D2D40">
        <w:rPr>
          <w:kern w:val="0"/>
          <w14:ligatures w14:val="none"/>
        </w:rPr>
        <w:t>.</w:t>
      </w:r>
    </w:p>
    <w:p w14:paraId="0E57F0AB" w14:textId="77777777" w:rsidR="000C63D3" w:rsidRDefault="000C63D3" w:rsidP="00C91365">
      <w:pPr>
        <w:ind w:firstLine="680"/>
        <w:rPr>
          <w:kern w:val="0"/>
          <w14:ligatures w14:val="none"/>
        </w:rPr>
      </w:pPr>
    </w:p>
    <w:p w14:paraId="5739DA2F" w14:textId="2264F406" w:rsidR="00C91365" w:rsidRDefault="000C63D3" w:rsidP="00C91365">
      <w:pPr>
        <w:ind w:firstLine="680"/>
        <w:rPr>
          <w:kern w:val="0"/>
          <w14:ligatures w14:val="none"/>
        </w:rPr>
      </w:pPr>
      <w:r>
        <w:rPr>
          <w:kern w:val="0"/>
          <w14:ligatures w14:val="none"/>
        </w:rPr>
        <w:t>[7]</w:t>
      </w:r>
      <w:r w:rsidR="001A17AA">
        <w:rPr>
          <w:kern w:val="0"/>
          <w14:ligatures w14:val="none"/>
        </w:rPr>
        <w:t> </w:t>
      </w:r>
      <w:r w:rsidR="00C91365">
        <w:rPr>
          <w:kern w:val="0"/>
          <w14:ligatures w14:val="none"/>
        </w:rPr>
        <w:t xml:space="preserve">Vispirms Senāts izvērtēs kasācijas sūdzībās ietvertos iebildumus par pierādījumu pieļaujamību, jo šim jautājumam var būt ietekme arī uz pārējo kasācijas sūdzības argumentu izvērtēšanu. </w:t>
      </w:r>
      <w:r w:rsidR="00F20BF7">
        <w:rPr>
          <w:kern w:val="0"/>
          <w14:ligatures w14:val="none"/>
        </w:rPr>
        <w:t xml:space="preserve">Kasācijas sūdzībās apšaubīts pirmstiesas procesa laikā veiktā speciālā izmeklēšanas eksperimenta tiesiskums, kā arī liecinieces </w:t>
      </w:r>
      <w:r w:rsidR="004F6DA8">
        <w:rPr>
          <w:kern w:val="0"/>
          <w14:ligatures w14:val="none"/>
        </w:rPr>
        <w:t>[pers. B]</w:t>
      </w:r>
      <w:r w:rsidR="00F20BF7">
        <w:rPr>
          <w:kern w:val="0"/>
          <w14:ligatures w14:val="none"/>
        </w:rPr>
        <w:t xml:space="preserve"> liecību pieļaujamība.</w:t>
      </w:r>
    </w:p>
    <w:p w14:paraId="7AD53B86" w14:textId="69C4CF6B" w:rsidR="008D2D40" w:rsidRPr="008D2D40" w:rsidRDefault="00C91365" w:rsidP="008D2D40">
      <w:pPr>
        <w:ind w:firstLine="680"/>
        <w:rPr>
          <w:kern w:val="0"/>
          <w14:ligatures w14:val="none"/>
        </w:rPr>
      </w:pPr>
      <w:r>
        <w:rPr>
          <w:kern w:val="0"/>
          <w14:ligatures w14:val="none"/>
        </w:rPr>
        <w:t>[</w:t>
      </w:r>
      <w:r w:rsidR="000C63D3">
        <w:rPr>
          <w:kern w:val="0"/>
          <w14:ligatures w14:val="none"/>
        </w:rPr>
        <w:t>7</w:t>
      </w:r>
      <w:r>
        <w:rPr>
          <w:kern w:val="0"/>
          <w14:ligatures w14:val="none"/>
        </w:rPr>
        <w:t>.1]</w:t>
      </w:r>
      <w:r w:rsidR="001A17AA">
        <w:rPr>
          <w:kern w:val="0"/>
          <w14:ligatures w14:val="none"/>
        </w:rPr>
        <w:t> </w:t>
      </w:r>
      <w:r w:rsidR="008D2D40" w:rsidRPr="008D2D40">
        <w:rPr>
          <w:kern w:val="0"/>
          <w14:ligatures w14:val="none"/>
        </w:rPr>
        <w:t>Kriminālprocesa likuma 225. pantā minēti nosacījumi, kas jāievēro, lai veiktu speciālo izmeklēšanas eksperimentu. Priekšnoteikums izmeklēšanas eksperimenta veikšanai ir apstāklis, ka persona gatavojas izdarīt vai ir uzsākusi izdarīt noziedzīgas darbības, par kurām ir zināms procesa virzītājam. Savukārt minētajā priekšnoteikumā ir ietverts pēc būtības normas trešajā daļā paredzētais aizliegums provocēt, tas ir, mākslīgi radīt tādus apstākļus, bez kuriem personai nebūtu radies nodoms un tā nebūtu izdarījusi noziedzīgu nodarījumu (</w:t>
      </w:r>
      <w:r w:rsidR="008D2D40" w:rsidRPr="008D2D40">
        <w:rPr>
          <w:i/>
          <w:iCs/>
          <w:kern w:val="0"/>
          <w14:ligatures w14:val="none"/>
        </w:rPr>
        <w:t xml:space="preserve">Senāta 2015. gada 7. augusta lēmums lietā Nr. SKK-303/2015, </w:t>
      </w:r>
      <w:hyperlink r:id="rId9" w:history="1">
        <w:r w:rsidR="008D2D40" w:rsidRPr="008227AB">
          <w:rPr>
            <w:rStyle w:val="Hyperlink"/>
            <w:i/>
            <w:iCs/>
            <w:kern w:val="0"/>
            <w14:ligatures w14:val="none"/>
          </w:rPr>
          <w:t>11221019209</w:t>
        </w:r>
      </w:hyperlink>
      <w:r w:rsidR="008D2D40" w:rsidRPr="008D2D40">
        <w:rPr>
          <w:kern w:val="0"/>
          <w14:ligatures w14:val="none"/>
        </w:rPr>
        <w:t>).</w:t>
      </w:r>
    </w:p>
    <w:p w14:paraId="49DBEC88" w14:textId="61598AD9" w:rsidR="008D2D40" w:rsidRDefault="008D2D40" w:rsidP="008D2D40">
      <w:pPr>
        <w:ind w:firstLine="680"/>
        <w:rPr>
          <w:kern w:val="0"/>
          <w14:ligatures w14:val="none"/>
        </w:rPr>
      </w:pPr>
      <w:r w:rsidRPr="008D2D40">
        <w:rPr>
          <w:kern w:val="0"/>
          <w14:ligatures w14:val="none"/>
        </w:rPr>
        <w:t>Par provokāciju operatīvā eksperimenta kontekstā uzskatāma rīcība, kas veikta ar nodomu kaitēt personai, pret kuru veikts eksperiments. Provocējoša rīcība izpaužas tādējādi, ka persona, kura nevēlas kaut ko darīt vai šaubās par to, tiek mudināta vai pārliecināta tomēr to darīt. Turklāt nav svarīgi nevēlēšanās vai šaubu motīvi. Tāpat nav svarīgi mudināšanā vai pārliecināšanā lietotie motīvi (</w:t>
      </w:r>
      <w:r w:rsidRPr="008D2D40">
        <w:rPr>
          <w:i/>
          <w:iCs/>
          <w:kern w:val="0"/>
          <w14:ligatures w14:val="none"/>
        </w:rPr>
        <w:t xml:space="preserve">Lieljuksis A. 225. pants. Speciālais izmeklēšanas eksperiments. </w:t>
      </w:r>
      <w:proofErr w:type="spellStart"/>
      <w:r w:rsidRPr="008D2D40">
        <w:rPr>
          <w:i/>
          <w:iCs/>
          <w:kern w:val="0"/>
          <w14:ligatures w14:val="none"/>
        </w:rPr>
        <w:t>Grām</w:t>
      </w:r>
      <w:proofErr w:type="spellEnd"/>
      <w:r w:rsidRPr="008D2D40">
        <w:rPr>
          <w:i/>
          <w:iCs/>
          <w:kern w:val="0"/>
          <w14:ligatures w14:val="none"/>
        </w:rPr>
        <w:t>.: Kriminālprocesa likuma komentāri. A daļa. Prof. K. </w:t>
      </w:r>
      <w:proofErr w:type="spellStart"/>
      <w:r w:rsidRPr="008D2D40">
        <w:rPr>
          <w:i/>
          <w:iCs/>
          <w:kern w:val="0"/>
          <w14:ligatures w14:val="none"/>
        </w:rPr>
        <w:t>Stradas</w:t>
      </w:r>
      <w:proofErr w:type="spellEnd"/>
      <w:r w:rsidRPr="008D2D40">
        <w:rPr>
          <w:i/>
          <w:iCs/>
          <w:kern w:val="0"/>
          <w14:ligatures w14:val="none"/>
        </w:rPr>
        <w:t xml:space="preserve">-Rozenbergas </w:t>
      </w:r>
      <w:proofErr w:type="spellStart"/>
      <w:r w:rsidRPr="008D2D40">
        <w:rPr>
          <w:i/>
          <w:iCs/>
          <w:kern w:val="0"/>
          <w14:ligatures w14:val="none"/>
        </w:rPr>
        <w:t>zin</w:t>
      </w:r>
      <w:proofErr w:type="spellEnd"/>
      <w:r w:rsidRPr="008D2D40">
        <w:rPr>
          <w:i/>
          <w:iCs/>
          <w:kern w:val="0"/>
          <w14:ligatures w14:val="none"/>
        </w:rPr>
        <w:t xml:space="preserve">. red. Rīga: Latvijas Vēstnesis, 2019, 633. lpp. Ar atsauci uz: Kavalieris A. Provokācija vai operatīvais eksperiments. Pieejams: </w:t>
      </w:r>
      <w:hyperlink r:id="rId10" w:history="1">
        <w:r w:rsidRPr="008D2D40">
          <w:rPr>
            <w:rStyle w:val="Hyperlink"/>
            <w:i/>
            <w:iCs/>
            <w:kern w:val="0"/>
            <w14:ligatures w14:val="none"/>
          </w:rPr>
          <w:t>https://providus.lv/raksti/provokacija-vai-operativais-eksperiments/</w:t>
        </w:r>
      </w:hyperlink>
      <w:r w:rsidRPr="008227AB">
        <w:rPr>
          <w:kern w:val="0"/>
          <w14:ligatures w14:val="none"/>
        </w:rPr>
        <w:t>)</w:t>
      </w:r>
      <w:r w:rsidRPr="008D2D40">
        <w:rPr>
          <w:i/>
          <w:iCs/>
          <w:kern w:val="0"/>
          <w14:ligatures w14:val="none"/>
        </w:rPr>
        <w:t>.</w:t>
      </w:r>
    </w:p>
    <w:p w14:paraId="7CBA7591" w14:textId="68163A05" w:rsidR="000C63D3" w:rsidRDefault="008D2D40" w:rsidP="00F20BF7">
      <w:pPr>
        <w:ind w:firstLine="680"/>
        <w:rPr>
          <w:kern w:val="0"/>
          <w14:ligatures w14:val="none"/>
        </w:rPr>
      </w:pPr>
      <w:r>
        <w:rPr>
          <w:kern w:val="0"/>
          <w14:ligatures w14:val="none"/>
        </w:rPr>
        <w:t>[</w:t>
      </w:r>
      <w:r w:rsidR="000C63D3">
        <w:rPr>
          <w:kern w:val="0"/>
          <w14:ligatures w14:val="none"/>
        </w:rPr>
        <w:t>7</w:t>
      </w:r>
      <w:r>
        <w:rPr>
          <w:kern w:val="0"/>
          <w14:ligatures w14:val="none"/>
        </w:rPr>
        <w:t>.2]</w:t>
      </w:r>
      <w:r w:rsidR="008227AB">
        <w:rPr>
          <w:kern w:val="0"/>
          <w14:ligatures w14:val="none"/>
        </w:rPr>
        <w:t> </w:t>
      </w:r>
      <w:r w:rsidR="00F20BF7">
        <w:rPr>
          <w:kern w:val="0"/>
          <w14:ligatures w14:val="none"/>
        </w:rPr>
        <w:t>Senāts konstatē, ka apelācijas instances tiesa ir vērtējusi 2015.</w:t>
      </w:r>
      <w:r w:rsidR="008227AB">
        <w:rPr>
          <w:kern w:val="0"/>
          <w14:ligatures w14:val="none"/>
        </w:rPr>
        <w:t> </w:t>
      </w:r>
      <w:r w:rsidR="00F20BF7">
        <w:rPr>
          <w:kern w:val="0"/>
          <w14:ligatures w14:val="none"/>
        </w:rPr>
        <w:t>gada 19.</w:t>
      </w:r>
      <w:r w:rsidR="008227AB">
        <w:rPr>
          <w:kern w:val="0"/>
          <w14:ligatures w14:val="none"/>
        </w:rPr>
        <w:t> </w:t>
      </w:r>
      <w:r w:rsidR="00F20BF7">
        <w:rPr>
          <w:kern w:val="0"/>
          <w14:ligatures w14:val="none"/>
        </w:rPr>
        <w:t>jūnijā veiktā izmeklēšanas eksperimenta tiesiskumu un</w:t>
      </w:r>
      <w:r w:rsidR="000C63D3">
        <w:t xml:space="preserve"> pretēji kasācijas sūdzībās norādītajam motivēti </w:t>
      </w:r>
      <w:r w:rsidR="000C63D3">
        <w:rPr>
          <w:kern w:val="0"/>
          <w14:ligatures w14:val="none"/>
        </w:rPr>
        <w:t>atzinusi</w:t>
      </w:r>
      <w:r w:rsidR="00F20BF7">
        <w:rPr>
          <w:kern w:val="0"/>
          <w14:ligatures w14:val="none"/>
        </w:rPr>
        <w:t>, ka tas veikts atbilstoši Kriminālprocesa likuma 225.</w:t>
      </w:r>
      <w:r w:rsidR="008227AB">
        <w:rPr>
          <w:kern w:val="0"/>
          <w14:ligatures w14:val="none"/>
        </w:rPr>
        <w:t> </w:t>
      </w:r>
      <w:r w:rsidR="00F20BF7">
        <w:rPr>
          <w:kern w:val="0"/>
          <w14:ligatures w14:val="none"/>
        </w:rPr>
        <w:t>pantā noteiktajam</w:t>
      </w:r>
      <w:r w:rsidR="000C63D3">
        <w:rPr>
          <w:kern w:val="0"/>
          <w14:ligatures w14:val="none"/>
        </w:rPr>
        <w:t xml:space="preserve">. </w:t>
      </w:r>
    </w:p>
    <w:p w14:paraId="7D4F1997" w14:textId="14542C38" w:rsidR="000C63D3" w:rsidRDefault="000C63D3" w:rsidP="008227AB">
      <w:pPr>
        <w:ind w:firstLine="680"/>
        <w:rPr>
          <w:kern w:val="0"/>
          <w14:ligatures w14:val="none"/>
        </w:rPr>
      </w:pPr>
      <w:r>
        <w:rPr>
          <w:kern w:val="0"/>
          <w14:ligatures w14:val="none"/>
        </w:rPr>
        <w:lastRenderedPageBreak/>
        <w:t xml:space="preserve">Tiesa ir vērtējusi procesa virzītāja </w:t>
      </w:r>
      <w:r w:rsidR="00AA0C5B">
        <w:rPr>
          <w:kern w:val="0"/>
          <w14:ligatures w14:val="none"/>
        </w:rPr>
        <w:t>[pers. C]</w:t>
      </w:r>
      <w:r>
        <w:rPr>
          <w:kern w:val="0"/>
          <w14:ligatures w14:val="none"/>
        </w:rPr>
        <w:t xml:space="preserve"> ierosinājumā par speciālā izmeklēšanas eksperimenta veikšanu ietvertās ziņas, proti, ka </w:t>
      </w:r>
      <w:r w:rsidR="000F07D3">
        <w:rPr>
          <w:kern w:val="0"/>
          <w14:ligatures w14:val="none"/>
        </w:rPr>
        <w:t>ir konstatētas publiski pieejamas ziņas, ka SIA</w:t>
      </w:r>
      <w:r w:rsidR="008227AB">
        <w:rPr>
          <w:kern w:val="0"/>
          <w14:ligatures w14:val="none"/>
        </w:rPr>
        <w:t> ,,</w:t>
      </w:r>
      <w:r w:rsidR="00253BD2">
        <w:rPr>
          <w:kern w:val="0"/>
          <w14:ligatures w14:val="none"/>
        </w:rPr>
        <w:t>[N</w:t>
      </w:r>
      <w:r w:rsidR="00AA0C5B">
        <w:rPr>
          <w:kern w:val="0"/>
          <w14:ligatures w14:val="none"/>
        </w:rPr>
        <w:t>osaukums</w:t>
      </w:r>
      <w:r w:rsidR="00253BD2">
        <w:rPr>
          <w:kern w:val="0"/>
          <w14:ligatures w14:val="none"/>
        </w:rPr>
        <w:t> B]</w:t>
      </w:r>
      <w:r w:rsidR="000F07D3">
        <w:rPr>
          <w:kern w:val="0"/>
          <w14:ligatures w14:val="none"/>
        </w:rPr>
        <w:t>” piedāvā un organizē tūrisma braucienus uz Krimu, kas liecina par nodomu izdarīt noziedzīgu nodarījumu. Līdz ar to konstatējams Kriminālprocesa likuma 225.</w:t>
      </w:r>
      <w:r w:rsidR="008227AB">
        <w:rPr>
          <w:kern w:val="0"/>
          <w14:ligatures w14:val="none"/>
        </w:rPr>
        <w:t> </w:t>
      </w:r>
      <w:r w:rsidR="000F07D3">
        <w:rPr>
          <w:kern w:val="0"/>
          <w14:ligatures w14:val="none"/>
        </w:rPr>
        <w:t>panta pirmajā daļā paredzētais pamats šādas speciālās izmeklēšanas darbīb</w:t>
      </w:r>
      <w:r w:rsidR="00120E5D">
        <w:rPr>
          <w:kern w:val="0"/>
          <w14:ligatures w14:val="none"/>
        </w:rPr>
        <w:t>a</w:t>
      </w:r>
      <w:r w:rsidR="000F07D3">
        <w:rPr>
          <w:kern w:val="0"/>
          <w14:ligatures w14:val="none"/>
        </w:rPr>
        <w:t>s veikšanai</w:t>
      </w:r>
      <w:r w:rsidR="008227AB">
        <w:rPr>
          <w:kern w:val="0"/>
          <w14:ligatures w14:val="none"/>
        </w:rPr>
        <w:t xml:space="preserve"> – </w:t>
      </w:r>
      <w:r w:rsidR="000F07D3">
        <w:rPr>
          <w:kern w:val="0"/>
          <w14:ligatures w14:val="none"/>
        </w:rPr>
        <w:t>persona uzsākusi noziedzīgas darbības, kuras var pārtraukt uzsāktā kriminālprocesa ietvaros, vienlaikus iegūstot ziņas par pierādāmajos apstākļos ietilpstošajiem faktiem un bez šīs speciālās izmeklēšanas darbības ziņu iegūšana ir neiespējama vai apgrūtināta.</w:t>
      </w:r>
    </w:p>
    <w:p w14:paraId="3CF15B83" w14:textId="1D139600" w:rsidR="000F07D3" w:rsidRDefault="000F07D3" w:rsidP="000F07D3">
      <w:pPr>
        <w:ind w:firstLine="680"/>
        <w:rPr>
          <w:kern w:val="0"/>
          <w14:ligatures w14:val="none"/>
        </w:rPr>
      </w:pPr>
      <w:r>
        <w:rPr>
          <w:kern w:val="0"/>
          <w14:ligatures w14:val="none"/>
        </w:rPr>
        <w:t>Tiesa ir arī vērtējusi 2015.</w:t>
      </w:r>
      <w:r w:rsidR="008227AB">
        <w:rPr>
          <w:kern w:val="0"/>
          <w14:ligatures w14:val="none"/>
        </w:rPr>
        <w:t> </w:t>
      </w:r>
      <w:r>
        <w:rPr>
          <w:kern w:val="0"/>
          <w14:ligatures w14:val="none"/>
        </w:rPr>
        <w:t>gada 8.</w:t>
      </w:r>
      <w:r w:rsidR="008227AB">
        <w:rPr>
          <w:kern w:val="0"/>
          <w14:ligatures w14:val="none"/>
        </w:rPr>
        <w:t> </w:t>
      </w:r>
      <w:r>
        <w:rPr>
          <w:kern w:val="0"/>
          <w14:ligatures w14:val="none"/>
        </w:rPr>
        <w:t>jūnija Rīgas pilsēta Vidzemes priekšpilsētas tiesas tiesneša</w:t>
      </w:r>
      <w:r w:rsidR="00A66DB5">
        <w:rPr>
          <w:kern w:val="0"/>
          <w14:ligatures w14:val="none"/>
        </w:rPr>
        <w:t xml:space="preserve"> </w:t>
      </w:r>
      <w:r>
        <w:rPr>
          <w:kern w:val="0"/>
          <w14:ligatures w14:val="none"/>
        </w:rPr>
        <w:t>lēmumu atļaut veikt speciālo izmeklēšanas eksperimentu pret SIA</w:t>
      </w:r>
      <w:r w:rsidR="009152AA">
        <w:rPr>
          <w:kern w:val="0"/>
          <w14:ligatures w14:val="none"/>
        </w:rPr>
        <w:t> ,,</w:t>
      </w:r>
      <w:r w:rsidR="00253BD2">
        <w:rPr>
          <w:kern w:val="0"/>
          <w14:ligatures w14:val="none"/>
        </w:rPr>
        <w:t>[N</w:t>
      </w:r>
      <w:r w:rsidR="00304C3F">
        <w:rPr>
          <w:kern w:val="0"/>
          <w14:ligatures w14:val="none"/>
        </w:rPr>
        <w:t>osaukums</w:t>
      </w:r>
      <w:r w:rsidR="00253BD2">
        <w:rPr>
          <w:kern w:val="0"/>
          <w14:ligatures w14:val="none"/>
        </w:rPr>
        <w:t> B]</w:t>
      </w:r>
      <w:r>
        <w:rPr>
          <w:kern w:val="0"/>
          <w14:ligatures w14:val="none"/>
        </w:rPr>
        <w:t>”, ar mērķi pārtraukt, atklāt noziedzīgu nodarījumu, kas paredzēts Krimināllikuma 84.</w:t>
      </w:r>
      <w:r w:rsidR="009152AA">
        <w:rPr>
          <w:kern w:val="0"/>
          <w14:ligatures w14:val="none"/>
        </w:rPr>
        <w:t> </w:t>
      </w:r>
      <w:r>
        <w:rPr>
          <w:kern w:val="0"/>
          <w14:ligatures w14:val="none"/>
        </w:rPr>
        <w:t xml:space="preserve">panta pirmajā daļā, un ziņu iegūšanai par pierādāmajos apstākļos ietilpstošajiem faktiem. </w:t>
      </w:r>
    </w:p>
    <w:p w14:paraId="21FE1730" w14:textId="346B905C" w:rsidR="007430FC" w:rsidRDefault="007430FC" w:rsidP="007430FC">
      <w:pPr>
        <w:ind w:firstLine="680"/>
        <w:rPr>
          <w:rFonts w:cs="Times New Roman"/>
          <w:szCs w:val="24"/>
        </w:rPr>
      </w:pPr>
      <w:r>
        <w:rPr>
          <w:kern w:val="0"/>
          <w14:ligatures w14:val="none"/>
        </w:rPr>
        <w:t>Līdz ar to nepamatots ir kasācijas sūdzībās</w:t>
      </w:r>
      <w:r w:rsidR="001A4388">
        <w:rPr>
          <w:kern w:val="0"/>
          <w14:ligatures w14:val="none"/>
        </w:rPr>
        <w:t xml:space="preserve"> norādītais</w:t>
      </w:r>
      <w:r w:rsidR="009814CA">
        <w:rPr>
          <w:kern w:val="0"/>
          <w14:ligatures w14:val="none"/>
        </w:rPr>
        <w:t xml:space="preserve"> arguments</w:t>
      </w:r>
      <w:r>
        <w:rPr>
          <w:kern w:val="0"/>
          <w14:ligatures w14:val="none"/>
        </w:rPr>
        <w:t xml:space="preserve">, ka </w:t>
      </w:r>
      <w:r w:rsidR="001A4388">
        <w:rPr>
          <w:kern w:val="0"/>
          <w14:ligatures w14:val="none"/>
        </w:rPr>
        <w:t xml:space="preserve">apelācijas instances tiesa </w:t>
      </w:r>
      <w:r w:rsidR="004C34D4">
        <w:rPr>
          <w:kern w:val="0"/>
          <w14:ligatures w14:val="none"/>
        </w:rPr>
        <w:t xml:space="preserve">nav </w:t>
      </w:r>
      <w:r>
        <w:rPr>
          <w:kern w:val="0"/>
          <w14:ligatures w14:val="none"/>
        </w:rPr>
        <w:t xml:space="preserve">vērtējusi speciālā </w:t>
      </w:r>
      <w:r w:rsidRPr="001C7295">
        <w:rPr>
          <w:kern w:val="0"/>
          <w14:ligatures w14:val="none"/>
        </w:rPr>
        <w:t>izm</w:t>
      </w:r>
      <w:r>
        <w:rPr>
          <w:kern w:val="0"/>
          <w14:ligatures w14:val="none"/>
        </w:rPr>
        <w:t>eklēšanas</w:t>
      </w:r>
      <w:r w:rsidRPr="001C7295">
        <w:rPr>
          <w:kern w:val="0"/>
          <w14:ligatures w14:val="none"/>
        </w:rPr>
        <w:t xml:space="preserve"> eks</w:t>
      </w:r>
      <w:r>
        <w:rPr>
          <w:kern w:val="0"/>
          <w14:ligatures w14:val="none"/>
        </w:rPr>
        <w:t xml:space="preserve">perimenta tiesiskumu un tajā iegūto ziņu pieļaujamību. </w:t>
      </w:r>
    </w:p>
    <w:p w14:paraId="11FD0DCB" w14:textId="02DB632D" w:rsidR="000F07D3" w:rsidRPr="00F148CD" w:rsidRDefault="007430FC" w:rsidP="00F148CD">
      <w:pPr>
        <w:ind w:firstLine="680"/>
        <w:rPr>
          <w:kern w:val="0"/>
          <w14:ligatures w14:val="none"/>
        </w:rPr>
      </w:pPr>
      <w:r>
        <w:rPr>
          <w:kern w:val="0"/>
          <w14:ligatures w14:val="none"/>
        </w:rPr>
        <w:t>[7.3]</w:t>
      </w:r>
      <w:r w:rsidR="009152AA">
        <w:rPr>
          <w:kern w:val="0"/>
          <w14:ligatures w14:val="none"/>
        </w:rPr>
        <w:t> </w:t>
      </w:r>
      <w:r w:rsidRPr="00120E5D">
        <w:rPr>
          <w:kern w:val="0"/>
          <w14:ligatures w14:val="none"/>
        </w:rPr>
        <w:t xml:space="preserve">Senāts konstatē, ka procesa virzītājs </w:t>
      </w:r>
      <w:r w:rsidR="00087000">
        <w:rPr>
          <w:kern w:val="0"/>
          <w14:ligatures w14:val="none"/>
        </w:rPr>
        <w:t>un</w:t>
      </w:r>
      <w:r w:rsidRPr="00120E5D">
        <w:rPr>
          <w:kern w:val="0"/>
          <w14:ligatures w14:val="none"/>
        </w:rPr>
        <w:t xml:space="preserve"> speciālā izmeklēšanas eksperimenta veicēja </w:t>
      </w:r>
      <w:r w:rsidR="00087000">
        <w:rPr>
          <w:kern w:val="0"/>
          <w14:ligatures w14:val="none"/>
        </w:rPr>
        <w:t>nav</w:t>
      </w:r>
      <w:r w:rsidRPr="00120E5D">
        <w:rPr>
          <w:kern w:val="0"/>
          <w14:ligatures w14:val="none"/>
        </w:rPr>
        <w:t xml:space="preserve"> pārkāpusi izmeklēšanas tiesneša lēmumā noteikto izmeklēšanas eksperimenta mērķi un robežas. Speciālais izmeklēšanas eksperiments noslēdzās ar SIA</w:t>
      </w:r>
      <w:r w:rsidR="009152AA" w:rsidRPr="00120E5D">
        <w:rPr>
          <w:kern w:val="0"/>
          <w14:ligatures w14:val="none"/>
        </w:rPr>
        <w:t> ,,</w:t>
      </w:r>
      <w:r w:rsidR="00253BD2">
        <w:rPr>
          <w:kern w:val="0"/>
          <w14:ligatures w14:val="none"/>
        </w:rPr>
        <w:t>[N</w:t>
      </w:r>
      <w:r w:rsidR="00304C3F">
        <w:rPr>
          <w:kern w:val="0"/>
          <w14:ligatures w14:val="none"/>
        </w:rPr>
        <w:t>osaukums</w:t>
      </w:r>
      <w:r w:rsidR="00253BD2">
        <w:rPr>
          <w:kern w:val="0"/>
          <w14:ligatures w14:val="none"/>
        </w:rPr>
        <w:t> B]</w:t>
      </w:r>
      <w:r w:rsidRPr="00120E5D">
        <w:rPr>
          <w:kern w:val="0"/>
          <w14:ligatures w14:val="none"/>
        </w:rPr>
        <w:t xml:space="preserve">” un </w:t>
      </w:r>
      <w:r w:rsidR="00253BD2">
        <w:rPr>
          <w:kern w:val="0"/>
          <w14:ligatures w14:val="none"/>
        </w:rPr>
        <w:t>[pers. A]</w:t>
      </w:r>
      <w:r w:rsidRPr="00120E5D">
        <w:rPr>
          <w:kern w:val="0"/>
          <w14:ligatures w14:val="none"/>
        </w:rPr>
        <w:t xml:space="preserve"> noziedzīgas darbības pārtraukšanu un atklātu fiksēšanu tieši attiecībā uz to noziedzīgo darbību, kuras pārtraukšanai un atklāšanai izmeklēšanas tiesnesis iepriekš pieņēmis lēmumu par atļaujas sniegšanu šī eksperimenta veikšanai.</w:t>
      </w:r>
      <w:r>
        <w:rPr>
          <w:kern w:val="0"/>
          <w14:ligatures w14:val="none"/>
        </w:rPr>
        <w:t xml:space="preserve"> </w:t>
      </w:r>
    </w:p>
    <w:p w14:paraId="438D52B1" w14:textId="2128689A" w:rsidR="007430FC" w:rsidRDefault="007430FC" w:rsidP="00F20BF7">
      <w:pPr>
        <w:ind w:firstLine="680"/>
        <w:rPr>
          <w:kern w:val="0"/>
          <w14:ligatures w14:val="none"/>
        </w:rPr>
      </w:pPr>
      <w:r w:rsidRPr="00A66DB5">
        <w:rPr>
          <w:kern w:val="0"/>
          <w14:ligatures w14:val="none"/>
        </w:rPr>
        <w:t>Attiecībā uz kasācijas sūdzībās norādīto, ka eksperimenta dalībniece pārsniegusi savas pilnvaras, parakstot līgumu par ceļojuma pakalpojuma saņemšanu, prettiesiski piedāvājot sastādīt ceļojuma līgumu krievu valodā un saņemt apmaksu skaidrā naudā bez maksājuma dokumenta izsniegšanas</w:t>
      </w:r>
      <w:r w:rsidR="009814CA" w:rsidRPr="00A66DB5">
        <w:rPr>
          <w:kern w:val="0"/>
          <w14:ligatures w14:val="none"/>
        </w:rPr>
        <w:t>,</w:t>
      </w:r>
      <w:r w:rsidR="005C026B">
        <w:rPr>
          <w:kern w:val="0"/>
          <w14:ligatures w14:val="none"/>
        </w:rPr>
        <w:t xml:space="preserve"> Senāts </w:t>
      </w:r>
      <w:r w:rsidR="005A2642">
        <w:rPr>
          <w:kern w:val="0"/>
          <w14:ligatures w14:val="none"/>
        </w:rPr>
        <w:t>konstatē, ka šādiem apstākļiem</w:t>
      </w:r>
      <w:r w:rsidR="005C026B">
        <w:rPr>
          <w:kern w:val="0"/>
          <w14:ligatures w14:val="none"/>
        </w:rPr>
        <w:t xml:space="preserve"> šajā lietā nav tiesiskas nozīmes, jo apsūdzība par kādiem nodarījumiem grāmatvedības vai nodokļu jomā nevienai personai nav celta. </w:t>
      </w:r>
    </w:p>
    <w:p w14:paraId="1D0930CA" w14:textId="6DF07700" w:rsidR="0031522F" w:rsidRDefault="005C026B" w:rsidP="0031522F">
      <w:pPr>
        <w:ind w:firstLine="680"/>
        <w:rPr>
          <w:kern w:val="0"/>
          <w14:ligatures w14:val="none"/>
        </w:rPr>
      </w:pPr>
      <w:r>
        <w:rPr>
          <w:kern w:val="0"/>
          <w14:ligatures w14:val="none"/>
        </w:rPr>
        <w:t>[7.4]</w:t>
      </w:r>
      <w:r w:rsidR="009814CA">
        <w:rPr>
          <w:kern w:val="0"/>
          <w14:ligatures w14:val="none"/>
        </w:rPr>
        <w:t> </w:t>
      </w:r>
      <w:r w:rsidR="0031522F">
        <w:rPr>
          <w:kern w:val="0"/>
          <w14:ligatures w14:val="none"/>
        </w:rPr>
        <w:t>Senāts atzīst, ka</w:t>
      </w:r>
      <w:r w:rsidR="0031522F" w:rsidRPr="00C07BF9">
        <w:rPr>
          <w:kern w:val="0"/>
          <w14:ligatures w14:val="none"/>
        </w:rPr>
        <w:t xml:space="preserve"> kasācijas sūdzībās ietvert</w:t>
      </w:r>
      <w:r w:rsidR="0031522F">
        <w:rPr>
          <w:kern w:val="0"/>
          <w14:ligatures w14:val="none"/>
        </w:rPr>
        <w:t>ā</w:t>
      </w:r>
      <w:r w:rsidR="0031522F" w:rsidRPr="00C07BF9">
        <w:rPr>
          <w:kern w:val="0"/>
          <w14:ligatures w14:val="none"/>
        </w:rPr>
        <w:t xml:space="preserve"> </w:t>
      </w:r>
      <w:r w:rsidR="0031522F">
        <w:rPr>
          <w:kern w:val="0"/>
          <w14:ligatures w14:val="none"/>
        </w:rPr>
        <w:t xml:space="preserve">norāde uz </w:t>
      </w:r>
      <w:r w:rsidR="0031522F" w:rsidRPr="00C07BF9">
        <w:rPr>
          <w:kern w:val="0"/>
          <w14:ligatures w14:val="none"/>
        </w:rPr>
        <w:t xml:space="preserve"> Kriminālprocesa likuma</w:t>
      </w:r>
      <w:r w:rsidR="0031522F">
        <w:rPr>
          <w:kern w:val="0"/>
          <w14:ligatures w14:val="none"/>
        </w:rPr>
        <w:t xml:space="preserve"> 225. panta trešās daļas pārkāpumu ir nepamatota.</w:t>
      </w:r>
    </w:p>
    <w:p w14:paraId="6071406E" w14:textId="5D17D1C9" w:rsidR="002A3831" w:rsidRDefault="001A4388" w:rsidP="005C026B">
      <w:pPr>
        <w:ind w:firstLine="680"/>
        <w:rPr>
          <w:kern w:val="0"/>
          <w14:ligatures w14:val="none"/>
        </w:rPr>
      </w:pPr>
      <w:r>
        <w:rPr>
          <w:kern w:val="0"/>
          <w14:ligatures w14:val="none"/>
        </w:rPr>
        <w:t>Kasācijas sūdzībās ietvertajā argumentā</w:t>
      </w:r>
      <w:r w:rsidR="005C026B">
        <w:rPr>
          <w:kern w:val="0"/>
          <w14:ligatures w14:val="none"/>
        </w:rPr>
        <w:t xml:space="preserve">, ka speciālais izmeklēšanas eksperiments bijusi provokācija, </w:t>
      </w:r>
      <w:r w:rsidR="00626B8D">
        <w:rPr>
          <w:kern w:val="0"/>
          <w14:ligatures w14:val="none"/>
        </w:rPr>
        <w:t>sūdzību iesniedzēj</w:t>
      </w:r>
      <w:r w:rsidR="009152AA">
        <w:rPr>
          <w:kern w:val="0"/>
          <w14:ligatures w14:val="none"/>
        </w:rPr>
        <w:t>as</w:t>
      </w:r>
      <w:r w:rsidR="00626B8D">
        <w:rPr>
          <w:kern w:val="0"/>
          <w14:ligatures w14:val="none"/>
        </w:rPr>
        <w:t xml:space="preserve"> nav norādījuš</w:t>
      </w:r>
      <w:r w:rsidR="009814CA">
        <w:rPr>
          <w:kern w:val="0"/>
          <w14:ligatures w14:val="none"/>
        </w:rPr>
        <w:t>as</w:t>
      </w:r>
      <w:r w:rsidR="00626B8D">
        <w:rPr>
          <w:kern w:val="0"/>
          <w14:ligatures w14:val="none"/>
        </w:rPr>
        <w:t xml:space="preserve"> nedz uz kādiem faktiskajiem apstākļiem, nedz uz juridisko pamatojumu </w:t>
      </w:r>
      <w:r w:rsidR="005C026B">
        <w:rPr>
          <w:kern w:val="0"/>
          <w14:ligatures w14:val="none"/>
        </w:rPr>
        <w:t>šim apgalvojumam. Kasācijas sūdzību iesniedzēj</w:t>
      </w:r>
      <w:r w:rsidR="009152AA">
        <w:rPr>
          <w:kern w:val="0"/>
          <w14:ligatures w14:val="none"/>
        </w:rPr>
        <w:t>as</w:t>
      </w:r>
      <w:r w:rsidR="005C026B">
        <w:rPr>
          <w:kern w:val="0"/>
          <w14:ligatures w14:val="none"/>
        </w:rPr>
        <w:t xml:space="preserve"> arī nav norādījuš</w:t>
      </w:r>
      <w:r w:rsidR="007A545F">
        <w:rPr>
          <w:kern w:val="0"/>
          <w14:ligatures w14:val="none"/>
        </w:rPr>
        <w:t>as</w:t>
      </w:r>
      <w:r w:rsidR="005C026B">
        <w:rPr>
          <w:kern w:val="0"/>
          <w14:ligatures w14:val="none"/>
        </w:rPr>
        <w:t xml:space="preserve">, kādas tieši eksperimentā iesaistītās personas faktiskās darbības </w:t>
      </w:r>
      <w:r w:rsidR="00626B8D">
        <w:rPr>
          <w:kern w:val="0"/>
          <w14:ligatures w14:val="none"/>
        </w:rPr>
        <w:t xml:space="preserve">vai izteikumi </w:t>
      </w:r>
      <w:r w:rsidR="005C026B">
        <w:rPr>
          <w:kern w:val="0"/>
          <w14:ligatures w14:val="none"/>
        </w:rPr>
        <w:t>būtu vērtējam</w:t>
      </w:r>
      <w:r w:rsidR="00626B8D">
        <w:rPr>
          <w:kern w:val="0"/>
          <w14:ligatures w14:val="none"/>
        </w:rPr>
        <w:t>i</w:t>
      </w:r>
      <w:r w:rsidR="005C026B">
        <w:rPr>
          <w:kern w:val="0"/>
          <w14:ligatures w14:val="none"/>
        </w:rPr>
        <w:t xml:space="preserve"> kā provokācija</w:t>
      </w:r>
      <w:r w:rsidR="002A3831">
        <w:rPr>
          <w:kern w:val="0"/>
          <w14:ligatures w14:val="none"/>
        </w:rPr>
        <w:t>, kas pārkāptu Kriminālprocesa likuma 225.</w:t>
      </w:r>
      <w:r w:rsidR="00622E0B">
        <w:rPr>
          <w:kern w:val="0"/>
          <w14:ligatures w14:val="none"/>
        </w:rPr>
        <w:t> </w:t>
      </w:r>
      <w:r w:rsidR="002A3831">
        <w:rPr>
          <w:kern w:val="0"/>
          <w14:ligatures w14:val="none"/>
        </w:rPr>
        <w:t>panta trešajā daļā noteikto aizliegumu šādai rīcībai</w:t>
      </w:r>
      <w:r w:rsidR="005C026B">
        <w:rPr>
          <w:kern w:val="0"/>
          <w14:ligatures w14:val="none"/>
        </w:rPr>
        <w:t xml:space="preserve">. </w:t>
      </w:r>
    </w:p>
    <w:p w14:paraId="537941AF" w14:textId="7B109167" w:rsidR="00424AE3" w:rsidRPr="00AF63AB" w:rsidRDefault="00424AE3" w:rsidP="00424AE3">
      <w:pPr>
        <w:ind w:firstLine="680"/>
        <w:rPr>
          <w:kern w:val="0"/>
          <w14:ligatures w14:val="none"/>
        </w:rPr>
      </w:pPr>
      <w:r>
        <w:rPr>
          <w:kern w:val="0"/>
          <w14:ligatures w14:val="none"/>
        </w:rPr>
        <w:t>Apelācijas instances tiesa šādus iebildumus ir izvērtējusi un konstatēj</w:t>
      </w:r>
      <w:r w:rsidR="00622E0B">
        <w:rPr>
          <w:kern w:val="0"/>
          <w14:ligatures w14:val="none"/>
        </w:rPr>
        <w:t>usi</w:t>
      </w:r>
      <w:r>
        <w:rPr>
          <w:kern w:val="0"/>
          <w14:ligatures w14:val="none"/>
        </w:rPr>
        <w:t>, ka s</w:t>
      </w:r>
      <w:r w:rsidRPr="00424AE3">
        <w:rPr>
          <w:kern w:val="0"/>
          <w14:ligatures w14:val="none"/>
        </w:rPr>
        <w:t>peciālā izmeklēšanas</w:t>
      </w:r>
      <w:r>
        <w:rPr>
          <w:kern w:val="0"/>
          <w14:ligatures w14:val="none"/>
        </w:rPr>
        <w:t xml:space="preserve"> </w:t>
      </w:r>
      <w:r w:rsidRPr="00424AE3">
        <w:rPr>
          <w:kern w:val="0"/>
          <w14:ligatures w14:val="none"/>
        </w:rPr>
        <w:t>eksperimenta veicēja eksperimentu veica, ievērojot Kriminālprocesa likuma 225.</w:t>
      </w:r>
      <w:r w:rsidR="00087000">
        <w:rPr>
          <w:kern w:val="0"/>
          <w14:ligatures w14:val="none"/>
        </w:rPr>
        <w:t xml:space="preserve"> </w:t>
      </w:r>
      <w:r w:rsidRPr="00424AE3">
        <w:rPr>
          <w:kern w:val="0"/>
          <w14:ligatures w14:val="none"/>
        </w:rPr>
        <w:t>panta</w:t>
      </w:r>
      <w:r w:rsidR="00622E0B">
        <w:rPr>
          <w:kern w:val="0"/>
          <w14:ligatures w14:val="none"/>
        </w:rPr>
        <w:t xml:space="preserve"> </w:t>
      </w:r>
      <w:r w:rsidRPr="00424AE3">
        <w:rPr>
          <w:kern w:val="0"/>
          <w14:ligatures w14:val="none"/>
        </w:rPr>
        <w:t>otrajā daļā noteikto, un nav konstatējami fakti, ka SIA</w:t>
      </w:r>
      <w:r w:rsidR="00622E0B">
        <w:rPr>
          <w:kern w:val="0"/>
          <w14:ligatures w14:val="none"/>
        </w:rPr>
        <w:t> ,,</w:t>
      </w:r>
      <w:r w:rsidR="00253BD2">
        <w:rPr>
          <w:kern w:val="0"/>
          <w14:ligatures w14:val="none"/>
        </w:rPr>
        <w:t>[N</w:t>
      </w:r>
      <w:r w:rsidR="00304C3F">
        <w:rPr>
          <w:kern w:val="0"/>
          <w14:ligatures w14:val="none"/>
        </w:rPr>
        <w:t>osaukums</w:t>
      </w:r>
      <w:r w:rsidR="00253BD2">
        <w:rPr>
          <w:kern w:val="0"/>
          <w14:ligatures w14:val="none"/>
        </w:rPr>
        <w:t> B]</w:t>
      </w:r>
      <w:r w:rsidRPr="00424AE3">
        <w:rPr>
          <w:kern w:val="0"/>
          <w14:ligatures w14:val="none"/>
        </w:rPr>
        <w:t>” ceļojumu</w:t>
      </w:r>
      <w:r>
        <w:rPr>
          <w:kern w:val="0"/>
          <w14:ligatures w14:val="none"/>
        </w:rPr>
        <w:t xml:space="preserve"> </w:t>
      </w:r>
      <w:r w:rsidRPr="00424AE3">
        <w:rPr>
          <w:kern w:val="0"/>
          <w14:ligatures w14:val="none"/>
        </w:rPr>
        <w:t xml:space="preserve">konsultantes </w:t>
      </w:r>
      <w:r w:rsidR="00253BD2">
        <w:rPr>
          <w:kern w:val="0"/>
          <w14:ligatures w14:val="none"/>
        </w:rPr>
        <w:t>[pers. A]</w:t>
      </w:r>
      <w:r w:rsidRPr="00424AE3">
        <w:rPr>
          <w:kern w:val="0"/>
          <w14:ligatures w14:val="none"/>
        </w:rPr>
        <w:t xml:space="preserve"> rīcība speciālā izmeklēšanas eksperimenta laikā būtu provocēta,</w:t>
      </w:r>
      <w:r>
        <w:rPr>
          <w:kern w:val="0"/>
          <w14:ligatures w14:val="none"/>
        </w:rPr>
        <w:t xml:space="preserve"> </w:t>
      </w:r>
      <w:r w:rsidRPr="00424AE3">
        <w:rPr>
          <w:kern w:val="0"/>
          <w14:ligatures w14:val="none"/>
        </w:rPr>
        <w:t>kas apstiprinās ar sarunas ierakstu eksperimenta laikā, tāpēc nav pamata atzīt, ka minētās</w:t>
      </w:r>
      <w:r>
        <w:rPr>
          <w:kern w:val="0"/>
          <w14:ligatures w14:val="none"/>
        </w:rPr>
        <w:t xml:space="preserve"> </w:t>
      </w:r>
      <w:r w:rsidRPr="00424AE3">
        <w:rPr>
          <w:kern w:val="0"/>
          <w14:ligatures w14:val="none"/>
        </w:rPr>
        <w:t xml:space="preserve">speciālās izmeklēšanas darbības rezultātā iegūtās ziņas </w:t>
      </w:r>
      <w:r w:rsidRPr="00C07BF9">
        <w:rPr>
          <w:kern w:val="0"/>
          <w14:ligatures w14:val="none"/>
        </w:rPr>
        <w:t xml:space="preserve">būtu nepieļaujami pierādījumi un pārkāptas speciālā izmeklēšanas </w:t>
      </w:r>
      <w:r w:rsidRPr="00AF63AB">
        <w:rPr>
          <w:kern w:val="0"/>
          <w14:ligatures w14:val="none"/>
        </w:rPr>
        <w:t>eksperimenta robežas.</w:t>
      </w:r>
    </w:p>
    <w:p w14:paraId="47BBA22F" w14:textId="31CC1A1E" w:rsidR="00AF63AB" w:rsidRPr="00AF63AB" w:rsidRDefault="00C07BF9" w:rsidP="007E64AF">
      <w:pPr>
        <w:ind w:firstLine="680"/>
        <w:rPr>
          <w:kern w:val="0"/>
          <w14:ligatures w14:val="none"/>
        </w:rPr>
      </w:pPr>
      <w:r w:rsidRPr="00AF63AB">
        <w:rPr>
          <w:kern w:val="0"/>
          <w14:ligatures w14:val="none"/>
        </w:rPr>
        <w:lastRenderedPageBreak/>
        <w:t>Apelācijas instances tiesa</w:t>
      </w:r>
      <w:r w:rsidR="00622E0B" w:rsidRPr="00AF63AB">
        <w:rPr>
          <w:kern w:val="0"/>
          <w14:ligatures w14:val="none"/>
        </w:rPr>
        <w:t xml:space="preserve"> </w:t>
      </w:r>
      <w:r w:rsidR="004C34D4" w:rsidRPr="00AF63AB">
        <w:rPr>
          <w:kern w:val="0"/>
          <w14:ligatures w14:val="none"/>
        </w:rPr>
        <w:t xml:space="preserve">nav </w:t>
      </w:r>
      <w:r w:rsidR="005C026B" w:rsidRPr="00AF63AB">
        <w:rPr>
          <w:kern w:val="0"/>
          <w14:ligatures w14:val="none"/>
        </w:rPr>
        <w:t>konstatē</w:t>
      </w:r>
      <w:r w:rsidRPr="00AF63AB">
        <w:rPr>
          <w:kern w:val="0"/>
          <w14:ligatures w14:val="none"/>
        </w:rPr>
        <w:t>j</w:t>
      </w:r>
      <w:r w:rsidR="004C34D4" w:rsidRPr="00AF63AB">
        <w:rPr>
          <w:kern w:val="0"/>
          <w14:ligatures w14:val="none"/>
        </w:rPr>
        <w:t>usi</w:t>
      </w:r>
      <w:r w:rsidR="005C026B" w:rsidRPr="00AF63AB">
        <w:rPr>
          <w:kern w:val="0"/>
          <w14:ligatures w14:val="none"/>
        </w:rPr>
        <w:t xml:space="preserve"> eksperimentā iesaistītās personas darbības vai izteikumus, kas varētu tikt vērtēta kā provocējoša rīcība. </w:t>
      </w:r>
      <w:r w:rsidR="00AF63AB" w:rsidRPr="00AF63AB">
        <w:rPr>
          <w:kern w:val="0"/>
          <w14:ligatures w14:val="none"/>
        </w:rPr>
        <w:t xml:space="preserve">Apsūdzētā nav paudusi nevēlēšanos sniegt eksperimenta dalībniecei tūrisma pakalpojumu </w:t>
      </w:r>
      <w:r w:rsidR="007E64AF">
        <w:rPr>
          <w:kern w:val="0"/>
          <w14:ligatures w14:val="none"/>
        </w:rPr>
        <w:t>–</w:t>
      </w:r>
      <w:r w:rsidR="00AF63AB" w:rsidRPr="00AF63AB">
        <w:rPr>
          <w:kern w:val="0"/>
          <w14:ligatures w14:val="none"/>
        </w:rPr>
        <w:t xml:space="preserve"> ceļojuma uz Krimu </w:t>
      </w:r>
      <w:r w:rsidR="007E64AF">
        <w:rPr>
          <w:kern w:val="0"/>
          <w14:ligatures w14:val="none"/>
        </w:rPr>
        <w:t>–</w:t>
      </w:r>
      <w:r w:rsidR="00AF63AB" w:rsidRPr="00AF63AB">
        <w:rPr>
          <w:kern w:val="0"/>
          <w14:ligatures w14:val="none"/>
        </w:rPr>
        <w:t xml:space="preserve"> pārdošanu, nav izteikusi šaubas par savu rīcību un nav mudināta vai pārliecināta šādi rīkoties, uz eksperimentā iesaistītās personas interesi iegādāties tūrisma braucienu uz Krimu reaģējusi kā pret parastu savu darba pienākumu ikdienas veikšanu. </w:t>
      </w:r>
    </w:p>
    <w:p w14:paraId="748508E1" w14:textId="72CDC7B7" w:rsidR="00CA3292" w:rsidRPr="00917421" w:rsidRDefault="00A738E6" w:rsidP="0031522F">
      <w:pPr>
        <w:ind w:firstLine="680"/>
        <w:rPr>
          <w:kern w:val="0"/>
          <w14:ligatures w14:val="none"/>
        </w:rPr>
      </w:pPr>
      <w:r w:rsidRPr="00917421">
        <w:rPr>
          <w:kern w:val="0"/>
          <w14:ligatures w14:val="none"/>
        </w:rPr>
        <w:t>[7.5]</w:t>
      </w:r>
      <w:r w:rsidR="00C84A57" w:rsidRPr="00917421">
        <w:rPr>
          <w:kern w:val="0"/>
          <w14:ligatures w14:val="none"/>
        </w:rPr>
        <w:t> </w:t>
      </w:r>
      <w:r w:rsidR="00311CE0" w:rsidRPr="00917421">
        <w:rPr>
          <w:rFonts w:cs="Times New Roman"/>
          <w:szCs w:val="24"/>
        </w:rPr>
        <w:t xml:space="preserve">Senāts konstatē, ka kasācijas sūdzībās ietvertā norāde </w:t>
      </w:r>
      <w:r w:rsidR="00F14AFD" w:rsidRPr="00917421">
        <w:rPr>
          <w:rFonts w:cs="Times New Roman"/>
          <w:szCs w:val="24"/>
        </w:rPr>
        <w:t xml:space="preserve">uz </w:t>
      </w:r>
      <w:r w:rsidR="00311CE0" w:rsidRPr="00917421">
        <w:rPr>
          <w:rFonts w:cs="Times New Roman"/>
          <w:szCs w:val="24"/>
        </w:rPr>
        <w:t>Kriminālprocesa likuma 216.</w:t>
      </w:r>
      <w:r w:rsidR="00BF0893" w:rsidRPr="00917421">
        <w:rPr>
          <w:rFonts w:cs="Times New Roman"/>
          <w:szCs w:val="24"/>
        </w:rPr>
        <w:t> </w:t>
      </w:r>
      <w:r w:rsidR="00311CE0" w:rsidRPr="00917421">
        <w:rPr>
          <w:rFonts w:cs="Times New Roman"/>
          <w:szCs w:val="24"/>
        </w:rPr>
        <w:t>panta</w:t>
      </w:r>
      <w:r w:rsidR="00CE415C" w:rsidRPr="00917421">
        <w:rPr>
          <w:rFonts w:cs="Times New Roman"/>
          <w:szCs w:val="24"/>
        </w:rPr>
        <w:t xml:space="preserve"> trešās daļas</w:t>
      </w:r>
      <w:r w:rsidR="00311CE0" w:rsidRPr="00917421">
        <w:rPr>
          <w:rFonts w:cs="Times New Roman"/>
          <w:szCs w:val="24"/>
        </w:rPr>
        <w:t xml:space="preserve"> pārkāpumu </w:t>
      </w:r>
      <w:r w:rsidR="00F14AFD" w:rsidRPr="00917421">
        <w:rPr>
          <w:rFonts w:cs="Times New Roman"/>
          <w:szCs w:val="24"/>
        </w:rPr>
        <w:t>ir ne</w:t>
      </w:r>
      <w:r w:rsidR="00311CE0" w:rsidRPr="00917421">
        <w:rPr>
          <w:rFonts w:cs="Times New Roman"/>
          <w:szCs w:val="24"/>
        </w:rPr>
        <w:t>pamatota. A</w:t>
      </w:r>
      <w:r w:rsidR="00F7758A" w:rsidRPr="00917421">
        <w:rPr>
          <w:rFonts w:cs="Times New Roman"/>
          <w:szCs w:val="24"/>
        </w:rPr>
        <w:t>tbilstoši Kriminālprocesa likuma 229.</w:t>
      </w:r>
      <w:r w:rsidR="008A64F5" w:rsidRPr="00917421">
        <w:rPr>
          <w:rFonts w:cs="Times New Roman"/>
          <w:szCs w:val="24"/>
        </w:rPr>
        <w:t> </w:t>
      </w:r>
      <w:r w:rsidR="00F7758A" w:rsidRPr="00917421">
        <w:rPr>
          <w:rFonts w:cs="Times New Roman"/>
          <w:szCs w:val="24"/>
        </w:rPr>
        <w:t xml:space="preserve">panta pirmajai daļai speciālo izmeklēšanas darbību protokolus, pārskatus, skaņu un attēlu ierakstus, fotogrāfijas, citus ar tehniskiem līdzekļiem fiksētos rezultātus, izņemtos priekšmetus un dokumentus vai to kopijas izmanto pierādīšanā tāpat kā citu izmeklēšanas darbību rezultātus. </w:t>
      </w:r>
      <w:r w:rsidR="00FE707C" w:rsidRPr="00917421">
        <w:rPr>
          <w:kern w:val="0"/>
          <w14:ligatures w14:val="none"/>
        </w:rPr>
        <w:t>Atbilstoši Kriminālprocesa likuma 216.</w:t>
      </w:r>
      <w:r w:rsidR="00BF0893" w:rsidRPr="00917421">
        <w:rPr>
          <w:kern w:val="0"/>
          <w14:ligatures w14:val="none"/>
        </w:rPr>
        <w:t> </w:t>
      </w:r>
      <w:r w:rsidR="00FE707C" w:rsidRPr="00917421">
        <w:rPr>
          <w:kern w:val="0"/>
          <w14:ligatures w14:val="none"/>
        </w:rPr>
        <w:t>panta ceturtajai daļai speciālās izmeklēšanas darbības veicējs dara visu iespējamo, lai izmeklēšanu interesējošie fakti tiktu fiksēti ar tehniskajiem līdzekļiem.</w:t>
      </w:r>
    </w:p>
    <w:p w14:paraId="7577416C" w14:textId="6DE83ABB" w:rsidR="00CA3292" w:rsidRPr="00917421" w:rsidRDefault="00FF2CD5" w:rsidP="00FF2CD5">
      <w:pPr>
        <w:ind w:firstLine="680"/>
        <w:rPr>
          <w:rFonts w:cs="Times New Roman"/>
          <w:szCs w:val="24"/>
        </w:rPr>
      </w:pPr>
      <w:r w:rsidRPr="00917421">
        <w:rPr>
          <w:rFonts w:cs="Times New Roman"/>
          <w:szCs w:val="24"/>
        </w:rPr>
        <w:t>Senāts konstatē, ka</w:t>
      </w:r>
      <w:r w:rsidR="004338CA" w:rsidRPr="00917421">
        <w:rPr>
          <w:rFonts w:cs="Times New Roman"/>
          <w:szCs w:val="24"/>
        </w:rPr>
        <w:t>,</w:t>
      </w:r>
      <w:r w:rsidRPr="00917421">
        <w:rPr>
          <w:rFonts w:cs="Times New Roman"/>
          <w:szCs w:val="24"/>
        </w:rPr>
        <w:t xml:space="preserve"> </w:t>
      </w:r>
      <w:r w:rsidR="004338CA" w:rsidRPr="00917421">
        <w:rPr>
          <w:rFonts w:cs="Times New Roman"/>
          <w:szCs w:val="24"/>
        </w:rPr>
        <w:t xml:space="preserve">vērtējot </w:t>
      </w:r>
      <w:r w:rsidRPr="00917421">
        <w:rPr>
          <w:rFonts w:cs="Times New Roman"/>
          <w:szCs w:val="24"/>
        </w:rPr>
        <w:t>speciālā izmeklēšanas eksperimenta laikā iegū</w:t>
      </w:r>
      <w:r w:rsidR="004338CA" w:rsidRPr="00917421">
        <w:rPr>
          <w:rFonts w:cs="Times New Roman"/>
          <w:szCs w:val="24"/>
        </w:rPr>
        <w:t>tās</w:t>
      </w:r>
      <w:r w:rsidRPr="00917421">
        <w:rPr>
          <w:rFonts w:cs="Times New Roman"/>
          <w:szCs w:val="24"/>
        </w:rPr>
        <w:t xml:space="preserve"> ziņ</w:t>
      </w:r>
      <w:r w:rsidR="004338CA" w:rsidRPr="00917421">
        <w:rPr>
          <w:rFonts w:cs="Times New Roman"/>
          <w:szCs w:val="24"/>
        </w:rPr>
        <w:t>as</w:t>
      </w:r>
      <w:r w:rsidRPr="00917421">
        <w:rPr>
          <w:rFonts w:cs="Times New Roman"/>
          <w:szCs w:val="24"/>
        </w:rPr>
        <w:t xml:space="preserve"> par faktiem</w:t>
      </w:r>
      <w:r w:rsidR="004338CA" w:rsidRPr="00917421">
        <w:rPr>
          <w:rFonts w:cs="Times New Roman"/>
          <w:szCs w:val="24"/>
        </w:rPr>
        <w:t>,</w:t>
      </w:r>
      <w:r w:rsidRPr="00917421">
        <w:rPr>
          <w:rFonts w:cs="Times New Roman"/>
          <w:szCs w:val="24"/>
        </w:rPr>
        <w:t xml:space="preserve"> apelācijas instances tiesa balstīj</w:t>
      </w:r>
      <w:r w:rsidR="00BF0893" w:rsidRPr="00917421">
        <w:rPr>
          <w:rFonts w:cs="Times New Roman"/>
          <w:szCs w:val="24"/>
        </w:rPr>
        <w:t>usies</w:t>
      </w:r>
      <w:r w:rsidRPr="00917421">
        <w:rPr>
          <w:rFonts w:cs="Times New Roman"/>
          <w:szCs w:val="24"/>
        </w:rPr>
        <w:t xml:space="preserve"> uz speciālā izmeklēšanas eksperimenta laikā ierakstīto sarunu saturu, nevis uz procesa virzītāja sastādīto protokolu par izmeklēšanas eksperimenta gaitu.</w:t>
      </w:r>
    </w:p>
    <w:p w14:paraId="63C92741" w14:textId="2D1D9ED1" w:rsidR="007F7E87" w:rsidRPr="004338CA" w:rsidRDefault="007F7E87" w:rsidP="00D21E52">
      <w:pPr>
        <w:ind w:firstLine="680"/>
        <w:rPr>
          <w:kern w:val="0"/>
          <w14:ligatures w14:val="none"/>
        </w:rPr>
      </w:pPr>
      <w:r w:rsidRPr="00917421">
        <w:rPr>
          <w:rFonts w:cs="Times New Roman"/>
          <w:szCs w:val="24"/>
        </w:rPr>
        <w:t>Kasācijas sūdzībās norādītais, ka speciālā izmeklēšanas eksperimenta laikā veikto audioierakstu atšifrējumu sagatavojusi neidentificēta persona, neliecina par šajā procesā iegūto ziņu nepieļaujamību Kriminālprocesa likuma 130.</w:t>
      </w:r>
      <w:r w:rsidR="00BF0893" w:rsidRPr="00917421">
        <w:rPr>
          <w:rFonts w:cs="Times New Roman"/>
          <w:szCs w:val="24"/>
        </w:rPr>
        <w:t> </w:t>
      </w:r>
      <w:r w:rsidRPr="00917421">
        <w:rPr>
          <w:rFonts w:cs="Times New Roman"/>
          <w:szCs w:val="24"/>
        </w:rPr>
        <w:t>panta izpratnē.</w:t>
      </w:r>
      <w:r w:rsidR="00272CC9" w:rsidRPr="00917421">
        <w:rPr>
          <w:rFonts w:cs="Times New Roman"/>
          <w:szCs w:val="24"/>
        </w:rPr>
        <w:t xml:space="preserve"> Nepamatots ir SIA ,,</w:t>
      </w:r>
      <w:r w:rsidR="00253BD2">
        <w:rPr>
          <w:rFonts w:cs="Times New Roman"/>
          <w:szCs w:val="24"/>
        </w:rPr>
        <w:t>[N</w:t>
      </w:r>
      <w:r w:rsidR="00304C3F">
        <w:rPr>
          <w:rFonts w:cs="Times New Roman"/>
          <w:szCs w:val="24"/>
        </w:rPr>
        <w:t>osaukums</w:t>
      </w:r>
      <w:r w:rsidR="00253BD2">
        <w:rPr>
          <w:rFonts w:cs="Times New Roman"/>
          <w:szCs w:val="24"/>
        </w:rPr>
        <w:t> B]</w:t>
      </w:r>
      <w:r w:rsidR="00272CC9" w:rsidRPr="00917421">
        <w:rPr>
          <w:rFonts w:cs="Times New Roman"/>
          <w:szCs w:val="24"/>
        </w:rPr>
        <w:t xml:space="preserve">” pārstāves I. Lauces kasācijas sūdzībā ietvertais apgalvojums, ka vienīgā kompetentā persona, kuras sniegtais atšifrējums ir </w:t>
      </w:r>
      <w:r w:rsidR="00022AFE" w:rsidRPr="00917421">
        <w:rPr>
          <w:rFonts w:cs="Times New Roman"/>
          <w:szCs w:val="24"/>
        </w:rPr>
        <w:t>izmantojams</w:t>
      </w:r>
      <w:r w:rsidR="00272CC9" w:rsidRPr="00917421">
        <w:rPr>
          <w:rFonts w:cs="Times New Roman"/>
          <w:szCs w:val="24"/>
        </w:rPr>
        <w:t xml:space="preserve"> kā pierādījums, būtu sertificēts eksperts atbilstoši L</w:t>
      </w:r>
      <w:r w:rsidR="007E64AF">
        <w:rPr>
          <w:rFonts w:cs="Times New Roman"/>
          <w:szCs w:val="24"/>
        </w:rPr>
        <w:t>atvijas Republikas</w:t>
      </w:r>
      <w:r w:rsidR="00272CC9" w:rsidRPr="00917421">
        <w:rPr>
          <w:rFonts w:cs="Times New Roman"/>
          <w:szCs w:val="24"/>
        </w:rPr>
        <w:t xml:space="preserve"> M</w:t>
      </w:r>
      <w:r w:rsidR="007E64AF">
        <w:rPr>
          <w:rFonts w:cs="Times New Roman"/>
          <w:szCs w:val="24"/>
        </w:rPr>
        <w:t>inistru kabineta</w:t>
      </w:r>
      <w:r w:rsidR="00272CC9" w:rsidRPr="00917421">
        <w:rPr>
          <w:rFonts w:cs="Times New Roman"/>
          <w:szCs w:val="24"/>
        </w:rPr>
        <w:t xml:space="preserve"> 2016.</w:t>
      </w:r>
      <w:r w:rsidR="007E64AF">
        <w:rPr>
          <w:rFonts w:cs="Times New Roman"/>
          <w:szCs w:val="24"/>
        </w:rPr>
        <w:t> </w:t>
      </w:r>
      <w:r w:rsidR="00272CC9" w:rsidRPr="00917421">
        <w:rPr>
          <w:rFonts w:cs="Times New Roman"/>
          <w:szCs w:val="24"/>
        </w:rPr>
        <w:t>g</w:t>
      </w:r>
      <w:r w:rsidR="00C84A57" w:rsidRPr="00917421">
        <w:rPr>
          <w:rFonts w:cs="Times New Roman"/>
          <w:szCs w:val="24"/>
        </w:rPr>
        <w:t>ada</w:t>
      </w:r>
      <w:r w:rsidR="00272CC9" w:rsidRPr="00917421">
        <w:rPr>
          <w:rFonts w:cs="Times New Roman"/>
          <w:szCs w:val="24"/>
        </w:rPr>
        <w:t xml:space="preserve"> 20.</w:t>
      </w:r>
      <w:r w:rsidR="007E64AF">
        <w:rPr>
          <w:rFonts w:cs="Times New Roman"/>
          <w:szCs w:val="24"/>
        </w:rPr>
        <w:t> </w:t>
      </w:r>
      <w:r w:rsidR="00272CC9" w:rsidRPr="00917421">
        <w:rPr>
          <w:rFonts w:cs="Times New Roman"/>
          <w:szCs w:val="24"/>
        </w:rPr>
        <w:t xml:space="preserve">decembra </w:t>
      </w:r>
      <w:hyperlink r:id="rId11" w:tgtFrame="_blank" w:history="1">
        <w:r w:rsidR="007377F2" w:rsidRPr="00917421">
          <w:rPr>
            <w:rFonts w:cs="Times New Roman"/>
            <w:szCs w:val="24"/>
          </w:rPr>
          <w:t>n</w:t>
        </w:r>
        <w:r w:rsidR="00272CC9" w:rsidRPr="00917421">
          <w:rPr>
            <w:rFonts w:cs="Times New Roman"/>
            <w:szCs w:val="24"/>
          </w:rPr>
          <w:t>oteikumiem Nr.</w:t>
        </w:r>
        <w:r w:rsidR="00C84A57" w:rsidRPr="00917421">
          <w:rPr>
            <w:rFonts w:cs="Times New Roman"/>
            <w:szCs w:val="24"/>
          </w:rPr>
          <w:t> </w:t>
        </w:r>
        <w:r w:rsidR="00272CC9" w:rsidRPr="00917421">
          <w:rPr>
            <w:rFonts w:cs="Times New Roman"/>
            <w:szCs w:val="24"/>
          </w:rPr>
          <w:t xml:space="preserve">835 </w:t>
        </w:r>
        <w:r w:rsidR="007377F2" w:rsidRPr="00917421">
          <w:rPr>
            <w:rFonts w:cs="Times New Roman"/>
            <w:szCs w:val="24"/>
          </w:rPr>
          <w:t>P</w:t>
        </w:r>
        <w:r w:rsidR="00272CC9" w:rsidRPr="00917421">
          <w:rPr>
            <w:rFonts w:cs="Times New Roman"/>
            <w:szCs w:val="24"/>
          </w:rPr>
          <w:t>ar tiesu ekspertīžu iestāžu sarakstu</w:t>
        </w:r>
      </w:hyperlink>
      <w:r w:rsidR="00272CC9" w:rsidRPr="00917421">
        <w:rPr>
          <w:rFonts w:cs="Times New Roman"/>
          <w:szCs w:val="24"/>
        </w:rPr>
        <w:t> un tiesu ekspertu specialitāšu klasifikatoru. Šajā kriminālprocesā speciālā izmeklēšanas eksperimenta laikā veikto audioierakstu atšifrējuma veikšanai netika noteikta skaņu ieraksta ekspertīze</w:t>
      </w:r>
      <w:r w:rsidR="007377F2" w:rsidRPr="00917421">
        <w:rPr>
          <w:rFonts w:cs="Times New Roman"/>
          <w:szCs w:val="24"/>
        </w:rPr>
        <w:t>.</w:t>
      </w:r>
      <w:r w:rsidR="00272CC9" w:rsidRPr="00917421">
        <w:rPr>
          <w:rFonts w:cs="Times New Roman"/>
          <w:szCs w:val="24"/>
        </w:rPr>
        <w:t xml:space="preserve"> Kriminālprocesa likumā nav ietverts regulējums</w:t>
      </w:r>
      <w:r w:rsidR="007377F2" w:rsidRPr="00917421">
        <w:rPr>
          <w:rFonts w:cs="Times New Roman"/>
          <w:szCs w:val="24"/>
        </w:rPr>
        <w:t xml:space="preserve">, kas </w:t>
      </w:r>
      <w:r w:rsidR="00B314FB" w:rsidRPr="00917421">
        <w:rPr>
          <w:rFonts w:cs="Times New Roman"/>
          <w:szCs w:val="24"/>
        </w:rPr>
        <w:t xml:space="preserve">paredzētu obligātu ekspertīzes noteikšanu skaņu ierakstu satura atšifrējuma sagatavošanai. </w:t>
      </w:r>
      <w:r w:rsidR="003E6277" w:rsidRPr="00917421">
        <w:rPr>
          <w:rFonts w:cs="Times New Roman"/>
          <w:szCs w:val="24"/>
        </w:rPr>
        <w:t>Līdz ar to atšifrējuma sagatavotāja identitātei nav tiesiskas nozīmes.</w:t>
      </w:r>
      <w:r w:rsidR="00D21E52" w:rsidRPr="00917421">
        <w:rPr>
          <w:rFonts w:cs="Times New Roman"/>
          <w:szCs w:val="24"/>
        </w:rPr>
        <w:t xml:space="preserve"> </w:t>
      </w:r>
      <w:r w:rsidR="00022AFE" w:rsidRPr="00917421">
        <w:rPr>
          <w:rFonts w:cs="Times New Roman"/>
          <w:szCs w:val="24"/>
        </w:rPr>
        <w:t>Turklāt a</w:t>
      </w:r>
      <w:r w:rsidRPr="00917421">
        <w:rPr>
          <w:rFonts w:cs="Times New Roman"/>
          <w:szCs w:val="24"/>
        </w:rPr>
        <w:t xml:space="preserve">tšifrējums nav patstāvīgs pierādījums, bet gan sākotnējā pierādījuma – audioieraksta – satura atveidojums rakstveida formā. </w:t>
      </w:r>
      <w:r w:rsidR="00022AFE" w:rsidRPr="00917421">
        <w:rPr>
          <w:rFonts w:cs="Times New Roman"/>
          <w:szCs w:val="24"/>
        </w:rPr>
        <w:t>Speciālā izmeklēšanas eksperimenta laikā veiktais audioieraksts</w:t>
      </w:r>
      <w:r w:rsidRPr="00917421">
        <w:rPr>
          <w:rFonts w:cs="Times New Roman"/>
          <w:szCs w:val="24"/>
        </w:rPr>
        <w:t xml:space="preserve"> ir pieejams procesa dalībniekiem un tiesai</w:t>
      </w:r>
      <w:r w:rsidR="00022AFE" w:rsidRPr="00917421">
        <w:rPr>
          <w:rFonts w:cs="Times New Roman"/>
          <w:szCs w:val="24"/>
        </w:rPr>
        <w:t xml:space="preserve">, </w:t>
      </w:r>
      <w:r w:rsidRPr="00917421">
        <w:rPr>
          <w:rFonts w:cs="Times New Roman"/>
          <w:szCs w:val="24"/>
        </w:rPr>
        <w:t xml:space="preserve">kasācijas sūdzībās nav norādīts uz neatbilstībām starp ieraksta saturu un tā atšifrējumu, </w:t>
      </w:r>
      <w:r w:rsidR="00022AFE" w:rsidRPr="00917421">
        <w:rPr>
          <w:rFonts w:cs="Times New Roman"/>
          <w:szCs w:val="24"/>
        </w:rPr>
        <w:t xml:space="preserve">nav apšaubīta šī ieraksta atšifrējuma satura pareizība. </w:t>
      </w:r>
      <w:r w:rsidRPr="00917421">
        <w:rPr>
          <w:rFonts w:cs="Times New Roman"/>
          <w:szCs w:val="24"/>
        </w:rPr>
        <w:t>Līdz ar to speciālā izmeklēšanas eksperimenta gaitas fiksēšanā nav konstatējami Kriminālprocesa likuma būtiski pārkāpumi, kas varētu būt par pamatu pārsūdzētā nolēmuma atcelšanai.</w:t>
      </w:r>
    </w:p>
    <w:p w14:paraId="22402CA0" w14:textId="21190374" w:rsidR="00C91365" w:rsidRDefault="00E024B1" w:rsidP="005553CB">
      <w:pPr>
        <w:ind w:firstLine="680"/>
        <w:rPr>
          <w:rFonts w:cs="Times New Roman"/>
          <w:szCs w:val="24"/>
        </w:rPr>
      </w:pPr>
      <w:r w:rsidRPr="004338CA">
        <w:rPr>
          <w:rFonts w:cs="Times New Roman"/>
          <w:szCs w:val="24"/>
        </w:rPr>
        <w:t>[7.6]</w:t>
      </w:r>
      <w:r w:rsidR="009E48CC" w:rsidRPr="004338CA">
        <w:rPr>
          <w:rFonts w:cs="Times New Roman"/>
          <w:szCs w:val="24"/>
        </w:rPr>
        <w:t> </w:t>
      </w:r>
      <w:r w:rsidR="00886831" w:rsidRPr="004338CA">
        <w:rPr>
          <w:rFonts w:cs="Times New Roman"/>
          <w:szCs w:val="24"/>
        </w:rPr>
        <w:t xml:space="preserve">Senāts atzīst par nepamatotām kasācijas sūdzībās ietvertās norādes </w:t>
      </w:r>
      <w:r w:rsidR="00B343DD" w:rsidRPr="004338CA">
        <w:rPr>
          <w:rFonts w:cs="Times New Roman"/>
          <w:szCs w:val="24"/>
        </w:rPr>
        <w:t>uz</w:t>
      </w:r>
      <w:r w:rsidR="00B343DD">
        <w:rPr>
          <w:rFonts w:cs="Times New Roman"/>
          <w:szCs w:val="24"/>
        </w:rPr>
        <w:t xml:space="preserve"> </w:t>
      </w:r>
      <w:r w:rsidR="00886831" w:rsidRPr="00886831">
        <w:rPr>
          <w:rFonts w:cs="Times New Roman"/>
          <w:szCs w:val="24"/>
        </w:rPr>
        <w:t xml:space="preserve"> </w:t>
      </w:r>
      <w:r w:rsidR="00886831" w:rsidRPr="00B314FB">
        <w:rPr>
          <w:rFonts w:cs="Times New Roman"/>
          <w:szCs w:val="24"/>
        </w:rPr>
        <w:t>Kriminālprocesa likuma 326.</w:t>
      </w:r>
      <w:r w:rsidR="00BF0893" w:rsidRPr="00B314FB">
        <w:rPr>
          <w:rFonts w:cs="Times New Roman"/>
          <w:szCs w:val="24"/>
        </w:rPr>
        <w:t> </w:t>
      </w:r>
      <w:r w:rsidR="00886831" w:rsidRPr="00B314FB">
        <w:rPr>
          <w:rFonts w:cs="Times New Roman"/>
          <w:szCs w:val="24"/>
        </w:rPr>
        <w:t>panta pirmās daļas 4.</w:t>
      </w:r>
      <w:r w:rsidR="00BF0893" w:rsidRPr="00B314FB">
        <w:rPr>
          <w:rFonts w:cs="Times New Roman"/>
          <w:szCs w:val="24"/>
        </w:rPr>
        <w:t> </w:t>
      </w:r>
      <w:r w:rsidR="00886831" w:rsidRPr="00B314FB">
        <w:rPr>
          <w:rFonts w:cs="Times New Roman"/>
          <w:szCs w:val="24"/>
        </w:rPr>
        <w:t xml:space="preserve">punkta pārkāpumu. </w:t>
      </w:r>
      <w:r w:rsidR="00077FFA" w:rsidRPr="00B314FB">
        <w:rPr>
          <w:rFonts w:cs="Times New Roman"/>
          <w:szCs w:val="24"/>
        </w:rPr>
        <w:t xml:space="preserve">Apelācijas instances tiesa pierādīšanā ir izmantojusi liecinieces </w:t>
      </w:r>
      <w:r w:rsidR="004F6DA8">
        <w:rPr>
          <w:rFonts w:cs="Times New Roman"/>
          <w:szCs w:val="24"/>
        </w:rPr>
        <w:t>[pers. B]</w:t>
      </w:r>
      <w:r w:rsidR="00077FFA" w:rsidRPr="00B314FB">
        <w:rPr>
          <w:rFonts w:cs="Times New Roman"/>
          <w:szCs w:val="24"/>
        </w:rPr>
        <w:t xml:space="preserve"> liecības, kuras viņa snie</w:t>
      </w:r>
      <w:r w:rsidR="009E48CC" w:rsidRPr="00B314FB">
        <w:rPr>
          <w:rFonts w:cs="Times New Roman"/>
          <w:szCs w:val="24"/>
        </w:rPr>
        <w:t>gusi</w:t>
      </w:r>
      <w:r w:rsidR="00077FFA" w:rsidRPr="00B314FB">
        <w:rPr>
          <w:rFonts w:cs="Times New Roman"/>
          <w:szCs w:val="24"/>
        </w:rPr>
        <w:t xml:space="preserve"> pirmās instances</w:t>
      </w:r>
      <w:r w:rsidR="00EF5112" w:rsidRPr="00B314FB">
        <w:rPr>
          <w:rFonts w:cs="Times New Roman"/>
          <w:szCs w:val="24"/>
        </w:rPr>
        <w:t xml:space="preserve"> tiesā</w:t>
      </w:r>
      <w:r w:rsidR="00077FFA" w:rsidRPr="00B314FB">
        <w:rPr>
          <w:rFonts w:cs="Times New Roman"/>
          <w:szCs w:val="24"/>
        </w:rPr>
        <w:t xml:space="preserve">. </w:t>
      </w:r>
      <w:r w:rsidR="005553CB">
        <w:rPr>
          <w:rFonts w:cs="Times New Roman"/>
          <w:szCs w:val="24"/>
        </w:rPr>
        <w:t>I</w:t>
      </w:r>
      <w:r w:rsidR="00EF5112" w:rsidRPr="00B314FB">
        <w:rPr>
          <w:rFonts w:cs="Times New Roman"/>
          <w:szCs w:val="24"/>
        </w:rPr>
        <w:t xml:space="preserve">epazīstoties ar tiesu sēžu protokolos fiksētajām ziņām </w:t>
      </w:r>
      <w:r w:rsidR="00D076D6" w:rsidRPr="00B314FB">
        <w:rPr>
          <w:rFonts w:cs="Times New Roman"/>
          <w:szCs w:val="24"/>
        </w:rPr>
        <w:t>Senāts secina, ka jau lietas izskatīšanas gaitā pirmās instances tiesā šīs Drošības policijas amatpersonas</w:t>
      </w:r>
      <w:r w:rsidR="004E3ABA" w:rsidRPr="00B314FB">
        <w:rPr>
          <w:rFonts w:cs="Times New Roman"/>
          <w:szCs w:val="24"/>
        </w:rPr>
        <w:t>,</w:t>
      </w:r>
      <w:r w:rsidR="00D076D6" w:rsidRPr="00B314FB">
        <w:rPr>
          <w:rFonts w:cs="Times New Roman"/>
          <w:szCs w:val="24"/>
        </w:rPr>
        <w:t xml:space="preserve"> ar apliecības </w:t>
      </w:r>
      <w:r w:rsidR="004E3ABA" w:rsidRPr="00B314FB">
        <w:rPr>
          <w:rFonts w:cs="Times New Roman"/>
          <w:szCs w:val="24"/>
        </w:rPr>
        <w:t>N</w:t>
      </w:r>
      <w:r w:rsidR="00D076D6" w:rsidRPr="00B314FB">
        <w:rPr>
          <w:rFonts w:cs="Times New Roman"/>
          <w:szCs w:val="24"/>
        </w:rPr>
        <w:t>r.</w:t>
      </w:r>
      <w:r w:rsidR="007E64AF">
        <w:rPr>
          <w:rFonts w:cs="Times New Roman"/>
          <w:szCs w:val="24"/>
        </w:rPr>
        <w:t> </w:t>
      </w:r>
      <w:r w:rsidR="00F81863">
        <w:rPr>
          <w:rFonts w:cs="Times New Roman"/>
          <w:szCs w:val="24"/>
        </w:rPr>
        <w:t>[..]</w:t>
      </w:r>
      <w:r w:rsidR="004E3ABA" w:rsidRPr="00B314FB">
        <w:rPr>
          <w:rFonts w:cs="Times New Roman"/>
          <w:szCs w:val="24"/>
        </w:rPr>
        <w:t>,</w:t>
      </w:r>
      <w:r w:rsidR="00D076D6" w:rsidRPr="00B314FB">
        <w:rPr>
          <w:rFonts w:cs="Times New Roman"/>
          <w:szCs w:val="24"/>
        </w:rPr>
        <w:t xml:space="preserve"> identitāte tika noskaidrota, šī amatpersona tiesā tika nopratināta</w:t>
      </w:r>
      <w:r w:rsidR="004E3ABA" w:rsidRPr="00B314FB">
        <w:rPr>
          <w:rFonts w:cs="Times New Roman"/>
          <w:szCs w:val="24"/>
        </w:rPr>
        <w:t xml:space="preserve"> un</w:t>
      </w:r>
      <w:r w:rsidR="00D076D6" w:rsidRPr="00B314FB">
        <w:rPr>
          <w:rFonts w:cs="Times New Roman"/>
          <w:szCs w:val="24"/>
        </w:rPr>
        <w:t xml:space="preserve"> nopratināšanā piedalījās apsūdzētā </w:t>
      </w:r>
      <w:r w:rsidR="00253BD2">
        <w:rPr>
          <w:rFonts w:cs="Times New Roman"/>
          <w:szCs w:val="24"/>
        </w:rPr>
        <w:t>[pers. A]</w:t>
      </w:r>
      <w:r w:rsidR="00D076D6" w:rsidRPr="00B314FB">
        <w:rPr>
          <w:rFonts w:cs="Times New Roman"/>
          <w:szCs w:val="24"/>
        </w:rPr>
        <w:t>, viņas aizstāvis M</w:t>
      </w:r>
      <w:r w:rsidR="004E3ABA" w:rsidRPr="00B314FB">
        <w:rPr>
          <w:rFonts w:cs="Times New Roman"/>
          <w:szCs w:val="24"/>
        </w:rPr>
        <w:t xml:space="preserve">ihails </w:t>
      </w:r>
      <w:proofErr w:type="spellStart"/>
      <w:r w:rsidR="00D076D6" w:rsidRPr="00B314FB">
        <w:rPr>
          <w:rFonts w:cs="Times New Roman"/>
          <w:szCs w:val="24"/>
        </w:rPr>
        <w:t>Silins</w:t>
      </w:r>
      <w:proofErr w:type="spellEnd"/>
      <w:r w:rsidR="00D076D6" w:rsidRPr="00B314FB">
        <w:rPr>
          <w:rFonts w:cs="Times New Roman"/>
          <w:szCs w:val="24"/>
        </w:rPr>
        <w:t>, SIA</w:t>
      </w:r>
      <w:r w:rsidR="004E3ABA" w:rsidRPr="00B314FB">
        <w:rPr>
          <w:rFonts w:cs="Times New Roman"/>
          <w:szCs w:val="24"/>
        </w:rPr>
        <w:t> ,,</w:t>
      </w:r>
      <w:r w:rsidR="00253BD2">
        <w:rPr>
          <w:rFonts w:cs="Times New Roman"/>
          <w:szCs w:val="24"/>
        </w:rPr>
        <w:t>[N</w:t>
      </w:r>
      <w:r w:rsidR="00304C3F">
        <w:rPr>
          <w:rFonts w:cs="Times New Roman"/>
          <w:szCs w:val="24"/>
        </w:rPr>
        <w:t>osaukums</w:t>
      </w:r>
      <w:r w:rsidR="00253BD2">
        <w:rPr>
          <w:rFonts w:cs="Times New Roman"/>
          <w:szCs w:val="24"/>
        </w:rPr>
        <w:t> B]</w:t>
      </w:r>
      <w:r w:rsidR="004E3ABA" w:rsidRPr="00B314FB">
        <w:rPr>
          <w:rFonts w:cs="Times New Roman"/>
          <w:szCs w:val="24"/>
        </w:rPr>
        <w:t>”</w:t>
      </w:r>
      <w:r w:rsidR="00D076D6" w:rsidRPr="00B314FB">
        <w:rPr>
          <w:rFonts w:cs="Times New Roman"/>
          <w:szCs w:val="24"/>
        </w:rPr>
        <w:t xml:space="preserve"> pārstāve I.</w:t>
      </w:r>
      <w:r w:rsidR="004E3ABA" w:rsidRPr="00B314FB">
        <w:rPr>
          <w:rFonts w:cs="Times New Roman"/>
          <w:szCs w:val="24"/>
        </w:rPr>
        <w:t> </w:t>
      </w:r>
      <w:r w:rsidR="00D076D6" w:rsidRPr="00B314FB">
        <w:rPr>
          <w:rFonts w:cs="Times New Roman"/>
          <w:szCs w:val="24"/>
        </w:rPr>
        <w:t xml:space="preserve">Lauce. Līdz ar to visiem procesa dalībniekiem, </w:t>
      </w:r>
      <w:r w:rsidR="00D076D6" w:rsidRPr="00B314FB">
        <w:rPr>
          <w:rFonts w:cs="Times New Roman"/>
          <w:szCs w:val="24"/>
        </w:rPr>
        <w:lastRenderedPageBreak/>
        <w:t>tajā skaitā kasācijas sūdzību iesniedzējām, bija iespēja realizēt savas procesuālās tiesības, noskaidrot liecinošās personas identitāti un viņu tieši nopratināt tiesas sēdē.</w:t>
      </w:r>
    </w:p>
    <w:p w14:paraId="0C732CE7" w14:textId="77777777" w:rsidR="00886831" w:rsidRDefault="00886831" w:rsidP="00BF0893">
      <w:pPr>
        <w:ind w:firstLine="0"/>
        <w:rPr>
          <w:rFonts w:cs="Times New Roman"/>
          <w:szCs w:val="24"/>
        </w:rPr>
      </w:pPr>
    </w:p>
    <w:p w14:paraId="4E821754" w14:textId="27069327" w:rsidR="00217284" w:rsidRDefault="00DF2707" w:rsidP="00CA5B2E">
      <w:pPr>
        <w:ind w:firstLine="680"/>
        <w:rPr>
          <w:rFonts w:asciiTheme="majorBidi" w:hAnsiTheme="majorBidi" w:cstheme="majorBidi"/>
          <w:kern w:val="0"/>
          <w:szCs w:val="24"/>
          <w14:ligatures w14:val="none"/>
        </w:rPr>
      </w:pPr>
      <w:r w:rsidRPr="00DF2707">
        <w:rPr>
          <w:kern w:val="0"/>
          <w14:ligatures w14:val="none"/>
        </w:rPr>
        <w:t>[</w:t>
      </w:r>
      <w:r w:rsidR="000C63D3">
        <w:rPr>
          <w:kern w:val="0"/>
          <w14:ligatures w14:val="none"/>
        </w:rPr>
        <w:t>8</w:t>
      </w:r>
      <w:r w:rsidRPr="00DF2707">
        <w:rPr>
          <w:kern w:val="0"/>
          <w14:ligatures w14:val="none"/>
        </w:rPr>
        <w:t>] </w:t>
      </w:r>
      <w:r w:rsidR="00C91365" w:rsidRPr="00AC2E0C">
        <w:rPr>
          <w:kern w:val="0"/>
          <w14:ligatures w14:val="none"/>
        </w:rPr>
        <w:t>Sekojoši</w:t>
      </w:r>
      <w:r w:rsidR="00990F3C" w:rsidRPr="00AC2E0C">
        <w:rPr>
          <w:kern w:val="0"/>
          <w14:ligatures w14:val="none"/>
        </w:rPr>
        <w:t xml:space="preserve"> Senāts sniegs atbildi uz jautājumu, </w:t>
      </w:r>
      <w:r w:rsidR="00B4567E" w:rsidRPr="00AC2E0C">
        <w:t xml:space="preserve">vai tiesa ir </w:t>
      </w:r>
      <w:r w:rsidR="00AC2E0C" w:rsidRPr="00AC2E0C">
        <w:t xml:space="preserve">ievērojusi </w:t>
      </w:r>
      <w:r w:rsidR="00AC2E0C" w:rsidRPr="00AC2E0C">
        <w:rPr>
          <w:rFonts w:asciiTheme="majorBidi" w:hAnsiTheme="majorBidi" w:cstheme="majorBidi"/>
          <w:kern w:val="0"/>
          <w:szCs w:val="24"/>
          <w14:ligatures w14:val="none"/>
        </w:rPr>
        <w:t>Kriminālprocesa likuma 564. panta ceturtās daļas prasības</w:t>
      </w:r>
      <w:r w:rsidR="00AC2E0C" w:rsidRPr="00AC2E0C">
        <w:t xml:space="preserve"> un </w:t>
      </w:r>
      <w:r w:rsidR="00B4567E" w:rsidRPr="00AC2E0C">
        <w:t>motivējusi atzinumu par Krimināllikuma 84. panta pirmajā daļā paredzētā noziedzīgā nodarījuma sastāva subjektīvās puses esību</w:t>
      </w:r>
      <w:r w:rsidR="00990F3C" w:rsidRPr="00AC2E0C">
        <w:rPr>
          <w:kern w:val="0"/>
          <w14:ligatures w14:val="none"/>
        </w:rPr>
        <w:t>, proti, vainu nodoma formā</w:t>
      </w:r>
      <w:r w:rsidR="00B4567E" w:rsidRPr="00AC2E0C">
        <w:rPr>
          <w:rFonts w:asciiTheme="majorBidi" w:hAnsiTheme="majorBidi" w:cstheme="majorBidi"/>
          <w:kern w:val="0"/>
          <w:szCs w:val="24"/>
          <w14:ligatures w14:val="none"/>
        </w:rPr>
        <w:t>.</w:t>
      </w:r>
      <w:r w:rsidR="0014330F">
        <w:rPr>
          <w:rFonts w:asciiTheme="majorBidi" w:hAnsiTheme="majorBidi" w:cstheme="majorBidi"/>
          <w:kern w:val="0"/>
          <w:szCs w:val="24"/>
          <w14:ligatures w14:val="none"/>
        </w:rPr>
        <w:t xml:space="preserve"> </w:t>
      </w:r>
    </w:p>
    <w:p w14:paraId="70643EDC" w14:textId="63E2C56D" w:rsidR="00922614" w:rsidRDefault="00990F3C" w:rsidP="0014330F">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w:t>
      </w:r>
      <w:r w:rsidR="00D076D6">
        <w:rPr>
          <w:rFonts w:asciiTheme="majorBidi" w:hAnsiTheme="majorBidi" w:cstheme="majorBidi"/>
          <w:kern w:val="0"/>
          <w:szCs w:val="24"/>
          <w14:ligatures w14:val="none"/>
        </w:rPr>
        <w:t>8</w:t>
      </w:r>
      <w:r>
        <w:rPr>
          <w:rFonts w:asciiTheme="majorBidi" w:hAnsiTheme="majorBidi" w:cstheme="majorBidi"/>
          <w:kern w:val="0"/>
          <w:szCs w:val="24"/>
          <w14:ligatures w14:val="none"/>
        </w:rPr>
        <w:t>.</w:t>
      </w:r>
      <w:r w:rsidR="00CA5B2E">
        <w:rPr>
          <w:rFonts w:asciiTheme="majorBidi" w:hAnsiTheme="majorBidi" w:cstheme="majorBidi"/>
          <w:kern w:val="0"/>
          <w:szCs w:val="24"/>
          <w14:ligatures w14:val="none"/>
        </w:rPr>
        <w:t>1</w:t>
      </w:r>
      <w:r>
        <w:rPr>
          <w:rFonts w:asciiTheme="majorBidi" w:hAnsiTheme="majorBidi" w:cstheme="majorBidi"/>
          <w:kern w:val="0"/>
          <w:szCs w:val="24"/>
          <w14:ligatures w14:val="none"/>
        </w:rPr>
        <w:t>]</w:t>
      </w:r>
      <w:r w:rsidR="001215FC">
        <w:rPr>
          <w:rFonts w:asciiTheme="majorBidi" w:hAnsiTheme="majorBidi" w:cstheme="majorBidi"/>
          <w:kern w:val="0"/>
          <w:szCs w:val="24"/>
          <w14:ligatures w14:val="none"/>
        </w:rPr>
        <w:t> </w:t>
      </w:r>
      <w:r>
        <w:rPr>
          <w:rFonts w:asciiTheme="majorBidi" w:hAnsiTheme="majorBidi" w:cstheme="majorBidi"/>
          <w:kern w:val="0"/>
          <w:szCs w:val="24"/>
          <w14:ligatures w14:val="none"/>
        </w:rPr>
        <w:t>Senāts konstatē, ka apelācijas instances tiesa</w:t>
      </w:r>
      <w:r w:rsidR="0014330F">
        <w:rPr>
          <w:rFonts w:asciiTheme="majorBidi" w:hAnsiTheme="majorBidi" w:cstheme="majorBidi"/>
          <w:kern w:val="0"/>
          <w:szCs w:val="24"/>
          <w14:ligatures w14:val="none"/>
        </w:rPr>
        <w:t>, p</w:t>
      </w:r>
      <w:r w:rsidR="0014330F" w:rsidRPr="0014330F">
        <w:rPr>
          <w:rFonts w:asciiTheme="majorBidi" w:hAnsiTheme="majorBidi" w:cstheme="majorBidi"/>
          <w:kern w:val="0"/>
          <w:szCs w:val="24"/>
          <w14:ligatures w14:val="none"/>
        </w:rPr>
        <w:t>amatojoties uz lietā esošiem pierādījumiem, atzinusi, ka</w:t>
      </w:r>
      <w:r>
        <w:rPr>
          <w:rFonts w:asciiTheme="majorBidi" w:hAnsiTheme="majorBidi" w:cstheme="majorBidi"/>
          <w:kern w:val="0"/>
          <w:szCs w:val="24"/>
          <w14:ligatures w14:val="none"/>
        </w:rPr>
        <w:t xml:space="preserve"> </w:t>
      </w:r>
      <w:r w:rsidR="00253BD2">
        <w:rPr>
          <w:rFonts w:asciiTheme="majorBidi" w:hAnsiTheme="majorBidi" w:cstheme="majorBidi"/>
          <w:kern w:val="0"/>
          <w:szCs w:val="24"/>
          <w14:ligatures w14:val="none"/>
        </w:rPr>
        <w:t>[pers. A]</w:t>
      </w:r>
      <w:r w:rsidRPr="00990F3C">
        <w:rPr>
          <w:rFonts w:asciiTheme="majorBidi" w:hAnsiTheme="majorBidi" w:cstheme="majorBidi"/>
          <w:kern w:val="0"/>
          <w:szCs w:val="24"/>
          <w14:ligatures w14:val="none"/>
        </w:rPr>
        <w:t xml:space="preserve"> apzinājās savas darbības</w:t>
      </w:r>
      <w:r>
        <w:rPr>
          <w:rFonts w:asciiTheme="majorBidi" w:hAnsiTheme="majorBidi" w:cstheme="majorBidi"/>
          <w:kern w:val="0"/>
          <w:szCs w:val="24"/>
          <w14:ligatures w14:val="none"/>
        </w:rPr>
        <w:t xml:space="preserve"> </w:t>
      </w:r>
      <w:r w:rsidRPr="00990F3C">
        <w:rPr>
          <w:rFonts w:asciiTheme="majorBidi" w:hAnsiTheme="majorBidi" w:cstheme="majorBidi"/>
          <w:kern w:val="0"/>
          <w:szCs w:val="24"/>
          <w14:ligatures w14:val="none"/>
        </w:rPr>
        <w:t>kaitīgumu un apzināti to veica</w:t>
      </w:r>
      <w:r>
        <w:rPr>
          <w:rFonts w:asciiTheme="majorBidi" w:hAnsiTheme="majorBidi" w:cstheme="majorBidi"/>
          <w:kern w:val="0"/>
          <w:szCs w:val="24"/>
          <w14:ligatures w14:val="none"/>
        </w:rPr>
        <w:t>,</w:t>
      </w:r>
      <w:r w:rsidRPr="00990F3C">
        <w:rPr>
          <w:rFonts w:asciiTheme="majorBidi" w:hAnsiTheme="majorBidi" w:cstheme="majorBidi"/>
          <w:kern w:val="0"/>
          <w:szCs w:val="24"/>
          <w14:ligatures w14:val="none"/>
        </w:rPr>
        <w:t xml:space="preserve"> </w:t>
      </w:r>
      <w:r w:rsidR="0014330F">
        <w:rPr>
          <w:rFonts w:asciiTheme="majorBidi" w:hAnsiTheme="majorBidi" w:cstheme="majorBidi"/>
          <w:kern w:val="0"/>
          <w:szCs w:val="24"/>
          <w14:ligatures w14:val="none"/>
        </w:rPr>
        <w:t xml:space="preserve">viņas </w:t>
      </w:r>
      <w:r w:rsidRPr="00990F3C">
        <w:rPr>
          <w:rFonts w:asciiTheme="majorBidi" w:hAnsiTheme="majorBidi" w:cstheme="majorBidi"/>
          <w:kern w:val="0"/>
          <w:szCs w:val="24"/>
          <w14:ligatures w14:val="none"/>
        </w:rPr>
        <w:t>tiešo</w:t>
      </w:r>
      <w:r>
        <w:rPr>
          <w:rFonts w:asciiTheme="majorBidi" w:hAnsiTheme="majorBidi" w:cstheme="majorBidi"/>
          <w:kern w:val="0"/>
          <w:szCs w:val="24"/>
          <w14:ligatures w14:val="none"/>
        </w:rPr>
        <w:t xml:space="preserve"> </w:t>
      </w:r>
      <w:r w:rsidRPr="00990F3C">
        <w:rPr>
          <w:rFonts w:asciiTheme="majorBidi" w:hAnsiTheme="majorBidi" w:cstheme="majorBidi"/>
          <w:kern w:val="0"/>
          <w:szCs w:val="24"/>
          <w14:ligatures w14:val="none"/>
        </w:rPr>
        <w:t xml:space="preserve">nodomu atklāj viņas faktiskās darbības. </w:t>
      </w:r>
      <w:r w:rsidR="00253BD2">
        <w:rPr>
          <w:rFonts w:asciiTheme="majorBidi" w:hAnsiTheme="majorBidi" w:cstheme="majorBidi"/>
          <w:kern w:val="0"/>
          <w:szCs w:val="24"/>
          <w14:ligatures w14:val="none"/>
        </w:rPr>
        <w:t>[pers. A]</w:t>
      </w:r>
      <w:r w:rsidRPr="00990F3C">
        <w:rPr>
          <w:rFonts w:asciiTheme="majorBidi" w:hAnsiTheme="majorBidi" w:cstheme="majorBidi"/>
          <w:kern w:val="0"/>
          <w:szCs w:val="24"/>
          <w14:ligatures w14:val="none"/>
        </w:rPr>
        <w:t xml:space="preserve"> tīši pārkāpa normatīvos aktus, kuri</w:t>
      </w:r>
      <w:r>
        <w:rPr>
          <w:rFonts w:asciiTheme="majorBidi" w:hAnsiTheme="majorBidi" w:cstheme="majorBidi"/>
          <w:kern w:val="0"/>
          <w:szCs w:val="24"/>
          <w14:ligatures w14:val="none"/>
        </w:rPr>
        <w:t xml:space="preserve"> </w:t>
      </w:r>
      <w:r w:rsidRPr="00990F3C">
        <w:rPr>
          <w:rFonts w:asciiTheme="majorBidi" w:hAnsiTheme="majorBidi" w:cstheme="majorBidi"/>
          <w:kern w:val="0"/>
          <w:szCs w:val="24"/>
          <w14:ligatures w14:val="none"/>
        </w:rPr>
        <w:t>regulē Eiropas Savienības noteikto sankciju darbību Latvijā, zinot par sankciju darbību</w:t>
      </w:r>
      <w:r>
        <w:rPr>
          <w:rFonts w:asciiTheme="majorBidi" w:hAnsiTheme="majorBidi" w:cstheme="majorBidi"/>
          <w:kern w:val="0"/>
          <w:szCs w:val="24"/>
          <w14:ligatures w14:val="none"/>
        </w:rPr>
        <w:t xml:space="preserve"> </w:t>
      </w:r>
      <w:r w:rsidRPr="00990F3C">
        <w:rPr>
          <w:rFonts w:asciiTheme="majorBidi" w:hAnsiTheme="majorBidi" w:cstheme="majorBidi"/>
          <w:kern w:val="0"/>
          <w:szCs w:val="24"/>
          <w14:ligatures w14:val="none"/>
        </w:rPr>
        <w:t>Latvijas Republikā</w:t>
      </w:r>
      <w:r>
        <w:rPr>
          <w:rFonts w:asciiTheme="majorBidi" w:hAnsiTheme="majorBidi" w:cstheme="majorBidi"/>
          <w:kern w:val="0"/>
          <w:szCs w:val="24"/>
          <w14:ligatures w14:val="none"/>
        </w:rPr>
        <w:t xml:space="preserve">. </w:t>
      </w:r>
      <w:r w:rsidR="00922614">
        <w:rPr>
          <w:rFonts w:asciiTheme="majorBidi" w:hAnsiTheme="majorBidi" w:cstheme="majorBidi"/>
          <w:kern w:val="0"/>
          <w:szCs w:val="24"/>
          <w14:ligatures w14:val="none"/>
        </w:rPr>
        <w:t>T</w:t>
      </w:r>
      <w:r>
        <w:rPr>
          <w:rFonts w:asciiTheme="majorBidi" w:hAnsiTheme="majorBidi" w:cstheme="majorBidi"/>
          <w:kern w:val="0"/>
          <w:szCs w:val="24"/>
          <w14:ligatures w14:val="none"/>
        </w:rPr>
        <w:t xml:space="preserve">iesas secinājumi pamatoti ar </w:t>
      </w:r>
      <w:r w:rsidRPr="00990F3C">
        <w:rPr>
          <w:rFonts w:asciiTheme="majorBidi" w:hAnsiTheme="majorBidi" w:cstheme="majorBidi"/>
          <w:kern w:val="0"/>
          <w:szCs w:val="24"/>
          <w14:ligatures w14:val="none"/>
        </w:rPr>
        <w:t>ierakstīt</w:t>
      </w:r>
      <w:r>
        <w:rPr>
          <w:rFonts w:asciiTheme="majorBidi" w:hAnsiTheme="majorBidi" w:cstheme="majorBidi"/>
          <w:kern w:val="0"/>
          <w:szCs w:val="24"/>
          <w14:ligatures w14:val="none"/>
        </w:rPr>
        <w:t>o</w:t>
      </w:r>
      <w:r w:rsidRPr="00990F3C">
        <w:rPr>
          <w:rFonts w:asciiTheme="majorBidi" w:hAnsiTheme="majorBidi" w:cstheme="majorBidi"/>
          <w:kern w:val="0"/>
          <w:szCs w:val="24"/>
          <w14:ligatures w14:val="none"/>
        </w:rPr>
        <w:t xml:space="preserve"> sarun</w:t>
      </w:r>
      <w:r>
        <w:rPr>
          <w:rFonts w:asciiTheme="majorBidi" w:hAnsiTheme="majorBidi" w:cstheme="majorBidi"/>
          <w:kern w:val="0"/>
          <w:szCs w:val="24"/>
          <w14:ligatures w14:val="none"/>
        </w:rPr>
        <w:t>u</w:t>
      </w:r>
      <w:r w:rsidRPr="00990F3C">
        <w:rPr>
          <w:rFonts w:asciiTheme="majorBidi" w:hAnsiTheme="majorBidi" w:cstheme="majorBidi"/>
          <w:kern w:val="0"/>
          <w:szCs w:val="24"/>
          <w14:ligatures w14:val="none"/>
        </w:rPr>
        <w:t xml:space="preserve"> speciālā izmeklēšanas eksperimenta</w:t>
      </w:r>
      <w:r>
        <w:rPr>
          <w:rFonts w:asciiTheme="majorBidi" w:hAnsiTheme="majorBidi" w:cstheme="majorBidi"/>
          <w:kern w:val="0"/>
          <w:szCs w:val="24"/>
          <w14:ligatures w14:val="none"/>
        </w:rPr>
        <w:t xml:space="preserve"> </w:t>
      </w:r>
      <w:r w:rsidRPr="00990F3C">
        <w:rPr>
          <w:rFonts w:asciiTheme="majorBidi" w:hAnsiTheme="majorBidi" w:cstheme="majorBidi"/>
          <w:kern w:val="0"/>
          <w:szCs w:val="24"/>
          <w14:ligatures w14:val="none"/>
        </w:rPr>
        <w:t>laikā</w:t>
      </w:r>
      <w:r w:rsidR="00922614">
        <w:rPr>
          <w:rFonts w:asciiTheme="majorBidi" w:hAnsiTheme="majorBidi" w:cstheme="majorBidi"/>
          <w:kern w:val="0"/>
          <w:szCs w:val="24"/>
          <w14:ligatures w14:val="none"/>
        </w:rPr>
        <w:t xml:space="preserve"> saturu</w:t>
      </w:r>
      <w:r>
        <w:rPr>
          <w:rFonts w:asciiTheme="majorBidi" w:hAnsiTheme="majorBidi" w:cstheme="majorBidi"/>
          <w:kern w:val="0"/>
          <w:szCs w:val="24"/>
          <w14:ligatures w14:val="none"/>
        </w:rPr>
        <w:t xml:space="preserve">, </w:t>
      </w:r>
      <w:r w:rsidR="004B560F">
        <w:rPr>
          <w:rFonts w:asciiTheme="majorBidi" w:hAnsiTheme="majorBidi" w:cstheme="majorBidi"/>
          <w:kern w:val="0"/>
          <w:szCs w:val="24"/>
          <w14:ligatures w14:val="none"/>
        </w:rPr>
        <w:t xml:space="preserve">ziņām par </w:t>
      </w:r>
      <w:r w:rsidR="00253BD2">
        <w:rPr>
          <w:rFonts w:asciiTheme="majorBidi" w:hAnsiTheme="majorBidi" w:cstheme="majorBidi"/>
          <w:kern w:val="0"/>
          <w:szCs w:val="24"/>
          <w14:ligatures w14:val="none"/>
        </w:rPr>
        <w:t>[pers. A]</w:t>
      </w:r>
      <w:r w:rsidR="004B560F">
        <w:rPr>
          <w:rFonts w:asciiTheme="majorBidi" w:hAnsiTheme="majorBidi" w:cstheme="majorBidi"/>
          <w:kern w:val="0"/>
          <w:szCs w:val="24"/>
          <w14:ligatures w14:val="none"/>
        </w:rPr>
        <w:t xml:space="preserve"> izglītību un darba pieredzi, saraksti starp Latvijas Ārlietu ministrijas Konsulāro departamentu, Latvijas Tūrisma aģentu asociāciju un šīs asociācijas biedriem, t.sk. </w:t>
      </w:r>
      <w:r w:rsidR="004B560F" w:rsidRPr="004B560F">
        <w:rPr>
          <w:rFonts w:asciiTheme="majorBidi" w:hAnsiTheme="majorBidi" w:cstheme="majorBidi"/>
          <w:kern w:val="0"/>
          <w:szCs w:val="24"/>
          <w14:ligatures w14:val="none"/>
        </w:rPr>
        <w:t>SIA</w:t>
      </w:r>
      <w:r w:rsidR="001215FC">
        <w:rPr>
          <w:rFonts w:asciiTheme="majorBidi" w:hAnsiTheme="majorBidi" w:cstheme="majorBidi"/>
          <w:kern w:val="0"/>
          <w:szCs w:val="24"/>
          <w14:ligatures w14:val="none"/>
        </w:rPr>
        <w:t> ,,</w:t>
      </w:r>
      <w:r w:rsidR="00253BD2">
        <w:rPr>
          <w:rFonts w:asciiTheme="majorBidi" w:hAnsiTheme="majorBidi" w:cstheme="majorBidi"/>
          <w:kern w:val="0"/>
          <w:szCs w:val="24"/>
          <w14:ligatures w14:val="none"/>
        </w:rPr>
        <w:t>[N</w:t>
      </w:r>
      <w:r w:rsidR="00304C3F">
        <w:rPr>
          <w:rFonts w:asciiTheme="majorBidi" w:hAnsiTheme="majorBidi" w:cstheme="majorBidi"/>
          <w:kern w:val="0"/>
          <w:szCs w:val="24"/>
          <w14:ligatures w14:val="none"/>
        </w:rPr>
        <w:t>osaukums</w:t>
      </w:r>
      <w:r w:rsidR="00253BD2">
        <w:rPr>
          <w:rFonts w:asciiTheme="majorBidi" w:hAnsiTheme="majorBidi" w:cstheme="majorBidi"/>
          <w:kern w:val="0"/>
          <w:szCs w:val="24"/>
          <w14:ligatures w14:val="none"/>
        </w:rPr>
        <w:t> B]</w:t>
      </w:r>
      <w:r w:rsidR="004B560F" w:rsidRPr="004B560F">
        <w:rPr>
          <w:rFonts w:asciiTheme="majorBidi" w:hAnsiTheme="majorBidi" w:cstheme="majorBidi"/>
          <w:kern w:val="0"/>
          <w:szCs w:val="24"/>
          <w14:ligatures w14:val="none"/>
        </w:rPr>
        <w:t>”</w:t>
      </w:r>
      <w:r w:rsidR="004B560F">
        <w:rPr>
          <w:rFonts w:asciiTheme="majorBidi" w:hAnsiTheme="majorBidi" w:cstheme="majorBidi"/>
          <w:kern w:val="0"/>
          <w:szCs w:val="24"/>
          <w14:ligatures w14:val="none"/>
        </w:rPr>
        <w:t xml:space="preserve">, </w:t>
      </w:r>
      <w:r w:rsidR="00217284">
        <w:rPr>
          <w:rFonts w:asciiTheme="majorBidi" w:hAnsiTheme="majorBidi" w:cstheme="majorBidi"/>
          <w:kern w:val="0"/>
          <w:szCs w:val="24"/>
          <w14:ligatures w14:val="none"/>
        </w:rPr>
        <w:t xml:space="preserve">kā arī </w:t>
      </w:r>
      <w:r w:rsidR="004B560F">
        <w:rPr>
          <w:rFonts w:asciiTheme="majorBidi" w:hAnsiTheme="majorBidi" w:cstheme="majorBidi"/>
          <w:kern w:val="0"/>
          <w:szCs w:val="24"/>
          <w14:ligatures w14:val="none"/>
        </w:rPr>
        <w:t xml:space="preserve">liecinieku </w:t>
      </w:r>
      <w:r w:rsidR="00304C3F">
        <w:rPr>
          <w:rFonts w:asciiTheme="majorBidi" w:hAnsiTheme="majorBidi" w:cstheme="majorBidi"/>
          <w:kern w:val="0"/>
          <w:szCs w:val="24"/>
          <w14:ligatures w14:val="none"/>
        </w:rPr>
        <w:t>[pers. D]</w:t>
      </w:r>
      <w:r w:rsidR="004B560F">
        <w:rPr>
          <w:rFonts w:asciiTheme="majorBidi" w:hAnsiTheme="majorBidi" w:cstheme="majorBidi"/>
          <w:kern w:val="0"/>
          <w:szCs w:val="24"/>
          <w14:ligatures w14:val="none"/>
        </w:rPr>
        <w:t xml:space="preserve">, </w:t>
      </w:r>
      <w:r w:rsidR="00304C3F">
        <w:rPr>
          <w:rFonts w:asciiTheme="majorBidi" w:hAnsiTheme="majorBidi" w:cstheme="majorBidi"/>
          <w:kern w:val="0"/>
          <w:szCs w:val="24"/>
          <w14:ligatures w14:val="none"/>
        </w:rPr>
        <w:t>[pers. E]</w:t>
      </w:r>
      <w:r w:rsidR="004B560F">
        <w:rPr>
          <w:rFonts w:asciiTheme="majorBidi" w:hAnsiTheme="majorBidi" w:cstheme="majorBidi"/>
          <w:kern w:val="0"/>
          <w:szCs w:val="24"/>
          <w14:ligatures w14:val="none"/>
        </w:rPr>
        <w:t xml:space="preserve">, </w:t>
      </w:r>
      <w:r w:rsidR="004F6DA8">
        <w:rPr>
          <w:rFonts w:asciiTheme="majorBidi" w:hAnsiTheme="majorBidi" w:cstheme="majorBidi"/>
          <w:kern w:val="0"/>
          <w:szCs w:val="24"/>
          <w14:ligatures w14:val="none"/>
        </w:rPr>
        <w:t>[pers. B]</w:t>
      </w:r>
      <w:r w:rsidR="004B560F">
        <w:rPr>
          <w:rFonts w:asciiTheme="majorBidi" w:hAnsiTheme="majorBidi" w:cstheme="majorBidi"/>
          <w:kern w:val="0"/>
          <w:szCs w:val="24"/>
          <w14:ligatures w14:val="none"/>
        </w:rPr>
        <w:t xml:space="preserve"> liecībām.</w:t>
      </w:r>
    </w:p>
    <w:p w14:paraId="0A942865" w14:textId="0C2B7B2C" w:rsidR="00990F3C" w:rsidRDefault="00922614" w:rsidP="00B3293C">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Senāts atzīst, ka</w:t>
      </w:r>
      <w:r w:rsidR="00217284">
        <w:rPr>
          <w:rFonts w:asciiTheme="majorBidi" w:hAnsiTheme="majorBidi" w:cstheme="majorBidi"/>
          <w:kern w:val="0"/>
          <w:szCs w:val="24"/>
          <w14:ligatures w14:val="none"/>
        </w:rPr>
        <w:t xml:space="preserve"> kasācijas sūdzībās izteiktie iebildumi ir </w:t>
      </w:r>
      <w:r w:rsidR="00222E49">
        <w:rPr>
          <w:rFonts w:asciiTheme="majorBidi" w:hAnsiTheme="majorBidi" w:cstheme="majorBidi"/>
          <w:kern w:val="0"/>
          <w:szCs w:val="24"/>
          <w14:ligatures w14:val="none"/>
        </w:rPr>
        <w:t xml:space="preserve">motivēti ar nepiekrišanu tiesas izdarītajiem atzinumiem. Saskaņā ar Kriminālprocesa likuma 569. panta trešo daļu Senāts pierādījumus lietā no jauna neizvērtē. </w:t>
      </w:r>
    </w:p>
    <w:p w14:paraId="1F946E47" w14:textId="13CA3E07" w:rsidR="004B560F" w:rsidRPr="00F24833" w:rsidRDefault="004B560F" w:rsidP="00F24833">
      <w:pPr>
        <w:ind w:firstLine="680"/>
        <w:rPr>
          <w:rFonts w:asciiTheme="majorBidi" w:hAnsiTheme="majorBidi" w:cstheme="majorBidi"/>
          <w:i/>
          <w:iCs/>
          <w:kern w:val="0"/>
          <w:szCs w:val="24"/>
          <w14:ligatures w14:val="none"/>
        </w:rPr>
      </w:pPr>
      <w:r>
        <w:rPr>
          <w:rFonts w:asciiTheme="majorBidi" w:hAnsiTheme="majorBidi" w:cstheme="majorBidi"/>
          <w:kern w:val="0"/>
          <w:szCs w:val="24"/>
          <w14:ligatures w14:val="none"/>
        </w:rPr>
        <w:t>[</w:t>
      </w:r>
      <w:r w:rsidR="000C63D3">
        <w:rPr>
          <w:rFonts w:asciiTheme="majorBidi" w:hAnsiTheme="majorBidi" w:cstheme="majorBidi"/>
          <w:kern w:val="0"/>
          <w:szCs w:val="24"/>
          <w14:ligatures w14:val="none"/>
        </w:rPr>
        <w:t>8</w:t>
      </w:r>
      <w:r>
        <w:rPr>
          <w:rFonts w:asciiTheme="majorBidi" w:hAnsiTheme="majorBidi" w:cstheme="majorBidi"/>
          <w:kern w:val="0"/>
          <w:szCs w:val="24"/>
          <w14:ligatures w14:val="none"/>
        </w:rPr>
        <w:t>.</w:t>
      </w:r>
      <w:r w:rsidR="00CA5B2E">
        <w:rPr>
          <w:rFonts w:asciiTheme="majorBidi" w:hAnsiTheme="majorBidi" w:cstheme="majorBidi"/>
          <w:kern w:val="0"/>
          <w:szCs w:val="24"/>
          <w14:ligatures w14:val="none"/>
        </w:rPr>
        <w:t>2</w:t>
      </w:r>
      <w:r>
        <w:rPr>
          <w:rFonts w:asciiTheme="majorBidi" w:hAnsiTheme="majorBidi" w:cstheme="majorBidi"/>
          <w:kern w:val="0"/>
          <w:szCs w:val="24"/>
          <w14:ligatures w14:val="none"/>
        </w:rPr>
        <w:t>]</w:t>
      </w:r>
      <w:r w:rsidR="001215FC">
        <w:rPr>
          <w:rFonts w:asciiTheme="majorBidi" w:hAnsiTheme="majorBidi" w:cstheme="majorBidi"/>
          <w:kern w:val="0"/>
          <w:szCs w:val="24"/>
          <w14:ligatures w14:val="none"/>
        </w:rPr>
        <w:t> </w:t>
      </w:r>
      <w:r>
        <w:rPr>
          <w:rFonts w:asciiTheme="majorBidi" w:hAnsiTheme="majorBidi" w:cstheme="majorBidi"/>
          <w:kern w:val="0"/>
          <w:szCs w:val="24"/>
          <w14:ligatures w14:val="none"/>
        </w:rPr>
        <w:t xml:space="preserve">Apelācijas instances tiesa spriedumā arī norādījusi, ka </w:t>
      </w:r>
      <w:r w:rsidRPr="004B560F">
        <w:rPr>
          <w:rFonts w:asciiTheme="majorBidi" w:hAnsiTheme="majorBidi" w:cstheme="majorBidi"/>
          <w:kern w:val="0"/>
          <w:szCs w:val="24"/>
          <w14:ligatures w14:val="none"/>
        </w:rPr>
        <w:t>no Latvijas Republikas Ārlietu ministrijas sniegtās informācijas izriet, ka</w:t>
      </w:r>
      <w:r>
        <w:rPr>
          <w:rFonts w:asciiTheme="majorBidi" w:hAnsiTheme="majorBidi" w:cstheme="majorBidi"/>
          <w:kern w:val="0"/>
          <w:szCs w:val="24"/>
          <w14:ligatures w14:val="none"/>
        </w:rPr>
        <w:t xml:space="preserve"> </w:t>
      </w:r>
      <w:r w:rsidRPr="004B560F">
        <w:rPr>
          <w:rFonts w:asciiTheme="majorBidi" w:hAnsiTheme="majorBidi" w:cstheme="majorBidi"/>
          <w:kern w:val="0"/>
          <w:szCs w:val="24"/>
          <w14:ligatures w14:val="none"/>
        </w:rPr>
        <w:t>saskaņā ar Līgumu par ES Darbību 297.</w:t>
      </w:r>
      <w:r w:rsidR="001215FC">
        <w:rPr>
          <w:rFonts w:asciiTheme="majorBidi" w:hAnsiTheme="majorBidi" w:cstheme="majorBidi"/>
          <w:kern w:val="0"/>
          <w:szCs w:val="24"/>
          <w14:ligatures w14:val="none"/>
        </w:rPr>
        <w:t> </w:t>
      </w:r>
      <w:r w:rsidRPr="004B560F">
        <w:rPr>
          <w:rFonts w:asciiTheme="majorBidi" w:hAnsiTheme="majorBidi" w:cstheme="majorBidi"/>
          <w:kern w:val="0"/>
          <w:szCs w:val="24"/>
          <w14:ligatures w14:val="none"/>
        </w:rPr>
        <w:t>pantu, leģislatīvos aktus publicē ES Oficiālajā</w:t>
      </w:r>
      <w:r>
        <w:rPr>
          <w:rFonts w:asciiTheme="majorBidi" w:hAnsiTheme="majorBidi" w:cstheme="majorBidi"/>
          <w:kern w:val="0"/>
          <w:szCs w:val="24"/>
          <w14:ligatures w14:val="none"/>
        </w:rPr>
        <w:t xml:space="preserve"> </w:t>
      </w:r>
      <w:r w:rsidRPr="004B560F">
        <w:rPr>
          <w:rFonts w:asciiTheme="majorBidi" w:hAnsiTheme="majorBidi" w:cstheme="majorBidi"/>
          <w:kern w:val="0"/>
          <w:szCs w:val="24"/>
          <w14:ligatures w14:val="none"/>
        </w:rPr>
        <w:t>Vēstnesī un kopš 2013.</w:t>
      </w:r>
      <w:r w:rsidR="001215FC">
        <w:rPr>
          <w:rFonts w:asciiTheme="majorBidi" w:hAnsiTheme="majorBidi" w:cstheme="majorBidi"/>
          <w:kern w:val="0"/>
          <w:szCs w:val="24"/>
          <w14:ligatures w14:val="none"/>
        </w:rPr>
        <w:t> </w:t>
      </w:r>
      <w:r w:rsidRPr="004B560F">
        <w:rPr>
          <w:rFonts w:asciiTheme="majorBidi" w:hAnsiTheme="majorBidi" w:cstheme="majorBidi"/>
          <w:kern w:val="0"/>
          <w:szCs w:val="24"/>
          <w14:ligatures w14:val="none"/>
        </w:rPr>
        <w:t>gada 1.</w:t>
      </w:r>
      <w:r w:rsidR="001215FC">
        <w:rPr>
          <w:rFonts w:asciiTheme="majorBidi" w:hAnsiTheme="majorBidi" w:cstheme="majorBidi"/>
          <w:kern w:val="0"/>
          <w:szCs w:val="24"/>
          <w14:ligatures w14:val="none"/>
        </w:rPr>
        <w:t> </w:t>
      </w:r>
      <w:r w:rsidRPr="004B560F">
        <w:rPr>
          <w:rFonts w:asciiTheme="majorBidi" w:hAnsiTheme="majorBidi" w:cstheme="majorBidi"/>
          <w:kern w:val="0"/>
          <w:szCs w:val="24"/>
          <w14:ligatures w14:val="none"/>
        </w:rPr>
        <w:t>jūlija tā elektroniskā versija ir uzskatāma par autentisku un tai ir juridisks spēks (</w:t>
      </w:r>
      <w:r w:rsidR="00F24833" w:rsidRPr="00F24833">
        <w:rPr>
          <w:rFonts w:asciiTheme="majorBidi" w:hAnsiTheme="majorBidi" w:cstheme="majorBidi"/>
          <w:i/>
          <w:iCs/>
          <w:kern w:val="0"/>
          <w:szCs w:val="24"/>
          <w14:ligatures w14:val="none"/>
        </w:rPr>
        <w:t>Pieejams:</w:t>
      </w:r>
      <w:r w:rsidR="00F24833">
        <w:rPr>
          <w:rFonts w:asciiTheme="majorBidi" w:hAnsiTheme="majorBidi" w:cstheme="majorBidi"/>
          <w:kern w:val="0"/>
          <w:szCs w:val="24"/>
          <w14:ligatures w14:val="none"/>
        </w:rPr>
        <w:t xml:space="preserve"> </w:t>
      </w:r>
      <w:hyperlink r:id="rId12" w:history="1">
        <w:r w:rsidR="00F24833" w:rsidRPr="007149CE">
          <w:rPr>
            <w:rStyle w:val="Hyperlink"/>
            <w:rFonts w:asciiTheme="majorBidi" w:hAnsiTheme="majorBidi" w:cstheme="majorBidi"/>
            <w:i/>
            <w:iCs/>
            <w:kern w:val="0"/>
            <w:szCs w:val="24"/>
            <w14:ligatures w14:val="none"/>
          </w:rPr>
          <w:t>http://eur-lex.europa.eu/oj/directaccess.html</w:t>
        </w:r>
      </w:hyperlink>
      <w:r w:rsidR="00F24833">
        <w:rPr>
          <w:rFonts w:asciiTheme="majorBidi" w:hAnsiTheme="majorBidi" w:cstheme="majorBidi"/>
          <w:kern w:val="0"/>
          <w:szCs w:val="24"/>
          <w14:ligatures w14:val="none"/>
        </w:rPr>
        <w:t>)</w:t>
      </w:r>
      <w:r w:rsidRPr="004B560F">
        <w:rPr>
          <w:rFonts w:asciiTheme="majorBidi" w:hAnsiTheme="majorBidi" w:cstheme="majorBidi"/>
          <w:kern w:val="0"/>
          <w:szCs w:val="24"/>
          <w14:ligatures w14:val="none"/>
        </w:rPr>
        <w:t xml:space="preserve"> Eiropas Savienības regulas ir tieši piemērojamas un saistošas visām fiziskām un juridiskām personām Eiropas</w:t>
      </w:r>
      <w:r>
        <w:rPr>
          <w:rFonts w:asciiTheme="majorBidi" w:hAnsiTheme="majorBidi" w:cstheme="majorBidi"/>
          <w:kern w:val="0"/>
          <w:szCs w:val="24"/>
          <w14:ligatures w14:val="none"/>
        </w:rPr>
        <w:t xml:space="preserve"> </w:t>
      </w:r>
      <w:r w:rsidRPr="004B560F">
        <w:rPr>
          <w:rFonts w:asciiTheme="majorBidi" w:hAnsiTheme="majorBidi" w:cstheme="majorBidi"/>
          <w:kern w:val="0"/>
          <w:szCs w:val="24"/>
          <w14:ligatures w14:val="none"/>
        </w:rPr>
        <w:t>Savienības</w:t>
      </w:r>
      <w:r>
        <w:rPr>
          <w:rFonts w:asciiTheme="majorBidi" w:hAnsiTheme="majorBidi" w:cstheme="majorBidi"/>
          <w:kern w:val="0"/>
          <w:szCs w:val="24"/>
          <w14:ligatures w14:val="none"/>
        </w:rPr>
        <w:t xml:space="preserve"> </w:t>
      </w:r>
      <w:r w:rsidRPr="004B560F">
        <w:rPr>
          <w:rFonts w:asciiTheme="majorBidi" w:hAnsiTheme="majorBidi" w:cstheme="majorBidi"/>
          <w:kern w:val="0"/>
          <w:szCs w:val="24"/>
          <w14:ligatures w14:val="none"/>
        </w:rPr>
        <w:t xml:space="preserve">dalībvalstīs, kā arī tās ir pieejamas latviešu valodā. Ārlietu ministrijas mājaslapas sadaļā </w:t>
      </w:r>
      <w:r w:rsidR="001215FC">
        <w:rPr>
          <w:rFonts w:asciiTheme="majorBidi" w:hAnsiTheme="majorBidi" w:cstheme="majorBidi"/>
          <w:kern w:val="0"/>
          <w:szCs w:val="24"/>
          <w14:ligatures w14:val="none"/>
        </w:rPr>
        <w:t>,,</w:t>
      </w:r>
      <w:r w:rsidRPr="004B560F">
        <w:rPr>
          <w:rFonts w:asciiTheme="majorBidi" w:hAnsiTheme="majorBidi" w:cstheme="majorBidi"/>
          <w:kern w:val="0"/>
          <w:szCs w:val="24"/>
          <w14:ligatures w14:val="none"/>
        </w:rPr>
        <w:t>Sankcijas”, ir publicēta informācija par sankciju veidiem, sankciju</w:t>
      </w:r>
      <w:r>
        <w:rPr>
          <w:rFonts w:asciiTheme="majorBidi" w:hAnsiTheme="majorBidi" w:cstheme="majorBidi"/>
          <w:kern w:val="0"/>
          <w:szCs w:val="24"/>
          <w14:ligatures w14:val="none"/>
        </w:rPr>
        <w:t xml:space="preserve"> </w:t>
      </w:r>
      <w:r w:rsidRPr="004B560F">
        <w:rPr>
          <w:rFonts w:asciiTheme="majorBidi" w:hAnsiTheme="majorBidi" w:cstheme="majorBidi"/>
          <w:kern w:val="0"/>
          <w:szCs w:val="24"/>
          <w14:ligatures w14:val="none"/>
        </w:rPr>
        <w:t>režīmiem, kā arī aktuālie sankciju saraksti.</w:t>
      </w:r>
      <w:r>
        <w:rPr>
          <w:rFonts w:asciiTheme="majorBidi" w:hAnsiTheme="majorBidi" w:cstheme="majorBidi"/>
          <w:kern w:val="0"/>
          <w:szCs w:val="24"/>
          <w14:ligatures w14:val="none"/>
        </w:rPr>
        <w:t xml:space="preserve"> </w:t>
      </w:r>
    </w:p>
    <w:p w14:paraId="6990F8D2" w14:textId="2EF7E842" w:rsidR="00990F3C" w:rsidRDefault="00B3293C" w:rsidP="00990F3C">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 xml:space="preserve">Līdz ar to </w:t>
      </w:r>
      <w:r w:rsidR="00012522">
        <w:rPr>
          <w:rFonts w:asciiTheme="majorBidi" w:hAnsiTheme="majorBidi" w:cstheme="majorBidi"/>
          <w:kern w:val="0"/>
          <w:szCs w:val="24"/>
          <w14:ligatures w14:val="none"/>
        </w:rPr>
        <w:t>pat personas k</w:t>
      </w:r>
      <w:r w:rsidR="00217284">
        <w:rPr>
          <w:rFonts w:asciiTheme="majorBidi" w:hAnsiTheme="majorBidi" w:cstheme="majorBidi"/>
          <w:kern w:val="0"/>
          <w:szCs w:val="24"/>
          <w14:ligatures w14:val="none"/>
        </w:rPr>
        <w:t xml:space="preserve">ļūdains priekšstats par to, vai </w:t>
      </w:r>
      <w:r w:rsidR="00012522">
        <w:rPr>
          <w:rFonts w:asciiTheme="majorBidi" w:hAnsiTheme="majorBidi" w:cstheme="majorBidi"/>
          <w:kern w:val="0"/>
          <w:szCs w:val="24"/>
          <w14:ligatures w14:val="none"/>
        </w:rPr>
        <w:t>tās</w:t>
      </w:r>
      <w:r w:rsidR="00217284">
        <w:rPr>
          <w:rFonts w:asciiTheme="majorBidi" w:hAnsiTheme="majorBidi" w:cstheme="majorBidi"/>
          <w:kern w:val="0"/>
          <w:szCs w:val="24"/>
          <w14:ligatures w14:val="none"/>
        </w:rPr>
        <w:t xml:space="preserve"> darbībā vai bezd</w:t>
      </w:r>
      <w:r w:rsidR="00012522">
        <w:rPr>
          <w:rFonts w:asciiTheme="majorBidi" w:hAnsiTheme="majorBidi" w:cstheme="majorBidi"/>
          <w:kern w:val="0"/>
          <w:szCs w:val="24"/>
          <w14:ligatures w14:val="none"/>
        </w:rPr>
        <w:t>a</w:t>
      </w:r>
      <w:r w:rsidR="00217284">
        <w:rPr>
          <w:rFonts w:asciiTheme="majorBidi" w:hAnsiTheme="majorBidi" w:cstheme="majorBidi"/>
          <w:kern w:val="0"/>
          <w:szCs w:val="24"/>
          <w14:ligatures w14:val="none"/>
        </w:rPr>
        <w:t>rbībā</w:t>
      </w:r>
      <w:r w:rsidR="00012522">
        <w:rPr>
          <w:rFonts w:asciiTheme="majorBidi" w:hAnsiTheme="majorBidi" w:cstheme="majorBidi"/>
          <w:kern w:val="0"/>
          <w:szCs w:val="24"/>
          <w14:ligatures w14:val="none"/>
        </w:rPr>
        <w:t xml:space="preserve"> ir vai nav noziedzīga nodarījuma sastāvs, neatbrīvo viņu no atbildības, ja faktiski ir izdarīts noziedzīgs nodarījums. Spēkā esošu normatīvo aktu, t.sk. Eiropas Savienības regulas noteikumu, nezināšana vai kļūdains priekšstats par savas rīcības tiesiskumu personu neatbrīvo no atbildības. </w:t>
      </w:r>
    </w:p>
    <w:p w14:paraId="3AA71C4A" w14:textId="5E458953" w:rsidR="00012522" w:rsidRPr="00011CD9" w:rsidRDefault="00012522" w:rsidP="00011CD9">
      <w:pPr>
        <w:ind w:firstLine="680"/>
        <w:rPr>
          <w:rFonts w:asciiTheme="majorBidi" w:hAnsiTheme="majorBidi" w:cstheme="majorBidi"/>
          <w:kern w:val="0"/>
          <w:szCs w:val="24"/>
          <w14:ligatures w14:val="none"/>
        </w:rPr>
      </w:pPr>
      <w:r>
        <w:rPr>
          <w:rFonts w:asciiTheme="majorBidi" w:hAnsiTheme="majorBidi" w:cstheme="majorBidi"/>
          <w:kern w:val="0"/>
          <w:szCs w:val="24"/>
          <w14:ligatures w14:val="none"/>
        </w:rPr>
        <w:t>[</w:t>
      </w:r>
      <w:r w:rsidR="000C63D3">
        <w:rPr>
          <w:rFonts w:asciiTheme="majorBidi" w:hAnsiTheme="majorBidi" w:cstheme="majorBidi"/>
          <w:kern w:val="0"/>
          <w:szCs w:val="24"/>
          <w14:ligatures w14:val="none"/>
        </w:rPr>
        <w:t>8</w:t>
      </w:r>
      <w:r>
        <w:rPr>
          <w:rFonts w:asciiTheme="majorBidi" w:hAnsiTheme="majorBidi" w:cstheme="majorBidi"/>
          <w:kern w:val="0"/>
          <w:szCs w:val="24"/>
          <w14:ligatures w14:val="none"/>
        </w:rPr>
        <w:t>.</w:t>
      </w:r>
      <w:r w:rsidR="00CA5B2E">
        <w:rPr>
          <w:rFonts w:asciiTheme="majorBidi" w:hAnsiTheme="majorBidi" w:cstheme="majorBidi"/>
          <w:kern w:val="0"/>
          <w:szCs w:val="24"/>
          <w14:ligatures w14:val="none"/>
        </w:rPr>
        <w:t>3</w:t>
      </w:r>
      <w:r w:rsidR="00011CD9">
        <w:rPr>
          <w:rFonts w:asciiTheme="majorBidi" w:hAnsiTheme="majorBidi" w:cstheme="majorBidi"/>
          <w:kern w:val="0"/>
          <w:szCs w:val="24"/>
          <w14:ligatures w14:val="none"/>
        </w:rPr>
        <w:t>]</w:t>
      </w:r>
      <w:r w:rsidR="00011CD9" w:rsidRPr="00011CD9">
        <w:rPr>
          <w:rFonts w:ascii="Segoe UI" w:eastAsia="Times New Roman" w:hAnsi="Segoe UI" w:cs="Segoe UI"/>
          <w:kern w:val="0"/>
          <w:sz w:val="18"/>
          <w:szCs w:val="18"/>
          <w14:ligatures w14:val="none"/>
        </w:rPr>
        <w:t xml:space="preserve"> </w:t>
      </w:r>
      <w:r w:rsidR="00011CD9" w:rsidRPr="00011CD9">
        <w:rPr>
          <w:rFonts w:asciiTheme="majorBidi" w:hAnsiTheme="majorBidi" w:cstheme="majorBidi"/>
          <w:kern w:val="0"/>
          <w:szCs w:val="24"/>
          <w14:ligatures w14:val="none"/>
        </w:rPr>
        <w:t>Senāts atzīst, ka kasācijās sūdzībā ietvertā norāde uz Kriminālprocesa likuma 125. panta pirmās daļas 4. un 5. punkta nepareizu piemērošanu, konstatējot, ka apsūdzētā zinājusi par ierobežojumiem, kas saistīti ar ceļojumu uz Krimu pārdošanu, ir nepamatota.</w:t>
      </w:r>
      <w:r w:rsidR="00011CD9">
        <w:rPr>
          <w:rFonts w:asciiTheme="majorBidi" w:hAnsiTheme="majorBidi" w:cstheme="majorBidi"/>
          <w:kern w:val="0"/>
          <w:szCs w:val="24"/>
          <w14:ligatures w14:val="none"/>
        </w:rPr>
        <w:t xml:space="preserve"> </w:t>
      </w:r>
      <w:r w:rsidR="00255EC1">
        <w:rPr>
          <w:kern w:val="0"/>
          <w14:ligatures w14:val="none"/>
        </w:rPr>
        <w:t xml:space="preserve">No sprieduma izriet, ka </w:t>
      </w:r>
      <w:r>
        <w:rPr>
          <w:kern w:val="0"/>
          <w14:ligatures w14:val="none"/>
        </w:rPr>
        <w:t>apelācijas instances tiesa</w:t>
      </w:r>
      <w:r w:rsidR="00255EC1">
        <w:rPr>
          <w:kern w:val="0"/>
          <w14:ligatures w14:val="none"/>
        </w:rPr>
        <w:t xml:space="preserve"> </w:t>
      </w:r>
      <w:r w:rsidR="00011CD9">
        <w:rPr>
          <w:kern w:val="0"/>
          <w14:ligatures w14:val="none"/>
        </w:rPr>
        <w:t xml:space="preserve">šo </w:t>
      </w:r>
      <w:r w:rsidR="00255EC1">
        <w:rPr>
          <w:kern w:val="0"/>
          <w14:ligatures w14:val="none"/>
        </w:rPr>
        <w:t>atzinumu ir izdarījusi</w:t>
      </w:r>
      <w:r w:rsidR="00F24833">
        <w:rPr>
          <w:kern w:val="0"/>
          <w14:ligatures w14:val="none"/>
        </w:rPr>
        <w:t>,</w:t>
      </w:r>
      <w:r>
        <w:rPr>
          <w:kern w:val="0"/>
          <w14:ligatures w14:val="none"/>
        </w:rPr>
        <w:t xml:space="preserve"> balstoties uz lietā esošajiem un spriedumā analizētajiem pierādījumiem, nevis izmantojot Kriminālprocesa likuma 125.</w:t>
      </w:r>
      <w:r w:rsidR="00C55A01">
        <w:rPr>
          <w:kern w:val="0"/>
          <w14:ligatures w14:val="none"/>
        </w:rPr>
        <w:t> </w:t>
      </w:r>
      <w:r>
        <w:rPr>
          <w:kern w:val="0"/>
          <w14:ligatures w14:val="none"/>
        </w:rPr>
        <w:t>panta pirmās daļas 4. un 5.</w:t>
      </w:r>
      <w:r w:rsidR="00C55A01">
        <w:rPr>
          <w:kern w:val="0"/>
          <w14:ligatures w14:val="none"/>
        </w:rPr>
        <w:t> </w:t>
      </w:r>
      <w:r>
        <w:rPr>
          <w:kern w:val="0"/>
          <w14:ligatures w14:val="none"/>
        </w:rPr>
        <w:t>punktā minēto fakta legālo prezumpciju.</w:t>
      </w:r>
    </w:p>
    <w:p w14:paraId="78823CFC" w14:textId="3A2DDC9A" w:rsidR="00C91365" w:rsidRDefault="000412B6" w:rsidP="00E924F1">
      <w:pPr>
        <w:ind w:firstLine="680"/>
        <w:rPr>
          <w:kern w:val="0"/>
          <w14:ligatures w14:val="none"/>
        </w:rPr>
      </w:pPr>
      <w:r>
        <w:rPr>
          <w:kern w:val="0"/>
          <w14:ligatures w14:val="none"/>
        </w:rPr>
        <w:t>[</w:t>
      </w:r>
      <w:r w:rsidR="000C63D3">
        <w:rPr>
          <w:kern w:val="0"/>
          <w14:ligatures w14:val="none"/>
        </w:rPr>
        <w:t>8</w:t>
      </w:r>
      <w:r>
        <w:rPr>
          <w:kern w:val="0"/>
          <w14:ligatures w14:val="none"/>
        </w:rPr>
        <w:t>.</w:t>
      </w:r>
      <w:r w:rsidR="00CA5B2E">
        <w:rPr>
          <w:kern w:val="0"/>
          <w14:ligatures w14:val="none"/>
        </w:rPr>
        <w:t>4</w:t>
      </w:r>
      <w:r>
        <w:rPr>
          <w:kern w:val="0"/>
          <w14:ligatures w14:val="none"/>
        </w:rPr>
        <w:t>]</w:t>
      </w:r>
      <w:r w:rsidR="00C55A01">
        <w:rPr>
          <w:kern w:val="0"/>
          <w14:ligatures w14:val="none"/>
        </w:rPr>
        <w:t> </w:t>
      </w:r>
      <w:r w:rsidR="00E924F1" w:rsidRPr="00DF2707">
        <w:rPr>
          <w:kern w:val="0"/>
          <w14:ligatures w14:val="none"/>
        </w:rPr>
        <w:t xml:space="preserve">Senāts konstatē, ka kasācijas sūdzību argumenti </w:t>
      </w:r>
      <w:r w:rsidR="00E924F1">
        <w:rPr>
          <w:kern w:val="0"/>
          <w14:ligatures w14:val="none"/>
        </w:rPr>
        <w:t xml:space="preserve">šajā jautājumā </w:t>
      </w:r>
      <w:r w:rsidR="00E924F1" w:rsidRPr="00DF2707">
        <w:rPr>
          <w:kern w:val="0"/>
          <w14:ligatures w14:val="none"/>
        </w:rPr>
        <w:t>pamatā ir motivēti ar sūdzību autoru atšķirīgo viedokli par lietā esošo pierādījumu vērtējumu un faktiski pauž sūdzību iesniedzēju neapmierinātību ar tiem secinājumiem, kādus izdarījusi apelācijas instances tiesa, izvērtējot lietā esošos pierādījumus, un vērsti uz to, lai panāktu apelācijas instances tiesas nolēmuma atcelšanu nevis juridisku, bet faktisku iemeslu dēļ, kas ir pretrunā ar Kriminālprocesa likuma 569. panta pirmo daļu.</w:t>
      </w:r>
      <w:r w:rsidR="00E924F1">
        <w:rPr>
          <w:kern w:val="0"/>
          <w14:ligatures w14:val="none"/>
        </w:rPr>
        <w:t xml:space="preserve"> </w:t>
      </w:r>
      <w:r w:rsidR="00E924F1" w:rsidRPr="00DF2707">
        <w:rPr>
          <w:kern w:val="0"/>
          <w14:ligatures w14:val="none"/>
        </w:rPr>
        <w:t xml:space="preserve">Citāda pierādījumu </w:t>
      </w:r>
      <w:r w:rsidR="00E924F1" w:rsidRPr="00DF2707">
        <w:rPr>
          <w:kern w:val="0"/>
          <w14:ligatures w14:val="none"/>
        </w:rPr>
        <w:lastRenderedPageBreak/>
        <w:t>vērtēšana, nekā tos ir vērtējusi apelācijas instances tiesa, ja tiesa pierādījumu vērtēšanā nav pieļāvusi Kriminālprocesa likuma būtiskus pārkāpumus, nevar būt par pamatu apelācijas instances tiesas nolēmuma atcelšanai.</w:t>
      </w:r>
      <w:r w:rsidR="00E924F1">
        <w:rPr>
          <w:kern w:val="0"/>
          <w14:ligatures w14:val="none"/>
        </w:rPr>
        <w:t xml:space="preserve"> </w:t>
      </w:r>
    </w:p>
    <w:p w14:paraId="0947FDCE" w14:textId="7CDF15E3" w:rsidR="00E924F1" w:rsidRDefault="00E924F1" w:rsidP="00E924F1">
      <w:pPr>
        <w:ind w:firstLine="680"/>
        <w:rPr>
          <w:kern w:val="0"/>
          <w14:ligatures w14:val="none"/>
        </w:rPr>
      </w:pPr>
      <w:r>
        <w:rPr>
          <w:kern w:val="0"/>
          <w14:ligatures w14:val="none"/>
        </w:rPr>
        <w:t xml:space="preserve">Līdz ar to Senāts nekonstatē </w:t>
      </w:r>
      <w:r>
        <w:rPr>
          <w:rFonts w:asciiTheme="majorBidi" w:hAnsiTheme="majorBidi" w:cstheme="majorBidi"/>
          <w:kern w:val="0"/>
          <w:szCs w:val="24"/>
          <w14:ligatures w14:val="none"/>
        </w:rPr>
        <w:t xml:space="preserve">Kriminālprocesa likuma </w:t>
      </w:r>
      <w:r w:rsidR="00CD574F">
        <w:rPr>
          <w:rFonts w:asciiTheme="majorBidi" w:hAnsiTheme="majorBidi" w:cstheme="majorBidi"/>
          <w:kern w:val="0"/>
          <w:szCs w:val="24"/>
          <w14:ligatures w14:val="none"/>
        </w:rPr>
        <w:t>564</w:t>
      </w:r>
      <w:r>
        <w:rPr>
          <w:rFonts w:asciiTheme="majorBidi" w:hAnsiTheme="majorBidi" w:cstheme="majorBidi"/>
          <w:kern w:val="0"/>
          <w:szCs w:val="24"/>
          <w14:ligatures w14:val="none"/>
        </w:rPr>
        <w:t>.</w:t>
      </w:r>
      <w:r w:rsidR="00C55A01">
        <w:rPr>
          <w:rFonts w:asciiTheme="majorBidi" w:hAnsiTheme="majorBidi" w:cstheme="majorBidi"/>
          <w:kern w:val="0"/>
          <w:szCs w:val="24"/>
          <w14:ligatures w14:val="none"/>
        </w:rPr>
        <w:t> </w:t>
      </w:r>
      <w:r>
        <w:rPr>
          <w:rFonts w:asciiTheme="majorBidi" w:hAnsiTheme="majorBidi" w:cstheme="majorBidi"/>
          <w:kern w:val="0"/>
          <w:szCs w:val="24"/>
          <w14:ligatures w14:val="none"/>
        </w:rPr>
        <w:t xml:space="preserve">panta </w:t>
      </w:r>
      <w:r w:rsidR="00CD574F">
        <w:rPr>
          <w:rFonts w:asciiTheme="majorBidi" w:hAnsiTheme="majorBidi" w:cstheme="majorBidi"/>
          <w:kern w:val="0"/>
          <w:szCs w:val="24"/>
          <w14:ligatures w14:val="none"/>
        </w:rPr>
        <w:t xml:space="preserve">ceturtajā daļā ietverto </w:t>
      </w:r>
      <w:r>
        <w:rPr>
          <w:rFonts w:asciiTheme="majorBidi" w:hAnsiTheme="majorBidi" w:cstheme="majorBidi"/>
          <w:kern w:val="0"/>
          <w:szCs w:val="24"/>
          <w14:ligatures w14:val="none"/>
        </w:rPr>
        <w:t xml:space="preserve">prasību pārkāpumu apelācijas instances tiesas spriedumā jautājumā par apsūdzētās </w:t>
      </w:r>
      <w:r w:rsidR="00253BD2">
        <w:rPr>
          <w:rFonts w:asciiTheme="majorBidi" w:hAnsiTheme="majorBidi" w:cstheme="majorBidi"/>
          <w:kern w:val="0"/>
          <w:szCs w:val="24"/>
          <w14:ligatures w14:val="none"/>
        </w:rPr>
        <w:t>[pers. A]</w:t>
      </w:r>
      <w:r>
        <w:rPr>
          <w:rFonts w:asciiTheme="majorBidi" w:hAnsiTheme="majorBidi" w:cstheme="majorBidi"/>
          <w:kern w:val="0"/>
          <w:szCs w:val="24"/>
          <w14:ligatures w14:val="none"/>
        </w:rPr>
        <w:t xml:space="preserve"> vainas formas pierādīšanu.</w:t>
      </w:r>
    </w:p>
    <w:p w14:paraId="190A64EA" w14:textId="77777777" w:rsidR="002B34EB" w:rsidRDefault="002B34EB" w:rsidP="00DF2707">
      <w:pPr>
        <w:ind w:firstLine="680"/>
        <w:rPr>
          <w:kern w:val="0"/>
          <w14:ligatures w14:val="none"/>
        </w:rPr>
      </w:pPr>
    </w:p>
    <w:p w14:paraId="03123527" w14:textId="3C075467" w:rsidR="00DF7B48" w:rsidRPr="00685A39" w:rsidRDefault="002B34EB" w:rsidP="00685A39">
      <w:pPr>
        <w:ind w:firstLine="680"/>
        <w:rPr>
          <w:rFonts w:ascii="TimesNewRomanPSMT" w:hAnsi="TimesNewRomanPSMT" w:cs="TimesNewRomanPSMT"/>
          <w:szCs w:val="24"/>
        </w:rPr>
      </w:pPr>
      <w:r>
        <w:rPr>
          <w:rFonts w:cs="Times New Roman"/>
          <w:szCs w:val="24"/>
        </w:rPr>
        <w:t>[</w:t>
      </w:r>
      <w:r w:rsidR="000C63D3">
        <w:rPr>
          <w:rFonts w:cs="Times New Roman"/>
          <w:szCs w:val="24"/>
        </w:rPr>
        <w:t>9</w:t>
      </w:r>
      <w:r w:rsidR="00DF7B48">
        <w:rPr>
          <w:rFonts w:cs="Times New Roman"/>
          <w:szCs w:val="24"/>
        </w:rPr>
        <w:t>]</w:t>
      </w:r>
      <w:r w:rsidR="00F24833">
        <w:rPr>
          <w:rFonts w:cs="Times New Roman"/>
          <w:szCs w:val="24"/>
        </w:rPr>
        <w:t> </w:t>
      </w:r>
      <w:r w:rsidR="00A753F1">
        <w:rPr>
          <w:rFonts w:ascii="TimesNewRomanPSMT" w:hAnsi="TimesNewRomanPSMT" w:cs="TimesNewRomanPSMT"/>
          <w:szCs w:val="24"/>
        </w:rPr>
        <w:t>Senāts atzīst, ka kasatoru norāde uz Krimināllikuma 34.</w:t>
      </w:r>
      <w:r w:rsidR="00FB3C94">
        <w:rPr>
          <w:rFonts w:ascii="TimesNewRomanPSMT" w:hAnsi="TimesNewRomanPSMT" w:cs="TimesNewRomanPSMT"/>
          <w:szCs w:val="24"/>
        </w:rPr>
        <w:t> </w:t>
      </w:r>
      <w:r w:rsidR="00A753F1">
        <w:rPr>
          <w:rFonts w:ascii="TimesNewRomanPSMT" w:hAnsi="TimesNewRomanPSMT" w:cs="TimesNewRomanPSMT"/>
          <w:szCs w:val="24"/>
        </w:rPr>
        <w:t>panta nepamatotu nepiemērošanu ir motivēta ar nepiekrišanu tiesas konstatētajiem faktiskajiem apstākļiem.</w:t>
      </w:r>
    </w:p>
    <w:p w14:paraId="30C605B1" w14:textId="755552CD" w:rsidR="00A753F1" w:rsidRDefault="00DF7B48" w:rsidP="00A753F1">
      <w:pPr>
        <w:ind w:firstLine="680"/>
        <w:rPr>
          <w:szCs w:val="24"/>
        </w:rPr>
      </w:pPr>
      <w:r>
        <w:rPr>
          <w:rFonts w:ascii="TimesNewRomanPSMT" w:hAnsi="TimesNewRomanPSMT" w:cs="TimesNewRomanPSMT"/>
          <w:szCs w:val="24"/>
        </w:rPr>
        <w:t>A</w:t>
      </w:r>
      <w:r w:rsidR="009D5ECC">
        <w:rPr>
          <w:rFonts w:ascii="TimesNewRomanPSMT" w:hAnsi="TimesNewRomanPSMT" w:cs="TimesNewRomanPSMT"/>
          <w:szCs w:val="24"/>
        </w:rPr>
        <w:t>pelācijas instances tiesa</w:t>
      </w:r>
      <w:r w:rsidR="00C55A01">
        <w:rPr>
          <w:rFonts w:ascii="TimesNewRomanPSMT" w:hAnsi="TimesNewRomanPSMT" w:cs="TimesNewRomanPSMT"/>
          <w:szCs w:val="24"/>
        </w:rPr>
        <w:t>,</w:t>
      </w:r>
      <w:r w:rsidR="009D5ECC">
        <w:rPr>
          <w:rFonts w:ascii="TimesNewRomanPSMT" w:hAnsi="TimesNewRomanPSMT" w:cs="TimesNewRomanPSMT"/>
          <w:szCs w:val="24"/>
        </w:rPr>
        <w:t xml:space="preserve"> pamatojoties uz lietā pārbaudītajiem pierādījumiem</w:t>
      </w:r>
      <w:r w:rsidR="00C55A01">
        <w:rPr>
          <w:rFonts w:ascii="TimesNewRomanPSMT" w:hAnsi="TimesNewRomanPSMT" w:cs="TimesNewRomanPSMT"/>
          <w:szCs w:val="24"/>
        </w:rPr>
        <w:t>,</w:t>
      </w:r>
      <w:r w:rsidR="009D5ECC">
        <w:rPr>
          <w:rFonts w:ascii="TimesNewRomanPSMT" w:hAnsi="TimesNewRomanPSMT" w:cs="TimesNewRomanPSMT"/>
          <w:szCs w:val="24"/>
        </w:rPr>
        <w:t xml:space="preserve"> ir secinājusi, ka </w:t>
      </w:r>
      <w:r w:rsidR="00253BD2">
        <w:rPr>
          <w:rFonts w:ascii="TimesNewRomanPSMT" w:hAnsi="TimesNewRomanPSMT" w:cs="TimesNewRomanPSMT"/>
          <w:szCs w:val="24"/>
        </w:rPr>
        <w:t>[pers. A]</w:t>
      </w:r>
      <w:r w:rsidR="009D5ECC">
        <w:rPr>
          <w:rFonts w:ascii="TimesNewRomanPSMT" w:hAnsi="TimesNewRomanPSMT" w:cs="TimesNewRomanPSMT"/>
          <w:szCs w:val="24"/>
        </w:rPr>
        <w:t xml:space="preserve"> </w:t>
      </w:r>
      <w:r w:rsidR="009D5ECC">
        <w:rPr>
          <w:szCs w:val="24"/>
        </w:rPr>
        <w:t>Krimināllikuma 84. panta pirmajā daļā paredzēto noziedzīgo nodarījumu ir izdarījusi ar tiešu nodomu, proti, apzinoties savas darbības kaitīgumu un apzināti veicot šo darbību. Savukārt tieša nodoma esība, zināšanas par veicamās darbības prettiesisko raksturu, izslēdz Krimināllikuma 34.</w:t>
      </w:r>
      <w:r w:rsidR="00C55A01">
        <w:rPr>
          <w:szCs w:val="24"/>
        </w:rPr>
        <w:t> </w:t>
      </w:r>
      <w:r w:rsidR="009D5ECC">
        <w:rPr>
          <w:szCs w:val="24"/>
        </w:rPr>
        <w:t xml:space="preserve">pantā paredzētā apstākļa, kas izslēdz kriminālatbildību, konstatēšanu, jo </w:t>
      </w:r>
      <w:r w:rsidR="009D5ECC" w:rsidRPr="009D5ECC">
        <w:rPr>
          <w:szCs w:val="24"/>
        </w:rPr>
        <w:t>noziedzīga rīkojuma izpildīšana personai, kas to izpildījusi, ir attaisnojama tikai tādos gadījumos, ja šī persona nav apzinājusies pavēles vai rīkojuma noziedzīgo raksturu</w:t>
      </w:r>
      <w:r w:rsidR="009D5ECC">
        <w:rPr>
          <w:szCs w:val="24"/>
        </w:rPr>
        <w:t xml:space="preserve">. </w:t>
      </w:r>
    </w:p>
    <w:p w14:paraId="73CF9E28" w14:textId="41534A71" w:rsidR="00A753F1" w:rsidRDefault="00A753F1" w:rsidP="00A753F1">
      <w:pPr>
        <w:ind w:firstLine="680"/>
        <w:rPr>
          <w:szCs w:val="24"/>
        </w:rPr>
      </w:pPr>
      <w:r>
        <w:rPr>
          <w:szCs w:val="24"/>
        </w:rPr>
        <w:t>Pamatojoties uz lietā esošiem pierādījumiem, apelācijas instances tiesa ir motivēti noraidījusi aizstāvības argumentu, ka</w:t>
      </w:r>
      <w:r w:rsidRPr="009D5ECC">
        <w:rPr>
          <w:szCs w:val="24"/>
        </w:rPr>
        <w:t xml:space="preserve"> </w:t>
      </w:r>
      <w:r w:rsidR="00253BD2">
        <w:rPr>
          <w:szCs w:val="24"/>
        </w:rPr>
        <w:t>[pers. A]</w:t>
      </w:r>
      <w:r w:rsidRPr="009D5ECC">
        <w:rPr>
          <w:szCs w:val="24"/>
        </w:rPr>
        <w:t xml:space="preserve"> ir pildījusi darba devēj</w:t>
      </w:r>
      <w:r>
        <w:rPr>
          <w:szCs w:val="24"/>
        </w:rPr>
        <w:t>a</w:t>
      </w:r>
      <w:r w:rsidRPr="009D5ECC">
        <w:rPr>
          <w:szCs w:val="24"/>
        </w:rPr>
        <w:t xml:space="preserve"> rīkojumu organizēt</w:t>
      </w:r>
      <w:r>
        <w:rPr>
          <w:szCs w:val="24"/>
        </w:rPr>
        <w:t xml:space="preserve"> </w:t>
      </w:r>
      <w:r w:rsidRPr="009D5ECC">
        <w:rPr>
          <w:szCs w:val="24"/>
        </w:rPr>
        <w:t>braucienus uz Krimu</w:t>
      </w:r>
      <w:r>
        <w:rPr>
          <w:szCs w:val="24"/>
        </w:rPr>
        <w:t xml:space="preserve">. </w:t>
      </w:r>
    </w:p>
    <w:p w14:paraId="293E5474" w14:textId="77777777" w:rsidR="002B34EB" w:rsidRDefault="002B34EB" w:rsidP="004C73E0">
      <w:pPr>
        <w:ind w:firstLine="0"/>
        <w:rPr>
          <w:rFonts w:ascii="TimesNewRomanPSMT" w:hAnsi="TimesNewRomanPSMT" w:cs="TimesNewRomanPSMT"/>
          <w:szCs w:val="24"/>
        </w:rPr>
      </w:pPr>
    </w:p>
    <w:p w14:paraId="2CCE52B9" w14:textId="04D9C579" w:rsidR="000F55F0" w:rsidRPr="00A01824" w:rsidRDefault="002B34EB" w:rsidP="00685A39">
      <w:pPr>
        <w:ind w:firstLine="680"/>
        <w:rPr>
          <w:szCs w:val="24"/>
        </w:rPr>
      </w:pPr>
      <w:r w:rsidRPr="00A01824">
        <w:rPr>
          <w:rFonts w:ascii="TimesNewRomanPSMT" w:hAnsi="TimesNewRomanPSMT" w:cs="TimesNewRomanPSMT"/>
          <w:szCs w:val="24"/>
        </w:rPr>
        <w:t>[</w:t>
      </w:r>
      <w:r w:rsidR="000C63D3" w:rsidRPr="00A01824">
        <w:rPr>
          <w:rFonts w:ascii="TimesNewRomanPSMT" w:hAnsi="TimesNewRomanPSMT" w:cs="TimesNewRomanPSMT"/>
          <w:szCs w:val="24"/>
        </w:rPr>
        <w:t>10</w:t>
      </w:r>
      <w:r w:rsidRPr="00A01824">
        <w:rPr>
          <w:rFonts w:ascii="TimesNewRomanPSMT" w:hAnsi="TimesNewRomanPSMT" w:cs="TimesNewRomanPSMT"/>
          <w:szCs w:val="24"/>
        </w:rPr>
        <w:t>]</w:t>
      </w:r>
      <w:bookmarkStart w:id="3" w:name="_Hlk203554922"/>
      <w:r w:rsidR="00C55A01" w:rsidRPr="00A01824">
        <w:rPr>
          <w:rFonts w:ascii="TimesNewRomanPSMT" w:hAnsi="TimesNewRomanPSMT" w:cs="TimesNewRomanPSMT"/>
          <w:szCs w:val="24"/>
        </w:rPr>
        <w:t> </w:t>
      </w:r>
      <w:r w:rsidR="00685A39" w:rsidRPr="00A01824">
        <w:rPr>
          <w:rFonts w:ascii="TimesNewRomanPSMT" w:hAnsi="TimesNewRomanPSMT" w:cs="TimesNewRomanPSMT"/>
          <w:szCs w:val="24"/>
        </w:rPr>
        <w:t xml:space="preserve">Senāts atzīst, ka kasācijas sūdzības iesniedzējas </w:t>
      </w:r>
      <w:r w:rsidR="00685A39" w:rsidRPr="00A01824">
        <w:rPr>
          <w:rFonts w:cs="Times New Roman"/>
        </w:rPr>
        <w:t>SIA ,,</w:t>
      </w:r>
      <w:r w:rsidR="00253BD2">
        <w:rPr>
          <w:rFonts w:ascii="TimesNewRomanPSMT" w:hAnsi="TimesNewRomanPSMT" w:cs="TimesNewRomanPSMT"/>
          <w:szCs w:val="24"/>
        </w:rPr>
        <w:t>[Nosaukums A]</w:t>
      </w:r>
      <w:r w:rsidR="00685A39" w:rsidRPr="00A01824">
        <w:rPr>
          <w:rFonts w:ascii="TimesNewRomanPSMT" w:hAnsi="TimesNewRomanPSMT" w:cs="TimesNewRomanPSMT"/>
          <w:szCs w:val="24"/>
        </w:rPr>
        <w:t>”</w:t>
      </w:r>
      <w:r w:rsidR="00685A39" w:rsidRPr="00A01824">
        <w:rPr>
          <w:rFonts w:ascii="TimesNewRomanPSMT" w:hAnsi="TimesNewRomanPSMT" w:cs="TimesNewRomanPSMT"/>
          <w:kern w:val="0"/>
          <w:szCs w:val="24"/>
        </w:rPr>
        <w:t xml:space="preserve"> </w:t>
      </w:r>
      <w:r w:rsidR="00685A39" w:rsidRPr="00A01824">
        <w:rPr>
          <w:rFonts w:ascii="TimesNewRomanPSMT" w:hAnsi="TimesNewRomanPSMT" w:cs="TimesNewRomanPSMT"/>
          <w:szCs w:val="24"/>
        </w:rPr>
        <w:t xml:space="preserve">pārstāves zvērinātas advokātes </w:t>
      </w:r>
      <w:r w:rsidR="00685A39" w:rsidRPr="00A01824">
        <w:rPr>
          <w:rFonts w:asciiTheme="majorBidi" w:hAnsiTheme="majorBidi" w:cstheme="majorBidi"/>
          <w:kern w:val="0"/>
          <w:szCs w:val="24"/>
          <w14:ligatures w14:val="none"/>
        </w:rPr>
        <w:t xml:space="preserve">I. Lauces </w:t>
      </w:r>
      <w:r w:rsidR="00685A39" w:rsidRPr="00A01824">
        <w:rPr>
          <w:rFonts w:ascii="TimesNewRomanPSMT" w:hAnsi="TimesNewRomanPSMT" w:cs="TimesNewRomanPSMT"/>
          <w:szCs w:val="24"/>
        </w:rPr>
        <w:t>norāde uz Krimināllikuma 84.</w:t>
      </w:r>
      <w:r w:rsidR="00FB3C94">
        <w:rPr>
          <w:rFonts w:ascii="TimesNewRomanPSMT" w:hAnsi="TimesNewRomanPSMT" w:cs="TimesNewRomanPSMT"/>
          <w:szCs w:val="24"/>
        </w:rPr>
        <w:t> </w:t>
      </w:r>
      <w:r w:rsidR="00685A39" w:rsidRPr="00A01824">
        <w:rPr>
          <w:rFonts w:ascii="TimesNewRomanPSMT" w:hAnsi="TimesNewRomanPSMT" w:cs="TimesNewRomanPSMT"/>
          <w:szCs w:val="24"/>
        </w:rPr>
        <w:t xml:space="preserve">panta pirmās daļas nepareizu piemērošanu, kvalificējot </w:t>
      </w:r>
      <w:r w:rsidR="00253BD2">
        <w:rPr>
          <w:rFonts w:ascii="TimesNewRomanPSMT" w:hAnsi="TimesNewRomanPSMT" w:cs="TimesNewRomanPSMT"/>
          <w:szCs w:val="24"/>
        </w:rPr>
        <w:t>[pers. A]</w:t>
      </w:r>
      <w:r w:rsidR="00685A39" w:rsidRPr="00A01824">
        <w:rPr>
          <w:rFonts w:ascii="TimesNewRomanPSMT" w:hAnsi="TimesNewRomanPSMT" w:cs="TimesNewRomanPSMT"/>
          <w:szCs w:val="24"/>
        </w:rPr>
        <w:t xml:space="preserve"> darbības kā pabeigtu noziedzīgu nodarījumu, ir nepamatota. </w:t>
      </w:r>
      <w:r w:rsidR="000F55F0" w:rsidRPr="00A01824">
        <w:rPr>
          <w:szCs w:val="24"/>
        </w:rPr>
        <w:t xml:space="preserve">Senāts konstatē, ka apelācijas instances tiesa atzinusi, ka </w:t>
      </w:r>
      <w:bookmarkStart w:id="4" w:name="_Hlk203756217"/>
      <w:r w:rsidR="00253BD2">
        <w:rPr>
          <w:szCs w:val="24"/>
        </w:rPr>
        <w:t>[pers. A]</w:t>
      </w:r>
      <w:r w:rsidR="000F55F0" w:rsidRPr="00A01824">
        <w:rPr>
          <w:szCs w:val="24"/>
        </w:rPr>
        <w:t xml:space="preserve"> </w:t>
      </w:r>
      <w:bookmarkEnd w:id="4"/>
      <w:r w:rsidR="000F55F0" w:rsidRPr="00A01824">
        <w:rPr>
          <w:szCs w:val="24"/>
        </w:rPr>
        <w:t xml:space="preserve">izdarījusi Krimināllikuma 84. panta pirmajā daļā paredzēto noziedzīgo nodarījumu, organizējot vairākus tūrisma braucienus uz Krimu. Tiesa norādījusi, ka </w:t>
      </w:r>
      <w:r w:rsidR="00253BD2">
        <w:rPr>
          <w:szCs w:val="24"/>
        </w:rPr>
        <w:t>[pers. A]</w:t>
      </w:r>
      <w:r w:rsidR="000F55F0" w:rsidRPr="00A01824">
        <w:rPr>
          <w:szCs w:val="24"/>
        </w:rPr>
        <w:t xml:space="preserve"> 2015. gada 22. aprīlī organizējusi vienas personas, bet 2015. gada 24. aprīlī – trīs personu braucienu uz Krimu, kā arī 2015. gada 19. jūnijā viņa mēģinājusi organizēt </w:t>
      </w:r>
      <w:r w:rsidR="005A50E2" w:rsidRPr="00A01824">
        <w:rPr>
          <w:szCs w:val="24"/>
        </w:rPr>
        <w:t>15</w:t>
      </w:r>
      <w:r w:rsidR="000F55F0" w:rsidRPr="00A01824">
        <w:rPr>
          <w:szCs w:val="24"/>
        </w:rPr>
        <w:t xml:space="preserve"> personu braucienu uz Krimu. Šo </w:t>
      </w:r>
      <w:r w:rsidR="005A50E2" w:rsidRPr="00A01824">
        <w:rPr>
          <w:szCs w:val="24"/>
        </w:rPr>
        <w:t>15</w:t>
      </w:r>
      <w:r w:rsidR="000F55F0" w:rsidRPr="00A01824">
        <w:rPr>
          <w:szCs w:val="24"/>
        </w:rPr>
        <w:t xml:space="preserve"> personu braucienu apsūdzētā nevarēja noorganizēt pilnībā, jo tika veikts speciālais izmeklēšanas eksperiments un </w:t>
      </w:r>
      <w:r w:rsidR="00253BD2">
        <w:rPr>
          <w:szCs w:val="24"/>
        </w:rPr>
        <w:t>[pers. A]</w:t>
      </w:r>
      <w:r w:rsidR="000F55F0" w:rsidRPr="00A01824">
        <w:rPr>
          <w:szCs w:val="24"/>
        </w:rPr>
        <w:t xml:space="preserve"> noziedzīgās darbības pārtrauca Drošības policijas amatpersonas.</w:t>
      </w:r>
    </w:p>
    <w:p w14:paraId="02484034" w14:textId="5997DADA" w:rsidR="000F55F0" w:rsidRPr="00917421" w:rsidRDefault="000F55F0" w:rsidP="000F55F0">
      <w:pPr>
        <w:ind w:firstLine="680"/>
        <w:rPr>
          <w:szCs w:val="24"/>
        </w:rPr>
      </w:pPr>
      <w:r w:rsidRPr="00917421">
        <w:rPr>
          <w:kern w:val="0"/>
          <w14:ligatures w14:val="none"/>
        </w:rPr>
        <w:t xml:space="preserve">No tiesas </w:t>
      </w:r>
      <w:r w:rsidR="00CA5B2E" w:rsidRPr="00917421">
        <w:rPr>
          <w:kern w:val="0"/>
          <w14:ligatures w14:val="none"/>
        </w:rPr>
        <w:t xml:space="preserve">konstatētā </w:t>
      </w:r>
      <w:r w:rsidRPr="00917421">
        <w:rPr>
          <w:kern w:val="0"/>
          <w14:ligatures w14:val="none"/>
        </w:rPr>
        <w:t xml:space="preserve">noziedzīgā nodarījuma apraksta, tajā atklājot arī noziedzīgā nodarījuma mēģinājuma faktiskos apstākļus, konstatējams, ka </w:t>
      </w:r>
      <w:r w:rsidR="00253BD2">
        <w:rPr>
          <w:kern w:val="0"/>
          <w14:ligatures w14:val="none"/>
        </w:rPr>
        <w:t>[pers. A]</w:t>
      </w:r>
      <w:r w:rsidRPr="00917421">
        <w:rPr>
          <w:kern w:val="0"/>
          <w14:ligatures w14:val="none"/>
        </w:rPr>
        <w:t xml:space="preserve"> </w:t>
      </w:r>
      <w:r w:rsidR="004C537D" w:rsidRPr="00917421">
        <w:rPr>
          <w:kern w:val="0"/>
          <w14:ligatures w14:val="none"/>
        </w:rPr>
        <w:t>laikā no 2015.</w:t>
      </w:r>
      <w:r w:rsidR="00C84A57" w:rsidRPr="00917421">
        <w:rPr>
          <w:kern w:val="0"/>
          <w14:ligatures w14:val="none"/>
        </w:rPr>
        <w:t> </w:t>
      </w:r>
      <w:r w:rsidR="004C537D" w:rsidRPr="00917421">
        <w:rPr>
          <w:kern w:val="0"/>
          <w14:ligatures w14:val="none"/>
        </w:rPr>
        <w:t>gada 22.</w:t>
      </w:r>
      <w:r w:rsidR="00C84A57" w:rsidRPr="00917421">
        <w:rPr>
          <w:kern w:val="0"/>
          <w14:ligatures w14:val="none"/>
        </w:rPr>
        <w:t> </w:t>
      </w:r>
      <w:r w:rsidR="004C537D" w:rsidRPr="00917421">
        <w:rPr>
          <w:kern w:val="0"/>
          <w14:ligatures w14:val="none"/>
        </w:rPr>
        <w:t>aprīļa līdz 2015.</w:t>
      </w:r>
      <w:r w:rsidR="00C84A57" w:rsidRPr="00917421">
        <w:rPr>
          <w:kern w:val="0"/>
          <w14:ligatures w14:val="none"/>
        </w:rPr>
        <w:t> </w:t>
      </w:r>
      <w:r w:rsidR="004C537D" w:rsidRPr="00917421">
        <w:rPr>
          <w:kern w:val="0"/>
          <w14:ligatures w14:val="none"/>
        </w:rPr>
        <w:t>gada 19.</w:t>
      </w:r>
      <w:r w:rsidR="00C84A57" w:rsidRPr="00917421">
        <w:rPr>
          <w:kern w:val="0"/>
          <w14:ligatures w14:val="none"/>
        </w:rPr>
        <w:t> </w:t>
      </w:r>
      <w:r w:rsidR="004C537D" w:rsidRPr="00917421">
        <w:rPr>
          <w:kern w:val="0"/>
          <w14:ligatures w14:val="none"/>
        </w:rPr>
        <w:t xml:space="preserve">jūnijam </w:t>
      </w:r>
      <w:r w:rsidRPr="00917421">
        <w:rPr>
          <w:kern w:val="0"/>
          <w14:ligatures w14:val="none"/>
        </w:rPr>
        <w:t xml:space="preserve">izdarījusi turpinātu </w:t>
      </w:r>
      <w:r w:rsidRPr="00917421">
        <w:rPr>
          <w:szCs w:val="24"/>
        </w:rPr>
        <w:t xml:space="preserve">Krimināllikuma 84. panta pirmajā daļā paredzēto </w:t>
      </w:r>
      <w:r w:rsidRPr="00917421">
        <w:rPr>
          <w:kern w:val="0"/>
          <w14:ligatures w14:val="none"/>
        </w:rPr>
        <w:t xml:space="preserve">noziedzīgo nodarījumu. </w:t>
      </w:r>
    </w:p>
    <w:bookmarkEnd w:id="3"/>
    <w:p w14:paraId="5D663764" w14:textId="72EAE2AF" w:rsidR="000F55F0" w:rsidRPr="00917421" w:rsidRDefault="000F55F0" w:rsidP="00D85D51">
      <w:pPr>
        <w:ind w:firstLine="680"/>
      </w:pPr>
      <w:r w:rsidRPr="00917421">
        <w:rPr>
          <w:szCs w:val="24"/>
        </w:rPr>
        <w:t xml:space="preserve">Senāts norāda, ka turpināta noziedzīga nodarījuma pazīmes sniegtas Krimināllikuma 23. panta trešajā daļā, kas noteic, ka atsevišķu turpinātu noziedzīgu nodarījumu veido vairākas savstarpēji saistītas tādas pašas noziedzīgas darbības, kas vērstas uz kopēju mērķi, ja tās aptver vainīgās personas vienots nodoms, tāpēc savā kopumā tās veido vienu noziedzīgu nodarījumu. </w:t>
      </w:r>
      <w:r w:rsidR="00B31D76" w:rsidRPr="00917421">
        <w:t>Atbilstoši Krimināllikuma 15.</w:t>
      </w:r>
      <w:r w:rsidR="00C84A57" w:rsidRPr="00917421">
        <w:t> </w:t>
      </w:r>
      <w:r w:rsidR="00B31D76" w:rsidRPr="00917421">
        <w:t xml:space="preserve">panta pirmajai daļai noziedzīgs nodarījums atzīstams par pabeigtu, ja tam ir visas šajā likumā paredzētās noziedzīga nodarījuma sastāva pazīmes. Apelācijas instances tiesas spriedumā </w:t>
      </w:r>
      <w:r w:rsidR="00680F05" w:rsidRPr="00917421">
        <w:t xml:space="preserve">sniegtajā noziedzīgās darbības aprakstā ietvertās apsūdzētās </w:t>
      </w:r>
      <w:r w:rsidR="00253BD2">
        <w:t>[pers. A]</w:t>
      </w:r>
      <w:r w:rsidR="00B31D76" w:rsidRPr="00917421">
        <w:t xml:space="preserve"> </w:t>
      </w:r>
      <w:r w:rsidR="00680F05" w:rsidRPr="00917421">
        <w:t>2015.gada 22.</w:t>
      </w:r>
      <w:r w:rsidR="00C84A57" w:rsidRPr="00917421">
        <w:t> </w:t>
      </w:r>
      <w:r w:rsidR="00680F05" w:rsidRPr="00917421">
        <w:t>aprīlī un 24.</w:t>
      </w:r>
      <w:r w:rsidR="00C84A57" w:rsidRPr="00917421">
        <w:t> </w:t>
      </w:r>
      <w:r w:rsidR="00680F05" w:rsidRPr="00917421">
        <w:t>aprīlī veiktās darbības veido pabeigtu</w:t>
      </w:r>
      <w:r w:rsidR="00B31D76" w:rsidRPr="00917421">
        <w:t xml:space="preserve"> </w:t>
      </w:r>
      <w:r w:rsidR="00680F05" w:rsidRPr="00917421">
        <w:t xml:space="preserve">noziedzīgu nodarījumu. Līdz ar to, </w:t>
      </w:r>
      <w:r w:rsidR="004C537D" w:rsidRPr="00917421">
        <w:t>vērtējot</w:t>
      </w:r>
      <w:r w:rsidR="00680F05" w:rsidRPr="00917421">
        <w:t xml:space="preserve"> 2015.</w:t>
      </w:r>
      <w:r w:rsidR="00C84A57" w:rsidRPr="00917421">
        <w:t> </w:t>
      </w:r>
      <w:r w:rsidR="00680F05" w:rsidRPr="00917421">
        <w:t>gada 19.</w:t>
      </w:r>
      <w:r w:rsidR="00C84A57" w:rsidRPr="00917421">
        <w:t> </w:t>
      </w:r>
      <w:r w:rsidR="00680F05" w:rsidRPr="00917421">
        <w:t xml:space="preserve">jūnijā veiktās noziedzīgās darbības mēģinājumu kā iepriekš veiktā </w:t>
      </w:r>
      <w:r w:rsidR="00680F05" w:rsidRPr="00917421">
        <w:lastRenderedPageBreak/>
        <w:t xml:space="preserve">noziedzīgā nodarījuma turpinājumu, nav pamata visu nodarījumu kopumā kvalificēt kā </w:t>
      </w:r>
      <w:r w:rsidR="00680F05" w:rsidRPr="00917421">
        <w:rPr>
          <w:szCs w:val="24"/>
        </w:rPr>
        <w:t>Krimināllikuma 84. panta pirmajā daļā paredzētā noziedzīgā nodarījuma mēģinājumu</w:t>
      </w:r>
      <w:r w:rsidR="00680F05" w:rsidRPr="00917421">
        <w:t xml:space="preserve">. </w:t>
      </w:r>
      <w:r w:rsidR="00D85D51" w:rsidRPr="00917421">
        <w:t xml:space="preserve">Ja </w:t>
      </w:r>
      <w:r w:rsidRPr="00917421">
        <w:t>kaut vien</w:t>
      </w:r>
      <w:r w:rsidR="000C4656" w:rsidRPr="00917421">
        <w:t>a</w:t>
      </w:r>
      <w:r w:rsidRPr="00917421">
        <w:t xml:space="preserve"> no turpināt</w:t>
      </w:r>
      <w:r w:rsidR="000C4656" w:rsidRPr="00917421">
        <w:t>u</w:t>
      </w:r>
      <w:r w:rsidRPr="00917421">
        <w:t xml:space="preserve"> noziedzīg</w:t>
      </w:r>
      <w:r w:rsidR="000C4656" w:rsidRPr="00917421">
        <w:t>u</w:t>
      </w:r>
      <w:r w:rsidRPr="00917421">
        <w:t xml:space="preserve"> nodarījum</w:t>
      </w:r>
      <w:r w:rsidR="000C4656" w:rsidRPr="00917421">
        <w:t>u veidojošām prettiesiskajām darbībām</w:t>
      </w:r>
      <w:r w:rsidRPr="00917421">
        <w:t xml:space="preserve"> ir pabeigt</w:t>
      </w:r>
      <w:r w:rsidR="000C4656" w:rsidRPr="00917421">
        <w:t>a</w:t>
      </w:r>
      <w:r w:rsidRPr="00917421">
        <w:t>, bet cit</w:t>
      </w:r>
      <w:r w:rsidR="000C4656" w:rsidRPr="00917421">
        <w:t>a</w:t>
      </w:r>
      <w:r w:rsidRPr="00917421">
        <w:t xml:space="preserve"> </w:t>
      </w:r>
      <w:r w:rsidRPr="00917421">
        <w:rPr>
          <w:szCs w:val="24"/>
        </w:rPr>
        <w:t>savstarpēji saistīt</w:t>
      </w:r>
      <w:r w:rsidR="000C4656" w:rsidRPr="00917421">
        <w:rPr>
          <w:szCs w:val="24"/>
        </w:rPr>
        <w:t>a</w:t>
      </w:r>
      <w:r w:rsidRPr="00917421">
        <w:rPr>
          <w:szCs w:val="24"/>
        </w:rPr>
        <w:t xml:space="preserve"> tād</w:t>
      </w:r>
      <w:r w:rsidR="000C4656" w:rsidRPr="00917421">
        <w:rPr>
          <w:szCs w:val="24"/>
        </w:rPr>
        <w:t xml:space="preserve">a </w:t>
      </w:r>
      <w:r w:rsidRPr="00917421">
        <w:rPr>
          <w:szCs w:val="24"/>
        </w:rPr>
        <w:t>pa</w:t>
      </w:r>
      <w:r w:rsidR="000C4656" w:rsidRPr="00917421">
        <w:rPr>
          <w:szCs w:val="24"/>
        </w:rPr>
        <w:t>ti</w:t>
      </w:r>
      <w:r w:rsidRPr="00917421">
        <w:rPr>
          <w:szCs w:val="24"/>
        </w:rPr>
        <w:t xml:space="preserve"> noziedzīgā darbīb</w:t>
      </w:r>
      <w:r w:rsidR="000C4656" w:rsidRPr="00917421">
        <w:rPr>
          <w:szCs w:val="24"/>
        </w:rPr>
        <w:t>a</w:t>
      </w:r>
      <w:r w:rsidRPr="00917421">
        <w:rPr>
          <w:szCs w:val="24"/>
        </w:rPr>
        <w:t xml:space="preserve"> </w:t>
      </w:r>
      <w:r w:rsidRPr="00917421">
        <w:t>nav izdarīt</w:t>
      </w:r>
      <w:r w:rsidR="000C4656" w:rsidRPr="00917421">
        <w:t>a</w:t>
      </w:r>
      <w:r w:rsidRPr="00917421">
        <w:t xml:space="preserve"> līdz galam vainīgās personas gribas neatkarīgu iemeslu dēļ, noziedzīgais nodarījums kopumā kvalificējams kā pabeigts, </w:t>
      </w:r>
      <w:r w:rsidR="004C537D" w:rsidRPr="00917421">
        <w:t xml:space="preserve">ja vien vainīgās personas līdz galam nerealizētais nodoms nav </w:t>
      </w:r>
      <w:r w:rsidR="0066464C" w:rsidRPr="00917421">
        <w:t xml:space="preserve">bijis konkretizēts un </w:t>
      </w:r>
      <w:r w:rsidR="004C537D" w:rsidRPr="00917421">
        <w:t>vērsts uz smagāka noziedzīga nodarījuma izdarīšanu</w:t>
      </w:r>
      <w:r w:rsidRPr="00917421">
        <w:t>.</w:t>
      </w:r>
    </w:p>
    <w:p w14:paraId="3567E5C6" w14:textId="77777777" w:rsidR="000F55F0" w:rsidRPr="004C73E0" w:rsidRDefault="000F55F0" w:rsidP="000F55F0">
      <w:pPr>
        <w:ind w:firstLine="680"/>
      </w:pPr>
      <w:r w:rsidRPr="00917421">
        <w:t xml:space="preserve">Tādējādi </w:t>
      </w:r>
      <w:r w:rsidRPr="00917421">
        <w:rPr>
          <w:szCs w:val="24"/>
        </w:rPr>
        <w:t>juridiskās personas</w:t>
      </w:r>
      <w:r w:rsidRPr="00917421">
        <w:rPr>
          <w:rFonts w:ascii="TimesNewRomanPSMT" w:hAnsi="TimesNewRomanPSMT" w:cs="TimesNewRomanPSMT"/>
          <w:kern w:val="0"/>
          <w:szCs w:val="24"/>
        </w:rPr>
        <w:t xml:space="preserve"> </w:t>
      </w:r>
      <w:r w:rsidRPr="00917421">
        <w:t xml:space="preserve">pārstāves I. Lauces kasācijas sūdzības arguments šajā daļā </w:t>
      </w:r>
      <w:r w:rsidRPr="00917421">
        <w:rPr>
          <w:kern w:val="0"/>
          <w14:ligatures w14:val="none"/>
        </w:rPr>
        <w:t xml:space="preserve">neizraisa </w:t>
      </w:r>
      <w:r w:rsidRPr="00917421">
        <w:t>šaubas par pārsūdzētā nolēmuma tiesiskumu.</w:t>
      </w:r>
      <w:r w:rsidRPr="004C73E0">
        <w:t xml:space="preserve"> </w:t>
      </w:r>
    </w:p>
    <w:p w14:paraId="75B79578" w14:textId="77777777" w:rsidR="000F55F0" w:rsidRPr="004C73E0" w:rsidRDefault="000F55F0" w:rsidP="00DF2707">
      <w:pPr>
        <w:ind w:firstLine="680"/>
        <w:rPr>
          <w:rFonts w:ascii="TimesNewRomanPSMT" w:hAnsi="TimesNewRomanPSMT" w:cs="TimesNewRomanPSMT"/>
          <w:szCs w:val="24"/>
        </w:rPr>
      </w:pPr>
    </w:p>
    <w:p w14:paraId="3F967906" w14:textId="59A31A43" w:rsidR="00C8069A" w:rsidRPr="00C8069A" w:rsidRDefault="002B34EB" w:rsidP="00DC42CF">
      <w:pPr>
        <w:ind w:firstLine="680"/>
      </w:pPr>
      <w:r w:rsidRPr="004C73E0">
        <w:rPr>
          <w:rFonts w:ascii="TimesNewRomanPSMT" w:hAnsi="TimesNewRomanPSMT" w:cs="TimesNewRomanPSMT"/>
          <w:szCs w:val="24"/>
        </w:rPr>
        <w:t>[1</w:t>
      </w:r>
      <w:r w:rsidR="000C63D3" w:rsidRPr="004C73E0">
        <w:rPr>
          <w:rFonts w:ascii="TimesNewRomanPSMT" w:hAnsi="TimesNewRomanPSMT" w:cs="TimesNewRomanPSMT"/>
          <w:szCs w:val="24"/>
        </w:rPr>
        <w:t>1</w:t>
      </w:r>
      <w:r w:rsidRPr="004C73E0">
        <w:rPr>
          <w:rFonts w:ascii="TimesNewRomanPSMT" w:hAnsi="TimesNewRomanPSMT" w:cs="TimesNewRomanPSMT"/>
          <w:szCs w:val="24"/>
        </w:rPr>
        <w:t>]</w:t>
      </w:r>
      <w:r w:rsidR="00C55A01" w:rsidRPr="004C73E0">
        <w:rPr>
          <w:rFonts w:ascii="TimesNewRomanPSMT" w:hAnsi="TimesNewRomanPSMT" w:cs="TimesNewRomanPSMT"/>
          <w:szCs w:val="24"/>
        </w:rPr>
        <w:t> </w:t>
      </w:r>
      <w:r w:rsidR="00DC42CF" w:rsidRPr="004C73E0">
        <w:rPr>
          <w:rFonts w:ascii="TimesNewRomanPSMT" w:hAnsi="TimesNewRomanPSMT" w:cs="TimesNewRomanPSMT"/>
          <w:szCs w:val="24"/>
        </w:rPr>
        <w:t>K</w:t>
      </w:r>
      <w:r w:rsidR="00DF2E34" w:rsidRPr="004C73E0">
        <w:rPr>
          <w:rFonts w:ascii="TimesNewRomanPSMT" w:hAnsi="TimesNewRomanPSMT" w:cs="TimesNewRomanPSMT"/>
          <w:szCs w:val="24"/>
        </w:rPr>
        <w:t>asācijas sūdzībās ietvert</w:t>
      </w:r>
      <w:r w:rsidR="00DC42CF" w:rsidRPr="004C73E0">
        <w:rPr>
          <w:rFonts w:ascii="TimesNewRomanPSMT" w:hAnsi="TimesNewRomanPSMT" w:cs="TimesNewRomanPSMT"/>
          <w:szCs w:val="24"/>
        </w:rPr>
        <w:t>ie</w:t>
      </w:r>
      <w:r w:rsidR="00DF2E34" w:rsidRPr="004C73E0">
        <w:rPr>
          <w:rFonts w:ascii="TimesNewRomanPSMT" w:hAnsi="TimesNewRomanPSMT" w:cs="TimesNewRomanPSMT"/>
          <w:szCs w:val="24"/>
        </w:rPr>
        <w:t xml:space="preserve"> iebildumi par</w:t>
      </w:r>
      <w:r w:rsidRPr="004C73E0">
        <w:rPr>
          <w:rFonts w:ascii="TimesNewRomanPSMT" w:hAnsi="TimesNewRomanPSMT" w:cs="TimesNewRomanPSMT"/>
          <w:szCs w:val="24"/>
        </w:rPr>
        <w:t xml:space="preserve"> </w:t>
      </w:r>
      <w:r w:rsidRPr="004C73E0">
        <w:rPr>
          <w:kern w:val="0"/>
          <w14:ligatures w14:val="none"/>
        </w:rPr>
        <w:t>Krimināllikuma 49.</w:t>
      </w:r>
      <w:r w:rsidRPr="004C73E0">
        <w:rPr>
          <w:kern w:val="0"/>
          <w:vertAlign w:val="superscript"/>
          <w14:ligatures w14:val="none"/>
        </w:rPr>
        <w:t>1</w:t>
      </w:r>
      <w:r w:rsidR="00C55A01" w:rsidRPr="004C73E0">
        <w:rPr>
          <w:kern w:val="0"/>
          <w14:ligatures w14:val="none"/>
        </w:rPr>
        <w:t> </w:t>
      </w:r>
      <w:r w:rsidRPr="004C73E0">
        <w:rPr>
          <w:kern w:val="0"/>
          <w14:ligatures w14:val="none"/>
        </w:rPr>
        <w:t xml:space="preserve">panta noteikumu </w:t>
      </w:r>
      <w:r w:rsidR="00DC42CF" w:rsidRPr="004C73E0">
        <w:rPr>
          <w:kern w:val="0"/>
          <w14:ligatures w14:val="none"/>
        </w:rPr>
        <w:t>ne</w:t>
      </w:r>
      <w:r w:rsidRPr="004C73E0">
        <w:rPr>
          <w:kern w:val="0"/>
          <w14:ligatures w14:val="none"/>
        </w:rPr>
        <w:t>piemērošanu</w:t>
      </w:r>
      <w:r w:rsidR="00C03B76" w:rsidRPr="004C73E0">
        <w:rPr>
          <w:kern w:val="0"/>
          <w14:ligatures w14:val="none"/>
        </w:rPr>
        <w:t>,</w:t>
      </w:r>
      <w:r w:rsidRPr="004C73E0">
        <w:rPr>
          <w:kern w:val="0"/>
          <w14:ligatures w14:val="none"/>
        </w:rPr>
        <w:t xml:space="preserve"> </w:t>
      </w:r>
      <w:r w:rsidR="00C03B76" w:rsidRPr="004C73E0">
        <w:rPr>
          <w:kern w:val="0"/>
          <w14:ligatures w14:val="none"/>
        </w:rPr>
        <w:t xml:space="preserve">nosakot </w:t>
      </w:r>
      <w:r w:rsidRPr="004C73E0">
        <w:rPr>
          <w:kern w:val="0"/>
          <w14:ligatures w14:val="none"/>
        </w:rPr>
        <w:t>sod</w:t>
      </w:r>
      <w:r w:rsidR="00C03B76" w:rsidRPr="004C73E0">
        <w:rPr>
          <w:kern w:val="0"/>
          <w14:ligatures w14:val="none"/>
        </w:rPr>
        <w:t>u</w:t>
      </w:r>
      <w:r w:rsidRPr="004C73E0">
        <w:rPr>
          <w:kern w:val="0"/>
          <w14:ligatures w14:val="none"/>
        </w:rPr>
        <w:t xml:space="preserve"> un piespiedu ietekmēšanas līdzek</w:t>
      </w:r>
      <w:r w:rsidR="00C03B76" w:rsidRPr="004C73E0">
        <w:rPr>
          <w:kern w:val="0"/>
          <w14:ligatures w14:val="none"/>
        </w:rPr>
        <w:t>li</w:t>
      </w:r>
      <w:r w:rsidR="00DC42CF" w:rsidRPr="004C73E0">
        <w:rPr>
          <w:kern w:val="0"/>
          <w14:ligatures w14:val="none"/>
        </w:rPr>
        <w:t xml:space="preserve">, nav pamatoti. </w:t>
      </w:r>
      <w:r w:rsidR="00DF2E34" w:rsidRPr="004C73E0">
        <w:t>Senāts konstatē, ka p</w:t>
      </w:r>
      <w:r w:rsidR="00D076D6" w:rsidRPr="004C73E0">
        <w:t>retēji kasācijas sūdzībās norādītajam</w:t>
      </w:r>
      <w:r w:rsidR="00DF2E34" w:rsidRPr="004C73E0">
        <w:t>,</w:t>
      </w:r>
      <w:r w:rsidR="00D076D6" w:rsidRPr="004C73E0">
        <w:t xml:space="preserve"> apelācijas instances tiesa, nosakot </w:t>
      </w:r>
      <w:r w:rsidR="00253BD2">
        <w:t>[pers. A]</w:t>
      </w:r>
      <w:r w:rsidR="00D076D6" w:rsidRPr="004C73E0">
        <w:t xml:space="preserve"> sodu un piemērojot juridiskajai personai</w:t>
      </w:r>
      <w:r w:rsidR="00D076D6" w:rsidRPr="004C73E0">
        <w:rPr>
          <w:rFonts w:ascii="TimesNewRomanPSMT" w:hAnsi="TimesNewRomanPSMT" w:cs="TimesNewRomanPSMT"/>
        </w:rPr>
        <w:t xml:space="preserve"> piespiedu ietekmēšanas līdzekli, ir ņēmusi vērā</w:t>
      </w:r>
      <w:r w:rsidR="00D076D6" w:rsidRPr="004C73E0">
        <w:t xml:space="preserve"> Krimināllikuma 35., 46. panta un 70.</w:t>
      </w:r>
      <w:r w:rsidR="00D076D6" w:rsidRPr="004C73E0">
        <w:rPr>
          <w:vertAlign w:val="superscript"/>
        </w:rPr>
        <w:t>6</w:t>
      </w:r>
      <w:r w:rsidR="00D076D6" w:rsidRPr="004C73E0">
        <w:t xml:space="preserve"> panta pirmās daļas nosacījumus. Tiesa, nosakot apsūdzētajai sodu, savus atzinumus ir motivējusi, tai skaitā argumentēti noraidījusi apsūdzētās </w:t>
      </w:r>
      <w:r w:rsidR="00253BD2">
        <w:t>[pers. A]</w:t>
      </w:r>
      <w:r w:rsidR="00D076D6" w:rsidRPr="004C73E0">
        <w:t xml:space="preserve"> aizstāvja M</w:t>
      </w:r>
      <w:r w:rsidR="00C55A01" w:rsidRPr="004C73E0">
        <w:t>. </w:t>
      </w:r>
      <w:proofErr w:type="spellStart"/>
      <w:r w:rsidR="00D076D6" w:rsidRPr="004C73E0">
        <w:t>Silina</w:t>
      </w:r>
      <w:proofErr w:type="spellEnd"/>
      <w:r w:rsidR="00D076D6" w:rsidRPr="004C73E0">
        <w:t xml:space="preserve"> lūgumu</w:t>
      </w:r>
      <w:r w:rsidR="00D076D6">
        <w:t xml:space="preserve"> par Krimināllikuma 49.</w:t>
      </w:r>
      <w:r w:rsidR="00D076D6">
        <w:rPr>
          <w:vertAlign w:val="superscript"/>
        </w:rPr>
        <w:t>1</w:t>
      </w:r>
      <w:r w:rsidR="00D076D6">
        <w:t> panta nosacījumu piemērošanu.</w:t>
      </w:r>
      <w:r w:rsidR="00357995">
        <w:t xml:space="preserve"> Tiesa konstatējusi, ka pirmās instances tiesā </w:t>
      </w:r>
      <w:r w:rsidR="00357995" w:rsidRPr="00357995">
        <w:t>sēdes tika atliktas</w:t>
      </w:r>
      <w:r w:rsidR="00357995">
        <w:t xml:space="preserve"> </w:t>
      </w:r>
      <w:r w:rsidR="00357995" w:rsidRPr="00357995">
        <w:t>sakarā liecinieku, SIA pārstāves, apsūdzētās un prokurores attaisnojošu neierašanos uz</w:t>
      </w:r>
      <w:r w:rsidR="00357995">
        <w:t xml:space="preserve"> </w:t>
      </w:r>
      <w:r w:rsidR="00357995" w:rsidRPr="00357995">
        <w:t xml:space="preserve">tiesas sēdēm, arī apmierinot prokurores un aizstāvības lūgumus. </w:t>
      </w:r>
      <w:r w:rsidR="00357995">
        <w:t>L</w:t>
      </w:r>
      <w:r w:rsidR="00357995" w:rsidRPr="00357995">
        <w:t>ietas iztiesāšanas</w:t>
      </w:r>
      <w:r w:rsidR="00357995">
        <w:t xml:space="preserve"> </w:t>
      </w:r>
      <w:r w:rsidR="00357995" w:rsidRPr="00357995">
        <w:t>atlikšanai vienmēr bij</w:t>
      </w:r>
      <w:r w:rsidR="00E3325E">
        <w:t>is</w:t>
      </w:r>
      <w:r w:rsidR="00357995" w:rsidRPr="00357995">
        <w:t xml:space="preserve"> objektīvs iemesls. </w:t>
      </w:r>
      <w:r w:rsidR="00357995">
        <w:t>P</w:t>
      </w:r>
      <w:r w:rsidR="00357995" w:rsidRPr="00357995">
        <w:t>irmās instances tiesa ikreiz, pieņemot</w:t>
      </w:r>
      <w:r w:rsidR="00357995">
        <w:t xml:space="preserve"> </w:t>
      </w:r>
      <w:r w:rsidR="00357995" w:rsidRPr="00357995">
        <w:t>lēmumu par iztiesāšanas atlikšanu, vienojās ar procesa dalībniekiem par iespējami tuvākās</w:t>
      </w:r>
      <w:r w:rsidR="00357995">
        <w:t xml:space="preserve"> </w:t>
      </w:r>
      <w:r w:rsidR="00357995" w:rsidRPr="00357995">
        <w:t xml:space="preserve">lietas iztiesāšanas laiku, ņemot vērā advokātu, prokurores un tiesas noslodzi. </w:t>
      </w:r>
      <w:r w:rsidR="00D076D6">
        <w:t xml:space="preserve">Tiesa atzinusi, ka kriminālprocess nav novilcināts un apsūdzētās </w:t>
      </w:r>
      <w:r w:rsidR="00253BD2">
        <w:t>[pers. A]</w:t>
      </w:r>
      <w:r w:rsidR="00D076D6">
        <w:t xml:space="preserve"> tiesības uz kriminālprocesa pabeigšanu saprātīgā termiņā</w:t>
      </w:r>
      <w:r w:rsidR="00D076D6" w:rsidRPr="004B7F4D">
        <w:t xml:space="preserve"> </w:t>
      </w:r>
      <w:r w:rsidR="00D076D6">
        <w:t>nav pārkāptas.</w:t>
      </w:r>
      <w:r w:rsidR="00C8069A">
        <w:t xml:space="preserve"> Turklāt tiesa ir piemērojusi </w:t>
      </w:r>
      <w:r w:rsidR="00253BD2">
        <w:t>[pers. A]</w:t>
      </w:r>
      <w:r w:rsidR="00C8069A">
        <w:t xml:space="preserve"> sabiedrisko darbu un </w:t>
      </w:r>
      <w:r w:rsidR="00C8069A">
        <w:rPr>
          <w:rFonts w:cs="Times New Roman"/>
        </w:rPr>
        <w:t>SIA ,,</w:t>
      </w:r>
      <w:r w:rsidR="00253BD2">
        <w:rPr>
          <w:rFonts w:ascii="TimesNewRomanPSMT" w:hAnsi="TimesNewRomanPSMT" w:cs="TimesNewRomanPSMT"/>
          <w:szCs w:val="24"/>
        </w:rPr>
        <w:t>[Nosaukums A]</w:t>
      </w:r>
      <w:r w:rsidR="00C8069A" w:rsidRPr="00424B7A">
        <w:rPr>
          <w:rFonts w:ascii="TimesNewRomanPSMT" w:hAnsi="TimesNewRomanPSMT" w:cs="TimesNewRomanPSMT"/>
          <w:szCs w:val="24"/>
        </w:rPr>
        <w:t>”</w:t>
      </w:r>
      <w:r w:rsidR="00C8069A">
        <w:rPr>
          <w:rFonts w:ascii="TimesNewRomanPSMT" w:hAnsi="TimesNewRomanPSMT" w:cs="TimesNewRomanPSMT"/>
          <w:szCs w:val="24"/>
        </w:rPr>
        <w:t xml:space="preserve"> naudas piedziņu apmēros, kas ir tuvi Krimināllikumā paredzētajai minimālajai robežai. </w:t>
      </w:r>
    </w:p>
    <w:p w14:paraId="0DA7AE4E" w14:textId="77777777" w:rsidR="004A7550" w:rsidRDefault="004A7550" w:rsidP="004A7550">
      <w:pPr>
        <w:ind w:firstLine="680"/>
        <w:rPr>
          <w:kern w:val="0"/>
          <w14:ligatures w14:val="none"/>
        </w:rPr>
      </w:pPr>
    </w:p>
    <w:p w14:paraId="6A133356" w14:textId="486A4D8D" w:rsidR="004A7550" w:rsidRDefault="004A7550" w:rsidP="004A7550">
      <w:pPr>
        <w:ind w:firstLine="680"/>
        <w:rPr>
          <w:kern w:val="0"/>
          <w14:ligatures w14:val="none"/>
        </w:rPr>
      </w:pPr>
      <w:r w:rsidRPr="004A7550">
        <w:rPr>
          <w:kern w:val="0"/>
          <w14:ligatures w14:val="none"/>
        </w:rPr>
        <w:t>[</w:t>
      </w:r>
      <w:r>
        <w:rPr>
          <w:kern w:val="0"/>
          <w14:ligatures w14:val="none"/>
        </w:rPr>
        <w:t>12</w:t>
      </w:r>
      <w:r w:rsidRPr="004A7550">
        <w:rPr>
          <w:kern w:val="0"/>
          <w14:ligatures w14:val="none"/>
        </w:rPr>
        <w:t>]</w:t>
      </w:r>
      <w:r w:rsidR="00E3325E">
        <w:rPr>
          <w:kern w:val="0"/>
          <w14:ligatures w14:val="none"/>
        </w:rPr>
        <w:t> </w:t>
      </w:r>
      <w:r w:rsidRPr="004A7550">
        <w:rPr>
          <w:kern w:val="0"/>
          <w14:ligatures w14:val="none"/>
        </w:rPr>
        <w:t xml:space="preserve">Ievērojot minēto apsvērumu kopumu, Senāts atzīst, ka </w:t>
      </w:r>
      <w:r>
        <w:rPr>
          <w:rFonts w:cs="Times New Roman"/>
        </w:rPr>
        <w:t xml:space="preserve">Latgales </w:t>
      </w:r>
      <w:r w:rsidRPr="009F5334">
        <w:rPr>
          <w:rFonts w:cs="Times New Roman"/>
        </w:rPr>
        <w:t xml:space="preserve">apgabaltiesas 2024. gada </w:t>
      </w:r>
      <w:r>
        <w:rPr>
          <w:rFonts w:cs="Times New Roman"/>
        </w:rPr>
        <w:t>29</w:t>
      </w:r>
      <w:r w:rsidRPr="009F5334">
        <w:rPr>
          <w:rFonts w:cs="Times New Roman"/>
        </w:rPr>
        <w:t xml:space="preserve">. oktobra </w:t>
      </w:r>
      <w:r w:rsidRPr="004A7550">
        <w:rPr>
          <w:kern w:val="0"/>
          <w14:ligatures w14:val="none"/>
        </w:rPr>
        <w:t xml:space="preserve">spriedums atstājams negrozīts, bet </w:t>
      </w:r>
      <w:r w:rsidRPr="009F5334">
        <w:rPr>
          <w:rFonts w:cs="Times New Roman"/>
        </w:rPr>
        <w:t>apsūdzētā</w:t>
      </w:r>
      <w:r>
        <w:rPr>
          <w:rFonts w:cs="Times New Roman"/>
        </w:rPr>
        <w:t xml:space="preserve">s </w:t>
      </w:r>
      <w:r w:rsidR="00253BD2">
        <w:rPr>
          <w:rFonts w:cs="Times New Roman"/>
        </w:rPr>
        <w:t>[pers. A]</w:t>
      </w:r>
      <w:r>
        <w:rPr>
          <w:rFonts w:cs="Times New Roman"/>
        </w:rPr>
        <w:t xml:space="preserve"> un SIA ,,</w:t>
      </w:r>
      <w:r w:rsidR="00253BD2">
        <w:rPr>
          <w:rFonts w:ascii="TimesNewRomanPSMT" w:hAnsi="TimesNewRomanPSMT" w:cs="TimesNewRomanPSMT"/>
          <w:szCs w:val="24"/>
        </w:rPr>
        <w:t>[Nosaukums A]</w:t>
      </w:r>
      <w:r w:rsidRPr="00424B7A">
        <w:rPr>
          <w:rFonts w:ascii="TimesNewRomanPSMT" w:hAnsi="TimesNewRomanPSMT" w:cs="TimesNewRomanPSMT"/>
          <w:szCs w:val="24"/>
        </w:rPr>
        <w:t>”</w:t>
      </w:r>
      <w:r>
        <w:rPr>
          <w:rFonts w:ascii="TimesNewRomanPSMT" w:hAnsi="TimesNewRomanPSMT" w:cs="TimesNewRomanPSMT"/>
          <w:kern w:val="0"/>
          <w:szCs w:val="24"/>
        </w:rPr>
        <w:t xml:space="preserve"> </w:t>
      </w:r>
      <w:r>
        <w:rPr>
          <w:rFonts w:ascii="TimesNewRomanPSMT" w:hAnsi="TimesNewRomanPSMT" w:cs="TimesNewRomanPSMT"/>
          <w:szCs w:val="24"/>
        </w:rPr>
        <w:t>pārstāves I</w:t>
      </w:r>
      <w:r w:rsidR="00E3325E">
        <w:rPr>
          <w:rFonts w:ascii="TimesNewRomanPSMT" w:hAnsi="TimesNewRomanPSMT" w:cs="TimesNewRomanPSMT"/>
          <w:szCs w:val="24"/>
        </w:rPr>
        <w:t>. </w:t>
      </w:r>
      <w:r>
        <w:rPr>
          <w:rFonts w:ascii="TimesNewRomanPSMT" w:hAnsi="TimesNewRomanPSMT" w:cs="TimesNewRomanPSMT"/>
          <w:szCs w:val="24"/>
        </w:rPr>
        <w:t>Lauces</w:t>
      </w:r>
      <w:r w:rsidRPr="009F5334">
        <w:rPr>
          <w:rFonts w:cs="Times New Roman"/>
        </w:rPr>
        <w:t xml:space="preserve"> kasācijas sūdzīb</w:t>
      </w:r>
      <w:r>
        <w:rPr>
          <w:rFonts w:cs="Times New Roman"/>
        </w:rPr>
        <w:t>as</w:t>
      </w:r>
      <w:r w:rsidRPr="004A7550">
        <w:rPr>
          <w:kern w:val="0"/>
          <w14:ligatures w14:val="none"/>
        </w:rPr>
        <w:t xml:space="preserve"> noraidām</w:t>
      </w:r>
      <w:r>
        <w:rPr>
          <w:kern w:val="0"/>
          <w14:ligatures w14:val="none"/>
        </w:rPr>
        <w:t>as</w:t>
      </w:r>
      <w:r w:rsidRPr="004A7550">
        <w:rPr>
          <w:kern w:val="0"/>
          <w14:ligatures w14:val="none"/>
        </w:rPr>
        <w:t>.</w:t>
      </w:r>
    </w:p>
    <w:p w14:paraId="77DB075D" w14:textId="77777777" w:rsidR="004A7550" w:rsidRPr="004A7550" w:rsidRDefault="004A7550" w:rsidP="004A7550">
      <w:pPr>
        <w:ind w:firstLine="680"/>
        <w:rPr>
          <w:kern w:val="0"/>
          <w14:ligatures w14:val="none"/>
        </w:rPr>
      </w:pPr>
    </w:p>
    <w:p w14:paraId="7DA552EA" w14:textId="77777777" w:rsidR="004A7550" w:rsidRPr="004A7550" w:rsidRDefault="004A7550" w:rsidP="00E3325E">
      <w:pPr>
        <w:ind w:firstLine="0"/>
        <w:jc w:val="center"/>
        <w:rPr>
          <w:b/>
          <w:bCs/>
          <w:kern w:val="0"/>
          <w14:ligatures w14:val="none"/>
        </w:rPr>
      </w:pPr>
      <w:r w:rsidRPr="004A7550">
        <w:rPr>
          <w:b/>
          <w:bCs/>
          <w:kern w:val="0"/>
          <w14:ligatures w14:val="none"/>
        </w:rPr>
        <w:t>Rezolutīvā daļa</w:t>
      </w:r>
    </w:p>
    <w:p w14:paraId="4A6AD1B2" w14:textId="77777777" w:rsidR="004A7550" w:rsidRPr="004A7550" w:rsidRDefault="004A7550" w:rsidP="004A7550">
      <w:pPr>
        <w:ind w:firstLine="0"/>
        <w:rPr>
          <w:b/>
          <w:bCs/>
          <w:kern w:val="0"/>
          <w14:ligatures w14:val="none"/>
        </w:rPr>
      </w:pPr>
    </w:p>
    <w:p w14:paraId="7EFB68B6" w14:textId="77777777" w:rsidR="004A7550" w:rsidRPr="004A7550" w:rsidRDefault="004A7550" w:rsidP="00E3325E">
      <w:pPr>
        <w:rPr>
          <w:kern w:val="0"/>
          <w14:ligatures w14:val="none"/>
        </w:rPr>
      </w:pPr>
      <w:r w:rsidRPr="004A7550">
        <w:rPr>
          <w:kern w:val="0"/>
          <w14:ligatures w14:val="none"/>
        </w:rPr>
        <w:t>Pamatojoties uz Kriminālprocesa likuma 585. pantu un 587. panta pirmās daļas 1. punktu, Senāts</w:t>
      </w:r>
    </w:p>
    <w:p w14:paraId="0DED0029" w14:textId="77777777" w:rsidR="004A7550" w:rsidRPr="004A7550" w:rsidRDefault="004A7550" w:rsidP="004A7550">
      <w:pPr>
        <w:ind w:firstLine="0"/>
        <w:rPr>
          <w:kern w:val="0"/>
          <w14:ligatures w14:val="none"/>
        </w:rPr>
      </w:pPr>
    </w:p>
    <w:p w14:paraId="582BEA0D" w14:textId="77777777" w:rsidR="004A7550" w:rsidRPr="004A7550" w:rsidRDefault="004A7550" w:rsidP="00E3325E">
      <w:pPr>
        <w:ind w:firstLine="0"/>
        <w:jc w:val="center"/>
        <w:rPr>
          <w:b/>
          <w:kern w:val="0"/>
          <w14:ligatures w14:val="none"/>
        </w:rPr>
      </w:pPr>
      <w:r w:rsidRPr="004A7550">
        <w:rPr>
          <w:b/>
          <w:bCs/>
          <w:kern w:val="0"/>
          <w14:ligatures w14:val="none"/>
        </w:rPr>
        <w:t>nolēm</w:t>
      </w:r>
      <w:r w:rsidRPr="004A7550">
        <w:rPr>
          <w:b/>
          <w:kern w:val="0"/>
          <w14:ligatures w14:val="none"/>
        </w:rPr>
        <w:t>a</w:t>
      </w:r>
    </w:p>
    <w:p w14:paraId="27BEE7AA" w14:textId="77777777" w:rsidR="004A7550" w:rsidRPr="004A7550" w:rsidRDefault="004A7550" w:rsidP="004A7550">
      <w:pPr>
        <w:ind w:firstLine="0"/>
        <w:rPr>
          <w:b/>
          <w:kern w:val="0"/>
          <w14:ligatures w14:val="none"/>
        </w:rPr>
      </w:pPr>
    </w:p>
    <w:p w14:paraId="61CA30A9" w14:textId="5ADF9970" w:rsidR="004A7550" w:rsidRPr="004A7550" w:rsidRDefault="004A7550" w:rsidP="00E3325E">
      <w:pPr>
        <w:rPr>
          <w:bCs/>
          <w:kern w:val="0"/>
          <w14:ligatures w14:val="none"/>
        </w:rPr>
      </w:pPr>
      <w:r w:rsidRPr="004A7550">
        <w:rPr>
          <w:bCs/>
          <w:kern w:val="0"/>
          <w14:ligatures w14:val="none"/>
        </w:rPr>
        <w:t xml:space="preserve">atstāt </w:t>
      </w:r>
      <w:r w:rsidRPr="004A7550">
        <w:rPr>
          <w:kern w:val="0"/>
          <w14:ligatures w14:val="none"/>
        </w:rPr>
        <w:t>negrozītu</w:t>
      </w:r>
      <w:r w:rsidRPr="004A7550">
        <w:rPr>
          <w:bCs/>
          <w:kern w:val="0"/>
          <w14:ligatures w14:val="none"/>
        </w:rPr>
        <w:t xml:space="preserve"> </w:t>
      </w:r>
      <w:r>
        <w:rPr>
          <w:rFonts w:cs="Times New Roman"/>
        </w:rPr>
        <w:t xml:space="preserve">Latgales </w:t>
      </w:r>
      <w:r w:rsidRPr="009F5334">
        <w:rPr>
          <w:rFonts w:cs="Times New Roman"/>
        </w:rPr>
        <w:t xml:space="preserve">apgabaltiesas 2024. gada </w:t>
      </w:r>
      <w:r>
        <w:rPr>
          <w:rFonts w:cs="Times New Roman"/>
        </w:rPr>
        <w:t>29</w:t>
      </w:r>
      <w:r w:rsidRPr="009F5334">
        <w:rPr>
          <w:rFonts w:cs="Times New Roman"/>
        </w:rPr>
        <w:t xml:space="preserve">. oktobra </w:t>
      </w:r>
      <w:r w:rsidRPr="004A7550">
        <w:rPr>
          <w:bCs/>
          <w:kern w:val="0"/>
          <w14:ligatures w14:val="none"/>
        </w:rPr>
        <w:t xml:space="preserve">spriedumu, bet </w:t>
      </w:r>
      <w:r w:rsidRPr="009F5334">
        <w:rPr>
          <w:rFonts w:cs="Times New Roman"/>
        </w:rPr>
        <w:t>apsūdzētā</w:t>
      </w:r>
      <w:r>
        <w:rPr>
          <w:rFonts w:cs="Times New Roman"/>
        </w:rPr>
        <w:t xml:space="preserve">s </w:t>
      </w:r>
      <w:r w:rsidR="00304C3F">
        <w:rPr>
          <w:rFonts w:cs="Times New Roman"/>
        </w:rPr>
        <w:t>[pers. A]</w:t>
      </w:r>
      <w:r>
        <w:rPr>
          <w:rFonts w:cs="Times New Roman"/>
        </w:rPr>
        <w:t xml:space="preserve"> un SIA ,,</w:t>
      </w:r>
      <w:r w:rsidR="00253BD2">
        <w:rPr>
          <w:rFonts w:ascii="TimesNewRomanPSMT" w:hAnsi="TimesNewRomanPSMT" w:cs="TimesNewRomanPSMT"/>
          <w:szCs w:val="24"/>
        </w:rPr>
        <w:t>[Nosaukums A]</w:t>
      </w:r>
      <w:r w:rsidRPr="00424B7A">
        <w:rPr>
          <w:rFonts w:ascii="TimesNewRomanPSMT" w:hAnsi="TimesNewRomanPSMT" w:cs="TimesNewRomanPSMT"/>
          <w:szCs w:val="24"/>
        </w:rPr>
        <w:t>”</w:t>
      </w:r>
      <w:r>
        <w:rPr>
          <w:rFonts w:ascii="TimesNewRomanPSMT" w:hAnsi="TimesNewRomanPSMT" w:cs="TimesNewRomanPSMT"/>
          <w:kern w:val="0"/>
          <w:szCs w:val="24"/>
        </w:rPr>
        <w:t xml:space="preserve"> </w:t>
      </w:r>
      <w:r>
        <w:rPr>
          <w:rFonts w:ascii="TimesNewRomanPSMT" w:hAnsi="TimesNewRomanPSMT" w:cs="TimesNewRomanPSMT"/>
          <w:szCs w:val="24"/>
        </w:rPr>
        <w:t>pārstāves zvērinātas advokātes Ingas Lauces</w:t>
      </w:r>
      <w:r w:rsidRPr="009F5334">
        <w:rPr>
          <w:rFonts w:cs="Times New Roman"/>
        </w:rPr>
        <w:t xml:space="preserve"> kasācijas sūdzīb</w:t>
      </w:r>
      <w:r>
        <w:rPr>
          <w:rFonts w:cs="Times New Roman"/>
        </w:rPr>
        <w:t>as</w:t>
      </w:r>
      <w:r w:rsidRPr="004A7550">
        <w:rPr>
          <w:kern w:val="0"/>
          <w14:ligatures w14:val="none"/>
        </w:rPr>
        <w:t xml:space="preserve"> </w:t>
      </w:r>
      <w:r w:rsidRPr="004A7550">
        <w:rPr>
          <w:bCs/>
          <w:kern w:val="0"/>
          <w14:ligatures w14:val="none"/>
        </w:rPr>
        <w:t>noraidīt.</w:t>
      </w:r>
    </w:p>
    <w:p w14:paraId="24B99D4F" w14:textId="77777777" w:rsidR="004A7550" w:rsidRPr="004A7550" w:rsidRDefault="004A7550" w:rsidP="004A7550">
      <w:pPr>
        <w:ind w:firstLine="0"/>
        <w:rPr>
          <w:kern w:val="0"/>
          <w14:ligatures w14:val="none"/>
        </w:rPr>
      </w:pPr>
    </w:p>
    <w:p w14:paraId="7FD4B856" w14:textId="77777777" w:rsidR="004A7550" w:rsidRPr="004A7550" w:rsidRDefault="004A7550" w:rsidP="00E3325E">
      <w:pPr>
        <w:rPr>
          <w:kern w:val="0"/>
          <w14:ligatures w14:val="none"/>
        </w:rPr>
      </w:pPr>
      <w:r w:rsidRPr="004A7550">
        <w:rPr>
          <w:kern w:val="0"/>
          <w14:ligatures w14:val="none"/>
        </w:rPr>
        <w:t>Lēmums nav pārsūdzams.</w:t>
      </w:r>
    </w:p>
    <w:bookmarkEnd w:id="2"/>
    <w:p w14:paraId="54249B3F" w14:textId="77777777" w:rsidR="00B26A2F" w:rsidRDefault="00B26A2F" w:rsidP="00DF2E34">
      <w:pPr>
        <w:ind w:firstLine="0"/>
        <w:rPr>
          <w:kern w:val="0"/>
          <w14:ligatures w14:val="none"/>
        </w:rPr>
      </w:pPr>
    </w:p>
    <w:sectPr w:rsidR="00B26A2F" w:rsidSect="00C84A57">
      <w:footerReference w:type="default" r:id="rId13"/>
      <w:pgSz w:w="11906" w:h="16838"/>
      <w:pgMar w:top="1021" w:right="1701" w:bottom="1021" w:left="1701" w:header="709"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C1CF" w14:textId="77777777" w:rsidR="00DC1A23" w:rsidRDefault="00DC1A23">
      <w:pPr>
        <w:spacing w:line="240" w:lineRule="auto"/>
      </w:pPr>
      <w:r>
        <w:separator/>
      </w:r>
    </w:p>
  </w:endnote>
  <w:endnote w:type="continuationSeparator" w:id="0">
    <w:p w14:paraId="11AE95FF" w14:textId="77777777" w:rsidR="00DC1A23" w:rsidRDefault="00DC1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37FD" w14:textId="77777777" w:rsidR="001262CE" w:rsidRPr="00C01FD4" w:rsidRDefault="001262CE">
    <w:pPr>
      <w:pStyle w:val="Footer"/>
      <w:jc w:val="center"/>
      <w:rPr>
        <w:sz w:val="20"/>
        <w:szCs w:val="20"/>
      </w:rPr>
    </w:pPr>
    <w:r w:rsidRPr="00C01FD4">
      <w:rPr>
        <w:sz w:val="20"/>
        <w:szCs w:val="20"/>
      </w:rPr>
      <w:fldChar w:fldCharType="begin"/>
    </w:r>
    <w:r w:rsidRPr="00C01FD4">
      <w:rPr>
        <w:sz w:val="20"/>
        <w:szCs w:val="20"/>
      </w:rPr>
      <w:instrText xml:space="preserve"> PAGE </w:instrText>
    </w:r>
    <w:r w:rsidRPr="00C01FD4">
      <w:rPr>
        <w:sz w:val="20"/>
        <w:szCs w:val="20"/>
      </w:rPr>
      <w:fldChar w:fldCharType="separate"/>
    </w:r>
    <w:r w:rsidRPr="00C01FD4">
      <w:rPr>
        <w:noProof/>
        <w:sz w:val="20"/>
        <w:szCs w:val="20"/>
      </w:rPr>
      <w:t>3</w:t>
    </w:r>
    <w:r w:rsidRPr="00C01FD4">
      <w:rPr>
        <w:sz w:val="20"/>
        <w:szCs w:val="20"/>
      </w:rPr>
      <w:fldChar w:fldCharType="end"/>
    </w:r>
    <w:r w:rsidRPr="00C01FD4">
      <w:rPr>
        <w:sz w:val="20"/>
        <w:szCs w:val="20"/>
      </w:rPr>
      <w:t xml:space="preserve"> no </w:t>
    </w:r>
    <w:r w:rsidRPr="00C01FD4">
      <w:rPr>
        <w:sz w:val="20"/>
        <w:szCs w:val="20"/>
      </w:rPr>
      <w:fldChar w:fldCharType="begin"/>
    </w:r>
    <w:r w:rsidRPr="00C01FD4">
      <w:rPr>
        <w:sz w:val="20"/>
        <w:szCs w:val="20"/>
      </w:rPr>
      <w:instrText xml:space="preserve"> NUMPAGES </w:instrText>
    </w:r>
    <w:r w:rsidRPr="00C01FD4">
      <w:rPr>
        <w:sz w:val="20"/>
        <w:szCs w:val="20"/>
      </w:rPr>
      <w:fldChar w:fldCharType="separate"/>
    </w:r>
    <w:r w:rsidRPr="00C01FD4">
      <w:rPr>
        <w:noProof/>
        <w:sz w:val="20"/>
        <w:szCs w:val="20"/>
      </w:rPr>
      <w:t>3</w:t>
    </w:r>
    <w:r w:rsidRPr="00C01FD4">
      <w:rPr>
        <w:sz w:val="20"/>
        <w:szCs w:val="20"/>
      </w:rPr>
      <w:fldChar w:fldCharType="end"/>
    </w:r>
  </w:p>
  <w:p w14:paraId="2258AA85" w14:textId="77777777" w:rsidR="001262CE" w:rsidRDefault="001262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AD8C" w14:textId="77777777" w:rsidR="00DC1A23" w:rsidRDefault="00DC1A23">
      <w:pPr>
        <w:spacing w:line="240" w:lineRule="auto"/>
      </w:pPr>
      <w:r>
        <w:separator/>
      </w:r>
    </w:p>
  </w:footnote>
  <w:footnote w:type="continuationSeparator" w:id="0">
    <w:p w14:paraId="02A361B6" w14:textId="77777777" w:rsidR="00DC1A23" w:rsidRDefault="00DC1A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D59"/>
    <w:multiLevelType w:val="hybridMultilevel"/>
    <w:tmpl w:val="61206A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DB6671"/>
    <w:multiLevelType w:val="hybridMultilevel"/>
    <w:tmpl w:val="97201726"/>
    <w:lvl w:ilvl="0" w:tplc="6C0C7D50">
      <w:start w:val="1"/>
      <w:numFmt w:val="decimal"/>
      <w:lvlText w:val="%1)"/>
      <w:lvlJc w:val="left"/>
      <w:pPr>
        <w:ind w:left="1020" w:hanging="360"/>
      </w:pPr>
    </w:lvl>
    <w:lvl w:ilvl="1" w:tplc="0450CE7C">
      <w:start w:val="1"/>
      <w:numFmt w:val="decimal"/>
      <w:lvlText w:val="%2)"/>
      <w:lvlJc w:val="left"/>
      <w:pPr>
        <w:ind w:left="1020" w:hanging="360"/>
      </w:pPr>
    </w:lvl>
    <w:lvl w:ilvl="2" w:tplc="130C2252">
      <w:start w:val="1"/>
      <w:numFmt w:val="decimal"/>
      <w:lvlText w:val="%3)"/>
      <w:lvlJc w:val="left"/>
      <w:pPr>
        <w:ind w:left="1020" w:hanging="360"/>
      </w:pPr>
    </w:lvl>
    <w:lvl w:ilvl="3" w:tplc="1E027ED0">
      <w:start w:val="1"/>
      <w:numFmt w:val="decimal"/>
      <w:lvlText w:val="%4)"/>
      <w:lvlJc w:val="left"/>
      <w:pPr>
        <w:ind w:left="1020" w:hanging="360"/>
      </w:pPr>
    </w:lvl>
    <w:lvl w:ilvl="4" w:tplc="644657F8">
      <w:start w:val="1"/>
      <w:numFmt w:val="decimal"/>
      <w:lvlText w:val="%5)"/>
      <w:lvlJc w:val="left"/>
      <w:pPr>
        <w:ind w:left="1020" w:hanging="360"/>
      </w:pPr>
    </w:lvl>
    <w:lvl w:ilvl="5" w:tplc="40C07194">
      <w:start w:val="1"/>
      <w:numFmt w:val="decimal"/>
      <w:lvlText w:val="%6)"/>
      <w:lvlJc w:val="left"/>
      <w:pPr>
        <w:ind w:left="1020" w:hanging="360"/>
      </w:pPr>
    </w:lvl>
    <w:lvl w:ilvl="6" w:tplc="BD088384">
      <w:start w:val="1"/>
      <w:numFmt w:val="decimal"/>
      <w:lvlText w:val="%7)"/>
      <w:lvlJc w:val="left"/>
      <w:pPr>
        <w:ind w:left="1020" w:hanging="360"/>
      </w:pPr>
    </w:lvl>
    <w:lvl w:ilvl="7" w:tplc="F1921AB8">
      <w:start w:val="1"/>
      <w:numFmt w:val="decimal"/>
      <w:lvlText w:val="%8)"/>
      <w:lvlJc w:val="left"/>
      <w:pPr>
        <w:ind w:left="1020" w:hanging="360"/>
      </w:pPr>
    </w:lvl>
    <w:lvl w:ilvl="8" w:tplc="548E3206">
      <w:start w:val="1"/>
      <w:numFmt w:val="decimal"/>
      <w:lvlText w:val="%9)"/>
      <w:lvlJc w:val="left"/>
      <w:pPr>
        <w:ind w:left="1020" w:hanging="360"/>
      </w:pPr>
    </w:lvl>
  </w:abstractNum>
  <w:abstractNum w:abstractNumId="2" w15:restartNumberingAfterBreak="0">
    <w:nsid w:val="3A093168"/>
    <w:multiLevelType w:val="hybridMultilevel"/>
    <w:tmpl w:val="255C92C6"/>
    <w:lvl w:ilvl="0" w:tplc="521689BC">
      <w:start w:val="1"/>
      <w:numFmt w:val="decimal"/>
      <w:lvlText w:val="%1)"/>
      <w:lvlJc w:val="left"/>
      <w:pPr>
        <w:ind w:left="1020" w:hanging="360"/>
      </w:pPr>
    </w:lvl>
    <w:lvl w:ilvl="1" w:tplc="94AAC48A">
      <w:start w:val="1"/>
      <w:numFmt w:val="decimal"/>
      <w:lvlText w:val="%2)"/>
      <w:lvlJc w:val="left"/>
      <w:pPr>
        <w:ind w:left="1020" w:hanging="360"/>
      </w:pPr>
    </w:lvl>
    <w:lvl w:ilvl="2" w:tplc="96FE1D30">
      <w:start w:val="1"/>
      <w:numFmt w:val="decimal"/>
      <w:lvlText w:val="%3)"/>
      <w:lvlJc w:val="left"/>
      <w:pPr>
        <w:ind w:left="1020" w:hanging="360"/>
      </w:pPr>
    </w:lvl>
    <w:lvl w:ilvl="3" w:tplc="27764A78">
      <w:start w:val="1"/>
      <w:numFmt w:val="decimal"/>
      <w:lvlText w:val="%4)"/>
      <w:lvlJc w:val="left"/>
      <w:pPr>
        <w:ind w:left="1020" w:hanging="360"/>
      </w:pPr>
    </w:lvl>
    <w:lvl w:ilvl="4" w:tplc="4776D222">
      <w:start w:val="1"/>
      <w:numFmt w:val="decimal"/>
      <w:lvlText w:val="%5)"/>
      <w:lvlJc w:val="left"/>
      <w:pPr>
        <w:ind w:left="1020" w:hanging="360"/>
      </w:pPr>
    </w:lvl>
    <w:lvl w:ilvl="5" w:tplc="FA345086">
      <w:start w:val="1"/>
      <w:numFmt w:val="decimal"/>
      <w:lvlText w:val="%6)"/>
      <w:lvlJc w:val="left"/>
      <w:pPr>
        <w:ind w:left="1020" w:hanging="360"/>
      </w:pPr>
    </w:lvl>
    <w:lvl w:ilvl="6" w:tplc="95205CDE">
      <w:start w:val="1"/>
      <w:numFmt w:val="decimal"/>
      <w:lvlText w:val="%7)"/>
      <w:lvlJc w:val="left"/>
      <w:pPr>
        <w:ind w:left="1020" w:hanging="360"/>
      </w:pPr>
    </w:lvl>
    <w:lvl w:ilvl="7" w:tplc="25CE9638">
      <w:start w:val="1"/>
      <w:numFmt w:val="decimal"/>
      <w:lvlText w:val="%8)"/>
      <w:lvlJc w:val="left"/>
      <w:pPr>
        <w:ind w:left="1020" w:hanging="360"/>
      </w:pPr>
    </w:lvl>
    <w:lvl w:ilvl="8" w:tplc="51163AFE">
      <w:start w:val="1"/>
      <w:numFmt w:val="decimal"/>
      <w:lvlText w:val="%9)"/>
      <w:lvlJc w:val="left"/>
      <w:pPr>
        <w:ind w:left="1020" w:hanging="360"/>
      </w:pPr>
    </w:lvl>
  </w:abstractNum>
  <w:abstractNum w:abstractNumId="3" w15:restartNumberingAfterBreak="0">
    <w:nsid w:val="5929425F"/>
    <w:multiLevelType w:val="hybridMultilevel"/>
    <w:tmpl w:val="068C6104"/>
    <w:lvl w:ilvl="0" w:tplc="2D2C6F60">
      <w:start w:val="1"/>
      <w:numFmt w:val="decimal"/>
      <w:lvlText w:val="%1)"/>
      <w:lvlJc w:val="left"/>
      <w:pPr>
        <w:ind w:left="1020" w:hanging="360"/>
      </w:pPr>
    </w:lvl>
    <w:lvl w:ilvl="1" w:tplc="1F7636EE">
      <w:start w:val="1"/>
      <w:numFmt w:val="decimal"/>
      <w:lvlText w:val="%2)"/>
      <w:lvlJc w:val="left"/>
      <w:pPr>
        <w:ind w:left="1020" w:hanging="360"/>
      </w:pPr>
    </w:lvl>
    <w:lvl w:ilvl="2" w:tplc="A2668B12">
      <w:start w:val="1"/>
      <w:numFmt w:val="decimal"/>
      <w:lvlText w:val="%3)"/>
      <w:lvlJc w:val="left"/>
      <w:pPr>
        <w:ind w:left="1020" w:hanging="360"/>
      </w:pPr>
    </w:lvl>
    <w:lvl w:ilvl="3" w:tplc="95A0A340">
      <w:start w:val="1"/>
      <w:numFmt w:val="decimal"/>
      <w:lvlText w:val="%4)"/>
      <w:lvlJc w:val="left"/>
      <w:pPr>
        <w:ind w:left="1020" w:hanging="360"/>
      </w:pPr>
    </w:lvl>
    <w:lvl w:ilvl="4" w:tplc="7BF627E8">
      <w:start w:val="1"/>
      <w:numFmt w:val="decimal"/>
      <w:lvlText w:val="%5)"/>
      <w:lvlJc w:val="left"/>
      <w:pPr>
        <w:ind w:left="1020" w:hanging="360"/>
      </w:pPr>
    </w:lvl>
    <w:lvl w:ilvl="5" w:tplc="793431C2">
      <w:start w:val="1"/>
      <w:numFmt w:val="decimal"/>
      <w:lvlText w:val="%6)"/>
      <w:lvlJc w:val="left"/>
      <w:pPr>
        <w:ind w:left="1020" w:hanging="360"/>
      </w:pPr>
    </w:lvl>
    <w:lvl w:ilvl="6" w:tplc="40E4E5EA">
      <w:start w:val="1"/>
      <w:numFmt w:val="decimal"/>
      <w:lvlText w:val="%7)"/>
      <w:lvlJc w:val="left"/>
      <w:pPr>
        <w:ind w:left="1020" w:hanging="360"/>
      </w:pPr>
    </w:lvl>
    <w:lvl w:ilvl="7" w:tplc="E2F6A406">
      <w:start w:val="1"/>
      <w:numFmt w:val="decimal"/>
      <w:lvlText w:val="%8)"/>
      <w:lvlJc w:val="left"/>
      <w:pPr>
        <w:ind w:left="1020" w:hanging="360"/>
      </w:pPr>
    </w:lvl>
    <w:lvl w:ilvl="8" w:tplc="23FCD968">
      <w:start w:val="1"/>
      <w:numFmt w:val="decimal"/>
      <w:lvlText w:val="%9)"/>
      <w:lvlJc w:val="left"/>
      <w:pPr>
        <w:ind w:left="1020" w:hanging="360"/>
      </w:pPr>
    </w:lvl>
  </w:abstractNum>
  <w:abstractNum w:abstractNumId="4" w15:restartNumberingAfterBreak="0">
    <w:nsid w:val="6FBE2059"/>
    <w:multiLevelType w:val="hybridMultilevel"/>
    <w:tmpl w:val="5CB026FE"/>
    <w:lvl w:ilvl="0" w:tplc="3AE83F42">
      <w:start w:val="1"/>
      <w:numFmt w:val="decimal"/>
      <w:lvlText w:val="%1)"/>
      <w:lvlJc w:val="left"/>
      <w:pPr>
        <w:ind w:left="1020" w:hanging="360"/>
      </w:pPr>
    </w:lvl>
    <w:lvl w:ilvl="1" w:tplc="3F02B828">
      <w:start w:val="1"/>
      <w:numFmt w:val="decimal"/>
      <w:lvlText w:val="%2)"/>
      <w:lvlJc w:val="left"/>
      <w:pPr>
        <w:ind w:left="1020" w:hanging="360"/>
      </w:pPr>
    </w:lvl>
    <w:lvl w:ilvl="2" w:tplc="4CCA64A8">
      <w:start w:val="1"/>
      <w:numFmt w:val="decimal"/>
      <w:lvlText w:val="%3)"/>
      <w:lvlJc w:val="left"/>
      <w:pPr>
        <w:ind w:left="1020" w:hanging="360"/>
      </w:pPr>
    </w:lvl>
    <w:lvl w:ilvl="3" w:tplc="DDBC1D88">
      <w:start w:val="1"/>
      <w:numFmt w:val="decimal"/>
      <w:lvlText w:val="%4)"/>
      <w:lvlJc w:val="left"/>
      <w:pPr>
        <w:ind w:left="1020" w:hanging="360"/>
      </w:pPr>
    </w:lvl>
    <w:lvl w:ilvl="4" w:tplc="2C3455EA">
      <w:start w:val="1"/>
      <w:numFmt w:val="decimal"/>
      <w:lvlText w:val="%5)"/>
      <w:lvlJc w:val="left"/>
      <w:pPr>
        <w:ind w:left="1020" w:hanging="360"/>
      </w:pPr>
    </w:lvl>
    <w:lvl w:ilvl="5" w:tplc="654A2AB2">
      <w:start w:val="1"/>
      <w:numFmt w:val="decimal"/>
      <w:lvlText w:val="%6)"/>
      <w:lvlJc w:val="left"/>
      <w:pPr>
        <w:ind w:left="1020" w:hanging="360"/>
      </w:pPr>
    </w:lvl>
    <w:lvl w:ilvl="6" w:tplc="7834F816">
      <w:start w:val="1"/>
      <w:numFmt w:val="decimal"/>
      <w:lvlText w:val="%7)"/>
      <w:lvlJc w:val="left"/>
      <w:pPr>
        <w:ind w:left="1020" w:hanging="360"/>
      </w:pPr>
    </w:lvl>
    <w:lvl w:ilvl="7" w:tplc="012C596C">
      <w:start w:val="1"/>
      <w:numFmt w:val="decimal"/>
      <w:lvlText w:val="%8)"/>
      <w:lvlJc w:val="left"/>
      <w:pPr>
        <w:ind w:left="1020" w:hanging="360"/>
      </w:pPr>
    </w:lvl>
    <w:lvl w:ilvl="8" w:tplc="0A0259F0">
      <w:start w:val="1"/>
      <w:numFmt w:val="decimal"/>
      <w:lvlText w:val="%9)"/>
      <w:lvlJc w:val="left"/>
      <w:pPr>
        <w:ind w:left="1020" w:hanging="360"/>
      </w:pPr>
    </w:lvl>
  </w:abstractNum>
  <w:num w:numId="1" w16cid:durableId="1353800233">
    <w:abstractNumId w:val="0"/>
  </w:num>
  <w:num w:numId="2" w16cid:durableId="1506744171">
    <w:abstractNumId w:val="2"/>
  </w:num>
  <w:num w:numId="3" w16cid:durableId="1209147270">
    <w:abstractNumId w:val="1"/>
  </w:num>
  <w:num w:numId="4" w16cid:durableId="299503889">
    <w:abstractNumId w:val="3"/>
  </w:num>
  <w:num w:numId="5" w16cid:durableId="182512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03"/>
    <w:rsid w:val="0000592C"/>
    <w:rsid w:val="00006856"/>
    <w:rsid w:val="00011284"/>
    <w:rsid w:val="0001189B"/>
    <w:rsid w:val="00011CD9"/>
    <w:rsid w:val="00012522"/>
    <w:rsid w:val="000159AC"/>
    <w:rsid w:val="00015F6A"/>
    <w:rsid w:val="00016BC4"/>
    <w:rsid w:val="000172CA"/>
    <w:rsid w:val="000176A0"/>
    <w:rsid w:val="00020183"/>
    <w:rsid w:val="00022AFE"/>
    <w:rsid w:val="0002536E"/>
    <w:rsid w:val="00030746"/>
    <w:rsid w:val="0003158D"/>
    <w:rsid w:val="00033A37"/>
    <w:rsid w:val="00035E3E"/>
    <w:rsid w:val="0003605D"/>
    <w:rsid w:val="000412B6"/>
    <w:rsid w:val="000474DC"/>
    <w:rsid w:val="00053856"/>
    <w:rsid w:val="00053CA5"/>
    <w:rsid w:val="00053FA0"/>
    <w:rsid w:val="00055D01"/>
    <w:rsid w:val="00056CA6"/>
    <w:rsid w:val="0006308C"/>
    <w:rsid w:val="000654C3"/>
    <w:rsid w:val="00066526"/>
    <w:rsid w:val="00067C7D"/>
    <w:rsid w:val="000703AF"/>
    <w:rsid w:val="00070798"/>
    <w:rsid w:val="0007317F"/>
    <w:rsid w:val="0007422B"/>
    <w:rsid w:val="0007655C"/>
    <w:rsid w:val="00077FFA"/>
    <w:rsid w:val="00080383"/>
    <w:rsid w:val="000811A3"/>
    <w:rsid w:val="00082A79"/>
    <w:rsid w:val="00082ADC"/>
    <w:rsid w:val="00083A12"/>
    <w:rsid w:val="00086967"/>
    <w:rsid w:val="00086999"/>
    <w:rsid w:val="00086ACC"/>
    <w:rsid w:val="00086C6B"/>
    <w:rsid w:val="00087000"/>
    <w:rsid w:val="00090316"/>
    <w:rsid w:val="000925B3"/>
    <w:rsid w:val="00094BAF"/>
    <w:rsid w:val="000A03CC"/>
    <w:rsid w:val="000A2723"/>
    <w:rsid w:val="000A39C5"/>
    <w:rsid w:val="000B0888"/>
    <w:rsid w:val="000B1526"/>
    <w:rsid w:val="000B1B3C"/>
    <w:rsid w:val="000B2623"/>
    <w:rsid w:val="000B361A"/>
    <w:rsid w:val="000B4619"/>
    <w:rsid w:val="000B549C"/>
    <w:rsid w:val="000B55D5"/>
    <w:rsid w:val="000B5A4E"/>
    <w:rsid w:val="000C1F37"/>
    <w:rsid w:val="000C3340"/>
    <w:rsid w:val="000C4656"/>
    <w:rsid w:val="000C48A9"/>
    <w:rsid w:val="000C4EDF"/>
    <w:rsid w:val="000C500A"/>
    <w:rsid w:val="000C5065"/>
    <w:rsid w:val="000C5E84"/>
    <w:rsid w:val="000C63D3"/>
    <w:rsid w:val="000D02A0"/>
    <w:rsid w:val="000D10F1"/>
    <w:rsid w:val="000D16C6"/>
    <w:rsid w:val="000D26A1"/>
    <w:rsid w:val="000D32F4"/>
    <w:rsid w:val="000D6731"/>
    <w:rsid w:val="000D76A5"/>
    <w:rsid w:val="000D7D9F"/>
    <w:rsid w:val="000D7EED"/>
    <w:rsid w:val="000D7EF7"/>
    <w:rsid w:val="000E39B9"/>
    <w:rsid w:val="000E5442"/>
    <w:rsid w:val="000E7245"/>
    <w:rsid w:val="000E729F"/>
    <w:rsid w:val="000E7893"/>
    <w:rsid w:val="000F07D3"/>
    <w:rsid w:val="000F165F"/>
    <w:rsid w:val="000F3276"/>
    <w:rsid w:val="000F3DD1"/>
    <w:rsid w:val="000F4404"/>
    <w:rsid w:val="000F53F0"/>
    <w:rsid w:val="000F5554"/>
    <w:rsid w:val="000F55F0"/>
    <w:rsid w:val="000F6375"/>
    <w:rsid w:val="000F7639"/>
    <w:rsid w:val="001013BE"/>
    <w:rsid w:val="00102445"/>
    <w:rsid w:val="00103219"/>
    <w:rsid w:val="001043F5"/>
    <w:rsid w:val="00104559"/>
    <w:rsid w:val="0011205D"/>
    <w:rsid w:val="00113EC8"/>
    <w:rsid w:val="00115106"/>
    <w:rsid w:val="001154FC"/>
    <w:rsid w:val="0011621A"/>
    <w:rsid w:val="0012040F"/>
    <w:rsid w:val="00120E5D"/>
    <w:rsid w:val="001215FC"/>
    <w:rsid w:val="00122135"/>
    <w:rsid w:val="0012362B"/>
    <w:rsid w:val="001262CE"/>
    <w:rsid w:val="00127AEE"/>
    <w:rsid w:val="00133699"/>
    <w:rsid w:val="00134208"/>
    <w:rsid w:val="00135761"/>
    <w:rsid w:val="00136376"/>
    <w:rsid w:val="00136CAE"/>
    <w:rsid w:val="001405D1"/>
    <w:rsid w:val="00140FB2"/>
    <w:rsid w:val="00142B14"/>
    <w:rsid w:val="001432D9"/>
    <w:rsid w:val="0014330F"/>
    <w:rsid w:val="00144C08"/>
    <w:rsid w:val="00144CCA"/>
    <w:rsid w:val="0014601A"/>
    <w:rsid w:val="00146E36"/>
    <w:rsid w:val="00150303"/>
    <w:rsid w:val="001516A9"/>
    <w:rsid w:val="00153E44"/>
    <w:rsid w:val="00155B55"/>
    <w:rsid w:val="00155D41"/>
    <w:rsid w:val="00160ECB"/>
    <w:rsid w:val="0016137B"/>
    <w:rsid w:val="00164937"/>
    <w:rsid w:val="00166D29"/>
    <w:rsid w:val="00167564"/>
    <w:rsid w:val="00170F2F"/>
    <w:rsid w:val="001722F1"/>
    <w:rsid w:val="00172570"/>
    <w:rsid w:val="00172A97"/>
    <w:rsid w:val="0017430F"/>
    <w:rsid w:val="001754A5"/>
    <w:rsid w:val="00176E81"/>
    <w:rsid w:val="00177D8E"/>
    <w:rsid w:val="00180619"/>
    <w:rsid w:val="00183922"/>
    <w:rsid w:val="0018684F"/>
    <w:rsid w:val="00186FCD"/>
    <w:rsid w:val="00190F00"/>
    <w:rsid w:val="00192C89"/>
    <w:rsid w:val="001950B0"/>
    <w:rsid w:val="00195BCB"/>
    <w:rsid w:val="00196770"/>
    <w:rsid w:val="001967C8"/>
    <w:rsid w:val="001A17AA"/>
    <w:rsid w:val="001A2229"/>
    <w:rsid w:val="001A28EF"/>
    <w:rsid w:val="001A3193"/>
    <w:rsid w:val="001A34CB"/>
    <w:rsid w:val="001A40E5"/>
    <w:rsid w:val="001A4388"/>
    <w:rsid w:val="001A4D8C"/>
    <w:rsid w:val="001A6BB1"/>
    <w:rsid w:val="001B0BBA"/>
    <w:rsid w:val="001B18C5"/>
    <w:rsid w:val="001B2A4F"/>
    <w:rsid w:val="001B48F9"/>
    <w:rsid w:val="001B4998"/>
    <w:rsid w:val="001B724F"/>
    <w:rsid w:val="001B72D9"/>
    <w:rsid w:val="001C03B8"/>
    <w:rsid w:val="001C12D1"/>
    <w:rsid w:val="001C1847"/>
    <w:rsid w:val="001C1E25"/>
    <w:rsid w:val="001C20E2"/>
    <w:rsid w:val="001C3838"/>
    <w:rsid w:val="001D041C"/>
    <w:rsid w:val="001D0B75"/>
    <w:rsid w:val="001D2813"/>
    <w:rsid w:val="001D7385"/>
    <w:rsid w:val="001D7674"/>
    <w:rsid w:val="001E025E"/>
    <w:rsid w:val="001E3A6C"/>
    <w:rsid w:val="001E4948"/>
    <w:rsid w:val="001E5F82"/>
    <w:rsid w:val="001E77CC"/>
    <w:rsid w:val="001E7EA3"/>
    <w:rsid w:val="001F5631"/>
    <w:rsid w:val="001F71B1"/>
    <w:rsid w:val="002021D7"/>
    <w:rsid w:val="00205269"/>
    <w:rsid w:val="002060DD"/>
    <w:rsid w:val="00207BBB"/>
    <w:rsid w:val="00207FCA"/>
    <w:rsid w:val="00210409"/>
    <w:rsid w:val="00210599"/>
    <w:rsid w:val="00210BE7"/>
    <w:rsid w:val="00212FC4"/>
    <w:rsid w:val="00213518"/>
    <w:rsid w:val="00214F9C"/>
    <w:rsid w:val="0021550B"/>
    <w:rsid w:val="00215EAD"/>
    <w:rsid w:val="00217284"/>
    <w:rsid w:val="002173B8"/>
    <w:rsid w:val="00220371"/>
    <w:rsid w:val="00222E49"/>
    <w:rsid w:val="00224212"/>
    <w:rsid w:val="00224FF5"/>
    <w:rsid w:val="00226581"/>
    <w:rsid w:val="002309A8"/>
    <w:rsid w:val="00231194"/>
    <w:rsid w:val="00231281"/>
    <w:rsid w:val="00234233"/>
    <w:rsid w:val="00234981"/>
    <w:rsid w:val="00236881"/>
    <w:rsid w:val="00236B08"/>
    <w:rsid w:val="00236BD6"/>
    <w:rsid w:val="00241E1D"/>
    <w:rsid w:val="002432AB"/>
    <w:rsid w:val="002452BB"/>
    <w:rsid w:val="00246560"/>
    <w:rsid w:val="00246847"/>
    <w:rsid w:val="00246BCF"/>
    <w:rsid w:val="00252093"/>
    <w:rsid w:val="00253045"/>
    <w:rsid w:val="00253BD2"/>
    <w:rsid w:val="002548FE"/>
    <w:rsid w:val="00254A1D"/>
    <w:rsid w:val="002552C4"/>
    <w:rsid w:val="00255EC1"/>
    <w:rsid w:val="00256C30"/>
    <w:rsid w:val="00260309"/>
    <w:rsid w:val="002612DE"/>
    <w:rsid w:val="002613D8"/>
    <w:rsid w:val="00263E76"/>
    <w:rsid w:val="002650E7"/>
    <w:rsid w:val="00266BF3"/>
    <w:rsid w:val="0027079D"/>
    <w:rsid w:val="002708D0"/>
    <w:rsid w:val="00270B82"/>
    <w:rsid w:val="00271A70"/>
    <w:rsid w:val="0027220E"/>
    <w:rsid w:val="00272CC9"/>
    <w:rsid w:val="00273E6A"/>
    <w:rsid w:val="00276F3F"/>
    <w:rsid w:val="00277F6C"/>
    <w:rsid w:val="0028771A"/>
    <w:rsid w:val="002907F9"/>
    <w:rsid w:val="0029092D"/>
    <w:rsid w:val="00291166"/>
    <w:rsid w:val="00292462"/>
    <w:rsid w:val="002929BB"/>
    <w:rsid w:val="00295A3B"/>
    <w:rsid w:val="0029719F"/>
    <w:rsid w:val="002A0B28"/>
    <w:rsid w:val="002A0DFF"/>
    <w:rsid w:val="002A1807"/>
    <w:rsid w:val="002A3831"/>
    <w:rsid w:val="002A6D4A"/>
    <w:rsid w:val="002B34EB"/>
    <w:rsid w:val="002B6B8C"/>
    <w:rsid w:val="002B7C3D"/>
    <w:rsid w:val="002C0B38"/>
    <w:rsid w:val="002C0D99"/>
    <w:rsid w:val="002C156D"/>
    <w:rsid w:val="002C4EA8"/>
    <w:rsid w:val="002C5357"/>
    <w:rsid w:val="002D1895"/>
    <w:rsid w:val="002D2A7E"/>
    <w:rsid w:val="002D5927"/>
    <w:rsid w:val="002D7ECB"/>
    <w:rsid w:val="002E1361"/>
    <w:rsid w:val="002E152C"/>
    <w:rsid w:val="002E1C88"/>
    <w:rsid w:val="002E771A"/>
    <w:rsid w:val="002E7C79"/>
    <w:rsid w:val="002F0478"/>
    <w:rsid w:val="002F0A8B"/>
    <w:rsid w:val="002F127C"/>
    <w:rsid w:val="002F3140"/>
    <w:rsid w:val="002F3A37"/>
    <w:rsid w:val="002F4423"/>
    <w:rsid w:val="002F5FB2"/>
    <w:rsid w:val="002F6CAE"/>
    <w:rsid w:val="00302E9E"/>
    <w:rsid w:val="00302F0D"/>
    <w:rsid w:val="003039A4"/>
    <w:rsid w:val="00304C3F"/>
    <w:rsid w:val="00305E0A"/>
    <w:rsid w:val="00306931"/>
    <w:rsid w:val="00311CE0"/>
    <w:rsid w:val="00313642"/>
    <w:rsid w:val="0031522F"/>
    <w:rsid w:val="00315BCE"/>
    <w:rsid w:val="00317D4B"/>
    <w:rsid w:val="00322171"/>
    <w:rsid w:val="00327D90"/>
    <w:rsid w:val="003309AC"/>
    <w:rsid w:val="00332A2D"/>
    <w:rsid w:val="003334C8"/>
    <w:rsid w:val="00335B4F"/>
    <w:rsid w:val="00336533"/>
    <w:rsid w:val="0033690D"/>
    <w:rsid w:val="00337C6C"/>
    <w:rsid w:val="0034098E"/>
    <w:rsid w:val="00340FAF"/>
    <w:rsid w:val="00342B8A"/>
    <w:rsid w:val="00343D94"/>
    <w:rsid w:val="00345CF5"/>
    <w:rsid w:val="003477EB"/>
    <w:rsid w:val="003510BF"/>
    <w:rsid w:val="0035112C"/>
    <w:rsid w:val="0035188B"/>
    <w:rsid w:val="00352F4B"/>
    <w:rsid w:val="00353497"/>
    <w:rsid w:val="00356230"/>
    <w:rsid w:val="003569C8"/>
    <w:rsid w:val="00357995"/>
    <w:rsid w:val="00360084"/>
    <w:rsid w:val="00365494"/>
    <w:rsid w:val="003660D9"/>
    <w:rsid w:val="00366F5A"/>
    <w:rsid w:val="00370F58"/>
    <w:rsid w:val="00373825"/>
    <w:rsid w:val="00375BFD"/>
    <w:rsid w:val="00376F4F"/>
    <w:rsid w:val="003777BE"/>
    <w:rsid w:val="00381745"/>
    <w:rsid w:val="003821E5"/>
    <w:rsid w:val="00382514"/>
    <w:rsid w:val="0038300C"/>
    <w:rsid w:val="003849A6"/>
    <w:rsid w:val="003850D0"/>
    <w:rsid w:val="00385761"/>
    <w:rsid w:val="003904D8"/>
    <w:rsid w:val="00391B9C"/>
    <w:rsid w:val="003922DC"/>
    <w:rsid w:val="00392764"/>
    <w:rsid w:val="0039284C"/>
    <w:rsid w:val="00395E59"/>
    <w:rsid w:val="00396B82"/>
    <w:rsid w:val="00396C1F"/>
    <w:rsid w:val="003A16A4"/>
    <w:rsid w:val="003A60A6"/>
    <w:rsid w:val="003C0730"/>
    <w:rsid w:val="003C4EE0"/>
    <w:rsid w:val="003C7FB3"/>
    <w:rsid w:val="003D1793"/>
    <w:rsid w:val="003D21F7"/>
    <w:rsid w:val="003D2B91"/>
    <w:rsid w:val="003D4723"/>
    <w:rsid w:val="003D5674"/>
    <w:rsid w:val="003E2794"/>
    <w:rsid w:val="003E2B77"/>
    <w:rsid w:val="003E5395"/>
    <w:rsid w:val="003E6028"/>
    <w:rsid w:val="003E6277"/>
    <w:rsid w:val="003E6B38"/>
    <w:rsid w:val="003F1AA2"/>
    <w:rsid w:val="003F1D14"/>
    <w:rsid w:val="003F5050"/>
    <w:rsid w:val="003F5DF9"/>
    <w:rsid w:val="00402B95"/>
    <w:rsid w:val="004048DE"/>
    <w:rsid w:val="00406EDB"/>
    <w:rsid w:val="00413634"/>
    <w:rsid w:val="004212B0"/>
    <w:rsid w:val="00424137"/>
    <w:rsid w:val="00424AE3"/>
    <w:rsid w:val="00424C8C"/>
    <w:rsid w:val="00424D59"/>
    <w:rsid w:val="00425928"/>
    <w:rsid w:val="00425B5E"/>
    <w:rsid w:val="004269D4"/>
    <w:rsid w:val="0043269E"/>
    <w:rsid w:val="004338CA"/>
    <w:rsid w:val="00436A5B"/>
    <w:rsid w:val="00440A47"/>
    <w:rsid w:val="00440E25"/>
    <w:rsid w:val="004505B7"/>
    <w:rsid w:val="004512DA"/>
    <w:rsid w:val="00453415"/>
    <w:rsid w:val="004546B0"/>
    <w:rsid w:val="00455B83"/>
    <w:rsid w:val="004562A8"/>
    <w:rsid w:val="0045794F"/>
    <w:rsid w:val="004603C8"/>
    <w:rsid w:val="004610DD"/>
    <w:rsid w:val="00463752"/>
    <w:rsid w:val="00464D93"/>
    <w:rsid w:val="0047104A"/>
    <w:rsid w:val="00473F17"/>
    <w:rsid w:val="00475830"/>
    <w:rsid w:val="00475FAB"/>
    <w:rsid w:val="004823EC"/>
    <w:rsid w:val="00483E9B"/>
    <w:rsid w:val="00486C1A"/>
    <w:rsid w:val="0048715C"/>
    <w:rsid w:val="00490838"/>
    <w:rsid w:val="00490C00"/>
    <w:rsid w:val="0049121C"/>
    <w:rsid w:val="00494657"/>
    <w:rsid w:val="00494DE1"/>
    <w:rsid w:val="00495A26"/>
    <w:rsid w:val="00497727"/>
    <w:rsid w:val="004A3CF2"/>
    <w:rsid w:val="004A7007"/>
    <w:rsid w:val="004A70FD"/>
    <w:rsid w:val="004A7550"/>
    <w:rsid w:val="004A7E07"/>
    <w:rsid w:val="004B0A50"/>
    <w:rsid w:val="004B1858"/>
    <w:rsid w:val="004B1882"/>
    <w:rsid w:val="004B560F"/>
    <w:rsid w:val="004B5C93"/>
    <w:rsid w:val="004B7F4D"/>
    <w:rsid w:val="004C0446"/>
    <w:rsid w:val="004C34D4"/>
    <w:rsid w:val="004C3628"/>
    <w:rsid w:val="004C537D"/>
    <w:rsid w:val="004C6062"/>
    <w:rsid w:val="004C61B3"/>
    <w:rsid w:val="004C73E0"/>
    <w:rsid w:val="004D02A5"/>
    <w:rsid w:val="004D0D42"/>
    <w:rsid w:val="004D0F10"/>
    <w:rsid w:val="004D3B71"/>
    <w:rsid w:val="004D7280"/>
    <w:rsid w:val="004D76C5"/>
    <w:rsid w:val="004E021F"/>
    <w:rsid w:val="004E0F34"/>
    <w:rsid w:val="004E3496"/>
    <w:rsid w:val="004E3ABA"/>
    <w:rsid w:val="004F07D5"/>
    <w:rsid w:val="004F0D78"/>
    <w:rsid w:val="004F1B41"/>
    <w:rsid w:val="004F3ADD"/>
    <w:rsid w:val="004F6187"/>
    <w:rsid w:val="004F6DA8"/>
    <w:rsid w:val="004F7999"/>
    <w:rsid w:val="0050295B"/>
    <w:rsid w:val="00503799"/>
    <w:rsid w:val="00504C72"/>
    <w:rsid w:val="0050673A"/>
    <w:rsid w:val="005107B4"/>
    <w:rsid w:val="00512136"/>
    <w:rsid w:val="005125A5"/>
    <w:rsid w:val="00513351"/>
    <w:rsid w:val="00514BA0"/>
    <w:rsid w:val="0051690B"/>
    <w:rsid w:val="00517644"/>
    <w:rsid w:val="00517DB4"/>
    <w:rsid w:val="00521A5E"/>
    <w:rsid w:val="00523267"/>
    <w:rsid w:val="005234FD"/>
    <w:rsid w:val="00523766"/>
    <w:rsid w:val="0052392B"/>
    <w:rsid w:val="0052426B"/>
    <w:rsid w:val="00526123"/>
    <w:rsid w:val="0052619E"/>
    <w:rsid w:val="0052644D"/>
    <w:rsid w:val="005273D1"/>
    <w:rsid w:val="00527AAF"/>
    <w:rsid w:val="00531BF3"/>
    <w:rsid w:val="00532F87"/>
    <w:rsid w:val="00533E36"/>
    <w:rsid w:val="00536B63"/>
    <w:rsid w:val="00537850"/>
    <w:rsid w:val="00540A04"/>
    <w:rsid w:val="00542117"/>
    <w:rsid w:val="0054339A"/>
    <w:rsid w:val="00543744"/>
    <w:rsid w:val="00547B57"/>
    <w:rsid w:val="00551A60"/>
    <w:rsid w:val="00551AA5"/>
    <w:rsid w:val="00551BFA"/>
    <w:rsid w:val="0055412C"/>
    <w:rsid w:val="005541F2"/>
    <w:rsid w:val="005553CB"/>
    <w:rsid w:val="00557F4C"/>
    <w:rsid w:val="00560738"/>
    <w:rsid w:val="00560FE3"/>
    <w:rsid w:val="00561263"/>
    <w:rsid w:val="0056420E"/>
    <w:rsid w:val="00564F0A"/>
    <w:rsid w:val="00564FEE"/>
    <w:rsid w:val="00566C38"/>
    <w:rsid w:val="00567A34"/>
    <w:rsid w:val="005716F1"/>
    <w:rsid w:val="0057485C"/>
    <w:rsid w:val="00575D57"/>
    <w:rsid w:val="0057621D"/>
    <w:rsid w:val="00576CCF"/>
    <w:rsid w:val="0058250D"/>
    <w:rsid w:val="005825AB"/>
    <w:rsid w:val="005852CB"/>
    <w:rsid w:val="00586A5E"/>
    <w:rsid w:val="00590C3E"/>
    <w:rsid w:val="00594AC9"/>
    <w:rsid w:val="005960AD"/>
    <w:rsid w:val="005A11B1"/>
    <w:rsid w:val="005A2045"/>
    <w:rsid w:val="005A2642"/>
    <w:rsid w:val="005A40BB"/>
    <w:rsid w:val="005A435E"/>
    <w:rsid w:val="005A4F88"/>
    <w:rsid w:val="005A50E2"/>
    <w:rsid w:val="005B0406"/>
    <w:rsid w:val="005B3EAA"/>
    <w:rsid w:val="005B4C81"/>
    <w:rsid w:val="005B4D97"/>
    <w:rsid w:val="005C026B"/>
    <w:rsid w:val="005C1B52"/>
    <w:rsid w:val="005C24FF"/>
    <w:rsid w:val="005C4650"/>
    <w:rsid w:val="005D077B"/>
    <w:rsid w:val="005D3F63"/>
    <w:rsid w:val="005D748F"/>
    <w:rsid w:val="005E024B"/>
    <w:rsid w:val="005E1691"/>
    <w:rsid w:val="005E426A"/>
    <w:rsid w:val="005E53DB"/>
    <w:rsid w:val="005E5D0D"/>
    <w:rsid w:val="005F3674"/>
    <w:rsid w:val="005F3C06"/>
    <w:rsid w:val="005F4243"/>
    <w:rsid w:val="005F4D36"/>
    <w:rsid w:val="005F50B0"/>
    <w:rsid w:val="005F6768"/>
    <w:rsid w:val="005F7C0F"/>
    <w:rsid w:val="00600844"/>
    <w:rsid w:val="006008A5"/>
    <w:rsid w:val="00600914"/>
    <w:rsid w:val="00601B49"/>
    <w:rsid w:val="0060341F"/>
    <w:rsid w:val="00603495"/>
    <w:rsid w:val="0060380B"/>
    <w:rsid w:val="00604515"/>
    <w:rsid w:val="00604F53"/>
    <w:rsid w:val="006051D7"/>
    <w:rsid w:val="00606373"/>
    <w:rsid w:val="00607C9C"/>
    <w:rsid w:val="0061208B"/>
    <w:rsid w:val="00613A2F"/>
    <w:rsid w:val="0061473D"/>
    <w:rsid w:val="00615D9D"/>
    <w:rsid w:val="0061696F"/>
    <w:rsid w:val="00616FD7"/>
    <w:rsid w:val="006208AE"/>
    <w:rsid w:val="00620D27"/>
    <w:rsid w:val="006212A8"/>
    <w:rsid w:val="00622E0B"/>
    <w:rsid w:val="00625517"/>
    <w:rsid w:val="00626B8D"/>
    <w:rsid w:val="00631F0A"/>
    <w:rsid w:val="006320E9"/>
    <w:rsid w:val="006335AE"/>
    <w:rsid w:val="00633D60"/>
    <w:rsid w:val="006340FE"/>
    <w:rsid w:val="00635164"/>
    <w:rsid w:val="00637DBC"/>
    <w:rsid w:val="006436EC"/>
    <w:rsid w:val="00646116"/>
    <w:rsid w:val="006466BD"/>
    <w:rsid w:val="00646983"/>
    <w:rsid w:val="00647255"/>
    <w:rsid w:val="00647321"/>
    <w:rsid w:val="006507A9"/>
    <w:rsid w:val="00650F78"/>
    <w:rsid w:val="00652914"/>
    <w:rsid w:val="0065310C"/>
    <w:rsid w:val="006544A3"/>
    <w:rsid w:val="00655377"/>
    <w:rsid w:val="006577D2"/>
    <w:rsid w:val="00661F9F"/>
    <w:rsid w:val="006632BB"/>
    <w:rsid w:val="0066464C"/>
    <w:rsid w:val="00665523"/>
    <w:rsid w:val="00667E3A"/>
    <w:rsid w:val="006749E6"/>
    <w:rsid w:val="00674FDD"/>
    <w:rsid w:val="0067594D"/>
    <w:rsid w:val="00676563"/>
    <w:rsid w:val="00680D0D"/>
    <w:rsid w:val="00680F05"/>
    <w:rsid w:val="006840BD"/>
    <w:rsid w:val="00685A39"/>
    <w:rsid w:val="00690893"/>
    <w:rsid w:val="0069123F"/>
    <w:rsid w:val="00696521"/>
    <w:rsid w:val="006A0095"/>
    <w:rsid w:val="006A0BC9"/>
    <w:rsid w:val="006A6F46"/>
    <w:rsid w:val="006B1C73"/>
    <w:rsid w:val="006B2126"/>
    <w:rsid w:val="006B2826"/>
    <w:rsid w:val="006B569E"/>
    <w:rsid w:val="006B6A5A"/>
    <w:rsid w:val="006B71EC"/>
    <w:rsid w:val="006B7F22"/>
    <w:rsid w:val="006C2B4B"/>
    <w:rsid w:val="006C545B"/>
    <w:rsid w:val="006C5D79"/>
    <w:rsid w:val="006C62E7"/>
    <w:rsid w:val="006C6500"/>
    <w:rsid w:val="006C775B"/>
    <w:rsid w:val="006D3DEA"/>
    <w:rsid w:val="006E0796"/>
    <w:rsid w:val="006E0C4D"/>
    <w:rsid w:val="006E0EC1"/>
    <w:rsid w:val="006E150C"/>
    <w:rsid w:val="006E16D8"/>
    <w:rsid w:val="006E4285"/>
    <w:rsid w:val="006E6697"/>
    <w:rsid w:val="006E6A5E"/>
    <w:rsid w:val="006E6CB4"/>
    <w:rsid w:val="006F0670"/>
    <w:rsid w:val="006F0D86"/>
    <w:rsid w:val="006F1F15"/>
    <w:rsid w:val="006F22AA"/>
    <w:rsid w:val="006F25FE"/>
    <w:rsid w:val="007002F0"/>
    <w:rsid w:val="00702A66"/>
    <w:rsid w:val="00710701"/>
    <w:rsid w:val="0071182C"/>
    <w:rsid w:val="00711C93"/>
    <w:rsid w:val="00711E6F"/>
    <w:rsid w:val="00712D9E"/>
    <w:rsid w:val="007156A6"/>
    <w:rsid w:val="007157F0"/>
    <w:rsid w:val="00717205"/>
    <w:rsid w:val="007176B9"/>
    <w:rsid w:val="00717B39"/>
    <w:rsid w:val="00720EA3"/>
    <w:rsid w:val="00721573"/>
    <w:rsid w:val="00721682"/>
    <w:rsid w:val="0072198A"/>
    <w:rsid w:val="00721991"/>
    <w:rsid w:val="0072512E"/>
    <w:rsid w:val="007260C1"/>
    <w:rsid w:val="0073001D"/>
    <w:rsid w:val="00734316"/>
    <w:rsid w:val="007366BE"/>
    <w:rsid w:val="007377F2"/>
    <w:rsid w:val="00737AE6"/>
    <w:rsid w:val="00741746"/>
    <w:rsid w:val="00742BDF"/>
    <w:rsid w:val="007430FC"/>
    <w:rsid w:val="00743293"/>
    <w:rsid w:val="007468C9"/>
    <w:rsid w:val="007515C4"/>
    <w:rsid w:val="00751AD4"/>
    <w:rsid w:val="007545A5"/>
    <w:rsid w:val="007602E0"/>
    <w:rsid w:val="00762896"/>
    <w:rsid w:val="00773DBF"/>
    <w:rsid w:val="0077584C"/>
    <w:rsid w:val="00775CF5"/>
    <w:rsid w:val="00777D49"/>
    <w:rsid w:val="00782419"/>
    <w:rsid w:val="00782832"/>
    <w:rsid w:val="00783094"/>
    <w:rsid w:val="007846F1"/>
    <w:rsid w:val="00784972"/>
    <w:rsid w:val="0078574A"/>
    <w:rsid w:val="00790D71"/>
    <w:rsid w:val="007977E5"/>
    <w:rsid w:val="007A032C"/>
    <w:rsid w:val="007A1594"/>
    <w:rsid w:val="007A181A"/>
    <w:rsid w:val="007A2DB4"/>
    <w:rsid w:val="007A35AE"/>
    <w:rsid w:val="007A4A6A"/>
    <w:rsid w:val="007A545F"/>
    <w:rsid w:val="007A71CB"/>
    <w:rsid w:val="007A7A81"/>
    <w:rsid w:val="007A7D4B"/>
    <w:rsid w:val="007B29D1"/>
    <w:rsid w:val="007B568B"/>
    <w:rsid w:val="007B773A"/>
    <w:rsid w:val="007C3F74"/>
    <w:rsid w:val="007C705C"/>
    <w:rsid w:val="007D2654"/>
    <w:rsid w:val="007D27EF"/>
    <w:rsid w:val="007D68D7"/>
    <w:rsid w:val="007D7528"/>
    <w:rsid w:val="007D756A"/>
    <w:rsid w:val="007D79B6"/>
    <w:rsid w:val="007E07FD"/>
    <w:rsid w:val="007E3186"/>
    <w:rsid w:val="007E4B64"/>
    <w:rsid w:val="007E513F"/>
    <w:rsid w:val="007E57A2"/>
    <w:rsid w:val="007E64AF"/>
    <w:rsid w:val="007E7139"/>
    <w:rsid w:val="007F18B3"/>
    <w:rsid w:val="007F1AC6"/>
    <w:rsid w:val="007F1FA5"/>
    <w:rsid w:val="007F480F"/>
    <w:rsid w:val="007F5BD2"/>
    <w:rsid w:val="007F60DF"/>
    <w:rsid w:val="007F6D94"/>
    <w:rsid w:val="007F6E8C"/>
    <w:rsid w:val="007F7E87"/>
    <w:rsid w:val="007F7EDB"/>
    <w:rsid w:val="00800BBD"/>
    <w:rsid w:val="00800F1A"/>
    <w:rsid w:val="0080327F"/>
    <w:rsid w:val="008051AC"/>
    <w:rsid w:val="008056FF"/>
    <w:rsid w:val="00806F59"/>
    <w:rsid w:val="00810D8D"/>
    <w:rsid w:val="00812644"/>
    <w:rsid w:val="0081412F"/>
    <w:rsid w:val="00815326"/>
    <w:rsid w:val="00817C60"/>
    <w:rsid w:val="008227AB"/>
    <w:rsid w:val="0082282B"/>
    <w:rsid w:val="00822E25"/>
    <w:rsid w:val="008231DF"/>
    <w:rsid w:val="008248CE"/>
    <w:rsid w:val="00824ABA"/>
    <w:rsid w:val="0082522C"/>
    <w:rsid w:val="00825EF7"/>
    <w:rsid w:val="00830863"/>
    <w:rsid w:val="00830DEC"/>
    <w:rsid w:val="00830EBF"/>
    <w:rsid w:val="008318DC"/>
    <w:rsid w:val="00831DC6"/>
    <w:rsid w:val="00834CEA"/>
    <w:rsid w:val="008364AD"/>
    <w:rsid w:val="00844337"/>
    <w:rsid w:val="00845208"/>
    <w:rsid w:val="00845E97"/>
    <w:rsid w:val="00855429"/>
    <w:rsid w:val="008652C7"/>
    <w:rsid w:val="00865464"/>
    <w:rsid w:val="008659D3"/>
    <w:rsid w:val="00866177"/>
    <w:rsid w:val="00872780"/>
    <w:rsid w:val="00873CBE"/>
    <w:rsid w:val="00875318"/>
    <w:rsid w:val="0087542E"/>
    <w:rsid w:val="00876A6F"/>
    <w:rsid w:val="008774E8"/>
    <w:rsid w:val="00881156"/>
    <w:rsid w:val="00882A63"/>
    <w:rsid w:val="00882A6B"/>
    <w:rsid w:val="00882D49"/>
    <w:rsid w:val="008851C2"/>
    <w:rsid w:val="00885CFA"/>
    <w:rsid w:val="00886831"/>
    <w:rsid w:val="008879C9"/>
    <w:rsid w:val="00887C9C"/>
    <w:rsid w:val="0089082B"/>
    <w:rsid w:val="00892B6A"/>
    <w:rsid w:val="0089585C"/>
    <w:rsid w:val="008961D6"/>
    <w:rsid w:val="008969F8"/>
    <w:rsid w:val="008A0108"/>
    <w:rsid w:val="008A0DB7"/>
    <w:rsid w:val="008A5040"/>
    <w:rsid w:val="008A5E74"/>
    <w:rsid w:val="008A64F5"/>
    <w:rsid w:val="008A7E9B"/>
    <w:rsid w:val="008B0F55"/>
    <w:rsid w:val="008B1558"/>
    <w:rsid w:val="008B45F0"/>
    <w:rsid w:val="008B4ED4"/>
    <w:rsid w:val="008B5953"/>
    <w:rsid w:val="008B626D"/>
    <w:rsid w:val="008B68FE"/>
    <w:rsid w:val="008B6F67"/>
    <w:rsid w:val="008C3AB6"/>
    <w:rsid w:val="008C5B20"/>
    <w:rsid w:val="008D03F5"/>
    <w:rsid w:val="008D2D40"/>
    <w:rsid w:val="008D4217"/>
    <w:rsid w:val="008D7ADF"/>
    <w:rsid w:val="008D7DC6"/>
    <w:rsid w:val="008E0C8F"/>
    <w:rsid w:val="008E122E"/>
    <w:rsid w:val="008E468D"/>
    <w:rsid w:val="008E497D"/>
    <w:rsid w:val="008E65E2"/>
    <w:rsid w:val="008E6BB0"/>
    <w:rsid w:val="008F1D6A"/>
    <w:rsid w:val="008F3323"/>
    <w:rsid w:val="008F738C"/>
    <w:rsid w:val="00902824"/>
    <w:rsid w:val="00902A66"/>
    <w:rsid w:val="0090432B"/>
    <w:rsid w:val="0090695B"/>
    <w:rsid w:val="00906E11"/>
    <w:rsid w:val="009076E4"/>
    <w:rsid w:val="00910441"/>
    <w:rsid w:val="00910854"/>
    <w:rsid w:val="00911B3E"/>
    <w:rsid w:val="009152AA"/>
    <w:rsid w:val="00916C72"/>
    <w:rsid w:val="00917421"/>
    <w:rsid w:val="00922011"/>
    <w:rsid w:val="00922614"/>
    <w:rsid w:val="00924084"/>
    <w:rsid w:val="009256E3"/>
    <w:rsid w:val="00927586"/>
    <w:rsid w:val="00933792"/>
    <w:rsid w:val="00933B57"/>
    <w:rsid w:val="0093522F"/>
    <w:rsid w:val="0093557F"/>
    <w:rsid w:val="009369C6"/>
    <w:rsid w:val="009412BF"/>
    <w:rsid w:val="009417FF"/>
    <w:rsid w:val="00941E79"/>
    <w:rsid w:val="00942B23"/>
    <w:rsid w:val="009468DC"/>
    <w:rsid w:val="009523F9"/>
    <w:rsid w:val="00954ED2"/>
    <w:rsid w:val="00956600"/>
    <w:rsid w:val="00957286"/>
    <w:rsid w:val="0096082D"/>
    <w:rsid w:val="00963C32"/>
    <w:rsid w:val="0096707F"/>
    <w:rsid w:val="009674DA"/>
    <w:rsid w:val="00967511"/>
    <w:rsid w:val="00971234"/>
    <w:rsid w:val="009725F6"/>
    <w:rsid w:val="00972AEB"/>
    <w:rsid w:val="00981212"/>
    <w:rsid w:val="009814CA"/>
    <w:rsid w:val="00981BAC"/>
    <w:rsid w:val="00983DC3"/>
    <w:rsid w:val="009845E8"/>
    <w:rsid w:val="00985B1C"/>
    <w:rsid w:val="00985C25"/>
    <w:rsid w:val="00985F79"/>
    <w:rsid w:val="00987B6E"/>
    <w:rsid w:val="00987E64"/>
    <w:rsid w:val="00990406"/>
    <w:rsid w:val="009904B4"/>
    <w:rsid w:val="00990AE3"/>
    <w:rsid w:val="00990F3C"/>
    <w:rsid w:val="009939A1"/>
    <w:rsid w:val="009964E5"/>
    <w:rsid w:val="00996C6F"/>
    <w:rsid w:val="009A212F"/>
    <w:rsid w:val="009A2627"/>
    <w:rsid w:val="009B1EAC"/>
    <w:rsid w:val="009B23C6"/>
    <w:rsid w:val="009B4DF5"/>
    <w:rsid w:val="009B57B8"/>
    <w:rsid w:val="009B6658"/>
    <w:rsid w:val="009B7A5A"/>
    <w:rsid w:val="009C33C2"/>
    <w:rsid w:val="009C45B7"/>
    <w:rsid w:val="009C5331"/>
    <w:rsid w:val="009C5B2D"/>
    <w:rsid w:val="009C7EE5"/>
    <w:rsid w:val="009D2862"/>
    <w:rsid w:val="009D4FB8"/>
    <w:rsid w:val="009D5ECC"/>
    <w:rsid w:val="009E0144"/>
    <w:rsid w:val="009E09EF"/>
    <w:rsid w:val="009E33E4"/>
    <w:rsid w:val="009E40F5"/>
    <w:rsid w:val="009E48CC"/>
    <w:rsid w:val="009E6C9A"/>
    <w:rsid w:val="009F0503"/>
    <w:rsid w:val="009F1BF1"/>
    <w:rsid w:val="009F1CAF"/>
    <w:rsid w:val="009F34FC"/>
    <w:rsid w:val="009F3DB2"/>
    <w:rsid w:val="009F5C4F"/>
    <w:rsid w:val="009F672F"/>
    <w:rsid w:val="009F7AF9"/>
    <w:rsid w:val="00A00A73"/>
    <w:rsid w:val="00A01824"/>
    <w:rsid w:val="00A0355A"/>
    <w:rsid w:val="00A035F6"/>
    <w:rsid w:val="00A074C5"/>
    <w:rsid w:val="00A07B5D"/>
    <w:rsid w:val="00A1091E"/>
    <w:rsid w:val="00A13A31"/>
    <w:rsid w:val="00A1498A"/>
    <w:rsid w:val="00A1649A"/>
    <w:rsid w:val="00A17750"/>
    <w:rsid w:val="00A17A15"/>
    <w:rsid w:val="00A2005E"/>
    <w:rsid w:val="00A22AD6"/>
    <w:rsid w:val="00A248DA"/>
    <w:rsid w:val="00A25C52"/>
    <w:rsid w:val="00A27F3D"/>
    <w:rsid w:val="00A30085"/>
    <w:rsid w:val="00A30B74"/>
    <w:rsid w:val="00A31F5D"/>
    <w:rsid w:val="00A32A35"/>
    <w:rsid w:val="00A32F5A"/>
    <w:rsid w:val="00A33499"/>
    <w:rsid w:val="00A3427F"/>
    <w:rsid w:val="00A406C9"/>
    <w:rsid w:val="00A4100E"/>
    <w:rsid w:val="00A43041"/>
    <w:rsid w:val="00A4326B"/>
    <w:rsid w:val="00A45CCD"/>
    <w:rsid w:val="00A46AD4"/>
    <w:rsid w:val="00A478AA"/>
    <w:rsid w:val="00A51390"/>
    <w:rsid w:val="00A51564"/>
    <w:rsid w:val="00A532BC"/>
    <w:rsid w:val="00A53CC7"/>
    <w:rsid w:val="00A54422"/>
    <w:rsid w:val="00A55125"/>
    <w:rsid w:val="00A5545D"/>
    <w:rsid w:val="00A5592B"/>
    <w:rsid w:val="00A56813"/>
    <w:rsid w:val="00A57B4A"/>
    <w:rsid w:val="00A60C91"/>
    <w:rsid w:val="00A66082"/>
    <w:rsid w:val="00A6641A"/>
    <w:rsid w:val="00A66DB5"/>
    <w:rsid w:val="00A673B1"/>
    <w:rsid w:val="00A67CE3"/>
    <w:rsid w:val="00A716BE"/>
    <w:rsid w:val="00A71F20"/>
    <w:rsid w:val="00A7374E"/>
    <w:rsid w:val="00A738E6"/>
    <w:rsid w:val="00A748E3"/>
    <w:rsid w:val="00A75228"/>
    <w:rsid w:val="00A753F1"/>
    <w:rsid w:val="00A75790"/>
    <w:rsid w:val="00A76ED1"/>
    <w:rsid w:val="00A7762F"/>
    <w:rsid w:val="00A779E2"/>
    <w:rsid w:val="00A80C7E"/>
    <w:rsid w:val="00A8202F"/>
    <w:rsid w:val="00A835A7"/>
    <w:rsid w:val="00A838DC"/>
    <w:rsid w:val="00A9138C"/>
    <w:rsid w:val="00A9185C"/>
    <w:rsid w:val="00A93384"/>
    <w:rsid w:val="00A93531"/>
    <w:rsid w:val="00A93CAA"/>
    <w:rsid w:val="00A944C9"/>
    <w:rsid w:val="00A94E94"/>
    <w:rsid w:val="00A961F6"/>
    <w:rsid w:val="00A962C7"/>
    <w:rsid w:val="00A96313"/>
    <w:rsid w:val="00A9771B"/>
    <w:rsid w:val="00A97D3A"/>
    <w:rsid w:val="00AA0C5B"/>
    <w:rsid w:val="00AA338D"/>
    <w:rsid w:val="00AA372D"/>
    <w:rsid w:val="00AA3CE3"/>
    <w:rsid w:val="00AA431D"/>
    <w:rsid w:val="00AA5FFB"/>
    <w:rsid w:val="00AA6765"/>
    <w:rsid w:val="00AA6CAA"/>
    <w:rsid w:val="00AB0AF2"/>
    <w:rsid w:val="00AB15B6"/>
    <w:rsid w:val="00AB1E43"/>
    <w:rsid w:val="00AB3079"/>
    <w:rsid w:val="00AB377D"/>
    <w:rsid w:val="00AB4335"/>
    <w:rsid w:val="00AB55E1"/>
    <w:rsid w:val="00AB6949"/>
    <w:rsid w:val="00AB6BE9"/>
    <w:rsid w:val="00AC1A1D"/>
    <w:rsid w:val="00AC1FCE"/>
    <w:rsid w:val="00AC2E0C"/>
    <w:rsid w:val="00AC3020"/>
    <w:rsid w:val="00AC36A2"/>
    <w:rsid w:val="00AC3EF6"/>
    <w:rsid w:val="00AC4625"/>
    <w:rsid w:val="00AC5EB7"/>
    <w:rsid w:val="00AC62CC"/>
    <w:rsid w:val="00AC64F7"/>
    <w:rsid w:val="00AC7D99"/>
    <w:rsid w:val="00AD1FAD"/>
    <w:rsid w:val="00AD2F0D"/>
    <w:rsid w:val="00AD53EB"/>
    <w:rsid w:val="00AD6802"/>
    <w:rsid w:val="00AE04F8"/>
    <w:rsid w:val="00AE67D0"/>
    <w:rsid w:val="00AE7998"/>
    <w:rsid w:val="00AF03E2"/>
    <w:rsid w:val="00AF0A6C"/>
    <w:rsid w:val="00AF19DB"/>
    <w:rsid w:val="00AF24FA"/>
    <w:rsid w:val="00AF560B"/>
    <w:rsid w:val="00AF5D38"/>
    <w:rsid w:val="00AF625A"/>
    <w:rsid w:val="00AF63AB"/>
    <w:rsid w:val="00B005EC"/>
    <w:rsid w:val="00B02911"/>
    <w:rsid w:val="00B0580C"/>
    <w:rsid w:val="00B05DFF"/>
    <w:rsid w:val="00B06E9E"/>
    <w:rsid w:val="00B11E2E"/>
    <w:rsid w:val="00B1267A"/>
    <w:rsid w:val="00B1292A"/>
    <w:rsid w:val="00B15098"/>
    <w:rsid w:val="00B2127F"/>
    <w:rsid w:val="00B21926"/>
    <w:rsid w:val="00B2216D"/>
    <w:rsid w:val="00B22C74"/>
    <w:rsid w:val="00B26A2F"/>
    <w:rsid w:val="00B314FB"/>
    <w:rsid w:val="00B31D76"/>
    <w:rsid w:val="00B3293C"/>
    <w:rsid w:val="00B343DD"/>
    <w:rsid w:val="00B36514"/>
    <w:rsid w:val="00B3683B"/>
    <w:rsid w:val="00B36DE0"/>
    <w:rsid w:val="00B373EB"/>
    <w:rsid w:val="00B42857"/>
    <w:rsid w:val="00B44F24"/>
    <w:rsid w:val="00B4567E"/>
    <w:rsid w:val="00B45DD9"/>
    <w:rsid w:val="00B505A3"/>
    <w:rsid w:val="00B50CE3"/>
    <w:rsid w:val="00B51481"/>
    <w:rsid w:val="00B54118"/>
    <w:rsid w:val="00B5414A"/>
    <w:rsid w:val="00B557F3"/>
    <w:rsid w:val="00B55C3F"/>
    <w:rsid w:val="00B5691F"/>
    <w:rsid w:val="00B57273"/>
    <w:rsid w:val="00B57C49"/>
    <w:rsid w:val="00B57F9C"/>
    <w:rsid w:val="00B60C4A"/>
    <w:rsid w:val="00B64385"/>
    <w:rsid w:val="00B644A3"/>
    <w:rsid w:val="00B65270"/>
    <w:rsid w:val="00B65BD6"/>
    <w:rsid w:val="00B66C42"/>
    <w:rsid w:val="00B705D6"/>
    <w:rsid w:val="00B706B1"/>
    <w:rsid w:val="00B71C7D"/>
    <w:rsid w:val="00B74E6E"/>
    <w:rsid w:val="00B75419"/>
    <w:rsid w:val="00B75467"/>
    <w:rsid w:val="00B75B74"/>
    <w:rsid w:val="00B76165"/>
    <w:rsid w:val="00B761B6"/>
    <w:rsid w:val="00B831E1"/>
    <w:rsid w:val="00B840B8"/>
    <w:rsid w:val="00B85673"/>
    <w:rsid w:val="00B8773B"/>
    <w:rsid w:val="00B91370"/>
    <w:rsid w:val="00B920F1"/>
    <w:rsid w:val="00B92981"/>
    <w:rsid w:val="00B93C49"/>
    <w:rsid w:val="00B94A59"/>
    <w:rsid w:val="00B9768C"/>
    <w:rsid w:val="00B9779B"/>
    <w:rsid w:val="00BA2607"/>
    <w:rsid w:val="00BA2A2E"/>
    <w:rsid w:val="00BA2A57"/>
    <w:rsid w:val="00BA2F65"/>
    <w:rsid w:val="00BA61BB"/>
    <w:rsid w:val="00BB07E3"/>
    <w:rsid w:val="00BB18FB"/>
    <w:rsid w:val="00BB195B"/>
    <w:rsid w:val="00BB370D"/>
    <w:rsid w:val="00BB40F5"/>
    <w:rsid w:val="00BB7DE5"/>
    <w:rsid w:val="00BC1BF2"/>
    <w:rsid w:val="00BC24E8"/>
    <w:rsid w:val="00BC4F96"/>
    <w:rsid w:val="00BC5D06"/>
    <w:rsid w:val="00BC671C"/>
    <w:rsid w:val="00BD1D39"/>
    <w:rsid w:val="00BD357B"/>
    <w:rsid w:val="00BD3A17"/>
    <w:rsid w:val="00BE2B0F"/>
    <w:rsid w:val="00BE3809"/>
    <w:rsid w:val="00BE513C"/>
    <w:rsid w:val="00BF0893"/>
    <w:rsid w:val="00BF0C85"/>
    <w:rsid w:val="00BF2799"/>
    <w:rsid w:val="00C0076F"/>
    <w:rsid w:val="00C03B76"/>
    <w:rsid w:val="00C03F8E"/>
    <w:rsid w:val="00C04400"/>
    <w:rsid w:val="00C04FCA"/>
    <w:rsid w:val="00C054DE"/>
    <w:rsid w:val="00C07007"/>
    <w:rsid w:val="00C07BF9"/>
    <w:rsid w:val="00C10CC5"/>
    <w:rsid w:val="00C142E7"/>
    <w:rsid w:val="00C1434A"/>
    <w:rsid w:val="00C1552A"/>
    <w:rsid w:val="00C17C18"/>
    <w:rsid w:val="00C21DEE"/>
    <w:rsid w:val="00C25D7B"/>
    <w:rsid w:val="00C2627D"/>
    <w:rsid w:val="00C27F57"/>
    <w:rsid w:val="00C30673"/>
    <w:rsid w:val="00C32E5C"/>
    <w:rsid w:val="00C347D3"/>
    <w:rsid w:val="00C3502B"/>
    <w:rsid w:val="00C406B8"/>
    <w:rsid w:val="00C4510E"/>
    <w:rsid w:val="00C471AC"/>
    <w:rsid w:val="00C50E19"/>
    <w:rsid w:val="00C51B30"/>
    <w:rsid w:val="00C51BC8"/>
    <w:rsid w:val="00C529D8"/>
    <w:rsid w:val="00C550B5"/>
    <w:rsid w:val="00C55A01"/>
    <w:rsid w:val="00C6156D"/>
    <w:rsid w:val="00C61B8D"/>
    <w:rsid w:val="00C6350B"/>
    <w:rsid w:val="00C63E0B"/>
    <w:rsid w:val="00C74500"/>
    <w:rsid w:val="00C75B5E"/>
    <w:rsid w:val="00C75C83"/>
    <w:rsid w:val="00C760E3"/>
    <w:rsid w:val="00C76743"/>
    <w:rsid w:val="00C76A03"/>
    <w:rsid w:val="00C76C7B"/>
    <w:rsid w:val="00C7762A"/>
    <w:rsid w:val="00C77E2C"/>
    <w:rsid w:val="00C805B3"/>
    <w:rsid w:val="00C8069A"/>
    <w:rsid w:val="00C81EEC"/>
    <w:rsid w:val="00C83107"/>
    <w:rsid w:val="00C84A57"/>
    <w:rsid w:val="00C8593B"/>
    <w:rsid w:val="00C86B4D"/>
    <w:rsid w:val="00C87826"/>
    <w:rsid w:val="00C91365"/>
    <w:rsid w:val="00C91B88"/>
    <w:rsid w:val="00C92714"/>
    <w:rsid w:val="00C94548"/>
    <w:rsid w:val="00C94DF6"/>
    <w:rsid w:val="00C95178"/>
    <w:rsid w:val="00C95236"/>
    <w:rsid w:val="00C95DA3"/>
    <w:rsid w:val="00C966FD"/>
    <w:rsid w:val="00CA044F"/>
    <w:rsid w:val="00CA2716"/>
    <w:rsid w:val="00CA3292"/>
    <w:rsid w:val="00CA3B6A"/>
    <w:rsid w:val="00CA450B"/>
    <w:rsid w:val="00CA5B2E"/>
    <w:rsid w:val="00CA6B66"/>
    <w:rsid w:val="00CA6CBC"/>
    <w:rsid w:val="00CB047E"/>
    <w:rsid w:val="00CB370A"/>
    <w:rsid w:val="00CB43A4"/>
    <w:rsid w:val="00CB5704"/>
    <w:rsid w:val="00CB638A"/>
    <w:rsid w:val="00CB7BC8"/>
    <w:rsid w:val="00CC05BE"/>
    <w:rsid w:val="00CC4ED3"/>
    <w:rsid w:val="00CC601B"/>
    <w:rsid w:val="00CC7557"/>
    <w:rsid w:val="00CC7598"/>
    <w:rsid w:val="00CC7A79"/>
    <w:rsid w:val="00CD144D"/>
    <w:rsid w:val="00CD4FE8"/>
    <w:rsid w:val="00CD574F"/>
    <w:rsid w:val="00CD7888"/>
    <w:rsid w:val="00CE0957"/>
    <w:rsid w:val="00CE0C9A"/>
    <w:rsid w:val="00CE343E"/>
    <w:rsid w:val="00CE415C"/>
    <w:rsid w:val="00CE69B8"/>
    <w:rsid w:val="00CF0285"/>
    <w:rsid w:val="00CF0F49"/>
    <w:rsid w:val="00CF4ECA"/>
    <w:rsid w:val="00CF51A9"/>
    <w:rsid w:val="00CF6092"/>
    <w:rsid w:val="00CF6C22"/>
    <w:rsid w:val="00CF7DD5"/>
    <w:rsid w:val="00D00541"/>
    <w:rsid w:val="00D076D6"/>
    <w:rsid w:val="00D1261E"/>
    <w:rsid w:val="00D12CCF"/>
    <w:rsid w:val="00D14A65"/>
    <w:rsid w:val="00D14E4F"/>
    <w:rsid w:val="00D17BD1"/>
    <w:rsid w:val="00D2101B"/>
    <w:rsid w:val="00D21BE7"/>
    <w:rsid w:val="00D21E52"/>
    <w:rsid w:val="00D22FAE"/>
    <w:rsid w:val="00D23B70"/>
    <w:rsid w:val="00D2451A"/>
    <w:rsid w:val="00D26A8C"/>
    <w:rsid w:val="00D27A59"/>
    <w:rsid w:val="00D302FF"/>
    <w:rsid w:val="00D30F13"/>
    <w:rsid w:val="00D328BA"/>
    <w:rsid w:val="00D33CCB"/>
    <w:rsid w:val="00D35726"/>
    <w:rsid w:val="00D36ABE"/>
    <w:rsid w:val="00D4233B"/>
    <w:rsid w:val="00D43CA6"/>
    <w:rsid w:val="00D44122"/>
    <w:rsid w:val="00D44777"/>
    <w:rsid w:val="00D4645F"/>
    <w:rsid w:val="00D479CC"/>
    <w:rsid w:val="00D61756"/>
    <w:rsid w:val="00D61C43"/>
    <w:rsid w:val="00D62097"/>
    <w:rsid w:val="00D626D0"/>
    <w:rsid w:val="00D71D00"/>
    <w:rsid w:val="00D8059C"/>
    <w:rsid w:val="00D851AB"/>
    <w:rsid w:val="00D85D51"/>
    <w:rsid w:val="00D86215"/>
    <w:rsid w:val="00D91337"/>
    <w:rsid w:val="00D9288A"/>
    <w:rsid w:val="00D937EC"/>
    <w:rsid w:val="00D95008"/>
    <w:rsid w:val="00D96155"/>
    <w:rsid w:val="00D967C3"/>
    <w:rsid w:val="00D97758"/>
    <w:rsid w:val="00D97B53"/>
    <w:rsid w:val="00DA03DF"/>
    <w:rsid w:val="00DA10A6"/>
    <w:rsid w:val="00DA3148"/>
    <w:rsid w:val="00DA6B7E"/>
    <w:rsid w:val="00DB2A66"/>
    <w:rsid w:val="00DB319D"/>
    <w:rsid w:val="00DB77E7"/>
    <w:rsid w:val="00DC1A23"/>
    <w:rsid w:val="00DC34DE"/>
    <w:rsid w:val="00DC3728"/>
    <w:rsid w:val="00DC42CF"/>
    <w:rsid w:val="00DC52D6"/>
    <w:rsid w:val="00DC5AFE"/>
    <w:rsid w:val="00DD09A0"/>
    <w:rsid w:val="00DD2A32"/>
    <w:rsid w:val="00DD3AF3"/>
    <w:rsid w:val="00DD3D23"/>
    <w:rsid w:val="00DD619C"/>
    <w:rsid w:val="00DD6920"/>
    <w:rsid w:val="00DE0356"/>
    <w:rsid w:val="00DE0B03"/>
    <w:rsid w:val="00DE2519"/>
    <w:rsid w:val="00DE25D8"/>
    <w:rsid w:val="00DE3D09"/>
    <w:rsid w:val="00DE4F00"/>
    <w:rsid w:val="00DE7569"/>
    <w:rsid w:val="00DF171B"/>
    <w:rsid w:val="00DF197E"/>
    <w:rsid w:val="00DF2707"/>
    <w:rsid w:val="00DF2E34"/>
    <w:rsid w:val="00DF70E8"/>
    <w:rsid w:val="00DF7B48"/>
    <w:rsid w:val="00E0012C"/>
    <w:rsid w:val="00E019F5"/>
    <w:rsid w:val="00E02344"/>
    <w:rsid w:val="00E024B1"/>
    <w:rsid w:val="00E03197"/>
    <w:rsid w:val="00E035E4"/>
    <w:rsid w:val="00E07BD6"/>
    <w:rsid w:val="00E1087D"/>
    <w:rsid w:val="00E10A13"/>
    <w:rsid w:val="00E12D8B"/>
    <w:rsid w:val="00E12DF7"/>
    <w:rsid w:val="00E14A7A"/>
    <w:rsid w:val="00E16B8C"/>
    <w:rsid w:val="00E230A9"/>
    <w:rsid w:val="00E248C3"/>
    <w:rsid w:val="00E2673D"/>
    <w:rsid w:val="00E2755B"/>
    <w:rsid w:val="00E3142A"/>
    <w:rsid w:val="00E31DA9"/>
    <w:rsid w:val="00E327EC"/>
    <w:rsid w:val="00E3325E"/>
    <w:rsid w:val="00E359C1"/>
    <w:rsid w:val="00E35F82"/>
    <w:rsid w:val="00E37A92"/>
    <w:rsid w:val="00E37C4F"/>
    <w:rsid w:val="00E37E15"/>
    <w:rsid w:val="00E403BF"/>
    <w:rsid w:val="00E406B1"/>
    <w:rsid w:val="00E437F0"/>
    <w:rsid w:val="00E50F88"/>
    <w:rsid w:val="00E5414D"/>
    <w:rsid w:val="00E55848"/>
    <w:rsid w:val="00E57975"/>
    <w:rsid w:val="00E61021"/>
    <w:rsid w:val="00E61F56"/>
    <w:rsid w:val="00E62B5C"/>
    <w:rsid w:val="00E63B7F"/>
    <w:rsid w:val="00E66A3A"/>
    <w:rsid w:val="00E70BCE"/>
    <w:rsid w:val="00E72011"/>
    <w:rsid w:val="00E7649F"/>
    <w:rsid w:val="00E76D2A"/>
    <w:rsid w:val="00E76DDA"/>
    <w:rsid w:val="00E81AE1"/>
    <w:rsid w:val="00E81C96"/>
    <w:rsid w:val="00E82CC0"/>
    <w:rsid w:val="00E82E30"/>
    <w:rsid w:val="00E924F1"/>
    <w:rsid w:val="00E934F9"/>
    <w:rsid w:val="00EA10A6"/>
    <w:rsid w:val="00EA56CA"/>
    <w:rsid w:val="00EA6478"/>
    <w:rsid w:val="00EA771B"/>
    <w:rsid w:val="00EA7811"/>
    <w:rsid w:val="00EB2383"/>
    <w:rsid w:val="00EB2D17"/>
    <w:rsid w:val="00EB6B66"/>
    <w:rsid w:val="00EC004F"/>
    <w:rsid w:val="00EC070E"/>
    <w:rsid w:val="00EC222D"/>
    <w:rsid w:val="00EC327E"/>
    <w:rsid w:val="00EC460F"/>
    <w:rsid w:val="00EC4778"/>
    <w:rsid w:val="00EC54CE"/>
    <w:rsid w:val="00EC6E34"/>
    <w:rsid w:val="00EC7F11"/>
    <w:rsid w:val="00ED2AE0"/>
    <w:rsid w:val="00ED3241"/>
    <w:rsid w:val="00ED4456"/>
    <w:rsid w:val="00ED4FCC"/>
    <w:rsid w:val="00ED5C7E"/>
    <w:rsid w:val="00ED767C"/>
    <w:rsid w:val="00EE01F0"/>
    <w:rsid w:val="00EE2F0A"/>
    <w:rsid w:val="00EE40AE"/>
    <w:rsid w:val="00EE50C1"/>
    <w:rsid w:val="00EE5378"/>
    <w:rsid w:val="00EE5AF3"/>
    <w:rsid w:val="00EE7E99"/>
    <w:rsid w:val="00EF1BC1"/>
    <w:rsid w:val="00EF2124"/>
    <w:rsid w:val="00EF280B"/>
    <w:rsid w:val="00EF2F48"/>
    <w:rsid w:val="00EF5112"/>
    <w:rsid w:val="00EF7982"/>
    <w:rsid w:val="00F01391"/>
    <w:rsid w:val="00F040EF"/>
    <w:rsid w:val="00F04E35"/>
    <w:rsid w:val="00F05538"/>
    <w:rsid w:val="00F1060A"/>
    <w:rsid w:val="00F148CD"/>
    <w:rsid w:val="00F14AFD"/>
    <w:rsid w:val="00F17160"/>
    <w:rsid w:val="00F20455"/>
    <w:rsid w:val="00F20BF7"/>
    <w:rsid w:val="00F24833"/>
    <w:rsid w:val="00F27821"/>
    <w:rsid w:val="00F32C07"/>
    <w:rsid w:val="00F41C83"/>
    <w:rsid w:val="00F41E1C"/>
    <w:rsid w:val="00F430DF"/>
    <w:rsid w:val="00F43167"/>
    <w:rsid w:val="00F519D7"/>
    <w:rsid w:val="00F531D8"/>
    <w:rsid w:val="00F54245"/>
    <w:rsid w:val="00F60A66"/>
    <w:rsid w:val="00F63D8C"/>
    <w:rsid w:val="00F67263"/>
    <w:rsid w:val="00F672F0"/>
    <w:rsid w:val="00F677C8"/>
    <w:rsid w:val="00F72E47"/>
    <w:rsid w:val="00F734B8"/>
    <w:rsid w:val="00F73A27"/>
    <w:rsid w:val="00F759B3"/>
    <w:rsid w:val="00F7607A"/>
    <w:rsid w:val="00F7758A"/>
    <w:rsid w:val="00F77A0E"/>
    <w:rsid w:val="00F81863"/>
    <w:rsid w:val="00F81B84"/>
    <w:rsid w:val="00F83D17"/>
    <w:rsid w:val="00F857B6"/>
    <w:rsid w:val="00F85C2C"/>
    <w:rsid w:val="00F915C7"/>
    <w:rsid w:val="00F9197A"/>
    <w:rsid w:val="00F9289D"/>
    <w:rsid w:val="00F93D23"/>
    <w:rsid w:val="00F95867"/>
    <w:rsid w:val="00FA0EF7"/>
    <w:rsid w:val="00FA1046"/>
    <w:rsid w:val="00FA26E1"/>
    <w:rsid w:val="00FA2EBB"/>
    <w:rsid w:val="00FA3E0D"/>
    <w:rsid w:val="00FB0A1B"/>
    <w:rsid w:val="00FB354F"/>
    <w:rsid w:val="00FB3C94"/>
    <w:rsid w:val="00FB72E7"/>
    <w:rsid w:val="00FC00D6"/>
    <w:rsid w:val="00FC1A8A"/>
    <w:rsid w:val="00FC586D"/>
    <w:rsid w:val="00FD2A3B"/>
    <w:rsid w:val="00FD5E1F"/>
    <w:rsid w:val="00FE17F3"/>
    <w:rsid w:val="00FE35D2"/>
    <w:rsid w:val="00FE707C"/>
    <w:rsid w:val="00FE78FD"/>
    <w:rsid w:val="00FE7A8E"/>
    <w:rsid w:val="00FF018F"/>
    <w:rsid w:val="00FF069C"/>
    <w:rsid w:val="00FF2CD5"/>
    <w:rsid w:val="00FF41F1"/>
    <w:rsid w:val="00FF6829"/>
    <w:rsid w:val="00FF7B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CD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B03"/>
  </w:style>
  <w:style w:type="paragraph" w:styleId="Heading1">
    <w:name w:val="heading 1"/>
    <w:basedOn w:val="Normal"/>
    <w:next w:val="Normal"/>
    <w:link w:val="Heading1Char"/>
    <w:uiPriority w:val="9"/>
    <w:qFormat/>
    <w:rsid w:val="00DE0B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0B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0B0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0B0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0B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0B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0B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0B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0B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B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0B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0B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0B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0B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0B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0B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0B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0B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B03"/>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B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B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B03"/>
    <w:rPr>
      <w:i/>
      <w:iCs/>
      <w:color w:val="404040" w:themeColor="text1" w:themeTint="BF"/>
    </w:rPr>
  </w:style>
  <w:style w:type="paragraph" w:styleId="ListParagraph">
    <w:name w:val="List Paragraph"/>
    <w:basedOn w:val="Normal"/>
    <w:uiPriority w:val="34"/>
    <w:qFormat/>
    <w:rsid w:val="00DE0B03"/>
    <w:pPr>
      <w:ind w:left="720"/>
      <w:contextualSpacing/>
    </w:pPr>
  </w:style>
  <w:style w:type="character" w:styleId="IntenseEmphasis">
    <w:name w:val="Intense Emphasis"/>
    <w:basedOn w:val="DefaultParagraphFont"/>
    <w:uiPriority w:val="21"/>
    <w:qFormat/>
    <w:rsid w:val="00DE0B03"/>
    <w:rPr>
      <w:i/>
      <w:iCs/>
      <w:color w:val="2F5496" w:themeColor="accent1" w:themeShade="BF"/>
    </w:rPr>
  </w:style>
  <w:style w:type="paragraph" w:styleId="IntenseQuote">
    <w:name w:val="Intense Quote"/>
    <w:basedOn w:val="Normal"/>
    <w:next w:val="Normal"/>
    <w:link w:val="IntenseQuoteChar"/>
    <w:uiPriority w:val="30"/>
    <w:qFormat/>
    <w:rsid w:val="00DE0B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0B03"/>
    <w:rPr>
      <w:i/>
      <w:iCs/>
      <w:color w:val="2F5496" w:themeColor="accent1" w:themeShade="BF"/>
    </w:rPr>
  </w:style>
  <w:style w:type="character" w:styleId="IntenseReference">
    <w:name w:val="Intense Reference"/>
    <w:basedOn w:val="DefaultParagraphFont"/>
    <w:uiPriority w:val="32"/>
    <w:qFormat/>
    <w:rsid w:val="00DE0B03"/>
    <w:rPr>
      <w:b/>
      <w:bCs/>
      <w:smallCaps/>
      <w:color w:val="2F5496" w:themeColor="accent1" w:themeShade="BF"/>
      <w:spacing w:val="5"/>
    </w:rPr>
  </w:style>
  <w:style w:type="paragraph" w:styleId="Footer">
    <w:name w:val="footer"/>
    <w:basedOn w:val="Normal"/>
    <w:link w:val="FooterChar"/>
    <w:uiPriority w:val="99"/>
    <w:unhideWhenUsed/>
    <w:rsid w:val="00DE0B03"/>
    <w:pPr>
      <w:tabs>
        <w:tab w:val="center" w:pos="4513"/>
        <w:tab w:val="right" w:pos="9026"/>
      </w:tabs>
      <w:spacing w:line="240" w:lineRule="auto"/>
    </w:pPr>
  </w:style>
  <w:style w:type="character" w:customStyle="1" w:styleId="FooterChar">
    <w:name w:val="Footer Char"/>
    <w:basedOn w:val="DefaultParagraphFont"/>
    <w:link w:val="Footer"/>
    <w:uiPriority w:val="99"/>
    <w:rsid w:val="00DE0B03"/>
  </w:style>
  <w:style w:type="table" w:styleId="TableGrid">
    <w:name w:val="Table Grid"/>
    <w:basedOn w:val="TableNormal"/>
    <w:rsid w:val="00DE0B03"/>
    <w:pPr>
      <w:spacing w:line="240" w:lineRule="auto"/>
      <w:ind w:firstLine="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0B03"/>
    <w:pPr>
      <w:autoSpaceDE w:val="0"/>
      <w:autoSpaceDN w:val="0"/>
      <w:adjustRightInd w:val="0"/>
      <w:spacing w:line="240" w:lineRule="auto"/>
      <w:ind w:firstLine="0"/>
      <w:jc w:val="left"/>
    </w:pPr>
    <w:rPr>
      <w:rFonts w:cs="Times New Roman"/>
      <w:color w:val="000000"/>
      <w:kern w:val="0"/>
      <w:szCs w:val="24"/>
    </w:rPr>
  </w:style>
  <w:style w:type="paragraph" w:styleId="NoSpacing">
    <w:name w:val="No Spacing"/>
    <w:uiPriority w:val="1"/>
    <w:qFormat/>
    <w:rsid w:val="00DE0B03"/>
    <w:pPr>
      <w:spacing w:line="240" w:lineRule="auto"/>
      <w:ind w:firstLine="0"/>
      <w:jc w:val="left"/>
    </w:pPr>
    <w:rPr>
      <w:rFonts w:asciiTheme="minorHAnsi" w:hAnsiTheme="minorHAnsi"/>
      <w:kern w:val="0"/>
      <w:sz w:val="22"/>
      <w14:ligatures w14:val="none"/>
    </w:rPr>
  </w:style>
  <w:style w:type="paragraph" w:customStyle="1" w:styleId="tv213">
    <w:name w:val="tv213"/>
    <w:basedOn w:val="Normal"/>
    <w:rsid w:val="001D041C"/>
    <w:pPr>
      <w:spacing w:before="100" w:beforeAutospacing="1" w:after="100" w:afterAutospacing="1" w:line="240" w:lineRule="auto"/>
      <w:ind w:firstLine="0"/>
      <w:jc w:val="left"/>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217284"/>
    <w:rPr>
      <w:color w:val="0563C1" w:themeColor="hyperlink"/>
      <w:u w:val="single"/>
    </w:rPr>
  </w:style>
  <w:style w:type="character" w:styleId="UnresolvedMention">
    <w:name w:val="Unresolved Mention"/>
    <w:basedOn w:val="DefaultParagraphFont"/>
    <w:uiPriority w:val="99"/>
    <w:semiHidden/>
    <w:unhideWhenUsed/>
    <w:rsid w:val="00217284"/>
    <w:rPr>
      <w:color w:val="605E5C"/>
      <w:shd w:val="clear" w:color="auto" w:fill="E1DFDD"/>
    </w:rPr>
  </w:style>
  <w:style w:type="character" w:styleId="CommentReference">
    <w:name w:val="annotation reference"/>
    <w:basedOn w:val="DefaultParagraphFont"/>
    <w:uiPriority w:val="99"/>
    <w:semiHidden/>
    <w:unhideWhenUsed/>
    <w:rsid w:val="007B773A"/>
    <w:rPr>
      <w:sz w:val="16"/>
      <w:szCs w:val="16"/>
    </w:rPr>
  </w:style>
  <w:style w:type="paragraph" w:styleId="CommentText">
    <w:name w:val="annotation text"/>
    <w:basedOn w:val="Normal"/>
    <w:link w:val="CommentTextChar"/>
    <w:uiPriority w:val="99"/>
    <w:unhideWhenUsed/>
    <w:rsid w:val="007B773A"/>
    <w:pPr>
      <w:spacing w:line="240" w:lineRule="auto"/>
    </w:pPr>
    <w:rPr>
      <w:sz w:val="20"/>
      <w:szCs w:val="20"/>
    </w:rPr>
  </w:style>
  <w:style w:type="character" w:customStyle="1" w:styleId="CommentTextChar">
    <w:name w:val="Comment Text Char"/>
    <w:basedOn w:val="DefaultParagraphFont"/>
    <w:link w:val="CommentText"/>
    <w:uiPriority w:val="99"/>
    <w:rsid w:val="007B773A"/>
    <w:rPr>
      <w:sz w:val="20"/>
      <w:szCs w:val="20"/>
    </w:rPr>
  </w:style>
  <w:style w:type="paragraph" w:styleId="CommentSubject">
    <w:name w:val="annotation subject"/>
    <w:basedOn w:val="CommentText"/>
    <w:next w:val="CommentText"/>
    <w:link w:val="CommentSubjectChar"/>
    <w:uiPriority w:val="99"/>
    <w:semiHidden/>
    <w:unhideWhenUsed/>
    <w:rsid w:val="007B773A"/>
    <w:rPr>
      <w:b/>
      <w:bCs/>
    </w:rPr>
  </w:style>
  <w:style w:type="character" w:customStyle="1" w:styleId="CommentSubjectChar">
    <w:name w:val="Comment Subject Char"/>
    <w:basedOn w:val="CommentTextChar"/>
    <w:link w:val="CommentSubject"/>
    <w:uiPriority w:val="99"/>
    <w:semiHidden/>
    <w:rsid w:val="007B773A"/>
    <w:rPr>
      <w:b/>
      <w:bCs/>
      <w:sz w:val="20"/>
      <w:szCs w:val="20"/>
    </w:rPr>
  </w:style>
  <w:style w:type="paragraph" w:styleId="Revision">
    <w:name w:val="Revision"/>
    <w:hidden/>
    <w:uiPriority w:val="99"/>
    <w:semiHidden/>
    <w:rsid w:val="00DC3728"/>
    <w:pPr>
      <w:spacing w:line="240" w:lineRule="auto"/>
      <w:ind w:firstLine="0"/>
      <w:jc w:val="left"/>
    </w:pPr>
  </w:style>
  <w:style w:type="character" w:styleId="FollowedHyperlink">
    <w:name w:val="FollowedHyperlink"/>
    <w:basedOn w:val="DefaultParagraphFont"/>
    <w:uiPriority w:val="99"/>
    <w:semiHidden/>
    <w:unhideWhenUsed/>
    <w:rsid w:val="00637DBC"/>
    <w:rPr>
      <w:color w:val="954F72" w:themeColor="followedHyperlink"/>
      <w:u w:val="single"/>
    </w:rPr>
  </w:style>
  <w:style w:type="paragraph" w:styleId="Header">
    <w:name w:val="header"/>
    <w:basedOn w:val="Normal"/>
    <w:link w:val="HeaderChar"/>
    <w:uiPriority w:val="99"/>
    <w:unhideWhenUsed/>
    <w:rsid w:val="004F6187"/>
    <w:pPr>
      <w:tabs>
        <w:tab w:val="center" w:pos="4513"/>
        <w:tab w:val="right" w:pos="9026"/>
      </w:tabs>
      <w:spacing w:line="240" w:lineRule="auto"/>
    </w:pPr>
  </w:style>
  <w:style w:type="character" w:customStyle="1" w:styleId="HeaderChar">
    <w:name w:val="Header Char"/>
    <w:basedOn w:val="DefaultParagraphFont"/>
    <w:link w:val="Header"/>
    <w:uiPriority w:val="99"/>
    <w:rsid w:val="004F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cd1f8b0-1afb-4861-88cc-a8387ffe6b5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oj/directacces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66349-noteikumi-par-tiesu-ekspertizu-iestazu-sarakst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vidus.lv/raksti/provokacija-vai-operativais-eksperiments/" TargetMode="External"/><Relationship Id="rId4" Type="http://schemas.openxmlformats.org/officeDocument/2006/relationships/settings" Target="settings.xml"/><Relationship Id="rId9" Type="http://schemas.openxmlformats.org/officeDocument/2006/relationships/hyperlink" Target="https://www.at.gov.lv/downloadlawfile/364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8B180-1C4B-4BE5-80A9-749A2D30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18801</Words>
  <Characters>10717</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2026-03-16T08:06:00Z</dcterms:created>
  <dcterms:modified xsi:type="dcterms:W3CDTF">2026-03-16T08:06:00Z</dcterms:modified>
</cp:coreProperties>
</file>