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00CE" w14:textId="37D33F08" w:rsidR="007B3558" w:rsidRPr="001A5DED" w:rsidRDefault="001A5DED" w:rsidP="00E0632D">
      <w:pPr>
        <w:spacing w:line="276" w:lineRule="auto"/>
        <w:jc w:val="both"/>
        <w:rPr>
          <w:szCs w:val="22"/>
          <w:lang w:eastAsia="lv-LV"/>
        </w:rPr>
      </w:pPr>
      <w:bookmarkStart w:id="0" w:name="_Hlk96527654"/>
      <w:r>
        <w:rPr>
          <w:b/>
          <w:bCs/>
          <w14:ligatures w14:val="standardContextual"/>
        </w:rPr>
        <w:t>Atlīdzinājums neiegūtas peļņas veidā par publiskajā iepirkumā pieļautu pasūtītāja pārkāpumu un nošķiršana no „iespējas zaudēšanas” atlīdzinājuma</w:t>
      </w:r>
    </w:p>
    <w:p w14:paraId="43D8BE4B" w14:textId="41E7D0EC" w:rsidR="007B3558" w:rsidRPr="00387ED2" w:rsidRDefault="007B3558" w:rsidP="00E0632D">
      <w:pPr>
        <w:spacing w:before="240" w:line="276" w:lineRule="auto"/>
        <w:jc w:val="center"/>
        <w:rPr>
          <w:b/>
        </w:rPr>
      </w:pPr>
      <w:r w:rsidRPr="00387ED2">
        <w:rPr>
          <w:b/>
        </w:rPr>
        <w:t>Latvijas Republikas Senāt</w:t>
      </w:r>
      <w:r w:rsidR="001A5DED">
        <w:rPr>
          <w:b/>
        </w:rPr>
        <w:t>a</w:t>
      </w:r>
      <w:r w:rsidR="001A5DED">
        <w:rPr>
          <w:b/>
        </w:rPr>
        <w:br/>
        <w:t>Administratīvo lietu departamenta</w:t>
      </w:r>
      <w:r w:rsidR="001A5DED">
        <w:rPr>
          <w:b/>
        </w:rPr>
        <w:br/>
        <w:t>2026.gada 2.februāra</w:t>
      </w:r>
    </w:p>
    <w:p w14:paraId="6D092CD1" w14:textId="77777777" w:rsidR="007B3558" w:rsidRDefault="007B3558" w:rsidP="00E0632D">
      <w:pPr>
        <w:spacing w:line="276" w:lineRule="auto"/>
        <w:jc w:val="center"/>
        <w:rPr>
          <w:b/>
        </w:rPr>
      </w:pPr>
      <w:r w:rsidRPr="00387ED2">
        <w:rPr>
          <w:b/>
        </w:rPr>
        <w:t>RĪCĪBAS SĒDES LĒMUMS</w:t>
      </w:r>
    </w:p>
    <w:p w14:paraId="13F9EC46" w14:textId="77777777" w:rsidR="001A5DED" w:rsidRDefault="001A5DED" w:rsidP="00E0632D">
      <w:pPr>
        <w:spacing w:line="276" w:lineRule="auto"/>
        <w:jc w:val="center"/>
        <w:rPr>
          <w:rFonts w:asciiTheme="majorBidi" w:hAnsiTheme="majorBidi" w:cstheme="majorBidi"/>
          <w:b/>
          <w:bCs/>
        </w:rPr>
      </w:pPr>
      <w:r w:rsidRPr="001A5DED">
        <w:rPr>
          <w:rFonts w:asciiTheme="majorBidi" w:hAnsiTheme="majorBidi" w:cstheme="majorBidi"/>
          <w:b/>
          <w:bCs/>
        </w:rPr>
        <w:t>Lieta Nr. A420340016,</w:t>
      </w:r>
      <w:r w:rsidRPr="001A5DED">
        <w:rPr>
          <w:rFonts w:asciiTheme="majorBidi" w:hAnsiTheme="majorBidi" w:cstheme="majorBidi"/>
          <w:b/>
          <w:bCs/>
          <w:lang w:eastAsia="lv-LV"/>
        </w:rPr>
        <w:t> </w:t>
      </w:r>
      <w:r w:rsidRPr="001A5DED">
        <w:rPr>
          <w:rFonts w:asciiTheme="majorBidi" w:hAnsiTheme="majorBidi" w:cstheme="majorBidi"/>
          <w:b/>
          <w:bCs/>
        </w:rPr>
        <w:t>SKA-287/2026</w:t>
      </w:r>
    </w:p>
    <w:p w14:paraId="4F461140" w14:textId="61DBEA7C" w:rsidR="001A5DED" w:rsidRPr="001A5DED" w:rsidRDefault="001A5DED" w:rsidP="00E0632D">
      <w:pPr>
        <w:spacing w:line="276" w:lineRule="auto"/>
        <w:jc w:val="center"/>
        <w:rPr>
          <w:rFonts w:asciiTheme="majorBidi" w:hAnsiTheme="majorBidi" w:cstheme="majorBidi"/>
          <w:b/>
          <w:bCs/>
        </w:rPr>
      </w:pPr>
      <w:r w:rsidRPr="001A5DED">
        <w:t xml:space="preserve"> </w:t>
      </w:r>
      <w:hyperlink r:id="rId8" w:history="1">
        <w:r w:rsidRPr="001A5DED">
          <w:rPr>
            <w:rStyle w:val="Hyperlink"/>
          </w:rPr>
          <w:t>ECLI:LV:AT:2026:0202.A420340016.23.L</w:t>
        </w:r>
      </w:hyperlink>
    </w:p>
    <w:p w14:paraId="4EC7AF42" w14:textId="77777777" w:rsidR="00C84D92" w:rsidRPr="00C84D92" w:rsidRDefault="00C84D92" w:rsidP="00E0632D">
      <w:pPr>
        <w:spacing w:line="276" w:lineRule="auto"/>
        <w:ind w:left="709"/>
      </w:pPr>
    </w:p>
    <w:p w14:paraId="594A837B" w14:textId="4BCD59DF" w:rsidR="007B3558" w:rsidRPr="00DB5BEB" w:rsidRDefault="007B3558" w:rsidP="00E0632D">
      <w:pPr>
        <w:spacing w:line="276" w:lineRule="auto"/>
        <w:ind w:firstLine="720"/>
        <w:jc w:val="both"/>
        <w:rPr>
          <w:rFonts w:asciiTheme="majorBidi" w:hAnsiTheme="majorBidi" w:cstheme="majorBidi"/>
        </w:rPr>
      </w:pPr>
      <w:r w:rsidRPr="00DB5BEB">
        <w:rPr>
          <w:rFonts w:asciiTheme="majorBidi" w:hAnsiTheme="majorBidi" w:cstheme="majorBidi"/>
        </w:rPr>
        <w:t>[1]</w:t>
      </w:r>
      <w:r w:rsidR="00387ED2" w:rsidRPr="00DB5BEB">
        <w:rPr>
          <w:rFonts w:asciiTheme="majorBidi" w:hAnsiTheme="majorBidi" w:cstheme="majorBidi"/>
        </w:rPr>
        <w:t> </w:t>
      </w:r>
      <w:r w:rsidRPr="00DB5BEB">
        <w:rPr>
          <w:rFonts w:asciiTheme="majorBidi" w:hAnsiTheme="majorBidi" w:cstheme="majorBidi"/>
        </w:rPr>
        <w:t xml:space="preserve">Senātā saņemta </w:t>
      </w:r>
      <w:r w:rsidR="00DB5BEB">
        <w:rPr>
          <w:rFonts w:asciiTheme="majorBidi" w:hAnsiTheme="majorBidi" w:cstheme="majorBidi"/>
        </w:rPr>
        <w:t xml:space="preserve">atbildētājas </w:t>
      </w:r>
      <w:r w:rsidR="00387ED2" w:rsidRPr="00DB5BEB">
        <w:rPr>
          <w:rFonts w:asciiTheme="majorBidi" w:hAnsiTheme="majorBidi" w:cstheme="majorBidi"/>
        </w:rPr>
        <w:t>Latvijas Universitātes</w:t>
      </w:r>
      <w:r w:rsidR="00485513">
        <w:rPr>
          <w:rFonts w:asciiTheme="majorBidi" w:hAnsiTheme="majorBidi" w:cstheme="majorBidi"/>
        </w:rPr>
        <w:t xml:space="preserve"> </w:t>
      </w:r>
      <w:r w:rsidR="007173E3" w:rsidRPr="00DB5BEB">
        <w:rPr>
          <w:rFonts w:asciiTheme="majorBidi" w:hAnsiTheme="majorBidi" w:cstheme="majorBidi"/>
        </w:rPr>
        <w:t>kasācijas</w:t>
      </w:r>
      <w:r w:rsidR="00995EA2" w:rsidRPr="00DB5BEB">
        <w:rPr>
          <w:rFonts w:asciiTheme="majorBidi" w:hAnsiTheme="majorBidi" w:cstheme="majorBidi"/>
        </w:rPr>
        <w:t xml:space="preserve"> </w:t>
      </w:r>
      <w:r w:rsidRPr="00DB5BEB">
        <w:rPr>
          <w:rFonts w:asciiTheme="majorBidi" w:hAnsiTheme="majorBidi" w:cstheme="majorBidi"/>
        </w:rPr>
        <w:t xml:space="preserve">sūdzība par Administratīvās </w:t>
      </w:r>
      <w:r w:rsidR="00387ED2" w:rsidRPr="00DB5BEB">
        <w:rPr>
          <w:rFonts w:asciiTheme="majorBidi" w:hAnsiTheme="majorBidi" w:cstheme="majorBidi"/>
        </w:rPr>
        <w:t>rajona tiesas</w:t>
      </w:r>
      <w:r w:rsidR="00D54278" w:rsidRPr="00DB5BEB">
        <w:rPr>
          <w:rFonts w:asciiTheme="majorBidi" w:hAnsiTheme="majorBidi" w:cstheme="majorBidi"/>
        </w:rPr>
        <w:t xml:space="preserve"> </w:t>
      </w:r>
      <w:r w:rsidRPr="00DB5BEB">
        <w:rPr>
          <w:rFonts w:asciiTheme="majorBidi" w:hAnsiTheme="majorBidi" w:cstheme="majorBidi"/>
        </w:rPr>
        <w:t>202</w:t>
      </w:r>
      <w:r w:rsidR="000E3538" w:rsidRPr="00DB5BEB">
        <w:rPr>
          <w:rFonts w:asciiTheme="majorBidi" w:hAnsiTheme="majorBidi" w:cstheme="majorBidi"/>
        </w:rPr>
        <w:t>5</w:t>
      </w:r>
      <w:r w:rsidRPr="00DB5BEB">
        <w:rPr>
          <w:rFonts w:asciiTheme="majorBidi" w:hAnsiTheme="majorBidi" w:cstheme="majorBidi"/>
        </w:rPr>
        <w:t xml:space="preserve">.gada </w:t>
      </w:r>
      <w:r w:rsidR="00387ED2" w:rsidRPr="00DB5BEB">
        <w:rPr>
          <w:rFonts w:asciiTheme="majorBidi" w:hAnsiTheme="majorBidi" w:cstheme="majorBidi"/>
        </w:rPr>
        <w:t>7</w:t>
      </w:r>
      <w:r w:rsidRPr="00DB5BEB">
        <w:rPr>
          <w:rFonts w:asciiTheme="majorBidi" w:hAnsiTheme="majorBidi" w:cstheme="majorBidi"/>
        </w:rPr>
        <w:t>.</w:t>
      </w:r>
      <w:r w:rsidR="00387ED2" w:rsidRPr="00DB5BEB">
        <w:rPr>
          <w:rFonts w:asciiTheme="majorBidi" w:hAnsiTheme="majorBidi" w:cstheme="majorBidi"/>
        </w:rPr>
        <w:t>augusta</w:t>
      </w:r>
      <w:r w:rsidRPr="00DB5BEB">
        <w:rPr>
          <w:rFonts w:asciiTheme="majorBidi" w:hAnsiTheme="majorBidi" w:cstheme="majorBidi"/>
        </w:rPr>
        <w:t xml:space="preserve"> </w:t>
      </w:r>
      <w:r w:rsidR="007173E3" w:rsidRPr="00DB5BEB">
        <w:rPr>
          <w:rFonts w:asciiTheme="majorBidi" w:hAnsiTheme="majorBidi" w:cstheme="majorBidi"/>
        </w:rPr>
        <w:t>spriedumu</w:t>
      </w:r>
      <w:r w:rsidR="008E50EE">
        <w:rPr>
          <w:rFonts w:asciiTheme="majorBidi" w:hAnsiTheme="majorBidi" w:cstheme="majorBidi"/>
        </w:rPr>
        <w:t xml:space="preserve"> daļā</w:t>
      </w:r>
      <w:r w:rsidRPr="00DB5BEB">
        <w:rPr>
          <w:rFonts w:asciiTheme="majorBidi" w:hAnsiTheme="majorBidi" w:cstheme="majorBidi"/>
        </w:rPr>
        <w:t>, ar kuru</w:t>
      </w:r>
      <w:r w:rsidR="007173E3" w:rsidRPr="00DB5BEB">
        <w:rPr>
          <w:rFonts w:asciiTheme="majorBidi" w:hAnsiTheme="majorBidi" w:cstheme="majorBidi"/>
        </w:rPr>
        <w:t xml:space="preserve"> </w:t>
      </w:r>
      <w:r w:rsidR="00DB5BEB" w:rsidRPr="00DB5BEB">
        <w:rPr>
          <w:rFonts w:asciiTheme="majorBidi" w:hAnsiTheme="majorBidi" w:cstheme="majorBidi"/>
        </w:rPr>
        <w:t>apmierināts</w:t>
      </w:r>
      <w:r w:rsidR="007173E3" w:rsidRPr="00DB5BEB">
        <w:rPr>
          <w:rFonts w:asciiTheme="majorBidi" w:hAnsiTheme="majorBidi" w:cstheme="majorBidi"/>
        </w:rPr>
        <w:t xml:space="preserve"> pieteicējas</w:t>
      </w:r>
      <w:r w:rsidR="00DB5BEB" w:rsidRPr="00DB5BEB">
        <w:rPr>
          <w:rFonts w:asciiTheme="majorBidi" w:hAnsiTheme="majorBidi" w:cstheme="majorBidi"/>
        </w:rPr>
        <w:t xml:space="preserve"> SIA „SKONTO BŪVE”</w:t>
      </w:r>
      <w:r w:rsidR="007173E3" w:rsidRPr="00DB5BEB">
        <w:rPr>
          <w:rFonts w:asciiTheme="majorBidi" w:hAnsiTheme="majorBidi" w:cstheme="majorBidi"/>
        </w:rPr>
        <w:t xml:space="preserve"> pieteikums</w:t>
      </w:r>
      <w:r w:rsidR="00DB5BEB" w:rsidRPr="00DB5BEB">
        <w:rPr>
          <w:rFonts w:asciiTheme="majorBidi" w:hAnsiTheme="majorBidi" w:cstheme="majorBidi"/>
        </w:rPr>
        <w:t xml:space="preserve"> </w:t>
      </w:r>
      <w:r w:rsidR="007173E3" w:rsidRPr="00DB5BEB">
        <w:rPr>
          <w:rFonts w:asciiTheme="majorBidi" w:hAnsiTheme="majorBidi" w:cstheme="majorBidi"/>
        </w:rPr>
        <w:t>par</w:t>
      </w:r>
      <w:r w:rsidR="00DB5BEB" w:rsidRPr="00DB5BEB">
        <w:rPr>
          <w:rFonts w:asciiTheme="majorBidi" w:hAnsiTheme="majorBidi" w:cstheme="majorBidi"/>
        </w:rPr>
        <w:t xml:space="preserve"> pienākum</w:t>
      </w:r>
      <w:r w:rsidR="00D3549E">
        <w:rPr>
          <w:rFonts w:asciiTheme="majorBidi" w:hAnsiTheme="majorBidi" w:cstheme="majorBidi"/>
        </w:rPr>
        <w:t>a uzlikšanu</w:t>
      </w:r>
      <w:r w:rsidR="00DB5BEB" w:rsidRPr="00DB5BEB">
        <w:rPr>
          <w:rFonts w:asciiTheme="majorBidi" w:hAnsiTheme="majorBidi" w:cstheme="majorBidi"/>
        </w:rPr>
        <w:t xml:space="preserve"> </w:t>
      </w:r>
      <w:r w:rsidR="00DB5BEB">
        <w:rPr>
          <w:rFonts w:asciiTheme="majorBidi" w:hAnsiTheme="majorBidi" w:cstheme="majorBidi"/>
        </w:rPr>
        <w:t>atbildētājai</w:t>
      </w:r>
      <w:r w:rsidR="00DB5BEB" w:rsidRPr="00DB5BEB">
        <w:rPr>
          <w:rFonts w:asciiTheme="majorBidi" w:hAnsiTheme="majorBidi" w:cstheme="majorBidi"/>
        </w:rPr>
        <w:t xml:space="preserve"> atlīdzināt pieteicējai</w:t>
      </w:r>
      <w:r w:rsidR="00CF73DA">
        <w:rPr>
          <w:rFonts w:asciiTheme="majorBidi" w:hAnsiTheme="majorBidi" w:cstheme="majorBidi"/>
        </w:rPr>
        <w:t xml:space="preserve"> radītos</w:t>
      </w:r>
      <w:r w:rsidR="00DB5BEB" w:rsidRPr="00DB5BEB">
        <w:rPr>
          <w:rFonts w:asciiTheme="majorBidi" w:hAnsiTheme="majorBidi" w:cstheme="majorBidi"/>
        </w:rPr>
        <w:t xml:space="preserve"> zaudējumu</w:t>
      </w:r>
      <w:r w:rsidR="00DB5BEB">
        <w:rPr>
          <w:rFonts w:asciiTheme="majorBidi" w:hAnsiTheme="majorBidi" w:cstheme="majorBidi"/>
        </w:rPr>
        <w:t>s</w:t>
      </w:r>
      <w:r w:rsidR="00DB5BEB" w:rsidRPr="00DB5BEB">
        <w:rPr>
          <w:rFonts w:asciiTheme="majorBidi" w:hAnsiTheme="majorBidi" w:cstheme="majorBidi"/>
        </w:rPr>
        <w:t xml:space="preserve"> </w:t>
      </w:r>
      <w:r w:rsidR="00DB5BEB" w:rsidRPr="008E50EE">
        <w:rPr>
          <w:rFonts w:asciiTheme="majorBidi" w:hAnsiTheme="majorBidi" w:cstheme="majorBidi"/>
        </w:rPr>
        <w:t>717 164,77 </w:t>
      </w:r>
      <w:r w:rsidR="00DB5BEB" w:rsidRPr="008E50EE">
        <w:rPr>
          <w:rFonts w:asciiTheme="majorBidi" w:hAnsiTheme="majorBidi" w:cstheme="majorBidi"/>
          <w:i/>
          <w:iCs/>
        </w:rPr>
        <w:t>euro</w:t>
      </w:r>
      <w:r w:rsidR="008E50EE">
        <w:rPr>
          <w:rFonts w:asciiTheme="majorBidi" w:hAnsiTheme="majorBidi" w:cstheme="majorBidi"/>
        </w:rPr>
        <w:t>.</w:t>
      </w:r>
    </w:p>
    <w:p w14:paraId="15F5AF64" w14:textId="355706D9" w:rsidR="00485513" w:rsidRPr="00EB0858" w:rsidRDefault="00485513" w:rsidP="00E0632D">
      <w:pPr>
        <w:spacing w:line="276" w:lineRule="auto"/>
        <w:ind w:firstLine="720"/>
        <w:jc w:val="both"/>
        <w:rPr>
          <w:rFonts w:asciiTheme="majorBidi" w:eastAsiaTheme="minorHAnsi" w:hAnsiTheme="majorBidi" w:cstheme="majorBidi"/>
          <w:i/>
        </w:rPr>
      </w:pPr>
      <w:r>
        <w:rPr>
          <w:rFonts w:asciiTheme="majorBidi" w:hAnsiTheme="majorBidi" w:cstheme="majorBidi"/>
        </w:rPr>
        <w:t>P</w:t>
      </w:r>
      <w:r w:rsidRPr="006F3157">
        <w:rPr>
          <w:rFonts w:asciiTheme="majorBidi" w:hAnsiTheme="majorBidi" w:cstheme="majorBidi"/>
        </w:rPr>
        <w:t xml:space="preserve">ieteicēja </w:t>
      </w:r>
      <w:r>
        <w:rPr>
          <w:rFonts w:asciiTheme="majorBidi" w:hAnsiTheme="majorBidi" w:cstheme="majorBidi"/>
        </w:rPr>
        <w:t xml:space="preserve">2013.gadā </w:t>
      </w:r>
      <w:r w:rsidRPr="006F3157">
        <w:rPr>
          <w:rFonts w:asciiTheme="majorBidi" w:hAnsiTheme="majorBidi" w:cstheme="majorBidi"/>
        </w:rPr>
        <w:t>piedalījās</w:t>
      </w:r>
      <w:r>
        <w:rPr>
          <w:rFonts w:asciiTheme="majorBidi" w:hAnsiTheme="majorBidi" w:cstheme="majorBidi"/>
        </w:rPr>
        <w:t xml:space="preserve"> atbildētājas</w:t>
      </w:r>
      <w:r w:rsidRPr="006F3157">
        <w:rPr>
          <w:rFonts w:asciiTheme="majorBidi" w:hAnsiTheme="majorBidi" w:cstheme="majorBidi"/>
        </w:rPr>
        <w:t xml:space="preserve"> rīkotajā iepirkumā</w:t>
      </w:r>
      <w:r>
        <w:rPr>
          <w:rFonts w:asciiTheme="majorBidi" w:hAnsiTheme="majorBidi" w:cstheme="majorBidi"/>
        </w:rPr>
        <w:t xml:space="preserve">, kurā par </w:t>
      </w:r>
      <w:r w:rsidRPr="006F3157">
        <w:rPr>
          <w:rFonts w:asciiTheme="majorBidi" w:hAnsiTheme="majorBidi" w:cstheme="majorBidi"/>
        </w:rPr>
        <w:t xml:space="preserve">uzvarētāju </w:t>
      </w:r>
      <w:r w:rsidR="001A481F">
        <w:rPr>
          <w:rFonts w:asciiTheme="majorBidi" w:hAnsiTheme="majorBidi" w:cstheme="majorBidi"/>
        </w:rPr>
        <w:t>tika</w:t>
      </w:r>
      <w:r w:rsidRPr="006F3157">
        <w:rPr>
          <w:rFonts w:asciiTheme="majorBidi" w:hAnsiTheme="majorBidi" w:cstheme="majorBidi"/>
        </w:rPr>
        <w:t xml:space="preserve"> atz</w:t>
      </w:r>
      <w:r w:rsidR="001A481F">
        <w:rPr>
          <w:rFonts w:asciiTheme="majorBidi" w:hAnsiTheme="majorBidi" w:cstheme="majorBidi"/>
        </w:rPr>
        <w:t>īts</w:t>
      </w:r>
      <w:r w:rsidRPr="006F3157">
        <w:rPr>
          <w:rFonts w:asciiTheme="majorBidi" w:hAnsiTheme="majorBidi" w:cstheme="majorBidi"/>
        </w:rPr>
        <w:t xml:space="preserve"> cit</w:t>
      </w:r>
      <w:r w:rsidR="001A481F">
        <w:rPr>
          <w:rFonts w:asciiTheme="majorBidi" w:hAnsiTheme="majorBidi" w:cstheme="majorBidi"/>
        </w:rPr>
        <w:t>s</w:t>
      </w:r>
      <w:r w:rsidRPr="006F3157">
        <w:rPr>
          <w:rFonts w:asciiTheme="majorBidi" w:hAnsiTheme="majorBidi" w:cstheme="majorBidi"/>
        </w:rPr>
        <w:t xml:space="preserve"> pretendent</w:t>
      </w:r>
      <w:r w:rsidR="001A481F">
        <w:rPr>
          <w:rFonts w:asciiTheme="majorBidi" w:hAnsiTheme="majorBidi" w:cstheme="majorBidi"/>
        </w:rPr>
        <w:t>s</w:t>
      </w:r>
      <w:r>
        <w:rPr>
          <w:rFonts w:asciiTheme="majorBidi" w:hAnsiTheme="majorBidi" w:cstheme="majorBidi"/>
        </w:rPr>
        <w:t>, nevis pieteic</w:t>
      </w:r>
      <w:r w:rsidRPr="00485513">
        <w:rPr>
          <w:rFonts w:asciiTheme="majorBidi" w:hAnsiTheme="majorBidi" w:cstheme="majorBidi"/>
        </w:rPr>
        <w:t>ēj</w:t>
      </w:r>
      <w:r w:rsidR="001A481F">
        <w:rPr>
          <w:rFonts w:asciiTheme="majorBidi" w:hAnsiTheme="majorBidi" w:cstheme="majorBidi"/>
        </w:rPr>
        <w:t>a</w:t>
      </w:r>
      <w:r w:rsidRPr="00485513">
        <w:rPr>
          <w:rFonts w:asciiTheme="majorBidi" w:hAnsiTheme="majorBidi" w:cstheme="majorBidi"/>
        </w:rPr>
        <w:t xml:space="preserve">. </w:t>
      </w:r>
      <w:r>
        <w:rPr>
          <w:rFonts w:asciiTheme="majorBidi" w:hAnsiTheme="majorBidi" w:cstheme="majorBidi"/>
        </w:rPr>
        <w:t xml:space="preserve">Ar </w:t>
      </w:r>
      <w:r w:rsidRPr="006F3157">
        <w:rPr>
          <w:rFonts w:asciiTheme="majorBidi" w:hAnsiTheme="majorBidi" w:cstheme="majorBidi"/>
        </w:rPr>
        <w:t>Administratīvā</w:t>
      </w:r>
      <w:r w:rsidR="00FB4122">
        <w:rPr>
          <w:rFonts w:asciiTheme="majorBidi" w:hAnsiTheme="majorBidi" w:cstheme="majorBidi"/>
        </w:rPr>
        <w:t>s</w:t>
      </w:r>
      <w:r w:rsidRPr="006F3157">
        <w:rPr>
          <w:rFonts w:asciiTheme="majorBidi" w:hAnsiTheme="majorBidi" w:cstheme="majorBidi"/>
        </w:rPr>
        <w:t xml:space="preserve"> rajona </w:t>
      </w:r>
      <w:r>
        <w:t>tiesas</w:t>
      </w:r>
      <w:r w:rsidRPr="006F3157">
        <w:rPr>
          <w:rFonts w:asciiTheme="majorBidi" w:hAnsiTheme="majorBidi" w:cstheme="majorBidi"/>
        </w:rPr>
        <w:t xml:space="preserve"> </w:t>
      </w:r>
      <w:r w:rsidRPr="006F3157">
        <w:rPr>
          <w:rFonts w:asciiTheme="majorBidi" w:eastAsiaTheme="minorHAnsi" w:hAnsiTheme="majorBidi" w:cstheme="majorBidi"/>
        </w:rPr>
        <w:t>2015.gada 22.</w:t>
      </w:r>
      <w:r w:rsidRPr="00D3549E">
        <w:rPr>
          <w:rFonts w:asciiTheme="majorBidi" w:eastAsiaTheme="minorHAnsi" w:hAnsiTheme="majorBidi" w:cstheme="majorBidi"/>
        </w:rPr>
        <w:t>janvāra spriedumu lietā Nr. A420451113</w:t>
      </w:r>
      <w:r w:rsidR="00CF73DA">
        <w:rPr>
          <w:rFonts w:asciiTheme="majorBidi" w:eastAsiaTheme="minorHAnsi" w:hAnsiTheme="majorBidi" w:cstheme="majorBidi"/>
        </w:rPr>
        <w:t xml:space="preserve"> </w:t>
      </w:r>
      <w:r w:rsidRPr="00D3549E">
        <w:rPr>
          <w:rFonts w:eastAsiaTheme="minorHAnsi"/>
        </w:rPr>
        <w:t xml:space="preserve">secināts, </w:t>
      </w:r>
      <w:r w:rsidRPr="00D3549E">
        <w:rPr>
          <w:rFonts w:asciiTheme="majorBidi" w:eastAsiaTheme="minorHAnsi" w:hAnsiTheme="majorBidi" w:cstheme="majorBidi"/>
        </w:rPr>
        <w:t xml:space="preserve">ka </w:t>
      </w:r>
      <w:r w:rsidRPr="00D3549E">
        <w:rPr>
          <w:rFonts w:eastAsiaTheme="minorHAnsi"/>
        </w:rPr>
        <w:t>atbildētāja</w:t>
      </w:r>
      <w:r w:rsidR="001A481F">
        <w:rPr>
          <w:rFonts w:eastAsiaTheme="minorHAnsi"/>
        </w:rPr>
        <w:t xml:space="preserve"> </w:t>
      </w:r>
      <w:r w:rsidRPr="00D3549E">
        <w:rPr>
          <w:rFonts w:eastAsiaTheme="minorHAnsi"/>
        </w:rPr>
        <w:t xml:space="preserve">ir </w:t>
      </w:r>
      <w:r w:rsidR="00FB4122">
        <w:rPr>
          <w:rFonts w:eastAsiaTheme="minorHAnsi"/>
        </w:rPr>
        <w:t xml:space="preserve">pieļāvusi </w:t>
      </w:r>
      <w:r w:rsidRPr="00D3549E">
        <w:rPr>
          <w:rFonts w:eastAsiaTheme="minorHAnsi"/>
        </w:rPr>
        <w:t>iepirkuma procedūras pārkāpum</w:t>
      </w:r>
      <w:r w:rsidR="00FB4122">
        <w:rPr>
          <w:rFonts w:eastAsiaTheme="minorHAnsi"/>
        </w:rPr>
        <w:t>u</w:t>
      </w:r>
      <w:r w:rsidRPr="00D3549E">
        <w:rPr>
          <w:rFonts w:eastAsiaTheme="minorHAnsi"/>
        </w:rPr>
        <w:t xml:space="preserve">. </w:t>
      </w:r>
      <w:r w:rsidRPr="00D3549E">
        <w:rPr>
          <w:rFonts w:asciiTheme="majorBidi" w:eastAsiaTheme="minorHAnsi" w:hAnsiTheme="majorBidi" w:cstheme="majorBidi"/>
        </w:rPr>
        <w:t xml:space="preserve">Pieteicēja vērsās pie atbildētājas un pēc tam Administratīvajā rajona tiesā ar prasījumu atlīdzināt iepirkuma procedūras pārkāpuma dēļ </w:t>
      </w:r>
      <w:r w:rsidR="00CF73DA">
        <w:rPr>
          <w:rFonts w:asciiTheme="majorBidi" w:eastAsiaTheme="minorHAnsi" w:hAnsiTheme="majorBidi" w:cstheme="majorBidi"/>
        </w:rPr>
        <w:t>pieteicējai</w:t>
      </w:r>
      <w:r w:rsidR="005562FC">
        <w:rPr>
          <w:rFonts w:asciiTheme="majorBidi" w:eastAsiaTheme="minorHAnsi" w:hAnsiTheme="majorBidi" w:cstheme="majorBidi"/>
        </w:rPr>
        <w:t xml:space="preserve"> </w:t>
      </w:r>
      <w:r w:rsidRPr="00D3549E">
        <w:rPr>
          <w:rFonts w:asciiTheme="majorBidi" w:eastAsiaTheme="minorHAnsi" w:hAnsiTheme="majorBidi" w:cstheme="majorBidi"/>
        </w:rPr>
        <w:t>radītos zaudējumus – neiegūto peļņu</w:t>
      </w:r>
      <w:r w:rsidR="0034555D">
        <w:rPr>
          <w:rFonts w:asciiTheme="majorBidi" w:eastAsiaTheme="minorHAnsi" w:hAnsiTheme="majorBidi" w:cstheme="majorBidi"/>
        </w:rPr>
        <w:t>, t</w:t>
      </w:r>
      <w:r w:rsidR="001A481F" w:rsidRPr="00D3549E">
        <w:rPr>
          <w:rFonts w:asciiTheme="majorBidi" w:eastAsiaTheme="minorHAnsi" w:hAnsiTheme="majorBidi" w:cstheme="majorBidi"/>
        </w:rPr>
        <w:t xml:space="preserve">iesvedības gaitā </w:t>
      </w:r>
      <w:r w:rsidR="001A481F">
        <w:rPr>
          <w:rFonts w:asciiTheme="majorBidi" w:eastAsiaTheme="minorHAnsi" w:hAnsiTheme="majorBidi" w:cstheme="majorBidi"/>
        </w:rPr>
        <w:t>precizēj</w:t>
      </w:r>
      <w:r w:rsidR="0034555D">
        <w:rPr>
          <w:rFonts w:asciiTheme="majorBidi" w:eastAsiaTheme="minorHAnsi" w:hAnsiTheme="majorBidi" w:cstheme="majorBidi"/>
        </w:rPr>
        <w:t xml:space="preserve">ot </w:t>
      </w:r>
      <w:r w:rsidR="001A481F" w:rsidRPr="00D3549E">
        <w:rPr>
          <w:rFonts w:asciiTheme="majorBidi" w:eastAsiaTheme="minorHAnsi" w:hAnsiTheme="majorBidi" w:cstheme="majorBidi"/>
        </w:rPr>
        <w:t>atlīdzinām</w:t>
      </w:r>
      <w:r w:rsidR="001A481F">
        <w:rPr>
          <w:rFonts w:asciiTheme="majorBidi" w:eastAsiaTheme="minorHAnsi" w:hAnsiTheme="majorBidi" w:cstheme="majorBidi"/>
        </w:rPr>
        <w:t>ā</w:t>
      </w:r>
      <w:r w:rsidR="0034555D">
        <w:rPr>
          <w:rFonts w:asciiTheme="majorBidi" w:eastAsiaTheme="minorHAnsi" w:hAnsiTheme="majorBidi" w:cstheme="majorBidi"/>
        </w:rPr>
        <w:t>s</w:t>
      </w:r>
      <w:r w:rsidR="001A481F" w:rsidRPr="00D3549E">
        <w:rPr>
          <w:rFonts w:asciiTheme="majorBidi" w:eastAsiaTheme="minorHAnsi" w:hAnsiTheme="majorBidi" w:cstheme="majorBidi"/>
        </w:rPr>
        <w:t xml:space="preserve"> summ</w:t>
      </w:r>
      <w:r w:rsidR="001A481F">
        <w:rPr>
          <w:rFonts w:asciiTheme="majorBidi" w:eastAsiaTheme="minorHAnsi" w:hAnsiTheme="majorBidi" w:cstheme="majorBidi"/>
        </w:rPr>
        <w:t>a</w:t>
      </w:r>
      <w:r w:rsidR="0034555D">
        <w:rPr>
          <w:rFonts w:asciiTheme="majorBidi" w:eastAsiaTheme="minorHAnsi" w:hAnsiTheme="majorBidi" w:cstheme="majorBidi"/>
        </w:rPr>
        <w:t>s</w:t>
      </w:r>
      <w:r w:rsidR="001A481F">
        <w:rPr>
          <w:rFonts w:asciiTheme="majorBidi" w:eastAsiaTheme="minorHAnsi" w:hAnsiTheme="majorBidi" w:cstheme="majorBidi"/>
        </w:rPr>
        <w:t xml:space="preserve"> </w:t>
      </w:r>
      <w:r w:rsidR="0034555D">
        <w:rPr>
          <w:rFonts w:asciiTheme="majorBidi" w:eastAsiaTheme="minorHAnsi" w:hAnsiTheme="majorBidi" w:cstheme="majorBidi"/>
        </w:rPr>
        <w:t>apmēru</w:t>
      </w:r>
      <w:r w:rsidR="001A481F" w:rsidRPr="00D3549E">
        <w:rPr>
          <w:rFonts w:asciiTheme="majorBidi" w:eastAsiaTheme="minorHAnsi" w:hAnsiTheme="majorBidi" w:cstheme="majorBidi"/>
        </w:rPr>
        <w:t xml:space="preserve"> </w:t>
      </w:r>
      <w:r w:rsidR="00D3549E" w:rsidRPr="00D3549E">
        <w:rPr>
          <w:rFonts w:asciiTheme="majorBidi" w:eastAsiaTheme="minorHAnsi" w:hAnsiTheme="majorBidi" w:cstheme="majorBidi"/>
        </w:rPr>
        <w:t>827 720,50 </w:t>
      </w:r>
      <w:r w:rsidR="00D3549E" w:rsidRPr="00D3549E">
        <w:rPr>
          <w:rFonts w:asciiTheme="majorBidi" w:eastAsiaTheme="minorHAnsi" w:hAnsiTheme="majorBidi" w:cstheme="majorBidi"/>
          <w:i/>
        </w:rPr>
        <w:t>euro</w:t>
      </w:r>
      <w:r w:rsidRPr="005562FC">
        <w:rPr>
          <w:rFonts w:asciiTheme="majorBidi" w:eastAsiaTheme="minorHAnsi" w:hAnsiTheme="majorBidi" w:cstheme="majorBidi"/>
          <w:iCs/>
        </w:rPr>
        <w:t>.</w:t>
      </w:r>
      <w:r w:rsidR="005562FC" w:rsidRPr="005562FC">
        <w:rPr>
          <w:rFonts w:asciiTheme="majorBidi" w:eastAsiaTheme="minorHAnsi" w:hAnsiTheme="majorBidi" w:cstheme="majorBidi"/>
          <w:iCs/>
        </w:rPr>
        <w:t xml:space="preserve"> Tiesa secināja, ka lietā vairs nav strīda, ka tiesiskas procedūras norises gadījumā pieteicēja būtu atzīstama par uzvarētāju iepirkumā, tai būtu bijusi iespēja izpildīt iepirkuma līgumu un līdz ar to tai ir tiesības prasīt zaudējumu atlīdzību par neiegūto peļņu</w:t>
      </w:r>
      <w:r w:rsidR="005562FC">
        <w:rPr>
          <w:rFonts w:asciiTheme="majorBidi" w:eastAsiaTheme="minorHAnsi" w:hAnsiTheme="majorBidi" w:cstheme="majorBidi"/>
          <w:iCs/>
        </w:rPr>
        <w:t>.</w:t>
      </w:r>
      <w:r w:rsidR="004E3079" w:rsidRPr="005562FC">
        <w:rPr>
          <w:rFonts w:asciiTheme="majorBidi" w:eastAsiaTheme="minorHAnsi" w:hAnsiTheme="majorBidi" w:cstheme="majorBidi"/>
          <w:iCs/>
        </w:rPr>
        <w:t xml:space="preserve"> N</w:t>
      </w:r>
      <w:r w:rsidR="007E381B" w:rsidRPr="005562FC">
        <w:rPr>
          <w:rFonts w:asciiTheme="majorBidi" w:hAnsiTheme="majorBidi" w:cstheme="majorBidi"/>
          <w:iCs/>
        </w:rPr>
        <w:t xml:space="preserve">ovērtējot lietā </w:t>
      </w:r>
      <w:r w:rsidR="00CF73DA">
        <w:rPr>
          <w:rFonts w:asciiTheme="majorBidi" w:hAnsiTheme="majorBidi" w:cstheme="majorBidi"/>
          <w:iCs/>
        </w:rPr>
        <w:t>iesniegtos</w:t>
      </w:r>
      <w:r w:rsidR="007E381B" w:rsidRPr="005562FC">
        <w:rPr>
          <w:rFonts w:asciiTheme="majorBidi" w:hAnsiTheme="majorBidi" w:cstheme="majorBidi"/>
          <w:iCs/>
        </w:rPr>
        <w:t xml:space="preserve"> pierādījumus to savstarpējā kopsakarā</w:t>
      </w:r>
      <w:r w:rsidR="007E381B" w:rsidRPr="00D3549E">
        <w:rPr>
          <w:rFonts w:asciiTheme="majorBidi" w:hAnsiTheme="majorBidi" w:cstheme="majorBidi"/>
        </w:rPr>
        <w:t>,</w:t>
      </w:r>
      <w:r w:rsidRPr="00D3549E">
        <w:rPr>
          <w:rFonts w:asciiTheme="majorBidi" w:hAnsiTheme="majorBidi" w:cstheme="majorBidi"/>
        </w:rPr>
        <w:t xml:space="preserve"> </w:t>
      </w:r>
      <w:r w:rsidR="004E3079" w:rsidRPr="00D3549E">
        <w:rPr>
          <w:rFonts w:asciiTheme="majorBidi" w:hAnsiTheme="majorBidi" w:cstheme="majorBidi"/>
        </w:rPr>
        <w:t xml:space="preserve">tiesa </w:t>
      </w:r>
      <w:r w:rsidR="005562FC">
        <w:rPr>
          <w:rFonts w:asciiTheme="majorBidi" w:hAnsiTheme="majorBidi" w:cstheme="majorBidi"/>
        </w:rPr>
        <w:t>atzina</w:t>
      </w:r>
      <w:r w:rsidRPr="00D3549E">
        <w:rPr>
          <w:rFonts w:asciiTheme="majorBidi" w:hAnsiTheme="majorBidi" w:cstheme="majorBidi"/>
        </w:rPr>
        <w:t xml:space="preserve">, ka </w:t>
      </w:r>
      <w:r w:rsidR="007E381B" w:rsidRPr="00D3549E">
        <w:rPr>
          <w:rFonts w:asciiTheme="majorBidi" w:hAnsiTheme="majorBidi" w:cstheme="majorBidi"/>
        </w:rPr>
        <w:t xml:space="preserve">pieteicējas </w:t>
      </w:r>
      <w:r w:rsidR="005562FC">
        <w:rPr>
          <w:rFonts w:asciiTheme="majorBidi" w:hAnsiTheme="majorBidi" w:cstheme="majorBidi"/>
        </w:rPr>
        <w:t xml:space="preserve">finanšu piedāvājumā un tāmē </w:t>
      </w:r>
      <w:r w:rsidR="007E381B" w:rsidRPr="00D3549E">
        <w:rPr>
          <w:rFonts w:asciiTheme="majorBidi" w:hAnsiTheme="majorBidi" w:cstheme="majorBidi"/>
        </w:rPr>
        <w:t>norādītās izmaksas ir ticamas un pamatotas. Vienlaikus tiesa atzina, ka pieteicēja zaudējumu aprēķinā nav iekļāvusi izdevumus 1</w:t>
      </w:r>
      <w:r w:rsidR="001A481F">
        <w:rPr>
          <w:rFonts w:asciiTheme="majorBidi" w:hAnsiTheme="majorBidi" w:cstheme="majorBidi"/>
        </w:rPr>
        <w:t>1</w:t>
      </w:r>
      <w:r w:rsidR="007E381B" w:rsidRPr="00D3549E">
        <w:rPr>
          <w:rFonts w:asciiTheme="majorBidi" w:hAnsiTheme="majorBidi" w:cstheme="majorBidi"/>
        </w:rPr>
        <w:t>0 555,73 </w:t>
      </w:r>
      <w:r w:rsidR="007E381B" w:rsidRPr="00D3549E">
        <w:rPr>
          <w:rFonts w:asciiTheme="majorBidi" w:hAnsiTheme="majorBidi" w:cstheme="majorBidi"/>
          <w:i/>
          <w:iCs/>
        </w:rPr>
        <w:t>euro</w:t>
      </w:r>
      <w:r w:rsidR="007E381B" w:rsidRPr="00D3549E">
        <w:rPr>
          <w:rFonts w:asciiTheme="majorBidi" w:hAnsiTheme="majorBidi" w:cstheme="majorBidi"/>
        </w:rPr>
        <w:t>,</w:t>
      </w:r>
      <w:r w:rsidR="004E3079" w:rsidRPr="00D3549E">
        <w:rPr>
          <w:rFonts w:asciiTheme="majorBidi" w:hAnsiTheme="majorBidi" w:cstheme="majorBidi"/>
        </w:rPr>
        <w:t xml:space="preserve"> kuri</w:t>
      </w:r>
      <w:r w:rsidR="0034555D">
        <w:rPr>
          <w:rFonts w:asciiTheme="majorBidi" w:hAnsiTheme="majorBidi" w:cstheme="majorBidi"/>
        </w:rPr>
        <w:t xml:space="preserve"> </w:t>
      </w:r>
      <w:r w:rsidR="00815A15">
        <w:rPr>
          <w:rFonts w:asciiTheme="majorBidi" w:hAnsiTheme="majorBidi" w:cstheme="majorBidi"/>
        </w:rPr>
        <w:t>tai</w:t>
      </w:r>
      <w:r w:rsidR="004E3079" w:rsidRPr="00D3549E">
        <w:rPr>
          <w:rFonts w:asciiTheme="majorBidi" w:hAnsiTheme="majorBidi" w:cstheme="majorBidi"/>
        </w:rPr>
        <w:t xml:space="preserve"> iespējamā iepirkuma līguma </w:t>
      </w:r>
      <w:r w:rsidR="004E3079" w:rsidRPr="00EB0858">
        <w:rPr>
          <w:rFonts w:asciiTheme="majorBidi" w:hAnsiTheme="majorBidi" w:cstheme="majorBidi"/>
        </w:rPr>
        <w:t xml:space="preserve">izpildes </w:t>
      </w:r>
      <w:r w:rsidR="00815A15">
        <w:rPr>
          <w:rFonts w:asciiTheme="majorBidi" w:hAnsiTheme="majorBidi" w:cstheme="majorBidi"/>
        </w:rPr>
        <w:t>gaitā</w:t>
      </w:r>
      <w:r w:rsidR="004E3079" w:rsidRPr="00EB0858">
        <w:rPr>
          <w:rFonts w:asciiTheme="majorBidi" w:hAnsiTheme="majorBidi" w:cstheme="majorBidi"/>
        </w:rPr>
        <w:t xml:space="preserve"> rastos saistībā ar inženiersistēmu un iekārtu regulār</w:t>
      </w:r>
      <w:r w:rsidR="00D3549E" w:rsidRPr="00EB0858">
        <w:rPr>
          <w:rFonts w:asciiTheme="majorBidi" w:hAnsiTheme="majorBidi" w:cstheme="majorBidi"/>
        </w:rPr>
        <w:t>o</w:t>
      </w:r>
      <w:r w:rsidR="004E3079" w:rsidRPr="00EB0858">
        <w:rPr>
          <w:rFonts w:asciiTheme="majorBidi" w:hAnsiTheme="majorBidi" w:cstheme="majorBidi"/>
        </w:rPr>
        <w:t xml:space="preserve"> apkop</w:t>
      </w:r>
      <w:r w:rsidR="00D3549E" w:rsidRPr="00EB0858">
        <w:rPr>
          <w:rFonts w:asciiTheme="majorBidi" w:hAnsiTheme="majorBidi" w:cstheme="majorBidi"/>
        </w:rPr>
        <w:t xml:space="preserve">i. </w:t>
      </w:r>
      <w:r w:rsidR="00CF73DA" w:rsidRPr="00EB0858">
        <w:rPr>
          <w:rFonts w:asciiTheme="majorBidi" w:hAnsiTheme="majorBidi" w:cstheme="majorBidi"/>
        </w:rPr>
        <w:t>Tādējādi</w:t>
      </w:r>
      <w:r w:rsidR="00D3549E" w:rsidRPr="00EB0858">
        <w:rPr>
          <w:rFonts w:asciiTheme="majorBidi" w:hAnsiTheme="majorBidi" w:cstheme="majorBidi"/>
        </w:rPr>
        <w:t xml:space="preserve"> tiesa par </w:t>
      </w:r>
      <w:r w:rsidR="0034555D" w:rsidRPr="00EB0858">
        <w:rPr>
          <w:rFonts w:asciiTheme="majorBidi" w:hAnsiTheme="majorBidi" w:cstheme="majorBidi"/>
        </w:rPr>
        <w:t>minēto</w:t>
      </w:r>
      <w:r w:rsidR="00D3549E" w:rsidRPr="00EB0858">
        <w:rPr>
          <w:rFonts w:asciiTheme="majorBidi" w:hAnsiTheme="majorBidi" w:cstheme="majorBidi"/>
        </w:rPr>
        <w:t xml:space="preserve"> summu samazināja pieteicējas prasīto atlīdzinājum</w:t>
      </w:r>
      <w:r w:rsidR="00CF73DA" w:rsidRPr="00EB0858">
        <w:rPr>
          <w:rFonts w:asciiTheme="majorBidi" w:hAnsiTheme="majorBidi" w:cstheme="majorBidi"/>
        </w:rPr>
        <w:t>a apmēru</w:t>
      </w:r>
      <w:r w:rsidR="006A7B3C" w:rsidRPr="00EB0858">
        <w:rPr>
          <w:rFonts w:asciiTheme="majorBidi" w:hAnsiTheme="majorBidi" w:cstheme="majorBidi"/>
        </w:rPr>
        <w:t>.</w:t>
      </w:r>
    </w:p>
    <w:p w14:paraId="751A1ED0" w14:textId="77777777" w:rsidR="00664705" w:rsidRPr="00EB0858" w:rsidRDefault="00664705" w:rsidP="00E0632D">
      <w:pPr>
        <w:spacing w:line="276" w:lineRule="auto"/>
        <w:ind w:firstLine="720"/>
        <w:jc w:val="both"/>
      </w:pPr>
    </w:p>
    <w:p w14:paraId="3F987E09" w14:textId="2FAE6A86" w:rsidR="0034555D" w:rsidRDefault="00664705" w:rsidP="00E0632D">
      <w:pPr>
        <w:spacing w:line="276" w:lineRule="auto"/>
        <w:ind w:firstLine="720"/>
        <w:jc w:val="both"/>
      </w:pPr>
      <w:r w:rsidRPr="00EB0858">
        <w:t>[2]</w:t>
      </w:r>
      <w:r w:rsidR="00DB5BEB" w:rsidRPr="00EB0858">
        <w:t> </w:t>
      </w:r>
      <w:r w:rsidR="0034555D" w:rsidRPr="00EB0858">
        <w:t xml:space="preserve">Atbildētāja </w:t>
      </w:r>
      <w:r w:rsidR="00815A15">
        <w:t>sūdzībā norāda</w:t>
      </w:r>
      <w:r w:rsidR="0034555D" w:rsidRPr="00EB0858">
        <w:t>, ka t</w:t>
      </w:r>
      <w:r w:rsidR="008E50EE" w:rsidRPr="00EB0858">
        <w:t xml:space="preserve">iesa zaudējumu </w:t>
      </w:r>
      <w:r w:rsidR="001450D6">
        <w:t xml:space="preserve">– neiegūtās peļņas – </w:t>
      </w:r>
      <w:r w:rsidR="0034555D" w:rsidRPr="00EB0858">
        <w:t xml:space="preserve">atlīdzināšanai </w:t>
      </w:r>
      <w:r w:rsidR="008E50EE" w:rsidRPr="00EB0858">
        <w:t xml:space="preserve">ir piemērojusi </w:t>
      </w:r>
      <w:r w:rsidR="008E50EE" w:rsidRPr="008E50EE">
        <w:t xml:space="preserve">tādu </w:t>
      </w:r>
      <w:r w:rsidR="008E50EE">
        <w:t>pierādīšanas</w:t>
      </w:r>
      <w:r w:rsidR="008E50EE" w:rsidRPr="008E50EE">
        <w:t xml:space="preserve"> standartu, kas ir novedis pie </w:t>
      </w:r>
      <w:r w:rsidR="008E50EE">
        <w:t xml:space="preserve">Valsts pārvaldes iestāžu nodarīto zaudējumu atlīdzināšanas likuma </w:t>
      </w:r>
      <w:r w:rsidR="008E50EE" w:rsidRPr="008E50EE">
        <w:t>1. un 7.panta pārkāpuma, kā arī Administratīvā procesa likuma 247.panta otrās daļas un 154.panta pirmās daļas būtiska pārkāpuma.</w:t>
      </w:r>
      <w:r w:rsidR="008E50EE">
        <w:t xml:space="preserve"> </w:t>
      </w:r>
      <w:r w:rsidR="00815A15">
        <w:t>Atbildētājas ieskatā</w:t>
      </w:r>
      <w:r w:rsidR="00D51080">
        <w:t>,</w:t>
      </w:r>
      <w:r w:rsidR="00815A15">
        <w:t xml:space="preserve"> t</w:t>
      </w:r>
      <w:r w:rsidR="00842C80">
        <w:t xml:space="preserve">iesa ir izdarījusi secinājumus, pamatojoties uz </w:t>
      </w:r>
      <w:r w:rsidR="003E7C41">
        <w:t>p</w:t>
      </w:r>
      <w:r w:rsidR="00842C80">
        <w:t xml:space="preserve">ierādījumiem, kas noteiktā paticamības līmenī neliecina, ka pieteicēja </w:t>
      </w:r>
      <w:r w:rsidR="001450D6">
        <w:t xml:space="preserve">līguma noslēgšanas gadījumā </w:t>
      </w:r>
      <w:r w:rsidR="00842C80">
        <w:t xml:space="preserve">būtu guvusi finanšu piedāvājumā norādīto peļņu. </w:t>
      </w:r>
      <w:r w:rsidR="003E7C41">
        <w:t xml:space="preserve">Tādējādi pieteicējai </w:t>
      </w:r>
      <w:r w:rsidR="001450D6">
        <w:t xml:space="preserve">atlīdzināmais </w:t>
      </w:r>
      <w:r w:rsidR="003E7C41">
        <w:t>zaudējums ir noteikts uz pieņēmumu pamata. Rezultātā t</w:t>
      </w:r>
      <w:r w:rsidR="00842C80">
        <w:t>iesa ir samazinājusi pierādīšanas standart</w:t>
      </w:r>
      <w:r w:rsidR="00CF73DA">
        <w:t xml:space="preserve">a </w:t>
      </w:r>
      <w:r w:rsidR="00842C80">
        <w:t>slieksni līdz tādam minimumam, ka neiegūtā peļņa tiek pierādīta</w:t>
      </w:r>
      <w:r w:rsidR="003E7C41">
        <w:t xml:space="preserve">, pamatojoties uz </w:t>
      </w:r>
      <w:r w:rsidR="00842C80">
        <w:t xml:space="preserve">pieteicējas apgalvojumiem par šādas peļņas vēlmēm. </w:t>
      </w:r>
      <w:r w:rsidR="0034555D">
        <w:t>Tas savukārt rada</w:t>
      </w:r>
      <w:r w:rsidR="0034555D" w:rsidRPr="008C31DF">
        <w:t xml:space="preserve"> pārmērīgu kompensāciju.</w:t>
      </w:r>
      <w:r w:rsidR="0034555D">
        <w:t xml:space="preserve"> </w:t>
      </w:r>
      <w:r w:rsidR="0034555D" w:rsidRPr="00D3549E">
        <w:rPr>
          <w:rFonts w:asciiTheme="majorBidi" w:hAnsiTheme="majorBidi" w:cstheme="majorBidi"/>
        </w:rPr>
        <w:t>Kasācijas sūdzībā norādī</w:t>
      </w:r>
      <w:r w:rsidR="0034555D">
        <w:rPr>
          <w:rFonts w:asciiTheme="majorBidi" w:hAnsiTheme="majorBidi" w:cstheme="majorBidi"/>
        </w:rPr>
        <w:t>ti turpmāk minētie</w:t>
      </w:r>
      <w:r w:rsidR="0034555D">
        <w:t xml:space="preserve"> </w:t>
      </w:r>
      <w:r w:rsidR="009204D6">
        <w:t>apsvērumi</w:t>
      </w:r>
      <w:r w:rsidR="0034555D">
        <w:t xml:space="preserve">, kas </w:t>
      </w:r>
      <w:r w:rsidR="009204D6">
        <w:t xml:space="preserve">pamato </w:t>
      </w:r>
      <w:r w:rsidR="001450D6">
        <w:t xml:space="preserve">šo </w:t>
      </w:r>
      <w:r w:rsidR="009204D6">
        <w:t>atbildētājas pozīciju</w:t>
      </w:r>
      <w:r w:rsidR="0034555D">
        <w:t>.</w:t>
      </w:r>
    </w:p>
    <w:p w14:paraId="48DB2152" w14:textId="77777777" w:rsidR="00CF73DA" w:rsidRPr="00D3549E" w:rsidRDefault="00CF73DA" w:rsidP="00E0632D">
      <w:pPr>
        <w:spacing w:line="276" w:lineRule="auto"/>
        <w:ind w:firstLine="720"/>
        <w:jc w:val="both"/>
        <w:rPr>
          <w:rFonts w:asciiTheme="majorBidi" w:hAnsiTheme="majorBidi" w:cstheme="majorBidi"/>
        </w:rPr>
      </w:pPr>
    </w:p>
    <w:p w14:paraId="771057E2" w14:textId="31D570EB" w:rsidR="008379B2" w:rsidRDefault="008379B2" w:rsidP="00E0632D">
      <w:pPr>
        <w:spacing w:line="276" w:lineRule="auto"/>
        <w:ind w:firstLine="720"/>
        <w:jc w:val="both"/>
      </w:pPr>
      <w:r w:rsidRPr="008379B2">
        <w:t>Atbildētāja uzskata, ka pieteicējas 2013.gada 10.maija tāmē iekļautās aplēses, kas bija par pamatu</w:t>
      </w:r>
      <w:r w:rsidR="00815A15">
        <w:t xml:space="preserve"> tās</w:t>
      </w:r>
      <w:r w:rsidRPr="008379B2">
        <w:t xml:space="preserve"> finanšu piedāvājumam, nesniedz pietiekami uzticamus datus par plānotajām un iespējamajām būvniecības izmaksām, ja </w:t>
      </w:r>
      <w:r w:rsidR="00541F38" w:rsidRPr="008379B2">
        <w:t xml:space="preserve">līgums </w:t>
      </w:r>
      <w:r w:rsidR="00843A46">
        <w:t>tiktu</w:t>
      </w:r>
      <w:r w:rsidRPr="008379B2">
        <w:t xml:space="preserve"> noslēgts. Saskaņā ar </w:t>
      </w:r>
      <w:r w:rsidRPr="008379B2">
        <w:lastRenderedPageBreak/>
        <w:t xml:space="preserve">iepirkuma noteikumiem būvuzņēmējam pirms </w:t>
      </w:r>
      <w:r>
        <w:t>būv</w:t>
      </w:r>
      <w:r w:rsidRPr="008379B2">
        <w:t>darb</w:t>
      </w:r>
      <w:r>
        <w:t xml:space="preserve">u uzsākšanas bija </w:t>
      </w:r>
      <w:r w:rsidRPr="008379B2">
        <w:t xml:space="preserve">jāizstrādā tehniskais projekts, </w:t>
      </w:r>
      <w:r>
        <w:t>p</w:t>
      </w:r>
      <w:r w:rsidRPr="008379B2">
        <w:t>rojekta izpildes gaitā</w:t>
      </w:r>
      <w:r>
        <w:t xml:space="preserve"> </w:t>
      </w:r>
      <w:r w:rsidRPr="008379B2">
        <w:t>jāsagatavo detalizētas lokālās tāmes un</w:t>
      </w:r>
      <w:r>
        <w:t xml:space="preserve"> </w:t>
      </w:r>
      <w:r w:rsidRPr="008379B2">
        <w:t>jāsaskaņo ar pasūtītāju. Tāpēc finanšu piedāvājumā norādīt</w:t>
      </w:r>
      <w:r>
        <w:t>ajām</w:t>
      </w:r>
      <w:r w:rsidRPr="008379B2">
        <w:t xml:space="preserve"> izmaks</w:t>
      </w:r>
      <w:r>
        <w:t>ām</w:t>
      </w:r>
      <w:r w:rsidRPr="008379B2">
        <w:t xml:space="preserve"> ir tikai rekomendējoš</w:t>
      </w:r>
      <w:r>
        <w:t>s raksturs</w:t>
      </w:r>
      <w:r w:rsidR="00F13D18">
        <w:t xml:space="preserve"> </w:t>
      </w:r>
      <w:r>
        <w:t>un</w:t>
      </w:r>
      <w:r w:rsidRPr="008379B2">
        <w:t xml:space="preserve"> </w:t>
      </w:r>
      <w:r>
        <w:t>līdz ar to</w:t>
      </w:r>
      <w:r w:rsidRPr="008379B2">
        <w:t xml:space="preserve"> uz skiču projekta pamata iegūtās </w:t>
      </w:r>
      <w:r>
        <w:t>izmaksas</w:t>
      </w:r>
      <w:r w:rsidRPr="008379B2">
        <w:t xml:space="preserve"> ir prognozētās</w:t>
      </w:r>
      <w:r>
        <w:t xml:space="preserve"> vērtības</w:t>
      </w:r>
      <w:r w:rsidRPr="008379B2">
        <w:t>, nevis pamatotas</w:t>
      </w:r>
      <w:r>
        <w:t xml:space="preserve"> izmaksas</w:t>
      </w:r>
      <w:r w:rsidRPr="008379B2">
        <w:t xml:space="preserve">. </w:t>
      </w:r>
      <w:r w:rsidR="00541F38">
        <w:t>Tāpēc</w:t>
      </w:r>
      <w:r w:rsidRPr="008379B2">
        <w:t xml:space="preserve"> </w:t>
      </w:r>
      <w:r>
        <w:t xml:space="preserve">pieteicējas </w:t>
      </w:r>
      <w:r w:rsidRPr="008379B2">
        <w:t>tāmē norādītās izmaksas nevar kalpot par pierādījumu neiegūtās peļņas aprēķināšanai.</w:t>
      </w:r>
    </w:p>
    <w:p w14:paraId="62B29DCA" w14:textId="76D40513" w:rsidR="007D5288" w:rsidRDefault="008379B2" w:rsidP="00E0632D">
      <w:pPr>
        <w:spacing w:line="276" w:lineRule="auto"/>
        <w:ind w:firstLine="720"/>
        <w:jc w:val="both"/>
      </w:pPr>
      <w:r>
        <w:t>A</w:t>
      </w:r>
      <w:r w:rsidR="007D5288">
        <w:t>rī g</w:t>
      </w:r>
      <w:r w:rsidR="007D5288" w:rsidRPr="007D5288">
        <w:t xml:space="preserve">rāmatvedības un konsultāciju uzņēmuma </w:t>
      </w:r>
      <w:r w:rsidR="007D5288">
        <w:t xml:space="preserve">„Grant Thornton” (turpmāk – </w:t>
      </w:r>
      <w:r w:rsidR="007D5288" w:rsidRPr="00703D4E">
        <w:rPr>
          <w:i/>
          <w:iCs/>
        </w:rPr>
        <w:t>Grant</w:t>
      </w:r>
      <w:r w:rsidR="007D5288">
        <w:rPr>
          <w:i/>
          <w:iCs/>
        </w:rPr>
        <w:t xml:space="preserve"> </w:t>
      </w:r>
      <w:r w:rsidR="007D5288" w:rsidRPr="00703D4E">
        <w:rPr>
          <w:i/>
          <w:iCs/>
        </w:rPr>
        <w:t>Thornton</w:t>
      </w:r>
      <w:r w:rsidR="007D5288">
        <w:t xml:space="preserve">) </w:t>
      </w:r>
      <w:r w:rsidR="007D5288" w:rsidRPr="007D5288">
        <w:t xml:space="preserve">novērtējums un </w:t>
      </w:r>
      <w:r w:rsidR="007D5288">
        <w:t>SIA „LBS</w:t>
      </w:r>
      <w:r w:rsidR="007D5288">
        <w:noBreakHyphen/>
        <w:t xml:space="preserve">Konsultants” </w:t>
      </w:r>
      <w:r w:rsidR="007D5288" w:rsidRPr="007D5288">
        <w:t xml:space="preserve">eksperta </w:t>
      </w:r>
      <w:r w:rsidR="00E0632D">
        <w:t xml:space="preserve">[Pers. A] </w:t>
      </w:r>
      <w:r w:rsidR="007D5288" w:rsidRPr="007D5288">
        <w:t xml:space="preserve">atzinums – ne </w:t>
      </w:r>
      <w:r w:rsidR="007D5288">
        <w:t xml:space="preserve">katrs </w:t>
      </w:r>
      <w:r w:rsidR="007D5288" w:rsidRPr="007D5288">
        <w:t xml:space="preserve">atsevišķi, ne abi kopā – nav pietiekams pierādījums neiegūtās peļņas aprēķinam. Tiesa nav izvērtējusi faktisko būvniecības izmaksu pamatotību un potenciālos riskus. </w:t>
      </w:r>
      <w:r w:rsidR="007D5288" w:rsidRPr="00CF73DA">
        <w:rPr>
          <w:i/>
          <w:iCs/>
        </w:rPr>
        <w:t>Grant Thornton</w:t>
      </w:r>
      <w:r w:rsidR="007D5288">
        <w:t xml:space="preserve"> </w:t>
      </w:r>
      <w:r w:rsidR="007D5288" w:rsidRPr="007D5288">
        <w:t>novērtējumam ir piešķiram</w:t>
      </w:r>
      <w:r w:rsidR="007D5288">
        <w:t>a</w:t>
      </w:r>
      <w:r w:rsidR="007D5288" w:rsidRPr="007D5288">
        <w:t xml:space="preserve"> maza nozīme zaudējumu aprēķina pamatošanai, jo nav pierādīts, ka pieteicējas tāmē </w:t>
      </w:r>
      <w:r w:rsidR="007D5288">
        <w:t xml:space="preserve">norādītās izmaksas </w:t>
      </w:r>
      <w:r w:rsidR="007D5288" w:rsidRPr="007D5288">
        <w:t xml:space="preserve">atbilst vidējām tirgus izmaksām. </w:t>
      </w:r>
      <w:r w:rsidR="007D5288">
        <w:t>Tiesa nav izskaidrojusi, kāpēc būvniecības jomas neprofesionāļa novērtējums</w:t>
      </w:r>
      <w:r w:rsidR="00541F38">
        <w:t xml:space="preserve"> </w:t>
      </w:r>
      <w:r w:rsidR="007D5288">
        <w:t xml:space="preserve">tai tomēr ļāva gūt pārliecību, ka pieteicējas tāmē aprēķinātās izmaksas atbilda vidējām tirgus izmaksām par konkrētā projekta īstenošanu laikā, kad darbi </w:t>
      </w:r>
      <w:r w:rsidR="00815A15">
        <w:t xml:space="preserve">būtu </w:t>
      </w:r>
      <w:r w:rsidR="007D5288">
        <w:t xml:space="preserve">izpildāmi. </w:t>
      </w:r>
      <w:r w:rsidR="00E0632D">
        <w:t xml:space="preserve">[Pers. A] </w:t>
      </w:r>
      <w:r w:rsidR="007D5288" w:rsidRPr="007D5288">
        <w:t>atzinumā norādītās summas</w:t>
      </w:r>
      <w:r w:rsidR="007D5288">
        <w:t xml:space="preserve">, kas veido </w:t>
      </w:r>
      <w:r w:rsidR="007D5288" w:rsidRPr="007D5288">
        <w:t>51</w:t>
      </w:r>
      <w:r w:rsidR="00D51080">
        <w:t> </w:t>
      </w:r>
      <w:r w:rsidR="007D5288" w:rsidRPr="007D5288">
        <w:t>% no visām izmaksām</w:t>
      </w:r>
      <w:r w:rsidR="007D5288">
        <w:t>,</w:t>
      </w:r>
      <w:r w:rsidR="007D5288" w:rsidRPr="007D5288">
        <w:t xml:space="preserve"> nav aprēķinu rezultāts, bet </w:t>
      </w:r>
      <w:r w:rsidR="00541F38">
        <w:t xml:space="preserve">ir </w:t>
      </w:r>
      <w:r w:rsidR="007D5288" w:rsidRPr="007D5288">
        <w:t>pārrakstīti pieteicējas tāmē norādītie skaitļi</w:t>
      </w:r>
      <w:r w:rsidR="00541F38">
        <w:t>. Turpretī re</w:t>
      </w:r>
      <w:r w:rsidR="00541F38" w:rsidRPr="007D5288">
        <w:t>āli aprēķini par būvobjekta izmaksām dotu atšķirīgas vērtības</w:t>
      </w:r>
      <w:r w:rsidR="00541F38">
        <w:t>. T</w:t>
      </w:r>
      <w:r w:rsidR="007D5288" w:rsidRPr="007D5288">
        <w:t xml:space="preserve">āpēc izmaksu salīdzinājums ar speciālistu izmaksām nav pierādīts. Tiesas secinājums, ka </w:t>
      </w:r>
      <w:r w:rsidR="00541F38">
        <w:t xml:space="preserve">pieteicējas </w:t>
      </w:r>
      <w:r w:rsidR="007D5288" w:rsidRPr="007D5288">
        <w:t xml:space="preserve">2013.gada 10.maija tāmē norādītās izmaksas ir pamatotas, ir kļūdains. </w:t>
      </w:r>
      <w:r w:rsidR="00541F38">
        <w:t>T</w:t>
      </w:r>
      <w:r w:rsidR="00541F38" w:rsidRPr="007D5288">
        <w:t xml:space="preserve">iesa </w:t>
      </w:r>
      <w:r w:rsidR="00815A15">
        <w:t xml:space="preserve">jau </w:t>
      </w:r>
      <w:r w:rsidR="007D5288" w:rsidRPr="007D5288">
        <w:t xml:space="preserve">2023.gadā </w:t>
      </w:r>
      <w:r w:rsidR="00541F38">
        <w:t>atzina</w:t>
      </w:r>
      <w:r w:rsidR="007D5288" w:rsidRPr="007D5288">
        <w:t xml:space="preserve">, ka </w:t>
      </w:r>
      <w:r w:rsidR="00541F38" w:rsidRPr="007D5288">
        <w:t xml:space="preserve">nav iespējams pārbaudīt </w:t>
      </w:r>
      <w:r w:rsidR="00E0632D">
        <w:t xml:space="preserve">[Pers. A] </w:t>
      </w:r>
      <w:r w:rsidR="007D5288" w:rsidRPr="007D5288">
        <w:t xml:space="preserve">atzinuma pamatotību, </w:t>
      </w:r>
      <w:r w:rsidR="00541F38">
        <w:t>jo</w:t>
      </w:r>
      <w:r w:rsidR="007D5288" w:rsidRPr="007D5288">
        <w:t xml:space="preserve"> tas nesniedz ticamu informāciju. Skatot lietu atkārtoti, tiesai n</w:t>
      </w:r>
      <w:r w:rsidR="007D5288">
        <w:t>ebūtu</w:t>
      </w:r>
      <w:r w:rsidR="007D5288" w:rsidRPr="007D5288">
        <w:t xml:space="preserve"> pamata</w:t>
      </w:r>
      <w:r w:rsidR="00541F38">
        <w:t xml:space="preserve"> tik krasi</w:t>
      </w:r>
      <w:r w:rsidR="007D5288" w:rsidRPr="007D5288">
        <w:t xml:space="preserve"> mainīt </w:t>
      </w:r>
      <w:r w:rsidR="00541F38">
        <w:t>savu</w:t>
      </w:r>
      <w:r w:rsidR="007D5288" w:rsidRPr="007D5288">
        <w:t xml:space="preserve"> novērtējumu.</w:t>
      </w:r>
    </w:p>
    <w:p w14:paraId="545A435D" w14:textId="5D012922" w:rsidR="008379B2" w:rsidRDefault="003316FF" w:rsidP="00E0632D">
      <w:pPr>
        <w:spacing w:line="276" w:lineRule="auto"/>
        <w:ind w:firstLine="720"/>
        <w:jc w:val="both"/>
      </w:pPr>
      <w:r>
        <w:t>Tāpat t</w:t>
      </w:r>
      <w:r w:rsidRPr="003316FF">
        <w:t>iesa nav pienācīgi pamatojusi būvniecības izmaksas</w:t>
      </w:r>
      <w:r>
        <w:t xml:space="preserve"> kopumā</w:t>
      </w:r>
      <w:r w:rsidRPr="003316FF">
        <w:t xml:space="preserve">, </w:t>
      </w:r>
      <w:r w:rsidR="000E60AC">
        <w:t xml:space="preserve">ievērojot </w:t>
      </w:r>
      <w:r w:rsidR="000E60AC" w:rsidRPr="000E60AC">
        <w:t>lietā esoš</w:t>
      </w:r>
      <w:r w:rsidR="000E60AC">
        <w:t>os</w:t>
      </w:r>
      <w:r w:rsidR="000E60AC" w:rsidRPr="000E60AC">
        <w:t xml:space="preserve"> faktisk</w:t>
      </w:r>
      <w:r w:rsidR="000E60AC">
        <w:t>os</w:t>
      </w:r>
      <w:r w:rsidR="000E60AC" w:rsidRPr="000E60AC">
        <w:t xml:space="preserve"> apstākļ</w:t>
      </w:r>
      <w:r w:rsidR="000E60AC">
        <w:t xml:space="preserve">us, bet gan </w:t>
      </w:r>
      <w:r w:rsidRPr="003316FF">
        <w:t>atsau</w:t>
      </w:r>
      <w:r w:rsidR="000E60AC">
        <w:t>kusies</w:t>
      </w:r>
      <w:r w:rsidRPr="003316FF">
        <w:t xml:space="preserve"> uz visu pretendentu šauro</w:t>
      </w:r>
      <w:r w:rsidR="000E60AC">
        <w:t xml:space="preserve"> </w:t>
      </w:r>
      <w:r w:rsidRPr="003316FF">
        <w:t>1,9</w:t>
      </w:r>
      <w:r w:rsidR="00D51080">
        <w:t> </w:t>
      </w:r>
      <w:r w:rsidRPr="003316FF">
        <w:t xml:space="preserve">% </w:t>
      </w:r>
      <w:r w:rsidR="000E60AC" w:rsidRPr="003316FF">
        <w:t>cen</w:t>
      </w:r>
      <w:r w:rsidR="001706A4">
        <w:t>u</w:t>
      </w:r>
      <w:r w:rsidR="000E60AC">
        <w:t xml:space="preserve"> </w:t>
      </w:r>
      <w:r w:rsidRPr="003316FF">
        <w:t>diapazonu</w:t>
      </w:r>
      <w:r w:rsidR="000E60AC">
        <w:t xml:space="preserve">, kā arī uz </w:t>
      </w:r>
      <w:r w:rsidRPr="003316FF">
        <w:t xml:space="preserve">uzvarētāja un pieteicējas cenu salīdzinājumu. Tas, ka </w:t>
      </w:r>
      <w:r>
        <w:t xml:space="preserve">pretendentu </w:t>
      </w:r>
      <w:r w:rsidRPr="003316FF">
        <w:t xml:space="preserve">izmaksu atšķirības pa darbu veidiem bija būtiskas, bet kopējās </w:t>
      </w:r>
      <w:r>
        <w:t xml:space="preserve">būvniecības </w:t>
      </w:r>
      <w:r w:rsidRPr="003316FF">
        <w:t>cenas ļoti līdzvērtīgas, liecina</w:t>
      </w:r>
      <w:r w:rsidR="000E60AC">
        <w:t xml:space="preserve"> par to</w:t>
      </w:r>
      <w:r w:rsidRPr="003316FF">
        <w:t>, ka galvenais</w:t>
      </w:r>
      <w:r w:rsidR="000E60AC">
        <w:t xml:space="preserve"> </w:t>
      </w:r>
      <w:r w:rsidR="001706A4">
        <w:t>pretendentiem</w:t>
      </w:r>
      <w:r w:rsidRPr="003316FF">
        <w:t xml:space="preserve"> bija noteikt cenu nedaudz zem „griestu cenas”, nevis veikt detalizētus aprēķinus. </w:t>
      </w:r>
      <w:r w:rsidR="000E60AC">
        <w:t>Tas arī liecina, ka i</w:t>
      </w:r>
      <w:r w:rsidRPr="003316FF">
        <w:t>zmaksas pa darbu veidiem tika rēķinātas „no augšas”</w:t>
      </w:r>
      <w:r w:rsidR="001706A4">
        <w:t xml:space="preserve"> – </w:t>
      </w:r>
      <w:r w:rsidRPr="003316FF">
        <w:t>kopējai summai pakārtojot aprēķinus. Tāpēc citu pretendentu piedāvājumu dat</w:t>
      </w:r>
      <w:r w:rsidR="000E60AC">
        <w:t xml:space="preserve">u izmantošana, lai </w:t>
      </w:r>
      <w:r w:rsidRPr="003316FF">
        <w:t>apstiprinā</w:t>
      </w:r>
      <w:r w:rsidR="000E60AC">
        <w:t>tu</w:t>
      </w:r>
      <w:r w:rsidRPr="003316FF">
        <w:t xml:space="preserve"> būvniecības izmaks</w:t>
      </w:r>
      <w:r w:rsidR="000E60AC">
        <w:t>as,</w:t>
      </w:r>
      <w:r w:rsidRPr="003316FF">
        <w:t xml:space="preserve"> ir kļūdain</w:t>
      </w:r>
      <w:r w:rsidR="000E60AC">
        <w:t>a</w:t>
      </w:r>
      <w:r w:rsidRPr="003316FF">
        <w:t xml:space="preserve"> un balstīt</w:t>
      </w:r>
      <w:r w:rsidR="000E60AC">
        <w:t>a</w:t>
      </w:r>
      <w:r w:rsidRPr="003316FF">
        <w:t xml:space="preserve"> pieņēmumos</w:t>
      </w:r>
      <w:r w:rsidR="000E60AC">
        <w:t xml:space="preserve">. </w:t>
      </w:r>
      <w:r w:rsidR="001706A4">
        <w:t>Ievērojamās</w:t>
      </w:r>
      <w:r w:rsidR="000E60AC">
        <w:t xml:space="preserve"> c</w:t>
      </w:r>
      <w:r w:rsidRPr="003316FF">
        <w:t xml:space="preserve">enu atšķirības pa darbu veidiem liecina, ka </w:t>
      </w:r>
      <w:r w:rsidR="000E60AC">
        <w:t xml:space="preserve">neviens pretendents </w:t>
      </w:r>
      <w:r w:rsidR="001706A4">
        <w:t>nebija</w:t>
      </w:r>
      <w:r w:rsidRPr="003316FF">
        <w:t xml:space="preserve"> vei</w:t>
      </w:r>
      <w:r w:rsidR="000E60AC">
        <w:t xml:space="preserve">cis nopietnu </w:t>
      </w:r>
      <w:r w:rsidR="000E60AC" w:rsidRPr="003316FF">
        <w:t>faktisk</w:t>
      </w:r>
      <w:r w:rsidR="000E60AC">
        <w:t>o izmaksu</w:t>
      </w:r>
      <w:r w:rsidR="000E60AC" w:rsidRPr="003316FF">
        <w:t xml:space="preserve"> aprēķinu</w:t>
      </w:r>
      <w:r w:rsidR="000E60AC">
        <w:t>.</w:t>
      </w:r>
    </w:p>
    <w:p w14:paraId="59EC1098" w14:textId="26C10B42" w:rsidR="00435A60" w:rsidRPr="000C5216" w:rsidRDefault="001706A4" w:rsidP="00E0632D">
      <w:pPr>
        <w:spacing w:line="276" w:lineRule="auto"/>
        <w:ind w:firstLine="720"/>
        <w:jc w:val="both"/>
      </w:pPr>
      <w:r>
        <w:t>Visbeidzot, arī p</w:t>
      </w:r>
      <w:r w:rsidR="00435A60" w:rsidRPr="008C31DF">
        <w:t xml:space="preserve">ieteicējas izziņas par peļņas apmēru nesniedz skaidru priekšstatu, lai pat netieši apliecinātu </w:t>
      </w:r>
      <w:r w:rsidR="00435A60">
        <w:t>t</w:t>
      </w:r>
      <w:r w:rsidR="00435A60" w:rsidRPr="008C31DF">
        <w:t xml:space="preserve">iesas noteikto zaudējuma </w:t>
      </w:r>
      <w:r>
        <w:t>apmēru</w:t>
      </w:r>
      <w:r w:rsidR="00435A60" w:rsidRPr="008C31DF">
        <w:t>. Tiesa</w:t>
      </w:r>
      <w:r>
        <w:t xml:space="preserve"> </w:t>
      </w:r>
      <w:r w:rsidR="00435A60" w:rsidRPr="008C31DF">
        <w:t xml:space="preserve">par ticamām </w:t>
      </w:r>
      <w:r>
        <w:t xml:space="preserve">atzina </w:t>
      </w:r>
      <w:r w:rsidR="00435A60">
        <w:t>p</w:t>
      </w:r>
      <w:r w:rsidR="00435A60" w:rsidRPr="008C31DF">
        <w:t xml:space="preserve">ieteicējas aplēses par plānoto </w:t>
      </w:r>
      <w:r w:rsidRPr="008C31DF">
        <w:t>5</w:t>
      </w:r>
      <w:r>
        <w:t> </w:t>
      </w:r>
      <w:r w:rsidRPr="008C31DF">
        <w:t>%</w:t>
      </w:r>
      <w:r>
        <w:t xml:space="preserve"> </w:t>
      </w:r>
      <w:r w:rsidR="00435A60" w:rsidRPr="008C31DF">
        <w:t>peļņ</w:t>
      </w:r>
      <w:r>
        <w:t>u</w:t>
      </w:r>
      <w:r w:rsidR="00435A60" w:rsidRPr="008C31DF">
        <w:t xml:space="preserve">. </w:t>
      </w:r>
      <w:r w:rsidR="00843A46">
        <w:t xml:space="preserve">Tiesa savus </w:t>
      </w:r>
      <w:r w:rsidR="00435A60" w:rsidRPr="008C31DF">
        <w:t>secinājumu</w:t>
      </w:r>
      <w:r w:rsidR="00843A46">
        <w:t>s</w:t>
      </w:r>
      <w:r>
        <w:t xml:space="preserve"> pamatoja</w:t>
      </w:r>
      <w:r w:rsidR="00435A60" w:rsidRPr="008C31DF">
        <w:t xml:space="preserve"> ar </w:t>
      </w:r>
      <w:r w:rsidR="00435A60">
        <w:t>p</w:t>
      </w:r>
      <w:r w:rsidR="00435A60" w:rsidRPr="008C31DF">
        <w:t>ieteicējas izziņu par vidējo peļņu no apgrozījuma 2013., 2014. un 2015.gadā, secinot, ka strīdus projekta</w:t>
      </w:r>
      <w:r w:rsidR="00843A46">
        <w:t xml:space="preserve"> īstenošana</w:t>
      </w:r>
      <w:r w:rsidR="00435A60" w:rsidRPr="008C31DF">
        <w:t xml:space="preserve"> nav saistīta ar citiem projektiem un nav pierādījumu</w:t>
      </w:r>
      <w:r w:rsidR="00843A46">
        <w:t xml:space="preserve"> tam</w:t>
      </w:r>
      <w:r w:rsidR="00435A60" w:rsidRPr="008C31DF">
        <w:t xml:space="preserve">, ka </w:t>
      </w:r>
      <w:r w:rsidR="00435A60">
        <w:t>p</w:t>
      </w:r>
      <w:r w:rsidR="00435A60" w:rsidRPr="008C31DF">
        <w:t xml:space="preserve">ieteicēja nevarētu </w:t>
      </w:r>
      <w:r w:rsidR="00435A60">
        <w:t>īstenot</w:t>
      </w:r>
      <w:r w:rsidR="00435A60" w:rsidRPr="008C31DF">
        <w:t xml:space="preserve"> visus projektus vienlaicīgi. Tomēr </w:t>
      </w:r>
      <w:r w:rsidR="00435A60">
        <w:t>t</w:t>
      </w:r>
      <w:r w:rsidR="00435A60" w:rsidRPr="008C31DF">
        <w:t>iesa nav sniegusi pamatojumu</w:t>
      </w:r>
      <w:r>
        <w:t xml:space="preserve"> tam</w:t>
      </w:r>
      <w:r w:rsidR="00435A60" w:rsidRPr="008C31DF">
        <w:t xml:space="preserve">, ka izziņā norādītais tīrās peļņas procents no apgrozījuma </w:t>
      </w:r>
      <w:r>
        <w:t>ne</w:t>
      </w:r>
      <w:r w:rsidR="00435A60" w:rsidRPr="008C31DF">
        <w:t xml:space="preserve">apliecina </w:t>
      </w:r>
      <w:r>
        <w:t xml:space="preserve">5 % </w:t>
      </w:r>
      <w:r w:rsidR="00435A60" w:rsidRPr="008C31DF">
        <w:t>peļņu tieši būvniecībā, jo liela daļa apgrozījuma veido citi pakalpojum</w:t>
      </w:r>
      <w:r>
        <w:t>i. P</w:t>
      </w:r>
      <w:r w:rsidR="00435A60" w:rsidRPr="008C31DF">
        <w:t xml:space="preserve">ieteicējas pārstāvis </w:t>
      </w:r>
      <w:r>
        <w:t xml:space="preserve">tiesas sēdē </w:t>
      </w:r>
      <w:r w:rsidR="00435A60" w:rsidRPr="008C31DF">
        <w:t xml:space="preserve">nevarēja </w:t>
      </w:r>
      <w:r>
        <w:t>paskaidrot</w:t>
      </w:r>
      <w:r w:rsidR="00435A60" w:rsidRPr="008C31DF">
        <w:t xml:space="preserve">, cik liela daļa no peļņas procenta veidojas no būvniecības. Tādēļ izziņa nevar kalpot kā pierādījums tam, ka </w:t>
      </w:r>
      <w:r w:rsidR="00843A46">
        <w:t xml:space="preserve">pieteicējas </w:t>
      </w:r>
      <w:r w:rsidR="00435A60" w:rsidRPr="008C31DF">
        <w:t xml:space="preserve">finanšu piedāvājumā un tāmē norādītais peļņas procents ir ticams un pamatots. </w:t>
      </w:r>
    </w:p>
    <w:p w14:paraId="5DA57C98" w14:textId="77777777" w:rsidR="00435A60" w:rsidRDefault="00435A60" w:rsidP="00E0632D">
      <w:pPr>
        <w:spacing w:line="276" w:lineRule="auto"/>
        <w:ind w:firstLine="720"/>
        <w:jc w:val="both"/>
      </w:pPr>
    </w:p>
    <w:p w14:paraId="57621D87" w14:textId="1FEA4D0A" w:rsidR="003B2584" w:rsidRDefault="00435A60" w:rsidP="00E0632D">
      <w:pPr>
        <w:spacing w:line="276" w:lineRule="auto"/>
        <w:ind w:firstLine="720"/>
        <w:jc w:val="both"/>
      </w:pPr>
      <w:r w:rsidRPr="00571129">
        <w:t>[</w:t>
      </w:r>
      <w:r w:rsidR="00CA7C98">
        <w:t>3</w:t>
      </w:r>
      <w:r w:rsidRPr="00571129">
        <w:t>] </w:t>
      </w:r>
      <w:r w:rsidR="00843A46">
        <w:t>I</w:t>
      </w:r>
      <w:r w:rsidRPr="00571129">
        <w:t>zvērtēj</w:t>
      </w:r>
      <w:r w:rsidR="00D510CB">
        <w:t>usi</w:t>
      </w:r>
      <w:r w:rsidRPr="00571129">
        <w:t xml:space="preserve"> </w:t>
      </w:r>
      <w:r w:rsidR="001450D6">
        <w:t xml:space="preserve">šā lēmuma 2.punktā </w:t>
      </w:r>
      <w:r w:rsidR="00815A15">
        <w:t>minētos</w:t>
      </w:r>
      <w:r w:rsidR="00571129" w:rsidRPr="00571129">
        <w:t xml:space="preserve"> </w:t>
      </w:r>
      <w:r w:rsidR="006A7B3C" w:rsidRPr="00571129">
        <w:t>iebildumus</w:t>
      </w:r>
      <w:r w:rsidRPr="00571129">
        <w:t xml:space="preserve">, </w:t>
      </w:r>
      <w:r w:rsidR="00843A46">
        <w:t>s</w:t>
      </w:r>
      <w:r w:rsidR="00843A46" w:rsidRPr="00571129">
        <w:t xml:space="preserve">enatoru kolēģija </w:t>
      </w:r>
      <w:r w:rsidR="00B7047B" w:rsidRPr="00571129">
        <w:t xml:space="preserve">noraida </w:t>
      </w:r>
      <w:r w:rsidR="000B797C" w:rsidRPr="00571129">
        <w:t xml:space="preserve">tos </w:t>
      </w:r>
      <w:r w:rsidRPr="00571129">
        <w:t xml:space="preserve">kā nepamatotus. Tas ir </w:t>
      </w:r>
      <w:r w:rsidR="00CA7C98">
        <w:t>atbildētājas</w:t>
      </w:r>
      <w:r w:rsidRPr="00571129">
        <w:t xml:space="preserve"> subjektīvs skatījums, ka</w:t>
      </w:r>
      <w:r w:rsidR="00571129" w:rsidRPr="00571129">
        <w:t xml:space="preserve"> tiesa,</w:t>
      </w:r>
      <w:r w:rsidRPr="00571129">
        <w:t xml:space="preserve"> </w:t>
      </w:r>
      <w:r w:rsidR="00571129" w:rsidRPr="00571129">
        <w:t xml:space="preserve">novērtējot </w:t>
      </w:r>
      <w:r w:rsidR="00B7047B">
        <w:t>lietā esošos</w:t>
      </w:r>
      <w:r w:rsidR="00571129" w:rsidRPr="00571129">
        <w:t xml:space="preserve"> pierādījumus</w:t>
      </w:r>
      <w:r w:rsidR="00571129">
        <w:t xml:space="preserve"> to savstarpējā</w:t>
      </w:r>
      <w:r w:rsidR="00571129" w:rsidRPr="00571129">
        <w:t xml:space="preserve"> kopsakarā, nevar</w:t>
      </w:r>
      <w:r w:rsidR="000B797C">
        <w:t xml:space="preserve">ētu </w:t>
      </w:r>
      <w:r w:rsidRPr="00571129">
        <w:t>izdarīt</w:t>
      </w:r>
      <w:r w:rsidR="00571129" w:rsidRPr="00571129">
        <w:t xml:space="preserve"> pamatotu</w:t>
      </w:r>
      <w:r w:rsidRPr="00571129">
        <w:t xml:space="preserve"> secinājumu, ka </w:t>
      </w:r>
      <w:r w:rsidR="00571129" w:rsidRPr="00571129">
        <w:t>pieteicējas aprēķini</w:t>
      </w:r>
      <w:r w:rsidRPr="00571129">
        <w:t xml:space="preserve"> ar lielu </w:t>
      </w:r>
      <w:r w:rsidR="00571129" w:rsidRPr="00571129">
        <w:t>ticamību</w:t>
      </w:r>
      <w:r w:rsidRPr="00571129">
        <w:t xml:space="preserve"> </w:t>
      </w:r>
      <w:r w:rsidR="00571129" w:rsidRPr="00571129">
        <w:t xml:space="preserve">atspoguļo tās </w:t>
      </w:r>
      <w:r w:rsidRPr="00571129">
        <w:t>iespējamo</w:t>
      </w:r>
      <w:r w:rsidR="00571129" w:rsidRPr="00571129">
        <w:t xml:space="preserve"> negūto</w:t>
      </w:r>
      <w:r w:rsidRPr="00571129">
        <w:t xml:space="preserve"> peļņu</w:t>
      </w:r>
      <w:r w:rsidR="00E25D7F">
        <w:t xml:space="preserve"> gadījumā</w:t>
      </w:r>
      <w:r w:rsidRPr="00571129">
        <w:t xml:space="preserve">, ja </w:t>
      </w:r>
      <w:r w:rsidR="00B7047B">
        <w:t xml:space="preserve">iepirkuma </w:t>
      </w:r>
      <w:r w:rsidRPr="00571129">
        <w:t xml:space="preserve">līgums </w:t>
      </w:r>
      <w:r w:rsidR="000B797C">
        <w:t>būtu</w:t>
      </w:r>
      <w:r w:rsidRPr="00571129">
        <w:t xml:space="preserve"> noslēgts. </w:t>
      </w:r>
      <w:r w:rsidR="00571129" w:rsidRPr="00571129">
        <w:t xml:space="preserve">Kolēģija </w:t>
      </w:r>
      <w:r w:rsidR="00BB5726">
        <w:t xml:space="preserve">vēlreiz </w:t>
      </w:r>
      <w:r w:rsidR="00571129" w:rsidRPr="00571129">
        <w:t>atgādina</w:t>
      </w:r>
      <w:r w:rsidR="002C4484">
        <w:t xml:space="preserve"> šajā lietā </w:t>
      </w:r>
      <w:r w:rsidR="00BB5726">
        <w:t xml:space="preserve">jau </w:t>
      </w:r>
      <w:r w:rsidR="002C4484">
        <w:t xml:space="preserve">iepriekš </w:t>
      </w:r>
      <w:r w:rsidR="00B7047B">
        <w:t xml:space="preserve">Senāta </w:t>
      </w:r>
      <w:r w:rsidR="00F86159">
        <w:t>p</w:t>
      </w:r>
      <w:r w:rsidR="002C4484">
        <w:t>austo</w:t>
      </w:r>
      <w:r w:rsidR="00571129" w:rsidRPr="00571129">
        <w:t xml:space="preserve">, ka </w:t>
      </w:r>
      <w:r w:rsidR="00571129" w:rsidRPr="009052FE">
        <w:rPr>
          <w:rFonts w:asciiTheme="majorBidi" w:hAnsiTheme="majorBidi" w:cstheme="majorBidi"/>
        </w:rPr>
        <w:t xml:space="preserve">neiegūtās peļņas </w:t>
      </w:r>
      <w:r w:rsidR="00571129">
        <w:rPr>
          <w:rFonts w:asciiTheme="majorBidi" w:hAnsiTheme="majorBidi" w:cstheme="majorBidi"/>
        </w:rPr>
        <w:t xml:space="preserve">aprēķins vienmēr būs balstīts uz </w:t>
      </w:r>
      <w:r w:rsidR="00571129" w:rsidRPr="009052FE">
        <w:rPr>
          <w:rFonts w:asciiTheme="majorBidi" w:hAnsiTheme="majorBidi" w:cstheme="majorBidi"/>
        </w:rPr>
        <w:t>hipotētiski modelē</w:t>
      </w:r>
      <w:r w:rsidR="00571129">
        <w:rPr>
          <w:rFonts w:asciiTheme="majorBidi" w:hAnsiTheme="majorBidi" w:cstheme="majorBidi"/>
        </w:rPr>
        <w:t>t</w:t>
      </w:r>
      <w:r w:rsidR="00571129" w:rsidRPr="009052FE">
        <w:rPr>
          <w:rFonts w:asciiTheme="majorBidi" w:hAnsiTheme="majorBidi" w:cstheme="majorBidi"/>
        </w:rPr>
        <w:t>u situāciju</w:t>
      </w:r>
      <w:r w:rsidR="00571129">
        <w:rPr>
          <w:rFonts w:asciiTheme="majorBidi" w:hAnsiTheme="majorBidi" w:cstheme="majorBidi"/>
        </w:rPr>
        <w:t xml:space="preserve"> pagātnē. Līdz ar to </w:t>
      </w:r>
      <w:r w:rsidR="00571129" w:rsidRPr="009052FE">
        <w:rPr>
          <w:rFonts w:asciiTheme="majorBidi" w:hAnsiTheme="majorBidi" w:cstheme="majorBidi"/>
        </w:rPr>
        <w:t xml:space="preserve">jāņem vērā, ka ne vienmēr </w:t>
      </w:r>
      <w:r w:rsidR="00571129">
        <w:rPr>
          <w:rFonts w:asciiTheme="majorBidi" w:hAnsiTheme="majorBidi" w:cstheme="majorBidi"/>
        </w:rPr>
        <w:t>būs</w:t>
      </w:r>
      <w:r w:rsidR="00571129" w:rsidRPr="009052FE">
        <w:rPr>
          <w:rFonts w:asciiTheme="majorBidi" w:hAnsiTheme="majorBidi" w:cstheme="majorBidi"/>
        </w:rPr>
        <w:t xml:space="preserve"> iespējam</w:t>
      </w:r>
      <w:r w:rsidR="00571129">
        <w:rPr>
          <w:rFonts w:asciiTheme="majorBidi" w:hAnsiTheme="majorBidi" w:cstheme="majorBidi"/>
        </w:rPr>
        <w:t>s arī pierādīt</w:t>
      </w:r>
      <w:r w:rsidR="00571129" w:rsidRPr="009052FE">
        <w:rPr>
          <w:rFonts w:asciiTheme="majorBidi" w:hAnsiTheme="majorBidi" w:cstheme="majorBidi"/>
        </w:rPr>
        <w:t xml:space="preserve"> neiegūtās peļņas precīz</w:t>
      </w:r>
      <w:r w:rsidR="00571129">
        <w:rPr>
          <w:rFonts w:asciiTheme="majorBidi" w:hAnsiTheme="majorBidi" w:cstheme="majorBidi"/>
        </w:rPr>
        <w:t>u</w:t>
      </w:r>
      <w:r w:rsidR="00571129" w:rsidRPr="009052FE">
        <w:rPr>
          <w:rFonts w:asciiTheme="majorBidi" w:hAnsiTheme="majorBidi" w:cstheme="majorBidi"/>
        </w:rPr>
        <w:t xml:space="preserve"> apmēr</w:t>
      </w:r>
      <w:r w:rsidR="00571129">
        <w:rPr>
          <w:rFonts w:asciiTheme="majorBidi" w:hAnsiTheme="majorBidi" w:cstheme="majorBidi"/>
        </w:rPr>
        <w:t xml:space="preserve">u, tāpēc ir </w:t>
      </w:r>
      <w:r w:rsidR="00571129" w:rsidRPr="002C4484">
        <w:rPr>
          <w:rFonts w:asciiTheme="majorBidi" w:hAnsiTheme="majorBidi" w:cstheme="majorBidi"/>
        </w:rPr>
        <w:t>pietiekami, ja tiek pierādīta neiegūtās peļņas liela varbūtība, respektīvi, tā peļņa, kuru varēja ticami gūt</w:t>
      </w:r>
      <w:r w:rsidR="002C4484">
        <w:rPr>
          <w:rFonts w:asciiTheme="majorBidi" w:hAnsiTheme="majorBidi" w:cstheme="majorBidi"/>
        </w:rPr>
        <w:t xml:space="preserve">. </w:t>
      </w:r>
      <w:r w:rsidR="003B2584" w:rsidRPr="00771497">
        <w:rPr>
          <w:rFonts w:asciiTheme="majorBidi" w:hAnsiTheme="majorBidi" w:cstheme="majorBidi"/>
        </w:rPr>
        <w:t>Citiem vārdiem</w:t>
      </w:r>
      <w:r w:rsidR="003B2584">
        <w:rPr>
          <w:rFonts w:asciiTheme="majorBidi" w:hAnsiTheme="majorBidi" w:cstheme="majorBidi"/>
        </w:rPr>
        <w:t xml:space="preserve"> sakot</w:t>
      </w:r>
      <w:r w:rsidR="003B2584" w:rsidRPr="00771497">
        <w:rPr>
          <w:rFonts w:asciiTheme="majorBidi" w:hAnsiTheme="majorBidi" w:cstheme="majorBidi"/>
        </w:rPr>
        <w:t xml:space="preserve">, </w:t>
      </w:r>
      <w:r w:rsidR="003B2584">
        <w:rPr>
          <w:rFonts w:asciiTheme="majorBidi" w:hAnsiTheme="majorBidi" w:cstheme="majorBidi"/>
        </w:rPr>
        <w:t>t</w:t>
      </w:r>
      <w:r w:rsidR="003B2584" w:rsidRPr="00BB5726">
        <w:rPr>
          <w:rFonts w:asciiTheme="majorBidi" w:hAnsiTheme="majorBidi" w:cstheme="majorBidi"/>
        </w:rPr>
        <w:t xml:space="preserve">ā kā neiegūtā peļņa vienmēr būs hipotētiska peļņa, </w:t>
      </w:r>
      <w:r w:rsidR="003B2584">
        <w:rPr>
          <w:rFonts w:asciiTheme="majorBidi" w:hAnsiTheme="majorBidi" w:cstheme="majorBidi"/>
        </w:rPr>
        <w:t>tad –</w:t>
      </w:r>
      <w:r w:rsidR="003B2584" w:rsidRPr="00771497">
        <w:rPr>
          <w:rFonts w:asciiTheme="majorBidi" w:hAnsiTheme="majorBidi" w:cstheme="majorBidi"/>
        </w:rPr>
        <w:t xml:space="preserve"> paturot prātā, ka </w:t>
      </w:r>
      <w:r w:rsidR="003B2584">
        <w:rPr>
          <w:rFonts w:asciiTheme="majorBidi" w:hAnsiTheme="majorBidi" w:cstheme="majorBidi"/>
        </w:rPr>
        <w:t>tās</w:t>
      </w:r>
      <w:r w:rsidR="003B2584" w:rsidRPr="00771497">
        <w:rPr>
          <w:rFonts w:asciiTheme="majorBidi" w:hAnsiTheme="majorBidi" w:cstheme="majorBidi"/>
        </w:rPr>
        <w:t xml:space="preserve"> apmērs </w:t>
      </w:r>
      <w:r w:rsidR="003B2584">
        <w:rPr>
          <w:rFonts w:asciiTheme="majorBidi" w:hAnsiTheme="majorBidi" w:cstheme="majorBidi"/>
        </w:rPr>
        <w:t>var arī nebūt</w:t>
      </w:r>
      <w:r w:rsidR="003B2584" w:rsidRPr="00771497">
        <w:rPr>
          <w:rFonts w:asciiTheme="majorBidi" w:hAnsiTheme="majorBidi" w:cstheme="majorBidi"/>
        </w:rPr>
        <w:t xml:space="preserve"> precīzi pierādīts līdz pēdējam centam,</w:t>
      </w:r>
      <w:r w:rsidR="003B2584">
        <w:rPr>
          <w:rFonts w:asciiTheme="majorBidi" w:hAnsiTheme="majorBidi" w:cstheme="majorBidi"/>
        </w:rPr>
        <w:t xml:space="preserve"> –</w:t>
      </w:r>
      <w:r w:rsidR="003B2584" w:rsidRPr="00771497">
        <w:rPr>
          <w:rFonts w:asciiTheme="majorBidi" w:hAnsiTheme="majorBidi" w:cstheme="majorBidi"/>
        </w:rPr>
        <w:t xml:space="preserve"> pietiek, ja tiek pierādīts </w:t>
      </w:r>
      <w:r w:rsidR="003B2584">
        <w:rPr>
          <w:rFonts w:asciiTheme="majorBidi" w:hAnsiTheme="majorBidi" w:cstheme="majorBidi"/>
        </w:rPr>
        <w:t xml:space="preserve">tāds </w:t>
      </w:r>
      <w:r w:rsidR="003B2584" w:rsidRPr="00771497">
        <w:rPr>
          <w:rFonts w:asciiTheme="majorBidi" w:hAnsiTheme="majorBidi" w:cstheme="majorBidi"/>
        </w:rPr>
        <w:t>apmērs, kāds</w:t>
      </w:r>
      <w:r w:rsidR="003B2584">
        <w:rPr>
          <w:rFonts w:asciiTheme="majorBidi" w:hAnsiTheme="majorBidi" w:cstheme="majorBidi"/>
        </w:rPr>
        <w:t xml:space="preserve"> tas </w:t>
      </w:r>
      <w:r w:rsidR="003B2584" w:rsidRPr="00771497">
        <w:rPr>
          <w:rFonts w:asciiTheme="majorBidi" w:hAnsiTheme="majorBidi" w:cstheme="majorBidi"/>
        </w:rPr>
        <w:t>varēja pietiekami ticam</w:t>
      </w:r>
      <w:r w:rsidR="003B2584">
        <w:rPr>
          <w:rFonts w:asciiTheme="majorBidi" w:hAnsiTheme="majorBidi" w:cstheme="majorBidi"/>
        </w:rPr>
        <w:t>i</w:t>
      </w:r>
      <w:r w:rsidR="003B2584" w:rsidRPr="00771497">
        <w:rPr>
          <w:rFonts w:asciiTheme="majorBidi" w:hAnsiTheme="majorBidi" w:cstheme="majorBidi"/>
        </w:rPr>
        <w:t xml:space="preserve"> būt</w:t>
      </w:r>
      <w:r w:rsidR="003B2584">
        <w:rPr>
          <w:rFonts w:asciiTheme="majorBidi" w:hAnsiTheme="majorBidi" w:cstheme="majorBidi"/>
        </w:rPr>
        <w:t xml:space="preserve"> </w:t>
      </w:r>
      <w:r w:rsidR="00815A15">
        <w:rPr>
          <w:rFonts w:asciiTheme="majorBidi" w:hAnsiTheme="majorBidi" w:cstheme="majorBidi"/>
        </w:rPr>
        <w:t>(</w:t>
      </w:r>
      <w:r w:rsidR="002C4484" w:rsidRPr="002C4484">
        <w:rPr>
          <w:i/>
          <w:iCs/>
        </w:rPr>
        <w:t>Senāta 2024.gada 27.decembra sprieduma lietā Nr. SKA</w:t>
      </w:r>
      <w:r w:rsidR="002C4484" w:rsidRPr="002C4484">
        <w:rPr>
          <w:i/>
          <w:iCs/>
        </w:rPr>
        <w:noBreakHyphen/>
        <w:t xml:space="preserve">297/2024, </w:t>
      </w:r>
      <w:hyperlink r:id="rId9" w:history="1">
        <w:r w:rsidR="002C4484" w:rsidRPr="002C4484">
          <w:rPr>
            <w:rStyle w:val="Hyperlink"/>
            <w:i/>
            <w:iCs/>
            <w:color w:val="auto"/>
          </w:rPr>
          <w:t>ECLI:LV:AT:2024:1227.A420340016.19.S</w:t>
        </w:r>
      </w:hyperlink>
      <w:r w:rsidR="002C4484" w:rsidRPr="002C4484">
        <w:rPr>
          <w:i/>
          <w:iCs/>
        </w:rPr>
        <w:t>,</w:t>
      </w:r>
      <w:r w:rsidR="002C4484">
        <w:rPr>
          <w:i/>
          <w:iCs/>
        </w:rPr>
        <w:t xml:space="preserve"> </w:t>
      </w:r>
      <w:r w:rsidR="002C4484" w:rsidRPr="002C4484">
        <w:rPr>
          <w:i/>
          <w:iCs/>
        </w:rPr>
        <w:t>10.punkts</w:t>
      </w:r>
      <w:r w:rsidR="002C4484" w:rsidRPr="002C4484">
        <w:t>).</w:t>
      </w:r>
      <w:r w:rsidR="002C4484">
        <w:t xml:space="preserve"> </w:t>
      </w:r>
      <w:r w:rsidR="000B797C">
        <w:t>Vienlaikus j</w:t>
      </w:r>
      <w:r w:rsidR="00E25D7F">
        <w:t xml:space="preserve">āņem vērā </w:t>
      </w:r>
      <w:r w:rsidR="00F86159">
        <w:t>Administratīvā procesa likuma 247.panta otr</w:t>
      </w:r>
      <w:r w:rsidR="00FB4122">
        <w:t>aj</w:t>
      </w:r>
      <w:r w:rsidR="00F86159">
        <w:t xml:space="preserve">ā </w:t>
      </w:r>
      <w:r w:rsidR="00F86159" w:rsidRPr="00BB5726">
        <w:t>daļ</w:t>
      </w:r>
      <w:r w:rsidR="00FB4122">
        <w:t xml:space="preserve">ā </w:t>
      </w:r>
      <w:r w:rsidR="00F86159" w:rsidRPr="00BB5726">
        <w:t>notei</w:t>
      </w:r>
      <w:r w:rsidR="00FB4122">
        <w:t>ktais</w:t>
      </w:r>
      <w:r w:rsidR="00F86159" w:rsidRPr="00BB5726">
        <w:t>, ka tiesa spriedumu pamato ar apstākļiem, kuri nodibināti ar pierādījumiem lietā.</w:t>
      </w:r>
      <w:r w:rsidR="003B2584">
        <w:t xml:space="preserve"> Savukārt šā likuma 154.panta pirmā daļa noteic, ka t</w:t>
      </w:r>
      <w:r w:rsidR="003B2584" w:rsidRPr="003B2584">
        <w: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3B2584">
        <w:t>. Tādējādi, p</w:t>
      </w:r>
      <w:r w:rsidR="003B2584" w:rsidRPr="003B2584">
        <w:t xml:space="preserve">at ja </w:t>
      </w:r>
      <w:r w:rsidR="003B2584">
        <w:t>tiek pierādīta neiegūtās</w:t>
      </w:r>
      <w:r w:rsidR="003B2584" w:rsidRPr="003B2584">
        <w:t xml:space="preserve"> peļņas liela varbūtība, tas </w:t>
      </w:r>
      <w:r w:rsidR="00815A15">
        <w:t xml:space="preserve">– kā to pamatoti norāda atbildētāja – </w:t>
      </w:r>
      <w:r w:rsidR="003B2584" w:rsidRPr="003B2584">
        <w:t xml:space="preserve">neatbrīvo tiesu no pienākuma vērtēt, vai izmantotie pierādījumi ir ticami un pamatoti, nevis balstīti </w:t>
      </w:r>
      <w:r w:rsidR="003B2584">
        <w:t xml:space="preserve">vien </w:t>
      </w:r>
      <w:r w:rsidR="003B2584" w:rsidRPr="003B2584">
        <w:t>pieņēmum</w:t>
      </w:r>
      <w:r w:rsidR="000B797C">
        <w:t>os</w:t>
      </w:r>
      <w:r w:rsidR="003B2584" w:rsidRPr="003B2584">
        <w:t xml:space="preserve"> vai </w:t>
      </w:r>
      <w:r w:rsidR="00CA7C98">
        <w:t xml:space="preserve">vispārīgās </w:t>
      </w:r>
      <w:r w:rsidR="003B2584" w:rsidRPr="003B2584">
        <w:t>prognozē</w:t>
      </w:r>
      <w:r w:rsidR="000B797C">
        <w:t>s</w:t>
      </w:r>
      <w:r w:rsidR="003B2584" w:rsidRPr="003B2584">
        <w:t>.</w:t>
      </w:r>
      <w:r w:rsidR="003B2584">
        <w:t xml:space="preserve"> </w:t>
      </w:r>
      <w:r w:rsidR="003B2584" w:rsidRPr="003B2584">
        <w:t xml:space="preserve">Pretējā gadījumā </w:t>
      </w:r>
      <w:r w:rsidR="003B2584">
        <w:t>tas var</w:t>
      </w:r>
      <w:r w:rsidR="00E25D7F">
        <w:t>ētu</w:t>
      </w:r>
      <w:r w:rsidR="003B2584">
        <w:t xml:space="preserve"> novest pie tā, ka </w:t>
      </w:r>
      <w:r w:rsidR="003B2584" w:rsidRPr="003B2584">
        <w:t>jebkurš aprēķins, kas formāli rada iespaidu par iespējamu</w:t>
      </w:r>
      <w:r w:rsidR="003B2584">
        <w:t xml:space="preserve"> </w:t>
      </w:r>
      <w:r w:rsidR="003B2584" w:rsidRPr="003B2584">
        <w:t xml:space="preserve">peļņu, tiktu </w:t>
      </w:r>
      <w:r w:rsidR="003B2584">
        <w:t xml:space="preserve">automātiski </w:t>
      </w:r>
      <w:r w:rsidR="003B2584" w:rsidRPr="003B2584">
        <w:t>atzīts par pietiekamu tikai tādēļ, ka neiegūtā peļņa pēc definīcijas ir hipotētiska</w:t>
      </w:r>
      <w:r w:rsidR="004C7160">
        <w:t>. T</w:t>
      </w:r>
      <w:r w:rsidR="003B2584" w:rsidRPr="003B2584">
        <w:t xml:space="preserve">as </w:t>
      </w:r>
      <w:r w:rsidR="003B2584">
        <w:t xml:space="preserve">savukārt </w:t>
      </w:r>
      <w:r w:rsidR="004C7160">
        <w:t>būtu pretēji</w:t>
      </w:r>
      <w:r w:rsidR="003B2584" w:rsidRPr="003B2584">
        <w:t xml:space="preserve"> </w:t>
      </w:r>
      <w:r w:rsidR="003B2584">
        <w:t>likumā noteiktaj</w:t>
      </w:r>
      <w:r w:rsidR="004C7160">
        <w:t>ā</w:t>
      </w:r>
      <w:r w:rsidR="003B2584">
        <w:t xml:space="preserve">m </w:t>
      </w:r>
      <w:r w:rsidR="003B2584" w:rsidRPr="003B2584">
        <w:t xml:space="preserve">pierādījumu </w:t>
      </w:r>
      <w:r w:rsidR="003B2584">
        <w:t>novērtēšana</w:t>
      </w:r>
      <w:r w:rsidR="004C7160">
        <w:t xml:space="preserve">s prasībām. </w:t>
      </w:r>
      <w:r w:rsidR="000B797C">
        <w:t>Tajā pašā laikā</w:t>
      </w:r>
      <w:r w:rsidR="00CA7C98">
        <w:t xml:space="preserve"> </w:t>
      </w:r>
      <w:r w:rsidR="000B797C">
        <w:t>situācijā, kad tiesai jāvērtē neiegūtās peļņas apmēra varbūtība, nav pamata tiesai automātiski pārmest to, ka tās secinājumi būtu balstīti vien pieņēmumos.</w:t>
      </w:r>
      <w:r w:rsidR="00283FA1">
        <w:t xml:space="preserve"> I</w:t>
      </w:r>
      <w:r w:rsidR="000B797C">
        <w:t>zvērtējot pārsūdzēto tiesas spriedumu, senatoru kolēģija atzīst, ka šis</w:t>
      </w:r>
      <w:r w:rsidR="00E25D7F">
        <w:t xml:space="preserve"> nav tāds gadījums</w:t>
      </w:r>
      <w:r w:rsidR="000B797C">
        <w:t xml:space="preserve">, ka tiesa </w:t>
      </w:r>
      <w:r w:rsidR="00613561">
        <w:t xml:space="preserve">– kā to apgalvo atbildētāja – savus secinājumus būtu balstījusi </w:t>
      </w:r>
      <w:r w:rsidR="00815A15">
        <w:t>vien</w:t>
      </w:r>
      <w:r w:rsidR="000B797C">
        <w:t xml:space="preserve"> pieņēmum</w:t>
      </w:r>
      <w:r w:rsidR="00815A15">
        <w:t>os par pieteicējas neiegūtās peļņas vēlmēm</w:t>
      </w:r>
      <w:r w:rsidR="00E25D7F">
        <w:t>.</w:t>
      </w:r>
    </w:p>
    <w:p w14:paraId="529125BF" w14:textId="11B94D1A" w:rsidR="00553E06" w:rsidRPr="00553E06" w:rsidRDefault="00F86159" w:rsidP="00E0632D">
      <w:pPr>
        <w:spacing w:line="276" w:lineRule="auto"/>
        <w:ind w:firstLine="720"/>
        <w:jc w:val="both"/>
      </w:pPr>
      <w:r w:rsidRPr="00BB5726">
        <w:t xml:space="preserve">No pārsūdzētā sprieduma izriet, ka pieteicēja ar </w:t>
      </w:r>
      <w:r w:rsidR="00BB5726" w:rsidRPr="00BB5726">
        <w:t xml:space="preserve">konkrētiem </w:t>
      </w:r>
      <w:r w:rsidRPr="00BB5726">
        <w:t>pierādījumiem</w:t>
      </w:r>
      <w:r w:rsidR="00B7047B">
        <w:t xml:space="preserve"> lietā</w:t>
      </w:r>
      <w:r w:rsidRPr="00BB5726">
        <w:t xml:space="preserve"> ir pamatojusi neiegūtās peļņas apmēru ar lielu varbūtību, kura</w:t>
      </w:r>
      <w:r w:rsidR="00BB5726" w:rsidRPr="00BB5726">
        <w:t>s</w:t>
      </w:r>
      <w:r w:rsidRPr="00BB5726">
        <w:t xml:space="preserve"> ticamību un atbilstību </w:t>
      </w:r>
      <w:r w:rsidR="00BB5726" w:rsidRPr="00BB5726">
        <w:t xml:space="preserve">lietas </w:t>
      </w:r>
      <w:r w:rsidRPr="00BB5726">
        <w:t>faktiskajiem apstākļiem tiesa</w:t>
      </w:r>
      <w:r w:rsidR="00BB5726" w:rsidRPr="00BB5726">
        <w:t xml:space="preserve"> </w:t>
      </w:r>
      <w:r w:rsidRPr="00BB5726">
        <w:t>ir pārbaudījusi</w:t>
      </w:r>
      <w:r w:rsidR="00B7047B">
        <w:t xml:space="preserve"> un atzinusi, ka tāda tā varētu būt</w:t>
      </w:r>
      <w:r w:rsidRPr="00BB5726">
        <w:t>.</w:t>
      </w:r>
      <w:r w:rsidR="00613561">
        <w:t xml:space="preserve"> </w:t>
      </w:r>
      <w:r w:rsidR="00553E06" w:rsidRPr="00553E06">
        <w:t>Jāņem vērā, ka tieši atbildētājas prettiesiskā rīcība iepirkuma procedūrā, k</w:t>
      </w:r>
      <w:r w:rsidR="00613561">
        <w:t>uras</w:t>
      </w:r>
      <w:r w:rsidR="00553E06" w:rsidRPr="00553E06">
        <w:t xml:space="preserve"> rezultātā pieteicējai nepamatoti tika liegta iespēja noslēgt un izpildīt iepirkuma līgumu, objektīvi radīja situāciju, kurā pieteicēja nevarēja iegūt tādus pierādījumus, kādus atbildētāja </w:t>
      </w:r>
      <w:r w:rsidR="0061187A">
        <w:t>tagad</w:t>
      </w:r>
      <w:r w:rsidR="00553E06" w:rsidRPr="00553E06">
        <w:t xml:space="preserve"> pārmet </w:t>
      </w:r>
      <w:r w:rsidR="0061187A">
        <w:t xml:space="preserve">pieteicējai </w:t>
      </w:r>
      <w:r w:rsidR="00553E06" w:rsidRPr="00553E06">
        <w:t>kā nepietiekamus. Proti, atbilstoši</w:t>
      </w:r>
      <w:r w:rsidR="0061187A">
        <w:t xml:space="preserve"> atbildētājas sūdzībā norādītajam </w:t>
      </w:r>
      <w:r w:rsidR="00553E06" w:rsidRPr="00553E06">
        <w:t>tehniskā projekta izstrāde</w:t>
      </w:r>
      <w:r w:rsidR="0061187A">
        <w:t xml:space="preserve"> un</w:t>
      </w:r>
      <w:r w:rsidR="00553E06" w:rsidRPr="00553E06">
        <w:t xml:space="preserve"> detalizētu lokālo tāmju sagatavošana un to saskaņošana ar </w:t>
      </w:r>
      <w:r w:rsidR="00613561">
        <w:t>atbildētāju</w:t>
      </w:r>
      <w:r w:rsidR="00553E06" w:rsidRPr="00553E06">
        <w:t xml:space="preserve"> bija veicama tikai pēc iepirkuma līguma noslēgšanas. Tā kā līgums </w:t>
      </w:r>
      <w:r w:rsidR="0061187A">
        <w:t>atbildētājas</w:t>
      </w:r>
      <w:r w:rsidR="00553E06" w:rsidRPr="00553E06">
        <w:t xml:space="preserve"> </w:t>
      </w:r>
      <w:r w:rsidR="002E3C9F">
        <w:t>prettiesiskas rīcības</w:t>
      </w:r>
      <w:r w:rsidR="00553E06" w:rsidRPr="00553E06">
        <w:t xml:space="preserve"> dēļ netika noslēgts, šie darbības posmi objektīvi nemaz nevarēja tikt īstenoti.</w:t>
      </w:r>
      <w:r w:rsidR="0061187A">
        <w:t xml:space="preserve"> </w:t>
      </w:r>
      <w:r w:rsidR="00553E06" w:rsidRPr="00553E06">
        <w:t xml:space="preserve">Šādā situācijā tiesa nevar izvirzīt </w:t>
      </w:r>
      <w:r w:rsidR="0061187A">
        <w:t>pieteicējai</w:t>
      </w:r>
      <w:r w:rsidR="00553E06" w:rsidRPr="00553E06">
        <w:t xml:space="preserve"> pierādīšanas pienākumu attiecībā uz tādiem apstākļiem, kuru konstatēšana kļuva neiespējama tieši atbildētājas</w:t>
      </w:r>
      <w:r w:rsidR="00613561">
        <w:t xml:space="preserve"> prettiesiskas</w:t>
      </w:r>
      <w:r w:rsidR="00553E06" w:rsidRPr="00553E06">
        <w:t xml:space="preserve"> rīcības dēļ. Tādējādi apstāklis, ka pieteicēja </w:t>
      </w:r>
      <w:r w:rsidR="0061187A">
        <w:t xml:space="preserve">šobrīd </w:t>
      </w:r>
      <w:r w:rsidR="00613561">
        <w:t xml:space="preserve">lietā </w:t>
      </w:r>
      <w:r w:rsidR="00553E06" w:rsidRPr="00553E06">
        <w:t xml:space="preserve">nevar iesniegt </w:t>
      </w:r>
      <w:r w:rsidR="0061187A">
        <w:t xml:space="preserve">tādas </w:t>
      </w:r>
      <w:r w:rsidR="00553E06" w:rsidRPr="00553E06">
        <w:t>detalizētas lokālās tāmes</w:t>
      </w:r>
      <w:r w:rsidR="0061187A">
        <w:t>, kādas to vēlas redzēt atbildētāja</w:t>
      </w:r>
      <w:r w:rsidR="00553E06" w:rsidRPr="00553E06">
        <w:t xml:space="preserve">, nevar tikt vērtēts </w:t>
      </w:r>
      <w:r w:rsidR="0061187A">
        <w:t>pieteicējai</w:t>
      </w:r>
      <w:r w:rsidR="00553E06" w:rsidRPr="00553E06">
        <w:t xml:space="preserve"> par sliktu, bet gan ir ņemams vērā, </w:t>
      </w:r>
      <w:r w:rsidR="00283FA1">
        <w:t xml:space="preserve">konkrētajā gadījumā </w:t>
      </w:r>
      <w:r w:rsidR="00553E06" w:rsidRPr="00553E06">
        <w:t>nosakot pierādīšanas standartu neiegūt</w:t>
      </w:r>
      <w:r w:rsidR="00283FA1">
        <w:t>ajai</w:t>
      </w:r>
      <w:r w:rsidR="00553E06" w:rsidRPr="00553E06">
        <w:t xml:space="preserve"> peļņa</w:t>
      </w:r>
      <w:r w:rsidR="00283FA1">
        <w:t>i</w:t>
      </w:r>
      <w:r w:rsidR="00553E06" w:rsidRPr="00553E06">
        <w:t>. Šādos apstākļos ir pietiekami</w:t>
      </w:r>
      <w:r w:rsidR="0061187A">
        <w:t xml:space="preserve">, ja pieteicēja </w:t>
      </w:r>
      <w:r w:rsidR="00613561" w:rsidRPr="00553E06">
        <w:t xml:space="preserve">neiegūtās peļņas apmēru </w:t>
      </w:r>
      <w:r w:rsidR="0061187A">
        <w:t>var</w:t>
      </w:r>
      <w:r w:rsidR="00553E06" w:rsidRPr="00553E06">
        <w:t xml:space="preserve"> pamatot ar tādiem pierādījumiem, kas tai bija objektīvi pieejami iepirkuma </w:t>
      </w:r>
      <w:r w:rsidR="0061187A">
        <w:t>brīdī</w:t>
      </w:r>
      <w:r w:rsidR="00553E06" w:rsidRPr="00553E06">
        <w:t>, tostarp ar finanšu piedāvājumu</w:t>
      </w:r>
      <w:r w:rsidR="0061187A">
        <w:t xml:space="preserve"> un</w:t>
      </w:r>
      <w:r w:rsidR="00553E06" w:rsidRPr="00553E06">
        <w:t xml:space="preserve"> </w:t>
      </w:r>
      <w:r w:rsidR="0061187A">
        <w:t xml:space="preserve">2013.gada 10.maija </w:t>
      </w:r>
      <w:r w:rsidR="00553E06" w:rsidRPr="00553E06">
        <w:t>tām</w:t>
      </w:r>
      <w:r w:rsidR="0061187A">
        <w:t xml:space="preserve">i, kā arī ar nozares </w:t>
      </w:r>
      <w:r w:rsidR="00553E06" w:rsidRPr="00553E06">
        <w:t>ekspert</w:t>
      </w:r>
      <w:r w:rsidR="0061187A">
        <w:t>u</w:t>
      </w:r>
      <w:r w:rsidR="00553E06" w:rsidRPr="00553E06">
        <w:t xml:space="preserve"> vērtējum</w:t>
      </w:r>
      <w:r w:rsidR="0061187A">
        <w:t>iem</w:t>
      </w:r>
      <w:r w:rsidR="00553E06" w:rsidRPr="00553E06">
        <w:t>, ja tiesa, tos izvērtējot kopsakarā, var gūt pārliecību par šādas peļņas gūšanas lielu varbūtību.</w:t>
      </w:r>
      <w:r w:rsidR="0061187A">
        <w:t xml:space="preserve"> </w:t>
      </w:r>
      <w:r w:rsidR="00553E06" w:rsidRPr="00553E06">
        <w:t xml:space="preserve">Līdz ar to atbildētājas iebildumi, kas </w:t>
      </w:r>
      <w:r w:rsidR="00613561">
        <w:t>pamatoti ar</w:t>
      </w:r>
      <w:r w:rsidR="00553E06" w:rsidRPr="00553E06">
        <w:t xml:space="preserve"> to, ka pieteicēja nav iesniegusi pierādījumus, kuru iegūšana bija iespējama tikai pēc līguma noslēgšanas, nav atzīstami par pamatotiem un nevar </w:t>
      </w:r>
      <w:r w:rsidR="0061187A">
        <w:t>kalpot</w:t>
      </w:r>
      <w:r w:rsidR="00553E06" w:rsidRPr="00553E06">
        <w:t xml:space="preserve"> par pamatu secinājumam, ka tiesa nepamatoti </w:t>
      </w:r>
      <w:r w:rsidR="00613561">
        <w:t>būtu samazinājusi</w:t>
      </w:r>
      <w:r w:rsidR="00553E06" w:rsidRPr="00553E06">
        <w:t xml:space="preserve"> pierādīšanas standartu.</w:t>
      </w:r>
    </w:p>
    <w:p w14:paraId="43FA9402" w14:textId="6477D8E1" w:rsidR="00774068" w:rsidRDefault="00774068" w:rsidP="00E0632D">
      <w:pPr>
        <w:spacing w:line="276" w:lineRule="auto"/>
        <w:ind w:firstLine="720"/>
        <w:jc w:val="both"/>
      </w:pPr>
      <w:r w:rsidRPr="00774068">
        <w:t>Turklāt atbildētāja cenšas katru pierādījumu analizēt atrauti, lai gan Administratīvā procesa likuma 154.pants prasa pierādījumus vērtēt to savstarpējā kopsakarā. Līdz ar to</w:t>
      </w:r>
      <w:r>
        <w:t>,</w:t>
      </w:r>
      <w:r w:rsidRPr="00774068">
        <w:t xml:space="preserve"> pat ja kāds atsevišķs pierādījums pats par sevi </w:t>
      </w:r>
      <w:r w:rsidR="00613561">
        <w:t>var nebūt</w:t>
      </w:r>
      <w:r w:rsidRPr="00774068">
        <w:t xml:space="preserve"> pietiekams neiegūtās peļņas apmēra pierādīšanai, to kopums var veidot pietiekami ticamu pamatu secinājumam par neiegūtās peļņas esību un apmēru.</w:t>
      </w:r>
      <w:r>
        <w:t xml:space="preserve"> Savukārt a</w:t>
      </w:r>
      <w:r w:rsidRPr="00774068">
        <w:t>tbildētājas norāde, ka tiesai nebūtu pamata mainīt iepriekš pausto novērtējumu</w:t>
      </w:r>
      <w:r>
        <w:t xml:space="preserve"> par kādu pierādījumu</w:t>
      </w:r>
      <w:r w:rsidRPr="00774068">
        <w:t xml:space="preserve">, faktiski ignorē </w:t>
      </w:r>
      <w:r>
        <w:t xml:space="preserve">lietas </w:t>
      </w:r>
      <w:r w:rsidRPr="00774068">
        <w:t xml:space="preserve">atkārtotas izskatīšanas procesa būtību. Tiesai nav pienākuma saglabāt iepriekšēju viedokli, ja, ievērojot </w:t>
      </w:r>
      <w:r>
        <w:t>Senāta</w:t>
      </w:r>
      <w:r w:rsidRPr="00774068">
        <w:t xml:space="preserve"> norādījumus un atkārtoti izvērtējot pierādījumus, tā gūst citu</w:t>
      </w:r>
      <w:r>
        <w:t xml:space="preserve"> </w:t>
      </w:r>
      <w:r w:rsidRPr="00774068">
        <w:t xml:space="preserve">pārliecību par lietas apstākļiem. Pretēja pieeja būtu pretrunā </w:t>
      </w:r>
      <w:r>
        <w:t xml:space="preserve">ar </w:t>
      </w:r>
      <w:r w:rsidRPr="00774068">
        <w:t>tiesas pienāku</w:t>
      </w:r>
      <w:r>
        <w:t>mu</w:t>
      </w:r>
      <w:r w:rsidRPr="00774068">
        <w:t xml:space="preserve"> spriedumu </w:t>
      </w:r>
      <w:r>
        <w:t>pamatot</w:t>
      </w:r>
      <w:r w:rsidRPr="00774068">
        <w:t xml:space="preserve"> </w:t>
      </w:r>
      <w:r>
        <w:t>ar</w:t>
      </w:r>
      <w:r w:rsidRPr="00774068">
        <w:t xml:space="preserve"> vispusīgi</w:t>
      </w:r>
      <w:r>
        <w:t xml:space="preserve">, pilnīgi un </w:t>
      </w:r>
      <w:r w:rsidRPr="00774068">
        <w:t xml:space="preserve">objektīvi </w:t>
      </w:r>
      <w:r>
        <w:t>pārbaudītiem</w:t>
      </w:r>
      <w:r w:rsidRPr="00774068">
        <w:t xml:space="preserve"> pierādījumiem.</w:t>
      </w:r>
    </w:p>
    <w:p w14:paraId="4DA39827" w14:textId="6AFAEA27" w:rsidR="00553E06" w:rsidRPr="00FF0369" w:rsidRDefault="00283FA1" w:rsidP="00E0632D">
      <w:pPr>
        <w:spacing w:line="276" w:lineRule="auto"/>
        <w:ind w:firstLine="720"/>
        <w:jc w:val="both"/>
      </w:pPr>
      <w:r>
        <w:rPr>
          <w:rFonts w:asciiTheme="majorBidi" w:hAnsiTheme="majorBidi" w:cstheme="majorBidi"/>
        </w:rPr>
        <w:t>Rezumējot</w:t>
      </w:r>
      <w:r w:rsidR="00B90974">
        <w:rPr>
          <w:rFonts w:asciiTheme="majorBidi" w:hAnsiTheme="majorBidi" w:cstheme="majorBidi"/>
        </w:rPr>
        <w:t xml:space="preserve"> teikto</w:t>
      </w:r>
      <w:r>
        <w:rPr>
          <w:rFonts w:asciiTheme="majorBidi" w:hAnsiTheme="majorBidi" w:cstheme="majorBidi"/>
        </w:rPr>
        <w:t>, a</w:t>
      </w:r>
      <w:r w:rsidR="00647D01">
        <w:rPr>
          <w:rFonts w:asciiTheme="majorBidi" w:hAnsiTheme="majorBidi" w:cstheme="majorBidi"/>
        </w:rPr>
        <w:t xml:space="preserve">tbildētājas norādītie iebildumi nerada senatoru kolēģijai šaubas par tiesas veiktā </w:t>
      </w:r>
      <w:r w:rsidR="00B7047B">
        <w:rPr>
          <w:rFonts w:asciiTheme="majorBidi" w:hAnsiTheme="majorBidi" w:cstheme="majorBidi"/>
        </w:rPr>
        <w:t>pierādījumu novērtējum</w:t>
      </w:r>
      <w:r w:rsidR="00647D01">
        <w:rPr>
          <w:rFonts w:asciiTheme="majorBidi" w:hAnsiTheme="majorBidi" w:cstheme="majorBidi"/>
        </w:rPr>
        <w:t>a atbilstību Administratīvā procesa likuma 154.panta pirmajai daļa</w:t>
      </w:r>
      <w:r>
        <w:rPr>
          <w:rFonts w:asciiTheme="majorBidi" w:hAnsiTheme="majorBidi" w:cstheme="majorBidi"/>
        </w:rPr>
        <w:t xml:space="preserve">i, kā arī sprieduma atbilstību </w:t>
      </w:r>
      <w:r w:rsidRPr="008E50EE">
        <w:t>247.panta otr</w:t>
      </w:r>
      <w:r>
        <w:t>ajai</w:t>
      </w:r>
      <w:r w:rsidRPr="008E50EE">
        <w:t xml:space="preserve"> daļa</w:t>
      </w:r>
      <w:r>
        <w:t>i.</w:t>
      </w:r>
      <w:r w:rsidR="00647D01">
        <w:rPr>
          <w:rFonts w:asciiTheme="majorBidi" w:hAnsiTheme="majorBidi" w:cstheme="majorBidi"/>
        </w:rPr>
        <w:t xml:space="preserve"> Savukārt pierādījumu atkārtota pārvērtēšana </w:t>
      </w:r>
      <w:r>
        <w:rPr>
          <w:rFonts w:asciiTheme="majorBidi" w:hAnsiTheme="majorBidi" w:cstheme="majorBidi"/>
        </w:rPr>
        <w:t>neietilpst</w:t>
      </w:r>
      <w:r w:rsidR="00647D01">
        <w:rPr>
          <w:rFonts w:asciiTheme="majorBidi" w:hAnsiTheme="majorBidi" w:cstheme="majorBidi"/>
        </w:rPr>
        <w:t xml:space="preserve"> kasācijas instances tiesas kompetenc</w:t>
      </w:r>
      <w:r>
        <w:rPr>
          <w:rFonts w:asciiTheme="majorBidi" w:hAnsiTheme="majorBidi" w:cstheme="majorBidi"/>
        </w:rPr>
        <w:t>ē</w:t>
      </w:r>
      <w:r w:rsidR="00647D01">
        <w:rPr>
          <w:rFonts w:asciiTheme="majorBidi" w:hAnsiTheme="majorBidi" w:cstheme="majorBidi"/>
        </w:rPr>
        <w:t xml:space="preserve">. </w:t>
      </w:r>
      <w:r w:rsidR="00553E06">
        <w:rPr>
          <w:rFonts w:asciiTheme="majorBidi" w:hAnsiTheme="majorBidi" w:cstheme="majorBidi"/>
        </w:rPr>
        <w:t>Senatoru kolēģija uzsver, ka</w:t>
      </w:r>
      <w:r w:rsidR="00553E06">
        <w:t>, lai arī</w:t>
      </w:r>
      <w:r w:rsidR="00774068">
        <w:t xml:space="preserve"> konkrētajā gadījumā</w:t>
      </w:r>
      <w:r w:rsidR="00553E06">
        <w:t xml:space="preserve"> </w:t>
      </w:r>
      <w:r w:rsidR="00774068" w:rsidRPr="00553E06">
        <w:t>zaudējuma atlīdzinājuma summa</w:t>
      </w:r>
      <w:r w:rsidR="00774068">
        <w:t xml:space="preserve"> ir </w:t>
      </w:r>
      <w:r w:rsidR="00553E06">
        <w:t>ievērojama,</w:t>
      </w:r>
      <w:r w:rsidR="00774068">
        <w:t xml:space="preserve"> tā</w:t>
      </w:r>
      <w:r w:rsidR="00553E06" w:rsidRPr="00553E06">
        <w:t xml:space="preserve"> neizraisa nepamatotu iedzīvošanos,</w:t>
      </w:r>
      <w:r w:rsidR="00553E06">
        <w:rPr>
          <w:rFonts w:asciiTheme="majorBidi" w:hAnsiTheme="majorBidi" w:cstheme="majorBidi"/>
        </w:rPr>
        <w:t xml:space="preserve"> jo </w:t>
      </w:r>
      <w:r w:rsidR="00553E06" w:rsidRPr="00553E06">
        <w:t xml:space="preserve">kompensē </w:t>
      </w:r>
      <w:r w:rsidR="00553E06">
        <w:t xml:space="preserve">pieteicējai tikai </w:t>
      </w:r>
      <w:r w:rsidR="00553E06" w:rsidRPr="00553E06">
        <w:t xml:space="preserve">to, ko </w:t>
      </w:r>
      <w:r w:rsidR="00613561">
        <w:t>tā</w:t>
      </w:r>
      <w:r w:rsidR="00613561" w:rsidRPr="00553E06">
        <w:t xml:space="preserve"> </w:t>
      </w:r>
      <w:r w:rsidR="00553E06" w:rsidRPr="00553E06">
        <w:t>ar lielu varbūtību būtu guvusi</w:t>
      </w:r>
      <w:r w:rsidR="00553E06">
        <w:t xml:space="preserve">, ja nebūtu </w:t>
      </w:r>
      <w:r w:rsidR="00774068">
        <w:t xml:space="preserve">pieļauta </w:t>
      </w:r>
      <w:r w:rsidR="00553E06">
        <w:t xml:space="preserve">atbildētājas prettiesiska rīcība. </w:t>
      </w:r>
      <w:r w:rsidR="00FF0369" w:rsidRPr="00FF0369">
        <w:t xml:space="preserve">Citiem vārdiem, </w:t>
      </w:r>
      <w:r w:rsidR="00FF0369">
        <w:t xml:space="preserve">konkrētajā </w:t>
      </w:r>
      <w:r w:rsidR="006E535E">
        <w:t>gadījumā pieteicējai</w:t>
      </w:r>
      <w:r w:rsidR="00FF0369">
        <w:t xml:space="preserve"> tiek nodrošināt</w:t>
      </w:r>
      <w:r w:rsidR="006E535E">
        <w:t xml:space="preserve">s tāds stāvoklis, </w:t>
      </w:r>
      <w:r w:rsidR="006E535E" w:rsidRPr="00FF0369">
        <w:t>it kā zaudējums</w:t>
      </w:r>
      <w:r w:rsidR="006E535E">
        <w:t xml:space="preserve"> neiegūtās peļņas veidā </w:t>
      </w:r>
      <w:r w:rsidR="006E535E" w:rsidRPr="00FF0369">
        <w:t>nebūtu nodarīts, taču ne vairāk</w:t>
      </w:r>
      <w:r w:rsidR="00FF0369">
        <w:t xml:space="preserve">. </w:t>
      </w:r>
      <w:r w:rsidR="00553E06">
        <w:t xml:space="preserve">Tādēļ </w:t>
      </w:r>
      <w:r w:rsidR="00613561">
        <w:t>šīs</w:t>
      </w:r>
      <w:r w:rsidR="00774068">
        <w:t xml:space="preserve"> </w:t>
      </w:r>
      <w:r w:rsidR="00553E06">
        <w:t>ir</w:t>
      </w:r>
      <w:r w:rsidR="00784541">
        <w:t xml:space="preserve"> tikai</w:t>
      </w:r>
      <w:r w:rsidR="00613561">
        <w:t xml:space="preserve"> </w:t>
      </w:r>
      <w:r>
        <w:t xml:space="preserve">loģiskas </w:t>
      </w:r>
      <w:r w:rsidR="00553E06">
        <w:t xml:space="preserve">tiesiskas sekas </w:t>
      </w:r>
      <w:r w:rsidR="00613561">
        <w:t xml:space="preserve">pašas </w:t>
      </w:r>
      <w:r w:rsidR="00553E06">
        <w:t>atbildētājas</w:t>
      </w:r>
      <w:r>
        <w:t xml:space="preserve"> prettiesiskajai</w:t>
      </w:r>
      <w:r w:rsidR="00553E06">
        <w:t xml:space="preserve"> rīcībai, ar kuru tai</w:t>
      </w:r>
      <w:r w:rsidR="002E3C9F">
        <w:t xml:space="preserve"> </w:t>
      </w:r>
      <w:r w:rsidR="00553E06">
        <w:t>jārēķinās.</w:t>
      </w:r>
    </w:p>
    <w:p w14:paraId="19CB34BE" w14:textId="77777777" w:rsidR="006A7B3C" w:rsidRDefault="006A7B3C" w:rsidP="00E0632D">
      <w:pPr>
        <w:spacing w:line="276" w:lineRule="auto"/>
        <w:ind w:firstLine="720"/>
        <w:jc w:val="both"/>
      </w:pPr>
    </w:p>
    <w:p w14:paraId="1E106701" w14:textId="02CAD75D" w:rsidR="000C5216" w:rsidRDefault="004279BE" w:rsidP="00E0632D">
      <w:pPr>
        <w:spacing w:line="276" w:lineRule="auto"/>
        <w:ind w:firstLine="720"/>
        <w:jc w:val="both"/>
      </w:pPr>
      <w:r>
        <w:t>[</w:t>
      </w:r>
      <w:r w:rsidR="00C33A54">
        <w:t>4</w:t>
      </w:r>
      <w:r>
        <w:t>] </w:t>
      </w:r>
      <w:r w:rsidR="0001104A">
        <w:t>Atbildētāja arī iebilst, ka t</w:t>
      </w:r>
      <w:r>
        <w:t xml:space="preserve">iesa nav ņēmusi vērā būvniecības izmaksu pieaugumu inflācijas </w:t>
      </w:r>
      <w:r w:rsidR="0001104A">
        <w:t>dēļ</w:t>
      </w:r>
      <w:r>
        <w:t xml:space="preserve"> un attiecīgi plānotās peļņas samazinājumu. </w:t>
      </w:r>
      <w:r w:rsidR="000C5216">
        <w:t>Atbildētāja skaidro, ka t</w:t>
      </w:r>
      <w:r w:rsidR="000C5216" w:rsidRPr="000C5216">
        <w:t xml:space="preserve">iesa nepamatoti </w:t>
      </w:r>
      <w:r w:rsidR="0001104A">
        <w:t>ir balstījusies</w:t>
      </w:r>
      <w:r w:rsidR="000C5216" w:rsidRPr="000C5216">
        <w:t xml:space="preserve"> uz Ekonomikas ministrijas vadlīnijām par būvdarbu līguma cenas indeksāciju, lai gan izskatāmajā lietā iepirkuma līguma projektā nav paredzēta līguma cenas indeksācija, un līdz ar to minētās vadlīnijas nav attiecināmas uz neiegūtās peļņas aprēķinu.</w:t>
      </w:r>
      <w:r w:rsidR="009D5B41">
        <w:t xml:space="preserve"> </w:t>
      </w:r>
      <w:r w:rsidR="0001104A">
        <w:t>Atbildētāja uzskata, ka k</w:t>
      </w:r>
      <w:r w:rsidR="009D5B41">
        <w:t xml:space="preserve">onkrētajā gadījumā pieteicējas </w:t>
      </w:r>
      <w:r w:rsidR="0001104A">
        <w:t>n</w:t>
      </w:r>
      <w:r w:rsidR="009D5B41">
        <w:t xml:space="preserve">audas plūsmas grafikā </w:t>
      </w:r>
      <w:r w:rsidR="0001104A">
        <w:t>norādīto</w:t>
      </w:r>
      <w:r w:rsidR="009D5B41">
        <w:t xml:space="preserve"> izpildāmo darbu vērtību indeksēšanai bija jāpiemēro būvniecības izmaksu indekss „būvniecība – pavisam” (kas ietver trīs būvniecības resursu pamatgrupas), jo pieteicējas piedāvājumā nav atrodams izmaksu sadalījums pa izmaksu elementiem laika griezumā. Veidot kādu mākslīgu sadalījumu būtu apzināta manipulācija ar datiem. </w:t>
      </w:r>
      <w:r w:rsidR="0001104A">
        <w:t>Savukārt t</w:t>
      </w:r>
      <w:r w:rsidR="00F3731C" w:rsidRPr="00F3731C">
        <w:t>iesas atsaukšanās uz augsto būvmateriālu īpatsvaru</w:t>
      </w:r>
      <w:r w:rsidR="00A03564">
        <w:t>, kas veido</w:t>
      </w:r>
      <w:r w:rsidR="00F3731C" w:rsidRPr="00F3731C">
        <w:t xml:space="preserve"> 73</w:t>
      </w:r>
      <w:r w:rsidR="00CC2E19">
        <w:t> </w:t>
      </w:r>
      <w:r w:rsidR="00F3731C" w:rsidRPr="00F3731C">
        <w:t>% no kopējām izmaksām</w:t>
      </w:r>
      <w:r w:rsidR="00A03564">
        <w:t>,</w:t>
      </w:r>
      <w:r w:rsidR="00F3731C" w:rsidRPr="00F3731C">
        <w:t xml:space="preserve"> ir maldinoša, jo saskaņā ar </w:t>
      </w:r>
      <w:r w:rsidR="007E60D0">
        <w:t xml:space="preserve">Ministru kabineta 2006.gada 19.decembra noteikumiem Nr. 1014 „Noteikumi par Latvijas </w:t>
      </w:r>
      <w:r w:rsidR="00F3731C" w:rsidRPr="007E60D0">
        <w:t>būvnormatīvu</w:t>
      </w:r>
      <w:r w:rsidR="00F3731C" w:rsidRPr="00F3731C">
        <w:t xml:space="preserve"> LBN 501</w:t>
      </w:r>
      <w:r w:rsidR="00F3731C">
        <w:noBreakHyphen/>
      </w:r>
      <w:r w:rsidR="00F3731C" w:rsidRPr="00F3731C">
        <w:t xml:space="preserve">06 </w:t>
      </w:r>
      <w:r w:rsidR="00F3731C">
        <w:t>„</w:t>
      </w:r>
      <w:r w:rsidR="00F3731C" w:rsidRPr="00F3731C">
        <w:t>Būvizmaksu noteikšanas kārtība”</w:t>
      </w:r>
      <w:r w:rsidR="007E60D0">
        <w:t>”</w:t>
      </w:r>
      <w:r w:rsidR="00F3731C" w:rsidRPr="00F3731C">
        <w:t xml:space="preserve"> darbaspēka izmaksas un darba devēja sociālā nodokļa maksājumi tiek norādīti atsevišķi, lai gan tos saista tieša funkcionāla sakarība</w:t>
      </w:r>
      <w:r w:rsidR="00A03564">
        <w:t>. T</w:t>
      </w:r>
      <w:r w:rsidR="00F3731C" w:rsidRPr="00F3731C">
        <w:t>ā rezultātā, izmainoties darbaspēka izmaksām, izmainās arī sociālā nodokļa maksājumi</w:t>
      </w:r>
      <w:r w:rsidR="00A03564">
        <w:t>. L</w:t>
      </w:r>
      <w:r w:rsidR="00F3731C" w:rsidRPr="00F3731C">
        <w:t xml:space="preserve">īdz ar to indeksācijas gadījumā darbaspēka komponentei ir daudz lielāks īpatsvars, </w:t>
      </w:r>
      <w:r w:rsidR="00A03564">
        <w:t>savukārt</w:t>
      </w:r>
      <w:r w:rsidR="00F3731C" w:rsidRPr="00F3731C">
        <w:t xml:space="preserve"> būvmateriālu izmaksu īpatsvars kopējās izmaksu izmaiņās ievērojami samazinās.</w:t>
      </w:r>
      <w:r w:rsidR="00F3731C">
        <w:t xml:space="preserve"> </w:t>
      </w:r>
      <w:r w:rsidR="00A03564">
        <w:t>Tādējādi</w:t>
      </w:r>
      <w:r w:rsidR="00904D01">
        <w:t xml:space="preserve"> tiesa nav ņēmusi vērā, ka</w:t>
      </w:r>
      <w:r w:rsidR="00904D01" w:rsidRPr="00904D01">
        <w:t xml:space="preserve"> inflācijas radītais izdevumu pieaugums</w:t>
      </w:r>
      <w:r w:rsidR="00904D01">
        <w:t xml:space="preserve"> faktiski ir</w:t>
      </w:r>
      <w:r w:rsidR="00904D01" w:rsidRPr="00904D01">
        <w:t xml:space="preserve"> 577</w:t>
      </w:r>
      <w:r w:rsidR="00904D01">
        <w:t> </w:t>
      </w:r>
      <w:r w:rsidR="00904D01" w:rsidRPr="00904D01">
        <w:t>293,36</w:t>
      </w:r>
      <w:r w:rsidR="00904D01">
        <w:t> </w:t>
      </w:r>
      <w:r w:rsidR="00904D01" w:rsidRPr="00904D01">
        <w:rPr>
          <w:i/>
          <w:iCs/>
        </w:rPr>
        <w:t>euro</w:t>
      </w:r>
      <w:r w:rsidR="00904D01" w:rsidRPr="00904D01">
        <w:t xml:space="preserve">, kas </w:t>
      </w:r>
      <w:r w:rsidR="00A03564">
        <w:t>attiecīgi</w:t>
      </w:r>
      <w:r w:rsidR="00904D01">
        <w:t xml:space="preserve"> </w:t>
      </w:r>
      <w:r w:rsidR="00904D01" w:rsidRPr="00904D01">
        <w:t>samazina ieņēmumu un izdevumu starpību</w:t>
      </w:r>
      <w:r w:rsidR="00904D01">
        <w:t xml:space="preserve"> </w:t>
      </w:r>
      <w:r w:rsidR="00904D01" w:rsidRPr="00904D01">
        <w:t xml:space="preserve">un ietekmē pieteicējas </w:t>
      </w:r>
      <w:r w:rsidR="00283FA1">
        <w:t>neiegūto</w:t>
      </w:r>
      <w:r w:rsidR="00904D01" w:rsidRPr="00904D01">
        <w:t xml:space="preserve"> peļņu.</w:t>
      </w:r>
    </w:p>
    <w:p w14:paraId="3ACC06CA" w14:textId="77777777" w:rsidR="00C33A54" w:rsidRDefault="00C33A54" w:rsidP="00E0632D">
      <w:pPr>
        <w:spacing w:line="276" w:lineRule="auto"/>
        <w:ind w:firstLine="720"/>
        <w:jc w:val="both"/>
      </w:pPr>
    </w:p>
    <w:p w14:paraId="15589111" w14:textId="235919F2" w:rsidR="005C7258" w:rsidRPr="002E6FA1" w:rsidRDefault="00C33A54" w:rsidP="00E0632D">
      <w:pPr>
        <w:spacing w:line="276" w:lineRule="auto"/>
        <w:ind w:firstLine="720"/>
        <w:jc w:val="both"/>
      </w:pPr>
      <w:r>
        <w:t>[5]</w:t>
      </w:r>
      <w:r w:rsidR="00D510CB">
        <w:t> </w:t>
      </w:r>
      <w:r w:rsidR="00435A60" w:rsidRPr="002E6FA1">
        <w:t>Sen</w:t>
      </w:r>
      <w:r w:rsidR="00BE1178" w:rsidRPr="002E6FA1">
        <w:t>atoru kolēģija</w:t>
      </w:r>
      <w:r w:rsidR="00435A60" w:rsidRPr="002E6FA1">
        <w:t xml:space="preserve"> </w:t>
      </w:r>
      <w:r w:rsidR="00B52B0E" w:rsidRPr="002E6FA1">
        <w:t>atzīst</w:t>
      </w:r>
      <w:r w:rsidR="00435A60" w:rsidRPr="002E6FA1">
        <w:t>, ka</w:t>
      </w:r>
      <w:r w:rsidR="005C7258" w:rsidRPr="002E6FA1">
        <w:t xml:space="preserve"> </w:t>
      </w:r>
      <w:r>
        <w:t xml:space="preserve">šā lēmuma 4.punktā norādītais </w:t>
      </w:r>
      <w:r w:rsidR="005C7258" w:rsidRPr="002E6FA1">
        <w:t>atbildētājas iebildum</w:t>
      </w:r>
      <w:r w:rsidR="00283FA1">
        <w:t>s</w:t>
      </w:r>
      <w:r w:rsidR="005C7258" w:rsidRPr="002E6FA1">
        <w:t xml:space="preserve"> par to, ka neiegūtās peļņas apmērs būtu jāsamazina par inflācijas radīto būvniecības izmaksu pieaugumu, nav pamatot</w:t>
      </w:r>
      <w:r w:rsidR="00283FA1">
        <w:t>s</w:t>
      </w:r>
      <w:r w:rsidR="005C7258" w:rsidRPr="002E6FA1">
        <w:t xml:space="preserve"> turpmāk norādīto apsvērumu dēļ.</w:t>
      </w:r>
    </w:p>
    <w:p w14:paraId="3105DA50" w14:textId="3EE12951" w:rsidR="00F702F3" w:rsidRPr="00F702F3" w:rsidRDefault="00C33A54" w:rsidP="00E0632D">
      <w:pPr>
        <w:tabs>
          <w:tab w:val="num" w:pos="720"/>
        </w:tabs>
        <w:spacing w:line="276" w:lineRule="auto"/>
        <w:ind w:firstLine="720"/>
        <w:jc w:val="both"/>
      </w:pPr>
      <w:r>
        <w:t>P</w:t>
      </w:r>
      <w:r w:rsidR="006F5392" w:rsidRPr="006F5392">
        <w:t xml:space="preserve">irmkārt, kā to konstatēja tiesa </w:t>
      </w:r>
      <w:r>
        <w:t xml:space="preserve">pārsūdzētā </w:t>
      </w:r>
      <w:r w:rsidR="006F5392" w:rsidRPr="006F5392">
        <w:t>sprieduma 14.3.punktā, no iepirkuma nolikuma 12.2.3.punkta nepārprotami izriet, ka pretendentam finanšu piedāvājumā bija jāiekļauj visas izmaksas un ar līguma izpildi saistītie riski – arī iespējamās izmaiņas valsts ekonomiskajā situācijā, tostarp inflācija. Tāpat nolikums paredzēja, ka pretendents nav tiesīgs prasīt atlīdzības palielināšanu jebkāda iemesla dēļ, ja vien tas nav tieši paredzēts līgumā. Otrkārt, izskatāmajā gadījumā iepirkuma līguma projektā nebija paredzēta būvdarbu cenas indeksācija inflācijas vai deflācijas dēļ</w:t>
      </w:r>
      <w:r w:rsidR="006F5392">
        <w:t>. T</w:t>
      </w:r>
      <w:r w:rsidR="006F5392" w:rsidRPr="006F5392">
        <w:t xml:space="preserve">ādējādi inflācija bija apzināts uzņēmējdarbības risks, kas tika ietverts piedāvātajā cenā. Treškārt, atbildētājas norādītā inflācijas summa ir balstīta uz teorētisku pieņēmumu, piemērojot būvniecības izmaksu indeksu „būvniecība – pavisam”, lai gan šāda indeksācija nav paredzēta ne iepirkuma nolikumā, ne līguma projektā. </w:t>
      </w:r>
      <w:r w:rsidR="007B3EED">
        <w:t>Ceturtkārt</w:t>
      </w:r>
      <w:r w:rsidR="006F5392" w:rsidRPr="006F5392">
        <w:t xml:space="preserve">, kā atzina tiesa, būvdarbu izpildes periodā būvniecības izmaksu svārstības bija salīdzinoši </w:t>
      </w:r>
      <w:r w:rsidR="006F5392" w:rsidRPr="00F702F3">
        <w:t xml:space="preserve">nelielas, kas neapstiprina atbildētājas apgalvojumu par būtisku un neizbēgamu plānotās peļņas </w:t>
      </w:r>
      <w:r w:rsidR="00F702F3" w:rsidRPr="00F702F3">
        <w:t xml:space="preserve">samazinājumu inflācijas dēļ. </w:t>
      </w:r>
      <w:r w:rsidR="007B3EED">
        <w:t>Visbeidzot,</w:t>
      </w:r>
      <w:r w:rsidR="00F702F3" w:rsidRPr="00F702F3">
        <w:t xml:space="preserve"> </w:t>
      </w:r>
      <w:r w:rsidR="00F702F3">
        <w:t xml:space="preserve">tiesa atzina, ka </w:t>
      </w:r>
      <w:r w:rsidR="00F702F3" w:rsidRPr="00F702F3">
        <w:t xml:space="preserve">projekta īstenošanas laiks – divi gadi – bija pietiekami īss, lai pieteicēja varētu ticami prognozēt cenu izmaiņas. </w:t>
      </w:r>
      <w:r w:rsidR="006F5392" w:rsidRPr="006F5392">
        <w:t xml:space="preserve">Līdz ar to senatoru kolēģijai nav pamata uzskatīt, ka </w:t>
      </w:r>
      <w:r w:rsidR="00F702F3" w:rsidRPr="00F702F3">
        <w:t xml:space="preserve">konkrētajā gadījumā </w:t>
      </w:r>
      <w:r w:rsidR="006F5392" w:rsidRPr="006F5392">
        <w:t xml:space="preserve">cenu svārstību dēļ </w:t>
      </w:r>
      <w:r w:rsidR="00F702F3">
        <w:t xml:space="preserve">būtu </w:t>
      </w:r>
      <w:r w:rsidR="007B3EED">
        <w:t xml:space="preserve">bijis </w:t>
      </w:r>
      <w:r w:rsidR="006F5392" w:rsidRPr="006F5392">
        <w:t>jākoriģē pieteicējas paredzam</w:t>
      </w:r>
      <w:r>
        <w:t>o</w:t>
      </w:r>
      <w:r w:rsidR="006F5392" w:rsidRPr="006F5392">
        <w:t xml:space="preserve"> peļņ</w:t>
      </w:r>
      <w:r>
        <w:t>u</w:t>
      </w:r>
      <w:r w:rsidR="006F5392" w:rsidRPr="006F5392">
        <w:t xml:space="preserve">. </w:t>
      </w:r>
      <w:r w:rsidR="00F702F3" w:rsidRPr="00F702F3">
        <w:t>Senatoru kolēģija norāda, ka n</w:t>
      </w:r>
      <w:r w:rsidR="006F5392" w:rsidRPr="006F5392">
        <w:t xml:space="preserve">eiegūtā peļņa nosakāma analogi peļņai, kādu uzvarējušais pretendents gūtu līguma izpildes gadījumā, proti, saskaņā ar līguma noteikumiem un neatkarīgi no izmaksu svārstībām, kas bija izpildītāja uzņemts risks. Atbildētājas pozīcija faktiski mēģina pārrēķināt neiegūto peļņu, it kā līgums būtu izpildāms ar izmaksu indeksāciju, </w:t>
      </w:r>
      <w:r w:rsidR="00F702F3" w:rsidRPr="00F702F3">
        <w:t>lai gan līgumā šāds mehānisms nav paredzēts.</w:t>
      </w:r>
    </w:p>
    <w:p w14:paraId="1240834C" w14:textId="7F40A7CF" w:rsidR="006F5392" w:rsidRPr="006F5392" w:rsidRDefault="006F5392" w:rsidP="00E0632D">
      <w:pPr>
        <w:tabs>
          <w:tab w:val="num" w:pos="720"/>
        </w:tabs>
        <w:spacing w:line="276" w:lineRule="auto"/>
        <w:ind w:firstLine="720"/>
        <w:jc w:val="both"/>
      </w:pPr>
      <w:r w:rsidRPr="006F5392">
        <w:t xml:space="preserve">Atbildētāja norāda, ka tiesa nepamatoti balstījusies uz Ekonomikas ministrijas vadlīnijām par līguma cenas indeksāciju. Tomēr tiesa tās neizmantoja, lai piemērotu indeksāciju, bet gan aprakstoši, lai ilustrētu risku sadalījumu. Tā kā līgumā indeksācija nav paredzēta, jebkura indeksācijas metodoloģija, tostarp </w:t>
      </w:r>
      <w:r w:rsidR="00F702F3">
        <w:t xml:space="preserve">arī </w:t>
      </w:r>
      <w:r w:rsidRPr="006F5392">
        <w:t>atbildētājas piedāvātā, ir neattiecināma.</w:t>
      </w:r>
    </w:p>
    <w:p w14:paraId="4FF9A5B1" w14:textId="629A314B" w:rsidR="006F5392" w:rsidRPr="006F5392" w:rsidRDefault="006F5392" w:rsidP="00E0632D">
      <w:pPr>
        <w:tabs>
          <w:tab w:val="num" w:pos="720"/>
        </w:tabs>
        <w:spacing w:line="276" w:lineRule="auto"/>
        <w:ind w:firstLine="720"/>
        <w:jc w:val="both"/>
      </w:pPr>
      <w:r w:rsidRPr="006F5392">
        <w:t xml:space="preserve">Ņemot vērā minēto, atbildētājas iebildumi par neiegūtās peļņas samazināšanu inflācijas dēļ nav </w:t>
      </w:r>
      <w:r w:rsidR="00F702F3">
        <w:t>tiesiski</w:t>
      </w:r>
      <w:r w:rsidRPr="006F5392">
        <w:t xml:space="preserve"> pamatoti un nevar tikt ņemti vērā, nosakot pieteicējai atlīdzināmās neiegūtās peļņas apmēru.</w:t>
      </w:r>
      <w:r w:rsidR="00F702F3">
        <w:t xml:space="preserve"> Rajona tiesas secinājumi </w:t>
      </w:r>
      <w:r w:rsidR="007B3EED">
        <w:t xml:space="preserve">tālab </w:t>
      </w:r>
      <w:r w:rsidR="00F702F3">
        <w:t>ir pamatoti.</w:t>
      </w:r>
    </w:p>
    <w:p w14:paraId="77221703" w14:textId="77777777" w:rsidR="005C7258" w:rsidRDefault="005C7258" w:rsidP="00E0632D">
      <w:pPr>
        <w:spacing w:line="276" w:lineRule="auto"/>
        <w:ind w:firstLine="720"/>
        <w:jc w:val="both"/>
      </w:pPr>
    </w:p>
    <w:p w14:paraId="1EFFB011" w14:textId="332BEC3C" w:rsidR="00001EA3" w:rsidRDefault="00435A60" w:rsidP="00E0632D">
      <w:pPr>
        <w:spacing w:line="276" w:lineRule="auto"/>
        <w:ind w:firstLine="720"/>
        <w:jc w:val="both"/>
      </w:pPr>
      <w:r>
        <w:t>[</w:t>
      </w:r>
      <w:r w:rsidR="00580A0C">
        <w:t>6</w:t>
      </w:r>
      <w:r w:rsidR="00A90E5C">
        <w:t>] </w:t>
      </w:r>
      <w:bookmarkStart w:id="1" w:name="_Toc208267208"/>
      <w:r w:rsidR="00C84D92">
        <w:t>Atbildētāja vēl</w:t>
      </w:r>
      <w:r w:rsidR="00922D1B">
        <w:t xml:space="preserve"> </w:t>
      </w:r>
      <w:r w:rsidR="005C7258">
        <w:t>iebilst, ka t</w:t>
      </w:r>
      <w:r w:rsidR="00035E10" w:rsidRPr="00001EA3">
        <w:t xml:space="preserve">iesa nav ņēmusi vērā, ka pieteicējai ar lielu ticamību </w:t>
      </w:r>
      <w:r w:rsidR="00FB4122">
        <w:t xml:space="preserve">būtu </w:t>
      </w:r>
      <w:r w:rsidR="00035E10" w:rsidRPr="00001EA3">
        <w:t>rad</w:t>
      </w:r>
      <w:r w:rsidR="00FB4122">
        <w:t>ušies</w:t>
      </w:r>
      <w:r w:rsidR="00035E10" w:rsidRPr="00001EA3">
        <w:t xml:space="preserve"> papildu izdevumi attiecībā uz inženieru sistēmām arī garantijas periodā, ko pieteicēja bija piedāvājusi </w:t>
      </w:r>
      <w:r w:rsidR="00001EA3">
        <w:t>piecus </w:t>
      </w:r>
      <w:r w:rsidR="00035E10" w:rsidRPr="00001EA3">
        <w:t>gadus</w:t>
      </w:r>
      <w:bookmarkEnd w:id="1"/>
      <w:r w:rsidR="00035E10" w:rsidRPr="00001EA3">
        <w:t xml:space="preserve">. </w:t>
      </w:r>
      <w:r w:rsidR="00001EA3" w:rsidRPr="00001EA3">
        <w:t xml:space="preserve">Tiesa nepareizi </w:t>
      </w:r>
      <w:r w:rsidR="008B506C">
        <w:t>ir atsaukusies</w:t>
      </w:r>
      <w:r w:rsidR="00001EA3" w:rsidRPr="00001EA3">
        <w:t xml:space="preserve"> uz iepirkuma nolikumu, uzskatot, ka piedāvājumā bija jānorāda cena par iekārtu apkopi, bet nolikumā bija prasīts tikai piedāvāt izmaksu apjomu gadā. Tiesa secināja, ka apkopes jāveic trīs gadu laikā, bet nolikumā apkopes periods </w:t>
      </w:r>
      <w:r w:rsidR="008B506C">
        <w:t>nebija</w:t>
      </w:r>
      <w:r w:rsidR="00001EA3" w:rsidRPr="00001EA3">
        <w:t xml:space="preserve"> prasīts, </w:t>
      </w:r>
      <w:r w:rsidR="008B506C">
        <w:t>savukārt</w:t>
      </w:r>
      <w:r w:rsidR="00001EA3" w:rsidRPr="00001EA3">
        <w:t xml:space="preserve"> piedāvājumā garantijas periods bija 60</w:t>
      </w:r>
      <w:r w:rsidR="00AB4167">
        <w:t> </w:t>
      </w:r>
      <w:r w:rsidR="00001EA3" w:rsidRPr="00001EA3">
        <w:t xml:space="preserve">mēneši jeb </w:t>
      </w:r>
      <w:r w:rsidR="00001EA3">
        <w:t>pieci</w:t>
      </w:r>
      <w:r w:rsidR="00001EA3" w:rsidRPr="00001EA3">
        <w:t xml:space="preserve"> gadi. Saskaņā ar likumu pasūtītājs nevar mainīt </w:t>
      </w:r>
      <w:r w:rsidR="008B506C">
        <w:t>f</w:t>
      </w:r>
      <w:r w:rsidR="00001EA3" w:rsidRPr="00001EA3">
        <w:t>inanšu piedāvājuma formas kritērijus, un piedāvātais izmaksu apjoms 0,33</w:t>
      </w:r>
      <w:r w:rsidR="00AB4167">
        <w:t> </w:t>
      </w:r>
      <w:r w:rsidR="00001EA3" w:rsidRPr="00001EA3">
        <w:t>L</w:t>
      </w:r>
      <w:r w:rsidR="00001EA3">
        <w:t>s</w:t>
      </w:r>
      <w:r w:rsidR="00AB4167">
        <w:t xml:space="preserve"> </w:t>
      </w:r>
      <w:r w:rsidR="00001EA3" w:rsidRPr="00001EA3">
        <w:t xml:space="preserve">gadā attiecas uz garantijas periodu </w:t>
      </w:r>
      <w:r w:rsidR="00001EA3">
        <w:t>pieci</w:t>
      </w:r>
      <w:r w:rsidR="00001EA3" w:rsidRPr="00001EA3">
        <w:t xml:space="preserve"> gadi</w:t>
      </w:r>
      <w:r w:rsidR="00001EA3">
        <w:t xml:space="preserve">. Tas nozīmē, ka pieteicējas izmaksas piecu gadu apkopes periodam būtu </w:t>
      </w:r>
      <w:r w:rsidR="00001EA3" w:rsidRPr="00001EA3">
        <w:t>129</w:t>
      </w:r>
      <w:r w:rsidR="00001EA3">
        <w:t> </w:t>
      </w:r>
      <w:r w:rsidR="00001EA3" w:rsidRPr="00001EA3">
        <w:t>498,35</w:t>
      </w:r>
      <w:r w:rsidR="00001EA3">
        <w:t> Ls</w:t>
      </w:r>
      <w:r w:rsidR="00001EA3" w:rsidRPr="00001EA3">
        <w:t xml:space="preserve"> jeb 184</w:t>
      </w:r>
      <w:r w:rsidR="00001EA3">
        <w:t> </w:t>
      </w:r>
      <w:r w:rsidR="00001EA3" w:rsidRPr="00001EA3">
        <w:t>259,55</w:t>
      </w:r>
      <w:r w:rsidR="00001EA3">
        <w:t> </w:t>
      </w:r>
      <w:r w:rsidR="00001EA3" w:rsidRPr="00001EA3">
        <w:rPr>
          <w:i/>
          <w:iCs/>
        </w:rPr>
        <w:t>euro</w:t>
      </w:r>
      <w:r w:rsidR="00001EA3">
        <w:t>.</w:t>
      </w:r>
      <w:r w:rsidR="00001EA3" w:rsidRPr="00001EA3">
        <w:t xml:space="preserve"> Pieņēmums par trīs gadu apkopes periodu rada pretrunu ar uzņēmēja saistībām par defektu novēršanu </w:t>
      </w:r>
      <w:r w:rsidR="008C31DF">
        <w:t>piecu</w:t>
      </w:r>
      <w:r w:rsidR="00001EA3" w:rsidRPr="00001EA3">
        <w:t xml:space="preserve"> gadu laikā.</w:t>
      </w:r>
    </w:p>
    <w:p w14:paraId="01E65CD9" w14:textId="77777777" w:rsidR="00580A0C" w:rsidRDefault="00580A0C" w:rsidP="00E0632D">
      <w:pPr>
        <w:spacing w:line="276" w:lineRule="auto"/>
        <w:ind w:firstLine="720"/>
        <w:jc w:val="both"/>
      </w:pPr>
    </w:p>
    <w:p w14:paraId="032AF91B" w14:textId="70E7BF43" w:rsidR="00435A60" w:rsidRDefault="00580A0C" w:rsidP="00E0632D">
      <w:pPr>
        <w:spacing w:line="276" w:lineRule="auto"/>
        <w:ind w:firstLine="720"/>
        <w:jc w:val="both"/>
      </w:pPr>
      <w:r>
        <w:t>[7]</w:t>
      </w:r>
      <w:r w:rsidR="00D510CB">
        <w:t> </w:t>
      </w:r>
      <w:r w:rsidR="005C7258">
        <w:t xml:space="preserve">Senatoru kolēģija </w:t>
      </w:r>
      <w:r w:rsidR="008B506C">
        <w:t xml:space="preserve">arī </w:t>
      </w:r>
      <w:r>
        <w:t xml:space="preserve">šā lēmuma 6.punktā minēto </w:t>
      </w:r>
      <w:r w:rsidR="005C7258">
        <w:t>iebildumu noraida kā nepamatotu.</w:t>
      </w:r>
    </w:p>
    <w:p w14:paraId="31504CE4" w14:textId="3B912FD2" w:rsidR="008B506C" w:rsidRPr="008B506C" w:rsidRDefault="005C7258" w:rsidP="00E0632D">
      <w:pPr>
        <w:spacing w:line="276" w:lineRule="auto"/>
        <w:ind w:firstLine="720"/>
        <w:jc w:val="both"/>
      </w:pPr>
      <w:r w:rsidRPr="008B506C">
        <w:t>No tiesas sprieduma izriet, ka t</w:t>
      </w:r>
      <w:r w:rsidR="00BB4A58" w:rsidRPr="008B506C">
        <w:t xml:space="preserve">iesa, izvērtējot konkursa nolikuma prasības, secināja, ka nolikums vispār neparedz pretendentam </w:t>
      </w:r>
      <w:r w:rsidR="008B506C" w:rsidRPr="008B506C">
        <w:t>f</w:t>
      </w:r>
      <w:r w:rsidR="00BB4A58" w:rsidRPr="008B506C">
        <w:t>inanšu piedāvājumā norādīt inženiersistēmu un iekārtu apkalpošanas periodu</w:t>
      </w:r>
      <w:r w:rsidR="008B506C" w:rsidRPr="008B506C">
        <w:t xml:space="preserve"> –</w:t>
      </w:r>
      <w:r w:rsidR="00BB4A58" w:rsidRPr="008B506C">
        <w:t xml:space="preserve"> citiem vārdiem sakot, piedāvāt savu termiņu. Tiesa konstatēja, ka nolikum</w:t>
      </w:r>
      <w:r w:rsidR="008B506C" w:rsidRPr="008B506C">
        <w:t xml:space="preserve">a </w:t>
      </w:r>
      <w:r w:rsidR="00BB4A58" w:rsidRPr="008B506C">
        <w:t xml:space="preserve">9.3.punkts un 8.pielikuma 8.punkts </w:t>
      </w:r>
      <w:r w:rsidR="008B506C" w:rsidRPr="008B506C">
        <w:t xml:space="preserve">tiešā tekstā </w:t>
      </w:r>
      <w:r w:rsidR="00BB4A58" w:rsidRPr="008B506C">
        <w:t>paredz to, ka tiek slēgta papildvienošanās par inženiersistēmu un iekārtu regulāro apkopi uz trim gadiem</w:t>
      </w:r>
      <w:r w:rsidR="008B506C" w:rsidRPr="008B506C">
        <w:t xml:space="preserve">, neparedzot </w:t>
      </w:r>
      <w:r w:rsidR="00BB4A58" w:rsidRPr="008B506C">
        <w:t>citas variācijas. Tas nozīmē, ka šis apkopes periods bija fiksēts uz tri</w:t>
      </w:r>
      <w:r w:rsidR="00580A0C">
        <w:t>m</w:t>
      </w:r>
      <w:r w:rsidR="00BB4A58" w:rsidRPr="008B506C">
        <w:t xml:space="preserve"> gadiem.</w:t>
      </w:r>
    </w:p>
    <w:p w14:paraId="493BADEB" w14:textId="07973C3A" w:rsidR="005C7258" w:rsidRPr="008B506C" w:rsidRDefault="008B506C" w:rsidP="00E0632D">
      <w:pPr>
        <w:spacing w:line="276" w:lineRule="auto"/>
        <w:ind w:firstLine="720"/>
        <w:jc w:val="both"/>
      </w:pPr>
      <w:r w:rsidRPr="008B506C">
        <w:t>Tam, ka nolikumā nav ietverta prasība pretendentiem norādīt apkopes periodu, piekrīt arī</w:t>
      </w:r>
      <w:r w:rsidR="00BB4A58" w:rsidRPr="008B506C">
        <w:t xml:space="preserve"> atbildētāja</w:t>
      </w:r>
      <w:r w:rsidRPr="008B506C">
        <w:t>.</w:t>
      </w:r>
    </w:p>
    <w:p w14:paraId="538C82C2" w14:textId="393852BA" w:rsidR="005C7258" w:rsidRPr="00AB4167" w:rsidRDefault="00BB4A58" w:rsidP="00E0632D">
      <w:pPr>
        <w:spacing w:line="276" w:lineRule="auto"/>
        <w:ind w:firstLine="720"/>
        <w:jc w:val="both"/>
      </w:pPr>
      <w:r w:rsidRPr="008B506C">
        <w:t xml:space="preserve">Tāpat tiesa konstatēja, ka pieteicēja savā </w:t>
      </w:r>
      <w:r w:rsidR="008B506C" w:rsidRPr="008B506C">
        <w:t>f</w:t>
      </w:r>
      <w:r w:rsidRPr="008B506C">
        <w:t>inanšu piedāvājumā attiecībā uz inženiersistēmu un iekārtu apkopes periodu bija norādījusi to, ka apkopi veiks par 0,33</w:t>
      </w:r>
      <w:r w:rsidR="008B506C" w:rsidRPr="008B506C">
        <w:t> </w:t>
      </w:r>
      <w:r w:rsidRPr="008B506C">
        <w:t>Ls gadā, piešķirot atlaidi 25 899,67</w:t>
      </w:r>
      <w:r w:rsidR="008B506C" w:rsidRPr="008B506C">
        <w:t> </w:t>
      </w:r>
      <w:r w:rsidRPr="008B506C">
        <w:t>Ls gadā, vienlaikus sniedzot atsauci uz nolikuma 9.3.punktu</w:t>
      </w:r>
      <w:r w:rsidRPr="00B66AA6">
        <w:t>, saskaņā ar kuru inženiersistēmu un iekārtu regulārās apkopes termiņš ir trīs gadi, nevis pieci gadi. Turklāt tiesa vēl papildus konstatēja, ka pati atbildētāja 2013.gada 26.aprīļa paskaidrojumos Iepirkumu uzraudzības birojam</w:t>
      </w:r>
      <w:r w:rsidR="00B66AA6" w:rsidRPr="00B66AA6">
        <w:t xml:space="preserve"> bija</w:t>
      </w:r>
      <w:r w:rsidRPr="00B66AA6">
        <w:t xml:space="preserve"> norādīj</w:t>
      </w:r>
      <w:r w:rsidR="00B66AA6" w:rsidRPr="00B66AA6">
        <w:t>usi</w:t>
      </w:r>
      <w:r w:rsidRPr="00B66AA6">
        <w:t>, ka tās izvirzītās prasības inženiersistēmas un iekārtu regulārās apkopes izmaksām š</w:t>
      </w:r>
      <w:r w:rsidR="00580A0C">
        <w:t>ā</w:t>
      </w:r>
      <w:r w:rsidRPr="00B66AA6">
        <w:t xml:space="preserve"> iepirkuma līguma ietvaros ir pamatotas ar to, ka apkope tiek nodrošināta tikai trīs gadus, bet tikpat svarīgi atbildētājai ir plānot iespējami zemākas izmaksas turpmākā ēkas ekspluatācijas periodā. Turklāt </w:t>
      </w:r>
      <w:r w:rsidR="00B66AA6" w:rsidRPr="00B66AA6">
        <w:t>atbildētajai</w:t>
      </w:r>
      <w:r w:rsidRPr="00B66AA6">
        <w:t xml:space="preserve"> ir būtiski vērtēt iekārtu apkalpošanas izmaksas, lai izvairītos no iespējamās situācijas, kad tiek piedāvātas salīdzinoši lētas iekārtas, kurām parasti ir nesamērīgi augstas apkopes izmaksas. Šādā situācijā, tā kā izvēlētais pretendents iekārtu apkopi īstenos tikai trīs gadus, pēc šī tr</w:t>
      </w:r>
      <w:r w:rsidR="00580A0C">
        <w:t>īs</w:t>
      </w:r>
      <w:r w:rsidRPr="00B66AA6">
        <w:t xml:space="preserve"> gadu termiņa beigām </w:t>
      </w:r>
      <w:r w:rsidR="00B66AA6" w:rsidRPr="00B66AA6">
        <w:t>atbildētajai</w:t>
      </w:r>
      <w:r w:rsidRPr="00B66AA6">
        <w:t xml:space="preserve"> būtu jārēķinās ar ievērojamiem izdevumiem. Tādējādi </w:t>
      </w:r>
      <w:r w:rsidR="00B66AA6" w:rsidRPr="00B66AA6">
        <w:t>no minētā arī senatoru kolēģija gūst pārliecību tam</w:t>
      </w:r>
      <w:r w:rsidRPr="00B66AA6">
        <w:t xml:space="preserve">, ka atbildētājai bija svarīgi plānot iespējami zemākas izmaksas turpmākā ēkas ekspluatācijas periodā pēc trim </w:t>
      </w:r>
      <w:r w:rsidRPr="00AB4167">
        <w:t xml:space="preserve">gadiem. </w:t>
      </w:r>
      <w:r w:rsidR="00B66AA6" w:rsidRPr="00AB4167">
        <w:t>Citiem vārdiem, tas nozīmē, ka pēc trīs gadu perioda ēkas apkopes izmaksas sedz pati atbildētāja.</w:t>
      </w:r>
    </w:p>
    <w:p w14:paraId="36227C6B" w14:textId="5691D587" w:rsidR="00BB4A58" w:rsidRPr="00B66AA6" w:rsidRDefault="00BE0DB9" w:rsidP="00E0632D">
      <w:pPr>
        <w:spacing w:line="276" w:lineRule="auto"/>
        <w:ind w:firstLine="720"/>
        <w:jc w:val="both"/>
      </w:pPr>
      <w:r>
        <w:t>L</w:t>
      </w:r>
      <w:r w:rsidR="00BB4A58" w:rsidRPr="00AB4167">
        <w:t>ai arī atbildētāja kasācijas sūdzības 54</w:t>
      </w:r>
      <w:r w:rsidR="00BB4A58" w:rsidRPr="00B66AA6">
        <w:t>.punktā pamatoti ir norādījusi, ka iepirkuma līguma gadījumā pieteicējai būtu jānovērš iespējamie defekti inženiersistēmu iekārtām arī pēc trīs gadu termiņa, jo pieteicējas piedāvātais piecu gadu garantijas termiņš attiecas uz objektu kopumā, vienlaikus tas nenozīmē, ka arī inženiersistēmu un iekārtu apkope pieteicējai būtu jāveic ilgāk par trim gadiem, jo nolikums skaidri paredz</w:t>
      </w:r>
      <w:r w:rsidR="00B66AA6" w:rsidRPr="00B66AA6">
        <w:t>ēja</w:t>
      </w:r>
      <w:r w:rsidR="00BB4A58" w:rsidRPr="00B66AA6">
        <w:t>, ka līgums par inženiersistēmu un iekārtu apkopi tiek slēgts uz trim gadiem.</w:t>
      </w:r>
    </w:p>
    <w:p w14:paraId="1D64E891" w14:textId="41BD01DF" w:rsidR="00BB4A58" w:rsidRPr="00B66AA6" w:rsidRDefault="00B66AA6" w:rsidP="00E0632D">
      <w:pPr>
        <w:spacing w:line="276" w:lineRule="auto"/>
        <w:ind w:firstLine="720"/>
        <w:jc w:val="both"/>
      </w:pPr>
      <w:r w:rsidRPr="00B66AA6">
        <w:t>Līdz ar to</w:t>
      </w:r>
      <w:r w:rsidR="00BB4A58" w:rsidRPr="00B66AA6">
        <w:t xml:space="preserve"> </w:t>
      </w:r>
      <w:r w:rsidR="005C7258" w:rsidRPr="00B66AA6">
        <w:t>senatoru kolēģija</w:t>
      </w:r>
      <w:r w:rsidR="00BB4A58" w:rsidRPr="00B66AA6">
        <w:t xml:space="preserve"> atzīst, ka tiesa pamatoti lietā konstatēja, ka pieteicējai pēc ģenerāluzņēmēja līguma izpildes būtu </w:t>
      </w:r>
      <w:r w:rsidRPr="00B66AA6">
        <w:t xml:space="preserve">jāsniedz inženiersistēmu un iekārtu apkopes pakalpojumi par finanšu piedāvājumā norādītajām izmaksām </w:t>
      </w:r>
      <w:r w:rsidR="00BB4A58" w:rsidRPr="00B66AA6">
        <w:t>trīs</w:t>
      </w:r>
      <w:r w:rsidRPr="00B66AA6">
        <w:t xml:space="preserve"> – </w:t>
      </w:r>
      <w:r w:rsidR="00BB4A58" w:rsidRPr="00B66AA6">
        <w:t>nevis piecu</w:t>
      </w:r>
      <w:r w:rsidRPr="00B66AA6">
        <w:t xml:space="preserve"> –</w:t>
      </w:r>
      <w:r w:rsidR="00BB4A58" w:rsidRPr="00B66AA6">
        <w:t xml:space="preserve"> gadu laikā</w:t>
      </w:r>
      <w:r w:rsidRPr="00B66AA6">
        <w:t xml:space="preserve">. </w:t>
      </w:r>
      <w:r w:rsidR="00BE0DB9">
        <w:t xml:space="preserve">Attiecīgi tiesa arī pamatoti </w:t>
      </w:r>
      <w:r w:rsidRPr="00B66AA6">
        <w:t>samazināj</w:t>
      </w:r>
      <w:r w:rsidR="00BE0DB9">
        <w:t>a</w:t>
      </w:r>
      <w:r w:rsidR="00BB4A58" w:rsidRPr="00B66AA6">
        <w:t xml:space="preserve"> </w:t>
      </w:r>
      <w:r w:rsidRPr="00B66AA6">
        <w:t xml:space="preserve">pieteicējas norādīto </w:t>
      </w:r>
      <w:r w:rsidR="00BB4A58" w:rsidRPr="00B66AA6">
        <w:t>neiegūtās peļņas apmēr</w:t>
      </w:r>
      <w:r w:rsidRPr="00B66AA6">
        <w:t>u</w:t>
      </w:r>
      <w:r w:rsidR="00BE0DB9">
        <w:t xml:space="preserve"> par to summu, kas pieteicējai rastos, sniedzot minēto pakalpojumu trīs gadu laikā.</w:t>
      </w:r>
    </w:p>
    <w:p w14:paraId="12A2B5A1" w14:textId="60347A4D" w:rsidR="00B66AA6" w:rsidRPr="00B66AA6" w:rsidRDefault="00B66AA6" w:rsidP="00E0632D">
      <w:pPr>
        <w:spacing w:line="276" w:lineRule="auto"/>
        <w:ind w:firstLine="720"/>
        <w:jc w:val="both"/>
      </w:pPr>
    </w:p>
    <w:p w14:paraId="04F0E479" w14:textId="32D0169C" w:rsidR="004E3DA5" w:rsidRDefault="008C31DF" w:rsidP="00E0632D">
      <w:pPr>
        <w:spacing w:line="276" w:lineRule="auto"/>
        <w:ind w:firstLine="720"/>
        <w:jc w:val="both"/>
      </w:pPr>
      <w:bookmarkStart w:id="2" w:name="_Hlk220501723"/>
      <w:r>
        <w:t>[</w:t>
      </w:r>
      <w:r w:rsidR="00580A0C">
        <w:t>8</w:t>
      </w:r>
      <w:r>
        <w:t>] </w:t>
      </w:r>
      <w:r w:rsidR="00C84D92">
        <w:t>Visbeidzot,</w:t>
      </w:r>
      <w:r w:rsidR="00887F96">
        <w:t xml:space="preserve"> </w:t>
      </w:r>
      <w:r w:rsidR="00156FC0">
        <w:t xml:space="preserve">atbildētāja </w:t>
      </w:r>
      <w:r w:rsidR="00C84D92">
        <w:t xml:space="preserve">sūdzībā </w:t>
      </w:r>
      <w:r w:rsidR="007B5AE1">
        <w:t>norāda</w:t>
      </w:r>
      <w:r w:rsidR="00156FC0">
        <w:t>, ka tiesai</w:t>
      </w:r>
      <w:bookmarkStart w:id="3" w:name="_Toc208267210"/>
      <w:r w:rsidR="007B5AE1">
        <w:t xml:space="preserve"> </w:t>
      </w:r>
      <w:r w:rsidR="00156FC0" w:rsidRPr="00156FC0">
        <w:t xml:space="preserve">bija jāpiemēro Eiropas </w:t>
      </w:r>
      <w:r w:rsidR="00FB536C">
        <w:t xml:space="preserve">Savienības </w:t>
      </w:r>
      <w:r w:rsidR="00156FC0" w:rsidRPr="00156FC0">
        <w:t>tiesībās pastāvoš</w:t>
      </w:r>
      <w:r w:rsidR="007B5AE1">
        <w:t>ie</w:t>
      </w:r>
      <w:r w:rsidR="00156FC0" w:rsidRPr="00156FC0">
        <w:t xml:space="preserve"> kritērij</w:t>
      </w:r>
      <w:r w:rsidR="007B5AE1">
        <w:t>i</w:t>
      </w:r>
      <w:r w:rsidR="00156FC0" w:rsidRPr="00156FC0">
        <w:t xml:space="preserve"> tādu zaudējumu noteikšanai, kas rodas no zaudētas iespējas noslēgt līgumu</w:t>
      </w:r>
      <w:r w:rsidR="00156FC0">
        <w:t xml:space="preserve">, </w:t>
      </w:r>
      <w:r w:rsidR="00156FC0" w:rsidRPr="00156FC0">
        <w:t>lai novērstu pārmērīgas kompensācijas noteikšanu</w:t>
      </w:r>
      <w:bookmarkEnd w:id="3"/>
      <w:r w:rsidR="00156FC0">
        <w:t>.</w:t>
      </w:r>
      <w:r w:rsidR="000D6D68">
        <w:t xml:space="preserve"> </w:t>
      </w:r>
      <w:r w:rsidR="006447C1">
        <w:t>Proti,</w:t>
      </w:r>
      <w:r w:rsidR="007B5AE1">
        <w:t xml:space="preserve"> t</w:t>
      </w:r>
      <w:r w:rsidR="00FB536C" w:rsidRPr="00FB536C">
        <w:t>iesības uz atlīdzinājumu</w:t>
      </w:r>
      <w:r w:rsidR="000D6D68">
        <w:t xml:space="preserve"> pastāv tikai tad</w:t>
      </w:r>
      <w:r w:rsidR="00FB536C" w:rsidRPr="00FB536C">
        <w:t>, ja ir izpildīti trīs nosacījumi</w:t>
      </w:r>
      <w:r w:rsidR="003913AB">
        <w:t>:</w:t>
      </w:r>
      <w:r w:rsidR="00FB536C" w:rsidRPr="00FB536C">
        <w:t xml:space="preserve"> </w:t>
      </w:r>
      <w:r w:rsidR="003913AB">
        <w:t>1)</w:t>
      </w:r>
      <w:r w:rsidR="00C84D92">
        <w:t> </w:t>
      </w:r>
      <w:r w:rsidR="00FB536C" w:rsidRPr="00FB536C">
        <w:t xml:space="preserve">ja pārkāptās Eiropas Savienības tiesību normas mērķis ir piešķirt indivīdiem tiesības, </w:t>
      </w:r>
      <w:r w:rsidR="003913AB">
        <w:t>2)</w:t>
      </w:r>
      <w:r w:rsidR="00C84D92">
        <w:t> </w:t>
      </w:r>
      <w:r w:rsidR="00FB536C" w:rsidRPr="00FB536C">
        <w:t xml:space="preserve">ja šīs normas pārkāpums ir pietiekami būtisks un </w:t>
      </w:r>
      <w:r w:rsidR="003913AB">
        <w:t>3)</w:t>
      </w:r>
      <w:r w:rsidR="00C84D92">
        <w:t> </w:t>
      </w:r>
      <w:r w:rsidR="00FB536C" w:rsidRPr="00FB536C">
        <w:t>ja ir tieša cēloņsakarība starp šo pārkāpumu un indivīdiem nodarīto kaitējumu</w:t>
      </w:r>
      <w:r w:rsidR="00FB536C">
        <w:t xml:space="preserve">. </w:t>
      </w:r>
      <w:r w:rsidR="00FB536C" w:rsidRPr="00FB536C">
        <w:t xml:space="preserve">Tātad zaudējumu atlīdzinājums nepienākas par katru pārkāpumu, bet gan tikai par tādu, kas ir atzīstams par būtisku. </w:t>
      </w:r>
      <w:r w:rsidR="000B0514">
        <w:t>T</w:t>
      </w:r>
      <w:r w:rsidR="00FB536C" w:rsidRPr="00FB536C">
        <w:t xml:space="preserve">iesa </w:t>
      </w:r>
      <w:r w:rsidR="006447C1">
        <w:t>to nav izvērtējusi.</w:t>
      </w:r>
      <w:r w:rsidR="00FB536C" w:rsidRPr="00FB536C">
        <w:t xml:space="preserve"> </w:t>
      </w:r>
      <w:r w:rsidR="006447C1">
        <w:t>Tāpat t</w:t>
      </w:r>
      <w:r w:rsidR="00B2754E" w:rsidRPr="00B2754E">
        <w:t xml:space="preserve">iesa nav ņēmusi vērā pieteicējas peļņu, ko tā gūtu, nenoslēdzot līgumu ar </w:t>
      </w:r>
      <w:r w:rsidR="00BE7AC5">
        <w:t>at</w:t>
      </w:r>
      <w:r w:rsidR="00B2754E" w:rsidRPr="00B2754E">
        <w:t>bildētāju</w:t>
      </w:r>
      <w:r w:rsidR="000B0514">
        <w:t xml:space="preserve">, </w:t>
      </w:r>
      <w:r w:rsidR="00DD015B">
        <w:t>t.i.,</w:t>
      </w:r>
      <w:r w:rsidR="00B2754E" w:rsidRPr="00B2754E">
        <w:t xml:space="preserve"> </w:t>
      </w:r>
      <w:r w:rsidR="000B0514">
        <w:t>to</w:t>
      </w:r>
      <w:r w:rsidR="00B2754E" w:rsidRPr="00B2754E">
        <w:t>, ka pieteicēja faktiski guva peļņu no citiem līgumiem un ka tai bija iespēja gūt līdzvērtīgu vai lielāku peļņu citur</w:t>
      </w:r>
      <w:r w:rsidR="000B0514">
        <w:t>. T</w:t>
      </w:r>
      <w:r w:rsidR="00B2754E" w:rsidRPr="00B2754E">
        <w:t>ādējādi atlīdzinājumu šādos apstākļos var samazināt.</w:t>
      </w:r>
      <w:bookmarkStart w:id="4" w:name="_Toc208267212"/>
      <w:r w:rsidR="00BC43BD">
        <w:t xml:space="preserve"> </w:t>
      </w:r>
      <w:r w:rsidR="00BC43BD" w:rsidRPr="00BC43BD">
        <w:t>Konkrētajos apstākļos, kad pastāv augsta iespējamība pretendent</w:t>
      </w:r>
      <w:r w:rsidR="00BC43BD">
        <w:t>am</w:t>
      </w:r>
      <w:r w:rsidR="00BC43BD" w:rsidRPr="00BC43BD">
        <w:t xml:space="preserve"> uzvarēt iepirkumā</w:t>
      </w:r>
      <w:r w:rsidR="00BC43BD">
        <w:t>, t</w:t>
      </w:r>
      <w:r w:rsidR="00BC43BD" w:rsidRPr="00BC43BD">
        <w:t xml:space="preserve">iesai zaudējumu </w:t>
      </w:r>
      <w:r w:rsidR="00BC43BD">
        <w:t>atlīdzinājuma</w:t>
      </w:r>
      <w:r w:rsidR="00BC43BD" w:rsidRPr="00BC43BD">
        <w:t xml:space="preserve"> summai bija jāpiemēro koeficients, kas nevarēja būt augstāks par 50</w:t>
      </w:r>
      <w:bookmarkEnd w:id="4"/>
      <w:r w:rsidR="00C84D92">
        <w:t> </w:t>
      </w:r>
      <w:r w:rsidR="00BC43BD">
        <w:t>%.</w:t>
      </w:r>
      <w:r w:rsidR="000B0514">
        <w:t xml:space="preserve"> </w:t>
      </w:r>
      <w:r w:rsidR="006447C1">
        <w:t>T</w:t>
      </w:r>
      <w:r w:rsidR="004E3DA5" w:rsidRPr="004E3DA5">
        <w:t xml:space="preserve">iesa nav </w:t>
      </w:r>
      <w:r w:rsidR="006447C1">
        <w:t xml:space="preserve">arī </w:t>
      </w:r>
      <w:r w:rsidR="004E3DA5" w:rsidRPr="004E3DA5">
        <w:t xml:space="preserve">ņēmusi vērā, ka atbildētāja </w:t>
      </w:r>
      <w:r w:rsidR="00DD015B">
        <w:t>varēja</w:t>
      </w:r>
      <w:r w:rsidR="004E3DA5" w:rsidRPr="004E3DA5">
        <w:t xml:space="preserve"> pārtraukt iepirkuma procedūru, kas </w:t>
      </w:r>
      <w:r w:rsidR="00DD015B">
        <w:t xml:space="preserve">attiecīgi </w:t>
      </w:r>
      <w:r w:rsidR="004E3DA5" w:rsidRPr="004E3DA5">
        <w:t xml:space="preserve">samazina pieteicējas </w:t>
      </w:r>
      <w:r w:rsidR="00DD015B">
        <w:t>iespējas</w:t>
      </w:r>
      <w:r w:rsidR="004E3DA5" w:rsidRPr="004E3DA5">
        <w:t xml:space="preserve"> </w:t>
      </w:r>
      <w:r w:rsidR="004E3DA5">
        <w:t>ie</w:t>
      </w:r>
      <w:r w:rsidR="004E3DA5" w:rsidRPr="004E3DA5">
        <w:t xml:space="preserve">gūt līgumu. </w:t>
      </w:r>
      <w:r w:rsidR="00DD015B">
        <w:t>I</w:t>
      </w:r>
      <w:r w:rsidR="004E3DA5" w:rsidRPr="004E3DA5">
        <w:t>gnorējot šo nenoteiktību</w:t>
      </w:r>
      <w:r w:rsidR="004E3DA5">
        <w:t>,</w:t>
      </w:r>
      <w:r w:rsidR="00DD015B">
        <w:t xml:space="preserve"> tiesa</w:t>
      </w:r>
      <w:r w:rsidR="004E3DA5" w:rsidRPr="004E3DA5">
        <w:t xml:space="preserve"> </w:t>
      </w:r>
      <w:r w:rsidR="004E3DA5">
        <w:t>ir piešķīrusi</w:t>
      </w:r>
      <w:r w:rsidR="004E3DA5" w:rsidRPr="004E3DA5">
        <w:t xml:space="preserve"> pārmērīg</w:t>
      </w:r>
      <w:r w:rsidR="004E3DA5">
        <w:t>u</w:t>
      </w:r>
      <w:r w:rsidR="004E3DA5" w:rsidRPr="004E3DA5">
        <w:t xml:space="preserve"> kompensācij</w:t>
      </w:r>
      <w:r w:rsidR="004E3DA5">
        <w:t>u</w:t>
      </w:r>
      <w:r w:rsidR="004E3DA5" w:rsidRPr="004E3DA5">
        <w:t>.</w:t>
      </w:r>
    </w:p>
    <w:p w14:paraId="46C1540E" w14:textId="77777777" w:rsidR="00580A0C" w:rsidRDefault="00580A0C" w:rsidP="00E0632D">
      <w:pPr>
        <w:spacing w:line="276" w:lineRule="auto"/>
        <w:ind w:firstLine="720"/>
        <w:jc w:val="both"/>
      </w:pPr>
    </w:p>
    <w:p w14:paraId="2D14CF20" w14:textId="1D5E9A63" w:rsidR="005C7258" w:rsidRDefault="00580A0C" w:rsidP="00E0632D">
      <w:pPr>
        <w:spacing w:line="276" w:lineRule="auto"/>
        <w:ind w:firstLine="720"/>
        <w:jc w:val="both"/>
      </w:pPr>
      <w:r>
        <w:t>[9]</w:t>
      </w:r>
      <w:r w:rsidR="00D510CB">
        <w:t> </w:t>
      </w:r>
      <w:r w:rsidR="00435A60">
        <w:t>Sen</w:t>
      </w:r>
      <w:r w:rsidR="00BE1178">
        <w:t xml:space="preserve">atoru kolēģija </w:t>
      </w:r>
      <w:r w:rsidR="009315AC">
        <w:t xml:space="preserve">noraida </w:t>
      </w:r>
      <w:r>
        <w:t xml:space="preserve">šā lēmuma 8.punktā </w:t>
      </w:r>
      <w:r w:rsidR="009315AC">
        <w:t>minēto</w:t>
      </w:r>
      <w:r w:rsidR="00801A55">
        <w:t xml:space="preserve"> iebildumu</w:t>
      </w:r>
      <w:r w:rsidR="009315AC">
        <w:t xml:space="preserve"> kā</w:t>
      </w:r>
      <w:r w:rsidR="005C7258">
        <w:t xml:space="preserve"> nepamatotu.</w:t>
      </w:r>
    </w:p>
    <w:p w14:paraId="61B17D92" w14:textId="21DE3D49" w:rsidR="0029520F" w:rsidRPr="007D5171" w:rsidRDefault="005C7258" w:rsidP="00E0632D">
      <w:pPr>
        <w:spacing w:line="276" w:lineRule="auto"/>
        <w:ind w:firstLine="720"/>
        <w:jc w:val="both"/>
        <w:rPr>
          <w:highlight w:val="yellow"/>
        </w:rPr>
      </w:pPr>
      <w:r w:rsidRPr="00801A55">
        <w:t xml:space="preserve">Atbildētāja </w:t>
      </w:r>
      <w:r w:rsidR="00580A0C">
        <w:t xml:space="preserve">šajā gadījumā </w:t>
      </w:r>
      <w:r w:rsidRPr="00801A55">
        <w:t>kļūdaini atsaucas uz zaudētās iespējas konceptu. Senāts jau iepriekš šajā pašā lietā</w:t>
      </w:r>
      <w:r w:rsidR="001C2146">
        <w:t xml:space="preserve"> </w:t>
      </w:r>
      <w:r w:rsidRPr="00801A55">
        <w:t>ir atzinis</w:t>
      </w:r>
      <w:r w:rsidRPr="00801A55">
        <w:rPr>
          <w:rFonts w:eastAsiaTheme="minorHAnsi"/>
        </w:rPr>
        <w:t xml:space="preserve">, ka </w:t>
      </w:r>
      <w:r w:rsidR="00FF0369" w:rsidRPr="00801A55">
        <w:rPr>
          <w:rFonts w:eastAsiaTheme="minorHAnsi"/>
        </w:rPr>
        <w:t xml:space="preserve">neiegūto peļņu privātpersona var prasīt tikai tad, ja, neesot attiecīgajam pārkāpumam iepirkuma procedūrā, tai vajadzēja saņemt publiskā iepirkuma līguma slēgšanas (izpildījuma) tiesības, un </w:t>
      </w:r>
      <w:r w:rsidR="00FF0369" w:rsidRPr="007B5AE1">
        <w:rPr>
          <w:rFonts w:eastAsiaTheme="minorHAnsi"/>
          <w:i/>
          <w:iCs/>
        </w:rPr>
        <w:t>šādas tiesības tai tiktu piešķirtas</w:t>
      </w:r>
      <w:r w:rsidR="00FF0369" w:rsidRPr="00801A55">
        <w:rPr>
          <w:rFonts w:eastAsiaTheme="minorHAnsi"/>
        </w:rPr>
        <w:t>. Tādējādi nepietiek vien ar to, ka tiek konstatēts iepirkuma procedūras pārkāpums, – jābūt</w:t>
      </w:r>
      <w:r w:rsidR="00801A55" w:rsidRPr="00801A55">
        <w:rPr>
          <w:rFonts w:eastAsiaTheme="minorHAnsi"/>
        </w:rPr>
        <w:t xml:space="preserve"> </w:t>
      </w:r>
      <w:r w:rsidR="00FF0369" w:rsidRPr="00801A55">
        <w:rPr>
          <w:rFonts w:eastAsiaTheme="minorHAnsi"/>
        </w:rPr>
        <w:t>arī konstatētam, ka, novēršot</w:t>
      </w:r>
      <w:r w:rsidR="00801A55" w:rsidRPr="00801A55">
        <w:rPr>
          <w:rFonts w:eastAsiaTheme="minorHAnsi"/>
        </w:rPr>
        <w:t xml:space="preserve"> </w:t>
      </w:r>
      <w:r w:rsidR="00FF0369" w:rsidRPr="00801A55">
        <w:rPr>
          <w:rFonts w:eastAsiaTheme="minorHAnsi"/>
        </w:rPr>
        <w:t xml:space="preserve">attiecīgo pārkāpumu, šī privātpersona </w:t>
      </w:r>
      <w:r w:rsidR="00FF0369" w:rsidRPr="001C2146">
        <w:rPr>
          <w:rFonts w:eastAsiaTheme="minorHAnsi"/>
          <w:i/>
          <w:iCs/>
        </w:rPr>
        <w:t>būtu ieguvusi</w:t>
      </w:r>
      <w:r w:rsidR="00801A55" w:rsidRPr="001C2146">
        <w:rPr>
          <w:rFonts w:eastAsiaTheme="minorHAnsi"/>
          <w:i/>
          <w:iCs/>
        </w:rPr>
        <w:t xml:space="preserve"> </w:t>
      </w:r>
      <w:r w:rsidR="00FF0369" w:rsidRPr="001C2146">
        <w:rPr>
          <w:rFonts w:eastAsiaTheme="minorHAnsi"/>
        </w:rPr>
        <w:t>līguma</w:t>
      </w:r>
      <w:r w:rsidR="00801A55" w:rsidRPr="001C2146">
        <w:rPr>
          <w:rFonts w:eastAsiaTheme="minorHAnsi"/>
        </w:rPr>
        <w:t xml:space="preserve"> </w:t>
      </w:r>
      <w:r w:rsidR="00FF0369" w:rsidRPr="001C2146">
        <w:rPr>
          <w:rFonts w:eastAsiaTheme="minorHAnsi"/>
        </w:rPr>
        <w:t>slēgšanas tiesības</w:t>
      </w:r>
      <w:r w:rsidR="00FF0369" w:rsidRPr="00801A55">
        <w:rPr>
          <w:rFonts w:eastAsiaTheme="minorHAnsi"/>
        </w:rPr>
        <w:t>.</w:t>
      </w:r>
      <w:r w:rsidR="00801A55" w:rsidRPr="00801A55">
        <w:rPr>
          <w:rFonts w:eastAsiaTheme="minorHAnsi"/>
        </w:rPr>
        <w:t xml:space="preserve"> </w:t>
      </w:r>
      <w:r w:rsidR="00292FE3">
        <w:rPr>
          <w:rFonts w:eastAsiaTheme="minorHAnsi"/>
        </w:rPr>
        <w:t xml:space="preserve">Vienlaikus </w:t>
      </w:r>
      <w:r w:rsidR="00801A55" w:rsidRPr="00801A55">
        <w:rPr>
          <w:rFonts w:eastAsiaTheme="minorHAnsi"/>
        </w:rPr>
        <w:t>Senāts</w:t>
      </w:r>
      <w:r w:rsidR="00292FE3" w:rsidRPr="00292FE3">
        <w:rPr>
          <w:rFonts w:eastAsiaTheme="minorHAnsi"/>
        </w:rPr>
        <w:t xml:space="preserve"> </w:t>
      </w:r>
      <w:r w:rsidR="00292FE3">
        <w:rPr>
          <w:rFonts w:eastAsiaTheme="minorHAnsi"/>
        </w:rPr>
        <w:t xml:space="preserve">atzinis, ka </w:t>
      </w:r>
      <w:r w:rsidR="009315AC">
        <w:rPr>
          <w:rFonts w:eastAsiaTheme="minorHAnsi"/>
        </w:rPr>
        <w:t xml:space="preserve">šajā </w:t>
      </w:r>
      <w:r w:rsidR="00801A55" w:rsidRPr="00801A55">
        <w:rPr>
          <w:rFonts w:eastAsiaTheme="minorHAnsi"/>
        </w:rPr>
        <w:t xml:space="preserve">lietā vairs nav strīda, ka tiesiskas procedūras norises gadījumā pieteicēja </w:t>
      </w:r>
      <w:r w:rsidR="00801A55" w:rsidRPr="001C2146">
        <w:rPr>
          <w:rFonts w:eastAsiaTheme="minorHAnsi"/>
          <w:i/>
          <w:iCs/>
        </w:rPr>
        <w:t>būtu atzīstama par uzvarētāju</w:t>
      </w:r>
      <w:r w:rsidR="00801A55" w:rsidRPr="00801A55">
        <w:rPr>
          <w:rFonts w:eastAsiaTheme="minorHAnsi"/>
        </w:rPr>
        <w:t xml:space="preserve"> iepirkumā un tai būtu bijusi iespēja izpildīt iepirkuma līgumu (</w:t>
      </w:r>
      <w:r w:rsidR="00801A55" w:rsidRPr="008E4856">
        <w:rPr>
          <w:i/>
          <w:iCs/>
        </w:rPr>
        <w:t>Senāta 2024.gada 27.decembra sprieduma lietā Nr. SKA</w:t>
      </w:r>
      <w:r w:rsidR="00801A55" w:rsidRPr="008E4856">
        <w:rPr>
          <w:i/>
          <w:iCs/>
        </w:rPr>
        <w:noBreakHyphen/>
        <w:t xml:space="preserve">297/2024, </w:t>
      </w:r>
      <w:hyperlink r:id="rId10" w:history="1">
        <w:r w:rsidR="00801A55" w:rsidRPr="008E4856">
          <w:rPr>
            <w:rStyle w:val="Hyperlink"/>
            <w:i/>
            <w:iCs/>
            <w:color w:val="auto"/>
          </w:rPr>
          <w:t>ECLI:LV:AT:2024:1227.A420340016.19.S</w:t>
        </w:r>
      </w:hyperlink>
      <w:r w:rsidR="00801A55" w:rsidRPr="008E4856">
        <w:rPr>
          <w:i/>
          <w:iCs/>
        </w:rPr>
        <w:t>, 8.</w:t>
      </w:r>
      <w:r w:rsidR="00CE3E54">
        <w:rPr>
          <w:i/>
          <w:iCs/>
        </w:rPr>
        <w:t xml:space="preserve"> </w:t>
      </w:r>
      <w:r w:rsidR="009315AC">
        <w:rPr>
          <w:i/>
          <w:iCs/>
        </w:rPr>
        <w:t>un</w:t>
      </w:r>
      <w:r w:rsidR="00801A55" w:rsidRPr="008E4856">
        <w:rPr>
          <w:i/>
          <w:iCs/>
        </w:rPr>
        <w:t xml:space="preserve"> 9.punkts</w:t>
      </w:r>
      <w:r w:rsidR="008E4856">
        <w:rPr>
          <w:i/>
          <w:iCs/>
        </w:rPr>
        <w:t>;</w:t>
      </w:r>
      <w:r w:rsidR="008E4856" w:rsidRPr="008E4856">
        <w:rPr>
          <w:i/>
          <w:iCs/>
        </w:rPr>
        <w:t xml:space="preserve"> </w:t>
      </w:r>
      <w:r w:rsidR="008E4856" w:rsidRPr="008E4856">
        <w:rPr>
          <w:rFonts w:eastAsiaTheme="minorHAnsi"/>
          <w:i/>
          <w:iCs/>
        </w:rPr>
        <w:t>Senāta 2022.gada 10.maija sprieduma lietā Nr. SKA</w:t>
      </w:r>
      <w:r w:rsidR="008E4856" w:rsidRPr="008E4856">
        <w:rPr>
          <w:rFonts w:eastAsiaTheme="minorHAnsi"/>
          <w:i/>
          <w:iCs/>
        </w:rPr>
        <w:noBreakHyphen/>
        <w:t xml:space="preserve">471/2022, </w:t>
      </w:r>
      <w:hyperlink r:id="rId11" w:history="1">
        <w:r w:rsidR="008E4856" w:rsidRPr="008E4856">
          <w:rPr>
            <w:rStyle w:val="Hyperlink"/>
            <w:rFonts w:eastAsiaTheme="minorHAnsi"/>
            <w:i/>
            <w:iCs/>
            <w:color w:val="auto"/>
          </w:rPr>
          <w:t>ECLI:LV:AT:2022:0510.A420340016.15.S</w:t>
        </w:r>
      </w:hyperlink>
      <w:r w:rsidR="008E4856" w:rsidRPr="008E4856">
        <w:rPr>
          <w:rFonts w:eastAsiaTheme="minorHAnsi"/>
          <w:i/>
          <w:iCs/>
        </w:rPr>
        <w:t>, 30.punkts</w:t>
      </w:r>
      <w:r w:rsidR="00801A55" w:rsidRPr="008E4856">
        <w:t>)</w:t>
      </w:r>
      <w:r w:rsidR="00801A55" w:rsidRPr="00801A55">
        <w:t>.</w:t>
      </w:r>
      <w:r w:rsidR="00801A55">
        <w:t xml:space="preserve"> Līdz</w:t>
      </w:r>
      <w:r w:rsidR="00801A55" w:rsidRPr="00801A55">
        <w:t xml:space="preserve"> ar to atbildētāja, izvirzot minēto </w:t>
      </w:r>
      <w:r w:rsidR="00DD015B">
        <w:t>iebildumu</w:t>
      </w:r>
      <w:r w:rsidR="00801A55" w:rsidRPr="00801A55">
        <w:t xml:space="preserve">, acīmredzami ignorē to, ka konkrētajā gadījumā tiesiskas iepirkuma procedūras norises gaitā </w:t>
      </w:r>
      <w:r w:rsidR="00801A55" w:rsidRPr="00CC5EDE">
        <w:t>pieteicēja</w:t>
      </w:r>
      <w:r w:rsidR="001C2146">
        <w:t xml:space="preserve">i </w:t>
      </w:r>
      <w:r w:rsidR="00801A55" w:rsidRPr="00CC5EDE">
        <w:t xml:space="preserve">būtu </w:t>
      </w:r>
      <w:r w:rsidR="001547F9" w:rsidRPr="001547F9">
        <w:t xml:space="preserve">bijušas garantētas tiesības </w:t>
      </w:r>
      <w:r w:rsidR="001C2146" w:rsidRPr="001547F9">
        <w:t>noslēgt un</w:t>
      </w:r>
      <w:r w:rsidR="00801A55" w:rsidRPr="001547F9">
        <w:t xml:space="preserve"> izpildīt</w:t>
      </w:r>
      <w:r w:rsidR="001C2146" w:rsidRPr="001547F9">
        <w:t xml:space="preserve"> </w:t>
      </w:r>
      <w:r w:rsidR="00801A55" w:rsidRPr="001547F9">
        <w:t>iepirkuma līgumu</w:t>
      </w:r>
      <w:r w:rsidR="001C2146" w:rsidRPr="001547F9">
        <w:t xml:space="preserve">, kuru prettiesiskas atbildētājas rīcības </w:t>
      </w:r>
      <w:r w:rsidR="006B1BDB">
        <w:t>dēļ</w:t>
      </w:r>
      <w:r w:rsidR="001C2146" w:rsidRPr="001547F9">
        <w:t xml:space="preserve"> tomēr ieguva</w:t>
      </w:r>
      <w:r w:rsidR="001C2146">
        <w:t xml:space="preserve"> cits pretendents</w:t>
      </w:r>
      <w:r w:rsidR="00801A55" w:rsidRPr="00CC5EDE">
        <w:t>.</w:t>
      </w:r>
      <w:r w:rsidR="00CC5EDE">
        <w:t xml:space="preserve"> Tātad lietā ir konstatēt</w:t>
      </w:r>
      <w:r w:rsidR="007528F6">
        <w:t xml:space="preserve">s neizbēgams rezultāts pieteicējai </w:t>
      </w:r>
      <w:r w:rsidR="0071095D">
        <w:t>iegūt un izpildīt līgumu</w:t>
      </w:r>
      <w:r w:rsidR="002337A6">
        <w:t>, nevis tikai nopietnas</w:t>
      </w:r>
      <w:r w:rsidR="009315AC">
        <w:t xml:space="preserve"> </w:t>
      </w:r>
      <w:r w:rsidR="007528F6">
        <w:t xml:space="preserve">tās </w:t>
      </w:r>
      <w:r w:rsidR="002337A6">
        <w:t>izredzes uzvarēt attiecīgajā iepirkumā jeb, citiem vārdiem</w:t>
      </w:r>
      <w:r w:rsidR="001547F9">
        <w:t xml:space="preserve"> sakot</w:t>
      </w:r>
      <w:r w:rsidR="002337A6">
        <w:t xml:space="preserve">, </w:t>
      </w:r>
      <w:r w:rsidR="00DA1415">
        <w:t xml:space="preserve">lai gan reāla, tomēr </w:t>
      </w:r>
      <w:r w:rsidR="002337A6">
        <w:t>nenoteikta</w:t>
      </w:r>
      <w:r w:rsidR="00DA1415">
        <w:t xml:space="preserve"> </w:t>
      </w:r>
      <w:r w:rsidR="002337A6">
        <w:t>panākumu varbūtība</w:t>
      </w:r>
      <w:r w:rsidR="00CC5EDE">
        <w:t xml:space="preserve">. </w:t>
      </w:r>
      <w:r w:rsidR="00DD015B">
        <w:t>J</w:t>
      </w:r>
      <w:r w:rsidR="000B0514">
        <w:t xml:space="preserve">āņem </w:t>
      </w:r>
      <w:r w:rsidR="006B1BDB">
        <w:t xml:space="preserve">arī </w:t>
      </w:r>
      <w:r w:rsidR="000B0514">
        <w:t>vērā, ka p</w:t>
      </w:r>
      <w:r w:rsidR="007B5AE1">
        <w:t>ieteicēja šajā lietā</w:t>
      </w:r>
      <w:r w:rsidR="00DD015B">
        <w:t xml:space="preserve"> </w:t>
      </w:r>
      <w:r w:rsidR="000B0514">
        <w:t>nemaz</w:t>
      </w:r>
      <w:r w:rsidR="007B5AE1">
        <w:t xml:space="preserve"> neprasa atlīdzinājumu saistībā ar </w:t>
      </w:r>
      <w:r w:rsidR="0097568D">
        <w:t xml:space="preserve">zaudēto iespēju </w:t>
      </w:r>
      <w:r w:rsidR="00DD015B">
        <w:t>iegūt</w:t>
      </w:r>
      <w:r w:rsidR="0097568D">
        <w:t xml:space="preserve"> līgumu, bet gan </w:t>
      </w:r>
      <w:r w:rsidR="0071095D">
        <w:t>saistībā ar</w:t>
      </w:r>
      <w:r w:rsidR="0097568D">
        <w:t xml:space="preserve"> </w:t>
      </w:r>
      <w:r w:rsidR="003677BD">
        <w:t xml:space="preserve">droši </w:t>
      </w:r>
      <w:r w:rsidR="006B1BDB">
        <w:t xml:space="preserve">neiegūto peļņu (kapitālu) no tāda </w:t>
      </w:r>
      <w:r w:rsidR="0071095D">
        <w:t>līgum</w:t>
      </w:r>
      <w:r w:rsidR="006B1BDB">
        <w:t>a izpildes</w:t>
      </w:r>
      <w:r w:rsidR="0071095D">
        <w:t>, kuru tā būtu noslēgusi</w:t>
      </w:r>
      <w:r w:rsidR="006B1BDB">
        <w:t>, ja vien nebūtu atbildētājas</w:t>
      </w:r>
      <w:r w:rsidR="006B1BDB" w:rsidRPr="006B1BDB">
        <w:t xml:space="preserve"> </w:t>
      </w:r>
      <w:r w:rsidR="006B1BDB">
        <w:t>prettiesisk</w:t>
      </w:r>
      <w:r w:rsidR="003677BD">
        <w:t>ā</w:t>
      </w:r>
      <w:r w:rsidR="006B1BDB">
        <w:t xml:space="preserve"> rīcība</w:t>
      </w:r>
      <w:r w:rsidR="0071095D">
        <w:t>.</w:t>
      </w:r>
      <w:r w:rsidR="007B5AE1">
        <w:t xml:space="preserve"> </w:t>
      </w:r>
      <w:r w:rsidR="00801A55" w:rsidRPr="00CC5EDE">
        <w:t xml:space="preserve">Senatoru kolēģija </w:t>
      </w:r>
      <w:r w:rsidR="00CC5EDE" w:rsidRPr="00CC5EDE">
        <w:t>vērš uzmanību –</w:t>
      </w:r>
      <w:r w:rsidR="0027719D" w:rsidRPr="00CC5EDE">
        <w:t xml:space="preserve"> un kā </w:t>
      </w:r>
      <w:r w:rsidR="00900BA0" w:rsidRPr="00CC5EDE">
        <w:t>t</w:t>
      </w:r>
      <w:r w:rsidR="0027719D" w:rsidRPr="00CC5EDE">
        <w:t>o</w:t>
      </w:r>
      <w:r w:rsidR="00900BA0" w:rsidRPr="00CC5EDE">
        <w:t xml:space="preserve"> </w:t>
      </w:r>
      <w:r w:rsidR="00CC5EDE" w:rsidRPr="00CC5EDE">
        <w:t>sūdzīb</w:t>
      </w:r>
      <w:r w:rsidR="001547F9">
        <w:t xml:space="preserve">ā </w:t>
      </w:r>
      <w:r w:rsidR="00900BA0" w:rsidRPr="00CC5EDE">
        <w:t>no</w:t>
      </w:r>
      <w:r w:rsidR="0027719D" w:rsidRPr="00CC5EDE">
        <w:t xml:space="preserve">rāda pati </w:t>
      </w:r>
      <w:r w:rsidR="00580A0C">
        <w:t>atbildētāja</w:t>
      </w:r>
      <w:r w:rsidR="00CC5EDE" w:rsidRPr="00CC5EDE">
        <w:t xml:space="preserve"> –</w:t>
      </w:r>
      <w:r w:rsidR="006447C1">
        <w:t>, ka</w:t>
      </w:r>
      <w:r w:rsidR="001547F9">
        <w:t xml:space="preserve"> </w:t>
      </w:r>
      <w:r w:rsidR="003D391D" w:rsidRPr="003D391D">
        <w:t xml:space="preserve">negūtā peļņa attiecas uz kompensāciju par paša līguma zaudēšanu, savukārt </w:t>
      </w:r>
      <w:r w:rsidR="003D391D">
        <w:t>„</w:t>
      </w:r>
      <w:r w:rsidR="003D391D" w:rsidRPr="003D391D">
        <w:t>iespējas zaudējums</w:t>
      </w:r>
      <w:r w:rsidR="003D391D">
        <w:t>”</w:t>
      </w:r>
      <w:r w:rsidR="003D391D" w:rsidRPr="003D391D">
        <w:t xml:space="preserve"> attiecas uz kompensāciju par zaudē</w:t>
      </w:r>
      <w:r w:rsidR="003D391D">
        <w:t>to</w:t>
      </w:r>
      <w:r w:rsidR="003D391D" w:rsidRPr="003D391D">
        <w:t xml:space="preserve"> iespēj</w:t>
      </w:r>
      <w:r w:rsidR="003D391D">
        <w:t>u</w:t>
      </w:r>
      <w:r w:rsidR="003D391D" w:rsidRPr="003D391D">
        <w:t xml:space="preserve"> noslēgt šo līgumu. Atšķirībā no negūtās peļņas</w:t>
      </w:r>
      <w:r w:rsidR="00900BA0" w:rsidRPr="00CC5EDE">
        <w:t xml:space="preserve"> </w:t>
      </w:r>
      <w:r w:rsidR="00CC5EDE">
        <w:t>„</w:t>
      </w:r>
      <w:r w:rsidR="003736AE">
        <w:t>iespējas</w:t>
      </w:r>
      <w:r w:rsidR="003736AE" w:rsidRPr="003736AE">
        <w:t xml:space="preserve"> </w:t>
      </w:r>
      <w:r w:rsidR="003736AE">
        <w:t>zaudēšana</w:t>
      </w:r>
      <w:r w:rsidR="00CC5EDE">
        <w:t xml:space="preserve">” </w:t>
      </w:r>
      <w:r w:rsidR="00CC5EDE" w:rsidRPr="00CC5EDE">
        <w:t xml:space="preserve">nav viens un tas pats, kas zaudējumu radīšana, kam ir absolūta varbūtība tikt apstiprinātam, un </w:t>
      </w:r>
      <w:r w:rsidR="00CC5EDE" w:rsidRPr="003D391D">
        <w:t>tieši tāpēc to ir grūtāk kvantificēt (</w:t>
      </w:r>
      <w:r w:rsidR="003D391D" w:rsidRPr="003D391D">
        <w:t>sal. </w:t>
      </w:r>
      <w:r w:rsidR="00CC5EDE" w:rsidRPr="003D391D">
        <w:rPr>
          <w:i/>
          <w:iCs/>
        </w:rPr>
        <w:t xml:space="preserve">Eiropas Savienības Vispārējās tiesas 2019.gada 12.februāra sprieduma lietā „Vakakis kai </w:t>
      </w:r>
      <w:r w:rsidR="00CC5EDE" w:rsidRPr="00292FE3">
        <w:rPr>
          <w:i/>
          <w:iCs/>
        </w:rPr>
        <w:t xml:space="preserve">Synergates/Komisija”, </w:t>
      </w:r>
      <w:r w:rsidR="00CE720D" w:rsidRPr="00292FE3">
        <w:rPr>
          <w:i/>
          <w:iCs/>
        </w:rPr>
        <w:t xml:space="preserve">T-292/15, </w:t>
      </w:r>
      <w:hyperlink r:id="rId12" w:history="1">
        <w:r w:rsidR="00CC5EDE" w:rsidRPr="000E613E">
          <w:rPr>
            <w:rStyle w:val="Hyperlink"/>
            <w:i/>
            <w:iCs/>
            <w:color w:val="000000" w:themeColor="text1"/>
          </w:rPr>
          <w:t>ECLI:EU:T:2019:84</w:t>
        </w:r>
      </w:hyperlink>
      <w:r w:rsidR="00CC5EDE" w:rsidRPr="00292FE3">
        <w:rPr>
          <w:i/>
          <w:iCs/>
        </w:rPr>
        <w:t>, 41.punkts</w:t>
      </w:r>
      <w:r w:rsidR="00CC5EDE" w:rsidRPr="00292FE3">
        <w:t>).</w:t>
      </w:r>
      <w:r w:rsidR="0029520F" w:rsidRPr="00292FE3">
        <w:t xml:space="preserve"> Kopumā „iespējas zaudēšana” no citiem atlīdzināmiem zaudējumiem atšķiras ar to, ka tā attiecas uz paredzamo, kaut gan tikai iespējamo labumu. „Iespējas zaudēšana” attiecas nevis uz drošu peļņu, bet gan uz reālām</w:t>
      </w:r>
      <w:r w:rsidR="00D510CB">
        <w:t xml:space="preserve"> </w:t>
      </w:r>
      <w:r w:rsidR="0029520F" w:rsidRPr="00292FE3">
        <w:t>peļņas iespējām</w:t>
      </w:r>
      <w:r w:rsidR="00D510CB">
        <w:rPr>
          <w:i/>
          <w:iCs/>
        </w:rPr>
        <w:t xml:space="preserve"> </w:t>
      </w:r>
      <w:r w:rsidR="0029520F" w:rsidRPr="00292FE3">
        <w:t>pašām par sevi neatkarīgi no to apmēra. Ir loģiski, ka šādas peļņas iespējas nevar būt tikai hipotētiskas, bet tām ir jābūt reālām iespējām, un varbūtībai, ka no tām radīsies kapitāla pieaugums, ir jābūt lielai. Tātad iespējas zaudēšanu raksturo un no negūtās peļņas to galvenokārt atšķir tās varbūtības faktors, lai gan runa nav par jebkādu iespēju, bet tikai par</w:t>
      </w:r>
      <w:r w:rsidR="00D510CB">
        <w:t xml:space="preserve"> </w:t>
      </w:r>
      <w:r w:rsidR="0029520F" w:rsidRPr="00292FE3">
        <w:t>nopietnu iespēju, ka gaidas piepildīsie</w:t>
      </w:r>
      <w:r w:rsidR="007D5171" w:rsidRPr="00292FE3">
        <w:t xml:space="preserve">s </w:t>
      </w:r>
      <w:r w:rsidR="0029520F" w:rsidRPr="00292FE3">
        <w:t>(sal. </w:t>
      </w:r>
      <w:r w:rsidR="0029520F" w:rsidRPr="00292FE3">
        <w:rPr>
          <w:i/>
          <w:iCs/>
        </w:rPr>
        <w:t xml:space="preserve">Eiropas Savienības </w:t>
      </w:r>
      <w:r w:rsidR="000E613E">
        <w:rPr>
          <w:i/>
          <w:iCs/>
        </w:rPr>
        <w:t>Tiesas ģ</w:t>
      </w:r>
      <w:r w:rsidR="0029520F" w:rsidRPr="00292FE3">
        <w:rPr>
          <w:i/>
          <w:iCs/>
        </w:rPr>
        <w:t>enerāladvokāta P</w:t>
      </w:r>
      <w:r w:rsidR="000E613E">
        <w:rPr>
          <w:i/>
          <w:iCs/>
        </w:rPr>
        <w:t>.</w:t>
      </w:r>
      <w:r w:rsidR="001E317D">
        <w:rPr>
          <w:i/>
          <w:iCs/>
        </w:rPr>
        <w:t> </w:t>
      </w:r>
      <w:r w:rsidR="0029520F" w:rsidRPr="00292FE3">
        <w:rPr>
          <w:i/>
          <w:iCs/>
        </w:rPr>
        <w:t>K</w:t>
      </w:r>
      <w:r w:rsidR="000E613E">
        <w:rPr>
          <w:i/>
          <w:iCs/>
        </w:rPr>
        <w:t>.</w:t>
      </w:r>
      <w:r w:rsidR="001E317D">
        <w:rPr>
          <w:i/>
          <w:iCs/>
        </w:rPr>
        <w:t> </w:t>
      </w:r>
      <w:r w:rsidR="0029520F" w:rsidRPr="00292FE3">
        <w:rPr>
          <w:i/>
          <w:iCs/>
        </w:rPr>
        <w:t xml:space="preserve">Viljalona </w:t>
      </w:r>
      <w:r w:rsidR="000E613E">
        <w:rPr>
          <w:i/>
          <w:iCs/>
        </w:rPr>
        <w:t>(</w:t>
      </w:r>
      <w:r w:rsidR="000E613E" w:rsidRPr="000E613E">
        <w:rPr>
          <w:i/>
          <w:iCs/>
        </w:rPr>
        <w:t>P</w:t>
      </w:r>
      <w:r w:rsidR="000E613E">
        <w:rPr>
          <w:i/>
          <w:iCs/>
        </w:rPr>
        <w:t>. </w:t>
      </w:r>
      <w:r w:rsidR="000E613E" w:rsidRPr="000E613E">
        <w:rPr>
          <w:i/>
          <w:iCs/>
        </w:rPr>
        <w:t>C</w:t>
      </w:r>
      <w:r w:rsidR="000E613E">
        <w:rPr>
          <w:i/>
          <w:iCs/>
        </w:rPr>
        <w:t>. </w:t>
      </w:r>
      <w:r w:rsidR="000E613E" w:rsidRPr="000E613E">
        <w:rPr>
          <w:i/>
          <w:iCs/>
        </w:rPr>
        <w:t>Villalón</w:t>
      </w:r>
      <w:r w:rsidR="000E613E">
        <w:rPr>
          <w:i/>
          <w:iCs/>
        </w:rPr>
        <w:t>)</w:t>
      </w:r>
      <w:r w:rsidR="000E613E" w:rsidRPr="000E613E">
        <w:rPr>
          <w:i/>
          <w:iCs/>
        </w:rPr>
        <w:t xml:space="preserve"> </w:t>
      </w:r>
      <w:r w:rsidR="0029520F" w:rsidRPr="00292FE3">
        <w:rPr>
          <w:i/>
          <w:iCs/>
        </w:rPr>
        <w:t>2014.gada 20.marta secinājum</w:t>
      </w:r>
      <w:r w:rsidR="000E613E">
        <w:rPr>
          <w:i/>
          <w:iCs/>
        </w:rPr>
        <w:t>u</w:t>
      </w:r>
      <w:r w:rsidR="0029520F" w:rsidRPr="00292FE3">
        <w:rPr>
          <w:i/>
          <w:iCs/>
        </w:rPr>
        <w:t xml:space="preserve"> lietā</w:t>
      </w:r>
      <w:r w:rsidR="007D5171" w:rsidRPr="00292FE3">
        <w:rPr>
          <w:i/>
          <w:iCs/>
        </w:rPr>
        <w:t xml:space="preserve"> „Giordano/Komisija”, C</w:t>
      </w:r>
      <w:r w:rsidR="007D5171" w:rsidRPr="00292FE3">
        <w:rPr>
          <w:i/>
          <w:iCs/>
        </w:rPr>
        <w:noBreakHyphen/>
        <w:t xml:space="preserve">611/12 P, </w:t>
      </w:r>
      <w:hyperlink r:id="rId13" w:history="1">
        <w:r w:rsidR="007D5171" w:rsidRPr="000E613E">
          <w:rPr>
            <w:rStyle w:val="Hyperlink"/>
            <w:i/>
            <w:iCs/>
            <w:color w:val="000000" w:themeColor="text1"/>
          </w:rPr>
          <w:t>ECLI:EU:C:2014:195</w:t>
        </w:r>
      </w:hyperlink>
      <w:r w:rsidR="007D5171" w:rsidRPr="00292FE3">
        <w:rPr>
          <w:i/>
          <w:iCs/>
        </w:rPr>
        <w:t xml:space="preserve">, </w:t>
      </w:r>
      <w:r w:rsidR="0029520F" w:rsidRPr="00292FE3">
        <w:rPr>
          <w:i/>
          <w:iCs/>
        </w:rPr>
        <w:t>43.p</w:t>
      </w:r>
      <w:r w:rsidR="007D5171" w:rsidRPr="00292FE3">
        <w:rPr>
          <w:i/>
          <w:iCs/>
        </w:rPr>
        <w:t>unkts</w:t>
      </w:r>
      <w:r w:rsidR="0029520F" w:rsidRPr="00292FE3">
        <w:t>).</w:t>
      </w:r>
      <w:r w:rsidR="007B5AE1">
        <w:t xml:space="preserve"> </w:t>
      </w:r>
    </w:p>
    <w:p w14:paraId="30C56F9C" w14:textId="44074612" w:rsidR="00790F8E" w:rsidRPr="00790F8E" w:rsidRDefault="0029520F" w:rsidP="00E0632D">
      <w:pPr>
        <w:spacing w:line="276" w:lineRule="auto"/>
        <w:ind w:firstLine="720"/>
        <w:jc w:val="both"/>
        <w:rPr>
          <w:shd w:val="clear" w:color="auto" w:fill="FFFFFF"/>
        </w:rPr>
      </w:pPr>
      <w:r>
        <w:t>I</w:t>
      </w:r>
      <w:r w:rsidR="008F6108" w:rsidRPr="00CC5EDE">
        <w:t>zskatāmajā lietā</w:t>
      </w:r>
      <w:r w:rsidR="008F6108">
        <w:t xml:space="preserve"> i</w:t>
      </w:r>
      <w:r w:rsidR="003736AE">
        <w:t xml:space="preserve">r </w:t>
      </w:r>
      <w:r w:rsidR="008F6108">
        <w:t xml:space="preserve">pilnīgi </w:t>
      </w:r>
      <w:r w:rsidR="003736AE">
        <w:t>skaidrs, ka</w:t>
      </w:r>
      <w:r w:rsidR="00CC5EDE" w:rsidRPr="00CC5EDE">
        <w:t xml:space="preserve"> aplūkot</w:t>
      </w:r>
      <w:r w:rsidR="003736AE">
        <w:t xml:space="preserve">ā situācija </w:t>
      </w:r>
      <w:r w:rsidR="008E4856" w:rsidRPr="00CC5EDE">
        <w:t xml:space="preserve">nav </w:t>
      </w:r>
      <w:r w:rsidR="007528F6">
        <w:t>„</w:t>
      </w:r>
      <w:r w:rsidR="0097568D">
        <w:t>zaudētās iespējas</w:t>
      </w:r>
      <w:r w:rsidR="007528F6">
        <w:t>”</w:t>
      </w:r>
      <w:r w:rsidR="0097568D">
        <w:t xml:space="preserve"> </w:t>
      </w:r>
      <w:r w:rsidR="008E4856" w:rsidRPr="00CC5EDE">
        <w:t>gadījums</w:t>
      </w:r>
      <w:r w:rsidR="00CC5EDE" w:rsidRPr="00CC5EDE">
        <w:t xml:space="preserve">, </w:t>
      </w:r>
      <w:r w:rsidR="00CE720D">
        <w:t xml:space="preserve">uz kuru </w:t>
      </w:r>
      <w:r w:rsidR="001C2146">
        <w:t xml:space="preserve">tādējādi </w:t>
      </w:r>
      <w:r w:rsidR="00CE720D">
        <w:t>būtu attiecināms cits zaudējumu pierādīšanas standarts.</w:t>
      </w:r>
      <w:r w:rsidR="006F1920">
        <w:t xml:space="preserve"> Līdz ar to atbildētājas atsauces uz tiesas atziņām, kas saistītas ar zaudēto iespēju, nav attiecināmas uz konkrēto lietu.</w:t>
      </w:r>
      <w:r w:rsidR="00CE720D">
        <w:t xml:space="preserve"> </w:t>
      </w:r>
      <w:r w:rsidR="009315AC">
        <w:t xml:space="preserve">Tāpat </w:t>
      </w:r>
      <w:r w:rsidR="00801A55" w:rsidRPr="008E4856">
        <w:rPr>
          <w:rFonts w:eastAsiaTheme="minorHAnsi"/>
        </w:rPr>
        <w:t xml:space="preserve">Senāts jau </w:t>
      </w:r>
      <w:r w:rsidR="00AE392D">
        <w:rPr>
          <w:rFonts w:eastAsiaTheme="minorHAnsi"/>
        </w:rPr>
        <w:t>agrāk</w:t>
      </w:r>
      <w:r w:rsidR="00801A55" w:rsidRPr="008E4856">
        <w:rPr>
          <w:rFonts w:eastAsiaTheme="minorHAnsi"/>
        </w:rPr>
        <w:t xml:space="preserve"> ir atzinis par </w:t>
      </w:r>
      <w:r w:rsidR="00801A55" w:rsidRPr="008E4856">
        <w:t xml:space="preserve">nepamatotu atbildētājas apgalvojumu, ka </w:t>
      </w:r>
      <w:r w:rsidR="00801A55" w:rsidRPr="008E4856">
        <w:rPr>
          <w:shd w:val="clear" w:color="auto" w:fill="FFFFFF"/>
        </w:rPr>
        <w:t>publisko iepirkumu procedūrā nodarītu zaudējumu gadījumā atlīdzinājums būtu piešķirams vienīgi tad, ja tiktu konstatēts</w:t>
      </w:r>
      <w:r w:rsidR="006447C1">
        <w:rPr>
          <w:shd w:val="clear" w:color="auto" w:fill="FFFFFF"/>
        </w:rPr>
        <w:t xml:space="preserve"> </w:t>
      </w:r>
      <w:r w:rsidR="00801A55" w:rsidRPr="008E4856">
        <w:rPr>
          <w:shd w:val="clear" w:color="auto" w:fill="FFFFFF"/>
        </w:rPr>
        <w:t xml:space="preserve">iestādes </w:t>
      </w:r>
      <w:r w:rsidR="006447C1" w:rsidRPr="008E4856">
        <w:rPr>
          <w:shd w:val="clear" w:color="auto" w:fill="FFFFFF"/>
        </w:rPr>
        <w:t xml:space="preserve">būtisks </w:t>
      </w:r>
      <w:r w:rsidR="00801A55" w:rsidRPr="008E4856">
        <w:rPr>
          <w:shd w:val="clear" w:color="auto" w:fill="FFFFFF"/>
        </w:rPr>
        <w:t>pārkāpums (</w:t>
      </w:r>
      <w:r w:rsidR="00801A55" w:rsidRPr="008E4856">
        <w:rPr>
          <w:rFonts w:eastAsiaTheme="minorHAnsi"/>
          <w:i/>
          <w:iCs/>
        </w:rPr>
        <w:t>Senāta 2022.gada 10.maija sprieduma lietā Nr. SKA</w:t>
      </w:r>
      <w:r w:rsidR="00801A55" w:rsidRPr="008E4856">
        <w:rPr>
          <w:rFonts w:eastAsiaTheme="minorHAnsi"/>
          <w:i/>
          <w:iCs/>
        </w:rPr>
        <w:noBreakHyphen/>
        <w:t>471/2022</w:t>
      </w:r>
      <w:r w:rsidR="008E4856" w:rsidRPr="008E4856">
        <w:rPr>
          <w:rFonts w:eastAsiaTheme="minorHAnsi"/>
          <w:i/>
          <w:iCs/>
        </w:rPr>
        <w:t xml:space="preserve">, </w:t>
      </w:r>
      <w:hyperlink r:id="rId14" w:history="1">
        <w:r w:rsidR="008E4856" w:rsidRPr="008E4856">
          <w:rPr>
            <w:rStyle w:val="Hyperlink"/>
            <w:rFonts w:eastAsiaTheme="minorHAnsi"/>
            <w:i/>
            <w:iCs/>
            <w:color w:val="auto"/>
          </w:rPr>
          <w:t>ECLI:LV:AT:2022:0510.A420340016.15.S</w:t>
        </w:r>
      </w:hyperlink>
      <w:r w:rsidR="008E4856" w:rsidRPr="008E4856">
        <w:rPr>
          <w:rFonts w:eastAsiaTheme="minorHAnsi"/>
          <w:i/>
          <w:iCs/>
        </w:rPr>
        <w:t>,</w:t>
      </w:r>
      <w:r w:rsidR="00801A55" w:rsidRPr="008E4856">
        <w:rPr>
          <w:rFonts w:eastAsiaTheme="minorHAnsi"/>
          <w:i/>
          <w:iCs/>
        </w:rPr>
        <w:t xml:space="preserve"> 35.punkts).</w:t>
      </w:r>
      <w:r w:rsidR="00801A55" w:rsidRPr="00900BA0">
        <w:rPr>
          <w:rFonts w:eastAsiaTheme="minorHAnsi"/>
        </w:rPr>
        <w:t xml:space="preserve"> </w:t>
      </w:r>
      <w:r w:rsidR="00900BA0">
        <w:rPr>
          <w:rFonts w:eastAsiaTheme="minorHAnsi"/>
        </w:rPr>
        <w:t xml:space="preserve">Tālab </w:t>
      </w:r>
      <w:r w:rsidR="00DD015B">
        <w:rPr>
          <w:rFonts w:eastAsiaTheme="minorHAnsi"/>
        </w:rPr>
        <w:t xml:space="preserve">atbildētājas </w:t>
      </w:r>
      <w:r w:rsidR="008F6108">
        <w:rPr>
          <w:rFonts w:eastAsiaTheme="minorHAnsi"/>
        </w:rPr>
        <w:t>iebildum</w:t>
      </w:r>
      <w:r w:rsidR="00DD015B">
        <w:rPr>
          <w:rFonts w:eastAsiaTheme="minorHAnsi"/>
        </w:rPr>
        <w:t>s</w:t>
      </w:r>
      <w:r w:rsidR="00900BA0" w:rsidRPr="00900BA0">
        <w:rPr>
          <w:rFonts w:eastAsiaTheme="minorHAnsi"/>
        </w:rPr>
        <w:t xml:space="preserve">, ka tiesa nepamatoti atteicās izvērtēt to, vai </w:t>
      </w:r>
      <w:r w:rsidR="00DD015B">
        <w:rPr>
          <w:rFonts w:eastAsiaTheme="minorHAnsi"/>
        </w:rPr>
        <w:t xml:space="preserve">pieļautais </w:t>
      </w:r>
      <w:r w:rsidR="00900BA0" w:rsidRPr="00900BA0">
        <w:rPr>
          <w:rFonts w:eastAsiaTheme="minorHAnsi"/>
        </w:rPr>
        <w:t xml:space="preserve">pārkāpums ir būtisks, </w:t>
      </w:r>
      <w:r w:rsidR="008F6108">
        <w:rPr>
          <w:rFonts w:eastAsiaTheme="minorHAnsi"/>
        </w:rPr>
        <w:t>ir acīmredzami</w:t>
      </w:r>
      <w:r w:rsidR="00900BA0" w:rsidRPr="00900BA0">
        <w:rPr>
          <w:rFonts w:eastAsiaTheme="minorHAnsi"/>
        </w:rPr>
        <w:t xml:space="preserve"> </w:t>
      </w:r>
      <w:r w:rsidR="008F6108">
        <w:rPr>
          <w:rFonts w:eastAsiaTheme="minorHAnsi"/>
        </w:rPr>
        <w:t>ne</w:t>
      </w:r>
      <w:r w:rsidR="00900BA0" w:rsidRPr="00900BA0">
        <w:rPr>
          <w:rFonts w:eastAsiaTheme="minorHAnsi"/>
        </w:rPr>
        <w:t>pamatot</w:t>
      </w:r>
      <w:r w:rsidR="00DD015B">
        <w:rPr>
          <w:rFonts w:eastAsiaTheme="minorHAnsi"/>
        </w:rPr>
        <w:t>s</w:t>
      </w:r>
      <w:r w:rsidR="00900BA0" w:rsidRPr="00900BA0">
        <w:rPr>
          <w:rFonts w:eastAsiaTheme="minorHAnsi"/>
        </w:rPr>
        <w:t xml:space="preserve">. </w:t>
      </w:r>
      <w:r w:rsidR="001C2146">
        <w:rPr>
          <w:rFonts w:eastAsiaTheme="minorHAnsi"/>
        </w:rPr>
        <w:t>S</w:t>
      </w:r>
      <w:r w:rsidR="008E4856" w:rsidRPr="008E4856">
        <w:rPr>
          <w:shd w:val="clear" w:color="auto" w:fill="FFFFFF"/>
        </w:rPr>
        <w:t>enatoru kolēģija</w:t>
      </w:r>
      <w:r w:rsidR="00801A55" w:rsidRPr="008E4856">
        <w:rPr>
          <w:shd w:val="clear" w:color="auto" w:fill="FFFFFF"/>
        </w:rPr>
        <w:t xml:space="preserve"> neatkārtos </w:t>
      </w:r>
      <w:r w:rsidR="008E4856" w:rsidRPr="008E4856">
        <w:rPr>
          <w:shd w:val="clear" w:color="auto" w:fill="FFFFFF"/>
        </w:rPr>
        <w:t xml:space="preserve">to </w:t>
      </w:r>
      <w:r w:rsidR="00801A55" w:rsidRPr="008E4856">
        <w:rPr>
          <w:shd w:val="clear" w:color="auto" w:fill="FFFFFF"/>
        </w:rPr>
        <w:t>motivāciju, kura atbildētājai jau</w:t>
      </w:r>
      <w:r w:rsidR="001C2146">
        <w:rPr>
          <w:shd w:val="clear" w:color="auto" w:fill="FFFFFF"/>
        </w:rPr>
        <w:t xml:space="preserve"> </w:t>
      </w:r>
      <w:r w:rsidR="00DD015B">
        <w:rPr>
          <w:shd w:val="clear" w:color="auto" w:fill="FFFFFF"/>
        </w:rPr>
        <w:t>ir</w:t>
      </w:r>
      <w:r w:rsidR="00DD015B" w:rsidRPr="008E4856">
        <w:rPr>
          <w:shd w:val="clear" w:color="auto" w:fill="FFFFFF"/>
        </w:rPr>
        <w:t xml:space="preserve"> </w:t>
      </w:r>
      <w:r w:rsidR="001C2146">
        <w:rPr>
          <w:shd w:val="clear" w:color="auto" w:fill="FFFFFF"/>
        </w:rPr>
        <w:t xml:space="preserve">iepriekš </w:t>
      </w:r>
      <w:r w:rsidR="00801A55" w:rsidRPr="008E4856">
        <w:rPr>
          <w:shd w:val="clear" w:color="auto" w:fill="FFFFFF"/>
        </w:rPr>
        <w:t xml:space="preserve">sniegta un kura tai ir </w:t>
      </w:r>
      <w:r w:rsidR="001C2146">
        <w:rPr>
          <w:shd w:val="clear" w:color="auto" w:fill="FFFFFF"/>
        </w:rPr>
        <w:t xml:space="preserve">labi </w:t>
      </w:r>
      <w:r w:rsidR="00801A55" w:rsidRPr="008E4856">
        <w:rPr>
          <w:shd w:val="clear" w:color="auto" w:fill="FFFFFF"/>
        </w:rPr>
        <w:t>zināma.</w:t>
      </w:r>
      <w:r w:rsidR="00790F8E">
        <w:rPr>
          <w:shd w:val="clear" w:color="auto" w:fill="FFFFFF"/>
        </w:rPr>
        <w:t xml:space="preserve"> </w:t>
      </w:r>
      <w:r w:rsidR="000D6D68">
        <w:rPr>
          <w:shd w:val="clear" w:color="auto" w:fill="FFFFFF"/>
        </w:rPr>
        <w:t xml:space="preserve">Nav </w:t>
      </w:r>
      <w:r w:rsidR="00F44195">
        <w:rPr>
          <w:shd w:val="clear" w:color="auto" w:fill="FFFFFF"/>
        </w:rPr>
        <w:t xml:space="preserve">arī </w:t>
      </w:r>
      <w:r w:rsidR="000D6D68">
        <w:rPr>
          <w:shd w:val="clear" w:color="auto" w:fill="FFFFFF"/>
        </w:rPr>
        <w:t xml:space="preserve">nekādas nozīmes </w:t>
      </w:r>
      <w:r w:rsidR="00790F8E">
        <w:rPr>
          <w:shd w:val="clear" w:color="auto" w:fill="FFFFFF"/>
        </w:rPr>
        <w:t xml:space="preserve">argumentam, ka </w:t>
      </w:r>
      <w:r w:rsidR="00183623">
        <w:rPr>
          <w:shd w:val="clear" w:color="auto" w:fill="FFFFFF"/>
        </w:rPr>
        <w:t xml:space="preserve">atbildētājai </w:t>
      </w:r>
      <w:r w:rsidR="00790F8E">
        <w:rPr>
          <w:shd w:val="clear" w:color="auto" w:fill="FFFFFF"/>
        </w:rPr>
        <w:t>bija iespēja atcelt iepirkuma procedūru un tādējādi pieteicēja nevarēja viennozīmīgi paļauties uz iepirkuma līguma noslēgšanu</w:t>
      </w:r>
      <w:r w:rsidR="00DD015B">
        <w:rPr>
          <w:shd w:val="clear" w:color="auto" w:fill="FFFFFF"/>
        </w:rPr>
        <w:t xml:space="preserve"> kā procesa rezultātu</w:t>
      </w:r>
      <w:r w:rsidR="000D6D68">
        <w:rPr>
          <w:shd w:val="clear" w:color="auto" w:fill="FFFFFF"/>
        </w:rPr>
        <w:t>. P</w:t>
      </w:r>
      <w:r w:rsidR="00546FE2">
        <w:rPr>
          <w:shd w:val="clear" w:color="auto" w:fill="FFFFFF"/>
        </w:rPr>
        <w:t xml:space="preserve">irmkārt, </w:t>
      </w:r>
      <w:r w:rsidR="00DD015B">
        <w:rPr>
          <w:shd w:val="clear" w:color="auto" w:fill="FFFFFF"/>
        </w:rPr>
        <w:t xml:space="preserve">Senāts jau </w:t>
      </w:r>
      <w:r w:rsidR="00D510CB">
        <w:rPr>
          <w:shd w:val="clear" w:color="auto" w:fill="FFFFFF"/>
        </w:rPr>
        <w:t>iepriekš</w:t>
      </w:r>
      <w:r w:rsidR="00DD015B">
        <w:rPr>
          <w:shd w:val="clear" w:color="auto" w:fill="FFFFFF"/>
        </w:rPr>
        <w:t xml:space="preserve"> ir izvērtējis atbildētājas apsvērumus, ar kuriem tā pamatoja iespējamu iepirkuma procedūras pārtraukšanu, un atzinis, ka tie nav tādi, kas varētu būt objektīvs iemesls </w:t>
      </w:r>
      <w:r w:rsidR="00D510CB">
        <w:rPr>
          <w:shd w:val="clear" w:color="auto" w:fill="FFFFFF"/>
        </w:rPr>
        <w:t xml:space="preserve">iepirkuma </w:t>
      </w:r>
      <w:r w:rsidR="00DD015B">
        <w:rPr>
          <w:shd w:val="clear" w:color="auto" w:fill="FFFFFF"/>
        </w:rPr>
        <w:t xml:space="preserve">pārtraukšanai </w:t>
      </w:r>
      <w:r w:rsidR="00546FE2">
        <w:rPr>
          <w:shd w:val="clear" w:color="auto" w:fill="FFFFFF"/>
        </w:rPr>
        <w:t>(</w:t>
      </w:r>
      <w:r w:rsidR="00546FE2" w:rsidRPr="00546FE2">
        <w:rPr>
          <w:i/>
          <w:iCs/>
          <w:shd w:val="clear" w:color="auto" w:fill="FFFFFF"/>
        </w:rPr>
        <w:t>turpat, 24.punkts</w:t>
      </w:r>
      <w:r w:rsidR="00546FE2">
        <w:rPr>
          <w:shd w:val="clear" w:color="auto" w:fill="FFFFFF"/>
        </w:rPr>
        <w:t>)</w:t>
      </w:r>
      <w:r w:rsidR="00F44195">
        <w:rPr>
          <w:shd w:val="clear" w:color="auto" w:fill="FFFFFF"/>
        </w:rPr>
        <w:t>;</w:t>
      </w:r>
      <w:r w:rsidR="00546FE2">
        <w:rPr>
          <w:shd w:val="clear" w:color="auto" w:fill="FFFFFF"/>
        </w:rPr>
        <w:t xml:space="preserve"> otrkārt,</w:t>
      </w:r>
      <w:r w:rsidR="00790F8E">
        <w:rPr>
          <w:shd w:val="clear" w:color="auto" w:fill="FFFFFF"/>
        </w:rPr>
        <w:t xml:space="preserve"> no lietas izriet, ka iepirkuma</w:t>
      </w:r>
      <w:r w:rsidR="00DA1415">
        <w:rPr>
          <w:shd w:val="clear" w:color="auto" w:fill="FFFFFF"/>
        </w:rPr>
        <w:t xml:space="preserve"> procedūra netika pārtraukta un </w:t>
      </w:r>
      <w:r w:rsidR="00790F8E">
        <w:rPr>
          <w:shd w:val="clear" w:color="auto" w:fill="FFFFFF"/>
        </w:rPr>
        <w:t>līgums tika noslēgts</w:t>
      </w:r>
      <w:r w:rsidR="00526CC0">
        <w:rPr>
          <w:shd w:val="clear" w:color="auto" w:fill="FFFFFF"/>
        </w:rPr>
        <w:t xml:space="preserve"> –</w:t>
      </w:r>
      <w:r w:rsidR="00790F8E">
        <w:rPr>
          <w:shd w:val="clear" w:color="auto" w:fill="FFFFFF"/>
        </w:rPr>
        <w:t xml:space="preserve"> tikai ar citu pretendentu</w:t>
      </w:r>
      <w:r w:rsidR="007528F6">
        <w:rPr>
          <w:shd w:val="clear" w:color="auto" w:fill="FFFFFF"/>
        </w:rPr>
        <w:t>, kaut gan tiesiskas iepirkuma procedūras</w:t>
      </w:r>
      <w:r w:rsidR="006447C1">
        <w:rPr>
          <w:shd w:val="clear" w:color="auto" w:fill="FFFFFF"/>
        </w:rPr>
        <w:t xml:space="preserve"> norises</w:t>
      </w:r>
      <w:r w:rsidR="007528F6">
        <w:rPr>
          <w:shd w:val="clear" w:color="auto" w:fill="FFFFFF"/>
        </w:rPr>
        <w:t xml:space="preserve"> gadījumā šo līgumu vajadzēja noslēgt un izpildīt pieteicējai.</w:t>
      </w:r>
    </w:p>
    <w:bookmarkEnd w:id="2"/>
    <w:p w14:paraId="30C0010E" w14:textId="77777777" w:rsidR="00C84D92" w:rsidRPr="004672AE" w:rsidRDefault="00C84D92" w:rsidP="00E0632D">
      <w:pPr>
        <w:spacing w:line="276" w:lineRule="auto"/>
        <w:ind w:firstLine="720"/>
        <w:jc w:val="both"/>
      </w:pPr>
    </w:p>
    <w:p w14:paraId="4764A304" w14:textId="4029B5B4" w:rsidR="007B3558" w:rsidRDefault="007927FF" w:rsidP="00E0632D">
      <w:pPr>
        <w:spacing w:line="276" w:lineRule="auto"/>
        <w:ind w:firstLine="720"/>
        <w:jc w:val="both"/>
        <w:rPr>
          <w:rFonts w:asciiTheme="majorBidi" w:hAnsiTheme="majorBidi" w:cstheme="majorBidi"/>
        </w:rPr>
      </w:pPr>
      <w:r w:rsidRPr="00DB5BEB">
        <w:t>[</w:t>
      </w:r>
      <w:r w:rsidR="00435A60">
        <w:t>1</w:t>
      </w:r>
      <w:r w:rsidR="00D510CB">
        <w:t>0</w:t>
      </w:r>
      <w:r w:rsidRPr="00DB5BEB">
        <w:t>]</w:t>
      </w:r>
      <w:r w:rsidR="00DB5BEB" w:rsidRPr="00DB5BEB">
        <w:t> </w:t>
      </w:r>
      <w:r w:rsidR="001C2146">
        <w:rPr>
          <w:rFonts w:asciiTheme="majorBidi" w:hAnsiTheme="majorBidi" w:cstheme="majorBidi"/>
        </w:rPr>
        <w:t>Rezumējot iepriekš</w:t>
      </w:r>
      <w:r w:rsidR="000D6D68">
        <w:rPr>
          <w:rFonts w:asciiTheme="majorBidi" w:hAnsiTheme="majorBidi" w:cstheme="majorBidi"/>
        </w:rPr>
        <w:t xml:space="preserve"> pausto</w:t>
      </w:r>
      <w:r w:rsidRPr="00DB5BEB">
        <w:rPr>
          <w:rFonts w:asciiTheme="majorBidi" w:hAnsiTheme="majorBidi" w:cstheme="majorBidi"/>
        </w:rPr>
        <w:t xml:space="preserve">, senatoru kolēģija atzīst, ka </w:t>
      </w:r>
      <w:r w:rsidR="00DB5BEB" w:rsidRPr="00DB5BEB">
        <w:rPr>
          <w:rFonts w:asciiTheme="majorBidi" w:hAnsiTheme="majorBidi" w:cstheme="majorBidi"/>
        </w:rPr>
        <w:t>atbildētājas</w:t>
      </w:r>
      <w:r w:rsidRPr="00DB5BEB">
        <w:rPr>
          <w:rFonts w:asciiTheme="majorBidi" w:hAnsiTheme="majorBidi" w:cstheme="majorBidi"/>
        </w:rPr>
        <w:t xml:space="preserve"> kasācijas sūdzībā norādītie </w:t>
      </w:r>
      <w:r w:rsidR="00526CC0">
        <w:rPr>
          <w:rFonts w:asciiTheme="majorBidi" w:hAnsiTheme="majorBidi" w:cstheme="majorBidi"/>
        </w:rPr>
        <w:t>argumenti</w:t>
      </w:r>
      <w:r w:rsidRPr="00DB5BEB">
        <w:rPr>
          <w:rFonts w:asciiTheme="majorBidi" w:hAnsiTheme="majorBidi" w:cstheme="majorBidi"/>
        </w:rPr>
        <w:t xml:space="preserve"> nerada šaubas par </w:t>
      </w:r>
      <w:r w:rsidR="00DB5BEB" w:rsidRPr="00DB5BEB">
        <w:rPr>
          <w:rFonts w:asciiTheme="majorBidi" w:hAnsiTheme="majorBidi" w:cstheme="majorBidi"/>
        </w:rPr>
        <w:t>rajona tiesas</w:t>
      </w:r>
      <w:r w:rsidRPr="00DB5BEB">
        <w:rPr>
          <w:rFonts w:asciiTheme="majorBidi" w:hAnsiTheme="majorBidi" w:cstheme="majorBidi"/>
        </w:rPr>
        <w:t xml:space="preserve"> sprieduma tiesiskumu</w:t>
      </w:r>
      <w:r w:rsidR="00C84D92">
        <w:rPr>
          <w:rFonts w:asciiTheme="majorBidi" w:hAnsiTheme="majorBidi" w:cstheme="majorBidi"/>
        </w:rPr>
        <w:t xml:space="preserve"> </w:t>
      </w:r>
      <w:r w:rsidR="00C84D92" w:rsidRPr="00C84D92">
        <w:rPr>
          <w:rFonts w:asciiTheme="majorBidi" w:hAnsiTheme="majorBidi" w:cstheme="majorBidi"/>
        </w:rPr>
        <w:t>un nenorāda uz Valsts pārvaldes iestāžu nodarīto zaudējumu atlīdzināšanas likuma 1. un 7.panta pārkāpumu</w:t>
      </w:r>
      <w:r w:rsidR="004D6231">
        <w:t>. Tā kā i</w:t>
      </w:r>
      <w:r w:rsidRPr="00DB5BEB">
        <w:rPr>
          <w:rFonts w:asciiTheme="majorBidi" w:hAnsiTheme="majorBidi" w:cstheme="majorBidi"/>
        </w:rPr>
        <w:t xml:space="preserve">zskatāmajai lietai nav </w:t>
      </w:r>
      <w:r w:rsidR="004D6231" w:rsidRPr="00DB5BEB">
        <w:rPr>
          <w:rFonts w:asciiTheme="majorBidi" w:hAnsiTheme="majorBidi" w:cstheme="majorBidi"/>
        </w:rPr>
        <w:t xml:space="preserve">arī </w:t>
      </w:r>
      <w:r w:rsidRPr="00DB5BEB">
        <w:rPr>
          <w:rFonts w:asciiTheme="majorBidi" w:hAnsiTheme="majorBidi" w:cstheme="majorBidi"/>
        </w:rPr>
        <w:t>nozīmes judikatūras veidošanā</w:t>
      </w:r>
      <w:r w:rsidR="004D6231">
        <w:rPr>
          <w:rFonts w:asciiTheme="majorBidi" w:hAnsiTheme="majorBidi" w:cstheme="majorBidi"/>
        </w:rPr>
        <w:t>, t</w:t>
      </w:r>
      <w:r w:rsidRPr="00DB5BEB">
        <w:rPr>
          <w:rFonts w:asciiTheme="majorBidi" w:hAnsiTheme="majorBidi" w:cstheme="majorBidi"/>
        </w:rPr>
        <w:t>as ir pamats atteikt ierosināt kasācijas tiesvedību.</w:t>
      </w:r>
    </w:p>
    <w:p w14:paraId="74262ED3" w14:textId="77777777" w:rsidR="00C84D92" w:rsidRPr="00C84D92" w:rsidRDefault="00C84D92" w:rsidP="00E0632D">
      <w:pPr>
        <w:spacing w:line="276" w:lineRule="auto"/>
        <w:ind w:firstLine="720"/>
        <w:jc w:val="both"/>
        <w:rPr>
          <w:rFonts w:asciiTheme="majorBidi" w:hAnsiTheme="majorBidi" w:cstheme="majorBidi"/>
        </w:rPr>
      </w:pPr>
    </w:p>
    <w:p w14:paraId="4F3089B6" w14:textId="32E9A73E" w:rsidR="009C68DE" w:rsidRDefault="009C68DE" w:rsidP="00E0632D">
      <w:pPr>
        <w:spacing w:line="276" w:lineRule="auto"/>
        <w:ind w:firstLine="709"/>
        <w:jc w:val="both"/>
      </w:pPr>
      <w:r w:rsidRPr="00DB5BEB">
        <w:t xml:space="preserve">Pamatojoties uz Administratīvā procesa likuma </w:t>
      </w:r>
      <w:r w:rsidR="007927FF" w:rsidRPr="00DB5BEB">
        <w:rPr>
          <w:rFonts w:asciiTheme="majorBidi" w:hAnsiTheme="majorBidi" w:cstheme="majorBidi"/>
        </w:rPr>
        <w:t>338.panta otro daļu un 338.</w:t>
      </w:r>
      <w:r w:rsidR="007927FF" w:rsidRPr="00DB5BEB">
        <w:rPr>
          <w:rFonts w:asciiTheme="majorBidi" w:hAnsiTheme="majorBidi" w:cstheme="majorBidi"/>
          <w:vertAlign w:val="superscript"/>
        </w:rPr>
        <w:t>1</w:t>
      </w:r>
      <w:r w:rsidR="007927FF" w:rsidRPr="00DB5BEB">
        <w:rPr>
          <w:rFonts w:asciiTheme="majorBidi" w:hAnsiTheme="majorBidi" w:cstheme="majorBidi"/>
        </w:rPr>
        <w:t>panta otrās daļas 2.punktu</w:t>
      </w:r>
      <w:r w:rsidRPr="00DB5BEB">
        <w:t>, senatoru kolēģija</w:t>
      </w:r>
    </w:p>
    <w:p w14:paraId="5FE1986F" w14:textId="77777777" w:rsidR="00FB4122" w:rsidRPr="00DB5BEB" w:rsidRDefault="00FB4122" w:rsidP="00E0632D">
      <w:pPr>
        <w:spacing w:line="276" w:lineRule="auto"/>
        <w:ind w:firstLine="709"/>
        <w:jc w:val="both"/>
      </w:pPr>
    </w:p>
    <w:p w14:paraId="141FEDBA" w14:textId="77777777" w:rsidR="009C68DE" w:rsidRPr="00DB5BEB" w:rsidRDefault="009C68DE" w:rsidP="00E0632D">
      <w:pPr>
        <w:spacing w:line="276" w:lineRule="auto"/>
        <w:ind w:firstLine="709"/>
        <w:jc w:val="both"/>
      </w:pPr>
    </w:p>
    <w:p w14:paraId="30E19772" w14:textId="105B3C3B" w:rsidR="009C68DE" w:rsidRDefault="00C84D92" w:rsidP="00E0632D">
      <w:pPr>
        <w:tabs>
          <w:tab w:val="left" w:pos="2700"/>
          <w:tab w:val="left" w:pos="6660"/>
        </w:tabs>
        <w:spacing w:line="276" w:lineRule="auto"/>
        <w:jc w:val="center"/>
        <w:rPr>
          <w:b/>
          <w:bCs/>
        </w:rPr>
      </w:pPr>
      <w:r>
        <w:rPr>
          <w:b/>
        </w:rPr>
        <w:t>n</w:t>
      </w:r>
      <w:r w:rsidR="009C68DE" w:rsidRPr="00DB5BEB">
        <w:rPr>
          <w:b/>
        </w:rPr>
        <w:t>olēma</w:t>
      </w:r>
    </w:p>
    <w:p w14:paraId="1D8A0E77" w14:textId="77777777" w:rsidR="00C84D92" w:rsidRPr="00DB5BEB" w:rsidRDefault="00C84D92" w:rsidP="00E0632D">
      <w:pPr>
        <w:tabs>
          <w:tab w:val="left" w:pos="2700"/>
          <w:tab w:val="left" w:pos="6660"/>
        </w:tabs>
        <w:spacing w:line="276" w:lineRule="auto"/>
        <w:ind w:firstLine="709"/>
        <w:rPr>
          <w:b/>
          <w:bCs/>
        </w:rPr>
      </w:pPr>
    </w:p>
    <w:p w14:paraId="597BC41C" w14:textId="40183935" w:rsidR="009C68DE" w:rsidRPr="00DB5BEB" w:rsidRDefault="007927FF" w:rsidP="00E0632D">
      <w:pPr>
        <w:tabs>
          <w:tab w:val="left" w:pos="540"/>
          <w:tab w:val="left" w:pos="6660"/>
        </w:tabs>
        <w:spacing w:line="276" w:lineRule="auto"/>
        <w:ind w:firstLine="709"/>
        <w:jc w:val="both"/>
      </w:pPr>
      <w:r w:rsidRPr="00DB5BEB">
        <w:t>atteikt ierosināt kasācijas tiesvedību sakarā ar</w:t>
      </w:r>
      <w:r w:rsidR="00F92DC3" w:rsidRPr="00DB5BEB">
        <w:rPr>
          <w:rFonts w:asciiTheme="majorBidi" w:hAnsiTheme="majorBidi" w:cstheme="majorBidi"/>
        </w:rPr>
        <w:t xml:space="preserve"> </w:t>
      </w:r>
      <w:r w:rsidR="00DB5BEB" w:rsidRPr="00DB5BEB">
        <w:rPr>
          <w:rFonts w:asciiTheme="majorBidi" w:hAnsiTheme="majorBidi" w:cstheme="majorBidi"/>
        </w:rPr>
        <w:t>Latvijas Universitātes</w:t>
      </w:r>
      <w:r w:rsidRPr="00DB5BEB">
        <w:rPr>
          <w:rFonts w:asciiTheme="majorBidi" w:hAnsiTheme="majorBidi" w:cstheme="majorBidi"/>
        </w:rPr>
        <w:t xml:space="preserve"> </w:t>
      </w:r>
      <w:r w:rsidR="00F92DC3" w:rsidRPr="00DB5BEB">
        <w:t>kasācijas</w:t>
      </w:r>
      <w:r w:rsidR="009C68DE" w:rsidRPr="00DB5BEB">
        <w:t xml:space="preserve"> sūdzību par </w:t>
      </w:r>
      <w:r w:rsidR="00F92DC3" w:rsidRPr="00DB5BEB">
        <w:rPr>
          <w:rFonts w:asciiTheme="majorBidi" w:hAnsiTheme="majorBidi" w:cstheme="majorBidi"/>
        </w:rPr>
        <w:t xml:space="preserve">Administratīvās </w:t>
      </w:r>
      <w:r w:rsidR="00DB5BEB" w:rsidRPr="00DB5BEB">
        <w:rPr>
          <w:rFonts w:asciiTheme="majorBidi" w:hAnsiTheme="majorBidi" w:cstheme="majorBidi"/>
        </w:rPr>
        <w:t>rajona tiesas</w:t>
      </w:r>
      <w:r w:rsidR="00F92DC3" w:rsidRPr="00DB5BEB">
        <w:rPr>
          <w:rFonts w:asciiTheme="majorBidi" w:hAnsiTheme="majorBidi" w:cstheme="majorBidi"/>
        </w:rPr>
        <w:t xml:space="preserve"> 2025.gada </w:t>
      </w:r>
      <w:r w:rsidR="00DB5BEB" w:rsidRPr="00DB5BEB">
        <w:rPr>
          <w:rFonts w:asciiTheme="majorBidi" w:hAnsiTheme="majorBidi" w:cstheme="majorBidi"/>
        </w:rPr>
        <w:t>7.augusta</w:t>
      </w:r>
      <w:r w:rsidR="00F92DC3" w:rsidRPr="00DB5BEB">
        <w:rPr>
          <w:rFonts w:asciiTheme="majorBidi" w:hAnsiTheme="majorBidi" w:cstheme="majorBidi"/>
        </w:rPr>
        <w:t xml:space="preserve"> spriedumu</w:t>
      </w:r>
      <w:r w:rsidR="009C68DE" w:rsidRPr="00DB5BEB">
        <w:t>.</w:t>
      </w:r>
    </w:p>
    <w:p w14:paraId="6E7109A9" w14:textId="77777777" w:rsidR="00F91F12" w:rsidRPr="00DB5BEB" w:rsidRDefault="00F91F12" w:rsidP="00E0632D">
      <w:pPr>
        <w:tabs>
          <w:tab w:val="left" w:pos="540"/>
          <w:tab w:val="left" w:pos="6660"/>
        </w:tabs>
        <w:spacing w:line="276" w:lineRule="auto"/>
        <w:ind w:firstLine="709"/>
        <w:jc w:val="both"/>
      </w:pPr>
    </w:p>
    <w:p w14:paraId="2EED56B2" w14:textId="56821E3A" w:rsidR="007B3558" w:rsidRDefault="00F91F12" w:rsidP="00E0632D">
      <w:pPr>
        <w:tabs>
          <w:tab w:val="left" w:pos="540"/>
          <w:tab w:val="left" w:pos="6660"/>
        </w:tabs>
        <w:spacing w:line="276" w:lineRule="auto"/>
        <w:ind w:firstLine="709"/>
        <w:jc w:val="both"/>
      </w:pPr>
      <w:r w:rsidRPr="00DB5BEB">
        <w:t>Lēmums nav pārsūdzams.</w:t>
      </w:r>
    </w:p>
    <w:p w14:paraId="173B0AE0" w14:textId="77777777" w:rsidR="00FB4122" w:rsidRDefault="00FB4122" w:rsidP="00E0632D">
      <w:pPr>
        <w:tabs>
          <w:tab w:val="left" w:pos="540"/>
          <w:tab w:val="left" w:pos="6660"/>
        </w:tabs>
        <w:spacing w:line="276" w:lineRule="auto"/>
        <w:ind w:firstLine="709"/>
        <w:jc w:val="both"/>
      </w:pPr>
    </w:p>
    <w:p w14:paraId="234F852E" w14:textId="77777777" w:rsidR="00FB4122" w:rsidRDefault="00FB4122" w:rsidP="00E0632D">
      <w:pPr>
        <w:tabs>
          <w:tab w:val="left" w:pos="540"/>
          <w:tab w:val="left" w:pos="6660"/>
        </w:tabs>
        <w:spacing w:line="276" w:lineRule="auto"/>
        <w:ind w:firstLine="709"/>
        <w:jc w:val="both"/>
      </w:pPr>
    </w:p>
    <w:p w14:paraId="652AF2D0" w14:textId="77777777" w:rsidR="007E60D0" w:rsidRDefault="007E60D0" w:rsidP="00E0632D">
      <w:pPr>
        <w:tabs>
          <w:tab w:val="left" w:pos="540"/>
          <w:tab w:val="left" w:pos="6660"/>
        </w:tabs>
        <w:spacing w:line="276" w:lineRule="auto"/>
        <w:ind w:firstLine="709"/>
        <w:jc w:val="both"/>
      </w:pPr>
    </w:p>
    <w:p w14:paraId="37E8E9AC" w14:textId="77777777" w:rsidR="007E60D0" w:rsidRPr="00DB5BEB" w:rsidRDefault="007E60D0" w:rsidP="00E0632D">
      <w:pPr>
        <w:tabs>
          <w:tab w:val="left" w:pos="540"/>
          <w:tab w:val="left" w:pos="6660"/>
        </w:tabs>
        <w:spacing w:line="276" w:lineRule="auto"/>
        <w:ind w:firstLine="709"/>
        <w:jc w:val="both"/>
        <w:rPr>
          <w:rFonts w:asciiTheme="majorBidi" w:hAnsiTheme="majorBidi" w:cstheme="majorBidi"/>
        </w:rPr>
      </w:pPr>
    </w:p>
    <w:p w14:paraId="6C55E435" w14:textId="7F76F0DF" w:rsidR="00DB5BEB" w:rsidRPr="00DB5BEB" w:rsidRDefault="00DB5BEB" w:rsidP="00E0632D">
      <w:pPr>
        <w:tabs>
          <w:tab w:val="center" w:pos="4395"/>
          <w:tab w:val="right" w:pos="8504"/>
        </w:tabs>
        <w:spacing w:line="276" w:lineRule="auto"/>
        <w:rPr>
          <w:rFonts w:asciiTheme="majorBidi" w:hAnsiTheme="majorBidi" w:cstheme="majorBidi"/>
        </w:rPr>
      </w:pPr>
      <w:r w:rsidRPr="00DB5BEB">
        <w:rPr>
          <w:rFonts w:asciiTheme="majorBidi" w:hAnsiTheme="majorBidi" w:cstheme="majorBidi"/>
        </w:rPr>
        <w:t>Senatore V. Kakste</w:t>
      </w:r>
      <w:r w:rsidRPr="00DB5BEB">
        <w:rPr>
          <w:rFonts w:asciiTheme="majorBidi" w:hAnsiTheme="majorBidi" w:cstheme="majorBidi"/>
        </w:rPr>
        <w:tab/>
        <w:t>Senatore Dz. Amerika</w:t>
      </w:r>
      <w:r w:rsidRPr="00DB5BEB">
        <w:rPr>
          <w:rFonts w:asciiTheme="majorBidi" w:hAnsiTheme="majorBidi" w:cstheme="majorBidi"/>
        </w:rPr>
        <w:tab/>
        <w:t>Senatore I. Meldere</w:t>
      </w:r>
      <w:bookmarkEnd w:id="0"/>
    </w:p>
    <w:sectPr w:rsidR="00DB5BEB" w:rsidRPr="00DB5BEB" w:rsidSect="00581A52">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10A4" w14:textId="77777777" w:rsidR="00E162EA" w:rsidRPr="00AC00B6" w:rsidRDefault="00E162EA">
      <w:r w:rsidRPr="00AC00B6">
        <w:separator/>
      </w:r>
    </w:p>
  </w:endnote>
  <w:endnote w:type="continuationSeparator" w:id="0">
    <w:p w14:paraId="48FFE56D" w14:textId="77777777" w:rsidR="00E162EA" w:rsidRPr="00AC00B6" w:rsidRDefault="00E162EA">
      <w:r w:rsidRPr="00AC00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64086"/>
      <w:docPartObj>
        <w:docPartGallery w:val="Page Numbers (Bottom of Page)"/>
        <w:docPartUnique/>
      </w:docPartObj>
    </w:sdtPr>
    <w:sdtEndPr/>
    <w:sdtContent>
      <w:sdt>
        <w:sdtPr>
          <w:id w:val="1728636285"/>
          <w:docPartObj>
            <w:docPartGallery w:val="Page Numbers (Top of Page)"/>
            <w:docPartUnique/>
          </w:docPartObj>
        </w:sdtPr>
        <w:sdtEndPr/>
        <w:sdtContent>
          <w:p w14:paraId="0915CB8D" w14:textId="77777777" w:rsidR="009A3401" w:rsidRPr="00AC00B6" w:rsidRDefault="009A3401" w:rsidP="00EC2488">
            <w:pPr>
              <w:pStyle w:val="Footer"/>
              <w:jc w:val="center"/>
            </w:pPr>
            <w:r w:rsidRPr="00AC00B6">
              <w:rPr>
                <w:bCs/>
                <w:sz w:val="20"/>
                <w:szCs w:val="20"/>
              </w:rPr>
              <w:fldChar w:fldCharType="begin"/>
            </w:r>
            <w:r w:rsidRPr="00AC00B6">
              <w:rPr>
                <w:bCs/>
                <w:sz w:val="20"/>
                <w:szCs w:val="20"/>
              </w:rPr>
              <w:instrText xml:space="preserve"> PAGE </w:instrText>
            </w:r>
            <w:r w:rsidRPr="00AC00B6">
              <w:rPr>
                <w:bCs/>
                <w:sz w:val="20"/>
                <w:szCs w:val="20"/>
              </w:rPr>
              <w:fldChar w:fldCharType="separate"/>
            </w:r>
            <w:r w:rsidRPr="00AC00B6">
              <w:rPr>
                <w:bCs/>
                <w:sz w:val="20"/>
                <w:szCs w:val="20"/>
              </w:rPr>
              <w:t>1</w:t>
            </w:r>
            <w:r w:rsidRPr="00AC00B6">
              <w:rPr>
                <w:bCs/>
                <w:sz w:val="20"/>
                <w:szCs w:val="20"/>
              </w:rPr>
              <w:fldChar w:fldCharType="end"/>
            </w:r>
            <w:r w:rsidRPr="00AC00B6">
              <w:rPr>
                <w:sz w:val="20"/>
                <w:szCs w:val="20"/>
              </w:rPr>
              <w:t xml:space="preserve"> no </w:t>
            </w:r>
            <w:r w:rsidRPr="00AC00B6">
              <w:rPr>
                <w:bCs/>
                <w:sz w:val="20"/>
                <w:szCs w:val="20"/>
              </w:rPr>
              <w:fldChar w:fldCharType="begin"/>
            </w:r>
            <w:r w:rsidRPr="00AC00B6">
              <w:rPr>
                <w:bCs/>
                <w:sz w:val="20"/>
                <w:szCs w:val="20"/>
              </w:rPr>
              <w:instrText xml:space="preserve"> NUMPAGES  </w:instrText>
            </w:r>
            <w:r w:rsidRPr="00AC00B6">
              <w:rPr>
                <w:bCs/>
                <w:sz w:val="20"/>
                <w:szCs w:val="20"/>
              </w:rPr>
              <w:fldChar w:fldCharType="separate"/>
            </w:r>
            <w:r w:rsidRPr="00AC00B6">
              <w:rPr>
                <w:bCs/>
                <w:sz w:val="20"/>
                <w:szCs w:val="20"/>
              </w:rPr>
              <w:t>4</w:t>
            </w:r>
            <w:r w:rsidRPr="00AC00B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DEC1" w14:textId="77777777" w:rsidR="00E162EA" w:rsidRPr="00AC00B6" w:rsidRDefault="00E162EA">
      <w:r w:rsidRPr="00AC00B6">
        <w:separator/>
      </w:r>
    </w:p>
  </w:footnote>
  <w:footnote w:type="continuationSeparator" w:id="0">
    <w:p w14:paraId="345349C3" w14:textId="77777777" w:rsidR="00E162EA" w:rsidRPr="00AC00B6" w:rsidRDefault="00E162EA">
      <w:r w:rsidRPr="00AC00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FF3"/>
    <w:multiLevelType w:val="multilevel"/>
    <w:tmpl w:val="007E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D1D61"/>
    <w:multiLevelType w:val="multilevel"/>
    <w:tmpl w:val="549A2222"/>
    <w:lvl w:ilvl="0">
      <w:start w:val="1"/>
      <w:numFmt w:val="decimal"/>
      <w:lvlText w:val="%1."/>
      <w:lvlJc w:val="left"/>
      <w:pPr>
        <w:ind w:left="360" w:hanging="360"/>
      </w:pPr>
      <w:rPr>
        <w:rFonts w:asciiTheme="minorHAnsi" w:hAnsiTheme="minorHAnsi" w:hint="default"/>
        <w:b w:val="0"/>
        <w:bCs/>
        <w:i w:val="0"/>
        <w:sz w:val="18"/>
        <w:szCs w:val="18"/>
      </w:rPr>
    </w:lvl>
    <w:lvl w:ilvl="1">
      <w:start w:val="1"/>
      <w:numFmt w:val="decimal"/>
      <w:lvlText w:val="%1.%2."/>
      <w:lvlJc w:val="left"/>
      <w:pPr>
        <w:ind w:left="792" w:hanging="432"/>
      </w:pPr>
      <w:rPr>
        <w:rFonts w:asciiTheme="minorHAnsi" w:hAnsiTheme="minorHAnsi" w:hint="default"/>
        <w:b w:val="0"/>
        <w:bCs w:val="0"/>
        <w:i w:val="0"/>
        <w:sz w:val="18"/>
        <w:szCs w:val="18"/>
      </w:rPr>
    </w:lvl>
    <w:lvl w:ilvl="2">
      <w:start w:val="1"/>
      <w:numFmt w:val="decimal"/>
      <w:lvlText w:val="%1.%2.%3."/>
      <w:lvlJc w:val="left"/>
      <w:pPr>
        <w:ind w:left="1224" w:hanging="504"/>
      </w:pPr>
      <w:rPr>
        <w:rFonts w:asciiTheme="minorHAnsi" w:hAnsiTheme="minorHAnsi" w:hint="default"/>
        <w:b/>
        <w:i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F3EDE"/>
    <w:multiLevelType w:val="multilevel"/>
    <w:tmpl w:val="FF9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327AA"/>
    <w:multiLevelType w:val="multilevel"/>
    <w:tmpl w:val="C80AC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1519A"/>
    <w:multiLevelType w:val="multilevel"/>
    <w:tmpl w:val="91E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82E48"/>
    <w:multiLevelType w:val="multilevel"/>
    <w:tmpl w:val="8990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E39C1"/>
    <w:multiLevelType w:val="multilevel"/>
    <w:tmpl w:val="CFA8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D0B14"/>
    <w:multiLevelType w:val="multilevel"/>
    <w:tmpl w:val="55A8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10BA1"/>
    <w:multiLevelType w:val="multilevel"/>
    <w:tmpl w:val="9A86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B55312"/>
    <w:multiLevelType w:val="hybridMultilevel"/>
    <w:tmpl w:val="0E2E76FA"/>
    <w:lvl w:ilvl="0" w:tplc="5448BA00">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97381C"/>
    <w:multiLevelType w:val="multilevel"/>
    <w:tmpl w:val="7B4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B3250"/>
    <w:multiLevelType w:val="multilevel"/>
    <w:tmpl w:val="E29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36A76"/>
    <w:multiLevelType w:val="multilevel"/>
    <w:tmpl w:val="0CB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C688F"/>
    <w:multiLevelType w:val="multilevel"/>
    <w:tmpl w:val="EEEC8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66D70"/>
    <w:multiLevelType w:val="multilevel"/>
    <w:tmpl w:val="40DED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211874">
    <w:abstractNumId w:val="9"/>
  </w:num>
  <w:num w:numId="2" w16cid:durableId="1973704289">
    <w:abstractNumId w:val="1"/>
  </w:num>
  <w:num w:numId="3" w16cid:durableId="287861194">
    <w:abstractNumId w:val="8"/>
  </w:num>
  <w:num w:numId="4" w16cid:durableId="1809737332">
    <w:abstractNumId w:val="2"/>
  </w:num>
  <w:num w:numId="5" w16cid:durableId="1818648989">
    <w:abstractNumId w:val="4"/>
  </w:num>
  <w:num w:numId="6" w16cid:durableId="1782458427">
    <w:abstractNumId w:val="5"/>
  </w:num>
  <w:num w:numId="7" w16cid:durableId="1323314316">
    <w:abstractNumId w:val="0"/>
  </w:num>
  <w:num w:numId="8" w16cid:durableId="2042506937">
    <w:abstractNumId w:val="3"/>
  </w:num>
  <w:num w:numId="9" w16cid:durableId="1435322149">
    <w:abstractNumId w:val="11"/>
  </w:num>
  <w:num w:numId="10" w16cid:durableId="1948191993">
    <w:abstractNumId w:val="10"/>
  </w:num>
  <w:num w:numId="11" w16cid:durableId="974022898">
    <w:abstractNumId w:val="12"/>
  </w:num>
  <w:num w:numId="12" w16cid:durableId="1934438542">
    <w:abstractNumId w:val="6"/>
  </w:num>
  <w:num w:numId="13" w16cid:durableId="2052265279">
    <w:abstractNumId w:val="14"/>
  </w:num>
  <w:num w:numId="14" w16cid:durableId="606274358">
    <w:abstractNumId w:val="13"/>
  </w:num>
  <w:num w:numId="15" w16cid:durableId="162668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58"/>
    <w:rsid w:val="000008C7"/>
    <w:rsid w:val="00001EA3"/>
    <w:rsid w:val="00002E9C"/>
    <w:rsid w:val="00010FBD"/>
    <w:rsid w:val="0001104A"/>
    <w:rsid w:val="000121B3"/>
    <w:rsid w:val="00024FB1"/>
    <w:rsid w:val="00031BE1"/>
    <w:rsid w:val="00033070"/>
    <w:rsid w:val="00035E10"/>
    <w:rsid w:val="00035F05"/>
    <w:rsid w:val="00040A70"/>
    <w:rsid w:val="0005005E"/>
    <w:rsid w:val="00053640"/>
    <w:rsid w:val="00060452"/>
    <w:rsid w:val="000713B5"/>
    <w:rsid w:val="0007736E"/>
    <w:rsid w:val="00081D41"/>
    <w:rsid w:val="0008698A"/>
    <w:rsid w:val="00094D36"/>
    <w:rsid w:val="000B0514"/>
    <w:rsid w:val="000B0EDD"/>
    <w:rsid w:val="000B2168"/>
    <w:rsid w:val="000B3B10"/>
    <w:rsid w:val="000B6B5A"/>
    <w:rsid w:val="000B797C"/>
    <w:rsid w:val="000C0500"/>
    <w:rsid w:val="000C31EE"/>
    <w:rsid w:val="000C5216"/>
    <w:rsid w:val="000C6A65"/>
    <w:rsid w:val="000C6C78"/>
    <w:rsid w:val="000C6D95"/>
    <w:rsid w:val="000D272D"/>
    <w:rsid w:val="000D63E5"/>
    <w:rsid w:val="000D6D68"/>
    <w:rsid w:val="000E0CE8"/>
    <w:rsid w:val="000E26D5"/>
    <w:rsid w:val="000E3538"/>
    <w:rsid w:val="000E60AC"/>
    <w:rsid w:val="000E613E"/>
    <w:rsid w:val="000F3CC3"/>
    <w:rsid w:val="000F4952"/>
    <w:rsid w:val="000F4D72"/>
    <w:rsid w:val="000F747D"/>
    <w:rsid w:val="00102B49"/>
    <w:rsid w:val="00105CB2"/>
    <w:rsid w:val="00106854"/>
    <w:rsid w:val="0011272E"/>
    <w:rsid w:val="0011642D"/>
    <w:rsid w:val="001206A5"/>
    <w:rsid w:val="00121DF3"/>
    <w:rsid w:val="001235E8"/>
    <w:rsid w:val="0012467B"/>
    <w:rsid w:val="001306FD"/>
    <w:rsid w:val="00134192"/>
    <w:rsid w:val="00135565"/>
    <w:rsid w:val="001450D6"/>
    <w:rsid w:val="00150B46"/>
    <w:rsid w:val="00151B77"/>
    <w:rsid w:val="00151F0E"/>
    <w:rsid w:val="001547F9"/>
    <w:rsid w:val="00156FC0"/>
    <w:rsid w:val="00162AF9"/>
    <w:rsid w:val="0016367F"/>
    <w:rsid w:val="00166837"/>
    <w:rsid w:val="001706A4"/>
    <w:rsid w:val="001723DE"/>
    <w:rsid w:val="00173BCC"/>
    <w:rsid w:val="00176F22"/>
    <w:rsid w:val="00177735"/>
    <w:rsid w:val="00183623"/>
    <w:rsid w:val="0019253D"/>
    <w:rsid w:val="00192CA8"/>
    <w:rsid w:val="00192E47"/>
    <w:rsid w:val="00193594"/>
    <w:rsid w:val="001A481F"/>
    <w:rsid w:val="001A4ABB"/>
    <w:rsid w:val="001A5DED"/>
    <w:rsid w:val="001A68A3"/>
    <w:rsid w:val="001B1243"/>
    <w:rsid w:val="001C2146"/>
    <w:rsid w:val="001C28D0"/>
    <w:rsid w:val="001D31F8"/>
    <w:rsid w:val="001D384F"/>
    <w:rsid w:val="001E08AC"/>
    <w:rsid w:val="001E14ED"/>
    <w:rsid w:val="001E317D"/>
    <w:rsid w:val="001E53E5"/>
    <w:rsid w:val="001E5F4D"/>
    <w:rsid w:val="002003C4"/>
    <w:rsid w:val="002011E0"/>
    <w:rsid w:val="00202D98"/>
    <w:rsid w:val="002111A3"/>
    <w:rsid w:val="00211EBA"/>
    <w:rsid w:val="0021396F"/>
    <w:rsid w:val="0022085C"/>
    <w:rsid w:val="002305C2"/>
    <w:rsid w:val="002337A6"/>
    <w:rsid w:val="002418F5"/>
    <w:rsid w:val="00246DF3"/>
    <w:rsid w:val="00251F9B"/>
    <w:rsid w:val="002534AF"/>
    <w:rsid w:val="00262125"/>
    <w:rsid w:val="00265A30"/>
    <w:rsid w:val="00275CBC"/>
    <w:rsid w:val="0027719D"/>
    <w:rsid w:val="0028278C"/>
    <w:rsid w:val="00283FA1"/>
    <w:rsid w:val="0029195F"/>
    <w:rsid w:val="00292FE3"/>
    <w:rsid w:val="0029520F"/>
    <w:rsid w:val="00295B71"/>
    <w:rsid w:val="002A1180"/>
    <w:rsid w:val="002A22F8"/>
    <w:rsid w:val="002C2174"/>
    <w:rsid w:val="002C4484"/>
    <w:rsid w:val="002D5992"/>
    <w:rsid w:val="002E0063"/>
    <w:rsid w:val="002E368D"/>
    <w:rsid w:val="002E3C9F"/>
    <w:rsid w:val="002E6FA1"/>
    <w:rsid w:val="002F1D3C"/>
    <w:rsid w:val="002F283A"/>
    <w:rsid w:val="002F3980"/>
    <w:rsid w:val="002F72D8"/>
    <w:rsid w:val="00306AE3"/>
    <w:rsid w:val="0031060B"/>
    <w:rsid w:val="00310A21"/>
    <w:rsid w:val="00321AFE"/>
    <w:rsid w:val="00324700"/>
    <w:rsid w:val="00324CB1"/>
    <w:rsid w:val="00330F20"/>
    <w:rsid w:val="003316FF"/>
    <w:rsid w:val="00333401"/>
    <w:rsid w:val="003435D1"/>
    <w:rsid w:val="0034555D"/>
    <w:rsid w:val="003458A9"/>
    <w:rsid w:val="00350024"/>
    <w:rsid w:val="00363A42"/>
    <w:rsid w:val="00363EDA"/>
    <w:rsid w:val="003677BD"/>
    <w:rsid w:val="003736AE"/>
    <w:rsid w:val="00373777"/>
    <w:rsid w:val="00386C1F"/>
    <w:rsid w:val="00387ED2"/>
    <w:rsid w:val="00387F54"/>
    <w:rsid w:val="003913AB"/>
    <w:rsid w:val="00395266"/>
    <w:rsid w:val="00395F9C"/>
    <w:rsid w:val="003A120A"/>
    <w:rsid w:val="003A12AC"/>
    <w:rsid w:val="003A24B4"/>
    <w:rsid w:val="003A268A"/>
    <w:rsid w:val="003A62BD"/>
    <w:rsid w:val="003A6F2D"/>
    <w:rsid w:val="003B2584"/>
    <w:rsid w:val="003B3EB4"/>
    <w:rsid w:val="003B7D1E"/>
    <w:rsid w:val="003C1F53"/>
    <w:rsid w:val="003C2850"/>
    <w:rsid w:val="003C420D"/>
    <w:rsid w:val="003D0BB1"/>
    <w:rsid w:val="003D33B3"/>
    <w:rsid w:val="003D391D"/>
    <w:rsid w:val="003D5B83"/>
    <w:rsid w:val="003D6D83"/>
    <w:rsid w:val="003E5F7F"/>
    <w:rsid w:val="003E6B73"/>
    <w:rsid w:val="003E7C41"/>
    <w:rsid w:val="003F1CD6"/>
    <w:rsid w:val="003F562C"/>
    <w:rsid w:val="00402A2D"/>
    <w:rsid w:val="0042157A"/>
    <w:rsid w:val="004261A1"/>
    <w:rsid w:val="004279BE"/>
    <w:rsid w:val="00435A60"/>
    <w:rsid w:val="00440DA6"/>
    <w:rsid w:val="004502E0"/>
    <w:rsid w:val="00456277"/>
    <w:rsid w:val="0045740E"/>
    <w:rsid w:val="0045791B"/>
    <w:rsid w:val="00464C87"/>
    <w:rsid w:val="004672AE"/>
    <w:rsid w:val="00485513"/>
    <w:rsid w:val="00494E3E"/>
    <w:rsid w:val="004A0145"/>
    <w:rsid w:val="004A1487"/>
    <w:rsid w:val="004A1B3C"/>
    <w:rsid w:val="004A4D34"/>
    <w:rsid w:val="004A7A55"/>
    <w:rsid w:val="004B27B6"/>
    <w:rsid w:val="004B4263"/>
    <w:rsid w:val="004B79DC"/>
    <w:rsid w:val="004C0B7A"/>
    <w:rsid w:val="004C1D41"/>
    <w:rsid w:val="004C7160"/>
    <w:rsid w:val="004C7B4C"/>
    <w:rsid w:val="004D023E"/>
    <w:rsid w:val="004D146F"/>
    <w:rsid w:val="004D25C1"/>
    <w:rsid w:val="004D489C"/>
    <w:rsid w:val="004D6231"/>
    <w:rsid w:val="004D7924"/>
    <w:rsid w:val="004E2BEC"/>
    <w:rsid w:val="004E3079"/>
    <w:rsid w:val="004E3134"/>
    <w:rsid w:val="004E3DA5"/>
    <w:rsid w:val="004E4459"/>
    <w:rsid w:val="004F1A61"/>
    <w:rsid w:val="004F6B64"/>
    <w:rsid w:val="00500E3E"/>
    <w:rsid w:val="00501C19"/>
    <w:rsid w:val="00502A51"/>
    <w:rsid w:val="00517B32"/>
    <w:rsid w:val="00521E4D"/>
    <w:rsid w:val="00526CC0"/>
    <w:rsid w:val="00534898"/>
    <w:rsid w:val="0053509F"/>
    <w:rsid w:val="00537852"/>
    <w:rsid w:val="00541F38"/>
    <w:rsid w:val="0054371F"/>
    <w:rsid w:val="00546FE2"/>
    <w:rsid w:val="00547AB4"/>
    <w:rsid w:val="00553E06"/>
    <w:rsid w:val="005562FC"/>
    <w:rsid w:val="00556A67"/>
    <w:rsid w:val="00570602"/>
    <w:rsid w:val="00571129"/>
    <w:rsid w:val="00580A0C"/>
    <w:rsid w:val="00581A52"/>
    <w:rsid w:val="00581FD3"/>
    <w:rsid w:val="005837A1"/>
    <w:rsid w:val="005900B5"/>
    <w:rsid w:val="0059076A"/>
    <w:rsid w:val="00596D32"/>
    <w:rsid w:val="00597708"/>
    <w:rsid w:val="005A7336"/>
    <w:rsid w:val="005B11A1"/>
    <w:rsid w:val="005B4A4D"/>
    <w:rsid w:val="005B5D12"/>
    <w:rsid w:val="005B70C4"/>
    <w:rsid w:val="005C40D9"/>
    <w:rsid w:val="005C4766"/>
    <w:rsid w:val="005C7258"/>
    <w:rsid w:val="005D7DDD"/>
    <w:rsid w:val="005E3E86"/>
    <w:rsid w:val="005E75C3"/>
    <w:rsid w:val="005F1857"/>
    <w:rsid w:val="005F26D9"/>
    <w:rsid w:val="005F3CEC"/>
    <w:rsid w:val="00603CEC"/>
    <w:rsid w:val="00604062"/>
    <w:rsid w:val="00604D8E"/>
    <w:rsid w:val="0060501E"/>
    <w:rsid w:val="0060636E"/>
    <w:rsid w:val="0061024E"/>
    <w:rsid w:val="0061187A"/>
    <w:rsid w:val="00613561"/>
    <w:rsid w:val="00614479"/>
    <w:rsid w:val="006151CC"/>
    <w:rsid w:val="00623291"/>
    <w:rsid w:val="00630D27"/>
    <w:rsid w:val="00635EA5"/>
    <w:rsid w:val="00637A30"/>
    <w:rsid w:val="0064272D"/>
    <w:rsid w:val="006447C1"/>
    <w:rsid w:val="00647D01"/>
    <w:rsid w:val="00654E79"/>
    <w:rsid w:val="00664705"/>
    <w:rsid w:val="00665208"/>
    <w:rsid w:val="006725D8"/>
    <w:rsid w:val="00676866"/>
    <w:rsid w:val="006770CF"/>
    <w:rsid w:val="00681355"/>
    <w:rsid w:val="006814D1"/>
    <w:rsid w:val="00690525"/>
    <w:rsid w:val="00692F54"/>
    <w:rsid w:val="00696060"/>
    <w:rsid w:val="006974F1"/>
    <w:rsid w:val="006A7B3C"/>
    <w:rsid w:val="006B045B"/>
    <w:rsid w:val="006B1BDB"/>
    <w:rsid w:val="006B4D83"/>
    <w:rsid w:val="006B5207"/>
    <w:rsid w:val="006B5718"/>
    <w:rsid w:val="006C16C5"/>
    <w:rsid w:val="006C1816"/>
    <w:rsid w:val="006D38D2"/>
    <w:rsid w:val="006D470C"/>
    <w:rsid w:val="006E35FF"/>
    <w:rsid w:val="006E535E"/>
    <w:rsid w:val="006E5DD9"/>
    <w:rsid w:val="006E63DB"/>
    <w:rsid w:val="006E6F32"/>
    <w:rsid w:val="006F16DB"/>
    <w:rsid w:val="006F1920"/>
    <w:rsid w:val="006F2B11"/>
    <w:rsid w:val="006F5392"/>
    <w:rsid w:val="0071095D"/>
    <w:rsid w:val="007173E3"/>
    <w:rsid w:val="00726B68"/>
    <w:rsid w:val="00732BBF"/>
    <w:rsid w:val="00732FC0"/>
    <w:rsid w:val="00733DA3"/>
    <w:rsid w:val="00735AAE"/>
    <w:rsid w:val="0074303F"/>
    <w:rsid w:val="00744022"/>
    <w:rsid w:val="00747226"/>
    <w:rsid w:val="00750BBE"/>
    <w:rsid w:val="007528F6"/>
    <w:rsid w:val="007558DE"/>
    <w:rsid w:val="00756CC0"/>
    <w:rsid w:val="00757392"/>
    <w:rsid w:val="007714F2"/>
    <w:rsid w:val="00772985"/>
    <w:rsid w:val="00774068"/>
    <w:rsid w:val="00782A2D"/>
    <w:rsid w:val="00783A4D"/>
    <w:rsid w:val="00784541"/>
    <w:rsid w:val="00784A5E"/>
    <w:rsid w:val="00790F8E"/>
    <w:rsid w:val="0079220C"/>
    <w:rsid w:val="007927FF"/>
    <w:rsid w:val="00792B45"/>
    <w:rsid w:val="00792FD5"/>
    <w:rsid w:val="00793CF5"/>
    <w:rsid w:val="00796CB2"/>
    <w:rsid w:val="007A2EE7"/>
    <w:rsid w:val="007A3D18"/>
    <w:rsid w:val="007A5E6B"/>
    <w:rsid w:val="007B3558"/>
    <w:rsid w:val="007B3EED"/>
    <w:rsid w:val="007B5472"/>
    <w:rsid w:val="007B5AE1"/>
    <w:rsid w:val="007B602D"/>
    <w:rsid w:val="007C1EB5"/>
    <w:rsid w:val="007C5759"/>
    <w:rsid w:val="007D152A"/>
    <w:rsid w:val="007D4473"/>
    <w:rsid w:val="007D5171"/>
    <w:rsid w:val="007D5288"/>
    <w:rsid w:val="007D53E6"/>
    <w:rsid w:val="007E381B"/>
    <w:rsid w:val="007E60D0"/>
    <w:rsid w:val="007E6C91"/>
    <w:rsid w:val="007E78AC"/>
    <w:rsid w:val="007F05B1"/>
    <w:rsid w:val="007F379C"/>
    <w:rsid w:val="007F5B13"/>
    <w:rsid w:val="007F65B3"/>
    <w:rsid w:val="007F6E8C"/>
    <w:rsid w:val="00801A55"/>
    <w:rsid w:val="00803D8A"/>
    <w:rsid w:val="00810E22"/>
    <w:rsid w:val="00810ED3"/>
    <w:rsid w:val="00815A15"/>
    <w:rsid w:val="00815C76"/>
    <w:rsid w:val="00816B05"/>
    <w:rsid w:val="00821ECF"/>
    <w:rsid w:val="00824CF6"/>
    <w:rsid w:val="00827FF6"/>
    <w:rsid w:val="00831577"/>
    <w:rsid w:val="0083306F"/>
    <w:rsid w:val="00835D35"/>
    <w:rsid w:val="008379B2"/>
    <w:rsid w:val="00841107"/>
    <w:rsid w:val="00841CFA"/>
    <w:rsid w:val="00842C80"/>
    <w:rsid w:val="00843A46"/>
    <w:rsid w:val="00844E04"/>
    <w:rsid w:val="00846F99"/>
    <w:rsid w:val="0084763A"/>
    <w:rsid w:val="0085148D"/>
    <w:rsid w:val="00851C72"/>
    <w:rsid w:val="0086543F"/>
    <w:rsid w:val="00875C91"/>
    <w:rsid w:val="0087600F"/>
    <w:rsid w:val="00883554"/>
    <w:rsid w:val="00887F96"/>
    <w:rsid w:val="00890452"/>
    <w:rsid w:val="00890F24"/>
    <w:rsid w:val="00891076"/>
    <w:rsid w:val="00891284"/>
    <w:rsid w:val="00893737"/>
    <w:rsid w:val="00896635"/>
    <w:rsid w:val="008A0668"/>
    <w:rsid w:val="008A2392"/>
    <w:rsid w:val="008A56D6"/>
    <w:rsid w:val="008B506C"/>
    <w:rsid w:val="008C08E2"/>
    <w:rsid w:val="008C1F55"/>
    <w:rsid w:val="008C31DF"/>
    <w:rsid w:val="008C3E62"/>
    <w:rsid w:val="008C51EA"/>
    <w:rsid w:val="008C7E6D"/>
    <w:rsid w:val="008D17FB"/>
    <w:rsid w:val="008D2107"/>
    <w:rsid w:val="008D26DD"/>
    <w:rsid w:val="008D64D7"/>
    <w:rsid w:val="008E4856"/>
    <w:rsid w:val="008E50EE"/>
    <w:rsid w:val="008F196E"/>
    <w:rsid w:val="008F3599"/>
    <w:rsid w:val="008F39B9"/>
    <w:rsid w:val="008F3B59"/>
    <w:rsid w:val="008F456D"/>
    <w:rsid w:val="008F50B0"/>
    <w:rsid w:val="008F6108"/>
    <w:rsid w:val="008F65ED"/>
    <w:rsid w:val="00900BA0"/>
    <w:rsid w:val="00901468"/>
    <w:rsid w:val="00904D01"/>
    <w:rsid w:val="00904ED9"/>
    <w:rsid w:val="00905001"/>
    <w:rsid w:val="00905C97"/>
    <w:rsid w:val="00910D4F"/>
    <w:rsid w:val="00913CE0"/>
    <w:rsid w:val="00916451"/>
    <w:rsid w:val="00916CC8"/>
    <w:rsid w:val="009202A8"/>
    <w:rsid w:val="009204D6"/>
    <w:rsid w:val="00922A4C"/>
    <w:rsid w:val="00922D1B"/>
    <w:rsid w:val="00922FA6"/>
    <w:rsid w:val="009254D0"/>
    <w:rsid w:val="009315AC"/>
    <w:rsid w:val="00932585"/>
    <w:rsid w:val="00932A7F"/>
    <w:rsid w:val="00932EB8"/>
    <w:rsid w:val="00934B56"/>
    <w:rsid w:val="00937368"/>
    <w:rsid w:val="0095381A"/>
    <w:rsid w:val="00955535"/>
    <w:rsid w:val="00964958"/>
    <w:rsid w:val="009650E4"/>
    <w:rsid w:val="0097568D"/>
    <w:rsid w:val="00977540"/>
    <w:rsid w:val="0098602E"/>
    <w:rsid w:val="009905FA"/>
    <w:rsid w:val="00991BE2"/>
    <w:rsid w:val="00995EA2"/>
    <w:rsid w:val="009A0FBD"/>
    <w:rsid w:val="009A3401"/>
    <w:rsid w:val="009A456E"/>
    <w:rsid w:val="009A6016"/>
    <w:rsid w:val="009C2BB6"/>
    <w:rsid w:val="009C486D"/>
    <w:rsid w:val="009C510A"/>
    <w:rsid w:val="009C68DE"/>
    <w:rsid w:val="009D36F0"/>
    <w:rsid w:val="009D5B41"/>
    <w:rsid w:val="009D7F6E"/>
    <w:rsid w:val="009E0962"/>
    <w:rsid w:val="009E129E"/>
    <w:rsid w:val="009E137F"/>
    <w:rsid w:val="009E65B4"/>
    <w:rsid w:val="009F087A"/>
    <w:rsid w:val="009F39B5"/>
    <w:rsid w:val="009F3BD2"/>
    <w:rsid w:val="009F562C"/>
    <w:rsid w:val="00A03564"/>
    <w:rsid w:val="00A03CDD"/>
    <w:rsid w:val="00A04904"/>
    <w:rsid w:val="00A059D4"/>
    <w:rsid w:val="00A07CFE"/>
    <w:rsid w:val="00A1586B"/>
    <w:rsid w:val="00A21B9B"/>
    <w:rsid w:val="00A373D1"/>
    <w:rsid w:val="00A4120A"/>
    <w:rsid w:val="00A43D4C"/>
    <w:rsid w:val="00A50B14"/>
    <w:rsid w:val="00A50BE3"/>
    <w:rsid w:val="00A603A0"/>
    <w:rsid w:val="00A619C5"/>
    <w:rsid w:val="00A654AA"/>
    <w:rsid w:val="00A65C53"/>
    <w:rsid w:val="00A66831"/>
    <w:rsid w:val="00A67B56"/>
    <w:rsid w:val="00A70644"/>
    <w:rsid w:val="00A70D0B"/>
    <w:rsid w:val="00A734B6"/>
    <w:rsid w:val="00A7421E"/>
    <w:rsid w:val="00A74E9E"/>
    <w:rsid w:val="00A755FB"/>
    <w:rsid w:val="00A76D4B"/>
    <w:rsid w:val="00A809F0"/>
    <w:rsid w:val="00A818ED"/>
    <w:rsid w:val="00A82DD6"/>
    <w:rsid w:val="00A86DE0"/>
    <w:rsid w:val="00A87800"/>
    <w:rsid w:val="00A90DDC"/>
    <w:rsid w:val="00A90E5C"/>
    <w:rsid w:val="00A92D54"/>
    <w:rsid w:val="00A95D8C"/>
    <w:rsid w:val="00A973B2"/>
    <w:rsid w:val="00AA3F16"/>
    <w:rsid w:val="00AA433E"/>
    <w:rsid w:val="00AA519A"/>
    <w:rsid w:val="00AB4167"/>
    <w:rsid w:val="00AB46FF"/>
    <w:rsid w:val="00AB4EF9"/>
    <w:rsid w:val="00AB61CD"/>
    <w:rsid w:val="00AC00B6"/>
    <w:rsid w:val="00AD4B79"/>
    <w:rsid w:val="00AD61EA"/>
    <w:rsid w:val="00AE084F"/>
    <w:rsid w:val="00AE392D"/>
    <w:rsid w:val="00AE52C8"/>
    <w:rsid w:val="00AE55DD"/>
    <w:rsid w:val="00AE5E9E"/>
    <w:rsid w:val="00AE6D1A"/>
    <w:rsid w:val="00AF0A91"/>
    <w:rsid w:val="00AF1433"/>
    <w:rsid w:val="00AF174B"/>
    <w:rsid w:val="00AF36EC"/>
    <w:rsid w:val="00AF52F2"/>
    <w:rsid w:val="00B01F04"/>
    <w:rsid w:val="00B069CD"/>
    <w:rsid w:val="00B07A9C"/>
    <w:rsid w:val="00B10512"/>
    <w:rsid w:val="00B14485"/>
    <w:rsid w:val="00B14799"/>
    <w:rsid w:val="00B14BB1"/>
    <w:rsid w:val="00B166A9"/>
    <w:rsid w:val="00B2087A"/>
    <w:rsid w:val="00B24F2D"/>
    <w:rsid w:val="00B25B6B"/>
    <w:rsid w:val="00B2754E"/>
    <w:rsid w:val="00B277DB"/>
    <w:rsid w:val="00B30710"/>
    <w:rsid w:val="00B326F3"/>
    <w:rsid w:val="00B3431B"/>
    <w:rsid w:val="00B40B63"/>
    <w:rsid w:val="00B46875"/>
    <w:rsid w:val="00B469AE"/>
    <w:rsid w:val="00B52B0E"/>
    <w:rsid w:val="00B56D8A"/>
    <w:rsid w:val="00B62D1D"/>
    <w:rsid w:val="00B64D77"/>
    <w:rsid w:val="00B65EAE"/>
    <w:rsid w:val="00B66AA6"/>
    <w:rsid w:val="00B7047B"/>
    <w:rsid w:val="00B71851"/>
    <w:rsid w:val="00B73CA3"/>
    <w:rsid w:val="00B81ADE"/>
    <w:rsid w:val="00B822C3"/>
    <w:rsid w:val="00B8340B"/>
    <w:rsid w:val="00B90974"/>
    <w:rsid w:val="00B94110"/>
    <w:rsid w:val="00BA1CFC"/>
    <w:rsid w:val="00BA26B9"/>
    <w:rsid w:val="00BA3876"/>
    <w:rsid w:val="00BA4F10"/>
    <w:rsid w:val="00BB4A58"/>
    <w:rsid w:val="00BB5726"/>
    <w:rsid w:val="00BC43BD"/>
    <w:rsid w:val="00BD1836"/>
    <w:rsid w:val="00BD41EC"/>
    <w:rsid w:val="00BE0DB9"/>
    <w:rsid w:val="00BE1178"/>
    <w:rsid w:val="00BE1F08"/>
    <w:rsid w:val="00BE773C"/>
    <w:rsid w:val="00BE7AC5"/>
    <w:rsid w:val="00BE7D6E"/>
    <w:rsid w:val="00BE7E51"/>
    <w:rsid w:val="00BF05DD"/>
    <w:rsid w:val="00C00E86"/>
    <w:rsid w:val="00C0249C"/>
    <w:rsid w:val="00C0551E"/>
    <w:rsid w:val="00C06768"/>
    <w:rsid w:val="00C11543"/>
    <w:rsid w:val="00C14FC8"/>
    <w:rsid w:val="00C1517E"/>
    <w:rsid w:val="00C16C67"/>
    <w:rsid w:val="00C27114"/>
    <w:rsid w:val="00C27486"/>
    <w:rsid w:val="00C31141"/>
    <w:rsid w:val="00C33A54"/>
    <w:rsid w:val="00C33FBD"/>
    <w:rsid w:val="00C35BD1"/>
    <w:rsid w:val="00C47E37"/>
    <w:rsid w:val="00C51BF3"/>
    <w:rsid w:val="00C55D98"/>
    <w:rsid w:val="00C57966"/>
    <w:rsid w:val="00C61A8D"/>
    <w:rsid w:val="00C61ACF"/>
    <w:rsid w:val="00C65108"/>
    <w:rsid w:val="00C74897"/>
    <w:rsid w:val="00C74DB1"/>
    <w:rsid w:val="00C77C98"/>
    <w:rsid w:val="00C84D92"/>
    <w:rsid w:val="00C8564A"/>
    <w:rsid w:val="00C91D56"/>
    <w:rsid w:val="00C9409E"/>
    <w:rsid w:val="00CA0A03"/>
    <w:rsid w:val="00CA0C1E"/>
    <w:rsid w:val="00CA7C98"/>
    <w:rsid w:val="00CB21E5"/>
    <w:rsid w:val="00CB6176"/>
    <w:rsid w:val="00CB6D52"/>
    <w:rsid w:val="00CC1958"/>
    <w:rsid w:val="00CC2595"/>
    <w:rsid w:val="00CC2AE7"/>
    <w:rsid w:val="00CC2E19"/>
    <w:rsid w:val="00CC2FC5"/>
    <w:rsid w:val="00CC4D35"/>
    <w:rsid w:val="00CC510A"/>
    <w:rsid w:val="00CC5EDE"/>
    <w:rsid w:val="00CD10A9"/>
    <w:rsid w:val="00CD2D32"/>
    <w:rsid w:val="00CD43ED"/>
    <w:rsid w:val="00CD5D78"/>
    <w:rsid w:val="00CD7685"/>
    <w:rsid w:val="00CE331F"/>
    <w:rsid w:val="00CE395E"/>
    <w:rsid w:val="00CE3E54"/>
    <w:rsid w:val="00CE6FA0"/>
    <w:rsid w:val="00CE720D"/>
    <w:rsid w:val="00CF083F"/>
    <w:rsid w:val="00CF0E2D"/>
    <w:rsid w:val="00CF571D"/>
    <w:rsid w:val="00CF73DA"/>
    <w:rsid w:val="00D03B0B"/>
    <w:rsid w:val="00D0467D"/>
    <w:rsid w:val="00D1777D"/>
    <w:rsid w:val="00D243E2"/>
    <w:rsid w:val="00D24E5D"/>
    <w:rsid w:val="00D335CA"/>
    <w:rsid w:val="00D33A39"/>
    <w:rsid w:val="00D3520D"/>
    <w:rsid w:val="00D3549E"/>
    <w:rsid w:val="00D36A6C"/>
    <w:rsid w:val="00D44752"/>
    <w:rsid w:val="00D51080"/>
    <w:rsid w:val="00D510CB"/>
    <w:rsid w:val="00D5112C"/>
    <w:rsid w:val="00D540A4"/>
    <w:rsid w:val="00D54278"/>
    <w:rsid w:val="00D5437F"/>
    <w:rsid w:val="00D54A22"/>
    <w:rsid w:val="00D603A6"/>
    <w:rsid w:val="00D6637D"/>
    <w:rsid w:val="00D709D3"/>
    <w:rsid w:val="00D776F9"/>
    <w:rsid w:val="00D80F8A"/>
    <w:rsid w:val="00D813D6"/>
    <w:rsid w:val="00D83898"/>
    <w:rsid w:val="00DA1415"/>
    <w:rsid w:val="00DA2584"/>
    <w:rsid w:val="00DA72A0"/>
    <w:rsid w:val="00DB5BEB"/>
    <w:rsid w:val="00DB757A"/>
    <w:rsid w:val="00DC17C1"/>
    <w:rsid w:val="00DC2A81"/>
    <w:rsid w:val="00DC49D0"/>
    <w:rsid w:val="00DC730E"/>
    <w:rsid w:val="00DD015B"/>
    <w:rsid w:val="00DD14C1"/>
    <w:rsid w:val="00DD4ED3"/>
    <w:rsid w:val="00DD68FF"/>
    <w:rsid w:val="00DE09C4"/>
    <w:rsid w:val="00DE09D7"/>
    <w:rsid w:val="00DE3ECD"/>
    <w:rsid w:val="00DE64D1"/>
    <w:rsid w:val="00DF1856"/>
    <w:rsid w:val="00DF53B9"/>
    <w:rsid w:val="00E00500"/>
    <w:rsid w:val="00E01C3C"/>
    <w:rsid w:val="00E03A29"/>
    <w:rsid w:val="00E05E28"/>
    <w:rsid w:val="00E0632D"/>
    <w:rsid w:val="00E10C62"/>
    <w:rsid w:val="00E10F6C"/>
    <w:rsid w:val="00E162EA"/>
    <w:rsid w:val="00E16FDF"/>
    <w:rsid w:val="00E213EB"/>
    <w:rsid w:val="00E25D7F"/>
    <w:rsid w:val="00E2750E"/>
    <w:rsid w:val="00E37468"/>
    <w:rsid w:val="00E558A8"/>
    <w:rsid w:val="00E63B3B"/>
    <w:rsid w:val="00E660FD"/>
    <w:rsid w:val="00E66753"/>
    <w:rsid w:val="00E6682D"/>
    <w:rsid w:val="00E74114"/>
    <w:rsid w:val="00E75462"/>
    <w:rsid w:val="00E760B4"/>
    <w:rsid w:val="00E849CB"/>
    <w:rsid w:val="00E859C1"/>
    <w:rsid w:val="00E911E1"/>
    <w:rsid w:val="00EA024E"/>
    <w:rsid w:val="00EA60C3"/>
    <w:rsid w:val="00EB0858"/>
    <w:rsid w:val="00ED0850"/>
    <w:rsid w:val="00ED2D1C"/>
    <w:rsid w:val="00ED2E42"/>
    <w:rsid w:val="00EE1B56"/>
    <w:rsid w:val="00EE7A11"/>
    <w:rsid w:val="00EF70C2"/>
    <w:rsid w:val="00EF7A14"/>
    <w:rsid w:val="00F01428"/>
    <w:rsid w:val="00F1383A"/>
    <w:rsid w:val="00F13D18"/>
    <w:rsid w:val="00F1433D"/>
    <w:rsid w:val="00F306FD"/>
    <w:rsid w:val="00F34FB5"/>
    <w:rsid w:val="00F3731C"/>
    <w:rsid w:val="00F44195"/>
    <w:rsid w:val="00F46594"/>
    <w:rsid w:val="00F51B3C"/>
    <w:rsid w:val="00F64AA7"/>
    <w:rsid w:val="00F650BA"/>
    <w:rsid w:val="00F702F3"/>
    <w:rsid w:val="00F70BE8"/>
    <w:rsid w:val="00F73CBD"/>
    <w:rsid w:val="00F7728C"/>
    <w:rsid w:val="00F82B1E"/>
    <w:rsid w:val="00F84673"/>
    <w:rsid w:val="00F86159"/>
    <w:rsid w:val="00F90F6C"/>
    <w:rsid w:val="00F91F12"/>
    <w:rsid w:val="00F921AE"/>
    <w:rsid w:val="00F92DC3"/>
    <w:rsid w:val="00FB4122"/>
    <w:rsid w:val="00FB536C"/>
    <w:rsid w:val="00FB7140"/>
    <w:rsid w:val="00FC0BB3"/>
    <w:rsid w:val="00FC5578"/>
    <w:rsid w:val="00FD0A19"/>
    <w:rsid w:val="00FD3517"/>
    <w:rsid w:val="00FE32A3"/>
    <w:rsid w:val="00FF0369"/>
    <w:rsid w:val="00FF0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2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58"/>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7B3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3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55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5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35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35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35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35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35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5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5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35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35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35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35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35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35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5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5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3558"/>
    <w:pPr>
      <w:spacing w:before="160"/>
      <w:jc w:val="center"/>
    </w:pPr>
    <w:rPr>
      <w:i/>
      <w:iCs/>
      <w:color w:val="404040" w:themeColor="text1" w:themeTint="BF"/>
    </w:rPr>
  </w:style>
  <w:style w:type="character" w:customStyle="1" w:styleId="QuoteChar">
    <w:name w:val="Quote Char"/>
    <w:basedOn w:val="DefaultParagraphFont"/>
    <w:link w:val="Quote"/>
    <w:uiPriority w:val="29"/>
    <w:rsid w:val="007B3558"/>
    <w:rPr>
      <w:i/>
      <w:iCs/>
      <w:color w:val="404040" w:themeColor="text1" w:themeTint="BF"/>
    </w:rPr>
  </w:style>
  <w:style w:type="paragraph" w:styleId="ListParagraph">
    <w:name w:val="List Paragraph"/>
    <w:basedOn w:val="Normal"/>
    <w:uiPriority w:val="34"/>
    <w:qFormat/>
    <w:rsid w:val="007B3558"/>
    <w:pPr>
      <w:ind w:left="720"/>
      <w:contextualSpacing/>
    </w:pPr>
  </w:style>
  <w:style w:type="character" w:styleId="IntenseEmphasis">
    <w:name w:val="Intense Emphasis"/>
    <w:basedOn w:val="DefaultParagraphFont"/>
    <w:uiPriority w:val="21"/>
    <w:qFormat/>
    <w:rsid w:val="007B3558"/>
    <w:rPr>
      <w:i/>
      <w:iCs/>
      <w:color w:val="2F5496" w:themeColor="accent1" w:themeShade="BF"/>
    </w:rPr>
  </w:style>
  <w:style w:type="paragraph" w:styleId="IntenseQuote">
    <w:name w:val="Intense Quote"/>
    <w:basedOn w:val="Normal"/>
    <w:next w:val="Normal"/>
    <w:link w:val="IntenseQuoteChar"/>
    <w:uiPriority w:val="30"/>
    <w:qFormat/>
    <w:rsid w:val="007B3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558"/>
    <w:rPr>
      <w:i/>
      <w:iCs/>
      <w:color w:val="2F5496" w:themeColor="accent1" w:themeShade="BF"/>
    </w:rPr>
  </w:style>
  <w:style w:type="character" w:styleId="IntenseReference">
    <w:name w:val="Intense Reference"/>
    <w:basedOn w:val="DefaultParagraphFont"/>
    <w:uiPriority w:val="32"/>
    <w:qFormat/>
    <w:rsid w:val="007B3558"/>
    <w:rPr>
      <w:b/>
      <w:bCs/>
      <w:smallCaps/>
      <w:color w:val="2F5496" w:themeColor="accent1" w:themeShade="BF"/>
      <w:spacing w:val="5"/>
    </w:rPr>
  </w:style>
  <w:style w:type="paragraph" w:styleId="Footer">
    <w:name w:val="footer"/>
    <w:basedOn w:val="Normal"/>
    <w:link w:val="FooterChar"/>
    <w:uiPriority w:val="99"/>
    <w:unhideWhenUsed/>
    <w:rsid w:val="007B3558"/>
    <w:pPr>
      <w:tabs>
        <w:tab w:val="center" w:pos="4153"/>
        <w:tab w:val="right" w:pos="8306"/>
      </w:tabs>
    </w:pPr>
  </w:style>
  <w:style w:type="character" w:customStyle="1" w:styleId="FooterChar">
    <w:name w:val="Footer Char"/>
    <w:basedOn w:val="DefaultParagraphFont"/>
    <w:link w:val="Footer"/>
    <w:uiPriority w:val="99"/>
    <w:rsid w:val="007B3558"/>
    <w:rPr>
      <w:rFonts w:eastAsia="Times New Roman" w:cs="Times New Roman"/>
      <w:kern w:val="0"/>
      <w:szCs w:val="24"/>
      <w:lang w:val="lv-LV" w:eastAsia="ru-RU"/>
      <w14:ligatures w14:val="none"/>
    </w:rPr>
  </w:style>
  <w:style w:type="table" w:customStyle="1" w:styleId="TableGrid1">
    <w:name w:val="Table Grid1"/>
    <w:basedOn w:val="TableNormal"/>
    <w:uiPriority w:val="39"/>
    <w:rsid w:val="007B3558"/>
    <w:pPr>
      <w:spacing w:after="0" w:line="240" w:lineRule="auto"/>
    </w:pPr>
    <w:rPr>
      <w:rFonts w:ascii="Calibri" w:hAnsi="Calibri"/>
      <w:kern w:val="0"/>
      <w:sz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D36"/>
    <w:rPr>
      <w:color w:val="0563C1" w:themeColor="hyperlink"/>
      <w:u w:val="single"/>
    </w:rPr>
  </w:style>
  <w:style w:type="character" w:styleId="CommentReference">
    <w:name w:val="annotation reference"/>
    <w:basedOn w:val="DefaultParagraphFont"/>
    <w:uiPriority w:val="99"/>
    <w:semiHidden/>
    <w:unhideWhenUsed/>
    <w:rsid w:val="00324CB1"/>
    <w:rPr>
      <w:sz w:val="16"/>
      <w:szCs w:val="16"/>
    </w:rPr>
  </w:style>
  <w:style w:type="paragraph" w:styleId="CommentText">
    <w:name w:val="annotation text"/>
    <w:basedOn w:val="Normal"/>
    <w:link w:val="CommentTextChar"/>
    <w:uiPriority w:val="99"/>
    <w:unhideWhenUsed/>
    <w:rsid w:val="00324CB1"/>
    <w:rPr>
      <w:sz w:val="20"/>
      <w:szCs w:val="20"/>
    </w:rPr>
  </w:style>
  <w:style w:type="character" w:customStyle="1" w:styleId="CommentTextChar">
    <w:name w:val="Comment Text Char"/>
    <w:basedOn w:val="DefaultParagraphFont"/>
    <w:link w:val="CommentText"/>
    <w:uiPriority w:val="99"/>
    <w:rsid w:val="00324CB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24CB1"/>
    <w:rPr>
      <w:b/>
      <w:bCs/>
    </w:rPr>
  </w:style>
  <w:style w:type="character" w:customStyle="1" w:styleId="CommentSubjectChar">
    <w:name w:val="Comment Subject Char"/>
    <w:basedOn w:val="CommentTextChar"/>
    <w:link w:val="CommentSubject"/>
    <w:uiPriority w:val="99"/>
    <w:semiHidden/>
    <w:rsid w:val="00324CB1"/>
    <w:rPr>
      <w:rFonts w:eastAsia="Times New Roman" w:cs="Times New Roman"/>
      <w:b/>
      <w:bCs/>
      <w:kern w:val="0"/>
      <w:sz w:val="20"/>
      <w:szCs w:val="20"/>
      <w:lang w:val="lv-LV" w:eastAsia="ru-RU"/>
      <w14:ligatures w14:val="none"/>
    </w:rPr>
  </w:style>
  <w:style w:type="paragraph" w:styleId="Revision">
    <w:name w:val="Revision"/>
    <w:hidden/>
    <w:uiPriority w:val="99"/>
    <w:semiHidden/>
    <w:rsid w:val="00B27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AF36EC"/>
    <w:rPr>
      <w:color w:val="605E5C"/>
      <w:shd w:val="clear" w:color="auto" w:fill="E1DFDD"/>
    </w:rPr>
  </w:style>
  <w:style w:type="paragraph" w:customStyle="1" w:styleId="naisf">
    <w:name w:val="naisf"/>
    <w:basedOn w:val="Normal"/>
    <w:link w:val="naisfChar"/>
    <w:rsid w:val="00134192"/>
    <w:pPr>
      <w:spacing w:before="75" w:after="75"/>
      <w:ind w:firstLine="375"/>
      <w:jc w:val="both"/>
    </w:pPr>
    <w:rPr>
      <w:rFonts w:eastAsia="Calibri"/>
      <w:lang w:eastAsia="lv-LV"/>
    </w:rPr>
  </w:style>
  <w:style w:type="character" w:customStyle="1" w:styleId="naisfChar">
    <w:name w:val="naisf Char"/>
    <w:link w:val="naisf"/>
    <w:locked/>
    <w:rsid w:val="00134192"/>
    <w:rPr>
      <w:rFonts w:eastAsia="Calibri" w:cs="Times New Roman"/>
      <w:kern w:val="0"/>
      <w:szCs w:val="24"/>
      <w:lang w:val="lv-LV" w:eastAsia="lv-LV"/>
      <w14:ligatures w14:val="none"/>
    </w:rPr>
  </w:style>
  <w:style w:type="character" w:styleId="FollowedHyperlink">
    <w:name w:val="FollowedHyperlink"/>
    <w:basedOn w:val="DefaultParagraphFont"/>
    <w:uiPriority w:val="99"/>
    <w:semiHidden/>
    <w:unhideWhenUsed/>
    <w:rsid w:val="004E2BEC"/>
    <w:rPr>
      <w:color w:val="954F72" w:themeColor="followedHyperlink"/>
      <w:u w:val="single"/>
    </w:rPr>
  </w:style>
  <w:style w:type="paragraph" w:styleId="NormalWeb">
    <w:name w:val="Normal (Web)"/>
    <w:basedOn w:val="Normal"/>
    <w:uiPriority w:val="99"/>
    <w:semiHidden/>
    <w:unhideWhenUsed/>
    <w:rsid w:val="00696060"/>
  </w:style>
  <w:style w:type="paragraph" w:customStyle="1" w:styleId="Pamatteksts">
    <w:name w:val="Pamatteksts"/>
    <w:basedOn w:val="Normal"/>
    <w:rsid w:val="00FB536C"/>
    <w:pPr>
      <w:spacing w:before="240"/>
      <w:jc w:val="both"/>
    </w:pPr>
    <w:rPr>
      <w:lang w:eastAsia="lv-LV"/>
    </w:rPr>
  </w:style>
  <w:style w:type="paragraph" w:customStyle="1" w:styleId="Default">
    <w:name w:val="Default"/>
    <w:rsid w:val="001A5DED"/>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5321">
      <w:bodyDiv w:val="1"/>
      <w:marLeft w:val="0"/>
      <w:marRight w:val="0"/>
      <w:marTop w:val="0"/>
      <w:marBottom w:val="0"/>
      <w:divBdr>
        <w:top w:val="none" w:sz="0" w:space="0" w:color="auto"/>
        <w:left w:val="none" w:sz="0" w:space="0" w:color="auto"/>
        <w:bottom w:val="none" w:sz="0" w:space="0" w:color="auto"/>
        <w:right w:val="none" w:sz="0" w:space="0" w:color="auto"/>
      </w:divBdr>
    </w:div>
    <w:div w:id="999190997">
      <w:bodyDiv w:val="1"/>
      <w:marLeft w:val="0"/>
      <w:marRight w:val="0"/>
      <w:marTop w:val="0"/>
      <w:marBottom w:val="0"/>
      <w:divBdr>
        <w:top w:val="none" w:sz="0" w:space="0" w:color="auto"/>
        <w:left w:val="none" w:sz="0" w:space="0" w:color="auto"/>
        <w:bottom w:val="none" w:sz="0" w:space="0" w:color="auto"/>
        <w:right w:val="none" w:sz="0" w:space="0" w:color="auto"/>
      </w:divBdr>
      <w:divsChild>
        <w:div w:id="1317369961">
          <w:marLeft w:val="0"/>
          <w:marRight w:val="0"/>
          <w:marTop w:val="0"/>
          <w:marBottom w:val="0"/>
          <w:divBdr>
            <w:top w:val="none" w:sz="0" w:space="0" w:color="auto"/>
            <w:left w:val="none" w:sz="0" w:space="0" w:color="auto"/>
            <w:bottom w:val="none" w:sz="0" w:space="0" w:color="auto"/>
            <w:right w:val="none" w:sz="0" w:space="0" w:color="auto"/>
          </w:divBdr>
        </w:div>
      </w:divsChild>
    </w:div>
    <w:div w:id="1152674034">
      <w:bodyDiv w:val="1"/>
      <w:marLeft w:val="0"/>
      <w:marRight w:val="0"/>
      <w:marTop w:val="0"/>
      <w:marBottom w:val="0"/>
      <w:divBdr>
        <w:top w:val="none" w:sz="0" w:space="0" w:color="auto"/>
        <w:left w:val="none" w:sz="0" w:space="0" w:color="auto"/>
        <w:bottom w:val="none" w:sz="0" w:space="0" w:color="auto"/>
        <w:right w:val="none" w:sz="0" w:space="0" w:color="auto"/>
      </w:divBdr>
      <w:divsChild>
        <w:div w:id="1110705443">
          <w:marLeft w:val="0"/>
          <w:marRight w:val="0"/>
          <w:marTop w:val="0"/>
          <w:marBottom w:val="0"/>
          <w:divBdr>
            <w:top w:val="none" w:sz="0" w:space="0" w:color="auto"/>
            <w:left w:val="none" w:sz="0" w:space="0" w:color="auto"/>
            <w:bottom w:val="none" w:sz="0" w:space="0" w:color="auto"/>
            <w:right w:val="none" w:sz="0" w:space="0" w:color="auto"/>
          </w:divBdr>
        </w:div>
      </w:divsChild>
    </w:div>
    <w:div w:id="12138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3a84e2e-4bd1-4e24-8924-4d6a422b39c3" TargetMode="External"/><Relationship Id="rId13" Type="http://schemas.openxmlformats.org/officeDocument/2006/relationships/hyperlink" Target="https://infocuria.curia.europa.eu/tabs/document/C/2012/C-0611-12-00000000PV-01-P-01/CONCL/149483-LV-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curia.curia.europa.eu/tabs/document/T/2015/T-0292-15-00000000RD-01-P-01/ARRET_NP/210707-EN-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443/eTiesasMvc/nolemumi/pdf/47782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443/eTiesasMvc/nolemumi/pdf/546633.pdf" TargetMode="External"/><Relationship Id="rId4" Type="http://schemas.openxmlformats.org/officeDocument/2006/relationships/settings" Target="settings.xml"/><Relationship Id="rId9" Type="http://schemas.openxmlformats.org/officeDocument/2006/relationships/hyperlink" Target="https://manas.tiesas.lv:443/eTiesasMvc/nolemumi/pdf/546633.pdf" TargetMode="External"/><Relationship Id="rId14" Type="http://schemas.openxmlformats.org/officeDocument/2006/relationships/hyperlink" Target="https://manas.tiesas.lv:443/eTiesasMvc/nolemumi/pdf/4778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1EC4-3C05-47D1-944D-1C51FE55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18446</Words>
  <Characters>10515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2026-03-13T12:48:00Z</dcterms:created>
  <dcterms:modified xsi:type="dcterms:W3CDTF">2026-03-13T13:01:00Z</dcterms:modified>
</cp:coreProperties>
</file>