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BD5E" w14:textId="77777777" w:rsidR="004E6D67" w:rsidRDefault="004E6D67" w:rsidP="004E6D67">
      <w:pPr>
        <w:spacing w:after="0" w:line="276" w:lineRule="auto"/>
        <w:jc w:val="both"/>
        <w:rPr>
          <w:b/>
          <w:bCs/>
        </w:rPr>
      </w:pPr>
      <w:bookmarkStart w:id="0" w:name="_Hlk216860310"/>
    </w:p>
    <w:p w14:paraId="59202DC9" w14:textId="2E47C56D" w:rsidR="00D903DB" w:rsidRPr="00D75005" w:rsidRDefault="00D903DB" w:rsidP="004E6D67">
      <w:pPr>
        <w:spacing w:after="0" w:line="276" w:lineRule="auto"/>
        <w:jc w:val="both"/>
        <w:rPr>
          <w:b/>
          <w:bCs/>
        </w:rPr>
      </w:pPr>
      <w:r w:rsidRPr="00D75005">
        <w:rPr>
          <w:b/>
          <w:bCs/>
        </w:rPr>
        <w:t>Aizstāvības piekrišana ziņu par faktiem, kas fiksētas konkrētajā kriminālprocesā agrāk sniegtajās liecībās, izmantošanai tiesas nolēmuma pamatošanā</w:t>
      </w:r>
    </w:p>
    <w:p w14:paraId="42896C29" w14:textId="77777777" w:rsidR="00D903DB" w:rsidRPr="00D75005" w:rsidRDefault="00D903DB" w:rsidP="004E6D67">
      <w:pPr>
        <w:spacing w:after="0" w:line="276" w:lineRule="auto"/>
        <w:jc w:val="both"/>
      </w:pPr>
      <w:r w:rsidRPr="00D75005">
        <w:t>Kriminālprocesa likuma 512.</w:t>
      </w:r>
      <w:r>
        <w:t> </w:t>
      </w:r>
      <w:r w:rsidRPr="00D75005">
        <w:t>panta otrās daļas 4.</w:t>
      </w:r>
      <w:r>
        <w:t> </w:t>
      </w:r>
      <w:r w:rsidRPr="00D75005">
        <w:t xml:space="preserve">punktā paredzētā aizstāvības piekrišana izmantot ziņas, kas fiksētas konkrētajā kriminālprocesā iepriekš sniegtajās liecībās, kuras lēmumā par krimināllietas nodošanu tiesai norādītas tiesā izmantojamo pierādījumu uzskaitījumā, var būt gan tieša (mutvārdos vai </w:t>
      </w:r>
      <w:proofErr w:type="spellStart"/>
      <w:r w:rsidRPr="00D75005">
        <w:t>rakstveidā</w:t>
      </w:r>
      <w:proofErr w:type="spellEnd"/>
      <w:r w:rsidRPr="00D75005">
        <w:t xml:space="preserve"> izteikta),</w:t>
      </w:r>
      <w:r>
        <w:t xml:space="preserve"> </w:t>
      </w:r>
      <w:r w:rsidRPr="00E508B4">
        <w:t xml:space="preserve">gan izteikta ar </w:t>
      </w:r>
      <w:proofErr w:type="spellStart"/>
      <w:r w:rsidRPr="00E508B4">
        <w:t>konkludentām</w:t>
      </w:r>
      <w:proofErr w:type="spellEnd"/>
      <w:r w:rsidRPr="00E508B4">
        <w:t xml:space="preserve"> darbībām</w:t>
      </w:r>
      <w:r w:rsidRPr="00D75005">
        <w:t>, un tā var tikt sniegta līdz lēmuma pieņemšanai par tiesas izmeklēšanas pabeigšanu.</w:t>
      </w:r>
    </w:p>
    <w:p w14:paraId="2D072934" w14:textId="77777777" w:rsidR="00D903DB" w:rsidRPr="00D75005" w:rsidRDefault="00D903DB" w:rsidP="004E6D67">
      <w:pPr>
        <w:spacing w:after="0" w:line="276" w:lineRule="auto"/>
        <w:jc w:val="both"/>
      </w:pPr>
      <w:r w:rsidRPr="00E508B4">
        <w:t>Šādai piekrišanai ir jābūt skaidrai un nepārprotamai, sniegtai, aizstāvībai apzinoties tās juridiskās sekas, un tā vēlāk nav atsaukta.</w:t>
      </w:r>
    </w:p>
    <w:p w14:paraId="06C46E3C" w14:textId="77777777" w:rsidR="00D903DB" w:rsidRPr="00D75005" w:rsidRDefault="00D903DB" w:rsidP="004E6D67">
      <w:pPr>
        <w:spacing w:after="0" w:line="276" w:lineRule="auto"/>
        <w:jc w:val="both"/>
      </w:pPr>
      <w:r w:rsidRPr="00D75005">
        <w:t>Aizstāvība, izsakot attiecīgu lūgumu, var piekrist tādu ziņu par faktiem izmantošanai nolēmuma pamatošanā, kas fiksētas konkrētajā kriminālprocesā sniegtajās liecībās un ietvertas lietas materiālos, arī tad, ja prokurors tās nav norādījis tiesā izmantojamo pierādījumu uzskaitījumā, tomēr arī šādai piekrišanai jāatbilst iepriekš minētajām prasībām.</w:t>
      </w:r>
    </w:p>
    <w:p w14:paraId="62EA5A9F" w14:textId="77777777" w:rsidR="00D903DB" w:rsidRDefault="00D903DB" w:rsidP="004E6D67">
      <w:pPr>
        <w:widowControl w:val="0"/>
        <w:spacing w:after="0" w:line="276" w:lineRule="auto"/>
        <w:rPr>
          <w:rFonts w:cs="Times New Roman"/>
          <w:b/>
          <w:bCs/>
        </w:rPr>
      </w:pPr>
    </w:p>
    <w:p w14:paraId="1F7E84EB" w14:textId="77777777" w:rsidR="004E6D67" w:rsidRPr="000777BB" w:rsidRDefault="004E6D67" w:rsidP="004E6D67">
      <w:pPr>
        <w:spacing w:after="0" w:line="276" w:lineRule="auto"/>
        <w:jc w:val="both"/>
        <w:rPr>
          <w:b/>
          <w:bCs/>
        </w:rPr>
      </w:pPr>
      <w:r w:rsidRPr="000777BB">
        <w:rPr>
          <w:b/>
          <w:bCs/>
        </w:rPr>
        <w:t xml:space="preserve">Valsts amatpersonas darbību kvalifikācija, ja tās atbilst gan </w:t>
      </w:r>
      <w:r w:rsidRPr="00E508B4">
        <w:rPr>
          <w:b/>
          <w:bCs/>
        </w:rPr>
        <w:t>kādā no Krimināllikuma XXIV nodaļas „Noziedzīgi nodarījumi valsts institūciju dienestā” pantiem, gan citā Krimināllikuma pantā paredzētā noziedzīgā nodarījuma pazīmēm</w:t>
      </w:r>
    </w:p>
    <w:p w14:paraId="53BDF600" w14:textId="69ECAFBE" w:rsidR="004E6D67" w:rsidRDefault="004E6D67" w:rsidP="004E6D67">
      <w:pPr>
        <w:spacing w:after="0" w:line="276" w:lineRule="auto"/>
        <w:jc w:val="both"/>
      </w:pPr>
      <w:r>
        <w:t xml:space="preserve">Ja </w:t>
      </w:r>
      <w:r w:rsidRPr="000777BB">
        <w:t xml:space="preserve">muitas kontroles punkta muitas uzraugs (valsts amatpersona), veicot savus pienākumus, transportlīdzekļa skenēšanas rezultātā iegūtās oriģinālās </w:t>
      </w:r>
      <w:proofErr w:type="spellStart"/>
      <w:r w:rsidRPr="000777BB">
        <w:t>fotodatnes</w:t>
      </w:r>
      <w:proofErr w:type="spellEnd"/>
      <w:r w:rsidRPr="000777BB">
        <w:t xml:space="preserve"> aizvieto ar tādām, kurās muitošanai pakļautās preces nav redzamas, šādas darbības atzīstamas par muitošanai pakļauto preču slēpšanu, kas veido daļu no Krimināllikuma 190.</w:t>
      </w:r>
      <w:r>
        <w:t> </w:t>
      </w:r>
      <w:r w:rsidRPr="000777BB">
        <w:t>pantā paredzētā noziedzīgā nodarījuma (kontrabanda) objektīvās puses. Tādēļ valsts amatpersona atzīstama par šī noziedzīgā nodarījuma līdzizdarītāju.</w:t>
      </w:r>
      <w:r w:rsidRPr="004E6D67">
        <w:t xml:space="preserve"> </w:t>
      </w:r>
      <w:r w:rsidRPr="004E6D67">
        <w:rPr>
          <w:i/>
          <w:iCs/>
        </w:rPr>
        <w:t>(</w:t>
      </w:r>
      <w:r w:rsidR="00163BB6">
        <w:rPr>
          <w:i/>
          <w:iCs/>
        </w:rPr>
        <w:t>s</w:t>
      </w:r>
      <w:r w:rsidRPr="004E6D67">
        <w:rPr>
          <w:i/>
          <w:iCs/>
        </w:rPr>
        <w:t>k</w:t>
      </w:r>
      <w:r>
        <w:rPr>
          <w:i/>
          <w:iCs/>
        </w:rPr>
        <w:t>at</w:t>
      </w:r>
      <w:r w:rsidR="00163BB6">
        <w:rPr>
          <w:i/>
          <w:iCs/>
        </w:rPr>
        <w:t>.</w:t>
      </w:r>
      <w:r w:rsidR="003D1FF1">
        <w:rPr>
          <w:i/>
          <w:iCs/>
        </w:rPr>
        <w:t> </w:t>
      </w:r>
      <w:r>
        <w:rPr>
          <w:i/>
          <w:iCs/>
        </w:rPr>
        <w:t>b</w:t>
      </w:r>
      <w:r w:rsidRPr="004E6D67">
        <w:rPr>
          <w:i/>
          <w:iCs/>
        </w:rPr>
        <w:t>lakus lēmumu)</w:t>
      </w:r>
    </w:p>
    <w:p w14:paraId="3993348B" w14:textId="77777777" w:rsidR="004E6D67" w:rsidRPr="000777BB" w:rsidRDefault="004E6D67" w:rsidP="004E6D67">
      <w:pPr>
        <w:spacing w:after="0" w:line="276" w:lineRule="auto"/>
        <w:jc w:val="both"/>
      </w:pPr>
    </w:p>
    <w:p w14:paraId="5F538A77" w14:textId="77777777" w:rsidR="004E6D67" w:rsidRPr="00E508B4" w:rsidRDefault="004E6D67" w:rsidP="004E6D67">
      <w:pPr>
        <w:spacing w:after="0" w:line="276" w:lineRule="auto"/>
        <w:jc w:val="both"/>
        <w:rPr>
          <w:b/>
          <w:bCs/>
        </w:rPr>
      </w:pPr>
      <w:r w:rsidRPr="00E508B4">
        <w:rPr>
          <w:b/>
          <w:bCs/>
        </w:rPr>
        <w:t>Dienesta pilnvaru pārsniegšana (Krimināllikuma 317. pants)</w:t>
      </w:r>
    </w:p>
    <w:p w14:paraId="22F3EC7F" w14:textId="165C2A54" w:rsidR="004E6D67" w:rsidRDefault="004E6D67" w:rsidP="004E6D67">
      <w:pPr>
        <w:spacing w:after="0" w:line="276" w:lineRule="auto"/>
        <w:jc w:val="both"/>
        <w:rPr>
          <w:color w:val="7030A0"/>
        </w:rPr>
      </w:pPr>
      <w:r w:rsidRPr="00E508B4">
        <w:t>Par acīmredzamu ar likumu vai uzliktu uzdevumu piešķirto tiesību un pilnvaru robežu pārsniegšanu Krimināllikuma 317. panta izpratnē atzīstama arī tāda valsts amatpersonas darbība, kuru nav tiesīga veikt neviena valsts amatpersona; tajā skaitā tāda darbība, kas atbilst citā Krimināllikuma pantā paredzēta noziedzīga nodarījuma pazīmēm. Šādā gadījumā jāizvērtē, vai pastāv normu konkurence vai noziedzīgu nodarījumu ideālā kopība</w:t>
      </w:r>
      <w:r w:rsidRPr="009E4CFF">
        <w:rPr>
          <w:color w:val="7030A0"/>
        </w:rPr>
        <w:t>.</w:t>
      </w:r>
      <w:r w:rsidRPr="004E6D67">
        <w:t xml:space="preserve"> </w:t>
      </w:r>
      <w:r w:rsidRPr="004E6D67">
        <w:rPr>
          <w:i/>
          <w:iCs/>
        </w:rPr>
        <w:t>(</w:t>
      </w:r>
      <w:r w:rsidR="00163BB6">
        <w:rPr>
          <w:i/>
          <w:iCs/>
        </w:rPr>
        <w:t>s</w:t>
      </w:r>
      <w:r w:rsidRPr="004E6D67">
        <w:rPr>
          <w:i/>
          <w:iCs/>
        </w:rPr>
        <w:t>k</w:t>
      </w:r>
      <w:r>
        <w:rPr>
          <w:i/>
          <w:iCs/>
        </w:rPr>
        <w:t>at</w:t>
      </w:r>
      <w:r w:rsidRPr="004E6D67">
        <w:rPr>
          <w:i/>
          <w:iCs/>
        </w:rPr>
        <w:t>.</w:t>
      </w:r>
      <w:r w:rsidR="003D1FF1">
        <w:rPr>
          <w:i/>
          <w:iCs/>
        </w:rPr>
        <w:t> </w:t>
      </w:r>
      <w:r>
        <w:rPr>
          <w:i/>
          <w:iCs/>
        </w:rPr>
        <w:t>b</w:t>
      </w:r>
      <w:r w:rsidRPr="004E6D67">
        <w:rPr>
          <w:i/>
          <w:iCs/>
        </w:rPr>
        <w:t>lakus lēmumu)</w:t>
      </w:r>
    </w:p>
    <w:p w14:paraId="02C481E2" w14:textId="77777777" w:rsidR="004E6D67" w:rsidRPr="009E4CFF" w:rsidRDefault="004E6D67" w:rsidP="004E6D67">
      <w:pPr>
        <w:spacing w:after="0" w:line="276" w:lineRule="auto"/>
        <w:jc w:val="both"/>
        <w:rPr>
          <w:color w:val="7030A0"/>
        </w:rPr>
      </w:pPr>
    </w:p>
    <w:p w14:paraId="47B761FD" w14:textId="77777777" w:rsidR="004E6D67" w:rsidRPr="00375CA8" w:rsidRDefault="004E6D67" w:rsidP="004E6D67">
      <w:pPr>
        <w:spacing w:after="0" w:line="276" w:lineRule="auto"/>
        <w:jc w:val="both"/>
        <w:rPr>
          <w:b/>
          <w:bCs/>
          <w:noProof/>
        </w:rPr>
      </w:pPr>
      <w:r w:rsidRPr="00E508B4">
        <w:rPr>
          <w:b/>
          <w:bCs/>
          <w:noProof/>
        </w:rPr>
        <w:t>Apelācijas instances tiesas tiesības atzīt par pierādītiem no apsūdzības atšķirīgus</w:t>
      </w:r>
      <w:r w:rsidRPr="00375CA8">
        <w:rPr>
          <w:b/>
          <w:bCs/>
          <w:noProof/>
        </w:rPr>
        <w:t xml:space="preserve"> noziedzīgā nodarījuma faktiskos apstākļus vai juridisko kvalifikāciju</w:t>
      </w:r>
    </w:p>
    <w:p w14:paraId="61370B2A" w14:textId="24AE3467" w:rsidR="004E6D67" w:rsidRPr="00375CA8" w:rsidRDefault="004E6D67" w:rsidP="004E6D67">
      <w:pPr>
        <w:spacing w:after="0" w:line="276" w:lineRule="auto"/>
        <w:jc w:val="both"/>
      </w:pPr>
      <w:r w:rsidRPr="00375CA8">
        <w:t>Kriminālprocesa likuma 455. panta ceturtā daļa, kas stājās spēkā 2024. gada 22. oktobrī, nav piemērojama apelācijas instances tiesā, jo tai ir saistošs aizliegums pasliktināt apsūdzētā stāvokli, ja par pirmās instances spriedumu nav iesniegts prokurora protests (Kriminālprocesa likuma 562. panta otrā daļa)</w:t>
      </w:r>
      <w:r>
        <w:t>.</w:t>
      </w:r>
      <w:r w:rsidRPr="004E6D67">
        <w:rPr>
          <w:i/>
          <w:iCs/>
        </w:rPr>
        <w:t xml:space="preserve"> (sk</w:t>
      </w:r>
      <w:r>
        <w:rPr>
          <w:i/>
          <w:iCs/>
        </w:rPr>
        <w:t>at</w:t>
      </w:r>
      <w:r w:rsidRPr="004E6D67">
        <w:rPr>
          <w:i/>
          <w:iCs/>
        </w:rPr>
        <w:t>.</w:t>
      </w:r>
      <w:r w:rsidR="003D1FF1">
        <w:rPr>
          <w:i/>
          <w:iCs/>
        </w:rPr>
        <w:t> </w:t>
      </w:r>
      <w:r>
        <w:rPr>
          <w:i/>
          <w:iCs/>
        </w:rPr>
        <w:t>b</w:t>
      </w:r>
      <w:r w:rsidRPr="004E6D67">
        <w:rPr>
          <w:i/>
          <w:iCs/>
        </w:rPr>
        <w:t>lakus lēmumu)</w:t>
      </w:r>
    </w:p>
    <w:p w14:paraId="50A68664" w14:textId="77777777" w:rsidR="004E6D67" w:rsidRDefault="004E6D67" w:rsidP="004E6D67">
      <w:pPr>
        <w:widowControl w:val="0"/>
        <w:spacing w:after="0" w:line="276" w:lineRule="auto"/>
        <w:rPr>
          <w:rFonts w:cs="Times New Roman"/>
          <w:b/>
          <w:bCs/>
        </w:rPr>
      </w:pPr>
    </w:p>
    <w:p w14:paraId="6D43956F" w14:textId="4B750269" w:rsidR="00C42F63" w:rsidRPr="00D903DB" w:rsidRDefault="00C42F63" w:rsidP="00D903DB">
      <w:pPr>
        <w:widowControl w:val="0"/>
        <w:spacing w:after="0" w:line="276" w:lineRule="auto"/>
        <w:jc w:val="center"/>
        <w:rPr>
          <w:rFonts w:cs="Times New Roman"/>
          <w:b/>
          <w:bCs/>
        </w:rPr>
      </w:pPr>
      <w:r w:rsidRPr="00D903DB">
        <w:rPr>
          <w:rFonts w:cs="Times New Roman"/>
          <w:b/>
          <w:bCs/>
        </w:rPr>
        <w:t>Latvijas Republikas Senāt</w:t>
      </w:r>
      <w:r w:rsidR="00D903DB" w:rsidRPr="00D903DB">
        <w:rPr>
          <w:rFonts w:cs="Times New Roman"/>
          <w:b/>
          <w:bCs/>
        </w:rPr>
        <w:t>a</w:t>
      </w:r>
    </w:p>
    <w:p w14:paraId="2BAA44AD" w14:textId="29D8F61E" w:rsidR="00D903DB" w:rsidRPr="00D903DB" w:rsidRDefault="00D903DB" w:rsidP="00D903DB">
      <w:pPr>
        <w:widowControl w:val="0"/>
        <w:spacing w:after="0" w:line="276" w:lineRule="auto"/>
        <w:jc w:val="center"/>
        <w:rPr>
          <w:rFonts w:cs="Times New Roman"/>
          <w:b/>
          <w:bCs/>
        </w:rPr>
      </w:pPr>
      <w:r w:rsidRPr="00D903DB">
        <w:rPr>
          <w:rFonts w:cs="Times New Roman"/>
          <w:b/>
          <w:bCs/>
        </w:rPr>
        <w:t>Krimināllietu departament</w:t>
      </w:r>
      <w:r>
        <w:rPr>
          <w:rFonts w:cs="Times New Roman"/>
          <w:b/>
          <w:bCs/>
        </w:rPr>
        <w:t>a</w:t>
      </w:r>
    </w:p>
    <w:p w14:paraId="362F1A52" w14:textId="1236139C" w:rsidR="00D903DB" w:rsidRPr="00D903DB" w:rsidRDefault="00D903DB" w:rsidP="00D903DB">
      <w:pPr>
        <w:widowControl w:val="0"/>
        <w:spacing w:after="0" w:line="276" w:lineRule="auto"/>
        <w:jc w:val="center"/>
        <w:rPr>
          <w:rFonts w:cs="Times New Roman"/>
          <w:b/>
          <w:bCs/>
        </w:rPr>
      </w:pPr>
      <w:r w:rsidRPr="00D903DB">
        <w:rPr>
          <w:rFonts w:cs="Times New Roman"/>
          <w:b/>
          <w:bCs/>
        </w:rPr>
        <w:t>2026. gada 24. februār</w:t>
      </w:r>
      <w:r>
        <w:rPr>
          <w:rFonts w:cs="Times New Roman"/>
          <w:b/>
          <w:bCs/>
        </w:rPr>
        <w:t>a</w:t>
      </w:r>
    </w:p>
    <w:p w14:paraId="54C8ADA6" w14:textId="77777777" w:rsidR="00C42F63" w:rsidRPr="00D903DB" w:rsidRDefault="00C42F63" w:rsidP="00D903DB">
      <w:pPr>
        <w:widowControl w:val="0"/>
        <w:spacing w:after="0" w:line="276" w:lineRule="auto"/>
        <w:jc w:val="center"/>
        <w:rPr>
          <w:rFonts w:cs="Times New Roman"/>
          <w:b/>
          <w:bCs/>
        </w:rPr>
      </w:pPr>
      <w:r w:rsidRPr="00D903DB">
        <w:rPr>
          <w:rFonts w:cs="Times New Roman"/>
          <w:b/>
          <w:bCs/>
        </w:rPr>
        <w:t>LĒMUMS</w:t>
      </w:r>
    </w:p>
    <w:p w14:paraId="75BCF41B" w14:textId="77777777" w:rsidR="00D903DB" w:rsidRPr="00D903DB" w:rsidRDefault="00D903DB" w:rsidP="00D903DB">
      <w:pPr>
        <w:widowControl w:val="0"/>
        <w:spacing w:after="0" w:line="276" w:lineRule="auto"/>
        <w:jc w:val="center"/>
        <w:rPr>
          <w:rFonts w:cs="Times New Roman"/>
          <w:b/>
          <w:bCs/>
        </w:rPr>
      </w:pPr>
      <w:r w:rsidRPr="00D903DB">
        <w:rPr>
          <w:rFonts w:cs="Times New Roman"/>
          <w:b/>
          <w:bCs/>
        </w:rPr>
        <w:lastRenderedPageBreak/>
        <w:t>Lieta Nr. 15840087818, SKK-4/2026</w:t>
      </w:r>
    </w:p>
    <w:p w14:paraId="661598E0" w14:textId="7F2F492C" w:rsidR="00C42F63" w:rsidRDefault="00D903DB" w:rsidP="00D903DB">
      <w:pPr>
        <w:widowControl w:val="0"/>
        <w:spacing w:after="0" w:line="276" w:lineRule="auto"/>
        <w:jc w:val="center"/>
        <w:rPr>
          <w:rFonts w:cs="Times New Roman"/>
        </w:rPr>
      </w:pPr>
      <w:hyperlink r:id="rId8" w:history="1">
        <w:r w:rsidRPr="00D903DB">
          <w:rPr>
            <w:rStyle w:val="Hyperlink"/>
            <w:rFonts w:cs="Times New Roman"/>
          </w:rPr>
          <w:t>ECLI:LV:AT:2026:0224.15840087818.6.L</w:t>
        </w:r>
      </w:hyperlink>
    </w:p>
    <w:p w14:paraId="75E5107E" w14:textId="77777777" w:rsidR="00D903DB" w:rsidRPr="002410C6" w:rsidRDefault="00D903DB" w:rsidP="0061641F">
      <w:pPr>
        <w:widowControl w:val="0"/>
        <w:spacing w:after="0" w:line="276" w:lineRule="auto"/>
        <w:ind w:firstLine="720"/>
        <w:jc w:val="both"/>
        <w:rPr>
          <w:rFonts w:cs="Times New Roman"/>
        </w:rPr>
      </w:pPr>
    </w:p>
    <w:p w14:paraId="7E5A73EB" w14:textId="132EC434" w:rsidR="00C42F63" w:rsidRPr="002410C6" w:rsidRDefault="00C42F63" w:rsidP="0061641F">
      <w:pPr>
        <w:widowControl w:val="0"/>
        <w:spacing w:after="0" w:line="276" w:lineRule="auto"/>
        <w:ind w:firstLine="720"/>
        <w:jc w:val="both"/>
        <w:rPr>
          <w:rFonts w:cs="Times New Roman"/>
        </w:rPr>
      </w:pPr>
      <w:r w:rsidRPr="002410C6">
        <w:rPr>
          <w:rFonts w:cs="Times New Roman"/>
        </w:rPr>
        <w:t>Senāts šādā sastāvā: senator</w:t>
      </w:r>
      <w:r w:rsidR="00C8632F" w:rsidRPr="002410C6">
        <w:rPr>
          <w:rFonts w:cs="Times New Roman"/>
        </w:rPr>
        <w:t xml:space="preserve">s referents Māris Leja, senatores </w:t>
      </w:r>
      <w:r w:rsidR="0061641F" w:rsidRPr="002410C6">
        <w:rPr>
          <w:rFonts w:cs="Times New Roman"/>
        </w:rPr>
        <w:t xml:space="preserve">Irīna Jansone un </w:t>
      </w:r>
      <w:r w:rsidR="00C8632F" w:rsidRPr="002410C6">
        <w:rPr>
          <w:rFonts w:cs="Times New Roman"/>
        </w:rPr>
        <w:t>Sandra Kaija</w:t>
      </w:r>
    </w:p>
    <w:p w14:paraId="72F9BC0D" w14:textId="77777777" w:rsidR="00C42F63" w:rsidRPr="002410C6" w:rsidRDefault="00C42F63" w:rsidP="0061641F">
      <w:pPr>
        <w:widowControl w:val="0"/>
        <w:spacing w:after="0" w:line="276" w:lineRule="auto"/>
        <w:ind w:firstLine="720"/>
        <w:jc w:val="both"/>
        <w:rPr>
          <w:rFonts w:cs="Times New Roman"/>
        </w:rPr>
      </w:pPr>
    </w:p>
    <w:p w14:paraId="698EA3AC" w14:textId="1771DB81" w:rsidR="00C42F63" w:rsidRPr="002410C6" w:rsidRDefault="00C42F63" w:rsidP="0061641F">
      <w:pPr>
        <w:widowControl w:val="0"/>
        <w:spacing w:after="0" w:line="276" w:lineRule="auto"/>
        <w:ind w:firstLine="720"/>
        <w:jc w:val="both"/>
        <w:rPr>
          <w:rFonts w:cs="Times New Roman"/>
        </w:rPr>
      </w:pPr>
      <w:r w:rsidRPr="002410C6">
        <w:rPr>
          <w:rFonts w:cs="Times New Roman"/>
        </w:rPr>
        <w:t xml:space="preserve">rakstveida procesā izskatīja krimināllietu sakarā ar apsūdzētā </w:t>
      </w:r>
      <w:r w:rsidR="00D903DB">
        <w:rPr>
          <w:rFonts w:cs="Times New Roman"/>
        </w:rPr>
        <w:t>[pers. A]</w:t>
      </w:r>
      <w:r w:rsidR="00F93D66" w:rsidRPr="002410C6">
        <w:rPr>
          <w:rFonts w:cs="Times New Roman"/>
        </w:rPr>
        <w:t xml:space="preserve"> aizstāves zvērinātas advokātes R</w:t>
      </w:r>
      <w:r w:rsidR="008772F3" w:rsidRPr="002410C6">
        <w:rPr>
          <w:rFonts w:cs="Times New Roman"/>
        </w:rPr>
        <w:t>i</w:t>
      </w:r>
      <w:r w:rsidR="00F93D66" w:rsidRPr="002410C6">
        <w:rPr>
          <w:rFonts w:cs="Times New Roman"/>
        </w:rPr>
        <w:t xml:space="preserve">tas </w:t>
      </w:r>
      <w:proofErr w:type="spellStart"/>
      <w:r w:rsidR="00F93D66" w:rsidRPr="002410C6">
        <w:rPr>
          <w:rFonts w:cs="Times New Roman"/>
        </w:rPr>
        <w:t>Jurevičas</w:t>
      </w:r>
      <w:proofErr w:type="spellEnd"/>
      <w:r w:rsidR="00F93D66" w:rsidRPr="002410C6">
        <w:rPr>
          <w:rFonts w:cs="Times New Roman"/>
        </w:rPr>
        <w:t xml:space="preserve"> </w:t>
      </w:r>
      <w:r w:rsidRPr="002410C6">
        <w:rPr>
          <w:rFonts w:cs="Times New Roman"/>
        </w:rPr>
        <w:t xml:space="preserve">kasācijas sūdzību par </w:t>
      </w:r>
      <w:r w:rsidR="00F93D66" w:rsidRPr="002410C6">
        <w:rPr>
          <w:rFonts w:cs="Times New Roman"/>
        </w:rPr>
        <w:t xml:space="preserve">Latgales </w:t>
      </w:r>
      <w:r w:rsidRPr="002410C6">
        <w:rPr>
          <w:rFonts w:cs="Times New Roman"/>
        </w:rPr>
        <w:t>apgabaltiesas 202</w:t>
      </w:r>
      <w:r w:rsidR="00F93D66" w:rsidRPr="002410C6">
        <w:rPr>
          <w:rFonts w:cs="Times New Roman"/>
        </w:rPr>
        <w:t>4</w:t>
      </w:r>
      <w:r w:rsidRPr="002410C6">
        <w:rPr>
          <w:rFonts w:cs="Times New Roman"/>
        </w:rPr>
        <w:t>.</w:t>
      </w:r>
      <w:r w:rsidR="00F93D66" w:rsidRPr="002410C6">
        <w:rPr>
          <w:rFonts w:cs="Times New Roman"/>
        </w:rPr>
        <w:t> </w:t>
      </w:r>
      <w:r w:rsidRPr="002410C6">
        <w:rPr>
          <w:rFonts w:cs="Times New Roman"/>
        </w:rPr>
        <w:t xml:space="preserve">gada </w:t>
      </w:r>
      <w:r w:rsidR="00F93D66" w:rsidRPr="002410C6">
        <w:rPr>
          <w:rFonts w:cs="Times New Roman"/>
        </w:rPr>
        <w:t>21. maija</w:t>
      </w:r>
      <w:r w:rsidRPr="002410C6">
        <w:rPr>
          <w:rFonts w:cs="Times New Roman"/>
        </w:rPr>
        <w:t xml:space="preserve"> lēmumu.</w:t>
      </w:r>
    </w:p>
    <w:p w14:paraId="460D630D" w14:textId="77777777" w:rsidR="00C42F63" w:rsidRPr="002410C6" w:rsidRDefault="00C42F63" w:rsidP="0061641F">
      <w:pPr>
        <w:widowControl w:val="0"/>
        <w:spacing w:after="0" w:line="276" w:lineRule="auto"/>
        <w:ind w:firstLine="720"/>
        <w:jc w:val="both"/>
        <w:rPr>
          <w:rFonts w:cs="Times New Roman"/>
        </w:rPr>
      </w:pPr>
    </w:p>
    <w:p w14:paraId="2029E650" w14:textId="55FC2B13" w:rsidR="00C42F63" w:rsidRPr="002410C6" w:rsidRDefault="00C42F63" w:rsidP="0061641F">
      <w:pPr>
        <w:widowControl w:val="0"/>
        <w:spacing w:after="0" w:line="276" w:lineRule="auto"/>
        <w:jc w:val="center"/>
        <w:rPr>
          <w:rFonts w:cs="Times New Roman"/>
          <w:b/>
          <w:bCs/>
        </w:rPr>
      </w:pPr>
      <w:r w:rsidRPr="002410C6">
        <w:rPr>
          <w:rFonts w:cs="Times New Roman"/>
          <w:b/>
          <w:bCs/>
        </w:rPr>
        <w:t>Aprakstošā daļa</w:t>
      </w:r>
    </w:p>
    <w:p w14:paraId="5FEE8DCC" w14:textId="77777777" w:rsidR="00C42F63" w:rsidRPr="002410C6" w:rsidRDefault="00C42F63" w:rsidP="0061641F">
      <w:pPr>
        <w:widowControl w:val="0"/>
        <w:spacing w:after="0" w:line="276" w:lineRule="auto"/>
        <w:ind w:firstLine="720"/>
        <w:jc w:val="both"/>
        <w:rPr>
          <w:rFonts w:cs="Times New Roman"/>
          <w:b/>
          <w:bCs/>
        </w:rPr>
      </w:pPr>
    </w:p>
    <w:p w14:paraId="027542F7" w14:textId="46E809E9" w:rsidR="00C42F63" w:rsidRPr="002410C6" w:rsidRDefault="00C42F63" w:rsidP="0061641F">
      <w:pPr>
        <w:widowControl w:val="0"/>
        <w:spacing w:after="0" w:line="276" w:lineRule="auto"/>
        <w:ind w:firstLine="720"/>
        <w:jc w:val="both"/>
        <w:rPr>
          <w:rFonts w:cs="Times New Roman"/>
        </w:rPr>
      </w:pPr>
      <w:r w:rsidRPr="002410C6">
        <w:rPr>
          <w:rFonts w:cs="Times New Roman"/>
        </w:rPr>
        <w:t>[1]</w:t>
      </w:r>
      <w:r w:rsidR="00370EBD" w:rsidRPr="002410C6">
        <w:rPr>
          <w:rFonts w:cs="Times New Roman"/>
        </w:rPr>
        <w:t> </w:t>
      </w:r>
      <w:r w:rsidRPr="002410C6">
        <w:rPr>
          <w:rFonts w:cs="Times New Roman"/>
        </w:rPr>
        <w:t xml:space="preserve">Ar </w:t>
      </w:r>
      <w:r w:rsidR="00F93D66" w:rsidRPr="002410C6">
        <w:rPr>
          <w:rFonts w:cs="Times New Roman"/>
          <w:color w:val="000000" w:themeColor="text1"/>
        </w:rPr>
        <w:t>Daugavpils</w:t>
      </w:r>
      <w:r w:rsidRPr="002410C6">
        <w:rPr>
          <w:rFonts w:cs="Times New Roman"/>
          <w:color w:val="000000" w:themeColor="text1"/>
        </w:rPr>
        <w:t xml:space="preserve"> tiesas </w:t>
      </w:r>
      <w:r w:rsidRPr="002410C6">
        <w:rPr>
          <w:rFonts w:cs="Times New Roman"/>
        </w:rPr>
        <w:t>202</w:t>
      </w:r>
      <w:r w:rsidR="00F93D66" w:rsidRPr="002410C6">
        <w:rPr>
          <w:rFonts w:cs="Times New Roman"/>
        </w:rPr>
        <w:t>3</w:t>
      </w:r>
      <w:r w:rsidRPr="002410C6">
        <w:rPr>
          <w:rFonts w:cs="Times New Roman"/>
        </w:rPr>
        <w:t>.</w:t>
      </w:r>
      <w:r w:rsidR="00F93D66" w:rsidRPr="002410C6">
        <w:rPr>
          <w:rFonts w:cs="Times New Roman"/>
        </w:rPr>
        <w:t> </w:t>
      </w:r>
      <w:r w:rsidRPr="002410C6">
        <w:rPr>
          <w:rFonts w:cs="Times New Roman"/>
        </w:rPr>
        <w:t xml:space="preserve">gada </w:t>
      </w:r>
      <w:r w:rsidR="00F93D66" w:rsidRPr="002410C6">
        <w:rPr>
          <w:rFonts w:cs="Times New Roman"/>
        </w:rPr>
        <w:t>30. janvāra</w:t>
      </w:r>
      <w:r w:rsidRPr="002410C6">
        <w:rPr>
          <w:rFonts w:cs="Times New Roman"/>
        </w:rPr>
        <w:t xml:space="preserve"> spriedumu</w:t>
      </w:r>
    </w:p>
    <w:p w14:paraId="67969E2C" w14:textId="5A822B30" w:rsidR="00C42F63" w:rsidRPr="002410C6" w:rsidRDefault="00511954" w:rsidP="0061641F">
      <w:pPr>
        <w:widowControl w:val="0"/>
        <w:spacing w:after="0" w:line="276" w:lineRule="auto"/>
        <w:ind w:firstLine="720"/>
        <w:jc w:val="both"/>
        <w:rPr>
          <w:rFonts w:cs="Times New Roman"/>
        </w:rPr>
      </w:pPr>
      <w:r>
        <w:rPr>
          <w:rFonts w:cs="Times New Roman"/>
        </w:rPr>
        <w:t>[pers. A]</w:t>
      </w:r>
      <w:r w:rsidR="00C42F63" w:rsidRPr="002410C6">
        <w:rPr>
          <w:rFonts w:cs="Times New Roman"/>
        </w:rPr>
        <w:t xml:space="preserve">, personas kods </w:t>
      </w:r>
      <w:r>
        <w:rPr>
          <w:rFonts w:cs="Times New Roman"/>
        </w:rPr>
        <w:t>[..]</w:t>
      </w:r>
      <w:r w:rsidR="00C42F63" w:rsidRPr="002410C6">
        <w:rPr>
          <w:rFonts w:cs="Times New Roman"/>
        </w:rPr>
        <w:t>,</w:t>
      </w:r>
    </w:p>
    <w:p w14:paraId="3D5EFC0B" w14:textId="459AD477" w:rsidR="00F93D66" w:rsidRPr="002410C6" w:rsidRDefault="00C42F63" w:rsidP="0061641F">
      <w:pPr>
        <w:widowControl w:val="0"/>
        <w:spacing w:after="0" w:line="276" w:lineRule="auto"/>
        <w:ind w:firstLine="720"/>
        <w:jc w:val="both"/>
        <w:rPr>
          <w:rFonts w:cs="Times New Roman"/>
        </w:rPr>
      </w:pPr>
      <w:r w:rsidRPr="002410C6">
        <w:rPr>
          <w:rFonts w:cs="Times New Roman"/>
        </w:rPr>
        <w:t>atzīt</w:t>
      </w:r>
      <w:r w:rsidR="00F93D66" w:rsidRPr="002410C6">
        <w:rPr>
          <w:rFonts w:cs="Times New Roman"/>
        </w:rPr>
        <w:t>s</w:t>
      </w:r>
      <w:r w:rsidRPr="002410C6">
        <w:rPr>
          <w:rFonts w:cs="Times New Roman"/>
        </w:rPr>
        <w:t xml:space="preserve"> par vainīgu Krimināllikuma </w:t>
      </w:r>
      <w:r w:rsidR="00F93D66" w:rsidRPr="002410C6">
        <w:rPr>
          <w:rFonts w:cs="Times New Roman"/>
        </w:rPr>
        <w:t>318</w:t>
      </w:r>
      <w:r w:rsidRPr="002410C6">
        <w:rPr>
          <w:rFonts w:cs="Times New Roman"/>
        </w:rPr>
        <w:t>.</w:t>
      </w:r>
      <w:r w:rsidR="00F93D66" w:rsidRPr="002410C6">
        <w:rPr>
          <w:rFonts w:cs="Times New Roman"/>
        </w:rPr>
        <w:t> </w:t>
      </w:r>
      <w:r w:rsidRPr="002410C6">
        <w:rPr>
          <w:rFonts w:cs="Times New Roman"/>
        </w:rPr>
        <w:t xml:space="preserve">panta </w:t>
      </w:r>
      <w:r w:rsidR="00F93D66" w:rsidRPr="002410C6">
        <w:rPr>
          <w:rFonts w:cs="Times New Roman"/>
        </w:rPr>
        <w:t>trešajā</w:t>
      </w:r>
      <w:r w:rsidRPr="002410C6">
        <w:rPr>
          <w:rFonts w:cs="Times New Roman"/>
        </w:rPr>
        <w:t xml:space="preserve"> daļā paredzētajā noziedzīgajā</w:t>
      </w:r>
      <w:r w:rsidR="00F93D66" w:rsidRPr="002410C6">
        <w:rPr>
          <w:rFonts w:cs="Times New Roman"/>
        </w:rPr>
        <w:t xml:space="preserve"> </w:t>
      </w:r>
      <w:r w:rsidRPr="002410C6">
        <w:rPr>
          <w:rFonts w:cs="Times New Roman"/>
        </w:rPr>
        <w:t>nodarījumā un sodīt</w:t>
      </w:r>
      <w:r w:rsidR="00F93D66" w:rsidRPr="002410C6">
        <w:rPr>
          <w:rFonts w:cs="Times New Roman"/>
        </w:rPr>
        <w:t>s ar brīvības atņemšanu uz 3 gadiem, atņemot tiesības ieņemt valsts amatpersonas amatu uz 5 gadiem.</w:t>
      </w:r>
    </w:p>
    <w:p w14:paraId="1F4038A4" w14:textId="0E2CCD00" w:rsidR="00962D78" w:rsidRPr="002410C6" w:rsidRDefault="00962D78" w:rsidP="0061641F">
      <w:pPr>
        <w:widowControl w:val="0"/>
        <w:spacing w:after="0" w:line="276" w:lineRule="auto"/>
        <w:ind w:firstLine="720"/>
        <w:jc w:val="both"/>
        <w:rPr>
          <w:rFonts w:cs="Times New Roman"/>
        </w:rPr>
      </w:pPr>
      <w:r w:rsidRPr="002410C6">
        <w:rPr>
          <w:rFonts w:cs="Times New Roman"/>
        </w:rPr>
        <w:t xml:space="preserve">No </w:t>
      </w:r>
      <w:r w:rsidR="00511954">
        <w:rPr>
          <w:rFonts w:cs="Times New Roman"/>
        </w:rPr>
        <w:t>[pers. A]</w:t>
      </w:r>
      <w:r w:rsidRPr="002410C6">
        <w:rPr>
          <w:rFonts w:cs="Times New Roman"/>
        </w:rPr>
        <w:t xml:space="preserve"> valst</w:t>
      </w:r>
      <w:r w:rsidR="00981079">
        <w:rPr>
          <w:rFonts w:cs="Times New Roman"/>
        </w:rPr>
        <w:t>s labā</w:t>
      </w:r>
      <w:r w:rsidRPr="002410C6">
        <w:rPr>
          <w:rFonts w:cs="Times New Roman"/>
        </w:rPr>
        <w:t xml:space="preserve"> piedzīta mantiskā kaitējuma kompensācija 1 839 611,60</w:t>
      </w:r>
      <w:r w:rsidR="000826F8" w:rsidRPr="002410C6">
        <w:rPr>
          <w:rFonts w:cs="Times New Roman"/>
        </w:rPr>
        <w:t> </w:t>
      </w:r>
      <w:proofErr w:type="spellStart"/>
      <w:r w:rsidRPr="002410C6">
        <w:rPr>
          <w:rFonts w:cs="Times New Roman"/>
          <w:i/>
          <w:iCs/>
        </w:rPr>
        <w:t>euro</w:t>
      </w:r>
      <w:proofErr w:type="spellEnd"/>
      <w:r w:rsidRPr="002410C6">
        <w:rPr>
          <w:rFonts w:cs="Times New Roman"/>
        </w:rPr>
        <w:t>.</w:t>
      </w:r>
    </w:p>
    <w:p w14:paraId="44F2AED3" w14:textId="77777777" w:rsidR="00A9517F" w:rsidRPr="002410C6" w:rsidRDefault="00A9517F" w:rsidP="0061641F">
      <w:pPr>
        <w:widowControl w:val="0"/>
        <w:spacing w:after="0" w:line="276" w:lineRule="auto"/>
        <w:ind w:firstLine="720"/>
        <w:jc w:val="both"/>
        <w:rPr>
          <w:rFonts w:cs="Times New Roman"/>
        </w:rPr>
      </w:pPr>
    </w:p>
    <w:p w14:paraId="7FC4BB6D" w14:textId="446D8B5F" w:rsidR="00A9517F" w:rsidRDefault="00A9517F" w:rsidP="0061641F">
      <w:pPr>
        <w:widowControl w:val="0"/>
        <w:spacing w:after="0" w:line="276" w:lineRule="auto"/>
        <w:ind w:firstLine="720"/>
        <w:jc w:val="both"/>
        <w:rPr>
          <w:rFonts w:cs="Times New Roman"/>
        </w:rPr>
      </w:pPr>
      <w:r w:rsidRPr="002410C6">
        <w:rPr>
          <w:rFonts w:cs="Times New Roman"/>
        </w:rPr>
        <w:t>[2]</w:t>
      </w:r>
      <w:r w:rsidR="00370EBD" w:rsidRPr="002410C6">
        <w:rPr>
          <w:rFonts w:cs="Times New Roman"/>
        </w:rPr>
        <w:t> </w:t>
      </w:r>
      <w:r w:rsidRPr="002410C6">
        <w:rPr>
          <w:rFonts w:cs="Times New Roman"/>
        </w:rPr>
        <w:t xml:space="preserve">Ar pirmās instances tiesas spriedumu </w:t>
      </w:r>
      <w:r w:rsidR="00511954">
        <w:rPr>
          <w:rFonts w:cs="Times New Roman"/>
        </w:rPr>
        <w:t>[pers. A]</w:t>
      </w:r>
      <w:r w:rsidRPr="002410C6">
        <w:rPr>
          <w:rFonts w:cs="Times New Roman"/>
        </w:rPr>
        <w:t xml:space="preserve"> atzīts par vainīgu un sodīts pēc Krimināllikuma 318. panta trešās daļas par </w:t>
      </w:r>
      <w:r w:rsidR="00276B31" w:rsidRPr="002410C6">
        <w:rPr>
          <w:rFonts w:cs="Times New Roman"/>
        </w:rPr>
        <w:t xml:space="preserve">to, </w:t>
      </w:r>
      <w:r w:rsidRPr="002410C6">
        <w:rPr>
          <w:rFonts w:cs="Times New Roman"/>
        </w:rPr>
        <w:t>ka viņš, būdams valsts amatpersona, ļaunprātīgi izmantoja dienesta stāvokli, ar savām darbībām izraisot smagas sekas</w:t>
      </w:r>
      <w:r w:rsidR="000F3B3D">
        <w:rPr>
          <w:rFonts w:cs="Times New Roman"/>
        </w:rPr>
        <w:t>, šādos apstākļos:</w:t>
      </w:r>
    </w:p>
    <w:p w14:paraId="6767F1E6" w14:textId="5C54425F" w:rsidR="0014562C" w:rsidRDefault="000F3B3D" w:rsidP="00501E97">
      <w:pPr>
        <w:widowControl w:val="0"/>
        <w:spacing w:after="0" w:line="276" w:lineRule="auto"/>
        <w:ind w:firstLine="720"/>
        <w:jc w:val="both"/>
        <w:rPr>
          <w:rFonts w:cs="Times New Roman"/>
        </w:rPr>
      </w:pPr>
      <w:bookmarkStart w:id="1" w:name="_Hlk214777589"/>
      <w:bookmarkStart w:id="2" w:name="_Hlk214701550"/>
      <w:r w:rsidRPr="000069F5">
        <w:rPr>
          <w:rFonts w:cs="Times New Roman"/>
        </w:rPr>
        <w:t>2016. gada 28.</w:t>
      </w:r>
      <w:r w:rsidR="00992FAE" w:rsidRPr="000069F5">
        <w:rPr>
          <w:rFonts w:cs="Times New Roman"/>
        </w:rPr>
        <w:t> </w:t>
      </w:r>
      <w:r w:rsidRPr="000069F5">
        <w:rPr>
          <w:rFonts w:cs="Times New Roman"/>
        </w:rPr>
        <w:t xml:space="preserve">novembrī </w:t>
      </w:r>
      <w:r w:rsidR="00511954">
        <w:rPr>
          <w:rFonts w:cs="Times New Roman"/>
        </w:rPr>
        <w:t>[pers. A]</w:t>
      </w:r>
      <w:r w:rsidR="0070326E" w:rsidRPr="000069F5">
        <w:rPr>
          <w:rFonts w:cs="Times New Roman"/>
        </w:rPr>
        <w:t>, būdams Valsts ieņēmumu dienesta</w:t>
      </w:r>
      <w:r w:rsidRPr="000069F5">
        <w:rPr>
          <w:rFonts w:cs="Times New Roman"/>
        </w:rPr>
        <w:t xml:space="preserve"> </w:t>
      </w:r>
      <w:r w:rsidR="0070326E" w:rsidRPr="000069F5">
        <w:rPr>
          <w:rFonts w:cs="Times New Roman"/>
        </w:rPr>
        <w:t>(turpmāk</w:t>
      </w:r>
      <w:r w:rsidR="004F1690" w:rsidRPr="000069F5">
        <w:rPr>
          <w:rFonts w:cs="Times New Roman"/>
        </w:rPr>
        <w:t> </w:t>
      </w:r>
      <w:r w:rsidR="0070326E" w:rsidRPr="000069F5">
        <w:rPr>
          <w:rFonts w:cs="Times New Roman"/>
        </w:rPr>
        <w:t xml:space="preserve">– VID) </w:t>
      </w:r>
      <w:r w:rsidRPr="000069F5">
        <w:rPr>
          <w:rFonts w:cs="Times New Roman"/>
        </w:rPr>
        <w:t>Muitas pārvaldes</w:t>
      </w:r>
      <w:r w:rsidR="0070326E" w:rsidRPr="000069F5">
        <w:rPr>
          <w:rFonts w:cs="Times New Roman"/>
        </w:rPr>
        <w:t xml:space="preserve"> Latgales muitas kontroles punkta</w:t>
      </w:r>
      <w:r w:rsidRPr="000069F5">
        <w:rPr>
          <w:rFonts w:cs="Times New Roman"/>
        </w:rPr>
        <w:t xml:space="preserve"> </w:t>
      </w:r>
      <w:r w:rsidR="0070326E" w:rsidRPr="000069F5">
        <w:rPr>
          <w:rFonts w:cs="Times New Roman"/>
        </w:rPr>
        <w:t xml:space="preserve">(turpmāk – MKP) </w:t>
      </w:r>
      <w:r w:rsidR="00511954">
        <w:rPr>
          <w:rFonts w:cs="Times New Roman"/>
        </w:rPr>
        <w:t>[Nosaukums]</w:t>
      </w:r>
      <w:r w:rsidR="00884A54">
        <w:rPr>
          <w:rFonts w:cs="Times New Roman"/>
        </w:rPr>
        <w:t xml:space="preserve"> </w:t>
      </w:r>
      <w:r w:rsidR="0070326E" w:rsidRPr="000069F5">
        <w:rPr>
          <w:rFonts w:cs="Times New Roman"/>
        </w:rPr>
        <w:t>vecākais</w:t>
      </w:r>
      <w:r w:rsidRPr="000069F5">
        <w:rPr>
          <w:rFonts w:cs="Times New Roman"/>
        </w:rPr>
        <w:t xml:space="preserve"> muitas uzraugs</w:t>
      </w:r>
      <w:r w:rsidR="00494DFF" w:rsidRPr="000069F5">
        <w:rPr>
          <w:rFonts w:cs="Times New Roman"/>
        </w:rPr>
        <w:t>,</w:t>
      </w:r>
      <w:r w:rsidR="0070326E" w:rsidRPr="000069F5">
        <w:rPr>
          <w:rFonts w:cs="Times New Roman"/>
        </w:rPr>
        <w:t xml:space="preserve"> nol</w:t>
      </w:r>
      <w:r w:rsidR="0070326E" w:rsidRPr="000069F5">
        <w:rPr>
          <w:rFonts w:cs="Times New Roman" w:hint="eastAsia"/>
        </w:rPr>
        <w:t>ū</w:t>
      </w:r>
      <w:r w:rsidR="0070326E" w:rsidRPr="000069F5">
        <w:rPr>
          <w:rFonts w:cs="Times New Roman"/>
        </w:rPr>
        <w:t>k</w:t>
      </w:r>
      <w:r w:rsidR="0070326E" w:rsidRPr="000069F5">
        <w:rPr>
          <w:rFonts w:cs="Times New Roman" w:hint="eastAsia"/>
        </w:rPr>
        <w:t>ā</w:t>
      </w:r>
      <w:r w:rsidR="0070326E" w:rsidRPr="000069F5">
        <w:rPr>
          <w:rFonts w:cs="Times New Roman"/>
        </w:rPr>
        <w:t xml:space="preserve"> atvieglot cit</w:t>
      </w:r>
      <w:r w:rsidR="0070326E" w:rsidRPr="000069F5">
        <w:rPr>
          <w:rFonts w:cs="Times New Roman" w:hint="eastAsia"/>
        </w:rPr>
        <w:t>ā</w:t>
      </w:r>
      <w:r w:rsidR="0070326E" w:rsidRPr="000069F5">
        <w:rPr>
          <w:rFonts w:cs="Times New Roman"/>
        </w:rPr>
        <w:t>m person</w:t>
      </w:r>
      <w:r w:rsidR="0070326E" w:rsidRPr="000069F5">
        <w:rPr>
          <w:rFonts w:cs="Times New Roman" w:hint="eastAsia"/>
        </w:rPr>
        <w:t>ā</w:t>
      </w:r>
      <w:r w:rsidR="0070326E" w:rsidRPr="000069F5">
        <w:rPr>
          <w:rFonts w:cs="Times New Roman"/>
        </w:rPr>
        <w:t>m</w:t>
      </w:r>
      <w:r w:rsidR="00CE2125" w:rsidRPr="000069F5">
        <w:rPr>
          <w:rFonts w:cs="Times New Roman"/>
        </w:rPr>
        <w:t xml:space="preserve"> </w:t>
      </w:r>
      <w:r w:rsidR="0070326E" w:rsidRPr="000069F5">
        <w:rPr>
          <w:rFonts w:cs="Times New Roman"/>
        </w:rPr>
        <w:t>ievest Latvijas Republikas teritorij</w:t>
      </w:r>
      <w:r w:rsidR="0070326E" w:rsidRPr="000069F5">
        <w:rPr>
          <w:rFonts w:cs="Times New Roman" w:hint="eastAsia"/>
        </w:rPr>
        <w:t>ā</w:t>
      </w:r>
      <w:r w:rsidR="0070326E" w:rsidRPr="000069F5">
        <w:rPr>
          <w:rFonts w:cs="Times New Roman"/>
        </w:rPr>
        <w:t xml:space="preserve"> kontraband</w:t>
      </w:r>
      <w:r w:rsidR="00494DFF" w:rsidRPr="000069F5">
        <w:rPr>
          <w:rFonts w:cs="Times New Roman"/>
        </w:rPr>
        <w:t>as preci</w:t>
      </w:r>
      <w:r w:rsidR="0070326E" w:rsidRPr="000069F5">
        <w:rPr>
          <w:rFonts w:cs="Times New Roman"/>
        </w:rPr>
        <w:t xml:space="preserve"> </w:t>
      </w:r>
      <w:r w:rsidR="00475C02" w:rsidRPr="000069F5">
        <w:rPr>
          <w:rFonts w:cs="Times New Roman"/>
        </w:rPr>
        <w:t xml:space="preserve">– tabakas izstrādājumus – </w:t>
      </w:r>
      <w:r w:rsidR="008F5C70" w:rsidRPr="000069F5">
        <w:rPr>
          <w:rFonts w:cs="Times New Roman"/>
        </w:rPr>
        <w:t>plkst.</w:t>
      </w:r>
      <w:r w:rsidR="00CE2125" w:rsidRPr="000069F5">
        <w:rPr>
          <w:rFonts w:cs="Times New Roman"/>
        </w:rPr>
        <w:t> </w:t>
      </w:r>
      <w:r w:rsidR="008F5C70" w:rsidRPr="000069F5">
        <w:rPr>
          <w:rFonts w:cs="Times New Roman"/>
        </w:rPr>
        <w:t>04.35</w:t>
      </w:r>
      <w:r w:rsidR="00F57AF0" w:rsidRPr="000640A6">
        <w:rPr>
          <w:rFonts w:cs="Times New Roman"/>
        </w:rPr>
        <w:t>.58</w:t>
      </w:r>
      <w:r w:rsidR="00A93157" w:rsidRPr="000069F5">
        <w:rPr>
          <w:rFonts w:cs="Times New Roman"/>
        </w:rPr>
        <w:t xml:space="preserve"> </w:t>
      </w:r>
      <w:r w:rsidR="0070326E" w:rsidRPr="000069F5">
        <w:rPr>
          <w:rFonts w:cs="Times New Roman"/>
        </w:rPr>
        <w:t>kravu skenera datorsistēmā</w:t>
      </w:r>
      <w:r w:rsidR="008F5C70" w:rsidRPr="000069F5">
        <w:rPr>
          <w:rFonts w:cs="Times New Roman"/>
        </w:rPr>
        <w:t xml:space="preserve"> </w:t>
      </w:r>
      <w:r w:rsidR="0014562C" w:rsidRPr="000069F5">
        <w:rPr>
          <w:rFonts w:cs="Times New Roman"/>
        </w:rPr>
        <w:t>a</w:t>
      </w:r>
      <w:r w:rsidRPr="000069F5">
        <w:rPr>
          <w:rFonts w:cs="Times New Roman"/>
        </w:rPr>
        <w:t>izvietoja</w:t>
      </w:r>
      <w:r w:rsidR="0014562C" w:rsidRPr="000069F5">
        <w:rPr>
          <w:rFonts w:cs="Times New Roman"/>
        </w:rPr>
        <w:t xml:space="preserve"> </w:t>
      </w:r>
      <w:r w:rsidR="00A93157" w:rsidRPr="000069F5">
        <w:rPr>
          <w:rFonts w:cs="Times New Roman"/>
        </w:rPr>
        <w:t>transportlīdzekļ</w:t>
      </w:r>
      <w:r w:rsidR="002403AC" w:rsidRPr="000069F5">
        <w:rPr>
          <w:rFonts w:cs="Times New Roman"/>
        </w:rPr>
        <w:t>u</w:t>
      </w:r>
      <w:r w:rsidR="0014562C" w:rsidRPr="000069F5">
        <w:rPr>
          <w:rFonts w:cs="Times New Roman"/>
        </w:rPr>
        <w:t xml:space="preserve"> sastāva</w:t>
      </w:r>
      <w:r w:rsidR="00DA67B0">
        <w:rPr>
          <w:rFonts w:cs="Times New Roman"/>
        </w:rPr>
        <w:t xml:space="preserve"> </w:t>
      </w:r>
      <w:r w:rsidRPr="000069F5">
        <w:rPr>
          <w:rFonts w:cs="Times New Roman"/>
        </w:rPr>
        <w:t xml:space="preserve">skenēšanas </w:t>
      </w:r>
      <w:r w:rsidR="00494DFF" w:rsidRPr="000069F5">
        <w:rPr>
          <w:rFonts w:cs="Times New Roman"/>
        </w:rPr>
        <w:t>rezultātā iegūt</w:t>
      </w:r>
      <w:r w:rsidR="00992FAE" w:rsidRPr="000069F5">
        <w:rPr>
          <w:rFonts w:cs="Times New Roman"/>
        </w:rPr>
        <w:t>ā</w:t>
      </w:r>
      <w:r w:rsidR="00494DFF" w:rsidRPr="000069F5">
        <w:rPr>
          <w:rFonts w:cs="Times New Roman"/>
        </w:rPr>
        <w:t xml:space="preserve">s </w:t>
      </w:r>
      <w:r w:rsidR="00AB1666" w:rsidRPr="000069F5">
        <w:rPr>
          <w:rFonts w:cs="Times New Roman"/>
        </w:rPr>
        <w:t xml:space="preserve">foto </w:t>
      </w:r>
      <w:r w:rsidR="00992FAE" w:rsidRPr="000069F5">
        <w:rPr>
          <w:rFonts w:cs="Times New Roman"/>
        </w:rPr>
        <w:t>datne</w:t>
      </w:r>
      <w:r w:rsidR="00475C02" w:rsidRPr="000069F5">
        <w:rPr>
          <w:rFonts w:cs="Times New Roman"/>
        </w:rPr>
        <w:t>s</w:t>
      </w:r>
      <w:r w:rsidR="00AF1FDF" w:rsidRPr="000069F5">
        <w:rPr>
          <w:rFonts w:cs="Times New Roman"/>
        </w:rPr>
        <w:t xml:space="preserve"> </w:t>
      </w:r>
      <w:r w:rsidRPr="000069F5">
        <w:rPr>
          <w:rFonts w:cs="Times New Roman"/>
        </w:rPr>
        <w:t>ar</w:t>
      </w:r>
      <w:r w:rsidR="00AF1FDF" w:rsidRPr="000069F5">
        <w:rPr>
          <w:rFonts w:cs="Times New Roman"/>
        </w:rPr>
        <w:t xml:space="preserve"> </w:t>
      </w:r>
      <w:r w:rsidR="00992FAE" w:rsidRPr="000069F5">
        <w:rPr>
          <w:rFonts w:cs="Times New Roman"/>
        </w:rPr>
        <w:t xml:space="preserve">cita kravas transportlīdzekļa </w:t>
      </w:r>
      <w:r w:rsidR="00501E97">
        <w:rPr>
          <w:rFonts w:cs="Times New Roman"/>
        </w:rPr>
        <w:t>foto</w:t>
      </w:r>
      <w:r w:rsidR="00992FAE" w:rsidRPr="000069F5">
        <w:rPr>
          <w:rFonts w:cs="Times New Roman"/>
        </w:rPr>
        <w:t xml:space="preserve"> datnēm</w:t>
      </w:r>
      <w:r w:rsidRPr="000069F5">
        <w:rPr>
          <w:rFonts w:cs="Times New Roman"/>
        </w:rPr>
        <w:t>,</w:t>
      </w:r>
      <w:r w:rsidR="0014562C" w:rsidRPr="000069F5">
        <w:rPr>
          <w:rFonts w:cs="Times New Roman"/>
        </w:rPr>
        <w:t xml:space="preserve"> kur</w:t>
      </w:r>
      <w:r w:rsidR="00501E97">
        <w:rPr>
          <w:rFonts w:cs="Times New Roman"/>
        </w:rPr>
        <w:t>ā</w:t>
      </w:r>
      <w:r w:rsidR="00494DFF" w:rsidRPr="000069F5">
        <w:rPr>
          <w:rFonts w:cs="Times New Roman"/>
        </w:rPr>
        <w:t>s</w:t>
      </w:r>
      <w:r w:rsidR="0014562C" w:rsidRPr="000069F5">
        <w:rPr>
          <w:rFonts w:cs="Times New Roman"/>
        </w:rPr>
        <w:t xml:space="preserve"> </w:t>
      </w:r>
      <w:r w:rsidR="00475C02" w:rsidRPr="000069F5">
        <w:rPr>
          <w:rFonts w:cs="Times New Roman"/>
        </w:rPr>
        <w:t>nav redzami tabakas izstrādājumi</w:t>
      </w:r>
      <w:r w:rsidR="0014562C" w:rsidRPr="000069F5">
        <w:rPr>
          <w:rFonts w:cs="Times New Roman"/>
        </w:rPr>
        <w:t>,</w:t>
      </w:r>
      <w:r w:rsidRPr="000069F5">
        <w:rPr>
          <w:rFonts w:cs="Times New Roman"/>
        </w:rPr>
        <w:t xml:space="preserve"> </w:t>
      </w:r>
      <w:r w:rsidR="00494DFF" w:rsidRPr="000069F5">
        <w:rPr>
          <w:rFonts w:cs="Times New Roman"/>
        </w:rPr>
        <w:t xml:space="preserve">un </w:t>
      </w:r>
      <w:r w:rsidR="00411FDC" w:rsidRPr="000069F5">
        <w:rPr>
          <w:rFonts w:cs="Times New Roman"/>
        </w:rPr>
        <w:t>tādējādi nodrošināja</w:t>
      </w:r>
      <w:r w:rsidR="00475C02" w:rsidRPr="000069F5">
        <w:rPr>
          <w:rFonts w:cs="Times New Roman"/>
        </w:rPr>
        <w:t xml:space="preserve"> nedeklarētu tabakas izstrādājumu </w:t>
      </w:r>
      <w:r w:rsidR="00411FDC" w:rsidRPr="000069F5">
        <w:rPr>
          <w:rFonts w:cs="Times New Roman"/>
        </w:rPr>
        <w:t>ievešanu</w:t>
      </w:r>
      <w:r w:rsidR="0038410E" w:rsidRPr="000069F5">
        <w:rPr>
          <w:rFonts w:cs="Times New Roman"/>
        </w:rPr>
        <w:t xml:space="preserve"> </w:t>
      </w:r>
      <w:r w:rsidR="0014562C" w:rsidRPr="000069F5">
        <w:rPr>
          <w:rFonts w:cs="Times New Roman"/>
        </w:rPr>
        <w:t>Latvijas Republik</w:t>
      </w:r>
      <w:r w:rsidR="00475C02" w:rsidRPr="000069F5">
        <w:rPr>
          <w:rFonts w:cs="Times New Roman"/>
        </w:rPr>
        <w:t>ā</w:t>
      </w:r>
      <w:r w:rsidR="0014562C" w:rsidRPr="000069F5">
        <w:rPr>
          <w:rFonts w:cs="Times New Roman"/>
        </w:rPr>
        <w:t>.</w:t>
      </w:r>
    </w:p>
    <w:p w14:paraId="004989B5" w14:textId="7786A4FE" w:rsidR="00494DFF" w:rsidRPr="00A93157" w:rsidRDefault="00A93157" w:rsidP="00A93157">
      <w:pPr>
        <w:widowControl w:val="0"/>
        <w:spacing w:after="0" w:line="276" w:lineRule="auto"/>
        <w:ind w:firstLine="720"/>
        <w:jc w:val="both"/>
        <w:rPr>
          <w:rFonts w:cs="Times New Roman"/>
        </w:rPr>
      </w:pPr>
      <w:bookmarkStart w:id="3" w:name="_Hlk215749029"/>
      <w:r w:rsidRPr="000069F5">
        <w:rPr>
          <w:rFonts w:cs="Times New Roman"/>
        </w:rPr>
        <w:t xml:space="preserve">Ar šādām apsūdzētā </w:t>
      </w:r>
      <w:r w:rsidR="00511954">
        <w:rPr>
          <w:rFonts w:cs="Times New Roman"/>
        </w:rPr>
        <w:t>[pers. A]</w:t>
      </w:r>
      <w:r w:rsidRPr="000069F5">
        <w:rPr>
          <w:rFonts w:cs="Times New Roman"/>
        </w:rPr>
        <w:t xml:space="preserve"> darbībām</w:t>
      </w:r>
      <w:r w:rsidR="008F5C70" w:rsidRPr="000069F5">
        <w:rPr>
          <w:rFonts w:cs="Times New Roman"/>
        </w:rPr>
        <w:t xml:space="preserve"> Latvijas Republikai nodar</w:t>
      </w:r>
      <w:r w:rsidR="008F5C70" w:rsidRPr="000069F5">
        <w:rPr>
          <w:rFonts w:cs="Times New Roman" w:hint="eastAsia"/>
        </w:rPr>
        <w:t>ī</w:t>
      </w:r>
      <w:r w:rsidR="008F5C70" w:rsidRPr="000069F5">
        <w:rPr>
          <w:rFonts w:cs="Times New Roman"/>
        </w:rPr>
        <w:t>ts mantisks zaud</w:t>
      </w:r>
      <w:r w:rsidR="008F5C70" w:rsidRPr="000069F5">
        <w:rPr>
          <w:rFonts w:cs="Times New Roman" w:hint="eastAsia"/>
        </w:rPr>
        <w:t>ē</w:t>
      </w:r>
      <w:r w:rsidR="008F5C70" w:rsidRPr="000069F5">
        <w:rPr>
          <w:rFonts w:cs="Times New Roman"/>
        </w:rPr>
        <w:t>jums 1</w:t>
      </w:r>
      <w:r w:rsidR="00475C02" w:rsidRPr="000069F5">
        <w:rPr>
          <w:rFonts w:cs="Times New Roman"/>
        </w:rPr>
        <w:t> </w:t>
      </w:r>
      <w:r w:rsidR="008F5C70" w:rsidRPr="000069F5">
        <w:rPr>
          <w:rFonts w:cs="Times New Roman"/>
        </w:rPr>
        <w:t>839</w:t>
      </w:r>
      <w:r w:rsidR="00475C02" w:rsidRPr="000069F5">
        <w:rPr>
          <w:rFonts w:cs="Times New Roman"/>
        </w:rPr>
        <w:t> </w:t>
      </w:r>
      <w:r w:rsidR="008F5C70" w:rsidRPr="000069F5">
        <w:rPr>
          <w:rFonts w:cs="Times New Roman"/>
        </w:rPr>
        <w:t>611,60</w:t>
      </w:r>
      <w:r w:rsidR="00AB1666" w:rsidRPr="000069F5">
        <w:rPr>
          <w:rFonts w:cs="Times New Roman"/>
        </w:rPr>
        <w:t> </w:t>
      </w:r>
      <w:proofErr w:type="spellStart"/>
      <w:r w:rsidR="008F5C70" w:rsidRPr="000069F5">
        <w:rPr>
          <w:rFonts w:cs="Times New Roman"/>
          <w:i/>
          <w:iCs/>
        </w:rPr>
        <w:t>euro</w:t>
      </w:r>
      <w:proofErr w:type="spellEnd"/>
      <w:r w:rsidR="008F5C70" w:rsidRPr="000069F5">
        <w:rPr>
          <w:rFonts w:cs="Times New Roman"/>
          <w:i/>
          <w:iCs/>
        </w:rPr>
        <w:t xml:space="preserve"> </w:t>
      </w:r>
      <w:bookmarkStart w:id="4" w:name="_Hlk215749011"/>
      <w:bookmarkEnd w:id="3"/>
      <w:r w:rsidR="008F5C70" w:rsidRPr="000069F5">
        <w:rPr>
          <w:rFonts w:cs="Times New Roman"/>
        </w:rPr>
        <w:t>nenomaks</w:t>
      </w:r>
      <w:r w:rsidR="008F5C70" w:rsidRPr="000069F5">
        <w:rPr>
          <w:rFonts w:cs="Times New Roman" w:hint="eastAsia"/>
        </w:rPr>
        <w:t>ā</w:t>
      </w:r>
      <w:r w:rsidR="008F5C70" w:rsidRPr="000069F5">
        <w:rPr>
          <w:rFonts w:cs="Times New Roman"/>
        </w:rPr>
        <w:t>t</w:t>
      </w:r>
      <w:r w:rsidR="00AB1666" w:rsidRPr="000069F5">
        <w:rPr>
          <w:rFonts w:cs="Times New Roman"/>
        </w:rPr>
        <w:t>u</w:t>
      </w:r>
      <w:r w:rsidR="008F5C70" w:rsidRPr="000069F5">
        <w:rPr>
          <w:rFonts w:cs="Times New Roman"/>
        </w:rPr>
        <w:t xml:space="preserve"> nodok</w:t>
      </w:r>
      <w:r w:rsidR="008F5C70" w:rsidRPr="000069F5">
        <w:rPr>
          <w:rFonts w:cs="Times New Roman" w:hint="eastAsia"/>
        </w:rPr>
        <w:t>ļ</w:t>
      </w:r>
      <w:r w:rsidR="00AB1666" w:rsidRPr="000069F5">
        <w:rPr>
          <w:rFonts w:cs="Times New Roman"/>
        </w:rPr>
        <w:t>u –</w:t>
      </w:r>
      <w:r w:rsidR="0038410E" w:rsidRPr="000069F5">
        <w:rPr>
          <w:rFonts w:cs="Times New Roman"/>
        </w:rPr>
        <w:t xml:space="preserve"> </w:t>
      </w:r>
      <w:r w:rsidR="008F5C70" w:rsidRPr="000069F5">
        <w:rPr>
          <w:rFonts w:cs="Times New Roman"/>
        </w:rPr>
        <w:t>akc</w:t>
      </w:r>
      <w:r w:rsidR="008F5C70" w:rsidRPr="000069F5">
        <w:rPr>
          <w:rFonts w:cs="Times New Roman" w:hint="eastAsia"/>
        </w:rPr>
        <w:t>ī</w:t>
      </w:r>
      <w:r w:rsidR="008F5C70" w:rsidRPr="000069F5">
        <w:rPr>
          <w:rFonts w:cs="Times New Roman"/>
        </w:rPr>
        <w:t>zes nodok</w:t>
      </w:r>
      <w:r w:rsidR="00643C42" w:rsidRPr="000069F5">
        <w:rPr>
          <w:rFonts w:cs="Times New Roman"/>
        </w:rPr>
        <w:t>ļa</w:t>
      </w:r>
      <w:r w:rsidRPr="000069F5">
        <w:rPr>
          <w:rFonts w:cs="Times New Roman"/>
        </w:rPr>
        <w:t xml:space="preserve"> </w:t>
      </w:r>
      <w:r w:rsidR="008F5C70" w:rsidRPr="000069F5">
        <w:rPr>
          <w:rFonts w:cs="Times New Roman"/>
        </w:rPr>
        <w:t>1</w:t>
      </w:r>
      <w:r w:rsidR="00AB1666" w:rsidRPr="000069F5">
        <w:rPr>
          <w:rFonts w:cs="Times New Roman"/>
        </w:rPr>
        <w:t> </w:t>
      </w:r>
      <w:r w:rsidR="008F5C70" w:rsidRPr="000069F5">
        <w:rPr>
          <w:rFonts w:cs="Times New Roman"/>
        </w:rPr>
        <w:t>430</w:t>
      </w:r>
      <w:r w:rsidR="00AB1666" w:rsidRPr="000069F5">
        <w:rPr>
          <w:rFonts w:cs="Times New Roman"/>
        </w:rPr>
        <w:t> </w:t>
      </w:r>
      <w:r w:rsidR="008F5C70" w:rsidRPr="000069F5">
        <w:rPr>
          <w:rFonts w:cs="Times New Roman"/>
        </w:rPr>
        <w:t>684,69</w:t>
      </w:r>
      <w:r w:rsidR="00AB1666" w:rsidRPr="000069F5">
        <w:rPr>
          <w:rFonts w:cs="Times New Roman"/>
        </w:rPr>
        <w:t> </w:t>
      </w:r>
      <w:proofErr w:type="spellStart"/>
      <w:r w:rsidR="008F5C70" w:rsidRPr="000069F5">
        <w:rPr>
          <w:rFonts w:cs="Times New Roman"/>
          <w:i/>
          <w:iCs/>
        </w:rPr>
        <w:t>euro</w:t>
      </w:r>
      <w:proofErr w:type="spellEnd"/>
      <w:r w:rsidR="008F5C70" w:rsidRPr="000069F5">
        <w:rPr>
          <w:rFonts w:cs="Times New Roman"/>
          <w:i/>
          <w:iCs/>
        </w:rPr>
        <w:t xml:space="preserve"> </w:t>
      </w:r>
      <w:r w:rsidR="008F5C70" w:rsidRPr="000069F5">
        <w:rPr>
          <w:rFonts w:cs="Times New Roman"/>
        </w:rPr>
        <w:t>un pievienot</w:t>
      </w:r>
      <w:r w:rsidR="008F5C70" w:rsidRPr="000069F5">
        <w:rPr>
          <w:rFonts w:cs="Times New Roman" w:hint="eastAsia"/>
        </w:rPr>
        <w:t>ā</w:t>
      </w:r>
      <w:r w:rsidR="008F5C70" w:rsidRPr="000069F5">
        <w:rPr>
          <w:rFonts w:cs="Times New Roman"/>
        </w:rPr>
        <w:t>s v</w:t>
      </w:r>
      <w:r w:rsidR="008F5C70" w:rsidRPr="000069F5">
        <w:rPr>
          <w:rFonts w:cs="Times New Roman" w:hint="eastAsia"/>
        </w:rPr>
        <w:t>ē</w:t>
      </w:r>
      <w:r w:rsidR="008F5C70" w:rsidRPr="000069F5">
        <w:rPr>
          <w:rFonts w:cs="Times New Roman"/>
        </w:rPr>
        <w:t>rt</w:t>
      </w:r>
      <w:r w:rsidR="008F5C70" w:rsidRPr="000069F5">
        <w:rPr>
          <w:rFonts w:cs="Times New Roman" w:hint="eastAsia"/>
        </w:rPr>
        <w:t>ī</w:t>
      </w:r>
      <w:r w:rsidR="008F5C70" w:rsidRPr="000069F5">
        <w:rPr>
          <w:rFonts w:cs="Times New Roman"/>
        </w:rPr>
        <w:t>bas nodok</w:t>
      </w:r>
      <w:r w:rsidR="00643C42" w:rsidRPr="000069F5">
        <w:rPr>
          <w:rFonts w:cs="Times New Roman"/>
        </w:rPr>
        <w:t>ļa</w:t>
      </w:r>
      <w:r w:rsidR="008F5C70" w:rsidRPr="000069F5">
        <w:rPr>
          <w:rFonts w:cs="Times New Roman"/>
        </w:rPr>
        <w:t xml:space="preserve"> 408</w:t>
      </w:r>
      <w:r w:rsidR="00AB1666" w:rsidRPr="000069F5">
        <w:rPr>
          <w:rFonts w:cs="Times New Roman"/>
        </w:rPr>
        <w:t> </w:t>
      </w:r>
      <w:r w:rsidR="008F5C70" w:rsidRPr="000069F5">
        <w:rPr>
          <w:rFonts w:cs="Times New Roman"/>
        </w:rPr>
        <w:t>926,91</w:t>
      </w:r>
      <w:r w:rsidR="00AB1666" w:rsidRPr="000069F5">
        <w:rPr>
          <w:rFonts w:cs="Times New Roman"/>
        </w:rPr>
        <w:t> </w:t>
      </w:r>
      <w:proofErr w:type="spellStart"/>
      <w:r w:rsidR="008F5C70" w:rsidRPr="000069F5">
        <w:rPr>
          <w:rFonts w:cs="Times New Roman"/>
          <w:i/>
          <w:iCs/>
        </w:rPr>
        <w:t>euro</w:t>
      </w:r>
      <w:proofErr w:type="spellEnd"/>
      <w:r w:rsidR="00AB1666" w:rsidRPr="000069F5">
        <w:rPr>
          <w:rFonts w:cs="Times New Roman"/>
          <w:i/>
          <w:iCs/>
        </w:rPr>
        <w:t xml:space="preserve"> –</w:t>
      </w:r>
      <w:r w:rsidR="00AB1666" w:rsidRPr="000069F5">
        <w:rPr>
          <w:rFonts w:cs="Times New Roman"/>
        </w:rPr>
        <w:t xml:space="preserve"> veidā</w:t>
      </w:r>
      <w:bookmarkEnd w:id="4"/>
      <w:r w:rsidR="008F5C70" w:rsidRPr="000069F5">
        <w:rPr>
          <w:rFonts w:cs="Times New Roman"/>
        </w:rPr>
        <w:t>.</w:t>
      </w:r>
    </w:p>
    <w:bookmarkEnd w:id="1"/>
    <w:p w14:paraId="3B8D85DD" w14:textId="77777777" w:rsidR="005D7EC1" w:rsidRPr="00A93157" w:rsidRDefault="005D7EC1" w:rsidP="0070137F">
      <w:pPr>
        <w:widowControl w:val="0"/>
        <w:spacing w:after="0" w:line="276" w:lineRule="auto"/>
        <w:jc w:val="both"/>
        <w:rPr>
          <w:rFonts w:cs="Times New Roman"/>
        </w:rPr>
      </w:pPr>
    </w:p>
    <w:bookmarkEnd w:id="2"/>
    <w:p w14:paraId="2D7E1D45" w14:textId="34139541" w:rsidR="00C42F63" w:rsidRPr="002410C6" w:rsidRDefault="00C42F63" w:rsidP="0061641F">
      <w:pPr>
        <w:widowControl w:val="0"/>
        <w:spacing w:after="0" w:line="276" w:lineRule="auto"/>
        <w:ind w:firstLine="720"/>
        <w:jc w:val="both"/>
        <w:rPr>
          <w:rFonts w:cs="Times New Roman"/>
        </w:rPr>
      </w:pPr>
      <w:r w:rsidRPr="002410C6">
        <w:rPr>
          <w:rFonts w:cs="Times New Roman"/>
        </w:rPr>
        <w:t>[3]</w:t>
      </w:r>
      <w:r w:rsidR="00370EBD" w:rsidRPr="002410C6">
        <w:rPr>
          <w:rFonts w:cs="Times New Roman"/>
        </w:rPr>
        <w:t> </w:t>
      </w:r>
      <w:r w:rsidRPr="002410C6">
        <w:rPr>
          <w:rFonts w:cs="Times New Roman"/>
        </w:rPr>
        <w:t xml:space="preserve">Ar </w:t>
      </w:r>
      <w:r w:rsidR="00276B31" w:rsidRPr="002410C6">
        <w:rPr>
          <w:rFonts w:cs="Times New Roman"/>
        </w:rPr>
        <w:t>Latgales</w:t>
      </w:r>
      <w:r w:rsidRPr="002410C6">
        <w:rPr>
          <w:rFonts w:cs="Times New Roman"/>
        </w:rPr>
        <w:t xml:space="preserve"> apgabaltiesas </w:t>
      </w:r>
      <w:r w:rsidR="00276B31" w:rsidRPr="002410C6">
        <w:rPr>
          <w:rFonts w:cs="Times New Roman"/>
        </w:rPr>
        <w:t>2024. gada 21. maija</w:t>
      </w:r>
      <w:r w:rsidRPr="002410C6">
        <w:rPr>
          <w:rFonts w:cs="Times New Roman"/>
        </w:rPr>
        <w:t xml:space="preserve"> lēmumu, iztiesājot lietu sakarā ar</w:t>
      </w:r>
      <w:r w:rsidR="00276B31" w:rsidRPr="002410C6">
        <w:rPr>
          <w:rFonts w:cs="Times New Roman"/>
        </w:rPr>
        <w:t xml:space="preserve"> </w:t>
      </w:r>
      <w:r w:rsidRPr="002410C6">
        <w:rPr>
          <w:rFonts w:cs="Times New Roman"/>
        </w:rPr>
        <w:t xml:space="preserve">apsūdzētā </w:t>
      </w:r>
      <w:r w:rsidR="00511954">
        <w:rPr>
          <w:rFonts w:cs="Times New Roman"/>
        </w:rPr>
        <w:t>[pers. A]</w:t>
      </w:r>
      <w:r w:rsidRPr="002410C6">
        <w:rPr>
          <w:rFonts w:cs="Times New Roman"/>
        </w:rPr>
        <w:t xml:space="preserve"> </w:t>
      </w:r>
      <w:r w:rsidR="00276B31" w:rsidRPr="002410C6">
        <w:rPr>
          <w:rFonts w:cs="Times New Roman"/>
        </w:rPr>
        <w:t>aizstāves R. </w:t>
      </w:r>
      <w:proofErr w:type="spellStart"/>
      <w:r w:rsidR="00276B31" w:rsidRPr="002410C6">
        <w:rPr>
          <w:rFonts w:cs="Times New Roman"/>
        </w:rPr>
        <w:t>Jurevičas</w:t>
      </w:r>
      <w:proofErr w:type="spellEnd"/>
      <w:r w:rsidRPr="002410C6">
        <w:rPr>
          <w:rFonts w:cs="Times New Roman"/>
        </w:rPr>
        <w:t xml:space="preserve"> apelācijas sūdzību</w:t>
      </w:r>
      <w:r w:rsidR="00DE0F38" w:rsidRPr="002410C6">
        <w:rPr>
          <w:rFonts w:cs="Times New Roman"/>
        </w:rPr>
        <w:t>,</w:t>
      </w:r>
      <w:r w:rsidR="00962D78" w:rsidRPr="002410C6">
        <w:rPr>
          <w:rFonts w:cs="Times New Roman"/>
        </w:rPr>
        <w:t xml:space="preserve"> Daugavpils tiesas</w:t>
      </w:r>
      <w:r w:rsidR="00962D78" w:rsidRPr="002410C6">
        <w:rPr>
          <w:rFonts w:cs="Times New Roman"/>
          <w:color w:val="000000" w:themeColor="text1"/>
        </w:rPr>
        <w:t xml:space="preserve"> </w:t>
      </w:r>
      <w:r w:rsidR="00276B31" w:rsidRPr="002410C6">
        <w:rPr>
          <w:rFonts w:cs="Times New Roman"/>
        </w:rPr>
        <w:t xml:space="preserve">2023. gada 30. janvāra spriedums </w:t>
      </w:r>
      <w:r w:rsidRPr="002410C6">
        <w:rPr>
          <w:rFonts w:cs="Times New Roman"/>
        </w:rPr>
        <w:t>atstāts negrozīts.</w:t>
      </w:r>
    </w:p>
    <w:p w14:paraId="1F0BFEB5" w14:textId="77777777" w:rsidR="00276B31" w:rsidRPr="002410C6" w:rsidRDefault="00276B31" w:rsidP="0061641F">
      <w:pPr>
        <w:widowControl w:val="0"/>
        <w:spacing w:after="0" w:line="276" w:lineRule="auto"/>
        <w:ind w:firstLine="720"/>
        <w:jc w:val="both"/>
        <w:rPr>
          <w:rFonts w:cs="Times New Roman"/>
        </w:rPr>
      </w:pPr>
    </w:p>
    <w:p w14:paraId="572D2D5A" w14:textId="4EB6BBFA" w:rsidR="00C42F63" w:rsidRPr="002410C6" w:rsidRDefault="00C42F63" w:rsidP="0061641F">
      <w:pPr>
        <w:widowControl w:val="0"/>
        <w:spacing w:after="0" w:line="276" w:lineRule="auto"/>
        <w:ind w:firstLine="720"/>
        <w:jc w:val="both"/>
        <w:rPr>
          <w:rFonts w:cs="Times New Roman"/>
        </w:rPr>
      </w:pPr>
      <w:r w:rsidRPr="002410C6">
        <w:rPr>
          <w:rFonts w:cs="Times New Roman"/>
        </w:rPr>
        <w:t>[4]</w:t>
      </w:r>
      <w:r w:rsidR="00370EBD" w:rsidRPr="002410C6">
        <w:rPr>
          <w:rFonts w:cs="Times New Roman"/>
        </w:rPr>
        <w:t> </w:t>
      </w:r>
      <w:r w:rsidRPr="002410C6">
        <w:rPr>
          <w:rFonts w:cs="Times New Roman"/>
        </w:rPr>
        <w:t xml:space="preserve">Par </w:t>
      </w:r>
      <w:r w:rsidR="00276B31" w:rsidRPr="002410C6">
        <w:rPr>
          <w:rFonts w:cs="Times New Roman"/>
        </w:rPr>
        <w:t xml:space="preserve">Latgales </w:t>
      </w:r>
      <w:r w:rsidRPr="002410C6">
        <w:rPr>
          <w:rFonts w:cs="Times New Roman"/>
        </w:rPr>
        <w:t>apgabaltiesas 202</w:t>
      </w:r>
      <w:r w:rsidR="00276B31" w:rsidRPr="002410C6">
        <w:rPr>
          <w:rFonts w:cs="Times New Roman"/>
        </w:rPr>
        <w:t>4</w:t>
      </w:r>
      <w:r w:rsidRPr="002410C6">
        <w:rPr>
          <w:rFonts w:cs="Times New Roman"/>
        </w:rPr>
        <w:t>.</w:t>
      </w:r>
      <w:r w:rsidR="00276B31" w:rsidRPr="002410C6">
        <w:rPr>
          <w:rFonts w:cs="Times New Roman"/>
        </w:rPr>
        <w:t> </w:t>
      </w:r>
      <w:r w:rsidRPr="002410C6">
        <w:rPr>
          <w:rFonts w:cs="Times New Roman"/>
        </w:rPr>
        <w:t xml:space="preserve">gada </w:t>
      </w:r>
      <w:r w:rsidR="00276B31" w:rsidRPr="002410C6">
        <w:rPr>
          <w:rFonts w:cs="Times New Roman"/>
        </w:rPr>
        <w:t>21. maija</w:t>
      </w:r>
      <w:r w:rsidRPr="002410C6">
        <w:rPr>
          <w:rFonts w:cs="Times New Roman"/>
        </w:rPr>
        <w:t xml:space="preserve"> lēmumu apsūdzētā</w:t>
      </w:r>
      <w:r w:rsidR="00276B31" w:rsidRPr="002410C6">
        <w:rPr>
          <w:rFonts w:cs="Times New Roman"/>
        </w:rPr>
        <w:t xml:space="preserve"> </w:t>
      </w:r>
      <w:r w:rsidR="00511954">
        <w:rPr>
          <w:rFonts w:cs="Times New Roman"/>
        </w:rPr>
        <w:t>[pers. A]</w:t>
      </w:r>
      <w:r w:rsidR="00276B31" w:rsidRPr="002410C6">
        <w:rPr>
          <w:rFonts w:cs="Times New Roman"/>
        </w:rPr>
        <w:t xml:space="preserve"> aizstāve R. </w:t>
      </w:r>
      <w:proofErr w:type="spellStart"/>
      <w:r w:rsidR="00276B31" w:rsidRPr="002410C6">
        <w:rPr>
          <w:rFonts w:cs="Times New Roman"/>
        </w:rPr>
        <w:t>Jureviča</w:t>
      </w:r>
      <w:proofErr w:type="spellEnd"/>
      <w:r w:rsidR="00276B31" w:rsidRPr="002410C6">
        <w:rPr>
          <w:rFonts w:cs="Times New Roman"/>
        </w:rPr>
        <w:t xml:space="preserve"> </w:t>
      </w:r>
      <w:r w:rsidR="005E4124" w:rsidRPr="002410C6">
        <w:rPr>
          <w:rFonts w:cs="Times New Roman"/>
        </w:rPr>
        <w:t>iesniegusi kasācijas sūdzību, kurā lūd</w:t>
      </w:r>
      <w:r w:rsidR="005C15FA" w:rsidRPr="002410C6">
        <w:rPr>
          <w:rFonts w:cs="Times New Roman"/>
        </w:rPr>
        <w:t xml:space="preserve">z </w:t>
      </w:r>
      <w:r w:rsidRPr="002410C6">
        <w:rPr>
          <w:rFonts w:cs="Times New Roman"/>
        </w:rPr>
        <w:t>atcelt tiesas lēmumu un nosūtīt lietu jaunai izskatīšanai</w:t>
      </w:r>
      <w:r w:rsidR="00D93B31" w:rsidRPr="002410C6">
        <w:rPr>
          <w:rFonts w:cs="Times New Roman"/>
        </w:rPr>
        <w:t xml:space="preserve"> </w:t>
      </w:r>
      <w:r w:rsidR="00643C42">
        <w:rPr>
          <w:rFonts w:cs="Times New Roman"/>
        </w:rPr>
        <w:t xml:space="preserve">apelācijas instances tiesai </w:t>
      </w:r>
      <w:r w:rsidR="00D93B31" w:rsidRPr="002410C6">
        <w:rPr>
          <w:rFonts w:cs="Times New Roman"/>
        </w:rPr>
        <w:t>sakarā ar tiesas pieļautajiem Kriminālprocesa likuma 511. panta otrās daļas, 512. panta un 564. panta ceturtās daļas pārkāpumiem.</w:t>
      </w:r>
    </w:p>
    <w:p w14:paraId="691AA3A1" w14:textId="44FF68B3" w:rsidR="008855E1" w:rsidRPr="002410C6" w:rsidRDefault="008855E1" w:rsidP="0061641F">
      <w:pPr>
        <w:widowControl w:val="0"/>
        <w:spacing w:after="0" w:line="276" w:lineRule="auto"/>
        <w:ind w:firstLine="720"/>
        <w:jc w:val="both"/>
        <w:rPr>
          <w:rFonts w:cs="Times New Roman"/>
        </w:rPr>
      </w:pPr>
      <w:r w:rsidRPr="002410C6">
        <w:rPr>
          <w:rFonts w:cs="Times New Roman"/>
        </w:rPr>
        <w:t>Savu lūgumu aizstāve pamatojusi ar šādiem argumentiem.</w:t>
      </w:r>
    </w:p>
    <w:p w14:paraId="26F8371B" w14:textId="2324701E" w:rsidR="00F10FDE" w:rsidRPr="000640A6" w:rsidRDefault="00CB46C4" w:rsidP="00B21832">
      <w:pPr>
        <w:widowControl w:val="0"/>
        <w:spacing w:after="0" w:line="276" w:lineRule="auto"/>
        <w:ind w:firstLine="720"/>
        <w:jc w:val="both"/>
        <w:rPr>
          <w:rFonts w:cs="Times New Roman"/>
        </w:rPr>
      </w:pPr>
      <w:bookmarkStart w:id="5" w:name="_Hlk214777558"/>
      <w:r w:rsidRPr="002410C6">
        <w:rPr>
          <w:rFonts w:cs="Times New Roman"/>
        </w:rPr>
        <w:t>[4.</w:t>
      </w:r>
      <w:r w:rsidR="00614663">
        <w:rPr>
          <w:rFonts w:cs="Times New Roman"/>
        </w:rPr>
        <w:t>1</w:t>
      </w:r>
      <w:r w:rsidRPr="002410C6">
        <w:rPr>
          <w:rFonts w:cs="Times New Roman"/>
        </w:rPr>
        <w:t>] </w:t>
      </w:r>
      <w:r w:rsidR="00DA752B">
        <w:rPr>
          <w:rFonts w:cs="Times New Roman"/>
        </w:rPr>
        <w:t xml:space="preserve">Tiesa ir nepamatoti konstatējusi, ka tieši apsūdzētais </w:t>
      </w:r>
      <w:r w:rsidR="00DA752B" w:rsidRPr="002410C6">
        <w:rPr>
          <w:rFonts w:cs="Times New Roman"/>
        </w:rPr>
        <w:t xml:space="preserve">2016. gada </w:t>
      </w:r>
      <w:r w:rsidR="00DA752B" w:rsidRPr="002410C6">
        <w:rPr>
          <w:rFonts w:cs="Times New Roman"/>
        </w:rPr>
        <w:lastRenderedPageBreak/>
        <w:t>28. novembr</w:t>
      </w:r>
      <w:r w:rsidR="00DA752B">
        <w:rPr>
          <w:rFonts w:cs="Times New Roman"/>
        </w:rPr>
        <w:t>ī</w:t>
      </w:r>
      <w:r w:rsidR="00DA752B" w:rsidRPr="002410C6">
        <w:rPr>
          <w:rFonts w:cs="Times New Roman"/>
        </w:rPr>
        <w:t xml:space="preserve"> </w:t>
      </w:r>
      <w:r w:rsidR="00DA752B">
        <w:rPr>
          <w:rFonts w:cs="Times New Roman"/>
        </w:rPr>
        <w:t>ir veicis foto datņu apmaiņu skenera datorsistēmā</w:t>
      </w:r>
      <w:r w:rsidR="00305AD8">
        <w:rPr>
          <w:rFonts w:cs="Times New Roman"/>
        </w:rPr>
        <w:t xml:space="preserve">, </w:t>
      </w:r>
      <w:r w:rsidR="00C77B76" w:rsidRPr="002410C6">
        <w:rPr>
          <w:rFonts w:cs="Times New Roman"/>
        </w:rPr>
        <w:t>jo</w:t>
      </w:r>
      <w:r w:rsidR="00060243">
        <w:rPr>
          <w:rFonts w:cs="Times New Roman"/>
        </w:rPr>
        <w:t>: 1) </w:t>
      </w:r>
      <w:r w:rsidR="00812E09" w:rsidRPr="002410C6">
        <w:rPr>
          <w:rFonts w:cs="Times New Roman"/>
        </w:rPr>
        <w:t>datņu</w:t>
      </w:r>
      <w:r w:rsidR="005C10D8" w:rsidRPr="002410C6">
        <w:rPr>
          <w:rFonts w:cs="Times New Roman"/>
        </w:rPr>
        <w:t xml:space="preserve"> izveidošanas</w:t>
      </w:r>
      <w:r w:rsidR="00784FC8">
        <w:rPr>
          <w:rFonts w:cs="Times New Roman"/>
        </w:rPr>
        <w:t xml:space="preserve"> (</w:t>
      </w:r>
      <w:proofErr w:type="spellStart"/>
      <w:r w:rsidR="00784FC8">
        <w:rPr>
          <w:rFonts w:cs="Times New Roman"/>
          <w:i/>
          <w:iCs/>
        </w:rPr>
        <w:t>created</w:t>
      </w:r>
      <w:proofErr w:type="spellEnd"/>
      <w:r w:rsidR="00784FC8">
        <w:rPr>
          <w:rFonts w:cs="Times New Roman"/>
        </w:rPr>
        <w:t>)</w:t>
      </w:r>
      <w:r w:rsidR="00B432BF" w:rsidRPr="002410C6">
        <w:rPr>
          <w:rFonts w:cs="Times New Roman"/>
        </w:rPr>
        <w:t xml:space="preserve"> </w:t>
      </w:r>
      <w:r w:rsidR="005C10D8" w:rsidRPr="002410C6">
        <w:rPr>
          <w:rFonts w:cs="Times New Roman"/>
        </w:rPr>
        <w:t xml:space="preserve">un </w:t>
      </w:r>
      <w:r w:rsidR="00784FC8">
        <w:rPr>
          <w:rFonts w:cs="Times New Roman"/>
        </w:rPr>
        <w:t>pārveidošanas (</w:t>
      </w:r>
      <w:proofErr w:type="spellStart"/>
      <w:r w:rsidR="00784FC8">
        <w:rPr>
          <w:rFonts w:cs="Times New Roman"/>
          <w:i/>
          <w:iCs/>
        </w:rPr>
        <w:t>modified</w:t>
      </w:r>
      <w:proofErr w:type="spellEnd"/>
      <w:r w:rsidR="00784FC8" w:rsidRPr="00D8139F">
        <w:rPr>
          <w:rFonts w:cs="Times New Roman"/>
        </w:rPr>
        <w:t>)</w:t>
      </w:r>
      <w:r w:rsidR="00784FC8" w:rsidRPr="002410C6">
        <w:rPr>
          <w:rFonts w:cs="Times New Roman"/>
        </w:rPr>
        <w:t xml:space="preserve"> </w:t>
      </w:r>
      <w:r w:rsidR="005C10D8" w:rsidRPr="002410C6">
        <w:rPr>
          <w:rFonts w:cs="Times New Roman"/>
        </w:rPr>
        <w:t>laik</w:t>
      </w:r>
      <w:r w:rsidR="00B432BF" w:rsidRPr="002410C6">
        <w:rPr>
          <w:rFonts w:cs="Times New Roman"/>
        </w:rPr>
        <w:t>s sakrīt</w:t>
      </w:r>
      <w:r w:rsidR="00812E09" w:rsidRPr="002410C6">
        <w:rPr>
          <w:rFonts w:cs="Times New Roman"/>
        </w:rPr>
        <w:t>,</w:t>
      </w:r>
      <w:r w:rsidR="00B32C0F">
        <w:rPr>
          <w:rFonts w:cs="Times New Roman"/>
        </w:rPr>
        <w:t xml:space="preserve"> proti, plkst. 04.36.50,</w:t>
      </w:r>
      <w:r w:rsidR="00812E09" w:rsidRPr="002410C6">
        <w:rPr>
          <w:rFonts w:cs="Times New Roman"/>
        </w:rPr>
        <w:t xml:space="preserve"> </w:t>
      </w:r>
      <w:r w:rsidR="008B7E96" w:rsidRPr="002410C6">
        <w:rPr>
          <w:rFonts w:cs="Times New Roman"/>
        </w:rPr>
        <w:t>savukārt skenēšanas laik</w:t>
      </w:r>
      <w:r w:rsidR="00784FC8">
        <w:rPr>
          <w:rFonts w:cs="Times New Roman"/>
        </w:rPr>
        <w:t>s</w:t>
      </w:r>
      <w:r w:rsidR="008B7E96" w:rsidRPr="002410C6">
        <w:rPr>
          <w:rFonts w:cs="Times New Roman"/>
        </w:rPr>
        <w:t xml:space="preserve"> </w:t>
      </w:r>
      <w:r w:rsidR="00B432BF" w:rsidRPr="002410C6">
        <w:rPr>
          <w:rFonts w:cs="Times New Roman"/>
        </w:rPr>
        <w:t xml:space="preserve">– plkst. 04.35.58 – </w:t>
      </w:r>
      <w:r w:rsidR="00784FC8">
        <w:rPr>
          <w:rFonts w:cs="Times New Roman"/>
        </w:rPr>
        <w:t>var atšķirties; 2) </w:t>
      </w:r>
      <w:bookmarkStart w:id="6" w:name="_Hlk214788477"/>
      <w:r w:rsidR="00784FC8">
        <w:rPr>
          <w:rFonts w:cs="Times New Roman"/>
        </w:rPr>
        <w:t>apsūdzēta</w:t>
      </w:r>
      <w:r w:rsidR="00CE77F5">
        <w:rPr>
          <w:rFonts w:cs="Times New Roman"/>
        </w:rPr>
        <w:t>jam</w:t>
      </w:r>
      <w:r w:rsidR="00784FC8">
        <w:rPr>
          <w:rFonts w:cs="Times New Roman"/>
        </w:rPr>
        <w:t xml:space="preserve"> nav</w:t>
      </w:r>
      <w:r w:rsidR="00CE77F5">
        <w:rPr>
          <w:rFonts w:cs="Times New Roman"/>
        </w:rPr>
        <w:t xml:space="preserve"> bijusi tehniska iespēja</w:t>
      </w:r>
      <w:r w:rsidR="00076048" w:rsidRPr="002410C6">
        <w:rPr>
          <w:rFonts w:cs="Times New Roman"/>
        </w:rPr>
        <w:t xml:space="preserve"> nomainīt datnes uz servera, jo viņam nav bijusi </w:t>
      </w:r>
      <w:r w:rsidR="00CE77F5">
        <w:rPr>
          <w:rFonts w:cs="Times New Roman"/>
        </w:rPr>
        <w:t>zināma aktuālā servera parole</w:t>
      </w:r>
      <w:r w:rsidR="006B6E46">
        <w:rPr>
          <w:rFonts w:cs="Times New Roman"/>
        </w:rPr>
        <w:t xml:space="preserve">. </w:t>
      </w:r>
      <w:r w:rsidR="00F10FDE">
        <w:rPr>
          <w:rFonts w:cs="Times New Roman"/>
        </w:rPr>
        <w:t>Savukārt n</w:t>
      </w:r>
      <w:r w:rsidR="00F10FDE" w:rsidRPr="000640A6">
        <w:rPr>
          <w:rFonts w:cs="Times New Roman"/>
        </w:rPr>
        <w:t xml:space="preserve">o liecinieka </w:t>
      </w:r>
      <w:r w:rsidR="00511954">
        <w:rPr>
          <w:rFonts w:cs="Times New Roman"/>
        </w:rPr>
        <w:t>[pers. B]</w:t>
      </w:r>
      <w:r w:rsidR="00F10FDE" w:rsidRPr="000640A6">
        <w:rPr>
          <w:rFonts w:cs="Times New Roman"/>
        </w:rPr>
        <w:t xml:space="preserve"> pirmās instances tiesā sniegtajām liecībām, kuras</w:t>
      </w:r>
      <w:r w:rsidR="00507DCF">
        <w:rPr>
          <w:rFonts w:cs="Times New Roman"/>
        </w:rPr>
        <w:t xml:space="preserve"> apelācijas instances</w:t>
      </w:r>
      <w:r w:rsidR="00F10FDE" w:rsidRPr="000640A6">
        <w:rPr>
          <w:rFonts w:cs="Times New Roman"/>
        </w:rPr>
        <w:t xml:space="preserve"> tiesa nav izvērtējusi, izriet, ka uz servera esošos attēlus iespējams mainīt tikai gadījumā, ja personai ir piekļuve serverim.</w:t>
      </w:r>
    </w:p>
    <w:p w14:paraId="3C178794" w14:textId="40951761" w:rsidR="00D8139F" w:rsidRDefault="009723FA" w:rsidP="00D8139F">
      <w:pPr>
        <w:widowControl w:val="0"/>
        <w:spacing w:after="0" w:line="276" w:lineRule="auto"/>
        <w:ind w:firstLine="720"/>
        <w:jc w:val="both"/>
        <w:rPr>
          <w:rFonts w:cs="Times New Roman"/>
        </w:rPr>
      </w:pPr>
      <w:r w:rsidRPr="002410C6">
        <w:rPr>
          <w:rFonts w:cs="Times New Roman"/>
        </w:rPr>
        <w:t>T</w:t>
      </w:r>
      <w:r w:rsidR="00833E4B">
        <w:rPr>
          <w:rFonts w:cs="Times New Roman"/>
        </w:rPr>
        <w:t>urklāt t</w:t>
      </w:r>
      <w:r w:rsidRPr="002410C6">
        <w:rPr>
          <w:rFonts w:cs="Times New Roman"/>
        </w:rPr>
        <w:t xml:space="preserve">iesas </w:t>
      </w:r>
      <w:r w:rsidR="00F664E9">
        <w:rPr>
          <w:rFonts w:cs="Times New Roman"/>
        </w:rPr>
        <w:t xml:space="preserve">lēmums </w:t>
      </w:r>
      <w:r w:rsidRPr="002410C6">
        <w:rPr>
          <w:rFonts w:cs="Times New Roman"/>
        </w:rPr>
        <w:t>ir pretrunīg</w:t>
      </w:r>
      <w:r w:rsidR="00F664E9">
        <w:rPr>
          <w:rFonts w:cs="Times New Roman"/>
        </w:rPr>
        <w:t>s</w:t>
      </w:r>
      <w:r w:rsidR="001F625F" w:rsidRPr="002410C6">
        <w:rPr>
          <w:rFonts w:cs="Times New Roman"/>
        </w:rPr>
        <w:t>, jo tiesa</w:t>
      </w:r>
      <w:r w:rsidR="00833E4B">
        <w:rPr>
          <w:rFonts w:cs="Times New Roman"/>
        </w:rPr>
        <w:t>, lai arī</w:t>
      </w:r>
      <w:r w:rsidR="001F625F" w:rsidRPr="002410C6">
        <w:rPr>
          <w:rFonts w:cs="Times New Roman"/>
        </w:rPr>
        <w:t xml:space="preserve"> secinājusi, ka </w:t>
      </w:r>
      <w:r w:rsidR="00B432BF" w:rsidRPr="002410C6">
        <w:rPr>
          <w:rFonts w:cs="Times New Roman"/>
        </w:rPr>
        <w:t>skenēt</w:t>
      </w:r>
      <w:r w:rsidR="00AE2058">
        <w:rPr>
          <w:rFonts w:cs="Times New Roman"/>
        </w:rPr>
        <w:t>ie</w:t>
      </w:r>
      <w:r w:rsidR="00B432BF" w:rsidRPr="002410C6">
        <w:rPr>
          <w:rFonts w:cs="Times New Roman"/>
        </w:rPr>
        <w:t xml:space="preserve"> </w:t>
      </w:r>
      <w:r w:rsidR="001F625F" w:rsidRPr="002410C6">
        <w:rPr>
          <w:rFonts w:cs="Times New Roman"/>
        </w:rPr>
        <w:t>attēl</w:t>
      </w:r>
      <w:r w:rsidR="00B06674">
        <w:rPr>
          <w:rFonts w:cs="Times New Roman"/>
        </w:rPr>
        <w:t>i</w:t>
      </w:r>
      <w:r w:rsidR="001F625F" w:rsidRPr="002410C6">
        <w:rPr>
          <w:rFonts w:cs="Times New Roman"/>
        </w:rPr>
        <w:t xml:space="preserve"> n</w:t>
      </w:r>
      <w:r w:rsidR="00B432BF" w:rsidRPr="002410C6">
        <w:rPr>
          <w:rFonts w:cs="Times New Roman"/>
        </w:rPr>
        <w:t>etika pārsūtīt</w:t>
      </w:r>
      <w:r w:rsidR="00AE2058">
        <w:rPr>
          <w:rFonts w:cs="Times New Roman"/>
        </w:rPr>
        <w:t>i</w:t>
      </w:r>
      <w:r w:rsidR="001F625F" w:rsidRPr="002410C6">
        <w:rPr>
          <w:rFonts w:cs="Times New Roman"/>
        </w:rPr>
        <w:t xml:space="preserve"> uz serveri, </w:t>
      </w:r>
      <w:r w:rsidR="00833E4B">
        <w:rPr>
          <w:rFonts w:cs="Times New Roman"/>
        </w:rPr>
        <w:t xml:space="preserve">vienlaikus </w:t>
      </w:r>
      <w:r w:rsidR="00AD01E0">
        <w:rPr>
          <w:rFonts w:cs="Times New Roman"/>
        </w:rPr>
        <w:t>atzinusi</w:t>
      </w:r>
      <w:r w:rsidR="00833E4B">
        <w:rPr>
          <w:rFonts w:cs="Times New Roman"/>
        </w:rPr>
        <w:t>, ka</w:t>
      </w:r>
      <w:r w:rsidR="001F625F" w:rsidRPr="002410C6">
        <w:rPr>
          <w:rFonts w:cs="Times New Roman"/>
        </w:rPr>
        <w:t xml:space="preserve"> </w:t>
      </w:r>
      <w:r w:rsidR="00511954">
        <w:rPr>
          <w:rFonts w:cs="Times New Roman"/>
        </w:rPr>
        <w:t>[pers. A]</w:t>
      </w:r>
      <w:r w:rsidR="006A7A65" w:rsidRPr="002410C6">
        <w:rPr>
          <w:rFonts w:cs="Times New Roman"/>
        </w:rPr>
        <w:t xml:space="preserve"> attēlu nomaiņu veicis</w:t>
      </w:r>
      <w:r w:rsidR="00B432BF" w:rsidRPr="002410C6">
        <w:rPr>
          <w:rFonts w:cs="Times New Roman"/>
        </w:rPr>
        <w:t xml:space="preserve"> datorā, </w:t>
      </w:r>
      <w:r w:rsidR="008D4A82" w:rsidRPr="002410C6">
        <w:rPr>
          <w:rFonts w:cs="Times New Roman"/>
        </w:rPr>
        <w:t>proti,</w:t>
      </w:r>
      <w:r w:rsidR="00B432BF" w:rsidRPr="002410C6">
        <w:rPr>
          <w:rFonts w:cs="Times New Roman"/>
        </w:rPr>
        <w:t xml:space="preserve"> serverī</w:t>
      </w:r>
      <w:r w:rsidR="00D8139F">
        <w:rPr>
          <w:rFonts w:cs="Times New Roman"/>
        </w:rPr>
        <w:t xml:space="preserve">, </w:t>
      </w:r>
      <w:r w:rsidR="00D8139F" w:rsidRPr="002410C6">
        <w:rPr>
          <w:rFonts w:cs="Times New Roman"/>
        </w:rPr>
        <w:t>izmantojot pārnēsājamo USB ārējās atmiņas karti.</w:t>
      </w:r>
    </w:p>
    <w:p w14:paraId="0416ACE3" w14:textId="4A8B1B7C" w:rsidR="00D8139F" w:rsidRDefault="00F664E9" w:rsidP="0061641F">
      <w:pPr>
        <w:widowControl w:val="0"/>
        <w:spacing w:after="0" w:line="276" w:lineRule="auto"/>
        <w:ind w:firstLine="720"/>
        <w:jc w:val="both"/>
        <w:rPr>
          <w:rFonts w:cs="Times New Roman"/>
        </w:rPr>
      </w:pPr>
      <w:r>
        <w:rPr>
          <w:rFonts w:cs="Times New Roman"/>
        </w:rPr>
        <w:t>T</w:t>
      </w:r>
      <w:r w:rsidRPr="002410C6">
        <w:rPr>
          <w:rFonts w:cs="Times New Roman"/>
        </w:rPr>
        <w:t xml:space="preserve">iesa nav ņēmusi vērā </w:t>
      </w:r>
      <w:r w:rsidR="00FE5D5F">
        <w:rPr>
          <w:rFonts w:cs="Times New Roman"/>
        </w:rPr>
        <w:t xml:space="preserve">arī </w:t>
      </w:r>
      <w:r w:rsidRPr="002410C6">
        <w:rPr>
          <w:rFonts w:cs="Times New Roman"/>
        </w:rPr>
        <w:t xml:space="preserve">liecinieka </w:t>
      </w:r>
      <w:r w:rsidR="000E55EC">
        <w:rPr>
          <w:rFonts w:cs="Times New Roman"/>
        </w:rPr>
        <w:t>[pers.</w:t>
      </w:r>
      <w:r w:rsidR="000E55EC">
        <w:t> C]</w:t>
      </w:r>
      <w:r w:rsidRPr="002410C6">
        <w:rPr>
          <w:rFonts w:cs="Times New Roman"/>
        </w:rPr>
        <w:t xml:space="preserve"> (</w:t>
      </w:r>
      <w:r w:rsidR="000E55EC">
        <w:rPr>
          <w:rFonts w:cs="Times New Roman"/>
          <w:i/>
          <w:iCs/>
        </w:rPr>
        <w:t>[pers. C]</w:t>
      </w:r>
      <w:r w:rsidRPr="002410C6">
        <w:rPr>
          <w:rFonts w:cs="Times New Roman"/>
        </w:rPr>
        <w:t>) liecināto, ka datņu nomaiņa iespējama, pieslēdzoties skenerim attālināti.</w:t>
      </w:r>
    </w:p>
    <w:p w14:paraId="2A7EED8E" w14:textId="50E0B298" w:rsidR="00BE5116" w:rsidRPr="000640A6" w:rsidRDefault="00AD01E0" w:rsidP="002C1691">
      <w:pPr>
        <w:widowControl w:val="0"/>
        <w:spacing w:after="0" w:line="276" w:lineRule="auto"/>
        <w:ind w:firstLine="720"/>
        <w:jc w:val="both"/>
        <w:rPr>
          <w:rFonts w:cs="Times New Roman"/>
        </w:rPr>
      </w:pPr>
      <w:r>
        <w:rPr>
          <w:rFonts w:cs="Times New Roman"/>
        </w:rPr>
        <w:t>[4.2]</w:t>
      </w:r>
      <w:r w:rsidR="00DA67B0">
        <w:rPr>
          <w:rFonts w:cs="Times New Roman"/>
        </w:rPr>
        <w:t> </w:t>
      </w:r>
      <w:r>
        <w:rPr>
          <w:rFonts w:cs="Times New Roman"/>
        </w:rPr>
        <w:t>L</w:t>
      </w:r>
      <w:r w:rsidR="008D4A82" w:rsidRPr="002410C6">
        <w:rPr>
          <w:rFonts w:cs="Times New Roman"/>
        </w:rPr>
        <w:t>iecinieka</w:t>
      </w:r>
      <w:r w:rsidR="001C2A04" w:rsidRPr="002410C6">
        <w:rPr>
          <w:rFonts w:cs="Times New Roman"/>
        </w:rPr>
        <w:t xml:space="preserve"> </w:t>
      </w:r>
      <w:r w:rsidR="000E55EC">
        <w:rPr>
          <w:rFonts w:cs="Times New Roman"/>
        </w:rPr>
        <w:t>[pers. C]</w:t>
      </w:r>
      <w:r w:rsidR="001C2A04" w:rsidRPr="002410C6">
        <w:rPr>
          <w:rFonts w:cs="Times New Roman"/>
        </w:rPr>
        <w:t xml:space="preserve"> liecības par apsūdzētā </w:t>
      </w:r>
      <w:r w:rsidR="00511954">
        <w:rPr>
          <w:rFonts w:cs="Times New Roman"/>
        </w:rPr>
        <w:t>[pers. A]</w:t>
      </w:r>
      <w:r w:rsidR="001C2A04" w:rsidRPr="002410C6">
        <w:rPr>
          <w:rFonts w:cs="Times New Roman"/>
        </w:rPr>
        <w:t xml:space="preserve"> </w:t>
      </w:r>
      <w:r w:rsidR="00467CBC" w:rsidRPr="002410C6">
        <w:rPr>
          <w:rFonts w:cs="Times New Roman"/>
        </w:rPr>
        <w:t xml:space="preserve">mēģinājumu </w:t>
      </w:r>
      <w:r w:rsidR="001C2A04" w:rsidRPr="002410C6">
        <w:rPr>
          <w:rFonts w:cs="Times New Roman"/>
        </w:rPr>
        <w:t xml:space="preserve">pieslēgties serverim un </w:t>
      </w:r>
      <w:r w:rsidR="00467CBC" w:rsidRPr="002410C6">
        <w:rPr>
          <w:rFonts w:cs="Times New Roman"/>
        </w:rPr>
        <w:t>ārējā datu nesēja (USB)</w:t>
      </w:r>
      <w:r w:rsidR="001C2A04" w:rsidRPr="002410C6">
        <w:rPr>
          <w:rFonts w:cs="Times New Roman"/>
        </w:rPr>
        <w:t xml:space="preserve"> ievietošanu dator</w:t>
      </w:r>
      <w:r w:rsidR="00F664E9">
        <w:rPr>
          <w:rFonts w:cs="Times New Roman"/>
        </w:rPr>
        <w:t>a</w:t>
      </w:r>
      <w:r w:rsidR="001C2A04" w:rsidRPr="002410C6">
        <w:rPr>
          <w:rFonts w:cs="Times New Roman"/>
        </w:rPr>
        <w:t xml:space="preserve"> USB </w:t>
      </w:r>
      <w:proofErr w:type="spellStart"/>
      <w:r w:rsidR="001C2A04" w:rsidRPr="002410C6">
        <w:rPr>
          <w:rFonts w:cs="Times New Roman"/>
        </w:rPr>
        <w:t>pieslēguma</w:t>
      </w:r>
      <w:proofErr w:type="spellEnd"/>
      <w:r w:rsidR="001C2A04" w:rsidRPr="002410C6">
        <w:rPr>
          <w:rFonts w:cs="Times New Roman"/>
        </w:rPr>
        <w:t xml:space="preserve"> vietā </w:t>
      </w:r>
      <w:r>
        <w:rPr>
          <w:rFonts w:cs="Times New Roman"/>
        </w:rPr>
        <w:t xml:space="preserve">nav izmantojamas pierādīšanā, </w:t>
      </w:r>
      <w:r w:rsidR="0000601C" w:rsidRPr="002410C6">
        <w:rPr>
          <w:rFonts w:cs="Times New Roman"/>
        </w:rPr>
        <w:t xml:space="preserve">jo </w:t>
      </w:r>
      <w:r>
        <w:rPr>
          <w:rFonts w:cs="Times New Roman"/>
        </w:rPr>
        <w:t>t</w:t>
      </w:r>
      <w:r w:rsidR="00BE5116">
        <w:rPr>
          <w:rFonts w:cs="Times New Roman"/>
        </w:rPr>
        <w:t>ās</w:t>
      </w:r>
      <w:r>
        <w:rPr>
          <w:rFonts w:cs="Times New Roman"/>
        </w:rPr>
        <w:t xml:space="preserve"> ir </w:t>
      </w:r>
      <w:r w:rsidR="00BE5116">
        <w:rPr>
          <w:rFonts w:cs="Times New Roman"/>
        </w:rPr>
        <w:t xml:space="preserve">liecinieka subjektīvs vērtējums par </w:t>
      </w:r>
      <w:r w:rsidR="00ED64EF" w:rsidRPr="002410C6">
        <w:rPr>
          <w:rFonts w:cs="Times New Roman"/>
        </w:rPr>
        <w:t>videoierakst</w:t>
      </w:r>
      <w:r w:rsidR="00BE5116">
        <w:rPr>
          <w:rFonts w:cs="Times New Roman"/>
        </w:rPr>
        <w:t>ā redzamo, proti</w:t>
      </w:r>
      <w:r w:rsidR="009A7DCD">
        <w:rPr>
          <w:rFonts w:cs="Times New Roman"/>
        </w:rPr>
        <w:t>,</w:t>
      </w:r>
      <w:r>
        <w:rPr>
          <w:rFonts w:cs="Times New Roman"/>
        </w:rPr>
        <w:t xml:space="preserve"> par </w:t>
      </w:r>
      <w:r w:rsidR="001C2A04" w:rsidRPr="000640A6">
        <w:rPr>
          <w:rFonts w:cs="Times New Roman"/>
        </w:rPr>
        <w:t xml:space="preserve">apsūdzētā </w:t>
      </w:r>
      <w:r w:rsidR="0000601C" w:rsidRPr="000640A6">
        <w:rPr>
          <w:rFonts w:cs="Times New Roman"/>
        </w:rPr>
        <w:t>darbībām</w:t>
      </w:r>
      <w:r>
        <w:rPr>
          <w:rFonts w:cs="Times New Roman"/>
        </w:rPr>
        <w:t>,</w:t>
      </w:r>
      <w:r w:rsidR="001C2A04" w:rsidRPr="000640A6">
        <w:rPr>
          <w:rFonts w:cs="Times New Roman"/>
        </w:rPr>
        <w:t xml:space="preserve"> </w:t>
      </w:r>
      <w:r>
        <w:rPr>
          <w:rFonts w:cs="Times New Roman"/>
        </w:rPr>
        <w:t>kuras neattiecas</w:t>
      </w:r>
      <w:r w:rsidR="001C2A04" w:rsidRPr="000640A6">
        <w:rPr>
          <w:rFonts w:cs="Times New Roman"/>
        </w:rPr>
        <w:t xml:space="preserve"> uz </w:t>
      </w:r>
      <w:r w:rsidR="008D4A82" w:rsidRPr="000640A6">
        <w:rPr>
          <w:rFonts w:cs="Times New Roman"/>
        </w:rPr>
        <w:t>apsūdzībā norādīt</w:t>
      </w:r>
      <w:r w:rsidR="0000601C" w:rsidRPr="000640A6">
        <w:rPr>
          <w:rFonts w:cs="Times New Roman"/>
        </w:rPr>
        <w:t>o</w:t>
      </w:r>
      <w:r w:rsidR="008D4A82" w:rsidRPr="000640A6">
        <w:rPr>
          <w:rFonts w:cs="Times New Roman"/>
        </w:rPr>
        <w:t xml:space="preserve"> </w:t>
      </w:r>
      <w:r w:rsidR="00F664E9">
        <w:rPr>
          <w:rFonts w:cs="Times New Roman"/>
        </w:rPr>
        <w:t xml:space="preserve">datņu nomaiņas </w:t>
      </w:r>
      <w:r w:rsidR="008D4A82" w:rsidRPr="000640A6">
        <w:rPr>
          <w:rFonts w:cs="Times New Roman"/>
        </w:rPr>
        <w:t>laik</w:t>
      </w:r>
      <w:r w:rsidR="0000601C" w:rsidRPr="000640A6">
        <w:rPr>
          <w:rFonts w:cs="Times New Roman"/>
        </w:rPr>
        <w:t>u</w:t>
      </w:r>
      <w:r w:rsidR="008D4A82" w:rsidRPr="000640A6">
        <w:rPr>
          <w:rFonts w:cs="Times New Roman"/>
        </w:rPr>
        <w:t xml:space="preserve"> –</w:t>
      </w:r>
      <w:r w:rsidR="00712BAB" w:rsidRPr="000640A6">
        <w:rPr>
          <w:rFonts w:cs="Times New Roman"/>
        </w:rPr>
        <w:t xml:space="preserve"> 2016. gada 28. novembrī no plkst.</w:t>
      </w:r>
      <w:r w:rsidR="005C6C94" w:rsidRPr="000640A6">
        <w:rPr>
          <w:rFonts w:cs="Times New Roman"/>
        </w:rPr>
        <w:t> </w:t>
      </w:r>
      <w:r w:rsidR="00712BAB" w:rsidRPr="000640A6">
        <w:rPr>
          <w:rFonts w:cs="Times New Roman"/>
        </w:rPr>
        <w:t>4.35.58 līdz plkst.</w:t>
      </w:r>
      <w:r w:rsidR="005C6C94" w:rsidRPr="000640A6">
        <w:rPr>
          <w:rFonts w:cs="Times New Roman"/>
        </w:rPr>
        <w:t> </w:t>
      </w:r>
      <w:r w:rsidR="00712BAB" w:rsidRPr="000640A6">
        <w:rPr>
          <w:rFonts w:cs="Times New Roman"/>
        </w:rPr>
        <w:t>4.36.50</w:t>
      </w:r>
      <w:r w:rsidR="00082E28" w:rsidRPr="000640A6">
        <w:rPr>
          <w:rFonts w:cs="Times New Roman"/>
        </w:rPr>
        <w:t>.</w:t>
      </w:r>
      <w:r w:rsidR="00FE5D5F">
        <w:rPr>
          <w:rFonts w:cs="Times New Roman"/>
        </w:rPr>
        <w:t xml:space="preserve"> </w:t>
      </w:r>
      <w:r w:rsidR="00884A54">
        <w:rPr>
          <w:rFonts w:cs="Times New Roman"/>
        </w:rPr>
        <w:t>Turklāt</w:t>
      </w:r>
      <w:r w:rsidR="00FE5D5F">
        <w:rPr>
          <w:rFonts w:cs="Times New Roman"/>
        </w:rPr>
        <w:t xml:space="preserve"> video ieraksts lietas materiāliem nav pievienots.</w:t>
      </w:r>
    </w:p>
    <w:p w14:paraId="5BD7C0E1" w14:textId="5AD42CC8" w:rsidR="00614663" w:rsidRPr="000069F5" w:rsidRDefault="00614663" w:rsidP="009A3348">
      <w:pPr>
        <w:widowControl w:val="0"/>
        <w:spacing w:after="0" w:line="276" w:lineRule="auto"/>
        <w:ind w:firstLine="720"/>
        <w:jc w:val="both"/>
        <w:rPr>
          <w:rFonts w:cs="Times New Roman"/>
        </w:rPr>
      </w:pPr>
      <w:r w:rsidRPr="002410C6">
        <w:rPr>
          <w:rFonts w:cs="Times New Roman"/>
        </w:rPr>
        <w:t>[4.</w:t>
      </w:r>
      <w:r w:rsidR="00F664E9">
        <w:rPr>
          <w:rFonts w:cs="Times New Roman"/>
        </w:rPr>
        <w:t>3</w:t>
      </w:r>
      <w:r w:rsidRPr="002410C6">
        <w:rPr>
          <w:rFonts w:cs="Times New Roman"/>
        </w:rPr>
        <w:t>] </w:t>
      </w:r>
      <w:r w:rsidR="00884A54">
        <w:rPr>
          <w:rFonts w:cs="Times New Roman"/>
        </w:rPr>
        <w:t>T</w:t>
      </w:r>
      <w:r w:rsidRPr="000069F5">
        <w:rPr>
          <w:rFonts w:cs="Times New Roman"/>
        </w:rPr>
        <w:t xml:space="preserve">iesa pārkāpusi Kriminālprocesa likuma 512. panta otrās daļas 4. punktu, jo secinājumu par </w:t>
      </w:r>
      <w:r w:rsidR="00F664E9">
        <w:rPr>
          <w:rFonts w:cs="Times New Roman"/>
        </w:rPr>
        <w:t>to</w:t>
      </w:r>
      <w:r w:rsidR="00DA67B0">
        <w:rPr>
          <w:rFonts w:cs="Times New Roman"/>
        </w:rPr>
        <w:t xml:space="preserve">, </w:t>
      </w:r>
      <w:r w:rsidR="00F664E9" w:rsidRPr="000069F5">
        <w:t xml:space="preserve">ka puspiekabe, kas šķērsoja Latvijas Republikas robežu </w:t>
      </w:r>
      <w:r w:rsidR="00F664E9" w:rsidRPr="000069F5">
        <w:rPr>
          <w:rFonts w:cs="Times New Roman"/>
        </w:rPr>
        <w:t>2016. gada 28. novembrī</w:t>
      </w:r>
      <w:r w:rsidR="00F664E9" w:rsidRPr="000069F5">
        <w:t>, un puspiekabe, kas nākamajā dienā aizturēta Rēzeknes novad</w:t>
      </w:r>
      <w:r w:rsidR="00F664E9">
        <w:t>ā,</w:t>
      </w:r>
      <w:r w:rsidR="00F664E9" w:rsidRPr="000069F5">
        <w:t xml:space="preserve"> Maltā, ir viens un tas pats transportlīdzeklis</w:t>
      </w:r>
      <w:r w:rsidR="00DA67B0">
        <w:t xml:space="preserve">, </w:t>
      </w:r>
      <w:r w:rsidRPr="000069F5">
        <w:rPr>
          <w:rFonts w:cs="Times New Roman"/>
        </w:rPr>
        <w:t xml:space="preserve">pamatojusi ar tiesas izmeklēšanā nepārbaudītām liecinieku </w:t>
      </w:r>
      <w:r w:rsidR="000E55EC">
        <w:rPr>
          <w:rFonts w:cs="Times New Roman"/>
        </w:rPr>
        <w:t>[pers. D]</w:t>
      </w:r>
      <w:r w:rsidRPr="000069F5">
        <w:rPr>
          <w:rFonts w:cs="Times New Roman"/>
        </w:rPr>
        <w:t xml:space="preserve"> un </w:t>
      </w:r>
      <w:bookmarkStart w:id="7" w:name="_Hlk205877409"/>
      <w:r w:rsidR="009A3348">
        <w:rPr>
          <w:rFonts w:cs="Times New Roman"/>
        </w:rPr>
        <w:t>[pers. E]</w:t>
      </w:r>
      <w:r w:rsidRPr="000069F5">
        <w:rPr>
          <w:rFonts w:cs="Times New Roman"/>
        </w:rPr>
        <w:t xml:space="preserve"> (</w:t>
      </w:r>
      <w:r w:rsidR="009A3348">
        <w:rPr>
          <w:rFonts w:cs="Times New Roman"/>
          <w:i/>
          <w:iCs/>
        </w:rPr>
        <w:t>[pers. E]</w:t>
      </w:r>
      <w:bookmarkEnd w:id="7"/>
      <w:r w:rsidRPr="000069F5">
        <w:rPr>
          <w:rFonts w:cs="Times New Roman"/>
        </w:rPr>
        <w:t xml:space="preserve">) </w:t>
      </w:r>
      <w:proofErr w:type="spellStart"/>
      <w:r w:rsidRPr="000069F5">
        <w:rPr>
          <w:rFonts w:cs="Times New Roman"/>
        </w:rPr>
        <w:t>pirmstiesas</w:t>
      </w:r>
      <w:proofErr w:type="spellEnd"/>
      <w:r w:rsidRPr="000069F5">
        <w:rPr>
          <w:rFonts w:cs="Times New Roman"/>
        </w:rPr>
        <w:t xml:space="preserve"> procesā sniegtajām liecībām.</w:t>
      </w:r>
    </w:p>
    <w:p w14:paraId="69A34A75" w14:textId="2405CF7C" w:rsidR="00614663" w:rsidRPr="000F3B3D" w:rsidRDefault="00A05B69" w:rsidP="009A3348">
      <w:pPr>
        <w:widowControl w:val="0"/>
        <w:spacing w:after="0" w:line="276" w:lineRule="auto"/>
        <w:ind w:firstLine="720"/>
        <w:jc w:val="both"/>
        <w:rPr>
          <w:rFonts w:cs="Times New Roman"/>
        </w:rPr>
      </w:pPr>
      <w:r>
        <w:rPr>
          <w:rFonts w:cs="Times New Roman"/>
        </w:rPr>
        <w:t xml:space="preserve">Prokurors </w:t>
      </w:r>
      <w:r w:rsidRPr="000069F5">
        <w:rPr>
          <w:rFonts w:cs="Times New Roman"/>
        </w:rPr>
        <w:t>tiesā izmantojamo pierādījumu uzskaitījumā</w:t>
      </w:r>
      <w:r w:rsidRPr="000069F5" w:rsidDel="00A05B69">
        <w:rPr>
          <w:rFonts w:cs="Times New Roman"/>
        </w:rPr>
        <w:t xml:space="preserve"> </w:t>
      </w:r>
      <w:r>
        <w:rPr>
          <w:rFonts w:cs="Times New Roman"/>
        </w:rPr>
        <w:t>bija iekļāvis vienīgi</w:t>
      </w:r>
      <w:r w:rsidR="00A7277F">
        <w:rPr>
          <w:rFonts w:cs="Times New Roman"/>
        </w:rPr>
        <w:t xml:space="preserve"> </w:t>
      </w:r>
      <w:r>
        <w:rPr>
          <w:rFonts w:cs="Times New Roman"/>
        </w:rPr>
        <w:t>l</w:t>
      </w:r>
      <w:r w:rsidR="00614663" w:rsidRPr="000069F5">
        <w:rPr>
          <w:rFonts w:cs="Times New Roman"/>
        </w:rPr>
        <w:t xml:space="preserve">iecinieka </w:t>
      </w:r>
      <w:r w:rsidR="009A3348">
        <w:rPr>
          <w:rFonts w:cs="Times New Roman"/>
        </w:rPr>
        <w:t>[pers. D]</w:t>
      </w:r>
      <w:r w:rsidR="00614663" w:rsidRPr="000069F5">
        <w:rPr>
          <w:rFonts w:cs="Times New Roman"/>
        </w:rPr>
        <w:t xml:space="preserve"> liecības</w:t>
      </w:r>
      <w:r>
        <w:rPr>
          <w:rFonts w:cs="Times New Roman"/>
        </w:rPr>
        <w:t>,</w:t>
      </w:r>
      <w:r w:rsidR="00A7277F">
        <w:rPr>
          <w:rFonts w:cs="Times New Roman"/>
        </w:rPr>
        <w:t xml:space="preserve"> </w:t>
      </w:r>
      <w:r>
        <w:rPr>
          <w:rFonts w:cs="Times New Roman"/>
        </w:rPr>
        <w:t xml:space="preserve">bet </w:t>
      </w:r>
      <w:r w:rsidR="00614663" w:rsidRPr="000069F5">
        <w:rPr>
          <w:rFonts w:cs="Times New Roman"/>
        </w:rPr>
        <w:t xml:space="preserve">liecinieka </w:t>
      </w:r>
      <w:r w:rsidR="009A3348">
        <w:rPr>
          <w:rFonts w:cs="Times New Roman"/>
        </w:rPr>
        <w:t>[pers. E]</w:t>
      </w:r>
      <w:r w:rsidR="00614663" w:rsidRPr="000069F5">
        <w:rPr>
          <w:rFonts w:cs="Times New Roman"/>
        </w:rPr>
        <w:t xml:space="preserve"> liecības – </w:t>
      </w:r>
      <w:r w:rsidR="005630A6" w:rsidRPr="000069F5">
        <w:rPr>
          <w:rFonts w:cs="Times New Roman"/>
        </w:rPr>
        <w:t>n</w:t>
      </w:r>
      <w:r w:rsidR="005630A6">
        <w:rPr>
          <w:rFonts w:cs="Times New Roman"/>
        </w:rPr>
        <w:t>e</w:t>
      </w:r>
      <w:r w:rsidR="00614663" w:rsidRPr="000069F5">
        <w:rPr>
          <w:rFonts w:cs="Times New Roman"/>
        </w:rPr>
        <w:t>.</w:t>
      </w:r>
      <w:r w:rsidR="00884A54">
        <w:rPr>
          <w:rFonts w:cs="Times New Roman"/>
        </w:rPr>
        <w:t xml:space="preserve"> </w:t>
      </w:r>
      <w:r>
        <w:rPr>
          <w:rFonts w:cs="Times New Roman"/>
        </w:rPr>
        <w:t>Savukārt a</w:t>
      </w:r>
      <w:r w:rsidR="00614663" w:rsidRPr="000069F5">
        <w:rPr>
          <w:rFonts w:cs="Times New Roman"/>
        </w:rPr>
        <w:t>izstāvība nebija piekritusi šo liecinieku liecību izmatošanai un atbilstoši Kriminālprocesa likuma 489. panta pirmajai daļai norādījusi, ka tiesas izmeklēšanā ir nopratināmas visas personas, kuru liecības iekļautas ties</w:t>
      </w:r>
      <w:r w:rsidR="006C3B24">
        <w:rPr>
          <w:rFonts w:cs="Times New Roman"/>
        </w:rPr>
        <w:t>ā</w:t>
      </w:r>
      <w:r w:rsidR="00614663" w:rsidRPr="000069F5">
        <w:rPr>
          <w:rFonts w:cs="Times New Roman"/>
        </w:rPr>
        <w:t xml:space="preserve"> izmantojamo pierādījumu uzskaitījumā</w:t>
      </w:r>
      <w:r>
        <w:rPr>
          <w:rFonts w:cs="Times New Roman"/>
        </w:rPr>
        <w:t xml:space="preserve">, tātad – </w:t>
      </w:r>
      <w:r w:rsidR="00884A54">
        <w:rPr>
          <w:rFonts w:cs="Times New Roman"/>
        </w:rPr>
        <w:t xml:space="preserve">arī </w:t>
      </w:r>
      <w:r w:rsidR="009A3348">
        <w:rPr>
          <w:rFonts w:cs="Times New Roman"/>
        </w:rPr>
        <w:t>[pers. D]</w:t>
      </w:r>
      <w:r w:rsidR="00614663" w:rsidRPr="000069F5">
        <w:rPr>
          <w:rFonts w:cs="Times New Roman"/>
        </w:rPr>
        <w:t>.</w:t>
      </w:r>
    </w:p>
    <w:bookmarkEnd w:id="5"/>
    <w:bookmarkEnd w:id="6"/>
    <w:p w14:paraId="0F0D00EB" w14:textId="5D0A2110" w:rsidR="00E97EDC" w:rsidRPr="002410C6" w:rsidRDefault="00FE363C" w:rsidP="004454D5">
      <w:pPr>
        <w:widowControl w:val="0"/>
        <w:spacing w:after="0" w:line="276" w:lineRule="auto"/>
        <w:ind w:firstLine="720"/>
        <w:jc w:val="both"/>
        <w:rPr>
          <w:rFonts w:cs="Times New Roman"/>
        </w:rPr>
      </w:pPr>
      <w:r w:rsidRPr="000640A6">
        <w:rPr>
          <w:rFonts w:cs="Times New Roman"/>
        </w:rPr>
        <w:t>[4.</w:t>
      </w:r>
      <w:r w:rsidR="00501E97">
        <w:rPr>
          <w:rFonts w:cs="Times New Roman"/>
        </w:rPr>
        <w:t>4</w:t>
      </w:r>
      <w:r w:rsidRPr="000640A6">
        <w:rPr>
          <w:rFonts w:cs="Times New Roman"/>
        </w:rPr>
        <w:t>]</w:t>
      </w:r>
      <w:r w:rsidR="00370EBD" w:rsidRPr="000640A6">
        <w:rPr>
          <w:rFonts w:cs="Times New Roman"/>
        </w:rPr>
        <w:t> </w:t>
      </w:r>
      <w:r w:rsidR="00884A54">
        <w:rPr>
          <w:rFonts w:cs="Times New Roman"/>
        </w:rPr>
        <w:t>T</w:t>
      </w:r>
      <w:r w:rsidR="00AA2D51" w:rsidRPr="000640A6">
        <w:rPr>
          <w:rFonts w:cs="Times New Roman"/>
        </w:rPr>
        <w:t xml:space="preserve">iesa </w:t>
      </w:r>
      <w:r w:rsidR="008C6C27" w:rsidRPr="000640A6">
        <w:rPr>
          <w:rFonts w:cs="Times New Roman"/>
        </w:rPr>
        <w:t xml:space="preserve">nav </w:t>
      </w:r>
      <w:r w:rsidR="000C15AE" w:rsidRPr="000640A6">
        <w:rPr>
          <w:rFonts w:cs="Times New Roman"/>
        </w:rPr>
        <w:t xml:space="preserve">izvērtējusi </w:t>
      </w:r>
      <w:r w:rsidR="008C6C27" w:rsidRPr="000640A6">
        <w:rPr>
          <w:rFonts w:cs="Times New Roman"/>
        </w:rPr>
        <w:t xml:space="preserve">apelācijas </w:t>
      </w:r>
      <w:r w:rsidR="008C6C27" w:rsidRPr="002410C6">
        <w:rPr>
          <w:rFonts w:cs="Times New Roman"/>
        </w:rPr>
        <w:t>sūdzības argument</w:t>
      </w:r>
      <w:r w:rsidR="006C0A17" w:rsidRPr="002410C6">
        <w:rPr>
          <w:rFonts w:cs="Times New Roman"/>
        </w:rPr>
        <w:t>us</w:t>
      </w:r>
      <w:r w:rsidR="008C6C27" w:rsidRPr="002410C6">
        <w:rPr>
          <w:rFonts w:cs="Times New Roman"/>
        </w:rPr>
        <w:t xml:space="preserve"> par</w:t>
      </w:r>
      <w:r w:rsidR="00AA2D51" w:rsidRPr="002410C6">
        <w:rPr>
          <w:rFonts w:cs="Times New Roman"/>
        </w:rPr>
        <w:t xml:space="preserve"> </w:t>
      </w:r>
      <w:r w:rsidR="005C6C94" w:rsidRPr="002410C6">
        <w:rPr>
          <w:rFonts w:cs="Times New Roman"/>
        </w:rPr>
        <w:t xml:space="preserve">to, ka lietā nav </w:t>
      </w:r>
      <w:r w:rsidR="00AA2D51" w:rsidRPr="002410C6">
        <w:rPr>
          <w:rFonts w:cs="Times New Roman"/>
        </w:rPr>
        <w:t xml:space="preserve">pierādījumu, kas </w:t>
      </w:r>
      <w:r w:rsidR="004B571D" w:rsidRPr="002410C6">
        <w:rPr>
          <w:rFonts w:cs="Times New Roman"/>
        </w:rPr>
        <w:t>apstiprinātu, ka</w:t>
      </w:r>
      <w:r w:rsidR="00AA2D51" w:rsidRPr="002410C6">
        <w:rPr>
          <w:rFonts w:cs="Times New Roman"/>
        </w:rPr>
        <w:t xml:space="preserve"> transportlīdzeklī ir atradies apsūdzībā norādītais cigarešu daudzums</w:t>
      </w:r>
      <w:r w:rsidR="008C6C27" w:rsidRPr="002410C6">
        <w:rPr>
          <w:rFonts w:cs="Times New Roman"/>
        </w:rPr>
        <w:t xml:space="preserve">, </w:t>
      </w:r>
      <w:r w:rsidR="006C0A17" w:rsidRPr="002410C6">
        <w:rPr>
          <w:rFonts w:cs="Times New Roman"/>
        </w:rPr>
        <w:t>līdz ar to</w:t>
      </w:r>
      <w:r w:rsidR="003A3FAB" w:rsidRPr="002410C6">
        <w:rPr>
          <w:rFonts w:cs="Times New Roman"/>
        </w:rPr>
        <w:t xml:space="preserve"> </w:t>
      </w:r>
      <w:r w:rsidR="004B571D" w:rsidRPr="002410C6">
        <w:rPr>
          <w:rFonts w:cs="Times New Roman"/>
        </w:rPr>
        <w:t xml:space="preserve">nav </w:t>
      </w:r>
      <w:r w:rsidR="003A3FAB" w:rsidRPr="002410C6">
        <w:rPr>
          <w:rFonts w:cs="Times New Roman"/>
        </w:rPr>
        <w:t>pierādīt</w:t>
      </w:r>
      <w:r w:rsidR="008C6C27" w:rsidRPr="002410C6">
        <w:rPr>
          <w:rFonts w:cs="Times New Roman"/>
        </w:rPr>
        <w:t xml:space="preserve">a </w:t>
      </w:r>
      <w:r w:rsidR="00882C3A" w:rsidRPr="002410C6">
        <w:rPr>
          <w:rFonts w:cs="Times New Roman"/>
        </w:rPr>
        <w:t xml:space="preserve">Krimināllikuma 318. panta trešajā daļā paredzētā </w:t>
      </w:r>
      <w:r w:rsidR="008C6C27" w:rsidRPr="002410C6">
        <w:rPr>
          <w:rFonts w:cs="Times New Roman"/>
        </w:rPr>
        <w:t>noziedzīgā nodarījuma kvalificējošā pazīme –</w:t>
      </w:r>
      <w:r w:rsidR="00D750D9" w:rsidRPr="002410C6">
        <w:rPr>
          <w:rFonts w:cs="Times New Roman"/>
        </w:rPr>
        <w:t xml:space="preserve"> </w:t>
      </w:r>
      <w:r w:rsidR="008C6C27" w:rsidRPr="002410C6">
        <w:rPr>
          <w:rFonts w:cs="Times New Roman"/>
        </w:rPr>
        <w:t>smagas sekas</w:t>
      </w:r>
      <w:r w:rsidR="00E97EDC" w:rsidRPr="002410C6">
        <w:rPr>
          <w:rFonts w:cs="Times New Roman"/>
        </w:rPr>
        <w:t>.</w:t>
      </w:r>
    </w:p>
    <w:p w14:paraId="01BA41B1" w14:textId="0F92A943" w:rsidR="00E97EDC" w:rsidRPr="002410C6" w:rsidRDefault="000C2E13" w:rsidP="004454D5">
      <w:pPr>
        <w:widowControl w:val="0"/>
        <w:spacing w:after="0" w:line="276" w:lineRule="auto"/>
        <w:ind w:firstLine="720"/>
        <w:jc w:val="both"/>
        <w:rPr>
          <w:rFonts w:cs="Times New Roman"/>
        </w:rPr>
      </w:pPr>
      <w:r w:rsidRPr="002410C6">
        <w:rPr>
          <w:rFonts w:cs="Times New Roman"/>
        </w:rPr>
        <w:t xml:space="preserve">Tiesa nav ņēmusi vērā, ka, transportlīdzeklim šķērsojot </w:t>
      </w:r>
      <w:r w:rsidR="009A3348">
        <w:rPr>
          <w:rFonts w:cs="Times New Roman"/>
        </w:rPr>
        <w:t>[Nosaukums]</w:t>
      </w:r>
      <w:r w:rsidRPr="002410C6">
        <w:rPr>
          <w:rFonts w:cs="Times New Roman"/>
        </w:rPr>
        <w:t xml:space="preserve"> robežkontroles punktu, tika pārbaudītas </w:t>
      </w:r>
      <w:r w:rsidR="00E97EDC" w:rsidRPr="002410C6">
        <w:rPr>
          <w:rFonts w:cs="Times New Roman"/>
        </w:rPr>
        <w:t xml:space="preserve">puspiekabes reģistrācijas apliecībā esošās </w:t>
      </w:r>
      <w:r w:rsidRPr="002410C6">
        <w:rPr>
          <w:rFonts w:cs="Times New Roman"/>
        </w:rPr>
        <w:t>ziņas, taču p</w:t>
      </w:r>
      <w:r w:rsidR="00E97EDC" w:rsidRPr="002410C6">
        <w:rPr>
          <w:rFonts w:cs="Times New Roman"/>
        </w:rPr>
        <w:t>aša</w:t>
      </w:r>
      <w:r w:rsidRPr="002410C6">
        <w:rPr>
          <w:rFonts w:cs="Times New Roman"/>
        </w:rPr>
        <w:t xml:space="preserve"> transportlīdzekļa identifikācijas numurs </w:t>
      </w:r>
      <w:r w:rsidR="00315B0E" w:rsidRPr="002410C6">
        <w:rPr>
          <w:rFonts w:cs="Times New Roman"/>
        </w:rPr>
        <w:t xml:space="preserve">(VIN numurs) </w:t>
      </w:r>
      <w:r w:rsidRPr="002410C6">
        <w:rPr>
          <w:rFonts w:cs="Times New Roman"/>
        </w:rPr>
        <w:t>netika pārbaudīts</w:t>
      </w:r>
      <w:r w:rsidR="0015331E">
        <w:rPr>
          <w:rFonts w:cs="Times New Roman"/>
        </w:rPr>
        <w:t>. Minētais rada</w:t>
      </w:r>
      <w:r w:rsidR="00315B0E" w:rsidRPr="002410C6">
        <w:rPr>
          <w:rFonts w:cs="Times New Roman"/>
        </w:rPr>
        <w:t xml:space="preserve"> šaubas par to</w:t>
      </w:r>
      <w:r w:rsidRPr="002410C6">
        <w:rPr>
          <w:rFonts w:cs="Times New Roman"/>
        </w:rPr>
        <w:t xml:space="preserve">, </w:t>
      </w:r>
      <w:r w:rsidR="00EE2AB1">
        <w:rPr>
          <w:rFonts w:cs="Times New Roman"/>
        </w:rPr>
        <w:t>vai</w:t>
      </w:r>
      <w:r w:rsidRPr="002410C6">
        <w:rPr>
          <w:rFonts w:cs="Times New Roman"/>
        </w:rPr>
        <w:t xml:space="preserve"> Rēzeknes novad</w:t>
      </w:r>
      <w:r w:rsidR="006C3B24">
        <w:rPr>
          <w:rFonts w:cs="Times New Roman"/>
        </w:rPr>
        <w:t>ā,</w:t>
      </w:r>
      <w:r w:rsidRPr="002410C6">
        <w:rPr>
          <w:rFonts w:cs="Times New Roman"/>
        </w:rPr>
        <w:t xml:space="preserve"> Maltā aizturētā puspiekabe ir tā pati, kas 2016. gada 28. novembra naktī šķērsoja </w:t>
      </w:r>
      <w:r w:rsidR="009A3348">
        <w:rPr>
          <w:rFonts w:cs="Times New Roman"/>
        </w:rPr>
        <w:t>[Nosaukums]</w:t>
      </w:r>
      <w:r w:rsidRPr="002410C6">
        <w:rPr>
          <w:rFonts w:cs="Times New Roman"/>
        </w:rPr>
        <w:t xml:space="preserve"> robežkontroles punktu.</w:t>
      </w:r>
    </w:p>
    <w:p w14:paraId="54894454" w14:textId="465371A3" w:rsidR="00E52DB4" w:rsidRPr="002410C6" w:rsidRDefault="00E97EDC" w:rsidP="004454D5">
      <w:pPr>
        <w:widowControl w:val="0"/>
        <w:spacing w:after="0" w:line="276" w:lineRule="auto"/>
        <w:ind w:firstLine="720"/>
        <w:jc w:val="both"/>
        <w:rPr>
          <w:rFonts w:cs="Times New Roman"/>
        </w:rPr>
      </w:pPr>
      <w:r w:rsidRPr="002410C6">
        <w:rPr>
          <w:rFonts w:cs="Times New Roman"/>
        </w:rPr>
        <w:t xml:space="preserve">Tāpat lietā nav ziņu par to, </w:t>
      </w:r>
      <w:r w:rsidR="008C6C27" w:rsidRPr="002410C6">
        <w:rPr>
          <w:rFonts w:cs="Times New Roman"/>
        </w:rPr>
        <w:t xml:space="preserve">kas noticis ar </w:t>
      </w:r>
      <w:r w:rsidR="00EE2AB1">
        <w:rPr>
          <w:rFonts w:cs="Times New Roman"/>
        </w:rPr>
        <w:t>pus</w:t>
      </w:r>
      <w:r w:rsidR="008C6C27" w:rsidRPr="002410C6">
        <w:rPr>
          <w:rFonts w:cs="Times New Roman"/>
        </w:rPr>
        <w:t>piekabē esošo kravu pēc izbraukšanas no robežkontroles punkta</w:t>
      </w:r>
      <w:r w:rsidR="00746A2A" w:rsidRPr="002410C6">
        <w:rPr>
          <w:rFonts w:cs="Times New Roman"/>
        </w:rPr>
        <w:t xml:space="preserve"> </w:t>
      </w:r>
      <w:r w:rsidR="00315B0E" w:rsidRPr="002410C6">
        <w:rPr>
          <w:rFonts w:cs="Times New Roman"/>
        </w:rPr>
        <w:t xml:space="preserve">līdz </w:t>
      </w:r>
      <w:r w:rsidR="00EE2AB1">
        <w:rPr>
          <w:rFonts w:cs="Times New Roman"/>
        </w:rPr>
        <w:t>tās</w:t>
      </w:r>
      <w:r w:rsidR="00315B0E" w:rsidRPr="002410C6">
        <w:rPr>
          <w:rFonts w:cs="Times New Roman"/>
        </w:rPr>
        <w:t xml:space="preserve"> aizturēšanas brīdim </w:t>
      </w:r>
      <w:r w:rsidRPr="002410C6">
        <w:rPr>
          <w:rFonts w:cs="Times New Roman"/>
        </w:rPr>
        <w:t xml:space="preserve">– </w:t>
      </w:r>
      <w:r w:rsidR="00315B0E" w:rsidRPr="002410C6">
        <w:rPr>
          <w:rFonts w:cs="Times New Roman"/>
        </w:rPr>
        <w:t>no</w:t>
      </w:r>
      <w:r w:rsidRPr="002410C6">
        <w:rPr>
          <w:rFonts w:cs="Times New Roman"/>
        </w:rPr>
        <w:t xml:space="preserve"> </w:t>
      </w:r>
      <w:r w:rsidR="008C6C27" w:rsidRPr="002410C6">
        <w:rPr>
          <w:rFonts w:cs="Times New Roman"/>
        </w:rPr>
        <w:t>2016. gada 28. novembr</w:t>
      </w:r>
      <w:r w:rsidR="00315B0E" w:rsidRPr="002410C6">
        <w:rPr>
          <w:rFonts w:cs="Times New Roman"/>
        </w:rPr>
        <w:t>a</w:t>
      </w:r>
      <w:r w:rsidR="008C6C27" w:rsidRPr="002410C6">
        <w:rPr>
          <w:rFonts w:cs="Times New Roman"/>
        </w:rPr>
        <w:t xml:space="preserve"> plkst.</w:t>
      </w:r>
      <w:r w:rsidRPr="002410C6">
        <w:rPr>
          <w:rFonts w:cs="Times New Roman"/>
        </w:rPr>
        <w:t> </w:t>
      </w:r>
      <w:r w:rsidR="008C6C27" w:rsidRPr="002410C6">
        <w:rPr>
          <w:rFonts w:cs="Times New Roman"/>
        </w:rPr>
        <w:t>5.00 līdz 29. novembr</w:t>
      </w:r>
      <w:r w:rsidR="00315B0E" w:rsidRPr="002410C6">
        <w:rPr>
          <w:rFonts w:cs="Times New Roman"/>
        </w:rPr>
        <w:t>a</w:t>
      </w:r>
      <w:r w:rsidR="008C6C27" w:rsidRPr="002410C6">
        <w:rPr>
          <w:rFonts w:cs="Times New Roman"/>
        </w:rPr>
        <w:t xml:space="preserve"> plkst. 16.10</w:t>
      </w:r>
      <w:r w:rsidR="00315B0E" w:rsidRPr="002410C6">
        <w:rPr>
          <w:rFonts w:cs="Times New Roman"/>
        </w:rPr>
        <w:t xml:space="preserve"> –</w:t>
      </w:r>
      <w:r w:rsidR="009A7DCD">
        <w:rPr>
          <w:rFonts w:cs="Times New Roman"/>
        </w:rPr>
        <w:t>,</w:t>
      </w:r>
      <w:r w:rsidR="00315B0E" w:rsidRPr="002410C6">
        <w:rPr>
          <w:rFonts w:cs="Times New Roman"/>
        </w:rPr>
        <w:t xml:space="preserve"> </w:t>
      </w:r>
      <w:r w:rsidR="00315B0E" w:rsidRPr="009B5635">
        <w:rPr>
          <w:rFonts w:cs="Times New Roman"/>
        </w:rPr>
        <w:t>un</w:t>
      </w:r>
      <w:r w:rsidR="008C6C27" w:rsidRPr="009B5635">
        <w:rPr>
          <w:rFonts w:cs="Times New Roman"/>
        </w:rPr>
        <w:t xml:space="preserve"> kāpēc transportlīdzeklis</w:t>
      </w:r>
      <w:r w:rsidR="006C13E6" w:rsidRPr="009B5635">
        <w:rPr>
          <w:rFonts w:cs="Times New Roman"/>
        </w:rPr>
        <w:t xml:space="preserve"> </w:t>
      </w:r>
      <w:r w:rsidR="008C6C27" w:rsidRPr="009B5635">
        <w:rPr>
          <w:rFonts w:cs="Times New Roman"/>
        </w:rPr>
        <w:t>braucis līdz Rēzeknei, bet pēc tam mainījis maršrutu virzienā uz Daugavpili</w:t>
      </w:r>
      <w:r w:rsidR="008C6C27" w:rsidRPr="002410C6">
        <w:rPr>
          <w:rFonts w:cs="Times New Roman"/>
        </w:rPr>
        <w:t>.</w:t>
      </w:r>
    </w:p>
    <w:p w14:paraId="432AE19C" w14:textId="73E1C201" w:rsidR="00884A54" w:rsidRPr="002410C6" w:rsidRDefault="00315B0E" w:rsidP="00884A54">
      <w:pPr>
        <w:widowControl w:val="0"/>
        <w:spacing w:after="0" w:line="276" w:lineRule="auto"/>
        <w:ind w:firstLine="720"/>
        <w:jc w:val="both"/>
        <w:rPr>
          <w:rFonts w:cs="Times New Roman"/>
        </w:rPr>
      </w:pPr>
      <w:r w:rsidRPr="002410C6">
        <w:rPr>
          <w:rFonts w:cs="Times New Roman"/>
        </w:rPr>
        <w:t>Ievērojot minēto, tiesa nepamatoti atzinusi par pierādītu, ka skenēšanas brīdī transportlīdzeklī atradās apsūdzībā norādītais cigarešu daudzums.</w:t>
      </w:r>
    </w:p>
    <w:p w14:paraId="2A099495" w14:textId="77777777" w:rsidR="00830FDF" w:rsidRPr="002410C6" w:rsidRDefault="00830FDF" w:rsidP="0061641F">
      <w:pPr>
        <w:widowControl w:val="0"/>
        <w:spacing w:after="0" w:line="276" w:lineRule="auto"/>
        <w:ind w:firstLine="720"/>
        <w:jc w:val="both"/>
        <w:rPr>
          <w:rFonts w:cs="Times New Roman"/>
        </w:rPr>
      </w:pPr>
    </w:p>
    <w:p w14:paraId="48760AC9" w14:textId="7E44A20C" w:rsidR="001B6D89" w:rsidRPr="002410C6" w:rsidRDefault="001B6D89" w:rsidP="0061641F">
      <w:pPr>
        <w:widowControl w:val="0"/>
        <w:spacing w:after="0" w:line="276" w:lineRule="auto"/>
        <w:jc w:val="center"/>
        <w:rPr>
          <w:rFonts w:cs="Times New Roman"/>
          <w:b/>
          <w:bCs/>
        </w:rPr>
      </w:pPr>
      <w:r w:rsidRPr="002410C6">
        <w:rPr>
          <w:rFonts w:cs="Times New Roman"/>
          <w:b/>
          <w:bCs/>
        </w:rPr>
        <w:t>Motīvu daļa</w:t>
      </w:r>
    </w:p>
    <w:p w14:paraId="5BB6924B" w14:textId="77777777" w:rsidR="00CD0E91" w:rsidRDefault="00CD0E91" w:rsidP="00831951">
      <w:pPr>
        <w:widowControl w:val="0"/>
        <w:shd w:val="clear" w:color="auto" w:fill="FFFFFF"/>
        <w:spacing w:after="0" w:line="276" w:lineRule="auto"/>
        <w:ind w:firstLine="720"/>
        <w:jc w:val="both"/>
        <w:rPr>
          <w:rFonts w:cs="Times New Roman"/>
        </w:rPr>
      </w:pPr>
    </w:p>
    <w:p w14:paraId="2B4A23B0" w14:textId="4261BA40" w:rsidR="00E74C16" w:rsidRPr="00F3646A" w:rsidRDefault="006B32E0" w:rsidP="00F3646A">
      <w:pPr>
        <w:widowControl w:val="0"/>
        <w:spacing w:after="0" w:line="276" w:lineRule="auto"/>
        <w:ind w:firstLine="720"/>
        <w:jc w:val="both"/>
        <w:rPr>
          <w:rFonts w:cs="Times New Roman"/>
          <w:color w:val="000000" w:themeColor="text1"/>
        </w:rPr>
      </w:pPr>
      <w:r w:rsidRPr="002410C6">
        <w:rPr>
          <w:rFonts w:cs="Times New Roman"/>
        </w:rPr>
        <w:lastRenderedPageBreak/>
        <w:t>[</w:t>
      </w:r>
      <w:r w:rsidR="00614663">
        <w:rPr>
          <w:rFonts w:cs="Times New Roman"/>
        </w:rPr>
        <w:t>5</w:t>
      </w:r>
      <w:r w:rsidRPr="002410C6">
        <w:rPr>
          <w:rFonts w:cs="Times New Roman"/>
        </w:rPr>
        <w:t>]</w:t>
      </w:r>
      <w:r w:rsidR="00F3709F">
        <w:rPr>
          <w:rFonts w:cs="Times New Roman"/>
        </w:rPr>
        <w:t> </w:t>
      </w:r>
      <w:bookmarkStart w:id="8" w:name="_Hlk216861541"/>
      <w:bookmarkStart w:id="9" w:name="_Hlk219883238"/>
      <w:bookmarkStart w:id="10" w:name="_Hlk216864253"/>
      <w:bookmarkStart w:id="11" w:name="_Hlk214810819"/>
      <w:bookmarkStart w:id="12" w:name="_Hlk219967636"/>
      <w:bookmarkStart w:id="13" w:name="_Hlk217371728"/>
      <w:r w:rsidR="00614663" w:rsidRPr="006C745B">
        <w:t>Kasācijas tiesvedības ietvaros ir izvērtējams</w:t>
      </w:r>
      <w:r w:rsidR="00614663" w:rsidRPr="006C745B">
        <w:rPr>
          <w:rFonts w:cs="Times New Roman"/>
          <w:color w:val="000000" w:themeColor="text1"/>
        </w:rPr>
        <w:t>,</w:t>
      </w:r>
      <w:r w:rsidR="00614663">
        <w:rPr>
          <w:rFonts w:cs="Times New Roman"/>
          <w:color w:val="000000" w:themeColor="text1"/>
        </w:rPr>
        <w:t xml:space="preserve"> </w:t>
      </w:r>
      <w:r w:rsidR="00614663" w:rsidRPr="006C745B">
        <w:rPr>
          <w:rFonts w:cs="Times New Roman"/>
          <w:color w:val="000000" w:themeColor="text1"/>
        </w:rPr>
        <w:t>vai apelācijas instances tiesa, pamatojot lēmumu ar tiesas</w:t>
      </w:r>
      <w:r w:rsidR="00614663" w:rsidRPr="002410C6">
        <w:rPr>
          <w:rFonts w:cs="Times New Roman"/>
          <w:color w:val="000000" w:themeColor="text1"/>
        </w:rPr>
        <w:t xml:space="preserve"> sēdē nenopratinātu liecinieku</w:t>
      </w:r>
      <w:r w:rsidR="00614663">
        <w:rPr>
          <w:rFonts w:cs="Times New Roman"/>
          <w:color w:val="000000" w:themeColor="text1"/>
        </w:rPr>
        <w:t xml:space="preserve"> – </w:t>
      </w:r>
      <w:bookmarkStart w:id="14" w:name="_Hlk216797200"/>
      <w:r w:rsidR="009A3348">
        <w:rPr>
          <w:rFonts w:cs="Times New Roman"/>
        </w:rPr>
        <w:t>[pers. D]</w:t>
      </w:r>
      <w:r w:rsidR="00614663" w:rsidRPr="001C4A9A">
        <w:rPr>
          <w:rFonts w:cs="Times New Roman"/>
        </w:rPr>
        <w:t xml:space="preserve"> </w:t>
      </w:r>
      <w:bookmarkEnd w:id="14"/>
      <w:r w:rsidR="00614663" w:rsidRPr="001C4A9A">
        <w:rPr>
          <w:rFonts w:cs="Times New Roman"/>
        </w:rPr>
        <w:t xml:space="preserve">un </w:t>
      </w:r>
      <w:bookmarkStart w:id="15" w:name="_Hlk216797231"/>
      <w:r w:rsidR="009A3348">
        <w:rPr>
          <w:rFonts w:cs="Times New Roman"/>
        </w:rPr>
        <w:t>[pers. E]</w:t>
      </w:r>
      <w:bookmarkEnd w:id="15"/>
      <w:r w:rsidR="00053B7D">
        <w:rPr>
          <w:rFonts w:cs="Times New Roman"/>
        </w:rPr>
        <w:t xml:space="preserve"> –</w:t>
      </w:r>
      <w:r w:rsidR="00614663">
        <w:rPr>
          <w:rFonts w:cs="Times New Roman"/>
          <w:color w:val="000000" w:themeColor="text1"/>
        </w:rPr>
        <w:t xml:space="preserve"> </w:t>
      </w:r>
      <w:proofErr w:type="spellStart"/>
      <w:r w:rsidR="00053B7D">
        <w:rPr>
          <w:rFonts w:cs="Times New Roman"/>
          <w:color w:val="000000" w:themeColor="text1"/>
        </w:rPr>
        <w:t>pirmstiesas</w:t>
      </w:r>
      <w:proofErr w:type="spellEnd"/>
      <w:r w:rsidR="00053B7D">
        <w:rPr>
          <w:rFonts w:cs="Times New Roman"/>
          <w:color w:val="000000" w:themeColor="text1"/>
        </w:rPr>
        <w:t xml:space="preserve"> procesā sniegtajām </w:t>
      </w:r>
      <w:r w:rsidR="00614663" w:rsidRPr="002410C6">
        <w:rPr>
          <w:rFonts w:cs="Times New Roman"/>
          <w:color w:val="000000" w:themeColor="text1"/>
        </w:rPr>
        <w:t xml:space="preserve">liecībām, </w:t>
      </w:r>
      <w:r w:rsidR="00614663">
        <w:rPr>
          <w:rFonts w:cs="Times New Roman"/>
          <w:color w:val="000000" w:themeColor="text1"/>
        </w:rPr>
        <w:t xml:space="preserve">ir </w:t>
      </w:r>
      <w:r w:rsidR="00614663" w:rsidRPr="002410C6">
        <w:rPr>
          <w:rFonts w:cs="Times New Roman"/>
          <w:color w:val="000000" w:themeColor="text1"/>
        </w:rPr>
        <w:t>pareizi piemērojusi Kriminālprocesa likuma 512. panta otr</w:t>
      </w:r>
      <w:r w:rsidR="00614663">
        <w:rPr>
          <w:rFonts w:cs="Times New Roman"/>
          <w:color w:val="000000" w:themeColor="text1"/>
        </w:rPr>
        <w:t>ās</w:t>
      </w:r>
      <w:r w:rsidR="00614663" w:rsidRPr="002410C6">
        <w:rPr>
          <w:rFonts w:cs="Times New Roman"/>
          <w:color w:val="000000" w:themeColor="text1"/>
        </w:rPr>
        <w:t xml:space="preserve"> daļ</w:t>
      </w:r>
      <w:r w:rsidR="00614663">
        <w:rPr>
          <w:rFonts w:cs="Times New Roman"/>
          <w:color w:val="000000" w:themeColor="text1"/>
        </w:rPr>
        <w:t>as 4. punktu</w:t>
      </w:r>
      <w:bookmarkStart w:id="16" w:name="_Hlk216794048"/>
      <w:r w:rsidR="00F3646A">
        <w:rPr>
          <w:rFonts w:cs="Times New Roman"/>
          <w:color w:val="000000" w:themeColor="text1"/>
        </w:rPr>
        <w:t xml:space="preserve">, kas </w:t>
      </w:r>
      <w:r w:rsidR="00E74C16" w:rsidRPr="00EC6617">
        <w:rPr>
          <w:kern w:val="0"/>
        </w:rPr>
        <w:t xml:space="preserve">noteic, ka </w:t>
      </w:r>
      <w:r w:rsidR="00E74C16" w:rsidRPr="00BA41D2">
        <w:rPr>
          <w:rFonts w:cs="Times New Roman"/>
          <w:kern w:val="0"/>
        </w:rPr>
        <w:t xml:space="preserve">sprieduma pamatošanai </w:t>
      </w:r>
      <w:r w:rsidR="00E74C16">
        <w:rPr>
          <w:rFonts w:cs="Times New Roman"/>
          <w:kern w:val="0"/>
        </w:rPr>
        <w:t xml:space="preserve">var </w:t>
      </w:r>
      <w:r w:rsidR="00E74C16" w:rsidRPr="00BA41D2">
        <w:rPr>
          <w:rFonts w:cs="Times New Roman"/>
          <w:kern w:val="0"/>
        </w:rPr>
        <w:t>izmantot ziņas</w:t>
      </w:r>
      <w:r w:rsidR="00E74C16" w:rsidRPr="00EC6617">
        <w:rPr>
          <w:kern w:val="0"/>
        </w:rPr>
        <w:t>, kas fiksētas konkrētajā kriminālprocesā agrāk sniegtajās liecībās, ja aizstāvība piekritusi šo liecību izmantošanai</w:t>
      </w:r>
      <w:r w:rsidR="00E74C16">
        <w:rPr>
          <w:rFonts w:cs="Times New Roman"/>
          <w:kern w:val="0"/>
        </w:rPr>
        <w:t>.</w:t>
      </w:r>
    </w:p>
    <w:p w14:paraId="09D1D915" w14:textId="174925F2" w:rsidR="00BF4099" w:rsidRPr="00BF4099" w:rsidRDefault="00F3646A" w:rsidP="00BF4099">
      <w:pPr>
        <w:widowControl w:val="0"/>
        <w:spacing w:after="0" w:line="276" w:lineRule="auto"/>
        <w:ind w:firstLine="720"/>
        <w:jc w:val="both"/>
        <w:rPr>
          <w:rFonts w:cs="Times New Roman"/>
          <w:kern w:val="0"/>
        </w:rPr>
      </w:pPr>
      <w:r>
        <w:rPr>
          <w:rFonts w:cs="Times New Roman"/>
          <w:kern w:val="0"/>
        </w:rPr>
        <w:t>[</w:t>
      </w:r>
      <w:r w:rsidR="00875B85">
        <w:rPr>
          <w:rFonts w:cs="Times New Roman"/>
          <w:kern w:val="0"/>
        </w:rPr>
        <w:t>5</w:t>
      </w:r>
      <w:r>
        <w:rPr>
          <w:rFonts w:cs="Times New Roman"/>
          <w:kern w:val="0"/>
        </w:rPr>
        <w:t>.1]</w:t>
      </w:r>
      <w:r w:rsidR="008417F8">
        <w:rPr>
          <w:kern w:val="0"/>
        </w:rPr>
        <w:t> </w:t>
      </w:r>
      <w:r w:rsidRPr="00EC6617">
        <w:rPr>
          <w:kern w:val="0"/>
        </w:rPr>
        <w:t xml:space="preserve">Senāts </w:t>
      </w:r>
      <w:r>
        <w:rPr>
          <w:rFonts w:cs="Times New Roman"/>
          <w:kern w:val="0"/>
        </w:rPr>
        <w:t>konstatē</w:t>
      </w:r>
      <w:r w:rsidRPr="00EC6617">
        <w:rPr>
          <w:kern w:val="0"/>
        </w:rPr>
        <w:t xml:space="preserve">, ka </w:t>
      </w:r>
      <w:r w:rsidR="00FA3EC9">
        <w:rPr>
          <w:kern w:val="0"/>
        </w:rPr>
        <w:t xml:space="preserve">Kriminālprocesa likuma 512. panta otrās daļas 4. punkts </w:t>
      </w:r>
      <w:r w:rsidR="00BF4099" w:rsidRPr="00BF4099">
        <w:rPr>
          <w:rFonts w:cs="Times New Roman"/>
          <w:kern w:val="0"/>
        </w:rPr>
        <w:t>nenosaka, kurā procesa stadijā šāda piekrišana</w:t>
      </w:r>
      <w:r w:rsidR="00BF4099" w:rsidRPr="00EC6617">
        <w:rPr>
          <w:kern w:val="0"/>
        </w:rPr>
        <w:t xml:space="preserve"> </w:t>
      </w:r>
      <w:r w:rsidRPr="00EC6617">
        <w:rPr>
          <w:kern w:val="0"/>
        </w:rPr>
        <w:t xml:space="preserve">var tikt </w:t>
      </w:r>
      <w:r>
        <w:rPr>
          <w:rFonts w:cs="Times New Roman"/>
          <w:kern w:val="0"/>
        </w:rPr>
        <w:t>sniegta</w:t>
      </w:r>
      <w:r w:rsidR="00BF4099" w:rsidRPr="00BF4099">
        <w:rPr>
          <w:rFonts w:cs="Times New Roman"/>
          <w:kern w:val="0"/>
        </w:rPr>
        <w:t>. Līdz ar to, izmantojot gramatisko iztulkošanas metodi, norma lasāma plaši.</w:t>
      </w:r>
    </w:p>
    <w:p w14:paraId="6BDF45C8" w14:textId="32A275DD" w:rsidR="00DE2FCE" w:rsidRDefault="00DE2FCE" w:rsidP="00BF4099">
      <w:pPr>
        <w:widowControl w:val="0"/>
        <w:spacing w:after="0" w:line="276" w:lineRule="auto"/>
        <w:ind w:firstLine="720"/>
        <w:jc w:val="both"/>
        <w:rPr>
          <w:rFonts w:cs="Times New Roman"/>
          <w:kern w:val="0"/>
        </w:rPr>
      </w:pPr>
      <w:r>
        <w:rPr>
          <w:rFonts w:cs="Times New Roman"/>
          <w:kern w:val="0"/>
        </w:rPr>
        <w:t xml:space="preserve">Analogs secinājums </w:t>
      </w:r>
      <w:r w:rsidR="00C36952">
        <w:rPr>
          <w:rFonts w:cs="Times New Roman"/>
          <w:kern w:val="0"/>
        </w:rPr>
        <w:t xml:space="preserve">izriet arī </w:t>
      </w:r>
      <w:r w:rsidR="00AE2058">
        <w:rPr>
          <w:rFonts w:cs="Times New Roman"/>
          <w:kern w:val="0"/>
        </w:rPr>
        <w:t xml:space="preserve">no </w:t>
      </w:r>
      <w:r w:rsidR="00606B72">
        <w:rPr>
          <w:rFonts w:cs="Times New Roman"/>
          <w:kern w:val="0"/>
        </w:rPr>
        <w:t xml:space="preserve">normas </w:t>
      </w:r>
      <w:r w:rsidR="00BF4099" w:rsidRPr="00BF4099">
        <w:rPr>
          <w:rFonts w:cs="Times New Roman"/>
          <w:kern w:val="0"/>
        </w:rPr>
        <w:t>sistēmisk</w:t>
      </w:r>
      <w:r w:rsidR="00C36952">
        <w:rPr>
          <w:rFonts w:cs="Times New Roman"/>
          <w:kern w:val="0"/>
        </w:rPr>
        <w:t>ās</w:t>
      </w:r>
      <w:r w:rsidR="00BF4099" w:rsidRPr="00BF4099">
        <w:rPr>
          <w:rFonts w:cs="Times New Roman"/>
          <w:kern w:val="0"/>
        </w:rPr>
        <w:t xml:space="preserve"> un teleoloģisk</w:t>
      </w:r>
      <w:r w:rsidR="00C36952">
        <w:rPr>
          <w:rFonts w:cs="Times New Roman"/>
          <w:kern w:val="0"/>
        </w:rPr>
        <w:t xml:space="preserve">ās </w:t>
      </w:r>
      <w:r w:rsidR="00AE2058">
        <w:rPr>
          <w:rFonts w:cs="Times New Roman"/>
          <w:kern w:val="0"/>
        </w:rPr>
        <w:t>iz</w:t>
      </w:r>
      <w:r w:rsidR="00C36952">
        <w:rPr>
          <w:rFonts w:cs="Times New Roman"/>
          <w:kern w:val="0"/>
        </w:rPr>
        <w:t>tulkošanas</w:t>
      </w:r>
      <w:r>
        <w:rPr>
          <w:rFonts w:cs="Times New Roman"/>
          <w:kern w:val="0"/>
        </w:rPr>
        <w:t>:</w:t>
      </w:r>
      <w:r w:rsidR="0069715A">
        <w:rPr>
          <w:rFonts w:cs="Times New Roman"/>
          <w:kern w:val="0"/>
        </w:rPr>
        <w:t xml:space="preserve"> </w:t>
      </w:r>
      <w:r w:rsidR="00BF4099">
        <w:rPr>
          <w:rFonts w:cs="Times New Roman"/>
          <w:kern w:val="0"/>
        </w:rPr>
        <w:t>l</w:t>
      </w:r>
      <w:r w:rsidR="00E74C16">
        <w:rPr>
          <w:rFonts w:cs="Times New Roman"/>
          <w:kern w:val="0"/>
        </w:rPr>
        <w:t xml:space="preserve">ai gan </w:t>
      </w:r>
      <w:r w:rsidR="00606B72">
        <w:rPr>
          <w:kern w:val="0"/>
        </w:rPr>
        <w:t>Kriminālprocesa</w:t>
      </w:r>
      <w:r w:rsidR="00E74C16">
        <w:rPr>
          <w:rFonts w:cs="Times New Roman"/>
          <w:kern w:val="0"/>
        </w:rPr>
        <w:t xml:space="preserve"> likuma 489. pants reglamentē piekrišanas došanu </w:t>
      </w:r>
      <w:r>
        <w:rPr>
          <w:rFonts w:cs="Times New Roman"/>
          <w:kern w:val="0"/>
        </w:rPr>
        <w:t xml:space="preserve">tikai </w:t>
      </w:r>
      <w:r w:rsidR="00E74C16">
        <w:rPr>
          <w:rFonts w:cs="Times New Roman"/>
          <w:kern w:val="0"/>
        </w:rPr>
        <w:t>kriminālliet</w:t>
      </w:r>
      <w:r w:rsidR="00C36952">
        <w:rPr>
          <w:rFonts w:cs="Times New Roman"/>
          <w:kern w:val="0"/>
        </w:rPr>
        <w:t>as</w:t>
      </w:r>
      <w:r w:rsidR="00E74C16">
        <w:rPr>
          <w:rFonts w:cs="Times New Roman"/>
          <w:kern w:val="0"/>
        </w:rPr>
        <w:t xml:space="preserve"> </w:t>
      </w:r>
      <w:r w:rsidR="00C36952">
        <w:rPr>
          <w:rFonts w:cs="Times New Roman"/>
          <w:kern w:val="0"/>
        </w:rPr>
        <w:t xml:space="preserve">sagatavošanas </w:t>
      </w:r>
      <w:r w:rsidR="00E74C16" w:rsidRPr="002D4360">
        <w:rPr>
          <w:rFonts w:cs="Times New Roman"/>
          <w:kern w:val="0"/>
        </w:rPr>
        <w:t>iztiesāšanai</w:t>
      </w:r>
      <w:r w:rsidR="00C36952">
        <w:rPr>
          <w:rFonts w:cs="Times New Roman"/>
          <w:kern w:val="0"/>
        </w:rPr>
        <w:t xml:space="preserve"> stadijā</w:t>
      </w:r>
      <w:r w:rsidR="00E74C16" w:rsidRPr="002D4360">
        <w:rPr>
          <w:rFonts w:cs="Times New Roman"/>
          <w:kern w:val="0"/>
        </w:rPr>
        <w:t>,</w:t>
      </w:r>
      <w:r w:rsidR="00E74C16">
        <w:rPr>
          <w:rFonts w:cs="Times New Roman"/>
          <w:kern w:val="0"/>
        </w:rPr>
        <w:t xml:space="preserve"> n</w:t>
      </w:r>
      <w:r w:rsidR="00E74C16" w:rsidRPr="000A18E9">
        <w:rPr>
          <w:rFonts w:cs="Times New Roman"/>
          <w:kern w:val="0"/>
        </w:rPr>
        <w:t xml:space="preserve">o kriminālprocesa </w:t>
      </w:r>
      <w:r w:rsidR="00E74C16">
        <w:rPr>
          <w:rFonts w:cs="Times New Roman"/>
          <w:kern w:val="0"/>
        </w:rPr>
        <w:t xml:space="preserve">pamatnoteikumiem un </w:t>
      </w:r>
      <w:r w:rsidR="00E74C16" w:rsidRPr="000A18E9">
        <w:rPr>
          <w:rFonts w:cs="Times New Roman"/>
          <w:kern w:val="0"/>
        </w:rPr>
        <w:t xml:space="preserve">pamatprincipiem </w:t>
      </w:r>
      <w:r w:rsidR="00E74C16">
        <w:rPr>
          <w:rFonts w:cs="Times New Roman"/>
          <w:kern w:val="0"/>
        </w:rPr>
        <w:t xml:space="preserve">– </w:t>
      </w:r>
      <w:r w:rsidR="00E74C16" w:rsidRPr="000A18E9">
        <w:rPr>
          <w:rFonts w:cs="Times New Roman"/>
          <w:kern w:val="0"/>
        </w:rPr>
        <w:t>kriminālprocesa mērķa (Kriminālprocesa likuma 1.</w:t>
      </w:r>
      <w:r w:rsidR="00E74C16">
        <w:rPr>
          <w:rFonts w:cs="Times New Roman"/>
          <w:kern w:val="0"/>
        </w:rPr>
        <w:t> </w:t>
      </w:r>
      <w:r w:rsidR="00E74C16" w:rsidRPr="000A18E9">
        <w:rPr>
          <w:rFonts w:cs="Times New Roman"/>
          <w:kern w:val="0"/>
        </w:rPr>
        <w:t>pants), tiesībām uz kriminālprocesa pabeigšanu saprātīgā termiņā (Kriminālprocesa likuma 14.</w:t>
      </w:r>
      <w:r w:rsidR="00E74C16">
        <w:rPr>
          <w:rFonts w:cs="Times New Roman"/>
          <w:kern w:val="0"/>
        </w:rPr>
        <w:t> </w:t>
      </w:r>
      <w:r w:rsidR="00E74C16" w:rsidRPr="000A18E9">
        <w:rPr>
          <w:rFonts w:cs="Times New Roman"/>
          <w:kern w:val="0"/>
        </w:rPr>
        <w:t>pants), tiesībām uz aizstāvību un aizstāvības pozīcijas izvēli (Kriminālprocesa likuma 20.</w:t>
      </w:r>
      <w:r w:rsidR="00E74C16">
        <w:rPr>
          <w:rFonts w:cs="Times New Roman"/>
          <w:kern w:val="0"/>
        </w:rPr>
        <w:t> </w:t>
      </w:r>
      <w:r w:rsidR="00E74C16" w:rsidRPr="000A18E9">
        <w:rPr>
          <w:rFonts w:cs="Times New Roman"/>
          <w:kern w:val="0"/>
        </w:rPr>
        <w:t>pants)</w:t>
      </w:r>
      <w:r w:rsidR="00E74C16">
        <w:rPr>
          <w:rFonts w:cs="Times New Roman"/>
          <w:kern w:val="0"/>
        </w:rPr>
        <w:t xml:space="preserve"> un</w:t>
      </w:r>
      <w:r w:rsidR="00E74C16" w:rsidRPr="000A18E9">
        <w:rPr>
          <w:rFonts w:cs="Times New Roman"/>
          <w:kern w:val="0"/>
        </w:rPr>
        <w:t xml:space="preserve"> tiesībām uz sadarbību kriminālprocesā (Kriminālprocesa likuma 21.</w:t>
      </w:r>
      <w:r w:rsidR="00E74C16">
        <w:rPr>
          <w:rFonts w:cs="Times New Roman"/>
          <w:kern w:val="0"/>
        </w:rPr>
        <w:t> </w:t>
      </w:r>
      <w:r w:rsidR="00E74C16" w:rsidRPr="000A18E9">
        <w:rPr>
          <w:rFonts w:cs="Times New Roman"/>
          <w:kern w:val="0"/>
        </w:rPr>
        <w:t xml:space="preserve">pants) </w:t>
      </w:r>
      <w:r w:rsidR="00E74C16">
        <w:rPr>
          <w:rFonts w:cs="Times New Roman"/>
          <w:kern w:val="0"/>
        </w:rPr>
        <w:t xml:space="preserve">– </w:t>
      </w:r>
      <w:r w:rsidR="00E74C16" w:rsidRPr="000A18E9">
        <w:rPr>
          <w:rFonts w:cs="Times New Roman"/>
          <w:kern w:val="0"/>
        </w:rPr>
        <w:t>izriet</w:t>
      </w:r>
      <w:r w:rsidR="00E74C16">
        <w:rPr>
          <w:rFonts w:cs="Times New Roman"/>
          <w:kern w:val="0"/>
        </w:rPr>
        <w:t>, ka</w:t>
      </w:r>
      <w:r w:rsidR="00606B72">
        <w:rPr>
          <w:rFonts w:cs="Times New Roman"/>
          <w:kern w:val="0"/>
        </w:rPr>
        <w:t xml:space="preserve"> personas, kuras īsteno</w:t>
      </w:r>
      <w:r w:rsidR="00E74C16" w:rsidRPr="000A18E9">
        <w:rPr>
          <w:rFonts w:cs="Times New Roman"/>
          <w:kern w:val="0"/>
        </w:rPr>
        <w:t xml:space="preserve"> aizstāvīb</w:t>
      </w:r>
      <w:r w:rsidR="00606B72">
        <w:rPr>
          <w:rFonts w:cs="Times New Roman"/>
          <w:kern w:val="0"/>
        </w:rPr>
        <w:t>u,</w:t>
      </w:r>
      <w:r w:rsidR="00E74C16">
        <w:rPr>
          <w:rFonts w:cs="Times New Roman"/>
          <w:kern w:val="0"/>
        </w:rPr>
        <w:t xml:space="preserve"> arī turpmākā </w:t>
      </w:r>
      <w:r w:rsidR="00E74C16" w:rsidRPr="000A18E9">
        <w:rPr>
          <w:rFonts w:cs="Times New Roman"/>
          <w:kern w:val="0"/>
        </w:rPr>
        <w:t xml:space="preserve">procesa gaitā </w:t>
      </w:r>
      <w:r w:rsidR="00E74C16">
        <w:rPr>
          <w:rFonts w:cs="Times New Roman"/>
          <w:kern w:val="0"/>
        </w:rPr>
        <w:t xml:space="preserve">var </w:t>
      </w:r>
      <w:r>
        <w:rPr>
          <w:rFonts w:cs="Times New Roman"/>
          <w:kern w:val="0"/>
        </w:rPr>
        <w:t xml:space="preserve">piekrist liecību izmantošanai </w:t>
      </w:r>
      <w:r w:rsidR="00C36952">
        <w:rPr>
          <w:rFonts w:cs="Times New Roman"/>
          <w:kern w:val="0"/>
        </w:rPr>
        <w:t xml:space="preserve">nolēmuma pamatošanai </w:t>
      </w:r>
      <w:r>
        <w:rPr>
          <w:rFonts w:cs="Times New Roman"/>
          <w:kern w:val="0"/>
        </w:rPr>
        <w:t>vai arī atsaukt</w:t>
      </w:r>
      <w:r w:rsidR="00C36952">
        <w:rPr>
          <w:rFonts w:cs="Times New Roman"/>
          <w:kern w:val="0"/>
        </w:rPr>
        <w:t xml:space="preserve"> šādu </w:t>
      </w:r>
      <w:r w:rsidR="002B3278">
        <w:rPr>
          <w:rFonts w:cs="Times New Roman"/>
          <w:kern w:val="0"/>
        </w:rPr>
        <w:t xml:space="preserve">iepriekš dotu </w:t>
      </w:r>
      <w:r w:rsidR="00C36952">
        <w:rPr>
          <w:rFonts w:cs="Times New Roman"/>
          <w:kern w:val="0"/>
        </w:rPr>
        <w:t>piekrišanu</w:t>
      </w:r>
      <w:r>
        <w:rPr>
          <w:rFonts w:cs="Times New Roman"/>
          <w:kern w:val="0"/>
        </w:rPr>
        <w:t>.</w:t>
      </w:r>
    </w:p>
    <w:p w14:paraId="79C759AF" w14:textId="54CAC560" w:rsidR="00BF4099" w:rsidRDefault="00BF4099" w:rsidP="00BF4099">
      <w:pPr>
        <w:widowControl w:val="0"/>
        <w:spacing w:after="0" w:line="276" w:lineRule="auto"/>
        <w:ind w:firstLine="720"/>
        <w:jc w:val="both"/>
        <w:rPr>
          <w:rFonts w:cs="Times New Roman"/>
          <w:kern w:val="0"/>
        </w:rPr>
      </w:pPr>
      <w:r w:rsidRPr="00BF4099">
        <w:rPr>
          <w:rFonts w:cs="Times New Roman"/>
          <w:kern w:val="0"/>
        </w:rPr>
        <w:t>Ievērojot minēto, piekrišana katrā ziņā ir iespējama līdz tiesas lēmumam par tiesas izmeklēšanas pabeigšanu</w:t>
      </w:r>
      <w:r>
        <w:rPr>
          <w:rFonts w:cs="Times New Roman"/>
          <w:kern w:val="0"/>
        </w:rPr>
        <w:t xml:space="preserve"> (sal.</w:t>
      </w:r>
      <w:r>
        <w:rPr>
          <w:rFonts w:cs="Times New Roman"/>
          <w:i/>
          <w:iCs/>
          <w:kern w:val="0"/>
        </w:rPr>
        <w:t> </w:t>
      </w:r>
      <w:r w:rsidRPr="002070ED">
        <w:rPr>
          <w:rFonts w:cs="Times New Roman"/>
          <w:i/>
          <w:iCs/>
          <w:kern w:val="0"/>
        </w:rPr>
        <w:t>Senāta 2024.</w:t>
      </w:r>
      <w:r>
        <w:rPr>
          <w:rFonts w:cs="Times New Roman"/>
          <w:i/>
          <w:iCs/>
          <w:kern w:val="0"/>
        </w:rPr>
        <w:t> </w:t>
      </w:r>
      <w:r w:rsidRPr="002070ED">
        <w:rPr>
          <w:rFonts w:cs="Times New Roman"/>
          <w:i/>
          <w:iCs/>
          <w:kern w:val="0"/>
        </w:rPr>
        <w:t>gada 31. janvāra lēmuma lietā Nr. SKK</w:t>
      </w:r>
      <w:r>
        <w:rPr>
          <w:rFonts w:cs="Times New Roman"/>
          <w:i/>
          <w:iCs/>
          <w:kern w:val="0"/>
        </w:rPr>
        <w:noBreakHyphen/>
      </w:r>
      <w:r w:rsidRPr="002070ED">
        <w:rPr>
          <w:rFonts w:cs="Times New Roman"/>
          <w:i/>
          <w:iCs/>
          <w:kern w:val="0"/>
        </w:rPr>
        <w:t xml:space="preserve">38/2024, </w:t>
      </w:r>
      <w:hyperlink r:id="rId9" w:history="1">
        <w:r w:rsidRPr="002070ED">
          <w:rPr>
            <w:rStyle w:val="Hyperlink"/>
            <w:rFonts w:cs="Times New Roman"/>
            <w:i/>
            <w:iCs/>
            <w:kern w:val="0"/>
          </w:rPr>
          <w:t>ECLI:LV:AT:2024:0131.11088061320.21.L</w:t>
        </w:r>
      </w:hyperlink>
      <w:r w:rsidRPr="002070ED">
        <w:rPr>
          <w:rFonts w:cs="Times New Roman"/>
          <w:i/>
          <w:iCs/>
          <w:kern w:val="0"/>
        </w:rPr>
        <w:t>, 10.5. punkt</w:t>
      </w:r>
      <w:r>
        <w:rPr>
          <w:rFonts w:cs="Times New Roman"/>
          <w:i/>
          <w:iCs/>
          <w:kern w:val="0"/>
        </w:rPr>
        <w:t>u</w:t>
      </w:r>
      <w:r w:rsidRPr="002070ED">
        <w:rPr>
          <w:rFonts w:cs="Times New Roman"/>
          <w:kern w:val="0"/>
        </w:rPr>
        <w:t>)</w:t>
      </w:r>
      <w:r w:rsidRPr="00BF4099">
        <w:rPr>
          <w:rFonts w:cs="Times New Roman"/>
          <w:kern w:val="0"/>
        </w:rPr>
        <w:t>.</w:t>
      </w:r>
    </w:p>
    <w:p w14:paraId="13F287CB" w14:textId="6A6CA3C3" w:rsidR="00110CE2" w:rsidRDefault="00BF4099" w:rsidP="00110CE2">
      <w:pPr>
        <w:widowControl w:val="0"/>
        <w:spacing w:after="0" w:line="276" w:lineRule="auto"/>
        <w:ind w:firstLine="720"/>
        <w:jc w:val="both"/>
        <w:rPr>
          <w:kern w:val="0"/>
        </w:rPr>
      </w:pPr>
      <w:r>
        <w:rPr>
          <w:rFonts w:cs="Times New Roman"/>
          <w:kern w:val="0"/>
        </w:rPr>
        <w:t>[</w:t>
      </w:r>
      <w:r w:rsidR="00875B85">
        <w:rPr>
          <w:rFonts w:cs="Times New Roman"/>
          <w:kern w:val="0"/>
        </w:rPr>
        <w:t>5</w:t>
      </w:r>
      <w:r>
        <w:rPr>
          <w:rFonts w:cs="Times New Roman"/>
          <w:kern w:val="0"/>
        </w:rPr>
        <w:t>.2]</w:t>
      </w:r>
      <w:r w:rsidR="00643B8B">
        <w:rPr>
          <w:rFonts w:cs="Times New Roman"/>
          <w:kern w:val="0"/>
        </w:rPr>
        <w:t> </w:t>
      </w:r>
      <w:bookmarkStart w:id="17" w:name="_Hlk222288586"/>
      <w:r w:rsidR="00110CE2" w:rsidRPr="00110CE2">
        <w:rPr>
          <w:kern w:val="0"/>
        </w:rPr>
        <w:t xml:space="preserve">Piekrišana izmantot ziņas, kas fiksētas konkrētajā kriminālprocesā agrāk sniegtajās liecībās, var būt gan tieša (mutvārdos vai </w:t>
      </w:r>
      <w:proofErr w:type="spellStart"/>
      <w:r w:rsidR="00110CE2" w:rsidRPr="00110CE2">
        <w:rPr>
          <w:kern w:val="0"/>
        </w:rPr>
        <w:t>rakstveidā</w:t>
      </w:r>
      <w:proofErr w:type="spellEnd"/>
      <w:r w:rsidR="00110CE2" w:rsidRPr="00110CE2">
        <w:rPr>
          <w:kern w:val="0"/>
        </w:rPr>
        <w:t xml:space="preserve"> izteikta), gan </w:t>
      </w:r>
      <w:proofErr w:type="spellStart"/>
      <w:r w:rsidR="00110CE2" w:rsidRPr="00110CE2">
        <w:rPr>
          <w:kern w:val="0"/>
        </w:rPr>
        <w:t>konkludent</w:t>
      </w:r>
      <w:r w:rsidR="00CE77F5">
        <w:rPr>
          <w:kern w:val="0"/>
        </w:rPr>
        <w:t>i</w:t>
      </w:r>
      <w:proofErr w:type="spellEnd"/>
      <w:r w:rsidR="00CE77F5">
        <w:rPr>
          <w:kern w:val="0"/>
        </w:rPr>
        <w:t xml:space="preserve"> izteikta</w:t>
      </w:r>
      <w:bookmarkEnd w:id="17"/>
      <w:r w:rsidR="00110CE2" w:rsidRPr="00110CE2">
        <w:rPr>
          <w:kern w:val="0"/>
        </w:rPr>
        <w:t>, ja vien aizstāvība apzinās šādas piekrišanas juridiskās sekas.</w:t>
      </w:r>
    </w:p>
    <w:p w14:paraId="73FC806E" w14:textId="4342B23A" w:rsidR="00E74C16" w:rsidRDefault="002B3278" w:rsidP="00E74C16">
      <w:pPr>
        <w:spacing w:after="0"/>
        <w:ind w:firstLine="720"/>
        <w:jc w:val="both"/>
      </w:pPr>
      <w:r>
        <w:rPr>
          <w:rFonts w:cs="Times New Roman"/>
          <w:kern w:val="0"/>
        </w:rPr>
        <w:t>Šajā jautājumā</w:t>
      </w:r>
      <w:r w:rsidR="00E74C16">
        <w:rPr>
          <w:rFonts w:cs="Times New Roman"/>
          <w:kern w:val="0"/>
        </w:rPr>
        <w:t xml:space="preserve"> jāņem vērā arī Eiropas Cilvēktiesību tiesas judikatūr</w:t>
      </w:r>
      <w:r>
        <w:rPr>
          <w:rFonts w:cs="Times New Roman"/>
          <w:kern w:val="0"/>
        </w:rPr>
        <w:t>ā norādītais, ka</w:t>
      </w:r>
      <w:r w:rsidR="00DE2FCE">
        <w:rPr>
          <w:rFonts w:cs="Times New Roman"/>
          <w:kern w:val="0"/>
        </w:rPr>
        <w:t xml:space="preserve"> </w:t>
      </w:r>
      <w:r w:rsidR="00E74C16">
        <w:rPr>
          <w:rFonts w:cs="Times New Roman"/>
          <w:color w:val="000000" w:themeColor="text1"/>
        </w:rPr>
        <w:t xml:space="preserve">ne </w:t>
      </w:r>
      <w:r w:rsidR="00E74C16" w:rsidRPr="00CA6D48">
        <w:rPr>
          <w:rFonts w:cs="Times New Roman"/>
          <w:color w:val="000000" w:themeColor="text1"/>
        </w:rPr>
        <w:t xml:space="preserve">Eiropas </w:t>
      </w:r>
      <w:r w:rsidR="00E74C16" w:rsidRPr="006A2222">
        <w:rPr>
          <w:rFonts w:cs="Times New Roman"/>
          <w:color w:val="000000" w:themeColor="text1"/>
        </w:rPr>
        <w:t xml:space="preserve">Cilvēka tiesību un pamatbrīvību aizsardzības konvencijas (turpmāk – Konvencija) </w:t>
      </w:r>
      <w:r w:rsidR="00E74C16" w:rsidRPr="00CA6D48">
        <w:rPr>
          <w:rFonts w:cs="Times New Roman"/>
          <w:color w:val="000000" w:themeColor="text1"/>
        </w:rPr>
        <w:t xml:space="preserve">6. panta </w:t>
      </w:r>
      <w:r w:rsidR="00E74C16" w:rsidRPr="00997B12">
        <w:rPr>
          <w:rFonts w:cs="Times New Roman"/>
          <w:color w:val="000000" w:themeColor="text1"/>
        </w:rPr>
        <w:t>burts, ne gars neliedz personai, kurai ir tiesības uz</w:t>
      </w:r>
      <w:r w:rsidR="00E74C16">
        <w:t xml:space="preserve"> aizstāvību, brīvi </w:t>
      </w:r>
      <w:r w:rsidR="00035CF8">
        <w:t>izvēloties</w:t>
      </w:r>
      <w:r w:rsidR="00E74C16">
        <w:t xml:space="preserve">, atteikties – gan tieši, gan netieši – no tiesībām uz taisnīgas tiesas garantijām. Tomēr, lai šāda atteikšanās Konvencijas izpratnē būtu spēkā, atteikšanās no tiesībām piedalīties tiesas procesā ir </w:t>
      </w:r>
      <w:r w:rsidR="00511E6B">
        <w:t xml:space="preserve">jākonstatē </w:t>
      </w:r>
      <w:r w:rsidR="00E74C16">
        <w:t>nepārprotam</w:t>
      </w:r>
      <w:r w:rsidR="00736F99">
        <w:t>i (nešaubīgi)</w:t>
      </w:r>
      <w:r w:rsidR="00E74C16">
        <w:t>, un tai jābūt nodrošinātai ar minimālām aizsardzības garantijām, kas atbilst šo tiesību nozīmīgumam. Turklāt šāda atteikšanās nedrīkst būt pretrunā kādām būtiskām sabiedrības interesēm, un, lai atzītu, ka apsūdzētais ar savu rīcību netieši ir atteicies no būtiskām tiesībām saskaņā ar Konvencijas 6. pantu, ir jākonstatē, ka viņš saprātīgi varēja paredzēt savas rīcības sekas (</w:t>
      </w:r>
      <w:r w:rsidR="00E74C16">
        <w:rPr>
          <w:i/>
          <w:iCs/>
        </w:rPr>
        <w:t>Eiropas Cilvēktiesību tiesas 2006. gada 1. marta sprieduma lietā „</w:t>
      </w:r>
      <w:proofErr w:type="spellStart"/>
      <w:r w:rsidR="00E74C16">
        <w:rPr>
          <w:i/>
          <w:iCs/>
        </w:rPr>
        <w:t>Sejdovic</w:t>
      </w:r>
      <w:proofErr w:type="spellEnd"/>
      <w:r w:rsidR="00E74C16">
        <w:rPr>
          <w:i/>
          <w:iCs/>
        </w:rPr>
        <w:t xml:space="preserve"> v. </w:t>
      </w:r>
      <w:proofErr w:type="spellStart"/>
      <w:r w:rsidR="00E74C16">
        <w:rPr>
          <w:i/>
          <w:iCs/>
        </w:rPr>
        <w:t>Italy</w:t>
      </w:r>
      <w:proofErr w:type="spellEnd"/>
      <w:r w:rsidR="00E74C16">
        <w:rPr>
          <w:i/>
          <w:iCs/>
        </w:rPr>
        <w:t>”, iesniegums Nr. </w:t>
      </w:r>
      <w:hyperlink r:id="rId10" w:history="1">
        <w:r w:rsidR="00E74C16">
          <w:rPr>
            <w:rStyle w:val="Hyperlink"/>
            <w:i/>
            <w:iCs/>
          </w:rPr>
          <w:t>56581/00</w:t>
        </w:r>
      </w:hyperlink>
      <w:r w:rsidR="00E74C16">
        <w:rPr>
          <w:i/>
          <w:iCs/>
        </w:rPr>
        <w:t>, 86.–87. punkts; 2018. gada 18. decembra sprieduma lietā „</w:t>
      </w:r>
      <w:proofErr w:type="spellStart"/>
      <w:r w:rsidR="00E74C16">
        <w:rPr>
          <w:i/>
          <w:iCs/>
        </w:rPr>
        <w:t>Murtazaliyeva</w:t>
      </w:r>
      <w:proofErr w:type="spellEnd"/>
      <w:r w:rsidR="00E74C16">
        <w:rPr>
          <w:i/>
          <w:iCs/>
        </w:rPr>
        <w:t xml:space="preserve"> v. </w:t>
      </w:r>
      <w:proofErr w:type="spellStart"/>
      <w:r w:rsidR="00E74C16">
        <w:rPr>
          <w:i/>
          <w:iCs/>
        </w:rPr>
        <w:t>Russia</w:t>
      </w:r>
      <w:proofErr w:type="spellEnd"/>
      <w:r w:rsidR="00E74C16">
        <w:rPr>
          <w:i/>
          <w:iCs/>
        </w:rPr>
        <w:t>”, iesniegums Nr. </w:t>
      </w:r>
      <w:hyperlink r:id="rId11" w:anchor="{%22appno%22:[%2236658/05%22]}" w:tgtFrame="_blank" w:history="1">
        <w:r w:rsidR="00E74C16">
          <w:rPr>
            <w:rStyle w:val="Hyperlink"/>
            <w:i/>
            <w:iCs/>
          </w:rPr>
          <w:t>36658/05</w:t>
        </w:r>
      </w:hyperlink>
      <w:r w:rsidR="00E74C16">
        <w:rPr>
          <w:i/>
          <w:iCs/>
        </w:rPr>
        <w:t>, 117. punkts</w:t>
      </w:r>
      <w:r w:rsidR="00E74C16">
        <w:t>).</w:t>
      </w:r>
      <w:r w:rsidR="00AE2058">
        <w:t xml:space="preserve"> </w:t>
      </w:r>
      <w:r w:rsidR="00E74C16">
        <w:t>Arī atteikšanās no tiesībām nopratināt liecinieku – tiesībām, kuru īstenošanu garantē Konvencijas 6. pants un kas ietilpst taisnīgas tiesas jēdziena saturā</w:t>
      </w:r>
      <w:r w:rsidR="007D19D2">
        <w:t>,</w:t>
      </w:r>
      <w:r w:rsidR="00E74C16">
        <w:t xml:space="preserve"> – ir jāatbilst iepriekš minētajām prasībām</w:t>
      </w:r>
      <w:r w:rsidR="00E74C16" w:rsidRPr="00A96785">
        <w:t xml:space="preserve"> (</w:t>
      </w:r>
      <w:r w:rsidR="00E74C16">
        <w:rPr>
          <w:i/>
          <w:iCs/>
        </w:rPr>
        <w:t>Eiropas Cilvēktiesību tiesas (Lielā palāta) 2018. gada 18. decembra sprieduma lietā „</w:t>
      </w:r>
      <w:proofErr w:type="spellStart"/>
      <w:r w:rsidR="00E74C16">
        <w:rPr>
          <w:i/>
          <w:iCs/>
        </w:rPr>
        <w:t>Murtazaliyeva</w:t>
      </w:r>
      <w:proofErr w:type="spellEnd"/>
      <w:r w:rsidR="00E74C16">
        <w:rPr>
          <w:i/>
          <w:iCs/>
        </w:rPr>
        <w:t xml:space="preserve"> v. </w:t>
      </w:r>
      <w:proofErr w:type="spellStart"/>
      <w:r w:rsidR="00E74C16">
        <w:rPr>
          <w:i/>
          <w:iCs/>
        </w:rPr>
        <w:t>Russia</w:t>
      </w:r>
      <w:proofErr w:type="spellEnd"/>
      <w:r w:rsidR="00E74C16">
        <w:rPr>
          <w:i/>
          <w:iCs/>
        </w:rPr>
        <w:t>”, iesniegums Nr. </w:t>
      </w:r>
      <w:hyperlink r:id="rId12" w:anchor="{%22appno%22:[%2236658/05%22]}" w:tgtFrame="_blank" w:history="1">
        <w:r w:rsidR="00E74C16">
          <w:rPr>
            <w:rStyle w:val="Hyperlink"/>
            <w:i/>
            <w:iCs/>
          </w:rPr>
          <w:t>36658/05</w:t>
        </w:r>
      </w:hyperlink>
      <w:r w:rsidR="00E74C16">
        <w:rPr>
          <w:i/>
          <w:iCs/>
        </w:rPr>
        <w:t>, 118. punkts</w:t>
      </w:r>
      <w:r w:rsidR="00E74C16">
        <w:t>).</w:t>
      </w:r>
    </w:p>
    <w:p w14:paraId="34C99FF3" w14:textId="3A3310A7" w:rsidR="00E74C16" w:rsidRDefault="00E74C16" w:rsidP="00E74C16">
      <w:pPr>
        <w:widowControl w:val="0"/>
        <w:spacing w:after="0" w:line="276" w:lineRule="auto"/>
        <w:ind w:firstLine="720"/>
        <w:jc w:val="both"/>
        <w:rPr>
          <w:rFonts w:cs="Times New Roman"/>
        </w:rPr>
      </w:pPr>
      <w:r>
        <w:rPr>
          <w:rFonts w:cs="Times New Roman"/>
        </w:rPr>
        <w:t>[</w:t>
      </w:r>
      <w:r w:rsidR="00875B85">
        <w:rPr>
          <w:rFonts w:cs="Times New Roman"/>
        </w:rPr>
        <w:t>5</w:t>
      </w:r>
      <w:r>
        <w:rPr>
          <w:rFonts w:cs="Times New Roman"/>
        </w:rPr>
        <w:t>.</w:t>
      </w:r>
      <w:r w:rsidR="00F1468D">
        <w:rPr>
          <w:rFonts w:cs="Times New Roman"/>
        </w:rPr>
        <w:t>3</w:t>
      </w:r>
      <w:r>
        <w:rPr>
          <w:rFonts w:cs="Times New Roman"/>
        </w:rPr>
        <w:t>]</w:t>
      </w:r>
      <w:r w:rsidR="007D19D2">
        <w:rPr>
          <w:rFonts w:cs="Times New Roman"/>
        </w:rPr>
        <w:t> </w:t>
      </w:r>
      <w:r w:rsidR="009012C3">
        <w:rPr>
          <w:rFonts w:cs="Times New Roman"/>
        </w:rPr>
        <w:t xml:space="preserve">Saistībā ar </w:t>
      </w:r>
      <w:r>
        <w:rPr>
          <w:rFonts w:cs="Times New Roman"/>
        </w:rPr>
        <w:t>lieciniek</w:t>
      </w:r>
      <w:r w:rsidR="009012C3">
        <w:rPr>
          <w:rFonts w:cs="Times New Roman"/>
        </w:rPr>
        <w:t>a</w:t>
      </w:r>
      <w:r>
        <w:rPr>
          <w:rFonts w:cs="Times New Roman"/>
        </w:rPr>
        <w:t xml:space="preserve"> </w:t>
      </w:r>
      <w:r w:rsidR="009A3348">
        <w:rPr>
          <w:rFonts w:cs="Times New Roman"/>
        </w:rPr>
        <w:t>[pers. D]</w:t>
      </w:r>
      <w:r w:rsidR="009012C3">
        <w:rPr>
          <w:rFonts w:cs="Times New Roman"/>
        </w:rPr>
        <w:t xml:space="preserve"> </w:t>
      </w:r>
      <w:proofErr w:type="spellStart"/>
      <w:r w:rsidR="009012C3">
        <w:rPr>
          <w:rFonts w:cs="Times New Roman"/>
        </w:rPr>
        <w:t>pirmstiesas</w:t>
      </w:r>
      <w:proofErr w:type="spellEnd"/>
      <w:r w:rsidR="009012C3">
        <w:rPr>
          <w:rFonts w:cs="Times New Roman"/>
        </w:rPr>
        <w:t xml:space="preserve"> procesā sniegto liecību izmantošanu nolēmuma pamatošan</w:t>
      </w:r>
      <w:r w:rsidR="00736F99">
        <w:rPr>
          <w:rFonts w:cs="Times New Roman"/>
        </w:rPr>
        <w:t>ā</w:t>
      </w:r>
      <w:r>
        <w:rPr>
          <w:rFonts w:cs="Times New Roman"/>
        </w:rPr>
        <w:t xml:space="preserve"> Senāts konstatē turpmāk norādīto.</w:t>
      </w:r>
    </w:p>
    <w:p w14:paraId="7F8F41D1" w14:textId="0D119753" w:rsidR="00614663" w:rsidRPr="006A2222" w:rsidRDefault="00614663" w:rsidP="001E6ACF">
      <w:pPr>
        <w:widowControl w:val="0"/>
        <w:spacing w:after="0" w:line="276" w:lineRule="auto"/>
        <w:ind w:firstLine="720"/>
        <w:jc w:val="both"/>
        <w:rPr>
          <w:rFonts w:asciiTheme="majorBidi" w:hAnsiTheme="majorBidi" w:cstheme="majorBidi"/>
        </w:rPr>
      </w:pPr>
      <w:r>
        <w:rPr>
          <w:rFonts w:cs="Times New Roman"/>
        </w:rPr>
        <w:t xml:space="preserve">Saskaņā ar Kriminālprocesa likuma </w:t>
      </w:r>
      <w:r w:rsidRPr="00403A79">
        <w:rPr>
          <w:rFonts w:cs="Times New Roman"/>
        </w:rPr>
        <w:t>489.</w:t>
      </w:r>
      <w:r>
        <w:rPr>
          <w:rFonts w:cs="Times New Roman"/>
        </w:rPr>
        <w:t> </w:t>
      </w:r>
      <w:r w:rsidRPr="00403A79">
        <w:rPr>
          <w:rFonts w:cs="Times New Roman"/>
        </w:rPr>
        <w:t>pant</w:t>
      </w:r>
      <w:r>
        <w:rPr>
          <w:rFonts w:cs="Times New Roman"/>
        </w:rPr>
        <w:t>a pirmo daļu t</w:t>
      </w:r>
      <w:r w:rsidRPr="00403A79">
        <w:rPr>
          <w:rFonts w:cs="Times New Roman"/>
        </w:rPr>
        <w:t xml:space="preserve">iesnesis pēc krimināllietas saņemšanas savā tiesvedībā </w:t>
      </w:r>
      <w:proofErr w:type="spellStart"/>
      <w:r w:rsidRPr="00403A79">
        <w:rPr>
          <w:rFonts w:cs="Times New Roman"/>
        </w:rPr>
        <w:t>nosūta</w:t>
      </w:r>
      <w:proofErr w:type="spellEnd"/>
      <w:r w:rsidRPr="00403A79">
        <w:rPr>
          <w:rFonts w:cs="Times New Roman"/>
        </w:rPr>
        <w:t xml:space="preserve"> aizstāvībai aicinājumu 10 darba dienu </w:t>
      </w:r>
      <w:r w:rsidRPr="00403A79">
        <w:rPr>
          <w:rFonts w:cs="Times New Roman"/>
        </w:rPr>
        <w:lastRenderedPageBreak/>
        <w:t>laikā iesniegt tiesā paziņojumu par nopratināmajām personām</w:t>
      </w:r>
      <w:r w:rsidR="00C07C05">
        <w:rPr>
          <w:rFonts w:cs="Times New Roman"/>
        </w:rPr>
        <w:t>.</w:t>
      </w:r>
    </w:p>
    <w:p w14:paraId="6EAE7CA8" w14:textId="5412A39E" w:rsidR="00614663" w:rsidRDefault="00614663" w:rsidP="00614663">
      <w:pPr>
        <w:widowControl w:val="0"/>
        <w:spacing w:after="0" w:line="276" w:lineRule="auto"/>
        <w:ind w:firstLine="720"/>
        <w:jc w:val="both"/>
        <w:rPr>
          <w:rFonts w:cs="Times New Roman"/>
        </w:rPr>
      </w:pPr>
      <w:r>
        <w:rPr>
          <w:rFonts w:cs="Times New Roman"/>
        </w:rPr>
        <w:t xml:space="preserve">Apsūdzētā </w:t>
      </w:r>
      <w:r w:rsidR="00511954">
        <w:rPr>
          <w:rFonts w:cs="Times New Roman"/>
        </w:rPr>
        <w:t>[pers. A]</w:t>
      </w:r>
      <w:r>
        <w:rPr>
          <w:rFonts w:cs="Times New Roman"/>
        </w:rPr>
        <w:t xml:space="preserve"> a</w:t>
      </w:r>
      <w:r w:rsidRPr="00151854">
        <w:rPr>
          <w:rFonts w:cs="Times New Roman"/>
        </w:rPr>
        <w:t xml:space="preserve">izstāve, </w:t>
      </w:r>
      <w:r>
        <w:rPr>
          <w:rFonts w:cs="Times New Roman"/>
        </w:rPr>
        <w:t>atbildot</w:t>
      </w:r>
      <w:r w:rsidRPr="00151854">
        <w:rPr>
          <w:rFonts w:cs="Times New Roman"/>
        </w:rPr>
        <w:t xml:space="preserve"> uz </w:t>
      </w:r>
      <w:r>
        <w:rPr>
          <w:rFonts w:cs="Times New Roman"/>
        </w:rPr>
        <w:t xml:space="preserve">pirmās instances </w:t>
      </w:r>
      <w:r w:rsidRPr="00151854">
        <w:rPr>
          <w:rFonts w:cs="Times New Roman"/>
        </w:rPr>
        <w:t>tiesas aicinājumu</w:t>
      </w:r>
      <w:r w:rsidR="00B06674">
        <w:rPr>
          <w:rFonts w:cs="Times New Roman"/>
        </w:rPr>
        <w:t xml:space="preserve"> </w:t>
      </w:r>
      <w:r w:rsidR="00736F99">
        <w:rPr>
          <w:rFonts w:cs="Times New Roman"/>
        </w:rPr>
        <w:t>sniegt šādu informāciju</w:t>
      </w:r>
      <w:r w:rsidRPr="00730045">
        <w:rPr>
          <w:rFonts w:cs="Times New Roman"/>
        </w:rPr>
        <w:t>,</w:t>
      </w:r>
      <w:r w:rsidR="00C07C05">
        <w:rPr>
          <w:rFonts w:cs="Times New Roman"/>
        </w:rPr>
        <w:t xml:space="preserve"> </w:t>
      </w:r>
      <w:r w:rsidRPr="00151854">
        <w:rPr>
          <w:rFonts w:cs="Times New Roman"/>
        </w:rPr>
        <w:t>norādīj</w:t>
      </w:r>
      <w:r>
        <w:rPr>
          <w:rFonts w:cs="Times New Roman"/>
        </w:rPr>
        <w:t>usi</w:t>
      </w:r>
      <w:r w:rsidRPr="00151854">
        <w:rPr>
          <w:rFonts w:cs="Times New Roman"/>
        </w:rPr>
        <w:t xml:space="preserve">, ka </w:t>
      </w:r>
      <w:r>
        <w:rPr>
          <w:rFonts w:cs="Times New Roman"/>
        </w:rPr>
        <w:t xml:space="preserve">ir </w:t>
      </w:r>
      <w:r w:rsidRPr="00151854">
        <w:rPr>
          <w:rFonts w:cs="Times New Roman"/>
        </w:rPr>
        <w:t>nopratināmas visas personas,</w:t>
      </w:r>
      <w:r>
        <w:rPr>
          <w:rFonts w:cs="Times New Roman"/>
        </w:rPr>
        <w:t xml:space="preserve"> </w:t>
      </w:r>
      <w:r w:rsidRPr="00A75996">
        <w:rPr>
          <w:rFonts w:cs="Times New Roman"/>
        </w:rPr>
        <w:t xml:space="preserve">kuru liecības </w:t>
      </w:r>
      <w:r w:rsidR="00952065">
        <w:rPr>
          <w:rFonts w:cs="Times New Roman"/>
        </w:rPr>
        <w:t xml:space="preserve">ir </w:t>
      </w:r>
      <w:r w:rsidRPr="00A75996">
        <w:rPr>
          <w:rFonts w:cs="Times New Roman"/>
        </w:rPr>
        <w:t>iekļautas tiesā izmantojamo pierādījumu uzskaitījumā (</w:t>
      </w:r>
      <w:r w:rsidRPr="00A75996">
        <w:rPr>
          <w:rFonts w:cs="Times New Roman"/>
          <w:i/>
          <w:iCs/>
        </w:rPr>
        <w:t>lietas 8.</w:t>
      </w:r>
      <w:r>
        <w:rPr>
          <w:rFonts w:cs="Times New Roman"/>
          <w:i/>
          <w:iCs/>
        </w:rPr>
        <w:t> </w:t>
      </w:r>
      <w:r w:rsidRPr="00A75996">
        <w:rPr>
          <w:rFonts w:cs="Times New Roman"/>
          <w:i/>
          <w:iCs/>
        </w:rPr>
        <w:t>sējuma 12.</w:t>
      </w:r>
      <w:r>
        <w:rPr>
          <w:rFonts w:cs="Times New Roman"/>
          <w:i/>
          <w:iCs/>
        </w:rPr>
        <w:t> </w:t>
      </w:r>
      <w:r w:rsidRPr="00A75996">
        <w:rPr>
          <w:rFonts w:cs="Times New Roman"/>
          <w:i/>
          <w:iCs/>
        </w:rPr>
        <w:t>lapa</w:t>
      </w:r>
      <w:r w:rsidRPr="00A75996">
        <w:rPr>
          <w:rFonts w:cs="Times New Roman"/>
        </w:rPr>
        <w:t>)</w:t>
      </w:r>
      <w:r w:rsidR="00C9074A">
        <w:rPr>
          <w:rFonts w:cs="Times New Roman"/>
        </w:rPr>
        <w:t>. No minētā secināms, ka aizstāve vēlējusies</w:t>
      </w:r>
      <w:r>
        <w:rPr>
          <w:rFonts w:cs="Times New Roman"/>
        </w:rPr>
        <w:t>,</w:t>
      </w:r>
      <w:r w:rsidR="00C9074A">
        <w:rPr>
          <w:rFonts w:cs="Times New Roman"/>
        </w:rPr>
        <w:t xml:space="preserve"> lai tiesā tiktu nopratināts</w:t>
      </w:r>
      <w:r>
        <w:rPr>
          <w:rFonts w:cs="Times New Roman"/>
        </w:rPr>
        <w:t xml:space="preserve"> arī lieciniek</w:t>
      </w:r>
      <w:r w:rsidR="00952065">
        <w:rPr>
          <w:rFonts w:cs="Times New Roman"/>
        </w:rPr>
        <w:t>s</w:t>
      </w:r>
      <w:r>
        <w:rPr>
          <w:rFonts w:cs="Times New Roman"/>
        </w:rPr>
        <w:t xml:space="preserve"> </w:t>
      </w:r>
      <w:r w:rsidR="009A3348">
        <w:rPr>
          <w:rFonts w:cs="Times New Roman"/>
        </w:rPr>
        <w:t>[pers. D]</w:t>
      </w:r>
      <w:r w:rsidR="00C9074A">
        <w:rPr>
          <w:rFonts w:cs="Times New Roman"/>
        </w:rPr>
        <w:t xml:space="preserve">, </w:t>
      </w:r>
      <w:r w:rsidR="00C9074A" w:rsidRPr="00A75996">
        <w:rPr>
          <w:rFonts w:cs="Times New Roman"/>
        </w:rPr>
        <w:t>kur</w:t>
      </w:r>
      <w:r w:rsidR="00C9074A">
        <w:rPr>
          <w:rFonts w:cs="Times New Roman"/>
        </w:rPr>
        <w:t>a</w:t>
      </w:r>
      <w:r w:rsidR="00C9074A" w:rsidRPr="00A75996">
        <w:rPr>
          <w:rFonts w:cs="Times New Roman"/>
        </w:rPr>
        <w:t xml:space="preserve"> liecības</w:t>
      </w:r>
      <w:r w:rsidR="00C9074A">
        <w:rPr>
          <w:rFonts w:cs="Times New Roman"/>
        </w:rPr>
        <w:t xml:space="preserve"> ir </w:t>
      </w:r>
      <w:r w:rsidR="00C9074A" w:rsidRPr="00A75996">
        <w:rPr>
          <w:rFonts w:cs="Times New Roman"/>
        </w:rPr>
        <w:t>iekļautas tiesā izmantojamo pierādījumu uzskaitījumā</w:t>
      </w:r>
      <w:r w:rsidR="00C9074A">
        <w:rPr>
          <w:rFonts w:cs="Times New Roman"/>
        </w:rPr>
        <w:t xml:space="preserve"> </w:t>
      </w:r>
      <w:r w:rsidR="000A0A0F">
        <w:rPr>
          <w:rFonts w:cs="Times New Roman"/>
        </w:rPr>
        <w:t>(</w:t>
      </w:r>
      <w:r w:rsidR="000A0A0F" w:rsidRPr="000A0A0F">
        <w:rPr>
          <w:rFonts w:cs="Times New Roman"/>
          <w:i/>
          <w:iCs/>
        </w:rPr>
        <w:t>lietas 7. sējuma 206. lapa</w:t>
      </w:r>
      <w:r w:rsidR="000A0A0F">
        <w:rPr>
          <w:rFonts w:cs="Times New Roman"/>
        </w:rPr>
        <w:t>)</w:t>
      </w:r>
      <w:r w:rsidRPr="00A75996">
        <w:rPr>
          <w:rFonts w:cs="Times New Roman"/>
        </w:rPr>
        <w:t>.</w:t>
      </w:r>
    </w:p>
    <w:p w14:paraId="7A419199" w14:textId="6A1BD324" w:rsidR="00614663" w:rsidRPr="00C07C05" w:rsidRDefault="00614663" w:rsidP="00C07C05">
      <w:pPr>
        <w:widowControl w:val="0"/>
        <w:spacing w:after="0" w:line="276" w:lineRule="auto"/>
        <w:ind w:firstLine="720"/>
        <w:jc w:val="both"/>
        <w:rPr>
          <w:rFonts w:cs="Times New Roman"/>
          <w:kern w:val="0"/>
        </w:rPr>
      </w:pPr>
      <w:r>
        <w:rPr>
          <w:rFonts w:cs="Times New Roman"/>
          <w:kern w:val="0"/>
        </w:rPr>
        <w:t xml:space="preserve">No lietas materiāliem izriet, ka </w:t>
      </w:r>
      <w:r w:rsidR="00090A09">
        <w:rPr>
          <w:rFonts w:cs="Times New Roman"/>
          <w:kern w:val="0"/>
        </w:rPr>
        <w:t xml:space="preserve">nedz </w:t>
      </w:r>
      <w:r w:rsidRPr="006C745B">
        <w:rPr>
          <w:rFonts w:cs="Times New Roman"/>
          <w:kern w:val="0"/>
        </w:rPr>
        <w:t>pirmās</w:t>
      </w:r>
      <w:r w:rsidR="00090A09">
        <w:rPr>
          <w:rFonts w:cs="Times New Roman"/>
          <w:kern w:val="0"/>
        </w:rPr>
        <w:t>, nedz</w:t>
      </w:r>
      <w:r w:rsidR="00090A09" w:rsidRPr="00EC6617">
        <w:rPr>
          <w:kern w:val="0"/>
        </w:rPr>
        <w:t xml:space="preserve"> apelācijas</w:t>
      </w:r>
      <w:r w:rsidRPr="00EC6617">
        <w:rPr>
          <w:kern w:val="0"/>
        </w:rPr>
        <w:t xml:space="preserve"> instances tiesa </w:t>
      </w:r>
      <w:r w:rsidRPr="006C745B">
        <w:rPr>
          <w:rFonts w:cs="Times New Roman"/>
          <w:kern w:val="0"/>
        </w:rPr>
        <w:t xml:space="preserve">liecinieku </w:t>
      </w:r>
      <w:r w:rsidR="009A3348">
        <w:rPr>
          <w:rFonts w:cs="Times New Roman"/>
          <w:kern w:val="0"/>
        </w:rPr>
        <w:t>[pers. D]</w:t>
      </w:r>
      <w:r>
        <w:rPr>
          <w:rFonts w:cs="Times New Roman"/>
          <w:kern w:val="0"/>
        </w:rPr>
        <w:t xml:space="preserve"> </w:t>
      </w:r>
      <w:r w:rsidRPr="006C745B">
        <w:rPr>
          <w:rFonts w:cs="Times New Roman"/>
          <w:kern w:val="0"/>
        </w:rPr>
        <w:t>uz ties</w:t>
      </w:r>
      <w:r w:rsidR="00952065">
        <w:rPr>
          <w:rFonts w:cs="Times New Roman"/>
          <w:kern w:val="0"/>
        </w:rPr>
        <w:t>as sēdēm</w:t>
      </w:r>
      <w:r w:rsidRPr="006C745B">
        <w:rPr>
          <w:rFonts w:cs="Times New Roman"/>
          <w:kern w:val="0"/>
        </w:rPr>
        <w:t xml:space="preserve"> </w:t>
      </w:r>
      <w:r>
        <w:rPr>
          <w:rFonts w:cs="Times New Roman"/>
          <w:kern w:val="0"/>
        </w:rPr>
        <w:t>nav aicinājusi</w:t>
      </w:r>
      <w:r w:rsidRPr="006C745B">
        <w:rPr>
          <w:rFonts w:cs="Times New Roman"/>
          <w:kern w:val="0"/>
        </w:rPr>
        <w:t>.</w:t>
      </w:r>
      <w:r w:rsidR="00C07C05">
        <w:rPr>
          <w:rFonts w:cs="Times New Roman"/>
          <w:kern w:val="0"/>
        </w:rPr>
        <w:t xml:space="preserve"> </w:t>
      </w:r>
      <w:r>
        <w:rPr>
          <w:rFonts w:cs="Times New Roman"/>
        </w:rPr>
        <w:t xml:space="preserve">Neraugoties uz minēto, </w:t>
      </w:r>
      <w:r w:rsidR="00090A09">
        <w:rPr>
          <w:rFonts w:cs="Times New Roman"/>
        </w:rPr>
        <w:t xml:space="preserve">abu instanču tiesas </w:t>
      </w:r>
      <w:r w:rsidRPr="00E67B2D">
        <w:rPr>
          <w:rFonts w:cs="Times New Roman"/>
        </w:rPr>
        <w:t xml:space="preserve">savu atzinumu, ka apsūdzētā darbības izraisīja smagas sekas, </w:t>
      </w:r>
      <w:proofErr w:type="spellStart"/>
      <w:r w:rsidRPr="00E67B2D">
        <w:rPr>
          <w:rFonts w:cs="Times New Roman"/>
          <w:i/>
          <w:iCs/>
        </w:rPr>
        <w:t>inter</w:t>
      </w:r>
      <w:proofErr w:type="spellEnd"/>
      <w:r w:rsidRPr="00E67B2D">
        <w:rPr>
          <w:rFonts w:cs="Times New Roman"/>
          <w:i/>
          <w:iCs/>
        </w:rPr>
        <w:t xml:space="preserve"> </w:t>
      </w:r>
      <w:proofErr w:type="spellStart"/>
      <w:r w:rsidRPr="00E67B2D">
        <w:rPr>
          <w:rFonts w:cs="Times New Roman"/>
          <w:i/>
          <w:iCs/>
        </w:rPr>
        <w:t>alia</w:t>
      </w:r>
      <w:proofErr w:type="spellEnd"/>
      <w:r w:rsidRPr="00E67B2D">
        <w:rPr>
          <w:rFonts w:cs="Times New Roman"/>
        </w:rPr>
        <w:t xml:space="preserve"> pamatojusi ar </w:t>
      </w:r>
      <w:r w:rsidR="001E6ACF">
        <w:rPr>
          <w:rFonts w:cs="Times New Roman"/>
        </w:rPr>
        <w:t>minēt</w:t>
      </w:r>
      <w:r w:rsidR="00532840">
        <w:rPr>
          <w:rFonts w:cs="Times New Roman"/>
        </w:rPr>
        <w:t>ā</w:t>
      </w:r>
      <w:r w:rsidR="001E6ACF">
        <w:rPr>
          <w:rFonts w:cs="Times New Roman"/>
        </w:rPr>
        <w:t xml:space="preserve"> lieciniek</w:t>
      </w:r>
      <w:r w:rsidR="00532840">
        <w:rPr>
          <w:rFonts w:cs="Times New Roman"/>
        </w:rPr>
        <w:t>a</w:t>
      </w:r>
      <w:r w:rsidR="001E6ACF">
        <w:rPr>
          <w:rFonts w:cs="Times New Roman"/>
        </w:rPr>
        <w:t xml:space="preserve"> </w:t>
      </w:r>
      <w:proofErr w:type="spellStart"/>
      <w:r w:rsidRPr="00E67B2D">
        <w:rPr>
          <w:rFonts w:cs="Times New Roman"/>
        </w:rPr>
        <w:t>pirmstiesas</w:t>
      </w:r>
      <w:proofErr w:type="spellEnd"/>
      <w:r w:rsidRPr="00E67B2D">
        <w:rPr>
          <w:rFonts w:cs="Times New Roman"/>
        </w:rPr>
        <w:t xml:space="preserve"> procesā sniegtajām liecībām.</w:t>
      </w:r>
    </w:p>
    <w:p w14:paraId="301F6F5E" w14:textId="6B94CF46" w:rsidR="00EE1105" w:rsidRDefault="00231D3E" w:rsidP="00C42562">
      <w:pPr>
        <w:widowControl w:val="0"/>
        <w:spacing w:after="0" w:line="276" w:lineRule="auto"/>
        <w:ind w:firstLine="720"/>
        <w:jc w:val="both"/>
        <w:rPr>
          <w:kern w:val="0"/>
        </w:rPr>
      </w:pPr>
      <w:r>
        <w:rPr>
          <w:rFonts w:cs="Times New Roman"/>
          <w:kern w:val="0"/>
        </w:rPr>
        <w:t>[</w:t>
      </w:r>
      <w:r w:rsidR="00875B85">
        <w:rPr>
          <w:rFonts w:cs="Times New Roman"/>
          <w:kern w:val="0"/>
        </w:rPr>
        <w:t>5</w:t>
      </w:r>
      <w:r>
        <w:rPr>
          <w:rFonts w:cs="Times New Roman"/>
          <w:kern w:val="0"/>
        </w:rPr>
        <w:t>.</w:t>
      </w:r>
      <w:r w:rsidR="00F1468D">
        <w:rPr>
          <w:rFonts w:cs="Times New Roman"/>
          <w:kern w:val="0"/>
        </w:rPr>
        <w:t>4</w:t>
      </w:r>
      <w:r>
        <w:rPr>
          <w:rFonts w:cs="Times New Roman"/>
          <w:kern w:val="0"/>
        </w:rPr>
        <w:t>]</w:t>
      </w:r>
      <w:r w:rsidR="009012C3">
        <w:rPr>
          <w:rFonts w:cs="Times New Roman"/>
          <w:kern w:val="0"/>
        </w:rPr>
        <w:t> </w:t>
      </w:r>
      <w:r w:rsidR="00110CE2">
        <w:rPr>
          <w:rFonts w:cs="Times New Roman"/>
          <w:kern w:val="0"/>
        </w:rPr>
        <w:t>Ņ</w:t>
      </w:r>
      <w:r w:rsidR="00C07C05">
        <w:rPr>
          <w:rFonts w:cs="Times New Roman"/>
          <w:kern w:val="0"/>
        </w:rPr>
        <w:t xml:space="preserve">emot vērā, ka </w:t>
      </w:r>
      <w:r w:rsidR="003F02B0">
        <w:rPr>
          <w:rFonts w:cs="Times New Roman"/>
          <w:kern w:val="0"/>
        </w:rPr>
        <w:t>kasācijas</w:t>
      </w:r>
      <w:r w:rsidR="003F02B0" w:rsidRPr="00EC6617">
        <w:rPr>
          <w:kern w:val="0"/>
        </w:rPr>
        <w:t xml:space="preserve"> instances</w:t>
      </w:r>
      <w:r w:rsidR="003F02B0">
        <w:rPr>
          <w:rFonts w:cs="Times New Roman"/>
          <w:kern w:val="0"/>
        </w:rPr>
        <w:t xml:space="preserve"> tiesa </w:t>
      </w:r>
      <w:r w:rsidR="00C07C05" w:rsidRPr="00090A09">
        <w:rPr>
          <w:rFonts w:cs="Times New Roman"/>
          <w:kern w:val="0"/>
        </w:rPr>
        <w:t xml:space="preserve">pārbauda </w:t>
      </w:r>
      <w:r w:rsidR="00C07C05" w:rsidRPr="00EC6617">
        <w:rPr>
          <w:kern w:val="0"/>
        </w:rPr>
        <w:t xml:space="preserve">apelācijas instances </w:t>
      </w:r>
      <w:r w:rsidR="00C07C05" w:rsidRPr="00090A09">
        <w:rPr>
          <w:rFonts w:cs="Times New Roman"/>
          <w:kern w:val="0"/>
        </w:rPr>
        <w:t>nolēmuma tiesiskumu</w:t>
      </w:r>
      <w:r w:rsidR="00C07C05">
        <w:rPr>
          <w:rFonts w:cs="Times New Roman"/>
          <w:kern w:val="0"/>
        </w:rPr>
        <w:t xml:space="preserve">, </w:t>
      </w:r>
      <w:bookmarkStart w:id="18" w:name="_Hlk219832391"/>
      <w:bookmarkEnd w:id="8"/>
      <w:r w:rsidR="003F02B0">
        <w:rPr>
          <w:rFonts w:cs="Times New Roman"/>
          <w:kern w:val="0"/>
        </w:rPr>
        <w:t>Senāt</w:t>
      </w:r>
      <w:r w:rsidR="00761979">
        <w:rPr>
          <w:rFonts w:cs="Times New Roman"/>
          <w:kern w:val="0"/>
        </w:rPr>
        <w:t>s</w:t>
      </w:r>
      <w:r w:rsidR="00FA5320">
        <w:rPr>
          <w:rFonts w:cs="Times New Roman"/>
          <w:kern w:val="0"/>
        </w:rPr>
        <w:t xml:space="preserve"> pārbaudīs,</w:t>
      </w:r>
      <w:r w:rsidR="00090A09" w:rsidRPr="00090A09">
        <w:rPr>
          <w:rFonts w:cs="Times New Roman"/>
          <w:kern w:val="0"/>
        </w:rPr>
        <w:t xml:space="preserve"> vai </w:t>
      </w:r>
      <w:r w:rsidR="00110CE2">
        <w:rPr>
          <w:rFonts w:cs="Times New Roman"/>
          <w:kern w:val="0"/>
        </w:rPr>
        <w:t>šād</w:t>
      </w:r>
      <w:r w:rsidR="00522A02">
        <w:rPr>
          <w:rFonts w:cs="Times New Roman"/>
          <w:kern w:val="0"/>
        </w:rPr>
        <w:t xml:space="preserve">a aizstāvības pozīcija – piekrišana – nav </w:t>
      </w:r>
      <w:r w:rsidR="00B76B06">
        <w:rPr>
          <w:rFonts w:cs="Times New Roman"/>
          <w:kern w:val="0"/>
        </w:rPr>
        <w:t xml:space="preserve">konstatējama </w:t>
      </w:r>
      <w:r w:rsidR="00522A02">
        <w:rPr>
          <w:rFonts w:cs="Times New Roman"/>
          <w:kern w:val="0"/>
        </w:rPr>
        <w:t xml:space="preserve">lietas iztiesāšanā </w:t>
      </w:r>
      <w:r w:rsidR="00090A09" w:rsidRPr="00090A09">
        <w:rPr>
          <w:rFonts w:cs="Times New Roman"/>
          <w:kern w:val="0"/>
        </w:rPr>
        <w:t>apelācijas instances tiesā</w:t>
      </w:r>
      <w:r w:rsidR="00160809">
        <w:rPr>
          <w:rFonts w:cs="Times New Roman"/>
          <w:kern w:val="0"/>
        </w:rPr>
        <w:t>. Šajā vērtējumā Senāts</w:t>
      </w:r>
      <w:r w:rsidR="00947916">
        <w:rPr>
          <w:rFonts w:cs="Times New Roman"/>
          <w:kern w:val="0"/>
        </w:rPr>
        <w:t xml:space="preserve"> </w:t>
      </w:r>
      <w:r w:rsidR="00947916" w:rsidRPr="00DD0F9C">
        <w:rPr>
          <w:kern w:val="0"/>
        </w:rPr>
        <w:t xml:space="preserve">ņem vērā </w:t>
      </w:r>
      <w:r w:rsidR="002B3278">
        <w:rPr>
          <w:kern w:val="0"/>
        </w:rPr>
        <w:t xml:space="preserve">arī </w:t>
      </w:r>
      <w:r w:rsidR="00947916" w:rsidRPr="002B3278">
        <w:rPr>
          <w:kern w:val="0"/>
        </w:rPr>
        <w:t>aizstāvības procesuālo rīcību pirmās instances tiesā, ciktāl tā var liecināt par aizstāvības attieksmi pret šā pierādījuma izmantošanu</w:t>
      </w:r>
      <w:r w:rsidR="006B4353">
        <w:rPr>
          <w:kern w:val="0"/>
        </w:rPr>
        <w:t xml:space="preserve"> </w:t>
      </w:r>
      <w:r w:rsidR="00DD0F9C">
        <w:rPr>
          <w:kern w:val="0"/>
        </w:rPr>
        <w:t>apelācijas instances tiesā</w:t>
      </w:r>
      <w:r w:rsidR="002B3278">
        <w:rPr>
          <w:kern w:val="0"/>
        </w:rPr>
        <w:t>.</w:t>
      </w:r>
    </w:p>
    <w:p w14:paraId="09623ECD" w14:textId="55F0F4D6" w:rsidR="001F08EE" w:rsidRDefault="00B76B06" w:rsidP="00C42562">
      <w:pPr>
        <w:widowControl w:val="0"/>
        <w:spacing w:after="0" w:line="276" w:lineRule="auto"/>
        <w:ind w:firstLine="720"/>
        <w:jc w:val="both"/>
        <w:rPr>
          <w:rFonts w:cs="Times New Roman"/>
          <w:kern w:val="0"/>
        </w:rPr>
      </w:pPr>
      <w:r>
        <w:rPr>
          <w:rFonts w:cs="Times New Roman"/>
        </w:rPr>
        <w:t xml:space="preserve">No lietas materiāliem </w:t>
      </w:r>
      <w:r w:rsidR="00C9074A">
        <w:rPr>
          <w:rFonts w:cs="Times New Roman"/>
        </w:rPr>
        <w:t>konstatējams</w:t>
      </w:r>
      <w:r>
        <w:rPr>
          <w:rFonts w:cs="Times New Roman"/>
        </w:rPr>
        <w:t>, ka</w:t>
      </w:r>
      <w:r w:rsidR="006148F1">
        <w:rPr>
          <w:rFonts w:cs="Times New Roman"/>
        </w:rPr>
        <w:t>:</w:t>
      </w:r>
    </w:p>
    <w:p w14:paraId="0281BA8D" w14:textId="599E95AC" w:rsidR="006B4353" w:rsidRDefault="001F08EE" w:rsidP="001F08EE">
      <w:pPr>
        <w:widowControl w:val="0"/>
        <w:spacing w:after="0" w:line="276" w:lineRule="auto"/>
        <w:ind w:firstLine="720"/>
        <w:jc w:val="both"/>
        <w:rPr>
          <w:rFonts w:cs="Times New Roman"/>
          <w:kern w:val="0"/>
        </w:rPr>
      </w:pPr>
      <w:r>
        <w:rPr>
          <w:rFonts w:cs="Times New Roman"/>
          <w:kern w:val="0"/>
        </w:rPr>
        <w:t>1) </w:t>
      </w:r>
      <w:r w:rsidR="00B76B06" w:rsidRPr="001F08EE">
        <w:rPr>
          <w:rFonts w:cs="Times New Roman"/>
          <w:kern w:val="0"/>
        </w:rPr>
        <w:t>p</w:t>
      </w:r>
      <w:r w:rsidR="0069715A" w:rsidRPr="001F08EE">
        <w:rPr>
          <w:rFonts w:cs="Times New Roman"/>
          <w:kern w:val="0"/>
        </w:rPr>
        <w:t xml:space="preserve">irmās instances tiesā </w:t>
      </w:r>
      <w:r w:rsidR="00683BAA">
        <w:rPr>
          <w:rFonts w:cs="Times New Roman"/>
          <w:kern w:val="0"/>
        </w:rPr>
        <w:t xml:space="preserve">iztiesāšanā </w:t>
      </w:r>
      <w:r w:rsidR="00F87E2A" w:rsidRPr="001F08EE">
        <w:rPr>
          <w:rFonts w:cs="Times New Roman"/>
          <w:kern w:val="0"/>
        </w:rPr>
        <w:t xml:space="preserve">apsūdzētā </w:t>
      </w:r>
      <w:r w:rsidR="00511954">
        <w:rPr>
          <w:rFonts w:cs="Times New Roman"/>
          <w:kern w:val="0"/>
        </w:rPr>
        <w:t>[pers. A]</w:t>
      </w:r>
      <w:r w:rsidR="00F87E2A" w:rsidRPr="001F08EE">
        <w:rPr>
          <w:rFonts w:cs="Times New Roman"/>
          <w:kern w:val="0"/>
        </w:rPr>
        <w:t xml:space="preserve"> aizstāve</w:t>
      </w:r>
      <w:r w:rsidR="00FA5320" w:rsidRPr="001F08EE">
        <w:rPr>
          <w:rFonts w:cs="Times New Roman"/>
          <w:kern w:val="0"/>
        </w:rPr>
        <w:t xml:space="preserve">, atbildot uz tiesas jautājumu par nepieciešamību nopratināt vēl citus </w:t>
      </w:r>
      <w:r w:rsidR="00B32806">
        <w:rPr>
          <w:rFonts w:cs="Times New Roman"/>
          <w:kern w:val="0"/>
        </w:rPr>
        <w:t>(</w:t>
      </w:r>
      <w:r w:rsidR="00FA5320" w:rsidRPr="001F08EE">
        <w:rPr>
          <w:rFonts w:cs="Times New Roman"/>
          <w:kern w:val="0"/>
        </w:rPr>
        <w:t xml:space="preserve">iepriekš </w:t>
      </w:r>
      <w:r w:rsidR="00EC00D7" w:rsidRPr="001F08EE">
        <w:rPr>
          <w:rFonts w:cs="Times New Roman"/>
          <w:kern w:val="0"/>
        </w:rPr>
        <w:t>nenopratinātus</w:t>
      </w:r>
      <w:r w:rsidR="00B32806">
        <w:rPr>
          <w:rFonts w:cs="Times New Roman"/>
          <w:kern w:val="0"/>
        </w:rPr>
        <w:t>)</w:t>
      </w:r>
      <w:r w:rsidR="00EC00D7" w:rsidRPr="001F08EE">
        <w:rPr>
          <w:rFonts w:cs="Times New Roman"/>
          <w:kern w:val="0"/>
        </w:rPr>
        <w:t xml:space="preserve"> lieciniekus</w:t>
      </w:r>
      <w:r w:rsidR="00F87E2A" w:rsidRPr="001F08EE">
        <w:rPr>
          <w:rFonts w:cs="Times New Roman"/>
          <w:kern w:val="0"/>
        </w:rPr>
        <w:t>, norādīj</w:t>
      </w:r>
      <w:r w:rsidR="006B4353">
        <w:rPr>
          <w:rFonts w:cs="Times New Roman"/>
          <w:kern w:val="0"/>
        </w:rPr>
        <w:t>usi</w:t>
      </w:r>
      <w:r w:rsidR="00F87E2A" w:rsidRPr="001F08EE">
        <w:rPr>
          <w:kern w:val="0"/>
        </w:rPr>
        <w:t xml:space="preserve">, ka </w:t>
      </w:r>
      <w:r w:rsidR="00075904" w:rsidRPr="001F08EE">
        <w:rPr>
          <w:rFonts w:cs="Times New Roman"/>
          <w:kern w:val="0"/>
        </w:rPr>
        <w:t>šādu lūgumu</w:t>
      </w:r>
      <w:r w:rsidR="00F87E2A" w:rsidRPr="001F08EE">
        <w:rPr>
          <w:rFonts w:cs="Times New Roman"/>
          <w:kern w:val="0"/>
        </w:rPr>
        <w:t xml:space="preserve"> nav (</w:t>
      </w:r>
      <w:r w:rsidR="00F87E2A" w:rsidRPr="001F08EE">
        <w:rPr>
          <w:rFonts w:cs="Times New Roman"/>
          <w:i/>
          <w:iCs/>
          <w:kern w:val="0"/>
        </w:rPr>
        <w:t>lietas 8. sējuma 104.–105.</w:t>
      </w:r>
      <w:r w:rsidR="00EC00D7" w:rsidRPr="001F08EE">
        <w:rPr>
          <w:rFonts w:cs="Times New Roman"/>
          <w:i/>
          <w:iCs/>
          <w:kern w:val="0"/>
        </w:rPr>
        <w:t> </w:t>
      </w:r>
      <w:r w:rsidR="00F87E2A" w:rsidRPr="001F08EE">
        <w:rPr>
          <w:rFonts w:cs="Times New Roman"/>
          <w:i/>
          <w:iCs/>
          <w:kern w:val="0"/>
        </w:rPr>
        <w:t>lapa</w:t>
      </w:r>
      <w:r w:rsidR="00F87E2A" w:rsidRPr="001F08EE">
        <w:rPr>
          <w:rFonts w:cs="Times New Roman"/>
          <w:kern w:val="0"/>
        </w:rPr>
        <w:t>)</w:t>
      </w:r>
      <w:r w:rsidR="006148F1" w:rsidRPr="001F08EE">
        <w:rPr>
          <w:rFonts w:cs="Times New Roman"/>
          <w:kern w:val="0"/>
        </w:rPr>
        <w:t>;</w:t>
      </w:r>
    </w:p>
    <w:p w14:paraId="6AA7D78A" w14:textId="487FF7C0" w:rsidR="001F08EE" w:rsidRDefault="001F08EE" w:rsidP="001F08EE">
      <w:pPr>
        <w:widowControl w:val="0"/>
        <w:spacing w:after="0" w:line="276" w:lineRule="auto"/>
        <w:ind w:firstLine="720"/>
        <w:jc w:val="both"/>
        <w:rPr>
          <w:rFonts w:cs="Times New Roman"/>
          <w:kern w:val="0"/>
        </w:rPr>
      </w:pPr>
      <w:r>
        <w:rPr>
          <w:rFonts w:cs="Times New Roman"/>
          <w:kern w:val="0"/>
        </w:rPr>
        <w:t>2) </w:t>
      </w:r>
      <w:r w:rsidR="00374AFC" w:rsidRPr="001F08EE">
        <w:rPr>
          <w:rFonts w:cs="Times New Roman"/>
          <w:kern w:val="0"/>
        </w:rPr>
        <w:t>zinot</w:t>
      </w:r>
      <w:r w:rsidR="00374AFC" w:rsidRPr="001F08EE">
        <w:rPr>
          <w:kern w:val="0"/>
        </w:rPr>
        <w:t xml:space="preserve">, ka </w:t>
      </w:r>
      <w:r w:rsidR="00374AFC" w:rsidRPr="001F08EE">
        <w:rPr>
          <w:rFonts w:cs="Times New Roman"/>
          <w:kern w:val="0"/>
        </w:rPr>
        <w:t xml:space="preserve">liecinieks </w:t>
      </w:r>
      <w:r w:rsidR="009A3348">
        <w:rPr>
          <w:rFonts w:cs="Times New Roman"/>
          <w:kern w:val="0"/>
        </w:rPr>
        <w:t>[pers. D]</w:t>
      </w:r>
      <w:r w:rsidR="00374AFC" w:rsidRPr="001F08EE">
        <w:rPr>
          <w:rFonts w:cs="Times New Roman"/>
          <w:kern w:val="0"/>
        </w:rPr>
        <w:t xml:space="preserve"> </w:t>
      </w:r>
      <w:r w:rsidR="006148F1" w:rsidRPr="001F08EE">
        <w:rPr>
          <w:rFonts w:cs="Times New Roman"/>
          <w:kern w:val="0"/>
        </w:rPr>
        <w:t xml:space="preserve">pirmās instances </w:t>
      </w:r>
      <w:r w:rsidR="00374AFC" w:rsidRPr="001F08EE">
        <w:rPr>
          <w:rFonts w:cs="Times New Roman"/>
          <w:kern w:val="0"/>
        </w:rPr>
        <w:t xml:space="preserve">tiesā </w:t>
      </w:r>
      <w:r w:rsidR="00374AFC" w:rsidRPr="006B4353">
        <w:rPr>
          <w:rFonts w:cs="Times New Roman"/>
          <w:kern w:val="0"/>
        </w:rPr>
        <w:t>nav</w:t>
      </w:r>
      <w:r w:rsidRPr="006B4353">
        <w:rPr>
          <w:rFonts w:cs="Times New Roman"/>
          <w:kern w:val="0"/>
        </w:rPr>
        <w:t xml:space="preserve"> </w:t>
      </w:r>
      <w:r w:rsidR="00EE1105" w:rsidRPr="006B4353">
        <w:rPr>
          <w:rFonts w:cs="Times New Roman"/>
          <w:kern w:val="0"/>
        </w:rPr>
        <w:t>bijis</w:t>
      </w:r>
      <w:r w:rsidR="00374AFC" w:rsidRPr="006B4353">
        <w:rPr>
          <w:rFonts w:cs="Times New Roman"/>
          <w:kern w:val="0"/>
        </w:rPr>
        <w:t xml:space="preserve"> </w:t>
      </w:r>
      <w:r w:rsidR="00364163" w:rsidRPr="006B4353">
        <w:rPr>
          <w:rFonts w:cs="Times New Roman"/>
          <w:kern w:val="0"/>
        </w:rPr>
        <w:t>no</w:t>
      </w:r>
      <w:r w:rsidR="00374AFC" w:rsidRPr="006B4353">
        <w:rPr>
          <w:rFonts w:cs="Times New Roman"/>
          <w:kern w:val="0"/>
        </w:rPr>
        <w:t>pratināts,</w:t>
      </w:r>
      <w:r w:rsidR="00374AFC" w:rsidRPr="001F08EE">
        <w:rPr>
          <w:rFonts w:cs="Times New Roman"/>
          <w:kern w:val="0"/>
        </w:rPr>
        <w:t xml:space="preserve"> </w:t>
      </w:r>
      <w:r w:rsidR="006148F1" w:rsidRPr="001F08EE">
        <w:rPr>
          <w:rFonts w:cs="Times New Roman"/>
          <w:kern w:val="0"/>
        </w:rPr>
        <w:t xml:space="preserve">apsūdzētais un viņa aizstāve </w:t>
      </w:r>
      <w:r w:rsidR="0069715A" w:rsidRPr="001F08EE">
        <w:rPr>
          <w:rFonts w:cs="Times New Roman"/>
          <w:kern w:val="0"/>
        </w:rPr>
        <w:t>piekrit</w:t>
      </w:r>
      <w:r>
        <w:rPr>
          <w:rFonts w:cs="Times New Roman"/>
          <w:kern w:val="0"/>
        </w:rPr>
        <w:t>uši</w:t>
      </w:r>
      <w:r w:rsidR="00075904" w:rsidRPr="001F08EE">
        <w:rPr>
          <w:rFonts w:eastAsia="Times New Roman" w:cs="Times New Roman"/>
          <w:kern w:val="0"/>
          <w14:ligatures w14:val="none"/>
        </w:rPr>
        <w:t xml:space="preserve"> </w:t>
      </w:r>
      <w:r w:rsidR="00075904" w:rsidRPr="00644D1B">
        <w:rPr>
          <w:rFonts w:eastAsia="Times New Roman" w:cs="Times New Roman"/>
          <w:kern w:val="0"/>
          <w14:ligatures w14:val="none"/>
        </w:rPr>
        <w:t>tiesas izmeklēšanas pabeigšan</w:t>
      </w:r>
      <w:r w:rsidR="0069715A" w:rsidRPr="00644D1B">
        <w:rPr>
          <w:rFonts w:eastAsia="Times New Roman" w:cs="Times New Roman"/>
          <w:kern w:val="0"/>
          <w14:ligatures w14:val="none"/>
        </w:rPr>
        <w:t>ai, turklāt norādot</w:t>
      </w:r>
      <w:r w:rsidR="00966D7C" w:rsidRPr="00644D1B">
        <w:rPr>
          <w:rFonts w:cs="Times New Roman"/>
          <w:kern w:val="0"/>
        </w:rPr>
        <w:t>, ka lūgumu nav</w:t>
      </w:r>
      <w:r w:rsidR="00DD0F9C">
        <w:rPr>
          <w:rFonts w:cs="Times New Roman"/>
          <w:kern w:val="0"/>
        </w:rPr>
        <w:t xml:space="preserve"> </w:t>
      </w:r>
      <w:r w:rsidR="00075904" w:rsidRPr="001F08EE">
        <w:rPr>
          <w:rFonts w:cs="Times New Roman"/>
          <w:kern w:val="0"/>
        </w:rPr>
        <w:t>(</w:t>
      </w:r>
      <w:r w:rsidR="00075904" w:rsidRPr="00644D1B">
        <w:rPr>
          <w:rFonts w:cs="Times New Roman"/>
          <w:i/>
          <w:iCs/>
          <w:kern w:val="0"/>
        </w:rPr>
        <w:t>lietas 8. sējuma 109. lapa</w:t>
      </w:r>
      <w:r w:rsidR="00075904" w:rsidRPr="001F08EE">
        <w:rPr>
          <w:rFonts w:cs="Times New Roman"/>
          <w:kern w:val="0"/>
        </w:rPr>
        <w:t>)</w:t>
      </w:r>
      <w:r w:rsidR="006148F1" w:rsidRPr="001F08EE">
        <w:rPr>
          <w:rFonts w:cs="Times New Roman"/>
          <w:kern w:val="0"/>
        </w:rPr>
        <w:t>;</w:t>
      </w:r>
    </w:p>
    <w:p w14:paraId="4A06AC75" w14:textId="70505B43" w:rsidR="00644D1B" w:rsidRDefault="001F08EE" w:rsidP="00644D1B">
      <w:pPr>
        <w:widowControl w:val="0"/>
        <w:spacing w:after="0" w:line="276" w:lineRule="auto"/>
        <w:ind w:firstLine="720"/>
        <w:jc w:val="both"/>
        <w:rPr>
          <w:rFonts w:cs="Times New Roman"/>
          <w:kern w:val="0"/>
        </w:rPr>
      </w:pPr>
      <w:r>
        <w:rPr>
          <w:kern w:val="0"/>
        </w:rPr>
        <w:t>3) a</w:t>
      </w:r>
      <w:r w:rsidR="00966D7C" w:rsidRPr="001F08EE">
        <w:rPr>
          <w:kern w:val="0"/>
        </w:rPr>
        <w:t>p</w:t>
      </w:r>
      <w:r w:rsidR="00966D7C" w:rsidRPr="00644D1B">
        <w:rPr>
          <w:kern w:val="0"/>
        </w:rPr>
        <w:t xml:space="preserve">elācijas sūdzībā </w:t>
      </w:r>
      <w:r w:rsidR="00110CE2" w:rsidRPr="00644D1B">
        <w:rPr>
          <w:rFonts w:cs="Times New Roman"/>
          <w:kern w:val="0"/>
        </w:rPr>
        <w:t>aizstāve</w:t>
      </w:r>
      <w:r w:rsidR="0069715A" w:rsidRPr="00644D1B">
        <w:rPr>
          <w:rFonts w:cs="Times New Roman"/>
          <w:kern w:val="0"/>
        </w:rPr>
        <w:t>, lai arī apstrīdēj</w:t>
      </w:r>
      <w:r w:rsidR="00DD0F9C">
        <w:rPr>
          <w:rFonts w:cs="Times New Roman"/>
          <w:kern w:val="0"/>
        </w:rPr>
        <w:t>usi</w:t>
      </w:r>
      <w:r w:rsidR="0069715A" w:rsidRPr="00644D1B">
        <w:rPr>
          <w:rFonts w:cs="Times New Roman"/>
          <w:kern w:val="0"/>
        </w:rPr>
        <w:t xml:space="preserve"> tiesas atzinumu,</w:t>
      </w:r>
      <w:r w:rsidR="0022545F" w:rsidRPr="00644D1B">
        <w:rPr>
          <w:rFonts w:cs="Times New Roman"/>
          <w:kern w:val="0"/>
        </w:rPr>
        <w:t xml:space="preserve"> ka </w:t>
      </w:r>
      <w:r w:rsidR="0022545F" w:rsidRPr="004E6BB1">
        <w:t>Rēzeknes novad</w:t>
      </w:r>
      <w:r w:rsidR="0022545F">
        <w:t>ā,</w:t>
      </w:r>
      <w:r w:rsidR="0022545F" w:rsidRPr="004E6BB1">
        <w:t xml:space="preserve"> Maltā konstatētā puspiekabe ar tabakas izstrādājumiem ir tā pati, kuras iebraukšanu Latvijas Republikas teritorijā nodrošināja apsūdzētais</w:t>
      </w:r>
      <w:r w:rsidR="0022545F">
        <w:t>,</w:t>
      </w:r>
      <w:r w:rsidR="0022545F" w:rsidRPr="004E6BB1">
        <w:t xml:space="preserve"> </w:t>
      </w:r>
      <w:r w:rsidR="001A6CA3" w:rsidRPr="00644D1B">
        <w:rPr>
          <w:rFonts w:cs="Times New Roman"/>
          <w:kern w:val="0"/>
        </w:rPr>
        <w:t xml:space="preserve">pret </w:t>
      </w:r>
      <w:r w:rsidR="009A3348">
        <w:rPr>
          <w:rFonts w:cs="Times New Roman"/>
          <w:kern w:val="0"/>
        </w:rPr>
        <w:t>[pers. D]</w:t>
      </w:r>
      <w:r w:rsidR="004C2AF9" w:rsidRPr="00644D1B">
        <w:rPr>
          <w:rFonts w:cs="Times New Roman"/>
          <w:kern w:val="0"/>
        </w:rPr>
        <w:t xml:space="preserve"> </w:t>
      </w:r>
      <w:r w:rsidR="00201B39" w:rsidRPr="00644D1B">
        <w:rPr>
          <w:rFonts w:cs="Times New Roman"/>
          <w:kern w:val="0"/>
        </w:rPr>
        <w:t>liecību</w:t>
      </w:r>
      <w:r w:rsidR="00644D1B">
        <w:rPr>
          <w:rFonts w:cs="Times New Roman"/>
          <w:kern w:val="0"/>
        </w:rPr>
        <w:t xml:space="preserve"> </w:t>
      </w:r>
      <w:r w:rsidR="00201B39" w:rsidRPr="00644D1B">
        <w:rPr>
          <w:rFonts w:cs="Times New Roman"/>
          <w:kern w:val="0"/>
        </w:rPr>
        <w:t>izmantošan</w:t>
      </w:r>
      <w:r w:rsidR="004C2AF9" w:rsidRPr="00644D1B">
        <w:rPr>
          <w:rFonts w:cs="Times New Roman"/>
          <w:kern w:val="0"/>
        </w:rPr>
        <w:t>u</w:t>
      </w:r>
      <w:r w:rsidR="00201B39" w:rsidRPr="00644D1B">
        <w:rPr>
          <w:kern w:val="0"/>
        </w:rPr>
        <w:t xml:space="preserve"> kā </w:t>
      </w:r>
      <w:r w:rsidR="00201B39" w:rsidRPr="00644D1B">
        <w:rPr>
          <w:rFonts w:cs="Times New Roman"/>
          <w:kern w:val="0"/>
        </w:rPr>
        <w:t>tād</w:t>
      </w:r>
      <w:r w:rsidR="004C2AF9" w:rsidRPr="00644D1B">
        <w:rPr>
          <w:rFonts w:cs="Times New Roman"/>
          <w:kern w:val="0"/>
        </w:rPr>
        <w:t>u</w:t>
      </w:r>
      <w:r w:rsidR="00DD0F9C">
        <w:rPr>
          <w:rFonts w:cs="Times New Roman"/>
          <w:kern w:val="0"/>
        </w:rPr>
        <w:t xml:space="preserve"> nav iebildusi</w:t>
      </w:r>
      <w:r w:rsidR="000534DD" w:rsidRPr="00644D1B">
        <w:rPr>
          <w:rFonts w:cs="Times New Roman"/>
          <w:kern w:val="0"/>
        </w:rPr>
        <w:t>,</w:t>
      </w:r>
      <w:r w:rsidR="006148F1" w:rsidRPr="00644D1B">
        <w:rPr>
          <w:rFonts w:cs="Times New Roman"/>
          <w:kern w:val="0"/>
        </w:rPr>
        <w:t xml:space="preserve"> </w:t>
      </w:r>
      <w:r w:rsidR="006148F1" w:rsidRPr="006B4353">
        <w:rPr>
          <w:rFonts w:cs="Times New Roman"/>
          <w:kern w:val="0"/>
        </w:rPr>
        <w:t>turklāt</w:t>
      </w:r>
      <w:r w:rsidR="00644D1B" w:rsidRPr="006B4353">
        <w:rPr>
          <w:rFonts w:cs="Times New Roman"/>
          <w:kern w:val="0"/>
        </w:rPr>
        <w:t xml:space="preserve"> nav </w:t>
      </w:r>
      <w:r w:rsidR="006148F1" w:rsidRPr="006B4353">
        <w:rPr>
          <w:rFonts w:cs="Times New Roman"/>
          <w:kern w:val="0"/>
        </w:rPr>
        <w:t>norādīj</w:t>
      </w:r>
      <w:r w:rsidR="00644D1B" w:rsidRPr="006B4353">
        <w:rPr>
          <w:rFonts w:cs="Times New Roman"/>
          <w:kern w:val="0"/>
        </w:rPr>
        <w:t>usi</w:t>
      </w:r>
      <w:r w:rsidR="00947916" w:rsidRPr="00644D1B">
        <w:rPr>
          <w:rFonts w:cs="Times New Roman"/>
          <w:kern w:val="0"/>
        </w:rPr>
        <w:t xml:space="preserve"> viņu</w:t>
      </w:r>
      <w:r w:rsidR="006148F1" w:rsidRPr="00644D1B">
        <w:rPr>
          <w:rFonts w:cs="Times New Roman"/>
          <w:kern w:val="0"/>
        </w:rPr>
        <w:t xml:space="preserve"> kā personu, kas nopratinā</w:t>
      </w:r>
      <w:r w:rsidR="000534DD" w:rsidRPr="00644D1B">
        <w:rPr>
          <w:rFonts w:cs="Times New Roman"/>
          <w:kern w:val="0"/>
        </w:rPr>
        <w:t>ma</w:t>
      </w:r>
      <w:r w:rsidR="006148F1" w:rsidRPr="00644D1B">
        <w:rPr>
          <w:rFonts w:cs="Times New Roman"/>
          <w:kern w:val="0"/>
        </w:rPr>
        <w:t xml:space="preserve"> </w:t>
      </w:r>
      <w:r w:rsidR="000534DD" w:rsidRPr="00644D1B">
        <w:rPr>
          <w:rFonts w:cs="Times New Roman"/>
          <w:kern w:val="0"/>
        </w:rPr>
        <w:t>apelācijas instances tiesā, lai gan Kriminālprocesa likuma 551.</w:t>
      </w:r>
      <w:r w:rsidR="00947916" w:rsidRPr="00644D1B">
        <w:rPr>
          <w:rFonts w:cs="Times New Roman"/>
          <w:kern w:val="0"/>
        </w:rPr>
        <w:t> </w:t>
      </w:r>
      <w:r w:rsidR="000534DD" w:rsidRPr="00644D1B">
        <w:rPr>
          <w:rFonts w:cs="Times New Roman"/>
          <w:kern w:val="0"/>
        </w:rPr>
        <w:t xml:space="preserve">panta trešā daļa </w:t>
      </w:r>
      <w:r w:rsidR="00947916" w:rsidRPr="00644D1B">
        <w:rPr>
          <w:rFonts w:cs="Times New Roman"/>
          <w:kern w:val="0"/>
        </w:rPr>
        <w:t xml:space="preserve">paredz iespēju </w:t>
      </w:r>
      <w:r w:rsidR="000534DD" w:rsidRPr="00644D1B">
        <w:rPr>
          <w:rFonts w:cs="Times New Roman"/>
          <w:kern w:val="0"/>
        </w:rPr>
        <w:t>šādu lūgumu p</w:t>
      </w:r>
      <w:r w:rsidR="00947916" w:rsidRPr="00644D1B">
        <w:rPr>
          <w:rFonts w:cs="Times New Roman"/>
          <w:kern w:val="0"/>
        </w:rPr>
        <w:t>ieteikt</w:t>
      </w:r>
      <w:r w:rsidR="000534DD" w:rsidRPr="00644D1B">
        <w:rPr>
          <w:rFonts w:cs="Times New Roman"/>
          <w:kern w:val="0"/>
        </w:rPr>
        <w:t xml:space="preserve"> (</w:t>
      </w:r>
      <w:r w:rsidR="000534DD" w:rsidRPr="00644D1B">
        <w:rPr>
          <w:rFonts w:cs="Times New Roman"/>
          <w:i/>
          <w:iCs/>
          <w:kern w:val="0"/>
        </w:rPr>
        <w:t>lietas 8. sējuma 168.–170. lapa</w:t>
      </w:r>
      <w:r w:rsidR="000534DD" w:rsidRPr="00644D1B">
        <w:rPr>
          <w:rFonts w:cs="Times New Roman"/>
          <w:kern w:val="0"/>
        </w:rPr>
        <w:t>)</w:t>
      </w:r>
      <w:r w:rsidR="00644D1B">
        <w:rPr>
          <w:rFonts w:cs="Times New Roman"/>
          <w:kern w:val="0"/>
        </w:rPr>
        <w:t>;</w:t>
      </w:r>
    </w:p>
    <w:p w14:paraId="640E6B50" w14:textId="41EFE186" w:rsidR="00835CDA" w:rsidRDefault="00644D1B" w:rsidP="00835CDA">
      <w:pPr>
        <w:widowControl w:val="0"/>
        <w:spacing w:after="0" w:line="276" w:lineRule="auto"/>
        <w:ind w:firstLine="720"/>
        <w:jc w:val="both"/>
        <w:rPr>
          <w:rStyle w:val="Strong"/>
          <w:b w:val="0"/>
          <w:bCs w:val="0"/>
        </w:rPr>
      </w:pPr>
      <w:r>
        <w:rPr>
          <w:rStyle w:val="Strong"/>
          <w:b w:val="0"/>
          <w:bCs w:val="0"/>
        </w:rPr>
        <w:t>4) </w:t>
      </w:r>
      <w:r w:rsidR="000534DD">
        <w:rPr>
          <w:rStyle w:val="Strong"/>
          <w:b w:val="0"/>
          <w:bCs w:val="0"/>
        </w:rPr>
        <w:t>iztiesāšanas</w:t>
      </w:r>
      <w:r w:rsidR="009D74AE" w:rsidRPr="000F7F26">
        <w:rPr>
          <w:rStyle w:val="Strong"/>
          <w:b w:val="0"/>
          <w:bCs w:val="0"/>
        </w:rPr>
        <w:t xml:space="preserve"> </w:t>
      </w:r>
      <w:r w:rsidR="005F67F3" w:rsidRPr="000F7F26">
        <w:rPr>
          <w:rStyle w:val="Strong"/>
          <w:b w:val="0"/>
          <w:bCs w:val="0"/>
        </w:rPr>
        <w:t xml:space="preserve">laikā </w:t>
      </w:r>
      <w:r w:rsidR="00947916" w:rsidRPr="000F7F26">
        <w:rPr>
          <w:rStyle w:val="Strong"/>
          <w:b w:val="0"/>
          <w:bCs w:val="0"/>
        </w:rPr>
        <w:t>apelācijas instances tiesā</w:t>
      </w:r>
      <w:r w:rsidR="005F67F3" w:rsidRPr="000F7F26">
        <w:rPr>
          <w:rStyle w:val="Strong"/>
          <w:b w:val="0"/>
          <w:bCs w:val="0"/>
        </w:rPr>
        <w:t xml:space="preserve"> apsūdzētais</w:t>
      </w:r>
      <w:r w:rsidR="00947916">
        <w:rPr>
          <w:rStyle w:val="Strong"/>
          <w:b w:val="0"/>
          <w:bCs w:val="0"/>
        </w:rPr>
        <w:t xml:space="preserve"> un </w:t>
      </w:r>
      <w:r w:rsidR="005F67F3" w:rsidRPr="000F7F26">
        <w:rPr>
          <w:rStyle w:val="Strong"/>
          <w:b w:val="0"/>
          <w:bCs w:val="0"/>
        </w:rPr>
        <w:t xml:space="preserve">viņa aizstāve </w:t>
      </w:r>
      <w:r w:rsidR="005F67F3" w:rsidRPr="006B4353">
        <w:rPr>
          <w:rStyle w:val="Strong"/>
          <w:b w:val="0"/>
          <w:bCs w:val="0"/>
        </w:rPr>
        <w:t>ne</w:t>
      </w:r>
      <w:r w:rsidR="00EE1105" w:rsidRPr="006B4353">
        <w:rPr>
          <w:rStyle w:val="Strong"/>
          <w:b w:val="0"/>
          <w:bCs w:val="0"/>
        </w:rPr>
        <w:t>bija pieteikuši</w:t>
      </w:r>
      <w:r w:rsidR="005F67F3" w:rsidRPr="000F7F26">
        <w:rPr>
          <w:rStyle w:val="Strong"/>
          <w:b w:val="0"/>
          <w:bCs w:val="0"/>
        </w:rPr>
        <w:t xml:space="preserve"> </w:t>
      </w:r>
      <w:r w:rsidR="009D74AE" w:rsidRPr="000F7F26">
        <w:rPr>
          <w:rStyle w:val="Strong"/>
          <w:b w:val="0"/>
          <w:bCs w:val="0"/>
        </w:rPr>
        <w:t>lūgum</w:t>
      </w:r>
      <w:r w:rsidR="005F67F3" w:rsidRPr="000F7F26">
        <w:rPr>
          <w:rStyle w:val="Strong"/>
          <w:b w:val="0"/>
          <w:bCs w:val="0"/>
        </w:rPr>
        <w:t>u</w:t>
      </w:r>
      <w:r w:rsidR="009D74AE" w:rsidRPr="000F7F26">
        <w:rPr>
          <w:rStyle w:val="Strong"/>
          <w:b w:val="0"/>
          <w:bCs w:val="0"/>
        </w:rPr>
        <w:t xml:space="preserve"> </w:t>
      </w:r>
      <w:r w:rsidR="00364163" w:rsidRPr="000F7F26">
        <w:rPr>
          <w:rStyle w:val="Strong"/>
          <w:b w:val="0"/>
          <w:bCs w:val="0"/>
        </w:rPr>
        <w:t xml:space="preserve">nopratināt liecinieku </w:t>
      </w:r>
      <w:r w:rsidR="009A3348">
        <w:rPr>
          <w:rStyle w:val="Strong"/>
          <w:b w:val="0"/>
          <w:bCs w:val="0"/>
        </w:rPr>
        <w:t>[pers. D]</w:t>
      </w:r>
      <w:r w:rsidR="00BF0150" w:rsidRPr="000F7F26">
        <w:rPr>
          <w:rStyle w:val="Strong"/>
          <w:b w:val="0"/>
          <w:bCs w:val="0"/>
        </w:rPr>
        <w:t xml:space="preserve"> (</w:t>
      </w:r>
      <w:r w:rsidR="00BF0150" w:rsidRPr="000F7F26">
        <w:rPr>
          <w:rStyle w:val="Strong"/>
          <w:b w:val="0"/>
          <w:bCs w:val="0"/>
          <w:i/>
          <w:iCs/>
        </w:rPr>
        <w:t>lietas 8.</w:t>
      </w:r>
      <w:r w:rsidR="005F67F3" w:rsidRPr="000F7F26">
        <w:rPr>
          <w:rStyle w:val="Strong"/>
          <w:b w:val="0"/>
          <w:bCs w:val="0"/>
          <w:i/>
          <w:iCs/>
        </w:rPr>
        <w:t> </w:t>
      </w:r>
      <w:r w:rsidR="00BF0150" w:rsidRPr="000F7F26">
        <w:rPr>
          <w:rStyle w:val="Strong"/>
          <w:b w:val="0"/>
          <w:bCs w:val="0"/>
          <w:i/>
          <w:iCs/>
        </w:rPr>
        <w:t>sējuma 182.–183. lapa, 196.–198. lapa</w:t>
      </w:r>
      <w:r w:rsidR="00BF0150" w:rsidRPr="000F7F26">
        <w:rPr>
          <w:rStyle w:val="Strong"/>
          <w:b w:val="0"/>
          <w:bCs w:val="0"/>
        </w:rPr>
        <w:t>)</w:t>
      </w:r>
      <w:r w:rsidR="000F7F26" w:rsidRPr="000F7F26">
        <w:rPr>
          <w:rStyle w:val="Strong"/>
          <w:b w:val="0"/>
          <w:bCs w:val="0"/>
        </w:rPr>
        <w:t xml:space="preserve"> un </w:t>
      </w:r>
      <w:r w:rsidR="000F7F26" w:rsidRPr="006B4353">
        <w:rPr>
          <w:rStyle w:val="Strong"/>
          <w:b w:val="0"/>
          <w:bCs w:val="0"/>
        </w:rPr>
        <w:t>atzin</w:t>
      </w:r>
      <w:r w:rsidR="00DD0F9C" w:rsidRPr="006B4353">
        <w:rPr>
          <w:rStyle w:val="Strong"/>
          <w:b w:val="0"/>
          <w:bCs w:val="0"/>
        </w:rPr>
        <w:t>uši</w:t>
      </w:r>
      <w:r w:rsidR="000F7F26" w:rsidRPr="000F7F26">
        <w:rPr>
          <w:rStyle w:val="Strong"/>
          <w:b w:val="0"/>
          <w:bCs w:val="0"/>
        </w:rPr>
        <w:t xml:space="preserve"> </w:t>
      </w:r>
      <w:r w:rsidR="009D74AE" w:rsidRPr="000F7F26">
        <w:rPr>
          <w:rStyle w:val="Strong"/>
          <w:b w:val="0"/>
          <w:bCs w:val="0"/>
        </w:rPr>
        <w:t>par iespējamu pabeigt tiesas izmeklēšanu</w:t>
      </w:r>
      <w:r w:rsidR="00110CE2" w:rsidRPr="000F7F26">
        <w:rPr>
          <w:rStyle w:val="Strong"/>
          <w:b w:val="0"/>
          <w:bCs w:val="0"/>
        </w:rPr>
        <w:t xml:space="preserve">, </w:t>
      </w:r>
      <w:r w:rsidR="000F7F26" w:rsidRPr="000F7F26">
        <w:rPr>
          <w:rStyle w:val="Strong"/>
          <w:b w:val="0"/>
          <w:bCs w:val="0"/>
        </w:rPr>
        <w:t xml:space="preserve">kaut </w:t>
      </w:r>
      <w:r w:rsidR="009A3348">
        <w:rPr>
          <w:rStyle w:val="Strong"/>
          <w:b w:val="0"/>
          <w:bCs w:val="0"/>
        </w:rPr>
        <w:t>[pers. D]</w:t>
      </w:r>
      <w:r w:rsidR="000F7F26" w:rsidRPr="000F7F26">
        <w:rPr>
          <w:rStyle w:val="Strong"/>
          <w:b w:val="0"/>
          <w:bCs w:val="0"/>
        </w:rPr>
        <w:t xml:space="preserve"> </w:t>
      </w:r>
      <w:r w:rsidR="00BF0150" w:rsidRPr="000F7F26">
        <w:rPr>
          <w:rStyle w:val="Strong"/>
          <w:b w:val="0"/>
          <w:bCs w:val="0"/>
        </w:rPr>
        <w:t xml:space="preserve">tiesā nebija nopratināts </w:t>
      </w:r>
      <w:r w:rsidR="00E135A7" w:rsidRPr="000F7F26">
        <w:rPr>
          <w:kern w:val="0"/>
        </w:rPr>
        <w:t>(</w:t>
      </w:r>
      <w:r w:rsidR="00E135A7" w:rsidRPr="000F7F26">
        <w:rPr>
          <w:i/>
          <w:iCs/>
          <w:kern w:val="0"/>
        </w:rPr>
        <w:t>lietas 8. sējuma 1</w:t>
      </w:r>
      <w:r w:rsidR="00BF0150" w:rsidRPr="000F7F26">
        <w:rPr>
          <w:i/>
          <w:iCs/>
          <w:kern w:val="0"/>
        </w:rPr>
        <w:t>98</w:t>
      </w:r>
      <w:r w:rsidR="00E135A7" w:rsidRPr="000F7F26">
        <w:rPr>
          <w:i/>
          <w:iCs/>
          <w:kern w:val="0"/>
        </w:rPr>
        <w:t>. lapa</w:t>
      </w:r>
      <w:r w:rsidR="00E135A7" w:rsidRPr="000F7F26">
        <w:rPr>
          <w:kern w:val="0"/>
        </w:rPr>
        <w:t>)</w:t>
      </w:r>
      <w:r w:rsidR="000534DD">
        <w:rPr>
          <w:rStyle w:val="Strong"/>
          <w:b w:val="0"/>
          <w:bCs w:val="0"/>
        </w:rPr>
        <w:t>;</w:t>
      </w:r>
    </w:p>
    <w:p w14:paraId="13410DB3" w14:textId="2AABAA3F" w:rsidR="00A06AE1" w:rsidRPr="009D74AE" w:rsidRDefault="00835CDA" w:rsidP="00835CDA">
      <w:pPr>
        <w:widowControl w:val="0"/>
        <w:spacing w:after="0" w:line="276" w:lineRule="auto"/>
        <w:ind w:firstLine="720"/>
        <w:jc w:val="both"/>
        <w:rPr>
          <w:rStyle w:val="Strong"/>
        </w:rPr>
      </w:pPr>
      <w:r>
        <w:rPr>
          <w:rStyle w:val="Strong"/>
          <w:b w:val="0"/>
          <w:bCs w:val="0"/>
        </w:rPr>
        <w:t>5) </w:t>
      </w:r>
      <w:r w:rsidR="00A06AE1" w:rsidRPr="000F7F26">
        <w:rPr>
          <w:rStyle w:val="Strong"/>
          <w:b w:val="0"/>
          <w:bCs w:val="0"/>
        </w:rPr>
        <w:t>tiesa</w:t>
      </w:r>
      <w:r w:rsidR="00364163" w:rsidRPr="000F7F26">
        <w:rPr>
          <w:rStyle w:val="Strong"/>
          <w:b w:val="0"/>
          <w:bCs w:val="0"/>
        </w:rPr>
        <w:t xml:space="preserve">s debatēs </w:t>
      </w:r>
      <w:r w:rsidR="00A06AE1" w:rsidRPr="000F7F26">
        <w:rPr>
          <w:rStyle w:val="Strong"/>
          <w:b w:val="0"/>
          <w:bCs w:val="0"/>
        </w:rPr>
        <w:t xml:space="preserve">apelācijas instances tiesā jautājums par </w:t>
      </w:r>
      <w:r w:rsidR="009A3348">
        <w:rPr>
          <w:rStyle w:val="Strong"/>
          <w:b w:val="0"/>
          <w:bCs w:val="0"/>
        </w:rPr>
        <w:t>[pers. D]</w:t>
      </w:r>
      <w:r w:rsidR="00A06AE1" w:rsidRPr="000F7F26">
        <w:rPr>
          <w:rStyle w:val="Strong"/>
          <w:b w:val="0"/>
          <w:bCs w:val="0"/>
        </w:rPr>
        <w:t xml:space="preserve"> liecību izmantošanas pieļaujamību </w:t>
      </w:r>
      <w:r w:rsidR="00EE1105" w:rsidRPr="006B4353">
        <w:rPr>
          <w:rStyle w:val="Strong"/>
          <w:b w:val="0"/>
          <w:bCs w:val="0"/>
        </w:rPr>
        <w:t>nav bijis</w:t>
      </w:r>
      <w:r w:rsidR="00EE1105" w:rsidRPr="000F7F26">
        <w:rPr>
          <w:rStyle w:val="Strong"/>
          <w:b w:val="0"/>
          <w:bCs w:val="0"/>
        </w:rPr>
        <w:t xml:space="preserve"> </w:t>
      </w:r>
      <w:r w:rsidR="00A06AE1" w:rsidRPr="000F7F26">
        <w:rPr>
          <w:rStyle w:val="Strong"/>
          <w:b w:val="0"/>
          <w:bCs w:val="0"/>
        </w:rPr>
        <w:t>aktualizēts</w:t>
      </w:r>
      <w:r w:rsidR="00BF0150" w:rsidRPr="000F7F26">
        <w:rPr>
          <w:rStyle w:val="Strong"/>
          <w:b w:val="0"/>
          <w:bCs w:val="0"/>
        </w:rPr>
        <w:t xml:space="preserve"> (</w:t>
      </w:r>
      <w:r w:rsidR="00BF0150" w:rsidRPr="000F7F26">
        <w:rPr>
          <w:rStyle w:val="Strong"/>
          <w:b w:val="0"/>
          <w:bCs w:val="0"/>
          <w:i/>
          <w:iCs/>
        </w:rPr>
        <w:t>lietas 8. sējuma 202.–203. lapa</w:t>
      </w:r>
      <w:r w:rsidR="00BF0150" w:rsidRPr="000F7F26">
        <w:rPr>
          <w:rStyle w:val="Strong"/>
          <w:b w:val="0"/>
          <w:bCs w:val="0"/>
        </w:rPr>
        <w:t>)</w:t>
      </w:r>
      <w:r w:rsidR="00A06AE1" w:rsidRPr="000F7F26">
        <w:rPr>
          <w:rStyle w:val="Strong"/>
          <w:b w:val="0"/>
          <w:bCs w:val="0"/>
        </w:rPr>
        <w:t>.</w:t>
      </w:r>
    </w:p>
    <w:p w14:paraId="33CDA52E" w14:textId="16AF0131" w:rsidR="00201B39" w:rsidRDefault="00522A02" w:rsidP="00374AFC">
      <w:pPr>
        <w:pStyle w:val="NormalWeb"/>
        <w:spacing w:after="0" w:line="276" w:lineRule="auto"/>
        <w:ind w:firstLine="720"/>
        <w:jc w:val="both"/>
        <w:rPr>
          <w:kern w:val="0"/>
        </w:rPr>
      </w:pPr>
      <w:r>
        <w:rPr>
          <w:kern w:val="0"/>
        </w:rPr>
        <w:t>N</w:t>
      </w:r>
      <w:r w:rsidR="00B76B06">
        <w:rPr>
          <w:kern w:val="0"/>
        </w:rPr>
        <w:t>o minēt</w:t>
      </w:r>
      <w:r w:rsidR="00A4415D">
        <w:rPr>
          <w:kern w:val="0"/>
        </w:rPr>
        <w:t>ā</w:t>
      </w:r>
      <w:r w:rsidR="00B76B06">
        <w:rPr>
          <w:kern w:val="0"/>
        </w:rPr>
        <w:t xml:space="preserve"> </w:t>
      </w:r>
      <w:r w:rsidR="00A4415D">
        <w:rPr>
          <w:kern w:val="0"/>
        </w:rPr>
        <w:t>izriet</w:t>
      </w:r>
      <w:r w:rsidR="00A06AE1">
        <w:rPr>
          <w:kern w:val="0"/>
        </w:rPr>
        <w:t xml:space="preserve">, ka </w:t>
      </w:r>
      <w:r w:rsidR="00374AFC">
        <w:rPr>
          <w:kern w:val="0"/>
        </w:rPr>
        <w:t xml:space="preserve">apsūdzētais un viņa </w:t>
      </w:r>
      <w:r w:rsidR="00374AFC" w:rsidRPr="006B4353">
        <w:rPr>
          <w:kern w:val="0"/>
        </w:rPr>
        <w:t xml:space="preserve">aizstāve </w:t>
      </w:r>
      <w:r w:rsidR="00A06AE1" w:rsidRPr="00BC520F">
        <w:rPr>
          <w:kern w:val="0"/>
        </w:rPr>
        <w:t>zināj</w:t>
      </w:r>
      <w:r w:rsidR="00374AFC" w:rsidRPr="00BC520F">
        <w:rPr>
          <w:kern w:val="0"/>
        </w:rPr>
        <w:t>uši</w:t>
      </w:r>
      <w:r w:rsidR="00A06AE1" w:rsidRPr="006B4353">
        <w:rPr>
          <w:kern w:val="0"/>
        </w:rPr>
        <w:t>,</w:t>
      </w:r>
      <w:r w:rsidR="00A06AE1">
        <w:rPr>
          <w:kern w:val="0"/>
        </w:rPr>
        <w:t xml:space="preserve"> ka </w:t>
      </w:r>
      <w:r w:rsidR="00201B39" w:rsidRPr="009D74AE">
        <w:rPr>
          <w:kern w:val="0"/>
        </w:rPr>
        <w:t>pirmās instances ties</w:t>
      </w:r>
      <w:r w:rsidR="00385CD4">
        <w:rPr>
          <w:kern w:val="0"/>
        </w:rPr>
        <w:t xml:space="preserve">ā liecinieks </w:t>
      </w:r>
      <w:r w:rsidR="009A3348">
        <w:rPr>
          <w:kern w:val="0"/>
        </w:rPr>
        <w:t>[pers. D]</w:t>
      </w:r>
      <w:r w:rsidR="00385CD4">
        <w:rPr>
          <w:kern w:val="0"/>
        </w:rPr>
        <w:t xml:space="preserve"> nav </w:t>
      </w:r>
      <w:r w:rsidR="00EE1105">
        <w:rPr>
          <w:kern w:val="0"/>
        </w:rPr>
        <w:t xml:space="preserve">bijis </w:t>
      </w:r>
      <w:r w:rsidR="00385CD4">
        <w:rPr>
          <w:kern w:val="0"/>
        </w:rPr>
        <w:t>nopratināts un</w:t>
      </w:r>
      <w:r w:rsidR="00201B39" w:rsidRPr="009D74AE">
        <w:rPr>
          <w:kern w:val="0"/>
        </w:rPr>
        <w:t xml:space="preserve"> </w:t>
      </w:r>
      <w:r w:rsidR="00BC520F">
        <w:rPr>
          <w:kern w:val="0"/>
        </w:rPr>
        <w:t xml:space="preserve">ka </w:t>
      </w:r>
      <w:r w:rsidR="00385CD4">
        <w:rPr>
          <w:kern w:val="0"/>
        </w:rPr>
        <w:t xml:space="preserve">tiesa </w:t>
      </w:r>
      <w:r w:rsidR="00201B39" w:rsidRPr="009D74AE">
        <w:rPr>
          <w:kern w:val="0"/>
        </w:rPr>
        <w:t xml:space="preserve">ir izmantojusi </w:t>
      </w:r>
      <w:r w:rsidR="00385CD4">
        <w:rPr>
          <w:kern w:val="0"/>
        </w:rPr>
        <w:t xml:space="preserve">šī </w:t>
      </w:r>
      <w:r w:rsidR="00201B39" w:rsidRPr="009D74AE">
        <w:rPr>
          <w:kern w:val="0"/>
        </w:rPr>
        <w:t xml:space="preserve">liecinieka </w:t>
      </w:r>
      <w:proofErr w:type="spellStart"/>
      <w:r w:rsidR="00201B39" w:rsidRPr="00EC6617">
        <w:rPr>
          <w:kern w:val="0"/>
        </w:rPr>
        <w:t>pirmstiesas</w:t>
      </w:r>
      <w:proofErr w:type="spellEnd"/>
      <w:r w:rsidR="00201B39" w:rsidRPr="00EC6617">
        <w:rPr>
          <w:kern w:val="0"/>
        </w:rPr>
        <w:t xml:space="preserve"> </w:t>
      </w:r>
      <w:r w:rsidR="00201B39" w:rsidRPr="009D74AE">
        <w:rPr>
          <w:kern w:val="0"/>
        </w:rPr>
        <w:t>procesā sniegtās liecības, t</w:t>
      </w:r>
      <w:r w:rsidR="00A06AE1">
        <w:rPr>
          <w:kern w:val="0"/>
        </w:rPr>
        <w:t>aču</w:t>
      </w:r>
      <w:r w:rsidR="00F1468D">
        <w:rPr>
          <w:kern w:val="0"/>
        </w:rPr>
        <w:t xml:space="preserve">, </w:t>
      </w:r>
      <w:r>
        <w:rPr>
          <w:kern w:val="0"/>
        </w:rPr>
        <w:t>ilgstošā laikā</w:t>
      </w:r>
      <w:r w:rsidR="00230D10">
        <w:rPr>
          <w:kern w:val="0"/>
        </w:rPr>
        <w:t>,</w:t>
      </w:r>
      <w:r w:rsidR="000534DD">
        <w:rPr>
          <w:kern w:val="0"/>
        </w:rPr>
        <w:t xml:space="preserve"> </w:t>
      </w:r>
      <w:r w:rsidR="00230D10">
        <w:rPr>
          <w:kern w:val="0"/>
        </w:rPr>
        <w:t xml:space="preserve">vairākkārt </w:t>
      </w:r>
      <w:r w:rsidR="00B32806">
        <w:rPr>
          <w:kern w:val="0"/>
        </w:rPr>
        <w:t xml:space="preserve">esot </w:t>
      </w:r>
      <w:r w:rsidR="00F1468D">
        <w:rPr>
          <w:kern w:val="0"/>
        </w:rPr>
        <w:t>iespēj</w:t>
      </w:r>
      <w:r w:rsidR="00230D10">
        <w:rPr>
          <w:kern w:val="0"/>
        </w:rPr>
        <w:t>ai</w:t>
      </w:r>
      <w:r w:rsidR="00F1468D">
        <w:rPr>
          <w:kern w:val="0"/>
        </w:rPr>
        <w:t xml:space="preserve"> iebilst pret </w:t>
      </w:r>
      <w:r>
        <w:rPr>
          <w:kern w:val="0"/>
        </w:rPr>
        <w:t>nolēmuma pamatošanu ar š</w:t>
      </w:r>
      <w:r w:rsidR="000534DD">
        <w:rPr>
          <w:kern w:val="0"/>
        </w:rPr>
        <w:t>o</w:t>
      </w:r>
      <w:r>
        <w:rPr>
          <w:kern w:val="0"/>
        </w:rPr>
        <w:t xml:space="preserve"> pierādījum</w:t>
      </w:r>
      <w:r w:rsidR="000534DD">
        <w:rPr>
          <w:kern w:val="0"/>
        </w:rPr>
        <w:t>u</w:t>
      </w:r>
      <w:r w:rsidR="00F1468D">
        <w:rPr>
          <w:kern w:val="0"/>
        </w:rPr>
        <w:t>,</w:t>
      </w:r>
      <w:r w:rsidR="00201B39" w:rsidRPr="009D74AE">
        <w:rPr>
          <w:kern w:val="0"/>
        </w:rPr>
        <w:t xml:space="preserve"> </w:t>
      </w:r>
      <w:r w:rsidR="00374AFC" w:rsidRPr="006B4353">
        <w:rPr>
          <w:kern w:val="0"/>
        </w:rPr>
        <w:t xml:space="preserve">to </w:t>
      </w:r>
      <w:r w:rsidRPr="006B4353">
        <w:rPr>
          <w:kern w:val="0"/>
        </w:rPr>
        <w:t>nav darījuši</w:t>
      </w:r>
      <w:r w:rsidR="00374AFC">
        <w:rPr>
          <w:kern w:val="0"/>
        </w:rPr>
        <w:t xml:space="preserve">. </w:t>
      </w:r>
      <w:r w:rsidR="000534DD">
        <w:rPr>
          <w:kern w:val="0"/>
        </w:rPr>
        <w:t xml:space="preserve">Līdz ar to </w:t>
      </w:r>
      <w:r>
        <w:rPr>
          <w:kern w:val="0"/>
        </w:rPr>
        <w:t>no</w:t>
      </w:r>
      <w:r w:rsidR="00567BA0">
        <w:rPr>
          <w:kern w:val="0"/>
        </w:rPr>
        <w:t xml:space="preserve"> </w:t>
      </w:r>
      <w:r w:rsidR="00567BA0" w:rsidRPr="00F1468D">
        <w:t>aizstāvības atturēšanās izmantot tai pieejamos procesuālos līdzekļus</w:t>
      </w:r>
      <w:r w:rsidR="00567BA0">
        <w:t xml:space="preserve"> </w:t>
      </w:r>
      <w:r>
        <w:rPr>
          <w:kern w:val="0"/>
        </w:rPr>
        <w:t xml:space="preserve">nepārprotami </w:t>
      </w:r>
      <w:r>
        <w:t>izriet</w:t>
      </w:r>
      <w:r w:rsidR="00B32806">
        <w:t xml:space="preserve"> (1) </w:t>
      </w:r>
      <w:r>
        <w:rPr>
          <w:kern w:val="0"/>
        </w:rPr>
        <w:t xml:space="preserve">tās </w:t>
      </w:r>
      <w:r w:rsidR="00201B39" w:rsidRPr="009D74AE">
        <w:rPr>
          <w:kern w:val="0"/>
        </w:rPr>
        <w:t xml:space="preserve">atteikšanās no tiesībām nopratināt </w:t>
      </w:r>
      <w:r>
        <w:rPr>
          <w:kern w:val="0"/>
        </w:rPr>
        <w:t>konkrētu</w:t>
      </w:r>
      <w:r w:rsidRPr="009D74AE">
        <w:rPr>
          <w:kern w:val="0"/>
        </w:rPr>
        <w:t xml:space="preserve"> </w:t>
      </w:r>
      <w:r w:rsidR="00201B39" w:rsidRPr="009D74AE">
        <w:rPr>
          <w:kern w:val="0"/>
        </w:rPr>
        <w:t>liecinieku</w:t>
      </w:r>
      <w:r w:rsidR="00567BA0">
        <w:rPr>
          <w:kern w:val="0"/>
        </w:rPr>
        <w:t xml:space="preserve"> </w:t>
      </w:r>
      <w:r>
        <w:rPr>
          <w:kern w:val="0"/>
        </w:rPr>
        <w:t xml:space="preserve">un </w:t>
      </w:r>
      <w:r w:rsidR="00B32806">
        <w:rPr>
          <w:kern w:val="0"/>
        </w:rPr>
        <w:t xml:space="preserve">sekojoši </w:t>
      </w:r>
      <w:r>
        <w:rPr>
          <w:kern w:val="0"/>
        </w:rPr>
        <w:t xml:space="preserve">arī </w:t>
      </w:r>
      <w:r w:rsidR="00B32806">
        <w:rPr>
          <w:kern w:val="0"/>
        </w:rPr>
        <w:t>(2) </w:t>
      </w:r>
      <w:r w:rsidR="008B7A00">
        <w:rPr>
          <w:kern w:val="0"/>
        </w:rPr>
        <w:t>piekrišana</w:t>
      </w:r>
      <w:r w:rsidR="008B7A00" w:rsidRPr="009D74AE">
        <w:rPr>
          <w:kern w:val="0"/>
        </w:rPr>
        <w:t xml:space="preserve"> </w:t>
      </w:r>
      <w:r w:rsidR="008B7A00">
        <w:rPr>
          <w:kern w:val="0"/>
        </w:rPr>
        <w:t>šā liecinieka</w:t>
      </w:r>
      <w:r w:rsidR="008B7A00" w:rsidRPr="009D74AE">
        <w:rPr>
          <w:kern w:val="0"/>
        </w:rPr>
        <w:t xml:space="preserve"> </w:t>
      </w:r>
      <w:r w:rsidR="00201B39" w:rsidRPr="00EC6617">
        <w:rPr>
          <w:kern w:val="0"/>
        </w:rPr>
        <w:t>liecību izmantošanai</w:t>
      </w:r>
      <w:r w:rsidR="00201B39" w:rsidRPr="009D74AE">
        <w:rPr>
          <w:kern w:val="0"/>
        </w:rPr>
        <w:t xml:space="preserve"> pierādīšanā</w:t>
      </w:r>
      <w:r w:rsidR="00E31E35">
        <w:rPr>
          <w:kern w:val="0"/>
        </w:rPr>
        <w:t xml:space="preserve"> apelācijas instances tiesas nolēmumā</w:t>
      </w:r>
      <w:r w:rsidR="00567BA0">
        <w:rPr>
          <w:kern w:val="0"/>
        </w:rPr>
        <w:t>.</w:t>
      </w:r>
      <w:bookmarkEnd w:id="18"/>
    </w:p>
    <w:p w14:paraId="1F30DA3D" w14:textId="52CD6128" w:rsidR="00CA7E39" w:rsidRDefault="00AA451F" w:rsidP="00AD15D7">
      <w:pPr>
        <w:pStyle w:val="NormalWeb"/>
        <w:spacing w:after="0" w:line="276" w:lineRule="auto"/>
        <w:ind w:firstLine="720"/>
        <w:jc w:val="both"/>
        <w:rPr>
          <w:kern w:val="0"/>
        </w:rPr>
      </w:pPr>
      <w:r>
        <w:rPr>
          <w:kern w:val="0"/>
        </w:rPr>
        <w:t>Rezumējot</w:t>
      </w:r>
      <w:r w:rsidR="00CA7E39">
        <w:rPr>
          <w:kern w:val="0"/>
        </w:rPr>
        <w:t xml:space="preserve"> minēto, Senāts atzīst, ka apelācijas instances tiesa, </w:t>
      </w:r>
      <w:r w:rsidR="00AD15D7" w:rsidRPr="00AD15D7">
        <w:rPr>
          <w:kern w:val="0"/>
        </w:rPr>
        <w:t>atstājot negrozītu pirmās instances tiesas spriedumu, kurā tiesa savus atzinumus pamatoj</w:t>
      </w:r>
      <w:r w:rsidR="00035CF8">
        <w:rPr>
          <w:kern w:val="0"/>
        </w:rPr>
        <w:t>usi</w:t>
      </w:r>
      <w:r w:rsidR="00AD15D7" w:rsidRPr="00AD15D7">
        <w:rPr>
          <w:kern w:val="0"/>
        </w:rPr>
        <w:t xml:space="preserve"> arī ar liecinieka </w:t>
      </w:r>
      <w:r w:rsidR="009A3348">
        <w:rPr>
          <w:kern w:val="0"/>
        </w:rPr>
        <w:t>[pers. D]</w:t>
      </w:r>
      <w:r w:rsidR="00AD15D7" w:rsidRPr="00AD15D7">
        <w:rPr>
          <w:kern w:val="0"/>
        </w:rPr>
        <w:t xml:space="preserve"> </w:t>
      </w:r>
      <w:proofErr w:type="spellStart"/>
      <w:r w:rsidR="00AD15D7" w:rsidRPr="00AD15D7">
        <w:rPr>
          <w:kern w:val="0"/>
        </w:rPr>
        <w:t>pirmstiesas</w:t>
      </w:r>
      <w:proofErr w:type="spellEnd"/>
      <w:r w:rsidR="00AD15D7" w:rsidRPr="00AD15D7">
        <w:rPr>
          <w:kern w:val="0"/>
        </w:rPr>
        <w:t xml:space="preserve"> procesā sniegtajām liecībām</w:t>
      </w:r>
      <w:r w:rsidR="00AD15D7">
        <w:rPr>
          <w:kern w:val="0"/>
        </w:rPr>
        <w:t>,</w:t>
      </w:r>
      <w:r w:rsidR="00CA7E39">
        <w:rPr>
          <w:kern w:val="0"/>
        </w:rPr>
        <w:t xml:space="preserve"> nav pieļāvusi Krimināl</w:t>
      </w:r>
      <w:r w:rsidR="00CA7E39" w:rsidRPr="00AD15D7">
        <w:rPr>
          <w:kern w:val="0"/>
        </w:rPr>
        <w:t>procesa likuma 512. panta otrās daļas 4. punkt</w:t>
      </w:r>
      <w:r w:rsidR="00441EFA" w:rsidRPr="00AD15D7">
        <w:rPr>
          <w:kern w:val="0"/>
        </w:rPr>
        <w:t>a pārkāpumu</w:t>
      </w:r>
      <w:r w:rsidR="00CA7E39" w:rsidRPr="00AD15D7">
        <w:rPr>
          <w:kern w:val="0"/>
        </w:rPr>
        <w:t>.</w:t>
      </w:r>
    </w:p>
    <w:p w14:paraId="1848F959" w14:textId="2C1529C1" w:rsidR="009D74AE" w:rsidRDefault="009D74AE" w:rsidP="009D74AE">
      <w:pPr>
        <w:widowControl w:val="0"/>
        <w:spacing w:after="0" w:line="276" w:lineRule="auto"/>
        <w:ind w:firstLine="720"/>
        <w:jc w:val="both"/>
        <w:rPr>
          <w:rFonts w:cs="Times New Roman"/>
        </w:rPr>
      </w:pPr>
      <w:bookmarkStart w:id="19" w:name="_Hlk219895652"/>
      <w:bookmarkStart w:id="20" w:name="_Hlk219889448"/>
      <w:bookmarkEnd w:id="9"/>
      <w:r w:rsidRPr="002410C6">
        <w:rPr>
          <w:rFonts w:cs="Times New Roman"/>
        </w:rPr>
        <w:lastRenderedPageBreak/>
        <w:t>[</w:t>
      </w:r>
      <w:r w:rsidR="00875B85">
        <w:rPr>
          <w:rFonts w:cs="Times New Roman"/>
        </w:rPr>
        <w:t>5</w:t>
      </w:r>
      <w:r>
        <w:rPr>
          <w:rFonts w:cs="Times New Roman"/>
        </w:rPr>
        <w:t>.</w:t>
      </w:r>
      <w:r w:rsidR="00567BA0">
        <w:rPr>
          <w:rFonts w:cs="Times New Roman"/>
        </w:rPr>
        <w:t>5</w:t>
      </w:r>
      <w:r w:rsidRPr="002410C6">
        <w:rPr>
          <w:rFonts w:cs="Times New Roman"/>
        </w:rPr>
        <w:t>] </w:t>
      </w:r>
      <w:r>
        <w:rPr>
          <w:rFonts w:cs="Times New Roman"/>
        </w:rPr>
        <w:t xml:space="preserve">Attiecībā uz liecinieku </w:t>
      </w:r>
      <w:r w:rsidR="009A3348">
        <w:rPr>
          <w:rFonts w:cs="Times New Roman"/>
        </w:rPr>
        <w:t>[pers. E]</w:t>
      </w:r>
      <w:r>
        <w:rPr>
          <w:rFonts w:cs="Times New Roman"/>
        </w:rPr>
        <w:t xml:space="preserve"> Senāts konstatē atšķirīgu situāciju.</w:t>
      </w:r>
    </w:p>
    <w:p w14:paraId="3875ADAD" w14:textId="6768CE9F" w:rsidR="00682CE3" w:rsidRDefault="000534DD" w:rsidP="00E31E35">
      <w:pPr>
        <w:widowControl w:val="0"/>
        <w:spacing w:after="0" w:line="276" w:lineRule="auto"/>
        <w:ind w:firstLine="720"/>
        <w:jc w:val="both"/>
        <w:rPr>
          <w:rFonts w:cs="Times New Roman"/>
        </w:rPr>
      </w:pPr>
      <w:r>
        <w:rPr>
          <w:rFonts w:cs="Times New Roman"/>
        </w:rPr>
        <w:t xml:space="preserve">Lai gan liecinieks </w:t>
      </w:r>
      <w:r w:rsidR="009A3348">
        <w:rPr>
          <w:rFonts w:cs="Times New Roman"/>
        </w:rPr>
        <w:t>[pers. E]</w:t>
      </w:r>
      <w:r w:rsidR="006D7242">
        <w:rPr>
          <w:rFonts w:cs="Times New Roman"/>
        </w:rPr>
        <w:t xml:space="preserve">, tāpat kā </w:t>
      </w:r>
      <w:r w:rsidR="009A3348">
        <w:rPr>
          <w:rFonts w:cs="Times New Roman"/>
        </w:rPr>
        <w:t>[pers. D]</w:t>
      </w:r>
      <w:r w:rsidR="006D7242">
        <w:rPr>
          <w:rFonts w:cs="Times New Roman"/>
        </w:rPr>
        <w:t>,</w:t>
      </w:r>
      <w:r>
        <w:rPr>
          <w:rFonts w:cs="Times New Roman"/>
        </w:rPr>
        <w:t xml:space="preserve"> </w:t>
      </w:r>
      <w:r w:rsidR="006D7242">
        <w:rPr>
          <w:rFonts w:cs="Times New Roman"/>
        </w:rPr>
        <w:t>nav bijis</w:t>
      </w:r>
      <w:r>
        <w:rPr>
          <w:rFonts w:cs="Times New Roman"/>
        </w:rPr>
        <w:t xml:space="preserve"> nopratināts p</w:t>
      </w:r>
      <w:r w:rsidR="00567BA0" w:rsidRPr="00567BA0">
        <w:rPr>
          <w:rFonts w:cs="Times New Roman"/>
        </w:rPr>
        <w:t>irmās un apelācijas instances tiesā,</w:t>
      </w:r>
      <w:r w:rsidR="006D7242">
        <w:rPr>
          <w:rFonts w:cs="Times New Roman"/>
        </w:rPr>
        <w:t xml:space="preserve"> </w:t>
      </w:r>
      <w:r>
        <w:rPr>
          <w:rFonts w:cs="Times New Roman"/>
        </w:rPr>
        <w:t>un</w:t>
      </w:r>
      <w:r w:rsidR="00567BA0" w:rsidRPr="00567BA0">
        <w:rPr>
          <w:rFonts w:cs="Times New Roman"/>
        </w:rPr>
        <w:t xml:space="preserve"> abu instanču tiesas</w:t>
      </w:r>
      <w:r w:rsidR="00374AFC">
        <w:rPr>
          <w:rFonts w:cs="Times New Roman"/>
        </w:rPr>
        <w:t xml:space="preserve"> </w:t>
      </w:r>
      <w:r w:rsidR="00522A02">
        <w:rPr>
          <w:rFonts w:cs="Times New Roman"/>
        </w:rPr>
        <w:t xml:space="preserve">savus </w:t>
      </w:r>
      <w:r w:rsidR="00374AFC">
        <w:rPr>
          <w:rFonts w:cs="Times New Roman"/>
        </w:rPr>
        <w:t>nolēmumu</w:t>
      </w:r>
      <w:r w:rsidR="00522A02">
        <w:rPr>
          <w:rFonts w:cs="Times New Roman"/>
        </w:rPr>
        <w:t>s</w:t>
      </w:r>
      <w:r w:rsidR="00374AFC">
        <w:rPr>
          <w:rFonts w:cs="Times New Roman"/>
        </w:rPr>
        <w:t xml:space="preserve"> </w:t>
      </w:r>
      <w:r w:rsidR="00567BA0" w:rsidRPr="00567BA0">
        <w:rPr>
          <w:rFonts w:cs="Times New Roman"/>
        </w:rPr>
        <w:t>pamatoj</w:t>
      </w:r>
      <w:r w:rsidR="00522A02">
        <w:rPr>
          <w:rFonts w:cs="Times New Roman"/>
        </w:rPr>
        <w:t>ušas</w:t>
      </w:r>
      <w:r w:rsidR="00567BA0" w:rsidRPr="00567BA0">
        <w:rPr>
          <w:rFonts w:cs="Times New Roman"/>
        </w:rPr>
        <w:t xml:space="preserve"> ar </w:t>
      </w:r>
      <w:r w:rsidR="003A0AF2">
        <w:rPr>
          <w:rFonts w:cs="Times New Roman"/>
        </w:rPr>
        <w:t xml:space="preserve">šī liecinieka </w:t>
      </w:r>
      <w:proofErr w:type="spellStart"/>
      <w:r w:rsidR="00567BA0" w:rsidRPr="00567BA0">
        <w:rPr>
          <w:rFonts w:cs="Times New Roman"/>
        </w:rPr>
        <w:t>pirmstiesas</w:t>
      </w:r>
      <w:proofErr w:type="spellEnd"/>
      <w:r w:rsidR="00567BA0" w:rsidRPr="00567BA0">
        <w:rPr>
          <w:rFonts w:cs="Times New Roman"/>
        </w:rPr>
        <w:t xml:space="preserve"> procesā sniegtajām liecībām</w:t>
      </w:r>
      <w:r>
        <w:rPr>
          <w:rFonts w:cs="Times New Roman"/>
        </w:rPr>
        <w:t xml:space="preserve">, </w:t>
      </w:r>
      <w:r w:rsidR="00682CE3">
        <w:rPr>
          <w:rFonts w:cs="Times New Roman"/>
        </w:rPr>
        <w:t xml:space="preserve">atšķirībā no liecinieka </w:t>
      </w:r>
      <w:r w:rsidR="009A3348">
        <w:rPr>
          <w:rFonts w:cs="Times New Roman"/>
        </w:rPr>
        <w:t>[pers. D]</w:t>
      </w:r>
      <w:r w:rsidR="00682CE3">
        <w:rPr>
          <w:rFonts w:cs="Times New Roman"/>
        </w:rPr>
        <w:t xml:space="preserve"> liecībām</w:t>
      </w:r>
      <w:r w:rsidR="0055609D">
        <w:rPr>
          <w:rFonts w:cs="Times New Roman"/>
        </w:rPr>
        <w:t>,</w:t>
      </w:r>
      <w:r w:rsidR="00682CE3">
        <w:rPr>
          <w:rFonts w:cs="Times New Roman"/>
        </w:rPr>
        <w:t xml:space="preserve"> </w:t>
      </w:r>
      <w:r w:rsidR="00567BA0" w:rsidRPr="00567BA0">
        <w:rPr>
          <w:rFonts w:cs="Times New Roman"/>
        </w:rPr>
        <w:t xml:space="preserve">prokurors </w:t>
      </w:r>
      <w:r w:rsidR="009A3348">
        <w:rPr>
          <w:rFonts w:cs="Times New Roman"/>
        </w:rPr>
        <w:t>[pers. E]</w:t>
      </w:r>
      <w:r w:rsidR="00682CE3" w:rsidRPr="00567BA0">
        <w:rPr>
          <w:rFonts w:cs="Times New Roman"/>
        </w:rPr>
        <w:t xml:space="preserve"> </w:t>
      </w:r>
      <w:r w:rsidR="00567BA0" w:rsidRPr="00567BA0">
        <w:rPr>
          <w:rFonts w:cs="Times New Roman"/>
        </w:rPr>
        <w:t>liecības tiesā izmantojamo pierādījumu uzskaitījumā nebija iekļāvis (</w:t>
      </w:r>
      <w:r w:rsidR="00567BA0" w:rsidRPr="00567BA0">
        <w:rPr>
          <w:rFonts w:cs="Times New Roman"/>
          <w:i/>
          <w:iCs/>
        </w:rPr>
        <w:t>lietas 7.</w:t>
      </w:r>
      <w:r w:rsidR="00B76B06">
        <w:rPr>
          <w:rFonts w:cs="Times New Roman"/>
          <w:i/>
          <w:iCs/>
        </w:rPr>
        <w:t> </w:t>
      </w:r>
      <w:r w:rsidR="00567BA0" w:rsidRPr="00567BA0">
        <w:rPr>
          <w:rFonts w:cs="Times New Roman"/>
          <w:i/>
          <w:iCs/>
        </w:rPr>
        <w:t>sējuma 9., 13.</w:t>
      </w:r>
      <w:r w:rsidR="00B76B06">
        <w:rPr>
          <w:rFonts w:cs="Times New Roman"/>
          <w:i/>
          <w:iCs/>
        </w:rPr>
        <w:t> </w:t>
      </w:r>
      <w:r w:rsidR="00567BA0" w:rsidRPr="00567BA0">
        <w:rPr>
          <w:rFonts w:cs="Times New Roman"/>
          <w:i/>
          <w:iCs/>
        </w:rPr>
        <w:t>lapa</w:t>
      </w:r>
      <w:r w:rsidR="00567BA0" w:rsidRPr="00567BA0">
        <w:rPr>
          <w:rFonts w:cs="Times New Roman"/>
        </w:rPr>
        <w:t>).</w:t>
      </w:r>
    </w:p>
    <w:p w14:paraId="04EEF5F7" w14:textId="7513F4D6" w:rsidR="0055609D" w:rsidRPr="00760A5F" w:rsidRDefault="00E31E35" w:rsidP="0055609D">
      <w:pPr>
        <w:widowControl w:val="0"/>
        <w:spacing w:after="0" w:line="276" w:lineRule="auto"/>
        <w:ind w:firstLine="720"/>
        <w:jc w:val="both"/>
        <w:rPr>
          <w:rFonts w:cs="Times New Roman"/>
        </w:rPr>
      </w:pPr>
      <w:r w:rsidRPr="00E31E35">
        <w:rPr>
          <w:rFonts w:cs="Times New Roman"/>
        </w:rPr>
        <w:t xml:space="preserve">Senāts atzīst, ka </w:t>
      </w:r>
      <w:r w:rsidR="00760A5F" w:rsidRPr="00760A5F">
        <w:rPr>
          <w:rFonts w:cs="Times New Roman"/>
        </w:rPr>
        <w:t xml:space="preserve">šai atšķirībai </w:t>
      </w:r>
      <w:r w:rsidR="00682CE3" w:rsidRPr="00760A5F">
        <w:rPr>
          <w:rFonts w:cs="Times New Roman"/>
        </w:rPr>
        <w:t>ir būtiska nozīme situācijas izvērtē</w:t>
      </w:r>
      <w:r w:rsidR="0055609D">
        <w:rPr>
          <w:rFonts w:cs="Times New Roman"/>
        </w:rPr>
        <w:t>šanā</w:t>
      </w:r>
      <w:r w:rsidR="00BC520F">
        <w:rPr>
          <w:rFonts w:cs="Times New Roman"/>
        </w:rPr>
        <w:t>,</w:t>
      </w:r>
      <w:r w:rsidR="00760A5F" w:rsidRPr="00760A5F">
        <w:rPr>
          <w:rFonts w:cs="Times New Roman"/>
        </w:rPr>
        <w:t xml:space="preserve"> </w:t>
      </w:r>
      <w:r w:rsidR="00760A5F" w:rsidRPr="00BC520F">
        <w:t>un tādēļ tā pamato arī citādu juridisko vērtējumu</w:t>
      </w:r>
      <w:r w:rsidRPr="00760A5F">
        <w:rPr>
          <w:rFonts w:cs="Times New Roman"/>
        </w:rPr>
        <w:t>.</w:t>
      </w:r>
    </w:p>
    <w:p w14:paraId="1EBB1A9B" w14:textId="22A56A21" w:rsidR="007A0B54" w:rsidRDefault="00E70265" w:rsidP="003826D8">
      <w:pPr>
        <w:widowControl w:val="0"/>
        <w:spacing w:after="0" w:line="276" w:lineRule="auto"/>
        <w:ind w:firstLine="720"/>
        <w:jc w:val="both"/>
        <w:rPr>
          <w:rFonts w:cs="Times New Roman"/>
        </w:rPr>
      </w:pPr>
      <w:r>
        <w:rPr>
          <w:rFonts w:cs="Times New Roman"/>
        </w:rPr>
        <w:t xml:space="preserve">Lai gan </w:t>
      </w:r>
      <w:r w:rsidR="00750A5E">
        <w:rPr>
          <w:rFonts w:cs="Times New Roman"/>
        </w:rPr>
        <w:t>vispārīgi</w:t>
      </w:r>
      <w:r w:rsidR="007B48F5" w:rsidRPr="007B48F5">
        <w:rPr>
          <w:rFonts w:cs="Times New Roman"/>
        </w:rPr>
        <w:t xml:space="preserve"> apsūdzētais un viņa aizstāvis</w:t>
      </w:r>
      <w:r w:rsidR="008F6830">
        <w:rPr>
          <w:rFonts w:cs="Times New Roman"/>
        </w:rPr>
        <w:t xml:space="preserve">, izsakot </w:t>
      </w:r>
      <w:r w:rsidR="00AD15D7">
        <w:rPr>
          <w:rFonts w:cs="Times New Roman"/>
        </w:rPr>
        <w:t xml:space="preserve">attiecīgu </w:t>
      </w:r>
      <w:r w:rsidR="008F6830">
        <w:rPr>
          <w:rFonts w:cs="Times New Roman"/>
        </w:rPr>
        <w:t>lūgum</w:t>
      </w:r>
      <w:r w:rsidR="00AD15D7">
        <w:rPr>
          <w:rFonts w:cs="Times New Roman"/>
        </w:rPr>
        <w:t>u</w:t>
      </w:r>
      <w:r w:rsidR="008F6830">
        <w:rPr>
          <w:rFonts w:cs="Times New Roman"/>
        </w:rPr>
        <w:t>,</w:t>
      </w:r>
      <w:r w:rsidR="007B48F5" w:rsidRPr="007B48F5">
        <w:rPr>
          <w:rFonts w:cs="Times New Roman"/>
        </w:rPr>
        <w:t xml:space="preserve"> </w:t>
      </w:r>
      <w:r w:rsidR="007B48F5">
        <w:rPr>
          <w:rFonts w:cs="Times New Roman"/>
        </w:rPr>
        <w:t>var piekrist</w:t>
      </w:r>
      <w:r w:rsidR="007B48F5" w:rsidRPr="007B48F5">
        <w:rPr>
          <w:rFonts w:cs="Times New Roman"/>
        </w:rPr>
        <w:t xml:space="preserve"> </w:t>
      </w:r>
      <w:r w:rsidR="00750A5E">
        <w:rPr>
          <w:rFonts w:cs="Times New Roman"/>
        </w:rPr>
        <w:t xml:space="preserve">tādu </w:t>
      </w:r>
      <w:r w:rsidR="007B48F5" w:rsidRPr="007B48F5">
        <w:rPr>
          <w:rFonts w:cs="Times New Roman"/>
        </w:rPr>
        <w:t>ziņ</w:t>
      </w:r>
      <w:r w:rsidR="00750A5E">
        <w:rPr>
          <w:rFonts w:cs="Times New Roman"/>
        </w:rPr>
        <w:t>u</w:t>
      </w:r>
      <w:r w:rsidR="00F76064">
        <w:rPr>
          <w:rFonts w:cs="Times New Roman"/>
        </w:rPr>
        <w:t xml:space="preserve"> </w:t>
      </w:r>
      <w:r w:rsidR="008F6830">
        <w:rPr>
          <w:rFonts w:cs="Times New Roman"/>
        </w:rPr>
        <w:t xml:space="preserve">par faktiem </w:t>
      </w:r>
      <w:r w:rsidR="00F76064">
        <w:rPr>
          <w:rFonts w:cs="Times New Roman"/>
        </w:rPr>
        <w:t>izmantošanai nolēmuma pamatošanai</w:t>
      </w:r>
      <w:r w:rsidR="007B48F5" w:rsidRPr="007B48F5">
        <w:rPr>
          <w:rFonts w:cs="Times New Roman"/>
        </w:rPr>
        <w:t>, kas fiksētas konkrētajā kriminālprocesā sniegtajās liecībās</w:t>
      </w:r>
      <w:r w:rsidR="00750A5E">
        <w:rPr>
          <w:rFonts w:cs="Times New Roman"/>
        </w:rPr>
        <w:t xml:space="preserve"> un </w:t>
      </w:r>
      <w:r w:rsidR="00E31E35">
        <w:rPr>
          <w:rFonts w:cs="Times New Roman"/>
        </w:rPr>
        <w:t xml:space="preserve">ietvertas </w:t>
      </w:r>
      <w:r w:rsidR="00750A5E">
        <w:rPr>
          <w:rFonts w:cs="Times New Roman"/>
        </w:rPr>
        <w:t>lietas materiālos</w:t>
      </w:r>
      <w:r w:rsidR="007B48F5" w:rsidRPr="007B48F5">
        <w:rPr>
          <w:rFonts w:cs="Times New Roman"/>
        </w:rPr>
        <w:t>,</w:t>
      </w:r>
      <w:r w:rsidR="00750A5E">
        <w:rPr>
          <w:rFonts w:cs="Times New Roman"/>
        </w:rPr>
        <w:t xml:space="preserve"> pat</w:t>
      </w:r>
      <w:r w:rsidR="00750A5E" w:rsidRPr="007B48F5">
        <w:rPr>
          <w:rFonts w:cs="Times New Roman"/>
        </w:rPr>
        <w:t xml:space="preserve"> </w:t>
      </w:r>
      <w:r w:rsidR="007B48F5" w:rsidRPr="007B48F5">
        <w:rPr>
          <w:rFonts w:cs="Times New Roman"/>
        </w:rPr>
        <w:t xml:space="preserve">tad, ja prokurors tās nav </w:t>
      </w:r>
      <w:r w:rsidR="00E31E35">
        <w:rPr>
          <w:rFonts w:cs="Times New Roman"/>
        </w:rPr>
        <w:t xml:space="preserve">norādījis </w:t>
      </w:r>
      <w:r w:rsidR="007B48F5" w:rsidRPr="007B48F5">
        <w:rPr>
          <w:rFonts w:cs="Times New Roman"/>
        </w:rPr>
        <w:t>tiesā izmantojamo pierādījumu uzskaitījumā,</w:t>
      </w:r>
      <w:r>
        <w:rPr>
          <w:rFonts w:cs="Times New Roman"/>
        </w:rPr>
        <w:t xml:space="preserve"> t</w:t>
      </w:r>
      <w:r w:rsidR="007B48F5" w:rsidRPr="00337E19">
        <w:rPr>
          <w:rFonts w:cs="Times New Roman"/>
        </w:rPr>
        <w:t xml:space="preserve">omēr </w:t>
      </w:r>
      <w:r w:rsidR="00E31E35">
        <w:rPr>
          <w:rFonts w:cs="Times New Roman"/>
        </w:rPr>
        <w:t xml:space="preserve">arī </w:t>
      </w:r>
      <w:r w:rsidR="007B48F5" w:rsidRPr="00337E19">
        <w:rPr>
          <w:rFonts w:cs="Times New Roman"/>
        </w:rPr>
        <w:t>š</w:t>
      </w:r>
      <w:r w:rsidR="00385CD4">
        <w:rPr>
          <w:rFonts w:cs="Times New Roman"/>
        </w:rPr>
        <w:t>ādai</w:t>
      </w:r>
      <w:r w:rsidR="007B48F5" w:rsidRPr="00337E19">
        <w:rPr>
          <w:rFonts w:cs="Times New Roman"/>
        </w:rPr>
        <w:t xml:space="preserve"> piekrišanai </w:t>
      </w:r>
      <w:r w:rsidR="00B17763">
        <w:rPr>
          <w:rFonts w:cs="Times New Roman"/>
        </w:rPr>
        <w:t>jābūt skaidrai un nepārprotamai.</w:t>
      </w:r>
    </w:p>
    <w:p w14:paraId="5E03D6C7" w14:textId="206AFA49" w:rsidR="00E31E35" w:rsidRDefault="00F76064" w:rsidP="00F76064">
      <w:pPr>
        <w:widowControl w:val="0"/>
        <w:spacing w:after="0" w:line="276" w:lineRule="auto"/>
        <w:ind w:firstLine="720"/>
        <w:jc w:val="both"/>
        <w:rPr>
          <w:rFonts w:cs="Times New Roman"/>
        </w:rPr>
      </w:pPr>
      <w:r>
        <w:rPr>
          <w:rFonts w:cs="Times New Roman"/>
        </w:rPr>
        <w:t xml:space="preserve">Pretstatā </w:t>
      </w:r>
      <w:r w:rsidR="00E31E35">
        <w:rPr>
          <w:rFonts w:cs="Times New Roman"/>
        </w:rPr>
        <w:t>situācijai</w:t>
      </w:r>
      <w:r>
        <w:rPr>
          <w:rFonts w:cs="Times New Roman"/>
        </w:rPr>
        <w:t xml:space="preserve"> ar lieciniek</w:t>
      </w:r>
      <w:r w:rsidR="00682CE3">
        <w:rPr>
          <w:rFonts w:cs="Times New Roman"/>
        </w:rPr>
        <w:t>a</w:t>
      </w:r>
      <w:r>
        <w:rPr>
          <w:rFonts w:cs="Times New Roman"/>
        </w:rPr>
        <w:t xml:space="preserve"> </w:t>
      </w:r>
      <w:r w:rsidR="009A3348">
        <w:rPr>
          <w:rFonts w:cs="Times New Roman"/>
        </w:rPr>
        <w:t>[pers. D]</w:t>
      </w:r>
      <w:r w:rsidR="00682CE3">
        <w:rPr>
          <w:rFonts w:cs="Times New Roman"/>
        </w:rPr>
        <w:t xml:space="preserve"> liecībām</w:t>
      </w:r>
      <w:r w:rsidR="00760A5F">
        <w:rPr>
          <w:rFonts w:cs="Times New Roman"/>
        </w:rPr>
        <w:t>,</w:t>
      </w:r>
      <w:r w:rsidR="00682CE3">
        <w:rPr>
          <w:rFonts w:cs="Times New Roman"/>
        </w:rPr>
        <w:t xml:space="preserve"> </w:t>
      </w:r>
      <w:r>
        <w:rPr>
          <w:rFonts w:cs="Times New Roman"/>
        </w:rPr>
        <w:t>p</w:t>
      </w:r>
      <w:r w:rsidR="003826D8">
        <w:rPr>
          <w:rFonts w:cs="Times New Roman"/>
        </w:rPr>
        <w:t>ārbaudot</w:t>
      </w:r>
      <w:r w:rsidR="000F188E">
        <w:rPr>
          <w:rFonts w:cs="Times New Roman"/>
        </w:rPr>
        <w:t xml:space="preserve">, vai aizstāvība piekritusi </w:t>
      </w:r>
      <w:r w:rsidR="009A3348">
        <w:rPr>
          <w:rFonts w:cs="Times New Roman"/>
        </w:rPr>
        <w:t>[pers. E]</w:t>
      </w:r>
      <w:r w:rsidR="003826D8">
        <w:rPr>
          <w:rFonts w:cs="Times New Roman"/>
        </w:rPr>
        <w:t xml:space="preserve"> liecību izmantošan</w:t>
      </w:r>
      <w:r w:rsidR="00B17763">
        <w:rPr>
          <w:rFonts w:cs="Times New Roman"/>
        </w:rPr>
        <w:t>ai</w:t>
      </w:r>
      <w:r w:rsidR="003826D8">
        <w:rPr>
          <w:rFonts w:cs="Times New Roman"/>
        </w:rPr>
        <w:t xml:space="preserve">, </w:t>
      </w:r>
      <w:r w:rsidR="007A0B54">
        <w:rPr>
          <w:rFonts w:cs="Times New Roman"/>
        </w:rPr>
        <w:t>nevar ņem</w:t>
      </w:r>
      <w:r w:rsidR="00B17763">
        <w:rPr>
          <w:rFonts w:cs="Times New Roman"/>
        </w:rPr>
        <w:t>t</w:t>
      </w:r>
      <w:r w:rsidR="007A0B54">
        <w:rPr>
          <w:rFonts w:cs="Times New Roman"/>
        </w:rPr>
        <w:t xml:space="preserve"> vērā </w:t>
      </w:r>
      <w:r w:rsidR="003826D8">
        <w:rPr>
          <w:rFonts w:cs="Times New Roman"/>
        </w:rPr>
        <w:t>apsūdzētā un viņa aizstāves procesuāl</w:t>
      </w:r>
      <w:r w:rsidR="00B523C5">
        <w:rPr>
          <w:rFonts w:cs="Times New Roman"/>
        </w:rPr>
        <w:t>o</w:t>
      </w:r>
      <w:r w:rsidR="003826D8">
        <w:rPr>
          <w:rFonts w:cs="Times New Roman"/>
        </w:rPr>
        <w:t xml:space="preserve"> rīcīb</w:t>
      </w:r>
      <w:r w:rsidR="00B523C5">
        <w:rPr>
          <w:rFonts w:cs="Times New Roman"/>
        </w:rPr>
        <w:t>u</w:t>
      </w:r>
      <w:r w:rsidR="003826D8">
        <w:rPr>
          <w:rFonts w:cs="Times New Roman"/>
        </w:rPr>
        <w:t xml:space="preserve"> līdz pirmās instances tiesa</w:t>
      </w:r>
      <w:r w:rsidR="00B32806">
        <w:rPr>
          <w:rFonts w:cs="Times New Roman"/>
        </w:rPr>
        <w:t xml:space="preserve"> aiz</w:t>
      </w:r>
      <w:r w:rsidR="00326B05">
        <w:rPr>
          <w:rFonts w:cs="Times New Roman"/>
        </w:rPr>
        <w:t>gājusi</w:t>
      </w:r>
      <w:r w:rsidR="00B32806">
        <w:rPr>
          <w:rFonts w:cs="Times New Roman"/>
        </w:rPr>
        <w:t xml:space="preserve"> taisīt </w:t>
      </w:r>
      <w:r w:rsidR="003826D8">
        <w:rPr>
          <w:rFonts w:cs="Times New Roman"/>
        </w:rPr>
        <w:t>spriedum</w:t>
      </w:r>
      <w:r w:rsidR="00B32806">
        <w:rPr>
          <w:rFonts w:cs="Times New Roman"/>
        </w:rPr>
        <w:t>u</w:t>
      </w:r>
      <w:r w:rsidR="00E31E35">
        <w:rPr>
          <w:rFonts w:cs="Times New Roman"/>
        </w:rPr>
        <w:t>.</w:t>
      </w:r>
    </w:p>
    <w:p w14:paraId="35CB7892" w14:textId="2FA67889" w:rsidR="009A6D3F" w:rsidRDefault="00963DFF" w:rsidP="00963DFF">
      <w:pPr>
        <w:widowControl w:val="0"/>
        <w:spacing w:after="0" w:line="276" w:lineRule="auto"/>
        <w:ind w:firstLine="720"/>
        <w:jc w:val="both"/>
        <w:rPr>
          <w:rFonts w:cs="Times New Roman"/>
        </w:rPr>
      </w:pPr>
      <w:r>
        <w:rPr>
          <w:rFonts w:cs="Times New Roman"/>
        </w:rPr>
        <w:t xml:space="preserve">Turklāt Senāts atzīst, ka </w:t>
      </w:r>
      <w:r w:rsidR="00F76064">
        <w:rPr>
          <w:rFonts w:cs="Times New Roman"/>
        </w:rPr>
        <w:t>tiesa, izmantojot nolēmuma pamatošanai</w:t>
      </w:r>
      <w:r w:rsidR="00F76064" w:rsidRPr="009A6D3F">
        <w:rPr>
          <w:rFonts w:cs="Times New Roman"/>
        </w:rPr>
        <w:t xml:space="preserve"> lieciniek</w:t>
      </w:r>
      <w:r w:rsidR="00F76064">
        <w:rPr>
          <w:rFonts w:cs="Times New Roman"/>
        </w:rPr>
        <w:t>a</w:t>
      </w:r>
      <w:r w:rsidR="00F76064" w:rsidRPr="009A6D3F">
        <w:rPr>
          <w:rFonts w:cs="Times New Roman"/>
        </w:rPr>
        <w:t xml:space="preserve"> </w:t>
      </w:r>
      <w:r w:rsidR="009A3348">
        <w:rPr>
          <w:rFonts w:cs="Times New Roman"/>
        </w:rPr>
        <w:t>[pers. E]</w:t>
      </w:r>
      <w:r w:rsidR="00F76064">
        <w:rPr>
          <w:rFonts w:cs="Times New Roman"/>
        </w:rPr>
        <w:t xml:space="preserve"> liecības, kuras prokurors </w:t>
      </w:r>
      <w:r w:rsidR="00F76064" w:rsidRPr="00721BFF">
        <w:rPr>
          <w:rFonts w:cs="Times New Roman"/>
        </w:rPr>
        <w:t>nebija</w:t>
      </w:r>
      <w:r w:rsidR="00F76064">
        <w:rPr>
          <w:rFonts w:cs="Times New Roman"/>
        </w:rPr>
        <w:t xml:space="preserve"> </w:t>
      </w:r>
      <w:r w:rsidR="00F76064" w:rsidRPr="00721BFF">
        <w:rPr>
          <w:rFonts w:cs="Times New Roman"/>
        </w:rPr>
        <w:t>iekļ</w:t>
      </w:r>
      <w:r w:rsidRPr="00721BFF">
        <w:rPr>
          <w:rFonts w:cs="Times New Roman"/>
        </w:rPr>
        <w:t>āvis</w:t>
      </w:r>
      <w:r w:rsidR="00F76064">
        <w:rPr>
          <w:rFonts w:cs="Times New Roman"/>
        </w:rPr>
        <w:t xml:space="preserve"> tiesā izmantojamo pierādījumu uzskaitījumā, </w:t>
      </w:r>
      <w:r w:rsidR="00015D74" w:rsidRPr="00721BFF">
        <w:rPr>
          <w:rFonts w:cs="Times New Roman"/>
        </w:rPr>
        <w:t xml:space="preserve">ir </w:t>
      </w:r>
      <w:r w:rsidR="00F76064" w:rsidRPr="00721BFF">
        <w:rPr>
          <w:rFonts w:cs="Times New Roman"/>
        </w:rPr>
        <w:t>iejaukusies</w:t>
      </w:r>
      <w:r w:rsidR="00F76064" w:rsidRPr="009A6D3F">
        <w:rPr>
          <w:rFonts w:cs="Times New Roman"/>
        </w:rPr>
        <w:t xml:space="preserve"> prokurora ekskluzīvajā kompetencē izvēlēties un norādīt tos pierādījumus, ar kuriem tiek pamatota personai celtā apsūdzība.</w:t>
      </w:r>
      <w:r w:rsidR="00F76064">
        <w:rPr>
          <w:rFonts w:cs="Times New Roman"/>
        </w:rPr>
        <w:t xml:space="preserve"> Tādējādi</w:t>
      </w:r>
      <w:r w:rsidR="00F76064" w:rsidRPr="007709F0">
        <w:rPr>
          <w:rFonts w:cs="Times New Roman"/>
        </w:rPr>
        <w:t xml:space="preserve"> </w:t>
      </w:r>
      <w:r w:rsidR="00F76064">
        <w:rPr>
          <w:rFonts w:cs="Times New Roman"/>
        </w:rPr>
        <w:t xml:space="preserve">tiesa pieļāvusi arī procesuālo funkciju nodalīšanas </w:t>
      </w:r>
      <w:r>
        <w:rPr>
          <w:rFonts w:cs="Times New Roman"/>
        </w:rPr>
        <w:t xml:space="preserve">principa </w:t>
      </w:r>
      <w:r w:rsidR="00F76064">
        <w:rPr>
          <w:rFonts w:cs="Times New Roman"/>
        </w:rPr>
        <w:t>pārkāpumu.</w:t>
      </w:r>
    </w:p>
    <w:p w14:paraId="2BE3A6AC" w14:textId="6A40434A" w:rsidR="009A6D3F" w:rsidRDefault="009A6D3F" w:rsidP="009A6D3F">
      <w:pPr>
        <w:widowControl w:val="0"/>
        <w:spacing w:after="0" w:line="276" w:lineRule="auto"/>
        <w:ind w:firstLine="720"/>
        <w:jc w:val="both"/>
        <w:rPr>
          <w:rFonts w:cs="Times New Roman"/>
        </w:rPr>
      </w:pPr>
      <w:r w:rsidRPr="009A6D3F">
        <w:rPr>
          <w:rFonts w:cs="Times New Roman"/>
        </w:rPr>
        <w:t>K</w:t>
      </w:r>
      <w:r>
        <w:rPr>
          <w:rFonts w:cs="Times New Roman"/>
        </w:rPr>
        <w:t>riminālprocesa likuma</w:t>
      </w:r>
      <w:r w:rsidRPr="009A6D3F">
        <w:rPr>
          <w:rFonts w:cs="Times New Roman"/>
        </w:rPr>
        <w:t xml:space="preserve"> 43.</w:t>
      </w:r>
      <w:r>
        <w:rPr>
          <w:rFonts w:cs="Times New Roman"/>
        </w:rPr>
        <w:t> </w:t>
      </w:r>
      <w:r w:rsidRPr="009A6D3F">
        <w:rPr>
          <w:rFonts w:cs="Times New Roman"/>
        </w:rPr>
        <w:t>p</w:t>
      </w:r>
      <w:r>
        <w:rPr>
          <w:rFonts w:cs="Times New Roman"/>
        </w:rPr>
        <w:t xml:space="preserve">anta pirmās daļas </w:t>
      </w:r>
      <w:r w:rsidRPr="009A6D3F">
        <w:rPr>
          <w:rFonts w:cs="Times New Roman"/>
        </w:rPr>
        <w:t>4.</w:t>
      </w:r>
      <w:r>
        <w:rPr>
          <w:rFonts w:cs="Times New Roman"/>
        </w:rPr>
        <w:t> punkts</w:t>
      </w:r>
      <w:r w:rsidRPr="009A6D3F">
        <w:rPr>
          <w:rFonts w:cs="Times New Roman"/>
        </w:rPr>
        <w:t xml:space="preserve"> </w:t>
      </w:r>
      <w:r>
        <w:rPr>
          <w:rFonts w:cs="Times New Roman"/>
        </w:rPr>
        <w:t xml:space="preserve">noteic, ka </w:t>
      </w:r>
      <w:r w:rsidRPr="009A6D3F">
        <w:rPr>
          <w:rFonts w:cs="Times New Roman"/>
        </w:rPr>
        <w:t>prokuroram, uzturot apsūdzību pirmās un apelācijas instances ties</w:t>
      </w:r>
      <w:r>
        <w:rPr>
          <w:rFonts w:cs="Times New Roman"/>
        </w:rPr>
        <w:t>ā,</w:t>
      </w:r>
      <w:r w:rsidRPr="009A6D3F">
        <w:rPr>
          <w:rFonts w:cs="Times New Roman"/>
        </w:rPr>
        <w:t xml:space="preserve"> ir pienākums un tiesības virzīt apsūdzības pierādījumu pārbaudi. Šī prokurora tiesība </w:t>
      </w:r>
      <w:r>
        <w:rPr>
          <w:rFonts w:cs="Times New Roman"/>
        </w:rPr>
        <w:t xml:space="preserve">ir </w:t>
      </w:r>
      <w:r w:rsidR="00106F4E">
        <w:rPr>
          <w:rFonts w:cs="Times New Roman"/>
        </w:rPr>
        <w:t>aplūkojama</w:t>
      </w:r>
      <w:r w:rsidR="00106F4E" w:rsidRPr="009A6D3F">
        <w:rPr>
          <w:rFonts w:cs="Times New Roman"/>
        </w:rPr>
        <w:t xml:space="preserve"> </w:t>
      </w:r>
      <w:r w:rsidRPr="009A6D3F">
        <w:rPr>
          <w:rFonts w:cs="Times New Roman"/>
        </w:rPr>
        <w:t xml:space="preserve">kopsakarā ar </w:t>
      </w:r>
      <w:r w:rsidR="00D059BA">
        <w:rPr>
          <w:rFonts w:cs="Times New Roman"/>
        </w:rPr>
        <w:t xml:space="preserve">Kriminālprocesa </w:t>
      </w:r>
      <w:r>
        <w:rPr>
          <w:rFonts w:cs="Times New Roman"/>
        </w:rPr>
        <w:t>likuma</w:t>
      </w:r>
      <w:r w:rsidRPr="009A6D3F">
        <w:rPr>
          <w:rFonts w:cs="Times New Roman"/>
        </w:rPr>
        <w:t xml:space="preserve"> 413.</w:t>
      </w:r>
      <w:r w:rsidR="00D9310B">
        <w:rPr>
          <w:rFonts w:cs="Times New Roman"/>
        </w:rPr>
        <w:t> </w:t>
      </w:r>
      <w:r w:rsidRPr="009A6D3F">
        <w:rPr>
          <w:rFonts w:cs="Times New Roman"/>
        </w:rPr>
        <w:t>p</w:t>
      </w:r>
      <w:r>
        <w:rPr>
          <w:rFonts w:cs="Times New Roman"/>
        </w:rPr>
        <w:t xml:space="preserve">anta pirmās daļas </w:t>
      </w:r>
      <w:r w:rsidRPr="009A6D3F">
        <w:rPr>
          <w:rFonts w:cs="Times New Roman"/>
        </w:rPr>
        <w:t>6.</w:t>
      </w:r>
      <w:r>
        <w:rPr>
          <w:rFonts w:cs="Times New Roman"/>
        </w:rPr>
        <w:t> </w:t>
      </w:r>
      <w:r w:rsidRPr="009A6D3F">
        <w:rPr>
          <w:rFonts w:cs="Times New Roman"/>
        </w:rPr>
        <w:t>p</w:t>
      </w:r>
      <w:r>
        <w:rPr>
          <w:rFonts w:cs="Times New Roman"/>
        </w:rPr>
        <w:t>unkt</w:t>
      </w:r>
      <w:r w:rsidR="00D059BA">
        <w:rPr>
          <w:rFonts w:cs="Times New Roman"/>
        </w:rPr>
        <w:t xml:space="preserve">u un </w:t>
      </w:r>
      <w:r w:rsidRPr="009A6D3F">
        <w:rPr>
          <w:rFonts w:cs="Times New Roman"/>
        </w:rPr>
        <w:t xml:space="preserve">šā panta </w:t>
      </w:r>
      <w:r w:rsidR="00D059BA">
        <w:rPr>
          <w:rFonts w:cs="Times New Roman"/>
        </w:rPr>
        <w:t xml:space="preserve">otro </w:t>
      </w:r>
      <w:r>
        <w:rPr>
          <w:rFonts w:cs="Times New Roman"/>
        </w:rPr>
        <w:t>daļ</w:t>
      </w:r>
      <w:r w:rsidR="00D059BA">
        <w:rPr>
          <w:rFonts w:cs="Times New Roman"/>
        </w:rPr>
        <w:t>u, kas</w:t>
      </w:r>
      <w:r>
        <w:rPr>
          <w:rFonts w:cs="Times New Roman"/>
        </w:rPr>
        <w:t xml:space="preserve"> </w:t>
      </w:r>
      <w:r w:rsidR="003408BA">
        <w:rPr>
          <w:rFonts w:cs="Times New Roman"/>
        </w:rPr>
        <w:t>notei</w:t>
      </w:r>
      <w:r w:rsidR="00D059BA">
        <w:rPr>
          <w:rFonts w:cs="Times New Roman"/>
        </w:rPr>
        <w:t>c</w:t>
      </w:r>
      <w:r>
        <w:rPr>
          <w:rFonts w:cs="Times New Roman"/>
        </w:rPr>
        <w:t xml:space="preserve"> </w:t>
      </w:r>
      <w:r w:rsidRPr="009A6D3F">
        <w:rPr>
          <w:rFonts w:cs="Times New Roman"/>
        </w:rPr>
        <w:t>prokurora pienākumu lēmumā par krimināllietas nodošanu tiesai norādīt tiesā izmantojamo pierādījumu uzskaitījumu un lēmumam pievienot to personu sarakstu, kuru liecības iekļautas tiesā izmantojamo pierādījumu uzskaitījumā. Savukārt iztiesāšanā tiesas pilnvaras ierobežo K</w:t>
      </w:r>
      <w:r>
        <w:rPr>
          <w:rFonts w:cs="Times New Roman"/>
        </w:rPr>
        <w:t xml:space="preserve">riminālprocesa likuma </w:t>
      </w:r>
      <w:r w:rsidRPr="009A6D3F">
        <w:rPr>
          <w:rFonts w:cs="Times New Roman"/>
        </w:rPr>
        <w:t>48.</w:t>
      </w:r>
      <w:r>
        <w:rPr>
          <w:rFonts w:cs="Times New Roman"/>
        </w:rPr>
        <w:t> </w:t>
      </w:r>
      <w:r w:rsidRPr="009A6D3F">
        <w:rPr>
          <w:rFonts w:cs="Times New Roman"/>
        </w:rPr>
        <w:t>p</w:t>
      </w:r>
      <w:r>
        <w:rPr>
          <w:rFonts w:cs="Times New Roman"/>
        </w:rPr>
        <w:t xml:space="preserve">anta otrās daļas </w:t>
      </w:r>
      <w:r w:rsidRPr="009A6D3F">
        <w:rPr>
          <w:rFonts w:cs="Times New Roman"/>
        </w:rPr>
        <w:t>3.</w:t>
      </w:r>
      <w:r>
        <w:rPr>
          <w:rFonts w:cs="Times New Roman"/>
        </w:rPr>
        <w:t> </w:t>
      </w:r>
      <w:r w:rsidRPr="009A6D3F">
        <w:rPr>
          <w:rFonts w:cs="Times New Roman"/>
        </w:rPr>
        <w:t>p</w:t>
      </w:r>
      <w:r>
        <w:rPr>
          <w:rFonts w:cs="Times New Roman"/>
        </w:rPr>
        <w:t>unkts</w:t>
      </w:r>
      <w:r w:rsidRPr="009A6D3F">
        <w:rPr>
          <w:rFonts w:cs="Times New Roman"/>
        </w:rPr>
        <w:t xml:space="preserve">, kas </w:t>
      </w:r>
      <w:r w:rsidR="003408BA">
        <w:rPr>
          <w:rFonts w:cs="Times New Roman"/>
        </w:rPr>
        <w:t>paredz</w:t>
      </w:r>
      <w:r w:rsidRPr="009A6D3F">
        <w:rPr>
          <w:rFonts w:cs="Times New Roman"/>
        </w:rPr>
        <w:t>, ka savu funkciju izpildei tiesa kā procesa virzītājs iztiesāšanas stadijā piedalās pierādījumu pārbaudē, neiejaucoties apsūdzības uzturēšanā.</w:t>
      </w:r>
    </w:p>
    <w:p w14:paraId="4D0C0366" w14:textId="7F3F6D73" w:rsidR="00614663" w:rsidRPr="00EC6617" w:rsidRDefault="0083710F" w:rsidP="00614663">
      <w:pPr>
        <w:widowControl w:val="0"/>
        <w:spacing w:after="0" w:line="276" w:lineRule="auto"/>
        <w:ind w:firstLine="720"/>
        <w:jc w:val="both"/>
        <w:rPr>
          <w:color w:val="000000" w:themeColor="text1"/>
        </w:rPr>
      </w:pPr>
      <w:bookmarkStart w:id="21" w:name="_Hlk214724740"/>
      <w:bookmarkStart w:id="22" w:name="_Hlk214722310"/>
      <w:bookmarkEnd w:id="10"/>
      <w:bookmarkEnd w:id="16"/>
      <w:bookmarkEnd w:id="19"/>
      <w:bookmarkEnd w:id="20"/>
      <w:r>
        <w:t>Rezumējot</w:t>
      </w:r>
      <w:r w:rsidR="00614663" w:rsidRPr="003A0AF2">
        <w:t xml:space="preserve"> minēto, Senāts atzīst, ka </w:t>
      </w:r>
      <w:r w:rsidR="00614663" w:rsidRPr="003A0AF2">
        <w:rPr>
          <w:rFonts w:cs="Times New Roman"/>
        </w:rPr>
        <w:t>apelācijas instances tiesa, atstājot negrozītu pirmās instances tiesas spriedumu, kas ir pamatots</w:t>
      </w:r>
      <w:r w:rsidR="00D83DD3">
        <w:rPr>
          <w:rFonts w:cs="Times New Roman"/>
        </w:rPr>
        <w:t xml:space="preserve"> </w:t>
      </w:r>
      <w:proofErr w:type="spellStart"/>
      <w:r w:rsidR="00D83DD3" w:rsidRPr="00D83DD3">
        <w:rPr>
          <w:rFonts w:cs="Times New Roman"/>
          <w:i/>
          <w:iCs/>
        </w:rPr>
        <w:t>inter</w:t>
      </w:r>
      <w:proofErr w:type="spellEnd"/>
      <w:r w:rsidR="00D83DD3" w:rsidRPr="00D83DD3">
        <w:rPr>
          <w:rFonts w:cs="Times New Roman"/>
          <w:i/>
          <w:iCs/>
        </w:rPr>
        <w:t xml:space="preserve"> </w:t>
      </w:r>
      <w:proofErr w:type="spellStart"/>
      <w:r w:rsidR="00D83DD3" w:rsidRPr="00D83DD3">
        <w:rPr>
          <w:rFonts w:cs="Times New Roman"/>
          <w:i/>
          <w:iCs/>
        </w:rPr>
        <w:t>alia</w:t>
      </w:r>
      <w:proofErr w:type="spellEnd"/>
      <w:r w:rsidR="00614663" w:rsidRPr="003A0AF2">
        <w:rPr>
          <w:rFonts w:cs="Times New Roman"/>
        </w:rPr>
        <w:t xml:space="preserve"> ar lieciniek</w:t>
      </w:r>
      <w:r w:rsidR="003A0AF2" w:rsidRPr="003A0AF2">
        <w:rPr>
          <w:rFonts w:cs="Times New Roman"/>
        </w:rPr>
        <w:t>a</w:t>
      </w:r>
      <w:r w:rsidR="00614663" w:rsidRPr="003A0AF2">
        <w:rPr>
          <w:rFonts w:cs="Times New Roman"/>
        </w:rPr>
        <w:t xml:space="preserve"> </w:t>
      </w:r>
      <w:r w:rsidR="009A3348">
        <w:rPr>
          <w:rFonts w:cs="Times New Roman"/>
        </w:rPr>
        <w:t>[pers. E]</w:t>
      </w:r>
      <w:r w:rsidR="006332F8">
        <w:rPr>
          <w:rFonts w:cs="Times New Roman"/>
        </w:rPr>
        <w:t xml:space="preserve"> </w:t>
      </w:r>
      <w:proofErr w:type="spellStart"/>
      <w:r w:rsidR="00614663" w:rsidRPr="003A0AF2">
        <w:t>pirmstiesas</w:t>
      </w:r>
      <w:proofErr w:type="spellEnd"/>
      <w:r w:rsidR="00614663" w:rsidRPr="003A0AF2">
        <w:t xml:space="preserve"> procesā sniegtajām liecībām, turklāt ar šīm liecībām pamatojot arī savus atzinumus,</w:t>
      </w:r>
      <w:r w:rsidR="00614663" w:rsidRPr="003A0AF2">
        <w:rPr>
          <w:rFonts w:cs="Times New Roman"/>
        </w:rPr>
        <w:t xml:space="preserve"> ir pieļāvusi Kriminālprocesa likuma </w:t>
      </w:r>
      <w:r w:rsidR="003104BC">
        <w:rPr>
          <w:rFonts w:cs="Times New Roman"/>
        </w:rPr>
        <w:t>17.</w:t>
      </w:r>
      <w:r w:rsidR="00D9310B">
        <w:rPr>
          <w:rFonts w:cs="Times New Roman"/>
        </w:rPr>
        <w:t> </w:t>
      </w:r>
      <w:r w:rsidR="003104BC">
        <w:rPr>
          <w:rFonts w:cs="Times New Roman"/>
        </w:rPr>
        <w:t xml:space="preserve">panta un </w:t>
      </w:r>
      <w:r w:rsidR="00614663" w:rsidRPr="003A0AF2">
        <w:rPr>
          <w:rFonts w:cs="Times New Roman"/>
          <w:color w:val="000000" w:themeColor="text1"/>
        </w:rPr>
        <w:t>512. panta otrās daļas 4. punkta pārkāpumu</w:t>
      </w:r>
      <w:r>
        <w:rPr>
          <w:rFonts w:cs="Times New Roman"/>
          <w:color w:val="000000" w:themeColor="text1"/>
        </w:rPr>
        <w:t>s</w:t>
      </w:r>
      <w:r w:rsidR="00614663" w:rsidRPr="003A0AF2">
        <w:rPr>
          <w:rFonts w:cs="Times New Roman"/>
          <w:color w:val="000000" w:themeColor="text1"/>
        </w:rPr>
        <w:t>.</w:t>
      </w:r>
    </w:p>
    <w:bookmarkEnd w:id="11"/>
    <w:p w14:paraId="3DADFA1E" w14:textId="4310862E" w:rsidR="00614663" w:rsidRDefault="00694C11" w:rsidP="00963DFF">
      <w:pPr>
        <w:widowControl w:val="0"/>
        <w:shd w:val="clear" w:color="auto" w:fill="FFFFFF"/>
        <w:spacing w:after="0" w:line="276" w:lineRule="auto"/>
        <w:ind w:firstLine="720"/>
        <w:jc w:val="both"/>
      </w:pPr>
      <w:r>
        <w:t>P</w:t>
      </w:r>
      <w:r w:rsidR="00614663" w:rsidRPr="004E6BB1">
        <w:t>amatojoties uz</w:t>
      </w:r>
      <w:r w:rsidR="00614663">
        <w:t xml:space="preserve"> </w:t>
      </w:r>
      <w:r w:rsidR="009A3348">
        <w:t>[pers. E]</w:t>
      </w:r>
      <w:r w:rsidR="00614663">
        <w:t xml:space="preserve"> </w:t>
      </w:r>
      <w:proofErr w:type="spellStart"/>
      <w:r w:rsidR="00514BDA">
        <w:t>pirmstiesas</w:t>
      </w:r>
      <w:proofErr w:type="spellEnd"/>
      <w:r w:rsidR="00514BDA">
        <w:t xml:space="preserve"> procesā sniegtajām </w:t>
      </w:r>
      <w:r w:rsidR="0022545F">
        <w:t xml:space="preserve">liecībām, </w:t>
      </w:r>
      <w:r w:rsidR="009A7DCD">
        <w:t xml:space="preserve">tiesa </w:t>
      </w:r>
      <w:r w:rsidR="00614663" w:rsidRPr="004E6BB1">
        <w:t>atzin</w:t>
      </w:r>
      <w:r w:rsidR="004F15A9">
        <w:t>usi</w:t>
      </w:r>
      <w:r w:rsidR="00614663" w:rsidRPr="004E6BB1">
        <w:t>, ka Rēzeknes novad</w:t>
      </w:r>
      <w:r w:rsidR="00B651AB">
        <w:t>ā,</w:t>
      </w:r>
      <w:r w:rsidR="00614663" w:rsidRPr="004E6BB1">
        <w:t xml:space="preserve"> Maltā konstatētā puspiekabe ar tabakas izstrādājumiem ir tā pati, kuras iebraukšanu Latvijas Republikas teritorijā nodrošināja apsūdzētais. Līdz ar to </w:t>
      </w:r>
      <w:r w:rsidR="000F30E9">
        <w:t xml:space="preserve">tiesa </w:t>
      </w:r>
      <w:r w:rsidR="008E4190">
        <w:t xml:space="preserve">ar </w:t>
      </w:r>
      <w:r w:rsidR="00614663" w:rsidRPr="004E6BB1">
        <w:t>š</w:t>
      </w:r>
      <w:r w:rsidR="00FF08E5">
        <w:t xml:space="preserve">ī </w:t>
      </w:r>
      <w:r w:rsidR="00614663" w:rsidRPr="004E6BB1">
        <w:t>lieciniek</w:t>
      </w:r>
      <w:r w:rsidR="00FF08E5">
        <w:t>a</w:t>
      </w:r>
      <w:r w:rsidR="00614663" w:rsidRPr="004E6BB1">
        <w:t xml:space="preserve"> liecīb</w:t>
      </w:r>
      <w:r w:rsidR="008E4190">
        <w:t xml:space="preserve">ām ir pamatojusi </w:t>
      </w:r>
      <w:r w:rsidR="000F30E9">
        <w:t>pierādīšanas priekšmetā ietilpstoš</w:t>
      </w:r>
      <w:r w:rsidR="008E4190">
        <w:t>us</w:t>
      </w:r>
      <w:r w:rsidR="00614663" w:rsidRPr="004E6BB1">
        <w:t xml:space="preserve"> apstākļ</w:t>
      </w:r>
      <w:r w:rsidR="008E4190">
        <w:t>us</w:t>
      </w:r>
      <w:r w:rsidR="00D04353">
        <w:t>.</w:t>
      </w:r>
    </w:p>
    <w:p w14:paraId="34E64642" w14:textId="3EA40019" w:rsidR="0022545F" w:rsidRDefault="00D04353" w:rsidP="00D65316">
      <w:pPr>
        <w:widowControl w:val="0"/>
        <w:shd w:val="clear" w:color="auto" w:fill="FFFFFF"/>
        <w:spacing w:after="0" w:line="276" w:lineRule="auto"/>
        <w:ind w:firstLine="720"/>
        <w:jc w:val="both"/>
        <w:rPr>
          <w:rFonts w:cs="Times New Roman"/>
        </w:rPr>
      </w:pPr>
      <w:r>
        <w:rPr>
          <w:rFonts w:cs="Times New Roman"/>
        </w:rPr>
        <w:t>Ievērojot minēto</w:t>
      </w:r>
      <w:r w:rsidR="00614663">
        <w:rPr>
          <w:rFonts w:cs="Times New Roman"/>
        </w:rPr>
        <w:t xml:space="preserve">, </w:t>
      </w:r>
      <w:r w:rsidR="00614663">
        <w:t>apelācijas instances tiesas pieļaut</w:t>
      </w:r>
      <w:r w:rsidR="00AD15D7">
        <w:t>ie</w:t>
      </w:r>
      <w:r w:rsidR="00614663">
        <w:t xml:space="preserve"> pārkāpum</w:t>
      </w:r>
      <w:r w:rsidR="00AD15D7">
        <w:t>i</w:t>
      </w:r>
      <w:bookmarkEnd w:id="21"/>
      <w:bookmarkEnd w:id="22"/>
      <w:r w:rsidR="00614663">
        <w:t xml:space="preserve"> ir </w:t>
      </w:r>
      <w:r w:rsidR="00614663" w:rsidRPr="002C4DD5">
        <w:rPr>
          <w:rFonts w:cs="Times New Roman"/>
        </w:rPr>
        <w:t>atzīstam</w:t>
      </w:r>
      <w:r w:rsidR="00AD15D7">
        <w:rPr>
          <w:rFonts w:cs="Times New Roman"/>
        </w:rPr>
        <w:t>i</w:t>
      </w:r>
      <w:r w:rsidR="00614663" w:rsidRPr="002C4DD5">
        <w:rPr>
          <w:rFonts w:cs="Times New Roman"/>
        </w:rPr>
        <w:t xml:space="preserve"> par Kriminālprocesa likuma būtisku pārkāpumu šā likuma 575. panta trešās daļas izpratnē.</w:t>
      </w:r>
    </w:p>
    <w:bookmarkEnd w:id="12"/>
    <w:p w14:paraId="6673DBA3" w14:textId="77777777" w:rsidR="00A271D1" w:rsidRDefault="00A271D1" w:rsidP="00614663">
      <w:pPr>
        <w:widowControl w:val="0"/>
        <w:shd w:val="clear" w:color="auto" w:fill="FFFFFF"/>
        <w:spacing w:after="0" w:line="276" w:lineRule="auto"/>
        <w:ind w:firstLine="720"/>
        <w:jc w:val="both"/>
        <w:rPr>
          <w:rFonts w:cs="Times New Roman"/>
        </w:rPr>
      </w:pPr>
    </w:p>
    <w:p w14:paraId="1586CDBF" w14:textId="06CCB2BE" w:rsidR="00FB197B" w:rsidRDefault="00E869CB" w:rsidP="00301738">
      <w:pPr>
        <w:widowControl w:val="0"/>
        <w:shd w:val="clear" w:color="auto" w:fill="FFFFFF"/>
        <w:spacing w:after="0" w:line="276" w:lineRule="auto"/>
        <w:ind w:firstLine="720"/>
        <w:jc w:val="both"/>
        <w:rPr>
          <w:rFonts w:cs="Times New Roman"/>
        </w:rPr>
      </w:pPr>
      <w:r>
        <w:rPr>
          <w:rFonts w:cs="Times New Roman"/>
        </w:rPr>
        <w:t>[6]</w:t>
      </w:r>
      <w:r w:rsidR="002857A6">
        <w:rPr>
          <w:rFonts w:asciiTheme="majorBidi" w:hAnsiTheme="majorBidi" w:cstheme="majorBidi"/>
        </w:rPr>
        <w:t> </w:t>
      </w:r>
      <w:r w:rsidR="00FB197B">
        <w:rPr>
          <w:rFonts w:asciiTheme="majorBidi" w:hAnsiTheme="majorBidi" w:cstheme="majorBidi"/>
        </w:rPr>
        <w:t xml:space="preserve">Tālāk </w:t>
      </w:r>
      <w:r w:rsidR="00FB197B" w:rsidRPr="00561852">
        <w:rPr>
          <w:rFonts w:asciiTheme="majorBidi" w:hAnsiTheme="majorBidi" w:cstheme="majorBidi"/>
        </w:rPr>
        <w:t xml:space="preserve">Senāts atzīst par nepieciešamu sniegt savu vērtējumu, vai apelācijas instances tiesa ir pieļāvusi kasācijas sūdzībā norādītos Kriminālprocesa likuma 511. panta otrās daļas un 564. panta ceturtās daļas pārkāpumus sprieduma pamatošanā un </w:t>
      </w:r>
      <w:r w:rsidR="00FB197B" w:rsidRPr="00561852">
        <w:rPr>
          <w:rFonts w:asciiTheme="majorBidi" w:hAnsiTheme="majorBidi" w:cstheme="majorBidi"/>
        </w:rPr>
        <w:lastRenderedPageBreak/>
        <w:t xml:space="preserve">pierādījumu novērtēšanā, </w:t>
      </w:r>
      <w:r w:rsidR="00FB197B">
        <w:rPr>
          <w:rFonts w:asciiTheme="majorBidi" w:hAnsiTheme="majorBidi" w:cstheme="majorBidi"/>
        </w:rPr>
        <w:t>nesniedzot motivētu atbildi uz būtiskiem apelācijas sūdzības jautājumiem</w:t>
      </w:r>
      <w:r w:rsidR="00FB197B">
        <w:rPr>
          <w:rFonts w:cs="Times New Roman"/>
        </w:rPr>
        <w:t>.</w:t>
      </w:r>
    </w:p>
    <w:p w14:paraId="254DD336" w14:textId="579F4E2C" w:rsidR="00301738" w:rsidRDefault="00301738" w:rsidP="00301738">
      <w:pPr>
        <w:widowControl w:val="0"/>
        <w:shd w:val="clear" w:color="auto" w:fill="FFFFFF"/>
        <w:spacing w:after="0" w:line="276" w:lineRule="auto"/>
        <w:ind w:firstLine="720"/>
        <w:jc w:val="both"/>
        <w:rPr>
          <w:rFonts w:cs="Times New Roman"/>
        </w:rPr>
      </w:pPr>
      <w:r w:rsidRPr="00C442ED">
        <w:rPr>
          <w:rFonts w:cs="Times New Roman"/>
        </w:rPr>
        <w:t>Atbilstoši Kriminālprocesa likuma 564.</w:t>
      </w:r>
      <w:r>
        <w:rPr>
          <w:rFonts w:cs="Times New Roman"/>
        </w:rPr>
        <w:t> </w:t>
      </w:r>
      <w:r w:rsidRPr="00C442ED">
        <w:rPr>
          <w:rFonts w:cs="Times New Roman"/>
        </w:rPr>
        <w:t>panta ceturtajai daļai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1A504929" w14:textId="2C8C05E1" w:rsidR="00D31BEA" w:rsidRDefault="00D31BEA" w:rsidP="00621006">
      <w:pPr>
        <w:widowControl w:val="0"/>
        <w:shd w:val="clear" w:color="auto" w:fill="FFFFFF"/>
        <w:spacing w:after="0" w:line="276" w:lineRule="auto"/>
        <w:ind w:firstLine="720"/>
        <w:jc w:val="both"/>
        <w:rPr>
          <w:rFonts w:cs="Times New Roman"/>
        </w:rPr>
      </w:pPr>
      <w:r>
        <w:rPr>
          <w:rFonts w:cs="Times New Roman"/>
        </w:rPr>
        <w:t xml:space="preserve">Apelācijas sūdzībā </w:t>
      </w:r>
      <w:r w:rsidRPr="00963DFF">
        <w:rPr>
          <w:rFonts w:cs="Times New Roman"/>
        </w:rPr>
        <w:t>aizstāve norādī</w:t>
      </w:r>
      <w:r>
        <w:rPr>
          <w:rFonts w:cs="Times New Roman"/>
        </w:rPr>
        <w:t>jusi</w:t>
      </w:r>
      <w:r w:rsidRPr="00963DFF">
        <w:rPr>
          <w:rFonts w:cs="Times New Roman"/>
        </w:rPr>
        <w:t xml:space="preserve">, ka </w:t>
      </w:r>
      <w:r>
        <w:rPr>
          <w:rFonts w:cs="Times New Roman"/>
        </w:rPr>
        <w:t xml:space="preserve">pirmās instances </w:t>
      </w:r>
      <w:r w:rsidRPr="00963DFF">
        <w:rPr>
          <w:rFonts w:cs="Times New Roman"/>
        </w:rPr>
        <w:t>tiesa</w:t>
      </w:r>
      <w:r>
        <w:rPr>
          <w:rFonts w:cs="Times New Roman"/>
        </w:rPr>
        <w:t xml:space="preserve"> </w:t>
      </w:r>
      <w:r w:rsidRPr="00963DFF">
        <w:rPr>
          <w:rFonts w:cs="Times New Roman"/>
        </w:rPr>
        <w:t xml:space="preserve">nav </w:t>
      </w:r>
      <w:r>
        <w:rPr>
          <w:rFonts w:cs="Times New Roman"/>
        </w:rPr>
        <w:t>iz</w:t>
      </w:r>
      <w:r w:rsidRPr="00963DFF">
        <w:rPr>
          <w:rFonts w:cs="Times New Roman"/>
        </w:rPr>
        <w:t>vērtējusi aizstāvības norādītos pierādījumus,</w:t>
      </w:r>
      <w:r w:rsidR="00FA0AC7">
        <w:rPr>
          <w:rFonts w:cs="Times New Roman"/>
        </w:rPr>
        <w:t xml:space="preserve"> tajā skaitā liecinieka </w:t>
      </w:r>
      <w:r w:rsidR="000E55EC">
        <w:rPr>
          <w:rFonts w:cs="Times New Roman"/>
        </w:rPr>
        <w:t>[pers. B]</w:t>
      </w:r>
      <w:r w:rsidR="00FA0AC7">
        <w:rPr>
          <w:rFonts w:cs="Times New Roman"/>
        </w:rPr>
        <w:t xml:space="preserve"> pirmās instances tiesā sniegtās liecības, </w:t>
      </w:r>
      <w:r w:rsidRPr="00963DFF">
        <w:rPr>
          <w:rFonts w:cs="Times New Roman"/>
        </w:rPr>
        <w:t xml:space="preserve">ka apsūdzētajam nav bijusi tehniska iespēja nomainīt </w:t>
      </w:r>
      <w:r>
        <w:rPr>
          <w:rFonts w:cs="Times New Roman"/>
        </w:rPr>
        <w:t>datnes</w:t>
      </w:r>
      <w:r w:rsidRPr="00963DFF">
        <w:rPr>
          <w:rFonts w:cs="Times New Roman"/>
        </w:rPr>
        <w:t xml:space="preserve"> serverī</w:t>
      </w:r>
      <w:r w:rsidR="00A422C9">
        <w:rPr>
          <w:rFonts w:cs="Times New Roman"/>
        </w:rPr>
        <w:t xml:space="preserve">, jo </w:t>
      </w:r>
      <w:r w:rsidR="00FA0AC7">
        <w:rPr>
          <w:rFonts w:cs="Times New Roman"/>
        </w:rPr>
        <w:t xml:space="preserve">viņam </w:t>
      </w:r>
      <w:r w:rsidR="00A422C9">
        <w:rPr>
          <w:rFonts w:cs="Times New Roman"/>
        </w:rPr>
        <w:t>nav bijusi servera piekļuves parole</w:t>
      </w:r>
      <w:r w:rsidR="00796CA4">
        <w:rPr>
          <w:rFonts w:cs="Times New Roman"/>
        </w:rPr>
        <w:t xml:space="preserve"> (</w:t>
      </w:r>
      <w:r w:rsidR="00796CA4" w:rsidRPr="00405365">
        <w:rPr>
          <w:rFonts w:cs="Times New Roman"/>
          <w:i/>
          <w:iCs/>
        </w:rPr>
        <w:t xml:space="preserve">lietas </w:t>
      </w:r>
      <w:r w:rsidR="005C2609" w:rsidRPr="00405365">
        <w:rPr>
          <w:rFonts w:cs="Times New Roman"/>
          <w:i/>
          <w:iCs/>
        </w:rPr>
        <w:t>8</w:t>
      </w:r>
      <w:r w:rsidR="00796CA4" w:rsidRPr="00405365">
        <w:rPr>
          <w:rFonts w:cs="Times New Roman"/>
          <w:i/>
          <w:iCs/>
        </w:rPr>
        <w:t>.</w:t>
      </w:r>
      <w:r w:rsidR="00405365">
        <w:rPr>
          <w:rFonts w:cs="Times New Roman"/>
          <w:i/>
          <w:iCs/>
        </w:rPr>
        <w:t> </w:t>
      </w:r>
      <w:r w:rsidR="00796CA4" w:rsidRPr="00405365">
        <w:rPr>
          <w:rFonts w:cs="Times New Roman"/>
          <w:i/>
          <w:iCs/>
        </w:rPr>
        <w:t xml:space="preserve">sējuma </w:t>
      </w:r>
      <w:r w:rsidR="005C2609" w:rsidRPr="00405365">
        <w:rPr>
          <w:rFonts w:cs="Times New Roman"/>
          <w:i/>
          <w:iCs/>
        </w:rPr>
        <w:t>168.–169</w:t>
      </w:r>
      <w:r w:rsidR="00796CA4" w:rsidRPr="00405365">
        <w:rPr>
          <w:rFonts w:cs="Times New Roman"/>
          <w:i/>
          <w:iCs/>
        </w:rPr>
        <w:t>.</w:t>
      </w:r>
      <w:r w:rsidR="00405365">
        <w:rPr>
          <w:rFonts w:cs="Times New Roman"/>
          <w:i/>
          <w:iCs/>
        </w:rPr>
        <w:t> </w:t>
      </w:r>
      <w:r w:rsidR="00796CA4">
        <w:rPr>
          <w:rFonts w:cs="Times New Roman"/>
          <w:i/>
          <w:iCs/>
        </w:rPr>
        <w:t>lapa</w:t>
      </w:r>
      <w:r w:rsidR="00796CA4" w:rsidRPr="007E0594">
        <w:rPr>
          <w:rFonts w:cs="Times New Roman"/>
        </w:rPr>
        <w:t>)</w:t>
      </w:r>
      <w:r>
        <w:rPr>
          <w:rFonts w:cs="Times New Roman"/>
        </w:rPr>
        <w:t>.</w:t>
      </w:r>
    </w:p>
    <w:p w14:paraId="3BDA77FD" w14:textId="74483E49" w:rsidR="004B10D8" w:rsidRDefault="00FB197B" w:rsidP="00B9300D">
      <w:pPr>
        <w:widowControl w:val="0"/>
        <w:shd w:val="clear" w:color="auto" w:fill="FFFFFF"/>
        <w:spacing w:after="0" w:line="276" w:lineRule="auto"/>
        <w:ind w:firstLine="720"/>
        <w:jc w:val="both"/>
        <w:rPr>
          <w:rFonts w:asciiTheme="majorBidi" w:hAnsiTheme="majorBidi" w:cstheme="majorBidi"/>
        </w:rPr>
      </w:pPr>
      <w:r w:rsidRPr="00DF08F2">
        <w:rPr>
          <w:rFonts w:asciiTheme="majorBidi" w:hAnsiTheme="majorBidi" w:cstheme="majorBidi"/>
        </w:rPr>
        <w:t xml:space="preserve">Senāts konstatē, ka </w:t>
      </w:r>
      <w:r w:rsidR="00796CA4" w:rsidRPr="00DF08F2">
        <w:rPr>
          <w:rFonts w:asciiTheme="majorBidi" w:hAnsiTheme="majorBidi" w:cstheme="majorBidi"/>
        </w:rPr>
        <w:t>a</w:t>
      </w:r>
      <w:r w:rsidR="00BB047B" w:rsidRPr="00DF08F2">
        <w:rPr>
          <w:rFonts w:asciiTheme="majorBidi" w:hAnsiTheme="majorBidi" w:cstheme="majorBidi"/>
        </w:rPr>
        <w:t>pelācijas instances tiesa</w:t>
      </w:r>
      <w:r w:rsidRPr="00DF08F2">
        <w:rPr>
          <w:rFonts w:asciiTheme="majorBidi" w:hAnsiTheme="majorBidi" w:cstheme="majorBidi"/>
        </w:rPr>
        <w:t xml:space="preserve">, </w:t>
      </w:r>
      <w:r w:rsidR="005E254E" w:rsidRPr="00DF08F2">
        <w:rPr>
          <w:rFonts w:asciiTheme="majorBidi" w:hAnsiTheme="majorBidi" w:cstheme="majorBidi"/>
        </w:rPr>
        <w:t>noraidot aizstāves apelācijas sūdzīb</w:t>
      </w:r>
      <w:r w:rsidR="003F73CC" w:rsidRPr="00DF08F2">
        <w:rPr>
          <w:rFonts w:asciiTheme="majorBidi" w:hAnsiTheme="majorBidi" w:cstheme="majorBidi"/>
        </w:rPr>
        <w:t>u šajā daļā</w:t>
      </w:r>
      <w:r w:rsidRPr="00DF08F2">
        <w:rPr>
          <w:rFonts w:asciiTheme="majorBidi" w:hAnsiTheme="majorBidi" w:cstheme="majorBidi"/>
        </w:rPr>
        <w:t>, lēmumā</w:t>
      </w:r>
      <w:r w:rsidR="007E0594" w:rsidRPr="00DF08F2">
        <w:rPr>
          <w:rFonts w:asciiTheme="majorBidi" w:hAnsiTheme="majorBidi" w:cstheme="majorBidi"/>
        </w:rPr>
        <w:t xml:space="preserve"> </w:t>
      </w:r>
      <w:r w:rsidR="00D31BEA" w:rsidRPr="00DF08F2">
        <w:rPr>
          <w:rFonts w:asciiTheme="majorBidi" w:hAnsiTheme="majorBidi" w:cstheme="majorBidi"/>
        </w:rPr>
        <w:t>norādījusi</w:t>
      </w:r>
      <w:r w:rsidR="00895A06" w:rsidRPr="00DF08F2">
        <w:rPr>
          <w:rFonts w:asciiTheme="majorBidi" w:hAnsiTheme="majorBidi" w:cstheme="majorBidi"/>
        </w:rPr>
        <w:t>: „N</w:t>
      </w:r>
      <w:r w:rsidR="00D31BEA" w:rsidRPr="00DF08F2">
        <w:rPr>
          <w:rFonts w:asciiTheme="majorBidi" w:hAnsiTheme="majorBidi" w:cstheme="majorBidi"/>
        </w:rPr>
        <w:t xml:space="preserve">o liecinieku </w:t>
      </w:r>
      <w:r w:rsidR="000E55EC">
        <w:rPr>
          <w:rFonts w:asciiTheme="majorBidi" w:hAnsiTheme="majorBidi" w:cstheme="majorBidi"/>
        </w:rPr>
        <w:t>[pers. B]</w:t>
      </w:r>
      <w:r w:rsidR="00D31BEA" w:rsidRPr="00DF08F2">
        <w:rPr>
          <w:rFonts w:asciiTheme="majorBidi" w:hAnsiTheme="majorBidi" w:cstheme="majorBidi"/>
        </w:rPr>
        <w:t xml:space="preserve">, </w:t>
      </w:r>
      <w:r w:rsidR="000E55EC">
        <w:rPr>
          <w:rFonts w:asciiTheme="majorBidi" w:hAnsiTheme="majorBidi" w:cstheme="majorBidi"/>
        </w:rPr>
        <w:t>[pers. C]</w:t>
      </w:r>
      <w:r w:rsidR="00D31BEA" w:rsidRPr="00DF08F2">
        <w:rPr>
          <w:rFonts w:asciiTheme="majorBidi" w:hAnsiTheme="majorBidi" w:cstheme="majorBidi"/>
        </w:rPr>
        <w:t xml:space="preserve"> un </w:t>
      </w:r>
      <w:r w:rsidR="006332F8">
        <w:rPr>
          <w:rFonts w:asciiTheme="majorBidi" w:hAnsiTheme="majorBidi" w:cstheme="majorBidi"/>
        </w:rPr>
        <w:t xml:space="preserve">[pers. F] </w:t>
      </w:r>
      <w:r w:rsidR="00D31BEA" w:rsidRPr="00DF08F2">
        <w:rPr>
          <w:rFonts w:asciiTheme="majorBidi" w:hAnsiTheme="majorBidi" w:cstheme="majorBidi"/>
        </w:rPr>
        <w:t xml:space="preserve">liecībām izriet, ka </w:t>
      </w:r>
      <w:r w:rsidR="00A87158" w:rsidRPr="00DF08F2">
        <w:rPr>
          <w:rFonts w:asciiTheme="majorBidi" w:hAnsiTheme="majorBidi" w:cstheme="majorBidi"/>
        </w:rPr>
        <w:t xml:space="preserve">[..] </w:t>
      </w:r>
      <w:r w:rsidR="00BB047B" w:rsidRPr="00DF08F2">
        <w:rPr>
          <w:rFonts w:asciiTheme="majorBidi" w:hAnsiTheme="majorBidi" w:cstheme="majorBidi"/>
        </w:rPr>
        <w:t xml:space="preserve">pirms 2016. gada 28. novembra, </w:t>
      </w:r>
      <w:r w:rsidR="00A87158" w:rsidRPr="00DF08F2">
        <w:rPr>
          <w:rFonts w:asciiTheme="majorBidi" w:hAnsiTheme="majorBidi" w:cstheme="majorBidi"/>
        </w:rPr>
        <w:t>darbiniekiem</w:t>
      </w:r>
      <w:r w:rsidR="009A59FE" w:rsidRPr="00DF08F2">
        <w:rPr>
          <w:rFonts w:asciiTheme="majorBidi" w:hAnsiTheme="majorBidi" w:cstheme="majorBidi"/>
        </w:rPr>
        <w:t xml:space="preserve"> </w:t>
      </w:r>
      <w:r w:rsidR="00BB047B" w:rsidRPr="00DF08F2">
        <w:rPr>
          <w:rFonts w:asciiTheme="majorBidi" w:hAnsiTheme="majorBidi" w:cstheme="majorBidi"/>
        </w:rPr>
        <w:t xml:space="preserve">nezinot, muitas serverim tika nomainīta </w:t>
      </w:r>
      <w:r w:rsidR="009A59FE" w:rsidRPr="00DF08F2">
        <w:rPr>
          <w:rFonts w:asciiTheme="majorBidi" w:hAnsiTheme="majorBidi" w:cstheme="majorBidi"/>
        </w:rPr>
        <w:t xml:space="preserve">piekļuves </w:t>
      </w:r>
      <w:r w:rsidR="00BB047B" w:rsidRPr="00DF08F2">
        <w:rPr>
          <w:rFonts w:asciiTheme="majorBidi" w:hAnsiTheme="majorBidi" w:cstheme="majorBidi"/>
        </w:rPr>
        <w:t>parole</w:t>
      </w:r>
      <w:r w:rsidR="00A87158" w:rsidRPr="00DF08F2">
        <w:rPr>
          <w:rFonts w:asciiTheme="majorBidi" w:hAnsiTheme="majorBidi" w:cstheme="majorBidi"/>
        </w:rPr>
        <w:t>,</w:t>
      </w:r>
      <w:r w:rsidR="00A87158" w:rsidRPr="00DF08F2">
        <w:rPr>
          <w:rFonts w:asciiTheme="majorBidi" w:hAnsiTheme="majorBidi" w:cstheme="majorBidi"/>
          <w:kern w:val="0"/>
        </w:rPr>
        <w:t xml:space="preserve"> jo </w:t>
      </w:r>
      <w:r w:rsidR="006332F8">
        <w:rPr>
          <w:rFonts w:asciiTheme="majorBidi" w:hAnsiTheme="majorBidi" w:cstheme="majorBidi"/>
          <w:kern w:val="0"/>
        </w:rPr>
        <w:t>[pers. G]</w:t>
      </w:r>
      <w:r w:rsidR="00A87158" w:rsidRPr="00DF08F2">
        <w:rPr>
          <w:rFonts w:asciiTheme="majorBidi" w:hAnsiTheme="majorBidi" w:cstheme="majorBidi"/>
        </w:rPr>
        <w:t xml:space="preserve"> bija aizdomas, ka tieši </w:t>
      </w:r>
      <w:r w:rsidR="00511954">
        <w:rPr>
          <w:rFonts w:asciiTheme="majorBidi" w:hAnsiTheme="majorBidi" w:cstheme="majorBidi"/>
        </w:rPr>
        <w:t>[pers. A]</w:t>
      </w:r>
      <w:r w:rsidR="00A87158" w:rsidRPr="00DF08F2">
        <w:rPr>
          <w:rFonts w:asciiTheme="majorBidi" w:hAnsiTheme="majorBidi" w:cstheme="majorBidi"/>
        </w:rPr>
        <w:t xml:space="preserve"> veic nelikumīgas darbības ar skeneri</w:t>
      </w:r>
      <w:r w:rsidR="00BB047B" w:rsidRPr="00DF08F2">
        <w:rPr>
          <w:rFonts w:asciiTheme="majorBidi" w:hAnsiTheme="majorBidi" w:cstheme="majorBidi"/>
        </w:rPr>
        <w:t xml:space="preserve">. </w:t>
      </w:r>
      <w:r w:rsidR="00A87158" w:rsidRPr="00DF08F2">
        <w:rPr>
          <w:rFonts w:asciiTheme="majorBidi" w:hAnsiTheme="majorBidi" w:cstheme="majorBidi"/>
        </w:rPr>
        <w:t>Sakarā ar servera paroles maiņu serveri nevarēja restartēt ar veco paroli.</w:t>
      </w:r>
      <w:r w:rsidR="00BA130C" w:rsidRPr="00DF08F2">
        <w:rPr>
          <w:rFonts w:asciiTheme="majorBidi" w:hAnsiTheme="majorBidi" w:cstheme="majorBidi"/>
        </w:rPr>
        <w:t xml:space="preserve"> </w:t>
      </w:r>
      <w:r w:rsidR="00A87158" w:rsidRPr="00DF08F2">
        <w:rPr>
          <w:rFonts w:asciiTheme="majorBidi" w:hAnsiTheme="majorBidi" w:cstheme="majorBidi"/>
        </w:rPr>
        <w:t>Konkrētajā gadījumā no operatora datora dati netika pārsūtīti uz serveri, jo uzņemtais attēls</w:t>
      </w:r>
      <w:r w:rsidR="00BA130C" w:rsidRPr="00DF08F2">
        <w:rPr>
          <w:rFonts w:asciiTheme="majorBidi" w:hAnsiTheme="majorBidi" w:cstheme="majorBidi"/>
        </w:rPr>
        <w:t xml:space="preserve"> </w:t>
      </w:r>
      <w:r w:rsidR="00A87158" w:rsidRPr="00DF08F2">
        <w:rPr>
          <w:rFonts w:asciiTheme="majorBidi" w:hAnsiTheme="majorBidi" w:cstheme="majorBidi"/>
        </w:rPr>
        <w:t>nevarēja migrēt un nevarēja veikt analīzi tam, kas nav pārvietots uz serveri. Tāpēc nevarēja</w:t>
      </w:r>
      <w:r w:rsidR="00BA130C" w:rsidRPr="00DF08F2">
        <w:rPr>
          <w:rFonts w:asciiTheme="majorBidi" w:hAnsiTheme="majorBidi" w:cstheme="majorBidi"/>
        </w:rPr>
        <w:t xml:space="preserve"> </w:t>
      </w:r>
      <w:r w:rsidR="00A87158" w:rsidRPr="00DF08F2">
        <w:rPr>
          <w:rFonts w:asciiTheme="majorBidi" w:hAnsiTheme="majorBidi" w:cstheme="majorBidi"/>
        </w:rPr>
        <w:t>reģistrēt jaunu notikumu, kamēr iepriekšējais nebija pabeigts. Līdz ar to, ar nākamo</w:t>
      </w:r>
      <w:r w:rsidR="00BA130C" w:rsidRPr="00DF08F2">
        <w:rPr>
          <w:rFonts w:asciiTheme="majorBidi" w:hAnsiTheme="majorBidi" w:cstheme="majorBidi"/>
        </w:rPr>
        <w:t xml:space="preserve"> </w:t>
      </w:r>
      <w:r w:rsidR="00A87158" w:rsidRPr="00DF08F2">
        <w:rPr>
          <w:rFonts w:asciiTheme="majorBidi" w:hAnsiTheme="majorBidi" w:cstheme="majorBidi"/>
        </w:rPr>
        <w:t>iebraukušo mašīnu skenēšanu nevarēja veikt. Problēma radās, kad serverim bija nomainīta</w:t>
      </w:r>
      <w:r w:rsidR="00BA130C" w:rsidRPr="00DF08F2">
        <w:rPr>
          <w:rFonts w:asciiTheme="majorBidi" w:hAnsiTheme="majorBidi" w:cstheme="majorBidi"/>
        </w:rPr>
        <w:t xml:space="preserve"> </w:t>
      </w:r>
      <w:r w:rsidR="00A87158" w:rsidRPr="00DF08F2">
        <w:rPr>
          <w:rFonts w:asciiTheme="majorBidi" w:hAnsiTheme="majorBidi" w:cstheme="majorBidi"/>
        </w:rPr>
        <w:t>parole, bet lietotājam tā netika nomainīta. Pēc šī gadījuma tika veikta pārbaude</w:t>
      </w:r>
      <w:r w:rsidR="00BA130C" w:rsidRPr="00DF08F2">
        <w:rPr>
          <w:rFonts w:asciiTheme="majorBidi" w:hAnsiTheme="majorBidi" w:cstheme="majorBidi"/>
        </w:rPr>
        <w:t xml:space="preserve"> </w:t>
      </w:r>
      <w:proofErr w:type="spellStart"/>
      <w:r w:rsidR="00A87158" w:rsidRPr="00DF08F2">
        <w:rPr>
          <w:rFonts w:asciiTheme="majorBidi" w:hAnsiTheme="majorBidi" w:cstheme="majorBidi"/>
        </w:rPr>
        <w:t>rentgeniekārtas</w:t>
      </w:r>
      <w:proofErr w:type="spellEnd"/>
      <w:r w:rsidR="00A87158" w:rsidRPr="00DF08F2">
        <w:rPr>
          <w:rFonts w:asciiTheme="majorBidi" w:hAnsiTheme="majorBidi" w:cstheme="majorBidi"/>
        </w:rPr>
        <w:t xml:space="preserve"> datorsistēmā</w:t>
      </w:r>
      <w:r w:rsidR="00D514A9" w:rsidRPr="00DF08F2">
        <w:rPr>
          <w:rFonts w:asciiTheme="majorBidi" w:hAnsiTheme="majorBidi" w:cstheme="majorBidi"/>
        </w:rPr>
        <w:t>,</w:t>
      </w:r>
      <w:r w:rsidR="00A87158" w:rsidRPr="00DF08F2">
        <w:rPr>
          <w:rFonts w:asciiTheme="majorBidi" w:hAnsiTheme="majorBidi" w:cstheme="majorBidi"/>
        </w:rPr>
        <w:t xml:space="preserve"> un atklājās, ka ir veikta skenera attēlu nomaiņa</w:t>
      </w:r>
      <w:r w:rsidR="00BA130C" w:rsidRPr="00DF08F2">
        <w:rPr>
          <w:rFonts w:asciiTheme="majorBidi" w:hAnsiTheme="majorBidi" w:cstheme="majorBidi"/>
        </w:rPr>
        <w:t>.”</w:t>
      </w:r>
    </w:p>
    <w:p w14:paraId="21D800C7" w14:textId="73E865E4" w:rsidR="007D01DC" w:rsidRDefault="00E6606F" w:rsidP="00B9300D">
      <w:pPr>
        <w:widowControl w:val="0"/>
        <w:shd w:val="clear" w:color="auto" w:fill="FFFFFF"/>
        <w:spacing w:after="0" w:line="276" w:lineRule="auto"/>
        <w:ind w:firstLine="720"/>
        <w:jc w:val="both"/>
        <w:rPr>
          <w:rFonts w:cs="Times New Roman"/>
        </w:rPr>
      </w:pPr>
      <w:r w:rsidRPr="00513BE8">
        <w:rPr>
          <w:rFonts w:cs="Times New Roman"/>
        </w:rPr>
        <w:t>Senāts</w:t>
      </w:r>
      <w:r w:rsidR="005E254E">
        <w:rPr>
          <w:rFonts w:cs="Times New Roman"/>
        </w:rPr>
        <w:t xml:space="preserve"> atzīst</w:t>
      </w:r>
      <w:r w:rsidRPr="00513BE8">
        <w:rPr>
          <w:rFonts w:cs="Times New Roman"/>
        </w:rPr>
        <w:t xml:space="preserve">, ka </w:t>
      </w:r>
      <w:r w:rsidR="00BC5235">
        <w:rPr>
          <w:rFonts w:cs="Times New Roman"/>
        </w:rPr>
        <w:t xml:space="preserve">apelācijas instances </w:t>
      </w:r>
      <w:r w:rsidR="00513BE8" w:rsidRPr="00513BE8">
        <w:rPr>
          <w:rFonts w:cs="Times New Roman"/>
        </w:rPr>
        <w:t>tiesa</w:t>
      </w:r>
      <w:r w:rsidRPr="00E6606F">
        <w:rPr>
          <w:rFonts w:cs="Times New Roman"/>
        </w:rPr>
        <w:t xml:space="preserve"> nav </w:t>
      </w:r>
      <w:r w:rsidR="00E10E0B">
        <w:rPr>
          <w:rFonts w:cs="Times New Roman"/>
        </w:rPr>
        <w:t xml:space="preserve">sniegusi </w:t>
      </w:r>
      <w:r w:rsidR="005E254E">
        <w:rPr>
          <w:rFonts w:cs="Times New Roman"/>
        </w:rPr>
        <w:t>skaidru</w:t>
      </w:r>
      <w:r w:rsidR="00453393">
        <w:rPr>
          <w:rFonts w:cs="Times New Roman"/>
        </w:rPr>
        <w:t xml:space="preserve"> un </w:t>
      </w:r>
      <w:r w:rsidR="00D514A9">
        <w:rPr>
          <w:rFonts w:cs="Times New Roman"/>
        </w:rPr>
        <w:t>saprotamu</w:t>
      </w:r>
      <w:r w:rsidR="005E254E">
        <w:rPr>
          <w:rFonts w:cs="Times New Roman"/>
        </w:rPr>
        <w:t xml:space="preserve"> </w:t>
      </w:r>
      <w:r w:rsidR="00E10E0B">
        <w:rPr>
          <w:rFonts w:cs="Times New Roman"/>
        </w:rPr>
        <w:t xml:space="preserve">atbildi, </w:t>
      </w:r>
      <w:r w:rsidR="005E254E">
        <w:rPr>
          <w:rFonts w:cs="Times New Roman"/>
        </w:rPr>
        <w:t xml:space="preserve">kādēļ </w:t>
      </w:r>
      <w:r w:rsidR="00E672B7">
        <w:rPr>
          <w:rFonts w:cs="Times New Roman"/>
        </w:rPr>
        <w:t>situācijā, kad</w:t>
      </w:r>
      <w:r w:rsidRPr="00E6606F">
        <w:rPr>
          <w:rFonts w:cs="Times New Roman"/>
        </w:rPr>
        <w:t xml:space="preserve"> apsūdzētaja</w:t>
      </w:r>
      <w:r>
        <w:rPr>
          <w:rFonts w:cs="Times New Roman"/>
        </w:rPr>
        <w:t>m</w:t>
      </w:r>
      <w:r w:rsidR="00E672B7">
        <w:rPr>
          <w:rFonts w:cs="Times New Roman"/>
        </w:rPr>
        <w:t xml:space="preserve"> </w:t>
      </w:r>
      <w:r w:rsidR="00511954">
        <w:rPr>
          <w:rFonts w:cs="Times New Roman"/>
        </w:rPr>
        <w:t>[pers. A]</w:t>
      </w:r>
      <w:r w:rsidR="00A422C9">
        <w:rPr>
          <w:rFonts w:cs="Times New Roman"/>
        </w:rPr>
        <w:t xml:space="preserve"> </w:t>
      </w:r>
      <w:r w:rsidR="00E672B7">
        <w:rPr>
          <w:rFonts w:cs="Times New Roman"/>
        </w:rPr>
        <w:t xml:space="preserve">nav bijusi zināma servera parole, </w:t>
      </w:r>
      <w:r w:rsidR="00A422C9">
        <w:rPr>
          <w:rFonts w:cs="Times New Roman"/>
        </w:rPr>
        <w:t>tā atzinusi</w:t>
      </w:r>
      <w:r w:rsidR="00796CA4">
        <w:rPr>
          <w:rFonts w:cs="Times New Roman"/>
        </w:rPr>
        <w:t xml:space="preserve"> par pierādītu</w:t>
      </w:r>
      <w:r w:rsidR="00A422C9">
        <w:rPr>
          <w:rFonts w:cs="Times New Roman"/>
        </w:rPr>
        <w:t xml:space="preserve">, ka viņam </w:t>
      </w:r>
      <w:r w:rsidRPr="00963DFF">
        <w:rPr>
          <w:rFonts w:cs="Times New Roman"/>
        </w:rPr>
        <w:t>bija tehniska iespēja</w:t>
      </w:r>
      <w:r w:rsidRPr="00E6606F">
        <w:rPr>
          <w:rFonts w:cs="Times New Roman"/>
        </w:rPr>
        <w:t xml:space="preserve"> veikt </w:t>
      </w:r>
      <w:r w:rsidR="00D56DB7">
        <w:rPr>
          <w:rFonts w:cs="Times New Roman"/>
        </w:rPr>
        <w:t>foto datņu</w:t>
      </w:r>
      <w:r w:rsidRPr="00E6606F">
        <w:rPr>
          <w:rFonts w:cs="Times New Roman"/>
        </w:rPr>
        <w:t xml:space="preserve"> nomaiņu</w:t>
      </w:r>
      <w:r w:rsidR="00B9300D">
        <w:rPr>
          <w:rFonts w:cs="Times New Roman"/>
        </w:rPr>
        <w:t xml:space="preserve"> (</w:t>
      </w:r>
      <w:r w:rsidR="0003282C" w:rsidRPr="0003282C">
        <w:rPr>
          <w:rFonts w:cs="Times New Roman"/>
        </w:rPr>
        <w:t xml:space="preserve">piemēram, </w:t>
      </w:r>
      <w:r w:rsidR="0003282C" w:rsidRPr="00963DFF">
        <w:rPr>
          <w:rFonts w:cs="Times New Roman"/>
        </w:rPr>
        <w:t>vai</w:t>
      </w:r>
      <w:r w:rsidR="0003282C" w:rsidRPr="0003282C">
        <w:rPr>
          <w:rFonts w:cs="Times New Roman"/>
        </w:rPr>
        <w:t xml:space="preserve"> </w:t>
      </w:r>
      <w:r w:rsidR="00D56DB7">
        <w:rPr>
          <w:rFonts w:cs="Times New Roman"/>
        </w:rPr>
        <w:t xml:space="preserve">tāpēc, ka </w:t>
      </w:r>
      <w:r w:rsidR="00134919">
        <w:rPr>
          <w:rFonts w:cs="Times New Roman"/>
        </w:rPr>
        <w:t>datņu</w:t>
      </w:r>
      <w:r w:rsidR="0003282C" w:rsidRPr="0003282C">
        <w:rPr>
          <w:rFonts w:cs="Times New Roman"/>
        </w:rPr>
        <w:t xml:space="preserve"> nomaiņa tika</w:t>
      </w:r>
      <w:r w:rsidR="00E672B7">
        <w:rPr>
          <w:rFonts w:cs="Times New Roman"/>
        </w:rPr>
        <w:t xml:space="preserve"> veikta</w:t>
      </w:r>
      <w:r w:rsidR="0003282C" w:rsidRPr="0003282C">
        <w:rPr>
          <w:rFonts w:cs="Times New Roman"/>
        </w:rPr>
        <w:t xml:space="preserve"> nevis serverī, bet datorā, ar kuru strādāja apsūdzētais, vai</w:t>
      </w:r>
      <w:r w:rsidR="00D56DB7">
        <w:rPr>
          <w:rFonts w:cs="Times New Roman"/>
        </w:rPr>
        <w:t xml:space="preserve"> </w:t>
      </w:r>
      <w:r w:rsidR="00B9300D">
        <w:rPr>
          <w:rFonts w:cs="Times New Roman"/>
        </w:rPr>
        <w:t xml:space="preserve">arī </w:t>
      </w:r>
      <w:r w:rsidR="00D56DB7">
        <w:rPr>
          <w:rFonts w:cs="Times New Roman"/>
        </w:rPr>
        <w:t>tāpēc, ka</w:t>
      </w:r>
      <w:r w:rsidR="0003282C" w:rsidRPr="0003282C">
        <w:rPr>
          <w:rFonts w:cs="Times New Roman"/>
        </w:rPr>
        <w:t xml:space="preserve"> </w:t>
      </w:r>
      <w:r w:rsidR="00134919">
        <w:rPr>
          <w:rFonts w:cs="Times New Roman"/>
        </w:rPr>
        <w:t xml:space="preserve">datņu </w:t>
      </w:r>
      <w:r w:rsidR="00D56DB7">
        <w:rPr>
          <w:rFonts w:cs="Times New Roman"/>
        </w:rPr>
        <w:t>no</w:t>
      </w:r>
      <w:r w:rsidR="00E672B7">
        <w:rPr>
          <w:rFonts w:cs="Times New Roman"/>
        </w:rPr>
        <w:t xml:space="preserve">maiņa notika serverī, </w:t>
      </w:r>
      <w:r w:rsidR="00455F57">
        <w:rPr>
          <w:rFonts w:cs="Times New Roman"/>
        </w:rPr>
        <w:t>taču</w:t>
      </w:r>
      <w:r w:rsidR="00E672B7">
        <w:rPr>
          <w:rFonts w:cs="Times New Roman"/>
        </w:rPr>
        <w:t xml:space="preserve"> tehniskās</w:t>
      </w:r>
      <w:r w:rsidR="0003282C" w:rsidRPr="0003282C">
        <w:rPr>
          <w:rFonts w:cs="Times New Roman"/>
        </w:rPr>
        <w:t xml:space="preserve"> problēma</w:t>
      </w:r>
      <w:r w:rsidR="00E672B7">
        <w:rPr>
          <w:rFonts w:cs="Times New Roman"/>
        </w:rPr>
        <w:t>s</w:t>
      </w:r>
      <w:r w:rsidR="0003282C" w:rsidRPr="0003282C">
        <w:rPr>
          <w:rFonts w:cs="Times New Roman"/>
        </w:rPr>
        <w:t xml:space="preserve"> ar </w:t>
      </w:r>
      <w:r w:rsidR="00134919">
        <w:rPr>
          <w:rFonts w:cs="Times New Roman"/>
        </w:rPr>
        <w:t>datņu</w:t>
      </w:r>
      <w:r w:rsidR="00134919" w:rsidRPr="0003282C">
        <w:rPr>
          <w:rFonts w:cs="Times New Roman"/>
        </w:rPr>
        <w:t xml:space="preserve"> </w:t>
      </w:r>
      <w:r w:rsidR="0003282C" w:rsidRPr="0003282C">
        <w:rPr>
          <w:rFonts w:cs="Times New Roman"/>
        </w:rPr>
        <w:t>pārsūtīšanu uz serveri radās tikai pēc tam, kad apsūdzētais bija veicis apsūdzībā norādītās automašīnas foto</w:t>
      </w:r>
      <w:r w:rsidR="00387A35">
        <w:rPr>
          <w:rFonts w:cs="Times New Roman"/>
        </w:rPr>
        <w:t xml:space="preserve"> </w:t>
      </w:r>
      <w:r w:rsidR="0003282C" w:rsidRPr="0003282C">
        <w:rPr>
          <w:rFonts w:cs="Times New Roman"/>
        </w:rPr>
        <w:t xml:space="preserve">datņu nomaiņu, </w:t>
      </w:r>
      <w:r w:rsidR="0003282C" w:rsidRPr="00963DFF">
        <w:rPr>
          <w:rFonts w:cs="Times New Roman"/>
        </w:rPr>
        <w:t>vai</w:t>
      </w:r>
      <w:r w:rsidR="0003282C" w:rsidRPr="0003282C">
        <w:rPr>
          <w:rFonts w:cs="Times New Roman"/>
        </w:rPr>
        <w:t xml:space="preserve"> citu iemeslu dēļ</w:t>
      </w:r>
      <w:r w:rsidR="00B9300D">
        <w:rPr>
          <w:rFonts w:cs="Times New Roman"/>
        </w:rPr>
        <w:t>)</w:t>
      </w:r>
      <w:r w:rsidR="0003282C" w:rsidRPr="0003282C">
        <w:rPr>
          <w:rFonts w:cs="Times New Roman"/>
        </w:rPr>
        <w:t>.</w:t>
      </w:r>
    </w:p>
    <w:p w14:paraId="52764ACC" w14:textId="12CA5C36" w:rsidR="00225874" w:rsidRDefault="00134919" w:rsidP="00922F10">
      <w:pPr>
        <w:widowControl w:val="0"/>
        <w:shd w:val="clear" w:color="auto" w:fill="FFFFFF"/>
        <w:spacing w:after="0" w:line="276" w:lineRule="auto"/>
        <w:ind w:firstLine="720"/>
        <w:jc w:val="both"/>
        <w:rPr>
          <w:rFonts w:cs="Times New Roman"/>
        </w:rPr>
      </w:pPr>
      <w:r>
        <w:rPr>
          <w:rFonts w:cs="Times New Roman"/>
        </w:rPr>
        <w:t>Tiesa</w:t>
      </w:r>
      <w:r w:rsidR="003F73CC">
        <w:rPr>
          <w:rFonts w:cs="Times New Roman"/>
        </w:rPr>
        <w:t xml:space="preserve"> </w:t>
      </w:r>
      <w:r w:rsidR="00EF57E3">
        <w:rPr>
          <w:rFonts w:cs="Times New Roman"/>
        </w:rPr>
        <w:t xml:space="preserve">nolēmumā </w:t>
      </w:r>
      <w:r w:rsidR="00F91AE4">
        <w:rPr>
          <w:rFonts w:cs="Times New Roman"/>
        </w:rPr>
        <w:t xml:space="preserve">nav </w:t>
      </w:r>
      <w:r w:rsidR="000621B5">
        <w:rPr>
          <w:rFonts w:cs="Times New Roman"/>
        </w:rPr>
        <w:t xml:space="preserve">saprotamā veidā </w:t>
      </w:r>
      <w:r w:rsidR="00F91AE4">
        <w:rPr>
          <w:rFonts w:cs="Times New Roman"/>
        </w:rPr>
        <w:t>izskaidrojusi</w:t>
      </w:r>
      <w:r w:rsidR="003F73CC">
        <w:rPr>
          <w:rFonts w:cs="Times New Roman"/>
        </w:rPr>
        <w:t xml:space="preserve"> datņu apmaiņas tehnisko procesu</w:t>
      </w:r>
      <w:r w:rsidR="00EF57E3">
        <w:rPr>
          <w:rFonts w:cs="Times New Roman"/>
        </w:rPr>
        <w:t xml:space="preserve">, kā arī nav norādījusi, vai un kāda nozīme izskatāmajā lietā </w:t>
      </w:r>
      <w:r w:rsidR="00B9300D">
        <w:rPr>
          <w:rFonts w:cs="Times New Roman"/>
        </w:rPr>
        <w:t xml:space="preserve">vispār </w:t>
      </w:r>
      <w:r w:rsidR="00EF57E3">
        <w:rPr>
          <w:rFonts w:cs="Times New Roman"/>
        </w:rPr>
        <w:t xml:space="preserve">ir </w:t>
      </w:r>
      <w:r w:rsidR="00621006" w:rsidRPr="000640A6">
        <w:rPr>
          <w:rFonts w:cs="Times New Roman"/>
        </w:rPr>
        <w:t xml:space="preserve">liecinieka </w:t>
      </w:r>
      <w:r w:rsidR="000E55EC">
        <w:rPr>
          <w:rFonts w:cs="Times New Roman"/>
        </w:rPr>
        <w:t>[pers. B]</w:t>
      </w:r>
      <w:r w:rsidR="00621006" w:rsidRPr="000640A6">
        <w:rPr>
          <w:rFonts w:cs="Times New Roman"/>
        </w:rPr>
        <w:t xml:space="preserve"> pirmās instances tiesā </w:t>
      </w:r>
      <w:r w:rsidR="00C82756">
        <w:rPr>
          <w:rFonts w:cs="Times New Roman"/>
        </w:rPr>
        <w:t xml:space="preserve">sniegtajām ziņām, ka ar skeneri uzņemto datņu nomaiņai nepieciešama </w:t>
      </w:r>
      <w:r w:rsidR="004A2441" w:rsidDel="00BA130C">
        <w:rPr>
          <w:rFonts w:cs="Times New Roman"/>
        </w:rPr>
        <w:t>piekļuve</w:t>
      </w:r>
      <w:r w:rsidR="007D01DC">
        <w:rPr>
          <w:rFonts w:cs="Times New Roman"/>
        </w:rPr>
        <w:t xml:space="preserve"> </w:t>
      </w:r>
      <w:r w:rsidR="00C82756">
        <w:rPr>
          <w:rFonts w:cs="Times New Roman"/>
        </w:rPr>
        <w:t>serverim</w:t>
      </w:r>
      <w:r w:rsidR="00621006" w:rsidRPr="000640A6" w:rsidDel="00BA130C">
        <w:rPr>
          <w:rFonts w:cs="Times New Roman"/>
        </w:rPr>
        <w:t xml:space="preserve"> </w:t>
      </w:r>
      <w:r w:rsidR="007E0594" w:rsidRPr="00405365" w:rsidDel="00BA130C">
        <w:rPr>
          <w:rFonts w:cs="Times New Roman"/>
        </w:rPr>
        <w:t>(</w:t>
      </w:r>
      <w:r w:rsidR="007E0594" w:rsidRPr="00405365" w:rsidDel="00BA130C">
        <w:rPr>
          <w:rFonts w:cs="Times New Roman"/>
          <w:i/>
          <w:iCs/>
        </w:rPr>
        <w:t xml:space="preserve">lietas </w:t>
      </w:r>
      <w:r w:rsidR="005C2609" w:rsidRPr="00405365" w:rsidDel="00BA130C">
        <w:rPr>
          <w:rFonts w:cs="Times New Roman"/>
          <w:i/>
          <w:iCs/>
        </w:rPr>
        <w:t>8</w:t>
      </w:r>
      <w:r w:rsidR="007E0594" w:rsidRPr="00405365" w:rsidDel="00BA130C">
        <w:rPr>
          <w:rFonts w:cs="Times New Roman"/>
          <w:i/>
          <w:iCs/>
        </w:rPr>
        <w:t xml:space="preserve">. sējuma </w:t>
      </w:r>
      <w:r w:rsidR="005C2609" w:rsidRPr="00405365" w:rsidDel="00BA130C">
        <w:rPr>
          <w:rFonts w:cs="Times New Roman"/>
          <w:i/>
          <w:iCs/>
        </w:rPr>
        <w:t>2</w:t>
      </w:r>
      <w:r w:rsidR="004A2441" w:rsidRPr="00405365" w:rsidDel="00BA130C">
        <w:rPr>
          <w:rFonts w:cs="Times New Roman"/>
          <w:i/>
          <w:iCs/>
        </w:rPr>
        <w:t>4</w:t>
      </w:r>
      <w:r w:rsidR="007E0594" w:rsidRPr="00405365" w:rsidDel="00BA130C">
        <w:rPr>
          <w:rFonts w:cs="Times New Roman"/>
          <w:i/>
          <w:iCs/>
        </w:rPr>
        <w:t>. lapa</w:t>
      </w:r>
      <w:r w:rsidR="007E0594" w:rsidRPr="00405365" w:rsidDel="00BA130C">
        <w:rPr>
          <w:rFonts w:cs="Times New Roman"/>
        </w:rPr>
        <w:t>)</w:t>
      </w:r>
      <w:r w:rsidR="00621006" w:rsidRPr="00405365">
        <w:rPr>
          <w:rFonts w:cs="Times New Roman"/>
        </w:rPr>
        <w:t>.</w:t>
      </w:r>
      <w:r w:rsidR="008612CB">
        <w:rPr>
          <w:rFonts w:cs="Times New Roman"/>
        </w:rPr>
        <w:t xml:space="preserve"> </w:t>
      </w:r>
      <w:r w:rsidR="00225874" w:rsidRPr="00511E6B">
        <w:rPr>
          <w:rFonts w:cs="Times New Roman"/>
        </w:rPr>
        <w:t xml:space="preserve">Nesniedzot skaidru un saprotamu atbildi uz aizstāves apelācijas sūdzības argumentiem, kuri pēc būtības ir aizstāvības </w:t>
      </w:r>
      <w:r w:rsidR="00326B05">
        <w:rPr>
          <w:rFonts w:cs="Times New Roman"/>
        </w:rPr>
        <w:t xml:space="preserve">pozīcijas </w:t>
      </w:r>
      <w:r w:rsidR="00225874" w:rsidRPr="00511E6B">
        <w:rPr>
          <w:rFonts w:cs="Times New Roman"/>
        </w:rPr>
        <w:t xml:space="preserve">pamatā, apelācijas instances tiesa ir pārkāpusi Kriminālprocesa likuma </w:t>
      </w:r>
      <w:r w:rsidR="00225874" w:rsidRPr="00511E6B">
        <w:rPr>
          <w:rFonts w:asciiTheme="majorBidi" w:hAnsiTheme="majorBidi" w:cstheme="majorBidi"/>
        </w:rPr>
        <w:t>511. panta otro daļu</w:t>
      </w:r>
      <w:r w:rsidR="00225874" w:rsidRPr="00511E6B">
        <w:rPr>
          <w:rFonts w:cs="Times New Roman"/>
        </w:rPr>
        <w:t xml:space="preserve"> un 564. panta ceturto daļu.</w:t>
      </w:r>
    </w:p>
    <w:p w14:paraId="43020B06" w14:textId="5094AF1B" w:rsidR="0067472C" w:rsidRDefault="00975EF9" w:rsidP="006D4007">
      <w:pPr>
        <w:widowControl w:val="0"/>
        <w:shd w:val="clear" w:color="auto" w:fill="FFFFFF"/>
        <w:spacing w:after="0" w:line="276" w:lineRule="auto"/>
        <w:ind w:firstLine="720"/>
        <w:jc w:val="both"/>
        <w:rPr>
          <w:rFonts w:asciiTheme="majorBidi" w:hAnsiTheme="majorBidi" w:cstheme="majorBidi"/>
        </w:rPr>
      </w:pPr>
      <w:r>
        <w:rPr>
          <w:rFonts w:cs="Times New Roman"/>
        </w:rPr>
        <w:t>P</w:t>
      </w:r>
      <w:r w:rsidR="0067472C">
        <w:t>amatojuma princips ir viens no procesuālā taisnīguma nodrošināšanas līdzekļiem, un atbilstoši tam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Motīvu norādīšana tiesas nolēmumā ir viens no līdzekļiem, kas izslēdz tiesas patvaļas iespējamību un ļauj personai pārliecināties, ka tā ir uzklausīta un tās sniegtie argumenti ir izvērtēti (sk. </w:t>
      </w:r>
      <w:r w:rsidR="0067472C">
        <w:rPr>
          <w:i/>
          <w:iCs/>
        </w:rPr>
        <w:t>Senāta 2022. gada 5. jūlija lēmuma lietā Nr. </w:t>
      </w:r>
      <w:r w:rsidR="0067472C" w:rsidRPr="002142A8">
        <w:rPr>
          <w:i/>
          <w:iCs/>
        </w:rPr>
        <w:t>SKK</w:t>
      </w:r>
      <w:r w:rsidR="0067472C" w:rsidRPr="002142A8">
        <w:rPr>
          <w:i/>
          <w:iCs/>
        </w:rPr>
        <w:noBreakHyphen/>
        <w:t>1/2022</w:t>
      </w:r>
      <w:r w:rsidR="0067472C">
        <w:rPr>
          <w:i/>
          <w:iCs/>
        </w:rPr>
        <w:t xml:space="preserve">, </w:t>
      </w:r>
      <w:hyperlink r:id="rId13" w:history="1">
        <w:r w:rsidR="0067472C" w:rsidRPr="005120FC">
          <w:rPr>
            <w:rStyle w:val="Hyperlink"/>
            <w:i/>
            <w:iCs/>
          </w:rPr>
          <w:t>ECLI:LV:AT:2022:0705.11816006914.4.L</w:t>
        </w:r>
      </w:hyperlink>
      <w:r w:rsidR="0067472C">
        <w:rPr>
          <w:i/>
          <w:iCs/>
        </w:rPr>
        <w:t>, 18. punkts</w:t>
      </w:r>
      <w:r w:rsidR="0067472C">
        <w:t>).</w:t>
      </w:r>
    </w:p>
    <w:p w14:paraId="275EE988" w14:textId="09AA317C" w:rsidR="007B7839" w:rsidRDefault="00975EF9" w:rsidP="007B7839">
      <w:pPr>
        <w:widowControl w:val="0"/>
        <w:shd w:val="clear" w:color="auto" w:fill="FFFFFF"/>
        <w:spacing w:after="0" w:line="276" w:lineRule="auto"/>
        <w:ind w:firstLine="720"/>
        <w:jc w:val="both"/>
        <w:rPr>
          <w:rFonts w:asciiTheme="majorBidi" w:hAnsiTheme="majorBidi" w:cstheme="majorBidi"/>
        </w:rPr>
      </w:pPr>
      <w:r w:rsidRPr="007D01DC">
        <w:rPr>
          <w:rFonts w:asciiTheme="majorBidi" w:hAnsiTheme="majorBidi" w:cstheme="majorBidi"/>
        </w:rPr>
        <w:lastRenderedPageBreak/>
        <w:t xml:space="preserve">Senāts norāda, ka </w:t>
      </w:r>
      <w:r w:rsidR="00072C25" w:rsidRPr="00511E6B">
        <w:rPr>
          <w:rFonts w:asciiTheme="majorBidi" w:hAnsiTheme="majorBidi" w:cstheme="majorBidi"/>
        </w:rPr>
        <w:t>saskaņā ar</w:t>
      </w:r>
      <w:r w:rsidR="00462E18" w:rsidRPr="007D01DC">
        <w:rPr>
          <w:rFonts w:asciiTheme="majorBidi" w:hAnsiTheme="majorBidi" w:cstheme="majorBidi"/>
        </w:rPr>
        <w:t xml:space="preserve"> pamatojuma princip</w:t>
      </w:r>
      <w:r w:rsidR="00072C25" w:rsidRPr="00511E6B">
        <w:rPr>
          <w:rFonts w:asciiTheme="majorBidi" w:hAnsiTheme="majorBidi" w:cstheme="majorBidi"/>
        </w:rPr>
        <w:t>u</w:t>
      </w:r>
      <w:r w:rsidR="00462E18" w:rsidRPr="007D01DC">
        <w:rPr>
          <w:rFonts w:asciiTheme="majorBidi" w:hAnsiTheme="majorBidi" w:cstheme="majorBidi"/>
        </w:rPr>
        <w:t xml:space="preserve"> tiesas m</w:t>
      </w:r>
      <w:r w:rsidR="00B05647" w:rsidRPr="007D01DC">
        <w:rPr>
          <w:rFonts w:asciiTheme="majorBidi" w:hAnsiTheme="majorBidi" w:cstheme="majorBidi"/>
        </w:rPr>
        <w:t>otīv</w:t>
      </w:r>
      <w:r w:rsidR="00DF08F2">
        <w:rPr>
          <w:rFonts w:asciiTheme="majorBidi" w:hAnsiTheme="majorBidi" w:cstheme="majorBidi"/>
        </w:rPr>
        <w:t xml:space="preserve">iem </w:t>
      </w:r>
      <w:r w:rsidR="00462E18" w:rsidRPr="007D01DC">
        <w:rPr>
          <w:rFonts w:asciiTheme="majorBidi" w:hAnsiTheme="majorBidi" w:cstheme="majorBidi"/>
        </w:rPr>
        <w:t>ir jā</w:t>
      </w:r>
      <w:r w:rsidR="00FD6996" w:rsidRPr="007D01DC">
        <w:rPr>
          <w:rFonts w:asciiTheme="majorBidi" w:hAnsiTheme="majorBidi" w:cstheme="majorBidi"/>
        </w:rPr>
        <w:t>būt ne tikai pietiekam</w:t>
      </w:r>
      <w:r w:rsidR="00DF08F2">
        <w:rPr>
          <w:rFonts w:asciiTheme="majorBidi" w:hAnsiTheme="majorBidi" w:cstheme="majorBidi"/>
        </w:rPr>
        <w:t>ie</w:t>
      </w:r>
      <w:r w:rsidR="00FD6996" w:rsidRPr="007D01DC">
        <w:rPr>
          <w:rFonts w:asciiTheme="majorBidi" w:hAnsiTheme="majorBidi" w:cstheme="majorBidi"/>
        </w:rPr>
        <w:t>m (kvantitātes jeb apjoma prasība)</w:t>
      </w:r>
      <w:r w:rsidR="00462E18" w:rsidRPr="007D01DC">
        <w:rPr>
          <w:rFonts w:asciiTheme="majorBidi" w:hAnsiTheme="majorBidi" w:cstheme="majorBidi"/>
        </w:rPr>
        <w:t xml:space="preserve">, bet arī </w:t>
      </w:r>
      <w:r w:rsidR="00FD6996" w:rsidRPr="007D01DC">
        <w:rPr>
          <w:rFonts w:asciiTheme="majorBidi" w:hAnsiTheme="majorBidi" w:cstheme="majorBidi"/>
        </w:rPr>
        <w:t xml:space="preserve">tādā kvalitātē, lai </w:t>
      </w:r>
      <w:r w:rsidR="00DF08F2">
        <w:rPr>
          <w:rFonts w:asciiTheme="majorBidi" w:hAnsiTheme="majorBidi" w:cstheme="majorBidi"/>
        </w:rPr>
        <w:t>t</w:t>
      </w:r>
      <w:r w:rsidR="008C3785">
        <w:rPr>
          <w:rFonts w:asciiTheme="majorBidi" w:hAnsiTheme="majorBidi" w:cstheme="majorBidi"/>
        </w:rPr>
        <w:t>o izklāsts</w:t>
      </w:r>
      <w:r w:rsidR="00096EEE" w:rsidRPr="00511E6B">
        <w:rPr>
          <w:rFonts w:asciiTheme="majorBidi" w:hAnsiTheme="majorBidi" w:cstheme="majorBidi"/>
        </w:rPr>
        <w:t xml:space="preserve"> </w:t>
      </w:r>
      <w:r w:rsidR="00072C25" w:rsidRPr="00511E6B">
        <w:rPr>
          <w:rFonts w:asciiTheme="majorBidi" w:hAnsiTheme="majorBidi" w:cstheme="majorBidi"/>
        </w:rPr>
        <w:t>būtu saprotam</w:t>
      </w:r>
      <w:r w:rsidR="008C3785">
        <w:rPr>
          <w:rFonts w:asciiTheme="majorBidi" w:hAnsiTheme="majorBidi" w:cstheme="majorBidi"/>
        </w:rPr>
        <w:t>s</w:t>
      </w:r>
      <w:r w:rsidR="00072C25" w:rsidRPr="00511E6B">
        <w:rPr>
          <w:rFonts w:asciiTheme="majorBidi" w:hAnsiTheme="majorBidi" w:cstheme="majorBidi"/>
        </w:rPr>
        <w:t xml:space="preserve"> saprātīgam vērotājam</w:t>
      </w:r>
      <w:r w:rsidR="004B10D8">
        <w:rPr>
          <w:rFonts w:asciiTheme="majorBidi" w:hAnsiTheme="majorBidi" w:cstheme="majorBidi"/>
        </w:rPr>
        <w:t xml:space="preserve"> no malas</w:t>
      </w:r>
      <w:r w:rsidR="00072C25" w:rsidRPr="00511E6B">
        <w:rPr>
          <w:rFonts w:asciiTheme="majorBidi" w:hAnsiTheme="majorBidi" w:cstheme="majorBidi"/>
        </w:rPr>
        <w:t xml:space="preserve"> un sniegtu skaidru priekšstatu par lietas taisnīgai izspriešanai nozīmīgiem apstākļiem</w:t>
      </w:r>
      <w:r w:rsidR="00A450ED" w:rsidRPr="007D01DC">
        <w:rPr>
          <w:rFonts w:asciiTheme="majorBidi" w:hAnsiTheme="majorBidi" w:cstheme="majorBidi"/>
        </w:rPr>
        <w:t>.</w:t>
      </w:r>
    </w:p>
    <w:p w14:paraId="56DD3870" w14:textId="0F42B6A1" w:rsidR="004B10D8" w:rsidRPr="008612CB" w:rsidRDefault="00CE789E" w:rsidP="00614663">
      <w:pPr>
        <w:widowControl w:val="0"/>
        <w:shd w:val="clear" w:color="auto" w:fill="FFFFFF"/>
        <w:spacing w:after="0" w:line="276" w:lineRule="auto"/>
        <w:ind w:firstLine="720"/>
        <w:jc w:val="both"/>
        <w:rPr>
          <w:rFonts w:cs="Times New Roman"/>
        </w:rPr>
      </w:pPr>
      <w:r w:rsidRPr="00511E6B">
        <w:rPr>
          <w:rFonts w:asciiTheme="majorBidi" w:hAnsiTheme="majorBidi" w:cstheme="majorBidi"/>
        </w:rPr>
        <w:t>Ievērojot minēto, a</w:t>
      </w:r>
      <w:r w:rsidR="00AA3FA7" w:rsidRPr="00511E6B">
        <w:rPr>
          <w:rFonts w:asciiTheme="majorBidi" w:hAnsiTheme="majorBidi" w:cstheme="majorBidi"/>
        </w:rPr>
        <w:t xml:space="preserve">pelācijas instances tiesas pieļautie Kriminālprocesa likuma 511. panta otrās daļas un 564. panta ceturtās daļas pārkāpumi atzīstami par Kriminālprocesa likuma būtiskiem pārkāpumiem šā likuma 575. panta trešās </w:t>
      </w:r>
      <w:r w:rsidR="00AA3FA7" w:rsidRPr="008612CB">
        <w:rPr>
          <w:rFonts w:asciiTheme="majorBidi" w:hAnsiTheme="majorBidi" w:cstheme="majorBidi"/>
        </w:rPr>
        <w:t>daļas</w:t>
      </w:r>
      <w:r w:rsidR="00326B05">
        <w:rPr>
          <w:rFonts w:asciiTheme="majorBidi" w:hAnsiTheme="majorBidi" w:cstheme="majorBidi"/>
        </w:rPr>
        <w:t xml:space="preserve"> izpratnē</w:t>
      </w:r>
      <w:r w:rsidR="00AA3FA7" w:rsidRPr="008612CB">
        <w:rPr>
          <w:rFonts w:asciiTheme="majorBidi" w:hAnsiTheme="majorBidi" w:cstheme="majorBidi"/>
        </w:rPr>
        <w:t>.</w:t>
      </w:r>
    </w:p>
    <w:p w14:paraId="544CDEB3" w14:textId="55D46526" w:rsidR="004B10D8" w:rsidRPr="008612CB" w:rsidRDefault="004B10D8" w:rsidP="00614663">
      <w:pPr>
        <w:widowControl w:val="0"/>
        <w:shd w:val="clear" w:color="auto" w:fill="FFFFFF"/>
        <w:spacing w:after="0" w:line="276" w:lineRule="auto"/>
        <w:ind w:firstLine="720"/>
        <w:jc w:val="both"/>
        <w:rPr>
          <w:rFonts w:asciiTheme="majorBidi" w:hAnsiTheme="majorBidi" w:cstheme="majorBidi"/>
        </w:rPr>
      </w:pPr>
      <w:r w:rsidRPr="008612CB">
        <w:rPr>
          <w:rFonts w:cs="Times New Roman"/>
        </w:rPr>
        <w:t>Konstatēto pārkāpumu dēļ apelācijas instances tiesas nolēmums ir atceļams pilnībā</w:t>
      </w:r>
      <w:r w:rsidR="008612CB">
        <w:rPr>
          <w:rFonts w:cs="Times New Roman"/>
        </w:rPr>
        <w:t>,</w:t>
      </w:r>
      <w:r w:rsidRPr="008612CB">
        <w:rPr>
          <w:rFonts w:cs="Times New Roman"/>
        </w:rPr>
        <w:t xml:space="preserve"> un lieta nosūtāma jaunai izskatīšanai apelācijas instances tiesā.</w:t>
      </w:r>
    </w:p>
    <w:p w14:paraId="6A4F53B5" w14:textId="59F76B1A" w:rsidR="00614663" w:rsidRDefault="00614663" w:rsidP="00614663">
      <w:pPr>
        <w:widowControl w:val="0"/>
        <w:shd w:val="clear" w:color="auto" w:fill="FFFFFF"/>
        <w:spacing w:after="0" w:line="276" w:lineRule="auto"/>
        <w:ind w:firstLine="720"/>
        <w:jc w:val="both"/>
        <w:rPr>
          <w:rFonts w:cs="Times New Roman"/>
        </w:rPr>
      </w:pPr>
      <w:r>
        <w:rPr>
          <w:rFonts w:cs="Times New Roman"/>
        </w:rPr>
        <w:t>Ņemot vērā</w:t>
      </w:r>
      <w:r w:rsidRPr="001F35EF">
        <w:rPr>
          <w:rFonts w:cs="Times New Roman"/>
        </w:rPr>
        <w:t xml:space="preserve">, ka apelācijas instances tiesas </w:t>
      </w:r>
      <w:r w:rsidR="00B651AB">
        <w:rPr>
          <w:rFonts w:cs="Times New Roman"/>
        </w:rPr>
        <w:t>lēmums</w:t>
      </w:r>
      <w:r w:rsidRPr="001F35EF">
        <w:rPr>
          <w:rFonts w:cs="Times New Roman"/>
        </w:rPr>
        <w:t xml:space="preserve"> tiek atcelts pilnībā un lieta apelācijas instances tiesā jāiztiesā no jauna atbilstoši Kriminālprocesa likuma 53.</w:t>
      </w:r>
      <w:r>
        <w:rPr>
          <w:rFonts w:cs="Times New Roman"/>
        </w:rPr>
        <w:t> </w:t>
      </w:r>
      <w:r w:rsidRPr="001F35EF">
        <w:rPr>
          <w:rFonts w:cs="Times New Roman"/>
        </w:rPr>
        <w:t>nodaļas nosacījumiem, pārējie kasācijas sūdzīb</w:t>
      </w:r>
      <w:r>
        <w:rPr>
          <w:rFonts w:cs="Times New Roman"/>
        </w:rPr>
        <w:t>as</w:t>
      </w:r>
      <w:r w:rsidRPr="001F35EF">
        <w:rPr>
          <w:rFonts w:cs="Times New Roman"/>
        </w:rPr>
        <w:t xml:space="preserve"> argumenti</w:t>
      </w:r>
      <w:r w:rsidR="005F5761">
        <w:rPr>
          <w:rFonts w:cs="Times New Roman"/>
        </w:rPr>
        <w:t>, kas saistīti ar lietā esošo pierādījumu vērtējumu</w:t>
      </w:r>
      <w:r>
        <w:rPr>
          <w:rFonts w:cs="Times New Roman"/>
        </w:rPr>
        <w:t>,</w:t>
      </w:r>
      <w:r w:rsidRPr="001F35EF">
        <w:rPr>
          <w:rFonts w:cs="Times New Roman"/>
        </w:rPr>
        <w:t xml:space="preserve"> izvērtējami apelācijas instances tiesā,</w:t>
      </w:r>
      <w:r>
        <w:rPr>
          <w:rFonts w:cs="Times New Roman"/>
        </w:rPr>
        <w:t xml:space="preserve"> izskatot lietu no jauna.</w:t>
      </w:r>
    </w:p>
    <w:p w14:paraId="42D5DA4F" w14:textId="77777777" w:rsidR="00F6326D" w:rsidRDefault="00F6326D" w:rsidP="00EC6617">
      <w:pPr>
        <w:widowControl w:val="0"/>
        <w:shd w:val="clear" w:color="auto" w:fill="FFFFFF"/>
        <w:spacing w:after="0" w:line="276" w:lineRule="auto"/>
        <w:ind w:firstLine="720"/>
        <w:jc w:val="both"/>
        <w:rPr>
          <w:rFonts w:cs="Times New Roman"/>
        </w:rPr>
      </w:pPr>
    </w:p>
    <w:bookmarkEnd w:id="13"/>
    <w:p w14:paraId="653F9F3B" w14:textId="3599DBCE" w:rsidR="006F0CAE" w:rsidRDefault="002842C5" w:rsidP="002842C5">
      <w:pPr>
        <w:widowControl w:val="0"/>
        <w:spacing w:after="0" w:line="276" w:lineRule="auto"/>
        <w:ind w:firstLine="720"/>
        <w:jc w:val="both"/>
        <w:rPr>
          <w:rFonts w:cs="Times New Roman"/>
        </w:rPr>
      </w:pPr>
      <w:r w:rsidRPr="002410C6">
        <w:rPr>
          <w:rFonts w:cs="Times New Roman"/>
        </w:rPr>
        <w:t>[</w:t>
      </w:r>
      <w:r w:rsidR="005C22C7">
        <w:rPr>
          <w:rFonts w:cs="Times New Roman"/>
        </w:rPr>
        <w:t>7</w:t>
      </w:r>
      <w:r w:rsidRPr="002410C6">
        <w:rPr>
          <w:rFonts w:cs="Times New Roman"/>
        </w:rPr>
        <w:t>]</w:t>
      </w:r>
      <w:r w:rsidR="00494013">
        <w:rPr>
          <w:rFonts w:cs="Times New Roman"/>
        </w:rPr>
        <w:t> </w:t>
      </w:r>
      <w:r w:rsidRPr="002410C6">
        <w:rPr>
          <w:rFonts w:cs="Times New Roman"/>
        </w:rPr>
        <w:t>A</w:t>
      </w:r>
      <w:r w:rsidR="006F0CAE">
        <w:rPr>
          <w:rFonts w:cs="Times New Roman"/>
        </w:rPr>
        <w:t xml:space="preserve">pelācijas instances tiesa, atstājot negrozītu pirmās instances tiesas spriedumu, atzinusi, ka </w:t>
      </w:r>
      <w:r w:rsidRPr="002410C6">
        <w:rPr>
          <w:rFonts w:cs="Times New Roman"/>
        </w:rPr>
        <w:t xml:space="preserve">apsūdzētajam </w:t>
      </w:r>
      <w:r w:rsidR="00511954">
        <w:rPr>
          <w:rFonts w:cs="Times New Roman"/>
        </w:rPr>
        <w:t>[pers. A]</w:t>
      </w:r>
      <w:r w:rsidRPr="002410C6">
        <w:rPr>
          <w:rFonts w:cs="Times New Roman"/>
        </w:rPr>
        <w:t xml:space="preserve"> </w:t>
      </w:r>
      <w:r w:rsidR="00A65859">
        <w:rPr>
          <w:rFonts w:cs="Times New Roman"/>
        </w:rPr>
        <w:t>piemērot</w:t>
      </w:r>
      <w:r w:rsidR="006F0CAE">
        <w:rPr>
          <w:rFonts w:cs="Times New Roman"/>
        </w:rPr>
        <w:t>ā</w:t>
      </w:r>
      <w:r w:rsidR="00A65859">
        <w:rPr>
          <w:rFonts w:cs="Times New Roman"/>
        </w:rPr>
        <w:t xml:space="preserve"> </w:t>
      </w:r>
      <w:r w:rsidRPr="002410C6">
        <w:rPr>
          <w:rFonts w:cs="Times New Roman"/>
        </w:rPr>
        <w:t>drošības līdzek</w:t>
      </w:r>
      <w:r w:rsidR="006F0CAE">
        <w:rPr>
          <w:rFonts w:cs="Times New Roman"/>
        </w:rPr>
        <w:t>ļa</w:t>
      </w:r>
      <w:r w:rsidRPr="002410C6">
        <w:rPr>
          <w:rFonts w:cs="Times New Roman"/>
        </w:rPr>
        <w:t xml:space="preserve"> – dzīvesvietas maiņas paziņošana</w:t>
      </w:r>
      <w:r w:rsidR="00A65859">
        <w:rPr>
          <w:rFonts w:cs="Times New Roman"/>
        </w:rPr>
        <w:t xml:space="preserve"> – </w:t>
      </w:r>
      <w:r w:rsidR="006F0CAE">
        <w:rPr>
          <w:rFonts w:cs="Times New Roman"/>
        </w:rPr>
        <w:t>grozīšanai vai atcelšanai nav pamata</w:t>
      </w:r>
      <w:r w:rsidRPr="002410C6">
        <w:rPr>
          <w:rFonts w:cs="Times New Roman"/>
        </w:rPr>
        <w:t>.</w:t>
      </w:r>
    </w:p>
    <w:p w14:paraId="27ED3BB5" w14:textId="6A681F64" w:rsidR="006F0CAE" w:rsidRDefault="002842C5" w:rsidP="002842C5">
      <w:pPr>
        <w:widowControl w:val="0"/>
        <w:spacing w:after="0" w:line="276" w:lineRule="auto"/>
        <w:ind w:firstLine="720"/>
        <w:jc w:val="both"/>
        <w:rPr>
          <w:rFonts w:cs="Times New Roman"/>
        </w:rPr>
      </w:pPr>
      <w:r w:rsidRPr="002410C6">
        <w:rPr>
          <w:rFonts w:cs="Times New Roman"/>
        </w:rPr>
        <w:t xml:space="preserve">Senāts atzīst, ka apsūdzētajam </w:t>
      </w:r>
      <w:r>
        <w:rPr>
          <w:rFonts w:cs="Times New Roman"/>
        </w:rPr>
        <w:t xml:space="preserve">ir </w:t>
      </w:r>
      <w:r w:rsidRPr="002410C6">
        <w:rPr>
          <w:rFonts w:cs="Times New Roman"/>
        </w:rPr>
        <w:t xml:space="preserve">turpināma drošības līdzekļa </w:t>
      </w:r>
      <w:r w:rsidR="006F0CAE">
        <w:rPr>
          <w:rFonts w:cs="Times New Roman"/>
        </w:rPr>
        <w:t xml:space="preserve">– </w:t>
      </w:r>
      <w:r w:rsidR="006F0CAE" w:rsidRPr="002410C6">
        <w:rPr>
          <w:rFonts w:cs="Times New Roman"/>
        </w:rPr>
        <w:t>dzīvesvietas maiņas paziņošana</w:t>
      </w:r>
      <w:r w:rsidR="006F0CAE">
        <w:rPr>
          <w:rFonts w:cs="Times New Roman"/>
        </w:rPr>
        <w:t xml:space="preserve"> – </w:t>
      </w:r>
      <w:r w:rsidRPr="002410C6">
        <w:rPr>
          <w:rFonts w:cs="Times New Roman"/>
        </w:rPr>
        <w:t>piemērošana.</w:t>
      </w:r>
    </w:p>
    <w:p w14:paraId="28B157DB" w14:textId="3F046D98" w:rsidR="002842C5" w:rsidRPr="002410C6" w:rsidRDefault="002842C5" w:rsidP="002842C5">
      <w:pPr>
        <w:widowControl w:val="0"/>
        <w:spacing w:after="0" w:line="276" w:lineRule="auto"/>
        <w:ind w:firstLine="720"/>
        <w:jc w:val="both"/>
        <w:rPr>
          <w:rFonts w:cs="Times New Roman"/>
        </w:rPr>
      </w:pPr>
      <w:r w:rsidRPr="002410C6">
        <w:rPr>
          <w:rFonts w:cs="Times New Roman"/>
        </w:rPr>
        <w:t>Piemērotais drošības līdzeklis izskatāmajā lietā atzīstams par pamatotu un samērīgu.</w:t>
      </w:r>
    </w:p>
    <w:p w14:paraId="60C630CD" w14:textId="77777777" w:rsidR="002C4DD5" w:rsidRPr="002410C6" w:rsidRDefault="002C4DD5" w:rsidP="0061641F">
      <w:pPr>
        <w:widowControl w:val="0"/>
        <w:spacing w:after="0" w:line="276" w:lineRule="auto"/>
        <w:ind w:firstLine="720"/>
        <w:jc w:val="both"/>
        <w:rPr>
          <w:rFonts w:cs="Times New Roman"/>
        </w:rPr>
      </w:pPr>
    </w:p>
    <w:p w14:paraId="02504510" w14:textId="3D3FD487" w:rsidR="005E0A58" w:rsidRPr="002410C6" w:rsidRDefault="005E0A58" w:rsidP="0061641F">
      <w:pPr>
        <w:widowControl w:val="0"/>
        <w:spacing w:after="0" w:line="276" w:lineRule="auto"/>
        <w:jc w:val="center"/>
        <w:rPr>
          <w:rFonts w:cs="Times New Roman"/>
          <w:b/>
          <w:bCs/>
        </w:rPr>
      </w:pPr>
      <w:r w:rsidRPr="002410C6">
        <w:rPr>
          <w:rFonts w:cs="Times New Roman"/>
          <w:b/>
          <w:bCs/>
        </w:rPr>
        <w:t>Rezolutīvā daļa</w:t>
      </w:r>
    </w:p>
    <w:p w14:paraId="1B25D6C8" w14:textId="77777777" w:rsidR="00336BA5" w:rsidRPr="002410C6" w:rsidRDefault="00336BA5" w:rsidP="0061641F">
      <w:pPr>
        <w:widowControl w:val="0"/>
        <w:spacing w:after="0" w:line="276" w:lineRule="auto"/>
        <w:ind w:firstLine="720"/>
        <w:jc w:val="both"/>
        <w:rPr>
          <w:rFonts w:cs="Times New Roman"/>
          <w:b/>
          <w:bCs/>
        </w:rPr>
      </w:pPr>
    </w:p>
    <w:p w14:paraId="3F367EEC" w14:textId="77777777" w:rsidR="009D0C35" w:rsidRPr="002410C6" w:rsidRDefault="005E0A58" w:rsidP="0061641F">
      <w:pPr>
        <w:widowControl w:val="0"/>
        <w:spacing w:after="0" w:line="276" w:lineRule="auto"/>
        <w:ind w:firstLine="720"/>
        <w:jc w:val="both"/>
        <w:rPr>
          <w:rFonts w:cs="Times New Roman"/>
        </w:rPr>
      </w:pPr>
      <w:r w:rsidRPr="002410C6">
        <w:rPr>
          <w:rFonts w:cs="Times New Roman"/>
        </w:rPr>
        <w:t>Pamatojoties uz Kriminālprocesa likuma 585. un 587.</w:t>
      </w:r>
      <w:r w:rsidR="00336BA5" w:rsidRPr="002410C6">
        <w:rPr>
          <w:rFonts w:cs="Times New Roman"/>
        </w:rPr>
        <w:t> </w:t>
      </w:r>
      <w:r w:rsidRPr="002410C6">
        <w:rPr>
          <w:rFonts w:cs="Times New Roman"/>
        </w:rPr>
        <w:t>panta pirmās daļas 2.</w:t>
      </w:r>
      <w:r w:rsidR="00336BA5" w:rsidRPr="002410C6">
        <w:rPr>
          <w:rFonts w:cs="Times New Roman"/>
        </w:rPr>
        <w:t> </w:t>
      </w:r>
      <w:r w:rsidRPr="002410C6">
        <w:rPr>
          <w:rFonts w:cs="Times New Roman"/>
        </w:rPr>
        <w:t>punktu,</w:t>
      </w:r>
      <w:r w:rsidR="009D0C35" w:rsidRPr="002410C6">
        <w:rPr>
          <w:rFonts w:cs="Times New Roman"/>
        </w:rPr>
        <w:t xml:space="preserve"> </w:t>
      </w:r>
      <w:r w:rsidRPr="002410C6">
        <w:rPr>
          <w:rFonts w:cs="Times New Roman"/>
        </w:rPr>
        <w:t>Senāts</w:t>
      </w:r>
    </w:p>
    <w:p w14:paraId="77F79DBD" w14:textId="77777777" w:rsidR="0061641F" w:rsidRPr="002410C6" w:rsidRDefault="0061641F" w:rsidP="0061641F">
      <w:pPr>
        <w:widowControl w:val="0"/>
        <w:spacing w:after="0" w:line="276" w:lineRule="auto"/>
        <w:ind w:firstLine="720"/>
        <w:jc w:val="both"/>
        <w:rPr>
          <w:rFonts w:cs="Times New Roman"/>
        </w:rPr>
      </w:pPr>
    </w:p>
    <w:p w14:paraId="3D596E0E" w14:textId="78AEFC10" w:rsidR="005E0A58" w:rsidRPr="002410C6" w:rsidRDefault="009D0C35" w:rsidP="0061641F">
      <w:pPr>
        <w:widowControl w:val="0"/>
        <w:spacing w:after="0" w:line="276" w:lineRule="auto"/>
        <w:jc w:val="center"/>
        <w:rPr>
          <w:rFonts w:cs="Times New Roman"/>
          <w:b/>
          <w:bCs/>
        </w:rPr>
      </w:pPr>
      <w:r w:rsidRPr="002410C6">
        <w:rPr>
          <w:rFonts w:cs="Times New Roman"/>
          <w:b/>
          <w:bCs/>
        </w:rPr>
        <w:t>n</w:t>
      </w:r>
      <w:r w:rsidR="005E0A58" w:rsidRPr="002410C6">
        <w:rPr>
          <w:rFonts w:cs="Times New Roman"/>
          <w:b/>
          <w:bCs/>
        </w:rPr>
        <w:t>olēma</w:t>
      </w:r>
    </w:p>
    <w:p w14:paraId="019D0DB8" w14:textId="77777777" w:rsidR="009D0C35" w:rsidRPr="002410C6" w:rsidRDefault="009D0C35" w:rsidP="0061641F">
      <w:pPr>
        <w:widowControl w:val="0"/>
        <w:spacing w:after="0" w:line="276" w:lineRule="auto"/>
        <w:ind w:firstLine="720"/>
        <w:jc w:val="both"/>
        <w:rPr>
          <w:rFonts w:cs="Times New Roman"/>
        </w:rPr>
      </w:pPr>
    </w:p>
    <w:p w14:paraId="675CE748" w14:textId="03FB934D" w:rsidR="005E0A58" w:rsidRPr="002410C6" w:rsidRDefault="005E0A58" w:rsidP="0061641F">
      <w:pPr>
        <w:widowControl w:val="0"/>
        <w:spacing w:after="0" w:line="276" w:lineRule="auto"/>
        <w:ind w:firstLine="720"/>
        <w:jc w:val="both"/>
        <w:rPr>
          <w:rFonts w:cs="Times New Roman"/>
        </w:rPr>
      </w:pPr>
      <w:r w:rsidRPr="002410C6">
        <w:rPr>
          <w:rFonts w:cs="Times New Roman"/>
        </w:rPr>
        <w:t xml:space="preserve">atcelt </w:t>
      </w:r>
      <w:r w:rsidR="009D0C35" w:rsidRPr="002410C6">
        <w:rPr>
          <w:rFonts w:cs="Times New Roman"/>
        </w:rPr>
        <w:t>Latgales</w:t>
      </w:r>
      <w:r w:rsidRPr="002410C6">
        <w:rPr>
          <w:rFonts w:cs="Times New Roman"/>
        </w:rPr>
        <w:t xml:space="preserve"> apgabaltiesas 202</w:t>
      </w:r>
      <w:r w:rsidR="009D0C35" w:rsidRPr="002410C6">
        <w:rPr>
          <w:rFonts w:cs="Times New Roman"/>
        </w:rPr>
        <w:t>4</w:t>
      </w:r>
      <w:r w:rsidRPr="002410C6">
        <w:rPr>
          <w:rFonts w:cs="Times New Roman"/>
        </w:rPr>
        <w:t>.</w:t>
      </w:r>
      <w:r w:rsidR="009D0C35" w:rsidRPr="002410C6">
        <w:rPr>
          <w:rFonts w:cs="Times New Roman"/>
        </w:rPr>
        <w:t> </w:t>
      </w:r>
      <w:r w:rsidRPr="002410C6">
        <w:rPr>
          <w:rFonts w:cs="Times New Roman"/>
        </w:rPr>
        <w:t xml:space="preserve">gada </w:t>
      </w:r>
      <w:r w:rsidR="009D0C35" w:rsidRPr="002410C6">
        <w:rPr>
          <w:rFonts w:cs="Times New Roman"/>
        </w:rPr>
        <w:t>21. maija</w:t>
      </w:r>
      <w:r w:rsidRPr="002410C6">
        <w:rPr>
          <w:rFonts w:cs="Times New Roman"/>
        </w:rPr>
        <w:t xml:space="preserve"> </w:t>
      </w:r>
      <w:r w:rsidR="009D0C35" w:rsidRPr="002410C6">
        <w:rPr>
          <w:rFonts w:cs="Times New Roman"/>
        </w:rPr>
        <w:t>lēmumu</w:t>
      </w:r>
      <w:r w:rsidRPr="002410C6">
        <w:rPr>
          <w:rFonts w:cs="Times New Roman"/>
        </w:rPr>
        <w:t xml:space="preserve"> pilnībā un nosūtīt lietu</w:t>
      </w:r>
      <w:r w:rsidR="009D0C35" w:rsidRPr="002410C6">
        <w:rPr>
          <w:rFonts w:cs="Times New Roman"/>
        </w:rPr>
        <w:t xml:space="preserve"> </w:t>
      </w:r>
      <w:r w:rsidRPr="002410C6">
        <w:rPr>
          <w:rFonts w:cs="Times New Roman"/>
        </w:rPr>
        <w:t xml:space="preserve">jaunai izskatīšanai </w:t>
      </w:r>
      <w:r w:rsidR="00776F33" w:rsidRPr="002410C6">
        <w:rPr>
          <w:rFonts w:cs="Times New Roman"/>
        </w:rPr>
        <w:t>Latgales apgabal</w:t>
      </w:r>
      <w:r w:rsidRPr="002410C6">
        <w:rPr>
          <w:rFonts w:cs="Times New Roman"/>
        </w:rPr>
        <w:t>tiesā</w:t>
      </w:r>
      <w:r w:rsidR="00776F33">
        <w:rPr>
          <w:rFonts w:cs="Times New Roman"/>
        </w:rPr>
        <w:t>;</w:t>
      </w:r>
    </w:p>
    <w:p w14:paraId="0F2C5F25" w14:textId="51B6C0C8" w:rsidR="005E0A58" w:rsidRPr="002410C6" w:rsidRDefault="00776F33" w:rsidP="0061641F">
      <w:pPr>
        <w:widowControl w:val="0"/>
        <w:spacing w:after="0" w:line="276" w:lineRule="auto"/>
        <w:ind w:firstLine="720"/>
        <w:jc w:val="both"/>
        <w:rPr>
          <w:rFonts w:cs="Times New Roman"/>
        </w:rPr>
      </w:pPr>
      <w:r>
        <w:rPr>
          <w:rFonts w:cs="Times New Roman"/>
        </w:rPr>
        <w:t>a</w:t>
      </w:r>
      <w:r w:rsidR="005E0A58" w:rsidRPr="002410C6">
        <w:rPr>
          <w:rFonts w:cs="Times New Roman"/>
        </w:rPr>
        <w:t xml:space="preserve">psūdzētajam </w:t>
      </w:r>
      <w:r w:rsidR="003609B5">
        <w:rPr>
          <w:rFonts w:cs="Times New Roman"/>
        </w:rPr>
        <w:t>[pers. A]</w:t>
      </w:r>
      <w:r w:rsidR="005E0A58" w:rsidRPr="002410C6">
        <w:rPr>
          <w:rFonts w:cs="Times New Roman"/>
        </w:rPr>
        <w:t xml:space="preserve"> turpināt piemērot drošības līdzek</w:t>
      </w:r>
      <w:r w:rsidR="009D0C35" w:rsidRPr="002410C6">
        <w:rPr>
          <w:rFonts w:cs="Times New Roman"/>
        </w:rPr>
        <w:t>li</w:t>
      </w:r>
      <w:r w:rsidR="005E0A58" w:rsidRPr="002410C6">
        <w:rPr>
          <w:rFonts w:cs="Times New Roman"/>
        </w:rPr>
        <w:t xml:space="preserve"> – </w:t>
      </w:r>
      <w:r w:rsidR="009D0C35" w:rsidRPr="002410C6">
        <w:rPr>
          <w:rFonts w:cs="Times New Roman"/>
        </w:rPr>
        <w:t>dzīvesvietas maiņas paziņošan</w:t>
      </w:r>
      <w:r w:rsidR="00234457">
        <w:rPr>
          <w:rFonts w:cs="Times New Roman"/>
        </w:rPr>
        <w:t>u</w:t>
      </w:r>
      <w:r w:rsidR="005E0A58" w:rsidRPr="002410C6">
        <w:rPr>
          <w:rFonts w:cs="Times New Roman"/>
        </w:rPr>
        <w:t>.</w:t>
      </w:r>
    </w:p>
    <w:p w14:paraId="11C63B5B" w14:textId="77777777" w:rsidR="006B6887" w:rsidRPr="002410C6" w:rsidRDefault="006B6887" w:rsidP="0061641F">
      <w:pPr>
        <w:widowControl w:val="0"/>
        <w:spacing w:after="0" w:line="276" w:lineRule="auto"/>
        <w:ind w:firstLine="720"/>
        <w:jc w:val="both"/>
        <w:rPr>
          <w:rFonts w:cs="Times New Roman"/>
        </w:rPr>
      </w:pPr>
    </w:p>
    <w:p w14:paraId="6710FB71" w14:textId="2CC16123" w:rsidR="004E6D67" w:rsidRDefault="005E0A58" w:rsidP="004D43B0">
      <w:pPr>
        <w:widowControl w:val="0"/>
        <w:spacing w:after="0" w:line="276" w:lineRule="auto"/>
        <w:ind w:firstLine="720"/>
        <w:jc w:val="both"/>
        <w:rPr>
          <w:rFonts w:cs="Times New Roman"/>
        </w:rPr>
      </w:pPr>
      <w:r w:rsidRPr="002410C6">
        <w:rPr>
          <w:rFonts w:cs="Times New Roman"/>
        </w:rPr>
        <w:t>Lēmums nav pārsūdzams.</w:t>
      </w:r>
      <w:bookmarkEnd w:id="0"/>
    </w:p>
    <w:p w14:paraId="11B835F0" w14:textId="77777777" w:rsidR="004E6D67" w:rsidRDefault="004E6D67">
      <w:pPr>
        <w:rPr>
          <w:rFonts w:cs="Times New Roman"/>
        </w:rPr>
      </w:pPr>
      <w:r>
        <w:rPr>
          <w:rFonts w:cs="Times New Roman"/>
        </w:rPr>
        <w:br w:type="page"/>
      </w:r>
    </w:p>
    <w:p w14:paraId="64B7A883" w14:textId="77777777" w:rsidR="004E6D67" w:rsidRPr="004E6D67" w:rsidRDefault="004E6D67" w:rsidP="004E6D67">
      <w:pPr>
        <w:widowControl w:val="0"/>
        <w:spacing w:after="0" w:line="276" w:lineRule="auto"/>
        <w:jc w:val="center"/>
        <w:rPr>
          <w:rFonts w:eastAsia="Times New Roman" w:cs="Times New Roman"/>
          <w:b/>
          <w:kern w:val="0"/>
          <w:lang w:eastAsia="ru-RU"/>
          <w14:ligatures w14:val="none"/>
        </w:rPr>
      </w:pPr>
      <w:r w:rsidRPr="004E6D67">
        <w:rPr>
          <w:rFonts w:eastAsia="Times New Roman" w:cs="Times New Roman"/>
          <w:b/>
          <w:kern w:val="0"/>
          <w:lang w:eastAsia="ru-RU"/>
          <w14:ligatures w14:val="none"/>
        </w:rPr>
        <w:lastRenderedPageBreak/>
        <w:t>Latvijas Republikas Senāta</w:t>
      </w:r>
    </w:p>
    <w:p w14:paraId="74C89542" w14:textId="77777777" w:rsidR="004E6D67" w:rsidRPr="004E6D67" w:rsidRDefault="004E6D67" w:rsidP="004E6D67">
      <w:pPr>
        <w:widowControl w:val="0"/>
        <w:spacing w:after="0" w:line="276" w:lineRule="auto"/>
        <w:jc w:val="center"/>
        <w:rPr>
          <w:rFonts w:eastAsia="Times New Roman" w:cs="Times New Roman"/>
          <w:b/>
          <w:kern w:val="0"/>
          <w:lang w:eastAsia="lv-LV"/>
          <w14:ligatures w14:val="none"/>
        </w:rPr>
      </w:pPr>
      <w:r w:rsidRPr="004E6D67">
        <w:rPr>
          <w:rFonts w:eastAsia="Times New Roman" w:cs="Times New Roman"/>
          <w:b/>
          <w:kern w:val="0"/>
          <w:lang w:eastAsia="lv-LV"/>
          <w14:ligatures w14:val="none"/>
        </w:rPr>
        <w:t>Krimināllietu departamenta</w:t>
      </w:r>
    </w:p>
    <w:p w14:paraId="4E1305DA" w14:textId="77777777" w:rsidR="004E6D67" w:rsidRPr="004E6D67" w:rsidRDefault="004E6D67" w:rsidP="004E6D67">
      <w:pPr>
        <w:widowControl w:val="0"/>
        <w:spacing w:after="0" w:line="276" w:lineRule="auto"/>
        <w:jc w:val="center"/>
        <w:rPr>
          <w:rFonts w:eastAsia="Times New Roman" w:cs="Times New Roman"/>
          <w:b/>
          <w:kern w:val="0"/>
          <w:lang w:eastAsia="ru-RU"/>
          <w14:ligatures w14:val="none"/>
        </w:rPr>
      </w:pPr>
      <w:r w:rsidRPr="004E6D67">
        <w:rPr>
          <w:rFonts w:eastAsia="Times New Roman" w:cs="Times New Roman"/>
          <w:b/>
          <w:kern w:val="0"/>
          <w:lang w:eastAsia="ru-RU"/>
          <w14:ligatures w14:val="none"/>
        </w:rPr>
        <w:t>2026. gada 24. februāra</w:t>
      </w:r>
    </w:p>
    <w:p w14:paraId="4AD46638" w14:textId="77777777" w:rsidR="004E6D67" w:rsidRPr="004E6D67" w:rsidRDefault="004E6D67" w:rsidP="004E6D67">
      <w:pPr>
        <w:widowControl w:val="0"/>
        <w:spacing w:after="0" w:line="276" w:lineRule="auto"/>
        <w:jc w:val="center"/>
        <w:rPr>
          <w:rFonts w:eastAsia="Times New Roman" w:cs="Times New Roman"/>
          <w:b/>
          <w:kern w:val="0"/>
          <w:lang w:eastAsia="ru-RU"/>
          <w14:ligatures w14:val="none"/>
        </w:rPr>
      </w:pPr>
      <w:r w:rsidRPr="004E6D67">
        <w:rPr>
          <w:rFonts w:eastAsia="Times New Roman" w:cs="Times New Roman"/>
          <w:b/>
          <w:kern w:val="0"/>
          <w:lang w:eastAsia="ru-RU"/>
          <w14:ligatures w14:val="none"/>
        </w:rPr>
        <w:t>BLAKUS LĒMUMS</w:t>
      </w:r>
    </w:p>
    <w:p w14:paraId="51624D02" w14:textId="77777777" w:rsidR="004E6D67" w:rsidRPr="004E6D67" w:rsidRDefault="004E6D67" w:rsidP="004E6D67">
      <w:pPr>
        <w:widowControl w:val="0"/>
        <w:spacing w:after="0" w:line="276" w:lineRule="auto"/>
        <w:jc w:val="center"/>
        <w:rPr>
          <w:rFonts w:eastAsia="Times New Roman" w:cs="Times New Roman"/>
          <w:b/>
          <w:kern w:val="0"/>
          <w:lang w:eastAsia="lv-LV"/>
          <w14:ligatures w14:val="none"/>
        </w:rPr>
      </w:pPr>
      <w:r w:rsidRPr="004E6D67">
        <w:rPr>
          <w:rFonts w:eastAsia="Times New Roman" w:cs="Times New Roman"/>
          <w:b/>
          <w:kern w:val="0"/>
          <w:lang w:eastAsia="lv-LV"/>
          <w14:ligatures w14:val="none"/>
        </w:rPr>
        <w:t>Lieta Nr. </w:t>
      </w:r>
      <w:r w:rsidRPr="004E6D67">
        <w:rPr>
          <w:rFonts w:eastAsia="Times New Roman" w:cs="Times New Roman"/>
          <w:b/>
          <w:kern w:val="0"/>
          <w:lang w:eastAsia="ru-RU"/>
          <w14:ligatures w14:val="none"/>
        </w:rPr>
        <w:t>15840087818,</w:t>
      </w:r>
      <w:r w:rsidRPr="004E6D67">
        <w:rPr>
          <w:rFonts w:eastAsia="Times New Roman" w:cs="Times New Roman"/>
          <w:b/>
          <w:kern w:val="0"/>
          <w:lang w:eastAsia="lv-LV"/>
          <w14:ligatures w14:val="none"/>
        </w:rPr>
        <w:t xml:space="preserve"> SKK-4/2026</w:t>
      </w:r>
    </w:p>
    <w:p w14:paraId="43311753" w14:textId="77777777" w:rsidR="004E6D67" w:rsidRPr="004E6D67" w:rsidRDefault="004E6D67" w:rsidP="004E6D67">
      <w:pPr>
        <w:widowControl w:val="0"/>
        <w:spacing w:after="0" w:line="276" w:lineRule="auto"/>
        <w:jc w:val="center"/>
        <w:rPr>
          <w:rFonts w:eastAsia="Times New Roman" w:cs="Times New Roman"/>
          <w:kern w:val="0"/>
          <w:lang w:eastAsia="ru-RU"/>
          <w14:ligatures w14:val="none"/>
        </w:rPr>
      </w:pPr>
      <w:hyperlink r:id="rId14" w:history="1">
        <w:r w:rsidRPr="004E6D67">
          <w:rPr>
            <w:rFonts w:eastAsia="Times New Roman" w:cs="Times New Roman"/>
            <w:color w:val="0000FF"/>
            <w:kern w:val="0"/>
            <w:u w:val="single"/>
            <w:lang w:eastAsia="ru-RU"/>
            <w14:ligatures w14:val="none"/>
          </w:rPr>
          <w:t>ECLI:LV:AT:2026:0224.15840087818.7.BL</w:t>
        </w:r>
      </w:hyperlink>
    </w:p>
    <w:p w14:paraId="4D589D93"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p>
    <w:p w14:paraId="5BA1E2BF"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Senāts šādā sastāvā: senators referents Māris Leja, senatores Irīna Jansone un Sandra Kaija</w:t>
      </w:r>
    </w:p>
    <w:p w14:paraId="6C84AB20"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p>
    <w:p w14:paraId="38A5E07D"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 xml:space="preserve">rakstveida procesā izskatīja krimināllietu sakarā ar apsūdzētā [pers. A] aizstāves zvērinātas advokātes Ritas </w:t>
      </w:r>
      <w:proofErr w:type="spellStart"/>
      <w:r w:rsidRPr="004E6D67">
        <w:rPr>
          <w:rFonts w:eastAsia="Times New Roman" w:cs="Times New Roman"/>
          <w:kern w:val="0"/>
          <w:lang w:eastAsia="ru-RU"/>
          <w14:ligatures w14:val="none"/>
        </w:rPr>
        <w:t>Jurevičas</w:t>
      </w:r>
      <w:proofErr w:type="spellEnd"/>
      <w:r w:rsidRPr="004E6D67">
        <w:rPr>
          <w:rFonts w:eastAsia="Times New Roman" w:cs="Times New Roman"/>
          <w:kern w:val="0"/>
          <w:lang w:eastAsia="ru-RU"/>
          <w14:ligatures w14:val="none"/>
        </w:rPr>
        <w:t xml:space="preserve"> kasācijas sūdzību par Latgales apgabaltiesas 2024. gada 21. maija lēmumu.</w:t>
      </w:r>
    </w:p>
    <w:p w14:paraId="4EA1EA9C"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p>
    <w:p w14:paraId="34B23C4A" w14:textId="77777777" w:rsidR="004E6D67" w:rsidRPr="004E6D67" w:rsidRDefault="004E6D67" w:rsidP="004E6D67">
      <w:pPr>
        <w:widowControl w:val="0"/>
        <w:spacing w:after="0" w:line="276" w:lineRule="auto"/>
        <w:jc w:val="center"/>
        <w:rPr>
          <w:rFonts w:eastAsia="Times New Roman" w:cs="Times New Roman"/>
          <w:b/>
          <w:kern w:val="0"/>
          <w:shd w:val="clear" w:color="auto" w:fill="FFFFFF"/>
          <w:lang w:eastAsia="ru-RU"/>
          <w14:ligatures w14:val="none"/>
        </w:rPr>
      </w:pPr>
      <w:r w:rsidRPr="004E6D67">
        <w:rPr>
          <w:rFonts w:eastAsia="Times New Roman" w:cs="Times New Roman"/>
          <w:b/>
          <w:kern w:val="0"/>
          <w:shd w:val="clear" w:color="auto" w:fill="FFFFFF"/>
          <w:lang w:eastAsia="ru-RU"/>
          <w14:ligatures w14:val="none"/>
        </w:rPr>
        <w:t>Aprakstošā daļa</w:t>
      </w:r>
    </w:p>
    <w:p w14:paraId="34BF9FA7" w14:textId="77777777" w:rsidR="004E6D67" w:rsidRPr="004E6D67" w:rsidRDefault="004E6D67" w:rsidP="004E6D67">
      <w:pPr>
        <w:widowControl w:val="0"/>
        <w:spacing w:after="0" w:line="276" w:lineRule="auto"/>
        <w:jc w:val="center"/>
        <w:rPr>
          <w:rFonts w:eastAsia="Times New Roman" w:cs="Times New Roman"/>
          <w:kern w:val="0"/>
          <w:shd w:val="clear" w:color="auto" w:fill="FFFFFF"/>
          <w:lang w:eastAsia="ru-RU"/>
          <w14:ligatures w14:val="none"/>
        </w:rPr>
      </w:pPr>
    </w:p>
    <w:p w14:paraId="365C890F"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shd w:val="clear" w:color="auto" w:fill="FFFFFF"/>
          <w:lang w:eastAsia="ru-RU"/>
          <w14:ligatures w14:val="none"/>
        </w:rPr>
        <w:t>[1] </w:t>
      </w:r>
      <w:r w:rsidRPr="004E6D67">
        <w:rPr>
          <w:rFonts w:eastAsia="Times New Roman" w:cs="Times New Roman"/>
          <w:kern w:val="0"/>
          <w:lang w:eastAsia="ru-RU"/>
          <w14:ligatures w14:val="none"/>
        </w:rPr>
        <w:t xml:space="preserve">Ar </w:t>
      </w:r>
      <w:r w:rsidRPr="004E6D67">
        <w:rPr>
          <w:rFonts w:eastAsia="Times New Roman" w:cs="Times New Roman"/>
          <w:color w:val="000000"/>
          <w:kern w:val="0"/>
          <w:lang w:eastAsia="ru-RU"/>
          <w14:ligatures w14:val="none"/>
        </w:rPr>
        <w:t xml:space="preserve">Daugavpils tiesas </w:t>
      </w:r>
      <w:r w:rsidRPr="004E6D67">
        <w:rPr>
          <w:rFonts w:eastAsia="Times New Roman" w:cs="Times New Roman"/>
          <w:kern w:val="0"/>
          <w:lang w:eastAsia="ru-RU"/>
          <w14:ligatures w14:val="none"/>
        </w:rPr>
        <w:t>2023. gada 30. janvāra spriedumu</w:t>
      </w:r>
    </w:p>
    <w:p w14:paraId="1702D18E"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[pers. A], personas kods [..],</w:t>
      </w:r>
    </w:p>
    <w:p w14:paraId="622DE48A"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atzīts par vainīgu Krimināllikuma 318. panta trešajā daļā paredzētajā noziedzīgajā nodarījumā un sodīts ar brīvības atņemšanu uz 3 gadiem, atņemot tiesības ieņemt valsts amatpersonas amatu uz 5 gadiem.</w:t>
      </w:r>
    </w:p>
    <w:p w14:paraId="15A56591"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No [pers. A] valsts labā piedzīta mantiskā kaitējuma kompensācija 1 839 611,60 </w:t>
      </w:r>
      <w:proofErr w:type="spellStart"/>
      <w:r w:rsidRPr="004E6D67">
        <w:rPr>
          <w:rFonts w:eastAsia="Times New Roman" w:cs="Times New Roman"/>
          <w:i/>
          <w:iCs/>
          <w:kern w:val="0"/>
          <w:lang w:eastAsia="ru-RU"/>
          <w14:ligatures w14:val="none"/>
        </w:rPr>
        <w:t>euro</w:t>
      </w:r>
      <w:proofErr w:type="spellEnd"/>
      <w:r w:rsidRPr="004E6D67">
        <w:rPr>
          <w:rFonts w:eastAsia="Times New Roman" w:cs="Times New Roman"/>
          <w:kern w:val="0"/>
          <w:lang w:eastAsia="ru-RU"/>
          <w14:ligatures w14:val="none"/>
        </w:rPr>
        <w:t>.</w:t>
      </w:r>
    </w:p>
    <w:p w14:paraId="05362094"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p>
    <w:p w14:paraId="088C8A63"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[2] Ar Latgales apgabaltiesas 2024. gada 21. maija lēmumu, iztiesājot lietu sakarā ar apsūdzētā [pers. A] aizstāves R. </w:t>
      </w:r>
      <w:proofErr w:type="spellStart"/>
      <w:r w:rsidRPr="004E6D67">
        <w:rPr>
          <w:rFonts w:eastAsia="Times New Roman" w:cs="Times New Roman"/>
          <w:kern w:val="0"/>
          <w:lang w:eastAsia="ru-RU"/>
          <w14:ligatures w14:val="none"/>
        </w:rPr>
        <w:t>Jurevičas</w:t>
      </w:r>
      <w:proofErr w:type="spellEnd"/>
      <w:r w:rsidRPr="004E6D67">
        <w:rPr>
          <w:rFonts w:eastAsia="Times New Roman" w:cs="Times New Roman"/>
          <w:kern w:val="0"/>
          <w:lang w:eastAsia="ru-RU"/>
          <w14:ligatures w14:val="none"/>
        </w:rPr>
        <w:t xml:space="preserve"> apelācijas sūdzību, Daugavpils tiesas</w:t>
      </w:r>
      <w:r w:rsidRPr="004E6D67">
        <w:rPr>
          <w:rFonts w:eastAsia="Times New Roman" w:cs="Times New Roman"/>
          <w:color w:val="000000"/>
          <w:kern w:val="0"/>
          <w:lang w:eastAsia="ru-RU"/>
          <w14:ligatures w14:val="none"/>
        </w:rPr>
        <w:t xml:space="preserve"> </w:t>
      </w:r>
      <w:r w:rsidRPr="004E6D67">
        <w:rPr>
          <w:rFonts w:eastAsia="Times New Roman" w:cs="Times New Roman"/>
          <w:kern w:val="0"/>
          <w:lang w:eastAsia="ru-RU"/>
          <w14:ligatures w14:val="none"/>
        </w:rPr>
        <w:t>2023. gada 30. janvāra spriedums atstāts negrozīts.</w:t>
      </w:r>
    </w:p>
    <w:p w14:paraId="12A5A96C"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p>
    <w:p w14:paraId="78614336"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[3] Par Latgales apgabaltiesas 2024. gada 21. maija lēmumu apsūdzētā [pers. A] aizstāve R. </w:t>
      </w:r>
      <w:proofErr w:type="spellStart"/>
      <w:r w:rsidRPr="004E6D67">
        <w:rPr>
          <w:rFonts w:eastAsia="Times New Roman" w:cs="Times New Roman"/>
          <w:kern w:val="0"/>
          <w:lang w:eastAsia="ru-RU"/>
          <w14:ligatures w14:val="none"/>
        </w:rPr>
        <w:t>Jureviča</w:t>
      </w:r>
      <w:proofErr w:type="spellEnd"/>
      <w:r w:rsidRPr="004E6D67">
        <w:rPr>
          <w:rFonts w:eastAsia="Times New Roman" w:cs="Times New Roman"/>
          <w:kern w:val="0"/>
          <w:lang w:eastAsia="ru-RU"/>
          <w14:ligatures w14:val="none"/>
        </w:rPr>
        <w:t xml:space="preserve"> iesniegusi kasācijas sūdzību, lūdzot atcelt tiesas nolēmumu un nosūtīt lietu jaunai izskatīšanai apelācijas instances tiesai sakarā ar tiesas pieļautiem Kriminālprocesa likuma 511. panta otrās daļas, 512. panta un 564. panta ceturtās daļas pārkāpumiem.</w:t>
      </w:r>
    </w:p>
    <w:p w14:paraId="465C6A8C"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lv-LV"/>
          <w14:ligatures w14:val="none"/>
        </w:rPr>
      </w:pPr>
    </w:p>
    <w:p w14:paraId="6270677B"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lv-LV"/>
          <w14:ligatures w14:val="none"/>
        </w:rPr>
      </w:pPr>
      <w:r w:rsidRPr="004E6D67">
        <w:rPr>
          <w:rFonts w:eastAsia="Times New Roman" w:cs="Times New Roman"/>
          <w:kern w:val="0"/>
          <w:lang w:eastAsia="lv-LV"/>
          <w14:ligatures w14:val="none"/>
        </w:rPr>
        <w:t>[4] Ar Senāta 2026. gada 24. februāra lēmumu Latgales apgabaltiesas 2024. gada 21. maija lēmums atcelts pilnībā un lieta nosūtīta lietu jaunai izskatīšanai Latgales apgabaltiesā.</w:t>
      </w:r>
    </w:p>
    <w:p w14:paraId="0D3EC5BC"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lv-LV"/>
          <w14:ligatures w14:val="none"/>
        </w:rPr>
      </w:pPr>
    </w:p>
    <w:p w14:paraId="3C346DED" w14:textId="77777777" w:rsidR="004E6D67" w:rsidRPr="004E6D67" w:rsidRDefault="004E6D67" w:rsidP="004E6D67">
      <w:pPr>
        <w:widowControl w:val="0"/>
        <w:shd w:val="clear" w:color="auto" w:fill="FFFFFF"/>
        <w:spacing w:after="0" w:line="276" w:lineRule="auto"/>
        <w:jc w:val="center"/>
        <w:rPr>
          <w:rFonts w:eastAsia="Times New Roman" w:cs="Times New Roman"/>
          <w:b/>
          <w:kern w:val="0"/>
          <w:lang w:eastAsia="ru-RU"/>
          <w14:ligatures w14:val="none"/>
        </w:rPr>
      </w:pPr>
      <w:r w:rsidRPr="004E6D67">
        <w:rPr>
          <w:rFonts w:eastAsia="Times New Roman" w:cs="Times New Roman"/>
          <w:b/>
          <w:kern w:val="0"/>
          <w:lang w:eastAsia="ru-RU"/>
          <w14:ligatures w14:val="none"/>
        </w:rPr>
        <w:t>Motīvu daļa</w:t>
      </w:r>
    </w:p>
    <w:p w14:paraId="4269F284" w14:textId="77777777" w:rsidR="004E6D67" w:rsidRPr="004E6D67" w:rsidRDefault="004E6D67" w:rsidP="004E6D67">
      <w:pPr>
        <w:widowControl w:val="0"/>
        <w:shd w:val="clear" w:color="auto" w:fill="FFFFFF"/>
        <w:spacing w:after="0" w:line="276" w:lineRule="auto"/>
        <w:jc w:val="center"/>
        <w:rPr>
          <w:rFonts w:eastAsia="Times New Roman" w:cs="Times New Roman"/>
          <w:kern w:val="0"/>
          <w:lang w:eastAsia="ru-RU"/>
          <w14:ligatures w14:val="none"/>
        </w:rPr>
      </w:pPr>
    </w:p>
    <w:p w14:paraId="75898E7D"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ru-RU"/>
          <w14:ligatures w14:val="none"/>
        </w:rPr>
      </w:pPr>
      <w:bookmarkStart w:id="23" w:name="_Hlk216456252"/>
      <w:bookmarkStart w:id="24" w:name="_Hlk216516559"/>
      <w:r w:rsidRPr="004E6D67">
        <w:rPr>
          <w:rFonts w:eastAsia="Times New Roman" w:cs="Times New Roman"/>
          <w:kern w:val="0"/>
          <w:lang w:eastAsia="ru-RU"/>
          <w14:ligatures w14:val="none"/>
        </w:rPr>
        <w:t>[5] Saskaņā ar Kriminālprocesa likuma 533. panta pirmo daļu tiesa reizē ar galīgo nolēmumu var pieņemt blakus lēmumu, kurā kompetentai institūcijai vai amatpersonai norāda uz krimināllietā konstatētajiem tiesību normu pārkāpumiem, to cēloņiem un veicinošiem apstākļiem un pieprasa tos novērst.</w:t>
      </w:r>
    </w:p>
    <w:p w14:paraId="392C37C3"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 xml:space="preserve">Ievērojot minēto un pildot kasācijas instances tiesas pamatuzdevumu – nodrošināt likumu vienveidīgu un pareizu piemērošanu –, Senāts atzīst par nepieciešamu vērst </w:t>
      </w:r>
      <w:r w:rsidRPr="004E6D67">
        <w:rPr>
          <w:rFonts w:eastAsia="Times New Roman" w:cs="Times New Roman"/>
          <w:kern w:val="0"/>
          <w:lang w:eastAsia="ru-RU"/>
          <w14:ligatures w14:val="none"/>
        </w:rPr>
        <w:lastRenderedPageBreak/>
        <w:t>Latvijas Republikas prokuratūras uzmanību uz: 1) izskatāmajā lietā konstatēto tiesību normu pārkāpumu – apsūdzībā norādītā noziedzīgā nodarījuma nepareizu juridisko kvalifikāciju; 2) nepieciešamību lietās par valsts amatpersonu izdarītiem noziedzīgiem nodarījumiem īpaši pārbaudīt, vai izmeklējamais nodarījums nav kvalificējams pēc normas, kas nav ietverta Krimināllikuma XXIV nodaļā „Noziedzīgi nodarījumi valsts institūciju dienestā” un paredz bargāku sodu.</w:t>
      </w:r>
    </w:p>
    <w:p w14:paraId="70641279"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Izskatāmajā lietā konstatēts, ka apsūdzībā norādītais noziedzīgais nodarījums nepamatoti kvalificēts pēc Krimināllikuma 318. panta trešās daļas, savukārt tiesa, lemjot par celtās apsūdzības pamatotību, nebija tiesīga šo kvalifikāciju grozīt uz smagāku.</w:t>
      </w:r>
    </w:p>
    <w:p w14:paraId="4A25959B"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Ja prokurors pieļauj šādu nepilnību, valsts amatpersonai nepamatoti var tikt radīts labvēlīgāks stāvoklis salīdzinājumā ar privātpersonu, lai gan tieši valsts amatpersonas statuss šādos gadījumos pamato stingrāku krimināltiesisko reakciju.</w:t>
      </w:r>
    </w:p>
    <w:p w14:paraId="1EE939A5"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Minēto secinājumu Senāts pamato ar šādiem apsvērumiem.</w:t>
      </w:r>
    </w:p>
    <w:p w14:paraId="74553CB7"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ru-RU"/>
          <w14:ligatures w14:val="none"/>
        </w:rPr>
      </w:pPr>
    </w:p>
    <w:p w14:paraId="05072727"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[6] Saskaņā ar šajā lietā celto apsūdzību 2016. gada 28. novembrī [pers. A], būdams Valsts ieņēmumu dienesta Muitas pārvaldes Latgales muitas kontroles punkta vecākais muitas uzraugs, nolūkā atvieglot citām personām kontrabandas preces – tabakas izstrādājumu – ievešanu Latvijas Republikas teritorijā, kravu skenera datorsistēmā aizvietoja transportlīdzekļu sastāva skenēšanas rezultātā iegūtās foto datnes ar cita transportlīdzekļa foto datnēm, kurās tabakas izstrādājumi nebija redzami, tādējādi nodrošinot nedeklarētu tabakas izstrādājumu ievešanu Latvijas Republikā un nodarot Latvijas Republikai mantisku zaudējumu 1 839 611,60 </w:t>
      </w:r>
      <w:proofErr w:type="spellStart"/>
      <w:r w:rsidRPr="004E6D67">
        <w:rPr>
          <w:rFonts w:eastAsia="Times New Roman" w:cs="Times New Roman"/>
          <w:i/>
          <w:iCs/>
          <w:kern w:val="0"/>
          <w:lang w:eastAsia="ru-RU"/>
          <w14:ligatures w14:val="none"/>
        </w:rPr>
        <w:t>euro</w:t>
      </w:r>
      <w:proofErr w:type="spellEnd"/>
      <w:r w:rsidRPr="004E6D67">
        <w:rPr>
          <w:rFonts w:eastAsia="Times New Roman" w:cs="Times New Roman"/>
          <w:i/>
          <w:iCs/>
          <w:kern w:val="0"/>
          <w:lang w:eastAsia="ru-RU"/>
          <w14:ligatures w14:val="none"/>
        </w:rPr>
        <w:t xml:space="preserve"> </w:t>
      </w:r>
      <w:r w:rsidRPr="004E6D67">
        <w:rPr>
          <w:rFonts w:eastAsia="Times New Roman" w:cs="Times New Roman"/>
          <w:kern w:val="0"/>
          <w:lang w:eastAsia="ru-RU"/>
          <w14:ligatures w14:val="none"/>
        </w:rPr>
        <w:t>nenomaksāto nodokļu veidā.</w:t>
      </w:r>
    </w:p>
    <w:p w14:paraId="7E75C194"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Šādas apsūdzētā darbības apsūdzībā un zemāko instanču tiesu nolēmumos ir kvalificētas pēc Krimināllikuma 318. panta trešās daļas.</w:t>
      </w:r>
    </w:p>
    <w:p w14:paraId="069056BC"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[6.1] Senāts atzīst, ka nodarījuma faktiskie apstākļi atbilst divu citu – Krimināllikuma 190. panta trešajā daļā (kontrabanda) un 317. panta trešajā daļā (dienesta pilnvaru pārsniegšana) paredzēto – noziedzīgo nodarījumu pazīmēm.</w:t>
      </w:r>
    </w:p>
    <w:p w14:paraId="6A5C2976"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Neiztirzājot jautājumu, vai izskatāmajā gadījumā veidojas šo noziedzīgo nodarījumu ideālā kopība vai normu konkurence, Senāts norāda, ka apsūdzībā norādītie nodarījuma faktiskie apstākļi katrā ziņā kvalificējami pēc Krimināllikuma 190. panta trešās daļas, kas paredz ievērojami bargāku sodu nekā Krimināllikuma 318. panta trešā daļa.</w:t>
      </w:r>
    </w:p>
    <w:p w14:paraId="6CAF726D"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[6.2] Krimināllikuma 190. pantā paredzēta atbildība par muitošanai pakļauto preču vai citu vērtību ievešanu Latvijas Republikas muitas teritorijā vai izvešanu no tās, apejot muitas kontroli vai noslēpjot tās no šādas kontroles, vai nedeklarējot, vai izmantojot viltotus muitas vai citus dokumentus, vai citādā nelikumīgā veidā (kontrabanda).</w:t>
      </w:r>
    </w:p>
    <w:p w14:paraId="21C5A248"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No šīs normas izriet, ka kontrabandas sastāva objektīvo pusi veido ne tikai kontrabandas preču fiziska pārvietošana pāri muitas robežai, bet arī jebkurš nelikumīgs paņēmiens, ar kuru tiek apieta muitas kontrole, tajā skaitā kravas patiesā satura slēpšana, nedeklarēšana vai viltotu dokumentu izmantošana.</w:t>
      </w:r>
    </w:p>
    <w:p w14:paraId="35EF602D"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 xml:space="preserve">Aizvietojot skenēšanas rezultātā iegūtās oriģinālās foto datnes ar tādām, kurās muitošanai pakļautās preces nav redzamas, tiek radīts maldinošs priekšstats, ka kravā šādu preču nav. Tādējādi tiek apiets kontroles mehānisms, kura mērķis ir kontrabandas preču atklāšana, proti, tiek radīti priekšnosacījumi, lai kravas patiesais saturs netiktu atklāts un deklarēts. Līdz ar to šāds nodarījums atbilst muitas kontroles apiešanas </w:t>
      </w:r>
      <w:r w:rsidRPr="004E6D67">
        <w:rPr>
          <w:rFonts w:eastAsia="Times New Roman" w:cs="Times New Roman"/>
          <w:kern w:val="0"/>
          <w:lang w:eastAsia="ru-RU"/>
          <w14:ligatures w14:val="none"/>
        </w:rPr>
        <w:lastRenderedPageBreak/>
        <w:t>paņēmienam – kravas patiesā satura slēpšanai.</w:t>
      </w:r>
    </w:p>
    <w:p w14:paraId="3B4964C8" w14:textId="77777777" w:rsidR="004E6D67" w:rsidRPr="004E6D67" w:rsidRDefault="004E6D67" w:rsidP="004E6D67">
      <w:pPr>
        <w:widowControl w:val="0"/>
        <w:spacing w:after="0" w:line="276" w:lineRule="auto"/>
        <w:ind w:firstLine="720"/>
        <w:jc w:val="both"/>
        <w:rPr>
          <w:rFonts w:eastAsia="Times New Roman" w:cs="Times New Roman"/>
          <w:color w:val="000000"/>
          <w:kern w:val="0"/>
          <w:lang w:eastAsia="ru-RU"/>
          <w14:ligatures w14:val="none"/>
        </w:rPr>
      </w:pPr>
      <w:r w:rsidRPr="004E6D67">
        <w:rPr>
          <w:rFonts w:eastAsia="Times New Roman" w:cs="Times New Roman"/>
          <w:kern w:val="0"/>
          <w:lang w:eastAsia="ru-RU"/>
          <w14:ligatures w14:val="none"/>
        </w:rPr>
        <w:t>Ja persona ir realizējusi vismaz daļu no noziedzīgā nodarījuma sastāva objektīvās puses, tā atzīstama par noziedzīgā nodarījuma līdzizdarītāju: katrs līdzizdarītājs izpilda kādu daļu no Krimināllikuma Sevišķās daļas panta dispozīcijā norādītajām darbībām, kas veido noziedzīga nodarījuma objektīvo pusi (</w:t>
      </w:r>
      <w:r w:rsidRPr="004E6D67">
        <w:rPr>
          <w:rFonts w:eastAsia="Times New Roman" w:cs="Times New Roman"/>
          <w:i/>
          <w:iCs/>
          <w:color w:val="000000"/>
          <w:kern w:val="0"/>
          <w:lang w:eastAsia="ru-RU"/>
          <w14:ligatures w14:val="none"/>
        </w:rPr>
        <w:t>Krastiņš U. Noziedzīga nodarījuma sastāvs un nodarījuma kvalifikācija. Teorētiskie aspekti. Rīga: Tiesu namu aģentūra, 2014, 246. lpp</w:t>
      </w:r>
      <w:r w:rsidRPr="004E6D67">
        <w:rPr>
          <w:rFonts w:eastAsia="Times New Roman" w:cs="Times New Roman"/>
          <w:color w:val="000000"/>
          <w:kern w:val="0"/>
          <w:lang w:eastAsia="ru-RU"/>
          <w14:ligatures w14:val="none"/>
        </w:rPr>
        <w:t>.).</w:t>
      </w:r>
    </w:p>
    <w:p w14:paraId="09AC1C9C"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Apstākļos kā izskatāmajā lietā datņu aizvietošana ir tieši vērsta uz kontrabandas preču ievešanas nodrošināšanu un veido neatņemamu kontrabandas īstenošanas paņēmienu un vienlaikus daļu no Krimināllikuma 190. panta trešajā daļā paredzētā noziedzīgā nodarījuma sastāva objektīvās puses.</w:t>
      </w:r>
    </w:p>
    <w:p w14:paraId="2AD238E2"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Šāds juridisks vērtējums darbībām, kādas norādītas apsūdzībā izskatāmajā lietā, nav atkarīgs no tā, vai tās veikusi privātpersona vai valsts amatpersona, kuras kompetencē ir veikt attiecīgo kontroli.</w:t>
      </w:r>
    </w:p>
    <w:p w14:paraId="5DDCF005"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Ievērojot minēto, apsūdzībā norādītais nodarījums no materiālo krimināltiesību viedokļa atbilst Krimināllikuma 190. panta trešās daļas sastāvam (kvalificējošās pazīmes – lielā apmērā un personu grupa pēc iepriekšējas vienošanās).</w:t>
      </w:r>
    </w:p>
    <w:p w14:paraId="7FF0D950" w14:textId="77777777" w:rsidR="004E6D67" w:rsidRPr="004E6D67" w:rsidRDefault="004E6D67" w:rsidP="004E6D67">
      <w:pPr>
        <w:widowControl w:val="0"/>
        <w:spacing w:after="0" w:line="276" w:lineRule="auto"/>
        <w:ind w:firstLine="720"/>
        <w:jc w:val="both"/>
        <w:rPr>
          <w:rFonts w:eastAsia="Times New Roman" w:cs="Times New Roman"/>
          <w:color w:val="000000"/>
          <w:kern w:val="0"/>
          <w:lang w:eastAsia="ru-RU"/>
          <w14:ligatures w14:val="none"/>
        </w:rPr>
      </w:pPr>
      <w:r w:rsidRPr="004E6D67">
        <w:rPr>
          <w:rFonts w:eastAsia="Times New Roman" w:cs="Times New Roman"/>
          <w:color w:val="000000"/>
          <w:kern w:val="0"/>
          <w:lang w:eastAsia="ru-RU"/>
          <w14:ligatures w14:val="none"/>
        </w:rPr>
        <w:t>[6.3] Krimināllikuma 317. panta redakcija, kas bija spēkā noziedzīgā nodarījuma izdarīšanas laikā</w:t>
      </w:r>
      <w:r w:rsidRPr="004E6D67">
        <w:rPr>
          <w:rFonts w:eastAsia="Times New Roman" w:cs="Times New Roman"/>
          <w:kern w:val="0"/>
          <w:lang w:eastAsia="ru-RU"/>
          <w14:ligatures w14:val="none"/>
        </w:rPr>
        <w:t xml:space="preserve">, paredzēja </w:t>
      </w:r>
      <w:r w:rsidRPr="004E6D67">
        <w:rPr>
          <w:rFonts w:eastAsia="Times New Roman" w:cs="Times New Roman"/>
          <w:color w:val="000000"/>
          <w:kern w:val="0"/>
          <w:lang w:eastAsia="ru-RU"/>
          <w14:ligatures w14:val="none"/>
        </w:rPr>
        <w:t>atbildību par valsts amatpersonas izdarītām tīšām darbībām, kas acīmredzami pārsniedz valsts amatpersonai ar likumu vai uzliktu uzdevumu piešķirto tiesību un pilnvaru robežas, ja šīs darbības radījušas būtisku kaitējumu valsts varai vai pārvaldības kārtībai, vai ar likumu aizsargātām personas interesēm (panta pirmā daļa) vai radījušas smagas sekas (panta trešā daļa).</w:t>
      </w:r>
    </w:p>
    <w:p w14:paraId="55CDC8AC" w14:textId="77777777" w:rsidR="004E6D67" w:rsidRPr="004E6D67" w:rsidRDefault="004E6D67" w:rsidP="004E6D67">
      <w:pPr>
        <w:widowControl w:val="0"/>
        <w:spacing w:after="0" w:line="276" w:lineRule="auto"/>
        <w:ind w:firstLine="720"/>
        <w:jc w:val="both"/>
        <w:rPr>
          <w:rFonts w:eastAsia="Times New Roman" w:cs="Times New Roman"/>
          <w:i/>
          <w:iCs/>
          <w:color w:val="000000"/>
          <w:kern w:val="0"/>
          <w:lang w:eastAsia="ru-RU"/>
          <w14:ligatures w14:val="none"/>
        </w:rPr>
      </w:pPr>
      <w:r w:rsidRPr="004E6D67">
        <w:rPr>
          <w:rFonts w:eastAsia="Times New Roman" w:cs="Times New Roman"/>
          <w:color w:val="000000"/>
          <w:kern w:val="0"/>
          <w:lang w:eastAsia="ru-RU"/>
          <w14:ligatures w14:val="none"/>
        </w:rPr>
        <w:t>Par acīmredzamu ar likumu vai uzlikto uzdevumu piešķirto tiesību un pilnvaru robežu pārsniegšanu atzīstama arī tāda valsts amatpersonas darbība, kuru nav tiesīga veikt neviena valsts amatpersona, tajā skaitā tāda darbība, kas atbilst noziedzīga nodarījuma pazīmēm, kas paredzētas citā Krimināllikuma pantā.</w:t>
      </w:r>
    </w:p>
    <w:p w14:paraId="52985D01" w14:textId="77777777" w:rsidR="004E6D67" w:rsidRPr="004E6D67" w:rsidRDefault="004E6D67" w:rsidP="004E6D67">
      <w:pPr>
        <w:widowControl w:val="0"/>
        <w:spacing w:after="0" w:line="276" w:lineRule="auto"/>
        <w:ind w:firstLine="720"/>
        <w:jc w:val="both"/>
        <w:rPr>
          <w:rFonts w:eastAsia="Times New Roman" w:cs="Times New Roman"/>
          <w:color w:val="000000"/>
          <w:kern w:val="0"/>
          <w:lang w:eastAsia="ru-RU"/>
          <w14:ligatures w14:val="none"/>
        </w:rPr>
      </w:pPr>
      <w:r w:rsidRPr="004E6D67">
        <w:rPr>
          <w:rFonts w:eastAsia="Times New Roman" w:cs="Times New Roman"/>
          <w:color w:val="000000"/>
          <w:kern w:val="0"/>
          <w:lang w:eastAsia="ru-RU"/>
          <w14:ligatures w14:val="none"/>
        </w:rPr>
        <w:t xml:space="preserve">Minēto apstiprina arī tas, ka likumdevējs Krimināllikuma 317. panta otrajā un trešajā daļā ir paredzējis pilnvaru pārsniegšanas </w:t>
      </w:r>
      <w:proofErr w:type="spellStart"/>
      <w:r w:rsidRPr="004E6D67">
        <w:rPr>
          <w:rFonts w:eastAsia="Times New Roman" w:cs="Times New Roman"/>
          <w:color w:val="000000"/>
          <w:kern w:val="0"/>
          <w:lang w:eastAsia="ru-RU"/>
          <w14:ligatures w14:val="none"/>
        </w:rPr>
        <w:t>speciālgadījumus</w:t>
      </w:r>
      <w:proofErr w:type="spellEnd"/>
      <w:r w:rsidRPr="004E6D67">
        <w:rPr>
          <w:rFonts w:eastAsia="Times New Roman" w:cs="Times New Roman"/>
          <w:color w:val="000000"/>
          <w:kern w:val="0"/>
          <w:lang w:eastAsia="ru-RU"/>
          <w14:ligatures w14:val="none"/>
        </w:rPr>
        <w:t xml:space="preserve"> – vardarbību un spīdzināšanu –, kas nav izsmeļošs uzskaitījums.</w:t>
      </w:r>
    </w:p>
    <w:p w14:paraId="3A34C622" w14:textId="77777777" w:rsidR="004E6D67" w:rsidRPr="004E6D67" w:rsidRDefault="004E6D67" w:rsidP="004E6D67">
      <w:pPr>
        <w:widowControl w:val="0"/>
        <w:spacing w:after="0" w:line="276" w:lineRule="auto"/>
        <w:ind w:firstLine="720"/>
        <w:jc w:val="both"/>
        <w:rPr>
          <w:rFonts w:eastAsia="Times New Roman" w:cs="Times New Roman"/>
          <w:bCs/>
          <w:kern w:val="0"/>
          <w:lang w:eastAsia="ru-RU"/>
          <w14:ligatures w14:val="none"/>
        </w:rPr>
      </w:pPr>
      <w:r w:rsidRPr="004E6D67">
        <w:rPr>
          <w:rFonts w:eastAsia="Times New Roman" w:cs="Times New Roman"/>
          <w:kern w:val="0"/>
          <w:lang w:eastAsia="ru-RU"/>
          <w14:ligatures w14:val="none"/>
        </w:rPr>
        <w:t xml:space="preserve">Arī Senāts ir akceptējis šo pieeju un norādījis, ka, piemēram, izmeklētāja rīcība kvalificējama pēc Krimināllikuma 317. panta arī tad, ja tā atbilst Krimināllikuma 307. pantā paredzētā noziedzīgā nodarījuma sastāvam, proti, ja izmeklētājs </w:t>
      </w:r>
      <w:proofErr w:type="spellStart"/>
      <w:r w:rsidRPr="004E6D67">
        <w:rPr>
          <w:rFonts w:eastAsia="Times New Roman" w:cs="Times New Roman"/>
          <w:kern w:val="0"/>
          <w:lang w:eastAsia="ru-RU"/>
          <w14:ligatures w14:val="none"/>
        </w:rPr>
        <w:t>pirmstiesas</w:t>
      </w:r>
      <w:proofErr w:type="spellEnd"/>
      <w:r w:rsidRPr="004E6D67">
        <w:rPr>
          <w:rFonts w:eastAsia="Times New Roman" w:cs="Times New Roman"/>
          <w:kern w:val="0"/>
          <w:lang w:eastAsia="ru-RU"/>
          <w14:ligatures w14:val="none"/>
        </w:rPr>
        <w:t xml:space="preserve"> procesā bez atļaujas paņēmis cita izmeklētāja lietvedībā esošai krimināllietai pievienotās CD matricas, nokopējis tajās esošās audiodatnes un nodevis tās trešajai personai publiskošanai (sk. </w:t>
      </w:r>
      <w:r w:rsidRPr="004E6D67">
        <w:rPr>
          <w:rFonts w:eastAsia="Times New Roman" w:cs="Times New Roman"/>
          <w:i/>
          <w:iCs/>
          <w:kern w:val="0"/>
          <w:lang w:eastAsia="ru-RU"/>
          <w14:ligatures w14:val="none"/>
        </w:rPr>
        <w:t>Senāta 2017. gada 30. novembra lēmums lietā Nr. SKK</w:t>
      </w:r>
      <w:r w:rsidRPr="004E6D67">
        <w:rPr>
          <w:rFonts w:eastAsia="Times New Roman" w:cs="Times New Roman"/>
          <w:i/>
          <w:iCs/>
          <w:kern w:val="0"/>
          <w:lang w:eastAsia="ru-RU"/>
          <w14:ligatures w14:val="none"/>
        </w:rPr>
        <w:noBreakHyphen/>
        <w:t xml:space="preserve">320/2017, </w:t>
      </w:r>
      <w:hyperlink r:id="rId15" w:history="1">
        <w:r w:rsidRPr="004E6D67">
          <w:rPr>
            <w:rFonts w:eastAsia="Times New Roman" w:cs="Times New Roman"/>
            <w:i/>
            <w:iCs/>
            <w:color w:val="0000FF"/>
            <w:kern w:val="0"/>
            <w:u w:val="single"/>
            <w:lang w:eastAsia="ru-RU"/>
            <w14:ligatures w14:val="none"/>
          </w:rPr>
          <w:t>ECLI:LV:AT:2017:1130.16870000612.1.L</w:t>
        </w:r>
      </w:hyperlink>
      <w:r w:rsidRPr="004E6D67">
        <w:rPr>
          <w:rFonts w:eastAsia="Times New Roman" w:cs="Times New Roman"/>
          <w:bCs/>
          <w:kern w:val="0"/>
          <w:lang w:eastAsia="ru-RU"/>
          <w14:ligatures w14:val="none"/>
        </w:rPr>
        <w:t>).</w:t>
      </w:r>
    </w:p>
    <w:p w14:paraId="15A1C6DE" w14:textId="77777777" w:rsidR="004E6D67" w:rsidRPr="004E6D67" w:rsidRDefault="004E6D67" w:rsidP="004E6D67">
      <w:pPr>
        <w:widowControl w:val="0"/>
        <w:spacing w:after="0" w:line="276" w:lineRule="auto"/>
        <w:ind w:firstLine="720"/>
        <w:jc w:val="both"/>
        <w:rPr>
          <w:rFonts w:eastAsia="Times New Roman" w:cs="Times New Roman"/>
          <w:color w:val="000000"/>
          <w:kern w:val="0"/>
          <w:lang w:eastAsia="ru-RU"/>
          <w14:ligatures w14:val="none"/>
        </w:rPr>
      </w:pPr>
      <w:r w:rsidRPr="004E6D67">
        <w:rPr>
          <w:rFonts w:eastAsia="Times New Roman" w:cs="Times New Roman"/>
          <w:bCs/>
          <w:kern w:val="0"/>
          <w:lang w:eastAsia="ru-RU"/>
          <w14:ligatures w14:val="none"/>
        </w:rPr>
        <w:t xml:space="preserve">Ievērojot minēto, ja valsts amatpersona ir veikusi darbības, kas atbilst kontrabandas objektīvās puses pazīmēm, no materiālo krimināltiesību viedokļa viņas nodarījums acīmredzami pārsniedz </w:t>
      </w:r>
      <w:r w:rsidRPr="004E6D67">
        <w:rPr>
          <w:rFonts w:eastAsia="Times New Roman" w:cs="Times New Roman"/>
          <w:color w:val="000000"/>
          <w:kern w:val="0"/>
          <w:lang w:eastAsia="ru-RU"/>
          <w14:ligatures w14:val="none"/>
        </w:rPr>
        <w:t>ar likumu un uzliktu uzdevumu piešķirto tiesību un pilnvaru robežas. Savukārt, ja šāda nodarījuma rezultātā nodarīts mantisks zaudējums lielā apmērā, tas atbilst Krimināllikuma 317. panta trešās daļas pazīmēm.</w:t>
      </w:r>
    </w:p>
    <w:p w14:paraId="7A56F52E" w14:textId="77777777" w:rsidR="004E6D67" w:rsidRPr="004E6D67" w:rsidRDefault="004E6D67" w:rsidP="004E6D67">
      <w:pPr>
        <w:widowControl w:val="0"/>
        <w:spacing w:after="0" w:line="276" w:lineRule="auto"/>
        <w:ind w:firstLine="720"/>
        <w:jc w:val="both"/>
        <w:rPr>
          <w:rFonts w:eastAsia="Times New Roman" w:cs="Times New Roman"/>
          <w:color w:val="000000"/>
          <w:kern w:val="0"/>
          <w:lang w:eastAsia="ru-RU"/>
          <w14:ligatures w14:val="none"/>
        </w:rPr>
      </w:pPr>
      <w:r w:rsidRPr="004E6D67">
        <w:rPr>
          <w:rFonts w:eastAsia="Times New Roman" w:cs="Times New Roman"/>
          <w:color w:val="000000"/>
          <w:kern w:val="0"/>
          <w:lang w:eastAsia="ru-RU"/>
          <w14:ligatures w14:val="none"/>
        </w:rPr>
        <w:t>[6.4] Par likumā paredzētajām sankcijām Senāts konstatē turpmāko.</w:t>
      </w:r>
    </w:p>
    <w:p w14:paraId="7508F14D" w14:textId="77777777" w:rsidR="004E6D67" w:rsidRPr="004E6D67" w:rsidRDefault="004E6D67" w:rsidP="004E6D67">
      <w:pPr>
        <w:widowControl w:val="0"/>
        <w:spacing w:after="0" w:line="276" w:lineRule="auto"/>
        <w:ind w:firstLine="720"/>
        <w:jc w:val="both"/>
        <w:rPr>
          <w:rFonts w:eastAsia="Times New Roman" w:cs="Times New Roman"/>
          <w:color w:val="000000"/>
          <w:kern w:val="0"/>
          <w:lang w:eastAsia="ru-RU"/>
          <w14:ligatures w14:val="none"/>
        </w:rPr>
      </w:pPr>
      <w:r w:rsidRPr="004E6D67">
        <w:rPr>
          <w:rFonts w:eastAsia="Times New Roman" w:cs="Times New Roman"/>
          <w:kern w:val="0"/>
          <w:lang w:eastAsia="ru-RU"/>
          <w14:ligatures w14:val="none"/>
        </w:rPr>
        <w:t xml:space="preserve">Apsūdzībā un zemāko instanču tiesu nolēmumos konstatētā </w:t>
      </w:r>
      <w:r w:rsidRPr="004E6D67">
        <w:rPr>
          <w:rFonts w:eastAsia="Times New Roman" w:cs="Times New Roman"/>
          <w:color w:val="000000"/>
          <w:kern w:val="0"/>
          <w:lang w:eastAsia="ru-RU"/>
          <w14:ligatures w14:val="none"/>
        </w:rPr>
        <w:t xml:space="preserve">noziedzīgā nodarījuma izdarīšanas laikā – 2016. gada 28. novembrī – Krimināllikuma 190. panta trešā daļa paredzēja brīvības atņemšanu no 2 līdz 11 gadiem, bet apelācijas instances </w:t>
      </w:r>
      <w:r w:rsidRPr="004E6D67">
        <w:rPr>
          <w:rFonts w:eastAsia="Times New Roman" w:cs="Times New Roman"/>
          <w:color w:val="000000"/>
          <w:kern w:val="0"/>
          <w:lang w:eastAsia="ru-RU"/>
          <w14:ligatures w14:val="none"/>
        </w:rPr>
        <w:lastRenderedPageBreak/>
        <w:t>tiesas nolēmuma taisīšanas laikā – brīvības atņemšanu līdz 10 gadiem. Savukārt par Krimināllikuma 318. panta trešajā daļā paredzēto noziedzīgo nodarījumu gan 2016. gada 28. novembrī, gan apelācijas instances tiesas nolēmuma taisīšanas laikā bija paredzēta brīvības atņemšana līdz 5 gadiem.</w:t>
      </w:r>
    </w:p>
    <w:p w14:paraId="731E0018"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color w:val="000000"/>
          <w:kern w:val="0"/>
          <w:lang w:eastAsia="ru-RU"/>
          <w14:ligatures w14:val="none"/>
        </w:rPr>
        <w:t xml:space="preserve">Minētais sodu salīdzinājums uzskatāmi parāda, ka </w:t>
      </w:r>
      <w:r w:rsidRPr="004E6D67">
        <w:rPr>
          <w:rFonts w:eastAsia="Times New Roman" w:cs="Times New Roman"/>
          <w:bCs/>
          <w:kern w:val="0"/>
          <w:lang w:eastAsia="ru-RU"/>
          <w14:ligatures w14:val="none"/>
        </w:rPr>
        <w:t xml:space="preserve">gadījumos, kad valsts amatpersona ir izdarījusi Krimināllikuma 190. panta trešajā daļā paredzēto noziedzīgo nodarījumu (kontrabanda), taču viņas darbības tiek kvalificētas pēc Krimināllikuma 318. panta trešās daļas, </w:t>
      </w:r>
      <w:r w:rsidRPr="004E6D67">
        <w:rPr>
          <w:rFonts w:eastAsia="Times New Roman" w:cs="Times New Roman"/>
          <w:kern w:val="0"/>
          <w:lang w:eastAsia="ru-RU"/>
          <w14:ligatures w14:val="none"/>
        </w:rPr>
        <w:t>nepareiza juridiskā kvalifikācija rada pamatu ne tikai piemērot valsts amatpersonai vieglāku sodu, bet arī privileģēt viņu attiecībā pret privātpersonu, kura par kontrabandas īstenošanu tiktu saukta pie atbildības un sodīta pēc Krimināllikuma 190. panta trešās daļas.</w:t>
      </w:r>
    </w:p>
    <w:p w14:paraId="60F692ED" w14:textId="77777777" w:rsidR="004E6D67" w:rsidRPr="004E6D67" w:rsidRDefault="004E6D67" w:rsidP="004E6D67">
      <w:pPr>
        <w:widowControl w:val="0"/>
        <w:spacing w:after="0" w:line="276" w:lineRule="auto"/>
        <w:ind w:firstLine="720"/>
        <w:jc w:val="both"/>
        <w:rPr>
          <w:rFonts w:eastAsia="Times New Roman" w:cs="Times New Roman"/>
          <w:color w:val="000000"/>
          <w:kern w:val="0"/>
          <w:lang w:eastAsia="ru-RU"/>
          <w14:ligatures w14:val="none"/>
        </w:rPr>
      </w:pPr>
      <w:r w:rsidRPr="004E6D67">
        <w:rPr>
          <w:rFonts w:eastAsia="Times New Roman" w:cs="Times New Roman"/>
          <w:color w:val="000000"/>
          <w:kern w:val="0"/>
          <w:lang w:eastAsia="ru-RU"/>
          <w14:ligatures w14:val="none"/>
        </w:rPr>
        <w:t>Arī Krimināllikuma 317. panta trešā daļa (kvalificējošā pazīme – smagas sekas) likuma redakcijā, kas bija spēkā gan 2016. gada 28. novembrī, gan apelācijas instances tiesas nolēmuma taisīšanas laikā, paredzēja bargāku sodu – brīvības atņemšanu līdz 10 gadiem –, nekā Krimināllikuma 318. panta trešā daļa.</w:t>
      </w:r>
    </w:p>
    <w:p w14:paraId="6E6F71D3"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kern w:val="0"/>
          <w:lang w:eastAsia="ru-RU"/>
          <w14:ligatures w14:val="none"/>
        </w:rPr>
      </w:pPr>
      <w:bookmarkStart w:id="25" w:name="_Hlk214823007"/>
    </w:p>
    <w:bookmarkEnd w:id="25"/>
    <w:p w14:paraId="446EA2CA"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[7] Ievērojot Kriminālprocesa likuma 455. panta trešajā daļā paredzēto aizliegumu pasliktināt apsūdzēt stāvokli, ne pirmās instances, ne apelācijas instances tiesa nebija tiesīga nodarījumu pārkvalificēt uz smagāku.</w:t>
      </w:r>
    </w:p>
    <w:p w14:paraId="6367F207"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Šādas tiesības apelācijas instances tiesai neizriet arī no Kriminālprocesa likuma 455. panta ceturtās daļas, kas stājās spēkā 2024. gada 22. oktobrī, jo apelācijas instances tiesai ir saistošs aizliegums pasliktināt apsūdzētā stāvokli lietā, ja par pirmās instances spriedumu nav iesniegts prokurora protests (Kriminālprocesa likuma 562. panta otrā daļa).</w:t>
      </w:r>
    </w:p>
    <w:p w14:paraId="25BCDDCC"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Vienlaikus Senāts uzsver, ka iepriekš minētais nenozīmē, ka zemāko instanču tiesas nebija tiesīgas atzīt apsūdzēto par vainīgu viņam inkriminētajā noziedzīgajā nodarījumā, kas saskaņā ar materiālajām krimināltiesībām ir kvalificēts nepareizi.</w:t>
      </w:r>
    </w:p>
    <w:p w14:paraId="59959A1F"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 xml:space="preserve">Nekonstatējot procesuālus šķēršļus (piemēram, noilgumu saukšanai pie kriminālatbildības pēc apsūdzībā norādītās normas) un konstatējot apsūdzētā vainīgumu atbilstoši Kriminālprocesa likuma prasībām, tiesa </w:t>
      </w:r>
      <w:bookmarkEnd w:id="23"/>
      <w:r w:rsidRPr="004E6D67">
        <w:rPr>
          <w:rFonts w:eastAsia="Times New Roman" w:cs="Times New Roman"/>
          <w:kern w:val="0"/>
          <w:lang w:eastAsia="ru-RU"/>
          <w14:ligatures w14:val="none"/>
        </w:rPr>
        <w:t>ir tiesīga taisīt notiesājošu nolēmumu atbilstoši apsūdzībā norādītajai juridiskajai kvalifikācijai, ja apsūdzībā norādītie nodarījuma faktiskie apstākļi ietver visas šā noziedzīgā nodarījuma sastāva pazīmes.</w:t>
      </w:r>
    </w:p>
    <w:p w14:paraId="5B468E3F"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Citiem vārdiem, ja apsūdzībā aprakstītie faktiskie apstākļi aptver noziedzīgā nodarījuma sastāvu, kas norādīts apsūdzībā norādītajā normā, tiesa var taisīt notiesājošu nolēmumu atbilstoši apsūdzībā norādītajai nodarījuma juridiskajai kvalifikācijai. Šādā veidā tiek samērots aizliegums pasliktināt apsūdzētā stāvokli ar tiesas pienākumu nodrošināt efektīvu Krimināllikuma normu piemērošanu.</w:t>
      </w:r>
    </w:p>
    <w:p w14:paraId="3CCBF1CF"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Izskatāmajā lietā apsūdzībā norādītās darbības ietver arī dienesta stāvokļa ļaunprātīgas izmantošanas pazīmes (Krimināllikuma 318. pants), jo (1) dienesta pilnvaras – veikt kravu skenēšanu un iegūto datu saglabāšanu – izmantotas pretēji dienesta interesēm nelikumīga mērķa sasniegšanai un (2) apsūdzībā norādītajos faktiskajos apstākļos konstatējama kvalificējošā pazīme „smagas sekas”.</w:t>
      </w:r>
    </w:p>
    <w:p w14:paraId="770873C1"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p>
    <w:bookmarkEnd w:id="24"/>
    <w:p w14:paraId="1A4D9FFD" w14:textId="77777777" w:rsidR="004E6D67" w:rsidRPr="004E6D67" w:rsidRDefault="004E6D67" w:rsidP="004E6D67">
      <w:pPr>
        <w:widowControl w:val="0"/>
        <w:shd w:val="clear" w:color="auto" w:fill="FFFFFF"/>
        <w:spacing w:after="0" w:line="276" w:lineRule="auto"/>
        <w:jc w:val="center"/>
        <w:rPr>
          <w:rFonts w:eastAsia="Times New Roman" w:cs="Times New Roman"/>
          <w:b/>
          <w:kern w:val="0"/>
          <w:lang w:eastAsia="ru-RU"/>
          <w14:ligatures w14:val="none"/>
        </w:rPr>
      </w:pPr>
      <w:r w:rsidRPr="004E6D67">
        <w:rPr>
          <w:rFonts w:eastAsia="Times New Roman" w:cs="Times New Roman"/>
          <w:b/>
          <w:kern w:val="0"/>
          <w:lang w:eastAsia="ru-RU"/>
          <w14:ligatures w14:val="none"/>
        </w:rPr>
        <w:t>Rezolutīvā daļa</w:t>
      </w:r>
    </w:p>
    <w:p w14:paraId="2EFF5D8A"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b/>
          <w:kern w:val="0"/>
          <w:lang w:eastAsia="ru-RU"/>
          <w14:ligatures w14:val="none"/>
        </w:rPr>
      </w:pPr>
    </w:p>
    <w:p w14:paraId="15B44C8E"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Pamatojoties uz Kriminālprocesa likuma 533. panta pirmo daļu, Senāts</w:t>
      </w:r>
    </w:p>
    <w:p w14:paraId="40E999C2"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b/>
          <w:kern w:val="0"/>
          <w:lang w:eastAsia="ru-RU"/>
          <w14:ligatures w14:val="none"/>
        </w:rPr>
      </w:pPr>
    </w:p>
    <w:p w14:paraId="5CBC8DD4" w14:textId="77777777" w:rsidR="004E6D67" w:rsidRPr="004E6D67" w:rsidRDefault="004E6D67" w:rsidP="004E6D67">
      <w:pPr>
        <w:widowControl w:val="0"/>
        <w:shd w:val="clear" w:color="auto" w:fill="FFFFFF"/>
        <w:spacing w:after="0" w:line="276" w:lineRule="auto"/>
        <w:jc w:val="center"/>
        <w:rPr>
          <w:rFonts w:eastAsia="Times New Roman" w:cs="Times New Roman"/>
          <w:b/>
          <w:kern w:val="0"/>
          <w:lang w:eastAsia="ru-RU"/>
          <w14:ligatures w14:val="none"/>
        </w:rPr>
      </w:pPr>
      <w:r w:rsidRPr="004E6D67">
        <w:rPr>
          <w:rFonts w:eastAsia="Times New Roman" w:cs="Times New Roman"/>
          <w:b/>
          <w:kern w:val="0"/>
          <w:lang w:eastAsia="ru-RU"/>
          <w14:ligatures w14:val="none"/>
        </w:rPr>
        <w:t>nolēma</w:t>
      </w:r>
    </w:p>
    <w:p w14:paraId="4899DC80" w14:textId="77777777" w:rsidR="004E6D67" w:rsidRPr="004E6D67" w:rsidRDefault="004E6D67" w:rsidP="004E6D67">
      <w:pPr>
        <w:widowControl w:val="0"/>
        <w:shd w:val="clear" w:color="auto" w:fill="FFFFFF"/>
        <w:spacing w:after="0" w:line="276" w:lineRule="auto"/>
        <w:ind w:firstLine="720"/>
        <w:jc w:val="both"/>
        <w:rPr>
          <w:rFonts w:eastAsia="Times New Roman" w:cs="Times New Roman"/>
          <w:bCs/>
          <w:kern w:val="0"/>
          <w:lang w:eastAsia="ru-RU"/>
          <w14:ligatures w14:val="none"/>
        </w:rPr>
      </w:pPr>
    </w:p>
    <w:p w14:paraId="51ACF636"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vērst Latvijas Republikas prokuratūras uzmanību uz: 1) izskatāmajā lietā konstatētu tiesību normu pārkāpumu – apsūdzībā inkriminētā nodarījuma nepareizu juridisko kvalifikāciju; 2) nepieciešamību lietās par valsts amatpersonu izdarītiem noziedzīgiem nodarījumiem īpaši pārbaudīt, vai izmeklējamais nodarījums nav kvalificējams pēc normas, kas nav ietverta Krimināllikuma XXIV nodaļā „Noziedzīgi nodarījumi valsts institūciju dienestā” un paredz bargāku sodu.</w:t>
      </w:r>
    </w:p>
    <w:p w14:paraId="736E5C0B"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p>
    <w:p w14:paraId="6BCDF772" w14:textId="77777777" w:rsidR="004E6D67" w:rsidRPr="004E6D67" w:rsidRDefault="004E6D67" w:rsidP="004E6D67">
      <w:pPr>
        <w:widowControl w:val="0"/>
        <w:spacing w:after="0" w:line="276" w:lineRule="auto"/>
        <w:ind w:firstLine="720"/>
        <w:jc w:val="both"/>
        <w:rPr>
          <w:rFonts w:eastAsia="Times New Roman" w:cs="Times New Roman"/>
          <w:kern w:val="0"/>
          <w:lang w:eastAsia="ru-RU"/>
          <w14:ligatures w14:val="none"/>
        </w:rPr>
      </w:pPr>
      <w:r w:rsidRPr="004E6D67">
        <w:rPr>
          <w:rFonts w:eastAsia="Times New Roman" w:cs="Times New Roman"/>
          <w:kern w:val="0"/>
          <w:lang w:eastAsia="ru-RU"/>
          <w14:ligatures w14:val="none"/>
        </w:rPr>
        <w:t>Lēmums nav pārsūdzams.</w:t>
      </w:r>
    </w:p>
    <w:p w14:paraId="5A16838B" w14:textId="77777777" w:rsidR="00753FBE" w:rsidRPr="002410C6" w:rsidRDefault="00753FBE" w:rsidP="004D43B0">
      <w:pPr>
        <w:widowControl w:val="0"/>
        <w:spacing w:after="0" w:line="276" w:lineRule="auto"/>
        <w:ind w:firstLine="720"/>
        <w:jc w:val="both"/>
        <w:rPr>
          <w:rFonts w:cs="Times New Roman"/>
        </w:rPr>
      </w:pPr>
    </w:p>
    <w:sectPr w:rsidR="00753FBE" w:rsidRPr="002410C6" w:rsidSect="0023293F">
      <w:footerReference w:type="default" r:id="rId16"/>
      <w:footerReference w:type="first" r:id="rId17"/>
      <w:pgSz w:w="11906" w:h="16838"/>
      <w:pgMar w:top="1134" w:right="1701"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1CDD" w14:textId="77777777" w:rsidR="008D030A" w:rsidRDefault="008D030A" w:rsidP="008772F3">
      <w:pPr>
        <w:spacing w:after="0" w:line="240" w:lineRule="auto"/>
      </w:pPr>
      <w:r>
        <w:separator/>
      </w:r>
    </w:p>
  </w:endnote>
  <w:endnote w:type="continuationSeparator" w:id="0">
    <w:p w14:paraId="149A5A48" w14:textId="77777777" w:rsidR="008D030A" w:rsidRDefault="008D030A" w:rsidP="0087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406034"/>
      <w:docPartObj>
        <w:docPartGallery w:val="Page Numbers (Bottom of Page)"/>
        <w:docPartUnique/>
      </w:docPartObj>
    </w:sdtPr>
    <w:sdtEndPr>
      <w:rPr>
        <w:sz w:val="20"/>
        <w:szCs w:val="20"/>
      </w:rPr>
    </w:sdtEndPr>
    <w:sdtContent>
      <w:sdt>
        <w:sdtPr>
          <w:rPr>
            <w:sz w:val="20"/>
            <w:szCs w:val="20"/>
          </w:rPr>
          <w:id w:val="-877697621"/>
          <w:docPartObj>
            <w:docPartGallery w:val="Page Numbers (Top of Page)"/>
            <w:docPartUnique/>
          </w:docPartObj>
        </w:sdtPr>
        <w:sdtEndPr/>
        <w:sdtContent>
          <w:p w14:paraId="413243FC" w14:textId="02EE8F95" w:rsidR="008772F3" w:rsidRDefault="0061641F" w:rsidP="0061641F">
            <w:pPr>
              <w:pStyle w:val="Footer"/>
              <w:jc w:val="center"/>
            </w:pPr>
            <w:r w:rsidRPr="0061641F">
              <w:rPr>
                <w:sz w:val="20"/>
                <w:szCs w:val="20"/>
              </w:rPr>
              <w:fldChar w:fldCharType="begin"/>
            </w:r>
            <w:r w:rsidRPr="0061641F">
              <w:rPr>
                <w:sz w:val="20"/>
                <w:szCs w:val="20"/>
              </w:rPr>
              <w:instrText xml:space="preserve"> PAGE </w:instrText>
            </w:r>
            <w:r w:rsidRPr="0061641F">
              <w:rPr>
                <w:sz w:val="20"/>
                <w:szCs w:val="20"/>
              </w:rPr>
              <w:fldChar w:fldCharType="separate"/>
            </w:r>
            <w:r w:rsidRPr="0061641F">
              <w:rPr>
                <w:noProof/>
                <w:sz w:val="20"/>
                <w:szCs w:val="20"/>
              </w:rPr>
              <w:t>2</w:t>
            </w:r>
            <w:r w:rsidRPr="0061641F">
              <w:rPr>
                <w:sz w:val="20"/>
                <w:szCs w:val="20"/>
              </w:rPr>
              <w:fldChar w:fldCharType="end"/>
            </w:r>
            <w:r w:rsidRPr="0061641F">
              <w:rPr>
                <w:sz w:val="20"/>
                <w:szCs w:val="20"/>
              </w:rPr>
              <w:t xml:space="preserve"> no </w:t>
            </w:r>
            <w:r w:rsidRPr="0061641F">
              <w:rPr>
                <w:sz w:val="20"/>
                <w:szCs w:val="20"/>
              </w:rPr>
              <w:fldChar w:fldCharType="begin"/>
            </w:r>
            <w:r w:rsidRPr="0061641F">
              <w:rPr>
                <w:sz w:val="20"/>
                <w:szCs w:val="20"/>
              </w:rPr>
              <w:instrText xml:space="preserve"> NUMPAGES  </w:instrText>
            </w:r>
            <w:r w:rsidRPr="0061641F">
              <w:rPr>
                <w:sz w:val="20"/>
                <w:szCs w:val="20"/>
              </w:rPr>
              <w:fldChar w:fldCharType="separate"/>
            </w:r>
            <w:r w:rsidRPr="0061641F">
              <w:rPr>
                <w:noProof/>
                <w:sz w:val="20"/>
                <w:szCs w:val="20"/>
              </w:rPr>
              <w:t>2</w:t>
            </w:r>
            <w:r w:rsidRPr="0061641F">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327167"/>
      <w:docPartObj>
        <w:docPartGallery w:val="Page Numbers (Bottom of Page)"/>
        <w:docPartUnique/>
      </w:docPartObj>
    </w:sdtPr>
    <w:sdtEndPr/>
    <w:sdtContent>
      <w:sdt>
        <w:sdtPr>
          <w:id w:val="1728636285"/>
          <w:docPartObj>
            <w:docPartGallery w:val="Page Numbers (Top of Page)"/>
            <w:docPartUnique/>
          </w:docPartObj>
        </w:sdtPr>
        <w:sdtEndPr/>
        <w:sdtContent>
          <w:p w14:paraId="4D065D88" w14:textId="2414E37C" w:rsidR="008772F3" w:rsidRDefault="004340FA" w:rsidP="00D93B31">
            <w:pPr>
              <w:pStyle w:val="Footer"/>
              <w:jc w:val="center"/>
            </w:pPr>
            <w:r w:rsidRPr="004340FA">
              <w:rPr>
                <w:sz w:val="20"/>
                <w:szCs w:val="20"/>
              </w:rPr>
              <w:fldChar w:fldCharType="begin"/>
            </w:r>
            <w:r w:rsidRPr="004340FA">
              <w:rPr>
                <w:sz w:val="20"/>
                <w:szCs w:val="20"/>
              </w:rPr>
              <w:instrText xml:space="preserve"> PAGE </w:instrText>
            </w:r>
            <w:r w:rsidRPr="004340FA">
              <w:rPr>
                <w:sz w:val="20"/>
                <w:szCs w:val="20"/>
              </w:rPr>
              <w:fldChar w:fldCharType="separate"/>
            </w:r>
            <w:r w:rsidRPr="004340FA">
              <w:rPr>
                <w:noProof/>
                <w:sz w:val="20"/>
                <w:szCs w:val="20"/>
              </w:rPr>
              <w:t>2</w:t>
            </w:r>
            <w:r w:rsidRPr="004340FA">
              <w:rPr>
                <w:sz w:val="20"/>
                <w:szCs w:val="20"/>
              </w:rPr>
              <w:fldChar w:fldCharType="end"/>
            </w:r>
            <w:r w:rsidRPr="004340FA">
              <w:rPr>
                <w:sz w:val="20"/>
                <w:szCs w:val="20"/>
              </w:rPr>
              <w:t xml:space="preserve"> no </w:t>
            </w:r>
            <w:r w:rsidRPr="004340FA">
              <w:rPr>
                <w:sz w:val="20"/>
                <w:szCs w:val="20"/>
              </w:rPr>
              <w:fldChar w:fldCharType="begin"/>
            </w:r>
            <w:r w:rsidRPr="004340FA">
              <w:rPr>
                <w:sz w:val="20"/>
                <w:szCs w:val="20"/>
              </w:rPr>
              <w:instrText xml:space="preserve"> NUMPAGES  </w:instrText>
            </w:r>
            <w:r w:rsidRPr="004340FA">
              <w:rPr>
                <w:sz w:val="20"/>
                <w:szCs w:val="20"/>
              </w:rPr>
              <w:fldChar w:fldCharType="separate"/>
            </w:r>
            <w:r w:rsidRPr="004340FA">
              <w:rPr>
                <w:noProof/>
                <w:sz w:val="20"/>
                <w:szCs w:val="20"/>
              </w:rPr>
              <w:t>2</w:t>
            </w:r>
            <w:r w:rsidRPr="004340FA">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AB83" w14:textId="77777777" w:rsidR="008D030A" w:rsidRDefault="008D030A" w:rsidP="008772F3">
      <w:pPr>
        <w:spacing w:after="0" w:line="240" w:lineRule="auto"/>
      </w:pPr>
      <w:r>
        <w:separator/>
      </w:r>
    </w:p>
  </w:footnote>
  <w:footnote w:type="continuationSeparator" w:id="0">
    <w:p w14:paraId="38894D62" w14:textId="77777777" w:rsidR="008D030A" w:rsidRDefault="008D030A" w:rsidP="00877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3936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AB85B1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9564EF"/>
    <w:multiLevelType w:val="hybridMultilevel"/>
    <w:tmpl w:val="FCC4B600"/>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6369AF"/>
    <w:multiLevelType w:val="multilevel"/>
    <w:tmpl w:val="4DE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EE31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3BC2885"/>
    <w:multiLevelType w:val="hybridMultilevel"/>
    <w:tmpl w:val="E4982EC4"/>
    <w:lvl w:ilvl="0" w:tplc="311C564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6861E5B"/>
    <w:multiLevelType w:val="multilevel"/>
    <w:tmpl w:val="A0464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1017E0"/>
    <w:multiLevelType w:val="hybridMultilevel"/>
    <w:tmpl w:val="C9FA3762"/>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AA74F4"/>
    <w:multiLevelType w:val="hybridMultilevel"/>
    <w:tmpl w:val="EB8E4A26"/>
    <w:lvl w:ilvl="0" w:tplc="14344B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C231E"/>
    <w:multiLevelType w:val="multilevel"/>
    <w:tmpl w:val="0250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30012"/>
    <w:multiLevelType w:val="hybridMultilevel"/>
    <w:tmpl w:val="A462EA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AE1289"/>
    <w:multiLevelType w:val="singleLevel"/>
    <w:tmpl w:val="17A8FD9C"/>
    <w:lvl w:ilvl="0">
      <w:start w:val="1"/>
      <w:numFmt w:val="decimal"/>
      <w:lvlText w:val="%1)"/>
      <w:legacy w:legacy="1" w:legacySpace="0" w:legacyIndent="561"/>
      <w:lvlJc w:val="left"/>
      <w:rPr>
        <w:rFonts w:ascii="Times New Roman" w:hAnsi="Times New Roman" w:cs="Times New Roman" w:hint="default"/>
      </w:rPr>
    </w:lvl>
  </w:abstractNum>
  <w:abstractNum w:abstractNumId="12" w15:restartNumberingAfterBreak="0">
    <w:nsid w:val="489412C0"/>
    <w:multiLevelType w:val="hybridMultilevel"/>
    <w:tmpl w:val="2C62F9D0"/>
    <w:lvl w:ilvl="0" w:tplc="85E651A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CA2960"/>
    <w:multiLevelType w:val="hybridMultilevel"/>
    <w:tmpl w:val="FCBA37A8"/>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534915"/>
    <w:multiLevelType w:val="hybridMultilevel"/>
    <w:tmpl w:val="08BA4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82810"/>
    <w:multiLevelType w:val="multilevel"/>
    <w:tmpl w:val="529A365E"/>
    <w:lvl w:ilvl="0">
      <w:start w:val="20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8A714F"/>
    <w:multiLevelType w:val="hybridMultilevel"/>
    <w:tmpl w:val="621093F4"/>
    <w:lvl w:ilvl="0" w:tplc="85E651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90570"/>
    <w:multiLevelType w:val="multilevel"/>
    <w:tmpl w:val="84A2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0805003">
    <w:abstractNumId w:val="1"/>
  </w:num>
  <w:num w:numId="2" w16cid:durableId="856961475">
    <w:abstractNumId w:val="11"/>
  </w:num>
  <w:num w:numId="3" w16cid:durableId="11104313">
    <w:abstractNumId w:val="15"/>
  </w:num>
  <w:num w:numId="4" w16cid:durableId="1261989059">
    <w:abstractNumId w:val="6"/>
  </w:num>
  <w:num w:numId="5" w16cid:durableId="724764443">
    <w:abstractNumId w:val="13"/>
  </w:num>
  <w:num w:numId="6" w16cid:durableId="244069961">
    <w:abstractNumId w:val="17"/>
  </w:num>
  <w:num w:numId="7" w16cid:durableId="1639728912">
    <w:abstractNumId w:val="16"/>
  </w:num>
  <w:num w:numId="8" w16cid:durableId="1705978010">
    <w:abstractNumId w:val="12"/>
  </w:num>
  <w:num w:numId="9" w16cid:durableId="1979845048">
    <w:abstractNumId w:val="8"/>
  </w:num>
  <w:num w:numId="10" w16cid:durableId="65807865">
    <w:abstractNumId w:val="2"/>
  </w:num>
  <w:num w:numId="11" w16cid:durableId="236598405">
    <w:abstractNumId w:val="5"/>
  </w:num>
  <w:num w:numId="12" w16cid:durableId="1861241920">
    <w:abstractNumId w:val="4"/>
  </w:num>
  <w:num w:numId="13" w16cid:durableId="1588492684">
    <w:abstractNumId w:val="10"/>
  </w:num>
  <w:num w:numId="14" w16cid:durableId="422261996">
    <w:abstractNumId w:val="14"/>
  </w:num>
  <w:num w:numId="15" w16cid:durableId="1051417626">
    <w:abstractNumId w:val="0"/>
  </w:num>
  <w:num w:numId="16" w16cid:durableId="1013187432">
    <w:abstractNumId w:val="9"/>
  </w:num>
  <w:num w:numId="17" w16cid:durableId="430928621">
    <w:abstractNumId w:val="3"/>
  </w:num>
  <w:num w:numId="18" w16cid:durableId="1451901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63"/>
    <w:rsid w:val="000019D7"/>
    <w:rsid w:val="0000601C"/>
    <w:rsid w:val="000069F5"/>
    <w:rsid w:val="000111F1"/>
    <w:rsid w:val="000142C7"/>
    <w:rsid w:val="000155C5"/>
    <w:rsid w:val="00015D74"/>
    <w:rsid w:val="00016223"/>
    <w:rsid w:val="00021A8C"/>
    <w:rsid w:val="00024238"/>
    <w:rsid w:val="00026872"/>
    <w:rsid w:val="00026DFB"/>
    <w:rsid w:val="00030CE9"/>
    <w:rsid w:val="0003282C"/>
    <w:rsid w:val="00034883"/>
    <w:rsid w:val="00034B69"/>
    <w:rsid w:val="00035917"/>
    <w:rsid w:val="00035CF8"/>
    <w:rsid w:val="00035EA2"/>
    <w:rsid w:val="0003713F"/>
    <w:rsid w:val="00041639"/>
    <w:rsid w:val="00042744"/>
    <w:rsid w:val="000431DF"/>
    <w:rsid w:val="000437BC"/>
    <w:rsid w:val="000447A0"/>
    <w:rsid w:val="000450B2"/>
    <w:rsid w:val="0004565E"/>
    <w:rsid w:val="0005309E"/>
    <w:rsid w:val="0005329D"/>
    <w:rsid w:val="000534DD"/>
    <w:rsid w:val="00053A44"/>
    <w:rsid w:val="00053B7D"/>
    <w:rsid w:val="00056838"/>
    <w:rsid w:val="00056F36"/>
    <w:rsid w:val="00060243"/>
    <w:rsid w:val="000621B5"/>
    <w:rsid w:val="000640A6"/>
    <w:rsid w:val="0006482A"/>
    <w:rsid w:val="000669B5"/>
    <w:rsid w:val="00066E78"/>
    <w:rsid w:val="000700B7"/>
    <w:rsid w:val="00070283"/>
    <w:rsid w:val="00071245"/>
    <w:rsid w:val="00072453"/>
    <w:rsid w:val="0007289E"/>
    <w:rsid w:val="00072B13"/>
    <w:rsid w:val="00072C25"/>
    <w:rsid w:val="00075904"/>
    <w:rsid w:val="00076048"/>
    <w:rsid w:val="00076903"/>
    <w:rsid w:val="00077C79"/>
    <w:rsid w:val="00081095"/>
    <w:rsid w:val="000826F8"/>
    <w:rsid w:val="00082E28"/>
    <w:rsid w:val="0008490F"/>
    <w:rsid w:val="00090A09"/>
    <w:rsid w:val="00091469"/>
    <w:rsid w:val="0009170C"/>
    <w:rsid w:val="000930E9"/>
    <w:rsid w:val="0009411E"/>
    <w:rsid w:val="00096704"/>
    <w:rsid w:val="00096EEE"/>
    <w:rsid w:val="000979AE"/>
    <w:rsid w:val="000A0A0F"/>
    <w:rsid w:val="000A0A43"/>
    <w:rsid w:val="000A18E9"/>
    <w:rsid w:val="000A2B7E"/>
    <w:rsid w:val="000A6C3F"/>
    <w:rsid w:val="000B2268"/>
    <w:rsid w:val="000B3DF5"/>
    <w:rsid w:val="000B7537"/>
    <w:rsid w:val="000C15AE"/>
    <w:rsid w:val="000C2E13"/>
    <w:rsid w:val="000C3BEA"/>
    <w:rsid w:val="000C7979"/>
    <w:rsid w:val="000C7ED7"/>
    <w:rsid w:val="000D048F"/>
    <w:rsid w:val="000D233B"/>
    <w:rsid w:val="000D6063"/>
    <w:rsid w:val="000D6874"/>
    <w:rsid w:val="000D7B6F"/>
    <w:rsid w:val="000E1D5A"/>
    <w:rsid w:val="000E4452"/>
    <w:rsid w:val="000E55EC"/>
    <w:rsid w:val="000E6244"/>
    <w:rsid w:val="000E748C"/>
    <w:rsid w:val="000F0279"/>
    <w:rsid w:val="000F188E"/>
    <w:rsid w:val="000F30E9"/>
    <w:rsid w:val="000F3B3D"/>
    <w:rsid w:val="000F6BE3"/>
    <w:rsid w:val="000F7F26"/>
    <w:rsid w:val="001003FC"/>
    <w:rsid w:val="00100D7A"/>
    <w:rsid w:val="0010494F"/>
    <w:rsid w:val="0010644D"/>
    <w:rsid w:val="00106F4E"/>
    <w:rsid w:val="001102B0"/>
    <w:rsid w:val="00110CE2"/>
    <w:rsid w:val="00121ECF"/>
    <w:rsid w:val="00121EE5"/>
    <w:rsid w:val="001240CC"/>
    <w:rsid w:val="001262D9"/>
    <w:rsid w:val="001275E5"/>
    <w:rsid w:val="00127846"/>
    <w:rsid w:val="001300A1"/>
    <w:rsid w:val="00130850"/>
    <w:rsid w:val="001327B8"/>
    <w:rsid w:val="0013291C"/>
    <w:rsid w:val="00133247"/>
    <w:rsid w:val="001346BD"/>
    <w:rsid w:val="00134919"/>
    <w:rsid w:val="00136714"/>
    <w:rsid w:val="00137017"/>
    <w:rsid w:val="0013738E"/>
    <w:rsid w:val="001411E5"/>
    <w:rsid w:val="0014353B"/>
    <w:rsid w:val="00144980"/>
    <w:rsid w:val="0014562C"/>
    <w:rsid w:val="00151854"/>
    <w:rsid w:val="00151CF8"/>
    <w:rsid w:val="0015331E"/>
    <w:rsid w:val="001544AD"/>
    <w:rsid w:val="00160809"/>
    <w:rsid w:val="00163BB6"/>
    <w:rsid w:val="00164373"/>
    <w:rsid w:val="0016508D"/>
    <w:rsid w:val="001665E8"/>
    <w:rsid w:val="00170851"/>
    <w:rsid w:val="001722EC"/>
    <w:rsid w:val="00176E28"/>
    <w:rsid w:val="00181E33"/>
    <w:rsid w:val="00184F83"/>
    <w:rsid w:val="0018632A"/>
    <w:rsid w:val="0018721D"/>
    <w:rsid w:val="00190037"/>
    <w:rsid w:val="00190C32"/>
    <w:rsid w:val="00191EAA"/>
    <w:rsid w:val="001924A2"/>
    <w:rsid w:val="00193846"/>
    <w:rsid w:val="00196D64"/>
    <w:rsid w:val="001A0EA3"/>
    <w:rsid w:val="001A1096"/>
    <w:rsid w:val="001A28C8"/>
    <w:rsid w:val="001A3114"/>
    <w:rsid w:val="001A5772"/>
    <w:rsid w:val="001A6B32"/>
    <w:rsid w:val="001A6CA3"/>
    <w:rsid w:val="001B0B76"/>
    <w:rsid w:val="001B1BC3"/>
    <w:rsid w:val="001B2579"/>
    <w:rsid w:val="001B6D89"/>
    <w:rsid w:val="001C0D3B"/>
    <w:rsid w:val="001C25F3"/>
    <w:rsid w:val="001C2A04"/>
    <w:rsid w:val="001C4A9A"/>
    <w:rsid w:val="001D3C93"/>
    <w:rsid w:val="001D5AD9"/>
    <w:rsid w:val="001D631D"/>
    <w:rsid w:val="001D65F6"/>
    <w:rsid w:val="001D6BA6"/>
    <w:rsid w:val="001E4A2B"/>
    <w:rsid w:val="001E6ACF"/>
    <w:rsid w:val="001E734F"/>
    <w:rsid w:val="001E7447"/>
    <w:rsid w:val="001E7DAE"/>
    <w:rsid w:val="001F05D6"/>
    <w:rsid w:val="001F08EE"/>
    <w:rsid w:val="001F1FB7"/>
    <w:rsid w:val="001F5DC6"/>
    <w:rsid w:val="001F625F"/>
    <w:rsid w:val="001F7304"/>
    <w:rsid w:val="001F7F63"/>
    <w:rsid w:val="00201B39"/>
    <w:rsid w:val="00203E4B"/>
    <w:rsid w:val="002070ED"/>
    <w:rsid w:val="0021119F"/>
    <w:rsid w:val="00212F69"/>
    <w:rsid w:val="00215C87"/>
    <w:rsid w:val="00220E09"/>
    <w:rsid w:val="0022104B"/>
    <w:rsid w:val="00224CCB"/>
    <w:rsid w:val="0022545F"/>
    <w:rsid w:val="00225874"/>
    <w:rsid w:val="00230D10"/>
    <w:rsid w:val="00230E3B"/>
    <w:rsid w:val="00231D3E"/>
    <w:rsid w:val="0023293F"/>
    <w:rsid w:val="002330F1"/>
    <w:rsid w:val="00233A1E"/>
    <w:rsid w:val="00234457"/>
    <w:rsid w:val="00237039"/>
    <w:rsid w:val="002403AC"/>
    <w:rsid w:val="0024082D"/>
    <w:rsid w:val="002410C6"/>
    <w:rsid w:val="00242A1A"/>
    <w:rsid w:val="002434FF"/>
    <w:rsid w:val="00252DB2"/>
    <w:rsid w:val="00257DD5"/>
    <w:rsid w:val="00263A4E"/>
    <w:rsid w:val="00263D86"/>
    <w:rsid w:val="00266723"/>
    <w:rsid w:val="0026742F"/>
    <w:rsid w:val="00271B6C"/>
    <w:rsid w:val="0027588D"/>
    <w:rsid w:val="0027609A"/>
    <w:rsid w:val="002763D6"/>
    <w:rsid w:val="00276B31"/>
    <w:rsid w:val="0028094B"/>
    <w:rsid w:val="002826C4"/>
    <w:rsid w:val="002842C5"/>
    <w:rsid w:val="00284D83"/>
    <w:rsid w:val="002857A6"/>
    <w:rsid w:val="00285A31"/>
    <w:rsid w:val="00294231"/>
    <w:rsid w:val="00294C8B"/>
    <w:rsid w:val="00297DC1"/>
    <w:rsid w:val="002A0967"/>
    <w:rsid w:val="002A56BF"/>
    <w:rsid w:val="002A6235"/>
    <w:rsid w:val="002A654E"/>
    <w:rsid w:val="002B0415"/>
    <w:rsid w:val="002B1AA6"/>
    <w:rsid w:val="002B2481"/>
    <w:rsid w:val="002B2CEB"/>
    <w:rsid w:val="002B3278"/>
    <w:rsid w:val="002B3E3F"/>
    <w:rsid w:val="002B4886"/>
    <w:rsid w:val="002B62EA"/>
    <w:rsid w:val="002C097B"/>
    <w:rsid w:val="002C0D1B"/>
    <w:rsid w:val="002C1691"/>
    <w:rsid w:val="002C36C0"/>
    <w:rsid w:val="002C3B59"/>
    <w:rsid w:val="002C4DD5"/>
    <w:rsid w:val="002D2B39"/>
    <w:rsid w:val="002D4360"/>
    <w:rsid w:val="002D5DC4"/>
    <w:rsid w:val="002D683A"/>
    <w:rsid w:val="002D70E4"/>
    <w:rsid w:val="002E0750"/>
    <w:rsid w:val="002E13B0"/>
    <w:rsid w:val="002E2F82"/>
    <w:rsid w:val="002E38D0"/>
    <w:rsid w:val="002E718A"/>
    <w:rsid w:val="002F010F"/>
    <w:rsid w:val="002F4D16"/>
    <w:rsid w:val="002F5E1B"/>
    <w:rsid w:val="002F6982"/>
    <w:rsid w:val="002F7748"/>
    <w:rsid w:val="0030057C"/>
    <w:rsid w:val="0030071B"/>
    <w:rsid w:val="00300B52"/>
    <w:rsid w:val="00300EC9"/>
    <w:rsid w:val="00301738"/>
    <w:rsid w:val="00303731"/>
    <w:rsid w:val="00305AD8"/>
    <w:rsid w:val="0030634D"/>
    <w:rsid w:val="003077A6"/>
    <w:rsid w:val="0031016A"/>
    <w:rsid w:val="003104BC"/>
    <w:rsid w:val="00310D28"/>
    <w:rsid w:val="00315B0E"/>
    <w:rsid w:val="003162DF"/>
    <w:rsid w:val="003211EC"/>
    <w:rsid w:val="00322998"/>
    <w:rsid w:val="003239BB"/>
    <w:rsid w:val="00323B19"/>
    <w:rsid w:val="003245B1"/>
    <w:rsid w:val="00325B70"/>
    <w:rsid w:val="00325E24"/>
    <w:rsid w:val="00326B05"/>
    <w:rsid w:val="00326F15"/>
    <w:rsid w:val="00327A22"/>
    <w:rsid w:val="00330106"/>
    <w:rsid w:val="00332D5E"/>
    <w:rsid w:val="00333445"/>
    <w:rsid w:val="0033386C"/>
    <w:rsid w:val="003353CC"/>
    <w:rsid w:val="00335B1C"/>
    <w:rsid w:val="00336BA5"/>
    <w:rsid w:val="00337E19"/>
    <w:rsid w:val="003407D5"/>
    <w:rsid w:val="003408BA"/>
    <w:rsid w:val="003409F5"/>
    <w:rsid w:val="00340A70"/>
    <w:rsid w:val="00344825"/>
    <w:rsid w:val="00344B68"/>
    <w:rsid w:val="0035283B"/>
    <w:rsid w:val="00353177"/>
    <w:rsid w:val="003532AE"/>
    <w:rsid w:val="00357366"/>
    <w:rsid w:val="00357C2E"/>
    <w:rsid w:val="00357FEA"/>
    <w:rsid w:val="003609B5"/>
    <w:rsid w:val="00361AE3"/>
    <w:rsid w:val="00363AB7"/>
    <w:rsid w:val="00364163"/>
    <w:rsid w:val="0037021F"/>
    <w:rsid w:val="00370EBD"/>
    <w:rsid w:val="00374354"/>
    <w:rsid w:val="00374AFC"/>
    <w:rsid w:val="00375590"/>
    <w:rsid w:val="00380A1F"/>
    <w:rsid w:val="003826D8"/>
    <w:rsid w:val="00383763"/>
    <w:rsid w:val="0038410E"/>
    <w:rsid w:val="00385CD4"/>
    <w:rsid w:val="003869A4"/>
    <w:rsid w:val="00387A35"/>
    <w:rsid w:val="003976A6"/>
    <w:rsid w:val="003977DC"/>
    <w:rsid w:val="00397A03"/>
    <w:rsid w:val="003A0457"/>
    <w:rsid w:val="003A0AF2"/>
    <w:rsid w:val="003A3FAB"/>
    <w:rsid w:val="003A43E2"/>
    <w:rsid w:val="003A51FC"/>
    <w:rsid w:val="003A72F2"/>
    <w:rsid w:val="003B053F"/>
    <w:rsid w:val="003B12B1"/>
    <w:rsid w:val="003B372F"/>
    <w:rsid w:val="003B46B5"/>
    <w:rsid w:val="003B5131"/>
    <w:rsid w:val="003C0C23"/>
    <w:rsid w:val="003C2609"/>
    <w:rsid w:val="003C5CB7"/>
    <w:rsid w:val="003D021F"/>
    <w:rsid w:val="003D1966"/>
    <w:rsid w:val="003D1FF1"/>
    <w:rsid w:val="003D2AE2"/>
    <w:rsid w:val="003E208D"/>
    <w:rsid w:val="003E2244"/>
    <w:rsid w:val="003E2ACC"/>
    <w:rsid w:val="003E3E5B"/>
    <w:rsid w:val="003E4DEA"/>
    <w:rsid w:val="003F02B0"/>
    <w:rsid w:val="003F1E22"/>
    <w:rsid w:val="003F73CC"/>
    <w:rsid w:val="00400A94"/>
    <w:rsid w:val="00402D5E"/>
    <w:rsid w:val="00404B19"/>
    <w:rsid w:val="00405365"/>
    <w:rsid w:val="00410C29"/>
    <w:rsid w:val="00411FDC"/>
    <w:rsid w:val="004155E0"/>
    <w:rsid w:val="004204E5"/>
    <w:rsid w:val="004237E2"/>
    <w:rsid w:val="00424E8F"/>
    <w:rsid w:val="004340FA"/>
    <w:rsid w:val="00441EFA"/>
    <w:rsid w:val="00443B8A"/>
    <w:rsid w:val="00444223"/>
    <w:rsid w:val="00444AD1"/>
    <w:rsid w:val="004454D5"/>
    <w:rsid w:val="004503F2"/>
    <w:rsid w:val="00451A18"/>
    <w:rsid w:val="00453393"/>
    <w:rsid w:val="00455EA3"/>
    <w:rsid w:val="00455F57"/>
    <w:rsid w:val="004605FA"/>
    <w:rsid w:val="00462E18"/>
    <w:rsid w:val="00466D52"/>
    <w:rsid w:val="00466FA9"/>
    <w:rsid w:val="00467CBC"/>
    <w:rsid w:val="00470828"/>
    <w:rsid w:val="00473684"/>
    <w:rsid w:val="00475C02"/>
    <w:rsid w:val="00476101"/>
    <w:rsid w:val="0048099F"/>
    <w:rsid w:val="00480A07"/>
    <w:rsid w:val="00494013"/>
    <w:rsid w:val="00494DFF"/>
    <w:rsid w:val="0049715B"/>
    <w:rsid w:val="00497392"/>
    <w:rsid w:val="004A2441"/>
    <w:rsid w:val="004A460B"/>
    <w:rsid w:val="004A4D4D"/>
    <w:rsid w:val="004B10D8"/>
    <w:rsid w:val="004B1358"/>
    <w:rsid w:val="004B38EF"/>
    <w:rsid w:val="004B43E0"/>
    <w:rsid w:val="004B571D"/>
    <w:rsid w:val="004B5CBA"/>
    <w:rsid w:val="004B6D6F"/>
    <w:rsid w:val="004B7332"/>
    <w:rsid w:val="004B7B37"/>
    <w:rsid w:val="004C17E5"/>
    <w:rsid w:val="004C2AF9"/>
    <w:rsid w:val="004C2CEE"/>
    <w:rsid w:val="004C5AF3"/>
    <w:rsid w:val="004C6465"/>
    <w:rsid w:val="004C6DD1"/>
    <w:rsid w:val="004D00A5"/>
    <w:rsid w:val="004D43B0"/>
    <w:rsid w:val="004D7F13"/>
    <w:rsid w:val="004E07F1"/>
    <w:rsid w:val="004E0D10"/>
    <w:rsid w:val="004E2365"/>
    <w:rsid w:val="004E2A82"/>
    <w:rsid w:val="004E31DB"/>
    <w:rsid w:val="004E493C"/>
    <w:rsid w:val="004E5493"/>
    <w:rsid w:val="004E56B6"/>
    <w:rsid w:val="004E6321"/>
    <w:rsid w:val="004E6D67"/>
    <w:rsid w:val="004E73E4"/>
    <w:rsid w:val="004E75F5"/>
    <w:rsid w:val="004E77E7"/>
    <w:rsid w:val="004E7CB2"/>
    <w:rsid w:val="004F15A9"/>
    <w:rsid w:val="004F1690"/>
    <w:rsid w:val="004F3A45"/>
    <w:rsid w:val="004F4306"/>
    <w:rsid w:val="004F5C9E"/>
    <w:rsid w:val="00501E97"/>
    <w:rsid w:val="00502122"/>
    <w:rsid w:val="00503F09"/>
    <w:rsid w:val="00504EB6"/>
    <w:rsid w:val="00505D20"/>
    <w:rsid w:val="005069E0"/>
    <w:rsid w:val="00507DCF"/>
    <w:rsid w:val="00510C6A"/>
    <w:rsid w:val="00511954"/>
    <w:rsid w:val="00511E6B"/>
    <w:rsid w:val="00512145"/>
    <w:rsid w:val="00512218"/>
    <w:rsid w:val="0051246B"/>
    <w:rsid w:val="00513BE8"/>
    <w:rsid w:val="00514094"/>
    <w:rsid w:val="00514BDA"/>
    <w:rsid w:val="00520CB1"/>
    <w:rsid w:val="0052106F"/>
    <w:rsid w:val="005215D5"/>
    <w:rsid w:val="0052246A"/>
    <w:rsid w:val="00522A02"/>
    <w:rsid w:val="0052334B"/>
    <w:rsid w:val="00527623"/>
    <w:rsid w:val="00530D53"/>
    <w:rsid w:val="00531A85"/>
    <w:rsid w:val="00532840"/>
    <w:rsid w:val="005331AF"/>
    <w:rsid w:val="005455B5"/>
    <w:rsid w:val="0054599B"/>
    <w:rsid w:val="00546B6C"/>
    <w:rsid w:val="00552548"/>
    <w:rsid w:val="0055278F"/>
    <w:rsid w:val="005558E7"/>
    <w:rsid w:val="0055609D"/>
    <w:rsid w:val="00562347"/>
    <w:rsid w:val="005630A6"/>
    <w:rsid w:val="00567BA0"/>
    <w:rsid w:val="00570166"/>
    <w:rsid w:val="005707FB"/>
    <w:rsid w:val="00574B3C"/>
    <w:rsid w:val="00583561"/>
    <w:rsid w:val="005836BF"/>
    <w:rsid w:val="00585F83"/>
    <w:rsid w:val="005927D8"/>
    <w:rsid w:val="00592A06"/>
    <w:rsid w:val="00595D87"/>
    <w:rsid w:val="005A083F"/>
    <w:rsid w:val="005A0FE8"/>
    <w:rsid w:val="005A5A56"/>
    <w:rsid w:val="005A7755"/>
    <w:rsid w:val="005B0A54"/>
    <w:rsid w:val="005B2B24"/>
    <w:rsid w:val="005B5D55"/>
    <w:rsid w:val="005B7A7E"/>
    <w:rsid w:val="005C10D8"/>
    <w:rsid w:val="005C15FA"/>
    <w:rsid w:val="005C22C7"/>
    <w:rsid w:val="005C2609"/>
    <w:rsid w:val="005C4DEB"/>
    <w:rsid w:val="005C661D"/>
    <w:rsid w:val="005C6C94"/>
    <w:rsid w:val="005C773E"/>
    <w:rsid w:val="005D1E27"/>
    <w:rsid w:val="005D3DC3"/>
    <w:rsid w:val="005D7EC1"/>
    <w:rsid w:val="005E0572"/>
    <w:rsid w:val="005E0A58"/>
    <w:rsid w:val="005E1026"/>
    <w:rsid w:val="005E1C17"/>
    <w:rsid w:val="005E1D3C"/>
    <w:rsid w:val="005E254E"/>
    <w:rsid w:val="005E4124"/>
    <w:rsid w:val="005E4E7D"/>
    <w:rsid w:val="005E6DC5"/>
    <w:rsid w:val="005E6F86"/>
    <w:rsid w:val="005F0D02"/>
    <w:rsid w:val="005F0D8D"/>
    <w:rsid w:val="005F1C5F"/>
    <w:rsid w:val="005F40D1"/>
    <w:rsid w:val="005F5761"/>
    <w:rsid w:val="005F67F3"/>
    <w:rsid w:val="005F779C"/>
    <w:rsid w:val="00601DD7"/>
    <w:rsid w:val="00603433"/>
    <w:rsid w:val="00604FFD"/>
    <w:rsid w:val="006065C4"/>
    <w:rsid w:val="00606B72"/>
    <w:rsid w:val="00607197"/>
    <w:rsid w:val="00612B2E"/>
    <w:rsid w:val="006138F2"/>
    <w:rsid w:val="00614663"/>
    <w:rsid w:val="006148F1"/>
    <w:rsid w:val="0061621A"/>
    <w:rsid w:val="0061641F"/>
    <w:rsid w:val="0061791C"/>
    <w:rsid w:val="00621006"/>
    <w:rsid w:val="0062145F"/>
    <w:rsid w:val="006219E6"/>
    <w:rsid w:val="00621D05"/>
    <w:rsid w:val="006225D8"/>
    <w:rsid w:val="00627000"/>
    <w:rsid w:val="00632C70"/>
    <w:rsid w:val="006332F8"/>
    <w:rsid w:val="006343D9"/>
    <w:rsid w:val="00634C48"/>
    <w:rsid w:val="00635CE9"/>
    <w:rsid w:val="00636978"/>
    <w:rsid w:val="006414A5"/>
    <w:rsid w:val="00643B8B"/>
    <w:rsid w:val="00643C42"/>
    <w:rsid w:val="006440B6"/>
    <w:rsid w:val="00644234"/>
    <w:rsid w:val="00644D1B"/>
    <w:rsid w:val="0065580C"/>
    <w:rsid w:val="00656C19"/>
    <w:rsid w:val="00663CA9"/>
    <w:rsid w:val="00664F23"/>
    <w:rsid w:val="00665462"/>
    <w:rsid w:val="00665835"/>
    <w:rsid w:val="0066591A"/>
    <w:rsid w:val="00667A8B"/>
    <w:rsid w:val="00670453"/>
    <w:rsid w:val="0067472C"/>
    <w:rsid w:val="00675785"/>
    <w:rsid w:val="00676FBC"/>
    <w:rsid w:val="0067713F"/>
    <w:rsid w:val="00681066"/>
    <w:rsid w:val="00682CE3"/>
    <w:rsid w:val="00683BAA"/>
    <w:rsid w:val="006864FF"/>
    <w:rsid w:val="00686DB3"/>
    <w:rsid w:val="00687602"/>
    <w:rsid w:val="00694C11"/>
    <w:rsid w:val="0069715A"/>
    <w:rsid w:val="006A1E76"/>
    <w:rsid w:val="006A1EED"/>
    <w:rsid w:val="006A2222"/>
    <w:rsid w:val="006A2368"/>
    <w:rsid w:val="006A3AC8"/>
    <w:rsid w:val="006A40E4"/>
    <w:rsid w:val="006A5B05"/>
    <w:rsid w:val="006A6C19"/>
    <w:rsid w:val="006A753B"/>
    <w:rsid w:val="006A79AA"/>
    <w:rsid w:val="006A7A65"/>
    <w:rsid w:val="006B32E0"/>
    <w:rsid w:val="006B3458"/>
    <w:rsid w:val="006B4353"/>
    <w:rsid w:val="006B5CF2"/>
    <w:rsid w:val="006B5F58"/>
    <w:rsid w:val="006B5FF7"/>
    <w:rsid w:val="006B6887"/>
    <w:rsid w:val="006B6E46"/>
    <w:rsid w:val="006C04DB"/>
    <w:rsid w:val="006C0A17"/>
    <w:rsid w:val="006C13E6"/>
    <w:rsid w:val="006C180F"/>
    <w:rsid w:val="006C30E4"/>
    <w:rsid w:val="006C3B24"/>
    <w:rsid w:val="006C4587"/>
    <w:rsid w:val="006C745B"/>
    <w:rsid w:val="006D0EAD"/>
    <w:rsid w:val="006D4007"/>
    <w:rsid w:val="006D6862"/>
    <w:rsid w:val="006D70E8"/>
    <w:rsid w:val="006D7242"/>
    <w:rsid w:val="006E63DB"/>
    <w:rsid w:val="006E755B"/>
    <w:rsid w:val="006E7D07"/>
    <w:rsid w:val="006F03DA"/>
    <w:rsid w:val="006F0CAE"/>
    <w:rsid w:val="006F4C8E"/>
    <w:rsid w:val="006F51E1"/>
    <w:rsid w:val="006F586D"/>
    <w:rsid w:val="0070137F"/>
    <w:rsid w:val="0070326E"/>
    <w:rsid w:val="0070573F"/>
    <w:rsid w:val="00705AAE"/>
    <w:rsid w:val="0071090A"/>
    <w:rsid w:val="00712BAB"/>
    <w:rsid w:val="00717CAC"/>
    <w:rsid w:val="00721BFF"/>
    <w:rsid w:val="007233C7"/>
    <w:rsid w:val="00724353"/>
    <w:rsid w:val="00725D2C"/>
    <w:rsid w:val="00726C38"/>
    <w:rsid w:val="00730045"/>
    <w:rsid w:val="00730298"/>
    <w:rsid w:val="007314DF"/>
    <w:rsid w:val="00731E80"/>
    <w:rsid w:val="00734C3E"/>
    <w:rsid w:val="00735D42"/>
    <w:rsid w:val="00736BE0"/>
    <w:rsid w:val="00736F71"/>
    <w:rsid w:val="00736F99"/>
    <w:rsid w:val="00740812"/>
    <w:rsid w:val="00743161"/>
    <w:rsid w:val="0074351E"/>
    <w:rsid w:val="00745C39"/>
    <w:rsid w:val="00746A2A"/>
    <w:rsid w:val="00747886"/>
    <w:rsid w:val="00750572"/>
    <w:rsid w:val="00750A5E"/>
    <w:rsid w:val="00751AF0"/>
    <w:rsid w:val="00752BD2"/>
    <w:rsid w:val="00753FBE"/>
    <w:rsid w:val="00755CC9"/>
    <w:rsid w:val="00756846"/>
    <w:rsid w:val="00756E26"/>
    <w:rsid w:val="007579A2"/>
    <w:rsid w:val="00757E14"/>
    <w:rsid w:val="00760A5F"/>
    <w:rsid w:val="00760B69"/>
    <w:rsid w:val="00761979"/>
    <w:rsid w:val="00761FEE"/>
    <w:rsid w:val="00762542"/>
    <w:rsid w:val="007709F0"/>
    <w:rsid w:val="00770AA0"/>
    <w:rsid w:val="00772CBD"/>
    <w:rsid w:val="00776F33"/>
    <w:rsid w:val="007835F8"/>
    <w:rsid w:val="00784FC8"/>
    <w:rsid w:val="00786AE8"/>
    <w:rsid w:val="007872C0"/>
    <w:rsid w:val="00787885"/>
    <w:rsid w:val="00793735"/>
    <w:rsid w:val="00794347"/>
    <w:rsid w:val="00795AB2"/>
    <w:rsid w:val="00796CA4"/>
    <w:rsid w:val="007A0B54"/>
    <w:rsid w:val="007A0EBA"/>
    <w:rsid w:val="007A2D10"/>
    <w:rsid w:val="007A6C20"/>
    <w:rsid w:val="007A7D27"/>
    <w:rsid w:val="007B0203"/>
    <w:rsid w:val="007B1CAC"/>
    <w:rsid w:val="007B364D"/>
    <w:rsid w:val="007B48F5"/>
    <w:rsid w:val="007B6D84"/>
    <w:rsid w:val="007B7839"/>
    <w:rsid w:val="007C4179"/>
    <w:rsid w:val="007C4821"/>
    <w:rsid w:val="007C4D84"/>
    <w:rsid w:val="007C6A6A"/>
    <w:rsid w:val="007C792A"/>
    <w:rsid w:val="007C7F6B"/>
    <w:rsid w:val="007D01DC"/>
    <w:rsid w:val="007D1051"/>
    <w:rsid w:val="007D19D2"/>
    <w:rsid w:val="007D46C1"/>
    <w:rsid w:val="007D4731"/>
    <w:rsid w:val="007D630A"/>
    <w:rsid w:val="007D6B7E"/>
    <w:rsid w:val="007D7A22"/>
    <w:rsid w:val="007E0436"/>
    <w:rsid w:val="007E0594"/>
    <w:rsid w:val="007E1D7B"/>
    <w:rsid w:val="007E3F74"/>
    <w:rsid w:val="007E4779"/>
    <w:rsid w:val="007E4F41"/>
    <w:rsid w:val="007F1C6B"/>
    <w:rsid w:val="007F3D0F"/>
    <w:rsid w:val="007F68EB"/>
    <w:rsid w:val="007F7D29"/>
    <w:rsid w:val="00800B1C"/>
    <w:rsid w:val="00801A7F"/>
    <w:rsid w:val="00801E89"/>
    <w:rsid w:val="00803D8C"/>
    <w:rsid w:val="00806006"/>
    <w:rsid w:val="008109BE"/>
    <w:rsid w:val="008121FD"/>
    <w:rsid w:val="00812619"/>
    <w:rsid w:val="00812E09"/>
    <w:rsid w:val="008149DE"/>
    <w:rsid w:val="00815D54"/>
    <w:rsid w:val="00815F42"/>
    <w:rsid w:val="00815FA7"/>
    <w:rsid w:val="00820ACF"/>
    <w:rsid w:val="008245F6"/>
    <w:rsid w:val="00824FED"/>
    <w:rsid w:val="008252D3"/>
    <w:rsid w:val="008273B4"/>
    <w:rsid w:val="00830FDF"/>
    <w:rsid w:val="008310DE"/>
    <w:rsid w:val="00831951"/>
    <w:rsid w:val="00831D25"/>
    <w:rsid w:val="00832451"/>
    <w:rsid w:val="00832528"/>
    <w:rsid w:val="00833E4B"/>
    <w:rsid w:val="00835CDA"/>
    <w:rsid w:val="0083691F"/>
    <w:rsid w:val="0083710F"/>
    <w:rsid w:val="008417F8"/>
    <w:rsid w:val="00844DF7"/>
    <w:rsid w:val="00846566"/>
    <w:rsid w:val="0084739F"/>
    <w:rsid w:val="008524A5"/>
    <w:rsid w:val="008564E4"/>
    <w:rsid w:val="00856776"/>
    <w:rsid w:val="008612CB"/>
    <w:rsid w:val="00862EFD"/>
    <w:rsid w:val="008630BA"/>
    <w:rsid w:val="008634B8"/>
    <w:rsid w:val="00863925"/>
    <w:rsid w:val="008722C5"/>
    <w:rsid w:val="00875B85"/>
    <w:rsid w:val="00876BCB"/>
    <w:rsid w:val="008772F3"/>
    <w:rsid w:val="0087740D"/>
    <w:rsid w:val="00880B95"/>
    <w:rsid w:val="008824E1"/>
    <w:rsid w:val="00882C3A"/>
    <w:rsid w:val="00882EC5"/>
    <w:rsid w:val="0088438D"/>
    <w:rsid w:val="00884A54"/>
    <w:rsid w:val="008855E1"/>
    <w:rsid w:val="00885E3A"/>
    <w:rsid w:val="00886CDD"/>
    <w:rsid w:val="00890133"/>
    <w:rsid w:val="00890870"/>
    <w:rsid w:val="008908EE"/>
    <w:rsid w:val="008913DE"/>
    <w:rsid w:val="00891B39"/>
    <w:rsid w:val="00894383"/>
    <w:rsid w:val="00895642"/>
    <w:rsid w:val="00895A06"/>
    <w:rsid w:val="00896085"/>
    <w:rsid w:val="00896115"/>
    <w:rsid w:val="008A3C9D"/>
    <w:rsid w:val="008A42B0"/>
    <w:rsid w:val="008B043C"/>
    <w:rsid w:val="008B0B7F"/>
    <w:rsid w:val="008B0E09"/>
    <w:rsid w:val="008B2190"/>
    <w:rsid w:val="008B4238"/>
    <w:rsid w:val="008B4BA3"/>
    <w:rsid w:val="008B7831"/>
    <w:rsid w:val="008B7A00"/>
    <w:rsid w:val="008B7E96"/>
    <w:rsid w:val="008C0C4E"/>
    <w:rsid w:val="008C304F"/>
    <w:rsid w:val="008C3785"/>
    <w:rsid w:val="008C5C73"/>
    <w:rsid w:val="008C6C27"/>
    <w:rsid w:val="008C7F71"/>
    <w:rsid w:val="008D030A"/>
    <w:rsid w:val="008D26D2"/>
    <w:rsid w:val="008D33C6"/>
    <w:rsid w:val="008D4A82"/>
    <w:rsid w:val="008D7218"/>
    <w:rsid w:val="008D7E03"/>
    <w:rsid w:val="008E197B"/>
    <w:rsid w:val="008E2BFC"/>
    <w:rsid w:val="008E32F1"/>
    <w:rsid w:val="008E4190"/>
    <w:rsid w:val="008E4FD4"/>
    <w:rsid w:val="008E5DBE"/>
    <w:rsid w:val="008F3D2A"/>
    <w:rsid w:val="008F52EF"/>
    <w:rsid w:val="008F5C70"/>
    <w:rsid w:val="008F6830"/>
    <w:rsid w:val="009012C3"/>
    <w:rsid w:val="00901B21"/>
    <w:rsid w:val="00902F4A"/>
    <w:rsid w:val="00904CD8"/>
    <w:rsid w:val="009106C3"/>
    <w:rsid w:val="0091135F"/>
    <w:rsid w:val="00911B35"/>
    <w:rsid w:val="009121B0"/>
    <w:rsid w:val="00912AC1"/>
    <w:rsid w:val="009154C4"/>
    <w:rsid w:val="00915CBF"/>
    <w:rsid w:val="0092044C"/>
    <w:rsid w:val="009228FA"/>
    <w:rsid w:val="00922F10"/>
    <w:rsid w:val="00923172"/>
    <w:rsid w:val="0092535A"/>
    <w:rsid w:val="00925B01"/>
    <w:rsid w:val="00927EEF"/>
    <w:rsid w:val="009339F5"/>
    <w:rsid w:val="00933B57"/>
    <w:rsid w:val="00935C1A"/>
    <w:rsid w:val="009453D6"/>
    <w:rsid w:val="009455A9"/>
    <w:rsid w:val="00945980"/>
    <w:rsid w:val="00947916"/>
    <w:rsid w:val="009479C9"/>
    <w:rsid w:val="00952065"/>
    <w:rsid w:val="00954FD9"/>
    <w:rsid w:val="00955D7B"/>
    <w:rsid w:val="0096153C"/>
    <w:rsid w:val="00962D78"/>
    <w:rsid w:val="00963DFF"/>
    <w:rsid w:val="00965F74"/>
    <w:rsid w:val="00966D7C"/>
    <w:rsid w:val="00967818"/>
    <w:rsid w:val="009723FA"/>
    <w:rsid w:val="009729FE"/>
    <w:rsid w:val="00974D18"/>
    <w:rsid w:val="00974FCB"/>
    <w:rsid w:val="00975EF9"/>
    <w:rsid w:val="00977C02"/>
    <w:rsid w:val="00981079"/>
    <w:rsid w:val="009821BB"/>
    <w:rsid w:val="00982E5D"/>
    <w:rsid w:val="00983029"/>
    <w:rsid w:val="00984577"/>
    <w:rsid w:val="00984613"/>
    <w:rsid w:val="00991616"/>
    <w:rsid w:val="00992FAE"/>
    <w:rsid w:val="0099485D"/>
    <w:rsid w:val="00996113"/>
    <w:rsid w:val="00996706"/>
    <w:rsid w:val="00997B12"/>
    <w:rsid w:val="009A2CE5"/>
    <w:rsid w:val="009A3348"/>
    <w:rsid w:val="009A346A"/>
    <w:rsid w:val="009A38F3"/>
    <w:rsid w:val="009A40F9"/>
    <w:rsid w:val="009A43D7"/>
    <w:rsid w:val="009A50BF"/>
    <w:rsid w:val="009A5386"/>
    <w:rsid w:val="009A59FE"/>
    <w:rsid w:val="009A6D3F"/>
    <w:rsid w:val="009A7DCD"/>
    <w:rsid w:val="009B24E7"/>
    <w:rsid w:val="009B5495"/>
    <w:rsid w:val="009B5635"/>
    <w:rsid w:val="009B75CA"/>
    <w:rsid w:val="009B7D5A"/>
    <w:rsid w:val="009C02B9"/>
    <w:rsid w:val="009C71F6"/>
    <w:rsid w:val="009C7458"/>
    <w:rsid w:val="009D0C35"/>
    <w:rsid w:val="009D17EB"/>
    <w:rsid w:val="009D50A8"/>
    <w:rsid w:val="009D74AE"/>
    <w:rsid w:val="009D7671"/>
    <w:rsid w:val="009E13CB"/>
    <w:rsid w:val="009E4D08"/>
    <w:rsid w:val="009E60DB"/>
    <w:rsid w:val="009E66E7"/>
    <w:rsid w:val="009E6BAD"/>
    <w:rsid w:val="009F031E"/>
    <w:rsid w:val="009F0DB5"/>
    <w:rsid w:val="009F125F"/>
    <w:rsid w:val="009F1D35"/>
    <w:rsid w:val="009F269F"/>
    <w:rsid w:val="009F2A58"/>
    <w:rsid w:val="009F656B"/>
    <w:rsid w:val="00A0531E"/>
    <w:rsid w:val="00A05B69"/>
    <w:rsid w:val="00A06AE1"/>
    <w:rsid w:val="00A07E5D"/>
    <w:rsid w:val="00A16A11"/>
    <w:rsid w:val="00A208DC"/>
    <w:rsid w:val="00A271D1"/>
    <w:rsid w:val="00A278CB"/>
    <w:rsid w:val="00A326A8"/>
    <w:rsid w:val="00A3285B"/>
    <w:rsid w:val="00A360A3"/>
    <w:rsid w:val="00A41BD8"/>
    <w:rsid w:val="00A422C9"/>
    <w:rsid w:val="00A440A9"/>
    <w:rsid w:val="00A4415D"/>
    <w:rsid w:val="00A450ED"/>
    <w:rsid w:val="00A45562"/>
    <w:rsid w:val="00A45F5B"/>
    <w:rsid w:val="00A46787"/>
    <w:rsid w:val="00A5161E"/>
    <w:rsid w:val="00A56E17"/>
    <w:rsid w:val="00A610A4"/>
    <w:rsid w:val="00A6246C"/>
    <w:rsid w:val="00A62E84"/>
    <w:rsid w:val="00A65859"/>
    <w:rsid w:val="00A65DED"/>
    <w:rsid w:val="00A70651"/>
    <w:rsid w:val="00A72332"/>
    <w:rsid w:val="00A725F2"/>
    <w:rsid w:val="00A7277F"/>
    <w:rsid w:val="00A75996"/>
    <w:rsid w:val="00A81D39"/>
    <w:rsid w:val="00A82317"/>
    <w:rsid w:val="00A82A17"/>
    <w:rsid w:val="00A87158"/>
    <w:rsid w:val="00A91101"/>
    <w:rsid w:val="00A93157"/>
    <w:rsid w:val="00A932E9"/>
    <w:rsid w:val="00A9482E"/>
    <w:rsid w:val="00A9517F"/>
    <w:rsid w:val="00A953C5"/>
    <w:rsid w:val="00A96785"/>
    <w:rsid w:val="00AA0BFC"/>
    <w:rsid w:val="00AA1376"/>
    <w:rsid w:val="00AA2535"/>
    <w:rsid w:val="00AA2D51"/>
    <w:rsid w:val="00AA3A48"/>
    <w:rsid w:val="00AA3FA7"/>
    <w:rsid w:val="00AA451F"/>
    <w:rsid w:val="00AA4F7B"/>
    <w:rsid w:val="00AA6B36"/>
    <w:rsid w:val="00AB1097"/>
    <w:rsid w:val="00AB1666"/>
    <w:rsid w:val="00AB2D99"/>
    <w:rsid w:val="00AB47EE"/>
    <w:rsid w:val="00AB72D7"/>
    <w:rsid w:val="00AB7A84"/>
    <w:rsid w:val="00AC02BB"/>
    <w:rsid w:val="00AD01E0"/>
    <w:rsid w:val="00AD0EBD"/>
    <w:rsid w:val="00AD15D7"/>
    <w:rsid w:val="00AD27D5"/>
    <w:rsid w:val="00AD39AC"/>
    <w:rsid w:val="00AD5FDF"/>
    <w:rsid w:val="00AE1DCF"/>
    <w:rsid w:val="00AE2058"/>
    <w:rsid w:val="00AE24D4"/>
    <w:rsid w:val="00AE2E1B"/>
    <w:rsid w:val="00AF01A8"/>
    <w:rsid w:val="00AF1FDF"/>
    <w:rsid w:val="00AF3BC6"/>
    <w:rsid w:val="00B02552"/>
    <w:rsid w:val="00B027D3"/>
    <w:rsid w:val="00B0462C"/>
    <w:rsid w:val="00B05647"/>
    <w:rsid w:val="00B06127"/>
    <w:rsid w:val="00B062E1"/>
    <w:rsid w:val="00B06674"/>
    <w:rsid w:val="00B13D1E"/>
    <w:rsid w:val="00B14D90"/>
    <w:rsid w:val="00B17763"/>
    <w:rsid w:val="00B179C2"/>
    <w:rsid w:val="00B17A9D"/>
    <w:rsid w:val="00B21832"/>
    <w:rsid w:val="00B218AB"/>
    <w:rsid w:val="00B23A7A"/>
    <w:rsid w:val="00B268AA"/>
    <w:rsid w:val="00B3093F"/>
    <w:rsid w:val="00B32806"/>
    <w:rsid w:val="00B32C0F"/>
    <w:rsid w:val="00B33A45"/>
    <w:rsid w:val="00B35EDB"/>
    <w:rsid w:val="00B375D2"/>
    <w:rsid w:val="00B42A90"/>
    <w:rsid w:val="00B432BF"/>
    <w:rsid w:val="00B4694B"/>
    <w:rsid w:val="00B5071B"/>
    <w:rsid w:val="00B518C6"/>
    <w:rsid w:val="00B52066"/>
    <w:rsid w:val="00B523C5"/>
    <w:rsid w:val="00B52F1B"/>
    <w:rsid w:val="00B54CA9"/>
    <w:rsid w:val="00B55279"/>
    <w:rsid w:val="00B56992"/>
    <w:rsid w:val="00B569FB"/>
    <w:rsid w:val="00B62DCB"/>
    <w:rsid w:val="00B642E0"/>
    <w:rsid w:val="00B651AB"/>
    <w:rsid w:val="00B66763"/>
    <w:rsid w:val="00B721E5"/>
    <w:rsid w:val="00B759D0"/>
    <w:rsid w:val="00B76B06"/>
    <w:rsid w:val="00B77420"/>
    <w:rsid w:val="00B80430"/>
    <w:rsid w:val="00B8142D"/>
    <w:rsid w:val="00B83911"/>
    <w:rsid w:val="00B83E34"/>
    <w:rsid w:val="00B84526"/>
    <w:rsid w:val="00B852F4"/>
    <w:rsid w:val="00B86499"/>
    <w:rsid w:val="00B916C4"/>
    <w:rsid w:val="00B91ADD"/>
    <w:rsid w:val="00B9300D"/>
    <w:rsid w:val="00B95C00"/>
    <w:rsid w:val="00B96D45"/>
    <w:rsid w:val="00BA0F76"/>
    <w:rsid w:val="00BA11D5"/>
    <w:rsid w:val="00BA130C"/>
    <w:rsid w:val="00BA21F2"/>
    <w:rsid w:val="00BA22B8"/>
    <w:rsid w:val="00BA25D9"/>
    <w:rsid w:val="00BA2B49"/>
    <w:rsid w:val="00BA41D2"/>
    <w:rsid w:val="00BA4F5A"/>
    <w:rsid w:val="00BA5AA9"/>
    <w:rsid w:val="00BA6A33"/>
    <w:rsid w:val="00BB047B"/>
    <w:rsid w:val="00BB1702"/>
    <w:rsid w:val="00BB46E6"/>
    <w:rsid w:val="00BB60F8"/>
    <w:rsid w:val="00BB6DD3"/>
    <w:rsid w:val="00BB73F2"/>
    <w:rsid w:val="00BC0A8A"/>
    <w:rsid w:val="00BC0E58"/>
    <w:rsid w:val="00BC1722"/>
    <w:rsid w:val="00BC26BC"/>
    <w:rsid w:val="00BC2BC4"/>
    <w:rsid w:val="00BC520F"/>
    <w:rsid w:val="00BC5235"/>
    <w:rsid w:val="00BC6A84"/>
    <w:rsid w:val="00BC7ACB"/>
    <w:rsid w:val="00BD3159"/>
    <w:rsid w:val="00BD35AB"/>
    <w:rsid w:val="00BD4454"/>
    <w:rsid w:val="00BD51B4"/>
    <w:rsid w:val="00BD53E9"/>
    <w:rsid w:val="00BD7792"/>
    <w:rsid w:val="00BE2A8F"/>
    <w:rsid w:val="00BE422D"/>
    <w:rsid w:val="00BE471C"/>
    <w:rsid w:val="00BE5116"/>
    <w:rsid w:val="00BE6F89"/>
    <w:rsid w:val="00BF0150"/>
    <w:rsid w:val="00BF063D"/>
    <w:rsid w:val="00BF4099"/>
    <w:rsid w:val="00BF5131"/>
    <w:rsid w:val="00C0454A"/>
    <w:rsid w:val="00C04DC5"/>
    <w:rsid w:val="00C07C05"/>
    <w:rsid w:val="00C20565"/>
    <w:rsid w:val="00C20C30"/>
    <w:rsid w:val="00C23DBA"/>
    <w:rsid w:val="00C24035"/>
    <w:rsid w:val="00C300A2"/>
    <w:rsid w:val="00C319F7"/>
    <w:rsid w:val="00C31EB4"/>
    <w:rsid w:val="00C32158"/>
    <w:rsid w:val="00C36952"/>
    <w:rsid w:val="00C36DF6"/>
    <w:rsid w:val="00C40FE0"/>
    <w:rsid w:val="00C42562"/>
    <w:rsid w:val="00C42F63"/>
    <w:rsid w:val="00C43919"/>
    <w:rsid w:val="00C4397E"/>
    <w:rsid w:val="00C442ED"/>
    <w:rsid w:val="00C50116"/>
    <w:rsid w:val="00C51E84"/>
    <w:rsid w:val="00C77B76"/>
    <w:rsid w:val="00C80D7B"/>
    <w:rsid w:val="00C82756"/>
    <w:rsid w:val="00C8632F"/>
    <w:rsid w:val="00C8660B"/>
    <w:rsid w:val="00C9074A"/>
    <w:rsid w:val="00C91068"/>
    <w:rsid w:val="00C9369C"/>
    <w:rsid w:val="00C948CF"/>
    <w:rsid w:val="00C94EF1"/>
    <w:rsid w:val="00C95236"/>
    <w:rsid w:val="00C955EE"/>
    <w:rsid w:val="00CA49F4"/>
    <w:rsid w:val="00CA5411"/>
    <w:rsid w:val="00CA6BA9"/>
    <w:rsid w:val="00CA6D48"/>
    <w:rsid w:val="00CA6FF3"/>
    <w:rsid w:val="00CA7E39"/>
    <w:rsid w:val="00CB08A4"/>
    <w:rsid w:val="00CB3027"/>
    <w:rsid w:val="00CB3A53"/>
    <w:rsid w:val="00CB46C4"/>
    <w:rsid w:val="00CC0437"/>
    <w:rsid w:val="00CC17EA"/>
    <w:rsid w:val="00CC1AB7"/>
    <w:rsid w:val="00CC4731"/>
    <w:rsid w:val="00CC48EB"/>
    <w:rsid w:val="00CC66A5"/>
    <w:rsid w:val="00CD02C4"/>
    <w:rsid w:val="00CD0E91"/>
    <w:rsid w:val="00CD361F"/>
    <w:rsid w:val="00CD55D9"/>
    <w:rsid w:val="00CD68DE"/>
    <w:rsid w:val="00CD78A5"/>
    <w:rsid w:val="00CE2125"/>
    <w:rsid w:val="00CE5CD4"/>
    <w:rsid w:val="00CE6F34"/>
    <w:rsid w:val="00CE758D"/>
    <w:rsid w:val="00CE7785"/>
    <w:rsid w:val="00CE77F5"/>
    <w:rsid w:val="00CE789E"/>
    <w:rsid w:val="00CF18A3"/>
    <w:rsid w:val="00CF2062"/>
    <w:rsid w:val="00D0059B"/>
    <w:rsid w:val="00D00D25"/>
    <w:rsid w:val="00D03596"/>
    <w:rsid w:val="00D04353"/>
    <w:rsid w:val="00D059BA"/>
    <w:rsid w:val="00D07DAD"/>
    <w:rsid w:val="00D07DFA"/>
    <w:rsid w:val="00D105F2"/>
    <w:rsid w:val="00D1132C"/>
    <w:rsid w:val="00D11FD7"/>
    <w:rsid w:val="00D12B87"/>
    <w:rsid w:val="00D14E08"/>
    <w:rsid w:val="00D21E46"/>
    <w:rsid w:val="00D22B28"/>
    <w:rsid w:val="00D31B38"/>
    <w:rsid w:val="00D31BEA"/>
    <w:rsid w:val="00D3645A"/>
    <w:rsid w:val="00D40D08"/>
    <w:rsid w:val="00D44379"/>
    <w:rsid w:val="00D44387"/>
    <w:rsid w:val="00D50A9A"/>
    <w:rsid w:val="00D514A9"/>
    <w:rsid w:val="00D53860"/>
    <w:rsid w:val="00D56DB7"/>
    <w:rsid w:val="00D60D8B"/>
    <w:rsid w:val="00D626BF"/>
    <w:rsid w:val="00D65316"/>
    <w:rsid w:val="00D6632F"/>
    <w:rsid w:val="00D701B5"/>
    <w:rsid w:val="00D7134A"/>
    <w:rsid w:val="00D72AF5"/>
    <w:rsid w:val="00D745EF"/>
    <w:rsid w:val="00D750D9"/>
    <w:rsid w:val="00D7644C"/>
    <w:rsid w:val="00D769B6"/>
    <w:rsid w:val="00D80B01"/>
    <w:rsid w:val="00D8139F"/>
    <w:rsid w:val="00D83083"/>
    <w:rsid w:val="00D836A9"/>
    <w:rsid w:val="00D83B52"/>
    <w:rsid w:val="00D83DD3"/>
    <w:rsid w:val="00D84A5F"/>
    <w:rsid w:val="00D85778"/>
    <w:rsid w:val="00D87B84"/>
    <w:rsid w:val="00D903DB"/>
    <w:rsid w:val="00D9060E"/>
    <w:rsid w:val="00D91106"/>
    <w:rsid w:val="00D91C1A"/>
    <w:rsid w:val="00D9218B"/>
    <w:rsid w:val="00D9310B"/>
    <w:rsid w:val="00D93509"/>
    <w:rsid w:val="00D93B31"/>
    <w:rsid w:val="00DA27C2"/>
    <w:rsid w:val="00DA304C"/>
    <w:rsid w:val="00DA5067"/>
    <w:rsid w:val="00DA67B0"/>
    <w:rsid w:val="00DA752B"/>
    <w:rsid w:val="00DB0F25"/>
    <w:rsid w:val="00DB3328"/>
    <w:rsid w:val="00DB3663"/>
    <w:rsid w:val="00DB4365"/>
    <w:rsid w:val="00DB513D"/>
    <w:rsid w:val="00DB6B23"/>
    <w:rsid w:val="00DC1CC0"/>
    <w:rsid w:val="00DC5894"/>
    <w:rsid w:val="00DD076E"/>
    <w:rsid w:val="00DD0F9C"/>
    <w:rsid w:val="00DD38B4"/>
    <w:rsid w:val="00DD6530"/>
    <w:rsid w:val="00DD7E91"/>
    <w:rsid w:val="00DE03AA"/>
    <w:rsid w:val="00DE0F38"/>
    <w:rsid w:val="00DE2FCE"/>
    <w:rsid w:val="00DE38AA"/>
    <w:rsid w:val="00DE73A7"/>
    <w:rsid w:val="00DF0346"/>
    <w:rsid w:val="00DF08F2"/>
    <w:rsid w:val="00DF40C4"/>
    <w:rsid w:val="00DF479A"/>
    <w:rsid w:val="00DF4FD5"/>
    <w:rsid w:val="00DF7B5A"/>
    <w:rsid w:val="00E0529D"/>
    <w:rsid w:val="00E10E0B"/>
    <w:rsid w:val="00E11B85"/>
    <w:rsid w:val="00E129FE"/>
    <w:rsid w:val="00E135A7"/>
    <w:rsid w:val="00E16A98"/>
    <w:rsid w:val="00E16DDA"/>
    <w:rsid w:val="00E206B3"/>
    <w:rsid w:val="00E25570"/>
    <w:rsid w:val="00E25BD0"/>
    <w:rsid w:val="00E26F1B"/>
    <w:rsid w:val="00E279DE"/>
    <w:rsid w:val="00E3020E"/>
    <w:rsid w:val="00E31E35"/>
    <w:rsid w:val="00E3391F"/>
    <w:rsid w:val="00E33ABD"/>
    <w:rsid w:val="00E40CBA"/>
    <w:rsid w:val="00E41EB0"/>
    <w:rsid w:val="00E43A54"/>
    <w:rsid w:val="00E44680"/>
    <w:rsid w:val="00E469C0"/>
    <w:rsid w:val="00E47CD8"/>
    <w:rsid w:val="00E514C0"/>
    <w:rsid w:val="00E5288A"/>
    <w:rsid w:val="00E52DB4"/>
    <w:rsid w:val="00E55EEA"/>
    <w:rsid w:val="00E57449"/>
    <w:rsid w:val="00E60ABD"/>
    <w:rsid w:val="00E61FCA"/>
    <w:rsid w:val="00E63D40"/>
    <w:rsid w:val="00E63E8C"/>
    <w:rsid w:val="00E6606F"/>
    <w:rsid w:val="00E66C97"/>
    <w:rsid w:val="00E672B7"/>
    <w:rsid w:val="00E67B2D"/>
    <w:rsid w:val="00E70265"/>
    <w:rsid w:val="00E748AA"/>
    <w:rsid w:val="00E749A2"/>
    <w:rsid w:val="00E74C16"/>
    <w:rsid w:val="00E77553"/>
    <w:rsid w:val="00E80B8C"/>
    <w:rsid w:val="00E82F9C"/>
    <w:rsid w:val="00E869CB"/>
    <w:rsid w:val="00E908C5"/>
    <w:rsid w:val="00E9093F"/>
    <w:rsid w:val="00E91F25"/>
    <w:rsid w:val="00E92D80"/>
    <w:rsid w:val="00E956A0"/>
    <w:rsid w:val="00E96A59"/>
    <w:rsid w:val="00E97DB0"/>
    <w:rsid w:val="00E97EDC"/>
    <w:rsid w:val="00EA1008"/>
    <w:rsid w:val="00EA4AC3"/>
    <w:rsid w:val="00EA4C40"/>
    <w:rsid w:val="00EB45B0"/>
    <w:rsid w:val="00EB538E"/>
    <w:rsid w:val="00EC00D7"/>
    <w:rsid w:val="00EC03C9"/>
    <w:rsid w:val="00EC1E41"/>
    <w:rsid w:val="00EC1FB8"/>
    <w:rsid w:val="00EC6617"/>
    <w:rsid w:val="00EC6B23"/>
    <w:rsid w:val="00ED52E5"/>
    <w:rsid w:val="00ED5BE6"/>
    <w:rsid w:val="00ED64EF"/>
    <w:rsid w:val="00ED7CFC"/>
    <w:rsid w:val="00EE0069"/>
    <w:rsid w:val="00EE1105"/>
    <w:rsid w:val="00EE2AB1"/>
    <w:rsid w:val="00EE3C85"/>
    <w:rsid w:val="00EE3CA5"/>
    <w:rsid w:val="00EE531F"/>
    <w:rsid w:val="00EE5E7B"/>
    <w:rsid w:val="00EF08BC"/>
    <w:rsid w:val="00EF0CE3"/>
    <w:rsid w:val="00EF57E3"/>
    <w:rsid w:val="00EF758B"/>
    <w:rsid w:val="00F01099"/>
    <w:rsid w:val="00F013F3"/>
    <w:rsid w:val="00F05FB7"/>
    <w:rsid w:val="00F0718F"/>
    <w:rsid w:val="00F10FDE"/>
    <w:rsid w:val="00F11629"/>
    <w:rsid w:val="00F11806"/>
    <w:rsid w:val="00F1229F"/>
    <w:rsid w:val="00F12E24"/>
    <w:rsid w:val="00F1468D"/>
    <w:rsid w:val="00F1558D"/>
    <w:rsid w:val="00F155E8"/>
    <w:rsid w:val="00F16D27"/>
    <w:rsid w:val="00F174CD"/>
    <w:rsid w:val="00F17A01"/>
    <w:rsid w:val="00F21766"/>
    <w:rsid w:val="00F21E7E"/>
    <w:rsid w:val="00F338A1"/>
    <w:rsid w:val="00F34719"/>
    <w:rsid w:val="00F35FD0"/>
    <w:rsid w:val="00F3646A"/>
    <w:rsid w:val="00F3709F"/>
    <w:rsid w:val="00F37FE9"/>
    <w:rsid w:val="00F41328"/>
    <w:rsid w:val="00F419C9"/>
    <w:rsid w:val="00F4659B"/>
    <w:rsid w:val="00F50842"/>
    <w:rsid w:val="00F50AA3"/>
    <w:rsid w:val="00F50F0A"/>
    <w:rsid w:val="00F51F45"/>
    <w:rsid w:val="00F54006"/>
    <w:rsid w:val="00F57AF0"/>
    <w:rsid w:val="00F60678"/>
    <w:rsid w:val="00F62558"/>
    <w:rsid w:val="00F6326D"/>
    <w:rsid w:val="00F6416D"/>
    <w:rsid w:val="00F664E9"/>
    <w:rsid w:val="00F66A8F"/>
    <w:rsid w:val="00F6722B"/>
    <w:rsid w:val="00F67EB3"/>
    <w:rsid w:val="00F70535"/>
    <w:rsid w:val="00F71200"/>
    <w:rsid w:val="00F71FAD"/>
    <w:rsid w:val="00F72B8A"/>
    <w:rsid w:val="00F73796"/>
    <w:rsid w:val="00F76064"/>
    <w:rsid w:val="00F76C65"/>
    <w:rsid w:val="00F82114"/>
    <w:rsid w:val="00F82DD5"/>
    <w:rsid w:val="00F83C4C"/>
    <w:rsid w:val="00F87E2A"/>
    <w:rsid w:val="00F91AE4"/>
    <w:rsid w:val="00F91D86"/>
    <w:rsid w:val="00F92E37"/>
    <w:rsid w:val="00F93D66"/>
    <w:rsid w:val="00F97492"/>
    <w:rsid w:val="00F97F5E"/>
    <w:rsid w:val="00FA0972"/>
    <w:rsid w:val="00FA099F"/>
    <w:rsid w:val="00FA0AC7"/>
    <w:rsid w:val="00FA196E"/>
    <w:rsid w:val="00FA309B"/>
    <w:rsid w:val="00FA3905"/>
    <w:rsid w:val="00FA3EC9"/>
    <w:rsid w:val="00FA5320"/>
    <w:rsid w:val="00FA7F3B"/>
    <w:rsid w:val="00FB0D74"/>
    <w:rsid w:val="00FB0FD3"/>
    <w:rsid w:val="00FB197B"/>
    <w:rsid w:val="00FB2563"/>
    <w:rsid w:val="00FB5072"/>
    <w:rsid w:val="00FB63E7"/>
    <w:rsid w:val="00FC0D05"/>
    <w:rsid w:val="00FC1093"/>
    <w:rsid w:val="00FD0A4F"/>
    <w:rsid w:val="00FD1DCB"/>
    <w:rsid w:val="00FD2160"/>
    <w:rsid w:val="00FD3F5D"/>
    <w:rsid w:val="00FD4B11"/>
    <w:rsid w:val="00FD5BF3"/>
    <w:rsid w:val="00FD6996"/>
    <w:rsid w:val="00FD70D1"/>
    <w:rsid w:val="00FD7DE7"/>
    <w:rsid w:val="00FE0423"/>
    <w:rsid w:val="00FE325A"/>
    <w:rsid w:val="00FE363C"/>
    <w:rsid w:val="00FE5D5F"/>
    <w:rsid w:val="00FE6844"/>
    <w:rsid w:val="00FF08E5"/>
    <w:rsid w:val="00FF0D5B"/>
    <w:rsid w:val="00FF109E"/>
    <w:rsid w:val="00FF3F3B"/>
    <w:rsid w:val="00FF4894"/>
    <w:rsid w:val="00FF52B6"/>
    <w:rsid w:val="00FF6B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6E9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2F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F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2F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2F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2F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2F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2F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2F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F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2F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2F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2F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2F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2F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F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F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2F63"/>
    <w:pPr>
      <w:spacing w:before="160"/>
      <w:jc w:val="center"/>
    </w:pPr>
    <w:rPr>
      <w:i/>
      <w:iCs/>
      <w:color w:val="404040" w:themeColor="text1" w:themeTint="BF"/>
    </w:rPr>
  </w:style>
  <w:style w:type="character" w:customStyle="1" w:styleId="QuoteChar">
    <w:name w:val="Quote Char"/>
    <w:basedOn w:val="DefaultParagraphFont"/>
    <w:link w:val="Quote"/>
    <w:uiPriority w:val="29"/>
    <w:rsid w:val="00C42F63"/>
    <w:rPr>
      <w:i/>
      <w:iCs/>
      <w:color w:val="404040" w:themeColor="text1" w:themeTint="BF"/>
    </w:rPr>
  </w:style>
  <w:style w:type="paragraph" w:styleId="ListParagraph">
    <w:name w:val="List Paragraph"/>
    <w:basedOn w:val="Normal"/>
    <w:uiPriority w:val="34"/>
    <w:qFormat/>
    <w:rsid w:val="00C42F63"/>
    <w:pPr>
      <w:ind w:left="720"/>
      <w:contextualSpacing/>
    </w:pPr>
  </w:style>
  <w:style w:type="character" w:styleId="IntenseEmphasis">
    <w:name w:val="Intense Emphasis"/>
    <w:basedOn w:val="DefaultParagraphFont"/>
    <w:uiPriority w:val="21"/>
    <w:qFormat/>
    <w:rsid w:val="00C42F63"/>
    <w:rPr>
      <w:i/>
      <w:iCs/>
      <w:color w:val="0F4761" w:themeColor="accent1" w:themeShade="BF"/>
    </w:rPr>
  </w:style>
  <w:style w:type="paragraph" w:styleId="IntenseQuote">
    <w:name w:val="Intense Quote"/>
    <w:basedOn w:val="Normal"/>
    <w:next w:val="Normal"/>
    <w:link w:val="IntenseQuoteChar"/>
    <w:uiPriority w:val="30"/>
    <w:qFormat/>
    <w:rsid w:val="00C4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F63"/>
    <w:rPr>
      <w:i/>
      <w:iCs/>
      <w:color w:val="0F4761" w:themeColor="accent1" w:themeShade="BF"/>
    </w:rPr>
  </w:style>
  <w:style w:type="character" w:styleId="IntenseReference">
    <w:name w:val="Intense Reference"/>
    <w:basedOn w:val="DefaultParagraphFont"/>
    <w:uiPriority w:val="32"/>
    <w:qFormat/>
    <w:rsid w:val="00C42F63"/>
    <w:rPr>
      <w:b/>
      <w:bCs/>
      <w:smallCaps/>
      <w:color w:val="0F4761" w:themeColor="accent1" w:themeShade="BF"/>
      <w:spacing w:val="5"/>
    </w:rPr>
  </w:style>
  <w:style w:type="paragraph" w:styleId="ListBullet">
    <w:name w:val="List Bullet"/>
    <w:basedOn w:val="Normal"/>
    <w:uiPriority w:val="99"/>
    <w:unhideWhenUsed/>
    <w:rsid w:val="00076903"/>
    <w:pPr>
      <w:numPr>
        <w:numId w:val="1"/>
      </w:numPr>
      <w:contextualSpacing/>
    </w:pPr>
  </w:style>
  <w:style w:type="paragraph" w:styleId="Header">
    <w:name w:val="header"/>
    <w:basedOn w:val="Normal"/>
    <w:link w:val="HeaderChar"/>
    <w:uiPriority w:val="99"/>
    <w:unhideWhenUsed/>
    <w:rsid w:val="00877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2F3"/>
  </w:style>
  <w:style w:type="paragraph" w:styleId="Footer">
    <w:name w:val="footer"/>
    <w:basedOn w:val="Normal"/>
    <w:link w:val="FooterChar"/>
    <w:uiPriority w:val="99"/>
    <w:unhideWhenUsed/>
    <w:rsid w:val="00877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2F3"/>
  </w:style>
  <w:style w:type="character" w:styleId="CommentReference">
    <w:name w:val="annotation reference"/>
    <w:basedOn w:val="DefaultParagraphFont"/>
    <w:uiPriority w:val="99"/>
    <w:semiHidden/>
    <w:unhideWhenUsed/>
    <w:rsid w:val="003F1E22"/>
    <w:rPr>
      <w:sz w:val="16"/>
      <w:szCs w:val="16"/>
    </w:rPr>
  </w:style>
  <w:style w:type="paragraph" w:styleId="CommentText">
    <w:name w:val="annotation text"/>
    <w:basedOn w:val="Normal"/>
    <w:link w:val="CommentTextChar"/>
    <w:uiPriority w:val="99"/>
    <w:unhideWhenUsed/>
    <w:rsid w:val="003F1E22"/>
    <w:pPr>
      <w:spacing w:line="240" w:lineRule="auto"/>
    </w:pPr>
    <w:rPr>
      <w:sz w:val="20"/>
      <w:szCs w:val="20"/>
    </w:rPr>
  </w:style>
  <w:style w:type="character" w:customStyle="1" w:styleId="CommentTextChar">
    <w:name w:val="Comment Text Char"/>
    <w:basedOn w:val="DefaultParagraphFont"/>
    <w:link w:val="CommentText"/>
    <w:uiPriority w:val="99"/>
    <w:rsid w:val="003F1E22"/>
    <w:rPr>
      <w:sz w:val="20"/>
      <w:szCs w:val="20"/>
    </w:rPr>
  </w:style>
  <w:style w:type="paragraph" w:styleId="CommentSubject">
    <w:name w:val="annotation subject"/>
    <w:basedOn w:val="CommentText"/>
    <w:next w:val="CommentText"/>
    <w:link w:val="CommentSubjectChar"/>
    <w:uiPriority w:val="99"/>
    <w:semiHidden/>
    <w:unhideWhenUsed/>
    <w:rsid w:val="003F1E22"/>
    <w:rPr>
      <w:b/>
      <w:bCs/>
    </w:rPr>
  </w:style>
  <w:style w:type="character" w:customStyle="1" w:styleId="CommentSubjectChar">
    <w:name w:val="Comment Subject Char"/>
    <w:basedOn w:val="CommentTextChar"/>
    <w:link w:val="CommentSubject"/>
    <w:uiPriority w:val="99"/>
    <w:semiHidden/>
    <w:rsid w:val="003F1E22"/>
    <w:rPr>
      <w:b/>
      <w:bCs/>
      <w:sz w:val="20"/>
      <w:szCs w:val="20"/>
    </w:rPr>
  </w:style>
  <w:style w:type="table" w:styleId="TableGrid">
    <w:name w:val="Table Grid"/>
    <w:basedOn w:val="TableNormal"/>
    <w:uiPriority w:val="39"/>
    <w:rsid w:val="0061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B66763"/>
    <w:pPr>
      <w:spacing w:before="100" w:beforeAutospacing="1" w:after="100" w:afterAutospacing="1" w:line="240" w:lineRule="auto"/>
    </w:pPr>
    <w:rPr>
      <w:rFonts w:eastAsia="Times New Roman" w:cs="Times New Roman"/>
      <w:kern w:val="0"/>
      <w:lang w:val="en-US"/>
      <w14:ligatures w14:val="none"/>
    </w:rPr>
  </w:style>
  <w:style w:type="paragraph" w:customStyle="1" w:styleId="labojumupamats">
    <w:name w:val="labojumu_pamats"/>
    <w:basedOn w:val="Normal"/>
    <w:rsid w:val="00B66763"/>
    <w:pPr>
      <w:spacing w:before="100" w:beforeAutospacing="1" w:after="100" w:afterAutospacing="1" w:line="240" w:lineRule="auto"/>
    </w:pPr>
    <w:rPr>
      <w:rFonts w:eastAsia="Times New Roman" w:cs="Times New Roman"/>
      <w:kern w:val="0"/>
      <w:lang w:val="en-US"/>
      <w14:ligatures w14:val="none"/>
    </w:rPr>
  </w:style>
  <w:style w:type="character" w:styleId="Hyperlink">
    <w:name w:val="Hyperlink"/>
    <w:basedOn w:val="DefaultParagraphFont"/>
    <w:uiPriority w:val="99"/>
    <w:unhideWhenUsed/>
    <w:qFormat/>
    <w:rsid w:val="00B66763"/>
    <w:rPr>
      <w:color w:val="0000FF"/>
      <w:u w:val="single"/>
    </w:rPr>
  </w:style>
  <w:style w:type="paragraph" w:styleId="Revision">
    <w:name w:val="Revision"/>
    <w:hidden/>
    <w:uiPriority w:val="99"/>
    <w:semiHidden/>
    <w:rsid w:val="00121EE5"/>
    <w:pPr>
      <w:spacing w:after="0" w:line="240" w:lineRule="auto"/>
    </w:pPr>
  </w:style>
  <w:style w:type="character" w:styleId="UnresolvedMention">
    <w:name w:val="Unresolved Mention"/>
    <w:basedOn w:val="DefaultParagraphFont"/>
    <w:uiPriority w:val="99"/>
    <w:semiHidden/>
    <w:unhideWhenUsed/>
    <w:rsid w:val="001D3C93"/>
    <w:rPr>
      <w:color w:val="605E5C"/>
      <w:shd w:val="clear" w:color="auto" w:fill="E1DFDD"/>
    </w:rPr>
  </w:style>
  <w:style w:type="paragraph" w:styleId="FootnoteText">
    <w:name w:val="footnote text"/>
    <w:aliases w:val="Fußnote"/>
    <w:basedOn w:val="Normal"/>
    <w:link w:val="FootnoteTextChar"/>
    <w:uiPriority w:val="99"/>
    <w:unhideWhenUsed/>
    <w:rsid w:val="006138F2"/>
    <w:pPr>
      <w:spacing w:beforeAutospacing="1" w:after="0" w:afterAutospacing="1" w:line="240" w:lineRule="auto"/>
    </w:pPr>
    <w:rPr>
      <w:kern w:val="0"/>
      <w:sz w:val="20"/>
      <w:szCs w:val="20"/>
      <w14:ligatures w14:val="none"/>
    </w:rPr>
  </w:style>
  <w:style w:type="character" w:customStyle="1" w:styleId="FootnoteTextChar">
    <w:name w:val="Footnote Text Char"/>
    <w:aliases w:val="Fußnote Char"/>
    <w:basedOn w:val="DefaultParagraphFont"/>
    <w:link w:val="FootnoteText"/>
    <w:uiPriority w:val="99"/>
    <w:rsid w:val="006138F2"/>
    <w:rPr>
      <w:kern w:val="0"/>
      <w:sz w:val="20"/>
      <w:szCs w:val="20"/>
      <w14:ligatures w14:val="none"/>
    </w:rPr>
  </w:style>
  <w:style w:type="character" w:styleId="FootnoteReference">
    <w:name w:val="footnote reference"/>
    <w:aliases w:val="Footnote Reference Number,Footnote symbol"/>
    <w:basedOn w:val="DefaultParagraphFont"/>
    <w:uiPriority w:val="99"/>
    <w:unhideWhenUsed/>
    <w:rsid w:val="006138F2"/>
    <w:rPr>
      <w:vertAlign w:val="superscript"/>
    </w:rPr>
  </w:style>
  <w:style w:type="paragraph" w:styleId="NormalWeb">
    <w:name w:val="Normal (Web)"/>
    <w:basedOn w:val="Normal"/>
    <w:uiPriority w:val="99"/>
    <w:unhideWhenUsed/>
    <w:rsid w:val="00F17A01"/>
    <w:rPr>
      <w:rFonts w:cs="Times New Roman"/>
    </w:rPr>
  </w:style>
  <w:style w:type="character" w:styleId="FollowedHyperlink">
    <w:name w:val="FollowedHyperlink"/>
    <w:basedOn w:val="DefaultParagraphFont"/>
    <w:uiPriority w:val="99"/>
    <w:semiHidden/>
    <w:unhideWhenUsed/>
    <w:rsid w:val="00072B13"/>
    <w:rPr>
      <w:color w:val="96607D" w:themeColor="followedHyperlink"/>
      <w:u w:val="single"/>
    </w:rPr>
  </w:style>
  <w:style w:type="character" w:styleId="Strong">
    <w:name w:val="Strong"/>
    <w:basedOn w:val="DefaultParagraphFont"/>
    <w:uiPriority w:val="22"/>
    <w:qFormat/>
    <w:rsid w:val="00915CBF"/>
    <w:rPr>
      <w:b/>
      <w:bCs/>
    </w:rPr>
  </w:style>
  <w:style w:type="paragraph" w:styleId="NoSpacing">
    <w:name w:val="No Spacing"/>
    <w:uiPriority w:val="1"/>
    <w:qFormat/>
    <w:rsid w:val="00E47CD8"/>
    <w:pPr>
      <w:spacing w:after="0" w:line="240" w:lineRule="auto"/>
    </w:pPr>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03d4472-ba29-433a-a22f-35dd2919e95d" TargetMode="External"/><Relationship Id="rId13" Type="http://schemas.openxmlformats.org/officeDocument/2006/relationships/hyperlink" Target="https://www.at.gov.lv/downloadlawfile/855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hyperlink" Target="https://www.at.gov.lv/downloadlawfile/5322" TargetMode="External"/><Relationship Id="rId10" Type="http://schemas.openxmlformats.org/officeDocument/2006/relationships/hyperlink" Target="https://hudoc.echr.coe.int/eng?i=001-726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nas.tiesas.lv/eTiesasMvc/nolemumi/pdf/524213.pdf" TargetMode="External"/><Relationship Id="rId14" Type="http://schemas.openxmlformats.org/officeDocument/2006/relationships/hyperlink" Target="https://gateway.elieta.lv/api/v1/PublicMaterialDownload/eb42b784-3aa1-4fe8-ab96-9a66e9375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8DFC-8A6A-4D78-B42D-1FC484D1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24562</Words>
  <Characters>14001</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2026-03-16T07:26:00Z</dcterms:created>
  <dcterms:modified xsi:type="dcterms:W3CDTF">2026-03-17T09:05:00Z</dcterms:modified>
</cp:coreProperties>
</file>