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050EB" w14:textId="77777777" w:rsidR="00C66C58" w:rsidRDefault="00C66C58" w:rsidP="00412482">
      <w:pPr>
        <w:spacing w:line="276" w:lineRule="auto"/>
        <w:jc w:val="both"/>
        <w:rPr>
          <w:lang w:eastAsia="lv-LV"/>
        </w:rPr>
      </w:pPr>
      <w:r>
        <w:rPr>
          <w:b/>
          <w:bCs/>
        </w:rPr>
        <w:t>Vērā ņemamie apstākļi, nosakot nemantiskā kaitējuma atlīdzinājumu</w:t>
      </w:r>
    </w:p>
    <w:p w14:paraId="16BD0052" w14:textId="77777777" w:rsidR="00C66C58" w:rsidRDefault="00C66C58" w:rsidP="00412482">
      <w:pPr>
        <w:spacing w:line="276" w:lineRule="auto"/>
        <w:jc w:val="both"/>
      </w:pPr>
      <w:r>
        <w:t xml:space="preserve">Kriminālprocesā un administratīvo pārkāpumu lietvedībā nodarītā kaitējuma atlīdzināšanas likuma 14.panta pirmajā daļā ir noteikts, kādi apstākļi jāņem vērā un jāvērtē, nosakot nemantiskā kaitējuma atlīdzinājumu. Ne šajā tiesību normā, ne kādā citā tiesību normā nav paredzēts, ka nemantiskā kaitējuma atlīdzinājuma apmēra noteikšanā būtu jāņem vērā patēriņa cenu un minimālās mēnešalgas apmēra izmaiņas. </w:t>
      </w:r>
    </w:p>
    <w:p w14:paraId="2CF457E8" w14:textId="2358D688" w:rsidR="003047F5" w:rsidRDefault="00C66C58" w:rsidP="00412482">
      <w:pPr>
        <w:spacing w:line="276" w:lineRule="auto"/>
        <w:jc w:val="both"/>
      </w:pPr>
      <w:r>
        <w:t xml:space="preserve">Ja likumdevējs uzskatītu, ka nemantiskā kaitējuma atlīdzinājuma apmēra noteikšanā papildus minētā likuma 14.panta pirmajā daļā norādītajiem apstākļiem būtu jāņem vērā arī patēriņa cenu un minimālās mēnešalgas izmaiņas, tas tiktu paredzēts tiesību normā. </w:t>
      </w:r>
    </w:p>
    <w:p w14:paraId="159F45B2" w14:textId="77777777" w:rsidR="00C66C58" w:rsidRPr="00402239" w:rsidRDefault="00C66C58" w:rsidP="00412482">
      <w:pPr>
        <w:spacing w:line="276" w:lineRule="auto"/>
        <w:jc w:val="both"/>
      </w:pPr>
    </w:p>
    <w:p w14:paraId="5B96512A" w14:textId="634BA5FF" w:rsidR="006B7BBC" w:rsidRPr="00C66C58" w:rsidRDefault="006B7BBC" w:rsidP="00412482">
      <w:pPr>
        <w:spacing w:line="276" w:lineRule="auto"/>
        <w:jc w:val="center"/>
        <w:rPr>
          <w:b/>
        </w:rPr>
      </w:pPr>
      <w:r w:rsidRPr="00C66C58">
        <w:rPr>
          <w:b/>
        </w:rPr>
        <w:t>Latvijas Republikas Senāt</w:t>
      </w:r>
      <w:r w:rsidR="00C66C58" w:rsidRPr="00C66C58">
        <w:rPr>
          <w:b/>
        </w:rPr>
        <w:t>a</w:t>
      </w:r>
    </w:p>
    <w:p w14:paraId="013BBEE6" w14:textId="4CFFD6CC" w:rsidR="00C66C58" w:rsidRPr="00C66C58" w:rsidRDefault="00C66C58" w:rsidP="00412482">
      <w:pPr>
        <w:spacing w:line="276" w:lineRule="auto"/>
        <w:jc w:val="center"/>
        <w:rPr>
          <w:b/>
        </w:rPr>
      </w:pPr>
      <w:r w:rsidRPr="00C66C58">
        <w:rPr>
          <w:b/>
        </w:rPr>
        <w:t>Administratīvo lietu departamenta</w:t>
      </w:r>
    </w:p>
    <w:p w14:paraId="437A3E87" w14:textId="5BF942C8" w:rsidR="00C66C58" w:rsidRPr="00C66C58" w:rsidRDefault="00C66C58" w:rsidP="00412482">
      <w:pPr>
        <w:spacing w:line="276" w:lineRule="auto"/>
        <w:jc w:val="center"/>
        <w:rPr>
          <w:b/>
        </w:rPr>
      </w:pPr>
      <w:r w:rsidRPr="00C66C58">
        <w:rPr>
          <w:b/>
        </w:rPr>
        <w:t>2026.gada 20.februāra</w:t>
      </w:r>
    </w:p>
    <w:p w14:paraId="757733A5" w14:textId="77777777" w:rsidR="00C66C58" w:rsidRPr="00C66C58" w:rsidRDefault="0089619C" w:rsidP="00412482">
      <w:pPr>
        <w:spacing w:line="276" w:lineRule="auto"/>
        <w:jc w:val="center"/>
        <w:rPr>
          <w:b/>
        </w:rPr>
      </w:pPr>
      <w:r w:rsidRPr="00C66C58">
        <w:rPr>
          <w:b/>
        </w:rPr>
        <w:t>SPRIEDUMS</w:t>
      </w:r>
    </w:p>
    <w:p w14:paraId="0EB8CF34" w14:textId="49B5EBD8" w:rsidR="00C66C58" w:rsidRPr="00C66C58" w:rsidRDefault="00C66C58" w:rsidP="00412482">
      <w:pPr>
        <w:spacing w:line="276" w:lineRule="auto"/>
        <w:jc w:val="center"/>
        <w:rPr>
          <w:b/>
          <w:bCs/>
        </w:rPr>
      </w:pPr>
      <w:r w:rsidRPr="00C66C58">
        <w:rPr>
          <w:b/>
          <w:bCs/>
        </w:rPr>
        <w:t>Lieta Nr. A420216422</w:t>
      </w:r>
      <w:r w:rsidRPr="00C66C58">
        <w:rPr>
          <w:b/>
          <w:bCs/>
          <w:lang w:eastAsia="lv-LV"/>
        </w:rPr>
        <w:t xml:space="preserve">, </w:t>
      </w:r>
      <w:r w:rsidRPr="00C66C58">
        <w:rPr>
          <w:b/>
          <w:bCs/>
        </w:rPr>
        <w:t>SKA</w:t>
      </w:r>
      <w:r w:rsidRPr="00C66C58">
        <w:rPr>
          <w:b/>
          <w:bCs/>
        </w:rPr>
        <w:noBreakHyphen/>
        <w:t>28/2026</w:t>
      </w:r>
    </w:p>
    <w:p w14:paraId="3449996C" w14:textId="2D7A72B6" w:rsidR="00C66C58" w:rsidRPr="00C66C58" w:rsidRDefault="00C66C58" w:rsidP="00412482">
      <w:pPr>
        <w:spacing w:line="276" w:lineRule="auto"/>
        <w:jc w:val="center"/>
        <w:rPr>
          <w:b/>
        </w:rPr>
      </w:pPr>
      <w:r w:rsidRPr="00C66C58">
        <w:t xml:space="preserve"> </w:t>
      </w:r>
      <w:hyperlink r:id="rId8" w:history="1">
        <w:r w:rsidRPr="00C66C58">
          <w:rPr>
            <w:rStyle w:val="Hyperlink"/>
          </w:rPr>
          <w:t>ECLI:LV:AT:2026:0220.A420216422.17.S</w:t>
        </w:r>
      </w:hyperlink>
    </w:p>
    <w:p w14:paraId="5F1A21FE" w14:textId="77777777" w:rsidR="008038FB" w:rsidRPr="00402239" w:rsidRDefault="008038FB" w:rsidP="00412482">
      <w:pPr>
        <w:spacing w:line="276" w:lineRule="auto"/>
        <w:ind w:firstLine="720"/>
        <w:jc w:val="center"/>
      </w:pPr>
    </w:p>
    <w:p w14:paraId="19AFEF33" w14:textId="74F8FD9A" w:rsidR="006B7BBC" w:rsidRPr="00402239" w:rsidRDefault="00F920D4" w:rsidP="00412482">
      <w:pPr>
        <w:spacing w:line="276" w:lineRule="auto"/>
        <w:ind w:firstLine="720"/>
        <w:jc w:val="both"/>
      </w:pPr>
      <w:r w:rsidRPr="00402239">
        <w:t>Senāts</w:t>
      </w:r>
      <w:r w:rsidR="006B7BBC" w:rsidRPr="00402239">
        <w:t xml:space="preserve"> šādā sastāvā: senator</w:t>
      </w:r>
      <w:r w:rsidR="007D5322" w:rsidRPr="00402239">
        <w:t>e</w:t>
      </w:r>
      <w:r w:rsidR="006600A3" w:rsidRPr="00402239">
        <w:t xml:space="preserve"> referente</w:t>
      </w:r>
      <w:r w:rsidR="000A1825" w:rsidRPr="00402239">
        <w:t xml:space="preserve"> </w:t>
      </w:r>
      <w:r w:rsidR="00E65223" w:rsidRPr="00402239">
        <w:t>Diāna Makarova</w:t>
      </w:r>
      <w:r w:rsidR="00E65223">
        <w:t>,</w:t>
      </w:r>
      <w:r w:rsidR="00E65223" w:rsidRPr="00402239">
        <w:t xml:space="preserve"> senat</w:t>
      </w:r>
      <w:r w:rsidR="00C027DF">
        <w:t xml:space="preserve">ores </w:t>
      </w:r>
      <w:r w:rsidR="000A1825" w:rsidRPr="00402239">
        <w:t>Dzintra Amerika</w:t>
      </w:r>
      <w:r w:rsidR="00E65223">
        <w:t xml:space="preserve"> un</w:t>
      </w:r>
      <w:r w:rsidR="000A1825" w:rsidRPr="00402239">
        <w:t xml:space="preserve"> </w:t>
      </w:r>
      <w:r w:rsidR="00431C28">
        <w:t>Laura Konošonok</w:t>
      </w:r>
      <w:r w:rsidR="00E65223">
        <w:t>a</w:t>
      </w:r>
    </w:p>
    <w:p w14:paraId="3049557F" w14:textId="77777777" w:rsidR="003047F5" w:rsidRPr="00402239" w:rsidRDefault="003047F5" w:rsidP="00412482">
      <w:pPr>
        <w:spacing w:line="276" w:lineRule="auto"/>
        <w:ind w:firstLine="720"/>
        <w:jc w:val="both"/>
      </w:pPr>
    </w:p>
    <w:p w14:paraId="4045D4F9" w14:textId="3BA4F28E" w:rsidR="00485C7C" w:rsidRPr="009D7317" w:rsidRDefault="00485C7C" w:rsidP="00412482">
      <w:pPr>
        <w:spacing w:line="276" w:lineRule="auto"/>
        <w:ind w:firstLine="720"/>
        <w:jc w:val="both"/>
      </w:pPr>
      <w:r w:rsidRPr="00402239">
        <w:t xml:space="preserve">rakstveida procesā izskatīja administratīvo lietu, kas ierosināta, pamatojoties uz </w:t>
      </w:r>
      <w:r w:rsidR="00412482">
        <w:t xml:space="preserve">[pers. A] </w:t>
      </w:r>
      <w:r w:rsidR="002C49D2" w:rsidRPr="00402239">
        <w:t xml:space="preserve">pieteikumu par </w:t>
      </w:r>
      <w:r w:rsidR="004015FF">
        <w:t xml:space="preserve">labvēlīgāka administratīvā akta izdošanu, ar kuru </w:t>
      </w:r>
      <w:r w:rsidR="00412482">
        <w:t xml:space="preserve">[pers. A] </w:t>
      </w:r>
      <w:r w:rsidR="004015FF">
        <w:t xml:space="preserve">tiktu atlīdzināts nemantiskais kaitējums un zaudējumi, sakarā ar Tieslietu ministrijas </w:t>
      </w:r>
      <w:r w:rsidR="00102EE3" w:rsidRPr="009D7317">
        <w:t xml:space="preserve">kasācijas sūdzību par </w:t>
      </w:r>
      <w:r w:rsidRPr="009D7317">
        <w:t>Ad</w:t>
      </w:r>
      <w:r w:rsidR="00102EE3" w:rsidRPr="009D7317">
        <w:t>ministratīvās apgabaltiesas 20</w:t>
      </w:r>
      <w:r w:rsidR="002C49D2" w:rsidRPr="009D7317">
        <w:t>2</w:t>
      </w:r>
      <w:r w:rsidR="004015FF">
        <w:t>4</w:t>
      </w:r>
      <w:r w:rsidRPr="009D7317">
        <w:t xml:space="preserve">.gada </w:t>
      </w:r>
      <w:r w:rsidR="004015FF">
        <w:t xml:space="preserve">8.janvāra </w:t>
      </w:r>
      <w:r w:rsidRPr="009D7317">
        <w:t>spriedumu</w:t>
      </w:r>
      <w:r w:rsidR="00F02368">
        <w:t xml:space="preserve"> daļā</w:t>
      </w:r>
      <w:r w:rsidRPr="009D7317">
        <w:t>.</w:t>
      </w:r>
    </w:p>
    <w:p w14:paraId="5DE22EF3" w14:textId="77777777" w:rsidR="00A6596A" w:rsidRPr="009D7317" w:rsidRDefault="00A6596A" w:rsidP="00412482">
      <w:pPr>
        <w:spacing w:line="276" w:lineRule="auto"/>
        <w:ind w:firstLine="720"/>
        <w:jc w:val="both"/>
      </w:pPr>
    </w:p>
    <w:p w14:paraId="49301551" w14:textId="42853D26" w:rsidR="003047F5" w:rsidRPr="00402239" w:rsidRDefault="003047F5" w:rsidP="00412482">
      <w:pPr>
        <w:pStyle w:val="ATpamattesksts"/>
        <w:ind w:firstLine="0"/>
        <w:jc w:val="center"/>
      </w:pPr>
      <w:r w:rsidRPr="009D7317">
        <w:rPr>
          <w:b/>
        </w:rPr>
        <w:t>Aprakstošā</w:t>
      </w:r>
      <w:r w:rsidRPr="009D7317">
        <w:t xml:space="preserve"> </w:t>
      </w:r>
      <w:r w:rsidRPr="009D7317">
        <w:rPr>
          <w:b/>
        </w:rPr>
        <w:t>daļa</w:t>
      </w:r>
    </w:p>
    <w:p w14:paraId="54AE93A0" w14:textId="77777777" w:rsidR="003047F5" w:rsidRPr="00402239" w:rsidRDefault="003047F5" w:rsidP="00412482">
      <w:pPr>
        <w:spacing w:line="276" w:lineRule="auto"/>
        <w:ind w:firstLine="720"/>
        <w:jc w:val="both"/>
      </w:pPr>
    </w:p>
    <w:p w14:paraId="3C16564F" w14:textId="38ABD0C5" w:rsidR="004015FF" w:rsidRDefault="00485C7C" w:rsidP="00412482">
      <w:pPr>
        <w:spacing w:line="276" w:lineRule="auto"/>
        <w:ind w:firstLine="720"/>
        <w:jc w:val="both"/>
      </w:pPr>
      <w:r w:rsidRPr="00402239">
        <w:t>[1]</w:t>
      </w:r>
      <w:r w:rsidR="00E65223">
        <w:t> </w:t>
      </w:r>
      <w:r w:rsidR="004015FF">
        <w:t xml:space="preserve">Ar Rīgas rajona tiesas lēmumu izbeigts kriminālprocess pieteicēja </w:t>
      </w:r>
      <w:r w:rsidR="00412482">
        <w:t xml:space="preserve">[pers. A] </w:t>
      </w:r>
      <w:r w:rsidR="004015FF">
        <w:t>apsūdzībā sakarā ar prokurora atteikšanos no apsūdzības.</w:t>
      </w:r>
    </w:p>
    <w:p w14:paraId="174DE171" w14:textId="6C8ED80F" w:rsidR="004015FF" w:rsidRDefault="004015FF" w:rsidP="00412482">
      <w:pPr>
        <w:spacing w:line="276" w:lineRule="auto"/>
        <w:ind w:firstLine="720"/>
        <w:jc w:val="both"/>
      </w:pPr>
      <w:r>
        <w:t>Pieteicējs vērsās Tieslietu ministrijā ar iesniegumu par kriminālprocesā nodarītā nemantiskā kaitējuma 7000 </w:t>
      </w:r>
      <w:r w:rsidRPr="003008D9">
        <w:rPr>
          <w:i/>
          <w:iCs/>
        </w:rPr>
        <w:t>euro</w:t>
      </w:r>
      <w:r>
        <w:t xml:space="preserve"> un zaudējumu 10 680 </w:t>
      </w:r>
      <w:r w:rsidRPr="003008D9">
        <w:rPr>
          <w:i/>
          <w:iCs/>
        </w:rPr>
        <w:t>euro</w:t>
      </w:r>
      <w:r>
        <w:t xml:space="preserve"> atlīdzināšanu.</w:t>
      </w:r>
    </w:p>
    <w:p w14:paraId="08C56D0B" w14:textId="77777777" w:rsidR="004015FF" w:rsidRDefault="004015FF" w:rsidP="00412482">
      <w:pPr>
        <w:spacing w:line="276" w:lineRule="auto"/>
        <w:ind w:firstLine="720"/>
        <w:jc w:val="both"/>
      </w:pPr>
      <w:r>
        <w:t>Ar Tieslietu ministrijas 2022.gada 14.marta lēmumu Nr. 1-4.3/3 nolemts izmaksāt pieteicējam nemantisko kaitējumu 700 </w:t>
      </w:r>
      <w:r w:rsidRPr="003008D9">
        <w:rPr>
          <w:i/>
          <w:iCs/>
        </w:rPr>
        <w:t>euro</w:t>
      </w:r>
      <w:r>
        <w:t xml:space="preserve"> un zaudējumus 4510 </w:t>
      </w:r>
      <w:r w:rsidRPr="003008D9">
        <w:rPr>
          <w:i/>
          <w:iCs/>
        </w:rPr>
        <w:t>euro</w:t>
      </w:r>
      <w:r>
        <w:t>.</w:t>
      </w:r>
    </w:p>
    <w:p w14:paraId="33432675" w14:textId="28F34E26" w:rsidR="004015FF" w:rsidRDefault="004015FF" w:rsidP="00412482">
      <w:pPr>
        <w:spacing w:line="276" w:lineRule="auto"/>
        <w:ind w:firstLine="720"/>
        <w:jc w:val="both"/>
      </w:pPr>
      <w:r>
        <w:t>Pieteicējs vērsās administratīvajā tiesā ar pieteikumu par labvēlīgāka administratīvā akta izdošanu.</w:t>
      </w:r>
    </w:p>
    <w:p w14:paraId="19E67B3A" w14:textId="77777777" w:rsidR="00C027DF" w:rsidRDefault="00C027DF" w:rsidP="00412482">
      <w:pPr>
        <w:spacing w:line="276" w:lineRule="auto"/>
        <w:ind w:firstLine="720"/>
        <w:jc w:val="both"/>
      </w:pPr>
    </w:p>
    <w:p w14:paraId="64FDAE90" w14:textId="335B87C1" w:rsidR="008218C2" w:rsidRDefault="00850FAD" w:rsidP="00412482">
      <w:pPr>
        <w:spacing w:line="276" w:lineRule="auto"/>
        <w:ind w:firstLine="720"/>
        <w:jc w:val="both"/>
        <w:rPr>
          <w:lang w:eastAsia="lv-LV"/>
        </w:rPr>
      </w:pPr>
      <w:r w:rsidRPr="00402239">
        <w:rPr>
          <w:lang w:eastAsia="lv-LV"/>
        </w:rPr>
        <w:t>[</w:t>
      </w:r>
      <w:r w:rsidR="00A934B9">
        <w:rPr>
          <w:lang w:eastAsia="lv-LV"/>
        </w:rPr>
        <w:t>2</w:t>
      </w:r>
      <w:r w:rsidRPr="00402239">
        <w:rPr>
          <w:lang w:eastAsia="lv-LV"/>
        </w:rPr>
        <w:t>]</w:t>
      </w:r>
      <w:r w:rsidR="00AF3B53">
        <w:rPr>
          <w:lang w:eastAsia="lv-LV"/>
        </w:rPr>
        <w:t> </w:t>
      </w:r>
      <w:r w:rsidR="001064D3" w:rsidRPr="00402239">
        <w:rPr>
          <w:lang w:eastAsia="lv-LV"/>
        </w:rPr>
        <w:t>Administratīvā apgabaltiesa</w:t>
      </w:r>
      <w:r w:rsidR="009F6B09">
        <w:rPr>
          <w:lang w:eastAsia="lv-LV"/>
        </w:rPr>
        <w:t xml:space="preserve"> </w:t>
      </w:r>
      <w:r w:rsidR="008218C2">
        <w:rPr>
          <w:lang w:eastAsia="lv-LV"/>
        </w:rPr>
        <w:t xml:space="preserve">pieteikumu </w:t>
      </w:r>
      <w:r w:rsidR="003008D9">
        <w:rPr>
          <w:lang w:eastAsia="lv-LV"/>
        </w:rPr>
        <w:t xml:space="preserve">daļēji </w:t>
      </w:r>
      <w:r w:rsidR="004015FF">
        <w:rPr>
          <w:lang w:eastAsia="lv-LV"/>
        </w:rPr>
        <w:t>apmierināja un uz</w:t>
      </w:r>
      <w:r w:rsidR="003008D9">
        <w:rPr>
          <w:lang w:eastAsia="lv-LV"/>
        </w:rPr>
        <w:t xml:space="preserve">deva </w:t>
      </w:r>
      <w:r w:rsidR="004015FF">
        <w:rPr>
          <w:lang w:eastAsia="lv-LV"/>
        </w:rPr>
        <w:t>Latvijas Republikai atlīdzināt pieteicējam nemantisko kaitējumu 800 </w:t>
      </w:r>
      <w:r w:rsidR="004015FF" w:rsidRPr="003008D9">
        <w:rPr>
          <w:i/>
          <w:iCs/>
          <w:lang w:eastAsia="lv-LV"/>
        </w:rPr>
        <w:t>euro</w:t>
      </w:r>
      <w:r w:rsidR="004015FF">
        <w:rPr>
          <w:lang w:eastAsia="lv-LV"/>
        </w:rPr>
        <w:t xml:space="preserve">. </w:t>
      </w:r>
      <w:r w:rsidR="003008D9">
        <w:rPr>
          <w:lang w:eastAsia="lv-LV"/>
        </w:rPr>
        <w:t xml:space="preserve">Pieteikumu pārējā daļā apgabaltiesa noraidīja. </w:t>
      </w:r>
      <w:r w:rsidR="004015FF">
        <w:rPr>
          <w:lang w:eastAsia="lv-LV"/>
        </w:rPr>
        <w:t>Apgabaltiesas spriedums daļā, kas attiecas uz nemantiskā kaitējuma atlīdzinā</w:t>
      </w:r>
      <w:r w:rsidR="003008D9">
        <w:rPr>
          <w:lang w:eastAsia="lv-LV"/>
        </w:rPr>
        <w:t>šanu</w:t>
      </w:r>
      <w:r w:rsidR="004015FF">
        <w:rPr>
          <w:lang w:eastAsia="lv-LV"/>
        </w:rPr>
        <w:t>,</w:t>
      </w:r>
      <w:r w:rsidR="008218C2">
        <w:rPr>
          <w:lang w:eastAsia="lv-LV"/>
        </w:rPr>
        <w:t xml:space="preserve"> pamato</w:t>
      </w:r>
      <w:r w:rsidR="004015FF">
        <w:rPr>
          <w:lang w:eastAsia="lv-LV"/>
        </w:rPr>
        <w:t>ts</w:t>
      </w:r>
      <w:r w:rsidR="008218C2">
        <w:rPr>
          <w:lang w:eastAsia="lv-LV"/>
        </w:rPr>
        <w:t xml:space="preserve"> ar turpmāk minētajiem argumentiem.</w:t>
      </w:r>
    </w:p>
    <w:p w14:paraId="398C5EEC" w14:textId="26AAB2D0" w:rsidR="004015FF" w:rsidRDefault="001064D3" w:rsidP="00412482">
      <w:pPr>
        <w:spacing w:line="276" w:lineRule="auto"/>
        <w:ind w:firstLine="720"/>
        <w:jc w:val="both"/>
        <w:rPr>
          <w:lang w:eastAsia="lv-LV"/>
        </w:rPr>
      </w:pPr>
      <w:r w:rsidRPr="00402239">
        <w:rPr>
          <w:lang w:eastAsia="lv-LV"/>
        </w:rPr>
        <w:t>[</w:t>
      </w:r>
      <w:r w:rsidR="00A934B9">
        <w:rPr>
          <w:lang w:eastAsia="lv-LV"/>
        </w:rPr>
        <w:t>2</w:t>
      </w:r>
      <w:r w:rsidRPr="00402239">
        <w:rPr>
          <w:lang w:eastAsia="lv-LV"/>
        </w:rPr>
        <w:t>.1]</w:t>
      </w:r>
      <w:r w:rsidR="00AF3B53">
        <w:rPr>
          <w:lang w:eastAsia="lv-LV"/>
        </w:rPr>
        <w:t> </w:t>
      </w:r>
      <w:r w:rsidR="00C9287A">
        <w:rPr>
          <w:lang w:eastAsia="lv-LV"/>
        </w:rPr>
        <w:t>Pirmās instances tiesa pareizi konstatēja, ka kopš pieteicēja atzīšanas par aizdomās turēto līdz krimināltiesisko attiecību taisnīgam noregulējumam pagāja seši gadi un divas dienas, bet tiesvedība ilga nedaudz virs pieciem gadiem. Krimināllietā bija trīs apsūdzēti</w:t>
      </w:r>
      <w:r w:rsidR="009A393F">
        <w:rPr>
          <w:lang w:eastAsia="lv-LV"/>
        </w:rPr>
        <w:t>e</w:t>
      </w:r>
      <w:r w:rsidR="00C9287A">
        <w:rPr>
          <w:lang w:eastAsia="lv-LV"/>
        </w:rPr>
        <w:t xml:space="preserve"> un seši cietušie, tika izsaukti 42 liecinieki, krimināllietas materiāl</w:t>
      </w:r>
      <w:r w:rsidR="003008D9">
        <w:rPr>
          <w:lang w:eastAsia="lv-LV"/>
        </w:rPr>
        <w:t>i</w:t>
      </w:r>
      <w:r w:rsidR="00C9287A">
        <w:rPr>
          <w:lang w:eastAsia="lv-LV"/>
        </w:rPr>
        <w:t xml:space="preserve"> apkopoti 18 sējumos. Kopumā </w:t>
      </w:r>
      <w:r w:rsidR="003008D9">
        <w:rPr>
          <w:lang w:eastAsia="lv-LV"/>
        </w:rPr>
        <w:t xml:space="preserve">no 2016. līdz 2021.gadam </w:t>
      </w:r>
      <w:r w:rsidR="00C9287A">
        <w:rPr>
          <w:lang w:eastAsia="lv-LV"/>
        </w:rPr>
        <w:t>notika 36 sēdes</w:t>
      </w:r>
      <w:r w:rsidR="003008D9">
        <w:rPr>
          <w:lang w:eastAsia="lv-LV"/>
        </w:rPr>
        <w:t>.</w:t>
      </w:r>
      <w:r w:rsidR="00C9287A">
        <w:rPr>
          <w:lang w:eastAsia="lv-LV"/>
        </w:rPr>
        <w:t xml:space="preserve"> Lietā nav ziņu, ka pieteicējs būtu kavējis lietas izskatīšanu. Pieteicēja apsūdzība bija sarežģīta, un </w:t>
      </w:r>
      <w:r w:rsidR="00C9287A">
        <w:rPr>
          <w:lang w:eastAsia="lv-LV"/>
        </w:rPr>
        <w:lastRenderedPageBreak/>
        <w:t xml:space="preserve">krimināllietas </w:t>
      </w:r>
      <w:r w:rsidR="003008D9">
        <w:rPr>
          <w:lang w:eastAsia="lv-LV"/>
        </w:rPr>
        <w:t xml:space="preserve">lielais </w:t>
      </w:r>
      <w:r w:rsidR="00C9287A">
        <w:rPr>
          <w:lang w:eastAsia="lv-LV"/>
        </w:rPr>
        <w:t>dalībnieku skaits bija viens no faktoriem, kas ietekmēja krimināllietas izskatīšanas ilgumu</w:t>
      </w:r>
      <w:r w:rsidR="00B77DC6">
        <w:rPr>
          <w:lang w:eastAsia="lv-LV"/>
        </w:rPr>
        <w:t>. T</w:t>
      </w:r>
      <w:r w:rsidR="00C9287A">
        <w:rPr>
          <w:lang w:eastAsia="lv-LV"/>
        </w:rPr>
        <w:t>iesa nav novilcinājusi krimināllietas izskatīšanu. Kopumā iztiesāšanas process bija saistīts ar liecinieku liecību uzklausīšanu, personu atkārtotu izsaukšanu uz tiesu neierašanās dēļ, lietas izskatīšanas atlikšanu, lai nodrošinātu klātesamību un vienlīdzību starp visiem procesa dalībniekiem. Tomēr pirmās instances tiesa nepareizi novērtēja pieteicēja tiesību aizskārumu, tāpēc nepamatoti atzina, ka 700 </w:t>
      </w:r>
      <w:r w:rsidR="00C9287A" w:rsidRPr="003008D9">
        <w:rPr>
          <w:i/>
          <w:iCs/>
          <w:lang w:eastAsia="lv-LV"/>
        </w:rPr>
        <w:t>euro</w:t>
      </w:r>
      <w:r w:rsidR="00C9287A">
        <w:rPr>
          <w:lang w:eastAsia="lv-LV"/>
        </w:rPr>
        <w:t xml:space="preserve"> ir pietiekams atlīdzinājums.</w:t>
      </w:r>
    </w:p>
    <w:p w14:paraId="7A2EDE4F" w14:textId="1677D80D" w:rsidR="00C9287A" w:rsidRDefault="003008D9" w:rsidP="00412482">
      <w:pPr>
        <w:spacing w:line="276" w:lineRule="auto"/>
        <w:ind w:firstLine="720"/>
        <w:jc w:val="both"/>
        <w:rPr>
          <w:lang w:eastAsia="lv-LV"/>
        </w:rPr>
      </w:pPr>
      <w:r>
        <w:rPr>
          <w:lang w:eastAsia="lv-LV"/>
        </w:rPr>
        <w:t>[</w:t>
      </w:r>
      <w:r w:rsidR="00953288">
        <w:rPr>
          <w:lang w:eastAsia="lv-LV"/>
        </w:rPr>
        <w:t>2.2</w:t>
      </w:r>
      <w:r>
        <w:rPr>
          <w:lang w:eastAsia="lv-LV"/>
        </w:rPr>
        <w:t>] Pieteicējam krimināllietas iztiesāšanas laikā nebija liegts pildīt darba pienākumus. Lietā nav pierādījumu, ka celtās apsūdzības dēļ pieteicējam būtu liegta profesionālā pilnveidošanās vai prēmijas. Taču vērā ņemams, ka krimināllietā par vainīgu netika atzīta neviena no apsūdzētajām personām un gan apsūdzētās persona</w:t>
      </w:r>
      <w:r w:rsidR="0086073D">
        <w:rPr>
          <w:lang w:eastAsia="lv-LV"/>
        </w:rPr>
        <w:t>s</w:t>
      </w:r>
      <w:r>
        <w:rPr>
          <w:lang w:eastAsia="lv-LV"/>
        </w:rPr>
        <w:t>, gan cietušie ir darba kolēģi. Lai arī tiesa nav novilcinājusi lietas izskatīšanu, tomēr piecus gadus ilgusī krimināllietas izskatīšana pirmās instances tiesā radīja pieteicējam ilgstošu neziņu par lietas iznākumu.</w:t>
      </w:r>
    </w:p>
    <w:p w14:paraId="2B52443A" w14:textId="5006D1CA" w:rsidR="00F7146A" w:rsidRDefault="004F4057" w:rsidP="00412482">
      <w:pPr>
        <w:spacing w:line="276" w:lineRule="auto"/>
        <w:ind w:firstLine="720"/>
        <w:jc w:val="both"/>
        <w:rPr>
          <w:lang w:eastAsia="lv-LV"/>
        </w:rPr>
      </w:pPr>
      <w:r>
        <w:rPr>
          <w:lang w:eastAsia="lv-LV"/>
        </w:rPr>
        <w:t>[</w:t>
      </w:r>
      <w:r w:rsidR="008D133E">
        <w:rPr>
          <w:lang w:eastAsia="lv-LV"/>
        </w:rPr>
        <w:t>2.3</w:t>
      </w:r>
      <w:r>
        <w:rPr>
          <w:lang w:eastAsia="lv-LV"/>
        </w:rPr>
        <w:t>] Pirmās instances tiesa pamatoti ņēma vērā tiesas spriedumus lietās Nr. C27194913, C27197211, C27100815, C27187209, C27137</w:t>
      </w:r>
      <w:r w:rsidR="0086073D">
        <w:rPr>
          <w:lang w:eastAsia="lv-LV"/>
        </w:rPr>
        <w:t>3</w:t>
      </w:r>
      <w:r>
        <w:rPr>
          <w:lang w:eastAsia="lv-LV"/>
        </w:rPr>
        <w:t>13, C12172413</w:t>
      </w:r>
      <w:r w:rsidR="0086073D">
        <w:rPr>
          <w:lang w:eastAsia="lv-LV"/>
        </w:rPr>
        <w:t xml:space="preserve"> un</w:t>
      </w:r>
      <w:r>
        <w:rPr>
          <w:lang w:eastAsia="lv-LV"/>
        </w:rPr>
        <w:t xml:space="preserve"> C30517517, jo šajās lietās noteikts nemantiskā kaitējuma atlīdzinājums salīdzināmos apstākļos. No Tiesu informācijas sistēmā pieejamās informācijas izriet, ka administratīvajā tiesā pēdējā laikā nav izskatīta neviena lieta, kurā būtu izskatāmajai liet</w:t>
      </w:r>
      <w:r w:rsidR="00B31724">
        <w:rPr>
          <w:lang w:eastAsia="lv-LV"/>
        </w:rPr>
        <w:t>ai</w:t>
      </w:r>
      <w:r>
        <w:rPr>
          <w:lang w:eastAsia="lv-LV"/>
        </w:rPr>
        <w:t xml:space="preserve"> ļoti līdzīgi apstākļi, taču vairākās lietās ir noteikts atlīdzinājums par ilgu kriminālprocesa norisi</w:t>
      </w:r>
      <w:r w:rsidR="00B77DC6">
        <w:rPr>
          <w:lang w:eastAsia="lv-LV"/>
        </w:rPr>
        <w:t>, pi</w:t>
      </w:r>
      <w:r>
        <w:rPr>
          <w:lang w:eastAsia="lv-LV"/>
        </w:rPr>
        <w:t>emēram, lietās Nr. A42022119, A420287018, A420282618</w:t>
      </w:r>
      <w:r w:rsidR="0086073D">
        <w:rPr>
          <w:lang w:eastAsia="lv-LV"/>
        </w:rPr>
        <w:t xml:space="preserve"> un</w:t>
      </w:r>
      <w:r>
        <w:rPr>
          <w:lang w:eastAsia="lv-LV"/>
        </w:rPr>
        <w:t xml:space="preserve"> A420171519. Tāpat ņemams vērā </w:t>
      </w:r>
      <w:r w:rsidR="00944B34" w:rsidRPr="00944B34">
        <w:rPr>
          <w:lang w:eastAsia="lv-LV"/>
        </w:rPr>
        <w:t xml:space="preserve">Eiropas Cilvēktiesību tiesas </w:t>
      </w:r>
      <w:r w:rsidR="00944B34">
        <w:rPr>
          <w:lang w:eastAsia="lv-LV"/>
        </w:rPr>
        <w:t xml:space="preserve">2017.gada 5.oktobra </w:t>
      </w:r>
      <w:r w:rsidR="00944B34" w:rsidRPr="00944B34">
        <w:rPr>
          <w:lang w:eastAsia="lv-LV"/>
        </w:rPr>
        <w:t>spriedums lietā „Kalēja pret Latviju”,</w:t>
      </w:r>
      <w:r w:rsidR="00944B34" w:rsidRPr="00944B34">
        <w:rPr>
          <w:i/>
          <w:iCs/>
          <w:lang w:eastAsia="lv-LV"/>
        </w:rPr>
        <w:t xml:space="preserve"> </w:t>
      </w:r>
      <w:r w:rsidR="00944B34" w:rsidRPr="00944B34">
        <w:rPr>
          <w:lang w:eastAsia="lv-LV"/>
        </w:rPr>
        <w:t xml:space="preserve">iesnieguma Nr. 22059/08, </w:t>
      </w:r>
      <w:r>
        <w:rPr>
          <w:lang w:eastAsia="lv-LV"/>
        </w:rPr>
        <w:t xml:space="preserve">un 2019.gada 5.septembra spriedums lietā </w:t>
      </w:r>
      <w:r w:rsidR="009A393F">
        <w:rPr>
          <w:lang w:eastAsia="lv-LV"/>
        </w:rPr>
        <w:t>„</w:t>
      </w:r>
      <w:r>
        <w:rPr>
          <w:lang w:eastAsia="lv-LV"/>
        </w:rPr>
        <w:t>Andersone pret Latviju</w:t>
      </w:r>
      <w:r w:rsidR="009A393F">
        <w:rPr>
          <w:lang w:eastAsia="lv-LV"/>
        </w:rPr>
        <w:t>”</w:t>
      </w:r>
      <w:r w:rsidR="00944B34">
        <w:rPr>
          <w:lang w:eastAsia="lv-LV"/>
        </w:rPr>
        <w:t xml:space="preserve">, </w:t>
      </w:r>
      <w:r w:rsidR="00944B34" w:rsidRPr="00944B34">
        <w:rPr>
          <w:lang w:eastAsia="lv-LV"/>
        </w:rPr>
        <w:t>iesnieguma Nr. 301/12</w:t>
      </w:r>
      <w:r w:rsidRPr="00944B34">
        <w:rPr>
          <w:lang w:eastAsia="lv-LV"/>
        </w:rPr>
        <w:t>.</w:t>
      </w:r>
    </w:p>
    <w:p w14:paraId="04CBFBA9" w14:textId="7AAEE2A2" w:rsidR="00F7146A" w:rsidRDefault="00F7146A" w:rsidP="00412482">
      <w:pPr>
        <w:spacing w:line="276" w:lineRule="auto"/>
        <w:ind w:firstLine="720"/>
        <w:jc w:val="both"/>
        <w:rPr>
          <w:lang w:eastAsia="lv-LV"/>
        </w:rPr>
      </w:pPr>
      <w:r>
        <w:rPr>
          <w:lang w:eastAsia="lv-LV"/>
        </w:rPr>
        <w:t>Ņemot vērā minētajās lietā</w:t>
      </w:r>
      <w:r w:rsidR="0086073D">
        <w:rPr>
          <w:lang w:eastAsia="lv-LV"/>
        </w:rPr>
        <w:t>s</w:t>
      </w:r>
      <w:r>
        <w:rPr>
          <w:lang w:eastAsia="lv-LV"/>
        </w:rPr>
        <w:t xml:space="preserve"> noteikto nemantiskā kaitējuma atlīdzinājumu un izvērtējot to kopsakarā ar izskatāmās lietas apstākļiem, 700 </w:t>
      </w:r>
      <w:r w:rsidRPr="00B77DC6">
        <w:rPr>
          <w:i/>
          <w:iCs/>
          <w:lang w:eastAsia="lv-LV"/>
        </w:rPr>
        <w:t>euro</w:t>
      </w:r>
      <w:r>
        <w:rPr>
          <w:lang w:eastAsia="lv-LV"/>
        </w:rPr>
        <w:t xml:space="preserve"> atlīdzinājums par sešus gadus ilgušu kriminālprocesu izskatāmajā gadījumā nav pietiekams.</w:t>
      </w:r>
    </w:p>
    <w:p w14:paraId="20772B05" w14:textId="0D94E9E9" w:rsidR="00170F02" w:rsidRDefault="004F4057" w:rsidP="00412482">
      <w:pPr>
        <w:spacing w:line="276" w:lineRule="auto"/>
        <w:ind w:firstLine="720"/>
        <w:jc w:val="both"/>
        <w:rPr>
          <w:lang w:eastAsia="lv-LV"/>
        </w:rPr>
      </w:pPr>
      <w:r>
        <w:rPr>
          <w:lang w:eastAsia="lv-LV"/>
        </w:rPr>
        <w:t>[</w:t>
      </w:r>
      <w:r w:rsidR="008D133E">
        <w:rPr>
          <w:lang w:eastAsia="lv-LV"/>
        </w:rPr>
        <w:t>2.4</w:t>
      </w:r>
      <w:r>
        <w:rPr>
          <w:lang w:eastAsia="lv-LV"/>
        </w:rPr>
        <w:t>] </w:t>
      </w:r>
      <w:r w:rsidR="00170F02">
        <w:rPr>
          <w:lang w:eastAsia="lv-LV"/>
        </w:rPr>
        <w:t xml:space="preserve">Papildus </w:t>
      </w:r>
      <w:r w:rsidR="00831416">
        <w:rPr>
          <w:lang w:eastAsia="lv-LV"/>
        </w:rPr>
        <w:t xml:space="preserve">jāņem vērā notikušās ekonomiskās situācijas izmaiņas – </w:t>
      </w:r>
      <w:r w:rsidR="0086073D">
        <w:rPr>
          <w:lang w:eastAsia="lv-LV"/>
        </w:rPr>
        <w:t xml:space="preserve">patēriņa cenu kāpums </w:t>
      </w:r>
      <w:r w:rsidR="00831416">
        <w:rPr>
          <w:lang w:eastAsia="lv-LV"/>
        </w:rPr>
        <w:t>un minimālās algas pieaugums</w:t>
      </w:r>
      <w:r w:rsidR="0086073D">
        <w:rPr>
          <w:lang w:eastAsia="lv-LV"/>
        </w:rPr>
        <w:t>. M</w:t>
      </w:r>
      <w:r w:rsidR="00170F02">
        <w:rPr>
          <w:lang w:eastAsia="lv-LV"/>
        </w:rPr>
        <w:t>orālā kaitējuma atlīdzinājums jānosaka atbilstoši valsts ekonomiskajai situācijai šā jautājuma izlemšanas brīdī.</w:t>
      </w:r>
    </w:p>
    <w:p w14:paraId="02E8E3BA" w14:textId="517C39B2" w:rsidR="00170F02" w:rsidRDefault="00170F02" w:rsidP="00412482">
      <w:pPr>
        <w:spacing w:line="276" w:lineRule="auto"/>
        <w:ind w:firstLine="720"/>
        <w:jc w:val="both"/>
        <w:rPr>
          <w:lang w:eastAsia="lv-LV"/>
        </w:rPr>
      </w:pPr>
      <w:r>
        <w:rPr>
          <w:lang w:eastAsia="lv-LV"/>
        </w:rPr>
        <w:t>[</w:t>
      </w:r>
      <w:r w:rsidR="008D133E">
        <w:rPr>
          <w:lang w:eastAsia="lv-LV"/>
        </w:rPr>
        <w:t>2.5</w:t>
      </w:r>
      <w:r>
        <w:rPr>
          <w:lang w:eastAsia="lv-LV"/>
        </w:rPr>
        <w:t>] Ievērojot minēt</w:t>
      </w:r>
      <w:r w:rsidR="00B77DC6">
        <w:rPr>
          <w:lang w:eastAsia="lv-LV"/>
        </w:rPr>
        <w:t>o</w:t>
      </w:r>
      <w:r>
        <w:rPr>
          <w:lang w:eastAsia="lv-LV"/>
        </w:rPr>
        <w:t>, pieteicējam papildus Tieslietu ministrijas noteiktajam atlīdzinājumam 700 </w:t>
      </w:r>
      <w:r w:rsidRPr="00B77DC6">
        <w:rPr>
          <w:i/>
          <w:iCs/>
          <w:lang w:eastAsia="lv-LV"/>
        </w:rPr>
        <w:t>euro</w:t>
      </w:r>
      <w:r>
        <w:rPr>
          <w:lang w:eastAsia="lv-LV"/>
        </w:rPr>
        <w:t xml:space="preserve"> ir nosakāms 800 </w:t>
      </w:r>
      <w:r w:rsidRPr="00B77DC6">
        <w:rPr>
          <w:i/>
          <w:iCs/>
          <w:lang w:eastAsia="lv-LV"/>
        </w:rPr>
        <w:t>euro</w:t>
      </w:r>
      <w:r>
        <w:rPr>
          <w:lang w:eastAsia="lv-LV"/>
        </w:rPr>
        <w:t xml:space="preserve"> nemantiskā kaitējuma atlīdzinājums. Šāda apmēra atlīdzinājums ir taisnīgs un samērīgs ar valsts ekonomiskajām iespējām.</w:t>
      </w:r>
    </w:p>
    <w:p w14:paraId="70AE4638" w14:textId="77777777" w:rsidR="00B96DB2" w:rsidRDefault="00B96DB2" w:rsidP="00412482">
      <w:pPr>
        <w:spacing w:line="276" w:lineRule="auto"/>
        <w:ind w:firstLine="720"/>
        <w:jc w:val="both"/>
      </w:pPr>
    </w:p>
    <w:p w14:paraId="2814568C" w14:textId="4A6BE2CE" w:rsidR="00B96DB2" w:rsidRDefault="00F61F65" w:rsidP="00412482">
      <w:pPr>
        <w:spacing w:line="276" w:lineRule="auto"/>
        <w:ind w:firstLine="720"/>
        <w:jc w:val="both"/>
        <w:rPr>
          <w:lang w:eastAsia="lv-LV"/>
        </w:rPr>
      </w:pPr>
      <w:r w:rsidRPr="00402239">
        <w:rPr>
          <w:lang w:eastAsia="lv-LV"/>
        </w:rPr>
        <w:t>[</w:t>
      </w:r>
      <w:r w:rsidR="00A934B9">
        <w:rPr>
          <w:lang w:eastAsia="lv-LV"/>
        </w:rPr>
        <w:t>3</w:t>
      </w:r>
      <w:r w:rsidRPr="00402239">
        <w:rPr>
          <w:lang w:eastAsia="lv-LV"/>
        </w:rPr>
        <w:t>]</w:t>
      </w:r>
      <w:r w:rsidR="007540B6">
        <w:rPr>
          <w:lang w:eastAsia="lv-LV"/>
        </w:rPr>
        <w:t> </w:t>
      </w:r>
      <w:r w:rsidR="005D24DD">
        <w:rPr>
          <w:lang w:eastAsia="lv-LV"/>
        </w:rPr>
        <w:t>Tieslietu ministrija</w:t>
      </w:r>
      <w:r w:rsidR="007540B6">
        <w:rPr>
          <w:lang w:eastAsia="lv-LV"/>
        </w:rPr>
        <w:t xml:space="preserve"> </w:t>
      </w:r>
      <w:r w:rsidRPr="00402239">
        <w:rPr>
          <w:lang w:eastAsia="lv-LV"/>
        </w:rPr>
        <w:t>iesniedz</w:t>
      </w:r>
      <w:r w:rsidR="00112095" w:rsidRPr="00402239">
        <w:rPr>
          <w:lang w:eastAsia="lv-LV"/>
        </w:rPr>
        <w:t>a</w:t>
      </w:r>
      <w:r w:rsidRPr="00402239">
        <w:rPr>
          <w:lang w:eastAsia="lv-LV"/>
        </w:rPr>
        <w:t xml:space="preserve"> kasācijas sūdzību</w:t>
      </w:r>
      <w:r w:rsidR="005D24DD">
        <w:rPr>
          <w:lang w:eastAsia="lv-LV"/>
        </w:rPr>
        <w:t xml:space="preserve"> par spriedumu pieteikuma apmierinātajā daļā. Kasācijas sūdzībā norādīti </w:t>
      </w:r>
      <w:r w:rsidR="00B96DB2">
        <w:rPr>
          <w:lang w:eastAsia="lv-LV"/>
        </w:rPr>
        <w:t>turpmāk minēt</w:t>
      </w:r>
      <w:r w:rsidR="005D24DD">
        <w:rPr>
          <w:lang w:eastAsia="lv-LV"/>
        </w:rPr>
        <w:t>ie</w:t>
      </w:r>
      <w:r w:rsidR="00B96DB2">
        <w:rPr>
          <w:lang w:eastAsia="lv-LV"/>
        </w:rPr>
        <w:t xml:space="preserve"> argument</w:t>
      </w:r>
      <w:r w:rsidR="005D24DD">
        <w:rPr>
          <w:lang w:eastAsia="lv-LV"/>
        </w:rPr>
        <w:t>i</w:t>
      </w:r>
      <w:r w:rsidR="00B96DB2">
        <w:rPr>
          <w:lang w:eastAsia="lv-LV"/>
        </w:rPr>
        <w:t>.</w:t>
      </w:r>
    </w:p>
    <w:p w14:paraId="0BE3CBFD" w14:textId="1A4F8E62" w:rsidR="00A934B9" w:rsidRDefault="00ED6FF5" w:rsidP="00412482">
      <w:pPr>
        <w:spacing w:line="276" w:lineRule="auto"/>
        <w:ind w:firstLine="720"/>
        <w:jc w:val="both"/>
        <w:rPr>
          <w:lang w:eastAsia="lv-LV"/>
        </w:rPr>
      </w:pPr>
      <w:r>
        <w:rPr>
          <w:lang w:eastAsia="lv-LV"/>
        </w:rPr>
        <w:t>[</w:t>
      </w:r>
      <w:r w:rsidR="00A934B9">
        <w:rPr>
          <w:lang w:eastAsia="lv-LV"/>
        </w:rPr>
        <w:t>3.1</w:t>
      </w:r>
      <w:r>
        <w:rPr>
          <w:lang w:eastAsia="lv-LV"/>
        </w:rPr>
        <w:t>] </w:t>
      </w:r>
      <w:r w:rsidR="005D24DD">
        <w:rPr>
          <w:lang w:eastAsia="lv-LV"/>
        </w:rPr>
        <w:t>No tiesībām uz taisnīgu tiesu un tiesiskuma principa izriet, ka valsts ir noteikusi prasības, kādām jāatbilst tiesas nolēmumam demokrātiskā valstī, un pat normatīvi ir nostiprinājusi, ka tiesas rīcībai jāatbilst tiesību normās noteiktajam. Proti, tiesai precīzi jākonstatē faktiskie apstākļi un jāpiemēro atbilstošās tiesību normas</w:t>
      </w:r>
      <w:r w:rsidR="00831416">
        <w:rPr>
          <w:lang w:eastAsia="lv-LV"/>
        </w:rPr>
        <w:t xml:space="preserve">, sniedzot savu motīvu izklāstu, kas loģiski sasaista faktiskos apstākļus ar piemēroto tiesību normu, apliecinot </w:t>
      </w:r>
      <w:r w:rsidR="00B77DC6">
        <w:rPr>
          <w:lang w:eastAsia="lv-LV"/>
        </w:rPr>
        <w:t>p</w:t>
      </w:r>
      <w:r w:rsidR="00831416">
        <w:rPr>
          <w:lang w:eastAsia="lv-LV"/>
        </w:rPr>
        <w:t>ieņemtā lēmuma pamatotību.</w:t>
      </w:r>
    </w:p>
    <w:p w14:paraId="50F7F15C" w14:textId="44979882" w:rsidR="00CA0206" w:rsidRDefault="00A42439" w:rsidP="00412482">
      <w:pPr>
        <w:spacing w:line="276" w:lineRule="auto"/>
        <w:ind w:firstLine="720"/>
        <w:jc w:val="both"/>
        <w:rPr>
          <w:lang w:eastAsia="lv-LV"/>
        </w:rPr>
      </w:pPr>
      <w:r>
        <w:rPr>
          <w:lang w:eastAsia="lv-LV"/>
        </w:rPr>
        <w:t>[</w:t>
      </w:r>
      <w:r w:rsidR="008D133E">
        <w:rPr>
          <w:lang w:eastAsia="lv-LV"/>
        </w:rPr>
        <w:t>3.2</w:t>
      </w:r>
      <w:r>
        <w:rPr>
          <w:lang w:eastAsia="lv-LV"/>
        </w:rPr>
        <w:t>] </w:t>
      </w:r>
      <w:r w:rsidR="00831416">
        <w:rPr>
          <w:lang w:eastAsia="lv-LV"/>
        </w:rPr>
        <w:t xml:space="preserve">Spriedumā apgabaltiesa ir norādījusi, ka ekonomiskās situācijas izmaiņas ir apstākļi, kuri jāņem vērā arī gadījumā, ja nemantiskā kaitējuma atlīdzinājums </w:t>
      </w:r>
      <w:r w:rsidR="00065396">
        <w:rPr>
          <w:lang w:eastAsia="lv-LV"/>
        </w:rPr>
        <w:t>tiek noteikts, vadoties no tiesu prakses. Taču</w:t>
      </w:r>
      <w:r>
        <w:rPr>
          <w:lang w:eastAsia="lv-LV"/>
        </w:rPr>
        <w:t xml:space="preserve"> neviena tiesību norma neparedz, ka, nosakot nemantiskā kaitējuma apmēru, </w:t>
      </w:r>
      <w:r w:rsidR="0005000E">
        <w:rPr>
          <w:lang w:eastAsia="lv-LV"/>
        </w:rPr>
        <w:t>būtu jāņem vērā</w:t>
      </w:r>
      <w:r w:rsidR="00065396">
        <w:rPr>
          <w:lang w:eastAsia="lv-LV"/>
        </w:rPr>
        <w:t xml:space="preserve"> inflācija un minimālās mēn</w:t>
      </w:r>
      <w:r w:rsidR="00361418">
        <w:rPr>
          <w:lang w:eastAsia="lv-LV"/>
        </w:rPr>
        <w:t>eša</w:t>
      </w:r>
      <w:r w:rsidR="00B77DC6">
        <w:rPr>
          <w:lang w:eastAsia="lv-LV"/>
        </w:rPr>
        <w:t xml:space="preserve">lgas </w:t>
      </w:r>
      <w:r w:rsidR="00361418">
        <w:rPr>
          <w:lang w:eastAsia="lv-LV"/>
        </w:rPr>
        <w:t>pieaugum</w:t>
      </w:r>
      <w:r w:rsidR="0005000E">
        <w:rPr>
          <w:lang w:eastAsia="lv-LV"/>
        </w:rPr>
        <w:t xml:space="preserve">s. </w:t>
      </w:r>
      <w:r w:rsidR="00361418">
        <w:rPr>
          <w:lang w:eastAsia="lv-LV"/>
        </w:rPr>
        <w:t xml:space="preserve">Kriminālprocesā un administratīvo pārkāpumu lietvedībā nodarītā kaitējuma atlīdzināšanas likums (turpmāk – Kaitējuma atlīdzināšanas likums) paredz nemantiskā kaitējuma atlīdzināšanas kārtību, atlīdzības veidus un apjomu, savukārt Administratīvā procesa likuma 6.pantā nostiprinātais vienlīdzības princips iestādei un tiesai </w:t>
      </w:r>
      <w:r w:rsidR="0005000E">
        <w:rPr>
          <w:lang w:eastAsia="lv-LV"/>
        </w:rPr>
        <w:t xml:space="preserve">nosaka </w:t>
      </w:r>
      <w:r w:rsidR="00361418">
        <w:rPr>
          <w:lang w:eastAsia="lv-LV"/>
        </w:rPr>
        <w:t>pienākumu pieņemt vienādu</w:t>
      </w:r>
      <w:r w:rsidR="009A393F">
        <w:rPr>
          <w:lang w:eastAsia="lv-LV"/>
        </w:rPr>
        <w:t>s</w:t>
      </w:r>
      <w:r w:rsidR="00361418">
        <w:rPr>
          <w:lang w:eastAsia="lv-LV"/>
        </w:rPr>
        <w:t xml:space="preserve"> lēmumus vienādos faktiskajos un tiesiskajos apstākļos. Arī Senāta judikatūrā </w:t>
      </w:r>
      <w:r w:rsidR="0005000E">
        <w:rPr>
          <w:lang w:eastAsia="lv-LV"/>
        </w:rPr>
        <w:t>no</w:t>
      </w:r>
      <w:r w:rsidR="00361418">
        <w:rPr>
          <w:lang w:eastAsia="lv-LV"/>
        </w:rPr>
        <w:t>stiprināts, ka vienādos apstākļos atlīdzinājumam jābūt vienāda</w:t>
      </w:r>
      <w:r w:rsidR="0005000E">
        <w:rPr>
          <w:lang w:eastAsia="lv-LV"/>
        </w:rPr>
        <w:t>m</w:t>
      </w:r>
      <w:r w:rsidR="00361418">
        <w:rPr>
          <w:lang w:eastAsia="lv-LV"/>
        </w:rPr>
        <w:t>, savukārt atšķirīgos apstākļos – atšķirīgam. Judikatūrā nav rodamas norādes par naudas pirktspējas izmaiņu ietekmi uz nemantiskā kaitējuma atlīdzinājuma apmēra noteikšanu.</w:t>
      </w:r>
    </w:p>
    <w:p w14:paraId="7A3D765E" w14:textId="2600372F" w:rsidR="00831416" w:rsidRDefault="00CA0206" w:rsidP="00412482">
      <w:pPr>
        <w:spacing w:line="276" w:lineRule="auto"/>
        <w:ind w:firstLine="720"/>
        <w:jc w:val="both"/>
        <w:rPr>
          <w:lang w:eastAsia="lv-LV"/>
        </w:rPr>
      </w:pPr>
      <w:r>
        <w:rPr>
          <w:lang w:eastAsia="lv-LV"/>
        </w:rPr>
        <w:t xml:space="preserve">Turklāt, ja arī piekristu, ka kaitējuma atlīdzinājuma apmērā būtu jāņem vērā inflācijas un minimālās mēneša darba samaksas pieaugums, apgabaltiesas </w:t>
      </w:r>
      <w:r w:rsidR="00A42439">
        <w:rPr>
          <w:lang w:eastAsia="lv-LV"/>
        </w:rPr>
        <w:t>s</w:t>
      </w:r>
      <w:r w:rsidR="00361418">
        <w:rPr>
          <w:lang w:eastAsia="lv-LV"/>
        </w:rPr>
        <w:t xml:space="preserve">priedumā nav norādītas metodes, </w:t>
      </w:r>
      <w:r w:rsidR="00A42439">
        <w:rPr>
          <w:lang w:eastAsia="lv-LV"/>
        </w:rPr>
        <w:t xml:space="preserve">kuras tiesa izmantoja, lai novērtētu ekonomiskās situācijas izmaiņu ietekmi uz nemantiskā kaitējuma apmēru konkrētajā gadījumā. Līdz </w:t>
      </w:r>
      <w:r w:rsidR="0005000E">
        <w:rPr>
          <w:lang w:eastAsia="lv-LV"/>
        </w:rPr>
        <w:t xml:space="preserve">ar to nav iespējams pārliecināties, ka tiesa ir balstījusies uz racionāliem juridiskiem apsvērumiem, nevis uz subjektīvu viedokli. Vēl jo vairāk </w:t>
      </w:r>
      <w:r w:rsidR="002F75A4">
        <w:rPr>
          <w:lang w:eastAsia="lv-LV"/>
        </w:rPr>
        <w:t>–</w:t>
      </w:r>
      <w:r w:rsidR="0005000E">
        <w:rPr>
          <w:lang w:eastAsia="lv-LV"/>
        </w:rPr>
        <w:t xml:space="preserve"> </w:t>
      </w:r>
      <w:r w:rsidR="006432E6">
        <w:rPr>
          <w:lang w:eastAsia="lv-LV"/>
        </w:rPr>
        <w:t xml:space="preserve">ja </w:t>
      </w:r>
      <w:r w:rsidR="002F75A4">
        <w:rPr>
          <w:lang w:eastAsia="lv-LV"/>
        </w:rPr>
        <w:t>veic aprēķinus, pamatojoties uz Centrālās statis</w:t>
      </w:r>
      <w:r w:rsidR="006D07BC">
        <w:rPr>
          <w:lang w:eastAsia="lv-LV"/>
        </w:rPr>
        <w:t>ti</w:t>
      </w:r>
      <w:r w:rsidR="002F75A4">
        <w:rPr>
          <w:lang w:eastAsia="lv-LV"/>
        </w:rPr>
        <w:t xml:space="preserve">kas pārvaldes datiem, </w:t>
      </w:r>
      <w:r w:rsidR="006432E6">
        <w:rPr>
          <w:lang w:eastAsia="lv-LV"/>
        </w:rPr>
        <w:t xml:space="preserve">tad </w:t>
      </w:r>
      <w:r w:rsidR="002F75A4">
        <w:rPr>
          <w:lang w:eastAsia="lv-LV"/>
        </w:rPr>
        <w:t xml:space="preserve">inflācijas pieaugums varētu pamatot nemantiskā kaitējuma atlīdzinājuma apmēra pieaugumu </w:t>
      </w:r>
      <w:r>
        <w:rPr>
          <w:lang w:eastAsia="lv-LV"/>
        </w:rPr>
        <w:t>par 156,80 </w:t>
      </w:r>
      <w:r w:rsidRPr="006432E6">
        <w:rPr>
          <w:i/>
          <w:iCs/>
          <w:lang w:eastAsia="lv-LV"/>
        </w:rPr>
        <w:t>euro</w:t>
      </w:r>
      <w:r>
        <w:rPr>
          <w:lang w:eastAsia="lv-LV"/>
        </w:rPr>
        <w:t>, savukārt minimālās mēneša darba samaksas pieaugums – par 448 </w:t>
      </w:r>
      <w:r w:rsidRPr="006432E6">
        <w:rPr>
          <w:i/>
          <w:iCs/>
          <w:lang w:eastAsia="lv-LV"/>
        </w:rPr>
        <w:t>euro</w:t>
      </w:r>
      <w:r>
        <w:rPr>
          <w:lang w:eastAsia="lv-LV"/>
        </w:rPr>
        <w:t>. Tas ir ievērojami mazāk par tiesas noteikto papildu atlīdzinājumu 800 </w:t>
      </w:r>
      <w:r w:rsidRPr="006432E6">
        <w:rPr>
          <w:i/>
          <w:iCs/>
          <w:lang w:eastAsia="lv-LV"/>
        </w:rPr>
        <w:t>euro</w:t>
      </w:r>
      <w:r>
        <w:rPr>
          <w:lang w:eastAsia="lv-LV"/>
        </w:rPr>
        <w:t xml:space="preserve"> apmērā.</w:t>
      </w:r>
    </w:p>
    <w:p w14:paraId="63F5B029" w14:textId="3B87ABC9" w:rsidR="00CA0206" w:rsidRDefault="006432E6" w:rsidP="00412482">
      <w:pPr>
        <w:spacing w:line="276" w:lineRule="auto"/>
        <w:ind w:firstLine="720"/>
        <w:jc w:val="both"/>
        <w:rPr>
          <w:lang w:eastAsia="lv-LV"/>
        </w:rPr>
      </w:pPr>
      <w:r>
        <w:rPr>
          <w:lang w:eastAsia="lv-LV"/>
        </w:rPr>
        <w:t xml:space="preserve">Ievērojot minēto, </w:t>
      </w:r>
      <w:r w:rsidR="00CA0206">
        <w:rPr>
          <w:lang w:eastAsia="lv-LV"/>
        </w:rPr>
        <w:t>apgabaltiesa ir pārkāpusi Administratīvā procesa likuma 251.panta piekto daļu.</w:t>
      </w:r>
    </w:p>
    <w:p w14:paraId="2F2A3437" w14:textId="07CD3726" w:rsidR="00EA6E1F" w:rsidRDefault="00EA6E1F" w:rsidP="00412482">
      <w:pPr>
        <w:spacing w:line="276" w:lineRule="auto"/>
        <w:ind w:firstLine="720"/>
        <w:jc w:val="both"/>
        <w:rPr>
          <w:lang w:eastAsia="lv-LV"/>
        </w:rPr>
      </w:pPr>
      <w:r>
        <w:rPr>
          <w:lang w:eastAsia="lv-LV"/>
        </w:rPr>
        <w:t>[</w:t>
      </w:r>
      <w:r w:rsidR="008D133E">
        <w:rPr>
          <w:lang w:eastAsia="lv-LV"/>
        </w:rPr>
        <w:t>3.3</w:t>
      </w:r>
      <w:r>
        <w:rPr>
          <w:lang w:eastAsia="lv-LV"/>
        </w:rPr>
        <w:t>] </w:t>
      </w:r>
      <w:r w:rsidR="00F226E7">
        <w:rPr>
          <w:lang w:eastAsia="lv-LV"/>
        </w:rPr>
        <w:t>Apgabalt</w:t>
      </w:r>
      <w:r>
        <w:rPr>
          <w:lang w:eastAsia="lv-LV"/>
        </w:rPr>
        <w:t xml:space="preserve">iesai, izskatot prasījumu par labvēlīgāka administratīvā akta izdošanu, bija jāvērtē, vai </w:t>
      </w:r>
      <w:r w:rsidR="006432E6">
        <w:rPr>
          <w:lang w:eastAsia="lv-LV"/>
        </w:rPr>
        <w:t xml:space="preserve">Tieslietu </w:t>
      </w:r>
      <w:r>
        <w:rPr>
          <w:lang w:eastAsia="lv-LV"/>
        </w:rPr>
        <w:t>ministrijas piešķirtais atlīdzinājuma apmērs bija samērīgs ministrijas lēmuma pieņemšanas brīdī, proti, 2022.gada martā</w:t>
      </w:r>
      <w:r w:rsidR="00F226E7">
        <w:rPr>
          <w:lang w:eastAsia="lv-LV"/>
        </w:rPr>
        <w:t>. T</w:t>
      </w:r>
      <w:r>
        <w:rPr>
          <w:lang w:eastAsia="lv-LV"/>
        </w:rPr>
        <w:t>aču no sprieduma izriet, ka tiesa nemantiskā kaitējuma apmēru ir vērtējusi uz sprieduma taisīšanas brīdi, proti, 2024.gadā, jo ir ņēmusi vērā minimālās mēnešalgas apmēru 2024.gadā. Līdz ar to apgabaltiesa ir pārkāpusi arī Administratīvā procesa likuma 103.panta pirmo daļu.</w:t>
      </w:r>
    </w:p>
    <w:p w14:paraId="25D1238E" w14:textId="6EF062C3" w:rsidR="00CA0206" w:rsidRDefault="00CA0206" w:rsidP="00412482">
      <w:pPr>
        <w:spacing w:line="276" w:lineRule="auto"/>
        <w:ind w:firstLine="720"/>
        <w:jc w:val="both"/>
        <w:rPr>
          <w:lang w:eastAsia="lv-LV"/>
        </w:rPr>
      </w:pPr>
      <w:r>
        <w:rPr>
          <w:lang w:eastAsia="lv-LV"/>
        </w:rPr>
        <w:t>[</w:t>
      </w:r>
      <w:r w:rsidR="008D133E">
        <w:rPr>
          <w:lang w:eastAsia="lv-LV"/>
        </w:rPr>
        <w:t>3.4</w:t>
      </w:r>
      <w:r>
        <w:rPr>
          <w:lang w:eastAsia="lv-LV"/>
        </w:rPr>
        <w:t>] </w:t>
      </w:r>
      <w:r w:rsidR="00017E8B">
        <w:rPr>
          <w:lang w:eastAsia="lv-LV"/>
        </w:rPr>
        <w:t xml:space="preserve">Apgabaltiesa, nosakot kaitējuma atlīdzinājuma apmēru, nav vadījusies no tiesu prakses līdzīgos gadījumos. Spriedumā norādītie nolēmumi ir pieņemti, pastāvot atšķirīgām aizskartajām tiesībām un aizskāruma smagumam. </w:t>
      </w:r>
      <w:r w:rsidR="00086FB0">
        <w:rPr>
          <w:lang w:eastAsia="lv-LV"/>
        </w:rPr>
        <w:t>Līdz ar to t</w:t>
      </w:r>
      <w:r w:rsidR="00017E8B">
        <w:rPr>
          <w:lang w:eastAsia="lv-LV"/>
        </w:rPr>
        <w:t>iesas noteiktais atlīdzinājums pārkāpj vienlīdzības principu.</w:t>
      </w:r>
    </w:p>
    <w:p w14:paraId="709AF86B" w14:textId="77777777" w:rsidR="008D133E" w:rsidRDefault="008D133E" w:rsidP="00412482">
      <w:pPr>
        <w:spacing w:line="276" w:lineRule="auto"/>
        <w:jc w:val="center"/>
        <w:rPr>
          <w:b/>
        </w:rPr>
      </w:pPr>
    </w:p>
    <w:p w14:paraId="1900DA50" w14:textId="0AAED7D7" w:rsidR="003047F5" w:rsidRPr="00402239" w:rsidRDefault="003047F5" w:rsidP="00412482">
      <w:pPr>
        <w:spacing w:line="276" w:lineRule="auto"/>
        <w:jc w:val="center"/>
        <w:rPr>
          <w:b/>
        </w:rPr>
      </w:pPr>
      <w:r w:rsidRPr="00402239">
        <w:rPr>
          <w:b/>
        </w:rPr>
        <w:t>Motīvu daļa</w:t>
      </w:r>
    </w:p>
    <w:p w14:paraId="45FBD86E" w14:textId="1B858D9E" w:rsidR="0002115C" w:rsidRPr="00402239" w:rsidRDefault="0002115C" w:rsidP="00412482">
      <w:pPr>
        <w:spacing w:line="276" w:lineRule="auto"/>
        <w:ind w:firstLine="720"/>
        <w:jc w:val="both"/>
      </w:pPr>
    </w:p>
    <w:p w14:paraId="52B6C115" w14:textId="4E518664" w:rsidR="00315170" w:rsidRDefault="001B3F36" w:rsidP="00412482">
      <w:pPr>
        <w:spacing w:line="276" w:lineRule="auto"/>
        <w:ind w:firstLine="720"/>
        <w:jc w:val="both"/>
      </w:pPr>
      <w:r w:rsidRPr="00402239">
        <w:t>[</w:t>
      </w:r>
      <w:r w:rsidR="008D133E">
        <w:t>4</w:t>
      </w:r>
      <w:r w:rsidRPr="00402239">
        <w:t>]</w:t>
      </w:r>
      <w:r w:rsidR="0081114B">
        <w:t> </w:t>
      </w:r>
      <w:r w:rsidR="00C15040">
        <w:t>Kasācijas tiesvedības kārtībā jānoskaidro, vai</w:t>
      </w:r>
      <w:r w:rsidR="00315170">
        <w:t xml:space="preserve"> nemantiskā kaitējuma apmēr</w:t>
      </w:r>
      <w:r w:rsidR="006432E6">
        <w:t xml:space="preserve">a noteikšanā ir ņemams vērā </w:t>
      </w:r>
      <w:r w:rsidR="00897D1F">
        <w:t xml:space="preserve">patēriņa cenu kāpums </w:t>
      </w:r>
      <w:r w:rsidR="00315170">
        <w:t xml:space="preserve">un </w:t>
      </w:r>
      <w:r w:rsidR="006432E6">
        <w:t>minimālās mēneš</w:t>
      </w:r>
      <w:r w:rsidR="00315170">
        <w:t>algas pieaugums.</w:t>
      </w:r>
    </w:p>
    <w:p w14:paraId="69026524" w14:textId="77777777" w:rsidR="00315170" w:rsidRDefault="00315170" w:rsidP="00412482">
      <w:pPr>
        <w:spacing w:line="276" w:lineRule="auto"/>
        <w:ind w:firstLine="720"/>
        <w:jc w:val="both"/>
      </w:pPr>
    </w:p>
    <w:p w14:paraId="18ACAA74" w14:textId="1412D3E9" w:rsidR="00971700" w:rsidRDefault="00315170" w:rsidP="00412482">
      <w:pPr>
        <w:spacing w:line="276" w:lineRule="auto"/>
        <w:ind w:firstLine="720"/>
        <w:jc w:val="both"/>
      </w:pPr>
      <w:r>
        <w:t>[</w:t>
      </w:r>
      <w:r w:rsidR="008D133E">
        <w:t>5</w:t>
      </w:r>
      <w:r>
        <w:t>] </w:t>
      </w:r>
      <w:r w:rsidR="00C27420">
        <w:t xml:space="preserve">Kaitējuma atlīdzināšanas likuma </w:t>
      </w:r>
      <w:r w:rsidR="00376906">
        <w:t>14.panta pirm</w:t>
      </w:r>
      <w:r w:rsidR="00C27420">
        <w:t>ā daļa paredz, ka n</w:t>
      </w:r>
      <w:r w:rsidR="00971700" w:rsidRPr="00315170">
        <w:t>emantisko kaitējumu nosaka atbilstoši aizskarto tiesību un ar likumu aizsargāto interešu nozīmīgumam un konkrētā aizskāruma smagumam, ņemot vērā iestādes, prokuratūras vai tiesas rīcības raksturu</w:t>
      </w:r>
      <w:r w:rsidR="00971700">
        <w:t xml:space="preserve"> (6.pants),</w:t>
      </w:r>
      <w:r w:rsidR="00971700" w:rsidRPr="00315170">
        <w:t xml:space="preserve"> apsūdzības smagumu, kriminālprocesa ilgumu, fiziskās personas personību un rīcību, līdzatbildību, kā arī citus konkrētajā gadījumā būtiskus apstākļus</w:t>
      </w:r>
      <w:r w:rsidR="00376906">
        <w:t>.</w:t>
      </w:r>
    </w:p>
    <w:p w14:paraId="75EC22FD" w14:textId="36B1A440" w:rsidR="00376906" w:rsidRDefault="00376906" w:rsidP="00412482">
      <w:pPr>
        <w:spacing w:line="276" w:lineRule="auto"/>
        <w:ind w:firstLine="720"/>
        <w:jc w:val="both"/>
      </w:pPr>
      <w:r>
        <w:t>Tātad</w:t>
      </w:r>
      <w:r w:rsidR="00C27420">
        <w:t xml:space="preserve"> likumdevējs ir noteicis, </w:t>
      </w:r>
      <w:r>
        <w:t>kādi apstākļi jāņem vērā</w:t>
      </w:r>
      <w:r w:rsidR="006432E6">
        <w:t xml:space="preserve"> un jāvērtē</w:t>
      </w:r>
      <w:r>
        <w:t xml:space="preserve">, nosakot nemantiskā kaitējuma atlīdzinājumu. Tieslietu ministrija pamatoti norāda, ka ne šajā tiesību normā, ne kādā citā tiesību normā likumdevējs nav paredzējis, ka nemantiskā kaitējuma </w:t>
      </w:r>
      <w:r w:rsidR="001D26B9">
        <w:t xml:space="preserve">atlīdzinājuma </w:t>
      </w:r>
      <w:r>
        <w:t>a</w:t>
      </w:r>
      <w:r w:rsidR="001D26B9">
        <w:t>pmēr</w:t>
      </w:r>
      <w:r>
        <w:t>a noteikšanā būtu jāņem vērā</w:t>
      </w:r>
      <w:r w:rsidR="00897D1F">
        <w:t xml:space="preserve"> patēriņa cenu u</w:t>
      </w:r>
      <w:r>
        <w:t xml:space="preserve">n minimālās mēnešalgas apmēra izmaiņas. </w:t>
      </w:r>
      <w:r w:rsidR="00C27420">
        <w:t xml:space="preserve">Salīdzinājumam – regulējot zaudējumu atlīdzināšanu, likumdevējs Kaitējuma atlīdzināšanas likuma 12.panta sestajā daļā </w:t>
      </w:r>
      <w:r w:rsidR="001D26B9">
        <w:t xml:space="preserve">ir </w:t>
      </w:r>
      <w:r w:rsidR="00C27420">
        <w:t>noteicis, ka z</w:t>
      </w:r>
      <w:r w:rsidR="00C27420" w:rsidRPr="00C27420">
        <w:t>audējuma atlīdzībai, kas nav atlīdzība par mantai nodarītiem zaudējumiem, piemēro Centrālās statistikas pārvaldes noteikto patēriņa cenu indeksu.</w:t>
      </w:r>
      <w:r w:rsidR="00C27420">
        <w:t xml:space="preserve"> Patēriņu cenu indekss tiek lietots kā galvenais inflācijas rādītājs. Senāts piekrīt, ka tad, ja likumdevējs uzskatītu, ka nemantiskā kaitējuma </w:t>
      </w:r>
      <w:r w:rsidR="001D26B9">
        <w:t xml:space="preserve">atlīdzinājuma </w:t>
      </w:r>
      <w:r w:rsidR="00C27420">
        <w:t xml:space="preserve">apmēra noteikšanā papildus Kaitējuma atlīdzināšanas likuma 14.panta pirmajā daļā norādītajiem apstākļiem </w:t>
      </w:r>
      <w:r w:rsidR="001D26B9">
        <w:t xml:space="preserve">būtu </w:t>
      </w:r>
      <w:r w:rsidR="00C27420">
        <w:t xml:space="preserve">jāņem vērā arī </w:t>
      </w:r>
      <w:r w:rsidR="00897D1F">
        <w:t xml:space="preserve">patēriņa cenu </w:t>
      </w:r>
      <w:r w:rsidR="00C27420">
        <w:t>un minimālās mēnešalgas</w:t>
      </w:r>
      <w:r w:rsidR="008A1551">
        <w:t xml:space="preserve"> izmaiņas</w:t>
      </w:r>
      <w:r w:rsidR="00C27420">
        <w:t xml:space="preserve">, tas tiktu paredzēts tiesību normā. </w:t>
      </w:r>
      <w:r w:rsidR="001D26B9">
        <w:t xml:space="preserve">Tā kā apgabaltiesa secinājumu par </w:t>
      </w:r>
      <w:r w:rsidR="00897D1F">
        <w:t xml:space="preserve">patēriņa cenu kāpuma </w:t>
      </w:r>
      <w:r w:rsidR="001D26B9">
        <w:t xml:space="preserve">un minimālās mēnešalgas pieauguma ietekmi uz nemantiskā kaitējuma atlīdzinājuma apmēru nav pamatojusi ar tiesību normu, ir pamatots </w:t>
      </w:r>
      <w:r w:rsidR="008A1551">
        <w:t xml:space="preserve">Tieslietu </w:t>
      </w:r>
      <w:r w:rsidR="001D26B9">
        <w:t xml:space="preserve">ministrijas arguments, ka apgabaltiesa ir pārkāpusi </w:t>
      </w:r>
      <w:r w:rsidR="00C27420">
        <w:t>Administratīvā procesa likuma 251.panta ceturto daļu, atbilstoši kurai spriedums jāpamato ar konkrētu tiesību normu un tās analīzi.</w:t>
      </w:r>
    </w:p>
    <w:p w14:paraId="2BE86657" w14:textId="1CA9D8B8" w:rsidR="00C27420" w:rsidRDefault="00800481" w:rsidP="00412482">
      <w:pPr>
        <w:spacing w:line="276" w:lineRule="auto"/>
        <w:ind w:firstLine="720"/>
        <w:jc w:val="both"/>
      </w:pPr>
      <w:r>
        <w:t>Vienlaikus Senāts turpmāk norādīto apsvērumu dēļ atzīst, ka šis pārkāpums nav novedis pie lietas nepareizas izspriešanas.</w:t>
      </w:r>
    </w:p>
    <w:p w14:paraId="03557570" w14:textId="77777777" w:rsidR="00800481" w:rsidRDefault="00800481" w:rsidP="00412482">
      <w:pPr>
        <w:spacing w:line="276" w:lineRule="auto"/>
        <w:ind w:firstLine="720"/>
        <w:jc w:val="both"/>
      </w:pPr>
    </w:p>
    <w:p w14:paraId="7F6CD918" w14:textId="44337453" w:rsidR="00D650AB" w:rsidRDefault="00800481" w:rsidP="00412482">
      <w:pPr>
        <w:spacing w:line="276" w:lineRule="auto"/>
        <w:ind w:firstLine="720"/>
        <w:jc w:val="both"/>
      </w:pPr>
      <w:r>
        <w:t>[</w:t>
      </w:r>
      <w:r w:rsidR="008D133E">
        <w:t>6</w:t>
      </w:r>
      <w:r>
        <w:t>] Apgabaltiesa, secinot, ka pirmās instances tiesa nepamatoti atzina par pietiekamu pieteicējam noteikto nemantiskā kaitējuma atlīdzinājumu 700 </w:t>
      </w:r>
      <w:r w:rsidRPr="008A1551">
        <w:rPr>
          <w:i/>
          <w:iCs/>
        </w:rPr>
        <w:t>euro</w:t>
      </w:r>
      <w:r>
        <w:t xml:space="preserve"> apmērā, vispirms vērtēja pieteicēja tiesību aizskārumu, kriminālprocesa ilgumu, tiesas rīcību un konkrētā gadījuma apstākļus, </w:t>
      </w:r>
      <w:r w:rsidR="0058674D">
        <w:t>k</w:t>
      </w:r>
      <w:r w:rsidR="00D650AB">
        <w:t xml:space="preserve">ā arī </w:t>
      </w:r>
      <w:r w:rsidR="00F4336F">
        <w:t>tiesu praksi nemantiskā kaitējuma atlīdzinājuma lietās. Tā rezultātā apgabaltiesa norādīja, ka, ņemot vērā</w:t>
      </w:r>
      <w:r w:rsidR="00EA6E1F">
        <w:t xml:space="preserve"> citās </w:t>
      </w:r>
      <w:r w:rsidR="00F4336F">
        <w:t>lietās noteikto nemantiskā kaitējuma atlīdzinājumu un izvērtējot to kopsakarā ar izskatāmās lietas apstākļiem, 700 </w:t>
      </w:r>
      <w:r w:rsidR="00F4336F" w:rsidRPr="006432E6">
        <w:rPr>
          <w:i/>
          <w:iCs/>
        </w:rPr>
        <w:t>euro</w:t>
      </w:r>
      <w:r w:rsidR="00F4336F">
        <w:t xml:space="preserve"> atlīdzinājums par sešus gadus ilgušu kriminālprocesu izskatāmajā gadījumā nav pietiekams. Tikai pēc tam apgabaltiesa</w:t>
      </w:r>
      <w:r w:rsidR="008A1551">
        <w:t xml:space="preserve"> ir</w:t>
      </w:r>
      <w:r w:rsidR="00F4336F">
        <w:t xml:space="preserve"> norādīj</w:t>
      </w:r>
      <w:r w:rsidR="006432E6">
        <w:t>usi</w:t>
      </w:r>
      <w:r w:rsidR="00F4336F">
        <w:t xml:space="preserve">, ka tā papildus ņem vērā </w:t>
      </w:r>
      <w:r>
        <w:t>patēriņa cenu kāpum</w:t>
      </w:r>
      <w:r w:rsidR="00F4336F">
        <w:t xml:space="preserve">u </w:t>
      </w:r>
      <w:r>
        <w:t>un minimālās mēnešalgas pieaugum</w:t>
      </w:r>
      <w:r w:rsidR="00F4336F">
        <w:t>u.</w:t>
      </w:r>
    </w:p>
    <w:p w14:paraId="3C82D878" w14:textId="22B39AE6" w:rsidR="00EA6E1F" w:rsidRDefault="00EA6E1F" w:rsidP="00412482">
      <w:pPr>
        <w:spacing w:line="276" w:lineRule="auto"/>
        <w:ind w:firstLine="720"/>
        <w:jc w:val="both"/>
      </w:pPr>
      <w:r>
        <w:t>No minētā Senāts secina, ka apgabaltiesa, nosakot</w:t>
      </w:r>
      <w:r w:rsidR="00F4336F">
        <w:t xml:space="preserve"> nemantiskā kaitējuma atlīdzinājuma apmēr</w:t>
      </w:r>
      <w:r>
        <w:t xml:space="preserve">u, ņēma vērā Kaitējuma atlīdzināšanas likuma 14.panta pirmajā daļā norādītos apstākļus un tiesu praksi, savukārt </w:t>
      </w:r>
      <w:r w:rsidR="00D650AB">
        <w:t xml:space="preserve">patēriņa cenu un minimālās mēnešalgas kāpumu </w:t>
      </w:r>
      <w:r>
        <w:t xml:space="preserve">norādīja tikai kā papildu apstākli, kas nav bijis izšķirošs kaitējuma atlīdzinājuma apmēra noteikšanā. Tāpēc, kā jau iepriekš norādīts, apgabaltiesas atsaukšanās uz minētajiem apstākļiem </w:t>
      </w:r>
      <w:r w:rsidR="00D650AB">
        <w:t xml:space="preserve">bez pamatojuma konkrētajā tiesību normā pati par sevi </w:t>
      </w:r>
      <w:r>
        <w:t>nav pamats apgabaltiesas sprieduma atcelšanai.</w:t>
      </w:r>
    </w:p>
    <w:p w14:paraId="19085AB0" w14:textId="77777777" w:rsidR="00EA6E1F" w:rsidRDefault="00EA6E1F" w:rsidP="00412482">
      <w:pPr>
        <w:spacing w:line="276" w:lineRule="auto"/>
        <w:ind w:firstLine="720"/>
        <w:jc w:val="both"/>
      </w:pPr>
    </w:p>
    <w:p w14:paraId="4D3AED2B" w14:textId="394F11F5" w:rsidR="00A53F4A" w:rsidRDefault="00EA6E1F" w:rsidP="00412482">
      <w:pPr>
        <w:spacing w:line="276" w:lineRule="auto"/>
        <w:ind w:firstLine="720"/>
        <w:jc w:val="both"/>
      </w:pPr>
      <w:r>
        <w:t>[</w:t>
      </w:r>
      <w:r w:rsidR="008D133E">
        <w:t>7</w:t>
      </w:r>
      <w:r>
        <w:t>] </w:t>
      </w:r>
      <w:r w:rsidR="00A53F4A">
        <w:t>Tieslietu ministrija uzskata, ka apgabaltiesa ir pārkāpusi vienlīdzības principu, jo ir pamatojusies uz tiesu praksi lietās, kuru apstākļi nav salīdzināmi ar izskatāmā gadījuma apstākļiem.</w:t>
      </w:r>
    </w:p>
    <w:p w14:paraId="2D0FD1DF" w14:textId="678705DC" w:rsidR="00EF530A" w:rsidRDefault="00A53F4A" w:rsidP="00412482">
      <w:pPr>
        <w:spacing w:line="276" w:lineRule="auto"/>
        <w:ind w:firstLine="720"/>
        <w:jc w:val="both"/>
      </w:pPr>
      <w:r>
        <w:t>Senāts konstatē, ka apgabaltiesa, pārbaudot Tiesu informācijas sistēmā pieejam</w:t>
      </w:r>
      <w:r w:rsidR="006432E6">
        <w:t>o informāciju</w:t>
      </w:r>
      <w:r>
        <w:t>, ir noskaidrojusi</w:t>
      </w:r>
      <w:r w:rsidR="00C06249">
        <w:t xml:space="preserve">, ka administratīvajā tiesā pēdējā laikā nav izskatīta neviena lieta, kurā būtu izskatāmajai lietai ļoti līdzīgi apstākļi, taču ir bijušas vairākas lietas, kurās ir noteikts atlīdzinājums par ilgu kriminālprocesa norisi. </w:t>
      </w:r>
      <w:r w:rsidR="00E0699A">
        <w:t xml:space="preserve">Apgabaltiesa ir </w:t>
      </w:r>
      <w:r w:rsidR="006432E6">
        <w:t xml:space="preserve">norādījusi </w:t>
      </w:r>
      <w:r w:rsidR="00E0699A">
        <w:t xml:space="preserve">kriminālprocesa ilgumu izskatāmajā lietā </w:t>
      </w:r>
      <w:r w:rsidR="006432E6">
        <w:t xml:space="preserve">un </w:t>
      </w:r>
      <w:r w:rsidR="00E0699A">
        <w:t>kriminālprocesu</w:t>
      </w:r>
      <w:r w:rsidR="00E912F9">
        <w:t xml:space="preserve"> ilgumu</w:t>
      </w:r>
      <w:r w:rsidR="00E0699A">
        <w:t xml:space="preserve"> </w:t>
      </w:r>
      <w:r w:rsidR="006432E6">
        <w:t>citās lietās</w:t>
      </w:r>
      <w:r w:rsidR="008A1551">
        <w:t>, kurās tiesa lēmusi par nemantiskā kaitējuma atlīdzinājumu</w:t>
      </w:r>
      <w:r w:rsidR="00E0699A">
        <w:t xml:space="preserve">. </w:t>
      </w:r>
      <w:r w:rsidR="00C06249">
        <w:t>Senāts konstatē, ka</w:t>
      </w:r>
      <w:r w:rsidR="00897D1F">
        <w:t xml:space="preserve"> arī pārsūdzētajā lēmumā </w:t>
      </w:r>
      <w:r w:rsidR="00C06249">
        <w:t>norādītajos tiesas spriedumos</w:t>
      </w:r>
      <w:r w:rsidR="00897D1F">
        <w:t xml:space="preserve"> (lietās Nr. </w:t>
      </w:r>
      <w:r w:rsidR="00897D1F">
        <w:rPr>
          <w:lang w:eastAsia="lv-LV"/>
        </w:rPr>
        <w:t>C27194913, C27197211, C27100815, C27187209, C27137313, C12172413 un C30517517)</w:t>
      </w:r>
      <w:r w:rsidR="00C06249">
        <w:t xml:space="preserve"> kā viens no</w:t>
      </w:r>
      <w:r w:rsidR="00E0699A">
        <w:t xml:space="preserve"> v</w:t>
      </w:r>
      <w:r w:rsidR="00E0699A" w:rsidRPr="00897D1F">
        <w:t>ērā ņemtajiem</w:t>
      </w:r>
      <w:r w:rsidR="00C06249" w:rsidRPr="00897D1F">
        <w:t xml:space="preserve"> apstākļiem atlīdzinājuma </w:t>
      </w:r>
      <w:r w:rsidR="006432E6" w:rsidRPr="00897D1F">
        <w:t xml:space="preserve">apmēra </w:t>
      </w:r>
      <w:r w:rsidR="00C06249" w:rsidRPr="00897D1F">
        <w:t xml:space="preserve">noteikšanā ir bijis kriminālprocesa ilgums. </w:t>
      </w:r>
      <w:r w:rsidR="00E0699A" w:rsidRPr="00897D1F">
        <w:t>Tāpēc nevar teikt, ka apgabaltiesas norādīt</w:t>
      </w:r>
      <w:r w:rsidR="00E912F9" w:rsidRPr="00897D1F">
        <w:t xml:space="preserve">ās lietas </w:t>
      </w:r>
      <w:r w:rsidR="00E0699A" w:rsidRPr="00897D1F">
        <w:t>absolūti nav salīdzinām</w:t>
      </w:r>
      <w:r w:rsidR="00E912F9" w:rsidRPr="00897D1F">
        <w:t>as</w:t>
      </w:r>
      <w:r w:rsidR="00E0699A" w:rsidRPr="00897D1F">
        <w:t xml:space="preserve"> ar izskatāmo lietu</w:t>
      </w:r>
      <w:r w:rsidR="00E912F9" w:rsidRPr="00897D1F">
        <w:t>, izņemot lietu Nr.</w:t>
      </w:r>
      <w:r w:rsidR="00897D1F" w:rsidRPr="00897D1F">
        <w:t> </w:t>
      </w:r>
      <w:r w:rsidR="00897D1F" w:rsidRPr="00897D1F">
        <w:rPr>
          <w:lang w:eastAsia="lv-LV"/>
        </w:rPr>
        <w:t>A42022119,</w:t>
      </w:r>
      <w:r w:rsidR="00E912F9" w:rsidRPr="00897D1F">
        <w:t xml:space="preserve"> jo lieta ar šādu numuru nav atrodama, un lietu Nr. </w:t>
      </w:r>
      <w:r w:rsidR="00897D1F" w:rsidRPr="00897D1F">
        <w:rPr>
          <w:lang w:eastAsia="lv-LV"/>
        </w:rPr>
        <w:t>A420171519</w:t>
      </w:r>
      <w:r w:rsidR="00E912F9" w:rsidRPr="00897D1F">
        <w:t>, kurā</w:t>
      </w:r>
      <w:r w:rsidR="00897D1F" w:rsidRPr="00897D1F">
        <w:t xml:space="preserve"> noteiktais atlīdzinājums </w:t>
      </w:r>
      <w:r w:rsidR="000B125B">
        <w:t xml:space="preserve">saistīts ar </w:t>
      </w:r>
      <w:r w:rsidR="000B125B" w:rsidRPr="000B125B">
        <w:t>kratīšan</w:t>
      </w:r>
      <w:r w:rsidR="000B125B">
        <w:t>u</w:t>
      </w:r>
      <w:r w:rsidR="00E0699A" w:rsidRPr="00897D1F">
        <w:t>.</w:t>
      </w:r>
      <w:r w:rsidR="00E912F9" w:rsidRPr="00897D1F">
        <w:t xml:space="preserve"> </w:t>
      </w:r>
      <w:r w:rsidR="008A1551" w:rsidRPr="00897D1F">
        <w:t>N</w:t>
      </w:r>
      <w:r w:rsidR="00E912F9" w:rsidRPr="00897D1F">
        <w:t>o apgabaltiesas sprieduma izriet, ka apgabaltiesa</w:t>
      </w:r>
      <w:r w:rsidR="00EF530A" w:rsidRPr="00897D1F">
        <w:t xml:space="preserve"> ir ņēmusi vērā </w:t>
      </w:r>
      <w:r w:rsidR="006432E6" w:rsidRPr="00897D1F">
        <w:t>tiesas sprie</w:t>
      </w:r>
      <w:r w:rsidR="006432E6">
        <w:t>dumus</w:t>
      </w:r>
      <w:r w:rsidR="008A1551" w:rsidRPr="008A1551">
        <w:t xml:space="preserve"> </w:t>
      </w:r>
      <w:r w:rsidR="008A1551">
        <w:t>lietās</w:t>
      </w:r>
      <w:r w:rsidR="006432E6">
        <w:t>, uz kur</w:t>
      </w:r>
      <w:r w:rsidR="008A1551">
        <w:t>ā</w:t>
      </w:r>
      <w:r w:rsidR="006432E6">
        <w:t xml:space="preserve">m </w:t>
      </w:r>
      <w:r w:rsidR="00F02510">
        <w:t xml:space="preserve">ir </w:t>
      </w:r>
      <w:r w:rsidR="008A1551">
        <w:t xml:space="preserve">atsaukusies </w:t>
      </w:r>
      <w:r w:rsidR="00E912F9">
        <w:t>Tieslietu ministrija</w:t>
      </w:r>
      <w:r w:rsidR="006432E6">
        <w:t xml:space="preserve">, </w:t>
      </w:r>
      <w:r w:rsidR="00EF530A">
        <w:t xml:space="preserve">taču </w:t>
      </w:r>
      <w:r w:rsidR="006432E6">
        <w:t xml:space="preserve">apgabaltiesa </w:t>
      </w:r>
      <w:r w:rsidR="00EF530A">
        <w:t>ir pamatojusies uz j</w:t>
      </w:r>
      <w:r w:rsidR="00E912F9">
        <w:t>aunāko tiesu praksi</w:t>
      </w:r>
      <w:r w:rsidR="00F02510">
        <w:t xml:space="preserve"> lietās, kurās atsevišķi </w:t>
      </w:r>
      <w:r w:rsidR="008A1551">
        <w:t>apstākļi ir salīdzināmi</w:t>
      </w:r>
      <w:r w:rsidR="00E912F9">
        <w:t>.</w:t>
      </w:r>
    </w:p>
    <w:p w14:paraId="7B8AAE19" w14:textId="69848F0A" w:rsidR="00EF530A" w:rsidRDefault="00EF530A" w:rsidP="00412482">
      <w:pPr>
        <w:spacing w:line="276" w:lineRule="auto"/>
        <w:ind w:firstLine="720"/>
        <w:jc w:val="both"/>
      </w:pPr>
      <w:r>
        <w:t>Tieslietu ministrija pareizi norāda uz atsevišķām atšķirībām starp apstākļiem izskatāmajā lietā un apgabaltiesas minētajās lietās, piemēram, par noziedzīgā nodarījuma smagumu, iztiesāšanas novilcināšanu u.c. Tāpat ministrija pareizi norāda, ka apgabaltiesas minētajās lietās kriminālprocess ir bijis ilgāks, salīdzinot ar izskatāmo gadījumu. Tomēr jāņem vērā arī tas, ka apgabaltiesa ir noteikusi mazāku kaitējuma atlīdzinājuma apmēru, salīdzinot ar citām apgabaltiesas norādītajām lietām. Piemēram, lietās Nr. A420287018 un A420282618 pieteicējiem noteikts atlīdzinājums 3000 </w:t>
      </w:r>
      <w:r w:rsidRPr="00F02510">
        <w:rPr>
          <w:i/>
          <w:iCs/>
        </w:rPr>
        <w:t>euro</w:t>
      </w:r>
      <w:r>
        <w:t xml:space="preserve">, savukārt apgabaltiesas spriedumā norādītajās Eiropas Cilvēktiesību tiesā izskatītajās lietās noteikts atlīdzinājums </w:t>
      </w:r>
      <w:r w:rsidR="00B77DC6">
        <w:t>4000 </w:t>
      </w:r>
      <w:r w:rsidR="00B77DC6" w:rsidRPr="00F02510">
        <w:rPr>
          <w:i/>
          <w:iCs/>
        </w:rPr>
        <w:t>euro</w:t>
      </w:r>
      <w:r w:rsidR="00B77DC6">
        <w:t xml:space="preserve"> un 6000 </w:t>
      </w:r>
      <w:r w:rsidR="00B77DC6" w:rsidRPr="00F02510">
        <w:rPr>
          <w:i/>
          <w:iCs/>
        </w:rPr>
        <w:t>euro</w:t>
      </w:r>
      <w:r w:rsidR="00B77DC6">
        <w:t xml:space="preserve">. Turpretim izskatāmajā gadījumā </w:t>
      </w:r>
      <w:r w:rsidR="00F02510">
        <w:t>līdz ar apgabaltiesas papildus noteikto atlīdzinājumu 800 </w:t>
      </w:r>
      <w:r w:rsidR="00F02510" w:rsidRPr="00F02510">
        <w:rPr>
          <w:i/>
          <w:iCs/>
        </w:rPr>
        <w:t>euro</w:t>
      </w:r>
      <w:r w:rsidR="00F02510">
        <w:t xml:space="preserve"> </w:t>
      </w:r>
      <w:r w:rsidR="00B77DC6">
        <w:t xml:space="preserve">pieteicējam </w:t>
      </w:r>
      <w:r w:rsidR="00F02510">
        <w:t xml:space="preserve">noteiktais </w:t>
      </w:r>
      <w:r w:rsidR="00B77DC6">
        <w:t>kopējais nemantiskā kaitējuma atlīdzinājums</w:t>
      </w:r>
      <w:r w:rsidR="00F02510">
        <w:t xml:space="preserve"> ir</w:t>
      </w:r>
      <w:r w:rsidR="00B77DC6">
        <w:t xml:space="preserve"> 1500 </w:t>
      </w:r>
      <w:r w:rsidR="00B77DC6" w:rsidRPr="00F02510">
        <w:rPr>
          <w:i/>
          <w:iCs/>
        </w:rPr>
        <w:t>euro</w:t>
      </w:r>
      <w:r w:rsidR="00B77DC6">
        <w:t>.</w:t>
      </w:r>
    </w:p>
    <w:p w14:paraId="44C432DD" w14:textId="709CD808" w:rsidR="00C06249" w:rsidRDefault="00E912F9" w:rsidP="00412482">
      <w:pPr>
        <w:spacing w:line="276" w:lineRule="auto"/>
        <w:ind w:firstLine="720"/>
        <w:jc w:val="both"/>
      </w:pPr>
      <w:r>
        <w:t>No apgabaltiesas sprieduma izriet, ka apgabaltiesa ir ņēmusi vērā</w:t>
      </w:r>
      <w:r w:rsidR="00086FB0">
        <w:t xml:space="preserve"> arī</w:t>
      </w:r>
      <w:r w:rsidR="00F02510">
        <w:t xml:space="preserve"> </w:t>
      </w:r>
      <w:r>
        <w:t xml:space="preserve">pārējos </w:t>
      </w:r>
      <w:r w:rsidR="00E0699A">
        <w:t xml:space="preserve">Kaitējuma atlīdzināšanas likuma 14.panta pirmajā daļā </w:t>
      </w:r>
      <w:r>
        <w:t>norādītos apstākļus</w:t>
      </w:r>
      <w:r w:rsidR="00F02510">
        <w:t xml:space="preserve">, tostarp </w:t>
      </w:r>
      <w:r>
        <w:t>konkrētās lieta</w:t>
      </w:r>
      <w:r w:rsidRPr="00E912F9">
        <w:t xml:space="preserve">s apstākļus, </w:t>
      </w:r>
      <w:r w:rsidR="00F02510">
        <w:t xml:space="preserve">piemēram, </w:t>
      </w:r>
      <w:r w:rsidRPr="00E912F9">
        <w:t>to, ka pieteicējam krimināllietas izskatīšanas laikā nebija liegts pildīt darba pienākumus un pieteicēj</w:t>
      </w:r>
      <w:r>
        <w:t>s</w:t>
      </w:r>
      <w:r w:rsidRPr="00E912F9">
        <w:t xml:space="preserve"> kā apsūdzē</w:t>
      </w:r>
      <w:r w:rsidR="008A1551">
        <w:t>tā</w:t>
      </w:r>
      <w:r w:rsidRPr="00E912F9">
        <w:t xml:space="preserve"> persona, pret kuru kriminālprocess tika izbeigts uz reabilitējoša pamata, un cietušie bija darba kolēģi, kuriem bija jāstrādā kopā</w:t>
      </w:r>
      <w:r>
        <w:t>.</w:t>
      </w:r>
    </w:p>
    <w:p w14:paraId="612DAAC8" w14:textId="66E23C3C" w:rsidR="00B77DC6" w:rsidRDefault="00B77DC6" w:rsidP="00412482">
      <w:pPr>
        <w:spacing w:line="276" w:lineRule="auto"/>
        <w:ind w:firstLine="720"/>
        <w:jc w:val="both"/>
      </w:pPr>
      <w:r>
        <w:t>Ievērojot minēto, Senāts nekonstatē, ka apgabaltiesa būtu pārkāpusi vienlīdzības principu, nosakot pieteicējam lielāku kaitējuma atlīdzinājumu salīdzinājumā ar citām personām.</w:t>
      </w:r>
    </w:p>
    <w:p w14:paraId="5CB36A34" w14:textId="77777777" w:rsidR="009D5F09" w:rsidRDefault="009D5F09" w:rsidP="00412482">
      <w:pPr>
        <w:spacing w:line="276" w:lineRule="auto"/>
        <w:ind w:firstLine="720"/>
        <w:jc w:val="both"/>
      </w:pPr>
    </w:p>
    <w:p w14:paraId="3D6D8E9B" w14:textId="50F08819" w:rsidR="009D5F09" w:rsidRDefault="009D5F09" w:rsidP="00412482">
      <w:pPr>
        <w:spacing w:line="276" w:lineRule="auto"/>
        <w:ind w:firstLine="720"/>
        <w:jc w:val="both"/>
      </w:pPr>
      <w:r>
        <w:t>[8] </w:t>
      </w:r>
      <w:r w:rsidR="00086FB0">
        <w:t>Apkopojot</w:t>
      </w:r>
      <w:r>
        <w:t xml:space="preserve"> minēto, Senāts atzīst, ka kasācijas sūdzības argumenti nenorāda uz tādām apgabaltiesas pieļautām tiesību normu piemērošanas kļūdām, kas radītu pamatu uzskatīt, ka apgabaltiesas sprieduma rezultāts ir nepareizs.</w:t>
      </w:r>
    </w:p>
    <w:p w14:paraId="32DFDEF0" w14:textId="00D7FD19" w:rsidR="00F02510" w:rsidRDefault="009D5F09" w:rsidP="00412482">
      <w:pPr>
        <w:spacing w:line="276" w:lineRule="auto"/>
        <w:ind w:firstLine="720"/>
        <w:jc w:val="both"/>
      </w:pPr>
      <w:r>
        <w:t xml:space="preserve">Līdz ar to apgabaltiesas spriedums </w:t>
      </w:r>
      <w:r w:rsidR="0090644A">
        <w:t xml:space="preserve">pārsūdzētajā daļā </w:t>
      </w:r>
      <w:r>
        <w:t>ir atstājams negrozīts, bet kasācijas sūdzība ir noraidāma.</w:t>
      </w:r>
    </w:p>
    <w:p w14:paraId="5EC4947A" w14:textId="77777777" w:rsidR="009D5F09" w:rsidRDefault="009D5F09" w:rsidP="00412482">
      <w:pPr>
        <w:spacing w:line="276" w:lineRule="auto"/>
        <w:ind w:firstLine="720"/>
        <w:jc w:val="both"/>
      </w:pPr>
    </w:p>
    <w:p w14:paraId="5496836E" w14:textId="21F3A627" w:rsidR="00E810BB" w:rsidRPr="00402239" w:rsidRDefault="00E810BB" w:rsidP="00412482">
      <w:pPr>
        <w:spacing w:line="276" w:lineRule="auto"/>
        <w:jc w:val="center"/>
        <w:outlineLvl w:val="0"/>
        <w:rPr>
          <w:b/>
        </w:rPr>
      </w:pPr>
      <w:r w:rsidRPr="00402239">
        <w:rPr>
          <w:b/>
        </w:rPr>
        <w:t>Rezolutīvā daļa</w:t>
      </w:r>
    </w:p>
    <w:p w14:paraId="2D3CF15F" w14:textId="77777777" w:rsidR="00E810BB" w:rsidRPr="00402239" w:rsidRDefault="00E810BB" w:rsidP="00412482">
      <w:pPr>
        <w:spacing w:line="276" w:lineRule="auto"/>
        <w:ind w:firstLine="720"/>
        <w:jc w:val="both"/>
        <w:rPr>
          <w:bCs/>
          <w:spacing w:val="70"/>
        </w:rPr>
      </w:pPr>
    </w:p>
    <w:p w14:paraId="5F3752D8" w14:textId="40B0A17E" w:rsidR="002E5A88" w:rsidRPr="003105DA" w:rsidRDefault="002E5A88" w:rsidP="00412482">
      <w:pPr>
        <w:shd w:val="clear" w:color="auto" w:fill="FFFFFF"/>
        <w:spacing w:line="276" w:lineRule="auto"/>
        <w:ind w:firstLine="720"/>
        <w:jc w:val="both"/>
        <w:rPr>
          <w:bCs/>
        </w:rPr>
      </w:pPr>
      <w:r w:rsidRPr="003105DA">
        <w:rPr>
          <w:bCs/>
        </w:rPr>
        <w:t xml:space="preserve">Pamatojoties uz Administratīvā procesa likuma 348.panta pirmās daļas </w:t>
      </w:r>
      <w:r w:rsidR="008D133E">
        <w:rPr>
          <w:bCs/>
        </w:rPr>
        <w:t>1</w:t>
      </w:r>
      <w:r w:rsidRPr="003105DA">
        <w:rPr>
          <w:bCs/>
        </w:rPr>
        <w:t>.punktu un 351.pantu, Senāts</w:t>
      </w:r>
    </w:p>
    <w:p w14:paraId="68720DC5" w14:textId="77777777" w:rsidR="002E5A88" w:rsidRPr="009B5A28" w:rsidRDefault="002E5A88" w:rsidP="00412482">
      <w:pPr>
        <w:shd w:val="clear" w:color="auto" w:fill="FFFFFF"/>
        <w:spacing w:line="276" w:lineRule="auto"/>
        <w:ind w:firstLine="720"/>
        <w:jc w:val="both"/>
        <w:rPr>
          <w:rFonts w:asciiTheme="majorBidi" w:hAnsiTheme="majorBidi" w:cstheme="majorBidi"/>
        </w:rPr>
      </w:pPr>
    </w:p>
    <w:p w14:paraId="7A872E95" w14:textId="77777777" w:rsidR="002E5A88" w:rsidRPr="00A53E41" w:rsidRDefault="002E5A88" w:rsidP="00412482">
      <w:pPr>
        <w:shd w:val="clear" w:color="auto" w:fill="FFFFFF"/>
        <w:spacing w:line="276" w:lineRule="auto"/>
        <w:jc w:val="center"/>
        <w:rPr>
          <w:b/>
        </w:rPr>
      </w:pPr>
      <w:r w:rsidRPr="00A53E41">
        <w:rPr>
          <w:b/>
        </w:rPr>
        <w:t>nosprieda</w:t>
      </w:r>
    </w:p>
    <w:p w14:paraId="2F12F92D" w14:textId="77777777" w:rsidR="002E5A88" w:rsidRDefault="002E5A88" w:rsidP="00412482">
      <w:pPr>
        <w:spacing w:line="276" w:lineRule="auto"/>
        <w:ind w:firstLine="720"/>
      </w:pPr>
    </w:p>
    <w:p w14:paraId="35890742" w14:textId="62153494" w:rsidR="008D133E" w:rsidRDefault="002E5A88" w:rsidP="00412482">
      <w:pPr>
        <w:spacing w:line="276" w:lineRule="auto"/>
        <w:ind w:firstLine="720"/>
        <w:jc w:val="both"/>
        <w:rPr>
          <w:rFonts w:asciiTheme="majorBidi" w:hAnsiTheme="majorBidi" w:cstheme="majorBidi"/>
        </w:rPr>
      </w:pPr>
      <w:r>
        <w:rPr>
          <w:rFonts w:asciiTheme="majorBidi" w:hAnsiTheme="majorBidi" w:cstheme="majorBidi"/>
        </w:rPr>
        <w:t>a</w:t>
      </w:r>
      <w:r w:rsidRPr="00C81A7E">
        <w:rPr>
          <w:rFonts w:asciiTheme="majorBidi" w:hAnsiTheme="majorBidi" w:cstheme="majorBidi"/>
        </w:rPr>
        <w:t>t</w:t>
      </w:r>
      <w:r w:rsidR="008D133E">
        <w:rPr>
          <w:rFonts w:asciiTheme="majorBidi" w:hAnsiTheme="majorBidi" w:cstheme="majorBidi"/>
        </w:rPr>
        <w:t xml:space="preserve">stāt negrozītu </w:t>
      </w:r>
      <w:r w:rsidRPr="00C81A7E">
        <w:rPr>
          <w:rFonts w:asciiTheme="majorBidi" w:hAnsiTheme="majorBidi" w:cstheme="majorBidi"/>
        </w:rPr>
        <w:t xml:space="preserve">Administratīvās apgabaltiesas </w:t>
      </w:r>
      <w:r w:rsidRPr="004D684D">
        <w:rPr>
          <w:rFonts w:asciiTheme="majorBidi" w:hAnsiTheme="majorBidi" w:cstheme="majorBidi"/>
        </w:rPr>
        <w:t>202</w:t>
      </w:r>
      <w:r w:rsidR="008D133E">
        <w:rPr>
          <w:rFonts w:asciiTheme="majorBidi" w:hAnsiTheme="majorBidi" w:cstheme="majorBidi"/>
        </w:rPr>
        <w:t>4</w:t>
      </w:r>
      <w:r w:rsidRPr="004D684D">
        <w:rPr>
          <w:rFonts w:asciiTheme="majorBidi" w:hAnsiTheme="majorBidi" w:cstheme="majorBidi"/>
        </w:rPr>
        <w:t xml:space="preserve">.gada </w:t>
      </w:r>
      <w:r w:rsidR="00C97F1E">
        <w:rPr>
          <w:rFonts w:asciiTheme="majorBidi" w:hAnsiTheme="majorBidi" w:cstheme="majorBidi"/>
        </w:rPr>
        <w:t>8.</w:t>
      </w:r>
      <w:r w:rsidR="008D133E">
        <w:rPr>
          <w:rFonts w:asciiTheme="majorBidi" w:hAnsiTheme="majorBidi" w:cstheme="majorBidi"/>
        </w:rPr>
        <w:t xml:space="preserve">janvāra </w:t>
      </w:r>
      <w:r>
        <w:rPr>
          <w:rFonts w:asciiTheme="majorBidi" w:hAnsiTheme="majorBidi" w:cstheme="majorBidi"/>
        </w:rPr>
        <w:t>s</w:t>
      </w:r>
      <w:r w:rsidRPr="00C81A7E">
        <w:rPr>
          <w:rFonts w:asciiTheme="majorBidi" w:hAnsiTheme="majorBidi" w:cstheme="majorBidi"/>
        </w:rPr>
        <w:t>priedumu</w:t>
      </w:r>
      <w:r w:rsidR="0090644A">
        <w:rPr>
          <w:rFonts w:asciiTheme="majorBidi" w:hAnsiTheme="majorBidi" w:cstheme="majorBidi"/>
        </w:rPr>
        <w:t xml:space="preserve"> daļā</w:t>
      </w:r>
      <w:r w:rsidR="008D133E">
        <w:rPr>
          <w:rFonts w:asciiTheme="majorBidi" w:hAnsiTheme="majorBidi" w:cstheme="majorBidi"/>
        </w:rPr>
        <w:t>, bet Tieslietu ministrijas kasācijas sūdzību noraidīt.</w:t>
      </w:r>
    </w:p>
    <w:p w14:paraId="0AF6EC9D" w14:textId="77777777" w:rsidR="002E5A88" w:rsidRPr="00793346" w:rsidRDefault="002E5A88" w:rsidP="00412482">
      <w:pPr>
        <w:spacing w:line="276" w:lineRule="auto"/>
        <w:ind w:firstLine="720"/>
        <w:rPr>
          <w:bCs/>
        </w:rPr>
      </w:pPr>
    </w:p>
    <w:p w14:paraId="4D9F81B0" w14:textId="1150A0DF" w:rsidR="00E810BB" w:rsidRPr="00402239" w:rsidRDefault="00E810BB" w:rsidP="00412482">
      <w:pPr>
        <w:spacing w:line="276" w:lineRule="auto"/>
        <w:ind w:firstLine="720"/>
        <w:jc w:val="both"/>
      </w:pPr>
      <w:r w:rsidRPr="00402239">
        <w:t>Spriedums nav pārsūdzams.</w:t>
      </w:r>
    </w:p>
    <w:p w14:paraId="7B3F1187" w14:textId="0B0374D6" w:rsidR="00E810BB" w:rsidRPr="00402239" w:rsidRDefault="00E810BB" w:rsidP="008038FB">
      <w:pPr>
        <w:tabs>
          <w:tab w:val="left" w:pos="540"/>
          <w:tab w:val="left" w:pos="6660"/>
        </w:tabs>
        <w:spacing w:line="276" w:lineRule="auto"/>
        <w:ind w:firstLine="720"/>
        <w:jc w:val="both"/>
      </w:pPr>
    </w:p>
    <w:p w14:paraId="0A2B36C3" w14:textId="77777777" w:rsidR="008038FB" w:rsidRPr="00614C73" w:rsidRDefault="008038FB" w:rsidP="006B3AED">
      <w:pPr>
        <w:spacing w:line="276" w:lineRule="auto"/>
        <w:jc w:val="both"/>
        <w:rPr>
          <w:color w:val="FFFFFF" w:themeColor="background1"/>
        </w:rPr>
      </w:pPr>
    </w:p>
    <w:sectPr w:rsidR="008038FB" w:rsidRPr="00614C73" w:rsidSect="008038FB">
      <w:footerReference w:type="default" r:id="rId9"/>
      <w:pgSz w:w="11906" w:h="16838" w:code="9"/>
      <w:pgMar w:top="1134" w:right="170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1C79" w14:textId="77777777" w:rsidR="005A27A9" w:rsidRDefault="005A27A9" w:rsidP="003047F5">
      <w:r>
        <w:separator/>
      </w:r>
    </w:p>
  </w:endnote>
  <w:endnote w:type="continuationSeparator" w:id="0">
    <w:p w14:paraId="0A89A2A1" w14:textId="77777777" w:rsidR="005A27A9" w:rsidRDefault="005A27A9" w:rsidP="003047F5">
      <w:r>
        <w:continuationSeparator/>
      </w:r>
    </w:p>
  </w:endnote>
  <w:endnote w:type="continuationNotice" w:id="1">
    <w:p w14:paraId="3209F1D3" w14:textId="77777777" w:rsidR="005A27A9" w:rsidRDefault="005A2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664AA2E5" w:rsidR="00F04C5E" w:rsidRPr="008038FB" w:rsidRDefault="00F04C5E" w:rsidP="00F43FAD">
    <w:pPr>
      <w:pStyle w:val="Footer"/>
      <w:tabs>
        <w:tab w:val="clear" w:pos="4153"/>
        <w:tab w:val="clear" w:pos="8306"/>
      </w:tabs>
      <w:jc w:val="center"/>
      <w:rPr>
        <w:sz w:val="20"/>
        <w:szCs w:val="20"/>
      </w:rPr>
    </w:pPr>
    <w:r w:rsidRPr="008038FB">
      <w:rPr>
        <w:rStyle w:val="PageNumber"/>
        <w:sz w:val="20"/>
        <w:szCs w:val="20"/>
      </w:rPr>
      <w:fldChar w:fldCharType="begin"/>
    </w:r>
    <w:r w:rsidRPr="008038FB">
      <w:rPr>
        <w:rStyle w:val="PageNumber"/>
        <w:sz w:val="20"/>
        <w:szCs w:val="20"/>
      </w:rPr>
      <w:instrText xml:space="preserve">PAGE  </w:instrText>
    </w:r>
    <w:r w:rsidRPr="008038FB">
      <w:rPr>
        <w:rStyle w:val="PageNumber"/>
        <w:sz w:val="20"/>
        <w:szCs w:val="20"/>
      </w:rPr>
      <w:fldChar w:fldCharType="separate"/>
    </w:r>
    <w:r w:rsidR="004F5DD6" w:rsidRPr="008038FB">
      <w:rPr>
        <w:rStyle w:val="PageNumber"/>
        <w:noProof/>
        <w:sz w:val="20"/>
        <w:szCs w:val="20"/>
      </w:rPr>
      <w:t>5</w:t>
    </w:r>
    <w:r w:rsidRPr="008038FB">
      <w:rPr>
        <w:rStyle w:val="PageNumber"/>
        <w:sz w:val="20"/>
        <w:szCs w:val="20"/>
      </w:rPr>
      <w:fldChar w:fldCharType="end"/>
    </w:r>
    <w:r w:rsidRPr="008038FB">
      <w:rPr>
        <w:rStyle w:val="PageNumber"/>
        <w:sz w:val="20"/>
        <w:szCs w:val="20"/>
      </w:rPr>
      <w:t xml:space="preserve"> no </w:t>
    </w:r>
    <w:r w:rsidRPr="008038FB">
      <w:rPr>
        <w:rStyle w:val="PageNumber"/>
        <w:noProof/>
        <w:sz w:val="20"/>
        <w:szCs w:val="20"/>
      </w:rPr>
      <w:fldChar w:fldCharType="begin"/>
    </w:r>
    <w:r w:rsidRPr="008038FB">
      <w:rPr>
        <w:rStyle w:val="PageNumber"/>
        <w:noProof/>
        <w:sz w:val="20"/>
        <w:szCs w:val="20"/>
      </w:rPr>
      <w:instrText xml:space="preserve"> SECTIONPAGES   \* MERGEFORMAT </w:instrText>
    </w:r>
    <w:r w:rsidRPr="008038FB">
      <w:rPr>
        <w:rStyle w:val="PageNumber"/>
        <w:noProof/>
        <w:sz w:val="20"/>
        <w:szCs w:val="20"/>
      </w:rPr>
      <w:fldChar w:fldCharType="separate"/>
    </w:r>
    <w:r w:rsidR="005A27A9">
      <w:rPr>
        <w:rStyle w:val="PageNumber"/>
        <w:noProof/>
        <w:sz w:val="20"/>
        <w:szCs w:val="20"/>
      </w:rPr>
      <w:t>1</w:t>
    </w:r>
    <w:r w:rsidRPr="008038FB">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261C" w14:textId="77777777" w:rsidR="005A27A9" w:rsidRDefault="005A27A9" w:rsidP="003047F5">
      <w:r>
        <w:separator/>
      </w:r>
    </w:p>
  </w:footnote>
  <w:footnote w:type="continuationSeparator" w:id="0">
    <w:p w14:paraId="46FE506D" w14:textId="77777777" w:rsidR="005A27A9" w:rsidRDefault="005A27A9" w:rsidP="003047F5">
      <w:r>
        <w:continuationSeparator/>
      </w:r>
    </w:p>
  </w:footnote>
  <w:footnote w:type="continuationNotice" w:id="1">
    <w:p w14:paraId="76DC0F76" w14:textId="77777777" w:rsidR="005A27A9" w:rsidRDefault="005A27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6875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3021705"/>
    <w:multiLevelType w:val="hybridMultilevel"/>
    <w:tmpl w:val="D1F8A270"/>
    <w:lvl w:ilvl="0" w:tplc="5F2691E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7B1175D"/>
    <w:multiLevelType w:val="hybridMultilevel"/>
    <w:tmpl w:val="15DE6D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FB8680A"/>
    <w:multiLevelType w:val="hybridMultilevel"/>
    <w:tmpl w:val="3B966CA4"/>
    <w:lvl w:ilvl="0" w:tplc="51E424D2">
      <w:start w:val="1"/>
      <w:numFmt w:val="decimal"/>
      <w:lvlText w:val="%1."/>
      <w:lvlJc w:val="left"/>
      <w:pPr>
        <w:tabs>
          <w:tab w:val="num" w:pos="720"/>
        </w:tabs>
        <w:ind w:left="720" w:hanging="360"/>
      </w:pPr>
    </w:lvl>
    <w:lvl w:ilvl="1" w:tplc="D1A429BE">
      <w:start w:val="1"/>
      <w:numFmt w:val="decimal"/>
      <w:lvlText w:val="%2."/>
      <w:lvlJc w:val="left"/>
      <w:pPr>
        <w:tabs>
          <w:tab w:val="num" w:pos="1440"/>
        </w:tabs>
        <w:ind w:left="1440" w:hanging="360"/>
      </w:pPr>
    </w:lvl>
    <w:lvl w:ilvl="2" w:tplc="A7CE1CD8">
      <w:start w:val="1"/>
      <w:numFmt w:val="decimal"/>
      <w:lvlText w:val="%3."/>
      <w:lvlJc w:val="left"/>
      <w:pPr>
        <w:tabs>
          <w:tab w:val="num" w:pos="2160"/>
        </w:tabs>
        <w:ind w:left="2160" w:hanging="360"/>
      </w:pPr>
    </w:lvl>
    <w:lvl w:ilvl="3" w:tplc="02FAA6CC">
      <w:start w:val="1"/>
      <w:numFmt w:val="decimal"/>
      <w:lvlText w:val="%4."/>
      <w:lvlJc w:val="left"/>
      <w:pPr>
        <w:tabs>
          <w:tab w:val="num" w:pos="2880"/>
        </w:tabs>
        <w:ind w:left="2880" w:hanging="360"/>
      </w:pPr>
    </w:lvl>
    <w:lvl w:ilvl="4" w:tplc="69E2855E">
      <w:start w:val="1"/>
      <w:numFmt w:val="decimal"/>
      <w:lvlText w:val="%5."/>
      <w:lvlJc w:val="left"/>
      <w:pPr>
        <w:tabs>
          <w:tab w:val="num" w:pos="3600"/>
        </w:tabs>
        <w:ind w:left="3600" w:hanging="360"/>
      </w:pPr>
    </w:lvl>
    <w:lvl w:ilvl="5" w:tplc="F6303948">
      <w:start w:val="1"/>
      <w:numFmt w:val="decimal"/>
      <w:lvlText w:val="%6."/>
      <w:lvlJc w:val="left"/>
      <w:pPr>
        <w:tabs>
          <w:tab w:val="num" w:pos="4320"/>
        </w:tabs>
        <w:ind w:left="4320" w:hanging="360"/>
      </w:pPr>
    </w:lvl>
    <w:lvl w:ilvl="6" w:tplc="0428D612">
      <w:start w:val="1"/>
      <w:numFmt w:val="decimal"/>
      <w:lvlText w:val="%7."/>
      <w:lvlJc w:val="left"/>
      <w:pPr>
        <w:tabs>
          <w:tab w:val="num" w:pos="5040"/>
        </w:tabs>
        <w:ind w:left="5040" w:hanging="360"/>
      </w:pPr>
    </w:lvl>
    <w:lvl w:ilvl="7" w:tplc="079C2EA4">
      <w:start w:val="1"/>
      <w:numFmt w:val="decimal"/>
      <w:lvlText w:val="%8."/>
      <w:lvlJc w:val="left"/>
      <w:pPr>
        <w:tabs>
          <w:tab w:val="num" w:pos="5760"/>
        </w:tabs>
        <w:ind w:left="5760" w:hanging="360"/>
      </w:pPr>
    </w:lvl>
    <w:lvl w:ilvl="8" w:tplc="AE6C02AC">
      <w:start w:val="1"/>
      <w:numFmt w:val="decimal"/>
      <w:lvlText w:val="%9."/>
      <w:lvlJc w:val="left"/>
      <w:pPr>
        <w:tabs>
          <w:tab w:val="num" w:pos="6480"/>
        </w:tabs>
        <w:ind w:left="6480" w:hanging="360"/>
      </w:pPr>
    </w:lvl>
  </w:abstractNum>
  <w:abstractNum w:abstractNumId="10"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31F6A7C"/>
    <w:multiLevelType w:val="hybridMultilevel"/>
    <w:tmpl w:val="61DEF27E"/>
    <w:lvl w:ilvl="0" w:tplc="01DEEC2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C05D80"/>
    <w:multiLevelType w:val="hybridMultilevel"/>
    <w:tmpl w:val="A16A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5" w15:restartNumberingAfterBreak="0">
    <w:nsid w:val="4B6D5BAE"/>
    <w:multiLevelType w:val="multilevel"/>
    <w:tmpl w:val="D29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1559F"/>
    <w:multiLevelType w:val="hybridMultilevel"/>
    <w:tmpl w:val="6C405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5C2453D"/>
    <w:multiLevelType w:val="hybridMultilevel"/>
    <w:tmpl w:val="CCCA10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658622D0"/>
    <w:multiLevelType w:val="hybridMultilevel"/>
    <w:tmpl w:val="6B287DA2"/>
    <w:lvl w:ilvl="0" w:tplc="2ED4D9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C137C"/>
    <w:multiLevelType w:val="hybridMultilevel"/>
    <w:tmpl w:val="5E042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A2E38A5"/>
    <w:multiLevelType w:val="hybridMultilevel"/>
    <w:tmpl w:val="132CEDE2"/>
    <w:lvl w:ilvl="0" w:tplc="0BF03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27"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16cid:durableId="624314881">
    <w:abstractNumId w:val="17"/>
  </w:num>
  <w:num w:numId="2" w16cid:durableId="540290198">
    <w:abstractNumId w:val="27"/>
  </w:num>
  <w:num w:numId="3" w16cid:durableId="710153867">
    <w:abstractNumId w:val="6"/>
  </w:num>
  <w:num w:numId="4" w16cid:durableId="2012833901">
    <w:abstractNumId w:val="21"/>
  </w:num>
  <w:num w:numId="5" w16cid:durableId="283509930">
    <w:abstractNumId w:val="26"/>
  </w:num>
  <w:num w:numId="6" w16cid:durableId="1209608576">
    <w:abstractNumId w:val="1"/>
  </w:num>
  <w:num w:numId="7" w16cid:durableId="2123257998">
    <w:abstractNumId w:val="4"/>
  </w:num>
  <w:num w:numId="8" w16cid:durableId="382754259">
    <w:abstractNumId w:val="3"/>
  </w:num>
  <w:num w:numId="9" w16cid:durableId="134416562">
    <w:abstractNumId w:val="18"/>
  </w:num>
  <w:num w:numId="10" w16cid:durableId="1787045302">
    <w:abstractNumId w:val="24"/>
  </w:num>
  <w:num w:numId="11" w16cid:durableId="232084307">
    <w:abstractNumId w:val="8"/>
  </w:num>
  <w:num w:numId="12" w16cid:durableId="1768967165">
    <w:abstractNumId w:val="20"/>
  </w:num>
  <w:num w:numId="13" w16cid:durableId="487552053">
    <w:abstractNumId w:val="10"/>
  </w:num>
  <w:num w:numId="14" w16cid:durableId="1803695397">
    <w:abstractNumId w:val="5"/>
  </w:num>
  <w:num w:numId="15" w16cid:durableId="568733421">
    <w:abstractNumId w:val="12"/>
  </w:num>
  <w:num w:numId="16" w16cid:durableId="816185401">
    <w:abstractNumId w:val="14"/>
  </w:num>
  <w:num w:numId="17" w16cid:durableId="283536104">
    <w:abstractNumId w:val="25"/>
  </w:num>
  <w:num w:numId="18" w16cid:durableId="662511728">
    <w:abstractNumId w:val="15"/>
  </w:num>
  <w:num w:numId="19" w16cid:durableId="1230265403">
    <w:abstractNumId w:val="11"/>
  </w:num>
  <w:num w:numId="20" w16cid:durableId="1990790850">
    <w:abstractNumId w:val="0"/>
  </w:num>
  <w:num w:numId="21" w16cid:durableId="230890913">
    <w:abstractNumId w:val="23"/>
  </w:num>
  <w:num w:numId="22" w16cid:durableId="1956060943">
    <w:abstractNumId w:val="2"/>
  </w:num>
  <w:num w:numId="23" w16cid:durableId="1427769943">
    <w:abstractNumId w:val="19"/>
  </w:num>
  <w:num w:numId="24" w16cid:durableId="7992259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3143100">
    <w:abstractNumId w:val="22"/>
  </w:num>
  <w:num w:numId="26" w16cid:durableId="222061719">
    <w:abstractNumId w:val="13"/>
  </w:num>
  <w:num w:numId="27" w16cid:durableId="97482487">
    <w:abstractNumId w:val="16"/>
  </w:num>
  <w:num w:numId="28" w16cid:durableId="1099374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E"/>
    <w:rsid w:val="00000666"/>
    <w:rsid w:val="000006C4"/>
    <w:rsid w:val="000011DC"/>
    <w:rsid w:val="00002CB4"/>
    <w:rsid w:val="000040D9"/>
    <w:rsid w:val="000042E8"/>
    <w:rsid w:val="00004BB6"/>
    <w:rsid w:val="00004F8D"/>
    <w:rsid w:val="00005475"/>
    <w:rsid w:val="00005B18"/>
    <w:rsid w:val="00006CD3"/>
    <w:rsid w:val="00007C8F"/>
    <w:rsid w:val="0001066B"/>
    <w:rsid w:val="00010F0E"/>
    <w:rsid w:val="0001237A"/>
    <w:rsid w:val="00012772"/>
    <w:rsid w:val="00013A68"/>
    <w:rsid w:val="00013C22"/>
    <w:rsid w:val="0001536D"/>
    <w:rsid w:val="00016041"/>
    <w:rsid w:val="00017E8B"/>
    <w:rsid w:val="00020001"/>
    <w:rsid w:val="0002115C"/>
    <w:rsid w:val="00025832"/>
    <w:rsid w:val="00026114"/>
    <w:rsid w:val="00026E0C"/>
    <w:rsid w:val="00030BF9"/>
    <w:rsid w:val="0003163C"/>
    <w:rsid w:val="000348D9"/>
    <w:rsid w:val="00034AC1"/>
    <w:rsid w:val="0003571D"/>
    <w:rsid w:val="00036275"/>
    <w:rsid w:val="00041CB3"/>
    <w:rsid w:val="00042FD2"/>
    <w:rsid w:val="000443F3"/>
    <w:rsid w:val="00044D6A"/>
    <w:rsid w:val="000468FE"/>
    <w:rsid w:val="0005000E"/>
    <w:rsid w:val="00050209"/>
    <w:rsid w:val="00051933"/>
    <w:rsid w:val="00055F76"/>
    <w:rsid w:val="00057384"/>
    <w:rsid w:val="00060829"/>
    <w:rsid w:val="000615AE"/>
    <w:rsid w:val="00061A0B"/>
    <w:rsid w:val="00062E88"/>
    <w:rsid w:val="0006490C"/>
    <w:rsid w:val="00065396"/>
    <w:rsid w:val="00066975"/>
    <w:rsid w:val="00067F52"/>
    <w:rsid w:val="000708AF"/>
    <w:rsid w:val="000716AB"/>
    <w:rsid w:val="00072833"/>
    <w:rsid w:val="000743D0"/>
    <w:rsid w:val="00076217"/>
    <w:rsid w:val="000768A8"/>
    <w:rsid w:val="00076B47"/>
    <w:rsid w:val="00076BB3"/>
    <w:rsid w:val="0008164A"/>
    <w:rsid w:val="00084B43"/>
    <w:rsid w:val="000858AA"/>
    <w:rsid w:val="000862CC"/>
    <w:rsid w:val="000867C6"/>
    <w:rsid w:val="00086FB0"/>
    <w:rsid w:val="00087EEE"/>
    <w:rsid w:val="00090FB5"/>
    <w:rsid w:val="00092D2B"/>
    <w:rsid w:val="00093B45"/>
    <w:rsid w:val="00094E24"/>
    <w:rsid w:val="00096544"/>
    <w:rsid w:val="000966B4"/>
    <w:rsid w:val="00096B2E"/>
    <w:rsid w:val="00097227"/>
    <w:rsid w:val="000A09CD"/>
    <w:rsid w:val="000A1825"/>
    <w:rsid w:val="000A39FD"/>
    <w:rsid w:val="000A5776"/>
    <w:rsid w:val="000A5D18"/>
    <w:rsid w:val="000B045F"/>
    <w:rsid w:val="000B0A3A"/>
    <w:rsid w:val="000B0D96"/>
    <w:rsid w:val="000B125B"/>
    <w:rsid w:val="000B1CE7"/>
    <w:rsid w:val="000B3202"/>
    <w:rsid w:val="000B4480"/>
    <w:rsid w:val="000B60A9"/>
    <w:rsid w:val="000C38AE"/>
    <w:rsid w:val="000C4697"/>
    <w:rsid w:val="000C476C"/>
    <w:rsid w:val="000C4F62"/>
    <w:rsid w:val="000C5018"/>
    <w:rsid w:val="000C5881"/>
    <w:rsid w:val="000C59E3"/>
    <w:rsid w:val="000C677A"/>
    <w:rsid w:val="000C6891"/>
    <w:rsid w:val="000C7500"/>
    <w:rsid w:val="000C7BDB"/>
    <w:rsid w:val="000D2253"/>
    <w:rsid w:val="000D258F"/>
    <w:rsid w:val="000D3BB1"/>
    <w:rsid w:val="000D5294"/>
    <w:rsid w:val="000E0402"/>
    <w:rsid w:val="000E1121"/>
    <w:rsid w:val="000E20A3"/>
    <w:rsid w:val="000E2B19"/>
    <w:rsid w:val="000E2E12"/>
    <w:rsid w:val="000E3569"/>
    <w:rsid w:val="000E36CB"/>
    <w:rsid w:val="000E6B16"/>
    <w:rsid w:val="000E70BE"/>
    <w:rsid w:val="000E7C3F"/>
    <w:rsid w:val="000E7CE9"/>
    <w:rsid w:val="000F17B5"/>
    <w:rsid w:val="000F3FE3"/>
    <w:rsid w:val="000F5AFA"/>
    <w:rsid w:val="000F6B0B"/>
    <w:rsid w:val="000F77B3"/>
    <w:rsid w:val="000F7FDC"/>
    <w:rsid w:val="00102A78"/>
    <w:rsid w:val="00102EE3"/>
    <w:rsid w:val="001035C0"/>
    <w:rsid w:val="00104B23"/>
    <w:rsid w:val="00104B52"/>
    <w:rsid w:val="00105686"/>
    <w:rsid w:val="001064D3"/>
    <w:rsid w:val="00110110"/>
    <w:rsid w:val="001108D8"/>
    <w:rsid w:val="00110C97"/>
    <w:rsid w:val="00111F73"/>
    <w:rsid w:val="00112095"/>
    <w:rsid w:val="00112BD8"/>
    <w:rsid w:val="00113752"/>
    <w:rsid w:val="00120BED"/>
    <w:rsid w:val="001238CF"/>
    <w:rsid w:val="001250F5"/>
    <w:rsid w:val="00125821"/>
    <w:rsid w:val="00125DF7"/>
    <w:rsid w:val="00127500"/>
    <w:rsid w:val="00127562"/>
    <w:rsid w:val="001303E0"/>
    <w:rsid w:val="00131AA5"/>
    <w:rsid w:val="00131B3E"/>
    <w:rsid w:val="00131E1A"/>
    <w:rsid w:val="0013210C"/>
    <w:rsid w:val="00132869"/>
    <w:rsid w:val="00134406"/>
    <w:rsid w:val="00134E98"/>
    <w:rsid w:val="0014146C"/>
    <w:rsid w:val="00141A63"/>
    <w:rsid w:val="00141B66"/>
    <w:rsid w:val="00141BEF"/>
    <w:rsid w:val="001421F2"/>
    <w:rsid w:val="00143ED8"/>
    <w:rsid w:val="00144452"/>
    <w:rsid w:val="00144CB6"/>
    <w:rsid w:val="001500E6"/>
    <w:rsid w:val="001503DA"/>
    <w:rsid w:val="0015174D"/>
    <w:rsid w:val="001525CA"/>
    <w:rsid w:val="00152687"/>
    <w:rsid w:val="001546D2"/>
    <w:rsid w:val="00156098"/>
    <w:rsid w:val="00157679"/>
    <w:rsid w:val="00161B7C"/>
    <w:rsid w:val="001623AC"/>
    <w:rsid w:val="00162E38"/>
    <w:rsid w:val="0016381F"/>
    <w:rsid w:val="00163AFF"/>
    <w:rsid w:val="001646E9"/>
    <w:rsid w:val="00165463"/>
    <w:rsid w:val="001656DE"/>
    <w:rsid w:val="00165B0E"/>
    <w:rsid w:val="00166A7E"/>
    <w:rsid w:val="001670F6"/>
    <w:rsid w:val="00167961"/>
    <w:rsid w:val="00167B0D"/>
    <w:rsid w:val="00170F02"/>
    <w:rsid w:val="001712EB"/>
    <w:rsid w:val="001717C2"/>
    <w:rsid w:val="0017397C"/>
    <w:rsid w:val="00174E5B"/>
    <w:rsid w:val="00175061"/>
    <w:rsid w:val="0017630D"/>
    <w:rsid w:val="00177A86"/>
    <w:rsid w:val="00181387"/>
    <w:rsid w:val="00182B65"/>
    <w:rsid w:val="00183305"/>
    <w:rsid w:val="001846EB"/>
    <w:rsid w:val="00184D3E"/>
    <w:rsid w:val="00184EE9"/>
    <w:rsid w:val="00185678"/>
    <w:rsid w:val="00185F09"/>
    <w:rsid w:val="001877F7"/>
    <w:rsid w:val="001879DD"/>
    <w:rsid w:val="001906F5"/>
    <w:rsid w:val="00190F55"/>
    <w:rsid w:val="00191B3A"/>
    <w:rsid w:val="00191B4B"/>
    <w:rsid w:val="00191E73"/>
    <w:rsid w:val="0019238A"/>
    <w:rsid w:val="0019247B"/>
    <w:rsid w:val="00192ECB"/>
    <w:rsid w:val="0019350D"/>
    <w:rsid w:val="00193FCC"/>
    <w:rsid w:val="00197792"/>
    <w:rsid w:val="001A0495"/>
    <w:rsid w:val="001A0F87"/>
    <w:rsid w:val="001A0FFA"/>
    <w:rsid w:val="001A1252"/>
    <w:rsid w:val="001A17DE"/>
    <w:rsid w:val="001A234B"/>
    <w:rsid w:val="001A4574"/>
    <w:rsid w:val="001A4FB0"/>
    <w:rsid w:val="001A51B6"/>
    <w:rsid w:val="001A6E60"/>
    <w:rsid w:val="001B0447"/>
    <w:rsid w:val="001B061B"/>
    <w:rsid w:val="001B19AC"/>
    <w:rsid w:val="001B2223"/>
    <w:rsid w:val="001B252A"/>
    <w:rsid w:val="001B366F"/>
    <w:rsid w:val="001B3E7F"/>
    <w:rsid w:val="001B3F36"/>
    <w:rsid w:val="001B6FAD"/>
    <w:rsid w:val="001B748C"/>
    <w:rsid w:val="001C0136"/>
    <w:rsid w:val="001C040A"/>
    <w:rsid w:val="001C21D5"/>
    <w:rsid w:val="001C3457"/>
    <w:rsid w:val="001C51B2"/>
    <w:rsid w:val="001C564E"/>
    <w:rsid w:val="001C5F57"/>
    <w:rsid w:val="001C6C90"/>
    <w:rsid w:val="001C7072"/>
    <w:rsid w:val="001D0DF4"/>
    <w:rsid w:val="001D1A20"/>
    <w:rsid w:val="001D21D9"/>
    <w:rsid w:val="001D26B9"/>
    <w:rsid w:val="001D3BF4"/>
    <w:rsid w:val="001D4EC6"/>
    <w:rsid w:val="001D5040"/>
    <w:rsid w:val="001D5835"/>
    <w:rsid w:val="001D7C30"/>
    <w:rsid w:val="001E0502"/>
    <w:rsid w:val="001E0B8F"/>
    <w:rsid w:val="001E1A53"/>
    <w:rsid w:val="001E3840"/>
    <w:rsid w:val="001E39EB"/>
    <w:rsid w:val="001E3A09"/>
    <w:rsid w:val="001E574F"/>
    <w:rsid w:val="001E62EE"/>
    <w:rsid w:val="001E665A"/>
    <w:rsid w:val="001E71AA"/>
    <w:rsid w:val="001F0D7E"/>
    <w:rsid w:val="001F3ACD"/>
    <w:rsid w:val="001F48FF"/>
    <w:rsid w:val="001F50AB"/>
    <w:rsid w:val="001F5A92"/>
    <w:rsid w:val="001F5CDA"/>
    <w:rsid w:val="001F6359"/>
    <w:rsid w:val="001F6A8B"/>
    <w:rsid w:val="001F7731"/>
    <w:rsid w:val="0020035E"/>
    <w:rsid w:val="00202AFF"/>
    <w:rsid w:val="002045C9"/>
    <w:rsid w:val="0020516C"/>
    <w:rsid w:val="002064AB"/>
    <w:rsid w:val="00207E2B"/>
    <w:rsid w:val="002111AD"/>
    <w:rsid w:val="002132CB"/>
    <w:rsid w:val="0021608E"/>
    <w:rsid w:val="00216E3B"/>
    <w:rsid w:val="00216FF4"/>
    <w:rsid w:val="00221600"/>
    <w:rsid w:val="00222818"/>
    <w:rsid w:val="0022343D"/>
    <w:rsid w:val="00224E3B"/>
    <w:rsid w:val="00225038"/>
    <w:rsid w:val="002313C0"/>
    <w:rsid w:val="002328A8"/>
    <w:rsid w:val="002352D8"/>
    <w:rsid w:val="002358D1"/>
    <w:rsid w:val="00235CE9"/>
    <w:rsid w:val="00236E52"/>
    <w:rsid w:val="00237F92"/>
    <w:rsid w:val="002404E9"/>
    <w:rsid w:val="002404EA"/>
    <w:rsid w:val="00240832"/>
    <w:rsid w:val="00242283"/>
    <w:rsid w:val="00242FE8"/>
    <w:rsid w:val="00245435"/>
    <w:rsid w:val="00246094"/>
    <w:rsid w:val="00246CF4"/>
    <w:rsid w:val="00250C12"/>
    <w:rsid w:val="00251061"/>
    <w:rsid w:val="002512C9"/>
    <w:rsid w:val="002512DE"/>
    <w:rsid w:val="00251578"/>
    <w:rsid w:val="002542BB"/>
    <w:rsid w:val="00254371"/>
    <w:rsid w:val="0025458C"/>
    <w:rsid w:val="00254CE6"/>
    <w:rsid w:val="0025596E"/>
    <w:rsid w:val="002568B6"/>
    <w:rsid w:val="002578A6"/>
    <w:rsid w:val="00257EF9"/>
    <w:rsid w:val="002608B1"/>
    <w:rsid w:val="00260E6E"/>
    <w:rsid w:val="00262B13"/>
    <w:rsid w:val="00262ED8"/>
    <w:rsid w:val="0026326A"/>
    <w:rsid w:val="00263A5C"/>
    <w:rsid w:val="00265F66"/>
    <w:rsid w:val="00267386"/>
    <w:rsid w:val="0026742D"/>
    <w:rsid w:val="00267E9A"/>
    <w:rsid w:val="00272897"/>
    <w:rsid w:val="0027469B"/>
    <w:rsid w:val="00277E4E"/>
    <w:rsid w:val="00280B22"/>
    <w:rsid w:val="002817BA"/>
    <w:rsid w:val="002823FF"/>
    <w:rsid w:val="00283CC0"/>
    <w:rsid w:val="00284A4B"/>
    <w:rsid w:val="00284B2D"/>
    <w:rsid w:val="00285285"/>
    <w:rsid w:val="00286DCA"/>
    <w:rsid w:val="002874E6"/>
    <w:rsid w:val="00287CDA"/>
    <w:rsid w:val="0029008E"/>
    <w:rsid w:val="002914CE"/>
    <w:rsid w:val="00291B1B"/>
    <w:rsid w:val="00293462"/>
    <w:rsid w:val="002936BD"/>
    <w:rsid w:val="00294D76"/>
    <w:rsid w:val="0029547A"/>
    <w:rsid w:val="0029694B"/>
    <w:rsid w:val="00296C60"/>
    <w:rsid w:val="00297A05"/>
    <w:rsid w:val="002A08F8"/>
    <w:rsid w:val="002A1D91"/>
    <w:rsid w:val="002A21C2"/>
    <w:rsid w:val="002A23A9"/>
    <w:rsid w:val="002A2CCD"/>
    <w:rsid w:val="002A3751"/>
    <w:rsid w:val="002A50B5"/>
    <w:rsid w:val="002A6446"/>
    <w:rsid w:val="002A7766"/>
    <w:rsid w:val="002A7893"/>
    <w:rsid w:val="002B0218"/>
    <w:rsid w:val="002B16EC"/>
    <w:rsid w:val="002B1A6E"/>
    <w:rsid w:val="002B255B"/>
    <w:rsid w:val="002B3320"/>
    <w:rsid w:val="002B4B2F"/>
    <w:rsid w:val="002B4F80"/>
    <w:rsid w:val="002B61B4"/>
    <w:rsid w:val="002C08F8"/>
    <w:rsid w:val="002C1A91"/>
    <w:rsid w:val="002C43FD"/>
    <w:rsid w:val="002C49D2"/>
    <w:rsid w:val="002C5603"/>
    <w:rsid w:val="002C58F5"/>
    <w:rsid w:val="002C5DBD"/>
    <w:rsid w:val="002C5DD9"/>
    <w:rsid w:val="002C7B42"/>
    <w:rsid w:val="002D0100"/>
    <w:rsid w:val="002D07F3"/>
    <w:rsid w:val="002D1794"/>
    <w:rsid w:val="002D1A34"/>
    <w:rsid w:val="002D2136"/>
    <w:rsid w:val="002D2374"/>
    <w:rsid w:val="002D65A3"/>
    <w:rsid w:val="002D698A"/>
    <w:rsid w:val="002E00AB"/>
    <w:rsid w:val="002E0197"/>
    <w:rsid w:val="002E06D5"/>
    <w:rsid w:val="002E1197"/>
    <w:rsid w:val="002E306E"/>
    <w:rsid w:val="002E337C"/>
    <w:rsid w:val="002E390D"/>
    <w:rsid w:val="002E5236"/>
    <w:rsid w:val="002E57E0"/>
    <w:rsid w:val="002E5A88"/>
    <w:rsid w:val="002E615E"/>
    <w:rsid w:val="002E68AD"/>
    <w:rsid w:val="002E700A"/>
    <w:rsid w:val="002E70F5"/>
    <w:rsid w:val="002E772F"/>
    <w:rsid w:val="002F1039"/>
    <w:rsid w:val="002F5037"/>
    <w:rsid w:val="002F6757"/>
    <w:rsid w:val="002F75A4"/>
    <w:rsid w:val="003000C0"/>
    <w:rsid w:val="003008D9"/>
    <w:rsid w:val="00300DA8"/>
    <w:rsid w:val="0030128F"/>
    <w:rsid w:val="00301A51"/>
    <w:rsid w:val="00301E9E"/>
    <w:rsid w:val="00302C6A"/>
    <w:rsid w:val="003045AB"/>
    <w:rsid w:val="0030468D"/>
    <w:rsid w:val="003047F5"/>
    <w:rsid w:val="00304B59"/>
    <w:rsid w:val="00304E7F"/>
    <w:rsid w:val="003064C3"/>
    <w:rsid w:val="00306E6F"/>
    <w:rsid w:val="00306F3A"/>
    <w:rsid w:val="00310CAA"/>
    <w:rsid w:val="00311CEF"/>
    <w:rsid w:val="003129AD"/>
    <w:rsid w:val="00312B4A"/>
    <w:rsid w:val="00313BA8"/>
    <w:rsid w:val="00314BE9"/>
    <w:rsid w:val="00314E82"/>
    <w:rsid w:val="00315170"/>
    <w:rsid w:val="003162DD"/>
    <w:rsid w:val="00317636"/>
    <w:rsid w:val="00322057"/>
    <w:rsid w:val="0032407A"/>
    <w:rsid w:val="00325E0F"/>
    <w:rsid w:val="003266A6"/>
    <w:rsid w:val="00330F3A"/>
    <w:rsid w:val="00331C8F"/>
    <w:rsid w:val="00333164"/>
    <w:rsid w:val="003335E3"/>
    <w:rsid w:val="00333C16"/>
    <w:rsid w:val="00334ED9"/>
    <w:rsid w:val="00335660"/>
    <w:rsid w:val="003374F7"/>
    <w:rsid w:val="0034263A"/>
    <w:rsid w:val="00343FD9"/>
    <w:rsid w:val="00344741"/>
    <w:rsid w:val="00344FBE"/>
    <w:rsid w:val="00345051"/>
    <w:rsid w:val="003466E7"/>
    <w:rsid w:val="00347688"/>
    <w:rsid w:val="0034795C"/>
    <w:rsid w:val="0035210F"/>
    <w:rsid w:val="00352FFD"/>
    <w:rsid w:val="0035346E"/>
    <w:rsid w:val="00354AD1"/>
    <w:rsid w:val="00361418"/>
    <w:rsid w:val="00362746"/>
    <w:rsid w:val="00363B76"/>
    <w:rsid w:val="00363FAD"/>
    <w:rsid w:val="00364312"/>
    <w:rsid w:val="00364C1A"/>
    <w:rsid w:val="00365B30"/>
    <w:rsid w:val="00366244"/>
    <w:rsid w:val="00367489"/>
    <w:rsid w:val="003700BE"/>
    <w:rsid w:val="00372636"/>
    <w:rsid w:val="00372D1B"/>
    <w:rsid w:val="00373EF0"/>
    <w:rsid w:val="00375E84"/>
    <w:rsid w:val="00376852"/>
    <w:rsid w:val="00376906"/>
    <w:rsid w:val="003774D0"/>
    <w:rsid w:val="0038113B"/>
    <w:rsid w:val="00381510"/>
    <w:rsid w:val="00381C2F"/>
    <w:rsid w:val="00382C94"/>
    <w:rsid w:val="00382D88"/>
    <w:rsid w:val="003834FC"/>
    <w:rsid w:val="00383A1C"/>
    <w:rsid w:val="00384706"/>
    <w:rsid w:val="00384FAB"/>
    <w:rsid w:val="00385550"/>
    <w:rsid w:val="00385DDD"/>
    <w:rsid w:val="003869B6"/>
    <w:rsid w:val="003873CB"/>
    <w:rsid w:val="003874A2"/>
    <w:rsid w:val="0039104D"/>
    <w:rsid w:val="003921FD"/>
    <w:rsid w:val="003934B5"/>
    <w:rsid w:val="003943AB"/>
    <w:rsid w:val="003957FC"/>
    <w:rsid w:val="003968E5"/>
    <w:rsid w:val="00396DE6"/>
    <w:rsid w:val="00396F46"/>
    <w:rsid w:val="003A09DD"/>
    <w:rsid w:val="003A0FD2"/>
    <w:rsid w:val="003A27DD"/>
    <w:rsid w:val="003A3BD8"/>
    <w:rsid w:val="003B1EF7"/>
    <w:rsid w:val="003B3365"/>
    <w:rsid w:val="003B5D59"/>
    <w:rsid w:val="003B7E25"/>
    <w:rsid w:val="003C049F"/>
    <w:rsid w:val="003C082A"/>
    <w:rsid w:val="003C0870"/>
    <w:rsid w:val="003C3122"/>
    <w:rsid w:val="003C47AC"/>
    <w:rsid w:val="003C541D"/>
    <w:rsid w:val="003C5933"/>
    <w:rsid w:val="003C6576"/>
    <w:rsid w:val="003C67F5"/>
    <w:rsid w:val="003C7A1D"/>
    <w:rsid w:val="003D09BC"/>
    <w:rsid w:val="003D0FE7"/>
    <w:rsid w:val="003D2174"/>
    <w:rsid w:val="003D2A13"/>
    <w:rsid w:val="003D4608"/>
    <w:rsid w:val="003D4956"/>
    <w:rsid w:val="003D5CF9"/>
    <w:rsid w:val="003E1073"/>
    <w:rsid w:val="003E10FB"/>
    <w:rsid w:val="003E1CAA"/>
    <w:rsid w:val="003E21C9"/>
    <w:rsid w:val="003E2A0B"/>
    <w:rsid w:val="003E2A2B"/>
    <w:rsid w:val="003E3B79"/>
    <w:rsid w:val="003E73F4"/>
    <w:rsid w:val="003E7A0E"/>
    <w:rsid w:val="003E7D82"/>
    <w:rsid w:val="003F0144"/>
    <w:rsid w:val="003F0B63"/>
    <w:rsid w:val="003F0BDA"/>
    <w:rsid w:val="003F16DD"/>
    <w:rsid w:val="003F69DB"/>
    <w:rsid w:val="004015FF"/>
    <w:rsid w:val="0040213F"/>
    <w:rsid w:val="00402239"/>
    <w:rsid w:val="00402A5B"/>
    <w:rsid w:val="004035DC"/>
    <w:rsid w:val="004052F5"/>
    <w:rsid w:val="00405312"/>
    <w:rsid w:val="00407B24"/>
    <w:rsid w:val="00410C0C"/>
    <w:rsid w:val="00412482"/>
    <w:rsid w:val="00415F09"/>
    <w:rsid w:val="00416FDD"/>
    <w:rsid w:val="00422CC8"/>
    <w:rsid w:val="00422DDA"/>
    <w:rsid w:val="00422FA6"/>
    <w:rsid w:val="00422FA7"/>
    <w:rsid w:val="004235DA"/>
    <w:rsid w:val="004245B0"/>
    <w:rsid w:val="00424B84"/>
    <w:rsid w:val="00427640"/>
    <w:rsid w:val="00430F78"/>
    <w:rsid w:val="0043182C"/>
    <w:rsid w:val="00431C28"/>
    <w:rsid w:val="0043239A"/>
    <w:rsid w:val="0043387D"/>
    <w:rsid w:val="00433DB6"/>
    <w:rsid w:val="00434B02"/>
    <w:rsid w:val="00435D85"/>
    <w:rsid w:val="00436E5A"/>
    <w:rsid w:val="004375C1"/>
    <w:rsid w:val="00437600"/>
    <w:rsid w:val="004405BB"/>
    <w:rsid w:val="00442895"/>
    <w:rsid w:val="00443A6A"/>
    <w:rsid w:val="00443B74"/>
    <w:rsid w:val="00447889"/>
    <w:rsid w:val="004545FC"/>
    <w:rsid w:val="0045484D"/>
    <w:rsid w:val="00455544"/>
    <w:rsid w:val="00455A57"/>
    <w:rsid w:val="0045685B"/>
    <w:rsid w:val="00456A64"/>
    <w:rsid w:val="00456B28"/>
    <w:rsid w:val="004571B1"/>
    <w:rsid w:val="0045758A"/>
    <w:rsid w:val="00460115"/>
    <w:rsid w:val="00460502"/>
    <w:rsid w:val="0046083F"/>
    <w:rsid w:val="00462227"/>
    <w:rsid w:val="00463A40"/>
    <w:rsid w:val="00463D8B"/>
    <w:rsid w:val="0046498B"/>
    <w:rsid w:val="00465197"/>
    <w:rsid w:val="00467F9B"/>
    <w:rsid w:val="00471BED"/>
    <w:rsid w:val="004727C1"/>
    <w:rsid w:val="00473415"/>
    <w:rsid w:val="00473958"/>
    <w:rsid w:val="0047584C"/>
    <w:rsid w:val="00476C9A"/>
    <w:rsid w:val="0048077E"/>
    <w:rsid w:val="00480CD5"/>
    <w:rsid w:val="00481352"/>
    <w:rsid w:val="004815DD"/>
    <w:rsid w:val="00481C52"/>
    <w:rsid w:val="00483C9A"/>
    <w:rsid w:val="00484B13"/>
    <w:rsid w:val="00485C7C"/>
    <w:rsid w:val="00487052"/>
    <w:rsid w:val="0049098E"/>
    <w:rsid w:val="00490EDC"/>
    <w:rsid w:val="004910EC"/>
    <w:rsid w:val="00491ABC"/>
    <w:rsid w:val="00491DEC"/>
    <w:rsid w:val="00493545"/>
    <w:rsid w:val="00497E72"/>
    <w:rsid w:val="004A0394"/>
    <w:rsid w:val="004A0B56"/>
    <w:rsid w:val="004A349F"/>
    <w:rsid w:val="004A3E3D"/>
    <w:rsid w:val="004A429F"/>
    <w:rsid w:val="004A4473"/>
    <w:rsid w:val="004A4903"/>
    <w:rsid w:val="004A4D2C"/>
    <w:rsid w:val="004A5EFF"/>
    <w:rsid w:val="004A60DE"/>
    <w:rsid w:val="004A7405"/>
    <w:rsid w:val="004B0C7B"/>
    <w:rsid w:val="004B41BE"/>
    <w:rsid w:val="004B5286"/>
    <w:rsid w:val="004B61D2"/>
    <w:rsid w:val="004B7827"/>
    <w:rsid w:val="004C07EC"/>
    <w:rsid w:val="004C2C37"/>
    <w:rsid w:val="004C4610"/>
    <w:rsid w:val="004C5214"/>
    <w:rsid w:val="004C5692"/>
    <w:rsid w:val="004D0C8C"/>
    <w:rsid w:val="004D2487"/>
    <w:rsid w:val="004D4A21"/>
    <w:rsid w:val="004D5661"/>
    <w:rsid w:val="004D56C2"/>
    <w:rsid w:val="004D68AD"/>
    <w:rsid w:val="004D78E1"/>
    <w:rsid w:val="004E0017"/>
    <w:rsid w:val="004E0A26"/>
    <w:rsid w:val="004E1388"/>
    <w:rsid w:val="004E291B"/>
    <w:rsid w:val="004E2F1C"/>
    <w:rsid w:val="004E4059"/>
    <w:rsid w:val="004E454A"/>
    <w:rsid w:val="004E5794"/>
    <w:rsid w:val="004E5A8D"/>
    <w:rsid w:val="004E6804"/>
    <w:rsid w:val="004E764B"/>
    <w:rsid w:val="004F0869"/>
    <w:rsid w:val="004F0957"/>
    <w:rsid w:val="004F09EA"/>
    <w:rsid w:val="004F0B90"/>
    <w:rsid w:val="004F4057"/>
    <w:rsid w:val="004F5081"/>
    <w:rsid w:val="004F5DD6"/>
    <w:rsid w:val="004F7D6F"/>
    <w:rsid w:val="00500F2F"/>
    <w:rsid w:val="00502B14"/>
    <w:rsid w:val="00502FDB"/>
    <w:rsid w:val="00503BEE"/>
    <w:rsid w:val="005057F0"/>
    <w:rsid w:val="0050596D"/>
    <w:rsid w:val="00505A62"/>
    <w:rsid w:val="0050741F"/>
    <w:rsid w:val="00510640"/>
    <w:rsid w:val="00512170"/>
    <w:rsid w:val="00512E7B"/>
    <w:rsid w:val="00513BA9"/>
    <w:rsid w:val="005143F6"/>
    <w:rsid w:val="00515639"/>
    <w:rsid w:val="0051693D"/>
    <w:rsid w:val="00516F00"/>
    <w:rsid w:val="0051723B"/>
    <w:rsid w:val="005175FF"/>
    <w:rsid w:val="00520014"/>
    <w:rsid w:val="00520265"/>
    <w:rsid w:val="00521A02"/>
    <w:rsid w:val="00521A51"/>
    <w:rsid w:val="00521E9F"/>
    <w:rsid w:val="00522967"/>
    <w:rsid w:val="00522CA9"/>
    <w:rsid w:val="00522F43"/>
    <w:rsid w:val="0052323E"/>
    <w:rsid w:val="005232C7"/>
    <w:rsid w:val="00523363"/>
    <w:rsid w:val="005238FF"/>
    <w:rsid w:val="005239BA"/>
    <w:rsid w:val="00524FE6"/>
    <w:rsid w:val="005259C8"/>
    <w:rsid w:val="00532636"/>
    <w:rsid w:val="00532786"/>
    <w:rsid w:val="00532963"/>
    <w:rsid w:val="00532A1D"/>
    <w:rsid w:val="00533B10"/>
    <w:rsid w:val="005341F4"/>
    <w:rsid w:val="00534F4A"/>
    <w:rsid w:val="00537889"/>
    <w:rsid w:val="00540031"/>
    <w:rsid w:val="00540092"/>
    <w:rsid w:val="005405DB"/>
    <w:rsid w:val="00541B3E"/>
    <w:rsid w:val="00541EE2"/>
    <w:rsid w:val="005425E3"/>
    <w:rsid w:val="00542F2B"/>
    <w:rsid w:val="00543E46"/>
    <w:rsid w:val="00544A9C"/>
    <w:rsid w:val="00545916"/>
    <w:rsid w:val="005459BF"/>
    <w:rsid w:val="00545B7C"/>
    <w:rsid w:val="00545CA2"/>
    <w:rsid w:val="0054677D"/>
    <w:rsid w:val="00547FA1"/>
    <w:rsid w:val="00551498"/>
    <w:rsid w:val="005529AA"/>
    <w:rsid w:val="00555032"/>
    <w:rsid w:val="00555FB8"/>
    <w:rsid w:val="00556B39"/>
    <w:rsid w:val="00557082"/>
    <w:rsid w:val="0056091F"/>
    <w:rsid w:val="005629F5"/>
    <w:rsid w:val="00563615"/>
    <w:rsid w:val="005637C8"/>
    <w:rsid w:val="00563BD0"/>
    <w:rsid w:val="00564253"/>
    <w:rsid w:val="005646C9"/>
    <w:rsid w:val="00564E64"/>
    <w:rsid w:val="00571277"/>
    <w:rsid w:val="00571957"/>
    <w:rsid w:val="00572F64"/>
    <w:rsid w:val="00576B6E"/>
    <w:rsid w:val="00576FE4"/>
    <w:rsid w:val="0057715C"/>
    <w:rsid w:val="00581E0E"/>
    <w:rsid w:val="005825CE"/>
    <w:rsid w:val="005862E8"/>
    <w:rsid w:val="0058674D"/>
    <w:rsid w:val="00587EBA"/>
    <w:rsid w:val="0059088A"/>
    <w:rsid w:val="005914D1"/>
    <w:rsid w:val="005916D8"/>
    <w:rsid w:val="00592EED"/>
    <w:rsid w:val="005937A9"/>
    <w:rsid w:val="00593856"/>
    <w:rsid w:val="00593B84"/>
    <w:rsid w:val="00594420"/>
    <w:rsid w:val="00594779"/>
    <w:rsid w:val="00594885"/>
    <w:rsid w:val="00594F29"/>
    <w:rsid w:val="005950C8"/>
    <w:rsid w:val="00595474"/>
    <w:rsid w:val="0059646D"/>
    <w:rsid w:val="005969B7"/>
    <w:rsid w:val="005A00E1"/>
    <w:rsid w:val="005A214A"/>
    <w:rsid w:val="005A27A9"/>
    <w:rsid w:val="005A2CA3"/>
    <w:rsid w:val="005A44C5"/>
    <w:rsid w:val="005A62B9"/>
    <w:rsid w:val="005A63D8"/>
    <w:rsid w:val="005A71BE"/>
    <w:rsid w:val="005B0E75"/>
    <w:rsid w:val="005B2668"/>
    <w:rsid w:val="005B2D25"/>
    <w:rsid w:val="005B3EB5"/>
    <w:rsid w:val="005B48F7"/>
    <w:rsid w:val="005B508A"/>
    <w:rsid w:val="005B5C29"/>
    <w:rsid w:val="005C06C9"/>
    <w:rsid w:val="005C0D54"/>
    <w:rsid w:val="005C0E7A"/>
    <w:rsid w:val="005C1BBA"/>
    <w:rsid w:val="005C2352"/>
    <w:rsid w:val="005C25D5"/>
    <w:rsid w:val="005C28E6"/>
    <w:rsid w:val="005C34EC"/>
    <w:rsid w:val="005C43FE"/>
    <w:rsid w:val="005C688A"/>
    <w:rsid w:val="005C68B9"/>
    <w:rsid w:val="005C6B9D"/>
    <w:rsid w:val="005C7EFB"/>
    <w:rsid w:val="005D1350"/>
    <w:rsid w:val="005D24DD"/>
    <w:rsid w:val="005D5A48"/>
    <w:rsid w:val="005D7561"/>
    <w:rsid w:val="005E07C5"/>
    <w:rsid w:val="005E15F6"/>
    <w:rsid w:val="005E2AA9"/>
    <w:rsid w:val="005E3667"/>
    <w:rsid w:val="005E393B"/>
    <w:rsid w:val="005E741C"/>
    <w:rsid w:val="005E7B75"/>
    <w:rsid w:val="005F12FB"/>
    <w:rsid w:val="005F25ED"/>
    <w:rsid w:val="005F3997"/>
    <w:rsid w:val="005F3A67"/>
    <w:rsid w:val="005F53A6"/>
    <w:rsid w:val="005F5C1D"/>
    <w:rsid w:val="005F6B0F"/>
    <w:rsid w:val="005F6B8F"/>
    <w:rsid w:val="005F7567"/>
    <w:rsid w:val="00600173"/>
    <w:rsid w:val="006038E7"/>
    <w:rsid w:val="00604FAE"/>
    <w:rsid w:val="00605295"/>
    <w:rsid w:val="00606284"/>
    <w:rsid w:val="00606EBE"/>
    <w:rsid w:val="006078DC"/>
    <w:rsid w:val="00607D88"/>
    <w:rsid w:val="00607E26"/>
    <w:rsid w:val="006100BF"/>
    <w:rsid w:val="00610219"/>
    <w:rsid w:val="006111A6"/>
    <w:rsid w:val="00611A0A"/>
    <w:rsid w:val="0061213E"/>
    <w:rsid w:val="0061276B"/>
    <w:rsid w:val="00612775"/>
    <w:rsid w:val="00613404"/>
    <w:rsid w:val="0061428A"/>
    <w:rsid w:val="00614C73"/>
    <w:rsid w:val="006152FA"/>
    <w:rsid w:val="00617630"/>
    <w:rsid w:val="00617D69"/>
    <w:rsid w:val="00620BAB"/>
    <w:rsid w:val="00620C9D"/>
    <w:rsid w:val="00622B44"/>
    <w:rsid w:val="00622E51"/>
    <w:rsid w:val="006242B3"/>
    <w:rsid w:val="00624F80"/>
    <w:rsid w:val="00624FA5"/>
    <w:rsid w:val="006254B1"/>
    <w:rsid w:val="006265B9"/>
    <w:rsid w:val="0062794E"/>
    <w:rsid w:val="006313F2"/>
    <w:rsid w:val="006321B2"/>
    <w:rsid w:val="0063236C"/>
    <w:rsid w:val="00632E23"/>
    <w:rsid w:val="006348C7"/>
    <w:rsid w:val="006357C5"/>
    <w:rsid w:val="00636385"/>
    <w:rsid w:val="0063796F"/>
    <w:rsid w:val="00641EC2"/>
    <w:rsid w:val="00641FF5"/>
    <w:rsid w:val="00642397"/>
    <w:rsid w:val="006426B8"/>
    <w:rsid w:val="006432E6"/>
    <w:rsid w:val="006435D1"/>
    <w:rsid w:val="0064386A"/>
    <w:rsid w:val="00643C03"/>
    <w:rsid w:val="006450B8"/>
    <w:rsid w:val="006468E5"/>
    <w:rsid w:val="00646F2F"/>
    <w:rsid w:val="00647CF2"/>
    <w:rsid w:val="00647E97"/>
    <w:rsid w:val="00651081"/>
    <w:rsid w:val="00652AAD"/>
    <w:rsid w:val="00652AE8"/>
    <w:rsid w:val="00654A7C"/>
    <w:rsid w:val="006600A3"/>
    <w:rsid w:val="00661394"/>
    <w:rsid w:val="00661575"/>
    <w:rsid w:val="006624A0"/>
    <w:rsid w:val="006628E7"/>
    <w:rsid w:val="00663D81"/>
    <w:rsid w:val="00667249"/>
    <w:rsid w:val="0066739F"/>
    <w:rsid w:val="00672801"/>
    <w:rsid w:val="00674335"/>
    <w:rsid w:val="006748D1"/>
    <w:rsid w:val="00675451"/>
    <w:rsid w:val="00677FC1"/>
    <w:rsid w:val="006804F8"/>
    <w:rsid w:val="0068138D"/>
    <w:rsid w:val="006814EA"/>
    <w:rsid w:val="006816E6"/>
    <w:rsid w:val="00681B2A"/>
    <w:rsid w:val="006825E6"/>
    <w:rsid w:val="00682FFF"/>
    <w:rsid w:val="0068316E"/>
    <w:rsid w:val="006833EB"/>
    <w:rsid w:val="00683401"/>
    <w:rsid w:val="00683DCA"/>
    <w:rsid w:val="00684FF0"/>
    <w:rsid w:val="0068563C"/>
    <w:rsid w:val="0069413F"/>
    <w:rsid w:val="006A2377"/>
    <w:rsid w:val="006A47CF"/>
    <w:rsid w:val="006A4BF1"/>
    <w:rsid w:val="006A7AF4"/>
    <w:rsid w:val="006B07AC"/>
    <w:rsid w:val="006B119F"/>
    <w:rsid w:val="006B3AED"/>
    <w:rsid w:val="006B401A"/>
    <w:rsid w:val="006B497A"/>
    <w:rsid w:val="006B5E6C"/>
    <w:rsid w:val="006B7BBC"/>
    <w:rsid w:val="006C29A2"/>
    <w:rsid w:val="006C3059"/>
    <w:rsid w:val="006C49EB"/>
    <w:rsid w:val="006C6B84"/>
    <w:rsid w:val="006C7551"/>
    <w:rsid w:val="006C7ED5"/>
    <w:rsid w:val="006D05AF"/>
    <w:rsid w:val="006D07BC"/>
    <w:rsid w:val="006D1934"/>
    <w:rsid w:val="006D3088"/>
    <w:rsid w:val="006D3590"/>
    <w:rsid w:val="006D38A0"/>
    <w:rsid w:val="006D5828"/>
    <w:rsid w:val="006D6296"/>
    <w:rsid w:val="006D68AF"/>
    <w:rsid w:val="006D6CBD"/>
    <w:rsid w:val="006D75C9"/>
    <w:rsid w:val="006D76B6"/>
    <w:rsid w:val="006E2883"/>
    <w:rsid w:val="006E4286"/>
    <w:rsid w:val="006E4B81"/>
    <w:rsid w:val="006E65EC"/>
    <w:rsid w:val="006E7CCE"/>
    <w:rsid w:val="006F0306"/>
    <w:rsid w:val="006F2299"/>
    <w:rsid w:val="006F2447"/>
    <w:rsid w:val="006F2F6F"/>
    <w:rsid w:val="006F3461"/>
    <w:rsid w:val="006F4B45"/>
    <w:rsid w:val="006F557D"/>
    <w:rsid w:val="006F5A37"/>
    <w:rsid w:val="006F5D3B"/>
    <w:rsid w:val="006F78E6"/>
    <w:rsid w:val="006F7A8C"/>
    <w:rsid w:val="00700388"/>
    <w:rsid w:val="007014E1"/>
    <w:rsid w:val="00702293"/>
    <w:rsid w:val="00703006"/>
    <w:rsid w:val="00703873"/>
    <w:rsid w:val="00703FF3"/>
    <w:rsid w:val="00704F60"/>
    <w:rsid w:val="00706247"/>
    <w:rsid w:val="007078EA"/>
    <w:rsid w:val="00710B49"/>
    <w:rsid w:val="00711392"/>
    <w:rsid w:val="00712EE9"/>
    <w:rsid w:val="00713EBB"/>
    <w:rsid w:val="00716FA1"/>
    <w:rsid w:val="00717054"/>
    <w:rsid w:val="00717D1E"/>
    <w:rsid w:val="00721840"/>
    <w:rsid w:val="0072288B"/>
    <w:rsid w:val="00722E9D"/>
    <w:rsid w:val="00724790"/>
    <w:rsid w:val="00724874"/>
    <w:rsid w:val="007305C4"/>
    <w:rsid w:val="00730965"/>
    <w:rsid w:val="00731279"/>
    <w:rsid w:val="007316CE"/>
    <w:rsid w:val="00732022"/>
    <w:rsid w:val="007334E1"/>
    <w:rsid w:val="0073405C"/>
    <w:rsid w:val="00735C27"/>
    <w:rsid w:val="0073725C"/>
    <w:rsid w:val="0074049B"/>
    <w:rsid w:val="007408C5"/>
    <w:rsid w:val="00742D59"/>
    <w:rsid w:val="00742FA0"/>
    <w:rsid w:val="00744796"/>
    <w:rsid w:val="00744967"/>
    <w:rsid w:val="00746335"/>
    <w:rsid w:val="0074707F"/>
    <w:rsid w:val="007472D5"/>
    <w:rsid w:val="00747D6E"/>
    <w:rsid w:val="007518B8"/>
    <w:rsid w:val="00753E66"/>
    <w:rsid w:val="007540B6"/>
    <w:rsid w:val="00754C77"/>
    <w:rsid w:val="00754CDC"/>
    <w:rsid w:val="00755858"/>
    <w:rsid w:val="00761341"/>
    <w:rsid w:val="007644E1"/>
    <w:rsid w:val="007665B4"/>
    <w:rsid w:val="00766B50"/>
    <w:rsid w:val="007702C9"/>
    <w:rsid w:val="007709C7"/>
    <w:rsid w:val="00770D5B"/>
    <w:rsid w:val="0077282E"/>
    <w:rsid w:val="0077467C"/>
    <w:rsid w:val="0077509E"/>
    <w:rsid w:val="00775237"/>
    <w:rsid w:val="0078027A"/>
    <w:rsid w:val="00780593"/>
    <w:rsid w:val="00780782"/>
    <w:rsid w:val="00780C75"/>
    <w:rsid w:val="00780E09"/>
    <w:rsid w:val="00780F2B"/>
    <w:rsid w:val="00781010"/>
    <w:rsid w:val="00781EC2"/>
    <w:rsid w:val="00782AE0"/>
    <w:rsid w:val="00783DFB"/>
    <w:rsid w:val="00785F92"/>
    <w:rsid w:val="00786DAD"/>
    <w:rsid w:val="00787E3B"/>
    <w:rsid w:val="00791FF7"/>
    <w:rsid w:val="00792096"/>
    <w:rsid w:val="0079230A"/>
    <w:rsid w:val="00792609"/>
    <w:rsid w:val="00792A23"/>
    <w:rsid w:val="00793832"/>
    <w:rsid w:val="00793D75"/>
    <w:rsid w:val="00794176"/>
    <w:rsid w:val="00794664"/>
    <w:rsid w:val="007946CF"/>
    <w:rsid w:val="007A0F8E"/>
    <w:rsid w:val="007A227C"/>
    <w:rsid w:val="007A27BD"/>
    <w:rsid w:val="007A3996"/>
    <w:rsid w:val="007A44A2"/>
    <w:rsid w:val="007A4F3C"/>
    <w:rsid w:val="007A64DB"/>
    <w:rsid w:val="007A6D51"/>
    <w:rsid w:val="007A7BEE"/>
    <w:rsid w:val="007B3181"/>
    <w:rsid w:val="007B3C6C"/>
    <w:rsid w:val="007B5C7B"/>
    <w:rsid w:val="007B5F88"/>
    <w:rsid w:val="007B725B"/>
    <w:rsid w:val="007B72E1"/>
    <w:rsid w:val="007B7A51"/>
    <w:rsid w:val="007C037D"/>
    <w:rsid w:val="007C072D"/>
    <w:rsid w:val="007C1DC6"/>
    <w:rsid w:val="007C2263"/>
    <w:rsid w:val="007C266C"/>
    <w:rsid w:val="007C2BC6"/>
    <w:rsid w:val="007C2FF3"/>
    <w:rsid w:val="007D008F"/>
    <w:rsid w:val="007D0342"/>
    <w:rsid w:val="007D0D7F"/>
    <w:rsid w:val="007D4F31"/>
    <w:rsid w:val="007D5322"/>
    <w:rsid w:val="007E0F4B"/>
    <w:rsid w:val="007E26CA"/>
    <w:rsid w:val="007E292A"/>
    <w:rsid w:val="007E2CB3"/>
    <w:rsid w:val="007E409E"/>
    <w:rsid w:val="007E52A2"/>
    <w:rsid w:val="007E5BCA"/>
    <w:rsid w:val="007E644D"/>
    <w:rsid w:val="007E6A45"/>
    <w:rsid w:val="007E7531"/>
    <w:rsid w:val="007F07E3"/>
    <w:rsid w:val="007F0E32"/>
    <w:rsid w:val="007F1449"/>
    <w:rsid w:val="007F1AA3"/>
    <w:rsid w:val="007F1F3E"/>
    <w:rsid w:val="007F6FB5"/>
    <w:rsid w:val="007F7D21"/>
    <w:rsid w:val="00800337"/>
    <w:rsid w:val="00800481"/>
    <w:rsid w:val="00800592"/>
    <w:rsid w:val="00800961"/>
    <w:rsid w:val="00801CD9"/>
    <w:rsid w:val="00802835"/>
    <w:rsid w:val="00802C2A"/>
    <w:rsid w:val="008038FB"/>
    <w:rsid w:val="00803A8B"/>
    <w:rsid w:val="008043C0"/>
    <w:rsid w:val="00806ADD"/>
    <w:rsid w:val="00810A83"/>
    <w:rsid w:val="0081114B"/>
    <w:rsid w:val="0081172F"/>
    <w:rsid w:val="00812175"/>
    <w:rsid w:val="00815769"/>
    <w:rsid w:val="00815A24"/>
    <w:rsid w:val="00815D10"/>
    <w:rsid w:val="0081607E"/>
    <w:rsid w:val="008161A7"/>
    <w:rsid w:val="00816CBF"/>
    <w:rsid w:val="00817AD3"/>
    <w:rsid w:val="00817CAA"/>
    <w:rsid w:val="00817DEE"/>
    <w:rsid w:val="00817FA4"/>
    <w:rsid w:val="008203C0"/>
    <w:rsid w:val="00820D06"/>
    <w:rsid w:val="00820F5B"/>
    <w:rsid w:val="008218C2"/>
    <w:rsid w:val="00821A54"/>
    <w:rsid w:val="00822C8E"/>
    <w:rsid w:val="0082381C"/>
    <w:rsid w:val="00824AA3"/>
    <w:rsid w:val="00825290"/>
    <w:rsid w:val="00826A9A"/>
    <w:rsid w:val="00826DC5"/>
    <w:rsid w:val="00830359"/>
    <w:rsid w:val="00830802"/>
    <w:rsid w:val="008310FA"/>
    <w:rsid w:val="00831416"/>
    <w:rsid w:val="008318CA"/>
    <w:rsid w:val="00831D0F"/>
    <w:rsid w:val="00832879"/>
    <w:rsid w:val="00832FF1"/>
    <w:rsid w:val="00833668"/>
    <w:rsid w:val="008344E5"/>
    <w:rsid w:val="00834D35"/>
    <w:rsid w:val="0083587F"/>
    <w:rsid w:val="00836BE7"/>
    <w:rsid w:val="00840993"/>
    <w:rsid w:val="00841D55"/>
    <w:rsid w:val="00843B21"/>
    <w:rsid w:val="008454F5"/>
    <w:rsid w:val="0084553A"/>
    <w:rsid w:val="0084564C"/>
    <w:rsid w:val="00846597"/>
    <w:rsid w:val="00850FAD"/>
    <w:rsid w:val="0085117E"/>
    <w:rsid w:val="00851460"/>
    <w:rsid w:val="00853564"/>
    <w:rsid w:val="00854571"/>
    <w:rsid w:val="00854B0B"/>
    <w:rsid w:val="00854B74"/>
    <w:rsid w:val="00854DD6"/>
    <w:rsid w:val="008570F8"/>
    <w:rsid w:val="00860235"/>
    <w:rsid w:val="0086073D"/>
    <w:rsid w:val="008631F5"/>
    <w:rsid w:val="00863285"/>
    <w:rsid w:val="008645CA"/>
    <w:rsid w:val="00865943"/>
    <w:rsid w:val="00865A0E"/>
    <w:rsid w:val="008713E7"/>
    <w:rsid w:val="008734A4"/>
    <w:rsid w:val="00874E80"/>
    <w:rsid w:val="0087775D"/>
    <w:rsid w:val="00880DEA"/>
    <w:rsid w:val="00883030"/>
    <w:rsid w:val="00884F7B"/>
    <w:rsid w:val="0088507B"/>
    <w:rsid w:val="0088548B"/>
    <w:rsid w:val="0088799E"/>
    <w:rsid w:val="00890CE7"/>
    <w:rsid w:val="00890F35"/>
    <w:rsid w:val="0089316B"/>
    <w:rsid w:val="008937C9"/>
    <w:rsid w:val="0089619C"/>
    <w:rsid w:val="00896456"/>
    <w:rsid w:val="00897754"/>
    <w:rsid w:val="008978EB"/>
    <w:rsid w:val="00897D1F"/>
    <w:rsid w:val="008A1551"/>
    <w:rsid w:val="008A1F24"/>
    <w:rsid w:val="008A242A"/>
    <w:rsid w:val="008A318C"/>
    <w:rsid w:val="008A36FF"/>
    <w:rsid w:val="008A3DA2"/>
    <w:rsid w:val="008A4F93"/>
    <w:rsid w:val="008A5514"/>
    <w:rsid w:val="008A58C7"/>
    <w:rsid w:val="008A6536"/>
    <w:rsid w:val="008A7351"/>
    <w:rsid w:val="008B019E"/>
    <w:rsid w:val="008B0909"/>
    <w:rsid w:val="008B220A"/>
    <w:rsid w:val="008B2545"/>
    <w:rsid w:val="008B2641"/>
    <w:rsid w:val="008B3509"/>
    <w:rsid w:val="008B3DCC"/>
    <w:rsid w:val="008B5518"/>
    <w:rsid w:val="008C2812"/>
    <w:rsid w:val="008C2818"/>
    <w:rsid w:val="008C3683"/>
    <w:rsid w:val="008C3987"/>
    <w:rsid w:val="008C505B"/>
    <w:rsid w:val="008C51C7"/>
    <w:rsid w:val="008C5AA6"/>
    <w:rsid w:val="008C5BAC"/>
    <w:rsid w:val="008C6619"/>
    <w:rsid w:val="008C7529"/>
    <w:rsid w:val="008D0905"/>
    <w:rsid w:val="008D1200"/>
    <w:rsid w:val="008D133E"/>
    <w:rsid w:val="008D204D"/>
    <w:rsid w:val="008D2F74"/>
    <w:rsid w:val="008D5A72"/>
    <w:rsid w:val="008D5EA3"/>
    <w:rsid w:val="008D6103"/>
    <w:rsid w:val="008D78A7"/>
    <w:rsid w:val="008D7A17"/>
    <w:rsid w:val="008E3DB8"/>
    <w:rsid w:val="008E5AFF"/>
    <w:rsid w:val="008E6BAA"/>
    <w:rsid w:val="008E7E43"/>
    <w:rsid w:val="008F0019"/>
    <w:rsid w:val="008F0386"/>
    <w:rsid w:val="008F11B1"/>
    <w:rsid w:val="008F13F0"/>
    <w:rsid w:val="008F20B6"/>
    <w:rsid w:val="008F2B09"/>
    <w:rsid w:val="008F3058"/>
    <w:rsid w:val="008F7E16"/>
    <w:rsid w:val="00900068"/>
    <w:rsid w:val="0090039A"/>
    <w:rsid w:val="009015AC"/>
    <w:rsid w:val="0090484E"/>
    <w:rsid w:val="009055AC"/>
    <w:rsid w:val="0090644A"/>
    <w:rsid w:val="009065A0"/>
    <w:rsid w:val="0090685B"/>
    <w:rsid w:val="00907045"/>
    <w:rsid w:val="0091049F"/>
    <w:rsid w:val="00910CDB"/>
    <w:rsid w:val="00910E9D"/>
    <w:rsid w:val="009116AC"/>
    <w:rsid w:val="00911A36"/>
    <w:rsid w:val="00912776"/>
    <w:rsid w:val="009144B7"/>
    <w:rsid w:val="00914835"/>
    <w:rsid w:val="00914B2A"/>
    <w:rsid w:val="0091526C"/>
    <w:rsid w:val="009208C8"/>
    <w:rsid w:val="00920C7C"/>
    <w:rsid w:val="00920FE7"/>
    <w:rsid w:val="00921670"/>
    <w:rsid w:val="00921D5D"/>
    <w:rsid w:val="009229FE"/>
    <w:rsid w:val="00923549"/>
    <w:rsid w:val="00925BD4"/>
    <w:rsid w:val="0092656F"/>
    <w:rsid w:val="00926824"/>
    <w:rsid w:val="00927D8D"/>
    <w:rsid w:val="00927EA1"/>
    <w:rsid w:val="00930010"/>
    <w:rsid w:val="009314AC"/>
    <w:rsid w:val="00933270"/>
    <w:rsid w:val="009334CA"/>
    <w:rsid w:val="009337B4"/>
    <w:rsid w:val="00933D71"/>
    <w:rsid w:val="00934181"/>
    <w:rsid w:val="00934316"/>
    <w:rsid w:val="00934AFB"/>
    <w:rsid w:val="00936B8F"/>
    <w:rsid w:val="00936C9F"/>
    <w:rsid w:val="00937EE7"/>
    <w:rsid w:val="00940B34"/>
    <w:rsid w:val="00941244"/>
    <w:rsid w:val="009413DB"/>
    <w:rsid w:val="00941626"/>
    <w:rsid w:val="00944889"/>
    <w:rsid w:val="00944B34"/>
    <w:rsid w:val="0094504D"/>
    <w:rsid w:val="009466D0"/>
    <w:rsid w:val="009469D2"/>
    <w:rsid w:val="00946E48"/>
    <w:rsid w:val="0095037D"/>
    <w:rsid w:val="00952994"/>
    <w:rsid w:val="00952CA1"/>
    <w:rsid w:val="00952DA4"/>
    <w:rsid w:val="00953288"/>
    <w:rsid w:val="00953781"/>
    <w:rsid w:val="0095599C"/>
    <w:rsid w:val="00955BBA"/>
    <w:rsid w:val="0095608C"/>
    <w:rsid w:val="009562DC"/>
    <w:rsid w:val="00956880"/>
    <w:rsid w:val="00956E38"/>
    <w:rsid w:val="00957DF4"/>
    <w:rsid w:val="00960442"/>
    <w:rsid w:val="00962D09"/>
    <w:rsid w:val="009639F7"/>
    <w:rsid w:val="00963B62"/>
    <w:rsid w:val="00964262"/>
    <w:rsid w:val="00965E43"/>
    <w:rsid w:val="00966B3A"/>
    <w:rsid w:val="00967396"/>
    <w:rsid w:val="00970DC2"/>
    <w:rsid w:val="00970DCF"/>
    <w:rsid w:val="0097115E"/>
    <w:rsid w:val="009713F4"/>
    <w:rsid w:val="00971700"/>
    <w:rsid w:val="0097313A"/>
    <w:rsid w:val="0097471D"/>
    <w:rsid w:val="00974ED5"/>
    <w:rsid w:val="00975204"/>
    <w:rsid w:val="009752A0"/>
    <w:rsid w:val="0097624A"/>
    <w:rsid w:val="0098100C"/>
    <w:rsid w:val="0098338F"/>
    <w:rsid w:val="00986868"/>
    <w:rsid w:val="00987533"/>
    <w:rsid w:val="00994B00"/>
    <w:rsid w:val="0099669C"/>
    <w:rsid w:val="00996ED5"/>
    <w:rsid w:val="00997C39"/>
    <w:rsid w:val="009A023A"/>
    <w:rsid w:val="009A165B"/>
    <w:rsid w:val="009A21DD"/>
    <w:rsid w:val="009A393F"/>
    <w:rsid w:val="009A4C28"/>
    <w:rsid w:val="009A6125"/>
    <w:rsid w:val="009A6214"/>
    <w:rsid w:val="009A6426"/>
    <w:rsid w:val="009A6971"/>
    <w:rsid w:val="009A6ED2"/>
    <w:rsid w:val="009B0030"/>
    <w:rsid w:val="009B061C"/>
    <w:rsid w:val="009B0A4D"/>
    <w:rsid w:val="009B1427"/>
    <w:rsid w:val="009B1A6A"/>
    <w:rsid w:val="009B2BC8"/>
    <w:rsid w:val="009B34E9"/>
    <w:rsid w:val="009B4345"/>
    <w:rsid w:val="009B4ADB"/>
    <w:rsid w:val="009B4FED"/>
    <w:rsid w:val="009B5075"/>
    <w:rsid w:val="009B63FC"/>
    <w:rsid w:val="009C0E94"/>
    <w:rsid w:val="009C25ED"/>
    <w:rsid w:val="009C2697"/>
    <w:rsid w:val="009C47DB"/>
    <w:rsid w:val="009C4908"/>
    <w:rsid w:val="009C4F0E"/>
    <w:rsid w:val="009C559F"/>
    <w:rsid w:val="009C621C"/>
    <w:rsid w:val="009C6594"/>
    <w:rsid w:val="009C6F67"/>
    <w:rsid w:val="009C7BA3"/>
    <w:rsid w:val="009C7D91"/>
    <w:rsid w:val="009D26C6"/>
    <w:rsid w:val="009D2C1F"/>
    <w:rsid w:val="009D3709"/>
    <w:rsid w:val="009D3827"/>
    <w:rsid w:val="009D3B19"/>
    <w:rsid w:val="009D442A"/>
    <w:rsid w:val="009D4734"/>
    <w:rsid w:val="009D5F09"/>
    <w:rsid w:val="009D62B7"/>
    <w:rsid w:val="009D7317"/>
    <w:rsid w:val="009E0859"/>
    <w:rsid w:val="009E1659"/>
    <w:rsid w:val="009E2AD5"/>
    <w:rsid w:val="009E3172"/>
    <w:rsid w:val="009E3210"/>
    <w:rsid w:val="009E4D70"/>
    <w:rsid w:val="009E4EFE"/>
    <w:rsid w:val="009E636B"/>
    <w:rsid w:val="009F2544"/>
    <w:rsid w:val="009F3530"/>
    <w:rsid w:val="009F3ADA"/>
    <w:rsid w:val="009F426F"/>
    <w:rsid w:val="009F46DA"/>
    <w:rsid w:val="009F5C60"/>
    <w:rsid w:val="009F66FF"/>
    <w:rsid w:val="009F6B09"/>
    <w:rsid w:val="009F74C1"/>
    <w:rsid w:val="00A00062"/>
    <w:rsid w:val="00A011B4"/>
    <w:rsid w:val="00A02089"/>
    <w:rsid w:val="00A0269E"/>
    <w:rsid w:val="00A02773"/>
    <w:rsid w:val="00A02FFE"/>
    <w:rsid w:val="00A033BC"/>
    <w:rsid w:val="00A0542E"/>
    <w:rsid w:val="00A059D5"/>
    <w:rsid w:val="00A05A46"/>
    <w:rsid w:val="00A06C5F"/>
    <w:rsid w:val="00A07467"/>
    <w:rsid w:val="00A07538"/>
    <w:rsid w:val="00A076CE"/>
    <w:rsid w:val="00A11ED5"/>
    <w:rsid w:val="00A129E2"/>
    <w:rsid w:val="00A12DAA"/>
    <w:rsid w:val="00A1627B"/>
    <w:rsid w:val="00A169B6"/>
    <w:rsid w:val="00A22D97"/>
    <w:rsid w:val="00A24839"/>
    <w:rsid w:val="00A25568"/>
    <w:rsid w:val="00A303C5"/>
    <w:rsid w:val="00A31905"/>
    <w:rsid w:val="00A32D40"/>
    <w:rsid w:val="00A33EDA"/>
    <w:rsid w:val="00A34EE2"/>
    <w:rsid w:val="00A3599B"/>
    <w:rsid w:val="00A36150"/>
    <w:rsid w:val="00A36311"/>
    <w:rsid w:val="00A36A54"/>
    <w:rsid w:val="00A37946"/>
    <w:rsid w:val="00A37D27"/>
    <w:rsid w:val="00A40A20"/>
    <w:rsid w:val="00A40BB0"/>
    <w:rsid w:val="00A4169F"/>
    <w:rsid w:val="00A416B1"/>
    <w:rsid w:val="00A42439"/>
    <w:rsid w:val="00A42BD6"/>
    <w:rsid w:val="00A44B73"/>
    <w:rsid w:val="00A45D74"/>
    <w:rsid w:val="00A46611"/>
    <w:rsid w:val="00A511FC"/>
    <w:rsid w:val="00A53F4A"/>
    <w:rsid w:val="00A54793"/>
    <w:rsid w:val="00A55785"/>
    <w:rsid w:val="00A602C1"/>
    <w:rsid w:val="00A6076B"/>
    <w:rsid w:val="00A60A85"/>
    <w:rsid w:val="00A60E81"/>
    <w:rsid w:val="00A619D8"/>
    <w:rsid w:val="00A61EF9"/>
    <w:rsid w:val="00A62F3E"/>
    <w:rsid w:val="00A63152"/>
    <w:rsid w:val="00A63EA0"/>
    <w:rsid w:val="00A64264"/>
    <w:rsid w:val="00A64672"/>
    <w:rsid w:val="00A64899"/>
    <w:rsid w:val="00A64AEC"/>
    <w:rsid w:val="00A6596A"/>
    <w:rsid w:val="00A65F58"/>
    <w:rsid w:val="00A70295"/>
    <w:rsid w:val="00A716EC"/>
    <w:rsid w:val="00A71C75"/>
    <w:rsid w:val="00A729FC"/>
    <w:rsid w:val="00A73F48"/>
    <w:rsid w:val="00A75A2C"/>
    <w:rsid w:val="00A77E5F"/>
    <w:rsid w:val="00A77F51"/>
    <w:rsid w:val="00A82150"/>
    <w:rsid w:val="00A831F1"/>
    <w:rsid w:val="00A83D00"/>
    <w:rsid w:val="00A83E60"/>
    <w:rsid w:val="00A862A7"/>
    <w:rsid w:val="00A902D5"/>
    <w:rsid w:val="00A90DB1"/>
    <w:rsid w:val="00A9106A"/>
    <w:rsid w:val="00A91C34"/>
    <w:rsid w:val="00A9200A"/>
    <w:rsid w:val="00A92EA8"/>
    <w:rsid w:val="00A934B9"/>
    <w:rsid w:val="00A95434"/>
    <w:rsid w:val="00AA1000"/>
    <w:rsid w:val="00AA2502"/>
    <w:rsid w:val="00AA2572"/>
    <w:rsid w:val="00AA4455"/>
    <w:rsid w:val="00AA627D"/>
    <w:rsid w:val="00AA6AF9"/>
    <w:rsid w:val="00AA6BF9"/>
    <w:rsid w:val="00AB07DF"/>
    <w:rsid w:val="00AB19D8"/>
    <w:rsid w:val="00AB1DDF"/>
    <w:rsid w:val="00AB2839"/>
    <w:rsid w:val="00AB302F"/>
    <w:rsid w:val="00AB3C54"/>
    <w:rsid w:val="00AB50C8"/>
    <w:rsid w:val="00AB58B8"/>
    <w:rsid w:val="00AB777F"/>
    <w:rsid w:val="00AC0A09"/>
    <w:rsid w:val="00AC3290"/>
    <w:rsid w:val="00AC33DE"/>
    <w:rsid w:val="00AC4F84"/>
    <w:rsid w:val="00AC5FCF"/>
    <w:rsid w:val="00AC6D69"/>
    <w:rsid w:val="00AD023C"/>
    <w:rsid w:val="00AD12EB"/>
    <w:rsid w:val="00AD144E"/>
    <w:rsid w:val="00AD278C"/>
    <w:rsid w:val="00AD5206"/>
    <w:rsid w:val="00AD527D"/>
    <w:rsid w:val="00AD5B2D"/>
    <w:rsid w:val="00AD7A4A"/>
    <w:rsid w:val="00AE24C3"/>
    <w:rsid w:val="00AE5383"/>
    <w:rsid w:val="00AE6172"/>
    <w:rsid w:val="00AF066A"/>
    <w:rsid w:val="00AF1DEC"/>
    <w:rsid w:val="00AF21A5"/>
    <w:rsid w:val="00AF2237"/>
    <w:rsid w:val="00AF2B27"/>
    <w:rsid w:val="00AF3B53"/>
    <w:rsid w:val="00AF466A"/>
    <w:rsid w:val="00AF4B8B"/>
    <w:rsid w:val="00B0047C"/>
    <w:rsid w:val="00B008F5"/>
    <w:rsid w:val="00B02625"/>
    <w:rsid w:val="00B02DB3"/>
    <w:rsid w:val="00B03E35"/>
    <w:rsid w:val="00B055A7"/>
    <w:rsid w:val="00B0586A"/>
    <w:rsid w:val="00B05C45"/>
    <w:rsid w:val="00B10970"/>
    <w:rsid w:val="00B15DC2"/>
    <w:rsid w:val="00B16E03"/>
    <w:rsid w:val="00B17903"/>
    <w:rsid w:val="00B17924"/>
    <w:rsid w:val="00B17E35"/>
    <w:rsid w:val="00B22532"/>
    <w:rsid w:val="00B22B23"/>
    <w:rsid w:val="00B23412"/>
    <w:rsid w:val="00B23D2F"/>
    <w:rsid w:val="00B23F61"/>
    <w:rsid w:val="00B2413F"/>
    <w:rsid w:val="00B256BF"/>
    <w:rsid w:val="00B25B98"/>
    <w:rsid w:val="00B260F0"/>
    <w:rsid w:val="00B26C05"/>
    <w:rsid w:val="00B2700F"/>
    <w:rsid w:val="00B2730F"/>
    <w:rsid w:val="00B31724"/>
    <w:rsid w:val="00B32280"/>
    <w:rsid w:val="00B33A26"/>
    <w:rsid w:val="00B354F2"/>
    <w:rsid w:val="00B3761D"/>
    <w:rsid w:val="00B379AF"/>
    <w:rsid w:val="00B42F43"/>
    <w:rsid w:val="00B43857"/>
    <w:rsid w:val="00B4407B"/>
    <w:rsid w:val="00B44CF4"/>
    <w:rsid w:val="00B44D12"/>
    <w:rsid w:val="00B45203"/>
    <w:rsid w:val="00B457EE"/>
    <w:rsid w:val="00B45CE8"/>
    <w:rsid w:val="00B45D4F"/>
    <w:rsid w:val="00B45DD0"/>
    <w:rsid w:val="00B47077"/>
    <w:rsid w:val="00B47E45"/>
    <w:rsid w:val="00B47ED3"/>
    <w:rsid w:val="00B504BD"/>
    <w:rsid w:val="00B5071E"/>
    <w:rsid w:val="00B50798"/>
    <w:rsid w:val="00B511BF"/>
    <w:rsid w:val="00B53739"/>
    <w:rsid w:val="00B54E99"/>
    <w:rsid w:val="00B55C7B"/>
    <w:rsid w:val="00B6003E"/>
    <w:rsid w:val="00B63337"/>
    <w:rsid w:val="00B63660"/>
    <w:rsid w:val="00B64636"/>
    <w:rsid w:val="00B66706"/>
    <w:rsid w:val="00B66864"/>
    <w:rsid w:val="00B67416"/>
    <w:rsid w:val="00B67867"/>
    <w:rsid w:val="00B705DC"/>
    <w:rsid w:val="00B7065E"/>
    <w:rsid w:val="00B70F73"/>
    <w:rsid w:val="00B70FE5"/>
    <w:rsid w:val="00B71AA1"/>
    <w:rsid w:val="00B729E8"/>
    <w:rsid w:val="00B72D82"/>
    <w:rsid w:val="00B72F45"/>
    <w:rsid w:val="00B7441E"/>
    <w:rsid w:val="00B74552"/>
    <w:rsid w:val="00B75A4A"/>
    <w:rsid w:val="00B76779"/>
    <w:rsid w:val="00B769DA"/>
    <w:rsid w:val="00B76FB0"/>
    <w:rsid w:val="00B77616"/>
    <w:rsid w:val="00B77DC6"/>
    <w:rsid w:val="00B77E9E"/>
    <w:rsid w:val="00B81498"/>
    <w:rsid w:val="00B81662"/>
    <w:rsid w:val="00B82F65"/>
    <w:rsid w:val="00B83D28"/>
    <w:rsid w:val="00B8519E"/>
    <w:rsid w:val="00B870D0"/>
    <w:rsid w:val="00B8780F"/>
    <w:rsid w:val="00B9077F"/>
    <w:rsid w:val="00B911F6"/>
    <w:rsid w:val="00B9363F"/>
    <w:rsid w:val="00B93BA2"/>
    <w:rsid w:val="00B9610D"/>
    <w:rsid w:val="00B96C1A"/>
    <w:rsid w:val="00B96DB2"/>
    <w:rsid w:val="00BA1FA3"/>
    <w:rsid w:val="00BA40BC"/>
    <w:rsid w:val="00BA5726"/>
    <w:rsid w:val="00BA791F"/>
    <w:rsid w:val="00BB079B"/>
    <w:rsid w:val="00BB3F2C"/>
    <w:rsid w:val="00BB4182"/>
    <w:rsid w:val="00BB430A"/>
    <w:rsid w:val="00BB5382"/>
    <w:rsid w:val="00BB590E"/>
    <w:rsid w:val="00BB72ED"/>
    <w:rsid w:val="00BB7DAC"/>
    <w:rsid w:val="00BB7EF2"/>
    <w:rsid w:val="00BC0FA6"/>
    <w:rsid w:val="00BC24E3"/>
    <w:rsid w:val="00BC31A2"/>
    <w:rsid w:val="00BC350F"/>
    <w:rsid w:val="00BC4365"/>
    <w:rsid w:val="00BC56A7"/>
    <w:rsid w:val="00BC5BF2"/>
    <w:rsid w:val="00BC6426"/>
    <w:rsid w:val="00BC669E"/>
    <w:rsid w:val="00BC70F0"/>
    <w:rsid w:val="00BD0078"/>
    <w:rsid w:val="00BD102C"/>
    <w:rsid w:val="00BD3B25"/>
    <w:rsid w:val="00BD4A5F"/>
    <w:rsid w:val="00BD5033"/>
    <w:rsid w:val="00BD5958"/>
    <w:rsid w:val="00BD6812"/>
    <w:rsid w:val="00BE0367"/>
    <w:rsid w:val="00BE037A"/>
    <w:rsid w:val="00BE05D6"/>
    <w:rsid w:val="00BE072B"/>
    <w:rsid w:val="00BE1860"/>
    <w:rsid w:val="00BE420C"/>
    <w:rsid w:val="00BE57F2"/>
    <w:rsid w:val="00BE62A1"/>
    <w:rsid w:val="00BE6927"/>
    <w:rsid w:val="00BE69F9"/>
    <w:rsid w:val="00BE7AD3"/>
    <w:rsid w:val="00BF158A"/>
    <w:rsid w:val="00BF24BE"/>
    <w:rsid w:val="00BF24DC"/>
    <w:rsid w:val="00BF2BA7"/>
    <w:rsid w:val="00BF2C76"/>
    <w:rsid w:val="00BF5346"/>
    <w:rsid w:val="00BF543A"/>
    <w:rsid w:val="00BF5EE2"/>
    <w:rsid w:val="00BF7A1D"/>
    <w:rsid w:val="00C009B8"/>
    <w:rsid w:val="00C01521"/>
    <w:rsid w:val="00C027DF"/>
    <w:rsid w:val="00C0483F"/>
    <w:rsid w:val="00C06249"/>
    <w:rsid w:val="00C06407"/>
    <w:rsid w:val="00C0796C"/>
    <w:rsid w:val="00C07E6D"/>
    <w:rsid w:val="00C102CC"/>
    <w:rsid w:val="00C104DF"/>
    <w:rsid w:val="00C10944"/>
    <w:rsid w:val="00C10D84"/>
    <w:rsid w:val="00C144AB"/>
    <w:rsid w:val="00C15040"/>
    <w:rsid w:val="00C156B6"/>
    <w:rsid w:val="00C16646"/>
    <w:rsid w:val="00C2089D"/>
    <w:rsid w:val="00C21871"/>
    <w:rsid w:val="00C22299"/>
    <w:rsid w:val="00C22B0F"/>
    <w:rsid w:val="00C23897"/>
    <w:rsid w:val="00C23DDA"/>
    <w:rsid w:val="00C2514E"/>
    <w:rsid w:val="00C253CB"/>
    <w:rsid w:val="00C25B46"/>
    <w:rsid w:val="00C26304"/>
    <w:rsid w:val="00C27420"/>
    <w:rsid w:val="00C27498"/>
    <w:rsid w:val="00C27809"/>
    <w:rsid w:val="00C27BE4"/>
    <w:rsid w:val="00C30579"/>
    <w:rsid w:val="00C30F68"/>
    <w:rsid w:val="00C31942"/>
    <w:rsid w:val="00C34FFD"/>
    <w:rsid w:val="00C369DA"/>
    <w:rsid w:val="00C40BDD"/>
    <w:rsid w:val="00C40FF9"/>
    <w:rsid w:val="00C41843"/>
    <w:rsid w:val="00C41973"/>
    <w:rsid w:val="00C422DC"/>
    <w:rsid w:val="00C43FD7"/>
    <w:rsid w:val="00C441C5"/>
    <w:rsid w:val="00C444D7"/>
    <w:rsid w:val="00C45B92"/>
    <w:rsid w:val="00C46626"/>
    <w:rsid w:val="00C46EF9"/>
    <w:rsid w:val="00C50BC1"/>
    <w:rsid w:val="00C531B5"/>
    <w:rsid w:val="00C53B24"/>
    <w:rsid w:val="00C575B7"/>
    <w:rsid w:val="00C611EA"/>
    <w:rsid w:val="00C613AB"/>
    <w:rsid w:val="00C62C3C"/>
    <w:rsid w:val="00C62F94"/>
    <w:rsid w:val="00C6339B"/>
    <w:rsid w:val="00C63BB4"/>
    <w:rsid w:val="00C64408"/>
    <w:rsid w:val="00C649CF"/>
    <w:rsid w:val="00C66C58"/>
    <w:rsid w:val="00C71788"/>
    <w:rsid w:val="00C7282F"/>
    <w:rsid w:val="00C740D4"/>
    <w:rsid w:val="00C74ED3"/>
    <w:rsid w:val="00C753E3"/>
    <w:rsid w:val="00C756A7"/>
    <w:rsid w:val="00C77E8C"/>
    <w:rsid w:val="00C80280"/>
    <w:rsid w:val="00C81589"/>
    <w:rsid w:val="00C81FD5"/>
    <w:rsid w:val="00C83342"/>
    <w:rsid w:val="00C83B38"/>
    <w:rsid w:val="00C86107"/>
    <w:rsid w:val="00C86579"/>
    <w:rsid w:val="00C86663"/>
    <w:rsid w:val="00C86759"/>
    <w:rsid w:val="00C86859"/>
    <w:rsid w:val="00C86F0B"/>
    <w:rsid w:val="00C876D5"/>
    <w:rsid w:val="00C91292"/>
    <w:rsid w:val="00C915D7"/>
    <w:rsid w:val="00C923F2"/>
    <w:rsid w:val="00C9287A"/>
    <w:rsid w:val="00C93A3E"/>
    <w:rsid w:val="00C93AFC"/>
    <w:rsid w:val="00C9409B"/>
    <w:rsid w:val="00C94446"/>
    <w:rsid w:val="00C95250"/>
    <w:rsid w:val="00C9568E"/>
    <w:rsid w:val="00C9606D"/>
    <w:rsid w:val="00C97F1E"/>
    <w:rsid w:val="00CA0206"/>
    <w:rsid w:val="00CA0450"/>
    <w:rsid w:val="00CA05B6"/>
    <w:rsid w:val="00CA0617"/>
    <w:rsid w:val="00CA0B9F"/>
    <w:rsid w:val="00CA1D25"/>
    <w:rsid w:val="00CA2394"/>
    <w:rsid w:val="00CA25EF"/>
    <w:rsid w:val="00CA3857"/>
    <w:rsid w:val="00CA4606"/>
    <w:rsid w:val="00CA79E3"/>
    <w:rsid w:val="00CA7E9C"/>
    <w:rsid w:val="00CB3B13"/>
    <w:rsid w:val="00CB4481"/>
    <w:rsid w:val="00CB7BB0"/>
    <w:rsid w:val="00CC0ED8"/>
    <w:rsid w:val="00CC1B17"/>
    <w:rsid w:val="00CC216B"/>
    <w:rsid w:val="00CC2C68"/>
    <w:rsid w:val="00CC3910"/>
    <w:rsid w:val="00CC42D6"/>
    <w:rsid w:val="00CC5586"/>
    <w:rsid w:val="00CC604E"/>
    <w:rsid w:val="00CC7596"/>
    <w:rsid w:val="00CD0AF3"/>
    <w:rsid w:val="00CD11B7"/>
    <w:rsid w:val="00CD4EA6"/>
    <w:rsid w:val="00CE0B9C"/>
    <w:rsid w:val="00CE0BB9"/>
    <w:rsid w:val="00CE14E4"/>
    <w:rsid w:val="00CE1529"/>
    <w:rsid w:val="00CE37E6"/>
    <w:rsid w:val="00CE414D"/>
    <w:rsid w:val="00CE445D"/>
    <w:rsid w:val="00CE4BC3"/>
    <w:rsid w:val="00CE655F"/>
    <w:rsid w:val="00CE670A"/>
    <w:rsid w:val="00CE7073"/>
    <w:rsid w:val="00CF0183"/>
    <w:rsid w:val="00CF020B"/>
    <w:rsid w:val="00CF11A1"/>
    <w:rsid w:val="00CF1260"/>
    <w:rsid w:val="00CF1507"/>
    <w:rsid w:val="00CF212E"/>
    <w:rsid w:val="00CF287B"/>
    <w:rsid w:val="00CF2D50"/>
    <w:rsid w:val="00CF4E63"/>
    <w:rsid w:val="00CF6E44"/>
    <w:rsid w:val="00CF6EA3"/>
    <w:rsid w:val="00CF77A9"/>
    <w:rsid w:val="00D0040D"/>
    <w:rsid w:val="00D0128E"/>
    <w:rsid w:val="00D02754"/>
    <w:rsid w:val="00D054F6"/>
    <w:rsid w:val="00D06F3D"/>
    <w:rsid w:val="00D0782A"/>
    <w:rsid w:val="00D11B6A"/>
    <w:rsid w:val="00D11F48"/>
    <w:rsid w:val="00D1213E"/>
    <w:rsid w:val="00D1268F"/>
    <w:rsid w:val="00D1283B"/>
    <w:rsid w:val="00D14CDD"/>
    <w:rsid w:val="00D15B37"/>
    <w:rsid w:val="00D15C9D"/>
    <w:rsid w:val="00D176FC"/>
    <w:rsid w:val="00D17A42"/>
    <w:rsid w:val="00D2039E"/>
    <w:rsid w:val="00D20472"/>
    <w:rsid w:val="00D21BF0"/>
    <w:rsid w:val="00D2357C"/>
    <w:rsid w:val="00D2442C"/>
    <w:rsid w:val="00D2452D"/>
    <w:rsid w:val="00D252DE"/>
    <w:rsid w:val="00D27AEF"/>
    <w:rsid w:val="00D30B8F"/>
    <w:rsid w:val="00D3146A"/>
    <w:rsid w:val="00D3210B"/>
    <w:rsid w:val="00D3304A"/>
    <w:rsid w:val="00D33243"/>
    <w:rsid w:val="00D33A93"/>
    <w:rsid w:val="00D33B30"/>
    <w:rsid w:val="00D351C2"/>
    <w:rsid w:val="00D35BBC"/>
    <w:rsid w:val="00D37050"/>
    <w:rsid w:val="00D377F8"/>
    <w:rsid w:val="00D40AC8"/>
    <w:rsid w:val="00D412BB"/>
    <w:rsid w:val="00D413E8"/>
    <w:rsid w:val="00D41B37"/>
    <w:rsid w:val="00D43D0D"/>
    <w:rsid w:val="00D44121"/>
    <w:rsid w:val="00D44327"/>
    <w:rsid w:val="00D44773"/>
    <w:rsid w:val="00D4484F"/>
    <w:rsid w:val="00D46FBF"/>
    <w:rsid w:val="00D5065D"/>
    <w:rsid w:val="00D5079E"/>
    <w:rsid w:val="00D52186"/>
    <w:rsid w:val="00D52E21"/>
    <w:rsid w:val="00D52E27"/>
    <w:rsid w:val="00D53AE2"/>
    <w:rsid w:val="00D55C8C"/>
    <w:rsid w:val="00D5629D"/>
    <w:rsid w:val="00D57765"/>
    <w:rsid w:val="00D57F01"/>
    <w:rsid w:val="00D60467"/>
    <w:rsid w:val="00D6148F"/>
    <w:rsid w:val="00D62669"/>
    <w:rsid w:val="00D62D02"/>
    <w:rsid w:val="00D64CA4"/>
    <w:rsid w:val="00D650AB"/>
    <w:rsid w:val="00D65B88"/>
    <w:rsid w:val="00D65E07"/>
    <w:rsid w:val="00D67423"/>
    <w:rsid w:val="00D7028E"/>
    <w:rsid w:val="00D7177F"/>
    <w:rsid w:val="00D71C17"/>
    <w:rsid w:val="00D725FA"/>
    <w:rsid w:val="00D72948"/>
    <w:rsid w:val="00D75CD8"/>
    <w:rsid w:val="00D76BB1"/>
    <w:rsid w:val="00D76C4C"/>
    <w:rsid w:val="00D7750F"/>
    <w:rsid w:val="00D77949"/>
    <w:rsid w:val="00D8146F"/>
    <w:rsid w:val="00D831FD"/>
    <w:rsid w:val="00D83213"/>
    <w:rsid w:val="00D8589B"/>
    <w:rsid w:val="00D858E4"/>
    <w:rsid w:val="00D85E00"/>
    <w:rsid w:val="00D85F6B"/>
    <w:rsid w:val="00D86BBC"/>
    <w:rsid w:val="00D86C4F"/>
    <w:rsid w:val="00D87160"/>
    <w:rsid w:val="00D87E89"/>
    <w:rsid w:val="00D90551"/>
    <w:rsid w:val="00D90E0F"/>
    <w:rsid w:val="00D916C6"/>
    <w:rsid w:val="00D94138"/>
    <w:rsid w:val="00D959DD"/>
    <w:rsid w:val="00D960D0"/>
    <w:rsid w:val="00D96C3C"/>
    <w:rsid w:val="00D97101"/>
    <w:rsid w:val="00DA198F"/>
    <w:rsid w:val="00DA19F3"/>
    <w:rsid w:val="00DA2B20"/>
    <w:rsid w:val="00DA2E4E"/>
    <w:rsid w:val="00DA3BF3"/>
    <w:rsid w:val="00DA476B"/>
    <w:rsid w:val="00DA6750"/>
    <w:rsid w:val="00DA6ED5"/>
    <w:rsid w:val="00DA76E3"/>
    <w:rsid w:val="00DB2B43"/>
    <w:rsid w:val="00DB337A"/>
    <w:rsid w:val="00DB3455"/>
    <w:rsid w:val="00DB4ADB"/>
    <w:rsid w:val="00DB5E24"/>
    <w:rsid w:val="00DC0A0B"/>
    <w:rsid w:val="00DC13EF"/>
    <w:rsid w:val="00DC2202"/>
    <w:rsid w:val="00DC2641"/>
    <w:rsid w:val="00DC2917"/>
    <w:rsid w:val="00DC4F29"/>
    <w:rsid w:val="00DC66B9"/>
    <w:rsid w:val="00DC6C01"/>
    <w:rsid w:val="00DC71E2"/>
    <w:rsid w:val="00DC71FD"/>
    <w:rsid w:val="00DC7367"/>
    <w:rsid w:val="00DD0206"/>
    <w:rsid w:val="00DD053B"/>
    <w:rsid w:val="00DD0B88"/>
    <w:rsid w:val="00DD1577"/>
    <w:rsid w:val="00DD2031"/>
    <w:rsid w:val="00DD277A"/>
    <w:rsid w:val="00DD2D2B"/>
    <w:rsid w:val="00DD2F53"/>
    <w:rsid w:val="00DD65BC"/>
    <w:rsid w:val="00DE0477"/>
    <w:rsid w:val="00DE0A80"/>
    <w:rsid w:val="00DE178B"/>
    <w:rsid w:val="00DE5235"/>
    <w:rsid w:val="00DE53E5"/>
    <w:rsid w:val="00DE6947"/>
    <w:rsid w:val="00DE7705"/>
    <w:rsid w:val="00DF26BE"/>
    <w:rsid w:val="00DF5125"/>
    <w:rsid w:val="00DF52C1"/>
    <w:rsid w:val="00DF5990"/>
    <w:rsid w:val="00DF7326"/>
    <w:rsid w:val="00DF73EE"/>
    <w:rsid w:val="00E0008A"/>
    <w:rsid w:val="00E00500"/>
    <w:rsid w:val="00E015F6"/>
    <w:rsid w:val="00E016A5"/>
    <w:rsid w:val="00E01E83"/>
    <w:rsid w:val="00E048A9"/>
    <w:rsid w:val="00E04DBA"/>
    <w:rsid w:val="00E05312"/>
    <w:rsid w:val="00E0594A"/>
    <w:rsid w:val="00E0699A"/>
    <w:rsid w:val="00E0798A"/>
    <w:rsid w:val="00E07E99"/>
    <w:rsid w:val="00E11165"/>
    <w:rsid w:val="00E11599"/>
    <w:rsid w:val="00E11F70"/>
    <w:rsid w:val="00E1305A"/>
    <w:rsid w:val="00E13DE5"/>
    <w:rsid w:val="00E1445B"/>
    <w:rsid w:val="00E1610E"/>
    <w:rsid w:val="00E161FD"/>
    <w:rsid w:val="00E171FC"/>
    <w:rsid w:val="00E20259"/>
    <w:rsid w:val="00E21ABD"/>
    <w:rsid w:val="00E21F7F"/>
    <w:rsid w:val="00E2496D"/>
    <w:rsid w:val="00E25E19"/>
    <w:rsid w:val="00E27B8B"/>
    <w:rsid w:val="00E3122B"/>
    <w:rsid w:val="00E31A80"/>
    <w:rsid w:val="00E342F8"/>
    <w:rsid w:val="00E34542"/>
    <w:rsid w:val="00E36336"/>
    <w:rsid w:val="00E369A3"/>
    <w:rsid w:val="00E37727"/>
    <w:rsid w:val="00E42CF9"/>
    <w:rsid w:val="00E43F57"/>
    <w:rsid w:val="00E44162"/>
    <w:rsid w:val="00E449FD"/>
    <w:rsid w:val="00E44EBF"/>
    <w:rsid w:val="00E45A32"/>
    <w:rsid w:val="00E4618B"/>
    <w:rsid w:val="00E46422"/>
    <w:rsid w:val="00E467F0"/>
    <w:rsid w:val="00E47004"/>
    <w:rsid w:val="00E472AC"/>
    <w:rsid w:val="00E47645"/>
    <w:rsid w:val="00E501F1"/>
    <w:rsid w:val="00E50979"/>
    <w:rsid w:val="00E511C1"/>
    <w:rsid w:val="00E51442"/>
    <w:rsid w:val="00E5207C"/>
    <w:rsid w:val="00E56290"/>
    <w:rsid w:val="00E567F6"/>
    <w:rsid w:val="00E576F8"/>
    <w:rsid w:val="00E57FCC"/>
    <w:rsid w:val="00E60949"/>
    <w:rsid w:val="00E61668"/>
    <w:rsid w:val="00E61A59"/>
    <w:rsid w:val="00E62034"/>
    <w:rsid w:val="00E6228C"/>
    <w:rsid w:val="00E62C9D"/>
    <w:rsid w:val="00E62E98"/>
    <w:rsid w:val="00E6394C"/>
    <w:rsid w:val="00E63C3A"/>
    <w:rsid w:val="00E63D3E"/>
    <w:rsid w:val="00E64356"/>
    <w:rsid w:val="00E65223"/>
    <w:rsid w:val="00E65E1A"/>
    <w:rsid w:val="00E66425"/>
    <w:rsid w:val="00E72649"/>
    <w:rsid w:val="00E73BEA"/>
    <w:rsid w:val="00E76076"/>
    <w:rsid w:val="00E77CEE"/>
    <w:rsid w:val="00E81080"/>
    <w:rsid w:val="00E810BB"/>
    <w:rsid w:val="00E828CC"/>
    <w:rsid w:val="00E833BB"/>
    <w:rsid w:val="00E83A69"/>
    <w:rsid w:val="00E83D75"/>
    <w:rsid w:val="00E848A4"/>
    <w:rsid w:val="00E84D6D"/>
    <w:rsid w:val="00E85701"/>
    <w:rsid w:val="00E85927"/>
    <w:rsid w:val="00E864CE"/>
    <w:rsid w:val="00E90CAE"/>
    <w:rsid w:val="00E912F9"/>
    <w:rsid w:val="00E91382"/>
    <w:rsid w:val="00E91ABB"/>
    <w:rsid w:val="00E91B57"/>
    <w:rsid w:val="00E91DDC"/>
    <w:rsid w:val="00E92C9E"/>
    <w:rsid w:val="00E9364C"/>
    <w:rsid w:val="00E94A96"/>
    <w:rsid w:val="00E970DE"/>
    <w:rsid w:val="00E9716A"/>
    <w:rsid w:val="00EA0F2D"/>
    <w:rsid w:val="00EA22CA"/>
    <w:rsid w:val="00EA24BD"/>
    <w:rsid w:val="00EA2914"/>
    <w:rsid w:val="00EA4A4A"/>
    <w:rsid w:val="00EA6D0C"/>
    <w:rsid w:val="00EA6DB3"/>
    <w:rsid w:val="00EA6E1F"/>
    <w:rsid w:val="00EB004E"/>
    <w:rsid w:val="00EB2D48"/>
    <w:rsid w:val="00EB3E0C"/>
    <w:rsid w:val="00EB3FBB"/>
    <w:rsid w:val="00EC008B"/>
    <w:rsid w:val="00EC093B"/>
    <w:rsid w:val="00EC2253"/>
    <w:rsid w:val="00EC319A"/>
    <w:rsid w:val="00EC417F"/>
    <w:rsid w:val="00EC4E84"/>
    <w:rsid w:val="00EC4E85"/>
    <w:rsid w:val="00EC5730"/>
    <w:rsid w:val="00EC574E"/>
    <w:rsid w:val="00ED19D6"/>
    <w:rsid w:val="00ED2876"/>
    <w:rsid w:val="00ED3B4C"/>
    <w:rsid w:val="00ED3ECC"/>
    <w:rsid w:val="00ED464C"/>
    <w:rsid w:val="00ED4DE5"/>
    <w:rsid w:val="00ED54E5"/>
    <w:rsid w:val="00ED6FF5"/>
    <w:rsid w:val="00ED7C3F"/>
    <w:rsid w:val="00EE17BA"/>
    <w:rsid w:val="00EE683F"/>
    <w:rsid w:val="00EE6B87"/>
    <w:rsid w:val="00EE6C38"/>
    <w:rsid w:val="00EE6CBD"/>
    <w:rsid w:val="00EF096B"/>
    <w:rsid w:val="00EF2E74"/>
    <w:rsid w:val="00EF530A"/>
    <w:rsid w:val="00EF53D5"/>
    <w:rsid w:val="00EF6881"/>
    <w:rsid w:val="00EF720D"/>
    <w:rsid w:val="00EF7BEE"/>
    <w:rsid w:val="00F00A5F"/>
    <w:rsid w:val="00F00D3D"/>
    <w:rsid w:val="00F02278"/>
    <w:rsid w:val="00F02368"/>
    <w:rsid w:val="00F023AC"/>
    <w:rsid w:val="00F02510"/>
    <w:rsid w:val="00F031CD"/>
    <w:rsid w:val="00F03639"/>
    <w:rsid w:val="00F03C74"/>
    <w:rsid w:val="00F04C5E"/>
    <w:rsid w:val="00F0579F"/>
    <w:rsid w:val="00F05CE3"/>
    <w:rsid w:val="00F065E6"/>
    <w:rsid w:val="00F07931"/>
    <w:rsid w:val="00F10441"/>
    <w:rsid w:val="00F105DC"/>
    <w:rsid w:val="00F10CE1"/>
    <w:rsid w:val="00F11407"/>
    <w:rsid w:val="00F123C3"/>
    <w:rsid w:val="00F134A3"/>
    <w:rsid w:val="00F13DA9"/>
    <w:rsid w:val="00F13F77"/>
    <w:rsid w:val="00F1618A"/>
    <w:rsid w:val="00F16CDE"/>
    <w:rsid w:val="00F16FAB"/>
    <w:rsid w:val="00F1751A"/>
    <w:rsid w:val="00F2111A"/>
    <w:rsid w:val="00F21A5F"/>
    <w:rsid w:val="00F22009"/>
    <w:rsid w:val="00F226E7"/>
    <w:rsid w:val="00F23B8C"/>
    <w:rsid w:val="00F2442A"/>
    <w:rsid w:val="00F245CC"/>
    <w:rsid w:val="00F25BFF"/>
    <w:rsid w:val="00F273A2"/>
    <w:rsid w:val="00F27D7A"/>
    <w:rsid w:val="00F27EEE"/>
    <w:rsid w:val="00F31167"/>
    <w:rsid w:val="00F3137C"/>
    <w:rsid w:val="00F315E4"/>
    <w:rsid w:val="00F31E42"/>
    <w:rsid w:val="00F32CFB"/>
    <w:rsid w:val="00F33049"/>
    <w:rsid w:val="00F333C8"/>
    <w:rsid w:val="00F339DB"/>
    <w:rsid w:val="00F33B6E"/>
    <w:rsid w:val="00F33D0B"/>
    <w:rsid w:val="00F4032A"/>
    <w:rsid w:val="00F4336F"/>
    <w:rsid w:val="00F43FAD"/>
    <w:rsid w:val="00F453DF"/>
    <w:rsid w:val="00F459DA"/>
    <w:rsid w:val="00F45F6B"/>
    <w:rsid w:val="00F4628E"/>
    <w:rsid w:val="00F516D4"/>
    <w:rsid w:val="00F52A3C"/>
    <w:rsid w:val="00F52DFD"/>
    <w:rsid w:val="00F558B0"/>
    <w:rsid w:val="00F55DB3"/>
    <w:rsid w:val="00F56244"/>
    <w:rsid w:val="00F56396"/>
    <w:rsid w:val="00F612E4"/>
    <w:rsid w:val="00F619BD"/>
    <w:rsid w:val="00F61F65"/>
    <w:rsid w:val="00F61F96"/>
    <w:rsid w:val="00F628EA"/>
    <w:rsid w:val="00F62D62"/>
    <w:rsid w:val="00F66A3A"/>
    <w:rsid w:val="00F66BFE"/>
    <w:rsid w:val="00F67913"/>
    <w:rsid w:val="00F7146A"/>
    <w:rsid w:val="00F72547"/>
    <w:rsid w:val="00F74619"/>
    <w:rsid w:val="00F750E5"/>
    <w:rsid w:val="00F75446"/>
    <w:rsid w:val="00F758C5"/>
    <w:rsid w:val="00F75FEB"/>
    <w:rsid w:val="00F76D19"/>
    <w:rsid w:val="00F7724A"/>
    <w:rsid w:val="00F77AE6"/>
    <w:rsid w:val="00F77B9A"/>
    <w:rsid w:val="00F80735"/>
    <w:rsid w:val="00F81367"/>
    <w:rsid w:val="00F82773"/>
    <w:rsid w:val="00F84C8A"/>
    <w:rsid w:val="00F8556B"/>
    <w:rsid w:val="00F858B7"/>
    <w:rsid w:val="00F85C4F"/>
    <w:rsid w:val="00F916A8"/>
    <w:rsid w:val="00F91733"/>
    <w:rsid w:val="00F91B29"/>
    <w:rsid w:val="00F920D4"/>
    <w:rsid w:val="00F92696"/>
    <w:rsid w:val="00F928C3"/>
    <w:rsid w:val="00F929F0"/>
    <w:rsid w:val="00F93530"/>
    <w:rsid w:val="00F9366C"/>
    <w:rsid w:val="00F957A5"/>
    <w:rsid w:val="00F97447"/>
    <w:rsid w:val="00F97A29"/>
    <w:rsid w:val="00F97E7D"/>
    <w:rsid w:val="00FA2519"/>
    <w:rsid w:val="00FA4244"/>
    <w:rsid w:val="00FA6364"/>
    <w:rsid w:val="00FA65D5"/>
    <w:rsid w:val="00FA6726"/>
    <w:rsid w:val="00FB165A"/>
    <w:rsid w:val="00FB1BF4"/>
    <w:rsid w:val="00FB1F94"/>
    <w:rsid w:val="00FB21B5"/>
    <w:rsid w:val="00FB26D3"/>
    <w:rsid w:val="00FB2AD1"/>
    <w:rsid w:val="00FB321D"/>
    <w:rsid w:val="00FB3842"/>
    <w:rsid w:val="00FB3873"/>
    <w:rsid w:val="00FB401A"/>
    <w:rsid w:val="00FB5E8A"/>
    <w:rsid w:val="00FB76E5"/>
    <w:rsid w:val="00FC05BD"/>
    <w:rsid w:val="00FC06F6"/>
    <w:rsid w:val="00FC1E4E"/>
    <w:rsid w:val="00FC2104"/>
    <w:rsid w:val="00FC2B56"/>
    <w:rsid w:val="00FC2D26"/>
    <w:rsid w:val="00FC3D92"/>
    <w:rsid w:val="00FC5AE2"/>
    <w:rsid w:val="00FC6948"/>
    <w:rsid w:val="00FC7E7E"/>
    <w:rsid w:val="00FD0049"/>
    <w:rsid w:val="00FD0371"/>
    <w:rsid w:val="00FD25E0"/>
    <w:rsid w:val="00FD28A3"/>
    <w:rsid w:val="00FD3DE6"/>
    <w:rsid w:val="00FD5AD3"/>
    <w:rsid w:val="00FD5EA4"/>
    <w:rsid w:val="00FE0701"/>
    <w:rsid w:val="00FE0A7F"/>
    <w:rsid w:val="00FE0D90"/>
    <w:rsid w:val="00FE0F43"/>
    <w:rsid w:val="00FE134C"/>
    <w:rsid w:val="00FE2C04"/>
    <w:rsid w:val="00FE4079"/>
    <w:rsid w:val="00FE504E"/>
    <w:rsid w:val="00FE5686"/>
    <w:rsid w:val="00FF0695"/>
    <w:rsid w:val="00FF1816"/>
    <w:rsid w:val="00FF1909"/>
    <w:rsid w:val="00FF2007"/>
    <w:rsid w:val="00FF23EB"/>
    <w:rsid w:val="00FF2DDA"/>
    <w:rsid w:val="00FF2F39"/>
    <w:rsid w:val="00FF376F"/>
    <w:rsid w:val="00FF3A5F"/>
    <w:rsid w:val="00FF6C8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610219"/>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aliases w:val="2,Strip,H&amp;P List Paragraph,Saraksta rindkopa,Saraksta rindkopa1"/>
    <w:basedOn w:val="Normal"/>
    <w:link w:val="ListParagraphChar"/>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character" w:styleId="FollowedHyperlink">
    <w:name w:val="FollowedHyperlink"/>
    <w:basedOn w:val="DefaultParagraphFont"/>
    <w:uiPriority w:val="99"/>
    <w:semiHidden/>
    <w:unhideWhenUsed/>
    <w:rsid w:val="00B0047C"/>
    <w:rPr>
      <w:color w:val="954F72" w:themeColor="followedHyperlink"/>
      <w:u w:val="single"/>
    </w:rPr>
  </w:style>
  <w:style w:type="paragraph" w:customStyle="1" w:styleId="moze-center">
    <w:name w:val="moze-center"/>
    <w:basedOn w:val="Normal"/>
    <w:rsid w:val="005D1350"/>
    <w:pPr>
      <w:spacing w:before="100" w:beforeAutospacing="1" w:after="100" w:afterAutospacing="1"/>
    </w:pPr>
    <w:rPr>
      <w:lang w:val="en-US" w:eastAsia="en-US"/>
    </w:rPr>
  </w:style>
  <w:style w:type="paragraph" w:styleId="ListBullet">
    <w:name w:val="List Bullet"/>
    <w:basedOn w:val="Normal"/>
    <w:uiPriority w:val="99"/>
    <w:unhideWhenUsed/>
    <w:rsid w:val="00D412BB"/>
    <w:pPr>
      <w:numPr>
        <w:numId w:val="20"/>
      </w:numPr>
      <w:contextualSpacing/>
    </w:pPr>
  </w:style>
  <w:style w:type="character" w:styleId="UnresolvedMention">
    <w:name w:val="Unresolved Mention"/>
    <w:basedOn w:val="DefaultParagraphFont"/>
    <w:uiPriority w:val="99"/>
    <w:semiHidden/>
    <w:unhideWhenUsed/>
    <w:rsid w:val="00491ABC"/>
    <w:rPr>
      <w:color w:val="605E5C"/>
      <w:shd w:val="clear" w:color="auto" w:fill="E1DFDD"/>
    </w:rPr>
  </w:style>
  <w:style w:type="character" w:customStyle="1" w:styleId="eop">
    <w:name w:val="eop"/>
    <w:basedOn w:val="DefaultParagraphFont"/>
    <w:rsid w:val="00896456"/>
  </w:style>
  <w:style w:type="character" w:customStyle="1" w:styleId="ListParagraphChar">
    <w:name w:val="List Paragraph Char"/>
    <w:aliases w:val="2 Char,Strip Char,H&amp;P List Paragraph Char,Saraksta rindkopa Char,Saraksta rindkopa1 Char"/>
    <w:link w:val="ListParagraph"/>
    <w:uiPriority w:val="34"/>
    <w:locked/>
    <w:rsid w:val="00A64AEC"/>
    <w:rPr>
      <w:rFonts w:eastAsia="Times New Roman" w:cs="Times New Roman"/>
      <w:szCs w:val="24"/>
      <w:lang w:eastAsia="lv-LV"/>
    </w:rPr>
  </w:style>
  <w:style w:type="paragraph" w:customStyle="1" w:styleId="labojumupamats">
    <w:name w:val="labojumu_pamats"/>
    <w:basedOn w:val="Normal"/>
    <w:rsid w:val="00610219"/>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610219"/>
    <w:rPr>
      <w:rFonts w:eastAsia="Times New Roman" w:cs="Times New Roman"/>
      <w:b/>
      <w:bCs/>
      <w:sz w:val="27"/>
      <w:szCs w:val="27"/>
      <w:lang w:val="en-US"/>
    </w:rPr>
  </w:style>
  <w:style w:type="paragraph" w:customStyle="1" w:styleId="Default">
    <w:name w:val="Default"/>
    <w:rsid w:val="00C66C58"/>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2511">
      <w:bodyDiv w:val="1"/>
      <w:marLeft w:val="0"/>
      <w:marRight w:val="0"/>
      <w:marTop w:val="0"/>
      <w:marBottom w:val="0"/>
      <w:divBdr>
        <w:top w:val="none" w:sz="0" w:space="0" w:color="auto"/>
        <w:left w:val="none" w:sz="0" w:space="0" w:color="auto"/>
        <w:bottom w:val="none" w:sz="0" w:space="0" w:color="auto"/>
        <w:right w:val="none" w:sz="0" w:space="0" w:color="auto"/>
      </w:divBdr>
    </w:div>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25144225">
      <w:bodyDiv w:val="1"/>
      <w:marLeft w:val="0"/>
      <w:marRight w:val="0"/>
      <w:marTop w:val="0"/>
      <w:marBottom w:val="0"/>
      <w:divBdr>
        <w:top w:val="none" w:sz="0" w:space="0" w:color="auto"/>
        <w:left w:val="none" w:sz="0" w:space="0" w:color="auto"/>
        <w:bottom w:val="none" w:sz="0" w:space="0" w:color="auto"/>
        <w:right w:val="none" w:sz="0" w:space="0" w:color="auto"/>
      </w:divBdr>
      <w:divsChild>
        <w:div w:id="507140662">
          <w:marLeft w:val="0"/>
          <w:marRight w:val="0"/>
          <w:marTop w:val="0"/>
          <w:marBottom w:val="0"/>
          <w:divBdr>
            <w:top w:val="none" w:sz="0" w:space="0" w:color="auto"/>
            <w:left w:val="none" w:sz="0" w:space="0" w:color="auto"/>
            <w:bottom w:val="none" w:sz="0" w:space="0" w:color="auto"/>
            <w:right w:val="none" w:sz="0" w:space="0" w:color="auto"/>
          </w:divBdr>
        </w:div>
      </w:divsChild>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297685098">
      <w:bodyDiv w:val="1"/>
      <w:marLeft w:val="0"/>
      <w:marRight w:val="0"/>
      <w:marTop w:val="0"/>
      <w:marBottom w:val="0"/>
      <w:divBdr>
        <w:top w:val="none" w:sz="0" w:space="0" w:color="auto"/>
        <w:left w:val="none" w:sz="0" w:space="0" w:color="auto"/>
        <w:bottom w:val="none" w:sz="0" w:space="0" w:color="auto"/>
        <w:right w:val="none" w:sz="0" w:space="0" w:color="auto"/>
      </w:divBdr>
    </w:div>
    <w:div w:id="31884722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400324708">
      <w:bodyDiv w:val="1"/>
      <w:marLeft w:val="0"/>
      <w:marRight w:val="0"/>
      <w:marTop w:val="0"/>
      <w:marBottom w:val="0"/>
      <w:divBdr>
        <w:top w:val="none" w:sz="0" w:space="0" w:color="auto"/>
        <w:left w:val="none" w:sz="0" w:space="0" w:color="auto"/>
        <w:bottom w:val="none" w:sz="0" w:space="0" w:color="auto"/>
        <w:right w:val="none" w:sz="0" w:space="0" w:color="auto"/>
      </w:divBdr>
    </w:div>
    <w:div w:id="411514218">
      <w:bodyDiv w:val="1"/>
      <w:marLeft w:val="0"/>
      <w:marRight w:val="0"/>
      <w:marTop w:val="0"/>
      <w:marBottom w:val="0"/>
      <w:divBdr>
        <w:top w:val="none" w:sz="0" w:space="0" w:color="auto"/>
        <w:left w:val="none" w:sz="0" w:space="0" w:color="auto"/>
        <w:bottom w:val="none" w:sz="0" w:space="0" w:color="auto"/>
        <w:right w:val="none" w:sz="0" w:space="0" w:color="auto"/>
      </w:divBdr>
      <w:divsChild>
        <w:div w:id="1709986611">
          <w:marLeft w:val="0"/>
          <w:marRight w:val="0"/>
          <w:marTop w:val="480"/>
          <w:marBottom w:val="240"/>
          <w:divBdr>
            <w:top w:val="none" w:sz="0" w:space="0" w:color="auto"/>
            <w:left w:val="none" w:sz="0" w:space="0" w:color="auto"/>
            <w:bottom w:val="none" w:sz="0" w:space="0" w:color="auto"/>
            <w:right w:val="none" w:sz="0" w:space="0" w:color="auto"/>
          </w:divBdr>
        </w:div>
        <w:div w:id="1850481543">
          <w:marLeft w:val="0"/>
          <w:marRight w:val="0"/>
          <w:marTop w:val="0"/>
          <w:marBottom w:val="567"/>
          <w:divBdr>
            <w:top w:val="none" w:sz="0" w:space="0" w:color="auto"/>
            <w:left w:val="none" w:sz="0" w:space="0" w:color="auto"/>
            <w:bottom w:val="none" w:sz="0" w:space="0" w:color="auto"/>
            <w:right w:val="none" w:sz="0" w:space="0" w:color="auto"/>
          </w:divBdr>
        </w:div>
      </w:divsChild>
    </w:div>
    <w:div w:id="424497295">
      <w:bodyDiv w:val="1"/>
      <w:marLeft w:val="0"/>
      <w:marRight w:val="0"/>
      <w:marTop w:val="0"/>
      <w:marBottom w:val="0"/>
      <w:divBdr>
        <w:top w:val="none" w:sz="0" w:space="0" w:color="auto"/>
        <w:left w:val="none" w:sz="0" w:space="0" w:color="auto"/>
        <w:bottom w:val="none" w:sz="0" w:space="0" w:color="auto"/>
        <w:right w:val="none" w:sz="0" w:space="0" w:color="auto"/>
      </w:divBdr>
      <w:divsChild>
        <w:div w:id="966737882">
          <w:marLeft w:val="0"/>
          <w:marRight w:val="0"/>
          <w:marTop w:val="0"/>
          <w:marBottom w:val="0"/>
          <w:divBdr>
            <w:top w:val="none" w:sz="0" w:space="0" w:color="auto"/>
            <w:left w:val="none" w:sz="0" w:space="0" w:color="auto"/>
            <w:bottom w:val="none" w:sz="0" w:space="0" w:color="auto"/>
            <w:right w:val="none" w:sz="0" w:space="0" w:color="auto"/>
          </w:divBdr>
        </w:div>
        <w:div w:id="900016287">
          <w:marLeft w:val="0"/>
          <w:marRight w:val="0"/>
          <w:marTop w:val="0"/>
          <w:marBottom w:val="0"/>
          <w:divBdr>
            <w:top w:val="none" w:sz="0" w:space="0" w:color="auto"/>
            <w:left w:val="none" w:sz="0" w:space="0" w:color="auto"/>
            <w:bottom w:val="none" w:sz="0" w:space="0" w:color="auto"/>
            <w:right w:val="none" w:sz="0" w:space="0" w:color="auto"/>
          </w:divBdr>
        </w:div>
        <w:div w:id="2132046049">
          <w:marLeft w:val="0"/>
          <w:marRight w:val="0"/>
          <w:marTop w:val="0"/>
          <w:marBottom w:val="0"/>
          <w:divBdr>
            <w:top w:val="none" w:sz="0" w:space="0" w:color="auto"/>
            <w:left w:val="none" w:sz="0" w:space="0" w:color="auto"/>
            <w:bottom w:val="none" w:sz="0" w:space="0" w:color="auto"/>
            <w:right w:val="none" w:sz="0" w:space="0" w:color="auto"/>
          </w:divBdr>
        </w:div>
      </w:divsChild>
    </w:div>
    <w:div w:id="490096243">
      <w:bodyDiv w:val="1"/>
      <w:marLeft w:val="0"/>
      <w:marRight w:val="0"/>
      <w:marTop w:val="0"/>
      <w:marBottom w:val="0"/>
      <w:divBdr>
        <w:top w:val="none" w:sz="0" w:space="0" w:color="auto"/>
        <w:left w:val="none" w:sz="0" w:space="0" w:color="auto"/>
        <w:bottom w:val="none" w:sz="0" w:space="0" w:color="auto"/>
        <w:right w:val="none" w:sz="0" w:space="0" w:color="auto"/>
      </w:divBdr>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609356174">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653531381">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58805939">
      <w:bodyDiv w:val="1"/>
      <w:marLeft w:val="0"/>
      <w:marRight w:val="0"/>
      <w:marTop w:val="0"/>
      <w:marBottom w:val="0"/>
      <w:divBdr>
        <w:top w:val="none" w:sz="0" w:space="0" w:color="auto"/>
        <w:left w:val="none" w:sz="0" w:space="0" w:color="auto"/>
        <w:bottom w:val="none" w:sz="0" w:space="0" w:color="auto"/>
        <w:right w:val="none" w:sz="0" w:space="0" w:color="auto"/>
      </w:divBdr>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76225468">
      <w:bodyDiv w:val="1"/>
      <w:marLeft w:val="0"/>
      <w:marRight w:val="0"/>
      <w:marTop w:val="0"/>
      <w:marBottom w:val="0"/>
      <w:divBdr>
        <w:top w:val="none" w:sz="0" w:space="0" w:color="auto"/>
        <w:left w:val="none" w:sz="0" w:space="0" w:color="auto"/>
        <w:bottom w:val="none" w:sz="0" w:space="0" w:color="auto"/>
        <w:right w:val="none" w:sz="0" w:space="0" w:color="auto"/>
      </w:divBdr>
    </w:div>
    <w:div w:id="98081355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072773536">
      <w:bodyDiv w:val="1"/>
      <w:marLeft w:val="0"/>
      <w:marRight w:val="0"/>
      <w:marTop w:val="0"/>
      <w:marBottom w:val="0"/>
      <w:divBdr>
        <w:top w:val="none" w:sz="0" w:space="0" w:color="auto"/>
        <w:left w:val="none" w:sz="0" w:space="0" w:color="auto"/>
        <w:bottom w:val="none" w:sz="0" w:space="0" w:color="auto"/>
        <w:right w:val="none" w:sz="0" w:space="0" w:color="auto"/>
      </w:divBdr>
    </w:div>
    <w:div w:id="1091900189">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16314560">
      <w:bodyDiv w:val="1"/>
      <w:marLeft w:val="0"/>
      <w:marRight w:val="0"/>
      <w:marTop w:val="0"/>
      <w:marBottom w:val="0"/>
      <w:divBdr>
        <w:top w:val="none" w:sz="0" w:space="0" w:color="auto"/>
        <w:left w:val="none" w:sz="0" w:space="0" w:color="auto"/>
        <w:bottom w:val="none" w:sz="0" w:space="0" w:color="auto"/>
        <w:right w:val="none" w:sz="0" w:space="0" w:color="auto"/>
      </w:divBdr>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12909486">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487018062">
      <w:bodyDiv w:val="1"/>
      <w:marLeft w:val="0"/>
      <w:marRight w:val="0"/>
      <w:marTop w:val="0"/>
      <w:marBottom w:val="0"/>
      <w:divBdr>
        <w:top w:val="none" w:sz="0" w:space="0" w:color="auto"/>
        <w:left w:val="none" w:sz="0" w:space="0" w:color="auto"/>
        <w:bottom w:val="none" w:sz="0" w:space="0" w:color="auto"/>
        <w:right w:val="none" w:sz="0" w:space="0" w:color="auto"/>
      </w:divBdr>
      <w:divsChild>
        <w:div w:id="1432507513">
          <w:marLeft w:val="0"/>
          <w:marRight w:val="0"/>
          <w:marTop w:val="0"/>
          <w:marBottom w:val="0"/>
          <w:divBdr>
            <w:top w:val="none" w:sz="0" w:space="0" w:color="auto"/>
            <w:left w:val="none" w:sz="0" w:space="0" w:color="auto"/>
            <w:bottom w:val="none" w:sz="0" w:space="0" w:color="auto"/>
            <w:right w:val="none" w:sz="0" w:space="0" w:color="auto"/>
          </w:divBdr>
        </w:div>
      </w:divsChild>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54081384">
      <w:bodyDiv w:val="1"/>
      <w:marLeft w:val="0"/>
      <w:marRight w:val="0"/>
      <w:marTop w:val="0"/>
      <w:marBottom w:val="0"/>
      <w:divBdr>
        <w:top w:val="none" w:sz="0" w:space="0" w:color="auto"/>
        <w:left w:val="none" w:sz="0" w:space="0" w:color="auto"/>
        <w:bottom w:val="none" w:sz="0" w:space="0" w:color="auto"/>
        <w:right w:val="none" w:sz="0" w:space="0" w:color="auto"/>
      </w:divBdr>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46354840">
      <w:bodyDiv w:val="1"/>
      <w:marLeft w:val="0"/>
      <w:marRight w:val="0"/>
      <w:marTop w:val="0"/>
      <w:marBottom w:val="0"/>
      <w:divBdr>
        <w:top w:val="none" w:sz="0" w:space="0" w:color="auto"/>
        <w:left w:val="none" w:sz="0" w:space="0" w:color="auto"/>
        <w:bottom w:val="none" w:sz="0" w:space="0" w:color="auto"/>
        <w:right w:val="none" w:sz="0" w:space="0" w:color="auto"/>
      </w:divBdr>
    </w:div>
    <w:div w:id="1679456685">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52046747">
      <w:bodyDiv w:val="1"/>
      <w:marLeft w:val="0"/>
      <w:marRight w:val="0"/>
      <w:marTop w:val="0"/>
      <w:marBottom w:val="0"/>
      <w:divBdr>
        <w:top w:val="none" w:sz="0" w:space="0" w:color="auto"/>
        <w:left w:val="none" w:sz="0" w:space="0" w:color="auto"/>
        <w:bottom w:val="none" w:sz="0" w:space="0" w:color="auto"/>
        <w:right w:val="none" w:sz="0" w:space="0" w:color="auto"/>
      </w:divBdr>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55025835">
      <w:bodyDiv w:val="1"/>
      <w:marLeft w:val="0"/>
      <w:marRight w:val="0"/>
      <w:marTop w:val="0"/>
      <w:marBottom w:val="0"/>
      <w:divBdr>
        <w:top w:val="none" w:sz="0" w:space="0" w:color="auto"/>
        <w:left w:val="none" w:sz="0" w:space="0" w:color="auto"/>
        <w:bottom w:val="none" w:sz="0" w:space="0" w:color="auto"/>
        <w:right w:val="none" w:sz="0" w:space="0" w:color="auto"/>
      </w:divBdr>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51621366">
      <w:bodyDiv w:val="1"/>
      <w:marLeft w:val="0"/>
      <w:marRight w:val="0"/>
      <w:marTop w:val="0"/>
      <w:marBottom w:val="0"/>
      <w:divBdr>
        <w:top w:val="none" w:sz="0" w:space="0" w:color="auto"/>
        <w:left w:val="none" w:sz="0" w:space="0" w:color="auto"/>
        <w:bottom w:val="none" w:sz="0" w:space="0" w:color="auto"/>
        <w:right w:val="none" w:sz="0" w:space="0" w:color="auto"/>
      </w:divBdr>
    </w:div>
    <w:div w:id="1969581455">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1993829259">
      <w:bodyDiv w:val="1"/>
      <w:marLeft w:val="0"/>
      <w:marRight w:val="0"/>
      <w:marTop w:val="0"/>
      <w:marBottom w:val="0"/>
      <w:divBdr>
        <w:top w:val="none" w:sz="0" w:space="0" w:color="auto"/>
        <w:left w:val="none" w:sz="0" w:space="0" w:color="auto"/>
        <w:bottom w:val="none" w:sz="0" w:space="0" w:color="auto"/>
        <w:right w:val="none" w:sz="0" w:space="0" w:color="auto"/>
      </w:divBdr>
      <w:divsChild>
        <w:div w:id="682585732">
          <w:marLeft w:val="0"/>
          <w:marRight w:val="0"/>
          <w:marTop w:val="480"/>
          <w:marBottom w:val="240"/>
          <w:divBdr>
            <w:top w:val="none" w:sz="0" w:space="0" w:color="auto"/>
            <w:left w:val="none" w:sz="0" w:space="0" w:color="auto"/>
            <w:bottom w:val="none" w:sz="0" w:space="0" w:color="auto"/>
            <w:right w:val="none" w:sz="0" w:space="0" w:color="auto"/>
          </w:divBdr>
        </w:div>
        <w:div w:id="1413890943">
          <w:marLeft w:val="0"/>
          <w:marRight w:val="0"/>
          <w:marTop w:val="0"/>
          <w:marBottom w:val="567"/>
          <w:divBdr>
            <w:top w:val="none" w:sz="0" w:space="0" w:color="auto"/>
            <w:left w:val="none" w:sz="0" w:space="0" w:color="auto"/>
            <w:bottom w:val="none" w:sz="0" w:space="0" w:color="auto"/>
            <w:right w:val="none" w:sz="0" w:space="0" w:color="auto"/>
          </w:divBdr>
        </w:div>
      </w:divsChild>
    </w:div>
    <w:div w:id="2003776103">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6f2b552-01ec-4fb1-a37d-1adc81caab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1660-6191-4970-BAF0-ADB0E3ED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10038</Words>
  <Characters>5723</Characters>
  <Application>Microsoft Office Word</Application>
  <DocSecurity>0</DocSecurity>
  <Lines>47</Lines>
  <Paragraphs>31</Paragraphs>
  <ScaleCrop>false</ScaleCrop>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2026-03-20T08:18:00Z</dcterms:created>
  <dcterms:modified xsi:type="dcterms:W3CDTF">2026-03-20T08:18:00Z</dcterms:modified>
</cp:coreProperties>
</file>