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9EC7" w14:textId="77777777" w:rsidR="00420DCA" w:rsidRDefault="00420DCA" w:rsidP="00420DCA">
      <w:pPr>
        <w:spacing w:line="276" w:lineRule="auto"/>
        <w:jc w:val="both"/>
        <w:rPr>
          <w:b/>
          <w:bCs/>
          <w:lang w:eastAsia="zh-CN"/>
        </w:rPr>
      </w:pPr>
      <w:r>
        <w:rPr>
          <w:b/>
          <w:bCs/>
          <w:lang w:eastAsia="zh-CN"/>
        </w:rPr>
        <w:t xml:space="preserve">Veselības un darbspēju ekspertīzes ārstu valsts komisijas kompetence sniegt atzinumu par to, vai personas veselības stāvoklis ļauj tai turpināt darbu prokurora amatā </w:t>
      </w:r>
    </w:p>
    <w:p w14:paraId="2EF2E07F" w14:textId="71D546B7" w:rsidR="00ED45BB" w:rsidRPr="00420DCA" w:rsidRDefault="00420DCA" w:rsidP="00420DCA">
      <w:pPr>
        <w:spacing w:line="276" w:lineRule="auto"/>
        <w:jc w:val="both"/>
        <w:rPr>
          <w:lang w:eastAsia="zh-CN"/>
        </w:rPr>
      </w:pPr>
      <w:r>
        <w:rPr>
          <w:lang w:eastAsia="zh-CN"/>
        </w:rPr>
        <w:t>Prokuroru izdienas pensiju likuma 2. panta pirmās daļas 2. punkta norma piešķir Veselības un darbspēju ekspertīzes ārstu valsts komisijai kompetenci sniegt prokuroram slēdzienu par to, vai viņa veselības stāvoklis ļauj vai neļauj turpināt prokurora darbu. Invaliditātes likuma normas, kas noteic šīs komisijas kompetenci invaliditātes ekspertīzes veikšanā un invaliditātes noteikšanā, kā arī Prokuratūras likuma normas, kas attiecas uz tās kompetenci prokurora atbrīvošanā no amata, nav speciālās tiesību normas iepretim minētajai Prokuroru izdienas pensiju likuma normai.</w:t>
      </w:r>
    </w:p>
    <w:p w14:paraId="369B2401" w14:textId="67851363" w:rsidR="00ED45BB" w:rsidRPr="001353CF" w:rsidRDefault="00ED45BB" w:rsidP="00420DCA">
      <w:pPr>
        <w:pStyle w:val="BodyText2"/>
        <w:spacing w:after="0" w:line="276" w:lineRule="auto"/>
        <w:jc w:val="center"/>
        <w:rPr>
          <w:rFonts w:asciiTheme="majorBidi" w:hAnsiTheme="majorBidi" w:cstheme="majorBidi"/>
          <w:color w:val="000000" w:themeColor="text1"/>
          <w:lang w:val="lv-LV"/>
        </w:rPr>
      </w:pPr>
    </w:p>
    <w:p w14:paraId="78C11938" w14:textId="487E8DEE" w:rsidR="00ED45BB" w:rsidRPr="001353CF" w:rsidRDefault="00ED45BB" w:rsidP="00420DCA">
      <w:pPr>
        <w:spacing w:line="276" w:lineRule="auto"/>
        <w:jc w:val="center"/>
        <w:rPr>
          <w:rFonts w:asciiTheme="majorBidi" w:hAnsiTheme="majorBidi" w:cstheme="majorBidi"/>
          <w:b/>
          <w:color w:val="000000" w:themeColor="text1"/>
        </w:rPr>
      </w:pPr>
      <w:r w:rsidRPr="001353CF">
        <w:rPr>
          <w:rFonts w:asciiTheme="majorBidi" w:hAnsiTheme="majorBidi" w:cstheme="majorBidi"/>
          <w:b/>
          <w:color w:val="000000" w:themeColor="text1"/>
        </w:rPr>
        <w:t>Latvijas Republikas Senāt</w:t>
      </w:r>
      <w:r w:rsidR="00420DCA">
        <w:rPr>
          <w:rFonts w:asciiTheme="majorBidi" w:hAnsiTheme="majorBidi" w:cstheme="majorBidi"/>
          <w:b/>
          <w:color w:val="000000" w:themeColor="text1"/>
        </w:rPr>
        <w:t>a</w:t>
      </w:r>
      <w:r w:rsidR="00420DCA">
        <w:rPr>
          <w:rFonts w:asciiTheme="majorBidi" w:hAnsiTheme="majorBidi" w:cstheme="majorBidi"/>
          <w:b/>
          <w:color w:val="000000" w:themeColor="text1"/>
        </w:rPr>
        <w:br/>
        <w:t>Administratīvo lietu departamenta</w:t>
      </w:r>
      <w:r w:rsidR="00420DCA">
        <w:rPr>
          <w:rFonts w:asciiTheme="majorBidi" w:hAnsiTheme="majorBidi" w:cstheme="majorBidi"/>
          <w:b/>
          <w:color w:val="000000" w:themeColor="text1"/>
        </w:rPr>
        <w:br/>
        <w:t>2026.gada 27.februāra</w:t>
      </w:r>
    </w:p>
    <w:p w14:paraId="22F177E6" w14:textId="77777777" w:rsidR="00ED45BB" w:rsidRDefault="00ED45BB" w:rsidP="00420DCA">
      <w:pPr>
        <w:spacing w:line="276" w:lineRule="auto"/>
        <w:jc w:val="center"/>
        <w:rPr>
          <w:rFonts w:asciiTheme="majorBidi" w:hAnsiTheme="majorBidi" w:cstheme="majorBidi"/>
          <w:b/>
          <w:color w:val="000000" w:themeColor="text1"/>
        </w:rPr>
      </w:pPr>
      <w:r w:rsidRPr="001353CF">
        <w:rPr>
          <w:rFonts w:asciiTheme="majorBidi" w:hAnsiTheme="majorBidi" w:cstheme="majorBidi"/>
          <w:b/>
          <w:color w:val="000000" w:themeColor="text1"/>
        </w:rPr>
        <w:t>SPRIEDUMS</w:t>
      </w:r>
    </w:p>
    <w:p w14:paraId="7628C098" w14:textId="3F0E18BE" w:rsidR="00420DCA" w:rsidRPr="00420DCA" w:rsidRDefault="00420DCA" w:rsidP="00420DCA">
      <w:pPr>
        <w:spacing w:line="276" w:lineRule="auto"/>
        <w:jc w:val="center"/>
        <w:rPr>
          <w:rFonts w:asciiTheme="majorBidi" w:hAnsiTheme="majorBidi" w:cstheme="majorBidi"/>
          <w:b/>
          <w:bCs/>
          <w:color w:val="000000" w:themeColor="text1"/>
        </w:rPr>
      </w:pPr>
      <w:r w:rsidRPr="00420DCA">
        <w:rPr>
          <w:rFonts w:asciiTheme="majorBidi" w:hAnsiTheme="majorBidi" w:cstheme="majorBidi"/>
          <w:b/>
          <w:bCs/>
          <w:color w:val="000000" w:themeColor="text1"/>
        </w:rPr>
        <w:t>Lieta Nr. A420191122</w:t>
      </w:r>
      <w:r w:rsidRPr="00420DCA">
        <w:rPr>
          <w:rFonts w:asciiTheme="majorBidi" w:hAnsiTheme="majorBidi" w:cstheme="majorBidi"/>
          <w:b/>
          <w:bCs/>
          <w:color w:val="000000" w:themeColor="text1"/>
          <w:lang w:eastAsia="lv-LV"/>
        </w:rPr>
        <w:t xml:space="preserve">, </w:t>
      </w:r>
      <w:r w:rsidRPr="00420DCA">
        <w:rPr>
          <w:rFonts w:asciiTheme="majorBidi" w:hAnsiTheme="majorBidi" w:cstheme="majorBidi"/>
          <w:b/>
          <w:bCs/>
          <w:color w:val="000000" w:themeColor="text1"/>
        </w:rPr>
        <w:t>SKA-116/2026</w:t>
      </w:r>
    </w:p>
    <w:p w14:paraId="793D33DA" w14:textId="49CE8950" w:rsidR="00420DCA" w:rsidRPr="00420DCA" w:rsidRDefault="00420DCA" w:rsidP="00420DCA">
      <w:pPr>
        <w:spacing w:line="276" w:lineRule="auto"/>
        <w:jc w:val="center"/>
        <w:rPr>
          <w:rFonts w:asciiTheme="majorBidi" w:hAnsiTheme="majorBidi" w:cstheme="majorBidi"/>
          <w:b/>
          <w:color w:val="000000" w:themeColor="text1"/>
        </w:rPr>
      </w:pPr>
      <w:r w:rsidRPr="00420DCA">
        <w:t xml:space="preserve"> </w:t>
      </w:r>
      <w:hyperlink r:id="rId7" w:history="1">
        <w:r w:rsidRPr="00420DCA">
          <w:rPr>
            <w:rStyle w:val="Hyperlink"/>
          </w:rPr>
          <w:t>ECLI:LV:AT:2026:0227.A420191122.12.S</w:t>
        </w:r>
      </w:hyperlink>
    </w:p>
    <w:p w14:paraId="7D931E11" w14:textId="77777777" w:rsidR="00ED45BB" w:rsidRPr="00677C50" w:rsidRDefault="00ED45BB" w:rsidP="00420DCA">
      <w:pPr>
        <w:spacing w:line="276" w:lineRule="auto"/>
        <w:ind w:firstLine="567"/>
        <w:jc w:val="both"/>
        <w:rPr>
          <w:rFonts w:asciiTheme="majorBidi" w:hAnsiTheme="majorBidi" w:cstheme="majorBidi"/>
        </w:rPr>
      </w:pPr>
    </w:p>
    <w:p w14:paraId="0FF580C5" w14:textId="64820D30"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Senāts šādā sastāvā: senatore referente Ieva Višķere un senatori Ermīns Darapoļskis un Diāna Makarova</w:t>
      </w:r>
    </w:p>
    <w:p w14:paraId="5859AC27" w14:textId="77777777" w:rsidR="00ED45BB" w:rsidRPr="00677C50" w:rsidRDefault="00ED45BB" w:rsidP="00420DCA">
      <w:pPr>
        <w:spacing w:line="276" w:lineRule="auto"/>
        <w:ind w:firstLine="720"/>
        <w:jc w:val="both"/>
        <w:rPr>
          <w:rFonts w:asciiTheme="majorBidi" w:hAnsiTheme="majorBidi" w:cstheme="majorBidi"/>
        </w:rPr>
      </w:pPr>
    </w:p>
    <w:p w14:paraId="032E42EB" w14:textId="6891C194" w:rsidR="00ED45BB" w:rsidRPr="00677C50" w:rsidRDefault="00ED45BB" w:rsidP="00420DCA">
      <w:pPr>
        <w:spacing w:line="276" w:lineRule="auto"/>
        <w:ind w:firstLine="720"/>
        <w:jc w:val="both"/>
        <w:rPr>
          <w:rFonts w:asciiTheme="majorBidi" w:hAnsiTheme="majorBidi" w:cstheme="majorBidi"/>
        </w:rPr>
      </w:pPr>
      <w:bookmarkStart w:id="0" w:name="_Hlk92890879"/>
      <w:r w:rsidRPr="00677C50">
        <w:rPr>
          <w:rFonts w:asciiTheme="majorBidi" w:hAnsiTheme="majorBidi" w:cstheme="majorBidi"/>
        </w:rPr>
        <w:t xml:space="preserve">rakstveida procesā izskatīja administratīvo lietu, kas ierosināta, pamatojoties uz </w:t>
      </w:r>
      <w:r w:rsidR="00420DCA">
        <w:rPr>
          <w:rFonts w:asciiTheme="majorBidi" w:hAnsiTheme="majorBidi" w:cstheme="majorBidi"/>
        </w:rPr>
        <w:t xml:space="preserve">[pers. A] </w:t>
      </w:r>
      <w:r w:rsidRPr="00677C50">
        <w:rPr>
          <w:rFonts w:asciiTheme="majorBidi" w:hAnsiTheme="majorBidi" w:cstheme="majorBidi"/>
        </w:rPr>
        <w:t xml:space="preserve">pieteikumu par pienākuma uzlikšanu Veselības un darbspēju ekspertīzes ārstu valsts komisijai izdot labvēlīgu administratīvo aktu – slēdzienu, ar kuru atzīts, ka </w:t>
      </w:r>
      <w:r w:rsidR="00420DCA">
        <w:rPr>
          <w:rFonts w:asciiTheme="majorBidi" w:hAnsiTheme="majorBidi" w:cstheme="majorBidi"/>
        </w:rPr>
        <w:t>[pers.</w:t>
      </w:r>
      <w:r w:rsidR="00420DCA">
        <w:rPr>
          <w:rFonts w:asciiTheme="majorBidi" w:hAnsiTheme="majorBidi" w:cstheme="majorBidi"/>
        </w:rPr>
        <w:t> </w:t>
      </w:r>
      <w:r w:rsidR="00420DCA">
        <w:rPr>
          <w:rFonts w:asciiTheme="majorBidi" w:hAnsiTheme="majorBidi" w:cstheme="majorBidi"/>
        </w:rPr>
        <w:t xml:space="preserve">A] </w:t>
      </w:r>
      <w:r w:rsidRPr="00677C50">
        <w:rPr>
          <w:rFonts w:asciiTheme="majorBidi" w:hAnsiTheme="majorBidi" w:cstheme="majorBidi"/>
        </w:rPr>
        <w:t xml:space="preserve">veselības stāvoklis neļauj turpināt prokurora darbu, sakarā ar </w:t>
      </w:r>
      <w:r w:rsidR="00420DCA">
        <w:rPr>
          <w:rFonts w:asciiTheme="majorBidi" w:hAnsiTheme="majorBidi" w:cstheme="majorBidi"/>
        </w:rPr>
        <w:t xml:space="preserve">[pers. A] </w:t>
      </w:r>
      <w:r w:rsidRPr="00677C50">
        <w:rPr>
          <w:rFonts w:asciiTheme="majorBidi" w:hAnsiTheme="majorBidi" w:cstheme="majorBidi"/>
        </w:rPr>
        <w:t>kasācijas sūdzību par Administratīvās apgabaltiesas 2024.gada 16.septembra spriedumu.</w:t>
      </w:r>
    </w:p>
    <w:bookmarkEnd w:id="0"/>
    <w:p w14:paraId="20C9D052" w14:textId="77777777" w:rsidR="00ED45BB" w:rsidRPr="00677C50" w:rsidRDefault="00ED45BB" w:rsidP="00420DCA">
      <w:pPr>
        <w:spacing w:line="276" w:lineRule="auto"/>
        <w:ind w:firstLine="720"/>
        <w:jc w:val="both"/>
        <w:rPr>
          <w:rFonts w:asciiTheme="majorBidi" w:hAnsiTheme="majorBidi" w:cstheme="majorBidi"/>
        </w:rPr>
      </w:pPr>
    </w:p>
    <w:p w14:paraId="79498DF0" w14:textId="77777777" w:rsidR="00ED45BB" w:rsidRPr="00677C50" w:rsidRDefault="00ED45BB" w:rsidP="00420DCA">
      <w:pPr>
        <w:pStyle w:val="ATpamattesksts"/>
        <w:ind w:firstLine="0"/>
        <w:jc w:val="center"/>
        <w:rPr>
          <w:rFonts w:asciiTheme="majorBidi" w:hAnsiTheme="majorBidi" w:cstheme="majorBidi"/>
          <w:lang w:val="lv-LV"/>
        </w:rPr>
      </w:pPr>
      <w:r w:rsidRPr="00677C50">
        <w:rPr>
          <w:rFonts w:asciiTheme="majorBidi" w:hAnsiTheme="majorBidi" w:cstheme="majorBidi"/>
          <w:b/>
          <w:lang w:val="lv-LV"/>
        </w:rPr>
        <w:t>Aprakstošā</w:t>
      </w:r>
      <w:r w:rsidRPr="00677C50">
        <w:rPr>
          <w:rFonts w:asciiTheme="majorBidi" w:hAnsiTheme="majorBidi" w:cstheme="majorBidi"/>
          <w:lang w:val="lv-LV"/>
        </w:rPr>
        <w:t xml:space="preserve"> </w:t>
      </w:r>
      <w:r w:rsidRPr="00677C50">
        <w:rPr>
          <w:rFonts w:asciiTheme="majorBidi" w:hAnsiTheme="majorBidi" w:cstheme="majorBidi"/>
          <w:b/>
          <w:lang w:val="lv-LV"/>
        </w:rPr>
        <w:t>daļa</w:t>
      </w:r>
    </w:p>
    <w:p w14:paraId="15D73138" w14:textId="77777777" w:rsidR="00ED45BB" w:rsidRPr="00677C50" w:rsidRDefault="00ED45BB" w:rsidP="00420DCA">
      <w:pPr>
        <w:spacing w:line="276" w:lineRule="auto"/>
        <w:ind w:firstLine="567"/>
        <w:jc w:val="both"/>
        <w:rPr>
          <w:rFonts w:asciiTheme="majorBidi" w:hAnsiTheme="majorBidi" w:cstheme="majorBidi"/>
        </w:rPr>
      </w:pPr>
    </w:p>
    <w:p w14:paraId="7B87DCB9" w14:textId="751FE6A3"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[1]</w:t>
      </w:r>
      <w:r w:rsidR="003E4116">
        <w:rPr>
          <w:rFonts w:asciiTheme="majorBidi" w:hAnsiTheme="majorBidi" w:cstheme="majorBidi"/>
        </w:rPr>
        <w:t xml:space="preserve"> </w:t>
      </w:r>
      <w:r w:rsidRPr="00677C50">
        <w:rPr>
          <w:rFonts w:asciiTheme="majorBidi" w:hAnsiTheme="majorBidi" w:cstheme="majorBidi"/>
        </w:rPr>
        <w:t>Pieteicēja</w:t>
      </w:r>
      <w:r w:rsidR="00FC223F" w:rsidRPr="00677C50">
        <w:rPr>
          <w:rFonts w:asciiTheme="majorBidi" w:hAnsiTheme="majorBidi" w:cstheme="majorBidi"/>
        </w:rPr>
        <w:t>s</w:t>
      </w:r>
      <w:r w:rsidRPr="00677C50">
        <w:rPr>
          <w:rFonts w:asciiTheme="majorBidi" w:hAnsiTheme="majorBidi" w:cstheme="majorBidi"/>
        </w:rPr>
        <w:t xml:space="preserve"> </w:t>
      </w:r>
      <w:r w:rsidR="00420DCA">
        <w:rPr>
          <w:rFonts w:asciiTheme="majorBidi" w:hAnsiTheme="majorBidi" w:cstheme="majorBidi"/>
        </w:rPr>
        <w:t xml:space="preserve">[pers. A] </w:t>
      </w:r>
      <w:r w:rsidR="00137B08" w:rsidRPr="00677C50">
        <w:rPr>
          <w:rFonts w:asciiTheme="majorBidi" w:hAnsiTheme="majorBidi" w:cstheme="majorBidi"/>
        </w:rPr>
        <w:t>ģimenes</w:t>
      </w:r>
      <w:r w:rsidR="00D013F3" w:rsidRPr="00677C50">
        <w:rPr>
          <w:rFonts w:asciiTheme="majorBidi" w:hAnsiTheme="majorBidi" w:cstheme="majorBidi"/>
        </w:rPr>
        <w:t xml:space="preserve"> </w:t>
      </w:r>
      <w:r w:rsidR="00FC223F" w:rsidRPr="00677C50">
        <w:rPr>
          <w:rFonts w:asciiTheme="majorBidi" w:hAnsiTheme="majorBidi" w:cstheme="majorBidi"/>
        </w:rPr>
        <w:t>ārste nosūtīja pieteicēju</w:t>
      </w:r>
      <w:r w:rsidRPr="00677C50">
        <w:rPr>
          <w:rFonts w:asciiTheme="majorBidi" w:hAnsiTheme="majorBidi" w:cstheme="majorBidi"/>
        </w:rPr>
        <w:t xml:space="preserve"> uz konsultāciju Veselības un darbspēju ekspertīzes ārstu valsts komisijā (turpmāk – komisija) sakarā ar to, ka </w:t>
      </w:r>
      <w:r w:rsidR="0083360D" w:rsidRPr="00677C50">
        <w:rPr>
          <w:rFonts w:asciiTheme="majorBidi" w:hAnsiTheme="majorBidi" w:cstheme="majorBidi"/>
        </w:rPr>
        <w:t>pieteicējai</w:t>
      </w:r>
      <w:r w:rsidRPr="00677C50">
        <w:rPr>
          <w:rFonts w:asciiTheme="majorBidi" w:hAnsiTheme="majorBidi" w:cstheme="majorBidi"/>
        </w:rPr>
        <w:t xml:space="preserve"> nav vēlams darbs līdzšinējā profesijā</w:t>
      </w:r>
      <w:r w:rsidR="00FC223F" w:rsidRPr="00677C50">
        <w:rPr>
          <w:rFonts w:asciiTheme="majorBidi" w:hAnsiTheme="majorBidi" w:cstheme="majorBidi"/>
        </w:rPr>
        <w:t xml:space="preserve"> – prokurora amatā</w:t>
      </w:r>
      <w:r w:rsidRPr="00677C50">
        <w:rPr>
          <w:rFonts w:asciiTheme="majorBidi" w:hAnsiTheme="majorBidi" w:cstheme="majorBidi"/>
        </w:rPr>
        <w:t>.</w:t>
      </w:r>
    </w:p>
    <w:p w14:paraId="262BABEE" w14:textId="0B1F0C35"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Komisijas Rīgas apvienotā nodaļa ar 2022.gada 16.janvāra lēmumu Nr.</w:t>
      </w:r>
      <w:r w:rsidR="00F65C2C">
        <w:rPr>
          <w:rFonts w:asciiTheme="majorBidi" w:hAnsiTheme="majorBidi" w:cstheme="majorBidi"/>
        </w:rPr>
        <w:t> </w:t>
      </w:r>
      <w:r w:rsidRPr="00677C50">
        <w:rPr>
          <w:rFonts w:asciiTheme="majorBidi" w:hAnsiTheme="majorBidi" w:cstheme="majorBidi"/>
        </w:rPr>
        <w:t xml:space="preserve">30-2022-348 (turpmāk – sākotnējais lēmums) nolēma pieteicējai nenoteikt invaliditāti. </w:t>
      </w:r>
      <w:r w:rsidR="00CD3F93" w:rsidRPr="00677C50">
        <w:rPr>
          <w:rFonts w:asciiTheme="majorBidi" w:hAnsiTheme="majorBidi" w:cstheme="majorBidi"/>
        </w:rPr>
        <w:t>Lēmumā</w:t>
      </w:r>
      <w:r w:rsidRPr="00677C50">
        <w:rPr>
          <w:rFonts w:asciiTheme="majorBidi" w:hAnsiTheme="majorBidi" w:cstheme="majorBidi"/>
        </w:rPr>
        <w:t xml:space="preserve"> secinā</w:t>
      </w:r>
      <w:r w:rsidR="00CD3F93" w:rsidRPr="00677C50">
        <w:rPr>
          <w:rFonts w:asciiTheme="majorBidi" w:hAnsiTheme="majorBidi" w:cstheme="majorBidi"/>
        </w:rPr>
        <w:t>ts</w:t>
      </w:r>
      <w:r w:rsidRPr="00677C50">
        <w:rPr>
          <w:rFonts w:asciiTheme="majorBidi" w:hAnsiTheme="majorBidi" w:cstheme="majorBidi"/>
        </w:rPr>
        <w:t>, ka pieteicējai ir ilgstoši funkcionēšanas ierobežojumi, tomēr tos nevar uzskatīt par stabiliem</w:t>
      </w:r>
      <w:r w:rsidR="00294098" w:rsidRPr="00677C50">
        <w:rPr>
          <w:rFonts w:asciiTheme="majorBidi" w:hAnsiTheme="majorBidi" w:cstheme="majorBidi"/>
        </w:rPr>
        <w:t xml:space="preserve"> un</w:t>
      </w:r>
      <w:r w:rsidRPr="00677C50">
        <w:rPr>
          <w:rFonts w:asciiTheme="majorBidi" w:hAnsiTheme="majorBidi" w:cstheme="majorBidi"/>
        </w:rPr>
        <w:t xml:space="preserve"> ir turpināmi ārstēšanas un rehabilitācijas pasākumi. Vienlaikus komisija sniedza pieteicējai atzinumu Nr.</w:t>
      </w:r>
      <w:r w:rsidR="00F65C2C">
        <w:rPr>
          <w:rFonts w:asciiTheme="majorBidi" w:hAnsiTheme="majorBidi" w:cstheme="majorBidi"/>
        </w:rPr>
        <w:t> </w:t>
      </w:r>
      <w:r w:rsidRPr="00677C50">
        <w:rPr>
          <w:rFonts w:asciiTheme="majorBidi" w:hAnsiTheme="majorBidi" w:cstheme="majorBidi"/>
        </w:rPr>
        <w:t>30-2022-440-A par darbnespējas lapas pagarināšanu darbnespējas periodā, kas turpinās ilgāk par 26 nedēļām.</w:t>
      </w:r>
    </w:p>
    <w:p w14:paraId="746F93B6" w14:textId="6C40E89D"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Pieteicēja sākotnējo lēmumu apstrīdēja, </w:t>
      </w:r>
      <w:r w:rsidR="003E3E67" w:rsidRPr="00677C50">
        <w:rPr>
          <w:rFonts w:asciiTheme="majorBidi" w:hAnsiTheme="majorBidi" w:cstheme="majorBidi"/>
        </w:rPr>
        <w:t>uzsverot</w:t>
      </w:r>
      <w:r w:rsidRPr="00677C50">
        <w:rPr>
          <w:rFonts w:asciiTheme="majorBidi" w:hAnsiTheme="majorBidi" w:cstheme="majorBidi"/>
        </w:rPr>
        <w:t>, ka vēl</w:t>
      </w:r>
      <w:r w:rsidR="00145B8B" w:rsidRPr="00677C50">
        <w:rPr>
          <w:rFonts w:asciiTheme="majorBidi" w:hAnsiTheme="majorBidi" w:cstheme="majorBidi"/>
        </w:rPr>
        <w:t>as</w:t>
      </w:r>
      <w:r w:rsidRPr="00677C50">
        <w:rPr>
          <w:rFonts w:asciiTheme="majorBidi" w:hAnsiTheme="majorBidi" w:cstheme="majorBidi"/>
        </w:rPr>
        <w:t>, lai komisija atbilstoši Prokuroru izdienas pensiju likuma 2.panta pirmās daļas 2.punktam snie</w:t>
      </w:r>
      <w:r w:rsidR="00294098" w:rsidRPr="00677C50">
        <w:rPr>
          <w:rFonts w:asciiTheme="majorBidi" w:hAnsiTheme="majorBidi" w:cstheme="majorBidi"/>
        </w:rPr>
        <w:t>dz</w:t>
      </w:r>
      <w:r w:rsidRPr="00677C50">
        <w:rPr>
          <w:rFonts w:asciiTheme="majorBidi" w:hAnsiTheme="majorBidi" w:cstheme="majorBidi"/>
        </w:rPr>
        <w:t xml:space="preserve"> slēdzienu, ka pieteicēja nevar turpināt prokurora darbu veselības stāvokļa dēļ</w:t>
      </w:r>
      <w:r w:rsidR="0083360D" w:rsidRPr="00677C50">
        <w:rPr>
          <w:rFonts w:asciiTheme="majorBidi" w:hAnsiTheme="majorBidi" w:cstheme="majorBidi"/>
        </w:rPr>
        <w:t xml:space="preserve">, tomēr </w:t>
      </w:r>
      <w:r w:rsidR="00294098" w:rsidRPr="00677C50">
        <w:rPr>
          <w:rFonts w:asciiTheme="majorBidi" w:hAnsiTheme="majorBidi" w:cstheme="majorBidi"/>
        </w:rPr>
        <w:t xml:space="preserve">sākotnējā lēmumā </w:t>
      </w:r>
      <w:r w:rsidR="0083360D" w:rsidRPr="00677C50">
        <w:rPr>
          <w:rFonts w:asciiTheme="majorBidi" w:hAnsiTheme="majorBidi" w:cstheme="majorBidi"/>
        </w:rPr>
        <w:t>par to nemaz nav l</w:t>
      </w:r>
      <w:r w:rsidR="00294098" w:rsidRPr="00677C50">
        <w:rPr>
          <w:rFonts w:asciiTheme="majorBidi" w:hAnsiTheme="majorBidi" w:cstheme="majorBidi"/>
        </w:rPr>
        <w:t>emts</w:t>
      </w:r>
      <w:r w:rsidRPr="00677C50">
        <w:rPr>
          <w:rFonts w:asciiTheme="majorBidi" w:hAnsiTheme="majorBidi" w:cstheme="majorBidi"/>
        </w:rPr>
        <w:t>.</w:t>
      </w:r>
    </w:p>
    <w:p w14:paraId="7782AD8B" w14:textId="77777777" w:rsidR="00ED45BB" w:rsidRPr="00677C50" w:rsidRDefault="00ED45BB" w:rsidP="00420DCA">
      <w:pPr>
        <w:spacing w:line="276" w:lineRule="auto"/>
        <w:ind w:firstLine="720"/>
        <w:jc w:val="both"/>
        <w:rPr>
          <w:rFonts w:asciiTheme="majorBidi" w:hAnsiTheme="majorBidi" w:cstheme="majorBidi"/>
        </w:rPr>
      </w:pPr>
    </w:p>
    <w:p w14:paraId="6B489438" w14:textId="56A34340"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[2] Komisija ar 2022.gada 17.marta lēmumu Nr.</w:t>
      </w:r>
      <w:r w:rsidR="003C05C7">
        <w:rPr>
          <w:rFonts w:asciiTheme="majorBidi" w:hAnsiTheme="majorBidi" w:cstheme="majorBidi"/>
        </w:rPr>
        <w:t> </w:t>
      </w:r>
      <w:r w:rsidRPr="00677C50">
        <w:rPr>
          <w:rFonts w:asciiTheme="majorBidi" w:hAnsiTheme="majorBidi" w:cstheme="majorBidi"/>
        </w:rPr>
        <w:t xml:space="preserve">12-2022-311 (turpmāk – pārsūdzētais lēmums) sākotnējo lēmumu atstāja negrozītu. Komisija pārsūdzētā lēmuma nosūtīšanas pavadrakstā norādīja, ka Ministru kabineta 2014.gada 23.decembra </w:t>
      </w:r>
      <w:r w:rsidRPr="00677C50">
        <w:rPr>
          <w:rFonts w:asciiTheme="majorBidi" w:hAnsiTheme="majorBidi" w:cstheme="majorBidi"/>
        </w:rPr>
        <w:lastRenderedPageBreak/>
        <w:t>noteikumos Nr.</w:t>
      </w:r>
      <w:r w:rsidR="001B056C" w:rsidRPr="00677C50">
        <w:rPr>
          <w:rFonts w:asciiTheme="majorBidi" w:hAnsiTheme="majorBidi" w:cstheme="majorBidi"/>
        </w:rPr>
        <w:t> </w:t>
      </w:r>
      <w:r w:rsidRPr="00677C50">
        <w:rPr>
          <w:rFonts w:asciiTheme="majorBidi" w:hAnsiTheme="majorBidi" w:cstheme="majorBidi"/>
        </w:rPr>
        <w:t xml:space="preserve">805 „Prognozējamas invaliditātes, invaliditātes un darbspēju zaudējuma noteikšanas un invaliditāti apliecinoša dokumenta izsniegšanas noteikumi” (turpmāk – </w:t>
      </w:r>
      <w:r w:rsidR="00C361C7" w:rsidRPr="00677C50">
        <w:rPr>
          <w:rFonts w:asciiTheme="majorBidi" w:hAnsiTheme="majorBidi" w:cstheme="majorBidi"/>
        </w:rPr>
        <w:t>Invaliditātes noteikumi</w:t>
      </w:r>
      <w:r w:rsidRPr="00677C50">
        <w:rPr>
          <w:rFonts w:asciiTheme="majorBidi" w:hAnsiTheme="majorBidi" w:cstheme="majorBidi"/>
        </w:rPr>
        <w:t>) nav iekļauti kritēriji slēdziena sniegšanai par personas atbrīvošanu no amata veselības stāvokļa dēļ un saskaņā ar Ministru kabineta 2009.gada 10.marta noteikumiem Nr.</w:t>
      </w:r>
      <w:r w:rsidR="001B056C" w:rsidRPr="00677C50">
        <w:rPr>
          <w:rFonts w:asciiTheme="majorBidi" w:hAnsiTheme="majorBidi" w:cstheme="majorBidi"/>
        </w:rPr>
        <w:t> </w:t>
      </w:r>
      <w:r w:rsidRPr="00677C50">
        <w:rPr>
          <w:rFonts w:asciiTheme="majorBidi" w:hAnsiTheme="majorBidi" w:cstheme="majorBidi"/>
        </w:rPr>
        <w:t xml:space="preserve">219 „Kārtība, kādā veicama obligātā veselības pārbaude” (turpmāk – </w:t>
      </w:r>
      <w:r w:rsidR="00145B8B" w:rsidRPr="00677C50">
        <w:rPr>
          <w:rFonts w:asciiTheme="majorBidi" w:hAnsiTheme="majorBidi" w:cstheme="majorBidi"/>
        </w:rPr>
        <w:t>Obligātās veselības pārbaudes noteikumi</w:t>
      </w:r>
      <w:r w:rsidRPr="00677C50">
        <w:rPr>
          <w:rFonts w:asciiTheme="majorBidi" w:hAnsiTheme="majorBidi" w:cstheme="majorBidi"/>
        </w:rPr>
        <w:t>) atzinumu par personas veselības stāvokļa atbilstību veicamajam darbam sniedz arodslimību ārsts.</w:t>
      </w:r>
    </w:p>
    <w:p w14:paraId="5A6B29BE" w14:textId="77777777" w:rsidR="00ED45BB" w:rsidRPr="00677C50" w:rsidRDefault="00ED45BB" w:rsidP="00420DCA">
      <w:pPr>
        <w:spacing w:line="276" w:lineRule="auto"/>
        <w:ind w:firstLine="720"/>
        <w:jc w:val="both"/>
        <w:rPr>
          <w:rFonts w:asciiTheme="majorBidi" w:hAnsiTheme="majorBidi" w:cstheme="majorBidi"/>
        </w:rPr>
      </w:pPr>
    </w:p>
    <w:p w14:paraId="5C2D5289" w14:textId="6BE55729"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[3] Pieteicēja vērsās Administratīvajā rajona tiesā ar pieteikumu par pienākuma uzlikšanu komisijai izdot pieteicējai labvēlīgu administratīvo aktu – slēdzienu, ar kuru atzīts, ka pieteicējas veselības stāvoklis neļauj turpināt prokurora darbu. Pieteikumā uzsvērts, ka komisija nav pareizi piemērojusi Prokuroru izdienas pensiju likuma 2.panta pirmās daļas 2.punktu, atbilstoši kuram komisijai netiek prasīt</w:t>
      </w:r>
      <w:r w:rsidR="00547B9A" w:rsidRPr="00677C50">
        <w:rPr>
          <w:rFonts w:asciiTheme="majorBidi" w:hAnsiTheme="majorBidi" w:cstheme="majorBidi"/>
        </w:rPr>
        <w:t xml:space="preserve">s lemt par </w:t>
      </w:r>
      <w:r w:rsidRPr="00677C50">
        <w:rPr>
          <w:rFonts w:asciiTheme="majorBidi" w:hAnsiTheme="majorBidi" w:cstheme="majorBidi"/>
        </w:rPr>
        <w:t>invaliditātes noteikšan</w:t>
      </w:r>
      <w:r w:rsidR="00547B9A" w:rsidRPr="00677C50">
        <w:rPr>
          <w:rFonts w:asciiTheme="majorBidi" w:hAnsiTheme="majorBidi" w:cstheme="majorBidi"/>
        </w:rPr>
        <w:t>u</w:t>
      </w:r>
      <w:r w:rsidR="00294098" w:rsidRPr="00677C50">
        <w:rPr>
          <w:rFonts w:asciiTheme="majorBidi" w:hAnsiTheme="majorBidi" w:cstheme="majorBidi"/>
        </w:rPr>
        <w:t xml:space="preserve"> vai darbnespējas lapas pagarināšanu</w:t>
      </w:r>
      <w:r w:rsidRPr="00677C50">
        <w:rPr>
          <w:rFonts w:asciiTheme="majorBidi" w:hAnsiTheme="majorBidi" w:cstheme="majorBidi"/>
        </w:rPr>
        <w:t xml:space="preserve">, bet gan </w:t>
      </w:r>
      <w:r w:rsidR="00547B9A" w:rsidRPr="00677C50">
        <w:rPr>
          <w:rFonts w:asciiTheme="majorBidi" w:hAnsiTheme="majorBidi" w:cstheme="majorBidi"/>
        </w:rPr>
        <w:t xml:space="preserve">sniegt </w:t>
      </w:r>
      <w:r w:rsidRPr="00677C50">
        <w:rPr>
          <w:rFonts w:asciiTheme="majorBidi" w:hAnsiTheme="majorBidi" w:cstheme="majorBidi"/>
        </w:rPr>
        <w:t>kompetentu speciālistu slēdzien</w:t>
      </w:r>
      <w:r w:rsidR="00547B9A" w:rsidRPr="00677C50">
        <w:rPr>
          <w:rFonts w:asciiTheme="majorBidi" w:hAnsiTheme="majorBidi" w:cstheme="majorBidi"/>
        </w:rPr>
        <w:t>u</w:t>
      </w:r>
      <w:r w:rsidRPr="00677C50">
        <w:rPr>
          <w:rFonts w:asciiTheme="majorBidi" w:hAnsiTheme="majorBidi" w:cstheme="majorBidi"/>
        </w:rPr>
        <w:t xml:space="preserve"> par to, vai </w:t>
      </w:r>
      <w:r w:rsidR="00547B9A" w:rsidRPr="00677C50">
        <w:rPr>
          <w:rFonts w:asciiTheme="majorBidi" w:hAnsiTheme="majorBidi" w:cstheme="majorBidi"/>
        </w:rPr>
        <w:t>personai</w:t>
      </w:r>
      <w:r w:rsidRPr="00677C50">
        <w:rPr>
          <w:rFonts w:asciiTheme="majorBidi" w:hAnsiTheme="majorBidi" w:cstheme="majorBidi"/>
        </w:rPr>
        <w:t xml:space="preserve"> tiek konstatēts veselības stāvoklis, kas neļauj turpināt amata pienākumu izpildi. </w:t>
      </w:r>
    </w:p>
    <w:p w14:paraId="51C43CEB" w14:textId="77777777" w:rsidR="00ED45BB" w:rsidRPr="00677C50" w:rsidRDefault="00ED45BB" w:rsidP="00420DCA">
      <w:pPr>
        <w:spacing w:line="276" w:lineRule="auto"/>
        <w:ind w:firstLine="720"/>
        <w:jc w:val="both"/>
        <w:rPr>
          <w:rFonts w:asciiTheme="majorBidi" w:hAnsiTheme="majorBidi" w:cstheme="majorBidi"/>
        </w:rPr>
      </w:pPr>
    </w:p>
    <w:p w14:paraId="7061D378" w14:textId="09C317FB"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[4] Administratīvā apgabaltiesa ar 2024.gada 16.septembra spriedumu pieteikumu noraidīja. </w:t>
      </w:r>
      <w:r w:rsidR="00C361C7" w:rsidRPr="00677C50">
        <w:rPr>
          <w:rFonts w:asciiTheme="majorBidi" w:hAnsiTheme="majorBidi" w:cstheme="majorBidi"/>
        </w:rPr>
        <w:t xml:space="preserve">Apgabaltiesa pievienojās </w:t>
      </w:r>
      <w:r w:rsidRPr="00677C50">
        <w:rPr>
          <w:rFonts w:asciiTheme="majorBidi" w:hAnsiTheme="majorBidi" w:cstheme="majorBidi"/>
        </w:rPr>
        <w:t>pirmās instances tiesas sprieduma motivācijai</w:t>
      </w:r>
      <w:r w:rsidR="00C361C7" w:rsidRPr="00677C50">
        <w:rPr>
          <w:rFonts w:asciiTheme="majorBidi" w:hAnsiTheme="majorBidi" w:cstheme="majorBidi"/>
        </w:rPr>
        <w:t xml:space="preserve"> un spriedumu </w:t>
      </w:r>
      <w:r w:rsidRPr="00677C50">
        <w:rPr>
          <w:rFonts w:asciiTheme="majorBidi" w:hAnsiTheme="majorBidi" w:cstheme="majorBidi"/>
        </w:rPr>
        <w:t>pamatoja ar turpmāk minētajiem argumentiem.</w:t>
      </w:r>
    </w:p>
    <w:p w14:paraId="73FA8319" w14:textId="64C3A3C9"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[4.1] No Prokuratūras likuma 39.panta pirmās daļas 3.punkta un 41.panta izriet, ka lēmumu par prokurora atbrīvošanu no amata veselības stāvokļa dēļ pieņem ģenerālprokurors. Prokuratūras likums nenoteic dokumentus, ar kuriem var būt pamatots šāds ģenerālprokurora lēmums. Ģenerālprokuratūra paskaidrojusi, ka pēdējo desmit gadu laikā pamats prokuroru atbrīvošanai no amata atbilstoši Prokuratūras likuma 39.panta 3.punktam piecos gadījumos bijis arodslimību ārsta atzinums un tikai vienā gadījumā komisijas lēmums. No tā izriet, ka ģenerālprokurors lēmumu par prokurora atbrīvošanu no amata veselības stāvokļa dēļ pamato ar ārstu</w:t>
      </w:r>
      <w:r w:rsidR="0098598F" w:rsidRPr="00677C50">
        <w:rPr>
          <w:rFonts w:asciiTheme="majorBidi" w:hAnsiTheme="majorBidi" w:cstheme="majorBidi"/>
        </w:rPr>
        <w:t xml:space="preserve"> </w:t>
      </w:r>
      <w:r w:rsidRPr="00677C50">
        <w:rPr>
          <w:rFonts w:asciiTheme="majorBidi" w:hAnsiTheme="majorBidi" w:cstheme="majorBidi"/>
        </w:rPr>
        <w:t>speciālistu atzinumiem, ņemot vērā katra gadījuma individuālos apstākļus</w:t>
      </w:r>
      <w:r w:rsidR="00137B08" w:rsidRPr="00677C50">
        <w:rPr>
          <w:rFonts w:asciiTheme="majorBidi" w:hAnsiTheme="majorBidi" w:cstheme="majorBidi"/>
        </w:rPr>
        <w:t>, un šāda lēmuma pieņemšanai nav obligāti nepieciešams tieši komisijas atzinums (slēdziens)</w:t>
      </w:r>
      <w:r w:rsidRPr="00677C50">
        <w:rPr>
          <w:rFonts w:asciiTheme="majorBidi" w:hAnsiTheme="majorBidi" w:cstheme="majorBidi"/>
        </w:rPr>
        <w:t xml:space="preserve">. </w:t>
      </w:r>
    </w:p>
    <w:p w14:paraId="6C84547C" w14:textId="756C0706"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[4.2] No Invaliditātes likuma 1.panta 2., 3. un 6.punkta un 8.panta pirmās daļas izriet, ka komisijas kompetencē ir izvērtēt personas funkcionēšanas ierobežojuma pakāpi un darbspēju zaudējumu invaliditātes noteikšanas vajadzībām. No </w:t>
      </w:r>
      <w:r w:rsidR="00145B8B" w:rsidRPr="00677C50">
        <w:rPr>
          <w:rFonts w:asciiTheme="majorBidi" w:hAnsiTheme="majorBidi" w:cstheme="majorBidi"/>
        </w:rPr>
        <w:t>Invaliditātes noteikumu</w:t>
      </w:r>
      <w:r w:rsidRPr="00677C50">
        <w:rPr>
          <w:rFonts w:asciiTheme="majorBidi" w:hAnsiTheme="majorBidi" w:cstheme="majorBidi"/>
        </w:rPr>
        <w:t xml:space="preserve"> 17.punkta, 18.2.apakšpunkta, 5.pielikuma piezīmju satura izriet komisijas kompetence novērtēt personas vispārējos veselības traucējumus un funkcionālās spējas</w:t>
      </w:r>
      <w:r w:rsidR="0027781E" w:rsidRPr="00677C50">
        <w:rPr>
          <w:rFonts w:asciiTheme="majorBidi" w:hAnsiTheme="majorBidi" w:cstheme="majorBidi"/>
        </w:rPr>
        <w:t xml:space="preserve"> invaliditātes noteikšanai</w:t>
      </w:r>
      <w:r w:rsidRPr="00677C50">
        <w:rPr>
          <w:rFonts w:asciiTheme="majorBidi" w:hAnsiTheme="majorBidi" w:cstheme="majorBidi"/>
        </w:rPr>
        <w:t xml:space="preserve">. </w:t>
      </w:r>
      <w:r w:rsidR="00FD3FB7" w:rsidRPr="00677C50">
        <w:rPr>
          <w:rFonts w:asciiTheme="majorBidi" w:hAnsiTheme="majorBidi" w:cstheme="majorBidi"/>
        </w:rPr>
        <w:t>Tādējādi n</w:t>
      </w:r>
      <w:r w:rsidRPr="00677C50">
        <w:rPr>
          <w:rFonts w:asciiTheme="majorBidi" w:hAnsiTheme="majorBidi" w:cstheme="majorBidi"/>
        </w:rPr>
        <w:t xml:space="preserve">ormatīvie akti neparedz komisijai vērtēt personas veselības stāvokļa atbilstību kādai konkrētai profesijai. </w:t>
      </w:r>
    </w:p>
    <w:p w14:paraId="2BAA035F" w14:textId="19362FEC"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[4.3] Prokurora veselības stāvokli un tā atbilstību prokurora veicamajam darbam </w:t>
      </w:r>
      <w:r w:rsidR="00FD3FB7" w:rsidRPr="00677C50">
        <w:rPr>
          <w:rFonts w:asciiTheme="majorBidi" w:hAnsiTheme="majorBidi" w:cstheme="majorBidi"/>
        </w:rPr>
        <w:t>var</w:t>
      </w:r>
      <w:r w:rsidRPr="00677C50">
        <w:rPr>
          <w:rFonts w:asciiTheme="majorBidi" w:hAnsiTheme="majorBidi" w:cstheme="majorBidi"/>
        </w:rPr>
        <w:t xml:space="preserve"> izvērtēt obligātās veselības pārbaudes ietvaros. Nav šaubu, ka komisijas atzinums invaliditātes noteikšanas lietā var būt pierādījums, kas apliecina, ka prokurors nespēj pildīt prokurora darbu. Tomēr tas nav vienīgais iespējamais pierādījums, jo arī obligātajās </w:t>
      </w:r>
      <w:r w:rsidR="0098598F" w:rsidRPr="00677C50">
        <w:rPr>
          <w:rFonts w:asciiTheme="majorBidi" w:hAnsiTheme="majorBidi" w:cstheme="majorBidi"/>
        </w:rPr>
        <w:t>veselības</w:t>
      </w:r>
      <w:r w:rsidRPr="00677C50">
        <w:rPr>
          <w:rFonts w:asciiTheme="majorBidi" w:hAnsiTheme="majorBidi" w:cstheme="majorBidi"/>
        </w:rPr>
        <w:t xml:space="preserve"> pārbaudēs var tikt konstatēts, ka prokurora veselības stāvoklis neatbilst veicamajam darbam. Minēto apliecina arī Ģenerālprokuratūras sniegtā informācija, saskaņā ar kuru praksē ģenerālprokurora lēmumi par atbrīvošanu no amata veselības stāvokļa dēļ ir pamatoti ar dažādiem medicīniskajiem dokumentiem.</w:t>
      </w:r>
    </w:p>
    <w:p w14:paraId="345023C3" w14:textId="60E9D6A2"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[4.4] </w:t>
      </w:r>
      <w:r w:rsidR="00294098" w:rsidRPr="00677C50">
        <w:rPr>
          <w:rFonts w:asciiTheme="majorBidi" w:hAnsiTheme="majorBidi" w:cstheme="majorBidi"/>
        </w:rPr>
        <w:t xml:space="preserve">Pieprasot </w:t>
      </w:r>
      <w:r w:rsidRPr="00677C50">
        <w:rPr>
          <w:rFonts w:asciiTheme="majorBidi" w:hAnsiTheme="majorBidi" w:cstheme="majorBidi"/>
        </w:rPr>
        <w:t>izdienas pensij</w:t>
      </w:r>
      <w:r w:rsidR="00294098" w:rsidRPr="00677C50">
        <w:rPr>
          <w:rFonts w:asciiTheme="majorBidi" w:hAnsiTheme="majorBidi" w:cstheme="majorBidi"/>
        </w:rPr>
        <w:t>u,</w:t>
      </w:r>
      <w:r w:rsidRPr="00677C50">
        <w:rPr>
          <w:rFonts w:asciiTheme="majorBidi" w:hAnsiTheme="majorBidi" w:cstheme="majorBidi"/>
        </w:rPr>
        <w:t xml:space="preserve"> nav jāiesniedz komisijas </w:t>
      </w:r>
      <w:r w:rsidR="00294098" w:rsidRPr="00677C50">
        <w:rPr>
          <w:rFonts w:asciiTheme="majorBidi" w:hAnsiTheme="majorBidi" w:cstheme="majorBidi"/>
        </w:rPr>
        <w:t>slēdziens</w:t>
      </w:r>
      <w:r w:rsidRPr="00677C50">
        <w:rPr>
          <w:rFonts w:asciiTheme="majorBidi" w:hAnsiTheme="majorBidi" w:cstheme="majorBidi"/>
        </w:rPr>
        <w:t>, bet gan ģenerālprokurora parakstīta</w:t>
      </w:r>
      <w:r w:rsidR="00294098" w:rsidRPr="00677C50">
        <w:rPr>
          <w:rFonts w:asciiTheme="majorBidi" w:hAnsiTheme="majorBidi" w:cstheme="majorBidi"/>
        </w:rPr>
        <w:t>s izziņas, tostarp par</w:t>
      </w:r>
      <w:r w:rsidRPr="00677C50">
        <w:rPr>
          <w:rFonts w:asciiTheme="majorBidi" w:hAnsiTheme="majorBidi" w:cstheme="majorBidi"/>
        </w:rPr>
        <w:t xml:space="preserve"> atbrīvošanu no prokuror</w:t>
      </w:r>
      <w:r w:rsidR="00294098" w:rsidRPr="00677C50">
        <w:rPr>
          <w:rFonts w:asciiTheme="majorBidi" w:hAnsiTheme="majorBidi" w:cstheme="majorBidi"/>
        </w:rPr>
        <w:t>a amata</w:t>
      </w:r>
      <w:r w:rsidRPr="00677C50">
        <w:rPr>
          <w:rFonts w:asciiTheme="majorBidi" w:hAnsiTheme="majorBidi" w:cstheme="majorBidi"/>
        </w:rPr>
        <w:t>.</w:t>
      </w:r>
      <w:r w:rsidRPr="00677C50">
        <w:rPr>
          <w:rFonts w:asciiTheme="majorBidi" w:eastAsiaTheme="minorHAnsi" w:hAnsiTheme="majorBidi" w:cstheme="majorBidi"/>
          <w:lang w:eastAsia="en-US"/>
          <w14:ligatures w14:val="standardContextual"/>
        </w:rPr>
        <w:t xml:space="preserve"> </w:t>
      </w:r>
    </w:p>
    <w:p w14:paraId="0178B7ED" w14:textId="0587ECDE"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[4.5] Prokuroru izdienas pensiju likuma 2.panta pirmās daļas 2.punkts pašreizējā redakcijā ir spēkā kopš šā likuma spēkā stāšanās 2000.gada 1.janvārī un nav grozīt</w:t>
      </w:r>
      <w:r w:rsidR="00581299" w:rsidRPr="00677C50">
        <w:rPr>
          <w:rFonts w:asciiTheme="majorBidi" w:hAnsiTheme="majorBidi" w:cstheme="majorBidi"/>
        </w:rPr>
        <w:t>s</w:t>
      </w:r>
      <w:r w:rsidRPr="00677C50">
        <w:rPr>
          <w:rFonts w:asciiTheme="majorBidi" w:hAnsiTheme="majorBidi" w:cstheme="majorBidi"/>
        </w:rPr>
        <w:t>. Savukārt komisijas kompetence laika gaitā ir mainījusies. Labklājības ministrijas 2022.gada 12.maija vēstulē Nr.</w:t>
      </w:r>
      <w:r w:rsidR="00F65C2C">
        <w:rPr>
          <w:rFonts w:asciiTheme="majorBidi" w:hAnsiTheme="majorBidi" w:cstheme="majorBidi"/>
        </w:rPr>
        <w:t> </w:t>
      </w:r>
      <w:r w:rsidRPr="00677C50">
        <w:rPr>
          <w:rFonts w:asciiTheme="majorBidi" w:hAnsiTheme="majorBidi" w:cstheme="majorBidi"/>
        </w:rPr>
        <w:t xml:space="preserve">36-1-03/644 skaidrots, ka speciālajos izdienu pensiju likumos norma par tiesībām pieprasīt izdienas pensiju, pamatojoties uz komisijas lēmumu (slēdzienu/atzinumu), radusies vēsturiski, kad komisija deva rekomendācijas par darba turpināšanu esošajā amatā vai rekomendēja neturpināt darbu esošajā amatā veselības stāvokļa dēļ. </w:t>
      </w:r>
      <w:r w:rsidR="001A505F" w:rsidRPr="00677C50">
        <w:rPr>
          <w:rFonts w:asciiTheme="majorBidi" w:hAnsiTheme="majorBidi" w:cstheme="majorBidi"/>
        </w:rPr>
        <w:t>Tagad komisija tikai izvērtē personas vispārējo funkcionēšanas ierobežojumu pakāpi un darbspēju zaudējumu invaliditātes vai prognozētas invaliditātes noteikšanai. To apliecina arī Ministru kabineta 2011.gada 26.aprīļa noteikumu Nr.</w:t>
      </w:r>
      <w:r w:rsidR="0098598F" w:rsidRPr="00677C50">
        <w:rPr>
          <w:rFonts w:asciiTheme="majorBidi" w:hAnsiTheme="majorBidi" w:cstheme="majorBidi"/>
        </w:rPr>
        <w:t> </w:t>
      </w:r>
      <w:r w:rsidR="001A505F" w:rsidRPr="00677C50">
        <w:rPr>
          <w:rFonts w:asciiTheme="majorBidi" w:hAnsiTheme="majorBidi" w:cstheme="majorBidi"/>
        </w:rPr>
        <w:t xml:space="preserve">315 „Veselības un darbspēju ekspertīzes ārstu valsts komisijas nolikums” (turpmāk – Komisijas nolikums) 2. un 3.punkts.  </w:t>
      </w:r>
    </w:p>
    <w:p w14:paraId="0F34A889" w14:textId="7FEA07AD"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[4.6] Ievērojot minēto, Prokuroru izdienas pensiju likuma 2.panta pirmās daļas 2.punktā ietvertais teksts: „atbilstoši Veselības un darbspēju ekspertīzes ārstu valsts komisijas slēdzienam atbrīvots no amata veselības stāvokļa dēļ” ir pretrunā Prokuratūras likuma 39. un 41.pantam. Prokuroru izdienas pensiju likuma 2.panta pirmās daļas 2.punkts, kas konkrētajā gadījumā ir vispār</w:t>
      </w:r>
      <w:r w:rsidR="005934B4" w:rsidRPr="00677C50">
        <w:rPr>
          <w:rFonts w:asciiTheme="majorBidi" w:hAnsiTheme="majorBidi" w:cstheme="majorBidi"/>
        </w:rPr>
        <w:t>īga</w:t>
      </w:r>
      <w:r w:rsidRPr="00677C50">
        <w:rPr>
          <w:rFonts w:asciiTheme="majorBidi" w:hAnsiTheme="majorBidi" w:cstheme="majorBidi"/>
        </w:rPr>
        <w:t xml:space="preserve"> tiesību norma, ir pretrunā arī Invaliditātes likuma 8.panta pirmajai daļai (pieņemts 2010.gada 20.maijā), </w:t>
      </w:r>
      <w:r w:rsidR="001A505F" w:rsidRPr="00677C50">
        <w:rPr>
          <w:rFonts w:asciiTheme="majorBidi" w:hAnsiTheme="majorBidi" w:cstheme="majorBidi"/>
        </w:rPr>
        <w:t>Invaliditātes noteikumu</w:t>
      </w:r>
      <w:r w:rsidRPr="00677C50">
        <w:rPr>
          <w:rFonts w:asciiTheme="majorBidi" w:hAnsiTheme="majorBidi" w:cstheme="majorBidi"/>
        </w:rPr>
        <w:t xml:space="preserve"> 17. un 18.punktam un secīgi arī </w:t>
      </w:r>
      <w:r w:rsidR="001A505F" w:rsidRPr="00677C50">
        <w:rPr>
          <w:rFonts w:asciiTheme="majorBidi" w:hAnsiTheme="majorBidi" w:cstheme="majorBidi"/>
        </w:rPr>
        <w:t>Komisijas nolikuma</w:t>
      </w:r>
      <w:r w:rsidRPr="00677C50">
        <w:rPr>
          <w:rFonts w:asciiTheme="majorBidi" w:hAnsiTheme="majorBidi" w:cstheme="majorBidi"/>
        </w:rPr>
        <w:t xml:space="preserve"> 2. un 3.punktam, kas ir speciālās tiesību normas.</w:t>
      </w:r>
    </w:p>
    <w:p w14:paraId="72325467" w14:textId="57A7ECDA"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[4.7] Vispār</w:t>
      </w:r>
      <w:r w:rsidR="005934B4" w:rsidRPr="00677C50">
        <w:rPr>
          <w:rFonts w:asciiTheme="majorBidi" w:hAnsiTheme="majorBidi" w:cstheme="majorBidi"/>
        </w:rPr>
        <w:t>īgo</w:t>
      </w:r>
      <w:r w:rsidRPr="00677C50">
        <w:rPr>
          <w:rFonts w:asciiTheme="majorBidi" w:hAnsiTheme="majorBidi" w:cstheme="majorBidi"/>
        </w:rPr>
        <w:t xml:space="preserve"> tiesību normu piemēro tiktāl, ciktāl to neierobežo speciālā tiesību norma. Turklāt, ja konstatē pretrunu starp vienāda juridiskā spēka ārējiem normatīvajiem aktiem, piemēro jaunāko ārējo normatīvo aktu.</w:t>
      </w:r>
    </w:p>
    <w:p w14:paraId="28A7D190" w14:textId="24D6BB53"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Izskatāmās lietas apstākļos likumdevējs nav pilnvarojis komisiju vērtēt atsevišķu profesiju pārstāvju veselības stāvokļa atbilstību šajā profesijā veicamajam darbam. Komisija var rīkoties tikai savas kompetences ietvaros un izskatāmās lietas apstākļos veikt prognozējamas invaliditātes un invaliditātes ekspertīzi.</w:t>
      </w:r>
      <w:r w:rsidR="00294098" w:rsidRPr="00677C50">
        <w:rPr>
          <w:rFonts w:asciiTheme="majorBidi" w:hAnsiTheme="majorBidi" w:cstheme="majorBidi"/>
        </w:rPr>
        <w:t xml:space="preserve"> P</w:t>
      </w:r>
      <w:r w:rsidRPr="00677C50">
        <w:rPr>
          <w:rFonts w:asciiTheme="majorBidi" w:hAnsiTheme="majorBidi" w:cstheme="majorBidi"/>
        </w:rPr>
        <w:t>ieteicējai nav subjektīv</w:t>
      </w:r>
      <w:r w:rsidR="00294098" w:rsidRPr="00677C50">
        <w:rPr>
          <w:rFonts w:asciiTheme="majorBidi" w:hAnsiTheme="majorBidi" w:cstheme="majorBidi"/>
        </w:rPr>
        <w:t>o</w:t>
      </w:r>
      <w:r w:rsidRPr="00677C50">
        <w:rPr>
          <w:rFonts w:asciiTheme="majorBidi" w:hAnsiTheme="majorBidi" w:cstheme="majorBidi"/>
        </w:rPr>
        <w:t xml:space="preserve"> tiesību pieprasīt no komisijas tādu rīcību, kas tai nav noteikta normatīvajos aktos, proti, izvērtēt pieteicējas veselības </w:t>
      </w:r>
      <w:r w:rsidR="005934B4" w:rsidRPr="00677C50">
        <w:rPr>
          <w:rFonts w:asciiTheme="majorBidi" w:hAnsiTheme="majorBidi" w:cstheme="majorBidi"/>
        </w:rPr>
        <w:t xml:space="preserve">stāvokļa </w:t>
      </w:r>
      <w:r w:rsidRPr="00677C50">
        <w:rPr>
          <w:rFonts w:asciiTheme="majorBidi" w:hAnsiTheme="majorBidi" w:cstheme="majorBidi"/>
        </w:rPr>
        <w:t>atbilstību prokurora darbam, jo tas pārsniedz komisijas kompetenci.</w:t>
      </w:r>
    </w:p>
    <w:p w14:paraId="491F5049" w14:textId="77777777" w:rsidR="00ED45BB" w:rsidRPr="00677C50" w:rsidRDefault="00ED45BB" w:rsidP="00420DCA">
      <w:pPr>
        <w:spacing w:line="276" w:lineRule="auto"/>
        <w:ind w:firstLine="720"/>
        <w:jc w:val="both"/>
        <w:rPr>
          <w:rFonts w:asciiTheme="majorBidi" w:hAnsiTheme="majorBidi" w:cstheme="majorBidi"/>
        </w:rPr>
      </w:pPr>
    </w:p>
    <w:p w14:paraId="5157EB97" w14:textId="1128CABF"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[5] Pieteicēja iesniedza kasācijas sūdzību, norādot, ka Prokuroru izdienas pensiju likuma 2.panta pirmās daļas 2.punkts </w:t>
      </w:r>
      <w:r w:rsidRPr="00677C50">
        <w:rPr>
          <w:rFonts w:asciiTheme="majorBidi" w:hAnsiTheme="majorBidi" w:cstheme="majorBidi"/>
          <w:bCs/>
          <w:color w:val="000000"/>
          <w:kern w:val="1"/>
          <w:u w:color="000000"/>
        </w:rPr>
        <w:t xml:space="preserve">skaidri noteic komisiju kā kompetento iestādi slēdziena sniegšanai izdienas pensijas piešķiršanai veselības stāvokļa dēļ. Pieteicēja uzsver, ka apgabaltiesas secinājums, ka praksē personas veselības stāvokli apliecina arī citas institūcijas un komisijas kompetence ir saistīta tikai ar invaliditātes vai prognozējamas invaliditātes noteikšanu, aizskar pieteicējas tiesības paļauties uz </w:t>
      </w:r>
      <w:r w:rsidRPr="00677C50">
        <w:rPr>
          <w:rFonts w:asciiTheme="majorBidi" w:hAnsiTheme="majorBidi" w:cstheme="majorBidi"/>
        </w:rPr>
        <w:t xml:space="preserve">Prokuroru izdienas pensiju likuma 2.panta pirmās daļas 2.punktā skaidri noteikto kārtību. Pieteicēja uzskata, ka Invaliditātes likuma 8.pants apliecina, ka komisijas kompetencē ietilpst padziļināta personas funkcionēšanas un darbspēju izvērtēšana, uz kuras pamata var tikt izdarīti secinājumi </w:t>
      </w:r>
      <w:r w:rsidR="007B4473" w:rsidRPr="00677C50">
        <w:rPr>
          <w:rFonts w:asciiTheme="majorBidi" w:hAnsiTheme="majorBidi" w:cstheme="majorBidi"/>
        </w:rPr>
        <w:t xml:space="preserve">arī </w:t>
      </w:r>
      <w:r w:rsidRPr="00677C50">
        <w:rPr>
          <w:rFonts w:asciiTheme="majorBidi" w:hAnsiTheme="majorBidi" w:cstheme="majorBidi"/>
        </w:rPr>
        <w:t>par personas spēju piedalīties nodarbinātībā.</w:t>
      </w:r>
      <w:r w:rsidR="00677C50">
        <w:rPr>
          <w:rFonts w:asciiTheme="majorBidi" w:hAnsiTheme="majorBidi" w:cstheme="majorBidi"/>
        </w:rPr>
        <w:t xml:space="preserve"> </w:t>
      </w:r>
    </w:p>
    <w:p w14:paraId="34F5EF5A" w14:textId="64F6B0AA"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Pieteicēja arī norāda, ka lietas izskatīšanas gaitā tiesa ir aprobežoj</w:t>
      </w:r>
      <w:r w:rsidR="00F65C2C">
        <w:rPr>
          <w:rFonts w:asciiTheme="majorBidi" w:hAnsiTheme="majorBidi" w:cstheme="majorBidi"/>
        </w:rPr>
        <w:t>us</w:t>
      </w:r>
      <w:r w:rsidRPr="00677C50">
        <w:rPr>
          <w:rFonts w:asciiTheme="majorBidi" w:hAnsiTheme="majorBidi" w:cstheme="majorBidi"/>
        </w:rPr>
        <w:t>ies ar iestādes argumentu pieņemšanu un nav pienācīgi izvērtējusi iespējamos procesuālos pārkāpumus un tiesību normu piemērošanas jautājumus.</w:t>
      </w:r>
    </w:p>
    <w:p w14:paraId="59EC0DF6" w14:textId="77777777" w:rsidR="00ED45BB" w:rsidRPr="00677C50" w:rsidRDefault="00ED45BB" w:rsidP="00420DCA">
      <w:pPr>
        <w:spacing w:line="276" w:lineRule="auto"/>
        <w:ind w:firstLine="720"/>
        <w:jc w:val="both"/>
        <w:rPr>
          <w:rFonts w:asciiTheme="majorBidi" w:hAnsiTheme="majorBidi" w:cstheme="majorBidi"/>
        </w:rPr>
      </w:pPr>
    </w:p>
    <w:p w14:paraId="4FE06E08" w14:textId="66E45B32"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[6] Komisija paskaidrojumā par kasācijas sūdzību </w:t>
      </w:r>
      <w:r w:rsidR="004041C5">
        <w:rPr>
          <w:rFonts w:asciiTheme="majorBidi" w:hAnsiTheme="majorBidi" w:cstheme="majorBidi"/>
        </w:rPr>
        <w:t>norāda, ka tā ir nepamatota</w:t>
      </w:r>
      <w:r w:rsidRPr="00677C50">
        <w:rPr>
          <w:rFonts w:asciiTheme="majorBidi" w:hAnsiTheme="majorBidi" w:cstheme="majorBidi"/>
        </w:rPr>
        <w:t>.</w:t>
      </w:r>
    </w:p>
    <w:p w14:paraId="1AEFA002" w14:textId="77777777" w:rsidR="00D33DCF" w:rsidRPr="00677C50" w:rsidRDefault="00D33DCF" w:rsidP="00420DCA">
      <w:pPr>
        <w:spacing w:line="276" w:lineRule="auto"/>
        <w:rPr>
          <w:rFonts w:asciiTheme="majorBidi" w:hAnsiTheme="majorBidi" w:cstheme="majorBidi"/>
          <w:b/>
        </w:rPr>
      </w:pPr>
    </w:p>
    <w:p w14:paraId="0274C8A9" w14:textId="3DBB6440" w:rsidR="00ED45BB" w:rsidRPr="00677C50" w:rsidRDefault="00ED45BB" w:rsidP="00420DCA">
      <w:pPr>
        <w:spacing w:line="276" w:lineRule="auto"/>
        <w:jc w:val="center"/>
        <w:rPr>
          <w:rFonts w:asciiTheme="majorBidi" w:hAnsiTheme="majorBidi" w:cstheme="majorBidi"/>
          <w:b/>
        </w:rPr>
      </w:pPr>
      <w:r w:rsidRPr="00677C50">
        <w:rPr>
          <w:rFonts w:asciiTheme="majorBidi" w:hAnsiTheme="majorBidi" w:cstheme="majorBidi"/>
          <w:b/>
        </w:rPr>
        <w:t>Motīvu daļa</w:t>
      </w:r>
    </w:p>
    <w:p w14:paraId="5542BEC1" w14:textId="77777777" w:rsidR="00ED45BB" w:rsidRPr="00677C50" w:rsidRDefault="00ED45BB" w:rsidP="00420DCA">
      <w:pPr>
        <w:spacing w:line="276" w:lineRule="auto"/>
        <w:jc w:val="center"/>
        <w:rPr>
          <w:rFonts w:asciiTheme="majorBidi" w:hAnsiTheme="majorBidi" w:cstheme="majorBidi"/>
          <w:b/>
        </w:rPr>
      </w:pPr>
    </w:p>
    <w:p w14:paraId="7C9CD744" w14:textId="41C0E090" w:rsidR="00ED45BB" w:rsidRPr="00677C50" w:rsidRDefault="00ED45BB" w:rsidP="00420DCA">
      <w:pPr>
        <w:spacing w:line="276" w:lineRule="auto"/>
        <w:ind w:firstLine="720"/>
        <w:jc w:val="both"/>
        <w:rPr>
          <w:rFonts w:asciiTheme="majorBidi" w:hAnsiTheme="majorBidi" w:cstheme="majorBidi"/>
        </w:rPr>
      </w:pPr>
      <w:r w:rsidRPr="00677C50">
        <w:rPr>
          <w:rFonts w:asciiTheme="majorBidi" w:hAnsiTheme="majorBidi" w:cstheme="majorBidi"/>
          <w:bCs/>
        </w:rPr>
        <w:t>[7] </w:t>
      </w:r>
      <w:r w:rsidR="007B4473" w:rsidRPr="00677C50">
        <w:rPr>
          <w:rFonts w:asciiTheme="majorBidi" w:hAnsiTheme="majorBidi" w:cstheme="majorBidi"/>
          <w:bCs/>
        </w:rPr>
        <w:t>Ņ</w:t>
      </w:r>
      <w:r w:rsidR="0027781E" w:rsidRPr="00677C50">
        <w:rPr>
          <w:rFonts w:asciiTheme="majorBidi" w:hAnsiTheme="majorBidi" w:cstheme="majorBidi"/>
          <w:bCs/>
        </w:rPr>
        <w:t xml:space="preserve">emot vērā </w:t>
      </w:r>
      <w:r w:rsidR="004C641B" w:rsidRPr="00677C50">
        <w:rPr>
          <w:rFonts w:asciiTheme="majorBidi" w:hAnsiTheme="majorBidi" w:cstheme="majorBidi"/>
          <w:bCs/>
        </w:rPr>
        <w:t>pārsūdzētā</w:t>
      </w:r>
      <w:r w:rsidR="0027781E" w:rsidRPr="00677C50">
        <w:rPr>
          <w:rFonts w:asciiTheme="majorBidi" w:hAnsiTheme="majorBidi" w:cstheme="majorBidi"/>
          <w:bCs/>
        </w:rPr>
        <w:t xml:space="preserve"> sprieduma motīvus un kasācijas sūdzības argumentus, Senātam šajā lietā jāsniedz atbilde uz jautājumu, </w:t>
      </w:r>
      <w:r w:rsidRPr="00677C50">
        <w:rPr>
          <w:rFonts w:asciiTheme="majorBidi" w:hAnsiTheme="majorBidi" w:cstheme="majorBidi"/>
        </w:rPr>
        <w:t xml:space="preserve">vai komisijai no tiesību normām izriet kompetence </w:t>
      </w:r>
      <w:r w:rsidR="00294098" w:rsidRPr="00677C50">
        <w:rPr>
          <w:rFonts w:asciiTheme="majorBidi" w:hAnsiTheme="majorBidi" w:cstheme="majorBidi"/>
        </w:rPr>
        <w:t xml:space="preserve">izdienas pensijas pieprasīšanas vajadzībām </w:t>
      </w:r>
      <w:r w:rsidR="00980DAE" w:rsidRPr="00677C50">
        <w:rPr>
          <w:rFonts w:asciiTheme="majorBidi" w:hAnsiTheme="majorBidi" w:cstheme="majorBidi"/>
        </w:rPr>
        <w:t xml:space="preserve">personai </w:t>
      </w:r>
      <w:r w:rsidRPr="00677C50">
        <w:rPr>
          <w:rFonts w:asciiTheme="majorBidi" w:hAnsiTheme="majorBidi" w:cstheme="majorBidi"/>
        </w:rPr>
        <w:t>sniegt slēdzienu par to, vai</w:t>
      </w:r>
      <w:r w:rsidR="004041C5">
        <w:rPr>
          <w:rFonts w:asciiTheme="majorBidi" w:hAnsiTheme="majorBidi" w:cstheme="majorBidi"/>
        </w:rPr>
        <w:t xml:space="preserve"> viņas</w:t>
      </w:r>
      <w:r w:rsidRPr="00677C50">
        <w:rPr>
          <w:rFonts w:asciiTheme="majorBidi" w:hAnsiTheme="majorBidi" w:cstheme="majorBidi"/>
        </w:rPr>
        <w:t xml:space="preserve"> veselības stāvoklis ļauj turpināt darbu konkrētā profesijā, proti, prokurora amatā.</w:t>
      </w:r>
    </w:p>
    <w:p w14:paraId="6EEA36AA" w14:textId="1CD96AB9" w:rsidR="007B4473" w:rsidRPr="00677C50" w:rsidRDefault="007B4473" w:rsidP="00420DCA">
      <w:pPr>
        <w:spacing w:line="276" w:lineRule="auto"/>
        <w:ind w:firstLine="720"/>
        <w:jc w:val="both"/>
        <w:rPr>
          <w:rFonts w:asciiTheme="majorBidi" w:hAnsiTheme="majorBidi" w:cstheme="majorBidi"/>
        </w:rPr>
      </w:pPr>
    </w:p>
    <w:p w14:paraId="3B392E8E" w14:textId="3CB94EA1" w:rsidR="007B4473" w:rsidRPr="00677C50" w:rsidRDefault="007B4473"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[8] Apgabaltiesa ir atzinusi, ka komisijai ārpus invaliditātes noteikšanas procesa nav kompetences sniegt slēdzienu (atzinumu) par to, vai personas veselības stāvoklis ļauj turpināt darbu </w:t>
      </w:r>
      <w:r w:rsidR="00C8504E" w:rsidRPr="00677C50">
        <w:rPr>
          <w:rFonts w:asciiTheme="majorBidi" w:hAnsiTheme="majorBidi" w:cstheme="majorBidi"/>
        </w:rPr>
        <w:t>kādā konkrētā</w:t>
      </w:r>
      <w:r w:rsidRPr="00677C50">
        <w:rPr>
          <w:rFonts w:asciiTheme="majorBidi" w:hAnsiTheme="majorBidi" w:cstheme="majorBidi"/>
        </w:rPr>
        <w:t xml:space="preserve"> amatā. Tiesa secinājusi, ka, lai arī Prokuroru izdienas pensiju likuma 2.panta pirmās daļas 2.punktā ir norāde uz komisijas slēdzienu par personas veselības stāvokli, citās</w:t>
      </w:r>
      <w:r w:rsidR="00C8504E" w:rsidRPr="00677C50">
        <w:rPr>
          <w:rFonts w:asciiTheme="majorBidi" w:hAnsiTheme="majorBidi" w:cstheme="majorBidi"/>
        </w:rPr>
        <w:t xml:space="preserve"> – jaunākās un speciālajās – </w:t>
      </w:r>
      <w:r w:rsidRPr="00677C50">
        <w:rPr>
          <w:rFonts w:asciiTheme="majorBidi" w:hAnsiTheme="majorBidi" w:cstheme="majorBidi"/>
        </w:rPr>
        <w:t>tiesību</w:t>
      </w:r>
      <w:r w:rsidR="00C8504E" w:rsidRPr="00677C50">
        <w:rPr>
          <w:rFonts w:asciiTheme="majorBidi" w:hAnsiTheme="majorBidi" w:cstheme="majorBidi"/>
        </w:rPr>
        <w:t xml:space="preserve"> </w:t>
      </w:r>
      <w:r w:rsidRPr="00677C50">
        <w:rPr>
          <w:rFonts w:asciiTheme="majorBidi" w:hAnsiTheme="majorBidi" w:cstheme="majorBidi"/>
        </w:rPr>
        <w:t>normās komisijas kompetence ir noteikta tikai saistībā ar invaliditātes vai prognozējamas invaliditātes noteikšanu</w:t>
      </w:r>
      <w:r w:rsidR="00C75158" w:rsidRPr="00677C50">
        <w:rPr>
          <w:rFonts w:asciiTheme="majorBidi" w:hAnsiTheme="majorBidi" w:cstheme="majorBidi"/>
        </w:rPr>
        <w:t xml:space="preserve">. Turklāt Prokuratūras likums nenoteic, ka ģenerālprokurors prokuroru no amata veselības stāvokļa dēļ varētu atbrīvot, tikai pamatojoties uz komisijas slēdzienu. Šo iemeslu dēļ tiesa uzskatīja, ka Prokuroru izdienas pensiju likuma 2.panta pirmās daļas 2.punkts ir pretrunā </w:t>
      </w:r>
      <w:r w:rsidR="00C16342" w:rsidRPr="00677C50">
        <w:rPr>
          <w:rFonts w:asciiTheme="majorBidi" w:hAnsiTheme="majorBidi" w:cstheme="majorBidi"/>
        </w:rPr>
        <w:t xml:space="preserve">speciālajām tiesību normām – </w:t>
      </w:r>
      <w:r w:rsidR="00C75158" w:rsidRPr="00677C50">
        <w:rPr>
          <w:rFonts w:asciiTheme="majorBidi" w:hAnsiTheme="majorBidi" w:cstheme="majorBidi"/>
        </w:rPr>
        <w:t>Prokuratūras</w:t>
      </w:r>
      <w:r w:rsidR="00C16342" w:rsidRPr="00677C50">
        <w:rPr>
          <w:rFonts w:asciiTheme="majorBidi" w:hAnsiTheme="majorBidi" w:cstheme="majorBidi"/>
        </w:rPr>
        <w:t xml:space="preserve"> </w:t>
      </w:r>
      <w:r w:rsidR="00C75158" w:rsidRPr="00677C50">
        <w:rPr>
          <w:rFonts w:asciiTheme="majorBidi" w:hAnsiTheme="majorBidi" w:cstheme="majorBidi"/>
        </w:rPr>
        <w:t>likuma regulējum</w:t>
      </w:r>
      <w:r w:rsidR="00903508" w:rsidRPr="00677C50">
        <w:rPr>
          <w:rFonts w:asciiTheme="majorBidi" w:hAnsiTheme="majorBidi" w:cstheme="majorBidi"/>
        </w:rPr>
        <w:t>am</w:t>
      </w:r>
      <w:r w:rsidR="00C75158" w:rsidRPr="00677C50">
        <w:rPr>
          <w:rFonts w:asciiTheme="majorBidi" w:hAnsiTheme="majorBidi" w:cstheme="majorBidi"/>
        </w:rPr>
        <w:t xml:space="preserve"> par prokurora atbrīvošanu no amata</w:t>
      </w:r>
      <w:r w:rsidR="00C16342" w:rsidRPr="00677C50">
        <w:rPr>
          <w:rFonts w:asciiTheme="majorBidi" w:hAnsiTheme="majorBidi" w:cstheme="majorBidi"/>
        </w:rPr>
        <w:t xml:space="preserve"> un</w:t>
      </w:r>
      <w:r w:rsidR="00903508" w:rsidRPr="00677C50">
        <w:rPr>
          <w:rFonts w:asciiTheme="majorBidi" w:hAnsiTheme="majorBidi" w:cstheme="majorBidi"/>
        </w:rPr>
        <w:t xml:space="preserve"> Invaliditātes likuma, Invaliditātes noteikumu un Komisijas nolikuma normām par komisijas kompetenci.</w:t>
      </w:r>
    </w:p>
    <w:p w14:paraId="5021A8CE" w14:textId="7EF1E0C0" w:rsidR="00CE6C9C" w:rsidRPr="00677C50" w:rsidRDefault="00903508" w:rsidP="00420DCA">
      <w:pPr>
        <w:spacing w:line="276" w:lineRule="auto"/>
        <w:ind w:firstLine="720"/>
        <w:jc w:val="both"/>
        <w:rPr>
          <w:rFonts w:asciiTheme="majorBidi" w:hAnsiTheme="majorBidi" w:cstheme="majorBidi"/>
        </w:rPr>
      </w:pPr>
      <w:r w:rsidRPr="00677C50">
        <w:rPr>
          <w:rFonts w:asciiTheme="majorBidi" w:hAnsiTheme="majorBidi" w:cstheme="majorBidi"/>
        </w:rPr>
        <w:t>Senāts turpmāk norādīto apsvērumu dēļ atzīst, ka apgabaltiesa tiesību normu piemērošanā pieļāvusi kļūdas, kas novedušas pie nepareiza secinājuma par komisijas kompetenci.</w:t>
      </w:r>
    </w:p>
    <w:p w14:paraId="3465D084" w14:textId="77777777" w:rsidR="00CE6C9C" w:rsidRPr="00677C50" w:rsidRDefault="00CE6C9C" w:rsidP="00420DCA">
      <w:pPr>
        <w:spacing w:line="276" w:lineRule="auto"/>
        <w:ind w:firstLine="720"/>
        <w:jc w:val="both"/>
        <w:rPr>
          <w:rFonts w:asciiTheme="majorBidi" w:hAnsiTheme="majorBidi" w:cstheme="majorBidi"/>
        </w:rPr>
      </w:pPr>
    </w:p>
    <w:p w14:paraId="6AA70364" w14:textId="77777777" w:rsidR="00CE6C9C" w:rsidRPr="00677C50" w:rsidRDefault="00903508"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[9] </w:t>
      </w:r>
      <w:r w:rsidR="003C4F85" w:rsidRPr="00677C50">
        <w:rPr>
          <w:rFonts w:asciiTheme="majorBidi" w:hAnsiTheme="majorBidi" w:cstheme="majorBidi"/>
        </w:rPr>
        <w:t xml:space="preserve">Saskaņā ar </w:t>
      </w:r>
      <w:r w:rsidR="00C8504E" w:rsidRPr="00677C50">
        <w:rPr>
          <w:rFonts w:asciiTheme="majorBidi" w:hAnsiTheme="majorBidi" w:cstheme="majorBidi"/>
        </w:rPr>
        <w:t xml:space="preserve">Prokuroru izdienas pensiju </w:t>
      </w:r>
      <w:r w:rsidR="00ED45BB" w:rsidRPr="00677C50">
        <w:rPr>
          <w:rFonts w:asciiTheme="majorBidi" w:hAnsiTheme="majorBidi" w:cstheme="majorBidi"/>
        </w:rPr>
        <w:t>likum</w:t>
      </w:r>
      <w:r w:rsidR="00C16342" w:rsidRPr="00677C50">
        <w:rPr>
          <w:rFonts w:asciiTheme="majorBidi" w:hAnsiTheme="majorBidi" w:cstheme="majorBidi"/>
        </w:rPr>
        <w:t>a</w:t>
      </w:r>
      <w:r w:rsidR="00C8504E" w:rsidRPr="00677C50">
        <w:rPr>
          <w:rFonts w:asciiTheme="majorBidi" w:hAnsiTheme="majorBidi" w:cstheme="majorBidi"/>
        </w:rPr>
        <w:t xml:space="preserve"> </w:t>
      </w:r>
      <w:r w:rsidR="00ED45BB" w:rsidRPr="00677C50">
        <w:rPr>
          <w:rFonts w:asciiTheme="majorBidi" w:hAnsiTheme="majorBidi" w:cstheme="majorBidi"/>
        </w:rPr>
        <w:t>2.panta pirmās daļas 2.punkt</w:t>
      </w:r>
      <w:r w:rsidR="003C4F85" w:rsidRPr="00677C50">
        <w:rPr>
          <w:rFonts w:asciiTheme="majorBidi" w:hAnsiTheme="majorBidi" w:cstheme="majorBidi"/>
        </w:rPr>
        <w:t>u</w:t>
      </w:r>
      <w:r w:rsidR="00C16342" w:rsidRPr="00677C50">
        <w:rPr>
          <w:rFonts w:asciiTheme="majorBidi" w:hAnsiTheme="majorBidi" w:cstheme="majorBidi"/>
        </w:rPr>
        <w:t xml:space="preserve"> </w:t>
      </w:r>
      <w:r w:rsidR="00ED45BB" w:rsidRPr="00677C50">
        <w:rPr>
          <w:rFonts w:asciiTheme="majorBidi" w:hAnsiTheme="majorBidi" w:cstheme="majorBidi"/>
        </w:rPr>
        <w:t>tiesības uz izdienas pensiju ir prokuroram, kurš neatkarīgi no vecuma atbilstoši komisijas slēdzienam atbrīvots no amata veselības stāvokļa dēļ, jo tas neļauj turpināt prokurora darbu, un kura izdienas stāžs nav mazāks par 20 gadiem.</w:t>
      </w:r>
      <w:r w:rsidR="00C16342" w:rsidRPr="00677C50">
        <w:rPr>
          <w:rFonts w:asciiTheme="majorBidi" w:hAnsiTheme="majorBidi" w:cstheme="majorBidi"/>
        </w:rPr>
        <w:t xml:space="preserve"> </w:t>
      </w:r>
    </w:p>
    <w:p w14:paraId="0123A405" w14:textId="376B0ED8" w:rsidR="00677C50" w:rsidRDefault="003C4F85"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Tādējādi Prokuroru izdienas pensiju likums komisijas slēdzienu par </w:t>
      </w:r>
      <w:r w:rsidR="00976D36" w:rsidRPr="00677C50">
        <w:rPr>
          <w:rFonts w:asciiTheme="majorBidi" w:hAnsiTheme="majorBidi" w:cstheme="majorBidi"/>
        </w:rPr>
        <w:t xml:space="preserve">to, ka </w:t>
      </w:r>
      <w:r w:rsidRPr="00677C50">
        <w:rPr>
          <w:rFonts w:asciiTheme="majorBidi" w:hAnsiTheme="majorBidi" w:cstheme="majorBidi"/>
        </w:rPr>
        <w:t>p</w:t>
      </w:r>
      <w:r w:rsidR="00156E06" w:rsidRPr="00677C50">
        <w:rPr>
          <w:rFonts w:asciiTheme="majorBidi" w:hAnsiTheme="majorBidi" w:cstheme="majorBidi"/>
        </w:rPr>
        <w:t>ersonas</w:t>
      </w:r>
      <w:r w:rsidRPr="00677C50">
        <w:rPr>
          <w:rFonts w:asciiTheme="majorBidi" w:hAnsiTheme="majorBidi" w:cstheme="majorBidi"/>
        </w:rPr>
        <w:t xml:space="preserve"> veselības stāvokli</w:t>
      </w:r>
      <w:r w:rsidR="00976D36" w:rsidRPr="00677C50">
        <w:rPr>
          <w:rFonts w:asciiTheme="majorBidi" w:hAnsiTheme="majorBidi" w:cstheme="majorBidi"/>
        </w:rPr>
        <w:t xml:space="preserve">s neļauj turpināt prokurora darbu, </w:t>
      </w:r>
      <w:r w:rsidR="00156E06" w:rsidRPr="00677C50">
        <w:rPr>
          <w:rFonts w:asciiTheme="majorBidi" w:hAnsiTheme="majorBidi" w:cstheme="majorBidi"/>
        </w:rPr>
        <w:t xml:space="preserve">tiešā tekstā paredz </w:t>
      </w:r>
      <w:r w:rsidRPr="00677C50">
        <w:rPr>
          <w:rFonts w:asciiTheme="majorBidi" w:hAnsiTheme="majorBidi" w:cstheme="majorBidi"/>
        </w:rPr>
        <w:t>kā vienu no elementiem, kas prokuroram dod tiesības uz izdienas pensiju.</w:t>
      </w:r>
      <w:r w:rsidR="00976D36" w:rsidRPr="00677C50">
        <w:rPr>
          <w:rFonts w:asciiTheme="majorBidi" w:hAnsiTheme="majorBidi" w:cstheme="majorBidi"/>
        </w:rPr>
        <w:t xml:space="preserve"> </w:t>
      </w:r>
      <w:r w:rsidR="00156E06" w:rsidRPr="00677C50">
        <w:rPr>
          <w:rFonts w:asciiTheme="majorBidi" w:hAnsiTheme="majorBidi" w:cstheme="majorBidi"/>
        </w:rPr>
        <w:t xml:space="preserve">Tas nozīmē, ka </w:t>
      </w:r>
      <w:r w:rsidR="00976D36" w:rsidRPr="00677C50">
        <w:rPr>
          <w:rFonts w:asciiTheme="majorBidi" w:hAnsiTheme="majorBidi" w:cstheme="majorBidi"/>
        </w:rPr>
        <w:t>šī tiesību norma piešķir komisijai kompetenci sniegt prokuroram slēdzienu par to, vai</w:t>
      </w:r>
      <w:r w:rsidR="0043109B">
        <w:rPr>
          <w:rFonts w:asciiTheme="majorBidi" w:hAnsiTheme="majorBidi" w:cstheme="majorBidi"/>
        </w:rPr>
        <w:t xml:space="preserve"> viņa</w:t>
      </w:r>
      <w:r w:rsidR="00976D36" w:rsidRPr="00677C50">
        <w:rPr>
          <w:rFonts w:asciiTheme="majorBidi" w:hAnsiTheme="majorBidi" w:cstheme="majorBidi"/>
        </w:rPr>
        <w:t xml:space="preserve"> veselības stāvoklis ļauj vai neļauj turpināt prokurora darbu.</w:t>
      </w:r>
      <w:r w:rsidR="00CE6C9C" w:rsidRPr="00677C50">
        <w:rPr>
          <w:rFonts w:asciiTheme="majorBidi" w:hAnsiTheme="majorBidi" w:cstheme="majorBidi"/>
        </w:rPr>
        <w:t xml:space="preserve"> </w:t>
      </w:r>
    </w:p>
    <w:p w14:paraId="5CFAE5FB" w14:textId="341ABF24" w:rsidR="00CE6C9C" w:rsidRPr="00677C50" w:rsidRDefault="003B1FFB"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Vienlaikus šis likums neprasa, lai prokuroram, kurš atbrīvots no amata veselības stāvokļa dēļ, būtu noteikta arī invaliditāte vai prognozējama invaliditāte. Tādējādi šis likums </w:t>
      </w:r>
      <w:r w:rsidR="00075CC6" w:rsidRPr="00677C50">
        <w:rPr>
          <w:rFonts w:asciiTheme="majorBidi" w:hAnsiTheme="majorBidi" w:cstheme="majorBidi"/>
        </w:rPr>
        <w:t>paredz komisijas kompetenci</w:t>
      </w:r>
      <w:r w:rsidRPr="00677C50">
        <w:rPr>
          <w:rFonts w:asciiTheme="majorBidi" w:hAnsiTheme="majorBidi" w:cstheme="majorBidi"/>
        </w:rPr>
        <w:t xml:space="preserve"> sniegt slēdzienu par prokurora veselības stāvokli</w:t>
      </w:r>
      <w:r w:rsidR="00075CC6" w:rsidRPr="00677C50">
        <w:rPr>
          <w:rFonts w:asciiTheme="majorBidi" w:hAnsiTheme="majorBidi" w:cstheme="majorBidi"/>
        </w:rPr>
        <w:t xml:space="preserve">, bet neaprobežo to </w:t>
      </w:r>
      <w:r w:rsidRPr="00677C50">
        <w:rPr>
          <w:rFonts w:asciiTheme="majorBidi" w:hAnsiTheme="majorBidi" w:cstheme="majorBidi"/>
        </w:rPr>
        <w:t>tikai kontekstā ar invaliditāti vai prognozējamu invaliditāti.</w:t>
      </w:r>
    </w:p>
    <w:p w14:paraId="50D4067D" w14:textId="77777777" w:rsidR="00075CC6" w:rsidRPr="00677C50" w:rsidRDefault="00075CC6" w:rsidP="00420DCA">
      <w:pPr>
        <w:spacing w:line="276" w:lineRule="auto"/>
        <w:ind w:firstLine="720"/>
        <w:jc w:val="both"/>
        <w:rPr>
          <w:rFonts w:asciiTheme="majorBidi" w:hAnsiTheme="majorBidi" w:cstheme="majorBidi"/>
        </w:rPr>
      </w:pPr>
    </w:p>
    <w:p w14:paraId="4D914A7C" w14:textId="77777777" w:rsidR="00677C50" w:rsidRDefault="00075CC6" w:rsidP="00420DCA">
      <w:pPr>
        <w:spacing w:line="276" w:lineRule="auto"/>
        <w:ind w:firstLine="720"/>
        <w:jc w:val="both"/>
        <w:rPr>
          <w:rFonts w:asciiTheme="majorBidi" w:hAnsiTheme="majorBidi" w:cstheme="majorBidi"/>
        </w:rPr>
      </w:pPr>
      <w:r w:rsidRPr="00677C50">
        <w:rPr>
          <w:rFonts w:asciiTheme="majorBidi" w:hAnsiTheme="majorBidi" w:cstheme="majorBidi"/>
        </w:rPr>
        <w:t>[10] N</w:t>
      </w:r>
      <w:r w:rsidR="00CE6C9C" w:rsidRPr="00677C50">
        <w:rPr>
          <w:rFonts w:asciiTheme="majorBidi" w:hAnsiTheme="majorBidi" w:cstheme="majorBidi"/>
        </w:rPr>
        <w:t xml:space="preserve">orāde uz komisijas slēdzienu paredzēta arī Prokuroru izdienas pensiju likumam pakārtotajos Ministru kabineta 2010.gada 21.decembra noteikumos Nr. 1158 „Kārtība, kādā piešķir un izmaksā prokuroru izdienas pensijas”. Proti, šo noteikumu 2.pielikumā, kurā noteikts izdienas pensijas pieprasījumam pievienojamās izziņas par izdienas pensijas pieprasītāja atbrīvošanu no prokurora amata saturs, paredzēts, ka </w:t>
      </w:r>
      <w:r w:rsidR="009D2362" w:rsidRPr="00677C50">
        <w:rPr>
          <w:rFonts w:asciiTheme="majorBidi" w:hAnsiTheme="majorBidi" w:cstheme="majorBidi"/>
        </w:rPr>
        <w:t xml:space="preserve">gadījumā, ja persona no prokurora amata atbrīvota veselības stāvokļa dēļ, </w:t>
      </w:r>
      <w:r w:rsidR="00CE6C9C" w:rsidRPr="00677C50">
        <w:rPr>
          <w:rFonts w:asciiTheme="majorBidi" w:hAnsiTheme="majorBidi" w:cstheme="majorBidi"/>
        </w:rPr>
        <w:t>izziņā tiek norādīts komisijas atzinuma numurs un datums</w:t>
      </w:r>
      <w:r w:rsidR="009D2362" w:rsidRPr="00677C50">
        <w:rPr>
          <w:rFonts w:asciiTheme="majorBidi" w:hAnsiTheme="majorBidi" w:cstheme="majorBidi"/>
        </w:rPr>
        <w:t xml:space="preserve">. </w:t>
      </w:r>
    </w:p>
    <w:p w14:paraId="65D05B67" w14:textId="77777777" w:rsidR="00677C50" w:rsidRDefault="009D2362"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Tādējādi, lai arī šo izziņu, kā pareizi norādījusi tiesa, paraksta ģenerālprokurors, tajā ir paredzēts, ka izdienas pensijas saņemšanai nepieciešama norāde uz komisijas atzinumu (slēdzienu). </w:t>
      </w:r>
      <w:r w:rsidR="0002729F" w:rsidRPr="00677C50">
        <w:rPr>
          <w:rFonts w:asciiTheme="majorBidi" w:hAnsiTheme="majorBidi" w:cstheme="majorBidi"/>
        </w:rPr>
        <w:t xml:space="preserve">Tas papildus apliecina, ka tiesiskais regulējums par prokurora tiesībām uz izdienas pensiju paredz komisijas iesaisti. </w:t>
      </w:r>
    </w:p>
    <w:p w14:paraId="535727DB" w14:textId="0D5DE2BE" w:rsidR="00CE6C9C" w:rsidRPr="00677C50" w:rsidRDefault="004C641B" w:rsidP="00420DCA">
      <w:pPr>
        <w:spacing w:line="276" w:lineRule="auto"/>
        <w:ind w:firstLine="720"/>
        <w:jc w:val="both"/>
        <w:rPr>
          <w:rFonts w:asciiTheme="majorBidi" w:hAnsiTheme="majorBidi" w:cstheme="majorBidi"/>
        </w:rPr>
      </w:pPr>
      <w:r w:rsidRPr="00677C50">
        <w:rPr>
          <w:rFonts w:asciiTheme="majorBidi" w:hAnsiTheme="majorBidi" w:cstheme="majorBidi"/>
        </w:rPr>
        <w:t>Turklāt ne Prokuroru izdienas pensiju likums, ne tam pakārtotie Ministru kabineta noteikumi nenoteic, ka izdienas pensijas piešķiršanas pamats varētu būt ar</w:t>
      </w:r>
      <w:r w:rsidR="00DE37F9" w:rsidRPr="00677C50">
        <w:rPr>
          <w:rFonts w:asciiTheme="majorBidi" w:hAnsiTheme="majorBidi" w:cstheme="majorBidi"/>
        </w:rPr>
        <w:t>ī atbrīvošana no amata sakarā ar citas institūcijas vai ārsta atzinumu par veselības stāvokli.</w:t>
      </w:r>
    </w:p>
    <w:p w14:paraId="0AB6BA11" w14:textId="77777777" w:rsidR="0002729F" w:rsidRPr="00677C50" w:rsidRDefault="0002729F" w:rsidP="00420DCA">
      <w:pPr>
        <w:spacing w:line="276" w:lineRule="auto"/>
        <w:ind w:firstLine="720"/>
        <w:jc w:val="both"/>
        <w:rPr>
          <w:rFonts w:asciiTheme="majorBidi" w:hAnsiTheme="majorBidi" w:cstheme="majorBidi"/>
        </w:rPr>
      </w:pPr>
    </w:p>
    <w:p w14:paraId="6EB0E229" w14:textId="77777777" w:rsidR="00372068" w:rsidRPr="0043109B" w:rsidRDefault="0002729F" w:rsidP="00420DCA">
      <w:pPr>
        <w:tabs>
          <w:tab w:val="num" w:pos="720"/>
        </w:tabs>
        <w:spacing w:line="276" w:lineRule="auto"/>
        <w:ind w:firstLine="720"/>
        <w:jc w:val="both"/>
        <w:rPr>
          <w:rFonts w:asciiTheme="majorBidi" w:hAnsiTheme="majorBidi" w:cstheme="majorBidi"/>
        </w:rPr>
      </w:pPr>
      <w:r w:rsidRPr="0043109B">
        <w:rPr>
          <w:rFonts w:asciiTheme="majorBidi" w:hAnsiTheme="majorBidi" w:cstheme="majorBidi"/>
        </w:rPr>
        <w:t>[1</w:t>
      </w:r>
      <w:r w:rsidR="00075CC6" w:rsidRPr="0043109B">
        <w:rPr>
          <w:rFonts w:asciiTheme="majorBidi" w:hAnsiTheme="majorBidi" w:cstheme="majorBidi"/>
        </w:rPr>
        <w:t xml:space="preserve">1] </w:t>
      </w:r>
      <w:r w:rsidR="00CB71B5" w:rsidRPr="0043109B">
        <w:rPr>
          <w:rFonts w:asciiTheme="majorBidi" w:hAnsiTheme="majorBidi" w:cstheme="majorBidi"/>
        </w:rPr>
        <w:t xml:space="preserve">Izvērtējot apgabaltiesas sprieduma pamatojumu, Senāts secina, ka tiesas motīvos ir savstarpēji pretrunīgas atsauces uz izmantotajām juridiskajām metodēm. </w:t>
      </w:r>
    </w:p>
    <w:p w14:paraId="02177E95" w14:textId="023FAD3D" w:rsidR="00372068" w:rsidRPr="0043109B" w:rsidRDefault="00CB71B5" w:rsidP="00420DCA">
      <w:pPr>
        <w:tabs>
          <w:tab w:val="num" w:pos="720"/>
        </w:tabs>
        <w:spacing w:line="276" w:lineRule="auto"/>
        <w:ind w:firstLine="720"/>
        <w:jc w:val="both"/>
        <w:rPr>
          <w:rFonts w:asciiTheme="majorBidi" w:hAnsiTheme="majorBidi" w:cstheme="majorBidi"/>
        </w:rPr>
      </w:pPr>
      <w:r w:rsidRPr="0043109B">
        <w:rPr>
          <w:rFonts w:asciiTheme="majorBidi" w:hAnsiTheme="majorBidi" w:cstheme="majorBidi"/>
        </w:rPr>
        <w:t xml:space="preserve">Proti, vispirms tiesa norādījusi, ka Prokuroru izdienas pensiju likuma 2.panta pirmās daļas 2.punkta satura noskaidrošanai izmanto tiesību normu interpretācijas metodes. No sprieduma motīviem izriet, ka, izmantojot sistēmisko un vēsturisko interpretācijas metodi, tiesa aplūko </w:t>
      </w:r>
      <w:r w:rsidR="006B5AC7" w:rsidRPr="0043109B">
        <w:rPr>
          <w:rFonts w:asciiTheme="majorBidi" w:hAnsiTheme="majorBidi" w:cstheme="majorBidi"/>
        </w:rPr>
        <w:t xml:space="preserve">strīdus normu kopsakarā ar Prokuratūras likuma normām par prokuroru atbrīvošanu no amata, Komisijas nolikumu, invaliditātes noteikšanu regulējošām normām un obligātās veselības pārbaudes regulējošām normām. </w:t>
      </w:r>
      <w:r w:rsidR="00372068" w:rsidRPr="0043109B">
        <w:rPr>
          <w:rFonts w:asciiTheme="majorBidi" w:hAnsiTheme="majorBidi" w:cstheme="majorBidi"/>
        </w:rPr>
        <w:t>P</w:t>
      </w:r>
      <w:r w:rsidR="006B5AC7" w:rsidRPr="0043109B">
        <w:rPr>
          <w:rFonts w:asciiTheme="majorBidi" w:hAnsiTheme="majorBidi" w:cstheme="majorBidi"/>
        </w:rPr>
        <w:t>ēc tam</w:t>
      </w:r>
      <w:r w:rsidR="00372068" w:rsidRPr="0043109B">
        <w:rPr>
          <w:rFonts w:asciiTheme="majorBidi" w:hAnsiTheme="majorBidi" w:cstheme="majorBidi"/>
        </w:rPr>
        <w:t xml:space="preserve"> gan</w:t>
      </w:r>
      <w:r w:rsidR="006B5AC7" w:rsidRPr="0043109B">
        <w:rPr>
          <w:rFonts w:asciiTheme="majorBidi" w:hAnsiTheme="majorBidi" w:cstheme="majorBidi"/>
        </w:rPr>
        <w:t xml:space="preserve"> tiesa neizdara konkrētus secinājumus par to, kā Prokuroru izdienas pensiju likuma 2.panta pirmās daļas 2.punkta </w:t>
      </w:r>
      <w:r w:rsidR="005148ED" w:rsidRPr="0043109B">
        <w:rPr>
          <w:rFonts w:asciiTheme="majorBidi" w:hAnsiTheme="majorBidi" w:cstheme="majorBidi"/>
        </w:rPr>
        <w:t xml:space="preserve">norma </w:t>
      </w:r>
      <w:r w:rsidR="006B5AC7" w:rsidRPr="0043109B">
        <w:rPr>
          <w:rFonts w:asciiTheme="majorBidi" w:hAnsiTheme="majorBidi" w:cstheme="majorBidi"/>
        </w:rPr>
        <w:t xml:space="preserve">atbilstoši minētajām interpretācijas metodēm būtu interpretējama, bet </w:t>
      </w:r>
      <w:r w:rsidR="00372068" w:rsidRPr="0043109B">
        <w:rPr>
          <w:rFonts w:asciiTheme="majorBidi" w:hAnsiTheme="majorBidi" w:cstheme="majorBidi"/>
        </w:rPr>
        <w:t>vairāk norāda uz to</w:t>
      </w:r>
      <w:r w:rsidR="006B5AC7" w:rsidRPr="0043109B">
        <w:rPr>
          <w:rFonts w:asciiTheme="majorBidi" w:hAnsiTheme="majorBidi" w:cstheme="majorBidi"/>
        </w:rPr>
        <w:t>, ko noteic attiecīgi Prokuratūras likums, Invaliditātes likums, Invaliditātes noteikumi, Komisijas nolikums un Obligātās veselības pārbaudes noteikumi.</w:t>
      </w:r>
      <w:r w:rsidR="00372068" w:rsidRPr="0043109B">
        <w:rPr>
          <w:rFonts w:asciiTheme="majorBidi" w:hAnsiTheme="majorBidi" w:cstheme="majorBidi"/>
        </w:rPr>
        <w:t xml:space="preserve"> Vienlaikus tiesas apsvērumi, kas norādīti kontekstā ar tiesību normu interpretācijas metožu izmantošanu, vedina domāt, ka tiesa uzskata, ka Prokuroru izdienas pensiju likuma 2.panta pirmās daļas 2.punkta norma būtu interpretējama tādējādi, ka komisijas kompetencē nav vērtēt prokurora spēju turpināt veikt profesionālos amata pienākumus. </w:t>
      </w:r>
    </w:p>
    <w:p w14:paraId="07D93755" w14:textId="58C4616D" w:rsidR="005148ED" w:rsidRDefault="00372068" w:rsidP="00420DCA">
      <w:pPr>
        <w:tabs>
          <w:tab w:val="num" w:pos="720"/>
        </w:tabs>
        <w:spacing w:line="276" w:lineRule="auto"/>
        <w:ind w:firstLine="720"/>
        <w:jc w:val="both"/>
        <w:rPr>
          <w:rFonts w:asciiTheme="majorBidi" w:hAnsiTheme="majorBidi" w:cstheme="majorBidi"/>
        </w:rPr>
      </w:pPr>
      <w:r w:rsidRPr="0043109B">
        <w:rPr>
          <w:rFonts w:asciiTheme="majorBidi" w:hAnsiTheme="majorBidi" w:cstheme="majorBidi"/>
        </w:rPr>
        <w:t>Tomēr pēc tam tiesa kā sprieduma centrālo argumentu izvirza to, ka Prokuroru izdienas pensiju likuma 2.panta pirmās daļas 2.punktā noteiktais par komisijas slēdzienu nav piemērojams, jo ir pretrunā speciālajām un jaunākām tiesību normām – Prokuratūras likuma, Invaliditātes likuma, Invaliditātes noteikumu un Komisijas nolikuma normām. Tādējādi, no vienas puses</w:t>
      </w:r>
      <w:r w:rsidR="0085012E" w:rsidRPr="0043109B">
        <w:rPr>
          <w:rFonts w:asciiTheme="majorBidi" w:hAnsiTheme="majorBidi" w:cstheme="majorBidi"/>
        </w:rPr>
        <w:t>, var noprast, ka, tiesas ieskatā,</w:t>
      </w:r>
      <w:r w:rsidRPr="0043109B">
        <w:rPr>
          <w:rFonts w:asciiTheme="majorBidi" w:hAnsiTheme="majorBidi" w:cstheme="majorBidi"/>
        </w:rPr>
        <w:t xml:space="preserve"> izmantojot tiesību normu interpretācijas metodes, Prokuroru izdienas pensiju likuma 2.panta pirmās daļas 2.punkts būtu interpretējams tādējādi, ka tas nepiešķir komisijai kompetenci sniegt slēdzienu par veselības stāvokļa atbilstību amata pienākumu pildīšanai, bet, no otras puses, tiesa ir atzinusi, ka Prokuroru izdienas pensiju likuma 2.panta pirmās daļas 2.punkts </w:t>
      </w:r>
      <w:r w:rsidR="0085012E" w:rsidRPr="0043109B">
        <w:rPr>
          <w:rFonts w:asciiTheme="majorBidi" w:hAnsiTheme="majorBidi" w:cstheme="majorBidi"/>
        </w:rPr>
        <w:t xml:space="preserve">(tajā norādītais par komisijas kompetenci sniegt šādu slēdzienu) </w:t>
      </w:r>
      <w:r w:rsidRPr="0043109B">
        <w:rPr>
          <w:rFonts w:asciiTheme="majorBidi" w:hAnsiTheme="majorBidi" w:cstheme="majorBidi"/>
        </w:rPr>
        <w:t>ir pretrunā normām, kas paredzot, ka komisijai nav šādas kompetences. Šād</w:t>
      </w:r>
      <w:r w:rsidR="005148ED" w:rsidRPr="0043109B">
        <w:rPr>
          <w:rFonts w:asciiTheme="majorBidi" w:hAnsiTheme="majorBidi" w:cstheme="majorBidi"/>
        </w:rPr>
        <w:t xml:space="preserve">s sprieduma pamatojums ir </w:t>
      </w:r>
      <w:r w:rsidRPr="0043109B">
        <w:rPr>
          <w:rFonts w:asciiTheme="majorBidi" w:hAnsiTheme="majorBidi" w:cstheme="majorBidi"/>
        </w:rPr>
        <w:t>savstarpēji pretrunīg</w:t>
      </w:r>
      <w:r w:rsidR="005148ED" w:rsidRPr="0043109B">
        <w:rPr>
          <w:rFonts w:asciiTheme="majorBidi" w:hAnsiTheme="majorBidi" w:cstheme="majorBidi"/>
        </w:rPr>
        <w:t>s</w:t>
      </w:r>
      <w:r w:rsidRPr="0043109B">
        <w:rPr>
          <w:rFonts w:asciiTheme="majorBidi" w:hAnsiTheme="majorBidi" w:cstheme="majorBidi"/>
        </w:rPr>
        <w:t xml:space="preserve"> un būtībā neloģisk</w:t>
      </w:r>
      <w:r w:rsidR="005148ED" w:rsidRPr="0043109B">
        <w:rPr>
          <w:rFonts w:asciiTheme="majorBidi" w:hAnsiTheme="majorBidi" w:cstheme="majorBidi"/>
        </w:rPr>
        <w:t>s.</w:t>
      </w:r>
    </w:p>
    <w:p w14:paraId="40E414F4" w14:textId="0308E8D7" w:rsidR="006B5AC7" w:rsidRDefault="00372068" w:rsidP="00420DCA">
      <w:pPr>
        <w:tabs>
          <w:tab w:val="num" w:pos="720"/>
        </w:tabs>
        <w:spacing w:line="276" w:lineRule="auto"/>
        <w:ind w:firstLine="720"/>
        <w:jc w:val="both"/>
        <w:rPr>
          <w:rFonts w:asciiTheme="majorBidi" w:hAnsiTheme="majorBidi" w:cstheme="majorBidi"/>
        </w:rPr>
      </w:pPr>
      <w:r>
        <w:rPr>
          <w:rFonts w:asciiTheme="majorBidi" w:hAnsiTheme="majorBidi" w:cstheme="majorBidi"/>
        </w:rPr>
        <w:t xml:space="preserve"> </w:t>
      </w:r>
    </w:p>
    <w:p w14:paraId="6FB405C2" w14:textId="2DBBAF4F" w:rsidR="002C4520" w:rsidRPr="00677C50" w:rsidRDefault="005148ED" w:rsidP="00420DCA">
      <w:pPr>
        <w:tabs>
          <w:tab w:val="num" w:pos="720"/>
        </w:tabs>
        <w:spacing w:line="276" w:lineRule="auto"/>
        <w:ind w:firstLine="720"/>
        <w:jc w:val="both"/>
        <w:rPr>
          <w:rFonts w:asciiTheme="majorBidi" w:hAnsiTheme="majorBidi" w:cstheme="majorBidi"/>
        </w:rPr>
      </w:pPr>
      <w:r>
        <w:rPr>
          <w:rFonts w:asciiTheme="majorBidi" w:hAnsiTheme="majorBidi" w:cstheme="majorBidi"/>
        </w:rPr>
        <w:t xml:space="preserve">[12] </w:t>
      </w:r>
      <w:r w:rsidR="0002729F" w:rsidRPr="00677C50">
        <w:rPr>
          <w:rFonts w:asciiTheme="majorBidi" w:hAnsiTheme="majorBidi" w:cstheme="majorBidi"/>
        </w:rPr>
        <w:t xml:space="preserve">Apgabaltiesa savu </w:t>
      </w:r>
      <w:r w:rsidR="00372068">
        <w:rPr>
          <w:rFonts w:asciiTheme="majorBidi" w:hAnsiTheme="majorBidi" w:cstheme="majorBidi"/>
        </w:rPr>
        <w:t xml:space="preserve">lietā izšķirošo </w:t>
      </w:r>
      <w:r w:rsidR="0002729F" w:rsidRPr="00677C50">
        <w:rPr>
          <w:rFonts w:asciiTheme="majorBidi" w:hAnsiTheme="majorBidi" w:cstheme="majorBidi"/>
        </w:rPr>
        <w:t xml:space="preserve">secinājumu, ka Prokuroru izdienas pensiju likuma 2.panta pirmās daļas 2.punktā paredzētā komisijas kompetence ir pretrunā jaunākām un speciālajām tiesību normām, ir balstījusi tajā, ka </w:t>
      </w:r>
      <w:r w:rsidR="003B1FFB" w:rsidRPr="00677C50">
        <w:rPr>
          <w:rFonts w:asciiTheme="majorBidi" w:hAnsiTheme="majorBidi" w:cstheme="majorBidi"/>
        </w:rPr>
        <w:t xml:space="preserve">minētā tiesību norma </w:t>
      </w:r>
      <w:r w:rsidR="002C4520" w:rsidRPr="00677C50">
        <w:rPr>
          <w:rFonts w:asciiTheme="majorBidi" w:hAnsiTheme="majorBidi" w:cstheme="majorBidi"/>
        </w:rPr>
        <w:t xml:space="preserve">ir spēkā kopš </w:t>
      </w:r>
      <w:r w:rsidR="003B1FFB" w:rsidRPr="00677C50">
        <w:rPr>
          <w:rFonts w:asciiTheme="majorBidi" w:hAnsiTheme="majorBidi" w:cstheme="majorBidi"/>
        </w:rPr>
        <w:t>2000.gada 1.janvāra</w:t>
      </w:r>
      <w:r w:rsidR="002C4520" w:rsidRPr="00677C50">
        <w:rPr>
          <w:rFonts w:asciiTheme="majorBidi" w:hAnsiTheme="majorBidi" w:cstheme="majorBidi"/>
        </w:rPr>
        <w:t xml:space="preserve"> un tolaik </w:t>
      </w:r>
      <w:r w:rsidR="000A2A76" w:rsidRPr="00677C50">
        <w:rPr>
          <w:rFonts w:asciiTheme="majorBidi" w:hAnsiTheme="majorBidi" w:cstheme="majorBidi"/>
        </w:rPr>
        <w:t xml:space="preserve">tiesiskais regulējums </w:t>
      </w:r>
      <w:r w:rsidR="002C4520" w:rsidRPr="00677C50">
        <w:rPr>
          <w:rFonts w:asciiTheme="majorBidi" w:hAnsiTheme="majorBidi" w:cstheme="majorBidi"/>
        </w:rPr>
        <w:t xml:space="preserve">noteica, ka komisija </w:t>
      </w:r>
      <w:r w:rsidR="00980DAE" w:rsidRPr="00677C50">
        <w:rPr>
          <w:rFonts w:asciiTheme="majorBidi" w:hAnsiTheme="majorBidi" w:cstheme="majorBidi"/>
        </w:rPr>
        <w:t xml:space="preserve">invaliditātes ekspertīzes procesā </w:t>
      </w:r>
      <w:r w:rsidR="002C4520" w:rsidRPr="00677C50">
        <w:rPr>
          <w:rFonts w:asciiTheme="majorBidi" w:hAnsiTheme="majorBidi" w:cstheme="majorBidi"/>
        </w:rPr>
        <w:t>personām sniedz ieteikumus par veselības stāvoklim atbilstošu pārkvalificēšanos</w:t>
      </w:r>
      <w:r w:rsidR="00677C50" w:rsidRPr="00677C50">
        <w:rPr>
          <w:rFonts w:asciiTheme="majorBidi" w:hAnsiTheme="majorBidi" w:cstheme="majorBidi"/>
        </w:rPr>
        <w:t xml:space="preserve">. Proti, </w:t>
      </w:r>
      <w:r w:rsidR="003371DF" w:rsidRPr="00677C50">
        <w:rPr>
          <w:rFonts w:asciiTheme="majorBidi" w:hAnsiTheme="majorBidi" w:cstheme="majorBidi"/>
        </w:rPr>
        <w:t>tobrīd spēkā esošo Ministru kabineta 1996.gada 25.jūnija noteikumu Nr.</w:t>
      </w:r>
      <w:r w:rsidR="00C03104" w:rsidRPr="00677C50">
        <w:rPr>
          <w:rFonts w:asciiTheme="majorBidi" w:hAnsiTheme="majorBidi" w:cstheme="majorBidi"/>
        </w:rPr>
        <w:t> </w:t>
      </w:r>
      <w:r w:rsidR="003371DF" w:rsidRPr="00677C50">
        <w:rPr>
          <w:rFonts w:asciiTheme="majorBidi" w:hAnsiTheme="majorBidi" w:cstheme="majorBidi"/>
        </w:rPr>
        <w:t>231 „Veselības un darbspēju ekspertīzes ārstu valsts komisijas nolikums” 1.</w:t>
      </w:r>
      <w:r w:rsidR="0043109B">
        <w:rPr>
          <w:rFonts w:asciiTheme="majorBidi" w:hAnsiTheme="majorBidi" w:cstheme="majorBidi"/>
        </w:rPr>
        <w:t>punkts</w:t>
      </w:r>
      <w:r w:rsidR="003371DF" w:rsidRPr="00677C50">
        <w:rPr>
          <w:rFonts w:asciiTheme="majorBidi" w:hAnsiTheme="majorBidi" w:cstheme="majorBidi"/>
        </w:rPr>
        <w:t xml:space="preserve"> un 7.4.</w:t>
      </w:r>
      <w:r w:rsidR="0043109B">
        <w:rPr>
          <w:rFonts w:asciiTheme="majorBidi" w:hAnsiTheme="majorBidi" w:cstheme="majorBidi"/>
        </w:rPr>
        <w:t>apakš</w:t>
      </w:r>
      <w:r w:rsidR="003371DF" w:rsidRPr="00677C50">
        <w:rPr>
          <w:rFonts w:asciiTheme="majorBidi" w:hAnsiTheme="majorBidi" w:cstheme="majorBidi"/>
        </w:rPr>
        <w:t>pu</w:t>
      </w:r>
      <w:r w:rsidR="00DD3ECB">
        <w:rPr>
          <w:rFonts w:asciiTheme="majorBidi" w:hAnsiTheme="majorBidi" w:cstheme="majorBidi"/>
        </w:rPr>
        <w:t>n</w:t>
      </w:r>
      <w:r w:rsidR="003371DF" w:rsidRPr="00677C50">
        <w:rPr>
          <w:rFonts w:asciiTheme="majorBidi" w:hAnsiTheme="majorBidi" w:cstheme="majorBidi"/>
        </w:rPr>
        <w:t>kts</w:t>
      </w:r>
      <w:r w:rsidR="00677C50" w:rsidRPr="00677C50">
        <w:rPr>
          <w:rFonts w:asciiTheme="majorBidi" w:hAnsiTheme="majorBidi" w:cstheme="majorBidi"/>
        </w:rPr>
        <w:t xml:space="preserve">, kā arī Ministru kabineta 1996.gada 16.jūlija noteikumu Nr. 263 „Invaliditātes ekspertīzes kārtība Veselības un darbspēju ekspertīzes ārstu valsts komisijā” 11.punkts paredzēja komisijas kompetenci sniegt personai ieteikumus par tās veselības stāvoklim atbilstošu pārkvalificēšanos vai citas profesijas apgūšanu. </w:t>
      </w:r>
      <w:r w:rsidR="002C4520" w:rsidRPr="00677C50">
        <w:rPr>
          <w:rFonts w:asciiTheme="majorBidi" w:hAnsiTheme="majorBidi" w:cstheme="majorBidi"/>
        </w:rPr>
        <w:t>S</w:t>
      </w:r>
      <w:r w:rsidR="00892355" w:rsidRPr="00677C50">
        <w:rPr>
          <w:rFonts w:asciiTheme="majorBidi" w:hAnsiTheme="majorBidi" w:cstheme="majorBidi"/>
        </w:rPr>
        <w:t xml:space="preserve">avukārt </w:t>
      </w:r>
      <w:r w:rsidR="00156E06" w:rsidRPr="00677C50">
        <w:rPr>
          <w:rFonts w:asciiTheme="majorBidi" w:hAnsiTheme="majorBidi" w:cstheme="majorBidi"/>
        </w:rPr>
        <w:t xml:space="preserve">jaunākas tiesību normas, proti, Komisijas nolikuma </w:t>
      </w:r>
      <w:r w:rsidR="00892355" w:rsidRPr="00677C50">
        <w:rPr>
          <w:rFonts w:asciiTheme="majorBidi" w:hAnsiTheme="majorBidi" w:cstheme="majorBidi"/>
        </w:rPr>
        <w:t xml:space="preserve">un Invaliditātes likuma </w:t>
      </w:r>
      <w:r w:rsidR="00156E06" w:rsidRPr="00677C50">
        <w:rPr>
          <w:rFonts w:asciiTheme="majorBidi" w:hAnsiTheme="majorBidi" w:cstheme="majorBidi"/>
        </w:rPr>
        <w:t>normas</w:t>
      </w:r>
      <w:r w:rsidR="00892355" w:rsidRPr="00677C50">
        <w:rPr>
          <w:rFonts w:asciiTheme="majorBidi" w:hAnsiTheme="majorBidi" w:cstheme="majorBidi"/>
        </w:rPr>
        <w:t xml:space="preserve"> kopš 2011.gada</w:t>
      </w:r>
      <w:r w:rsidR="00C03104" w:rsidRPr="00677C50">
        <w:rPr>
          <w:rFonts w:asciiTheme="majorBidi" w:hAnsiTheme="majorBidi" w:cstheme="majorBidi"/>
        </w:rPr>
        <w:t xml:space="preserve"> </w:t>
      </w:r>
      <w:r w:rsidR="002C4520" w:rsidRPr="00677C50">
        <w:rPr>
          <w:rFonts w:asciiTheme="majorBidi" w:hAnsiTheme="majorBidi" w:cstheme="majorBidi"/>
        </w:rPr>
        <w:t xml:space="preserve">vairs </w:t>
      </w:r>
      <w:r w:rsidR="00892355" w:rsidRPr="00677C50">
        <w:rPr>
          <w:rFonts w:asciiTheme="majorBidi" w:hAnsiTheme="majorBidi" w:cstheme="majorBidi"/>
        </w:rPr>
        <w:t xml:space="preserve">neparedz, ka komisija sniegtu ieteikumus saistībā ar </w:t>
      </w:r>
      <w:r w:rsidR="00C03104" w:rsidRPr="00677C50">
        <w:rPr>
          <w:rFonts w:asciiTheme="majorBidi" w:hAnsiTheme="majorBidi" w:cstheme="majorBidi"/>
        </w:rPr>
        <w:t>veselības stāvoklim atbilstošu pārkvalificēšanos</w:t>
      </w:r>
      <w:r w:rsidR="00DD76F8" w:rsidRPr="00677C50">
        <w:rPr>
          <w:rFonts w:asciiTheme="majorBidi" w:hAnsiTheme="majorBidi" w:cstheme="majorBidi"/>
        </w:rPr>
        <w:t xml:space="preserve">. </w:t>
      </w:r>
      <w:r w:rsidR="00677C50" w:rsidRPr="00677C50">
        <w:rPr>
          <w:rFonts w:asciiTheme="majorBidi" w:hAnsiTheme="majorBidi" w:cstheme="majorBidi"/>
        </w:rPr>
        <w:t>Arī Invaliditātes noteikumos kopš 2017.gada nav vairs paredzēts, ka komisija sniedz ieteikumus profesionālās piemērotības un profesionālās rehabilitācijas pakalpojumu saņemšanai. Tādējādi š</w:t>
      </w:r>
      <w:r w:rsidR="00DD76F8" w:rsidRPr="00677C50">
        <w:rPr>
          <w:rFonts w:asciiTheme="majorBidi" w:hAnsiTheme="majorBidi" w:cstheme="majorBidi"/>
        </w:rPr>
        <w:t xml:space="preserve">ie normatīvie akti </w:t>
      </w:r>
      <w:r w:rsidR="00677C50">
        <w:rPr>
          <w:rFonts w:asciiTheme="majorBidi" w:hAnsiTheme="majorBidi" w:cstheme="majorBidi"/>
        </w:rPr>
        <w:t xml:space="preserve">tagad </w:t>
      </w:r>
      <w:r w:rsidR="00DD76F8" w:rsidRPr="00677C50">
        <w:rPr>
          <w:rFonts w:asciiTheme="majorBidi" w:hAnsiTheme="majorBidi" w:cstheme="majorBidi"/>
        </w:rPr>
        <w:t>paredzot komisijas kompetenci tikai saistībā ar invaliditātes noteikšanu.</w:t>
      </w:r>
      <w:r w:rsidR="008D10DF" w:rsidRPr="00677C50">
        <w:rPr>
          <w:rFonts w:asciiTheme="majorBidi" w:hAnsiTheme="majorBidi" w:cstheme="majorBidi"/>
        </w:rPr>
        <w:t xml:space="preserve"> </w:t>
      </w:r>
    </w:p>
    <w:p w14:paraId="4CF19330" w14:textId="3DD37E76" w:rsidR="0002729F" w:rsidRPr="00677C50" w:rsidRDefault="002C4520" w:rsidP="00420DCA">
      <w:pPr>
        <w:tabs>
          <w:tab w:val="num" w:pos="720"/>
        </w:tabs>
        <w:spacing w:line="276" w:lineRule="auto"/>
        <w:ind w:firstLine="720"/>
        <w:jc w:val="both"/>
        <w:rPr>
          <w:rFonts w:asciiTheme="majorBidi" w:hAnsiTheme="majorBidi" w:cstheme="majorBidi"/>
        </w:rPr>
      </w:pPr>
      <w:r w:rsidRPr="00677C50">
        <w:rPr>
          <w:rFonts w:asciiTheme="majorBidi" w:hAnsiTheme="majorBidi" w:cstheme="majorBidi"/>
        </w:rPr>
        <w:t>Šie a</w:t>
      </w:r>
      <w:r w:rsidR="008D10DF" w:rsidRPr="00677C50">
        <w:rPr>
          <w:rFonts w:asciiTheme="majorBidi" w:hAnsiTheme="majorBidi" w:cstheme="majorBidi"/>
        </w:rPr>
        <w:t xml:space="preserve">pgabaltiesas apsvērumi, tostarp atsaukšanās uz </w:t>
      </w:r>
      <w:r w:rsidR="00C03104" w:rsidRPr="00677C50">
        <w:rPr>
          <w:rFonts w:asciiTheme="majorBidi" w:hAnsiTheme="majorBidi" w:cstheme="majorBidi"/>
        </w:rPr>
        <w:t xml:space="preserve">komisijas un </w:t>
      </w:r>
      <w:r w:rsidR="008D10DF" w:rsidRPr="00677C50">
        <w:rPr>
          <w:rFonts w:asciiTheme="majorBidi" w:hAnsiTheme="majorBidi" w:cstheme="majorBidi"/>
        </w:rPr>
        <w:t>Labklājības ministrijas sniegt</w:t>
      </w:r>
      <w:r w:rsidR="003B40AB" w:rsidRPr="00677C50">
        <w:rPr>
          <w:rFonts w:asciiTheme="majorBidi" w:hAnsiTheme="majorBidi" w:cstheme="majorBidi"/>
        </w:rPr>
        <w:t>u</w:t>
      </w:r>
      <w:r w:rsidR="008D10DF" w:rsidRPr="00677C50">
        <w:rPr>
          <w:rFonts w:asciiTheme="majorBidi" w:hAnsiTheme="majorBidi" w:cstheme="majorBidi"/>
        </w:rPr>
        <w:t xml:space="preserve"> viedokli, </w:t>
      </w:r>
      <w:r w:rsidR="00DE37F9" w:rsidRPr="00677C50">
        <w:rPr>
          <w:rFonts w:asciiTheme="majorBidi" w:hAnsiTheme="majorBidi" w:cstheme="majorBidi"/>
        </w:rPr>
        <w:t>liecina</w:t>
      </w:r>
      <w:r w:rsidR="008D10DF" w:rsidRPr="00677C50">
        <w:rPr>
          <w:rFonts w:asciiTheme="majorBidi" w:hAnsiTheme="majorBidi" w:cstheme="majorBidi"/>
        </w:rPr>
        <w:t>, ka, apgabaltiesas ieskatā, Prokuroru izdienas pensiju likumā norāde uz</w:t>
      </w:r>
      <w:r w:rsidR="00351B30" w:rsidRPr="00677C50">
        <w:rPr>
          <w:rFonts w:asciiTheme="majorBidi" w:hAnsiTheme="majorBidi" w:cstheme="majorBidi"/>
        </w:rPr>
        <w:t xml:space="preserve"> komisijas kompetenci sniegt slēdzienu par veselības stāvokli saglabājusies </w:t>
      </w:r>
      <w:r w:rsidR="00B07BCE" w:rsidRPr="00677C50">
        <w:rPr>
          <w:rFonts w:asciiTheme="majorBidi" w:hAnsiTheme="majorBidi" w:cstheme="majorBidi"/>
        </w:rPr>
        <w:t>kļūmīgi, likumdevējam „nepamanot”, ka Komisijas nolikumā un invaliditātes noteikšanu regulējošajos normatīvajos aktos komisijas kompetence ir paredzēta tikai saistībā ar invaliditātes noteikšanu.</w:t>
      </w:r>
    </w:p>
    <w:p w14:paraId="4832A7E2" w14:textId="654FB6BB" w:rsidR="00677C50" w:rsidRDefault="00DD76F8" w:rsidP="00420DCA">
      <w:pPr>
        <w:spacing w:line="276" w:lineRule="auto"/>
        <w:ind w:firstLine="720"/>
        <w:jc w:val="both"/>
        <w:rPr>
          <w:rFonts w:asciiTheme="majorBidi" w:hAnsiTheme="majorBidi" w:cstheme="majorBidi"/>
        </w:rPr>
      </w:pPr>
      <w:r w:rsidRPr="00677C50">
        <w:rPr>
          <w:rFonts w:asciiTheme="majorBidi" w:hAnsiTheme="majorBidi" w:cstheme="majorBidi"/>
        </w:rPr>
        <w:t>Šajā sakarā Senāts</w:t>
      </w:r>
      <w:r w:rsidR="0043109B">
        <w:rPr>
          <w:rFonts w:asciiTheme="majorBidi" w:hAnsiTheme="majorBidi" w:cstheme="majorBidi"/>
        </w:rPr>
        <w:t>, pirmkārt,</w:t>
      </w:r>
      <w:r w:rsidRPr="00677C50">
        <w:rPr>
          <w:rFonts w:asciiTheme="majorBidi" w:hAnsiTheme="majorBidi" w:cstheme="majorBidi"/>
        </w:rPr>
        <w:t xml:space="preserve"> norāda, ka tas vien, ka Invaliditātes likums un uz tā pamata izdotie Invaliditātes noteikumi paredz komisijas kompetenci tieši kontekstā ar invaliditātes vai prognozētas invaliditātes noteikšanu, pats par sevi nevar izslēgt to, ka likumdevējs citā likumā (piemēram</w:t>
      </w:r>
      <w:r w:rsidR="003D2EE8" w:rsidRPr="00677C50">
        <w:rPr>
          <w:rFonts w:asciiTheme="majorBidi" w:hAnsiTheme="majorBidi" w:cstheme="majorBidi"/>
        </w:rPr>
        <w:t>,</w:t>
      </w:r>
      <w:r w:rsidRPr="00677C50">
        <w:rPr>
          <w:rFonts w:asciiTheme="majorBidi" w:hAnsiTheme="majorBidi" w:cstheme="majorBidi"/>
        </w:rPr>
        <w:t xml:space="preserve"> Prokuroru izdienas pensiju likumā) var būt paredzējis komisijai arī citu kompetenci – tādu, kas nav nesaraujami saistīta ar invaliditātes noteikšanas procesu. </w:t>
      </w:r>
      <w:r w:rsidR="00B07BCE" w:rsidRPr="00677C50">
        <w:rPr>
          <w:rFonts w:asciiTheme="majorBidi" w:hAnsiTheme="majorBidi" w:cstheme="majorBidi"/>
        </w:rPr>
        <w:t xml:space="preserve">Nav nekāda pamata uzskatīt, ka komisijai var būt tikai tāda kompetence, kas paredzēta tieši invaliditātes noteikšanu regulējošajos normatīvajos aktos. Likumdevējam ir tiesības </w:t>
      </w:r>
      <w:r w:rsidR="00FA1BA3" w:rsidRPr="00677C50">
        <w:rPr>
          <w:rFonts w:asciiTheme="majorBidi" w:hAnsiTheme="majorBidi" w:cstheme="majorBidi"/>
        </w:rPr>
        <w:t xml:space="preserve">ar citiem normatīvajiem aktiem </w:t>
      </w:r>
      <w:r w:rsidR="00B07BCE" w:rsidRPr="00677C50">
        <w:rPr>
          <w:rFonts w:asciiTheme="majorBidi" w:hAnsiTheme="majorBidi" w:cstheme="majorBidi"/>
        </w:rPr>
        <w:t xml:space="preserve">piešķirt komisijai arī citu kompetenci. </w:t>
      </w:r>
    </w:p>
    <w:p w14:paraId="20615BCE" w14:textId="036EAEC0" w:rsidR="00DD76F8" w:rsidRPr="00677C50" w:rsidRDefault="00DD76F8" w:rsidP="00420DCA">
      <w:pPr>
        <w:spacing w:line="276" w:lineRule="auto"/>
        <w:ind w:firstLine="720"/>
        <w:jc w:val="both"/>
        <w:rPr>
          <w:rFonts w:asciiTheme="majorBidi" w:hAnsiTheme="majorBidi" w:cstheme="majorBidi"/>
        </w:rPr>
      </w:pPr>
      <w:r w:rsidRPr="00677C50">
        <w:rPr>
          <w:rFonts w:asciiTheme="majorBidi" w:hAnsiTheme="majorBidi" w:cstheme="majorBidi"/>
        </w:rPr>
        <w:t>Savukārt tam, ka Komisijas nolikumā nav norādīt</w:t>
      </w:r>
      <w:r w:rsidR="00851FC4" w:rsidRPr="00677C50">
        <w:rPr>
          <w:rFonts w:asciiTheme="majorBidi" w:hAnsiTheme="majorBidi" w:cstheme="majorBidi"/>
        </w:rPr>
        <w:t>a</w:t>
      </w:r>
      <w:r w:rsidRPr="00677C50">
        <w:rPr>
          <w:rFonts w:asciiTheme="majorBidi" w:hAnsiTheme="majorBidi" w:cstheme="majorBidi"/>
        </w:rPr>
        <w:t xml:space="preserve"> komisijas kompetence sniegt slēdzienus par veselības stāvokli izdienas pensijas pieprasīšanas vajadzībām, vispār nav izšķirošas nozīmes</w:t>
      </w:r>
      <w:r w:rsidR="00851FC4" w:rsidRPr="00677C50">
        <w:rPr>
          <w:rFonts w:asciiTheme="majorBidi" w:hAnsiTheme="majorBidi" w:cstheme="majorBidi"/>
        </w:rPr>
        <w:t xml:space="preserve">. </w:t>
      </w:r>
      <w:r w:rsidRPr="00677C50">
        <w:rPr>
          <w:rFonts w:asciiTheme="majorBidi" w:hAnsiTheme="majorBidi" w:cstheme="majorBidi"/>
        </w:rPr>
        <w:t>Komisijas nolikumam kā Ministru kabineta noteikumiem ir zemāks juridiskais spēks nekā likumam, līdz ar to Komisijas nolikuma regulējums nevar atņemt vai ierobežot ar likumu – Prokuroru izdienas pensiju likuma 2.panta pirmās daļas 2.punktu – komisijai noteikto kompetenci.</w:t>
      </w:r>
    </w:p>
    <w:p w14:paraId="79579215" w14:textId="7A73C486" w:rsidR="00DE37F9" w:rsidRPr="00677C50" w:rsidRDefault="003D2EE8"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Otrkārt, Senāts secina, ka komisijas kompetence sniegt slēdzienu par personas veselības stāvokli </w:t>
      </w:r>
      <w:r w:rsidR="00DE37F9" w:rsidRPr="00677C50">
        <w:rPr>
          <w:rFonts w:asciiTheme="majorBidi" w:hAnsiTheme="majorBidi" w:cstheme="majorBidi"/>
        </w:rPr>
        <w:t xml:space="preserve">izdienas pensijas pieprasīšanas vajadzībām </w:t>
      </w:r>
      <w:r w:rsidRPr="00677C50">
        <w:rPr>
          <w:rFonts w:asciiTheme="majorBidi" w:hAnsiTheme="majorBidi" w:cstheme="majorBidi"/>
        </w:rPr>
        <w:t xml:space="preserve">ir noteikta arī vairākos citos izdienas pensiju likumos, tostarp arī </w:t>
      </w:r>
      <w:r w:rsidR="00B07BCE" w:rsidRPr="00677C50">
        <w:rPr>
          <w:rFonts w:asciiTheme="majorBidi" w:hAnsiTheme="majorBidi" w:cstheme="majorBidi"/>
        </w:rPr>
        <w:t>tādos</w:t>
      </w:r>
      <w:r w:rsidRPr="00677C50">
        <w:rPr>
          <w:rFonts w:asciiTheme="majorBidi" w:hAnsiTheme="majorBidi" w:cstheme="majorBidi"/>
        </w:rPr>
        <w:t xml:space="preserve">, kas pieņemti </w:t>
      </w:r>
      <w:r w:rsidR="00B07BCE" w:rsidRPr="00677C50">
        <w:rPr>
          <w:rFonts w:asciiTheme="majorBidi" w:hAnsiTheme="majorBidi" w:cstheme="majorBidi"/>
        </w:rPr>
        <w:t>pēc 20</w:t>
      </w:r>
      <w:r w:rsidR="003371DF" w:rsidRPr="00677C50">
        <w:rPr>
          <w:rFonts w:asciiTheme="majorBidi" w:hAnsiTheme="majorBidi" w:cstheme="majorBidi"/>
        </w:rPr>
        <w:t>11</w:t>
      </w:r>
      <w:r w:rsidR="00B07BCE" w:rsidRPr="00677C50">
        <w:rPr>
          <w:rFonts w:asciiTheme="majorBidi" w:hAnsiTheme="majorBidi" w:cstheme="majorBidi"/>
        </w:rPr>
        <w:t xml:space="preserve">.gada, </w:t>
      </w:r>
      <w:r w:rsidR="000A2A76" w:rsidRPr="00677C50">
        <w:rPr>
          <w:rFonts w:asciiTheme="majorBidi" w:hAnsiTheme="majorBidi" w:cstheme="majorBidi"/>
        </w:rPr>
        <w:t>tātad</w:t>
      </w:r>
      <w:r w:rsidR="00B07BCE" w:rsidRPr="00677C50">
        <w:rPr>
          <w:rFonts w:asciiTheme="majorBidi" w:hAnsiTheme="majorBidi" w:cstheme="majorBidi"/>
        </w:rPr>
        <w:t xml:space="preserve"> pēc tam, kad</w:t>
      </w:r>
      <w:r w:rsidRPr="00677C50">
        <w:rPr>
          <w:rFonts w:asciiTheme="majorBidi" w:hAnsiTheme="majorBidi" w:cstheme="majorBidi"/>
        </w:rPr>
        <w:t xml:space="preserve">, kā </w:t>
      </w:r>
      <w:r w:rsidR="00B07BCE" w:rsidRPr="00677C50">
        <w:rPr>
          <w:rFonts w:asciiTheme="majorBidi" w:hAnsiTheme="majorBidi" w:cstheme="majorBidi"/>
        </w:rPr>
        <w:t>uzskata</w:t>
      </w:r>
      <w:r w:rsidRPr="00677C50">
        <w:rPr>
          <w:rFonts w:asciiTheme="majorBidi" w:hAnsiTheme="majorBidi" w:cstheme="majorBidi"/>
        </w:rPr>
        <w:t xml:space="preserve"> apgabaltiesa, komisija</w:t>
      </w:r>
      <w:r w:rsidR="00B07BCE" w:rsidRPr="00677C50">
        <w:rPr>
          <w:rFonts w:asciiTheme="majorBidi" w:hAnsiTheme="majorBidi" w:cstheme="majorBidi"/>
        </w:rPr>
        <w:t>i vairs n</w:t>
      </w:r>
      <w:r w:rsidR="00090E16" w:rsidRPr="00677C50">
        <w:rPr>
          <w:rFonts w:asciiTheme="majorBidi" w:hAnsiTheme="majorBidi" w:cstheme="majorBidi"/>
        </w:rPr>
        <w:t>ebija</w:t>
      </w:r>
      <w:r w:rsidR="00B07BCE" w:rsidRPr="00677C50">
        <w:rPr>
          <w:rFonts w:asciiTheme="majorBidi" w:hAnsiTheme="majorBidi" w:cstheme="majorBidi"/>
        </w:rPr>
        <w:t xml:space="preserve"> kompetences </w:t>
      </w:r>
      <w:r w:rsidRPr="00677C50">
        <w:rPr>
          <w:rFonts w:asciiTheme="majorBidi" w:hAnsiTheme="majorBidi" w:cstheme="majorBidi"/>
        </w:rPr>
        <w:t>sniegt slēdzienus</w:t>
      </w:r>
      <w:r w:rsidR="000A2A76" w:rsidRPr="00677C50">
        <w:rPr>
          <w:rFonts w:asciiTheme="majorBidi" w:hAnsiTheme="majorBidi" w:cstheme="majorBidi"/>
        </w:rPr>
        <w:t xml:space="preserve"> (atzinumus</w:t>
      </w:r>
      <w:r w:rsidRPr="00677C50">
        <w:rPr>
          <w:rFonts w:asciiTheme="majorBidi" w:hAnsiTheme="majorBidi" w:cstheme="majorBidi"/>
        </w:rPr>
        <w:t>) par personas veselības stāvokļa piemērotību konkrēta amata pienākumu pildīšanai.</w:t>
      </w:r>
      <w:r w:rsidR="008D10DF" w:rsidRPr="00677C50">
        <w:rPr>
          <w:rFonts w:asciiTheme="majorBidi" w:hAnsiTheme="majorBidi" w:cstheme="majorBidi"/>
        </w:rPr>
        <w:t xml:space="preserve"> </w:t>
      </w:r>
      <w:r w:rsidR="00090E16" w:rsidRPr="00677C50">
        <w:rPr>
          <w:rFonts w:asciiTheme="majorBidi" w:hAnsiTheme="majorBidi" w:cstheme="majorBidi"/>
        </w:rPr>
        <w:t>P</w:t>
      </w:r>
      <w:r w:rsidR="0043109B">
        <w:rPr>
          <w:rFonts w:asciiTheme="majorBidi" w:hAnsiTheme="majorBidi" w:cstheme="majorBidi"/>
        </w:rPr>
        <w:t>iemēram</w:t>
      </w:r>
      <w:r w:rsidR="008D10DF" w:rsidRPr="00677C50">
        <w:rPr>
          <w:rFonts w:asciiTheme="majorBidi" w:hAnsiTheme="majorBidi" w:cstheme="majorBidi"/>
        </w:rPr>
        <w:t>,</w:t>
      </w:r>
      <w:r w:rsidR="00B07BCE" w:rsidRPr="00677C50">
        <w:rPr>
          <w:rFonts w:asciiTheme="majorBidi" w:hAnsiTheme="majorBidi" w:cstheme="majorBidi"/>
        </w:rPr>
        <w:t xml:space="preserve"> </w:t>
      </w:r>
      <w:r w:rsidR="000D2D77" w:rsidRPr="00677C50">
        <w:rPr>
          <w:rFonts w:asciiTheme="majorBidi" w:hAnsiTheme="majorBidi" w:cstheme="majorBidi"/>
        </w:rPr>
        <w:t xml:space="preserve">2016.gada 1.janvārī Prokuroru izdienas pensiju likuma 2.panta pirmās daļas 2.punkta normai analoga norma tika </w:t>
      </w:r>
      <w:r w:rsidR="00090E16" w:rsidRPr="00677C50">
        <w:rPr>
          <w:rFonts w:asciiTheme="majorBidi" w:hAnsiTheme="majorBidi" w:cstheme="majorBidi"/>
        </w:rPr>
        <w:t xml:space="preserve">ietverta </w:t>
      </w:r>
      <w:r w:rsidR="000D2D77" w:rsidRPr="00677C50">
        <w:rPr>
          <w:rFonts w:asciiTheme="majorBidi" w:hAnsiTheme="majorBidi" w:cstheme="majorBidi"/>
        </w:rPr>
        <w:t>Neatliekamās medicīniskās palīdzības dienesta neatliekamās medicīniskās palīdzības nodrošināšanā iesaistīto darbinieku izdienas pensiju likum</w:t>
      </w:r>
      <w:r w:rsidR="00090E16" w:rsidRPr="00677C50">
        <w:rPr>
          <w:rFonts w:asciiTheme="majorBidi" w:hAnsiTheme="majorBidi" w:cstheme="majorBidi"/>
        </w:rPr>
        <w:t>a 2.panta pirmās daļas 2.punktā (kopš 2026.gada 1.janvāra šajā likumā komisijas kompetence aizstāta ar valsts sabiedrības ar ierobežotu atbildību „Paula Stradiņa klīniskā universitātes slimnīca” Aroda un radiācijas medicīnas centra arodslimību ārstu konsīlija kompetenci);</w:t>
      </w:r>
      <w:r w:rsidR="000D2D77" w:rsidRPr="00677C50">
        <w:rPr>
          <w:rFonts w:asciiTheme="majorBidi" w:hAnsiTheme="majorBidi" w:cstheme="majorBidi"/>
        </w:rPr>
        <w:t xml:space="preserve"> </w:t>
      </w:r>
      <w:r w:rsidR="00B07BCE" w:rsidRPr="00677C50">
        <w:rPr>
          <w:rFonts w:asciiTheme="majorBidi" w:hAnsiTheme="majorBidi" w:cstheme="majorBidi"/>
        </w:rPr>
        <w:t xml:space="preserve">atvaļināšana no dienesta atbilstoši komisijas lēmumam </w:t>
      </w:r>
      <w:r w:rsidR="000D2D77" w:rsidRPr="00677C50">
        <w:rPr>
          <w:rFonts w:asciiTheme="majorBidi" w:hAnsiTheme="majorBidi" w:cstheme="majorBidi"/>
        </w:rPr>
        <w:t xml:space="preserve">kā priekšnoteikums izdienas pensijas saņemšanai </w:t>
      </w:r>
      <w:r w:rsidR="00B07BCE" w:rsidRPr="00677C50">
        <w:rPr>
          <w:rFonts w:asciiTheme="majorBidi" w:hAnsiTheme="majorBidi" w:cstheme="majorBidi"/>
        </w:rPr>
        <w:t xml:space="preserve">paredzēta </w:t>
      </w:r>
      <w:r w:rsidR="000D2D77" w:rsidRPr="00677C50">
        <w:rPr>
          <w:rFonts w:asciiTheme="majorBidi" w:hAnsiTheme="majorBidi" w:cstheme="majorBidi"/>
        </w:rPr>
        <w:t xml:space="preserve">arī </w:t>
      </w:r>
      <w:r w:rsidR="00B07BCE" w:rsidRPr="00677C50">
        <w:rPr>
          <w:rFonts w:asciiTheme="majorBidi" w:hAnsiTheme="majorBidi" w:cstheme="majorBidi"/>
        </w:rPr>
        <w:t>Valsts drošības iestāžu amatpersonu izdienas pensiju likuma 2.panta pirmās daļas 2.punktā (šis likums stājās spēkā 2015.gada 17.jūnijā)</w:t>
      </w:r>
      <w:r w:rsidR="00090E16" w:rsidRPr="00677C50">
        <w:rPr>
          <w:rFonts w:asciiTheme="majorBidi" w:hAnsiTheme="majorBidi" w:cstheme="majorBidi"/>
        </w:rPr>
        <w:t>.</w:t>
      </w:r>
      <w:r w:rsidR="00B07BCE" w:rsidRPr="00677C50">
        <w:rPr>
          <w:rFonts w:asciiTheme="majorBidi" w:hAnsiTheme="majorBidi" w:cstheme="majorBidi"/>
        </w:rPr>
        <w:t xml:space="preserve"> </w:t>
      </w:r>
      <w:r w:rsidR="00090E16" w:rsidRPr="00677C50">
        <w:rPr>
          <w:rFonts w:asciiTheme="majorBidi" w:hAnsiTheme="majorBidi" w:cstheme="majorBidi"/>
        </w:rPr>
        <w:t>Joprojām komisijas kompetence sniegt slēdzienu par personas veselības stāvokli izdienas pensijas pieprasīšanas vajadzībām izriet arī no Tiesnešu izdienas pensij</w:t>
      </w:r>
      <w:r w:rsidR="00AE05E9">
        <w:rPr>
          <w:rFonts w:asciiTheme="majorBidi" w:hAnsiTheme="majorBidi" w:cstheme="majorBidi"/>
        </w:rPr>
        <w:t>u</w:t>
      </w:r>
      <w:r w:rsidR="00090E16" w:rsidRPr="00677C50">
        <w:rPr>
          <w:rFonts w:asciiTheme="majorBidi" w:hAnsiTheme="majorBidi" w:cstheme="majorBidi"/>
        </w:rPr>
        <w:t xml:space="preserve"> likuma 2.panta pirmās daļas 2.punkta (kopš </w:t>
      </w:r>
      <w:r w:rsidR="002A2A8D" w:rsidRPr="00677C50">
        <w:rPr>
          <w:rFonts w:asciiTheme="majorBidi" w:hAnsiTheme="majorBidi" w:cstheme="majorBidi"/>
        </w:rPr>
        <w:t xml:space="preserve">2006.gada 21.jūlija) </w:t>
      </w:r>
      <w:r w:rsidR="00090E16" w:rsidRPr="00677C50">
        <w:rPr>
          <w:rFonts w:asciiTheme="majorBidi" w:hAnsiTheme="majorBidi" w:cstheme="majorBidi"/>
        </w:rPr>
        <w:t xml:space="preserve">un </w:t>
      </w:r>
      <w:r w:rsidR="000D2D77" w:rsidRPr="00677C50">
        <w:rPr>
          <w:rFonts w:asciiTheme="majorBidi" w:hAnsiTheme="majorBidi" w:cstheme="majorBidi"/>
        </w:rPr>
        <w:t>Korupcijas novēršanas un apkarošanas biroja amatpersonu izdienas pensiju likuma 2.panta pirmās daļas 2.punkt</w:t>
      </w:r>
      <w:r w:rsidR="00090E16" w:rsidRPr="00677C50">
        <w:rPr>
          <w:rFonts w:asciiTheme="majorBidi" w:hAnsiTheme="majorBidi" w:cstheme="majorBidi"/>
        </w:rPr>
        <w:t>a</w:t>
      </w:r>
      <w:r w:rsidR="002A2A8D" w:rsidRPr="00677C50">
        <w:rPr>
          <w:rFonts w:asciiTheme="majorBidi" w:hAnsiTheme="majorBidi" w:cstheme="majorBidi"/>
        </w:rPr>
        <w:t xml:space="preserve"> (kopš 2009.gada 1.janvāra)</w:t>
      </w:r>
      <w:r w:rsidR="00090E16" w:rsidRPr="00677C50">
        <w:rPr>
          <w:rFonts w:asciiTheme="majorBidi" w:hAnsiTheme="majorBidi" w:cstheme="majorBidi"/>
        </w:rPr>
        <w:t>.</w:t>
      </w:r>
      <w:r w:rsidR="008D10DF" w:rsidRPr="00677C50">
        <w:rPr>
          <w:rFonts w:asciiTheme="majorBidi" w:hAnsiTheme="majorBidi" w:cstheme="majorBidi"/>
        </w:rPr>
        <w:t xml:space="preserve"> </w:t>
      </w:r>
    </w:p>
    <w:p w14:paraId="43C43CEA" w14:textId="77777777" w:rsidR="00677C50" w:rsidRDefault="00DE37F9" w:rsidP="00420DCA">
      <w:pPr>
        <w:spacing w:line="276" w:lineRule="auto"/>
        <w:ind w:firstLine="720"/>
        <w:jc w:val="both"/>
        <w:rPr>
          <w:rFonts w:asciiTheme="majorBidi" w:hAnsiTheme="majorBidi" w:cstheme="majorBidi"/>
        </w:rPr>
      </w:pPr>
      <w:r w:rsidRPr="00677C50">
        <w:rPr>
          <w:rFonts w:asciiTheme="majorBidi" w:hAnsiTheme="majorBidi" w:cstheme="majorBidi"/>
        </w:rPr>
        <w:t>Tādējādi</w:t>
      </w:r>
      <w:r w:rsidR="00FA1BA3" w:rsidRPr="00677C50">
        <w:rPr>
          <w:rFonts w:asciiTheme="majorBidi" w:hAnsiTheme="majorBidi" w:cstheme="majorBidi"/>
        </w:rPr>
        <w:t xml:space="preserve"> likumdevējs ir vairākkārt apliecinājis savu gribu </w:t>
      </w:r>
      <w:r w:rsidR="00D33DCF" w:rsidRPr="00677C50">
        <w:rPr>
          <w:rFonts w:asciiTheme="majorBidi" w:hAnsiTheme="majorBidi" w:cstheme="majorBidi"/>
        </w:rPr>
        <w:t xml:space="preserve">konkrētu </w:t>
      </w:r>
      <w:r w:rsidR="00FA1BA3" w:rsidRPr="00677C50">
        <w:rPr>
          <w:rFonts w:asciiTheme="majorBidi" w:hAnsiTheme="majorBidi" w:cstheme="majorBidi"/>
        </w:rPr>
        <w:t>izdienas pensiju pieprasīšanas vajadzībām piešķirt kompetenci komisijai sniegt slēdzienu (atzinumu, lēmumu) par to, vai konkrētas personas veselības stāvoklis ļauj turpināt darbu konkrētā amatā.</w:t>
      </w:r>
      <w:r w:rsidR="000A2A76" w:rsidRPr="00677C50">
        <w:rPr>
          <w:rFonts w:asciiTheme="majorBidi" w:hAnsiTheme="majorBidi" w:cstheme="majorBidi"/>
        </w:rPr>
        <w:t xml:space="preserve"> </w:t>
      </w:r>
    </w:p>
    <w:p w14:paraId="41E7145E" w14:textId="46473267" w:rsidR="00DE37F9" w:rsidRPr="00677C50" w:rsidRDefault="000A2A76"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Uzskats, ka likumdevējs </w:t>
      </w:r>
      <w:r w:rsidR="00A53C54" w:rsidRPr="00677C50">
        <w:rPr>
          <w:rFonts w:asciiTheme="majorBidi" w:hAnsiTheme="majorBidi" w:cstheme="majorBidi"/>
        </w:rPr>
        <w:t xml:space="preserve">konsekventi </w:t>
      </w:r>
      <w:r w:rsidRPr="00677C50">
        <w:rPr>
          <w:rFonts w:asciiTheme="majorBidi" w:hAnsiTheme="majorBidi" w:cstheme="majorBidi"/>
        </w:rPr>
        <w:t>šād</w:t>
      </w:r>
      <w:r w:rsidR="0043109B">
        <w:rPr>
          <w:rFonts w:asciiTheme="majorBidi" w:hAnsiTheme="majorBidi" w:cstheme="majorBidi"/>
        </w:rPr>
        <w:t>u</w:t>
      </w:r>
      <w:r w:rsidRPr="00677C50">
        <w:rPr>
          <w:rFonts w:asciiTheme="majorBidi" w:hAnsiTheme="majorBidi" w:cstheme="majorBidi"/>
        </w:rPr>
        <w:t xml:space="preserve"> izvēli izdarījis neapzināti vai kļūdaini</w:t>
      </w:r>
      <w:r w:rsidR="00D33DCF" w:rsidRPr="00677C50">
        <w:rPr>
          <w:rFonts w:asciiTheme="majorBidi" w:hAnsiTheme="majorBidi" w:cstheme="majorBidi"/>
        </w:rPr>
        <w:t>,</w:t>
      </w:r>
      <w:r w:rsidRPr="00677C50">
        <w:rPr>
          <w:rFonts w:asciiTheme="majorBidi" w:hAnsiTheme="majorBidi" w:cstheme="majorBidi"/>
        </w:rPr>
        <w:t xml:space="preserve"> nesaprotot to, kāda kompetence komisijai noteikta citos normatīvajos aktos, ir pretrunā saprātīga likumdevēja principam. </w:t>
      </w:r>
      <w:r w:rsidR="00D049BD" w:rsidRPr="00677C50">
        <w:rPr>
          <w:rFonts w:asciiTheme="majorBidi" w:hAnsiTheme="majorBidi" w:cstheme="majorBidi"/>
        </w:rPr>
        <w:t>Jāņem arī vērā, ka komisija ir valsts iestāde, kurā nodarbināti ārsti, kas ir kompetenti izvērtēt personas veselības stāvokli un darbspējas.</w:t>
      </w:r>
      <w:r w:rsidR="00DE37F9" w:rsidRPr="00677C50">
        <w:rPr>
          <w:rFonts w:asciiTheme="majorBidi" w:hAnsiTheme="majorBidi" w:cstheme="majorBidi"/>
        </w:rPr>
        <w:t xml:space="preserve"> </w:t>
      </w:r>
      <w:r w:rsidR="00677C50">
        <w:rPr>
          <w:rFonts w:asciiTheme="majorBidi" w:hAnsiTheme="majorBidi" w:cstheme="majorBidi"/>
        </w:rPr>
        <w:t>Turklāt d</w:t>
      </w:r>
      <w:r w:rsidR="00DE37F9" w:rsidRPr="00677C50">
        <w:rPr>
          <w:rFonts w:asciiTheme="majorBidi" w:hAnsiTheme="majorBidi" w:cstheme="majorBidi"/>
        </w:rPr>
        <w:t>arbspēju izvērtēšana invaliditātes noteikšanas vajadzībām ir komisijas ikdienas darbs.</w:t>
      </w:r>
      <w:r w:rsidR="00D049BD" w:rsidRPr="00677C50">
        <w:rPr>
          <w:rFonts w:asciiTheme="majorBidi" w:hAnsiTheme="majorBidi" w:cstheme="majorBidi"/>
        </w:rPr>
        <w:t xml:space="preserve"> Līdz ar to nav nekāda pamata apgalvot, ka likumdevējs, piešķirot komisijai </w:t>
      </w:r>
      <w:r w:rsidR="00DE37F9" w:rsidRPr="00677C50">
        <w:rPr>
          <w:rFonts w:asciiTheme="majorBidi" w:hAnsiTheme="majorBidi" w:cstheme="majorBidi"/>
        </w:rPr>
        <w:t xml:space="preserve">papildu kompetenci – </w:t>
      </w:r>
      <w:r w:rsidR="00D049BD" w:rsidRPr="00677C50">
        <w:rPr>
          <w:rFonts w:asciiTheme="majorBidi" w:hAnsiTheme="majorBidi" w:cstheme="majorBidi"/>
        </w:rPr>
        <w:t>kompetenci</w:t>
      </w:r>
      <w:r w:rsidR="00DE37F9" w:rsidRPr="00677C50">
        <w:rPr>
          <w:rFonts w:asciiTheme="majorBidi" w:hAnsiTheme="majorBidi" w:cstheme="majorBidi"/>
        </w:rPr>
        <w:t xml:space="preserve"> </w:t>
      </w:r>
      <w:r w:rsidR="00D049BD" w:rsidRPr="00677C50">
        <w:rPr>
          <w:rFonts w:asciiTheme="majorBidi" w:hAnsiTheme="majorBidi" w:cstheme="majorBidi"/>
        </w:rPr>
        <w:t xml:space="preserve">izdienas pensijas pieprasīšanas vajadzībām sniegt personām slēdzienus par veselības stāvokli kontekstā ar spējām pildīt konkrēta amata pienākumus, būtu paredzējis kaut ko </w:t>
      </w:r>
      <w:r w:rsidR="0015564F" w:rsidRPr="00677C50">
        <w:rPr>
          <w:rFonts w:asciiTheme="majorBidi" w:hAnsiTheme="majorBidi" w:cstheme="majorBidi"/>
        </w:rPr>
        <w:t xml:space="preserve">faktiski neizpildāmu – kaut ko </w:t>
      </w:r>
      <w:r w:rsidR="00D049BD" w:rsidRPr="00677C50">
        <w:rPr>
          <w:rFonts w:asciiTheme="majorBidi" w:hAnsiTheme="majorBidi" w:cstheme="majorBidi"/>
        </w:rPr>
        <w:t xml:space="preserve">tādu, kas </w:t>
      </w:r>
      <w:r w:rsidR="0015564F" w:rsidRPr="00677C50">
        <w:rPr>
          <w:rFonts w:asciiTheme="majorBidi" w:hAnsiTheme="majorBidi" w:cstheme="majorBidi"/>
        </w:rPr>
        <w:t>būtu</w:t>
      </w:r>
      <w:r w:rsidR="00D049BD" w:rsidRPr="00677C50">
        <w:rPr>
          <w:rFonts w:asciiTheme="majorBidi" w:hAnsiTheme="majorBidi" w:cstheme="majorBidi"/>
        </w:rPr>
        <w:t xml:space="preserve"> acīmredzami pretēji komisijas </w:t>
      </w:r>
      <w:r w:rsidR="00DE37F9" w:rsidRPr="00677C50">
        <w:rPr>
          <w:rFonts w:asciiTheme="majorBidi" w:hAnsiTheme="majorBidi" w:cstheme="majorBidi"/>
        </w:rPr>
        <w:t>darbības specifikai</w:t>
      </w:r>
      <w:r w:rsidR="00A53C54" w:rsidRPr="00677C50">
        <w:rPr>
          <w:rFonts w:asciiTheme="majorBidi" w:hAnsiTheme="majorBidi" w:cstheme="majorBidi"/>
        </w:rPr>
        <w:t xml:space="preserve"> un absolūti nesaderīg</w:t>
      </w:r>
      <w:r w:rsidR="0015564F" w:rsidRPr="00677C50">
        <w:rPr>
          <w:rFonts w:asciiTheme="majorBidi" w:hAnsiTheme="majorBidi" w:cstheme="majorBidi"/>
        </w:rPr>
        <w:t>i</w:t>
      </w:r>
      <w:r w:rsidR="00A53C54" w:rsidRPr="00677C50">
        <w:rPr>
          <w:rFonts w:asciiTheme="majorBidi" w:hAnsiTheme="majorBidi" w:cstheme="majorBidi"/>
        </w:rPr>
        <w:t xml:space="preserve"> ar komisijai citos normatīvajos aktos piešķirto kompetenci.</w:t>
      </w:r>
      <w:r w:rsidR="00980DAE" w:rsidRPr="00677C50">
        <w:rPr>
          <w:rFonts w:asciiTheme="majorBidi" w:hAnsiTheme="majorBidi" w:cstheme="majorBidi"/>
        </w:rPr>
        <w:t xml:space="preserve"> </w:t>
      </w:r>
    </w:p>
    <w:p w14:paraId="60AA60BF" w14:textId="452D02C0" w:rsidR="0032707A" w:rsidRPr="00677C50" w:rsidRDefault="00DE37F9"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Ievērojot minēto, </w:t>
      </w:r>
      <w:r w:rsidR="00980DAE" w:rsidRPr="00677C50">
        <w:rPr>
          <w:rFonts w:asciiTheme="majorBidi" w:hAnsiTheme="majorBidi" w:cstheme="majorBidi"/>
        </w:rPr>
        <w:t xml:space="preserve">nav pamata apgalvot, ka Prokuroru izdienas </w:t>
      </w:r>
      <w:r w:rsidR="00AE05E9">
        <w:rPr>
          <w:rFonts w:asciiTheme="majorBidi" w:hAnsiTheme="majorBidi" w:cstheme="majorBidi"/>
        </w:rPr>
        <w:t xml:space="preserve">pensiju </w:t>
      </w:r>
      <w:r w:rsidR="00980DAE" w:rsidRPr="00677C50">
        <w:rPr>
          <w:rFonts w:asciiTheme="majorBidi" w:hAnsiTheme="majorBidi" w:cstheme="majorBidi"/>
        </w:rPr>
        <w:t>likuma 2.panta pirmās daļas 2.punkta norma tiesiskajā regulējumā saglabāta kļūdaini.</w:t>
      </w:r>
    </w:p>
    <w:p w14:paraId="0FEC6468" w14:textId="77777777" w:rsidR="00D049BD" w:rsidRPr="00677C50" w:rsidRDefault="00D049BD" w:rsidP="00420DCA">
      <w:pPr>
        <w:spacing w:line="276" w:lineRule="auto"/>
        <w:ind w:firstLine="720"/>
        <w:jc w:val="both"/>
        <w:rPr>
          <w:rFonts w:asciiTheme="majorBidi" w:hAnsiTheme="majorBidi" w:cstheme="majorBidi"/>
        </w:rPr>
      </w:pPr>
    </w:p>
    <w:p w14:paraId="76B295C9" w14:textId="0313527C" w:rsidR="0032707A" w:rsidRPr="00677C50" w:rsidRDefault="0032707A" w:rsidP="00420DCA">
      <w:pPr>
        <w:spacing w:line="276" w:lineRule="auto"/>
        <w:ind w:firstLine="720"/>
        <w:jc w:val="both"/>
        <w:rPr>
          <w:rFonts w:asciiTheme="majorBidi" w:hAnsiTheme="majorBidi" w:cstheme="majorBidi"/>
        </w:rPr>
      </w:pPr>
      <w:r w:rsidRPr="00677C50">
        <w:rPr>
          <w:rFonts w:asciiTheme="majorBidi" w:hAnsiTheme="majorBidi" w:cstheme="majorBidi"/>
        </w:rPr>
        <w:t>[1</w:t>
      </w:r>
      <w:r w:rsidR="0085012E">
        <w:rPr>
          <w:rFonts w:asciiTheme="majorBidi" w:hAnsiTheme="majorBidi" w:cstheme="majorBidi"/>
        </w:rPr>
        <w:t>3</w:t>
      </w:r>
      <w:r w:rsidRPr="00677C50">
        <w:rPr>
          <w:rFonts w:asciiTheme="majorBidi" w:hAnsiTheme="majorBidi" w:cstheme="majorBidi"/>
        </w:rPr>
        <w:t>] Senāts arī atzīst, ka tiesa nepamatoti apgalvojusi, ka Invaliditātes likuma un Invaliditātes noteikumu normas, kas noteic komisijas kompetenci invaliditātes ekspertīzes veikšanā un invaliditātes noteikšan</w:t>
      </w:r>
      <w:r w:rsidR="00DD3ECB">
        <w:rPr>
          <w:rFonts w:asciiTheme="majorBidi" w:hAnsiTheme="majorBidi" w:cstheme="majorBidi"/>
        </w:rPr>
        <w:t>ā</w:t>
      </w:r>
      <w:r w:rsidRPr="00677C50">
        <w:rPr>
          <w:rFonts w:asciiTheme="majorBidi" w:hAnsiTheme="majorBidi" w:cstheme="majorBidi"/>
        </w:rPr>
        <w:t>, kā arī Prokuratūras likuma normas par prokurora atbrīvošanu no amata ir speciālās tiesību normas iepretim Prokuroru izdienas pensiju likuma 2.panta pirmās daļas 2.punktam.</w:t>
      </w:r>
    </w:p>
    <w:p w14:paraId="2ECD8065" w14:textId="77777777" w:rsidR="00677C50" w:rsidRDefault="000F33A9"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Kolīziju normas, tostarp, kolīziju norma, kas noteic, ka vispārīgo tiesību normu piemēro tiktāl, ciktāl konkrētais gadījums nav noregulēts ar nesavienojamu speciālo normu, </w:t>
      </w:r>
      <w:r w:rsidR="00581299" w:rsidRPr="00677C50">
        <w:rPr>
          <w:rFonts w:asciiTheme="majorBidi" w:hAnsiTheme="majorBidi" w:cstheme="majorBidi"/>
        </w:rPr>
        <w:t xml:space="preserve">kā arī kolīziju norma, kas noteic, ka vienāda juridiskā spēka tiesību normu pretrunu gadījumā piemēro jaunāko tiesību normu, </w:t>
      </w:r>
      <w:r w:rsidRPr="00677C50">
        <w:rPr>
          <w:rFonts w:asciiTheme="majorBidi" w:hAnsiTheme="majorBidi" w:cstheme="majorBidi"/>
        </w:rPr>
        <w:t>ir juridiskās metodes instrument</w:t>
      </w:r>
      <w:r w:rsidR="00D33DCF" w:rsidRPr="00677C50">
        <w:rPr>
          <w:rFonts w:asciiTheme="majorBidi" w:hAnsiTheme="majorBidi" w:cstheme="majorBidi"/>
        </w:rPr>
        <w:t>s</w:t>
      </w:r>
      <w:r w:rsidRPr="00677C50">
        <w:rPr>
          <w:rFonts w:asciiTheme="majorBidi" w:hAnsiTheme="majorBidi" w:cstheme="majorBidi"/>
        </w:rPr>
        <w:t>, kas pielietojam</w:t>
      </w:r>
      <w:r w:rsidR="00D33DCF" w:rsidRPr="00677C50">
        <w:rPr>
          <w:rFonts w:asciiTheme="majorBidi" w:hAnsiTheme="majorBidi" w:cstheme="majorBidi"/>
        </w:rPr>
        <w:t>s</w:t>
      </w:r>
      <w:r w:rsidRPr="00677C50">
        <w:rPr>
          <w:rFonts w:asciiTheme="majorBidi" w:hAnsiTheme="majorBidi" w:cstheme="majorBidi"/>
        </w:rPr>
        <w:t xml:space="preserve"> gadījumā, ja ir konstatējama tiesību normu kolīzija. Savukārt tiesību normu kolīzija ir situācija, kad vienu un to pašu faktisko situāciju regulē divas vai vairākas tiesību normas, kuru tiesiskais sastāvs pilnīgi vai daļēji sakrīt, bet tajās paredzētās tiesiskās sekas ir savstarpēji izslēdzošas (</w:t>
      </w:r>
      <w:r w:rsidRPr="00677C50">
        <w:rPr>
          <w:rFonts w:asciiTheme="majorBidi" w:hAnsiTheme="majorBidi" w:cstheme="majorBidi"/>
          <w:i/>
          <w:iCs/>
        </w:rPr>
        <w:t>Pleps J. Tiesību normu kolīziju atrisināšana. Grām.: Juridisko metožu mācība. Astoņi soļi tiesību normu piemērošanā. Zinātniskā monogrāfija prof. Dr. iur. Daigas Rezevskas zinātniskajā redakcijā. Rīga: Latvijas Universitātes Akadēmiskais apgāds, 2025, 137.lpp</w:t>
      </w:r>
      <w:r w:rsidRPr="00677C50">
        <w:rPr>
          <w:rFonts w:asciiTheme="majorBidi" w:hAnsiTheme="majorBidi" w:cstheme="majorBidi"/>
        </w:rPr>
        <w:t xml:space="preserve">.). </w:t>
      </w:r>
    </w:p>
    <w:p w14:paraId="77B5D8C7" w14:textId="23DEA0DA" w:rsidR="000F33A9" w:rsidRPr="00677C50" w:rsidRDefault="000F33A9"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Līdz ar to, lai būtu pamats pievērsties vērtējumam, kura no tiesību normām ir </w:t>
      </w:r>
      <w:r w:rsidR="00581299" w:rsidRPr="00677C50">
        <w:rPr>
          <w:rFonts w:asciiTheme="majorBidi" w:hAnsiTheme="majorBidi" w:cstheme="majorBidi"/>
        </w:rPr>
        <w:t xml:space="preserve">jaunāka, kura vecāka, kura ir </w:t>
      </w:r>
      <w:r w:rsidRPr="00677C50">
        <w:rPr>
          <w:rFonts w:asciiTheme="majorBidi" w:hAnsiTheme="majorBidi" w:cstheme="majorBidi"/>
        </w:rPr>
        <w:t>vispārīgā un kura speciālā, vispirms jākonstatē, ka salīdzināmās normas regulē vienu un to pašu faktisko situāciju</w:t>
      </w:r>
      <w:r w:rsidR="00581299" w:rsidRPr="00677C50">
        <w:rPr>
          <w:rFonts w:asciiTheme="majorBidi" w:hAnsiTheme="majorBidi" w:cstheme="majorBidi"/>
        </w:rPr>
        <w:t xml:space="preserve"> (vienu un to pašu risināmo jautājumu)</w:t>
      </w:r>
      <w:r w:rsidRPr="00677C50">
        <w:rPr>
          <w:rFonts w:asciiTheme="majorBidi" w:hAnsiTheme="majorBidi" w:cstheme="majorBidi"/>
        </w:rPr>
        <w:t xml:space="preserve">. </w:t>
      </w:r>
    </w:p>
    <w:p w14:paraId="3B945EB7" w14:textId="77777777" w:rsidR="000F1E79" w:rsidRDefault="000F33A9" w:rsidP="00420DCA">
      <w:pPr>
        <w:spacing w:line="276" w:lineRule="auto"/>
        <w:ind w:firstLine="720"/>
        <w:jc w:val="both"/>
        <w:rPr>
          <w:rFonts w:asciiTheme="majorBidi" w:hAnsiTheme="majorBidi" w:cstheme="majorBidi"/>
        </w:rPr>
      </w:pPr>
      <w:r w:rsidRPr="00677C50">
        <w:rPr>
          <w:rFonts w:asciiTheme="majorBidi" w:hAnsiTheme="majorBidi" w:cstheme="majorBidi"/>
        </w:rPr>
        <w:t>T</w:t>
      </w:r>
      <w:r w:rsidR="0032707A" w:rsidRPr="00677C50">
        <w:rPr>
          <w:rFonts w:asciiTheme="majorBidi" w:hAnsiTheme="majorBidi" w:cstheme="majorBidi"/>
        </w:rPr>
        <w:t>iesa</w:t>
      </w:r>
      <w:r w:rsidRPr="00677C50">
        <w:rPr>
          <w:rFonts w:asciiTheme="majorBidi" w:hAnsiTheme="majorBidi" w:cstheme="majorBidi"/>
        </w:rPr>
        <w:t xml:space="preserve"> konkrētajā gadījumā </w:t>
      </w:r>
      <w:r w:rsidR="0032707A" w:rsidRPr="00677C50">
        <w:rPr>
          <w:rFonts w:asciiTheme="majorBidi" w:hAnsiTheme="majorBidi" w:cstheme="majorBidi"/>
        </w:rPr>
        <w:t>nav pamatojusi</w:t>
      </w:r>
      <w:r w:rsidRPr="00677C50">
        <w:rPr>
          <w:rFonts w:asciiTheme="majorBidi" w:hAnsiTheme="majorBidi" w:cstheme="majorBidi"/>
        </w:rPr>
        <w:t xml:space="preserve">, </w:t>
      </w:r>
      <w:r w:rsidR="0032707A" w:rsidRPr="00677C50">
        <w:rPr>
          <w:rFonts w:asciiTheme="majorBidi" w:hAnsiTheme="majorBidi" w:cstheme="majorBidi"/>
        </w:rPr>
        <w:t xml:space="preserve">kāpēc </w:t>
      </w:r>
      <w:r w:rsidR="00581299" w:rsidRPr="00677C50">
        <w:rPr>
          <w:rFonts w:asciiTheme="majorBidi" w:hAnsiTheme="majorBidi" w:cstheme="majorBidi"/>
        </w:rPr>
        <w:t xml:space="preserve">tiesas norādītās Invaliditātes likuma, Invaliditātes noteikumu un Prokuratūras likuma </w:t>
      </w:r>
      <w:r w:rsidR="0032707A" w:rsidRPr="00677C50">
        <w:rPr>
          <w:rFonts w:asciiTheme="majorBidi" w:hAnsiTheme="majorBidi" w:cstheme="majorBidi"/>
        </w:rPr>
        <w:t>normas būtu uzskatāmas par speciālajām tiesību normām, savukārt Prokuroru izdienas pensiju likuma 2.panta pirmās daļas 2.punkts – par vispārīgo tiesību normu.</w:t>
      </w:r>
      <w:r w:rsidR="000B545E" w:rsidRPr="00677C50">
        <w:rPr>
          <w:rFonts w:asciiTheme="majorBidi" w:hAnsiTheme="majorBidi" w:cstheme="majorBidi"/>
        </w:rPr>
        <w:t xml:space="preserve"> </w:t>
      </w:r>
      <w:r w:rsidR="00DE37F9" w:rsidRPr="00677C50">
        <w:rPr>
          <w:rFonts w:asciiTheme="majorBidi" w:hAnsiTheme="majorBidi" w:cstheme="majorBidi"/>
        </w:rPr>
        <w:t xml:space="preserve">Tiesa to ir tikai apgalvojusi. </w:t>
      </w:r>
    </w:p>
    <w:p w14:paraId="0C0058F1" w14:textId="22C35B5A" w:rsidR="0032707A" w:rsidRPr="00677C50" w:rsidRDefault="000B545E"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Senāts </w:t>
      </w:r>
      <w:r w:rsidR="00D049BD" w:rsidRPr="00677C50">
        <w:rPr>
          <w:rFonts w:asciiTheme="majorBidi" w:hAnsiTheme="majorBidi" w:cstheme="majorBidi"/>
        </w:rPr>
        <w:t xml:space="preserve">turpmāk norādīto apsvērumu dēļ </w:t>
      </w:r>
      <w:r w:rsidRPr="00677C50">
        <w:rPr>
          <w:rFonts w:asciiTheme="majorBidi" w:hAnsiTheme="majorBidi" w:cstheme="majorBidi"/>
        </w:rPr>
        <w:t>nesaskata, ka tiesas norādītās tiesību normas regulē vienu un to pašu faktisko situāciju</w:t>
      </w:r>
      <w:r w:rsidR="00581299" w:rsidRPr="00677C50">
        <w:rPr>
          <w:rFonts w:asciiTheme="majorBidi" w:hAnsiTheme="majorBidi" w:cstheme="majorBidi"/>
        </w:rPr>
        <w:t xml:space="preserve"> un ka pastāv šo tiesību normu kolīzija</w:t>
      </w:r>
      <w:r w:rsidRPr="00677C50">
        <w:rPr>
          <w:rFonts w:asciiTheme="majorBidi" w:hAnsiTheme="majorBidi" w:cstheme="majorBidi"/>
        </w:rPr>
        <w:t>.</w:t>
      </w:r>
    </w:p>
    <w:p w14:paraId="3A22B032" w14:textId="77777777" w:rsidR="00D049BD" w:rsidRPr="00677C50" w:rsidRDefault="00D049BD" w:rsidP="00420DCA">
      <w:pPr>
        <w:spacing w:line="276" w:lineRule="auto"/>
        <w:ind w:firstLine="720"/>
        <w:jc w:val="both"/>
        <w:rPr>
          <w:rFonts w:asciiTheme="majorBidi" w:hAnsiTheme="majorBidi" w:cstheme="majorBidi"/>
        </w:rPr>
      </w:pPr>
    </w:p>
    <w:p w14:paraId="40F66D1D" w14:textId="10141CC8" w:rsidR="00E848B1" w:rsidRPr="00677C50" w:rsidRDefault="00D049BD" w:rsidP="00420DCA">
      <w:pPr>
        <w:spacing w:line="276" w:lineRule="auto"/>
        <w:ind w:firstLine="720"/>
        <w:jc w:val="both"/>
        <w:rPr>
          <w:rFonts w:asciiTheme="majorBidi" w:hAnsiTheme="majorBidi" w:cstheme="majorBidi"/>
        </w:rPr>
      </w:pPr>
      <w:r w:rsidRPr="00677C50">
        <w:rPr>
          <w:rFonts w:asciiTheme="majorBidi" w:hAnsiTheme="majorBidi" w:cstheme="majorBidi"/>
        </w:rPr>
        <w:t>[1</w:t>
      </w:r>
      <w:r w:rsidR="0085012E">
        <w:rPr>
          <w:rFonts w:asciiTheme="majorBidi" w:hAnsiTheme="majorBidi" w:cstheme="majorBidi"/>
        </w:rPr>
        <w:t>4</w:t>
      </w:r>
      <w:r w:rsidRPr="00677C50">
        <w:rPr>
          <w:rFonts w:asciiTheme="majorBidi" w:hAnsiTheme="majorBidi" w:cstheme="majorBidi"/>
        </w:rPr>
        <w:t xml:space="preserve">] </w:t>
      </w:r>
      <w:r w:rsidR="000B545E" w:rsidRPr="00677C50">
        <w:rPr>
          <w:rFonts w:asciiTheme="majorBidi" w:hAnsiTheme="majorBidi" w:cstheme="majorBidi"/>
        </w:rPr>
        <w:t xml:space="preserve">Prokuroru izdienas pensiju likuma 2.panta pirmās daļas 2.punkts regulē prokuroru tiesības uz izdienas pensiju un paredz komisijas kompetenci tieši šo tiesību īstenošanas vajadzībām. </w:t>
      </w:r>
    </w:p>
    <w:p w14:paraId="0F5EFD85" w14:textId="3EE41049" w:rsidR="00DE37F9" w:rsidRPr="00677C50" w:rsidRDefault="000B545E"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Invaliditātes likums savukārt nosaka kārtību, kādā veicama prognozējamas invaliditātes un invaliditātes ekspertīze, kā arī invaliditātes riska un invaliditātes seku mazināšanai nepieciešamos atbalsta pasākumus (3.panta pirmā daļa), un šā likuma mērķis ir novērst vai mazināt invaliditātes risku personām ar prognozējamu invaliditāti un mazināt invaliditātes sekas personām ar invaliditāti (2.pants). </w:t>
      </w:r>
      <w:r w:rsidR="00DE37F9" w:rsidRPr="00677C50">
        <w:rPr>
          <w:rFonts w:asciiTheme="majorBidi" w:hAnsiTheme="majorBidi" w:cstheme="majorBidi"/>
        </w:rPr>
        <w:t>Tādējādi katrs no minētajiem likumiem regulē atšķirīgu jautājumu loku</w:t>
      </w:r>
      <w:r w:rsidR="00C435C6" w:rsidRPr="00677C50">
        <w:rPr>
          <w:rFonts w:asciiTheme="majorBidi" w:hAnsiTheme="majorBidi" w:cstheme="majorBidi"/>
        </w:rPr>
        <w:t xml:space="preserve"> un šiem likumiem ir atšķirīgi mērķi</w:t>
      </w:r>
      <w:r w:rsidR="00DE37F9" w:rsidRPr="00677C50">
        <w:rPr>
          <w:rFonts w:asciiTheme="majorBidi" w:hAnsiTheme="majorBidi" w:cstheme="majorBidi"/>
        </w:rPr>
        <w:t xml:space="preserve">. </w:t>
      </w:r>
    </w:p>
    <w:p w14:paraId="6F8428BF" w14:textId="34B868FE" w:rsidR="00DE37F9" w:rsidRPr="00677C50" w:rsidRDefault="00C435C6"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Attiecīgi </w:t>
      </w:r>
      <w:r w:rsidR="000B545E" w:rsidRPr="00677C50">
        <w:rPr>
          <w:rFonts w:asciiTheme="majorBidi" w:hAnsiTheme="majorBidi" w:cstheme="majorBidi"/>
        </w:rPr>
        <w:t xml:space="preserve">Invaliditātes likuma </w:t>
      </w:r>
      <w:r w:rsidR="0083360D" w:rsidRPr="00677C50">
        <w:rPr>
          <w:rFonts w:asciiTheme="majorBidi" w:hAnsiTheme="majorBidi" w:cstheme="majorBidi"/>
        </w:rPr>
        <w:t xml:space="preserve">1.panta 2., 3. un 6.punkts (uz kuriem atsaukusies apgabaltiesa) skaidro šajā likumā </w:t>
      </w:r>
      <w:r w:rsidRPr="00677C50">
        <w:rPr>
          <w:rFonts w:asciiTheme="majorBidi" w:hAnsiTheme="majorBidi" w:cstheme="majorBidi"/>
        </w:rPr>
        <w:t xml:space="preserve">invaliditātes un prognozējamas invaliditātes noteikšanai </w:t>
      </w:r>
      <w:r w:rsidR="0083360D" w:rsidRPr="00677C50">
        <w:rPr>
          <w:rFonts w:asciiTheme="majorBidi" w:hAnsiTheme="majorBidi" w:cstheme="majorBidi"/>
        </w:rPr>
        <w:t>lietotos terminus „darbspēju zaudējums”, „funkcionēšanas ierobežojums” un</w:t>
      </w:r>
      <w:r w:rsidR="00931868">
        <w:rPr>
          <w:rFonts w:asciiTheme="majorBidi" w:hAnsiTheme="majorBidi" w:cstheme="majorBidi"/>
        </w:rPr>
        <w:t xml:space="preserve"> </w:t>
      </w:r>
      <w:r w:rsidR="0083360D" w:rsidRPr="00677C50">
        <w:rPr>
          <w:rFonts w:asciiTheme="majorBidi" w:hAnsiTheme="majorBidi" w:cstheme="majorBidi"/>
        </w:rPr>
        <w:t xml:space="preserve">„prognozējamas invaliditātes un invaliditātes ekspertīze”. Savukārt </w:t>
      </w:r>
      <w:r w:rsidR="000B545E" w:rsidRPr="00677C50">
        <w:rPr>
          <w:rFonts w:asciiTheme="majorBidi" w:hAnsiTheme="majorBidi" w:cstheme="majorBidi"/>
        </w:rPr>
        <w:t>8.pants</w:t>
      </w:r>
      <w:r w:rsidR="00E848B1" w:rsidRPr="00677C50">
        <w:rPr>
          <w:rFonts w:asciiTheme="majorBidi" w:hAnsiTheme="majorBidi" w:cstheme="majorBidi"/>
        </w:rPr>
        <w:t xml:space="preserve"> „Prognozējamas invaliditātes un invaliditātes ekspertīze”</w:t>
      </w:r>
      <w:r w:rsidR="000B545E" w:rsidRPr="00677C50">
        <w:rPr>
          <w:rFonts w:asciiTheme="majorBidi" w:hAnsiTheme="majorBidi" w:cstheme="majorBidi"/>
        </w:rPr>
        <w:t xml:space="preserve"> (iekļauts nodaļā „Prognozējamas invaliditātes un invaliditātes ekspertīzes organizēšana”) </w:t>
      </w:r>
      <w:r w:rsidR="00E848B1" w:rsidRPr="00677C50">
        <w:rPr>
          <w:rFonts w:asciiTheme="majorBidi" w:hAnsiTheme="majorBidi" w:cstheme="majorBidi"/>
        </w:rPr>
        <w:t>no</w:t>
      </w:r>
      <w:r w:rsidR="00931868">
        <w:rPr>
          <w:rFonts w:asciiTheme="majorBidi" w:hAnsiTheme="majorBidi" w:cstheme="majorBidi"/>
        </w:rPr>
        <w:t>saka</w:t>
      </w:r>
      <w:r w:rsidR="00E848B1" w:rsidRPr="00677C50">
        <w:rPr>
          <w:rFonts w:asciiTheme="majorBidi" w:hAnsiTheme="majorBidi" w:cstheme="majorBidi"/>
        </w:rPr>
        <w:t xml:space="preserve"> komisijas kompetenci tieši attiecībā uz prognozējamas invaliditātes un invaliditātes noteikšanu (detalizētāk to noteic arī Invaliditātes noteikumu 17. un 18.punkts). </w:t>
      </w:r>
      <w:r w:rsidR="00581299" w:rsidRPr="00677C50">
        <w:rPr>
          <w:rFonts w:asciiTheme="majorBidi" w:hAnsiTheme="majorBidi" w:cstheme="majorBidi"/>
        </w:rPr>
        <w:t xml:space="preserve">Tādējādi šīs tiesību normas regulē komisijas kompetenci tieši saistībā ar invaliditātes </w:t>
      </w:r>
      <w:r w:rsidRPr="00677C50">
        <w:rPr>
          <w:rFonts w:asciiTheme="majorBidi" w:hAnsiTheme="majorBidi" w:cstheme="majorBidi"/>
        </w:rPr>
        <w:t xml:space="preserve">un prognozējamas invaliditātes </w:t>
      </w:r>
      <w:r w:rsidR="00581299" w:rsidRPr="00677C50">
        <w:rPr>
          <w:rFonts w:asciiTheme="majorBidi" w:hAnsiTheme="majorBidi" w:cstheme="majorBidi"/>
        </w:rPr>
        <w:t xml:space="preserve">noteikšanu. </w:t>
      </w:r>
      <w:r w:rsidRPr="00677C50">
        <w:rPr>
          <w:rFonts w:asciiTheme="majorBidi" w:hAnsiTheme="majorBidi" w:cstheme="majorBidi"/>
        </w:rPr>
        <w:t xml:space="preserve">Tas arī ir loģiski, jo, kā jau minēts, Invaliditātes likums reglamentē tieši invaliditātes noteikšanu. </w:t>
      </w:r>
      <w:r w:rsidR="00E848B1" w:rsidRPr="00677C50">
        <w:rPr>
          <w:rFonts w:asciiTheme="majorBidi" w:hAnsiTheme="majorBidi" w:cstheme="majorBidi"/>
        </w:rPr>
        <w:t xml:space="preserve">Šīs tiesību normas neregulē un </w:t>
      </w:r>
      <w:r w:rsidRPr="00677C50">
        <w:rPr>
          <w:rFonts w:asciiTheme="majorBidi" w:hAnsiTheme="majorBidi" w:cstheme="majorBidi"/>
        </w:rPr>
        <w:t xml:space="preserve">līdz ar to </w:t>
      </w:r>
      <w:r w:rsidR="00E848B1" w:rsidRPr="00677C50">
        <w:rPr>
          <w:rFonts w:asciiTheme="majorBidi" w:hAnsiTheme="majorBidi" w:cstheme="majorBidi"/>
        </w:rPr>
        <w:t>arī neizslēdz komisijas kompetenci attiecībā uz slēdzienu sniegšanu izdienas pensiju pieprasīšanas vajadzībām.</w:t>
      </w:r>
    </w:p>
    <w:p w14:paraId="3BE0C651" w14:textId="77777777" w:rsidR="000F1E79" w:rsidRDefault="00C435C6" w:rsidP="00420DCA">
      <w:pPr>
        <w:spacing w:line="276" w:lineRule="auto"/>
        <w:ind w:firstLine="720"/>
        <w:jc w:val="both"/>
        <w:rPr>
          <w:rFonts w:asciiTheme="majorBidi" w:hAnsiTheme="majorBidi" w:cstheme="majorBidi"/>
        </w:rPr>
      </w:pPr>
      <w:r w:rsidRPr="00677C50">
        <w:rPr>
          <w:rFonts w:asciiTheme="majorBidi" w:hAnsiTheme="majorBidi" w:cstheme="majorBidi"/>
        </w:rPr>
        <w:t>Ievērojot minēto,</w:t>
      </w:r>
      <w:r w:rsidR="00E848B1" w:rsidRPr="00677C50">
        <w:rPr>
          <w:rFonts w:asciiTheme="majorBidi" w:hAnsiTheme="majorBidi" w:cstheme="majorBidi"/>
        </w:rPr>
        <w:t xml:space="preserve"> nav nekāda pamata Prokuratūras izdienas pensiju likuma 2.pant</w:t>
      </w:r>
      <w:r w:rsidR="00286115" w:rsidRPr="00677C50">
        <w:rPr>
          <w:rFonts w:asciiTheme="majorBidi" w:hAnsiTheme="majorBidi" w:cstheme="majorBidi"/>
        </w:rPr>
        <w:t>a</w:t>
      </w:r>
      <w:r w:rsidR="00E848B1" w:rsidRPr="00677C50">
        <w:rPr>
          <w:rFonts w:asciiTheme="majorBidi" w:hAnsiTheme="majorBidi" w:cstheme="majorBidi"/>
        </w:rPr>
        <w:t xml:space="preserve"> pirmās daļas 2.punkta normu un invaliditātes noteikšanu reglamentējošās normas salīdzināt kategorijās – vispārīgā/speciālā.</w:t>
      </w:r>
      <w:r w:rsidR="00D049BD" w:rsidRPr="00677C50">
        <w:rPr>
          <w:rFonts w:asciiTheme="majorBidi" w:hAnsiTheme="majorBidi" w:cstheme="majorBidi"/>
        </w:rPr>
        <w:t xml:space="preserve"> </w:t>
      </w:r>
      <w:r w:rsidR="00581299" w:rsidRPr="00677C50">
        <w:rPr>
          <w:rFonts w:asciiTheme="majorBidi" w:hAnsiTheme="majorBidi" w:cstheme="majorBidi"/>
        </w:rPr>
        <w:t xml:space="preserve">Tāpat nav pamata pievērst uzmanību tam, ka Prokuroru izdienas pensijas likuma norma ir vecāka, bet </w:t>
      </w:r>
      <w:r w:rsidR="005A7449" w:rsidRPr="00677C50">
        <w:rPr>
          <w:rFonts w:asciiTheme="majorBidi" w:hAnsiTheme="majorBidi" w:cstheme="majorBidi"/>
        </w:rPr>
        <w:t>i</w:t>
      </w:r>
      <w:r w:rsidR="00581299" w:rsidRPr="00677C50">
        <w:rPr>
          <w:rFonts w:asciiTheme="majorBidi" w:hAnsiTheme="majorBidi" w:cstheme="majorBidi"/>
        </w:rPr>
        <w:t xml:space="preserve">nvaliditātes noteikšanas regulējums – jaunāks. </w:t>
      </w:r>
    </w:p>
    <w:p w14:paraId="6E947B32" w14:textId="75B856A4" w:rsidR="00D049BD" w:rsidRPr="00677C50" w:rsidRDefault="00D049BD" w:rsidP="00420DCA">
      <w:pPr>
        <w:spacing w:line="276" w:lineRule="auto"/>
        <w:ind w:firstLine="720"/>
        <w:jc w:val="both"/>
        <w:rPr>
          <w:rFonts w:asciiTheme="majorBidi" w:hAnsiTheme="majorBidi" w:cstheme="majorBidi"/>
        </w:rPr>
      </w:pPr>
      <w:r w:rsidRPr="00677C50">
        <w:rPr>
          <w:rFonts w:asciiTheme="majorBidi" w:hAnsiTheme="majorBidi" w:cstheme="majorBidi"/>
        </w:rPr>
        <w:t>Attiecīgi tiesa kļūdaini atzinusi, ka Invaliditātes likuma un Invaliditātes noteikumu regulējums var būt pamats atkāpties no Prokuroru izdienas pensiju likumā tieši noteiktas komisijas kompetences.</w:t>
      </w:r>
    </w:p>
    <w:p w14:paraId="72BE8A1C" w14:textId="77777777" w:rsidR="00D049BD" w:rsidRPr="00677C50" w:rsidRDefault="00D049BD" w:rsidP="00420DCA">
      <w:pPr>
        <w:spacing w:line="276" w:lineRule="auto"/>
        <w:ind w:firstLine="720"/>
        <w:jc w:val="both"/>
        <w:rPr>
          <w:rFonts w:asciiTheme="majorBidi" w:hAnsiTheme="majorBidi" w:cstheme="majorBidi"/>
        </w:rPr>
      </w:pPr>
    </w:p>
    <w:p w14:paraId="52E10C04" w14:textId="21A0A514" w:rsidR="009567ED" w:rsidRPr="00677C50" w:rsidRDefault="00D049BD" w:rsidP="00420DCA">
      <w:pPr>
        <w:spacing w:line="276" w:lineRule="auto"/>
        <w:ind w:firstLine="720"/>
        <w:jc w:val="both"/>
        <w:rPr>
          <w:rFonts w:asciiTheme="majorBidi" w:hAnsiTheme="majorBidi" w:cstheme="majorBidi"/>
        </w:rPr>
      </w:pPr>
      <w:r w:rsidRPr="00677C50">
        <w:rPr>
          <w:rFonts w:asciiTheme="majorBidi" w:hAnsiTheme="majorBidi" w:cstheme="majorBidi"/>
        </w:rPr>
        <w:t>[1</w:t>
      </w:r>
      <w:r w:rsidR="0085012E">
        <w:rPr>
          <w:rFonts w:asciiTheme="majorBidi" w:hAnsiTheme="majorBidi" w:cstheme="majorBidi"/>
        </w:rPr>
        <w:t>5</w:t>
      </w:r>
      <w:r w:rsidRPr="00677C50">
        <w:rPr>
          <w:rFonts w:asciiTheme="majorBidi" w:hAnsiTheme="majorBidi" w:cstheme="majorBidi"/>
        </w:rPr>
        <w:t xml:space="preserve">] Tiesa būtisku nozīmi ir piešķīrusi tam, ka atbilstoši Prokuratūras likuma </w:t>
      </w:r>
      <w:r w:rsidR="002F2BA3" w:rsidRPr="00677C50">
        <w:rPr>
          <w:rFonts w:asciiTheme="majorBidi" w:hAnsiTheme="majorBidi" w:cstheme="majorBidi"/>
        </w:rPr>
        <w:t>regulējumam, lai prokuroru atbrīvotu no amata veselības stāvokļa dēļ, netiek prasīts kāds konkrēts veselības stāvokļa apliecinājums. Š</w:t>
      </w:r>
      <w:r w:rsidR="00286115" w:rsidRPr="00677C50">
        <w:rPr>
          <w:rFonts w:asciiTheme="majorBidi" w:hAnsiTheme="majorBidi" w:cstheme="majorBidi"/>
        </w:rPr>
        <w:t>is likums</w:t>
      </w:r>
      <w:r w:rsidR="002F2BA3" w:rsidRPr="00677C50">
        <w:rPr>
          <w:rFonts w:asciiTheme="majorBidi" w:hAnsiTheme="majorBidi" w:cstheme="majorBidi"/>
        </w:rPr>
        <w:t xml:space="preserve"> noteic</w:t>
      </w:r>
      <w:r w:rsidR="00363CA2" w:rsidRPr="00677C50">
        <w:rPr>
          <w:rFonts w:asciiTheme="majorBidi" w:hAnsiTheme="majorBidi" w:cstheme="majorBidi"/>
        </w:rPr>
        <w:t xml:space="preserve"> vien to</w:t>
      </w:r>
      <w:r w:rsidR="002F2BA3" w:rsidRPr="00677C50">
        <w:rPr>
          <w:rFonts w:asciiTheme="majorBidi" w:hAnsiTheme="majorBidi" w:cstheme="majorBidi"/>
        </w:rPr>
        <w:t xml:space="preserve">, ka </w:t>
      </w:r>
      <w:r w:rsidR="009567ED" w:rsidRPr="00677C50">
        <w:rPr>
          <w:rFonts w:asciiTheme="majorBidi" w:hAnsiTheme="majorBidi" w:cstheme="majorBidi"/>
        </w:rPr>
        <w:t>prokuroru no amata atbrīvo ģenerālprokurors</w:t>
      </w:r>
      <w:r w:rsidR="002F2BA3" w:rsidRPr="00677C50">
        <w:rPr>
          <w:rFonts w:asciiTheme="majorBidi" w:hAnsiTheme="majorBidi" w:cstheme="majorBidi"/>
        </w:rPr>
        <w:t xml:space="preserve"> </w:t>
      </w:r>
      <w:r w:rsidR="00286115" w:rsidRPr="00677C50">
        <w:rPr>
          <w:rFonts w:asciiTheme="majorBidi" w:hAnsiTheme="majorBidi" w:cstheme="majorBidi"/>
        </w:rPr>
        <w:t xml:space="preserve">(41.pants) </w:t>
      </w:r>
      <w:r w:rsidR="002F2BA3" w:rsidRPr="00677C50">
        <w:rPr>
          <w:rFonts w:asciiTheme="majorBidi" w:hAnsiTheme="majorBidi" w:cstheme="majorBidi"/>
        </w:rPr>
        <w:t xml:space="preserve">un </w:t>
      </w:r>
      <w:r w:rsidR="009567ED" w:rsidRPr="00677C50">
        <w:rPr>
          <w:rFonts w:asciiTheme="majorBidi" w:hAnsiTheme="majorBidi" w:cstheme="majorBidi"/>
        </w:rPr>
        <w:t>prokuroru no amata atbrīvo veselības stāvokļa dēļ, ja tas neļauj turpināt prokurora darbu</w:t>
      </w:r>
      <w:r w:rsidR="002F2BA3" w:rsidRPr="00677C50">
        <w:rPr>
          <w:rFonts w:asciiTheme="majorBidi" w:hAnsiTheme="majorBidi" w:cstheme="majorBidi"/>
        </w:rPr>
        <w:t xml:space="preserve"> (39.panta pirmās daļas 3.punkts)</w:t>
      </w:r>
      <w:r w:rsidR="009567ED" w:rsidRPr="00677C50">
        <w:rPr>
          <w:rFonts w:asciiTheme="majorBidi" w:hAnsiTheme="majorBidi" w:cstheme="majorBidi"/>
        </w:rPr>
        <w:t>.</w:t>
      </w:r>
      <w:r w:rsidR="004D57A4" w:rsidRPr="00677C50">
        <w:rPr>
          <w:rFonts w:asciiTheme="majorBidi" w:hAnsiTheme="majorBidi" w:cstheme="majorBidi"/>
        </w:rPr>
        <w:t xml:space="preserve"> Tādējādi tiesa ir secinājusi, ka ģenerālprokurors var pieņemt lēmumu par prokurora atbrīvošanu no amata ne tikai tad, ja ir saņemt</w:t>
      </w:r>
      <w:r w:rsidR="00931868">
        <w:rPr>
          <w:rFonts w:asciiTheme="majorBidi" w:hAnsiTheme="majorBidi" w:cstheme="majorBidi"/>
        </w:rPr>
        <w:t>s</w:t>
      </w:r>
      <w:r w:rsidR="004D57A4" w:rsidRPr="00677C50">
        <w:rPr>
          <w:rFonts w:asciiTheme="majorBidi" w:hAnsiTheme="majorBidi" w:cstheme="majorBidi"/>
        </w:rPr>
        <w:t xml:space="preserve"> komisijas slēdziens par prokurora veselības stāvokli, bet arī tad, ja ir saņemts kāda cita ārsta</w:t>
      </w:r>
      <w:r w:rsidR="005A7449" w:rsidRPr="00677C50">
        <w:rPr>
          <w:rFonts w:asciiTheme="majorBidi" w:hAnsiTheme="majorBidi" w:cstheme="majorBidi"/>
        </w:rPr>
        <w:t xml:space="preserve"> </w:t>
      </w:r>
      <w:r w:rsidR="004D57A4" w:rsidRPr="00677C50">
        <w:rPr>
          <w:rFonts w:asciiTheme="majorBidi" w:hAnsiTheme="majorBidi" w:cstheme="majorBidi"/>
        </w:rPr>
        <w:t>speciālista slēdziens (piemēram, arod</w:t>
      </w:r>
      <w:r w:rsidR="00592365" w:rsidRPr="00677C50">
        <w:rPr>
          <w:rFonts w:asciiTheme="majorBidi" w:hAnsiTheme="majorBidi" w:cstheme="majorBidi"/>
        </w:rPr>
        <w:t xml:space="preserve">slimību </w:t>
      </w:r>
      <w:r w:rsidR="004D57A4" w:rsidRPr="00677C50">
        <w:rPr>
          <w:rFonts w:asciiTheme="majorBidi" w:hAnsiTheme="majorBidi" w:cstheme="majorBidi"/>
        </w:rPr>
        <w:t>ārsta slēdziens)</w:t>
      </w:r>
      <w:r w:rsidR="00A53C54" w:rsidRPr="00677C50">
        <w:rPr>
          <w:rFonts w:asciiTheme="majorBidi" w:hAnsiTheme="majorBidi" w:cstheme="majorBidi"/>
        </w:rPr>
        <w:t>.</w:t>
      </w:r>
    </w:p>
    <w:p w14:paraId="4CE2AB33" w14:textId="6381E113" w:rsidR="00A53C54" w:rsidRPr="00677C50" w:rsidRDefault="00A53C54" w:rsidP="00420DCA">
      <w:pPr>
        <w:spacing w:line="276" w:lineRule="auto"/>
        <w:ind w:firstLine="720"/>
        <w:jc w:val="both"/>
        <w:rPr>
          <w:rFonts w:asciiTheme="majorBidi" w:hAnsiTheme="majorBidi" w:cstheme="majorBidi"/>
        </w:rPr>
      </w:pPr>
      <w:r w:rsidRPr="00677C50">
        <w:rPr>
          <w:rFonts w:asciiTheme="majorBidi" w:hAnsiTheme="majorBidi" w:cstheme="majorBidi"/>
        </w:rPr>
        <w:t xml:space="preserve">Senāts piekrīt tiesai, ka Prokuratūras likums ļauj </w:t>
      </w:r>
      <w:r w:rsidR="001B056C" w:rsidRPr="00677C50">
        <w:rPr>
          <w:rFonts w:asciiTheme="majorBidi" w:hAnsiTheme="majorBidi" w:cstheme="majorBidi"/>
        </w:rPr>
        <w:t xml:space="preserve">ģenerālprokuroram </w:t>
      </w:r>
      <w:r w:rsidRPr="00677C50">
        <w:rPr>
          <w:rFonts w:asciiTheme="majorBidi" w:hAnsiTheme="majorBidi" w:cstheme="majorBidi"/>
        </w:rPr>
        <w:t xml:space="preserve">personu atbrīvot no prokurora amata veselības stāvokļa dēļ arī tad, ja personas veselības stāvokli apliecina kādi citi dokumenti, ne tikai komisijas slēdziens. Tomēr tiesa nav pievērsusi uzmanību tam, ka prokurora atbrīvošana no amata un izdienas pensijas piešķiršana prokuroram nav viens un tas pats. </w:t>
      </w:r>
      <w:r w:rsidR="00034D77" w:rsidRPr="00677C50">
        <w:rPr>
          <w:rFonts w:asciiTheme="majorBidi" w:hAnsiTheme="majorBidi" w:cstheme="majorBidi"/>
        </w:rPr>
        <w:t xml:space="preserve">Prokurora atbrīvošana no amata nav nesaraujami saistīta ar izdienas pensijas piešķiršanu. Jāņem vērā, ka veselības stāvoklis nav vienīgais elements tiesībām uz izdienas pensiju; lai saņemtu izdienas pensiju, nepieciešams arī noteikts izdienas stāžs. Līdz ar to nav nekāda pamata pieņemt, ka katram prokuroram, kas atbrīvots no amata veselības stāvokļa dēļ, automātiska notikumu attīstības gaita ir izdienas pensijas pieprasīšana. </w:t>
      </w:r>
    </w:p>
    <w:p w14:paraId="4F7D4D59" w14:textId="1DE90159" w:rsidR="005123F7" w:rsidRPr="00677C50" w:rsidRDefault="00286115" w:rsidP="00420DCA">
      <w:pPr>
        <w:spacing w:line="276" w:lineRule="auto"/>
        <w:ind w:firstLine="720"/>
        <w:jc w:val="both"/>
        <w:rPr>
          <w:rFonts w:asciiTheme="majorBidi" w:hAnsiTheme="majorBidi" w:cstheme="majorBidi"/>
        </w:rPr>
      </w:pPr>
      <w:r w:rsidRPr="00677C50">
        <w:rPr>
          <w:rFonts w:asciiTheme="majorBidi" w:hAnsiTheme="majorBidi" w:cstheme="majorBidi"/>
        </w:rPr>
        <w:t>Ņemot to vērā, ir pilnībā saprotami, ka likumdevējs prokurora atbrīvošanai no amata var paredzēt plašākas iespējas pamatot veselības stāvokļa neatbilstību prokurora darba</w:t>
      </w:r>
      <w:r w:rsidR="0026548C" w:rsidRPr="00677C50">
        <w:rPr>
          <w:rFonts w:asciiTheme="majorBidi" w:hAnsiTheme="majorBidi" w:cstheme="majorBidi"/>
        </w:rPr>
        <w:t>m</w:t>
      </w:r>
      <w:r w:rsidRPr="00677C50">
        <w:rPr>
          <w:rFonts w:asciiTheme="majorBidi" w:hAnsiTheme="majorBidi" w:cstheme="majorBidi"/>
        </w:rPr>
        <w:t xml:space="preserve">. Savukārt tiesībām uz izdienas pensijas saņemšanu, kas paredz valsts saistības ilgstoši izmaksāt personai maksājumus no budžeta līdzekļiem, </w:t>
      </w:r>
      <w:r w:rsidR="00363CA2" w:rsidRPr="00677C50">
        <w:rPr>
          <w:rFonts w:asciiTheme="majorBidi" w:hAnsiTheme="majorBidi" w:cstheme="majorBidi"/>
        </w:rPr>
        <w:t>likumdevējs</w:t>
      </w:r>
      <w:r w:rsidRPr="00677C50">
        <w:rPr>
          <w:rFonts w:asciiTheme="majorBidi" w:hAnsiTheme="majorBidi" w:cstheme="majorBidi"/>
        </w:rPr>
        <w:t xml:space="preserve"> var izvēlēties prasīt konkrētas valsts institūcijas</w:t>
      </w:r>
      <w:r w:rsidR="00363CA2" w:rsidRPr="00677C50">
        <w:rPr>
          <w:rFonts w:asciiTheme="majorBidi" w:hAnsiTheme="majorBidi" w:cstheme="majorBidi"/>
        </w:rPr>
        <w:t xml:space="preserve"> – koleģiālas ārstu komisijas – </w:t>
      </w:r>
      <w:r w:rsidRPr="00677C50">
        <w:rPr>
          <w:rFonts w:asciiTheme="majorBidi" w:hAnsiTheme="majorBidi" w:cstheme="majorBidi"/>
        </w:rPr>
        <w:t>slēdzienu</w:t>
      </w:r>
      <w:r w:rsidR="00363CA2" w:rsidRPr="00677C50">
        <w:rPr>
          <w:rFonts w:asciiTheme="majorBidi" w:hAnsiTheme="majorBidi" w:cstheme="majorBidi"/>
        </w:rPr>
        <w:t xml:space="preserve"> </w:t>
      </w:r>
      <w:r w:rsidRPr="00677C50">
        <w:rPr>
          <w:rFonts w:asciiTheme="majorBidi" w:hAnsiTheme="majorBidi" w:cstheme="majorBidi"/>
        </w:rPr>
        <w:t>(nevis jebkura ārsta/arod</w:t>
      </w:r>
      <w:r w:rsidR="00592365" w:rsidRPr="00677C50">
        <w:rPr>
          <w:rFonts w:asciiTheme="majorBidi" w:hAnsiTheme="majorBidi" w:cstheme="majorBidi"/>
        </w:rPr>
        <w:t xml:space="preserve">slimību </w:t>
      </w:r>
      <w:r w:rsidRPr="00677C50">
        <w:rPr>
          <w:rFonts w:asciiTheme="majorBidi" w:hAnsiTheme="majorBidi" w:cstheme="majorBidi"/>
        </w:rPr>
        <w:t>ārsta atzinumu).</w:t>
      </w:r>
      <w:r w:rsidR="00363CA2" w:rsidRPr="00677C50">
        <w:rPr>
          <w:rFonts w:asciiTheme="majorBidi" w:hAnsiTheme="majorBidi" w:cstheme="majorBidi"/>
        </w:rPr>
        <w:t xml:space="preserve"> </w:t>
      </w:r>
    </w:p>
    <w:p w14:paraId="12BF4592" w14:textId="7126569A" w:rsidR="00286115" w:rsidRPr="00677C50" w:rsidRDefault="00363CA2" w:rsidP="00420DCA">
      <w:pPr>
        <w:spacing w:line="276" w:lineRule="auto"/>
        <w:ind w:firstLine="720"/>
        <w:jc w:val="both"/>
        <w:rPr>
          <w:rFonts w:asciiTheme="majorBidi" w:hAnsiTheme="majorBidi" w:cstheme="majorBidi"/>
        </w:rPr>
      </w:pPr>
      <w:r w:rsidRPr="00677C50">
        <w:rPr>
          <w:rFonts w:asciiTheme="majorBidi" w:hAnsiTheme="majorBidi" w:cstheme="majorBidi"/>
        </w:rPr>
        <w:t>Tādējādi tas vien, ka Prokuratūras likums prokurora atbrīvošanai no amata veselības stāvokļa dēļ neprasa tieši komisijas slēdzienu, nav pamats uzskatīt, ka Prokuroru izdienas pensiju likuma 2.panta pirmās daļas 2.punkts ir pretrunā Prokuratūras likuma regulējumam par prokurora atbrīvošanu no amata. Prokuratūras likums neregulē prokuroru tiesības uz izdienas pensiju</w:t>
      </w:r>
      <w:r w:rsidR="0026548C" w:rsidRPr="00677C50">
        <w:rPr>
          <w:rFonts w:asciiTheme="majorBidi" w:hAnsiTheme="majorBidi" w:cstheme="majorBidi"/>
        </w:rPr>
        <w:t xml:space="preserve"> un to, kuras ir kompetentās institūcijas </w:t>
      </w:r>
      <w:r w:rsidR="00676137" w:rsidRPr="00677C50">
        <w:rPr>
          <w:rFonts w:asciiTheme="majorBidi" w:hAnsiTheme="majorBidi" w:cstheme="majorBidi"/>
        </w:rPr>
        <w:t xml:space="preserve">tiesību uz </w:t>
      </w:r>
      <w:r w:rsidR="0026548C" w:rsidRPr="00677C50">
        <w:rPr>
          <w:rFonts w:asciiTheme="majorBidi" w:hAnsiTheme="majorBidi" w:cstheme="majorBidi"/>
        </w:rPr>
        <w:t>izdienas pensij</w:t>
      </w:r>
      <w:r w:rsidR="00676137" w:rsidRPr="00677C50">
        <w:rPr>
          <w:rFonts w:asciiTheme="majorBidi" w:hAnsiTheme="majorBidi" w:cstheme="majorBidi"/>
        </w:rPr>
        <w:t>u</w:t>
      </w:r>
      <w:r w:rsidR="0026548C" w:rsidRPr="00677C50">
        <w:rPr>
          <w:rFonts w:asciiTheme="majorBidi" w:hAnsiTheme="majorBidi" w:cstheme="majorBidi"/>
        </w:rPr>
        <w:t xml:space="preserve"> īstenošanā</w:t>
      </w:r>
      <w:r w:rsidRPr="00677C50">
        <w:rPr>
          <w:rFonts w:asciiTheme="majorBidi" w:hAnsiTheme="majorBidi" w:cstheme="majorBidi"/>
        </w:rPr>
        <w:t>; kā norādīts šā likuma 55.pantā, prokuroru izdienas pensiju piešķiršanas pamatu, kā arī izdienas pensiju piešķiršanas, aprēķināšanas un izmaksas kārtību nosaka īpašs likums</w:t>
      </w:r>
      <w:r w:rsidR="005123F7" w:rsidRPr="00677C50">
        <w:rPr>
          <w:rFonts w:asciiTheme="majorBidi" w:hAnsiTheme="majorBidi" w:cstheme="majorBidi"/>
        </w:rPr>
        <w:t xml:space="preserve"> (Prokuroru izdienas pensij</w:t>
      </w:r>
      <w:r w:rsidR="00256FA1">
        <w:rPr>
          <w:rFonts w:asciiTheme="majorBidi" w:hAnsiTheme="majorBidi" w:cstheme="majorBidi"/>
        </w:rPr>
        <w:t>u</w:t>
      </w:r>
      <w:r w:rsidR="005123F7" w:rsidRPr="00677C50">
        <w:rPr>
          <w:rFonts w:asciiTheme="majorBidi" w:hAnsiTheme="majorBidi" w:cstheme="majorBidi"/>
        </w:rPr>
        <w:t xml:space="preserve"> likums)</w:t>
      </w:r>
      <w:r w:rsidRPr="00677C50">
        <w:rPr>
          <w:rFonts w:asciiTheme="majorBidi" w:hAnsiTheme="majorBidi" w:cstheme="majorBidi"/>
        </w:rPr>
        <w:t xml:space="preserve">. </w:t>
      </w:r>
    </w:p>
    <w:p w14:paraId="0D7D4EDF" w14:textId="77777777" w:rsidR="009567ED" w:rsidRPr="00677C50" w:rsidRDefault="009567ED" w:rsidP="00420DCA">
      <w:pPr>
        <w:spacing w:line="276" w:lineRule="auto"/>
        <w:ind w:firstLine="720"/>
        <w:jc w:val="both"/>
        <w:rPr>
          <w:rFonts w:asciiTheme="majorBidi" w:hAnsiTheme="majorBidi" w:cstheme="majorBidi"/>
        </w:rPr>
      </w:pPr>
    </w:p>
    <w:p w14:paraId="7C545769" w14:textId="3B4BB015" w:rsidR="0015564F" w:rsidRPr="00677C50" w:rsidRDefault="009567ED" w:rsidP="00420DCA">
      <w:pPr>
        <w:spacing w:line="276" w:lineRule="auto"/>
        <w:ind w:firstLine="720"/>
        <w:jc w:val="both"/>
        <w:rPr>
          <w:rFonts w:asciiTheme="majorBidi" w:hAnsiTheme="majorBidi" w:cstheme="majorBidi"/>
        </w:rPr>
      </w:pPr>
      <w:r w:rsidRPr="00677C50">
        <w:rPr>
          <w:rFonts w:asciiTheme="majorBidi" w:hAnsiTheme="majorBidi" w:cstheme="majorBidi"/>
        </w:rPr>
        <w:t>[</w:t>
      </w:r>
      <w:r w:rsidR="005123F7" w:rsidRPr="00677C50">
        <w:rPr>
          <w:rFonts w:asciiTheme="majorBidi" w:hAnsiTheme="majorBidi" w:cstheme="majorBidi"/>
        </w:rPr>
        <w:t>1</w:t>
      </w:r>
      <w:r w:rsidR="0085012E">
        <w:rPr>
          <w:rFonts w:asciiTheme="majorBidi" w:hAnsiTheme="majorBidi" w:cstheme="majorBidi"/>
        </w:rPr>
        <w:t>6</w:t>
      </w:r>
      <w:r w:rsidRPr="00677C50">
        <w:rPr>
          <w:rFonts w:asciiTheme="majorBidi" w:hAnsiTheme="majorBidi" w:cstheme="majorBidi"/>
        </w:rPr>
        <w:t xml:space="preserve">] </w:t>
      </w:r>
      <w:r w:rsidR="005123F7" w:rsidRPr="00677C50">
        <w:rPr>
          <w:rFonts w:asciiTheme="majorBidi" w:hAnsiTheme="majorBidi" w:cstheme="majorBidi"/>
        </w:rPr>
        <w:t xml:space="preserve">Tiesa būtisku nozīmi piešķīrusi arī tam, ka </w:t>
      </w:r>
      <w:r w:rsidR="001B056C" w:rsidRPr="00677C50">
        <w:rPr>
          <w:rFonts w:asciiTheme="majorBidi" w:hAnsiTheme="majorBidi" w:cstheme="majorBidi"/>
        </w:rPr>
        <w:t xml:space="preserve">atbilstoši Obligātās veselības pārbaudes noteikumu 42.–47.punktam </w:t>
      </w:r>
      <w:r w:rsidR="00592365" w:rsidRPr="00677C50">
        <w:rPr>
          <w:rFonts w:asciiTheme="majorBidi" w:hAnsiTheme="majorBidi" w:cstheme="majorBidi"/>
        </w:rPr>
        <w:t xml:space="preserve">atzinumu par personas veselības stāvokļa atbilstību veicamajam darbam obligātās veselības pārbaudes rezultātā var sniegt arodslimību ārsts. Vienlaikus tiesa nav pamatojusi, kāpēc tas, ka vispārīgi atzinumu par darbinieku veselības stāvokļa atbilstību veicamajam darbam var sniegt arī arodslimību ārsts, izslēdz likumdevēja tiesības izvēlēties tiesību uz izdienas pensiju īstenošanas vajadzībām prasīt </w:t>
      </w:r>
      <w:r w:rsidR="00676137" w:rsidRPr="00677C50">
        <w:rPr>
          <w:rFonts w:asciiTheme="majorBidi" w:hAnsiTheme="majorBidi" w:cstheme="majorBidi"/>
        </w:rPr>
        <w:t xml:space="preserve">tieši </w:t>
      </w:r>
      <w:r w:rsidR="00592365" w:rsidRPr="00677C50">
        <w:rPr>
          <w:rFonts w:asciiTheme="majorBidi" w:hAnsiTheme="majorBidi" w:cstheme="majorBidi"/>
        </w:rPr>
        <w:t xml:space="preserve">konkrētas institūcijas atzinumu. </w:t>
      </w:r>
      <w:r w:rsidR="00280C60" w:rsidRPr="00677C50">
        <w:rPr>
          <w:rFonts w:asciiTheme="majorBidi" w:hAnsiTheme="majorBidi" w:cstheme="majorBidi"/>
        </w:rPr>
        <w:t xml:space="preserve">Šajā sakarā papildus </w:t>
      </w:r>
      <w:r w:rsidR="00676137" w:rsidRPr="00677C50">
        <w:rPr>
          <w:rFonts w:asciiTheme="majorBidi" w:hAnsiTheme="majorBidi" w:cstheme="majorBidi"/>
        </w:rPr>
        <w:t xml:space="preserve">arī </w:t>
      </w:r>
      <w:r w:rsidR="00280C60" w:rsidRPr="00677C50">
        <w:rPr>
          <w:rFonts w:asciiTheme="majorBidi" w:hAnsiTheme="majorBidi" w:cstheme="majorBidi"/>
        </w:rPr>
        <w:t xml:space="preserve">norādāms, ka tad, kad Prokuroru izdienas pensiju likuma 2.panta pirmās daļas 2.punkta norma tika </w:t>
      </w:r>
      <w:r w:rsidR="00EF075A" w:rsidRPr="00677C50">
        <w:rPr>
          <w:rFonts w:asciiTheme="majorBidi" w:hAnsiTheme="majorBidi" w:cstheme="majorBidi"/>
        </w:rPr>
        <w:t>ieviesta</w:t>
      </w:r>
      <w:r w:rsidR="00280C60" w:rsidRPr="00677C50">
        <w:rPr>
          <w:rFonts w:asciiTheme="majorBidi" w:hAnsiTheme="majorBidi" w:cstheme="majorBidi"/>
        </w:rPr>
        <w:t xml:space="preserve"> (likum</w:t>
      </w:r>
      <w:r w:rsidR="00EF075A" w:rsidRPr="00677C50">
        <w:rPr>
          <w:rFonts w:asciiTheme="majorBidi" w:hAnsiTheme="majorBidi" w:cstheme="majorBidi"/>
        </w:rPr>
        <w:t>s tika pieņemts 1999.gada 13.maijā, stājās spēkā 2000.gada 1.janvārī)</w:t>
      </w:r>
      <w:r w:rsidR="00280C60" w:rsidRPr="00677C50">
        <w:rPr>
          <w:rFonts w:asciiTheme="majorBidi" w:hAnsiTheme="majorBidi" w:cstheme="majorBidi"/>
        </w:rPr>
        <w:t xml:space="preserve">, </w:t>
      </w:r>
      <w:r w:rsidR="00EF075A" w:rsidRPr="00677C50">
        <w:rPr>
          <w:rFonts w:asciiTheme="majorBidi" w:hAnsiTheme="majorBidi" w:cstheme="majorBidi"/>
        </w:rPr>
        <w:t>tiesiskais regulējums jau paredzēja, ka s</w:t>
      </w:r>
      <w:r w:rsidR="00280C60" w:rsidRPr="00677C50">
        <w:rPr>
          <w:rFonts w:asciiTheme="majorBidi" w:hAnsiTheme="majorBidi" w:cstheme="majorBidi"/>
        </w:rPr>
        <w:t xml:space="preserve">lēdzienu par personas veselības stāvokļa atbilstību veicamajam darbam obligātās veselības pārbaudes ietvaros </w:t>
      </w:r>
      <w:r w:rsidR="00EF075A" w:rsidRPr="00677C50">
        <w:rPr>
          <w:rFonts w:asciiTheme="majorBidi" w:hAnsiTheme="majorBidi" w:cstheme="majorBidi"/>
        </w:rPr>
        <w:t>var sniegt arī arodslimību ārsts (</w:t>
      </w:r>
      <w:r w:rsidR="00280C60" w:rsidRPr="00677C50">
        <w:rPr>
          <w:rFonts w:asciiTheme="majorBidi" w:hAnsiTheme="majorBidi" w:cstheme="majorBidi"/>
        </w:rPr>
        <w:t>Labklājības ministrijas 1998.gada 12.janvāra rīkojum</w:t>
      </w:r>
      <w:r w:rsidR="00EF075A" w:rsidRPr="00677C50">
        <w:rPr>
          <w:rFonts w:asciiTheme="majorBidi" w:hAnsiTheme="majorBidi" w:cstheme="majorBidi"/>
        </w:rPr>
        <w:t>a</w:t>
      </w:r>
      <w:r w:rsidR="00280C60" w:rsidRPr="00677C50">
        <w:rPr>
          <w:rFonts w:asciiTheme="majorBidi" w:hAnsiTheme="majorBidi" w:cstheme="majorBidi"/>
        </w:rPr>
        <w:t xml:space="preserve"> Nr.</w:t>
      </w:r>
      <w:r w:rsidR="00931868">
        <w:rPr>
          <w:rFonts w:asciiTheme="majorBidi" w:hAnsiTheme="majorBidi" w:cstheme="majorBidi"/>
        </w:rPr>
        <w:t> </w:t>
      </w:r>
      <w:r w:rsidR="00280C60" w:rsidRPr="00677C50">
        <w:rPr>
          <w:rFonts w:asciiTheme="majorBidi" w:hAnsiTheme="majorBidi" w:cstheme="majorBidi"/>
        </w:rPr>
        <w:t>8 „Par obligāto veselības pārbaužu veikšanas kārtību”</w:t>
      </w:r>
      <w:r w:rsidR="00EF075A" w:rsidRPr="00677C50">
        <w:rPr>
          <w:rFonts w:asciiTheme="majorBidi" w:hAnsiTheme="majorBidi" w:cstheme="majorBidi"/>
        </w:rPr>
        <w:t xml:space="preserve"> 10.punkts)</w:t>
      </w:r>
      <w:r w:rsidR="00280C60" w:rsidRPr="00677C50">
        <w:rPr>
          <w:rFonts w:asciiTheme="majorBidi" w:hAnsiTheme="majorBidi" w:cstheme="majorBidi"/>
        </w:rPr>
        <w:t xml:space="preserve">. </w:t>
      </w:r>
      <w:r w:rsidR="00EF075A" w:rsidRPr="00677C50">
        <w:rPr>
          <w:rFonts w:asciiTheme="majorBidi" w:hAnsiTheme="majorBidi" w:cstheme="majorBidi"/>
        </w:rPr>
        <w:t>Neskatoties uz to, likumdevējs toreiz izšķīrās noteikt</w:t>
      </w:r>
      <w:r w:rsidR="000F1E79">
        <w:rPr>
          <w:rFonts w:asciiTheme="majorBidi" w:hAnsiTheme="majorBidi" w:cstheme="majorBidi"/>
        </w:rPr>
        <w:t xml:space="preserve"> (un joprojām ir noteicis)</w:t>
      </w:r>
      <w:r w:rsidR="00EF075A" w:rsidRPr="00677C50">
        <w:rPr>
          <w:rFonts w:asciiTheme="majorBidi" w:hAnsiTheme="majorBidi" w:cstheme="majorBidi"/>
        </w:rPr>
        <w:t>, ka izdienas pensijas pieprasīšanai nepieciešams komisijas slēdziens.</w:t>
      </w:r>
    </w:p>
    <w:p w14:paraId="6F5ABE4A" w14:textId="77777777" w:rsidR="00CB30D0" w:rsidRPr="00677C50" w:rsidRDefault="00592365" w:rsidP="00420DCA">
      <w:pPr>
        <w:spacing w:line="276" w:lineRule="auto"/>
        <w:ind w:firstLine="720"/>
        <w:jc w:val="both"/>
        <w:rPr>
          <w:rFonts w:asciiTheme="majorBidi" w:hAnsiTheme="majorBidi" w:cstheme="majorBidi"/>
        </w:rPr>
      </w:pPr>
      <w:r w:rsidRPr="00677C50">
        <w:rPr>
          <w:rFonts w:asciiTheme="majorBidi" w:hAnsiTheme="majorBidi" w:cstheme="majorBidi"/>
        </w:rPr>
        <w:t>Būtībā tiesa, ievērojot Obligātās veselības pārbaudes noteikumos paredzēto arodslimību ārstu kompetenci, ir pieņēmusi, ka būtu saprātīgi, ja izdienas pensijas piešķiršanai pietiktu ar arodslimību ārsta atzinumu. Tomēr</w:t>
      </w:r>
      <w:r w:rsidR="00D20921" w:rsidRPr="00677C50">
        <w:rPr>
          <w:rFonts w:asciiTheme="majorBidi" w:hAnsiTheme="majorBidi" w:cstheme="majorBidi"/>
        </w:rPr>
        <w:t xml:space="preserve"> tas pats par sevi nevar būt iemesls atzīt, ka līdz ar to komisijai nav tā kompetence, kas tai tieši piešķirta Prokuroru izdienas pensiju likuma 2.panta pirmās daļas 2.punktā. </w:t>
      </w:r>
    </w:p>
    <w:p w14:paraId="6BCC6480" w14:textId="0DBEB754" w:rsidR="00F100AA" w:rsidRPr="00677C50" w:rsidRDefault="00D20921" w:rsidP="00420DCA">
      <w:pPr>
        <w:spacing w:line="276" w:lineRule="auto"/>
        <w:ind w:firstLine="720"/>
        <w:jc w:val="both"/>
        <w:rPr>
          <w:rFonts w:asciiTheme="majorBidi" w:hAnsiTheme="majorBidi" w:cstheme="majorBidi"/>
        </w:rPr>
      </w:pPr>
      <w:r w:rsidRPr="00677C50">
        <w:rPr>
          <w:rFonts w:asciiTheme="majorBidi" w:hAnsiTheme="majorBidi" w:cstheme="majorBidi"/>
        </w:rPr>
        <w:t>Tieši komisijas kompetence, nevis iespēja tiesību uz izdienas pensiju pamatošanai izmantot arodslimību ārsta atzinumu, ir izskatāmajā lietā izšķiramais jautājums.</w:t>
      </w:r>
      <w:r w:rsidR="0015564F" w:rsidRPr="00677C50">
        <w:rPr>
          <w:rFonts w:asciiTheme="majorBidi" w:hAnsiTheme="majorBidi" w:cstheme="majorBidi"/>
        </w:rPr>
        <w:t xml:space="preserve"> Pieteicēja nav prasījusi tai piešķirt izdienas pensiju, pamatojoties uz arodslimību ārsta atzinumu. Līdz ar to Senāts nesaskata pamatu izskatāmajā lietā pievērsties jautājumam, vai varētu būt pieļaujams atzīt </w:t>
      </w:r>
      <w:r w:rsidR="00676137" w:rsidRPr="00677C50">
        <w:rPr>
          <w:rFonts w:asciiTheme="majorBidi" w:hAnsiTheme="majorBidi" w:cstheme="majorBidi"/>
        </w:rPr>
        <w:t xml:space="preserve">prokurora </w:t>
      </w:r>
      <w:r w:rsidR="0015564F" w:rsidRPr="00677C50">
        <w:rPr>
          <w:rFonts w:asciiTheme="majorBidi" w:hAnsiTheme="majorBidi" w:cstheme="majorBidi"/>
        </w:rPr>
        <w:t>tiesības uz izdienas pensiju gadījumā, ja persona nav saņēmusi komisijas slēdzienu, bet tā vietā – arodslimību ārsta atzinumu par veselības stāvokļa atbilstību veicamajam</w:t>
      </w:r>
      <w:r w:rsidR="009644F3">
        <w:rPr>
          <w:rFonts w:asciiTheme="majorBidi" w:hAnsiTheme="majorBidi" w:cstheme="majorBidi"/>
        </w:rPr>
        <w:t xml:space="preserve"> darbam</w:t>
      </w:r>
      <w:r w:rsidR="0015564F" w:rsidRPr="00677C50">
        <w:rPr>
          <w:rFonts w:asciiTheme="majorBidi" w:hAnsiTheme="majorBidi" w:cstheme="majorBidi"/>
        </w:rPr>
        <w:t>. Jebkurā gadījumā tas, ka zemāka juridiskā spēka normatīvajā aktā – Obligātās veselības pārbaudes noteikumos – ir paredzēta arī arodslimību ārsta kompetence sniegt atzinumu par personas veselības stāvokļa atbilstību veicamajam darbam, nevar izslēgt Prokuroru izdienas pensiju likumā tieši paredzētu komisijas kompetenci.</w:t>
      </w:r>
    </w:p>
    <w:p w14:paraId="60969707" w14:textId="77777777" w:rsidR="00592365" w:rsidRPr="00677C50" w:rsidRDefault="00592365" w:rsidP="00420DCA">
      <w:pPr>
        <w:spacing w:line="276" w:lineRule="auto"/>
        <w:ind w:firstLine="720"/>
        <w:jc w:val="both"/>
        <w:rPr>
          <w:rFonts w:asciiTheme="majorBidi" w:hAnsiTheme="majorBidi" w:cstheme="majorBidi"/>
        </w:rPr>
      </w:pPr>
    </w:p>
    <w:p w14:paraId="3F675044" w14:textId="513BD8CE" w:rsidR="003371DF" w:rsidRPr="00677C50" w:rsidRDefault="00F100AA" w:rsidP="00420DCA">
      <w:pPr>
        <w:spacing w:line="276" w:lineRule="auto"/>
        <w:ind w:firstLine="720"/>
        <w:jc w:val="both"/>
        <w:rPr>
          <w:rFonts w:asciiTheme="majorBidi" w:hAnsiTheme="majorBidi" w:cstheme="majorBidi"/>
        </w:rPr>
      </w:pPr>
      <w:r w:rsidRPr="00677C50">
        <w:rPr>
          <w:rFonts w:asciiTheme="majorBidi" w:hAnsiTheme="majorBidi" w:cstheme="majorBidi"/>
        </w:rPr>
        <w:t>[</w:t>
      </w:r>
      <w:r w:rsidR="005123F7" w:rsidRPr="00677C50">
        <w:rPr>
          <w:rFonts w:asciiTheme="majorBidi" w:hAnsiTheme="majorBidi" w:cstheme="majorBidi"/>
        </w:rPr>
        <w:t>1</w:t>
      </w:r>
      <w:r w:rsidR="0085012E">
        <w:rPr>
          <w:rFonts w:asciiTheme="majorBidi" w:hAnsiTheme="majorBidi" w:cstheme="majorBidi"/>
        </w:rPr>
        <w:t>7</w:t>
      </w:r>
      <w:r w:rsidRPr="00677C50">
        <w:rPr>
          <w:rFonts w:asciiTheme="majorBidi" w:hAnsiTheme="majorBidi" w:cstheme="majorBidi"/>
        </w:rPr>
        <w:t>] Apkopojot minēt</w:t>
      </w:r>
      <w:r w:rsidR="0015564F" w:rsidRPr="00677C50">
        <w:rPr>
          <w:rFonts w:asciiTheme="majorBidi" w:hAnsiTheme="majorBidi" w:cstheme="majorBidi"/>
        </w:rPr>
        <w:t>o</w:t>
      </w:r>
      <w:r w:rsidRPr="00677C50">
        <w:rPr>
          <w:rFonts w:asciiTheme="majorBidi" w:hAnsiTheme="majorBidi" w:cstheme="majorBidi"/>
        </w:rPr>
        <w:t xml:space="preserve">, Senāts atzīst, ka apgabaltiesa ir kļūdaini atzinusi, ka tiesību normas nenoteic komisijas kompetenci ārpus invaliditātes noteikšanas procesa sniegt slēdzienu (atzinumu) par to, vai personas veselības stāvoklis ļauj turpināt darbu </w:t>
      </w:r>
      <w:r w:rsidR="005A7449" w:rsidRPr="00677C50">
        <w:rPr>
          <w:rFonts w:asciiTheme="majorBidi" w:hAnsiTheme="majorBidi" w:cstheme="majorBidi"/>
        </w:rPr>
        <w:t xml:space="preserve">prokurora </w:t>
      </w:r>
      <w:r w:rsidRPr="00677C50">
        <w:rPr>
          <w:rFonts w:asciiTheme="majorBidi" w:hAnsiTheme="majorBidi" w:cstheme="majorBidi"/>
        </w:rPr>
        <w:t xml:space="preserve">amatā. Šāda kompetence komisijai ir tieši noteikta Prokuroru izdienas pensiju likuma 2.panta pirmās daļas 2.punktā. </w:t>
      </w:r>
    </w:p>
    <w:p w14:paraId="1ED484E5" w14:textId="403B5B64" w:rsidR="001C0E15" w:rsidRPr="00677C50" w:rsidRDefault="00F100AA" w:rsidP="00420DCA">
      <w:pPr>
        <w:spacing w:line="276" w:lineRule="auto"/>
        <w:ind w:firstLine="720"/>
        <w:jc w:val="both"/>
        <w:rPr>
          <w:rFonts w:asciiTheme="majorBidi" w:hAnsiTheme="majorBidi" w:cstheme="majorBidi"/>
        </w:rPr>
      </w:pPr>
      <w:r w:rsidRPr="00677C50">
        <w:rPr>
          <w:rFonts w:asciiTheme="majorBidi" w:hAnsiTheme="majorBidi" w:cstheme="majorBidi"/>
        </w:rPr>
        <w:t>Tas, ka iestāžu un tiesas ieskatā būtu lietderīgāk</w:t>
      </w:r>
      <w:r w:rsidR="003371DF" w:rsidRPr="00677C50">
        <w:rPr>
          <w:rFonts w:asciiTheme="majorBidi" w:hAnsiTheme="majorBidi" w:cstheme="majorBidi"/>
        </w:rPr>
        <w:t xml:space="preserve"> vai efektīvāk</w:t>
      </w:r>
      <w:r w:rsidRPr="00677C50">
        <w:rPr>
          <w:rFonts w:asciiTheme="majorBidi" w:hAnsiTheme="majorBidi" w:cstheme="majorBidi"/>
        </w:rPr>
        <w:t xml:space="preserve">, </w:t>
      </w:r>
      <w:r w:rsidR="003371DF" w:rsidRPr="00677C50">
        <w:rPr>
          <w:rFonts w:asciiTheme="majorBidi" w:hAnsiTheme="majorBidi" w:cstheme="majorBidi"/>
        </w:rPr>
        <w:t>ja</w:t>
      </w:r>
      <w:r w:rsidRPr="00677C50">
        <w:rPr>
          <w:rFonts w:asciiTheme="majorBidi" w:hAnsiTheme="majorBidi" w:cstheme="majorBidi"/>
        </w:rPr>
        <w:t xml:space="preserve"> komisija nodarbo</w:t>
      </w:r>
      <w:r w:rsidR="003371DF" w:rsidRPr="00677C50">
        <w:rPr>
          <w:rFonts w:asciiTheme="majorBidi" w:hAnsiTheme="majorBidi" w:cstheme="majorBidi"/>
        </w:rPr>
        <w:t>tos</w:t>
      </w:r>
      <w:r w:rsidRPr="00677C50">
        <w:rPr>
          <w:rFonts w:asciiTheme="majorBidi" w:hAnsiTheme="majorBidi" w:cstheme="majorBidi"/>
        </w:rPr>
        <w:t xml:space="preserve"> tikai ar invaliditātes un prognozētas invaliditātes noteikšanu un atzinumu par personas veselības stāvokli izdienas pensijas pieprasīšanas vajadzībām varētu sniegt arod</w:t>
      </w:r>
      <w:r w:rsidR="003371DF" w:rsidRPr="00677C50">
        <w:rPr>
          <w:rFonts w:asciiTheme="majorBidi" w:hAnsiTheme="majorBidi" w:cstheme="majorBidi"/>
        </w:rPr>
        <w:t xml:space="preserve">slimību </w:t>
      </w:r>
      <w:r w:rsidRPr="00677C50">
        <w:rPr>
          <w:rFonts w:asciiTheme="majorBidi" w:hAnsiTheme="majorBidi" w:cstheme="majorBidi"/>
        </w:rPr>
        <w:t xml:space="preserve">ārsti, nevar būt attaisnojums </w:t>
      </w:r>
      <w:r w:rsidR="003371DF" w:rsidRPr="00677C50">
        <w:rPr>
          <w:rFonts w:asciiTheme="majorBidi" w:hAnsiTheme="majorBidi" w:cstheme="majorBidi"/>
        </w:rPr>
        <w:t xml:space="preserve">komisijai nepildīt tai </w:t>
      </w:r>
      <w:r w:rsidRPr="00677C50">
        <w:rPr>
          <w:rFonts w:asciiTheme="majorBidi" w:hAnsiTheme="majorBidi" w:cstheme="majorBidi"/>
        </w:rPr>
        <w:t>likumā tieši noteikt</w:t>
      </w:r>
      <w:r w:rsidR="003371DF" w:rsidRPr="00677C50">
        <w:rPr>
          <w:rFonts w:asciiTheme="majorBidi" w:hAnsiTheme="majorBidi" w:cstheme="majorBidi"/>
        </w:rPr>
        <w:t>u</w:t>
      </w:r>
      <w:r w:rsidRPr="00677C50">
        <w:rPr>
          <w:rFonts w:asciiTheme="majorBidi" w:hAnsiTheme="majorBidi" w:cstheme="majorBidi"/>
        </w:rPr>
        <w:t xml:space="preserve"> kompetenci. </w:t>
      </w:r>
      <w:r w:rsidR="005A7449" w:rsidRPr="00677C50">
        <w:rPr>
          <w:rFonts w:asciiTheme="majorBidi" w:hAnsiTheme="majorBidi" w:cstheme="majorBidi"/>
        </w:rPr>
        <w:t>N</w:t>
      </w:r>
      <w:r w:rsidRPr="00677C50">
        <w:rPr>
          <w:rFonts w:asciiTheme="majorBidi" w:hAnsiTheme="majorBidi" w:cstheme="majorBidi"/>
        </w:rPr>
        <w:t>e iestādes, ne tiesa nevar ignorēt</w:t>
      </w:r>
      <w:r w:rsidR="005A7449" w:rsidRPr="00677C50">
        <w:rPr>
          <w:rFonts w:asciiTheme="majorBidi" w:hAnsiTheme="majorBidi" w:cstheme="majorBidi"/>
        </w:rPr>
        <w:t xml:space="preserve"> likumā skaidri noteikto.</w:t>
      </w:r>
      <w:r w:rsidRPr="00677C50">
        <w:rPr>
          <w:rFonts w:asciiTheme="majorBidi" w:hAnsiTheme="majorBidi" w:cstheme="majorBidi"/>
        </w:rPr>
        <w:t xml:space="preserve"> </w:t>
      </w:r>
    </w:p>
    <w:p w14:paraId="7E56C300" w14:textId="77777777" w:rsidR="00D500C8" w:rsidRPr="00677C50" w:rsidRDefault="00D500C8" w:rsidP="00420DCA">
      <w:pPr>
        <w:spacing w:line="276" w:lineRule="auto"/>
        <w:ind w:firstLine="720"/>
        <w:jc w:val="both"/>
        <w:rPr>
          <w:rFonts w:asciiTheme="majorBidi" w:hAnsiTheme="majorBidi" w:cstheme="majorBidi"/>
        </w:rPr>
      </w:pPr>
    </w:p>
    <w:p w14:paraId="196F7E46" w14:textId="277C2D4B" w:rsidR="00D500C8" w:rsidRPr="00677C50" w:rsidRDefault="00D500C8" w:rsidP="00420DCA">
      <w:pPr>
        <w:spacing w:line="276" w:lineRule="auto"/>
        <w:ind w:firstLine="720"/>
        <w:jc w:val="both"/>
        <w:rPr>
          <w:rFonts w:asciiTheme="majorBidi" w:hAnsiTheme="majorBidi" w:cstheme="majorBidi"/>
        </w:rPr>
      </w:pPr>
      <w:r w:rsidRPr="00677C50">
        <w:rPr>
          <w:rFonts w:asciiTheme="majorBidi" w:hAnsiTheme="majorBidi" w:cstheme="majorBidi"/>
        </w:rPr>
        <w:t>[1</w:t>
      </w:r>
      <w:r w:rsidR="0085012E">
        <w:rPr>
          <w:rFonts w:asciiTheme="majorBidi" w:hAnsiTheme="majorBidi" w:cstheme="majorBidi"/>
        </w:rPr>
        <w:t>8</w:t>
      </w:r>
      <w:r w:rsidRPr="00677C50">
        <w:rPr>
          <w:rFonts w:asciiTheme="majorBidi" w:hAnsiTheme="majorBidi" w:cstheme="majorBidi"/>
        </w:rPr>
        <w:t>] Ņemot vērā, ka tiesa pieteicējas pieteikumu noraidījusi tādēļ, ka kļūdaini nav atzinusi komisijas kompetenci sniegt slēdzienu par personas veselības stāvokļa atbilstību prokurora amata pienākumu pildīšanai, tiesas spriedums ir atceļams un lieta nododama jaunai izskatīšanai apelācijas instances tiesā.</w:t>
      </w:r>
    </w:p>
    <w:p w14:paraId="0B1B20B8" w14:textId="77777777" w:rsidR="00ED45BB" w:rsidRPr="00677C50" w:rsidRDefault="00ED45BB" w:rsidP="00420DCA">
      <w:pPr>
        <w:pStyle w:val="ATvirsraksts"/>
        <w:rPr>
          <w:rFonts w:asciiTheme="majorBidi" w:hAnsiTheme="majorBidi" w:cstheme="majorBidi"/>
        </w:rPr>
      </w:pPr>
    </w:p>
    <w:p w14:paraId="2AC2E3B3" w14:textId="77777777" w:rsidR="00ED45BB" w:rsidRPr="00677C50" w:rsidRDefault="00ED45BB" w:rsidP="00420DCA">
      <w:pPr>
        <w:pStyle w:val="ATvirsraksts"/>
        <w:rPr>
          <w:rFonts w:asciiTheme="majorBidi" w:hAnsiTheme="majorBidi" w:cstheme="majorBidi"/>
        </w:rPr>
      </w:pPr>
      <w:r w:rsidRPr="00677C50">
        <w:rPr>
          <w:rFonts w:asciiTheme="majorBidi" w:hAnsiTheme="majorBidi" w:cstheme="majorBidi"/>
        </w:rPr>
        <w:t>Rezolutīvā daļa</w:t>
      </w:r>
    </w:p>
    <w:p w14:paraId="11A60DFE" w14:textId="77777777" w:rsidR="00ED45BB" w:rsidRPr="00677C50" w:rsidRDefault="00ED45BB" w:rsidP="00420DCA">
      <w:pPr>
        <w:spacing w:line="276" w:lineRule="auto"/>
        <w:ind w:firstLine="567"/>
        <w:jc w:val="both"/>
        <w:rPr>
          <w:rFonts w:asciiTheme="majorBidi" w:hAnsiTheme="majorBidi" w:cstheme="majorBidi"/>
        </w:rPr>
      </w:pPr>
    </w:p>
    <w:p w14:paraId="520F63BF" w14:textId="77777777" w:rsidR="0026548C" w:rsidRPr="00677C50" w:rsidRDefault="0026548C" w:rsidP="00420DCA">
      <w:pPr>
        <w:shd w:val="clear" w:color="auto" w:fill="FFFFFF"/>
        <w:spacing w:line="276" w:lineRule="auto"/>
        <w:ind w:firstLine="720"/>
        <w:jc w:val="both"/>
        <w:rPr>
          <w:rFonts w:asciiTheme="majorBidi" w:hAnsiTheme="majorBidi" w:cstheme="majorBidi"/>
        </w:rPr>
      </w:pPr>
      <w:r w:rsidRPr="00677C50">
        <w:rPr>
          <w:rFonts w:asciiTheme="majorBidi" w:hAnsiTheme="majorBidi" w:cstheme="majorBidi"/>
        </w:rPr>
        <w:t xml:space="preserve">Pamatojoties uz </w:t>
      </w:r>
      <w:r w:rsidRPr="00677C50">
        <w:rPr>
          <w:rFonts w:asciiTheme="majorBidi" w:eastAsiaTheme="minorHAnsi" w:hAnsiTheme="majorBidi" w:cstheme="majorBidi"/>
          <w:lang w:eastAsia="en-US"/>
        </w:rPr>
        <w:t>Administratīvā procesa likuma 129.</w:t>
      </w:r>
      <w:r w:rsidRPr="00677C50">
        <w:rPr>
          <w:rFonts w:asciiTheme="majorBidi" w:eastAsiaTheme="minorHAnsi" w:hAnsiTheme="majorBidi" w:cstheme="majorBidi"/>
          <w:vertAlign w:val="superscript"/>
          <w:lang w:eastAsia="en-US"/>
        </w:rPr>
        <w:t>1</w:t>
      </w:r>
      <w:r w:rsidRPr="00677C50">
        <w:rPr>
          <w:rFonts w:asciiTheme="majorBidi" w:eastAsiaTheme="minorHAnsi" w:hAnsiTheme="majorBidi" w:cstheme="majorBidi"/>
          <w:lang w:eastAsia="en-US"/>
        </w:rPr>
        <w:t>panta pirmās daļas 1.punktu, 348.panta pirmās daļas 2.punktu un 351.pantu</w:t>
      </w:r>
      <w:r w:rsidRPr="00677C50">
        <w:rPr>
          <w:rFonts w:asciiTheme="majorBidi" w:hAnsiTheme="majorBidi" w:cstheme="majorBidi"/>
        </w:rPr>
        <w:t>, Senāts</w:t>
      </w:r>
    </w:p>
    <w:p w14:paraId="2A12D41B" w14:textId="77777777" w:rsidR="00ED45BB" w:rsidRPr="00677C50" w:rsidRDefault="00ED45BB" w:rsidP="00420DCA">
      <w:pPr>
        <w:keepNext/>
        <w:spacing w:line="276" w:lineRule="auto"/>
        <w:jc w:val="center"/>
        <w:rPr>
          <w:rFonts w:asciiTheme="majorBidi" w:hAnsiTheme="majorBidi" w:cstheme="majorBidi"/>
          <w:b/>
        </w:rPr>
      </w:pPr>
    </w:p>
    <w:p w14:paraId="2F5FE3BB" w14:textId="77777777" w:rsidR="00ED45BB" w:rsidRPr="001353CF" w:rsidRDefault="00ED45BB" w:rsidP="00420DCA">
      <w:pPr>
        <w:keepNext/>
        <w:spacing w:line="276" w:lineRule="auto"/>
        <w:jc w:val="center"/>
        <w:rPr>
          <w:rFonts w:asciiTheme="majorBidi" w:hAnsiTheme="majorBidi" w:cstheme="majorBidi"/>
          <w:b/>
          <w:color w:val="000000" w:themeColor="text1"/>
        </w:rPr>
      </w:pPr>
      <w:r w:rsidRPr="001353CF">
        <w:rPr>
          <w:rFonts w:asciiTheme="majorBidi" w:hAnsiTheme="majorBidi" w:cstheme="majorBidi"/>
          <w:b/>
          <w:color w:val="000000" w:themeColor="text1"/>
        </w:rPr>
        <w:t>nosprieda</w:t>
      </w:r>
    </w:p>
    <w:p w14:paraId="0CB04132" w14:textId="77777777" w:rsidR="00ED45BB" w:rsidRPr="001353CF" w:rsidRDefault="00ED45BB" w:rsidP="00420DCA">
      <w:pPr>
        <w:keepNext/>
        <w:spacing w:line="276" w:lineRule="auto"/>
        <w:jc w:val="center"/>
        <w:rPr>
          <w:rFonts w:asciiTheme="majorBidi" w:hAnsiTheme="majorBidi" w:cstheme="majorBidi"/>
          <w:b/>
          <w:color w:val="000000" w:themeColor="text1"/>
          <w:highlight w:val="yellow"/>
        </w:rPr>
      </w:pPr>
    </w:p>
    <w:p w14:paraId="60C1E0D8" w14:textId="50AA0EFC" w:rsidR="00ED45BB" w:rsidRPr="001353CF" w:rsidRDefault="00ED45BB" w:rsidP="00420DCA">
      <w:pPr>
        <w:spacing w:line="276" w:lineRule="auto"/>
        <w:ind w:firstLine="720"/>
        <w:jc w:val="both"/>
        <w:rPr>
          <w:rFonts w:asciiTheme="majorBidi" w:hAnsiTheme="majorBidi" w:cstheme="majorBidi"/>
          <w:color w:val="000000" w:themeColor="text1"/>
        </w:rPr>
      </w:pPr>
      <w:r w:rsidRPr="001353CF">
        <w:rPr>
          <w:rFonts w:asciiTheme="majorBidi" w:hAnsiTheme="majorBidi" w:cstheme="majorBidi"/>
          <w:color w:val="000000" w:themeColor="text1"/>
        </w:rPr>
        <w:t>at</w:t>
      </w:r>
      <w:r w:rsidR="005A7449" w:rsidRPr="001353CF">
        <w:rPr>
          <w:rFonts w:asciiTheme="majorBidi" w:hAnsiTheme="majorBidi" w:cstheme="majorBidi"/>
          <w:color w:val="000000" w:themeColor="text1"/>
        </w:rPr>
        <w:t>celt</w:t>
      </w:r>
      <w:r w:rsidRPr="001353CF">
        <w:rPr>
          <w:rFonts w:asciiTheme="majorBidi" w:hAnsiTheme="majorBidi" w:cstheme="majorBidi"/>
          <w:color w:val="000000" w:themeColor="text1"/>
        </w:rPr>
        <w:t xml:space="preserve"> Administratīvās apgabaltiesas 2024.gada 16.septembra spriedumu</w:t>
      </w:r>
      <w:r w:rsidR="005A7449" w:rsidRPr="001353CF">
        <w:rPr>
          <w:rFonts w:asciiTheme="majorBidi" w:hAnsiTheme="majorBidi" w:cstheme="majorBidi"/>
          <w:color w:val="000000" w:themeColor="text1"/>
        </w:rPr>
        <w:t xml:space="preserve"> un nodot lietu jaunai izskatīšanai apelācijas instances tiesai;</w:t>
      </w:r>
    </w:p>
    <w:p w14:paraId="2B0A7680" w14:textId="77C451B7" w:rsidR="0026548C" w:rsidRPr="001353CF" w:rsidRDefault="0026548C" w:rsidP="00420DCA">
      <w:pPr>
        <w:spacing w:line="276" w:lineRule="auto"/>
        <w:ind w:firstLine="720"/>
        <w:jc w:val="both"/>
        <w:rPr>
          <w:rFonts w:asciiTheme="majorBidi" w:hAnsiTheme="majorBidi" w:cstheme="majorBidi"/>
          <w:color w:val="000000" w:themeColor="text1"/>
        </w:rPr>
      </w:pPr>
      <w:r w:rsidRPr="001353CF">
        <w:rPr>
          <w:rFonts w:asciiTheme="majorBidi" w:hAnsiTheme="majorBidi" w:cstheme="majorBidi"/>
          <w:color w:val="000000" w:themeColor="text1"/>
        </w:rPr>
        <w:t xml:space="preserve">atmaksāt </w:t>
      </w:r>
      <w:r w:rsidR="00420DCA">
        <w:rPr>
          <w:rFonts w:asciiTheme="majorBidi" w:hAnsiTheme="majorBidi" w:cstheme="majorBidi"/>
        </w:rPr>
        <w:t xml:space="preserve">[pers. A] </w:t>
      </w:r>
      <w:r w:rsidRPr="001353CF">
        <w:rPr>
          <w:rFonts w:asciiTheme="majorBidi" w:hAnsiTheme="majorBidi" w:cstheme="majorBidi"/>
          <w:color w:val="000000" w:themeColor="text1"/>
        </w:rPr>
        <w:t>drošības naudu 70 </w:t>
      </w:r>
      <w:r w:rsidRPr="001353CF">
        <w:rPr>
          <w:rFonts w:asciiTheme="majorBidi" w:hAnsiTheme="majorBidi" w:cstheme="majorBidi"/>
          <w:i/>
          <w:color w:val="000000" w:themeColor="text1"/>
        </w:rPr>
        <w:t>euro</w:t>
      </w:r>
      <w:r w:rsidRPr="001353CF">
        <w:rPr>
          <w:rFonts w:asciiTheme="majorBidi" w:hAnsiTheme="majorBidi" w:cstheme="majorBidi"/>
          <w:color w:val="000000" w:themeColor="text1"/>
        </w:rPr>
        <w:t>.</w:t>
      </w:r>
    </w:p>
    <w:p w14:paraId="53EB6F7E" w14:textId="77777777" w:rsidR="005A7449" w:rsidRPr="001353CF" w:rsidRDefault="005A7449" w:rsidP="00420DCA">
      <w:pPr>
        <w:spacing w:line="276" w:lineRule="auto"/>
        <w:ind w:firstLine="720"/>
        <w:jc w:val="both"/>
        <w:rPr>
          <w:rFonts w:asciiTheme="majorBidi" w:hAnsiTheme="majorBidi" w:cstheme="majorBidi"/>
          <w:color w:val="000000" w:themeColor="text1"/>
        </w:rPr>
      </w:pPr>
    </w:p>
    <w:p w14:paraId="773DEE6D" w14:textId="3E3E4EEB" w:rsidR="003A62BD" w:rsidRPr="00420DCA" w:rsidRDefault="00ED45BB" w:rsidP="00420DCA">
      <w:pPr>
        <w:spacing w:line="276" w:lineRule="auto"/>
        <w:ind w:firstLine="720"/>
        <w:jc w:val="both"/>
        <w:rPr>
          <w:rFonts w:asciiTheme="majorBidi" w:hAnsiTheme="majorBidi" w:cstheme="majorBidi"/>
          <w:bCs/>
          <w:color w:val="000000" w:themeColor="text1"/>
        </w:rPr>
      </w:pPr>
      <w:r w:rsidRPr="001353CF">
        <w:rPr>
          <w:rFonts w:asciiTheme="majorBidi" w:hAnsiTheme="majorBidi" w:cstheme="majorBidi"/>
          <w:color w:val="000000" w:themeColor="text1"/>
        </w:rPr>
        <w:t>Spriedums nav pārsūdzams.</w:t>
      </w:r>
    </w:p>
    <w:sectPr w:rsidR="003A62BD" w:rsidRPr="00420DCA" w:rsidSect="001353CF">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4E07" w14:textId="77777777" w:rsidR="00C935DA" w:rsidRDefault="00C935DA">
      <w:r>
        <w:separator/>
      </w:r>
    </w:p>
  </w:endnote>
  <w:endnote w:type="continuationSeparator" w:id="0">
    <w:p w14:paraId="6349FD8D" w14:textId="77777777" w:rsidR="00C935DA" w:rsidRDefault="00C9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D49F" w14:textId="3B2377DE" w:rsidR="00ED45BB" w:rsidRPr="00A6228E" w:rsidRDefault="00ED45BB" w:rsidP="00545355">
    <w:pPr>
      <w:pStyle w:val="Footer"/>
      <w:tabs>
        <w:tab w:val="clear" w:pos="4153"/>
        <w:tab w:val="clear" w:pos="8306"/>
      </w:tabs>
      <w:jc w:val="center"/>
      <w:rPr>
        <w:sz w:val="20"/>
        <w:szCs w:val="20"/>
      </w:rPr>
    </w:pPr>
    <w:r w:rsidRPr="00A6228E">
      <w:rPr>
        <w:rStyle w:val="PageNumber"/>
        <w:sz w:val="20"/>
        <w:szCs w:val="20"/>
      </w:rPr>
      <w:fldChar w:fldCharType="begin"/>
    </w:r>
    <w:r w:rsidRPr="00A6228E">
      <w:rPr>
        <w:rStyle w:val="PageNumber"/>
        <w:sz w:val="20"/>
        <w:szCs w:val="20"/>
      </w:rPr>
      <w:instrText xml:space="preserve">PAGE  </w:instrText>
    </w:r>
    <w:r w:rsidRPr="00A6228E">
      <w:rPr>
        <w:rStyle w:val="PageNumber"/>
        <w:sz w:val="20"/>
        <w:szCs w:val="20"/>
      </w:rPr>
      <w:fldChar w:fldCharType="separate"/>
    </w:r>
    <w:r w:rsidRPr="00A6228E">
      <w:rPr>
        <w:rStyle w:val="PageNumber"/>
        <w:sz w:val="20"/>
        <w:szCs w:val="20"/>
      </w:rPr>
      <w:t>2</w:t>
    </w:r>
    <w:r w:rsidRPr="00A6228E">
      <w:rPr>
        <w:rStyle w:val="PageNumber"/>
        <w:sz w:val="20"/>
        <w:szCs w:val="20"/>
      </w:rPr>
      <w:fldChar w:fldCharType="end"/>
    </w:r>
    <w:r w:rsidRPr="00A6228E">
      <w:rPr>
        <w:rStyle w:val="PageNumber"/>
        <w:sz w:val="20"/>
        <w:szCs w:val="20"/>
      </w:rPr>
      <w:t xml:space="preserve"> no </w:t>
    </w:r>
    <w:r w:rsidRPr="00A6228E">
      <w:rPr>
        <w:rStyle w:val="PageNumber"/>
        <w:sz w:val="20"/>
        <w:szCs w:val="20"/>
      </w:rPr>
      <w:fldChar w:fldCharType="begin"/>
    </w:r>
    <w:r w:rsidRPr="00A6228E">
      <w:rPr>
        <w:rStyle w:val="PageNumber"/>
        <w:sz w:val="20"/>
        <w:szCs w:val="20"/>
      </w:rPr>
      <w:instrText xml:space="preserve"> SECTIONPAGES   \* MERGEFORMAT </w:instrText>
    </w:r>
    <w:r w:rsidRPr="00A6228E">
      <w:rPr>
        <w:rStyle w:val="PageNumber"/>
        <w:sz w:val="20"/>
        <w:szCs w:val="20"/>
      </w:rPr>
      <w:fldChar w:fldCharType="separate"/>
    </w:r>
    <w:r w:rsidR="00C935DA">
      <w:rPr>
        <w:rStyle w:val="PageNumber"/>
        <w:noProof/>
        <w:sz w:val="20"/>
        <w:szCs w:val="20"/>
      </w:rPr>
      <w:t>1</w:t>
    </w:r>
    <w:r w:rsidRPr="00A6228E">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009EE" w14:textId="77777777" w:rsidR="00C935DA" w:rsidRDefault="00C935DA">
      <w:r>
        <w:separator/>
      </w:r>
    </w:p>
  </w:footnote>
  <w:footnote w:type="continuationSeparator" w:id="0">
    <w:p w14:paraId="3A9FCD73" w14:textId="77777777" w:rsidR="00C935DA" w:rsidRDefault="00C93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BB"/>
    <w:rsid w:val="000008C7"/>
    <w:rsid w:val="000121B3"/>
    <w:rsid w:val="0002729F"/>
    <w:rsid w:val="00031BE1"/>
    <w:rsid w:val="00034D77"/>
    <w:rsid w:val="00053640"/>
    <w:rsid w:val="00060452"/>
    <w:rsid w:val="00075CC6"/>
    <w:rsid w:val="00090E16"/>
    <w:rsid w:val="000A2A76"/>
    <w:rsid w:val="000B545E"/>
    <w:rsid w:val="000C6A65"/>
    <w:rsid w:val="000D272D"/>
    <w:rsid w:val="000D2D77"/>
    <w:rsid w:val="000D63E5"/>
    <w:rsid w:val="000F1E79"/>
    <w:rsid w:val="000F33A9"/>
    <w:rsid w:val="00106854"/>
    <w:rsid w:val="0011642D"/>
    <w:rsid w:val="001206A5"/>
    <w:rsid w:val="0012467B"/>
    <w:rsid w:val="001353CF"/>
    <w:rsid w:val="00137B08"/>
    <w:rsid w:val="00145B8B"/>
    <w:rsid w:val="00152476"/>
    <w:rsid w:val="0015564F"/>
    <w:rsid w:val="00156E06"/>
    <w:rsid w:val="001618AC"/>
    <w:rsid w:val="00162AF9"/>
    <w:rsid w:val="001658D3"/>
    <w:rsid w:val="00166837"/>
    <w:rsid w:val="00193594"/>
    <w:rsid w:val="001A505F"/>
    <w:rsid w:val="001A68A3"/>
    <w:rsid w:val="001B056C"/>
    <w:rsid w:val="001B1243"/>
    <w:rsid w:val="001C0E15"/>
    <w:rsid w:val="001D5327"/>
    <w:rsid w:val="001D793B"/>
    <w:rsid w:val="002011E0"/>
    <w:rsid w:val="00211EBA"/>
    <w:rsid w:val="002208B3"/>
    <w:rsid w:val="00246DF3"/>
    <w:rsid w:val="002534AF"/>
    <w:rsid w:val="00256FA1"/>
    <w:rsid w:val="0026548C"/>
    <w:rsid w:val="00275CBC"/>
    <w:rsid w:val="0027781E"/>
    <w:rsid w:val="00280C60"/>
    <w:rsid w:val="00286115"/>
    <w:rsid w:val="0029195F"/>
    <w:rsid w:val="00294098"/>
    <w:rsid w:val="00295B71"/>
    <w:rsid w:val="002A2A8D"/>
    <w:rsid w:val="002B313F"/>
    <w:rsid w:val="002C4520"/>
    <w:rsid w:val="002D5992"/>
    <w:rsid w:val="002F1D3C"/>
    <w:rsid w:val="002F2BA3"/>
    <w:rsid w:val="002F3980"/>
    <w:rsid w:val="00310A21"/>
    <w:rsid w:val="0032707A"/>
    <w:rsid w:val="003371DF"/>
    <w:rsid w:val="003458A9"/>
    <w:rsid w:val="00350024"/>
    <w:rsid w:val="00351B30"/>
    <w:rsid w:val="003529FB"/>
    <w:rsid w:val="003569B3"/>
    <w:rsid w:val="00363A42"/>
    <w:rsid w:val="00363CA2"/>
    <w:rsid w:val="00372068"/>
    <w:rsid w:val="00395266"/>
    <w:rsid w:val="00395F9C"/>
    <w:rsid w:val="003A120A"/>
    <w:rsid w:val="003A535D"/>
    <w:rsid w:val="003A62BD"/>
    <w:rsid w:val="003B1FFB"/>
    <w:rsid w:val="003B40AB"/>
    <w:rsid w:val="003B6D84"/>
    <w:rsid w:val="003C05C7"/>
    <w:rsid w:val="003C4F85"/>
    <w:rsid w:val="003D2BC9"/>
    <w:rsid w:val="003D2EE8"/>
    <w:rsid w:val="003D6D83"/>
    <w:rsid w:val="003E3E67"/>
    <w:rsid w:val="003E4116"/>
    <w:rsid w:val="003E5F7F"/>
    <w:rsid w:val="003E6B73"/>
    <w:rsid w:val="003F562C"/>
    <w:rsid w:val="003F7564"/>
    <w:rsid w:val="004041C5"/>
    <w:rsid w:val="00420DCA"/>
    <w:rsid w:val="0043109B"/>
    <w:rsid w:val="00440DA6"/>
    <w:rsid w:val="004A1487"/>
    <w:rsid w:val="004A7A55"/>
    <w:rsid w:val="004C0869"/>
    <w:rsid w:val="004C641B"/>
    <w:rsid w:val="004C7B4C"/>
    <w:rsid w:val="004D214A"/>
    <w:rsid w:val="004D57A4"/>
    <w:rsid w:val="004E4459"/>
    <w:rsid w:val="004F1A61"/>
    <w:rsid w:val="004F6B64"/>
    <w:rsid w:val="00500E3E"/>
    <w:rsid w:val="00502A51"/>
    <w:rsid w:val="005123F7"/>
    <w:rsid w:val="005148ED"/>
    <w:rsid w:val="00517B32"/>
    <w:rsid w:val="00524FEC"/>
    <w:rsid w:val="00534898"/>
    <w:rsid w:val="00547B9A"/>
    <w:rsid w:val="005624B4"/>
    <w:rsid w:val="005625D1"/>
    <w:rsid w:val="00570602"/>
    <w:rsid w:val="00581299"/>
    <w:rsid w:val="005900B5"/>
    <w:rsid w:val="00592365"/>
    <w:rsid w:val="005934B4"/>
    <w:rsid w:val="00596D32"/>
    <w:rsid w:val="005A7449"/>
    <w:rsid w:val="005B5D12"/>
    <w:rsid w:val="005B70C4"/>
    <w:rsid w:val="005C4766"/>
    <w:rsid w:val="005E3E86"/>
    <w:rsid w:val="005F1857"/>
    <w:rsid w:val="005F26D9"/>
    <w:rsid w:val="0061024E"/>
    <w:rsid w:val="006209DD"/>
    <w:rsid w:val="00623291"/>
    <w:rsid w:val="00630D27"/>
    <w:rsid w:val="00635EA5"/>
    <w:rsid w:val="0064272D"/>
    <w:rsid w:val="00676137"/>
    <w:rsid w:val="00676866"/>
    <w:rsid w:val="00677C50"/>
    <w:rsid w:val="00681355"/>
    <w:rsid w:val="006974F1"/>
    <w:rsid w:val="006B5207"/>
    <w:rsid w:val="006B5AC7"/>
    <w:rsid w:val="006C1816"/>
    <w:rsid w:val="006D38D2"/>
    <w:rsid w:val="006E5DD9"/>
    <w:rsid w:val="006F2B11"/>
    <w:rsid w:val="00733DA3"/>
    <w:rsid w:val="00744022"/>
    <w:rsid w:val="00766D66"/>
    <w:rsid w:val="007714F2"/>
    <w:rsid w:val="00792B45"/>
    <w:rsid w:val="00793CF5"/>
    <w:rsid w:val="007B4473"/>
    <w:rsid w:val="007B602D"/>
    <w:rsid w:val="007C5759"/>
    <w:rsid w:val="007D4473"/>
    <w:rsid w:val="007D53E6"/>
    <w:rsid w:val="007D6410"/>
    <w:rsid w:val="007F05B1"/>
    <w:rsid w:val="00831577"/>
    <w:rsid w:val="0083360D"/>
    <w:rsid w:val="00835D35"/>
    <w:rsid w:val="00841CFA"/>
    <w:rsid w:val="00846F99"/>
    <w:rsid w:val="0085012E"/>
    <w:rsid w:val="0085148D"/>
    <w:rsid w:val="00851C72"/>
    <w:rsid w:val="00851FC4"/>
    <w:rsid w:val="0085538C"/>
    <w:rsid w:val="00863130"/>
    <w:rsid w:val="00874AB9"/>
    <w:rsid w:val="00875C0C"/>
    <w:rsid w:val="00875C91"/>
    <w:rsid w:val="0087600F"/>
    <w:rsid w:val="00891284"/>
    <w:rsid w:val="00892355"/>
    <w:rsid w:val="00896635"/>
    <w:rsid w:val="008A56D6"/>
    <w:rsid w:val="008B66C3"/>
    <w:rsid w:val="008D10DF"/>
    <w:rsid w:val="008D2107"/>
    <w:rsid w:val="008F456D"/>
    <w:rsid w:val="008F50B0"/>
    <w:rsid w:val="008F65ED"/>
    <w:rsid w:val="00903508"/>
    <w:rsid w:val="00904ED9"/>
    <w:rsid w:val="00905001"/>
    <w:rsid w:val="00905C97"/>
    <w:rsid w:val="00910D4F"/>
    <w:rsid w:val="0092185E"/>
    <w:rsid w:val="00931868"/>
    <w:rsid w:val="00932A7F"/>
    <w:rsid w:val="00932EB8"/>
    <w:rsid w:val="0093440D"/>
    <w:rsid w:val="00934B56"/>
    <w:rsid w:val="00937368"/>
    <w:rsid w:val="00952DB6"/>
    <w:rsid w:val="0095381A"/>
    <w:rsid w:val="009567ED"/>
    <w:rsid w:val="009644F3"/>
    <w:rsid w:val="009650E4"/>
    <w:rsid w:val="00976D36"/>
    <w:rsid w:val="00980DAE"/>
    <w:rsid w:val="0098598F"/>
    <w:rsid w:val="00991BE2"/>
    <w:rsid w:val="009C486D"/>
    <w:rsid w:val="009D2362"/>
    <w:rsid w:val="009D7F6E"/>
    <w:rsid w:val="009E0962"/>
    <w:rsid w:val="009E65B4"/>
    <w:rsid w:val="009F3BD2"/>
    <w:rsid w:val="009F562C"/>
    <w:rsid w:val="00A059D4"/>
    <w:rsid w:val="00A22639"/>
    <w:rsid w:val="00A4120A"/>
    <w:rsid w:val="00A50BE3"/>
    <w:rsid w:val="00A53C54"/>
    <w:rsid w:val="00A619C5"/>
    <w:rsid w:val="00A67B56"/>
    <w:rsid w:val="00A70D0B"/>
    <w:rsid w:val="00A734B6"/>
    <w:rsid w:val="00A76D4B"/>
    <w:rsid w:val="00A87800"/>
    <w:rsid w:val="00A90DDC"/>
    <w:rsid w:val="00A92D54"/>
    <w:rsid w:val="00A95D8C"/>
    <w:rsid w:val="00AA3F16"/>
    <w:rsid w:val="00AB0466"/>
    <w:rsid w:val="00AB46FF"/>
    <w:rsid w:val="00AB61CD"/>
    <w:rsid w:val="00AE05E9"/>
    <w:rsid w:val="00AE084F"/>
    <w:rsid w:val="00AE52C8"/>
    <w:rsid w:val="00AE5E9E"/>
    <w:rsid w:val="00AF0A91"/>
    <w:rsid w:val="00AF1433"/>
    <w:rsid w:val="00AF78E5"/>
    <w:rsid w:val="00B01F04"/>
    <w:rsid w:val="00B07A9C"/>
    <w:rsid w:val="00B07BCE"/>
    <w:rsid w:val="00B10F21"/>
    <w:rsid w:val="00B24F2D"/>
    <w:rsid w:val="00B30710"/>
    <w:rsid w:val="00B440BC"/>
    <w:rsid w:val="00B46875"/>
    <w:rsid w:val="00B62D1D"/>
    <w:rsid w:val="00B94110"/>
    <w:rsid w:val="00BA1CFC"/>
    <w:rsid w:val="00BA26B9"/>
    <w:rsid w:val="00BD1836"/>
    <w:rsid w:val="00BE1F08"/>
    <w:rsid w:val="00C03104"/>
    <w:rsid w:val="00C11543"/>
    <w:rsid w:val="00C1517E"/>
    <w:rsid w:val="00C16342"/>
    <w:rsid w:val="00C23963"/>
    <w:rsid w:val="00C27114"/>
    <w:rsid w:val="00C31141"/>
    <w:rsid w:val="00C361C7"/>
    <w:rsid w:val="00C435C6"/>
    <w:rsid w:val="00C47E37"/>
    <w:rsid w:val="00C55D98"/>
    <w:rsid w:val="00C61ACF"/>
    <w:rsid w:val="00C75158"/>
    <w:rsid w:val="00C8504E"/>
    <w:rsid w:val="00C935DA"/>
    <w:rsid w:val="00CB30D0"/>
    <w:rsid w:val="00CB53F5"/>
    <w:rsid w:val="00CB6D52"/>
    <w:rsid w:val="00CB71B5"/>
    <w:rsid w:val="00CC1958"/>
    <w:rsid w:val="00CC4D35"/>
    <w:rsid w:val="00CD10A9"/>
    <w:rsid w:val="00CD2D32"/>
    <w:rsid w:val="00CD3F93"/>
    <w:rsid w:val="00CD43ED"/>
    <w:rsid w:val="00CE6C9C"/>
    <w:rsid w:val="00CF571D"/>
    <w:rsid w:val="00D013F3"/>
    <w:rsid w:val="00D049BD"/>
    <w:rsid w:val="00D1777D"/>
    <w:rsid w:val="00D20921"/>
    <w:rsid w:val="00D243E2"/>
    <w:rsid w:val="00D33DCF"/>
    <w:rsid w:val="00D500C8"/>
    <w:rsid w:val="00D5112C"/>
    <w:rsid w:val="00D540A4"/>
    <w:rsid w:val="00D64954"/>
    <w:rsid w:val="00D709D3"/>
    <w:rsid w:val="00D776F9"/>
    <w:rsid w:val="00D813D6"/>
    <w:rsid w:val="00DA2E90"/>
    <w:rsid w:val="00DC2A81"/>
    <w:rsid w:val="00DC49D0"/>
    <w:rsid w:val="00DD0D92"/>
    <w:rsid w:val="00DD3ECB"/>
    <w:rsid w:val="00DD4ED3"/>
    <w:rsid w:val="00DD76F8"/>
    <w:rsid w:val="00DE09D7"/>
    <w:rsid w:val="00DE37F9"/>
    <w:rsid w:val="00E01C3C"/>
    <w:rsid w:val="00E03A29"/>
    <w:rsid w:val="00E05E28"/>
    <w:rsid w:val="00E10C62"/>
    <w:rsid w:val="00E10F6C"/>
    <w:rsid w:val="00E16FDF"/>
    <w:rsid w:val="00E6682D"/>
    <w:rsid w:val="00E760B4"/>
    <w:rsid w:val="00E8327F"/>
    <w:rsid w:val="00E848B1"/>
    <w:rsid w:val="00ED45BB"/>
    <w:rsid w:val="00EE1B56"/>
    <w:rsid w:val="00EE282C"/>
    <w:rsid w:val="00EF075A"/>
    <w:rsid w:val="00EF70C2"/>
    <w:rsid w:val="00EF7A14"/>
    <w:rsid w:val="00F01428"/>
    <w:rsid w:val="00F100AA"/>
    <w:rsid w:val="00F306FD"/>
    <w:rsid w:val="00F34FB5"/>
    <w:rsid w:val="00F46594"/>
    <w:rsid w:val="00F65C2C"/>
    <w:rsid w:val="00F70BE8"/>
    <w:rsid w:val="00F72531"/>
    <w:rsid w:val="00F73CBD"/>
    <w:rsid w:val="00F82B1E"/>
    <w:rsid w:val="00FA1BA3"/>
    <w:rsid w:val="00FC0BB3"/>
    <w:rsid w:val="00FC223F"/>
    <w:rsid w:val="00FC51EA"/>
    <w:rsid w:val="00FC5578"/>
    <w:rsid w:val="00FD3FB7"/>
    <w:rsid w:val="00FE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AA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BB"/>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ED45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45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45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45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45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D45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45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45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45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5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45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45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45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D45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D45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45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45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45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45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5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5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45BB"/>
    <w:pPr>
      <w:spacing w:before="160"/>
      <w:jc w:val="center"/>
    </w:pPr>
    <w:rPr>
      <w:i/>
      <w:iCs/>
      <w:color w:val="404040" w:themeColor="text1" w:themeTint="BF"/>
    </w:rPr>
  </w:style>
  <w:style w:type="character" w:customStyle="1" w:styleId="QuoteChar">
    <w:name w:val="Quote Char"/>
    <w:basedOn w:val="DefaultParagraphFont"/>
    <w:link w:val="Quote"/>
    <w:uiPriority w:val="29"/>
    <w:rsid w:val="00ED45BB"/>
    <w:rPr>
      <w:i/>
      <w:iCs/>
      <w:color w:val="404040" w:themeColor="text1" w:themeTint="BF"/>
    </w:rPr>
  </w:style>
  <w:style w:type="paragraph" w:styleId="ListParagraph">
    <w:name w:val="List Paragraph"/>
    <w:basedOn w:val="Normal"/>
    <w:uiPriority w:val="34"/>
    <w:qFormat/>
    <w:rsid w:val="00ED45BB"/>
    <w:pPr>
      <w:ind w:left="720"/>
      <w:contextualSpacing/>
    </w:pPr>
  </w:style>
  <w:style w:type="character" w:styleId="IntenseEmphasis">
    <w:name w:val="Intense Emphasis"/>
    <w:basedOn w:val="DefaultParagraphFont"/>
    <w:uiPriority w:val="21"/>
    <w:qFormat/>
    <w:rsid w:val="00ED45BB"/>
    <w:rPr>
      <w:i/>
      <w:iCs/>
      <w:color w:val="2F5496" w:themeColor="accent1" w:themeShade="BF"/>
    </w:rPr>
  </w:style>
  <w:style w:type="paragraph" w:styleId="IntenseQuote">
    <w:name w:val="Intense Quote"/>
    <w:basedOn w:val="Normal"/>
    <w:next w:val="Normal"/>
    <w:link w:val="IntenseQuoteChar"/>
    <w:uiPriority w:val="30"/>
    <w:qFormat/>
    <w:rsid w:val="00ED45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45BB"/>
    <w:rPr>
      <w:i/>
      <w:iCs/>
      <w:color w:val="2F5496" w:themeColor="accent1" w:themeShade="BF"/>
    </w:rPr>
  </w:style>
  <w:style w:type="character" w:styleId="IntenseReference">
    <w:name w:val="Intense Reference"/>
    <w:basedOn w:val="DefaultParagraphFont"/>
    <w:uiPriority w:val="32"/>
    <w:qFormat/>
    <w:rsid w:val="00ED45BB"/>
    <w:rPr>
      <w:b/>
      <w:bCs/>
      <w:smallCaps/>
      <w:color w:val="2F5496" w:themeColor="accent1" w:themeShade="BF"/>
      <w:spacing w:val="5"/>
    </w:rPr>
  </w:style>
  <w:style w:type="paragraph" w:styleId="BodyText2">
    <w:name w:val="Body Text 2"/>
    <w:basedOn w:val="Normal"/>
    <w:link w:val="BodyText2Char"/>
    <w:rsid w:val="00ED45BB"/>
    <w:pPr>
      <w:spacing w:after="120" w:line="480" w:lineRule="auto"/>
    </w:pPr>
    <w:rPr>
      <w:lang w:val="x-none"/>
    </w:rPr>
  </w:style>
  <w:style w:type="character" w:customStyle="1" w:styleId="BodyText2Char">
    <w:name w:val="Body Text 2 Char"/>
    <w:basedOn w:val="DefaultParagraphFont"/>
    <w:link w:val="BodyText2"/>
    <w:rsid w:val="00ED45BB"/>
    <w:rPr>
      <w:rFonts w:eastAsia="Times New Roman" w:cs="Times New Roman"/>
      <w:kern w:val="0"/>
      <w:szCs w:val="24"/>
      <w:lang w:val="x-none" w:eastAsia="ru-RU"/>
      <w14:ligatures w14:val="none"/>
    </w:rPr>
  </w:style>
  <w:style w:type="paragraph" w:styleId="Footer">
    <w:name w:val="footer"/>
    <w:basedOn w:val="Normal"/>
    <w:link w:val="FooterChar"/>
    <w:unhideWhenUsed/>
    <w:rsid w:val="00ED45BB"/>
    <w:pPr>
      <w:tabs>
        <w:tab w:val="center" w:pos="4153"/>
        <w:tab w:val="right" w:pos="8306"/>
      </w:tabs>
    </w:pPr>
  </w:style>
  <w:style w:type="character" w:customStyle="1" w:styleId="FooterChar">
    <w:name w:val="Footer Char"/>
    <w:basedOn w:val="DefaultParagraphFont"/>
    <w:link w:val="Footer"/>
    <w:rsid w:val="00ED45BB"/>
    <w:rPr>
      <w:rFonts w:eastAsia="Times New Roman" w:cs="Times New Roman"/>
      <w:kern w:val="0"/>
      <w:szCs w:val="24"/>
      <w:lang w:val="lv-LV" w:eastAsia="ru-RU"/>
      <w14:ligatures w14:val="none"/>
    </w:rPr>
  </w:style>
  <w:style w:type="character" w:styleId="PageNumber">
    <w:name w:val="page number"/>
    <w:basedOn w:val="DefaultParagraphFont"/>
    <w:rsid w:val="00ED45BB"/>
  </w:style>
  <w:style w:type="paragraph" w:customStyle="1" w:styleId="ATpamattesksts">
    <w:name w:val="AT pamattesksts"/>
    <w:basedOn w:val="BodyText2"/>
    <w:link w:val="ATpamatteskstsChar"/>
    <w:qFormat/>
    <w:rsid w:val="00ED45BB"/>
    <w:pPr>
      <w:spacing w:after="0" w:line="276" w:lineRule="auto"/>
      <w:ind w:firstLine="567"/>
      <w:jc w:val="both"/>
    </w:pPr>
  </w:style>
  <w:style w:type="character" w:customStyle="1" w:styleId="ATpamatteskstsChar">
    <w:name w:val="AT pamattesksts Char"/>
    <w:basedOn w:val="BodyText2Char"/>
    <w:link w:val="ATpamattesksts"/>
    <w:rsid w:val="00ED45BB"/>
    <w:rPr>
      <w:rFonts w:eastAsia="Times New Roman" w:cs="Times New Roman"/>
      <w:kern w:val="0"/>
      <w:szCs w:val="24"/>
      <w:lang w:val="x-none" w:eastAsia="ru-RU"/>
      <w14:ligatures w14:val="none"/>
    </w:rPr>
  </w:style>
  <w:style w:type="paragraph" w:customStyle="1" w:styleId="ATvirsraksts">
    <w:name w:val="AT virsraksts"/>
    <w:basedOn w:val="Normal"/>
    <w:link w:val="ATvirsrakstsChar"/>
    <w:qFormat/>
    <w:rsid w:val="00ED45BB"/>
    <w:pPr>
      <w:spacing w:line="276" w:lineRule="auto"/>
      <w:jc w:val="center"/>
      <w:outlineLvl w:val="0"/>
    </w:pPr>
    <w:rPr>
      <w:b/>
    </w:rPr>
  </w:style>
  <w:style w:type="character" w:customStyle="1" w:styleId="ATvirsrakstsChar">
    <w:name w:val="AT virsraksts Char"/>
    <w:basedOn w:val="DefaultParagraphFont"/>
    <w:link w:val="ATvirsraksts"/>
    <w:rsid w:val="00ED45BB"/>
    <w:rPr>
      <w:rFonts w:eastAsia="Times New Roman" w:cs="Times New Roman"/>
      <w:b/>
      <w:kern w:val="0"/>
      <w:szCs w:val="24"/>
      <w:lang w:val="lv-LV" w:eastAsia="ru-RU"/>
      <w14:ligatures w14:val="none"/>
    </w:rPr>
  </w:style>
  <w:style w:type="character" w:styleId="Hyperlink">
    <w:name w:val="Hyperlink"/>
    <w:basedOn w:val="DefaultParagraphFont"/>
    <w:uiPriority w:val="99"/>
    <w:unhideWhenUsed/>
    <w:rsid w:val="00ED45BB"/>
    <w:rPr>
      <w:color w:val="0563C1" w:themeColor="hyperlink"/>
      <w:u w:val="single"/>
    </w:rPr>
  </w:style>
  <w:style w:type="character" w:styleId="CommentReference">
    <w:name w:val="annotation reference"/>
    <w:basedOn w:val="DefaultParagraphFont"/>
    <w:uiPriority w:val="99"/>
    <w:semiHidden/>
    <w:unhideWhenUsed/>
    <w:rsid w:val="00ED45BB"/>
    <w:rPr>
      <w:sz w:val="16"/>
      <w:szCs w:val="16"/>
    </w:rPr>
  </w:style>
  <w:style w:type="paragraph" w:styleId="CommentText">
    <w:name w:val="annotation text"/>
    <w:basedOn w:val="Normal"/>
    <w:link w:val="CommentTextChar"/>
    <w:uiPriority w:val="99"/>
    <w:unhideWhenUsed/>
    <w:rsid w:val="00ED45BB"/>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D45BB"/>
    <w:rPr>
      <w:rFonts w:asciiTheme="minorHAnsi" w:hAnsiTheme="minorHAnsi"/>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294098"/>
    <w:pPr>
      <w:spacing w:after="0"/>
    </w:pPr>
    <w:rPr>
      <w:rFonts w:ascii="Times New Roman" w:eastAsia="Times New Roman" w:hAnsi="Times New Roman" w:cs="Times New Roman"/>
      <w:b/>
      <w:bCs/>
      <w:lang w:eastAsia="ru-RU"/>
    </w:rPr>
  </w:style>
  <w:style w:type="character" w:customStyle="1" w:styleId="CommentSubjectChar">
    <w:name w:val="Comment Subject Char"/>
    <w:basedOn w:val="CommentTextChar"/>
    <w:link w:val="CommentSubject"/>
    <w:uiPriority w:val="99"/>
    <w:semiHidden/>
    <w:rsid w:val="00294098"/>
    <w:rPr>
      <w:rFonts w:asciiTheme="minorHAnsi" w:eastAsia="Times New Roman" w:hAnsiTheme="minorHAnsi" w:cs="Times New Roman"/>
      <w:b/>
      <w:bCs/>
      <w:kern w:val="0"/>
      <w:sz w:val="20"/>
      <w:szCs w:val="20"/>
      <w:lang w:val="lv-LV" w:eastAsia="ru-RU"/>
      <w14:ligatures w14:val="none"/>
    </w:rPr>
  </w:style>
  <w:style w:type="paragraph" w:styleId="Revision">
    <w:name w:val="Revision"/>
    <w:hidden/>
    <w:uiPriority w:val="99"/>
    <w:semiHidden/>
    <w:rsid w:val="00DD0D92"/>
    <w:pPr>
      <w:spacing w:after="0" w:line="240" w:lineRule="auto"/>
    </w:pPr>
    <w:rPr>
      <w:rFonts w:eastAsia="Times New Roman" w:cs="Times New Roman"/>
      <w:kern w:val="0"/>
      <w:szCs w:val="24"/>
      <w:lang w:val="lv-LV" w:eastAsia="ru-RU"/>
      <w14:ligatures w14:val="none"/>
    </w:rPr>
  </w:style>
  <w:style w:type="paragraph" w:styleId="Header">
    <w:name w:val="header"/>
    <w:basedOn w:val="Normal"/>
    <w:link w:val="HeaderChar"/>
    <w:uiPriority w:val="99"/>
    <w:unhideWhenUsed/>
    <w:rsid w:val="001353CF"/>
    <w:pPr>
      <w:tabs>
        <w:tab w:val="center" w:pos="4513"/>
        <w:tab w:val="right" w:pos="9026"/>
      </w:tabs>
    </w:pPr>
  </w:style>
  <w:style w:type="character" w:customStyle="1" w:styleId="HeaderChar">
    <w:name w:val="Header Char"/>
    <w:basedOn w:val="DefaultParagraphFont"/>
    <w:link w:val="Header"/>
    <w:uiPriority w:val="99"/>
    <w:rsid w:val="001353CF"/>
    <w:rPr>
      <w:rFonts w:eastAsia="Times New Roman" w:cs="Times New Roman"/>
      <w:kern w:val="0"/>
      <w:szCs w:val="24"/>
      <w:lang w:val="lv-LV" w:eastAsia="ru-RU"/>
      <w14:ligatures w14:val="none"/>
    </w:rPr>
  </w:style>
  <w:style w:type="paragraph" w:customStyle="1" w:styleId="Default">
    <w:name w:val="Default"/>
    <w:rsid w:val="00420DCA"/>
    <w:pPr>
      <w:autoSpaceDE w:val="0"/>
      <w:autoSpaceDN w:val="0"/>
      <w:adjustRightInd w:val="0"/>
      <w:spacing w:after="0" w:line="240" w:lineRule="auto"/>
    </w:pPr>
    <w:rPr>
      <w:rFonts w:cs="Times New Roman"/>
      <w:color w:val="000000"/>
      <w:kern w:val="0"/>
      <w:szCs w:val="24"/>
      <w:lang w:val="lv-LV"/>
    </w:rPr>
  </w:style>
  <w:style w:type="character" w:styleId="UnresolvedMention">
    <w:name w:val="Unresolved Mention"/>
    <w:basedOn w:val="DefaultParagraphFont"/>
    <w:uiPriority w:val="99"/>
    <w:semiHidden/>
    <w:unhideWhenUsed/>
    <w:rsid w:val="00420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1bbe3ac8-4a73-414d-b5d1-bf67122d933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53BC8-FF7A-46E0-A339-F94427F84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20897</Words>
  <Characters>11912</Characters>
  <Application>Microsoft Office Word</Application>
  <DocSecurity>0</DocSecurity>
  <Lines>99</Lines>
  <Paragraphs>65</Paragraphs>
  <ScaleCrop>false</ScaleCrop>
  <Company/>
  <LinksUpToDate>false</LinksUpToDate>
  <CharactersWithSpaces>32744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2026-03-24T12:53:00Z</dcterms:created>
  <dcterms:modified xsi:type="dcterms:W3CDTF">2026-03-24T12:53:00Z</dcterms:modified>
</cp:coreProperties>
</file>